
<file path=[Content_Types].xml><?xml version="1.0" encoding="utf-8"?>
<Types xmlns="http://schemas.openxmlformats.org/package/2006/content-types">
  <Default Extension="xml" ContentType="application/xml"/>
  <Default Extension="xls" ContentType="application/vnd.ms-exce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72BC8">
      <w:pPr>
        <w:pStyle w:val="117"/>
        <w:ind w:firstLine="480"/>
        <w:rPr>
          <w:rFonts w:hint="eastAsia" w:ascii="宋体" w:hAnsi="宋体"/>
          <w:sz w:val="52"/>
        </w:rPr>
      </w:pPr>
      <w:bookmarkStart w:id="0" w:name="_Hlk162881951"/>
      <w:bookmarkEnd w:id="0"/>
      <w:bookmarkStart w:id="1" w:name="_Hlk211535001"/>
      <w:r>
        <w:drawing>
          <wp:anchor distT="0" distB="0" distL="0" distR="0" simplePos="0" relativeHeight="251659264" behindDoc="0" locked="0" layoutInCell="1" allowOverlap="1">
            <wp:simplePos x="0" y="0"/>
            <wp:positionH relativeFrom="margin">
              <wp:align>right</wp:align>
            </wp:positionH>
            <wp:positionV relativeFrom="paragraph">
              <wp:posOffset>0</wp:posOffset>
            </wp:positionV>
            <wp:extent cx="716280" cy="784860"/>
            <wp:effectExtent l="0" t="0" r="7620" b="0"/>
            <wp:wrapNone/>
            <wp:docPr id="1026" name="图片 3"/>
            <wp:cNvGraphicFramePr/>
            <a:graphic xmlns:a="http://schemas.openxmlformats.org/drawingml/2006/main">
              <a:graphicData uri="http://schemas.openxmlformats.org/drawingml/2006/picture">
                <pic:pic xmlns:pic="http://schemas.openxmlformats.org/drawingml/2006/picture">
                  <pic:nvPicPr>
                    <pic:cNvPr id="1026" name="图片 3"/>
                    <pic:cNvPicPr/>
                  </pic:nvPicPr>
                  <pic:blipFill>
                    <a:blip r:embed="rId32" cstate="print"/>
                    <a:srcRect/>
                    <a:stretch>
                      <a:fillRect/>
                    </a:stretch>
                  </pic:blipFill>
                  <pic:spPr>
                    <a:xfrm>
                      <a:off x="0" y="0"/>
                      <a:ext cx="716280" cy="784860"/>
                    </a:xfrm>
                    <a:prstGeom prst="rect">
                      <a:avLst/>
                    </a:prstGeom>
                    <a:ln>
                      <a:noFill/>
                    </a:ln>
                  </pic:spPr>
                </pic:pic>
              </a:graphicData>
            </a:graphic>
          </wp:anchor>
        </w:drawing>
      </w:r>
    </w:p>
    <w:p w14:paraId="277772C5">
      <w:pPr>
        <w:pStyle w:val="117"/>
        <w:ind w:firstLine="480"/>
      </w:pPr>
    </w:p>
    <w:p w14:paraId="2C7AC49D">
      <w:pPr>
        <w:pStyle w:val="117"/>
        <w:ind w:firstLine="480"/>
      </w:pPr>
    </w:p>
    <w:p w14:paraId="7CD574BA">
      <w:pPr>
        <w:pStyle w:val="117"/>
        <w:ind w:firstLine="480"/>
      </w:pPr>
    </w:p>
    <w:p w14:paraId="23EBFE88">
      <w:pPr>
        <w:adjustRightInd w:val="0"/>
        <w:snapToGrid w:val="0"/>
        <w:spacing w:line="240" w:lineRule="auto"/>
        <w:ind w:firstLine="0" w:firstLineChars="0"/>
        <w:jc w:val="center"/>
        <w:rPr>
          <w:rFonts w:hint="eastAsia" w:ascii="黑体" w:hAnsi="黑体" w:eastAsia="黑体" w:cs="宋体"/>
          <w:b/>
          <w:snapToGrid w:val="0"/>
          <w:sz w:val="44"/>
          <w:szCs w:val="44"/>
        </w:rPr>
      </w:pPr>
      <w:bookmarkStart w:id="2" w:name="_Hlk211538073"/>
      <w:r>
        <w:rPr>
          <w:rFonts w:hint="eastAsia" w:ascii="黑体" w:hAnsi="黑体" w:eastAsia="黑体" w:cs="宋体"/>
          <w:b/>
          <w:snapToGrid w:val="0"/>
          <w:sz w:val="44"/>
          <w:szCs w:val="44"/>
        </w:rPr>
        <w:t>新疆金盛镁</w:t>
      </w:r>
      <w:bookmarkStart w:id="849" w:name="_GoBack"/>
      <w:bookmarkEnd w:id="849"/>
      <w:r>
        <w:rPr>
          <w:rFonts w:hint="eastAsia" w:ascii="黑体" w:hAnsi="黑体" w:eastAsia="黑体" w:cs="宋体"/>
          <w:b/>
          <w:snapToGrid w:val="0"/>
          <w:sz w:val="44"/>
          <w:szCs w:val="44"/>
        </w:rPr>
        <w:t>业有限公司</w:t>
      </w:r>
    </w:p>
    <w:p w14:paraId="2F905DBB">
      <w:pPr>
        <w:adjustRightInd w:val="0"/>
        <w:snapToGrid w:val="0"/>
        <w:spacing w:line="240" w:lineRule="auto"/>
        <w:ind w:firstLine="0" w:firstLineChars="0"/>
        <w:jc w:val="center"/>
        <w:rPr>
          <w:rFonts w:hint="eastAsia" w:ascii="黑体" w:hAnsi="黑体" w:eastAsia="黑体" w:cs="宋体"/>
          <w:b/>
          <w:snapToGrid w:val="0"/>
          <w:sz w:val="44"/>
          <w:szCs w:val="44"/>
        </w:rPr>
      </w:pPr>
      <w:r>
        <w:rPr>
          <w:rFonts w:hint="eastAsia" w:ascii="黑体" w:hAnsi="黑体" w:eastAsia="黑体" w:cs="宋体"/>
          <w:b/>
          <w:snapToGrid w:val="0"/>
          <w:sz w:val="44"/>
          <w:szCs w:val="44"/>
        </w:rPr>
        <w:t>镁合金产业循环经济建设技术改造提升项目</w:t>
      </w:r>
    </w:p>
    <w:bookmarkEnd w:id="2"/>
    <w:p w14:paraId="50689CDC">
      <w:pPr>
        <w:pStyle w:val="117"/>
        <w:ind w:firstLine="480"/>
        <w:rPr>
          <w:rFonts w:hint="eastAsia" w:ascii="黑体" w:hAnsi="黑体" w:eastAsia="黑体"/>
          <w:snapToGrid w:val="0"/>
        </w:rPr>
      </w:pPr>
    </w:p>
    <w:p w14:paraId="58567A2A">
      <w:pPr>
        <w:adjustRightInd w:val="0"/>
        <w:ind w:firstLine="0" w:firstLineChars="0"/>
        <w:jc w:val="center"/>
        <w:rPr>
          <w:rFonts w:hint="eastAsia" w:ascii="黑体" w:hAnsi="黑体" w:eastAsia="黑体" w:cs="宋体"/>
          <w:b/>
          <w:spacing w:val="20"/>
          <w:sz w:val="72"/>
          <w:szCs w:val="72"/>
        </w:rPr>
      </w:pPr>
      <w:r>
        <w:rPr>
          <w:rFonts w:hint="eastAsia" w:ascii="黑体" w:hAnsi="黑体" w:eastAsia="黑体" w:cs="宋体"/>
          <w:b/>
          <w:spacing w:val="20"/>
          <w:sz w:val="72"/>
          <w:szCs w:val="72"/>
        </w:rPr>
        <w:t>环境影响报告书</w:t>
      </w:r>
    </w:p>
    <w:p w14:paraId="089979B9">
      <w:pPr>
        <w:adjustRightInd w:val="0"/>
        <w:ind w:firstLine="0" w:firstLineChars="0"/>
        <w:jc w:val="center"/>
        <w:rPr>
          <w:rFonts w:hint="eastAsia" w:ascii="黑体" w:hAnsi="黑体" w:eastAsia="黑体" w:cs="宋体"/>
          <w:b/>
          <w:bCs/>
          <w:spacing w:val="20"/>
          <w:sz w:val="72"/>
          <w:szCs w:val="72"/>
        </w:rPr>
      </w:pPr>
      <w:r>
        <w:rPr>
          <w:rFonts w:hint="eastAsia" w:ascii="黑体" w:hAnsi="黑体" w:eastAsia="黑体"/>
          <w:b/>
          <w:bCs/>
        </w:rPr>
        <w:t>（公示稿）</w:t>
      </w:r>
    </w:p>
    <w:p w14:paraId="02DF673B">
      <w:pPr>
        <w:pStyle w:val="117"/>
        <w:ind w:firstLine="0" w:firstLineChars="0"/>
        <w:jc w:val="center"/>
        <w:rPr>
          <w:rFonts w:hint="eastAsia" w:ascii="黑体" w:hAnsi="黑体" w:eastAsia="黑体" w:cs="Times New Roman"/>
        </w:rPr>
      </w:pPr>
    </w:p>
    <w:p w14:paraId="4F87FEAD">
      <w:pPr>
        <w:pStyle w:val="133"/>
      </w:pPr>
    </w:p>
    <w:p w14:paraId="2F420E30">
      <w:pPr>
        <w:pStyle w:val="133"/>
      </w:pPr>
    </w:p>
    <w:p w14:paraId="14272207">
      <w:pPr>
        <w:pStyle w:val="133"/>
      </w:pPr>
    </w:p>
    <w:p w14:paraId="3C51312C">
      <w:pPr>
        <w:pStyle w:val="133"/>
      </w:pPr>
    </w:p>
    <w:p w14:paraId="11D83B88">
      <w:pPr>
        <w:pStyle w:val="133"/>
      </w:pPr>
    </w:p>
    <w:p w14:paraId="2F707C04">
      <w:pPr>
        <w:pStyle w:val="133"/>
      </w:pPr>
    </w:p>
    <w:p w14:paraId="0952745B">
      <w:pPr>
        <w:pStyle w:val="133"/>
      </w:pPr>
    </w:p>
    <w:p w14:paraId="3B4684CD">
      <w:pPr>
        <w:pStyle w:val="133"/>
      </w:pPr>
    </w:p>
    <w:p w14:paraId="1B6179BA">
      <w:pPr>
        <w:pStyle w:val="133"/>
      </w:pPr>
    </w:p>
    <w:p w14:paraId="05879277">
      <w:pPr>
        <w:pStyle w:val="133"/>
      </w:pPr>
    </w:p>
    <w:p w14:paraId="3D0A940E">
      <w:pPr>
        <w:pStyle w:val="133"/>
      </w:pPr>
    </w:p>
    <w:p w14:paraId="59DEB919">
      <w:pPr>
        <w:pStyle w:val="133"/>
      </w:pPr>
    </w:p>
    <w:p w14:paraId="506FD005">
      <w:pPr>
        <w:pStyle w:val="133"/>
      </w:pPr>
    </w:p>
    <w:p w14:paraId="6C8C24C8">
      <w:pPr>
        <w:pStyle w:val="133"/>
      </w:pPr>
    </w:p>
    <w:p w14:paraId="576C0C1C">
      <w:pPr>
        <w:adjustRightInd w:val="0"/>
        <w:ind w:left="960" w:leftChars="400" w:firstLine="0" w:firstLineChars="0"/>
        <w:jc w:val="center"/>
        <w:rPr>
          <w:rFonts w:hint="eastAsia" w:ascii="黑体" w:hAnsi="黑体" w:eastAsia="黑体" w:cs="宋体"/>
          <w:bCs/>
          <w:sz w:val="32"/>
          <w:szCs w:val="20"/>
        </w:rPr>
      </w:pPr>
      <w:r>
        <w:rPr>
          <w:rFonts w:hint="eastAsia" w:ascii="黑体" w:hAnsi="黑体" w:eastAsia="黑体" w:cs="宋体"/>
          <w:bCs/>
          <w:sz w:val="32"/>
          <w:szCs w:val="20"/>
        </w:rPr>
        <w:t>建设单位：新疆金盛镁业有限公司</w:t>
      </w:r>
    </w:p>
    <w:p w14:paraId="671966F6">
      <w:pPr>
        <w:adjustRightInd w:val="0"/>
        <w:ind w:left="960" w:leftChars="400" w:firstLine="0" w:firstLineChars="0"/>
        <w:jc w:val="center"/>
        <w:rPr>
          <w:rFonts w:hint="eastAsia" w:ascii="黑体" w:hAnsi="黑体" w:eastAsia="黑体" w:cs="宋体"/>
          <w:bCs/>
          <w:sz w:val="32"/>
          <w:szCs w:val="20"/>
        </w:rPr>
      </w:pPr>
      <w:r>
        <w:rPr>
          <w:rFonts w:hint="eastAsia" w:ascii="黑体" w:hAnsi="黑体" w:eastAsia="黑体" w:cs="宋体"/>
          <w:bCs/>
          <w:sz w:val="32"/>
          <w:szCs w:val="20"/>
        </w:rPr>
        <w:t>编制单位：新疆寰宇工程咨询有限公司</w:t>
      </w:r>
    </w:p>
    <w:p w14:paraId="548FCE92">
      <w:pPr>
        <w:adjustRightInd w:val="0"/>
        <w:ind w:firstLine="0" w:firstLineChars="0"/>
        <w:jc w:val="center"/>
        <w:rPr>
          <w:rFonts w:hint="eastAsia" w:ascii="黑体" w:hAnsi="黑体" w:eastAsia="黑体" w:cs="宋体"/>
          <w:bCs/>
          <w:sz w:val="32"/>
          <w:szCs w:val="20"/>
        </w:rPr>
      </w:pPr>
    </w:p>
    <w:p w14:paraId="2BF4A3C3">
      <w:pPr>
        <w:adjustRightInd w:val="0"/>
        <w:ind w:firstLine="0" w:firstLineChars="0"/>
        <w:jc w:val="center"/>
        <w:rPr>
          <w:rFonts w:hint="eastAsia" w:ascii="黑体" w:hAnsi="黑体" w:eastAsia="黑体" w:cs="宋体"/>
          <w:bCs/>
          <w:sz w:val="32"/>
          <w:szCs w:val="20"/>
        </w:rPr>
      </w:pPr>
      <w:r>
        <w:rPr>
          <w:rFonts w:hint="eastAsia" w:ascii="黑体" w:hAnsi="黑体" w:eastAsia="黑体" w:cs="宋体"/>
          <w:bCs/>
          <w:sz w:val="32"/>
          <w:szCs w:val="20"/>
        </w:rPr>
        <w:t>二〇</w:t>
      </w:r>
      <w:r>
        <w:rPr>
          <w:rFonts w:hint="eastAsia" w:ascii="黑体" w:hAnsi="黑体" w:eastAsia="黑体" w:cs="楷体_GB2312"/>
          <w:bCs/>
          <w:sz w:val="32"/>
          <w:szCs w:val="20"/>
        </w:rPr>
        <w:t>二五年十月</w:t>
      </w:r>
    </w:p>
    <w:bookmarkEnd w:id="1"/>
    <w:p w14:paraId="71FFA6FA">
      <w:pPr>
        <w:widowControl/>
        <w:spacing w:line="240" w:lineRule="auto"/>
        <w:ind w:firstLine="0" w:firstLineChars="0"/>
        <w:jc w:val="left"/>
        <w:rPr>
          <w:rFonts w:hint="eastAsia" w:ascii="宋体" w:hAnsi="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191" w:bottom="1440" w:left="1191" w:header="851" w:footer="1026" w:gutter="0"/>
          <w:pgNumType w:fmt="lowerRoman" w:start="1"/>
          <w:cols w:space="720" w:num="1"/>
          <w:docGrid w:type="linesAndChars" w:linePitch="312" w:charSpace="0"/>
        </w:sectPr>
      </w:pPr>
    </w:p>
    <w:p w14:paraId="77B5CB17">
      <w:pPr>
        <w:adjustRightInd w:val="0"/>
        <w:ind w:firstLine="0" w:firstLineChars="0"/>
        <w:rPr>
          <w:rFonts w:hint="eastAsia" w:ascii="宋体" w:hAnsi="宋体" w:cs="宋体"/>
        </w:rPr>
      </w:pPr>
    </w:p>
    <w:p w14:paraId="143D1E61">
      <w:pPr>
        <w:adjustRightInd w:val="0"/>
        <w:ind w:firstLine="0" w:firstLineChars="0"/>
        <w:rPr>
          <w:rFonts w:hint="eastAsia" w:ascii="宋体" w:hAnsi="宋体" w:cs="宋体"/>
        </w:rPr>
        <w:sectPr>
          <w:pgSz w:w="11906" w:h="16838"/>
          <w:pgMar w:top="1440" w:right="1797" w:bottom="1440" w:left="1797" w:header="851" w:footer="1026" w:gutter="0"/>
          <w:pgNumType w:fmt="lowerRoman" w:start="1"/>
          <w:cols w:space="720" w:num="1"/>
          <w:docGrid w:type="linesAndChars" w:linePitch="326" w:charSpace="0"/>
        </w:sectPr>
      </w:pPr>
    </w:p>
    <w:p w14:paraId="07C32DCF">
      <w:pPr>
        <w:pStyle w:val="43"/>
        <w:tabs>
          <w:tab w:val="right" w:leader="dot" w:pos="8296"/>
        </w:tabs>
        <w:ind w:firstLine="0" w:firstLineChars="0"/>
        <w:jc w:val="center"/>
        <w:rPr>
          <w:rFonts w:hint="eastAsia" w:ascii="黑体" w:hAnsi="黑体" w:eastAsia="黑体"/>
          <w:bCs/>
          <w:kern w:val="44"/>
        </w:rPr>
      </w:pPr>
      <w:bookmarkStart w:id="3" w:name="_Toc24907"/>
      <w:r>
        <w:rPr>
          <w:rStyle w:val="85"/>
          <w:rFonts w:ascii="黑体" w:hAnsi="黑体" w:eastAsia="黑体"/>
        </w:rPr>
        <w:t>目</w:t>
      </w:r>
      <w:r>
        <w:rPr>
          <w:rStyle w:val="85"/>
          <w:rFonts w:hint="eastAsia" w:ascii="黑体" w:hAnsi="黑体" w:eastAsia="黑体"/>
        </w:rPr>
        <w:t xml:space="preserve"> </w:t>
      </w:r>
      <w:r>
        <w:rPr>
          <w:rStyle w:val="85"/>
          <w:rFonts w:ascii="黑体" w:hAnsi="黑体" w:eastAsia="黑体"/>
        </w:rPr>
        <w:t>录</w:t>
      </w:r>
    </w:p>
    <w:p w14:paraId="65C10503">
      <w:pPr>
        <w:pStyle w:val="43"/>
        <w:tabs>
          <w:tab w:val="right" w:leader="dot" w:pos="8296"/>
        </w:tabs>
        <w:ind w:firstLine="482"/>
        <w:rPr>
          <w:rFonts w:ascii="Calibri" w:hAnsi="Calibri" w:cs="宋体"/>
          <w:kern w:val="2"/>
          <w:sz w:val="22"/>
        </w:rPr>
      </w:pPr>
      <w:r>
        <w:rPr>
          <w:rFonts w:ascii="宋体" w:hAnsi="宋体"/>
          <w:b/>
          <w:bCs/>
          <w:kern w:val="44"/>
        </w:rPr>
        <w:fldChar w:fldCharType="begin"/>
      </w:r>
      <w:r>
        <w:rPr>
          <w:rFonts w:ascii="宋体" w:hAnsi="宋体"/>
          <w:b/>
          <w:bCs/>
          <w:kern w:val="44"/>
        </w:rPr>
        <w:instrText xml:space="preserve"> TOC \o "1-2" \h \z \u </w:instrText>
      </w:r>
      <w:r>
        <w:rPr>
          <w:rFonts w:ascii="宋体" w:hAnsi="宋体"/>
          <w:b/>
          <w:bCs/>
          <w:kern w:val="44"/>
        </w:rPr>
        <w:fldChar w:fldCharType="separate"/>
      </w:r>
      <w:r>
        <w:fldChar w:fldCharType="begin"/>
      </w:r>
      <w:r>
        <w:instrText xml:space="preserve"> HYPERLINK \l "_Toc205291356" </w:instrText>
      </w:r>
      <w:r>
        <w:fldChar w:fldCharType="separate"/>
      </w:r>
      <w:r>
        <w:rPr>
          <w:rStyle w:val="79"/>
          <w:rFonts w:hint="eastAsia"/>
        </w:rPr>
        <w:t>概述</w:t>
      </w:r>
      <w:r>
        <w:rPr>
          <w:rFonts w:hint="eastAsia"/>
        </w:rPr>
        <w:tab/>
      </w:r>
      <w:r>
        <w:rPr>
          <w:rFonts w:hint="eastAsia"/>
        </w:rPr>
        <w:fldChar w:fldCharType="begin"/>
      </w:r>
      <w:r>
        <w:rPr>
          <w:rFonts w:hint="eastAsia"/>
        </w:rPr>
        <w:instrText xml:space="preserve"> </w:instrText>
      </w:r>
      <w:r>
        <w:instrText xml:space="preserve">PAGEREF _Toc205291356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38EA2160">
      <w:pPr>
        <w:pStyle w:val="56"/>
        <w:tabs>
          <w:tab w:val="right" w:leader="dot" w:pos="8296"/>
        </w:tabs>
        <w:ind w:left="480" w:firstLine="480"/>
        <w:rPr>
          <w:rFonts w:ascii="Calibri" w:hAnsi="Calibri" w:cs="宋体"/>
          <w:kern w:val="2"/>
          <w:sz w:val="22"/>
        </w:rPr>
      </w:pPr>
      <w:r>
        <w:fldChar w:fldCharType="begin"/>
      </w:r>
      <w:r>
        <w:instrText xml:space="preserve"> HYPERLINK \l "_Toc205291357" </w:instrText>
      </w:r>
      <w:r>
        <w:fldChar w:fldCharType="separate"/>
      </w:r>
      <w:r>
        <w:rPr>
          <w:rStyle w:val="79"/>
          <w:rFonts w:hint="eastAsia"/>
        </w:rPr>
        <w:t>1、建设项目的特点</w:t>
      </w:r>
      <w:r>
        <w:rPr>
          <w:rFonts w:hint="eastAsia"/>
        </w:rPr>
        <w:tab/>
      </w:r>
      <w:r>
        <w:rPr>
          <w:rFonts w:hint="eastAsia"/>
        </w:rPr>
        <w:fldChar w:fldCharType="begin"/>
      </w:r>
      <w:r>
        <w:rPr>
          <w:rFonts w:hint="eastAsia"/>
        </w:rPr>
        <w:instrText xml:space="preserve"> </w:instrText>
      </w:r>
      <w:r>
        <w:instrText xml:space="preserve">PAGEREF _Toc205291357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090F3F30">
      <w:pPr>
        <w:pStyle w:val="56"/>
        <w:tabs>
          <w:tab w:val="right" w:leader="dot" w:pos="8296"/>
        </w:tabs>
        <w:ind w:left="480" w:firstLine="480"/>
        <w:rPr>
          <w:rFonts w:ascii="Calibri" w:hAnsi="Calibri" w:cs="宋体"/>
          <w:kern w:val="2"/>
          <w:sz w:val="22"/>
        </w:rPr>
      </w:pPr>
      <w:r>
        <w:fldChar w:fldCharType="begin"/>
      </w:r>
      <w:r>
        <w:instrText xml:space="preserve"> HYPERLINK \l "_Toc205291358" </w:instrText>
      </w:r>
      <w:r>
        <w:fldChar w:fldCharType="separate"/>
      </w:r>
      <w:r>
        <w:rPr>
          <w:rStyle w:val="79"/>
          <w:rFonts w:hint="eastAsia"/>
        </w:rPr>
        <w:t>2、环境影响评价工作过程</w:t>
      </w:r>
      <w:r>
        <w:rPr>
          <w:rFonts w:hint="eastAsia"/>
        </w:rPr>
        <w:tab/>
      </w:r>
      <w:r>
        <w:rPr>
          <w:rFonts w:hint="eastAsia"/>
        </w:rPr>
        <w:fldChar w:fldCharType="begin"/>
      </w:r>
      <w:r>
        <w:rPr>
          <w:rFonts w:hint="eastAsia"/>
        </w:rPr>
        <w:instrText xml:space="preserve"> </w:instrText>
      </w:r>
      <w:r>
        <w:instrText xml:space="preserve">PAGEREF _Toc205291358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28F7C9B7">
      <w:pPr>
        <w:pStyle w:val="56"/>
        <w:tabs>
          <w:tab w:val="right" w:leader="dot" w:pos="8296"/>
        </w:tabs>
        <w:ind w:left="480" w:firstLine="480"/>
        <w:rPr>
          <w:rFonts w:ascii="Calibri" w:hAnsi="Calibri" w:cs="宋体"/>
          <w:kern w:val="2"/>
          <w:sz w:val="22"/>
        </w:rPr>
      </w:pPr>
      <w:r>
        <w:fldChar w:fldCharType="begin"/>
      </w:r>
      <w:r>
        <w:instrText xml:space="preserve"> HYPERLINK \l "_Toc205291359" </w:instrText>
      </w:r>
      <w:r>
        <w:fldChar w:fldCharType="separate"/>
      </w:r>
      <w:r>
        <w:rPr>
          <w:rStyle w:val="79"/>
          <w:rFonts w:hint="eastAsia"/>
        </w:rPr>
        <w:t>3、分析判定相关情况</w:t>
      </w:r>
      <w:r>
        <w:rPr>
          <w:rFonts w:hint="eastAsia"/>
        </w:rPr>
        <w:tab/>
      </w:r>
      <w:r>
        <w:rPr>
          <w:rFonts w:hint="eastAsia"/>
        </w:rPr>
        <w:fldChar w:fldCharType="begin"/>
      </w:r>
      <w:r>
        <w:rPr>
          <w:rFonts w:hint="eastAsia"/>
        </w:rPr>
        <w:instrText xml:space="preserve"> </w:instrText>
      </w:r>
      <w:r>
        <w:instrText xml:space="preserve">PAGEREF _Toc205291359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45022A93">
      <w:pPr>
        <w:pStyle w:val="56"/>
        <w:tabs>
          <w:tab w:val="right" w:leader="dot" w:pos="8296"/>
        </w:tabs>
        <w:ind w:left="480" w:firstLine="480"/>
        <w:rPr>
          <w:rFonts w:ascii="Calibri" w:hAnsi="Calibri" w:cs="宋体"/>
          <w:kern w:val="2"/>
          <w:sz w:val="22"/>
        </w:rPr>
      </w:pPr>
      <w:r>
        <w:fldChar w:fldCharType="begin"/>
      </w:r>
      <w:r>
        <w:instrText xml:space="preserve"> HYPERLINK \l "_Toc205291360" </w:instrText>
      </w:r>
      <w:r>
        <w:fldChar w:fldCharType="separate"/>
      </w:r>
      <w:r>
        <w:rPr>
          <w:rStyle w:val="79"/>
          <w:rFonts w:hint="eastAsia"/>
        </w:rPr>
        <w:t>4、关注的主要环境问题及环境影响</w:t>
      </w:r>
      <w:r>
        <w:rPr>
          <w:rFonts w:hint="eastAsia"/>
        </w:rPr>
        <w:tab/>
      </w:r>
      <w:r>
        <w:rPr>
          <w:rFonts w:hint="eastAsia"/>
        </w:rPr>
        <w:fldChar w:fldCharType="begin"/>
      </w:r>
      <w:r>
        <w:rPr>
          <w:rFonts w:hint="eastAsia"/>
        </w:rPr>
        <w:instrText xml:space="preserve"> </w:instrText>
      </w:r>
      <w:r>
        <w:instrText xml:space="preserve">PAGEREF _Toc205291360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7F2832F9">
      <w:pPr>
        <w:pStyle w:val="56"/>
        <w:tabs>
          <w:tab w:val="right" w:leader="dot" w:pos="8296"/>
        </w:tabs>
        <w:ind w:left="480" w:firstLine="480"/>
        <w:rPr>
          <w:rFonts w:ascii="Calibri" w:hAnsi="Calibri" w:cs="宋体"/>
          <w:kern w:val="2"/>
          <w:sz w:val="22"/>
        </w:rPr>
      </w:pPr>
      <w:r>
        <w:fldChar w:fldCharType="begin"/>
      </w:r>
      <w:r>
        <w:instrText xml:space="preserve"> HYPERLINK \l "_Toc205291361" </w:instrText>
      </w:r>
      <w:r>
        <w:fldChar w:fldCharType="separate"/>
      </w:r>
      <w:r>
        <w:rPr>
          <w:rStyle w:val="79"/>
          <w:rFonts w:hint="eastAsia"/>
        </w:rPr>
        <w:t>5、环境影响报告书的主要结论</w:t>
      </w:r>
      <w:r>
        <w:rPr>
          <w:rFonts w:hint="eastAsia"/>
        </w:rPr>
        <w:tab/>
      </w:r>
      <w:r>
        <w:rPr>
          <w:rFonts w:hint="eastAsia"/>
        </w:rPr>
        <w:fldChar w:fldCharType="begin"/>
      </w:r>
      <w:r>
        <w:rPr>
          <w:rFonts w:hint="eastAsia"/>
        </w:rPr>
        <w:instrText xml:space="preserve"> </w:instrText>
      </w:r>
      <w:r>
        <w:instrText xml:space="preserve">PAGEREF _Toc205291361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44387809">
      <w:pPr>
        <w:pStyle w:val="43"/>
        <w:tabs>
          <w:tab w:val="right" w:leader="dot" w:pos="8296"/>
        </w:tabs>
        <w:ind w:firstLine="480"/>
        <w:rPr>
          <w:rFonts w:ascii="Calibri" w:hAnsi="Calibri" w:cs="宋体"/>
          <w:kern w:val="2"/>
          <w:sz w:val="22"/>
        </w:rPr>
      </w:pPr>
      <w:r>
        <w:fldChar w:fldCharType="begin"/>
      </w:r>
      <w:r>
        <w:instrText xml:space="preserve"> HYPERLINK \l "_Toc205291362" </w:instrText>
      </w:r>
      <w:r>
        <w:fldChar w:fldCharType="separate"/>
      </w:r>
      <w:r>
        <w:rPr>
          <w:rStyle w:val="79"/>
          <w:rFonts w:hint="eastAsia"/>
        </w:rPr>
        <w:t>第1章 总则</w:t>
      </w:r>
      <w:r>
        <w:rPr>
          <w:rFonts w:hint="eastAsia"/>
        </w:rPr>
        <w:tab/>
      </w:r>
      <w:r>
        <w:rPr>
          <w:rFonts w:hint="eastAsia"/>
        </w:rPr>
        <w:fldChar w:fldCharType="begin"/>
      </w:r>
      <w:r>
        <w:rPr>
          <w:rFonts w:hint="eastAsia"/>
        </w:rPr>
        <w:instrText xml:space="preserve"> </w:instrText>
      </w:r>
      <w:r>
        <w:instrText xml:space="preserve">PAGEREF _Toc205291362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4561DB98">
      <w:pPr>
        <w:pStyle w:val="56"/>
        <w:tabs>
          <w:tab w:val="right" w:leader="dot" w:pos="8296"/>
        </w:tabs>
        <w:ind w:left="480" w:firstLine="480"/>
        <w:rPr>
          <w:rFonts w:ascii="Calibri" w:hAnsi="Calibri" w:cs="宋体"/>
          <w:kern w:val="2"/>
          <w:sz w:val="22"/>
        </w:rPr>
      </w:pPr>
      <w:r>
        <w:fldChar w:fldCharType="begin"/>
      </w:r>
      <w:r>
        <w:instrText xml:space="preserve"> HYPERLINK \l "_Toc205291363" </w:instrText>
      </w:r>
      <w:r>
        <w:fldChar w:fldCharType="separate"/>
      </w:r>
      <w:r>
        <w:rPr>
          <w:rStyle w:val="79"/>
          <w:rFonts w:hint="eastAsia"/>
        </w:rPr>
        <w:t>1.1 编制依据</w:t>
      </w:r>
      <w:r>
        <w:rPr>
          <w:rFonts w:hint="eastAsia"/>
        </w:rPr>
        <w:tab/>
      </w:r>
      <w:r>
        <w:rPr>
          <w:rFonts w:hint="eastAsia"/>
        </w:rPr>
        <w:fldChar w:fldCharType="begin"/>
      </w:r>
      <w:r>
        <w:rPr>
          <w:rFonts w:hint="eastAsia"/>
        </w:rPr>
        <w:instrText xml:space="preserve"> </w:instrText>
      </w:r>
      <w:r>
        <w:instrText xml:space="preserve">PAGEREF _Toc205291363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56322664">
      <w:pPr>
        <w:pStyle w:val="56"/>
        <w:tabs>
          <w:tab w:val="right" w:leader="dot" w:pos="8296"/>
        </w:tabs>
        <w:ind w:left="480" w:firstLine="480"/>
        <w:rPr>
          <w:rFonts w:ascii="Calibri" w:hAnsi="Calibri" w:cs="宋体"/>
          <w:kern w:val="2"/>
          <w:sz w:val="22"/>
        </w:rPr>
      </w:pPr>
      <w:r>
        <w:fldChar w:fldCharType="begin"/>
      </w:r>
      <w:r>
        <w:instrText xml:space="preserve"> HYPERLINK \l "_Toc205291364" </w:instrText>
      </w:r>
      <w:r>
        <w:fldChar w:fldCharType="separate"/>
      </w:r>
      <w:r>
        <w:rPr>
          <w:rStyle w:val="79"/>
          <w:rFonts w:hint="eastAsia"/>
        </w:rPr>
        <w:t>1.2 评价原则</w:t>
      </w:r>
      <w:r>
        <w:rPr>
          <w:rFonts w:hint="eastAsia"/>
        </w:rPr>
        <w:tab/>
      </w:r>
      <w:r>
        <w:rPr>
          <w:rFonts w:hint="eastAsia"/>
        </w:rPr>
        <w:fldChar w:fldCharType="begin"/>
      </w:r>
      <w:r>
        <w:rPr>
          <w:rFonts w:hint="eastAsia"/>
        </w:rPr>
        <w:instrText xml:space="preserve"> </w:instrText>
      </w:r>
      <w:r>
        <w:instrText xml:space="preserve">PAGEREF _Toc205291364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5CF7B1CD">
      <w:pPr>
        <w:pStyle w:val="56"/>
        <w:tabs>
          <w:tab w:val="right" w:leader="dot" w:pos="8296"/>
        </w:tabs>
        <w:ind w:left="480" w:firstLine="480"/>
        <w:rPr>
          <w:rFonts w:ascii="Calibri" w:hAnsi="Calibri" w:cs="宋体"/>
          <w:kern w:val="2"/>
          <w:sz w:val="22"/>
        </w:rPr>
      </w:pPr>
      <w:r>
        <w:fldChar w:fldCharType="begin"/>
      </w:r>
      <w:r>
        <w:instrText xml:space="preserve"> HYPERLINK \l "_Toc205291365" </w:instrText>
      </w:r>
      <w:r>
        <w:fldChar w:fldCharType="separate"/>
      </w:r>
      <w:r>
        <w:rPr>
          <w:rStyle w:val="79"/>
          <w:rFonts w:hint="eastAsia"/>
        </w:rPr>
        <w:t>1.3 环境影响识别及评价因子筛选</w:t>
      </w:r>
      <w:r>
        <w:rPr>
          <w:rFonts w:hint="eastAsia"/>
        </w:rPr>
        <w:tab/>
      </w:r>
      <w:r>
        <w:rPr>
          <w:rFonts w:hint="eastAsia"/>
        </w:rPr>
        <w:fldChar w:fldCharType="begin"/>
      </w:r>
      <w:r>
        <w:rPr>
          <w:rFonts w:hint="eastAsia"/>
        </w:rPr>
        <w:instrText xml:space="preserve"> </w:instrText>
      </w:r>
      <w:r>
        <w:instrText xml:space="preserve">PAGEREF _Toc205291365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256CFFC2">
      <w:pPr>
        <w:pStyle w:val="56"/>
        <w:tabs>
          <w:tab w:val="right" w:leader="dot" w:pos="8296"/>
        </w:tabs>
        <w:ind w:left="480" w:firstLine="480"/>
        <w:rPr>
          <w:rFonts w:ascii="Calibri" w:hAnsi="Calibri" w:cs="宋体"/>
          <w:kern w:val="2"/>
          <w:sz w:val="22"/>
        </w:rPr>
      </w:pPr>
      <w:r>
        <w:fldChar w:fldCharType="begin"/>
      </w:r>
      <w:r>
        <w:instrText xml:space="preserve"> HYPERLINK \l "_Toc205291366" </w:instrText>
      </w:r>
      <w:r>
        <w:fldChar w:fldCharType="separate"/>
      </w:r>
      <w:r>
        <w:rPr>
          <w:rStyle w:val="79"/>
          <w:rFonts w:hint="eastAsia"/>
        </w:rPr>
        <w:t>1.4 评价工作等级及评价范围</w:t>
      </w:r>
      <w:r>
        <w:rPr>
          <w:rFonts w:hint="eastAsia"/>
        </w:rPr>
        <w:tab/>
      </w:r>
      <w:r>
        <w:rPr>
          <w:rFonts w:hint="eastAsia"/>
        </w:rPr>
        <w:fldChar w:fldCharType="begin"/>
      </w:r>
      <w:r>
        <w:rPr>
          <w:rFonts w:hint="eastAsia"/>
        </w:rPr>
        <w:instrText xml:space="preserve"> </w:instrText>
      </w:r>
      <w:r>
        <w:instrText xml:space="preserve">PAGEREF _Toc205291366 \h</w:instrText>
      </w:r>
      <w:r>
        <w:rPr>
          <w:rFonts w:hint="eastAsia"/>
        </w:rPr>
        <w:instrText xml:space="preserve"> </w:instrText>
      </w:r>
      <w:r>
        <w:rPr>
          <w:rFonts w:hint="eastAsia"/>
        </w:rPr>
        <w:fldChar w:fldCharType="separate"/>
      </w:r>
      <w:r>
        <w:t>46</w:t>
      </w:r>
      <w:r>
        <w:rPr>
          <w:rFonts w:hint="eastAsia"/>
        </w:rPr>
        <w:fldChar w:fldCharType="end"/>
      </w:r>
      <w:r>
        <w:rPr>
          <w:rFonts w:hint="eastAsia"/>
        </w:rPr>
        <w:fldChar w:fldCharType="end"/>
      </w:r>
    </w:p>
    <w:p w14:paraId="619C79BC">
      <w:pPr>
        <w:pStyle w:val="56"/>
        <w:tabs>
          <w:tab w:val="right" w:leader="dot" w:pos="8296"/>
        </w:tabs>
        <w:ind w:left="480" w:firstLine="480"/>
        <w:rPr>
          <w:rFonts w:ascii="Calibri" w:hAnsi="Calibri" w:cs="宋体"/>
          <w:kern w:val="2"/>
          <w:sz w:val="22"/>
        </w:rPr>
      </w:pPr>
      <w:r>
        <w:fldChar w:fldCharType="begin"/>
      </w:r>
      <w:r>
        <w:instrText xml:space="preserve"> HYPERLINK \l "_Toc205291367" </w:instrText>
      </w:r>
      <w:r>
        <w:fldChar w:fldCharType="separate"/>
      </w:r>
      <w:r>
        <w:rPr>
          <w:rStyle w:val="79"/>
          <w:rFonts w:hint="eastAsia"/>
        </w:rPr>
        <w:t>1.5 环境质量功能区划及评价标准</w:t>
      </w:r>
      <w:r>
        <w:rPr>
          <w:rFonts w:hint="eastAsia"/>
        </w:rPr>
        <w:tab/>
      </w:r>
      <w:r>
        <w:rPr>
          <w:rFonts w:hint="eastAsia"/>
        </w:rPr>
        <w:fldChar w:fldCharType="begin"/>
      </w:r>
      <w:r>
        <w:rPr>
          <w:rFonts w:hint="eastAsia"/>
        </w:rPr>
        <w:instrText xml:space="preserve"> </w:instrText>
      </w:r>
      <w:r>
        <w:instrText xml:space="preserve">PAGEREF _Toc205291367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4AF70D58">
      <w:pPr>
        <w:pStyle w:val="56"/>
        <w:tabs>
          <w:tab w:val="right" w:leader="dot" w:pos="8296"/>
        </w:tabs>
        <w:ind w:left="480" w:firstLine="480"/>
        <w:rPr>
          <w:rFonts w:ascii="Calibri" w:hAnsi="Calibri" w:cs="宋体"/>
          <w:kern w:val="2"/>
          <w:sz w:val="22"/>
        </w:rPr>
      </w:pPr>
      <w:r>
        <w:fldChar w:fldCharType="begin"/>
      </w:r>
      <w:r>
        <w:instrText xml:space="preserve"> HYPERLINK \l "_Toc205291368" </w:instrText>
      </w:r>
      <w:r>
        <w:fldChar w:fldCharType="separate"/>
      </w:r>
      <w:r>
        <w:rPr>
          <w:rStyle w:val="79"/>
          <w:rFonts w:hint="eastAsia"/>
        </w:rPr>
        <w:t>1.6 评价内容与评价重点</w:t>
      </w:r>
      <w:r>
        <w:rPr>
          <w:rFonts w:hint="eastAsia"/>
        </w:rPr>
        <w:tab/>
      </w:r>
      <w:r>
        <w:rPr>
          <w:rFonts w:hint="eastAsia"/>
        </w:rPr>
        <w:fldChar w:fldCharType="begin"/>
      </w:r>
      <w:r>
        <w:rPr>
          <w:rFonts w:hint="eastAsia"/>
        </w:rPr>
        <w:instrText xml:space="preserve"> </w:instrText>
      </w:r>
      <w:r>
        <w:instrText xml:space="preserve">PAGEREF _Toc205291368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02C7BFF7">
      <w:pPr>
        <w:pStyle w:val="56"/>
        <w:tabs>
          <w:tab w:val="right" w:leader="dot" w:pos="8296"/>
        </w:tabs>
        <w:ind w:left="480" w:firstLine="480"/>
        <w:rPr>
          <w:rFonts w:ascii="Calibri" w:hAnsi="Calibri" w:cs="宋体"/>
          <w:kern w:val="2"/>
          <w:sz w:val="22"/>
        </w:rPr>
      </w:pPr>
      <w:r>
        <w:fldChar w:fldCharType="begin"/>
      </w:r>
      <w:r>
        <w:instrText xml:space="preserve"> HYPERLINK \l "_Toc205291369" </w:instrText>
      </w:r>
      <w:r>
        <w:fldChar w:fldCharType="separate"/>
      </w:r>
      <w:r>
        <w:rPr>
          <w:rStyle w:val="79"/>
          <w:rFonts w:hint="eastAsia"/>
        </w:rPr>
        <w:t>1.7 环境保护目标</w:t>
      </w:r>
      <w:r>
        <w:rPr>
          <w:rFonts w:hint="eastAsia"/>
        </w:rPr>
        <w:tab/>
      </w:r>
      <w:r>
        <w:rPr>
          <w:rFonts w:hint="eastAsia"/>
        </w:rPr>
        <w:fldChar w:fldCharType="begin"/>
      </w:r>
      <w:r>
        <w:rPr>
          <w:rFonts w:hint="eastAsia"/>
        </w:rPr>
        <w:instrText xml:space="preserve"> </w:instrText>
      </w:r>
      <w:r>
        <w:instrText xml:space="preserve">PAGEREF _Toc205291369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14:paraId="441C15C9">
      <w:pPr>
        <w:pStyle w:val="43"/>
        <w:tabs>
          <w:tab w:val="right" w:leader="dot" w:pos="8296"/>
        </w:tabs>
        <w:ind w:firstLine="480"/>
        <w:rPr>
          <w:rFonts w:ascii="Calibri" w:hAnsi="Calibri" w:cs="宋体"/>
          <w:kern w:val="2"/>
          <w:sz w:val="22"/>
        </w:rPr>
      </w:pPr>
      <w:r>
        <w:fldChar w:fldCharType="begin"/>
      </w:r>
      <w:r>
        <w:instrText xml:space="preserve"> HYPERLINK \l "_Toc205291370" </w:instrText>
      </w:r>
      <w:r>
        <w:fldChar w:fldCharType="separate"/>
      </w:r>
      <w:r>
        <w:rPr>
          <w:rStyle w:val="79"/>
          <w:rFonts w:hint="eastAsia"/>
        </w:rPr>
        <w:t>第2章 现有工程回顾性调查与评价</w:t>
      </w:r>
      <w:r>
        <w:rPr>
          <w:rFonts w:hint="eastAsia"/>
        </w:rPr>
        <w:tab/>
      </w:r>
      <w:r>
        <w:rPr>
          <w:rFonts w:hint="eastAsia"/>
        </w:rPr>
        <w:fldChar w:fldCharType="begin"/>
      </w:r>
      <w:r>
        <w:rPr>
          <w:rFonts w:hint="eastAsia"/>
        </w:rPr>
        <w:instrText xml:space="preserve"> </w:instrText>
      </w:r>
      <w:r>
        <w:instrText xml:space="preserve">PAGEREF _Toc205291370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047C9C90">
      <w:pPr>
        <w:pStyle w:val="56"/>
        <w:tabs>
          <w:tab w:val="right" w:leader="dot" w:pos="8296"/>
        </w:tabs>
        <w:ind w:left="480" w:firstLine="480"/>
        <w:rPr>
          <w:rFonts w:ascii="Calibri" w:hAnsi="Calibri" w:cs="宋体"/>
          <w:kern w:val="2"/>
          <w:sz w:val="22"/>
        </w:rPr>
      </w:pPr>
      <w:r>
        <w:fldChar w:fldCharType="begin"/>
      </w:r>
      <w:r>
        <w:instrText xml:space="preserve"> HYPERLINK \l "_Toc205291371" </w:instrText>
      </w:r>
      <w:r>
        <w:fldChar w:fldCharType="separate"/>
      </w:r>
      <w:r>
        <w:rPr>
          <w:rStyle w:val="79"/>
          <w:rFonts w:hint="eastAsia"/>
        </w:rPr>
        <w:t>2.1 现有工程基本情况</w:t>
      </w:r>
      <w:r>
        <w:rPr>
          <w:rFonts w:hint="eastAsia"/>
        </w:rPr>
        <w:tab/>
      </w:r>
      <w:r>
        <w:rPr>
          <w:rFonts w:hint="eastAsia"/>
        </w:rPr>
        <w:fldChar w:fldCharType="begin"/>
      </w:r>
      <w:r>
        <w:rPr>
          <w:rFonts w:hint="eastAsia"/>
        </w:rPr>
        <w:instrText xml:space="preserve"> </w:instrText>
      </w:r>
      <w:r>
        <w:instrText xml:space="preserve">PAGEREF _Toc205291371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3B8EF0F1">
      <w:pPr>
        <w:pStyle w:val="56"/>
        <w:tabs>
          <w:tab w:val="right" w:leader="dot" w:pos="8296"/>
        </w:tabs>
        <w:ind w:left="480" w:firstLine="480"/>
        <w:rPr>
          <w:rFonts w:ascii="Calibri" w:hAnsi="Calibri" w:cs="宋体"/>
          <w:kern w:val="2"/>
          <w:sz w:val="22"/>
        </w:rPr>
      </w:pPr>
      <w:r>
        <w:fldChar w:fldCharType="begin"/>
      </w:r>
      <w:r>
        <w:instrText xml:space="preserve"> HYPERLINK \l "_Toc205291372" </w:instrText>
      </w:r>
      <w:r>
        <w:fldChar w:fldCharType="separate"/>
      </w:r>
      <w:r>
        <w:rPr>
          <w:rStyle w:val="79"/>
          <w:rFonts w:hint="eastAsia"/>
        </w:rPr>
        <w:t>2.2 现有工程生产工艺路线及生产规模</w:t>
      </w:r>
      <w:r>
        <w:rPr>
          <w:rFonts w:hint="eastAsia"/>
        </w:rPr>
        <w:tab/>
      </w:r>
      <w:r>
        <w:rPr>
          <w:rFonts w:hint="eastAsia"/>
        </w:rPr>
        <w:fldChar w:fldCharType="begin"/>
      </w:r>
      <w:r>
        <w:rPr>
          <w:rFonts w:hint="eastAsia"/>
        </w:rPr>
        <w:instrText xml:space="preserve"> </w:instrText>
      </w:r>
      <w:r>
        <w:instrText xml:space="preserve">PAGEREF _Toc205291372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75BE22F7">
      <w:pPr>
        <w:pStyle w:val="56"/>
        <w:tabs>
          <w:tab w:val="right" w:leader="dot" w:pos="8296"/>
        </w:tabs>
        <w:ind w:left="480" w:firstLine="480"/>
        <w:rPr>
          <w:rFonts w:ascii="Calibri" w:hAnsi="Calibri" w:cs="宋体"/>
          <w:kern w:val="2"/>
          <w:sz w:val="22"/>
        </w:rPr>
      </w:pPr>
      <w:r>
        <w:fldChar w:fldCharType="begin"/>
      </w:r>
      <w:r>
        <w:instrText xml:space="preserve"> HYPERLINK \l "_Toc205291373" </w:instrText>
      </w:r>
      <w:r>
        <w:fldChar w:fldCharType="separate"/>
      </w:r>
      <w:r>
        <w:rPr>
          <w:rStyle w:val="79"/>
          <w:rFonts w:hint="eastAsia"/>
        </w:rPr>
        <w:t>2.3 现有工程污染物达标排放情况</w:t>
      </w:r>
      <w:r>
        <w:rPr>
          <w:rFonts w:hint="eastAsia"/>
        </w:rPr>
        <w:tab/>
      </w:r>
      <w:r>
        <w:rPr>
          <w:rFonts w:hint="eastAsia"/>
        </w:rPr>
        <w:fldChar w:fldCharType="begin"/>
      </w:r>
      <w:r>
        <w:rPr>
          <w:rFonts w:hint="eastAsia"/>
        </w:rPr>
        <w:instrText xml:space="preserve"> </w:instrText>
      </w:r>
      <w:r>
        <w:instrText xml:space="preserve">PAGEREF _Toc205291373 \h</w:instrText>
      </w:r>
      <w:r>
        <w:rPr>
          <w:rFonts w:hint="eastAsia"/>
        </w:rPr>
        <w:instrText xml:space="preserve"> </w:instrText>
      </w:r>
      <w:r>
        <w:rPr>
          <w:rFonts w:hint="eastAsia"/>
        </w:rPr>
        <w:fldChar w:fldCharType="separate"/>
      </w:r>
      <w:r>
        <w:t>113</w:t>
      </w:r>
      <w:r>
        <w:rPr>
          <w:rFonts w:hint="eastAsia"/>
        </w:rPr>
        <w:fldChar w:fldCharType="end"/>
      </w:r>
      <w:r>
        <w:rPr>
          <w:rFonts w:hint="eastAsia"/>
        </w:rPr>
        <w:fldChar w:fldCharType="end"/>
      </w:r>
    </w:p>
    <w:p w14:paraId="1A5060A2">
      <w:pPr>
        <w:pStyle w:val="56"/>
        <w:tabs>
          <w:tab w:val="right" w:leader="dot" w:pos="8296"/>
        </w:tabs>
        <w:ind w:left="480" w:firstLine="480"/>
        <w:rPr>
          <w:rFonts w:ascii="Calibri" w:hAnsi="Calibri" w:cs="宋体"/>
          <w:kern w:val="2"/>
          <w:sz w:val="22"/>
        </w:rPr>
      </w:pPr>
      <w:r>
        <w:fldChar w:fldCharType="begin"/>
      </w:r>
      <w:r>
        <w:instrText xml:space="preserve"> HYPERLINK \l "_Toc205291374" </w:instrText>
      </w:r>
      <w:r>
        <w:fldChar w:fldCharType="separate"/>
      </w:r>
      <w:r>
        <w:rPr>
          <w:rStyle w:val="79"/>
          <w:rFonts w:hint="eastAsia"/>
        </w:rPr>
        <w:t>2.4 环保制度执行情况</w:t>
      </w:r>
      <w:r>
        <w:rPr>
          <w:rFonts w:hint="eastAsia"/>
        </w:rPr>
        <w:tab/>
      </w:r>
      <w:r>
        <w:rPr>
          <w:rFonts w:hint="eastAsia"/>
        </w:rPr>
        <w:fldChar w:fldCharType="begin"/>
      </w:r>
      <w:r>
        <w:rPr>
          <w:rFonts w:hint="eastAsia"/>
        </w:rPr>
        <w:instrText xml:space="preserve"> </w:instrText>
      </w:r>
      <w:r>
        <w:instrText xml:space="preserve">PAGEREF _Toc205291374 \h</w:instrText>
      </w:r>
      <w:r>
        <w:rPr>
          <w:rFonts w:hint="eastAsia"/>
        </w:rPr>
        <w:instrText xml:space="preserve"> </w:instrText>
      </w:r>
      <w:r>
        <w:rPr>
          <w:rFonts w:hint="eastAsia"/>
        </w:rPr>
        <w:fldChar w:fldCharType="separate"/>
      </w:r>
      <w:r>
        <w:t>119</w:t>
      </w:r>
      <w:r>
        <w:rPr>
          <w:rFonts w:hint="eastAsia"/>
        </w:rPr>
        <w:fldChar w:fldCharType="end"/>
      </w:r>
      <w:r>
        <w:rPr>
          <w:rFonts w:hint="eastAsia"/>
        </w:rPr>
        <w:fldChar w:fldCharType="end"/>
      </w:r>
    </w:p>
    <w:p w14:paraId="1897E6EB">
      <w:pPr>
        <w:pStyle w:val="56"/>
        <w:tabs>
          <w:tab w:val="right" w:leader="dot" w:pos="8296"/>
        </w:tabs>
        <w:ind w:left="480" w:firstLine="480"/>
        <w:rPr>
          <w:rFonts w:ascii="Calibri" w:hAnsi="Calibri" w:cs="宋体"/>
          <w:kern w:val="2"/>
          <w:sz w:val="22"/>
        </w:rPr>
      </w:pPr>
      <w:r>
        <w:fldChar w:fldCharType="begin"/>
      </w:r>
      <w:r>
        <w:instrText xml:space="preserve"> HYPERLINK \l "_Toc205291375" </w:instrText>
      </w:r>
      <w:r>
        <w:fldChar w:fldCharType="separate"/>
      </w:r>
      <w:r>
        <w:rPr>
          <w:rStyle w:val="79"/>
          <w:rFonts w:hint="eastAsia"/>
        </w:rPr>
        <w:t>2.5 现有环境问题及“以新带老”环保措施</w:t>
      </w:r>
      <w:r>
        <w:rPr>
          <w:rFonts w:hint="eastAsia"/>
        </w:rPr>
        <w:tab/>
      </w:r>
      <w:r>
        <w:rPr>
          <w:rFonts w:hint="eastAsia"/>
        </w:rPr>
        <w:fldChar w:fldCharType="begin"/>
      </w:r>
      <w:r>
        <w:rPr>
          <w:rFonts w:hint="eastAsia"/>
        </w:rPr>
        <w:instrText xml:space="preserve"> </w:instrText>
      </w:r>
      <w:r>
        <w:instrText xml:space="preserve">PAGEREF _Toc205291375 \h</w:instrText>
      </w:r>
      <w:r>
        <w:rPr>
          <w:rFonts w:hint="eastAsia"/>
        </w:rPr>
        <w:instrText xml:space="preserve"> </w:instrText>
      </w:r>
      <w:r>
        <w:rPr>
          <w:rFonts w:hint="eastAsia"/>
        </w:rPr>
        <w:fldChar w:fldCharType="separate"/>
      </w:r>
      <w:r>
        <w:t>124</w:t>
      </w:r>
      <w:r>
        <w:rPr>
          <w:rFonts w:hint="eastAsia"/>
        </w:rPr>
        <w:fldChar w:fldCharType="end"/>
      </w:r>
      <w:r>
        <w:rPr>
          <w:rFonts w:hint="eastAsia"/>
        </w:rPr>
        <w:fldChar w:fldCharType="end"/>
      </w:r>
    </w:p>
    <w:p w14:paraId="16828477">
      <w:pPr>
        <w:pStyle w:val="43"/>
        <w:tabs>
          <w:tab w:val="right" w:leader="dot" w:pos="8296"/>
        </w:tabs>
        <w:ind w:firstLine="480"/>
        <w:rPr>
          <w:rFonts w:ascii="Calibri" w:hAnsi="Calibri" w:cs="宋体"/>
          <w:kern w:val="2"/>
          <w:sz w:val="22"/>
        </w:rPr>
      </w:pPr>
      <w:r>
        <w:fldChar w:fldCharType="begin"/>
      </w:r>
      <w:r>
        <w:instrText xml:space="preserve"> HYPERLINK \l "_Toc205291376" </w:instrText>
      </w:r>
      <w:r>
        <w:fldChar w:fldCharType="separate"/>
      </w:r>
      <w:r>
        <w:rPr>
          <w:rStyle w:val="79"/>
          <w:rFonts w:hint="eastAsia"/>
        </w:rPr>
        <w:t>第3章 建设项目工程分析</w:t>
      </w:r>
      <w:r>
        <w:rPr>
          <w:rFonts w:hint="eastAsia"/>
        </w:rPr>
        <w:tab/>
      </w:r>
      <w:r>
        <w:rPr>
          <w:rFonts w:hint="eastAsia"/>
        </w:rPr>
        <w:fldChar w:fldCharType="begin"/>
      </w:r>
      <w:r>
        <w:rPr>
          <w:rFonts w:hint="eastAsia"/>
        </w:rPr>
        <w:instrText xml:space="preserve"> </w:instrText>
      </w:r>
      <w:r>
        <w:instrText xml:space="preserve">PAGEREF _Toc205291376 \h</w:instrText>
      </w:r>
      <w:r>
        <w:rPr>
          <w:rFonts w:hint="eastAsia"/>
        </w:rPr>
        <w:instrText xml:space="preserve"> </w:instrText>
      </w:r>
      <w:r>
        <w:rPr>
          <w:rFonts w:hint="eastAsia"/>
        </w:rPr>
        <w:fldChar w:fldCharType="separate"/>
      </w:r>
      <w:r>
        <w:t>126</w:t>
      </w:r>
      <w:r>
        <w:rPr>
          <w:rFonts w:hint="eastAsia"/>
        </w:rPr>
        <w:fldChar w:fldCharType="end"/>
      </w:r>
      <w:r>
        <w:rPr>
          <w:rFonts w:hint="eastAsia"/>
        </w:rPr>
        <w:fldChar w:fldCharType="end"/>
      </w:r>
    </w:p>
    <w:p w14:paraId="28207A76">
      <w:pPr>
        <w:pStyle w:val="56"/>
        <w:tabs>
          <w:tab w:val="right" w:leader="dot" w:pos="8296"/>
        </w:tabs>
        <w:ind w:left="480" w:firstLine="480"/>
        <w:rPr>
          <w:rFonts w:ascii="Calibri" w:hAnsi="Calibri" w:cs="宋体"/>
          <w:kern w:val="2"/>
          <w:sz w:val="22"/>
        </w:rPr>
      </w:pPr>
      <w:r>
        <w:fldChar w:fldCharType="begin"/>
      </w:r>
      <w:r>
        <w:instrText xml:space="preserve"> HYPERLINK \l "_Toc205291377" </w:instrText>
      </w:r>
      <w:r>
        <w:fldChar w:fldCharType="separate"/>
      </w:r>
      <w:r>
        <w:rPr>
          <w:rStyle w:val="79"/>
          <w:rFonts w:hint="eastAsia"/>
        </w:rPr>
        <w:t>3.1 项目概况</w:t>
      </w:r>
      <w:r>
        <w:rPr>
          <w:rFonts w:hint="eastAsia"/>
        </w:rPr>
        <w:tab/>
      </w:r>
      <w:r>
        <w:rPr>
          <w:rFonts w:hint="eastAsia"/>
        </w:rPr>
        <w:fldChar w:fldCharType="begin"/>
      </w:r>
      <w:r>
        <w:rPr>
          <w:rFonts w:hint="eastAsia"/>
        </w:rPr>
        <w:instrText xml:space="preserve"> </w:instrText>
      </w:r>
      <w:r>
        <w:instrText xml:space="preserve">PAGEREF _Toc205291377 \h</w:instrText>
      </w:r>
      <w:r>
        <w:rPr>
          <w:rFonts w:hint="eastAsia"/>
        </w:rPr>
        <w:instrText xml:space="preserve"> </w:instrText>
      </w:r>
      <w:r>
        <w:rPr>
          <w:rFonts w:hint="eastAsia"/>
        </w:rPr>
        <w:fldChar w:fldCharType="separate"/>
      </w:r>
      <w:r>
        <w:t>126</w:t>
      </w:r>
      <w:r>
        <w:rPr>
          <w:rFonts w:hint="eastAsia"/>
        </w:rPr>
        <w:fldChar w:fldCharType="end"/>
      </w:r>
      <w:r>
        <w:rPr>
          <w:rFonts w:hint="eastAsia"/>
        </w:rPr>
        <w:fldChar w:fldCharType="end"/>
      </w:r>
    </w:p>
    <w:p w14:paraId="0106C14F">
      <w:pPr>
        <w:pStyle w:val="56"/>
        <w:tabs>
          <w:tab w:val="right" w:leader="dot" w:pos="8296"/>
        </w:tabs>
        <w:ind w:left="480" w:firstLine="480"/>
        <w:rPr>
          <w:rFonts w:ascii="Calibri" w:hAnsi="Calibri" w:cs="宋体"/>
          <w:kern w:val="2"/>
          <w:sz w:val="22"/>
        </w:rPr>
      </w:pPr>
      <w:r>
        <w:fldChar w:fldCharType="begin"/>
      </w:r>
      <w:r>
        <w:instrText xml:space="preserve"> HYPERLINK \l "_Toc205291378" </w:instrText>
      </w:r>
      <w:r>
        <w:fldChar w:fldCharType="separate"/>
      </w:r>
      <w:r>
        <w:rPr>
          <w:rStyle w:val="79"/>
          <w:rFonts w:hint="eastAsia"/>
        </w:rPr>
        <w:t>3.2 工艺方案</w:t>
      </w:r>
      <w:r>
        <w:rPr>
          <w:rFonts w:hint="eastAsia"/>
        </w:rPr>
        <w:tab/>
      </w:r>
      <w:r>
        <w:rPr>
          <w:rFonts w:hint="eastAsia"/>
        </w:rPr>
        <w:fldChar w:fldCharType="begin"/>
      </w:r>
      <w:r>
        <w:rPr>
          <w:rFonts w:hint="eastAsia"/>
        </w:rPr>
        <w:instrText xml:space="preserve"> </w:instrText>
      </w:r>
      <w:r>
        <w:instrText xml:space="preserve">PAGEREF _Toc205291378 \h</w:instrText>
      </w:r>
      <w:r>
        <w:rPr>
          <w:rFonts w:hint="eastAsia"/>
        </w:rPr>
        <w:instrText xml:space="preserve"> </w:instrText>
      </w:r>
      <w:r>
        <w:rPr>
          <w:rFonts w:hint="eastAsia"/>
        </w:rPr>
        <w:fldChar w:fldCharType="separate"/>
      </w:r>
      <w:r>
        <w:t>133</w:t>
      </w:r>
      <w:r>
        <w:rPr>
          <w:rFonts w:hint="eastAsia"/>
        </w:rPr>
        <w:fldChar w:fldCharType="end"/>
      </w:r>
      <w:r>
        <w:rPr>
          <w:rFonts w:hint="eastAsia"/>
        </w:rPr>
        <w:fldChar w:fldCharType="end"/>
      </w:r>
    </w:p>
    <w:p w14:paraId="7B32AF44">
      <w:pPr>
        <w:pStyle w:val="56"/>
        <w:tabs>
          <w:tab w:val="right" w:leader="dot" w:pos="8296"/>
        </w:tabs>
        <w:ind w:left="480" w:firstLine="480"/>
        <w:rPr>
          <w:rFonts w:ascii="Calibri" w:hAnsi="Calibri" w:cs="宋体"/>
          <w:kern w:val="2"/>
          <w:sz w:val="22"/>
        </w:rPr>
      </w:pPr>
      <w:r>
        <w:fldChar w:fldCharType="begin"/>
      </w:r>
      <w:r>
        <w:instrText xml:space="preserve"> HYPERLINK \l "_Toc205291379" </w:instrText>
      </w:r>
      <w:r>
        <w:fldChar w:fldCharType="separate"/>
      </w:r>
      <w:r>
        <w:rPr>
          <w:rStyle w:val="79"/>
          <w:rFonts w:hint="eastAsia"/>
        </w:rPr>
        <w:t>3.3 兰炭生产线</w:t>
      </w:r>
      <w:r>
        <w:rPr>
          <w:rFonts w:hint="eastAsia"/>
        </w:rPr>
        <w:tab/>
      </w:r>
      <w:r>
        <w:rPr>
          <w:rFonts w:hint="eastAsia"/>
        </w:rPr>
        <w:fldChar w:fldCharType="begin"/>
      </w:r>
      <w:r>
        <w:rPr>
          <w:rFonts w:hint="eastAsia"/>
        </w:rPr>
        <w:instrText xml:space="preserve"> </w:instrText>
      </w:r>
      <w:r>
        <w:instrText xml:space="preserve">PAGEREF _Toc205291379 \h</w:instrText>
      </w:r>
      <w:r>
        <w:rPr>
          <w:rFonts w:hint="eastAsia"/>
        </w:rPr>
        <w:instrText xml:space="preserve"> </w:instrText>
      </w:r>
      <w:r>
        <w:rPr>
          <w:rFonts w:hint="eastAsia"/>
        </w:rPr>
        <w:fldChar w:fldCharType="separate"/>
      </w:r>
      <w:r>
        <w:t>134</w:t>
      </w:r>
      <w:r>
        <w:rPr>
          <w:rFonts w:hint="eastAsia"/>
        </w:rPr>
        <w:fldChar w:fldCharType="end"/>
      </w:r>
      <w:r>
        <w:rPr>
          <w:rFonts w:hint="eastAsia"/>
        </w:rPr>
        <w:fldChar w:fldCharType="end"/>
      </w:r>
    </w:p>
    <w:p w14:paraId="627AAD0D">
      <w:pPr>
        <w:pStyle w:val="56"/>
        <w:tabs>
          <w:tab w:val="right" w:leader="dot" w:pos="8296"/>
        </w:tabs>
        <w:ind w:left="480" w:firstLine="480"/>
        <w:rPr>
          <w:rFonts w:ascii="Calibri" w:hAnsi="Calibri" w:cs="宋体"/>
          <w:kern w:val="2"/>
          <w:sz w:val="22"/>
        </w:rPr>
      </w:pPr>
      <w:r>
        <w:fldChar w:fldCharType="begin"/>
      </w:r>
      <w:r>
        <w:instrText xml:space="preserve"> HYPERLINK \l "_Toc205291380" </w:instrText>
      </w:r>
      <w:r>
        <w:fldChar w:fldCharType="separate"/>
      </w:r>
      <w:r>
        <w:rPr>
          <w:rStyle w:val="79"/>
          <w:rFonts w:hint="eastAsia"/>
        </w:rPr>
        <w:t>3.4 硅铁合金生产线</w:t>
      </w:r>
      <w:r>
        <w:rPr>
          <w:rFonts w:hint="eastAsia"/>
        </w:rPr>
        <w:tab/>
      </w:r>
      <w:r>
        <w:rPr>
          <w:rFonts w:hint="eastAsia"/>
        </w:rPr>
        <w:fldChar w:fldCharType="begin"/>
      </w:r>
      <w:r>
        <w:rPr>
          <w:rFonts w:hint="eastAsia"/>
        </w:rPr>
        <w:instrText xml:space="preserve"> </w:instrText>
      </w:r>
      <w:r>
        <w:instrText xml:space="preserve">PAGEREF _Toc205291380 \h</w:instrText>
      </w:r>
      <w:r>
        <w:rPr>
          <w:rFonts w:hint="eastAsia"/>
        </w:rPr>
        <w:instrText xml:space="preserve"> </w:instrText>
      </w:r>
      <w:r>
        <w:rPr>
          <w:rFonts w:hint="eastAsia"/>
        </w:rPr>
        <w:fldChar w:fldCharType="separate"/>
      </w:r>
      <w:r>
        <w:t>191</w:t>
      </w:r>
      <w:r>
        <w:rPr>
          <w:rFonts w:hint="eastAsia"/>
        </w:rPr>
        <w:fldChar w:fldCharType="end"/>
      </w:r>
      <w:r>
        <w:rPr>
          <w:rFonts w:hint="eastAsia"/>
        </w:rPr>
        <w:fldChar w:fldCharType="end"/>
      </w:r>
    </w:p>
    <w:p w14:paraId="174DBFF0">
      <w:pPr>
        <w:pStyle w:val="56"/>
        <w:tabs>
          <w:tab w:val="right" w:leader="dot" w:pos="8296"/>
        </w:tabs>
        <w:ind w:left="480" w:firstLine="480"/>
        <w:rPr>
          <w:rFonts w:ascii="Calibri" w:hAnsi="Calibri" w:cs="宋体"/>
          <w:kern w:val="2"/>
          <w:sz w:val="22"/>
        </w:rPr>
      </w:pPr>
      <w:r>
        <w:fldChar w:fldCharType="begin"/>
      </w:r>
      <w:r>
        <w:instrText xml:space="preserve"> HYPERLINK \l "_Toc205291381" </w:instrText>
      </w:r>
      <w:r>
        <w:fldChar w:fldCharType="separate"/>
      </w:r>
      <w:r>
        <w:rPr>
          <w:rStyle w:val="79"/>
          <w:rFonts w:hint="eastAsia"/>
        </w:rPr>
        <w:t>3.5 公辅工程</w:t>
      </w:r>
      <w:r>
        <w:rPr>
          <w:rFonts w:hint="eastAsia"/>
        </w:rPr>
        <w:tab/>
      </w:r>
      <w:r>
        <w:rPr>
          <w:rFonts w:hint="eastAsia"/>
        </w:rPr>
        <w:fldChar w:fldCharType="begin"/>
      </w:r>
      <w:r>
        <w:rPr>
          <w:rFonts w:hint="eastAsia"/>
        </w:rPr>
        <w:instrText xml:space="preserve"> </w:instrText>
      </w:r>
      <w:r>
        <w:instrText xml:space="preserve">PAGEREF _Toc205291381 \h</w:instrText>
      </w:r>
      <w:r>
        <w:rPr>
          <w:rFonts w:hint="eastAsia"/>
        </w:rPr>
        <w:instrText xml:space="preserve"> </w:instrText>
      </w:r>
      <w:r>
        <w:rPr>
          <w:rFonts w:hint="eastAsia"/>
        </w:rPr>
        <w:fldChar w:fldCharType="separate"/>
      </w:r>
      <w:r>
        <w:t>216</w:t>
      </w:r>
      <w:r>
        <w:rPr>
          <w:rFonts w:hint="eastAsia"/>
        </w:rPr>
        <w:fldChar w:fldCharType="end"/>
      </w:r>
      <w:r>
        <w:rPr>
          <w:rFonts w:hint="eastAsia"/>
        </w:rPr>
        <w:fldChar w:fldCharType="end"/>
      </w:r>
    </w:p>
    <w:p w14:paraId="1CC92977">
      <w:pPr>
        <w:pStyle w:val="56"/>
        <w:tabs>
          <w:tab w:val="right" w:leader="dot" w:pos="8296"/>
        </w:tabs>
        <w:ind w:left="480" w:firstLine="480"/>
        <w:rPr>
          <w:rFonts w:ascii="Calibri" w:hAnsi="Calibri" w:cs="宋体"/>
          <w:kern w:val="2"/>
          <w:sz w:val="22"/>
        </w:rPr>
      </w:pPr>
      <w:r>
        <w:fldChar w:fldCharType="begin"/>
      </w:r>
      <w:r>
        <w:instrText xml:space="preserve"> HYPERLINK \l "_Toc205291382" </w:instrText>
      </w:r>
      <w:r>
        <w:fldChar w:fldCharType="separate"/>
      </w:r>
      <w:r>
        <w:rPr>
          <w:rStyle w:val="79"/>
          <w:rFonts w:hint="eastAsia"/>
        </w:rPr>
        <w:t>3.6 施工期污染源源强核算</w:t>
      </w:r>
      <w:r>
        <w:rPr>
          <w:rFonts w:hint="eastAsia"/>
        </w:rPr>
        <w:tab/>
      </w:r>
      <w:r>
        <w:rPr>
          <w:rFonts w:hint="eastAsia"/>
        </w:rPr>
        <w:fldChar w:fldCharType="begin"/>
      </w:r>
      <w:r>
        <w:rPr>
          <w:rFonts w:hint="eastAsia"/>
        </w:rPr>
        <w:instrText xml:space="preserve"> </w:instrText>
      </w:r>
      <w:r>
        <w:instrText xml:space="preserve">PAGEREF _Toc205291382 \h</w:instrText>
      </w:r>
      <w:r>
        <w:rPr>
          <w:rFonts w:hint="eastAsia"/>
        </w:rPr>
        <w:instrText xml:space="preserve"> </w:instrText>
      </w:r>
      <w:r>
        <w:rPr>
          <w:rFonts w:hint="eastAsia"/>
        </w:rPr>
        <w:fldChar w:fldCharType="separate"/>
      </w:r>
      <w:r>
        <w:t>220</w:t>
      </w:r>
      <w:r>
        <w:rPr>
          <w:rFonts w:hint="eastAsia"/>
        </w:rPr>
        <w:fldChar w:fldCharType="end"/>
      </w:r>
      <w:r>
        <w:rPr>
          <w:rFonts w:hint="eastAsia"/>
        </w:rPr>
        <w:fldChar w:fldCharType="end"/>
      </w:r>
    </w:p>
    <w:p w14:paraId="6C487473">
      <w:pPr>
        <w:pStyle w:val="56"/>
        <w:tabs>
          <w:tab w:val="right" w:leader="dot" w:pos="8296"/>
        </w:tabs>
        <w:ind w:left="480" w:firstLine="480"/>
        <w:rPr>
          <w:rFonts w:ascii="Calibri" w:hAnsi="Calibri" w:cs="宋体"/>
          <w:kern w:val="2"/>
          <w:sz w:val="22"/>
        </w:rPr>
      </w:pPr>
      <w:r>
        <w:fldChar w:fldCharType="begin"/>
      </w:r>
      <w:r>
        <w:instrText xml:space="preserve"> HYPERLINK \l "_Toc205291383" </w:instrText>
      </w:r>
      <w:r>
        <w:fldChar w:fldCharType="separate"/>
      </w:r>
      <w:r>
        <w:rPr>
          <w:rStyle w:val="79"/>
          <w:rFonts w:hint="eastAsia"/>
        </w:rPr>
        <w:t>3.7 碳排放分析</w:t>
      </w:r>
      <w:r>
        <w:rPr>
          <w:rFonts w:hint="eastAsia"/>
        </w:rPr>
        <w:tab/>
      </w:r>
      <w:r>
        <w:rPr>
          <w:rFonts w:hint="eastAsia"/>
        </w:rPr>
        <w:fldChar w:fldCharType="begin"/>
      </w:r>
      <w:r>
        <w:rPr>
          <w:rFonts w:hint="eastAsia"/>
        </w:rPr>
        <w:instrText xml:space="preserve"> </w:instrText>
      </w:r>
      <w:r>
        <w:instrText xml:space="preserve">PAGEREF _Toc205291383 \h</w:instrText>
      </w:r>
      <w:r>
        <w:rPr>
          <w:rFonts w:hint="eastAsia"/>
        </w:rPr>
        <w:instrText xml:space="preserve"> </w:instrText>
      </w:r>
      <w:r>
        <w:rPr>
          <w:rFonts w:hint="eastAsia"/>
        </w:rPr>
        <w:fldChar w:fldCharType="separate"/>
      </w:r>
      <w:r>
        <w:t>223</w:t>
      </w:r>
      <w:r>
        <w:rPr>
          <w:rFonts w:hint="eastAsia"/>
        </w:rPr>
        <w:fldChar w:fldCharType="end"/>
      </w:r>
      <w:r>
        <w:rPr>
          <w:rFonts w:hint="eastAsia"/>
        </w:rPr>
        <w:fldChar w:fldCharType="end"/>
      </w:r>
    </w:p>
    <w:p w14:paraId="32A83ECA">
      <w:pPr>
        <w:pStyle w:val="56"/>
        <w:tabs>
          <w:tab w:val="right" w:leader="dot" w:pos="8296"/>
        </w:tabs>
        <w:ind w:left="480" w:firstLine="480"/>
        <w:rPr>
          <w:rFonts w:ascii="Calibri" w:hAnsi="Calibri" w:cs="宋体"/>
          <w:kern w:val="2"/>
          <w:sz w:val="22"/>
        </w:rPr>
      </w:pPr>
      <w:r>
        <w:fldChar w:fldCharType="begin"/>
      </w:r>
      <w:r>
        <w:instrText xml:space="preserve"> HYPERLINK \l "_Toc205291384" </w:instrText>
      </w:r>
      <w:r>
        <w:fldChar w:fldCharType="separate"/>
      </w:r>
      <w:r>
        <w:rPr>
          <w:rStyle w:val="79"/>
          <w:rFonts w:hint="eastAsia"/>
        </w:rPr>
        <w:t>3.8 清洁生产分析</w:t>
      </w:r>
      <w:r>
        <w:rPr>
          <w:rFonts w:hint="eastAsia"/>
        </w:rPr>
        <w:tab/>
      </w:r>
      <w:r>
        <w:rPr>
          <w:rFonts w:hint="eastAsia"/>
        </w:rPr>
        <w:fldChar w:fldCharType="begin"/>
      </w:r>
      <w:r>
        <w:rPr>
          <w:rFonts w:hint="eastAsia"/>
        </w:rPr>
        <w:instrText xml:space="preserve"> </w:instrText>
      </w:r>
      <w:r>
        <w:instrText xml:space="preserve">PAGEREF _Toc205291384 \h</w:instrText>
      </w:r>
      <w:r>
        <w:rPr>
          <w:rFonts w:hint="eastAsia"/>
        </w:rPr>
        <w:instrText xml:space="preserve"> </w:instrText>
      </w:r>
      <w:r>
        <w:rPr>
          <w:rFonts w:hint="eastAsia"/>
        </w:rPr>
        <w:fldChar w:fldCharType="separate"/>
      </w:r>
      <w:r>
        <w:t>225</w:t>
      </w:r>
      <w:r>
        <w:rPr>
          <w:rFonts w:hint="eastAsia"/>
        </w:rPr>
        <w:fldChar w:fldCharType="end"/>
      </w:r>
      <w:r>
        <w:rPr>
          <w:rFonts w:hint="eastAsia"/>
        </w:rPr>
        <w:fldChar w:fldCharType="end"/>
      </w:r>
    </w:p>
    <w:p w14:paraId="7B7D8B25">
      <w:pPr>
        <w:pStyle w:val="56"/>
        <w:tabs>
          <w:tab w:val="right" w:leader="dot" w:pos="8296"/>
        </w:tabs>
        <w:ind w:left="480" w:firstLine="480"/>
        <w:rPr>
          <w:rFonts w:ascii="Calibri" w:hAnsi="Calibri" w:cs="宋体"/>
          <w:kern w:val="2"/>
          <w:sz w:val="22"/>
        </w:rPr>
      </w:pPr>
      <w:r>
        <w:fldChar w:fldCharType="begin"/>
      </w:r>
      <w:r>
        <w:instrText xml:space="preserve"> HYPERLINK \l "_Toc205291385" </w:instrText>
      </w:r>
      <w:r>
        <w:fldChar w:fldCharType="separate"/>
      </w:r>
      <w:r>
        <w:rPr>
          <w:rStyle w:val="79"/>
          <w:rFonts w:hint="eastAsia"/>
        </w:rPr>
        <w:t>3.9 总量控制</w:t>
      </w:r>
      <w:r>
        <w:rPr>
          <w:rFonts w:hint="eastAsia"/>
        </w:rPr>
        <w:tab/>
      </w:r>
      <w:r>
        <w:rPr>
          <w:rFonts w:hint="eastAsia"/>
        </w:rPr>
        <w:fldChar w:fldCharType="begin"/>
      </w:r>
      <w:r>
        <w:rPr>
          <w:rFonts w:hint="eastAsia"/>
        </w:rPr>
        <w:instrText xml:space="preserve"> </w:instrText>
      </w:r>
      <w:r>
        <w:instrText xml:space="preserve">PAGEREF _Toc205291385 \h</w:instrText>
      </w:r>
      <w:r>
        <w:rPr>
          <w:rFonts w:hint="eastAsia"/>
        </w:rPr>
        <w:instrText xml:space="preserve"> </w:instrText>
      </w:r>
      <w:r>
        <w:rPr>
          <w:rFonts w:hint="eastAsia"/>
        </w:rPr>
        <w:fldChar w:fldCharType="separate"/>
      </w:r>
      <w:r>
        <w:t>240</w:t>
      </w:r>
      <w:r>
        <w:rPr>
          <w:rFonts w:hint="eastAsia"/>
        </w:rPr>
        <w:fldChar w:fldCharType="end"/>
      </w:r>
      <w:r>
        <w:rPr>
          <w:rFonts w:hint="eastAsia"/>
        </w:rPr>
        <w:fldChar w:fldCharType="end"/>
      </w:r>
    </w:p>
    <w:p w14:paraId="1A4FFA63">
      <w:pPr>
        <w:pStyle w:val="43"/>
        <w:tabs>
          <w:tab w:val="right" w:leader="dot" w:pos="8296"/>
        </w:tabs>
        <w:ind w:firstLine="480"/>
        <w:rPr>
          <w:rFonts w:ascii="Calibri" w:hAnsi="Calibri" w:cs="宋体"/>
          <w:kern w:val="2"/>
          <w:sz w:val="22"/>
        </w:rPr>
      </w:pPr>
      <w:r>
        <w:fldChar w:fldCharType="begin"/>
      </w:r>
      <w:r>
        <w:instrText xml:space="preserve"> HYPERLINK \l "_Toc205291386" </w:instrText>
      </w:r>
      <w:r>
        <w:fldChar w:fldCharType="separate"/>
      </w:r>
      <w:r>
        <w:rPr>
          <w:rStyle w:val="79"/>
          <w:rFonts w:hint="eastAsia"/>
        </w:rPr>
        <w:t>第4章 环境现状调查与评价</w:t>
      </w:r>
      <w:r>
        <w:rPr>
          <w:rFonts w:hint="eastAsia"/>
        </w:rPr>
        <w:tab/>
      </w:r>
      <w:r>
        <w:rPr>
          <w:rFonts w:hint="eastAsia"/>
        </w:rPr>
        <w:fldChar w:fldCharType="begin"/>
      </w:r>
      <w:r>
        <w:rPr>
          <w:rFonts w:hint="eastAsia"/>
        </w:rPr>
        <w:instrText xml:space="preserve"> </w:instrText>
      </w:r>
      <w:r>
        <w:instrText xml:space="preserve">PAGEREF _Toc205291386 \h</w:instrText>
      </w:r>
      <w:r>
        <w:rPr>
          <w:rFonts w:hint="eastAsia"/>
        </w:rPr>
        <w:instrText xml:space="preserve"> </w:instrText>
      </w:r>
      <w:r>
        <w:rPr>
          <w:rFonts w:hint="eastAsia"/>
        </w:rPr>
        <w:fldChar w:fldCharType="separate"/>
      </w:r>
      <w:r>
        <w:t>242</w:t>
      </w:r>
      <w:r>
        <w:rPr>
          <w:rFonts w:hint="eastAsia"/>
        </w:rPr>
        <w:fldChar w:fldCharType="end"/>
      </w:r>
      <w:r>
        <w:rPr>
          <w:rFonts w:hint="eastAsia"/>
        </w:rPr>
        <w:fldChar w:fldCharType="end"/>
      </w:r>
    </w:p>
    <w:p w14:paraId="094569D5">
      <w:pPr>
        <w:pStyle w:val="56"/>
        <w:tabs>
          <w:tab w:val="right" w:leader="dot" w:pos="8296"/>
        </w:tabs>
        <w:ind w:left="480" w:firstLine="480"/>
        <w:rPr>
          <w:rFonts w:ascii="Calibri" w:hAnsi="Calibri" w:cs="宋体"/>
          <w:kern w:val="2"/>
          <w:sz w:val="22"/>
        </w:rPr>
      </w:pPr>
      <w:r>
        <w:fldChar w:fldCharType="begin"/>
      </w:r>
      <w:r>
        <w:instrText xml:space="preserve"> HYPERLINK \l "_Toc205291387" </w:instrText>
      </w:r>
      <w:r>
        <w:fldChar w:fldCharType="separate"/>
      </w:r>
      <w:r>
        <w:rPr>
          <w:rStyle w:val="79"/>
          <w:rFonts w:hint="eastAsia"/>
        </w:rPr>
        <w:t>4.1 自然环境现状调查与评价</w:t>
      </w:r>
      <w:r>
        <w:rPr>
          <w:rFonts w:hint="eastAsia"/>
        </w:rPr>
        <w:tab/>
      </w:r>
      <w:r>
        <w:rPr>
          <w:rFonts w:hint="eastAsia"/>
        </w:rPr>
        <w:fldChar w:fldCharType="begin"/>
      </w:r>
      <w:r>
        <w:rPr>
          <w:rFonts w:hint="eastAsia"/>
        </w:rPr>
        <w:instrText xml:space="preserve"> </w:instrText>
      </w:r>
      <w:r>
        <w:instrText xml:space="preserve">PAGEREF _Toc205291387 \h</w:instrText>
      </w:r>
      <w:r>
        <w:rPr>
          <w:rFonts w:hint="eastAsia"/>
        </w:rPr>
        <w:instrText xml:space="preserve"> </w:instrText>
      </w:r>
      <w:r>
        <w:rPr>
          <w:rFonts w:hint="eastAsia"/>
        </w:rPr>
        <w:fldChar w:fldCharType="separate"/>
      </w:r>
      <w:r>
        <w:t>242</w:t>
      </w:r>
      <w:r>
        <w:rPr>
          <w:rFonts w:hint="eastAsia"/>
        </w:rPr>
        <w:fldChar w:fldCharType="end"/>
      </w:r>
      <w:r>
        <w:rPr>
          <w:rFonts w:hint="eastAsia"/>
        </w:rPr>
        <w:fldChar w:fldCharType="end"/>
      </w:r>
    </w:p>
    <w:p w14:paraId="46F9B6E4">
      <w:pPr>
        <w:pStyle w:val="56"/>
        <w:tabs>
          <w:tab w:val="right" w:leader="dot" w:pos="8296"/>
        </w:tabs>
        <w:ind w:left="480" w:firstLine="480"/>
        <w:rPr>
          <w:rFonts w:ascii="Calibri" w:hAnsi="Calibri" w:cs="宋体"/>
          <w:kern w:val="2"/>
          <w:sz w:val="22"/>
        </w:rPr>
      </w:pPr>
      <w:r>
        <w:fldChar w:fldCharType="begin"/>
      </w:r>
      <w:r>
        <w:instrText xml:space="preserve"> HYPERLINK \l "_Toc205291388" </w:instrText>
      </w:r>
      <w:r>
        <w:fldChar w:fldCharType="separate"/>
      </w:r>
      <w:r>
        <w:rPr>
          <w:rStyle w:val="79"/>
          <w:rFonts w:hint="eastAsia"/>
        </w:rPr>
        <w:t>4.2 哈密工业园区概况</w:t>
      </w:r>
      <w:r>
        <w:rPr>
          <w:rFonts w:hint="eastAsia"/>
        </w:rPr>
        <w:tab/>
      </w:r>
      <w:r>
        <w:rPr>
          <w:rFonts w:hint="eastAsia"/>
        </w:rPr>
        <w:fldChar w:fldCharType="begin"/>
      </w:r>
      <w:r>
        <w:rPr>
          <w:rFonts w:hint="eastAsia"/>
        </w:rPr>
        <w:instrText xml:space="preserve"> </w:instrText>
      </w:r>
      <w:r>
        <w:instrText xml:space="preserve">PAGEREF _Toc205291388 \h</w:instrText>
      </w:r>
      <w:r>
        <w:rPr>
          <w:rFonts w:hint="eastAsia"/>
        </w:rPr>
        <w:instrText xml:space="preserve"> </w:instrText>
      </w:r>
      <w:r>
        <w:rPr>
          <w:rFonts w:hint="eastAsia"/>
        </w:rPr>
        <w:fldChar w:fldCharType="separate"/>
      </w:r>
      <w:r>
        <w:t>250</w:t>
      </w:r>
      <w:r>
        <w:rPr>
          <w:rFonts w:hint="eastAsia"/>
        </w:rPr>
        <w:fldChar w:fldCharType="end"/>
      </w:r>
      <w:r>
        <w:rPr>
          <w:rFonts w:hint="eastAsia"/>
        </w:rPr>
        <w:fldChar w:fldCharType="end"/>
      </w:r>
    </w:p>
    <w:p w14:paraId="74EA309A">
      <w:pPr>
        <w:pStyle w:val="56"/>
        <w:tabs>
          <w:tab w:val="right" w:leader="dot" w:pos="8296"/>
        </w:tabs>
        <w:ind w:left="480" w:firstLine="480"/>
        <w:rPr>
          <w:rFonts w:ascii="Calibri" w:hAnsi="Calibri" w:cs="宋体"/>
          <w:kern w:val="2"/>
          <w:sz w:val="22"/>
        </w:rPr>
      </w:pPr>
      <w:r>
        <w:fldChar w:fldCharType="begin"/>
      </w:r>
      <w:r>
        <w:instrText xml:space="preserve"> HYPERLINK \l "_Toc205291389" </w:instrText>
      </w:r>
      <w:r>
        <w:fldChar w:fldCharType="separate"/>
      </w:r>
      <w:r>
        <w:rPr>
          <w:rStyle w:val="79"/>
          <w:rFonts w:hint="eastAsia"/>
        </w:rPr>
        <w:t>4.3 环境空气现状</w:t>
      </w:r>
      <w:r>
        <w:rPr>
          <w:rFonts w:hint="eastAsia"/>
        </w:rPr>
        <w:tab/>
      </w:r>
      <w:r>
        <w:rPr>
          <w:rFonts w:hint="eastAsia"/>
        </w:rPr>
        <w:fldChar w:fldCharType="begin"/>
      </w:r>
      <w:r>
        <w:rPr>
          <w:rFonts w:hint="eastAsia"/>
        </w:rPr>
        <w:instrText xml:space="preserve"> </w:instrText>
      </w:r>
      <w:r>
        <w:instrText xml:space="preserve">PAGEREF _Toc205291389 \h</w:instrText>
      </w:r>
      <w:r>
        <w:rPr>
          <w:rFonts w:hint="eastAsia"/>
        </w:rPr>
        <w:instrText xml:space="preserve"> </w:instrText>
      </w:r>
      <w:r>
        <w:rPr>
          <w:rFonts w:hint="eastAsia"/>
        </w:rPr>
        <w:fldChar w:fldCharType="separate"/>
      </w:r>
      <w:r>
        <w:t>262</w:t>
      </w:r>
      <w:r>
        <w:rPr>
          <w:rFonts w:hint="eastAsia"/>
        </w:rPr>
        <w:fldChar w:fldCharType="end"/>
      </w:r>
      <w:r>
        <w:rPr>
          <w:rFonts w:hint="eastAsia"/>
        </w:rPr>
        <w:fldChar w:fldCharType="end"/>
      </w:r>
    </w:p>
    <w:p w14:paraId="575773BD">
      <w:pPr>
        <w:pStyle w:val="56"/>
        <w:tabs>
          <w:tab w:val="right" w:leader="dot" w:pos="8296"/>
        </w:tabs>
        <w:ind w:left="480" w:firstLine="480"/>
        <w:rPr>
          <w:rFonts w:ascii="Calibri" w:hAnsi="Calibri" w:cs="宋体"/>
          <w:kern w:val="2"/>
          <w:sz w:val="22"/>
        </w:rPr>
      </w:pPr>
      <w:r>
        <w:fldChar w:fldCharType="begin"/>
      </w:r>
      <w:r>
        <w:instrText xml:space="preserve"> HYPERLINK \l "_Toc205291390" </w:instrText>
      </w:r>
      <w:r>
        <w:fldChar w:fldCharType="separate"/>
      </w:r>
      <w:r>
        <w:rPr>
          <w:rStyle w:val="79"/>
          <w:rFonts w:hint="eastAsia"/>
        </w:rPr>
        <w:t>4.4 水环境质量现状</w:t>
      </w:r>
      <w:r>
        <w:rPr>
          <w:rFonts w:hint="eastAsia"/>
        </w:rPr>
        <w:tab/>
      </w:r>
      <w:r>
        <w:rPr>
          <w:rFonts w:hint="eastAsia"/>
        </w:rPr>
        <w:fldChar w:fldCharType="begin"/>
      </w:r>
      <w:r>
        <w:rPr>
          <w:rFonts w:hint="eastAsia"/>
        </w:rPr>
        <w:instrText xml:space="preserve"> </w:instrText>
      </w:r>
      <w:r>
        <w:instrText xml:space="preserve">PAGEREF _Toc205291390 \h</w:instrText>
      </w:r>
      <w:r>
        <w:rPr>
          <w:rFonts w:hint="eastAsia"/>
        </w:rPr>
        <w:instrText xml:space="preserve"> </w:instrText>
      </w:r>
      <w:r>
        <w:rPr>
          <w:rFonts w:hint="eastAsia"/>
        </w:rPr>
        <w:fldChar w:fldCharType="separate"/>
      </w:r>
      <w:r>
        <w:t>267</w:t>
      </w:r>
      <w:r>
        <w:rPr>
          <w:rFonts w:hint="eastAsia"/>
        </w:rPr>
        <w:fldChar w:fldCharType="end"/>
      </w:r>
      <w:r>
        <w:rPr>
          <w:rFonts w:hint="eastAsia"/>
        </w:rPr>
        <w:fldChar w:fldCharType="end"/>
      </w:r>
    </w:p>
    <w:p w14:paraId="50FFF3CC">
      <w:pPr>
        <w:pStyle w:val="56"/>
        <w:tabs>
          <w:tab w:val="right" w:leader="dot" w:pos="8296"/>
        </w:tabs>
        <w:ind w:left="480" w:firstLine="480"/>
        <w:rPr>
          <w:rFonts w:ascii="Calibri" w:hAnsi="Calibri" w:cs="宋体"/>
          <w:kern w:val="2"/>
          <w:sz w:val="22"/>
        </w:rPr>
      </w:pPr>
      <w:r>
        <w:fldChar w:fldCharType="begin"/>
      </w:r>
      <w:r>
        <w:instrText xml:space="preserve"> HYPERLINK \l "_Toc205291391" </w:instrText>
      </w:r>
      <w:r>
        <w:fldChar w:fldCharType="separate"/>
      </w:r>
      <w:r>
        <w:rPr>
          <w:rStyle w:val="79"/>
          <w:rFonts w:hint="eastAsia"/>
        </w:rPr>
        <w:t>4.5 声环境质量现状</w:t>
      </w:r>
      <w:r>
        <w:rPr>
          <w:rFonts w:hint="eastAsia"/>
        </w:rPr>
        <w:tab/>
      </w:r>
      <w:r>
        <w:rPr>
          <w:rFonts w:hint="eastAsia"/>
        </w:rPr>
        <w:fldChar w:fldCharType="begin"/>
      </w:r>
      <w:r>
        <w:rPr>
          <w:rFonts w:hint="eastAsia"/>
        </w:rPr>
        <w:instrText xml:space="preserve"> </w:instrText>
      </w:r>
      <w:r>
        <w:instrText xml:space="preserve">PAGEREF _Toc205291391 \h</w:instrText>
      </w:r>
      <w:r>
        <w:rPr>
          <w:rFonts w:hint="eastAsia"/>
        </w:rPr>
        <w:instrText xml:space="preserve"> </w:instrText>
      </w:r>
      <w:r>
        <w:rPr>
          <w:rFonts w:hint="eastAsia"/>
        </w:rPr>
        <w:fldChar w:fldCharType="separate"/>
      </w:r>
      <w:r>
        <w:t>274</w:t>
      </w:r>
      <w:r>
        <w:rPr>
          <w:rFonts w:hint="eastAsia"/>
        </w:rPr>
        <w:fldChar w:fldCharType="end"/>
      </w:r>
      <w:r>
        <w:rPr>
          <w:rFonts w:hint="eastAsia"/>
        </w:rPr>
        <w:fldChar w:fldCharType="end"/>
      </w:r>
    </w:p>
    <w:p w14:paraId="0638C6A9">
      <w:pPr>
        <w:pStyle w:val="56"/>
        <w:tabs>
          <w:tab w:val="right" w:leader="dot" w:pos="8296"/>
        </w:tabs>
        <w:ind w:left="480" w:firstLine="480"/>
        <w:rPr>
          <w:rFonts w:ascii="Calibri" w:hAnsi="Calibri" w:cs="宋体"/>
          <w:kern w:val="2"/>
          <w:sz w:val="22"/>
        </w:rPr>
      </w:pPr>
      <w:r>
        <w:fldChar w:fldCharType="begin"/>
      </w:r>
      <w:r>
        <w:instrText xml:space="preserve"> HYPERLINK \l "_Toc205291392" </w:instrText>
      </w:r>
      <w:r>
        <w:fldChar w:fldCharType="separate"/>
      </w:r>
      <w:r>
        <w:rPr>
          <w:rStyle w:val="79"/>
          <w:rFonts w:hint="eastAsia"/>
        </w:rPr>
        <w:t>4.6 土壤环境质量</w:t>
      </w:r>
      <w:r>
        <w:rPr>
          <w:rFonts w:hint="eastAsia"/>
        </w:rPr>
        <w:tab/>
      </w:r>
      <w:r>
        <w:rPr>
          <w:rFonts w:hint="eastAsia"/>
        </w:rPr>
        <w:fldChar w:fldCharType="begin"/>
      </w:r>
      <w:r>
        <w:rPr>
          <w:rFonts w:hint="eastAsia"/>
        </w:rPr>
        <w:instrText xml:space="preserve"> </w:instrText>
      </w:r>
      <w:r>
        <w:instrText xml:space="preserve">PAGEREF _Toc205291392 \h</w:instrText>
      </w:r>
      <w:r>
        <w:rPr>
          <w:rFonts w:hint="eastAsia"/>
        </w:rPr>
        <w:instrText xml:space="preserve"> </w:instrText>
      </w:r>
      <w:r>
        <w:rPr>
          <w:rFonts w:hint="eastAsia"/>
        </w:rPr>
        <w:fldChar w:fldCharType="separate"/>
      </w:r>
      <w:r>
        <w:t>275</w:t>
      </w:r>
      <w:r>
        <w:rPr>
          <w:rFonts w:hint="eastAsia"/>
        </w:rPr>
        <w:fldChar w:fldCharType="end"/>
      </w:r>
      <w:r>
        <w:rPr>
          <w:rFonts w:hint="eastAsia"/>
        </w:rPr>
        <w:fldChar w:fldCharType="end"/>
      </w:r>
    </w:p>
    <w:p w14:paraId="4B29E3F0">
      <w:pPr>
        <w:pStyle w:val="56"/>
        <w:tabs>
          <w:tab w:val="right" w:leader="dot" w:pos="8296"/>
        </w:tabs>
        <w:ind w:left="480" w:firstLine="480"/>
        <w:rPr>
          <w:rFonts w:ascii="Calibri" w:hAnsi="Calibri" w:cs="宋体"/>
          <w:kern w:val="2"/>
          <w:sz w:val="22"/>
        </w:rPr>
      </w:pPr>
      <w:r>
        <w:fldChar w:fldCharType="begin"/>
      </w:r>
      <w:r>
        <w:instrText xml:space="preserve"> HYPERLINK \l "_Toc205291393" </w:instrText>
      </w:r>
      <w:r>
        <w:fldChar w:fldCharType="separate"/>
      </w:r>
      <w:r>
        <w:rPr>
          <w:rStyle w:val="79"/>
          <w:rFonts w:hint="eastAsia"/>
        </w:rPr>
        <w:t>4.7 生态环境质量现状</w:t>
      </w:r>
      <w:r>
        <w:rPr>
          <w:rFonts w:hint="eastAsia"/>
        </w:rPr>
        <w:tab/>
      </w:r>
      <w:r>
        <w:rPr>
          <w:rFonts w:hint="eastAsia"/>
        </w:rPr>
        <w:fldChar w:fldCharType="begin"/>
      </w:r>
      <w:r>
        <w:rPr>
          <w:rFonts w:hint="eastAsia"/>
        </w:rPr>
        <w:instrText xml:space="preserve"> </w:instrText>
      </w:r>
      <w:r>
        <w:instrText xml:space="preserve">PAGEREF _Toc205291393 \h</w:instrText>
      </w:r>
      <w:r>
        <w:rPr>
          <w:rFonts w:hint="eastAsia"/>
        </w:rPr>
        <w:instrText xml:space="preserve"> </w:instrText>
      </w:r>
      <w:r>
        <w:rPr>
          <w:rFonts w:hint="eastAsia"/>
        </w:rPr>
        <w:fldChar w:fldCharType="separate"/>
      </w:r>
      <w:r>
        <w:t>279</w:t>
      </w:r>
      <w:r>
        <w:rPr>
          <w:rFonts w:hint="eastAsia"/>
        </w:rPr>
        <w:fldChar w:fldCharType="end"/>
      </w:r>
      <w:r>
        <w:rPr>
          <w:rFonts w:hint="eastAsia"/>
        </w:rPr>
        <w:fldChar w:fldCharType="end"/>
      </w:r>
    </w:p>
    <w:p w14:paraId="211A3DEA">
      <w:pPr>
        <w:pStyle w:val="43"/>
        <w:tabs>
          <w:tab w:val="right" w:leader="dot" w:pos="8296"/>
        </w:tabs>
        <w:ind w:firstLine="480"/>
        <w:rPr>
          <w:rFonts w:ascii="Calibri" w:hAnsi="Calibri" w:cs="宋体"/>
          <w:kern w:val="2"/>
          <w:sz w:val="22"/>
        </w:rPr>
      </w:pPr>
      <w:r>
        <w:fldChar w:fldCharType="begin"/>
      </w:r>
      <w:r>
        <w:instrText xml:space="preserve"> HYPERLINK \l "_Toc205291394" </w:instrText>
      </w:r>
      <w:r>
        <w:fldChar w:fldCharType="separate"/>
      </w:r>
      <w:r>
        <w:rPr>
          <w:rStyle w:val="79"/>
          <w:rFonts w:hint="eastAsia"/>
        </w:rPr>
        <w:t>第5章 环境影响预测与评价</w:t>
      </w:r>
      <w:r>
        <w:rPr>
          <w:rFonts w:hint="eastAsia"/>
        </w:rPr>
        <w:tab/>
      </w:r>
      <w:r>
        <w:rPr>
          <w:rFonts w:hint="eastAsia"/>
        </w:rPr>
        <w:fldChar w:fldCharType="begin"/>
      </w:r>
      <w:r>
        <w:rPr>
          <w:rFonts w:hint="eastAsia"/>
        </w:rPr>
        <w:instrText xml:space="preserve"> </w:instrText>
      </w:r>
      <w:r>
        <w:instrText xml:space="preserve">PAGEREF _Toc205291394 \h</w:instrText>
      </w:r>
      <w:r>
        <w:rPr>
          <w:rFonts w:hint="eastAsia"/>
        </w:rPr>
        <w:instrText xml:space="preserve"> </w:instrText>
      </w:r>
      <w:r>
        <w:rPr>
          <w:rFonts w:hint="eastAsia"/>
        </w:rPr>
        <w:fldChar w:fldCharType="separate"/>
      </w:r>
      <w:r>
        <w:t>281</w:t>
      </w:r>
      <w:r>
        <w:rPr>
          <w:rFonts w:hint="eastAsia"/>
        </w:rPr>
        <w:fldChar w:fldCharType="end"/>
      </w:r>
      <w:r>
        <w:rPr>
          <w:rFonts w:hint="eastAsia"/>
        </w:rPr>
        <w:fldChar w:fldCharType="end"/>
      </w:r>
    </w:p>
    <w:p w14:paraId="06C5F7AD">
      <w:pPr>
        <w:pStyle w:val="56"/>
        <w:tabs>
          <w:tab w:val="right" w:leader="dot" w:pos="8296"/>
        </w:tabs>
        <w:ind w:left="480" w:firstLine="480"/>
        <w:rPr>
          <w:rFonts w:ascii="Calibri" w:hAnsi="Calibri" w:cs="宋体"/>
          <w:kern w:val="2"/>
          <w:sz w:val="22"/>
        </w:rPr>
      </w:pPr>
      <w:r>
        <w:fldChar w:fldCharType="begin"/>
      </w:r>
      <w:r>
        <w:instrText xml:space="preserve"> HYPERLINK \l "_Toc205291395" </w:instrText>
      </w:r>
      <w:r>
        <w:fldChar w:fldCharType="separate"/>
      </w:r>
      <w:r>
        <w:rPr>
          <w:rStyle w:val="79"/>
          <w:rFonts w:hint="eastAsia"/>
        </w:rPr>
        <w:t>5.1 施工期环境影响分析</w:t>
      </w:r>
      <w:r>
        <w:rPr>
          <w:rFonts w:hint="eastAsia"/>
        </w:rPr>
        <w:tab/>
      </w:r>
      <w:r>
        <w:rPr>
          <w:rFonts w:hint="eastAsia"/>
        </w:rPr>
        <w:fldChar w:fldCharType="begin"/>
      </w:r>
      <w:r>
        <w:rPr>
          <w:rFonts w:hint="eastAsia"/>
        </w:rPr>
        <w:instrText xml:space="preserve"> </w:instrText>
      </w:r>
      <w:r>
        <w:instrText xml:space="preserve">PAGEREF _Toc205291395 \h</w:instrText>
      </w:r>
      <w:r>
        <w:rPr>
          <w:rFonts w:hint="eastAsia"/>
        </w:rPr>
        <w:instrText xml:space="preserve"> </w:instrText>
      </w:r>
      <w:r>
        <w:rPr>
          <w:rFonts w:hint="eastAsia"/>
        </w:rPr>
        <w:fldChar w:fldCharType="separate"/>
      </w:r>
      <w:r>
        <w:t>281</w:t>
      </w:r>
      <w:r>
        <w:rPr>
          <w:rFonts w:hint="eastAsia"/>
        </w:rPr>
        <w:fldChar w:fldCharType="end"/>
      </w:r>
      <w:r>
        <w:rPr>
          <w:rFonts w:hint="eastAsia"/>
        </w:rPr>
        <w:fldChar w:fldCharType="end"/>
      </w:r>
    </w:p>
    <w:p w14:paraId="73BB6E21">
      <w:pPr>
        <w:pStyle w:val="56"/>
        <w:tabs>
          <w:tab w:val="right" w:leader="dot" w:pos="8296"/>
        </w:tabs>
        <w:ind w:left="480" w:firstLine="480"/>
        <w:rPr>
          <w:rFonts w:ascii="Calibri" w:hAnsi="Calibri" w:cs="宋体"/>
          <w:kern w:val="2"/>
          <w:sz w:val="22"/>
        </w:rPr>
      </w:pPr>
      <w:r>
        <w:fldChar w:fldCharType="begin"/>
      </w:r>
      <w:r>
        <w:instrText xml:space="preserve"> HYPERLINK \l "_Toc205291396" </w:instrText>
      </w:r>
      <w:r>
        <w:fldChar w:fldCharType="separate"/>
      </w:r>
      <w:r>
        <w:rPr>
          <w:rStyle w:val="79"/>
          <w:rFonts w:hint="eastAsia"/>
        </w:rPr>
        <w:t>5.2 运营期大气影响分析</w:t>
      </w:r>
      <w:r>
        <w:rPr>
          <w:rFonts w:hint="eastAsia"/>
        </w:rPr>
        <w:tab/>
      </w:r>
      <w:r>
        <w:rPr>
          <w:rFonts w:hint="eastAsia"/>
        </w:rPr>
        <w:fldChar w:fldCharType="begin"/>
      </w:r>
      <w:r>
        <w:rPr>
          <w:rFonts w:hint="eastAsia"/>
        </w:rPr>
        <w:instrText xml:space="preserve"> </w:instrText>
      </w:r>
      <w:r>
        <w:instrText xml:space="preserve">PAGEREF _Toc205291396 \h</w:instrText>
      </w:r>
      <w:r>
        <w:rPr>
          <w:rFonts w:hint="eastAsia"/>
        </w:rPr>
        <w:instrText xml:space="preserve"> </w:instrText>
      </w:r>
      <w:r>
        <w:rPr>
          <w:rFonts w:hint="eastAsia"/>
        </w:rPr>
        <w:fldChar w:fldCharType="separate"/>
      </w:r>
      <w:r>
        <w:t>287</w:t>
      </w:r>
      <w:r>
        <w:rPr>
          <w:rFonts w:hint="eastAsia"/>
        </w:rPr>
        <w:fldChar w:fldCharType="end"/>
      </w:r>
      <w:r>
        <w:rPr>
          <w:rFonts w:hint="eastAsia"/>
        </w:rPr>
        <w:fldChar w:fldCharType="end"/>
      </w:r>
    </w:p>
    <w:p w14:paraId="787CD05C">
      <w:pPr>
        <w:pStyle w:val="56"/>
        <w:tabs>
          <w:tab w:val="right" w:leader="dot" w:pos="8296"/>
        </w:tabs>
        <w:ind w:left="480" w:firstLine="480"/>
        <w:rPr>
          <w:rFonts w:ascii="Calibri" w:hAnsi="Calibri" w:cs="宋体"/>
          <w:kern w:val="2"/>
          <w:sz w:val="22"/>
        </w:rPr>
      </w:pPr>
      <w:r>
        <w:fldChar w:fldCharType="begin"/>
      </w:r>
      <w:r>
        <w:instrText xml:space="preserve"> HYPERLINK \l "_Toc205291397" </w:instrText>
      </w:r>
      <w:r>
        <w:fldChar w:fldCharType="separate"/>
      </w:r>
      <w:r>
        <w:rPr>
          <w:rStyle w:val="79"/>
          <w:rFonts w:hint="eastAsia"/>
        </w:rPr>
        <w:t>5.3 运营期地表水环境影响分析</w:t>
      </w:r>
      <w:r>
        <w:rPr>
          <w:rFonts w:hint="eastAsia"/>
        </w:rPr>
        <w:tab/>
      </w:r>
      <w:r>
        <w:rPr>
          <w:rFonts w:hint="eastAsia"/>
        </w:rPr>
        <w:fldChar w:fldCharType="begin"/>
      </w:r>
      <w:r>
        <w:rPr>
          <w:rFonts w:hint="eastAsia"/>
        </w:rPr>
        <w:instrText xml:space="preserve"> </w:instrText>
      </w:r>
      <w:r>
        <w:instrText xml:space="preserve">PAGEREF _Toc205291397 \h</w:instrText>
      </w:r>
      <w:r>
        <w:rPr>
          <w:rFonts w:hint="eastAsia"/>
        </w:rPr>
        <w:instrText xml:space="preserve"> </w:instrText>
      </w:r>
      <w:r>
        <w:rPr>
          <w:rFonts w:hint="eastAsia"/>
        </w:rPr>
        <w:fldChar w:fldCharType="separate"/>
      </w:r>
      <w:r>
        <w:t>331</w:t>
      </w:r>
      <w:r>
        <w:rPr>
          <w:rFonts w:hint="eastAsia"/>
        </w:rPr>
        <w:fldChar w:fldCharType="end"/>
      </w:r>
      <w:r>
        <w:rPr>
          <w:rFonts w:hint="eastAsia"/>
        </w:rPr>
        <w:fldChar w:fldCharType="end"/>
      </w:r>
    </w:p>
    <w:p w14:paraId="67525AAC">
      <w:pPr>
        <w:pStyle w:val="56"/>
        <w:tabs>
          <w:tab w:val="right" w:leader="dot" w:pos="8296"/>
        </w:tabs>
        <w:ind w:left="480" w:firstLine="480"/>
        <w:rPr>
          <w:rFonts w:ascii="Calibri" w:hAnsi="Calibri" w:cs="宋体"/>
          <w:kern w:val="2"/>
          <w:sz w:val="22"/>
        </w:rPr>
      </w:pPr>
      <w:r>
        <w:fldChar w:fldCharType="begin"/>
      </w:r>
      <w:r>
        <w:instrText xml:space="preserve"> HYPERLINK \l "_Toc205291398" </w:instrText>
      </w:r>
      <w:r>
        <w:fldChar w:fldCharType="separate"/>
      </w:r>
      <w:r>
        <w:rPr>
          <w:rStyle w:val="79"/>
          <w:rFonts w:hint="eastAsia"/>
        </w:rPr>
        <w:t>5.4 地下水环境影响预测与评价</w:t>
      </w:r>
      <w:r>
        <w:rPr>
          <w:rFonts w:hint="eastAsia"/>
        </w:rPr>
        <w:tab/>
      </w:r>
      <w:r>
        <w:rPr>
          <w:rFonts w:hint="eastAsia"/>
        </w:rPr>
        <w:fldChar w:fldCharType="begin"/>
      </w:r>
      <w:r>
        <w:rPr>
          <w:rFonts w:hint="eastAsia"/>
        </w:rPr>
        <w:instrText xml:space="preserve"> </w:instrText>
      </w:r>
      <w:r>
        <w:instrText xml:space="preserve">PAGEREF _Toc205291398 \h</w:instrText>
      </w:r>
      <w:r>
        <w:rPr>
          <w:rFonts w:hint="eastAsia"/>
        </w:rPr>
        <w:instrText xml:space="preserve"> </w:instrText>
      </w:r>
      <w:r>
        <w:rPr>
          <w:rFonts w:hint="eastAsia"/>
        </w:rPr>
        <w:fldChar w:fldCharType="separate"/>
      </w:r>
      <w:r>
        <w:t>335</w:t>
      </w:r>
      <w:r>
        <w:rPr>
          <w:rFonts w:hint="eastAsia"/>
        </w:rPr>
        <w:fldChar w:fldCharType="end"/>
      </w:r>
      <w:r>
        <w:rPr>
          <w:rFonts w:hint="eastAsia"/>
        </w:rPr>
        <w:fldChar w:fldCharType="end"/>
      </w:r>
    </w:p>
    <w:p w14:paraId="5D6D5F0F">
      <w:pPr>
        <w:pStyle w:val="56"/>
        <w:tabs>
          <w:tab w:val="right" w:leader="dot" w:pos="8296"/>
        </w:tabs>
        <w:ind w:left="480" w:firstLine="480"/>
        <w:rPr>
          <w:rFonts w:ascii="Calibri" w:hAnsi="Calibri" w:cs="宋体"/>
          <w:kern w:val="2"/>
          <w:sz w:val="22"/>
        </w:rPr>
      </w:pPr>
      <w:r>
        <w:fldChar w:fldCharType="begin"/>
      </w:r>
      <w:r>
        <w:instrText xml:space="preserve"> HYPERLINK \l "_Toc205291399" </w:instrText>
      </w:r>
      <w:r>
        <w:fldChar w:fldCharType="separate"/>
      </w:r>
      <w:r>
        <w:rPr>
          <w:rStyle w:val="79"/>
          <w:rFonts w:hint="eastAsia"/>
        </w:rPr>
        <w:t>5.5 运营期声环境影响预测与评价</w:t>
      </w:r>
      <w:r>
        <w:rPr>
          <w:rFonts w:hint="eastAsia"/>
        </w:rPr>
        <w:tab/>
      </w:r>
      <w:r>
        <w:rPr>
          <w:rFonts w:hint="eastAsia"/>
        </w:rPr>
        <w:fldChar w:fldCharType="begin"/>
      </w:r>
      <w:r>
        <w:rPr>
          <w:rFonts w:hint="eastAsia"/>
        </w:rPr>
        <w:instrText xml:space="preserve"> </w:instrText>
      </w:r>
      <w:r>
        <w:instrText xml:space="preserve">PAGEREF _Toc205291399 \h</w:instrText>
      </w:r>
      <w:r>
        <w:rPr>
          <w:rFonts w:hint="eastAsia"/>
        </w:rPr>
        <w:instrText xml:space="preserve"> </w:instrText>
      </w:r>
      <w:r>
        <w:rPr>
          <w:rFonts w:hint="eastAsia"/>
        </w:rPr>
        <w:fldChar w:fldCharType="separate"/>
      </w:r>
      <w:r>
        <w:t>347</w:t>
      </w:r>
      <w:r>
        <w:rPr>
          <w:rFonts w:hint="eastAsia"/>
        </w:rPr>
        <w:fldChar w:fldCharType="end"/>
      </w:r>
      <w:r>
        <w:rPr>
          <w:rFonts w:hint="eastAsia"/>
        </w:rPr>
        <w:fldChar w:fldCharType="end"/>
      </w:r>
    </w:p>
    <w:p w14:paraId="47E4B5D7">
      <w:pPr>
        <w:pStyle w:val="56"/>
        <w:tabs>
          <w:tab w:val="right" w:leader="dot" w:pos="8296"/>
        </w:tabs>
        <w:ind w:left="480" w:firstLine="480"/>
        <w:rPr>
          <w:rFonts w:ascii="Calibri" w:hAnsi="Calibri" w:cs="宋体"/>
          <w:kern w:val="2"/>
          <w:sz w:val="22"/>
        </w:rPr>
      </w:pPr>
      <w:r>
        <w:fldChar w:fldCharType="begin"/>
      </w:r>
      <w:r>
        <w:instrText xml:space="preserve"> HYPERLINK \l "_Toc205291400" </w:instrText>
      </w:r>
      <w:r>
        <w:fldChar w:fldCharType="separate"/>
      </w:r>
      <w:r>
        <w:rPr>
          <w:rStyle w:val="79"/>
          <w:rFonts w:hint="eastAsia"/>
        </w:rPr>
        <w:t>5.6 运营期固体废物影响分析</w:t>
      </w:r>
      <w:r>
        <w:rPr>
          <w:rFonts w:hint="eastAsia"/>
        </w:rPr>
        <w:tab/>
      </w:r>
      <w:r>
        <w:rPr>
          <w:rFonts w:hint="eastAsia"/>
        </w:rPr>
        <w:fldChar w:fldCharType="begin"/>
      </w:r>
      <w:r>
        <w:rPr>
          <w:rFonts w:hint="eastAsia"/>
        </w:rPr>
        <w:instrText xml:space="preserve"> </w:instrText>
      </w:r>
      <w:r>
        <w:instrText xml:space="preserve">PAGEREF _Toc205291400 \h</w:instrText>
      </w:r>
      <w:r>
        <w:rPr>
          <w:rFonts w:hint="eastAsia"/>
        </w:rPr>
        <w:instrText xml:space="preserve"> </w:instrText>
      </w:r>
      <w:r>
        <w:rPr>
          <w:rFonts w:hint="eastAsia"/>
        </w:rPr>
        <w:fldChar w:fldCharType="separate"/>
      </w:r>
      <w:r>
        <w:t>354</w:t>
      </w:r>
      <w:r>
        <w:rPr>
          <w:rFonts w:hint="eastAsia"/>
        </w:rPr>
        <w:fldChar w:fldCharType="end"/>
      </w:r>
      <w:r>
        <w:rPr>
          <w:rFonts w:hint="eastAsia"/>
        </w:rPr>
        <w:fldChar w:fldCharType="end"/>
      </w:r>
    </w:p>
    <w:p w14:paraId="2C20C875">
      <w:pPr>
        <w:pStyle w:val="56"/>
        <w:tabs>
          <w:tab w:val="right" w:leader="dot" w:pos="8296"/>
        </w:tabs>
        <w:ind w:left="480" w:firstLine="480"/>
        <w:rPr>
          <w:rFonts w:ascii="Calibri" w:hAnsi="Calibri" w:cs="宋体"/>
          <w:kern w:val="2"/>
          <w:sz w:val="22"/>
        </w:rPr>
      </w:pPr>
      <w:r>
        <w:fldChar w:fldCharType="begin"/>
      </w:r>
      <w:r>
        <w:instrText xml:space="preserve"> HYPERLINK \l "_Toc205291401" </w:instrText>
      </w:r>
      <w:r>
        <w:fldChar w:fldCharType="separate"/>
      </w:r>
      <w:r>
        <w:rPr>
          <w:rStyle w:val="79"/>
          <w:rFonts w:hint="eastAsia"/>
        </w:rPr>
        <w:t>5.7 运营期生态环境影响分析</w:t>
      </w:r>
      <w:r>
        <w:rPr>
          <w:rFonts w:hint="eastAsia"/>
        </w:rPr>
        <w:tab/>
      </w:r>
      <w:r>
        <w:rPr>
          <w:rFonts w:hint="eastAsia"/>
        </w:rPr>
        <w:fldChar w:fldCharType="begin"/>
      </w:r>
      <w:r>
        <w:rPr>
          <w:rFonts w:hint="eastAsia"/>
        </w:rPr>
        <w:instrText xml:space="preserve"> </w:instrText>
      </w:r>
      <w:r>
        <w:instrText xml:space="preserve">PAGEREF _Toc205291401 \h</w:instrText>
      </w:r>
      <w:r>
        <w:rPr>
          <w:rFonts w:hint="eastAsia"/>
        </w:rPr>
        <w:instrText xml:space="preserve"> </w:instrText>
      </w:r>
      <w:r>
        <w:rPr>
          <w:rFonts w:hint="eastAsia"/>
        </w:rPr>
        <w:fldChar w:fldCharType="separate"/>
      </w:r>
      <w:r>
        <w:t>360</w:t>
      </w:r>
      <w:r>
        <w:rPr>
          <w:rFonts w:hint="eastAsia"/>
        </w:rPr>
        <w:fldChar w:fldCharType="end"/>
      </w:r>
      <w:r>
        <w:rPr>
          <w:rFonts w:hint="eastAsia"/>
        </w:rPr>
        <w:fldChar w:fldCharType="end"/>
      </w:r>
    </w:p>
    <w:p w14:paraId="00B6F1B2">
      <w:pPr>
        <w:pStyle w:val="56"/>
        <w:tabs>
          <w:tab w:val="right" w:leader="dot" w:pos="8296"/>
        </w:tabs>
        <w:ind w:left="480" w:firstLine="480"/>
        <w:rPr>
          <w:rFonts w:ascii="Calibri" w:hAnsi="Calibri" w:cs="宋体"/>
          <w:kern w:val="2"/>
          <w:sz w:val="22"/>
        </w:rPr>
      </w:pPr>
      <w:r>
        <w:fldChar w:fldCharType="begin"/>
      </w:r>
      <w:r>
        <w:instrText xml:space="preserve"> HYPERLINK \l "_Toc205291402" </w:instrText>
      </w:r>
      <w:r>
        <w:fldChar w:fldCharType="separate"/>
      </w:r>
      <w:r>
        <w:rPr>
          <w:rStyle w:val="79"/>
          <w:rFonts w:hint="eastAsia"/>
        </w:rPr>
        <w:t>5.8 运营期土壤环境影响分析</w:t>
      </w:r>
      <w:r>
        <w:rPr>
          <w:rFonts w:hint="eastAsia"/>
        </w:rPr>
        <w:tab/>
      </w:r>
      <w:r>
        <w:rPr>
          <w:rFonts w:hint="eastAsia"/>
        </w:rPr>
        <w:fldChar w:fldCharType="begin"/>
      </w:r>
      <w:r>
        <w:rPr>
          <w:rFonts w:hint="eastAsia"/>
        </w:rPr>
        <w:instrText xml:space="preserve"> </w:instrText>
      </w:r>
      <w:r>
        <w:instrText xml:space="preserve">PAGEREF _Toc205291402 \h</w:instrText>
      </w:r>
      <w:r>
        <w:rPr>
          <w:rFonts w:hint="eastAsia"/>
        </w:rPr>
        <w:instrText xml:space="preserve"> </w:instrText>
      </w:r>
      <w:r>
        <w:rPr>
          <w:rFonts w:hint="eastAsia"/>
        </w:rPr>
        <w:fldChar w:fldCharType="separate"/>
      </w:r>
      <w:r>
        <w:t>362</w:t>
      </w:r>
      <w:r>
        <w:rPr>
          <w:rFonts w:hint="eastAsia"/>
        </w:rPr>
        <w:fldChar w:fldCharType="end"/>
      </w:r>
      <w:r>
        <w:rPr>
          <w:rFonts w:hint="eastAsia"/>
        </w:rPr>
        <w:fldChar w:fldCharType="end"/>
      </w:r>
    </w:p>
    <w:p w14:paraId="0562EE31">
      <w:pPr>
        <w:pStyle w:val="43"/>
        <w:tabs>
          <w:tab w:val="right" w:leader="dot" w:pos="8296"/>
        </w:tabs>
        <w:ind w:firstLine="480"/>
        <w:rPr>
          <w:rFonts w:ascii="Calibri" w:hAnsi="Calibri" w:cs="宋体"/>
          <w:kern w:val="2"/>
          <w:sz w:val="22"/>
        </w:rPr>
      </w:pPr>
      <w:r>
        <w:fldChar w:fldCharType="begin"/>
      </w:r>
      <w:r>
        <w:instrText xml:space="preserve"> HYPERLINK \l "_Toc205291403" </w:instrText>
      </w:r>
      <w:r>
        <w:fldChar w:fldCharType="separate"/>
      </w:r>
      <w:r>
        <w:rPr>
          <w:rStyle w:val="79"/>
          <w:rFonts w:hint="eastAsia"/>
        </w:rPr>
        <w:t>第6章 环境保护措施及其可行性论证</w:t>
      </w:r>
      <w:r>
        <w:rPr>
          <w:rFonts w:hint="eastAsia"/>
        </w:rPr>
        <w:tab/>
      </w:r>
      <w:r>
        <w:rPr>
          <w:rFonts w:hint="eastAsia"/>
        </w:rPr>
        <w:fldChar w:fldCharType="begin"/>
      </w:r>
      <w:r>
        <w:rPr>
          <w:rFonts w:hint="eastAsia"/>
        </w:rPr>
        <w:instrText xml:space="preserve"> </w:instrText>
      </w:r>
      <w:r>
        <w:instrText xml:space="preserve">PAGEREF _Toc205291403 \h</w:instrText>
      </w:r>
      <w:r>
        <w:rPr>
          <w:rFonts w:hint="eastAsia"/>
        </w:rPr>
        <w:instrText xml:space="preserve"> </w:instrText>
      </w:r>
      <w:r>
        <w:rPr>
          <w:rFonts w:hint="eastAsia"/>
        </w:rPr>
        <w:fldChar w:fldCharType="separate"/>
      </w:r>
      <w:r>
        <w:t>373</w:t>
      </w:r>
      <w:r>
        <w:rPr>
          <w:rFonts w:hint="eastAsia"/>
        </w:rPr>
        <w:fldChar w:fldCharType="end"/>
      </w:r>
      <w:r>
        <w:rPr>
          <w:rFonts w:hint="eastAsia"/>
        </w:rPr>
        <w:fldChar w:fldCharType="end"/>
      </w:r>
    </w:p>
    <w:p w14:paraId="3F588DF1">
      <w:pPr>
        <w:pStyle w:val="56"/>
        <w:tabs>
          <w:tab w:val="right" w:leader="dot" w:pos="8296"/>
        </w:tabs>
        <w:ind w:left="480" w:firstLine="480"/>
        <w:rPr>
          <w:rFonts w:ascii="Calibri" w:hAnsi="Calibri" w:cs="宋体"/>
          <w:kern w:val="2"/>
          <w:sz w:val="22"/>
        </w:rPr>
      </w:pPr>
      <w:r>
        <w:fldChar w:fldCharType="begin"/>
      </w:r>
      <w:r>
        <w:instrText xml:space="preserve"> HYPERLINK \l "_Toc205291404" </w:instrText>
      </w:r>
      <w:r>
        <w:fldChar w:fldCharType="separate"/>
      </w:r>
      <w:r>
        <w:rPr>
          <w:rStyle w:val="79"/>
          <w:rFonts w:hint="eastAsia"/>
        </w:rPr>
        <w:t>6.1 施工期环境保护措施</w:t>
      </w:r>
      <w:r>
        <w:rPr>
          <w:rFonts w:hint="eastAsia"/>
        </w:rPr>
        <w:tab/>
      </w:r>
      <w:r>
        <w:rPr>
          <w:rFonts w:hint="eastAsia"/>
        </w:rPr>
        <w:fldChar w:fldCharType="begin"/>
      </w:r>
      <w:r>
        <w:rPr>
          <w:rFonts w:hint="eastAsia"/>
        </w:rPr>
        <w:instrText xml:space="preserve"> </w:instrText>
      </w:r>
      <w:r>
        <w:instrText xml:space="preserve">PAGEREF _Toc205291404 \h</w:instrText>
      </w:r>
      <w:r>
        <w:rPr>
          <w:rFonts w:hint="eastAsia"/>
        </w:rPr>
        <w:instrText xml:space="preserve"> </w:instrText>
      </w:r>
      <w:r>
        <w:rPr>
          <w:rFonts w:hint="eastAsia"/>
        </w:rPr>
        <w:fldChar w:fldCharType="separate"/>
      </w:r>
      <w:r>
        <w:t>373</w:t>
      </w:r>
      <w:r>
        <w:rPr>
          <w:rFonts w:hint="eastAsia"/>
        </w:rPr>
        <w:fldChar w:fldCharType="end"/>
      </w:r>
      <w:r>
        <w:rPr>
          <w:rFonts w:hint="eastAsia"/>
        </w:rPr>
        <w:fldChar w:fldCharType="end"/>
      </w:r>
    </w:p>
    <w:p w14:paraId="434A281B">
      <w:pPr>
        <w:pStyle w:val="56"/>
        <w:tabs>
          <w:tab w:val="right" w:leader="dot" w:pos="8296"/>
        </w:tabs>
        <w:ind w:left="480" w:firstLine="480"/>
        <w:rPr>
          <w:rFonts w:ascii="Calibri" w:hAnsi="Calibri" w:cs="宋体"/>
          <w:kern w:val="2"/>
          <w:sz w:val="22"/>
        </w:rPr>
      </w:pPr>
      <w:r>
        <w:fldChar w:fldCharType="begin"/>
      </w:r>
      <w:r>
        <w:instrText xml:space="preserve"> HYPERLINK \l "_Toc205291405" </w:instrText>
      </w:r>
      <w:r>
        <w:fldChar w:fldCharType="separate"/>
      </w:r>
      <w:r>
        <w:rPr>
          <w:rStyle w:val="79"/>
          <w:rFonts w:hint="eastAsia"/>
        </w:rPr>
        <w:t>6.2 运营期废气污染防治措施</w:t>
      </w:r>
      <w:r>
        <w:rPr>
          <w:rFonts w:hint="eastAsia"/>
        </w:rPr>
        <w:tab/>
      </w:r>
      <w:r>
        <w:rPr>
          <w:rFonts w:hint="eastAsia"/>
        </w:rPr>
        <w:fldChar w:fldCharType="begin"/>
      </w:r>
      <w:r>
        <w:rPr>
          <w:rFonts w:hint="eastAsia"/>
        </w:rPr>
        <w:instrText xml:space="preserve"> </w:instrText>
      </w:r>
      <w:r>
        <w:instrText xml:space="preserve">PAGEREF _Toc205291405 \h</w:instrText>
      </w:r>
      <w:r>
        <w:rPr>
          <w:rFonts w:hint="eastAsia"/>
        </w:rPr>
        <w:instrText xml:space="preserve"> </w:instrText>
      </w:r>
      <w:r>
        <w:rPr>
          <w:rFonts w:hint="eastAsia"/>
        </w:rPr>
        <w:fldChar w:fldCharType="separate"/>
      </w:r>
      <w:r>
        <w:t>375</w:t>
      </w:r>
      <w:r>
        <w:rPr>
          <w:rFonts w:hint="eastAsia"/>
        </w:rPr>
        <w:fldChar w:fldCharType="end"/>
      </w:r>
      <w:r>
        <w:rPr>
          <w:rFonts w:hint="eastAsia"/>
        </w:rPr>
        <w:fldChar w:fldCharType="end"/>
      </w:r>
    </w:p>
    <w:p w14:paraId="0EF16E53">
      <w:pPr>
        <w:pStyle w:val="56"/>
        <w:tabs>
          <w:tab w:val="right" w:leader="dot" w:pos="8296"/>
        </w:tabs>
        <w:ind w:left="480" w:firstLine="480"/>
        <w:rPr>
          <w:rFonts w:ascii="Calibri" w:hAnsi="Calibri" w:cs="宋体"/>
          <w:kern w:val="2"/>
          <w:sz w:val="22"/>
        </w:rPr>
      </w:pPr>
      <w:r>
        <w:fldChar w:fldCharType="begin"/>
      </w:r>
      <w:r>
        <w:instrText xml:space="preserve"> HYPERLINK \l "_Toc205291406" </w:instrText>
      </w:r>
      <w:r>
        <w:fldChar w:fldCharType="separate"/>
      </w:r>
      <w:r>
        <w:rPr>
          <w:rStyle w:val="79"/>
          <w:rFonts w:hint="eastAsia"/>
        </w:rPr>
        <w:t>6.3 运营期水污染防治措施</w:t>
      </w:r>
      <w:r>
        <w:rPr>
          <w:rFonts w:hint="eastAsia"/>
        </w:rPr>
        <w:tab/>
      </w:r>
      <w:r>
        <w:rPr>
          <w:rFonts w:hint="eastAsia"/>
        </w:rPr>
        <w:fldChar w:fldCharType="begin"/>
      </w:r>
      <w:r>
        <w:rPr>
          <w:rFonts w:hint="eastAsia"/>
        </w:rPr>
        <w:instrText xml:space="preserve"> </w:instrText>
      </w:r>
      <w:r>
        <w:instrText xml:space="preserve">PAGEREF _Toc205291406 \h</w:instrText>
      </w:r>
      <w:r>
        <w:rPr>
          <w:rFonts w:hint="eastAsia"/>
        </w:rPr>
        <w:instrText xml:space="preserve"> </w:instrText>
      </w:r>
      <w:r>
        <w:rPr>
          <w:rFonts w:hint="eastAsia"/>
        </w:rPr>
        <w:fldChar w:fldCharType="separate"/>
      </w:r>
      <w:r>
        <w:t>378</w:t>
      </w:r>
      <w:r>
        <w:rPr>
          <w:rFonts w:hint="eastAsia"/>
        </w:rPr>
        <w:fldChar w:fldCharType="end"/>
      </w:r>
      <w:r>
        <w:rPr>
          <w:rFonts w:hint="eastAsia"/>
        </w:rPr>
        <w:fldChar w:fldCharType="end"/>
      </w:r>
    </w:p>
    <w:p w14:paraId="5F2229D0">
      <w:pPr>
        <w:pStyle w:val="56"/>
        <w:tabs>
          <w:tab w:val="right" w:leader="dot" w:pos="8296"/>
        </w:tabs>
        <w:ind w:left="480" w:firstLine="480"/>
        <w:rPr>
          <w:rFonts w:ascii="Calibri" w:hAnsi="Calibri" w:cs="宋体"/>
          <w:kern w:val="2"/>
          <w:sz w:val="22"/>
        </w:rPr>
      </w:pPr>
      <w:r>
        <w:fldChar w:fldCharType="begin"/>
      </w:r>
      <w:r>
        <w:instrText xml:space="preserve"> HYPERLINK \l "_Toc205291407" </w:instrText>
      </w:r>
      <w:r>
        <w:fldChar w:fldCharType="separate"/>
      </w:r>
      <w:r>
        <w:rPr>
          <w:rStyle w:val="79"/>
          <w:rFonts w:hint="eastAsia"/>
        </w:rPr>
        <w:t>6.4 运营期噪声污染防治措施</w:t>
      </w:r>
      <w:r>
        <w:rPr>
          <w:rFonts w:hint="eastAsia"/>
        </w:rPr>
        <w:tab/>
      </w:r>
      <w:r>
        <w:rPr>
          <w:rFonts w:hint="eastAsia"/>
        </w:rPr>
        <w:fldChar w:fldCharType="begin"/>
      </w:r>
      <w:r>
        <w:rPr>
          <w:rFonts w:hint="eastAsia"/>
        </w:rPr>
        <w:instrText xml:space="preserve"> </w:instrText>
      </w:r>
      <w:r>
        <w:instrText xml:space="preserve">PAGEREF _Toc205291407 \h</w:instrText>
      </w:r>
      <w:r>
        <w:rPr>
          <w:rFonts w:hint="eastAsia"/>
        </w:rPr>
        <w:instrText xml:space="preserve"> </w:instrText>
      </w:r>
      <w:r>
        <w:rPr>
          <w:rFonts w:hint="eastAsia"/>
        </w:rPr>
        <w:fldChar w:fldCharType="separate"/>
      </w:r>
      <w:r>
        <w:t>386</w:t>
      </w:r>
      <w:r>
        <w:rPr>
          <w:rFonts w:hint="eastAsia"/>
        </w:rPr>
        <w:fldChar w:fldCharType="end"/>
      </w:r>
      <w:r>
        <w:rPr>
          <w:rFonts w:hint="eastAsia"/>
        </w:rPr>
        <w:fldChar w:fldCharType="end"/>
      </w:r>
    </w:p>
    <w:p w14:paraId="3CAAEB3A">
      <w:pPr>
        <w:pStyle w:val="56"/>
        <w:tabs>
          <w:tab w:val="right" w:leader="dot" w:pos="8296"/>
        </w:tabs>
        <w:ind w:left="480" w:firstLine="480"/>
        <w:rPr>
          <w:rFonts w:ascii="Calibri" w:hAnsi="Calibri" w:cs="宋体"/>
          <w:kern w:val="2"/>
          <w:sz w:val="22"/>
        </w:rPr>
      </w:pPr>
      <w:r>
        <w:fldChar w:fldCharType="begin"/>
      </w:r>
      <w:r>
        <w:instrText xml:space="preserve"> HYPERLINK \l "_Toc205291408" </w:instrText>
      </w:r>
      <w:r>
        <w:fldChar w:fldCharType="separate"/>
      </w:r>
      <w:r>
        <w:rPr>
          <w:rStyle w:val="79"/>
          <w:rFonts w:hint="eastAsia"/>
        </w:rPr>
        <w:t>6.5 运营期固体废物防治措施</w:t>
      </w:r>
      <w:r>
        <w:rPr>
          <w:rFonts w:hint="eastAsia"/>
        </w:rPr>
        <w:tab/>
      </w:r>
      <w:r>
        <w:rPr>
          <w:rFonts w:hint="eastAsia"/>
        </w:rPr>
        <w:fldChar w:fldCharType="begin"/>
      </w:r>
      <w:r>
        <w:rPr>
          <w:rFonts w:hint="eastAsia"/>
        </w:rPr>
        <w:instrText xml:space="preserve"> </w:instrText>
      </w:r>
      <w:r>
        <w:instrText xml:space="preserve">PAGEREF _Toc205291408 \h</w:instrText>
      </w:r>
      <w:r>
        <w:rPr>
          <w:rFonts w:hint="eastAsia"/>
        </w:rPr>
        <w:instrText xml:space="preserve"> </w:instrText>
      </w:r>
      <w:r>
        <w:rPr>
          <w:rFonts w:hint="eastAsia"/>
        </w:rPr>
        <w:fldChar w:fldCharType="separate"/>
      </w:r>
      <w:r>
        <w:t>388</w:t>
      </w:r>
      <w:r>
        <w:rPr>
          <w:rFonts w:hint="eastAsia"/>
        </w:rPr>
        <w:fldChar w:fldCharType="end"/>
      </w:r>
      <w:r>
        <w:rPr>
          <w:rFonts w:hint="eastAsia"/>
        </w:rPr>
        <w:fldChar w:fldCharType="end"/>
      </w:r>
    </w:p>
    <w:p w14:paraId="040EE1AC">
      <w:pPr>
        <w:pStyle w:val="56"/>
        <w:tabs>
          <w:tab w:val="right" w:leader="dot" w:pos="8296"/>
        </w:tabs>
        <w:ind w:left="480" w:firstLine="480"/>
        <w:rPr>
          <w:rFonts w:ascii="Calibri" w:hAnsi="Calibri" w:cs="宋体"/>
          <w:kern w:val="2"/>
          <w:sz w:val="22"/>
        </w:rPr>
      </w:pPr>
      <w:r>
        <w:fldChar w:fldCharType="begin"/>
      </w:r>
      <w:r>
        <w:instrText xml:space="preserve"> HYPERLINK \l "_Toc205291409" </w:instrText>
      </w:r>
      <w:r>
        <w:fldChar w:fldCharType="separate"/>
      </w:r>
      <w:r>
        <w:rPr>
          <w:rStyle w:val="79"/>
          <w:rFonts w:hint="eastAsia"/>
        </w:rPr>
        <w:t>6.6 运营期生态环境保护措施</w:t>
      </w:r>
      <w:r>
        <w:rPr>
          <w:rFonts w:hint="eastAsia"/>
        </w:rPr>
        <w:tab/>
      </w:r>
      <w:r>
        <w:rPr>
          <w:rFonts w:hint="eastAsia"/>
        </w:rPr>
        <w:fldChar w:fldCharType="begin"/>
      </w:r>
      <w:r>
        <w:rPr>
          <w:rFonts w:hint="eastAsia"/>
        </w:rPr>
        <w:instrText xml:space="preserve"> </w:instrText>
      </w:r>
      <w:r>
        <w:instrText xml:space="preserve">PAGEREF _Toc205291409 \h</w:instrText>
      </w:r>
      <w:r>
        <w:rPr>
          <w:rFonts w:hint="eastAsia"/>
        </w:rPr>
        <w:instrText xml:space="preserve"> </w:instrText>
      </w:r>
      <w:r>
        <w:rPr>
          <w:rFonts w:hint="eastAsia"/>
        </w:rPr>
        <w:fldChar w:fldCharType="separate"/>
      </w:r>
      <w:r>
        <w:t>393</w:t>
      </w:r>
      <w:r>
        <w:rPr>
          <w:rFonts w:hint="eastAsia"/>
        </w:rPr>
        <w:fldChar w:fldCharType="end"/>
      </w:r>
      <w:r>
        <w:rPr>
          <w:rFonts w:hint="eastAsia"/>
        </w:rPr>
        <w:fldChar w:fldCharType="end"/>
      </w:r>
    </w:p>
    <w:p w14:paraId="49F42F8B">
      <w:pPr>
        <w:pStyle w:val="56"/>
        <w:tabs>
          <w:tab w:val="right" w:leader="dot" w:pos="8296"/>
        </w:tabs>
        <w:ind w:left="480" w:firstLine="480"/>
        <w:rPr>
          <w:rFonts w:ascii="Calibri" w:hAnsi="Calibri" w:cs="宋体"/>
          <w:kern w:val="2"/>
          <w:sz w:val="22"/>
        </w:rPr>
      </w:pPr>
      <w:r>
        <w:fldChar w:fldCharType="begin"/>
      </w:r>
      <w:r>
        <w:instrText xml:space="preserve"> HYPERLINK \l "_Toc205291410" </w:instrText>
      </w:r>
      <w:r>
        <w:fldChar w:fldCharType="separate"/>
      </w:r>
      <w:r>
        <w:rPr>
          <w:rStyle w:val="79"/>
          <w:rFonts w:hint="eastAsia"/>
        </w:rPr>
        <w:t>6.7 运营期土壤保护措施</w:t>
      </w:r>
      <w:r>
        <w:rPr>
          <w:rFonts w:hint="eastAsia"/>
        </w:rPr>
        <w:tab/>
      </w:r>
      <w:r>
        <w:rPr>
          <w:rFonts w:hint="eastAsia"/>
        </w:rPr>
        <w:fldChar w:fldCharType="begin"/>
      </w:r>
      <w:r>
        <w:rPr>
          <w:rFonts w:hint="eastAsia"/>
        </w:rPr>
        <w:instrText xml:space="preserve"> </w:instrText>
      </w:r>
      <w:r>
        <w:instrText xml:space="preserve">PAGEREF _Toc205291410 \h</w:instrText>
      </w:r>
      <w:r>
        <w:rPr>
          <w:rFonts w:hint="eastAsia"/>
        </w:rPr>
        <w:instrText xml:space="preserve"> </w:instrText>
      </w:r>
      <w:r>
        <w:rPr>
          <w:rFonts w:hint="eastAsia"/>
        </w:rPr>
        <w:fldChar w:fldCharType="separate"/>
      </w:r>
      <w:r>
        <w:t>394</w:t>
      </w:r>
      <w:r>
        <w:rPr>
          <w:rFonts w:hint="eastAsia"/>
        </w:rPr>
        <w:fldChar w:fldCharType="end"/>
      </w:r>
      <w:r>
        <w:rPr>
          <w:rFonts w:hint="eastAsia"/>
        </w:rPr>
        <w:fldChar w:fldCharType="end"/>
      </w:r>
    </w:p>
    <w:p w14:paraId="37D0B9D8">
      <w:pPr>
        <w:pStyle w:val="43"/>
        <w:tabs>
          <w:tab w:val="right" w:leader="dot" w:pos="8296"/>
        </w:tabs>
        <w:ind w:firstLine="480"/>
        <w:rPr>
          <w:rFonts w:ascii="Calibri" w:hAnsi="Calibri" w:cs="宋体"/>
          <w:kern w:val="2"/>
          <w:sz w:val="22"/>
        </w:rPr>
      </w:pPr>
      <w:r>
        <w:fldChar w:fldCharType="begin"/>
      </w:r>
      <w:r>
        <w:instrText xml:space="preserve"> HYPERLINK \l "_Toc205291411" </w:instrText>
      </w:r>
      <w:r>
        <w:fldChar w:fldCharType="separate"/>
      </w:r>
      <w:r>
        <w:rPr>
          <w:rStyle w:val="79"/>
          <w:rFonts w:hint="eastAsia"/>
        </w:rPr>
        <w:t>第7章 环境风险评价</w:t>
      </w:r>
      <w:r>
        <w:rPr>
          <w:rFonts w:hint="eastAsia"/>
        </w:rPr>
        <w:tab/>
      </w:r>
      <w:r>
        <w:rPr>
          <w:rFonts w:hint="eastAsia"/>
        </w:rPr>
        <w:fldChar w:fldCharType="begin"/>
      </w:r>
      <w:r>
        <w:rPr>
          <w:rFonts w:hint="eastAsia"/>
        </w:rPr>
        <w:instrText xml:space="preserve"> </w:instrText>
      </w:r>
      <w:r>
        <w:instrText xml:space="preserve">PAGEREF _Toc205291411 \h</w:instrText>
      </w:r>
      <w:r>
        <w:rPr>
          <w:rFonts w:hint="eastAsia"/>
        </w:rPr>
        <w:instrText xml:space="preserve"> </w:instrText>
      </w:r>
      <w:r>
        <w:rPr>
          <w:rFonts w:hint="eastAsia"/>
        </w:rPr>
        <w:fldChar w:fldCharType="separate"/>
      </w:r>
      <w:r>
        <w:t>396</w:t>
      </w:r>
      <w:r>
        <w:rPr>
          <w:rFonts w:hint="eastAsia"/>
        </w:rPr>
        <w:fldChar w:fldCharType="end"/>
      </w:r>
      <w:r>
        <w:rPr>
          <w:rFonts w:hint="eastAsia"/>
        </w:rPr>
        <w:fldChar w:fldCharType="end"/>
      </w:r>
    </w:p>
    <w:p w14:paraId="5D765ED8">
      <w:pPr>
        <w:pStyle w:val="56"/>
        <w:tabs>
          <w:tab w:val="right" w:leader="dot" w:pos="8296"/>
        </w:tabs>
        <w:ind w:left="480" w:firstLine="480"/>
        <w:rPr>
          <w:rFonts w:ascii="Calibri" w:hAnsi="Calibri" w:cs="宋体"/>
          <w:kern w:val="2"/>
          <w:sz w:val="22"/>
        </w:rPr>
      </w:pPr>
      <w:r>
        <w:fldChar w:fldCharType="begin"/>
      </w:r>
      <w:r>
        <w:instrText xml:space="preserve"> HYPERLINK \l "_Toc205291412" </w:instrText>
      </w:r>
      <w:r>
        <w:fldChar w:fldCharType="separate"/>
      </w:r>
      <w:r>
        <w:rPr>
          <w:rStyle w:val="79"/>
          <w:rFonts w:hint="eastAsia"/>
        </w:rPr>
        <w:t>7.1 综述</w:t>
      </w:r>
      <w:r>
        <w:rPr>
          <w:rFonts w:hint="eastAsia"/>
        </w:rPr>
        <w:tab/>
      </w:r>
      <w:r>
        <w:rPr>
          <w:rFonts w:hint="eastAsia"/>
        </w:rPr>
        <w:fldChar w:fldCharType="begin"/>
      </w:r>
      <w:r>
        <w:rPr>
          <w:rFonts w:hint="eastAsia"/>
        </w:rPr>
        <w:instrText xml:space="preserve"> </w:instrText>
      </w:r>
      <w:r>
        <w:instrText xml:space="preserve">PAGEREF _Toc205291412 \h</w:instrText>
      </w:r>
      <w:r>
        <w:rPr>
          <w:rFonts w:hint="eastAsia"/>
        </w:rPr>
        <w:instrText xml:space="preserve"> </w:instrText>
      </w:r>
      <w:r>
        <w:rPr>
          <w:rFonts w:hint="eastAsia"/>
        </w:rPr>
        <w:fldChar w:fldCharType="separate"/>
      </w:r>
      <w:r>
        <w:t>396</w:t>
      </w:r>
      <w:r>
        <w:rPr>
          <w:rFonts w:hint="eastAsia"/>
        </w:rPr>
        <w:fldChar w:fldCharType="end"/>
      </w:r>
      <w:r>
        <w:rPr>
          <w:rFonts w:hint="eastAsia"/>
        </w:rPr>
        <w:fldChar w:fldCharType="end"/>
      </w:r>
    </w:p>
    <w:p w14:paraId="21217A55">
      <w:pPr>
        <w:pStyle w:val="56"/>
        <w:tabs>
          <w:tab w:val="right" w:leader="dot" w:pos="8296"/>
        </w:tabs>
        <w:ind w:left="480" w:firstLine="480"/>
        <w:rPr>
          <w:rFonts w:ascii="Calibri" w:hAnsi="Calibri" w:cs="宋体"/>
          <w:kern w:val="2"/>
          <w:sz w:val="22"/>
        </w:rPr>
      </w:pPr>
      <w:r>
        <w:fldChar w:fldCharType="begin"/>
      </w:r>
      <w:r>
        <w:instrText xml:space="preserve"> HYPERLINK \l "_Toc205291413" </w:instrText>
      </w:r>
      <w:r>
        <w:fldChar w:fldCharType="separate"/>
      </w:r>
      <w:r>
        <w:rPr>
          <w:rStyle w:val="79"/>
          <w:rFonts w:hint="eastAsia"/>
        </w:rPr>
        <w:t>7.2 风险调查</w:t>
      </w:r>
      <w:r>
        <w:rPr>
          <w:rFonts w:hint="eastAsia"/>
        </w:rPr>
        <w:tab/>
      </w:r>
      <w:r>
        <w:rPr>
          <w:rFonts w:hint="eastAsia"/>
        </w:rPr>
        <w:fldChar w:fldCharType="begin"/>
      </w:r>
      <w:r>
        <w:rPr>
          <w:rFonts w:hint="eastAsia"/>
        </w:rPr>
        <w:instrText xml:space="preserve"> </w:instrText>
      </w:r>
      <w:r>
        <w:instrText xml:space="preserve">PAGEREF _Toc205291413 \h</w:instrText>
      </w:r>
      <w:r>
        <w:rPr>
          <w:rFonts w:hint="eastAsia"/>
        </w:rPr>
        <w:instrText xml:space="preserve"> </w:instrText>
      </w:r>
      <w:r>
        <w:rPr>
          <w:rFonts w:hint="eastAsia"/>
        </w:rPr>
        <w:fldChar w:fldCharType="separate"/>
      </w:r>
      <w:r>
        <w:t>397</w:t>
      </w:r>
      <w:r>
        <w:rPr>
          <w:rFonts w:hint="eastAsia"/>
        </w:rPr>
        <w:fldChar w:fldCharType="end"/>
      </w:r>
      <w:r>
        <w:rPr>
          <w:rFonts w:hint="eastAsia"/>
        </w:rPr>
        <w:fldChar w:fldCharType="end"/>
      </w:r>
    </w:p>
    <w:p w14:paraId="1C5EDE01">
      <w:pPr>
        <w:pStyle w:val="56"/>
        <w:tabs>
          <w:tab w:val="right" w:leader="dot" w:pos="8296"/>
        </w:tabs>
        <w:ind w:left="480" w:firstLine="480"/>
        <w:rPr>
          <w:rFonts w:ascii="Calibri" w:hAnsi="Calibri" w:cs="宋体"/>
          <w:kern w:val="2"/>
          <w:sz w:val="22"/>
        </w:rPr>
      </w:pPr>
      <w:r>
        <w:fldChar w:fldCharType="begin"/>
      </w:r>
      <w:r>
        <w:instrText xml:space="preserve"> HYPERLINK \l "_Toc205291414" </w:instrText>
      </w:r>
      <w:r>
        <w:fldChar w:fldCharType="separate"/>
      </w:r>
      <w:r>
        <w:rPr>
          <w:rStyle w:val="79"/>
          <w:rFonts w:hint="eastAsia"/>
        </w:rPr>
        <w:t>7.3 环境风险潜势初判</w:t>
      </w:r>
      <w:r>
        <w:rPr>
          <w:rFonts w:hint="eastAsia"/>
        </w:rPr>
        <w:tab/>
      </w:r>
      <w:r>
        <w:rPr>
          <w:rFonts w:hint="eastAsia"/>
        </w:rPr>
        <w:fldChar w:fldCharType="begin"/>
      </w:r>
      <w:r>
        <w:rPr>
          <w:rFonts w:hint="eastAsia"/>
        </w:rPr>
        <w:instrText xml:space="preserve"> </w:instrText>
      </w:r>
      <w:r>
        <w:instrText xml:space="preserve">PAGEREF _Toc205291414 \h</w:instrText>
      </w:r>
      <w:r>
        <w:rPr>
          <w:rFonts w:hint="eastAsia"/>
        </w:rPr>
        <w:instrText xml:space="preserve"> </w:instrText>
      </w:r>
      <w:r>
        <w:rPr>
          <w:rFonts w:hint="eastAsia"/>
        </w:rPr>
        <w:fldChar w:fldCharType="separate"/>
      </w:r>
      <w:r>
        <w:t>398</w:t>
      </w:r>
      <w:r>
        <w:rPr>
          <w:rFonts w:hint="eastAsia"/>
        </w:rPr>
        <w:fldChar w:fldCharType="end"/>
      </w:r>
      <w:r>
        <w:rPr>
          <w:rFonts w:hint="eastAsia"/>
        </w:rPr>
        <w:fldChar w:fldCharType="end"/>
      </w:r>
    </w:p>
    <w:p w14:paraId="7E779F01">
      <w:pPr>
        <w:pStyle w:val="56"/>
        <w:tabs>
          <w:tab w:val="right" w:leader="dot" w:pos="8296"/>
        </w:tabs>
        <w:ind w:left="480" w:firstLine="480"/>
        <w:rPr>
          <w:rFonts w:ascii="Calibri" w:hAnsi="Calibri" w:cs="宋体"/>
          <w:kern w:val="2"/>
          <w:sz w:val="22"/>
        </w:rPr>
      </w:pPr>
      <w:r>
        <w:fldChar w:fldCharType="begin"/>
      </w:r>
      <w:r>
        <w:instrText xml:space="preserve"> HYPERLINK \l "_Toc205291415" </w:instrText>
      </w:r>
      <w:r>
        <w:fldChar w:fldCharType="separate"/>
      </w:r>
      <w:r>
        <w:rPr>
          <w:rStyle w:val="79"/>
          <w:rFonts w:hint="eastAsia"/>
        </w:rPr>
        <w:t>7.4 评价等级及评价范围</w:t>
      </w:r>
      <w:r>
        <w:rPr>
          <w:rFonts w:hint="eastAsia"/>
        </w:rPr>
        <w:tab/>
      </w:r>
      <w:r>
        <w:rPr>
          <w:rFonts w:hint="eastAsia"/>
        </w:rPr>
        <w:fldChar w:fldCharType="begin"/>
      </w:r>
      <w:r>
        <w:rPr>
          <w:rFonts w:hint="eastAsia"/>
        </w:rPr>
        <w:instrText xml:space="preserve"> </w:instrText>
      </w:r>
      <w:r>
        <w:instrText xml:space="preserve">PAGEREF _Toc205291415 \h</w:instrText>
      </w:r>
      <w:r>
        <w:rPr>
          <w:rFonts w:hint="eastAsia"/>
        </w:rPr>
        <w:instrText xml:space="preserve"> </w:instrText>
      </w:r>
      <w:r>
        <w:rPr>
          <w:rFonts w:hint="eastAsia"/>
        </w:rPr>
        <w:fldChar w:fldCharType="separate"/>
      </w:r>
      <w:r>
        <w:t>404</w:t>
      </w:r>
      <w:r>
        <w:rPr>
          <w:rFonts w:hint="eastAsia"/>
        </w:rPr>
        <w:fldChar w:fldCharType="end"/>
      </w:r>
      <w:r>
        <w:rPr>
          <w:rFonts w:hint="eastAsia"/>
        </w:rPr>
        <w:fldChar w:fldCharType="end"/>
      </w:r>
    </w:p>
    <w:p w14:paraId="4E1BF6FA">
      <w:pPr>
        <w:pStyle w:val="56"/>
        <w:tabs>
          <w:tab w:val="right" w:leader="dot" w:pos="8296"/>
        </w:tabs>
        <w:ind w:left="480" w:firstLine="480"/>
        <w:rPr>
          <w:rFonts w:ascii="Calibri" w:hAnsi="Calibri" w:cs="宋体"/>
          <w:kern w:val="2"/>
          <w:sz w:val="22"/>
        </w:rPr>
      </w:pPr>
      <w:r>
        <w:fldChar w:fldCharType="begin"/>
      </w:r>
      <w:r>
        <w:instrText xml:space="preserve"> HYPERLINK \l "_Toc205291416" </w:instrText>
      </w:r>
      <w:r>
        <w:fldChar w:fldCharType="separate"/>
      </w:r>
      <w:r>
        <w:rPr>
          <w:rStyle w:val="79"/>
          <w:rFonts w:hint="eastAsia"/>
        </w:rPr>
        <w:t>7.5 环境风险识别</w:t>
      </w:r>
      <w:r>
        <w:rPr>
          <w:rFonts w:hint="eastAsia"/>
        </w:rPr>
        <w:tab/>
      </w:r>
      <w:r>
        <w:rPr>
          <w:rFonts w:hint="eastAsia"/>
        </w:rPr>
        <w:fldChar w:fldCharType="begin"/>
      </w:r>
      <w:r>
        <w:rPr>
          <w:rFonts w:hint="eastAsia"/>
        </w:rPr>
        <w:instrText xml:space="preserve"> </w:instrText>
      </w:r>
      <w:r>
        <w:instrText xml:space="preserve">PAGEREF _Toc205291416 \h</w:instrText>
      </w:r>
      <w:r>
        <w:rPr>
          <w:rFonts w:hint="eastAsia"/>
        </w:rPr>
        <w:instrText xml:space="preserve"> </w:instrText>
      </w:r>
      <w:r>
        <w:rPr>
          <w:rFonts w:hint="eastAsia"/>
        </w:rPr>
        <w:fldChar w:fldCharType="separate"/>
      </w:r>
      <w:r>
        <w:t>405</w:t>
      </w:r>
      <w:r>
        <w:rPr>
          <w:rFonts w:hint="eastAsia"/>
        </w:rPr>
        <w:fldChar w:fldCharType="end"/>
      </w:r>
      <w:r>
        <w:rPr>
          <w:rFonts w:hint="eastAsia"/>
        </w:rPr>
        <w:fldChar w:fldCharType="end"/>
      </w:r>
    </w:p>
    <w:p w14:paraId="21DEBA5A">
      <w:pPr>
        <w:pStyle w:val="56"/>
        <w:tabs>
          <w:tab w:val="right" w:leader="dot" w:pos="8296"/>
        </w:tabs>
        <w:ind w:left="480" w:firstLine="480"/>
        <w:rPr>
          <w:rFonts w:ascii="Calibri" w:hAnsi="Calibri" w:cs="宋体"/>
          <w:kern w:val="2"/>
          <w:sz w:val="22"/>
        </w:rPr>
      </w:pPr>
      <w:r>
        <w:fldChar w:fldCharType="begin"/>
      </w:r>
      <w:r>
        <w:instrText xml:space="preserve"> HYPERLINK \l "_Toc205291417" </w:instrText>
      </w:r>
      <w:r>
        <w:fldChar w:fldCharType="separate"/>
      </w:r>
      <w:r>
        <w:rPr>
          <w:rStyle w:val="79"/>
          <w:rFonts w:hint="eastAsia"/>
        </w:rPr>
        <w:t>7.6 环境风险分析</w:t>
      </w:r>
      <w:r>
        <w:rPr>
          <w:rFonts w:hint="eastAsia"/>
        </w:rPr>
        <w:tab/>
      </w:r>
      <w:r>
        <w:rPr>
          <w:rFonts w:hint="eastAsia"/>
        </w:rPr>
        <w:fldChar w:fldCharType="begin"/>
      </w:r>
      <w:r>
        <w:rPr>
          <w:rFonts w:hint="eastAsia"/>
        </w:rPr>
        <w:instrText xml:space="preserve"> </w:instrText>
      </w:r>
      <w:r>
        <w:instrText xml:space="preserve">PAGEREF _Toc205291417 \h</w:instrText>
      </w:r>
      <w:r>
        <w:rPr>
          <w:rFonts w:hint="eastAsia"/>
        </w:rPr>
        <w:instrText xml:space="preserve"> </w:instrText>
      </w:r>
      <w:r>
        <w:rPr>
          <w:rFonts w:hint="eastAsia"/>
        </w:rPr>
        <w:fldChar w:fldCharType="separate"/>
      </w:r>
      <w:r>
        <w:t>412</w:t>
      </w:r>
      <w:r>
        <w:rPr>
          <w:rFonts w:hint="eastAsia"/>
        </w:rPr>
        <w:fldChar w:fldCharType="end"/>
      </w:r>
      <w:r>
        <w:rPr>
          <w:rFonts w:hint="eastAsia"/>
        </w:rPr>
        <w:fldChar w:fldCharType="end"/>
      </w:r>
    </w:p>
    <w:p w14:paraId="789FC6E3">
      <w:pPr>
        <w:pStyle w:val="56"/>
        <w:tabs>
          <w:tab w:val="right" w:leader="dot" w:pos="8296"/>
        </w:tabs>
        <w:ind w:left="480" w:firstLine="480"/>
        <w:rPr>
          <w:rFonts w:ascii="Calibri" w:hAnsi="Calibri" w:cs="宋体"/>
          <w:kern w:val="2"/>
          <w:sz w:val="22"/>
        </w:rPr>
      </w:pPr>
      <w:r>
        <w:fldChar w:fldCharType="begin"/>
      </w:r>
      <w:r>
        <w:instrText xml:space="preserve"> HYPERLINK \l "_Toc205291418" </w:instrText>
      </w:r>
      <w:r>
        <w:fldChar w:fldCharType="separate"/>
      </w:r>
      <w:r>
        <w:rPr>
          <w:rStyle w:val="79"/>
          <w:rFonts w:hint="eastAsia"/>
        </w:rPr>
        <w:t>7.7 环境风险事故预测与评价</w:t>
      </w:r>
      <w:r>
        <w:rPr>
          <w:rFonts w:hint="eastAsia"/>
        </w:rPr>
        <w:tab/>
      </w:r>
      <w:r>
        <w:rPr>
          <w:rFonts w:hint="eastAsia"/>
        </w:rPr>
        <w:fldChar w:fldCharType="begin"/>
      </w:r>
      <w:r>
        <w:rPr>
          <w:rFonts w:hint="eastAsia"/>
        </w:rPr>
        <w:instrText xml:space="preserve"> </w:instrText>
      </w:r>
      <w:r>
        <w:instrText xml:space="preserve">PAGEREF _Toc205291418 \h</w:instrText>
      </w:r>
      <w:r>
        <w:rPr>
          <w:rFonts w:hint="eastAsia"/>
        </w:rPr>
        <w:instrText xml:space="preserve"> </w:instrText>
      </w:r>
      <w:r>
        <w:rPr>
          <w:rFonts w:hint="eastAsia"/>
        </w:rPr>
        <w:fldChar w:fldCharType="separate"/>
      </w:r>
      <w:r>
        <w:t>414</w:t>
      </w:r>
      <w:r>
        <w:rPr>
          <w:rFonts w:hint="eastAsia"/>
        </w:rPr>
        <w:fldChar w:fldCharType="end"/>
      </w:r>
      <w:r>
        <w:rPr>
          <w:rFonts w:hint="eastAsia"/>
        </w:rPr>
        <w:fldChar w:fldCharType="end"/>
      </w:r>
    </w:p>
    <w:p w14:paraId="249DFB83">
      <w:pPr>
        <w:pStyle w:val="56"/>
        <w:tabs>
          <w:tab w:val="right" w:leader="dot" w:pos="8296"/>
        </w:tabs>
        <w:ind w:left="480" w:firstLine="480"/>
        <w:rPr>
          <w:rFonts w:ascii="Calibri" w:hAnsi="Calibri" w:cs="宋体"/>
          <w:kern w:val="2"/>
          <w:sz w:val="22"/>
        </w:rPr>
      </w:pPr>
      <w:r>
        <w:fldChar w:fldCharType="begin"/>
      </w:r>
      <w:r>
        <w:instrText xml:space="preserve"> HYPERLINK \l "_Toc205291419" </w:instrText>
      </w:r>
      <w:r>
        <w:fldChar w:fldCharType="separate"/>
      </w:r>
      <w:r>
        <w:rPr>
          <w:rStyle w:val="79"/>
          <w:rFonts w:hint="eastAsia"/>
        </w:rPr>
        <w:t>7.8 环境风险管理</w:t>
      </w:r>
      <w:r>
        <w:rPr>
          <w:rFonts w:hint="eastAsia"/>
        </w:rPr>
        <w:tab/>
      </w:r>
      <w:r>
        <w:rPr>
          <w:rFonts w:hint="eastAsia"/>
        </w:rPr>
        <w:fldChar w:fldCharType="begin"/>
      </w:r>
      <w:r>
        <w:rPr>
          <w:rFonts w:hint="eastAsia"/>
        </w:rPr>
        <w:instrText xml:space="preserve"> </w:instrText>
      </w:r>
      <w:r>
        <w:instrText xml:space="preserve">PAGEREF _Toc205291419 \h</w:instrText>
      </w:r>
      <w:r>
        <w:rPr>
          <w:rFonts w:hint="eastAsia"/>
        </w:rPr>
        <w:instrText xml:space="preserve"> </w:instrText>
      </w:r>
      <w:r>
        <w:rPr>
          <w:rFonts w:hint="eastAsia"/>
        </w:rPr>
        <w:fldChar w:fldCharType="separate"/>
      </w:r>
      <w:r>
        <w:t>422</w:t>
      </w:r>
      <w:r>
        <w:rPr>
          <w:rFonts w:hint="eastAsia"/>
        </w:rPr>
        <w:fldChar w:fldCharType="end"/>
      </w:r>
      <w:r>
        <w:rPr>
          <w:rFonts w:hint="eastAsia"/>
        </w:rPr>
        <w:fldChar w:fldCharType="end"/>
      </w:r>
    </w:p>
    <w:p w14:paraId="5BC68C9B">
      <w:pPr>
        <w:pStyle w:val="56"/>
        <w:tabs>
          <w:tab w:val="right" w:leader="dot" w:pos="8296"/>
        </w:tabs>
        <w:ind w:left="480" w:firstLine="480"/>
        <w:rPr>
          <w:rFonts w:ascii="Calibri" w:hAnsi="Calibri" w:cs="宋体"/>
          <w:kern w:val="2"/>
          <w:sz w:val="22"/>
        </w:rPr>
      </w:pPr>
      <w:r>
        <w:fldChar w:fldCharType="begin"/>
      </w:r>
      <w:r>
        <w:instrText xml:space="preserve"> HYPERLINK \l "_Toc205291420" </w:instrText>
      </w:r>
      <w:r>
        <w:fldChar w:fldCharType="separate"/>
      </w:r>
      <w:r>
        <w:rPr>
          <w:rStyle w:val="79"/>
          <w:rFonts w:hint="eastAsia"/>
        </w:rPr>
        <w:t>7.9 突发环境事件应急预案</w:t>
      </w:r>
      <w:r>
        <w:rPr>
          <w:rFonts w:hint="eastAsia"/>
        </w:rPr>
        <w:tab/>
      </w:r>
      <w:r>
        <w:rPr>
          <w:rFonts w:hint="eastAsia"/>
        </w:rPr>
        <w:fldChar w:fldCharType="begin"/>
      </w:r>
      <w:r>
        <w:rPr>
          <w:rFonts w:hint="eastAsia"/>
        </w:rPr>
        <w:instrText xml:space="preserve"> </w:instrText>
      </w:r>
      <w:r>
        <w:instrText xml:space="preserve">PAGEREF _Toc205291420 \h</w:instrText>
      </w:r>
      <w:r>
        <w:rPr>
          <w:rFonts w:hint="eastAsia"/>
        </w:rPr>
        <w:instrText xml:space="preserve"> </w:instrText>
      </w:r>
      <w:r>
        <w:rPr>
          <w:rFonts w:hint="eastAsia"/>
        </w:rPr>
        <w:fldChar w:fldCharType="separate"/>
      </w:r>
      <w:r>
        <w:t>430</w:t>
      </w:r>
      <w:r>
        <w:rPr>
          <w:rFonts w:hint="eastAsia"/>
        </w:rPr>
        <w:fldChar w:fldCharType="end"/>
      </w:r>
      <w:r>
        <w:rPr>
          <w:rFonts w:hint="eastAsia"/>
        </w:rPr>
        <w:fldChar w:fldCharType="end"/>
      </w:r>
    </w:p>
    <w:p w14:paraId="6B0D031A">
      <w:pPr>
        <w:pStyle w:val="56"/>
        <w:tabs>
          <w:tab w:val="right" w:leader="dot" w:pos="8296"/>
        </w:tabs>
        <w:ind w:left="480" w:firstLine="480"/>
        <w:rPr>
          <w:rFonts w:ascii="Calibri" w:hAnsi="Calibri" w:cs="宋体"/>
          <w:kern w:val="2"/>
          <w:sz w:val="22"/>
        </w:rPr>
      </w:pPr>
      <w:r>
        <w:fldChar w:fldCharType="begin"/>
      </w:r>
      <w:r>
        <w:instrText xml:space="preserve"> HYPERLINK \l "_Toc205291421" </w:instrText>
      </w:r>
      <w:r>
        <w:fldChar w:fldCharType="separate"/>
      </w:r>
      <w:r>
        <w:rPr>
          <w:rStyle w:val="79"/>
          <w:rFonts w:hint="eastAsia"/>
        </w:rPr>
        <w:t>7.10 环境风险评价自查表</w:t>
      </w:r>
      <w:r>
        <w:rPr>
          <w:rFonts w:hint="eastAsia"/>
        </w:rPr>
        <w:tab/>
      </w:r>
      <w:r>
        <w:rPr>
          <w:rFonts w:hint="eastAsia"/>
        </w:rPr>
        <w:fldChar w:fldCharType="begin"/>
      </w:r>
      <w:r>
        <w:rPr>
          <w:rFonts w:hint="eastAsia"/>
        </w:rPr>
        <w:instrText xml:space="preserve"> </w:instrText>
      </w:r>
      <w:r>
        <w:instrText xml:space="preserve">PAGEREF _Toc205291421 \h</w:instrText>
      </w:r>
      <w:r>
        <w:rPr>
          <w:rFonts w:hint="eastAsia"/>
        </w:rPr>
        <w:instrText xml:space="preserve"> </w:instrText>
      </w:r>
      <w:r>
        <w:rPr>
          <w:rFonts w:hint="eastAsia"/>
        </w:rPr>
        <w:fldChar w:fldCharType="separate"/>
      </w:r>
      <w:r>
        <w:t>434</w:t>
      </w:r>
      <w:r>
        <w:rPr>
          <w:rFonts w:hint="eastAsia"/>
        </w:rPr>
        <w:fldChar w:fldCharType="end"/>
      </w:r>
      <w:r>
        <w:rPr>
          <w:rFonts w:hint="eastAsia"/>
        </w:rPr>
        <w:fldChar w:fldCharType="end"/>
      </w:r>
    </w:p>
    <w:p w14:paraId="6D3CF2C1">
      <w:pPr>
        <w:pStyle w:val="43"/>
        <w:tabs>
          <w:tab w:val="right" w:leader="dot" w:pos="8296"/>
        </w:tabs>
        <w:ind w:firstLine="480"/>
        <w:rPr>
          <w:rFonts w:ascii="Calibri" w:hAnsi="Calibri" w:cs="宋体"/>
          <w:kern w:val="2"/>
          <w:sz w:val="22"/>
        </w:rPr>
      </w:pPr>
      <w:r>
        <w:fldChar w:fldCharType="begin"/>
      </w:r>
      <w:r>
        <w:instrText xml:space="preserve"> HYPERLINK \l "_Toc205291422" </w:instrText>
      </w:r>
      <w:r>
        <w:fldChar w:fldCharType="separate"/>
      </w:r>
      <w:r>
        <w:rPr>
          <w:rStyle w:val="79"/>
          <w:rFonts w:hint="eastAsia"/>
        </w:rPr>
        <w:t>第8章 环境影响经济损益分析</w:t>
      </w:r>
      <w:r>
        <w:rPr>
          <w:rFonts w:hint="eastAsia"/>
        </w:rPr>
        <w:tab/>
      </w:r>
      <w:r>
        <w:rPr>
          <w:rFonts w:hint="eastAsia"/>
        </w:rPr>
        <w:fldChar w:fldCharType="begin"/>
      </w:r>
      <w:r>
        <w:rPr>
          <w:rFonts w:hint="eastAsia"/>
        </w:rPr>
        <w:instrText xml:space="preserve"> </w:instrText>
      </w:r>
      <w:r>
        <w:instrText xml:space="preserve">PAGEREF _Toc205291422 \h</w:instrText>
      </w:r>
      <w:r>
        <w:rPr>
          <w:rFonts w:hint="eastAsia"/>
        </w:rPr>
        <w:instrText xml:space="preserve"> </w:instrText>
      </w:r>
      <w:r>
        <w:rPr>
          <w:rFonts w:hint="eastAsia"/>
        </w:rPr>
        <w:fldChar w:fldCharType="separate"/>
      </w:r>
      <w:r>
        <w:t>436</w:t>
      </w:r>
      <w:r>
        <w:rPr>
          <w:rFonts w:hint="eastAsia"/>
        </w:rPr>
        <w:fldChar w:fldCharType="end"/>
      </w:r>
      <w:r>
        <w:rPr>
          <w:rFonts w:hint="eastAsia"/>
        </w:rPr>
        <w:fldChar w:fldCharType="end"/>
      </w:r>
    </w:p>
    <w:p w14:paraId="5639CF1F">
      <w:pPr>
        <w:pStyle w:val="56"/>
        <w:tabs>
          <w:tab w:val="right" w:leader="dot" w:pos="8296"/>
        </w:tabs>
        <w:ind w:left="480" w:firstLine="480"/>
        <w:rPr>
          <w:rFonts w:ascii="Calibri" w:hAnsi="Calibri" w:cs="宋体"/>
          <w:kern w:val="2"/>
          <w:sz w:val="22"/>
        </w:rPr>
      </w:pPr>
      <w:r>
        <w:fldChar w:fldCharType="begin"/>
      </w:r>
      <w:r>
        <w:instrText xml:space="preserve"> HYPERLINK \l "_Toc205291423" </w:instrText>
      </w:r>
      <w:r>
        <w:fldChar w:fldCharType="separate"/>
      </w:r>
      <w:r>
        <w:rPr>
          <w:rStyle w:val="79"/>
          <w:rFonts w:hint="eastAsia"/>
        </w:rPr>
        <w:t>8.1 环保设施内容及投资估算</w:t>
      </w:r>
      <w:r>
        <w:rPr>
          <w:rFonts w:hint="eastAsia"/>
        </w:rPr>
        <w:tab/>
      </w:r>
      <w:r>
        <w:rPr>
          <w:rFonts w:hint="eastAsia"/>
        </w:rPr>
        <w:fldChar w:fldCharType="begin"/>
      </w:r>
      <w:r>
        <w:rPr>
          <w:rFonts w:hint="eastAsia"/>
        </w:rPr>
        <w:instrText xml:space="preserve"> </w:instrText>
      </w:r>
      <w:r>
        <w:instrText xml:space="preserve">PAGEREF _Toc205291423 \h</w:instrText>
      </w:r>
      <w:r>
        <w:rPr>
          <w:rFonts w:hint="eastAsia"/>
        </w:rPr>
        <w:instrText xml:space="preserve"> </w:instrText>
      </w:r>
      <w:r>
        <w:rPr>
          <w:rFonts w:hint="eastAsia"/>
        </w:rPr>
        <w:fldChar w:fldCharType="separate"/>
      </w:r>
      <w:r>
        <w:t>436</w:t>
      </w:r>
      <w:r>
        <w:rPr>
          <w:rFonts w:hint="eastAsia"/>
        </w:rPr>
        <w:fldChar w:fldCharType="end"/>
      </w:r>
      <w:r>
        <w:rPr>
          <w:rFonts w:hint="eastAsia"/>
        </w:rPr>
        <w:fldChar w:fldCharType="end"/>
      </w:r>
    </w:p>
    <w:p w14:paraId="02CBBF98">
      <w:pPr>
        <w:pStyle w:val="56"/>
        <w:tabs>
          <w:tab w:val="right" w:leader="dot" w:pos="8296"/>
        </w:tabs>
        <w:ind w:left="480" w:firstLine="480"/>
        <w:rPr>
          <w:rFonts w:ascii="Calibri" w:hAnsi="Calibri" w:cs="宋体"/>
          <w:kern w:val="2"/>
          <w:sz w:val="22"/>
        </w:rPr>
      </w:pPr>
      <w:r>
        <w:fldChar w:fldCharType="begin"/>
      </w:r>
      <w:r>
        <w:instrText xml:space="preserve"> HYPERLINK \l "_Toc205291424" </w:instrText>
      </w:r>
      <w:r>
        <w:fldChar w:fldCharType="separate"/>
      </w:r>
      <w:r>
        <w:rPr>
          <w:rStyle w:val="79"/>
          <w:rFonts w:hint="eastAsia"/>
        </w:rPr>
        <w:t>8.2 环保投资效益分析</w:t>
      </w:r>
      <w:r>
        <w:rPr>
          <w:rFonts w:hint="eastAsia"/>
        </w:rPr>
        <w:tab/>
      </w:r>
      <w:r>
        <w:rPr>
          <w:rFonts w:hint="eastAsia"/>
        </w:rPr>
        <w:fldChar w:fldCharType="begin"/>
      </w:r>
      <w:r>
        <w:rPr>
          <w:rFonts w:hint="eastAsia"/>
        </w:rPr>
        <w:instrText xml:space="preserve"> </w:instrText>
      </w:r>
      <w:r>
        <w:instrText xml:space="preserve">PAGEREF _Toc205291424 \h</w:instrText>
      </w:r>
      <w:r>
        <w:rPr>
          <w:rFonts w:hint="eastAsia"/>
        </w:rPr>
        <w:instrText xml:space="preserve"> </w:instrText>
      </w:r>
      <w:r>
        <w:rPr>
          <w:rFonts w:hint="eastAsia"/>
        </w:rPr>
        <w:fldChar w:fldCharType="separate"/>
      </w:r>
      <w:r>
        <w:t>437</w:t>
      </w:r>
      <w:r>
        <w:rPr>
          <w:rFonts w:hint="eastAsia"/>
        </w:rPr>
        <w:fldChar w:fldCharType="end"/>
      </w:r>
      <w:r>
        <w:rPr>
          <w:rFonts w:hint="eastAsia"/>
        </w:rPr>
        <w:fldChar w:fldCharType="end"/>
      </w:r>
    </w:p>
    <w:p w14:paraId="5D81C9D6">
      <w:pPr>
        <w:pStyle w:val="56"/>
        <w:tabs>
          <w:tab w:val="right" w:leader="dot" w:pos="8296"/>
        </w:tabs>
        <w:ind w:left="480" w:firstLine="480"/>
        <w:rPr>
          <w:rFonts w:ascii="Calibri" w:hAnsi="Calibri" w:cs="宋体"/>
          <w:kern w:val="2"/>
          <w:sz w:val="22"/>
        </w:rPr>
      </w:pPr>
      <w:r>
        <w:fldChar w:fldCharType="begin"/>
      </w:r>
      <w:r>
        <w:instrText xml:space="preserve"> HYPERLINK \l "_Toc205291425" </w:instrText>
      </w:r>
      <w:r>
        <w:fldChar w:fldCharType="separate"/>
      </w:r>
      <w:r>
        <w:rPr>
          <w:rStyle w:val="79"/>
          <w:rFonts w:hint="eastAsia"/>
        </w:rPr>
        <w:t>8.3 社会效益分析</w:t>
      </w:r>
      <w:r>
        <w:rPr>
          <w:rFonts w:hint="eastAsia"/>
        </w:rPr>
        <w:tab/>
      </w:r>
      <w:r>
        <w:rPr>
          <w:rFonts w:hint="eastAsia"/>
        </w:rPr>
        <w:fldChar w:fldCharType="begin"/>
      </w:r>
      <w:r>
        <w:rPr>
          <w:rFonts w:hint="eastAsia"/>
        </w:rPr>
        <w:instrText xml:space="preserve"> </w:instrText>
      </w:r>
      <w:r>
        <w:instrText xml:space="preserve">PAGEREF _Toc205291425 \h</w:instrText>
      </w:r>
      <w:r>
        <w:rPr>
          <w:rFonts w:hint="eastAsia"/>
        </w:rPr>
        <w:instrText xml:space="preserve"> </w:instrText>
      </w:r>
      <w:r>
        <w:rPr>
          <w:rFonts w:hint="eastAsia"/>
        </w:rPr>
        <w:fldChar w:fldCharType="separate"/>
      </w:r>
      <w:r>
        <w:t>438</w:t>
      </w:r>
      <w:r>
        <w:rPr>
          <w:rFonts w:hint="eastAsia"/>
        </w:rPr>
        <w:fldChar w:fldCharType="end"/>
      </w:r>
      <w:r>
        <w:rPr>
          <w:rFonts w:hint="eastAsia"/>
        </w:rPr>
        <w:fldChar w:fldCharType="end"/>
      </w:r>
    </w:p>
    <w:p w14:paraId="5729099C">
      <w:pPr>
        <w:pStyle w:val="56"/>
        <w:tabs>
          <w:tab w:val="right" w:leader="dot" w:pos="8296"/>
        </w:tabs>
        <w:ind w:left="480" w:firstLine="480"/>
        <w:rPr>
          <w:rFonts w:ascii="Calibri" w:hAnsi="Calibri" w:cs="宋体"/>
          <w:kern w:val="2"/>
          <w:sz w:val="22"/>
        </w:rPr>
      </w:pPr>
      <w:r>
        <w:fldChar w:fldCharType="begin"/>
      </w:r>
      <w:r>
        <w:instrText xml:space="preserve"> HYPERLINK \l "_Toc205291426" </w:instrText>
      </w:r>
      <w:r>
        <w:fldChar w:fldCharType="separate"/>
      </w:r>
      <w:r>
        <w:rPr>
          <w:rStyle w:val="79"/>
          <w:rFonts w:hint="eastAsia"/>
        </w:rPr>
        <w:t>8.4 小结</w:t>
      </w:r>
      <w:r>
        <w:rPr>
          <w:rFonts w:hint="eastAsia"/>
        </w:rPr>
        <w:tab/>
      </w:r>
      <w:r>
        <w:rPr>
          <w:rFonts w:hint="eastAsia"/>
        </w:rPr>
        <w:fldChar w:fldCharType="begin"/>
      </w:r>
      <w:r>
        <w:rPr>
          <w:rFonts w:hint="eastAsia"/>
        </w:rPr>
        <w:instrText xml:space="preserve"> </w:instrText>
      </w:r>
      <w:r>
        <w:instrText xml:space="preserve">PAGEREF _Toc205291426 \h</w:instrText>
      </w:r>
      <w:r>
        <w:rPr>
          <w:rFonts w:hint="eastAsia"/>
        </w:rPr>
        <w:instrText xml:space="preserve"> </w:instrText>
      </w:r>
      <w:r>
        <w:rPr>
          <w:rFonts w:hint="eastAsia"/>
        </w:rPr>
        <w:fldChar w:fldCharType="separate"/>
      </w:r>
      <w:r>
        <w:t>438</w:t>
      </w:r>
      <w:r>
        <w:rPr>
          <w:rFonts w:hint="eastAsia"/>
        </w:rPr>
        <w:fldChar w:fldCharType="end"/>
      </w:r>
      <w:r>
        <w:rPr>
          <w:rFonts w:hint="eastAsia"/>
        </w:rPr>
        <w:fldChar w:fldCharType="end"/>
      </w:r>
    </w:p>
    <w:p w14:paraId="5C62819C">
      <w:pPr>
        <w:pStyle w:val="43"/>
        <w:tabs>
          <w:tab w:val="right" w:leader="dot" w:pos="8296"/>
        </w:tabs>
        <w:ind w:firstLine="480"/>
        <w:rPr>
          <w:rFonts w:ascii="Calibri" w:hAnsi="Calibri" w:cs="宋体"/>
          <w:kern w:val="2"/>
          <w:sz w:val="22"/>
        </w:rPr>
      </w:pPr>
      <w:r>
        <w:fldChar w:fldCharType="begin"/>
      </w:r>
      <w:r>
        <w:instrText xml:space="preserve"> HYPERLINK \l "_Toc205291427" </w:instrText>
      </w:r>
      <w:r>
        <w:fldChar w:fldCharType="separate"/>
      </w:r>
      <w:r>
        <w:rPr>
          <w:rStyle w:val="79"/>
          <w:rFonts w:hint="eastAsia"/>
        </w:rPr>
        <w:t>第9章 环境管理与监测计划</w:t>
      </w:r>
      <w:r>
        <w:rPr>
          <w:rFonts w:hint="eastAsia"/>
        </w:rPr>
        <w:tab/>
      </w:r>
      <w:r>
        <w:rPr>
          <w:rFonts w:hint="eastAsia"/>
        </w:rPr>
        <w:fldChar w:fldCharType="begin"/>
      </w:r>
      <w:r>
        <w:rPr>
          <w:rFonts w:hint="eastAsia"/>
        </w:rPr>
        <w:instrText xml:space="preserve"> </w:instrText>
      </w:r>
      <w:r>
        <w:instrText xml:space="preserve">PAGEREF _Toc205291427 \h</w:instrText>
      </w:r>
      <w:r>
        <w:rPr>
          <w:rFonts w:hint="eastAsia"/>
        </w:rPr>
        <w:instrText xml:space="preserve"> </w:instrText>
      </w:r>
      <w:r>
        <w:rPr>
          <w:rFonts w:hint="eastAsia"/>
        </w:rPr>
        <w:fldChar w:fldCharType="separate"/>
      </w:r>
      <w:r>
        <w:t>439</w:t>
      </w:r>
      <w:r>
        <w:rPr>
          <w:rFonts w:hint="eastAsia"/>
        </w:rPr>
        <w:fldChar w:fldCharType="end"/>
      </w:r>
      <w:r>
        <w:rPr>
          <w:rFonts w:hint="eastAsia"/>
        </w:rPr>
        <w:fldChar w:fldCharType="end"/>
      </w:r>
    </w:p>
    <w:p w14:paraId="4A1312A4">
      <w:pPr>
        <w:pStyle w:val="56"/>
        <w:tabs>
          <w:tab w:val="right" w:leader="dot" w:pos="8296"/>
        </w:tabs>
        <w:ind w:left="480" w:firstLine="480"/>
        <w:rPr>
          <w:rFonts w:ascii="Calibri" w:hAnsi="Calibri" w:cs="宋体"/>
          <w:kern w:val="2"/>
          <w:sz w:val="22"/>
        </w:rPr>
      </w:pPr>
      <w:r>
        <w:fldChar w:fldCharType="begin"/>
      </w:r>
      <w:r>
        <w:instrText xml:space="preserve"> HYPERLINK \l "_Toc205291428" </w:instrText>
      </w:r>
      <w:r>
        <w:fldChar w:fldCharType="separate"/>
      </w:r>
      <w:r>
        <w:rPr>
          <w:rStyle w:val="79"/>
          <w:rFonts w:hint="eastAsia"/>
        </w:rPr>
        <w:t>9.1 环境管理</w:t>
      </w:r>
      <w:r>
        <w:rPr>
          <w:rFonts w:hint="eastAsia"/>
        </w:rPr>
        <w:tab/>
      </w:r>
      <w:r>
        <w:rPr>
          <w:rFonts w:hint="eastAsia"/>
        </w:rPr>
        <w:fldChar w:fldCharType="begin"/>
      </w:r>
      <w:r>
        <w:rPr>
          <w:rFonts w:hint="eastAsia"/>
        </w:rPr>
        <w:instrText xml:space="preserve"> </w:instrText>
      </w:r>
      <w:r>
        <w:instrText xml:space="preserve">PAGEREF _Toc205291428 \h</w:instrText>
      </w:r>
      <w:r>
        <w:rPr>
          <w:rFonts w:hint="eastAsia"/>
        </w:rPr>
        <w:instrText xml:space="preserve"> </w:instrText>
      </w:r>
      <w:r>
        <w:rPr>
          <w:rFonts w:hint="eastAsia"/>
        </w:rPr>
        <w:fldChar w:fldCharType="separate"/>
      </w:r>
      <w:r>
        <w:t>439</w:t>
      </w:r>
      <w:r>
        <w:rPr>
          <w:rFonts w:hint="eastAsia"/>
        </w:rPr>
        <w:fldChar w:fldCharType="end"/>
      </w:r>
      <w:r>
        <w:rPr>
          <w:rFonts w:hint="eastAsia"/>
        </w:rPr>
        <w:fldChar w:fldCharType="end"/>
      </w:r>
    </w:p>
    <w:p w14:paraId="58BEF6AB">
      <w:pPr>
        <w:pStyle w:val="56"/>
        <w:tabs>
          <w:tab w:val="right" w:leader="dot" w:pos="8296"/>
        </w:tabs>
        <w:ind w:left="480" w:firstLine="480"/>
        <w:rPr>
          <w:rFonts w:ascii="Calibri" w:hAnsi="Calibri" w:cs="宋体"/>
          <w:kern w:val="2"/>
          <w:sz w:val="22"/>
        </w:rPr>
      </w:pPr>
      <w:r>
        <w:fldChar w:fldCharType="begin"/>
      </w:r>
      <w:r>
        <w:instrText xml:space="preserve"> HYPERLINK \l "_Toc205291429" </w:instrText>
      </w:r>
      <w:r>
        <w:fldChar w:fldCharType="separate"/>
      </w:r>
      <w:r>
        <w:rPr>
          <w:rStyle w:val="79"/>
          <w:rFonts w:hint="eastAsia"/>
        </w:rPr>
        <w:t>9.2 污染源排放清单</w:t>
      </w:r>
      <w:r>
        <w:rPr>
          <w:rFonts w:hint="eastAsia"/>
        </w:rPr>
        <w:tab/>
      </w:r>
      <w:r>
        <w:rPr>
          <w:rFonts w:hint="eastAsia"/>
        </w:rPr>
        <w:fldChar w:fldCharType="begin"/>
      </w:r>
      <w:r>
        <w:rPr>
          <w:rFonts w:hint="eastAsia"/>
        </w:rPr>
        <w:instrText xml:space="preserve"> </w:instrText>
      </w:r>
      <w:r>
        <w:instrText xml:space="preserve">PAGEREF _Toc205291429 \h</w:instrText>
      </w:r>
      <w:r>
        <w:rPr>
          <w:rFonts w:hint="eastAsia"/>
        </w:rPr>
        <w:instrText xml:space="preserve"> </w:instrText>
      </w:r>
      <w:r>
        <w:rPr>
          <w:rFonts w:hint="eastAsia"/>
        </w:rPr>
        <w:fldChar w:fldCharType="separate"/>
      </w:r>
      <w:r>
        <w:t>447</w:t>
      </w:r>
      <w:r>
        <w:rPr>
          <w:rFonts w:hint="eastAsia"/>
        </w:rPr>
        <w:fldChar w:fldCharType="end"/>
      </w:r>
      <w:r>
        <w:rPr>
          <w:rFonts w:hint="eastAsia"/>
        </w:rPr>
        <w:fldChar w:fldCharType="end"/>
      </w:r>
    </w:p>
    <w:p w14:paraId="3109D6D6">
      <w:pPr>
        <w:pStyle w:val="56"/>
        <w:tabs>
          <w:tab w:val="right" w:leader="dot" w:pos="8296"/>
        </w:tabs>
        <w:ind w:left="480" w:firstLine="480"/>
        <w:rPr>
          <w:rFonts w:ascii="Calibri" w:hAnsi="Calibri" w:cs="宋体"/>
          <w:kern w:val="2"/>
          <w:sz w:val="22"/>
        </w:rPr>
      </w:pPr>
      <w:r>
        <w:fldChar w:fldCharType="begin"/>
      </w:r>
      <w:r>
        <w:instrText xml:space="preserve"> HYPERLINK \l "_Toc205291430" </w:instrText>
      </w:r>
      <w:r>
        <w:fldChar w:fldCharType="separate"/>
      </w:r>
      <w:r>
        <w:rPr>
          <w:rStyle w:val="79"/>
          <w:rFonts w:hint="eastAsia"/>
        </w:rPr>
        <w:t>9.3 环境监测计划</w:t>
      </w:r>
      <w:r>
        <w:rPr>
          <w:rFonts w:hint="eastAsia"/>
        </w:rPr>
        <w:tab/>
      </w:r>
      <w:r>
        <w:rPr>
          <w:rFonts w:hint="eastAsia"/>
        </w:rPr>
        <w:fldChar w:fldCharType="begin"/>
      </w:r>
      <w:r>
        <w:rPr>
          <w:rFonts w:hint="eastAsia"/>
        </w:rPr>
        <w:instrText xml:space="preserve"> </w:instrText>
      </w:r>
      <w:r>
        <w:instrText xml:space="preserve">PAGEREF _Toc205291430 \h</w:instrText>
      </w:r>
      <w:r>
        <w:rPr>
          <w:rFonts w:hint="eastAsia"/>
        </w:rPr>
        <w:instrText xml:space="preserve"> </w:instrText>
      </w:r>
      <w:r>
        <w:rPr>
          <w:rFonts w:hint="eastAsia"/>
        </w:rPr>
        <w:fldChar w:fldCharType="separate"/>
      </w:r>
      <w:r>
        <w:t>454</w:t>
      </w:r>
      <w:r>
        <w:rPr>
          <w:rFonts w:hint="eastAsia"/>
        </w:rPr>
        <w:fldChar w:fldCharType="end"/>
      </w:r>
      <w:r>
        <w:rPr>
          <w:rFonts w:hint="eastAsia"/>
        </w:rPr>
        <w:fldChar w:fldCharType="end"/>
      </w:r>
    </w:p>
    <w:p w14:paraId="6183ABFA">
      <w:pPr>
        <w:pStyle w:val="56"/>
        <w:tabs>
          <w:tab w:val="right" w:leader="dot" w:pos="8296"/>
        </w:tabs>
        <w:ind w:left="480" w:firstLine="480"/>
        <w:rPr>
          <w:rFonts w:ascii="Calibri" w:hAnsi="Calibri" w:cs="宋体"/>
          <w:kern w:val="2"/>
          <w:sz w:val="22"/>
        </w:rPr>
      </w:pPr>
      <w:r>
        <w:fldChar w:fldCharType="begin"/>
      </w:r>
      <w:r>
        <w:instrText xml:space="preserve"> HYPERLINK \l "_Toc205291431" </w:instrText>
      </w:r>
      <w:r>
        <w:fldChar w:fldCharType="separate"/>
      </w:r>
      <w:r>
        <w:rPr>
          <w:rStyle w:val="79"/>
          <w:rFonts w:hint="eastAsia"/>
        </w:rPr>
        <w:t>9.4 竣工验收管理</w:t>
      </w:r>
      <w:r>
        <w:rPr>
          <w:rFonts w:hint="eastAsia"/>
        </w:rPr>
        <w:tab/>
      </w:r>
      <w:r>
        <w:rPr>
          <w:rFonts w:hint="eastAsia"/>
        </w:rPr>
        <w:fldChar w:fldCharType="begin"/>
      </w:r>
      <w:r>
        <w:rPr>
          <w:rFonts w:hint="eastAsia"/>
        </w:rPr>
        <w:instrText xml:space="preserve"> </w:instrText>
      </w:r>
      <w:r>
        <w:instrText xml:space="preserve">PAGEREF _Toc205291431 \h</w:instrText>
      </w:r>
      <w:r>
        <w:rPr>
          <w:rFonts w:hint="eastAsia"/>
        </w:rPr>
        <w:instrText xml:space="preserve"> </w:instrText>
      </w:r>
      <w:r>
        <w:rPr>
          <w:rFonts w:hint="eastAsia"/>
        </w:rPr>
        <w:fldChar w:fldCharType="separate"/>
      </w:r>
      <w:r>
        <w:t>457</w:t>
      </w:r>
      <w:r>
        <w:rPr>
          <w:rFonts w:hint="eastAsia"/>
        </w:rPr>
        <w:fldChar w:fldCharType="end"/>
      </w:r>
      <w:r>
        <w:rPr>
          <w:rFonts w:hint="eastAsia"/>
        </w:rPr>
        <w:fldChar w:fldCharType="end"/>
      </w:r>
    </w:p>
    <w:p w14:paraId="136986AA">
      <w:pPr>
        <w:pStyle w:val="43"/>
        <w:tabs>
          <w:tab w:val="right" w:leader="dot" w:pos="8296"/>
        </w:tabs>
        <w:ind w:firstLine="480"/>
        <w:rPr>
          <w:rFonts w:ascii="Calibri" w:hAnsi="Calibri" w:cs="宋体"/>
          <w:kern w:val="2"/>
          <w:sz w:val="22"/>
        </w:rPr>
      </w:pPr>
      <w:r>
        <w:fldChar w:fldCharType="begin"/>
      </w:r>
      <w:r>
        <w:instrText xml:space="preserve"> HYPERLINK \l "_Toc205291432" </w:instrText>
      </w:r>
      <w:r>
        <w:fldChar w:fldCharType="separate"/>
      </w:r>
      <w:r>
        <w:rPr>
          <w:rStyle w:val="79"/>
          <w:rFonts w:hint="eastAsia"/>
        </w:rPr>
        <w:t>第10章 环境影响评价结论</w:t>
      </w:r>
      <w:r>
        <w:rPr>
          <w:rFonts w:hint="eastAsia"/>
        </w:rPr>
        <w:tab/>
      </w:r>
      <w:r>
        <w:rPr>
          <w:rFonts w:hint="eastAsia"/>
        </w:rPr>
        <w:fldChar w:fldCharType="begin"/>
      </w:r>
      <w:r>
        <w:rPr>
          <w:rFonts w:hint="eastAsia"/>
        </w:rPr>
        <w:instrText xml:space="preserve"> </w:instrText>
      </w:r>
      <w:r>
        <w:instrText xml:space="preserve">PAGEREF _Toc205291432 \h</w:instrText>
      </w:r>
      <w:r>
        <w:rPr>
          <w:rFonts w:hint="eastAsia"/>
        </w:rPr>
        <w:instrText xml:space="preserve"> </w:instrText>
      </w:r>
      <w:r>
        <w:rPr>
          <w:rFonts w:hint="eastAsia"/>
        </w:rPr>
        <w:fldChar w:fldCharType="separate"/>
      </w:r>
      <w:r>
        <w:t>462</w:t>
      </w:r>
      <w:r>
        <w:rPr>
          <w:rFonts w:hint="eastAsia"/>
        </w:rPr>
        <w:fldChar w:fldCharType="end"/>
      </w:r>
      <w:r>
        <w:rPr>
          <w:rFonts w:hint="eastAsia"/>
        </w:rPr>
        <w:fldChar w:fldCharType="end"/>
      </w:r>
    </w:p>
    <w:p w14:paraId="525FF05D">
      <w:pPr>
        <w:pStyle w:val="56"/>
        <w:tabs>
          <w:tab w:val="right" w:leader="dot" w:pos="8296"/>
        </w:tabs>
        <w:ind w:left="480" w:firstLine="480"/>
        <w:rPr>
          <w:rFonts w:ascii="Calibri" w:hAnsi="Calibri" w:cs="宋体"/>
          <w:kern w:val="2"/>
          <w:sz w:val="22"/>
        </w:rPr>
      </w:pPr>
      <w:r>
        <w:fldChar w:fldCharType="begin"/>
      </w:r>
      <w:r>
        <w:instrText xml:space="preserve"> HYPERLINK \l "_Toc205291433" </w:instrText>
      </w:r>
      <w:r>
        <w:fldChar w:fldCharType="separate"/>
      </w:r>
      <w:r>
        <w:rPr>
          <w:rStyle w:val="79"/>
          <w:rFonts w:hint="eastAsia"/>
        </w:rPr>
        <w:t>10.1 建设背景</w:t>
      </w:r>
      <w:r>
        <w:rPr>
          <w:rFonts w:hint="eastAsia"/>
        </w:rPr>
        <w:tab/>
      </w:r>
      <w:r>
        <w:rPr>
          <w:rFonts w:hint="eastAsia"/>
        </w:rPr>
        <w:fldChar w:fldCharType="begin"/>
      </w:r>
      <w:r>
        <w:rPr>
          <w:rFonts w:hint="eastAsia"/>
        </w:rPr>
        <w:instrText xml:space="preserve"> </w:instrText>
      </w:r>
      <w:r>
        <w:instrText xml:space="preserve">PAGEREF _Toc205291433 \h</w:instrText>
      </w:r>
      <w:r>
        <w:rPr>
          <w:rFonts w:hint="eastAsia"/>
        </w:rPr>
        <w:instrText xml:space="preserve"> </w:instrText>
      </w:r>
      <w:r>
        <w:rPr>
          <w:rFonts w:hint="eastAsia"/>
        </w:rPr>
        <w:fldChar w:fldCharType="separate"/>
      </w:r>
      <w:r>
        <w:t>462</w:t>
      </w:r>
      <w:r>
        <w:rPr>
          <w:rFonts w:hint="eastAsia"/>
        </w:rPr>
        <w:fldChar w:fldCharType="end"/>
      </w:r>
      <w:r>
        <w:rPr>
          <w:rFonts w:hint="eastAsia"/>
        </w:rPr>
        <w:fldChar w:fldCharType="end"/>
      </w:r>
    </w:p>
    <w:p w14:paraId="4594FA00">
      <w:pPr>
        <w:pStyle w:val="56"/>
        <w:tabs>
          <w:tab w:val="right" w:leader="dot" w:pos="8296"/>
        </w:tabs>
        <w:ind w:left="480" w:firstLine="480"/>
        <w:rPr>
          <w:rFonts w:ascii="Calibri" w:hAnsi="Calibri" w:cs="宋体"/>
          <w:kern w:val="2"/>
          <w:sz w:val="22"/>
        </w:rPr>
      </w:pPr>
      <w:r>
        <w:fldChar w:fldCharType="begin"/>
      </w:r>
      <w:r>
        <w:instrText xml:space="preserve"> HYPERLINK \l "_Toc205291434" </w:instrText>
      </w:r>
      <w:r>
        <w:fldChar w:fldCharType="separate"/>
      </w:r>
      <w:r>
        <w:rPr>
          <w:rStyle w:val="79"/>
          <w:rFonts w:hint="eastAsia"/>
        </w:rPr>
        <w:t>10.2 工程建设内容</w:t>
      </w:r>
      <w:r>
        <w:rPr>
          <w:rFonts w:hint="eastAsia"/>
        </w:rPr>
        <w:tab/>
      </w:r>
      <w:r>
        <w:rPr>
          <w:rFonts w:hint="eastAsia"/>
        </w:rPr>
        <w:fldChar w:fldCharType="begin"/>
      </w:r>
      <w:r>
        <w:rPr>
          <w:rFonts w:hint="eastAsia"/>
        </w:rPr>
        <w:instrText xml:space="preserve"> </w:instrText>
      </w:r>
      <w:r>
        <w:instrText xml:space="preserve">PAGEREF _Toc205291434 \h</w:instrText>
      </w:r>
      <w:r>
        <w:rPr>
          <w:rFonts w:hint="eastAsia"/>
        </w:rPr>
        <w:instrText xml:space="preserve"> </w:instrText>
      </w:r>
      <w:r>
        <w:rPr>
          <w:rFonts w:hint="eastAsia"/>
        </w:rPr>
        <w:fldChar w:fldCharType="separate"/>
      </w:r>
      <w:r>
        <w:t>462</w:t>
      </w:r>
      <w:r>
        <w:rPr>
          <w:rFonts w:hint="eastAsia"/>
        </w:rPr>
        <w:fldChar w:fldCharType="end"/>
      </w:r>
      <w:r>
        <w:rPr>
          <w:rFonts w:hint="eastAsia"/>
        </w:rPr>
        <w:fldChar w:fldCharType="end"/>
      </w:r>
    </w:p>
    <w:p w14:paraId="7F47A026">
      <w:pPr>
        <w:pStyle w:val="56"/>
        <w:tabs>
          <w:tab w:val="right" w:leader="dot" w:pos="8296"/>
        </w:tabs>
        <w:ind w:left="480" w:firstLine="480"/>
        <w:rPr>
          <w:rFonts w:ascii="Calibri" w:hAnsi="Calibri" w:cs="宋体"/>
          <w:kern w:val="2"/>
          <w:sz w:val="22"/>
        </w:rPr>
      </w:pPr>
      <w:r>
        <w:fldChar w:fldCharType="begin"/>
      </w:r>
      <w:r>
        <w:instrText xml:space="preserve"> HYPERLINK \l "_Toc205291435" </w:instrText>
      </w:r>
      <w:r>
        <w:fldChar w:fldCharType="separate"/>
      </w:r>
      <w:r>
        <w:rPr>
          <w:rStyle w:val="79"/>
          <w:rFonts w:hint="eastAsia"/>
        </w:rPr>
        <w:t>10.3 环境影响预测与评价</w:t>
      </w:r>
      <w:r>
        <w:rPr>
          <w:rFonts w:hint="eastAsia"/>
        </w:rPr>
        <w:tab/>
      </w:r>
      <w:r>
        <w:rPr>
          <w:rFonts w:hint="eastAsia"/>
        </w:rPr>
        <w:fldChar w:fldCharType="begin"/>
      </w:r>
      <w:r>
        <w:rPr>
          <w:rFonts w:hint="eastAsia"/>
        </w:rPr>
        <w:instrText xml:space="preserve"> </w:instrText>
      </w:r>
      <w:r>
        <w:instrText xml:space="preserve">PAGEREF _Toc205291435 \h</w:instrText>
      </w:r>
      <w:r>
        <w:rPr>
          <w:rFonts w:hint="eastAsia"/>
        </w:rPr>
        <w:instrText xml:space="preserve"> </w:instrText>
      </w:r>
      <w:r>
        <w:rPr>
          <w:rFonts w:hint="eastAsia"/>
        </w:rPr>
        <w:fldChar w:fldCharType="separate"/>
      </w:r>
      <w:r>
        <w:t>463</w:t>
      </w:r>
      <w:r>
        <w:rPr>
          <w:rFonts w:hint="eastAsia"/>
        </w:rPr>
        <w:fldChar w:fldCharType="end"/>
      </w:r>
      <w:r>
        <w:rPr>
          <w:rFonts w:hint="eastAsia"/>
        </w:rPr>
        <w:fldChar w:fldCharType="end"/>
      </w:r>
    </w:p>
    <w:p w14:paraId="79D7BCF3">
      <w:pPr>
        <w:pStyle w:val="56"/>
        <w:tabs>
          <w:tab w:val="right" w:leader="dot" w:pos="8296"/>
        </w:tabs>
        <w:ind w:left="480" w:firstLine="480"/>
        <w:rPr>
          <w:rFonts w:ascii="Calibri" w:hAnsi="Calibri" w:cs="宋体"/>
          <w:kern w:val="2"/>
          <w:sz w:val="22"/>
        </w:rPr>
      </w:pPr>
      <w:r>
        <w:fldChar w:fldCharType="begin"/>
      </w:r>
      <w:r>
        <w:instrText xml:space="preserve"> HYPERLINK \l "_Toc205291436" </w:instrText>
      </w:r>
      <w:r>
        <w:fldChar w:fldCharType="separate"/>
      </w:r>
      <w:r>
        <w:rPr>
          <w:rStyle w:val="79"/>
          <w:rFonts w:hint="eastAsia"/>
        </w:rPr>
        <w:t>10.4 项目建设的环境可行性</w:t>
      </w:r>
      <w:r>
        <w:rPr>
          <w:rFonts w:hint="eastAsia"/>
        </w:rPr>
        <w:tab/>
      </w:r>
      <w:r>
        <w:rPr>
          <w:rFonts w:hint="eastAsia"/>
        </w:rPr>
        <w:fldChar w:fldCharType="begin"/>
      </w:r>
      <w:r>
        <w:rPr>
          <w:rFonts w:hint="eastAsia"/>
        </w:rPr>
        <w:instrText xml:space="preserve"> </w:instrText>
      </w:r>
      <w:r>
        <w:instrText xml:space="preserve">PAGEREF _Toc205291436 \h</w:instrText>
      </w:r>
      <w:r>
        <w:rPr>
          <w:rFonts w:hint="eastAsia"/>
        </w:rPr>
        <w:instrText xml:space="preserve"> </w:instrText>
      </w:r>
      <w:r>
        <w:rPr>
          <w:rFonts w:hint="eastAsia"/>
        </w:rPr>
        <w:fldChar w:fldCharType="separate"/>
      </w:r>
      <w:r>
        <w:t>465</w:t>
      </w:r>
      <w:r>
        <w:rPr>
          <w:rFonts w:hint="eastAsia"/>
        </w:rPr>
        <w:fldChar w:fldCharType="end"/>
      </w:r>
      <w:r>
        <w:rPr>
          <w:rFonts w:hint="eastAsia"/>
        </w:rPr>
        <w:fldChar w:fldCharType="end"/>
      </w:r>
    </w:p>
    <w:p w14:paraId="6478ACE3">
      <w:pPr>
        <w:pStyle w:val="56"/>
        <w:tabs>
          <w:tab w:val="right" w:leader="dot" w:pos="8296"/>
        </w:tabs>
        <w:ind w:left="480" w:firstLine="480"/>
        <w:rPr>
          <w:rFonts w:ascii="Calibri" w:hAnsi="Calibri" w:cs="宋体"/>
          <w:kern w:val="2"/>
          <w:sz w:val="22"/>
        </w:rPr>
      </w:pPr>
      <w:r>
        <w:fldChar w:fldCharType="begin"/>
      </w:r>
      <w:r>
        <w:instrText xml:space="preserve"> HYPERLINK \l "_Toc205291437" </w:instrText>
      </w:r>
      <w:r>
        <w:fldChar w:fldCharType="separate"/>
      </w:r>
      <w:r>
        <w:rPr>
          <w:rStyle w:val="79"/>
          <w:rFonts w:hint="eastAsia"/>
        </w:rPr>
        <w:t>10.5 总量控制</w:t>
      </w:r>
      <w:r>
        <w:rPr>
          <w:rFonts w:hint="eastAsia"/>
        </w:rPr>
        <w:tab/>
      </w:r>
      <w:r>
        <w:rPr>
          <w:rFonts w:hint="eastAsia"/>
        </w:rPr>
        <w:fldChar w:fldCharType="begin"/>
      </w:r>
      <w:r>
        <w:rPr>
          <w:rFonts w:hint="eastAsia"/>
        </w:rPr>
        <w:instrText xml:space="preserve"> </w:instrText>
      </w:r>
      <w:r>
        <w:instrText xml:space="preserve">PAGEREF _Toc205291437 \h</w:instrText>
      </w:r>
      <w:r>
        <w:rPr>
          <w:rFonts w:hint="eastAsia"/>
        </w:rPr>
        <w:instrText xml:space="preserve"> </w:instrText>
      </w:r>
      <w:r>
        <w:rPr>
          <w:rFonts w:hint="eastAsia"/>
        </w:rPr>
        <w:fldChar w:fldCharType="separate"/>
      </w:r>
      <w:r>
        <w:t>468</w:t>
      </w:r>
      <w:r>
        <w:rPr>
          <w:rFonts w:hint="eastAsia"/>
        </w:rPr>
        <w:fldChar w:fldCharType="end"/>
      </w:r>
      <w:r>
        <w:rPr>
          <w:rFonts w:hint="eastAsia"/>
        </w:rPr>
        <w:fldChar w:fldCharType="end"/>
      </w:r>
    </w:p>
    <w:p w14:paraId="048D6EFD">
      <w:pPr>
        <w:pStyle w:val="56"/>
        <w:tabs>
          <w:tab w:val="right" w:leader="dot" w:pos="8296"/>
        </w:tabs>
        <w:ind w:left="480" w:firstLine="480"/>
        <w:rPr>
          <w:rFonts w:ascii="Calibri" w:hAnsi="Calibri" w:cs="宋体"/>
          <w:kern w:val="2"/>
          <w:sz w:val="22"/>
        </w:rPr>
      </w:pPr>
      <w:r>
        <w:fldChar w:fldCharType="begin"/>
      </w:r>
      <w:r>
        <w:instrText xml:space="preserve"> HYPERLINK \l "_Toc205291438" </w:instrText>
      </w:r>
      <w:r>
        <w:fldChar w:fldCharType="separate"/>
      </w:r>
      <w:r>
        <w:rPr>
          <w:rStyle w:val="79"/>
          <w:rFonts w:hint="eastAsia"/>
        </w:rPr>
        <w:t>10.6 公众意见采纳情况</w:t>
      </w:r>
      <w:r>
        <w:rPr>
          <w:rFonts w:hint="eastAsia"/>
        </w:rPr>
        <w:tab/>
      </w:r>
      <w:r>
        <w:rPr>
          <w:rFonts w:hint="eastAsia"/>
        </w:rPr>
        <w:fldChar w:fldCharType="begin"/>
      </w:r>
      <w:r>
        <w:rPr>
          <w:rFonts w:hint="eastAsia"/>
        </w:rPr>
        <w:instrText xml:space="preserve"> </w:instrText>
      </w:r>
      <w:r>
        <w:instrText xml:space="preserve">PAGEREF _Toc205291438 \h</w:instrText>
      </w:r>
      <w:r>
        <w:rPr>
          <w:rFonts w:hint="eastAsia"/>
        </w:rPr>
        <w:instrText xml:space="preserve"> </w:instrText>
      </w:r>
      <w:r>
        <w:rPr>
          <w:rFonts w:hint="eastAsia"/>
        </w:rPr>
        <w:fldChar w:fldCharType="separate"/>
      </w:r>
      <w:r>
        <w:t>469</w:t>
      </w:r>
      <w:r>
        <w:rPr>
          <w:rFonts w:hint="eastAsia"/>
        </w:rPr>
        <w:fldChar w:fldCharType="end"/>
      </w:r>
      <w:r>
        <w:rPr>
          <w:rFonts w:hint="eastAsia"/>
        </w:rPr>
        <w:fldChar w:fldCharType="end"/>
      </w:r>
    </w:p>
    <w:p w14:paraId="40E79050">
      <w:pPr>
        <w:pStyle w:val="56"/>
        <w:tabs>
          <w:tab w:val="right" w:leader="dot" w:pos="8296"/>
        </w:tabs>
        <w:ind w:left="480" w:firstLine="480"/>
        <w:rPr>
          <w:rFonts w:ascii="Calibri" w:hAnsi="Calibri" w:cs="宋体"/>
          <w:kern w:val="2"/>
          <w:sz w:val="22"/>
        </w:rPr>
      </w:pPr>
      <w:r>
        <w:fldChar w:fldCharType="begin"/>
      </w:r>
      <w:r>
        <w:instrText xml:space="preserve"> HYPERLINK \l "_Toc205291439" </w:instrText>
      </w:r>
      <w:r>
        <w:fldChar w:fldCharType="separate"/>
      </w:r>
      <w:r>
        <w:rPr>
          <w:rStyle w:val="79"/>
          <w:rFonts w:hint="eastAsia"/>
        </w:rPr>
        <w:t>10.7 总体结论</w:t>
      </w:r>
      <w:r>
        <w:rPr>
          <w:rFonts w:hint="eastAsia"/>
        </w:rPr>
        <w:tab/>
      </w:r>
      <w:r>
        <w:rPr>
          <w:rFonts w:hint="eastAsia"/>
        </w:rPr>
        <w:fldChar w:fldCharType="begin"/>
      </w:r>
      <w:r>
        <w:rPr>
          <w:rFonts w:hint="eastAsia"/>
        </w:rPr>
        <w:instrText xml:space="preserve"> </w:instrText>
      </w:r>
      <w:r>
        <w:instrText xml:space="preserve">PAGEREF _Toc205291439 \h</w:instrText>
      </w:r>
      <w:r>
        <w:rPr>
          <w:rFonts w:hint="eastAsia"/>
        </w:rPr>
        <w:instrText xml:space="preserve"> </w:instrText>
      </w:r>
      <w:r>
        <w:rPr>
          <w:rFonts w:hint="eastAsia"/>
        </w:rPr>
        <w:fldChar w:fldCharType="separate"/>
      </w:r>
      <w:r>
        <w:t>469</w:t>
      </w:r>
      <w:r>
        <w:rPr>
          <w:rFonts w:hint="eastAsia"/>
        </w:rPr>
        <w:fldChar w:fldCharType="end"/>
      </w:r>
      <w:r>
        <w:rPr>
          <w:rFonts w:hint="eastAsia"/>
        </w:rPr>
        <w:fldChar w:fldCharType="end"/>
      </w:r>
    </w:p>
    <w:p w14:paraId="0E9833F1">
      <w:pPr>
        <w:pStyle w:val="56"/>
        <w:tabs>
          <w:tab w:val="right" w:leader="dot" w:pos="8296"/>
        </w:tabs>
        <w:ind w:left="480" w:firstLine="480"/>
        <w:rPr>
          <w:rFonts w:ascii="Calibri" w:hAnsi="Calibri" w:cs="宋体"/>
          <w:kern w:val="2"/>
          <w:sz w:val="22"/>
        </w:rPr>
      </w:pPr>
      <w:r>
        <w:fldChar w:fldCharType="begin"/>
      </w:r>
      <w:r>
        <w:instrText xml:space="preserve"> HYPERLINK \l "_Toc205291440" </w:instrText>
      </w:r>
      <w:r>
        <w:fldChar w:fldCharType="separate"/>
      </w:r>
      <w:r>
        <w:rPr>
          <w:rStyle w:val="79"/>
          <w:rFonts w:hint="eastAsia"/>
        </w:rPr>
        <w:t>10.8 建议</w:t>
      </w:r>
      <w:r>
        <w:rPr>
          <w:rFonts w:hint="eastAsia"/>
        </w:rPr>
        <w:tab/>
      </w:r>
      <w:r>
        <w:rPr>
          <w:rFonts w:hint="eastAsia"/>
        </w:rPr>
        <w:fldChar w:fldCharType="begin"/>
      </w:r>
      <w:r>
        <w:rPr>
          <w:rFonts w:hint="eastAsia"/>
        </w:rPr>
        <w:instrText xml:space="preserve"> </w:instrText>
      </w:r>
      <w:r>
        <w:instrText xml:space="preserve">PAGEREF _Toc205291440 \h</w:instrText>
      </w:r>
      <w:r>
        <w:rPr>
          <w:rFonts w:hint="eastAsia"/>
        </w:rPr>
        <w:instrText xml:space="preserve"> </w:instrText>
      </w:r>
      <w:r>
        <w:rPr>
          <w:rFonts w:hint="eastAsia"/>
        </w:rPr>
        <w:fldChar w:fldCharType="separate"/>
      </w:r>
      <w:r>
        <w:t>469</w:t>
      </w:r>
      <w:r>
        <w:rPr>
          <w:rFonts w:hint="eastAsia"/>
        </w:rPr>
        <w:fldChar w:fldCharType="end"/>
      </w:r>
      <w:r>
        <w:rPr>
          <w:rFonts w:hint="eastAsia"/>
        </w:rPr>
        <w:fldChar w:fldCharType="end"/>
      </w:r>
    </w:p>
    <w:p w14:paraId="000D6717">
      <w:pPr>
        <w:spacing w:line="312" w:lineRule="auto"/>
        <w:ind w:firstLine="0" w:firstLineChars="0"/>
        <w:jc w:val="center"/>
        <w:sectPr>
          <w:headerReference r:id="rId11" w:type="default"/>
          <w:footerReference r:id="rId12" w:type="default"/>
          <w:pgSz w:w="11906" w:h="16838"/>
          <w:pgMar w:top="1440" w:right="1800" w:bottom="1440" w:left="1800" w:header="1020" w:footer="1020" w:gutter="0"/>
          <w:pgNumType w:fmt="lowerRoman" w:start="1"/>
          <w:cols w:space="425" w:num="1"/>
          <w:docGrid w:type="lines" w:linePitch="326" w:charSpace="0"/>
        </w:sectPr>
      </w:pPr>
      <w:r>
        <w:rPr>
          <w:rFonts w:ascii="宋体" w:hAnsi="宋体"/>
          <w:b/>
          <w:bCs/>
          <w:kern w:val="44"/>
        </w:rPr>
        <w:fldChar w:fldCharType="end"/>
      </w:r>
    </w:p>
    <w:p w14:paraId="1D389C39">
      <w:pPr>
        <w:pStyle w:val="117"/>
        <w:ind w:firstLine="0" w:firstLineChars="0"/>
        <w:rPr>
          <w:b/>
        </w:rPr>
      </w:pPr>
      <w:r>
        <w:rPr>
          <w:rFonts w:hint="eastAsia"/>
          <w:b/>
        </w:rPr>
        <w:t>附件：</w:t>
      </w:r>
    </w:p>
    <w:p w14:paraId="1FCDF966">
      <w:pPr>
        <w:pStyle w:val="117"/>
        <w:ind w:firstLine="0" w:firstLineChars="0"/>
        <w:rPr>
          <w:sz w:val="21"/>
          <w:szCs w:val="21"/>
        </w:rPr>
      </w:pPr>
      <w:r>
        <w:rPr>
          <w:rFonts w:hint="eastAsia"/>
          <w:sz w:val="21"/>
          <w:szCs w:val="21"/>
        </w:rPr>
        <w:t>1、委托书；</w:t>
      </w:r>
    </w:p>
    <w:p w14:paraId="3BE57221">
      <w:pPr>
        <w:pStyle w:val="117"/>
        <w:ind w:firstLine="0" w:firstLineChars="0"/>
        <w:rPr>
          <w:sz w:val="21"/>
          <w:szCs w:val="21"/>
        </w:rPr>
      </w:pPr>
      <w:r>
        <w:rPr>
          <w:rFonts w:hint="eastAsia"/>
          <w:sz w:val="21"/>
          <w:szCs w:val="21"/>
        </w:rPr>
        <w:t>2、备案证明；</w:t>
      </w:r>
    </w:p>
    <w:p w14:paraId="6C583F0B">
      <w:pPr>
        <w:pStyle w:val="117"/>
        <w:ind w:firstLine="0" w:firstLineChars="0"/>
        <w:rPr>
          <w:sz w:val="21"/>
          <w:szCs w:val="21"/>
        </w:rPr>
      </w:pPr>
      <w:r>
        <w:rPr>
          <w:rFonts w:hint="eastAsia"/>
          <w:sz w:val="21"/>
          <w:szCs w:val="21"/>
        </w:rPr>
        <w:t>3、关于《哈密高新技术产业开发区国土空间专项规划（2023—2035年）》的批复；</w:t>
      </w:r>
    </w:p>
    <w:p w14:paraId="107767C9">
      <w:pPr>
        <w:pStyle w:val="117"/>
        <w:ind w:firstLine="0" w:firstLineChars="0"/>
        <w:rPr>
          <w:sz w:val="21"/>
          <w:szCs w:val="21"/>
        </w:rPr>
      </w:pPr>
      <w:r>
        <w:rPr>
          <w:rFonts w:hint="eastAsia"/>
          <w:sz w:val="21"/>
          <w:szCs w:val="21"/>
        </w:rPr>
        <w:t>4、关于《哈密高新技术产业开发区国土空间专项规划（2023—2035年）环境影响报告书》的审查意见（新环审〔2023〕179号）；</w:t>
      </w:r>
    </w:p>
    <w:p w14:paraId="4FD534F4">
      <w:pPr>
        <w:pStyle w:val="117"/>
        <w:ind w:firstLine="0" w:firstLineChars="0"/>
        <w:rPr>
          <w:sz w:val="21"/>
          <w:szCs w:val="21"/>
        </w:rPr>
      </w:pPr>
      <w:r>
        <w:rPr>
          <w:rFonts w:hint="eastAsia"/>
          <w:sz w:val="21"/>
          <w:szCs w:val="21"/>
        </w:rPr>
        <w:t>5、环境质量现状监测报告。</w:t>
      </w:r>
    </w:p>
    <w:p w14:paraId="415D518D">
      <w:pPr>
        <w:pStyle w:val="101"/>
        <w:spacing w:line="360" w:lineRule="auto"/>
        <w:ind w:firstLine="482" w:firstLineChars="200"/>
        <w:rPr>
          <w:b/>
          <w:bCs/>
          <w:color w:val="auto"/>
        </w:rPr>
        <w:sectPr>
          <w:pgSz w:w="11906" w:h="16838"/>
          <w:pgMar w:top="1440" w:right="1800" w:bottom="1440" w:left="1800" w:header="851" w:footer="992" w:gutter="0"/>
          <w:pgNumType w:fmt="lowerRoman"/>
          <w:cols w:space="425" w:num="1"/>
          <w:docGrid w:type="lines" w:linePitch="312" w:charSpace="0"/>
        </w:sectPr>
      </w:pPr>
    </w:p>
    <w:p w14:paraId="340E710E">
      <w:pPr>
        <w:pStyle w:val="2"/>
        <w:numPr>
          <w:ilvl w:val="0"/>
          <w:numId w:val="0"/>
        </w:numPr>
        <w:spacing w:before="326"/>
      </w:pPr>
      <w:bookmarkStart w:id="4" w:name="_Toc95730889"/>
      <w:bookmarkStart w:id="5" w:name="_Toc151579082"/>
      <w:bookmarkStart w:id="6" w:name="_Toc205291356"/>
      <w:bookmarkStart w:id="7" w:name="_Toc155627687"/>
      <w:bookmarkStart w:id="8" w:name="_Toc23709"/>
      <w:r>
        <w:rPr>
          <w:rFonts w:hint="eastAsia"/>
        </w:rPr>
        <w:t>概述</w:t>
      </w:r>
      <w:bookmarkEnd w:id="3"/>
      <w:bookmarkEnd w:id="4"/>
      <w:bookmarkEnd w:id="5"/>
      <w:bookmarkEnd w:id="6"/>
      <w:bookmarkEnd w:id="7"/>
      <w:bookmarkEnd w:id="8"/>
    </w:p>
    <w:p w14:paraId="2913EFF8">
      <w:pPr>
        <w:pStyle w:val="3"/>
        <w:numPr>
          <w:ilvl w:val="0"/>
          <w:numId w:val="0"/>
        </w:numPr>
      </w:pPr>
      <w:bookmarkStart w:id="9" w:name="_Toc205291357"/>
      <w:bookmarkStart w:id="10" w:name="_Toc95730890"/>
      <w:bookmarkStart w:id="11" w:name="_Toc93328732"/>
      <w:bookmarkStart w:id="12" w:name="_Toc151579083"/>
      <w:bookmarkStart w:id="13" w:name="_Toc155627688"/>
      <w:bookmarkStart w:id="14" w:name="_Toc21198"/>
      <w:bookmarkStart w:id="15" w:name="_Toc28170"/>
      <w:r>
        <w:rPr>
          <w:rFonts w:hint="eastAsia"/>
        </w:rPr>
        <w:t>1、建设项目的特点</w:t>
      </w:r>
      <w:bookmarkEnd w:id="9"/>
      <w:bookmarkEnd w:id="10"/>
      <w:bookmarkEnd w:id="11"/>
      <w:bookmarkEnd w:id="12"/>
      <w:bookmarkEnd w:id="13"/>
      <w:bookmarkEnd w:id="14"/>
      <w:bookmarkEnd w:id="15"/>
    </w:p>
    <w:p w14:paraId="7CE9B450">
      <w:pPr>
        <w:pStyle w:val="117"/>
        <w:ind w:firstLine="480"/>
      </w:pPr>
      <w:r>
        <w:rPr>
          <w:rFonts w:hint="eastAsia"/>
        </w:rPr>
        <w:t>新疆金盛镁业有限公司（以下简称“金盛镁业公司”）成立于</w:t>
      </w:r>
      <w:r>
        <w:t>2011</w:t>
      </w:r>
      <w:r>
        <w:rPr>
          <w:rFonts w:hint="eastAsia"/>
        </w:rPr>
        <w:t>年</w:t>
      </w:r>
      <w:r>
        <w:t>5</w:t>
      </w:r>
      <w:r>
        <w:rPr>
          <w:rFonts w:hint="eastAsia"/>
        </w:rPr>
        <w:t>月，位于新疆哈密高新技术产业开发区（哈密工业园区）南部循环经济产业园。金盛镁业公司于</w:t>
      </w:r>
      <w:r>
        <w:t>2012</w:t>
      </w:r>
      <w:r>
        <w:rPr>
          <w:rFonts w:hint="eastAsia"/>
        </w:rPr>
        <w:t>年11月取得原新疆维吾尔自治区环境保护厅出具的《新疆金盛镁业有限公司镁合金产业循环经济建设项目环境影响报告书的批复》（新环评价函〔2012〕1185号），批复的建设规模及内容为：“镁及镁合金生产线（采用窑尾带竖式预热器节能环保型回转窑，生产能力为5万t/a）、兰炭生产线（新建8座7.5万t/a的直立炭化炉，生产能力为60万t/a）和硅铁生产线（采用25500千伏安矿热炉，生产能力为5万t/a）”。建设过程中，金盛镁业公司对镁合金产业循环经济建设项目进行了分期建设，截至目前一期工程（年产2</w:t>
      </w:r>
      <w:r>
        <w:t>.5</w:t>
      </w:r>
      <w:r>
        <w:rPr>
          <w:rFonts w:hint="eastAsia"/>
        </w:rPr>
        <w:t>万t/a镁合金生产线、5万t/a硅铁生产线、</w:t>
      </w:r>
      <w:r>
        <w:t>30</w:t>
      </w:r>
      <w:r>
        <w:rPr>
          <w:rFonts w:hint="eastAsia"/>
        </w:rPr>
        <w:t>万t/a兰炭生产线及相关配套设施）已建成投产并已通过竣工环境保护验收，二期工程（年产2</w:t>
      </w:r>
      <w:r>
        <w:t>.5</w:t>
      </w:r>
      <w:r>
        <w:rPr>
          <w:rFonts w:hint="eastAsia"/>
        </w:rPr>
        <w:t>万t/a镁合金生产线、</w:t>
      </w:r>
      <w:r>
        <w:t>30</w:t>
      </w:r>
      <w:r>
        <w:rPr>
          <w:rFonts w:hint="eastAsia"/>
        </w:rPr>
        <w:t>万t/a兰炭生产线）在建。</w:t>
      </w:r>
    </w:p>
    <w:p w14:paraId="2CB75C3F">
      <w:pPr>
        <w:pStyle w:val="117"/>
        <w:ind w:firstLine="480"/>
      </w:pPr>
      <w:r>
        <w:rPr>
          <w:rFonts w:hint="eastAsia"/>
        </w:rPr>
        <w:t>2024年1月19日，生态环境部、国家发展和改革委员会、工业和信息化部、财政部和交通运输部联合印发了《关于推进实施焦化行业超低排放的意见》（环大气〔2024〕5号），要求推进实施焦化行业超低排放改造。</w:t>
      </w:r>
    </w:p>
    <w:p w14:paraId="115AA80B">
      <w:pPr>
        <w:pStyle w:val="117"/>
        <w:ind w:firstLine="480"/>
      </w:pPr>
      <w:r>
        <w:rPr>
          <w:rFonts w:hint="eastAsia"/>
        </w:rPr>
        <w:t>为积极响应该文件要求，金盛镁业公司拟建设“镁合金产业循环经济建设技改提升项目”，建设内容包括：（1）将现有的</w:t>
      </w:r>
      <w:r>
        <w:t>4</w:t>
      </w:r>
      <w:r>
        <w:rPr>
          <w:rFonts w:hint="eastAsia"/>
        </w:rPr>
        <w:t>×</w:t>
      </w:r>
      <w:r>
        <w:t>7.5</w:t>
      </w:r>
      <w:r>
        <w:rPr>
          <w:rFonts w:hint="eastAsia"/>
        </w:rPr>
        <w:t>万t/a直立式兰炭炉、在建的</w:t>
      </w:r>
      <w:r>
        <w:t>4</w:t>
      </w:r>
      <w:r>
        <w:rPr>
          <w:rFonts w:hint="eastAsia"/>
        </w:rPr>
        <w:t>×</w:t>
      </w:r>
      <w:r>
        <w:t>7.5</w:t>
      </w:r>
      <w:r>
        <w:rPr>
          <w:rFonts w:hint="eastAsia"/>
        </w:rPr>
        <w:t>万t/a直立式兰炭炉改造为4×</w:t>
      </w:r>
      <w:r>
        <w:t>15</w:t>
      </w:r>
      <w:r>
        <w:rPr>
          <w:rFonts w:hint="eastAsia"/>
        </w:rPr>
        <w:t>万t/a内热方形直立炭化炉，兰炭生产线所有生产环节按照焦化行业超低排放的要求进行改造；（2）对现有的</w:t>
      </w:r>
      <w:r>
        <w:t>2</w:t>
      </w:r>
      <w:r>
        <w:rPr>
          <w:rFonts w:hint="eastAsia"/>
        </w:rPr>
        <w:t>×</w:t>
      </w:r>
      <w:r>
        <w:t>25500kVA</w:t>
      </w:r>
      <w:r>
        <w:rPr>
          <w:rFonts w:hint="eastAsia"/>
        </w:rPr>
        <w:t>硅铁炉进行技术改造，升级为</w:t>
      </w:r>
      <w:r>
        <w:t>2</w:t>
      </w:r>
      <w:r>
        <w:rPr>
          <w:rFonts w:hint="eastAsia"/>
        </w:rPr>
        <w:t>×</w:t>
      </w:r>
      <w:r>
        <w:t>33000kVA</w:t>
      </w:r>
      <w:r>
        <w:rPr>
          <w:rFonts w:hint="eastAsia"/>
        </w:rPr>
        <w:t>硅铁炉，硅铁产能达到</w:t>
      </w:r>
      <w:r>
        <w:t>5</w:t>
      </w:r>
      <w:r>
        <w:rPr>
          <w:rFonts w:hint="eastAsia"/>
        </w:rPr>
        <w:t>.6万t/a，满足全厂镁合金生产的硅铁消耗需求。</w:t>
      </w:r>
      <w:bookmarkStart w:id="16" w:name="_Toc95730891"/>
      <w:bookmarkStart w:id="17" w:name="_Toc9118"/>
      <w:bookmarkStart w:id="18" w:name="_Toc151579084"/>
      <w:bookmarkStart w:id="19" w:name="_Toc93328733"/>
      <w:bookmarkStart w:id="20" w:name="_Toc155627689"/>
      <w:bookmarkStart w:id="21" w:name="_Toc16807"/>
    </w:p>
    <w:p w14:paraId="5DED6897">
      <w:pPr>
        <w:pStyle w:val="117"/>
        <w:ind w:firstLine="480"/>
      </w:pPr>
      <w:r>
        <w:rPr>
          <w:rFonts w:hint="eastAsia"/>
        </w:rPr>
        <w:t>本次技改，除增加硅铁产能以满足镁生产需求外，兰炭和金属镁产能均不增加。</w:t>
      </w:r>
    </w:p>
    <w:p w14:paraId="77D24457">
      <w:pPr>
        <w:pStyle w:val="3"/>
        <w:numPr>
          <w:ilvl w:val="0"/>
          <w:numId w:val="0"/>
        </w:numPr>
      </w:pPr>
      <w:bookmarkStart w:id="22" w:name="_Toc205291358"/>
      <w:r>
        <w:rPr>
          <w:rFonts w:hint="eastAsia"/>
        </w:rPr>
        <w:t>2、环境影响评价工作过程</w:t>
      </w:r>
      <w:bookmarkEnd w:id="16"/>
      <w:bookmarkEnd w:id="17"/>
      <w:bookmarkEnd w:id="18"/>
      <w:bookmarkEnd w:id="19"/>
      <w:bookmarkEnd w:id="20"/>
      <w:bookmarkEnd w:id="21"/>
      <w:bookmarkEnd w:id="22"/>
    </w:p>
    <w:p w14:paraId="5894B57D">
      <w:pPr>
        <w:pStyle w:val="117"/>
        <w:ind w:firstLine="480"/>
      </w:pPr>
      <w:r>
        <w:rPr>
          <w:rFonts w:hint="eastAsia"/>
        </w:rPr>
        <w:t>根据国务院第682号令《建设项目环境保护管理条例》及《中华人民共和国环境影响评价法》的规定及有关环境保护政策法规的要求，新疆金盛镁业有限公司委托新疆寰宇工程咨询有限公司开展该项目环境影响报告书的编制工作。</w:t>
      </w:r>
    </w:p>
    <w:p w14:paraId="5C036E3A">
      <w:pPr>
        <w:pStyle w:val="117"/>
        <w:ind w:firstLine="480"/>
      </w:pPr>
      <w:r>
        <w:rPr>
          <w:rFonts w:hint="eastAsia"/>
          <w:lang w:val="zh-CN"/>
        </w:rPr>
        <w:t>本次环境影响评价工作分三个阶段完成，即前期准备、调研和工作方案阶段，分析论证和预测评价阶段，环境影响文件编制阶段。</w:t>
      </w:r>
      <w:r>
        <w:rPr>
          <w:rFonts w:hint="eastAsia"/>
        </w:rPr>
        <w:t>接受委托后，</w:t>
      </w:r>
      <w:r>
        <w:rPr>
          <w:rFonts w:hint="eastAsia"/>
          <w:lang w:val="zh-CN"/>
        </w:rPr>
        <w:t>根据建设单位提供的相关文件和技术资料，编制单位</w:t>
      </w:r>
      <w:r>
        <w:rPr>
          <w:rFonts w:hint="eastAsia"/>
        </w:rPr>
        <w:t>组织项目组人员赴现场进行实地踏勘，对评价范围的自然环境、工业企业及人口分布情况进行了调查，收集了当地水文、地质、气象以及环境现状等资料，</w:t>
      </w:r>
      <w:r>
        <w:rPr>
          <w:rFonts w:hint="eastAsia"/>
          <w:lang w:val="zh-CN"/>
        </w:rPr>
        <w:t>开展环境质量现状监测、建设单位进行公众参与调查和公示，</w:t>
      </w:r>
      <w:r>
        <w:rPr>
          <w:rFonts w:hint="eastAsia"/>
        </w:rPr>
        <w:t>编制单位</w:t>
      </w:r>
      <w:r>
        <w:rPr>
          <w:rFonts w:hint="eastAsia"/>
          <w:lang w:val="zh-CN"/>
        </w:rPr>
        <w:t>根据公众意见和建议，提出了相关的污染治理措施，对建设项目进行了认真细致的工程分析，根据各环境要素的评价等级筛选及其相应评价等级要求，对各环境要素进行了环境影响预测和评价，提出了相应的环境保护措施并进行了技术经济论证，在此基础上</w:t>
      </w:r>
      <w:r>
        <w:rPr>
          <w:rFonts w:hint="eastAsia"/>
        </w:rPr>
        <w:t>编制完成了《新疆金盛镁业有限公司镁合金产业循环经济建设技改提升项目环境影响报告书》，并提交生态环境主管部门审查。</w:t>
      </w:r>
    </w:p>
    <w:p w14:paraId="0AA87D8B">
      <w:pPr>
        <w:pStyle w:val="117"/>
        <w:ind w:firstLine="480"/>
      </w:pPr>
      <w:r>
        <w:rPr>
          <w:rFonts w:hint="eastAsia"/>
        </w:rPr>
        <w:t>审批后的环境影响报告书将作为该项目环境保护及环境管理的依据，评价工作过程详见工作程序流程图。</w:t>
      </w:r>
    </w:p>
    <w:p w14:paraId="7CE4E222">
      <w:pPr>
        <w:pStyle w:val="3"/>
        <w:numPr>
          <w:ilvl w:val="0"/>
          <w:numId w:val="0"/>
        </w:numPr>
      </w:pPr>
      <w:bookmarkStart w:id="23" w:name="_Toc155627690"/>
      <w:bookmarkStart w:id="24" w:name="_Toc25979"/>
      <w:bookmarkStart w:id="25" w:name="_Toc205291359"/>
      <w:bookmarkStart w:id="26" w:name="_Toc93328734"/>
      <w:bookmarkStart w:id="27" w:name="_Toc95730892"/>
      <w:bookmarkStart w:id="28" w:name="_Toc151579085"/>
      <w:bookmarkStart w:id="29" w:name="_Toc14706"/>
      <w:r>
        <w:rPr>
          <w:rFonts w:hint="eastAsia"/>
        </w:rPr>
        <w:t>3、分析判定相关情况</w:t>
      </w:r>
      <w:bookmarkEnd w:id="23"/>
      <w:bookmarkEnd w:id="24"/>
      <w:bookmarkEnd w:id="25"/>
      <w:bookmarkEnd w:id="26"/>
      <w:bookmarkEnd w:id="27"/>
      <w:bookmarkEnd w:id="28"/>
      <w:bookmarkEnd w:id="29"/>
      <w:bookmarkStart w:id="30" w:name="_Toc437274658"/>
      <w:bookmarkStart w:id="31" w:name="_Toc432776727"/>
      <w:bookmarkStart w:id="32" w:name="_Toc430357660"/>
      <w:bookmarkStart w:id="33" w:name="_Toc437356925"/>
      <w:bookmarkStart w:id="34" w:name="_Toc462672044"/>
      <w:bookmarkStart w:id="35" w:name="_Toc432776971"/>
      <w:bookmarkStart w:id="36" w:name="_Toc304234022"/>
      <w:bookmarkStart w:id="37" w:name="_Toc370576349"/>
    </w:p>
    <w:p w14:paraId="73C42BBC">
      <w:pPr>
        <w:pStyle w:val="138"/>
        <w:numPr>
          <w:ilvl w:val="0"/>
          <w:numId w:val="0"/>
        </w:numPr>
        <w:rPr>
          <w:rFonts w:hint="eastAsia"/>
        </w:rPr>
      </w:pPr>
      <w:r>
        <w:t>3.1 产业政策相符性分析</w:t>
      </w:r>
    </w:p>
    <w:p w14:paraId="47CEAF07">
      <w:pPr>
        <w:pStyle w:val="117"/>
        <w:ind w:firstLine="480"/>
      </w:pPr>
      <w:r>
        <w:rPr>
          <w:rFonts w:hint="eastAsia"/>
        </w:rPr>
        <w:t>（1）</w:t>
      </w:r>
      <w:r>
        <w:t>《产业结构调整指导目录（2024年本）》</w:t>
      </w:r>
      <w:r>
        <w:rPr>
          <w:rFonts w:hint="eastAsia"/>
        </w:rPr>
        <w:t>符合性</w:t>
      </w:r>
    </w:p>
    <w:p w14:paraId="5F1D7064">
      <w:pPr>
        <w:pStyle w:val="117"/>
        <w:ind w:firstLine="480"/>
        <w:rPr>
          <w:color w:val="000000"/>
        </w:rPr>
      </w:pPr>
      <w:r>
        <w:rPr>
          <w:rFonts w:hint="eastAsia"/>
        </w:rPr>
        <w:t>对照《产业结构调整指导目录（2024年本）》，“新建、扩建镁冶炼项目（综合利用项目除外）”属于限制类，</w:t>
      </w:r>
      <w:r>
        <w:rPr>
          <w:rFonts w:hint="eastAsia"/>
          <w:color w:val="000000"/>
        </w:rPr>
        <w:t>本次技改不涉及镁合金生产线，不属于</w:t>
      </w:r>
      <w:r>
        <w:rPr>
          <w:rFonts w:hint="eastAsia"/>
        </w:rPr>
        <w:t>新建、扩建镁冶炼项目，</w:t>
      </w:r>
      <w:r>
        <w:rPr>
          <w:rFonts w:hint="eastAsia"/>
          <w:color w:val="000000"/>
        </w:rPr>
        <w:t>因此不属于限制类。</w:t>
      </w:r>
    </w:p>
    <w:p w14:paraId="076D85CC">
      <w:pPr>
        <w:ind w:firstLine="480"/>
      </w:pPr>
      <w:r>
        <w:rPr>
          <w:rFonts w:hint="eastAsia"/>
        </w:rPr>
        <w:t>对照《产业结构调整指导目录（2024年本）》，“</w:t>
      </w:r>
      <w:r>
        <w:t>半焦炉单炉生产能力</w:t>
      </w:r>
      <w:r>
        <w:rPr>
          <w:rFonts w:hint="eastAsia"/>
        </w:rPr>
        <w:t>＜10万吨/年（单炉生产能力≥5万吨/年且使用低阶煤高温热解工艺的镁冶炼配气装置除外）”属于限制类；“</w:t>
      </w:r>
      <w:r>
        <w:t>单炉产能7.5万吨/年以下（单炉产能≥5万吨/年且使用低阶煤高温热解工艺的镁冶炼配气装置除外）或无煤气、焦油回收利用和污水处理达不到焦化行业规范条件的半焦（兰炭）生产装置</w:t>
      </w:r>
      <w:r>
        <w:rPr>
          <w:rFonts w:hint="eastAsia"/>
        </w:rPr>
        <w:t>”属于淘汰类。</w:t>
      </w:r>
      <w:r>
        <w:rPr>
          <w:rFonts w:hint="eastAsia"/>
          <w:color w:val="000000"/>
        </w:rPr>
        <w:t>本次技改</w:t>
      </w:r>
      <w:r>
        <w:rPr>
          <w:rFonts w:hint="eastAsia"/>
        </w:rPr>
        <w:t>兰炭生产线单炉生产能力15万吨/年，配套煤气与焦油回收利用设施，生产废水预处理后焚烧，不属于上述“限制类”和“淘汰类”。</w:t>
      </w:r>
    </w:p>
    <w:p w14:paraId="0FB291F1">
      <w:pPr>
        <w:pStyle w:val="117"/>
        <w:ind w:firstLine="480"/>
      </w:pPr>
      <w:r>
        <w:rPr>
          <w:rFonts w:hint="eastAsia"/>
        </w:rPr>
        <w:t>（</w:t>
      </w:r>
      <w:r>
        <w:t>2</w:t>
      </w:r>
      <w:r>
        <w:rPr>
          <w:rFonts w:hint="eastAsia"/>
        </w:rPr>
        <w:t>）《市场准入负面清单（2025年版）》（发改体改规〔2025〕466号）</w:t>
      </w:r>
    </w:p>
    <w:p w14:paraId="5095922E">
      <w:pPr>
        <w:pStyle w:val="117"/>
        <w:ind w:firstLine="480"/>
      </w:pPr>
      <w:r>
        <w:rPr>
          <w:rFonts w:hint="eastAsia"/>
        </w:rPr>
        <w:t>对照《市场准入负面清单（2025年版）》（发改体改规〔2025〕466号），“重点区域严禁新增钢铁、焦化、水泥熟料、平板玻璃、电解铝、氧化铝、煤化工产能”属于与市场准入相关的禁止性规定采取的禁止措施，本次技改不扩大兰炭生产规模、项目所在地不属于重点区域，因此本项目不涉及《市场准入负面清单（2025年版）》中禁止措施。</w:t>
      </w:r>
    </w:p>
    <w:p w14:paraId="1515E16E">
      <w:pPr>
        <w:pStyle w:val="117"/>
        <w:ind w:firstLine="480"/>
      </w:pPr>
      <w:r>
        <w:rPr>
          <w:rFonts w:hint="eastAsia"/>
        </w:rPr>
        <w:t>（3）《西部地区鼓励类产业目录（2025年本）》（中华人民共和国国家发展和改革委员会令 第28号）</w:t>
      </w:r>
    </w:p>
    <w:p w14:paraId="0375EFF6">
      <w:pPr>
        <w:pStyle w:val="117"/>
        <w:ind w:firstLine="480"/>
      </w:pPr>
      <w:r>
        <w:rPr>
          <w:rFonts w:hint="eastAsia"/>
        </w:rPr>
        <w:t>本项目为镁合金产业循环经济建设技改提升项目，技改项目属于镁合金生产的配套工程，对照《西部地区鼓励类产业目录（2025年本）》，本项目属于新疆维吾尔自治区（含新疆生产建设兵团）鼓励发展的产业目录第19条：“19.铁、锰、铜、镍、铅、锌、钨、锡、钛、锑、镁、稀有金属和稀散金属勘探、有序开采、精深加工、加工新技术开发及应用”中镁精深加工，因此本项目属于新疆维吾尔自治区（含新疆生产建设兵团）鼓励发展产业的配套产业。</w:t>
      </w:r>
    </w:p>
    <w:p w14:paraId="5E837048">
      <w:pPr>
        <w:pStyle w:val="117"/>
        <w:ind w:firstLine="480"/>
      </w:pPr>
      <w:r>
        <w:rPr>
          <w:rFonts w:hint="eastAsia"/>
        </w:rPr>
        <w:t>（4）相关政策符合性</w:t>
      </w:r>
    </w:p>
    <w:p w14:paraId="737751AB">
      <w:pPr>
        <w:pStyle w:val="117"/>
        <w:ind w:firstLine="480"/>
      </w:pPr>
      <w:r>
        <w:rPr>
          <w:rFonts w:hint="eastAsia"/>
        </w:rPr>
        <w:t>本项目与相关政策符合性分析，见表0</w:t>
      </w:r>
      <w:r>
        <w:t>.</w:t>
      </w:r>
      <w:r>
        <w:rPr>
          <w:rFonts w:hint="eastAsia"/>
        </w:rPr>
        <w:t>3</w:t>
      </w:r>
      <w:r>
        <w:t>-1</w:t>
      </w:r>
      <w:r>
        <w:rPr>
          <w:rFonts w:hint="eastAsia"/>
        </w:rPr>
        <w:t>。</w:t>
      </w:r>
    </w:p>
    <w:p w14:paraId="43851351">
      <w:pPr>
        <w:pStyle w:val="117"/>
        <w:ind w:firstLine="480"/>
      </w:pPr>
      <w:r>
        <w:rPr>
          <w:rFonts w:hint="eastAsia"/>
        </w:rPr>
        <w:t>根据分析，本项目符合《2024—2025年节能降碳行动方案》</w:t>
      </w:r>
      <w:r>
        <w:t>《</w:t>
      </w:r>
      <w:r>
        <w:rPr>
          <w:rFonts w:hint="eastAsia"/>
        </w:rPr>
        <w:t>中共中央 国务院关于深入打好污染防治攻坚战的意见</w:t>
      </w:r>
      <w:r>
        <w:t>》《中共中央</w:t>
      </w:r>
      <w:r>
        <w:rPr>
          <w:rFonts w:hint="eastAsia"/>
        </w:rPr>
        <w:t xml:space="preserve"> </w:t>
      </w:r>
      <w:r>
        <w:t>国务院关于新时代推进西部大开发形成新格局的指导意见》</w:t>
      </w:r>
      <w:r>
        <w:rPr>
          <w:rFonts w:hint="eastAsia"/>
        </w:rPr>
        <w:t>《国务院关于印发2030年前碳达峰行动方案的通知》《关于加强高耗能、高排放建设项目生态环境源头防控的指导意见》等政策要求。</w:t>
      </w:r>
    </w:p>
    <w:p w14:paraId="6342F08D">
      <w:pPr>
        <w:pStyle w:val="117"/>
        <w:ind w:firstLine="480"/>
        <w:sectPr>
          <w:pgSz w:w="11906" w:h="16838"/>
          <w:pgMar w:top="1440" w:right="1800" w:bottom="1440" w:left="1800" w:header="850" w:footer="992" w:gutter="0"/>
          <w:cols w:space="425" w:num="1"/>
          <w:docGrid w:type="lines" w:linePitch="326" w:charSpace="0"/>
        </w:sectPr>
      </w:pPr>
    </w:p>
    <w:p w14:paraId="1A13412B">
      <w:pPr>
        <w:pStyle w:val="118"/>
      </w:pPr>
      <w:r>
        <w:rPr>
          <w:rFonts w:hint="eastAsia"/>
        </w:rPr>
        <w:t>表</w:t>
      </w:r>
      <w:r>
        <w:t>0.3</w:t>
      </w:r>
      <w:r>
        <w:rPr>
          <w:rFonts w:hint="eastAsia"/>
        </w:rPr>
        <w:t>-</w:t>
      </w:r>
      <w:r>
        <w:t xml:space="preserve">1  </w:t>
      </w:r>
      <w:r>
        <w:rPr>
          <w:rFonts w:hint="eastAsia"/>
        </w:rPr>
        <w:t>本项目与相关政策的符合性分析</w:t>
      </w:r>
    </w:p>
    <w:tbl>
      <w:tblPr>
        <w:tblStyle w:val="418"/>
        <w:tblW w:w="5000" w:type="pct"/>
        <w:tblInd w:w="-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68"/>
        <w:gridCol w:w="2278"/>
        <w:gridCol w:w="5196"/>
        <w:gridCol w:w="5196"/>
        <w:gridCol w:w="750"/>
      </w:tblGrid>
      <w:tr w14:paraId="2D2F1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03" w:type="pct"/>
            <w:vAlign w:val="center"/>
          </w:tcPr>
          <w:p w14:paraId="6FB7D055">
            <w:pPr>
              <w:pStyle w:val="133"/>
              <w:autoSpaceDE w:val="0"/>
              <w:autoSpaceDN w:val="0"/>
              <w:adjustRightInd w:val="0"/>
              <w:rPr>
                <w:b/>
                <w:bCs/>
              </w:rPr>
            </w:pPr>
            <w:r>
              <w:rPr>
                <w:b/>
                <w:bCs/>
              </w:rPr>
              <w:t>序号</w:t>
            </w:r>
          </w:p>
        </w:tc>
        <w:tc>
          <w:tcPr>
            <w:tcW w:w="814" w:type="pct"/>
            <w:vAlign w:val="center"/>
          </w:tcPr>
          <w:p w14:paraId="79C0322E">
            <w:pPr>
              <w:pStyle w:val="133"/>
              <w:autoSpaceDE w:val="0"/>
              <w:autoSpaceDN w:val="0"/>
              <w:adjustRightInd w:val="0"/>
              <w:rPr>
                <w:b/>
                <w:bCs/>
              </w:rPr>
            </w:pPr>
            <w:r>
              <w:rPr>
                <w:b/>
                <w:bCs/>
              </w:rPr>
              <w:t>政策文件</w:t>
            </w:r>
          </w:p>
        </w:tc>
        <w:tc>
          <w:tcPr>
            <w:tcW w:w="1857" w:type="pct"/>
            <w:vAlign w:val="center"/>
          </w:tcPr>
          <w:p w14:paraId="5D51FEBA">
            <w:pPr>
              <w:pStyle w:val="133"/>
              <w:autoSpaceDE w:val="0"/>
              <w:autoSpaceDN w:val="0"/>
              <w:adjustRightInd w:val="0"/>
              <w:rPr>
                <w:b/>
                <w:bCs/>
              </w:rPr>
            </w:pPr>
            <w:r>
              <w:rPr>
                <w:b/>
                <w:bCs/>
              </w:rPr>
              <w:t>具体要求</w:t>
            </w:r>
          </w:p>
        </w:tc>
        <w:tc>
          <w:tcPr>
            <w:tcW w:w="1857" w:type="pct"/>
            <w:vAlign w:val="center"/>
          </w:tcPr>
          <w:p w14:paraId="2DA614B1">
            <w:pPr>
              <w:pStyle w:val="133"/>
              <w:autoSpaceDE w:val="0"/>
              <w:autoSpaceDN w:val="0"/>
              <w:adjustRightInd w:val="0"/>
              <w:rPr>
                <w:b/>
                <w:bCs/>
              </w:rPr>
            </w:pPr>
            <w:r>
              <w:rPr>
                <w:b/>
                <w:bCs/>
              </w:rPr>
              <w:t>本项目情况</w:t>
            </w:r>
          </w:p>
        </w:tc>
        <w:tc>
          <w:tcPr>
            <w:tcW w:w="268" w:type="pct"/>
            <w:vAlign w:val="center"/>
          </w:tcPr>
          <w:p w14:paraId="57748C16">
            <w:pPr>
              <w:pStyle w:val="133"/>
              <w:autoSpaceDE w:val="0"/>
              <w:autoSpaceDN w:val="0"/>
              <w:adjustRightInd w:val="0"/>
              <w:rPr>
                <w:b/>
                <w:bCs/>
              </w:rPr>
            </w:pPr>
            <w:r>
              <w:rPr>
                <w:b/>
                <w:bCs/>
              </w:rPr>
              <w:t>符合性</w:t>
            </w:r>
          </w:p>
        </w:tc>
      </w:tr>
      <w:tr w14:paraId="308E6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3" w:type="pct"/>
            <w:vAlign w:val="center"/>
          </w:tcPr>
          <w:p w14:paraId="02293A3E">
            <w:pPr>
              <w:pStyle w:val="133"/>
              <w:autoSpaceDE w:val="0"/>
              <w:autoSpaceDN w:val="0"/>
              <w:adjustRightInd w:val="0"/>
            </w:pPr>
            <w:r>
              <w:rPr>
                <w:rFonts w:hint="eastAsia"/>
              </w:rPr>
              <w:t>1</w:t>
            </w:r>
          </w:p>
        </w:tc>
        <w:tc>
          <w:tcPr>
            <w:tcW w:w="814" w:type="pct"/>
            <w:vAlign w:val="center"/>
          </w:tcPr>
          <w:p w14:paraId="02ABFF38">
            <w:pPr>
              <w:pStyle w:val="133"/>
              <w:autoSpaceDE w:val="0"/>
              <w:autoSpaceDN w:val="0"/>
              <w:adjustRightInd w:val="0"/>
            </w:pPr>
            <w:r>
              <w:rPr>
                <w:rFonts w:hint="eastAsia"/>
              </w:rPr>
              <w:t>《2024—2025年节能降碳行动方案》</w:t>
            </w:r>
          </w:p>
          <w:p w14:paraId="1B6ABEA5">
            <w:pPr>
              <w:pStyle w:val="133"/>
              <w:autoSpaceDE w:val="0"/>
              <w:autoSpaceDN w:val="0"/>
              <w:adjustRightInd w:val="0"/>
            </w:pPr>
            <w:r>
              <w:rPr>
                <w:rFonts w:hint="eastAsia"/>
              </w:rPr>
              <w:t>（国发〔2024〕12号）</w:t>
            </w:r>
          </w:p>
        </w:tc>
        <w:tc>
          <w:tcPr>
            <w:tcW w:w="1857" w:type="pct"/>
            <w:vAlign w:val="center"/>
          </w:tcPr>
          <w:p w14:paraId="69208C5D">
            <w:pPr>
              <w:pStyle w:val="133"/>
              <w:autoSpaceDE w:val="0"/>
              <w:autoSpaceDN w:val="0"/>
              <w:adjustRightInd w:val="0"/>
            </w:pPr>
            <w:r>
              <w:rPr>
                <w:rFonts w:hint="eastAsia"/>
              </w:rPr>
              <w:t>合理控制半焦（兰炭）产业规模。</w:t>
            </w:r>
          </w:p>
        </w:tc>
        <w:tc>
          <w:tcPr>
            <w:tcW w:w="1857" w:type="pct"/>
            <w:vAlign w:val="center"/>
          </w:tcPr>
          <w:p w14:paraId="20B5A879">
            <w:pPr>
              <w:pStyle w:val="133"/>
              <w:autoSpaceDE w:val="0"/>
              <w:autoSpaceDN w:val="0"/>
              <w:adjustRightInd w:val="0"/>
            </w:pPr>
            <w:r>
              <w:rPr>
                <w:rFonts w:hint="eastAsia"/>
              </w:rPr>
              <w:t>本项目兰炭生产线与镁冶炼生产线配套建设。兰炭生产线生产的煤气作为镁冶炼各工序所需燃料。技改后兰炭生产规模不增加。</w:t>
            </w:r>
          </w:p>
        </w:tc>
        <w:tc>
          <w:tcPr>
            <w:tcW w:w="268" w:type="pct"/>
            <w:vAlign w:val="center"/>
          </w:tcPr>
          <w:p w14:paraId="740CF7E1">
            <w:pPr>
              <w:pStyle w:val="133"/>
              <w:autoSpaceDE w:val="0"/>
              <w:autoSpaceDN w:val="0"/>
              <w:adjustRightInd w:val="0"/>
            </w:pPr>
            <w:r>
              <w:rPr>
                <w:rFonts w:hint="eastAsia"/>
              </w:rPr>
              <w:t>符合</w:t>
            </w:r>
          </w:p>
        </w:tc>
      </w:tr>
      <w:tr w14:paraId="1ED7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3" w:type="pct"/>
            <w:vMerge w:val="restart"/>
            <w:vAlign w:val="center"/>
          </w:tcPr>
          <w:p w14:paraId="63525F81">
            <w:pPr>
              <w:pStyle w:val="133"/>
              <w:autoSpaceDE w:val="0"/>
              <w:autoSpaceDN w:val="0"/>
              <w:adjustRightInd w:val="0"/>
            </w:pPr>
            <w:r>
              <w:rPr>
                <w:rFonts w:hint="eastAsia"/>
              </w:rPr>
              <w:t>2</w:t>
            </w:r>
          </w:p>
        </w:tc>
        <w:tc>
          <w:tcPr>
            <w:tcW w:w="814" w:type="pct"/>
            <w:vMerge w:val="restart"/>
            <w:vAlign w:val="center"/>
          </w:tcPr>
          <w:p w14:paraId="6A26BE37">
            <w:pPr>
              <w:pStyle w:val="133"/>
              <w:autoSpaceDE w:val="0"/>
              <w:autoSpaceDN w:val="0"/>
              <w:adjustRightInd w:val="0"/>
            </w:pPr>
            <w:r>
              <w:t>《</w:t>
            </w:r>
            <w:r>
              <w:rPr>
                <w:rFonts w:hint="eastAsia"/>
              </w:rPr>
              <w:t>中共中央 国务院关于深入打好污染防治攻坚战的意见</w:t>
            </w:r>
            <w:r>
              <w:t>》</w:t>
            </w:r>
          </w:p>
        </w:tc>
        <w:tc>
          <w:tcPr>
            <w:tcW w:w="1857" w:type="pct"/>
            <w:vAlign w:val="center"/>
          </w:tcPr>
          <w:p w14:paraId="6B5C2276">
            <w:pPr>
              <w:pStyle w:val="133"/>
              <w:autoSpaceDE w:val="0"/>
              <w:autoSpaceDN w:val="0"/>
              <w:adjustRightInd w:val="0"/>
            </w:pPr>
            <w:r>
              <w:rPr>
                <w:rFonts w:hint="eastAsia"/>
                <w:color w:val="333333"/>
                <w:shd w:val="clear" w:color="auto" w:fill="FFFFFF"/>
              </w:rPr>
              <w:t>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857" w:type="pct"/>
            <w:vAlign w:val="center"/>
          </w:tcPr>
          <w:p w14:paraId="48A30AF1">
            <w:pPr>
              <w:pStyle w:val="133"/>
              <w:autoSpaceDE w:val="0"/>
              <w:autoSpaceDN w:val="0"/>
              <w:adjustRightInd w:val="0"/>
            </w:pPr>
            <w:r>
              <w:t>本项目</w:t>
            </w:r>
            <w:r>
              <w:rPr>
                <w:rFonts w:hint="eastAsia"/>
              </w:rPr>
              <w:t>对兰炭生产线和硅铁生产线进行技改，所在区域不属于重点区域。布设在依法合规设立并经规划环评的产业园区；将</w:t>
            </w:r>
            <w:r>
              <w:t>落实区域削减要求</w:t>
            </w:r>
            <w:r>
              <w:rPr>
                <w:rFonts w:hint="eastAsia"/>
              </w:rPr>
              <w:t>，对排放的主要污染物采取区域消减</w:t>
            </w:r>
            <w:r>
              <w:t>。</w:t>
            </w:r>
          </w:p>
        </w:tc>
        <w:tc>
          <w:tcPr>
            <w:tcW w:w="268" w:type="pct"/>
            <w:vAlign w:val="center"/>
          </w:tcPr>
          <w:p w14:paraId="31E7A5FB">
            <w:pPr>
              <w:pStyle w:val="133"/>
              <w:autoSpaceDE w:val="0"/>
              <w:autoSpaceDN w:val="0"/>
              <w:adjustRightInd w:val="0"/>
            </w:pPr>
            <w:r>
              <w:rPr>
                <w:rFonts w:hint="eastAsia"/>
              </w:rPr>
              <w:t>符合</w:t>
            </w:r>
          </w:p>
        </w:tc>
      </w:tr>
      <w:tr w14:paraId="628F1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3" w:type="pct"/>
            <w:vMerge w:val="continue"/>
            <w:vAlign w:val="center"/>
          </w:tcPr>
          <w:p w14:paraId="44BC4E05">
            <w:pPr>
              <w:pStyle w:val="133"/>
              <w:autoSpaceDE w:val="0"/>
              <w:autoSpaceDN w:val="0"/>
              <w:adjustRightInd w:val="0"/>
            </w:pPr>
          </w:p>
        </w:tc>
        <w:tc>
          <w:tcPr>
            <w:tcW w:w="814" w:type="pct"/>
            <w:vMerge w:val="continue"/>
            <w:vAlign w:val="center"/>
          </w:tcPr>
          <w:p w14:paraId="0709FC9F">
            <w:pPr>
              <w:pStyle w:val="133"/>
              <w:autoSpaceDE w:val="0"/>
              <w:autoSpaceDN w:val="0"/>
              <w:adjustRightInd w:val="0"/>
            </w:pPr>
          </w:p>
        </w:tc>
        <w:tc>
          <w:tcPr>
            <w:tcW w:w="1857" w:type="pct"/>
            <w:vAlign w:val="center"/>
          </w:tcPr>
          <w:p w14:paraId="252D1B55">
            <w:pPr>
              <w:pStyle w:val="133"/>
              <w:autoSpaceDE w:val="0"/>
              <w:autoSpaceDN w:val="0"/>
              <w:adjustRightInd w:val="0"/>
              <w:rPr>
                <w:color w:val="333333"/>
                <w:shd w:val="clear" w:color="auto" w:fill="FFFFFF"/>
              </w:rPr>
            </w:pPr>
            <w:r>
              <w:rPr>
                <w:rFonts w:hint="eastAsia"/>
                <w:color w:val="333333"/>
                <w:shd w:val="clear" w:color="auto" w:fill="FFFFFF"/>
              </w:rPr>
              <w:t>以石化、化工、涂装、医药、包装印刷、油品储运销等行业领域为重点，安全高效推进挥发性有机物综合治理，实施原辅材料和产品源头替代工程。</w:t>
            </w:r>
          </w:p>
        </w:tc>
        <w:tc>
          <w:tcPr>
            <w:tcW w:w="1857" w:type="pct"/>
            <w:vAlign w:val="center"/>
          </w:tcPr>
          <w:p w14:paraId="4E7E4EDD">
            <w:pPr>
              <w:pStyle w:val="133"/>
              <w:autoSpaceDE w:val="0"/>
              <w:autoSpaceDN w:val="0"/>
              <w:adjustRightInd w:val="0"/>
            </w:pPr>
            <w:r>
              <w:rPr>
                <w:rFonts w:hint="eastAsia"/>
              </w:rPr>
              <w:t>本项目兰炭生产线设VOC</w:t>
            </w:r>
            <w:r>
              <w:rPr>
                <w:rFonts w:hint="eastAsia"/>
                <w:vertAlign w:val="subscript"/>
              </w:rPr>
              <w:t>S</w:t>
            </w:r>
            <w:r>
              <w:rPr>
                <w:rFonts w:hint="eastAsia"/>
              </w:rPr>
              <w:t>收集、处理系统，对出焦、液封槽、焦油罐区、氨水罐区等产生的挥发性有机物进行收集，采取做炭化炉助燃空气、焚烧等方式处理。</w:t>
            </w:r>
          </w:p>
        </w:tc>
        <w:tc>
          <w:tcPr>
            <w:tcW w:w="268" w:type="pct"/>
            <w:vAlign w:val="center"/>
          </w:tcPr>
          <w:p w14:paraId="5EA45CF5">
            <w:pPr>
              <w:pStyle w:val="133"/>
              <w:autoSpaceDE w:val="0"/>
              <w:autoSpaceDN w:val="0"/>
              <w:adjustRightInd w:val="0"/>
            </w:pPr>
            <w:r>
              <w:rPr>
                <w:rFonts w:hint="eastAsia"/>
              </w:rPr>
              <w:t>符合</w:t>
            </w:r>
          </w:p>
        </w:tc>
      </w:tr>
      <w:tr w14:paraId="7DEF7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3" w:type="pct"/>
            <w:vMerge w:val="continue"/>
            <w:vAlign w:val="center"/>
          </w:tcPr>
          <w:p w14:paraId="26D96A5A">
            <w:pPr>
              <w:pStyle w:val="133"/>
              <w:autoSpaceDE w:val="0"/>
              <w:autoSpaceDN w:val="0"/>
              <w:adjustRightInd w:val="0"/>
            </w:pPr>
          </w:p>
        </w:tc>
        <w:tc>
          <w:tcPr>
            <w:tcW w:w="814" w:type="pct"/>
            <w:vMerge w:val="continue"/>
            <w:vAlign w:val="center"/>
          </w:tcPr>
          <w:p w14:paraId="7DD1CA5F">
            <w:pPr>
              <w:pStyle w:val="133"/>
              <w:autoSpaceDE w:val="0"/>
              <w:autoSpaceDN w:val="0"/>
              <w:adjustRightInd w:val="0"/>
            </w:pPr>
          </w:p>
        </w:tc>
        <w:tc>
          <w:tcPr>
            <w:tcW w:w="1857" w:type="pct"/>
            <w:vAlign w:val="center"/>
          </w:tcPr>
          <w:p w14:paraId="744D89E2">
            <w:pPr>
              <w:pStyle w:val="133"/>
              <w:autoSpaceDE w:val="0"/>
              <w:autoSpaceDN w:val="0"/>
              <w:adjustRightInd w:val="0"/>
              <w:rPr>
                <w:color w:val="333333"/>
                <w:shd w:val="clear" w:color="auto" w:fill="FFFFFF"/>
              </w:rPr>
            </w:pPr>
            <w:r>
              <w:rPr>
                <w:rFonts w:hint="eastAsia"/>
                <w:color w:val="333333"/>
                <w:shd w:val="clear" w:color="auto" w:fill="FFFFFF"/>
              </w:rPr>
              <w:t>推进钢铁、水泥、焦化行业企业超低排放改造，重点区域钢铁、燃煤机组、燃煤锅炉实现超低排放。</w:t>
            </w:r>
          </w:p>
        </w:tc>
        <w:tc>
          <w:tcPr>
            <w:tcW w:w="1857" w:type="pct"/>
            <w:vAlign w:val="center"/>
          </w:tcPr>
          <w:p w14:paraId="5DAF882E">
            <w:pPr>
              <w:pStyle w:val="133"/>
              <w:autoSpaceDE w:val="0"/>
              <w:autoSpaceDN w:val="0"/>
              <w:adjustRightInd w:val="0"/>
            </w:pPr>
            <w:r>
              <w:rPr>
                <w:rFonts w:hint="eastAsia"/>
              </w:rPr>
              <w:t>本项目为技改提升项目，将现有兰炭生产线改造后符合焦化行业超低排放要求。</w:t>
            </w:r>
          </w:p>
        </w:tc>
        <w:tc>
          <w:tcPr>
            <w:tcW w:w="268" w:type="pct"/>
            <w:vAlign w:val="center"/>
          </w:tcPr>
          <w:p w14:paraId="320827E6">
            <w:pPr>
              <w:pStyle w:val="133"/>
              <w:autoSpaceDE w:val="0"/>
              <w:autoSpaceDN w:val="0"/>
              <w:adjustRightInd w:val="0"/>
            </w:pPr>
            <w:r>
              <w:rPr>
                <w:rFonts w:hint="eastAsia"/>
              </w:rPr>
              <w:t>符合</w:t>
            </w:r>
          </w:p>
        </w:tc>
      </w:tr>
      <w:tr w14:paraId="21BBD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3" w:type="pct"/>
            <w:vAlign w:val="center"/>
          </w:tcPr>
          <w:p w14:paraId="67D75C9C">
            <w:pPr>
              <w:pStyle w:val="133"/>
              <w:autoSpaceDE w:val="0"/>
              <w:autoSpaceDN w:val="0"/>
              <w:adjustRightInd w:val="0"/>
            </w:pPr>
            <w:r>
              <w:rPr>
                <w:rFonts w:hint="eastAsia"/>
              </w:rPr>
              <w:t>3</w:t>
            </w:r>
          </w:p>
        </w:tc>
        <w:tc>
          <w:tcPr>
            <w:tcW w:w="814" w:type="pct"/>
            <w:vAlign w:val="center"/>
          </w:tcPr>
          <w:p w14:paraId="4C08C814">
            <w:pPr>
              <w:pStyle w:val="133"/>
              <w:autoSpaceDE w:val="0"/>
              <w:autoSpaceDN w:val="0"/>
              <w:adjustRightInd w:val="0"/>
            </w:pPr>
            <w:r>
              <w:t>《中共中央</w:t>
            </w:r>
            <w:r>
              <w:rPr>
                <w:rFonts w:hint="eastAsia"/>
              </w:rPr>
              <w:t xml:space="preserve"> </w:t>
            </w:r>
            <w:r>
              <w:t>国务院关于新时代推进西部大开发形成新格局的指导意见》</w:t>
            </w:r>
          </w:p>
        </w:tc>
        <w:tc>
          <w:tcPr>
            <w:tcW w:w="1857" w:type="pct"/>
            <w:vAlign w:val="center"/>
          </w:tcPr>
          <w:p w14:paraId="07F08754">
            <w:pPr>
              <w:pStyle w:val="133"/>
              <w:autoSpaceDE w:val="0"/>
              <w:autoSpaceDN w:val="0"/>
              <w:adjustRightInd w:val="0"/>
            </w:pPr>
            <w:r>
              <w:t>（十六）加快推进西部地区绿色发展。落实市场导向的绿色技术创新体系建设任务，推动西部地区绿色产业加快发展。实施国家节水行动以及能源消耗总量和强度双控制度，全面推动重点领域节能减排。大力发展循环经济，推进资源循环利用基地建设和园区循环化改造，鼓励探索低碳转型路径。</w:t>
            </w:r>
          </w:p>
        </w:tc>
        <w:tc>
          <w:tcPr>
            <w:tcW w:w="1857" w:type="pct"/>
            <w:vAlign w:val="center"/>
          </w:tcPr>
          <w:p w14:paraId="31844FBF">
            <w:pPr>
              <w:pStyle w:val="133"/>
              <w:autoSpaceDE w:val="0"/>
              <w:autoSpaceDN w:val="0"/>
              <w:adjustRightInd w:val="0"/>
            </w:pPr>
            <w:r>
              <w:t>本项目</w:t>
            </w:r>
            <w:r>
              <w:rPr>
                <w:rFonts w:hint="eastAsia"/>
              </w:rPr>
              <w:t>为镁合金产业循环经济建设项目，在企业内部形成了上下游产业链，有助于</w:t>
            </w:r>
            <w:r>
              <w:t>发展循环经济</w:t>
            </w:r>
            <w:r>
              <w:rPr>
                <w:rFonts w:hint="eastAsia"/>
              </w:rPr>
              <w:t>、</w:t>
            </w:r>
            <w:r>
              <w:t>推进区域资源循环利用。</w:t>
            </w:r>
          </w:p>
        </w:tc>
        <w:tc>
          <w:tcPr>
            <w:tcW w:w="268" w:type="pct"/>
            <w:vAlign w:val="center"/>
          </w:tcPr>
          <w:p w14:paraId="3BF42F00">
            <w:pPr>
              <w:pStyle w:val="133"/>
              <w:autoSpaceDE w:val="0"/>
              <w:autoSpaceDN w:val="0"/>
              <w:adjustRightInd w:val="0"/>
            </w:pPr>
            <w:r>
              <w:rPr>
                <w:rFonts w:hint="eastAsia"/>
              </w:rPr>
              <w:t>符合</w:t>
            </w:r>
          </w:p>
        </w:tc>
      </w:tr>
      <w:tr w14:paraId="13887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3" w:type="pct"/>
            <w:vAlign w:val="center"/>
          </w:tcPr>
          <w:p w14:paraId="3EA5665E">
            <w:pPr>
              <w:pStyle w:val="133"/>
              <w:autoSpaceDE w:val="0"/>
              <w:autoSpaceDN w:val="0"/>
              <w:adjustRightInd w:val="0"/>
            </w:pPr>
            <w:r>
              <w:rPr>
                <w:rFonts w:hint="eastAsia"/>
              </w:rPr>
              <w:t>4</w:t>
            </w:r>
          </w:p>
        </w:tc>
        <w:tc>
          <w:tcPr>
            <w:tcW w:w="814" w:type="pct"/>
            <w:vAlign w:val="center"/>
          </w:tcPr>
          <w:p w14:paraId="6A55003C">
            <w:pPr>
              <w:pStyle w:val="133"/>
              <w:autoSpaceDE w:val="0"/>
              <w:autoSpaceDN w:val="0"/>
              <w:adjustRightInd w:val="0"/>
            </w:pPr>
            <w:r>
              <w:t>《国务院关于印发2030年前碳达峰行动方案的通知》（国发〔2021〕23号）</w:t>
            </w:r>
          </w:p>
        </w:tc>
        <w:tc>
          <w:tcPr>
            <w:tcW w:w="1857" w:type="pct"/>
            <w:vAlign w:val="center"/>
          </w:tcPr>
          <w:p w14:paraId="59F6E0B3">
            <w:pPr>
              <w:pStyle w:val="133"/>
              <w:autoSpaceDE w:val="0"/>
              <w:autoSpaceDN w:val="0"/>
              <w:adjustRightInd w:val="0"/>
            </w:pPr>
            <w:r>
              <w:rPr>
                <w:rFonts w:hint="eastAsia"/>
              </w:rPr>
              <w:t>（三）工业领域碳达峰行动。</w:t>
            </w:r>
          </w:p>
          <w:p w14:paraId="6F172A3C">
            <w:pPr>
              <w:pStyle w:val="133"/>
              <w:autoSpaceDE w:val="0"/>
              <w:autoSpaceDN w:val="0"/>
              <w:adjustRightInd w:val="0"/>
            </w:pPr>
            <w:r>
              <w:rPr>
                <w:rFonts w:hint="eastAsia"/>
              </w:rPr>
              <w:t>5．推动石化化工行业碳达峰。优化产能规模和布局，加大落后产能淘汰力度，有效化解结构性过剩矛盾。严格项目准入，合理安排建设时序，严控新增炼油和传统煤化工生产能力，稳妥有序发展现代煤化工。</w:t>
            </w:r>
          </w:p>
        </w:tc>
        <w:tc>
          <w:tcPr>
            <w:tcW w:w="1857" w:type="pct"/>
            <w:vAlign w:val="center"/>
          </w:tcPr>
          <w:p w14:paraId="66BC3F9F">
            <w:pPr>
              <w:pStyle w:val="133"/>
              <w:autoSpaceDE w:val="0"/>
              <w:autoSpaceDN w:val="0"/>
              <w:adjustRightInd w:val="0"/>
            </w:pPr>
            <w:r>
              <w:t>本</w:t>
            </w:r>
            <w:r>
              <w:rPr>
                <w:rFonts w:hint="eastAsia"/>
              </w:rPr>
              <w:t>次技改对兰炭生产线实施超低排放改造，不扩大兰炭生产规模。</w:t>
            </w:r>
          </w:p>
        </w:tc>
        <w:tc>
          <w:tcPr>
            <w:tcW w:w="268" w:type="pct"/>
            <w:vAlign w:val="center"/>
          </w:tcPr>
          <w:p w14:paraId="5EE1B277">
            <w:pPr>
              <w:pStyle w:val="133"/>
              <w:autoSpaceDE w:val="0"/>
              <w:autoSpaceDN w:val="0"/>
              <w:adjustRightInd w:val="0"/>
            </w:pPr>
            <w:r>
              <w:rPr>
                <w:rFonts w:hint="eastAsia"/>
              </w:rPr>
              <w:t>符合</w:t>
            </w:r>
          </w:p>
        </w:tc>
      </w:tr>
      <w:tr w14:paraId="34506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3" w:type="pct"/>
            <w:vAlign w:val="center"/>
          </w:tcPr>
          <w:p w14:paraId="75E9BE5D">
            <w:pPr>
              <w:pStyle w:val="133"/>
              <w:autoSpaceDE w:val="0"/>
              <w:autoSpaceDN w:val="0"/>
              <w:adjustRightInd w:val="0"/>
            </w:pPr>
            <w:r>
              <w:rPr>
                <w:rFonts w:hint="eastAsia"/>
              </w:rPr>
              <w:t>5</w:t>
            </w:r>
          </w:p>
        </w:tc>
        <w:tc>
          <w:tcPr>
            <w:tcW w:w="814" w:type="pct"/>
            <w:vAlign w:val="center"/>
          </w:tcPr>
          <w:p w14:paraId="2338FA43">
            <w:pPr>
              <w:pStyle w:val="133"/>
              <w:autoSpaceDE w:val="0"/>
              <w:autoSpaceDN w:val="0"/>
              <w:adjustRightInd w:val="0"/>
            </w:pPr>
            <w:r>
              <w:t>《关于加强高耗能、高排放建设项目生态环境源头防控的指导意见》（环环评〔2021〕45号）</w:t>
            </w:r>
          </w:p>
        </w:tc>
        <w:tc>
          <w:tcPr>
            <w:tcW w:w="1857" w:type="pct"/>
            <w:vAlign w:val="center"/>
          </w:tcPr>
          <w:p w14:paraId="5BE59536">
            <w:pPr>
              <w:pStyle w:val="133"/>
              <w:autoSpaceDE w:val="0"/>
              <w:autoSpaceDN w:val="0"/>
              <w:adjustRightInd w:val="0"/>
            </w:pPr>
            <w:r>
              <w:rPr>
                <w:rFonts w:hint="eastAsia"/>
              </w:rPr>
              <w:t>二、严格“两高”项目环评审批</w:t>
            </w:r>
          </w:p>
          <w:p w14:paraId="119A0D4A">
            <w:pPr>
              <w:pStyle w:val="133"/>
              <w:autoSpaceDE w:val="0"/>
              <w:autoSpaceDN w:val="0"/>
              <w:adjustRightInd w:val="0"/>
            </w:pPr>
            <w:r>
              <w:rPr>
                <w:rFonts w:hint="eastAsia"/>
              </w:rPr>
              <w:t>（三）新建、扩建石化、化工、焦化、有色金属冶炼、平板玻璃项目应布设在依法合规设立并经规划环评的产业园区。</w:t>
            </w:r>
          </w:p>
          <w:p w14:paraId="5DFC8D19">
            <w:pPr>
              <w:pStyle w:val="133"/>
              <w:autoSpaceDE w:val="0"/>
              <w:autoSpaceDN w:val="0"/>
              <w:adjustRightInd w:val="0"/>
            </w:pPr>
            <w:r>
              <w:t>（四）落实区域削减要求。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1857" w:type="pct"/>
            <w:vAlign w:val="center"/>
          </w:tcPr>
          <w:p w14:paraId="3CBDE148">
            <w:pPr>
              <w:pStyle w:val="133"/>
              <w:autoSpaceDE w:val="0"/>
              <w:autoSpaceDN w:val="0"/>
              <w:adjustRightInd w:val="0"/>
            </w:pPr>
            <w:r>
              <w:t>本项目</w:t>
            </w:r>
            <w:r>
              <w:rPr>
                <w:rFonts w:hint="eastAsia"/>
              </w:rPr>
              <w:t>兰炭生产线属于有色金属冶炼配套设施</w:t>
            </w:r>
            <w:r>
              <w:t>，</w:t>
            </w:r>
            <w:r>
              <w:rPr>
                <w:rFonts w:hint="eastAsia"/>
              </w:rPr>
              <w:t>技改后不增加兰炭产能，布设在依法合规设立并经规划环评的产业园区；将</w:t>
            </w:r>
            <w:r>
              <w:t>落实区域削减要求</w:t>
            </w:r>
            <w:r>
              <w:rPr>
                <w:rFonts w:hint="eastAsia"/>
              </w:rPr>
              <w:t>，对排放的主要污染物采取区域消减</w:t>
            </w:r>
            <w:r>
              <w:t>。</w:t>
            </w:r>
          </w:p>
        </w:tc>
        <w:tc>
          <w:tcPr>
            <w:tcW w:w="268" w:type="pct"/>
            <w:vAlign w:val="center"/>
          </w:tcPr>
          <w:p w14:paraId="5B7861E5">
            <w:pPr>
              <w:pStyle w:val="133"/>
              <w:autoSpaceDE w:val="0"/>
              <w:autoSpaceDN w:val="0"/>
              <w:adjustRightInd w:val="0"/>
            </w:pPr>
            <w:r>
              <w:rPr>
                <w:rFonts w:hint="eastAsia"/>
              </w:rPr>
              <w:t>符合</w:t>
            </w:r>
          </w:p>
        </w:tc>
      </w:tr>
    </w:tbl>
    <w:p w14:paraId="0B82EEC8">
      <w:pPr>
        <w:pStyle w:val="133"/>
      </w:pPr>
    </w:p>
    <w:p w14:paraId="390F1B04">
      <w:pPr>
        <w:pStyle w:val="117"/>
        <w:ind w:firstLine="480"/>
        <w:sectPr>
          <w:pgSz w:w="16838" w:h="11906" w:orient="landscape"/>
          <w:pgMar w:top="1800" w:right="1440" w:bottom="1800" w:left="1440" w:header="850" w:footer="992" w:gutter="0"/>
          <w:cols w:space="425" w:num="1"/>
          <w:docGrid w:type="lines" w:linePitch="326" w:charSpace="0"/>
        </w:sectPr>
      </w:pPr>
    </w:p>
    <w:p w14:paraId="138C3050">
      <w:pPr>
        <w:pStyle w:val="138"/>
        <w:numPr>
          <w:ilvl w:val="0"/>
          <w:numId w:val="0"/>
        </w:numPr>
        <w:rPr>
          <w:rFonts w:hint="eastAsia"/>
        </w:rPr>
      </w:pPr>
      <w:r>
        <w:t xml:space="preserve">3.2 </w:t>
      </w:r>
      <w:r>
        <w:rPr>
          <w:rFonts w:hint="eastAsia"/>
        </w:rPr>
        <w:t>规划符合性</w:t>
      </w:r>
    </w:p>
    <w:p w14:paraId="042627F6">
      <w:pPr>
        <w:pStyle w:val="117"/>
        <w:ind w:firstLine="480"/>
      </w:pPr>
      <w:r>
        <w:rPr>
          <w:rFonts w:hint="eastAsia"/>
        </w:rPr>
        <w:t>（1）《</w:t>
      </w:r>
      <w:r>
        <w:rPr>
          <w:rFonts w:hint="eastAsia" w:ascii="宋体" w:hAnsi="宋体"/>
        </w:rPr>
        <w:t>哈密高新技术产业开发区国土空间专向规划（2023-2035）</w:t>
      </w:r>
      <w:r>
        <w:t>》及批复符合性</w:t>
      </w:r>
    </w:p>
    <w:p w14:paraId="46D7B300">
      <w:pPr>
        <w:pStyle w:val="117"/>
        <w:ind w:firstLine="480"/>
      </w:pPr>
      <w:r>
        <w:t>哈密高新技术产业</w:t>
      </w:r>
      <w:r>
        <w:rPr>
          <w:rFonts w:hint="eastAsia"/>
        </w:rPr>
        <w:t>开发</w:t>
      </w:r>
      <w:r>
        <w:t>区（以下简称“哈密高新区”）实际管辖范围为“一区、三园、三基地”。“一区”即哈密高新区，规划范围面积共 69.22平方千米</w:t>
      </w:r>
      <w:r>
        <w:rPr>
          <w:rFonts w:hint="eastAsia"/>
        </w:rPr>
        <w:t>。“三园”包括</w:t>
      </w:r>
      <w:r>
        <w:t>北部新兴产业园</w:t>
      </w:r>
      <w:r>
        <w:rPr>
          <w:rFonts w:hint="eastAsia"/>
        </w:rPr>
        <w:t>、</w:t>
      </w:r>
      <w:r>
        <w:t>南部循环经济产业园</w:t>
      </w:r>
      <w:r>
        <w:rPr>
          <w:rFonts w:hint="eastAsia"/>
        </w:rPr>
        <w:t>、</w:t>
      </w:r>
      <w:r>
        <w:t>烟墩产业集聚区</w:t>
      </w:r>
      <w:r>
        <w:rPr>
          <w:rFonts w:hint="eastAsia"/>
        </w:rPr>
        <w:t>，面积分别为</w:t>
      </w:r>
      <w:r>
        <w:t>20.15 平方千米、39.79 平方千米、9.28 平方千米。“三基地”包括高新区石城子光伏基地、高新区南部风光基地、高新区烟墩风光基地，面积分别约 590.33 平方千米、4865.94 平方千米、3288.52 平方千米</w:t>
      </w:r>
      <w:r>
        <w:rPr>
          <w:rFonts w:hint="eastAsia"/>
        </w:rPr>
        <w:t>，</w:t>
      </w:r>
      <w:r>
        <w:t>其中高新区石城子光伏基地包含石城子产业园 26.86 平方千米。</w:t>
      </w:r>
    </w:p>
    <w:p w14:paraId="346E00CD">
      <w:pPr>
        <w:pStyle w:val="117"/>
        <w:ind w:firstLine="480"/>
      </w:pPr>
      <w:r>
        <w:rPr>
          <w:rFonts w:hint="eastAsia"/>
        </w:rPr>
        <w:t>南部循环经济产业园规划产业布局包括-</w:t>
      </w:r>
      <w:r>
        <w:t>高端重型装备制造基地、化工产业集聚区、战略性新材料产业集聚区、先进新材料产业集聚区、中试产业集聚区、仓储物流产业集聚区</w:t>
      </w:r>
      <w:r>
        <w:rPr>
          <w:rFonts w:hint="eastAsia"/>
        </w:rPr>
        <w:t>。</w:t>
      </w:r>
    </w:p>
    <w:p w14:paraId="5BFAEE66">
      <w:pPr>
        <w:pStyle w:val="117"/>
        <w:ind w:firstLine="480"/>
      </w:pPr>
      <w:r>
        <w:rPr>
          <w:rFonts w:hint="eastAsia"/>
        </w:rPr>
        <w:t>本项目位于南部循环经济产业园</w:t>
      </w:r>
      <w:r>
        <w:t>先进新材料产业集聚区</w:t>
      </w:r>
      <w:r>
        <w:rPr>
          <w:rFonts w:hint="eastAsia"/>
        </w:rPr>
        <w:t>，用地类型规划为三类工业用地</w:t>
      </w:r>
      <w:r>
        <w:t>。</w:t>
      </w:r>
    </w:p>
    <w:p w14:paraId="4498B25F">
      <w:pPr>
        <w:pStyle w:val="117"/>
        <w:ind w:firstLine="480"/>
      </w:pPr>
      <w:r>
        <w:rPr>
          <w:rFonts w:hint="eastAsia"/>
        </w:rPr>
        <w:t>哈密高新技术产业开发区南部循环经济产业园产业布局规划图见图0</w:t>
      </w:r>
      <w:r>
        <w:t>.3-1</w:t>
      </w:r>
      <w:r>
        <w:rPr>
          <w:rFonts w:hint="eastAsia"/>
        </w:rPr>
        <w:t>、土地利用规划图见图0</w:t>
      </w:r>
      <w:r>
        <w:t>.3-2</w:t>
      </w:r>
      <w:r>
        <w:rPr>
          <w:rFonts w:hint="eastAsia"/>
        </w:rPr>
        <w:t>。</w:t>
      </w:r>
    </w:p>
    <w:p w14:paraId="71F28C2F">
      <w:pPr>
        <w:pStyle w:val="117"/>
        <w:ind w:firstLine="480"/>
        <w:rPr>
          <w:rFonts w:cs="Times New Roman"/>
        </w:rPr>
      </w:pPr>
      <w:r>
        <w:rPr>
          <w:rFonts w:cs="Times New Roman"/>
        </w:rPr>
        <w:t>规划期限 为 2025 年到 2035 年，基期年为 2024 年，近期为 2025 年，远期为 2035。</w:t>
      </w:r>
    </w:p>
    <w:p w14:paraId="00F8E6D2">
      <w:pPr>
        <w:pStyle w:val="117"/>
        <w:ind w:firstLine="480"/>
      </w:pPr>
      <w:r>
        <w:rPr>
          <w:rFonts w:hint="eastAsia"/>
        </w:rPr>
        <w:t>本项目属于规划近期。</w:t>
      </w:r>
    </w:p>
    <w:p w14:paraId="4F39784A">
      <w:pPr>
        <w:pStyle w:val="117"/>
        <w:ind w:firstLine="480"/>
      </w:pPr>
      <w:r>
        <w:rPr>
          <w:rFonts w:hint="eastAsia"/>
        </w:rPr>
        <w:t>规划中明确提出</w:t>
      </w:r>
      <w:r>
        <w:t>推动有色金属、非金属 矿产资源由矿石采选向基础材料的延伸，实现对低品位钒钛 磁铁矿、有色金属尾矿等资源的综合开发利用，初步形成钛及钛合金、镁及镁合金、硅基新材料、环保材料等新材料产业。</w:t>
      </w:r>
    </w:p>
    <w:p w14:paraId="30FFAEE5">
      <w:pPr>
        <w:pStyle w:val="117"/>
        <w:ind w:firstLine="480"/>
      </w:pPr>
      <w:r>
        <w:rPr>
          <w:rFonts w:cs="Times New Roman"/>
        </w:rPr>
        <w:t>本项目</w:t>
      </w:r>
      <w:r>
        <w:rPr>
          <w:rFonts w:hint="eastAsia" w:cs="Times New Roman"/>
        </w:rPr>
        <w:t>兰炭生产线及硅铁生产线属于重点发展的镁及镁合金材料产业的配套设施</w:t>
      </w:r>
      <w:r>
        <w:rPr>
          <w:rFonts w:cs="Times New Roman"/>
        </w:rPr>
        <w:t>，</w:t>
      </w:r>
      <w:r>
        <w:rPr>
          <w:rFonts w:hint="eastAsia" w:cs="Times New Roman"/>
        </w:rPr>
        <w:t>属于三类工业项目，</w:t>
      </w:r>
      <w:r>
        <w:rPr>
          <w:rFonts w:hint="eastAsia"/>
        </w:rPr>
        <w:t>因此本项目建设符合《</w:t>
      </w:r>
      <w:r>
        <w:rPr>
          <w:rFonts w:hint="eastAsia" w:ascii="宋体" w:hAnsi="宋体"/>
        </w:rPr>
        <w:t>哈密高新技术产业开发区国土空间专向规划（2023-2035）</w:t>
      </w:r>
      <w:r>
        <w:t>》</w:t>
      </w:r>
      <w:r>
        <w:rPr>
          <w:rFonts w:hint="eastAsia"/>
        </w:rPr>
        <w:t>及其批复。</w:t>
      </w:r>
    </w:p>
    <w:p w14:paraId="5BE54C80">
      <w:pPr>
        <w:pStyle w:val="117"/>
        <w:ind w:firstLine="480"/>
        <w:rPr>
          <w:rFonts w:cs="Times New Roman"/>
        </w:rPr>
      </w:pPr>
      <w:r>
        <w:rPr>
          <w:rFonts w:cs="Times New Roman"/>
        </w:rPr>
        <w:t>（2）《哈密高新技术产业开发区国土空间</w:t>
      </w:r>
      <w:r>
        <w:rPr>
          <w:rFonts w:hint="eastAsia" w:ascii="宋体" w:hAnsi="宋体"/>
        </w:rPr>
        <w:t>专</w:t>
      </w:r>
      <w:r>
        <w:rPr>
          <w:rFonts w:cs="Times New Roman"/>
        </w:rPr>
        <w:t>向规划（2023-2035）环境影响报告书》及审查意见符合性</w:t>
      </w:r>
    </w:p>
    <w:p w14:paraId="27608933">
      <w:pPr>
        <w:pStyle w:val="117"/>
        <w:ind w:firstLine="480"/>
      </w:pPr>
      <w:r>
        <w:t>哈密高新区实际管辖范围为“一区、三园、三基地”。规划范围面积共 69.22km</w:t>
      </w:r>
      <w:r>
        <w:rPr>
          <w:vertAlign w:val="superscript"/>
        </w:rPr>
        <w:t>2</w:t>
      </w:r>
      <w:r>
        <w:t>，仅包括“三园”，其中北部新兴产业园 20.15km</w:t>
      </w:r>
      <w:r>
        <w:rPr>
          <w:vertAlign w:val="superscript"/>
        </w:rPr>
        <w:t>2</w:t>
      </w:r>
      <w:r>
        <w:t>、南部循环经济产业园39.79km</w:t>
      </w:r>
      <w:r>
        <w:rPr>
          <w:vertAlign w:val="superscript"/>
        </w:rPr>
        <w:t>2</w:t>
      </w:r>
      <w:r>
        <w:t>、烟墩产业集聚区 9.28km</w:t>
      </w:r>
      <w:r>
        <w:rPr>
          <w:vertAlign w:val="superscript"/>
        </w:rPr>
        <w:t>2</w:t>
      </w:r>
      <w:r>
        <w:t>。</w:t>
      </w:r>
    </w:p>
    <w:p w14:paraId="3D7C3B20">
      <w:pPr>
        <w:pStyle w:val="117"/>
        <w:ind w:firstLine="480"/>
      </w:pPr>
      <w:r>
        <w:t>南部循环经济产业园产业重点发展方向：在已有钛、镁、硅产业发展的基础 上，培育由初级冶炼加工为主导</w:t>
      </w:r>
      <w:r>
        <w:rPr>
          <w:rFonts w:hint="eastAsia" w:ascii="宋体" w:hAnsi="宋体"/>
        </w:rPr>
        <w:t>专</w:t>
      </w:r>
      <w:r>
        <w:t>向合金材料、精密铸造件加工为主导的高端新 材料产业体系，前瞻布局超硬材料、玄武岩纤维、碳纤维等战略性新材料产业， 建设国家需要、西部领先、全疆规模最大的新材料产业发展高地。南部循环经济产业园分为：先进新材料产业集聚区、高端装备制造集聚区、 战略性新材料集聚区、化工产业集聚区、中试产业集聚区、仓储物流产业集聚区；先进新材料产业集聚区主要承载钛及钛合金新材料、镁及镁合金新材料等产业的研发和制造功能，着重发展钛、镁锻铸件、钛、镁合金新材料应用等细分产业，并重点拓展钛、镁合金新材料应用领域，打造全疆产业链最全的新材料产业集聚区。</w:t>
      </w:r>
    </w:p>
    <w:p w14:paraId="61F50D0B">
      <w:pPr>
        <w:pStyle w:val="117"/>
        <w:ind w:firstLine="480"/>
        <w:rPr>
          <w:rFonts w:cs="Times New Roman"/>
        </w:rPr>
      </w:pPr>
      <w:r>
        <w:rPr>
          <w:rFonts w:hint="eastAsia"/>
        </w:rPr>
        <w:t>本项目位于</w:t>
      </w:r>
      <w:r>
        <w:t>南部循环经济产业园先进新材料产业集聚区</w:t>
      </w:r>
      <w:r>
        <w:rPr>
          <w:rFonts w:hint="eastAsia"/>
        </w:rPr>
        <w:t>，</w:t>
      </w:r>
      <w:r>
        <w:t>项目</w:t>
      </w:r>
      <w:r>
        <w:rPr>
          <w:rFonts w:hint="eastAsia"/>
        </w:rPr>
        <w:t>兰炭生产线及硅铁生产线属于重点发展的镁及镁合金材料产业的配套设施，符合</w:t>
      </w:r>
      <w:r>
        <w:rPr>
          <w:rFonts w:cs="Times New Roman"/>
        </w:rPr>
        <w:t>《哈密高新技术产业开发区国土空间</w:t>
      </w:r>
      <w:r>
        <w:rPr>
          <w:rFonts w:hint="eastAsia" w:ascii="宋体" w:hAnsi="宋体"/>
        </w:rPr>
        <w:t>专</w:t>
      </w:r>
      <w:r>
        <w:rPr>
          <w:rFonts w:cs="Times New Roman"/>
        </w:rPr>
        <w:t>向规划（2023-2035）环境影响报告书》</w:t>
      </w:r>
      <w:r>
        <w:rPr>
          <w:rFonts w:hint="eastAsia" w:cs="Times New Roman"/>
        </w:rPr>
        <w:t>。</w:t>
      </w:r>
    </w:p>
    <w:p w14:paraId="7611BCB0">
      <w:pPr>
        <w:pStyle w:val="117"/>
        <w:ind w:firstLine="480"/>
        <w:rPr>
          <w:rFonts w:cs="Times New Roman"/>
        </w:rPr>
      </w:pPr>
      <w:r>
        <w:rPr>
          <w:rFonts w:hint="eastAsia" w:cs="Times New Roman"/>
        </w:rPr>
        <w:t>审查意见中与本项目相关的意见出主要有：</w:t>
      </w:r>
    </w:p>
    <w:p w14:paraId="110257B5">
      <w:pPr>
        <w:pStyle w:val="117"/>
        <w:ind w:firstLine="480"/>
        <w:rPr>
          <w:rFonts w:cs="Times New Roman"/>
        </w:rPr>
      </w:pPr>
      <w:r>
        <w:rPr>
          <w:rFonts w:hint="eastAsia" w:cs="Times New Roman"/>
        </w:rPr>
        <w:t>一、哈密高新技术产业开发区(以下简称“开发区”)位于哈密市伊州区境内，规划范围按照“一区三园”空间布局，规划面积共 69.22 平方千米。其中北部新兴产业园规划面积20.15平方千米、南部循环经济产业园规划面积39.79平方千米、烟墩产业集聚区规划面积9.28平方千米。开发区定位为国家绿色低碳、零碳示范园区，国家级新兴产业示范基地。其中，北部新兴产业园重点围绕能源配套辅助，发展风电装备制造、煤化工装备制造、储能产业，配套发展商贸、物流、教育科研、企业孵化、创新创业平台等现代服务业;南部循环经济产业园重点发展重型装备制造、新材料、新能源、能源资源深加工、装备制造、机械制造、新型建材、仓储物流等产业;烟墩产业集聚区重点发展新材料、循环经济、煤炭仓储物流、煤炭深加工等产业;积极与其他园区进行产业合作，统筹考虑、错位发展，实现合作共赢。</w:t>
      </w:r>
    </w:p>
    <w:p w14:paraId="21EB8622">
      <w:pPr>
        <w:pStyle w:val="117"/>
        <w:ind w:firstLine="480"/>
        <w:rPr>
          <w:rFonts w:cs="Times New Roman"/>
        </w:rPr>
      </w:pPr>
      <w:r>
        <w:rPr>
          <w:rFonts w:hint="eastAsia" w:cs="Times New Roman"/>
        </w:rPr>
        <w:t>本项目位于南部循环经济产业园</w:t>
      </w:r>
      <w:r>
        <w:rPr>
          <w:rFonts w:cs="Times New Roman"/>
        </w:rPr>
        <w:t>先进新材料产业集聚区</w:t>
      </w:r>
      <w:r>
        <w:rPr>
          <w:rFonts w:hint="eastAsia" w:cs="Times New Roman"/>
        </w:rPr>
        <w:t>，</w:t>
      </w:r>
      <w:r>
        <w:t>项目</w:t>
      </w:r>
      <w:r>
        <w:rPr>
          <w:rFonts w:hint="eastAsia"/>
        </w:rPr>
        <w:t>兰炭生产线及硅铁生产线属于重点发展的镁及镁合金材料产业的配套设施。</w:t>
      </w:r>
    </w:p>
    <w:p w14:paraId="638595D9">
      <w:pPr>
        <w:pStyle w:val="117"/>
        <w:ind w:firstLine="480"/>
        <w:rPr>
          <w:rFonts w:cs="Times New Roman"/>
        </w:rPr>
      </w:pPr>
      <w:r>
        <w:rPr>
          <w:rFonts w:hint="eastAsia" w:cs="Times New Roman"/>
        </w:rPr>
        <w:t>四、①严格管控区域污染物排放。严格控制开发强度，优化项目建设时序，落实污染物总量控制、减排任务。采取有效措施减少氮氧化物、颗粒物、挥发性有机物等污染物排放量，各类污染物排放须满足国家及自治区最新污染物排放标准要求。严格落实主要污染物区域削减要求，确保实现区域环境空气质量改善目标，将污染物区域削减纳入日常环境管理工作。深入开展应对气候变化工作，提出污染物协同脱除、减污降碳协同控制要求，严格控制温室气体排放。</w:t>
      </w:r>
    </w:p>
    <w:p w14:paraId="16D29B53">
      <w:pPr>
        <w:pStyle w:val="117"/>
        <w:ind w:firstLine="480"/>
        <w:rPr>
          <w:rFonts w:cs="Times New Roman"/>
        </w:rPr>
      </w:pPr>
      <w:r>
        <w:rPr>
          <w:rFonts w:cs="Times New Roman"/>
        </w:rPr>
        <w:t>本项目SO</w:t>
      </w:r>
      <w:r>
        <w:rPr>
          <w:rFonts w:cs="Times New Roman"/>
          <w:vertAlign w:val="subscript"/>
        </w:rPr>
        <w:t>2</w:t>
      </w:r>
      <w:r>
        <w:rPr>
          <w:rFonts w:cs="Times New Roman"/>
        </w:rPr>
        <w:t>、NOx、烟粉尘、挥发性有机物（VOCs）等四项大气污染物总量指标</w:t>
      </w:r>
      <w:r>
        <w:rPr>
          <w:rFonts w:hint="eastAsia" w:cs="Times New Roman"/>
        </w:rPr>
        <w:t>在哈密市</w:t>
      </w:r>
      <w:r>
        <w:rPr>
          <w:rFonts w:cs="Times New Roman"/>
        </w:rPr>
        <w:t>区域内</w:t>
      </w:r>
      <w:r>
        <w:rPr>
          <w:rFonts w:hint="eastAsia" w:cs="Times New Roman"/>
        </w:rPr>
        <w:t>等量</w:t>
      </w:r>
      <w:r>
        <w:rPr>
          <w:rFonts w:cs="Times New Roman"/>
        </w:rPr>
        <w:t>替代，大气污染物排放符合总量控制要求</w:t>
      </w:r>
      <w:r>
        <w:rPr>
          <w:rFonts w:hint="eastAsia" w:cs="Times New Roman"/>
        </w:rPr>
        <w:t>。</w:t>
      </w:r>
    </w:p>
    <w:p w14:paraId="289D6B70">
      <w:pPr>
        <w:pStyle w:val="117"/>
        <w:ind w:firstLine="480"/>
        <w:rPr>
          <w:bCs/>
        </w:rPr>
      </w:pPr>
      <w:r>
        <w:rPr>
          <w:rFonts w:hint="eastAsia"/>
        </w:rPr>
        <w:t>本项目兰炭生产线产生的焦炉煤气供应镁冶炼产业作为燃料，实现回收利用。本项目</w:t>
      </w:r>
      <w:r>
        <w:rPr>
          <w:rFonts w:hint="eastAsia"/>
          <w:bCs/>
        </w:rPr>
        <w:t>配套建设水冷壁蒸汽熄焦装置并配套建设相应除尘装置，煤炭等颗粒性物储存在封闭仓库内，有组织废气应进行收集并按要求配备高效的脱硫、脱硝、除尘设施，出焦、罐区、酚氰废水预处理设施区域以及装卸产生的含挥发性有机物气体按照要求进行收集并配备相应的处理措施。本项目属于技改提升项目，改造后大气污染物排放满足《关于推进实施焦化行业超低排放的意见》（环大气〔2024〕5号）中超低排放要求。</w:t>
      </w:r>
    </w:p>
    <w:p w14:paraId="3A2F6893">
      <w:pPr>
        <w:pStyle w:val="117"/>
        <w:ind w:firstLine="480"/>
        <w:rPr>
          <w:rFonts w:cs="Times New Roman"/>
        </w:rPr>
      </w:pPr>
      <w:r>
        <w:rPr>
          <w:rFonts w:hint="eastAsia" w:cs="Times New Roman"/>
        </w:rPr>
        <w:t>②严格资源利用总量，加快基础设施建设。以水资源承载力为基础，坚持“以水定产、以水定量”，合理确定开发区用水规模，充分挖掘开发区可利用的中水资源，优先采用中水作为水源，提高水资源利用率，最大限度节约新鲜水用量，确保开发区工业用水满足水资源“三条红线”指标要求;完善开发区供排水方案、中水回用方案，加快完成污水处理厂及污水管网、中水回用系统及回用管网等基础设施建设。加强工业固体废物环境管理，以减量化、资源化、无害化为原则，推进固废资源化利用。</w:t>
      </w:r>
    </w:p>
    <w:p w14:paraId="47CBB4C8">
      <w:pPr>
        <w:pStyle w:val="117"/>
        <w:ind w:firstLine="480"/>
        <w:rPr>
          <w:bCs/>
        </w:rPr>
      </w:pPr>
      <w:r>
        <w:rPr>
          <w:rFonts w:hint="eastAsia"/>
          <w:bCs/>
        </w:rPr>
        <w:t>本项目兰炭生产线剩余氨水、硫废水、VOCS处理喷淋废水采用预处理+焚烧处理（4台焚烧炉）；全厂脱盐水站排污水、循环水站排污水采用石英砂过滤器过滤后，作为绿化水使用。</w:t>
      </w:r>
    </w:p>
    <w:p w14:paraId="6CE32D47">
      <w:pPr>
        <w:pStyle w:val="117"/>
        <w:ind w:firstLine="480"/>
      </w:pPr>
      <w:r>
        <w:rPr>
          <w:rFonts w:hint="eastAsia"/>
        </w:rPr>
        <w:t>综上</w:t>
      </w:r>
      <w:r>
        <w:t>分析，本项目符合</w:t>
      </w:r>
      <w:r>
        <w:rPr>
          <w:rFonts w:hint="eastAsia"/>
        </w:rPr>
        <w:t>《哈密高新技术产业开发区国土空间</w:t>
      </w:r>
      <w:r>
        <w:rPr>
          <w:rFonts w:hint="eastAsia" w:ascii="宋体" w:hAnsi="宋体"/>
        </w:rPr>
        <w:t>专</w:t>
      </w:r>
      <w:r>
        <w:rPr>
          <w:rFonts w:hint="eastAsia"/>
        </w:rPr>
        <w:t>向规划（2023-2035）环境影响报告书</w:t>
      </w:r>
      <w:r>
        <w:t>》及审查意见</w:t>
      </w:r>
      <w:r>
        <w:rPr>
          <w:rFonts w:hint="eastAsia"/>
        </w:rPr>
        <w:t>要求</w:t>
      </w:r>
      <w:r>
        <w:t>。</w:t>
      </w:r>
    </w:p>
    <w:p w14:paraId="66EE75AE">
      <w:pPr>
        <w:pStyle w:val="117"/>
        <w:ind w:firstLine="480"/>
        <w:rPr>
          <w:rFonts w:cs="Times New Roman"/>
        </w:rPr>
      </w:pPr>
      <w:r>
        <w:rPr>
          <w:rFonts w:cs="Times New Roman"/>
        </w:rPr>
        <w:t>（3）相关规划符合性</w:t>
      </w:r>
    </w:p>
    <w:p w14:paraId="652584AD">
      <w:pPr>
        <w:pStyle w:val="117"/>
        <w:ind w:firstLine="480"/>
      </w:pPr>
      <w:r>
        <w:rPr>
          <w:rFonts w:hint="eastAsia"/>
        </w:rPr>
        <w:t>本项目与相关规划符合性分析，见表0</w:t>
      </w:r>
      <w:r>
        <w:t>.</w:t>
      </w:r>
      <w:r>
        <w:rPr>
          <w:rFonts w:hint="eastAsia"/>
        </w:rPr>
        <w:t>3</w:t>
      </w:r>
      <w:r>
        <w:t>-</w:t>
      </w:r>
      <w:r>
        <w:rPr>
          <w:rFonts w:hint="eastAsia"/>
        </w:rPr>
        <w:t>2。</w:t>
      </w:r>
    </w:p>
    <w:p w14:paraId="03BF8F70">
      <w:pPr>
        <w:pStyle w:val="117"/>
        <w:ind w:firstLine="480"/>
      </w:pPr>
    </w:p>
    <w:p w14:paraId="0B36D74B">
      <w:pPr>
        <w:pStyle w:val="117"/>
        <w:ind w:firstLine="480"/>
        <w:sectPr>
          <w:pgSz w:w="11906" w:h="16838"/>
          <w:pgMar w:top="1440" w:right="1800" w:bottom="1440" w:left="1800" w:header="850" w:footer="992" w:gutter="0"/>
          <w:cols w:space="425" w:num="1"/>
          <w:docGrid w:type="lines" w:linePitch="326" w:charSpace="0"/>
        </w:sectPr>
      </w:pPr>
    </w:p>
    <w:p w14:paraId="276445B3">
      <w:pPr>
        <w:pStyle w:val="133"/>
      </w:pPr>
      <w:r>
        <w:t xml:space="preserve"> </w:t>
      </w:r>
      <w:bookmarkStart w:id="38" w:name="_Hlk173953618"/>
      <w:r>
        <w:t>表0.3-</w:t>
      </w:r>
      <w:r>
        <w:rPr>
          <w:rFonts w:hint="eastAsia"/>
        </w:rPr>
        <w:t>2</w:t>
      </w:r>
      <w:r>
        <w:t xml:space="preserve">  本项目与相关规划符合性分析一览表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843"/>
        <w:gridCol w:w="6662"/>
        <w:gridCol w:w="3969"/>
        <w:gridCol w:w="1026"/>
      </w:tblGrid>
      <w:tr w14:paraId="71432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238" w:type="pct"/>
            <w:vAlign w:val="center"/>
          </w:tcPr>
          <w:p w14:paraId="4CD2B314">
            <w:pPr>
              <w:pStyle w:val="133"/>
              <w:rPr>
                <w:b/>
                <w:bCs/>
              </w:rPr>
            </w:pPr>
            <w:r>
              <w:rPr>
                <w:b/>
                <w:bCs/>
              </w:rPr>
              <w:t>序号</w:t>
            </w:r>
          </w:p>
        </w:tc>
        <w:tc>
          <w:tcPr>
            <w:tcW w:w="650" w:type="pct"/>
            <w:vAlign w:val="center"/>
          </w:tcPr>
          <w:p w14:paraId="4A2CD1F1">
            <w:pPr>
              <w:pStyle w:val="133"/>
              <w:rPr>
                <w:b/>
                <w:bCs/>
              </w:rPr>
            </w:pPr>
            <w:r>
              <w:rPr>
                <w:b/>
                <w:bCs/>
              </w:rPr>
              <w:t>环境管理文件</w:t>
            </w:r>
          </w:p>
        </w:tc>
        <w:tc>
          <w:tcPr>
            <w:tcW w:w="2350" w:type="pct"/>
            <w:vAlign w:val="center"/>
          </w:tcPr>
          <w:p w14:paraId="347EF5ED">
            <w:pPr>
              <w:pStyle w:val="133"/>
              <w:rPr>
                <w:b/>
                <w:bCs/>
              </w:rPr>
            </w:pPr>
            <w:r>
              <w:rPr>
                <w:b/>
                <w:bCs/>
              </w:rPr>
              <w:t>具体要求</w:t>
            </w:r>
          </w:p>
        </w:tc>
        <w:tc>
          <w:tcPr>
            <w:tcW w:w="1400" w:type="pct"/>
            <w:vAlign w:val="center"/>
          </w:tcPr>
          <w:p w14:paraId="05AD43BE">
            <w:pPr>
              <w:pStyle w:val="133"/>
              <w:rPr>
                <w:b/>
                <w:bCs/>
              </w:rPr>
            </w:pPr>
            <w:r>
              <w:rPr>
                <w:b/>
                <w:bCs/>
              </w:rPr>
              <w:t>本项目情况</w:t>
            </w:r>
          </w:p>
        </w:tc>
        <w:tc>
          <w:tcPr>
            <w:tcW w:w="362" w:type="pct"/>
            <w:vAlign w:val="center"/>
          </w:tcPr>
          <w:p w14:paraId="630C7DCE">
            <w:pPr>
              <w:pStyle w:val="133"/>
              <w:rPr>
                <w:b/>
                <w:bCs/>
              </w:rPr>
            </w:pPr>
            <w:r>
              <w:rPr>
                <w:b/>
                <w:bCs/>
              </w:rPr>
              <w:t>符合性</w:t>
            </w:r>
          </w:p>
        </w:tc>
      </w:tr>
      <w:tr w14:paraId="15A29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238" w:type="pct"/>
            <w:vMerge w:val="restart"/>
            <w:vAlign w:val="center"/>
          </w:tcPr>
          <w:p w14:paraId="3755DCAF">
            <w:pPr>
              <w:pStyle w:val="133"/>
            </w:pPr>
            <w:r>
              <w:t>1</w:t>
            </w:r>
          </w:p>
        </w:tc>
        <w:tc>
          <w:tcPr>
            <w:tcW w:w="650" w:type="pct"/>
            <w:vMerge w:val="restart"/>
            <w:vAlign w:val="center"/>
          </w:tcPr>
          <w:p w14:paraId="73FFFDC3">
            <w:pPr>
              <w:pStyle w:val="133"/>
            </w:pPr>
            <w:r>
              <w:t>《“十四五”土壤、地下水和农村生态环境保护规划》（环土壤〔2021〕120号）</w:t>
            </w:r>
          </w:p>
        </w:tc>
        <w:tc>
          <w:tcPr>
            <w:tcW w:w="2350" w:type="pct"/>
            <w:vAlign w:val="center"/>
          </w:tcPr>
          <w:p w14:paraId="3EB71A06">
            <w:pPr>
              <w:pStyle w:val="133"/>
            </w:pPr>
            <w:r>
              <w:t>（一）推进土壤污染防治</w:t>
            </w:r>
          </w:p>
          <w:p w14:paraId="116E3F82">
            <w:pPr>
              <w:pStyle w:val="133"/>
            </w:pPr>
            <w:r>
              <w:t>2.防范工矿企业新增土壤污染。严格建设项目土壤环境影响评价制度。对涉及有毒有害物质可能造成土壤污染的新（改、扩）建项目，依法进行环境影响评价，提出并落实防腐蚀、防渗漏、防遗撒等土壤污染防治具体措施。</w:t>
            </w:r>
          </w:p>
          <w:p w14:paraId="4D872436">
            <w:pPr>
              <w:pStyle w:val="133"/>
            </w:pPr>
            <w:r>
              <w:t>因地制宜严格污染地块用地准入。从事土地开发利用活动，应当采取有效措施，防止、减少土壤污染，并确保建设用地符合土壤环境质量要求。</w:t>
            </w:r>
          </w:p>
        </w:tc>
        <w:tc>
          <w:tcPr>
            <w:tcW w:w="1400" w:type="pct"/>
            <w:vAlign w:val="center"/>
          </w:tcPr>
          <w:p w14:paraId="5484F81E">
            <w:pPr>
              <w:pStyle w:val="133"/>
            </w:pPr>
            <w:r>
              <w:t>本项目</w:t>
            </w:r>
            <w:r>
              <w:rPr>
                <w:rFonts w:hint="eastAsia"/>
              </w:rPr>
              <w:t>属于</w:t>
            </w:r>
            <w:r>
              <w:t>可能造成土壤污染的新（改、扩）建项目</w:t>
            </w:r>
            <w:r>
              <w:rPr>
                <w:rFonts w:hint="eastAsia"/>
              </w:rPr>
              <w:t>，已开展</w:t>
            </w:r>
            <w:r>
              <w:t>环境影响评价工作，环评报告提出</w:t>
            </w:r>
            <w:r>
              <w:rPr>
                <w:rFonts w:hint="eastAsia"/>
              </w:rPr>
              <w:t>了</w:t>
            </w:r>
            <w:r>
              <w:t>相应的防腐蚀、防渗漏、防遗撒等措施，建设单位将</w:t>
            </w:r>
            <w:r>
              <w:rPr>
                <w:rFonts w:hint="eastAsia"/>
              </w:rPr>
              <w:t>在建设和运行过程中</w:t>
            </w:r>
            <w:r>
              <w:t>按要求严格落实。</w:t>
            </w:r>
          </w:p>
        </w:tc>
        <w:tc>
          <w:tcPr>
            <w:tcW w:w="362" w:type="pct"/>
            <w:vMerge w:val="restart"/>
            <w:vAlign w:val="center"/>
          </w:tcPr>
          <w:p w14:paraId="0C2F8233">
            <w:pPr>
              <w:pStyle w:val="133"/>
            </w:pPr>
            <w:r>
              <w:t>符合</w:t>
            </w:r>
          </w:p>
        </w:tc>
      </w:tr>
      <w:tr w14:paraId="46B18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238" w:type="pct"/>
            <w:vMerge w:val="continue"/>
            <w:vAlign w:val="center"/>
          </w:tcPr>
          <w:p w14:paraId="1968FACC">
            <w:pPr>
              <w:pStyle w:val="133"/>
            </w:pPr>
          </w:p>
        </w:tc>
        <w:tc>
          <w:tcPr>
            <w:tcW w:w="650" w:type="pct"/>
            <w:vMerge w:val="continue"/>
            <w:vAlign w:val="center"/>
          </w:tcPr>
          <w:p w14:paraId="6B6A1689">
            <w:pPr>
              <w:pStyle w:val="133"/>
            </w:pPr>
          </w:p>
        </w:tc>
        <w:tc>
          <w:tcPr>
            <w:tcW w:w="2350" w:type="pct"/>
            <w:vAlign w:val="center"/>
          </w:tcPr>
          <w:p w14:paraId="5FEF68F9">
            <w:pPr>
              <w:pStyle w:val="133"/>
            </w:pPr>
            <w:r>
              <w:t>（二）加强地下水污染防治</w:t>
            </w:r>
          </w:p>
          <w:p w14:paraId="7E9B052D">
            <w:pPr>
              <w:pStyle w:val="133"/>
            </w:pPr>
            <w:r>
              <w:t>落实地下水防渗和监测措施。督促“一企一库”“两场两区”采取防渗漏措施，按要求建设地下水环境监测井，开展地下水环境自行监测。指导地下水污染防治重点排污单位优先开展地下水污染渗漏排查，针对存在问题的设施，采取污染防渗改造措施。地方生态环境部门开展地下水污染防治重点排污单位周边地下水环境监测。</w:t>
            </w:r>
          </w:p>
          <w:p w14:paraId="1C227EB2">
            <w:pPr>
              <w:pStyle w:val="133"/>
            </w:pPr>
            <w:r>
              <w:t>实施地下水污染风险管控。针对存在地下水污染的化工产业为主导的工业集聚区、危险废物处置场和生活垃圾填埋场等，实施地下水污染风险管控，阻止污染扩散，加强风险管控后期环境监管。</w:t>
            </w:r>
          </w:p>
        </w:tc>
        <w:tc>
          <w:tcPr>
            <w:tcW w:w="1400" w:type="pct"/>
            <w:vAlign w:val="center"/>
          </w:tcPr>
          <w:p w14:paraId="72632324">
            <w:pPr>
              <w:pStyle w:val="133"/>
            </w:pPr>
            <w:r>
              <w:t>项目设地下水</w:t>
            </w:r>
            <w:r>
              <w:rPr>
                <w:rFonts w:hint="eastAsia"/>
              </w:rPr>
              <w:t>污染监控井</w:t>
            </w:r>
            <w:r>
              <w:t>，实施跟踪监测工作</w:t>
            </w:r>
            <w:r>
              <w:rPr>
                <w:rFonts w:hint="eastAsia"/>
              </w:rPr>
              <w:t>；</w:t>
            </w:r>
            <w:r>
              <w:t>编制厂内突发环境事件应急预案，</w:t>
            </w:r>
            <w:r>
              <w:rPr>
                <w:rFonts w:hint="eastAsia"/>
              </w:rPr>
              <w:t>建设应急事故池，</w:t>
            </w:r>
            <w:r>
              <w:t>避免</w:t>
            </w:r>
            <w:r>
              <w:rPr>
                <w:rFonts w:hint="eastAsia"/>
              </w:rPr>
              <w:t>土壤、</w:t>
            </w:r>
            <w:r>
              <w:t>地下水污染事故。</w:t>
            </w:r>
          </w:p>
        </w:tc>
        <w:tc>
          <w:tcPr>
            <w:tcW w:w="362" w:type="pct"/>
            <w:vMerge w:val="continue"/>
            <w:vAlign w:val="center"/>
          </w:tcPr>
          <w:p w14:paraId="604809EC">
            <w:pPr>
              <w:pStyle w:val="133"/>
            </w:pPr>
          </w:p>
        </w:tc>
      </w:tr>
      <w:tr w14:paraId="4CBDB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Align w:val="center"/>
          </w:tcPr>
          <w:p w14:paraId="23AE51F0">
            <w:pPr>
              <w:pStyle w:val="133"/>
            </w:pPr>
            <w:r>
              <w:rPr>
                <w:rFonts w:hint="eastAsia"/>
              </w:rPr>
              <w:t>2</w:t>
            </w:r>
          </w:p>
        </w:tc>
        <w:tc>
          <w:tcPr>
            <w:tcW w:w="650" w:type="pct"/>
            <w:vAlign w:val="center"/>
          </w:tcPr>
          <w:p w14:paraId="718A1B1B">
            <w:pPr>
              <w:pStyle w:val="133"/>
            </w:pPr>
            <w:r>
              <w:t>《新疆主体功能区规划》（2012</w:t>
            </w:r>
            <w:r>
              <w:rPr>
                <w:rFonts w:hint="eastAsia"/>
              </w:rPr>
              <w:t>版</w:t>
            </w:r>
            <w:r>
              <w:t>）</w:t>
            </w:r>
          </w:p>
        </w:tc>
        <w:tc>
          <w:tcPr>
            <w:tcW w:w="2350" w:type="pct"/>
            <w:vAlign w:val="center"/>
          </w:tcPr>
          <w:p w14:paraId="5A3EE07B">
            <w:pPr>
              <w:pStyle w:val="133"/>
            </w:pPr>
            <w:r>
              <w:rPr>
                <w:rFonts w:hint="eastAsia"/>
              </w:rPr>
              <w:t>项目所在区为国家级农产品主产区，</w:t>
            </w:r>
            <w:r>
              <w:rPr>
                <w:rFonts w:hint="eastAsia" w:cs="Times New Roman"/>
              </w:rPr>
              <w:t>见图0</w:t>
            </w:r>
            <w:r>
              <w:rPr>
                <w:rFonts w:cs="Times New Roman"/>
              </w:rPr>
              <w:t>.3-3</w:t>
            </w:r>
            <w:r>
              <w:t>。</w:t>
            </w:r>
            <w:r>
              <w:rPr>
                <w:rFonts w:hint="eastAsia"/>
              </w:rPr>
              <w:t>农产品主产区县市的城区或城关镇及其境内的重要工业园区是国家级重点开发区域。</w:t>
            </w:r>
          </w:p>
        </w:tc>
        <w:tc>
          <w:tcPr>
            <w:tcW w:w="1400" w:type="pct"/>
            <w:vAlign w:val="center"/>
          </w:tcPr>
          <w:p w14:paraId="3936AA52">
            <w:pPr>
              <w:pStyle w:val="133"/>
            </w:pPr>
            <w:r>
              <w:t>本</w:t>
            </w:r>
            <w:r>
              <w:rPr>
                <w:rFonts w:hint="eastAsia"/>
              </w:rPr>
              <w:t>项目位于哈密高新技术产业开发区南部循环经济产业园，属于重点开发区域</w:t>
            </w:r>
            <w:r>
              <w:t>。</w:t>
            </w:r>
          </w:p>
        </w:tc>
        <w:tc>
          <w:tcPr>
            <w:tcW w:w="362" w:type="pct"/>
            <w:vAlign w:val="center"/>
          </w:tcPr>
          <w:p w14:paraId="0130EB40">
            <w:pPr>
              <w:pStyle w:val="133"/>
            </w:pPr>
            <w:r>
              <w:t>符合</w:t>
            </w:r>
          </w:p>
        </w:tc>
      </w:tr>
      <w:tr w14:paraId="17081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Align w:val="center"/>
          </w:tcPr>
          <w:p w14:paraId="2580BB16">
            <w:pPr>
              <w:pStyle w:val="133"/>
            </w:pPr>
            <w:r>
              <w:rPr>
                <w:rFonts w:hint="eastAsia"/>
              </w:rPr>
              <w:t>3</w:t>
            </w:r>
          </w:p>
        </w:tc>
        <w:tc>
          <w:tcPr>
            <w:tcW w:w="650" w:type="pct"/>
            <w:vAlign w:val="center"/>
          </w:tcPr>
          <w:p w14:paraId="56960A6A">
            <w:pPr>
              <w:pStyle w:val="133"/>
              <w:rPr>
                <w:rFonts w:cs="Times New Roman"/>
              </w:rPr>
            </w:pPr>
            <w:r>
              <w:rPr>
                <w:rFonts w:cs="Times New Roman"/>
              </w:rPr>
              <w:t>《新疆生态功能区划》（2005</w:t>
            </w:r>
            <w:r>
              <w:rPr>
                <w:rFonts w:hint="eastAsia" w:cs="Times New Roman"/>
              </w:rPr>
              <w:t>版</w:t>
            </w:r>
            <w:r>
              <w:rPr>
                <w:rFonts w:cs="Times New Roman"/>
              </w:rPr>
              <w:t>）</w:t>
            </w:r>
          </w:p>
        </w:tc>
        <w:tc>
          <w:tcPr>
            <w:tcW w:w="2350" w:type="pct"/>
            <w:vAlign w:val="center"/>
          </w:tcPr>
          <w:p w14:paraId="551A7307">
            <w:pPr>
              <w:pStyle w:val="133"/>
              <w:rPr>
                <w:rFonts w:cs="Times New Roman"/>
              </w:rPr>
            </w:pPr>
            <w:r>
              <w:rPr>
                <w:rFonts w:hint="eastAsia" w:cs="Times New Roman"/>
              </w:rPr>
              <w:t>经对照，</w:t>
            </w:r>
            <w:r>
              <w:rPr>
                <w:rFonts w:cs="Times New Roman"/>
              </w:rPr>
              <w:t>项目所在区为：Ⅲ天山山地温性草原、森林生态区—</w:t>
            </w:r>
            <w:r>
              <w:rPr>
                <w:rFonts w:hint="eastAsia" w:cs="Times New Roman"/>
              </w:rPr>
              <w:t>Ⅲ4天山南坡吐鲁番—哈密盆地戈壁荒漠、绿洲农业生态亚区</w:t>
            </w:r>
            <w:r>
              <w:rPr>
                <w:rFonts w:cs="Times New Roman"/>
              </w:rPr>
              <w:t>—</w:t>
            </w:r>
            <w:r>
              <w:rPr>
                <w:rFonts w:hint="eastAsia" w:cs="Times New Roman"/>
              </w:rPr>
              <w:t>嘎顺—53.南湖戈壁荒漠风蚀敏感生态功能区，</w:t>
            </w:r>
            <w:r>
              <w:rPr>
                <w:rFonts w:cs="Times New Roman"/>
              </w:rPr>
              <w:t>见图0.3-4。</w:t>
            </w:r>
          </w:p>
        </w:tc>
        <w:tc>
          <w:tcPr>
            <w:tcW w:w="1400" w:type="pct"/>
            <w:vAlign w:val="center"/>
          </w:tcPr>
          <w:p w14:paraId="72BBAA4F">
            <w:pPr>
              <w:pStyle w:val="133"/>
              <w:rPr>
                <w:rFonts w:cs="Times New Roman"/>
              </w:rPr>
            </w:pPr>
            <w:r>
              <w:rPr>
                <w:rFonts w:cs="Times New Roman"/>
              </w:rPr>
              <w:t>本项目</w:t>
            </w:r>
            <w:r>
              <w:rPr>
                <w:rFonts w:hint="eastAsia" w:cs="Times New Roman"/>
              </w:rPr>
              <w:t>位于规划的工业园区，对现有项目进行技改提升，不会造成生态功能区主要生态环境问题－风沙危害铁路公路、地表形态破坏进一步恶化；本项目属于白云石矿开发利用配套工程，符合生态功能区主要生态服务功能－荒漠化控制、生物多样性保护、矿产资源开发。</w:t>
            </w:r>
          </w:p>
        </w:tc>
        <w:tc>
          <w:tcPr>
            <w:tcW w:w="362" w:type="pct"/>
            <w:vAlign w:val="center"/>
          </w:tcPr>
          <w:p w14:paraId="24817F94">
            <w:pPr>
              <w:pStyle w:val="133"/>
            </w:pPr>
            <w:r>
              <w:t>符合</w:t>
            </w:r>
          </w:p>
        </w:tc>
      </w:tr>
      <w:tr w14:paraId="29A37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238" w:type="pct"/>
            <w:vMerge w:val="restart"/>
            <w:vAlign w:val="center"/>
          </w:tcPr>
          <w:p w14:paraId="2BDC3613">
            <w:pPr>
              <w:pStyle w:val="133"/>
            </w:pPr>
            <w:r>
              <w:rPr>
                <w:rFonts w:hint="eastAsia"/>
              </w:rPr>
              <w:t>4</w:t>
            </w:r>
          </w:p>
        </w:tc>
        <w:tc>
          <w:tcPr>
            <w:tcW w:w="650" w:type="pct"/>
            <w:vMerge w:val="restart"/>
            <w:vAlign w:val="center"/>
          </w:tcPr>
          <w:p w14:paraId="3A133578">
            <w:pPr>
              <w:pStyle w:val="133"/>
            </w:pPr>
            <w:r>
              <w:t>《新疆维吾尔自治区国民经济和社会发展第十四个五年规划和2035年远景目标纲要》</w:t>
            </w:r>
          </w:p>
        </w:tc>
        <w:tc>
          <w:tcPr>
            <w:tcW w:w="2350" w:type="pct"/>
            <w:vAlign w:val="center"/>
          </w:tcPr>
          <w:p w14:paraId="0DF709C6">
            <w:pPr>
              <w:pStyle w:val="133"/>
            </w:pPr>
            <w:r>
              <w:rPr>
                <w:rFonts w:hint="eastAsia"/>
              </w:rPr>
              <w:t>准东、哈密、吐鲁番能源化工产业集聚区。重点布局煤炭煤电煤化工、新能源、新材料、矿产资源深加工、装备制造、固体废物综合利用等产业，加快建设兵团准东工业园、乌鲁木齐准东工业园，建设国家煤电油气风光储一体化基地。</w:t>
            </w:r>
          </w:p>
        </w:tc>
        <w:tc>
          <w:tcPr>
            <w:tcW w:w="1400" w:type="pct"/>
            <w:vAlign w:val="center"/>
          </w:tcPr>
          <w:p w14:paraId="593EA7DA">
            <w:pPr>
              <w:pStyle w:val="133"/>
            </w:pPr>
            <w:r>
              <w:rPr>
                <w:rFonts w:hint="eastAsia"/>
              </w:rPr>
              <w:t>本项目兰炭生产线及硅铁生产线属于镁及镁合金生产配套设施，属于哈密重点布局的产业类型。</w:t>
            </w:r>
          </w:p>
        </w:tc>
        <w:tc>
          <w:tcPr>
            <w:tcW w:w="362" w:type="pct"/>
            <w:vMerge w:val="restart"/>
            <w:vAlign w:val="center"/>
          </w:tcPr>
          <w:p w14:paraId="53BA3581">
            <w:pPr>
              <w:pStyle w:val="133"/>
            </w:pPr>
            <w:r>
              <w:t>符合</w:t>
            </w:r>
          </w:p>
        </w:tc>
      </w:tr>
      <w:tr w14:paraId="71E9F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238" w:type="pct"/>
            <w:vMerge w:val="continue"/>
            <w:vAlign w:val="center"/>
          </w:tcPr>
          <w:p w14:paraId="7E461AF5">
            <w:pPr>
              <w:pStyle w:val="133"/>
            </w:pPr>
          </w:p>
        </w:tc>
        <w:tc>
          <w:tcPr>
            <w:tcW w:w="650" w:type="pct"/>
            <w:vMerge w:val="continue"/>
            <w:vAlign w:val="center"/>
          </w:tcPr>
          <w:p w14:paraId="62851293">
            <w:pPr>
              <w:pStyle w:val="133"/>
            </w:pPr>
          </w:p>
        </w:tc>
        <w:tc>
          <w:tcPr>
            <w:tcW w:w="2350" w:type="pct"/>
            <w:vAlign w:val="center"/>
          </w:tcPr>
          <w:p w14:paraId="26268F0F">
            <w:pPr>
              <w:pStyle w:val="133"/>
            </w:pPr>
            <w:r>
              <w:t>严格土壤污染风险管控。加强建设用地土壤环境风险管控和农用地安全利用。强化涉重金属行业监管，推动重金属污染减排和治理。深化工业固体废物综合利用和环境整治。</w:t>
            </w:r>
          </w:p>
          <w:p w14:paraId="304AFD61">
            <w:pPr>
              <w:pStyle w:val="133"/>
            </w:pPr>
            <w:r>
              <w:t>加强环境风险防控。强化常态化生态环境风险管理，严控核辐射、重金属、尾矿库、危险废物、有毒有害化学物质等重点领域环境风险。</w:t>
            </w:r>
          </w:p>
        </w:tc>
        <w:tc>
          <w:tcPr>
            <w:tcW w:w="1400" w:type="pct"/>
            <w:vAlign w:val="center"/>
          </w:tcPr>
          <w:p w14:paraId="47E73E4A">
            <w:pPr>
              <w:pStyle w:val="133"/>
            </w:pPr>
            <w:r>
              <w:t>本项目</w:t>
            </w:r>
            <w:r>
              <w:rPr>
                <w:rFonts w:hint="eastAsia"/>
              </w:rPr>
              <w:t>不</w:t>
            </w:r>
            <w:r>
              <w:t>属于</w:t>
            </w:r>
            <w:r>
              <w:rPr>
                <w:rFonts w:hint="eastAsia"/>
              </w:rPr>
              <w:t>《新疆维吾尔自治区加强涉重金属行业污染防控工作方案》划定的</w:t>
            </w:r>
            <w:r>
              <w:t>涉重金属</w:t>
            </w:r>
            <w:r>
              <w:rPr>
                <w:rFonts w:hint="eastAsia"/>
              </w:rPr>
              <w:t>重点</w:t>
            </w:r>
            <w:r>
              <w:t>行业</w:t>
            </w:r>
            <w:r>
              <w:rPr>
                <w:rFonts w:hint="eastAsia"/>
              </w:rPr>
              <w:t>；本项目对含尘废气采取有效的治理措施，生产废水处理后不外排，环境风险可防控。</w:t>
            </w:r>
          </w:p>
        </w:tc>
        <w:tc>
          <w:tcPr>
            <w:tcW w:w="362" w:type="pct"/>
            <w:vMerge w:val="continue"/>
            <w:vAlign w:val="center"/>
          </w:tcPr>
          <w:p w14:paraId="0D4D84BD">
            <w:pPr>
              <w:pStyle w:val="133"/>
            </w:pPr>
          </w:p>
        </w:tc>
      </w:tr>
      <w:tr w14:paraId="2AE15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Align w:val="center"/>
          </w:tcPr>
          <w:p w14:paraId="36C3B2AF">
            <w:pPr>
              <w:pStyle w:val="133"/>
            </w:pPr>
            <w:r>
              <w:rPr>
                <w:rFonts w:hint="eastAsia"/>
              </w:rPr>
              <w:t>5</w:t>
            </w:r>
          </w:p>
        </w:tc>
        <w:tc>
          <w:tcPr>
            <w:tcW w:w="650" w:type="pct"/>
            <w:vAlign w:val="center"/>
          </w:tcPr>
          <w:p w14:paraId="0CAAAB22">
            <w:pPr>
              <w:pStyle w:val="133"/>
            </w:pPr>
            <w:r>
              <w:t>《</w:t>
            </w:r>
            <w:r>
              <w:rPr>
                <w:rFonts w:hint="eastAsia"/>
              </w:rPr>
              <w:t>哈密市</w:t>
            </w:r>
            <w:r>
              <w:t>国民经济和社会发展第十四个五年规划和2035年远景目标纲要》</w:t>
            </w:r>
          </w:p>
        </w:tc>
        <w:tc>
          <w:tcPr>
            <w:tcW w:w="2350" w:type="pct"/>
            <w:vAlign w:val="center"/>
          </w:tcPr>
          <w:p w14:paraId="0A73FCBD">
            <w:pPr>
              <w:pStyle w:val="133"/>
            </w:pPr>
            <w:r>
              <w:rPr>
                <w:rFonts w:hint="eastAsia"/>
              </w:rPr>
              <w:t>新材料。</w:t>
            </w:r>
            <w:r>
              <w:t>重点发展钛合金、镁合金、硅基新材料、纤维材料等产业，以“延链”为核心，打造钒钛矿海绵钛—钛材加工—钛制品、镁—镁材加工—镁制品和钛白粉产业链，推动高品质海绵钛规模化生产，发展高品质镁合金等新型轻合金产品。以哈密高新技术产业开发区南部循环经济产业园为载体，延伸发展单晶硅切片及含硅合金材料、硅烷偶联剂、生物活性有机硅、硅油等有机硅产品。依托粉煤灰和玄武岩资源，发展粉煤灰玻璃纤维、纸浆纤维、玄武岩纤维材料、纤维制品、复合材料等产业。</w:t>
            </w:r>
          </w:p>
        </w:tc>
        <w:tc>
          <w:tcPr>
            <w:tcW w:w="1400" w:type="pct"/>
            <w:vAlign w:val="center"/>
          </w:tcPr>
          <w:p w14:paraId="1EB399C8">
            <w:pPr>
              <w:pStyle w:val="133"/>
            </w:pPr>
            <w:r>
              <w:rPr>
                <w:rFonts w:hint="eastAsia"/>
              </w:rPr>
              <w:t>本项目兰炭生产线及硅铁生产线属于镁及镁合金生产配套设施，镁合金属于哈密市规划重点发展的新材料产业。</w:t>
            </w:r>
          </w:p>
        </w:tc>
        <w:tc>
          <w:tcPr>
            <w:tcW w:w="362" w:type="pct"/>
            <w:vAlign w:val="center"/>
          </w:tcPr>
          <w:p w14:paraId="6B1F4D31">
            <w:pPr>
              <w:pStyle w:val="133"/>
            </w:pPr>
            <w:r>
              <w:t>符合</w:t>
            </w:r>
          </w:p>
        </w:tc>
      </w:tr>
      <w:tr w14:paraId="48DC0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Merge w:val="restart"/>
            <w:vAlign w:val="center"/>
          </w:tcPr>
          <w:p w14:paraId="211B630B">
            <w:pPr>
              <w:pStyle w:val="133"/>
            </w:pPr>
            <w:r>
              <w:rPr>
                <w:rFonts w:hint="eastAsia"/>
              </w:rPr>
              <w:t>6</w:t>
            </w:r>
          </w:p>
        </w:tc>
        <w:tc>
          <w:tcPr>
            <w:tcW w:w="650" w:type="pct"/>
            <w:vMerge w:val="restart"/>
            <w:vAlign w:val="center"/>
          </w:tcPr>
          <w:p w14:paraId="32B361C8">
            <w:pPr>
              <w:pStyle w:val="133"/>
            </w:pPr>
            <w:r>
              <w:t>《新疆维吾尔自治区环境保护“十四五”规划》</w:t>
            </w:r>
          </w:p>
        </w:tc>
        <w:tc>
          <w:tcPr>
            <w:tcW w:w="2350" w:type="pct"/>
            <w:vAlign w:val="center"/>
          </w:tcPr>
          <w:p w14:paraId="26BB05C2">
            <w:pPr>
              <w:pStyle w:val="133"/>
            </w:pPr>
            <w:r>
              <w:rPr>
                <w:rFonts w:hint="eastAsia"/>
              </w:rPr>
              <w:t>实施重点行业氮氧化物（以下简称“</w:t>
            </w:r>
            <w:r>
              <w:t>NOx</w:t>
            </w:r>
            <w:r>
              <w:rPr>
                <w:rFonts w:hint="eastAsia"/>
              </w:rPr>
              <w:t>”）等污染物深度治理。持续推进钢铁、水泥、焦化行业超低排放改造。推进玻璃、陶瓷、铸造、铁合金、有色、煤化和石化等行业采取清洁生产、提标改造、深度治理等综合措施。</w:t>
            </w:r>
          </w:p>
        </w:tc>
        <w:tc>
          <w:tcPr>
            <w:tcW w:w="1400" w:type="pct"/>
            <w:vAlign w:val="center"/>
          </w:tcPr>
          <w:p w14:paraId="6FD89D9E">
            <w:pPr>
              <w:pStyle w:val="133"/>
            </w:pPr>
            <w:r>
              <w:t>本项目</w:t>
            </w:r>
            <w:r>
              <w:rPr>
                <w:rFonts w:hint="eastAsia"/>
              </w:rPr>
              <w:t>涉及焦化和铁合金行业，对产生的氮氧化物采取了治理措施，且本次技改提升对现有工程也实施了提标改造，减少现有工程的氮氧化物排放量。</w:t>
            </w:r>
          </w:p>
        </w:tc>
        <w:tc>
          <w:tcPr>
            <w:tcW w:w="362" w:type="pct"/>
            <w:vMerge w:val="restart"/>
            <w:vAlign w:val="center"/>
          </w:tcPr>
          <w:p w14:paraId="6423B4CD">
            <w:pPr>
              <w:pStyle w:val="133"/>
            </w:pPr>
            <w:r>
              <w:t>符合</w:t>
            </w:r>
          </w:p>
        </w:tc>
      </w:tr>
      <w:tr w14:paraId="7ED43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Merge w:val="continue"/>
            <w:vAlign w:val="center"/>
          </w:tcPr>
          <w:p w14:paraId="3BFD9049">
            <w:pPr>
              <w:pStyle w:val="133"/>
            </w:pPr>
          </w:p>
        </w:tc>
        <w:tc>
          <w:tcPr>
            <w:tcW w:w="650" w:type="pct"/>
            <w:vMerge w:val="continue"/>
            <w:vAlign w:val="center"/>
          </w:tcPr>
          <w:p w14:paraId="099501A3">
            <w:pPr>
              <w:pStyle w:val="133"/>
            </w:pPr>
          </w:p>
        </w:tc>
        <w:tc>
          <w:tcPr>
            <w:tcW w:w="2350" w:type="pct"/>
            <w:vAlign w:val="center"/>
          </w:tcPr>
          <w:p w14:paraId="346C77C6">
            <w:pPr>
              <w:pStyle w:val="133"/>
            </w:pPr>
            <w:r>
              <w:rPr>
                <w:rFonts w:hint="eastAsia"/>
              </w:rPr>
              <w:t>加强重点行业</w:t>
            </w:r>
            <w:r>
              <w:t>VOCs</w:t>
            </w:r>
            <w:r>
              <w:rPr>
                <w:rFonts w:hint="eastAsia"/>
              </w:rPr>
              <w:t>治理。实施</w:t>
            </w:r>
            <w:r>
              <w:t>VOCs</w:t>
            </w:r>
            <w:r>
              <w:rPr>
                <w:rFonts w:hint="eastAsia"/>
              </w:rPr>
              <w:t>排放总量控制，重点推进石油天然气开采、石化、化工、包装印刷、工业涂装、油品储运销等重点行业排放源以及机动车等移动源</w:t>
            </w:r>
            <w:r>
              <w:t>VOCs</w:t>
            </w:r>
            <w:r>
              <w:rPr>
                <w:rFonts w:hint="eastAsia"/>
              </w:rPr>
              <w:t>污染防治，加强重点行业、重点企业的精细化管控；全面推进使用低</w:t>
            </w:r>
            <w:r>
              <w:t>VOCs</w:t>
            </w:r>
            <w:r>
              <w:rPr>
                <w:rFonts w:hint="eastAsia"/>
              </w:rPr>
              <w:t>含量涂料、油墨、胶黏剂、清洗剂等；加强汽修行业</w:t>
            </w:r>
            <w:r>
              <w:t>VOCs</w:t>
            </w:r>
            <w:r>
              <w:rPr>
                <w:rFonts w:hint="eastAsia"/>
              </w:rPr>
              <w:t>综合治理，加大餐饮油烟污染治理力度，持续削减</w:t>
            </w:r>
            <w:r>
              <w:t>VOCs</w:t>
            </w:r>
            <w:r>
              <w:rPr>
                <w:rFonts w:hint="eastAsia"/>
              </w:rPr>
              <w:t>排放量。</w:t>
            </w:r>
          </w:p>
        </w:tc>
        <w:tc>
          <w:tcPr>
            <w:tcW w:w="1400" w:type="pct"/>
            <w:vAlign w:val="center"/>
          </w:tcPr>
          <w:p w14:paraId="403BAB31">
            <w:pPr>
              <w:pStyle w:val="133"/>
            </w:pPr>
            <w:r>
              <w:rPr>
                <w:rFonts w:hint="eastAsia"/>
              </w:rPr>
              <w:t>本项目兰炭生产线涉及</w:t>
            </w:r>
            <w:r>
              <w:t>VOCs</w:t>
            </w:r>
            <w:r>
              <w:rPr>
                <w:rFonts w:hint="eastAsia"/>
              </w:rPr>
              <w:t>排放，采取行业内先进的</w:t>
            </w:r>
            <w:r>
              <w:t>VOCs</w:t>
            </w:r>
            <w:r>
              <w:rPr>
                <w:rFonts w:hint="eastAsia"/>
              </w:rPr>
              <w:t>治理措施，降低VOCs排放量，同时对现有工程进行技改提升，减小现有工程排放量。</w:t>
            </w:r>
          </w:p>
        </w:tc>
        <w:tc>
          <w:tcPr>
            <w:tcW w:w="362" w:type="pct"/>
            <w:vMerge w:val="continue"/>
            <w:vAlign w:val="center"/>
          </w:tcPr>
          <w:p w14:paraId="4C233C7C">
            <w:pPr>
              <w:pStyle w:val="133"/>
            </w:pPr>
          </w:p>
        </w:tc>
      </w:tr>
      <w:tr w14:paraId="353FB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Merge w:val="restart"/>
            <w:vAlign w:val="center"/>
          </w:tcPr>
          <w:p w14:paraId="2E76AD0D">
            <w:pPr>
              <w:pStyle w:val="133"/>
            </w:pPr>
            <w:r>
              <w:rPr>
                <w:rFonts w:hint="eastAsia"/>
              </w:rPr>
              <w:t>7</w:t>
            </w:r>
          </w:p>
        </w:tc>
        <w:tc>
          <w:tcPr>
            <w:tcW w:w="650" w:type="pct"/>
            <w:vMerge w:val="restart"/>
            <w:vAlign w:val="center"/>
          </w:tcPr>
          <w:p w14:paraId="19D9A843">
            <w:pPr>
              <w:pStyle w:val="133"/>
            </w:pPr>
            <w:r>
              <w:rPr>
                <w:rFonts w:hint="eastAsia"/>
              </w:rPr>
              <w:t>《哈密市生态环境保护“十四五”规划》</w:t>
            </w:r>
          </w:p>
        </w:tc>
        <w:tc>
          <w:tcPr>
            <w:tcW w:w="2350" w:type="pct"/>
            <w:vAlign w:val="center"/>
          </w:tcPr>
          <w:p w14:paraId="4E18D254">
            <w:pPr>
              <w:pStyle w:val="133"/>
            </w:pPr>
            <w:r>
              <w:rPr>
                <w:rFonts w:hint="eastAsia"/>
              </w:rPr>
              <w:t>实施最严格的生态保护制度。坚决遏制“两高”（高耗能、高排放）项目盲目发展，对“两高”项目实行清单管理、分类处置、动态监控。立足资源环境承载能力，加快完善以“三线一单”（生态保护红线、环境质量底线、资源利用上线和生态环境准入清单）为核心的生态环境分区管控体系，建立动态更新和调整机制，加强“三线一单”成果在政策制定、环境准入、园区管理、执法监管等方面的应用。严格落实环境保护“一票否决”制度，不断健全以环评制度为主体的源头预防体系，依法依规严格规划环评审查和项目环评准入，强化“三线一单”硬约束。</w:t>
            </w:r>
          </w:p>
        </w:tc>
        <w:tc>
          <w:tcPr>
            <w:tcW w:w="1400" w:type="pct"/>
            <w:vAlign w:val="center"/>
          </w:tcPr>
          <w:p w14:paraId="2949BF00">
            <w:pPr>
              <w:pStyle w:val="133"/>
            </w:pPr>
            <w:r>
              <w:rPr>
                <w:rFonts w:hint="eastAsia"/>
              </w:rPr>
              <w:t>经对照，本项目符合依照《市场准入负面清单》和《产业结构调整指导目录》《政府核准的投资项目目录》最新版和所在园区的规划及批复、规划环评及审查意见、区域“三线一单”管控要求等。</w:t>
            </w:r>
          </w:p>
        </w:tc>
        <w:tc>
          <w:tcPr>
            <w:tcW w:w="362" w:type="pct"/>
            <w:vMerge w:val="restart"/>
            <w:vAlign w:val="center"/>
          </w:tcPr>
          <w:p w14:paraId="0D313EB7">
            <w:pPr>
              <w:pStyle w:val="133"/>
            </w:pPr>
            <w:r>
              <w:rPr>
                <w:rFonts w:hint="eastAsia"/>
              </w:rPr>
              <w:t>符合</w:t>
            </w:r>
          </w:p>
        </w:tc>
      </w:tr>
      <w:tr w14:paraId="4FC86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Merge w:val="continue"/>
            <w:vAlign w:val="center"/>
          </w:tcPr>
          <w:p w14:paraId="67B163F2">
            <w:pPr>
              <w:pStyle w:val="133"/>
            </w:pPr>
          </w:p>
        </w:tc>
        <w:tc>
          <w:tcPr>
            <w:tcW w:w="650" w:type="pct"/>
            <w:vMerge w:val="continue"/>
            <w:vAlign w:val="center"/>
          </w:tcPr>
          <w:p w14:paraId="1B5438DF">
            <w:pPr>
              <w:pStyle w:val="133"/>
            </w:pPr>
          </w:p>
        </w:tc>
        <w:tc>
          <w:tcPr>
            <w:tcW w:w="2350" w:type="pct"/>
            <w:vAlign w:val="center"/>
          </w:tcPr>
          <w:p w14:paraId="09168374">
            <w:pPr>
              <w:pStyle w:val="133"/>
            </w:pPr>
            <w:r>
              <w:rPr>
                <w:rFonts w:hint="eastAsia"/>
              </w:rPr>
              <w:t>构建循环工业体系。鼓励产业集聚发展，实施园区循环化改造，推进能源阶梯利用、水资源循环利用、废物回收综合利用、土地集约利用，促进企业循环式生产、园区循环式发展、产业循环式组合，构建循环工业体系。</w:t>
            </w:r>
          </w:p>
        </w:tc>
        <w:tc>
          <w:tcPr>
            <w:tcW w:w="1400" w:type="pct"/>
            <w:vAlign w:val="center"/>
          </w:tcPr>
          <w:p w14:paraId="3FBDB4B5">
            <w:pPr>
              <w:pStyle w:val="133"/>
            </w:pPr>
            <w:r>
              <w:t>本项目</w:t>
            </w:r>
            <w:r>
              <w:rPr>
                <w:rFonts w:hint="eastAsia"/>
              </w:rPr>
              <w:t>为</w:t>
            </w:r>
            <w:r>
              <w:rPr>
                <w:rFonts w:hint="eastAsia"/>
                <w:szCs w:val="21"/>
              </w:rPr>
              <w:t>镁合金产业循环经济建设技改提升项目</w:t>
            </w:r>
            <w:r>
              <w:rPr>
                <w:rFonts w:hint="eastAsia"/>
              </w:rPr>
              <w:t>，在企业内部形成了上下游产业链，有助于构建循环工业体系</w:t>
            </w:r>
            <w:r>
              <w:t>。</w:t>
            </w:r>
          </w:p>
        </w:tc>
        <w:tc>
          <w:tcPr>
            <w:tcW w:w="362" w:type="pct"/>
            <w:vMerge w:val="continue"/>
            <w:vAlign w:val="center"/>
          </w:tcPr>
          <w:p w14:paraId="6BCA6D1A">
            <w:pPr>
              <w:pStyle w:val="133"/>
            </w:pPr>
          </w:p>
        </w:tc>
      </w:tr>
      <w:tr w14:paraId="30C54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38" w:type="pct"/>
            <w:vMerge w:val="continue"/>
            <w:vAlign w:val="center"/>
          </w:tcPr>
          <w:p w14:paraId="5628E0A9">
            <w:pPr>
              <w:pStyle w:val="133"/>
            </w:pPr>
          </w:p>
        </w:tc>
        <w:tc>
          <w:tcPr>
            <w:tcW w:w="650" w:type="pct"/>
            <w:vMerge w:val="continue"/>
            <w:vAlign w:val="center"/>
          </w:tcPr>
          <w:p w14:paraId="793F8969">
            <w:pPr>
              <w:pStyle w:val="133"/>
            </w:pPr>
          </w:p>
        </w:tc>
        <w:tc>
          <w:tcPr>
            <w:tcW w:w="2350" w:type="pct"/>
            <w:vAlign w:val="center"/>
          </w:tcPr>
          <w:p w14:paraId="15876F11">
            <w:pPr>
              <w:pStyle w:val="133"/>
            </w:pPr>
            <w:r>
              <w:rPr>
                <w:rFonts w:hint="eastAsia"/>
              </w:rPr>
              <w:t>实施重点行业</w:t>
            </w:r>
            <w:r>
              <w:t>NO</w:t>
            </w:r>
            <w:r>
              <w:rPr>
                <w:rFonts w:hint="eastAsia"/>
                <w:vertAlign w:val="subscript"/>
              </w:rPr>
              <w:t>X</w:t>
            </w:r>
            <w:r>
              <w:rPr>
                <w:rFonts w:hint="eastAsia"/>
              </w:rPr>
              <w:t>等污染物深度治理。持续推进黑有色金属、水泥、焦化、煤化工等行业和燃煤工业锅炉超低排放改造，推动玻璃、铸造、有色、焦化、煤化工等行业采取清洁生产、提标改造、深度治理等综合措施。</w:t>
            </w:r>
          </w:p>
        </w:tc>
        <w:tc>
          <w:tcPr>
            <w:tcW w:w="1400" w:type="pct"/>
            <w:vAlign w:val="center"/>
          </w:tcPr>
          <w:p w14:paraId="07BCA4A3">
            <w:pPr>
              <w:pStyle w:val="133"/>
            </w:pPr>
            <w:r>
              <w:t>本项目</w:t>
            </w:r>
            <w:r>
              <w:rPr>
                <w:rFonts w:hint="eastAsia"/>
              </w:rPr>
              <w:t>涉及焦化行业，对产生的氮氧化物采取了治理措施，且本次技改提升对现有工程也实施了提标改造，减少现有工程的氮氧化物排放量。</w:t>
            </w:r>
          </w:p>
        </w:tc>
        <w:tc>
          <w:tcPr>
            <w:tcW w:w="362" w:type="pct"/>
            <w:vMerge w:val="continue"/>
            <w:vAlign w:val="center"/>
          </w:tcPr>
          <w:p w14:paraId="6B04C34D">
            <w:pPr>
              <w:pStyle w:val="133"/>
            </w:pPr>
          </w:p>
        </w:tc>
      </w:tr>
    </w:tbl>
    <w:p w14:paraId="1A9EC19A">
      <w:pPr>
        <w:pStyle w:val="133"/>
      </w:pPr>
    </w:p>
    <w:bookmarkEnd w:id="38"/>
    <w:p w14:paraId="3BEC99D6">
      <w:pPr>
        <w:widowControl/>
        <w:spacing w:line="240" w:lineRule="auto"/>
        <w:ind w:firstLine="0" w:firstLineChars="0"/>
        <w:jc w:val="left"/>
      </w:pPr>
      <w:r>
        <w:br w:type="page"/>
      </w:r>
    </w:p>
    <w:p w14:paraId="7ED68A78">
      <w:pPr>
        <w:pStyle w:val="172"/>
        <w:spacing w:after="120"/>
        <w:ind w:firstLine="482"/>
        <w:rPr>
          <w:rFonts w:hint="eastAsia"/>
          <w:b/>
          <w:bCs/>
        </w:rPr>
        <w:sectPr>
          <w:pgSz w:w="16838" w:h="11906" w:orient="landscape"/>
          <w:pgMar w:top="1800" w:right="1440" w:bottom="1800" w:left="1440" w:header="850" w:footer="992" w:gutter="0"/>
          <w:cols w:space="425" w:num="1"/>
          <w:docGrid w:type="lines" w:linePitch="326" w:charSpace="0"/>
        </w:sectPr>
      </w:pPr>
    </w:p>
    <w:p w14:paraId="078B14BC">
      <w:pPr>
        <w:pStyle w:val="117"/>
        <w:ind w:firstLine="480"/>
      </w:pPr>
      <w:r>
        <w:rPr>
          <w:rFonts w:hint="eastAsia"/>
        </w:rPr>
        <w:t>根据分析，本项目符合</w:t>
      </w:r>
      <w:r>
        <w:t>《新疆主体功能区规划》《新疆生态功能区划》</w:t>
      </w:r>
      <w:r>
        <w:rPr>
          <w:rFonts w:hint="eastAsia"/>
        </w:rPr>
        <w:t>《</w:t>
      </w:r>
      <w:r>
        <w:t>新疆维吾尔自治区国民经济和社会发展第十四个五年规划和2035年远景目标纲要》《</w:t>
      </w:r>
      <w:r>
        <w:rPr>
          <w:rFonts w:hint="eastAsia"/>
        </w:rPr>
        <w:t>哈密市</w:t>
      </w:r>
      <w:r>
        <w:t>国民经济和社会发展第十四个五年规划和2035年远景目标纲要》《新疆维吾尔自治区</w:t>
      </w:r>
      <w:r>
        <w:rPr>
          <w:rFonts w:hint="eastAsia"/>
        </w:rPr>
        <w:t>生态</w:t>
      </w:r>
      <w:r>
        <w:t>环境保护“十四五”规划》《</w:t>
      </w:r>
      <w:r>
        <w:rPr>
          <w:rFonts w:hint="eastAsia"/>
        </w:rPr>
        <w:t>哈密市生态</w:t>
      </w:r>
      <w:r>
        <w:t>环境保护“十四五”规划》</w:t>
      </w:r>
      <w:r>
        <w:rPr>
          <w:rFonts w:hint="eastAsia"/>
        </w:rPr>
        <w:t>等</w:t>
      </w:r>
      <w:r>
        <w:t>自治区</w:t>
      </w:r>
      <w:r>
        <w:rPr>
          <w:rFonts w:hint="eastAsia"/>
        </w:rPr>
        <w:t>、哈密市</w:t>
      </w:r>
      <w:r>
        <w:t>的相关规划。</w:t>
      </w:r>
    </w:p>
    <w:p w14:paraId="7DA71C93">
      <w:pPr>
        <w:pStyle w:val="138"/>
        <w:numPr>
          <w:ilvl w:val="0"/>
          <w:numId w:val="0"/>
        </w:numPr>
        <w:rPr>
          <w:rFonts w:hint="eastAsia"/>
        </w:rPr>
      </w:pPr>
      <w:r>
        <w:t xml:space="preserve">3.3 </w:t>
      </w:r>
      <w:r>
        <w:rPr>
          <w:rFonts w:hint="eastAsia"/>
        </w:rPr>
        <w:t>环境管理要求符合性</w:t>
      </w:r>
    </w:p>
    <w:p w14:paraId="0F004105">
      <w:pPr>
        <w:pStyle w:val="117"/>
        <w:ind w:firstLine="480"/>
      </w:pPr>
      <w:r>
        <w:t>本项目与相关环境管理要求符合性分析，见表0.3-</w:t>
      </w:r>
      <w:r>
        <w:rPr>
          <w:rFonts w:hint="eastAsia"/>
        </w:rPr>
        <w:t>3</w:t>
      </w:r>
      <w:r>
        <w:t>。</w:t>
      </w:r>
    </w:p>
    <w:p w14:paraId="17CB1BFC">
      <w:pPr>
        <w:pStyle w:val="117"/>
        <w:ind w:firstLine="480"/>
      </w:pPr>
      <w:r>
        <w:t>根据分析，本项目符合</w:t>
      </w:r>
      <w:r>
        <w:rPr>
          <w:rFonts w:hint="eastAsia"/>
        </w:rPr>
        <w:t>《空气质量持续改善行动计划》</w:t>
      </w:r>
      <w:r>
        <w:t>《新疆维吾尔自治区 2025 年空气持续改善行动计划实施方案》</w:t>
      </w:r>
      <w:r>
        <w:rPr>
          <w:rFonts w:hint="eastAsia"/>
        </w:rPr>
        <w:t>《关于推进实施焦化行业超低排放的意见》《关于加强重点行业建设项目区域消减措施监督管理的通知》（环办环评〔2020〕36号）、</w:t>
      </w:r>
      <w:r>
        <w:t>《新疆维吾尔自治区大气污染防治条例》</w:t>
      </w:r>
      <w:r>
        <w:rPr>
          <w:rFonts w:hint="eastAsia"/>
        </w:rPr>
        <w:t>（新疆维吾尔自治区第十三届人民代表大会常务委员会公告 第1</w:t>
      </w:r>
      <w:r>
        <w:t>5</w:t>
      </w:r>
      <w:r>
        <w:rPr>
          <w:rFonts w:hint="eastAsia"/>
        </w:rPr>
        <w:t>号）、</w:t>
      </w:r>
      <w:r>
        <w:t>《新疆维吾尔自治区重点行业生态环境准入条件（</w:t>
      </w:r>
      <w:r>
        <w:rPr>
          <w:rFonts w:hint="eastAsia"/>
        </w:rPr>
        <w:t>2024年</w:t>
      </w:r>
      <w:r>
        <w:t>）》（</w:t>
      </w:r>
      <w:r>
        <w:rPr>
          <w:rFonts w:hint="eastAsia"/>
        </w:rPr>
        <w:t>新环环评发〔2024〕93号</w:t>
      </w:r>
      <w:r>
        <w:t>）《关于加快解决当前挥发性有机物治理突出问题的通知》《挥发性有机物（VOCs）污染防治技术政策》</w:t>
      </w:r>
      <w:r>
        <w:rPr>
          <w:rFonts w:hint="eastAsia"/>
        </w:rPr>
        <w:t>等</w:t>
      </w:r>
      <w:r>
        <w:t>相关环境管理要求。</w:t>
      </w:r>
    </w:p>
    <w:p w14:paraId="65FD4ABE">
      <w:pPr>
        <w:pStyle w:val="117"/>
        <w:ind w:firstLine="480"/>
      </w:pPr>
    </w:p>
    <w:p w14:paraId="41293DB4">
      <w:pPr>
        <w:pStyle w:val="117"/>
        <w:ind w:firstLine="480"/>
        <w:sectPr>
          <w:pgSz w:w="11906" w:h="16838"/>
          <w:pgMar w:top="1440" w:right="1800" w:bottom="1440" w:left="1800" w:header="850" w:footer="992" w:gutter="0"/>
          <w:cols w:space="425" w:num="1"/>
          <w:docGrid w:type="lines" w:linePitch="326" w:charSpace="0"/>
        </w:sectPr>
      </w:pPr>
    </w:p>
    <w:p w14:paraId="663104B2">
      <w:pPr>
        <w:pStyle w:val="118"/>
      </w:pPr>
      <w:r>
        <w:t>表0.3-</w:t>
      </w:r>
      <w:r>
        <w:rPr>
          <w:rFonts w:hint="eastAsia"/>
        </w:rPr>
        <w:t>3</w:t>
      </w:r>
      <w:r>
        <w:t xml:space="preserve">  本项目与相关环境管理要求符合性分析一览表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519"/>
        <w:gridCol w:w="1094"/>
        <w:gridCol w:w="3529"/>
        <w:gridCol w:w="3260"/>
        <w:gridCol w:w="3603"/>
        <w:gridCol w:w="684"/>
      </w:tblGrid>
      <w:tr w14:paraId="3E70B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71" w:type="pct"/>
            <w:vAlign w:val="center"/>
          </w:tcPr>
          <w:p w14:paraId="018E067F">
            <w:pPr>
              <w:pStyle w:val="133"/>
              <w:rPr>
                <w:b/>
                <w:bCs/>
              </w:rPr>
            </w:pPr>
            <w:r>
              <w:rPr>
                <w:b/>
                <w:bCs/>
              </w:rPr>
              <w:t>序号</w:t>
            </w:r>
          </w:p>
        </w:tc>
        <w:tc>
          <w:tcPr>
            <w:tcW w:w="922" w:type="pct"/>
            <w:gridSpan w:val="2"/>
            <w:vAlign w:val="center"/>
          </w:tcPr>
          <w:p w14:paraId="409BE3D8">
            <w:pPr>
              <w:pStyle w:val="133"/>
              <w:rPr>
                <w:b/>
                <w:bCs/>
              </w:rPr>
            </w:pPr>
            <w:r>
              <w:rPr>
                <w:b/>
                <w:bCs/>
              </w:rPr>
              <w:t>环境管理文件</w:t>
            </w:r>
          </w:p>
        </w:tc>
        <w:tc>
          <w:tcPr>
            <w:tcW w:w="2395" w:type="pct"/>
            <w:gridSpan w:val="2"/>
            <w:vAlign w:val="center"/>
          </w:tcPr>
          <w:p w14:paraId="3780A7AB">
            <w:pPr>
              <w:pStyle w:val="133"/>
              <w:rPr>
                <w:b/>
                <w:bCs/>
              </w:rPr>
            </w:pPr>
            <w:r>
              <w:rPr>
                <w:b/>
                <w:bCs/>
              </w:rPr>
              <w:t>具体要求</w:t>
            </w:r>
          </w:p>
        </w:tc>
        <w:tc>
          <w:tcPr>
            <w:tcW w:w="1271" w:type="pct"/>
            <w:vAlign w:val="center"/>
          </w:tcPr>
          <w:p w14:paraId="5DAD1406">
            <w:pPr>
              <w:pStyle w:val="133"/>
              <w:rPr>
                <w:b/>
                <w:bCs/>
              </w:rPr>
            </w:pPr>
            <w:r>
              <w:rPr>
                <w:b/>
                <w:bCs/>
              </w:rPr>
              <w:t>本项目情况</w:t>
            </w:r>
          </w:p>
        </w:tc>
        <w:tc>
          <w:tcPr>
            <w:tcW w:w="241" w:type="pct"/>
            <w:vAlign w:val="center"/>
          </w:tcPr>
          <w:p w14:paraId="53E62044">
            <w:pPr>
              <w:pStyle w:val="133"/>
              <w:rPr>
                <w:b/>
                <w:bCs/>
              </w:rPr>
            </w:pPr>
            <w:r>
              <w:rPr>
                <w:b/>
                <w:bCs/>
              </w:rPr>
              <w:t>符合性</w:t>
            </w:r>
          </w:p>
        </w:tc>
      </w:tr>
      <w:tr w14:paraId="10A1B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restart"/>
            <w:vAlign w:val="center"/>
          </w:tcPr>
          <w:p w14:paraId="04D25695">
            <w:pPr>
              <w:pStyle w:val="133"/>
            </w:pPr>
            <w:r>
              <w:rPr>
                <w:rFonts w:hint="eastAsia"/>
              </w:rPr>
              <w:t>1</w:t>
            </w:r>
          </w:p>
        </w:tc>
        <w:tc>
          <w:tcPr>
            <w:tcW w:w="922" w:type="pct"/>
            <w:gridSpan w:val="2"/>
            <w:vMerge w:val="restart"/>
            <w:vAlign w:val="center"/>
          </w:tcPr>
          <w:p w14:paraId="14505425">
            <w:pPr>
              <w:pStyle w:val="133"/>
              <w:rPr>
                <w:szCs w:val="21"/>
              </w:rPr>
            </w:pPr>
            <w:r>
              <w:rPr>
                <w:rFonts w:hint="eastAsia"/>
              </w:rPr>
              <w:t>《空气质量持续改善行动计划》</w:t>
            </w:r>
          </w:p>
        </w:tc>
        <w:tc>
          <w:tcPr>
            <w:tcW w:w="2395" w:type="pct"/>
            <w:gridSpan w:val="2"/>
            <w:vAlign w:val="center"/>
          </w:tcPr>
          <w:p w14:paraId="68B8C3E4">
            <w:pPr>
              <w:pStyle w:val="133"/>
              <w:rPr>
                <w:szCs w:val="21"/>
              </w:rPr>
            </w:pPr>
            <w:r>
              <w:rPr>
                <w:rFonts w:hint="eastAsia"/>
                <w:szCs w:val="21"/>
              </w:rPr>
              <w:t>新改扩建项目严格落实国家产业规划、产业政策、生态环境分区管控方案、规划环评、项目环评、节能审查、产能置换、重点污染物总量控制、污染物排放区域削减、碳排放达峰目标等相关要求，原则上采用清洁运输方式。</w:t>
            </w:r>
          </w:p>
        </w:tc>
        <w:tc>
          <w:tcPr>
            <w:tcW w:w="1271" w:type="pct"/>
            <w:vAlign w:val="center"/>
          </w:tcPr>
          <w:p w14:paraId="133FE15D">
            <w:pPr>
              <w:pStyle w:val="133"/>
              <w:rPr>
                <w:szCs w:val="21"/>
              </w:rPr>
            </w:pPr>
            <w:r>
              <w:rPr>
                <w:rFonts w:hint="eastAsia"/>
                <w:szCs w:val="21"/>
              </w:rPr>
              <w:t>本项目属于技改提升项目，符合国家产业规划、产业政策，符合区域生态环境分区管控方案，符合园区规划环评，开展了环境影响评价工作，将落实重点污染物总量控制、污染物排放区域削减。</w:t>
            </w:r>
          </w:p>
        </w:tc>
        <w:tc>
          <w:tcPr>
            <w:tcW w:w="241" w:type="pct"/>
            <w:vAlign w:val="center"/>
          </w:tcPr>
          <w:p w14:paraId="14B576F8">
            <w:pPr>
              <w:pStyle w:val="133"/>
            </w:pPr>
            <w:r>
              <w:rPr>
                <w:rFonts w:hint="eastAsia"/>
              </w:rPr>
              <w:t>符合</w:t>
            </w:r>
          </w:p>
        </w:tc>
      </w:tr>
      <w:tr w14:paraId="39936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26A2ED5A">
            <w:pPr>
              <w:pStyle w:val="133"/>
            </w:pPr>
          </w:p>
        </w:tc>
        <w:tc>
          <w:tcPr>
            <w:tcW w:w="922" w:type="pct"/>
            <w:gridSpan w:val="2"/>
            <w:vMerge w:val="continue"/>
            <w:vAlign w:val="center"/>
          </w:tcPr>
          <w:p w14:paraId="53786259">
            <w:pPr>
              <w:pStyle w:val="133"/>
            </w:pPr>
          </w:p>
        </w:tc>
        <w:tc>
          <w:tcPr>
            <w:tcW w:w="2395" w:type="pct"/>
            <w:gridSpan w:val="2"/>
            <w:vAlign w:val="center"/>
          </w:tcPr>
          <w:p w14:paraId="4C61C334">
            <w:pPr>
              <w:pStyle w:val="133"/>
              <w:rPr>
                <w:szCs w:val="21"/>
              </w:rPr>
            </w:pPr>
            <w:r>
              <w:rPr>
                <w:rFonts w:hint="eastAsia"/>
                <w:szCs w:val="21"/>
              </w:rPr>
              <w:t>引导重点区域钢铁、焦化、电解铝等产业有序调整优化。</w:t>
            </w:r>
          </w:p>
        </w:tc>
        <w:tc>
          <w:tcPr>
            <w:tcW w:w="1271" w:type="pct"/>
            <w:vAlign w:val="center"/>
          </w:tcPr>
          <w:p w14:paraId="5D8A77AF">
            <w:pPr>
              <w:pStyle w:val="133"/>
              <w:rPr>
                <w:szCs w:val="21"/>
              </w:rPr>
            </w:pPr>
            <w:r>
              <w:rPr>
                <w:rFonts w:hint="eastAsia"/>
                <w:szCs w:val="21"/>
              </w:rPr>
              <w:t>本项目所在区域不属于重点区域；本项目即是对焦化产业的调整优化，技改后达到行业超低排放的相关要求。</w:t>
            </w:r>
          </w:p>
        </w:tc>
        <w:tc>
          <w:tcPr>
            <w:tcW w:w="241" w:type="pct"/>
            <w:vAlign w:val="center"/>
          </w:tcPr>
          <w:p w14:paraId="241E4D97">
            <w:pPr>
              <w:pStyle w:val="133"/>
            </w:pPr>
            <w:r>
              <w:rPr>
                <w:rFonts w:hint="eastAsia"/>
              </w:rPr>
              <w:t>符合</w:t>
            </w:r>
          </w:p>
        </w:tc>
      </w:tr>
      <w:tr w14:paraId="1FF5C3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6793D34D">
            <w:pPr>
              <w:pStyle w:val="133"/>
            </w:pPr>
          </w:p>
        </w:tc>
        <w:tc>
          <w:tcPr>
            <w:tcW w:w="922" w:type="pct"/>
            <w:gridSpan w:val="2"/>
            <w:vMerge w:val="continue"/>
            <w:vAlign w:val="center"/>
          </w:tcPr>
          <w:p w14:paraId="2D1E2171">
            <w:pPr>
              <w:pStyle w:val="133"/>
            </w:pPr>
          </w:p>
        </w:tc>
        <w:tc>
          <w:tcPr>
            <w:tcW w:w="2395" w:type="pct"/>
            <w:gridSpan w:val="2"/>
            <w:vAlign w:val="center"/>
          </w:tcPr>
          <w:p w14:paraId="77F5B82D">
            <w:pPr>
              <w:pStyle w:val="133"/>
              <w:rPr>
                <w:szCs w:val="21"/>
              </w:rPr>
            </w:pPr>
            <w:r>
              <w:rPr>
                <w:rFonts w:hint="eastAsia"/>
                <w:szCs w:val="21"/>
              </w:rPr>
              <w:t>大宗货物中长距离运输优先采用铁路、水路运输，短距离运输优先采用封闭式皮带廊道或新能源车船。探索将清洁运输作为煤矿、钢铁、火电、有色、焦化、煤化工等行业新改扩建项目审核和监管重点。</w:t>
            </w:r>
          </w:p>
        </w:tc>
        <w:tc>
          <w:tcPr>
            <w:tcW w:w="1271" w:type="pct"/>
            <w:vAlign w:val="center"/>
          </w:tcPr>
          <w:p w14:paraId="28A7852B">
            <w:pPr>
              <w:pStyle w:val="133"/>
              <w:rPr>
                <w:szCs w:val="21"/>
              </w:rPr>
            </w:pPr>
            <w:r>
              <w:rPr>
                <w:rFonts w:hint="eastAsia"/>
                <w:szCs w:val="21"/>
              </w:rPr>
              <w:t>本项目煤炭、兰炭产内运输采用封闭式皮带廊道。</w:t>
            </w:r>
          </w:p>
        </w:tc>
        <w:tc>
          <w:tcPr>
            <w:tcW w:w="241" w:type="pct"/>
            <w:vAlign w:val="center"/>
          </w:tcPr>
          <w:p w14:paraId="3DAC8EF9">
            <w:pPr>
              <w:pStyle w:val="133"/>
            </w:pPr>
            <w:r>
              <w:rPr>
                <w:rFonts w:hint="eastAsia"/>
              </w:rPr>
              <w:t>符合</w:t>
            </w:r>
          </w:p>
        </w:tc>
      </w:tr>
      <w:tr w14:paraId="075BD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32660F34">
            <w:pPr>
              <w:pStyle w:val="133"/>
            </w:pPr>
          </w:p>
        </w:tc>
        <w:tc>
          <w:tcPr>
            <w:tcW w:w="922" w:type="pct"/>
            <w:gridSpan w:val="2"/>
            <w:vMerge w:val="continue"/>
            <w:vAlign w:val="center"/>
          </w:tcPr>
          <w:p w14:paraId="10621569">
            <w:pPr>
              <w:pStyle w:val="133"/>
            </w:pPr>
          </w:p>
        </w:tc>
        <w:tc>
          <w:tcPr>
            <w:tcW w:w="2395" w:type="pct"/>
            <w:gridSpan w:val="2"/>
            <w:vAlign w:val="center"/>
          </w:tcPr>
          <w:p w14:paraId="1DDC169E">
            <w:pPr>
              <w:pStyle w:val="133"/>
              <w:rPr>
                <w:szCs w:val="21"/>
              </w:rPr>
            </w:pPr>
            <w:r>
              <w:rPr>
                <w:rFonts w:hint="eastAsia"/>
                <w:szCs w:val="21"/>
              </w:rPr>
              <w:t>鼓励储罐使用低泄漏的呼吸阀、紧急泄压阀，定期开展密封性检测。汽车罐车推广使用密封式快速接头。污水处理场所高浓度有机废气要单独收集处理；含VOCs有机废水储罐、装置区集水井（池）有机废气要密闭收集处理。</w:t>
            </w:r>
          </w:p>
        </w:tc>
        <w:tc>
          <w:tcPr>
            <w:tcW w:w="1271" w:type="pct"/>
            <w:vAlign w:val="center"/>
          </w:tcPr>
          <w:p w14:paraId="1F5C6B17">
            <w:pPr>
              <w:spacing w:line="240" w:lineRule="auto"/>
              <w:ind w:firstLine="0" w:firstLineChars="0"/>
              <w:jc w:val="center"/>
              <w:rPr>
                <w:sz w:val="21"/>
                <w:szCs w:val="21"/>
              </w:rPr>
            </w:pPr>
            <w:r>
              <w:rPr>
                <w:sz w:val="21"/>
                <w:szCs w:val="21"/>
              </w:rPr>
              <w:t>本次技改后对焦油储罐设油气回收装置，收集的废气送VOCs废气处理设施处理。其他VOCs物料密闭储存，并将挥发性废气收集后燃烧处理。</w:t>
            </w:r>
          </w:p>
        </w:tc>
        <w:tc>
          <w:tcPr>
            <w:tcW w:w="241" w:type="pct"/>
            <w:vAlign w:val="center"/>
          </w:tcPr>
          <w:p w14:paraId="378513F8">
            <w:pPr>
              <w:pStyle w:val="133"/>
            </w:pPr>
            <w:r>
              <w:rPr>
                <w:rFonts w:hint="eastAsia"/>
              </w:rPr>
              <w:t>符合</w:t>
            </w:r>
          </w:p>
        </w:tc>
      </w:tr>
      <w:tr w14:paraId="3635C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69512706">
            <w:pPr>
              <w:pStyle w:val="133"/>
            </w:pPr>
          </w:p>
        </w:tc>
        <w:tc>
          <w:tcPr>
            <w:tcW w:w="922" w:type="pct"/>
            <w:gridSpan w:val="2"/>
            <w:vMerge w:val="continue"/>
            <w:vAlign w:val="center"/>
          </w:tcPr>
          <w:p w14:paraId="695304B8">
            <w:pPr>
              <w:pStyle w:val="133"/>
            </w:pPr>
          </w:p>
        </w:tc>
        <w:tc>
          <w:tcPr>
            <w:tcW w:w="2395" w:type="pct"/>
            <w:gridSpan w:val="2"/>
            <w:vAlign w:val="center"/>
          </w:tcPr>
          <w:p w14:paraId="30E8E421">
            <w:pPr>
              <w:pStyle w:val="133"/>
              <w:rPr>
                <w:szCs w:val="21"/>
              </w:rPr>
            </w:pPr>
            <w:r>
              <w:rPr>
                <w:rFonts w:hint="eastAsia"/>
                <w:szCs w:val="21"/>
              </w:rPr>
              <w:t>高质量推进钢铁、水泥、焦化等重点行业及燃煤锅炉超低排放改造。</w:t>
            </w:r>
          </w:p>
        </w:tc>
        <w:tc>
          <w:tcPr>
            <w:tcW w:w="1271" w:type="pct"/>
            <w:vAlign w:val="center"/>
          </w:tcPr>
          <w:p w14:paraId="7184A54B">
            <w:pPr>
              <w:spacing w:line="240" w:lineRule="auto"/>
              <w:ind w:firstLine="0" w:firstLineChars="0"/>
              <w:jc w:val="center"/>
              <w:rPr>
                <w:szCs w:val="21"/>
              </w:rPr>
            </w:pPr>
            <w:r>
              <w:rPr>
                <w:rFonts w:hint="eastAsia"/>
                <w:sz w:val="21"/>
                <w:szCs w:val="18"/>
              </w:rPr>
              <w:t>本项目即是对兰炭生产线按照焦化行业超低排放的相关要求进行改造。</w:t>
            </w:r>
          </w:p>
        </w:tc>
        <w:tc>
          <w:tcPr>
            <w:tcW w:w="241" w:type="pct"/>
            <w:vAlign w:val="center"/>
          </w:tcPr>
          <w:p w14:paraId="08C63040">
            <w:pPr>
              <w:pStyle w:val="133"/>
            </w:pPr>
            <w:r>
              <w:rPr>
                <w:rFonts w:hint="eastAsia"/>
              </w:rPr>
              <w:t>符合</w:t>
            </w:r>
          </w:p>
        </w:tc>
      </w:tr>
      <w:tr w14:paraId="3EE5A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restart"/>
            <w:vAlign w:val="center"/>
          </w:tcPr>
          <w:p w14:paraId="4723B96A">
            <w:pPr>
              <w:pStyle w:val="133"/>
            </w:pPr>
            <w:r>
              <w:rPr>
                <w:rFonts w:hint="eastAsia"/>
              </w:rPr>
              <w:t>2</w:t>
            </w:r>
          </w:p>
        </w:tc>
        <w:tc>
          <w:tcPr>
            <w:tcW w:w="536" w:type="pct"/>
            <w:vMerge w:val="restart"/>
            <w:vAlign w:val="center"/>
          </w:tcPr>
          <w:p w14:paraId="408CEA9B">
            <w:pPr>
              <w:pStyle w:val="133"/>
            </w:pPr>
            <w:r>
              <w:rPr>
                <w:rFonts w:hint="eastAsia"/>
              </w:rPr>
              <w:t>《关于推进实施焦化行业超低排放的意见》</w:t>
            </w:r>
          </w:p>
        </w:tc>
        <w:tc>
          <w:tcPr>
            <w:tcW w:w="386" w:type="pct"/>
            <w:vMerge w:val="restart"/>
            <w:vAlign w:val="center"/>
          </w:tcPr>
          <w:p w14:paraId="791100A4">
            <w:pPr>
              <w:pStyle w:val="133"/>
            </w:pPr>
            <w:r>
              <w:rPr>
                <w:rFonts w:hint="eastAsia"/>
                <w:szCs w:val="21"/>
              </w:rPr>
              <w:t>无组织排放控制措施</w:t>
            </w:r>
          </w:p>
        </w:tc>
        <w:tc>
          <w:tcPr>
            <w:tcW w:w="2395" w:type="pct"/>
            <w:gridSpan w:val="2"/>
            <w:vAlign w:val="center"/>
          </w:tcPr>
          <w:p w14:paraId="1C528698">
            <w:pPr>
              <w:pStyle w:val="133"/>
            </w:pPr>
            <w:r>
              <w:rPr>
                <w:szCs w:val="21"/>
              </w:rPr>
              <w:t>煤炭、焦炭、针状焦、沥青、石墨等块状或粘湿物料</w:t>
            </w:r>
            <w:r>
              <w:rPr>
                <w:rFonts w:hint="eastAsia"/>
                <w:szCs w:val="21"/>
              </w:rPr>
              <w:t>。</w:t>
            </w:r>
            <w:r>
              <w:rPr>
                <w:szCs w:val="21"/>
              </w:rPr>
              <w:t>采用密闭料仓或封闭料场（仓、库、棚）等方式储存，其中封闭料场内设喷雾抑尘装置。鼓励采用封闭式机械化料场、筒仓等物料储存方式。</w:t>
            </w:r>
          </w:p>
        </w:tc>
        <w:tc>
          <w:tcPr>
            <w:tcW w:w="1271" w:type="pct"/>
            <w:vAlign w:val="center"/>
          </w:tcPr>
          <w:p w14:paraId="2502482B">
            <w:pPr>
              <w:pStyle w:val="133"/>
            </w:pPr>
            <w:r>
              <w:rPr>
                <w:rFonts w:hint="eastAsia"/>
                <w:szCs w:val="21"/>
              </w:rPr>
              <w:t>采用封闭料仓储存，料仓内设喷雾抑尘装置。</w:t>
            </w:r>
          </w:p>
        </w:tc>
        <w:tc>
          <w:tcPr>
            <w:tcW w:w="241" w:type="pct"/>
            <w:vAlign w:val="center"/>
          </w:tcPr>
          <w:p w14:paraId="63975004">
            <w:pPr>
              <w:pStyle w:val="133"/>
            </w:pPr>
            <w:r>
              <w:rPr>
                <w:rFonts w:hint="eastAsia"/>
              </w:rPr>
              <w:t>符合</w:t>
            </w:r>
          </w:p>
        </w:tc>
      </w:tr>
      <w:tr w14:paraId="44175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0AECAC3E">
            <w:pPr>
              <w:pStyle w:val="133"/>
            </w:pPr>
          </w:p>
        </w:tc>
        <w:tc>
          <w:tcPr>
            <w:tcW w:w="536" w:type="pct"/>
            <w:vMerge w:val="continue"/>
            <w:vAlign w:val="center"/>
          </w:tcPr>
          <w:p w14:paraId="34987CFF">
            <w:pPr>
              <w:pStyle w:val="133"/>
            </w:pPr>
          </w:p>
        </w:tc>
        <w:tc>
          <w:tcPr>
            <w:tcW w:w="386" w:type="pct"/>
            <w:vMerge w:val="continue"/>
            <w:vAlign w:val="center"/>
          </w:tcPr>
          <w:p w14:paraId="59001E7F">
            <w:pPr>
              <w:pStyle w:val="133"/>
              <w:rPr>
                <w:szCs w:val="21"/>
              </w:rPr>
            </w:pPr>
          </w:p>
        </w:tc>
        <w:tc>
          <w:tcPr>
            <w:tcW w:w="2395" w:type="pct"/>
            <w:gridSpan w:val="2"/>
            <w:vAlign w:val="center"/>
          </w:tcPr>
          <w:p w14:paraId="749EE27F">
            <w:pPr>
              <w:pStyle w:val="133"/>
            </w:pPr>
            <w:r>
              <w:rPr>
                <w:szCs w:val="21"/>
              </w:rPr>
              <w:t>有机液体、有机固废及其他VOCs物料</w:t>
            </w:r>
            <w:r>
              <w:rPr>
                <w:rFonts w:hint="eastAsia"/>
                <w:szCs w:val="21"/>
              </w:rPr>
              <w:t>。</w:t>
            </w:r>
            <w:r>
              <w:rPr>
                <w:szCs w:val="21"/>
              </w:rPr>
              <w:t>焦油、粗苯、甲醇、酚油、蒽油、炭黑油、轻油、洗油等有机液体，焦油渣、酸焦油、粗苯残渣、洗油残渣、沥青渣等有机固废，及其他VOCs物料密闭储存，并将废气接入压力平衡系统或燃烧处理。</w:t>
            </w:r>
          </w:p>
        </w:tc>
        <w:tc>
          <w:tcPr>
            <w:tcW w:w="1271" w:type="pct"/>
            <w:vAlign w:val="center"/>
          </w:tcPr>
          <w:p w14:paraId="0E6425B7">
            <w:pPr>
              <w:spacing w:line="240" w:lineRule="auto"/>
              <w:ind w:firstLine="0" w:firstLineChars="0"/>
              <w:jc w:val="center"/>
              <w:rPr>
                <w:sz w:val="21"/>
                <w:szCs w:val="21"/>
              </w:rPr>
            </w:pPr>
            <w:r>
              <w:rPr>
                <w:rFonts w:hint="eastAsia"/>
                <w:sz w:val="21"/>
                <w:szCs w:val="21"/>
              </w:rPr>
              <w:t>煤焦油储存于焦油储罐，设油气回收装置，收集的废气送VOCs废气处理设施处理。</w:t>
            </w:r>
            <w:r>
              <w:rPr>
                <w:sz w:val="21"/>
                <w:szCs w:val="21"/>
              </w:rPr>
              <w:t>其他VOCs物料密闭储存，并将</w:t>
            </w:r>
            <w:r>
              <w:rPr>
                <w:rFonts w:hint="eastAsia"/>
                <w:sz w:val="21"/>
                <w:szCs w:val="21"/>
              </w:rPr>
              <w:t>挥发性废气收集后</w:t>
            </w:r>
            <w:r>
              <w:rPr>
                <w:sz w:val="21"/>
                <w:szCs w:val="21"/>
              </w:rPr>
              <w:t>燃烧处理</w:t>
            </w:r>
            <w:r>
              <w:rPr>
                <w:rFonts w:hint="eastAsia"/>
                <w:sz w:val="21"/>
                <w:szCs w:val="21"/>
              </w:rPr>
              <w:t>。</w:t>
            </w:r>
          </w:p>
        </w:tc>
        <w:tc>
          <w:tcPr>
            <w:tcW w:w="241" w:type="pct"/>
            <w:vAlign w:val="center"/>
          </w:tcPr>
          <w:p w14:paraId="33078F75">
            <w:pPr>
              <w:pStyle w:val="133"/>
            </w:pPr>
            <w:r>
              <w:rPr>
                <w:rFonts w:hint="eastAsia"/>
              </w:rPr>
              <w:t>符合</w:t>
            </w:r>
          </w:p>
        </w:tc>
      </w:tr>
      <w:tr w14:paraId="14530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4F14F86C">
            <w:pPr>
              <w:pStyle w:val="133"/>
            </w:pPr>
          </w:p>
        </w:tc>
        <w:tc>
          <w:tcPr>
            <w:tcW w:w="536" w:type="pct"/>
            <w:vMerge w:val="continue"/>
            <w:vAlign w:val="center"/>
          </w:tcPr>
          <w:p w14:paraId="728B3454">
            <w:pPr>
              <w:pStyle w:val="133"/>
            </w:pPr>
          </w:p>
        </w:tc>
        <w:tc>
          <w:tcPr>
            <w:tcW w:w="386" w:type="pct"/>
            <w:vMerge w:val="continue"/>
            <w:vAlign w:val="center"/>
          </w:tcPr>
          <w:p w14:paraId="61636656">
            <w:pPr>
              <w:pStyle w:val="133"/>
              <w:rPr>
                <w:szCs w:val="21"/>
              </w:rPr>
            </w:pPr>
          </w:p>
        </w:tc>
        <w:tc>
          <w:tcPr>
            <w:tcW w:w="2395" w:type="pct"/>
            <w:gridSpan w:val="2"/>
            <w:vAlign w:val="center"/>
          </w:tcPr>
          <w:p w14:paraId="3D59D9C5">
            <w:pPr>
              <w:pStyle w:val="133"/>
            </w:pPr>
            <w:r>
              <w:rPr>
                <w:szCs w:val="21"/>
              </w:rPr>
              <w:t>煤炭、焦炭、针状焦、沥青、石墨等块状或粘湿物料</w:t>
            </w:r>
            <w:r>
              <w:rPr>
                <w:rFonts w:hint="eastAsia"/>
                <w:szCs w:val="21"/>
              </w:rPr>
              <w:t>。</w:t>
            </w:r>
            <w:r>
              <w:rPr>
                <w:szCs w:val="21"/>
              </w:rPr>
              <w:t>采用管状带式输送机、皮带通廊等方式输送；确需汽车运输的，使用封闭车厢或苫盖严密，装卸车时采取除尘或抑尘措施。</w:t>
            </w:r>
          </w:p>
        </w:tc>
        <w:tc>
          <w:tcPr>
            <w:tcW w:w="1271" w:type="pct"/>
            <w:vAlign w:val="center"/>
          </w:tcPr>
          <w:p w14:paraId="3B041CF4">
            <w:pPr>
              <w:pStyle w:val="133"/>
            </w:pPr>
            <w:r>
              <w:rPr>
                <w:rFonts w:hint="eastAsia"/>
                <w:szCs w:val="21"/>
              </w:rPr>
              <w:t>厂内采用皮带通廊输送物料；场外运输采用封闭车厢或苫盖严密，装卸车时采取除尘或抑尘措施。</w:t>
            </w:r>
          </w:p>
        </w:tc>
        <w:tc>
          <w:tcPr>
            <w:tcW w:w="241" w:type="pct"/>
            <w:vAlign w:val="center"/>
          </w:tcPr>
          <w:p w14:paraId="27D793EF">
            <w:pPr>
              <w:pStyle w:val="133"/>
            </w:pPr>
            <w:r>
              <w:rPr>
                <w:rFonts w:hint="eastAsia"/>
              </w:rPr>
              <w:t>符合</w:t>
            </w:r>
          </w:p>
        </w:tc>
      </w:tr>
      <w:tr w14:paraId="5D078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4F9D722A">
            <w:pPr>
              <w:pStyle w:val="133"/>
            </w:pPr>
          </w:p>
        </w:tc>
        <w:tc>
          <w:tcPr>
            <w:tcW w:w="536" w:type="pct"/>
            <w:vMerge w:val="continue"/>
            <w:vAlign w:val="center"/>
          </w:tcPr>
          <w:p w14:paraId="66319D1B">
            <w:pPr>
              <w:pStyle w:val="133"/>
            </w:pPr>
          </w:p>
        </w:tc>
        <w:tc>
          <w:tcPr>
            <w:tcW w:w="386" w:type="pct"/>
            <w:vMerge w:val="continue"/>
            <w:vAlign w:val="center"/>
          </w:tcPr>
          <w:p w14:paraId="18650B93">
            <w:pPr>
              <w:pStyle w:val="133"/>
              <w:rPr>
                <w:szCs w:val="21"/>
              </w:rPr>
            </w:pPr>
          </w:p>
        </w:tc>
        <w:tc>
          <w:tcPr>
            <w:tcW w:w="2395" w:type="pct"/>
            <w:gridSpan w:val="2"/>
            <w:vAlign w:val="center"/>
          </w:tcPr>
          <w:p w14:paraId="7779B60E">
            <w:pPr>
              <w:pStyle w:val="133"/>
            </w:pPr>
            <w:r>
              <w:rPr>
                <w:szCs w:val="21"/>
              </w:rPr>
              <w:t>有机液体、有机固废及其他VOCs物料</w:t>
            </w:r>
            <w:r>
              <w:rPr>
                <w:rFonts w:hint="eastAsia"/>
                <w:szCs w:val="21"/>
              </w:rPr>
              <w:t>。</w:t>
            </w:r>
            <w:r>
              <w:rPr>
                <w:szCs w:val="21"/>
              </w:rPr>
              <w:t>焦油、粗苯、甲醇、酚油、蒽油、炭黑油、轻油、洗油等有机液体，焦油渣、酸焦油、粗苯残渣、洗油残渣、沥青渣等有机固废，及其他VOCs物料，转移和输送采取密闭措施。粗苯、甲醇、酚油、轻油等挥发性有机液体装载时，采用底部装载或顶部浸没式；若采用顶部浸没式，出料管口距离槽（罐）底部高度小于200mm；废气接入压力平衡系统或燃烧处理。</w:t>
            </w:r>
          </w:p>
        </w:tc>
        <w:tc>
          <w:tcPr>
            <w:tcW w:w="1271" w:type="pct"/>
            <w:vAlign w:val="center"/>
          </w:tcPr>
          <w:p w14:paraId="134A2502">
            <w:pPr>
              <w:pStyle w:val="133"/>
            </w:pPr>
            <w:r>
              <w:rPr>
                <w:rFonts w:hint="eastAsia"/>
                <w:szCs w:val="21"/>
              </w:rPr>
              <w:t>VOC</w:t>
            </w:r>
            <w:r>
              <w:rPr>
                <w:rFonts w:hint="eastAsia"/>
                <w:szCs w:val="21"/>
                <w:vertAlign w:val="subscript"/>
              </w:rPr>
              <w:t>S</w:t>
            </w:r>
            <w:r>
              <w:rPr>
                <w:rFonts w:hint="eastAsia"/>
                <w:szCs w:val="21"/>
              </w:rPr>
              <w:t>转移和输送采取密闭措施，装载时，采用底部装载；废气接油气回收装置，送VOCs废气处理设施处理。</w:t>
            </w:r>
          </w:p>
        </w:tc>
        <w:tc>
          <w:tcPr>
            <w:tcW w:w="241" w:type="pct"/>
            <w:vAlign w:val="center"/>
          </w:tcPr>
          <w:p w14:paraId="1E7A8330">
            <w:pPr>
              <w:pStyle w:val="133"/>
            </w:pPr>
            <w:r>
              <w:rPr>
                <w:rFonts w:hint="eastAsia"/>
              </w:rPr>
              <w:t>符合</w:t>
            </w:r>
          </w:p>
        </w:tc>
      </w:tr>
      <w:tr w14:paraId="6A0795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055A1877">
            <w:pPr>
              <w:pStyle w:val="133"/>
            </w:pPr>
          </w:p>
        </w:tc>
        <w:tc>
          <w:tcPr>
            <w:tcW w:w="536" w:type="pct"/>
            <w:vMerge w:val="continue"/>
            <w:vAlign w:val="center"/>
          </w:tcPr>
          <w:p w14:paraId="6C694247">
            <w:pPr>
              <w:pStyle w:val="133"/>
            </w:pPr>
          </w:p>
        </w:tc>
        <w:tc>
          <w:tcPr>
            <w:tcW w:w="386" w:type="pct"/>
            <w:vMerge w:val="continue"/>
            <w:vAlign w:val="center"/>
          </w:tcPr>
          <w:p w14:paraId="1D208EB6">
            <w:pPr>
              <w:pStyle w:val="133"/>
              <w:rPr>
                <w:szCs w:val="21"/>
              </w:rPr>
            </w:pPr>
          </w:p>
        </w:tc>
        <w:tc>
          <w:tcPr>
            <w:tcW w:w="2395" w:type="pct"/>
            <w:gridSpan w:val="2"/>
            <w:vAlign w:val="center"/>
          </w:tcPr>
          <w:p w14:paraId="050FABC5">
            <w:pPr>
              <w:pStyle w:val="133"/>
            </w:pPr>
            <w:r>
              <w:rPr>
                <w:szCs w:val="21"/>
              </w:rPr>
              <w:t>液氨及氨水</w:t>
            </w:r>
            <w:r>
              <w:rPr>
                <w:rFonts w:hint="eastAsia"/>
                <w:szCs w:val="21"/>
              </w:rPr>
              <w:t>：</w:t>
            </w:r>
            <w:r>
              <w:rPr>
                <w:szCs w:val="21"/>
              </w:rPr>
              <w:t>卸载、输送、制备、储存密闭，并采取氨气泄漏检测措施</w:t>
            </w:r>
            <w:r>
              <w:rPr>
                <w:rFonts w:hint="eastAsia"/>
                <w:szCs w:val="21"/>
              </w:rPr>
              <w:t>。</w:t>
            </w:r>
          </w:p>
        </w:tc>
        <w:tc>
          <w:tcPr>
            <w:tcW w:w="1271" w:type="pct"/>
            <w:vAlign w:val="center"/>
          </w:tcPr>
          <w:p w14:paraId="453D5B44">
            <w:pPr>
              <w:pStyle w:val="133"/>
            </w:pPr>
            <w:r>
              <w:rPr>
                <w:rFonts w:hint="eastAsia"/>
                <w:szCs w:val="21"/>
              </w:rPr>
              <w:t>卸载、输送、制备、储存密闭，并采取氨气泄漏检测措施。</w:t>
            </w:r>
          </w:p>
        </w:tc>
        <w:tc>
          <w:tcPr>
            <w:tcW w:w="241" w:type="pct"/>
            <w:vAlign w:val="center"/>
          </w:tcPr>
          <w:p w14:paraId="5DE30A1B">
            <w:pPr>
              <w:pStyle w:val="133"/>
            </w:pPr>
            <w:r>
              <w:rPr>
                <w:rFonts w:hint="eastAsia"/>
              </w:rPr>
              <w:t>符合</w:t>
            </w:r>
          </w:p>
        </w:tc>
      </w:tr>
      <w:tr w14:paraId="7173E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400B0489">
            <w:pPr>
              <w:pStyle w:val="133"/>
            </w:pPr>
          </w:p>
        </w:tc>
        <w:tc>
          <w:tcPr>
            <w:tcW w:w="536" w:type="pct"/>
            <w:vMerge w:val="continue"/>
            <w:vAlign w:val="center"/>
          </w:tcPr>
          <w:p w14:paraId="01B9C98D">
            <w:pPr>
              <w:pStyle w:val="133"/>
            </w:pPr>
          </w:p>
        </w:tc>
        <w:tc>
          <w:tcPr>
            <w:tcW w:w="386" w:type="pct"/>
            <w:vMerge w:val="continue"/>
            <w:vAlign w:val="center"/>
          </w:tcPr>
          <w:p w14:paraId="4F75C82A">
            <w:pPr>
              <w:pStyle w:val="133"/>
              <w:rPr>
                <w:szCs w:val="21"/>
              </w:rPr>
            </w:pPr>
          </w:p>
        </w:tc>
        <w:tc>
          <w:tcPr>
            <w:tcW w:w="2395" w:type="pct"/>
            <w:gridSpan w:val="2"/>
            <w:vAlign w:val="center"/>
          </w:tcPr>
          <w:p w14:paraId="748CD7F6">
            <w:pPr>
              <w:pStyle w:val="133"/>
            </w:pPr>
            <w:r>
              <w:rPr>
                <w:szCs w:val="21"/>
              </w:rPr>
              <w:t>破碎、筛分、转运</w:t>
            </w:r>
            <w:r>
              <w:rPr>
                <w:rFonts w:hint="eastAsia"/>
                <w:szCs w:val="21"/>
              </w:rPr>
              <w:t>。</w:t>
            </w:r>
            <w:r>
              <w:rPr>
                <w:szCs w:val="21"/>
              </w:rPr>
              <w:t>设置收尘罩，配备除尘设施或高效抑尘措施。</w:t>
            </w:r>
          </w:p>
        </w:tc>
        <w:tc>
          <w:tcPr>
            <w:tcW w:w="1271" w:type="pct"/>
            <w:vAlign w:val="center"/>
          </w:tcPr>
          <w:p w14:paraId="5A45EE01">
            <w:pPr>
              <w:pStyle w:val="133"/>
            </w:pPr>
            <w:r>
              <w:rPr>
                <w:rFonts w:hint="eastAsia"/>
                <w:szCs w:val="21"/>
              </w:rPr>
              <w:t>卸煤坑及破碎间配套高效布袋除尘器，原煤筛分楼采用高效布袋除尘器+抑尘装置。转运采用皮带通廊+水雾抑尘装置。</w:t>
            </w:r>
          </w:p>
        </w:tc>
        <w:tc>
          <w:tcPr>
            <w:tcW w:w="241" w:type="pct"/>
            <w:vAlign w:val="center"/>
          </w:tcPr>
          <w:p w14:paraId="47C87D18">
            <w:pPr>
              <w:pStyle w:val="133"/>
            </w:pPr>
            <w:r>
              <w:rPr>
                <w:rFonts w:hint="eastAsia"/>
              </w:rPr>
              <w:t>符合</w:t>
            </w:r>
          </w:p>
        </w:tc>
      </w:tr>
      <w:tr w14:paraId="24B5D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0797CDA6">
            <w:pPr>
              <w:pStyle w:val="133"/>
            </w:pPr>
          </w:p>
        </w:tc>
        <w:tc>
          <w:tcPr>
            <w:tcW w:w="536" w:type="pct"/>
            <w:vMerge w:val="continue"/>
            <w:vAlign w:val="center"/>
          </w:tcPr>
          <w:p w14:paraId="65B8FD58">
            <w:pPr>
              <w:pStyle w:val="133"/>
            </w:pPr>
          </w:p>
        </w:tc>
        <w:tc>
          <w:tcPr>
            <w:tcW w:w="386" w:type="pct"/>
            <w:vMerge w:val="continue"/>
            <w:vAlign w:val="center"/>
          </w:tcPr>
          <w:p w14:paraId="04DC00F9">
            <w:pPr>
              <w:pStyle w:val="133"/>
              <w:rPr>
                <w:szCs w:val="21"/>
              </w:rPr>
            </w:pPr>
          </w:p>
        </w:tc>
        <w:tc>
          <w:tcPr>
            <w:tcW w:w="2395" w:type="pct"/>
            <w:gridSpan w:val="2"/>
            <w:vAlign w:val="center"/>
          </w:tcPr>
          <w:p w14:paraId="071E086F">
            <w:pPr>
              <w:pStyle w:val="133"/>
            </w:pPr>
            <w:r>
              <w:rPr>
                <w:rFonts w:hint="eastAsia"/>
                <w:szCs w:val="21"/>
              </w:rPr>
              <w:t>熄焦（</w:t>
            </w:r>
            <w:r>
              <w:rPr>
                <w:szCs w:val="21"/>
              </w:rPr>
              <w:t>半焦（兰炭）炭化炉</w:t>
            </w:r>
            <w:r>
              <w:rPr>
                <w:rFonts w:hint="eastAsia"/>
                <w:szCs w:val="21"/>
              </w:rPr>
              <w:t>）</w:t>
            </w:r>
            <w:r>
              <w:rPr>
                <w:szCs w:val="21"/>
              </w:rPr>
              <w:t>采用蒸汽、干法等节水节能型熄焦方式，鼓励余热回收。</w:t>
            </w:r>
          </w:p>
        </w:tc>
        <w:tc>
          <w:tcPr>
            <w:tcW w:w="1271" w:type="pct"/>
            <w:vAlign w:val="center"/>
          </w:tcPr>
          <w:p w14:paraId="263631BD">
            <w:pPr>
              <w:pStyle w:val="133"/>
            </w:pPr>
            <w:r>
              <w:rPr>
                <w:rFonts w:hint="eastAsia"/>
                <w:szCs w:val="21"/>
              </w:rPr>
              <w:t>本项目采用</w:t>
            </w:r>
            <w:r>
              <w:rPr>
                <w:rFonts w:hint="eastAsia"/>
                <w:bCs/>
                <w:szCs w:val="21"/>
              </w:rPr>
              <w:t>水冷壁蒸汽熄焦</w:t>
            </w:r>
            <w:r>
              <w:rPr>
                <w:rFonts w:hint="eastAsia"/>
                <w:szCs w:val="21"/>
              </w:rPr>
              <w:t>方式。</w:t>
            </w:r>
          </w:p>
        </w:tc>
        <w:tc>
          <w:tcPr>
            <w:tcW w:w="241" w:type="pct"/>
            <w:vAlign w:val="center"/>
          </w:tcPr>
          <w:p w14:paraId="081EE7F8">
            <w:pPr>
              <w:pStyle w:val="133"/>
            </w:pPr>
            <w:r>
              <w:rPr>
                <w:rFonts w:hint="eastAsia"/>
              </w:rPr>
              <w:t>符合</w:t>
            </w:r>
          </w:p>
        </w:tc>
      </w:tr>
      <w:tr w14:paraId="31E14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6E7D27F5">
            <w:pPr>
              <w:pStyle w:val="133"/>
            </w:pPr>
          </w:p>
        </w:tc>
        <w:tc>
          <w:tcPr>
            <w:tcW w:w="536" w:type="pct"/>
            <w:vMerge w:val="continue"/>
            <w:vAlign w:val="center"/>
          </w:tcPr>
          <w:p w14:paraId="5272CBA7">
            <w:pPr>
              <w:pStyle w:val="133"/>
            </w:pPr>
          </w:p>
        </w:tc>
        <w:tc>
          <w:tcPr>
            <w:tcW w:w="386" w:type="pct"/>
            <w:vMerge w:val="continue"/>
            <w:vAlign w:val="center"/>
          </w:tcPr>
          <w:p w14:paraId="18FBA401">
            <w:pPr>
              <w:pStyle w:val="133"/>
              <w:rPr>
                <w:szCs w:val="21"/>
              </w:rPr>
            </w:pPr>
          </w:p>
        </w:tc>
        <w:tc>
          <w:tcPr>
            <w:tcW w:w="2395" w:type="pct"/>
            <w:gridSpan w:val="2"/>
            <w:vAlign w:val="center"/>
          </w:tcPr>
          <w:p w14:paraId="08CF8824">
            <w:pPr>
              <w:pStyle w:val="133"/>
            </w:pPr>
            <w:r>
              <w:rPr>
                <w:szCs w:val="21"/>
              </w:rPr>
              <w:t>脱硫再生、硫铵结晶、硫磺（膏）生产、脱硫废液提盐、化学产品深加工等设施/车间</w:t>
            </w:r>
            <w:r>
              <w:rPr>
                <w:rFonts w:hint="eastAsia"/>
                <w:szCs w:val="21"/>
              </w:rPr>
              <w:t>。</w:t>
            </w:r>
            <w:r>
              <w:rPr>
                <w:szCs w:val="21"/>
              </w:rPr>
              <w:t>废气采用高效（组合）工艺处理，鼓励作为助燃风引入燃烧装置。鼓励焦油渣通过离心干化等方式减量处理后直接进入配煤等其他环节。</w:t>
            </w:r>
          </w:p>
        </w:tc>
        <w:tc>
          <w:tcPr>
            <w:tcW w:w="1271" w:type="pct"/>
            <w:vAlign w:val="center"/>
          </w:tcPr>
          <w:p w14:paraId="1CA69563">
            <w:pPr>
              <w:pStyle w:val="133"/>
              <w:rPr>
                <w:szCs w:val="21"/>
              </w:rPr>
            </w:pPr>
            <w:r>
              <w:rPr>
                <w:rFonts w:hint="eastAsia"/>
                <w:szCs w:val="21"/>
              </w:rPr>
              <w:t>出焦废气通过</w:t>
            </w:r>
            <w:r>
              <w:rPr>
                <w:szCs w:val="21"/>
              </w:rPr>
              <w:t>升温换热器加热后送到炭化炉做助燃空气</w:t>
            </w:r>
            <w:r>
              <w:rPr>
                <w:rFonts w:hint="eastAsia"/>
                <w:szCs w:val="21"/>
              </w:rPr>
              <w:t>。焦油渣定期交有资质单位处置。</w:t>
            </w:r>
          </w:p>
        </w:tc>
        <w:tc>
          <w:tcPr>
            <w:tcW w:w="241" w:type="pct"/>
            <w:vAlign w:val="center"/>
          </w:tcPr>
          <w:p w14:paraId="3DBDB54E">
            <w:pPr>
              <w:pStyle w:val="133"/>
            </w:pPr>
            <w:r>
              <w:rPr>
                <w:rFonts w:hint="eastAsia"/>
              </w:rPr>
              <w:t>符合</w:t>
            </w:r>
          </w:p>
        </w:tc>
      </w:tr>
      <w:tr w14:paraId="07097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2BC5C6BF">
            <w:pPr>
              <w:pStyle w:val="133"/>
            </w:pPr>
          </w:p>
        </w:tc>
        <w:tc>
          <w:tcPr>
            <w:tcW w:w="536" w:type="pct"/>
            <w:vMerge w:val="continue"/>
            <w:vAlign w:val="center"/>
          </w:tcPr>
          <w:p w14:paraId="5D664535">
            <w:pPr>
              <w:pStyle w:val="133"/>
            </w:pPr>
          </w:p>
        </w:tc>
        <w:tc>
          <w:tcPr>
            <w:tcW w:w="386" w:type="pct"/>
            <w:vMerge w:val="continue"/>
            <w:vAlign w:val="center"/>
          </w:tcPr>
          <w:p w14:paraId="3779E875">
            <w:pPr>
              <w:pStyle w:val="133"/>
              <w:rPr>
                <w:szCs w:val="21"/>
              </w:rPr>
            </w:pPr>
          </w:p>
        </w:tc>
        <w:tc>
          <w:tcPr>
            <w:tcW w:w="2395" w:type="pct"/>
            <w:gridSpan w:val="2"/>
            <w:vAlign w:val="center"/>
          </w:tcPr>
          <w:p w14:paraId="5AD7A10D">
            <w:pPr>
              <w:pStyle w:val="133"/>
            </w:pPr>
            <w:r>
              <w:rPr>
                <w:szCs w:val="21"/>
              </w:rPr>
              <w:t>煤气净化、化学产品深加工等区域</w:t>
            </w:r>
            <w:r>
              <w:rPr>
                <w:rFonts w:hint="eastAsia"/>
                <w:szCs w:val="21"/>
              </w:rPr>
              <w:t>。</w:t>
            </w:r>
            <w:r>
              <w:rPr>
                <w:szCs w:val="21"/>
              </w:rPr>
              <w:t>安装煤气点火放散装置，放散煤气及时点燃并充分燃烧。</w:t>
            </w:r>
          </w:p>
        </w:tc>
        <w:tc>
          <w:tcPr>
            <w:tcW w:w="1271" w:type="pct"/>
            <w:vAlign w:val="center"/>
          </w:tcPr>
          <w:p w14:paraId="1D4A53AE">
            <w:pPr>
              <w:pStyle w:val="133"/>
            </w:pPr>
            <w:r>
              <w:rPr>
                <w:rFonts w:hint="eastAsia"/>
                <w:szCs w:val="21"/>
              </w:rPr>
              <w:t>设</w:t>
            </w:r>
            <w:r>
              <w:rPr>
                <w:szCs w:val="21"/>
              </w:rPr>
              <w:t>煤气点火放散装置</w:t>
            </w:r>
            <w:r>
              <w:rPr>
                <w:rFonts w:hint="eastAsia"/>
                <w:szCs w:val="21"/>
              </w:rPr>
              <w:t>。</w:t>
            </w:r>
          </w:p>
        </w:tc>
        <w:tc>
          <w:tcPr>
            <w:tcW w:w="241" w:type="pct"/>
            <w:vAlign w:val="center"/>
          </w:tcPr>
          <w:p w14:paraId="4778F986">
            <w:pPr>
              <w:pStyle w:val="133"/>
            </w:pPr>
            <w:r>
              <w:rPr>
                <w:rFonts w:hint="eastAsia"/>
              </w:rPr>
              <w:t>符合</w:t>
            </w:r>
          </w:p>
        </w:tc>
      </w:tr>
      <w:tr w14:paraId="652A9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110776CA">
            <w:pPr>
              <w:pStyle w:val="133"/>
            </w:pPr>
          </w:p>
        </w:tc>
        <w:tc>
          <w:tcPr>
            <w:tcW w:w="536" w:type="pct"/>
            <w:vMerge w:val="continue"/>
            <w:vAlign w:val="center"/>
          </w:tcPr>
          <w:p w14:paraId="6664E013">
            <w:pPr>
              <w:pStyle w:val="133"/>
            </w:pPr>
          </w:p>
        </w:tc>
        <w:tc>
          <w:tcPr>
            <w:tcW w:w="386" w:type="pct"/>
            <w:vMerge w:val="continue"/>
            <w:vAlign w:val="center"/>
          </w:tcPr>
          <w:p w14:paraId="46F517B0">
            <w:pPr>
              <w:pStyle w:val="133"/>
              <w:rPr>
                <w:szCs w:val="21"/>
              </w:rPr>
            </w:pPr>
          </w:p>
        </w:tc>
        <w:tc>
          <w:tcPr>
            <w:tcW w:w="2395" w:type="pct"/>
            <w:gridSpan w:val="2"/>
            <w:vAlign w:val="center"/>
          </w:tcPr>
          <w:p w14:paraId="439A8C29">
            <w:pPr>
              <w:pStyle w:val="133"/>
            </w:pPr>
            <w:r>
              <w:rPr>
                <w:szCs w:val="21"/>
              </w:rPr>
              <w:t>生产废水集输系统</w:t>
            </w:r>
            <w:r>
              <w:rPr>
                <w:rFonts w:hint="eastAsia"/>
                <w:szCs w:val="21"/>
              </w:rPr>
              <w:t>：</w:t>
            </w:r>
            <w:r>
              <w:rPr>
                <w:szCs w:val="21"/>
              </w:rPr>
              <w:t>采用密闭管道输送或加盖沟渠输送，接入口和排出口采取与环境空气隔离的措施。</w:t>
            </w:r>
          </w:p>
        </w:tc>
        <w:tc>
          <w:tcPr>
            <w:tcW w:w="1271" w:type="pct"/>
            <w:vAlign w:val="center"/>
          </w:tcPr>
          <w:p w14:paraId="1AFFD6D7">
            <w:pPr>
              <w:pStyle w:val="133"/>
            </w:pPr>
            <w:r>
              <w:rPr>
                <w:rFonts w:hint="eastAsia"/>
                <w:szCs w:val="21"/>
              </w:rPr>
              <w:t>生产废水</w:t>
            </w:r>
            <w:r>
              <w:rPr>
                <w:szCs w:val="21"/>
              </w:rPr>
              <w:t>采用密闭管道输送或加盖沟渠输送</w:t>
            </w:r>
            <w:r>
              <w:rPr>
                <w:rFonts w:hint="eastAsia"/>
                <w:szCs w:val="21"/>
              </w:rPr>
              <w:t>。</w:t>
            </w:r>
          </w:p>
        </w:tc>
        <w:tc>
          <w:tcPr>
            <w:tcW w:w="241" w:type="pct"/>
            <w:vAlign w:val="center"/>
          </w:tcPr>
          <w:p w14:paraId="63E1B6B1">
            <w:pPr>
              <w:pStyle w:val="133"/>
            </w:pPr>
            <w:r>
              <w:rPr>
                <w:rFonts w:hint="eastAsia"/>
              </w:rPr>
              <w:t>符合</w:t>
            </w:r>
          </w:p>
        </w:tc>
      </w:tr>
      <w:tr w14:paraId="3BA0A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2D8316BB">
            <w:pPr>
              <w:pStyle w:val="133"/>
            </w:pPr>
          </w:p>
        </w:tc>
        <w:tc>
          <w:tcPr>
            <w:tcW w:w="536" w:type="pct"/>
            <w:vMerge w:val="continue"/>
            <w:vAlign w:val="center"/>
          </w:tcPr>
          <w:p w14:paraId="190BC6FF">
            <w:pPr>
              <w:pStyle w:val="133"/>
            </w:pPr>
          </w:p>
        </w:tc>
        <w:tc>
          <w:tcPr>
            <w:tcW w:w="386" w:type="pct"/>
            <w:vMerge w:val="continue"/>
            <w:vAlign w:val="center"/>
          </w:tcPr>
          <w:p w14:paraId="73DDEDEA">
            <w:pPr>
              <w:pStyle w:val="133"/>
              <w:rPr>
                <w:szCs w:val="21"/>
              </w:rPr>
            </w:pPr>
          </w:p>
        </w:tc>
        <w:tc>
          <w:tcPr>
            <w:tcW w:w="2395" w:type="pct"/>
            <w:gridSpan w:val="2"/>
            <w:vAlign w:val="center"/>
          </w:tcPr>
          <w:p w14:paraId="23FD1C93">
            <w:pPr>
              <w:pStyle w:val="133"/>
            </w:pPr>
            <w:r>
              <w:rPr>
                <w:szCs w:val="21"/>
              </w:rPr>
              <w:t>生产废水处理设施</w:t>
            </w:r>
            <w:r>
              <w:rPr>
                <w:rFonts w:hint="eastAsia"/>
                <w:szCs w:val="21"/>
              </w:rPr>
              <w:t>：</w:t>
            </w:r>
            <w:r>
              <w:rPr>
                <w:szCs w:val="21"/>
              </w:rPr>
              <w:t>储存、调节、气浮、隔油等预处理设施以及厌氧池、预曝气池加盖并配备废气收集处理设施，采用高效（组合）工艺处理，鼓励引入燃烧装置。</w:t>
            </w:r>
          </w:p>
        </w:tc>
        <w:tc>
          <w:tcPr>
            <w:tcW w:w="1271" w:type="pct"/>
            <w:vAlign w:val="center"/>
          </w:tcPr>
          <w:p w14:paraId="403E02E7">
            <w:pPr>
              <w:pStyle w:val="133"/>
            </w:pPr>
            <w:r>
              <w:rPr>
                <w:szCs w:val="21"/>
              </w:rPr>
              <w:t>兰炭装置</w:t>
            </w:r>
            <w:r>
              <w:rPr>
                <w:rFonts w:hint="eastAsia"/>
                <w:szCs w:val="21"/>
              </w:rPr>
              <w:t>产生的</w:t>
            </w:r>
            <w:r>
              <w:rPr>
                <w:szCs w:val="21"/>
              </w:rPr>
              <w:t>多余的氨水</w:t>
            </w:r>
            <w:r>
              <w:rPr>
                <w:rFonts w:hint="eastAsia"/>
                <w:szCs w:val="21"/>
              </w:rPr>
              <w:t>送污水焚烧单元焚烧处理</w:t>
            </w:r>
            <w:r>
              <w:rPr>
                <w:szCs w:val="21"/>
              </w:rPr>
              <w:t>。</w:t>
            </w:r>
          </w:p>
        </w:tc>
        <w:tc>
          <w:tcPr>
            <w:tcW w:w="241" w:type="pct"/>
            <w:vAlign w:val="center"/>
          </w:tcPr>
          <w:p w14:paraId="2602270B">
            <w:pPr>
              <w:pStyle w:val="133"/>
            </w:pPr>
            <w:r>
              <w:rPr>
                <w:rFonts w:hint="eastAsia"/>
              </w:rPr>
              <w:t>符合</w:t>
            </w:r>
          </w:p>
        </w:tc>
      </w:tr>
      <w:tr w14:paraId="5DF56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1CB2B1D5">
            <w:pPr>
              <w:pStyle w:val="133"/>
            </w:pPr>
          </w:p>
        </w:tc>
        <w:tc>
          <w:tcPr>
            <w:tcW w:w="536" w:type="pct"/>
            <w:vMerge w:val="continue"/>
            <w:vAlign w:val="center"/>
          </w:tcPr>
          <w:p w14:paraId="0E5CF766">
            <w:pPr>
              <w:pStyle w:val="133"/>
            </w:pPr>
          </w:p>
        </w:tc>
        <w:tc>
          <w:tcPr>
            <w:tcW w:w="386" w:type="pct"/>
            <w:vMerge w:val="continue"/>
            <w:vAlign w:val="center"/>
          </w:tcPr>
          <w:p w14:paraId="1F8BAE51">
            <w:pPr>
              <w:pStyle w:val="133"/>
              <w:rPr>
                <w:szCs w:val="21"/>
              </w:rPr>
            </w:pPr>
          </w:p>
        </w:tc>
        <w:tc>
          <w:tcPr>
            <w:tcW w:w="2395" w:type="pct"/>
            <w:gridSpan w:val="2"/>
            <w:vAlign w:val="center"/>
          </w:tcPr>
          <w:p w14:paraId="4CAB1DFC">
            <w:pPr>
              <w:pStyle w:val="133"/>
            </w:pPr>
            <w:r>
              <w:rPr>
                <w:szCs w:val="21"/>
              </w:rPr>
              <w:t>循环冷却水系统</w:t>
            </w:r>
            <w:r>
              <w:rPr>
                <w:rFonts w:hint="eastAsia"/>
                <w:szCs w:val="21"/>
              </w:rPr>
              <w:t>。</w:t>
            </w:r>
            <w:r>
              <w:rPr>
                <w:szCs w:val="21"/>
              </w:rPr>
              <w:t>煤气净化和化学产品回收过程的开式循环冷却水系统，VOCs无组织排放控制要求符合《挥发性有机物无组织排放控制标准》（GB37822-2019）的规定。</w:t>
            </w:r>
          </w:p>
        </w:tc>
        <w:tc>
          <w:tcPr>
            <w:tcW w:w="1271" w:type="pct"/>
            <w:vAlign w:val="center"/>
          </w:tcPr>
          <w:p w14:paraId="5BAA2E1A">
            <w:pPr>
              <w:pStyle w:val="133"/>
            </w:pPr>
            <w:r>
              <w:rPr>
                <w:rFonts w:hint="eastAsia"/>
                <w:szCs w:val="21"/>
              </w:rPr>
              <w:t>煤气净化采取闭式循环冷却水系统，</w:t>
            </w:r>
            <w:r>
              <w:rPr>
                <w:szCs w:val="21"/>
              </w:rPr>
              <w:t>VOCs</w:t>
            </w:r>
            <w:r>
              <w:rPr>
                <w:rFonts w:hint="eastAsia"/>
                <w:szCs w:val="21"/>
              </w:rPr>
              <w:t>无组织排放控制要求符合《挥发性有机物无组织排放控制标准》（</w:t>
            </w:r>
            <w:r>
              <w:rPr>
                <w:szCs w:val="21"/>
              </w:rPr>
              <w:t>GB 37822-2019</w:t>
            </w:r>
            <w:r>
              <w:rPr>
                <w:rFonts w:hint="eastAsia"/>
                <w:szCs w:val="21"/>
              </w:rPr>
              <w:t>）的规定。</w:t>
            </w:r>
          </w:p>
        </w:tc>
        <w:tc>
          <w:tcPr>
            <w:tcW w:w="241" w:type="pct"/>
            <w:vAlign w:val="center"/>
          </w:tcPr>
          <w:p w14:paraId="2AB78851">
            <w:pPr>
              <w:pStyle w:val="133"/>
            </w:pPr>
            <w:r>
              <w:rPr>
                <w:rFonts w:hint="eastAsia"/>
              </w:rPr>
              <w:t>符合</w:t>
            </w:r>
          </w:p>
        </w:tc>
      </w:tr>
      <w:tr w14:paraId="5FEE1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29CA986C">
            <w:pPr>
              <w:pStyle w:val="133"/>
            </w:pPr>
          </w:p>
        </w:tc>
        <w:tc>
          <w:tcPr>
            <w:tcW w:w="536" w:type="pct"/>
            <w:vMerge w:val="continue"/>
            <w:vAlign w:val="center"/>
          </w:tcPr>
          <w:p w14:paraId="5C462187">
            <w:pPr>
              <w:pStyle w:val="133"/>
            </w:pPr>
          </w:p>
        </w:tc>
        <w:tc>
          <w:tcPr>
            <w:tcW w:w="386" w:type="pct"/>
            <w:vMerge w:val="continue"/>
            <w:vAlign w:val="center"/>
          </w:tcPr>
          <w:p w14:paraId="09811E06">
            <w:pPr>
              <w:pStyle w:val="133"/>
              <w:rPr>
                <w:szCs w:val="21"/>
              </w:rPr>
            </w:pPr>
          </w:p>
        </w:tc>
        <w:tc>
          <w:tcPr>
            <w:tcW w:w="2395" w:type="pct"/>
            <w:gridSpan w:val="2"/>
            <w:vAlign w:val="center"/>
          </w:tcPr>
          <w:p w14:paraId="396987D3">
            <w:pPr>
              <w:pStyle w:val="133"/>
            </w:pPr>
            <w:r>
              <w:rPr>
                <w:szCs w:val="21"/>
              </w:rPr>
              <w:t>按照《挥发性有机物无组织排放控制标准》（GB37822-2019）规定开展泄漏检测与修复（LDAR）工作。</w:t>
            </w:r>
          </w:p>
        </w:tc>
        <w:tc>
          <w:tcPr>
            <w:tcW w:w="1271" w:type="pct"/>
            <w:vAlign w:val="center"/>
          </w:tcPr>
          <w:p w14:paraId="208C739C">
            <w:pPr>
              <w:pStyle w:val="133"/>
            </w:pPr>
            <w:r>
              <w:rPr>
                <w:rFonts w:hint="eastAsia"/>
                <w:szCs w:val="21"/>
              </w:rPr>
              <w:t>按照《挥发性有机物无组织排放控制标准》（</w:t>
            </w:r>
            <w:r>
              <w:rPr>
                <w:szCs w:val="21"/>
              </w:rPr>
              <w:t>GB 37822-2019</w:t>
            </w:r>
            <w:r>
              <w:rPr>
                <w:rFonts w:hint="eastAsia"/>
                <w:szCs w:val="21"/>
              </w:rPr>
              <w:t>）规定开展泄漏检测与修复（</w:t>
            </w:r>
            <w:r>
              <w:rPr>
                <w:szCs w:val="21"/>
              </w:rPr>
              <w:t>LDAR</w:t>
            </w:r>
            <w:r>
              <w:rPr>
                <w:rFonts w:hint="eastAsia"/>
                <w:szCs w:val="21"/>
              </w:rPr>
              <w:t>）工作。</w:t>
            </w:r>
          </w:p>
        </w:tc>
        <w:tc>
          <w:tcPr>
            <w:tcW w:w="241" w:type="pct"/>
            <w:vAlign w:val="center"/>
          </w:tcPr>
          <w:p w14:paraId="473BE5DD">
            <w:pPr>
              <w:pStyle w:val="133"/>
            </w:pPr>
            <w:r>
              <w:rPr>
                <w:rFonts w:hint="eastAsia"/>
              </w:rPr>
              <w:t>符合</w:t>
            </w:r>
          </w:p>
        </w:tc>
      </w:tr>
      <w:tr w14:paraId="21B20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4D4DD213">
            <w:pPr>
              <w:pStyle w:val="133"/>
            </w:pPr>
          </w:p>
        </w:tc>
        <w:tc>
          <w:tcPr>
            <w:tcW w:w="536" w:type="pct"/>
            <w:vMerge w:val="continue"/>
            <w:vAlign w:val="center"/>
          </w:tcPr>
          <w:p w14:paraId="3D810057">
            <w:pPr>
              <w:pStyle w:val="133"/>
            </w:pPr>
          </w:p>
        </w:tc>
        <w:tc>
          <w:tcPr>
            <w:tcW w:w="386" w:type="pct"/>
            <w:vMerge w:val="continue"/>
            <w:vAlign w:val="center"/>
          </w:tcPr>
          <w:p w14:paraId="18F6D07E">
            <w:pPr>
              <w:pStyle w:val="133"/>
              <w:rPr>
                <w:szCs w:val="21"/>
              </w:rPr>
            </w:pPr>
          </w:p>
        </w:tc>
        <w:tc>
          <w:tcPr>
            <w:tcW w:w="2395" w:type="pct"/>
            <w:gridSpan w:val="2"/>
            <w:vAlign w:val="center"/>
          </w:tcPr>
          <w:p w14:paraId="4FA91ECE">
            <w:pPr>
              <w:pStyle w:val="133"/>
            </w:pPr>
            <w:r>
              <w:rPr>
                <w:szCs w:val="21"/>
              </w:rPr>
              <w:t>烟气排放连续在线监测系统（CEMS）</w:t>
            </w:r>
            <w:r>
              <w:rPr>
                <w:rFonts w:hint="eastAsia"/>
                <w:szCs w:val="21"/>
              </w:rPr>
              <w:t>：</w:t>
            </w:r>
            <w:r>
              <w:rPr>
                <w:szCs w:val="21"/>
              </w:rPr>
              <w:t>炼焦</w:t>
            </w:r>
            <w:r>
              <w:rPr>
                <w:rFonts w:hint="eastAsia"/>
                <w:szCs w:val="21"/>
              </w:rPr>
              <w:t>：</w:t>
            </w:r>
            <w:r>
              <w:rPr>
                <w:szCs w:val="21"/>
              </w:rPr>
              <w:t>焦炉烟囱（含热备烟囱）、装煤、推焦、干法熄焦、燃用煤气的管式炉、锅炉排气筒</w:t>
            </w:r>
            <w:r>
              <w:rPr>
                <w:rFonts w:hint="eastAsia"/>
                <w:szCs w:val="21"/>
              </w:rPr>
              <w:t>。</w:t>
            </w:r>
          </w:p>
        </w:tc>
        <w:tc>
          <w:tcPr>
            <w:tcW w:w="1271" w:type="pct"/>
            <w:vAlign w:val="center"/>
          </w:tcPr>
          <w:p w14:paraId="260FA50C">
            <w:pPr>
              <w:pStyle w:val="133"/>
            </w:pPr>
            <w:r>
              <w:rPr>
                <w:rFonts w:hint="eastAsia"/>
                <w:szCs w:val="21"/>
              </w:rPr>
              <w:t>在废水焚烧炉排气筒及VOCs处理装置的排气筒分别安装在线监测设施，并与生态环境主管部门的监控设备联网。</w:t>
            </w:r>
          </w:p>
        </w:tc>
        <w:tc>
          <w:tcPr>
            <w:tcW w:w="241" w:type="pct"/>
            <w:vAlign w:val="center"/>
          </w:tcPr>
          <w:p w14:paraId="413B7987">
            <w:pPr>
              <w:pStyle w:val="133"/>
            </w:pPr>
            <w:r>
              <w:rPr>
                <w:rFonts w:hint="eastAsia"/>
              </w:rPr>
              <w:t>符合</w:t>
            </w:r>
          </w:p>
        </w:tc>
      </w:tr>
      <w:tr w14:paraId="4A1F6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45601E37">
            <w:pPr>
              <w:pStyle w:val="133"/>
            </w:pPr>
          </w:p>
        </w:tc>
        <w:tc>
          <w:tcPr>
            <w:tcW w:w="536" w:type="pct"/>
            <w:vMerge w:val="continue"/>
            <w:vAlign w:val="center"/>
          </w:tcPr>
          <w:p w14:paraId="1373F74E">
            <w:pPr>
              <w:pStyle w:val="133"/>
            </w:pPr>
          </w:p>
        </w:tc>
        <w:tc>
          <w:tcPr>
            <w:tcW w:w="386" w:type="pct"/>
            <w:vMerge w:val="continue"/>
            <w:vAlign w:val="center"/>
          </w:tcPr>
          <w:p w14:paraId="62E31E36">
            <w:pPr>
              <w:pStyle w:val="133"/>
              <w:rPr>
                <w:szCs w:val="21"/>
              </w:rPr>
            </w:pPr>
          </w:p>
        </w:tc>
        <w:tc>
          <w:tcPr>
            <w:tcW w:w="2395" w:type="pct"/>
            <w:gridSpan w:val="2"/>
            <w:vAlign w:val="center"/>
          </w:tcPr>
          <w:p w14:paraId="3E0AE445">
            <w:pPr>
              <w:pStyle w:val="133"/>
            </w:pPr>
            <w:r>
              <w:rPr>
                <w:szCs w:val="21"/>
              </w:rPr>
              <w:t>分布式控制系统（DCS）</w:t>
            </w:r>
            <w:r>
              <w:rPr>
                <w:rFonts w:hint="eastAsia"/>
                <w:szCs w:val="21"/>
              </w:rPr>
              <w:t>：</w:t>
            </w:r>
            <w:r>
              <w:rPr>
                <w:szCs w:val="21"/>
              </w:rPr>
              <w:t>炼焦</w:t>
            </w:r>
            <w:r>
              <w:rPr>
                <w:rFonts w:hint="eastAsia"/>
                <w:szCs w:val="21"/>
              </w:rPr>
              <w:t>：</w:t>
            </w:r>
            <w:r>
              <w:rPr>
                <w:szCs w:val="21"/>
              </w:rPr>
              <w:t>焦炉、焦炉烟囱脱硫脱硝设施、装煤、推（出）焦、干法熄焦、控制中心、锅炉、发电机组</w:t>
            </w:r>
            <w:r>
              <w:rPr>
                <w:rFonts w:hint="eastAsia"/>
                <w:szCs w:val="21"/>
              </w:rPr>
              <w:t>。</w:t>
            </w:r>
          </w:p>
        </w:tc>
        <w:tc>
          <w:tcPr>
            <w:tcW w:w="1271" w:type="pct"/>
            <w:vAlign w:val="center"/>
          </w:tcPr>
          <w:p w14:paraId="42E3FF10">
            <w:pPr>
              <w:pStyle w:val="133"/>
            </w:pPr>
            <w:r>
              <w:rPr>
                <w:szCs w:val="21"/>
              </w:rPr>
              <w:t>焦炉、焦炉烟囱脱硫脱硝设施、装煤、推（出）焦、</w:t>
            </w:r>
            <w:r>
              <w:rPr>
                <w:rFonts w:hint="eastAsia"/>
                <w:szCs w:val="21"/>
              </w:rPr>
              <w:t>蒸汽</w:t>
            </w:r>
            <w:r>
              <w:rPr>
                <w:szCs w:val="21"/>
              </w:rPr>
              <w:t>熄焦、控制中心</w:t>
            </w:r>
            <w:r>
              <w:rPr>
                <w:rFonts w:hint="eastAsia"/>
                <w:szCs w:val="21"/>
              </w:rPr>
              <w:t>设DCS系统</w:t>
            </w:r>
          </w:p>
        </w:tc>
        <w:tc>
          <w:tcPr>
            <w:tcW w:w="241" w:type="pct"/>
            <w:vAlign w:val="center"/>
          </w:tcPr>
          <w:p w14:paraId="3FBCD40A">
            <w:pPr>
              <w:pStyle w:val="133"/>
            </w:pPr>
            <w:r>
              <w:rPr>
                <w:rFonts w:hint="eastAsia"/>
              </w:rPr>
              <w:t>符合</w:t>
            </w:r>
          </w:p>
        </w:tc>
      </w:tr>
      <w:tr w14:paraId="47A49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326E2451">
            <w:pPr>
              <w:pStyle w:val="133"/>
            </w:pPr>
          </w:p>
        </w:tc>
        <w:tc>
          <w:tcPr>
            <w:tcW w:w="536" w:type="pct"/>
            <w:vMerge w:val="continue"/>
            <w:vAlign w:val="center"/>
          </w:tcPr>
          <w:p w14:paraId="46740953">
            <w:pPr>
              <w:pStyle w:val="133"/>
            </w:pPr>
          </w:p>
        </w:tc>
        <w:tc>
          <w:tcPr>
            <w:tcW w:w="386" w:type="pct"/>
            <w:vMerge w:val="continue"/>
            <w:vAlign w:val="center"/>
          </w:tcPr>
          <w:p w14:paraId="6C967D15">
            <w:pPr>
              <w:pStyle w:val="133"/>
              <w:rPr>
                <w:szCs w:val="21"/>
              </w:rPr>
            </w:pPr>
          </w:p>
        </w:tc>
        <w:tc>
          <w:tcPr>
            <w:tcW w:w="2395" w:type="pct"/>
            <w:gridSpan w:val="2"/>
            <w:vAlign w:val="center"/>
          </w:tcPr>
          <w:p w14:paraId="644976DA">
            <w:pPr>
              <w:pStyle w:val="133"/>
            </w:pPr>
            <w:r>
              <w:rPr>
                <w:szCs w:val="21"/>
              </w:rPr>
              <w:t>分布式控制系统（DCS）</w:t>
            </w:r>
            <w:r>
              <w:rPr>
                <w:rFonts w:hint="eastAsia"/>
                <w:szCs w:val="21"/>
              </w:rPr>
              <w:t>：</w:t>
            </w:r>
            <w:r>
              <w:rPr>
                <w:szCs w:val="21"/>
              </w:rPr>
              <w:t>煤气净化（化学产品深加工）</w:t>
            </w:r>
            <w:r>
              <w:rPr>
                <w:rFonts w:hint="eastAsia"/>
                <w:szCs w:val="21"/>
              </w:rPr>
              <w:t>：</w:t>
            </w:r>
            <w:r>
              <w:rPr>
                <w:szCs w:val="21"/>
              </w:rPr>
              <w:t>中控、煤气管网、煤气放散火炬、粗苯和焦油储槽等生产设施及VOCs废气治理设施</w:t>
            </w:r>
            <w:r>
              <w:rPr>
                <w:rFonts w:hint="eastAsia"/>
                <w:szCs w:val="21"/>
              </w:rPr>
              <w:t>。</w:t>
            </w:r>
            <w:r>
              <w:rPr>
                <w:szCs w:val="21"/>
              </w:rPr>
              <w:t>加热炉、蒸馏设施、装卸等生产设施及VOCs废气治理设施</w:t>
            </w:r>
          </w:p>
        </w:tc>
        <w:tc>
          <w:tcPr>
            <w:tcW w:w="1271" w:type="pct"/>
            <w:vAlign w:val="center"/>
          </w:tcPr>
          <w:p w14:paraId="71617C82">
            <w:pPr>
              <w:pStyle w:val="133"/>
            </w:pPr>
            <w:r>
              <w:rPr>
                <w:szCs w:val="21"/>
              </w:rPr>
              <w:t>中控、煤气管网、煤气放散火炬、粗苯和焦油储槽等生产设施及VOCs废气治理设施</w:t>
            </w:r>
            <w:r>
              <w:rPr>
                <w:rFonts w:hint="eastAsia"/>
                <w:szCs w:val="21"/>
              </w:rPr>
              <w:t>配备DCS系统</w:t>
            </w:r>
          </w:p>
        </w:tc>
        <w:tc>
          <w:tcPr>
            <w:tcW w:w="241" w:type="pct"/>
            <w:vAlign w:val="center"/>
          </w:tcPr>
          <w:p w14:paraId="43F275F8">
            <w:pPr>
              <w:pStyle w:val="133"/>
            </w:pPr>
            <w:r>
              <w:rPr>
                <w:rFonts w:hint="eastAsia"/>
              </w:rPr>
              <w:t>符合</w:t>
            </w:r>
          </w:p>
        </w:tc>
      </w:tr>
      <w:tr w14:paraId="1CA70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103E7776">
            <w:pPr>
              <w:pStyle w:val="133"/>
            </w:pPr>
          </w:p>
        </w:tc>
        <w:tc>
          <w:tcPr>
            <w:tcW w:w="536" w:type="pct"/>
            <w:vMerge w:val="continue"/>
            <w:vAlign w:val="center"/>
          </w:tcPr>
          <w:p w14:paraId="4779A549">
            <w:pPr>
              <w:pStyle w:val="133"/>
            </w:pPr>
          </w:p>
        </w:tc>
        <w:tc>
          <w:tcPr>
            <w:tcW w:w="386" w:type="pct"/>
            <w:vMerge w:val="continue"/>
            <w:vAlign w:val="center"/>
          </w:tcPr>
          <w:p w14:paraId="20C6BCEF">
            <w:pPr>
              <w:pStyle w:val="133"/>
              <w:rPr>
                <w:szCs w:val="21"/>
              </w:rPr>
            </w:pPr>
          </w:p>
        </w:tc>
        <w:tc>
          <w:tcPr>
            <w:tcW w:w="2395" w:type="pct"/>
            <w:gridSpan w:val="2"/>
            <w:vAlign w:val="center"/>
          </w:tcPr>
          <w:p w14:paraId="034AE762">
            <w:pPr>
              <w:pStyle w:val="133"/>
            </w:pPr>
            <w:r>
              <w:rPr>
                <w:szCs w:val="21"/>
              </w:rPr>
              <w:t>高清视频监控设施</w:t>
            </w:r>
            <w:r>
              <w:rPr>
                <w:rFonts w:hint="eastAsia"/>
                <w:szCs w:val="21"/>
              </w:rPr>
              <w:t>：</w:t>
            </w:r>
            <w:r>
              <w:rPr>
                <w:szCs w:val="21"/>
              </w:rPr>
              <w:t>料场</w:t>
            </w:r>
            <w:r>
              <w:rPr>
                <w:rFonts w:hint="eastAsia"/>
                <w:szCs w:val="21"/>
              </w:rPr>
              <w:t>：</w:t>
            </w:r>
            <w:r>
              <w:rPr>
                <w:szCs w:val="21"/>
              </w:rPr>
              <w:t>储煤、储焦装置出入口</w:t>
            </w:r>
          </w:p>
        </w:tc>
        <w:tc>
          <w:tcPr>
            <w:tcW w:w="1271" w:type="pct"/>
            <w:vAlign w:val="center"/>
          </w:tcPr>
          <w:p w14:paraId="6B9B43CF">
            <w:pPr>
              <w:pStyle w:val="133"/>
            </w:pPr>
            <w:r>
              <w:rPr>
                <w:szCs w:val="21"/>
              </w:rPr>
              <w:t>储煤、储焦装置出入口</w:t>
            </w:r>
            <w:r>
              <w:rPr>
                <w:rFonts w:hint="eastAsia"/>
                <w:szCs w:val="21"/>
              </w:rPr>
              <w:t>均安装监控设施。</w:t>
            </w:r>
          </w:p>
        </w:tc>
        <w:tc>
          <w:tcPr>
            <w:tcW w:w="241" w:type="pct"/>
            <w:vAlign w:val="center"/>
          </w:tcPr>
          <w:p w14:paraId="3E8558A8">
            <w:pPr>
              <w:pStyle w:val="133"/>
            </w:pPr>
            <w:r>
              <w:rPr>
                <w:rFonts w:hint="eastAsia"/>
              </w:rPr>
              <w:t>符合</w:t>
            </w:r>
          </w:p>
        </w:tc>
      </w:tr>
      <w:tr w14:paraId="205D0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4F4CEE82">
            <w:pPr>
              <w:pStyle w:val="133"/>
            </w:pPr>
          </w:p>
        </w:tc>
        <w:tc>
          <w:tcPr>
            <w:tcW w:w="536" w:type="pct"/>
            <w:vMerge w:val="continue"/>
            <w:vAlign w:val="center"/>
          </w:tcPr>
          <w:p w14:paraId="5566D3E8">
            <w:pPr>
              <w:pStyle w:val="133"/>
            </w:pPr>
          </w:p>
        </w:tc>
        <w:tc>
          <w:tcPr>
            <w:tcW w:w="386" w:type="pct"/>
            <w:vMerge w:val="continue"/>
            <w:vAlign w:val="center"/>
          </w:tcPr>
          <w:p w14:paraId="64DC4D96">
            <w:pPr>
              <w:pStyle w:val="133"/>
              <w:rPr>
                <w:szCs w:val="21"/>
              </w:rPr>
            </w:pPr>
          </w:p>
        </w:tc>
        <w:tc>
          <w:tcPr>
            <w:tcW w:w="2395" w:type="pct"/>
            <w:gridSpan w:val="2"/>
            <w:vAlign w:val="center"/>
          </w:tcPr>
          <w:p w14:paraId="72995951">
            <w:pPr>
              <w:pStyle w:val="133"/>
            </w:pPr>
            <w:r>
              <w:rPr>
                <w:szCs w:val="21"/>
              </w:rPr>
              <w:t>高清视频监控设施</w:t>
            </w:r>
            <w:r>
              <w:rPr>
                <w:rFonts w:hint="eastAsia"/>
                <w:szCs w:val="21"/>
              </w:rPr>
              <w:t>：</w:t>
            </w:r>
            <w:r>
              <w:rPr>
                <w:szCs w:val="21"/>
              </w:rPr>
              <w:t>炼焦</w:t>
            </w:r>
            <w:r>
              <w:rPr>
                <w:rFonts w:hint="eastAsia"/>
                <w:szCs w:val="21"/>
              </w:rPr>
              <w:t>：</w:t>
            </w:r>
            <w:r>
              <w:rPr>
                <w:szCs w:val="21"/>
              </w:rPr>
              <w:t>焦炉炉顶、焦炉机侧和焦侧（含半焦炉出焦侧）、干熄焦装入装置、湿熄焦塔、筛焦楼筛分、焦炭装车区域</w:t>
            </w:r>
          </w:p>
        </w:tc>
        <w:tc>
          <w:tcPr>
            <w:tcW w:w="1271" w:type="pct"/>
            <w:vAlign w:val="center"/>
          </w:tcPr>
          <w:p w14:paraId="000472DD">
            <w:pPr>
              <w:pStyle w:val="133"/>
            </w:pPr>
            <w:r>
              <w:rPr>
                <w:rFonts w:hint="eastAsia"/>
                <w:szCs w:val="21"/>
              </w:rPr>
              <w:t>焦炉炉顶、焦炉机侧和焦侧（含半焦炉出焦侧）、蒸汽熄焦装入装置、焦炭装车区域均安装监控设施</w:t>
            </w:r>
          </w:p>
        </w:tc>
        <w:tc>
          <w:tcPr>
            <w:tcW w:w="241" w:type="pct"/>
            <w:vAlign w:val="center"/>
          </w:tcPr>
          <w:p w14:paraId="45B73445">
            <w:pPr>
              <w:pStyle w:val="133"/>
            </w:pPr>
            <w:r>
              <w:rPr>
                <w:rFonts w:hint="eastAsia"/>
              </w:rPr>
              <w:t>符合</w:t>
            </w:r>
          </w:p>
        </w:tc>
      </w:tr>
      <w:tr w14:paraId="207A64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2BCD20C7">
            <w:pPr>
              <w:pStyle w:val="133"/>
            </w:pPr>
          </w:p>
        </w:tc>
        <w:tc>
          <w:tcPr>
            <w:tcW w:w="536" w:type="pct"/>
            <w:vMerge w:val="continue"/>
            <w:vAlign w:val="center"/>
          </w:tcPr>
          <w:p w14:paraId="776F3234">
            <w:pPr>
              <w:pStyle w:val="133"/>
            </w:pPr>
          </w:p>
        </w:tc>
        <w:tc>
          <w:tcPr>
            <w:tcW w:w="386" w:type="pct"/>
            <w:vMerge w:val="continue"/>
            <w:vAlign w:val="center"/>
          </w:tcPr>
          <w:p w14:paraId="7FE5F2C4">
            <w:pPr>
              <w:pStyle w:val="133"/>
              <w:rPr>
                <w:szCs w:val="21"/>
              </w:rPr>
            </w:pPr>
          </w:p>
        </w:tc>
        <w:tc>
          <w:tcPr>
            <w:tcW w:w="2395" w:type="pct"/>
            <w:gridSpan w:val="2"/>
            <w:vAlign w:val="center"/>
          </w:tcPr>
          <w:p w14:paraId="339F4F67">
            <w:pPr>
              <w:pStyle w:val="133"/>
            </w:pPr>
            <w:r>
              <w:rPr>
                <w:szCs w:val="21"/>
              </w:rPr>
              <w:t>CEMS</w:t>
            </w:r>
            <w:r>
              <w:rPr>
                <w:rFonts w:hint="eastAsia"/>
                <w:szCs w:val="21"/>
              </w:rPr>
              <w:t>：</w:t>
            </w:r>
            <w:r>
              <w:rPr>
                <w:szCs w:val="21"/>
              </w:rPr>
              <w:t>站房内、采样平台</w:t>
            </w:r>
          </w:p>
        </w:tc>
        <w:tc>
          <w:tcPr>
            <w:tcW w:w="1271" w:type="pct"/>
            <w:vAlign w:val="center"/>
          </w:tcPr>
          <w:p w14:paraId="01B5E230">
            <w:pPr>
              <w:pStyle w:val="133"/>
            </w:pPr>
            <w:r>
              <w:rPr>
                <w:szCs w:val="21"/>
              </w:rPr>
              <w:t>站房内、采样平台</w:t>
            </w:r>
            <w:r>
              <w:rPr>
                <w:rFonts w:hint="eastAsia"/>
                <w:szCs w:val="21"/>
              </w:rPr>
              <w:t>均安装监控设施。</w:t>
            </w:r>
          </w:p>
        </w:tc>
        <w:tc>
          <w:tcPr>
            <w:tcW w:w="241" w:type="pct"/>
            <w:vAlign w:val="center"/>
          </w:tcPr>
          <w:p w14:paraId="39B2EEA8">
            <w:pPr>
              <w:pStyle w:val="133"/>
            </w:pPr>
            <w:r>
              <w:rPr>
                <w:rFonts w:hint="eastAsia"/>
              </w:rPr>
              <w:t>符合</w:t>
            </w:r>
          </w:p>
        </w:tc>
      </w:tr>
      <w:tr w14:paraId="27330A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1277C955">
            <w:pPr>
              <w:pStyle w:val="133"/>
            </w:pPr>
          </w:p>
        </w:tc>
        <w:tc>
          <w:tcPr>
            <w:tcW w:w="536" w:type="pct"/>
            <w:vMerge w:val="continue"/>
            <w:vAlign w:val="center"/>
          </w:tcPr>
          <w:p w14:paraId="18738278">
            <w:pPr>
              <w:pStyle w:val="133"/>
            </w:pPr>
          </w:p>
        </w:tc>
        <w:tc>
          <w:tcPr>
            <w:tcW w:w="386" w:type="pct"/>
            <w:vMerge w:val="continue"/>
            <w:vAlign w:val="center"/>
          </w:tcPr>
          <w:p w14:paraId="2260FF1A">
            <w:pPr>
              <w:pStyle w:val="133"/>
              <w:rPr>
                <w:szCs w:val="21"/>
              </w:rPr>
            </w:pPr>
          </w:p>
        </w:tc>
        <w:tc>
          <w:tcPr>
            <w:tcW w:w="2395" w:type="pct"/>
            <w:gridSpan w:val="2"/>
            <w:vAlign w:val="center"/>
          </w:tcPr>
          <w:p w14:paraId="7E274330">
            <w:pPr>
              <w:pStyle w:val="133"/>
            </w:pPr>
            <w:r>
              <w:rPr>
                <w:szCs w:val="21"/>
              </w:rPr>
              <w:t>厂区内部</w:t>
            </w:r>
            <w:r>
              <w:rPr>
                <w:rFonts w:hint="eastAsia"/>
                <w:szCs w:val="21"/>
              </w:rPr>
              <w:t>：</w:t>
            </w:r>
            <w:r>
              <w:rPr>
                <w:szCs w:val="21"/>
              </w:rPr>
              <w:t>主要产尘点密闭罩、收尘罩等无组织排放控制设施周边设置TSP浓度监测仪；储煤、储焦装置出入口、焦炉区域、厂内物料运输主干道路口、长度超过200米的物料运输道路中部设置空气质量监测微站（监测因子至少包括PM</w:t>
            </w:r>
            <w:r>
              <w:rPr>
                <w:szCs w:val="21"/>
                <w:vertAlign w:val="subscript"/>
              </w:rPr>
              <w:t>2.5</w:t>
            </w:r>
            <w:r>
              <w:rPr>
                <w:szCs w:val="21"/>
              </w:rPr>
              <w:t>、PM</w:t>
            </w:r>
            <w:r>
              <w:rPr>
                <w:szCs w:val="21"/>
                <w:vertAlign w:val="subscript"/>
              </w:rPr>
              <w:t>10</w:t>
            </w:r>
            <w:r>
              <w:rPr>
                <w:szCs w:val="21"/>
              </w:rPr>
              <w:t>等）</w:t>
            </w:r>
            <w:r>
              <w:rPr>
                <w:rFonts w:hint="eastAsia"/>
                <w:szCs w:val="21"/>
              </w:rPr>
              <w:t>。</w:t>
            </w:r>
            <w:r>
              <w:rPr>
                <w:szCs w:val="21"/>
              </w:rPr>
              <w:t>煤气净化、油库、化学产品深加工等区域安装光离子化检测器（PID）、氢火焰离子化检测器（FID）等VOCs监测设备，其中煤气净化区域至少安装一套FID</w:t>
            </w:r>
            <w:r>
              <w:rPr>
                <w:rFonts w:hint="eastAsia"/>
                <w:szCs w:val="21"/>
              </w:rPr>
              <w:t>。</w:t>
            </w:r>
          </w:p>
        </w:tc>
        <w:tc>
          <w:tcPr>
            <w:tcW w:w="1271" w:type="pct"/>
            <w:vAlign w:val="center"/>
          </w:tcPr>
          <w:p w14:paraId="434971DD">
            <w:pPr>
              <w:pStyle w:val="133"/>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主要产尘点密闭罩、收尘罩等无组织排放控制设施周边设置</w:t>
            </w:r>
            <w:r>
              <w:rPr>
                <w:color w:val="000000" w:themeColor="text1"/>
                <w:szCs w:val="21"/>
                <w14:textFill>
                  <w14:solidFill>
                    <w14:schemeClr w14:val="tx1"/>
                  </w14:solidFill>
                </w14:textFill>
              </w:rPr>
              <w:t>TSP</w:t>
            </w:r>
            <w:r>
              <w:rPr>
                <w:rFonts w:hint="eastAsia"/>
                <w:color w:val="000000" w:themeColor="text1"/>
                <w:szCs w:val="21"/>
                <w14:textFill>
                  <w14:solidFill>
                    <w14:schemeClr w14:val="tx1"/>
                  </w14:solidFill>
                </w14:textFill>
              </w:rPr>
              <w:t>浓度监测仪；储煤、储焦装置出入口、焦炉区域、厂内物料运输主干道路口、长度超过</w:t>
            </w:r>
            <w:r>
              <w:rPr>
                <w:color w:val="000000" w:themeColor="text1"/>
                <w:szCs w:val="21"/>
                <w14:textFill>
                  <w14:solidFill>
                    <w14:schemeClr w14:val="tx1"/>
                  </w14:solidFill>
                </w14:textFill>
              </w:rPr>
              <w:t>200</w:t>
            </w:r>
            <w:r>
              <w:rPr>
                <w:rFonts w:hint="eastAsia"/>
                <w:color w:val="000000" w:themeColor="text1"/>
                <w:szCs w:val="21"/>
                <w14:textFill>
                  <w14:solidFill>
                    <w14:schemeClr w14:val="tx1"/>
                  </w14:solidFill>
                </w14:textFill>
              </w:rPr>
              <w:t>米的物料运输道路中部设置空气质量监测微站（监测因子包括</w:t>
            </w: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r>
              <w:rPr>
                <w:rFonts w:hint="eastAsia"/>
                <w:color w:val="000000" w:themeColor="text1"/>
                <w:szCs w:val="21"/>
                <w14:textFill>
                  <w14:solidFill>
                    <w14:schemeClr w14:val="tx1"/>
                  </w14:solidFill>
                </w14:textFill>
              </w:rPr>
              <w:t>）</w:t>
            </w:r>
          </w:p>
        </w:tc>
        <w:tc>
          <w:tcPr>
            <w:tcW w:w="241" w:type="pct"/>
            <w:vAlign w:val="center"/>
          </w:tcPr>
          <w:p w14:paraId="73A1F4A3">
            <w:pPr>
              <w:pStyle w:val="133"/>
            </w:pPr>
            <w:r>
              <w:rPr>
                <w:rFonts w:hint="eastAsia"/>
              </w:rPr>
              <w:t>符合</w:t>
            </w:r>
          </w:p>
        </w:tc>
      </w:tr>
      <w:tr w14:paraId="16F8B1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6C303333">
            <w:pPr>
              <w:pStyle w:val="133"/>
            </w:pPr>
          </w:p>
        </w:tc>
        <w:tc>
          <w:tcPr>
            <w:tcW w:w="536" w:type="pct"/>
            <w:vMerge w:val="continue"/>
            <w:vAlign w:val="center"/>
          </w:tcPr>
          <w:p w14:paraId="1029285C">
            <w:pPr>
              <w:pStyle w:val="133"/>
            </w:pPr>
          </w:p>
        </w:tc>
        <w:tc>
          <w:tcPr>
            <w:tcW w:w="386" w:type="pct"/>
            <w:vMerge w:val="continue"/>
            <w:vAlign w:val="center"/>
          </w:tcPr>
          <w:p w14:paraId="15FE1C94">
            <w:pPr>
              <w:pStyle w:val="133"/>
              <w:rPr>
                <w:szCs w:val="21"/>
              </w:rPr>
            </w:pPr>
          </w:p>
        </w:tc>
        <w:tc>
          <w:tcPr>
            <w:tcW w:w="2395" w:type="pct"/>
            <w:gridSpan w:val="2"/>
            <w:vAlign w:val="center"/>
          </w:tcPr>
          <w:p w14:paraId="509B145C">
            <w:pPr>
              <w:pStyle w:val="133"/>
            </w:pPr>
            <w:r>
              <w:rPr>
                <w:szCs w:val="21"/>
              </w:rPr>
              <w:t>门禁及视频监控系统</w:t>
            </w:r>
            <w:r>
              <w:rPr>
                <w:rFonts w:hint="eastAsia"/>
                <w:szCs w:val="21"/>
              </w:rPr>
              <w:t>：</w:t>
            </w:r>
            <w:r>
              <w:rPr>
                <w:szCs w:val="21"/>
              </w:rPr>
              <w:t>厂区</w:t>
            </w:r>
            <w:r>
              <w:rPr>
                <w:rFonts w:hint="eastAsia"/>
                <w:szCs w:val="21"/>
              </w:rPr>
              <w:t>：</w:t>
            </w:r>
            <w:r>
              <w:rPr>
                <w:szCs w:val="21"/>
              </w:rPr>
              <w:t>厂区进出口</w:t>
            </w:r>
            <w:r>
              <w:rPr>
                <w:rFonts w:hint="eastAsia"/>
                <w:szCs w:val="21"/>
              </w:rPr>
              <w:t>。</w:t>
            </w:r>
          </w:p>
        </w:tc>
        <w:tc>
          <w:tcPr>
            <w:tcW w:w="1271" w:type="pct"/>
            <w:vAlign w:val="center"/>
          </w:tcPr>
          <w:p w14:paraId="6868E8E8">
            <w:pPr>
              <w:pStyle w:val="133"/>
            </w:pPr>
            <w:r>
              <w:rPr>
                <w:rFonts w:hint="eastAsia"/>
                <w:szCs w:val="21"/>
              </w:rPr>
              <w:t>厂区进出口均安装门禁及监控系统</w:t>
            </w:r>
          </w:p>
        </w:tc>
        <w:tc>
          <w:tcPr>
            <w:tcW w:w="241" w:type="pct"/>
            <w:vAlign w:val="center"/>
          </w:tcPr>
          <w:p w14:paraId="1BBC042B">
            <w:pPr>
              <w:pStyle w:val="133"/>
            </w:pPr>
            <w:r>
              <w:rPr>
                <w:rFonts w:hint="eastAsia"/>
              </w:rPr>
              <w:t>符合</w:t>
            </w:r>
          </w:p>
        </w:tc>
      </w:tr>
      <w:tr w14:paraId="59ACB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5DADFC5E">
            <w:pPr>
              <w:pStyle w:val="133"/>
            </w:pPr>
          </w:p>
        </w:tc>
        <w:tc>
          <w:tcPr>
            <w:tcW w:w="536" w:type="pct"/>
            <w:vMerge w:val="continue"/>
            <w:vAlign w:val="center"/>
          </w:tcPr>
          <w:p w14:paraId="76B79383">
            <w:pPr>
              <w:pStyle w:val="133"/>
            </w:pPr>
          </w:p>
        </w:tc>
        <w:tc>
          <w:tcPr>
            <w:tcW w:w="386" w:type="pct"/>
            <w:vMerge w:val="restart"/>
            <w:vAlign w:val="center"/>
          </w:tcPr>
          <w:p w14:paraId="7BA301F8">
            <w:pPr>
              <w:pStyle w:val="133"/>
              <w:rPr>
                <w:szCs w:val="21"/>
              </w:rPr>
            </w:pPr>
            <w:r>
              <w:rPr>
                <w:rFonts w:hint="eastAsia"/>
                <w:szCs w:val="21"/>
              </w:rPr>
              <w:t>清洁运输管理要求</w:t>
            </w:r>
          </w:p>
        </w:tc>
        <w:tc>
          <w:tcPr>
            <w:tcW w:w="1245" w:type="pct"/>
            <w:vAlign w:val="center"/>
          </w:tcPr>
          <w:p w14:paraId="378F9130">
            <w:pPr>
              <w:pStyle w:val="133"/>
              <w:rPr>
                <w:szCs w:val="21"/>
              </w:rPr>
            </w:pPr>
            <w:r>
              <w:rPr>
                <w:rFonts w:hint="eastAsia"/>
                <w:b/>
                <w:bCs/>
                <w:szCs w:val="21"/>
              </w:rPr>
              <w:t>措施</w:t>
            </w:r>
          </w:p>
        </w:tc>
        <w:tc>
          <w:tcPr>
            <w:tcW w:w="1150" w:type="pct"/>
            <w:vAlign w:val="center"/>
          </w:tcPr>
          <w:p w14:paraId="19C1AF4A">
            <w:pPr>
              <w:pStyle w:val="133"/>
              <w:rPr>
                <w:szCs w:val="21"/>
              </w:rPr>
            </w:pPr>
            <w:r>
              <w:rPr>
                <w:rFonts w:hint="eastAsia"/>
                <w:b/>
                <w:bCs/>
                <w:szCs w:val="21"/>
              </w:rPr>
              <w:t>参数</w:t>
            </w:r>
          </w:p>
        </w:tc>
        <w:tc>
          <w:tcPr>
            <w:tcW w:w="1271" w:type="pct"/>
            <w:vAlign w:val="center"/>
          </w:tcPr>
          <w:p w14:paraId="366E5CFC">
            <w:pPr>
              <w:pStyle w:val="133"/>
              <w:rPr>
                <w:szCs w:val="21"/>
              </w:rPr>
            </w:pPr>
            <w:r>
              <w:rPr>
                <w:rFonts w:hint="eastAsia"/>
                <w:szCs w:val="21"/>
              </w:rPr>
              <w:t>本项目情况</w:t>
            </w:r>
          </w:p>
        </w:tc>
        <w:tc>
          <w:tcPr>
            <w:tcW w:w="241" w:type="pct"/>
            <w:vAlign w:val="center"/>
          </w:tcPr>
          <w:p w14:paraId="42F204BE">
            <w:pPr>
              <w:pStyle w:val="133"/>
            </w:pPr>
            <w:r>
              <w:rPr>
                <w:rFonts w:hint="eastAsia"/>
              </w:rPr>
              <w:t>/</w:t>
            </w:r>
          </w:p>
        </w:tc>
      </w:tr>
      <w:tr w14:paraId="6A2A8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519B5D62">
            <w:pPr>
              <w:pStyle w:val="133"/>
            </w:pPr>
          </w:p>
        </w:tc>
        <w:tc>
          <w:tcPr>
            <w:tcW w:w="536" w:type="pct"/>
            <w:vMerge w:val="continue"/>
            <w:vAlign w:val="center"/>
          </w:tcPr>
          <w:p w14:paraId="505A55F6">
            <w:pPr>
              <w:pStyle w:val="133"/>
            </w:pPr>
          </w:p>
        </w:tc>
        <w:tc>
          <w:tcPr>
            <w:tcW w:w="386" w:type="pct"/>
            <w:vMerge w:val="continue"/>
            <w:vAlign w:val="center"/>
          </w:tcPr>
          <w:p w14:paraId="34A0A4A5">
            <w:pPr>
              <w:pStyle w:val="133"/>
              <w:rPr>
                <w:szCs w:val="21"/>
              </w:rPr>
            </w:pPr>
          </w:p>
        </w:tc>
        <w:tc>
          <w:tcPr>
            <w:tcW w:w="1245" w:type="pct"/>
            <w:vAlign w:val="center"/>
          </w:tcPr>
          <w:p w14:paraId="11D92576">
            <w:pPr>
              <w:pStyle w:val="133"/>
              <w:rPr>
                <w:szCs w:val="21"/>
              </w:rPr>
            </w:pPr>
            <w:r>
              <w:rPr>
                <w:szCs w:val="21"/>
              </w:rPr>
              <w:t>覆盖原辅材料、燃料、产品及副产品等运输车辆进出厂区的出入口，对进出车辆进行照片及视频的采集、校验，实施进出厂管理，并对采集的数据进行统计和储存，与生态环境部门联网，实现对运输车辆和非道路移动机械使用情况实时监管。建立运输车辆基本信息电子台账，并对进出厂车辆实施自动记录，实时保存、更新和上传。运输车辆基本信息电子台账保存周期不少于5年，车辆进出厂历史记录保存周期不少于24个月，视频保存周期不少于12个月。</w:t>
            </w:r>
          </w:p>
        </w:tc>
        <w:tc>
          <w:tcPr>
            <w:tcW w:w="1150" w:type="pct"/>
            <w:vAlign w:val="center"/>
          </w:tcPr>
          <w:p w14:paraId="527ED956">
            <w:pPr>
              <w:pStyle w:val="133"/>
              <w:rPr>
                <w:szCs w:val="21"/>
              </w:rPr>
            </w:pPr>
            <w:r>
              <w:rPr>
                <w:szCs w:val="21"/>
              </w:rPr>
              <w:t>电子台账主要参数：出入口编号、道闸编号、进出厂状态、进厂时间/出厂时间、进厂照片/出厂照片、车牌号码、号牌颜色、车辆类型、车辆识别代码（VIN）、注册登记日期、车辆型号、发动机型号、发动机生产厂、发动机编号、燃料类型、排放标准、使用性质、联网状态、随车清单、行驶证、运输货物名称、运输量、车队名称等。</w:t>
            </w:r>
          </w:p>
        </w:tc>
        <w:tc>
          <w:tcPr>
            <w:tcW w:w="1271" w:type="pct"/>
            <w:vAlign w:val="center"/>
          </w:tcPr>
          <w:p w14:paraId="67649E4B">
            <w:pPr>
              <w:spacing w:line="240" w:lineRule="auto"/>
              <w:ind w:firstLine="0" w:firstLineChars="0"/>
              <w:jc w:val="center"/>
              <w:rPr>
                <w:sz w:val="21"/>
                <w:szCs w:val="21"/>
              </w:rPr>
            </w:pPr>
            <w:r>
              <w:rPr>
                <w:rFonts w:hint="eastAsia"/>
                <w:sz w:val="21"/>
                <w:szCs w:val="21"/>
              </w:rPr>
              <w:t>在厂区出入口安装监控系统，并对进出车辆进出视频的采集、校验与储存。</w:t>
            </w:r>
          </w:p>
          <w:p w14:paraId="1A198C39">
            <w:pPr>
              <w:pStyle w:val="133"/>
              <w:rPr>
                <w:szCs w:val="21"/>
              </w:rPr>
            </w:pPr>
            <w:r>
              <w:rPr>
                <w:rFonts w:hint="eastAsia"/>
                <w:szCs w:val="21"/>
              </w:rPr>
              <w:t>建立车辆基本信息台账，并对进出厂车辆进行记录，实时</w:t>
            </w:r>
            <w:r>
              <w:rPr>
                <w:szCs w:val="21"/>
              </w:rPr>
              <w:t>保存、更新和上传。</w:t>
            </w:r>
            <w:r>
              <w:rPr>
                <w:rFonts w:hint="eastAsia"/>
                <w:szCs w:val="21"/>
              </w:rPr>
              <w:t>运</w:t>
            </w:r>
            <w:r>
              <w:rPr>
                <w:szCs w:val="21"/>
              </w:rPr>
              <w:t>输车辆基本信息电子台账保存周期不少于5年，车辆进出厂历史记录保存周期不少于24个月，视频保存周期不少于12个月。</w:t>
            </w:r>
          </w:p>
        </w:tc>
        <w:tc>
          <w:tcPr>
            <w:tcW w:w="241" w:type="pct"/>
            <w:vAlign w:val="center"/>
          </w:tcPr>
          <w:p w14:paraId="61252C8A">
            <w:pPr>
              <w:pStyle w:val="133"/>
            </w:pPr>
            <w:r>
              <w:rPr>
                <w:rFonts w:hint="eastAsia"/>
              </w:rPr>
              <w:t>符合</w:t>
            </w:r>
          </w:p>
        </w:tc>
      </w:tr>
      <w:tr w14:paraId="78CDF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7DBF25FC">
            <w:pPr>
              <w:pStyle w:val="133"/>
            </w:pPr>
          </w:p>
        </w:tc>
        <w:tc>
          <w:tcPr>
            <w:tcW w:w="536" w:type="pct"/>
            <w:vMerge w:val="continue"/>
            <w:vAlign w:val="center"/>
          </w:tcPr>
          <w:p w14:paraId="29213833">
            <w:pPr>
              <w:pStyle w:val="133"/>
            </w:pPr>
          </w:p>
        </w:tc>
        <w:tc>
          <w:tcPr>
            <w:tcW w:w="386" w:type="pct"/>
            <w:vMerge w:val="continue"/>
            <w:vAlign w:val="center"/>
          </w:tcPr>
          <w:p w14:paraId="7A75B58B">
            <w:pPr>
              <w:pStyle w:val="133"/>
              <w:rPr>
                <w:szCs w:val="21"/>
              </w:rPr>
            </w:pPr>
          </w:p>
        </w:tc>
        <w:tc>
          <w:tcPr>
            <w:tcW w:w="1245" w:type="pct"/>
            <w:vAlign w:val="center"/>
          </w:tcPr>
          <w:p w14:paraId="10C29E78">
            <w:pPr>
              <w:pStyle w:val="133"/>
              <w:rPr>
                <w:szCs w:val="21"/>
              </w:rPr>
            </w:pPr>
            <w:r>
              <w:rPr>
                <w:szCs w:val="21"/>
              </w:rPr>
              <w:t>对厂内运输车辆实施信息登记管理，并实时更新上传，本地历史记录保存周期不少于5年。</w:t>
            </w:r>
          </w:p>
        </w:tc>
        <w:tc>
          <w:tcPr>
            <w:tcW w:w="1150" w:type="pct"/>
            <w:vAlign w:val="center"/>
          </w:tcPr>
          <w:p w14:paraId="15461692">
            <w:pPr>
              <w:pStyle w:val="133"/>
              <w:rPr>
                <w:szCs w:val="21"/>
              </w:rPr>
            </w:pPr>
            <w:r>
              <w:rPr>
                <w:szCs w:val="21"/>
              </w:rPr>
              <w:t>环保登记编码、车辆识别代码（VIN）、生产日期、车牌号码、注册登记日期、车辆型号、发动机型号、发动机生产厂、发动机编号、燃料类型、排放标准、随车清单、行驶证、车辆所有人（单位）等。</w:t>
            </w:r>
          </w:p>
        </w:tc>
        <w:tc>
          <w:tcPr>
            <w:tcW w:w="1271" w:type="pct"/>
            <w:vAlign w:val="center"/>
          </w:tcPr>
          <w:p w14:paraId="3CDCA2A0">
            <w:pPr>
              <w:pStyle w:val="133"/>
              <w:rPr>
                <w:szCs w:val="21"/>
              </w:rPr>
            </w:pPr>
            <w:r>
              <w:rPr>
                <w:szCs w:val="21"/>
              </w:rPr>
              <w:t>对厂内运输车辆实施信息登记管理，并实时更新上传，本地历史记录保存周期不少于5年。</w:t>
            </w:r>
          </w:p>
        </w:tc>
        <w:tc>
          <w:tcPr>
            <w:tcW w:w="241" w:type="pct"/>
            <w:vAlign w:val="center"/>
          </w:tcPr>
          <w:p w14:paraId="7757A7D1">
            <w:pPr>
              <w:pStyle w:val="133"/>
            </w:pPr>
            <w:r>
              <w:rPr>
                <w:rFonts w:hint="eastAsia"/>
              </w:rPr>
              <w:t>符合</w:t>
            </w:r>
          </w:p>
        </w:tc>
      </w:tr>
      <w:tr w14:paraId="73C32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10D693C7">
            <w:pPr>
              <w:pStyle w:val="133"/>
            </w:pPr>
          </w:p>
        </w:tc>
        <w:tc>
          <w:tcPr>
            <w:tcW w:w="536" w:type="pct"/>
            <w:vMerge w:val="continue"/>
            <w:vAlign w:val="center"/>
          </w:tcPr>
          <w:p w14:paraId="12EFE8E0">
            <w:pPr>
              <w:pStyle w:val="133"/>
            </w:pPr>
          </w:p>
        </w:tc>
        <w:tc>
          <w:tcPr>
            <w:tcW w:w="386" w:type="pct"/>
            <w:vMerge w:val="continue"/>
            <w:vAlign w:val="center"/>
          </w:tcPr>
          <w:p w14:paraId="18C599F7">
            <w:pPr>
              <w:pStyle w:val="133"/>
              <w:rPr>
                <w:szCs w:val="21"/>
              </w:rPr>
            </w:pPr>
          </w:p>
        </w:tc>
        <w:tc>
          <w:tcPr>
            <w:tcW w:w="1245" w:type="pct"/>
            <w:vAlign w:val="center"/>
          </w:tcPr>
          <w:p w14:paraId="6FB0623C">
            <w:pPr>
              <w:pStyle w:val="133"/>
              <w:rPr>
                <w:szCs w:val="21"/>
              </w:rPr>
            </w:pPr>
            <w:r>
              <w:rPr>
                <w:szCs w:val="21"/>
              </w:rPr>
              <w:t>对非道路移动机械实施信息登记管理，并实时更新上传，本地历史记录保存周期不少于5年。</w:t>
            </w:r>
          </w:p>
        </w:tc>
        <w:tc>
          <w:tcPr>
            <w:tcW w:w="1150" w:type="pct"/>
            <w:vAlign w:val="center"/>
          </w:tcPr>
          <w:p w14:paraId="5CB578E7">
            <w:pPr>
              <w:pStyle w:val="133"/>
              <w:rPr>
                <w:szCs w:val="21"/>
              </w:rPr>
            </w:pPr>
            <w:r>
              <w:rPr>
                <w:szCs w:val="21"/>
              </w:rPr>
              <w:t>环保登记编码、机械生产日期、车牌号码、排放标准、燃料类型、机械种类、机械环保代码/产品识别码（PIN）、机械型号、发动机型号、发动机生产厂、发动机编号、整车（机）铭牌、发动机铭牌、机械环保标签、所属人（单位）等。</w:t>
            </w:r>
          </w:p>
        </w:tc>
        <w:tc>
          <w:tcPr>
            <w:tcW w:w="1271" w:type="pct"/>
            <w:vAlign w:val="center"/>
          </w:tcPr>
          <w:p w14:paraId="38EC1F58">
            <w:pPr>
              <w:pStyle w:val="133"/>
              <w:rPr>
                <w:szCs w:val="21"/>
              </w:rPr>
            </w:pPr>
            <w:r>
              <w:rPr>
                <w:szCs w:val="21"/>
              </w:rPr>
              <w:t>对非道路移动机械实施信息登记管理，并实时更新上传，本地历史记录保存周期不少于5年。</w:t>
            </w:r>
          </w:p>
        </w:tc>
        <w:tc>
          <w:tcPr>
            <w:tcW w:w="241" w:type="pct"/>
            <w:vAlign w:val="center"/>
          </w:tcPr>
          <w:p w14:paraId="557B3C3F">
            <w:pPr>
              <w:pStyle w:val="133"/>
            </w:pPr>
            <w:r>
              <w:rPr>
                <w:rFonts w:hint="eastAsia"/>
              </w:rPr>
              <w:t>符合</w:t>
            </w:r>
          </w:p>
        </w:tc>
      </w:tr>
      <w:tr w14:paraId="0845E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Align w:val="center"/>
          </w:tcPr>
          <w:p w14:paraId="22004491">
            <w:pPr>
              <w:pStyle w:val="133"/>
            </w:pPr>
            <w:r>
              <w:rPr>
                <w:rFonts w:hint="eastAsia"/>
              </w:rPr>
              <w:t>3</w:t>
            </w:r>
          </w:p>
        </w:tc>
        <w:tc>
          <w:tcPr>
            <w:tcW w:w="922" w:type="pct"/>
            <w:gridSpan w:val="2"/>
            <w:vAlign w:val="center"/>
          </w:tcPr>
          <w:p w14:paraId="7F5336D4">
            <w:pPr>
              <w:pStyle w:val="133"/>
            </w:pPr>
            <w:r>
              <w:t>《关于加强重点行业建设项目区域消减措施监督管理的通知》（环办环评</w:t>
            </w:r>
            <w:r>
              <w:rPr>
                <w:rFonts w:hint="eastAsia"/>
              </w:rPr>
              <w:t>〔2020〕36号</w:t>
            </w:r>
            <w:r>
              <w:t>）</w:t>
            </w:r>
          </w:p>
        </w:tc>
        <w:tc>
          <w:tcPr>
            <w:tcW w:w="2395" w:type="pct"/>
            <w:gridSpan w:val="2"/>
            <w:vAlign w:val="center"/>
          </w:tcPr>
          <w:p w14:paraId="366B6026">
            <w:pPr>
              <w:pStyle w:val="133"/>
              <w:jc w:val="left"/>
            </w:pPr>
            <w:r>
              <w:t>（一）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w:t>
            </w:r>
          </w:p>
        </w:tc>
        <w:tc>
          <w:tcPr>
            <w:tcW w:w="1271" w:type="pct"/>
            <w:vAlign w:val="center"/>
          </w:tcPr>
          <w:p w14:paraId="50545278">
            <w:pPr>
              <w:pStyle w:val="133"/>
            </w:pPr>
            <w:r>
              <w:t>本项目SO</w:t>
            </w:r>
            <w:r>
              <w:rPr>
                <w:vertAlign w:val="subscript"/>
              </w:rPr>
              <w:t>2</w:t>
            </w:r>
            <w:r>
              <w:t>、NOx、烟粉尘、挥发性有机物（VOCs）等四项大气污染物总量指标</w:t>
            </w:r>
            <w:r>
              <w:rPr>
                <w:rFonts w:hint="eastAsia"/>
              </w:rPr>
              <w:t>在哈密市</w:t>
            </w:r>
            <w:r>
              <w:t>区域内</w:t>
            </w:r>
            <w:r>
              <w:rPr>
                <w:rFonts w:hint="eastAsia"/>
              </w:rPr>
              <w:t>等量</w:t>
            </w:r>
            <w:r>
              <w:t>替代，大气污染物排放符合总量控制要求。</w:t>
            </w:r>
          </w:p>
        </w:tc>
        <w:tc>
          <w:tcPr>
            <w:tcW w:w="241" w:type="pct"/>
            <w:vAlign w:val="center"/>
          </w:tcPr>
          <w:p w14:paraId="4DEC9611">
            <w:pPr>
              <w:pStyle w:val="133"/>
            </w:pPr>
            <w:r>
              <w:t>符合</w:t>
            </w:r>
          </w:p>
        </w:tc>
      </w:tr>
      <w:tr w14:paraId="2A09A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Align w:val="center"/>
          </w:tcPr>
          <w:p w14:paraId="7CC1F9B1">
            <w:pPr>
              <w:pStyle w:val="133"/>
            </w:pPr>
            <w:r>
              <w:rPr>
                <w:rFonts w:hint="eastAsia"/>
              </w:rPr>
              <w:t>4</w:t>
            </w:r>
          </w:p>
        </w:tc>
        <w:tc>
          <w:tcPr>
            <w:tcW w:w="922" w:type="pct"/>
            <w:gridSpan w:val="2"/>
            <w:vAlign w:val="center"/>
          </w:tcPr>
          <w:p w14:paraId="3894E76C">
            <w:pPr>
              <w:pStyle w:val="133"/>
            </w:pPr>
            <w:r>
              <w:t>《新疆维吾尔自治区大气污染防治条例》（</w:t>
            </w:r>
            <w:r>
              <w:rPr>
                <w:color w:val="222222"/>
              </w:rPr>
              <w:t>新疆维吾尔自治区第十三届人民代表大会常务委员会公告 第15号</w:t>
            </w:r>
            <w:r>
              <w:t>）</w:t>
            </w:r>
          </w:p>
        </w:tc>
        <w:tc>
          <w:tcPr>
            <w:tcW w:w="2395" w:type="pct"/>
            <w:gridSpan w:val="2"/>
            <w:vAlign w:val="center"/>
          </w:tcPr>
          <w:p w14:paraId="437EF845">
            <w:pPr>
              <w:pStyle w:val="133"/>
            </w:pPr>
            <w:r>
              <w:t>第十六条</w:t>
            </w:r>
            <w:r>
              <w:rPr>
                <w:rFonts w:hint="eastAsia"/>
              </w:rPr>
              <w:t xml:space="preserve"> </w:t>
            </w:r>
            <w:r>
              <w:t>自治区对大气污染物实行排污许可管理制度。</w:t>
            </w:r>
          </w:p>
          <w:p w14:paraId="79074754">
            <w:pPr>
              <w:pStyle w:val="133"/>
            </w:pPr>
            <w:r>
              <w:t>向大气排放工业废气或者排放国家规定的有毒有害大气污染物的企业事业单位、集中供热设施的燃煤热源生产运营单位，以及其他依法实行排污许可管理的单位，应当依法取得排污许可证。</w:t>
            </w:r>
          </w:p>
          <w:p w14:paraId="274860AC">
            <w:pPr>
              <w:pStyle w:val="133"/>
            </w:pPr>
            <w:r>
              <w:t>向大气排放污染物的排污单位，应当按照国家和自治区的规定，设置大气污染物排放口，并明确其标志。</w:t>
            </w:r>
          </w:p>
          <w:p w14:paraId="1EB16367">
            <w:pPr>
              <w:pStyle w:val="133"/>
            </w:pPr>
            <w:r>
              <w:t>第十八条</w:t>
            </w:r>
            <w:r>
              <w:rPr>
                <w:rFonts w:hint="eastAsia"/>
              </w:rPr>
              <w:t xml:space="preserve"> </w:t>
            </w:r>
            <w:r>
              <w:t>向大气排放污染物的企业事业单位和其他生产经营者，应当按照国家有关规定和监测规范，自行或者委托有资质的监测机构监测大气污染物排放情况，并保存原始监测数据记录。</w:t>
            </w:r>
          </w:p>
          <w:p w14:paraId="163F33BF">
            <w:pPr>
              <w:pStyle w:val="133"/>
            </w:pPr>
            <w:r>
              <w:t>重点排污单位应当安装、使用大气污染物排放自动监测设备，与生态环境主管部门的监控平台联网，保证监测设备正常运行，并依法公开排放信息。</w:t>
            </w:r>
          </w:p>
          <w:p w14:paraId="11B0EB40">
            <w:pPr>
              <w:pStyle w:val="133"/>
            </w:pPr>
            <w:r>
              <w:t>第三章 防治措施</w:t>
            </w:r>
          </w:p>
          <w:p w14:paraId="4B3DA6F4">
            <w:pPr>
              <w:pStyle w:val="133"/>
            </w:pPr>
            <w:r>
              <w:t>第二节 工业污染防治</w:t>
            </w:r>
          </w:p>
          <w:p w14:paraId="173ABB08">
            <w:pPr>
              <w:pStyle w:val="133"/>
            </w:pPr>
            <w:r>
              <w:t>第二十七条</w:t>
            </w:r>
            <w:r>
              <w:rPr>
                <w:rFonts w:hint="eastAsia"/>
              </w:rPr>
              <w:t xml:space="preserve"> </w:t>
            </w:r>
            <w:r>
              <w:t>禁止在自治区行政区域内引进能（水）耗不符合相关国家标准中准入值要求且污染物排放和环境风险防控不符合国家（地方）标准及有关产业准入条件的高污染（排放）、高能（水）耗、高环境风险的工业项目。</w:t>
            </w:r>
          </w:p>
          <w:p w14:paraId="4325D3F5">
            <w:pPr>
              <w:pStyle w:val="133"/>
            </w:pPr>
            <w:r>
              <w:t>第二十八条自治区人民政府工业和信息化、发展和改革、生态环境等部门制定产业结构调整目录时，应当将严重污染大气的工艺、设备、产品列入淘汰目录。禁止新建、改建、扩建列入淘汰类目录的高污染工业项目。禁止使用列入淘汰类目录的工艺、设备、产品。</w:t>
            </w:r>
          </w:p>
          <w:p w14:paraId="1D4144BC">
            <w:pPr>
              <w:pStyle w:val="133"/>
            </w:pPr>
            <w:r>
              <w:t>第二十九条县级以上人民政府应当鼓励产业集聚发展，按照主体功能区划合理规划工业园区的布局，引导工业企业入驻工业园区。</w:t>
            </w:r>
          </w:p>
          <w:p w14:paraId="6BF694E5">
            <w:pPr>
              <w:pStyle w:val="133"/>
            </w:pPr>
            <w:r>
              <w:t>第三十条下列产生含挥发性有机物废气的生产和服务活动，应当按照国家规定在密闭空间或者设备中进行，并安装、使用污染防治设施；无法密闭的，应当采取措施减少废气排放。</w:t>
            </w:r>
          </w:p>
        </w:tc>
        <w:tc>
          <w:tcPr>
            <w:tcW w:w="1271" w:type="pct"/>
            <w:vAlign w:val="center"/>
          </w:tcPr>
          <w:p w14:paraId="6DBB02A9">
            <w:pPr>
              <w:pStyle w:val="133"/>
            </w:pPr>
            <w:r>
              <w:t>生产过程中向大气排放工业废气，参照《排污许可证申请与核发技术规范 镁冶炼》（HJ933-2017）</w:t>
            </w:r>
            <w:r>
              <w:rPr>
                <w:rFonts w:hint="eastAsia"/>
              </w:rPr>
              <w:t>、</w:t>
            </w:r>
            <w:r>
              <w:t xml:space="preserve">《排污许可证申请与核发技术规范 </w:t>
            </w:r>
            <w:r>
              <w:rPr>
                <w:rFonts w:hint="eastAsia"/>
              </w:rPr>
              <w:t>炼焦化学工业</w:t>
            </w:r>
            <w:r>
              <w:t>》（HJ</w:t>
            </w:r>
            <w:r>
              <w:rPr>
                <w:rFonts w:hint="eastAsia"/>
              </w:rPr>
              <w:t>854</w:t>
            </w:r>
            <w:r>
              <w:t>-2017）</w:t>
            </w:r>
            <w:r>
              <w:rPr>
                <w:rFonts w:hint="eastAsia"/>
              </w:rPr>
              <w:t>等规范申领</w:t>
            </w:r>
            <w:r>
              <w:t>排污许可证。</w:t>
            </w:r>
          </w:p>
          <w:p w14:paraId="3A61F5C5">
            <w:pPr>
              <w:pStyle w:val="133"/>
            </w:pPr>
            <w:r>
              <w:t>本项目大气污染物排放口按照《排污口规范化整治技术要求</w:t>
            </w:r>
            <w:r>
              <w:rPr>
                <w:rFonts w:hint="eastAsia"/>
              </w:rPr>
              <w:t>（</w:t>
            </w:r>
            <w:r>
              <w:t>试行</w:t>
            </w:r>
            <w:r>
              <w:rPr>
                <w:rFonts w:hint="eastAsia"/>
              </w:rPr>
              <w:t>）</w:t>
            </w:r>
            <w:r>
              <w:t>》要求进行规范化管理，按照《环境保护图形标志》设立相关标志标牌。</w:t>
            </w:r>
          </w:p>
          <w:p w14:paraId="5B1E6174">
            <w:pPr>
              <w:pStyle w:val="133"/>
            </w:pPr>
            <w:r>
              <w:t>本项目</w:t>
            </w:r>
            <w:r>
              <w:rPr>
                <w:rFonts w:hint="eastAsia"/>
              </w:rPr>
              <w:t>参照</w:t>
            </w:r>
            <w:r>
              <w:t xml:space="preserve">《排污单位自行监测技术指南 </w:t>
            </w:r>
            <w:r>
              <w:rPr>
                <w:rFonts w:hint="eastAsia"/>
              </w:rPr>
              <w:t>总则</w:t>
            </w:r>
            <w:r>
              <w:t>》（HJ</w:t>
            </w:r>
            <w:r>
              <w:rPr>
                <w:rFonts w:hint="eastAsia"/>
              </w:rPr>
              <w:t>819-2017</w:t>
            </w:r>
            <w:r>
              <w:t>）</w:t>
            </w:r>
            <w:r>
              <w:rPr>
                <w:rFonts w:hint="eastAsia"/>
              </w:rPr>
              <w:t>、</w:t>
            </w:r>
            <w:r>
              <w:t>《排污单位自行监测技术指南</w:t>
            </w:r>
            <w:r>
              <w:rPr>
                <w:rFonts w:hint="eastAsia"/>
              </w:rPr>
              <w:t xml:space="preserve"> 钢铁工业及炼焦化学工业</w:t>
            </w:r>
            <w:r>
              <w:t>》（HJ</w:t>
            </w:r>
            <w:r>
              <w:rPr>
                <w:rFonts w:hint="eastAsia"/>
              </w:rPr>
              <w:t>878-2018</w:t>
            </w:r>
            <w:r>
              <w:t>）</w:t>
            </w:r>
            <w:r>
              <w:rPr>
                <w:rFonts w:hint="eastAsia"/>
              </w:rPr>
              <w:t>等</w:t>
            </w:r>
            <w:r>
              <w:t>制定自行监测方案并在排污许可证申请表中明确。</w:t>
            </w:r>
          </w:p>
          <w:p w14:paraId="378D85A5">
            <w:pPr>
              <w:pStyle w:val="133"/>
            </w:pPr>
            <w:r>
              <w:t>本项目根据自行监测方案，</w:t>
            </w:r>
            <w:r>
              <w:rPr>
                <w:rFonts w:hint="eastAsia"/>
              </w:rPr>
              <w:t>对</w:t>
            </w:r>
            <w:r>
              <w:t>规定的大气污染物</w:t>
            </w:r>
            <w:r>
              <w:rPr>
                <w:rFonts w:hint="eastAsia"/>
              </w:rPr>
              <w:t>设置</w:t>
            </w:r>
            <w:r>
              <w:t>排放自动监测设备，与生态环境主管部门的监控平台联网。</w:t>
            </w:r>
          </w:p>
          <w:p w14:paraId="4B4CD100">
            <w:pPr>
              <w:pStyle w:val="133"/>
            </w:pPr>
            <w:r>
              <w:t>本项目能耗及水耗指标达到国家相关指标</w:t>
            </w:r>
            <w:r>
              <w:rPr>
                <w:rFonts w:hint="eastAsia"/>
              </w:rPr>
              <w:t>、</w:t>
            </w:r>
            <w:r>
              <w:t>污染物排放和环境风险防控符合国家（地方）标准及有关产业准入条件</w:t>
            </w:r>
            <w:r>
              <w:rPr>
                <w:rFonts w:hint="eastAsia"/>
              </w:rPr>
              <w:t>。</w:t>
            </w:r>
          </w:p>
          <w:p w14:paraId="5CFAC078">
            <w:pPr>
              <w:pStyle w:val="133"/>
            </w:pPr>
            <w:r>
              <w:t>本项目不涉及淘汰类目录的工艺、设备、产品。</w:t>
            </w:r>
          </w:p>
          <w:p w14:paraId="1AB6A2C6">
            <w:pPr>
              <w:pStyle w:val="133"/>
            </w:pPr>
            <w:r>
              <w:t>本项目位于</w:t>
            </w:r>
            <w:r>
              <w:rPr>
                <w:rFonts w:hint="eastAsia"/>
              </w:rPr>
              <w:t>哈密高新技术产业开发区南部循环经济产业园新材料产业区，规划用地类型为三类工业用地</w:t>
            </w:r>
            <w:r>
              <w:t>，选址符合《</w:t>
            </w:r>
            <w:r>
              <w:rPr>
                <w:rFonts w:hint="eastAsia"/>
              </w:rPr>
              <w:t>哈密高新技术产业开发区国土空间专项</w:t>
            </w:r>
            <w:r>
              <w:t>规划（2023</w:t>
            </w:r>
            <w:r>
              <w:rPr>
                <w:rFonts w:hint="eastAsia"/>
              </w:rPr>
              <w:t>—</w:t>
            </w:r>
            <w:r>
              <w:t>2035年）》。</w:t>
            </w:r>
          </w:p>
          <w:p w14:paraId="6B8F3DF9">
            <w:pPr>
              <w:pStyle w:val="133"/>
            </w:pPr>
            <w:r>
              <w:t>本项目对产生含挥发性有机物废气的环节均在密闭空间或者设备中进行或配套污染防治措施，减少废气排放。</w:t>
            </w:r>
          </w:p>
        </w:tc>
        <w:tc>
          <w:tcPr>
            <w:tcW w:w="241" w:type="pct"/>
            <w:vAlign w:val="center"/>
          </w:tcPr>
          <w:p w14:paraId="71497490">
            <w:pPr>
              <w:pStyle w:val="133"/>
            </w:pPr>
            <w:r>
              <w:t>符合</w:t>
            </w:r>
          </w:p>
        </w:tc>
      </w:tr>
      <w:tr w14:paraId="3C1F4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restart"/>
            <w:vAlign w:val="center"/>
          </w:tcPr>
          <w:p w14:paraId="4EBC96F2">
            <w:pPr>
              <w:pStyle w:val="133"/>
            </w:pPr>
            <w:r>
              <w:rPr>
                <w:rFonts w:hint="eastAsia"/>
              </w:rPr>
              <w:t>5</w:t>
            </w:r>
          </w:p>
        </w:tc>
        <w:tc>
          <w:tcPr>
            <w:tcW w:w="536" w:type="pct"/>
            <w:vMerge w:val="restart"/>
            <w:vAlign w:val="center"/>
          </w:tcPr>
          <w:p w14:paraId="33F79FE0">
            <w:pPr>
              <w:pStyle w:val="133"/>
            </w:pPr>
            <w:r>
              <w:t>《新疆维吾尔自治区重点行业</w:t>
            </w:r>
            <w:r>
              <w:rPr>
                <w:rFonts w:hint="eastAsia"/>
              </w:rPr>
              <w:t>生态</w:t>
            </w:r>
            <w:r>
              <w:t>环境准入条件</w:t>
            </w:r>
            <w:r>
              <w:rPr>
                <w:rFonts w:hint="eastAsia"/>
              </w:rPr>
              <w:t>（2024年）</w:t>
            </w:r>
            <w:r>
              <w:t>》（</w:t>
            </w:r>
            <w:r>
              <w:rPr>
                <w:rFonts w:hint="eastAsia"/>
              </w:rPr>
              <w:t>新环环评发〔2024〕93号</w:t>
            </w:r>
            <w:r>
              <w:t>）</w:t>
            </w:r>
          </w:p>
        </w:tc>
        <w:tc>
          <w:tcPr>
            <w:tcW w:w="386" w:type="pct"/>
            <w:vMerge w:val="restart"/>
            <w:vAlign w:val="center"/>
          </w:tcPr>
          <w:p w14:paraId="3DBD25AC">
            <w:pPr>
              <w:pStyle w:val="133"/>
            </w:pPr>
            <w:r>
              <w:rPr>
                <w:rFonts w:hint="eastAsia"/>
              </w:rPr>
              <w:t>通则</w:t>
            </w:r>
          </w:p>
        </w:tc>
        <w:tc>
          <w:tcPr>
            <w:tcW w:w="2395" w:type="pct"/>
            <w:gridSpan w:val="2"/>
            <w:vAlign w:val="center"/>
          </w:tcPr>
          <w:p w14:paraId="1C5B1466">
            <w:pPr>
              <w:pStyle w:val="133"/>
              <w:rPr>
                <w:bCs/>
              </w:rPr>
            </w:pPr>
            <w:r>
              <w:rPr>
                <w:rFonts w:hint="eastAsia"/>
                <w:bCs/>
              </w:rPr>
              <w:t>建设单位应依法依规组织编制环境影响评价文件，并报具有审批权限的生态环境部门审批。</w:t>
            </w:r>
          </w:p>
        </w:tc>
        <w:tc>
          <w:tcPr>
            <w:tcW w:w="1271" w:type="pct"/>
            <w:vAlign w:val="center"/>
          </w:tcPr>
          <w:p w14:paraId="6D2A4985">
            <w:pPr>
              <w:pStyle w:val="133"/>
            </w:pPr>
            <w:r>
              <w:t>本项目</w:t>
            </w:r>
            <w:r>
              <w:rPr>
                <w:rFonts w:hint="eastAsia"/>
              </w:rPr>
              <w:t>编制</w:t>
            </w:r>
            <w:r>
              <w:t>环境影响评价文件，</w:t>
            </w:r>
            <w:r>
              <w:rPr>
                <w:rFonts w:hint="eastAsia"/>
              </w:rPr>
              <w:t>并</w:t>
            </w:r>
            <w:r>
              <w:t>报生态环境主管部门审批。</w:t>
            </w:r>
          </w:p>
        </w:tc>
        <w:tc>
          <w:tcPr>
            <w:tcW w:w="241" w:type="pct"/>
            <w:vAlign w:val="center"/>
          </w:tcPr>
          <w:p w14:paraId="0A536390">
            <w:pPr>
              <w:pStyle w:val="133"/>
            </w:pPr>
            <w:r>
              <w:t>符合</w:t>
            </w:r>
          </w:p>
        </w:tc>
      </w:tr>
      <w:tr w14:paraId="6B0FC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164E1655">
            <w:pPr>
              <w:pStyle w:val="133"/>
            </w:pPr>
          </w:p>
        </w:tc>
        <w:tc>
          <w:tcPr>
            <w:tcW w:w="536" w:type="pct"/>
            <w:vMerge w:val="continue"/>
            <w:vAlign w:val="center"/>
          </w:tcPr>
          <w:p w14:paraId="4CBB7DCA">
            <w:pPr>
              <w:pStyle w:val="133"/>
            </w:pPr>
          </w:p>
        </w:tc>
        <w:tc>
          <w:tcPr>
            <w:tcW w:w="386" w:type="pct"/>
            <w:vMerge w:val="continue"/>
            <w:vAlign w:val="center"/>
          </w:tcPr>
          <w:p w14:paraId="4FD59017">
            <w:pPr>
              <w:pStyle w:val="133"/>
            </w:pPr>
          </w:p>
        </w:tc>
        <w:tc>
          <w:tcPr>
            <w:tcW w:w="2395" w:type="pct"/>
            <w:gridSpan w:val="2"/>
            <w:vAlign w:val="center"/>
          </w:tcPr>
          <w:p w14:paraId="4F0596CD">
            <w:pPr>
              <w:pStyle w:val="133"/>
            </w:pPr>
            <w:r>
              <w:rPr>
                <w:rFonts w:hint="eastAsia"/>
                <w:bCs/>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1271" w:type="pct"/>
            <w:vAlign w:val="center"/>
          </w:tcPr>
          <w:p w14:paraId="24770526">
            <w:pPr>
              <w:pStyle w:val="133"/>
            </w:pPr>
            <w:r>
              <w:t>本项目建设符合《产业结构调整指导目录（2024</w:t>
            </w:r>
            <w:r>
              <w:rPr>
                <w:rFonts w:hint="eastAsia"/>
              </w:rPr>
              <w:t>年本</w:t>
            </w:r>
            <w:r>
              <w:t>）》等国家、自治区相关产业政策、法律法规、条例等要求，未采用国家和自治区淘汰或禁止使用的工艺、技术和设备，采用的工艺、技术和设备符合相关要求。</w:t>
            </w:r>
          </w:p>
        </w:tc>
        <w:tc>
          <w:tcPr>
            <w:tcW w:w="241" w:type="pct"/>
            <w:vAlign w:val="center"/>
          </w:tcPr>
          <w:p w14:paraId="050D5202">
            <w:pPr>
              <w:pStyle w:val="133"/>
            </w:pPr>
            <w:r>
              <w:t>符合</w:t>
            </w:r>
          </w:p>
        </w:tc>
      </w:tr>
      <w:tr w14:paraId="56D90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57C45EF3">
            <w:pPr>
              <w:pStyle w:val="133"/>
            </w:pPr>
          </w:p>
        </w:tc>
        <w:tc>
          <w:tcPr>
            <w:tcW w:w="536" w:type="pct"/>
            <w:vMerge w:val="continue"/>
            <w:vAlign w:val="center"/>
          </w:tcPr>
          <w:p w14:paraId="237B761B">
            <w:pPr>
              <w:pStyle w:val="133"/>
            </w:pPr>
          </w:p>
        </w:tc>
        <w:tc>
          <w:tcPr>
            <w:tcW w:w="386" w:type="pct"/>
            <w:vMerge w:val="continue"/>
            <w:vAlign w:val="center"/>
          </w:tcPr>
          <w:p w14:paraId="526EBDE1">
            <w:pPr>
              <w:pStyle w:val="133"/>
            </w:pPr>
          </w:p>
        </w:tc>
        <w:tc>
          <w:tcPr>
            <w:tcW w:w="2395" w:type="pct"/>
            <w:gridSpan w:val="2"/>
            <w:vAlign w:val="center"/>
          </w:tcPr>
          <w:p w14:paraId="7D7732EE">
            <w:pPr>
              <w:pStyle w:val="133"/>
              <w:rPr>
                <w:bCs/>
              </w:rPr>
            </w:pPr>
            <w:r>
              <w:rPr>
                <w:rFonts w:hint="eastAsia"/>
                <w:bCs/>
              </w:rPr>
              <w:t>一切开发建设活动应符合国家、自治区主体功能区规划、自治区和各地颁布实施的国民经济发展规划、生态功能区划、国土空间规划、产业发展规划等相关规划及生态环境分区管控要求，符合区域（流域）或产业规划环评及审查意见要求。</w:t>
            </w:r>
          </w:p>
        </w:tc>
        <w:tc>
          <w:tcPr>
            <w:tcW w:w="1271" w:type="pct"/>
            <w:vAlign w:val="center"/>
          </w:tcPr>
          <w:p w14:paraId="60E9DEA1">
            <w:pPr>
              <w:pStyle w:val="133"/>
            </w:pPr>
            <w:r>
              <w:t>本项目符合</w:t>
            </w:r>
            <w:r>
              <w:rPr>
                <w:rFonts w:hint="eastAsia"/>
                <w:bCs/>
              </w:rPr>
              <w:t>国家、自治区主体功能区规划、自治区和各地颁布实施的国民经济发展规划、生态功能区划、国土空间规划、产业发展规划</w:t>
            </w:r>
            <w:r>
              <w:t>等相关规划要求</w:t>
            </w:r>
            <w:r>
              <w:rPr>
                <w:rFonts w:hint="eastAsia"/>
              </w:rPr>
              <w:t>；符合区域</w:t>
            </w:r>
            <w:r>
              <w:rPr>
                <w:rFonts w:hint="eastAsia"/>
                <w:bCs/>
              </w:rPr>
              <w:t>生态环境分区管控要求；符合园区总体规划环评及审查意见要求。</w:t>
            </w:r>
          </w:p>
        </w:tc>
        <w:tc>
          <w:tcPr>
            <w:tcW w:w="241" w:type="pct"/>
            <w:vAlign w:val="center"/>
          </w:tcPr>
          <w:p w14:paraId="070E9E3C">
            <w:pPr>
              <w:pStyle w:val="133"/>
            </w:pPr>
            <w:r>
              <w:t>符合</w:t>
            </w:r>
          </w:p>
        </w:tc>
      </w:tr>
      <w:tr w14:paraId="748F56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5FA6DDE3">
            <w:pPr>
              <w:pStyle w:val="133"/>
            </w:pPr>
          </w:p>
        </w:tc>
        <w:tc>
          <w:tcPr>
            <w:tcW w:w="536" w:type="pct"/>
            <w:vMerge w:val="continue"/>
            <w:vAlign w:val="center"/>
          </w:tcPr>
          <w:p w14:paraId="1F9B3791">
            <w:pPr>
              <w:pStyle w:val="133"/>
            </w:pPr>
          </w:p>
        </w:tc>
        <w:tc>
          <w:tcPr>
            <w:tcW w:w="386" w:type="pct"/>
            <w:vMerge w:val="continue"/>
            <w:vAlign w:val="center"/>
          </w:tcPr>
          <w:p w14:paraId="20AF70F2">
            <w:pPr>
              <w:pStyle w:val="133"/>
            </w:pPr>
          </w:p>
        </w:tc>
        <w:tc>
          <w:tcPr>
            <w:tcW w:w="2395" w:type="pct"/>
            <w:gridSpan w:val="2"/>
            <w:vAlign w:val="center"/>
          </w:tcPr>
          <w:p w14:paraId="058CC165">
            <w:pPr>
              <w:pStyle w:val="133"/>
            </w:pPr>
            <w:r>
              <w:rPr>
                <w:rFonts w:hint="eastAsia"/>
                <w:bCs/>
              </w:rPr>
              <w:t>禁止在自然保护区、世界自然遗产地、风景名胜区、自然公园（森林公园、地质公园、湿地公园、沙漠公园等）、重要湿地、饮用水水源保护区等依法划定禁止开发建设的环境敏感区及其它法律法规规章禁止的区域进行污染环境的任何开发活动。</w:t>
            </w:r>
          </w:p>
        </w:tc>
        <w:tc>
          <w:tcPr>
            <w:tcW w:w="1271" w:type="pct"/>
            <w:vAlign w:val="center"/>
          </w:tcPr>
          <w:p w14:paraId="03E3EC21">
            <w:pPr>
              <w:pStyle w:val="133"/>
            </w:pPr>
            <w:r>
              <w:t>本项目</w:t>
            </w:r>
            <w:r>
              <w:rPr>
                <w:rFonts w:hint="eastAsia"/>
              </w:rPr>
              <w:t>选址</w:t>
            </w:r>
            <w:r>
              <w:t>于</w:t>
            </w:r>
            <w:r>
              <w:rPr>
                <w:rFonts w:hint="eastAsia"/>
              </w:rPr>
              <w:t>哈密高新技术产业开发区南部循环经济产业园</w:t>
            </w:r>
            <w:r>
              <w:t>，不在环境敏感</w:t>
            </w:r>
            <w:r>
              <w:rPr>
                <w:rFonts w:hint="eastAsia"/>
              </w:rPr>
              <w:t>区</w:t>
            </w:r>
            <w:r>
              <w:t>范围内。</w:t>
            </w:r>
          </w:p>
        </w:tc>
        <w:tc>
          <w:tcPr>
            <w:tcW w:w="241" w:type="pct"/>
            <w:vAlign w:val="center"/>
          </w:tcPr>
          <w:p w14:paraId="59E65673">
            <w:pPr>
              <w:pStyle w:val="133"/>
            </w:pPr>
            <w:r>
              <w:t>符合</w:t>
            </w:r>
          </w:p>
        </w:tc>
      </w:tr>
      <w:tr w14:paraId="27447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3A062061">
            <w:pPr>
              <w:pStyle w:val="133"/>
            </w:pPr>
          </w:p>
        </w:tc>
        <w:tc>
          <w:tcPr>
            <w:tcW w:w="536" w:type="pct"/>
            <w:vMerge w:val="continue"/>
            <w:vAlign w:val="center"/>
          </w:tcPr>
          <w:p w14:paraId="18150D45">
            <w:pPr>
              <w:pStyle w:val="133"/>
            </w:pPr>
          </w:p>
        </w:tc>
        <w:tc>
          <w:tcPr>
            <w:tcW w:w="386" w:type="pct"/>
            <w:vMerge w:val="continue"/>
            <w:vAlign w:val="center"/>
          </w:tcPr>
          <w:p w14:paraId="7AAAD659">
            <w:pPr>
              <w:pStyle w:val="133"/>
            </w:pPr>
          </w:p>
        </w:tc>
        <w:tc>
          <w:tcPr>
            <w:tcW w:w="2395" w:type="pct"/>
            <w:gridSpan w:val="2"/>
            <w:vAlign w:val="center"/>
          </w:tcPr>
          <w:p w14:paraId="06EDFCB6">
            <w:pPr>
              <w:pStyle w:val="133"/>
            </w:pPr>
            <w:r>
              <w:rPr>
                <w:rFonts w:hint="eastAsia"/>
                <w:bCs/>
              </w:rPr>
              <w:t>新建、扩建工业项目原则上应布置于依法合规设立、环境保护基础设施完善的产业园区、工业聚集区或规划矿区，并符合相关规划、规划环评及其审查意见要求；法律法规规章和政策另有规定的，从其规定。</w:t>
            </w:r>
          </w:p>
        </w:tc>
        <w:tc>
          <w:tcPr>
            <w:tcW w:w="1271" w:type="pct"/>
            <w:vAlign w:val="center"/>
          </w:tcPr>
          <w:p w14:paraId="730486A4">
            <w:pPr>
              <w:pStyle w:val="133"/>
            </w:pPr>
            <w:r>
              <w:rPr>
                <w:rFonts w:hint="eastAsia"/>
                <w:bCs/>
              </w:rPr>
              <w:t>本项目选址在依法设立、环境保护基础设施齐全，并符合规划、规划环评及其审查意见要求的产业园区内。</w:t>
            </w:r>
          </w:p>
        </w:tc>
        <w:tc>
          <w:tcPr>
            <w:tcW w:w="241" w:type="pct"/>
            <w:vAlign w:val="center"/>
          </w:tcPr>
          <w:p w14:paraId="0FAE2815">
            <w:pPr>
              <w:pStyle w:val="133"/>
            </w:pPr>
            <w:r>
              <w:t>符合</w:t>
            </w:r>
          </w:p>
        </w:tc>
      </w:tr>
      <w:tr w14:paraId="4432F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0816FA69">
            <w:pPr>
              <w:pStyle w:val="133"/>
            </w:pPr>
          </w:p>
        </w:tc>
        <w:tc>
          <w:tcPr>
            <w:tcW w:w="536" w:type="pct"/>
            <w:vMerge w:val="continue"/>
            <w:vAlign w:val="center"/>
          </w:tcPr>
          <w:p w14:paraId="74914EF4">
            <w:pPr>
              <w:pStyle w:val="133"/>
            </w:pPr>
          </w:p>
        </w:tc>
        <w:tc>
          <w:tcPr>
            <w:tcW w:w="386" w:type="pct"/>
            <w:vMerge w:val="continue"/>
            <w:vAlign w:val="center"/>
          </w:tcPr>
          <w:p w14:paraId="058EEB6B">
            <w:pPr>
              <w:pStyle w:val="133"/>
            </w:pPr>
          </w:p>
        </w:tc>
        <w:tc>
          <w:tcPr>
            <w:tcW w:w="2395" w:type="pct"/>
            <w:gridSpan w:val="2"/>
            <w:vAlign w:val="center"/>
          </w:tcPr>
          <w:p w14:paraId="56EA1640">
            <w:pPr>
              <w:pStyle w:val="133"/>
            </w:pPr>
            <w:r>
              <w:rPr>
                <w:rFonts w:hint="eastAsia"/>
                <w:bCs/>
              </w:rPr>
              <w:t>新、改、扩建有色金属冶炼项目必须布局在依法设立、环境保护基础设施齐全，并符合规划、规划环评及其审查意见要求的产业园区内。</w:t>
            </w:r>
          </w:p>
        </w:tc>
        <w:tc>
          <w:tcPr>
            <w:tcW w:w="1271" w:type="pct"/>
            <w:vAlign w:val="center"/>
          </w:tcPr>
          <w:p w14:paraId="6D647FCC">
            <w:pPr>
              <w:pStyle w:val="133"/>
            </w:pPr>
            <w:r>
              <w:rPr>
                <w:rFonts w:hint="eastAsia"/>
                <w:bCs/>
              </w:rPr>
              <w:t>本项目选址在依法设立、环境保护基础设施齐全，并符合规划、规划环评及其审查意见要求的产业园区内。</w:t>
            </w:r>
          </w:p>
        </w:tc>
        <w:tc>
          <w:tcPr>
            <w:tcW w:w="241" w:type="pct"/>
            <w:vAlign w:val="center"/>
          </w:tcPr>
          <w:p w14:paraId="43879A30">
            <w:pPr>
              <w:pStyle w:val="133"/>
            </w:pPr>
            <w:r>
              <w:t>符合</w:t>
            </w:r>
          </w:p>
        </w:tc>
      </w:tr>
      <w:tr w14:paraId="7E82D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735F1C22">
            <w:pPr>
              <w:pStyle w:val="133"/>
            </w:pPr>
          </w:p>
        </w:tc>
        <w:tc>
          <w:tcPr>
            <w:tcW w:w="536" w:type="pct"/>
            <w:vMerge w:val="continue"/>
            <w:vAlign w:val="center"/>
          </w:tcPr>
          <w:p w14:paraId="22C746A7">
            <w:pPr>
              <w:pStyle w:val="133"/>
            </w:pPr>
          </w:p>
        </w:tc>
        <w:tc>
          <w:tcPr>
            <w:tcW w:w="386" w:type="pct"/>
            <w:vAlign w:val="center"/>
          </w:tcPr>
          <w:p w14:paraId="51EE49B6">
            <w:pPr>
              <w:pStyle w:val="133"/>
            </w:pPr>
            <w:r>
              <w:rPr>
                <w:rFonts w:hint="eastAsia"/>
              </w:rPr>
              <w:t>有色金属冶炼行业</w:t>
            </w:r>
          </w:p>
        </w:tc>
        <w:tc>
          <w:tcPr>
            <w:tcW w:w="2395" w:type="pct"/>
            <w:gridSpan w:val="2"/>
            <w:vAlign w:val="center"/>
          </w:tcPr>
          <w:p w14:paraId="3D8EAB2D">
            <w:pPr>
              <w:pStyle w:val="133"/>
              <w:rPr>
                <w:bCs/>
              </w:rPr>
            </w:pPr>
            <w:r>
              <w:rPr>
                <w:rFonts w:hint="eastAsia"/>
                <w:bCs/>
              </w:rPr>
              <w:t>新、改、扩建有色金属冶炼项目必须布局在依法设立、环境保护基础设施齐全，并符合规划、规划环评及其审查意见要求的产业园区内。</w:t>
            </w:r>
          </w:p>
        </w:tc>
        <w:tc>
          <w:tcPr>
            <w:tcW w:w="1271" w:type="pct"/>
            <w:vAlign w:val="center"/>
          </w:tcPr>
          <w:p w14:paraId="2549B1F2">
            <w:pPr>
              <w:pStyle w:val="133"/>
              <w:rPr>
                <w:bCs/>
              </w:rPr>
            </w:pPr>
            <w:r>
              <w:rPr>
                <w:rFonts w:hint="eastAsia"/>
                <w:bCs/>
              </w:rPr>
              <w:t>本项目选址在依法设立、环境保护基础设施齐全，并符合规划、规划环评及其审查意见要求的产业园区内。</w:t>
            </w:r>
          </w:p>
        </w:tc>
        <w:tc>
          <w:tcPr>
            <w:tcW w:w="241" w:type="pct"/>
            <w:vAlign w:val="center"/>
          </w:tcPr>
          <w:p w14:paraId="173C472A">
            <w:pPr>
              <w:pStyle w:val="133"/>
            </w:pPr>
            <w:r>
              <w:t>符合</w:t>
            </w:r>
          </w:p>
        </w:tc>
      </w:tr>
      <w:tr w14:paraId="280915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71" w:type="pct"/>
            <w:vMerge w:val="continue"/>
            <w:vAlign w:val="center"/>
          </w:tcPr>
          <w:p w14:paraId="7D6D6157">
            <w:pPr>
              <w:pStyle w:val="133"/>
            </w:pPr>
          </w:p>
        </w:tc>
        <w:tc>
          <w:tcPr>
            <w:tcW w:w="536" w:type="pct"/>
            <w:vMerge w:val="continue"/>
            <w:vAlign w:val="center"/>
          </w:tcPr>
          <w:p w14:paraId="683C4934">
            <w:pPr>
              <w:pStyle w:val="133"/>
            </w:pPr>
          </w:p>
        </w:tc>
        <w:tc>
          <w:tcPr>
            <w:tcW w:w="386" w:type="pct"/>
            <w:vMerge w:val="restart"/>
            <w:vAlign w:val="center"/>
          </w:tcPr>
          <w:p w14:paraId="6BD140CE">
            <w:pPr>
              <w:pStyle w:val="133"/>
            </w:pPr>
            <w:r>
              <w:rPr>
                <w:rFonts w:hint="eastAsia"/>
              </w:rPr>
              <w:t>现代煤化工、传统煤化工（焦化）、石油天然气化工、电石行业</w:t>
            </w:r>
          </w:p>
        </w:tc>
        <w:tc>
          <w:tcPr>
            <w:tcW w:w="2395" w:type="pct"/>
            <w:gridSpan w:val="2"/>
            <w:vAlign w:val="center"/>
          </w:tcPr>
          <w:p w14:paraId="55B014C6">
            <w:pPr>
              <w:tabs>
                <w:tab w:val="left" w:pos="5308"/>
                <w:tab w:val="center" w:pos="7219"/>
              </w:tabs>
              <w:spacing w:line="240" w:lineRule="auto"/>
              <w:ind w:firstLine="420"/>
              <w:rPr>
                <w:sz w:val="21"/>
                <w:szCs w:val="21"/>
              </w:rPr>
            </w:pPr>
            <w:r>
              <w:rPr>
                <w:rFonts w:hint="eastAsia"/>
                <w:sz w:val="21"/>
                <w:szCs w:val="21"/>
              </w:rPr>
              <w:t>新、改、扩建现代煤化工、传统煤化工（焦化）、石油天然气化工、电石等化工项目应布设在依法设立、环境保护基础设施齐全，并符合规划、规划环评及其审查意见要求的产业园区。新建项目应符合《新疆维吾尔自治区新建化工项目准入条件（试行）》（新工信石化〔2021〕1号）。</w:t>
            </w:r>
          </w:p>
          <w:p w14:paraId="5F19C62C">
            <w:pPr>
              <w:pStyle w:val="133"/>
            </w:pPr>
            <w:r>
              <w:rPr>
                <w:rFonts w:hint="eastAsia"/>
              </w:rPr>
              <w:t>新、改、扩建现代煤化工、传统煤化工（焦化）、石油天然气化工、电石等化工项目应符合国家、自治区产业政策、布局及产能置换要求。焦化、电石等项目应符合产能过剩行业政策要求。鼓励电石装置与兰炭、石灰石、发电等上游原料和能源，聚氯乙烯、1,4-丁二醇等下游产品生产装置配套建设。国家有明确规定的现代煤化工项目选址应符合现代煤化工创新发展布局方案等有关产业规划。</w:t>
            </w:r>
          </w:p>
          <w:p w14:paraId="7AD46271">
            <w:pPr>
              <w:pStyle w:val="133"/>
              <w:rPr>
                <w:bCs/>
              </w:rPr>
            </w:pPr>
            <w:r>
              <w:rPr>
                <w:rFonts w:hint="eastAsia"/>
                <w:szCs w:val="21"/>
              </w:rPr>
              <w:t>在符合产业政策、满足区域大气环境空气质量改善和污染物总量控制要求、不扩大生产规模的前提下，允许不在通过认定的化工园区和化工聚集区的现代煤化工、传统煤化工（焦化）、石油天然气化工、电石等生产企业进行工艺优化升级、安全条件改善、事故隐患治理和环保水平提高的相关技术改造。</w:t>
            </w:r>
          </w:p>
          <w:p w14:paraId="40D18ECC">
            <w:pPr>
              <w:pStyle w:val="133"/>
              <w:rPr>
                <w:bCs/>
              </w:rPr>
            </w:pPr>
            <w:r>
              <w:rPr>
                <w:rFonts w:hint="eastAsia"/>
                <w:szCs w:val="21"/>
              </w:rPr>
              <w:t>在符合产业政策、满足区域大气环境空气质量改善和污染物总量控制要求、不扩大生产规模的前提下，允许不在通过认定的化工园区和化工聚集区的现代煤化工、传统煤化工（焦化）、石油天然气化工、电石等生产企业进行工艺优化升级、安全条件改善、事故隐患治理和环保水平提高的相关技术改造。</w:t>
            </w:r>
          </w:p>
        </w:tc>
        <w:tc>
          <w:tcPr>
            <w:tcW w:w="1271" w:type="pct"/>
            <w:vAlign w:val="center"/>
          </w:tcPr>
          <w:p w14:paraId="42600ACA">
            <w:pPr>
              <w:pStyle w:val="133"/>
              <w:rPr>
                <w:bCs/>
              </w:rPr>
            </w:pPr>
            <w:r>
              <w:rPr>
                <w:rFonts w:hint="eastAsia"/>
                <w:bCs/>
              </w:rPr>
              <w:t>本项目选址在依法设立、环境保护基础设施齐全，并符合规划、规划环评及其审查意见要求的产业园区内。</w:t>
            </w:r>
          </w:p>
          <w:p w14:paraId="798AC9AF">
            <w:pPr>
              <w:pStyle w:val="133"/>
              <w:rPr>
                <w:bCs/>
              </w:rPr>
            </w:pPr>
            <w:r>
              <w:rPr>
                <w:rFonts w:hint="eastAsia"/>
                <w:bCs/>
              </w:rPr>
              <w:t>本项目兰炭生产线为镁冶炼配套工程，本次改造对生产线进行工艺优化提升、提高环保水平。</w:t>
            </w:r>
          </w:p>
        </w:tc>
        <w:tc>
          <w:tcPr>
            <w:tcW w:w="241" w:type="pct"/>
            <w:vAlign w:val="center"/>
          </w:tcPr>
          <w:p w14:paraId="5C684AC3">
            <w:pPr>
              <w:pStyle w:val="133"/>
            </w:pPr>
            <w:r>
              <w:t>符合</w:t>
            </w:r>
          </w:p>
        </w:tc>
      </w:tr>
      <w:tr w14:paraId="7791C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01818282">
            <w:pPr>
              <w:pStyle w:val="133"/>
            </w:pPr>
          </w:p>
        </w:tc>
        <w:tc>
          <w:tcPr>
            <w:tcW w:w="536" w:type="pct"/>
            <w:vMerge w:val="continue"/>
            <w:vAlign w:val="center"/>
          </w:tcPr>
          <w:p w14:paraId="60786D59">
            <w:pPr>
              <w:pStyle w:val="133"/>
            </w:pPr>
          </w:p>
        </w:tc>
        <w:tc>
          <w:tcPr>
            <w:tcW w:w="386" w:type="pct"/>
            <w:vMerge w:val="continue"/>
            <w:vAlign w:val="center"/>
          </w:tcPr>
          <w:p w14:paraId="0707CB0D">
            <w:pPr>
              <w:pStyle w:val="133"/>
            </w:pPr>
          </w:p>
        </w:tc>
        <w:tc>
          <w:tcPr>
            <w:tcW w:w="2395" w:type="pct"/>
            <w:gridSpan w:val="2"/>
            <w:vAlign w:val="center"/>
          </w:tcPr>
          <w:p w14:paraId="510556E3">
            <w:pPr>
              <w:tabs>
                <w:tab w:val="left" w:pos="5308"/>
                <w:tab w:val="center" w:pos="7219"/>
              </w:tabs>
              <w:spacing w:line="240" w:lineRule="auto"/>
              <w:ind w:firstLine="420"/>
              <w:rPr>
                <w:bCs/>
                <w:sz w:val="21"/>
                <w:szCs w:val="21"/>
              </w:rPr>
            </w:pPr>
            <w:r>
              <w:rPr>
                <w:rFonts w:hint="eastAsia"/>
                <w:bCs/>
                <w:sz w:val="21"/>
                <w:szCs w:val="21"/>
              </w:rPr>
              <w:t>（1）焦化生产企业产生的焦炉煤气应全部回收利用，不得放散。钢铁联合企业、独立焦化企业应同步配套建设干熄焦装置并配套建设相应除尘装置，煤炭等颗粒性物料应储存在封闭仓库，有组织废气应进行收集并按要求配备高效的脱硫、脱硝、除尘设施，焦炉煤气净化系统、罐区、酚氰废水预处理设施区域以及装卸产生的含挥发性有机物气体应进行收集处理，新、改、扩建项目大气污染物排放应达到《关于推进实施焦化行业超低排放的意见》（环大气〔2024〕5号）中超低排放要求，现有焦化项目应按时限要求完成超低排放改造。</w:t>
            </w:r>
          </w:p>
          <w:p w14:paraId="54E31FE6">
            <w:pPr>
              <w:tabs>
                <w:tab w:val="left" w:pos="5308"/>
                <w:tab w:val="center" w:pos="7219"/>
              </w:tabs>
              <w:spacing w:line="240" w:lineRule="auto"/>
              <w:ind w:firstLine="420"/>
              <w:rPr>
                <w:bCs/>
                <w:sz w:val="21"/>
                <w:szCs w:val="21"/>
              </w:rPr>
            </w:pPr>
            <w:r>
              <w:rPr>
                <w:rFonts w:hint="eastAsia"/>
                <w:bCs/>
                <w:sz w:val="21"/>
                <w:szCs w:val="21"/>
              </w:rPr>
              <w:t>（2）焦化企业生产废水应配套建设污水焚烧处理或蒸氨、脱酚、脱氰生化等有效处理设施，并按照设计规范配套建设生产废水事故储槽（池）。熄焦水应闭路循环，酚氰废水应处理达标后循环使用，严禁外排。半焦（兰炭）生产企业的氨水循环水池、焦油分离池应建在地面以上。排放废水应达到《炼焦化学工业污染物排放标准》（GB16171）要求。</w:t>
            </w:r>
          </w:p>
          <w:p w14:paraId="284BA7CD">
            <w:pPr>
              <w:tabs>
                <w:tab w:val="left" w:pos="5308"/>
                <w:tab w:val="center" w:pos="7219"/>
              </w:tabs>
              <w:spacing w:line="240" w:lineRule="auto"/>
              <w:ind w:firstLine="420"/>
              <w:rPr>
                <w:bCs/>
                <w:sz w:val="21"/>
                <w:szCs w:val="21"/>
              </w:rPr>
            </w:pPr>
            <w:r>
              <w:rPr>
                <w:rFonts w:hint="eastAsia"/>
                <w:bCs/>
                <w:sz w:val="21"/>
                <w:szCs w:val="21"/>
              </w:rPr>
              <w:t>（3）焦化生产企业主要产品应符合国家、行业或地方标准。焦炭产品质量应符合国家标准规定。备配煤、推焦、装煤、熄焦及筛焦工段除尘器回收的煤（焦）尘、焦油渣、粗苯蒸馏再生器残渣、苯精制酸焦油渣、脱硫废渣（液）以及生化剩余污泥等固（液）体废弃物，应按照相关法律法规要求处理（置）和利用。煤气脱硫产生的硫黄（硫泥、硫膏）和含酚废水处理产生的酚钠盐（液）应开展危险特性鉴别，作为副产品管理时应满足适用的产品质量标准和《固体废物鉴别标准通则》（GB34330）相关要求。一般工业固体废物和危险废物贮存和处置应分别达到《一般工业固体废物贮存和填埋污染控制标准》（GB18599）和《危险废物贮存污染控制标准》（GB18597）、《危险废物填埋污染控制标准》（GB18598）、《危险废物焚烧污染控制标准》（GB18484）等相关要求。</w:t>
            </w:r>
          </w:p>
          <w:p w14:paraId="797136DD">
            <w:pPr>
              <w:tabs>
                <w:tab w:val="left" w:pos="5308"/>
                <w:tab w:val="center" w:pos="7219"/>
              </w:tabs>
              <w:spacing w:line="240" w:lineRule="auto"/>
              <w:ind w:firstLine="420"/>
              <w:rPr>
                <w:bCs/>
                <w:sz w:val="21"/>
                <w:szCs w:val="21"/>
              </w:rPr>
            </w:pPr>
            <w:r>
              <w:rPr>
                <w:rFonts w:hint="eastAsia"/>
                <w:bCs/>
                <w:sz w:val="21"/>
                <w:szCs w:val="21"/>
              </w:rPr>
              <w:t>（4）焦化生产企业能耗应达到《焦炭单位产品能源消耗限额》（GB21342）和《煤基活性炭和兰炭单位产品能源消耗限额》（GB29995）规定的准入值要求，炼焦生产应达到《清洁生产标准炼焦行业》（HJ/T126）中国内清洁生产先进水平，兰炭应达到《清洁生产标准半焦行业》（DB65/T3210）中国内清洁生产先进水平，其他生产过程（焦油加工、粗苯精制）参照国内同行业清洁生产先进水平执行。</w:t>
            </w:r>
          </w:p>
          <w:p w14:paraId="0752C2DC">
            <w:pPr>
              <w:tabs>
                <w:tab w:val="left" w:pos="5308"/>
                <w:tab w:val="center" w:pos="7219"/>
              </w:tabs>
              <w:spacing w:line="240" w:lineRule="auto"/>
              <w:ind w:firstLine="420"/>
              <w:rPr>
                <w:bCs/>
                <w:sz w:val="21"/>
                <w:szCs w:val="21"/>
              </w:rPr>
            </w:pPr>
            <w:r>
              <w:rPr>
                <w:rFonts w:hint="eastAsia"/>
                <w:bCs/>
                <w:sz w:val="21"/>
                <w:szCs w:val="21"/>
              </w:rPr>
              <w:t>（5）严格控制生产工艺过程及相关物料储存、输送等无组织排放。煤粉、粉煤灰、石灰、除尘灰、脱硫灰等粉状物料应密闭或封闭储存，采用密闭皮带、封闭通廊、管状带式输送机或密闭车厢、真空罐车、气力输送等输送方式。设备动静密封点、有机液体储存和装卸、污水收集暂存和处理系统、备煤、储煤等环节应采取措施有效控制挥发性有机物、恶臭物质及有毒有害污染物的逸散与排放。在行业污染物排放标准出台前，挥发性有机物无组织排放应达到《挥发性有机物无组织排放控制标准》（GB37822）要求。</w:t>
            </w:r>
          </w:p>
          <w:p w14:paraId="0D0A2E18">
            <w:pPr>
              <w:tabs>
                <w:tab w:val="left" w:pos="5308"/>
                <w:tab w:val="center" w:pos="7219"/>
              </w:tabs>
              <w:spacing w:line="240" w:lineRule="auto"/>
              <w:ind w:firstLine="420"/>
              <w:rPr>
                <w:bCs/>
                <w:sz w:val="21"/>
                <w:szCs w:val="21"/>
              </w:rPr>
            </w:pPr>
            <w:r>
              <w:rPr>
                <w:rFonts w:hint="eastAsia"/>
                <w:bCs/>
                <w:sz w:val="21"/>
                <w:szCs w:val="21"/>
              </w:rPr>
              <w:t>（6）大宗物料中长距离运输优先采用铁路运输，短途运输优先采用国六排放标准的运输工具、新能源车辆、管道或管状带式输送机。</w:t>
            </w:r>
          </w:p>
          <w:p w14:paraId="5A96FCB9">
            <w:pPr>
              <w:pStyle w:val="133"/>
              <w:rPr>
                <w:bCs/>
              </w:rPr>
            </w:pPr>
            <w:r>
              <w:rPr>
                <w:rFonts w:hint="eastAsia"/>
                <w:bCs/>
                <w:szCs w:val="21"/>
              </w:rPr>
              <w:t>（7）改、扩建项目应全面梳理涉及的现有工程存在的环保问题或减排潜力，提出有效整改或改进措施，并将整改措施落实情况纳入竣工环保验收内容。</w:t>
            </w:r>
          </w:p>
        </w:tc>
        <w:tc>
          <w:tcPr>
            <w:tcW w:w="1271" w:type="pct"/>
            <w:vAlign w:val="center"/>
          </w:tcPr>
          <w:p w14:paraId="6D6A3346">
            <w:pPr>
              <w:tabs>
                <w:tab w:val="left" w:pos="5308"/>
                <w:tab w:val="center" w:pos="7219"/>
              </w:tabs>
              <w:spacing w:line="240" w:lineRule="auto"/>
              <w:ind w:firstLine="0" w:firstLineChars="0"/>
              <w:rPr>
                <w:bCs/>
                <w:sz w:val="21"/>
                <w:szCs w:val="21"/>
              </w:rPr>
            </w:pPr>
            <w:r>
              <w:rPr>
                <w:rFonts w:hint="eastAsia"/>
                <w:sz w:val="21"/>
                <w:szCs w:val="21"/>
              </w:rPr>
              <w:t>（1）本项目兰炭生产线产生的焦炉煤气供应镁冶炼产业作为燃料，实现回收利用。本项目</w:t>
            </w:r>
            <w:r>
              <w:rPr>
                <w:rFonts w:hint="eastAsia"/>
                <w:bCs/>
                <w:sz w:val="21"/>
                <w:szCs w:val="21"/>
              </w:rPr>
              <w:t>配套建设蒸汽熄焦装置并配套建设相应除尘装置，煤炭等颗粒性物储存在封闭仓库内，有组织废气应进行收集并按要求配备高效的脱硫、脱硝、除尘设施，出焦、罐区、酚氰废水预处理设施区域以及装卸产生的含挥发性有机物气体按照要求进行收集并配备相应的处理措施。本项目属于技改提升项目，改造后大气污染物排放满足《关于推进实施焦化行业超低排放的意见》（环大气〔2024〕5号）中超低排放要求。</w:t>
            </w:r>
          </w:p>
          <w:p w14:paraId="1E3DFE1E">
            <w:pPr>
              <w:tabs>
                <w:tab w:val="left" w:pos="5308"/>
                <w:tab w:val="center" w:pos="7219"/>
              </w:tabs>
              <w:spacing w:line="240" w:lineRule="auto"/>
              <w:ind w:firstLine="0" w:firstLineChars="0"/>
              <w:rPr>
                <w:bCs/>
                <w:sz w:val="21"/>
                <w:szCs w:val="21"/>
              </w:rPr>
            </w:pPr>
            <w:r>
              <w:rPr>
                <w:rFonts w:hint="eastAsia"/>
                <w:bCs/>
                <w:sz w:val="21"/>
                <w:szCs w:val="21"/>
              </w:rPr>
              <w:t>（2）本项目兰炭生产线生产废水配套建设污水焚烧处理设施。项目酚氰废水处理达标后循环使用，不外排。项目氨水循环水池、焦油分离池均建在地面以上。废水排放满足《炼焦化学工业污染物排放标准》（GB16171）要求。</w:t>
            </w:r>
          </w:p>
          <w:p w14:paraId="4B4A77C6">
            <w:pPr>
              <w:tabs>
                <w:tab w:val="left" w:pos="5308"/>
                <w:tab w:val="center" w:pos="7219"/>
              </w:tabs>
              <w:spacing w:line="240" w:lineRule="auto"/>
              <w:ind w:firstLine="0" w:firstLineChars="0"/>
              <w:rPr>
                <w:bCs/>
                <w:sz w:val="21"/>
                <w:szCs w:val="21"/>
              </w:rPr>
            </w:pPr>
            <w:r>
              <w:rPr>
                <w:rFonts w:hint="eastAsia"/>
                <w:bCs/>
                <w:sz w:val="21"/>
                <w:szCs w:val="21"/>
              </w:rPr>
              <w:t>（3）本项目兰炭产品符合国家标准规定，各工段产生的固废均按照相关法律法规要求处置和利用，一般工业固体废物和危险废物按照《一般工业固体废物贮存和填埋污染控制标准》（GB18599）和《危险废物贮存污染控制标准》（GB18597）、《危险废物填埋污染控制标准》（GB18598）、《危险废物焚烧污染控制标准》（GB18484）贮存和处置。</w:t>
            </w:r>
          </w:p>
          <w:p w14:paraId="02E1CD96">
            <w:pPr>
              <w:tabs>
                <w:tab w:val="left" w:pos="5308"/>
                <w:tab w:val="center" w:pos="7219"/>
              </w:tabs>
              <w:spacing w:line="240" w:lineRule="auto"/>
              <w:ind w:firstLine="0" w:firstLineChars="0"/>
              <w:rPr>
                <w:bCs/>
                <w:sz w:val="21"/>
                <w:szCs w:val="21"/>
              </w:rPr>
            </w:pPr>
            <w:r>
              <w:rPr>
                <w:rFonts w:hint="eastAsia"/>
                <w:bCs/>
                <w:sz w:val="21"/>
                <w:szCs w:val="21"/>
              </w:rPr>
              <w:t>（4）本项目兰炭生产线耗能满足《焦炭单位产品能源消耗限额》（GB21342）和《煤基活性炭和兰炭单位产品能源消耗限额》（GB29995）规定的准入值要求，生产能够达到《清洁生产标准炼焦行业》（HJ/T126）中国内清洁生产一般水平。</w:t>
            </w:r>
          </w:p>
          <w:p w14:paraId="2B98A120">
            <w:pPr>
              <w:tabs>
                <w:tab w:val="left" w:pos="5308"/>
                <w:tab w:val="center" w:pos="7219"/>
              </w:tabs>
              <w:spacing w:line="240" w:lineRule="auto"/>
              <w:ind w:firstLine="0" w:firstLineChars="0"/>
              <w:rPr>
                <w:bCs/>
                <w:sz w:val="21"/>
                <w:szCs w:val="21"/>
              </w:rPr>
            </w:pPr>
            <w:r>
              <w:rPr>
                <w:rFonts w:hint="eastAsia"/>
                <w:bCs/>
                <w:sz w:val="21"/>
                <w:szCs w:val="21"/>
              </w:rPr>
              <w:t>（5）本项目粉状物料均采用密闭储存及密闭输送。设备动静密封点、有机液体储存和装卸、污水收集暂存和处理系统、备煤、储煤等环节均采取措施有效控制挥发性有机物、恶臭物质及有毒有害污染物的逸散与排放。挥发性有机物无组织排放满足《挥发性有机物无组织排放控制标准》（GB37822）要求。</w:t>
            </w:r>
          </w:p>
          <w:p w14:paraId="196A13DC">
            <w:pPr>
              <w:tabs>
                <w:tab w:val="left" w:pos="5308"/>
                <w:tab w:val="center" w:pos="7219"/>
              </w:tabs>
              <w:spacing w:line="240" w:lineRule="auto"/>
              <w:ind w:firstLine="0" w:firstLineChars="0"/>
              <w:rPr>
                <w:bCs/>
                <w:sz w:val="21"/>
                <w:szCs w:val="21"/>
              </w:rPr>
            </w:pPr>
            <w:r>
              <w:rPr>
                <w:rFonts w:hint="eastAsia"/>
                <w:bCs/>
                <w:sz w:val="21"/>
                <w:szCs w:val="21"/>
              </w:rPr>
              <w:t>（6）</w:t>
            </w:r>
            <w:bookmarkStart w:id="39" w:name="_Hlk177580481"/>
            <w:r>
              <w:rPr>
                <w:rFonts w:hint="eastAsia"/>
                <w:bCs/>
                <w:sz w:val="21"/>
                <w:szCs w:val="21"/>
              </w:rPr>
              <w:t>本项目物料运输基本属于短途运输，采用国六排放标准的汽车运输。</w:t>
            </w:r>
            <w:bookmarkEnd w:id="39"/>
          </w:p>
          <w:p w14:paraId="15889120">
            <w:pPr>
              <w:pStyle w:val="133"/>
              <w:rPr>
                <w:bCs/>
              </w:rPr>
            </w:pPr>
            <w:r>
              <w:rPr>
                <w:rFonts w:hint="eastAsia"/>
                <w:bCs/>
                <w:szCs w:val="21"/>
              </w:rPr>
              <w:t>（7）本项目属于技改工程，已梳理现有工程存在的环保问题或减排潜力，并提出有效整改或改进措施，并将整改措施落实情况纳入竣工环保验收内容。</w:t>
            </w:r>
          </w:p>
        </w:tc>
        <w:tc>
          <w:tcPr>
            <w:tcW w:w="241" w:type="pct"/>
            <w:vAlign w:val="center"/>
          </w:tcPr>
          <w:p w14:paraId="333446ED">
            <w:pPr>
              <w:pStyle w:val="133"/>
            </w:pPr>
            <w:r>
              <w:t>符合</w:t>
            </w:r>
          </w:p>
        </w:tc>
      </w:tr>
      <w:tr w14:paraId="5C607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Align w:val="center"/>
          </w:tcPr>
          <w:p w14:paraId="2E387426">
            <w:pPr>
              <w:pStyle w:val="133"/>
            </w:pPr>
            <w:r>
              <w:rPr>
                <w:rFonts w:hint="eastAsia"/>
              </w:rPr>
              <w:t>6</w:t>
            </w:r>
          </w:p>
        </w:tc>
        <w:tc>
          <w:tcPr>
            <w:tcW w:w="922" w:type="pct"/>
            <w:gridSpan w:val="2"/>
            <w:vAlign w:val="center"/>
          </w:tcPr>
          <w:p w14:paraId="46CC90C6">
            <w:pPr>
              <w:pStyle w:val="133"/>
            </w:pPr>
            <w:r>
              <w:t>《新疆维吾尔自治区工业炉窑大气污染综合治理实施方案》（新大气发〔2019〕127号）</w:t>
            </w:r>
          </w:p>
        </w:tc>
        <w:tc>
          <w:tcPr>
            <w:tcW w:w="2395" w:type="pct"/>
            <w:gridSpan w:val="2"/>
            <w:vAlign w:val="center"/>
          </w:tcPr>
          <w:p w14:paraId="30DAD3E6">
            <w:pPr>
              <w:pStyle w:val="133"/>
            </w:pPr>
            <w:r>
              <w:rPr>
                <w:rFonts w:hint="eastAsia"/>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w:t>
            </w:r>
          </w:p>
        </w:tc>
        <w:tc>
          <w:tcPr>
            <w:tcW w:w="1271" w:type="pct"/>
            <w:vAlign w:val="center"/>
          </w:tcPr>
          <w:p w14:paraId="55FFDB78">
            <w:pPr>
              <w:pStyle w:val="133"/>
            </w:pPr>
            <w:r>
              <w:rPr>
                <w:rFonts w:hint="eastAsia"/>
              </w:rPr>
              <w:t>镁合金生产线煅烧炉以煤粉和荒煤气为燃料，还原炉、精炼炉等主要以荒煤气为燃料，本项目即为镁合金生产线提供沫煤和荒煤气。</w:t>
            </w:r>
          </w:p>
        </w:tc>
        <w:tc>
          <w:tcPr>
            <w:tcW w:w="241" w:type="pct"/>
            <w:vAlign w:val="center"/>
          </w:tcPr>
          <w:p w14:paraId="53937E48">
            <w:pPr>
              <w:pStyle w:val="133"/>
            </w:pPr>
            <w:r>
              <w:t>符合</w:t>
            </w:r>
          </w:p>
        </w:tc>
      </w:tr>
      <w:tr w14:paraId="449BA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Align w:val="center"/>
          </w:tcPr>
          <w:p w14:paraId="43E8092A">
            <w:pPr>
              <w:pStyle w:val="133"/>
            </w:pPr>
            <w:r>
              <w:rPr>
                <w:rFonts w:hint="eastAsia"/>
              </w:rPr>
              <w:t>7</w:t>
            </w:r>
          </w:p>
        </w:tc>
        <w:tc>
          <w:tcPr>
            <w:tcW w:w="922" w:type="pct"/>
            <w:gridSpan w:val="2"/>
            <w:vAlign w:val="center"/>
          </w:tcPr>
          <w:p w14:paraId="37B46587">
            <w:pPr>
              <w:pStyle w:val="133"/>
            </w:pPr>
            <w:r>
              <w:t>《关于加快解决当前挥发性有机物治理突出问题的通知》</w:t>
            </w:r>
          </w:p>
        </w:tc>
        <w:tc>
          <w:tcPr>
            <w:tcW w:w="2395" w:type="pct"/>
            <w:gridSpan w:val="2"/>
            <w:vAlign w:val="center"/>
          </w:tcPr>
          <w:p w14:paraId="1EA7BAA5">
            <w:pPr>
              <w:pStyle w:val="133"/>
            </w:pPr>
            <w:r>
              <w:t>企业应按照标准要求，根据储存挥发性有机液体的 真实蒸气压、储罐容积等进行储罐和浮盘边缘密封方式选型。重点 区域存储汽油、航空煤油、石脑油以及苯、甲苯、二甲苯的内浮顶 罐罐顶气未收集治理的，宜配备新型高效浮盘与配件，选用“全接 液高效浮盘+二次密封”结构。鼓励使用低泄漏的储罐呼吸阀、紧急 泄压阀；固定顶罐或建设有机废气治理设施的内浮顶罐宜配备压力监测设备，罐内压力低于 50%设计开启压力时，呼吸阀、紧急泄压阀 泄漏检测值不宜超过 2000μmol/mol。充分考虑罐体变形或浮盘损 坏、储罐附件破损等异常排放情况，鼓励对废气收集引气装置、处 理装置设置冗余负荷；储罐排气回收处理后无法稳定达标排放的， 应进一步优化治理设施或实施深度治理；鼓励企业对内浮顶罐排气 进行收集处理。储罐罐体应保持完好，不应有孔洞、缝隙（除内浮 顶罐边缘通气孔外）；除采样、计量、例行检查、维护和其他正常 活动外，储罐附件的开口（孔）应保持密闭</w:t>
            </w:r>
          </w:p>
        </w:tc>
        <w:tc>
          <w:tcPr>
            <w:tcW w:w="1271" w:type="pct"/>
            <w:vAlign w:val="center"/>
          </w:tcPr>
          <w:p w14:paraId="23B0142D">
            <w:pPr>
              <w:pStyle w:val="133"/>
            </w:pPr>
            <w:r>
              <w:rPr>
                <w:rFonts w:hint="eastAsia"/>
              </w:rPr>
              <w:t>本项目焦油中间槽、焦油罐废气采用</w:t>
            </w:r>
            <w:r>
              <w:t>密闭储罐配套密闭管道收集，</w:t>
            </w:r>
            <w:r>
              <w:rPr>
                <w:rFonts w:hint="eastAsia"/>
              </w:rPr>
              <w:t>煤焦油装车鹤管装车废气采用</w:t>
            </w:r>
            <w:r>
              <w:t>密闭空间负压收集，以上废气经</w:t>
            </w:r>
            <w:r>
              <w:rPr>
                <w:rFonts w:hint="eastAsia"/>
              </w:rPr>
              <w:t>2</w:t>
            </w:r>
            <w:r>
              <w:t>#VOCs处理装置系统采用“酸洗+碱洗+活性炭吸附-脱附+催化燃烧工艺”处理，设计去除效率97%，处理后的废气经25m排气筒排放，污染物排放执行《炼焦化学工业污染物</w:t>
            </w:r>
            <w:r>
              <w:rPr>
                <w:rFonts w:hint="eastAsia"/>
              </w:rPr>
              <w:t>大气</w:t>
            </w:r>
            <w:r>
              <w:t>排放标准》</w:t>
            </w:r>
            <w:r>
              <w:rPr>
                <w:rFonts w:hint="eastAsia"/>
              </w:rPr>
              <w:t>（</w:t>
            </w:r>
            <w:r>
              <w:t>GB 16171</w:t>
            </w:r>
            <w:r>
              <w:rPr>
                <w:rFonts w:hint="eastAsia"/>
              </w:rPr>
              <w:t>.1</w:t>
            </w:r>
            <w:r>
              <w:t>-20</w:t>
            </w:r>
            <w:r>
              <w:rPr>
                <w:rFonts w:hint="eastAsia"/>
              </w:rPr>
              <w:t>24）</w:t>
            </w:r>
            <w:r>
              <w:t>中表</w:t>
            </w:r>
            <w:r>
              <w:rPr>
                <w:rFonts w:hint="eastAsia"/>
              </w:rPr>
              <w:t>1 大气污染物排放限值。</w:t>
            </w:r>
          </w:p>
        </w:tc>
        <w:tc>
          <w:tcPr>
            <w:tcW w:w="241" w:type="pct"/>
            <w:vAlign w:val="center"/>
          </w:tcPr>
          <w:p w14:paraId="3502B9B8">
            <w:pPr>
              <w:pStyle w:val="133"/>
            </w:pPr>
            <w:r>
              <w:rPr>
                <w:rFonts w:hint="eastAsia"/>
              </w:rPr>
              <w:t>符合</w:t>
            </w:r>
          </w:p>
        </w:tc>
      </w:tr>
      <w:tr w14:paraId="07F09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Align w:val="center"/>
          </w:tcPr>
          <w:p w14:paraId="1DD3D52B">
            <w:pPr>
              <w:pStyle w:val="133"/>
            </w:pPr>
            <w:r>
              <w:rPr>
                <w:rFonts w:hint="eastAsia"/>
              </w:rPr>
              <w:t>8</w:t>
            </w:r>
          </w:p>
        </w:tc>
        <w:tc>
          <w:tcPr>
            <w:tcW w:w="922" w:type="pct"/>
            <w:gridSpan w:val="2"/>
            <w:vAlign w:val="center"/>
          </w:tcPr>
          <w:p w14:paraId="62A59202">
            <w:pPr>
              <w:pStyle w:val="133"/>
            </w:pPr>
            <w:r>
              <w:t>《挥发性有机物（VOCs）污染防治技术政策》</w:t>
            </w:r>
          </w:p>
        </w:tc>
        <w:tc>
          <w:tcPr>
            <w:tcW w:w="2395" w:type="pct"/>
            <w:gridSpan w:val="2"/>
            <w:vAlign w:val="center"/>
          </w:tcPr>
          <w:p w14:paraId="7A787D45">
            <w:pPr>
              <w:pStyle w:val="133"/>
            </w:pPr>
            <w:r>
              <w:rPr>
                <w:rFonts w:hint="eastAsia"/>
              </w:rPr>
              <w:t>（十二）在工业生产过程中鼓励VOCs的回收利用，并优先鼓励在生产系统内回用。</w:t>
            </w:r>
          </w:p>
          <w:p w14:paraId="04DF4A32">
            <w:pPr>
              <w:pStyle w:val="133"/>
            </w:pPr>
            <w:r>
              <w:rPr>
                <w:rFonts w:hint="eastAsia"/>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271" w:type="pct"/>
            <w:vAlign w:val="center"/>
          </w:tcPr>
          <w:p w14:paraId="052E101F">
            <w:pPr>
              <w:pStyle w:val="133"/>
            </w:pPr>
            <w:r>
              <w:rPr>
                <w:rFonts w:hint="eastAsia"/>
              </w:rPr>
              <w:t>本项目焦油中间槽、焦油罐废气采用</w:t>
            </w:r>
            <w:r>
              <w:t>密闭储罐配套密闭管道收集，</w:t>
            </w:r>
            <w:r>
              <w:rPr>
                <w:rFonts w:hint="eastAsia"/>
              </w:rPr>
              <w:t>煤焦油装车鹤管装车废气采用</w:t>
            </w:r>
            <w:r>
              <w:t>密闭空间负压收集，以上废气经</w:t>
            </w:r>
            <w:r>
              <w:rPr>
                <w:rFonts w:hint="eastAsia"/>
              </w:rPr>
              <w:t>2</w:t>
            </w:r>
            <w:r>
              <w:t>#VOCs处理装置系统采用“酸洗+碱洗+活性炭吸附-脱附+催化燃烧工艺”处理，设计去除效率97%，处理后的废气经25m排气筒排放，污染物排放执行《炼焦化学工业污染物</w:t>
            </w:r>
            <w:r>
              <w:rPr>
                <w:rFonts w:hint="eastAsia"/>
              </w:rPr>
              <w:t>大气</w:t>
            </w:r>
            <w:r>
              <w:t>排放标准》</w:t>
            </w:r>
            <w:r>
              <w:rPr>
                <w:rFonts w:hint="eastAsia"/>
              </w:rPr>
              <w:t>（</w:t>
            </w:r>
            <w:r>
              <w:t>GB 16171</w:t>
            </w:r>
            <w:r>
              <w:rPr>
                <w:rFonts w:hint="eastAsia"/>
              </w:rPr>
              <w:t>.1</w:t>
            </w:r>
            <w:r>
              <w:t>-20</w:t>
            </w:r>
            <w:r>
              <w:rPr>
                <w:rFonts w:hint="eastAsia"/>
              </w:rPr>
              <w:t>24）</w:t>
            </w:r>
            <w:r>
              <w:t>中表</w:t>
            </w:r>
            <w:r>
              <w:rPr>
                <w:rFonts w:hint="eastAsia"/>
              </w:rPr>
              <w:t>1 大气污染物排放限值。</w:t>
            </w:r>
          </w:p>
        </w:tc>
        <w:tc>
          <w:tcPr>
            <w:tcW w:w="241" w:type="pct"/>
            <w:vAlign w:val="center"/>
          </w:tcPr>
          <w:p w14:paraId="532D3254">
            <w:pPr>
              <w:pStyle w:val="133"/>
            </w:pPr>
            <w:r>
              <w:rPr>
                <w:rFonts w:hint="eastAsia"/>
              </w:rPr>
              <w:t>符合</w:t>
            </w:r>
          </w:p>
        </w:tc>
      </w:tr>
      <w:tr w14:paraId="40D40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restart"/>
            <w:vAlign w:val="center"/>
          </w:tcPr>
          <w:p w14:paraId="50DEBCBF">
            <w:pPr>
              <w:pStyle w:val="133"/>
            </w:pPr>
            <w:r>
              <w:rPr>
                <w:rFonts w:hint="eastAsia"/>
              </w:rPr>
              <w:t>9</w:t>
            </w:r>
          </w:p>
        </w:tc>
        <w:tc>
          <w:tcPr>
            <w:tcW w:w="922" w:type="pct"/>
            <w:gridSpan w:val="2"/>
            <w:vMerge w:val="restart"/>
            <w:vAlign w:val="center"/>
          </w:tcPr>
          <w:p w14:paraId="0BFBBC17">
            <w:pPr>
              <w:pStyle w:val="133"/>
            </w:pPr>
            <w:r>
              <w:t>《新疆维吾尔自治区 2025 年空气持续改善行动计划实施方案》</w:t>
            </w:r>
          </w:p>
        </w:tc>
        <w:tc>
          <w:tcPr>
            <w:tcW w:w="2395" w:type="pct"/>
            <w:gridSpan w:val="2"/>
            <w:tcBorders>
              <w:top w:val="single" w:color="auto" w:sz="4" w:space="0"/>
              <w:left w:val="single" w:color="auto" w:sz="4" w:space="0"/>
              <w:bottom w:val="single" w:color="auto" w:sz="4" w:space="0"/>
              <w:right w:val="single" w:color="auto" w:sz="4" w:space="0"/>
            </w:tcBorders>
            <w:vAlign w:val="center"/>
          </w:tcPr>
          <w:p w14:paraId="536B6385">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一）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级水平。涉及产能置换的项目，被置换产能及设备关停后，新建项目方可投产。</w:t>
            </w:r>
          </w:p>
        </w:tc>
        <w:tc>
          <w:tcPr>
            <w:tcW w:w="1271" w:type="pct"/>
            <w:vAlign w:val="center"/>
          </w:tcPr>
          <w:p w14:paraId="59D5C2C0">
            <w:pPr>
              <w:pStyle w:val="133"/>
            </w:pPr>
            <w:r>
              <w:rPr>
                <w:rFonts w:hint="eastAsia"/>
              </w:rPr>
              <w:t>本项目严格落实国家产业规划、产业政策，符合昌吉州生态环境分区管控方案，符合园区规划环评及规划的相关要求。</w:t>
            </w:r>
          </w:p>
        </w:tc>
        <w:tc>
          <w:tcPr>
            <w:tcW w:w="241" w:type="pct"/>
            <w:vAlign w:val="center"/>
          </w:tcPr>
          <w:p w14:paraId="789D2CFE">
            <w:pPr>
              <w:pStyle w:val="133"/>
            </w:pPr>
            <w:r>
              <w:rPr>
                <w:rFonts w:hint="eastAsia"/>
              </w:rPr>
              <w:t>符合</w:t>
            </w:r>
          </w:p>
        </w:tc>
      </w:tr>
      <w:tr w14:paraId="4566F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71" w:type="pct"/>
            <w:vMerge w:val="continue"/>
            <w:vAlign w:val="center"/>
          </w:tcPr>
          <w:p w14:paraId="14246521">
            <w:pPr>
              <w:pStyle w:val="133"/>
            </w:pPr>
          </w:p>
        </w:tc>
        <w:tc>
          <w:tcPr>
            <w:tcW w:w="922" w:type="pct"/>
            <w:gridSpan w:val="2"/>
            <w:vMerge w:val="continue"/>
            <w:vAlign w:val="center"/>
          </w:tcPr>
          <w:p w14:paraId="5348503E">
            <w:pPr>
              <w:pStyle w:val="133"/>
            </w:pPr>
          </w:p>
        </w:tc>
        <w:tc>
          <w:tcPr>
            <w:tcW w:w="2395" w:type="pct"/>
            <w:gridSpan w:val="2"/>
            <w:tcBorders>
              <w:top w:val="single" w:color="auto" w:sz="4" w:space="0"/>
              <w:left w:val="single" w:color="auto" w:sz="4" w:space="0"/>
              <w:bottom w:val="single" w:color="auto" w:sz="4" w:space="0"/>
              <w:right w:val="single" w:color="auto" w:sz="4" w:space="0"/>
            </w:tcBorders>
            <w:vAlign w:val="center"/>
          </w:tcPr>
          <w:p w14:paraId="183B4FA4">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（十七）强化挥发性有机物和氮氧化物综合治理。优化含</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原辅材料和产品结构，加快推进含</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原辅材料源头替代，推广使用低（无）</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含量涂料，严格执行</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含量限值标准。实施石化、化工、工业涂装、包装印刷等重点行业及油品储运销（储罐）</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深度治理。企业开停工、检维修期间，及时收集处理退料、清洗、吹扫等作业产生的</w:t>
            </w:r>
            <w:r>
              <w:rPr>
                <w:color w:val="000000" w:themeColor="text1"/>
                <w14:textFill>
                  <w14:solidFill>
                    <w14:schemeClr w14:val="tx1"/>
                  </w14:solidFill>
                </w14:textFill>
              </w:rPr>
              <w:t>VOCs</w:t>
            </w:r>
            <w:r>
              <w:rPr>
                <w:rFonts w:hint="eastAsia"/>
                <w:color w:val="000000" w:themeColor="text1"/>
                <w14:textFill>
                  <w14:solidFill>
                    <w14:schemeClr w14:val="tx1"/>
                  </w14:solidFill>
                </w14:textFill>
              </w:rPr>
              <w:t>废气，不得将火炬燃烧装置作为日常大气污染处理设施。联防联控区石化、化工行业集中的园区，建立统一的泄漏检测与修复信息管理平台。加大锅炉、炉窑及移动源氮氧化物减排力度，有序实施燃气锅炉低氮燃烧改造。加强氮肥、纯碱等行业大气氨排放治理，强化工业源烟气脱硫脱硝氨逃逸防控。</w:t>
            </w:r>
          </w:p>
        </w:tc>
        <w:tc>
          <w:tcPr>
            <w:tcW w:w="1271" w:type="pct"/>
            <w:vAlign w:val="center"/>
          </w:tcPr>
          <w:p w14:paraId="366AF662">
            <w:pPr>
              <w:pStyle w:val="133"/>
            </w:pPr>
            <w:r>
              <w:rPr>
                <w:rFonts w:hint="eastAsia"/>
              </w:rPr>
              <w:t>本项目焦油中间槽、焦油罐废气采用</w:t>
            </w:r>
            <w:r>
              <w:t>密闭储罐配套密闭管道收集，</w:t>
            </w:r>
            <w:r>
              <w:rPr>
                <w:rFonts w:hint="eastAsia"/>
              </w:rPr>
              <w:t>煤焦油装车鹤管装车废气采用</w:t>
            </w:r>
            <w:r>
              <w:t>密闭空间负压收集，以上废气经</w:t>
            </w:r>
            <w:r>
              <w:rPr>
                <w:rFonts w:hint="eastAsia"/>
              </w:rPr>
              <w:t>2</w:t>
            </w:r>
            <w:r>
              <w:t>#VOCs处理装置系统采用“酸洗+碱洗+活性炭吸附-脱附+催化燃烧工艺”处理，设计去除效率97%，处理后的废气经25m排气筒排放，污染物排放执行《炼焦化学工业污染物</w:t>
            </w:r>
            <w:r>
              <w:rPr>
                <w:rFonts w:hint="eastAsia"/>
              </w:rPr>
              <w:t>大气</w:t>
            </w:r>
            <w:r>
              <w:t>排放标准》</w:t>
            </w:r>
            <w:r>
              <w:rPr>
                <w:rFonts w:hint="eastAsia"/>
              </w:rPr>
              <w:t>（</w:t>
            </w:r>
            <w:r>
              <w:t>GB 16171</w:t>
            </w:r>
            <w:r>
              <w:rPr>
                <w:rFonts w:hint="eastAsia"/>
              </w:rPr>
              <w:t>.1</w:t>
            </w:r>
            <w:r>
              <w:t>-20</w:t>
            </w:r>
            <w:r>
              <w:rPr>
                <w:rFonts w:hint="eastAsia"/>
              </w:rPr>
              <w:t>24）</w:t>
            </w:r>
            <w:r>
              <w:t>中表</w:t>
            </w:r>
            <w:r>
              <w:rPr>
                <w:rFonts w:hint="eastAsia"/>
              </w:rPr>
              <w:t>1 大气污染物排放限值。</w:t>
            </w:r>
          </w:p>
        </w:tc>
        <w:tc>
          <w:tcPr>
            <w:tcW w:w="241" w:type="pct"/>
            <w:vAlign w:val="center"/>
          </w:tcPr>
          <w:p w14:paraId="407AE318">
            <w:pPr>
              <w:pStyle w:val="133"/>
            </w:pPr>
            <w:r>
              <w:rPr>
                <w:rFonts w:hint="eastAsia"/>
              </w:rPr>
              <w:t>符合</w:t>
            </w:r>
          </w:p>
        </w:tc>
      </w:tr>
    </w:tbl>
    <w:p w14:paraId="7C6A0F4D">
      <w:pPr>
        <w:pStyle w:val="133"/>
      </w:pPr>
    </w:p>
    <w:p w14:paraId="0BD9FFBA">
      <w:pPr>
        <w:pStyle w:val="133"/>
        <w:sectPr>
          <w:pgSz w:w="16838" w:h="11906" w:orient="landscape"/>
          <w:pgMar w:top="1800" w:right="1440" w:bottom="1800" w:left="1440" w:header="850" w:footer="992" w:gutter="0"/>
          <w:cols w:space="425" w:num="1"/>
          <w:docGrid w:type="lines" w:linePitch="326" w:charSpace="0"/>
        </w:sectPr>
      </w:pPr>
    </w:p>
    <w:p w14:paraId="453434B3">
      <w:pPr>
        <w:pStyle w:val="138"/>
        <w:numPr>
          <w:ilvl w:val="0"/>
          <w:numId w:val="0"/>
        </w:numPr>
        <w:rPr>
          <w:rFonts w:hint="eastAsia"/>
        </w:rPr>
      </w:pPr>
      <w:bookmarkStart w:id="40" w:name="_Toc81245518"/>
      <w:r>
        <w:t xml:space="preserve">3.4 </w:t>
      </w:r>
      <w:r>
        <w:rPr>
          <w:rFonts w:hint="eastAsia"/>
        </w:rPr>
        <w:t>生态环境分区管控</w:t>
      </w:r>
      <w:r>
        <w:t>符合性分析</w:t>
      </w:r>
    </w:p>
    <w:bookmarkEnd w:id="40"/>
    <w:p w14:paraId="7ED67E5B">
      <w:pPr>
        <w:pStyle w:val="117"/>
        <w:ind w:firstLine="480"/>
      </w:pPr>
      <w:r>
        <w:t>（1）与《新疆维吾尔自治区生态环境分区管控动态更新成果》的相符性</w:t>
      </w:r>
    </w:p>
    <w:p w14:paraId="05BA6645">
      <w:pPr>
        <w:pStyle w:val="117"/>
        <w:ind w:firstLine="480"/>
      </w:pPr>
      <w:r>
        <w:t>对照《新疆维吾尔自治区生态环境分区管控动态更新成果》附件</w:t>
      </w:r>
      <w:r>
        <w:rPr>
          <w:rFonts w:hint="eastAsia"/>
        </w:rPr>
        <w:t>“</w:t>
      </w:r>
      <w:r>
        <w:t>新疆维吾尔自治区环境管控单元图</w:t>
      </w:r>
      <w:r>
        <w:rPr>
          <w:rFonts w:hint="eastAsia"/>
        </w:rPr>
        <w:t>”，本项目位于哈密市重点管控单元。</w:t>
      </w:r>
    </w:p>
    <w:p w14:paraId="5AF20642">
      <w:pPr>
        <w:pStyle w:val="117"/>
        <w:ind w:firstLine="480"/>
      </w:pPr>
      <w:r>
        <w:t>新疆维吾尔自治区环境管控单元图，见图0.3-5。</w:t>
      </w:r>
    </w:p>
    <w:p w14:paraId="11E6FDBA">
      <w:pPr>
        <w:pStyle w:val="117"/>
        <w:ind w:firstLine="480"/>
      </w:pPr>
      <w:bookmarkStart w:id="41" w:name="_Toc81245516"/>
      <w:r>
        <w:t>（2）</w:t>
      </w:r>
      <w:bookmarkEnd w:id="41"/>
      <w:r>
        <w:rPr>
          <w:rFonts w:hint="eastAsia"/>
        </w:rPr>
        <w:t>与《哈密市生态环境分区管控动态更新成果》的相符性</w:t>
      </w:r>
    </w:p>
    <w:p w14:paraId="65A083B0">
      <w:pPr>
        <w:pStyle w:val="117"/>
        <w:ind w:firstLine="480"/>
      </w:pPr>
      <w:r>
        <w:t>对照《</w:t>
      </w:r>
      <w:r>
        <w:rPr>
          <w:rFonts w:hint="eastAsia"/>
        </w:rPr>
        <w:t>哈密市生态环境分区管控动态更新成果</w:t>
      </w:r>
      <w:r>
        <w:t>》附件</w:t>
      </w:r>
      <w:r>
        <w:rPr>
          <w:rFonts w:hint="eastAsia"/>
        </w:rPr>
        <w:t>“哈密市</w:t>
      </w:r>
      <w:r>
        <w:t>环境管控单元</w:t>
      </w:r>
      <w:r>
        <w:rPr>
          <w:rFonts w:hint="eastAsia"/>
        </w:rPr>
        <w:t>分类</w:t>
      </w:r>
      <w:r>
        <w:t>图</w:t>
      </w:r>
      <w:r>
        <w:rPr>
          <w:rFonts w:hint="eastAsia"/>
        </w:rPr>
        <w:t>”，本项目位于重点管控单元。</w:t>
      </w:r>
    </w:p>
    <w:p w14:paraId="59E8DCD7">
      <w:pPr>
        <w:pStyle w:val="117"/>
        <w:ind w:firstLine="480"/>
      </w:pPr>
      <w:r>
        <w:rPr>
          <w:rFonts w:hint="eastAsia"/>
        </w:rPr>
        <w:t>哈密市</w:t>
      </w:r>
      <w:r>
        <w:t>环境管控单元</w:t>
      </w:r>
      <w:r>
        <w:rPr>
          <w:rFonts w:hint="eastAsia"/>
        </w:rPr>
        <w:t>分类</w:t>
      </w:r>
      <w:r>
        <w:t>图，见图0.3-</w:t>
      </w:r>
      <w:r>
        <w:rPr>
          <w:rFonts w:hint="eastAsia"/>
        </w:rPr>
        <w:t>6</w:t>
      </w:r>
      <w:r>
        <w:t>。</w:t>
      </w:r>
    </w:p>
    <w:p w14:paraId="556CFF24">
      <w:pPr>
        <w:pStyle w:val="117"/>
        <w:ind w:firstLine="480"/>
      </w:pPr>
      <w:r>
        <w:t>本项目位于</w:t>
      </w:r>
      <w:r>
        <w:rPr>
          <w:rFonts w:hint="eastAsia"/>
        </w:rPr>
        <w:t>哈密高新技术产业开发区南部循环经济产业园</w:t>
      </w:r>
      <w:r>
        <w:t>，</w:t>
      </w:r>
      <w:r>
        <w:rPr>
          <w:rFonts w:hint="eastAsia"/>
        </w:rPr>
        <w:t>属于“伊州区花园乡哈密工业园伊州区南部循环经济产业重点管控单元”（编号：ZH65050220001）</w:t>
      </w:r>
      <w:r>
        <w:t>，</w:t>
      </w:r>
      <w:r>
        <w:rPr>
          <w:rFonts w:hint="eastAsia"/>
        </w:rPr>
        <w:t>本项目与所在单元的生态环境准入清单对照见表0.3-8</w:t>
      </w:r>
      <w:r>
        <w:t>。</w:t>
      </w:r>
    </w:p>
    <w:p w14:paraId="5184FC84">
      <w:pPr>
        <w:pStyle w:val="133"/>
      </w:pPr>
    </w:p>
    <w:p w14:paraId="6DAB9B59">
      <w:pPr>
        <w:pStyle w:val="38"/>
        <w:ind w:firstLine="480"/>
        <w:rPr>
          <w:rFonts w:hint="eastAsia"/>
        </w:rPr>
        <w:sectPr>
          <w:pgSz w:w="11906" w:h="16838"/>
          <w:pgMar w:top="1440" w:right="1800" w:bottom="1440" w:left="1800" w:header="850" w:footer="850" w:gutter="0"/>
          <w:cols w:space="425" w:num="1"/>
          <w:docGrid w:type="lines" w:linePitch="326" w:charSpace="0"/>
        </w:sectPr>
      </w:pPr>
    </w:p>
    <w:p w14:paraId="6B739190">
      <w:pPr>
        <w:pStyle w:val="118"/>
      </w:pPr>
      <w:r>
        <w:t>表0.3-</w:t>
      </w:r>
      <w:r>
        <w:rPr>
          <w:rFonts w:hint="eastAsia"/>
        </w:rPr>
        <w:t>4</w:t>
      </w:r>
      <w:r>
        <w:t xml:space="preserve">  </w:t>
      </w:r>
      <w:r>
        <w:rPr>
          <w:rFonts w:hint="eastAsia"/>
        </w:rPr>
        <w:t>与所在单元的生态环境准入清单符合性分析</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41"/>
        <w:gridCol w:w="993"/>
        <w:gridCol w:w="1125"/>
        <w:gridCol w:w="5548"/>
        <w:gridCol w:w="4543"/>
        <w:gridCol w:w="638"/>
      </w:tblGrid>
      <w:tr w14:paraId="71D80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8" w:type="pct"/>
            <w:vAlign w:val="center"/>
          </w:tcPr>
          <w:p w14:paraId="4BA43D05">
            <w:pPr>
              <w:pStyle w:val="133"/>
              <w:rPr>
                <w:b/>
                <w:bCs/>
              </w:rPr>
            </w:pPr>
            <w:r>
              <w:rPr>
                <w:b/>
                <w:bCs/>
              </w:rPr>
              <w:t>环境管控</w:t>
            </w:r>
          </w:p>
          <w:p w14:paraId="76C5BE75">
            <w:pPr>
              <w:pStyle w:val="133"/>
              <w:rPr>
                <w:b/>
                <w:bCs/>
              </w:rPr>
            </w:pPr>
            <w:r>
              <w:rPr>
                <w:b/>
                <w:bCs/>
              </w:rPr>
              <w:t>单元编码</w:t>
            </w:r>
          </w:p>
        </w:tc>
        <w:tc>
          <w:tcPr>
            <w:tcW w:w="355" w:type="pct"/>
            <w:vAlign w:val="center"/>
          </w:tcPr>
          <w:p w14:paraId="1B287FF3">
            <w:pPr>
              <w:pStyle w:val="133"/>
              <w:rPr>
                <w:b/>
                <w:bCs/>
              </w:rPr>
            </w:pPr>
            <w:r>
              <w:rPr>
                <w:b/>
                <w:bCs/>
              </w:rPr>
              <w:t>环境管控</w:t>
            </w:r>
          </w:p>
          <w:p w14:paraId="7BC1410D">
            <w:pPr>
              <w:pStyle w:val="133"/>
              <w:rPr>
                <w:b/>
                <w:bCs/>
              </w:rPr>
            </w:pPr>
            <w:r>
              <w:rPr>
                <w:b/>
                <w:bCs/>
              </w:rPr>
              <w:t>单元名称</w:t>
            </w:r>
          </w:p>
        </w:tc>
        <w:tc>
          <w:tcPr>
            <w:tcW w:w="2385" w:type="pct"/>
            <w:gridSpan w:val="2"/>
            <w:vAlign w:val="center"/>
          </w:tcPr>
          <w:p w14:paraId="3FE97D45">
            <w:pPr>
              <w:pStyle w:val="133"/>
              <w:rPr>
                <w:b/>
                <w:bCs/>
              </w:rPr>
            </w:pPr>
            <w:r>
              <w:rPr>
                <w:b/>
                <w:bCs/>
              </w:rPr>
              <w:t>管控要求</w:t>
            </w:r>
          </w:p>
        </w:tc>
        <w:tc>
          <w:tcPr>
            <w:tcW w:w="1624" w:type="pct"/>
            <w:vAlign w:val="center"/>
          </w:tcPr>
          <w:p w14:paraId="7B77891E">
            <w:pPr>
              <w:pStyle w:val="133"/>
              <w:rPr>
                <w:b/>
                <w:bCs/>
              </w:rPr>
            </w:pPr>
            <w:r>
              <w:rPr>
                <w:b/>
                <w:bCs/>
              </w:rPr>
              <w:t>本项目情况</w:t>
            </w:r>
          </w:p>
        </w:tc>
        <w:tc>
          <w:tcPr>
            <w:tcW w:w="228" w:type="pct"/>
            <w:vAlign w:val="center"/>
          </w:tcPr>
          <w:p w14:paraId="33D447EC">
            <w:pPr>
              <w:pStyle w:val="133"/>
              <w:rPr>
                <w:b/>
                <w:bCs/>
              </w:rPr>
            </w:pPr>
            <w:r>
              <w:rPr>
                <w:b/>
                <w:bCs/>
              </w:rPr>
              <w:t>符合性</w:t>
            </w:r>
          </w:p>
        </w:tc>
      </w:tr>
      <w:tr w14:paraId="74773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8" w:type="pct"/>
            <w:vMerge w:val="restart"/>
            <w:vAlign w:val="center"/>
          </w:tcPr>
          <w:p w14:paraId="07380F75">
            <w:pPr>
              <w:pStyle w:val="133"/>
            </w:pPr>
            <w:r>
              <w:t>ZH650</w:t>
            </w:r>
            <w:r>
              <w:rPr>
                <w:rFonts w:hint="eastAsia"/>
              </w:rPr>
              <w:t>50</w:t>
            </w:r>
            <w:r>
              <w:t>22000</w:t>
            </w:r>
            <w:r>
              <w:rPr>
                <w:rFonts w:hint="eastAsia"/>
              </w:rPr>
              <w:t>4</w:t>
            </w:r>
          </w:p>
        </w:tc>
        <w:tc>
          <w:tcPr>
            <w:tcW w:w="355" w:type="pct"/>
            <w:vMerge w:val="restart"/>
            <w:vAlign w:val="center"/>
          </w:tcPr>
          <w:p w14:paraId="0CB5AE62">
            <w:pPr>
              <w:pStyle w:val="133"/>
            </w:pPr>
            <w:r>
              <w:rPr>
                <w:rFonts w:hint="eastAsia"/>
              </w:rPr>
              <w:t>伊州区花园乡哈密工业园伊州区南部循环经济产业重点管控单元</w:t>
            </w:r>
          </w:p>
        </w:tc>
        <w:tc>
          <w:tcPr>
            <w:tcW w:w="402" w:type="pct"/>
            <w:vAlign w:val="center"/>
          </w:tcPr>
          <w:p w14:paraId="30EFA5E4">
            <w:pPr>
              <w:pStyle w:val="133"/>
            </w:pPr>
            <w:r>
              <w:t>空间布局</w:t>
            </w:r>
          </w:p>
        </w:tc>
        <w:tc>
          <w:tcPr>
            <w:tcW w:w="1983" w:type="pct"/>
            <w:vAlign w:val="center"/>
          </w:tcPr>
          <w:p w14:paraId="74BBEFD2">
            <w:pPr>
              <w:pStyle w:val="133"/>
            </w:pPr>
            <w:r>
              <w:rPr>
                <w:rFonts w:hint="eastAsia"/>
              </w:rPr>
              <w:t>以水定产，限制现有单位产品能耗、水耗未达到国家限额标准的高能耗、高水耗企业扩能；对新建项目严格把关，严禁不符合产业政策及产业发展定位的项目准入，对现有项目加强监管，依法依规淘汰落后产能，提升能源综合清洁高效利用效率。</w:t>
            </w:r>
          </w:p>
        </w:tc>
        <w:tc>
          <w:tcPr>
            <w:tcW w:w="1624" w:type="pct"/>
            <w:vAlign w:val="center"/>
          </w:tcPr>
          <w:p w14:paraId="68EC3CE1">
            <w:pPr>
              <w:pStyle w:val="133"/>
            </w:pPr>
            <w:r>
              <w:rPr>
                <w:rFonts w:hint="eastAsia"/>
              </w:rPr>
              <w:t>本项目为技改提升项目，实施后将降低现有工程单位产品能耗、水耗。</w:t>
            </w:r>
          </w:p>
        </w:tc>
        <w:tc>
          <w:tcPr>
            <w:tcW w:w="228" w:type="pct"/>
            <w:vAlign w:val="center"/>
          </w:tcPr>
          <w:p w14:paraId="49E86BAA">
            <w:pPr>
              <w:pStyle w:val="133"/>
            </w:pPr>
            <w:r>
              <w:t>符合</w:t>
            </w:r>
          </w:p>
        </w:tc>
      </w:tr>
      <w:tr w14:paraId="19358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8" w:type="pct"/>
            <w:vMerge w:val="continue"/>
            <w:vAlign w:val="center"/>
          </w:tcPr>
          <w:p w14:paraId="1B7E0D86">
            <w:pPr>
              <w:pStyle w:val="133"/>
            </w:pPr>
          </w:p>
        </w:tc>
        <w:tc>
          <w:tcPr>
            <w:tcW w:w="355" w:type="pct"/>
            <w:vMerge w:val="continue"/>
            <w:vAlign w:val="center"/>
          </w:tcPr>
          <w:p w14:paraId="4DD995AF">
            <w:pPr>
              <w:pStyle w:val="133"/>
            </w:pPr>
          </w:p>
        </w:tc>
        <w:tc>
          <w:tcPr>
            <w:tcW w:w="402" w:type="pct"/>
            <w:vAlign w:val="center"/>
          </w:tcPr>
          <w:p w14:paraId="2F5049C5">
            <w:pPr>
              <w:pStyle w:val="133"/>
            </w:pPr>
            <w:r>
              <w:t>污染物排放</w:t>
            </w:r>
          </w:p>
        </w:tc>
        <w:tc>
          <w:tcPr>
            <w:tcW w:w="1983" w:type="pct"/>
            <w:vAlign w:val="center"/>
          </w:tcPr>
          <w:p w14:paraId="362AD353">
            <w:pPr>
              <w:pStyle w:val="133"/>
            </w:pPr>
            <w:r>
              <w:rPr>
                <w:rFonts w:hint="eastAsia"/>
              </w:rPr>
              <w:t>园区生活排放达标率</w:t>
            </w:r>
            <w:r>
              <w:t>100%</w:t>
            </w:r>
            <w:r>
              <w:rPr>
                <w:rFonts w:hint="eastAsia"/>
              </w:rPr>
              <w:t>；园区环境敏感目标噪声达标率和声环境达标覆盖率</w:t>
            </w:r>
            <w:r>
              <w:t>100%</w:t>
            </w:r>
            <w:r>
              <w:rPr>
                <w:rFonts w:hint="eastAsia"/>
              </w:rPr>
              <w:t>。危险废物、一般工业固体废物处置率</w:t>
            </w:r>
            <w:r>
              <w:t>100%</w:t>
            </w:r>
            <w:r>
              <w:rPr>
                <w:rFonts w:hint="eastAsia"/>
              </w:rPr>
              <w:t>。</w:t>
            </w:r>
          </w:p>
        </w:tc>
        <w:tc>
          <w:tcPr>
            <w:tcW w:w="1624" w:type="pct"/>
            <w:vAlign w:val="center"/>
          </w:tcPr>
          <w:p w14:paraId="23F9D8F1">
            <w:pPr>
              <w:pStyle w:val="133"/>
            </w:pPr>
            <w:r>
              <w:rPr>
                <w:rFonts w:hint="eastAsia"/>
              </w:rPr>
              <w:t>本项目危险废物、一般工业固体废物处置率</w:t>
            </w:r>
            <w:r>
              <w:t>100%</w:t>
            </w:r>
          </w:p>
        </w:tc>
        <w:tc>
          <w:tcPr>
            <w:tcW w:w="228" w:type="pct"/>
            <w:vAlign w:val="center"/>
          </w:tcPr>
          <w:p w14:paraId="43045B76">
            <w:pPr>
              <w:pStyle w:val="133"/>
            </w:pPr>
            <w:r>
              <w:t>符合</w:t>
            </w:r>
          </w:p>
        </w:tc>
      </w:tr>
      <w:tr w14:paraId="570E6C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408" w:type="pct"/>
            <w:vMerge w:val="continue"/>
            <w:vAlign w:val="center"/>
          </w:tcPr>
          <w:p w14:paraId="34FECF79">
            <w:pPr>
              <w:pStyle w:val="133"/>
            </w:pPr>
          </w:p>
        </w:tc>
        <w:tc>
          <w:tcPr>
            <w:tcW w:w="355" w:type="pct"/>
            <w:vMerge w:val="continue"/>
            <w:vAlign w:val="center"/>
          </w:tcPr>
          <w:p w14:paraId="2E6A329E">
            <w:pPr>
              <w:pStyle w:val="133"/>
            </w:pPr>
          </w:p>
        </w:tc>
        <w:tc>
          <w:tcPr>
            <w:tcW w:w="402" w:type="pct"/>
            <w:vAlign w:val="center"/>
          </w:tcPr>
          <w:p w14:paraId="3B24B330">
            <w:pPr>
              <w:pStyle w:val="133"/>
            </w:pPr>
            <w:r>
              <w:t>环境风险</w:t>
            </w:r>
          </w:p>
        </w:tc>
        <w:tc>
          <w:tcPr>
            <w:tcW w:w="1983" w:type="pct"/>
            <w:vAlign w:val="center"/>
          </w:tcPr>
          <w:p w14:paraId="09FAFF79">
            <w:pPr>
              <w:pStyle w:val="133"/>
            </w:pPr>
            <w:r>
              <w:rPr>
                <w:rFonts w:hint="eastAsia"/>
              </w:rPr>
              <w:t>/</w:t>
            </w:r>
          </w:p>
        </w:tc>
        <w:tc>
          <w:tcPr>
            <w:tcW w:w="1624" w:type="pct"/>
            <w:vAlign w:val="center"/>
          </w:tcPr>
          <w:p w14:paraId="7D277FEC">
            <w:pPr>
              <w:pStyle w:val="133"/>
            </w:pPr>
            <w:r>
              <w:rPr>
                <w:rFonts w:hint="eastAsia"/>
              </w:rPr>
              <w:t>/</w:t>
            </w:r>
          </w:p>
        </w:tc>
        <w:tc>
          <w:tcPr>
            <w:tcW w:w="228" w:type="pct"/>
            <w:vAlign w:val="center"/>
          </w:tcPr>
          <w:p w14:paraId="6F637F10">
            <w:pPr>
              <w:pStyle w:val="133"/>
            </w:pPr>
            <w:r>
              <w:t>符合</w:t>
            </w:r>
          </w:p>
        </w:tc>
      </w:tr>
      <w:tr w14:paraId="03FB0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 w:hRule="atLeast"/>
        </w:trPr>
        <w:tc>
          <w:tcPr>
            <w:tcW w:w="408" w:type="pct"/>
            <w:vMerge w:val="continue"/>
            <w:vAlign w:val="center"/>
          </w:tcPr>
          <w:p w14:paraId="5F5B61DC">
            <w:pPr>
              <w:pStyle w:val="133"/>
            </w:pPr>
          </w:p>
        </w:tc>
        <w:tc>
          <w:tcPr>
            <w:tcW w:w="355" w:type="pct"/>
            <w:vMerge w:val="continue"/>
            <w:vAlign w:val="center"/>
          </w:tcPr>
          <w:p w14:paraId="4FC61EDF">
            <w:pPr>
              <w:pStyle w:val="133"/>
            </w:pPr>
          </w:p>
        </w:tc>
        <w:tc>
          <w:tcPr>
            <w:tcW w:w="402" w:type="pct"/>
            <w:vAlign w:val="center"/>
          </w:tcPr>
          <w:p w14:paraId="7E9B24B4">
            <w:pPr>
              <w:pStyle w:val="133"/>
            </w:pPr>
            <w:r>
              <w:t>资源利用效率</w:t>
            </w:r>
          </w:p>
        </w:tc>
        <w:tc>
          <w:tcPr>
            <w:tcW w:w="1983" w:type="pct"/>
            <w:vAlign w:val="center"/>
          </w:tcPr>
          <w:p w14:paraId="20DC0979">
            <w:pPr>
              <w:pStyle w:val="133"/>
            </w:pPr>
            <w:r>
              <w:rPr>
                <w:rFonts w:hint="eastAsia"/>
              </w:rPr>
              <w:t>园区中水回用率达到</w:t>
            </w:r>
            <w:r>
              <w:t>100%</w:t>
            </w:r>
            <w:r>
              <w:rPr>
                <w:rFonts w:hint="eastAsia"/>
              </w:rPr>
              <w:t>。</w:t>
            </w:r>
          </w:p>
        </w:tc>
        <w:tc>
          <w:tcPr>
            <w:tcW w:w="1624" w:type="pct"/>
            <w:vAlign w:val="center"/>
          </w:tcPr>
          <w:p w14:paraId="34643901">
            <w:pPr>
              <w:pStyle w:val="133"/>
            </w:pPr>
            <w:r>
              <w:rPr>
                <w:rFonts w:hint="eastAsia"/>
              </w:rPr>
              <w:t>本项目生产废水处理后回用，不排放，水重复利用率较高。</w:t>
            </w:r>
          </w:p>
        </w:tc>
        <w:tc>
          <w:tcPr>
            <w:tcW w:w="228" w:type="pct"/>
            <w:vAlign w:val="center"/>
          </w:tcPr>
          <w:p w14:paraId="03EBB13C">
            <w:pPr>
              <w:pStyle w:val="133"/>
            </w:pPr>
            <w:r>
              <w:t>符合</w:t>
            </w:r>
          </w:p>
        </w:tc>
      </w:tr>
    </w:tbl>
    <w:p w14:paraId="4FE54A7F">
      <w:pPr>
        <w:pStyle w:val="133"/>
      </w:pPr>
    </w:p>
    <w:p w14:paraId="2A67CADF">
      <w:pPr>
        <w:ind w:firstLine="480"/>
        <w:sectPr>
          <w:pgSz w:w="16838" w:h="11906" w:orient="landscape"/>
          <w:pgMar w:top="1800" w:right="1440" w:bottom="1800" w:left="1440" w:header="851" w:footer="992" w:gutter="0"/>
          <w:cols w:space="425" w:num="1"/>
          <w:docGrid w:type="lines" w:linePitch="326" w:charSpace="0"/>
        </w:sectPr>
      </w:pPr>
    </w:p>
    <w:p w14:paraId="6ADE9398">
      <w:pPr>
        <w:pStyle w:val="117"/>
        <w:ind w:firstLine="480"/>
      </w:pPr>
      <w:r>
        <w:rPr>
          <w:rFonts w:hint="eastAsia"/>
        </w:rPr>
        <w:t>由表0.3-4可以看出，本项目建设符合</w:t>
      </w:r>
      <w:r>
        <w:t>《</w:t>
      </w:r>
      <w:r>
        <w:rPr>
          <w:rFonts w:hint="eastAsia"/>
        </w:rPr>
        <w:t>哈密</w:t>
      </w:r>
      <w:r>
        <w:t>市“三线一单”生态环境分区管控方案》（</w:t>
      </w:r>
      <w:r>
        <w:rPr>
          <w:rFonts w:hint="eastAsia"/>
        </w:rPr>
        <w:t>哈</w:t>
      </w:r>
      <w:r>
        <w:t>政办</w:t>
      </w:r>
      <w:r>
        <w:rPr>
          <w:rFonts w:hint="eastAsia"/>
        </w:rPr>
        <w:t>发〔2021〕37号</w:t>
      </w:r>
      <w:r>
        <w:t>）</w:t>
      </w:r>
      <w:r>
        <w:rPr>
          <w:rFonts w:hint="eastAsia"/>
        </w:rPr>
        <w:t>相关管控要求。</w:t>
      </w:r>
    </w:p>
    <w:p w14:paraId="77D10C1A">
      <w:pPr>
        <w:pStyle w:val="138"/>
        <w:numPr>
          <w:ilvl w:val="0"/>
          <w:numId w:val="0"/>
        </w:numPr>
        <w:rPr>
          <w:rFonts w:hint="eastAsia"/>
        </w:rPr>
      </w:pPr>
      <w:r>
        <w:t xml:space="preserve">3.5 </w:t>
      </w:r>
      <w:r>
        <w:rPr>
          <w:rFonts w:hint="eastAsia"/>
        </w:rPr>
        <w:t>选址合理性</w:t>
      </w:r>
      <w:r>
        <w:t>分析</w:t>
      </w:r>
    </w:p>
    <w:p w14:paraId="29CA3237">
      <w:pPr>
        <w:pStyle w:val="117"/>
        <w:ind w:firstLine="480"/>
      </w:pPr>
      <w:r>
        <w:rPr>
          <w:rFonts w:hint="eastAsia"/>
        </w:rPr>
        <w:t>本项目对镁合金产业配套的兰炭生产线和硅铁生产线</w:t>
      </w:r>
      <w:r>
        <w:rPr>
          <w:rFonts w:hint="eastAsia"/>
          <w:snapToGrid w:val="0"/>
        </w:rPr>
        <w:t>进行提升改造</w:t>
      </w:r>
      <w:r>
        <w:rPr>
          <w:rFonts w:hint="eastAsia"/>
        </w:rPr>
        <w:t>。项目厂址位于哈密高新技术产业开发区南部循环经济产业园新材料产业区，用地为三类工业用地。本项目建设符合《哈密高新技术产业开发区国土空间专项规划（2023—2035年）</w:t>
      </w:r>
      <w:r>
        <w:t>》</w:t>
      </w:r>
      <w:r>
        <w:rPr>
          <w:rFonts w:hint="eastAsia"/>
        </w:rPr>
        <w:t>产业布局规划和土地利用规划。项目区已配套供排水管网、供电设施等。</w:t>
      </w:r>
    </w:p>
    <w:p w14:paraId="4CF529B1">
      <w:pPr>
        <w:pStyle w:val="117"/>
        <w:ind w:firstLine="480"/>
      </w:pPr>
      <w:r>
        <w:rPr>
          <w:rFonts w:hint="eastAsia"/>
        </w:rPr>
        <w:t>因此，项目选址合理。</w:t>
      </w:r>
    </w:p>
    <w:bookmarkEnd w:id="30"/>
    <w:bookmarkEnd w:id="31"/>
    <w:bookmarkEnd w:id="32"/>
    <w:bookmarkEnd w:id="33"/>
    <w:bookmarkEnd w:id="34"/>
    <w:bookmarkEnd w:id="35"/>
    <w:bookmarkEnd w:id="36"/>
    <w:bookmarkEnd w:id="37"/>
    <w:p w14:paraId="744D509A">
      <w:pPr>
        <w:pStyle w:val="3"/>
        <w:numPr>
          <w:ilvl w:val="0"/>
          <w:numId w:val="0"/>
        </w:numPr>
      </w:pPr>
      <w:bookmarkStart w:id="42" w:name="_Toc93328735"/>
      <w:bookmarkStart w:id="43" w:name="_Toc6557"/>
      <w:bookmarkStart w:id="44" w:name="_Toc95730893"/>
      <w:bookmarkStart w:id="45" w:name="_Toc205291360"/>
      <w:bookmarkStart w:id="46" w:name="_Toc151579086"/>
      <w:bookmarkStart w:id="47" w:name="_Toc155627691"/>
      <w:bookmarkStart w:id="48" w:name="_Toc22442"/>
      <w:r>
        <w:rPr>
          <w:rFonts w:hint="eastAsia"/>
        </w:rPr>
        <w:t>4、关注的主要环境问题及环境影响</w:t>
      </w:r>
      <w:bookmarkEnd w:id="42"/>
      <w:bookmarkEnd w:id="43"/>
      <w:bookmarkEnd w:id="44"/>
      <w:bookmarkEnd w:id="45"/>
      <w:bookmarkEnd w:id="46"/>
      <w:bookmarkEnd w:id="47"/>
      <w:bookmarkEnd w:id="48"/>
    </w:p>
    <w:p w14:paraId="551A13F6">
      <w:pPr>
        <w:pStyle w:val="117"/>
        <w:ind w:firstLine="480"/>
      </w:pPr>
      <w:r>
        <w:rPr>
          <w:rFonts w:hint="eastAsia"/>
        </w:rPr>
        <w:t>（1）项目是否符合产业政策、相关规划及区域生态环境分区管控要求；</w:t>
      </w:r>
    </w:p>
    <w:p w14:paraId="647CB37C">
      <w:pPr>
        <w:pStyle w:val="117"/>
        <w:ind w:firstLine="480"/>
      </w:pPr>
      <w:r>
        <w:rPr>
          <w:rFonts w:hint="eastAsia"/>
        </w:rPr>
        <w:t>（2）生产过程中炭化炉废气、兰炭烘干烟气中污染物是否可以实现达标排放，项目大气环境影响是否可以接受；</w:t>
      </w:r>
    </w:p>
    <w:p w14:paraId="1EFE8433">
      <w:pPr>
        <w:pStyle w:val="117"/>
        <w:ind w:firstLine="480"/>
      </w:pPr>
      <w:r>
        <w:rPr>
          <w:rFonts w:hint="eastAsia"/>
        </w:rPr>
        <w:t>（3）项目环境风险是否可防控。</w:t>
      </w:r>
      <w:bookmarkStart w:id="49" w:name="_Toc430357661"/>
      <w:bookmarkStart w:id="50" w:name="_Toc432776972"/>
      <w:bookmarkStart w:id="51" w:name="_Toc437274659"/>
      <w:bookmarkStart w:id="52" w:name="_Toc462672045"/>
      <w:bookmarkStart w:id="53" w:name="_Toc432776728"/>
      <w:bookmarkStart w:id="54" w:name="_Toc437356926"/>
    </w:p>
    <w:p w14:paraId="25225E70">
      <w:pPr>
        <w:pStyle w:val="3"/>
        <w:numPr>
          <w:ilvl w:val="0"/>
          <w:numId w:val="0"/>
        </w:numPr>
      </w:pPr>
      <w:bookmarkStart w:id="55" w:name="_Toc95730894"/>
      <w:bookmarkStart w:id="56" w:name="_Toc151579087"/>
      <w:bookmarkStart w:id="57" w:name="_Toc7093"/>
      <w:bookmarkStart w:id="58" w:name="_Toc155627692"/>
      <w:bookmarkStart w:id="59" w:name="_Toc1062"/>
      <w:bookmarkStart w:id="60" w:name="_Toc205291361"/>
      <w:bookmarkStart w:id="61" w:name="_Toc93328736"/>
      <w:r>
        <w:rPr>
          <w:rFonts w:hint="eastAsia"/>
        </w:rPr>
        <w:t>5、环境影响报告书的主要结论</w:t>
      </w:r>
      <w:bookmarkEnd w:id="49"/>
      <w:bookmarkEnd w:id="50"/>
      <w:bookmarkEnd w:id="51"/>
      <w:bookmarkEnd w:id="52"/>
      <w:bookmarkEnd w:id="53"/>
      <w:bookmarkEnd w:id="54"/>
      <w:bookmarkEnd w:id="55"/>
      <w:bookmarkEnd w:id="56"/>
      <w:bookmarkEnd w:id="57"/>
      <w:bookmarkEnd w:id="58"/>
      <w:bookmarkEnd w:id="59"/>
      <w:bookmarkEnd w:id="60"/>
      <w:bookmarkEnd w:id="61"/>
    </w:p>
    <w:p w14:paraId="328DB439">
      <w:pPr>
        <w:pStyle w:val="117"/>
        <w:ind w:firstLine="480"/>
      </w:pPr>
      <w:r>
        <w:rPr>
          <w:rFonts w:hint="eastAsia"/>
        </w:rPr>
        <w:t>新疆金盛镁业有限公司镁合金产业循环经济建设技改提升项目符合国家产业政策和地方环保要求；项目选址于</w:t>
      </w:r>
      <w:r>
        <w:rPr>
          <w:rFonts w:hint="eastAsia" w:cs="Times New Roman"/>
          <w:bCs/>
        </w:rPr>
        <w:t>哈密高新技术产业开发区南部循环经济产业园</w:t>
      </w:r>
      <w:r>
        <w:rPr>
          <w:rFonts w:hint="eastAsia"/>
        </w:rPr>
        <w:t>，符合园区规划用地类型和产业布局要求；项目建设遵循清洁生产的发展理念，各项污染物治理得当，经有效处理后可使污染物稳定达到相关排放标准要求，对外环境影响不大，不会降低区域功能类别；项目制定突发环境事件应急预案，经采取有效的事故防范和减缓措施后，项目环境风险是可以防控的；通过公众参与调查，没有收到反对项目建设的意见；项目运营后，兰炭生产线可实现超低排放、硅铁生产线可降低单位产品能耗，具有良好的环境和经济效益；因此，在认真落实本项目的各项污染防治措施的前提下，从环保的角度来说，该项目建设是可行的。</w:t>
      </w:r>
    </w:p>
    <w:p w14:paraId="0147B7C4">
      <w:pPr>
        <w:pStyle w:val="133"/>
      </w:pPr>
      <w:r>
        <w:drawing>
          <wp:inline distT="0" distB="0" distL="0" distR="0">
            <wp:extent cx="4790440" cy="6627495"/>
            <wp:effectExtent l="0" t="0" r="0" b="1270"/>
            <wp:docPr id="1034" name="图片 1"/>
            <wp:cNvGraphicFramePr/>
            <a:graphic xmlns:a="http://schemas.openxmlformats.org/drawingml/2006/main">
              <a:graphicData uri="http://schemas.openxmlformats.org/drawingml/2006/picture">
                <pic:pic xmlns:pic="http://schemas.openxmlformats.org/drawingml/2006/picture">
                  <pic:nvPicPr>
                    <pic:cNvPr id="1034" name="图片 1"/>
                    <pic:cNvPicPr/>
                  </pic:nvPicPr>
                  <pic:blipFill>
                    <a:blip r:embed="rId33" cstate="print"/>
                    <a:srcRect/>
                    <a:stretch>
                      <a:fillRect/>
                    </a:stretch>
                  </pic:blipFill>
                  <pic:spPr>
                    <a:xfrm>
                      <a:off x="0" y="0"/>
                      <a:ext cx="4790440" cy="6628128"/>
                    </a:xfrm>
                    <a:prstGeom prst="rect">
                      <a:avLst/>
                    </a:prstGeom>
                  </pic:spPr>
                </pic:pic>
              </a:graphicData>
            </a:graphic>
          </wp:inline>
        </w:drawing>
      </w:r>
    </w:p>
    <w:p w14:paraId="37619180">
      <w:pPr>
        <w:pStyle w:val="118"/>
        <w:rPr>
          <w:color w:val="auto"/>
        </w:rPr>
      </w:pPr>
      <w:bookmarkStart w:id="62" w:name="_Toc19148"/>
      <w:bookmarkStart w:id="63" w:name="_Toc15964"/>
      <w:r>
        <w:rPr>
          <w:rFonts w:hint="eastAsia"/>
          <w:color w:val="auto"/>
        </w:rPr>
        <w:t>环境影响评价工作程序框图</w:t>
      </w:r>
      <w:bookmarkEnd w:id="62"/>
      <w:bookmarkEnd w:id="63"/>
    </w:p>
    <w:p w14:paraId="3517B74A">
      <w:pPr>
        <w:pStyle w:val="38"/>
        <w:ind w:firstLine="480"/>
        <w:sectPr>
          <w:pgSz w:w="11906" w:h="16838"/>
          <w:pgMar w:top="1440" w:right="1800" w:bottom="1440" w:left="1800" w:header="851" w:footer="992" w:gutter="0"/>
          <w:cols w:space="425" w:num="1"/>
          <w:docGrid w:type="lines" w:linePitch="312" w:charSpace="0"/>
        </w:sectPr>
      </w:pPr>
    </w:p>
    <w:p w14:paraId="69DF6460">
      <w:pPr>
        <w:pStyle w:val="2"/>
        <w:numPr>
          <w:ilvl w:val="0"/>
          <w:numId w:val="12"/>
        </w:numPr>
        <w:spacing w:before="326"/>
      </w:pPr>
      <w:bookmarkStart w:id="64" w:name="_Toc31226"/>
      <w:bookmarkStart w:id="65" w:name="_Toc4468"/>
      <w:bookmarkStart w:id="66" w:name="_Toc205291362"/>
      <w:r>
        <w:rPr>
          <w:rFonts w:hint="eastAsia"/>
        </w:rPr>
        <w:t>总则</w:t>
      </w:r>
      <w:bookmarkEnd w:id="64"/>
      <w:bookmarkEnd w:id="65"/>
      <w:bookmarkEnd w:id="66"/>
    </w:p>
    <w:p w14:paraId="3A1AB68E">
      <w:pPr>
        <w:pStyle w:val="946"/>
      </w:pPr>
      <w:bookmarkStart w:id="67" w:name="_Toc205291363"/>
      <w:bookmarkStart w:id="68" w:name="_Toc1391"/>
      <w:bookmarkStart w:id="69" w:name="_Toc12650"/>
      <w:r>
        <w:rPr>
          <w:rFonts w:hint="eastAsia"/>
        </w:rPr>
        <w:t>编制依据</w:t>
      </w:r>
      <w:bookmarkEnd w:id="67"/>
      <w:bookmarkEnd w:id="68"/>
      <w:bookmarkEnd w:id="69"/>
      <w:bookmarkStart w:id="70" w:name="_Toc344462256"/>
      <w:bookmarkStart w:id="71" w:name="_Toc172689601"/>
      <w:bookmarkStart w:id="72" w:name="_Toc170791269"/>
      <w:bookmarkStart w:id="73" w:name="_Toc27050"/>
    </w:p>
    <w:p w14:paraId="2DDA2CD8">
      <w:pPr>
        <w:pStyle w:val="138"/>
        <w:rPr>
          <w:rFonts w:hint="eastAsia"/>
        </w:rPr>
      </w:pPr>
      <w:bookmarkStart w:id="74" w:name="_Toc19046"/>
      <w:r>
        <w:rPr>
          <w:rFonts w:hint="eastAsia"/>
        </w:rPr>
        <w:t>国家环保法律</w:t>
      </w:r>
      <w:bookmarkEnd w:id="70"/>
      <w:bookmarkEnd w:id="71"/>
      <w:bookmarkEnd w:id="72"/>
      <w:bookmarkEnd w:id="73"/>
      <w:bookmarkEnd w:id="74"/>
    </w:p>
    <w:p w14:paraId="25F72A58">
      <w:pPr>
        <w:pStyle w:val="161"/>
      </w:pPr>
      <w:r>
        <w:t>《中华人民共和国环境保护法》（2015年1月1日）；</w:t>
      </w:r>
    </w:p>
    <w:p w14:paraId="16203D93">
      <w:pPr>
        <w:pStyle w:val="161"/>
      </w:pPr>
      <w:r>
        <w:t>《中华人民共和国环境影响评价法》（2018年12月29日第二次修正）</w:t>
      </w:r>
      <w:r>
        <w:rPr>
          <w:rFonts w:hint="eastAsia"/>
        </w:rPr>
        <w:t>；</w:t>
      </w:r>
    </w:p>
    <w:p w14:paraId="6DE6EE71">
      <w:pPr>
        <w:pStyle w:val="161"/>
      </w:pPr>
      <w:r>
        <w:t>《中华人民共和国大气污染防治法》（2018年10月26日第二次修正）</w:t>
      </w:r>
      <w:r>
        <w:rPr>
          <w:rFonts w:hint="eastAsia"/>
        </w:rPr>
        <w:t>；</w:t>
      </w:r>
    </w:p>
    <w:p w14:paraId="4F564E2D">
      <w:pPr>
        <w:pStyle w:val="161"/>
      </w:pPr>
      <w:r>
        <w:t>《中华人民共和国水污染防治法》（2018年1月1日）；</w:t>
      </w:r>
    </w:p>
    <w:p w14:paraId="3D01E831">
      <w:pPr>
        <w:pStyle w:val="161"/>
      </w:pPr>
      <w:r>
        <w:t>《中华人民共和国噪声污染防治法》（20</w:t>
      </w:r>
      <w:r>
        <w:rPr>
          <w:rFonts w:hint="eastAsia"/>
        </w:rPr>
        <w:t>2</w:t>
      </w:r>
      <w:r>
        <w:t>1</w:t>
      </w:r>
      <w:r>
        <w:rPr>
          <w:rFonts w:hint="eastAsia"/>
        </w:rPr>
        <w:t>年</w:t>
      </w:r>
      <w:r>
        <w:t>12</w:t>
      </w:r>
      <w:r>
        <w:rPr>
          <w:rFonts w:hint="eastAsia"/>
        </w:rPr>
        <w:t>月</w:t>
      </w:r>
      <w:r>
        <w:t>24</w:t>
      </w:r>
      <w:r>
        <w:rPr>
          <w:rFonts w:hint="eastAsia"/>
        </w:rPr>
        <w:t>日修订</w:t>
      </w:r>
      <w:r>
        <w:t>）；</w:t>
      </w:r>
    </w:p>
    <w:p w14:paraId="0D358375">
      <w:pPr>
        <w:pStyle w:val="161"/>
      </w:pPr>
      <w:r>
        <w:t>《中华人民共和国固体废物污染环境防治法》（2020年</w:t>
      </w:r>
      <w:r>
        <w:rPr>
          <w:rFonts w:hint="eastAsia"/>
        </w:rPr>
        <w:t>4月2</w:t>
      </w:r>
      <w:r>
        <w:t>9</w:t>
      </w:r>
      <w:r>
        <w:rPr>
          <w:rFonts w:hint="eastAsia"/>
        </w:rPr>
        <w:t>日</w:t>
      </w:r>
      <w:r>
        <w:t>修订）；</w:t>
      </w:r>
    </w:p>
    <w:p w14:paraId="5900E94F">
      <w:pPr>
        <w:pStyle w:val="161"/>
      </w:pPr>
      <w:r>
        <w:t>《中华人民共和国土壤污染防治法》（2019年1月1日）；</w:t>
      </w:r>
      <w:bookmarkStart w:id="75" w:name="_Toc172689602"/>
      <w:bookmarkStart w:id="76" w:name="_Toc170791270"/>
      <w:bookmarkStart w:id="77" w:name="_Toc14499"/>
      <w:bookmarkStart w:id="78" w:name="_Toc344462257"/>
    </w:p>
    <w:p w14:paraId="13035252">
      <w:pPr>
        <w:pStyle w:val="161"/>
      </w:pPr>
      <w:r>
        <w:t>《中华人民共和国清洁生产促进法》（2012年7月1日）</w:t>
      </w:r>
      <w:r>
        <w:rPr>
          <w:rFonts w:hint="eastAsia"/>
        </w:rPr>
        <w:t>；</w:t>
      </w:r>
    </w:p>
    <w:p w14:paraId="0179C65F">
      <w:pPr>
        <w:pStyle w:val="161"/>
      </w:pPr>
      <w:bookmarkStart w:id="79" w:name="_Hlk187431961"/>
      <w:r>
        <w:t>《中华人民共和国循环经济促进法》</w:t>
      </w:r>
      <w:r>
        <w:rPr>
          <w:rFonts w:hint="eastAsia"/>
        </w:rPr>
        <w:t>（</w:t>
      </w:r>
      <w:r>
        <w:t>2018年10月26日修正</w:t>
      </w:r>
      <w:r>
        <w:rPr>
          <w:rFonts w:hint="eastAsia"/>
        </w:rPr>
        <w:t>）。</w:t>
      </w:r>
    </w:p>
    <w:bookmarkEnd w:id="75"/>
    <w:bookmarkEnd w:id="76"/>
    <w:bookmarkEnd w:id="77"/>
    <w:bookmarkEnd w:id="78"/>
    <w:bookmarkEnd w:id="79"/>
    <w:p w14:paraId="37BBCEED">
      <w:pPr>
        <w:pStyle w:val="138"/>
        <w:rPr>
          <w:rFonts w:hint="eastAsia"/>
        </w:rPr>
      </w:pPr>
      <w:bookmarkStart w:id="80" w:name="_Toc170791271"/>
      <w:bookmarkStart w:id="81" w:name="_Toc5085"/>
      <w:bookmarkStart w:id="82" w:name="_Toc344462258"/>
      <w:bookmarkStart w:id="83" w:name="_Toc172689603"/>
      <w:bookmarkStart w:id="84" w:name="_Toc7863"/>
      <w:r>
        <w:rPr>
          <w:rFonts w:hint="eastAsia"/>
        </w:rPr>
        <w:t>环境保护</w:t>
      </w:r>
      <w:bookmarkEnd w:id="80"/>
      <w:bookmarkEnd w:id="81"/>
      <w:bookmarkEnd w:id="82"/>
      <w:bookmarkEnd w:id="83"/>
      <w:r>
        <w:rPr>
          <w:rFonts w:hint="eastAsia"/>
        </w:rPr>
        <w:t>规章</w:t>
      </w:r>
      <w:bookmarkEnd w:id="84"/>
    </w:p>
    <w:p w14:paraId="3AFE3E94">
      <w:pPr>
        <w:pStyle w:val="161"/>
        <w:numPr>
          <w:ilvl w:val="0"/>
          <w:numId w:val="13"/>
        </w:numPr>
      </w:pPr>
      <w:r>
        <w:rPr>
          <w:rFonts w:hint="eastAsia"/>
        </w:rPr>
        <w:t>《建设项目环境影响评价分类管理名录》（2021版）；</w:t>
      </w:r>
    </w:p>
    <w:p w14:paraId="46B388F6">
      <w:pPr>
        <w:pStyle w:val="161"/>
      </w:pPr>
      <w:r>
        <w:rPr>
          <w:rFonts w:hint="eastAsia"/>
        </w:rPr>
        <w:t>《产业结构调整指导目录（20</w:t>
      </w:r>
      <w:r>
        <w:t>24</w:t>
      </w:r>
      <w:r>
        <w:rPr>
          <w:rFonts w:hint="eastAsia"/>
        </w:rPr>
        <w:t>年本）》（202</w:t>
      </w:r>
      <w:r>
        <w:t>4</w:t>
      </w:r>
      <w:r>
        <w:rPr>
          <w:rFonts w:hint="eastAsia"/>
        </w:rPr>
        <w:t>年</w:t>
      </w:r>
      <w:r>
        <w:t>2</w:t>
      </w:r>
      <w:r>
        <w:rPr>
          <w:rFonts w:hint="eastAsia"/>
        </w:rPr>
        <w:t>月1日）；</w:t>
      </w:r>
    </w:p>
    <w:p w14:paraId="709A0CFF">
      <w:pPr>
        <w:pStyle w:val="161"/>
      </w:pPr>
      <w:r>
        <w:rPr>
          <w:rFonts w:hint="eastAsia"/>
        </w:rPr>
        <w:t>《建设项目环境保护管理条例》（2017年10月1日）；</w:t>
      </w:r>
    </w:p>
    <w:p w14:paraId="60F1855A">
      <w:pPr>
        <w:pStyle w:val="161"/>
      </w:pPr>
      <w:r>
        <w:rPr>
          <w:rFonts w:hint="eastAsia"/>
        </w:rPr>
        <w:t>《国家危险废物名录（2025年版）》（2025年1月1日）；</w:t>
      </w:r>
    </w:p>
    <w:p w14:paraId="2C95AB22">
      <w:pPr>
        <w:pStyle w:val="161"/>
      </w:pPr>
      <w:r>
        <w:rPr>
          <w:rFonts w:hint="eastAsia"/>
        </w:rPr>
        <w:t>《环境影响评价公众参与办法》（2019年1月1日）；</w:t>
      </w:r>
    </w:p>
    <w:p w14:paraId="04D2FE3D">
      <w:pPr>
        <w:pStyle w:val="161"/>
      </w:pPr>
      <w:r>
        <w:rPr>
          <w:rFonts w:hint="eastAsia"/>
        </w:rPr>
        <w:t>《大气污染防治行动计划》（国发〔2013〕37号，2013年9月13日）；</w:t>
      </w:r>
    </w:p>
    <w:p w14:paraId="2D701732">
      <w:pPr>
        <w:pStyle w:val="161"/>
      </w:pPr>
      <w:r>
        <w:rPr>
          <w:rFonts w:hint="eastAsia"/>
        </w:rPr>
        <w:t>《土壤污染防治行动计划》（国发〔2016〕31号，2016年5月28日）；</w:t>
      </w:r>
    </w:p>
    <w:p w14:paraId="40369302">
      <w:pPr>
        <w:pStyle w:val="161"/>
      </w:pPr>
      <w:r>
        <w:rPr>
          <w:rFonts w:hint="eastAsia"/>
        </w:rPr>
        <w:t>《水污染防治行动计划》（国发〔2015〕17号，2015年4月16日）；</w:t>
      </w:r>
      <w:bookmarkStart w:id="85" w:name="_Toc323919750"/>
      <w:bookmarkStart w:id="86" w:name="_Toc315988400"/>
    </w:p>
    <w:p w14:paraId="08B29643">
      <w:pPr>
        <w:pStyle w:val="161"/>
      </w:pPr>
      <w:r>
        <w:rPr>
          <w:rFonts w:hint="eastAsia"/>
        </w:rPr>
        <w:t>《危险化学品安全管理条例》（2013年修订，2013年12月7日）；</w:t>
      </w:r>
    </w:p>
    <w:p w14:paraId="463B3659">
      <w:pPr>
        <w:pStyle w:val="161"/>
      </w:pPr>
      <w:r>
        <w:rPr>
          <w:rFonts w:hint="eastAsia"/>
        </w:rPr>
        <w:t>《危险废物转移管理办法》（生态环境部、公安部、交通运输部令第23号，2021年11月30日）；</w:t>
      </w:r>
    </w:p>
    <w:p w14:paraId="68A0BC09">
      <w:pPr>
        <w:pStyle w:val="161"/>
      </w:pPr>
      <w:r>
        <w:rPr>
          <w:rFonts w:hint="eastAsia"/>
        </w:rPr>
        <w:t>《重点行业挥发性有机物综合治理方案》（环大气〔2019〕</w:t>
      </w:r>
      <w:r>
        <w:t>53</w:t>
      </w:r>
      <w:r>
        <w:rPr>
          <w:rFonts w:hint="eastAsia"/>
        </w:rPr>
        <w:t>，2019年7月3日）；</w:t>
      </w:r>
    </w:p>
    <w:p w14:paraId="795A9EF3">
      <w:pPr>
        <w:pStyle w:val="161"/>
      </w:pPr>
      <w:r>
        <w:rPr>
          <w:rFonts w:hint="eastAsia"/>
        </w:rPr>
        <w:t>《关于印发〈工业炉窑大气污染综合治理方案〉的通知》（环大气〔2019〕56号）</w:t>
      </w:r>
      <w:bookmarkStart w:id="87" w:name="_Toc21510"/>
      <w:bookmarkStart w:id="88" w:name="_Toc344462260"/>
      <w:r>
        <w:rPr>
          <w:rFonts w:hint="eastAsia"/>
        </w:rPr>
        <w:t>；</w:t>
      </w:r>
    </w:p>
    <w:p w14:paraId="2490CFE2">
      <w:pPr>
        <w:pStyle w:val="161"/>
      </w:pPr>
      <w:r>
        <w:rPr>
          <w:rFonts w:hint="eastAsia"/>
        </w:rPr>
        <w:t>《关于加强化工企业等重点排污单位特征污染物监测工作的通知》，环办监测函〔2016〕1686号，2016</w:t>
      </w:r>
      <w:r>
        <w:t>年</w:t>
      </w:r>
      <w:r>
        <w:rPr>
          <w:rFonts w:hint="eastAsia"/>
        </w:rPr>
        <w:t>9</w:t>
      </w:r>
      <w:r>
        <w:t>月</w:t>
      </w:r>
      <w:r>
        <w:rPr>
          <w:rFonts w:hint="eastAsia"/>
        </w:rPr>
        <w:t>20日；</w:t>
      </w:r>
    </w:p>
    <w:p w14:paraId="6283D177">
      <w:pPr>
        <w:pStyle w:val="161"/>
      </w:pPr>
      <w:bookmarkStart w:id="89" w:name="_Hlk187432537"/>
      <w:r>
        <w:t>关于发布《工业企业污染治理设施污染物去除协同控制温室气体核算技术指南（试行）》的通知，环办科技</w:t>
      </w:r>
      <w:r>
        <w:rPr>
          <w:rFonts w:hint="eastAsia"/>
        </w:rPr>
        <w:t>〔2017〕73号，2</w:t>
      </w:r>
      <w:r>
        <w:t>017</w:t>
      </w:r>
      <w:r>
        <w:rPr>
          <w:rFonts w:hint="eastAsia"/>
        </w:rPr>
        <w:t>年</w:t>
      </w:r>
      <w:r>
        <w:t>9</w:t>
      </w:r>
      <w:r>
        <w:rPr>
          <w:rFonts w:hint="eastAsia"/>
        </w:rPr>
        <w:t>月</w:t>
      </w:r>
      <w:r>
        <w:t>4</w:t>
      </w:r>
      <w:r>
        <w:rPr>
          <w:rFonts w:hint="eastAsia"/>
        </w:rPr>
        <w:t>日</w:t>
      </w:r>
      <w:r>
        <w:t>；</w:t>
      </w:r>
    </w:p>
    <w:p w14:paraId="76079D31">
      <w:pPr>
        <w:pStyle w:val="161"/>
      </w:pPr>
      <w:r>
        <w:rPr>
          <w:rFonts w:hint="eastAsia"/>
        </w:rPr>
        <w:t>《关于做好环境影响评价制度与排污许可制衔接相关工作的通知》，环办环评〔2017〕84号文，2017</w:t>
      </w:r>
      <w:r>
        <w:t>年</w:t>
      </w:r>
      <w:r>
        <w:rPr>
          <w:rFonts w:hint="eastAsia"/>
        </w:rPr>
        <w:t>11</w:t>
      </w:r>
      <w:r>
        <w:t>月</w:t>
      </w:r>
      <w:r>
        <w:rPr>
          <w:rFonts w:hint="eastAsia"/>
        </w:rPr>
        <w:t>14日；</w:t>
      </w:r>
    </w:p>
    <w:p w14:paraId="1D264E46">
      <w:pPr>
        <w:pStyle w:val="161"/>
      </w:pPr>
      <w:r>
        <w:t>《生态环境部办公厅</w:t>
      </w:r>
      <w:r>
        <w:rPr>
          <w:rFonts w:hint="eastAsia"/>
        </w:rPr>
        <w:t>关于印发</w:t>
      </w:r>
      <w:r>
        <w:t>〈环境影响评价与排污许可领域协同推进碳减排工作方案〉的通知》（环办环评函</w:t>
      </w:r>
      <w:r>
        <w:rPr>
          <w:rFonts w:hint="eastAsia"/>
        </w:rPr>
        <w:t>〔2021〕277号</w:t>
      </w:r>
      <w:r>
        <w:t>）</w:t>
      </w:r>
      <w:r>
        <w:rPr>
          <w:rFonts w:hint="eastAsia"/>
        </w:rPr>
        <w:t>，2</w:t>
      </w:r>
      <w:r>
        <w:t>021</w:t>
      </w:r>
      <w:r>
        <w:rPr>
          <w:rFonts w:hint="eastAsia"/>
        </w:rPr>
        <w:t>年</w:t>
      </w:r>
      <w:r>
        <w:t>6</w:t>
      </w:r>
      <w:r>
        <w:rPr>
          <w:rFonts w:hint="eastAsia"/>
        </w:rPr>
        <w:t>月</w:t>
      </w:r>
      <w:r>
        <w:t>7</w:t>
      </w:r>
      <w:r>
        <w:rPr>
          <w:rFonts w:hint="eastAsia"/>
        </w:rPr>
        <w:t>日</w:t>
      </w:r>
      <w:r>
        <w:t>；</w:t>
      </w:r>
    </w:p>
    <w:p w14:paraId="61959571">
      <w:pPr>
        <w:pStyle w:val="161"/>
      </w:pPr>
      <w:r>
        <w:rPr>
          <w:rFonts w:hint="eastAsia"/>
        </w:rPr>
        <w:t>《建设项目竣工环境保护验收暂行办法》，国环规环评〔2017〕4号，2017</w:t>
      </w:r>
      <w:r>
        <w:t>年</w:t>
      </w:r>
      <w:r>
        <w:rPr>
          <w:rFonts w:hint="eastAsia"/>
        </w:rPr>
        <w:t>11</w:t>
      </w:r>
      <w:r>
        <w:t>月</w:t>
      </w:r>
      <w:r>
        <w:rPr>
          <w:rFonts w:hint="eastAsia"/>
        </w:rPr>
        <w:t>20日；</w:t>
      </w:r>
    </w:p>
    <w:p w14:paraId="4292EADD">
      <w:pPr>
        <w:pStyle w:val="161"/>
      </w:pPr>
      <w:r>
        <w:rPr>
          <w:rFonts w:hint="eastAsia"/>
        </w:rPr>
        <w:t>《关于强化建设项目环境影响评价事中事后监管的实施意见》，环环评〔2018〕11号，2018</w:t>
      </w:r>
      <w:r>
        <w:t>年</w:t>
      </w:r>
      <w:r>
        <w:rPr>
          <w:rFonts w:hint="eastAsia"/>
        </w:rPr>
        <w:t>1</w:t>
      </w:r>
      <w:r>
        <w:t>月</w:t>
      </w:r>
      <w:r>
        <w:rPr>
          <w:rFonts w:hint="eastAsia"/>
        </w:rPr>
        <w:t>26日；</w:t>
      </w:r>
    </w:p>
    <w:p w14:paraId="1948FFD2">
      <w:pPr>
        <w:pStyle w:val="161"/>
      </w:pPr>
      <w:r>
        <w:rPr>
          <w:rFonts w:hint="eastAsia"/>
        </w:rPr>
        <w:t>《关于统筹和加强应对气候变化与生态环境保护相关工作的指导意见》</w:t>
      </w:r>
      <w:r>
        <w:t>，</w:t>
      </w:r>
      <w:r>
        <w:rPr>
          <w:rFonts w:hint="eastAsia"/>
        </w:rPr>
        <w:t>环综合〔2021〕4号</w:t>
      </w:r>
      <w:r>
        <w:t>，</w:t>
      </w:r>
      <w:r>
        <w:rPr>
          <w:rFonts w:hint="eastAsia"/>
        </w:rPr>
        <w:t>2021</w:t>
      </w:r>
      <w:r>
        <w:t>年</w:t>
      </w:r>
      <w:r>
        <w:rPr>
          <w:rFonts w:hint="eastAsia"/>
        </w:rPr>
        <w:t>1</w:t>
      </w:r>
      <w:r>
        <w:t>月9</w:t>
      </w:r>
      <w:r>
        <w:rPr>
          <w:rFonts w:hint="eastAsia"/>
        </w:rPr>
        <w:t>日；</w:t>
      </w:r>
    </w:p>
    <w:p w14:paraId="208AE578">
      <w:pPr>
        <w:pStyle w:val="161"/>
      </w:pPr>
      <w:r>
        <w:rPr>
          <w:rFonts w:hint="eastAsia"/>
        </w:rPr>
        <w:t>《关于做好2022年企业温室气体排放报告管理相关重点工作的通知》，环办气候函〔2022〕111号，2</w:t>
      </w:r>
      <w:r>
        <w:t>022</w:t>
      </w:r>
      <w:r>
        <w:rPr>
          <w:rFonts w:hint="eastAsia"/>
        </w:rPr>
        <w:t>年3月1</w:t>
      </w:r>
      <w:r>
        <w:t>0</w:t>
      </w:r>
      <w:r>
        <w:rPr>
          <w:rFonts w:hint="eastAsia"/>
        </w:rPr>
        <w:t>日；</w:t>
      </w:r>
    </w:p>
    <w:p w14:paraId="0B91FFB1">
      <w:pPr>
        <w:pStyle w:val="161"/>
      </w:pPr>
      <w:r>
        <w:rPr>
          <w:rFonts w:hint="eastAsia"/>
        </w:rPr>
        <w:t>《煤炭清洁高效利用重点领域标杆水平和基准水平（2022年版）》，发改运行〔2022〕559号，2022</w:t>
      </w:r>
      <w:r>
        <w:rPr>
          <w:rFonts w:hAnsi="宋体"/>
        </w:rPr>
        <w:t>年</w:t>
      </w:r>
      <w:r>
        <w:rPr>
          <w:rFonts w:hint="eastAsia"/>
        </w:rPr>
        <w:t>4</w:t>
      </w:r>
      <w:r>
        <w:t>月</w:t>
      </w:r>
      <w:r>
        <w:rPr>
          <w:rFonts w:hint="eastAsia"/>
        </w:rPr>
        <w:t>9</w:t>
      </w:r>
      <w:r>
        <w:rPr>
          <w:rFonts w:hint="eastAsia"/>
          <w:spacing w:val="8"/>
          <w:shd w:val="clear" w:color="auto" w:fill="FFFFFF"/>
        </w:rPr>
        <w:t>日</w:t>
      </w:r>
      <w:r>
        <w:rPr>
          <w:rFonts w:hint="eastAsia"/>
        </w:rPr>
        <w:t>；</w:t>
      </w:r>
    </w:p>
    <w:p w14:paraId="7B0AEDA2">
      <w:pPr>
        <w:pStyle w:val="161"/>
      </w:pPr>
      <w:r>
        <w:t>《重点行业挥发性有机物削减行动计划》</w:t>
      </w:r>
      <w:r>
        <w:rPr>
          <w:rFonts w:hint="eastAsia"/>
        </w:rPr>
        <w:t>，</w:t>
      </w:r>
      <w:r>
        <w:t>工信部联节〔2016〕217号，2016年7月8日；</w:t>
      </w:r>
    </w:p>
    <w:p w14:paraId="6D4B52DD">
      <w:pPr>
        <w:pStyle w:val="161"/>
      </w:pPr>
      <w:r>
        <w:t>《关于加快解决当前挥发性有机物治理突出问题的通知》</w:t>
      </w:r>
      <w:r>
        <w:rPr>
          <w:rFonts w:hint="eastAsia"/>
        </w:rPr>
        <w:t>，环大气〔2021〕65号，2</w:t>
      </w:r>
      <w:r>
        <w:t>021</w:t>
      </w:r>
      <w:r>
        <w:rPr>
          <w:rFonts w:hint="eastAsia"/>
        </w:rPr>
        <w:t>年8月4日；</w:t>
      </w:r>
    </w:p>
    <w:p w14:paraId="7DB6E197">
      <w:pPr>
        <w:pStyle w:val="161"/>
      </w:pPr>
      <w:r>
        <w:rPr>
          <w:rFonts w:hint="eastAsia"/>
        </w:rPr>
        <w:t>《关于印发〈石化行业挥发性有机物综合整治方案〉的通知》，环发〔2014〕177号，2014</w:t>
      </w:r>
      <w:r>
        <w:rPr>
          <w:rFonts w:hAnsi="宋体"/>
        </w:rPr>
        <w:t>年</w:t>
      </w:r>
      <w:r>
        <w:rPr>
          <w:rFonts w:hint="eastAsia"/>
        </w:rPr>
        <w:t>1</w:t>
      </w:r>
      <w:r>
        <w:t>月</w:t>
      </w:r>
      <w:r>
        <w:rPr>
          <w:rFonts w:hint="eastAsia"/>
        </w:rPr>
        <w:t>5</w:t>
      </w:r>
      <w:r>
        <w:rPr>
          <w:rFonts w:hint="eastAsia"/>
          <w:spacing w:val="8"/>
          <w:shd w:val="clear" w:color="auto" w:fill="FFFFFF"/>
        </w:rPr>
        <w:t>日</w:t>
      </w:r>
      <w:r>
        <w:rPr>
          <w:rFonts w:hint="eastAsia"/>
        </w:rPr>
        <w:t>；</w:t>
      </w:r>
    </w:p>
    <w:p w14:paraId="6BF9610D">
      <w:pPr>
        <w:pStyle w:val="161"/>
      </w:pPr>
      <w:r>
        <w:t>关于发布《高耗能行业重点领域节能降碳改造升级实施指南</w:t>
      </w:r>
      <w:r>
        <w:rPr>
          <w:rFonts w:hint="eastAsia"/>
        </w:rPr>
        <w:t>（</w:t>
      </w:r>
      <w:r>
        <w:t>2022年版</w:t>
      </w:r>
      <w:r>
        <w:rPr>
          <w:rFonts w:hint="eastAsia"/>
        </w:rPr>
        <w:t>）</w:t>
      </w:r>
      <w:r>
        <w:t>》的通知</w:t>
      </w:r>
      <w:r>
        <w:rPr>
          <w:rFonts w:hint="eastAsia"/>
        </w:rPr>
        <w:t>，</w:t>
      </w:r>
      <w:r>
        <w:t>发改产业〔2022〕200号</w:t>
      </w:r>
      <w:r>
        <w:rPr>
          <w:rFonts w:hint="eastAsia"/>
        </w:rPr>
        <w:t>，2022年2月3日；</w:t>
      </w:r>
    </w:p>
    <w:p w14:paraId="590D3206">
      <w:pPr>
        <w:pStyle w:val="161"/>
      </w:pPr>
      <w:r>
        <w:rPr>
          <w:rFonts w:hint="eastAsia"/>
        </w:rPr>
        <w:t>《挥发性有机物（VOCs）污染防治技术政策》，公告2013年第31号，2013</w:t>
      </w:r>
      <w:r>
        <w:rPr>
          <w:rFonts w:hAnsi="宋体"/>
        </w:rPr>
        <w:t>年</w:t>
      </w:r>
      <w:r>
        <w:rPr>
          <w:rFonts w:hint="eastAsia"/>
        </w:rPr>
        <w:t>5</w:t>
      </w:r>
      <w:r>
        <w:t>月</w:t>
      </w:r>
      <w:r>
        <w:rPr>
          <w:rFonts w:hint="eastAsia"/>
        </w:rPr>
        <w:t>24</w:t>
      </w:r>
      <w:r>
        <w:rPr>
          <w:rFonts w:hint="eastAsia"/>
          <w:spacing w:val="8"/>
          <w:shd w:val="clear" w:color="auto" w:fill="FFFFFF"/>
        </w:rPr>
        <w:t>日</w:t>
      </w:r>
      <w:r>
        <w:rPr>
          <w:rFonts w:hint="eastAsia"/>
        </w:rPr>
        <w:t>；</w:t>
      </w:r>
    </w:p>
    <w:p w14:paraId="6A44E539">
      <w:pPr>
        <w:pStyle w:val="161"/>
      </w:pPr>
      <w:r>
        <w:rPr>
          <w:rFonts w:hint="eastAsia"/>
        </w:rPr>
        <w:t>《关于“十四五”推动石化化工行业高质量发展的指导意见》，工信部联原〔202</w:t>
      </w:r>
      <w:r>
        <w:t>2</w:t>
      </w:r>
      <w:r>
        <w:rPr>
          <w:rFonts w:hint="eastAsia"/>
        </w:rPr>
        <w:t>〕</w:t>
      </w:r>
      <w:r>
        <w:t>34</w:t>
      </w:r>
      <w:r>
        <w:rPr>
          <w:rFonts w:hint="eastAsia"/>
        </w:rPr>
        <w:t>号，</w:t>
      </w:r>
      <w:r>
        <w:t>2022年3月28日</w:t>
      </w:r>
      <w:r>
        <w:rPr>
          <w:rFonts w:hint="eastAsia"/>
        </w:rPr>
        <w:t>；</w:t>
      </w:r>
    </w:p>
    <w:p w14:paraId="701A9BC3">
      <w:pPr>
        <w:pStyle w:val="161"/>
      </w:pPr>
      <w:r>
        <w:rPr>
          <w:rFonts w:hint="eastAsia"/>
        </w:rPr>
        <w:t>《石化化工重点行业严格能效约束推动节能降碳行动方案（2021—2025年）》；</w:t>
      </w:r>
    </w:p>
    <w:p w14:paraId="47D682CC">
      <w:pPr>
        <w:pStyle w:val="161"/>
      </w:pPr>
      <w:r>
        <w:t>《关于推进污水资源化利用的指导意见》（发改环资</w:t>
      </w:r>
      <w:r>
        <w:rPr>
          <w:rFonts w:hint="eastAsia"/>
        </w:rPr>
        <w:t>〔</w:t>
      </w:r>
      <w:r>
        <w:t>2021</w:t>
      </w:r>
      <w:r>
        <w:rPr>
          <w:rFonts w:hint="eastAsia"/>
        </w:rPr>
        <w:t>〕</w:t>
      </w:r>
      <w:r>
        <w:t>13号）；</w:t>
      </w:r>
    </w:p>
    <w:p w14:paraId="0B64A8CD">
      <w:pPr>
        <w:pStyle w:val="161"/>
      </w:pPr>
      <w:r>
        <w:rPr>
          <w:rFonts w:hint="eastAsia"/>
        </w:rPr>
        <w:t>《国家发展改革委等部门关于严格能效约束推动重点领域节能降碳的若干意见》，发改产业〔2021〕1464号，2021年10月8日；</w:t>
      </w:r>
    </w:p>
    <w:p w14:paraId="2FAC6809">
      <w:pPr>
        <w:pStyle w:val="161"/>
      </w:pPr>
      <w:r>
        <w:rPr>
          <w:rFonts w:hint="eastAsia"/>
        </w:rPr>
        <w:t>《国务院关于印发〈2024—2025年节能降碳行动方案〉的通知》国发〔2024〕12号；</w:t>
      </w:r>
    </w:p>
    <w:p w14:paraId="041FF784">
      <w:pPr>
        <w:pStyle w:val="161"/>
      </w:pPr>
      <w:r>
        <w:rPr>
          <w:rFonts w:hint="eastAsia"/>
        </w:rPr>
        <w:t>关于将巴音郭楞蒙古自治州吐鲁番市哈密市纳入执行《环境影响评价技术导则 大气环境（HJ</w:t>
      </w:r>
      <w:r>
        <w:t>2.2</w:t>
      </w:r>
      <w:r>
        <w:rPr>
          <w:rFonts w:hint="eastAsia"/>
        </w:rPr>
        <w:t>-2018）》差别化政策范围的复函，环办环评函〔20</w:t>
      </w:r>
      <w:r>
        <w:t>20</w:t>
      </w:r>
      <w:r>
        <w:rPr>
          <w:rFonts w:hint="eastAsia"/>
        </w:rPr>
        <w:t>〕</w:t>
      </w:r>
      <w:r>
        <w:t>341</w:t>
      </w:r>
      <w:r>
        <w:rPr>
          <w:rFonts w:hint="eastAsia"/>
        </w:rPr>
        <w:t>号，</w:t>
      </w:r>
      <w:r>
        <w:t>2020</w:t>
      </w:r>
      <w:r>
        <w:rPr>
          <w:rFonts w:hint="eastAsia"/>
        </w:rPr>
        <w:t>年6月2</w:t>
      </w:r>
      <w:r>
        <w:t>9</w:t>
      </w:r>
      <w:r>
        <w:rPr>
          <w:rFonts w:hint="eastAsia"/>
        </w:rPr>
        <w:t>日；</w:t>
      </w:r>
    </w:p>
    <w:p w14:paraId="5967390D">
      <w:pPr>
        <w:pStyle w:val="161"/>
      </w:pPr>
      <w:r>
        <w:t>《关于加强重点行业建设项目区域削减措施监督管理的通知》</w:t>
      </w:r>
      <w:r>
        <w:rPr>
          <w:rFonts w:hint="eastAsia"/>
        </w:rPr>
        <w:t>，</w:t>
      </w:r>
      <w:r>
        <w:t>环办环评〔2020〕36号</w:t>
      </w:r>
      <w:r>
        <w:rPr>
          <w:rFonts w:hint="eastAsia"/>
        </w:rPr>
        <w:t>，</w:t>
      </w:r>
      <w:r>
        <w:t>2020</w:t>
      </w:r>
      <w:r>
        <w:rPr>
          <w:rFonts w:hint="eastAsia"/>
        </w:rPr>
        <w:t>年</w:t>
      </w:r>
      <w:r>
        <w:t>12</w:t>
      </w:r>
      <w:r>
        <w:rPr>
          <w:rFonts w:hint="eastAsia"/>
        </w:rPr>
        <w:t>月</w:t>
      </w:r>
      <w:r>
        <w:t>30</w:t>
      </w:r>
      <w:r>
        <w:rPr>
          <w:rFonts w:hint="eastAsia"/>
        </w:rPr>
        <w:t>日；</w:t>
      </w:r>
    </w:p>
    <w:p w14:paraId="6804871B">
      <w:pPr>
        <w:pStyle w:val="161"/>
      </w:pPr>
      <w:bookmarkStart w:id="90" w:name="_Hlk173925162"/>
      <w:r>
        <w:t>《减污降碳协同增效实施方案》</w:t>
      </w:r>
      <w:r>
        <w:rPr>
          <w:rFonts w:hint="eastAsia"/>
        </w:rPr>
        <w:t>，</w:t>
      </w:r>
      <w:r>
        <w:t>环综合〔2022〕42号</w:t>
      </w:r>
      <w:r>
        <w:rPr>
          <w:rFonts w:hint="eastAsia"/>
        </w:rPr>
        <w:t>，2022年6月10日；</w:t>
      </w:r>
      <w:bookmarkEnd w:id="90"/>
    </w:p>
    <w:p w14:paraId="10BFF96B">
      <w:pPr>
        <w:pStyle w:val="161"/>
      </w:pPr>
      <w:r>
        <w:rPr>
          <w:rFonts w:hint="eastAsia"/>
        </w:rPr>
        <w:t>《高耗能行业重点领域节能降碳改造升级实施指南（2022年版）》，发改产业〔2022〕200号，2022年2月3日；</w:t>
      </w:r>
    </w:p>
    <w:p w14:paraId="2FD032D9">
      <w:pPr>
        <w:pStyle w:val="161"/>
      </w:pPr>
      <w:r>
        <w:t>《危险废物转移管理办法》</w:t>
      </w:r>
      <w:r>
        <w:rPr>
          <w:rFonts w:hint="eastAsia"/>
        </w:rPr>
        <w:t>，生态环境部、公安部、交通运输部 部令第23号，2021年11月30日；</w:t>
      </w:r>
    </w:p>
    <w:p w14:paraId="613B726A">
      <w:pPr>
        <w:pStyle w:val="161"/>
      </w:pPr>
      <w:r>
        <w:rPr>
          <w:rFonts w:hint="eastAsia"/>
        </w:rPr>
        <w:t>《关于推进实施焦化行业超低排放的意见》，环大气〔2024〕5号</w:t>
      </w:r>
      <w:r>
        <w:t>，20</w:t>
      </w:r>
      <w:r>
        <w:rPr>
          <w:rFonts w:hint="eastAsia"/>
        </w:rPr>
        <w:t>2</w:t>
      </w:r>
      <w:r>
        <w:t>4年</w:t>
      </w:r>
      <w:r>
        <w:rPr>
          <w:rFonts w:hint="eastAsia"/>
        </w:rPr>
        <w:t>1</w:t>
      </w:r>
      <w:r>
        <w:t>月1</w:t>
      </w:r>
      <w:r>
        <w:rPr>
          <w:rFonts w:hint="eastAsia"/>
        </w:rPr>
        <w:t>5</w:t>
      </w:r>
      <w:r>
        <w:t>日</w:t>
      </w:r>
      <w:r>
        <w:rPr>
          <w:rFonts w:hint="eastAsia"/>
        </w:rPr>
        <w:t>；</w:t>
      </w:r>
    </w:p>
    <w:p w14:paraId="40A14691">
      <w:pPr>
        <w:pStyle w:val="161"/>
      </w:pPr>
      <w:r>
        <w:rPr>
          <w:rFonts w:hint="eastAsia"/>
        </w:rPr>
        <w:t>《钢铁/焦化建设项目环境影响评价文件审批原则》，环办环评〔2022〕31号，2022年12月2日；</w:t>
      </w:r>
    </w:p>
    <w:p w14:paraId="061CFE66">
      <w:pPr>
        <w:pStyle w:val="161"/>
      </w:pPr>
      <w:r>
        <w:rPr>
          <w:rFonts w:hint="eastAsia"/>
        </w:rPr>
        <w:t>《炼焦化学工业企业土壤污染隐患排查技术指南》，环办土壤函〔2022〕455号，2022年11月28日；</w:t>
      </w:r>
    </w:p>
    <w:p w14:paraId="21583ABD">
      <w:pPr>
        <w:pStyle w:val="161"/>
      </w:pPr>
      <w:r>
        <w:rPr>
          <w:rFonts w:hint="eastAsia"/>
        </w:rPr>
        <w:t>《关于进一步完善建设项目环境保护“三同时”及竣工环境保护自主验收监管工作机制的意见》，环执法〔2021〕70号，2021年8月20日。</w:t>
      </w:r>
    </w:p>
    <w:bookmarkEnd w:id="89"/>
    <w:p w14:paraId="50D23A87">
      <w:pPr>
        <w:pStyle w:val="138"/>
        <w:rPr>
          <w:rFonts w:hint="eastAsia"/>
        </w:rPr>
      </w:pPr>
      <w:bookmarkStart w:id="91" w:name="_Toc26194"/>
      <w:r>
        <w:rPr>
          <w:rFonts w:hint="eastAsia"/>
        </w:rPr>
        <w:t>地方性法规和规章</w:t>
      </w:r>
      <w:bookmarkEnd w:id="87"/>
      <w:bookmarkEnd w:id="88"/>
      <w:bookmarkEnd w:id="91"/>
    </w:p>
    <w:p w14:paraId="2C1C2D07">
      <w:pPr>
        <w:pStyle w:val="161"/>
        <w:numPr>
          <w:ilvl w:val="0"/>
          <w:numId w:val="5"/>
        </w:numPr>
      </w:pPr>
      <w:r>
        <w:rPr>
          <w:rFonts w:hint="eastAsia"/>
        </w:rPr>
        <w:t>《新疆维吾尔自治区环境保护条例》（2018年修订）（2018年9月21日）；</w:t>
      </w:r>
    </w:p>
    <w:p w14:paraId="4FF8332B">
      <w:pPr>
        <w:pStyle w:val="161"/>
      </w:pPr>
      <w:r>
        <w:rPr>
          <w:rFonts w:hint="eastAsia"/>
        </w:rPr>
        <w:t>《新疆维吾尔自治区大气污染防治条例》（2019年1月1日）；</w:t>
      </w:r>
    </w:p>
    <w:p w14:paraId="7FCFD95A">
      <w:pPr>
        <w:pStyle w:val="161"/>
      </w:pPr>
      <w:r>
        <w:rPr>
          <w:rFonts w:hint="eastAsia"/>
        </w:rPr>
        <w:t>《新疆生态环境保护“十四五”规划》（2021年12月24日）；</w:t>
      </w:r>
    </w:p>
    <w:p w14:paraId="63D23EA4">
      <w:pPr>
        <w:pStyle w:val="161"/>
      </w:pPr>
      <w:r>
        <w:t>《新疆维吾尔自治区重点行业</w:t>
      </w:r>
      <w:r>
        <w:rPr>
          <w:rFonts w:hint="eastAsia"/>
        </w:rPr>
        <w:t>生态</w:t>
      </w:r>
      <w:r>
        <w:t>环境准入条件</w:t>
      </w:r>
      <w:r>
        <w:rPr>
          <w:rFonts w:hint="eastAsia"/>
        </w:rPr>
        <w:t>（2024年）</w:t>
      </w:r>
      <w:r>
        <w:t>》（</w:t>
      </w:r>
      <w:r>
        <w:rPr>
          <w:rFonts w:hint="eastAsia"/>
        </w:rPr>
        <w:t>新环环评发</w:t>
      </w:r>
      <w:bookmarkStart w:id="92" w:name="_Hlk191985212"/>
      <w:r>
        <w:rPr>
          <w:rFonts w:hint="eastAsia"/>
        </w:rPr>
        <w:t>〔2024〕</w:t>
      </w:r>
      <w:bookmarkEnd w:id="92"/>
      <w:r>
        <w:rPr>
          <w:rFonts w:hint="eastAsia"/>
        </w:rPr>
        <w:t>93号</w:t>
      </w:r>
      <w:r>
        <w:t>）</w:t>
      </w:r>
      <w:r>
        <w:rPr>
          <w:rFonts w:hint="eastAsia"/>
        </w:rPr>
        <w:t>；</w:t>
      </w:r>
    </w:p>
    <w:p w14:paraId="13B9F79E">
      <w:pPr>
        <w:pStyle w:val="161"/>
      </w:pPr>
      <w:bookmarkStart w:id="93" w:name="_Hlk187432814"/>
      <w:bookmarkStart w:id="94" w:name="_Toc172689606"/>
      <w:bookmarkStart w:id="95" w:name="_Toc6046"/>
      <w:bookmarkStart w:id="96" w:name="_Toc344462261"/>
      <w:bookmarkStart w:id="97" w:name="_Toc170791274"/>
      <w:r>
        <w:t>《新疆维吾尔自治区生态环境分区管控动态更新成果》（新环环评发</w:t>
      </w:r>
      <w:r>
        <w:rPr>
          <w:rFonts w:hint="eastAsia"/>
        </w:rPr>
        <w:t>〔2024〕157号</w:t>
      </w:r>
      <w:r>
        <w:t>）</w:t>
      </w:r>
      <w:r>
        <w:rPr>
          <w:rFonts w:hint="eastAsia"/>
        </w:rPr>
        <w:t>；</w:t>
      </w:r>
    </w:p>
    <w:bookmarkEnd w:id="93"/>
    <w:p w14:paraId="605D1A4D">
      <w:pPr>
        <w:pStyle w:val="161"/>
      </w:pPr>
      <w:r>
        <w:t>《新疆维吾尔自治区</w:t>
      </w:r>
      <w:r>
        <w:rPr>
          <w:rFonts w:hint="eastAsia"/>
        </w:rPr>
        <w:t>七大片区</w:t>
      </w:r>
      <w:r>
        <w:t>“三线一单”生态环境分区管控</w:t>
      </w:r>
      <w:r>
        <w:rPr>
          <w:rFonts w:hint="eastAsia"/>
        </w:rPr>
        <w:t>要求</w:t>
      </w:r>
      <w:r>
        <w:t>》</w:t>
      </w:r>
      <w:r>
        <w:rPr>
          <w:rFonts w:hint="eastAsia"/>
        </w:rPr>
        <w:t>（2021年版）</w:t>
      </w:r>
      <w:r>
        <w:t>（新</w:t>
      </w:r>
      <w:r>
        <w:rPr>
          <w:rFonts w:hint="eastAsia"/>
        </w:rPr>
        <w:t>环环评</w:t>
      </w:r>
      <w:r>
        <w:t>发</w:t>
      </w:r>
      <w:r>
        <w:rPr>
          <w:rFonts w:hint="eastAsia"/>
        </w:rPr>
        <w:t>〔2021〕162号</w:t>
      </w:r>
      <w:r>
        <w:t>）</w:t>
      </w:r>
      <w:r>
        <w:rPr>
          <w:rFonts w:hint="eastAsia"/>
        </w:rPr>
        <w:t>；</w:t>
      </w:r>
    </w:p>
    <w:p w14:paraId="6EC6D4C3">
      <w:pPr>
        <w:pStyle w:val="161"/>
      </w:pPr>
      <w:bookmarkStart w:id="98" w:name="_Hlk187432764"/>
      <w:r>
        <w:rPr>
          <w:rFonts w:hint="eastAsia"/>
        </w:rPr>
        <w:t>《</w:t>
      </w:r>
      <w:r>
        <w:t>关于全面加强生态环境保护坚决打好污染防治攻坚战实施方案</w:t>
      </w:r>
      <w:r>
        <w:rPr>
          <w:rFonts w:hint="eastAsia"/>
        </w:rPr>
        <w:t>》，</w:t>
      </w:r>
      <w:r>
        <w:t>新党发〔2018〕23号</w:t>
      </w:r>
      <w:r>
        <w:rPr>
          <w:rFonts w:hint="eastAsia"/>
        </w:rPr>
        <w:t>；</w:t>
      </w:r>
    </w:p>
    <w:p w14:paraId="5CDD200B">
      <w:pPr>
        <w:pStyle w:val="161"/>
      </w:pPr>
      <w:r>
        <w:t>《关于印发</w:t>
      </w:r>
      <w:r>
        <w:rPr>
          <w:rFonts w:hint="eastAsia"/>
        </w:rPr>
        <w:t>〈</w:t>
      </w:r>
      <w:r>
        <w:t>自治区减污降碳协同增效实施方案</w:t>
      </w:r>
      <w:r>
        <w:rPr>
          <w:rFonts w:hint="eastAsia"/>
        </w:rPr>
        <w:t>〉</w:t>
      </w:r>
      <w:r>
        <w:t>的通知》，新环气候发〔2023〕19号，2023</w:t>
      </w:r>
      <w:r>
        <w:rPr>
          <w:rFonts w:hint="eastAsia"/>
        </w:rPr>
        <w:t>年</w:t>
      </w:r>
      <w:r>
        <w:t>2</w:t>
      </w:r>
      <w:r>
        <w:rPr>
          <w:rFonts w:hint="eastAsia"/>
        </w:rPr>
        <w:t>月</w:t>
      </w:r>
      <w:r>
        <w:t>22</w:t>
      </w:r>
      <w:r>
        <w:rPr>
          <w:rFonts w:hint="eastAsia"/>
        </w:rPr>
        <w:t>日</w:t>
      </w:r>
      <w:r>
        <w:t>；</w:t>
      </w:r>
    </w:p>
    <w:bookmarkEnd w:id="98"/>
    <w:p w14:paraId="2A2332B8">
      <w:pPr>
        <w:pStyle w:val="161"/>
      </w:pPr>
      <w:r>
        <w:rPr>
          <w:rFonts w:hint="eastAsia"/>
        </w:rPr>
        <w:t>《关于促进自治区煤化工产业绿色可持续发展的指导意见》，新政办发〔2016〕164号，2016</w:t>
      </w:r>
      <w:r>
        <w:t>年</w:t>
      </w:r>
      <w:r>
        <w:rPr>
          <w:rFonts w:hint="eastAsia"/>
        </w:rPr>
        <w:t>11</w:t>
      </w:r>
      <w:r>
        <w:t>月</w:t>
      </w:r>
      <w:r>
        <w:rPr>
          <w:rFonts w:hint="eastAsia"/>
        </w:rPr>
        <w:t>22</w:t>
      </w:r>
      <w:r>
        <w:rPr>
          <w:rFonts w:hint="eastAsia"/>
          <w:spacing w:val="8"/>
          <w:shd w:val="clear" w:color="auto" w:fill="FFFFFF"/>
        </w:rPr>
        <w:t>日</w:t>
      </w:r>
      <w:r>
        <w:rPr>
          <w:rFonts w:hint="eastAsia"/>
        </w:rPr>
        <w:t>；</w:t>
      </w:r>
    </w:p>
    <w:p w14:paraId="235D85D3">
      <w:pPr>
        <w:pStyle w:val="161"/>
      </w:pPr>
      <w:r>
        <w:rPr>
          <w:rFonts w:hint="eastAsia"/>
        </w:rPr>
        <w:t>《关于印发〈新疆维吾尔自治区新建化工项目准入条件（试行）〉的通知》，新工信石化〔2021〕</w:t>
      </w:r>
      <w:r>
        <w:t>1</w:t>
      </w:r>
      <w:r>
        <w:rPr>
          <w:rFonts w:hint="eastAsia"/>
        </w:rPr>
        <w:t>号，</w:t>
      </w:r>
      <w:r>
        <w:t>2021</w:t>
      </w:r>
      <w:r>
        <w:rPr>
          <w:rFonts w:hint="eastAsia"/>
        </w:rPr>
        <w:t>年</w:t>
      </w:r>
      <w:r>
        <w:t>12</w:t>
      </w:r>
      <w:r>
        <w:rPr>
          <w:rFonts w:hint="eastAsia"/>
        </w:rPr>
        <w:t>月</w:t>
      </w:r>
      <w:r>
        <w:t>20</w:t>
      </w:r>
      <w:r>
        <w:rPr>
          <w:rFonts w:hint="eastAsia"/>
        </w:rPr>
        <w:t>日；</w:t>
      </w:r>
    </w:p>
    <w:p w14:paraId="55E3C658">
      <w:pPr>
        <w:pStyle w:val="161"/>
      </w:pPr>
      <w:r>
        <w:t>《</w:t>
      </w:r>
      <w:r>
        <w:rPr>
          <w:rFonts w:hint="eastAsia"/>
        </w:rPr>
        <w:t>关于印发哈密市生态环境分区管控动态更新成果的通知</w:t>
      </w:r>
      <w:r>
        <w:t>》</w:t>
      </w:r>
      <w:r>
        <w:rPr>
          <w:rFonts w:hint="eastAsia"/>
        </w:rPr>
        <w:t>；</w:t>
      </w:r>
    </w:p>
    <w:p w14:paraId="1E3CFDE1">
      <w:pPr>
        <w:pStyle w:val="161"/>
      </w:pPr>
      <w:r>
        <w:rPr>
          <w:rFonts w:hint="eastAsia"/>
        </w:rPr>
        <w:t>《哈密市生态环境保护“十四五”规划》。</w:t>
      </w:r>
    </w:p>
    <w:p w14:paraId="24E46766">
      <w:pPr>
        <w:pStyle w:val="138"/>
        <w:rPr>
          <w:rFonts w:hint="eastAsia"/>
        </w:rPr>
      </w:pPr>
      <w:bookmarkStart w:id="99" w:name="_Toc30534"/>
      <w:r>
        <w:rPr>
          <w:rFonts w:hint="eastAsia"/>
        </w:rPr>
        <w:t>环境影响评价技术规范</w:t>
      </w:r>
      <w:bookmarkEnd w:id="94"/>
      <w:bookmarkEnd w:id="95"/>
      <w:bookmarkEnd w:id="96"/>
      <w:bookmarkEnd w:id="97"/>
      <w:bookmarkEnd w:id="99"/>
    </w:p>
    <w:p w14:paraId="695F728B">
      <w:pPr>
        <w:pStyle w:val="161"/>
        <w:numPr>
          <w:ilvl w:val="0"/>
          <w:numId w:val="14"/>
        </w:numPr>
      </w:pPr>
      <w:r>
        <w:rPr>
          <w:rFonts w:hint="eastAsia"/>
        </w:rPr>
        <w:t>《环境影响评价技术导则 总纲》（</w:t>
      </w:r>
      <w:r>
        <w:rPr>
          <w:rFonts w:cs="Times New Roman"/>
        </w:rPr>
        <w:t>HJ2.1-2016</w:t>
      </w:r>
      <w:r>
        <w:rPr>
          <w:rFonts w:hint="eastAsia"/>
        </w:rPr>
        <w:t>）；</w:t>
      </w:r>
    </w:p>
    <w:p w14:paraId="0DBA2B12">
      <w:pPr>
        <w:pStyle w:val="161"/>
      </w:pPr>
      <w:r>
        <w:rPr>
          <w:rFonts w:hint="eastAsia"/>
        </w:rPr>
        <w:t>《环境影响评价技术导则 大气环境》（HJ2.2-2018）；</w:t>
      </w:r>
    </w:p>
    <w:p w14:paraId="3A130C95">
      <w:pPr>
        <w:pStyle w:val="161"/>
      </w:pPr>
      <w:r>
        <w:rPr>
          <w:rFonts w:hint="eastAsia"/>
        </w:rPr>
        <w:t>《环境影响评价技术导则 地表水环境》（HJ2.3-2018）；</w:t>
      </w:r>
    </w:p>
    <w:p w14:paraId="07D68F11">
      <w:pPr>
        <w:pStyle w:val="161"/>
      </w:pPr>
      <w:r>
        <w:rPr>
          <w:rFonts w:hint="eastAsia"/>
        </w:rPr>
        <w:t>《环境影响评价技术导则 地下水环境》（HJ610-2016）；</w:t>
      </w:r>
    </w:p>
    <w:p w14:paraId="4D3B37F9">
      <w:pPr>
        <w:pStyle w:val="161"/>
      </w:pPr>
      <w:r>
        <w:rPr>
          <w:rFonts w:hint="eastAsia"/>
        </w:rPr>
        <w:t>《环境影响评价技术导则 声环境》（HJ2.4-2021）；</w:t>
      </w:r>
    </w:p>
    <w:p w14:paraId="73DF1928">
      <w:pPr>
        <w:pStyle w:val="161"/>
      </w:pPr>
      <w:r>
        <w:rPr>
          <w:rFonts w:hint="eastAsia"/>
        </w:rPr>
        <w:t>《环境影响评价技术导则 生态影响》（HJ</w:t>
      </w:r>
      <w:r>
        <w:t>1</w:t>
      </w:r>
      <w:r>
        <w:rPr>
          <w:rFonts w:hint="eastAsia"/>
        </w:rPr>
        <w:t>9-20</w:t>
      </w:r>
      <w:r>
        <w:t>22</w:t>
      </w:r>
      <w:r>
        <w:rPr>
          <w:rFonts w:hint="eastAsia"/>
        </w:rPr>
        <w:t>）；</w:t>
      </w:r>
    </w:p>
    <w:p w14:paraId="50D4FB3B">
      <w:pPr>
        <w:pStyle w:val="161"/>
      </w:pPr>
      <w:r>
        <w:rPr>
          <w:rFonts w:hint="eastAsia"/>
        </w:rPr>
        <w:t>《环境影响评价技术导则 土壤环境（试行）》（HJ964-2018）；</w:t>
      </w:r>
    </w:p>
    <w:p w14:paraId="15B6EF43">
      <w:pPr>
        <w:pStyle w:val="161"/>
      </w:pPr>
      <w:r>
        <w:rPr>
          <w:rFonts w:hint="eastAsia"/>
        </w:rPr>
        <w:t>《建设项目环境风险评价技术导则》（HJ169-2018）；</w:t>
      </w:r>
    </w:p>
    <w:p w14:paraId="2605953D">
      <w:pPr>
        <w:pStyle w:val="161"/>
      </w:pPr>
      <w:r>
        <w:rPr>
          <w:rFonts w:hint="eastAsia"/>
        </w:rPr>
        <w:t>《危险废物收集、贮存、运输技术规范》（HJ2025-2012）；</w:t>
      </w:r>
    </w:p>
    <w:p w14:paraId="3F3B0BF8">
      <w:pPr>
        <w:pStyle w:val="161"/>
      </w:pPr>
      <w:bookmarkStart w:id="100" w:name="_Hlk187433185"/>
      <w:r>
        <w:rPr>
          <w:rFonts w:hint="eastAsia"/>
        </w:rPr>
        <w:t>《建设项目危险废物环境影响评价指南》，公告2017年第43号，2017</w:t>
      </w:r>
      <w:r>
        <w:t>年</w:t>
      </w:r>
      <w:r>
        <w:rPr>
          <w:rFonts w:hint="eastAsia"/>
        </w:rPr>
        <w:t>9</w:t>
      </w:r>
      <w:r>
        <w:t>月</w:t>
      </w:r>
      <w:r>
        <w:rPr>
          <w:rFonts w:hint="eastAsia"/>
        </w:rPr>
        <w:t>1日；</w:t>
      </w:r>
    </w:p>
    <w:p w14:paraId="5746F585">
      <w:pPr>
        <w:pStyle w:val="161"/>
      </w:pPr>
      <w:r>
        <w:rPr>
          <w:rFonts w:hint="eastAsia"/>
        </w:rPr>
        <w:t>《污染源源强核算技术指南 准则》（HJ</w:t>
      </w:r>
      <w:r>
        <w:t xml:space="preserve"> </w:t>
      </w:r>
      <w:r>
        <w:rPr>
          <w:rFonts w:hint="eastAsia"/>
        </w:rPr>
        <w:t>884-2018）；</w:t>
      </w:r>
    </w:p>
    <w:bookmarkEnd w:id="100"/>
    <w:p w14:paraId="5845D3A5">
      <w:pPr>
        <w:pStyle w:val="161"/>
      </w:pPr>
      <w:r>
        <w:rPr>
          <w:rFonts w:hint="eastAsia"/>
          <w:lang w:val="zh-CN"/>
        </w:rPr>
        <w:t>《污染源源强核算技术指南 炼焦化学工业》（HJ 981-2018）；</w:t>
      </w:r>
    </w:p>
    <w:p w14:paraId="09D5431A">
      <w:pPr>
        <w:pStyle w:val="161"/>
      </w:pPr>
      <w:r>
        <w:rPr>
          <w:rFonts w:hint="eastAsia"/>
        </w:rPr>
        <w:t>《炼焦化学工业废气治理工程技术规范》（HJ 1280-2023）；</w:t>
      </w:r>
    </w:p>
    <w:p w14:paraId="557BEDF9">
      <w:pPr>
        <w:pStyle w:val="161"/>
      </w:pPr>
      <w:r>
        <w:rPr>
          <w:rFonts w:hint="eastAsia"/>
          <w:lang w:val="zh-CN"/>
        </w:rPr>
        <w:t>《焦化废水治理工程技术规范》（HJ</w:t>
      </w:r>
      <w:r>
        <w:rPr>
          <w:lang w:val="zh-CN"/>
        </w:rPr>
        <w:t xml:space="preserve"> 2022-2012</w:t>
      </w:r>
      <w:r>
        <w:rPr>
          <w:rFonts w:hint="eastAsia"/>
          <w:lang w:val="zh-CN"/>
        </w:rPr>
        <w:t>）；</w:t>
      </w:r>
    </w:p>
    <w:p w14:paraId="0E6545C6">
      <w:pPr>
        <w:pStyle w:val="161"/>
        <w:rPr>
          <w:lang w:val="zh-CN"/>
        </w:rPr>
      </w:pPr>
      <w:r>
        <w:rPr>
          <w:rFonts w:hint="eastAsia"/>
          <w:lang w:val="zh-CN"/>
        </w:rPr>
        <w:t>《炼焦化学工业污染防治可行技术指南》（</w:t>
      </w:r>
      <w:r>
        <w:rPr>
          <w:lang w:val="zh-CN"/>
        </w:rPr>
        <w:t>HJ2 306-2018</w:t>
      </w:r>
      <w:r>
        <w:rPr>
          <w:rFonts w:hint="eastAsia"/>
          <w:lang w:val="zh-CN"/>
        </w:rPr>
        <w:t>）；</w:t>
      </w:r>
    </w:p>
    <w:p w14:paraId="5E326803">
      <w:pPr>
        <w:pStyle w:val="161"/>
      </w:pPr>
      <w:bookmarkStart w:id="101" w:name="_Hlk187433205"/>
      <w:r>
        <w:rPr>
          <w:rFonts w:hint="eastAsia"/>
        </w:rPr>
        <w:t>《排污许可证申请与核发技术规范 总则》（HJ942-2018）；</w:t>
      </w:r>
    </w:p>
    <w:p w14:paraId="4ECD25F0">
      <w:pPr>
        <w:pStyle w:val="161"/>
      </w:pPr>
      <w:r>
        <w:rPr>
          <w:rFonts w:hint="eastAsia"/>
        </w:rPr>
        <w:t>《排污许可证申请与核发技术规范 镁冶炼》（HJ933-2017）；</w:t>
      </w:r>
    </w:p>
    <w:bookmarkEnd w:id="101"/>
    <w:p w14:paraId="2F3542C7">
      <w:pPr>
        <w:pStyle w:val="161"/>
      </w:pPr>
      <w:r>
        <w:rPr>
          <w:rFonts w:hint="eastAsia"/>
        </w:rPr>
        <w:t>《</w:t>
      </w:r>
      <w:r>
        <w:t>排污许可证申请与核发技术规范</w:t>
      </w:r>
      <w:r>
        <w:rPr>
          <w:rFonts w:hint="eastAsia"/>
        </w:rPr>
        <w:t xml:space="preserve"> </w:t>
      </w:r>
      <w:r>
        <w:t>炼焦化学工业》（HJ 854-2017）</w:t>
      </w:r>
      <w:r>
        <w:rPr>
          <w:rFonts w:hint="eastAsia"/>
        </w:rPr>
        <w:t>；</w:t>
      </w:r>
    </w:p>
    <w:p w14:paraId="294F96EC">
      <w:pPr>
        <w:pStyle w:val="161"/>
      </w:pPr>
      <w:bookmarkStart w:id="102" w:name="_Hlk187433218"/>
      <w:r>
        <w:rPr>
          <w:rFonts w:hint="eastAsia"/>
        </w:rPr>
        <w:t>《排污许可证申请与核发技术规范 铁合金、电解锰工业</w:t>
      </w:r>
      <w:r>
        <w:t>》</w:t>
      </w:r>
      <w:r>
        <w:rPr>
          <w:rFonts w:hint="eastAsia"/>
        </w:rPr>
        <w:t>（HJ1117-2020）；</w:t>
      </w:r>
    </w:p>
    <w:p w14:paraId="6D5DB246">
      <w:pPr>
        <w:pStyle w:val="161"/>
      </w:pPr>
      <w:r>
        <w:rPr>
          <w:rFonts w:hint="eastAsia"/>
        </w:rPr>
        <w:t>《固体废物分类与代码目录》（2024年第4号）；</w:t>
      </w:r>
    </w:p>
    <w:p w14:paraId="3E8D1FC4">
      <w:pPr>
        <w:pStyle w:val="161"/>
      </w:pPr>
      <w:r>
        <w:rPr>
          <w:rFonts w:hint="eastAsia"/>
        </w:rPr>
        <w:t>《环境保护图形标志排放口（源）》（GB15562.1-1995）；</w:t>
      </w:r>
    </w:p>
    <w:p w14:paraId="47087141">
      <w:pPr>
        <w:pStyle w:val="161"/>
      </w:pPr>
      <w:r>
        <w:rPr>
          <w:rFonts w:hint="eastAsia"/>
        </w:rPr>
        <w:t>《环境保护图形标志 固体废物贮存（处置场）》（GB 15562.2-1995）及2023修改单。</w:t>
      </w:r>
    </w:p>
    <w:bookmarkEnd w:id="102"/>
    <w:p w14:paraId="29ED964B">
      <w:pPr>
        <w:pStyle w:val="138"/>
        <w:rPr>
          <w:rFonts w:hint="eastAsia"/>
        </w:rPr>
      </w:pPr>
      <w:bookmarkStart w:id="103" w:name="_Toc344462262"/>
      <w:bookmarkStart w:id="104" w:name="_Toc13052"/>
      <w:bookmarkStart w:id="105" w:name="_Toc11471"/>
      <w:r>
        <w:rPr>
          <w:rFonts w:hint="eastAsia"/>
        </w:rPr>
        <w:t>项目有关规划、设计文件</w:t>
      </w:r>
      <w:bookmarkEnd w:id="103"/>
      <w:r>
        <w:rPr>
          <w:rFonts w:hint="eastAsia"/>
        </w:rPr>
        <w:t>及资料</w:t>
      </w:r>
      <w:bookmarkEnd w:id="104"/>
      <w:bookmarkEnd w:id="105"/>
    </w:p>
    <w:p w14:paraId="1AAB8042">
      <w:pPr>
        <w:pStyle w:val="161"/>
        <w:numPr>
          <w:ilvl w:val="0"/>
          <w:numId w:val="15"/>
        </w:numPr>
      </w:pPr>
      <w:r>
        <w:rPr>
          <w:rFonts w:hint="eastAsia"/>
        </w:rPr>
        <w:t>《哈密高新技术产业开发区国土空间专项规划（2023—2035年）》及批复；</w:t>
      </w:r>
    </w:p>
    <w:p w14:paraId="4064229E">
      <w:pPr>
        <w:pStyle w:val="161"/>
        <w:numPr>
          <w:ilvl w:val="0"/>
          <w:numId w:val="15"/>
        </w:numPr>
      </w:pPr>
      <w:r>
        <w:rPr>
          <w:rFonts w:hint="eastAsia"/>
        </w:rPr>
        <w:t>《哈密高新技术产业开发区国土空间专项规划（2023—2035年）环境影响报告书》</w:t>
      </w:r>
      <w:r>
        <w:rPr>
          <w:rFonts w:hint="eastAsia" w:ascii="宋体" w:hAnsi="宋体"/>
        </w:rPr>
        <w:t>及审查意见；</w:t>
      </w:r>
    </w:p>
    <w:p w14:paraId="5C90DB8B">
      <w:pPr>
        <w:pStyle w:val="161"/>
        <w:numPr>
          <w:ilvl w:val="0"/>
          <w:numId w:val="15"/>
        </w:numPr>
      </w:pPr>
      <w:r>
        <w:rPr>
          <w:rFonts w:hint="eastAsia"/>
        </w:rPr>
        <w:t>《新疆金盛镁业有限公司镁合金产业循环经济建设技改提升项目可行性研究报告》；</w:t>
      </w:r>
    </w:p>
    <w:p w14:paraId="3C433CA9">
      <w:pPr>
        <w:pStyle w:val="161"/>
      </w:pPr>
      <w:r>
        <w:rPr>
          <w:rFonts w:hint="eastAsia"/>
        </w:rPr>
        <w:t>新疆金盛镁业有限公司镁合金产业循环经济建设技改提升项目环境影响评价委托书。</w:t>
      </w:r>
    </w:p>
    <w:bookmarkEnd w:id="85"/>
    <w:bookmarkEnd w:id="86"/>
    <w:p w14:paraId="7A7AFF13">
      <w:pPr>
        <w:pStyle w:val="3"/>
      </w:pPr>
      <w:bookmarkStart w:id="106" w:name="_Toc24590"/>
      <w:bookmarkStart w:id="107" w:name="_Toc13305"/>
      <w:bookmarkStart w:id="108" w:name="_Toc205291364"/>
      <w:bookmarkStart w:id="109" w:name="_Toc485640219"/>
      <w:bookmarkStart w:id="110" w:name="_Toc489258986"/>
      <w:bookmarkStart w:id="111" w:name="_Toc479619010"/>
      <w:r>
        <w:rPr>
          <w:rFonts w:hint="eastAsia"/>
        </w:rPr>
        <w:t>评价原则</w:t>
      </w:r>
      <w:bookmarkEnd w:id="106"/>
      <w:bookmarkEnd w:id="107"/>
      <w:bookmarkEnd w:id="108"/>
      <w:bookmarkEnd w:id="109"/>
      <w:bookmarkEnd w:id="110"/>
      <w:bookmarkEnd w:id="111"/>
      <w:bookmarkStart w:id="112" w:name="_Toc32220"/>
      <w:bookmarkStart w:id="113" w:name="_Toc344462264"/>
    </w:p>
    <w:bookmarkEnd w:id="112"/>
    <w:bookmarkEnd w:id="113"/>
    <w:p w14:paraId="5B987A61">
      <w:pPr>
        <w:pStyle w:val="117"/>
        <w:ind w:firstLine="480"/>
      </w:pPr>
      <w:r>
        <w:rPr>
          <w:rFonts w:hint="eastAsia"/>
        </w:rPr>
        <w:t>突出环境影响评价的源头预防作用，坚持保护和改善环境质量。</w:t>
      </w:r>
    </w:p>
    <w:p w14:paraId="039BCC75">
      <w:pPr>
        <w:pStyle w:val="117"/>
        <w:ind w:firstLine="480"/>
      </w:pPr>
      <w:r>
        <w:rPr>
          <w:rFonts w:hint="eastAsia"/>
        </w:rPr>
        <w:t>（1）依法评价</w:t>
      </w:r>
    </w:p>
    <w:p w14:paraId="0AFF6997">
      <w:pPr>
        <w:pStyle w:val="117"/>
        <w:ind w:firstLine="480"/>
      </w:pPr>
      <w:r>
        <w:rPr>
          <w:rFonts w:hint="eastAsia"/>
        </w:rPr>
        <w:t>贯彻执行我国环境保护相关法律法规、标准、政策和规划等，优化项目建设，服务环境管理。</w:t>
      </w:r>
    </w:p>
    <w:p w14:paraId="03828B78">
      <w:pPr>
        <w:pStyle w:val="117"/>
        <w:ind w:firstLine="480"/>
      </w:pPr>
      <w:r>
        <w:rPr>
          <w:rFonts w:hint="eastAsia"/>
        </w:rPr>
        <w:t>（2）科学评价</w:t>
      </w:r>
    </w:p>
    <w:p w14:paraId="422D2441">
      <w:pPr>
        <w:pStyle w:val="117"/>
        <w:ind w:firstLine="480"/>
      </w:pPr>
      <w:r>
        <w:rPr>
          <w:rFonts w:hint="eastAsia"/>
        </w:rPr>
        <w:t>规范环境影响评价方法，科学分析项目建设对环境质量的影响。</w:t>
      </w:r>
    </w:p>
    <w:p w14:paraId="58D4AB27">
      <w:pPr>
        <w:pStyle w:val="117"/>
        <w:ind w:firstLine="480"/>
      </w:pPr>
      <w:r>
        <w:rPr>
          <w:rFonts w:hint="eastAsia"/>
        </w:rPr>
        <w:t>（3）突出重点</w:t>
      </w:r>
    </w:p>
    <w:p w14:paraId="71B6D354">
      <w:pPr>
        <w:pStyle w:val="117"/>
        <w:ind w:firstLine="480"/>
      </w:pPr>
      <w:r>
        <w:rPr>
          <w:rFonts w:hint="eastAsia"/>
        </w:rPr>
        <w:t>根据建设项目的工程内容及其特点，明确与环境要素间的作用效应关系，根据规划环境影响评价结论和审查意见，充分利用符合时效的数据资料及成果，对建设项目主要环境影响予以重点分析和评价。</w:t>
      </w:r>
      <w:bookmarkStart w:id="114" w:name="_Toc485640220"/>
      <w:bookmarkStart w:id="115" w:name="_Toc489258987"/>
      <w:bookmarkStart w:id="116" w:name="_Toc239495469"/>
      <w:bookmarkStart w:id="117" w:name="_Toc414619124"/>
      <w:bookmarkStart w:id="118" w:name="_Toc442180943"/>
    </w:p>
    <w:p w14:paraId="0DD62765">
      <w:pPr>
        <w:pStyle w:val="3"/>
      </w:pPr>
      <w:bookmarkStart w:id="119" w:name="_Toc12857"/>
      <w:bookmarkStart w:id="120" w:name="_Toc205291365"/>
      <w:bookmarkStart w:id="121" w:name="_Toc23356"/>
      <w:r>
        <w:rPr>
          <w:rFonts w:hint="eastAsia"/>
        </w:rPr>
        <w:t>环境影响识别及评价因子筛选</w:t>
      </w:r>
      <w:bookmarkEnd w:id="114"/>
      <w:bookmarkEnd w:id="115"/>
      <w:bookmarkEnd w:id="116"/>
      <w:bookmarkEnd w:id="117"/>
      <w:bookmarkEnd w:id="118"/>
      <w:bookmarkEnd w:id="119"/>
      <w:bookmarkEnd w:id="120"/>
      <w:bookmarkEnd w:id="121"/>
      <w:bookmarkStart w:id="122" w:name="_Toc414619125"/>
      <w:bookmarkStart w:id="123" w:name="_Toc410564935"/>
    </w:p>
    <w:p w14:paraId="6BB1F421">
      <w:pPr>
        <w:pStyle w:val="117"/>
        <w:ind w:firstLine="480"/>
        <w:rPr>
          <w:rFonts w:hint="eastAsia" w:ascii="宋体" w:hAnsi="宋体"/>
        </w:rPr>
      </w:pPr>
      <w:r>
        <w:rPr>
          <w:rFonts w:hint="eastAsia"/>
        </w:rPr>
        <w:t>根据区域环境功能的要求与特征，并结合项目所处的地理位置、生产工艺和污染物排放特点，全面分析建设项目对环境可能产生影响的因素、影响途径，初步估算影响程度。在分析掌握环境影响因素的基础上，进一步筛选出评价的污染因子。</w:t>
      </w:r>
    </w:p>
    <w:p w14:paraId="24EF76CC">
      <w:pPr>
        <w:pStyle w:val="138"/>
        <w:rPr>
          <w:rFonts w:hint="eastAsia" w:ascii="宋体" w:cs="宋体"/>
        </w:rPr>
      </w:pPr>
      <w:bookmarkStart w:id="124" w:name="_Toc11487"/>
      <w:r>
        <w:rPr>
          <w:rFonts w:hint="eastAsia"/>
        </w:rPr>
        <w:t>环境影响因素识别</w:t>
      </w:r>
      <w:bookmarkEnd w:id="122"/>
      <w:bookmarkEnd w:id="123"/>
      <w:bookmarkEnd w:id="124"/>
    </w:p>
    <w:p w14:paraId="11AD3DAA">
      <w:pPr>
        <w:pStyle w:val="117"/>
        <w:ind w:firstLine="480"/>
      </w:pPr>
      <w:r>
        <w:rPr>
          <w:rFonts w:hint="eastAsia"/>
        </w:rPr>
        <w:t>根据区域环境对项目的制约因素及项目对环境的影响分析，筛选本项目的环境影响因素包括：施工期对环境的影响主要为施工扬尘、施工废水、施工噪声、建筑垃圾等；运营期对环境的影响主要包括：废气－破碎废气、筛分废气、废水焚烧炉废气、VOC</w:t>
      </w:r>
      <w:r>
        <w:rPr>
          <w:rFonts w:hint="eastAsia"/>
          <w:vertAlign w:val="subscript"/>
        </w:rPr>
        <w:t>S</w:t>
      </w:r>
      <w:r>
        <w:rPr>
          <w:rFonts w:hint="eastAsia"/>
        </w:rPr>
        <w:t>处理装置尾气、矿热炉烟气及物料储运过程含尘废气、装置区、罐区无组织废气等；废水－剩余氨水、软水制备废水、循环水排污水、烟气治理废水、生活污水等；噪声－各种设备噪声；固体废物－焦油渣、废水处理废液、废交换树脂、除尘器收集粉尘、废分子筛、废润滑油、废包装袋、废活性炭等，其影响程度如表1.3-1所示。</w:t>
      </w:r>
    </w:p>
    <w:p w14:paraId="6319EC22">
      <w:pPr>
        <w:pStyle w:val="117"/>
        <w:ind w:firstLine="480"/>
      </w:pPr>
    </w:p>
    <w:p w14:paraId="4E3FC474">
      <w:pPr>
        <w:pStyle w:val="117"/>
        <w:ind w:firstLine="480"/>
      </w:pPr>
    </w:p>
    <w:p w14:paraId="3E235629">
      <w:pPr>
        <w:pStyle w:val="118"/>
        <w:rPr>
          <w:color w:val="auto"/>
        </w:rPr>
      </w:pPr>
      <w:r>
        <w:rPr>
          <w:rFonts w:hint="eastAsia"/>
          <w:color w:val="auto"/>
        </w:rPr>
        <w:t>表1.3-1  建设项目环境影响因素识别表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2"/>
        <w:gridCol w:w="743"/>
        <w:gridCol w:w="2547"/>
        <w:gridCol w:w="967"/>
        <w:gridCol w:w="967"/>
        <w:gridCol w:w="967"/>
        <w:gridCol w:w="967"/>
        <w:gridCol w:w="969"/>
      </w:tblGrid>
      <w:tr w14:paraId="65764C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Align w:val="center"/>
          </w:tcPr>
          <w:p w14:paraId="6CAD2D98">
            <w:pPr>
              <w:pStyle w:val="133"/>
              <w:rPr>
                <w:b/>
                <w:bCs/>
              </w:rPr>
            </w:pPr>
            <w:r>
              <w:rPr>
                <w:rFonts w:hint="eastAsia"/>
                <w:b/>
                <w:bCs/>
              </w:rPr>
              <w:t>时段</w:t>
            </w:r>
          </w:p>
        </w:tc>
        <w:tc>
          <w:tcPr>
            <w:tcW w:w="1872" w:type="pct"/>
            <w:gridSpan w:val="2"/>
            <w:vAlign w:val="center"/>
          </w:tcPr>
          <w:p w14:paraId="4ABB2418">
            <w:pPr>
              <w:pStyle w:val="133"/>
              <w:rPr>
                <w:b/>
                <w:bCs/>
              </w:rPr>
            </w:pPr>
            <w:r>
              <w:rPr>
                <w:rFonts w:hint="eastAsia"/>
                <w:b/>
                <w:bCs/>
              </w:rPr>
              <w:t>环境因素</w:t>
            </w:r>
          </w:p>
        </w:tc>
        <w:tc>
          <w:tcPr>
            <w:tcW w:w="550" w:type="pct"/>
            <w:vAlign w:val="center"/>
          </w:tcPr>
          <w:p w14:paraId="08647A93">
            <w:pPr>
              <w:pStyle w:val="133"/>
              <w:rPr>
                <w:b/>
                <w:bCs/>
              </w:rPr>
            </w:pPr>
            <w:r>
              <w:rPr>
                <w:rFonts w:hint="eastAsia"/>
                <w:b/>
                <w:bCs/>
              </w:rPr>
              <w:t>大气</w:t>
            </w:r>
          </w:p>
          <w:p w14:paraId="11BF0251">
            <w:pPr>
              <w:pStyle w:val="133"/>
              <w:rPr>
                <w:b/>
                <w:bCs/>
              </w:rPr>
            </w:pPr>
            <w:r>
              <w:rPr>
                <w:rFonts w:hint="eastAsia"/>
                <w:b/>
                <w:bCs/>
              </w:rPr>
              <w:t>环境</w:t>
            </w:r>
          </w:p>
        </w:tc>
        <w:tc>
          <w:tcPr>
            <w:tcW w:w="550" w:type="pct"/>
            <w:vAlign w:val="center"/>
          </w:tcPr>
          <w:p w14:paraId="67C897A5">
            <w:pPr>
              <w:pStyle w:val="133"/>
              <w:rPr>
                <w:b/>
                <w:bCs/>
              </w:rPr>
            </w:pPr>
            <w:r>
              <w:rPr>
                <w:rFonts w:hint="eastAsia"/>
                <w:b/>
                <w:bCs/>
              </w:rPr>
              <w:t>水环境</w:t>
            </w:r>
          </w:p>
        </w:tc>
        <w:tc>
          <w:tcPr>
            <w:tcW w:w="550" w:type="pct"/>
            <w:vAlign w:val="center"/>
          </w:tcPr>
          <w:p w14:paraId="156E73F4">
            <w:pPr>
              <w:pStyle w:val="133"/>
              <w:rPr>
                <w:b/>
                <w:bCs/>
              </w:rPr>
            </w:pPr>
            <w:r>
              <w:rPr>
                <w:rFonts w:hint="eastAsia"/>
                <w:b/>
                <w:bCs/>
              </w:rPr>
              <w:t>声环境</w:t>
            </w:r>
          </w:p>
        </w:tc>
        <w:tc>
          <w:tcPr>
            <w:tcW w:w="550" w:type="pct"/>
            <w:vAlign w:val="center"/>
          </w:tcPr>
          <w:p w14:paraId="49631768">
            <w:pPr>
              <w:pStyle w:val="133"/>
              <w:rPr>
                <w:b/>
                <w:bCs/>
              </w:rPr>
            </w:pPr>
            <w:r>
              <w:rPr>
                <w:rFonts w:hint="eastAsia"/>
                <w:b/>
                <w:bCs/>
              </w:rPr>
              <w:t>生态</w:t>
            </w:r>
          </w:p>
          <w:p w14:paraId="7985BA5C">
            <w:pPr>
              <w:pStyle w:val="133"/>
              <w:rPr>
                <w:b/>
                <w:bCs/>
              </w:rPr>
            </w:pPr>
            <w:r>
              <w:rPr>
                <w:rFonts w:hint="eastAsia"/>
                <w:b/>
                <w:bCs/>
              </w:rPr>
              <w:t>环境</w:t>
            </w:r>
          </w:p>
        </w:tc>
        <w:tc>
          <w:tcPr>
            <w:tcW w:w="550" w:type="pct"/>
            <w:vAlign w:val="center"/>
          </w:tcPr>
          <w:p w14:paraId="1A4B4380">
            <w:pPr>
              <w:pStyle w:val="133"/>
              <w:rPr>
                <w:b/>
                <w:bCs/>
              </w:rPr>
            </w:pPr>
            <w:r>
              <w:rPr>
                <w:rFonts w:hint="eastAsia"/>
                <w:b/>
                <w:bCs/>
              </w:rPr>
              <w:t>土壤</w:t>
            </w:r>
          </w:p>
          <w:p w14:paraId="54694484">
            <w:pPr>
              <w:pStyle w:val="133"/>
              <w:rPr>
                <w:b/>
                <w:bCs/>
              </w:rPr>
            </w:pPr>
            <w:r>
              <w:rPr>
                <w:rFonts w:hint="eastAsia"/>
                <w:b/>
                <w:bCs/>
              </w:rPr>
              <w:t>环境</w:t>
            </w:r>
          </w:p>
        </w:tc>
      </w:tr>
      <w:tr w14:paraId="7C3762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restart"/>
            <w:vAlign w:val="center"/>
          </w:tcPr>
          <w:p w14:paraId="06648E54">
            <w:pPr>
              <w:pStyle w:val="133"/>
            </w:pPr>
            <w:r>
              <w:rPr>
                <w:rFonts w:hint="eastAsia"/>
              </w:rPr>
              <w:t>施工期</w:t>
            </w:r>
          </w:p>
        </w:tc>
        <w:tc>
          <w:tcPr>
            <w:tcW w:w="423" w:type="pct"/>
            <w:vAlign w:val="center"/>
          </w:tcPr>
          <w:p w14:paraId="5AB4E7B5">
            <w:pPr>
              <w:pStyle w:val="133"/>
            </w:pPr>
            <w:r>
              <w:rPr>
                <w:rFonts w:hint="eastAsia"/>
              </w:rPr>
              <w:t>废气</w:t>
            </w:r>
          </w:p>
        </w:tc>
        <w:tc>
          <w:tcPr>
            <w:tcW w:w="1449" w:type="pct"/>
            <w:vAlign w:val="center"/>
          </w:tcPr>
          <w:p w14:paraId="6929F79F">
            <w:pPr>
              <w:pStyle w:val="133"/>
            </w:pPr>
            <w:r>
              <w:rPr>
                <w:rFonts w:hint="eastAsia"/>
              </w:rPr>
              <w:t>施工扬尘、汽车尾气</w:t>
            </w:r>
          </w:p>
        </w:tc>
        <w:tc>
          <w:tcPr>
            <w:tcW w:w="550" w:type="pct"/>
            <w:vAlign w:val="center"/>
          </w:tcPr>
          <w:p w14:paraId="0A0D8C0C">
            <w:pPr>
              <w:pStyle w:val="133"/>
            </w:pPr>
            <w:r>
              <w:rPr>
                <w:rFonts w:hint="eastAsia"/>
              </w:rPr>
              <w:t>-1</w:t>
            </w:r>
          </w:p>
        </w:tc>
        <w:tc>
          <w:tcPr>
            <w:tcW w:w="550" w:type="pct"/>
            <w:vAlign w:val="center"/>
          </w:tcPr>
          <w:p w14:paraId="44C25072">
            <w:pPr>
              <w:pStyle w:val="133"/>
            </w:pPr>
            <w:r>
              <w:rPr>
                <w:rFonts w:hint="eastAsia"/>
              </w:rPr>
              <w:t>0</w:t>
            </w:r>
          </w:p>
        </w:tc>
        <w:tc>
          <w:tcPr>
            <w:tcW w:w="550" w:type="pct"/>
            <w:vAlign w:val="center"/>
          </w:tcPr>
          <w:p w14:paraId="6D950612">
            <w:pPr>
              <w:pStyle w:val="133"/>
            </w:pPr>
            <w:r>
              <w:rPr>
                <w:rFonts w:hint="eastAsia"/>
              </w:rPr>
              <w:t>0</w:t>
            </w:r>
          </w:p>
        </w:tc>
        <w:tc>
          <w:tcPr>
            <w:tcW w:w="550" w:type="pct"/>
            <w:vAlign w:val="center"/>
          </w:tcPr>
          <w:p w14:paraId="0916C685">
            <w:pPr>
              <w:pStyle w:val="133"/>
            </w:pPr>
            <w:r>
              <w:rPr>
                <w:rFonts w:hint="eastAsia"/>
              </w:rPr>
              <w:t>-1</w:t>
            </w:r>
          </w:p>
        </w:tc>
        <w:tc>
          <w:tcPr>
            <w:tcW w:w="550" w:type="pct"/>
            <w:vAlign w:val="center"/>
          </w:tcPr>
          <w:p w14:paraId="49CA9809">
            <w:pPr>
              <w:pStyle w:val="133"/>
            </w:pPr>
            <w:r>
              <w:rPr>
                <w:rFonts w:hint="eastAsia"/>
              </w:rPr>
              <w:t>-1</w:t>
            </w:r>
          </w:p>
        </w:tc>
      </w:tr>
      <w:tr w14:paraId="4B58E4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continue"/>
            <w:vAlign w:val="center"/>
          </w:tcPr>
          <w:p w14:paraId="73BED23B">
            <w:pPr>
              <w:pStyle w:val="133"/>
            </w:pPr>
          </w:p>
        </w:tc>
        <w:tc>
          <w:tcPr>
            <w:tcW w:w="423" w:type="pct"/>
            <w:vAlign w:val="center"/>
          </w:tcPr>
          <w:p w14:paraId="7A9418F1">
            <w:pPr>
              <w:pStyle w:val="133"/>
            </w:pPr>
            <w:r>
              <w:rPr>
                <w:rFonts w:hint="eastAsia"/>
              </w:rPr>
              <w:t>废水</w:t>
            </w:r>
          </w:p>
        </w:tc>
        <w:tc>
          <w:tcPr>
            <w:tcW w:w="1449" w:type="pct"/>
            <w:vAlign w:val="center"/>
          </w:tcPr>
          <w:p w14:paraId="1E8DCAF7">
            <w:pPr>
              <w:pStyle w:val="133"/>
            </w:pPr>
            <w:r>
              <w:rPr>
                <w:rFonts w:hint="eastAsia"/>
              </w:rPr>
              <w:t>施工废水</w:t>
            </w:r>
          </w:p>
        </w:tc>
        <w:tc>
          <w:tcPr>
            <w:tcW w:w="550" w:type="pct"/>
            <w:vAlign w:val="center"/>
          </w:tcPr>
          <w:p w14:paraId="40B0317C">
            <w:pPr>
              <w:pStyle w:val="133"/>
            </w:pPr>
            <w:r>
              <w:rPr>
                <w:rFonts w:hint="eastAsia"/>
              </w:rPr>
              <w:t>-1</w:t>
            </w:r>
          </w:p>
        </w:tc>
        <w:tc>
          <w:tcPr>
            <w:tcW w:w="550" w:type="pct"/>
            <w:vAlign w:val="center"/>
          </w:tcPr>
          <w:p w14:paraId="42672E06">
            <w:pPr>
              <w:pStyle w:val="133"/>
            </w:pPr>
            <w:r>
              <w:rPr>
                <w:rFonts w:hint="eastAsia"/>
              </w:rPr>
              <w:t>-1</w:t>
            </w:r>
          </w:p>
        </w:tc>
        <w:tc>
          <w:tcPr>
            <w:tcW w:w="550" w:type="pct"/>
            <w:vAlign w:val="center"/>
          </w:tcPr>
          <w:p w14:paraId="0B5D7D11">
            <w:pPr>
              <w:pStyle w:val="133"/>
            </w:pPr>
            <w:r>
              <w:rPr>
                <w:rFonts w:hint="eastAsia"/>
              </w:rPr>
              <w:t>0</w:t>
            </w:r>
          </w:p>
        </w:tc>
        <w:tc>
          <w:tcPr>
            <w:tcW w:w="550" w:type="pct"/>
            <w:vAlign w:val="center"/>
          </w:tcPr>
          <w:p w14:paraId="1C93A356">
            <w:pPr>
              <w:pStyle w:val="133"/>
            </w:pPr>
            <w:r>
              <w:rPr>
                <w:rFonts w:hint="eastAsia"/>
              </w:rPr>
              <w:t>-1</w:t>
            </w:r>
          </w:p>
        </w:tc>
        <w:tc>
          <w:tcPr>
            <w:tcW w:w="550" w:type="pct"/>
            <w:vAlign w:val="center"/>
          </w:tcPr>
          <w:p w14:paraId="66EDC985">
            <w:pPr>
              <w:pStyle w:val="133"/>
            </w:pPr>
            <w:r>
              <w:rPr>
                <w:rFonts w:hint="eastAsia"/>
              </w:rPr>
              <w:t>-1</w:t>
            </w:r>
          </w:p>
        </w:tc>
      </w:tr>
      <w:tr w14:paraId="6BC32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continue"/>
            <w:vAlign w:val="center"/>
          </w:tcPr>
          <w:p w14:paraId="2C4CC078">
            <w:pPr>
              <w:pStyle w:val="133"/>
            </w:pPr>
          </w:p>
        </w:tc>
        <w:tc>
          <w:tcPr>
            <w:tcW w:w="423" w:type="pct"/>
            <w:vAlign w:val="center"/>
          </w:tcPr>
          <w:p w14:paraId="178074D7">
            <w:pPr>
              <w:pStyle w:val="133"/>
            </w:pPr>
            <w:r>
              <w:rPr>
                <w:rFonts w:hint="eastAsia"/>
              </w:rPr>
              <w:t>噪声</w:t>
            </w:r>
          </w:p>
        </w:tc>
        <w:tc>
          <w:tcPr>
            <w:tcW w:w="1449" w:type="pct"/>
            <w:vAlign w:val="center"/>
          </w:tcPr>
          <w:p w14:paraId="360F2D41">
            <w:pPr>
              <w:pStyle w:val="133"/>
            </w:pPr>
            <w:r>
              <w:rPr>
                <w:rFonts w:hint="eastAsia"/>
              </w:rPr>
              <w:t>施工机械、车辆噪声</w:t>
            </w:r>
          </w:p>
        </w:tc>
        <w:tc>
          <w:tcPr>
            <w:tcW w:w="550" w:type="pct"/>
            <w:vAlign w:val="center"/>
          </w:tcPr>
          <w:p w14:paraId="7F47E596">
            <w:pPr>
              <w:pStyle w:val="133"/>
            </w:pPr>
            <w:r>
              <w:rPr>
                <w:rFonts w:hint="eastAsia"/>
              </w:rPr>
              <w:t>0</w:t>
            </w:r>
          </w:p>
        </w:tc>
        <w:tc>
          <w:tcPr>
            <w:tcW w:w="550" w:type="pct"/>
            <w:vAlign w:val="center"/>
          </w:tcPr>
          <w:p w14:paraId="043F9692">
            <w:pPr>
              <w:pStyle w:val="133"/>
            </w:pPr>
            <w:r>
              <w:rPr>
                <w:rFonts w:hint="eastAsia"/>
              </w:rPr>
              <w:t>0</w:t>
            </w:r>
          </w:p>
        </w:tc>
        <w:tc>
          <w:tcPr>
            <w:tcW w:w="550" w:type="pct"/>
            <w:vAlign w:val="center"/>
          </w:tcPr>
          <w:p w14:paraId="168001E2">
            <w:pPr>
              <w:pStyle w:val="133"/>
            </w:pPr>
            <w:r>
              <w:rPr>
                <w:rFonts w:hint="eastAsia"/>
              </w:rPr>
              <w:t>-2</w:t>
            </w:r>
          </w:p>
        </w:tc>
        <w:tc>
          <w:tcPr>
            <w:tcW w:w="550" w:type="pct"/>
            <w:vAlign w:val="center"/>
          </w:tcPr>
          <w:p w14:paraId="47D50056">
            <w:pPr>
              <w:pStyle w:val="133"/>
            </w:pPr>
            <w:r>
              <w:rPr>
                <w:rFonts w:hint="eastAsia"/>
              </w:rPr>
              <w:t>0</w:t>
            </w:r>
          </w:p>
        </w:tc>
        <w:tc>
          <w:tcPr>
            <w:tcW w:w="550" w:type="pct"/>
            <w:vAlign w:val="center"/>
          </w:tcPr>
          <w:p w14:paraId="517AB6C9">
            <w:pPr>
              <w:pStyle w:val="133"/>
            </w:pPr>
            <w:r>
              <w:rPr>
                <w:rFonts w:hint="eastAsia"/>
              </w:rPr>
              <w:t>0</w:t>
            </w:r>
          </w:p>
        </w:tc>
      </w:tr>
      <w:tr w14:paraId="7757D1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continue"/>
            <w:vAlign w:val="center"/>
          </w:tcPr>
          <w:p w14:paraId="395BC48C">
            <w:pPr>
              <w:pStyle w:val="133"/>
            </w:pPr>
          </w:p>
        </w:tc>
        <w:tc>
          <w:tcPr>
            <w:tcW w:w="423" w:type="pct"/>
            <w:vAlign w:val="center"/>
          </w:tcPr>
          <w:p w14:paraId="1090040E">
            <w:pPr>
              <w:pStyle w:val="133"/>
            </w:pPr>
            <w:r>
              <w:rPr>
                <w:rFonts w:hint="eastAsia"/>
              </w:rPr>
              <w:t>固废</w:t>
            </w:r>
          </w:p>
        </w:tc>
        <w:tc>
          <w:tcPr>
            <w:tcW w:w="1449" w:type="pct"/>
            <w:vAlign w:val="center"/>
          </w:tcPr>
          <w:p w14:paraId="7FF854B7">
            <w:pPr>
              <w:pStyle w:val="133"/>
            </w:pPr>
            <w:r>
              <w:rPr>
                <w:rFonts w:hint="eastAsia"/>
              </w:rPr>
              <w:t>建筑垃圾</w:t>
            </w:r>
          </w:p>
        </w:tc>
        <w:tc>
          <w:tcPr>
            <w:tcW w:w="550" w:type="pct"/>
            <w:vAlign w:val="center"/>
          </w:tcPr>
          <w:p w14:paraId="74D6E331">
            <w:pPr>
              <w:pStyle w:val="133"/>
            </w:pPr>
            <w:r>
              <w:rPr>
                <w:rFonts w:hint="eastAsia"/>
              </w:rPr>
              <w:t>0</w:t>
            </w:r>
          </w:p>
        </w:tc>
        <w:tc>
          <w:tcPr>
            <w:tcW w:w="550" w:type="pct"/>
            <w:vAlign w:val="center"/>
          </w:tcPr>
          <w:p w14:paraId="72D6D299">
            <w:pPr>
              <w:pStyle w:val="133"/>
            </w:pPr>
            <w:r>
              <w:rPr>
                <w:rFonts w:hint="eastAsia"/>
              </w:rPr>
              <w:t>-1</w:t>
            </w:r>
          </w:p>
        </w:tc>
        <w:tc>
          <w:tcPr>
            <w:tcW w:w="550" w:type="pct"/>
            <w:vAlign w:val="center"/>
          </w:tcPr>
          <w:p w14:paraId="365A24E7">
            <w:pPr>
              <w:pStyle w:val="133"/>
            </w:pPr>
            <w:r>
              <w:rPr>
                <w:rFonts w:hint="eastAsia"/>
              </w:rPr>
              <w:t>0</w:t>
            </w:r>
          </w:p>
        </w:tc>
        <w:tc>
          <w:tcPr>
            <w:tcW w:w="550" w:type="pct"/>
            <w:vAlign w:val="center"/>
          </w:tcPr>
          <w:p w14:paraId="3B468C5B">
            <w:pPr>
              <w:pStyle w:val="133"/>
            </w:pPr>
            <w:r>
              <w:rPr>
                <w:rFonts w:hint="eastAsia"/>
              </w:rPr>
              <w:t>-1</w:t>
            </w:r>
          </w:p>
        </w:tc>
        <w:tc>
          <w:tcPr>
            <w:tcW w:w="550" w:type="pct"/>
            <w:vAlign w:val="center"/>
          </w:tcPr>
          <w:p w14:paraId="1C83621E">
            <w:pPr>
              <w:pStyle w:val="133"/>
            </w:pPr>
            <w:r>
              <w:rPr>
                <w:rFonts w:hint="eastAsia"/>
              </w:rPr>
              <w:t>-1</w:t>
            </w:r>
          </w:p>
        </w:tc>
      </w:tr>
      <w:tr w14:paraId="3F3597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restart"/>
            <w:vAlign w:val="center"/>
          </w:tcPr>
          <w:p w14:paraId="7F060802">
            <w:pPr>
              <w:pStyle w:val="133"/>
            </w:pPr>
            <w:r>
              <w:rPr>
                <w:rFonts w:hint="eastAsia"/>
              </w:rPr>
              <w:t>运营期</w:t>
            </w:r>
          </w:p>
        </w:tc>
        <w:tc>
          <w:tcPr>
            <w:tcW w:w="423" w:type="pct"/>
            <w:vAlign w:val="center"/>
          </w:tcPr>
          <w:p w14:paraId="256E3109">
            <w:pPr>
              <w:pStyle w:val="133"/>
            </w:pPr>
            <w:r>
              <w:rPr>
                <w:rFonts w:hint="eastAsia"/>
              </w:rPr>
              <w:t>废气</w:t>
            </w:r>
          </w:p>
        </w:tc>
        <w:tc>
          <w:tcPr>
            <w:tcW w:w="1449" w:type="pct"/>
            <w:vAlign w:val="center"/>
          </w:tcPr>
          <w:p w14:paraId="0F5BE6F0">
            <w:pPr>
              <w:pStyle w:val="133"/>
            </w:pPr>
            <w:r>
              <w:rPr>
                <w:rFonts w:hint="eastAsia"/>
              </w:rPr>
              <w:t>破碎废气、筛分废气、废水焚烧炉废气、VOC</w:t>
            </w:r>
            <w:r>
              <w:rPr>
                <w:rFonts w:hint="eastAsia"/>
                <w:vertAlign w:val="subscript"/>
              </w:rPr>
              <w:t>S</w:t>
            </w:r>
            <w:r>
              <w:rPr>
                <w:rFonts w:hint="eastAsia"/>
              </w:rPr>
              <w:t>处理装置尾气、矿热炉烟气及物料储运过程含尘废气、装置区、罐区无组织废气等</w:t>
            </w:r>
          </w:p>
        </w:tc>
        <w:tc>
          <w:tcPr>
            <w:tcW w:w="550" w:type="pct"/>
            <w:vAlign w:val="center"/>
          </w:tcPr>
          <w:p w14:paraId="53B72F4C">
            <w:pPr>
              <w:pStyle w:val="133"/>
            </w:pPr>
            <w:r>
              <w:rPr>
                <w:rFonts w:hint="eastAsia"/>
              </w:rPr>
              <w:t>-</w:t>
            </w:r>
            <w:r>
              <w:t>3</w:t>
            </w:r>
          </w:p>
        </w:tc>
        <w:tc>
          <w:tcPr>
            <w:tcW w:w="550" w:type="pct"/>
            <w:vAlign w:val="center"/>
          </w:tcPr>
          <w:p w14:paraId="359E5399">
            <w:pPr>
              <w:pStyle w:val="133"/>
            </w:pPr>
            <w:r>
              <w:rPr>
                <w:rFonts w:hint="eastAsia"/>
              </w:rPr>
              <w:t>0</w:t>
            </w:r>
          </w:p>
        </w:tc>
        <w:tc>
          <w:tcPr>
            <w:tcW w:w="550" w:type="pct"/>
            <w:vAlign w:val="center"/>
          </w:tcPr>
          <w:p w14:paraId="15F9D805">
            <w:pPr>
              <w:pStyle w:val="133"/>
            </w:pPr>
            <w:r>
              <w:rPr>
                <w:rFonts w:hint="eastAsia"/>
              </w:rPr>
              <w:t>0</w:t>
            </w:r>
          </w:p>
        </w:tc>
        <w:tc>
          <w:tcPr>
            <w:tcW w:w="550" w:type="pct"/>
            <w:vAlign w:val="center"/>
          </w:tcPr>
          <w:p w14:paraId="2CE0FD93">
            <w:pPr>
              <w:pStyle w:val="133"/>
            </w:pPr>
            <w:r>
              <w:rPr>
                <w:rFonts w:hint="eastAsia"/>
              </w:rPr>
              <w:t>-1</w:t>
            </w:r>
          </w:p>
        </w:tc>
        <w:tc>
          <w:tcPr>
            <w:tcW w:w="550" w:type="pct"/>
            <w:vAlign w:val="center"/>
          </w:tcPr>
          <w:p w14:paraId="4E6CCE5D">
            <w:pPr>
              <w:pStyle w:val="133"/>
            </w:pPr>
            <w:r>
              <w:rPr>
                <w:rFonts w:hint="eastAsia"/>
              </w:rPr>
              <w:t>-1</w:t>
            </w:r>
          </w:p>
        </w:tc>
      </w:tr>
      <w:tr w14:paraId="1E1337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continue"/>
            <w:vAlign w:val="center"/>
          </w:tcPr>
          <w:p w14:paraId="05F1DD8B">
            <w:pPr>
              <w:pStyle w:val="133"/>
            </w:pPr>
          </w:p>
        </w:tc>
        <w:tc>
          <w:tcPr>
            <w:tcW w:w="423" w:type="pct"/>
            <w:vAlign w:val="center"/>
          </w:tcPr>
          <w:p w14:paraId="2ACCD9F7">
            <w:pPr>
              <w:pStyle w:val="133"/>
            </w:pPr>
            <w:r>
              <w:rPr>
                <w:rFonts w:hint="eastAsia"/>
              </w:rPr>
              <w:t>废水</w:t>
            </w:r>
          </w:p>
        </w:tc>
        <w:tc>
          <w:tcPr>
            <w:tcW w:w="1449" w:type="pct"/>
            <w:vAlign w:val="center"/>
          </w:tcPr>
          <w:p w14:paraId="0FD2A29D">
            <w:pPr>
              <w:pStyle w:val="133"/>
            </w:pPr>
            <w:r>
              <w:rPr>
                <w:rFonts w:hint="eastAsia"/>
              </w:rPr>
              <w:t>剩余氨水、软水制备废水、循环水排污水、烟气治理废水、生活污水等</w:t>
            </w:r>
          </w:p>
        </w:tc>
        <w:tc>
          <w:tcPr>
            <w:tcW w:w="550" w:type="pct"/>
            <w:vAlign w:val="center"/>
          </w:tcPr>
          <w:p w14:paraId="1EB51842">
            <w:pPr>
              <w:pStyle w:val="133"/>
            </w:pPr>
            <w:r>
              <w:rPr>
                <w:rFonts w:hint="eastAsia"/>
              </w:rPr>
              <w:t>-1</w:t>
            </w:r>
          </w:p>
        </w:tc>
        <w:tc>
          <w:tcPr>
            <w:tcW w:w="550" w:type="pct"/>
            <w:vAlign w:val="center"/>
          </w:tcPr>
          <w:p w14:paraId="247070CC">
            <w:pPr>
              <w:pStyle w:val="133"/>
            </w:pPr>
            <w:r>
              <w:rPr>
                <w:rFonts w:hint="eastAsia"/>
              </w:rPr>
              <w:t>-1</w:t>
            </w:r>
          </w:p>
        </w:tc>
        <w:tc>
          <w:tcPr>
            <w:tcW w:w="550" w:type="pct"/>
            <w:vAlign w:val="center"/>
          </w:tcPr>
          <w:p w14:paraId="08A40D44">
            <w:pPr>
              <w:pStyle w:val="133"/>
            </w:pPr>
            <w:r>
              <w:rPr>
                <w:rFonts w:hint="eastAsia"/>
              </w:rPr>
              <w:t>0</w:t>
            </w:r>
          </w:p>
        </w:tc>
        <w:tc>
          <w:tcPr>
            <w:tcW w:w="550" w:type="pct"/>
            <w:vAlign w:val="center"/>
          </w:tcPr>
          <w:p w14:paraId="189DA44D">
            <w:pPr>
              <w:pStyle w:val="133"/>
            </w:pPr>
            <w:r>
              <w:rPr>
                <w:rFonts w:hint="eastAsia"/>
              </w:rPr>
              <w:t>-1</w:t>
            </w:r>
          </w:p>
        </w:tc>
        <w:tc>
          <w:tcPr>
            <w:tcW w:w="550" w:type="pct"/>
            <w:vAlign w:val="center"/>
          </w:tcPr>
          <w:p w14:paraId="72B4D318">
            <w:pPr>
              <w:pStyle w:val="133"/>
            </w:pPr>
            <w:r>
              <w:rPr>
                <w:rFonts w:hint="eastAsia"/>
              </w:rPr>
              <w:t>-2</w:t>
            </w:r>
          </w:p>
        </w:tc>
      </w:tr>
      <w:tr w14:paraId="7B4F02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continue"/>
            <w:vAlign w:val="center"/>
          </w:tcPr>
          <w:p w14:paraId="624900C2">
            <w:pPr>
              <w:pStyle w:val="133"/>
            </w:pPr>
          </w:p>
        </w:tc>
        <w:tc>
          <w:tcPr>
            <w:tcW w:w="423" w:type="pct"/>
            <w:vAlign w:val="center"/>
          </w:tcPr>
          <w:p w14:paraId="25AF0F4F">
            <w:pPr>
              <w:pStyle w:val="133"/>
            </w:pPr>
            <w:r>
              <w:rPr>
                <w:rFonts w:hint="eastAsia"/>
              </w:rPr>
              <w:t>噪声</w:t>
            </w:r>
          </w:p>
        </w:tc>
        <w:tc>
          <w:tcPr>
            <w:tcW w:w="1449" w:type="pct"/>
            <w:vAlign w:val="center"/>
          </w:tcPr>
          <w:p w14:paraId="47EB14B4">
            <w:pPr>
              <w:pStyle w:val="133"/>
            </w:pPr>
            <w:r>
              <w:rPr>
                <w:rFonts w:hint="eastAsia"/>
              </w:rPr>
              <w:t>破碎机、筛分机、皮带输送机、引风机、各种水泵等</w:t>
            </w:r>
          </w:p>
        </w:tc>
        <w:tc>
          <w:tcPr>
            <w:tcW w:w="550" w:type="pct"/>
            <w:vAlign w:val="center"/>
          </w:tcPr>
          <w:p w14:paraId="2086106A">
            <w:pPr>
              <w:pStyle w:val="133"/>
            </w:pPr>
            <w:r>
              <w:rPr>
                <w:rFonts w:hint="eastAsia"/>
              </w:rPr>
              <w:t>0</w:t>
            </w:r>
          </w:p>
        </w:tc>
        <w:tc>
          <w:tcPr>
            <w:tcW w:w="550" w:type="pct"/>
            <w:vAlign w:val="center"/>
          </w:tcPr>
          <w:p w14:paraId="52306FE0">
            <w:pPr>
              <w:pStyle w:val="133"/>
            </w:pPr>
            <w:r>
              <w:rPr>
                <w:rFonts w:hint="eastAsia"/>
              </w:rPr>
              <w:t>0</w:t>
            </w:r>
          </w:p>
        </w:tc>
        <w:tc>
          <w:tcPr>
            <w:tcW w:w="550" w:type="pct"/>
            <w:vAlign w:val="center"/>
          </w:tcPr>
          <w:p w14:paraId="2740B526">
            <w:pPr>
              <w:pStyle w:val="133"/>
            </w:pPr>
            <w:r>
              <w:rPr>
                <w:rFonts w:hint="eastAsia"/>
              </w:rPr>
              <w:t>-2</w:t>
            </w:r>
          </w:p>
        </w:tc>
        <w:tc>
          <w:tcPr>
            <w:tcW w:w="550" w:type="pct"/>
            <w:vAlign w:val="center"/>
          </w:tcPr>
          <w:p w14:paraId="7872454C">
            <w:pPr>
              <w:pStyle w:val="133"/>
            </w:pPr>
            <w:r>
              <w:rPr>
                <w:rFonts w:hint="eastAsia"/>
              </w:rPr>
              <w:t>0</w:t>
            </w:r>
          </w:p>
        </w:tc>
        <w:tc>
          <w:tcPr>
            <w:tcW w:w="550" w:type="pct"/>
            <w:vAlign w:val="center"/>
          </w:tcPr>
          <w:p w14:paraId="52D97449">
            <w:pPr>
              <w:pStyle w:val="133"/>
            </w:pPr>
            <w:r>
              <w:rPr>
                <w:rFonts w:hint="eastAsia"/>
              </w:rPr>
              <w:t>0</w:t>
            </w:r>
          </w:p>
        </w:tc>
      </w:tr>
      <w:tr w14:paraId="50F34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continue"/>
            <w:vAlign w:val="center"/>
          </w:tcPr>
          <w:p w14:paraId="2111EEF4">
            <w:pPr>
              <w:pStyle w:val="133"/>
            </w:pPr>
          </w:p>
        </w:tc>
        <w:tc>
          <w:tcPr>
            <w:tcW w:w="423" w:type="pct"/>
            <w:vAlign w:val="center"/>
          </w:tcPr>
          <w:p w14:paraId="4808D265">
            <w:pPr>
              <w:pStyle w:val="133"/>
            </w:pPr>
            <w:r>
              <w:rPr>
                <w:rFonts w:hint="eastAsia"/>
              </w:rPr>
              <w:t>固废</w:t>
            </w:r>
          </w:p>
        </w:tc>
        <w:tc>
          <w:tcPr>
            <w:tcW w:w="1449" w:type="pct"/>
            <w:vAlign w:val="center"/>
          </w:tcPr>
          <w:p w14:paraId="157C38AC">
            <w:pPr>
              <w:pStyle w:val="133"/>
            </w:pPr>
            <w:r>
              <w:rPr>
                <w:rFonts w:hint="eastAsia"/>
              </w:rPr>
              <w:t>焦油渣、废水处理废液、废交换树脂、除尘器收集粉尘、废分子筛、废润滑油、废包装袋、废活性炭等</w:t>
            </w:r>
          </w:p>
        </w:tc>
        <w:tc>
          <w:tcPr>
            <w:tcW w:w="550" w:type="pct"/>
            <w:vAlign w:val="center"/>
          </w:tcPr>
          <w:p w14:paraId="5996D901">
            <w:pPr>
              <w:pStyle w:val="133"/>
            </w:pPr>
            <w:r>
              <w:rPr>
                <w:rFonts w:hint="eastAsia"/>
              </w:rPr>
              <w:t>-1</w:t>
            </w:r>
          </w:p>
        </w:tc>
        <w:tc>
          <w:tcPr>
            <w:tcW w:w="550" w:type="pct"/>
            <w:vAlign w:val="center"/>
          </w:tcPr>
          <w:p w14:paraId="0B0FCFE3">
            <w:pPr>
              <w:pStyle w:val="133"/>
            </w:pPr>
            <w:r>
              <w:rPr>
                <w:rFonts w:hint="eastAsia"/>
              </w:rPr>
              <w:t>-1</w:t>
            </w:r>
          </w:p>
        </w:tc>
        <w:tc>
          <w:tcPr>
            <w:tcW w:w="550" w:type="pct"/>
            <w:vAlign w:val="center"/>
          </w:tcPr>
          <w:p w14:paraId="78A6E6BE">
            <w:pPr>
              <w:pStyle w:val="133"/>
            </w:pPr>
            <w:r>
              <w:rPr>
                <w:rFonts w:hint="eastAsia"/>
              </w:rPr>
              <w:t>0</w:t>
            </w:r>
          </w:p>
        </w:tc>
        <w:tc>
          <w:tcPr>
            <w:tcW w:w="550" w:type="pct"/>
            <w:vAlign w:val="center"/>
          </w:tcPr>
          <w:p w14:paraId="35EEF877">
            <w:pPr>
              <w:pStyle w:val="133"/>
            </w:pPr>
            <w:r>
              <w:rPr>
                <w:rFonts w:hint="eastAsia"/>
              </w:rPr>
              <w:t>0</w:t>
            </w:r>
          </w:p>
        </w:tc>
        <w:tc>
          <w:tcPr>
            <w:tcW w:w="550" w:type="pct"/>
            <w:vAlign w:val="center"/>
          </w:tcPr>
          <w:p w14:paraId="2BBEC75F">
            <w:pPr>
              <w:pStyle w:val="133"/>
            </w:pPr>
            <w:r>
              <w:rPr>
                <w:rFonts w:hint="eastAsia"/>
              </w:rPr>
              <w:t>-2</w:t>
            </w:r>
          </w:p>
        </w:tc>
      </w:tr>
      <w:tr w14:paraId="15A2BB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7" w:type="pct"/>
            <w:vMerge w:val="continue"/>
            <w:vAlign w:val="center"/>
          </w:tcPr>
          <w:p w14:paraId="211ECB92">
            <w:pPr>
              <w:pStyle w:val="133"/>
            </w:pPr>
          </w:p>
        </w:tc>
        <w:tc>
          <w:tcPr>
            <w:tcW w:w="423" w:type="pct"/>
            <w:vAlign w:val="center"/>
          </w:tcPr>
          <w:p w14:paraId="35746FC4">
            <w:pPr>
              <w:pStyle w:val="133"/>
            </w:pPr>
            <w:r>
              <w:rPr>
                <w:rFonts w:hint="eastAsia"/>
              </w:rPr>
              <w:t>风险</w:t>
            </w:r>
          </w:p>
        </w:tc>
        <w:tc>
          <w:tcPr>
            <w:tcW w:w="1449" w:type="pct"/>
            <w:vAlign w:val="center"/>
          </w:tcPr>
          <w:p w14:paraId="4EF06FDE">
            <w:pPr>
              <w:pStyle w:val="133"/>
            </w:pPr>
            <w:r>
              <w:rPr>
                <w:rFonts w:hint="eastAsia"/>
              </w:rPr>
              <w:t>物料泄漏、火灾、爆炸</w:t>
            </w:r>
          </w:p>
        </w:tc>
        <w:tc>
          <w:tcPr>
            <w:tcW w:w="550" w:type="pct"/>
            <w:vAlign w:val="center"/>
          </w:tcPr>
          <w:p w14:paraId="7900844B">
            <w:pPr>
              <w:pStyle w:val="133"/>
            </w:pPr>
            <w:r>
              <w:rPr>
                <w:rFonts w:hint="eastAsia"/>
              </w:rPr>
              <w:t>-3</w:t>
            </w:r>
          </w:p>
        </w:tc>
        <w:tc>
          <w:tcPr>
            <w:tcW w:w="550" w:type="pct"/>
            <w:vAlign w:val="center"/>
          </w:tcPr>
          <w:p w14:paraId="23E019A0">
            <w:pPr>
              <w:pStyle w:val="133"/>
            </w:pPr>
            <w:r>
              <w:rPr>
                <w:rFonts w:hint="eastAsia"/>
              </w:rPr>
              <w:t>0</w:t>
            </w:r>
          </w:p>
        </w:tc>
        <w:tc>
          <w:tcPr>
            <w:tcW w:w="550" w:type="pct"/>
            <w:vAlign w:val="center"/>
          </w:tcPr>
          <w:p w14:paraId="6743C3A6">
            <w:pPr>
              <w:pStyle w:val="133"/>
            </w:pPr>
            <w:r>
              <w:rPr>
                <w:rFonts w:hint="eastAsia"/>
              </w:rPr>
              <w:t>-2</w:t>
            </w:r>
          </w:p>
        </w:tc>
        <w:tc>
          <w:tcPr>
            <w:tcW w:w="550" w:type="pct"/>
            <w:vAlign w:val="center"/>
          </w:tcPr>
          <w:p w14:paraId="2DB59DCF">
            <w:pPr>
              <w:pStyle w:val="133"/>
            </w:pPr>
            <w:r>
              <w:rPr>
                <w:rFonts w:hint="eastAsia"/>
              </w:rPr>
              <w:t>-1</w:t>
            </w:r>
          </w:p>
        </w:tc>
        <w:tc>
          <w:tcPr>
            <w:tcW w:w="550" w:type="pct"/>
            <w:vAlign w:val="center"/>
          </w:tcPr>
          <w:p w14:paraId="2B73D442">
            <w:pPr>
              <w:pStyle w:val="133"/>
            </w:pPr>
            <w:r>
              <w:rPr>
                <w:rFonts w:hint="eastAsia"/>
              </w:rPr>
              <w:t>-2</w:t>
            </w:r>
          </w:p>
        </w:tc>
      </w:tr>
      <w:tr w14:paraId="0E43DE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8"/>
            <w:vAlign w:val="center"/>
          </w:tcPr>
          <w:p w14:paraId="1EFDEB98">
            <w:pPr>
              <w:pStyle w:val="133"/>
              <w:jc w:val="both"/>
            </w:pPr>
            <w:r>
              <w:rPr>
                <w:rFonts w:hint="eastAsia"/>
              </w:rPr>
              <w:t>注：“+”表示正面影响，“－”表示负面影响。“3”表示影响程度大，“2”表示影响程度中等，“1”表示影响程度小，“0”表示无影响。</w:t>
            </w:r>
          </w:p>
        </w:tc>
      </w:tr>
    </w:tbl>
    <w:p w14:paraId="5CB2AB72">
      <w:pPr>
        <w:pStyle w:val="133"/>
      </w:pPr>
      <w:bookmarkStart w:id="125" w:name="_Toc9315"/>
    </w:p>
    <w:p w14:paraId="4D681EF6">
      <w:pPr>
        <w:pStyle w:val="138"/>
        <w:rPr>
          <w:rFonts w:hint="eastAsia"/>
        </w:rPr>
      </w:pPr>
      <w:r>
        <w:rPr>
          <w:rFonts w:hint="eastAsia"/>
        </w:rPr>
        <w:t>评价因子筛选</w:t>
      </w:r>
      <w:bookmarkEnd w:id="125"/>
    </w:p>
    <w:p w14:paraId="2E78A872">
      <w:pPr>
        <w:pStyle w:val="117"/>
        <w:ind w:firstLine="480"/>
        <w:rPr>
          <w:rFonts w:hint="eastAsia" w:ascii="宋体" w:hAnsi="宋体"/>
        </w:rPr>
      </w:pPr>
      <w:r>
        <w:rPr>
          <w:rFonts w:hint="eastAsia"/>
        </w:rPr>
        <w:t>根据项目的污染排放特征，结合项目周围的环境现状，经环境影响因素识别筛选确定本评价因子筛选结果见表1.3-2。</w:t>
      </w:r>
    </w:p>
    <w:p w14:paraId="7A0138D5">
      <w:pPr>
        <w:pStyle w:val="118"/>
        <w:rPr>
          <w:color w:val="auto"/>
        </w:rPr>
      </w:pPr>
    </w:p>
    <w:p w14:paraId="6845F389">
      <w:pPr>
        <w:pStyle w:val="118"/>
        <w:rPr>
          <w:color w:val="auto"/>
        </w:rPr>
      </w:pPr>
    </w:p>
    <w:p w14:paraId="201718FA">
      <w:pPr>
        <w:pStyle w:val="118"/>
        <w:rPr>
          <w:color w:val="auto"/>
        </w:rPr>
      </w:pPr>
    </w:p>
    <w:p w14:paraId="68CD45F7">
      <w:pPr>
        <w:pStyle w:val="118"/>
        <w:rPr>
          <w:color w:val="auto"/>
        </w:rPr>
      </w:pPr>
    </w:p>
    <w:p w14:paraId="65E2F886">
      <w:pPr>
        <w:pStyle w:val="118"/>
        <w:rPr>
          <w:color w:val="auto"/>
        </w:rPr>
      </w:pPr>
      <w:r>
        <w:rPr>
          <w:rFonts w:hint="eastAsia"/>
          <w:color w:val="auto"/>
        </w:rPr>
        <w:t>表1.3-2   评价因子筛选结果</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27"/>
        <w:gridCol w:w="918"/>
        <w:gridCol w:w="1601"/>
        <w:gridCol w:w="2092"/>
        <w:gridCol w:w="3451"/>
      </w:tblGrid>
      <w:tr w14:paraId="7BCC36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14" w:type="pct"/>
            <w:vAlign w:val="center"/>
          </w:tcPr>
          <w:p w14:paraId="4F652816">
            <w:pPr>
              <w:pStyle w:val="133"/>
              <w:rPr>
                <w:b/>
                <w:bCs/>
              </w:rPr>
            </w:pPr>
            <w:r>
              <w:rPr>
                <w:rFonts w:hint="eastAsia"/>
                <w:b/>
                <w:bCs/>
              </w:rPr>
              <w:t>评价</w:t>
            </w:r>
          </w:p>
          <w:p w14:paraId="76BFB40C">
            <w:pPr>
              <w:pStyle w:val="133"/>
              <w:rPr>
                <w:b/>
                <w:bCs/>
              </w:rPr>
            </w:pPr>
            <w:r>
              <w:rPr>
                <w:rFonts w:hint="eastAsia"/>
                <w:b/>
                <w:bCs/>
              </w:rPr>
              <w:t>要素</w:t>
            </w:r>
          </w:p>
        </w:tc>
        <w:tc>
          <w:tcPr>
            <w:tcW w:w="522" w:type="pct"/>
            <w:vAlign w:val="center"/>
          </w:tcPr>
          <w:p w14:paraId="336B2B51">
            <w:pPr>
              <w:pStyle w:val="133"/>
              <w:rPr>
                <w:b/>
                <w:bCs/>
              </w:rPr>
            </w:pPr>
            <w:r>
              <w:rPr>
                <w:rFonts w:hint="eastAsia"/>
                <w:b/>
                <w:bCs/>
              </w:rPr>
              <w:t>评价</w:t>
            </w:r>
          </w:p>
          <w:p w14:paraId="31699F1D">
            <w:pPr>
              <w:pStyle w:val="133"/>
              <w:rPr>
                <w:b/>
                <w:bCs/>
              </w:rPr>
            </w:pPr>
            <w:r>
              <w:rPr>
                <w:rFonts w:hint="eastAsia"/>
                <w:b/>
                <w:bCs/>
              </w:rPr>
              <w:t>时段</w:t>
            </w:r>
          </w:p>
        </w:tc>
        <w:tc>
          <w:tcPr>
            <w:tcW w:w="911" w:type="pct"/>
            <w:vAlign w:val="center"/>
          </w:tcPr>
          <w:p w14:paraId="3C09E976">
            <w:pPr>
              <w:pStyle w:val="133"/>
              <w:rPr>
                <w:b/>
                <w:bCs/>
              </w:rPr>
            </w:pPr>
            <w:r>
              <w:rPr>
                <w:rFonts w:hint="eastAsia"/>
                <w:b/>
                <w:bCs/>
              </w:rPr>
              <w:t>评价类型</w:t>
            </w:r>
          </w:p>
        </w:tc>
        <w:tc>
          <w:tcPr>
            <w:tcW w:w="1190" w:type="pct"/>
            <w:vAlign w:val="center"/>
          </w:tcPr>
          <w:p w14:paraId="634E2A1C">
            <w:pPr>
              <w:pStyle w:val="133"/>
              <w:rPr>
                <w:b/>
                <w:bCs/>
              </w:rPr>
            </w:pPr>
            <w:r>
              <w:rPr>
                <w:rFonts w:hint="eastAsia"/>
                <w:b/>
                <w:bCs/>
              </w:rPr>
              <w:t>评价项目</w:t>
            </w:r>
          </w:p>
        </w:tc>
        <w:tc>
          <w:tcPr>
            <w:tcW w:w="1963" w:type="pct"/>
            <w:vAlign w:val="center"/>
          </w:tcPr>
          <w:p w14:paraId="48B250A2">
            <w:pPr>
              <w:pStyle w:val="133"/>
              <w:rPr>
                <w:b/>
                <w:bCs/>
              </w:rPr>
            </w:pPr>
            <w:r>
              <w:rPr>
                <w:rFonts w:hint="eastAsia"/>
                <w:b/>
                <w:bCs/>
              </w:rPr>
              <w:t>评价因子</w:t>
            </w:r>
          </w:p>
        </w:tc>
      </w:tr>
      <w:tr w14:paraId="072FD7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64497E67">
            <w:pPr>
              <w:pStyle w:val="133"/>
            </w:pPr>
            <w:r>
              <w:rPr>
                <w:rFonts w:hint="eastAsia"/>
              </w:rPr>
              <w:t>大气</w:t>
            </w:r>
          </w:p>
          <w:p w14:paraId="728310C1">
            <w:pPr>
              <w:pStyle w:val="133"/>
            </w:pPr>
            <w:r>
              <w:rPr>
                <w:rFonts w:hint="eastAsia"/>
              </w:rPr>
              <w:t>环境</w:t>
            </w:r>
          </w:p>
        </w:tc>
        <w:tc>
          <w:tcPr>
            <w:tcW w:w="522" w:type="pct"/>
            <w:vMerge w:val="restart"/>
            <w:vAlign w:val="center"/>
          </w:tcPr>
          <w:p w14:paraId="2926A610">
            <w:pPr>
              <w:pStyle w:val="133"/>
            </w:pPr>
            <w:r>
              <w:rPr>
                <w:rFonts w:hint="eastAsia"/>
              </w:rPr>
              <w:t>施工期</w:t>
            </w:r>
          </w:p>
        </w:tc>
        <w:tc>
          <w:tcPr>
            <w:tcW w:w="911" w:type="pct"/>
            <w:vMerge w:val="restart"/>
            <w:vAlign w:val="center"/>
          </w:tcPr>
          <w:p w14:paraId="4ABD87A8">
            <w:pPr>
              <w:pStyle w:val="133"/>
            </w:pPr>
            <w:r>
              <w:rPr>
                <w:rFonts w:hint="eastAsia"/>
              </w:rPr>
              <w:t>大气环境</w:t>
            </w:r>
          </w:p>
          <w:p w14:paraId="640A1BAF">
            <w:pPr>
              <w:pStyle w:val="133"/>
            </w:pPr>
            <w:r>
              <w:rPr>
                <w:rFonts w:hint="eastAsia"/>
              </w:rPr>
              <w:t>影响分析</w:t>
            </w:r>
          </w:p>
        </w:tc>
        <w:tc>
          <w:tcPr>
            <w:tcW w:w="1190" w:type="pct"/>
            <w:vAlign w:val="center"/>
          </w:tcPr>
          <w:p w14:paraId="72D4F8BD">
            <w:pPr>
              <w:pStyle w:val="133"/>
            </w:pPr>
            <w:r>
              <w:rPr>
                <w:rFonts w:hint="eastAsia"/>
              </w:rPr>
              <w:t>施工扬尘</w:t>
            </w:r>
          </w:p>
        </w:tc>
        <w:tc>
          <w:tcPr>
            <w:tcW w:w="1963" w:type="pct"/>
            <w:vAlign w:val="center"/>
          </w:tcPr>
          <w:p w14:paraId="6F5767A3">
            <w:pPr>
              <w:pStyle w:val="133"/>
            </w:pPr>
            <w:r>
              <w:rPr>
                <w:rFonts w:hint="eastAsia"/>
              </w:rPr>
              <w:t>颗粒物（TSP）</w:t>
            </w:r>
          </w:p>
        </w:tc>
      </w:tr>
      <w:tr w14:paraId="765A5B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516BD42B">
            <w:pPr>
              <w:pStyle w:val="133"/>
            </w:pPr>
          </w:p>
        </w:tc>
        <w:tc>
          <w:tcPr>
            <w:tcW w:w="522" w:type="pct"/>
            <w:vMerge w:val="continue"/>
            <w:vAlign w:val="center"/>
          </w:tcPr>
          <w:p w14:paraId="30B76112">
            <w:pPr>
              <w:pStyle w:val="133"/>
            </w:pPr>
          </w:p>
        </w:tc>
        <w:tc>
          <w:tcPr>
            <w:tcW w:w="911" w:type="pct"/>
            <w:vMerge w:val="continue"/>
            <w:vAlign w:val="center"/>
          </w:tcPr>
          <w:p w14:paraId="0613B527">
            <w:pPr>
              <w:pStyle w:val="133"/>
            </w:pPr>
          </w:p>
        </w:tc>
        <w:tc>
          <w:tcPr>
            <w:tcW w:w="1190" w:type="pct"/>
            <w:vAlign w:val="center"/>
          </w:tcPr>
          <w:p w14:paraId="3D1942D4">
            <w:pPr>
              <w:pStyle w:val="133"/>
            </w:pPr>
            <w:r>
              <w:rPr>
                <w:rFonts w:hint="eastAsia"/>
              </w:rPr>
              <w:t>车辆运行时排放废气</w:t>
            </w:r>
          </w:p>
        </w:tc>
        <w:tc>
          <w:tcPr>
            <w:tcW w:w="1963" w:type="pct"/>
            <w:vAlign w:val="center"/>
          </w:tcPr>
          <w:p w14:paraId="0D25988F">
            <w:pPr>
              <w:pStyle w:val="133"/>
              <w:rPr>
                <w:lang w:val="de-DE"/>
              </w:rPr>
            </w:pPr>
            <w:r>
              <w:rPr>
                <w:rFonts w:hint="eastAsia"/>
                <w:lang w:val="de-DE"/>
              </w:rPr>
              <w:t>SO</w:t>
            </w:r>
            <w:r>
              <w:rPr>
                <w:rFonts w:hint="eastAsia"/>
                <w:vertAlign w:val="subscript"/>
                <w:lang w:val="de-DE"/>
              </w:rPr>
              <w:t>2</w:t>
            </w:r>
            <w:r>
              <w:rPr>
                <w:rFonts w:hint="eastAsia"/>
              </w:rPr>
              <w:t>、</w:t>
            </w:r>
            <w:r>
              <w:rPr>
                <w:rFonts w:hint="eastAsia"/>
                <w:lang w:val="de-DE"/>
              </w:rPr>
              <w:t>NO</w:t>
            </w:r>
            <w:r>
              <w:rPr>
                <w:rFonts w:hint="eastAsia"/>
                <w:vertAlign w:val="subscript"/>
                <w:lang w:val="de-DE"/>
              </w:rPr>
              <w:t>X</w:t>
            </w:r>
            <w:r>
              <w:rPr>
                <w:rFonts w:hint="eastAsia"/>
              </w:rPr>
              <w:t>、</w:t>
            </w:r>
            <w:r>
              <w:rPr>
                <w:rFonts w:hint="eastAsia"/>
                <w:lang w:val="de-DE"/>
              </w:rPr>
              <w:t>CO</w:t>
            </w:r>
            <w:r>
              <w:rPr>
                <w:rFonts w:hint="eastAsia"/>
              </w:rPr>
              <w:t>、</w:t>
            </w:r>
            <w:r>
              <w:rPr>
                <w:rFonts w:hint="eastAsia"/>
                <w:lang w:val="de-DE"/>
              </w:rPr>
              <w:t>C</w:t>
            </w:r>
            <w:r>
              <w:rPr>
                <w:rFonts w:hint="eastAsia"/>
                <w:vertAlign w:val="subscript"/>
                <w:lang w:val="de-DE"/>
              </w:rPr>
              <w:t>n</w:t>
            </w:r>
            <w:r>
              <w:rPr>
                <w:rFonts w:hint="eastAsia"/>
                <w:lang w:val="de-DE"/>
              </w:rPr>
              <w:t>H</w:t>
            </w:r>
            <w:r>
              <w:rPr>
                <w:rFonts w:hint="eastAsia"/>
                <w:vertAlign w:val="subscript"/>
                <w:lang w:val="de-DE"/>
              </w:rPr>
              <w:t>m</w:t>
            </w:r>
          </w:p>
        </w:tc>
      </w:tr>
      <w:tr w14:paraId="63164F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037E9844">
            <w:pPr>
              <w:pStyle w:val="133"/>
              <w:rPr>
                <w:lang w:val="de-DE"/>
              </w:rPr>
            </w:pPr>
          </w:p>
        </w:tc>
        <w:tc>
          <w:tcPr>
            <w:tcW w:w="522" w:type="pct"/>
            <w:vMerge w:val="restart"/>
            <w:vAlign w:val="center"/>
          </w:tcPr>
          <w:p w14:paraId="2AA40F25">
            <w:pPr>
              <w:pStyle w:val="133"/>
            </w:pPr>
            <w:r>
              <w:rPr>
                <w:rFonts w:hint="eastAsia"/>
              </w:rPr>
              <w:t>运营期</w:t>
            </w:r>
          </w:p>
        </w:tc>
        <w:tc>
          <w:tcPr>
            <w:tcW w:w="911" w:type="pct"/>
            <w:vAlign w:val="center"/>
          </w:tcPr>
          <w:p w14:paraId="72E5B8E2">
            <w:pPr>
              <w:pStyle w:val="133"/>
            </w:pPr>
            <w:r>
              <w:rPr>
                <w:rFonts w:hint="eastAsia"/>
              </w:rPr>
              <w:t>大气环境质量现状评价</w:t>
            </w:r>
          </w:p>
        </w:tc>
        <w:tc>
          <w:tcPr>
            <w:tcW w:w="1190" w:type="pct"/>
            <w:vAlign w:val="center"/>
          </w:tcPr>
          <w:p w14:paraId="71F2AA03">
            <w:pPr>
              <w:pStyle w:val="133"/>
            </w:pPr>
            <w:r>
              <w:rPr>
                <w:rFonts w:hint="eastAsia"/>
              </w:rPr>
              <w:t>大气环境质量现状</w:t>
            </w:r>
          </w:p>
        </w:tc>
        <w:tc>
          <w:tcPr>
            <w:tcW w:w="1963" w:type="pct"/>
            <w:vAlign w:val="center"/>
          </w:tcPr>
          <w:p w14:paraId="0571354C">
            <w:pPr>
              <w:pStyle w:val="133"/>
            </w:pPr>
            <w:r>
              <w:rPr>
                <w:rFonts w:hint="eastAsia"/>
              </w:rP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、CO、O</w:t>
            </w:r>
            <w:r>
              <w:rPr>
                <w:rFonts w:hint="eastAsia"/>
                <w:vertAlign w:val="subscript"/>
              </w:rPr>
              <w:t>3</w:t>
            </w:r>
            <w:r>
              <w:rPr>
                <w:rFonts w:hint="eastAsia"/>
              </w:rPr>
              <w:t>、</w:t>
            </w:r>
            <w:r>
              <w:rPr>
                <w:rFonts w:hint="eastAsia"/>
                <w:szCs w:val="21"/>
              </w:rPr>
              <w:t>HCl、</w:t>
            </w:r>
            <w:r>
              <w:rPr>
                <w:rFonts w:hint="eastAsia"/>
              </w:rPr>
              <w:t>非甲烷总烃、氨、硫化氢、TSP、苯并[a]芘、氰化氢、酚类</w:t>
            </w:r>
          </w:p>
        </w:tc>
      </w:tr>
      <w:tr w14:paraId="349DA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6A07A3A1">
            <w:pPr>
              <w:pStyle w:val="133"/>
              <w:rPr>
                <w:lang w:val="de-DE"/>
              </w:rPr>
            </w:pPr>
          </w:p>
        </w:tc>
        <w:tc>
          <w:tcPr>
            <w:tcW w:w="522" w:type="pct"/>
            <w:vMerge w:val="continue"/>
            <w:vAlign w:val="center"/>
          </w:tcPr>
          <w:p w14:paraId="421D47F5">
            <w:pPr>
              <w:pStyle w:val="133"/>
              <w:rPr>
                <w:lang w:val="de-DE"/>
              </w:rPr>
            </w:pPr>
          </w:p>
        </w:tc>
        <w:tc>
          <w:tcPr>
            <w:tcW w:w="911" w:type="pct"/>
            <w:vAlign w:val="center"/>
          </w:tcPr>
          <w:p w14:paraId="785E4E21">
            <w:pPr>
              <w:pStyle w:val="133"/>
            </w:pPr>
            <w:r>
              <w:rPr>
                <w:rFonts w:hint="eastAsia"/>
              </w:rPr>
              <w:t>大气环境</w:t>
            </w:r>
          </w:p>
          <w:p w14:paraId="54E836CE">
            <w:pPr>
              <w:pStyle w:val="133"/>
            </w:pPr>
            <w:r>
              <w:rPr>
                <w:rFonts w:hint="eastAsia"/>
              </w:rPr>
              <w:t>影响评价</w:t>
            </w:r>
          </w:p>
        </w:tc>
        <w:tc>
          <w:tcPr>
            <w:tcW w:w="1190" w:type="pct"/>
            <w:vAlign w:val="center"/>
          </w:tcPr>
          <w:p w14:paraId="6B8B6F8C">
            <w:pPr>
              <w:pStyle w:val="133"/>
            </w:pPr>
            <w:r>
              <w:rPr>
                <w:rFonts w:hint="eastAsia"/>
              </w:rPr>
              <w:t>废气污染源</w:t>
            </w:r>
          </w:p>
        </w:tc>
        <w:tc>
          <w:tcPr>
            <w:tcW w:w="1963" w:type="pct"/>
            <w:vAlign w:val="center"/>
          </w:tcPr>
          <w:p w14:paraId="5F435195">
            <w:pPr>
              <w:pStyle w:val="133"/>
            </w:pPr>
            <w:r>
              <w:rPr>
                <w:rFonts w:hint="eastAsia"/>
              </w:rP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、非甲烷总烃、氨、硫化氢、TSP、苯并[a]芘、酚类、氰化氢</w:t>
            </w:r>
          </w:p>
        </w:tc>
      </w:tr>
      <w:tr w14:paraId="11D0AE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1F31D80B">
            <w:pPr>
              <w:pStyle w:val="133"/>
            </w:pPr>
            <w:r>
              <w:rPr>
                <w:rFonts w:hint="eastAsia"/>
              </w:rPr>
              <w:t>水</w:t>
            </w:r>
          </w:p>
          <w:p w14:paraId="5639CF39">
            <w:pPr>
              <w:pStyle w:val="133"/>
            </w:pPr>
            <w:r>
              <w:rPr>
                <w:rFonts w:hint="eastAsia"/>
              </w:rPr>
              <w:t>环境</w:t>
            </w:r>
          </w:p>
        </w:tc>
        <w:tc>
          <w:tcPr>
            <w:tcW w:w="522" w:type="pct"/>
            <w:vMerge w:val="restart"/>
            <w:vAlign w:val="center"/>
          </w:tcPr>
          <w:p w14:paraId="02CFA483">
            <w:pPr>
              <w:pStyle w:val="133"/>
            </w:pPr>
            <w:r>
              <w:rPr>
                <w:rFonts w:hint="eastAsia"/>
              </w:rPr>
              <w:t>施工期</w:t>
            </w:r>
          </w:p>
        </w:tc>
        <w:tc>
          <w:tcPr>
            <w:tcW w:w="911" w:type="pct"/>
            <w:vMerge w:val="restart"/>
            <w:vAlign w:val="center"/>
          </w:tcPr>
          <w:p w14:paraId="72E6F128">
            <w:pPr>
              <w:pStyle w:val="133"/>
            </w:pPr>
            <w:r>
              <w:rPr>
                <w:rFonts w:hint="eastAsia"/>
              </w:rPr>
              <w:t>水环境</w:t>
            </w:r>
          </w:p>
          <w:p w14:paraId="20BE74E3">
            <w:pPr>
              <w:pStyle w:val="133"/>
            </w:pPr>
            <w:r>
              <w:rPr>
                <w:rFonts w:hint="eastAsia"/>
              </w:rPr>
              <w:t>影响分析</w:t>
            </w:r>
          </w:p>
        </w:tc>
        <w:tc>
          <w:tcPr>
            <w:tcW w:w="1190" w:type="pct"/>
            <w:vAlign w:val="center"/>
          </w:tcPr>
          <w:p w14:paraId="4596DB7E">
            <w:pPr>
              <w:pStyle w:val="133"/>
            </w:pPr>
            <w:r>
              <w:rPr>
                <w:rFonts w:hint="eastAsia"/>
              </w:rPr>
              <w:t>施工废水</w:t>
            </w:r>
          </w:p>
        </w:tc>
        <w:tc>
          <w:tcPr>
            <w:tcW w:w="1963" w:type="pct"/>
            <w:vAlign w:val="center"/>
          </w:tcPr>
          <w:p w14:paraId="476F3F00">
            <w:pPr>
              <w:pStyle w:val="133"/>
            </w:pPr>
            <w:r>
              <w:rPr>
                <w:rFonts w:hint="eastAsia"/>
              </w:rPr>
              <w:t>SS、石油类</w:t>
            </w:r>
          </w:p>
        </w:tc>
      </w:tr>
      <w:tr w14:paraId="0F1A0C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0DCCEE18">
            <w:pPr>
              <w:pStyle w:val="133"/>
            </w:pPr>
          </w:p>
        </w:tc>
        <w:tc>
          <w:tcPr>
            <w:tcW w:w="522" w:type="pct"/>
            <w:vMerge w:val="continue"/>
            <w:vAlign w:val="center"/>
          </w:tcPr>
          <w:p w14:paraId="09D6C93E">
            <w:pPr>
              <w:pStyle w:val="133"/>
            </w:pPr>
          </w:p>
        </w:tc>
        <w:tc>
          <w:tcPr>
            <w:tcW w:w="911" w:type="pct"/>
            <w:vMerge w:val="continue"/>
            <w:vAlign w:val="center"/>
          </w:tcPr>
          <w:p w14:paraId="0FF2FDAF">
            <w:pPr>
              <w:pStyle w:val="133"/>
            </w:pPr>
          </w:p>
        </w:tc>
        <w:tc>
          <w:tcPr>
            <w:tcW w:w="1190" w:type="pct"/>
            <w:vAlign w:val="center"/>
          </w:tcPr>
          <w:p w14:paraId="77FAD1DA">
            <w:pPr>
              <w:pStyle w:val="133"/>
            </w:pPr>
            <w:r>
              <w:rPr>
                <w:rFonts w:hint="eastAsia"/>
              </w:rPr>
              <w:t>生活污水</w:t>
            </w:r>
          </w:p>
        </w:tc>
        <w:tc>
          <w:tcPr>
            <w:tcW w:w="1963" w:type="pct"/>
            <w:vAlign w:val="center"/>
          </w:tcPr>
          <w:p w14:paraId="6C5189A2">
            <w:pPr>
              <w:pStyle w:val="133"/>
            </w:pPr>
            <w:r>
              <w:rPr>
                <w:rFonts w:hint="eastAsia"/>
              </w:rPr>
              <w:t>SS、COD</w:t>
            </w:r>
            <w:r>
              <w:rPr>
                <w:rFonts w:hint="eastAsia"/>
                <w:vertAlign w:val="subscript"/>
              </w:rPr>
              <w:t>cr</w:t>
            </w:r>
            <w:r>
              <w:rPr>
                <w:rFonts w:hint="eastAsia"/>
              </w:rPr>
              <w:t>、BOD</w:t>
            </w:r>
            <w:r>
              <w:rPr>
                <w:rFonts w:hint="eastAsia"/>
                <w:vertAlign w:val="subscript"/>
              </w:rPr>
              <w:t>5</w:t>
            </w:r>
            <w:r>
              <w:rPr>
                <w:rFonts w:hint="eastAsia"/>
              </w:rPr>
              <w:t>、NH</w:t>
            </w:r>
            <w:r>
              <w:rPr>
                <w:rFonts w:hint="eastAsia"/>
                <w:vertAlign w:val="subscript"/>
              </w:rPr>
              <w:t>3</w:t>
            </w:r>
            <w:r>
              <w:rPr>
                <w:rFonts w:hint="eastAsia"/>
              </w:rPr>
              <w:t>-N</w:t>
            </w:r>
            <w:r>
              <w:t>等</w:t>
            </w:r>
          </w:p>
        </w:tc>
      </w:tr>
      <w:tr w14:paraId="1A609F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7558C650">
            <w:pPr>
              <w:pStyle w:val="133"/>
            </w:pPr>
          </w:p>
        </w:tc>
        <w:tc>
          <w:tcPr>
            <w:tcW w:w="522" w:type="pct"/>
            <w:vMerge w:val="restart"/>
            <w:vAlign w:val="center"/>
          </w:tcPr>
          <w:p w14:paraId="69BCE14C">
            <w:pPr>
              <w:pStyle w:val="133"/>
            </w:pPr>
            <w:r>
              <w:rPr>
                <w:rFonts w:hint="eastAsia"/>
              </w:rPr>
              <w:t>运营期</w:t>
            </w:r>
          </w:p>
        </w:tc>
        <w:tc>
          <w:tcPr>
            <w:tcW w:w="911" w:type="pct"/>
            <w:vAlign w:val="center"/>
          </w:tcPr>
          <w:p w14:paraId="0E1C12BB">
            <w:pPr>
              <w:pStyle w:val="133"/>
            </w:pPr>
            <w:r>
              <w:rPr>
                <w:rFonts w:hint="eastAsia"/>
              </w:rPr>
              <w:t>水环境质量现状评价</w:t>
            </w:r>
          </w:p>
        </w:tc>
        <w:tc>
          <w:tcPr>
            <w:tcW w:w="1190" w:type="pct"/>
            <w:vAlign w:val="center"/>
          </w:tcPr>
          <w:p w14:paraId="6607358C">
            <w:pPr>
              <w:pStyle w:val="133"/>
            </w:pPr>
            <w:r>
              <w:rPr>
                <w:rFonts w:hint="eastAsia"/>
              </w:rPr>
              <w:t>地下水环境</w:t>
            </w:r>
          </w:p>
          <w:p w14:paraId="3D9E1CBE">
            <w:pPr>
              <w:pStyle w:val="133"/>
            </w:pPr>
            <w:r>
              <w:rPr>
                <w:rFonts w:hint="eastAsia"/>
              </w:rPr>
              <w:t>质量现状</w:t>
            </w:r>
          </w:p>
        </w:tc>
        <w:tc>
          <w:tcPr>
            <w:tcW w:w="1963" w:type="pct"/>
            <w:vAlign w:val="center"/>
          </w:tcPr>
          <w:p w14:paraId="75C1798A">
            <w:pPr>
              <w:pStyle w:val="133"/>
            </w:pPr>
            <w:r>
              <w:t>pH、氨氮、硝酸盐</w:t>
            </w:r>
            <w:r>
              <w:rPr>
                <w:rFonts w:hint="eastAsia"/>
              </w:rPr>
              <w:t>、</w:t>
            </w:r>
            <w:r>
              <w:t>亚硝酸盐</w:t>
            </w:r>
            <w:r>
              <w:rPr>
                <w:rFonts w:hint="eastAsia"/>
              </w:rPr>
              <w:t>、</w:t>
            </w:r>
            <w:r>
              <w:t>挥发</w:t>
            </w:r>
            <w:r>
              <w:rPr>
                <w:rFonts w:hint="eastAsia"/>
              </w:rPr>
              <w:t>性</w:t>
            </w:r>
            <w:r>
              <w:t>酚</w:t>
            </w:r>
            <w:r>
              <w:rPr>
                <w:rFonts w:hint="eastAsia"/>
              </w:rPr>
              <w:t>类、</w:t>
            </w:r>
            <w:r>
              <w:t>氰化物、砷、汞、</w:t>
            </w:r>
            <w:r>
              <w:rPr>
                <w:rFonts w:hint="eastAsia"/>
              </w:rPr>
              <w:t>铬（六价）、</w:t>
            </w:r>
            <w:r>
              <w:t>总硬度</w:t>
            </w:r>
            <w:r>
              <w:rPr>
                <w:rFonts w:hint="eastAsia"/>
              </w:rPr>
              <w:t>、</w:t>
            </w:r>
            <w:r>
              <w:t>铅</w:t>
            </w:r>
            <w:r>
              <w:rPr>
                <w:rFonts w:hint="eastAsia"/>
              </w:rPr>
              <w:t>、</w:t>
            </w:r>
            <w:r>
              <w:t>氟</w:t>
            </w:r>
            <w:r>
              <w:rPr>
                <w:rFonts w:hint="eastAsia"/>
              </w:rPr>
              <w:t>、</w:t>
            </w:r>
            <w:r>
              <w:t>镉</w:t>
            </w:r>
            <w:r>
              <w:rPr>
                <w:rFonts w:hint="eastAsia"/>
              </w:rPr>
              <w:t>、铁、锰、</w:t>
            </w:r>
            <w:r>
              <w:t>溶解性总固体、</w:t>
            </w:r>
            <w:r>
              <w:rPr>
                <w:rFonts w:hint="eastAsia"/>
              </w:rPr>
              <w:t>高锰酸盐指数、</w:t>
            </w:r>
            <w:r>
              <w:t>硫酸盐、氯化物、</w:t>
            </w:r>
            <w:r>
              <w:rPr>
                <w:rFonts w:hint="eastAsia"/>
              </w:rPr>
              <w:t>总大肠杆菌群、细菌总数、石油类、苯、甲苯、苯并芘、</w:t>
            </w:r>
            <w:r>
              <w:rPr>
                <w:snapToGrid w:val="0"/>
              </w:rPr>
              <w:t>K</w:t>
            </w:r>
            <w:r>
              <w:rPr>
                <w:snapToGrid w:val="0"/>
                <w:vertAlign w:val="superscript"/>
              </w:rPr>
              <w:t>+</w:t>
            </w:r>
            <w:r>
              <w:rPr>
                <w:rFonts w:hint="eastAsia"/>
                <w:snapToGrid w:val="0"/>
              </w:rPr>
              <w:t>、</w:t>
            </w:r>
            <w:r>
              <w:rPr>
                <w:snapToGrid w:val="0"/>
              </w:rPr>
              <w:t>Ca</w:t>
            </w:r>
            <w:r>
              <w:rPr>
                <w:snapToGrid w:val="0"/>
                <w:vertAlign w:val="superscript"/>
              </w:rPr>
              <w:t>2+</w:t>
            </w:r>
            <w:r>
              <w:rPr>
                <w:rFonts w:hint="eastAsia"/>
                <w:snapToGrid w:val="0"/>
              </w:rPr>
              <w:t>、</w:t>
            </w:r>
            <w:r>
              <w:rPr>
                <w:snapToGrid w:val="0"/>
              </w:rPr>
              <w:t>Na</w:t>
            </w:r>
            <w:r>
              <w:rPr>
                <w:snapToGrid w:val="0"/>
                <w:vertAlign w:val="superscript"/>
              </w:rPr>
              <w:t>+</w:t>
            </w:r>
            <w:r>
              <w:rPr>
                <w:rFonts w:hint="eastAsia"/>
                <w:snapToGrid w:val="0"/>
              </w:rPr>
              <w:t>、</w:t>
            </w:r>
            <w:r>
              <w:rPr>
                <w:snapToGrid w:val="0"/>
              </w:rPr>
              <w:t>Mg</w:t>
            </w:r>
            <w:r>
              <w:rPr>
                <w:snapToGrid w:val="0"/>
                <w:vertAlign w:val="superscript"/>
              </w:rPr>
              <w:t>2+</w:t>
            </w:r>
            <w:r>
              <w:rPr>
                <w:rFonts w:hint="eastAsia"/>
                <w:snapToGrid w:val="0"/>
              </w:rPr>
              <w:t>、</w:t>
            </w:r>
            <w:r>
              <w:rPr>
                <w:snapToGrid w:val="0"/>
              </w:rPr>
              <w:t>CO</w:t>
            </w:r>
            <w:r>
              <w:rPr>
                <w:snapToGrid w:val="0"/>
                <w:vertAlign w:val="subscript"/>
              </w:rPr>
              <w:t>3</w:t>
            </w:r>
            <w:r>
              <w:rPr>
                <w:snapToGrid w:val="0"/>
                <w:vertAlign w:val="superscript"/>
              </w:rPr>
              <w:t>2-</w:t>
            </w:r>
            <w:r>
              <w:rPr>
                <w:rFonts w:hint="eastAsia"/>
                <w:snapToGrid w:val="0"/>
              </w:rPr>
              <w:t>、</w:t>
            </w:r>
            <w:r>
              <w:rPr>
                <w:snapToGrid w:val="0"/>
              </w:rPr>
              <w:t>HCO</w:t>
            </w:r>
            <w:r>
              <w:rPr>
                <w:snapToGrid w:val="0"/>
                <w:vertAlign w:val="subscript"/>
              </w:rPr>
              <w:t>3</w:t>
            </w:r>
            <w:r>
              <w:rPr>
                <w:snapToGrid w:val="0"/>
                <w:vertAlign w:val="superscript"/>
              </w:rPr>
              <w:t>-</w:t>
            </w:r>
            <w:r>
              <w:rPr>
                <w:rFonts w:hint="eastAsia"/>
                <w:snapToGrid w:val="0"/>
              </w:rPr>
              <w:t>、</w:t>
            </w:r>
            <w:r>
              <w:rPr>
                <w:snapToGrid w:val="0"/>
              </w:rPr>
              <w:t>Cl</w:t>
            </w:r>
            <w:r>
              <w:rPr>
                <w:snapToGrid w:val="0"/>
                <w:vertAlign w:val="superscript"/>
              </w:rPr>
              <w:t>-</w:t>
            </w:r>
            <w:r>
              <w:rPr>
                <w:rFonts w:hint="eastAsia"/>
                <w:snapToGrid w:val="0"/>
              </w:rPr>
              <w:t>、</w:t>
            </w:r>
            <w:r>
              <w:rPr>
                <w:snapToGrid w:val="0"/>
              </w:rPr>
              <w:t>SO</w:t>
            </w:r>
            <w:r>
              <w:rPr>
                <w:snapToGrid w:val="0"/>
                <w:vertAlign w:val="subscript"/>
              </w:rPr>
              <w:t>4</w:t>
            </w:r>
            <w:r>
              <w:rPr>
                <w:snapToGrid w:val="0"/>
                <w:vertAlign w:val="superscript"/>
              </w:rPr>
              <w:t>2-</w:t>
            </w:r>
          </w:p>
        </w:tc>
      </w:tr>
      <w:tr w14:paraId="56EC09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07C5F33C">
            <w:pPr>
              <w:pStyle w:val="133"/>
            </w:pPr>
          </w:p>
        </w:tc>
        <w:tc>
          <w:tcPr>
            <w:tcW w:w="522" w:type="pct"/>
            <w:vMerge w:val="continue"/>
            <w:vAlign w:val="center"/>
          </w:tcPr>
          <w:p w14:paraId="5010FF64">
            <w:pPr>
              <w:pStyle w:val="133"/>
            </w:pPr>
          </w:p>
        </w:tc>
        <w:tc>
          <w:tcPr>
            <w:tcW w:w="911" w:type="pct"/>
            <w:vAlign w:val="center"/>
          </w:tcPr>
          <w:p w14:paraId="37227AD1">
            <w:pPr>
              <w:pStyle w:val="133"/>
            </w:pPr>
            <w:r>
              <w:rPr>
                <w:rFonts w:hint="eastAsia"/>
              </w:rPr>
              <w:t>水环境</w:t>
            </w:r>
          </w:p>
          <w:p w14:paraId="40CE7573">
            <w:pPr>
              <w:pStyle w:val="133"/>
            </w:pPr>
            <w:r>
              <w:rPr>
                <w:rFonts w:hint="eastAsia"/>
              </w:rPr>
              <w:t>影响分析</w:t>
            </w:r>
          </w:p>
        </w:tc>
        <w:tc>
          <w:tcPr>
            <w:tcW w:w="1190" w:type="pct"/>
            <w:vAlign w:val="center"/>
          </w:tcPr>
          <w:p w14:paraId="4B7C883B">
            <w:pPr>
              <w:pStyle w:val="133"/>
            </w:pPr>
            <w:r>
              <w:rPr>
                <w:rFonts w:hint="eastAsia"/>
              </w:rPr>
              <w:t>剩余氨水、软水制备废水、循环水排污水、烟气治理废水、生活污水等</w:t>
            </w:r>
          </w:p>
        </w:tc>
        <w:tc>
          <w:tcPr>
            <w:tcW w:w="1963" w:type="pct"/>
            <w:vAlign w:val="center"/>
          </w:tcPr>
          <w:p w14:paraId="038315E8">
            <w:pPr>
              <w:pStyle w:val="133"/>
            </w:pPr>
            <w:r>
              <w:rPr>
                <w:rFonts w:hint="eastAsia"/>
              </w:rPr>
              <w:t>COD、石油类、氨氮、挥发酚、硫化物、氰化物</w:t>
            </w:r>
          </w:p>
        </w:tc>
      </w:tr>
      <w:tr w14:paraId="6C904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384575C1">
            <w:pPr>
              <w:pStyle w:val="133"/>
            </w:pPr>
            <w:r>
              <w:rPr>
                <w:rFonts w:hint="eastAsia"/>
              </w:rPr>
              <w:t>声</w:t>
            </w:r>
          </w:p>
          <w:p w14:paraId="5BC350D7">
            <w:pPr>
              <w:pStyle w:val="133"/>
            </w:pPr>
            <w:r>
              <w:rPr>
                <w:rFonts w:hint="eastAsia"/>
              </w:rPr>
              <w:t>环境</w:t>
            </w:r>
          </w:p>
        </w:tc>
        <w:tc>
          <w:tcPr>
            <w:tcW w:w="522" w:type="pct"/>
            <w:vMerge w:val="restart"/>
            <w:vAlign w:val="center"/>
          </w:tcPr>
          <w:p w14:paraId="6F013F3D">
            <w:pPr>
              <w:pStyle w:val="133"/>
            </w:pPr>
            <w:r>
              <w:rPr>
                <w:rFonts w:hint="eastAsia"/>
              </w:rPr>
              <w:t>施工期</w:t>
            </w:r>
          </w:p>
        </w:tc>
        <w:tc>
          <w:tcPr>
            <w:tcW w:w="911" w:type="pct"/>
            <w:vMerge w:val="restart"/>
            <w:vAlign w:val="center"/>
          </w:tcPr>
          <w:p w14:paraId="1DE40006">
            <w:pPr>
              <w:pStyle w:val="133"/>
            </w:pPr>
            <w:r>
              <w:rPr>
                <w:rFonts w:hint="eastAsia"/>
              </w:rPr>
              <w:t>声环境</w:t>
            </w:r>
          </w:p>
          <w:p w14:paraId="4EE19935">
            <w:pPr>
              <w:pStyle w:val="133"/>
            </w:pPr>
            <w:r>
              <w:rPr>
                <w:rFonts w:hint="eastAsia"/>
              </w:rPr>
              <w:t>影响分析</w:t>
            </w:r>
          </w:p>
        </w:tc>
        <w:tc>
          <w:tcPr>
            <w:tcW w:w="1190" w:type="pct"/>
            <w:vAlign w:val="center"/>
          </w:tcPr>
          <w:p w14:paraId="3FBF547B">
            <w:pPr>
              <w:pStyle w:val="133"/>
            </w:pPr>
            <w:r>
              <w:rPr>
                <w:rFonts w:hint="eastAsia"/>
              </w:rPr>
              <w:t>施工设备机械</w:t>
            </w:r>
          </w:p>
          <w:p w14:paraId="2A18BE70">
            <w:pPr>
              <w:pStyle w:val="133"/>
            </w:pPr>
            <w:r>
              <w:rPr>
                <w:rFonts w:hint="eastAsia"/>
              </w:rPr>
              <w:t>和空气动力性噪声</w:t>
            </w:r>
          </w:p>
        </w:tc>
        <w:tc>
          <w:tcPr>
            <w:tcW w:w="1963" w:type="pct"/>
            <w:vMerge w:val="restart"/>
            <w:vAlign w:val="center"/>
          </w:tcPr>
          <w:p w14:paraId="124E9AAB">
            <w:pPr>
              <w:pStyle w:val="133"/>
            </w:pPr>
            <w:r>
              <w:rPr>
                <w:rFonts w:hint="eastAsia"/>
              </w:rPr>
              <w:t>连续等效A声级</w:t>
            </w:r>
          </w:p>
        </w:tc>
      </w:tr>
      <w:tr w14:paraId="36246C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76D90418">
            <w:pPr>
              <w:pStyle w:val="133"/>
            </w:pPr>
          </w:p>
        </w:tc>
        <w:tc>
          <w:tcPr>
            <w:tcW w:w="522" w:type="pct"/>
            <w:vMerge w:val="continue"/>
            <w:vAlign w:val="center"/>
          </w:tcPr>
          <w:p w14:paraId="7E7F08B9">
            <w:pPr>
              <w:pStyle w:val="133"/>
            </w:pPr>
          </w:p>
        </w:tc>
        <w:tc>
          <w:tcPr>
            <w:tcW w:w="911" w:type="pct"/>
            <w:vMerge w:val="continue"/>
            <w:vAlign w:val="center"/>
          </w:tcPr>
          <w:p w14:paraId="6A7E92B9">
            <w:pPr>
              <w:pStyle w:val="133"/>
            </w:pPr>
          </w:p>
        </w:tc>
        <w:tc>
          <w:tcPr>
            <w:tcW w:w="1190" w:type="pct"/>
            <w:vAlign w:val="center"/>
          </w:tcPr>
          <w:p w14:paraId="14CFA43E">
            <w:pPr>
              <w:pStyle w:val="133"/>
            </w:pPr>
            <w:r>
              <w:rPr>
                <w:rFonts w:hint="eastAsia"/>
              </w:rPr>
              <w:t>车辆交通噪声</w:t>
            </w:r>
          </w:p>
        </w:tc>
        <w:tc>
          <w:tcPr>
            <w:tcW w:w="1963" w:type="pct"/>
            <w:vMerge w:val="continue"/>
            <w:vAlign w:val="center"/>
          </w:tcPr>
          <w:p w14:paraId="7CDC9A9D">
            <w:pPr>
              <w:pStyle w:val="133"/>
            </w:pPr>
          </w:p>
        </w:tc>
      </w:tr>
      <w:tr w14:paraId="1B4F65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2E6EC060">
            <w:pPr>
              <w:pStyle w:val="133"/>
            </w:pPr>
          </w:p>
        </w:tc>
        <w:tc>
          <w:tcPr>
            <w:tcW w:w="522" w:type="pct"/>
            <w:vMerge w:val="restart"/>
            <w:vAlign w:val="center"/>
          </w:tcPr>
          <w:p w14:paraId="69D6FCC9">
            <w:pPr>
              <w:pStyle w:val="133"/>
            </w:pPr>
            <w:r>
              <w:rPr>
                <w:rFonts w:hint="eastAsia"/>
              </w:rPr>
              <w:t>运营期</w:t>
            </w:r>
          </w:p>
        </w:tc>
        <w:tc>
          <w:tcPr>
            <w:tcW w:w="911" w:type="pct"/>
            <w:vAlign w:val="center"/>
          </w:tcPr>
          <w:p w14:paraId="77ACAA05">
            <w:pPr>
              <w:pStyle w:val="133"/>
            </w:pPr>
            <w:r>
              <w:rPr>
                <w:rFonts w:hint="eastAsia"/>
              </w:rPr>
              <w:t>声环境质量</w:t>
            </w:r>
          </w:p>
          <w:p w14:paraId="36037D73">
            <w:pPr>
              <w:pStyle w:val="133"/>
            </w:pPr>
            <w:r>
              <w:rPr>
                <w:rFonts w:hint="eastAsia"/>
              </w:rPr>
              <w:t>现状评价</w:t>
            </w:r>
          </w:p>
        </w:tc>
        <w:tc>
          <w:tcPr>
            <w:tcW w:w="1190" w:type="pct"/>
            <w:vAlign w:val="center"/>
          </w:tcPr>
          <w:p w14:paraId="3EF07387">
            <w:pPr>
              <w:pStyle w:val="133"/>
            </w:pPr>
            <w:r>
              <w:rPr>
                <w:rFonts w:hint="eastAsia"/>
              </w:rPr>
              <w:t>声环境质量现状</w:t>
            </w:r>
          </w:p>
        </w:tc>
        <w:tc>
          <w:tcPr>
            <w:tcW w:w="1963" w:type="pct"/>
            <w:vMerge w:val="continue"/>
            <w:vAlign w:val="center"/>
          </w:tcPr>
          <w:p w14:paraId="298CD836">
            <w:pPr>
              <w:pStyle w:val="133"/>
            </w:pPr>
          </w:p>
        </w:tc>
      </w:tr>
      <w:tr w14:paraId="6B9A9E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4FE6C6AD">
            <w:pPr>
              <w:pStyle w:val="133"/>
            </w:pPr>
          </w:p>
        </w:tc>
        <w:tc>
          <w:tcPr>
            <w:tcW w:w="522" w:type="pct"/>
            <w:vMerge w:val="continue"/>
            <w:vAlign w:val="center"/>
          </w:tcPr>
          <w:p w14:paraId="6360BD14">
            <w:pPr>
              <w:pStyle w:val="133"/>
            </w:pPr>
          </w:p>
        </w:tc>
        <w:tc>
          <w:tcPr>
            <w:tcW w:w="911" w:type="pct"/>
            <w:vMerge w:val="restart"/>
            <w:vAlign w:val="center"/>
          </w:tcPr>
          <w:p w14:paraId="11428721">
            <w:pPr>
              <w:pStyle w:val="133"/>
            </w:pPr>
            <w:r>
              <w:rPr>
                <w:rFonts w:hint="eastAsia"/>
              </w:rPr>
              <w:t>声环境</w:t>
            </w:r>
          </w:p>
          <w:p w14:paraId="4046AED1">
            <w:pPr>
              <w:pStyle w:val="133"/>
            </w:pPr>
            <w:r>
              <w:rPr>
                <w:rFonts w:hint="eastAsia"/>
              </w:rPr>
              <w:t>影响评价</w:t>
            </w:r>
          </w:p>
        </w:tc>
        <w:tc>
          <w:tcPr>
            <w:tcW w:w="1190" w:type="pct"/>
            <w:vAlign w:val="center"/>
          </w:tcPr>
          <w:p w14:paraId="72AD59BF">
            <w:pPr>
              <w:pStyle w:val="133"/>
            </w:pPr>
            <w:r>
              <w:rPr>
                <w:rFonts w:hint="eastAsia"/>
              </w:rPr>
              <w:t>设备机械和</w:t>
            </w:r>
          </w:p>
          <w:p w14:paraId="7F58DBB6">
            <w:pPr>
              <w:pStyle w:val="133"/>
            </w:pPr>
            <w:r>
              <w:rPr>
                <w:rFonts w:hint="eastAsia"/>
              </w:rPr>
              <w:t>空气动力性噪声</w:t>
            </w:r>
          </w:p>
        </w:tc>
        <w:tc>
          <w:tcPr>
            <w:tcW w:w="1963" w:type="pct"/>
            <w:vMerge w:val="continue"/>
            <w:vAlign w:val="center"/>
          </w:tcPr>
          <w:p w14:paraId="0EF1C18B">
            <w:pPr>
              <w:pStyle w:val="133"/>
            </w:pPr>
          </w:p>
        </w:tc>
      </w:tr>
      <w:tr w14:paraId="1FC716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25C640FF">
            <w:pPr>
              <w:pStyle w:val="133"/>
            </w:pPr>
          </w:p>
        </w:tc>
        <w:tc>
          <w:tcPr>
            <w:tcW w:w="522" w:type="pct"/>
            <w:vMerge w:val="continue"/>
            <w:vAlign w:val="center"/>
          </w:tcPr>
          <w:p w14:paraId="41B82AB6">
            <w:pPr>
              <w:pStyle w:val="133"/>
            </w:pPr>
          </w:p>
        </w:tc>
        <w:tc>
          <w:tcPr>
            <w:tcW w:w="911" w:type="pct"/>
            <w:vMerge w:val="continue"/>
            <w:vAlign w:val="center"/>
          </w:tcPr>
          <w:p w14:paraId="514B6B2C">
            <w:pPr>
              <w:pStyle w:val="133"/>
            </w:pPr>
          </w:p>
        </w:tc>
        <w:tc>
          <w:tcPr>
            <w:tcW w:w="1190" w:type="pct"/>
            <w:vAlign w:val="center"/>
          </w:tcPr>
          <w:p w14:paraId="555B55C5">
            <w:pPr>
              <w:pStyle w:val="133"/>
            </w:pPr>
            <w:r>
              <w:rPr>
                <w:rFonts w:hint="eastAsia"/>
              </w:rPr>
              <w:t>车辆交通噪声</w:t>
            </w:r>
          </w:p>
        </w:tc>
        <w:tc>
          <w:tcPr>
            <w:tcW w:w="1963" w:type="pct"/>
            <w:vMerge w:val="continue"/>
            <w:vAlign w:val="center"/>
          </w:tcPr>
          <w:p w14:paraId="2BF637CA">
            <w:pPr>
              <w:pStyle w:val="133"/>
            </w:pPr>
          </w:p>
        </w:tc>
      </w:tr>
      <w:tr w14:paraId="16F8DF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33B0551B">
            <w:pPr>
              <w:pStyle w:val="133"/>
            </w:pPr>
            <w:r>
              <w:rPr>
                <w:rFonts w:hint="eastAsia"/>
              </w:rPr>
              <w:t>固废</w:t>
            </w:r>
          </w:p>
        </w:tc>
        <w:tc>
          <w:tcPr>
            <w:tcW w:w="522" w:type="pct"/>
            <w:vMerge w:val="restart"/>
            <w:vAlign w:val="center"/>
          </w:tcPr>
          <w:p w14:paraId="0EBDB651">
            <w:pPr>
              <w:pStyle w:val="133"/>
            </w:pPr>
            <w:r>
              <w:rPr>
                <w:rFonts w:hint="eastAsia"/>
              </w:rPr>
              <w:t>施工期</w:t>
            </w:r>
          </w:p>
        </w:tc>
        <w:tc>
          <w:tcPr>
            <w:tcW w:w="911" w:type="pct"/>
            <w:vMerge w:val="restart"/>
            <w:vAlign w:val="center"/>
          </w:tcPr>
          <w:p w14:paraId="1F07FC2C">
            <w:pPr>
              <w:pStyle w:val="133"/>
            </w:pPr>
            <w:r>
              <w:rPr>
                <w:rFonts w:hint="eastAsia"/>
              </w:rPr>
              <w:t>固废影响分析</w:t>
            </w:r>
          </w:p>
        </w:tc>
        <w:tc>
          <w:tcPr>
            <w:tcW w:w="1190" w:type="pct"/>
            <w:vAlign w:val="center"/>
          </w:tcPr>
          <w:p w14:paraId="1061E70C">
            <w:pPr>
              <w:pStyle w:val="133"/>
            </w:pPr>
            <w:r>
              <w:rPr>
                <w:rFonts w:hint="eastAsia"/>
              </w:rPr>
              <w:t>施工垃圾</w:t>
            </w:r>
          </w:p>
        </w:tc>
        <w:tc>
          <w:tcPr>
            <w:tcW w:w="1963" w:type="pct"/>
            <w:vAlign w:val="center"/>
          </w:tcPr>
          <w:p w14:paraId="16E980A4">
            <w:pPr>
              <w:pStyle w:val="133"/>
            </w:pPr>
            <w:r>
              <w:rPr>
                <w:rFonts w:hint="eastAsia"/>
              </w:rPr>
              <w:t>一般工业固废</w:t>
            </w:r>
          </w:p>
        </w:tc>
      </w:tr>
      <w:tr w14:paraId="236C5F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64ADCB14">
            <w:pPr>
              <w:pStyle w:val="133"/>
            </w:pPr>
          </w:p>
        </w:tc>
        <w:tc>
          <w:tcPr>
            <w:tcW w:w="522" w:type="pct"/>
            <w:vMerge w:val="continue"/>
            <w:vAlign w:val="center"/>
          </w:tcPr>
          <w:p w14:paraId="7A54ACC8">
            <w:pPr>
              <w:pStyle w:val="133"/>
            </w:pPr>
          </w:p>
        </w:tc>
        <w:tc>
          <w:tcPr>
            <w:tcW w:w="911" w:type="pct"/>
            <w:vMerge w:val="continue"/>
            <w:vAlign w:val="center"/>
          </w:tcPr>
          <w:p w14:paraId="1D7571CA">
            <w:pPr>
              <w:pStyle w:val="133"/>
            </w:pPr>
          </w:p>
        </w:tc>
        <w:tc>
          <w:tcPr>
            <w:tcW w:w="1190" w:type="pct"/>
            <w:vAlign w:val="center"/>
          </w:tcPr>
          <w:p w14:paraId="3D9B130C">
            <w:pPr>
              <w:pStyle w:val="133"/>
            </w:pPr>
            <w:r>
              <w:rPr>
                <w:rFonts w:hint="eastAsia"/>
              </w:rPr>
              <w:t>生活垃圾</w:t>
            </w:r>
          </w:p>
        </w:tc>
        <w:tc>
          <w:tcPr>
            <w:tcW w:w="1963" w:type="pct"/>
            <w:vAlign w:val="center"/>
          </w:tcPr>
          <w:p w14:paraId="013683D6">
            <w:pPr>
              <w:pStyle w:val="133"/>
            </w:pPr>
            <w:r>
              <w:rPr>
                <w:rFonts w:hint="eastAsia"/>
              </w:rPr>
              <w:t>生活垃圾</w:t>
            </w:r>
          </w:p>
        </w:tc>
      </w:tr>
      <w:tr w14:paraId="374FB7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52" w:hRule="atLeast"/>
          <w:jc w:val="center"/>
        </w:trPr>
        <w:tc>
          <w:tcPr>
            <w:tcW w:w="414" w:type="pct"/>
            <w:vMerge w:val="continue"/>
            <w:tcBorders>
              <w:bottom w:val="single" w:color="000000" w:sz="4" w:space="0"/>
            </w:tcBorders>
            <w:vAlign w:val="center"/>
          </w:tcPr>
          <w:p w14:paraId="0F935C97">
            <w:pPr>
              <w:pStyle w:val="133"/>
            </w:pPr>
          </w:p>
        </w:tc>
        <w:tc>
          <w:tcPr>
            <w:tcW w:w="522" w:type="pct"/>
            <w:vMerge w:val="restart"/>
            <w:tcBorders>
              <w:bottom w:val="single" w:color="000000" w:sz="4" w:space="0"/>
            </w:tcBorders>
            <w:vAlign w:val="center"/>
          </w:tcPr>
          <w:p w14:paraId="2353B7C1">
            <w:pPr>
              <w:pStyle w:val="133"/>
            </w:pPr>
            <w:r>
              <w:rPr>
                <w:rFonts w:hint="eastAsia"/>
              </w:rPr>
              <w:t>运营期</w:t>
            </w:r>
          </w:p>
        </w:tc>
        <w:tc>
          <w:tcPr>
            <w:tcW w:w="911" w:type="pct"/>
            <w:vMerge w:val="restart"/>
            <w:tcBorders>
              <w:bottom w:val="single" w:color="000000" w:sz="4" w:space="0"/>
            </w:tcBorders>
            <w:vAlign w:val="center"/>
          </w:tcPr>
          <w:p w14:paraId="5DBD2D5B">
            <w:pPr>
              <w:pStyle w:val="133"/>
            </w:pPr>
            <w:r>
              <w:rPr>
                <w:rFonts w:hint="eastAsia"/>
              </w:rPr>
              <w:t>固废</w:t>
            </w:r>
          </w:p>
          <w:p w14:paraId="3D81F422">
            <w:pPr>
              <w:pStyle w:val="133"/>
            </w:pPr>
            <w:r>
              <w:rPr>
                <w:rFonts w:hint="eastAsia"/>
              </w:rPr>
              <w:t>影响分析</w:t>
            </w:r>
          </w:p>
        </w:tc>
        <w:tc>
          <w:tcPr>
            <w:tcW w:w="1190" w:type="pct"/>
            <w:tcBorders>
              <w:bottom w:val="single" w:color="000000" w:sz="4" w:space="0"/>
            </w:tcBorders>
            <w:vAlign w:val="center"/>
          </w:tcPr>
          <w:p w14:paraId="3D7F8615">
            <w:pPr>
              <w:pStyle w:val="133"/>
            </w:pPr>
            <w:r>
              <w:rPr>
                <w:rFonts w:hint="eastAsia"/>
              </w:rPr>
              <w:t>焦油渣、废水处理废液、废润滑油、废活性炭</w:t>
            </w:r>
          </w:p>
        </w:tc>
        <w:tc>
          <w:tcPr>
            <w:tcW w:w="1963" w:type="pct"/>
            <w:tcBorders>
              <w:bottom w:val="single" w:color="000000" w:sz="4" w:space="0"/>
            </w:tcBorders>
            <w:vAlign w:val="center"/>
          </w:tcPr>
          <w:p w14:paraId="6047A347">
            <w:pPr>
              <w:pStyle w:val="133"/>
            </w:pPr>
            <w:r>
              <w:rPr>
                <w:rFonts w:hint="eastAsia"/>
              </w:rPr>
              <w:t>危险废物</w:t>
            </w:r>
          </w:p>
        </w:tc>
      </w:tr>
      <w:tr w14:paraId="720592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452" w:hRule="atLeast"/>
          <w:jc w:val="center"/>
        </w:trPr>
        <w:tc>
          <w:tcPr>
            <w:tcW w:w="414" w:type="pct"/>
            <w:vMerge w:val="continue"/>
            <w:tcBorders>
              <w:bottom w:val="single" w:color="000000" w:sz="4" w:space="0"/>
            </w:tcBorders>
            <w:vAlign w:val="center"/>
          </w:tcPr>
          <w:p w14:paraId="084D16F7">
            <w:pPr>
              <w:pStyle w:val="133"/>
            </w:pPr>
          </w:p>
        </w:tc>
        <w:tc>
          <w:tcPr>
            <w:tcW w:w="522" w:type="pct"/>
            <w:vMerge w:val="continue"/>
            <w:tcBorders>
              <w:bottom w:val="single" w:color="000000" w:sz="4" w:space="0"/>
            </w:tcBorders>
            <w:vAlign w:val="center"/>
          </w:tcPr>
          <w:p w14:paraId="1076C35F">
            <w:pPr>
              <w:pStyle w:val="133"/>
            </w:pPr>
          </w:p>
        </w:tc>
        <w:tc>
          <w:tcPr>
            <w:tcW w:w="911" w:type="pct"/>
            <w:vMerge w:val="continue"/>
            <w:tcBorders>
              <w:bottom w:val="single" w:color="000000" w:sz="4" w:space="0"/>
            </w:tcBorders>
            <w:vAlign w:val="center"/>
          </w:tcPr>
          <w:p w14:paraId="3731CB7C">
            <w:pPr>
              <w:pStyle w:val="133"/>
            </w:pPr>
          </w:p>
        </w:tc>
        <w:tc>
          <w:tcPr>
            <w:tcW w:w="1190" w:type="pct"/>
            <w:tcBorders>
              <w:bottom w:val="single" w:color="000000" w:sz="4" w:space="0"/>
            </w:tcBorders>
            <w:vAlign w:val="center"/>
          </w:tcPr>
          <w:p w14:paraId="0C5821D3">
            <w:pPr>
              <w:pStyle w:val="133"/>
            </w:pPr>
            <w:r>
              <w:rPr>
                <w:rFonts w:hint="eastAsia"/>
              </w:rPr>
              <w:t>集尘灰、废分子筛、废交换树脂</w:t>
            </w:r>
          </w:p>
        </w:tc>
        <w:tc>
          <w:tcPr>
            <w:tcW w:w="1963" w:type="pct"/>
            <w:tcBorders>
              <w:bottom w:val="single" w:color="000000" w:sz="4" w:space="0"/>
            </w:tcBorders>
            <w:vAlign w:val="center"/>
          </w:tcPr>
          <w:p w14:paraId="2C1663F6">
            <w:pPr>
              <w:pStyle w:val="133"/>
            </w:pPr>
            <w:r>
              <w:rPr>
                <w:rFonts w:hint="eastAsia"/>
              </w:rPr>
              <w:t>一般工业固废</w:t>
            </w:r>
          </w:p>
        </w:tc>
      </w:tr>
      <w:tr w14:paraId="402FCF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5ADA0863">
            <w:pPr>
              <w:pStyle w:val="133"/>
            </w:pPr>
            <w:r>
              <w:rPr>
                <w:rFonts w:hint="eastAsia"/>
              </w:rPr>
              <w:t>土壤环境</w:t>
            </w:r>
          </w:p>
        </w:tc>
        <w:tc>
          <w:tcPr>
            <w:tcW w:w="522" w:type="pct"/>
            <w:vAlign w:val="center"/>
          </w:tcPr>
          <w:p w14:paraId="7980A7AF">
            <w:pPr>
              <w:pStyle w:val="133"/>
            </w:pPr>
            <w:r>
              <w:rPr>
                <w:rFonts w:hint="eastAsia"/>
              </w:rPr>
              <w:t>施工期</w:t>
            </w:r>
          </w:p>
        </w:tc>
        <w:tc>
          <w:tcPr>
            <w:tcW w:w="911" w:type="pct"/>
            <w:vAlign w:val="center"/>
          </w:tcPr>
          <w:p w14:paraId="57ADF017">
            <w:pPr>
              <w:pStyle w:val="133"/>
            </w:pPr>
            <w:r>
              <w:rPr>
                <w:rFonts w:hint="eastAsia"/>
              </w:rPr>
              <w:t>土壤</w:t>
            </w:r>
          </w:p>
          <w:p w14:paraId="46E08496">
            <w:pPr>
              <w:pStyle w:val="133"/>
            </w:pPr>
            <w:r>
              <w:rPr>
                <w:rFonts w:hint="eastAsia"/>
              </w:rPr>
              <w:t>影响分析</w:t>
            </w:r>
          </w:p>
        </w:tc>
        <w:tc>
          <w:tcPr>
            <w:tcW w:w="1190" w:type="pct"/>
            <w:vAlign w:val="center"/>
          </w:tcPr>
          <w:p w14:paraId="2E4B4D5A">
            <w:pPr>
              <w:pStyle w:val="133"/>
            </w:pPr>
            <w:r>
              <w:rPr>
                <w:rFonts w:hint="eastAsia"/>
              </w:rPr>
              <w:t>土石方工程，三废污染</w:t>
            </w:r>
          </w:p>
        </w:tc>
        <w:tc>
          <w:tcPr>
            <w:tcW w:w="1963" w:type="pct"/>
            <w:vAlign w:val="center"/>
          </w:tcPr>
          <w:p w14:paraId="19E34DE3">
            <w:pPr>
              <w:pStyle w:val="133"/>
            </w:pPr>
            <w:r>
              <w:rPr>
                <w:rFonts w:hint="eastAsia"/>
              </w:rPr>
              <w:t>土壤结构破坏、土壤污染</w:t>
            </w:r>
          </w:p>
        </w:tc>
      </w:tr>
      <w:tr w14:paraId="61481E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05300AD9">
            <w:pPr>
              <w:pStyle w:val="133"/>
            </w:pPr>
          </w:p>
        </w:tc>
        <w:tc>
          <w:tcPr>
            <w:tcW w:w="522" w:type="pct"/>
            <w:vMerge w:val="restart"/>
            <w:vAlign w:val="center"/>
          </w:tcPr>
          <w:p w14:paraId="1F1CECD1">
            <w:pPr>
              <w:pStyle w:val="133"/>
            </w:pPr>
            <w:r>
              <w:rPr>
                <w:rFonts w:hint="eastAsia"/>
              </w:rPr>
              <w:t>运营期</w:t>
            </w:r>
          </w:p>
        </w:tc>
        <w:tc>
          <w:tcPr>
            <w:tcW w:w="911" w:type="pct"/>
            <w:vAlign w:val="center"/>
          </w:tcPr>
          <w:p w14:paraId="33B5DA6E">
            <w:pPr>
              <w:pStyle w:val="133"/>
            </w:pPr>
            <w:r>
              <w:rPr>
                <w:rFonts w:hint="eastAsia"/>
              </w:rPr>
              <w:t>土壤现状调查</w:t>
            </w:r>
          </w:p>
        </w:tc>
        <w:tc>
          <w:tcPr>
            <w:tcW w:w="1190" w:type="pct"/>
            <w:vAlign w:val="center"/>
          </w:tcPr>
          <w:p w14:paraId="628972E5">
            <w:pPr>
              <w:pStyle w:val="133"/>
            </w:pPr>
            <w:r>
              <w:rPr>
                <w:rFonts w:hint="eastAsia"/>
              </w:rPr>
              <w:t>土壤现状</w:t>
            </w:r>
          </w:p>
        </w:tc>
        <w:tc>
          <w:tcPr>
            <w:tcW w:w="1963" w:type="pct"/>
            <w:vAlign w:val="center"/>
          </w:tcPr>
          <w:p w14:paraId="4E09993A">
            <w:pPr>
              <w:pStyle w:val="133"/>
            </w:pPr>
            <w:r>
              <w:rPr>
                <w:rFonts w:hint="eastAsia"/>
              </w:rPr>
              <w:t>砷、镉、铬（六价）、铜、铅、汞、镍、四氯化碳、氯仿、氯甲烷、</w:t>
            </w:r>
            <w:r>
              <w:t>1,1-</w:t>
            </w:r>
            <w:r>
              <w:rPr>
                <w:rFonts w:hint="eastAsia"/>
              </w:rPr>
              <w:t>二氯乙烷、</w:t>
            </w:r>
            <w:r>
              <w:t>1,2-</w:t>
            </w:r>
            <w:r>
              <w:rPr>
                <w:rFonts w:hint="eastAsia"/>
              </w:rPr>
              <w:t>二氯乙烷、</w:t>
            </w:r>
            <w:r>
              <w:t>1,1-</w:t>
            </w:r>
            <w:r>
              <w:rPr>
                <w:rFonts w:hint="eastAsia"/>
              </w:rPr>
              <w:t>二氯乙烯、顺</w:t>
            </w:r>
            <w:r>
              <w:t>-1,2-</w:t>
            </w:r>
            <w:r>
              <w:rPr>
                <w:rFonts w:hint="eastAsia"/>
              </w:rPr>
              <w:t>二氯乙烯、反</w:t>
            </w:r>
            <w:r>
              <w:t>-1,2-</w:t>
            </w:r>
            <w:r>
              <w:rPr>
                <w:rFonts w:hint="eastAsia"/>
              </w:rPr>
              <w:t>二氯乙烯、二氯甲烷、</w:t>
            </w:r>
            <w:r>
              <w:t>1,2-</w:t>
            </w:r>
            <w:r>
              <w:rPr>
                <w:rFonts w:hint="eastAsia"/>
              </w:rPr>
              <w:t>二氯丙烷、</w:t>
            </w:r>
            <w:r>
              <w:t>1,1,1,2-</w:t>
            </w:r>
            <w:r>
              <w:rPr>
                <w:rFonts w:hint="eastAsia"/>
              </w:rPr>
              <w:t>四氯乙烷、</w:t>
            </w:r>
            <w:r>
              <w:t>1,1,2,2-</w:t>
            </w:r>
            <w:r>
              <w:rPr>
                <w:rFonts w:hint="eastAsia"/>
              </w:rPr>
              <w:t>四氯乙烷、四氯乙烯、</w:t>
            </w:r>
            <w:r>
              <w:t>1,1,1-</w:t>
            </w:r>
            <w:r>
              <w:rPr>
                <w:rFonts w:hint="eastAsia"/>
              </w:rPr>
              <w:t>三氯乙烷、</w:t>
            </w:r>
            <w:r>
              <w:t>1,1,2-</w:t>
            </w:r>
            <w:r>
              <w:rPr>
                <w:rFonts w:hint="eastAsia"/>
              </w:rPr>
              <w:t>三氯乙烷、三氯乙烯、</w:t>
            </w:r>
            <w:r>
              <w:t>1,2,3-</w:t>
            </w:r>
            <w:r>
              <w:rPr>
                <w:rFonts w:hint="eastAsia"/>
              </w:rPr>
              <w:t>三氯丙烷、氯乙烯、苯、氯苯、</w:t>
            </w:r>
            <w:r>
              <w:t>1,2-</w:t>
            </w:r>
            <w:r>
              <w:rPr>
                <w:rFonts w:hint="eastAsia"/>
              </w:rPr>
              <w:t>二氯苯、</w:t>
            </w:r>
            <w:r>
              <w:t>1,4-</w:t>
            </w:r>
            <w:r>
              <w:rPr>
                <w:rFonts w:hint="eastAsia"/>
              </w:rPr>
              <w:t>二氯苯、乙苯、苯乙烯、甲苯、间二甲苯</w:t>
            </w:r>
            <w:r>
              <w:t>+</w:t>
            </w:r>
            <w:r>
              <w:rPr>
                <w:rFonts w:hint="eastAsia"/>
              </w:rPr>
              <w:t>对二甲苯、邻二甲苯、硝基苯、苯胺、</w:t>
            </w:r>
            <w:r>
              <w:t>2-</w:t>
            </w:r>
            <w:r>
              <w:rPr>
                <w:rFonts w:hint="eastAsia"/>
              </w:rPr>
              <w:t>氯酚、苯并</w:t>
            </w:r>
            <w:r>
              <w:t>[a]</w:t>
            </w:r>
            <w:r>
              <w:rPr>
                <w:rFonts w:hint="eastAsia"/>
              </w:rPr>
              <w:t>蒽、苯并</w:t>
            </w:r>
            <w:r>
              <w:t>[a]</w:t>
            </w:r>
            <w:r>
              <w:rPr>
                <w:rFonts w:hint="eastAsia"/>
              </w:rPr>
              <w:t>芘、苯并</w:t>
            </w:r>
            <w:r>
              <w:t>[b]</w:t>
            </w:r>
            <w:r>
              <w:rPr>
                <w:rFonts w:hint="eastAsia"/>
              </w:rPr>
              <w:t>荧蒽、苯并</w:t>
            </w:r>
            <w:r>
              <w:t>[k]</w:t>
            </w:r>
            <w:r>
              <w:rPr>
                <w:rFonts w:hint="eastAsia"/>
              </w:rPr>
              <w:t>荧蒽、䓛、二苯并</w:t>
            </w:r>
            <w:r>
              <w:t>[a, h]</w:t>
            </w:r>
            <w:r>
              <w:rPr>
                <w:rFonts w:hint="eastAsia"/>
              </w:rPr>
              <w:t>蒽、茚并</w:t>
            </w:r>
            <w:r>
              <w:t>[1,2,3-cd]</w:t>
            </w:r>
            <w:r>
              <w:rPr>
                <w:rFonts w:hint="eastAsia"/>
              </w:rPr>
              <w:t>芘、萘、p</w:t>
            </w:r>
            <w:r>
              <w:t>H</w:t>
            </w:r>
            <w:r>
              <w:rPr>
                <w:rFonts w:hint="eastAsia"/>
              </w:rPr>
              <w:t>、石油烃、氰化物</w:t>
            </w:r>
          </w:p>
        </w:tc>
      </w:tr>
      <w:tr w14:paraId="33EA83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26C0A209">
            <w:pPr>
              <w:pStyle w:val="133"/>
            </w:pPr>
          </w:p>
        </w:tc>
        <w:tc>
          <w:tcPr>
            <w:tcW w:w="522" w:type="pct"/>
            <w:vMerge w:val="continue"/>
            <w:vAlign w:val="center"/>
          </w:tcPr>
          <w:p w14:paraId="4714F01C">
            <w:pPr>
              <w:pStyle w:val="133"/>
            </w:pPr>
          </w:p>
        </w:tc>
        <w:tc>
          <w:tcPr>
            <w:tcW w:w="911" w:type="pct"/>
            <w:vAlign w:val="center"/>
          </w:tcPr>
          <w:p w14:paraId="094C4EE6">
            <w:pPr>
              <w:pStyle w:val="133"/>
              <w:rPr>
                <w:lang w:val="zh-CN"/>
              </w:rPr>
            </w:pPr>
            <w:r>
              <w:rPr>
                <w:rFonts w:hint="eastAsia"/>
                <w:lang w:val="zh-CN"/>
              </w:rPr>
              <w:t>土壤影响</w:t>
            </w:r>
          </w:p>
          <w:p w14:paraId="4F7B702C">
            <w:pPr>
              <w:pStyle w:val="133"/>
              <w:rPr>
                <w:lang w:val="zh-CN"/>
              </w:rPr>
            </w:pPr>
            <w:r>
              <w:rPr>
                <w:rFonts w:hint="eastAsia"/>
                <w:lang w:val="zh-CN"/>
              </w:rPr>
              <w:t>分析</w:t>
            </w:r>
          </w:p>
        </w:tc>
        <w:tc>
          <w:tcPr>
            <w:tcW w:w="1190" w:type="pct"/>
            <w:vAlign w:val="center"/>
          </w:tcPr>
          <w:p w14:paraId="4D8B1EAD">
            <w:pPr>
              <w:pStyle w:val="133"/>
              <w:rPr>
                <w:lang w:val="zh-CN"/>
              </w:rPr>
            </w:pPr>
            <w:r>
              <w:rPr>
                <w:rFonts w:hint="eastAsia"/>
                <w:lang w:val="zh-CN"/>
              </w:rPr>
              <w:t>废气沉降污染；废水事故泄漏影响</w:t>
            </w:r>
          </w:p>
        </w:tc>
        <w:tc>
          <w:tcPr>
            <w:tcW w:w="1963" w:type="pct"/>
            <w:vAlign w:val="center"/>
          </w:tcPr>
          <w:p w14:paraId="6D24B2C1">
            <w:pPr>
              <w:pStyle w:val="133"/>
            </w:pPr>
            <w:r>
              <w:rPr>
                <w:rFonts w:hint="eastAsia"/>
              </w:rPr>
              <w:t>石油烃、氰化物、苯并[a]芘</w:t>
            </w:r>
          </w:p>
        </w:tc>
      </w:tr>
      <w:tr w14:paraId="105889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restart"/>
            <w:vAlign w:val="center"/>
          </w:tcPr>
          <w:p w14:paraId="46B59448">
            <w:pPr>
              <w:pStyle w:val="133"/>
            </w:pPr>
            <w:r>
              <w:rPr>
                <w:rFonts w:hint="eastAsia"/>
              </w:rPr>
              <w:t>生态</w:t>
            </w:r>
          </w:p>
        </w:tc>
        <w:tc>
          <w:tcPr>
            <w:tcW w:w="522" w:type="pct"/>
            <w:vAlign w:val="center"/>
          </w:tcPr>
          <w:p w14:paraId="3F065B55">
            <w:pPr>
              <w:pStyle w:val="133"/>
            </w:pPr>
            <w:r>
              <w:rPr>
                <w:rFonts w:hint="eastAsia"/>
              </w:rPr>
              <w:t>施工期</w:t>
            </w:r>
          </w:p>
        </w:tc>
        <w:tc>
          <w:tcPr>
            <w:tcW w:w="911" w:type="pct"/>
            <w:vAlign w:val="center"/>
          </w:tcPr>
          <w:p w14:paraId="71EAA929">
            <w:pPr>
              <w:pStyle w:val="133"/>
            </w:pPr>
            <w:r>
              <w:rPr>
                <w:rFonts w:hint="eastAsia"/>
              </w:rPr>
              <w:t>生态环境质量现状分析</w:t>
            </w:r>
          </w:p>
        </w:tc>
        <w:tc>
          <w:tcPr>
            <w:tcW w:w="3153" w:type="pct"/>
            <w:gridSpan w:val="2"/>
            <w:vAlign w:val="center"/>
          </w:tcPr>
          <w:p w14:paraId="52688F91">
            <w:pPr>
              <w:pStyle w:val="133"/>
            </w:pPr>
            <w:r>
              <w:rPr>
                <w:rFonts w:hint="eastAsia"/>
              </w:rPr>
              <w:t>地形地貌、土地利用、水土流失等</w:t>
            </w:r>
          </w:p>
        </w:tc>
      </w:tr>
      <w:tr w14:paraId="6C249F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Merge w:val="continue"/>
            <w:vAlign w:val="center"/>
          </w:tcPr>
          <w:p w14:paraId="2F98A186">
            <w:pPr>
              <w:pStyle w:val="133"/>
            </w:pPr>
          </w:p>
        </w:tc>
        <w:tc>
          <w:tcPr>
            <w:tcW w:w="522" w:type="pct"/>
            <w:vAlign w:val="center"/>
          </w:tcPr>
          <w:p w14:paraId="0D7954E5">
            <w:pPr>
              <w:pStyle w:val="133"/>
            </w:pPr>
            <w:r>
              <w:rPr>
                <w:rFonts w:hint="eastAsia"/>
              </w:rPr>
              <w:t>运营期</w:t>
            </w:r>
          </w:p>
        </w:tc>
        <w:tc>
          <w:tcPr>
            <w:tcW w:w="911" w:type="pct"/>
            <w:vAlign w:val="center"/>
          </w:tcPr>
          <w:p w14:paraId="02BA860C">
            <w:pPr>
              <w:pStyle w:val="133"/>
            </w:pPr>
            <w:r>
              <w:rPr>
                <w:rFonts w:hint="eastAsia"/>
              </w:rPr>
              <w:t>生态影响分析</w:t>
            </w:r>
          </w:p>
        </w:tc>
        <w:tc>
          <w:tcPr>
            <w:tcW w:w="3153" w:type="pct"/>
            <w:gridSpan w:val="2"/>
            <w:vAlign w:val="center"/>
          </w:tcPr>
          <w:p w14:paraId="48B53E52">
            <w:pPr>
              <w:pStyle w:val="133"/>
            </w:pPr>
            <w:r>
              <w:rPr>
                <w:rFonts w:hint="eastAsia"/>
              </w:rPr>
              <w:t>占地、水土流失等</w:t>
            </w:r>
          </w:p>
        </w:tc>
      </w:tr>
      <w:tr w14:paraId="0BAD8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14" w:type="pct"/>
            <w:vAlign w:val="center"/>
          </w:tcPr>
          <w:p w14:paraId="54199ED8">
            <w:pPr>
              <w:pStyle w:val="133"/>
            </w:pPr>
            <w:r>
              <w:t>环境风险</w:t>
            </w:r>
          </w:p>
        </w:tc>
        <w:tc>
          <w:tcPr>
            <w:tcW w:w="522" w:type="pct"/>
            <w:vAlign w:val="center"/>
          </w:tcPr>
          <w:p w14:paraId="75EFB5AF">
            <w:pPr>
              <w:pStyle w:val="133"/>
            </w:pPr>
            <w:r>
              <w:rPr>
                <w:rFonts w:hint="eastAsia"/>
              </w:rPr>
              <w:t>运营期</w:t>
            </w:r>
          </w:p>
        </w:tc>
        <w:tc>
          <w:tcPr>
            <w:tcW w:w="911" w:type="pct"/>
            <w:vAlign w:val="center"/>
          </w:tcPr>
          <w:p w14:paraId="0819E606">
            <w:pPr>
              <w:pStyle w:val="133"/>
            </w:pPr>
            <w:r>
              <w:rPr>
                <w:rFonts w:hint="eastAsia"/>
              </w:rPr>
              <w:t>环境风险评价</w:t>
            </w:r>
          </w:p>
        </w:tc>
        <w:tc>
          <w:tcPr>
            <w:tcW w:w="3153" w:type="pct"/>
            <w:gridSpan w:val="2"/>
            <w:vAlign w:val="center"/>
          </w:tcPr>
          <w:p w14:paraId="649A39F0">
            <w:pPr>
              <w:pStyle w:val="133"/>
            </w:pPr>
            <w:r>
              <w:rPr>
                <w:rFonts w:hint="eastAsia"/>
              </w:rPr>
              <w:t>S</w:t>
            </w:r>
            <w:r>
              <w:t>O</w:t>
            </w:r>
            <w:r>
              <w:rPr>
                <w:vertAlign w:val="subscript"/>
              </w:rPr>
              <w:t>2</w:t>
            </w:r>
            <w:r>
              <w:rPr>
                <w:rFonts w:hint="eastAsia"/>
              </w:rPr>
              <w:t>、C</w:t>
            </w:r>
            <w:r>
              <w:t>O</w:t>
            </w:r>
            <w:r>
              <w:rPr>
                <w:rFonts w:hint="eastAsia"/>
              </w:rPr>
              <w:t>、H</w:t>
            </w:r>
            <w:r>
              <w:rPr>
                <w:rFonts w:hint="eastAsia"/>
                <w:vertAlign w:val="subscript"/>
              </w:rPr>
              <w:t>2</w:t>
            </w:r>
            <w:r>
              <w:rPr>
                <w:rFonts w:hint="eastAsia"/>
              </w:rPr>
              <w:t>S</w:t>
            </w:r>
          </w:p>
        </w:tc>
      </w:tr>
    </w:tbl>
    <w:p w14:paraId="1B99A51B">
      <w:pPr>
        <w:pStyle w:val="133"/>
      </w:pPr>
      <w:bookmarkStart w:id="126" w:name="_Toc442180944"/>
      <w:bookmarkStart w:id="127" w:name="_Toc377604972"/>
      <w:bookmarkStart w:id="128" w:name="_Toc489258988"/>
      <w:bookmarkStart w:id="129" w:name="_Toc414619127"/>
      <w:bookmarkStart w:id="130" w:name="_Toc485640221"/>
      <w:bookmarkStart w:id="131" w:name="_Toc1026"/>
    </w:p>
    <w:p w14:paraId="705FB35B">
      <w:pPr>
        <w:pStyle w:val="3"/>
      </w:pPr>
      <w:bookmarkStart w:id="132" w:name="_Toc205291366"/>
      <w:bookmarkStart w:id="133" w:name="_Toc19104"/>
      <w:r>
        <w:rPr>
          <w:rFonts w:hint="eastAsia"/>
        </w:rPr>
        <w:t>评价工作等级及评价范围</w:t>
      </w:r>
      <w:bookmarkEnd w:id="126"/>
      <w:bookmarkEnd w:id="127"/>
      <w:bookmarkEnd w:id="128"/>
      <w:bookmarkEnd w:id="129"/>
      <w:bookmarkEnd w:id="130"/>
      <w:bookmarkEnd w:id="131"/>
      <w:bookmarkEnd w:id="132"/>
      <w:bookmarkEnd w:id="133"/>
    </w:p>
    <w:p w14:paraId="22708CE4">
      <w:pPr>
        <w:pStyle w:val="138"/>
        <w:rPr>
          <w:rFonts w:hint="eastAsia"/>
        </w:rPr>
      </w:pPr>
      <w:bookmarkStart w:id="134" w:name="_Toc414619128"/>
      <w:bookmarkStart w:id="135" w:name="_Toc12371"/>
      <w:bookmarkStart w:id="136" w:name="_Toc410564938"/>
      <w:r>
        <w:rPr>
          <w:rFonts w:hint="eastAsia"/>
        </w:rPr>
        <w:t>评价工作等级</w:t>
      </w:r>
      <w:bookmarkEnd w:id="134"/>
      <w:bookmarkEnd w:id="135"/>
      <w:bookmarkEnd w:id="136"/>
    </w:p>
    <w:p w14:paraId="52D9D0C8">
      <w:pPr>
        <w:pStyle w:val="5"/>
      </w:pPr>
      <w:r>
        <w:rPr>
          <w:rFonts w:hint="eastAsia"/>
        </w:rPr>
        <w:t>大气环境</w:t>
      </w:r>
    </w:p>
    <w:p w14:paraId="092B6D37">
      <w:pPr>
        <w:pStyle w:val="117"/>
        <w:ind w:firstLine="480"/>
      </w:pPr>
      <w:r>
        <w:rPr>
          <w:rFonts w:hint="eastAsia"/>
        </w:rPr>
        <w:t>根据项目特点和污染特征以及周围环境状况，采用《环境影响评价技术导则大气环境》（HJ2.2-2018）中的推荐的估算模型AERSCREEN，选择拟建项目排放的污染物，计算最大地面浓度占标率Pi及其地面浓度达标准限值10%时所对应的最远距离D10%。其中Pi定义为：</w:t>
      </w:r>
    </w:p>
    <w:p w14:paraId="62098150">
      <w:pPr>
        <w:pStyle w:val="117"/>
        <w:ind w:firstLine="480"/>
      </w:pPr>
      <w:r>
        <w:rPr>
          <w:rFonts w:hint="eastAsia"/>
        </w:rPr>
        <w:t>P</w:t>
      </w:r>
      <w:r>
        <w:rPr>
          <w:rFonts w:hint="eastAsia"/>
          <w:vertAlign w:val="subscript"/>
        </w:rPr>
        <w:t>i</w:t>
      </w:r>
      <w:r>
        <w:rPr>
          <w:rFonts w:hint="eastAsia"/>
        </w:rPr>
        <w:t>=（C</w:t>
      </w:r>
      <w:r>
        <w:rPr>
          <w:rFonts w:hint="eastAsia"/>
          <w:vertAlign w:val="subscript"/>
        </w:rPr>
        <w:t>i</w:t>
      </w:r>
      <w:r>
        <w:rPr>
          <w:rFonts w:hint="eastAsia"/>
        </w:rPr>
        <w:t>/C</w:t>
      </w:r>
      <w:r>
        <w:rPr>
          <w:rFonts w:hint="eastAsia"/>
          <w:vertAlign w:val="subscript"/>
        </w:rPr>
        <w:t>0i</w:t>
      </w:r>
      <w:r>
        <w:rPr>
          <w:rFonts w:hint="eastAsia"/>
        </w:rPr>
        <w:t>）×100%</w:t>
      </w:r>
    </w:p>
    <w:p w14:paraId="21B2CBF5">
      <w:pPr>
        <w:pStyle w:val="117"/>
        <w:ind w:firstLine="480"/>
      </w:pPr>
      <w:r>
        <w:rPr>
          <w:rFonts w:hint="eastAsia"/>
        </w:rPr>
        <w:t>式中：P</w:t>
      </w:r>
      <w:r>
        <w:rPr>
          <w:rFonts w:hint="eastAsia"/>
          <w:vertAlign w:val="subscript"/>
        </w:rPr>
        <w:t>i</w:t>
      </w:r>
      <w:r>
        <w:rPr>
          <w:rFonts w:hint="eastAsia"/>
        </w:rPr>
        <w:t>——第i个污染物的最大地面浓度占标率，%；</w:t>
      </w:r>
    </w:p>
    <w:p w14:paraId="63472D13">
      <w:pPr>
        <w:pStyle w:val="117"/>
        <w:ind w:firstLine="960" w:firstLineChars="400"/>
      </w:pPr>
      <w:r>
        <w:rPr>
          <w:rFonts w:hint="eastAsia"/>
        </w:rPr>
        <w:t>C</w:t>
      </w:r>
      <w:r>
        <w:rPr>
          <w:rFonts w:hint="eastAsia"/>
          <w:vertAlign w:val="subscript"/>
        </w:rPr>
        <w:t>i</w:t>
      </w:r>
      <w:r>
        <w:rPr>
          <w:rFonts w:hint="eastAsia"/>
        </w:rPr>
        <w:t>——采用估算模式计算出的第i个污染物的最大地面浓度，mg/m</w:t>
      </w:r>
      <w:r>
        <w:rPr>
          <w:rFonts w:hint="eastAsia"/>
          <w:vertAlign w:val="superscript"/>
        </w:rPr>
        <w:t>3</w:t>
      </w:r>
      <w:r>
        <w:rPr>
          <w:rFonts w:hint="eastAsia"/>
        </w:rPr>
        <w:t>；</w:t>
      </w:r>
    </w:p>
    <w:p w14:paraId="3C991F26">
      <w:pPr>
        <w:pStyle w:val="117"/>
        <w:ind w:firstLine="960" w:firstLineChars="400"/>
      </w:pPr>
      <w:r>
        <w:rPr>
          <w:rFonts w:hint="eastAsia"/>
        </w:rPr>
        <w:t>C</w:t>
      </w:r>
      <w:r>
        <w:rPr>
          <w:rFonts w:hint="eastAsia"/>
          <w:vertAlign w:val="subscript"/>
        </w:rPr>
        <w:t>0i</w:t>
      </w:r>
      <w:r>
        <w:rPr>
          <w:rFonts w:hint="eastAsia"/>
        </w:rPr>
        <w:t>——第i个污染物的环境空气质量标准，mg/m</w:t>
      </w:r>
      <w:r>
        <w:rPr>
          <w:rFonts w:hint="eastAsia"/>
          <w:vertAlign w:val="superscript"/>
        </w:rPr>
        <w:t>3</w:t>
      </w:r>
      <w:r>
        <w:rPr>
          <w:rFonts w:hint="eastAsia"/>
        </w:rPr>
        <w:t>；</w:t>
      </w:r>
    </w:p>
    <w:p w14:paraId="594CC833">
      <w:pPr>
        <w:pStyle w:val="117"/>
        <w:ind w:firstLine="960" w:firstLineChars="400"/>
      </w:pPr>
      <w:r>
        <w:rPr>
          <w:rFonts w:hint="eastAsia"/>
        </w:rPr>
        <w:t>C</w:t>
      </w:r>
      <w:r>
        <w:rPr>
          <w:rFonts w:hint="eastAsia"/>
          <w:vertAlign w:val="subscript"/>
        </w:rPr>
        <w:t>0i</w:t>
      </w:r>
      <w:r>
        <w:rPr>
          <w:rFonts w:hint="eastAsia"/>
        </w:rPr>
        <w:t>一般选用《环境空气质量标准》（GB3095-2012）中1小时平均取样时间的二级标准浓度限值，对于无小时浓度限值的污染物可取日平均浓度限值的3倍。</w:t>
      </w:r>
    </w:p>
    <w:p w14:paraId="71A92CBC">
      <w:pPr>
        <w:pStyle w:val="117"/>
        <w:ind w:firstLine="480"/>
      </w:pPr>
      <w:r>
        <w:rPr>
          <w:rFonts w:hint="eastAsia"/>
        </w:rPr>
        <w:t>《环境影响评价技术导则 大气环境》（HJ2.2-2018）中评价等级判据见表1.4-1：</w:t>
      </w:r>
    </w:p>
    <w:p w14:paraId="02260AD5">
      <w:pPr>
        <w:pStyle w:val="118"/>
      </w:pPr>
      <w:r>
        <w:rPr>
          <w:rFonts w:hint="eastAsia"/>
        </w:rPr>
        <w:t>表1.4-1  评价工作等级</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577"/>
        <w:gridCol w:w="5212"/>
      </w:tblGrid>
      <w:tr w14:paraId="664A76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35" w:type="pct"/>
            <w:vAlign w:val="center"/>
          </w:tcPr>
          <w:p w14:paraId="087A3B77">
            <w:pPr>
              <w:pStyle w:val="133"/>
              <w:rPr>
                <w:b/>
                <w:bCs/>
              </w:rPr>
            </w:pPr>
            <w:r>
              <w:rPr>
                <w:rFonts w:hint="eastAsia"/>
                <w:b/>
                <w:bCs/>
              </w:rPr>
              <w:t>评价工作等级</w:t>
            </w:r>
          </w:p>
        </w:tc>
        <w:tc>
          <w:tcPr>
            <w:tcW w:w="2965" w:type="pct"/>
            <w:vAlign w:val="center"/>
          </w:tcPr>
          <w:p w14:paraId="5447EC8B">
            <w:pPr>
              <w:pStyle w:val="133"/>
              <w:rPr>
                <w:b/>
                <w:bCs/>
              </w:rPr>
            </w:pPr>
            <w:r>
              <w:rPr>
                <w:rFonts w:hint="eastAsia"/>
                <w:b/>
                <w:bCs/>
              </w:rPr>
              <w:t>评价工作等级判据</w:t>
            </w:r>
          </w:p>
        </w:tc>
      </w:tr>
      <w:tr w14:paraId="4C023F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35" w:type="pct"/>
            <w:vAlign w:val="center"/>
          </w:tcPr>
          <w:p w14:paraId="51B82590">
            <w:pPr>
              <w:pStyle w:val="133"/>
            </w:pPr>
            <w:r>
              <w:rPr>
                <w:rFonts w:hint="eastAsia"/>
              </w:rPr>
              <w:t>一级</w:t>
            </w:r>
          </w:p>
        </w:tc>
        <w:tc>
          <w:tcPr>
            <w:tcW w:w="2965" w:type="pct"/>
            <w:vAlign w:val="center"/>
          </w:tcPr>
          <w:p w14:paraId="2085E72C">
            <w:pPr>
              <w:pStyle w:val="133"/>
            </w:pPr>
            <w:r>
              <w:rPr>
                <w:rFonts w:hint="eastAsia"/>
              </w:rPr>
              <w:t>Pmax≥10%,</w:t>
            </w:r>
          </w:p>
        </w:tc>
      </w:tr>
      <w:tr w14:paraId="700233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35" w:type="pct"/>
            <w:vAlign w:val="center"/>
          </w:tcPr>
          <w:p w14:paraId="0D37CFCD">
            <w:pPr>
              <w:pStyle w:val="133"/>
            </w:pPr>
            <w:r>
              <w:rPr>
                <w:rFonts w:hint="eastAsia"/>
              </w:rPr>
              <w:t>二级</w:t>
            </w:r>
          </w:p>
        </w:tc>
        <w:tc>
          <w:tcPr>
            <w:tcW w:w="2965" w:type="pct"/>
            <w:vAlign w:val="center"/>
          </w:tcPr>
          <w:p w14:paraId="312B950F">
            <w:pPr>
              <w:pStyle w:val="133"/>
            </w:pPr>
            <w:r>
              <w:rPr>
                <w:rFonts w:hint="eastAsia"/>
              </w:rPr>
              <w:t>1%≤Pmax&lt;10%</w:t>
            </w:r>
          </w:p>
        </w:tc>
      </w:tr>
      <w:tr w14:paraId="06D8A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35" w:type="pct"/>
            <w:vAlign w:val="center"/>
          </w:tcPr>
          <w:p w14:paraId="1F6C271A">
            <w:pPr>
              <w:pStyle w:val="133"/>
            </w:pPr>
            <w:r>
              <w:rPr>
                <w:rFonts w:hint="eastAsia"/>
              </w:rPr>
              <w:t>三级</w:t>
            </w:r>
          </w:p>
        </w:tc>
        <w:tc>
          <w:tcPr>
            <w:tcW w:w="2965" w:type="pct"/>
            <w:vAlign w:val="center"/>
          </w:tcPr>
          <w:p w14:paraId="1324D3A9">
            <w:pPr>
              <w:pStyle w:val="133"/>
            </w:pPr>
            <w:r>
              <w:rPr>
                <w:rFonts w:hint="eastAsia"/>
              </w:rPr>
              <w:t>Pmax&lt;1%</w:t>
            </w:r>
          </w:p>
        </w:tc>
      </w:tr>
    </w:tbl>
    <w:p w14:paraId="412E7A36">
      <w:pPr>
        <w:ind w:firstLine="480"/>
      </w:pPr>
      <w:r>
        <w:t>估算模型参数见</w:t>
      </w:r>
      <w:r>
        <w:rPr>
          <w:rFonts w:hint="eastAsia"/>
        </w:rPr>
        <w:t>表1.4-2</w:t>
      </w:r>
      <w:r>
        <w:t>。</w:t>
      </w:r>
    </w:p>
    <w:p w14:paraId="2F1339CB">
      <w:pPr>
        <w:pStyle w:val="118"/>
      </w:pPr>
      <w:r>
        <w:rPr>
          <w:rFonts w:hint="eastAsia"/>
        </w:rPr>
        <w:t>表1.4-2  估算模型</w:t>
      </w:r>
      <w:r>
        <w:t>参数表</w:t>
      </w:r>
    </w:p>
    <w:tbl>
      <w:tblPr>
        <w:tblStyle w:val="67"/>
        <w:tblW w:w="87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931"/>
        <w:gridCol w:w="3076"/>
        <w:gridCol w:w="2782"/>
      </w:tblGrid>
      <w:tr w14:paraId="3A3B8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6007" w:type="dxa"/>
            <w:gridSpan w:val="2"/>
            <w:vAlign w:val="center"/>
          </w:tcPr>
          <w:p w14:paraId="0F9CE1DD">
            <w:pPr>
              <w:pStyle w:val="133"/>
              <w:rPr>
                <w:b/>
                <w:bCs/>
              </w:rPr>
            </w:pPr>
            <w:r>
              <w:rPr>
                <w:b/>
                <w:bCs/>
              </w:rPr>
              <w:t>参数</w:t>
            </w:r>
          </w:p>
        </w:tc>
        <w:tc>
          <w:tcPr>
            <w:tcW w:w="2782" w:type="dxa"/>
            <w:vAlign w:val="center"/>
          </w:tcPr>
          <w:p w14:paraId="109188D8">
            <w:pPr>
              <w:pStyle w:val="133"/>
              <w:rPr>
                <w:b/>
                <w:bCs/>
              </w:rPr>
            </w:pPr>
            <w:r>
              <w:rPr>
                <w:b/>
                <w:bCs/>
              </w:rPr>
              <w:t>取值</w:t>
            </w:r>
          </w:p>
        </w:tc>
      </w:tr>
      <w:tr w14:paraId="4CEFA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31" w:type="dxa"/>
            <w:vMerge w:val="restart"/>
            <w:vAlign w:val="center"/>
          </w:tcPr>
          <w:p w14:paraId="1945ED9F">
            <w:pPr>
              <w:pStyle w:val="133"/>
            </w:pPr>
            <w:r>
              <w:t>城市/农村选项</w:t>
            </w:r>
          </w:p>
        </w:tc>
        <w:tc>
          <w:tcPr>
            <w:tcW w:w="3076" w:type="dxa"/>
            <w:vAlign w:val="center"/>
          </w:tcPr>
          <w:p w14:paraId="2AB99D64">
            <w:pPr>
              <w:pStyle w:val="133"/>
            </w:pPr>
            <w:r>
              <w:t>城市/农村</w:t>
            </w:r>
          </w:p>
        </w:tc>
        <w:tc>
          <w:tcPr>
            <w:tcW w:w="2782" w:type="dxa"/>
            <w:vAlign w:val="center"/>
          </w:tcPr>
          <w:p w14:paraId="2DD7DABF">
            <w:pPr>
              <w:pStyle w:val="133"/>
            </w:pPr>
            <w:r>
              <w:t>农村</w:t>
            </w:r>
          </w:p>
        </w:tc>
      </w:tr>
      <w:tr w14:paraId="40C1B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31" w:type="dxa"/>
            <w:vMerge w:val="continue"/>
            <w:vAlign w:val="center"/>
          </w:tcPr>
          <w:p w14:paraId="21F01D17">
            <w:pPr>
              <w:pStyle w:val="133"/>
            </w:pPr>
          </w:p>
        </w:tc>
        <w:tc>
          <w:tcPr>
            <w:tcW w:w="3076" w:type="dxa"/>
            <w:vAlign w:val="center"/>
          </w:tcPr>
          <w:p w14:paraId="1398B37B">
            <w:pPr>
              <w:pStyle w:val="133"/>
            </w:pPr>
            <w:r>
              <w:t>人口数（城市选项时）</w:t>
            </w:r>
          </w:p>
        </w:tc>
        <w:tc>
          <w:tcPr>
            <w:tcW w:w="2782" w:type="dxa"/>
            <w:vAlign w:val="center"/>
          </w:tcPr>
          <w:p w14:paraId="642A2B08">
            <w:pPr>
              <w:pStyle w:val="133"/>
            </w:pPr>
            <w:r>
              <w:rPr>
                <w:rFonts w:hint="eastAsia"/>
              </w:rPr>
              <w:t>/</w:t>
            </w:r>
          </w:p>
        </w:tc>
      </w:tr>
      <w:tr w14:paraId="14A47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07" w:type="dxa"/>
            <w:gridSpan w:val="2"/>
            <w:vAlign w:val="center"/>
          </w:tcPr>
          <w:p w14:paraId="62C97A54">
            <w:pPr>
              <w:pStyle w:val="133"/>
            </w:pPr>
            <w:r>
              <w:t>最高环境温度/</w:t>
            </w:r>
            <w:r>
              <w:rPr>
                <w:rFonts w:hint="eastAsia"/>
              </w:rPr>
              <w:t>℃</w:t>
            </w:r>
          </w:p>
        </w:tc>
        <w:tc>
          <w:tcPr>
            <w:tcW w:w="2782" w:type="dxa"/>
            <w:vAlign w:val="center"/>
          </w:tcPr>
          <w:p w14:paraId="6666E678">
            <w:pPr>
              <w:pStyle w:val="133"/>
            </w:pPr>
            <w:r>
              <w:rPr>
                <w:rFonts w:hint="eastAsia"/>
              </w:rPr>
              <w:t>43.</w:t>
            </w:r>
            <w:r>
              <w:t>8</w:t>
            </w:r>
          </w:p>
        </w:tc>
      </w:tr>
      <w:tr w14:paraId="0E211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07" w:type="dxa"/>
            <w:gridSpan w:val="2"/>
            <w:vAlign w:val="center"/>
          </w:tcPr>
          <w:p w14:paraId="0378B4A0">
            <w:pPr>
              <w:pStyle w:val="133"/>
            </w:pPr>
            <w:r>
              <w:t>最低环境温度/</w:t>
            </w:r>
            <w:r>
              <w:rPr>
                <w:rFonts w:hint="eastAsia"/>
              </w:rPr>
              <w:t>℃</w:t>
            </w:r>
          </w:p>
        </w:tc>
        <w:tc>
          <w:tcPr>
            <w:tcW w:w="2782" w:type="dxa"/>
            <w:vAlign w:val="center"/>
          </w:tcPr>
          <w:p w14:paraId="48B6211C">
            <w:pPr>
              <w:pStyle w:val="133"/>
            </w:pPr>
            <w:r>
              <w:rPr>
                <w:rFonts w:hint="eastAsia"/>
              </w:rPr>
              <w:t>-</w:t>
            </w:r>
            <w:r>
              <w:t>2</w:t>
            </w:r>
            <w:r>
              <w:rPr>
                <w:rFonts w:hint="eastAsia"/>
              </w:rPr>
              <w:t>7.2</w:t>
            </w:r>
          </w:p>
        </w:tc>
      </w:tr>
      <w:tr w14:paraId="0A5BC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07" w:type="dxa"/>
            <w:gridSpan w:val="2"/>
            <w:vAlign w:val="center"/>
          </w:tcPr>
          <w:p w14:paraId="269CB028">
            <w:pPr>
              <w:pStyle w:val="133"/>
            </w:pPr>
            <w:r>
              <w:t>土地利用类型</w:t>
            </w:r>
          </w:p>
        </w:tc>
        <w:tc>
          <w:tcPr>
            <w:tcW w:w="2782" w:type="dxa"/>
            <w:vAlign w:val="center"/>
          </w:tcPr>
          <w:p w14:paraId="641EBD94">
            <w:pPr>
              <w:pStyle w:val="133"/>
            </w:pPr>
            <w:r>
              <w:rPr>
                <w:rFonts w:hint="eastAsia"/>
              </w:rPr>
              <w:t>沙漠化</w:t>
            </w:r>
            <w:r>
              <w:t>荒地</w:t>
            </w:r>
          </w:p>
        </w:tc>
      </w:tr>
      <w:tr w14:paraId="28FAF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007" w:type="dxa"/>
            <w:gridSpan w:val="2"/>
            <w:vAlign w:val="center"/>
          </w:tcPr>
          <w:p w14:paraId="7E337234">
            <w:pPr>
              <w:pStyle w:val="133"/>
            </w:pPr>
            <w:r>
              <w:t>区域湿度条件</w:t>
            </w:r>
          </w:p>
        </w:tc>
        <w:tc>
          <w:tcPr>
            <w:tcW w:w="2782" w:type="dxa"/>
            <w:vAlign w:val="center"/>
          </w:tcPr>
          <w:p w14:paraId="16B14043">
            <w:pPr>
              <w:pStyle w:val="133"/>
            </w:pPr>
            <w:r>
              <w:t>干燥气候</w:t>
            </w:r>
          </w:p>
        </w:tc>
      </w:tr>
      <w:tr w14:paraId="543CA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31" w:type="dxa"/>
            <w:vMerge w:val="restart"/>
            <w:vAlign w:val="center"/>
          </w:tcPr>
          <w:p w14:paraId="3F0D966D">
            <w:pPr>
              <w:pStyle w:val="133"/>
            </w:pPr>
            <w:r>
              <w:t>是否考虑地形</w:t>
            </w:r>
          </w:p>
        </w:tc>
        <w:tc>
          <w:tcPr>
            <w:tcW w:w="3076" w:type="dxa"/>
            <w:vAlign w:val="center"/>
          </w:tcPr>
          <w:p w14:paraId="0750B349">
            <w:pPr>
              <w:pStyle w:val="133"/>
            </w:pPr>
            <w:r>
              <w:t>考虑地形</w:t>
            </w:r>
          </w:p>
        </w:tc>
        <w:tc>
          <w:tcPr>
            <w:tcW w:w="2782" w:type="dxa"/>
            <w:vAlign w:val="center"/>
          </w:tcPr>
          <w:p w14:paraId="3DFAA946">
            <w:pPr>
              <w:pStyle w:val="133"/>
            </w:pPr>
            <w:r>
              <w:t>是</w:t>
            </w:r>
          </w:p>
        </w:tc>
      </w:tr>
      <w:tr w14:paraId="4B218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31" w:type="dxa"/>
            <w:vMerge w:val="continue"/>
            <w:vAlign w:val="center"/>
          </w:tcPr>
          <w:p w14:paraId="36D08E9B">
            <w:pPr>
              <w:pStyle w:val="133"/>
            </w:pPr>
          </w:p>
        </w:tc>
        <w:tc>
          <w:tcPr>
            <w:tcW w:w="3076" w:type="dxa"/>
            <w:vAlign w:val="center"/>
          </w:tcPr>
          <w:p w14:paraId="79FB95EA">
            <w:pPr>
              <w:pStyle w:val="133"/>
            </w:pPr>
            <w:r>
              <w:t>地形数据分辨率/m</w:t>
            </w:r>
          </w:p>
        </w:tc>
        <w:tc>
          <w:tcPr>
            <w:tcW w:w="2782" w:type="dxa"/>
            <w:vAlign w:val="center"/>
          </w:tcPr>
          <w:p w14:paraId="43B32865">
            <w:pPr>
              <w:pStyle w:val="133"/>
            </w:pPr>
            <w:r>
              <w:rPr>
                <w:rFonts w:hint="eastAsia"/>
              </w:rPr>
              <w:t>90m</w:t>
            </w:r>
          </w:p>
        </w:tc>
      </w:tr>
      <w:tr w14:paraId="6D80D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31" w:type="dxa"/>
            <w:vMerge w:val="restart"/>
            <w:vAlign w:val="center"/>
          </w:tcPr>
          <w:p w14:paraId="5FDAA798">
            <w:pPr>
              <w:pStyle w:val="133"/>
            </w:pPr>
            <w:r>
              <w:t>是否考虑岸线熏烟</w:t>
            </w:r>
          </w:p>
        </w:tc>
        <w:tc>
          <w:tcPr>
            <w:tcW w:w="3076" w:type="dxa"/>
            <w:vAlign w:val="center"/>
          </w:tcPr>
          <w:p w14:paraId="625C5C17">
            <w:pPr>
              <w:pStyle w:val="133"/>
            </w:pPr>
            <w:r>
              <w:t>考虑岸线熏烟</w:t>
            </w:r>
          </w:p>
        </w:tc>
        <w:tc>
          <w:tcPr>
            <w:tcW w:w="2782" w:type="dxa"/>
            <w:vAlign w:val="center"/>
          </w:tcPr>
          <w:p w14:paraId="0C45D173">
            <w:pPr>
              <w:pStyle w:val="133"/>
            </w:pPr>
            <w:r>
              <w:t>否</w:t>
            </w:r>
          </w:p>
        </w:tc>
      </w:tr>
      <w:tr w14:paraId="7C531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31" w:type="dxa"/>
            <w:vMerge w:val="continue"/>
            <w:vAlign w:val="center"/>
          </w:tcPr>
          <w:p w14:paraId="038E7B4A">
            <w:pPr>
              <w:pStyle w:val="133"/>
            </w:pPr>
          </w:p>
        </w:tc>
        <w:tc>
          <w:tcPr>
            <w:tcW w:w="3076" w:type="dxa"/>
            <w:vAlign w:val="center"/>
          </w:tcPr>
          <w:p w14:paraId="0C1C7910">
            <w:pPr>
              <w:pStyle w:val="133"/>
            </w:pPr>
            <w:r>
              <w:t>岸线距离/km</w:t>
            </w:r>
          </w:p>
        </w:tc>
        <w:tc>
          <w:tcPr>
            <w:tcW w:w="2782" w:type="dxa"/>
            <w:vAlign w:val="center"/>
          </w:tcPr>
          <w:p w14:paraId="3B5D109D">
            <w:pPr>
              <w:pStyle w:val="133"/>
            </w:pPr>
            <w:r>
              <w:rPr>
                <w:rFonts w:hint="eastAsia"/>
              </w:rPr>
              <w:t>/</w:t>
            </w:r>
          </w:p>
        </w:tc>
      </w:tr>
      <w:tr w14:paraId="6DAEA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931" w:type="dxa"/>
            <w:vMerge w:val="continue"/>
            <w:vAlign w:val="center"/>
          </w:tcPr>
          <w:p w14:paraId="1B2E3997">
            <w:pPr>
              <w:pStyle w:val="133"/>
            </w:pPr>
          </w:p>
        </w:tc>
        <w:tc>
          <w:tcPr>
            <w:tcW w:w="3076" w:type="dxa"/>
            <w:vAlign w:val="center"/>
          </w:tcPr>
          <w:p w14:paraId="57640955">
            <w:pPr>
              <w:pStyle w:val="133"/>
            </w:pPr>
            <w:r>
              <w:t>岸线方向/°</w:t>
            </w:r>
          </w:p>
        </w:tc>
        <w:tc>
          <w:tcPr>
            <w:tcW w:w="2782" w:type="dxa"/>
            <w:vAlign w:val="center"/>
          </w:tcPr>
          <w:p w14:paraId="33C6D38D">
            <w:pPr>
              <w:pStyle w:val="133"/>
            </w:pPr>
            <w:r>
              <w:rPr>
                <w:rFonts w:hint="eastAsia"/>
              </w:rPr>
              <w:t>/</w:t>
            </w:r>
          </w:p>
        </w:tc>
      </w:tr>
    </w:tbl>
    <w:p w14:paraId="5F7AD242">
      <w:pPr>
        <w:pStyle w:val="133"/>
      </w:pPr>
    </w:p>
    <w:p w14:paraId="05E12019">
      <w:pPr>
        <w:pStyle w:val="117"/>
        <w:ind w:firstLine="480"/>
      </w:pPr>
      <w:r>
        <w:rPr>
          <w:rFonts w:hint="eastAsia"/>
        </w:rPr>
        <w:t>本项目污染源参数见表1.4-3和表1.4-4。</w:t>
      </w:r>
    </w:p>
    <w:p w14:paraId="289904B3">
      <w:pPr>
        <w:ind w:firstLine="480"/>
      </w:pPr>
      <w:r>
        <w:t>废气污染物的</w:t>
      </w:r>
      <w:r>
        <w:rPr>
          <w:rFonts w:hint="eastAsia"/>
        </w:rPr>
        <w:t>大气环境影响</w:t>
      </w:r>
      <w:r>
        <w:t>估算结果见表1.4-</w:t>
      </w:r>
      <w:r>
        <w:rPr>
          <w:rFonts w:hint="eastAsia"/>
        </w:rPr>
        <w:t>5</w:t>
      </w:r>
      <w:r>
        <w:t>。</w:t>
      </w:r>
    </w:p>
    <w:p w14:paraId="1156018D">
      <w:pPr>
        <w:pStyle w:val="117"/>
        <w:ind w:firstLine="480"/>
      </w:pPr>
      <w:r>
        <w:rPr>
          <w:rFonts w:hint="eastAsia"/>
        </w:rPr>
        <w:t>根据估算结果表明，各污染物中硅铁冶炼车间无组织排放的SO</w:t>
      </w:r>
      <w:r>
        <w:rPr>
          <w:rFonts w:hint="eastAsia"/>
          <w:vertAlign w:val="subscript"/>
        </w:rPr>
        <w:t>2</w:t>
      </w:r>
      <w:r>
        <w:rPr>
          <w:rFonts w:hint="eastAsia"/>
        </w:rPr>
        <w:t>占标率最大，为96.78%，占标率10%的最远距离D</w:t>
      </w:r>
      <w:r>
        <w:rPr>
          <w:rFonts w:hint="eastAsia"/>
          <w:vertAlign w:val="subscript"/>
        </w:rPr>
        <w:t>10%</w:t>
      </w:r>
      <w:r>
        <w:rPr>
          <w:rFonts w:hint="eastAsia"/>
        </w:rPr>
        <w:t>为1925m（焚烧炉烟气中排放的NO</w:t>
      </w:r>
      <w:r>
        <w:rPr>
          <w:rFonts w:hint="eastAsia"/>
          <w:vertAlign w:val="subscript"/>
        </w:rPr>
        <w:t>2</w:t>
      </w:r>
      <w:r>
        <w:rPr>
          <w:rFonts w:hint="eastAsia"/>
        </w:rPr>
        <w:t>）。</w:t>
      </w:r>
    </w:p>
    <w:p w14:paraId="2B862C61">
      <w:pPr>
        <w:pStyle w:val="117"/>
        <w:ind w:firstLine="480"/>
      </w:pPr>
      <w:r>
        <w:rPr>
          <w:rFonts w:hint="eastAsia"/>
        </w:rPr>
        <w:t>污染物的最大占标率P</w:t>
      </w:r>
      <w:r>
        <w:rPr>
          <w:rFonts w:hint="eastAsia"/>
          <w:vertAlign w:val="subscript"/>
        </w:rPr>
        <w:t>max</w:t>
      </w:r>
      <w:r>
        <w:rPr>
          <w:rFonts w:hint="eastAsia"/>
        </w:rPr>
        <w:t>＞10%，确定大气环境评价等级为一级。</w:t>
      </w:r>
    </w:p>
    <w:p w14:paraId="55615AE1">
      <w:pPr>
        <w:pStyle w:val="5"/>
      </w:pPr>
      <w:r>
        <w:rPr>
          <w:rFonts w:hint="eastAsia"/>
        </w:rPr>
        <w:t>水环境评价等级</w:t>
      </w:r>
    </w:p>
    <w:p w14:paraId="12E85B2F">
      <w:pPr>
        <w:pStyle w:val="117"/>
        <w:ind w:firstLine="480"/>
        <w:rPr>
          <w:lang w:val="zh-CN"/>
        </w:rPr>
      </w:pPr>
      <w:r>
        <w:rPr>
          <w:rFonts w:hint="eastAsia"/>
          <w:lang w:val="zh-CN"/>
        </w:rPr>
        <w:t>（</w:t>
      </w:r>
      <w:r>
        <w:rPr>
          <w:rFonts w:hint="eastAsia"/>
        </w:rPr>
        <w:t>1</w:t>
      </w:r>
      <w:r>
        <w:rPr>
          <w:rFonts w:hint="eastAsia"/>
          <w:lang w:val="zh-CN"/>
        </w:rPr>
        <w:t>）地表水环境</w:t>
      </w:r>
    </w:p>
    <w:p w14:paraId="76FECDB2">
      <w:pPr>
        <w:ind w:firstLine="480"/>
      </w:pPr>
      <w:r>
        <w:rPr>
          <w:rFonts w:hint="eastAsia"/>
        </w:rPr>
        <w:t>本项目生产废水部分焚烧处理、部分处理后回用，生活污水经一体化处理设施处理后部分回用，部分排入园区污水厂进一步处理，均不外排。</w:t>
      </w:r>
      <w:r>
        <w:t>根据《环境影响评价技术导则</w:t>
      </w:r>
      <w:r>
        <w:rPr>
          <w:rFonts w:hint="eastAsia"/>
        </w:rPr>
        <w:t xml:space="preserve"> </w:t>
      </w:r>
      <w:r>
        <w:t>地表水环境》（HJ2.3-2018），</w:t>
      </w:r>
      <w:r>
        <w:rPr>
          <w:rFonts w:hint="eastAsia"/>
        </w:rPr>
        <w:t>评价等级</w:t>
      </w:r>
      <w:r>
        <w:t>按三级B评价。</w:t>
      </w:r>
    </w:p>
    <w:p w14:paraId="28262BA3">
      <w:pPr>
        <w:pStyle w:val="117"/>
        <w:ind w:firstLine="480"/>
      </w:pPr>
      <w:r>
        <w:rPr>
          <w:rFonts w:hint="eastAsia"/>
        </w:rPr>
        <w:t>（2）地下水环境</w:t>
      </w:r>
    </w:p>
    <w:p w14:paraId="5B64DD5C">
      <w:pPr>
        <w:pStyle w:val="117"/>
        <w:ind w:firstLine="480"/>
      </w:pPr>
      <w:r>
        <w:rPr>
          <w:rFonts w:hint="eastAsia"/>
        </w:rPr>
        <w:t>根据《环境影响评价技术导则 地下水环境》（HJ610-2016）规定，地下水环境影响评价工作级别划分依据主要为建设项目地下水环境影响评价项目类别和建设项目的地下水环境敏感程度。</w:t>
      </w:r>
    </w:p>
    <w:p w14:paraId="478D07C2">
      <w:pPr>
        <w:pStyle w:val="117"/>
        <w:ind w:firstLine="480"/>
      </w:pPr>
      <w:bookmarkStart w:id="137" w:name="_Hlk187431373"/>
      <w:r>
        <w:rPr>
          <w:rFonts w:hint="eastAsia"/>
        </w:rPr>
        <w:t>本项目涉及焦化行业和铁合金制造行业，根据《环境影响评价技术导则 地下水环境》（HJ610-2016）附录A地下水环境影响评价行业分类表（见表1.4-6）确定分别属于地下水环境影响评价项目类别中的</w:t>
      </w:r>
      <w:r>
        <w:rPr>
          <w:rFonts w:cs="Times New Roman"/>
        </w:rPr>
        <w:t>Ⅰ</w:t>
      </w:r>
      <w:r>
        <w:rPr>
          <w:rFonts w:hint="eastAsia"/>
        </w:rPr>
        <w:t>和Ⅲ类；</w:t>
      </w:r>
      <w:bookmarkEnd w:id="137"/>
      <w:r>
        <w:rPr>
          <w:rFonts w:hint="eastAsia"/>
        </w:rPr>
        <w:t>本项目所在区域不涉及集中式饮用水水源（包括已建成的在用、备用、应急水源，在建和规划的饮用</w:t>
      </w:r>
    </w:p>
    <w:p w14:paraId="086F888E">
      <w:pPr>
        <w:pStyle w:val="118"/>
        <w:rPr>
          <w:color w:val="auto"/>
        </w:rPr>
        <w:sectPr>
          <w:pgSz w:w="11906" w:h="16838"/>
          <w:pgMar w:top="1440" w:right="1800" w:bottom="1440" w:left="1800" w:header="1020" w:footer="992" w:gutter="0"/>
          <w:cols w:space="425" w:num="1"/>
          <w:docGrid w:type="lines" w:linePitch="326" w:charSpace="0"/>
        </w:sectPr>
      </w:pPr>
    </w:p>
    <w:p w14:paraId="39D6525A">
      <w:pPr>
        <w:pStyle w:val="118"/>
      </w:pPr>
      <w:r>
        <w:t>表</w:t>
      </w:r>
      <w:r>
        <w:rPr>
          <w:rFonts w:hint="eastAsia"/>
        </w:rPr>
        <w:t>1.4</w:t>
      </w:r>
      <w:r>
        <w:t>-3  项目有组织污染物计算参数选取值一览表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11"/>
        <w:gridCol w:w="1710"/>
        <w:gridCol w:w="822"/>
        <w:gridCol w:w="822"/>
        <w:gridCol w:w="920"/>
        <w:gridCol w:w="912"/>
        <w:gridCol w:w="920"/>
        <w:gridCol w:w="839"/>
        <w:gridCol w:w="663"/>
        <w:gridCol w:w="663"/>
        <w:gridCol w:w="663"/>
        <w:gridCol w:w="663"/>
        <w:gridCol w:w="663"/>
        <w:gridCol w:w="652"/>
        <w:gridCol w:w="652"/>
        <w:gridCol w:w="607"/>
        <w:gridCol w:w="607"/>
        <w:gridCol w:w="599"/>
      </w:tblGrid>
      <w:tr w14:paraId="078A8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vMerge w:val="restart"/>
            <w:noWrap/>
            <w:vAlign w:val="center"/>
          </w:tcPr>
          <w:p w14:paraId="6E222B52">
            <w:pPr>
              <w:pStyle w:val="133"/>
              <w:rPr>
                <w:rFonts w:cs="Times New Roman"/>
                <w:b/>
                <w:bCs/>
                <w:sz w:val="18"/>
                <w:szCs w:val="18"/>
              </w:rPr>
            </w:pPr>
            <w:r>
              <w:rPr>
                <w:rFonts w:cs="Times New Roman"/>
                <w:b/>
                <w:bCs/>
                <w:sz w:val="18"/>
                <w:szCs w:val="18"/>
              </w:rPr>
              <w:t>编号</w:t>
            </w:r>
          </w:p>
        </w:tc>
        <w:tc>
          <w:tcPr>
            <w:tcW w:w="611" w:type="pct"/>
            <w:vMerge w:val="restart"/>
            <w:noWrap/>
            <w:vAlign w:val="center"/>
          </w:tcPr>
          <w:p w14:paraId="2FE4E6D2">
            <w:pPr>
              <w:pStyle w:val="133"/>
              <w:rPr>
                <w:rFonts w:cs="Times New Roman"/>
                <w:b/>
                <w:bCs/>
                <w:sz w:val="18"/>
                <w:szCs w:val="18"/>
              </w:rPr>
            </w:pPr>
            <w:r>
              <w:rPr>
                <w:rFonts w:cs="Times New Roman"/>
                <w:b/>
                <w:bCs/>
                <w:sz w:val="18"/>
                <w:szCs w:val="18"/>
              </w:rPr>
              <w:t>点源名称</w:t>
            </w:r>
          </w:p>
        </w:tc>
        <w:tc>
          <w:tcPr>
            <w:tcW w:w="294" w:type="pct"/>
            <w:vMerge w:val="restart"/>
            <w:vAlign w:val="center"/>
          </w:tcPr>
          <w:p w14:paraId="7B77CDD8">
            <w:pPr>
              <w:pStyle w:val="133"/>
              <w:rPr>
                <w:rFonts w:cs="Times New Roman"/>
                <w:b/>
                <w:bCs/>
                <w:sz w:val="18"/>
                <w:szCs w:val="18"/>
              </w:rPr>
            </w:pPr>
            <w:r>
              <w:rPr>
                <w:rFonts w:cs="Times New Roman"/>
                <w:b/>
                <w:bCs/>
                <w:sz w:val="18"/>
                <w:szCs w:val="18"/>
              </w:rPr>
              <w:t>X坐标</w:t>
            </w:r>
          </w:p>
        </w:tc>
        <w:tc>
          <w:tcPr>
            <w:tcW w:w="294" w:type="pct"/>
            <w:vMerge w:val="restart"/>
            <w:vAlign w:val="center"/>
          </w:tcPr>
          <w:p w14:paraId="3E20C337">
            <w:pPr>
              <w:pStyle w:val="133"/>
              <w:rPr>
                <w:rFonts w:cs="Times New Roman"/>
                <w:b/>
                <w:bCs/>
                <w:sz w:val="18"/>
                <w:szCs w:val="18"/>
              </w:rPr>
            </w:pPr>
            <w:r>
              <w:rPr>
                <w:rFonts w:cs="Times New Roman"/>
                <w:b/>
                <w:bCs/>
                <w:sz w:val="18"/>
                <w:szCs w:val="18"/>
              </w:rPr>
              <w:t>Y坐标</w:t>
            </w:r>
          </w:p>
        </w:tc>
        <w:tc>
          <w:tcPr>
            <w:tcW w:w="329" w:type="pct"/>
            <w:vMerge w:val="restart"/>
            <w:noWrap/>
            <w:vAlign w:val="center"/>
          </w:tcPr>
          <w:p w14:paraId="09EDF69E">
            <w:pPr>
              <w:pStyle w:val="133"/>
              <w:rPr>
                <w:rFonts w:cs="Times New Roman"/>
                <w:b/>
                <w:bCs/>
                <w:sz w:val="18"/>
                <w:szCs w:val="18"/>
              </w:rPr>
            </w:pPr>
            <w:r>
              <w:rPr>
                <w:rFonts w:cs="Times New Roman"/>
                <w:b/>
                <w:bCs/>
                <w:sz w:val="18"/>
                <w:szCs w:val="18"/>
              </w:rPr>
              <w:t>排气筒</w:t>
            </w:r>
          </w:p>
          <w:p w14:paraId="091AB284">
            <w:pPr>
              <w:pStyle w:val="133"/>
              <w:rPr>
                <w:rFonts w:cs="Times New Roman"/>
                <w:b/>
                <w:bCs/>
                <w:sz w:val="18"/>
                <w:szCs w:val="18"/>
              </w:rPr>
            </w:pPr>
            <w:r>
              <w:rPr>
                <w:rFonts w:cs="Times New Roman"/>
                <w:b/>
                <w:bCs/>
                <w:sz w:val="18"/>
                <w:szCs w:val="18"/>
              </w:rPr>
              <w:t>高度</w:t>
            </w:r>
          </w:p>
        </w:tc>
        <w:tc>
          <w:tcPr>
            <w:tcW w:w="326" w:type="pct"/>
            <w:vMerge w:val="restart"/>
            <w:noWrap/>
            <w:vAlign w:val="center"/>
          </w:tcPr>
          <w:p w14:paraId="603F1E62">
            <w:pPr>
              <w:pStyle w:val="133"/>
              <w:rPr>
                <w:rFonts w:cs="Times New Roman"/>
                <w:b/>
                <w:bCs/>
                <w:sz w:val="18"/>
                <w:szCs w:val="18"/>
              </w:rPr>
            </w:pPr>
            <w:r>
              <w:rPr>
                <w:rFonts w:cs="Times New Roman"/>
                <w:b/>
                <w:bCs/>
                <w:sz w:val="18"/>
                <w:szCs w:val="18"/>
              </w:rPr>
              <w:t>排气筒</w:t>
            </w:r>
          </w:p>
          <w:p w14:paraId="707D8AC9">
            <w:pPr>
              <w:pStyle w:val="133"/>
              <w:rPr>
                <w:rFonts w:cs="Times New Roman"/>
                <w:b/>
                <w:bCs/>
                <w:sz w:val="18"/>
                <w:szCs w:val="18"/>
              </w:rPr>
            </w:pPr>
            <w:r>
              <w:rPr>
                <w:rFonts w:cs="Times New Roman"/>
                <w:b/>
                <w:bCs/>
                <w:sz w:val="18"/>
                <w:szCs w:val="18"/>
              </w:rPr>
              <w:t>内径</w:t>
            </w:r>
          </w:p>
        </w:tc>
        <w:tc>
          <w:tcPr>
            <w:tcW w:w="329" w:type="pct"/>
            <w:vMerge w:val="restart"/>
            <w:noWrap/>
            <w:vAlign w:val="center"/>
          </w:tcPr>
          <w:p w14:paraId="1B424485">
            <w:pPr>
              <w:pStyle w:val="133"/>
              <w:rPr>
                <w:rFonts w:cs="Times New Roman"/>
                <w:b/>
                <w:bCs/>
                <w:sz w:val="18"/>
                <w:szCs w:val="18"/>
              </w:rPr>
            </w:pPr>
            <w:r>
              <w:rPr>
                <w:rFonts w:cs="Times New Roman"/>
                <w:b/>
                <w:bCs/>
                <w:sz w:val="18"/>
                <w:szCs w:val="18"/>
              </w:rPr>
              <w:t>烟气出口</w:t>
            </w:r>
          </w:p>
          <w:p w14:paraId="584B73C3">
            <w:pPr>
              <w:pStyle w:val="133"/>
              <w:rPr>
                <w:rFonts w:cs="Times New Roman"/>
                <w:b/>
                <w:bCs/>
                <w:sz w:val="18"/>
                <w:szCs w:val="18"/>
              </w:rPr>
            </w:pPr>
            <w:r>
              <w:rPr>
                <w:rFonts w:cs="Times New Roman"/>
                <w:b/>
                <w:bCs/>
                <w:sz w:val="18"/>
                <w:szCs w:val="18"/>
              </w:rPr>
              <w:t>温度</w:t>
            </w:r>
          </w:p>
        </w:tc>
        <w:tc>
          <w:tcPr>
            <w:tcW w:w="300" w:type="pct"/>
            <w:vMerge w:val="restart"/>
            <w:vAlign w:val="center"/>
          </w:tcPr>
          <w:p w14:paraId="61A4EAB0">
            <w:pPr>
              <w:pStyle w:val="133"/>
              <w:rPr>
                <w:rFonts w:cs="Times New Roman"/>
                <w:b/>
                <w:bCs/>
                <w:sz w:val="18"/>
                <w:szCs w:val="18"/>
              </w:rPr>
            </w:pPr>
            <w:r>
              <w:rPr>
                <w:rFonts w:cs="Times New Roman"/>
                <w:b/>
                <w:bCs/>
                <w:sz w:val="18"/>
                <w:szCs w:val="18"/>
              </w:rPr>
              <w:t>烟气</w:t>
            </w:r>
          </w:p>
          <w:p w14:paraId="0ECC3C87">
            <w:pPr>
              <w:pStyle w:val="133"/>
              <w:rPr>
                <w:rFonts w:cs="Times New Roman"/>
                <w:b/>
                <w:bCs/>
                <w:sz w:val="18"/>
                <w:szCs w:val="18"/>
              </w:rPr>
            </w:pPr>
            <w:r>
              <w:rPr>
                <w:rFonts w:cs="Times New Roman"/>
                <w:b/>
                <w:bCs/>
                <w:sz w:val="18"/>
                <w:szCs w:val="18"/>
              </w:rPr>
              <w:t>流量</w:t>
            </w:r>
          </w:p>
        </w:tc>
        <w:tc>
          <w:tcPr>
            <w:tcW w:w="2299" w:type="pct"/>
            <w:gridSpan w:val="10"/>
            <w:vAlign w:val="center"/>
          </w:tcPr>
          <w:p w14:paraId="427FB449">
            <w:pPr>
              <w:pStyle w:val="133"/>
              <w:rPr>
                <w:rFonts w:cs="Times New Roman"/>
                <w:b/>
                <w:bCs/>
                <w:sz w:val="18"/>
                <w:szCs w:val="18"/>
              </w:rPr>
            </w:pPr>
            <w:r>
              <w:rPr>
                <w:rFonts w:cs="Times New Roman"/>
                <w:b/>
                <w:bCs/>
                <w:sz w:val="18"/>
                <w:szCs w:val="18"/>
              </w:rPr>
              <w:t>排放速率（kg/h）</w:t>
            </w:r>
          </w:p>
        </w:tc>
      </w:tr>
      <w:tr w14:paraId="2BC92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vMerge w:val="continue"/>
            <w:noWrap/>
            <w:vAlign w:val="center"/>
          </w:tcPr>
          <w:p w14:paraId="68DE0083">
            <w:pPr>
              <w:pStyle w:val="133"/>
              <w:rPr>
                <w:rFonts w:cs="Times New Roman"/>
                <w:b/>
                <w:bCs/>
                <w:sz w:val="18"/>
                <w:szCs w:val="18"/>
              </w:rPr>
            </w:pPr>
          </w:p>
        </w:tc>
        <w:tc>
          <w:tcPr>
            <w:tcW w:w="611" w:type="pct"/>
            <w:vMerge w:val="continue"/>
            <w:noWrap/>
            <w:vAlign w:val="center"/>
          </w:tcPr>
          <w:p w14:paraId="27C696DB">
            <w:pPr>
              <w:pStyle w:val="133"/>
              <w:rPr>
                <w:rFonts w:cs="Times New Roman"/>
                <w:b/>
                <w:bCs/>
                <w:sz w:val="18"/>
                <w:szCs w:val="18"/>
              </w:rPr>
            </w:pPr>
          </w:p>
        </w:tc>
        <w:tc>
          <w:tcPr>
            <w:tcW w:w="294" w:type="pct"/>
            <w:vMerge w:val="continue"/>
            <w:vAlign w:val="center"/>
          </w:tcPr>
          <w:p w14:paraId="08960D4E">
            <w:pPr>
              <w:pStyle w:val="133"/>
              <w:rPr>
                <w:rFonts w:cs="Times New Roman"/>
                <w:b/>
                <w:bCs/>
                <w:sz w:val="18"/>
                <w:szCs w:val="18"/>
              </w:rPr>
            </w:pPr>
          </w:p>
        </w:tc>
        <w:tc>
          <w:tcPr>
            <w:tcW w:w="294" w:type="pct"/>
            <w:vMerge w:val="continue"/>
            <w:vAlign w:val="center"/>
          </w:tcPr>
          <w:p w14:paraId="7F891038">
            <w:pPr>
              <w:pStyle w:val="133"/>
              <w:rPr>
                <w:rFonts w:cs="Times New Roman"/>
                <w:b/>
                <w:bCs/>
                <w:sz w:val="18"/>
                <w:szCs w:val="18"/>
              </w:rPr>
            </w:pPr>
          </w:p>
        </w:tc>
        <w:tc>
          <w:tcPr>
            <w:tcW w:w="329" w:type="pct"/>
            <w:vMerge w:val="continue"/>
            <w:noWrap/>
            <w:vAlign w:val="center"/>
          </w:tcPr>
          <w:p w14:paraId="48403EF6">
            <w:pPr>
              <w:pStyle w:val="133"/>
              <w:rPr>
                <w:rFonts w:cs="Times New Roman"/>
                <w:b/>
                <w:bCs/>
                <w:sz w:val="18"/>
                <w:szCs w:val="18"/>
              </w:rPr>
            </w:pPr>
          </w:p>
        </w:tc>
        <w:tc>
          <w:tcPr>
            <w:tcW w:w="326" w:type="pct"/>
            <w:vMerge w:val="continue"/>
            <w:noWrap/>
            <w:vAlign w:val="center"/>
          </w:tcPr>
          <w:p w14:paraId="63BC3EB4">
            <w:pPr>
              <w:pStyle w:val="133"/>
              <w:rPr>
                <w:rFonts w:cs="Times New Roman"/>
                <w:b/>
                <w:bCs/>
                <w:sz w:val="18"/>
                <w:szCs w:val="18"/>
              </w:rPr>
            </w:pPr>
          </w:p>
        </w:tc>
        <w:tc>
          <w:tcPr>
            <w:tcW w:w="329" w:type="pct"/>
            <w:vMerge w:val="continue"/>
            <w:noWrap/>
            <w:vAlign w:val="center"/>
          </w:tcPr>
          <w:p w14:paraId="47BE6957">
            <w:pPr>
              <w:pStyle w:val="133"/>
              <w:rPr>
                <w:rFonts w:cs="Times New Roman"/>
                <w:b/>
                <w:bCs/>
                <w:sz w:val="18"/>
                <w:szCs w:val="18"/>
              </w:rPr>
            </w:pPr>
          </w:p>
        </w:tc>
        <w:tc>
          <w:tcPr>
            <w:tcW w:w="300" w:type="pct"/>
            <w:vMerge w:val="continue"/>
            <w:vAlign w:val="center"/>
          </w:tcPr>
          <w:p w14:paraId="6EDC024C">
            <w:pPr>
              <w:pStyle w:val="133"/>
              <w:rPr>
                <w:rFonts w:cs="Times New Roman"/>
                <w:b/>
                <w:bCs/>
                <w:sz w:val="18"/>
                <w:szCs w:val="18"/>
              </w:rPr>
            </w:pPr>
          </w:p>
        </w:tc>
        <w:tc>
          <w:tcPr>
            <w:tcW w:w="237" w:type="pct"/>
            <w:vAlign w:val="center"/>
          </w:tcPr>
          <w:p w14:paraId="095119B2">
            <w:pPr>
              <w:pStyle w:val="133"/>
              <w:rPr>
                <w:rFonts w:cs="Times New Roman"/>
                <w:b/>
                <w:bCs/>
                <w:sz w:val="18"/>
                <w:szCs w:val="18"/>
              </w:rPr>
            </w:pPr>
            <w:r>
              <w:rPr>
                <w:rFonts w:cs="Times New Roman"/>
                <w:b/>
                <w:bCs/>
                <w:sz w:val="18"/>
                <w:szCs w:val="18"/>
              </w:rPr>
              <w:t>SO</w:t>
            </w:r>
            <w:r>
              <w:rPr>
                <w:rFonts w:cs="Times New Roman"/>
                <w:b/>
                <w:bCs/>
                <w:sz w:val="18"/>
                <w:szCs w:val="18"/>
                <w:vertAlign w:val="subscript"/>
              </w:rPr>
              <w:t>2</w:t>
            </w:r>
          </w:p>
        </w:tc>
        <w:tc>
          <w:tcPr>
            <w:tcW w:w="237" w:type="pct"/>
            <w:vAlign w:val="center"/>
          </w:tcPr>
          <w:p w14:paraId="07536D5A">
            <w:pPr>
              <w:pStyle w:val="133"/>
              <w:rPr>
                <w:rFonts w:cs="Times New Roman"/>
                <w:b/>
                <w:bCs/>
                <w:sz w:val="18"/>
                <w:szCs w:val="18"/>
              </w:rPr>
            </w:pPr>
            <w:r>
              <w:rPr>
                <w:rFonts w:cs="Times New Roman"/>
                <w:b/>
                <w:bCs/>
                <w:sz w:val="18"/>
                <w:szCs w:val="18"/>
              </w:rPr>
              <w:t>NO</w:t>
            </w:r>
            <w:r>
              <w:rPr>
                <w:rFonts w:cs="Times New Roman"/>
                <w:b/>
                <w:bCs/>
                <w:sz w:val="18"/>
                <w:szCs w:val="18"/>
                <w:vertAlign w:val="subscript"/>
              </w:rPr>
              <w:t>2</w:t>
            </w:r>
          </w:p>
        </w:tc>
        <w:tc>
          <w:tcPr>
            <w:tcW w:w="237" w:type="pct"/>
            <w:noWrap/>
            <w:vAlign w:val="center"/>
          </w:tcPr>
          <w:p w14:paraId="2696C534">
            <w:pPr>
              <w:pStyle w:val="133"/>
              <w:rPr>
                <w:rFonts w:cs="Times New Roman"/>
                <w:b/>
                <w:bCs/>
                <w:sz w:val="18"/>
                <w:szCs w:val="18"/>
              </w:rPr>
            </w:pPr>
            <w:r>
              <w:rPr>
                <w:rFonts w:cs="Times New Roman"/>
                <w:b/>
                <w:bCs/>
                <w:sz w:val="18"/>
                <w:szCs w:val="18"/>
              </w:rPr>
              <w:t>PM</w:t>
            </w:r>
            <w:r>
              <w:rPr>
                <w:rFonts w:cs="Times New Roman"/>
                <w:b/>
                <w:bCs/>
                <w:sz w:val="18"/>
                <w:szCs w:val="18"/>
                <w:vertAlign w:val="subscript"/>
              </w:rPr>
              <w:t>10</w:t>
            </w:r>
          </w:p>
        </w:tc>
        <w:tc>
          <w:tcPr>
            <w:tcW w:w="237" w:type="pct"/>
            <w:noWrap/>
            <w:vAlign w:val="center"/>
          </w:tcPr>
          <w:p w14:paraId="01181584">
            <w:pPr>
              <w:pStyle w:val="133"/>
              <w:rPr>
                <w:rFonts w:cs="Times New Roman"/>
                <w:b/>
                <w:bCs/>
                <w:sz w:val="18"/>
                <w:szCs w:val="18"/>
              </w:rPr>
            </w:pPr>
            <w:r>
              <w:rPr>
                <w:rFonts w:cs="Times New Roman"/>
                <w:b/>
                <w:bCs/>
                <w:sz w:val="18"/>
                <w:szCs w:val="18"/>
              </w:rPr>
              <w:t>PM</w:t>
            </w:r>
            <w:r>
              <w:rPr>
                <w:rFonts w:cs="Times New Roman"/>
                <w:b/>
                <w:bCs/>
                <w:sz w:val="18"/>
                <w:szCs w:val="18"/>
                <w:vertAlign w:val="subscript"/>
              </w:rPr>
              <w:t>2.5</w:t>
            </w:r>
          </w:p>
        </w:tc>
        <w:tc>
          <w:tcPr>
            <w:tcW w:w="237" w:type="pct"/>
            <w:vAlign w:val="center"/>
          </w:tcPr>
          <w:p w14:paraId="13FE1038">
            <w:pPr>
              <w:pStyle w:val="133"/>
              <w:rPr>
                <w:rFonts w:cs="Times New Roman"/>
                <w:b/>
                <w:bCs/>
                <w:sz w:val="18"/>
                <w:szCs w:val="18"/>
              </w:rPr>
            </w:pPr>
            <w:r>
              <w:rPr>
                <w:rFonts w:cs="Times New Roman"/>
                <w:b/>
                <w:bCs/>
                <w:sz w:val="18"/>
                <w:szCs w:val="18"/>
              </w:rPr>
              <w:t>BaP</w:t>
            </w:r>
          </w:p>
        </w:tc>
        <w:tc>
          <w:tcPr>
            <w:tcW w:w="233" w:type="pct"/>
            <w:vAlign w:val="center"/>
          </w:tcPr>
          <w:p w14:paraId="14C0EEB8">
            <w:pPr>
              <w:pStyle w:val="133"/>
              <w:rPr>
                <w:rFonts w:cs="Times New Roman"/>
                <w:b/>
                <w:bCs/>
                <w:sz w:val="18"/>
                <w:szCs w:val="18"/>
              </w:rPr>
            </w:pPr>
            <w:r>
              <w:rPr>
                <w:rFonts w:cs="Times New Roman"/>
                <w:b/>
                <w:bCs/>
                <w:sz w:val="18"/>
                <w:szCs w:val="18"/>
              </w:rPr>
              <w:t>NH</w:t>
            </w:r>
            <w:r>
              <w:rPr>
                <w:rFonts w:cs="Times New Roman"/>
                <w:b/>
                <w:bCs/>
                <w:sz w:val="18"/>
                <w:szCs w:val="18"/>
                <w:vertAlign w:val="subscript"/>
              </w:rPr>
              <w:t>3</w:t>
            </w:r>
          </w:p>
        </w:tc>
        <w:tc>
          <w:tcPr>
            <w:tcW w:w="233" w:type="pct"/>
            <w:vAlign w:val="center"/>
          </w:tcPr>
          <w:p w14:paraId="4892B490">
            <w:pPr>
              <w:pStyle w:val="133"/>
              <w:rPr>
                <w:rFonts w:cs="Times New Roman"/>
                <w:b/>
                <w:bCs/>
                <w:sz w:val="18"/>
                <w:szCs w:val="18"/>
              </w:rPr>
            </w:pPr>
            <w:r>
              <w:rPr>
                <w:rFonts w:cs="Times New Roman"/>
                <w:b/>
                <w:bCs/>
                <w:sz w:val="18"/>
                <w:szCs w:val="18"/>
              </w:rPr>
              <w:t>H</w:t>
            </w:r>
            <w:r>
              <w:rPr>
                <w:rFonts w:cs="Times New Roman"/>
                <w:b/>
                <w:bCs/>
                <w:sz w:val="18"/>
                <w:szCs w:val="18"/>
                <w:vertAlign w:val="subscript"/>
              </w:rPr>
              <w:t>2</w:t>
            </w:r>
            <w:r>
              <w:rPr>
                <w:rFonts w:cs="Times New Roman"/>
                <w:b/>
                <w:bCs/>
                <w:sz w:val="18"/>
                <w:szCs w:val="18"/>
              </w:rPr>
              <w:t>S</w:t>
            </w:r>
          </w:p>
        </w:tc>
        <w:tc>
          <w:tcPr>
            <w:tcW w:w="217" w:type="pct"/>
            <w:vAlign w:val="center"/>
          </w:tcPr>
          <w:p w14:paraId="3F25E4D9">
            <w:pPr>
              <w:pStyle w:val="133"/>
              <w:rPr>
                <w:rFonts w:cs="Times New Roman"/>
                <w:b/>
                <w:bCs/>
                <w:sz w:val="18"/>
                <w:szCs w:val="18"/>
              </w:rPr>
            </w:pPr>
            <w:r>
              <w:rPr>
                <w:rFonts w:cs="Times New Roman"/>
                <w:b/>
                <w:bCs/>
                <w:sz w:val="18"/>
                <w:szCs w:val="18"/>
              </w:rPr>
              <w:t>NMHC</w:t>
            </w:r>
          </w:p>
        </w:tc>
        <w:tc>
          <w:tcPr>
            <w:tcW w:w="217" w:type="pct"/>
            <w:vAlign w:val="center"/>
          </w:tcPr>
          <w:p w14:paraId="43FA7B92">
            <w:pPr>
              <w:pStyle w:val="133"/>
              <w:rPr>
                <w:rFonts w:cs="Times New Roman"/>
                <w:b/>
                <w:bCs/>
                <w:sz w:val="18"/>
                <w:szCs w:val="18"/>
              </w:rPr>
            </w:pPr>
            <w:r>
              <w:rPr>
                <w:rFonts w:hint="eastAsia" w:cs="Times New Roman"/>
                <w:b/>
                <w:bCs/>
                <w:sz w:val="18"/>
                <w:szCs w:val="18"/>
              </w:rPr>
              <w:t>酚类</w:t>
            </w:r>
          </w:p>
        </w:tc>
        <w:tc>
          <w:tcPr>
            <w:tcW w:w="214" w:type="pct"/>
            <w:vAlign w:val="center"/>
          </w:tcPr>
          <w:p w14:paraId="7B635DF6">
            <w:pPr>
              <w:pStyle w:val="133"/>
              <w:rPr>
                <w:rFonts w:cs="Times New Roman"/>
                <w:b/>
                <w:bCs/>
                <w:sz w:val="18"/>
                <w:szCs w:val="18"/>
              </w:rPr>
            </w:pPr>
            <w:r>
              <w:rPr>
                <w:rFonts w:hint="eastAsia" w:cs="Times New Roman"/>
                <w:b/>
                <w:bCs/>
                <w:sz w:val="18"/>
                <w:szCs w:val="18"/>
              </w:rPr>
              <w:t>氰化氢</w:t>
            </w:r>
          </w:p>
        </w:tc>
      </w:tr>
      <w:tr w14:paraId="15452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vMerge w:val="continue"/>
            <w:noWrap/>
            <w:vAlign w:val="center"/>
          </w:tcPr>
          <w:p w14:paraId="5E67FC26">
            <w:pPr>
              <w:pStyle w:val="133"/>
              <w:rPr>
                <w:rFonts w:cs="Times New Roman"/>
                <w:b/>
                <w:bCs/>
                <w:sz w:val="18"/>
                <w:szCs w:val="18"/>
              </w:rPr>
            </w:pPr>
          </w:p>
        </w:tc>
        <w:tc>
          <w:tcPr>
            <w:tcW w:w="611" w:type="pct"/>
            <w:noWrap/>
            <w:vAlign w:val="center"/>
          </w:tcPr>
          <w:p w14:paraId="56412DE5">
            <w:pPr>
              <w:pStyle w:val="133"/>
              <w:rPr>
                <w:rFonts w:cs="Times New Roman"/>
                <w:b/>
                <w:bCs/>
                <w:sz w:val="18"/>
                <w:szCs w:val="18"/>
              </w:rPr>
            </w:pPr>
            <w:r>
              <w:rPr>
                <w:rFonts w:cs="Times New Roman"/>
                <w:b/>
                <w:bCs/>
                <w:sz w:val="18"/>
                <w:szCs w:val="18"/>
              </w:rPr>
              <w:t>单位</w:t>
            </w:r>
          </w:p>
        </w:tc>
        <w:tc>
          <w:tcPr>
            <w:tcW w:w="294" w:type="pct"/>
            <w:vAlign w:val="center"/>
          </w:tcPr>
          <w:p w14:paraId="1D8AA035">
            <w:pPr>
              <w:pStyle w:val="133"/>
              <w:rPr>
                <w:rFonts w:cs="Times New Roman"/>
                <w:b/>
                <w:bCs/>
                <w:sz w:val="18"/>
                <w:szCs w:val="18"/>
              </w:rPr>
            </w:pPr>
            <w:r>
              <w:rPr>
                <w:rFonts w:cs="Times New Roman"/>
                <w:b/>
                <w:bCs/>
                <w:sz w:val="18"/>
                <w:szCs w:val="18"/>
              </w:rPr>
              <w:t>Px</w:t>
            </w:r>
          </w:p>
        </w:tc>
        <w:tc>
          <w:tcPr>
            <w:tcW w:w="294" w:type="pct"/>
            <w:vAlign w:val="center"/>
          </w:tcPr>
          <w:p w14:paraId="6A30C7F3">
            <w:pPr>
              <w:pStyle w:val="133"/>
              <w:rPr>
                <w:rFonts w:cs="Times New Roman"/>
                <w:b/>
                <w:bCs/>
                <w:sz w:val="18"/>
                <w:szCs w:val="18"/>
              </w:rPr>
            </w:pPr>
            <w:r>
              <w:rPr>
                <w:rFonts w:cs="Times New Roman"/>
                <w:b/>
                <w:bCs/>
                <w:sz w:val="18"/>
                <w:szCs w:val="18"/>
              </w:rPr>
              <w:t>Py</w:t>
            </w:r>
          </w:p>
        </w:tc>
        <w:tc>
          <w:tcPr>
            <w:tcW w:w="329" w:type="pct"/>
            <w:noWrap/>
            <w:vAlign w:val="center"/>
          </w:tcPr>
          <w:p w14:paraId="6C73A60B">
            <w:pPr>
              <w:pStyle w:val="133"/>
              <w:rPr>
                <w:rFonts w:cs="Times New Roman"/>
                <w:b/>
                <w:bCs/>
                <w:sz w:val="18"/>
                <w:szCs w:val="18"/>
              </w:rPr>
            </w:pPr>
            <w:r>
              <w:rPr>
                <w:rFonts w:cs="Times New Roman"/>
                <w:b/>
                <w:bCs/>
                <w:sz w:val="18"/>
                <w:szCs w:val="18"/>
              </w:rPr>
              <w:t>H(m)</w:t>
            </w:r>
          </w:p>
        </w:tc>
        <w:tc>
          <w:tcPr>
            <w:tcW w:w="326" w:type="pct"/>
            <w:noWrap/>
            <w:vAlign w:val="center"/>
          </w:tcPr>
          <w:p w14:paraId="2BB5DC00">
            <w:pPr>
              <w:pStyle w:val="133"/>
              <w:rPr>
                <w:rFonts w:cs="Times New Roman"/>
                <w:b/>
                <w:bCs/>
                <w:sz w:val="18"/>
                <w:szCs w:val="18"/>
              </w:rPr>
            </w:pPr>
            <w:r>
              <w:rPr>
                <w:rFonts w:cs="Times New Roman"/>
                <w:b/>
                <w:bCs/>
                <w:sz w:val="18"/>
                <w:szCs w:val="18"/>
              </w:rPr>
              <w:t>D(m)</w:t>
            </w:r>
          </w:p>
        </w:tc>
        <w:tc>
          <w:tcPr>
            <w:tcW w:w="329" w:type="pct"/>
            <w:noWrap/>
            <w:vAlign w:val="center"/>
          </w:tcPr>
          <w:p w14:paraId="7AC5A3F8">
            <w:pPr>
              <w:pStyle w:val="133"/>
              <w:rPr>
                <w:rFonts w:cs="Times New Roman"/>
                <w:b/>
                <w:bCs/>
                <w:sz w:val="18"/>
                <w:szCs w:val="18"/>
              </w:rPr>
            </w:pPr>
            <w:r>
              <w:rPr>
                <w:rFonts w:cs="Times New Roman"/>
                <w:b/>
                <w:bCs/>
                <w:sz w:val="18"/>
                <w:szCs w:val="18"/>
              </w:rPr>
              <w:t>T(℃)</w:t>
            </w:r>
          </w:p>
        </w:tc>
        <w:tc>
          <w:tcPr>
            <w:tcW w:w="300" w:type="pct"/>
            <w:vAlign w:val="center"/>
          </w:tcPr>
          <w:p w14:paraId="0B30553C">
            <w:pPr>
              <w:pStyle w:val="133"/>
              <w:rPr>
                <w:rFonts w:cs="Times New Roman"/>
                <w:b/>
                <w:bCs/>
                <w:sz w:val="18"/>
                <w:szCs w:val="18"/>
              </w:rPr>
            </w:pPr>
            <w:r>
              <w:rPr>
                <w:rFonts w:cs="Times New Roman"/>
                <w:b/>
                <w:bCs/>
                <w:sz w:val="18"/>
                <w:szCs w:val="18"/>
              </w:rPr>
              <w:t>V/m³/h</w:t>
            </w:r>
          </w:p>
        </w:tc>
        <w:tc>
          <w:tcPr>
            <w:tcW w:w="237" w:type="pct"/>
            <w:vAlign w:val="center"/>
          </w:tcPr>
          <w:p w14:paraId="5842A740">
            <w:pPr>
              <w:pStyle w:val="133"/>
              <w:rPr>
                <w:rFonts w:cs="Times New Roman"/>
                <w:b/>
                <w:bCs/>
                <w:sz w:val="18"/>
                <w:szCs w:val="18"/>
              </w:rPr>
            </w:pPr>
            <w:r>
              <w:rPr>
                <w:rFonts w:cs="Times New Roman"/>
                <w:b/>
                <w:bCs/>
                <w:sz w:val="18"/>
                <w:szCs w:val="18"/>
              </w:rPr>
              <w:t>Q</w:t>
            </w:r>
            <w:r>
              <w:rPr>
                <w:rFonts w:cs="Times New Roman"/>
                <w:b/>
                <w:bCs/>
                <w:sz w:val="18"/>
                <w:szCs w:val="18"/>
                <w:vertAlign w:val="subscript"/>
              </w:rPr>
              <w:t>SO2</w:t>
            </w:r>
          </w:p>
        </w:tc>
        <w:tc>
          <w:tcPr>
            <w:tcW w:w="237" w:type="pct"/>
            <w:vAlign w:val="center"/>
          </w:tcPr>
          <w:p w14:paraId="101734E5">
            <w:pPr>
              <w:pStyle w:val="133"/>
              <w:rPr>
                <w:rFonts w:cs="Times New Roman"/>
                <w:b/>
                <w:bCs/>
                <w:sz w:val="18"/>
                <w:szCs w:val="18"/>
              </w:rPr>
            </w:pPr>
            <w:r>
              <w:rPr>
                <w:rFonts w:cs="Times New Roman"/>
                <w:b/>
                <w:bCs/>
                <w:sz w:val="18"/>
                <w:szCs w:val="18"/>
              </w:rPr>
              <w:t>Q</w:t>
            </w:r>
            <w:r>
              <w:rPr>
                <w:rFonts w:cs="Times New Roman"/>
                <w:b/>
                <w:bCs/>
                <w:sz w:val="18"/>
                <w:szCs w:val="18"/>
                <w:vertAlign w:val="subscript"/>
              </w:rPr>
              <w:t>NO2</w:t>
            </w:r>
          </w:p>
        </w:tc>
        <w:tc>
          <w:tcPr>
            <w:tcW w:w="237" w:type="pct"/>
            <w:noWrap/>
            <w:vAlign w:val="center"/>
          </w:tcPr>
          <w:p w14:paraId="6554E538">
            <w:pPr>
              <w:pStyle w:val="133"/>
              <w:rPr>
                <w:rFonts w:cs="Times New Roman"/>
                <w:b/>
                <w:bCs/>
                <w:sz w:val="18"/>
                <w:szCs w:val="18"/>
              </w:rPr>
            </w:pPr>
            <w:r>
              <w:rPr>
                <w:rFonts w:cs="Times New Roman"/>
                <w:b/>
                <w:bCs/>
                <w:sz w:val="18"/>
                <w:szCs w:val="18"/>
              </w:rPr>
              <w:t>Q</w:t>
            </w:r>
            <w:r>
              <w:rPr>
                <w:rFonts w:cs="Times New Roman"/>
                <w:b/>
                <w:bCs/>
                <w:sz w:val="18"/>
                <w:szCs w:val="18"/>
                <w:vertAlign w:val="subscript"/>
              </w:rPr>
              <w:t>PM10</w:t>
            </w:r>
          </w:p>
        </w:tc>
        <w:tc>
          <w:tcPr>
            <w:tcW w:w="237" w:type="pct"/>
            <w:noWrap/>
            <w:vAlign w:val="center"/>
          </w:tcPr>
          <w:p w14:paraId="04EA7FBF">
            <w:pPr>
              <w:pStyle w:val="133"/>
              <w:rPr>
                <w:rFonts w:cs="Times New Roman"/>
                <w:b/>
                <w:bCs/>
                <w:sz w:val="18"/>
                <w:szCs w:val="18"/>
              </w:rPr>
            </w:pPr>
            <w:r>
              <w:rPr>
                <w:rFonts w:cs="Times New Roman"/>
                <w:b/>
                <w:bCs/>
                <w:sz w:val="18"/>
                <w:szCs w:val="18"/>
              </w:rPr>
              <w:t>Q</w:t>
            </w:r>
            <w:r>
              <w:rPr>
                <w:rFonts w:cs="Times New Roman"/>
                <w:b/>
                <w:bCs/>
                <w:sz w:val="18"/>
                <w:szCs w:val="18"/>
                <w:vertAlign w:val="subscript"/>
              </w:rPr>
              <w:t>PM2.5</w:t>
            </w:r>
          </w:p>
        </w:tc>
        <w:tc>
          <w:tcPr>
            <w:tcW w:w="237" w:type="pct"/>
            <w:vAlign w:val="center"/>
          </w:tcPr>
          <w:p w14:paraId="3333732B">
            <w:pPr>
              <w:pStyle w:val="133"/>
              <w:rPr>
                <w:rFonts w:cs="Times New Roman"/>
                <w:b/>
                <w:bCs/>
                <w:sz w:val="18"/>
                <w:szCs w:val="18"/>
              </w:rPr>
            </w:pPr>
            <w:r>
              <w:rPr>
                <w:rFonts w:cs="Times New Roman"/>
                <w:b/>
                <w:bCs/>
                <w:sz w:val="18"/>
                <w:szCs w:val="18"/>
              </w:rPr>
              <w:t>Q</w:t>
            </w:r>
            <w:r>
              <w:rPr>
                <w:rFonts w:cs="Times New Roman"/>
                <w:b/>
                <w:bCs/>
                <w:sz w:val="18"/>
                <w:szCs w:val="18"/>
                <w:vertAlign w:val="subscript"/>
              </w:rPr>
              <w:t>BaP</w:t>
            </w:r>
          </w:p>
        </w:tc>
        <w:tc>
          <w:tcPr>
            <w:tcW w:w="233" w:type="pct"/>
            <w:vAlign w:val="center"/>
          </w:tcPr>
          <w:p w14:paraId="57D5F59D">
            <w:pPr>
              <w:pStyle w:val="133"/>
              <w:rPr>
                <w:rFonts w:cs="Times New Roman"/>
                <w:b/>
                <w:bCs/>
                <w:sz w:val="18"/>
                <w:szCs w:val="18"/>
              </w:rPr>
            </w:pPr>
            <w:r>
              <w:rPr>
                <w:rFonts w:cs="Times New Roman"/>
                <w:b/>
                <w:bCs/>
                <w:sz w:val="18"/>
                <w:szCs w:val="18"/>
              </w:rPr>
              <w:t>Q</w:t>
            </w:r>
            <w:r>
              <w:rPr>
                <w:rFonts w:cs="Times New Roman"/>
                <w:b/>
                <w:bCs/>
                <w:sz w:val="18"/>
                <w:szCs w:val="18"/>
                <w:vertAlign w:val="subscript"/>
              </w:rPr>
              <w:t>NH3</w:t>
            </w:r>
          </w:p>
        </w:tc>
        <w:tc>
          <w:tcPr>
            <w:tcW w:w="233" w:type="pct"/>
            <w:vAlign w:val="center"/>
          </w:tcPr>
          <w:p w14:paraId="463C5C54">
            <w:pPr>
              <w:pStyle w:val="133"/>
              <w:rPr>
                <w:rFonts w:cs="Times New Roman"/>
                <w:b/>
                <w:bCs/>
                <w:sz w:val="18"/>
                <w:szCs w:val="18"/>
              </w:rPr>
            </w:pPr>
            <w:r>
              <w:rPr>
                <w:rFonts w:cs="Times New Roman"/>
                <w:b/>
                <w:bCs/>
                <w:sz w:val="18"/>
                <w:szCs w:val="18"/>
              </w:rPr>
              <w:t>Q</w:t>
            </w:r>
            <w:r>
              <w:rPr>
                <w:rFonts w:cs="Times New Roman"/>
                <w:b/>
                <w:bCs/>
                <w:sz w:val="18"/>
                <w:szCs w:val="18"/>
                <w:vertAlign w:val="subscript"/>
              </w:rPr>
              <w:t>H2S</w:t>
            </w:r>
          </w:p>
        </w:tc>
        <w:tc>
          <w:tcPr>
            <w:tcW w:w="217" w:type="pct"/>
            <w:vAlign w:val="center"/>
          </w:tcPr>
          <w:p w14:paraId="14AEE99F">
            <w:pPr>
              <w:pStyle w:val="133"/>
              <w:rPr>
                <w:rFonts w:cs="Times New Roman"/>
                <w:b/>
                <w:bCs/>
                <w:sz w:val="18"/>
                <w:szCs w:val="18"/>
              </w:rPr>
            </w:pPr>
            <w:r>
              <w:rPr>
                <w:rFonts w:cs="Times New Roman"/>
                <w:b/>
                <w:bCs/>
                <w:sz w:val="18"/>
                <w:szCs w:val="18"/>
              </w:rPr>
              <w:t>Q</w:t>
            </w:r>
            <w:r>
              <w:rPr>
                <w:rFonts w:cs="Times New Roman"/>
                <w:b/>
                <w:bCs/>
                <w:sz w:val="18"/>
                <w:szCs w:val="18"/>
                <w:vertAlign w:val="subscript"/>
              </w:rPr>
              <w:t>NMHC</w:t>
            </w:r>
          </w:p>
        </w:tc>
        <w:tc>
          <w:tcPr>
            <w:tcW w:w="217" w:type="pct"/>
            <w:vAlign w:val="center"/>
          </w:tcPr>
          <w:p w14:paraId="023106FF">
            <w:pPr>
              <w:pStyle w:val="133"/>
              <w:rPr>
                <w:rFonts w:cs="Times New Roman"/>
                <w:b/>
                <w:bCs/>
                <w:sz w:val="18"/>
                <w:szCs w:val="18"/>
              </w:rPr>
            </w:pPr>
            <w:r>
              <w:rPr>
                <w:rFonts w:cs="Times New Roman"/>
                <w:b/>
                <w:bCs/>
                <w:sz w:val="18"/>
                <w:szCs w:val="18"/>
              </w:rPr>
              <w:t>Q</w:t>
            </w:r>
            <w:r>
              <w:rPr>
                <w:rFonts w:hint="eastAsia" w:cs="Times New Roman"/>
                <w:b/>
                <w:bCs/>
                <w:sz w:val="18"/>
                <w:szCs w:val="18"/>
                <w:vertAlign w:val="subscript"/>
              </w:rPr>
              <w:t>酚类</w:t>
            </w:r>
          </w:p>
        </w:tc>
        <w:tc>
          <w:tcPr>
            <w:tcW w:w="214" w:type="pct"/>
            <w:vAlign w:val="center"/>
          </w:tcPr>
          <w:p w14:paraId="2DE624A0">
            <w:pPr>
              <w:pStyle w:val="133"/>
              <w:rPr>
                <w:rFonts w:cs="Times New Roman"/>
                <w:b/>
                <w:bCs/>
                <w:sz w:val="18"/>
                <w:szCs w:val="18"/>
              </w:rPr>
            </w:pPr>
            <w:r>
              <w:rPr>
                <w:rFonts w:cs="Times New Roman"/>
                <w:b/>
                <w:bCs/>
                <w:sz w:val="18"/>
                <w:szCs w:val="18"/>
              </w:rPr>
              <w:t>Q</w:t>
            </w:r>
            <w:r>
              <w:rPr>
                <w:rFonts w:hint="eastAsia" w:cs="Times New Roman"/>
                <w:b/>
                <w:bCs/>
                <w:sz w:val="18"/>
                <w:szCs w:val="18"/>
                <w:vertAlign w:val="subscript"/>
              </w:rPr>
              <w:t>氰化氢</w:t>
            </w:r>
          </w:p>
        </w:tc>
      </w:tr>
      <w:tr w14:paraId="1C290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1962F5F9">
            <w:pPr>
              <w:pStyle w:val="133"/>
              <w:rPr>
                <w:rFonts w:cs="Times New Roman"/>
                <w:sz w:val="18"/>
                <w:szCs w:val="18"/>
              </w:rPr>
            </w:pPr>
            <w:r>
              <w:rPr>
                <w:rFonts w:cs="Times New Roman"/>
                <w:color w:val="000000"/>
                <w:sz w:val="18"/>
                <w:szCs w:val="18"/>
              </w:rPr>
              <w:t>1</w:t>
            </w:r>
          </w:p>
        </w:tc>
        <w:tc>
          <w:tcPr>
            <w:tcW w:w="611" w:type="pct"/>
            <w:noWrap/>
            <w:vAlign w:val="center"/>
          </w:tcPr>
          <w:p w14:paraId="04831545">
            <w:pPr>
              <w:pStyle w:val="133"/>
              <w:rPr>
                <w:rFonts w:cs="Times New Roman"/>
                <w:sz w:val="18"/>
                <w:szCs w:val="18"/>
              </w:rPr>
            </w:pPr>
            <w:r>
              <w:rPr>
                <w:rFonts w:cs="Times New Roman"/>
                <w:color w:val="000000"/>
                <w:sz w:val="18"/>
                <w:szCs w:val="18"/>
              </w:rPr>
              <w:t>备煤上料废气</w:t>
            </w:r>
          </w:p>
        </w:tc>
        <w:tc>
          <w:tcPr>
            <w:tcW w:w="294" w:type="pct"/>
            <w:vAlign w:val="center"/>
          </w:tcPr>
          <w:p w14:paraId="33D3BA4E">
            <w:pPr>
              <w:pStyle w:val="133"/>
              <w:rPr>
                <w:rFonts w:cs="Times New Roman"/>
                <w:sz w:val="18"/>
                <w:szCs w:val="18"/>
              </w:rPr>
            </w:pPr>
            <w:r>
              <w:rPr>
                <w:rFonts w:cs="Times New Roman"/>
                <w:color w:val="000000"/>
                <w:sz w:val="18"/>
                <w:szCs w:val="18"/>
              </w:rPr>
              <w:t>-584</w:t>
            </w:r>
          </w:p>
        </w:tc>
        <w:tc>
          <w:tcPr>
            <w:tcW w:w="294" w:type="pct"/>
            <w:vAlign w:val="center"/>
          </w:tcPr>
          <w:p w14:paraId="5C9F0BB0">
            <w:pPr>
              <w:pStyle w:val="133"/>
              <w:rPr>
                <w:rFonts w:cs="Times New Roman"/>
                <w:sz w:val="18"/>
                <w:szCs w:val="18"/>
              </w:rPr>
            </w:pPr>
            <w:r>
              <w:rPr>
                <w:rFonts w:cs="Times New Roman"/>
                <w:color w:val="000000"/>
                <w:sz w:val="18"/>
                <w:szCs w:val="18"/>
              </w:rPr>
              <w:t>130</w:t>
            </w:r>
          </w:p>
        </w:tc>
        <w:tc>
          <w:tcPr>
            <w:tcW w:w="329" w:type="pct"/>
            <w:noWrap/>
            <w:vAlign w:val="center"/>
          </w:tcPr>
          <w:p w14:paraId="5C905878">
            <w:pPr>
              <w:pStyle w:val="133"/>
              <w:rPr>
                <w:rFonts w:cs="Times New Roman"/>
                <w:sz w:val="18"/>
                <w:szCs w:val="18"/>
              </w:rPr>
            </w:pPr>
            <w:r>
              <w:rPr>
                <w:rFonts w:cs="Times New Roman"/>
                <w:color w:val="000000"/>
                <w:sz w:val="18"/>
                <w:szCs w:val="18"/>
              </w:rPr>
              <w:t>30</w:t>
            </w:r>
          </w:p>
        </w:tc>
        <w:tc>
          <w:tcPr>
            <w:tcW w:w="326" w:type="pct"/>
            <w:noWrap/>
            <w:vAlign w:val="center"/>
          </w:tcPr>
          <w:p w14:paraId="289EE543">
            <w:pPr>
              <w:pStyle w:val="133"/>
              <w:rPr>
                <w:rFonts w:cs="Times New Roman"/>
                <w:sz w:val="18"/>
                <w:szCs w:val="18"/>
              </w:rPr>
            </w:pPr>
            <w:r>
              <w:rPr>
                <w:rFonts w:cs="Times New Roman"/>
                <w:color w:val="000000"/>
                <w:sz w:val="18"/>
                <w:szCs w:val="18"/>
              </w:rPr>
              <w:t>1.5</w:t>
            </w:r>
          </w:p>
        </w:tc>
        <w:tc>
          <w:tcPr>
            <w:tcW w:w="329" w:type="pct"/>
            <w:noWrap/>
            <w:vAlign w:val="center"/>
          </w:tcPr>
          <w:p w14:paraId="72CE03DE">
            <w:pPr>
              <w:pStyle w:val="133"/>
              <w:rPr>
                <w:rFonts w:cs="Times New Roman"/>
                <w:sz w:val="18"/>
                <w:szCs w:val="18"/>
              </w:rPr>
            </w:pPr>
            <w:r>
              <w:rPr>
                <w:rFonts w:cs="Times New Roman"/>
                <w:color w:val="000000"/>
                <w:sz w:val="18"/>
                <w:szCs w:val="18"/>
              </w:rPr>
              <w:t>25</w:t>
            </w:r>
          </w:p>
        </w:tc>
        <w:tc>
          <w:tcPr>
            <w:tcW w:w="300" w:type="pct"/>
            <w:vAlign w:val="center"/>
          </w:tcPr>
          <w:p w14:paraId="64775541">
            <w:pPr>
              <w:pStyle w:val="133"/>
              <w:rPr>
                <w:rFonts w:cs="Times New Roman"/>
                <w:sz w:val="18"/>
                <w:szCs w:val="18"/>
              </w:rPr>
            </w:pPr>
            <w:r>
              <w:rPr>
                <w:rFonts w:cs="Times New Roman"/>
                <w:color w:val="000000"/>
                <w:sz w:val="18"/>
                <w:szCs w:val="18"/>
              </w:rPr>
              <w:t>35000</w:t>
            </w:r>
          </w:p>
        </w:tc>
        <w:tc>
          <w:tcPr>
            <w:tcW w:w="237" w:type="pct"/>
            <w:vAlign w:val="center"/>
          </w:tcPr>
          <w:p w14:paraId="510E9752">
            <w:pPr>
              <w:pStyle w:val="133"/>
              <w:rPr>
                <w:rFonts w:cs="Times New Roman"/>
                <w:sz w:val="18"/>
                <w:szCs w:val="18"/>
              </w:rPr>
            </w:pPr>
          </w:p>
        </w:tc>
        <w:tc>
          <w:tcPr>
            <w:tcW w:w="237" w:type="pct"/>
            <w:vAlign w:val="center"/>
          </w:tcPr>
          <w:p w14:paraId="37D01688">
            <w:pPr>
              <w:pStyle w:val="133"/>
              <w:rPr>
                <w:rFonts w:cs="Times New Roman"/>
                <w:sz w:val="18"/>
                <w:szCs w:val="18"/>
              </w:rPr>
            </w:pPr>
          </w:p>
        </w:tc>
        <w:tc>
          <w:tcPr>
            <w:tcW w:w="237" w:type="pct"/>
            <w:noWrap/>
            <w:vAlign w:val="center"/>
          </w:tcPr>
          <w:p w14:paraId="44FD2EE8">
            <w:pPr>
              <w:pStyle w:val="133"/>
              <w:rPr>
                <w:rFonts w:cs="Times New Roman"/>
                <w:sz w:val="18"/>
                <w:szCs w:val="18"/>
              </w:rPr>
            </w:pPr>
            <w:r>
              <w:rPr>
                <w:rFonts w:cs="Times New Roman"/>
                <w:color w:val="000000"/>
                <w:sz w:val="18"/>
                <w:szCs w:val="18"/>
              </w:rPr>
              <w:t>0.0</w:t>
            </w:r>
            <w:r>
              <w:rPr>
                <w:rFonts w:hint="eastAsia" w:cs="Times New Roman"/>
                <w:color w:val="000000"/>
                <w:sz w:val="18"/>
                <w:szCs w:val="18"/>
              </w:rPr>
              <w:t>44</w:t>
            </w:r>
          </w:p>
        </w:tc>
        <w:tc>
          <w:tcPr>
            <w:tcW w:w="237" w:type="pct"/>
            <w:noWrap/>
            <w:vAlign w:val="center"/>
          </w:tcPr>
          <w:p w14:paraId="3FFD4968">
            <w:pPr>
              <w:pStyle w:val="133"/>
              <w:rPr>
                <w:rFonts w:cs="Times New Roman"/>
                <w:sz w:val="18"/>
                <w:szCs w:val="18"/>
              </w:rPr>
            </w:pPr>
            <w:r>
              <w:rPr>
                <w:rFonts w:cs="Times New Roman"/>
                <w:color w:val="000000"/>
                <w:sz w:val="18"/>
                <w:szCs w:val="18"/>
              </w:rPr>
              <w:t>0.0</w:t>
            </w:r>
            <w:r>
              <w:rPr>
                <w:rFonts w:hint="eastAsia" w:cs="Times New Roman"/>
                <w:color w:val="000000"/>
                <w:sz w:val="18"/>
                <w:szCs w:val="18"/>
              </w:rPr>
              <w:t>22</w:t>
            </w:r>
          </w:p>
        </w:tc>
        <w:tc>
          <w:tcPr>
            <w:tcW w:w="237" w:type="pct"/>
            <w:vAlign w:val="center"/>
          </w:tcPr>
          <w:p w14:paraId="72F5ED6D">
            <w:pPr>
              <w:pStyle w:val="133"/>
              <w:rPr>
                <w:rFonts w:cs="Times New Roman"/>
                <w:sz w:val="18"/>
                <w:szCs w:val="18"/>
              </w:rPr>
            </w:pPr>
          </w:p>
        </w:tc>
        <w:tc>
          <w:tcPr>
            <w:tcW w:w="233" w:type="pct"/>
            <w:vAlign w:val="center"/>
          </w:tcPr>
          <w:p w14:paraId="5FA255D9">
            <w:pPr>
              <w:pStyle w:val="133"/>
              <w:rPr>
                <w:rFonts w:cs="Times New Roman"/>
                <w:sz w:val="18"/>
                <w:szCs w:val="18"/>
              </w:rPr>
            </w:pPr>
          </w:p>
        </w:tc>
        <w:tc>
          <w:tcPr>
            <w:tcW w:w="233" w:type="pct"/>
            <w:vAlign w:val="center"/>
          </w:tcPr>
          <w:p w14:paraId="71C44B5B">
            <w:pPr>
              <w:pStyle w:val="133"/>
              <w:rPr>
                <w:rFonts w:cs="Times New Roman"/>
                <w:sz w:val="18"/>
                <w:szCs w:val="18"/>
              </w:rPr>
            </w:pPr>
          </w:p>
        </w:tc>
        <w:tc>
          <w:tcPr>
            <w:tcW w:w="217" w:type="pct"/>
            <w:vAlign w:val="center"/>
          </w:tcPr>
          <w:p w14:paraId="128BE6FC">
            <w:pPr>
              <w:pStyle w:val="133"/>
              <w:rPr>
                <w:rFonts w:cs="Times New Roman"/>
                <w:sz w:val="18"/>
                <w:szCs w:val="18"/>
              </w:rPr>
            </w:pPr>
          </w:p>
        </w:tc>
        <w:tc>
          <w:tcPr>
            <w:tcW w:w="217" w:type="pct"/>
            <w:vAlign w:val="center"/>
          </w:tcPr>
          <w:p w14:paraId="3DDD0F63">
            <w:pPr>
              <w:pStyle w:val="133"/>
              <w:rPr>
                <w:rFonts w:cs="Times New Roman"/>
                <w:sz w:val="18"/>
                <w:szCs w:val="18"/>
              </w:rPr>
            </w:pPr>
          </w:p>
        </w:tc>
        <w:tc>
          <w:tcPr>
            <w:tcW w:w="214" w:type="pct"/>
            <w:vAlign w:val="center"/>
          </w:tcPr>
          <w:p w14:paraId="64A42666">
            <w:pPr>
              <w:pStyle w:val="133"/>
              <w:rPr>
                <w:rFonts w:cs="Times New Roman"/>
                <w:sz w:val="18"/>
                <w:szCs w:val="18"/>
              </w:rPr>
            </w:pPr>
          </w:p>
        </w:tc>
      </w:tr>
      <w:tr w14:paraId="61BE6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6E0B7954">
            <w:pPr>
              <w:pStyle w:val="133"/>
              <w:rPr>
                <w:rFonts w:cs="Times New Roman"/>
                <w:sz w:val="18"/>
                <w:szCs w:val="18"/>
              </w:rPr>
            </w:pPr>
            <w:r>
              <w:rPr>
                <w:rFonts w:cs="Times New Roman"/>
                <w:color w:val="000000"/>
                <w:sz w:val="18"/>
                <w:szCs w:val="18"/>
              </w:rPr>
              <w:t>2</w:t>
            </w:r>
          </w:p>
        </w:tc>
        <w:tc>
          <w:tcPr>
            <w:tcW w:w="611" w:type="pct"/>
            <w:noWrap/>
            <w:vAlign w:val="center"/>
          </w:tcPr>
          <w:p w14:paraId="493A8F77">
            <w:pPr>
              <w:pStyle w:val="133"/>
              <w:rPr>
                <w:rFonts w:cs="Times New Roman"/>
                <w:sz w:val="18"/>
                <w:szCs w:val="18"/>
              </w:rPr>
            </w:pPr>
            <w:r>
              <w:rPr>
                <w:rFonts w:cs="Times New Roman"/>
                <w:color w:val="000000"/>
                <w:sz w:val="18"/>
                <w:szCs w:val="18"/>
              </w:rPr>
              <w:t>破碎筛分废气</w:t>
            </w:r>
          </w:p>
        </w:tc>
        <w:tc>
          <w:tcPr>
            <w:tcW w:w="294" w:type="pct"/>
            <w:vAlign w:val="center"/>
          </w:tcPr>
          <w:p w14:paraId="669E9D1F">
            <w:pPr>
              <w:pStyle w:val="133"/>
              <w:rPr>
                <w:rFonts w:cs="Times New Roman"/>
                <w:sz w:val="18"/>
                <w:szCs w:val="18"/>
              </w:rPr>
            </w:pPr>
            <w:r>
              <w:rPr>
                <w:rFonts w:cs="Times New Roman"/>
                <w:color w:val="000000"/>
                <w:sz w:val="18"/>
                <w:szCs w:val="18"/>
              </w:rPr>
              <w:t>-487</w:t>
            </w:r>
          </w:p>
        </w:tc>
        <w:tc>
          <w:tcPr>
            <w:tcW w:w="294" w:type="pct"/>
            <w:vAlign w:val="center"/>
          </w:tcPr>
          <w:p w14:paraId="6DFEA6BE">
            <w:pPr>
              <w:pStyle w:val="133"/>
              <w:rPr>
                <w:rFonts w:cs="Times New Roman"/>
                <w:sz w:val="18"/>
                <w:szCs w:val="18"/>
              </w:rPr>
            </w:pPr>
            <w:r>
              <w:rPr>
                <w:rFonts w:cs="Times New Roman"/>
                <w:color w:val="000000"/>
                <w:sz w:val="18"/>
                <w:szCs w:val="18"/>
              </w:rPr>
              <w:t>130</w:t>
            </w:r>
          </w:p>
        </w:tc>
        <w:tc>
          <w:tcPr>
            <w:tcW w:w="329" w:type="pct"/>
            <w:noWrap/>
            <w:vAlign w:val="center"/>
          </w:tcPr>
          <w:p w14:paraId="5D4FCA39">
            <w:pPr>
              <w:pStyle w:val="133"/>
              <w:rPr>
                <w:rFonts w:cs="Times New Roman"/>
                <w:sz w:val="18"/>
                <w:szCs w:val="18"/>
              </w:rPr>
            </w:pPr>
            <w:r>
              <w:rPr>
                <w:rFonts w:cs="Times New Roman"/>
                <w:color w:val="000000"/>
                <w:sz w:val="18"/>
                <w:szCs w:val="18"/>
              </w:rPr>
              <w:t>30</w:t>
            </w:r>
          </w:p>
        </w:tc>
        <w:tc>
          <w:tcPr>
            <w:tcW w:w="326" w:type="pct"/>
            <w:noWrap/>
            <w:vAlign w:val="center"/>
          </w:tcPr>
          <w:p w14:paraId="590DC8A5">
            <w:pPr>
              <w:pStyle w:val="133"/>
              <w:rPr>
                <w:rFonts w:cs="Times New Roman"/>
                <w:sz w:val="18"/>
                <w:szCs w:val="18"/>
              </w:rPr>
            </w:pPr>
            <w:r>
              <w:rPr>
                <w:rFonts w:cs="Times New Roman"/>
                <w:color w:val="000000"/>
                <w:sz w:val="18"/>
                <w:szCs w:val="18"/>
              </w:rPr>
              <w:t>1.2</w:t>
            </w:r>
          </w:p>
        </w:tc>
        <w:tc>
          <w:tcPr>
            <w:tcW w:w="329" w:type="pct"/>
            <w:noWrap/>
            <w:vAlign w:val="center"/>
          </w:tcPr>
          <w:p w14:paraId="00D736EA">
            <w:pPr>
              <w:pStyle w:val="133"/>
              <w:rPr>
                <w:rFonts w:cs="Times New Roman"/>
                <w:sz w:val="18"/>
                <w:szCs w:val="18"/>
              </w:rPr>
            </w:pPr>
            <w:r>
              <w:rPr>
                <w:rFonts w:cs="Times New Roman"/>
                <w:color w:val="000000"/>
                <w:sz w:val="18"/>
                <w:szCs w:val="18"/>
              </w:rPr>
              <w:t>25</w:t>
            </w:r>
          </w:p>
        </w:tc>
        <w:tc>
          <w:tcPr>
            <w:tcW w:w="300" w:type="pct"/>
            <w:vAlign w:val="center"/>
          </w:tcPr>
          <w:p w14:paraId="5B6261BC">
            <w:pPr>
              <w:pStyle w:val="133"/>
              <w:rPr>
                <w:rFonts w:cs="Times New Roman"/>
                <w:sz w:val="18"/>
                <w:szCs w:val="18"/>
              </w:rPr>
            </w:pPr>
            <w:r>
              <w:rPr>
                <w:rFonts w:cs="Times New Roman"/>
                <w:color w:val="000000"/>
                <w:sz w:val="18"/>
                <w:szCs w:val="18"/>
              </w:rPr>
              <w:t>50000</w:t>
            </w:r>
          </w:p>
        </w:tc>
        <w:tc>
          <w:tcPr>
            <w:tcW w:w="237" w:type="pct"/>
            <w:vAlign w:val="center"/>
          </w:tcPr>
          <w:p w14:paraId="684C4203">
            <w:pPr>
              <w:pStyle w:val="133"/>
              <w:rPr>
                <w:rFonts w:cs="Times New Roman"/>
                <w:sz w:val="18"/>
                <w:szCs w:val="18"/>
              </w:rPr>
            </w:pPr>
          </w:p>
        </w:tc>
        <w:tc>
          <w:tcPr>
            <w:tcW w:w="237" w:type="pct"/>
            <w:vAlign w:val="center"/>
          </w:tcPr>
          <w:p w14:paraId="508D54CA">
            <w:pPr>
              <w:pStyle w:val="133"/>
              <w:rPr>
                <w:rFonts w:cs="Times New Roman"/>
                <w:sz w:val="18"/>
                <w:szCs w:val="18"/>
              </w:rPr>
            </w:pPr>
          </w:p>
        </w:tc>
        <w:tc>
          <w:tcPr>
            <w:tcW w:w="237" w:type="pct"/>
            <w:noWrap/>
            <w:vAlign w:val="center"/>
          </w:tcPr>
          <w:p w14:paraId="58FAB235">
            <w:pPr>
              <w:pStyle w:val="133"/>
              <w:rPr>
                <w:rFonts w:cs="Times New Roman"/>
                <w:sz w:val="18"/>
                <w:szCs w:val="18"/>
              </w:rPr>
            </w:pPr>
            <w:r>
              <w:rPr>
                <w:rFonts w:cs="Times New Roman"/>
                <w:color w:val="000000"/>
                <w:sz w:val="18"/>
                <w:szCs w:val="18"/>
              </w:rPr>
              <w:t>0.0</w:t>
            </w:r>
            <w:r>
              <w:rPr>
                <w:rFonts w:hint="eastAsia" w:cs="Times New Roman"/>
                <w:color w:val="000000"/>
                <w:sz w:val="18"/>
                <w:szCs w:val="18"/>
              </w:rPr>
              <w:t>44</w:t>
            </w:r>
          </w:p>
        </w:tc>
        <w:tc>
          <w:tcPr>
            <w:tcW w:w="237" w:type="pct"/>
            <w:noWrap/>
            <w:vAlign w:val="center"/>
          </w:tcPr>
          <w:p w14:paraId="24937984">
            <w:pPr>
              <w:pStyle w:val="133"/>
              <w:rPr>
                <w:rFonts w:cs="Times New Roman"/>
                <w:sz w:val="18"/>
                <w:szCs w:val="18"/>
              </w:rPr>
            </w:pPr>
            <w:r>
              <w:rPr>
                <w:rFonts w:cs="Times New Roman"/>
                <w:color w:val="000000"/>
                <w:sz w:val="18"/>
                <w:szCs w:val="18"/>
              </w:rPr>
              <w:t>0.0</w:t>
            </w:r>
            <w:r>
              <w:rPr>
                <w:rFonts w:hint="eastAsia" w:cs="Times New Roman"/>
                <w:color w:val="000000"/>
                <w:sz w:val="18"/>
                <w:szCs w:val="18"/>
              </w:rPr>
              <w:t>22</w:t>
            </w:r>
          </w:p>
        </w:tc>
        <w:tc>
          <w:tcPr>
            <w:tcW w:w="237" w:type="pct"/>
            <w:vAlign w:val="center"/>
          </w:tcPr>
          <w:p w14:paraId="48A983C3">
            <w:pPr>
              <w:pStyle w:val="133"/>
              <w:rPr>
                <w:rFonts w:cs="Times New Roman"/>
                <w:sz w:val="18"/>
                <w:szCs w:val="18"/>
              </w:rPr>
            </w:pPr>
          </w:p>
        </w:tc>
        <w:tc>
          <w:tcPr>
            <w:tcW w:w="233" w:type="pct"/>
            <w:vAlign w:val="center"/>
          </w:tcPr>
          <w:p w14:paraId="2A309C45">
            <w:pPr>
              <w:pStyle w:val="133"/>
              <w:rPr>
                <w:rFonts w:cs="Times New Roman"/>
                <w:sz w:val="18"/>
                <w:szCs w:val="18"/>
              </w:rPr>
            </w:pPr>
          </w:p>
        </w:tc>
        <w:tc>
          <w:tcPr>
            <w:tcW w:w="233" w:type="pct"/>
            <w:vAlign w:val="center"/>
          </w:tcPr>
          <w:p w14:paraId="25E7C109">
            <w:pPr>
              <w:pStyle w:val="133"/>
              <w:rPr>
                <w:rFonts w:cs="Times New Roman"/>
                <w:sz w:val="18"/>
                <w:szCs w:val="18"/>
              </w:rPr>
            </w:pPr>
          </w:p>
        </w:tc>
        <w:tc>
          <w:tcPr>
            <w:tcW w:w="217" w:type="pct"/>
            <w:vAlign w:val="center"/>
          </w:tcPr>
          <w:p w14:paraId="46E53210">
            <w:pPr>
              <w:pStyle w:val="133"/>
              <w:rPr>
                <w:rFonts w:cs="Times New Roman"/>
                <w:sz w:val="18"/>
                <w:szCs w:val="18"/>
              </w:rPr>
            </w:pPr>
          </w:p>
        </w:tc>
        <w:tc>
          <w:tcPr>
            <w:tcW w:w="217" w:type="pct"/>
            <w:vAlign w:val="center"/>
          </w:tcPr>
          <w:p w14:paraId="334BD15E">
            <w:pPr>
              <w:pStyle w:val="133"/>
              <w:rPr>
                <w:rFonts w:cs="Times New Roman"/>
                <w:sz w:val="18"/>
                <w:szCs w:val="18"/>
              </w:rPr>
            </w:pPr>
          </w:p>
        </w:tc>
        <w:tc>
          <w:tcPr>
            <w:tcW w:w="214" w:type="pct"/>
            <w:vAlign w:val="center"/>
          </w:tcPr>
          <w:p w14:paraId="7EABE35A">
            <w:pPr>
              <w:pStyle w:val="133"/>
              <w:rPr>
                <w:rFonts w:cs="Times New Roman"/>
                <w:sz w:val="18"/>
                <w:szCs w:val="18"/>
              </w:rPr>
            </w:pPr>
          </w:p>
        </w:tc>
      </w:tr>
      <w:tr w14:paraId="4E52F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609D40B3">
            <w:pPr>
              <w:pStyle w:val="133"/>
              <w:rPr>
                <w:rFonts w:cs="Times New Roman"/>
                <w:sz w:val="18"/>
                <w:szCs w:val="18"/>
              </w:rPr>
            </w:pPr>
            <w:r>
              <w:rPr>
                <w:rFonts w:cs="Times New Roman"/>
                <w:color w:val="000000"/>
                <w:sz w:val="18"/>
                <w:szCs w:val="18"/>
              </w:rPr>
              <w:t>3</w:t>
            </w:r>
          </w:p>
        </w:tc>
        <w:tc>
          <w:tcPr>
            <w:tcW w:w="611" w:type="pct"/>
            <w:noWrap/>
            <w:vAlign w:val="center"/>
          </w:tcPr>
          <w:p w14:paraId="0BC80AD7">
            <w:pPr>
              <w:pStyle w:val="133"/>
              <w:rPr>
                <w:rFonts w:cs="Times New Roman"/>
                <w:sz w:val="18"/>
                <w:szCs w:val="18"/>
              </w:rPr>
            </w:pPr>
            <w:r>
              <w:rPr>
                <w:rFonts w:cs="Times New Roman"/>
                <w:color w:val="000000"/>
                <w:sz w:val="18"/>
                <w:szCs w:val="18"/>
              </w:rPr>
              <w:t>炭化装煤废气</w:t>
            </w:r>
          </w:p>
        </w:tc>
        <w:tc>
          <w:tcPr>
            <w:tcW w:w="294" w:type="pct"/>
            <w:vAlign w:val="center"/>
          </w:tcPr>
          <w:p w14:paraId="14549E98">
            <w:pPr>
              <w:pStyle w:val="133"/>
              <w:rPr>
                <w:rFonts w:cs="Times New Roman"/>
                <w:sz w:val="18"/>
                <w:szCs w:val="18"/>
              </w:rPr>
            </w:pPr>
            <w:r>
              <w:rPr>
                <w:rFonts w:cs="Times New Roman"/>
                <w:color w:val="000000"/>
                <w:sz w:val="18"/>
                <w:szCs w:val="18"/>
              </w:rPr>
              <w:t>-357</w:t>
            </w:r>
          </w:p>
        </w:tc>
        <w:tc>
          <w:tcPr>
            <w:tcW w:w="294" w:type="pct"/>
            <w:vAlign w:val="center"/>
          </w:tcPr>
          <w:p w14:paraId="0D54E172">
            <w:pPr>
              <w:pStyle w:val="133"/>
              <w:rPr>
                <w:rFonts w:cs="Times New Roman"/>
                <w:sz w:val="18"/>
                <w:szCs w:val="18"/>
              </w:rPr>
            </w:pPr>
            <w:r>
              <w:rPr>
                <w:rFonts w:cs="Times New Roman"/>
                <w:color w:val="000000"/>
                <w:sz w:val="18"/>
                <w:szCs w:val="18"/>
              </w:rPr>
              <w:t>32</w:t>
            </w:r>
          </w:p>
        </w:tc>
        <w:tc>
          <w:tcPr>
            <w:tcW w:w="329" w:type="pct"/>
            <w:noWrap/>
            <w:vAlign w:val="center"/>
          </w:tcPr>
          <w:p w14:paraId="0C599D0C">
            <w:pPr>
              <w:pStyle w:val="133"/>
              <w:rPr>
                <w:rFonts w:cs="Times New Roman"/>
                <w:sz w:val="18"/>
                <w:szCs w:val="18"/>
              </w:rPr>
            </w:pPr>
            <w:r>
              <w:rPr>
                <w:rFonts w:cs="Times New Roman"/>
                <w:color w:val="000000"/>
                <w:sz w:val="18"/>
                <w:szCs w:val="18"/>
              </w:rPr>
              <w:t>30</w:t>
            </w:r>
          </w:p>
        </w:tc>
        <w:tc>
          <w:tcPr>
            <w:tcW w:w="326" w:type="pct"/>
            <w:noWrap/>
            <w:vAlign w:val="center"/>
          </w:tcPr>
          <w:p w14:paraId="64EA8589">
            <w:pPr>
              <w:pStyle w:val="133"/>
              <w:rPr>
                <w:rFonts w:cs="Times New Roman"/>
                <w:sz w:val="18"/>
                <w:szCs w:val="18"/>
              </w:rPr>
            </w:pPr>
            <w:r>
              <w:rPr>
                <w:rFonts w:cs="Times New Roman"/>
                <w:color w:val="000000"/>
                <w:sz w:val="18"/>
                <w:szCs w:val="18"/>
              </w:rPr>
              <w:t>1.6</w:t>
            </w:r>
          </w:p>
        </w:tc>
        <w:tc>
          <w:tcPr>
            <w:tcW w:w="329" w:type="pct"/>
            <w:noWrap/>
            <w:vAlign w:val="center"/>
          </w:tcPr>
          <w:p w14:paraId="1411D11B">
            <w:pPr>
              <w:pStyle w:val="133"/>
              <w:rPr>
                <w:rFonts w:cs="Times New Roman"/>
                <w:sz w:val="18"/>
                <w:szCs w:val="18"/>
              </w:rPr>
            </w:pPr>
            <w:r>
              <w:rPr>
                <w:rFonts w:cs="Times New Roman"/>
                <w:color w:val="000000"/>
                <w:sz w:val="18"/>
                <w:szCs w:val="18"/>
              </w:rPr>
              <w:t>30</w:t>
            </w:r>
          </w:p>
        </w:tc>
        <w:tc>
          <w:tcPr>
            <w:tcW w:w="300" w:type="pct"/>
            <w:vAlign w:val="center"/>
          </w:tcPr>
          <w:p w14:paraId="0A8FC7B6">
            <w:pPr>
              <w:pStyle w:val="133"/>
              <w:rPr>
                <w:rFonts w:cs="Times New Roman"/>
                <w:sz w:val="18"/>
                <w:szCs w:val="18"/>
              </w:rPr>
            </w:pPr>
            <w:r>
              <w:rPr>
                <w:rFonts w:cs="Times New Roman"/>
                <w:color w:val="000000"/>
                <w:sz w:val="18"/>
                <w:szCs w:val="18"/>
              </w:rPr>
              <w:t>35000</w:t>
            </w:r>
          </w:p>
        </w:tc>
        <w:tc>
          <w:tcPr>
            <w:tcW w:w="237" w:type="pct"/>
            <w:vAlign w:val="center"/>
          </w:tcPr>
          <w:p w14:paraId="48ED4EDC">
            <w:pPr>
              <w:pStyle w:val="133"/>
              <w:rPr>
                <w:rFonts w:cs="Times New Roman"/>
                <w:sz w:val="18"/>
                <w:szCs w:val="18"/>
              </w:rPr>
            </w:pPr>
            <w:r>
              <w:rPr>
                <w:rFonts w:cs="Times New Roman"/>
                <w:color w:val="000000"/>
                <w:sz w:val="18"/>
                <w:szCs w:val="18"/>
              </w:rPr>
              <w:t>0.0</w:t>
            </w:r>
            <w:r>
              <w:rPr>
                <w:rFonts w:hint="eastAsia" w:cs="Times New Roman"/>
                <w:color w:val="000000"/>
                <w:sz w:val="18"/>
                <w:szCs w:val="18"/>
              </w:rPr>
              <w:t>6</w:t>
            </w:r>
            <w:r>
              <w:rPr>
                <w:rFonts w:cs="Times New Roman"/>
                <w:color w:val="000000"/>
                <w:sz w:val="18"/>
                <w:szCs w:val="18"/>
              </w:rPr>
              <w:t>7</w:t>
            </w:r>
          </w:p>
        </w:tc>
        <w:tc>
          <w:tcPr>
            <w:tcW w:w="237" w:type="pct"/>
            <w:vAlign w:val="center"/>
          </w:tcPr>
          <w:p w14:paraId="52F71B2C">
            <w:pPr>
              <w:pStyle w:val="133"/>
              <w:rPr>
                <w:rFonts w:cs="Times New Roman"/>
                <w:sz w:val="18"/>
                <w:szCs w:val="18"/>
              </w:rPr>
            </w:pPr>
          </w:p>
        </w:tc>
        <w:tc>
          <w:tcPr>
            <w:tcW w:w="237" w:type="pct"/>
            <w:noWrap/>
            <w:vAlign w:val="center"/>
          </w:tcPr>
          <w:p w14:paraId="6CDA4B3C">
            <w:pPr>
              <w:pStyle w:val="133"/>
              <w:rPr>
                <w:rFonts w:cs="Times New Roman"/>
                <w:sz w:val="18"/>
                <w:szCs w:val="18"/>
              </w:rPr>
            </w:pPr>
            <w:r>
              <w:rPr>
                <w:rFonts w:cs="Times New Roman"/>
                <w:color w:val="000000"/>
                <w:sz w:val="18"/>
                <w:szCs w:val="18"/>
              </w:rPr>
              <w:t>0.2</w:t>
            </w:r>
          </w:p>
        </w:tc>
        <w:tc>
          <w:tcPr>
            <w:tcW w:w="237" w:type="pct"/>
            <w:noWrap/>
            <w:vAlign w:val="center"/>
          </w:tcPr>
          <w:p w14:paraId="0D853E5A">
            <w:pPr>
              <w:pStyle w:val="133"/>
              <w:rPr>
                <w:rFonts w:cs="Times New Roman"/>
                <w:sz w:val="18"/>
                <w:szCs w:val="18"/>
              </w:rPr>
            </w:pPr>
            <w:r>
              <w:rPr>
                <w:rFonts w:cs="Times New Roman"/>
                <w:color w:val="000000"/>
                <w:sz w:val="18"/>
                <w:szCs w:val="18"/>
              </w:rPr>
              <w:t>0.1</w:t>
            </w:r>
          </w:p>
        </w:tc>
        <w:tc>
          <w:tcPr>
            <w:tcW w:w="237" w:type="pct"/>
            <w:vAlign w:val="center"/>
          </w:tcPr>
          <w:p w14:paraId="4BB5B86B">
            <w:pPr>
              <w:pStyle w:val="133"/>
              <w:rPr>
                <w:rFonts w:cs="Times New Roman"/>
                <w:sz w:val="18"/>
                <w:szCs w:val="18"/>
              </w:rPr>
            </w:pPr>
            <w:r>
              <w:rPr>
                <w:rFonts w:cs="Times New Roman"/>
                <w:color w:val="000000"/>
                <w:sz w:val="18"/>
                <w:szCs w:val="18"/>
              </w:rPr>
              <w:t>6.50E-08</w:t>
            </w:r>
          </w:p>
        </w:tc>
        <w:tc>
          <w:tcPr>
            <w:tcW w:w="233" w:type="pct"/>
            <w:vAlign w:val="center"/>
          </w:tcPr>
          <w:p w14:paraId="1570C3C8">
            <w:pPr>
              <w:pStyle w:val="133"/>
              <w:rPr>
                <w:rFonts w:cs="Times New Roman"/>
                <w:sz w:val="18"/>
                <w:szCs w:val="18"/>
              </w:rPr>
            </w:pPr>
          </w:p>
        </w:tc>
        <w:tc>
          <w:tcPr>
            <w:tcW w:w="233" w:type="pct"/>
            <w:vAlign w:val="center"/>
          </w:tcPr>
          <w:p w14:paraId="22137A25">
            <w:pPr>
              <w:pStyle w:val="133"/>
              <w:rPr>
                <w:rFonts w:cs="Times New Roman"/>
                <w:sz w:val="18"/>
                <w:szCs w:val="18"/>
              </w:rPr>
            </w:pPr>
          </w:p>
        </w:tc>
        <w:tc>
          <w:tcPr>
            <w:tcW w:w="217" w:type="pct"/>
            <w:vAlign w:val="center"/>
          </w:tcPr>
          <w:p w14:paraId="6041908A">
            <w:pPr>
              <w:pStyle w:val="133"/>
              <w:rPr>
                <w:rFonts w:cs="Times New Roman"/>
                <w:sz w:val="18"/>
                <w:szCs w:val="18"/>
              </w:rPr>
            </w:pPr>
          </w:p>
        </w:tc>
        <w:tc>
          <w:tcPr>
            <w:tcW w:w="217" w:type="pct"/>
            <w:vAlign w:val="center"/>
          </w:tcPr>
          <w:p w14:paraId="1C10014D">
            <w:pPr>
              <w:pStyle w:val="133"/>
              <w:rPr>
                <w:rFonts w:cs="Times New Roman"/>
                <w:sz w:val="18"/>
                <w:szCs w:val="18"/>
              </w:rPr>
            </w:pPr>
          </w:p>
        </w:tc>
        <w:tc>
          <w:tcPr>
            <w:tcW w:w="214" w:type="pct"/>
            <w:vAlign w:val="center"/>
          </w:tcPr>
          <w:p w14:paraId="2D0EB5A6">
            <w:pPr>
              <w:pStyle w:val="133"/>
              <w:rPr>
                <w:rFonts w:cs="Times New Roman"/>
                <w:sz w:val="18"/>
                <w:szCs w:val="18"/>
              </w:rPr>
            </w:pPr>
          </w:p>
        </w:tc>
      </w:tr>
      <w:tr w14:paraId="290B1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6041C2EE">
            <w:pPr>
              <w:pStyle w:val="133"/>
              <w:rPr>
                <w:rFonts w:cs="Times New Roman"/>
                <w:sz w:val="18"/>
                <w:szCs w:val="18"/>
              </w:rPr>
            </w:pPr>
            <w:r>
              <w:rPr>
                <w:rFonts w:cs="Times New Roman"/>
                <w:color w:val="000000"/>
                <w:sz w:val="18"/>
                <w:szCs w:val="18"/>
              </w:rPr>
              <w:t>4</w:t>
            </w:r>
          </w:p>
        </w:tc>
        <w:tc>
          <w:tcPr>
            <w:tcW w:w="611" w:type="pct"/>
            <w:noWrap/>
            <w:vAlign w:val="center"/>
          </w:tcPr>
          <w:p w14:paraId="55E0172D">
            <w:pPr>
              <w:pStyle w:val="133"/>
              <w:rPr>
                <w:rFonts w:cs="Times New Roman"/>
                <w:sz w:val="18"/>
                <w:szCs w:val="18"/>
              </w:rPr>
            </w:pPr>
            <w:r>
              <w:rPr>
                <w:rFonts w:cs="Times New Roman"/>
                <w:color w:val="000000"/>
                <w:sz w:val="18"/>
                <w:szCs w:val="18"/>
              </w:rPr>
              <w:t>筛焦废气</w:t>
            </w:r>
          </w:p>
        </w:tc>
        <w:tc>
          <w:tcPr>
            <w:tcW w:w="294" w:type="pct"/>
            <w:vAlign w:val="center"/>
          </w:tcPr>
          <w:p w14:paraId="10E5F6B6">
            <w:pPr>
              <w:pStyle w:val="133"/>
              <w:rPr>
                <w:rFonts w:cs="Times New Roman"/>
                <w:sz w:val="18"/>
                <w:szCs w:val="18"/>
              </w:rPr>
            </w:pPr>
            <w:r>
              <w:rPr>
                <w:rFonts w:cs="Times New Roman"/>
                <w:color w:val="000000"/>
                <w:sz w:val="18"/>
                <w:szCs w:val="18"/>
              </w:rPr>
              <w:t>-195</w:t>
            </w:r>
          </w:p>
        </w:tc>
        <w:tc>
          <w:tcPr>
            <w:tcW w:w="294" w:type="pct"/>
            <w:vAlign w:val="center"/>
          </w:tcPr>
          <w:p w14:paraId="61366408">
            <w:pPr>
              <w:pStyle w:val="133"/>
              <w:rPr>
                <w:rFonts w:cs="Times New Roman"/>
                <w:sz w:val="18"/>
                <w:szCs w:val="18"/>
              </w:rPr>
            </w:pPr>
            <w:r>
              <w:rPr>
                <w:rFonts w:cs="Times New Roman"/>
                <w:color w:val="000000"/>
                <w:sz w:val="18"/>
                <w:szCs w:val="18"/>
              </w:rPr>
              <w:t>32</w:t>
            </w:r>
          </w:p>
        </w:tc>
        <w:tc>
          <w:tcPr>
            <w:tcW w:w="329" w:type="pct"/>
            <w:noWrap/>
            <w:vAlign w:val="center"/>
          </w:tcPr>
          <w:p w14:paraId="7EA85E6B">
            <w:pPr>
              <w:pStyle w:val="133"/>
              <w:rPr>
                <w:rFonts w:cs="Times New Roman"/>
                <w:sz w:val="18"/>
                <w:szCs w:val="18"/>
              </w:rPr>
            </w:pPr>
            <w:r>
              <w:rPr>
                <w:rFonts w:cs="Times New Roman"/>
                <w:color w:val="000000"/>
                <w:sz w:val="18"/>
                <w:szCs w:val="18"/>
              </w:rPr>
              <w:t>15</w:t>
            </w:r>
          </w:p>
        </w:tc>
        <w:tc>
          <w:tcPr>
            <w:tcW w:w="326" w:type="pct"/>
            <w:noWrap/>
            <w:vAlign w:val="center"/>
          </w:tcPr>
          <w:p w14:paraId="1C3B3512">
            <w:pPr>
              <w:pStyle w:val="133"/>
              <w:rPr>
                <w:rFonts w:cs="Times New Roman"/>
                <w:sz w:val="18"/>
                <w:szCs w:val="18"/>
              </w:rPr>
            </w:pPr>
            <w:r>
              <w:rPr>
                <w:rFonts w:cs="Times New Roman"/>
                <w:color w:val="000000"/>
                <w:sz w:val="18"/>
                <w:szCs w:val="18"/>
              </w:rPr>
              <w:t>0.8</w:t>
            </w:r>
          </w:p>
        </w:tc>
        <w:tc>
          <w:tcPr>
            <w:tcW w:w="329" w:type="pct"/>
            <w:noWrap/>
            <w:vAlign w:val="center"/>
          </w:tcPr>
          <w:p w14:paraId="266FB34E">
            <w:pPr>
              <w:pStyle w:val="133"/>
              <w:rPr>
                <w:rFonts w:cs="Times New Roman"/>
                <w:sz w:val="18"/>
                <w:szCs w:val="18"/>
              </w:rPr>
            </w:pPr>
            <w:r>
              <w:rPr>
                <w:rFonts w:cs="Times New Roman"/>
                <w:color w:val="000000"/>
                <w:sz w:val="18"/>
                <w:szCs w:val="18"/>
              </w:rPr>
              <w:t>30</w:t>
            </w:r>
          </w:p>
        </w:tc>
        <w:tc>
          <w:tcPr>
            <w:tcW w:w="300" w:type="pct"/>
            <w:vAlign w:val="center"/>
          </w:tcPr>
          <w:p w14:paraId="263E80EB">
            <w:pPr>
              <w:pStyle w:val="133"/>
              <w:rPr>
                <w:rFonts w:cs="Times New Roman"/>
                <w:sz w:val="18"/>
                <w:szCs w:val="18"/>
              </w:rPr>
            </w:pPr>
            <w:r>
              <w:rPr>
                <w:rFonts w:cs="Times New Roman"/>
                <w:color w:val="000000"/>
                <w:sz w:val="18"/>
                <w:szCs w:val="18"/>
              </w:rPr>
              <w:t>20000</w:t>
            </w:r>
          </w:p>
        </w:tc>
        <w:tc>
          <w:tcPr>
            <w:tcW w:w="237" w:type="pct"/>
            <w:vAlign w:val="center"/>
          </w:tcPr>
          <w:p w14:paraId="46E47915">
            <w:pPr>
              <w:pStyle w:val="133"/>
              <w:rPr>
                <w:rFonts w:cs="Times New Roman"/>
                <w:sz w:val="18"/>
                <w:szCs w:val="18"/>
              </w:rPr>
            </w:pPr>
          </w:p>
        </w:tc>
        <w:tc>
          <w:tcPr>
            <w:tcW w:w="237" w:type="pct"/>
            <w:vAlign w:val="center"/>
          </w:tcPr>
          <w:p w14:paraId="4605FFEF">
            <w:pPr>
              <w:pStyle w:val="133"/>
              <w:rPr>
                <w:rFonts w:cs="Times New Roman"/>
                <w:sz w:val="18"/>
                <w:szCs w:val="18"/>
              </w:rPr>
            </w:pPr>
          </w:p>
        </w:tc>
        <w:tc>
          <w:tcPr>
            <w:tcW w:w="237" w:type="pct"/>
            <w:noWrap/>
            <w:vAlign w:val="center"/>
          </w:tcPr>
          <w:p w14:paraId="6F383D7A">
            <w:pPr>
              <w:pStyle w:val="133"/>
              <w:rPr>
                <w:rFonts w:cs="Times New Roman"/>
                <w:sz w:val="18"/>
                <w:szCs w:val="18"/>
              </w:rPr>
            </w:pPr>
            <w:r>
              <w:rPr>
                <w:rFonts w:cs="Times New Roman"/>
                <w:color w:val="000000"/>
                <w:sz w:val="18"/>
                <w:szCs w:val="18"/>
              </w:rPr>
              <w:t>0.06</w:t>
            </w:r>
          </w:p>
        </w:tc>
        <w:tc>
          <w:tcPr>
            <w:tcW w:w="237" w:type="pct"/>
            <w:noWrap/>
            <w:vAlign w:val="center"/>
          </w:tcPr>
          <w:p w14:paraId="5B9B605D">
            <w:pPr>
              <w:pStyle w:val="133"/>
              <w:rPr>
                <w:rFonts w:cs="Times New Roman"/>
                <w:sz w:val="18"/>
                <w:szCs w:val="18"/>
              </w:rPr>
            </w:pPr>
            <w:r>
              <w:rPr>
                <w:rFonts w:cs="Times New Roman"/>
                <w:color w:val="000000"/>
                <w:sz w:val="18"/>
                <w:szCs w:val="18"/>
              </w:rPr>
              <w:t>0.03</w:t>
            </w:r>
          </w:p>
        </w:tc>
        <w:tc>
          <w:tcPr>
            <w:tcW w:w="237" w:type="pct"/>
            <w:vAlign w:val="center"/>
          </w:tcPr>
          <w:p w14:paraId="72CCB11D">
            <w:pPr>
              <w:pStyle w:val="133"/>
              <w:rPr>
                <w:rFonts w:cs="Times New Roman"/>
                <w:sz w:val="18"/>
                <w:szCs w:val="18"/>
              </w:rPr>
            </w:pPr>
          </w:p>
        </w:tc>
        <w:tc>
          <w:tcPr>
            <w:tcW w:w="233" w:type="pct"/>
            <w:vAlign w:val="center"/>
          </w:tcPr>
          <w:p w14:paraId="31B3A3DE">
            <w:pPr>
              <w:pStyle w:val="133"/>
              <w:rPr>
                <w:rFonts w:cs="Times New Roman"/>
                <w:sz w:val="18"/>
                <w:szCs w:val="18"/>
              </w:rPr>
            </w:pPr>
          </w:p>
        </w:tc>
        <w:tc>
          <w:tcPr>
            <w:tcW w:w="233" w:type="pct"/>
            <w:vAlign w:val="center"/>
          </w:tcPr>
          <w:p w14:paraId="53A238B7">
            <w:pPr>
              <w:pStyle w:val="133"/>
              <w:rPr>
                <w:rFonts w:cs="Times New Roman"/>
                <w:sz w:val="18"/>
                <w:szCs w:val="18"/>
              </w:rPr>
            </w:pPr>
          </w:p>
        </w:tc>
        <w:tc>
          <w:tcPr>
            <w:tcW w:w="217" w:type="pct"/>
            <w:vAlign w:val="center"/>
          </w:tcPr>
          <w:p w14:paraId="11669FBF">
            <w:pPr>
              <w:pStyle w:val="133"/>
              <w:rPr>
                <w:rFonts w:cs="Times New Roman"/>
                <w:sz w:val="18"/>
                <w:szCs w:val="18"/>
              </w:rPr>
            </w:pPr>
          </w:p>
        </w:tc>
        <w:tc>
          <w:tcPr>
            <w:tcW w:w="217" w:type="pct"/>
            <w:vAlign w:val="center"/>
          </w:tcPr>
          <w:p w14:paraId="56F7DE7A">
            <w:pPr>
              <w:pStyle w:val="133"/>
              <w:rPr>
                <w:rFonts w:cs="Times New Roman"/>
                <w:sz w:val="18"/>
                <w:szCs w:val="18"/>
              </w:rPr>
            </w:pPr>
          </w:p>
        </w:tc>
        <w:tc>
          <w:tcPr>
            <w:tcW w:w="214" w:type="pct"/>
            <w:vAlign w:val="center"/>
          </w:tcPr>
          <w:p w14:paraId="7E1ED172">
            <w:pPr>
              <w:pStyle w:val="133"/>
              <w:rPr>
                <w:rFonts w:cs="Times New Roman"/>
                <w:sz w:val="18"/>
                <w:szCs w:val="18"/>
              </w:rPr>
            </w:pPr>
          </w:p>
        </w:tc>
      </w:tr>
      <w:tr w14:paraId="60314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2AB1412E">
            <w:pPr>
              <w:pStyle w:val="133"/>
              <w:rPr>
                <w:rFonts w:cs="Times New Roman"/>
                <w:sz w:val="18"/>
                <w:szCs w:val="18"/>
              </w:rPr>
            </w:pPr>
            <w:r>
              <w:rPr>
                <w:rFonts w:cs="Times New Roman"/>
                <w:color w:val="000000"/>
                <w:sz w:val="18"/>
                <w:szCs w:val="18"/>
              </w:rPr>
              <w:t>5</w:t>
            </w:r>
          </w:p>
        </w:tc>
        <w:tc>
          <w:tcPr>
            <w:tcW w:w="611" w:type="pct"/>
            <w:noWrap/>
            <w:vAlign w:val="center"/>
          </w:tcPr>
          <w:p w14:paraId="6D1E570D">
            <w:pPr>
              <w:pStyle w:val="133"/>
              <w:rPr>
                <w:rFonts w:cs="Times New Roman"/>
                <w:sz w:val="18"/>
                <w:szCs w:val="18"/>
              </w:rPr>
            </w:pPr>
            <w:r>
              <w:rPr>
                <w:rFonts w:cs="Times New Roman"/>
                <w:color w:val="000000"/>
                <w:sz w:val="18"/>
                <w:szCs w:val="18"/>
              </w:rPr>
              <w:t>兰炭烘干废气</w:t>
            </w:r>
          </w:p>
        </w:tc>
        <w:tc>
          <w:tcPr>
            <w:tcW w:w="294" w:type="pct"/>
            <w:vAlign w:val="center"/>
          </w:tcPr>
          <w:p w14:paraId="3FFE89A8">
            <w:pPr>
              <w:pStyle w:val="133"/>
              <w:rPr>
                <w:rFonts w:cs="Times New Roman"/>
                <w:sz w:val="18"/>
                <w:szCs w:val="18"/>
              </w:rPr>
            </w:pPr>
            <w:r>
              <w:rPr>
                <w:rFonts w:cs="Times New Roman"/>
                <w:color w:val="000000"/>
                <w:sz w:val="18"/>
                <w:szCs w:val="18"/>
              </w:rPr>
              <w:t>-130</w:t>
            </w:r>
          </w:p>
        </w:tc>
        <w:tc>
          <w:tcPr>
            <w:tcW w:w="294" w:type="pct"/>
            <w:vAlign w:val="center"/>
          </w:tcPr>
          <w:p w14:paraId="22F3B64B">
            <w:pPr>
              <w:pStyle w:val="133"/>
              <w:rPr>
                <w:rFonts w:cs="Times New Roman"/>
                <w:sz w:val="18"/>
                <w:szCs w:val="18"/>
              </w:rPr>
            </w:pPr>
            <w:r>
              <w:rPr>
                <w:rFonts w:cs="Times New Roman"/>
                <w:color w:val="000000"/>
                <w:sz w:val="18"/>
                <w:szCs w:val="18"/>
              </w:rPr>
              <w:t>65</w:t>
            </w:r>
          </w:p>
        </w:tc>
        <w:tc>
          <w:tcPr>
            <w:tcW w:w="329" w:type="pct"/>
            <w:noWrap/>
            <w:vAlign w:val="center"/>
          </w:tcPr>
          <w:p w14:paraId="7AA520ED">
            <w:pPr>
              <w:pStyle w:val="133"/>
              <w:rPr>
                <w:rFonts w:cs="Times New Roman"/>
                <w:sz w:val="18"/>
                <w:szCs w:val="18"/>
              </w:rPr>
            </w:pPr>
            <w:r>
              <w:rPr>
                <w:rFonts w:cs="Times New Roman"/>
                <w:color w:val="000000"/>
                <w:sz w:val="18"/>
                <w:szCs w:val="18"/>
              </w:rPr>
              <w:t>25</w:t>
            </w:r>
          </w:p>
        </w:tc>
        <w:tc>
          <w:tcPr>
            <w:tcW w:w="326" w:type="pct"/>
            <w:noWrap/>
            <w:vAlign w:val="center"/>
          </w:tcPr>
          <w:p w14:paraId="2BED2174">
            <w:pPr>
              <w:pStyle w:val="133"/>
              <w:rPr>
                <w:rFonts w:cs="Times New Roman"/>
                <w:sz w:val="18"/>
                <w:szCs w:val="18"/>
              </w:rPr>
            </w:pPr>
            <w:r>
              <w:rPr>
                <w:rFonts w:cs="Times New Roman"/>
                <w:color w:val="000000"/>
                <w:sz w:val="18"/>
                <w:szCs w:val="18"/>
              </w:rPr>
              <w:t>1.4</w:t>
            </w:r>
          </w:p>
        </w:tc>
        <w:tc>
          <w:tcPr>
            <w:tcW w:w="329" w:type="pct"/>
            <w:noWrap/>
            <w:vAlign w:val="center"/>
          </w:tcPr>
          <w:p w14:paraId="432934A2">
            <w:pPr>
              <w:pStyle w:val="133"/>
              <w:rPr>
                <w:rFonts w:cs="Times New Roman"/>
                <w:sz w:val="18"/>
                <w:szCs w:val="18"/>
              </w:rPr>
            </w:pPr>
            <w:r>
              <w:rPr>
                <w:rFonts w:cs="Times New Roman"/>
                <w:color w:val="000000"/>
                <w:sz w:val="18"/>
                <w:szCs w:val="18"/>
              </w:rPr>
              <w:t>70</w:t>
            </w:r>
          </w:p>
        </w:tc>
        <w:tc>
          <w:tcPr>
            <w:tcW w:w="300" w:type="pct"/>
            <w:vAlign w:val="center"/>
          </w:tcPr>
          <w:p w14:paraId="1ED50E5C">
            <w:pPr>
              <w:pStyle w:val="133"/>
              <w:rPr>
                <w:rFonts w:cs="Times New Roman"/>
                <w:sz w:val="18"/>
                <w:szCs w:val="18"/>
              </w:rPr>
            </w:pPr>
            <w:r>
              <w:rPr>
                <w:rFonts w:cs="Times New Roman"/>
                <w:color w:val="000000"/>
                <w:sz w:val="18"/>
                <w:szCs w:val="18"/>
              </w:rPr>
              <w:t>30637</w:t>
            </w:r>
          </w:p>
        </w:tc>
        <w:tc>
          <w:tcPr>
            <w:tcW w:w="237" w:type="pct"/>
            <w:vAlign w:val="center"/>
          </w:tcPr>
          <w:p w14:paraId="6E949B49">
            <w:pPr>
              <w:pStyle w:val="133"/>
              <w:rPr>
                <w:rFonts w:cs="Times New Roman"/>
                <w:sz w:val="18"/>
                <w:szCs w:val="18"/>
              </w:rPr>
            </w:pPr>
            <w:r>
              <w:rPr>
                <w:rFonts w:cs="Times New Roman"/>
                <w:color w:val="000000"/>
                <w:sz w:val="18"/>
                <w:szCs w:val="18"/>
              </w:rPr>
              <w:t>0.33</w:t>
            </w:r>
          </w:p>
        </w:tc>
        <w:tc>
          <w:tcPr>
            <w:tcW w:w="237" w:type="pct"/>
            <w:vAlign w:val="center"/>
          </w:tcPr>
          <w:p w14:paraId="561644BE">
            <w:pPr>
              <w:pStyle w:val="133"/>
              <w:rPr>
                <w:rFonts w:cs="Times New Roman"/>
                <w:sz w:val="18"/>
                <w:szCs w:val="18"/>
              </w:rPr>
            </w:pPr>
            <w:r>
              <w:rPr>
                <w:rFonts w:cs="Times New Roman"/>
                <w:color w:val="000000"/>
                <w:sz w:val="18"/>
                <w:szCs w:val="18"/>
              </w:rPr>
              <w:t>3.249</w:t>
            </w:r>
          </w:p>
        </w:tc>
        <w:tc>
          <w:tcPr>
            <w:tcW w:w="237" w:type="pct"/>
            <w:noWrap/>
            <w:vAlign w:val="center"/>
          </w:tcPr>
          <w:p w14:paraId="2F58055E">
            <w:pPr>
              <w:pStyle w:val="133"/>
              <w:rPr>
                <w:rFonts w:cs="Times New Roman"/>
                <w:sz w:val="18"/>
                <w:szCs w:val="18"/>
              </w:rPr>
            </w:pPr>
            <w:r>
              <w:rPr>
                <w:rFonts w:cs="Times New Roman"/>
                <w:color w:val="000000"/>
                <w:sz w:val="18"/>
                <w:szCs w:val="18"/>
              </w:rPr>
              <w:t>0.04</w:t>
            </w:r>
          </w:p>
        </w:tc>
        <w:tc>
          <w:tcPr>
            <w:tcW w:w="237" w:type="pct"/>
            <w:noWrap/>
            <w:vAlign w:val="center"/>
          </w:tcPr>
          <w:p w14:paraId="5ED2A08B">
            <w:pPr>
              <w:pStyle w:val="133"/>
              <w:rPr>
                <w:rFonts w:cs="Times New Roman"/>
                <w:sz w:val="18"/>
                <w:szCs w:val="18"/>
              </w:rPr>
            </w:pPr>
            <w:r>
              <w:rPr>
                <w:rFonts w:cs="Times New Roman"/>
                <w:color w:val="000000"/>
                <w:sz w:val="18"/>
                <w:szCs w:val="18"/>
              </w:rPr>
              <w:t>0.02</w:t>
            </w:r>
          </w:p>
        </w:tc>
        <w:tc>
          <w:tcPr>
            <w:tcW w:w="237" w:type="pct"/>
            <w:vAlign w:val="center"/>
          </w:tcPr>
          <w:p w14:paraId="5165D394">
            <w:pPr>
              <w:pStyle w:val="133"/>
              <w:rPr>
                <w:rFonts w:cs="Times New Roman"/>
                <w:sz w:val="18"/>
                <w:szCs w:val="18"/>
              </w:rPr>
            </w:pPr>
          </w:p>
        </w:tc>
        <w:tc>
          <w:tcPr>
            <w:tcW w:w="233" w:type="pct"/>
            <w:vAlign w:val="center"/>
          </w:tcPr>
          <w:p w14:paraId="4A72C1DC">
            <w:pPr>
              <w:pStyle w:val="133"/>
              <w:rPr>
                <w:rFonts w:cs="Times New Roman"/>
                <w:sz w:val="18"/>
                <w:szCs w:val="18"/>
              </w:rPr>
            </w:pPr>
          </w:p>
        </w:tc>
        <w:tc>
          <w:tcPr>
            <w:tcW w:w="233" w:type="pct"/>
            <w:vAlign w:val="center"/>
          </w:tcPr>
          <w:p w14:paraId="2F8400BF">
            <w:pPr>
              <w:pStyle w:val="133"/>
              <w:rPr>
                <w:rFonts w:cs="Times New Roman"/>
                <w:sz w:val="18"/>
                <w:szCs w:val="18"/>
              </w:rPr>
            </w:pPr>
          </w:p>
        </w:tc>
        <w:tc>
          <w:tcPr>
            <w:tcW w:w="217" w:type="pct"/>
            <w:vAlign w:val="center"/>
          </w:tcPr>
          <w:p w14:paraId="761D6178">
            <w:pPr>
              <w:pStyle w:val="133"/>
              <w:rPr>
                <w:rFonts w:cs="Times New Roman"/>
                <w:sz w:val="18"/>
                <w:szCs w:val="18"/>
              </w:rPr>
            </w:pPr>
          </w:p>
        </w:tc>
        <w:tc>
          <w:tcPr>
            <w:tcW w:w="217" w:type="pct"/>
            <w:vAlign w:val="center"/>
          </w:tcPr>
          <w:p w14:paraId="237844A9">
            <w:pPr>
              <w:pStyle w:val="133"/>
              <w:rPr>
                <w:rFonts w:cs="Times New Roman"/>
                <w:sz w:val="18"/>
                <w:szCs w:val="18"/>
              </w:rPr>
            </w:pPr>
          </w:p>
        </w:tc>
        <w:tc>
          <w:tcPr>
            <w:tcW w:w="214" w:type="pct"/>
            <w:vAlign w:val="center"/>
          </w:tcPr>
          <w:p w14:paraId="57EEC55C">
            <w:pPr>
              <w:pStyle w:val="133"/>
              <w:rPr>
                <w:rFonts w:cs="Times New Roman"/>
                <w:sz w:val="18"/>
                <w:szCs w:val="18"/>
              </w:rPr>
            </w:pPr>
          </w:p>
        </w:tc>
      </w:tr>
      <w:tr w14:paraId="29758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5C8D6E25">
            <w:pPr>
              <w:pStyle w:val="133"/>
              <w:rPr>
                <w:rFonts w:cs="Times New Roman"/>
                <w:sz w:val="18"/>
                <w:szCs w:val="18"/>
              </w:rPr>
            </w:pPr>
            <w:r>
              <w:rPr>
                <w:rFonts w:cs="Times New Roman"/>
                <w:color w:val="000000"/>
                <w:sz w:val="18"/>
                <w:szCs w:val="18"/>
              </w:rPr>
              <w:t>6</w:t>
            </w:r>
          </w:p>
        </w:tc>
        <w:tc>
          <w:tcPr>
            <w:tcW w:w="611" w:type="pct"/>
            <w:noWrap/>
            <w:vAlign w:val="center"/>
          </w:tcPr>
          <w:p w14:paraId="38C77954">
            <w:pPr>
              <w:pStyle w:val="133"/>
              <w:rPr>
                <w:rFonts w:cs="Times New Roman"/>
                <w:sz w:val="18"/>
                <w:szCs w:val="18"/>
              </w:rPr>
            </w:pPr>
            <w:r>
              <w:rPr>
                <w:rFonts w:cs="Times New Roman"/>
                <w:color w:val="000000"/>
                <w:sz w:val="18"/>
                <w:szCs w:val="18"/>
              </w:rPr>
              <w:t>兰炭筛分废气</w:t>
            </w:r>
          </w:p>
        </w:tc>
        <w:tc>
          <w:tcPr>
            <w:tcW w:w="294" w:type="pct"/>
            <w:vAlign w:val="center"/>
          </w:tcPr>
          <w:p w14:paraId="578656F8">
            <w:pPr>
              <w:pStyle w:val="133"/>
              <w:rPr>
                <w:rFonts w:cs="Times New Roman"/>
                <w:sz w:val="18"/>
                <w:szCs w:val="18"/>
              </w:rPr>
            </w:pPr>
            <w:r>
              <w:rPr>
                <w:rFonts w:cs="Times New Roman"/>
                <w:color w:val="000000"/>
                <w:sz w:val="18"/>
                <w:szCs w:val="18"/>
              </w:rPr>
              <w:t>-97</w:t>
            </w:r>
          </w:p>
        </w:tc>
        <w:tc>
          <w:tcPr>
            <w:tcW w:w="294" w:type="pct"/>
            <w:vAlign w:val="center"/>
          </w:tcPr>
          <w:p w14:paraId="57C33E8F">
            <w:pPr>
              <w:pStyle w:val="133"/>
              <w:rPr>
                <w:rFonts w:cs="Times New Roman"/>
                <w:sz w:val="18"/>
                <w:szCs w:val="18"/>
              </w:rPr>
            </w:pPr>
            <w:r>
              <w:rPr>
                <w:rFonts w:cs="Times New Roman"/>
                <w:color w:val="000000"/>
                <w:sz w:val="18"/>
                <w:szCs w:val="18"/>
              </w:rPr>
              <w:t>32</w:t>
            </w:r>
          </w:p>
        </w:tc>
        <w:tc>
          <w:tcPr>
            <w:tcW w:w="329" w:type="pct"/>
            <w:noWrap/>
            <w:vAlign w:val="center"/>
          </w:tcPr>
          <w:p w14:paraId="7843E550">
            <w:pPr>
              <w:pStyle w:val="133"/>
              <w:rPr>
                <w:rFonts w:cs="Times New Roman"/>
                <w:sz w:val="18"/>
                <w:szCs w:val="18"/>
              </w:rPr>
            </w:pPr>
            <w:r>
              <w:rPr>
                <w:rFonts w:cs="Times New Roman"/>
                <w:color w:val="000000"/>
                <w:sz w:val="18"/>
                <w:szCs w:val="18"/>
              </w:rPr>
              <w:t>15</w:t>
            </w:r>
          </w:p>
        </w:tc>
        <w:tc>
          <w:tcPr>
            <w:tcW w:w="326" w:type="pct"/>
            <w:noWrap/>
            <w:vAlign w:val="center"/>
          </w:tcPr>
          <w:p w14:paraId="5FC12772">
            <w:pPr>
              <w:pStyle w:val="133"/>
              <w:rPr>
                <w:rFonts w:cs="Times New Roman"/>
                <w:sz w:val="18"/>
                <w:szCs w:val="18"/>
              </w:rPr>
            </w:pPr>
            <w:r>
              <w:rPr>
                <w:rFonts w:cs="Times New Roman"/>
                <w:color w:val="000000"/>
                <w:sz w:val="18"/>
                <w:szCs w:val="18"/>
              </w:rPr>
              <w:t>0.8</w:t>
            </w:r>
          </w:p>
        </w:tc>
        <w:tc>
          <w:tcPr>
            <w:tcW w:w="329" w:type="pct"/>
            <w:noWrap/>
            <w:vAlign w:val="center"/>
          </w:tcPr>
          <w:p w14:paraId="10132426">
            <w:pPr>
              <w:pStyle w:val="133"/>
              <w:rPr>
                <w:rFonts w:cs="Times New Roman"/>
                <w:sz w:val="18"/>
                <w:szCs w:val="18"/>
              </w:rPr>
            </w:pPr>
            <w:r>
              <w:rPr>
                <w:rFonts w:cs="Times New Roman"/>
                <w:color w:val="000000"/>
                <w:sz w:val="18"/>
                <w:szCs w:val="18"/>
              </w:rPr>
              <w:t>40</w:t>
            </w:r>
          </w:p>
        </w:tc>
        <w:tc>
          <w:tcPr>
            <w:tcW w:w="300" w:type="pct"/>
            <w:vAlign w:val="center"/>
          </w:tcPr>
          <w:p w14:paraId="495E7037">
            <w:pPr>
              <w:pStyle w:val="133"/>
              <w:rPr>
                <w:rFonts w:cs="Times New Roman"/>
                <w:sz w:val="18"/>
                <w:szCs w:val="18"/>
              </w:rPr>
            </w:pPr>
            <w:r>
              <w:rPr>
                <w:rFonts w:cs="Times New Roman"/>
                <w:color w:val="000000"/>
                <w:sz w:val="18"/>
                <w:szCs w:val="18"/>
              </w:rPr>
              <w:t>18906</w:t>
            </w:r>
          </w:p>
        </w:tc>
        <w:tc>
          <w:tcPr>
            <w:tcW w:w="237" w:type="pct"/>
            <w:vAlign w:val="center"/>
          </w:tcPr>
          <w:p w14:paraId="4703C07A">
            <w:pPr>
              <w:pStyle w:val="133"/>
              <w:rPr>
                <w:rFonts w:cs="Times New Roman"/>
                <w:sz w:val="18"/>
                <w:szCs w:val="18"/>
              </w:rPr>
            </w:pPr>
          </w:p>
        </w:tc>
        <w:tc>
          <w:tcPr>
            <w:tcW w:w="237" w:type="pct"/>
            <w:vAlign w:val="center"/>
          </w:tcPr>
          <w:p w14:paraId="75FBE1A2">
            <w:pPr>
              <w:pStyle w:val="133"/>
              <w:rPr>
                <w:rFonts w:cs="Times New Roman"/>
                <w:sz w:val="18"/>
                <w:szCs w:val="18"/>
              </w:rPr>
            </w:pPr>
          </w:p>
        </w:tc>
        <w:tc>
          <w:tcPr>
            <w:tcW w:w="237" w:type="pct"/>
            <w:noWrap/>
            <w:vAlign w:val="center"/>
          </w:tcPr>
          <w:p w14:paraId="5B0BF178">
            <w:pPr>
              <w:pStyle w:val="133"/>
              <w:rPr>
                <w:rFonts w:cs="Times New Roman"/>
                <w:sz w:val="18"/>
                <w:szCs w:val="18"/>
              </w:rPr>
            </w:pPr>
            <w:r>
              <w:rPr>
                <w:rFonts w:cs="Times New Roman"/>
                <w:color w:val="000000"/>
                <w:sz w:val="18"/>
                <w:szCs w:val="18"/>
              </w:rPr>
              <w:t>0.124</w:t>
            </w:r>
          </w:p>
        </w:tc>
        <w:tc>
          <w:tcPr>
            <w:tcW w:w="237" w:type="pct"/>
            <w:noWrap/>
            <w:vAlign w:val="center"/>
          </w:tcPr>
          <w:p w14:paraId="743B7EE7">
            <w:pPr>
              <w:pStyle w:val="133"/>
              <w:rPr>
                <w:rFonts w:cs="Times New Roman"/>
                <w:sz w:val="18"/>
                <w:szCs w:val="18"/>
              </w:rPr>
            </w:pPr>
            <w:r>
              <w:rPr>
                <w:rFonts w:cs="Times New Roman"/>
                <w:color w:val="000000"/>
                <w:sz w:val="18"/>
                <w:szCs w:val="18"/>
              </w:rPr>
              <w:t>0.062</w:t>
            </w:r>
          </w:p>
        </w:tc>
        <w:tc>
          <w:tcPr>
            <w:tcW w:w="237" w:type="pct"/>
            <w:vAlign w:val="center"/>
          </w:tcPr>
          <w:p w14:paraId="29805CDB">
            <w:pPr>
              <w:pStyle w:val="133"/>
              <w:rPr>
                <w:rFonts w:cs="Times New Roman"/>
                <w:sz w:val="18"/>
                <w:szCs w:val="18"/>
              </w:rPr>
            </w:pPr>
          </w:p>
        </w:tc>
        <w:tc>
          <w:tcPr>
            <w:tcW w:w="233" w:type="pct"/>
            <w:vAlign w:val="center"/>
          </w:tcPr>
          <w:p w14:paraId="3C76F7A1">
            <w:pPr>
              <w:pStyle w:val="133"/>
              <w:rPr>
                <w:rFonts w:cs="Times New Roman"/>
                <w:sz w:val="18"/>
                <w:szCs w:val="18"/>
              </w:rPr>
            </w:pPr>
          </w:p>
        </w:tc>
        <w:tc>
          <w:tcPr>
            <w:tcW w:w="233" w:type="pct"/>
            <w:vAlign w:val="center"/>
          </w:tcPr>
          <w:p w14:paraId="3B06AC90">
            <w:pPr>
              <w:pStyle w:val="133"/>
              <w:rPr>
                <w:rFonts w:cs="Times New Roman"/>
                <w:sz w:val="18"/>
                <w:szCs w:val="18"/>
              </w:rPr>
            </w:pPr>
          </w:p>
        </w:tc>
        <w:tc>
          <w:tcPr>
            <w:tcW w:w="217" w:type="pct"/>
            <w:vAlign w:val="center"/>
          </w:tcPr>
          <w:p w14:paraId="0A16D852">
            <w:pPr>
              <w:pStyle w:val="133"/>
              <w:rPr>
                <w:rFonts w:cs="Times New Roman"/>
                <w:sz w:val="18"/>
                <w:szCs w:val="18"/>
              </w:rPr>
            </w:pPr>
          </w:p>
        </w:tc>
        <w:tc>
          <w:tcPr>
            <w:tcW w:w="217" w:type="pct"/>
            <w:vAlign w:val="center"/>
          </w:tcPr>
          <w:p w14:paraId="361ED1A8">
            <w:pPr>
              <w:pStyle w:val="133"/>
              <w:rPr>
                <w:rFonts w:cs="Times New Roman"/>
                <w:sz w:val="18"/>
                <w:szCs w:val="18"/>
              </w:rPr>
            </w:pPr>
          </w:p>
        </w:tc>
        <w:tc>
          <w:tcPr>
            <w:tcW w:w="214" w:type="pct"/>
            <w:vAlign w:val="center"/>
          </w:tcPr>
          <w:p w14:paraId="575DF66B">
            <w:pPr>
              <w:pStyle w:val="133"/>
              <w:rPr>
                <w:rFonts w:cs="Times New Roman"/>
                <w:sz w:val="18"/>
                <w:szCs w:val="18"/>
              </w:rPr>
            </w:pPr>
          </w:p>
        </w:tc>
      </w:tr>
      <w:tr w14:paraId="0EEEB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1D53BE85">
            <w:pPr>
              <w:pStyle w:val="133"/>
              <w:rPr>
                <w:rFonts w:cs="Times New Roman"/>
                <w:sz w:val="18"/>
                <w:szCs w:val="18"/>
              </w:rPr>
            </w:pPr>
            <w:r>
              <w:rPr>
                <w:rFonts w:cs="Times New Roman"/>
                <w:color w:val="000000"/>
                <w:sz w:val="18"/>
                <w:szCs w:val="18"/>
              </w:rPr>
              <w:t>7</w:t>
            </w:r>
          </w:p>
        </w:tc>
        <w:tc>
          <w:tcPr>
            <w:tcW w:w="611" w:type="pct"/>
            <w:noWrap/>
            <w:vAlign w:val="center"/>
          </w:tcPr>
          <w:p w14:paraId="30C0B61B">
            <w:pPr>
              <w:pStyle w:val="133"/>
              <w:rPr>
                <w:rFonts w:cs="Times New Roman"/>
                <w:sz w:val="18"/>
                <w:szCs w:val="18"/>
              </w:rPr>
            </w:pPr>
            <w:r>
              <w:rPr>
                <w:rFonts w:cs="Times New Roman"/>
                <w:color w:val="000000"/>
                <w:sz w:val="18"/>
                <w:szCs w:val="18"/>
              </w:rPr>
              <w:t>焚烧炉烟气</w:t>
            </w:r>
          </w:p>
        </w:tc>
        <w:tc>
          <w:tcPr>
            <w:tcW w:w="294" w:type="pct"/>
            <w:vAlign w:val="center"/>
          </w:tcPr>
          <w:p w14:paraId="6C16EFB7">
            <w:pPr>
              <w:pStyle w:val="133"/>
              <w:rPr>
                <w:rFonts w:cs="Times New Roman"/>
                <w:sz w:val="18"/>
                <w:szCs w:val="18"/>
              </w:rPr>
            </w:pPr>
            <w:r>
              <w:rPr>
                <w:rFonts w:cs="Times New Roman"/>
                <w:color w:val="000000"/>
                <w:sz w:val="18"/>
                <w:szCs w:val="18"/>
              </w:rPr>
              <w:t>-32</w:t>
            </w:r>
          </w:p>
        </w:tc>
        <w:tc>
          <w:tcPr>
            <w:tcW w:w="294" w:type="pct"/>
            <w:vAlign w:val="center"/>
          </w:tcPr>
          <w:p w14:paraId="46F72B61">
            <w:pPr>
              <w:pStyle w:val="133"/>
              <w:rPr>
                <w:rFonts w:cs="Times New Roman"/>
                <w:sz w:val="18"/>
                <w:szCs w:val="18"/>
              </w:rPr>
            </w:pPr>
            <w:r>
              <w:rPr>
                <w:rFonts w:cs="Times New Roman"/>
                <w:color w:val="000000"/>
                <w:sz w:val="18"/>
                <w:szCs w:val="18"/>
              </w:rPr>
              <w:t>227</w:t>
            </w:r>
          </w:p>
        </w:tc>
        <w:tc>
          <w:tcPr>
            <w:tcW w:w="329" w:type="pct"/>
            <w:noWrap/>
            <w:vAlign w:val="center"/>
          </w:tcPr>
          <w:p w14:paraId="1347F14C">
            <w:pPr>
              <w:pStyle w:val="133"/>
              <w:rPr>
                <w:rFonts w:cs="Times New Roman"/>
                <w:sz w:val="18"/>
                <w:szCs w:val="18"/>
              </w:rPr>
            </w:pPr>
            <w:r>
              <w:rPr>
                <w:rFonts w:cs="Times New Roman"/>
                <w:color w:val="000000"/>
                <w:sz w:val="18"/>
                <w:szCs w:val="18"/>
              </w:rPr>
              <w:t>15</w:t>
            </w:r>
          </w:p>
        </w:tc>
        <w:tc>
          <w:tcPr>
            <w:tcW w:w="326" w:type="pct"/>
            <w:noWrap/>
            <w:vAlign w:val="center"/>
          </w:tcPr>
          <w:p w14:paraId="4A00A7E8">
            <w:pPr>
              <w:pStyle w:val="133"/>
              <w:rPr>
                <w:rFonts w:cs="Times New Roman"/>
                <w:sz w:val="18"/>
                <w:szCs w:val="18"/>
              </w:rPr>
            </w:pPr>
            <w:r>
              <w:rPr>
                <w:rFonts w:cs="Times New Roman"/>
                <w:color w:val="000000"/>
                <w:sz w:val="18"/>
                <w:szCs w:val="18"/>
              </w:rPr>
              <w:t>1.2</w:t>
            </w:r>
          </w:p>
        </w:tc>
        <w:tc>
          <w:tcPr>
            <w:tcW w:w="329" w:type="pct"/>
            <w:noWrap/>
            <w:vAlign w:val="center"/>
          </w:tcPr>
          <w:p w14:paraId="16364B12">
            <w:pPr>
              <w:pStyle w:val="133"/>
              <w:rPr>
                <w:rFonts w:cs="Times New Roman"/>
                <w:sz w:val="18"/>
                <w:szCs w:val="18"/>
              </w:rPr>
            </w:pPr>
            <w:r>
              <w:rPr>
                <w:rFonts w:cs="Times New Roman"/>
                <w:color w:val="000000"/>
                <w:sz w:val="18"/>
                <w:szCs w:val="18"/>
              </w:rPr>
              <w:t>70</w:t>
            </w:r>
          </w:p>
        </w:tc>
        <w:tc>
          <w:tcPr>
            <w:tcW w:w="300" w:type="pct"/>
            <w:vAlign w:val="center"/>
          </w:tcPr>
          <w:p w14:paraId="3BEAB892">
            <w:pPr>
              <w:pStyle w:val="133"/>
              <w:rPr>
                <w:rFonts w:cs="Times New Roman"/>
                <w:sz w:val="18"/>
                <w:szCs w:val="18"/>
              </w:rPr>
            </w:pPr>
            <w:r>
              <w:rPr>
                <w:rFonts w:cs="Times New Roman"/>
                <w:color w:val="000000"/>
                <w:sz w:val="18"/>
                <w:szCs w:val="18"/>
              </w:rPr>
              <w:t>65057</w:t>
            </w:r>
          </w:p>
        </w:tc>
        <w:tc>
          <w:tcPr>
            <w:tcW w:w="237" w:type="pct"/>
            <w:vAlign w:val="center"/>
          </w:tcPr>
          <w:p w14:paraId="36B79A5F">
            <w:pPr>
              <w:pStyle w:val="133"/>
              <w:rPr>
                <w:rFonts w:cs="Times New Roman"/>
                <w:sz w:val="18"/>
                <w:szCs w:val="18"/>
              </w:rPr>
            </w:pPr>
            <w:r>
              <w:rPr>
                <w:rFonts w:cs="Times New Roman"/>
                <w:color w:val="000000"/>
                <w:sz w:val="18"/>
                <w:szCs w:val="18"/>
              </w:rPr>
              <w:t>1.8</w:t>
            </w:r>
          </w:p>
        </w:tc>
        <w:tc>
          <w:tcPr>
            <w:tcW w:w="237" w:type="pct"/>
            <w:vAlign w:val="center"/>
          </w:tcPr>
          <w:p w14:paraId="3CAA067A">
            <w:pPr>
              <w:pStyle w:val="133"/>
              <w:rPr>
                <w:rFonts w:cs="Times New Roman"/>
                <w:sz w:val="18"/>
                <w:szCs w:val="18"/>
              </w:rPr>
            </w:pPr>
            <w:r>
              <w:rPr>
                <w:rFonts w:cs="Times New Roman"/>
                <w:color w:val="000000"/>
                <w:sz w:val="18"/>
                <w:szCs w:val="18"/>
              </w:rPr>
              <w:t>8.784</w:t>
            </w:r>
          </w:p>
        </w:tc>
        <w:tc>
          <w:tcPr>
            <w:tcW w:w="237" w:type="pct"/>
            <w:noWrap/>
            <w:vAlign w:val="center"/>
          </w:tcPr>
          <w:p w14:paraId="61C75999">
            <w:pPr>
              <w:pStyle w:val="133"/>
              <w:rPr>
                <w:rFonts w:cs="Times New Roman"/>
                <w:sz w:val="18"/>
                <w:szCs w:val="18"/>
              </w:rPr>
            </w:pPr>
            <w:r>
              <w:rPr>
                <w:rFonts w:cs="Times New Roman"/>
                <w:color w:val="000000"/>
                <w:sz w:val="18"/>
                <w:szCs w:val="18"/>
              </w:rPr>
              <w:t>0.5</w:t>
            </w:r>
          </w:p>
        </w:tc>
        <w:tc>
          <w:tcPr>
            <w:tcW w:w="237" w:type="pct"/>
            <w:noWrap/>
            <w:vAlign w:val="center"/>
          </w:tcPr>
          <w:p w14:paraId="37C53646">
            <w:pPr>
              <w:pStyle w:val="133"/>
              <w:rPr>
                <w:rFonts w:cs="Times New Roman"/>
                <w:sz w:val="18"/>
                <w:szCs w:val="18"/>
              </w:rPr>
            </w:pPr>
            <w:r>
              <w:rPr>
                <w:rFonts w:cs="Times New Roman"/>
                <w:color w:val="000000"/>
                <w:sz w:val="18"/>
                <w:szCs w:val="18"/>
              </w:rPr>
              <w:t>0.25</w:t>
            </w:r>
          </w:p>
        </w:tc>
        <w:tc>
          <w:tcPr>
            <w:tcW w:w="237" w:type="pct"/>
            <w:vAlign w:val="center"/>
          </w:tcPr>
          <w:p w14:paraId="23BFE04A">
            <w:pPr>
              <w:pStyle w:val="133"/>
              <w:rPr>
                <w:rFonts w:cs="Times New Roman"/>
                <w:sz w:val="18"/>
                <w:szCs w:val="18"/>
              </w:rPr>
            </w:pPr>
          </w:p>
        </w:tc>
        <w:tc>
          <w:tcPr>
            <w:tcW w:w="233" w:type="pct"/>
            <w:vAlign w:val="center"/>
          </w:tcPr>
          <w:p w14:paraId="130C4DF4">
            <w:pPr>
              <w:pStyle w:val="133"/>
              <w:rPr>
                <w:rFonts w:cs="Times New Roman"/>
                <w:sz w:val="18"/>
                <w:szCs w:val="18"/>
              </w:rPr>
            </w:pPr>
          </w:p>
        </w:tc>
        <w:tc>
          <w:tcPr>
            <w:tcW w:w="233" w:type="pct"/>
            <w:vAlign w:val="center"/>
          </w:tcPr>
          <w:p w14:paraId="5A173FAA">
            <w:pPr>
              <w:pStyle w:val="133"/>
              <w:rPr>
                <w:rFonts w:cs="Times New Roman"/>
                <w:sz w:val="18"/>
                <w:szCs w:val="18"/>
              </w:rPr>
            </w:pPr>
          </w:p>
        </w:tc>
        <w:tc>
          <w:tcPr>
            <w:tcW w:w="217" w:type="pct"/>
            <w:vAlign w:val="center"/>
          </w:tcPr>
          <w:p w14:paraId="48F2352C">
            <w:pPr>
              <w:pStyle w:val="133"/>
              <w:rPr>
                <w:rFonts w:cs="Times New Roman"/>
                <w:sz w:val="18"/>
                <w:szCs w:val="18"/>
              </w:rPr>
            </w:pPr>
          </w:p>
        </w:tc>
        <w:tc>
          <w:tcPr>
            <w:tcW w:w="217" w:type="pct"/>
            <w:vAlign w:val="center"/>
          </w:tcPr>
          <w:p w14:paraId="3F5FBA3F">
            <w:pPr>
              <w:pStyle w:val="133"/>
              <w:rPr>
                <w:rFonts w:cs="Times New Roman"/>
                <w:sz w:val="18"/>
                <w:szCs w:val="18"/>
              </w:rPr>
            </w:pPr>
          </w:p>
        </w:tc>
        <w:tc>
          <w:tcPr>
            <w:tcW w:w="214" w:type="pct"/>
            <w:vAlign w:val="center"/>
          </w:tcPr>
          <w:p w14:paraId="5678DDD9">
            <w:pPr>
              <w:pStyle w:val="133"/>
              <w:rPr>
                <w:rFonts w:cs="Times New Roman"/>
                <w:sz w:val="18"/>
                <w:szCs w:val="18"/>
              </w:rPr>
            </w:pPr>
          </w:p>
        </w:tc>
      </w:tr>
      <w:tr w14:paraId="7B97F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783D8414">
            <w:pPr>
              <w:pStyle w:val="133"/>
              <w:rPr>
                <w:rFonts w:cs="Times New Roman"/>
                <w:sz w:val="18"/>
                <w:szCs w:val="18"/>
              </w:rPr>
            </w:pPr>
            <w:r>
              <w:rPr>
                <w:rFonts w:cs="Times New Roman"/>
                <w:color w:val="000000"/>
                <w:sz w:val="18"/>
                <w:szCs w:val="18"/>
              </w:rPr>
              <w:t>8</w:t>
            </w:r>
          </w:p>
        </w:tc>
        <w:tc>
          <w:tcPr>
            <w:tcW w:w="611" w:type="pct"/>
            <w:noWrap/>
            <w:vAlign w:val="center"/>
          </w:tcPr>
          <w:p w14:paraId="6B00E0BC">
            <w:pPr>
              <w:pStyle w:val="133"/>
              <w:rPr>
                <w:rFonts w:cs="Times New Roman"/>
                <w:sz w:val="18"/>
                <w:szCs w:val="18"/>
              </w:rPr>
            </w:pPr>
            <w:r>
              <w:rPr>
                <w:rFonts w:cs="Times New Roman"/>
                <w:color w:val="000000"/>
                <w:sz w:val="18"/>
                <w:szCs w:val="18"/>
              </w:rPr>
              <w:t>1#有机废气处理</w:t>
            </w:r>
          </w:p>
        </w:tc>
        <w:tc>
          <w:tcPr>
            <w:tcW w:w="294" w:type="pct"/>
            <w:vAlign w:val="center"/>
          </w:tcPr>
          <w:p w14:paraId="1BBA74AD">
            <w:pPr>
              <w:pStyle w:val="133"/>
              <w:rPr>
                <w:rFonts w:cs="Times New Roman"/>
                <w:sz w:val="18"/>
                <w:szCs w:val="18"/>
              </w:rPr>
            </w:pPr>
            <w:r>
              <w:rPr>
                <w:rFonts w:cs="Times New Roman"/>
                <w:color w:val="000000"/>
                <w:sz w:val="18"/>
                <w:szCs w:val="18"/>
              </w:rPr>
              <w:t>-65</w:t>
            </w:r>
          </w:p>
        </w:tc>
        <w:tc>
          <w:tcPr>
            <w:tcW w:w="294" w:type="pct"/>
            <w:vAlign w:val="center"/>
          </w:tcPr>
          <w:p w14:paraId="5B1AC55F">
            <w:pPr>
              <w:pStyle w:val="133"/>
              <w:rPr>
                <w:rFonts w:cs="Times New Roman"/>
                <w:sz w:val="18"/>
                <w:szCs w:val="18"/>
              </w:rPr>
            </w:pPr>
            <w:r>
              <w:rPr>
                <w:rFonts w:cs="Times New Roman"/>
                <w:color w:val="000000"/>
                <w:sz w:val="18"/>
                <w:szCs w:val="18"/>
              </w:rPr>
              <w:t>130</w:t>
            </w:r>
          </w:p>
        </w:tc>
        <w:tc>
          <w:tcPr>
            <w:tcW w:w="329" w:type="pct"/>
            <w:noWrap/>
            <w:vAlign w:val="center"/>
          </w:tcPr>
          <w:p w14:paraId="2D12B404">
            <w:pPr>
              <w:pStyle w:val="133"/>
              <w:rPr>
                <w:rFonts w:cs="Times New Roman"/>
                <w:sz w:val="18"/>
                <w:szCs w:val="18"/>
              </w:rPr>
            </w:pPr>
            <w:r>
              <w:rPr>
                <w:rFonts w:cs="Times New Roman"/>
                <w:color w:val="000000"/>
                <w:sz w:val="18"/>
                <w:szCs w:val="18"/>
              </w:rPr>
              <w:t>25</w:t>
            </w:r>
          </w:p>
        </w:tc>
        <w:tc>
          <w:tcPr>
            <w:tcW w:w="326" w:type="pct"/>
            <w:noWrap/>
            <w:vAlign w:val="center"/>
          </w:tcPr>
          <w:p w14:paraId="4190C383">
            <w:pPr>
              <w:pStyle w:val="133"/>
              <w:rPr>
                <w:rFonts w:cs="Times New Roman"/>
                <w:sz w:val="18"/>
                <w:szCs w:val="18"/>
              </w:rPr>
            </w:pPr>
            <w:r>
              <w:rPr>
                <w:rFonts w:cs="Times New Roman"/>
                <w:color w:val="000000"/>
                <w:sz w:val="18"/>
                <w:szCs w:val="18"/>
              </w:rPr>
              <w:t>1</w:t>
            </w:r>
          </w:p>
        </w:tc>
        <w:tc>
          <w:tcPr>
            <w:tcW w:w="329" w:type="pct"/>
            <w:noWrap/>
            <w:vAlign w:val="center"/>
          </w:tcPr>
          <w:p w14:paraId="69A94C0F">
            <w:pPr>
              <w:pStyle w:val="133"/>
              <w:rPr>
                <w:rFonts w:cs="Times New Roman"/>
                <w:sz w:val="18"/>
                <w:szCs w:val="18"/>
              </w:rPr>
            </w:pPr>
            <w:r>
              <w:rPr>
                <w:rFonts w:cs="Times New Roman"/>
                <w:color w:val="000000"/>
                <w:sz w:val="18"/>
                <w:szCs w:val="18"/>
              </w:rPr>
              <w:t>70</w:t>
            </w:r>
          </w:p>
        </w:tc>
        <w:tc>
          <w:tcPr>
            <w:tcW w:w="300" w:type="pct"/>
            <w:vAlign w:val="center"/>
          </w:tcPr>
          <w:p w14:paraId="1ED7C2A1">
            <w:pPr>
              <w:pStyle w:val="133"/>
              <w:rPr>
                <w:rFonts w:cs="Times New Roman"/>
                <w:sz w:val="18"/>
                <w:szCs w:val="18"/>
              </w:rPr>
            </w:pPr>
            <w:r>
              <w:rPr>
                <w:rFonts w:cs="Times New Roman"/>
                <w:color w:val="000000"/>
                <w:sz w:val="18"/>
                <w:szCs w:val="18"/>
              </w:rPr>
              <w:t>40000</w:t>
            </w:r>
          </w:p>
        </w:tc>
        <w:tc>
          <w:tcPr>
            <w:tcW w:w="237" w:type="pct"/>
            <w:vAlign w:val="center"/>
          </w:tcPr>
          <w:p w14:paraId="56525289">
            <w:pPr>
              <w:pStyle w:val="133"/>
              <w:rPr>
                <w:rFonts w:cs="Times New Roman"/>
                <w:sz w:val="18"/>
                <w:szCs w:val="18"/>
              </w:rPr>
            </w:pPr>
            <w:r>
              <w:rPr>
                <w:rFonts w:cs="Times New Roman"/>
                <w:color w:val="000000"/>
                <w:sz w:val="18"/>
                <w:szCs w:val="18"/>
              </w:rPr>
              <w:t>0.23</w:t>
            </w:r>
          </w:p>
        </w:tc>
        <w:tc>
          <w:tcPr>
            <w:tcW w:w="237" w:type="pct"/>
            <w:vAlign w:val="center"/>
          </w:tcPr>
          <w:p w14:paraId="2F352684">
            <w:pPr>
              <w:pStyle w:val="133"/>
              <w:rPr>
                <w:rFonts w:cs="Times New Roman"/>
                <w:sz w:val="18"/>
                <w:szCs w:val="18"/>
              </w:rPr>
            </w:pPr>
          </w:p>
        </w:tc>
        <w:tc>
          <w:tcPr>
            <w:tcW w:w="237" w:type="pct"/>
            <w:noWrap/>
            <w:vAlign w:val="center"/>
          </w:tcPr>
          <w:p w14:paraId="25135A24">
            <w:pPr>
              <w:pStyle w:val="133"/>
              <w:rPr>
                <w:rFonts w:cs="Times New Roman"/>
                <w:sz w:val="18"/>
                <w:szCs w:val="18"/>
              </w:rPr>
            </w:pPr>
            <w:r>
              <w:rPr>
                <w:rFonts w:cs="Times New Roman"/>
                <w:color w:val="000000"/>
                <w:sz w:val="18"/>
                <w:szCs w:val="18"/>
              </w:rPr>
              <w:t>0.03</w:t>
            </w:r>
          </w:p>
        </w:tc>
        <w:tc>
          <w:tcPr>
            <w:tcW w:w="237" w:type="pct"/>
            <w:noWrap/>
            <w:vAlign w:val="center"/>
          </w:tcPr>
          <w:p w14:paraId="7275D5CA">
            <w:pPr>
              <w:pStyle w:val="133"/>
              <w:rPr>
                <w:rFonts w:cs="Times New Roman"/>
                <w:sz w:val="18"/>
                <w:szCs w:val="18"/>
              </w:rPr>
            </w:pPr>
            <w:r>
              <w:rPr>
                <w:rFonts w:cs="Times New Roman"/>
                <w:color w:val="000000"/>
                <w:sz w:val="18"/>
                <w:szCs w:val="18"/>
              </w:rPr>
              <w:t>0.015</w:t>
            </w:r>
          </w:p>
        </w:tc>
        <w:tc>
          <w:tcPr>
            <w:tcW w:w="237" w:type="pct"/>
            <w:vAlign w:val="center"/>
          </w:tcPr>
          <w:p w14:paraId="2D97A7DC">
            <w:pPr>
              <w:pStyle w:val="133"/>
              <w:rPr>
                <w:rFonts w:cs="Times New Roman"/>
                <w:sz w:val="18"/>
                <w:szCs w:val="18"/>
              </w:rPr>
            </w:pPr>
            <w:r>
              <w:rPr>
                <w:rFonts w:cs="Times New Roman"/>
                <w:color w:val="000000"/>
                <w:sz w:val="18"/>
                <w:szCs w:val="18"/>
              </w:rPr>
              <w:t>0.000008</w:t>
            </w:r>
          </w:p>
        </w:tc>
        <w:tc>
          <w:tcPr>
            <w:tcW w:w="233" w:type="pct"/>
            <w:vAlign w:val="center"/>
          </w:tcPr>
          <w:p w14:paraId="2E0F77F8">
            <w:pPr>
              <w:pStyle w:val="133"/>
              <w:rPr>
                <w:rFonts w:cs="Times New Roman"/>
                <w:sz w:val="18"/>
                <w:szCs w:val="18"/>
              </w:rPr>
            </w:pPr>
            <w:r>
              <w:rPr>
                <w:rFonts w:cs="Times New Roman"/>
                <w:color w:val="000000"/>
                <w:sz w:val="18"/>
                <w:szCs w:val="18"/>
              </w:rPr>
              <w:t>0.0043</w:t>
            </w:r>
          </w:p>
        </w:tc>
        <w:tc>
          <w:tcPr>
            <w:tcW w:w="233" w:type="pct"/>
            <w:vAlign w:val="center"/>
          </w:tcPr>
          <w:p w14:paraId="227A1ECA">
            <w:pPr>
              <w:pStyle w:val="133"/>
              <w:rPr>
                <w:rFonts w:cs="Times New Roman"/>
                <w:sz w:val="18"/>
                <w:szCs w:val="18"/>
              </w:rPr>
            </w:pPr>
            <w:r>
              <w:rPr>
                <w:rFonts w:cs="Times New Roman"/>
                <w:color w:val="000000"/>
                <w:sz w:val="18"/>
                <w:szCs w:val="18"/>
              </w:rPr>
              <w:t>0.0008</w:t>
            </w:r>
          </w:p>
        </w:tc>
        <w:tc>
          <w:tcPr>
            <w:tcW w:w="217" w:type="pct"/>
            <w:vAlign w:val="center"/>
          </w:tcPr>
          <w:p w14:paraId="41FBFFFA">
            <w:pPr>
              <w:pStyle w:val="133"/>
              <w:rPr>
                <w:rFonts w:cs="Times New Roman"/>
                <w:sz w:val="18"/>
                <w:szCs w:val="18"/>
              </w:rPr>
            </w:pPr>
            <w:r>
              <w:rPr>
                <w:rFonts w:cs="Times New Roman"/>
                <w:color w:val="000000"/>
                <w:sz w:val="18"/>
                <w:szCs w:val="18"/>
              </w:rPr>
              <w:t>0.0025</w:t>
            </w:r>
          </w:p>
        </w:tc>
        <w:tc>
          <w:tcPr>
            <w:tcW w:w="217" w:type="pct"/>
            <w:vAlign w:val="center"/>
          </w:tcPr>
          <w:p w14:paraId="3C956146">
            <w:pPr>
              <w:pStyle w:val="133"/>
              <w:rPr>
                <w:rFonts w:cs="Times New Roman"/>
                <w:color w:val="000000"/>
                <w:sz w:val="18"/>
                <w:szCs w:val="18"/>
              </w:rPr>
            </w:pPr>
            <w:r>
              <w:rPr>
                <w:rFonts w:hint="eastAsia" w:cs="Times New Roman"/>
                <w:color w:val="000000"/>
                <w:sz w:val="18"/>
                <w:szCs w:val="18"/>
              </w:rPr>
              <w:t>0.0004</w:t>
            </w:r>
          </w:p>
        </w:tc>
        <w:tc>
          <w:tcPr>
            <w:tcW w:w="214" w:type="pct"/>
            <w:vAlign w:val="center"/>
          </w:tcPr>
          <w:p w14:paraId="49C18E46">
            <w:pPr>
              <w:pStyle w:val="133"/>
              <w:rPr>
                <w:rFonts w:cs="Times New Roman"/>
                <w:color w:val="000000"/>
                <w:sz w:val="18"/>
                <w:szCs w:val="18"/>
              </w:rPr>
            </w:pPr>
            <w:r>
              <w:rPr>
                <w:rFonts w:hint="eastAsia" w:cs="Times New Roman"/>
                <w:color w:val="000000"/>
                <w:sz w:val="18"/>
                <w:szCs w:val="18"/>
              </w:rPr>
              <w:t>0.000002</w:t>
            </w:r>
          </w:p>
        </w:tc>
      </w:tr>
      <w:tr w14:paraId="5E6D8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0FD5C749">
            <w:pPr>
              <w:pStyle w:val="133"/>
              <w:rPr>
                <w:rFonts w:cs="Times New Roman"/>
                <w:sz w:val="18"/>
                <w:szCs w:val="18"/>
              </w:rPr>
            </w:pPr>
            <w:r>
              <w:rPr>
                <w:rFonts w:cs="Times New Roman"/>
                <w:color w:val="000000"/>
                <w:sz w:val="18"/>
                <w:szCs w:val="18"/>
              </w:rPr>
              <w:t>9</w:t>
            </w:r>
          </w:p>
        </w:tc>
        <w:tc>
          <w:tcPr>
            <w:tcW w:w="611" w:type="pct"/>
            <w:noWrap/>
            <w:vAlign w:val="center"/>
          </w:tcPr>
          <w:p w14:paraId="174AEF99">
            <w:pPr>
              <w:pStyle w:val="133"/>
              <w:rPr>
                <w:rFonts w:cs="Times New Roman"/>
                <w:sz w:val="18"/>
                <w:szCs w:val="18"/>
              </w:rPr>
            </w:pPr>
            <w:r>
              <w:rPr>
                <w:rFonts w:cs="Times New Roman"/>
                <w:color w:val="000000"/>
                <w:sz w:val="18"/>
                <w:szCs w:val="18"/>
              </w:rPr>
              <w:t>2#有机废气处理</w:t>
            </w:r>
          </w:p>
        </w:tc>
        <w:tc>
          <w:tcPr>
            <w:tcW w:w="294" w:type="pct"/>
            <w:vAlign w:val="center"/>
          </w:tcPr>
          <w:p w14:paraId="30D67D46">
            <w:pPr>
              <w:pStyle w:val="133"/>
              <w:rPr>
                <w:rFonts w:cs="Times New Roman"/>
                <w:sz w:val="18"/>
                <w:szCs w:val="18"/>
              </w:rPr>
            </w:pPr>
            <w:r>
              <w:rPr>
                <w:rFonts w:cs="Times New Roman"/>
                <w:color w:val="000000"/>
                <w:sz w:val="18"/>
                <w:szCs w:val="18"/>
              </w:rPr>
              <w:t>0</w:t>
            </w:r>
          </w:p>
        </w:tc>
        <w:tc>
          <w:tcPr>
            <w:tcW w:w="294" w:type="pct"/>
            <w:vAlign w:val="center"/>
          </w:tcPr>
          <w:p w14:paraId="2F90C537">
            <w:pPr>
              <w:pStyle w:val="133"/>
              <w:rPr>
                <w:rFonts w:cs="Times New Roman"/>
                <w:sz w:val="18"/>
                <w:szCs w:val="18"/>
              </w:rPr>
            </w:pPr>
            <w:r>
              <w:rPr>
                <w:rFonts w:cs="Times New Roman"/>
                <w:color w:val="000000"/>
                <w:sz w:val="18"/>
                <w:szCs w:val="18"/>
              </w:rPr>
              <w:t>65</w:t>
            </w:r>
          </w:p>
        </w:tc>
        <w:tc>
          <w:tcPr>
            <w:tcW w:w="329" w:type="pct"/>
            <w:noWrap/>
            <w:vAlign w:val="center"/>
          </w:tcPr>
          <w:p w14:paraId="5FEAA033">
            <w:pPr>
              <w:pStyle w:val="133"/>
              <w:rPr>
                <w:rFonts w:cs="Times New Roman"/>
                <w:sz w:val="18"/>
                <w:szCs w:val="18"/>
              </w:rPr>
            </w:pPr>
            <w:r>
              <w:rPr>
                <w:rFonts w:cs="Times New Roman"/>
                <w:color w:val="000000"/>
                <w:sz w:val="18"/>
                <w:szCs w:val="18"/>
              </w:rPr>
              <w:t>25</w:t>
            </w:r>
          </w:p>
        </w:tc>
        <w:tc>
          <w:tcPr>
            <w:tcW w:w="326" w:type="pct"/>
            <w:noWrap/>
            <w:vAlign w:val="center"/>
          </w:tcPr>
          <w:p w14:paraId="4710C0D5">
            <w:pPr>
              <w:pStyle w:val="133"/>
              <w:rPr>
                <w:rFonts w:cs="Times New Roman"/>
                <w:sz w:val="18"/>
                <w:szCs w:val="18"/>
              </w:rPr>
            </w:pPr>
            <w:r>
              <w:rPr>
                <w:rFonts w:cs="Times New Roman"/>
                <w:color w:val="000000"/>
                <w:sz w:val="18"/>
                <w:szCs w:val="18"/>
              </w:rPr>
              <w:t>0.4</w:t>
            </w:r>
          </w:p>
        </w:tc>
        <w:tc>
          <w:tcPr>
            <w:tcW w:w="329" w:type="pct"/>
            <w:noWrap/>
            <w:vAlign w:val="center"/>
          </w:tcPr>
          <w:p w14:paraId="68C29254">
            <w:pPr>
              <w:pStyle w:val="133"/>
              <w:rPr>
                <w:rFonts w:cs="Times New Roman"/>
                <w:sz w:val="18"/>
                <w:szCs w:val="18"/>
              </w:rPr>
            </w:pPr>
            <w:r>
              <w:rPr>
                <w:rFonts w:cs="Times New Roman"/>
                <w:color w:val="000000"/>
                <w:sz w:val="18"/>
                <w:szCs w:val="18"/>
              </w:rPr>
              <w:t>70</w:t>
            </w:r>
          </w:p>
        </w:tc>
        <w:tc>
          <w:tcPr>
            <w:tcW w:w="300" w:type="pct"/>
            <w:vAlign w:val="center"/>
          </w:tcPr>
          <w:p w14:paraId="0B749063">
            <w:pPr>
              <w:pStyle w:val="133"/>
              <w:rPr>
                <w:rFonts w:cs="Times New Roman"/>
                <w:sz w:val="18"/>
                <w:szCs w:val="18"/>
              </w:rPr>
            </w:pPr>
            <w:r>
              <w:rPr>
                <w:rFonts w:cs="Times New Roman"/>
                <w:color w:val="000000"/>
                <w:sz w:val="18"/>
                <w:szCs w:val="18"/>
              </w:rPr>
              <w:t>1000</w:t>
            </w:r>
          </w:p>
        </w:tc>
        <w:tc>
          <w:tcPr>
            <w:tcW w:w="237" w:type="pct"/>
            <w:vAlign w:val="center"/>
          </w:tcPr>
          <w:p w14:paraId="11D3E0B6">
            <w:pPr>
              <w:pStyle w:val="133"/>
              <w:rPr>
                <w:rFonts w:cs="Times New Roman"/>
                <w:sz w:val="18"/>
                <w:szCs w:val="18"/>
              </w:rPr>
            </w:pPr>
          </w:p>
        </w:tc>
        <w:tc>
          <w:tcPr>
            <w:tcW w:w="237" w:type="pct"/>
            <w:vAlign w:val="center"/>
          </w:tcPr>
          <w:p w14:paraId="0860692F">
            <w:pPr>
              <w:pStyle w:val="133"/>
              <w:rPr>
                <w:rFonts w:cs="Times New Roman"/>
                <w:sz w:val="18"/>
                <w:szCs w:val="18"/>
              </w:rPr>
            </w:pPr>
          </w:p>
        </w:tc>
        <w:tc>
          <w:tcPr>
            <w:tcW w:w="237" w:type="pct"/>
            <w:noWrap/>
            <w:vAlign w:val="center"/>
          </w:tcPr>
          <w:p w14:paraId="75AFD2FD">
            <w:pPr>
              <w:pStyle w:val="133"/>
              <w:rPr>
                <w:rFonts w:cs="Times New Roman"/>
                <w:sz w:val="18"/>
                <w:szCs w:val="18"/>
              </w:rPr>
            </w:pPr>
          </w:p>
        </w:tc>
        <w:tc>
          <w:tcPr>
            <w:tcW w:w="237" w:type="pct"/>
            <w:noWrap/>
            <w:vAlign w:val="center"/>
          </w:tcPr>
          <w:p w14:paraId="753E2679">
            <w:pPr>
              <w:pStyle w:val="133"/>
              <w:rPr>
                <w:rFonts w:cs="Times New Roman"/>
                <w:sz w:val="18"/>
                <w:szCs w:val="18"/>
              </w:rPr>
            </w:pPr>
          </w:p>
        </w:tc>
        <w:tc>
          <w:tcPr>
            <w:tcW w:w="237" w:type="pct"/>
            <w:vAlign w:val="center"/>
          </w:tcPr>
          <w:p w14:paraId="6C56E5D1">
            <w:pPr>
              <w:pStyle w:val="133"/>
              <w:rPr>
                <w:rFonts w:cs="Times New Roman"/>
                <w:sz w:val="18"/>
                <w:szCs w:val="18"/>
              </w:rPr>
            </w:pPr>
          </w:p>
        </w:tc>
        <w:tc>
          <w:tcPr>
            <w:tcW w:w="233" w:type="pct"/>
            <w:vAlign w:val="center"/>
          </w:tcPr>
          <w:p w14:paraId="5CBB787D">
            <w:pPr>
              <w:pStyle w:val="133"/>
              <w:rPr>
                <w:rFonts w:cs="Times New Roman"/>
                <w:sz w:val="18"/>
                <w:szCs w:val="18"/>
              </w:rPr>
            </w:pPr>
          </w:p>
        </w:tc>
        <w:tc>
          <w:tcPr>
            <w:tcW w:w="233" w:type="pct"/>
            <w:vAlign w:val="center"/>
          </w:tcPr>
          <w:p w14:paraId="1F0A2D1A">
            <w:pPr>
              <w:pStyle w:val="133"/>
              <w:rPr>
                <w:rFonts w:cs="Times New Roman"/>
                <w:sz w:val="18"/>
                <w:szCs w:val="18"/>
              </w:rPr>
            </w:pPr>
          </w:p>
        </w:tc>
        <w:tc>
          <w:tcPr>
            <w:tcW w:w="217" w:type="pct"/>
            <w:vAlign w:val="center"/>
          </w:tcPr>
          <w:p w14:paraId="6471022E">
            <w:pPr>
              <w:pStyle w:val="133"/>
              <w:rPr>
                <w:rFonts w:cs="Times New Roman"/>
                <w:sz w:val="18"/>
                <w:szCs w:val="18"/>
              </w:rPr>
            </w:pPr>
            <w:r>
              <w:rPr>
                <w:rFonts w:cs="Times New Roman"/>
                <w:color w:val="000000"/>
                <w:sz w:val="18"/>
                <w:szCs w:val="18"/>
              </w:rPr>
              <w:t>0.046</w:t>
            </w:r>
          </w:p>
        </w:tc>
        <w:tc>
          <w:tcPr>
            <w:tcW w:w="217" w:type="pct"/>
            <w:vAlign w:val="center"/>
          </w:tcPr>
          <w:p w14:paraId="2BC2D0CC">
            <w:pPr>
              <w:pStyle w:val="133"/>
              <w:rPr>
                <w:rFonts w:cs="Times New Roman"/>
                <w:color w:val="000000"/>
                <w:sz w:val="18"/>
                <w:szCs w:val="18"/>
              </w:rPr>
            </w:pPr>
          </w:p>
        </w:tc>
        <w:tc>
          <w:tcPr>
            <w:tcW w:w="214" w:type="pct"/>
            <w:vAlign w:val="center"/>
          </w:tcPr>
          <w:p w14:paraId="6BD0F8B9">
            <w:pPr>
              <w:pStyle w:val="133"/>
              <w:rPr>
                <w:rFonts w:cs="Times New Roman"/>
                <w:color w:val="000000"/>
                <w:sz w:val="18"/>
                <w:szCs w:val="18"/>
              </w:rPr>
            </w:pPr>
          </w:p>
        </w:tc>
      </w:tr>
      <w:tr w14:paraId="3FFC7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29E17D72">
            <w:pPr>
              <w:pStyle w:val="133"/>
              <w:rPr>
                <w:rFonts w:cs="Times New Roman"/>
                <w:sz w:val="18"/>
                <w:szCs w:val="18"/>
              </w:rPr>
            </w:pPr>
            <w:r>
              <w:rPr>
                <w:rFonts w:cs="Times New Roman"/>
                <w:color w:val="000000"/>
                <w:sz w:val="18"/>
                <w:szCs w:val="18"/>
              </w:rPr>
              <w:t>10</w:t>
            </w:r>
          </w:p>
        </w:tc>
        <w:tc>
          <w:tcPr>
            <w:tcW w:w="611" w:type="pct"/>
            <w:noWrap/>
            <w:vAlign w:val="center"/>
          </w:tcPr>
          <w:p w14:paraId="4A965136">
            <w:pPr>
              <w:pStyle w:val="133"/>
              <w:rPr>
                <w:rFonts w:cs="Times New Roman"/>
                <w:sz w:val="18"/>
                <w:szCs w:val="18"/>
              </w:rPr>
            </w:pPr>
            <w:r>
              <w:rPr>
                <w:rFonts w:cs="Times New Roman"/>
                <w:color w:val="000000"/>
                <w:sz w:val="18"/>
                <w:szCs w:val="18"/>
              </w:rPr>
              <w:t>上料废气</w:t>
            </w:r>
          </w:p>
        </w:tc>
        <w:tc>
          <w:tcPr>
            <w:tcW w:w="294" w:type="pct"/>
            <w:vAlign w:val="center"/>
          </w:tcPr>
          <w:p w14:paraId="03B65372">
            <w:pPr>
              <w:pStyle w:val="133"/>
              <w:rPr>
                <w:rFonts w:cs="Times New Roman"/>
                <w:sz w:val="18"/>
                <w:szCs w:val="18"/>
              </w:rPr>
            </w:pPr>
            <w:r>
              <w:rPr>
                <w:rFonts w:cs="Times New Roman"/>
                <w:color w:val="000000"/>
                <w:sz w:val="18"/>
                <w:szCs w:val="18"/>
              </w:rPr>
              <w:t>195</w:t>
            </w:r>
          </w:p>
        </w:tc>
        <w:tc>
          <w:tcPr>
            <w:tcW w:w="294" w:type="pct"/>
            <w:vAlign w:val="center"/>
          </w:tcPr>
          <w:p w14:paraId="04ABF331">
            <w:pPr>
              <w:pStyle w:val="133"/>
              <w:rPr>
                <w:rFonts w:cs="Times New Roman"/>
                <w:sz w:val="18"/>
                <w:szCs w:val="18"/>
              </w:rPr>
            </w:pPr>
            <w:r>
              <w:rPr>
                <w:rFonts w:cs="Times New Roman"/>
                <w:color w:val="000000"/>
                <w:sz w:val="18"/>
                <w:szCs w:val="18"/>
              </w:rPr>
              <w:t>65</w:t>
            </w:r>
          </w:p>
        </w:tc>
        <w:tc>
          <w:tcPr>
            <w:tcW w:w="329" w:type="pct"/>
            <w:noWrap/>
            <w:vAlign w:val="center"/>
          </w:tcPr>
          <w:p w14:paraId="539D49CF">
            <w:pPr>
              <w:pStyle w:val="133"/>
              <w:rPr>
                <w:rFonts w:cs="Times New Roman"/>
                <w:sz w:val="18"/>
                <w:szCs w:val="18"/>
              </w:rPr>
            </w:pPr>
            <w:r>
              <w:rPr>
                <w:rFonts w:cs="Times New Roman"/>
                <w:color w:val="000000"/>
                <w:sz w:val="18"/>
                <w:szCs w:val="18"/>
              </w:rPr>
              <w:t>20</w:t>
            </w:r>
          </w:p>
        </w:tc>
        <w:tc>
          <w:tcPr>
            <w:tcW w:w="326" w:type="pct"/>
            <w:noWrap/>
            <w:vAlign w:val="center"/>
          </w:tcPr>
          <w:p w14:paraId="54256E14">
            <w:pPr>
              <w:pStyle w:val="133"/>
              <w:rPr>
                <w:rFonts w:cs="Times New Roman"/>
                <w:sz w:val="18"/>
                <w:szCs w:val="18"/>
              </w:rPr>
            </w:pPr>
            <w:r>
              <w:rPr>
                <w:rFonts w:cs="Times New Roman"/>
                <w:color w:val="000000"/>
                <w:sz w:val="18"/>
                <w:szCs w:val="18"/>
              </w:rPr>
              <w:t>1.4</w:t>
            </w:r>
          </w:p>
        </w:tc>
        <w:tc>
          <w:tcPr>
            <w:tcW w:w="329" w:type="pct"/>
            <w:noWrap/>
            <w:vAlign w:val="center"/>
          </w:tcPr>
          <w:p w14:paraId="3AFCD3FA">
            <w:pPr>
              <w:pStyle w:val="133"/>
              <w:rPr>
                <w:rFonts w:cs="Times New Roman"/>
                <w:sz w:val="18"/>
                <w:szCs w:val="18"/>
              </w:rPr>
            </w:pPr>
            <w:r>
              <w:rPr>
                <w:rFonts w:cs="Times New Roman"/>
                <w:color w:val="000000"/>
                <w:sz w:val="18"/>
                <w:szCs w:val="18"/>
              </w:rPr>
              <w:t>25</w:t>
            </w:r>
          </w:p>
        </w:tc>
        <w:tc>
          <w:tcPr>
            <w:tcW w:w="300" w:type="pct"/>
            <w:vAlign w:val="center"/>
          </w:tcPr>
          <w:p w14:paraId="105CE814">
            <w:pPr>
              <w:pStyle w:val="133"/>
              <w:rPr>
                <w:rFonts w:cs="Times New Roman"/>
                <w:sz w:val="18"/>
                <w:szCs w:val="18"/>
              </w:rPr>
            </w:pPr>
            <w:r>
              <w:rPr>
                <w:rFonts w:cs="Times New Roman"/>
                <w:color w:val="000000"/>
                <w:sz w:val="18"/>
                <w:szCs w:val="18"/>
              </w:rPr>
              <w:t>25500</w:t>
            </w:r>
          </w:p>
        </w:tc>
        <w:tc>
          <w:tcPr>
            <w:tcW w:w="237" w:type="pct"/>
            <w:vAlign w:val="center"/>
          </w:tcPr>
          <w:p w14:paraId="573FFAF7">
            <w:pPr>
              <w:pStyle w:val="133"/>
              <w:rPr>
                <w:rFonts w:cs="Times New Roman"/>
                <w:sz w:val="18"/>
                <w:szCs w:val="18"/>
              </w:rPr>
            </w:pPr>
          </w:p>
        </w:tc>
        <w:tc>
          <w:tcPr>
            <w:tcW w:w="237" w:type="pct"/>
            <w:vAlign w:val="center"/>
          </w:tcPr>
          <w:p w14:paraId="4C8BBC4F">
            <w:pPr>
              <w:pStyle w:val="133"/>
              <w:rPr>
                <w:rFonts w:cs="Times New Roman"/>
                <w:sz w:val="18"/>
                <w:szCs w:val="18"/>
              </w:rPr>
            </w:pPr>
          </w:p>
        </w:tc>
        <w:tc>
          <w:tcPr>
            <w:tcW w:w="237" w:type="pct"/>
            <w:noWrap/>
            <w:vAlign w:val="center"/>
          </w:tcPr>
          <w:p w14:paraId="27C3EFBA">
            <w:pPr>
              <w:pStyle w:val="133"/>
              <w:rPr>
                <w:rFonts w:cs="Times New Roman"/>
                <w:sz w:val="18"/>
                <w:szCs w:val="18"/>
              </w:rPr>
            </w:pPr>
            <w:r>
              <w:rPr>
                <w:rFonts w:cs="Times New Roman"/>
                <w:color w:val="000000"/>
                <w:sz w:val="18"/>
                <w:szCs w:val="18"/>
              </w:rPr>
              <w:t>0.09</w:t>
            </w:r>
          </w:p>
        </w:tc>
        <w:tc>
          <w:tcPr>
            <w:tcW w:w="237" w:type="pct"/>
            <w:noWrap/>
            <w:vAlign w:val="center"/>
          </w:tcPr>
          <w:p w14:paraId="22D081EC">
            <w:pPr>
              <w:pStyle w:val="133"/>
              <w:rPr>
                <w:rFonts w:cs="Times New Roman"/>
                <w:sz w:val="18"/>
                <w:szCs w:val="18"/>
              </w:rPr>
            </w:pPr>
            <w:r>
              <w:rPr>
                <w:rFonts w:cs="Times New Roman"/>
                <w:color w:val="000000"/>
                <w:sz w:val="18"/>
                <w:szCs w:val="18"/>
              </w:rPr>
              <w:t>0.045</w:t>
            </w:r>
          </w:p>
        </w:tc>
        <w:tc>
          <w:tcPr>
            <w:tcW w:w="237" w:type="pct"/>
            <w:vAlign w:val="center"/>
          </w:tcPr>
          <w:p w14:paraId="3414FBEC">
            <w:pPr>
              <w:pStyle w:val="133"/>
              <w:rPr>
                <w:rFonts w:cs="Times New Roman"/>
                <w:sz w:val="18"/>
                <w:szCs w:val="18"/>
              </w:rPr>
            </w:pPr>
          </w:p>
        </w:tc>
        <w:tc>
          <w:tcPr>
            <w:tcW w:w="233" w:type="pct"/>
            <w:vAlign w:val="center"/>
          </w:tcPr>
          <w:p w14:paraId="241167A0">
            <w:pPr>
              <w:pStyle w:val="133"/>
              <w:rPr>
                <w:rFonts w:cs="Times New Roman"/>
                <w:sz w:val="18"/>
                <w:szCs w:val="18"/>
              </w:rPr>
            </w:pPr>
          </w:p>
        </w:tc>
        <w:tc>
          <w:tcPr>
            <w:tcW w:w="233" w:type="pct"/>
            <w:vAlign w:val="center"/>
          </w:tcPr>
          <w:p w14:paraId="4AC12543">
            <w:pPr>
              <w:pStyle w:val="133"/>
              <w:rPr>
                <w:rFonts w:cs="Times New Roman"/>
                <w:sz w:val="18"/>
                <w:szCs w:val="18"/>
              </w:rPr>
            </w:pPr>
          </w:p>
        </w:tc>
        <w:tc>
          <w:tcPr>
            <w:tcW w:w="217" w:type="pct"/>
            <w:vAlign w:val="center"/>
          </w:tcPr>
          <w:p w14:paraId="6EBF67C2">
            <w:pPr>
              <w:pStyle w:val="133"/>
              <w:rPr>
                <w:rFonts w:cs="Times New Roman"/>
                <w:sz w:val="18"/>
                <w:szCs w:val="18"/>
              </w:rPr>
            </w:pPr>
          </w:p>
        </w:tc>
        <w:tc>
          <w:tcPr>
            <w:tcW w:w="217" w:type="pct"/>
            <w:vAlign w:val="center"/>
          </w:tcPr>
          <w:p w14:paraId="7A65FC71">
            <w:pPr>
              <w:pStyle w:val="133"/>
              <w:rPr>
                <w:rFonts w:cs="Times New Roman"/>
                <w:sz w:val="18"/>
                <w:szCs w:val="18"/>
              </w:rPr>
            </w:pPr>
          </w:p>
        </w:tc>
        <w:tc>
          <w:tcPr>
            <w:tcW w:w="214" w:type="pct"/>
            <w:vAlign w:val="center"/>
          </w:tcPr>
          <w:p w14:paraId="35926680">
            <w:pPr>
              <w:pStyle w:val="133"/>
              <w:rPr>
                <w:rFonts w:cs="Times New Roman"/>
                <w:sz w:val="18"/>
                <w:szCs w:val="18"/>
              </w:rPr>
            </w:pPr>
          </w:p>
        </w:tc>
      </w:tr>
      <w:tr w14:paraId="39572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5379F906">
            <w:pPr>
              <w:pStyle w:val="133"/>
              <w:rPr>
                <w:rFonts w:cs="Times New Roman"/>
                <w:sz w:val="18"/>
                <w:szCs w:val="18"/>
              </w:rPr>
            </w:pPr>
            <w:r>
              <w:rPr>
                <w:rFonts w:cs="Times New Roman"/>
                <w:color w:val="000000"/>
                <w:sz w:val="18"/>
                <w:szCs w:val="18"/>
              </w:rPr>
              <w:t>11</w:t>
            </w:r>
          </w:p>
        </w:tc>
        <w:tc>
          <w:tcPr>
            <w:tcW w:w="611" w:type="pct"/>
            <w:noWrap/>
            <w:vAlign w:val="center"/>
          </w:tcPr>
          <w:p w14:paraId="09534788">
            <w:pPr>
              <w:pStyle w:val="133"/>
              <w:rPr>
                <w:rFonts w:cs="Times New Roman"/>
                <w:sz w:val="18"/>
                <w:szCs w:val="18"/>
              </w:rPr>
            </w:pPr>
            <w:r>
              <w:rPr>
                <w:rFonts w:cs="Times New Roman"/>
                <w:color w:val="000000"/>
                <w:sz w:val="18"/>
                <w:szCs w:val="18"/>
              </w:rPr>
              <w:t>矿热炉烟气</w:t>
            </w:r>
          </w:p>
        </w:tc>
        <w:tc>
          <w:tcPr>
            <w:tcW w:w="294" w:type="pct"/>
            <w:vAlign w:val="center"/>
          </w:tcPr>
          <w:p w14:paraId="5AEBD28B">
            <w:pPr>
              <w:pStyle w:val="133"/>
              <w:rPr>
                <w:rFonts w:cs="Times New Roman"/>
                <w:sz w:val="18"/>
                <w:szCs w:val="18"/>
              </w:rPr>
            </w:pPr>
            <w:r>
              <w:rPr>
                <w:rFonts w:cs="Times New Roman"/>
                <w:color w:val="000000"/>
                <w:sz w:val="18"/>
                <w:szCs w:val="18"/>
              </w:rPr>
              <w:t>292</w:t>
            </w:r>
          </w:p>
        </w:tc>
        <w:tc>
          <w:tcPr>
            <w:tcW w:w="294" w:type="pct"/>
            <w:vAlign w:val="center"/>
          </w:tcPr>
          <w:p w14:paraId="23F909CC">
            <w:pPr>
              <w:pStyle w:val="133"/>
              <w:rPr>
                <w:rFonts w:cs="Times New Roman"/>
                <w:sz w:val="18"/>
                <w:szCs w:val="18"/>
              </w:rPr>
            </w:pPr>
            <w:r>
              <w:rPr>
                <w:rFonts w:cs="Times New Roman"/>
                <w:color w:val="000000"/>
                <w:sz w:val="18"/>
                <w:szCs w:val="18"/>
              </w:rPr>
              <w:t>32</w:t>
            </w:r>
          </w:p>
        </w:tc>
        <w:tc>
          <w:tcPr>
            <w:tcW w:w="329" w:type="pct"/>
            <w:noWrap/>
            <w:vAlign w:val="center"/>
          </w:tcPr>
          <w:p w14:paraId="23F98EC8">
            <w:pPr>
              <w:pStyle w:val="133"/>
              <w:rPr>
                <w:rFonts w:cs="Times New Roman"/>
                <w:sz w:val="18"/>
                <w:szCs w:val="18"/>
              </w:rPr>
            </w:pPr>
            <w:r>
              <w:rPr>
                <w:rFonts w:cs="Times New Roman"/>
                <w:color w:val="000000"/>
                <w:sz w:val="18"/>
                <w:szCs w:val="18"/>
              </w:rPr>
              <w:t>60</w:t>
            </w:r>
          </w:p>
        </w:tc>
        <w:tc>
          <w:tcPr>
            <w:tcW w:w="326" w:type="pct"/>
            <w:noWrap/>
            <w:vAlign w:val="center"/>
          </w:tcPr>
          <w:p w14:paraId="37E766EC">
            <w:pPr>
              <w:pStyle w:val="133"/>
              <w:rPr>
                <w:rFonts w:cs="Times New Roman"/>
                <w:sz w:val="18"/>
                <w:szCs w:val="18"/>
              </w:rPr>
            </w:pPr>
            <w:r>
              <w:rPr>
                <w:rFonts w:cs="Times New Roman"/>
                <w:color w:val="000000"/>
                <w:sz w:val="18"/>
                <w:szCs w:val="18"/>
              </w:rPr>
              <w:t>5.1</w:t>
            </w:r>
          </w:p>
        </w:tc>
        <w:tc>
          <w:tcPr>
            <w:tcW w:w="329" w:type="pct"/>
            <w:noWrap/>
            <w:vAlign w:val="center"/>
          </w:tcPr>
          <w:p w14:paraId="43644486">
            <w:pPr>
              <w:pStyle w:val="133"/>
              <w:rPr>
                <w:rFonts w:cs="Times New Roman"/>
                <w:sz w:val="18"/>
                <w:szCs w:val="18"/>
              </w:rPr>
            </w:pPr>
            <w:r>
              <w:rPr>
                <w:rFonts w:cs="Times New Roman"/>
                <w:color w:val="000000"/>
                <w:sz w:val="18"/>
                <w:szCs w:val="18"/>
              </w:rPr>
              <w:t>150</w:t>
            </w:r>
          </w:p>
        </w:tc>
        <w:tc>
          <w:tcPr>
            <w:tcW w:w="300" w:type="pct"/>
            <w:vAlign w:val="center"/>
          </w:tcPr>
          <w:p w14:paraId="78A5ABE2">
            <w:pPr>
              <w:pStyle w:val="133"/>
              <w:rPr>
                <w:rFonts w:cs="Times New Roman"/>
                <w:sz w:val="18"/>
                <w:szCs w:val="18"/>
              </w:rPr>
            </w:pPr>
            <w:r>
              <w:rPr>
                <w:rFonts w:cs="Times New Roman"/>
                <w:color w:val="000000"/>
                <w:sz w:val="18"/>
                <w:szCs w:val="18"/>
              </w:rPr>
              <w:t>560000</w:t>
            </w:r>
          </w:p>
        </w:tc>
        <w:tc>
          <w:tcPr>
            <w:tcW w:w="237" w:type="pct"/>
            <w:vAlign w:val="center"/>
          </w:tcPr>
          <w:p w14:paraId="06BFE9D4">
            <w:pPr>
              <w:pStyle w:val="133"/>
              <w:rPr>
                <w:rFonts w:cs="Times New Roman"/>
                <w:sz w:val="18"/>
                <w:szCs w:val="18"/>
              </w:rPr>
            </w:pPr>
            <w:r>
              <w:rPr>
                <w:rFonts w:cs="Times New Roman"/>
                <w:color w:val="000000"/>
                <w:sz w:val="18"/>
                <w:szCs w:val="18"/>
              </w:rPr>
              <w:t>96.93</w:t>
            </w:r>
          </w:p>
        </w:tc>
        <w:tc>
          <w:tcPr>
            <w:tcW w:w="237" w:type="pct"/>
            <w:vAlign w:val="center"/>
          </w:tcPr>
          <w:p w14:paraId="0B7A0CB6">
            <w:pPr>
              <w:pStyle w:val="133"/>
              <w:rPr>
                <w:rFonts w:cs="Times New Roman"/>
                <w:sz w:val="18"/>
                <w:szCs w:val="18"/>
              </w:rPr>
            </w:pPr>
            <w:r>
              <w:rPr>
                <w:rFonts w:cs="Times New Roman"/>
                <w:color w:val="000000"/>
                <w:sz w:val="18"/>
                <w:szCs w:val="18"/>
              </w:rPr>
              <w:t>17.523</w:t>
            </w:r>
          </w:p>
        </w:tc>
        <w:tc>
          <w:tcPr>
            <w:tcW w:w="237" w:type="pct"/>
            <w:noWrap/>
            <w:vAlign w:val="center"/>
          </w:tcPr>
          <w:p w14:paraId="6446596A">
            <w:pPr>
              <w:pStyle w:val="133"/>
              <w:rPr>
                <w:rFonts w:cs="Times New Roman"/>
                <w:sz w:val="18"/>
                <w:szCs w:val="18"/>
              </w:rPr>
            </w:pPr>
            <w:r>
              <w:rPr>
                <w:rFonts w:cs="Times New Roman"/>
                <w:color w:val="000000"/>
                <w:sz w:val="18"/>
                <w:szCs w:val="18"/>
              </w:rPr>
              <w:t>9.22</w:t>
            </w:r>
          </w:p>
        </w:tc>
        <w:tc>
          <w:tcPr>
            <w:tcW w:w="237" w:type="pct"/>
            <w:noWrap/>
            <w:vAlign w:val="center"/>
          </w:tcPr>
          <w:p w14:paraId="79E1134B">
            <w:pPr>
              <w:pStyle w:val="133"/>
              <w:rPr>
                <w:rFonts w:cs="Times New Roman"/>
                <w:sz w:val="18"/>
                <w:szCs w:val="18"/>
              </w:rPr>
            </w:pPr>
            <w:r>
              <w:rPr>
                <w:rFonts w:cs="Times New Roman"/>
                <w:color w:val="000000"/>
                <w:sz w:val="18"/>
                <w:szCs w:val="18"/>
              </w:rPr>
              <w:t>4.61</w:t>
            </w:r>
          </w:p>
        </w:tc>
        <w:tc>
          <w:tcPr>
            <w:tcW w:w="237" w:type="pct"/>
            <w:vAlign w:val="center"/>
          </w:tcPr>
          <w:p w14:paraId="4AAE11A4">
            <w:pPr>
              <w:pStyle w:val="133"/>
              <w:rPr>
                <w:rFonts w:cs="Times New Roman"/>
                <w:sz w:val="18"/>
                <w:szCs w:val="18"/>
              </w:rPr>
            </w:pPr>
          </w:p>
        </w:tc>
        <w:tc>
          <w:tcPr>
            <w:tcW w:w="233" w:type="pct"/>
            <w:vAlign w:val="center"/>
          </w:tcPr>
          <w:p w14:paraId="12E7A1EA">
            <w:pPr>
              <w:pStyle w:val="133"/>
              <w:rPr>
                <w:rFonts w:cs="Times New Roman"/>
                <w:sz w:val="18"/>
                <w:szCs w:val="18"/>
              </w:rPr>
            </w:pPr>
          </w:p>
        </w:tc>
        <w:tc>
          <w:tcPr>
            <w:tcW w:w="233" w:type="pct"/>
            <w:vAlign w:val="center"/>
          </w:tcPr>
          <w:p w14:paraId="5B3B3F9C">
            <w:pPr>
              <w:pStyle w:val="133"/>
              <w:rPr>
                <w:rFonts w:cs="Times New Roman"/>
                <w:sz w:val="18"/>
                <w:szCs w:val="18"/>
              </w:rPr>
            </w:pPr>
          </w:p>
        </w:tc>
        <w:tc>
          <w:tcPr>
            <w:tcW w:w="217" w:type="pct"/>
            <w:vAlign w:val="center"/>
          </w:tcPr>
          <w:p w14:paraId="0B0426F5">
            <w:pPr>
              <w:pStyle w:val="133"/>
              <w:rPr>
                <w:rFonts w:cs="Times New Roman"/>
                <w:sz w:val="18"/>
                <w:szCs w:val="18"/>
              </w:rPr>
            </w:pPr>
          </w:p>
        </w:tc>
        <w:tc>
          <w:tcPr>
            <w:tcW w:w="217" w:type="pct"/>
            <w:vAlign w:val="center"/>
          </w:tcPr>
          <w:p w14:paraId="732A7BEF">
            <w:pPr>
              <w:pStyle w:val="133"/>
              <w:rPr>
                <w:rFonts w:cs="Times New Roman"/>
                <w:sz w:val="18"/>
                <w:szCs w:val="18"/>
              </w:rPr>
            </w:pPr>
          </w:p>
        </w:tc>
        <w:tc>
          <w:tcPr>
            <w:tcW w:w="214" w:type="pct"/>
            <w:vAlign w:val="center"/>
          </w:tcPr>
          <w:p w14:paraId="3FE1777C">
            <w:pPr>
              <w:pStyle w:val="133"/>
              <w:rPr>
                <w:rFonts w:cs="Times New Roman"/>
                <w:sz w:val="18"/>
                <w:szCs w:val="18"/>
              </w:rPr>
            </w:pPr>
          </w:p>
        </w:tc>
      </w:tr>
      <w:tr w14:paraId="1144C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603E8DF4">
            <w:pPr>
              <w:pStyle w:val="133"/>
              <w:rPr>
                <w:rFonts w:cs="Times New Roman"/>
                <w:sz w:val="18"/>
                <w:szCs w:val="18"/>
              </w:rPr>
            </w:pPr>
            <w:r>
              <w:rPr>
                <w:rFonts w:cs="Times New Roman"/>
                <w:color w:val="000000"/>
                <w:sz w:val="18"/>
                <w:szCs w:val="18"/>
              </w:rPr>
              <w:t>12</w:t>
            </w:r>
          </w:p>
        </w:tc>
        <w:tc>
          <w:tcPr>
            <w:tcW w:w="611" w:type="pct"/>
            <w:noWrap/>
            <w:vAlign w:val="center"/>
          </w:tcPr>
          <w:p w14:paraId="5AD8A0B5">
            <w:pPr>
              <w:pStyle w:val="133"/>
              <w:rPr>
                <w:rFonts w:cs="Times New Roman"/>
                <w:sz w:val="18"/>
                <w:szCs w:val="18"/>
              </w:rPr>
            </w:pPr>
            <w:r>
              <w:rPr>
                <w:rFonts w:cs="Times New Roman"/>
                <w:color w:val="000000"/>
                <w:sz w:val="18"/>
                <w:szCs w:val="18"/>
              </w:rPr>
              <w:t>出铁浇铸废气</w:t>
            </w:r>
          </w:p>
        </w:tc>
        <w:tc>
          <w:tcPr>
            <w:tcW w:w="294" w:type="pct"/>
            <w:vAlign w:val="center"/>
          </w:tcPr>
          <w:p w14:paraId="439A1C24">
            <w:pPr>
              <w:pStyle w:val="133"/>
              <w:rPr>
                <w:rFonts w:cs="Times New Roman"/>
                <w:sz w:val="18"/>
                <w:szCs w:val="18"/>
              </w:rPr>
            </w:pPr>
            <w:r>
              <w:rPr>
                <w:rFonts w:cs="Times New Roman"/>
                <w:color w:val="000000"/>
                <w:sz w:val="18"/>
                <w:szCs w:val="18"/>
              </w:rPr>
              <w:t>195</w:t>
            </w:r>
          </w:p>
        </w:tc>
        <w:tc>
          <w:tcPr>
            <w:tcW w:w="294" w:type="pct"/>
            <w:vAlign w:val="center"/>
          </w:tcPr>
          <w:p w14:paraId="0A36697F">
            <w:pPr>
              <w:pStyle w:val="133"/>
              <w:rPr>
                <w:rFonts w:cs="Times New Roman"/>
                <w:sz w:val="18"/>
                <w:szCs w:val="18"/>
              </w:rPr>
            </w:pPr>
            <w:r>
              <w:rPr>
                <w:rFonts w:cs="Times New Roman"/>
                <w:color w:val="000000"/>
                <w:sz w:val="18"/>
                <w:szCs w:val="18"/>
              </w:rPr>
              <w:t>0</w:t>
            </w:r>
          </w:p>
        </w:tc>
        <w:tc>
          <w:tcPr>
            <w:tcW w:w="329" w:type="pct"/>
            <w:noWrap/>
            <w:vAlign w:val="center"/>
          </w:tcPr>
          <w:p w14:paraId="6479ED80">
            <w:pPr>
              <w:pStyle w:val="133"/>
              <w:rPr>
                <w:rFonts w:cs="Times New Roman"/>
                <w:sz w:val="18"/>
                <w:szCs w:val="18"/>
              </w:rPr>
            </w:pPr>
            <w:r>
              <w:rPr>
                <w:rFonts w:cs="Times New Roman"/>
                <w:color w:val="000000"/>
                <w:sz w:val="18"/>
                <w:szCs w:val="18"/>
              </w:rPr>
              <w:t>20</w:t>
            </w:r>
          </w:p>
        </w:tc>
        <w:tc>
          <w:tcPr>
            <w:tcW w:w="326" w:type="pct"/>
            <w:noWrap/>
            <w:vAlign w:val="center"/>
          </w:tcPr>
          <w:p w14:paraId="34992277">
            <w:pPr>
              <w:pStyle w:val="133"/>
              <w:rPr>
                <w:rFonts w:cs="Times New Roman"/>
                <w:sz w:val="18"/>
                <w:szCs w:val="18"/>
              </w:rPr>
            </w:pPr>
            <w:r>
              <w:rPr>
                <w:rFonts w:cs="Times New Roman"/>
                <w:color w:val="000000"/>
                <w:sz w:val="18"/>
                <w:szCs w:val="18"/>
              </w:rPr>
              <w:t>1.9</w:t>
            </w:r>
          </w:p>
        </w:tc>
        <w:tc>
          <w:tcPr>
            <w:tcW w:w="329" w:type="pct"/>
            <w:noWrap/>
            <w:vAlign w:val="center"/>
          </w:tcPr>
          <w:p w14:paraId="71CBF656">
            <w:pPr>
              <w:pStyle w:val="133"/>
              <w:rPr>
                <w:rFonts w:cs="Times New Roman"/>
                <w:sz w:val="18"/>
                <w:szCs w:val="18"/>
              </w:rPr>
            </w:pPr>
            <w:r>
              <w:rPr>
                <w:rFonts w:cs="Times New Roman"/>
                <w:color w:val="000000"/>
                <w:sz w:val="18"/>
                <w:szCs w:val="18"/>
              </w:rPr>
              <w:t>25</w:t>
            </w:r>
          </w:p>
        </w:tc>
        <w:tc>
          <w:tcPr>
            <w:tcW w:w="300" w:type="pct"/>
            <w:vAlign w:val="center"/>
          </w:tcPr>
          <w:p w14:paraId="38B6298B">
            <w:pPr>
              <w:pStyle w:val="133"/>
              <w:rPr>
                <w:rFonts w:cs="Times New Roman"/>
                <w:sz w:val="18"/>
                <w:szCs w:val="18"/>
              </w:rPr>
            </w:pPr>
            <w:r>
              <w:rPr>
                <w:rFonts w:cs="Times New Roman"/>
                <w:color w:val="000000"/>
                <w:sz w:val="18"/>
                <w:szCs w:val="18"/>
              </w:rPr>
              <w:t>65500</w:t>
            </w:r>
          </w:p>
        </w:tc>
        <w:tc>
          <w:tcPr>
            <w:tcW w:w="237" w:type="pct"/>
            <w:vAlign w:val="center"/>
          </w:tcPr>
          <w:p w14:paraId="3F648D57">
            <w:pPr>
              <w:pStyle w:val="133"/>
              <w:rPr>
                <w:rFonts w:cs="Times New Roman"/>
                <w:sz w:val="18"/>
                <w:szCs w:val="18"/>
              </w:rPr>
            </w:pPr>
          </w:p>
        </w:tc>
        <w:tc>
          <w:tcPr>
            <w:tcW w:w="237" w:type="pct"/>
            <w:vAlign w:val="center"/>
          </w:tcPr>
          <w:p w14:paraId="0F8F2643">
            <w:pPr>
              <w:pStyle w:val="133"/>
              <w:rPr>
                <w:rFonts w:cs="Times New Roman"/>
                <w:sz w:val="18"/>
                <w:szCs w:val="18"/>
              </w:rPr>
            </w:pPr>
          </w:p>
        </w:tc>
        <w:tc>
          <w:tcPr>
            <w:tcW w:w="237" w:type="pct"/>
            <w:noWrap/>
            <w:vAlign w:val="center"/>
          </w:tcPr>
          <w:p w14:paraId="01BBA226">
            <w:pPr>
              <w:pStyle w:val="133"/>
              <w:rPr>
                <w:rFonts w:cs="Times New Roman"/>
                <w:sz w:val="18"/>
                <w:szCs w:val="18"/>
              </w:rPr>
            </w:pPr>
            <w:r>
              <w:rPr>
                <w:rFonts w:cs="Times New Roman"/>
                <w:color w:val="000000"/>
                <w:sz w:val="18"/>
                <w:szCs w:val="18"/>
              </w:rPr>
              <w:t>0.1</w:t>
            </w:r>
          </w:p>
        </w:tc>
        <w:tc>
          <w:tcPr>
            <w:tcW w:w="237" w:type="pct"/>
            <w:noWrap/>
            <w:vAlign w:val="center"/>
          </w:tcPr>
          <w:p w14:paraId="16483C10">
            <w:pPr>
              <w:pStyle w:val="133"/>
              <w:rPr>
                <w:rFonts w:cs="Times New Roman"/>
                <w:sz w:val="18"/>
                <w:szCs w:val="18"/>
              </w:rPr>
            </w:pPr>
            <w:r>
              <w:rPr>
                <w:rFonts w:cs="Times New Roman"/>
                <w:color w:val="000000"/>
                <w:sz w:val="18"/>
                <w:szCs w:val="18"/>
              </w:rPr>
              <w:t>0.05</w:t>
            </w:r>
          </w:p>
        </w:tc>
        <w:tc>
          <w:tcPr>
            <w:tcW w:w="237" w:type="pct"/>
            <w:vAlign w:val="center"/>
          </w:tcPr>
          <w:p w14:paraId="6C34E464">
            <w:pPr>
              <w:pStyle w:val="133"/>
              <w:rPr>
                <w:rFonts w:cs="Times New Roman"/>
                <w:sz w:val="18"/>
                <w:szCs w:val="18"/>
              </w:rPr>
            </w:pPr>
          </w:p>
        </w:tc>
        <w:tc>
          <w:tcPr>
            <w:tcW w:w="233" w:type="pct"/>
            <w:vAlign w:val="center"/>
          </w:tcPr>
          <w:p w14:paraId="442AB21C">
            <w:pPr>
              <w:pStyle w:val="133"/>
              <w:rPr>
                <w:rFonts w:cs="Times New Roman"/>
                <w:sz w:val="18"/>
                <w:szCs w:val="18"/>
              </w:rPr>
            </w:pPr>
          </w:p>
        </w:tc>
        <w:tc>
          <w:tcPr>
            <w:tcW w:w="233" w:type="pct"/>
            <w:vAlign w:val="center"/>
          </w:tcPr>
          <w:p w14:paraId="34FFB7A9">
            <w:pPr>
              <w:pStyle w:val="133"/>
              <w:rPr>
                <w:rFonts w:cs="Times New Roman"/>
                <w:sz w:val="18"/>
                <w:szCs w:val="18"/>
              </w:rPr>
            </w:pPr>
          </w:p>
        </w:tc>
        <w:tc>
          <w:tcPr>
            <w:tcW w:w="217" w:type="pct"/>
            <w:vAlign w:val="center"/>
          </w:tcPr>
          <w:p w14:paraId="51359FEA">
            <w:pPr>
              <w:pStyle w:val="133"/>
              <w:rPr>
                <w:rFonts w:cs="Times New Roman"/>
                <w:sz w:val="18"/>
                <w:szCs w:val="18"/>
              </w:rPr>
            </w:pPr>
          </w:p>
        </w:tc>
        <w:tc>
          <w:tcPr>
            <w:tcW w:w="217" w:type="pct"/>
            <w:vAlign w:val="center"/>
          </w:tcPr>
          <w:p w14:paraId="0647F5B5">
            <w:pPr>
              <w:pStyle w:val="133"/>
              <w:rPr>
                <w:rFonts w:cs="Times New Roman"/>
                <w:sz w:val="18"/>
                <w:szCs w:val="18"/>
              </w:rPr>
            </w:pPr>
          </w:p>
        </w:tc>
        <w:tc>
          <w:tcPr>
            <w:tcW w:w="214" w:type="pct"/>
            <w:vAlign w:val="center"/>
          </w:tcPr>
          <w:p w14:paraId="11A9E684">
            <w:pPr>
              <w:pStyle w:val="133"/>
              <w:rPr>
                <w:rFonts w:cs="Times New Roman"/>
                <w:sz w:val="18"/>
                <w:szCs w:val="18"/>
              </w:rPr>
            </w:pPr>
          </w:p>
        </w:tc>
      </w:tr>
      <w:tr w14:paraId="6DE51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1666061F">
            <w:pPr>
              <w:pStyle w:val="133"/>
              <w:rPr>
                <w:rFonts w:cs="Times New Roman"/>
                <w:sz w:val="18"/>
                <w:szCs w:val="18"/>
              </w:rPr>
            </w:pPr>
            <w:r>
              <w:rPr>
                <w:rFonts w:cs="Times New Roman"/>
                <w:color w:val="000000"/>
                <w:sz w:val="18"/>
                <w:szCs w:val="18"/>
              </w:rPr>
              <w:t>13</w:t>
            </w:r>
          </w:p>
        </w:tc>
        <w:tc>
          <w:tcPr>
            <w:tcW w:w="611" w:type="pct"/>
            <w:noWrap/>
            <w:vAlign w:val="center"/>
          </w:tcPr>
          <w:p w14:paraId="63059E43">
            <w:pPr>
              <w:pStyle w:val="133"/>
              <w:rPr>
                <w:rFonts w:cs="Times New Roman"/>
                <w:sz w:val="18"/>
                <w:szCs w:val="18"/>
              </w:rPr>
            </w:pPr>
            <w:r>
              <w:rPr>
                <w:rFonts w:cs="Times New Roman"/>
                <w:color w:val="000000"/>
                <w:sz w:val="18"/>
                <w:szCs w:val="18"/>
              </w:rPr>
              <w:t>成品破碎废气</w:t>
            </w:r>
          </w:p>
        </w:tc>
        <w:tc>
          <w:tcPr>
            <w:tcW w:w="294" w:type="pct"/>
            <w:vAlign w:val="center"/>
          </w:tcPr>
          <w:p w14:paraId="699569B9">
            <w:pPr>
              <w:pStyle w:val="133"/>
              <w:rPr>
                <w:rFonts w:cs="Times New Roman"/>
                <w:sz w:val="18"/>
                <w:szCs w:val="18"/>
              </w:rPr>
            </w:pPr>
            <w:r>
              <w:rPr>
                <w:rFonts w:cs="Times New Roman"/>
                <w:color w:val="000000"/>
                <w:sz w:val="18"/>
                <w:szCs w:val="18"/>
              </w:rPr>
              <w:t>65</w:t>
            </w:r>
          </w:p>
        </w:tc>
        <w:tc>
          <w:tcPr>
            <w:tcW w:w="294" w:type="pct"/>
            <w:vAlign w:val="center"/>
          </w:tcPr>
          <w:p w14:paraId="2405C1F0">
            <w:pPr>
              <w:pStyle w:val="133"/>
              <w:rPr>
                <w:rFonts w:cs="Times New Roman"/>
                <w:sz w:val="18"/>
                <w:szCs w:val="18"/>
              </w:rPr>
            </w:pPr>
            <w:r>
              <w:rPr>
                <w:rFonts w:cs="Times New Roman"/>
                <w:color w:val="000000"/>
                <w:sz w:val="18"/>
                <w:szCs w:val="18"/>
              </w:rPr>
              <w:t>97</w:t>
            </w:r>
          </w:p>
        </w:tc>
        <w:tc>
          <w:tcPr>
            <w:tcW w:w="329" w:type="pct"/>
            <w:noWrap/>
            <w:vAlign w:val="center"/>
          </w:tcPr>
          <w:p w14:paraId="0BEDE4F7">
            <w:pPr>
              <w:pStyle w:val="133"/>
              <w:rPr>
                <w:rFonts w:cs="Times New Roman"/>
                <w:sz w:val="18"/>
                <w:szCs w:val="18"/>
              </w:rPr>
            </w:pPr>
            <w:r>
              <w:rPr>
                <w:rFonts w:cs="Times New Roman"/>
                <w:color w:val="000000"/>
                <w:sz w:val="18"/>
                <w:szCs w:val="18"/>
              </w:rPr>
              <w:t>15</w:t>
            </w:r>
          </w:p>
        </w:tc>
        <w:tc>
          <w:tcPr>
            <w:tcW w:w="326" w:type="pct"/>
            <w:noWrap/>
            <w:vAlign w:val="center"/>
          </w:tcPr>
          <w:p w14:paraId="407583DD">
            <w:pPr>
              <w:pStyle w:val="133"/>
              <w:rPr>
                <w:rFonts w:cs="Times New Roman"/>
                <w:sz w:val="18"/>
                <w:szCs w:val="18"/>
              </w:rPr>
            </w:pPr>
            <w:r>
              <w:rPr>
                <w:rFonts w:cs="Times New Roman"/>
                <w:color w:val="000000"/>
                <w:sz w:val="18"/>
                <w:szCs w:val="18"/>
              </w:rPr>
              <w:t>0.85</w:t>
            </w:r>
          </w:p>
        </w:tc>
        <w:tc>
          <w:tcPr>
            <w:tcW w:w="329" w:type="pct"/>
            <w:noWrap/>
            <w:vAlign w:val="center"/>
          </w:tcPr>
          <w:p w14:paraId="77508E99">
            <w:pPr>
              <w:pStyle w:val="133"/>
              <w:rPr>
                <w:rFonts w:cs="Times New Roman"/>
                <w:sz w:val="18"/>
                <w:szCs w:val="18"/>
              </w:rPr>
            </w:pPr>
            <w:r>
              <w:rPr>
                <w:rFonts w:cs="Times New Roman"/>
                <w:color w:val="000000"/>
                <w:sz w:val="18"/>
                <w:szCs w:val="18"/>
              </w:rPr>
              <w:t>25</w:t>
            </w:r>
          </w:p>
        </w:tc>
        <w:tc>
          <w:tcPr>
            <w:tcW w:w="300" w:type="pct"/>
            <w:vAlign w:val="center"/>
          </w:tcPr>
          <w:p w14:paraId="687B7133">
            <w:pPr>
              <w:pStyle w:val="133"/>
              <w:rPr>
                <w:rFonts w:cs="Times New Roman"/>
                <w:sz w:val="18"/>
                <w:szCs w:val="18"/>
              </w:rPr>
            </w:pPr>
            <w:r>
              <w:rPr>
                <w:rFonts w:cs="Times New Roman"/>
                <w:color w:val="000000"/>
                <w:sz w:val="18"/>
                <w:szCs w:val="18"/>
              </w:rPr>
              <w:t>7800</w:t>
            </w:r>
          </w:p>
        </w:tc>
        <w:tc>
          <w:tcPr>
            <w:tcW w:w="237" w:type="pct"/>
            <w:vAlign w:val="center"/>
          </w:tcPr>
          <w:p w14:paraId="62B2A7D6">
            <w:pPr>
              <w:pStyle w:val="133"/>
              <w:rPr>
                <w:rFonts w:cs="Times New Roman"/>
                <w:sz w:val="18"/>
                <w:szCs w:val="18"/>
              </w:rPr>
            </w:pPr>
          </w:p>
        </w:tc>
        <w:tc>
          <w:tcPr>
            <w:tcW w:w="237" w:type="pct"/>
            <w:vAlign w:val="center"/>
          </w:tcPr>
          <w:p w14:paraId="7ADDB5AC">
            <w:pPr>
              <w:pStyle w:val="133"/>
              <w:rPr>
                <w:rFonts w:cs="Times New Roman"/>
                <w:sz w:val="18"/>
                <w:szCs w:val="18"/>
              </w:rPr>
            </w:pPr>
          </w:p>
        </w:tc>
        <w:tc>
          <w:tcPr>
            <w:tcW w:w="237" w:type="pct"/>
            <w:noWrap/>
            <w:vAlign w:val="center"/>
          </w:tcPr>
          <w:p w14:paraId="268F8E22">
            <w:pPr>
              <w:pStyle w:val="133"/>
              <w:rPr>
                <w:rFonts w:cs="Times New Roman"/>
                <w:sz w:val="18"/>
                <w:szCs w:val="18"/>
              </w:rPr>
            </w:pPr>
            <w:r>
              <w:rPr>
                <w:rFonts w:cs="Times New Roman"/>
                <w:color w:val="000000"/>
                <w:sz w:val="18"/>
                <w:szCs w:val="18"/>
              </w:rPr>
              <w:t>0.02</w:t>
            </w:r>
          </w:p>
        </w:tc>
        <w:tc>
          <w:tcPr>
            <w:tcW w:w="237" w:type="pct"/>
            <w:noWrap/>
            <w:vAlign w:val="center"/>
          </w:tcPr>
          <w:p w14:paraId="6C4C718F">
            <w:pPr>
              <w:pStyle w:val="133"/>
              <w:rPr>
                <w:rFonts w:cs="Times New Roman"/>
                <w:sz w:val="18"/>
                <w:szCs w:val="18"/>
              </w:rPr>
            </w:pPr>
            <w:r>
              <w:rPr>
                <w:rFonts w:cs="Times New Roman"/>
                <w:color w:val="000000"/>
                <w:sz w:val="18"/>
                <w:szCs w:val="18"/>
              </w:rPr>
              <w:t>0.01</w:t>
            </w:r>
          </w:p>
        </w:tc>
        <w:tc>
          <w:tcPr>
            <w:tcW w:w="237" w:type="pct"/>
            <w:vAlign w:val="center"/>
          </w:tcPr>
          <w:p w14:paraId="4BAD7887">
            <w:pPr>
              <w:pStyle w:val="133"/>
              <w:rPr>
                <w:rFonts w:cs="Times New Roman"/>
                <w:sz w:val="18"/>
                <w:szCs w:val="18"/>
              </w:rPr>
            </w:pPr>
          </w:p>
        </w:tc>
        <w:tc>
          <w:tcPr>
            <w:tcW w:w="233" w:type="pct"/>
            <w:vAlign w:val="center"/>
          </w:tcPr>
          <w:p w14:paraId="58F5BD5D">
            <w:pPr>
              <w:pStyle w:val="133"/>
              <w:rPr>
                <w:rFonts w:cs="Times New Roman"/>
                <w:sz w:val="18"/>
                <w:szCs w:val="18"/>
              </w:rPr>
            </w:pPr>
          </w:p>
        </w:tc>
        <w:tc>
          <w:tcPr>
            <w:tcW w:w="233" w:type="pct"/>
            <w:vAlign w:val="center"/>
          </w:tcPr>
          <w:p w14:paraId="666E8F52">
            <w:pPr>
              <w:pStyle w:val="133"/>
              <w:rPr>
                <w:rFonts w:cs="Times New Roman"/>
                <w:sz w:val="18"/>
                <w:szCs w:val="18"/>
              </w:rPr>
            </w:pPr>
          </w:p>
        </w:tc>
        <w:tc>
          <w:tcPr>
            <w:tcW w:w="217" w:type="pct"/>
            <w:vAlign w:val="center"/>
          </w:tcPr>
          <w:p w14:paraId="3A7D2444">
            <w:pPr>
              <w:pStyle w:val="133"/>
              <w:rPr>
                <w:rFonts w:cs="Times New Roman"/>
                <w:sz w:val="18"/>
                <w:szCs w:val="18"/>
              </w:rPr>
            </w:pPr>
          </w:p>
        </w:tc>
        <w:tc>
          <w:tcPr>
            <w:tcW w:w="217" w:type="pct"/>
            <w:vAlign w:val="center"/>
          </w:tcPr>
          <w:p w14:paraId="2FFDAB85">
            <w:pPr>
              <w:pStyle w:val="133"/>
              <w:rPr>
                <w:rFonts w:cs="Times New Roman"/>
                <w:sz w:val="18"/>
                <w:szCs w:val="18"/>
              </w:rPr>
            </w:pPr>
          </w:p>
        </w:tc>
        <w:tc>
          <w:tcPr>
            <w:tcW w:w="214" w:type="pct"/>
            <w:vAlign w:val="center"/>
          </w:tcPr>
          <w:p w14:paraId="31A9EA3B">
            <w:pPr>
              <w:pStyle w:val="133"/>
              <w:rPr>
                <w:rFonts w:cs="Times New Roman"/>
                <w:sz w:val="18"/>
                <w:szCs w:val="18"/>
              </w:rPr>
            </w:pPr>
          </w:p>
        </w:tc>
      </w:tr>
    </w:tbl>
    <w:p w14:paraId="08EE7663">
      <w:pPr>
        <w:pStyle w:val="133"/>
      </w:pPr>
    </w:p>
    <w:p w14:paraId="3F4079B9">
      <w:pPr>
        <w:widowControl/>
        <w:spacing w:line="240" w:lineRule="auto"/>
        <w:ind w:firstLine="0" w:firstLineChars="0"/>
        <w:jc w:val="left"/>
        <w:rPr>
          <w:b/>
          <w:color w:val="000000"/>
          <w:szCs w:val="28"/>
        </w:rPr>
      </w:pPr>
      <w:r>
        <w:br w:type="page"/>
      </w:r>
    </w:p>
    <w:p w14:paraId="278A8C2B">
      <w:pPr>
        <w:pStyle w:val="118"/>
      </w:pPr>
      <w:r>
        <w:t>表</w:t>
      </w:r>
      <w:r>
        <w:rPr>
          <w:rFonts w:hint="eastAsia"/>
        </w:rPr>
        <w:t>1.4</w:t>
      </w:r>
      <w:r>
        <w:t>-4  项目无组织污染物计算参数选取值一览表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78"/>
        <w:gridCol w:w="1835"/>
        <w:gridCol w:w="671"/>
        <w:gridCol w:w="671"/>
        <w:gridCol w:w="671"/>
        <w:gridCol w:w="822"/>
        <w:gridCol w:w="783"/>
        <w:gridCol w:w="727"/>
        <w:gridCol w:w="814"/>
        <w:gridCol w:w="814"/>
        <w:gridCol w:w="814"/>
        <w:gridCol w:w="814"/>
        <w:gridCol w:w="814"/>
        <w:gridCol w:w="815"/>
        <w:gridCol w:w="815"/>
        <w:gridCol w:w="815"/>
        <w:gridCol w:w="815"/>
      </w:tblGrid>
      <w:tr w14:paraId="4EA89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80" w:hRule="atLeast"/>
          <w:tblHeader/>
          <w:jc w:val="center"/>
        </w:trPr>
        <w:tc>
          <w:tcPr>
            <w:tcW w:w="171" w:type="pct"/>
            <w:vMerge w:val="restart"/>
            <w:vAlign w:val="center"/>
          </w:tcPr>
          <w:p w14:paraId="4E389C88">
            <w:pPr>
              <w:pStyle w:val="133"/>
              <w:rPr>
                <w:b/>
                <w:bCs/>
              </w:rPr>
            </w:pPr>
            <w:r>
              <w:rPr>
                <w:b/>
                <w:bCs/>
              </w:rPr>
              <w:t>序号</w:t>
            </w:r>
          </w:p>
        </w:tc>
        <w:tc>
          <w:tcPr>
            <w:tcW w:w="656" w:type="pct"/>
            <w:vMerge w:val="restart"/>
            <w:vAlign w:val="center"/>
          </w:tcPr>
          <w:p w14:paraId="6CD9FDDF">
            <w:pPr>
              <w:pStyle w:val="133"/>
              <w:rPr>
                <w:b/>
                <w:bCs/>
              </w:rPr>
            </w:pPr>
            <w:r>
              <w:rPr>
                <w:b/>
                <w:bCs/>
              </w:rPr>
              <w:t>面源名称</w:t>
            </w:r>
          </w:p>
        </w:tc>
        <w:tc>
          <w:tcPr>
            <w:tcW w:w="480" w:type="pct"/>
            <w:gridSpan w:val="2"/>
            <w:vAlign w:val="center"/>
          </w:tcPr>
          <w:p w14:paraId="01ED4682">
            <w:pPr>
              <w:pStyle w:val="133"/>
              <w:rPr>
                <w:b/>
                <w:bCs/>
              </w:rPr>
            </w:pPr>
            <w:r>
              <w:rPr>
                <w:b/>
                <w:bCs/>
              </w:rPr>
              <w:t>面源中心坐标</w:t>
            </w:r>
          </w:p>
        </w:tc>
        <w:tc>
          <w:tcPr>
            <w:tcW w:w="240" w:type="pct"/>
            <w:vMerge w:val="restart"/>
            <w:vAlign w:val="center"/>
          </w:tcPr>
          <w:p w14:paraId="06B68B53">
            <w:pPr>
              <w:pStyle w:val="133"/>
              <w:rPr>
                <w:b/>
                <w:bCs/>
              </w:rPr>
            </w:pPr>
            <w:r>
              <w:rPr>
                <w:b/>
                <w:bCs/>
              </w:rPr>
              <w:t>面源</w:t>
            </w:r>
          </w:p>
          <w:p w14:paraId="240B9512">
            <w:pPr>
              <w:pStyle w:val="133"/>
              <w:rPr>
                <w:b/>
                <w:bCs/>
              </w:rPr>
            </w:pPr>
            <w:r>
              <w:rPr>
                <w:b/>
                <w:bCs/>
              </w:rPr>
              <w:t>长度</w:t>
            </w:r>
          </w:p>
          <w:p w14:paraId="6B629A8F">
            <w:pPr>
              <w:pStyle w:val="133"/>
              <w:rPr>
                <w:b/>
                <w:bCs/>
              </w:rPr>
            </w:pPr>
            <w:r>
              <w:rPr>
                <w:b/>
                <w:bCs/>
              </w:rPr>
              <w:t>L1（m）</w:t>
            </w:r>
          </w:p>
        </w:tc>
        <w:tc>
          <w:tcPr>
            <w:tcW w:w="294" w:type="pct"/>
            <w:vMerge w:val="restart"/>
            <w:vAlign w:val="center"/>
          </w:tcPr>
          <w:p w14:paraId="40D05866">
            <w:pPr>
              <w:pStyle w:val="133"/>
              <w:rPr>
                <w:b/>
                <w:bCs/>
              </w:rPr>
            </w:pPr>
            <w:r>
              <w:rPr>
                <w:b/>
                <w:bCs/>
              </w:rPr>
              <w:t>面源</w:t>
            </w:r>
          </w:p>
          <w:p w14:paraId="13DC0744">
            <w:pPr>
              <w:pStyle w:val="133"/>
              <w:rPr>
                <w:b/>
                <w:bCs/>
              </w:rPr>
            </w:pPr>
            <w:r>
              <w:rPr>
                <w:b/>
                <w:bCs/>
              </w:rPr>
              <w:t>宽度</w:t>
            </w:r>
          </w:p>
          <w:p w14:paraId="7B0F76BE">
            <w:pPr>
              <w:pStyle w:val="133"/>
              <w:rPr>
                <w:b/>
                <w:bCs/>
              </w:rPr>
            </w:pPr>
            <w:r>
              <w:rPr>
                <w:b/>
                <w:bCs/>
              </w:rPr>
              <w:t>Lw（m）</w:t>
            </w:r>
          </w:p>
        </w:tc>
        <w:tc>
          <w:tcPr>
            <w:tcW w:w="280" w:type="pct"/>
            <w:vMerge w:val="restart"/>
            <w:vAlign w:val="center"/>
          </w:tcPr>
          <w:p w14:paraId="1B4B5C53">
            <w:pPr>
              <w:pStyle w:val="133"/>
              <w:rPr>
                <w:b/>
                <w:bCs/>
              </w:rPr>
            </w:pPr>
            <w:r>
              <w:rPr>
                <w:b/>
                <w:bCs/>
              </w:rPr>
              <w:t>与正北向夹角</w:t>
            </w:r>
          </w:p>
          <w:p w14:paraId="35219506">
            <w:pPr>
              <w:pStyle w:val="133"/>
              <w:rPr>
                <w:b/>
                <w:bCs/>
              </w:rPr>
            </w:pPr>
            <w:r>
              <w:rPr>
                <w:b/>
                <w:bCs/>
              </w:rPr>
              <w:t>（°）</w:t>
            </w:r>
          </w:p>
        </w:tc>
        <w:tc>
          <w:tcPr>
            <w:tcW w:w="260" w:type="pct"/>
            <w:vMerge w:val="restart"/>
            <w:vAlign w:val="center"/>
          </w:tcPr>
          <w:p w14:paraId="645EDBD9">
            <w:pPr>
              <w:pStyle w:val="133"/>
              <w:rPr>
                <w:b/>
                <w:bCs/>
              </w:rPr>
            </w:pPr>
            <w:r>
              <w:rPr>
                <w:b/>
                <w:bCs/>
              </w:rPr>
              <w:t>排放</w:t>
            </w:r>
          </w:p>
          <w:p w14:paraId="2624F76A">
            <w:pPr>
              <w:pStyle w:val="133"/>
              <w:rPr>
                <w:b/>
                <w:bCs/>
              </w:rPr>
            </w:pPr>
            <w:r>
              <w:rPr>
                <w:b/>
                <w:bCs/>
              </w:rPr>
              <w:t>高度</w:t>
            </w:r>
          </w:p>
          <w:p w14:paraId="73346057">
            <w:pPr>
              <w:pStyle w:val="133"/>
              <w:rPr>
                <w:b/>
                <w:bCs/>
              </w:rPr>
            </w:pPr>
            <w:r>
              <w:rPr>
                <w:b/>
                <w:bCs/>
              </w:rPr>
              <w:t>H</w:t>
            </w:r>
          </w:p>
          <w:p w14:paraId="3B60EAB5">
            <w:pPr>
              <w:pStyle w:val="133"/>
              <w:rPr>
                <w:b/>
                <w:bCs/>
              </w:rPr>
            </w:pPr>
            <w:r>
              <w:rPr>
                <w:b/>
                <w:bCs/>
              </w:rPr>
              <w:t>（m）</w:t>
            </w:r>
          </w:p>
        </w:tc>
        <w:tc>
          <w:tcPr>
            <w:tcW w:w="291" w:type="pct"/>
            <w:vMerge w:val="restart"/>
            <w:vAlign w:val="center"/>
          </w:tcPr>
          <w:p w14:paraId="1018FA66">
            <w:pPr>
              <w:pStyle w:val="133"/>
              <w:rPr>
                <w:b/>
                <w:bCs/>
                <w:vertAlign w:val="subscript"/>
              </w:rPr>
            </w:pPr>
            <w:r>
              <w:rPr>
                <w:b/>
                <w:bCs/>
              </w:rPr>
              <w:t>Q</w:t>
            </w:r>
            <w:r>
              <w:rPr>
                <w:b/>
                <w:bCs/>
                <w:vertAlign w:val="subscript"/>
              </w:rPr>
              <w:t>SO2</w:t>
            </w:r>
          </w:p>
          <w:p w14:paraId="294AC9F6">
            <w:pPr>
              <w:pStyle w:val="133"/>
              <w:rPr>
                <w:b/>
                <w:bCs/>
              </w:rPr>
            </w:pPr>
            <w:r>
              <w:rPr>
                <w:b/>
                <w:bCs/>
              </w:rPr>
              <w:t>（</w:t>
            </w:r>
            <w:r>
              <w:rPr>
                <w:rFonts w:hint="eastAsia"/>
                <w:b/>
                <w:bCs/>
              </w:rPr>
              <w:t>t/a</w:t>
            </w:r>
            <w:r>
              <w:rPr>
                <w:b/>
                <w:bCs/>
              </w:rPr>
              <w:t>）</w:t>
            </w:r>
          </w:p>
        </w:tc>
        <w:tc>
          <w:tcPr>
            <w:tcW w:w="291" w:type="pct"/>
            <w:vMerge w:val="restart"/>
            <w:vAlign w:val="center"/>
          </w:tcPr>
          <w:p w14:paraId="3532B0F8">
            <w:pPr>
              <w:pStyle w:val="133"/>
              <w:rPr>
                <w:b/>
                <w:bCs/>
                <w:vertAlign w:val="subscript"/>
              </w:rPr>
            </w:pPr>
            <w:r>
              <w:rPr>
                <w:b/>
                <w:bCs/>
              </w:rPr>
              <w:t>Q</w:t>
            </w:r>
            <w:r>
              <w:rPr>
                <w:b/>
                <w:bCs/>
                <w:vertAlign w:val="subscript"/>
              </w:rPr>
              <w:t>NO2</w:t>
            </w:r>
          </w:p>
          <w:p w14:paraId="74BBE252">
            <w:pPr>
              <w:pStyle w:val="133"/>
              <w:rPr>
                <w:b/>
                <w:bCs/>
              </w:rPr>
            </w:pPr>
            <w:r>
              <w:rPr>
                <w:b/>
                <w:bCs/>
              </w:rPr>
              <w:t>（</w:t>
            </w:r>
            <w:r>
              <w:rPr>
                <w:rFonts w:hint="eastAsia"/>
                <w:b/>
                <w:bCs/>
              </w:rPr>
              <w:t>t/a</w:t>
            </w:r>
            <w:r>
              <w:rPr>
                <w:b/>
                <w:bCs/>
              </w:rPr>
              <w:t>）</w:t>
            </w:r>
          </w:p>
        </w:tc>
        <w:tc>
          <w:tcPr>
            <w:tcW w:w="291" w:type="pct"/>
            <w:vMerge w:val="restart"/>
            <w:vAlign w:val="center"/>
          </w:tcPr>
          <w:p w14:paraId="66E667E3">
            <w:pPr>
              <w:pStyle w:val="133"/>
              <w:rPr>
                <w:b/>
                <w:bCs/>
                <w:vertAlign w:val="subscript"/>
              </w:rPr>
            </w:pPr>
            <w:r>
              <w:rPr>
                <w:b/>
                <w:bCs/>
              </w:rPr>
              <w:t>Q</w:t>
            </w:r>
            <w:r>
              <w:rPr>
                <w:b/>
                <w:bCs/>
                <w:vertAlign w:val="subscript"/>
              </w:rPr>
              <w:t>TSP</w:t>
            </w:r>
          </w:p>
          <w:p w14:paraId="302C524C">
            <w:pPr>
              <w:pStyle w:val="133"/>
              <w:rPr>
                <w:b/>
                <w:bCs/>
              </w:rPr>
            </w:pPr>
            <w:r>
              <w:rPr>
                <w:b/>
                <w:bCs/>
              </w:rPr>
              <w:t>（</w:t>
            </w:r>
            <w:r>
              <w:rPr>
                <w:rFonts w:hint="eastAsia"/>
                <w:b/>
                <w:bCs/>
              </w:rPr>
              <w:t>t/a</w:t>
            </w:r>
            <w:r>
              <w:rPr>
                <w:b/>
                <w:bCs/>
              </w:rPr>
              <w:t>）</w:t>
            </w:r>
          </w:p>
        </w:tc>
        <w:tc>
          <w:tcPr>
            <w:tcW w:w="291" w:type="pct"/>
            <w:vMerge w:val="restart"/>
            <w:vAlign w:val="center"/>
          </w:tcPr>
          <w:p w14:paraId="2F5DF77D">
            <w:pPr>
              <w:pStyle w:val="133"/>
              <w:rPr>
                <w:b/>
                <w:bCs/>
                <w:vertAlign w:val="subscript"/>
              </w:rPr>
            </w:pPr>
            <w:r>
              <w:rPr>
                <w:b/>
                <w:bCs/>
              </w:rPr>
              <w:t>Q</w:t>
            </w:r>
            <w:r>
              <w:rPr>
                <w:b/>
                <w:bCs/>
                <w:vertAlign w:val="subscript"/>
              </w:rPr>
              <w:t>BaP</w:t>
            </w:r>
          </w:p>
          <w:p w14:paraId="42EC53FF">
            <w:pPr>
              <w:pStyle w:val="133"/>
              <w:rPr>
                <w:b/>
                <w:bCs/>
              </w:rPr>
            </w:pPr>
            <w:r>
              <w:rPr>
                <w:b/>
                <w:bCs/>
              </w:rPr>
              <w:t>（</w:t>
            </w:r>
            <w:r>
              <w:rPr>
                <w:rFonts w:hint="eastAsia"/>
                <w:b/>
                <w:bCs/>
              </w:rPr>
              <w:t>t/a</w:t>
            </w:r>
            <w:r>
              <w:rPr>
                <w:b/>
                <w:bCs/>
              </w:rPr>
              <w:t>）</w:t>
            </w:r>
          </w:p>
        </w:tc>
        <w:tc>
          <w:tcPr>
            <w:tcW w:w="291" w:type="pct"/>
            <w:vMerge w:val="restart"/>
            <w:vAlign w:val="center"/>
          </w:tcPr>
          <w:p w14:paraId="7F5F3274">
            <w:pPr>
              <w:pStyle w:val="133"/>
              <w:rPr>
                <w:b/>
                <w:bCs/>
                <w:vertAlign w:val="subscript"/>
              </w:rPr>
            </w:pPr>
            <w:r>
              <w:rPr>
                <w:b/>
                <w:bCs/>
              </w:rPr>
              <w:t>Q</w:t>
            </w:r>
            <w:r>
              <w:rPr>
                <w:b/>
                <w:bCs/>
                <w:vertAlign w:val="subscript"/>
              </w:rPr>
              <w:t>NH3</w:t>
            </w:r>
          </w:p>
          <w:p w14:paraId="021F7DA9">
            <w:pPr>
              <w:pStyle w:val="133"/>
              <w:rPr>
                <w:b/>
                <w:bCs/>
              </w:rPr>
            </w:pPr>
            <w:r>
              <w:rPr>
                <w:b/>
                <w:bCs/>
              </w:rPr>
              <w:t>（</w:t>
            </w:r>
            <w:r>
              <w:rPr>
                <w:rFonts w:hint="eastAsia"/>
                <w:b/>
                <w:bCs/>
              </w:rPr>
              <w:t>t/a</w:t>
            </w:r>
            <w:r>
              <w:rPr>
                <w:b/>
                <w:bCs/>
              </w:rPr>
              <w:t>）</w:t>
            </w:r>
          </w:p>
        </w:tc>
        <w:tc>
          <w:tcPr>
            <w:tcW w:w="291" w:type="pct"/>
            <w:vMerge w:val="restart"/>
            <w:vAlign w:val="center"/>
          </w:tcPr>
          <w:p w14:paraId="0D247711">
            <w:pPr>
              <w:pStyle w:val="133"/>
              <w:rPr>
                <w:b/>
                <w:bCs/>
                <w:vertAlign w:val="subscript"/>
              </w:rPr>
            </w:pPr>
            <w:r>
              <w:rPr>
                <w:b/>
                <w:bCs/>
              </w:rPr>
              <w:t>Q</w:t>
            </w:r>
            <w:r>
              <w:rPr>
                <w:b/>
                <w:bCs/>
                <w:vertAlign w:val="subscript"/>
              </w:rPr>
              <w:t>H2S</w:t>
            </w:r>
          </w:p>
          <w:p w14:paraId="4AF88345">
            <w:pPr>
              <w:pStyle w:val="133"/>
              <w:rPr>
                <w:b/>
                <w:bCs/>
                <w:vertAlign w:val="subscript"/>
              </w:rPr>
            </w:pPr>
            <w:r>
              <w:rPr>
                <w:b/>
                <w:bCs/>
              </w:rPr>
              <w:t>（</w:t>
            </w:r>
            <w:r>
              <w:rPr>
                <w:rFonts w:hint="eastAsia"/>
                <w:b/>
                <w:bCs/>
              </w:rPr>
              <w:t>t/a</w:t>
            </w:r>
            <w:r>
              <w:rPr>
                <w:b/>
                <w:bCs/>
              </w:rPr>
              <w:t>）</w:t>
            </w:r>
          </w:p>
        </w:tc>
        <w:tc>
          <w:tcPr>
            <w:tcW w:w="291" w:type="pct"/>
            <w:vMerge w:val="restart"/>
            <w:vAlign w:val="center"/>
          </w:tcPr>
          <w:p w14:paraId="3AD0D276">
            <w:pPr>
              <w:pStyle w:val="133"/>
              <w:rPr>
                <w:b/>
                <w:bCs/>
                <w:vertAlign w:val="subscript"/>
              </w:rPr>
            </w:pPr>
            <w:r>
              <w:rPr>
                <w:b/>
                <w:bCs/>
              </w:rPr>
              <w:t>Q</w:t>
            </w:r>
            <w:r>
              <w:rPr>
                <w:b/>
                <w:bCs/>
                <w:vertAlign w:val="subscript"/>
              </w:rPr>
              <w:t>NMHC</w:t>
            </w:r>
          </w:p>
          <w:p w14:paraId="7826D2B4">
            <w:pPr>
              <w:pStyle w:val="133"/>
              <w:rPr>
                <w:b/>
                <w:bCs/>
                <w:vertAlign w:val="subscript"/>
              </w:rPr>
            </w:pPr>
            <w:r>
              <w:rPr>
                <w:b/>
                <w:bCs/>
              </w:rPr>
              <w:t>（</w:t>
            </w:r>
            <w:r>
              <w:rPr>
                <w:rFonts w:hint="eastAsia"/>
                <w:b/>
                <w:bCs/>
              </w:rPr>
              <w:t>t/a</w:t>
            </w:r>
            <w:r>
              <w:rPr>
                <w:b/>
                <w:bCs/>
              </w:rPr>
              <w:t>）</w:t>
            </w:r>
          </w:p>
        </w:tc>
        <w:tc>
          <w:tcPr>
            <w:tcW w:w="291" w:type="pct"/>
            <w:vMerge w:val="restart"/>
            <w:vAlign w:val="center"/>
          </w:tcPr>
          <w:p w14:paraId="046E3B6E">
            <w:pPr>
              <w:pStyle w:val="133"/>
              <w:rPr>
                <w:b/>
                <w:bCs/>
                <w:vertAlign w:val="subscript"/>
              </w:rPr>
            </w:pPr>
            <w:r>
              <w:rPr>
                <w:b/>
                <w:bCs/>
              </w:rPr>
              <w:t>Q</w:t>
            </w:r>
            <w:r>
              <w:rPr>
                <w:rFonts w:hint="eastAsia"/>
                <w:b/>
                <w:bCs/>
                <w:vertAlign w:val="subscript"/>
              </w:rPr>
              <w:t>酚类</w:t>
            </w:r>
          </w:p>
          <w:p w14:paraId="13EA9E24">
            <w:pPr>
              <w:pStyle w:val="133"/>
              <w:rPr>
                <w:b/>
                <w:bCs/>
              </w:rPr>
            </w:pPr>
            <w:r>
              <w:rPr>
                <w:b/>
                <w:bCs/>
              </w:rPr>
              <w:t>（</w:t>
            </w:r>
            <w:r>
              <w:rPr>
                <w:rFonts w:hint="eastAsia"/>
                <w:b/>
                <w:bCs/>
              </w:rPr>
              <w:t>t/a</w:t>
            </w:r>
            <w:r>
              <w:rPr>
                <w:b/>
                <w:bCs/>
              </w:rPr>
              <w:t>）</w:t>
            </w:r>
          </w:p>
        </w:tc>
        <w:tc>
          <w:tcPr>
            <w:tcW w:w="291" w:type="pct"/>
            <w:vMerge w:val="restart"/>
            <w:vAlign w:val="center"/>
          </w:tcPr>
          <w:p w14:paraId="2AC180E1">
            <w:pPr>
              <w:pStyle w:val="133"/>
              <w:rPr>
                <w:b/>
                <w:bCs/>
                <w:vertAlign w:val="subscript"/>
              </w:rPr>
            </w:pPr>
            <w:r>
              <w:rPr>
                <w:b/>
                <w:bCs/>
              </w:rPr>
              <w:t>Q</w:t>
            </w:r>
            <w:r>
              <w:rPr>
                <w:rFonts w:hint="eastAsia"/>
                <w:b/>
                <w:bCs/>
                <w:vertAlign w:val="subscript"/>
              </w:rPr>
              <w:t>氰化氢</w:t>
            </w:r>
          </w:p>
          <w:p w14:paraId="5C79FB3F">
            <w:pPr>
              <w:pStyle w:val="133"/>
              <w:rPr>
                <w:b/>
                <w:bCs/>
              </w:rPr>
            </w:pPr>
            <w:r>
              <w:rPr>
                <w:b/>
                <w:bCs/>
              </w:rPr>
              <w:t>（</w:t>
            </w:r>
            <w:r>
              <w:rPr>
                <w:rFonts w:hint="eastAsia"/>
                <w:b/>
                <w:bCs/>
              </w:rPr>
              <w:t>t/a</w:t>
            </w:r>
            <w:r>
              <w:rPr>
                <w:b/>
                <w:bCs/>
              </w:rPr>
              <w:t>）</w:t>
            </w:r>
          </w:p>
        </w:tc>
      </w:tr>
      <w:tr w14:paraId="745FF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71" w:type="pct"/>
            <w:vMerge w:val="continue"/>
            <w:vAlign w:val="center"/>
          </w:tcPr>
          <w:p w14:paraId="341B5AA9">
            <w:pPr>
              <w:pStyle w:val="133"/>
            </w:pPr>
          </w:p>
        </w:tc>
        <w:tc>
          <w:tcPr>
            <w:tcW w:w="656" w:type="pct"/>
            <w:vMerge w:val="continue"/>
            <w:vAlign w:val="center"/>
          </w:tcPr>
          <w:p w14:paraId="1871D712">
            <w:pPr>
              <w:pStyle w:val="133"/>
            </w:pPr>
          </w:p>
        </w:tc>
        <w:tc>
          <w:tcPr>
            <w:tcW w:w="240" w:type="pct"/>
            <w:vAlign w:val="center"/>
          </w:tcPr>
          <w:p w14:paraId="62548090">
            <w:pPr>
              <w:pStyle w:val="133"/>
              <w:rPr>
                <w:b/>
                <w:bCs/>
              </w:rPr>
            </w:pPr>
            <w:r>
              <w:rPr>
                <w:b/>
                <w:bCs/>
              </w:rPr>
              <w:t>X</w:t>
            </w:r>
          </w:p>
          <w:p w14:paraId="5ED508E6">
            <w:pPr>
              <w:pStyle w:val="133"/>
              <w:rPr>
                <w:b/>
                <w:bCs/>
              </w:rPr>
            </w:pPr>
            <w:r>
              <w:rPr>
                <w:b/>
                <w:bCs/>
              </w:rPr>
              <w:t>（m）</w:t>
            </w:r>
          </w:p>
        </w:tc>
        <w:tc>
          <w:tcPr>
            <w:tcW w:w="240" w:type="pct"/>
            <w:vAlign w:val="center"/>
          </w:tcPr>
          <w:p w14:paraId="2DC351AC">
            <w:pPr>
              <w:pStyle w:val="133"/>
              <w:rPr>
                <w:b/>
                <w:bCs/>
              </w:rPr>
            </w:pPr>
            <w:r>
              <w:rPr>
                <w:b/>
                <w:bCs/>
              </w:rPr>
              <w:t>Y</w:t>
            </w:r>
          </w:p>
          <w:p w14:paraId="3920FF76">
            <w:pPr>
              <w:pStyle w:val="133"/>
              <w:rPr>
                <w:b/>
                <w:bCs/>
              </w:rPr>
            </w:pPr>
            <w:r>
              <w:rPr>
                <w:b/>
                <w:bCs/>
              </w:rPr>
              <w:t>（m）</w:t>
            </w:r>
          </w:p>
        </w:tc>
        <w:tc>
          <w:tcPr>
            <w:tcW w:w="240" w:type="pct"/>
            <w:vMerge w:val="continue"/>
            <w:vAlign w:val="center"/>
          </w:tcPr>
          <w:p w14:paraId="41F532C0">
            <w:pPr>
              <w:pStyle w:val="133"/>
            </w:pPr>
          </w:p>
        </w:tc>
        <w:tc>
          <w:tcPr>
            <w:tcW w:w="294" w:type="pct"/>
            <w:vMerge w:val="continue"/>
            <w:vAlign w:val="center"/>
          </w:tcPr>
          <w:p w14:paraId="76A8C444">
            <w:pPr>
              <w:pStyle w:val="133"/>
            </w:pPr>
          </w:p>
        </w:tc>
        <w:tc>
          <w:tcPr>
            <w:tcW w:w="280" w:type="pct"/>
            <w:vMerge w:val="continue"/>
            <w:vAlign w:val="center"/>
          </w:tcPr>
          <w:p w14:paraId="437E60B6">
            <w:pPr>
              <w:pStyle w:val="133"/>
            </w:pPr>
          </w:p>
        </w:tc>
        <w:tc>
          <w:tcPr>
            <w:tcW w:w="260" w:type="pct"/>
            <w:vMerge w:val="continue"/>
            <w:vAlign w:val="center"/>
          </w:tcPr>
          <w:p w14:paraId="6250F145">
            <w:pPr>
              <w:pStyle w:val="133"/>
            </w:pPr>
          </w:p>
        </w:tc>
        <w:tc>
          <w:tcPr>
            <w:tcW w:w="291" w:type="pct"/>
            <w:vMerge w:val="continue"/>
            <w:vAlign w:val="center"/>
          </w:tcPr>
          <w:p w14:paraId="5644C506">
            <w:pPr>
              <w:pStyle w:val="133"/>
            </w:pPr>
          </w:p>
        </w:tc>
        <w:tc>
          <w:tcPr>
            <w:tcW w:w="291" w:type="pct"/>
            <w:vMerge w:val="continue"/>
            <w:vAlign w:val="center"/>
          </w:tcPr>
          <w:p w14:paraId="274752AB">
            <w:pPr>
              <w:pStyle w:val="133"/>
            </w:pPr>
          </w:p>
        </w:tc>
        <w:tc>
          <w:tcPr>
            <w:tcW w:w="291" w:type="pct"/>
            <w:vMerge w:val="continue"/>
            <w:vAlign w:val="center"/>
          </w:tcPr>
          <w:p w14:paraId="763B3BA4">
            <w:pPr>
              <w:pStyle w:val="133"/>
            </w:pPr>
          </w:p>
        </w:tc>
        <w:tc>
          <w:tcPr>
            <w:tcW w:w="291" w:type="pct"/>
            <w:vMerge w:val="continue"/>
            <w:vAlign w:val="center"/>
          </w:tcPr>
          <w:p w14:paraId="596BF465">
            <w:pPr>
              <w:pStyle w:val="133"/>
            </w:pPr>
          </w:p>
        </w:tc>
        <w:tc>
          <w:tcPr>
            <w:tcW w:w="291" w:type="pct"/>
            <w:vMerge w:val="continue"/>
            <w:vAlign w:val="center"/>
          </w:tcPr>
          <w:p w14:paraId="1D8B9D3C">
            <w:pPr>
              <w:pStyle w:val="133"/>
            </w:pPr>
          </w:p>
        </w:tc>
        <w:tc>
          <w:tcPr>
            <w:tcW w:w="291" w:type="pct"/>
            <w:vMerge w:val="continue"/>
            <w:vAlign w:val="center"/>
          </w:tcPr>
          <w:p w14:paraId="101BD8C6">
            <w:pPr>
              <w:pStyle w:val="133"/>
            </w:pPr>
          </w:p>
        </w:tc>
        <w:tc>
          <w:tcPr>
            <w:tcW w:w="291" w:type="pct"/>
            <w:vMerge w:val="continue"/>
            <w:vAlign w:val="center"/>
          </w:tcPr>
          <w:p w14:paraId="1757CC78">
            <w:pPr>
              <w:pStyle w:val="133"/>
            </w:pPr>
          </w:p>
        </w:tc>
        <w:tc>
          <w:tcPr>
            <w:tcW w:w="291" w:type="pct"/>
            <w:vMerge w:val="continue"/>
            <w:vAlign w:val="center"/>
          </w:tcPr>
          <w:p w14:paraId="1E4BD556">
            <w:pPr>
              <w:pStyle w:val="133"/>
            </w:pPr>
          </w:p>
        </w:tc>
        <w:tc>
          <w:tcPr>
            <w:tcW w:w="291" w:type="pct"/>
            <w:vMerge w:val="continue"/>
            <w:vAlign w:val="center"/>
          </w:tcPr>
          <w:p w14:paraId="5E44117E">
            <w:pPr>
              <w:pStyle w:val="133"/>
            </w:pPr>
          </w:p>
        </w:tc>
      </w:tr>
      <w:tr w14:paraId="34C3F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1FFB2EBC">
            <w:pPr>
              <w:pStyle w:val="133"/>
            </w:pPr>
            <w:r>
              <w:rPr>
                <w:rFonts w:hint="eastAsia"/>
                <w:color w:val="000000"/>
              </w:rPr>
              <w:t>1</w:t>
            </w:r>
          </w:p>
        </w:tc>
        <w:tc>
          <w:tcPr>
            <w:tcW w:w="656" w:type="pct"/>
            <w:vAlign w:val="center"/>
          </w:tcPr>
          <w:p w14:paraId="023C9806">
            <w:pPr>
              <w:pStyle w:val="133"/>
            </w:pPr>
            <w:r>
              <w:rPr>
                <w:rFonts w:hint="eastAsia"/>
              </w:rPr>
              <w:t>煤棚</w:t>
            </w:r>
          </w:p>
        </w:tc>
        <w:tc>
          <w:tcPr>
            <w:tcW w:w="240" w:type="pct"/>
            <w:vAlign w:val="center"/>
          </w:tcPr>
          <w:p w14:paraId="69A0DAB8">
            <w:pPr>
              <w:pStyle w:val="133"/>
            </w:pPr>
            <w:r>
              <w:rPr>
                <w:rFonts w:hint="eastAsia"/>
              </w:rPr>
              <w:t>-584</w:t>
            </w:r>
          </w:p>
        </w:tc>
        <w:tc>
          <w:tcPr>
            <w:tcW w:w="240" w:type="pct"/>
            <w:vAlign w:val="center"/>
          </w:tcPr>
          <w:p w14:paraId="5AF3BC0E">
            <w:pPr>
              <w:pStyle w:val="133"/>
            </w:pPr>
            <w:r>
              <w:rPr>
                <w:rFonts w:hint="eastAsia"/>
              </w:rPr>
              <w:t>162</w:t>
            </w:r>
          </w:p>
        </w:tc>
        <w:tc>
          <w:tcPr>
            <w:tcW w:w="240" w:type="pct"/>
            <w:vAlign w:val="center"/>
          </w:tcPr>
          <w:p w14:paraId="5382558D">
            <w:pPr>
              <w:pStyle w:val="133"/>
            </w:pPr>
            <w:r>
              <w:t>182</w:t>
            </w:r>
          </w:p>
        </w:tc>
        <w:tc>
          <w:tcPr>
            <w:tcW w:w="294" w:type="pct"/>
            <w:vAlign w:val="center"/>
          </w:tcPr>
          <w:p w14:paraId="4A18F4B6">
            <w:pPr>
              <w:pStyle w:val="133"/>
            </w:pPr>
            <w:r>
              <w:t>140</w:t>
            </w:r>
          </w:p>
        </w:tc>
        <w:tc>
          <w:tcPr>
            <w:tcW w:w="280" w:type="pct"/>
            <w:vAlign w:val="center"/>
          </w:tcPr>
          <w:p w14:paraId="3A70D8F0">
            <w:pPr>
              <w:pStyle w:val="133"/>
            </w:pPr>
            <w:r>
              <w:t>0</w:t>
            </w:r>
          </w:p>
        </w:tc>
        <w:tc>
          <w:tcPr>
            <w:tcW w:w="260" w:type="pct"/>
            <w:vAlign w:val="center"/>
          </w:tcPr>
          <w:p w14:paraId="163F3B78">
            <w:pPr>
              <w:pStyle w:val="133"/>
            </w:pPr>
            <w:r>
              <w:rPr>
                <w:rFonts w:hint="eastAsia"/>
              </w:rPr>
              <w:t>15</w:t>
            </w:r>
          </w:p>
        </w:tc>
        <w:tc>
          <w:tcPr>
            <w:tcW w:w="291" w:type="pct"/>
            <w:vAlign w:val="center"/>
          </w:tcPr>
          <w:p w14:paraId="12D91AA0">
            <w:pPr>
              <w:pStyle w:val="133"/>
            </w:pPr>
          </w:p>
        </w:tc>
        <w:tc>
          <w:tcPr>
            <w:tcW w:w="291" w:type="pct"/>
            <w:vAlign w:val="center"/>
          </w:tcPr>
          <w:p w14:paraId="2DDF3029">
            <w:pPr>
              <w:pStyle w:val="133"/>
            </w:pPr>
          </w:p>
        </w:tc>
        <w:tc>
          <w:tcPr>
            <w:tcW w:w="291" w:type="pct"/>
            <w:vAlign w:val="center"/>
          </w:tcPr>
          <w:p w14:paraId="66476C09">
            <w:pPr>
              <w:pStyle w:val="133"/>
            </w:pPr>
            <w:r>
              <w:rPr>
                <w:rFonts w:hint="eastAsia"/>
              </w:rPr>
              <w:t>1.09</w:t>
            </w:r>
          </w:p>
        </w:tc>
        <w:tc>
          <w:tcPr>
            <w:tcW w:w="291" w:type="pct"/>
            <w:vAlign w:val="center"/>
          </w:tcPr>
          <w:p w14:paraId="5D08789F">
            <w:pPr>
              <w:pStyle w:val="133"/>
            </w:pPr>
          </w:p>
        </w:tc>
        <w:tc>
          <w:tcPr>
            <w:tcW w:w="291" w:type="pct"/>
            <w:vAlign w:val="center"/>
          </w:tcPr>
          <w:p w14:paraId="2908666C">
            <w:pPr>
              <w:pStyle w:val="133"/>
            </w:pPr>
          </w:p>
        </w:tc>
        <w:tc>
          <w:tcPr>
            <w:tcW w:w="291" w:type="pct"/>
            <w:vAlign w:val="center"/>
          </w:tcPr>
          <w:p w14:paraId="424DFDF9">
            <w:pPr>
              <w:pStyle w:val="133"/>
            </w:pPr>
          </w:p>
        </w:tc>
        <w:tc>
          <w:tcPr>
            <w:tcW w:w="291" w:type="pct"/>
            <w:vAlign w:val="center"/>
          </w:tcPr>
          <w:p w14:paraId="451510E6">
            <w:pPr>
              <w:pStyle w:val="133"/>
            </w:pPr>
          </w:p>
        </w:tc>
        <w:tc>
          <w:tcPr>
            <w:tcW w:w="291" w:type="pct"/>
            <w:vAlign w:val="center"/>
          </w:tcPr>
          <w:p w14:paraId="5436206B">
            <w:pPr>
              <w:pStyle w:val="133"/>
            </w:pPr>
          </w:p>
        </w:tc>
        <w:tc>
          <w:tcPr>
            <w:tcW w:w="291" w:type="pct"/>
            <w:vAlign w:val="center"/>
          </w:tcPr>
          <w:p w14:paraId="3B86930C">
            <w:pPr>
              <w:pStyle w:val="133"/>
            </w:pPr>
          </w:p>
        </w:tc>
      </w:tr>
      <w:tr w14:paraId="67C09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5CB1B7EF">
            <w:pPr>
              <w:pStyle w:val="133"/>
            </w:pPr>
            <w:r>
              <w:rPr>
                <w:rFonts w:hint="eastAsia"/>
                <w:color w:val="000000"/>
              </w:rPr>
              <w:t>2</w:t>
            </w:r>
          </w:p>
        </w:tc>
        <w:tc>
          <w:tcPr>
            <w:tcW w:w="656" w:type="pct"/>
            <w:vAlign w:val="center"/>
          </w:tcPr>
          <w:p w14:paraId="28EA455C">
            <w:pPr>
              <w:pStyle w:val="133"/>
            </w:pPr>
            <w:r>
              <w:rPr>
                <w:rFonts w:hint="eastAsia"/>
              </w:rPr>
              <w:t>焦棚</w:t>
            </w:r>
          </w:p>
        </w:tc>
        <w:tc>
          <w:tcPr>
            <w:tcW w:w="240" w:type="pct"/>
            <w:vAlign w:val="center"/>
          </w:tcPr>
          <w:p w14:paraId="3E73A5BA">
            <w:pPr>
              <w:pStyle w:val="133"/>
            </w:pPr>
            <w:r>
              <w:rPr>
                <w:rFonts w:hint="eastAsia"/>
              </w:rPr>
              <w:t>-487</w:t>
            </w:r>
          </w:p>
        </w:tc>
        <w:tc>
          <w:tcPr>
            <w:tcW w:w="240" w:type="pct"/>
            <w:vAlign w:val="center"/>
          </w:tcPr>
          <w:p w14:paraId="75A99919">
            <w:pPr>
              <w:pStyle w:val="133"/>
            </w:pPr>
            <w:r>
              <w:rPr>
                <w:rFonts w:hint="eastAsia"/>
              </w:rPr>
              <w:t>195</w:t>
            </w:r>
          </w:p>
        </w:tc>
        <w:tc>
          <w:tcPr>
            <w:tcW w:w="240" w:type="pct"/>
            <w:vAlign w:val="center"/>
          </w:tcPr>
          <w:p w14:paraId="06634DB2">
            <w:pPr>
              <w:pStyle w:val="133"/>
            </w:pPr>
            <w:r>
              <w:t>127</w:t>
            </w:r>
          </w:p>
        </w:tc>
        <w:tc>
          <w:tcPr>
            <w:tcW w:w="294" w:type="pct"/>
            <w:vAlign w:val="center"/>
          </w:tcPr>
          <w:p w14:paraId="2AA851A6">
            <w:pPr>
              <w:pStyle w:val="133"/>
            </w:pPr>
            <w:r>
              <w:t>166</w:t>
            </w:r>
          </w:p>
        </w:tc>
        <w:tc>
          <w:tcPr>
            <w:tcW w:w="280" w:type="pct"/>
            <w:vAlign w:val="center"/>
          </w:tcPr>
          <w:p w14:paraId="165118AF">
            <w:pPr>
              <w:pStyle w:val="133"/>
            </w:pPr>
            <w:r>
              <w:t>0</w:t>
            </w:r>
          </w:p>
        </w:tc>
        <w:tc>
          <w:tcPr>
            <w:tcW w:w="260" w:type="pct"/>
            <w:vAlign w:val="center"/>
          </w:tcPr>
          <w:p w14:paraId="402CC113">
            <w:pPr>
              <w:pStyle w:val="133"/>
            </w:pPr>
            <w:r>
              <w:rPr>
                <w:rFonts w:hint="eastAsia"/>
              </w:rPr>
              <w:t>15</w:t>
            </w:r>
          </w:p>
        </w:tc>
        <w:tc>
          <w:tcPr>
            <w:tcW w:w="291" w:type="pct"/>
            <w:vAlign w:val="center"/>
          </w:tcPr>
          <w:p w14:paraId="0FF7C508">
            <w:pPr>
              <w:pStyle w:val="133"/>
            </w:pPr>
          </w:p>
        </w:tc>
        <w:tc>
          <w:tcPr>
            <w:tcW w:w="291" w:type="pct"/>
            <w:vAlign w:val="center"/>
          </w:tcPr>
          <w:p w14:paraId="2F4E7031">
            <w:pPr>
              <w:pStyle w:val="133"/>
            </w:pPr>
          </w:p>
        </w:tc>
        <w:tc>
          <w:tcPr>
            <w:tcW w:w="291" w:type="pct"/>
            <w:vAlign w:val="center"/>
          </w:tcPr>
          <w:p w14:paraId="6F32C8B0">
            <w:pPr>
              <w:pStyle w:val="133"/>
            </w:pPr>
            <w:r>
              <w:rPr>
                <w:rFonts w:hint="eastAsia"/>
              </w:rPr>
              <w:t>2.5</w:t>
            </w:r>
          </w:p>
        </w:tc>
        <w:tc>
          <w:tcPr>
            <w:tcW w:w="291" w:type="pct"/>
            <w:vAlign w:val="center"/>
          </w:tcPr>
          <w:p w14:paraId="0A49ED52">
            <w:pPr>
              <w:pStyle w:val="133"/>
            </w:pPr>
          </w:p>
        </w:tc>
        <w:tc>
          <w:tcPr>
            <w:tcW w:w="291" w:type="pct"/>
            <w:vAlign w:val="center"/>
          </w:tcPr>
          <w:p w14:paraId="51220D1F">
            <w:pPr>
              <w:pStyle w:val="133"/>
            </w:pPr>
          </w:p>
        </w:tc>
        <w:tc>
          <w:tcPr>
            <w:tcW w:w="291" w:type="pct"/>
            <w:vAlign w:val="center"/>
          </w:tcPr>
          <w:p w14:paraId="225E5028">
            <w:pPr>
              <w:pStyle w:val="133"/>
            </w:pPr>
          </w:p>
        </w:tc>
        <w:tc>
          <w:tcPr>
            <w:tcW w:w="291" w:type="pct"/>
            <w:vAlign w:val="center"/>
          </w:tcPr>
          <w:p w14:paraId="1735C59B">
            <w:pPr>
              <w:pStyle w:val="133"/>
            </w:pPr>
          </w:p>
        </w:tc>
        <w:tc>
          <w:tcPr>
            <w:tcW w:w="291" w:type="pct"/>
            <w:vAlign w:val="center"/>
          </w:tcPr>
          <w:p w14:paraId="04EA9232">
            <w:pPr>
              <w:pStyle w:val="133"/>
            </w:pPr>
          </w:p>
        </w:tc>
        <w:tc>
          <w:tcPr>
            <w:tcW w:w="291" w:type="pct"/>
            <w:vAlign w:val="center"/>
          </w:tcPr>
          <w:p w14:paraId="35F73532">
            <w:pPr>
              <w:pStyle w:val="133"/>
            </w:pPr>
          </w:p>
        </w:tc>
      </w:tr>
      <w:tr w14:paraId="69CAE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63AEE20A">
            <w:pPr>
              <w:pStyle w:val="133"/>
            </w:pPr>
            <w:r>
              <w:rPr>
                <w:rFonts w:hint="eastAsia"/>
                <w:color w:val="000000"/>
              </w:rPr>
              <w:t>3</w:t>
            </w:r>
          </w:p>
        </w:tc>
        <w:tc>
          <w:tcPr>
            <w:tcW w:w="656" w:type="pct"/>
            <w:vAlign w:val="center"/>
          </w:tcPr>
          <w:p w14:paraId="4722945E">
            <w:pPr>
              <w:pStyle w:val="133"/>
            </w:pPr>
            <w:r>
              <w:rPr>
                <w:rFonts w:hint="eastAsia"/>
              </w:rPr>
              <w:t>炭化炉区</w:t>
            </w:r>
          </w:p>
        </w:tc>
        <w:tc>
          <w:tcPr>
            <w:tcW w:w="240" w:type="pct"/>
            <w:vAlign w:val="center"/>
          </w:tcPr>
          <w:p w14:paraId="14A2A1DC">
            <w:pPr>
              <w:pStyle w:val="133"/>
            </w:pPr>
            <w:r>
              <w:rPr>
                <w:rFonts w:hint="eastAsia"/>
              </w:rPr>
              <w:t>-340</w:t>
            </w:r>
          </w:p>
        </w:tc>
        <w:tc>
          <w:tcPr>
            <w:tcW w:w="240" w:type="pct"/>
            <w:vAlign w:val="center"/>
          </w:tcPr>
          <w:p w14:paraId="3E2821E1">
            <w:pPr>
              <w:pStyle w:val="133"/>
            </w:pPr>
            <w:r>
              <w:rPr>
                <w:rFonts w:hint="eastAsia"/>
              </w:rPr>
              <w:t>50</w:t>
            </w:r>
          </w:p>
        </w:tc>
        <w:tc>
          <w:tcPr>
            <w:tcW w:w="240" w:type="pct"/>
            <w:vAlign w:val="center"/>
          </w:tcPr>
          <w:p w14:paraId="24A88DFB">
            <w:pPr>
              <w:pStyle w:val="133"/>
            </w:pPr>
            <w:r>
              <w:t>60</w:t>
            </w:r>
          </w:p>
        </w:tc>
        <w:tc>
          <w:tcPr>
            <w:tcW w:w="294" w:type="pct"/>
            <w:vAlign w:val="center"/>
          </w:tcPr>
          <w:p w14:paraId="715B9678">
            <w:pPr>
              <w:pStyle w:val="133"/>
            </w:pPr>
            <w:r>
              <w:t>40</w:t>
            </w:r>
          </w:p>
        </w:tc>
        <w:tc>
          <w:tcPr>
            <w:tcW w:w="280" w:type="pct"/>
            <w:vAlign w:val="center"/>
          </w:tcPr>
          <w:p w14:paraId="61A873F3">
            <w:pPr>
              <w:pStyle w:val="133"/>
            </w:pPr>
            <w:r>
              <w:t>0</w:t>
            </w:r>
          </w:p>
        </w:tc>
        <w:tc>
          <w:tcPr>
            <w:tcW w:w="260" w:type="pct"/>
            <w:vAlign w:val="center"/>
          </w:tcPr>
          <w:p w14:paraId="167522F2">
            <w:pPr>
              <w:pStyle w:val="133"/>
            </w:pPr>
            <w:r>
              <w:t>10</w:t>
            </w:r>
          </w:p>
        </w:tc>
        <w:tc>
          <w:tcPr>
            <w:tcW w:w="291" w:type="pct"/>
            <w:vAlign w:val="center"/>
          </w:tcPr>
          <w:p w14:paraId="26CA6672">
            <w:pPr>
              <w:pStyle w:val="133"/>
            </w:pPr>
            <w:r>
              <w:rPr>
                <w:rFonts w:hint="eastAsia"/>
                <w:color w:val="000000"/>
              </w:rPr>
              <w:t>6.658</w:t>
            </w:r>
          </w:p>
        </w:tc>
        <w:tc>
          <w:tcPr>
            <w:tcW w:w="291" w:type="pct"/>
            <w:vAlign w:val="center"/>
          </w:tcPr>
          <w:p w14:paraId="3DC8F6A9">
            <w:pPr>
              <w:pStyle w:val="133"/>
            </w:pPr>
          </w:p>
        </w:tc>
        <w:tc>
          <w:tcPr>
            <w:tcW w:w="291" w:type="pct"/>
            <w:vAlign w:val="center"/>
          </w:tcPr>
          <w:p w14:paraId="61AB83AA">
            <w:pPr>
              <w:pStyle w:val="133"/>
            </w:pPr>
            <w:r>
              <w:rPr>
                <w:rFonts w:hint="eastAsia"/>
                <w:color w:val="000000"/>
              </w:rPr>
              <w:t>0.907</w:t>
            </w:r>
          </w:p>
        </w:tc>
        <w:tc>
          <w:tcPr>
            <w:tcW w:w="291" w:type="pct"/>
            <w:vAlign w:val="center"/>
          </w:tcPr>
          <w:p w14:paraId="0BE6FB89">
            <w:pPr>
              <w:pStyle w:val="133"/>
            </w:pPr>
            <w:r>
              <w:rPr>
                <w:rFonts w:hint="eastAsia"/>
              </w:rPr>
              <w:t>0.000001</w:t>
            </w:r>
          </w:p>
        </w:tc>
        <w:tc>
          <w:tcPr>
            <w:tcW w:w="291" w:type="pct"/>
            <w:vAlign w:val="center"/>
          </w:tcPr>
          <w:p w14:paraId="374C6407">
            <w:pPr>
              <w:pStyle w:val="133"/>
            </w:pPr>
            <w:r>
              <w:rPr>
                <w:rFonts w:hint="eastAsia"/>
              </w:rPr>
              <w:t>0.076</w:t>
            </w:r>
          </w:p>
        </w:tc>
        <w:tc>
          <w:tcPr>
            <w:tcW w:w="291" w:type="pct"/>
            <w:vAlign w:val="center"/>
          </w:tcPr>
          <w:p w14:paraId="08A62F4C">
            <w:pPr>
              <w:pStyle w:val="133"/>
            </w:pPr>
            <w:r>
              <w:rPr>
                <w:rFonts w:hint="eastAsia"/>
              </w:rPr>
              <w:t>0.02</w:t>
            </w:r>
          </w:p>
        </w:tc>
        <w:tc>
          <w:tcPr>
            <w:tcW w:w="291" w:type="pct"/>
            <w:vAlign w:val="center"/>
          </w:tcPr>
          <w:p w14:paraId="6A712669">
            <w:pPr>
              <w:pStyle w:val="133"/>
            </w:pPr>
          </w:p>
        </w:tc>
        <w:tc>
          <w:tcPr>
            <w:tcW w:w="291" w:type="pct"/>
            <w:vAlign w:val="top"/>
          </w:tcPr>
          <w:p w14:paraId="11DB8601">
            <w:pPr>
              <w:pStyle w:val="133"/>
            </w:pPr>
            <w:r>
              <w:t>0.0029</w:t>
            </w:r>
          </w:p>
        </w:tc>
        <w:tc>
          <w:tcPr>
            <w:tcW w:w="291" w:type="pct"/>
            <w:vAlign w:val="top"/>
          </w:tcPr>
          <w:p w14:paraId="2DB09182">
            <w:pPr>
              <w:pStyle w:val="133"/>
            </w:pPr>
          </w:p>
        </w:tc>
      </w:tr>
      <w:tr w14:paraId="1AB6F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279D4B94">
            <w:pPr>
              <w:pStyle w:val="133"/>
            </w:pPr>
            <w:r>
              <w:rPr>
                <w:rFonts w:hint="eastAsia"/>
                <w:color w:val="000000"/>
              </w:rPr>
              <w:t>4</w:t>
            </w:r>
          </w:p>
        </w:tc>
        <w:tc>
          <w:tcPr>
            <w:tcW w:w="656" w:type="pct"/>
            <w:vAlign w:val="center"/>
          </w:tcPr>
          <w:p w14:paraId="586944F4">
            <w:pPr>
              <w:pStyle w:val="133"/>
            </w:pPr>
            <w:r>
              <w:rPr>
                <w:rFonts w:hint="eastAsia"/>
              </w:rPr>
              <w:t>煤气净化区</w:t>
            </w:r>
          </w:p>
        </w:tc>
        <w:tc>
          <w:tcPr>
            <w:tcW w:w="240" w:type="pct"/>
            <w:vAlign w:val="center"/>
          </w:tcPr>
          <w:p w14:paraId="59873CD3">
            <w:pPr>
              <w:pStyle w:val="133"/>
            </w:pPr>
            <w:r>
              <w:rPr>
                <w:rFonts w:hint="eastAsia"/>
              </w:rPr>
              <w:t>-32</w:t>
            </w:r>
          </w:p>
        </w:tc>
        <w:tc>
          <w:tcPr>
            <w:tcW w:w="240" w:type="pct"/>
            <w:vAlign w:val="center"/>
          </w:tcPr>
          <w:p w14:paraId="343551FB">
            <w:pPr>
              <w:pStyle w:val="133"/>
            </w:pPr>
            <w:r>
              <w:rPr>
                <w:rFonts w:hint="eastAsia"/>
              </w:rPr>
              <w:t>97</w:t>
            </w:r>
          </w:p>
        </w:tc>
        <w:tc>
          <w:tcPr>
            <w:tcW w:w="240" w:type="pct"/>
            <w:vAlign w:val="center"/>
          </w:tcPr>
          <w:p w14:paraId="7C96D02A">
            <w:pPr>
              <w:pStyle w:val="133"/>
            </w:pPr>
            <w:r>
              <w:t>85</w:t>
            </w:r>
          </w:p>
        </w:tc>
        <w:tc>
          <w:tcPr>
            <w:tcW w:w="294" w:type="pct"/>
            <w:vAlign w:val="center"/>
          </w:tcPr>
          <w:p w14:paraId="40BCCE20">
            <w:pPr>
              <w:pStyle w:val="133"/>
            </w:pPr>
            <w:r>
              <w:t>80</w:t>
            </w:r>
          </w:p>
        </w:tc>
        <w:tc>
          <w:tcPr>
            <w:tcW w:w="280" w:type="pct"/>
            <w:vAlign w:val="center"/>
          </w:tcPr>
          <w:p w14:paraId="263C66A3">
            <w:pPr>
              <w:pStyle w:val="133"/>
            </w:pPr>
            <w:r>
              <w:t>0</w:t>
            </w:r>
          </w:p>
        </w:tc>
        <w:tc>
          <w:tcPr>
            <w:tcW w:w="260" w:type="pct"/>
            <w:vAlign w:val="center"/>
          </w:tcPr>
          <w:p w14:paraId="763A39DA">
            <w:pPr>
              <w:pStyle w:val="133"/>
            </w:pPr>
            <w:r>
              <w:t>10</w:t>
            </w:r>
          </w:p>
        </w:tc>
        <w:tc>
          <w:tcPr>
            <w:tcW w:w="291" w:type="pct"/>
            <w:vAlign w:val="center"/>
          </w:tcPr>
          <w:p w14:paraId="32CA5AB4">
            <w:pPr>
              <w:pStyle w:val="133"/>
            </w:pPr>
          </w:p>
        </w:tc>
        <w:tc>
          <w:tcPr>
            <w:tcW w:w="291" w:type="pct"/>
            <w:vAlign w:val="center"/>
          </w:tcPr>
          <w:p w14:paraId="180684A2">
            <w:pPr>
              <w:pStyle w:val="133"/>
            </w:pPr>
          </w:p>
        </w:tc>
        <w:tc>
          <w:tcPr>
            <w:tcW w:w="291" w:type="pct"/>
            <w:vAlign w:val="center"/>
          </w:tcPr>
          <w:p w14:paraId="4D1AFB24">
            <w:pPr>
              <w:pStyle w:val="133"/>
            </w:pPr>
          </w:p>
        </w:tc>
        <w:tc>
          <w:tcPr>
            <w:tcW w:w="291" w:type="pct"/>
            <w:vAlign w:val="center"/>
          </w:tcPr>
          <w:p w14:paraId="1F216813">
            <w:pPr>
              <w:pStyle w:val="133"/>
            </w:pPr>
            <w:r>
              <w:rPr>
                <w:rFonts w:hint="eastAsia"/>
              </w:rPr>
              <w:t>0.00012</w:t>
            </w:r>
          </w:p>
        </w:tc>
        <w:tc>
          <w:tcPr>
            <w:tcW w:w="291" w:type="pct"/>
            <w:vAlign w:val="center"/>
          </w:tcPr>
          <w:p w14:paraId="5FA26C21">
            <w:pPr>
              <w:pStyle w:val="133"/>
            </w:pPr>
            <w:r>
              <w:rPr>
                <w:rFonts w:hint="eastAsia"/>
              </w:rPr>
              <w:t>0.023</w:t>
            </w:r>
          </w:p>
        </w:tc>
        <w:tc>
          <w:tcPr>
            <w:tcW w:w="291" w:type="pct"/>
            <w:vAlign w:val="center"/>
          </w:tcPr>
          <w:p w14:paraId="751B15E9">
            <w:pPr>
              <w:pStyle w:val="133"/>
            </w:pPr>
            <w:r>
              <w:rPr>
                <w:rFonts w:hint="eastAsia"/>
                <w:color w:val="000000"/>
              </w:rPr>
              <w:t>0.00141</w:t>
            </w:r>
          </w:p>
        </w:tc>
        <w:tc>
          <w:tcPr>
            <w:tcW w:w="291" w:type="pct"/>
            <w:vAlign w:val="center"/>
          </w:tcPr>
          <w:p w14:paraId="2B248960">
            <w:pPr>
              <w:pStyle w:val="133"/>
            </w:pPr>
            <w:r>
              <w:rPr>
                <w:rFonts w:hint="eastAsia"/>
              </w:rPr>
              <w:t>0.035</w:t>
            </w:r>
          </w:p>
        </w:tc>
        <w:tc>
          <w:tcPr>
            <w:tcW w:w="291" w:type="pct"/>
            <w:vAlign w:val="top"/>
          </w:tcPr>
          <w:p w14:paraId="33B6F9EC">
            <w:pPr>
              <w:pStyle w:val="133"/>
            </w:pPr>
            <w:r>
              <w:t>0.00468</w:t>
            </w:r>
          </w:p>
        </w:tc>
        <w:tc>
          <w:tcPr>
            <w:tcW w:w="291" w:type="pct"/>
            <w:vAlign w:val="top"/>
          </w:tcPr>
          <w:p w14:paraId="0D9EA89B">
            <w:pPr>
              <w:pStyle w:val="133"/>
            </w:pPr>
            <w:r>
              <w:t>0.00094</w:t>
            </w:r>
          </w:p>
        </w:tc>
      </w:tr>
      <w:tr w14:paraId="04730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78EBA715">
            <w:pPr>
              <w:pStyle w:val="133"/>
            </w:pPr>
            <w:r>
              <w:rPr>
                <w:rFonts w:hint="eastAsia"/>
                <w:color w:val="000000"/>
              </w:rPr>
              <w:t>5</w:t>
            </w:r>
          </w:p>
        </w:tc>
        <w:tc>
          <w:tcPr>
            <w:tcW w:w="656" w:type="pct"/>
            <w:vAlign w:val="center"/>
          </w:tcPr>
          <w:p w14:paraId="0375D7BB">
            <w:pPr>
              <w:pStyle w:val="133"/>
            </w:pPr>
            <w:r>
              <w:rPr>
                <w:rFonts w:hint="eastAsia"/>
              </w:rPr>
              <w:t>焦油罐区</w:t>
            </w:r>
          </w:p>
        </w:tc>
        <w:tc>
          <w:tcPr>
            <w:tcW w:w="240" w:type="pct"/>
            <w:vAlign w:val="center"/>
          </w:tcPr>
          <w:p w14:paraId="5AE1C13A">
            <w:pPr>
              <w:pStyle w:val="133"/>
            </w:pPr>
            <w:r>
              <w:rPr>
                <w:rFonts w:hint="eastAsia"/>
              </w:rPr>
              <w:t>-584</w:t>
            </w:r>
          </w:p>
        </w:tc>
        <w:tc>
          <w:tcPr>
            <w:tcW w:w="240" w:type="pct"/>
            <w:vAlign w:val="center"/>
          </w:tcPr>
          <w:p w14:paraId="21BEB2ED">
            <w:pPr>
              <w:pStyle w:val="133"/>
            </w:pPr>
            <w:r>
              <w:rPr>
                <w:rFonts w:hint="eastAsia"/>
              </w:rPr>
              <w:t>292</w:t>
            </w:r>
          </w:p>
        </w:tc>
        <w:tc>
          <w:tcPr>
            <w:tcW w:w="240" w:type="pct"/>
            <w:vAlign w:val="center"/>
          </w:tcPr>
          <w:p w14:paraId="2BE2F44F">
            <w:pPr>
              <w:pStyle w:val="133"/>
            </w:pPr>
            <w:r>
              <w:t>40</w:t>
            </w:r>
          </w:p>
        </w:tc>
        <w:tc>
          <w:tcPr>
            <w:tcW w:w="294" w:type="pct"/>
            <w:vAlign w:val="center"/>
          </w:tcPr>
          <w:p w14:paraId="3CC335BE">
            <w:pPr>
              <w:pStyle w:val="133"/>
            </w:pPr>
            <w:r>
              <w:t>185</w:t>
            </w:r>
          </w:p>
        </w:tc>
        <w:tc>
          <w:tcPr>
            <w:tcW w:w="280" w:type="pct"/>
            <w:vAlign w:val="center"/>
          </w:tcPr>
          <w:p w14:paraId="27F198F6">
            <w:pPr>
              <w:pStyle w:val="133"/>
            </w:pPr>
            <w:r>
              <w:t>0</w:t>
            </w:r>
          </w:p>
        </w:tc>
        <w:tc>
          <w:tcPr>
            <w:tcW w:w="260" w:type="pct"/>
            <w:vAlign w:val="center"/>
          </w:tcPr>
          <w:p w14:paraId="7A85CE29">
            <w:pPr>
              <w:pStyle w:val="133"/>
            </w:pPr>
            <w:r>
              <w:t>15</w:t>
            </w:r>
          </w:p>
        </w:tc>
        <w:tc>
          <w:tcPr>
            <w:tcW w:w="291" w:type="pct"/>
            <w:vAlign w:val="center"/>
          </w:tcPr>
          <w:p w14:paraId="7A42EEF5">
            <w:pPr>
              <w:pStyle w:val="133"/>
            </w:pPr>
          </w:p>
        </w:tc>
        <w:tc>
          <w:tcPr>
            <w:tcW w:w="291" w:type="pct"/>
            <w:vAlign w:val="center"/>
          </w:tcPr>
          <w:p w14:paraId="74D614C7">
            <w:pPr>
              <w:pStyle w:val="133"/>
            </w:pPr>
          </w:p>
        </w:tc>
        <w:tc>
          <w:tcPr>
            <w:tcW w:w="291" w:type="pct"/>
            <w:vAlign w:val="center"/>
          </w:tcPr>
          <w:p w14:paraId="53E80629">
            <w:pPr>
              <w:pStyle w:val="133"/>
            </w:pPr>
          </w:p>
        </w:tc>
        <w:tc>
          <w:tcPr>
            <w:tcW w:w="291" w:type="pct"/>
            <w:vAlign w:val="center"/>
          </w:tcPr>
          <w:p w14:paraId="07413415">
            <w:pPr>
              <w:pStyle w:val="133"/>
            </w:pPr>
          </w:p>
        </w:tc>
        <w:tc>
          <w:tcPr>
            <w:tcW w:w="291" w:type="pct"/>
            <w:vAlign w:val="center"/>
          </w:tcPr>
          <w:p w14:paraId="6B77AD4B">
            <w:pPr>
              <w:pStyle w:val="133"/>
            </w:pPr>
          </w:p>
        </w:tc>
        <w:tc>
          <w:tcPr>
            <w:tcW w:w="291" w:type="pct"/>
            <w:vAlign w:val="center"/>
          </w:tcPr>
          <w:p w14:paraId="694001C4">
            <w:pPr>
              <w:pStyle w:val="133"/>
            </w:pPr>
          </w:p>
        </w:tc>
        <w:tc>
          <w:tcPr>
            <w:tcW w:w="291" w:type="pct"/>
            <w:vAlign w:val="center"/>
          </w:tcPr>
          <w:p w14:paraId="5790AF38">
            <w:pPr>
              <w:pStyle w:val="133"/>
            </w:pPr>
            <w:r>
              <w:rPr>
                <w:rFonts w:hint="eastAsia"/>
              </w:rPr>
              <w:t>0.715</w:t>
            </w:r>
          </w:p>
        </w:tc>
        <w:tc>
          <w:tcPr>
            <w:tcW w:w="291" w:type="pct"/>
            <w:vAlign w:val="center"/>
          </w:tcPr>
          <w:p w14:paraId="649ECA36">
            <w:pPr>
              <w:pStyle w:val="133"/>
            </w:pPr>
          </w:p>
        </w:tc>
        <w:tc>
          <w:tcPr>
            <w:tcW w:w="291" w:type="pct"/>
            <w:vAlign w:val="center"/>
          </w:tcPr>
          <w:p w14:paraId="3AC075C6">
            <w:pPr>
              <w:pStyle w:val="133"/>
            </w:pPr>
          </w:p>
        </w:tc>
      </w:tr>
      <w:tr w14:paraId="26E9F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4BB7E6A9">
            <w:pPr>
              <w:pStyle w:val="133"/>
            </w:pPr>
            <w:r>
              <w:rPr>
                <w:rFonts w:hint="eastAsia"/>
                <w:color w:val="000000"/>
              </w:rPr>
              <w:t>6</w:t>
            </w:r>
          </w:p>
        </w:tc>
        <w:tc>
          <w:tcPr>
            <w:tcW w:w="656" w:type="pct"/>
            <w:vAlign w:val="center"/>
          </w:tcPr>
          <w:p w14:paraId="6918C1C0">
            <w:pPr>
              <w:pStyle w:val="133"/>
            </w:pPr>
            <w:r>
              <w:rPr>
                <w:rFonts w:hint="eastAsia"/>
              </w:rPr>
              <w:t>装车站</w:t>
            </w:r>
          </w:p>
        </w:tc>
        <w:tc>
          <w:tcPr>
            <w:tcW w:w="240" w:type="pct"/>
            <w:vAlign w:val="center"/>
          </w:tcPr>
          <w:p w14:paraId="75CDD337">
            <w:pPr>
              <w:pStyle w:val="133"/>
            </w:pPr>
            <w:r>
              <w:rPr>
                <w:rFonts w:hint="eastAsia"/>
              </w:rPr>
              <w:t>-616</w:t>
            </w:r>
          </w:p>
        </w:tc>
        <w:tc>
          <w:tcPr>
            <w:tcW w:w="240" w:type="pct"/>
            <w:vAlign w:val="center"/>
          </w:tcPr>
          <w:p w14:paraId="742CD778">
            <w:pPr>
              <w:pStyle w:val="133"/>
            </w:pPr>
            <w:r>
              <w:rPr>
                <w:rFonts w:hint="eastAsia"/>
              </w:rPr>
              <w:t>422</w:t>
            </w:r>
          </w:p>
        </w:tc>
        <w:tc>
          <w:tcPr>
            <w:tcW w:w="240" w:type="pct"/>
            <w:vAlign w:val="center"/>
          </w:tcPr>
          <w:p w14:paraId="77530569">
            <w:pPr>
              <w:pStyle w:val="133"/>
            </w:pPr>
            <w:r>
              <w:t>5</w:t>
            </w:r>
          </w:p>
        </w:tc>
        <w:tc>
          <w:tcPr>
            <w:tcW w:w="294" w:type="pct"/>
            <w:vAlign w:val="center"/>
          </w:tcPr>
          <w:p w14:paraId="47037FDC">
            <w:pPr>
              <w:pStyle w:val="133"/>
            </w:pPr>
            <w:r>
              <w:t>18</w:t>
            </w:r>
          </w:p>
        </w:tc>
        <w:tc>
          <w:tcPr>
            <w:tcW w:w="280" w:type="pct"/>
            <w:vAlign w:val="center"/>
          </w:tcPr>
          <w:p w14:paraId="6C4CF85B">
            <w:pPr>
              <w:pStyle w:val="133"/>
            </w:pPr>
            <w:r>
              <w:t>0</w:t>
            </w:r>
          </w:p>
        </w:tc>
        <w:tc>
          <w:tcPr>
            <w:tcW w:w="260" w:type="pct"/>
            <w:vAlign w:val="center"/>
          </w:tcPr>
          <w:p w14:paraId="5FE0A84D">
            <w:pPr>
              <w:pStyle w:val="133"/>
            </w:pPr>
            <w:r>
              <w:t>5</w:t>
            </w:r>
          </w:p>
        </w:tc>
        <w:tc>
          <w:tcPr>
            <w:tcW w:w="291" w:type="pct"/>
            <w:vAlign w:val="center"/>
          </w:tcPr>
          <w:p w14:paraId="48A58BE1">
            <w:pPr>
              <w:pStyle w:val="133"/>
            </w:pPr>
          </w:p>
        </w:tc>
        <w:tc>
          <w:tcPr>
            <w:tcW w:w="291" w:type="pct"/>
            <w:vAlign w:val="center"/>
          </w:tcPr>
          <w:p w14:paraId="11F424E3">
            <w:pPr>
              <w:pStyle w:val="133"/>
            </w:pPr>
          </w:p>
        </w:tc>
        <w:tc>
          <w:tcPr>
            <w:tcW w:w="291" w:type="pct"/>
            <w:vAlign w:val="center"/>
          </w:tcPr>
          <w:p w14:paraId="5E37CC63">
            <w:pPr>
              <w:pStyle w:val="133"/>
            </w:pPr>
          </w:p>
        </w:tc>
        <w:tc>
          <w:tcPr>
            <w:tcW w:w="291" w:type="pct"/>
            <w:vAlign w:val="center"/>
          </w:tcPr>
          <w:p w14:paraId="1DA8ED73">
            <w:pPr>
              <w:pStyle w:val="133"/>
            </w:pPr>
          </w:p>
        </w:tc>
        <w:tc>
          <w:tcPr>
            <w:tcW w:w="291" w:type="pct"/>
            <w:vAlign w:val="center"/>
          </w:tcPr>
          <w:p w14:paraId="74AA1570">
            <w:pPr>
              <w:pStyle w:val="133"/>
            </w:pPr>
          </w:p>
        </w:tc>
        <w:tc>
          <w:tcPr>
            <w:tcW w:w="291" w:type="pct"/>
            <w:vAlign w:val="center"/>
          </w:tcPr>
          <w:p w14:paraId="3C056086">
            <w:pPr>
              <w:pStyle w:val="133"/>
            </w:pPr>
          </w:p>
        </w:tc>
        <w:tc>
          <w:tcPr>
            <w:tcW w:w="291" w:type="pct"/>
            <w:vAlign w:val="center"/>
          </w:tcPr>
          <w:p w14:paraId="3554D1D1">
            <w:pPr>
              <w:pStyle w:val="133"/>
            </w:pPr>
            <w:r>
              <w:rPr>
                <w:rFonts w:hint="eastAsia"/>
              </w:rPr>
              <w:t>0.305</w:t>
            </w:r>
          </w:p>
        </w:tc>
        <w:tc>
          <w:tcPr>
            <w:tcW w:w="291" w:type="pct"/>
            <w:vAlign w:val="center"/>
          </w:tcPr>
          <w:p w14:paraId="1202104D">
            <w:pPr>
              <w:pStyle w:val="133"/>
            </w:pPr>
          </w:p>
        </w:tc>
        <w:tc>
          <w:tcPr>
            <w:tcW w:w="291" w:type="pct"/>
            <w:vAlign w:val="center"/>
          </w:tcPr>
          <w:p w14:paraId="7438177C">
            <w:pPr>
              <w:pStyle w:val="133"/>
            </w:pPr>
          </w:p>
        </w:tc>
      </w:tr>
      <w:tr w14:paraId="1AD296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786D7083">
            <w:pPr>
              <w:pStyle w:val="133"/>
            </w:pPr>
            <w:r>
              <w:rPr>
                <w:rFonts w:hint="eastAsia"/>
                <w:color w:val="000000"/>
              </w:rPr>
              <w:t>7</w:t>
            </w:r>
          </w:p>
        </w:tc>
        <w:tc>
          <w:tcPr>
            <w:tcW w:w="656" w:type="pct"/>
            <w:vAlign w:val="center"/>
          </w:tcPr>
          <w:p w14:paraId="19825205">
            <w:pPr>
              <w:pStyle w:val="133"/>
            </w:pPr>
            <w:r>
              <w:rPr>
                <w:rFonts w:hint="eastAsia"/>
              </w:rPr>
              <w:t>污水处理站</w:t>
            </w:r>
          </w:p>
        </w:tc>
        <w:tc>
          <w:tcPr>
            <w:tcW w:w="240" w:type="pct"/>
            <w:vAlign w:val="center"/>
          </w:tcPr>
          <w:p w14:paraId="37914A2E">
            <w:pPr>
              <w:pStyle w:val="133"/>
            </w:pPr>
            <w:r>
              <w:rPr>
                <w:rFonts w:hint="eastAsia"/>
              </w:rPr>
              <w:t>-130</w:t>
            </w:r>
          </w:p>
        </w:tc>
        <w:tc>
          <w:tcPr>
            <w:tcW w:w="240" w:type="pct"/>
            <w:vAlign w:val="center"/>
          </w:tcPr>
          <w:p w14:paraId="5BD7A1AC">
            <w:pPr>
              <w:pStyle w:val="133"/>
            </w:pPr>
            <w:r>
              <w:rPr>
                <w:rFonts w:hint="eastAsia"/>
              </w:rPr>
              <w:t>195</w:t>
            </w:r>
          </w:p>
        </w:tc>
        <w:tc>
          <w:tcPr>
            <w:tcW w:w="240" w:type="pct"/>
            <w:vAlign w:val="center"/>
          </w:tcPr>
          <w:p w14:paraId="7A6230F4">
            <w:pPr>
              <w:pStyle w:val="133"/>
            </w:pPr>
            <w:r>
              <w:t>18</w:t>
            </w:r>
          </w:p>
        </w:tc>
        <w:tc>
          <w:tcPr>
            <w:tcW w:w="294" w:type="pct"/>
            <w:vAlign w:val="center"/>
          </w:tcPr>
          <w:p w14:paraId="23FCE8F1">
            <w:pPr>
              <w:pStyle w:val="133"/>
            </w:pPr>
            <w:r>
              <w:t>42</w:t>
            </w:r>
          </w:p>
        </w:tc>
        <w:tc>
          <w:tcPr>
            <w:tcW w:w="280" w:type="pct"/>
            <w:vAlign w:val="center"/>
          </w:tcPr>
          <w:p w14:paraId="38813965">
            <w:pPr>
              <w:pStyle w:val="133"/>
            </w:pPr>
            <w:r>
              <w:t>0</w:t>
            </w:r>
          </w:p>
        </w:tc>
        <w:tc>
          <w:tcPr>
            <w:tcW w:w="260" w:type="pct"/>
            <w:vAlign w:val="center"/>
          </w:tcPr>
          <w:p w14:paraId="5083BB58">
            <w:pPr>
              <w:pStyle w:val="133"/>
            </w:pPr>
            <w:r>
              <w:t>5</w:t>
            </w:r>
          </w:p>
        </w:tc>
        <w:tc>
          <w:tcPr>
            <w:tcW w:w="291" w:type="pct"/>
            <w:vAlign w:val="center"/>
          </w:tcPr>
          <w:p w14:paraId="68B70F22">
            <w:pPr>
              <w:pStyle w:val="133"/>
            </w:pPr>
          </w:p>
        </w:tc>
        <w:tc>
          <w:tcPr>
            <w:tcW w:w="291" w:type="pct"/>
            <w:vAlign w:val="center"/>
          </w:tcPr>
          <w:p w14:paraId="51CC8855">
            <w:pPr>
              <w:pStyle w:val="133"/>
            </w:pPr>
          </w:p>
        </w:tc>
        <w:tc>
          <w:tcPr>
            <w:tcW w:w="291" w:type="pct"/>
            <w:vAlign w:val="center"/>
          </w:tcPr>
          <w:p w14:paraId="2E96FDD2">
            <w:pPr>
              <w:pStyle w:val="133"/>
            </w:pPr>
          </w:p>
        </w:tc>
        <w:tc>
          <w:tcPr>
            <w:tcW w:w="291" w:type="pct"/>
            <w:vAlign w:val="center"/>
          </w:tcPr>
          <w:p w14:paraId="71942C11">
            <w:pPr>
              <w:pStyle w:val="133"/>
            </w:pPr>
          </w:p>
        </w:tc>
        <w:tc>
          <w:tcPr>
            <w:tcW w:w="291" w:type="pct"/>
            <w:vAlign w:val="center"/>
          </w:tcPr>
          <w:p w14:paraId="5C6B6CA7">
            <w:pPr>
              <w:pStyle w:val="133"/>
            </w:pPr>
          </w:p>
        </w:tc>
        <w:tc>
          <w:tcPr>
            <w:tcW w:w="291" w:type="pct"/>
            <w:vAlign w:val="center"/>
          </w:tcPr>
          <w:p w14:paraId="203432D6">
            <w:pPr>
              <w:pStyle w:val="133"/>
            </w:pPr>
          </w:p>
        </w:tc>
        <w:tc>
          <w:tcPr>
            <w:tcW w:w="291" w:type="pct"/>
            <w:vAlign w:val="center"/>
          </w:tcPr>
          <w:p w14:paraId="0D8F125D">
            <w:pPr>
              <w:pStyle w:val="133"/>
            </w:pPr>
            <w:r>
              <w:rPr>
                <w:rFonts w:hint="eastAsia"/>
              </w:rPr>
              <w:t>0.036</w:t>
            </w:r>
          </w:p>
        </w:tc>
        <w:tc>
          <w:tcPr>
            <w:tcW w:w="291" w:type="pct"/>
            <w:vAlign w:val="center"/>
          </w:tcPr>
          <w:p w14:paraId="44C02C5D">
            <w:pPr>
              <w:pStyle w:val="133"/>
            </w:pPr>
          </w:p>
        </w:tc>
        <w:tc>
          <w:tcPr>
            <w:tcW w:w="291" w:type="pct"/>
            <w:vAlign w:val="center"/>
          </w:tcPr>
          <w:p w14:paraId="1B72B691">
            <w:pPr>
              <w:pStyle w:val="133"/>
            </w:pPr>
          </w:p>
        </w:tc>
      </w:tr>
      <w:tr w14:paraId="1E06DD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1BEFB37A">
            <w:pPr>
              <w:pStyle w:val="133"/>
            </w:pPr>
            <w:r>
              <w:rPr>
                <w:rFonts w:hint="eastAsia"/>
                <w:color w:val="000000"/>
              </w:rPr>
              <w:t>8</w:t>
            </w:r>
          </w:p>
        </w:tc>
        <w:tc>
          <w:tcPr>
            <w:tcW w:w="656" w:type="pct"/>
            <w:vAlign w:val="center"/>
          </w:tcPr>
          <w:p w14:paraId="55C51EF8">
            <w:pPr>
              <w:pStyle w:val="133"/>
            </w:pPr>
            <w:r>
              <w:rPr>
                <w:rFonts w:hint="eastAsia"/>
              </w:rPr>
              <w:t>硅石球团料场</w:t>
            </w:r>
          </w:p>
        </w:tc>
        <w:tc>
          <w:tcPr>
            <w:tcW w:w="240" w:type="pct"/>
            <w:vAlign w:val="center"/>
          </w:tcPr>
          <w:p w14:paraId="0641ED29">
            <w:pPr>
              <w:pStyle w:val="133"/>
            </w:pPr>
            <w:r>
              <w:rPr>
                <w:rFonts w:hint="eastAsia"/>
              </w:rPr>
              <w:t>65</w:t>
            </w:r>
          </w:p>
        </w:tc>
        <w:tc>
          <w:tcPr>
            <w:tcW w:w="240" w:type="pct"/>
            <w:vAlign w:val="center"/>
          </w:tcPr>
          <w:p w14:paraId="2A33E1F0">
            <w:pPr>
              <w:pStyle w:val="133"/>
            </w:pPr>
            <w:r>
              <w:rPr>
                <w:rFonts w:hint="eastAsia"/>
              </w:rPr>
              <w:t>0</w:t>
            </w:r>
          </w:p>
        </w:tc>
        <w:tc>
          <w:tcPr>
            <w:tcW w:w="240" w:type="pct"/>
            <w:vAlign w:val="center"/>
          </w:tcPr>
          <w:p w14:paraId="236F75D4">
            <w:pPr>
              <w:pStyle w:val="133"/>
            </w:pPr>
            <w:r>
              <w:t>120</w:t>
            </w:r>
          </w:p>
        </w:tc>
        <w:tc>
          <w:tcPr>
            <w:tcW w:w="294" w:type="pct"/>
            <w:vAlign w:val="center"/>
          </w:tcPr>
          <w:p w14:paraId="0607FDFE">
            <w:pPr>
              <w:pStyle w:val="133"/>
            </w:pPr>
            <w:r>
              <w:t>60</w:t>
            </w:r>
          </w:p>
        </w:tc>
        <w:tc>
          <w:tcPr>
            <w:tcW w:w="280" w:type="pct"/>
            <w:vAlign w:val="center"/>
          </w:tcPr>
          <w:p w14:paraId="7BA7A0AF">
            <w:pPr>
              <w:pStyle w:val="133"/>
            </w:pPr>
            <w:r>
              <w:t>0</w:t>
            </w:r>
          </w:p>
        </w:tc>
        <w:tc>
          <w:tcPr>
            <w:tcW w:w="260" w:type="pct"/>
            <w:vAlign w:val="center"/>
          </w:tcPr>
          <w:p w14:paraId="68CC483E">
            <w:pPr>
              <w:pStyle w:val="133"/>
            </w:pPr>
            <w:r>
              <w:t>10</w:t>
            </w:r>
          </w:p>
        </w:tc>
        <w:tc>
          <w:tcPr>
            <w:tcW w:w="291" w:type="pct"/>
            <w:vAlign w:val="center"/>
          </w:tcPr>
          <w:p w14:paraId="7FFC574C">
            <w:pPr>
              <w:pStyle w:val="133"/>
            </w:pPr>
          </w:p>
        </w:tc>
        <w:tc>
          <w:tcPr>
            <w:tcW w:w="291" w:type="pct"/>
            <w:vAlign w:val="center"/>
          </w:tcPr>
          <w:p w14:paraId="0EAE0A94">
            <w:pPr>
              <w:pStyle w:val="133"/>
            </w:pPr>
          </w:p>
        </w:tc>
        <w:tc>
          <w:tcPr>
            <w:tcW w:w="291" w:type="pct"/>
            <w:vAlign w:val="center"/>
          </w:tcPr>
          <w:p w14:paraId="45D88EEE">
            <w:pPr>
              <w:pStyle w:val="133"/>
            </w:pPr>
            <w:r>
              <w:rPr>
                <w:rFonts w:hint="eastAsia"/>
                <w:color w:val="000000"/>
              </w:rPr>
              <w:t>3.01</w:t>
            </w:r>
          </w:p>
        </w:tc>
        <w:tc>
          <w:tcPr>
            <w:tcW w:w="291" w:type="pct"/>
            <w:vAlign w:val="center"/>
          </w:tcPr>
          <w:p w14:paraId="1FF01F06">
            <w:pPr>
              <w:pStyle w:val="133"/>
            </w:pPr>
          </w:p>
        </w:tc>
        <w:tc>
          <w:tcPr>
            <w:tcW w:w="291" w:type="pct"/>
            <w:vAlign w:val="center"/>
          </w:tcPr>
          <w:p w14:paraId="59E2E57F">
            <w:pPr>
              <w:pStyle w:val="133"/>
            </w:pPr>
          </w:p>
        </w:tc>
        <w:tc>
          <w:tcPr>
            <w:tcW w:w="291" w:type="pct"/>
            <w:vAlign w:val="center"/>
          </w:tcPr>
          <w:p w14:paraId="708B1B71">
            <w:pPr>
              <w:pStyle w:val="133"/>
            </w:pPr>
          </w:p>
        </w:tc>
        <w:tc>
          <w:tcPr>
            <w:tcW w:w="291" w:type="pct"/>
            <w:vAlign w:val="center"/>
          </w:tcPr>
          <w:p w14:paraId="23A8A3E1">
            <w:pPr>
              <w:pStyle w:val="133"/>
            </w:pPr>
          </w:p>
        </w:tc>
        <w:tc>
          <w:tcPr>
            <w:tcW w:w="291" w:type="pct"/>
            <w:vAlign w:val="center"/>
          </w:tcPr>
          <w:p w14:paraId="17A3C2E3">
            <w:pPr>
              <w:pStyle w:val="133"/>
            </w:pPr>
          </w:p>
        </w:tc>
        <w:tc>
          <w:tcPr>
            <w:tcW w:w="291" w:type="pct"/>
            <w:vAlign w:val="center"/>
          </w:tcPr>
          <w:p w14:paraId="00783145">
            <w:pPr>
              <w:pStyle w:val="133"/>
            </w:pPr>
          </w:p>
        </w:tc>
      </w:tr>
      <w:tr w14:paraId="1471D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0867F716">
            <w:pPr>
              <w:pStyle w:val="133"/>
            </w:pPr>
            <w:r>
              <w:rPr>
                <w:rFonts w:hint="eastAsia"/>
                <w:color w:val="000000"/>
              </w:rPr>
              <w:t>9</w:t>
            </w:r>
          </w:p>
        </w:tc>
        <w:tc>
          <w:tcPr>
            <w:tcW w:w="656" w:type="pct"/>
            <w:vAlign w:val="center"/>
          </w:tcPr>
          <w:p w14:paraId="177EB6FD">
            <w:pPr>
              <w:pStyle w:val="133"/>
            </w:pPr>
            <w:r>
              <w:rPr>
                <w:rFonts w:hint="eastAsia"/>
              </w:rPr>
              <w:t>兰炭仓</w:t>
            </w:r>
          </w:p>
        </w:tc>
        <w:tc>
          <w:tcPr>
            <w:tcW w:w="240" w:type="pct"/>
            <w:vAlign w:val="center"/>
          </w:tcPr>
          <w:p w14:paraId="733EB547">
            <w:pPr>
              <w:pStyle w:val="133"/>
            </w:pPr>
            <w:r>
              <w:rPr>
                <w:rFonts w:hint="eastAsia"/>
              </w:rPr>
              <w:t>-454</w:t>
            </w:r>
          </w:p>
        </w:tc>
        <w:tc>
          <w:tcPr>
            <w:tcW w:w="240" w:type="pct"/>
            <w:vAlign w:val="center"/>
          </w:tcPr>
          <w:p w14:paraId="47BD512D">
            <w:pPr>
              <w:pStyle w:val="133"/>
            </w:pPr>
            <w:r>
              <w:rPr>
                <w:rFonts w:hint="eastAsia"/>
              </w:rPr>
              <w:t>65</w:t>
            </w:r>
          </w:p>
        </w:tc>
        <w:tc>
          <w:tcPr>
            <w:tcW w:w="240" w:type="pct"/>
            <w:vAlign w:val="center"/>
          </w:tcPr>
          <w:p w14:paraId="44E00EA1">
            <w:pPr>
              <w:pStyle w:val="133"/>
            </w:pPr>
            <w:r>
              <w:t>82</w:t>
            </w:r>
          </w:p>
        </w:tc>
        <w:tc>
          <w:tcPr>
            <w:tcW w:w="294" w:type="pct"/>
            <w:vAlign w:val="center"/>
          </w:tcPr>
          <w:p w14:paraId="629E03D0">
            <w:pPr>
              <w:pStyle w:val="133"/>
            </w:pPr>
            <w:r>
              <w:t>98</w:t>
            </w:r>
          </w:p>
        </w:tc>
        <w:tc>
          <w:tcPr>
            <w:tcW w:w="280" w:type="pct"/>
            <w:vAlign w:val="center"/>
          </w:tcPr>
          <w:p w14:paraId="63052DC8">
            <w:pPr>
              <w:pStyle w:val="133"/>
            </w:pPr>
            <w:r>
              <w:t>0</w:t>
            </w:r>
          </w:p>
        </w:tc>
        <w:tc>
          <w:tcPr>
            <w:tcW w:w="260" w:type="pct"/>
            <w:vAlign w:val="center"/>
          </w:tcPr>
          <w:p w14:paraId="58BA4F16">
            <w:pPr>
              <w:pStyle w:val="133"/>
            </w:pPr>
            <w:r>
              <w:t>10</w:t>
            </w:r>
          </w:p>
        </w:tc>
        <w:tc>
          <w:tcPr>
            <w:tcW w:w="291" w:type="pct"/>
            <w:vAlign w:val="center"/>
          </w:tcPr>
          <w:p w14:paraId="7E78DB60">
            <w:pPr>
              <w:pStyle w:val="133"/>
            </w:pPr>
          </w:p>
        </w:tc>
        <w:tc>
          <w:tcPr>
            <w:tcW w:w="291" w:type="pct"/>
            <w:vAlign w:val="center"/>
          </w:tcPr>
          <w:p w14:paraId="7D84F0A6">
            <w:pPr>
              <w:pStyle w:val="133"/>
            </w:pPr>
          </w:p>
        </w:tc>
        <w:tc>
          <w:tcPr>
            <w:tcW w:w="291" w:type="pct"/>
            <w:vAlign w:val="center"/>
          </w:tcPr>
          <w:p w14:paraId="70111D64">
            <w:pPr>
              <w:pStyle w:val="133"/>
            </w:pPr>
            <w:r>
              <w:rPr>
                <w:rFonts w:hint="eastAsia"/>
                <w:color w:val="000000"/>
              </w:rPr>
              <w:t>3.24</w:t>
            </w:r>
          </w:p>
        </w:tc>
        <w:tc>
          <w:tcPr>
            <w:tcW w:w="291" w:type="pct"/>
            <w:vAlign w:val="center"/>
          </w:tcPr>
          <w:p w14:paraId="5BA186BA">
            <w:pPr>
              <w:pStyle w:val="133"/>
            </w:pPr>
          </w:p>
        </w:tc>
        <w:tc>
          <w:tcPr>
            <w:tcW w:w="291" w:type="pct"/>
            <w:vAlign w:val="center"/>
          </w:tcPr>
          <w:p w14:paraId="5EBA8215">
            <w:pPr>
              <w:pStyle w:val="133"/>
            </w:pPr>
          </w:p>
        </w:tc>
        <w:tc>
          <w:tcPr>
            <w:tcW w:w="291" w:type="pct"/>
            <w:vAlign w:val="center"/>
          </w:tcPr>
          <w:p w14:paraId="341D4AC7">
            <w:pPr>
              <w:pStyle w:val="133"/>
            </w:pPr>
          </w:p>
        </w:tc>
        <w:tc>
          <w:tcPr>
            <w:tcW w:w="291" w:type="pct"/>
            <w:vAlign w:val="center"/>
          </w:tcPr>
          <w:p w14:paraId="62CA8464">
            <w:pPr>
              <w:pStyle w:val="133"/>
            </w:pPr>
          </w:p>
        </w:tc>
        <w:tc>
          <w:tcPr>
            <w:tcW w:w="291" w:type="pct"/>
            <w:vAlign w:val="center"/>
          </w:tcPr>
          <w:p w14:paraId="0E45D0D7">
            <w:pPr>
              <w:pStyle w:val="133"/>
            </w:pPr>
          </w:p>
        </w:tc>
        <w:tc>
          <w:tcPr>
            <w:tcW w:w="291" w:type="pct"/>
            <w:vAlign w:val="center"/>
          </w:tcPr>
          <w:p w14:paraId="276979C9">
            <w:pPr>
              <w:pStyle w:val="133"/>
            </w:pPr>
          </w:p>
        </w:tc>
      </w:tr>
      <w:tr w14:paraId="74C16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6E74A87C">
            <w:pPr>
              <w:pStyle w:val="133"/>
            </w:pPr>
            <w:r>
              <w:rPr>
                <w:rFonts w:hint="eastAsia"/>
                <w:color w:val="000000"/>
              </w:rPr>
              <w:t>10</w:t>
            </w:r>
          </w:p>
        </w:tc>
        <w:tc>
          <w:tcPr>
            <w:tcW w:w="656" w:type="pct"/>
            <w:vAlign w:val="center"/>
          </w:tcPr>
          <w:p w14:paraId="0C7088A6">
            <w:pPr>
              <w:pStyle w:val="133"/>
            </w:pPr>
            <w:r>
              <w:rPr>
                <w:rFonts w:hint="eastAsia"/>
              </w:rPr>
              <w:t>配料上料间</w:t>
            </w:r>
          </w:p>
        </w:tc>
        <w:tc>
          <w:tcPr>
            <w:tcW w:w="240" w:type="pct"/>
            <w:vAlign w:val="center"/>
          </w:tcPr>
          <w:p w14:paraId="5436F57C">
            <w:pPr>
              <w:pStyle w:val="133"/>
            </w:pPr>
            <w:r>
              <w:rPr>
                <w:rFonts w:hint="eastAsia"/>
              </w:rPr>
              <w:t>454</w:t>
            </w:r>
          </w:p>
        </w:tc>
        <w:tc>
          <w:tcPr>
            <w:tcW w:w="240" w:type="pct"/>
            <w:vAlign w:val="center"/>
          </w:tcPr>
          <w:p w14:paraId="5B748431">
            <w:pPr>
              <w:pStyle w:val="133"/>
            </w:pPr>
            <w:r>
              <w:rPr>
                <w:rFonts w:hint="eastAsia"/>
              </w:rPr>
              <w:t>0</w:t>
            </w:r>
          </w:p>
        </w:tc>
        <w:tc>
          <w:tcPr>
            <w:tcW w:w="240" w:type="pct"/>
            <w:vAlign w:val="center"/>
          </w:tcPr>
          <w:p w14:paraId="20002617">
            <w:pPr>
              <w:pStyle w:val="133"/>
            </w:pPr>
            <w:r>
              <w:t>35</w:t>
            </w:r>
          </w:p>
        </w:tc>
        <w:tc>
          <w:tcPr>
            <w:tcW w:w="294" w:type="pct"/>
            <w:vAlign w:val="center"/>
          </w:tcPr>
          <w:p w14:paraId="40C21579">
            <w:pPr>
              <w:pStyle w:val="133"/>
            </w:pPr>
            <w:r>
              <w:t>10</w:t>
            </w:r>
          </w:p>
        </w:tc>
        <w:tc>
          <w:tcPr>
            <w:tcW w:w="280" w:type="pct"/>
            <w:vAlign w:val="center"/>
          </w:tcPr>
          <w:p w14:paraId="70BEA9FB">
            <w:pPr>
              <w:pStyle w:val="133"/>
            </w:pPr>
            <w:r>
              <w:t>0</w:t>
            </w:r>
          </w:p>
        </w:tc>
        <w:tc>
          <w:tcPr>
            <w:tcW w:w="260" w:type="pct"/>
            <w:vAlign w:val="center"/>
          </w:tcPr>
          <w:p w14:paraId="5D8BF905">
            <w:pPr>
              <w:pStyle w:val="133"/>
            </w:pPr>
            <w:r>
              <w:t>10</w:t>
            </w:r>
          </w:p>
        </w:tc>
        <w:tc>
          <w:tcPr>
            <w:tcW w:w="291" w:type="pct"/>
            <w:vAlign w:val="center"/>
          </w:tcPr>
          <w:p w14:paraId="5DDD11F3">
            <w:pPr>
              <w:pStyle w:val="133"/>
            </w:pPr>
          </w:p>
        </w:tc>
        <w:tc>
          <w:tcPr>
            <w:tcW w:w="291" w:type="pct"/>
            <w:vAlign w:val="center"/>
          </w:tcPr>
          <w:p w14:paraId="05068F04">
            <w:pPr>
              <w:pStyle w:val="133"/>
            </w:pPr>
          </w:p>
        </w:tc>
        <w:tc>
          <w:tcPr>
            <w:tcW w:w="291" w:type="pct"/>
            <w:vAlign w:val="center"/>
          </w:tcPr>
          <w:p w14:paraId="67A949F8">
            <w:pPr>
              <w:pStyle w:val="133"/>
            </w:pPr>
            <w:r>
              <w:rPr>
                <w:rFonts w:hint="eastAsia"/>
                <w:color w:val="000000"/>
              </w:rPr>
              <w:t>0.02</w:t>
            </w:r>
          </w:p>
        </w:tc>
        <w:tc>
          <w:tcPr>
            <w:tcW w:w="291" w:type="pct"/>
            <w:vAlign w:val="center"/>
          </w:tcPr>
          <w:p w14:paraId="64878DCD">
            <w:pPr>
              <w:pStyle w:val="133"/>
            </w:pPr>
          </w:p>
        </w:tc>
        <w:tc>
          <w:tcPr>
            <w:tcW w:w="291" w:type="pct"/>
            <w:vAlign w:val="center"/>
          </w:tcPr>
          <w:p w14:paraId="3F57E217">
            <w:pPr>
              <w:pStyle w:val="133"/>
            </w:pPr>
          </w:p>
        </w:tc>
        <w:tc>
          <w:tcPr>
            <w:tcW w:w="291" w:type="pct"/>
            <w:vAlign w:val="center"/>
          </w:tcPr>
          <w:p w14:paraId="2989666C">
            <w:pPr>
              <w:pStyle w:val="133"/>
            </w:pPr>
          </w:p>
        </w:tc>
        <w:tc>
          <w:tcPr>
            <w:tcW w:w="291" w:type="pct"/>
            <w:vAlign w:val="center"/>
          </w:tcPr>
          <w:p w14:paraId="172AFD73">
            <w:pPr>
              <w:pStyle w:val="133"/>
            </w:pPr>
          </w:p>
        </w:tc>
        <w:tc>
          <w:tcPr>
            <w:tcW w:w="291" w:type="pct"/>
            <w:vAlign w:val="center"/>
          </w:tcPr>
          <w:p w14:paraId="6749F1CD">
            <w:pPr>
              <w:pStyle w:val="133"/>
            </w:pPr>
          </w:p>
        </w:tc>
        <w:tc>
          <w:tcPr>
            <w:tcW w:w="291" w:type="pct"/>
            <w:vAlign w:val="center"/>
          </w:tcPr>
          <w:p w14:paraId="1ACE3B30">
            <w:pPr>
              <w:pStyle w:val="133"/>
            </w:pPr>
          </w:p>
        </w:tc>
      </w:tr>
      <w:tr w14:paraId="0AF28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39CB1204">
            <w:pPr>
              <w:pStyle w:val="133"/>
            </w:pPr>
            <w:r>
              <w:rPr>
                <w:rFonts w:hint="eastAsia"/>
                <w:color w:val="000000"/>
              </w:rPr>
              <w:t>11</w:t>
            </w:r>
          </w:p>
        </w:tc>
        <w:tc>
          <w:tcPr>
            <w:tcW w:w="656" w:type="pct"/>
            <w:vAlign w:val="center"/>
          </w:tcPr>
          <w:p w14:paraId="3E7EE3AB">
            <w:pPr>
              <w:pStyle w:val="133"/>
            </w:pPr>
            <w:r>
              <w:rPr>
                <w:rFonts w:hint="eastAsia"/>
              </w:rPr>
              <w:t>冶炼车间</w:t>
            </w:r>
          </w:p>
        </w:tc>
        <w:tc>
          <w:tcPr>
            <w:tcW w:w="240" w:type="pct"/>
            <w:vAlign w:val="center"/>
          </w:tcPr>
          <w:p w14:paraId="24F0E426">
            <w:pPr>
              <w:pStyle w:val="133"/>
            </w:pPr>
            <w:r>
              <w:rPr>
                <w:rFonts w:hint="eastAsia"/>
              </w:rPr>
              <w:t>454</w:t>
            </w:r>
          </w:p>
        </w:tc>
        <w:tc>
          <w:tcPr>
            <w:tcW w:w="240" w:type="pct"/>
            <w:vAlign w:val="center"/>
          </w:tcPr>
          <w:p w14:paraId="486D5527">
            <w:pPr>
              <w:pStyle w:val="133"/>
            </w:pPr>
            <w:r>
              <w:rPr>
                <w:rFonts w:hint="eastAsia"/>
              </w:rPr>
              <w:t>-33</w:t>
            </w:r>
          </w:p>
        </w:tc>
        <w:tc>
          <w:tcPr>
            <w:tcW w:w="240" w:type="pct"/>
            <w:vAlign w:val="center"/>
          </w:tcPr>
          <w:p w14:paraId="2568A0B9">
            <w:pPr>
              <w:pStyle w:val="133"/>
            </w:pPr>
            <w:r>
              <w:t>37</w:t>
            </w:r>
          </w:p>
        </w:tc>
        <w:tc>
          <w:tcPr>
            <w:tcW w:w="294" w:type="pct"/>
            <w:vAlign w:val="center"/>
          </w:tcPr>
          <w:p w14:paraId="39EA8DBC">
            <w:pPr>
              <w:pStyle w:val="133"/>
            </w:pPr>
            <w:r>
              <w:t>80</w:t>
            </w:r>
          </w:p>
        </w:tc>
        <w:tc>
          <w:tcPr>
            <w:tcW w:w="280" w:type="pct"/>
            <w:vAlign w:val="center"/>
          </w:tcPr>
          <w:p w14:paraId="764C256F">
            <w:pPr>
              <w:pStyle w:val="133"/>
            </w:pPr>
            <w:r>
              <w:t>0</w:t>
            </w:r>
          </w:p>
        </w:tc>
        <w:tc>
          <w:tcPr>
            <w:tcW w:w="260" w:type="pct"/>
            <w:vAlign w:val="center"/>
          </w:tcPr>
          <w:p w14:paraId="6244FFBE">
            <w:pPr>
              <w:pStyle w:val="133"/>
            </w:pPr>
            <w:r>
              <w:t>10</w:t>
            </w:r>
          </w:p>
        </w:tc>
        <w:tc>
          <w:tcPr>
            <w:tcW w:w="291" w:type="pct"/>
            <w:vAlign w:val="center"/>
          </w:tcPr>
          <w:p w14:paraId="0C1415EF">
            <w:pPr>
              <w:pStyle w:val="133"/>
            </w:pPr>
            <w:r>
              <w:rPr>
                <w:rFonts w:hint="eastAsia"/>
              </w:rPr>
              <w:t>7.75</w:t>
            </w:r>
          </w:p>
        </w:tc>
        <w:tc>
          <w:tcPr>
            <w:tcW w:w="291" w:type="pct"/>
            <w:vAlign w:val="center"/>
          </w:tcPr>
          <w:p w14:paraId="799A399A">
            <w:pPr>
              <w:pStyle w:val="133"/>
            </w:pPr>
            <w:r>
              <w:rPr>
                <w:rFonts w:hint="eastAsia"/>
              </w:rPr>
              <w:t>1.404</w:t>
            </w:r>
          </w:p>
        </w:tc>
        <w:tc>
          <w:tcPr>
            <w:tcW w:w="291" w:type="pct"/>
            <w:vAlign w:val="center"/>
          </w:tcPr>
          <w:p w14:paraId="2CA0C999">
            <w:pPr>
              <w:pStyle w:val="133"/>
            </w:pPr>
            <w:r>
              <w:rPr>
                <w:rFonts w:hint="eastAsia"/>
              </w:rPr>
              <w:t>0.78</w:t>
            </w:r>
          </w:p>
        </w:tc>
        <w:tc>
          <w:tcPr>
            <w:tcW w:w="291" w:type="pct"/>
            <w:vAlign w:val="center"/>
          </w:tcPr>
          <w:p w14:paraId="2F62C7C7">
            <w:pPr>
              <w:pStyle w:val="133"/>
            </w:pPr>
          </w:p>
        </w:tc>
        <w:tc>
          <w:tcPr>
            <w:tcW w:w="291" w:type="pct"/>
            <w:vAlign w:val="center"/>
          </w:tcPr>
          <w:p w14:paraId="7B96E4EC">
            <w:pPr>
              <w:pStyle w:val="133"/>
            </w:pPr>
          </w:p>
        </w:tc>
        <w:tc>
          <w:tcPr>
            <w:tcW w:w="291" w:type="pct"/>
            <w:vAlign w:val="center"/>
          </w:tcPr>
          <w:p w14:paraId="66D92473">
            <w:pPr>
              <w:pStyle w:val="133"/>
            </w:pPr>
          </w:p>
        </w:tc>
        <w:tc>
          <w:tcPr>
            <w:tcW w:w="291" w:type="pct"/>
            <w:vAlign w:val="center"/>
          </w:tcPr>
          <w:p w14:paraId="33582D37">
            <w:pPr>
              <w:pStyle w:val="133"/>
            </w:pPr>
          </w:p>
        </w:tc>
        <w:tc>
          <w:tcPr>
            <w:tcW w:w="291" w:type="pct"/>
            <w:vAlign w:val="center"/>
          </w:tcPr>
          <w:p w14:paraId="58CB5DDD">
            <w:pPr>
              <w:pStyle w:val="133"/>
            </w:pPr>
          </w:p>
        </w:tc>
        <w:tc>
          <w:tcPr>
            <w:tcW w:w="291" w:type="pct"/>
            <w:vAlign w:val="center"/>
          </w:tcPr>
          <w:p w14:paraId="0CDCBAAF">
            <w:pPr>
              <w:pStyle w:val="133"/>
            </w:pPr>
          </w:p>
        </w:tc>
      </w:tr>
      <w:tr w14:paraId="2D8FF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14F53C68">
            <w:pPr>
              <w:pStyle w:val="133"/>
            </w:pPr>
            <w:r>
              <w:rPr>
                <w:rFonts w:hint="eastAsia"/>
                <w:color w:val="000000"/>
              </w:rPr>
              <w:t>12</w:t>
            </w:r>
          </w:p>
        </w:tc>
        <w:tc>
          <w:tcPr>
            <w:tcW w:w="656" w:type="pct"/>
            <w:vAlign w:val="center"/>
          </w:tcPr>
          <w:p w14:paraId="1F1B0FCA">
            <w:pPr>
              <w:pStyle w:val="133"/>
            </w:pPr>
            <w:r>
              <w:rPr>
                <w:rFonts w:hint="eastAsia"/>
              </w:rPr>
              <w:t>铸造车间</w:t>
            </w:r>
          </w:p>
        </w:tc>
        <w:tc>
          <w:tcPr>
            <w:tcW w:w="240" w:type="pct"/>
            <w:vAlign w:val="center"/>
          </w:tcPr>
          <w:p w14:paraId="6C398016">
            <w:pPr>
              <w:pStyle w:val="133"/>
            </w:pPr>
            <w:r>
              <w:rPr>
                <w:rFonts w:hint="eastAsia"/>
              </w:rPr>
              <w:t>130</w:t>
            </w:r>
          </w:p>
        </w:tc>
        <w:tc>
          <w:tcPr>
            <w:tcW w:w="240" w:type="pct"/>
            <w:vAlign w:val="center"/>
          </w:tcPr>
          <w:p w14:paraId="74F3C5AC">
            <w:pPr>
              <w:pStyle w:val="133"/>
            </w:pPr>
            <w:r>
              <w:rPr>
                <w:rFonts w:hint="eastAsia"/>
              </w:rPr>
              <w:t>65</w:t>
            </w:r>
          </w:p>
        </w:tc>
        <w:tc>
          <w:tcPr>
            <w:tcW w:w="240" w:type="pct"/>
            <w:vAlign w:val="center"/>
          </w:tcPr>
          <w:p w14:paraId="46F35716">
            <w:pPr>
              <w:pStyle w:val="133"/>
            </w:pPr>
            <w:r>
              <w:t>80</w:t>
            </w:r>
          </w:p>
        </w:tc>
        <w:tc>
          <w:tcPr>
            <w:tcW w:w="294" w:type="pct"/>
            <w:vAlign w:val="center"/>
          </w:tcPr>
          <w:p w14:paraId="0060CDB9">
            <w:pPr>
              <w:pStyle w:val="133"/>
            </w:pPr>
            <w:r>
              <w:t>57</w:t>
            </w:r>
          </w:p>
        </w:tc>
        <w:tc>
          <w:tcPr>
            <w:tcW w:w="280" w:type="pct"/>
            <w:vAlign w:val="center"/>
          </w:tcPr>
          <w:p w14:paraId="1CC0E6CF">
            <w:pPr>
              <w:pStyle w:val="133"/>
            </w:pPr>
            <w:r>
              <w:t>0</w:t>
            </w:r>
          </w:p>
        </w:tc>
        <w:tc>
          <w:tcPr>
            <w:tcW w:w="260" w:type="pct"/>
            <w:vAlign w:val="center"/>
          </w:tcPr>
          <w:p w14:paraId="2F635A4F">
            <w:pPr>
              <w:pStyle w:val="133"/>
            </w:pPr>
            <w:r>
              <w:t>10</w:t>
            </w:r>
          </w:p>
        </w:tc>
        <w:tc>
          <w:tcPr>
            <w:tcW w:w="291" w:type="pct"/>
            <w:vAlign w:val="center"/>
          </w:tcPr>
          <w:p w14:paraId="118C5907">
            <w:pPr>
              <w:pStyle w:val="133"/>
            </w:pPr>
          </w:p>
        </w:tc>
        <w:tc>
          <w:tcPr>
            <w:tcW w:w="291" w:type="pct"/>
            <w:vAlign w:val="center"/>
          </w:tcPr>
          <w:p w14:paraId="50400A3A">
            <w:pPr>
              <w:pStyle w:val="133"/>
            </w:pPr>
          </w:p>
        </w:tc>
        <w:tc>
          <w:tcPr>
            <w:tcW w:w="291" w:type="pct"/>
            <w:vAlign w:val="center"/>
          </w:tcPr>
          <w:p w14:paraId="43D5451C">
            <w:pPr>
              <w:pStyle w:val="133"/>
            </w:pPr>
            <w:r>
              <w:rPr>
                <w:rFonts w:hint="eastAsia"/>
                <w:color w:val="000000"/>
              </w:rPr>
              <w:t>0.04</w:t>
            </w:r>
          </w:p>
        </w:tc>
        <w:tc>
          <w:tcPr>
            <w:tcW w:w="291" w:type="pct"/>
            <w:vAlign w:val="center"/>
          </w:tcPr>
          <w:p w14:paraId="67C92E8B">
            <w:pPr>
              <w:pStyle w:val="133"/>
            </w:pPr>
          </w:p>
        </w:tc>
        <w:tc>
          <w:tcPr>
            <w:tcW w:w="291" w:type="pct"/>
            <w:vAlign w:val="center"/>
          </w:tcPr>
          <w:p w14:paraId="2C0B6F80">
            <w:pPr>
              <w:pStyle w:val="133"/>
            </w:pPr>
          </w:p>
        </w:tc>
        <w:tc>
          <w:tcPr>
            <w:tcW w:w="291" w:type="pct"/>
            <w:vAlign w:val="center"/>
          </w:tcPr>
          <w:p w14:paraId="4DC155A5">
            <w:pPr>
              <w:pStyle w:val="133"/>
            </w:pPr>
          </w:p>
        </w:tc>
        <w:tc>
          <w:tcPr>
            <w:tcW w:w="291" w:type="pct"/>
            <w:vAlign w:val="center"/>
          </w:tcPr>
          <w:p w14:paraId="0CFF741C">
            <w:pPr>
              <w:pStyle w:val="133"/>
            </w:pPr>
          </w:p>
        </w:tc>
        <w:tc>
          <w:tcPr>
            <w:tcW w:w="291" w:type="pct"/>
            <w:vAlign w:val="center"/>
          </w:tcPr>
          <w:p w14:paraId="3F160F7E">
            <w:pPr>
              <w:pStyle w:val="133"/>
            </w:pPr>
          </w:p>
        </w:tc>
        <w:tc>
          <w:tcPr>
            <w:tcW w:w="291" w:type="pct"/>
            <w:vAlign w:val="center"/>
          </w:tcPr>
          <w:p w14:paraId="4C5D2CE4">
            <w:pPr>
              <w:pStyle w:val="133"/>
            </w:pPr>
          </w:p>
        </w:tc>
      </w:tr>
      <w:tr w14:paraId="00337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06378BA9">
            <w:pPr>
              <w:pStyle w:val="133"/>
            </w:pPr>
            <w:r>
              <w:rPr>
                <w:rFonts w:hint="eastAsia"/>
                <w:color w:val="000000"/>
              </w:rPr>
              <w:t>13</w:t>
            </w:r>
          </w:p>
        </w:tc>
        <w:tc>
          <w:tcPr>
            <w:tcW w:w="656" w:type="pct"/>
            <w:vAlign w:val="center"/>
          </w:tcPr>
          <w:p w14:paraId="1BF59801">
            <w:pPr>
              <w:pStyle w:val="133"/>
            </w:pPr>
            <w:r>
              <w:rPr>
                <w:rFonts w:hint="eastAsia"/>
              </w:rPr>
              <w:t>成品破碎车间</w:t>
            </w:r>
          </w:p>
        </w:tc>
        <w:tc>
          <w:tcPr>
            <w:tcW w:w="240" w:type="pct"/>
            <w:vAlign w:val="center"/>
          </w:tcPr>
          <w:p w14:paraId="37D52E63">
            <w:pPr>
              <w:pStyle w:val="133"/>
            </w:pPr>
            <w:r>
              <w:rPr>
                <w:rFonts w:hint="eastAsia"/>
              </w:rPr>
              <w:t>80</w:t>
            </w:r>
          </w:p>
        </w:tc>
        <w:tc>
          <w:tcPr>
            <w:tcW w:w="240" w:type="pct"/>
            <w:vAlign w:val="center"/>
          </w:tcPr>
          <w:p w14:paraId="08616582">
            <w:pPr>
              <w:pStyle w:val="133"/>
            </w:pPr>
            <w:r>
              <w:rPr>
                <w:rFonts w:hint="eastAsia"/>
              </w:rPr>
              <w:t>65</w:t>
            </w:r>
          </w:p>
        </w:tc>
        <w:tc>
          <w:tcPr>
            <w:tcW w:w="240" w:type="pct"/>
            <w:vAlign w:val="center"/>
          </w:tcPr>
          <w:p w14:paraId="1B7FE207">
            <w:pPr>
              <w:pStyle w:val="133"/>
            </w:pPr>
            <w:r>
              <w:t>20</w:t>
            </w:r>
          </w:p>
        </w:tc>
        <w:tc>
          <w:tcPr>
            <w:tcW w:w="294" w:type="pct"/>
            <w:vAlign w:val="center"/>
          </w:tcPr>
          <w:p w14:paraId="140EEA0E">
            <w:pPr>
              <w:pStyle w:val="133"/>
            </w:pPr>
            <w:r>
              <w:t>25</w:t>
            </w:r>
          </w:p>
        </w:tc>
        <w:tc>
          <w:tcPr>
            <w:tcW w:w="280" w:type="pct"/>
            <w:vAlign w:val="center"/>
          </w:tcPr>
          <w:p w14:paraId="1B35E7D1">
            <w:pPr>
              <w:pStyle w:val="133"/>
            </w:pPr>
            <w:r>
              <w:t>0</w:t>
            </w:r>
          </w:p>
        </w:tc>
        <w:tc>
          <w:tcPr>
            <w:tcW w:w="260" w:type="pct"/>
            <w:vAlign w:val="center"/>
          </w:tcPr>
          <w:p w14:paraId="7E0AF066">
            <w:pPr>
              <w:pStyle w:val="133"/>
            </w:pPr>
            <w:r>
              <w:t>10</w:t>
            </w:r>
          </w:p>
        </w:tc>
        <w:tc>
          <w:tcPr>
            <w:tcW w:w="291" w:type="pct"/>
            <w:vAlign w:val="center"/>
          </w:tcPr>
          <w:p w14:paraId="04B57118">
            <w:pPr>
              <w:pStyle w:val="133"/>
            </w:pPr>
          </w:p>
        </w:tc>
        <w:tc>
          <w:tcPr>
            <w:tcW w:w="291" w:type="pct"/>
            <w:vAlign w:val="center"/>
          </w:tcPr>
          <w:p w14:paraId="3FC058E5">
            <w:pPr>
              <w:pStyle w:val="133"/>
            </w:pPr>
          </w:p>
        </w:tc>
        <w:tc>
          <w:tcPr>
            <w:tcW w:w="291" w:type="pct"/>
            <w:vAlign w:val="center"/>
          </w:tcPr>
          <w:p w14:paraId="511F255A">
            <w:pPr>
              <w:pStyle w:val="133"/>
            </w:pPr>
            <w:r>
              <w:rPr>
                <w:rFonts w:hint="eastAsia"/>
                <w:color w:val="000000"/>
              </w:rPr>
              <w:t>0.003</w:t>
            </w:r>
          </w:p>
        </w:tc>
        <w:tc>
          <w:tcPr>
            <w:tcW w:w="291" w:type="pct"/>
            <w:vAlign w:val="center"/>
          </w:tcPr>
          <w:p w14:paraId="32E8D792">
            <w:pPr>
              <w:pStyle w:val="133"/>
            </w:pPr>
          </w:p>
        </w:tc>
        <w:tc>
          <w:tcPr>
            <w:tcW w:w="291" w:type="pct"/>
            <w:vAlign w:val="center"/>
          </w:tcPr>
          <w:p w14:paraId="29A2C8C4">
            <w:pPr>
              <w:pStyle w:val="133"/>
            </w:pPr>
          </w:p>
        </w:tc>
        <w:tc>
          <w:tcPr>
            <w:tcW w:w="291" w:type="pct"/>
            <w:vAlign w:val="center"/>
          </w:tcPr>
          <w:p w14:paraId="64FCE10A">
            <w:pPr>
              <w:pStyle w:val="133"/>
            </w:pPr>
          </w:p>
        </w:tc>
        <w:tc>
          <w:tcPr>
            <w:tcW w:w="291" w:type="pct"/>
            <w:vAlign w:val="center"/>
          </w:tcPr>
          <w:p w14:paraId="545234AB">
            <w:pPr>
              <w:pStyle w:val="133"/>
            </w:pPr>
          </w:p>
        </w:tc>
        <w:tc>
          <w:tcPr>
            <w:tcW w:w="291" w:type="pct"/>
            <w:vAlign w:val="center"/>
          </w:tcPr>
          <w:p w14:paraId="70BB5D82">
            <w:pPr>
              <w:pStyle w:val="133"/>
            </w:pPr>
          </w:p>
        </w:tc>
        <w:tc>
          <w:tcPr>
            <w:tcW w:w="291" w:type="pct"/>
            <w:vAlign w:val="center"/>
          </w:tcPr>
          <w:p w14:paraId="5EFF38D0">
            <w:pPr>
              <w:pStyle w:val="133"/>
            </w:pPr>
          </w:p>
        </w:tc>
      </w:tr>
    </w:tbl>
    <w:p w14:paraId="0CFFE188">
      <w:pPr>
        <w:pStyle w:val="133"/>
      </w:pPr>
    </w:p>
    <w:p w14:paraId="2E14F253">
      <w:pPr>
        <w:pStyle w:val="133"/>
      </w:pPr>
    </w:p>
    <w:p w14:paraId="62F07B83">
      <w:pPr>
        <w:pStyle w:val="133"/>
      </w:pPr>
    </w:p>
    <w:p w14:paraId="46C01026">
      <w:pPr>
        <w:pStyle w:val="133"/>
      </w:pPr>
    </w:p>
    <w:p w14:paraId="7C87BEEF">
      <w:pPr>
        <w:pStyle w:val="133"/>
      </w:pPr>
    </w:p>
    <w:p w14:paraId="7AA9F949">
      <w:pPr>
        <w:pStyle w:val="133"/>
      </w:pPr>
    </w:p>
    <w:p w14:paraId="4F7BE271">
      <w:pPr>
        <w:pStyle w:val="118"/>
      </w:pPr>
      <w:r>
        <w:t>表</w:t>
      </w:r>
      <w:r>
        <w:rPr>
          <w:rFonts w:hint="eastAsia"/>
        </w:rPr>
        <w:t>1.4</w:t>
      </w:r>
      <w:r>
        <w:t>-5  废气污染物落地浓度估算结果</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1"/>
        <w:gridCol w:w="1467"/>
        <w:gridCol w:w="777"/>
        <w:gridCol w:w="742"/>
        <w:gridCol w:w="742"/>
        <w:gridCol w:w="835"/>
        <w:gridCol w:w="939"/>
        <w:gridCol w:w="835"/>
        <w:gridCol w:w="874"/>
        <w:gridCol w:w="907"/>
        <w:gridCol w:w="835"/>
        <w:gridCol w:w="795"/>
        <w:gridCol w:w="835"/>
        <w:gridCol w:w="1075"/>
        <w:gridCol w:w="835"/>
        <w:gridCol w:w="1054"/>
      </w:tblGrid>
      <w:tr w14:paraId="58739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jc w:val="center"/>
        </w:trPr>
        <w:tc>
          <w:tcPr>
            <w:tcW w:w="0" w:type="auto"/>
            <w:noWrap/>
            <w:vAlign w:val="center"/>
          </w:tcPr>
          <w:p w14:paraId="5EAAE031">
            <w:pPr>
              <w:pStyle w:val="133"/>
              <w:rPr>
                <w:b/>
                <w:bCs/>
                <w:sz w:val="18"/>
                <w:szCs w:val="18"/>
              </w:rPr>
            </w:pPr>
            <w:r>
              <w:rPr>
                <w:rFonts w:hint="eastAsia"/>
                <w:b/>
                <w:bCs/>
                <w:sz w:val="18"/>
                <w:szCs w:val="18"/>
              </w:rPr>
              <w:t>序号</w:t>
            </w:r>
          </w:p>
        </w:tc>
        <w:tc>
          <w:tcPr>
            <w:tcW w:w="0" w:type="auto"/>
            <w:noWrap/>
            <w:vAlign w:val="center"/>
          </w:tcPr>
          <w:p w14:paraId="5C679B27">
            <w:pPr>
              <w:pStyle w:val="133"/>
              <w:rPr>
                <w:b/>
                <w:bCs/>
                <w:sz w:val="18"/>
                <w:szCs w:val="18"/>
              </w:rPr>
            </w:pPr>
            <w:r>
              <w:rPr>
                <w:rFonts w:hint="eastAsia"/>
                <w:b/>
                <w:bCs/>
                <w:sz w:val="18"/>
                <w:szCs w:val="18"/>
              </w:rPr>
              <w:t>污染源名称</w:t>
            </w:r>
          </w:p>
        </w:tc>
        <w:tc>
          <w:tcPr>
            <w:tcW w:w="0" w:type="auto"/>
            <w:noWrap/>
            <w:vAlign w:val="center"/>
          </w:tcPr>
          <w:p w14:paraId="0DB821D4">
            <w:pPr>
              <w:pStyle w:val="133"/>
              <w:rPr>
                <w:b/>
                <w:bCs/>
                <w:sz w:val="18"/>
                <w:szCs w:val="18"/>
              </w:rPr>
            </w:pPr>
            <w:r>
              <w:rPr>
                <w:rFonts w:hint="eastAsia"/>
                <w:b/>
                <w:bCs/>
                <w:sz w:val="18"/>
                <w:szCs w:val="18"/>
              </w:rPr>
              <w:t>方位</w:t>
            </w:r>
          </w:p>
          <w:p w14:paraId="6BF682C0">
            <w:pPr>
              <w:pStyle w:val="133"/>
              <w:rPr>
                <w:b/>
                <w:bCs/>
                <w:sz w:val="18"/>
                <w:szCs w:val="18"/>
              </w:rPr>
            </w:pPr>
            <w:r>
              <w:rPr>
                <w:rFonts w:hint="eastAsia"/>
                <w:b/>
                <w:bCs/>
                <w:sz w:val="18"/>
                <w:szCs w:val="18"/>
              </w:rPr>
              <w:t>角度(度)</w:t>
            </w:r>
          </w:p>
        </w:tc>
        <w:tc>
          <w:tcPr>
            <w:tcW w:w="0" w:type="auto"/>
            <w:noWrap/>
            <w:vAlign w:val="center"/>
          </w:tcPr>
          <w:p w14:paraId="6B02FD8D">
            <w:pPr>
              <w:pStyle w:val="133"/>
              <w:rPr>
                <w:b/>
                <w:bCs/>
                <w:sz w:val="18"/>
                <w:szCs w:val="18"/>
              </w:rPr>
            </w:pPr>
            <w:r>
              <w:rPr>
                <w:rFonts w:hint="eastAsia"/>
                <w:b/>
                <w:bCs/>
                <w:sz w:val="18"/>
                <w:szCs w:val="18"/>
              </w:rPr>
              <w:t>离源</w:t>
            </w:r>
          </w:p>
          <w:p w14:paraId="6CC60986">
            <w:pPr>
              <w:pStyle w:val="133"/>
              <w:rPr>
                <w:b/>
                <w:bCs/>
                <w:sz w:val="18"/>
                <w:szCs w:val="18"/>
              </w:rPr>
            </w:pPr>
            <w:r>
              <w:rPr>
                <w:rFonts w:hint="eastAsia"/>
                <w:b/>
                <w:bCs/>
                <w:sz w:val="18"/>
                <w:szCs w:val="18"/>
              </w:rPr>
              <w:t>距离(m)</w:t>
            </w:r>
          </w:p>
        </w:tc>
        <w:tc>
          <w:tcPr>
            <w:tcW w:w="0" w:type="auto"/>
            <w:noWrap/>
            <w:vAlign w:val="center"/>
          </w:tcPr>
          <w:p w14:paraId="04684AE6">
            <w:pPr>
              <w:pStyle w:val="133"/>
              <w:rPr>
                <w:b/>
                <w:bCs/>
                <w:sz w:val="18"/>
                <w:szCs w:val="18"/>
              </w:rPr>
            </w:pPr>
            <w:r>
              <w:rPr>
                <w:rFonts w:hint="eastAsia"/>
                <w:b/>
                <w:bCs/>
                <w:sz w:val="18"/>
                <w:szCs w:val="18"/>
              </w:rPr>
              <w:t>相对</w:t>
            </w:r>
          </w:p>
          <w:p w14:paraId="300E1EB7">
            <w:pPr>
              <w:pStyle w:val="133"/>
              <w:rPr>
                <w:b/>
                <w:bCs/>
                <w:sz w:val="18"/>
                <w:szCs w:val="18"/>
              </w:rPr>
            </w:pPr>
            <w:r>
              <w:rPr>
                <w:rFonts w:hint="eastAsia"/>
                <w:b/>
                <w:bCs/>
                <w:sz w:val="18"/>
                <w:szCs w:val="18"/>
              </w:rPr>
              <w:t>源高(m)</w:t>
            </w:r>
          </w:p>
        </w:tc>
        <w:tc>
          <w:tcPr>
            <w:tcW w:w="0" w:type="auto"/>
            <w:noWrap/>
            <w:vAlign w:val="center"/>
          </w:tcPr>
          <w:p w14:paraId="28BD1F0F">
            <w:pPr>
              <w:pStyle w:val="133"/>
              <w:rPr>
                <w:b/>
                <w:bCs/>
                <w:sz w:val="18"/>
                <w:szCs w:val="18"/>
              </w:rPr>
            </w:pPr>
            <w:r>
              <w:rPr>
                <w:rFonts w:hint="eastAsia"/>
                <w:b/>
                <w:bCs/>
                <w:sz w:val="18"/>
                <w:szCs w:val="18"/>
              </w:rPr>
              <w:t>SO</w:t>
            </w:r>
            <w:r>
              <w:rPr>
                <w:rFonts w:hint="eastAsia"/>
                <w:b/>
                <w:bCs/>
                <w:sz w:val="18"/>
                <w:szCs w:val="18"/>
                <w:vertAlign w:val="subscript"/>
              </w:rPr>
              <w:t>2</w:t>
            </w:r>
            <w:r>
              <w:rPr>
                <w:rFonts w:hint="eastAsia"/>
                <w:b/>
                <w:bCs/>
                <w:sz w:val="18"/>
                <w:szCs w:val="18"/>
              </w:rPr>
              <w:t>|D10</w:t>
            </w:r>
          </w:p>
          <w:p w14:paraId="7A5D4E59">
            <w:pPr>
              <w:pStyle w:val="133"/>
              <w:rPr>
                <w:b/>
                <w:bCs/>
                <w:sz w:val="18"/>
                <w:szCs w:val="18"/>
              </w:rPr>
            </w:pPr>
            <w:r>
              <w:rPr>
                <w:rFonts w:hint="eastAsia"/>
                <w:b/>
                <w:bCs/>
                <w:sz w:val="18"/>
                <w:szCs w:val="18"/>
              </w:rPr>
              <w:t>(m)</w:t>
            </w:r>
          </w:p>
        </w:tc>
        <w:tc>
          <w:tcPr>
            <w:tcW w:w="0" w:type="auto"/>
            <w:noWrap/>
            <w:vAlign w:val="center"/>
          </w:tcPr>
          <w:p w14:paraId="6893AC9B">
            <w:pPr>
              <w:pStyle w:val="133"/>
              <w:rPr>
                <w:b/>
                <w:bCs/>
                <w:sz w:val="18"/>
                <w:szCs w:val="18"/>
              </w:rPr>
            </w:pPr>
            <w:r>
              <w:rPr>
                <w:rFonts w:hint="eastAsia"/>
                <w:b/>
                <w:bCs/>
                <w:sz w:val="18"/>
                <w:szCs w:val="18"/>
              </w:rPr>
              <w:t>NO</w:t>
            </w:r>
            <w:r>
              <w:rPr>
                <w:rFonts w:hint="eastAsia"/>
                <w:b/>
                <w:bCs/>
                <w:sz w:val="18"/>
                <w:szCs w:val="18"/>
                <w:vertAlign w:val="subscript"/>
              </w:rPr>
              <w:t>2</w:t>
            </w:r>
            <w:r>
              <w:rPr>
                <w:rFonts w:hint="eastAsia"/>
                <w:b/>
                <w:bCs/>
                <w:sz w:val="18"/>
                <w:szCs w:val="18"/>
              </w:rPr>
              <w:t>|D10</w:t>
            </w:r>
          </w:p>
          <w:p w14:paraId="0451B551">
            <w:pPr>
              <w:pStyle w:val="133"/>
              <w:rPr>
                <w:b/>
                <w:bCs/>
                <w:sz w:val="18"/>
                <w:szCs w:val="18"/>
              </w:rPr>
            </w:pPr>
            <w:r>
              <w:rPr>
                <w:rFonts w:hint="eastAsia"/>
                <w:b/>
                <w:bCs/>
                <w:sz w:val="18"/>
                <w:szCs w:val="18"/>
              </w:rPr>
              <w:t>(m)</w:t>
            </w:r>
          </w:p>
        </w:tc>
        <w:tc>
          <w:tcPr>
            <w:tcW w:w="0" w:type="auto"/>
            <w:noWrap/>
            <w:vAlign w:val="center"/>
          </w:tcPr>
          <w:p w14:paraId="4DA59355">
            <w:pPr>
              <w:pStyle w:val="133"/>
              <w:rPr>
                <w:b/>
                <w:bCs/>
                <w:sz w:val="18"/>
                <w:szCs w:val="18"/>
              </w:rPr>
            </w:pPr>
            <w:r>
              <w:rPr>
                <w:rFonts w:hint="eastAsia"/>
                <w:b/>
                <w:bCs/>
                <w:sz w:val="18"/>
                <w:szCs w:val="18"/>
              </w:rPr>
              <w:t>TSP|D10</w:t>
            </w:r>
          </w:p>
          <w:p w14:paraId="6411F27A">
            <w:pPr>
              <w:pStyle w:val="133"/>
              <w:rPr>
                <w:b/>
                <w:bCs/>
                <w:sz w:val="18"/>
                <w:szCs w:val="18"/>
              </w:rPr>
            </w:pPr>
            <w:r>
              <w:rPr>
                <w:rFonts w:hint="eastAsia"/>
                <w:b/>
                <w:bCs/>
                <w:sz w:val="18"/>
                <w:szCs w:val="18"/>
              </w:rPr>
              <w:t>(m)</w:t>
            </w:r>
          </w:p>
        </w:tc>
        <w:tc>
          <w:tcPr>
            <w:tcW w:w="0" w:type="auto"/>
            <w:noWrap/>
            <w:vAlign w:val="center"/>
          </w:tcPr>
          <w:p w14:paraId="1F9020EB">
            <w:pPr>
              <w:pStyle w:val="133"/>
              <w:rPr>
                <w:b/>
                <w:bCs/>
                <w:sz w:val="18"/>
                <w:szCs w:val="18"/>
              </w:rPr>
            </w:pPr>
            <w:r>
              <w:rPr>
                <w:rFonts w:hint="eastAsia"/>
                <w:b/>
                <w:bCs/>
                <w:sz w:val="18"/>
                <w:szCs w:val="18"/>
              </w:rPr>
              <w:t>PM</w:t>
            </w:r>
            <w:r>
              <w:rPr>
                <w:rFonts w:hint="eastAsia"/>
                <w:b/>
                <w:bCs/>
                <w:sz w:val="18"/>
                <w:szCs w:val="18"/>
                <w:vertAlign w:val="subscript"/>
              </w:rPr>
              <w:t>10</w:t>
            </w:r>
            <w:r>
              <w:rPr>
                <w:rFonts w:hint="eastAsia"/>
                <w:b/>
                <w:bCs/>
                <w:sz w:val="18"/>
                <w:szCs w:val="18"/>
              </w:rPr>
              <w:t>|D10</w:t>
            </w:r>
          </w:p>
          <w:p w14:paraId="774B8EBD">
            <w:pPr>
              <w:pStyle w:val="133"/>
              <w:rPr>
                <w:b/>
                <w:bCs/>
                <w:sz w:val="18"/>
                <w:szCs w:val="18"/>
              </w:rPr>
            </w:pPr>
            <w:r>
              <w:rPr>
                <w:rFonts w:hint="eastAsia"/>
                <w:b/>
                <w:bCs/>
                <w:sz w:val="18"/>
                <w:szCs w:val="18"/>
              </w:rPr>
              <w:t>(m)</w:t>
            </w:r>
          </w:p>
        </w:tc>
        <w:tc>
          <w:tcPr>
            <w:tcW w:w="0" w:type="auto"/>
            <w:noWrap/>
            <w:vAlign w:val="center"/>
          </w:tcPr>
          <w:p w14:paraId="28AFF1C8">
            <w:pPr>
              <w:pStyle w:val="133"/>
              <w:rPr>
                <w:b/>
                <w:bCs/>
                <w:sz w:val="18"/>
                <w:szCs w:val="18"/>
              </w:rPr>
            </w:pPr>
            <w:r>
              <w:rPr>
                <w:rFonts w:hint="eastAsia"/>
                <w:b/>
                <w:bCs/>
                <w:sz w:val="18"/>
                <w:szCs w:val="18"/>
              </w:rPr>
              <w:t>PM</w:t>
            </w:r>
            <w:r>
              <w:rPr>
                <w:rFonts w:hint="eastAsia"/>
                <w:b/>
                <w:bCs/>
                <w:sz w:val="18"/>
                <w:szCs w:val="18"/>
                <w:vertAlign w:val="subscript"/>
              </w:rPr>
              <w:t>2.5</w:t>
            </w:r>
            <w:r>
              <w:rPr>
                <w:rFonts w:hint="eastAsia"/>
                <w:b/>
                <w:bCs/>
                <w:sz w:val="18"/>
                <w:szCs w:val="18"/>
              </w:rPr>
              <w:t>|D10</w:t>
            </w:r>
          </w:p>
          <w:p w14:paraId="00DB48B9">
            <w:pPr>
              <w:pStyle w:val="133"/>
              <w:rPr>
                <w:b/>
                <w:bCs/>
                <w:sz w:val="18"/>
                <w:szCs w:val="18"/>
              </w:rPr>
            </w:pPr>
            <w:r>
              <w:rPr>
                <w:rFonts w:hint="eastAsia"/>
                <w:b/>
                <w:bCs/>
                <w:sz w:val="18"/>
                <w:szCs w:val="18"/>
              </w:rPr>
              <w:t>(m)</w:t>
            </w:r>
          </w:p>
        </w:tc>
        <w:tc>
          <w:tcPr>
            <w:tcW w:w="0" w:type="auto"/>
            <w:noWrap/>
            <w:vAlign w:val="center"/>
          </w:tcPr>
          <w:p w14:paraId="7781841F">
            <w:pPr>
              <w:pStyle w:val="133"/>
              <w:rPr>
                <w:b/>
                <w:bCs/>
                <w:sz w:val="18"/>
                <w:szCs w:val="18"/>
              </w:rPr>
            </w:pPr>
            <w:r>
              <w:rPr>
                <w:rFonts w:hint="eastAsia"/>
                <w:b/>
                <w:bCs/>
                <w:sz w:val="18"/>
                <w:szCs w:val="18"/>
              </w:rPr>
              <w:t>BaP|D10</w:t>
            </w:r>
          </w:p>
          <w:p w14:paraId="3EB68BD4">
            <w:pPr>
              <w:pStyle w:val="133"/>
              <w:rPr>
                <w:b/>
                <w:bCs/>
                <w:sz w:val="18"/>
                <w:szCs w:val="18"/>
              </w:rPr>
            </w:pPr>
            <w:r>
              <w:rPr>
                <w:rFonts w:hint="eastAsia"/>
                <w:b/>
                <w:bCs/>
                <w:sz w:val="18"/>
                <w:szCs w:val="18"/>
              </w:rPr>
              <w:t>(m)</w:t>
            </w:r>
          </w:p>
        </w:tc>
        <w:tc>
          <w:tcPr>
            <w:tcW w:w="0" w:type="auto"/>
            <w:noWrap/>
            <w:vAlign w:val="center"/>
          </w:tcPr>
          <w:p w14:paraId="7C1F1F0D">
            <w:pPr>
              <w:pStyle w:val="133"/>
              <w:rPr>
                <w:b/>
                <w:bCs/>
                <w:sz w:val="18"/>
                <w:szCs w:val="18"/>
              </w:rPr>
            </w:pPr>
            <w:r>
              <w:rPr>
                <w:rFonts w:hint="eastAsia"/>
                <w:b/>
                <w:bCs/>
                <w:sz w:val="18"/>
                <w:szCs w:val="18"/>
              </w:rPr>
              <w:t>NH</w:t>
            </w:r>
            <w:r>
              <w:rPr>
                <w:rFonts w:hint="eastAsia"/>
                <w:b/>
                <w:bCs/>
                <w:sz w:val="18"/>
                <w:szCs w:val="18"/>
                <w:vertAlign w:val="subscript"/>
              </w:rPr>
              <w:t>3</w:t>
            </w:r>
            <w:r>
              <w:rPr>
                <w:rFonts w:hint="eastAsia"/>
                <w:b/>
                <w:bCs/>
                <w:sz w:val="18"/>
                <w:szCs w:val="18"/>
              </w:rPr>
              <w:t>|D10</w:t>
            </w:r>
          </w:p>
          <w:p w14:paraId="50F72A29">
            <w:pPr>
              <w:pStyle w:val="133"/>
              <w:rPr>
                <w:b/>
                <w:bCs/>
                <w:sz w:val="18"/>
                <w:szCs w:val="18"/>
              </w:rPr>
            </w:pPr>
            <w:r>
              <w:rPr>
                <w:rFonts w:hint="eastAsia"/>
                <w:b/>
                <w:bCs/>
                <w:sz w:val="18"/>
                <w:szCs w:val="18"/>
              </w:rPr>
              <w:t>(m)</w:t>
            </w:r>
          </w:p>
        </w:tc>
        <w:tc>
          <w:tcPr>
            <w:tcW w:w="0" w:type="auto"/>
            <w:noWrap/>
            <w:vAlign w:val="center"/>
          </w:tcPr>
          <w:p w14:paraId="35194B39">
            <w:pPr>
              <w:pStyle w:val="133"/>
              <w:rPr>
                <w:b/>
                <w:bCs/>
                <w:sz w:val="18"/>
                <w:szCs w:val="18"/>
              </w:rPr>
            </w:pPr>
            <w:r>
              <w:rPr>
                <w:rFonts w:hint="eastAsia"/>
                <w:b/>
                <w:bCs/>
                <w:sz w:val="18"/>
                <w:szCs w:val="18"/>
              </w:rPr>
              <w:t>H</w:t>
            </w:r>
            <w:r>
              <w:rPr>
                <w:rFonts w:hint="eastAsia"/>
                <w:b/>
                <w:bCs/>
                <w:sz w:val="18"/>
                <w:szCs w:val="18"/>
                <w:vertAlign w:val="subscript"/>
              </w:rPr>
              <w:t>2</w:t>
            </w:r>
            <w:r>
              <w:rPr>
                <w:rFonts w:hint="eastAsia"/>
                <w:b/>
                <w:bCs/>
                <w:sz w:val="18"/>
                <w:szCs w:val="18"/>
              </w:rPr>
              <w:t>S|D10</w:t>
            </w:r>
          </w:p>
          <w:p w14:paraId="2667ABDD">
            <w:pPr>
              <w:pStyle w:val="133"/>
              <w:rPr>
                <w:b/>
                <w:bCs/>
                <w:sz w:val="18"/>
                <w:szCs w:val="18"/>
              </w:rPr>
            </w:pPr>
            <w:r>
              <w:rPr>
                <w:rFonts w:hint="eastAsia"/>
                <w:b/>
                <w:bCs/>
                <w:sz w:val="18"/>
                <w:szCs w:val="18"/>
              </w:rPr>
              <w:t>(m)</w:t>
            </w:r>
          </w:p>
        </w:tc>
        <w:tc>
          <w:tcPr>
            <w:tcW w:w="0" w:type="auto"/>
            <w:noWrap/>
            <w:vAlign w:val="center"/>
          </w:tcPr>
          <w:p w14:paraId="7239152C">
            <w:pPr>
              <w:pStyle w:val="133"/>
              <w:rPr>
                <w:b/>
                <w:bCs/>
                <w:sz w:val="18"/>
                <w:szCs w:val="18"/>
              </w:rPr>
            </w:pPr>
            <w:r>
              <w:rPr>
                <w:rFonts w:hint="eastAsia"/>
                <w:b/>
                <w:bCs/>
                <w:sz w:val="18"/>
                <w:szCs w:val="18"/>
              </w:rPr>
              <w:t>NMHC|D10</w:t>
            </w:r>
          </w:p>
          <w:p w14:paraId="12EE3BAA">
            <w:pPr>
              <w:pStyle w:val="133"/>
              <w:rPr>
                <w:b/>
                <w:bCs/>
                <w:sz w:val="18"/>
                <w:szCs w:val="18"/>
              </w:rPr>
            </w:pPr>
            <w:r>
              <w:rPr>
                <w:rFonts w:hint="eastAsia"/>
                <w:b/>
                <w:bCs/>
                <w:sz w:val="18"/>
                <w:szCs w:val="18"/>
              </w:rPr>
              <w:t>(m)</w:t>
            </w:r>
          </w:p>
        </w:tc>
        <w:tc>
          <w:tcPr>
            <w:tcW w:w="0" w:type="auto"/>
          </w:tcPr>
          <w:p w14:paraId="65BD7DCC">
            <w:pPr>
              <w:pStyle w:val="133"/>
              <w:rPr>
                <w:b/>
                <w:bCs/>
                <w:sz w:val="18"/>
                <w:szCs w:val="18"/>
              </w:rPr>
            </w:pPr>
            <w:r>
              <w:rPr>
                <w:rFonts w:hint="eastAsia"/>
                <w:b/>
                <w:bCs/>
                <w:sz w:val="18"/>
                <w:szCs w:val="18"/>
              </w:rPr>
              <w:t>酚类|D10</w:t>
            </w:r>
          </w:p>
          <w:p w14:paraId="7AF9DB6B">
            <w:pPr>
              <w:pStyle w:val="133"/>
              <w:rPr>
                <w:b/>
                <w:bCs/>
                <w:sz w:val="18"/>
                <w:szCs w:val="18"/>
              </w:rPr>
            </w:pPr>
            <w:r>
              <w:rPr>
                <w:rFonts w:hint="eastAsia"/>
                <w:b/>
                <w:bCs/>
                <w:sz w:val="18"/>
                <w:szCs w:val="18"/>
              </w:rPr>
              <w:t>(m)</w:t>
            </w:r>
          </w:p>
        </w:tc>
        <w:tc>
          <w:tcPr>
            <w:tcW w:w="0" w:type="auto"/>
          </w:tcPr>
          <w:p w14:paraId="7A7B2B4F">
            <w:pPr>
              <w:pStyle w:val="133"/>
              <w:rPr>
                <w:b/>
                <w:bCs/>
                <w:sz w:val="18"/>
                <w:szCs w:val="18"/>
              </w:rPr>
            </w:pPr>
            <w:r>
              <w:rPr>
                <w:rFonts w:hint="eastAsia"/>
                <w:b/>
                <w:bCs/>
                <w:sz w:val="18"/>
                <w:szCs w:val="18"/>
              </w:rPr>
              <w:t>氰化氢|D10</w:t>
            </w:r>
          </w:p>
          <w:p w14:paraId="5E63A423">
            <w:pPr>
              <w:pStyle w:val="133"/>
              <w:rPr>
                <w:b/>
                <w:bCs/>
                <w:sz w:val="18"/>
                <w:szCs w:val="18"/>
              </w:rPr>
            </w:pPr>
            <w:r>
              <w:rPr>
                <w:rFonts w:hint="eastAsia"/>
                <w:b/>
                <w:bCs/>
                <w:sz w:val="18"/>
                <w:szCs w:val="18"/>
              </w:rPr>
              <w:t>(m)</w:t>
            </w:r>
          </w:p>
        </w:tc>
      </w:tr>
      <w:tr w14:paraId="3F01F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64FB89F4">
            <w:pPr>
              <w:pStyle w:val="133"/>
              <w:rPr>
                <w:sz w:val="18"/>
                <w:szCs w:val="18"/>
              </w:rPr>
            </w:pPr>
            <w:r>
              <w:rPr>
                <w:rFonts w:hint="eastAsia"/>
                <w:sz w:val="18"/>
                <w:szCs w:val="18"/>
              </w:rPr>
              <w:t>1</w:t>
            </w:r>
          </w:p>
        </w:tc>
        <w:tc>
          <w:tcPr>
            <w:tcW w:w="0" w:type="auto"/>
            <w:noWrap/>
            <w:vAlign w:val="center"/>
          </w:tcPr>
          <w:p w14:paraId="20E8303B">
            <w:pPr>
              <w:pStyle w:val="133"/>
              <w:rPr>
                <w:sz w:val="18"/>
                <w:szCs w:val="18"/>
              </w:rPr>
            </w:pPr>
            <w:r>
              <w:rPr>
                <w:rFonts w:hint="eastAsia"/>
                <w:sz w:val="18"/>
                <w:szCs w:val="18"/>
              </w:rPr>
              <w:t>备煤上料废气</w:t>
            </w:r>
          </w:p>
        </w:tc>
        <w:tc>
          <w:tcPr>
            <w:tcW w:w="0" w:type="auto"/>
            <w:noWrap/>
            <w:vAlign w:val="center"/>
          </w:tcPr>
          <w:p w14:paraId="068F1211">
            <w:pPr>
              <w:pStyle w:val="133"/>
              <w:rPr>
                <w:sz w:val="18"/>
                <w:szCs w:val="18"/>
              </w:rPr>
            </w:pPr>
            <w:r>
              <w:rPr>
                <w:rFonts w:hint="eastAsia"/>
                <w:sz w:val="18"/>
                <w:szCs w:val="18"/>
              </w:rPr>
              <w:t>190</w:t>
            </w:r>
          </w:p>
        </w:tc>
        <w:tc>
          <w:tcPr>
            <w:tcW w:w="0" w:type="auto"/>
            <w:noWrap/>
            <w:vAlign w:val="center"/>
          </w:tcPr>
          <w:p w14:paraId="39B4C65B">
            <w:pPr>
              <w:pStyle w:val="133"/>
              <w:rPr>
                <w:sz w:val="18"/>
                <w:szCs w:val="18"/>
              </w:rPr>
            </w:pPr>
            <w:r>
              <w:rPr>
                <w:rFonts w:hint="eastAsia"/>
                <w:sz w:val="18"/>
                <w:szCs w:val="18"/>
              </w:rPr>
              <w:t>175</w:t>
            </w:r>
          </w:p>
        </w:tc>
        <w:tc>
          <w:tcPr>
            <w:tcW w:w="0" w:type="auto"/>
            <w:noWrap/>
            <w:vAlign w:val="center"/>
          </w:tcPr>
          <w:p w14:paraId="672A6307">
            <w:pPr>
              <w:pStyle w:val="133"/>
              <w:rPr>
                <w:sz w:val="18"/>
                <w:szCs w:val="18"/>
              </w:rPr>
            </w:pPr>
            <w:r>
              <w:rPr>
                <w:rFonts w:hint="eastAsia"/>
                <w:sz w:val="18"/>
                <w:szCs w:val="18"/>
              </w:rPr>
              <w:t>1</w:t>
            </w:r>
          </w:p>
        </w:tc>
        <w:tc>
          <w:tcPr>
            <w:tcW w:w="0" w:type="auto"/>
            <w:noWrap/>
            <w:vAlign w:val="center"/>
          </w:tcPr>
          <w:p w14:paraId="6025F8CE">
            <w:pPr>
              <w:pStyle w:val="133"/>
              <w:rPr>
                <w:sz w:val="18"/>
                <w:szCs w:val="18"/>
              </w:rPr>
            </w:pPr>
            <w:r>
              <w:rPr>
                <w:rFonts w:hint="eastAsia"/>
                <w:sz w:val="18"/>
                <w:szCs w:val="18"/>
              </w:rPr>
              <w:t>0.00|0</w:t>
            </w:r>
          </w:p>
        </w:tc>
        <w:tc>
          <w:tcPr>
            <w:tcW w:w="0" w:type="auto"/>
            <w:noWrap/>
            <w:vAlign w:val="center"/>
          </w:tcPr>
          <w:p w14:paraId="2BC6DAF1">
            <w:pPr>
              <w:pStyle w:val="133"/>
              <w:rPr>
                <w:sz w:val="18"/>
                <w:szCs w:val="18"/>
              </w:rPr>
            </w:pPr>
            <w:r>
              <w:rPr>
                <w:rFonts w:hint="eastAsia"/>
                <w:sz w:val="18"/>
                <w:szCs w:val="18"/>
              </w:rPr>
              <w:t>0.00|0</w:t>
            </w:r>
          </w:p>
        </w:tc>
        <w:tc>
          <w:tcPr>
            <w:tcW w:w="0" w:type="auto"/>
            <w:noWrap/>
            <w:vAlign w:val="center"/>
          </w:tcPr>
          <w:p w14:paraId="06CA1CCE">
            <w:pPr>
              <w:pStyle w:val="133"/>
              <w:rPr>
                <w:sz w:val="18"/>
                <w:szCs w:val="18"/>
              </w:rPr>
            </w:pPr>
            <w:r>
              <w:rPr>
                <w:rFonts w:hint="eastAsia"/>
                <w:sz w:val="18"/>
                <w:szCs w:val="18"/>
              </w:rPr>
              <w:t>0.00|0</w:t>
            </w:r>
          </w:p>
        </w:tc>
        <w:tc>
          <w:tcPr>
            <w:tcW w:w="0" w:type="auto"/>
            <w:noWrap/>
            <w:vAlign w:val="center"/>
          </w:tcPr>
          <w:p w14:paraId="12BFC8BB">
            <w:pPr>
              <w:pStyle w:val="133"/>
              <w:rPr>
                <w:sz w:val="18"/>
                <w:szCs w:val="18"/>
              </w:rPr>
            </w:pPr>
            <w:r>
              <w:rPr>
                <w:rFonts w:hint="eastAsia"/>
                <w:sz w:val="18"/>
                <w:szCs w:val="18"/>
              </w:rPr>
              <w:t>0.13|0</w:t>
            </w:r>
          </w:p>
        </w:tc>
        <w:tc>
          <w:tcPr>
            <w:tcW w:w="0" w:type="auto"/>
            <w:noWrap/>
            <w:vAlign w:val="center"/>
          </w:tcPr>
          <w:p w14:paraId="628462C2">
            <w:pPr>
              <w:pStyle w:val="133"/>
              <w:rPr>
                <w:sz w:val="18"/>
                <w:szCs w:val="18"/>
              </w:rPr>
            </w:pPr>
            <w:r>
              <w:rPr>
                <w:rFonts w:hint="eastAsia"/>
                <w:sz w:val="18"/>
                <w:szCs w:val="18"/>
              </w:rPr>
              <w:t>0.13|0</w:t>
            </w:r>
          </w:p>
        </w:tc>
        <w:tc>
          <w:tcPr>
            <w:tcW w:w="0" w:type="auto"/>
            <w:noWrap/>
            <w:vAlign w:val="center"/>
          </w:tcPr>
          <w:p w14:paraId="0BCD887E">
            <w:pPr>
              <w:pStyle w:val="133"/>
              <w:rPr>
                <w:sz w:val="18"/>
                <w:szCs w:val="18"/>
              </w:rPr>
            </w:pPr>
            <w:r>
              <w:rPr>
                <w:rFonts w:hint="eastAsia"/>
                <w:sz w:val="18"/>
                <w:szCs w:val="18"/>
              </w:rPr>
              <w:t>0.00|0</w:t>
            </w:r>
          </w:p>
        </w:tc>
        <w:tc>
          <w:tcPr>
            <w:tcW w:w="0" w:type="auto"/>
            <w:noWrap/>
            <w:vAlign w:val="center"/>
          </w:tcPr>
          <w:p w14:paraId="66F9FF58">
            <w:pPr>
              <w:pStyle w:val="133"/>
              <w:rPr>
                <w:sz w:val="18"/>
                <w:szCs w:val="18"/>
              </w:rPr>
            </w:pPr>
            <w:r>
              <w:rPr>
                <w:rFonts w:hint="eastAsia"/>
                <w:sz w:val="18"/>
                <w:szCs w:val="18"/>
              </w:rPr>
              <w:t>0.00|0</w:t>
            </w:r>
          </w:p>
        </w:tc>
        <w:tc>
          <w:tcPr>
            <w:tcW w:w="0" w:type="auto"/>
            <w:noWrap/>
            <w:vAlign w:val="center"/>
          </w:tcPr>
          <w:p w14:paraId="1FC5CE4E">
            <w:pPr>
              <w:pStyle w:val="133"/>
              <w:rPr>
                <w:sz w:val="18"/>
                <w:szCs w:val="18"/>
              </w:rPr>
            </w:pPr>
            <w:r>
              <w:rPr>
                <w:rFonts w:hint="eastAsia"/>
                <w:sz w:val="18"/>
                <w:szCs w:val="18"/>
              </w:rPr>
              <w:t>0.00|0</w:t>
            </w:r>
          </w:p>
        </w:tc>
        <w:tc>
          <w:tcPr>
            <w:tcW w:w="0" w:type="auto"/>
            <w:noWrap/>
            <w:vAlign w:val="center"/>
          </w:tcPr>
          <w:p w14:paraId="02883911">
            <w:pPr>
              <w:pStyle w:val="133"/>
              <w:rPr>
                <w:sz w:val="18"/>
                <w:szCs w:val="18"/>
              </w:rPr>
            </w:pPr>
            <w:r>
              <w:rPr>
                <w:rFonts w:hint="eastAsia"/>
                <w:sz w:val="18"/>
                <w:szCs w:val="18"/>
              </w:rPr>
              <w:t>0.00|0</w:t>
            </w:r>
          </w:p>
        </w:tc>
        <w:tc>
          <w:tcPr>
            <w:tcW w:w="0" w:type="auto"/>
            <w:vAlign w:val="center"/>
          </w:tcPr>
          <w:p w14:paraId="28C29331">
            <w:pPr>
              <w:pStyle w:val="133"/>
              <w:rPr>
                <w:sz w:val="18"/>
                <w:szCs w:val="18"/>
              </w:rPr>
            </w:pPr>
            <w:r>
              <w:rPr>
                <w:rFonts w:hint="eastAsia"/>
                <w:sz w:val="18"/>
                <w:szCs w:val="18"/>
              </w:rPr>
              <w:t>0.00|0</w:t>
            </w:r>
          </w:p>
        </w:tc>
        <w:tc>
          <w:tcPr>
            <w:tcW w:w="0" w:type="auto"/>
            <w:vAlign w:val="center"/>
          </w:tcPr>
          <w:p w14:paraId="4B957C9E">
            <w:pPr>
              <w:pStyle w:val="133"/>
              <w:rPr>
                <w:sz w:val="18"/>
                <w:szCs w:val="18"/>
              </w:rPr>
            </w:pPr>
            <w:r>
              <w:rPr>
                <w:rFonts w:hint="eastAsia"/>
                <w:sz w:val="18"/>
                <w:szCs w:val="18"/>
              </w:rPr>
              <w:t>0.00|0</w:t>
            </w:r>
          </w:p>
        </w:tc>
      </w:tr>
      <w:tr w14:paraId="255E3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48E85E48">
            <w:pPr>
              <w:pStyle w:val="133"/>
              <w:rPr>
                <w:sz w:val="18"/>
                <w:szCs w:val="18"/>
              </w:rPr>
            </w:pPr>
            <w:r>
              <w:rPr>
                <w:rFonts w:hint="eastAsia"/>
                <w:sz w:val="18"/>
                <w:szCs w:val="18"/>
              </w:rPr>
              <w:t>2</w:t>
            </w:r>
          </w:p>
        </w:tc>
        <w:tc>
          <w:tcPr>
            <w:tcW w:w="0" w:type="auto"/>
            <w:noWrap/>
            <w:vAlign w:val="center"/>
          </w:tcPr>
          <w:p w14:paraId="1575D1A4">
            <w:pPr>
              <w:pStyle w:val="133"/>
              <w:rPr>
                <w:sz w:val="18"/>
                <w:szCs w:val="18"/>
              </w:rPr>
            </w:pPr>
            <w:r>
              <w:rPr>
                <w:rFonts w:hint="eastAsia"/>
                <w:sz w:val="18"/>
                <w:szCs w:val="18"/>
              </w:rPr>
              <w:t>破碎筛分废气</w:t>
            </w:r>
          </w:p>
        </w:tc>
        <w:tc>
          <w:tcPr>
            <w:tcW w:w="0" w:type="auto"/>
            <w:noWrap/>
            <w:vAlign w:val="center"/>
          </w:tcPr>
          <w:p w14:paraId="63F8401E">
            <w:pPr>
              <w:pStyle w:val="133"/>
              <w:rPr>
                <w:sz w:val="18"/>
                <w:szCs w:val="18"/>
              </w:rPr>
            </w:pPr>
            <w:r>
              <w:rPr>
                <w:rFonts w:hint="eastAsia"/>
                <w:sz w:val="18"/>
                <w:szCs w:val="18"/>
              </w:rPr>
              <w:t>190</w:t>
            </w:r>
          </w:p>
        </w:tc>
        <w:tc>
          <w:tcPr>
            <w:tcW w:w="0" w:type="auto"/>
            <w:noWrap/>
            <w:vAlign w:val="center"/>
          </w:tcPr>
          <w:p w14:paraId="45C099F0">
            <w:pPr>
              <w:pStyle w:val="133"/>
              <w:rPr>
                <w:sz w:val="18"/>
                <w:szCs w:val="18"/>
              </w:rPr>
            </w:pPr>
            <w:r>
              <w:rPr>
                <w:rFonts w:hint="eastAsia"/>
                <w:sz w:val="18"/>
                <w:szCs w:val="18"/>
              </w:rPr>
              <w:t>175</w:t>
            </w:r>
          </w:p>
        </w:tc>
        <w:tc>
          <w:tcPr>
            <w:tcW w:w="0" w:type="auto"/>
            <w:noWrap/>
            <w:vAlign w:val="center"/>
          </w:tcPr>
          <w:p w14:paraId="08DE5A44">
            <w:pPr>
              <w:pStyle w:val="133"/>
              <w:rPr>
                <w:sz w:val="18"/>
                <w:szCs w:val="18"/>
              </w:rPr>
            </w:pPr>
            <w:r>
              <w:rPr>
                <w:rFonts w:hint="eastAsia"/>
                <w:sz w:val="18"/>
                <w:szCs w:val="18"/>
              </w:rPr>
              <w:t>1</w:t>
            </w:r>
          </w:p>
        </w:tc>
        <w:tc>
          <w:tcPr>
            <w:tcW w:w="0" w:type="auto"/>
            <w:noWrap/>
            <w:vAlign w:val="center"/>
          </w:tcPr>
          <w:p w14:paraId="5539A085">
            <w:pPr>
              <w:pStyle w:val="133"/>
              <w:rPr>
                <w:sz w:val="18"/>
                <w:szCs w:val="18"/>
              </w:rPr>
            </w:pPr>
            <w:r>
              <w:rPr>
                <w:rFonts w:hint="eastAsia"/>
                <w:sz w:val="18"/>
                <w:szCs w:val="18"/>
              </w:rPr>
              <w:t>0.00|0</w:t>
            </w:r>
          </w:p>
        </w:tc>
        <w:tc>
          <w:tcPr>
            <w:tcW w:w="0" w:type="auto"/>
            <w:noWrap/>
            <w:vAlign w:val="center"/>
          </w:tcPr>
          <w:p w14:paraId="1ECFE28A">
            <w:pPr>
              <w:pStyle w:val="133"/>
              <w:rPr>
                <w:sz w:val="18"/>
                <w:szCs w:val="18"/>
              </w:rPr>
            </w:pPr>
            <w:r>
              <w:rPr>
                <w:rFonts w:hint="eastAsia"/>
                <w:sz w:val="18"/>
                <w:szCs w:val="18"/>
              </w:rPr>
              <w:t>0.00|0</w:t>
            </w:r>
          </w:p>
        </w:tc>
        <w:tc>
          <w:tcPr>
            <w:tcW w:w="0" w:type="auto"/>
            <w:noWrap/>
            <w:vAlign w:val="center"/>
          </w:tcPr>
          <w:p w14:paraId="283281E8">
            <w:pPr>
              <w:pStyle w:val="133"/>
              <w:rPr>
                <w:sz w:val="18"/>
                <w:szCs w:val="18"/>
              </w:rPr>
            </w:pPr>
            <w:r>
              <w:rPr>
                <w:rFonts w:hint="eastAsia"/>
                <w:sz w:val="18"/>
                <w:szCs w:val="18"/>
              </w:rPr>
              <w:t>0.00|0</w:t>
            </w:r>
          </w:p>
        </w:tc>
        <w:tc>
          <w:tcPr>
            <w:tcW w:w="0" w:type="auto"/>
            <w:noWrap/>
            <w:vAlign w:val="center"/>
          </w:tcPr>
          <w:p w14:paraId="34AE567B">
            <w:pPr>
              <w:pStyle w:val="133"/>
              <w:rPr>
                <w:sz w:val="18"/>
                <w:szCs w:val="18"/>
              </w:rPr>
            </w:pPr>
            <w:r>
              <w:rPr>
                <w:rFonts w:hint="eastAsia"/>
                <w:sz w:val="18"/>
                <w:szCs w:val="18"/>
              </w:rPr>
              <w:t>0.13|0</w:t>
            </w:r>
          </w:p>
        </w:tc>
        <w:tc>
          <w:tcPr>
            <w:tcW w:w="0" w:type="auto"/>
            <w:noWrap/>
            <w:vAlign w:val="center"/>
          </w:tcPr>
          <w:p w14:paraId="1F38852D">
            <w:pPr>
              <w:pStyle w:val="133"/>
              <w:rPr>
                <w:sz w:val="18"/>
                <w:szCs w:val="18"/>
              </w:rPr>
            </w:pPr>
            <w:r>
              <w:rPr>
                <w:rFonts w:hint="eastAsia"/>
                <w:sz w:val="18"/>
                <w:szCs w:val="18"/>
              </w:rPr>
              <w:t>0.13|0</w:t>
            </w:r>
          </w:p>
        </w:tc>
        <w:tc>
          <w:tcPr>
            <w:tcW w:w="0" w:type="auto"/>
            <w:noWrap/>
            <w:vAlign w:val="center"/>
          </w:tcPr>
          <w:p w14:paraId="5659D6AE">
            <w:pPr>
              <w:pStyle w:val="133"/>
              <w:rPr>
                <w:sz w:val="18"/>
                <w:szCs w:val="18"/>
              </w:rPr>
            </w:pPr>
            <w:r>
              <w:rPr>
                <w:rFonts w:hint="eastAsia"/>
                <w:sz w:val="18"/>
                <w:szCs w:val="18"/>
              </w:rPr>
              <w:t>0.00|0</w:t>
            </w:r>
          </w:p>
        </w:tc>
        <w:tc>
          <w:tcPr>
            <w:tcW w:w="0" w:type="auto"/>
            <w:noWrap/>
            <w:vAlign w:val="center"/>
          </w:tcPr>
          <w:p w14:paraId="4F8DA80D">
            <w:pPr>
              <w:pStyle w:val="133"/>
              <w:rPr>
                <w:sz w:val="18"/>
                <w:szCs w:val="18"/>
              </w:rPr>
            </w:pPr>
            <w:r>
              <w:rPr>
                <w:rFonts w:hint="eastAsia"/>
                <w:sz w:val="18"/>
                <w:szCs w:val="18"/>
              </w:rPr>
              <w:t>0.00|0</w:t>
            </w:r>
          </w:p>
        </w:tc>
        <w:tc>
          <w:tcPr>
            <w:tcW w:w="0" w:type="auto"/>
            <w:noWrap/>
            <w:vAlign w:val="center"/>
          </w:tcPr>
          <w:p w14:paraId="0874E892">
            <w:pPr>
              <w:pStyle w:val="133"/>
              <w:rPr>
                <w:sz w:val="18"/>
                <w:szCs w:val="18"/>
              </w:rPr>
            </w:pPr>
            <w:r>
              <w:rPr>
                <w:rFonts w:hint="eastAsia"/>
                <w:sz w:val="18"/>
                <w:szCs w:val="18"/>
              </w:rPr>
              <w:t>0.00|0</w:t>
            </w:r>
          </w:p>
        </w:tc>
        <w:tc>
          <w:tcPr>
            <w:tcW w:w="0" w:type="auto"/>
            <w:noWrap/>
            <w:vAlign w:val="center"/>
          </w:tcPr>
          <w:p w14:paraId="080AE775">
            <w:pPr>
              <w:pStyle w:val="133"/>
              <w:rPr>
                <w:sz w:val="18"/>
                <w:szCs w:val="18"/>
              </w:rPr>
            </w:pPr>
            <w:r>
              <w:rPr>
                <w:rFonts w:hint="eastAsia"/>
                <w:sz w:val="18"/>
                <w:szCs w:val="18"/>
              </w:rPr>
              <w:t>0.00|0</w:t>
            </w:r>
          </w:p>
        </w:tc>
        <w:tc>
          <w:tcPr>
            <w:tcW w:w="0" w:type="auto"/>
            <w:vAlign w:val="center"/>
          </w:tcPr>
          <w:p w14:paraId="1B77C689">
            <w:pPr>
              <w:pStyle w:val="133"/>
              <w:rPr>
                <w:sz w:val="18"/>
                <w:szCs w:val="18"/>
              </w:rPr>
            </w:pPr>
            <w:r>
              <w:rPr>
                <w:rFonts w:hint="eastAsia"/>
                <w:sz w:val="18"/>
                <w:szCs w:val="18"/>
              </w:rPr>
              <w:t>0.00|0</w:t>
            </w:r>
          </w:p>
        </w:tc>
        <w:tc>
          <w:tcPr>
            <w:tcW w:w="0" w:type="auto"/>
            <w:vAlign w:val="center"/>
          </w:tcPr>
          <w:p w14:paraId="5D082AF8">
            <w:pPr>
              <w:pStyle w:val="133"/>
              <w:rPr>
                <w:sz w:val="18"/>
                <w:szCs w:val="18"/>
              </w:rPr>
            </w:pPr>
            <w:r>
              <w:rPr>
                <w:rFonts w:hint="eastAsia"/>
                <w:sz w:val="18"/>
                <w:szCs w:val="18"/>
              </w:rPr>
              <w:t>0.00|0</w:t>
            </w:r>
          </w:p>
        </w:tc>
      </w:tr>
      <w:tr w14:paraId="2EDE3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29CD888E">
            <w:pPr>
              <w:pStyle w:val="133"/>
              <w:rPr>
                <w:sz w:val="18"/>
                <w:szCs w:val="18"/>
              </w:rPr>
            </w:pPr>
            <w:r>
              <w:rPr>
                <w:rFonts w:hint="eastAsia"/>
                <w:sz w:val="18"/>
                <w:szCs w:val="18"/>
              </w:rPr>
              <w:t>3</w:t>
            </w:r>
          </w:p>
        </w:tc>
        <w:tc>
          <w:tcPr>
            <w:tcW w:w="0" w:type="auto"/>
            <w:noWrap/>
            <w:vAlign w:val="center"/>
          </w:tcPr>
          <w:p w14:paraId="4CFC67C8">
            <w:pPr>
              <w:pStyle w:val="133"/>
              <w:rPr>
                <w:sz w:val="18"/>
                <w:szCs w:val="18"/>
              </w:rPr>
            </w:pPr>
            <w:r>
              <w:rPr>
                <w:rFonts w:hint="eastAsia"/>
                <w:sz w:val="18"/>
                <w:szCs w:val="18"/>
              </w:rPr>
              <w:t>炭化装煤废气</w:t>
            </w:r>
          </w:p>
        </w:tc>
        <w:tc>
          <w:tcPr>
            <w:tcW w:w="0" w:type="auto"/>
            <w:noWrap/>
            <w:vAlign w:val="center"/>
          </w:tcPr>
          <w:p w14:paraId="0A264657">
            <w:pPr>
              <w:pStyle w:val="133"/>
              <w:rPr>
                <w:sz w:val="18"/>
                <w:szCs w:val="18"/>
              </w:rPr>
            </w:pPr>
            <w:r>
              <w:rPr>
                <w:rFonts w:hint="eastAsia"/>
                <w:sz w:val="18"/>
                <w:szCs w:val="18"/>
              </w:rPr>
              <w:t>190</w:t>
            </w:r>
          </w:p>
        </w:tc>
        <w:tc>
          <w:tcPr>
            <w:tcW w:w="0" w:type="auto"/>
            <w:noWrap/>
            <w:vAlign w:val="center"/>
          </w:tcPr>
          <w:p w14:paraId="7965338C">
            <w:pPr>
              <w:pStyle w:val="133"/>
              <w:rPr>
                <w:sz w:val="18"/>
                <w:szCs w:val="18"/>
              </w:rPr>
            </w:pPr>
            <w:r>
              <w:rPr>
                <w:rFonts w:hint="eastAsia"/>
                <w:sz w:val="18"/>
                <w:szCs w:val="18"/>
              </w:rPr>
              <w:t>175</w:t>
            </w:r>
          </w:p>
        </w:tc>
        <w:tc>
          <w:tcPr>
            <w:tcW w:w="0" w:type="auto"/>
            <w:noWrap/>
            <w:vAlign w:val="center"/>
          </w:tcPr>
          <w:p w14:paraId="3A7767B0">
            <w:pPr>
              <w:pStyle w:val="133"/>
              <w:rPr>
                <w:sz w:val="18"/>
                <w:szCs w:val="18"/>
              </w:rPr>
            </w:pPr>
            <w:r>
              <w:rPr>
                <w:rFonts w:hint="eastAsia"/>
                <w:sz w:val="18"/>
                <w:szCs w:val="18"/>
              </w:rPr>
              <w:t>1</w:t>
            </w:r>
          </w:p>
        </w:tc>
        <w:tc>
          <w:tcPr>
            <w:tcW w:w="0" w:type="auto"/>
            <w:noWrap/>
            <w:vAlign w:val="center"/>
          </w:tcPr>
          <w:p w14:paraId="11D19F16">
            <w:pPr>
              <w:pStyle w:val="133"/>
              <w:rPr>
                <w:sz w:val="18"/>
                <w:szCs w:val="18"/>
              </w:rPr>
            </w:pPr>
            <w:r>
              <w:rPr>
                <w:rFonts w:hint="eastAsia"/>
                <w:sz w:val="18"/>
                <w:szCs w:val="18"/>
              </w:rPr>
              <w:t>0.42|0</w:t>
            </w:r>
          </w:p>
        </w:tc>
        <w:tc>
          <w:tcPr>
            <w:tcW w:w="0" w:type="auto"/>
            <w:noWrap/>
            <w:vAlign w:val="center"/>
          </w:tcPr>
          <w:p w14:paraId="31D0C1CB">
            <w:pPr>
              <w:pStyle w:val="133"/>
              <w:rPr>
                <w:sz w:val="18"/>
                <w:szCs w:val="18"/>
              </w:rPr>
            </w:pPr>
            <w:r>
              <w:rPr>
                <w:rFonts w:hint="eastAsia"/>
                <w:sz w:val="18"/>
                <w:szCs w:val="18"/>
              </w:rPr>
              <w:t>0.00|0</w:t>
            </w:r>
          </w:p>
        </w:tc>
        <w:tc>
          <w:tcPr>
            <w:tcW w:w="0" w:type="auto"/>
            <w:noWrap/>
            <w:vAlign w:val="center"/>
          </w:tcPr>
          <w:p w14:paraId="30A7686E">
            <w:pPr>
              <w:pStyle w:val="133"/>
              <w:rPr>
                <w:sz w:val="18"/>
                <w:szCs w:val="18"/>
              </w:rPr>
            </w:pPr>
            <w:r>
              <w:rPr>
                <w:rFonts w:hint="eastAsia"/>
                <w:sz w:val="18"/>
                <w:szCs w:val="18"/>
              </w:rPr>
              <w:t>0.00|0</w:t>
            </w:r>
          </w:p>
        </w:tc>
        <w:tc>
          <w:tcPr>
            <w:tcW w:w="0" w:type="auto"/>
            <w:noWrap/>
            <w:vAlign w:val="center"/>
          </w:tcPr>
          <w:p w14:paraId="215E1C14">
            <w:pPr>
              <w:pStyle w:val="133"/>
              <w:rPr>
                <w:sz w:val="18"/>
                <w:szCs w:val="18"/>
              </w:rPr>
            </w:pPr>
            <w:r>
              <w:rPr>
                <w:rFonts w:hint="eastAsia"/>
                <w:sz w:val="18"/>
                <w:szCs w:val="18"/>
              </w:rPr>
              <w:t>1.33|0</w:t>
            </w:r>
          </w:p>
        </w:tc>
        <w:tc>
          <w:tcPr>
            <w:tcW w:w="0" w:type="auto"/>
            <w:noWrap/>
            <w:vAlign w:val="center"/>
          </w:tcPr>
          <w:p w14:paraId="3267F61F">
            <w:pPr>
              <w:pStyle w:val="133"/>
              <w:rPr>
                <w:sz w:val="18"/>
                <w:szCs w:val="18"/>
              </w:rPr>
            </w:pPr>
            <w:r>
              <w:rPr>
                <w:rFonts w:hint="eastAsia"/>
                <w:sz w:val="18"/>
                <w:szCs w:val="18"/>
              </w:rPr>
              <w:t>1.33|0</w:t>
            </w:r>
          </w:p>
        </w:tc>
        <w:tc>
          <w:tcPr>
            <w:tcW w:w="0" w:type="auto"/>
            <w:noWrap/>
            <w:vAlign w:val="center"/>
          </w:tcPr>
          <w:p w14:paraId="5959C858">
            <w:pPr>
              <w:pStyle w:val="133"/>
              <w:rPr>
                <w:sz w:val="18"/>
                <w:szCs w:val="18"/>
              </w:rPr>
            </w:pPr>
            <w:r>
              <w:rPr>
                <w:rFonts w:hint="eastAsia"/>
                <w:sz w:val="18"/>
                <w:szCs w:val="18"/>
              </w:rPr>
              <w:t>0.03|0</w:t>
            </w:r>
          </w:p>
        </w:tc>
        <w:tc>
          <w:tcPr>
            <w:tcW w:w="0" w:type="auto"/>
            <w:noWrap/>
            <w:vAlign w:val="center"/>
          </w:tcPr>
          <w:p w14:paraId="6467C3F0">
            <w:pPr>
              <w:pStyle w:val="133"/>
              <w:rPr>
                <w:sz w:val="18"/>
                <w:szCs w:val="18"/>
              </w:rPr>
            </w:pPr>
            <w:r>
              <w:rPr>
                <w:rFonts w:hint="eastAsia"/>
                <w:sz w:val="18"/>
                <w:szCs w:val="18"/>
              </w:rPr>
              <w:t>0.00|0</w:t>
            </w:r>
          </w:p>
        </w:tc>
        <w:tc>
          <w:tcPr>
            <w:tcW w:w="0" w:type="auto"/>
            <w:noWrap/>
            <w:vAlign w:val="center"/>
          </w:tcPr>
          <w:p w14:paraId="7BD4C492">
            <w:pPr>
              <w:pStyle w:val="133"/>
              <w:rPr>
                <w:sz w:val="18"/>
                <w:szCs w:val="18"/>
              </w:rPr>
            </w:pPr>
            <w:r>
              <w:rPr>
                <w:rFonts w:hint="eastAsia"/>
                <w:sz w:val="18"/>
                <w:szCs w:val="18"/>
              </w:rPr>
              <w:t>0.00|0</w:t>
            </w:r>
          </w:p>
        </w:tc>
        <w:tc>
          <w:tcPr>
            <w:tcW w:w="0" w:type="auto"/>
            <w:noWrap/>
            <w:vAlign w:val="center"/>
          </w:tcPr>
          <w:p w14:paraId="2C8614F1">
            <w:pPr>
              <w:pStyle w:val="133"/>
              <w:rPr>
                <w:sz w:val="18"/>
                <w:szCs w:val="18"/>
              </w:rPr>
            </w:pPr>
            <w:r>
              <w:rPr>
                <w:rFonts w:hint="eastAsia"/>
                <w:sz w:val="18"/>
                <w:szCs w:val="18"/>
              </w:rPr>
              <w:t>0.00|0</w:t>
            </w:r>
          </w:p>
        </w:tc>
        <w:tc>
          <w:tcPr>
            <w:tcW w:w="0" w:type="auto"/>
            <w:vAlign w:val="center"/>
          </w:tcPr>
          <w:p w14:paraId="5104F5D3">
            <w:pPr>
              <w:pStyle w:val="133"/>
              <w:rPr>
                <w:sz w:val="18"/>
                <w:szCs w:val="18"/>
              </w:rPr>
            </w:pPr>
            <w:r>
              <w:rPr>
                <w:rFonts w:hint="eastAsia"/>
                <w:sz w:val="18"/>
                <w:szCs w:val="18"/>
              </w:rPr>
              <w:t>0.00|0</w:t>
            </w:r>
          </w:p>
        </w:tc>
        <w:tc>
          <w:tcPr>
            <w:tcW w:w="0" w:type="auto"/>
            <w:vAlign w:val="center"/>
          </w:tcPr>
          <w:p w14:paraId="4657767F">
            <w:pPr>
              <w:pStyle w:val="133"/>
              <w:rPr>
                <w:sz w:val="18"/>
                <w:szCs w:val="18"/>
              </w:rPr>
            </w:pPr>
            <w:r>
              <w:rPr>
                <w:rFonts w:hint="eastAsia"/>
                <w:sz w:val="18"/>
                <w:szCs w:val="18"/>
              </w:rPr>
              <w:t>0.00|0</w:t>
            </w:r>
          </w:p>
        </w:tc>
      </w:tr>
      <w:tr w14:paraId="7A6D4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1EF538DD">
            <w:pPr>
              <w:pStyle w:val="133"/>
              <w:rPr>
                <w:sz w:val="18"/>
                <w:szCs w:val="18"/>
              </w:rPr>
            </w:pPr>
            <w:r>
              <w:rPr>
                <w:rFonts w:hint="eastAsia"/>
                <w:sz w:val="18"/>
                <w:szCs w:val="18"/>
              </w:rPr>
              <w:t>4</w:t>
            </w:r>
          </w:p>
        </w:tc>
        <w:tc>
          <w:tcPr>
            <w:tcW w:w="0" w:type="auto"/>
            <w:noWrap/>
            <w:vAlign w:val="center"/>
          </w:tcPr>
          <w:p w14:paraId="40933EE4">
            <w:pPr>
              <w:pStyle w:val="133"/>
              <w:rPr>
                <w:sz w:val="18"/>
                <w:szCs w:val="18"/>
              </w:rPr>
            </w:pPr>
            <w:r>
              <w:rPr>
                <w:rFonts w:hint="eastAsia"/>
                <w:sz w:val="18"/>
                <w:szCs w:val="18"/>
              </w:rPr>
              <w:t>筛焦废气</w:t>
            </w:r>
          </w:p>
        </w:tc>
        <w:tc>
          <w:tcPr>
            <w:tcW w:w="0" w:type="auto"/>
            <w:noWrap/>
            <w:vAlign w:val="center"/>
          </w:tcPr>
          <w:p w14:paraId="6BE08B0A">
            <w:pPr>
              <w:pStyle w:val="133"/>
              <w:rPr>
                <w:sz w:val="18"/>
                <w:szCs w:val="18"/>
              </w:rPr>
            </w:pPr>
            <w:r>
              <w:rPr>
                <w:rFonts w:hint="eastAsia"/>
                <w:sz w:val="18"/>
                <w:szCs w:val="18"/>
              </w:rPr>
              <w:t>60</w:t>
            </w:r>
          </w:p>
        </w:tc>
        <w:tc>
          <w:tcPr>
            <w:tcW w:w="0" w:type="auto"/>
            <w:noWrap/>
            <w:vAlign w:val="center"/>
          </w:tcPr>
          <w:p w14:paraId="2042F326">
            <w:pPr>
              <w:pStyle w:val="133"/>
              <w:rPr>
                <w:sz w:val="18"/>
                <w:szCs w:val="18"/>
              </w:rPr>
            </w:pPr>
            <w:r>
              <w:rPr>
                <w:rFonts w:hint="eastAsia"/>
                <w:sz w:val="18"/>
                <w:szCs w:val="18"/>
              </w:rPr>
              <w:t>67</w:t>
            </w:r>
          </w:p>
        </w:tc>
        <w:tc>
          <w:tcPr>
            <w:tcW w:w="0" w:type="auto"/>
            <w:noWrap/>
            <w:vAlign w:val="center"/>
          </w:tcPr>
          <w:p w14:paraId="4376BDAA">
            <w:pPr>
              <w:pStyle w:val="133"/>
              <w:rPr>
                <w:sz w:val="18"/>
                <w:szCs w:val="18"/>
              </w:rPr>
            </w:pPr>
            <w:r>
              <w:rPr>
                <w:rFonts w:hint="eastAsia"/>
                <w:sz w:val="18"/>
                <w:szCs w:val="18"/>
              </w:rPr>
              <w:t>2.52</w:t>
            </w:r>
          </w:p>
        </w:tc>
        <w:tc>
          <w:tcPr>
            <w:tcW w:w="0" w:type="auto"/>
            <w:noWrap/>
            <w:vAlign w:val="center"/>
          </w:tcPr>
          <w:p w14:paraId="3D56F9D3">
            <w:pPr>
              <w:pStyle w:val="133"/>
              <w:rPr>
                <w:sz w:val="18"/>
                <w:szCs w:val="18"/>
              </w:rPr>
            </w:pPr>
            <w:r>
              <w:rPr>
                <w:rFonts w:hint="eastAsia"/>
                <w:sz w:val="18"/>
                <w:szCs w:val="18"/>
              </w:rPr>
              <w:t>0.00|0</w:t>
            </w:r>
          </w:p>
        </w:tc>
        <w:tc>
          <w:tcPr>
            <w:tcW w:w="0" w:type="auto"/>
            <w:noWrap/>
            <w:vAlign w:val="center"/>
          </w:tcPr>
          <w:p w14:paraId="4CBAF00A">
            <w:pPr>
              <w:pStyle w:val="133"/>
              <w:rPr>
                <w:sz w:val="18"/>
                <w:szCs w:val="18"/>
              </w:rPr>
            </w:pPr>
            <w:r>
              <w:rPr>
                <w:rFonts w:hint="eastAsia"/>
                <w:sz w:val="18"/>
                <w:szCs w:val="18"/>
              </w:rPr>
              <w:t>0.00|0</w:t>
            </w:r>
          </w:p>
        </w:tc>
        <w:tc>
          <w:tcPr>
            <w:tcW w:w="0" w:type="auto"/>
            <w:noWrap/>
            <w:vAlign w:val="center"/>
          </w:tcPr>
          <w:p w14:paraId="3A97880D">
            <w:pPr>
              <w:pStyle w:val="133"/>
              <w:rPr>
                <w:sz w:val="18"/>
                <w:szCs w:val="18"/>
              </w:rPr>
            </w:pPr>
            <w:r>
              <w:rPr>
                <w:rFonts w:hint="eastAsia"/>
                <w:sz w:val="18"/>
                <w:szCs w:val="18"/>
              </w:rPr>
              <w:t>0.00|0</w:t>
            </w:r>
          </w:p>
        </w:tc>
        <w:tc>
          <w:tcPr>
            <w:tcW w:w="0" w:type="auto"/>
            <w:noWrap/>
            <w:vAlign w:val="center"/>
          </w:tcPr>
          <w:p w14:paraId="624B1B16">
            <w:pPr>
              <w:pStyle w:val="133"/>
              <w:rPr>
                <w:sz w:val="18"/>
                <w:szCs w:val="18"/>
              </w:rPr>
            </w:pPr>
            <w:r>
              <w:rPr>
                <w:rFonts w:hint="eastAsia"/>
                <w:sz w:val="18"/>
                <w:szCs w:val="18"/>
              </w:rPr>
              <w:t>1.61|0</w:t>
            </w:r>
          </w:p>
        </w:tc>
        <w:tc>
          <w:tcPr>
            <w:tcW w:w="0" w:type="auto"/>
            <w:noWrap/>
            <w:vAlign w:val="center"/>
          </w:tcPr>
          <w:p w14:paraId="765AF5F4">
            <w:pPr>
              <w:pStyle w:val="133"/>
              <w:rPr>
                <w:sz w:val="18"/>
                <w:szCs w:val="18"/>
              </w:rPr>
            </w:pPr>
            <w:r>
              <w:rPr>
                <w:rFonts w:hint="eastAsia"/>
                <w:sz w:val="18"/>
                <w:szCs w:val="18"/>
              </w:rPr>
              <w:t>1.61|0</w:t>
            </w:r>
          </w:p>
        </w:tc>
        <w:tc>
          <w:tcPr>
            <w:tcW w:w="0" w:type="auto"/>
            <w:noWrap/>
            <w:vAlign w:val="center"/>
          </w:tcPr>
          <w:p w14:paraId="1A9A7F1D">
            <w:pPr>
              <w:pStyle w:val="133"/>
              <w:rPr>
                <w:sz w:val="18"/>
                <w:szCs w:val="18"/>
              </w:rPr>
            </w:pPr>
            <w:r>
              <w:rPr>
                <w:rFonts w:hint="eastAsia"/>
                <w:sz w:val="18"/>
                <w:szCs w:val="18"/>
              </w:rPr>
              <w:t>0.00|0</w:t>
            </w:r>
          </w:p>
        </w:tc>
        <w:tc>
          <w:tcPr>
            <w:tcW w:w="0" w:type="auto"/>
            <w:noWrap/>
            <w:vAlign w:val="center"/>
          </w:tcPr>
          <w:p w14:paraId="340B3D8C">
            <w:pPr>
              <w:pStyle w:val="133"/>
              <w:rPr>
                <w:sz w:val="18"/>
                <w:szCs w:val="18"/>
              </w:rPr>
            </w:pPr>
            <w:r>
              <w:rPr>
                <w:rFonts w:hint="eastAsia"/>
                <w:sz w:val="18"/>
                <w:szCs w:val="18"/>
              </w:rPr>
              <w:t>0.00|0</w:t>
            </w:r>
          </w:p>
        </w:tc>
        <w:tc>
          <w:tcPr>
            <w:tcW w:w="0" w:type="auto"/>
            <w:noWrap/>
            <w:vAlign w:val="center"/>
          </w:tcPr>
          <w:p w14:paraId="2E44FEAD">
            <w:pPr>
              <w:pStyle w:val="133"/>
              <w:rPr>
                <w:sz w:val="18"/>
                <w:szCs w:val="18"/>
              </w:rPr>
            </w:pPr>
            <w:r>
              <w:rPr>
                <w:rFonts w:hint="eastAsia"/>
                <w:sz w:val="18"/>
                <w:szCs w:val="18"/>
              </w:rPr>
              <w:t>0.00|0</w:t>
            </w:r>
          </w:p>
        </w:tc>
        <w:tc>
          <w:tcPr>
            <w:tcW w:w="0" w:type="auto"/>
            <w:noWrap/>
            <w:vAlign w:val="center"/>
          </w:tcPr>
          <w:p w14:paraId="27EAEC05">
            <w:pPr>
              <w:pStyle w:val="133"/>
              <w:rPr>
                <w:sz w:val="18"/>
                <w:szCs w:val="18"/>
              </w:rPr>
            </w:pPr>
            <w:r>
              <w:rPr>
                <w:rFonts w:hint="eastAsia"/>
                <w:sz w:val="18"/>
                <w:szCs w:val="18"/>
              </w:rPr>
              <w:t>0.00|0</w:t>
            </w:r>
          </w:p>
        </w:tc>
        <w:tc>
          <w:tcPr>
            <w:tcW w:w="0" w:type="auto"/>
            <w:vAlign w:val="center"/>
          </w:tcPr>
          <w:p w14:paraId="05366B2E">
            <w:pPr>
              <w:pStyle w:val="133"/>
              <w:rPr>
                <w:sz w:val="18"/>
                <w:szCs w:val="18"/>
              </w:rPr>
            </w:pPr>
            <w:r>
              <w:rPr>
                <w:rFonts w:hint="eastAsia"/>
                <w:sz w:val="18"/>
                <w:szCs w:val="18"/>
              </w:rPr>
              <w:t>0.00|0</w:t>
            </w:r>
          </w:p>
        </w:tc>
        <w:tc>
          <w:tcPr>
            <w:tcW w:w="0" w:type="auto"/>
            <w:vAlign w:val="center"/>
          </w:tcPr>
          <w:p w14:paraId="13BA82F4">
            <w:pPr>
              <w:pStyle w:val="133"/>
              <w:rPr>
                <w:sz w:val="18"/>
                <w:szCs w:val="18"/>
              </w:rPr>
            </w:pPr>
            <w:r>
              <w:rPr>
                <w:rFonts w:hint="eastAsia"/>
                <w:sz w:val="18"/>
                <w:szCs w:val="18"/>
              </w:rPr>
              <w:t>0.00|0</w:t>
            </w:r>
          </w:p>
        </w:tc>
      </w:tr>
      <w:tr w14:paraId="02DA5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4D231ABB">
            <w:pPr>
              <w:pStyle w:val="133"/>
              <w:rPr>
                <w:sz w:val="18"/>
                <w:szCs w:val="18"/>
              </w:rPr>
            </w:pPr>
            <w:r>
              <w:rPr>
                <w:rFonts w:hint="eastAsia"/>
                <w:sz w:val="18"/>
                <w:szCs w:val="18"/>
              </w:rPr>
              <w:t>5</w:t>
            </w:r>
          </w:p>
        </w:tc>
        <w:tc>
          <w:tcPr>
            <w:tcW w:w="0" w:type="auto"/>
            <w:noWrap/>
            <w:vAlign w:val="center"/>
          </w:tcPr>
          <w:p w14:paraId="56C562B5">
            <w:pPr>
              <w:pStyle w:val="133"/>
              <w:rPr>
                <w:sz w:val="18"/>
                <w:szCs w:val="18"/>
              </w:rPr>
            </w:pPr>
            <w:r>
              <w:rPr>
                <w:rFonts w:hint="eastAsia"/>
                <w:sz w:val="18"/>
                <w:szCs w:val="18"/>
              </w:rPr>
              <w:t>兰炭烘干废气</w:t>
            </w:r>
          </w:p>
        </w:tc>
        <w:tc>
          <w:tcPr>
            <w:tcW w:w="0" w:type="auto"/>
            <w:noWrap/>
            <w:vAlign w:val="center"/>
          </w:tcPr>
          <w:p w14:paraId="6D688D5F">
            <w:pPr>
              <w:pStyle w:val="133"/>
              <w:rPr>
                <w:sz w:val="18"/>
                <w:szCs w:val="18"/>
              </w:rPr>
            </w:pPr>
            <w:r>
              <w:rPr>
                <w:rFonts w:hint="eastAsia"/>
                <w:sz w:val="18"/>
                <w:szCs w:val="18"/>
              </w:rPr>
              <w:t>130</w:t>
            </w:r>
          </w:p>
        </w:tc>
        <w:tc>
          <w:tcPr>
            <w:tcW w:w="0" w:type="auto"/>
            <w:noWrap/>
            <w:vAlign w:val="center"/>
          </w:tcPr>
          <w:p w14:paraId="5F046AA0">
            <w:pPr>
              <w:pStyle w:val="133"/>
              <w:rPr>
                <w:sz w:val="18"/>
                <w:szCs w:val="18"/>
              </w:rPr>
            </w:pPr>
            <w:r>
              <w:rPr>
                <w:rFonts w:hint="eastAsia"/>
                <w:sz w:val="18"/>
                <w:szCs w:val="18"/>
              </w:rPr>
              <w:t>96</w:t>
            </w:r>
          </w:p>
        </w:tc>
        <w:tc>
          <w:tcPr>
            <w:tcW w:w="0" w:type="auto"/>
            <w:noWrap/>
            <w:vAlign w:val="center"/>
          </w:tcPr>
          <w:p w14:paraId="477B525E">
            <w:pPr>
              <w:pStyle w:val="133"/>
              <w:rPr>
                <w:sz w:val="18"/>
                <w:szCs w:val="18"/>
              </w:rPr>
            </w:pPr>
            <w:r>
              <w:rPr>
                <w:rFonts w:hint="eastAsia"/>
                <w:sz w:val="18"/>
                <w:szCs w:val="18"/>
              </w:rPr>
              <w:t>0.24</w:t>
            </w:r>
          </w:p>
        </w:tc>
        <w:tc>
          <w:tcPr>
            <w:tcW w:w="0" w:type="auto"/>
            <w:noWrap/>
            <w:vAlign w:val="center"/>
          </w:tcPr>
          <w:p w14:paraId="6113BC9C">
            <w:pPr>
              <w:pStyle w:val="133"/>
              <w:rPr>
                <w:sz w:val="18"/>
                <w:szCs w:val="18"/>
              </w:rPr>
            </w:pPr>
            <w:r>
              <w:rPr>
                <w:rFonts w:hint="eastAsia"/>
                <w:sz w:val="18"/>
                <w:szCs w:val="18"/>
              </w:rPr>
              <w:t>0.62|0</w:t>
            </w:r>
          </w:p>
        </w:tc>
        <w:tc>
          <w:tcPr>
            <w:tcW w:w="0" w:type="auto"/>
            <w:noWrap/>
            <w:vAlign w:val="center"/>
          </w:tcPr>
          <w:p w14:paraId="4D378C0E">
            <w:pPr>
              <w:pStyle w:val="133"/>
              <w:rPr>
                <w:sz w:val="18"/>
                <w:szCs w:val="18"/>
              </w:rPr>
            </w:pPr>
            <w:r>
              <w:rPr>
                <w:rFonts w:hint="eastAsia"/>
                <w:sz w:val="18"/>
                <w:szCs w:val="18"/>
              </w:rPr>
              <w:t>15.25|175</w:t>
            </w:r>
          </w:p>
        </w:tc>
        <w:tc>
          <w:tcPr>
            <w:tcW w:w="0" w:type="auto"/>
            <w:noWrap/>
            <w:vAlign w:val="center"/>
          </w:tcPr>
          <w:p w14:paraId="6704D7B1">
            <w:pPr>
              <w:pStyle w:val="133"/>
              <w:rPr>
                <w:sz w:val="18"/>
                <w:szCs w:val="18"/>
              </w:rPr>
            </w:pPr>
            <w:r>
              <w:rPr>
                <w:rFonts w:hint="eastAsia"/>
                <w:sz w:val="18"/>
                <w:szCs w:val="18"/>
              </w:rPr>
              <w:t>0.00|0</w:t>
            </w:r>
          </w:p>
        </w:tc>
        <w:tc>
          <w:tcPr>
            <w:tcW w:w="0" w:type="auto"/>
            <w:noWrap/>
            <w:vAlign w:val="center"/>
          </w:tcPr>
          <w:p w14:paraId="3FD37CA4">
            <w:pPr>
              <w:pStyle w:val="133"/>
              <w:rPr>
                <w:sz w:val="18"/>
                <w:szCs w:val="18"/>
              </w:rPr>
            </w:pPr>
            <w:r>
              <w:rPr>
                <w:rFonts w:hint="eastAsia"/>
                <w:sz w:val="18"/>
                <w:szCs w:val="18"/>
              </w:rPr>
              <w:t>0.08|0</w:t>
            </w:r>
          </w:p>
        </w:tc>
        <w:tc>
          <w:tcPr>
            <w:tcW w:w="0" w:type="auto"/>
            <w:noWrap/>
            <w:vAlign w:val="center"/>
          </w:tcPr>
          <w:p w14:paraId="2F61632A">
            <w:pPr>
              <w:pStyle w:val="133"/>
              <w:rPr>
                <w:sz w:val="18"/>
                <w:szCs w:val="18"/>
              </w:rPr>
            </w:pPr>
            <w:r>
              <w:rPr>
                <w:rFonts w:hint="eastAsia"/>
                <w:sz w:val="18"/>
                <w:szCs w:val="18"/>
              </w:rPr>
              <w:t>0.08|0</w:t>
            </w:r>
          </w:p>
        </w:tc>
        <w:tc>
          <w:tcPr>
            <w:tcW w:w="0" w:type="auto"/>
            <w:noWrap/>
            <w:vAlign w:val="center"/>
          </w:tcPr>
          <w:p w14:paraId="462615F4">
            <w:pPr>
              <w:pStyle w:val="133"/>
              <w:rPr>
                <w:sz w:val="18"/>
                <w:szCs w:val="18"/>
              </w:rPr>
            </w:pPr>
            <w:r>
              <w:rPr>
                <w:rFonts w:hint="eastAsia"/>
                <w:sz w:val="18"/>
                <w:szCs w:val="18"/>
              </w:rPr>
              <w:t>0.00|0</w:t>
            </w:r>
          </w:p>
        </w:tc>
        <w:tc>
          <w:tcPr>
            <w:tcW w:w="0" w:type="auto"/>
            <w:noWrap/>
            <w:vAlign w:val="center"/>
          </w:tcPr>
          <w:p w14:paraId="3E25075C">
            <w:pPr>
              <w:pStyle w:val="133"/>
              <w:rPr>
                <w:sz w:val="18"/>
                <w:szCs w:val="18"/>
              </w:rPr>
            </w:pPr>
            <w:r>
              <w:rPr>
                <w:rFonts w:hint="eastAsia"/>
                <w:sz w:val="18"/>
                <w:szCs w:val="18"/>
              </w:rPr>
              <w:t>0.00|0</w:t>
            </w:r>
          </w:p>
        </w:tc>
        <w:tc>
          <w:tcPr>
            <w:tcW w:w="0" w:type="auto"/>
            <w:noWrap/>
            <w:vAlign w:val="center"/>
          </w:tcPr>
          <w:p w14:paraId="2D982678">
            <w:pPr>
              <w:pStyle w:val="133"/>
              <w:rPr>
                <w:sz w:val="18"/>
                <w:szCs w:val="18"/>
              </w:rPr>
            </w:pPr>
            <w:r>
              <w:rPr>
                <w:rFonts w:hint="eastAsia"/>
                <w:sz w:val="18"/>
                <w:szCs w:val="18"/>
              </w:rPr>
              <w:t>0.00|0</w:t>
            </w:r>
          </w:p>
        </w:tc>
        <w:tc>
          <w:tcPr>
            <w:tcW w:w="0" w:type="auto"/>
            <w:noWrap/>
            <w:vAlign w:val="center"/>
          </w:tcPr>
          <w:p w14:paraId="41089F76">
            <w:pPr>
              <w:pStyle w:val="133"/>
              <w:rPr>
                <w:sz w:val="18"/>
                <w:szCs w:val="18"/>
              </w:rPr>
            </w:pPr>
            <w:r>
              <w:rPr>
                <w:rFonts w:hint="eastAsia"/>
                <w:sz w:val="18"/>
                <w:szCs w:val="18"/>
              </w:rPr>
              <w:t>0.00|0</w:t>
            </w:r>
          </w:p>
        </w:tc>
        <w:tc>
          <w:tcPr>
            <w:tcW w:w="0" w:type="auto"/>
            <w:vAlign w:val="center"/>
          </w:tcPr>
          <w:p w14:paraId="7B398264">
            <w:pPr>
              <w:pStyle w:val="133"/>
              <w:rPr>
                <w:sz w:val="18"/>
                <w:szCs w:val="18"/>
              </w:rPr>
            </w:pPr>
            <w:r>
              <w:rPr>
                <w:rFonts w:hint="eastAsia"/>
                <w:sz w:val="18"/>
                <w:szCs w:val="18"/>
              </w:rPr>
              <w:t>0.00|0</w:t>
            </w:r>
          </w:p>
        </w:tc>
        <w:tc>
          <w:tcPr>
            <w:tcW w:w="0" w:type="auto"/>
            <w:vAlign w:val="center"/>
          </w:tcPr>
          <w:p w14:paraId="684C3F85">
            <w:pPr>
              <w:pStyle w:val="133"/>
              <w:rPr>
                <w:sz w:val="18"/>
                <w:szCs w:val="18"/>
              </w:rPr>
            </w:pPr>
            <w:r>
              <w:rPr>
                <w:rFonts w:hint="eastAsia"/>
                <w:sz w:val="18"/>
                <w:szCs w:val="18"/>
              </w:rPr>
              <w:t>0.00|0</w:t>
            </w:r>
          </w:p>
        </w:tc>
      </w:tr>
      <w:tr w14:paraId="2B282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0C82E5D3">
            <w:pPr>
              <w:pStyle w:val="133"/>
              <w:rPr>
                <w:sz w:val="18"/>
                <w:szCs w:val="18"/>
              </w:rPr>
            </w:pPr>
            <w:r>
              <w:rPr>
                <w:rFonts w:hint="eastAsia"/>
                <w:sz w:val="18"/>
                <w:szCs w:val="18"/>
              </w:rPr>
              <w:t>6</w:t>
            </w:r>
          </w:p>
        </w:tc>
        <w:tc>
          <w:tcPr>
            <w:tcW w:w="0" w:type="auto"/>
            <w:noWrap/>
            <w:vAlign w:val="center"/>
          </w:tcPr>
          <w:p w14:paraId="14B78A07">
            <w:pPr>
              <w:pStyle w:val="133"/>
              <w:rPr>
                <w:sz w:val="18"/>
                <w:szCs w:val="18"/>
              </w:rPr>
            </w:pPr>
            <w:r>
              <w:rPr>
                <w:rFonts w:hint="eastAsia"/>
                <w:sz w:val="18"/>
                <w:szCs w:val="18"/>
              </w:rPr>
              <w:t>兰炭筛分废气</w:t>
            </w:r>
          </w:p>
        </w:tc>
        <w:tc>
          <w:tcPr>
            <w:tcW w:w="0" w:type="auto"/>
            <w:noWrap/>
            <w:vAlign w:val="center"/>
          </w:tcPr>
          <w:p w14:paraId="6036E5C1">
            <w:pPr>
              <w:pStyle w:val="133"/>
              <w:rPr>
                <w:sz w:val="18"/>
                <w:szCs w:val="18"/>
              </w:rPr>
            </w:pPr>
            <w:r>
              <w:rPr>
                <w:rFonts w:hint="eastAsia"/>
                <w:sz w:val="18"/>
                <w:szCs w:val="18"/>
              </w:rPr>
              <w:t>60</w:t>
            </w:r>
          </w:p>
        </w:tc>
        <w:tc>
          <w:tcPr>
            <w:tcW w:w="0" w:type="auto"/>
            <w:noWrap/>
            <w:vAlign w:val="center"/>
          </w:tcPr>
          <w:p w14:paraId="3519090C">
            <w:pPr>
              <w:pStyle w:val="133"/>
              <w:rPr>
                <w:sz w:val="18"/>
                <w:szCs w:val="18"/>
              </w:rPr>
            </w:pPr>
            <w:r>
              <w:rPr>
                <w:rFonts w:hint="eastAsia"/>
                <w:sz w:val="18"/>
                <w:szCs w:val="18"/>
              </w:rPr>
              <w:t>67</w:t>
            </w:r>
          </w:p>
        </w:tc>
        <w:tc>
          <w:tcPr>
            <w:tcW w:w="0" w:type="auto"/>
            <w:noWrap/>
            <w:vAlign w:val="center"/>
          </w:tcPr>
          <w:p w14:paraId="1C7CF11F">
            <w:pPr>
              <w:pStyle w:val="133"/>
              <w:rPr>
                <w:sz w:val="18"/>
                <w:szCs w:val="18"/>
              </w:rPr>
            </w:pPr>
            <w:r>
              <w:rPr>
                <w:rFonts w:hint="eastAsia"/>
                <w:sz w:val="18"/>
                <w:szCs w:val="18"/>
              </w:rPr>
              <w:t>2.52</w:t>
            </w:r>
          </w:p>
        </w:tc>
        <w:tc>
          <w:tcPr>
            <w:tcW w:w="0" w:type="auto"/>
            <w:noWrap/>
            <w:vAlign w:val="center"/>
          </w:tcPr>
          <w:p w14:paraId="003AEAFD">
            <w:pPr>
              <w:pStyle w:val="133"/>
              <w:rPr>
                <w:sz w:val="18"/>
                <w:szCs w:val="18"/>
              </w:rPr>
            </w:pPr>
            <w:r>
              <w:rPr>
                <w:rFonts w:hint="eastAsia"/>
                <w:sz w:val="18"/>
                <w:szCs w:val="18"/>
              </w:rPr>
              <w:t>0.00|0</w:t>
            </w:r>
          </w:p>
        </w:tc>
        <w:tc>
          <w:tcPr>
            <w:tcW w:w="0" w:type="auto"/>
            <w:noWrap/>
            <w:vAlign w:val="center"/>
          </w:tcPr>
          <w:p w14:paraId="6F558C47">
            <w:pPr>
              <w:pStyle w:val="133"/>
              <w:rPr>
                <w:sz w:val="18"/>
                <w:szCs w:val="18"/>
              </w:rPr>
            </w:pPr>
            <w:r>
              <w:rPr>
                <w:rFonts w:hint="eastAsia"/>
                <w:sz w:val="18"/>
                <w:szCs w:val="18"/>
              </w:rPr>
              <w:t>0.00|0</w:t>
            </w:r>
          </w:p>
        </w:tc>
        <w:tc>
          <w:tcPr>
            <w:tcW w:w="0" w:type="auto"/>
            <w:noWrap/>
            <w:vAlign w:val="center"/>
          </w:tcPr>
          <w:p w14:paraId="3FF36B9E">
            <w:pPr>
              <w:pStyle w:val="133"/>
              <w:rPr>
                <w:sz w:val="18"/>
                <w:szCs w:val="18"/>
              </w:rPr>
            </w:pPr>
            <w:r>
              <w:rPr>
                <w:rFonts w:hint="eastAsia"/>
                <w:sz w:val="18"/>
                <w:szCs w:val="18"/>
              </w:rPr>
              <w:t>0.00|0</w:t>
            </w:r>
          </w:p>
        </w:tc>
        <w:tc>
          <w:tcPr>
            <w:tcW w:w="0" w:type="auto"/>
            <w:noWrap/>
            <w:vAlign w:val="center"/>
          </w:tcPr>
          <w:p w14:paraId="78745CF1">
            <w:pPr>
              <w:pStyle w:val="133"/>
              <w:rPr>
                <w:sz w:val="18"/>
                <w:szCs w:val="18"/>
              </w:rPr>
            </w:pPr>
            <w:r>
              <w:rPr>
                <w:rFonts w:hint="eastAsia"/>
                <w:sz w:val="18"/>
                <w:szCs w:val="18"/>
              </w:rPr>
              <w:t>3.32|0</w:t>
            </w:r>
          </w:p>
        </w:tc>
        <w:tc>
          <w:tcPr>
            <w:tcW w:w="0" w:type="auto"/>
            <w:noWrap/>
            <w:vAlign w:val="center"/>
          </w:tcPr>
          <w:p w14:paraId="231E93DF">
            <w:pPr>
              <w:pStyle w:val="133"/>
              <w:rPr>
                <w:sz w:val="18"/>
                <w:szCs w:val="18"/>
              </w:rPr>
            </w:pPr>
            <w:r>
              <w:rPr>
                <w:rFonts w:hint="eastAsia"/>
                <w:sz w:val="18"/>
                <w:szCs w:val="18"/>
              </w:rPr>
              <w:t>3.32|0</w:t>
            </w:r>
          </w:p>
        </w:tc>
        <w:tc>
          <w:tcPr>
            <w:tcW w:w="0" w:type="auto"/>
            <w:noWrap/>
            <w:vAlign w:val="center"/>
          </w:tcPr>
          <w:p w14:paraId="671B9179">
            <w:pPr>
              <w:pStyle w:val="133"/>
              <w:rPr>
                <w:sz w:val="18"/>
                <w:szCs w:val="18"/>
              </w:rPr>
            </w:pPr>
            <w:r>
              <w:rPr>
                <w:rFonts w:hint="eastAsia"/>
                <w:sz w:val="18"/>
                <w:szCs w:val="18"/>
              </w:rPr>
              <w:t>0.00|0</w:t>
            </w:r>
          </w:p>
        </w:tc>
        <w:tc>
          <w:tcPr>
            <w:tcW w:w="0" w:type="auto"/>
            <w:noWrap/>
            <w:vAlign w:val="center"/>
          </w:tcPr>
          <w:p w14:paraId="27A8C964">
            <w:pPr>
              <w:pStyle w:val="133"/>
              <w:rPr>
                <w:sz w:val="18"/>
                <w:szCs w:val="18"/>
              </w:rPr>
            </w:pPr>
            <w:r>
              <w:rPr>
                <w:rFonts w:hint="eastAsia"/>
                <w:sz w:val="18"/>
                <w:szCs w:val="18"/>
              </w:rPr>
              <w:t>0.00|0</w:t>
            </w:r>
          </w:p>
        </w:tc>
        <w:tc>
          <w:tcPr>
            <w:tcW w:w="0" w:type="auto"/>
            <w:noWrap/>
            <w:vAlign w:val="center"/>
          </w:tcPr>
          <w:p w14:paraId="1142D387">
            <w:pPr>
              <w:pStyle w:val="133"/>
              <w:rPr>
                <w:sz w:val="18"/>
                <w:szCs w:val="18"/>
              </w:rPr>
            </w:pPr>
            <w:r>
              <w:rPr>
                <w:rFonts w:hint="eastAsia"/>
                <w:sz w:val="18"/>
                <w:szCs w:val="18"/>
              </w:rPr>
              <w:t>0.00|0</w:t>
            </w:r>
          </w:p>
        </w:tc>
        <w:tc>
          <w:tcPr>
            <w:tcW w:w="0" w:type="auto"/>
            <w:noWrap/>
            <w:vAlign w:val="center"/>
          </w:tcPr>
          <w:p w14:paraId="4BB99F7C">
            <w:pPr>
              <w:pStyle w:val="133"/>
              <w:rPr>
                <w:sz w:val="18"/>
                <w:szCs w:val="18"/>
              </w:rPr>
            </w:pPr>
            <w:r>
              <w:rPr>
                <w:rFonts w:hint="eastAsia"/>
                <w:sz w:val="18"/>
                <w:szCs w:val="18"/>
              </w:rPr>
              <w:t>0.00|0</w:t>
            </w:r>
          </w:p>
        </w:tc>
        <w:tc>
          <w:tcPr>
            <w:tcW w:w="0" w:type="auto"/>
            <w:vAlign w:val="center"/>
          </w:tcPr>
          <w:p w14:paraId="066A4869">
            <w:pPr>
              <w:pStyle w:val="133"/>
              <w:rPr>
                <w:sz w:val="18"/>
                <w:szCs w:val="18"/>
              </w:rPr>
            </w:pPr>
            <w:r>
              <w:rPr>
                <w:rFonts w:hint="eastAsia"/>
                <w:sz w:val="18"/>
                <w:szCs w:val="18"/>
              </w:rPr>
              <w:t>0.00|0</w:t>
            </w:r>
          </w:p>
        </w:tc>
        <w:tc>
          <w:tcPr>
            <w:tcW w:w="0" w:type="auto"/>
            <w:vAlign w:val="center"/>
          </w:tcPr>
          <w:p w14:paraId="36688E7B">
            <w:pPr>
              <w:pStyle w:val="133"/>
              <w:rPr>
                <w:sz w:val="18"/>
                <w:szCs w:val="18"/>
              </w:rPr>
            </w:pPr>
            <w:r>
              <w:rPr>
                <w:rFonts w:hint="eastAsia"/>
                <w:sz w:val="18"/>
                <w:szCs w:val="18"/>
              </w:rPr>
              <w:t>0.00|0</w:t>
            </w:r>
          </w:p>
        </w:tc>
      </w:tr>
      <w:tr w14:paraId="19297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3FBE26C2">
            <w:pPr>
              <w:pStyle w:val="133"/>
              <w:rPr>
                <w:sz w:val="18"/>
                <w:szCs w:val="18"/>
              </w:rPr>
            </w:pPr>
            <w:r>
              <w:rPr>
                <w:rFonts w:hint="eastAsia"/>
                <w:sz w:val="18"/>
                <w:szCs w:val="18"/>
              </w:rPr>
              <w:t>7</w:t>
            </w:r>
          </w:p>
        </w:tc>
        <w:tc>
          <w:tcPr>
            <w:tcW w:w="0" w:type="auto"/>
            <w:noWrap/>
            <w:vAlign w:val="center"/>
          </w:tcPr>
          <w:p w14:paraId="7CE1BA2A">
            <w:pPr>
              <w:pStyle w:val="133"/>
              <w:rPr>
                <w:sz w:val="18"/>
                <w:szCs w:val="18"/>
              </w:rPr>
            </w:pPr>
            <w:r>
              <w:rPr>
                <w:rFonts w:hint="eastAsia"/>
                <w:sz w:val="18"/>
                <w:szCs w:val="18"/>
              </w:rPr>
              <w:t>焚烧炉烟气</w:t>
            </w:r>
          </w:p>
        </w:tc>
        <w:tc>
          <w:tcPr>
            <w:tcW w:w="0" w:type="auto"/>
            <w:noWrap/>
            <w:vAlign w:val="center"/>
          </w:tcPr>
          <w:p w14:paraId="7AAFC75A">
            <w:pPr>
              <w:pStyle w:val="133"/>
              <w:rPr>
                <w:sz w:val="18"/>
                <w:szCs w:val="18"/>
              </w:rPr>
            </w:pPr>
            <w:r>
              <w:rPr>
                <w:rFonts w:hint="eastAsia"/>
                <w:sz w:val="18"/>
                <w:szCs w:val="18"/>
              </w:rPr>
              <w:t>130</w:t>
            </w:r>
          </w:p>
        </w:tc>
        <w:tc>
          <w:tcPr>
            <w:tcW w:w="0" w:type="auto"/>
            <w:noWrap/>
            <w:vAlign w:val="center"/>
          </w:tcPr>
          <w:p w14:paraId="447FCFB1">
            <w:pPr>
              <w:pStyle w:val="133"/>
              <w:rPr>
                <w:sz w:val="18"/>
                <w:szCs w:val="18"/>
              </w:rPr>
            </w:pPr>
            <w:r>
              <w:rPr>
                <w:rFonts w:hint="eastAsia"/>
                <w:sz w:val="18"/>
                <w:szCs w:val="18"/>
              </w:rPr>
              <w:t>87</w:t>
            </w:r>
          </w:p>
        </w:tc>
        <w:tc>
          <w:tcPr>
            <w:tcW w:w="0" w:type="auto"/>
            <w:noWrap/>
            <w:vAlign w:val="center"/>
          </w:tcPr>
          <w:p w14:paraId="764F86D9">
            <w:pPr>
              <w:pStyle w:val="133"/>
              <w:rPr>
                <w:sz w:val="18"/>
                <w:szCs w:val="18"/>
              </w:rPr>
            </w:pPr>
            <w:r>
              <w:rPr>
                <w:rFonts w:hint="eastAsia"/>
                <w:sz w:val="18"/>
                <w:szCs w:val="18"/>
              </w:rPr>
              <w:t>0.3</w:t>
            </w:r>
          </w:p>
        </w:tc>
        <w:tc>
          <w:tcPr>
            <w:tcW w:w="0" w:type="auto"/>
            <w:noWrap/>
            <w:vAlign w:val="center"/>
          </w:tcPr>
          <w:p w14:paraId="63F532F5">
            <w:pPr>
              <w:pStyle w:val="133"/>
              <w:rPr>
                <w:sz w:val="18"/>
                <w:szCs w:val="18"/>
              </w:rPr>
            </w:pPr>
            <w:r>
              <w:rPr>
                <w:rFonts w:hint="eastAsia"/>
                <w:sz w:val="18"/>
                <w:szCs w:val="18"/>
              </w:rPr>
              <w:t>3.32|0</w:t>
            </w:r>
          </w:p>
        </w:tc>
        <w:tc>
          <w:tcPr>
            <w:tcW w:w="0" w:type="auto"/>
            <w:noWrap/>
            <w:vAlign w:val="center"/>
          </w:tcPr>
          <w:p w14:paraId="50B0D238">
            <w:pPr>
              <w:pStyle w:val="133"/>
              <w:rPr>
                <w:sz w:val="18"/>
                <w:szCs w:val="18"/>
              </w:rPr>
            </w:pPr>
            <w:r>
              <w:rPr>
                <w:rFonts w:hint="eastAsia"/>
                <w:sz w:val="18"/>
                <w:szCs w:val="18"/>
              </w:rPr>
              <w:t>40.52|1925</w:t>
            </w:r>
          </w:p>
        </w:tc>
        <w:tc>
          <w:tcPr>
            <w:tcW w:w="0" w:type="auto"/>
            <w:noWrap/>
            <w:vAlign w:val="center"/>
          </w:tcPr>
          <w:p w14:paraId="2A7D99CB">
            <w:pPr>
              <w:pStyle w:val="133"/>
              <w:rPr>
                <w:sz w:val="18"/>
                <w:szCs w:val="18"/>
              </w:rPr>
            </w:pPr>
            <w:r>
              <w:rPr>
                <w:rFonts w:hint="eastAsia"/>
                <w:sz w:val="18"/>
                <w:szCs w:val="18"/>
              </w:rPr>
              <w:t>0.00|0</w:t>
            </w:r>
          </w:p>
        </w:tc>
        <w:tc>
          <w:tcPr>
            <w:tcW w:w="0" w:type="auto"/>
            <w:noWrap/>
            <w:vAlign w:val="center"/>
          </w:tcPr>
          <w:p w14:paraId="2F81C65B">
            <w:pPr>
              <w:pStyle w:val="133"/>
              <w:rPr>
                <w:sz w:val="18"/>
                <w:szCs w:val="18"/>
              </w:rPr>
            </w:pPr>
            <w:r>
              <w:rPr>
                <w:rFonts w:hint="eastAsia"/>
                <w:sz w:val="18"/>
                <w:szCs w:val="18"/>
              </w:rPr>
              <w:t>1.03|0</w:t>
            </w:r>
          </w:p>
        </w:tc>
        <w:tc>
          <w:tcPr>
            <w:tcW w:w="0" w:type="auto"/>
            <w:noWrap/>
            <w:vAlign w:val="center"/>
          </w:tcPr>
          <w:p w14:paraId="20A36116">
            <w:pPr>
              <w:pStyle w:val="133"/>
              <w:rPr>
                <w:sz w:val="18"/>
                <w:szCs w:val="18"/>
              </w:rPr>
            </w:pPr>
            <w:r>
              <w:rPr>
                <w:rFonts w:hint="eastAsia"/>
                <w:sz w:val="18"/>
                <w:szCs w:val="18"/>
              </w:rPr>
              <w:t>1.03|0</w:t>
            </w:r>
          </w:p>
        </w:tc>
        <w:tc>
          <w:tcPr>
            <w:tcW w:w="0" w:type="auto"/>
            <w:noWrap/>
            <w:vAlign w:val="center"/>
          </w:tcPr>
          <w:p w14:paraId="36D03C2B">
            <w:pPr>
              <w:pStyle w:val="133"/>
              <w:rPr>
                <w:sz w:val="18"/>
                <w:szCs w:val="18"/>
              </w:rPr>
            </w:pPr>
            <w:r>
              <w:rPr>
                <w:rFonts w:hint="eastAsia"/>
                <w:sz w:val="18"/>
                <w:szCs w:val="18"/>
              </w:rPr>
              <w:t>0.00|0</w:t>
            </w:r>
          </w:p>
        </w:tc>
        <w:tc>
          <w:tcPr>
            <w:tcW w:w="0" w:type="auto"/>
            <w:noWrap/>
            <w:vAlign w:val="center"/>
          </w:tcPr>
          <w:p w14:paraId="6DA119C8">
            <w:pPr>
              <w:pStyle w:val="133"/>
              <w:rPr>
                <w:sz w:val="18"/>
                <w:szCs w:val="18"/>
              </w:rPr>
            </w:pPr>
            <w:r>
              <w:rPr>
                <w:rFonts w:hint="eastAsia"/>
                <w:sz w:val="18"/>
                <w:szCs w:val="18"/>
              </w:rPr>
              <w:t>0.00|0</w:t>
            </w:r>
          </w:p>
        </w:tc>
        <w:tc>
          <w:tcPr>
            <w:tcW w:w="0" w:type="auto"/>
            <w:noWrap/>
            <w:vAlign w:val="center"/>
          </w:tcPr>
          <w:p w14:paraId="5866F787">
            <w:pPr>
              <w:pStyle w:val="133"/>
              <w:rPr>
                <w:sz w:val="18"/>
                <w:szCs w:val="18"/>
              </w:rPr>
            </w:pPr>
            <w:r>
              <w:rPr>
                <w:rFonts w:hint="eastAsia"/>
                <w:sz w:val="18"/>
                <w:szCs w:val="18"/>
              </w:rPr>
              <w:t>0.00|0</w:t>
            </w:r>
          </w:p>
        </w:tc>
        <w:tc>
          <w:tcPr>
            <w:tcW w:w="0" w:type="auto"/>
            <w:noWrap/>
            <w:vAlign w:val="center"/>
          </w:tcPr>
          <w:p w14:paraId="0132E936">
            <w:pPr>
              <w:pStyle w:val="133"/>
              <w:rPr>
                <w:sz w:val="18"/>
                <w:szCs w:val="18"/>
              </w:rPr>
            </w:pPr>
            <w:r>
              <w:rPr>
                <w:rFonts w:hint="eastAsia"/>
                <w:sz w:val="18"/>
                <w:szCs w:val="18"/>
              </w:rPr>
              <w:t>0.00|0</w:t>
            </w:r>
          </w:p>
        </w:tc>
        <w:tc>
          <w:tcPr>
            <w:tcW w:w="0" w:type="auto"/>
            <w:vAlign w:val="center"/>
          </w:tcPr>
          <w:p w14:paraId="72F6850D">
            <w:pPr>
              <w:pStyle w:val="133"/>
              <w:rPr>
                <w:sz w:val="18"/>
                <w:szCs w:val="18"/>
              </w:rPr>
            </w:pPr>
            <w:r>
              <w:rPr>
                <w:rFonts w:hint="eastAsia"/>
                <w:sz w:val="18"/>
                <w:szCs w:val="18"/>
              </w:rPr>
              <w:t>0.00|0</w:t>
            </w:r>
          </w:p>
        </w:tc>
        <w:tc>
          <w:tcPr>
            <w:tcW w:w="0" w:type="auto"/>
            <w:vAlign w:val="center"/>
          </w:tcPr>
          <w:p w14:paraId="765B30F7">
            <w:pPr>
              <w:pStyle w:val="133"/>
              <w:rPr>
                <w:sz w:val="18"/>
                <w:szCs w:val="18"/>
              </w:rPr>
            </w:pPr>
            <w:r>
              <w:rPr>
                <w:rFonts w:hint="eastAsia"/>
                <w:sz w:val="18"/>
                <w:szCs w:val="18"/>
              </w:rPr>
              <w:t>0.00|0</w:t>
            </w:r>
          </w:p>
        </w:tc>
      </w:tr>
      <w:tr w14:paraId="47836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66C96E5D">
            <w:pPr>
              <w:pStyle w:val="133"/>
              <w:rPr>
                <w:sz w:val="18"/>
                <w:szCs w:val="18"/>
              </w:rPr>
            </w:pPr>
            <w:r>
              <w:rPr>
                <w:rFonts w:hint="eastAsia"/>
                <w:sz w:val="18"/>
                <w:szCs w:val="18"/>
              </w:rPr>
              <w:t>8</w:t>
            </w:r>
          </w:p>
        </w:tc>
        <w:tc>
          <w:tcPr>
            <w:tcW w:w="0" w:type="auto"/>
            <w:noWrap/>
            <w:vAlign w:val="center"/>
          </w:tcPr>
          <w:p w14:paraId="589BCB0D">
            <w:pPr>
              <w:pStyle w:val="133"/>
              <w:rPr>
                <w:sz w:val="18"/>
                <w:szCs w:val="18"/>
              </w:rPr>
            </w:pPr>
            <w:r>
              <w:rPr>
                <w:rFonts w:hint="eastAsia"/>
                <w:sz w:val="18"/>
                <w:szCs w:val="18"/>
              </w:rPr>
              <w:t>1#有机废气处理</w:t>
            </w:r>
          </w:p>
        </w:tc>
        <w:tc>
          <w:tcPr>
            <w:tcW w:w="0" w:type="auto"/>
            <w:noWrap/>
            <w:vAlign w:val="center"/>
          </w:tcPr>
          <w:p w14:paraId="6BC98B09">
            <w:pPr>
              <w:pStyle w:val="133"/>
              <w:rPr>
                <w:sz w:val="18"/>
                <w:szCs w:val="18"/>
              </w:rPr>
            </w:pPr>
            <w:r>
              <w:rPr>
                <w:rFonts w:hint="eastAsia"/>
                <w:sz w:val="18"/>
                <w:szCs w:val="18"/>
              </w:rPr>
              <w:t>130</w:t>
            </w:r>
          </w:p>
        </w:tc>
        <w:tc>
          <w:tcPr>
            <w:tcW w:w="0" w:type="auto"/>
            <w:noWrap/>
            <w:vAlign w:val="center"/>
          </w:tcPr>
          <w:p w14:paraId="2DE7C5E4">
            <w:pPr>
              <w:pStyle w:val="133"/>
              <w:rPr>
                <w:sz w:val="18"/>
                <w:szCs w:val="18"/>
              </w:rPr>
            </w:pPr>
            <w:r>
              <w:rPr>
                <w:rFonts w:hint="eastAsia"/>
                <w:sz w:val="18"/>
                <w:szCs w:val="18"/>
              </w:rPr>
              <w:t>108</w:t>
            </w:r>
          </w:p>
        </w:tc>
        <w:tc>
          <w:tcPr>
            <w:tcW w:w="0" w:type="auto"/>
            <w:noWrap/>
            <w:vAlign w:val="center"/>
          </w:tcPr>
          <w:p w14:paraId="2F9F8BC7">
            <w:pPr>
              <w:pStyle w:val="133"/>
              <w:rPr>
                <w:sz w:val="18"/>
                <w:szCs w:val="18"/>
              </w:rPr>
            </w:pPr>
            <w:r>
              <w:rPr>
                <w:rFonts w:hint="eastAsia"/>
                <w:sz w:val="18"/>
                <w:szCs w:val="18"/>
              </w:rPr>
              <w:t>0.14</w:t>
            </w:r>
          </w:p>
        </w:tc>
        <w:tc>
          <w:tcPr>
            <w:tcW w:w="0" w:type="auto"/>
            <w:noWrap/>
            <w:vAlign w:val="center"/>
          </w:tcPr>
          <w:p w14:paraId="16C223DE">
            <w:pPr>
              <w:pStyle w:val="133"/>
              <w:rPr>
                <w:sz w:val="18"/>
                <w:szCs w:val="18"/>
              </w:rPr>
            </w:pPr>
            <w:r>
              <w:rPr>
                <w:rFonts w:hint="eastAsia"/>
                <w:sz w:val="18"/>
                <w:szCs w:val="18"/>
              </w:rPr>
              <w:t>0.34|0</w:t>
            </w:r>
          </w:p>
        </w:tc>
        <w:tc>
          <w:tcPr>
            <w:tcW w:w="0" w:type="auto"/>
            <w:noWrap/>
            <w:vAlign w:val="center"/>
          </w:tcPr>
          <w:p w14:paraId="30E6B592">
            <w:pPr>
              <w:pStyle w:val="133"/>
              <w:rPr>
                <w:sz w:val="18"/>
                <w:szCs w:val="18"/>
              </w:rPr>
            </w:pPr>
            <w:r>
              <w:rPr>
                <w:rFonts w:hint="eastAsia"/>
                <w:sz w:val="18"/>
                <w:szCs w:val="18"/>
              </w:rPr>
              <w:t>0.00|0</w:t>
            </w:r>
          </w:p>
        </w:tc>
        <w:tc>
          <w:tcPr>
            <w:tcW w:w="0" w:type="auto"/>
            <w:noWrap/>
            <w:vAlign w:val="center"/>
          </w:tcPr>
          <w:p w14:paraId="1DD0652D">
            <w:pPr>
              <w:pStyle w:val="133"/>
              <w:rPr>
                <w:sz w:val="18"/>
                <w:szCs w:val="18"/>
              </w:rPr>
            </w:pPr>
            <w:r>
              <w:rPr>
                <w:rFonts w:hint="eastAsia"/>
                <w:sz w:val="18"/>
                <w:szCs w:val="18"/>
              </w:rPr>
              <w:t>0.00|0</w:t>
            </w:r>
          </w:p>
        </w:tc>
        <w:tc>
          <w:tcPr>
            <w:tcW w:w="0" w:type="auto"/>
            <w:noWrap/>
            <w:vAlign w:val="center"/>
          </w:tcPr>
          <w:p w14:paraId="5EC63F98">
            <w:pPr>
              <w:pStyle w:val="133"/>
              <w:rPr>
                <w:sz w:val="18"/>
                <w:szCs w:val="18"/>
              </w:rPr>
            </w:pPr>
            <w:r>
              <w:rPr>
                <w:rFonts w:hint="eastAsia"/>
                <w:sz w:val="18"/>
                <w:szCs w:val="18"/>
              </w:rPr>
              <w:t>0.05|0</w:t>
            </w:r>
          </w:p>
        </w:tc>
        <w:tc>
          <w:tcPr>
            <w:tcW w:w="0" w:type="auto"/>
            <w:noWrap/>
            <w:vAlign w:val="center"/>
          </w:tcPr>
          <w:p w14:paraId="768298A9">
            <w:pPr>
              <w:pStyle w:val="133"/>
              <w:rPr>
                <w:sz w:val="18"/>
                <w:szCs w:val="18"/>
              </w:rPr>
            </w:pPr>
            <w:r>
              <w:rPr>
                <w:rFonts w:hint="eastAsia"/>
                <w:sz w:val="18"/>
                <w:szCs w:val="18"/>
              </w:rPr>
              <w:t>0.05|0</w:t>
            </w:r>
          </w:p>
        </w:tc>
        <w:tc>
          <w:tcPr>
            <w:tcW w:w="0" w:type="auto"/>
            <w:noWrap/>
            <w:vAlign w:val="center"/>
          </w:tcPr>
          <w:p w14:paraId="0B27818F">
            <w:pPr>
              <w:pStyle w:val="133"/>
              <w:rPr>
                <w:sz w:val="18"/>
                <w:szCs w:val="18"/>
              </w:rPr>
            </w:pPr>
            <w:r>
              <w:rPr>
                <w:rFonts w:hint="eastAsia"/>
                <w:sz w:val="18"/>
                <w:szCs w:val="18"/>
              </w:rPr>
              <w:t>0.79|0</w:t>
            </w:r>
          </w:p>
        </w:tc>
        <w:tc>
          <w:tcPr>
            <w:tcW w:w="0" w:type="auto"/>
            <w:noWrap/>
            <w:vAlign w:val="center"/>
          </w:tcPr>
          <w:p w14:paraId="05A20FAA">
            <w:pPr>
              <w:pStyle w:val="133"/>
              <w:rPr>
                <w:sz w:val="18"/>
                <w:szCs w:val="18"/>
              </w:rPr>
            </w:pPr>
            <w:r>
              <w:rPr>
                <w:rFonts w:hint="eastAsia"/>
                <w:sz w:val="18"/>
                <w:szCs w:val="18"/>
              </w:rPr>
              <w:t>0.02|0</w:t>
            </w:r>
          </w:p>
        </w:tc>
        <w:tc>
          <w:tcPr>
            <w:tcW w:w="0" w:type="auto"/>
            <w:noWrap/>
            <w:vAlign w:val="center"/>
          </w:tcPr>
          <w:p w14:paraId="353F8F87">
            <w:pPr>
              <w:pStyle w:val="133"/>
              <w:rPr>
                <w:sz w:val="18"/>
                <w:szCs w:val="18"/>
              </w:rPr>
            </w:pPr>
            <w:r>
              <w:rPr>
                <w:rFonts w:hint="eastAsia"/>
                <w:sz w:val="18"/>
                <w:szCs w:val="18"/>
              </w:rPr>
              <w:t>0.06|0</w:t>
            </w:r>
          </w:p>
        </w:tc>
        <w:tc>
          <w:tcPr>
            <w:tcW w:w="0" w:type="auto"/>
            <w:noWrap/>
            <w:vAlign w:val="center"/>
          </w:tcPr>
          <w:p w14:paraId="6271EC4E">
            <w:pPr>
              <w:pStyle w:val="133"/>
              <w:rPr>
                <w:sz w:val="18"/>
                <w:szCs w:val="18"/>
              </w:rPr>
            </w:pPr>
            <w:r>
              <w:rPr>
                <w:rFonts w:hint="eastAsia"/>
                <w:sz w:val="18"/>
                <w:szCs w:val="18"/>
              </w:rPr>
              <w:t>0.00|0</w:t>
            </w:r>
          </w:p>
        </w:tc>
        <w:tc>
          <w:tcPr>
            <w:tcW w:w="0" w:type="auto"/>
            <w:vAlign w:val="center"/>
          </w:tcPr>
          <w:p w14:paraId="77E4F46E">
            <w:pPr>
              <w:pStyle w:val="133"/>
              <w:rPr>
                <w:sz w:val="18"/>
                <w:szCs w:val="18"/>
              </w:rPr>
            </w:pPr>
            <w:r>
              <w:rPr>
                <w:rFonts w:hint="eastAsia"/>
                <w:sz w:val="18"/>
                <w:szCs w:val="18"/>
              </w:rPr>
              <w:t>0.02|0</w:t>
            </w:r>
          </w:p>
        </w:tc>
        <w:tc>
          <w:tcPr>
            <w:tcW w:w="0" w:type="auto"/>
            <w:vAlign w:val="center"/>
          </w:tcPr>
          <w:p w14:paraId="25822795">
            <w:pPr>
              <w:pStyle w:val="133"/>
              <w:rPr>
                <w:sz w:val="18"/>
                <w:szCs w:val="18"/>
              </w:rPr>
            </w:pPr>
            <w:r>
              <w:rPr>
                <w:rFonts w:hint="eastAsia"/>
                <w:sz w:val="18"/>
                <w:szCs w:val="18"/>
              </w:rPr>
              <w:t>0.03|0</w:t>
            </w:r>
          </w:p>
        </w:tc>
      </w:tr>
      <w:tr w14:paraId="74339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17945F8F">
            <w:pPr>
              <w:pStyle w:val="133"/>
              <w:rPr>
                <w:sz w:val="18"/>
                <w:szCs w:val="18"/>
              </w:rPr>
            </w:pPr>
            <w:r>
              <w:rPr>
                <w:rFonts w:hint="eastAsia"/>
                <w:sz w:val="18"/>
                <w:szCs w:val="18"/>
              </w:rPr>
              <w:t>9</w:t>
            </w:r>
          </w:p>
        </w:tc>
        <w:tc>
          <w:tcPr>
            <w:tcW w:w="0" w:type="auto"/>
            <w:noWrap/>
            <w:vAlign w:val="center"/>
          </w:tcPr>
          <w:p w14:paraId="3222A866">
            <w:pPr>
              <w:pStyle w:val="133"/>
              <w:rPr>
                <w:sz w:val="18"/>
                <w:szCs w:val="18"/>
              </w:rPr>
            </w:pPr>
            <w:r>
              <w:rPr>
                <w:rFonts w:hint="eastAsia"/>
                <w:sz w:val="18"/>
                <w:szCs w:val="18"/>
              </w:rPr>
              <w:t>2#有机废气处理</w:t>
            </w:r>
          </w:p>
        </w:tc>
        <w:tc>
          <w:tcPr>
            <w:tcW w:w="0" w:type="auto"/>
            <w:noWrap/>
            <w:vAlign w:val="center"/>
          </w:tcPr>
          <w:p w14:paraId="76A3146A">
            <w:pPr>
              <w:pStyle w:val="133"/>
              <w:rPr>
                <w:sz w:val="18"/>
                <w:szCs w:val="18"/>
              </w:rPr>
            </w:pPr>
            <w:r>
              <w:rPr>
                <w:rFonts w:hint="eastAsia"/>
                <w:sz w:val="18"/>
                <w:szCs w:val="18"/>
              </w:rPr>
              <w:t>130</w:t>
            </w:r>
          </w:p>
        </w:tc>
        <w:tc>
          <w:tcPr>
            <w:tcW w:w="0" w:type="auto"/>
            <w:noWrap/>
            <w:vAlign w:val="center"/>
          </w:tcPr>
          <w:p w14:paraId="69530BA9">
            <w:pPr>
              <w:pStyle w:val="133"/>
              <w:rPr>
                <w:sz w:val="18"/>
                <w:szCs w:val="18"/>
              </w:rPr>
            </w:pPr>
            <w:r>
              <w:rPr>
                <w:rFonts w:hint="eastAsia"/>
                <w:sz w:val="18"/>
                <w:szCs w:val="18"/>
              </w:rPr>
              <w:t>28</w:t>
            </w:r>
          </w:p>
        </w:tc>
        <w:tc>
          <w:tcPr>
            <w:tcW w:w="0" w:type="auto"/>
            <w:noWrap/>
            <w:vAlign w:val="center"/>
          </w:tcPr>
          <w:p w14:paraId="31F334A0">
            <w:pPr>
              <w:pStyle w:val="133"/>
              <w:rPr>
                <w:sz w:val="18"/>
                <w:szCs w:val="18"/>
              </w:rPr>
            </w:pPr>
            <w:r>
              <w:rPr>
                <w:rFonts w:hint="eastAsia"/>
                <w:sz w:val="18"/>
                <w:szCs w:val="18"/>
              </w:rPr>
              <w:t>0.52</w:t>
            </w:r>
          </w:p>
        </w:tc>
        <w:tc>
          <w:tcPr>
            <w:tcW w:w="0" w:type="auto"/>
            <w:noWrap/>
            <w:vAlign w:val="center"/>
          </w:tcPr>
          <w:p w14:paraId="5A36BCFC">
            <w:pPr>
              <w:pStyle w:val="133"/>
              <w:rPr>
                <w:sz w:val="18"/>
                <w:szCs w:val="18"/>
              </w:rPr>
            </w:pPr>
            <w:r>
              <w:rPr>
                <w:rFonts w:hint="eastAsia"/>
                <w:sz w:val="18"/>
                <w:szCs w:val="18"/>
              </w:rPr>
              <w:t>0.00|0</w:t>
            </w:r>
          </w:p>
        </w:tc>
        <w:tc>
          <w:tcPr>
            <w:tcW w:w="0" w:type="auto"/>
            <w:noWrap/>
            <w:vAlign w:val="center"/>
          </w:tcPr>
          <w:p w14:paraId="00FCE7BE">
            <w:pPr>
              <w:pStyle w:val="133"/>
              <w:rPr>
                <w:sz w:val="18"/>
                <w:szCs w:val="18"/>
              </w:rPr>
            </w:pPr>
            <w:r>
              <w:rPr>
                <w:rFonts w:hint="eastAsia"/>
                <w:sz w:val="18"/>
                <w:szCs w:val="18"/>
              </w:rPr>
              <w:t>0.00|0</w:t>
            </w:r>
          </w:p>
        </w:tc>
        <w:tc>
          <w:tcPr>
            <w:tcW w:w="0" w:type="auto"/>
            <w:noWrap/>
            <w:vAlign w:val="center"/>
          </w:tcPr>
          <w:p w14:paraId="01530F7C">
            <w:pPr>
              <w:pStyle w:val="133"/>
              <w:rPr>
                <w:sz w:val="18"/>
                <w:szCs w:val="18"/>
              </w:rPr>
            </w:pPr>
            <w:r>
              <w:rPr>
                <w:rFonts w:hint="eastAsia"/>
                <w:sz w:val="18"/>
                <w:szCs w:val="18"/>
              </w:rPr>
              <w:t>0.00|0</w:t>
            </w:r>
          </w:p>
        </w:tc>
        <w:tc>
          <w:tcPr>
            <w:tcW w:w="0" w:type="auto"/>
            <w:noWrap/>
            <w:vAlign w:val="center"/>
          </w:tcPr>
          <w:p w14:paraId="6A85C902">
            <w:pPr>
              <w:pStyle w:val="133"/>
              <w:rPr>
                <w:sz w:val="18"/>
                <w:szCs w:val="18"/>
              </w:rPr>
            </w:pPr>
            <w:r>
              <w:rPr>
                <w:rFonts w:hint="eastAsia"/>
                <w:sz w:val="18"/>
                <w:szCs w:val="18"/>
              </w:rPr>
              <w:t>0.00|0</w:t>
            </w:r>
          </w:p>
        </w:tc>
        <w:tc>
          <w:tcPr>
            <w:tcW w:w="0" w:type="auto"/>
            <w:noWrap/>
            <w:vAlign w:val="center"/>
          </w:tcPr>
          <w:p w14:paraId="297D4993">
            <w:pPr>
              <w:pStyle w:val="133"/>
              <w:rPr>
                <w:sz w:val="18"/>
                <w:szCs w:val="18"/>
              </w:rPr>
            </w:pPr>
            <w:r>
              <w:rPr>
                <w:rFonts w:hint="eastAsia"/>
                <w:sz w:val="18"/>
                <w:szCs w:val="18"/>
              </w:rPr>
              <w:t>0.00|0</w:t>
            </w:r>
          </w:p>
        </w:tc>
        <w:tc>
          <w:tcPr>
            <w:tcW w:w="0" w:type="auto"/>
            <w:noWrap/>
            <w:vAlign w:val="center"/>
          </w:tcPr>
          <w:p w14:paraId="467C5096">
            <w:pPr>
              <w:pStyle w:val="133"/>
              <w:rPr>
                <w:sz w:val="18"/>
                <w:szCs w:val="18"/>
              </w:rPr>
            </w:pPr>
            <w:r>
              <w:rPr>
                <w:rFonts w:hint="eastAsia"/>
                <w:sz w:val="18"/>
                <w:szCs w:val="18"/>
              </w:rPr>
              <w:t>0.00|0</w:t>
            </w:r>
          </w:p>
        </w:tc>
        <w:tc>
          <w:tcPr>
            <w:tcW w:w="0" w:type="auto"/>
            <w:noWrap/>
            <w:vAlign w:val="center"/>
          </w:tcPr>
          <w:p w14:paraId="2A2C6F92">
            <w:pPr>
              <w:pStyle w:val="133"/>
              <w:rPr>
                <w:sz w:val="18"/>
                <w:szCs w:val="18"/>
              </w:rPr>
            </w:pPr>
            <w:r>
              <w:rPr>
                <w:rFonts w:hint="eastAsia"/>
                <w:sz w:val="18"/>
                <w:szCs w:val="18"/>
              </w:rPr>
              <w:t>0.00|0</w:t>
            </w:r>
          </w:p>
        </w:tc>
        <w:tc>
          <w:tcPr>
            <w:tcW w:w="0" w:type="auto"/>
            <w:noWrap/>
            <w:vAlign w:val="center"/>
          </w:tcPr>
          <w:p w14:paraId="05C10F28">
            <w:pPr>
              <w:pStyle w:val="133"/>
              <w:rPr>
                <w:sz w:val="18"/>
                <w:szCs w:val="18"/>
              </w:rPr>
            </w:pPr>
            <w:r>
              <w:rPr>
                <w:rFonts w:hint="eastAsia"/>
                <w:sz w:val="18"/>
                <w:szCs w:val="18"/>
              </w:rPr>
              <w:t>0.00|0</w:t>
            </w:r>
          </w:p>
        </w:tc>
        <w:tc>
          <w:tcPr>
            <w:tcW w:w="0" w:type="auto"/>
            <w:noWrap/>
            <w:vAlign w:val="center"/>
          </w:tcPr>
          <w:p w14:paraId="5A6F2036">
            <w:pPr>
              <w:pStyle w:val="133"/>
              <w:rPr>
                <w:sz w:val="18"/>
                <w:szCs w:val="18"/>
              </w:rPr>
            </w:pPr>
            <w:r>
              <w:rPr>
                <w:rFonts w:hint="eastAsia"/>
                <w:sz w:val="18"/>
                <w:szCs w:val="18"/>
              </w:rPr>
              <w:t>0.09|0</w:t>
            </w:r>
          </w:p>
        </w:tc>
        <w:tc>
          <w:tcPr>
            <w:tcW w:w="0" w:type="auto"/>
            <w:vAlign w:val="center"/>
          </w:tcPr>
          <w:p w14:paraId="515582C4">
            <w:pPr>
              <w:pStyle w:val="133"/>
              <w:rPr>
                <w:sz w:val="18"/>
                <w:szCs w:val="18"/>
              </w:rPr>
            </w:pPr>
            <w:r>
              <w:rPr>
                <w:rFonts w:hint="eastAsia"/>
                <w:sz w:val="18"/>
                <w:szCs w:val="18"/>
              </w:rPr>
              <w:t>0.00|0</w:t>
            </w:r>
          </w:p>
        </w:tc>
        <w:tc>
          <w:tcPr>
            <w:tcW w:w="0" w:type="auto"/>
            <w:vAlign w:val="center"/>
          </w:tcPr>
          <w:p w14:paraId="58868446">
            <w:pPr>
              <w:pStyle w:val="133"/>
              <w:rPr>
                <w:sz w:val="18"/>
                <w:szCs w:val="18"/>
              </w:rPr>
            </w:pPr>
            <w:r>
              <w:rPr>
                <w:rFonts w:hint="eastAsia"/>
                <w:sz w:val="18"/>
                <w:szCs w:val="18"/>
              </w:rPr>
              <w:t>0.00|0</w:t>
            </w:r>
          </w:p>
        </w:tc>
      </w:tr>
      <w:tr w14:paraId="4E815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7A4E9C70">
            <w:pPr>
              <w:pStyle w:val="133"/>
              <w:rPr>
                <w:sz w:val="18"/>
                <w:szCs w:val="18"/>
              </w:rPr>
            </w:pPr>
            <w:r>
              <w:rPr>
                <w:rFonts w:hint="eastAsia"/>
                <w:sz w:val="18"/>
                <w:szCs w:val="18"/>
              </w:rPr>
              <w:t>10</w:t>
            </w:r>
          </w:p>
        </w:tc>
        <w:tc>
          <w:tcPr>
            <w:tcW w:w="0" w:type="auto"/>
            <w:noWrap/>
            <w:vAlign w:val="center"/>
          </w:tcPr>
          <w:p w14:paraId="34D477BD">
            <w:pPr>
              <w:pStyle w:val="133"/>
              <w:rPr>
                <w:sz w:val="18"/>
                <w:szCs w:val="18"/>
              </w:rPr>
            </w:pPr>
            <w:r>
              <w:rPr>
                <w:rFonts w:hint="eastAsia"/>
                <w:sz w:val="18"/>
                <w:szCs w:val="18"/>
              </w:rPr>
              <w:t>上料废气</w:t>
            </w:r>
          </w:p>
        </w:tc>
        <w:tc>
          <w:tcPr>
            <w:tcW w:w="0" w:type="auto"/>
            <w:noWrap/>
            <w:vAlign w:val="center"/>
          </w:tcPr>
          <w:p w14:paraId="56025BA9">
            <w:pPr>
              <w:pStyle w:val="133"/>
              <w:rPr>
                <w:sz w:val="18"/>
                <w:szCs w:val="18"/>
              </w:rPr>
            </w:pPr>
            <w:r>
              <w:rPr>
                <w:rFonts w:hint="eastAsia"/>
                <w:sz w:val="18"/>
                <w:szCs w:val="18"/>
              </w:rPr>
              <w:t>70</w:t>
            </w:r>
          </w:p>
        </w:tc>
        <w:tc>
          <w:tcPr>
            <w:tcW w:w="0" w:type="auto"/>
            <w:noWrap/>
            <w:vAlign w:val="center"/>
          </w:tcPr>
          <w:p w14:paraId="33833F9B">
            <w:pPr>
              <w:pStyle w:val="133"/>
              <w:rPr>
                <w:sz w:val="18"/>
                <w:szCs w:val="18"/>
              </w:rPr>
            </w:pPr>
            <w:r>
              <w:rPr>
                <w:rFonts w:hint="eastAsia"/>
                <w:sz w:val="18"/>
                <w:szCs w:val="18"/>
              </w:rPr>
              <w:t>102</w:t>
            </w:r>
          </w:p>
        </w:tc>
        <w:tc>
          <w:tcPr>
            <w:tcW w:w="0" w:type="auto"/>
            <w:noWrap/>
            <w:vAlign w:val="center"/>
          </w:tcPr>
          <w:p w14:paraId="4D2BF5A6">
            <w:pPr>
              <w:pStyle w:val="133"/>
              <w:rPr>
                <w:sz w:val="18"/>
                <w:szCs w:val="18"/>
              </w:rPr>
            </w:pPr>
            <w:r>
              <w:rPr>
                <w:rFonts w:hint="eastAsia"/>
                <w:sz w:val="18"/>
                <w:szCs w:val="18"/>
              </w:rPr>
              <w:t>2.07</w:t>
            </w:r>
          </w:p>
        </w:tc>
        <w:tc>
          <w:tcPr>
            <w:tcW w:w="0" w:type="auto"/>
            <w:noWrap/>
            <w:vAlign w:val="center"/>
          </w:tcPr>
          <w:p w14:paraId="2A7BC111">
            <w:pPr>
              <w:pStyle w:val="133"/>
              <w:rPr>
                <w:sz w:val="18"/>
                <w:szCs w:val="18"/>
              </w:rPr>
            </w:pPr>
            <w:r>
              <w:rPr>
                <w:rFonts w:hint="eastAsia"/>
                <w:sz w:val="18"/>
                <w:szCs w:val="18"/>
              </w:rPr>
              <w:t>0.00|0</w:t>
            </w:r>
          </w:p>
        </w:tc>
        <w:tc>
          <w:tcPr>
            <w:tcW w:w="0" w:type="auto"/>
            <w:noWrap/>
            <w:vAlign w:val="center"/>
          </w:tcPr>
          <w:p w14:paraId="68AA61E5">
            <w:pPr>
              <w:pStyle w:val="133"/>
              <w:rPr>
                <w:sz w:val="18"/>
                <w:szCs w:val="18"/>
              </w:rPr>
            </w:pPr>
            <w:r>
              <w:rPr>
                <w:rFonts w:hint="eastAsia"/>
                <w:sz w:val="18"/>
                <w:szCs w:val="18"/>
              </w:rPr>
              <w:t>0.00|0</w:t>
            </w:r>
          </w:p>
        </w:tc>
        <w:tc>
          <w:tcPr>
            <w:tcW w:w="0" w:type="auto"/>
            <w:noWrap/>
            <w:vAlign w:val="center"/>
          </w:tcPr>
          <w:p w14:paraId="6B7A7B49">
            <w:pPr>
              <w:pStyle w:val="133"/>
              <w:rPr>
                <w:sz w:val="18"/>
                <w:szCs w:val="18"/>
              </w:rPr>
            </w:pPr>
            <w:r>
              <w:rPr>
                <w:rFonts w:hint="eastAsia"/>
                <w:sz w:val="18"/>
                <w:szCs w:val="18"/>
              </w:rPr>
              <w:t>0.00|0</w:t>
            </w:r>
          </w:p>
        </w:tc>
        <w:tc>
          <w:tcPr>
            <w:tcW w:w="0" w:type="auto"/>
            <w:noWrap/>
            <w:vAlign w:val="center"/>
          </w:tcPr>
          <w:p w14:paraId="54D88B57">
            <w:pPr>
              <w:pStyle w:val="133"/>
              <w:rPr>
                <w:sz w:val="18"/>
                <w:szCs w:val="18"/>
              </w:rPr>
            </w:pPr>
            <w:r>
              <w:rPr>
                <w:rFonts w:hint="eastAsia"/>
                <w:sz w:val="18"/>
                <w:szCs w:val="18"/>
              </w:rPr>
              <w:t>1.39|0</w:t>
            </w:r>
          </w:p>
        </w:tc>
        <w:tc>
          <w:tcPr>
            <w:tcW w:w="0" w:type="auto"/>
            <w:noWrap/>
            <w:vAlign w:val="center"/>
          </w:tcPr>
          <w:p w14:paraId="12667122">
            <w:pPr>
              <w:pStyle w:val="133"/>
              <w:rPr>
                <w:sz w:val="18"/>
                <w:szCs w:val="18"/>
              </w:rPr>
            </w:pPr>
            <w:r>
              <w:rPr>
                <w:rFonts w:hint="eastAsia"/>
                <w:sz w:val="18"/>
                <w:szCs w:val="18"/>
              </w:rPr>
              <w:t>1.39|0</w:t>
            </w:r>
          </w:p>
        </w:tc>
        <w:tc>
          <w:tcPr>
            <w:tcW w:w="0" w:type="auto"/>
            <w:noWrap/>
            <w:vAlign w:val="center"/>
          </w:tcPr>
          <w:p w14:paraId="7F0EE7BC">
            <w:pPr>
              <w:pStyle w:val="133"/>
              <w:rPr>
                <w:sz w:val="18"/>
                <w:szCs w:val="18"/>
              </w:rPr>
            </w:pPr>
            <w:r>
              <w:rPr>
                <w:rFonts w:hint="eastAsia"/>
                <w:sz w:val="18"/>
                <w:szCs w:val="18"/>
              </w:rPr>
              <w:t>0.00|0</w:t>
            </w:r>
          </w:p>
        </w:tc>
        <w:tc>
          <w:tcPr>
            <w:tcW w:w="0" w:type="auto"/>
            <w:noWrap/>
            <w:vAlign w:val="center"/>
          </w:tcPr>
          <w:p w14:paraId="79DD14F3">
            <w:pPr>
              <w:pStyle w:val="133"/>
              <w:rPr>
                <w:sz w:val="18"/>
                <w:szCs w:val="18"/>
              </w:rPr>
            </w:pPr>
            <w:r>
              <w:rPr>
                <w:rFonts w:hint="eastAsia"/>
                <w:sz w:val="18"/>
                <w:szCs w:val="18"/>
              </w:rPr>
              <w:t>0.00|0</w:t>
            </w:r>
          </w:p>
        </w:tc>
        <w:tc>
          <w:tcPr>
            <w:tcW w:w="0" w:type="auto"/>
            <w:noWrap/>
            <w:vAlign w:val="center"/>
          </w:tcPr>
          <w:p w14:paraId="31799FA5">
            <w:pPr>
              <w:pStyle w:val="133"/>
              <w:rPr>
                <w:sz w:val="18"/>
                <w:szCs w:val="18"/>
              </w:rPr>
            </w:pPr>
            <w:r>
              <w:rPr>
                <w:rFonts w:hint="eastAsia"/>
                <w:sz w:val="18"/>
                <w:szCs w:val="18"/>
              </w:rPr>
              <w:t>0.00|0</w:t>
            </w:r>
          </w:p>
        </w:tc>
        <w:tc>
          <w:tcPr>
            <w:tcW w:w="0" w:type="auto"/>
            <w:noWrap/>
            <w:vAlign w:val="center"/>
          </w:tcPr>
          <w:p w14:paraId="21EE500A">
            <w:pPr>
              <w:pStyle w:val="133"/>
              <w:rPr>
                <w:sz w:val="18"/>
                <w:szCs w:val="18"/>
              </w:rPr>
            </w:pPr>
            <w:r>
              <w:rPr>
                <w:rFonts w:hint="eastAsia"/>
                <w:sz w:val="18"/>
                <w:szCs w:val="18"/>
              </w:rPr>
              <w:t>0.00|0</w:t>
            </w:r>
          </w:p>
        </w:tc>
        <w:tc>
          <w:tcPr>
            <w:tcW w:w="0" w:type="auto"/>
            <w:vAlign w:val="center"/>
          </w:tcPr>
          <w:p w14:paraId="39CC225D">
            <w:pPr>
              <w:pStyle w:val="133"/>
              <w:rPr>
                <w:sz w:val="18"/>
                <w:szCs w:val="18"/>
              </w:rPr>
            </w:pPr>
            <w:r>
              <w:rPr>
                <w:rFonts w:hint="eastAsia"/>
                <w:sz w:val="18"/>
                <w:szCs w:val="18"/>
              </w:rPr>
              <w:t>0.00|0</w:t>
            </w:r>
          </w:p>
        </w:tc>
        <w:tc>
          <w:tcPr>
            <w:tcW w:w="0" w:type="auto"/>
            <w:vAlign w:val="center"/>
          </w:tcPr>
          <w:p w14:paraId="674F2173">
            <w:pPr>
              <w:pStyle w:val="133"/>
              <w:rPr>
                <w:sz w:val="18"/>
                <w:szCs w:val="18"/>
              </w:rPr>
            </w:pPr>
            <w:r>
              <w:rPr>
                <w:rFonts w:hint="eastAsia"/>
                <w:sz w:val="18"/>
                <w:szCs w:val="18"/>
              </w:rPr>
              <w:t>0.00|0</w:t>
            </w:r>
          </w:p>
        </w:tc>
      </w:tr>
      <w:tr w14:paraId="4772B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527F1DBF">
            <w:pPr>
              <w:pStyle w:val="133"/>
              <w:rPr>
                <w:sz w:val="18"/>
                <w:szCs w:val="18"/>
              </w:rPr>
            </w:pPr>
            <w:r>
              <w:rPr>
                <w:rFonts w:hint="eastAsia"/>
                <w:sz w:val="18"/>
                <w:szCs w:val="18"/>
              </w:rPr>
              <w:t>11</w:t>
            </w:r>
          </w:p>
        </w:tc>
        <w:tc>
          <w:tcPr>
            <w:tcW w:w="0" w:type="auto"/>
            <w:noWrap/>
            <w:vAlign w:val="center"/>
          </w:tcPr>
          <w:p w14:paraId="71A4FB41">
            <w:pPr>
              <w:pStyle w:val="133"/>
              <w:rPr>
                <w:sz w:val="18"/>
                <w:szCs w:val="18"/>
              </w:rPr>
            </w:pPr>
            <w:r>
              <w:rPr>
                <w:rFonts w:hint="eastAsia"/>
                <w:sz w:val="18"/>
                <w:szCs w:val="18"/>
              </w:rPr>
              <w:t>矿热炉烟气</w:t>
            </w:r>
          </w:p>
        </w:tc>
        <w:tc>
          <w:tcPr>
            <w:tcW w:w="0" w:type="auto"/>
            <w:noWrap/>
            <w:vAlign w:val="center"/>
          </w:tcPr>
          <w:p w14:paraId="6147E8C5">
            <w:pPr>
              <w:pStyle w:val="133"/>
              <w:rPr>
                <w:sz w:val="18"/>
                <w:szCs w:val="18"/>
              </w:rPr>
            </w:pPr>
            <w:r>
              <w:rPr>
                <w:rFonts w:hint="eastAsia"/>
                <w:sz w:val="18"/>
                <w:szCs w:val="18"/>
              </w:rPr>
              <w:t>310</w:t>
            </w:r>
          </w:p>
        </w:tc>
        <w:tc>
          <w:tcPr>
            <w:tcW w:w="0" w:type="auto"/>
            <w:noWrap/>
            <w:vAlign w:val="center"/>
          </w:tcPr>
          <w:p w14:paraId="1EB9A6A9">
            <w:pPr>
              <w:pStyle w:val="133"/>
              <w:rPr>
                <w:sz w:val="18"/>
                <w:szCs w:val="18"/>
              </w:rPr>
            </w:pPr>
            <w:r>
              <w:rPr>
                <w:rFonts w:hint="eastAsia"/>
                <w:sz w:val="18"/>
                <w:szCs w:val="18"/>
              </w:rPr>
              <w:t>470</w:t>
            </w:r>
          </w:p>
        </w:tc>
        <w:tc>
          <w:tcPr>
            <w:tcW w:w="0" w:type="auto"/>
            <w:noWrap/>
            <w:vAlign w:val="center"/>
          </w:tcPr>
          <w:p w14:paraId="533B53BF">
            <w:pPr>
              <w:pStyle w:val="133"/>
              <w:rPr>
                <w:sz w:val="18"/>
                <w:szCs w:val="18"/>
              </w:rPr>
            </w:pPr>
            <w:r>
              <w:rPr>
                <w:rFonts w:hint="eastAsia"/>
                <w:sz w:val="18"/>
                <w:szCs w:val="18"/>
              </w:rPr>
              <w:t>0.26</w:t>
            </w:r>
          </w:p>
        </w:tc>
        <w:tc>
          <w:tcPr>
            <w:tcW w:w="0" w:type="auto"/>
            <w:noWrap/>
            <w:vAlign w:val="center"/>
          </w:tcPr>
          <w:p w14:paraId="2608A2A0">
            <w:pPr>
              <w:pStyle w:val="133"/>
              <w:rPr>
                <w:sz w:val="18"/>
                <w:szCs w:val="18"/>
              </w:rPr>
            </w:pPr>
            <w:r>
              <w:rPr>
                <w:rFonts w:hint="eastAsia"/>
                <w:sz w:val="18"/>
                <w:szCs w:val="18"/>
              </w:rPr>
              <w:t>8.62|0</w:t>
            </w:r>
          </w:p>
        </w:tc>
        <w:tc>
          <w:tcPr>
            <w:tcW w:w="0" w:type="auto"/>
            <w:noWrap/>
            <w:vAlign w:val="center"/>
          </w:tcPr>
          <w:p w14:paraId="34539E9B">
            <w:pPr>
              <w:pStyle w:val="133"/>
              <w:rPr>
                <w:sz w:val="18"/>
                <w:szCs w:val="18"/>
              </w:rPr>
            </w:pPr>
            <w:r>
              <w:rPr>
                <w:rFonts w:hint="eastAsia"/>
                <w:sz w:val="18"/>
                <w:szCs w:val="18"/>
              </w:rPr>
              <w:t>3.90|0</w:t>
            </w:r>
          </w:p>
        </w:tc>
        <w:tc>
          <w:tcPr>
            <w:tcW w:w="0" w:type="auto"/>
            <w:noWrap/>
            <w:vAlign w:val="center"/>
          </w:tcPr>
          <w:p w14:paraId="06F868EB">
            <w:pPr>
              <w:pStyle w:val="133"/>
              <w:rPr>
                <w:sz w:val="18"/>
                <w:szCs w:val="18"/>
              </w:rPr>
            </w:pPr>
            <w:r>
              <w:rPr>
                <w:rFonts w:hint="eastAsia"/>
                <w:sz w:val="18"/>
                <w:szCs w:val="18"/>
              </w:rPr>
              <w:t>0.00|0</w:t>
            </w:r>
          </w:p>
        </w:tc>
        <w:tc>
          <w:tcPr>
            <w:tcW w:w="0" w:type="auto"/>
            <w:noWrap/>
            <w:vAlign w:val="center"/>
          </w:tcPr>
          <w:p w14:paraId="02DDB33A">
            <w:pPr>
              <w:pStyle w:val="133"/>
              <w:rPr>
                <w:sz w:val="18"/>
                <w:szCs w:val="18"/>
              </w:rPr>
            </w:pPr>
            <w:r>
              <w:rPr>
                <w:rFonts w:hint="eastAsia"/>
                <w:sz w:val="18"/>
                <w:szCs w:val="18"/>
              </w:rPr>
              <w:t>0.91|0</w:t>
            </w:r>
          </w:p>
        </w:tc>
        <w:tc>
          <w:tcPr>
            <w:tcW w:w="0" w:type="auto"/>
            <w:noWrap/>
            <w:vAlign w:val="center"/>
          </w:tcPr>
          <w:p w14:paraId="0E315FDC">
            <w:pPr>
              <w:pStyle w:val="133"/>
              <w:rPr>
                <w:sz w:val="18"/>
                <w:szCs w:val="18"/>
              </w:rPr>
            </w:pPr>
            <w:r>
              <w:rPr>
                <w:rFonts w:hint="eastAsia"/>
                <w:sz w:val="18"/>
                <w:szCs w:val="18"/>
              </w:rPr>
              <w:t>0.91|0</w:t>
            </w:r>
          </w:p>
        </w:tc>
        <w:tc>
          <w:tcPr>
            <w:tcW w:w="0" w:type="auto"/>
            <w:noWrap/>
            <w:vAlign w:val="center"/>
          </w:tcPr>
          <w:p w14:paraId="17373FB6">
            <w:pPr>
              <w:pStyle w:val="133"/>
              <w:rPr>
                <w:sz w:val="18"/>
                <w:szCs w:val="18"/>
              </w:rPr>
            </w:pPr>
            <w:r>
              <w:rPr>
                <w:rFonts w:hint="eastAsia"/>
                <w:sz w:val="18"/>
                <w:szCs w:val="18"/>
              </w:rPr>
              <w:t>0.00|0</w:t>
            </w:r>
          </w:p>
        </w:tc>
        <w:tc>
          <w:tcPr>
            <w:tcW w:w="0" w:type="auto"/>
            <w:noWrap/>
            <w:vAlign w:val="center"/>
          </w:tcPr>
          <w:p w14:paraId="3D93E9DB">
            <w:pPr>
              <w:pStyle w:val="133"/>
              <w:rPr>
                <w:sz w:val="18"/>
                <w:szCs w:val="18"/>
              </w:rPr>
            </w:pPr>
            <w:r>
              <w:rPr>
                <w:rFonts w:hint="eastAsia"/>
                <w:sz w:val="18"/>
                <w:szCs w:val="18"/>
              </w:rPr>
              <w:t>0.00|0</w:t>
            </w:r>
          </w:p>
        </w:tc>
        <w:tc>
          <w:tcPr>
            <w:tcW w:w="0" w:type="auto"/>
            <w:noWrap/>
            <w:vAlign w:val="center"/>
          </w:tcPr>
          <w:p w14:paraId="6E7F4DFF">
            <w:pPr>
              <w:pStyle w:val="133"/>
              <w:rPr>
                <w:sz w:val="18"/>
                <w:szCs w:val="18"/>
              </w:rPr>
            </w:pPr>
            <w:r>
              <w:rPr>
                <w:rFonts w:hint="eastAsia"/>
                <w:sz w:val="18"/>
                <w:szCs w:val="18"/>
              </w:rPr>
              <w:t>0.00|0</w:t>
            </w:r>
          </w:p>
        </w:tc>
        <w:tc>
          <w:tcPr>
            <w:tcW w:w="0" w:type="auto"/>
            <w:noWrap/>
            <w:vAlign w:val="center"/>
          </w:tcPr>
          <w:p w14:paraId="24E02EDE">
            <w:pPr>
              <w:pStyle w:val="133"/>
              <w:rPr>
                <w:sz w:val="18"/>
                <w:szCs w:val="18"/>
              </w:rPr>
            </w:pPr>
            <w:r>
              <w:rPr>
                <w:rFonts w:hint="eastAsia"/>
                <w:sz w:val="18"/>
                <w:szCs w:val="18"/>
              </w:rPr>
              <w:t>0.00|0</w:t>
            </w:r>
          </w:p>
        </w:tc>
        <w:tc>
          <w:tcPr>
            <w:tcW w:w="0" w:type="auto"/>
            <w:vAlign w:val="center"/>
          </w:tcPr>
          <w:p w14:paraId="16AAA6AC">
            <w:pPr>
              <w:pStyle w:val="133"/>
              <w:rPr>
                <w:sz w:val="18"/>
                <w:szCs w:val="18"/>
              </w:rPr>
            </w:pPr>
            <w:r>
              <w:rPr>
                <w:rFonts w:hint="eastAsia"/>
                <w:sz w:val="18"/>
                <w:szCs w:val="18"/>
              </w:rPr>
              <w:t>0.00|0</w:t>
            </w:r>
          </w:p>
        </w:tc>
        <w:tc>
          <w:tcPr>
            <w:tcW w:w="0" w:type="auto"/>
            <w:vAlign w:val="center"/>
          </w:tcPr>
          <w:p w14:paraId="2BC8D7D9">
            <w:pPr>
              <w:pStyle w:val="133"/>
              <w:rPr>
                <w:sz w:val="18"/>
                <w:szCs w:val="18"/>
              </w:rPr>
            </w:pPr>
            <w:r>
              <w:rPr>
                <w:rFonts w:hint="eastAsia"/>
                <w:sz w:val="18"/>
                <w:szCs w:val="18"/>
              </w:rPr>
              <w:t>0.00|0</w:t>
            </w:r>
          </w:p>
        </w:tc>
      </w:tr>
      <w:tr w14:paraId="1E709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180736D9">
            <w:pPr>
              <w:pStyle w:val="133"/>
              <w:rPr>
                <w:sz w:val="18"/>
                <w:szCs w:val="18"/>
              </w:rPr>
            </w:pPr>
            <w:r>
              <w:rPr>
                <w:rFonts w:hint="eastAsia"/>
                <w:sz w:val="18"/>
                <w:szCs w:val="18"/>
              </w:rPr>
              <w:t>12</w:t>
            </w:r>
          </w:p>
        </w:tc>
        <w:tc>
          <w:tcPr>
            <w:tcW w:w="0" w:type="auto"/>
            <w:noWrap/>
            <w:vAlign w:val="center"/>
          </w:tcPr>
          <w:p w14:paraId="67CFE3F1">
            <w:pPr>
              <w:pStyle w:val="133"/>
              <w:rPr>
                <w:sz w:val="18"/>
                <w:szCs w:val="18"/>
              </w:rPr>
            </w:pPr>
            <w:r>
              <w:rPr>
                <w:rFonts w:hint="eastAsia"/>
                <w:sz w:val="18"/>
                <w:szCs w:val="18"/>
              </w:rPr>
              <w:t>出铁浇铸废气</w:t>
            </w:r>
          </w:p>
        </w:tc>
        <w:tc>
          <w:tcPr>
            <w:tcW w:w="0" w:type="auto"/>
            <w:noWrap/>
            <w:vAlign w:val="center"/>
          </w:tcPr>
          <w:p w14:paraId="2D688ED6">
            <w:pPr>
              <w:pStyle w:val="133"/>
              <w:rPr>
                <w:sz w:val="18"/>
                <w:szCs w:val="18"/>
              </w:rPr>
            </w:pPr>
            <w:r>
              <w:rPr>
                <w:rFonts w:hint="eastAsia"/>
                <w:sz w:val="18"/>
                <w:szCs w:val="18"/>
              </w:rPr>
              <w:t>70</w:t>
            </w:r>
          </w:p>
        </w:tc>
        <w:tc>
          <w:tcPr>
            <w:tcW w:w="0" w:type="auto"/>
            <w:noWrap/>
            <w:vAlign w:val="center"/>
          </w:tcPr>
          <w:p w14:paraId="1F3C6C01">
            <w:pPr>
              <w:pStyle w:val="133"/>
              <w:rPr>
                <w:sz w:val="18"/>
                <w:szCs w:val="18"/>
              </w:rPr>
            </w:pPr>
            <w:r>
              <w:rPr>
                <w:rFonts w:hint="eastAsia"/>
                <w:sz w:val="18"/>
                <w:szCs w:val="18"/>
              </w:rPr>
              <w:t>102</w:t>
            </w:r>
          </w:p>
        </w:tc>
        <w:tc>
          <w:tcPr>
            <w:tcW w:w="0" w:type="auto"/>
            <w:noWrap/>
            <w:vAlign w:val="center"/>
          </w:tcPr>
          <w:p w14:paraId="6C08280B">
            <w:pPr>
              <w:pStyle w:val="133"/>
              <w:rPr>
                <w:sz w:val="18"/>
                <w:szCs w:val="18"/>
              </w:rPr>
            </w:pPr>
            <w:r>
              <w:rPr>
                <w:rFonts w:hint="eastAsia"/>
                <w:sz w:val="18"/>
                <w:szCs w:val="18"/>
              </w:rPr>
              <w:t>2.07</w:t>
            </w:r>
          </w:p>
        </w:tc>
        <w:tc>
          <w:tcPr>
            <w:tcW w:w="0" w:type="auto"/>
            <w:noWrap/>
            <w:vAlign w:val="center"/>
          </w:tcPr>
          <w:p w14:paraId="0FF52B5B">
            <w:pPr>
              <w:pStyle w:val="133"/>
              <w:rPr>
                <w:sz w:val="18"/>
                <w:szCs w:val="18"/>
              </w:rPr>
            </w:pPr>
            <w:r>
              <w:rPr>
                <w:rFonts w:hint="eastAsia"/>
                <w:sz w:val="18"/>
                <w:szCs w:val="18"/>
              </w:rPr>
              <w:t>0.00|0</w:t>
            </w:r>
          </w:p>
        </w:tc>
        <w:tc>
          <w:tcPr>
            <w:tcW w:w="0" w:type="auto"/>
            <w:noWrap/>
            <w:vAlign w:val="center"/>
          </w:tcPr>
          <w:p w14:paraId="4B8CF130">
            <w:pPr>
              <w:pStyle w:val="133"/>
              <w:rPr>
                <w:sz w:val="18"/>
                <w:szCs w:val="18"/>
              </w:rPr>
            </w:pPr>
            <w:r>
              <w:rPr>
                <w:rFonts w:hint="eastAsia"/>
                <w:sz w:val="18"/>
                <w:szCs w:val="18"/>
              </w:rPr>
              <w:t>0.00|0</w:t>
            </w:r>
          </w:p>
        </w:tc>
        <w:tc>
          <w:tcPr>
            <w:tcW w:w="0" w:type="auto"/>
            <w:noWrap/>
            <w:vAlign w:val="center"/>
          </w:tcPr>
          <w:p w14:paraId="790DA1F0">
            <w:pPr>
              <w:pStyle w:val="133"/>
              <w:rPr>
                <w:sz w:val="18"/>
                <w:szCs w:val="18"/>
              </w:rPr>
            </w:pPr>
            <w:r>
              <w:rPr>
                <w:rFonts w:hint="eastAsia"/>
                <w:sz w:val="18"/>
                <w:szCs w:val="18"/>
              </w:rPr>
              <w:t>0.00|0</w:t>
            </w:r>
          </w:p>
        </w:tc>
        <w:tc>
          <w:tcPr>
            <w:tcW w:w="0" w:type="auto"/>
            <w:noWrap/>
            <w:vAlign w:val="center"/>
          </w:tcPr>
          <w:p w14:paraId="1B0A7CC9">
            <w:pPr>
              <w:pStyle w:val="133"/>
              <w:rPr>
                <w:sz w:val="18"/>
                <w:szCs w:val="18"/>
              </w:rPr>
            </w:pPr>
            <w:r>
              <w:rPr>
                <w:rFonts w:hint="eastAsia"/>
                <w:sz w:val="18"/>
                <w:szCs w:val="18"/>
              </w:rPr>
              <w:t>1.55|0</w:t>
            </w:r>
          </w:p>
        </w:tc>
        <w:tc>
          <w:tcPr>
            <w:tcW w:w="0" w:type="auto"/>
            <w:noWrap/>
            <w:vAlign w:val="center"/>
          </w:tcPr>
          <w:p w14:paraId="7C61E396">
            <w:pPr>
              <w:pStyle w:val="133"/>
              <w:rPr>
                <w:sz w:val="18"/>
                <w:szCs w:val="18"/>
              </w:rPr>
            </w:pPr>
            <w:r>
              <w:rPr>
                <w:rFonts w:hint="eastAsia"/>
                <w:sz w:val="18"/>
                <w:szCs w:val="18"/>
              </w:rPr>
              <w:t>1.55|0</w:t>
            </w:r>
          </w:p>
        </w:tc>
        <w:tc>
          <w:tcPr>
            <w:tcW w:w="0" w:type="auto"/>
            <w:noWrap/>
            <w:vAlign w:val="center"/>
          </w:tcPr>
          <w:p w14:paraId="5264F703">
            <w:pPr>
              <w:pStyle w:val="133"/>
              <w:rPr>
                <w:sz w:val="18"/>
                <w:szCs w:val="18"/>
              </w:rPr>
            </w:pPr>
            <w:r>
              <w:rPr>
                <w:rFonts w:hint="eastAsia"/>
                <w:sz w:val="18"/>
                <w:szCs w:val="18"/>
              </w:rPr>
              <w:t>0.00|0</w:t>
            </w:r>
          </w:p>
        </w:tc>
        <w:tc>
          <w:tcPr>
            <w:tcW w:w="0" w:type="auto"/>
            <w:noWrap/>
            <w:vAlign w:val="center"/>
          </w:tcPr>
          <w:p w14:paraId="0665224F">
            <w:pPr>
              <w:pStyle w:val="133"/>
              <w:rPr>
                <w:sz w:val="18"/>
                <w:szCs w:val="18"/>
              </w:rPr>
            </w:pPr>
            <w:r>
              <w:rPr>
                <w:rFonts w:hint="eastAsia"/>
                <w:sz w:val="18"/>
                <w:szCs w:val="18"/>
              </w:rPr>
              <w:t>0.00|0</w:t>
            </w:r>
          </w:p>
        </w:tc>
        <w:tc>
          <w:tcPr>
            <w:tcW w:w="0" w:type="auto"/>
            <w:noWrap/>
            <w:vAlign w:val="center"/>
          </w:tcPr>
          <w:p w14:paraId="70E1D99B">
            <w:pPr>
              <w:pStyle w:val="133"/>
              <w:rPr>
                <w:sz w:val="18"/>
                <w:szCs w:val="18"/>
              </w:rPr>
            </w:pPr>
            <w:r>
              <w:rPr>
                <w:rFonts w:hint="eastAsia"/>
                <w:sz w:val="18"/>
                <w:szCs w:val="18"/>
              </w:rPr>
              <w:t>0.00|0</w:t>
            </w:r>
          </w:p>
        </w:tc>
        <w:tc>
          <w:tcPr>
            <w:tcW w:w="0" w:type="auto"/>
            <w:noWrap/>
            <w:vAlign w:val="center"/>
          </w:tcPr>
          <w:p w14:paraId="23661642">
            <w:pPr>
              <w:pStyle w:val="133"/>
              <w:rPr>
                <w:sz w:val="18"/>
                <w:szCs w:val="18"/>
              </w:rPr>
            </w:pPr>
            <w:r>
              <w:rPr>
                <w:rFonts w:hint="eastAsia"/>
                <w:sz w:val="18"/>
                <w:szCs w:val="18"/>
              </w:rPr>
              <w:t>0.00|0</w:t>
            </w:r>
          </w:p>
        </w:tc>
        <w:tc>
          <w:tcPr>
            <w:tcW w:w="0" w:type="auto"/>
            <w:vAlign w:val="center"/>
          </w:tcPr>
          <w:p w14:paraId="42F3DBD8">
            <w:pPr>
              <w:pStyle w:val="133"/>
              <w:rPr>
                <w:sz w:val="18"/>
                <w:szCs w:val="18"/>
              </w:rPr>
            </w:pPr>
            <w:r>
              <w:rPr>
                <w:rFonts w:hint="eastAsia"/>
                <w:sz w:val="18"/>
                <w:szCs w:val="18"/>
              </w:rPr>
              <w:t>0.00|0</w:t>
            </w:r>
          </w:p>
        </w:tc>
        <w:tc>
          <w:tcPr>
            <w:tcW w:w="0" w:type="auto"/>
            <w:vAlign w:val="center"/>
          </w:tcPr>
          <w:p w14:paraId="2045BE65">
            <w:pPr>
              <w:pStyle w:val="133"/>
              <w:rPr>
                <w:sz w:val="18"/>
                <w:szCs w:val="18"/>
              </w:rPr>
            </w:pPr>
            <w:r>
              <w:rPr>
                <w:rFonts w:hint="eastAsia"/>
                <w:sz w:val="18"/>
                <w:szCs w:val="18"/>
              </w:rPr>
              <w:t>0.00|0</w:t>
            </w:r>
          </w:p>
        </w:tc>
      </w:tr>
      <w:tr w14:paraId="77F22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60EB8BC2">
            <w:pPr>
              <w:pStyle w:val="133"/>
              <w:rPr>
                <w:sz w:val="18"/>
                <w:szCs w:val="18"/>
              </w:rPr>
            </w:pPr>
            <w:r>
              <w:rPr>
                <w:rFonts w:hint="eastAsia"/>
                <w:sz w:val="18"/>
                <w:szCs w:val="18"/>
              </w:rPr>
              <w:t>13</w:t>
            </w:r>
          </w:p>
        </w:tc>
        <w:tc>
          <w:tcPr>
            <w:tcW w:w="0" w:type="auto"/>
            <w:noWrap/>
            <w:vAlign w:val="center"/>
          </w:tcPr>
          <w:p w14:paraId="475D7D4C">
            <w:pPr>
              <w:pStyle w:val="133"/>
              <w:rPr>
                <w:sz w:val="18"/>
                <w:szCs w:val="18"/>
              </w:rPr>
            </w:pPr>
            <w:r>
              <w:rPr>
                <w:rFonts w:hint="eastAsia"/>
                <w:sz w:val="18"/>
                <w:szCs w:val="18"/>
              </w:rPr>
              <w:t>成品破碎废气</w:t>
            </w:r>
          </w:p>
        </w:tc>
        <w:tc>
          <w:tcPr>
            <w:tcW w:w="0" w:type="auto"/>
            <w:noWrap/>
            <w:vAlign w:val="center"/>
          </w:tcPr>
          <w:p w14:paraId="689CB50F">
            <w:pPr>
              <w:pStyle w:val="133"/>
              <w:rPr>
                <w:sz w:val="18"/>
                <w:szCs w:val="18"/>
              </w:rPr>
            </w:pPr>
            <w:r>
              <w:rPr>
                <w:rFonts w:hint="eastAsia"/>
                <w:sz w:val="18"/>
                <w:szCs w:val="18"/>
              </w:rPr>
              <w:t>60</w:t>
            </w:r>
          </w:p>
        </w:tc>
        <w:tc>
          <w:tcPr>
            <w:tcW w:w="0" w:type="auto"/>
            <w:noWrap/>
            <w:vAlign w:val="center"/>
          </w:tcPr>
          <w:p w14:paraId="5EDAE23B">
            <w:pPr>
              <w:pStyle w:val="133"/>
              <w:rPr>
                <w:sz w:val="18"/>
                <w:szCs w:val="18"/>
              </w:rPr>
            </w:pPr>
            <w:r>
              <w:rPr>
                <w:rFonts w:hint="eastAsia"/>
                <w:sz w:val="18"/>
                <w:szCs w:val="18"/>
              </w:rPr>
              <w:t>67</w:t>
            </w:r>
          </w:p>
        </w:tc>
        <w:tc>
          <w:tcPr>
            <w:tcW w:w="0" w:type="auto"/>
            <w:noWrap/>
            <w:vAlign w:val="center"/>
          </w:tcPr>
          <w:p w14:paraId="0E25CCD9">
            <w:pPr>
              <w:pStyle w:val="133"/>
              <w:rPr>
                <w:sz w:val="18"/>
                <w:szCs w:val="18"/>
              </w:rPr>
            </w:pPr>
            <w:r>
              <w:rPr>
                <w:rFonts w:hint="eastAsia"/>
                <w:sz w:val="18"/>
                <w:szCs w:val="18"/>
              </w:rPr>
              <w:t>2.52</w:t>
            </w:r>
          </w:p>
        </w:tc>
        <w:tc>
          <w:tcPr>
            <w:tcW w:w="0" w:type="auto"/>
            <w:noWrap/>
            <w:vAlign w:val="center"/>
          </w:tcPr>
          <w:p w14:paraId="5B306B62">
            <w:pPr>
              <w:pStyle w:val="133"/>
              <w:rPr>
                <w:sz w:val="18"/>
                <w:szCs w:val="18"/>
              </w:rPr>
            </w:pPr>
            <w:r>
              <w:rPr>
                <w:rFonts w:hint="eastAsia"/>
                <w:sz w:val="18"/>
                <w:szCs w:val="18"/>
              </w:rPr>
              <w:t>0.00|0</w:t>
            </w:r>
          </w:p>
        </w:tc>
        <w:tc>
          <w:tcPr>
            <w:tcW w:w="0" w:type="auto"/>
            <w:noWrap/>
            <w:vAlign w:val="center"/>
          </w:tcPr>
          <w:p w14:paraId="6B948489">
            <w:pPr>
              <w:pStyle w:val="133"/>
              <w:rPr>
                <w:sz w:val="18"/>
                <w:szCs w:val="18"/>
              </w:rPr>
            </w:pPr>
            <w:r>
              <w:rPr>
                <w:rFonts w:hint="eastAsia"/>
                <w:sz w:val="18"/>
                <w:szCs w:val="18"/>
              </w:rPr>
              <w:t>0.00|0</w:t>
            </w:r>
          </w:p>
        </w:tc>
        <w:tc>
          <w:tcPr>
            <w:tcW w:w="0" w:type="auto"/>
            <w:noWrap/>
            <w:vAlign w:val="center"/>
          </w:tcPr>
          <w:p w14:paraId="3BAD783A">
            <w:pPr>
              <w:pStyle w:val="133"/>
              <w:rPr>
                <w:sz w:val="18"/>
                <w:szCs w:val="18"/>
              </w:rPr>
            </w:pPr>
            <w:r>
              <w:rPr>
                <w:rFonts w:hint="eastAsia"/>
                <w:sz w:val="18"/>
                <w:szCs w:val="18"/>
              </w:rPr>
              <w:t>0.00|0</w:t>
            </w:r>
          </w:p>
        </w:tc>
        <w:tc>
          <w:tcPr>
            <w:tcW w:w="0" w:type="auto"/>
            <w:noWrap/>
            <w:vAlign w:val="center"/>
          </w:tcPr>
          <w:p w14:paraId="08EA17AC">
            <w:pPr>
              <w:pStyle w:val="133"/>
              <w:rPr>
                <w:sz w:val="18"/>
                <w:szCs w:val="18"/>
              </w:rPr>
            </w:pPr>
            <w:r>
              <w:rPr>
                <w:rFonts w:hint="eastAsia"/>
                <w:sz w:val="18"/>
                <w:szCs w:val="18"/>
              </w:rPr>
              <w:t>0.54|0</w:t>
            </w:r>
          </w:p>
        </w:tc>
        <w:tc>
          <w:tcPr>
            <w:tcW w:w="0" w:type="auto"/>
            <w:noWrap/>
            <w:vAlign w:val="center"/>
          </w:tcPr>
          <w:p w14:paraId="179AE9B8">
            <w:pPr>
              <w:pStyle w:val="133"/>
              <w:rPr>
                <w:sz w:val="18"/>
                <w:szCs w:val="18"/>
              </w:rPr>
            </w:pPr>
            <w:r>
              <w:rPr>
                <w:rFonts w:hint="eastAsia"/>
                <w:sz w:val="18"/>
                <w:szCs w:val="18"/>
              </w:rPr>
              <w:t>0.54|0</w:t>
            </w:r>
          </w:p>
        </w:tc>
        <w:tc>
          <w:tcPr>
            <w:tcW w:w="0" w:type="auto"/>
            <w:noWrap/>
            <w:vAlign w:val="center"/>
          </w:tcPr>
          <w:p w14:paraId="2D04EF38">
            <w:pPr>
              <w:pStyle w:val="133"/>
              <w:rPr>
                <w:sz w:val="18"/>
                <w:szCs w:val="18"/>
              </w:rPr>
            </w:pPr>
            <w:r>
              <w:rPr>
                <w:rFonts w:hint="eastAsia"/>
                <w:sz w:val="18"/>
                <w:szCs w:val="18"/>
              </w:rPr>
              <w:t>0.00|0</w:t>
            </w:r>
          </w:p>
        </w:tc>
        <w:tc>
          <w:tcPr>
            <w:tcW w:w="0" w:type="auto"/>
            <w:noWrap/>
            <w:vAlign w:val="center"/>
          </w:tcPr>
          <w:p w14:paraId="3159F3BD">
            <w:pPr>
              <w:pStyle w:val="133"/>
              <w:rPr>
                <w:sz w:val="18"/>
                <w:szCs w:val="18"/>
              </w:rPr>
            </w:pPr>
            <w:r>
              <w:rPr>
                <w:rFonts w:hint="eastAsia"/>
                <w:sz w:val="18"/>
                <w:szCs w:val="18"/>
              </w:rPr>
              <w:t>0.00|0</w:t>
            </w:r>
          </w:p>
        </w:tc>
        <w:tc>
          <w:tcPr>
            <w:tcW w:w="0" w:type="auto"/>
            <w:noWrap/>
            <w:vAlign w:val="center"/>
          </w:tcPr>
          <w:p w14:paraId="62E85C92">
            <w:pPr>
              <w:pStyle w:val="133"/>
              <w:rPr>
                <w:sz w:val="18"/>
                <w:szCs w:val="18"/>
              </w:rPr>
            </w:pPr>
            <w:r>
              <w:rPr>
                <w:rFonts w:hint="eastAsia"/>
                <w:sz w:val="18"/>
                <w:szCs w:val="18"/>
              </w:rPr>
              <w:t>0.00|0</w:t>
            </w:r>
          </w:p>
        </w:tc>
        <w:tc>
          <w:tcPr>
            <w:tcW w:w="0" w:type="auto"/>
            <w:noWrap/>
            <w:vAlign w:val="center"/>
          </w:tcPr>
          <w:p w14:paraId="07342EC0">
            <w:pPr>
              <w:pStyle w:val="133"/>
              <w:rPr>
                <w:sz w:val="18"/>
                <w:szCs w:val="18"/>
              </w:rPr>
            </w:pPr>
            <w:r>
              <w:rPr>
                <w:rFonts w:hint="eastAsia"/>
                <w:sz w:val="18"/>
                <w:szCs w:val="18"/>
              </w:rPr>
              <w:t>0.00|0</w:t>
            </w:r>
          </w:p>
        </w:tc>
        <w:tc>
          <w:tcPr>
            <w:tcW w:w="0" w:type="auto"/>
            <w:vAlign w:val="center"/>
          </w:tcPr>
          <w:p w14:paraId="2CF923EA">
            <w:pPr>
              <w:pStyle w:val="133"/>
              <w:rPr>
                <w:sz w:val="18"/>
                <w:szCs w:val="18"/>
              </w:rPr>
            </w:pPr>
            <w:r>
              <w:rPr>
                <w:rFonts w:hint="eastAsia"/>
                <w:sz w:val="18"/>
                <w:szCs w:val="18"/>
              </w:rPr>
              <w:t>0.00|0</w:t>
            </w:r>
          </w:p>
        </w:tc>
        <w:tc>
          <w:tcPr>
            <w:tcW w:w="0" w:type="auto"/>
            <w:vAlign w:val="center"/>
          </w:tcPr>
          <w:p w14:paraId="6CE39003">
            <w:pPr>
              <w:pStyle w:val="133"/>
              <w:rPr>
                <w:sz w:val="18"/>
                <w:szCs w:val="18"/>
              </w:rPr>
            </w:pPr>
            <w:r>
              <w:rPr>
                <w:rFonts w:hint="eastAsia"/>
                <w:sz w:val="18"/>
                <w:szCs w:val="18"/>
              </w:rPr>
              <w:t>0.00|0</w:t>
            </w:r>
          </w:p>
        </w:tc>
      </w:tr>
      <w:tr w14:paraId="5DF21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203B9F0E">
            <w:pPr>
              <w:pStyle w:val="133"/>
              <w:rPr>
                <w:sz w:val="18"/>
                <w:szCs w:val="18"/>
              </w:rPr>
            </w:pPr>
            <w:r>
              <w:rPr>
                <w:rFonts w:hint="eastAsia"/>
                <w:sz w:val="18"/>
                <w:szCs w:val="18"/>
              </w:rPr>
              <w:t>14</w:t>
            </w:r>
          </w:p>
        </w:tc>
        <w:tc>
          <w:tcPr>
            <w:tcW w:w="0" w:type="auto"/>
            <w:noWrap/>
            <w:vAlign w:val="center"/>
          </w:tcPr>
          <w:p w14:paraId="2A51AB70">
            <w:pPr>
              <w:pStyle w:val="133"/>
              <w:rPr>
                <w:sz w:val="18"/>
                <w:szCs w:val="18"/>
              </w:rPr>
            </w:pPr>
            <w:r>
              <w:rPr>
                <w:rFonts w:hint="eastAsia"/>
                <w:sz w:val="18"/>
                <w:szCs w:val="18"/>
              </w:rPr>
              <w:t>煤棚</w:t>
            </w:r>
          </w:p>
        </w:tc>
        <w:tc>
          <w:tcPr>
            <w:tcW w:w="0" w:type="auto"/>
            <w:noWrap/>
            <w:vAlign w:val="center"/>
          </w:tcPr>
          <w:p w14:paraId="1A2AA8E1">
            <w:pPr>
              <w:pStyle w:val="133"/>
              <w:rPr>
                <w:sz w:val="18"/>
                <w:szCs w:val="18"/>
              </w:rPr>
            </w:pPr>
            <w:r>
              <w:rPr>
                <w:rFonts w:hint="eastAsia"/>
                <w:sz w:val="18"/>
                <w:szCs w:val="18"/>
              </w:rPr>
              <w:t>35</w:t>
            </w:r>
          </w:p>
        </w:tc>
        <w:tc>
          <w:tcPr>
            <w:tcW w:w="0" w:type="auto"/>
            <w:noWrap/>
            <w:vAlign w:val="center"/>
          </w:tcPr>
          <w:p w14:paraId="719D7443">
            <w:pPr>
              <w:pStyle w:val="133"/>
              <w:rPr>
                <w:sz w:val="18"/>
                <w:szCs w:val="18"/>
              </w:rPr>
            </w:pPr>
            <w:r>
              <w:rPr>
                <w:rFonts w:hint="eastAsia"/>
                <w:sz w:val="18"/>
                <w:szCs w:val="18"/>
              </w:rPr>
              <w:t>120</w:t>
            </w:r>
          </w:p>
        </w:tc>
        <w:tc>
          <w:tcPr>
            <w:tcW w:w="0" w:type="auto"/>
            <w:noWrap/>
            <w:vAlign w:val="center"/>
          </w:tcPr>
          <w:p w14:paraId="408214D8">
            <w:pPr>
              <w:pStyle w:val="133"/>
              <w:rPr>
                <w:sz w:val="18"/>
                <w:szCs w:val="18"/>
              </w:rPr>
            </w:pPr>
            <w:r>
              <w:rPr>
                <w:rFonts w:hint="eastAsia"/>
                <w:sz w:val="18"/>
                <w:szCs w:val="18"/>
              </w:rPr>
              <w:t>0</w:t>
            </w:r>
          </w:p>
        </w:tc>
        <w:tc>
          <w:tcPr>
            <w:tcW w:w="0" w:type="auto"/>
            <w:noWrap/>
            <w:vAlign w:val="center"/>
          </w:tcPr>
          <w:p w14:paraId="59666887">
            <w:pPr>
              <w:pStyle w:val="133"/>
              <w:rPr>
                <w:sz w:val="18"/>
                <w:szCs w:val="18"/>
              </w:rPr>
            </w:pPr>
            <w:r>
              <w:rPr>
                <w:rFonts w:hint="eastAsia"/>
                <w:sz w:val="18"/>
                <w:szCs w:val="18"/>
              </w:rPr>
              <w:t>0.00|0</w:t>
            </w:r>
          </w:p>
        </w:tc>
        <w:tc>
          <w:tcPr>
            <w:tcW w:w="0" w:type="auto"/>
            <w:noWrap/>
            <w:vAlign w:val="center"/>
          </w:tcPr>
          <w:p w14:paraId="48C4D683">
            <w:pPr>
              <w:pStyle w:val="133"/>
              <w:rPr>
                <w:sz w:val="18"/>
                <w:szCs w:val="18"/>
              </w:rPr>
            </w:pPr>
            <w:r>
              <w:rPr>
                <w:rFonts w:hint="eastAsia"/>
                <w:sz w:val="18"/>
                <w:szCs w:val="18"/>
              </w:rPr>
              <w:t>0.00|0</w:t>
            </w:r>
          </w:p>
        </w:tc>
        <w:tc>
          <w:tcPr>
            <w:tcW w:w="0" w:type="auto"/>
            <w:noWrap/>
            <w:vAlign w:val="center"/>
          </w:tcPr>
          <w:p w14:paraId="426646C4">
            <w:pPr>
              <w:pStyle w:val="133"/>
              <w:rPr>
                <w:sz w:val="18"/>
                <w:szCs w:val="18"/>
              </w:rPr>
            </w:pPr>
            <w:r>
              <w:rPr>
                <w:rFonts w:hint="eastAsia"/>
                <w:sz w:val="18"/>
                <w:szCs w:val="18"/>
              </w:rPr>
              <w:t>2.30|0</w:t>
            </w:r>
          </w:p>
        </w:tc>
        <w:tc>
          <w:tcPr>
            <w:tcW w:w="0" w:type="auto"/>
            <w:noWrap/>
            <w:vAlign w:val="center"/>
          </w:tcPr>
          <w:p w14:paraId="68B5AB9C">
            <w:pPr>
              <w:pStyle w:val="133"/>
              <w:rPr>
                <w:sz w:val="18"/>
                <w:szCs w:val="18"/>
              </w:rPr>
            </w:pPr>
            <w:r>
              <w:rPr>
                <w:rFonts w:hint="eastAsia"/>
                <w:sz w:val="18"/>
                <w:szCs w:val="18"/>
              </w:rPr>
              <w:t>0.00|0</w:t>
            </w:r>
          </w:p>
        </w:tc>
        <w:tc>
          <w:tcPr>
            <w:tcW w:w="0" w:type="auto"/>
            <w:noWrap/>
            <w:vAlign w:val="center"/>
          </w:tcPr>
          <w:p w14:paraId="1C857AC8">
            <w:pPr>
              <w:pStyle w:val="133"/>
              <w:rPr>
                <w:sz w:val="18"/>
                <w:szCs w:val="18"/>
              </w:rPr>
            </w:pPr>
            <w:r>
              <w:rPr>
                <w:rFonts w:hint="eastAsia"/>
                <w:sz w:val="18"/>
                <w:szCs w:val="18"/>
              </w:rPr>
              <w:t>0.00|0</w:t>
            </w:r>
          </w:p>
        </w:tc>
        <w:tc>
          <w:tcPr>
            <w:tcW w:w="0" w:type="auto"/>
            <w:noWrap/>
            <w:vAlign w:val="center"/>
          </w:tcPr>
          <w:p w14:paraId="47C40ED7">
            <w:pPr>
              <w:pStyle w:val="133"/>
              <w:rPr>
                <w:sz w:val="18"/>
                <w:szCs w:val="18"/>
              </w:rPr>
            </w:pPr>
            <w:r>
              <w:rPr>
                <w:rFonts w:hint="eastAsia"/>
                <w:sz w:val="18"/>
                <w:szCs w:val="18"/>
              </w:rPr>
              <w:t>0.00|0</w:t>
            </w:r>
          </w:p>
        </w:tc>
        <w:tc>
          <w:tcPr>
            <w:tcW w:w="0" w:type="auto"/>
            <w:noWrap/>
            <w:vAlign w:val="center"/>
          </w:tcPr>
          <w:p w14:paraId="477A332F">
            <w:pPr>
              <w:pStyle w:val="133"/>
              <w:rPr>
                <w:sz w:val="18"/>
                <w:szCs w:val="18"/>
              </w:rPr>
            </w:pPr>
            <w:r>
              <w:rPr>
                <w:rFonts w:hint="eastAsia"/>
                <w:sz w:val="18"/>
                <w:szCs w:val="18"/>
              </w:rPr>
              <w:t>0.00|0</w:t>
            </w:r>
          </w:p>
        </w:tc>
        <w:tc>
          <w:tcPr>
            <w:tcW w:w="0" w:type="auto"/>
            <w:noWrap/>
            <w:vAlign w:val="center"/>
          </w:tcPr>
          <w:p w14:paraId="360A6D30">
            <w:pPr>
              <w:pStyle w:val="133"/>
              <w:rPr>
                <w:sz w:val="18"/>
                <w:szCs w:val="18"/>
              </w:rPr>
            </w:pPr>
            <w:r>
              <w:rPr>
                <w:rFonts w:hint="eastAsia"/>
                <w:sz w:val="18"/>
                <w:szCs w:val="18"/>
              </w:rPr>
              <w:t>0.00|0</w:t>
            </w:r>
          </w:p>
        </w:tc>
        <w:tc>
          <w:tcPr>
            <w:tcW w:w="0" w:type="auto"/>
            <w:noWrap/>
            <w:vAlign w:val="center"/>
          </w:tcPr>
          <w:p w14:paraId="490B9F7B">
            <w:pPr>
              <w:pStyle w:val="133"/>
              <w:rPr>
                <w:sz w:val="18"/>
                <w:szCs w:val="18"/>
              </w:rPr>
            </w:pPr>
            <w:r>
              <w:rPr>
                <w:rFonts w:hint="eastAsia"/>
                <w:sz w:val="18"/>
                <w:szCs w:val="18"/>
              </w:rPr>
              <w:t>0.00|0</w:t>
            </w:r>
          </w:p>
        </w:tc>
        <w:tc>
          <w:tcPr>
            <w:tcW w:w="0" w:type="auto"/>
            <w:vAlign w:val="center"/>
          </w:tcPr>
          <w:p w14:paraId="5B7C6346">
            <w:pPr>
              <w:pStyle w:val="133"/>
              <w:rPr>
                <w:sz w:val="18"/>
                <w:szCs w:val="18"/>
              </w:rPr>
            </w:pPr>
            <w:r>
              <w:rPr>
                <w:rFonts w:hint="eastAsia"/>
                <w:sz w:val="18"/>
                <w:szCs w:val="18"/>
              </w:rPr>
              <w:t>0.00|0</w:t>
            </w:r>
          </w:p>
        </w:tc>
        <w:tc>
          <w:tcPr>
            <w:tcW w:w="0" w:type="auto"/>
            <w:vAlign w:val="center"/>
          </w:tcPr>
          <w:p w14:paraId="4DF95CA8">
            <w:pPr>
              <w:pStyle w:val="133"/>
              <w:rPr>
                <w:sz w:val="18"/>
                <w:szCs w:val="18"/>
              </w:rPr>
            </w:pPr>
            <w:r>
              <w:rPr>
                <w:rFonts w:hint="eastAsia"/>
                <w:sz w:val="18"/>
                <w:szCs w:val="18"/>
              </w:rPr>
              <w:t>0.00|0</w:t>
            </w:r>
          </w:p>
        </w:tc>
      </w:tr>
      <w:tr w14:paraId="0E57E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2A9F7A9E">
            <w:pPr>
              <w:pStyle w:val="133"/>
              <w:rPr>
                <w:sz w:val="18"/>
                <w:szCs w:val="18"/>
              </w:rPr>
            </w:pPr>
            <w:r>
              <w:rPr>
                <w:rFonts w:hint="eastAsia"/>
                <w:sz w:val="18"/>
                <w:szCs w:val="18"/>
              </w:rPr>
              <w:t>15</w:t>
            </w:r>
          </w:p>
        </w:tc>
        <w:tc>
          <w:tcPr>
            <w:tcW w:w="0" w:type="auto"/>
            <w:noWrap/>
            <w:vAlign w:val="center"/>
          </w:tcPr>
          <w:p w14:paraId="432FDC03">
            <w:pPr>
              <w:pStyle w:val="133"/>
              <w:rPr>
                <w:sz w:val="18"/>
                <w:szCs w:val="18"/>
              </w:rPr>
            </w:pPr>
            <w:r>
              <w:rPr>
                <w:rFonts w:hint="eastAsia"/>
                <w:sz w:val="18"/>
                <w:szCs w:val="18"/>
              </w:rPr>
              <w:t>焦棚</w:t>
            </w:r>
          </w:p>
        </w:tc>
        <w:tc>
          <w:tcPr>
            <w:tcW w:w="0" w:type="auto"/>
            <w:noWrap/>
            <w:vAlign w:val="center"/>
          </w:tcPr>
          <w:p w14:paraId="1E18260D">
            <w:pPr>
              <w:pStyle w:val="133"/>
              <w:rPr>
                <w:sz w:val="18"/>
                <w:szCs w:val="18"/>
              </w:rPr>
            </w:pPr>
            <w:r>
              <w:rPr>
                <w:rFonts w:hint="eastAsia"/>
                <w:sz w:val="18"/>
                <w:szCs w:val="18"/>
              </w:rPr>
              <w:t>35</w:t>
            </w:r>
          </w:p>
        </w:tc>
        <w:tc>
          <w:tcPr>
            <w:tcW w:w="0" w:type="auto"/>
            <w:noWrap/>
            <w:vAlign w:val="center"/>
          </w:tcPr>
          <w:p w14:paraId="1F7874BA">
            <w:pPr>
              <w:pStyle w:val="133"/>
              <w:rPr>
                <w:sz w:val="18"/>
                <w:szCs w:val="18"/>
              </w:rPr>
            </w:pPr>
            <w:r>
              <w:rPr>
                <w:rFonts w:hint="eastAsia"/>
                <w:sz w:val="18"/>
                <w:szCs w:val="18"/>
              </w:rPr>
              <w:t>119</w:t>
            </w:r>
          </w:p>
        </w:tc>
        <w:tc>
          <w:tcPr>
            <w:tcW w:w="0" w:type="auto"/>
            <w:noWrap/>
            <w:vAlign w:val="center"/>
          </w:tcPr>
          <w:p w14:paraId="6B22B94B">
            <w:pPr>
              <w:pStyle w:val="133"/>
              <w:rPr>
                <w:sz w:val="18"/>
                <w:szCs w:val="18"/>
              </w:rPr>
            </w:pPr>
            <w:r>
              <w:rPr>
                <w:rFonts w:hint="eastAsia"/>
                <w:sz w:val="18"/>
                <w:szCs w:val="18"/>
              </w:rPr>
              <w:t>0</w:t>
            </w:r>
          </w:p>
        </w:tc>
        <w:tc>
          <w:tcPr>
            <w:tcW w:w="0" w:type="auto"/>
            <w:noWrap/>
            <w:vAlign w:val="center"/>
          </w:tcPr>
          <w:p w14:paraId="2E2B5527">
            <w:pPr>
              <w:pStyle w:val="133"/>
              <w:rPr>
                <w:sz w:val="18"/>
                <w:szCs w:val="18"/>
              </w:rPr>
            </w:pPr>
            <w:r>
              <w:rPr>
                <w:rFonts w:hint="eastAsia"/>
                <w:sz w:val="18"/>
                <w:szCs w:val="18"/>
              </w:rPr>
              <w:t>0.00|0</w:t>
            </w:r>
          </w:p>
        </w:tc>
        <w:tc>
          <w:tcPr>
            <w:tcW w:w="0" w:type="auto"/>
            <w:noWrap/>
            <w:vAlign w:val="center"/>
          </w:tcPr>
          <w:p w14:paraId="4F6E8A04">
            <w:pPr>
              <w:pStyle w:val="133"/>
              <w:rPr>
                <w:sz w:val="18"/>
                <w:szCs w:val="18"/>
              </w:rPr>
            </w:pPr>
            <w:r>
              <w:rPr>
                <w:rFonts w:hint="eastAsia"/>
                <w:sz w:val="18"/>
                <w:szCs w:val="18"/>
              </w:rPr>
              <w:t>0.00|0</w:t>
            </w:r>
          </w:p>
        </w:tc>
        <w:tc>
          <w:tcPr>
            <w:tcW w:w="0" w:type="auto"/>
            <w:noWrap/>
            <w:vAlign w:val="center"/>
          </w:tcPr>
          <w:p w14:paraId="5EB194EA">
            <w:pPr>
              <w:pStyle w:val="133"/>
              <w:rPr>
                <w:sz w:val="18"/>
                <w:szCs w:val="18"/>
              </w:rPr>
            </w:pPr>
            <w:r>
              <w:rPr>
                <w:rFonts w:hint="eastAsia"/>
                <w:sz w:val="18"/>
                <w:szCs w:val="18"/>
              </w:rPr>
              <w:t>5.45|0</w:t>
            </w:r>
          </w:p>
        </w:tc>
        <w:tc>
          <w:tcPr>
            <w:tcW w:w="0" w:type="auto"/>
            <w:noWrap/>
            <w:vAlign w:val="center"/>
          </w:tcPr>
          <w:p w14:paraId="5DAAD090">
            <w:pPr>
              <w:pStyle w:val="133"/>
              <w:rPr>
                <w:sz w:val="18"/>
                <w:szCs w:val="18"/>
              </w:rPr>
            </w:pPr>
            <w:r>
              <w:rPr>
                <w:rFonts w:hint="eastAsia"/>
                <w:sz w:val="18"/>
                <w:szCs w:val="18"/>
              </w:rPr>
              <w:t>0.00|0</w:t>
            </w:r>
          </w:p>
        </w:tc>
        <w:tc>
          <w:tcPr>
            <w:tcW w:w="0" w:type="auto"/>
            <w:noWrap/>
            <w:vAlign w:val="center"/>
          </w:tcPr>
          <w:p w14:paraId="7D10124E">
            <w:pPr>
              <w:pStyle w:val="133"/>
              <w:rPr>
                <w:sz w:val="18"/>
                <w:szCs w:val="18"/>
              </w:rPr>
            </w:pPr>
            <w:r>
              <w:rPr>
                <w:rFonts w:hint="eastAsia"/>
                <w:sz w:val="18"/>
                <w:szCs w:val="18"/>
              </w:rPr>
              <w:t>0.00|0</w:t>
            </w:r>
          </w:p>
        </w:tc>
        <w:tc>
          <w:tcPr>
            <w:tcW w:w="0" w:type="auto"/>
            <w:noWrap/>
            <w:vAlign w:val="center"/>
          </w:tcPr>
          <w:p w14:paraId="6C9B2D0C">
            <w:pPr>
              <w:pStyle w:val="133"/>
              <w:rPr>
                <w:sz w:val="18"/>
                <w:szCs w:val="18"/>
              </w:rPr>
            </w:pPr>
            <w:r>
              <w:rPr>
                <w:rFonts w:hint="eastAsia"/>
                <w:sz w:val="18"/>
                <w:szCs w:val="18"/>
              </w:rPr>
              <w:t>0.00|0</w:t>
            </w:r>
          </w:p>
        </w:tc>
        <w:tc>
          <w:tcPr>
            <w:tcW w:w="0" w:type="auto"/>
            <w:noWrap/>
            <w:vAlign w:val="center"/>
          </w:tcPr>
          <w:p w14:paraId="181C2929">
            <w:pPr>
              <w:pStyle w:val="133"/>
              <w:rPr>
                <w:sz w:val="18"/>
                <w:szCs w:val="18"/>
              </w:rPr>
            </w:pPr>
            <w:r>
              <w:rPr>
                <w:rFonts w:hint="eastAsia"/>
                <w:sz w:val="18"/>
                <w:szCs w:val="18"/>
              </w:rPr>
              <w:t>0.00|0</w:t>
            </w:r>
          </w:p>
        </w:tc>
        <w:tc>
          <w:tcPr>
            <w:tcW w:w="0" w:type="auto"/>
            <w:noWrap/>
            <w:vAlign w:val="center"/>
          </w:tcPr>
          <w:p w14:paraId="0B63D0DB">
            <w:pPr>
              <w:pStyle w:val="133"/>
              <w:rPr>
                <w:sz w:val="18"/>
                <w:szCs w:val="18"/>
              </w:rPr>
            </w:pPr>
            <w:r>
              <w:rPr>
                <w:rFonts w:hint="eastAsia"/>
                <w:sz w:val="18"/>
                <w:szCs w:val="18"/>
              </w:rPr>
              <w:t>0.00|0</w:t>
            </w:r>
          </w:p>
        </w:tc>
        <w:tc>
          <w:tcPr>
            <w:tcW w:w="0" w:type="auto"/>
            <w:noWrap/>
            <w:vAlign w:val="center"/>
          </w:tcPr>
          <w:p w14:paraId="0F501590">
            <w:pPr>
              <w:pStyle w:val="133"/>
              <w:rPr>
                <w:sz w:val="18"/>
                <w:szCs w:val="18"/>
              </w:rPr>
            </w:pPr>
            <w:r>
              <w:rPr>
                <w:rFonts w:hint="eastAsia"/>
                <w:sz w:val="18"/>
                <w:szCs w:val="18"/>
              </w:rPr>
              <w:t>0.00|0</w:t>
            </w:r>
          </w:p>
        </w:tc>
        <w:tc>
          <w:tcPr>
            <w:tcW w:w="0" w:type="auto"/>
            <w:vAlign w:val="center"/>
          </w:tcPr>
          <w:p w14:paraId="10A65D0F">
            <w:pPr>
              <w:pStyle w:val="133"/>
              <w:rPr>
                <w:sz w:val="18"/>
                <w:szCs w:val="18"/>
              </w:rPr>
            </w:pPr>
            <w:r>
              <w:rPr>
                <w:rFonts w:hint="eastAsia"/>
                <w:sz w:val="18"/>
                <w:szCs w:val="18"/>
              </w:rPr>
              <w:t>0.00|0</w:t>
            </w:r>
          </w:p>
        </w:tc>
        <w:tc>
          <w:tcPr>
            <w:tcW w:w="0" w:type="auto"/>
            <w:vAlign w:val="center"/>
          </w:tcPr>
          <w:p w14:paraId="594CD1F4">
            <w:pPr>
              <w:pStyle w:val="133"/>
              <w:rPr>
                <w:sz w:val="18"/>
                <w:szCs w:val="18"/>
              </w:rPr>
            </w:pPr>
            <w:r>
              <w:rPr>
                <w:rFonts w:hint="eastAsia"/>
                <w:sz w:val="18"/>
                <w:szCs w:val="18"/>
              </w:rPr>
              <w:t>0.00|0</w:t>
            </w:r>
          </w:p>
        </w:tc>
      </w:tr>
      <w:tr w14:paraId="6AAB7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5DE09B2C">
            <w:pPr>
              <w:pStyle w:val="133"/>
              <w:rPr>
                <w:sz w:val="18"/>
                <w:szCs w:val="18"/>
              </w:rPr>
            </w:pPr>
            <w:r>
              <w:rPr>
                <w:rFonts w:hint="eastAsia"/>
                <w:sz w:val="18"/>
                <w:szCs w:val="18"/>
              </w:rPr>
              <w:t>16</w:t>
            </w:r>
          </w:p>
        </w:tc>
        <w:tc>
          <w:tcPr>
            <w:tcW w:w="0" w:type="auto"/>
            <w:noWrap/>
            <w:vAlign w:val="center"/>
          </w:tcPr>
          <w:p w14:paraId="0CADDE33">
            <w:pPr>
              <w:pStyle w:val="133"/>
              <w:rPr>
                <w:sz w:val="18"/>
                <w:szCs w:val="18"/>
              </w:rPr>
            </w:pPr>
            <w:r>
              <w:rPr>
                <w:rFonts w:hint="eastAsia"/>
                <w:sz w:val="18"/>
                <w:szCs w:val="18"/>
              </w:rPr>
              <w:t>炭化炉区</w:t>
            </w:r>
          </w:p>
        </w:tc>
        <w:tc>
          <w:tcPr>
            <w:tcW w:w="0" w:type="auto"/>
            <w:noWrap/>
            <w:vAlign w:val="center"/>
          </w:tcPr>
          <w:p w14:paraId="0531FDA2">
            <w:pPr>
              <w:pStyle w:val="133"/>
              <w:rPr>
                <w:sz w:val="18"/>
                <w:szCs w:val="18"/>
              </w:rPr>
            </w:pPr>
            <w:r>
              <w:rPr>
                <w:rFonts w:hint="eastAsia"/>
                <w:sz w:val="18"/>
                <w:szCs w:val="18"/>
              </w:rPr>
              <w:t>0</w:t>
            </w:r>
          </w:p>
        </w:tc>
        <w:tc>
          <w:tcPr>
            <w:tcW w:w="0" w:type="auto"/>
            <w:noWrap/>
            <w:vAlign w:val="center"/>
          </w:tcPr>
          <w:p w14:paraId="69DBDEAE">
            <w:pPr>
              <w:pStyle w:val="133"/>
              <w:rPr>
                <w:sz w:val="18"/>
                <w:szCs w:val="18"/>
              </w:rPr>
            </w:pPr>
            <w:r>
              <w:rPr>
                <w:rFonts w:hint="eastAsia"/>
                <w:sz w:val="18"/>
                <w:szCs w:val="18"/>
              </w:rPr>
              <w:t>43</w:t>
            </w:r>
          </w:p>
        </w:tc>
        <w:tc>
          <w:tcPr>
            <w:tcW w:w="0" w:type="auto"/>
            <w:noWrap/>
            <w:vAlign w:val="center"/>
          </w:tcPr>
          <w:p w14:paraId="32FAA735">
            <w:pPr>
              <w:pStyle w:val="133"/>
              <w:rPr>
                <w:sz w:val="18"/>
                <w:szCs w:val="18"/>
              </w:rPr>
            </w:pPr>
            <w:r>
              <w:rPr>
                <w:rFonts w:hint="eastAsia"/>
                <w:sz w:val="18"/>
                <w:szCs w:val="18"/>
              </w:rPr>
              <w:t>0</w:t>
            </w:r>
          </w:p>
        </w:tc>
        <w:tc>
          <w:tcPr>
            <w:tcW w:w="0" w:type="auto"/>
            <w:noWrap/>
            <w:vAlign w:val="center"/>
          </w:tcPr>
          <w:p w14:paraId="54ED689B">
            <w:pPr>
              <w:pStyle w:val="133"/>
              <w:rPr>
                <w:sz w:val="18"/>
                <w:szCs w:val="18"/>
              </w:rPr>
            </w:pPr>
            <w:r>
              <w:rPr>
                <w:rFonts w:hint="eastAsia"/>
                <w:sz w:val="18"/>
                <w:szCs w:val="18"/>
              </w:rPr>
              <w:t>94.04|425</w:t>
            </w:r>
          </w:p>
        </w:tc>
        <w:tc>
          <w:tcPr>
            <w:tcW w:w="0" w:type="auto"/>
            <w:noWrap/>
            <w:vAlign w:val="center"/>
          </w:tcPr>
          <w:p w14:paraId="32D2DFAC">
            <w:pPr>
              <w:pStyle w:val="133"/>
              <w:rPr>
                <w:sz w:val="18"/>
                <w:szCs w:val="18"/>
              </w:rPr>
            </w:pPr>
            <w:r>
              <w:rPr>
                <w:rFonts w:hint="eastAsia"/>
                <w:sz w:val="18"/>
                <w:szCs w:val="18"/>
              </w:rPr>
              <w:t>0.00|0</w:t>
            </w:r>
          </w:p>
        </w:tc>
        <w:tc>
          <w:tcPr>
            <w:tcW w:w="0" w:type="auto"/>
            <w:noWrap/>
            <w:vAlign w:val="center"/>
          </w:tcPr>
          <w:p w14:paraId="5EDB8966">
            <w:pPr>
              <w:pStyle w:val="133"/>
              <w:rPr>
                <w:sz w:val="18"/>
                <w:szCs w:val="18"/>
              </w:rPr>
            </w:pPr>
            <w:r>
              <w:rPr>
                <w:rFonts w:hint="eastAsia"/>
                <w:sz w:val="18"/>
                <w:szCs w:val="18"/>
              </w:rPr>
              <w:t>9.42|0</w:t>
            </w:r>
          </w:p>
        </w:tc>
        <w:tc>
          <w:tcPr>
            <w:tcW w:w="0" w:type="auto"/>
            <w:noWrap/>
            <w:vAlign w:val="center"/>
          </w:tcPr>
          <w:p w14:paraId="2732E593">
            <w:pPr>
              <w:pStyle w:val="133"/>
              <w:rPr>
                <w:sz w:val="18"/>
                <w:szCs w:val="18"/>
              </w:rPr>
            </w:pPr>
            <w:r>
              <w:rPr>
                <w:rFonts w:hint="eastAsia"/>
                <w:sz w:val="18"/>
                <w:szCs w:val="18"/>
              </w:rPr>
              <w:t>0.00|0</w:t>
            </w:r>
          </w:p>
        </w:tc>
        <w:tc>
          <w:tcPr>
            <w:tcW w:w="0" w:type="auto"/>
            <w:noWrap/>
            <w:vAlign w:val="center"/>
          </w:tcPr>
          <w:p w14:paraId="669DF1DF">
            <w:pPr>
              <w:pStyle w:val="133"/>
              <w:rPr>
                <w:sz w:val="18"/>
                <w:szCs w:val="18"/>
              </w:rPr>
            </w:pPr>
            <w:r>
              <w:rPr>
                <w:rFonts w:hint="eastAsia"/>
                <w:sz w:val="18"/>
                <w:szCs w:val="18"/>
              </w:rPr>
              <w:t>0.00|0</w:t>
            </w:r>
          </w:p>
        </w:tc>
        <w:tc>
          <w:tcPr>
            <w:tcW w:w="0" w:type="auto"/>
            <w:noWrap/>
            <w:vAlign w:val="center"/>
          </w:tcPr>
          <w:p w14:paraId="5454DE10">
            <w:pPr>
              <w:pStyle w:val="133"/>
              <w:rPr>
                <w:sz w:val="18"/>
                <w:szCs w:val="18"/>
              </w:rPr>
            </w:pPr>
            <w:r>
              <w:rPr>
                <w:rFonts w:hint="eastAsia"/>
                <w:sz w:val="18"/>
                <w:szCs w:val="18"/>
              </w:rPr>
              <w:t>1.24|0</w:t>
            </w:r>
          </w:p>
        </w:tc>
        <w:tc>
          <w:tcPr>
            <w:tcW w:w="0" w:type="auto"/>
            <w:noWrap/>
            <w:vAlign w:val="center"/>
          </w:tcPr>
          <w:p w14:paraId="56D7F4C9">
            <w:pPr>
              <w:pStyle w:val="133"/>
              <w:rPr>
                <w:sz w:val="18"/>
                <w:szCs w:val="18"/>
              </w:rPr>
            </w:pPr>
            <w:r>
              <w:rPr>
                <w:rFonts w:hint="eastAsia"/>
                <w:sz w:val="18"/>
                <w:szCs w:val="18"/>
              </w:rPr>
              <w:t>3.54|0</w:t>
            </w:r>
          </w:p>
        </w:tc>
        <w:tc>
          <w:tcPr>
            <w:tcW w:w="0" w:type="auto"/>
            <w:noWrap/>
            <w:vAlign w:val="center"/>
          </w:tcPr>
          <w:p w14:paraId="35D6AF38">
            <w:pPr>
              <w:pStyle w:val="133"/>
              <w:rPr>
                <w:sz w:val="18"/>
                <w:szCs w:val="18"/>
              </w:rPr>
            </w:pPr>
            <w:r>
              <w:rPr>
                <w:rFonts w:hint="eastAsia"/>
                <w:sz w:val="18"/>
                <w:szCs w:val="18"/>
              </w:rPr>
              <w:t>20.49|100</w:t>
            </w:r>
          </w:p>
        </w:tc>
        <w:tc>
          <w:tcPr>
            <w:tcW w:w="0" w:type="auto"/>
            <w:noWrap/>
            <w:vAlign w:val="center"/>
          </w:tcPr>
          <w:p w14:paraId="080CB5EA">
            <w:pPr>
              <w:pStyle w:val="133"/>
              <w:rPr>
                <w:sz w:val="18"/>
                <w:szCs w:val="18"/>
              </w:rPr>
            </w:pPr>
            <w:r>
              <w:rPr>
                <w:rFonts w:hint="eastAsia"/>
                <w:sz w:val="18"/>
                <w:szCs w:val="18"/>
              </w:rPr>
              <w:t>0.00|0</w:t>
            </w:r>
          </w:p>
        </w:tc>
        <w:tc>
          <w:tcPr>
            <w:tcW w:w="0" w:type="auto"/>
            <w:vAlign w:val="center"/>
          </w:tcPr>
          <w:p w14:paraId="1582AED0">
            <w:pPr>
              <w:pStyle w:val="133"/>
              <w:rPr>
                <w:sz w:val="18"/>
                <w:szCs w:val="18"/>
              </w:rPr>
            </w:pPr>
            <w:r>
              <w:rPr>
                <w:rFonts w:hint="eastAsia"/>
                <w:sz w:val="18"/>
                <w:szCs w:val="18"/>
              </w:rPr>
              <w:t>0.00|0</w:t>
            </w:r>
          </w:p>
        </w:tc>
        <w:tc>
          <w:tcPr>
            <w:tcW w:w="0" w:type="auto"/>
            <w:vAlign w:val="center"/>
          </w:tcPr>
          <w:p w14:paraId="51792AEB">
            <w:pPr>
              <w:pStyle w:val="133"/>
              <w:rPr>
                <w:sz w:val="18"/>
                <w:szCs w:val="18"/>
              </w:rPr>
            </w:pPr>
            <w:r>
              <w:rPr>
                <w:rFonts w:hint="eastAsia"/>
                <w:sz w:val="18"/>
                <w:szCs w:val="18"/>
              </w:rPr>
              <w:t>0.00|0</w:t>
            </w:r>
          </w:p>
        </w:tc>
      </w:tr>
      <w:tr w14:paraId="25CF29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4F46ED93">
            <w:pPr>
              <w:pStyle w:val="133"/>
              <w:rPr>
                <w:sz w:val="18"/>
                <w:szCs w:val="18"/>
              </w:rPr>
            </w:pPr>
            <w:r>
              <w:rPr>
                <w:rFonts w:hint="eastAsia"/>
                <w:sz w:val="18"/>
                <w:szCs w:val="18"/>
              </w:rPr>
              <w:t>17</w:t>
            </w:r>
          </w:p>
        </w:tc>
        <w:tc>
          <w:tcPr>
            <w:tcW w:w="0" w:type="auto"/>
            <w:noWrap/>
            <w:vAlign w:val="center"/>
          </w:tcPr>
          <w:p w14:paraId="6F14FFB5">
            <w:pPr>
              <w:pStyle w:val="133"/>
              <w:rPr>
                <w:sz w:val="18"/>
                <w:szCs w:val="18"/>
              </w:rPr>
            </w:pPr>
            <w:r>
              <w:rPr>
                <w:rFonts w:hint="eastAsia"/>
                <w:sz w:val="18"/>
                <w:szCs w:val="18"/>
              </w:rPr>
              <w:t>煤气净化区</w:t>
            </w:r>
          </w:p>
        </w:tc>
        <w:tc>
          <w:tcPr>
            <w:tcW w:w="0" w:type="auto"/>
            <w:noWrap/>
            <w:vAlign w:val="center"/>
          </w:tcPr>
          <w:p w14:paraId="13A2C4C2">
            <w:pPr>
              <w:pStyle w:val="133"/>
              <w:rPr>
                <w:sz w:val="18"/>
                <w:szCs w:val="18"/>
              </w:rPr>
            </w:pPr>
            <w:r>
              <w:rPr>
                <w:rFonts w:hint="eastAsia"/>
                <w:sz w:val="18"/>
                <w:szCs w:val="18"/>
              </w:rPr>
              <w:t>35</w:t>
            </w:r>
          </w:p>
        </w:tc>
        <w:tc>
          <w:tcPr>
            <w:tcW w:w="0" w:type="auto"/>
            <w:noWrap/>
            <w:vAlign w:val="center"/>
          </w:tcPr>
          <w:p w14:paraId="6662FFA5">
            <w:pPr>
              <w:pStyle w:val="133"/>
              <w:rPr>
                <w:sz w:val="18"/>
                <w:szCs w:val="18"/>
              </w:rPr>
            </w:pPr>
            <w:r>
              <w:rPr>
                <w:rFonts w:hint="eastAsia"/>
                <w:sz w:val="18"/>
                <w:szCs w:val="18"/>
              </w:rPr>
              <w:t>59</w:t>
            </w:r>
          </w:p>
        </w:tc>
        <w:tc>
          <w:tcPr>
            <w:tcW w:w="0" w:type="auto"/>
            <w:noWrap/>
            <w:vAlign w:val="center"/>
          </w:tcPr>
          <w:p w14:paraId="7EF64D7B">
            <w:pPr>
              <w:pStyle w:val="133"/>
              <w:rPr>
                <w:sz w:val="18"/>
                <w:szCs w:val="18"/>
              </w:rPr>
            </w:pPr>
            <w:r>
              <w:rPr>
                <w:rFonts w:hint="eastAsia"/>
                <w:sz w:val="18"/>
                <w:szCs w:val="18"/>
              </w:rPr>
              <w:t>0</w:t>
            </w:r>
          </w:p>
        </w:tc>
        <w:tc>
          <w:tcPr>
            <w:tcW w:w="0" w:type="auto"/>
            <w:noWrap/>
            <w:vAlign w:val="center"/>
          </w:tcPr>
          <w:p w14:paraId="4A076124">
            <w:pPr>
              <w:pStyle w:val="133"/>
              <w:rPr>
                <w:sz w:val="18"/>
                <w:szCs w:val="18"/>
              </w:rPr>
            </w:pPr>
            <w:r>
              <w:rPr>
                <w:rFonts w:hint="eastAsia"/>
                <w:sz w:val="18"/>
                <w:szCs w:val="18"/>
              </w:rPr>
              <w:t>0.00|0</w:t>
            </w:r>
          </w:p>
        </w:tc>
        <w:tc>
          <w:tcPr>
            <w:tcW w:w="0" w:type="auto"/>
            <w:noWrap/>
            <w:vAlign w:val="center"/>
          </w:tcPr>
          <w:p w14:paraId="18268CDB">
            <w:pPr>
              <w:pStyle w:val="133"/>
              <w:rPr>
                <w:sz w:val="18"/>
                <w:szCs w:val="18"/>
              </w:rPr>
            </w:pPr>
            <w:r>
              <w:rPr>
                <w:rFonts w:hint="eastAsia"/>
                <w:sz w:val="18"/>
                <w:szCs w:val="18"/>
              </w:rPr>
              <w:t>0.00|0</w:t>
            </w:r>
          </w:p>
        </w:tc>
        <w:tc>
          <w:tcPr>
            <w:tcW w:w="0" w:type="auto"/>
            <w:noWrap/>
            <w:vAlign w:val="center"/>
          </w:tcPr>
          <w:p w14:paraId="19F65AD1">
            <w:pPr>
              <w:pStyle w:val="133"/>
              <w:rPr>
                <w:sz w:val="18"/>
                <w:szCs w:val="18"/>
              </w:rPr>
            </w:pPr>
            <w:r>
              <w:rPr>
                <w:rFonts w:hint="eastAsia"/>
                <w:sz w:val="18"/>
                <w:szCs w:val="18"/>
              </w:rPr>
              <w:t>0.00|0</w:t>
            </w:r>
          </w:p>
        </w:tc>
        <w:tc>
          <w:tcPr>
            <w:tcW w:w="0" w:type="auto"/>
            <w:noWrap/>
            <w:vAlign w:val="center"/>
          </w:tcPr>
          <w:p w14:paraId="1B06D2AE">
            <w:pPr>
              <w:pStyle w:val="133"/>
              <w:rPr>
                <w:sz w:val="18"/>
                <w:szCs w:val="18"/>
              </w:rPr>
            </w:pPr>
            <w:r>
              <w:rPr>
                <w:rFonts w:hint="eastAsia"/>
                <w:sz w:val="18"/>
                <w:szCs w:val="18"/>
              </w:rPr>
              <w:t>0.00|0</w:t>
            </w:r>
          </w:p>
        </w:tc>
        <w:tc>
          <w:tcPr>
            <w:tcW w:w="0" w:type="auto"/>
            <w:noWrap/>
            <w:vAlign w:val="center"/>
          </w:tcPr>
          <w:p w14:paraId="6FCD0D03">
            <w:pPr>
              <w:pStyle w:val="133"/>
              <w:rPr>
                <w:sz w:val="18"/>
                <w:szCs w:val="18"/>
              </w:rPr>
            </w:pPr>
            <w:r>
              <w:rPr>
                <w:rFonts w:hint="eastAsia"/>
                <w:sz w:val="18"/>
                <w:szCs w:val="18"/>
              </w:rPr>
              <w:t>0.00|0</w:t>
            </w:r>
          </w:p>
        </w:tc>
        <w:tc>
          <w:tcPr>
            <w:tcW w:w="0" w:type="auto"/>
            <w:noWrap/>
            <w:vAlign w:val="center"/>
          </w:tcPr>
          <w:p w14:paraId="287927F3">
            <w:pPr>
              <w:pStyle w:val="133"/>
              <w:rPr>
                <w:sz w:val="18"/>
                <w:szCs w:val="18"/>
              </w:rPr>
            </w:pPr>
            <w:r>
              <w:rPr>
                <w:rFonts w:hint="eastAsia"/>
                <w:sz w:val="18"/>
                <w:szCs w:val="18"/>
              </w:rPr>
              <w:t>90.23|500</w:t>
            </w:r>
          </w:p>
        </w:tc>
        <w:tc>
          <w:tcPr>
            <w:tcW w:w="0" w:type="auto"/>
            <w:noWrap/>
            <w:vAlign w:val="center"/>
          </w:tcPr>
          <w:p w14:paraId="4AFE527E">
            <w:pPr>
              <w:pStyle w:val="133"/>
              <w:rPr>
                <w:sz w:val="18"/>
                <w:szCs w:val="18"/>
              </w:rPr>
            </w:pPr>
            <w:r>
              <w:rPr>
                <w:rFonts w:hint="eastAsia"/>
                <w:sz w:val="18"/>
                <w:szCs w:val="18"/>
              </w:rPr>
              <w:t>0.65|0</w:t>
            </w:r>
          </w:p>
        </w:tc>
        <w:tc>
          <w:tcPr>
            <w:tcW w:w="0" w:type="auto"/>
            <w:noWrap/>
            <w:vAlign w:val="center"/>
          </w:tcPr>
          <w:p w14:paraId="19AF94FA">
            <w:pPr>
              <w:pStyle w:val="133"/>
              <w:rPr>
                <w:sz w:val="18"/>
                <w:szCs w:val="18"/>
              </w:rPr>
            </w:pPr>
            <w:r>
              <w:rPr>
                <w:rFonts w:hint="eastAsia"/>
                <w:sz w:val="18"/>
                <w:szCs w:val="18"/>
              </w:rPr>
              <w:t>0.56|0</w:t>
            </w:r>
          </w:p>
        </w:tc>
        <w:tc>
          <w:tcPr>
            <w:tcW w:w="0" w:type="auto"/>
            <w:noWrap/>
            <w:vAlign w:val="center"/>
          </w:tcPr>
          <w:p w14:paraId="7FF2EF31">
            <w:pPr>
              <w:pStyle w:val="133"/>
              <w:rPr>
                <w:sz w:val="18"/>
                <w:szCs w:val="18"/>
              </w:rPr>
            </w:pPr>
            <w:r>
              <w:rPr>
                <w:rFonts w:hint="eastAsia"/>
                <w:sz w:val="18"/>
                <w:szCs w:val="18"/>
              </w:rPr>
              <w:t>0.10|0</w:t>
            </w:r>
          </w:p>
        </w:tc>
        <w:tc>
          <w:tcPr>
            <w:tcW w:w="0" w:type="auto"/>
            <w:vAlign w:val="center"/>
          </w:tcPr>
          <w:p w14:paraId="5F353BCC">
            <w:pPr>
              <w:pStyle w:val="133"/>
              <w:rPr>
                <w:sz w:val="18"/>
                <w:szCs w:val="18"/>
              </w:rPr>
            </w:pPr>
            <w:r>
              <w:rPr>
                <w:rFonts w:hint="eastAsia"/>
                <w:sz w:val="18"/>
                <w:szCs w:val="18"/>
              </w:rPr>
              <w:t>0.00|0</w:t>
            </w:r>
          </w:p>
        </w:tc>
        <w:tc>
          <w:tcPr>
            <w:tcW w:w="0" w:type="auto"/>
            <w:vAlign w:val="center"/>
          </w:tcPr>
          <w:p w14:paraId="1843F002">
            <w:pPr>
              <w:pStyle w:val="133"/>
              <w:rPr>
                <w:sz w:val="18"/>
                <w:szCs w:val="18"/>
              </w:rPr>
            </w:pPr>
            <w:r>
              <w:rPr>
                <w:rFonts w:hint="eastAsia"/>
                <w:sz w:val="18"/>
                <w:szCs w:val="18"/>
              </w:rPr>
              <w:t>0.00|0</w:t>
            </w:r>
          </w:p>
        </w:tc>
      </w:tr>
      <w:tr w14:paraId="35439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1780B963">
            <w:pPr>
              <w:pStyle w:val="133"/>
              <w:rPr>
                <w:sz w:val="18"/>
                <w:szCs w:val="18"/>
              </w:rPr>
            </w:pPr>
            <w:r>
              <w:rPr>
                <w:rFonts w:hint="eastAsia"/>
                <w:sz w:val="18"/>
                <w:szCs w:val="18"/>
              </w:rPr>
              <w:t>18</w:t>
            </w:r>
          </w:p>
        </w:tc>
        <w:tc>
          <w:tcPr>
            <w:tcW w:w="0" w:type="auto"/>
            <w:noWrap/>
            <w:vAlign w:val="center"/>
          </w:tcPr>
          <w:p w14:paraId="4054C542">
            <w:pPr>
              <w:pStyle w:val="133"/>
              <w:rPr>
                <w:sz w:val="18"/>
                <w:szCs w:val="18"/>
              </w:rPr>
            </w:pPr>
            <w:r>
              <w:rPr>
                <w:rFonts w:hint="eastAsia"/>
                <w:sz w:val="18"/>
                <w:szCs w:val="18"/>
              </w:rPr>
              <w:t>焦油罐区</w:t>
            </w:r>
          </w:p>
        </w:tc>
        <w:tc>
          <w:tcPr>
            <w:tcW w:w="0" w:type="auto"/>
            <w:noWrap/>
            <w:vAlign w:val="center"/>
          </w:tcPr>
          <w:p w14:paraId="0F205AF5">
            <w:pPr>
              <w:pStyle w:val="133"/>
              <w:rPr>
                <w:sz w:val="18"/>
                <w:szCs w:val="18"/>
              </w:rPr>
            </w:pPr>
            <w:r>
              <w:rPr>
                <w:rFonts w:hint="eastAsia"/>
                <w:sz w:val="18"/>
                <w:szCs w:val="18"/>
              </w:rPr>
              <w:t>0</w:t>
            </w:r>
          </w:p>
        </w:tc>
        <w:tc>
          <w:tcPr>
            <w:tcW w:w="0" w:type="auto"/>
            <w:noWrap/>
            <w:vAlign w:val="center"/>
          </w:tcPr>
          <w:p w14:paraId="674E24A5">
            <w:pPr>
              <w:pStyle w:val="133"/>
              <w:rPr>
                <w:sz w:val="18"/>
                <w:szCs w:val="18"/>
              </w:rPr>
            </w:pPr>
            <w:r>
              <w:rPr>
                <w:rFonts w:hint="eastAsia"/>
                <w:sz w:val="18"/>
                <w:szCs w:val="18"/>
              </w:rPr>
              <w:t>94</w:t>
            </w:r>
          </w:p>
        </w:tc>
        <w:tc>
          <w:tcPr>
            <w:tcW w:w="0" w:type="auto"/>
            <w:noWrap/>
            <w:vAlign w:val="center"/>
          </w:tcPr>
          <w:p w14:paraId="3BE0BE42">
            <w:pPr>
              <w:pStyle w:val="133"/>
              <w:rPr>
                <w:sz w:val="18"/>
                <w:szCs w:val="18"/>
              </w:rPr>
            </w:pPr>
            <w:r>
              <w:rPr>
                <w:rFonts w:hint="eastAsia"/>
                <w:sz w:val="18"/>
                <w:szCs w:val="18"/>
              </w:rPr>
              <w:t>0</w:t>
            </w:r>
          </w:p>
        </w:tc>
        <w:tc>
          <w:tcPr>
            <w:tcW w:w="0" w:type="auto"/>
            <w:noWrap/>
            <w:vAlign w:val="center"/>
          </w:tcPr>
          <w:p w14:paraId="37EFCE88">
            <w:pPr>
              <w:pStyle w:val="133"/>
              <w:rPr>
                <w:sz w:val="18"/>
                <w:szCs w:val="18"/>
              </w:rPr>
            </w:pPr>
            <w:r>
              <w:rPr>
                <w:rFonts w:hint="eastAsia"/>
                <w:sz w:val="18"/>
                <w:szCs w:val="18"/>
              </w:rPr>
              <w:t>0.00|0</w:t>
            </w:r>
          </w:p>
        </w:tc>
        <w:tc>
          <w:tcPr>
            <w:tcW w:w="0" w:type="auto"/>
            <w:noWrap/>
            <w:vAlign w:val="center"/>
          </w:tcPr>
          <w:p w14:paraId="05D3081C">
            <w:pPr>
              <w:pStyle w:val="133"/>
              <w:rPr>
                <w:sz w:val="18"/>
                <w:szCs w:val="18"/>
              </w:rPr>
            </w:pPr>
            <w:r>
              <w:rPr>
                <w:rFonts w:hint="eastAsia"/>
                <w:sz w:val="18"/>
                <w:szCs w:val="18"/>
              </w:rPr>
              <w:t>0.00|0</w:t>
            </w:r>
          </w:p>
        </w:tc>
        <w:tc>
          <w:tcPr>
            <w:tcW w:w="0" w:type="auto"/>
            <w:noWrap/>
            <w:vAlign w:val="center"/>
          </w:tcPr>
          <w:p w14:paraId="0BEABF57">
            <w:pPr>
              <w:pStyle w:val="133"/>
              <w:rPr>
                <w:sz w:val="18"/>
                <w:szCs w:val="18"/>
              </w:rPr>
            </w:pPr>
            <w:r>
              <w:rPr>
                <w:rFonts w:hint="eastAsia"/>
                <w:sz w:val="18"/>
                <w:szCs w:val="18"/>
              </w:rPr>
              <w:t>0.00|0</w:t>
            </w:r>
          </w:p>
        </w:tc>
        <w:tc>
          <w:tcPr>
            <w:tcW w:w="0" w:type="auto"/>
            <w:noWrap/>
            <w:vAlign w:val="center"/>
          </w:tcPr>
          <w:p w14:paraId="47BB23AD">
            <w:pPr>
              <w:pStyle w:val="133"/>
              <w:rPr>
                <w:sz w:val="18"/>
                <w:szCs w:val="18"/>
              </w:rPr>
            </w:pPr>
            <w:r>
              <w:rPr>
                <w:rFonts w:hint="eastAsia"/>
                <w:sz w:val="18"/>
                <w:szCs w:val="18"/>
              </w:rPr>
              <w:t>0.00|0</w:t>
            </w:r>
          </w:p>
        </w:tc>
        <w:tc>
          <w:tcPr>
            <w:tcW w:w="0" w:type="auto"/>
            <w:noWrap/>
            <w:vAlign w:val="center"/>
          </w:tcPr>
          <w:p w14:paraId="71549117">
            <w:pPr>
              <w:pStyle w:val="133"/>
              <w:rPr>
                <w:sz w:val="18"/>
                <w:szCs w:val="18"/>
              </w:rPr>
            </w:pPr>
            <w:r>
              <w:rPr>
                <w:rFonts w:hint="eastAsia"/>
                <w:sz w:val="18"/>
                <w:szCs w:val="18"/>
              </w:rPr>
              <w:t>0.00|0</w:t>
            </w:r>
          </w:p>
        </w:tc>
        <w:tc>
          <w:tcPr>
            <w:tcW w:w="0" w:type="auto"/>
            <w:noWrap/>
            <w:vAlign w:val="center"/>
          </w:tcPr>
          <w:p w14:paraId="544F191D">
            <w:pPr>
              <w:pStyle w:val="133"/>
              <w:rPr>
                <w:sz w:val="18"/>
                <w:szCs w:val="18"/>
              </w:rPr>
            </w:pPr>
            <w:r>
              <w:rPr>
                <w:rFonts w:hint="eastAsia"/>
                <w:sz w:val="18"/>
                <w:szCs w:val="18"/>
              </w:rPr>
              <w:t>0.00|0</w:t>
            </w:r>
          </w:p>
        </w:tc>
        <w:tc>
          <w:tcPr>
            <w:tcW w:w="0" w:type="auto"/>
            <w:noWrap/>
            <w:vAlign w:val="center"/>
          </w:tcPr>
          <w:p w14:paraId="79834DD1">
            <w:pPr>
              <w:pStyle w:val="133"/>
              <w:rPr>
                <w:sz w:val="18"/>
                <w:szCs w:val="18"/>
              </w:rPr>
            </w:pPr>
            <w:r>
              <w:rPr>
                <w:rFonts w:hint="eastAsia"/>
                <w:sz w:val="18"/>
                <w:szCs w:val="18"/>
              </w:rPr>
              <w:t>0.00|0</w:t>
            </w:r>
          </w:p>
        </w:tc>
        <w:tc>
          <w:tcPr>
            <w:tcW w:w="0" w:type="auto"/>
            <w:noWrap/>
            <w:vAlign w:val="center"/>
          </w:tcPr>
          <w:p w14:paraId="3D4D346D">
            <w:pPr>
              <w:pStyle w:val="133"/>
              <w:rPr>
                <w:sz w:val="18"/>
                <w:szCs w:val="18"/>
              </w:rPr>
            </w:pPr>
            <w:r>
              <w:rPr>
                <w:rFonts w:hint="eastAsia"/>
                <w:sz w:val="18"/>
                <w:szCs w:val="18"/>
              </w:rPr>
              <w:t>0.00|0</w:t>
            </w:r>
          </w:p>
        </w:tc>
        <w:tc>
          <w:tcPr>
            <w:tcW w:w="0" w:type="auto"/>
            <w:noWrap/>
            <w:vAlign w:val="center"/>
          </w:tcPr>
          <w:p w14:paraId="55E109D8">
            <w:pPr>
              <w:pStyle w:val="133"/>
              <w:rPr>
                <w:sz w:val="18"/>
                <w:szCs w:val="18"/>
              </w:rPr>
            </w:pPr>
            <w:r>
              <w:rPr>
                <w:rFonts w:hint="eastAsia"/>
                <w:sz w:val="18"/>
                <w:szCs w:val="18"/>
              </w:rPr>
              <w:t>1.12|0</w:t>
            </w:r>
          </w:p>
        </w:tc>
        <w:tc>
          <w:tcPr>
            <w:tcW w:w="0" w:type="auto"/>
            <w:vAlign w:val="center"/>
          </w:tcPr>
          <w:p w14:paraId="215817F2">
            <w:pPr>
              <w:pStyle w:val="133"/>
              <w:rPr>
                <w:sz w:val="18"/>
                <w:szCs w:val="18"/>
              </w:rPr>
            </w:pPr>
            <w:r>
              <w:rPr>
                <w:rFonts w:hint="eastAsia"/>
                <w:sz w:val="18"/>
                <w:szCs w:val="18"/>
              </w:rPr>
              <w:t>0.00|0</w:t>
            </w:r>
          </w:p>
        </w:tc>
        <w:tc>
          <w:tcPr>
            <w:tcW w:w="0" w:type="auto"/>
            <w:vAlign w:val="center"/>
          </w:tcPr>
          <w:p w14:paraId="4B9B6353">
            <w:pPr>
              <w:pStyle w:val="133"/>
              <w:rPr>
                <w:sz w:val="18"/>
                <w:szCs w:val="18"/>
              </w:rPr>
            </w:pPr>
            <w:r>
              <w:rPr>
                <w:rFonts w:hint="eastAsia"/>
                <w:sz w:val="18"/>
                <w:szCs w:val="18"/>
              </w:rPr>
              <w:t>0.00|0</w:t>
            </w:r>
          </w:p>
        </w:tc>
      </w:tr>
      <w:tr w14:paraId="4593EC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7C418DCE">
            <w:pPr>
              <w:pStyle w:val="133"/>
              <w:rPr>
                <w:sz w:val="18"/>
                <w:szCs w:val="18"/>
              </w:rPr>
            </w:pPr>
            <w:r>
              <w:rPr>
                <w:rFonts w:hint="eastAsia"/>
                <w:sz w:val="18"/>
                <w:szCs w:val="18"/>
              </w:rPr>
              <w:t>19</w:t>
            </w:r>
          </w:p>
        </w:tc>
        <w:tc>
          <w:tcPr>
            <w:tcW w:w="0" w:type="auto"/>
            <w:noWrap/>
            <w:vAlign w:val="center"/>
          </w:tcPr>
          <w:p w14:paraId="79EA02D5">
            <w:pPr>
              <w:pStyle w:val="133"/>
              <w:rPr>
                <w:sz w:val="18"/>
                <w:szCs w:val="18"/>
              </w:rPr>
            </w:pPr>
            <w:r>
              <w:rPr>
                <w:rFonts w:hint="eastAsia"/>
                <w:sz w:val="18"/>
                <w:szCs w:val="18"/>
              </w:rPr>
              <w:t>装车站</w:t>
            </w:r>
          </w:p>
        </w:tc>
        <w:tc>
          <w:tcPr>
            <w:tcW w:w="0" w:type="auto"/>
            <w:noWrap/>
            <w:vAlign w:val="center"/>
          </w:tcPr>
          <w:p w14:paraId="217B8DE8">
            <w:pPr>
              <w:pStyle w:val="133"/>
              <w:rPr>
                <w:sz w:val="18"/>
                <w:szCs w:val="18"/>
              </w:rPr>
            </w:pPr>
            <w:r>
              <w:rPr>
                <w:rFonts w:hint="eastAsia"/>
                <w:sz w:val="18"/>
                <w:szCs w:val="18"/>
              </w:rPr>
              <w:t>0</w:t>
            </w:r>
          </w:p>
        </w:tc>
        <w:tc>
          <w:tcPr>
            <w:tcW w:w="0" w:type="auto"/>
            <w:noWrap/>
            <w:vAlign w:val="center"/>
          </w:tcPr>
          <w:p w14:paraId="1BFFBFBF">
            <w:pPr>
              <w:pStyle w:val="133"/>
              <w:rPr>
                <w:sz w:val="18"/>
                <w:szCs w:val="18"/>
              </w:rPr>
            </w:pPr>
            <w:r>
              <w:rPr>
                <w:rFonts w:hint="eastAsia"/>
                <w:sz w:val="18"/>
                <w:szCs w:val="18"/>
              </w:rPr>
              <w:t>10</w:t>
            </w:r>
          </w:p>
        </w:tc>
        <w:tc>
          <w:tcPr>
            <w:tcW w:w="0" w:type="auto"/>
            <w:noWrap/>
            <w:vAlign w:val="center"/>
          </w:tcPr>
          <w:p w14:paraId="3D6BBA49">
            <w:pPr>
              <w:pStyle w:val="133"/>
              <w:rPr>
                <w:sz w:val="18"/>
                <w:szCs w:val="18"/>
              </w:rPr>
            </w:pPr>
            <w:r>
              <w:rPr>
                <w:rFonts w:hint="eastAsia"/>
                <w:sz w:val="18"/>
                <w:szCs w:val="18"/>
              </w:rPr>
              <w:t>0</w:t>
            </w:r>
          </w:p>
        </w:tc>
        <w:tc>
          <w:tcPr>
            <w:tcW w:w="0" w:type="auto"/>
            <w:noWrap/>
            <w:vAlign w:val="center"/>
          </w:tcPr>
          <w:p w14:paraId="68D64953">
            <w:pPr>
              <w:pStyle w:val="133"/>
              <w:rPr>
                <w:sz w:val="18"/>
                <w:szCs w:val="18"/>
              </w:rPr>
            </w:pPr>
            <w:r>
              <w:rPr>
                <w:rFonts w:hint="eastAsia"/>
                <w:sz w:val="18"/>
                <w:szCs w:val="18"/>
              </w:rPr>
              <w:t>0.00|0</w:t>
            </w:r>
          </w:p>
        </w:tc>
        <w:tc>
          <w:tcPr>
            <w:tcW w:w="0" w:type="auto"/>
            <w:noWrap/>
            <w:vAlign w:val="center"/>
          </w:tcPr>
          <w:p w14:paraId="7FC7E7F0">
            <w:pPr>
              <w:pStyle w:val="133"/>
              <w:rPr>
                <w:sz w:val="18"/>
                <w:szCs w:val="18"/>
              </w:rPr>
            </w:pPr>
            <w:r>
              <w:rPr>
                <w:rFonts w:hint="eastAsia"/>
                <w:sz w:val="18"/>
                <w:szCs w:val="18"/>
              </w:rPr>
              <w:t>0.00|0</w:t>
            </w:r>
          </w:p>
        </w:tc>
        <w:tc>
          <w:tcPr>
            <w:tcW w:w="0" w:type="auto"/>
            <w:noWrap/>
            <w:vAlign w:val="center"/>
          </w:tcPr>
          <w:p w14:paraId="3319ECE2">
            <w:pPr>
              <w:pStyle w:val="133"/>
              <w:rPr>
                <w:sz w:val="18"/>
                <w:szCs w:val="18"/>
              </w:rPr>
            </w:pPr>
            <w:r>
              <w:rPr>
                <w:rFonts w:hint="eastAsia"/>
                <w:sz w:val="18"/>
                <w:szCs w:val="18"/>
              </w:rPr>
              <w:t>0.00|0</w:t>
            </w:r>
          </w:p>
        </w:tc>
        <w:tc>
          <w:tcPr>
            <w:tcW w:w="0" w:type="auto"/>
            <w:noWrap/>
            <w:vAlign w:val="center"/>
          </w:tcPr>
          <w:p w14:paraId="04A155F9">
            <w:pPr>
              <w:pStyle w:val="133"/>
              <w:rPr>
                <w:sz w:val="18"/>
                <w:szCs w:val="18"/>
              </w:rPr>
            </w:pPr>
            <w:r>
              <w:rPr>
                <w:rFonts w:hint="eastAsia"/>
                <w:sz w:val="18"/>
                <w:szCs w:val="18"/>
              </w:rPr>
              <w:t>0.00|0</w:t>
            </w:r>
          </w:p>
        </w:tc>
        <w:tc>
          <w:tcPr>
            <w:tcW w:w="0" w:type="auto"/>
            <w:noWrap/>
            <w:vAlign w:val="center"/>
          </w:tcPr>
          <w:p w14:paraId="3C6BE9F4">
            <w:pPr>
              <w:pStyle w:val="133"/>
              <w:rPr>
                <w:sz w:val="18"/>
                <w:szCs w:val="18"/>
              </w:rPr>
            </w:pPr>
            <w:r>
              <w:rPr>
                <w:rFonts w:hint="eastAsia"/>
                <w:sz w:val="18"/>
                <w:szCs w:val="18"/>
              </w:rPr>
              <w:t>0.00|0</w:t>
            </w:r>
          </w:p>
        </w:tc>
        <w:tc>
          <w:tcPr>
            <w:tcW w:w="0" w:type="auto"/>
            <w:noWrap/>
            <w:vAlign w:val="center"/>
          </w:tcPr>
          <w:p w14:paraId="12FB0DD6">
            <w:pPr>
              <w:pStyle w:val="133"/>
              <w:rPr>
                <w:sz w:val="18"/>
                <w:szCs w:val="18"/>
              </w:rPr>
            </w:pPr>
            <w:r>
              <w:rPr>
                <w:rFonts w:hint="eastAsia"/>
                <w:sz w:val="18"/>
                <w:szCs w:val="18"/>
              </w:rPr>
              <w:t>0.00|0</w:t>
            </w:r>
          </w:p>
        </w:tc>
        <w:tc>
          <w:tcPr>
            <w:tcW w:w="0" w:type="auto"/>
            <w:noWrap/>
            <w:vAlign w:val="center"/>
          </w:tcPr>
          <w:p w14:paraId="444E7633">
            <w:pPr>
              <w:pStyle w:val="133"/>
              <w:rPr>
                <w:sz w:val="18"/>
                <w:szCs w:val="18"/>
              </w:rPr>
            </w:pPr>
            <w:r>
              <w:rPr>
                <w:rFonts w:hint="eastAsia"/>
                <w:sz w:val="18"/>
                <w:szCs w:val="18"/>
              </w:rPr>
              <w:t>0.00|0</w:t>
            </w:r>
          </w:p>
        </w:tc>
        <w:tc>
          <w:tcPr>
            <w:tcW w:w="0" w:type="auto"/>
            <w:noWrap/>
            <w:vAlign w:val="center"/>
          </w:tcPr>
          <w:p w14:paraId="111969DB">
            <w:pPr>
              <w:pStyle w:val="133"/>
              <w:rPr>
                <w:sz w:val="18"/>
                <w:szCs w:val="18"/>
              </w:rPr>
            </w:pPr>
            <w:r>
              <w:rPr>
                <w:rFonts w:hint="eastAsia"/>
                <w:sz w:val="18"/>
                <w:szCs w:val="18"/>
              </w:rPr>
              <w:t>0.00|0</w:t>
            </w:r>
          </w:p>
        </w:tc>
        <w:tc>
          <w:tcPr>
            <w:tcW w:w="0" w:type="auto"/>
            <w:noWrap/>
            <w:vAlign w:val="center"/>
          </w:tcPr>
          <w:p w14:paraId="16FEBC8B">
            <w:pPr>
              <w:pStyle w:val="133"/>
              <w:rPr>
                <w:sz w:val="18"/>
                <w:szCs w:val="18"/>
              </w:rPr>
            </w:pPr>
            <w:r>
              <w:rPr>
                <w:rFonts w:hint="eastAsia"/>
                <w:sz w:val="18"/>
                <w:szCs w:val="18"/>
              </w:rPr>
              <w:t>7.15|0</w:t>
            </w:r>
          </w:p>
        </w:tc>
        <w:tc>
          <w:tcPr>
            <w:tcW w:w="0" w:type="auto"/>
            <w:vAlign w:val="center"/>
          </w:tcPr>
          <w:p w14:paraId="271AC8CB">
            <w:pPr>
              <w:pStyle w:val="133"/>
              <w:rPr>
                <w:sz w:val="18"/>
                <w:szCs w:val="18"/>
              </w:rPr>
            </w:pPr>
            <w:r>
              <w:rPr>
                <w:rFonts w:hint="eastAsia"/>
                <w:sz w:val="18"/>
                <w:szCs w:val="18"/>
              </w:rPr>
              <w:t>0.00|0</w:t>
            </w:r>
          </w:p>
        </w:tc>
        <w:tc>
          <w:tcPr>
            <w:tcW w:w="0" w:type="auto"/>
            <w:vAlign w:val="center"/>
          </w:tcPr>
          <w:p w14:paraId="4995D3A9">
            <w:pPr>
              <w:pStyle w:val="133"/>
              <w:rPr>
                <w:sz w:val="18"/>
                <w:szCs w:val="18"/>
              </w:rPr>
            </w:pPr>
            <w:r>
              <w:rPr>
                <w:rFonts w:hint="eastAsia"/>
                <w:sz w:val="18"/>
                <w:szCs w:val="18"/>
              </w:rPr>
              <w:t>0.00|0</w:t>
            </w:r>
          </w:p>
        </w:tc>
      </w:tr>
      <w:tr w14:paraId="12EEA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56F7DDEF">
            <w:pPr>
              <w:pStyle w:val="133"/>
              <w:rPr>
                <w:sz w:val="18"/>
                <w:szCs w:val="18"/>
              </w:rPr>
            </w:pPr>
            <w:r>
              <w:rPr>
                <w:rFonts w:hint="eastAsia"/>
                <w:sz w:val="18"/>
                <w:szCs w:val="18"/>
              </w:rPr>
              <w:t>20</w:t>
            </w:r>
          </w:p>
        </w:tc>
        <w:tc>
          <w:tcPr>
            <w:tcW w:w="0" w:type="auto"/>
            <w:noWrap/>
            <w:vAlign w:val="center"/>
          </w:tcPr>
          <w:p w14:paraId="7E09F7DB">
            <w:pPr>
              <w:pStyle w:val="133"/>
              <w:rPr>
                <w:sz w:val="18"/>
                <w:szCs w:val="18"/>
              </w:rPr>
            </w:pPr>
            <w:r>
              <w:rPr>
                <w:rFonts w:hint="eastAsia"/>
                <w:sz w:val="18"/>
                <w:szCs w:val="18"/>
              </w:rPr>
              <w:t>污水处理站</w:t>
            </w:r>
          </w:p>
        </w:tc>
        <w:tc>
          <w:tcPr>
            <w:tcW w:w="0" w:type="auto"/>
            <w:noWrap/>
            <w:vAlign w:val="center"/>
          </w:tcPr>
          <w:p w14:paraId="5F768B30">
            <w:pPr>
              <w:pStyle w:val="133"/>
              <w:rPr>
                <w:sz w:val="18"/>
                <w:szCs w:val="18"/>
              </w:rPr>
            </w:pPr>
            <w:r>
              <w:rPr>
                <w:rFonts w:hint="eastAsia"/>
                <w:sz w:val="18"/>
                <w:szCs w:val="18"/>
              </w:rPr>
              <w:t>0</w:t>
            </w:r>
          </w:p>
        </w:tc>
        <w:tc>
          <w:tcPr>
            <w:tcW w:w="0" w:type="auto"/>
            <w:noWrap/>
            <w:vAlign w:val="center"/>
          </w:tcPr>
          <w:p w14:paraId="61C68960">
            <w:pPr>
              <w:pStyle w:val="133"/>
              <w:rPr>
                <w:sz w:val="18"/>
                <w:szCs w:val="18"/>
              </w:rPr>
            </w:pPr>
            <w:r>
              <w:rPr>
                <w:rFonts w:hint="eastAsia"/>
                <w:sz w:val="18"/>
                <w:szCs w:val="18"/>
              </w:rPr>
              <w:t>22</w:t>
            </w:r>
          </w:p>
        </w:tc>
        <w:tc>
          <w:tcPr>
            <w:tcW w:w="0" w:type="auto"/>
            <w:noWrap/>
            <w:vAlign w:val="center"/>
          </w:tcPr>
          <w:p w14:paraId="18911905">
            <w:pPr>
              <w:pStyle w:val="133"/>
              <w:rPr>
                <w:sz w:val="18"/>
                <w:szCs w:val="18"/>
              </w:rPr>
            </w:pPr>
            <w:r>
              <w:rPr>
                <w:rFonts w:hint="eastAsia"/>
                <w:sz w:val="18"/>
                <w:szCs w:val="18"/>
              </w:rPr>
              <w:t>0</w:t>
            </w:r>
          </w:p>
        </w:tc>
        <w:tc>
          <w:tcPr>
            <w:tcW w:w="0" w:type="auto"/>
            <w:noWrap/>
            <w:vAlign w:val="center"/>
          </w:tcPr>
          <w:p w14:paraId="117992EF">
            <w:pPr>
              <w:pStyle w:val="133"/>
              <w:rPr>
                <w:sz w:val="18"/>
                <w:szCs w:val="18"/>
              </w:rPr>
            </w:pPr>
            <w:r>
              <w:rPr>
                <w:rFonts w:hint="eastAsia"/>
                <w:sz w:val="18"/>
                <w:szCs w:val="18"/>
              </w:rPr>
              <w:t>0.00|0</w:t>
            </w:r>
          </w:p>
        </w:tc>
        <w:tc>
          <w:tcPr>
            <w:tcW w:w="0" w:type="auto"/>
            <w:noWrap/>
            <w:vAlign w:val="center"/>
          </w:tcPr>
          <w:p w14:paraId="0006A48F">
            <w:pPr>
              <w:pStyle w:val="133"/>
              <w:rPr>
                <w:sz w:val="18"/>
                <w:szCs w:val="18"/>
              </w:rPr>
            </w:pPr>
            <w:r>
              <w:rPr>
                <w:rFonts w:hint="eastAsia"/>
                <w:sz w:val="18"/>
                <w:szCs w:val="18"/>
              </w:rPr>
              <w:t>0.00|0</w:t>
            </w:r>
          </w:p>
        </w:tc>
        <w:tc>
          <w:tcPr>
            <w:tcW w:w="0" w:type="auto"/>
            <w:noWrap/>
            <w:vAlign w:val="center"/>
          </w:tcPr>
          <w:p w14:paraId="19E3AB3D">
            <w:pPr>
              <w:pStyle w:val="133"/>
              <w:rPr>
                <w:sz w:val="18"/>
                <w:szCs w:val="18"/>
              </w:rPr>
            </w:pPr>
            <w:r>
              <w:rPr>
                <w:rFonts w:hint="eastAsia"/>
                <w:sz w:val="18"/>
                <w:szCs w:val="18"/>
              </w:rPr>
              <w:t>0.00|0</w:t>
            </w:r>
          </w:p>
        </w:tc>
        <w:tc>
          <w:tcPr>
            <w:tcW w:w="0" w:type="auto"/>
            <w:noWrap/>
            <w:vAlign w:val="center"/>
          </w:tcPr>
          <w:p w14:paraId="4E2CF9DC">
            <w:pPr>
              <w:pStyle w:val="133"/>
              <w:rPr>
                <w:sz w:val="18"/>
                <w:szCs w:val="18"/>
              </w:rPr>
            </w:pPr>
            <w:r>
              <w:rPr>
                <w:rFonts w:hint="eastAsia"/>
                <w:sz w:val="18"/>
                <w:szCs w:val="18"/>
              </w:rPr>
              <w:t>0.00|0</w:t>
            </w:r>
          </w:p>
        </w:tc>
        <w:tc>
          <w:tcPr>
            <w:tcW w:w="0" w:type="auto"/>
            <w:noWrap/>
            <w:vAlign w:val="center"/>
          </w:tcPr>
          <w:p w14:paraId="2E7A44FC">
            <w:pPr>
              <w:pStyle w:val="133"/>
              <w:rPr>
                <w:sz w:val="18"/>
                <w:szCs w:val="18"/>
              </w:rPr>
            </w:pPr>
            <w:r>
              <w:rPr>
                <w:rFonts w:hint="eastAsia"/>
                <w:sz w:val="18"/>
                <w:szCs w:val="18"/>
              </w:rPr>
              <w:t>0.00|0</w:t>
            </w:r>
          </w:p>
        </w:tc>
        <w:tc>
          <w:tcPr>
            <w:tcW w:w="0" w:type="auto"/>
            <w:noWrap/>
            <w:vAlign w:val="center"/>
          </w:tcPr>
          <w:p w14:paraId="23B53391">
            <w:pPr>
              <w:pStyle w:val="133"/>
              <w:rPr>
                <w:sz w:val="18"/>
                <w:szCs w:val="18"/>
              </w:rPr>
            </w:pPr>
            <w:r>
              <w:rPr>
                <w:rFonts w:hint="eastAsia"/>
                <w:sz w:val="18"/>
                <w:szCs w:val="18"/>
              </w:rPr>
              <w:t>0.00|0</w:t>
            </w:r>
          </w:p>
        </w:tc>
        <w:tc>
          <w:tcPr>
            <w:tcW w:w="0" w:type="auto"/>
            <w:noWrap/>
            <w:vAlign w:val="center"/>
          </w:tcPr>
          <w:p w14:paraId="7988081B">
            <w:pPr>
              <w:pStyle w:val="133"/>
              <w:rPr>
                <w:sz w:val="18"/>
                <w:szCs w:val="18"/>
              </w:rPr>
            </w:pPr>
            <w:r>
              <w:rPr>
                <w:rFonts w:hint="eastAsia"/>
                <w:sz w:val="18"/>
                <w:szCs w:val="18"/>
              </w:rPr>
              <w:t>0.00|0</w:t>
            </w:r>
          </w:p>
        </w:tc>
        <w:tc>
          <w:tcPr>
            <w:tcW w:w="0" w:type="auto"/>
            <w:noWrap/>
            <w:vAlign w:val="center"/>
          </w:tcPr>
          <w:p w14:paraId="72ABEA1E">
            <w:pPr>
              <w:pStyle w:val="133"/>
              <w:rPr>
                <w:sz w:val="18"/>
                <w:szCs w:val="18"/>
              </w:rPr>
            </w:pPr>
            <w:r>
              <w:rPr>
                <w:rFonts w:hint="eastAsia"/>
                <w:sz w:val="18"/>
                <w:szCs w:val="18"/>
              </w:rPr>
              <w:t>0.00|0</w:t>
            </w:r>
          </w:p>
        </w:tc>
        <w:tc>
          <w:tcPr>
            <w:tcW w:w="0" w:type="auto"/>
            <w:noWrap/>
            <w:vAlign w:val="center"/>
          </w:tcPr>
          <w:p w14:paraId="484179E8">
            <w:pPr>
              <w:pStyle w:val="133"/>
              <w:rPr>
                <w:sz w:val="18"/>
                <w:szCs w:val="18"/>
              </w:rPr>
            </w:pPr>
            <w:r>
              <w:rPr>
                <w:rFonts w:hint="eastAsia"/>
                <w:sz w:val="18"/>
                <w:szCs w:val="18"/>
              </w:rPr>
              <w:t>0.72|0</w:t>
            </w:r>
          </w:p>
        </w:tc>
        <w:tc>
          <w:tcPr>
            <w:tcW w:w="0" w:type="auto"/>
            <w:vAlign w:val="center"/>
          </w:tcPr>
          <w:p w14:paraId="72B2B77A">
            <w:pPr>
              <w:pStyle w:val="133"/>
              <w:rPr>
                <w:sz w:val="18"/>
                <w:szCs w:val="18"/>
              </w:rPr>
            </w:pPr>
            <w:r>
              <w:rPr>
                <w:rFonts w:hint="eastAsia"/>
                <w:sz w:val="18"/>
                <w:szCs w:val="18"/>
              </w:rPr>
              <w:t>0.00|0</w:t>
            </w:r>
          </w:p>
        </w:tc>
        <w:tc>
          <w:tcPr>
            <w:tcW w:w="0" w:type="auto"/>
            <w:vAlign w:val="center"/>
          </w:tcPr>
          <w:p w14:paraId="4D35A95F">
            <w:pPr>
              <w:pStyle w:val="133"/>
              <w:rPr>
                <w:sz w:val="18"/>
                <w:szCs w:val="18"/>
              </w:rPr>
            </w:pPr>
            <w:r>
              <w:rPr>
                <w:rFonts w:hint="eastAsia"/>
                <w:sz w:val="18"/>
                <w:szCs w:val="18"/>
              </w:rPr>
              <w:t>0.00|0</w:t>
            </w:r>
          </w:p>
        </w:tc>
      </w:tr>
      <w:tr w14:paraId="39640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679446A7">
            <w:pPr>
              <w:pStyle w:val="133"/>
              <w:rPr>
                <w:sz w:val="18"/>
                <w:szCs w:val="18"/>
              </w:rPr>
            </w:pPr>
            <w:r>
              <w:rPr>
                <w:rFonts w:hint="eastAsia"/>
                <w:sz w:val="18"/>
                <w:szCs w:val="18"/>
              </w:rPr>
              <w:t>21</w:t>
            </w:r>
          </w:p>
        </w:tc>
        <w:tc>
          <w:tcPr>
            <w:tcW w:w="0" w:type="auto"/>
            <w:noWrap/>
            <w:vAlign w:val="center"/>
          </w:tcPr>
          <w:p w14:paraId="3E676789">
            <w:pPr>
              <w:pStyle w:val="133"/>
              <w:rPr>
                <w:sz w:val="18"/>
                <w:szCs w:val="18"/>
              </w:rPr>
            </w:pPr>
            <w:r>
              <w:rPr>
                <w:rFonts w:hint="eastAsia"/>
                <w:sz w:val="18"/>
                <w:szCs w:val="18"/>
              </w:rPr>
              <w:t>硅石球团料场</w:t>
            </w:r>
          </w:p>
        </w:tc>
        <w:tc>
          <w:tcPr>
            <w:tcW w:w="0" w:type="auto"/>
            <w:noWrap/>
            <w:vAlign w:val="center"/>
          </w:tcPr>
          <w:p w14:paraId="1FFBB7B5">
            <w:pPr>
              <w:pStyle w:val="133"/>
              <w:rPr>
                <w:sz w:val="18"/>
                <w:szCs w:val="18"/>
              </w:rPr>
            </w:pPr>
            <w:r>
              <w:rPr>
                <w:rFonts w:hint="eastAsia"/>
                <w:sz w:val="18"/>
                <w:szCs w:val="18"/>
              </w:rPr>
              <w:t>15</w:t>
            </w:r>
          </w:p>
        </w:tc>
        <w:tc>
          <w:tcPr>
            <w:tcW w:w="0" w:type="auto"/>
            <w:noWrap/>
            <w:vAlign w:val="center"/>
          </w:tcPr>
          <w:p w14:paraId="16C3526E">
            <w:pPr>
              <w:pStyle w:val="133"/>
              <w:rPr>
                <w:sz w:val="18"/>
                <w:szCs w:val="18"/>
              </w:rPr>
            </w:pPr>
            <w:r>
              <w:rPr>
                <w:rFonts w:hint="eastAsia"/>
                <w:sz w:val="18"/>
                <w:szCs w:val="18"/>
              </w:rPr>
              <w:t>64</w:t>
            </w:r>
          </w:p>
        </w:tc>
        <w:tc>
          <w:tcPr>
            <w:tcW w:w="0" w:type="auto"/>
            <w:noWrap/>
            <w:vAlign w:val="center"/>
          </w:tcPr>
          <w:p w14:paraId="5E3DF7DD">
            <w:pPr>
              <w:pStyle w:val="133"/>
              <w:rPr>
                <w:sz w:val="18"/>
                <w:szCs w:val="18"/>
              </w:rPr>
            </w:pPr>
            <w:r>
              <w:rPr>
                <w:rFonts w:hint="eastAsia"/>
                <w:sz w:val="18"/>
                <w:szCs w:val="18"/>
              </w:rPr>
              <w:t>0</w:t>
            </w:r>
          </w:p>
        </w:tc>
        <w:tc>
          <w:tcPr>
            <w:tcW w:w="0" w:type="auto"/>
            <w:noWrap/>
            <w:vAlign w:val="center"/>
          </w:tcPr>
          <w:p w14:paraId="0A5AB214">
            <w:pPr>
              <w:pStyle w:val="133"/>
              <w:rPr>
                <w:sz w:val="18"/>
                <w:szCs w:val="18"/>
              </w:rPr>
            </w:pPr>
            <w:r>
              <w:rPr>
                <w:rFonts w:hint="eastAsia"/>
                <w:sz w:val="18"/>
                <w:szCs w:val="18"/>
              </w:rPr>
              <w:t>0.00|0</w:t>
            </w:r>
          </w:p>
        </w:tc>
        <w:tc>
          <w:tcPr>
            <w:tcW w:w="0" w:type="auto"/>
            <w:noWrap/>
            <w:vAlign w:val="center"/>
          </w:tcPr>
          <w:p w14:paraId="546E661B">
            <w:pPr>
              <w:pStyle w:val="133"/>
              <w:rPr>
                <w:sz w:val="18"/>
                <w:szCs w:val="18"/>
              </w:rPr>
            </w:pPr>
            <w:r>
              <w:rPr>
                <w:rFonts w:hint="eastAsia"/>
                <w:sz w:val="18"/>
                <w:szCs w:val="18"/>
              </w:rPr>
              <w:t>0.00|0</w:t>
            </w:r>
          </w:p>
        </w:tc>
        <w:tc>
          <w:tcPr>
            <w:tcW w:w="0" w:type="auto"/>
            <w:noWrap/>
            <w:vAlign w:val="center"/>
          </w:tcPr>
          <w:p w14:paraId="2A500688">
            <w:pPr>
              <w:pStyle w:val="133"/>
              <w:rPr>
                <w:sz w:val="18"/>
                <w:szCs w:val="18"/>
              </w:rPr>
            </w:pPr>
            <w:r>
              <w:rPr>
                <w:rFonts w:hint="eastAsia"/>
                <w:sz w:val="18"/>
                <w:szCs w:val="18"/>
              </w:rPr>
              <w:t>19.72|150</w:t>
            </w:r>
          </w:p>
        </w:tc>
        <w:tc>
          <w:tcPr>
            <w:tcW w:w="0" w:type="auto"/>
            <w:noWrap/>
            <w:vAlign w:val="center"/>
          </w:tcPr>
          <w:p w14:paraId="5B175863">
            <w:pPr>
              <w:pStyle w:val="133"/>
              <w:rPr>
                <w:sz w:val="18"/>
                <w:szCs w:val="18"/>
              </w:rPr>
            </w:pPr>
            <w:r>
              <w:rPr>
                <w:rFonts w:hint="eastAsia"/>
                <w:sz w:val="18"/>
                <w:szCs w:val="18"/>
              </w:rPr>
              <w:t>0.00|0</w:t>
            </w:r>
          </w:p>
        </w:tc>
        <w:tc>
          <w:tcPr>
            <w:tcW w:w="0" w:type="auto"/>
            <w:noWrap/>
            <w:vAlign w:val="center"/>
          </w:tcPr>
          <w:p w14:paraId="29A6A4A9">
            <w:pPr>
              <w:pStyle w:val="133"/>
              <w:rPr>
                <w:sz w:val="18"/>
                <w:szCs w:val="18"/>
              </w:rPr>
            </w:pPr>
            <w:r>
              <w:rPr>
                <w:rFonts w:hint="eastAsia"/>
                <w:sz w:val="18"/>
                <w:szCs w:val="18"/>
              </w:rPr>
              <w:t>0.00|0</w:t>
            </w:r>
          </w:p>
        </w:tc>
        <w:tc>
          <w:tcPr>
            <w:tcW w:w="0" w:type="auto"/>
            <w:noWrap/>
            <w:vAlign w:val="center"/>
          </w:tcPr>
          <w:p w14:paraId="7907A0F0">
            <w:pPr>
              <w:pStyle w:val="133"/>
              <w:rPr>
                <w:sz w:val="18"/>
                <w:szCs w:val="18"/>
              </w:rPr>
            </w:pPr>
            <w:r>
              <w:rPr>
                <w:rFonts w:hint="eastAsia"/>
                <w:sz w:val="18"/>
                <w:szCs w:val="18"/>
              </w:rPr>
              <w:t>0.00|0</w:t>
            </w:r>
          </w:p>
        </w:tc>
        <w:tc>
          <w:tcPr>
            <w:tcW w:w="0" w:type="auto"/>
            <w:noWrap/>
            <w:vAlign w:val="center"/>
          </w:tcPr>
          <w:p w14:paraId="34B60436">
            <w:pPr>
              <w:pStyle w:val="133"/>
              <w:rPr>
                <w:sz w:val="18"/>
                <w:szCs w:val="18"/>
              </w:rPr>
            </w:pPr>
            <w:r>
              <w:rPr>
                <w:rFonts w:hint="eastAsia"/>
                <w:sz w:val="18"/>
                <w:szCs w:val="18"/>
              </w:rPr>
              <w:t>0.00|0</w:t>
            </w:r>
          </w:p>
        </w:tc>
        <w:tc>
          <w:tcPr>
            <w:tcW w:w="0" w:type="auto"/>
            <w:noWrap/>
            <w:vAlign w:val="center"/>
          </w:tcPr>
          <w:p w14:paraId="45CC4A2F">
            <w:pPr>
              <w:pStyle w:val="133"/>
              <w:rPr>
                <w:sz w:val="18"/>
                <w:szCs w:val="18"/>
              </w:rPr>
            </w:pPr>
            <w:r>
              <w:rPr>
                <w:rFonts w:hint="eastAsia"/>
                <w:sz w:val="18"/>
                <w:szCs w:val="18"/>
              </w:rPr>
              <w:t>0.00|0</w:t>
            </w:r>
          </w:p>
        </w:tc>
        <w:tc>
          <w:tcPr>
            <w:tcW w:w="0" w:type="auto"/>
            <w:noWrap/>
            <w:vAlign w:val="center"/>
          </w:tcPr>
          <w:p w14:paraId="4946BA40">
            <w:pPr>
              <w:pStyle w:val="133"/>
              <w:rPr>
                <w:sz w:val="18"/>
                <w:szCs w:val="18"/>
              </w:rPr>
            </w:pPr>
            <w:r>
              <w:rPr>
                <w:rFonts w:hint="eastAsia"/>
                <w:sz w:val="18"/>
                <w:szCs w:val="18"/>
              </w:rPr>
              <w:t>0.00|0</w:t>
            </w:r>
          </w:p>
        </w:tc>
        <w:tc>
          <w:tcPr>
            <w:tcW w:w="0" w:type="auto"/>
            <w:vAlign w:val="center"/>
          </w:tcPr>
          <w:p w14:paraId="4F6662FC">
            <w:pPr>
              <w:pStyle w:val="133"/>
              <w:rPr>
                <w:sz w:val="18"/>
                <w:szCs w:val="18"/>
              </w:rPr>
            </w:pPr>
            <w:r>
              <w:rPr>
                <w:rFonts w:hint="eastAsia"/>
                <w:sz w:val="18"/>
                <w:szCs w:val="18"/>
              </w:rPr>
              <w:t>0.00|0</w:t>
            </w:r>
          </w:p>
        </w:tc>
        <w:tc>
          <w:tcPr>
            <w:tcW w:w="0" w:type="auto"/>
            <w:vAlign w:val="center"/>
          </w:tcPr>
          <w:p w14:paraId="25F03A3C">
            <w:pPr>
              <w:pStyle w:val="133"/>
              <w:rPr>
                <w:sz w:val="18"/>
                <w:szCs w:val="18"/>
              </w:rPr>
            </w:pPr>
            <w:r>
              <w:rPr>
                <w:rFonts w:hint="eastAsia"/>
                <w:sz w:val="18"/>
                <w:szCs w:val="18"/>
              </w:rPr>
              <w:t>0.00|0</w:t>
            </w:r>
          </w:p>
        </w:tc>
      </w:tr>
      <w:tr w14:paraId="61604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4D5B9514">
            <w:pPr>
              <w:pStyle w:val="133"/>
              <w:rPr>
                <w:sz w:val="18"/>
                <w:szCs w:val="18"/>
              </w:rPr>
            </w:pPr>
            <w:r>
              <w:rPr>
                <w:rFonts w:hint="eastAsia"/>
                <w:sz w:val="18"/>
                <w:szCs w:val="18"/>
              </w:rPr>
              <w:t>22</w:t>
            </w:r>
          </w:p>
        </w:tc>
        <w:tc>
          <w:tcPr>
            <w:tcW w:w="0" w:type="auto"/>
            <w:noWrap/>
            <w:vAlign w:val="center"/>
          </w:tcPr>
          <w:p w14:paraId="4D72FBE7">
            <w:pPr>
              <w:pStyle w:val="133"/>
              <w:rPr>
                <w:sz w:val="18"/>
                <w:szCs w:val="18"/>
              </w:rPr>
            </w:pPr>
            <w:r>
              <w:rPr>
                <w:rFonts w:hint="eastAsia"/>
                <w:sz w:val="18"/>
                <w:szCs w:val="18"/>
              </w:rPr>
              <w:t>兰炭仓</w:t>
            </w:r>
          </w:p>
        </w:tc>
        <w:tc>
          <w:tcPr>
            <w:tcW w:w="0" w:type="auto"/>
            <w:noWrap/>
            <w:vAlign w:val="center"/>
          </w:tcPr>
          <w:p w14:paraId="4F36AC60">
            <w:pPr>
              <w:pStyle w:val="133"/>
              <w:rPr>
                <w:sz w:val="18"/>
                <w:szCs w:val="18"/>
              </w:rPr>
            </w:pPr>
            <w:r>
              <w:rPr>
                <w:rFonts w:hint="eastAsia"/>
                <w:sz w:val="18"/>
                <w:szCs w:val="18"/>
              </w:rPr>
              <w:t>35</w:t>
            </w:r>
          </w:p>
        </w:tc>
        <w:tc>
          <w:tcPr>
            <w:tcW w:w="0" w:type="auto"/>
            <w:noWrap/>
            <w:vAlign w:val="center"/>
          </w:tcPr>
          <w:p w14:paraId="7F7FC872">
            <w:pPr>
              <w:pStyle w:val="133"/>
              <w:rPr>
                <w:sz w:val="18"/>
                <w:szCs w:val="18"/>
              </w:rPr>
            </w:pPr>
            <w:r>
              <w:rPr>
                <w:rFonts w:hint="eastAsia"/>
                <w:sz w:val="18"/>
                <w:szCs w:val="18"/>
              </w:rPr>
              <w:t>65</w:t>
            </w:r>
          </w:p>
        </w:tc>
        <w:tc>
          <w:tcPr>
            <w:tcW w:w="0" w:type="auto"/>
            <w:noWrap/>
            <w:vAlign w:val="center"/>
          </w:tcPr>
          <w:p w14:paraId="6439BAFE">
            <w:pPr>
              <w:pStyle w:val="133"/>
              <w:rPr>
                <w:sz w:val="18"/>
                <w:szCs w:val="18"/>
              </w:rPr>
            </w:pPr>
            <w:r>
              <w:rPr>
                <w:rFonts w:hint="eastAsia"/>
                <w:sz w:val="18"/>
                <w:szCs w:val="18"/>
              </w:rPr>
              <w:t>0</w:t>
            </w:r>
          </w:p>
        </w:tc>
        <w:tc>
          <w:tcPr>
            <w:tcW w:w="0" w:type="auto"/>
            <w:noWrap/>
            <w:vAlign w:val="center"/>
          </w:tcPr>
          <w:p w14:paraId="15C78C99">
            <w:pPr>
              <w:pStyle w:val="133"/>
              <w:rPr>
                <w:sz w:val="18"/>
                <w:szCs w:val="18"/>
              </w:rPr>
            </w:pPr>
            <w:r>
              <w:rPr>
                <w:rFonts w:hint="eastAsia"/>
                <w:sz w:val="18"/>
                <w:szCs w:val="18"/>
              </w:rPr>
              <w:t>0.00|0</w:t>
            </w:r>
          </w:p>
        </w:tc>
        <w:tc>
          <w:tcPr>
            <w:tcW w:w="0" w:type="auto"/>
            <w:noWrap/>
            <w:vAlign w:val="center"/>
          </w:tcPr>
          <w:p w14:paraId="236999C2">
            <w:pPr>
              <w:pStyle w:val="133"/>
              <w:rPr>
                <w:sz w:val="18"/>
                <w:szCs w:val="18"/>
              </w:rPr>
            </w:pPr>
            <w:r>
              <w:rPr>
                <w:rFonts w:hint="eastAsia"/>
                <w:sz w:val="18"/>
                <w:szCs w:val="18"/>
              </w:rPr>
              <w:t>0.00|0</w:t>
            </w:r>
          </w:p>
        </w:tc>
        <w:tc>
          <w:tcPr>
            <w:tcW w:w="0" w:type="auto"/>
            <w:noWrap/>
            <w:vAlign w:val="center"/>
          </w:tcPr>
          <w:p w14:paraId="253C6897">
            <w:pPr>
              <w:pStyle w:val="133"/>
              <w:rPr>
                <w:sz w:val="18"/>
                <w:szCs w:val="18"/>
              </w:rPr>
            </w:pPr>
            <w:r>
              <w:rPr>
                <w:rFonts w:hint="eastAsia"/>
                <w:sz w:val="18"/>
                <w:szCs w:val="18"/>
              </w:rPr>
              <w:t>18.99|125</w:t>
            </w:r>
          </w:p>
        </w:tc>
        <w:tc>
          <w:tcPr>
            <w:tcW w:w="0" w:type="auto"/>
            <w:noWrap/>
            <w:vAlign w:val="center"/>
          </w:tcPr>
          <w:p w14:paraId="19853CC7">
            <w:pPr>
              <w:pStyle w:val="133"/>
              <w:rPr>
                <w:sz w:val="18"/>
                <w:szCs w:val="18"/>
              </w:rPr>
            </w:pPr>
            <w:r>
              <w:rPr>
                <w:rFonts w:hint="eastAsia"/>
                <w:sz w:val="18"/>
                <w:szCs w:val="18"/>
              </w:rPr>
              <w:t>0.00|0</w:t>
            </w:r>
          </w:p>
        </w:tc>
        <w:tc>
          <w:tcPr>
            <w:tcW w:w="0" w:type="auto"/>
            <w:noWrap/>
            <w:vAlign w:val="center"/>
          </w:tcPr>
          <w:p w14:paraId="2779628E">
            <w:pPr>
              <w:pStyle w:val="133"/>
              <w:rPr>
                <w:sz w:val="18"/>
                <w:szCs w:val="18"/>
              </w:rPr>
            </w:pPr>
            <w:r>
              <w:rPr>
                <w:rFonts w:hint="eastAsia"/>
                <w:sz w:val="18"/>
                <w:szCs w:val="18"/>
              </w:rPr>
              <w:t>0.00|0</w:t>
            </w:r>
          </w:p>
        </w:tc>
        <w:tc>
          <w:tcPr>
            <w:tcW w:w="0" w:type="auto"/>
            <w:noWrap/>
            <w:vAlign w:val="center"/>
          </w:tcPr>
          <w:p w14:paraId="76C6A744">
            <w:pPr>
              <w:pStyle w:val="133"/>
              <w:rPr>
                <w:sz w:val="18"/>
                <w:szCs w:val="18"/>
              </w:rPr>
            </w:pPr>
            <w:r>
              <w:rPr>
                <w:rFonts w:hint="eastAsia"/>
                <w:sz w:val="18"/>
                <w:szCs w:val="18"/>
              </w:rPr>
              <w:t>0.00|0</w:t>
            </w:r>
          </w:p>
        </w:tc>
        <w:tc>
          <w:tcPr>
            <w:tcW w:w="0" w:type="auto"/>
            <w:noWrap/>
            <w:vAlign w:val="center"/>
          </w:tcPr>
          <w:p w14:paraId="3E0BD90F">
            <w:pPr>
              <w:pStyle w:val="133"/>
              <w:rPr>
                <w:sz w:val="18"/>
                <w:szCs w:val="18"/>
              </w:rPr>
            </w:pPr>
            <w:r>
              <w:rPr>
                <w:rFonts w:hint="eastAsia"/>
                <w:sz w:val="18"/>
                <w:szCs w:val="18"/>
              </w:rPr>
              <w:t>0.00|0</w:t>
            </w:r>
          </w:p>
        </w:tc>
        <w:tc>
          <w:tcPr>
            <w:tcW w:w="0" w:type="auto"/>
            <w:noWrap/>
            <w:vAlign w:val="center"/>
          </w:tcPr>
          <w:p w14:paraId="6792E9F1">
            <w:pPr>
              <w:pStyle w:val="133"/>
              <w:rPr>
                <w:sz w:val="18"/>
                <w:szCs w:val="18"/>
              </w:rPr>
            </w:pPr>
            <w:r>
              <w:rPr>
                <w:rFonts w:hint="eastAsia"/>
                <w:sz w:val="18"/>
                <w:szCs w:val="18"/>
              </w:rPr>
              <w:t>0.00|0</w:t>
            </w:r>
          </w:p>
        </w:tc>
        <w:tc>
          <w:tcPr>
            <w:tcW w:w="0" w:type="auto"/>
            <w:noWrap/>
            <w:vAlign w:val="center"/>
          </w:tcPr>
          <w:p w14:paraId="0A25A60F">
            <w:pPr>
              <w:pStyle w:val="133"/>
              <w:rPr>
                <w:sz w:val="18"/>
                <w:szCs w:val="18"/>
              </w:rPr>
            </w:pPr>
            <w:r>
              <w:rPr>
                <w:rFonts w:hint="eastAsia"/>
                <w:sz w:val="18"/>
                <w:szCs w:val="18"/>
              </w:rPr>
              <w:t>0.00|0</w:t>
            </w:r>
          </w:p>
        </w:tc>
        <w:tc>
          <w:tcPr>
            <w:tcW w:w="0" w:type="auto"/>
            <w:vAlign w:val="center"/>
          </w:tcPr>
          <w:p w14:paraId="18A4D874">
            <w:pPr>
              <w:pStyle w:val="133"/>
              <w:rPr>
                <w:sz w:val="18"/>
                <w:szCs w:val="18"/>
              </w:rPr>
            </w:pPr>
            <w:r>
              <w:rPr>
                <w:rFonts w:hint="eastAsia"/>
                <w:sz w:val="18"/>
                <w:szCs w:val="18"/>
              </w:rPr>
              <w:t>0.00|0</w:t>
            </w:r>
          </w:p>
        </w:tc>
        <w:tc>
          <w:tcPr>
            <w:tcW w:w="0" w:type="auto"/>
            <w:vAlign w:val="center"/>
          </w:tcPr>
          <w:p w14:paraId="0710903E">
            <w:pPr>
              <w:pStyle w:val="133"/>
              <w:rPr>
                <w:sz w:val="18"/>
                <w:szCs w:val="18"/>
              </w:rPr>
            </w:pPr>
            <w:r>
              <w:rPr>
                <w:rFonts w:hint="eastAsia"/>
                <w:sz w:val="18"/>
                <w:szCs w:val="18"/>
              </w:rPr>
              <w:t>0.00|0</w:t>
            </w:r>
          </w:p>
        </w:tc>
      </w:tr>
      <w:tr w14:paraId="1F4EB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45E98749">
            <w:pPr>
              <w:pStyle w:val="133"/>
              <w:rPr>
                <w:sz w:val="18"/>
                <w:szCs w:val="18"/>
              </w:rPr>
            </w:pPr>
            <w:r>
              <w:rPr>
                <w:rFonts w:hint="eastAsia"/>
                <w:sz w:val="18"/>
                <w:szCs w:val="18"/>
              </w:rPr>
              <w:t>23</w:t>
            </w:r>
          </w:p>
        </w:tc>
        <w:tc>
          <w:tcPr>
            <w:tcW w:w="0" w:type="auto"/>
            <w:noWrap/>
            <w:vAlign w:val="center"/>
          </w:tcPr>
          <w:p w14:paraId="2AF7D3B6">
            <w:pPr>
              <w:pStyle w:val="133"/>
              <w:rPr>
                <w:sz w:val="18"/>
                <w:szCs w:val="18"/>
              </w:rPr>
            </w:pPr>
            <w:r>
              <w:rPr>
                <w:rFonts w:hint="eastAsia"/>
                <w:sz w:val="18"/>
                <w:szCs w:val="18"/>
              </w:rPr>
              <w:t>配料上料间</w:t>
            </w:r>
          </w:p>
        </w:tc>
        <w:tc>
          <w:tcPr>
            <w:tcW w:w="0" w:type="auto"/>
            <w:noWrap/>
            <w:vAlign w:val="center"/>
          </w:tcPr>
          <w:p w14:paraId="0081BEF1">
            <w:pPr>
              <w:pStyle w:val="133"/>
              <w:rPr>
                <w:sz w:val="18"/>
                <w:szCs w:val="18"/>
              </w:rPr>
            </w:pPr>
            <w:r>
              <w:rPr>
                <w:rFonts w:hint="eastAsia"/>
                <w:sz w:val="18"/>
                <w:szCs w:val="18"/>
              </w:rPr>
              <w:t>0</w:t>
            </w:r>
          </w:p>
        </w:tc>
        <w:tc>
          <w:tcPr>
            <w:tcW w:w="0" w:type="auto"/>
            <w:noWrap/>
            <w:vAlign w:val="center"/>
          </w:tcPr>
          <w:p w14:paraId="0C86E484">
            <w:pPr>
              <w:pStyle w:val="133"/>
              <w:rPr>
                <w:sz w:val="18"/>
                <w:szCs w:val="18"/>
              </w:rPr>
            </w:pPr>
            <w:r>
              <w:rPr>
                <w:rFonts w:hint="eastAsia"/>
                <w:sz w:val="18"/>
                <w:szCs w:val="18"/>
              </w:rPr>
              <w:t>19</w:t>
            </w:r>
          </w:p>
        </w:tc>
        <w:tc>
          <w:tcPr>
            <w:tcW w:w="0" w:type="auto"/>
            <w:noWrap/>
            <w:vAlign w:val="center"/>
          </w:tcPr>
          <w:p w14:paraId="2DF961F0">
            <w:pPr>
              <w:pStyle w:val="133"/>
              <w:rPr>
                <w:sz w:val="18"/>
                <w:szCs w:val="18"/>
              </w:rPr>
            </w:pPr>
            <w:r>
              <w:rPr>
                <w:rFonts w:hint="eastAsia"/>
                <w:sz w:val="18"/>
                <w:szCs w:val="18"/>
              </w:rPr>
              <w:t>0</w:t>
            </w:r>
          </w:p>
        </w:tc>
        <w:tc>
          <w:tcPr>
            <w:tcW w:w="0" w:type="auto"/>
            <w:noWrap/>
            <w:vAlign w:val="center"/>
          </w:tcPr>
          <w:p w14:paraId="532F0C31">
            <w:pPr>
              <w:pStyle w:val="133"/>
              <w:rPr>
                <w:sz w:val="18"/>
                <w:szCs w:val="18"/>
              </w:rPr>
            </w:pPr>
            <w:r>
              <w:rPr>
                <w:rFonts w:hint="eastAsia"/>
                <w:sz w:val="18"/>
                <w:szCs w:val="18"/>
              </w:rPr>
              <w:t>0.00|0</w:t>
            </w:r>
          </w:p>
        </w:tc>
        <w:tc>
          <w:tcPr>
            <w:tcW w:w="0" w:type="auto"/>
            <w:noWrap/>
            <w:vAlign w:val="center"/>
          </w:tcPr>
          <w:p w14:paraId="4EF38762">
            <w:pPr>
              <w:pStyle w:val="133"/>
              <w:rPr>
                <w:sz w:val="18"/>
                <w:szCs w:val="18"/>
              </w:rPr>
            </w:pPr>
            <w:r>
              <w:rPr>
                <w:rFonts w:hint="eastAsia"/>
                <w:sz w:val="18"/>
                <w:szCs w:val="18"/>
              </w:rPr>
              <w:t>0.00|0</w:t>
            </w:r>
          </w:p>
        </w:tc>
        <w:tc>
          <w:tcPr>
            <w:tcW w:w="0" w:type="auto"/>
            <w:noWrap/>
            <w:vAlign w:val="center"/>
          </w:tcPr>
          <w:p w14:paraId="6F9D9902">
            <w:pPr>
              <w:pStyle w:val="133"/>
              <w:rPr>
                <w:sz w:val="18"/>
                <w:szCs w:val="18"/>
              </w:rPr>
            </w:pPr>
            <w:r>
              <w:rPr>
                <w:rFonts w:hint="eastAsia"/>
                <w:sz w:val="18"/>
                <w:szCs w:val="18"/>
              </w:rPr>
              <w:t>0.37|0</w:t>
            </w:r>
          </w:p>
        </w:tc>
        <w:tc>
          <w:tcPr>
            <w:tcW w:w="0" w:type="auto"/>
            <w:noWrap/>
            <w:vAlign w:val="center"/>
          </w:tcPr>
          <w:p w14:paraId="0C03DCD6">
            <w:pPr>
              <w:pStyle w:val="133"/>
              <w:rPr>
                <w:sz w:val="18"/>
                <w:szCs w:val="18"/>
              </w:rPr>
            </w:pPr>
            <w:r>
              <w:rPr>
                <w:rFonts w:hint="eastAsia"/>
                <w:sz w:val="18"/>
                <w:szCs w:val="18"/>
              </w:rPr>
              <w:t>0.00|0</w:t>
            </w:r>
          </w:p>
        </w:tc>
        <w:tc>
          <w:tcPr>
            <w:tcW w:w="0" w:type="auto"/>
            <w:noWrap/>
            <w:vAlign w:val="center"/>
          </w:tcPr>
          <w:p w14:paraId="0B3BC201">
            <w:pPr>
              <w:pStyle w:val="133"/>
              <w:rPr>
                <w:sz w:val="18"/>
                <w:szCs w:val="18"/>
              </w:rPr>
            </w:pPr>
            <w:r>
              <w:rPr>
                <w:rFonts w:hint="eastAsia"/>
                <w:sz w:val="18"/>
                <w:szCs w:val="18"/>
              </w:rPr>
              <w:t>0.00|0</w:t>
            </w:r>
          </w:p>
        </w:tc>
        <w:tc>
          <w:tcPr>
            <w:tcW w:w="0" w:type="auto"/>
            <w:noWrap/>
            <w:vAlign w:val="center"/>
          </w:tcPr>
          <w:p w14:paraId="0E8E660D">
            <w:pPr>
              <w:pStyle w:val="133"/>
              <w:rPr>
                <w:sz w:val="18"/>
                <w:szCs w:val="18"/>
              </w:rPr>
            </w:pPr>
            <w:r>
              <w:rPr>
                <w:rFonts w:hint="eastAsia"/>
                <w:sz w:val="18"/>
                <w:szCs w:val="18"/>
              </w:rPr>
              <w:t>0.00|0</w:t>
            </w:r>
          </w:p>
        </w:tc>
        <w:tc>
          <w:tcPr>
            <w:tcW w:w="0" w:type="auto"/>
            <w:noWrap/>
            <w:vAlign w:val="center"/>
          </w:tcPr>
          <w:p w14:paraId="07EDB15B">
            <w:pPr>
              <w:pStyle w:val="133"/>
              <w:rPr>
                <w:sz w:val="18"/>
                <w:szCs w:val="18"/>
              </w:rPr>
            </w:pPr>
            <w:r>
              <w:rPr>
                <w:rFonts w:hint="eastAsia"/>
                <w:sz w:val="18"/>
                <w:szCs w:val="18"/>
              </w:rPr>
              <w:t>0.00|0</w:t>
            </w:r>
          </w:p>
        </w:tc>
        <w:tc>
          <w:tcPr>
            <w:tcW w:w="0" w:type="auto"/>
            <w:noWrap/>
            <w:vAlign w:val="center"/>
          </w:tcPr>
          <w:p w14:paraId="44B99F1D">
            <w:pPr>
              <w:pStyle w:val="133"/>
              <w:rPr>
                <w:sz w:val="18"/>
                <w:szCs w:val="18"/>
              </w:rPr>
            </w:pPr>
            <w:r>
              <w:rPr>
                <w:rFonts w:hint="eastAsia"/>
                <w:sz w:val="18"/>
                <w:szCs w:val="18"/>
              </w:rPr>
              <w:t>0.00|0</w:t>
            </w:r>
          </w:p>
        </w:tc>
        <w:tc>
          <w:tcPr>
            <w:tcW w:w="0" w:type="auto"/>
            <w:noWrap/>
            <w:vAlign w:val="center"/>
          </w:tcPr>
          <w:p w14:paraId="2019F813">
            <w:pPr>
              <w:pStyle w:val="133"/>
              <w:rPr>
                <w:sz w:val="18"/>
                <w:szCs w:val="18"/>
              </w:rPr>
            </w:pPr>
            <w:r>
              <w:rPr>
                <w:rFonts w:hint="eastAsia"/>
                <w:sz w:val="18"/>
                <w:szCs w:val="18"/>
              </w:rPr>
              <w:t>0.00|0</w:t>
            </w:r>
          </w:p>
        </w:tc>
        <w:tc>
          <w:tcPr>
            <w:tcW w:w="0" w:type="auto"/>
            <w:vAlign w:val="center"/>
          </w:tcPr>
          <w:p w14:paraId="6CE3DE19">
            <w:pPr>
              <w:pStyle w:val="133"/>
              <w:rPr>
                <w:sz w:val="18"/>
                <w:szCs w:val="18"/>
              </w:rPr>
            </w:pPr>
            <w:r>
              <w:rPr>
                <w:rFonts w:hint="eastAsia"/>
                <w:sz w:val="18"/>
                <w:szCs w:val="18"/>
              </w:rPr>
              <w:t>0.00|0</w:t>
            </w:r>
          </w:p>
        </w:tc>
        <w:tc>
          <w:tcPr>
            <w:tcW w:w="0" w:type="auto"/>
            <w:vAlign w:val="center"/>
          </w:tcPr>
          <w:p w14:paraId="7CCC66C8">
            <w:pPr>
              <w:pStyle w:val="133"/>
              <w:rPr>
                <w:sz w:val="18"/>
                <w:szCs w:val="18"/>
              </w:rPr>
            </w:pPr>
            <w:r>
              <w:rPr>
                <w:rFonts w:hint="eastAsia"/>
                <w:sz w:val="18"/>
                <w:szCs w:val="18"/>
              </w:rPr>
              <w:t>0.00|0</w:t>
            </w:r>
          </w:p>
        </w:tc>
      </w:tr>
      <w:tr w14:paraId="1F2E1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28E4F950">
            <w:pPr>
              <w:pStyle w:val="133"/>
              <w:rPr>
                <w:sz w:val="18"/>
                <w:szCs w:val="18"/>
              </w:rPr>
            </w:pPr>
            <w:r>
              <w:rPr>
                <w:rFonts w:hint="eastAsia"/>
                <w:sz w:val="18"/>
                <w:szCs w:val="18"/>
              </w:rPr>
              <w:t>24</w:t>
            </w:r>
          </w:p>
        </w:tc>
        <w:tc>
          <w:tcPr>
            <w:tcW w:w="0" w:type="auto"/>
            <w:noWrap/>
            <w:vAlign w:val="center"/>
          </w:tcPr>
          <w:p w14:paraId="733D4DC6">
            <w:pPr>
              <w:pStyle w:val="133"/>
              <w:rPr>
                <w:sz w:val="18"/>
                <w:szCs w:val="18"/>
              </w:rPr>
            </w:pPr>
            <w:r>
              <w:rPr>
                <w:rFonts w:hint="eastAsia"/>
                <w:sz w:val="18"/>
                <w:szCs w:val="18"/>
              </w:rPr>
              <w:t>冶炼车间</w:t>
            </w:r>
          </w:p>
        </w:tc>
        <w:tc>
          <w:tcPr>
            <w:tcW w:w="0" w:type="auto"/>
            <w:noWrap/>
            <w:vAlign w:val="center"/>
          </w:tcPr>
          <w:p w14:paraId="11DD8B5C">
            <w:pPr>
              <w:pStyle w:val="133"/>
              <w:rPr>
                <w:sz w:val="18"/>
                <w:szCs w:val="18"/>
              </w:rPr>
            </w:pPr>
            <w:r>
              <w:rPr>
                <w:rFonts w:hint="eastAsia"/>
                <w:sz w:val="18"/>
                <w:szCs w:val="18"/>
              </w:rPr>
              <w:t>15</w:t>
            </w:r>
          </w:p>
        </w:tc>
        <w:tc>
          <w:tcPr>
            <w:tcW w:w="0" w:type="auto"/>
            <w:noWrap/>
            <w:vAlign w:val="center"/>
          </w:tcPr>
          <w:p w14:paraId="7B380795">
            <w:pPr>
              <w:pStyle w:val="133"/>
              <w:rPr>
                <w:sz w:val="18"/>
                <w:szCs w:val="18"/>
              </w:rPr>
            </w:pPr>
            <w:r>
              <w:rPr>
                <w:rFonts w:hint="eastAsia"/>
                <w:sz w:val="18"/>
                <w:szCs w:val="18"/>
              </w:rPr>
              <w:t>50</w:t>
            </w:r>
          </w:p>
        </w:tc>
        <w:tc>
          <w:tcPr>
            <w:tcW w:w="0" w:type="auto"/>
            <w:noWrap/>
            <w:vAlign w:val="center"/>
          </w:tcPr>
          <w:p w14:paraId="2F87E40E">
            <w:pPr>
              <w:pStyle w:val="133"/>
              <w:rPr>
                <w:sz w:val="18"/>
                <w:szCs w:val="18"/>
              </w:rPr>
            </w:pPr>
            <w:r>
              <w:rPr>
                <w:rFonts w:hint="eastAsia"/>
                <w:sz w:val="18"/>
                <w:szCs w:val="18"/>
              </w:rPr>
              <w:t>0</w:t>
            </w:r>
          </w:p>
        </w:tc>
        <w:tc>
          <w:tcPr>
            <w:tcW w:w="0" w:type="auto"/>
            <w:noWrap/>
            <w:vAlign w:val="center"/>
          </w:tcPr>
          <w:p w14:paraId="0B44A98E">
            <w:pPr>
              <w:pStyle w:val="133"/>
              <w:rPr>
                <w:sz w:val="18"/>
                <w:szCs w:val="18"/>
              </w:rPr>
            </w:pPr>
            <w:r>
              <w:rPr>
                <w:rFonts w:hint="eastAsia"/>
                <w:sz w:val="18"/>
                <w:szCs w:val="18"/>
              </w:rPr>
              <w:t>96.78|475</w:t>
            </w:r>
          </w:p>
        </w:tc>
        <w:tc>
          <w:tcPr>
            <w:tcW w:w="0" w:type="auto"/>
            <w:noWrap/>
            <w:vAlign w:val="center"/>
          </w:tcPr>
          <w:p w14:paraId="64297677">
            <w:pPr>
              <w:pStyle w:val="133"/>
              <w:rPr>
                <w:sz w:val="18"/>
                <w:szCs w:val="18"/>
              </w:rPr>
            </w:pPr>
            <w:r>
              <w:rPr>
                <w:rFonts w:hint="eastAsia"/>
                <w:sz w:val="18"/>
                <w:szCs w:val="18"/>
              </w:rPr>
              <w:t>61.95|275</w:t>
            </w:r>
          </w:p>
        </w:tc>
        <w:tc>
          <w:tcPr>
            <w:tcW w:w="0" w:type="auto"/>
            <w:noWrap/>
            <w:vAlign w:val="center"/>
          </w:tcPr>
          <w:p w14:paraId="25B290D1">
            <w:pPr>
              <w:pStyle w:val="133"/>
              <w:rPr>
                <w:sz w:val="18"/>
                <w:szCs w:val="18"/>
              </w:rPr>
            </w:pPr>
            <w:r>
              <w:rPr>
                <w:rFonts w:hint="eastAsia"/>
                <w:sz w:val="18"/>
                <w:szCs w:val="18"/>
              </w:rPr>
              <w:t>7.65|0</w:t>
            </w:r>
          </w:p>
        </w:tc>
        <w:tc>
          <w:tcPr>
            <w:tcW w:w="0" w:type="auto"/>
            <w:noWrap/>
            <w:vAlign w:val="center"/>
          </w:tcPr>
          <w:p w14:paraId="4E6A76BE">
            <w:pPr>
              <w:pStyle w:val="133"/>
              <w:rPr>
                <w:sz w:val="18"/>
                <w:szCs w:val="18"/>
              </w:rPr>
            </w:pPr>
            <w:r>
              <w:rPr>
                <w:rFonts w:hint="eastAsia"/>
                <w:sz w:val="18"/>
                <w:szCs w:val="18"/>
              </w:rPr>
              <w:t>0.00|0</w:t>
            </w:r>
          </w:p>
        </w:tc>
        <w:tc>
          <w:tcPr>
            <w:tcW w:w="0" w:type="auto"/>
            <w:noWrap/>
            <w:vAlign w:val="center"/>
          </w:tcPr>
          <w:p w14:paraId="655A488A">
            <w:pPr>
              <w:pStyle w:val="133"/>
              <w:rPr>
                <w:sz w:val="18"/>
                <w:szCs w:val="18"/>
              </w:rPr>
            </w:pPr>
            <w:r>
              <w:rPr>
                <w:rFonts w:hint="eastAsia"/>
                <w:sz w:val="18"/>
                <w:szCs w:val="18"/>
              </w:rPr>
              <w:t>0.00|0</w:t>
            </w:r>
          </w:p>
        </w:tc>
        <w:tc>
          <w:tcPr>
            <w:tcW w:w="0" w:type="auto"/>
            <w:noWrap/>
            <w:vAlign w:val="center"/>
          </w:tcPr>
          <w:p w14:paraId="539DB717">
            <w:pPr>
              <w:pStyle w:val="133"/>
              <w:rPr>
                <w:sz w:val="18"/>
                <w:szCs w:val="18"/>
              </w:rPr>
            </w:pPr>
            <w:r>
              <w:rPr>
                <w:rFonts w:hint="eastAsia"/>
                <w:sz w:val="18"/>
                <w:szCs w:val="18"/>
              </w:rPr>
              <w:t>0.00|0</w:t>
            </w:r>
          </w:p>
        </w:tc>
        <w:tc>
          <w:tcPr>
            <w:tcW w:w="0" w:type="auto"/>
            <w:noWrap/>
            <w:vAlign w:val="center"/>
          </w:tcPr>
          <w:p w14:paraId="6485C8D7">
            <w:pPr>
              <w:pStyle w:val="133"/>
              <w:rPr>
                <w:sz w:val="18"/>
                <w:szCs w:val="18"/>
              </w:rPr>
            </w:pPr>
            <w:r>
              <w:rPr>
                <w:rFonts w:hint="eastAsia"/>
                <w:sz w:val="18"/>
                <w:szCs w:val="18"/>
              </w:rPr>
              <w:t>0.00|0</w:t>
            </w:r>
          </w:p>
        </w:tc>
        <w:tc>
          <w:tcPr>
            <w:tcW w:w="0" w:type="auto"/>
            <w:noWrap/>
            <w:vAlign w:val="center"/>
          </w:tcPr>
          <w:p w14:paraId="7B76D7FD">
            <w:pPr>
              <w:pStyle w:val="133"/>
              <w:rPr>
                <w:sz w:val="18"/>
                <w:szCs w:val="18"/>
              </w:rPr>
            </w:pPr>
            <w:r>
              <w:rPr>
                <w:rFonts w:hint="eastAsia"/>
                <w:sz w:val="18"/>
                <w:szCs w:val="18"/>
              </w:rPr>
              <w:t>0.00|0</w:t>
            </w:r>
          </w:p>
        </w:tc>
        <w:tc>
          <w:tcPr>
            <w:tcW w:w="0" w:type="auto"/>
            <w:noWrap/>
            <w:vAlign w:val="center"/>
          </w:tcPr>
          <w:p w14:paraId="1948F6BB">
            <w:pPr>
              <w:pStyle w:val="133"/>
              <w:rPr>
                <w:sz w:val="18"/>
                <w:szCs w:val="18"/>
              </w:rPr>
            </w:pPr>
            <w:r>
              <w:rPr>
                <w:rFonts w:hint="eastAsia"/>
                <w:sz w:val="18"/>
                <w:szCs w:val="18"/>
              </w:rPr>
              <w:t>0.00|0</w:t>
            </w:r>
          </w:p>
        </w:tc>
        <w:tc>
          <w:tcPr>
            <w:tcW w:w="0" w:type="auto"/>
            <w:vAlign w:val="center"/>
          </w:tcPr>
          <w:p w14:paraId="55111DF3">
            <w:pPr>
              <w:pStyle w:val="133"/>
              <w:rPr>
                <w:sz w:val="18"/>
                <w:szCs w:val="18"/>
              </w:rPr>
            </w:pPr>
            <w:r>
              <w:rPr>
                <w:rFonts w:hint="eastAsia"/>
                <w:sz w:val="18"/>
                <w:szCs w:val="18"/>
              </w:rPr>
              <w:t>0.00|0</w:t>
            </w:r>
          </w:p>
        </w:tc>
        <w:tc>
          <w:tcPr>
            <w:tcW w:w="0" w:type="auto"/>
            <w:vAlign w:val="center"/>
          </w:tcPr>
          <w:p w14:paraId="0CB6CBD9">
            <w:pPr>
              <w:pStyle w:val="133"/>
              <w:rPr>
                <w:sz w:val="18"/>
                <w:szCs w:val="18"/>
              </w:rPr>
            </w:pPr>
            <w:r>
              <w:rPr>
                <w:rFonts w:hint="eastAsia"/>
                <w:sz w:val="18"/>
                <w:szCs w:val="18"/>
              </w:rPr>
              <w:t>0.00|0</w:t>
            </w:r>
          </w:p>
        </w:tc>
      </w:tr>
      <w:tr w14:paraId="35D03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45C66E82">
            <w:pPr>
              <w:pStyle w:val="133"/>
              <w:rPr>
                <w:sz w:val="18"/>
                <w:szCs w:val="18"/>
              </w:rPr>
            </w:pPr>
            <w:r>
              <w:rPr>
                <w:rFonts w:hint="eastAsia"/>
                <w:sz w:val="18"/>
                <w:szCs w:val="18"/>
              </w:rPr>
              <w:t>25</w:t>
            </w:r>
          </w:p>
        </w:tc>
        <w:tc>
          <w:tcPr>
            <w:tcW w:w="0" w:type="auto"/>
            <w:noWrap/>
            <w:vAlign w:val="center"/>
          </w:tcPr>
          <w:p w14:paraId="688A4020">
            <w:pPr>
              <w:pStyle w:val="133"/>
              <w:rPr>
                <w:sz w:val="18"/>
                <w:szCs w:val="18"/>
              </w:rPr>
            </w:pPr>
            <w:r>
              <w:rPr>
                <w:rFonts w:hint="eastAsia"/>
                <w:sz w:val="18"/>
                <w:szCs w:val="18"/>
              </w:rPr>
              <w:t>铸造车间</w:t>
            </w:r>
          </w:p>
        </w:tc>
        <w:tc>
          <w:tcPr>
            <w:tcW w:w="0" w:type="auto"/>
            <w:noWrap/>
            <w:vAlign w:val="center"/>
          </w:tcPr>
          <w:p w14:paraId="1ACAEFBB">
            <w:pPr>
              <w:pStyle w:val="133"/>
              <w:rPr>
                <w:sz w:val="18"/>
                <w:szCs w:val="18"/>
              </w:rPr>
            </w:pPr>
            <w:r>
              <w:rPr>
                <w:rFonts w:hint="eastAsia"/>
                <w:sz w:val="18"/>
                <w:szCs w:val="18"/>
              </w:rPr>
              <w:t>30</w:t>
            </w:r>
          </w:p>
        </w:tc>
        <w:tc>
          <w:tcPr>
            <w:tcW w:w="0" w:type="auto"/>
            <w:noWrap/>
            <w:vAlign w:val="center"/>
          </w:tcPr>
          <w:p w14:paraId="765BA62F">
            <w:pPr>
              <w:pStyle w:val="133"/>
              <w:rPr>
                <w:sz w:val="18"/>
                <w:szCs w:val="18"/>
              </w:rPr>
            </w:pPr>
            <w:r>
              <w:rPr>
                <w:rFonts w:hint="eastAsia"/>
                <w:sz w:val="18"/>
                <w:szCs w:val="18"/>
              </w:rPr>
              <w:t>50</w:t>
            </w:r>
          </w:p>
        </w:tc>
        <w:tc>
          <w:tcPr>
            <w:tcW w:w="0" w:type="auto"/>
            <w:noWrap/>
            <w:vAlign w:val="center"/>
          </w:tcPr>
          <w:p w14:paraId="35033D54">
            <w:pPr>
              <w:pStyle w:val="133"/>
              <w:rPr>
                <w:sz w:val="18"/>
                <w:szCs w:val="18"/>
              </w:rPr>
            </w:pPr>
            <w:r>
              <w:rPr>
                <w:rFonts w:hint="eastAsia"/>
                <w:sz w:val="18"/>
                <w:szCs w:val="18"/>
              </w:rPr>
              <w:t>0</w:t>
            </w:r>
          </w:p>
        </w:tc>
        <w:tc>
          <w:tcPr>
            <w:tcW w:w="0" w:type="auto"/>
            <w:noWrap/>
            <w:vAlign w:val="center"/>
          </w:tcPr>
          <w:p w14:paraId="58549ADA">
            <w:pPr>
              <w:pStyle w:val="133"/>
              <w:rPr>
                <w:sz w:val="18"/>
                <w:szCs w:val="18"/>
              </w:rPr>
            </w:pPr>
            <w:r>
              <w:rPr>
                <w:rFonts w:hint="eastAsia"/>
                <w:sz w:val="18"/>
                <w:szCs w:val="18"/>
              </w:rPr>
              <w:t>0.00|0</w:t>
            </w:r>
          </w:p>
        </w:tc>
        <w:tc>
          <w:tcPr>
            <w:tcW w:w="0" w:type="auto"/>
            <w:noWrap/>
            <w:vAlign w:val="center"/>
          </w:tcPr>
          <w:p w14:paraId="40C58725">
            <w:pPr>
              <w:pStyle w:val="133"/>
              <w:rPr>
                <w:sz w:val="18"/>
                <w:szCs w:val="18"/>
              </w:rPr>
            </w:pPr>
            <w:r>
              <w:rPr>
                <w:rFonts w:hint="eastAsia"/>
                <w:sz w:val="18"/>
                <w:szCs w:val="18"/>
              </w:rPr>
              <w:t>0.00|0</w:t>
            </w:r>
          </w:p>
        </w:tc>
        <w:tc>
          <w:tcPr>
            <w:tcW w:w="0" w:type="auto"/>
            <w:noWrap/>
            <w:vAlign w:val="center"/>
          </w:tcPr>
          <w:p w14:paraId="74DE6A22">
            <w:pPr>
              <w:pStyle w:val="133"/>
              <w:rPr>
                <w:sz w:val="18"/>
                <w:szCs w:val="18"/>
              </w:rPr>
            </w:pPr>
            <w:r>
              <w:rPr>
                <w:rFonts w:hint="eastAsia"/>
                <w:sz w:val="18"/>
                <w:szCs w:val="18"/>
              </w:rPr>
              <w:t>0.31|0</w:t>
            </w:r>
          </w:p>
        </w:tc>
        <w:tc>
          <w:tcPr>
            <w:tcW w:w="0" w:type="auto"/>
            <w:noWrap/>
            <w:vAlign w:val="center"/>
          </w:tcPr>
          <w:p w14:paraId="139A9670">
            <w:pPr>
              <w:pStyle w:val="133"/>
              <w:rPr>
                <w:sz w:val="18"/>
                <w:szCs w:val="18"/>
              </w:rPr>
            </w:pPr>
            <w:r>
              <w:rPr>
                <w:rFonts w:hint="eastAsia"/>
                <w:sz w:val="18"/>
                <w:szCs w:val="18"/>
              </w:rPr>
              <w:t>0.00|0</w:t>
            </w:r>
          </w:p>
        </w:tc>
        <w:tc>
          <w:tcPr>
            <w:tcW w:w="0" w:type="auto"/>
            <w:noWrap/>
            <w:vAlign w:val="center"/>
          </w:tcPr>
          <w:p w14:paraId="2C89F25F">
            <w:pPr>
              <w:pStyle w:val="133"/>
              <w:rPr>
                <w:sz w:val="18"/>
                <w:szCs w:val="18"/>
              </w:rPr>
            </w:pPr>
            <w:r>
              <w:rPr>
                <w:rFonts w:hint="eastAsia"/>
                <w:sz w:val="18"/>
                <w:szCs w:val="18"/>
              </w:rPr>
              <w:t>0.00|0</w:t>
            </w:r>
          </w:p>
        </w:tc>
        <w:tc>
          <w:tcPr>
            <w:tcW w:w="0" w:type="auto"/>
            <w:noWrap/>
            <w:vAlign w:val="center"/>
          </w:tcPr>
          <w:p w14:paraId="4323FC61">
            <w:pPr>
              <w:pStyle w:val="133"/>
              <w:rPr>
                <w:sz w:val="18"/>
                <w:szCs w:val="18"/>
              </w:rPr>
            </w:pPr>
            <w:r>
              <w:rPr>
                <w:rFonts w:hint="eastAsia"/>
                <w:sz w:val="18"/>
                <w:szCs w:val="18"/>
              </w:rPr>
              <w:t>0.00|0</w:t>
            </w:r>
          </w:p>
        </w:tc>
        <w:tc>
          <w:tcPr>
            <w:tcW w:w="0" w:type="auto"/>
            <w:noWrap/>
            <w:vAlign w:val="center"/>
          </w:tcPr>
          <w:p w14:paraId="5695F538">
            <w:pPr>
              <w:pStyle w:val="133"/>
              <w:rPr>
                <w:sz w:val="18"/>
                <w:szCs w:val="18"/>
              </w:rPr>
            </w:pPr>
            <w:r>
              <w:rPr>
                <w:rFonts w:hint="eastAsia"/>
                <w:sz w:val="18"/>
                <w:szCs w:val="18"/>
              </w:rPr>
              <w:t>0.00|0</w:t>
            </w:r>
          </w:p>
        </w:tc>
        <w:tc>
          <w:tcPr>
            <w:tcW w:w="0" w:type="auto"/>
            <w:noWrap/>
            <w:vAlign w:val="center"/>
          </w:tcPr>
          <w:p w14:paraId="51ED5955">
            <w:pPr>
              <w:pStyle w:val="133"/>
              <w:rPr>
                <w:sz w:val="18"/>
                <w:szCs w:val="18"/>
              </w:rPr>
            </w:pPr>
            <w:r>
              <w:rPr>
                <w:rFonts w:hint="eastAsia"/>
                <w:sz w:val="18"/>
                <w:szCs w:val="18"/>
              </w:rPr>
              <w:t>0.00|0</w:t>
            </w:r>
          </w:p>
        </w:tc>
        <w:tc>
          <w:tcPr>
            <w:tcW w:w="0" w:type="auto"/>
            <w:noWrap/>
            <w:vAlign w:val="center"/>
          </w:tcPr>
          <w:p w14:paraId="1988F29D">
            <w:pPr>
              <w:pStyle w:val="133"/>
              <w:rPr>
                <w:sz w:val="18"/>
                <w:szCs w:val="18"/>
              </w:rPr>
            </w:pPr>
            <w:r>
              <w:rPr>
                <w:rFonts w:hint="eastAsia"/>
                <w:sz w:val="18"/>
                <w:szCs w:val="18"/>
              </w:rPr>
              <w:t>0.00|0</w:t>
            </w:r>
          </w:p>
        </w:tc>
        <w:tc>
          <w:tcPr>
            <w:tcW w:w="0" w:type="auto"/>
            <w:vAlign w:val="center"/>
          </w:tcPr>
          <w:p w14:paraId="137FB74A">
            <w:pPr>
              <w:pStyle w:val="133"/>
              <w:rPr>
                <w:sz w:val="18"/>
                <w:szCs w:val="18"/>
              </w:rPr>
            </w:pPr>
            <w:r>
              <w:rPr>
                <w:rFonts w:hint="eastAsia"/>
                <w:sz w:val="18"/>
                <w:szCs w:val="18"/>
              </w:rPr>
              <w:t>0.00|0</w:t>
            </w:r>
          </w:p>
        </w:tc>
        <w:tc>
          <w:tcPr>
            <w:tcW w:w="0" w:type="auto"/>
            <w:vAlign w:val="center"/>
          </w:tcPr>
          <w:p w14:paraId="25A759BE">
            <w:pPr>
              <w:pStyle w:val="133"/>
              <w:rPr>
                <w:sz w:val="18"/>
                <w:szCs w:val="18"/>
              </w:rPr>
            </w:pPr>
            <w:r>
              <w:rPr>
                <w:rFonts w:hint="eastAsia"/>
                <w:sz w:val="18"/>
                <w:szCs w:val="18"/>
              </w:rPr>
              <w:t>0.00|0</w:t>
            </w:r>
          </w:p>
        </w:tc>
      </w:tr>
      <w:tr w14:paraId="5BA9B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0FF28649">
            <w:pPr>
              <w:pStyle w:val="133"/>
              <w:rPr>
                <w:sz w:val="18"/>
                <w:szCs w:val="18"/>
              </w:rPr>
            </w:pPr>
            <w:r>
              <w:rPr>
                <w:rFonts w:hint="eastAsia"/>
                <w:sz w:val="18"/>
                <w:szCs w:val="18"/>
              </w:rPr>
              <w:t>26</w:t>
            </w:r>
          </w:p>
        </w:tc>
        <w:tc>
          <w:tcPr>
            <w:tcW w:w="0" w:type="auto"/>
            <w:noWrap/>
            <w:vAlign w:val="center"/>
          </w:tcPr>
          <w:p w14:paraId="661668D9">
            <w:pPr>
              <w:pStyle w:val="133"/>
              <w:rPr>
                <w:sz w:val="18"/>
                <w:szCs w:val="18"/>
              </w:rPr>
            </w:pPr>
            <w:r>
              <w:rPr>
                <w:rFonts w:hint="eastAsia"/>
                <w:sz w:val="18"/>
                <w:szCs w:val="18"/>
              </w:rPr>
              <w:t>成品破碎车间</w:t>
            </w:r>
          </w:p>
        </w:tc>
        <w:tc>
          <w:tcPr>
            <w:tcW w:w="0" w:type="auto"/>
            <w:noWrap/>
            <w:vAlign w:val="center"/>
          </w:tcPr>
          <w:p w14:paraId="04C12DDE">
            <w:pPr>
              <w:pStyle w:val="133"/>
              <w:rPr>
                <w:sz w:val="18"/>
                <w:szCs w:val="18"/>
              </w:rPr>
            </w:pPr>
            <w:r>
              <w:rPr>
                <w:rFonts w:hint="eastAsia"/>
                <w:sz w:val="18"/>
                <w:szCs w:val="18"/>
              </w:rPr>
              <w:t>20</w:t>
            </w:r>
          </w:p>
        </w:tc>
        <w:tc>
          <w:tcPr>
            <w:tcW w:w="0" w:type="auto"/>
            <w:noWrap/>
            <w:vAlign w:val="center"/>
          </w:tcPr>
          <w:p w14:paraId="020959BF">
            <w:pPr>
              <w:pStyle w:val="133"/>
              <w:rPr>
                <w:sz w:val="18"/>
                <w:szCs w:val="18"/>
              </w:rPr>
            </w:pPr>
            <w:r>
              <w:rPr>
                <w:rFonts w:hint="eastAsia"/>
                <w:sz w:val="18"/>
                <w:szCs w:val="18"/>
              </w:rPr>
              <w:t>22</w:t>
            </w:r>
          </w:p>
        </w:tc>
        <w:tc>
          <w:tcPr>
            <w:tcW w:w="0" w:type="auto"/>
            <w:noWrap/>
            <w:vAlign w:val="center"/>
          </w:tcPr>
          <w:p w14:paraId="3BC49B6D">
            <w:pPr>
              <w:pStyle w:val="133"/>
              <w:rPr>
                <w:sz w:val="18"/>
                <w:szCs w:val="18"/>
              </w:rPr>
            </w:pPr>
            <w:r>
              <w:rPr>
                <w:rFonts w:hint="eastAsia"/>
                <w:sz w:val="18"/>
                <w:szCs w:val="18"/>
              </w:rPr>
              <w:t>0</w:t>
            </w:r>
          </w:p>
        </w:tc>
        <w:tc>
          <w:tcPr>
            <w:tcW w:w="0" w:type="auto"/>
            <w:noWrap/>
            <w:vAlign w:val="center"/>
          </w:tcPr>
          <w:p w14:paraId="008B706E">
            <w:pPr>
              <w:pStyle w:val="133"/>
              <w:rPr>
                <w:sz w:val="18"/>
                <w:szCs w:val="18"/>
              </w:rPr>
            </w:pPr>
            <w:r>
              <w:rPr>
                <w:rFonts w:hint="eastAsia"/>
                <w:sz w:val="18"/>
                <w:szCs w:val="18"/>
              </w:rPr>
              <w:t>0.00|0</w:t>
            </w:r>
          </w:p>
        </w:tc>
        <w:tc>
          <w:tcPr>
            <w:tcW w:w="0" w:type="auto"/>
            <w:noWrap/>
            <w:vAlign w:val="center"/>
          </w:tcPr>
          <w:p w14:paraId="0064EF8D">
            <w:pPr>
              <w:pStyle w:val="133"/>
              <w:rPr>
                <w:sz w:val="18"/>
                <w:szCs w:val="18"/>
              </w:rPr>
            </w:pPr>
            <w:r>
              <w:rPr>
                <w:rFonts w:hint="eastAsia"/>
                <w:sz w:val="18"/>
                <w:szCs w:val="18"/>
              </w:rPr>
              <w:t>0.00|0</w:t>
            </w:r>
          </w:p>
        </w:tc>
        <w:tc>
          <w:tcPr>
            <w:tcW w:w="0" w:type="auto"/>
            <w:noWrap/>
            <w:vAlign w:val="center"/>
          </w:tcPr>
          <w:p w14:paraId="3B46A18E">
            <w:pPr>
              <w:pStyle w:val="133"/>
              <w:rPr>
                <w:sz w:val="18"/>
                <w:szCs w:val="18"/>
              </w:rPr>
            </w:pPr>
            <w:r>
              <w:rPr>
                <w:rFonts w:hint="eastAsia"/>
                <w:sz w:val="18"/>
                <w:szCs w:val="18"/>
              </w:rPr>
              <w:t>0.05|0</w:t>
            </w:r>
          </w:p>
        </w:tc>
        <w:tc>
          <w:tcPr>
            <w:tcW w:w="0" w:type="auto"/>
            <w:noWrap/>
            <w:vAlign w:val="center"/>
          </w:tcPr>
          <w:p w14:paraId="1FB0A5CE">
            <w:pPr>
              <w:pStyle w:val="133"/>
              <w:rPr>
                <w:sz w:val="18"/>
                <w:szCs w:val="18"/>
              </w:rPr>
            </w:pPr>
            <w:r>
              <w:rPr>
                <w:rFonts w:hint="eastAsia"/>
                <w:sz w:val="18"/>
                <w:szCs w:val="18"/>
              </w:rPr>
              <w:t>0.00|0</w:t>
            </w:r>
          </w:p>
        </w:tc>
        <w:tc>
          <w:tcPr>
            <w:tcW w:w="0" w:type="auto"/>
            <w:noWrap/>
            <w:vAlign w:val="center"/>
          </w:tcPr>
          <w:p w14:paraId="56D59C69">
            <w:pPr>
              <w:pStyle w:val="133"/>
              <w:rPr>
                <w:sz w:val="18"/>
                <w:szCs w:val="18"/>
              </w:rPr>
            </w:pPr>
            <w:r>
              <w:rPr>
                <w:rFonts w:hint="eastAsia"/>
                <w:sz w:val="18"/>
                <w:szCs w:val="18"/>
              </w:rPr>
              <w:t>0.00|0</w:t>
            </w:r>
          </w:p>
        </w:tc>
        <w:tc>
          <w:tcPr>
            <w:tcW w:w="0" w:type="auto"/>
            <w:noWrap/>
            <w:vAlign w:val="center"/>
          </w:tcPr>
          <w:p w14:paraId="5BDE5A69">
            <w:pPr>
              <w:pStyle w:val="133"/>
              <w:rPr>
                <w:sz w:val="18"/>
                <w:szCs w:val="18"/>
              </w:rPr>
            </w:pPr>
            <w:r>
              <w:rPr>
                <w:rFonts w:hint="eastAsia"/>
                <w:sz w:val="18"/>
                <w:szCs w:val="18"/>
              </w:rPr>
              <w:t>0.00|0</w:t>
            </w:r>
          </w:p>
        </w:tc>
        <w:tc>
          <w:tcPr>
            <w:tcW w:w="0" w:type="auto"/>
            <w:noWrap/>
            <w:vAlign w:val="center"/>
          </w:tcPr>
          <w:p w14:paraId="7C3F480E">
            <w:pPr>
              <w:pStyle w:val="133"/>
              <w:rPr>
                <w:sz w:val="18"/>
                <w:szCs w:val="18"/>
              </w:rPr>
            </w:pPr>
            <w:r>
              <w:rPr>
                <w:rFonts w:hint="eastAsia"/>
                <w:sz w:val="18"/>
                <w:szCs w:val="18"/>
              </w:rPr>
              <w:t>0.00|0</w:t>
            </w:r>
          </w:p>
        </w:tc>
        <w:tc>
          <w:tcPr>
            <w:tcW w:w="0" w:type="auto"/>
            <w:noWrap/>
            <w:vAlign w:val="center"/>
          </w:tcPr>
          <w:p w14:paraId="22BC4017">
            <w:pPr>
              <w:pStyle w:val="133"/>
              <w:rPr>
                <w:sz w:val="18"/>
                <w:szCs w:val="18"/>
              </w:rPr>
            </w:pPr>
            <w:r>
              <w:rPr>
                <w:rFonts w:hint="eastAsia"/>
                <w:sz w:val="18"/>
                <w:szCs w:val="18"/>
              </w:rPr>
              <w:t>0.00|0</w:t>
            </w:r>
          </w:p>
        </w:tc>
        <w:tc>
          <w:tcPr>
            <w:tcW w:w="0" w:type="auto"/>
            <w:noWrap/>
            <w:vAlign w:val="center"/>
          </w:tcPr>
          <w:p w14:paraId="2AF387B3">
            <w:pPr>
              <w:pStyle w:val="133"/>
              <w:rPr>
                <w:sz w:val="18"/>
                <w:szCs w:val="18"/>
              </w:rPr>
            </w:pPr>
            <w:r>
              <w:rPr>
                <w:rFonts w:hint="eastAsia"/>
                <w:sz w:val="18"/>
                <w:szCs w:val="18"/>
              </w:rPr>
              <w:t>0.00|0</w:t>
            </w:r>
          </w:p>
        </w:tc>
        <w:tc>
          <w:tcPr>
            <w:tcW w:w="0" w:type="auto"/>
            <w:vAlign w:val="center"/>
          </w:tcPr>
          <w:p w14:paraId="1AD3705F">
            <w:pPr>
              <w:pStyle w:val="133"/>
              <w:rPr>
                <w:sz w:val="18"/>
                <w:szCs w:val="18"/>
              </w:rPr>
            </w:pPr>
            <w:r>
              <w:rPr>
                <w:rFonts w:hint="eastAsia"/>
                <w:sz w:val="18"/>
                <w:szCs w:val="18"/>
              </w:rPr>
              <w:t>0.00|0</w:t>
            </w:r>
          </w:p>
        </w:tc>
        <w:tc>
          <w:tcPr>
            <w:tcW w:w="0" w:type="auto"/>
            <w:vAlign w:val="center"/>
          </w:tcPr>
          <w:p w14:paraId="3C8AAD8D">
            <w:pPr>
              <w:pStyle w:val="133"/>
              <w:rPr>
                <w:sz w:val="18"/>
                <w:szCs w:val="18"/>
              </w:rPr>
            </w:pPr>
            <w:r>
              <w:rPr>
                <w:rFonts w:hint="eastAsia"/>
                <w:sz w:val="18"/>
                <w:szCs w:val="18"/>
              </w:rPr>
              <w:t>0.00|0</w:t>
            </w:r>
          </w:p>
        </w:tc>
      </w:tr>
      <w:tr w14:paraId="0E162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0" w:type="auto"/>
            <w:noWrap/>
            <w:vAlign w:val="center"/>
          </w:tcPr>
          <w:p w14:paraId="185BB8B2">
            <w:pPr>
              <w:pStyle w:val="133"/>
              <w:rPr>
                <w:sz w:val="18"/>
                <w:szCs w:val="18"/>
              </w:rPr>
            </w:pPr>
          </w:p>
        </w:tc>
        <w:tc>
          <w:tcPr>
            <w:tcW w:w="0" w:type="auto"/>
            <w:noWrap/>
            <w:vAlign w:val="center"/>
          </w:tcPr>
          <w:p w14:paraId="11C93C6A">
            <w:pPr>
              <w:pStyle w:val="133"/>
              <w:rPr>
                <w:sz w:val="18"/>
                <w:szCs w:val="18"/>
              </w:rPr>
            </w:pPr>
            <w:r>
              <w:rPr>
                <w:rFonts w:hint="eastAsia"/>
                <w:sz w:val="18"/>
                <w:szCs w:val="18"/>
              </w:rPr>
              <w:t>各源最大值</w:t>
            </w:r>
          </w:p>
        </w:tc>
        <w:tc>
          <w:tcPr>
            <w:tcW w:w="0" w:type="auto"/>
            <w:noWrap/>
            <w:vAlign w:val="center"/>
          </w:tcPr>
          <w:p w14:paraId="701F6760">
            <w:pPr>
              <w:pStyle w:val="133"/>
              <w:rPr>
                <w:sz w:val="18"/>
                <w:szCs w:val="18"/>
              </w:rPr>
            </w:pPr>
            <w:r>
              <w:rPr>
                <w:rFonts w:hint="eastAsia"/>
                <w:color w:val="000000"/>
                <w:sz w:val="18"/>
                <w:szCs w:val="18"/>
              </w:rPr>
              <w:t>--</w:t>
            </w:r>
          </w:p>
        </w:tc>
        <w:tc>
          <w:tcPr>
            <w:tcW w:w="0" w:type="auto"/>
            <w:noWrap/>
            <w:vAlign w:val="center"/>
          </w:tcPr>
          <w:p w14:paraId="7FCDC8E7">
            <w:pPr>
              <w:pStyle w:val="133"/>
              <w:rPr>
                <w:sz w:val="18"/>
                <w:szCs w:val="18"/>
              </w:rPr>
            </w:pPr>
            <w:r>
              <w:rPr>
                <w:rFonts w:hint="eastAsia"/>
                <w:color w:val="000000"/>
                <w:sz w:val="18"/>
                <w:szCs w:val="18"/>
              </w:rPr>
              <w:t>--</w:t>
            </w:r>
          </w:p>
        </w:tc>
        <w:tc>
          <w:tcPr>
            <w:tcW w:w="0" w:type="auto"/>
            <w:noWrap/>
            <w:vAlign w:val="center"/>
          </w:tcPr>
          <w:p w14:paraId="14A15004">
            <w:pPr>
              <w:pStyle w:val="133"/>
              <w:rPr>
                <w:sz w:val="18"/>
                <w:szCs w:val="18"/>
              </w:rPr>
            </w:pPr>
            <w:r>
              <w:rPr>
                <w:rFonts w:hint="eastAsia"/>
                <w:color w:val="000000"/>
                <w:sz w:val="18"/>
                <w:szCs w:val="18"/>
              </w:rPr>
              <w:t>--</w:t>
            </w:r>
          </w:p>
        </w:tc>
        <w:tc>
          <w:tcPr>
            <w:tcW w:w="0" w:type="auto"/>
            <w:noWrap/>
            <w:vAlign w:val="center"/>
          </w:tcPr>
          <w:p w14:paraId="0B8753F1">
            <w:pPr>
              <w:pStyle w:val="133"/>
              <w:rPr>
                <w:sz w:val="18"/>
                <w:szCs w:val="18"/>
              </w:rPr>
            </w:pPr>
            <w:r>
              <w:rPr>
                <w:rFonts w:hint="eastAsia"/>
                <w:color w:val="000000"/>
                <w:sz w:val="18"/>
                <w:szCs w:val="18"/>
              </w:rPr>
              <w:t>96.78</w:t>
            </w:r>
          </w:p>
        </w:tc>
        <w:tc>
          <w:tcPr>
            <w:tcW w:w="0" w:type="auto"/>
            <w:noWrap/>
            <w:vAlign w:val="center"/>
          </w:tcPr>
          <w:p w14:paraId="61ABF7A6">
            <w:pPr>
              <w:pStyle w:val="133"/>
              <w:rPr>
                <w:sz w:val="18"/>
                <w:szCs w:val="18"/>
              </w:rPr>
            </w:pPr>
            <w:r>
              <w:rPr>
                <w:rFonts w:hint="eastAsia"/>
                <w:sz w:val="18"/>
                <w:szCs w:val="18"/>
              </w:rPr>
              <w:t>61.95</w:t>
            </w:r>
          </w:p>
        </w:tc>
        <w:tc>
          <w:tcPr>
            <w:tcW w:w="0" w:type="auto"/>
            <w:noWrap/>
            <w:vAlign w:val="center"/>
          </w:tcPr>
          <w:p w14:paraId="1D4896DD">
            <w:pPr>
              <w:pStyle w:val="133"/>
              <w:rPr>
                <w:sz w:val="18"/>
                <w:szCs w:val="18"/>
              </w:rPr>
            </w:pPr>
            <w:r>
              <w:rPr>
                <w:rFonts w:hint="eastAsia"/>
                <w:sz w:val="18"/>
                <w:szCs w:val="18"/>
              </w:rPr>
              <w:t>19.72</w:t>
            </w:r>
          </w:p>
        </w:tc>
        <w:tc>
          <w:tcPr>
            <w:tcW w:w="0" w:type="auto"/>
            <w:noWrap/>
            <w:vAlign w:val="center"/>
          </w:tcPr>
          <w:p w14:paraId="04D063EC">
            <w:pPr>
              <w:pStyle w:val="133"/>
              <w:rPr>
                <w:sz w:val="18"/>
                <w:szCs w:val="18"/>
              </w:rPr>
            </w:pPr>
            <w:r>
              <w:rPr>
                <w:rFonts w:hint="eastAsia"/>
                <w:sz w:val="18"/>
                <w:szCs w:val="18"/>
              </w:rPr>
              <w:t>3.32</w:t>
            </w:r>
          </w:p>
        </w:tc>
        <w:tc>
          <w:tcPr>
            <w:tcW w:w="0" w:type="auto"/>
            <w:noWrap/>
            <w:vAlign w:val="center"/>
          </w:tcPr>
          <w:p w14:paraId="4995FAB9">
            <w:pPr>
              <w:pStyle w:val="133"/>
              <w:rPr>
                <w:sz w:val="18"/>
                <w:szCs w:val="18"/>
              </w:rPr>
            </w:pPr>
            <w:r>
              <w:rPr>
                <w:rFonts w:hint="eastAsia"/>
                <w:sz w:val="18"/>
                <w:szCs w:val="18"/>
              </w:rPr>
              <w:t>3.32</w:t>
            </w:r>
          </w:p>
        </w:tc>
        <w:tc>
          <w:tcPr>
            <w:tcW w:w="0" w:type="auto"/>
            <w:noWrap/>
            <w:vAlign w:val="center"/>
          </w:tcPr>
          <w:p w14:paraId="19C06892">
            <w:pPr>
              <w:pStyle w:val="133"/>
              <w:rPr>
                <w:sz w:val="18"/>
                <w:szCs w:val="18"/>
              </w:rPr>
            </w:pPr>
            <w:r>
              <w:rPr>
                <w:rFonts w:hint="eastAsia"/>
                <w:sz w:val="18"/>
                <w:szCs w:val="18"/>
              </w:rPr>
              <w:t>90.23</w:t>
            </w:r>
          </w:p>
        </w:tc>
        <w:tc>
          <w:tcPr>
            <w:tcW w:w="0" w:type="auto"/>
            <w:noWrap/>
            <w:vAlign w:val="center"/>
          </w:tcPr>
          <w:p w14:paraId="057868F5">
            <w:pPr>
              <w:pStyle w:val="133"/>
              <w:rPr>
                <w:sz w:val="18"/>
                <w:szCs w:val="18"/>
              </w:rPr>
            </w:pPr>
            <w:r>
              <w:rPr>
                <w:rFonts w:hint="eastAsia"/>
                <w:sz w:val="18"/>
                <w:szCs w:val="18"/>
              </w:rPr>
              <w:t>3.54</w:t>
            </w:r>
          </w:p>
        </w:tc>
        <w:tc>
          <w:tcPr>
            <w:tcW w:w="0" w:type="auto"/>
            <w:noWrap/>
            <w:vAlign w:val="center"/>
          </w:tcPr>
          <w:p w14:paraId="775F3027">
            <w:pPr>
              <w:pStyle w:val="133"/>
              <w:rPr>
                <w:sz w:val="18"/>
                <w:szCs w:val="18"/>
              </w:rPr>
            </w:pPr>
            <w:r>
              <w:rPr>
                <w:rFonts w:hint="eastAsia"/>
                <w:sz w:val="18"/>
                <w:szCs w:val="18"/>
              </w:rPr>
              <w:t>20.49</w:t>
            </w:r>
          </w:p>
        </w:tc>
        <w:tc>
          <w:tcPr>
            <w:tcW w:w="0" w:type="auto"/>
            <w:noWrap/>
            <w:vAlign w:val="center"/>
          </w:tcPr>
          <w:p w14:paraId="19C74E5E">
            <w:pPr>
              <w:pStyle w:val="133"/>
              <w:rPr>
                <w:sz w:val="18"/>
                <w:szCs w:val="18"/>
              </w:rPr>
            </w:pPr>
            <w:r>
              <w:rPr>
                <w:rFonts w:hint="eastAsia"/>
                <w:sz w:val="18"/>
                <w:szCs w:val="18"/>
              </w:rPr>
              <w:t>7.15</w:t>
            </w:r>
          </w:p>
        </w:tc>
        <w:tc>
          <w:tcPr>
            <w:tcW w:w="0" w:type="auto"/>
          </w:tcPr>
          <w:p w14:paraId="7D55D1BA">
            <w:pPr>
              <w:pStyle w:val="133"/>
              <w:rPr>
                <w:sz w:val="18"/>
                <w:szCs w:val="18"/>
              </w:rPr>
            </w:pPr>
            <w:r>
              <w:rPr>
                <w:rFonts w:hint="eastAsia"/>
                <w:sz w:val="18"/>
                <w:szCs w:val="18"/>
              </w:rPr>
              <w:t>1.25</w:t>
            </w:r>
          </w:p>
        </w:tc>
        <w:tc>
          <w:tcPr>
            <w:tcW w:w="0" w:type="auto"/>
          </w:tcPr>
          <w:p w14:paraId="605BB83E">
            <w:pPr>
              <w:pStyle w:val="133"/>
              <w:rPr>
                <w:sz w:val="18"/>
                <w:szCs w:val="18"/>
              </w:rPr>
            </w:pPr>
            <w:r>
              <w:rPr>
                <w:rFonts w:hint="eastAsia"/>
                <w:sz w:val="18"/>
                <w:szCs w:val="18"/>
              </w:rPr>
              <w:t>2.08</w:t>
            </w:r>
          </w:p>
        </w:tc>
      </w:tr>
    </w:tbl>
    <w:p w14:paraId="039F7997">
      <w:pPr>
        <w:pStyle w:val="133"/>
      </w:pPr>
    </w:p>
    <w:p w14:paraId="18085792">
      <w:pPr>
        <w:pStyle w:val="118"/>
        <w:rPr>
          <w:color w:val="auto"/>
        </w:rPr>
        <w:sectPr>
          <w:pgSz w:w="16838" w:h="11906" w:orient="landscape"/>
          <w:pgMar w:top="1800" w:right="1440" w:bottom="1800" w:left="1440" w:header="1020" w:footer="992" w:gutter="0"/>
          <w:cols w:space="425" w:num="1"/>
          <w:docGrid w:type="lines" w:linePitch="326" w:charSpace="0"/>
        </w:sectPr>
      </w:pPr>
    </w:p>
    <w:p w14:paraId="13143AFB">
      <w:pPr>
        <w:pStyle w:val="117"/>
        <w:ind w:firstLine="0" w:firstLineChars="0"/>
      </w:pPr>
      <w:r>
        <w:rPr>
          <w:rFonts w:hint="eastAsia"/>
        </w:rPr>
        <w:t>水水源）准保护区、补给径流区等，因此，判定项目所在区域地下水环境敏感特征为“不敏感”。</w:t>
      </w:r>
    </w:p>
    <w:p w14:paraId="0A2778D7">
      <w:pPr>
        <w:pStyle w:val="118"/>
        <w:rPr>
          <w:color w:val="auto"/>
        </w:rPr>
      </w:pPr>
      <w:r>
        <w:rPr>
          <w:rFonts w:hint="eastAsia"/>
          <w:color w:val="auto"/>
        </w:rPr>
        <w:t>表1.4-6  地下水环境影响评价行业分类表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530"/>
        <w:gridCol w:w="1065"/>
        <w:gridCol w:w="1065"/>
        <w:gridCol w:w="1607"/>
        <w:gridCol w:w="1522"/>
      </w:tblGrid>
      <w:tr w14:paraId="67A02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08" w:type="pct"/>
            <w:vMerge w:val="restart"/>
            <w:vAlign w:val="center"/>
          </w:tcPr>
          <w:p w14:paraId="275398CA">
            <w:pPr>
              <w:pStyle w:val="133"/>
              <w:rPr>
                <w:rFonts w:cs="Times New Roman"/>
                <w:b/>
                <w:bCs/>
              </w:rPr>
            </w:pPr>
            <w:r>
              <w:rPr>
                <w:rFonts w:cs="Times New Roman"/>
                <w:b/>
                <w:bCs/>
              </w:rPr>
              <w:t>环评类别</w:t>
            </w:r>
          </w:p>
          <w:p w14:paraId="4D193833">
            <w:pPr>
              <w:pStyle w:val="133"/>
              <w:rPr>
                <w:rFonts w:cs="Times New Roman"/>
                <w:b/>
                <w:bCs/>
              </w:rPr>
            </w:pPr>
            <w:r>
              <w:rPr>
                <w:rFonts w:cs="Times New Roman"/>
                <w:b/>
                <w:bCs/>
              </w:rPr>
              <w:t>行业类别</w:t>
            </w:r>
          </w:p>
        </w:tc>
        <w:tc>
          <w:tcPr>
            <w:tcW w:w="606" w:type="pct"/>
            <w:vMerge w:val="restart"/>
            <w:vAlign w:val="center"/>
          </w:tcPr>
          <w:p w14:paraId="5B8DECEB">
            <w:pPr>
              <w:pStyle w:val="133"/>
              <w:rPr>
                <w:rFonts w:cs="Times New Roman"/>
                <w:b/>
                <w:bCs/>
              </w:rPr>
            </w:pPr>
            <w:r>
              <w:rPr>
                <w:rFonts w:cs="Times New Roman"/>
                <w:b/>
                <w:bCs/>
              </w:rPr>
              <w:t>报告书</w:t>
            </w:r>
          </w:p>
        </w:tc>
        <w:tc>
          <w:tcPr>
            <w:tcW w:w="606" w:type="pct"/>
            <w:vMerge w:val="restart"/>
            <w:vAlign w:val="center"/>
          </w:tcPr>
          <w:p w14:paraId="6EC6DEE4">
            <w:pPr>
              <w:pStyle w:val="133"/>
              <w:rPr>
                <w:rFonts w:cs="Times New Roman"/>
                <w:b/>
                <w:bCs/>
              </w:rPr>
            </w:pPr>
            <w:r>
              <w:rPr>
                <w:rFonts w:cs="Times New Roman"/>
                <w:b/>
                <w:bCs/>
              </w:rPr>
              <w:t>报告表</w:t>
            </w:r>
          </w:p>
        </w:tc>
        <w:tc>
          <w:tcPr>
            <w:tcW w:w="1780" w:type="pct"/>
            <w:gridSpan w:val="2"/>
            <w:vAlign w:val="center"/>
          </w:tcPr>
          <w:p w14:paraId="5E61C3C4">
            <w:pPr>
              <w:pStyle w:val="133"/>
              <w:rPr>
                <w:rFonts w:cs="Times New Roman"/>
                <w:b/>
                <w:bCs/>
              </w:rPr>
            </w:pPr>
            <w:r>
              <w:rPr>
                <w:rFonts w:cs="Times New Roman"/>
                <w:b/>
                <w:bCs/>
              </w:rPr>
              <w:t>地下水环境影响评价项目类别</w:t>
            </w:r>
          </w:p>
        </w:tc>
      </w:tr>
      <w:tr w14:paraId="23CABB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08" w:type="pct"/>
            <w:vMerge w:val="continue"/>
            <w:vAlign w:val="center"/>
          </w:tcPr>
          <w:p w14:paraId="06431D41">
            <w:pPr>
              <w:pStyle w:val="133"/>
              <w:rPr>
                <w:rFonts w:cs="Times New Roman"/>
                <w:b/>
                <w:bCs/>
              </w:rPr>
            </w:pPr>
          </w:p>
        </w:tc>
        <w:tc>
          <w:tcPr>
            <w:tcW w:w="606" w:type="pct"/>
            <w:vMerge w:val="continue"/>
            <w:vAlign w:val="center"/>
          </w:tcPr>
          <w:p w14:paraId="57C5F0A6">
            <w:pPr>
              <w:pStyle w:val="133"/>
              <w:rPr>
                <w:rFonts w:cs="Times New Roman"/>
                <w:b/>
                <w:bCs/>
              </w:rPr>
            </w:pPr>
          </w:p>
        </w:tc>
        <w:tc>
          <w:tcPr>
            <w:tcW w:w="606" w:type="pct"/>
            <w:vMerge w:val="continue"/>
            <w:vAlign w:val="center"/>
          </w:tcPr>
          <w:p w14:paraId="5FADE652">
            <w:pPr>
              <w:pStyle w:val="133"/>
              <w:rPr>
                <w:rFonts w:cs="Times New Roman"/>
                <w:b/>
                <w:bCs/>
              </w:rPr>
            </w:pPr>
          </w:p>
        </w:tc>
        <w:tc>
          <w:tcPr>
            <w:tcW w:w="914" w:type="pct"/>
            <w:vAlign w:val="center"/>
          </w:tcPr>
          <w:p w14:paraId="2D69C5B6">
            <w:pPr>
              <w:pStyle w:val="133"/>
              <w:rPr>
                <w:rFonts w:cs="Times New Roman"/>
                <w:b/>
                <w:bCs/>
              </w:rPr>
            </w:pPr>
            <w:r>
              <w:rPr>
                <w:rFonts w:cs="Times New Roman"/>
                <w:b/>
                <w:bCs/>
              </w:rPr>
              <w:t>报告书</w:t>
            </w:r>
          </w:p>
        </w:tc>
        <w:tc>
          <w:tcPr>
            <w:tcW w:w="866" w:type="pct"/>
            <w:vAlign w:val="center"/>
          </w:tcPr>
          <w:p w14:paraId="4DD29C80">
            <w:pPr>
              <w:pStyle w:val="133"/>
              <w:rPr>
                <w:rFonts w:cs="Times New Roman"/>
                <w:b/>
                <w:bCs/>
              </w:rPr>
            </w:pPr>
            <w:r>
              <w:rPr>
                <w:rFonts w:cs="Times New Roman"/>
                <w:b/>
                <w:bCs/>
              </w:rPr>
              <w:t>报告表7</w:t>
            </w:r>
          </w:p>
        </w:tc>
      </w:tr>
      <w:tr w14:paraId="6C9FC4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08" w:type="pct"/>
            <w:vAlign w:val="center"/>
          </w:tcPr>
          <w:p w14:paraId="339A7216">
            <w:pPr>
              <w:pStyle w:val="133"/>
              <w:rPr>
                <w:rFonts w:cs="Times New Roman"/>
              </w:rPr>
            </w:pPr>
            <w:r>
              <w:rPr>
                <w:rFonts w:cs="Times New Roman"/>
              </w:rPr>
              <w:t>87、焦化、电石</w:t>
            </w:r>
          </w:p>
        </w:tc>
        <w:tc>
          <w:tcPr>
            <w:tcW w:w="606" w:type="pct"/>
            <w:vAlign w:val="center"/>
          </w:tcPr>
          <w:p w14:paraId="47179108">
            <w:pPr>
              <w:pStyle w:val="133"/>
              <w:rPr>
                <w:rFonts w:cs="Times New Roman"/>
              </w:rPr>
            </w:pPr>
            <w:r>
              <w:rPr>
                <w:rFonts w:cs="Times New Roman"/>
              </w:rPr>
              <w:t>全部</w:t>
            </w:r>
          </w:p>
        </w:tc>
        <w:tc>
          <w:tcPr>
            <w:tcW w:w="606" w:type="pct"/>
            <w:vAlign w:val="center"/>
          </w:tcPr>
          <w:p w14:paraId="6E23ADFB">
            <w:pPr>
              <w:pStyle w:val="133"/>
              <w:rPr>
                <w:rFonts w:cs="Times New Roman"/>
              </w:rPr>
            </w:pPr>
            <w:r>
              <w:rPr>
                <w:rFonts w:cs="Times New Roman"/>
              </w:rPr>
              <w:t>/</w:t>
            </w:r>
          </w:p>
        </w:tc>
        <w:tc>
          <w:tcPr>
            <w:tcW w:w="914" w:type="pct"/>
            <w:vAlign w:val="center"/>
          </w:tcPr>
          <w:p w14:paraId="69D65A5C">
            <w:pPr>
              <w:pStyle w:val="133"/>
              <w:rPr>
                <w:rFonts w:cs="Times New Roman"/>
              </w:rPr>
            </w:pPr>
            <w:r>
              <w:rPr>
                <w:rFonts w:cs="Times New Roman"/>
                <w:lang w:val="zh-CN"/>
              </w:rPr>
              <w:t>Ⅰ</w:t>
            </w:r>
            <w:r>
              <w:rPr>
                <w:rFonts w:cs="Times New Roman"/>
              </w:rPr>
              <w:t>类</w:t>
            </w:r>
          </w:p>
        </w:tc>
        <w:tc>
          <w:tcPr>
            <w:tcW w:w="866" w:type="pct"/>
            <w:vAlign w:val="center"/>
          </w:tcPr>
          <w:p w14:paraId="5F557614">
            <w:pPr>
              <w:pStyle w:val="133"/>
              <w:rPr>
                <w:rFonts w:cs="Times New Roman"/>
              </w:rPr>
            </w:pPr>
            <w:r>
              <w:rPr>
                <w:rFonts w:cs="Times New Roman"/>
              </w:rPr>
              <w:t>/</w:t>
            </w:r>
          </w:p>
        </w:tc>
      </w:tr>
      <w:tr w14:paraId="2DBF60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08" w:type="pct"/>
            <w:vAlign w:val="center"/>
          </w:tcPr>
          <w:p w14:paraId="483D2197">
            <w:pPr>
              <w:pStyle w:val="133"/>
              <w:rPr>
                <w:rFonts w:cs="Times New Roman"/>
              </w:rPr>
            </w:pPr>
            <w:r>
              <w:rPr>
                <w:rFonts w:cs="Times New Roman"/>
              </w:rPr>
              <w:t>45、铁合金制造；</w:t>
            </w:r>
          </w:p>
        </w:tc>
        <w:tc>
          <w:tcPr>
            <w:tcW w:w="606" w:type="pct"/>
            <w:vAlign w:val="center"/>
          </w:tcPr>
          <w:p w14:paraId="6C3E76CB">
            <w:pPr>
              <w:pStyle w:val="133"/>
              <w:rPr>
                <w:rFonts w:cs="Times New Roman"/>
              </w:rPr>
            </w:pPr>
            <w:r>
              <w:rPr>
                <w:rFonts w:cs="Times New Roman"/>
              </w:rPr>
              <w:t>全部</w:t>
            </w:r>
          </w:p>
        </w:tc>
        <w:tc>
          <w:tcPr>
            <w:tcW w:w="606" w:type="pct"/>
            <w:vAlign w:val="center"/>
          </w:tcPr>
          <w:p w14:paraId="33603AE4">
            <w:pPr>
              <w:pStyle w:val="133"/>
              <w:rPr>
                <w:rFonts w:cs="Times New Roman"/>
              </w:rPr>
            </w:pPr>
            <w:r>
              <w:rPr>
                <w:rFonts w:cs="Times New Roman"/>
              </w:rPr>
              <w:t>/</w:t>
            </w:r>
          </w:p>
        </w:tc>
        <w:tc>
          <w:tcPr>
            <w:tcW w:w="914" w:type="pct"/>
            <w:vAlign w:val="center"/>
          </w:tcPr>
          <w:p w14:paraId="0DBFFB19">
            <w:pPr>
              <w:pStyle w:val="133"/>
              <w:rPr>
                <w:rFonts w:cs="Times New Roman"/>
                <w:lang w:val="zh-CN"/>
              </w:rPr>
            </w:pPr>
            <w:r>
              <w:rPr>
                <w:rFonts w:cs="Times New Roman"/>
              </w:rPr>
              <w:t>Ⅲ类</w:t>
            </w:r>
          </w:p>
        </w:tc>
        <w:tc>
          <w:tcPr>
            <w:tcW w:w="866" w:type="pct"/>
            <w:vAlign w:val="center"/>
          </w:tcPr>
          <w:p w14:paraId="19109F63">
            <w:pPr>
              <w:pStyle w:val="133"/>
              <w:rPr>
                <w:rFonts w:cs="Times New Roman"/>
              </w:rPr>
            </w:pPr>
            <w:r>
              <w:rPr>
                <w:rFonts w:cs="Times New Roman"/>
              </w:rPr>
              <w:t>/</w:t>
            </w:r>
          </w:p>
        </w:tc>
      </w:tr>
    </w:tbl>
    <w:p w14:paraId="21E0FA53">
      <w:pPr>
        <w:pStyle w:val="133"/>
      </w:pPr>
    </w:p>
    <w:p w14:paraId="4EF00583">
      <w:pPr>
        <w:pStyle w:val="118"/>
        <w:rPr>
          <w:color w:val="auto"/>
        </w:rPr>
      </w:pPr>
      <w:r>
        <w:rPr>
          <w:rFonts w:hint="eastAsia"/>
          <w:color w:val="auto"/>
        </w:rPr>
        <w:t>表1.4-7  地下水环境敏感程度分级表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34"/>
        <w:gridCol w:w="7655"/>
      </w:tblGrid>
      <w:tr w14:paraId="13A83A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pct"/>
            <w:vAlign w:val="center"/>
          </w:tcPr>
          <w:p w14:paraId="691057BE">
            <w:pPr>
              <w:pStyle w:val="133"/>
              <w:rPr>
                <w:b/>
                <w:bCs/>
              </w:rPr>
            </w:pPr>
            <w:r>
              <w:rPr>
                <w:rFonts w:hint="eastAsia"/>
                <w:b/>
                <w:bCs/>
              </w:rPr>
              <w:t>敏感程度</w:t>
            </w:r>
          </w:p>
        </w:tc>
        <w:tc>
          <w:tcPr>
            <w:tcW w:w="4355" w:type="pct"/>
            <w:vAlign w:val="center"/>
          </w:tcPr>
          <w:p w14:paraId="3302F61B">
            <w:pPr>
              <w:pStyle w:val="133"/>
              <w:rPr>
                <w:b/>
                <w:bCs/>
              </w:rPr>
            </w:pPr>
            <w:r>
              <w:rPr>
                <w:rFonts w:hint="eastAsia"/>
                <w:b/>
                <w:bCs/>
              </w:rPr>
              <w:t>地下水环境敏感特征</w:t>
            </w:r>
          </w:p>
        </w:tc>
      </w:tr>
      <w:tr w14:paraId="2EA8F5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pct"/>
            <w:vAlign w:val="center"/>
          </w:tcPr>
          <w:p w14:paraId="37E1F85E">
            <w:pPr>
              <w:pStyle w:val="133"/>
            </w:pPr>
            <w:r>
              <w:rPr>
                <w:rFonts w:hint="eastAsia"/>
              </w:rPr>
              <w:t>敏感</w:t>
            </w:r>
          </w:p>
        </w:tc>
        <w:tc>
          <w:tcPr>
            <w:tcW w:w="4355" w:type="pct"/>
            <w:vAlign w:val="center"/>
          </w:tcPr>
          <w:p w14:paraId="7301FF38">
            <w:pPr>
              <w:pStyle w:val="133"/>
            </w:pPr>
            <w:r>
              <w:rPr>
                <w:rFonts w:hint="eastAsia"/>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3179A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pct"/>
            <w:vAlign w:val="center"/>
          </w:tcPr>
          <w:p w14:paraId="22E73663">
            <w:pPr>
              <w:pStyle w:val="133"/>
            </w:pPr>
            <w:r>
              <w:rPr>
                <w:rFonts w:hint="eastAsia"/>
              </w:rPr>
              <w:t>较敏感</w:t>
            </w:r>
          </w:p>
        </w:tc>
        <w:tc>
          <w:tcPr>
            <w:tcW w:w="4355" w:type="pct"/>
            <w:vAlign w:val="center"/>
          </w:tcPr>
          <w:p w14:paraId="1B1E43B1">
            <w:pPr>
              <w:pStyle w:val="133"/>
            </w:pPr>
            <w:r>
              <w:rPr>
                <w:rFonts w:hint="eastAsia"/>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hint="eastAsia"/>
                <w:vertAlign w:val="superscript"/>
              </w:rPr>
              <w:t>a</w:t>
            </w:r>
            <w:r>
              <w:rPr>
                <w:rFonts w:hint="eastAsia"/>
              </w:rPr>
              <w:t>。</w:t>
            </w:r>
          </w:p>
        </w:tc>
      </w:tr>
      <w:tr w14:paraId="6753E2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5" w:type="pct"/>
            <w:vAlign w:val="center"/>
          </w:tcPr>
          <w:p w14:paraId="6BA0E260">
            <w:pPr>
              <w:pStyle w:val="133"/>
            </w:pPr>
            <w:r>
              <w:rPr>
                <w:rFonts w:hint="eastAsia"/>
              </w:rPr>
              <w:t>不敏感</w:t>
            </w:r>
          </w:p>
        </w:tc>
        <w:tc>
          <w:tcPr>
            <w:tcW w:w="4355" w:type="pct"/>
            <w:vAlign w:val="center"/>
          </w:tcPr>
          <w:p w14:paraId="16196567">
            <w:pPr>
              <w:pStyle w:val="133"/>
            </w:pPr>
            <w:r>
              <w:rPr>
                <w:rFonts w:hint="eastAsia"/>
              </w:rPr>
              <w:t>上述地区之外的其他地区。</w:t>
            </w:r>
          </w:p>
        </w:tc>
      </w:tr>
      <w:tr w14:paraId="11F3B6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2"/>
            <w:vAlign w:val="center"/>
          </w:tcPr>
          <w:p w14:paraId="1833B000">
            <w:pPr>
              <w:pStyle w:val="133"/>
              <w:jc w:val="both"/>
            </w:pPr>
            <w:r>
              <w:rPr>
                <w:rFonts w:hint="eastAsia"/>
              </w:rPr>
              <w:t>注：a“环境敏感区”是指《建设项目环境影响评价分类管理名录》中所界定的涉及地下水的环境敏感区。</w:t>
            </w:r>
          </w:p>
        </w:tc>
      </w:tr>
    </w:tbl>
    <w:p w14:paraId="4DB8EFA0">
      <w:pPr>
        <w:pStyle w:val="133"/>
      </w:pPr>
    </w:p>
    <w:p w14:paraId="4ACDB174">
      <w:pPr>
        <w:pStyle w:val="117"/>
        <w:ind w:firstLine="480"/>
      </w:pPr>
      <w:r>
        <w:rPr>
          <w:rFonts w:hint="eastAsia"/>
        </w:rPr>
        <w:t>根据《环境影响评价技术导则 地下水环境》（HJ610-2016），建设项目地下水环境影响评价工作等级划分（见表1.4-8），本项目地下水环境影响评价工作等级为二级。</w:t>
      </w:r>
    </w:p>
    <w:p w14:paraId="501D914C">
      <w:pPr>
        <w:pStyle w:val="118"/>
        <w:rPr>
          <w:color w:val="auto"/>
        </w:rPr>
      </w:pPr>
      <w:r>
        <w:rPr>
          <w:rFonts w:hint="eastAsia"/>
          <w:color w:val="auto"/>
        </w:rPr>
        <w:t>表1.4-8  地下水评价工作等级分级表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032"/>
        <w:gridCol w:w="2046"/>
        <w:gridCol w:w="1898"/>
        <w:gridCol w:w="1813"/>
      </w:tblGrid>
      <w:tr w14:paraId="78AE13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5" w:type="pct"/>
            <w:vAlign w:val="center"/>
          </w:tcPr>
          <w:p w14:paraId="195BE881">
            <w:pPr>
              <w:pStyle w:val="133"/>
              <w:rPr>
                <w:b/>
                <w:bCs/>
              </w:rPr>
            </w:pPr>
            <w:r>
              <w:rPr>
                <w:rFonts w:hint="eastAsia"/>
                <w:b/>
                <w:bCs/>
              </w:rPr>
              <w:t>项目类别</w:t>
            </w:r>
          </w:p>
          <w:p w14:paraId="75F352CF">
            <w:pPr>
              <w:pStyle w:val="133"/>
              <w:rPr>
                <w:b/>
                <w:bCs/>
              </w:rPr>
            </w:pPr>
            <w:r>
              <w:rPr>
                <w:rFonts w:hint="eastAsia"/>
                <w:b/>
                <w:bCs/>
              </w:rPr>
              <w:t>环境敏感程度</w:t>
            </w:r>
          </w:p>
        </w:tc>
        <w:tc>
          <w:tcPr>
            <w:tcW w:w="1164" w:type="pct"/>
            <w:vAlign w:val="center"/>
          </w:tcPr>
          <w:p w14:paraId="12BCC703">
            <w:pPr>
              <w:pStyle w:val="133"/>
              <w:rPr>
                <w:b/>
                <w:bCs/>
              </w:rPr>
            </w:pPr>
            <w:r>
              <w:rPr>
                <w:rFonts w:hint="eastAsia"/>
                <w:b/>
                <w:bCs/>
              </w:rPr>
              <w:t>I类项目</w:t>
            </w:r>
          </w:p>
        </w:tc>
        <w:tc>
          <w:tcPr>
            <w:tcW w:w="1080" w:type="pct"/>
            <w:vAlign w:val="center"/>
          </w:tcPr>
          <w:p w14:paraId="6F2B82A6">
            <w:pPr>
              <w:pStyle w:val="133"/>
              <w:rPr>
                <w:b/>
                <w:bCs/>
              </w:rPr>
            </w:pPr>
            <w:r>
              <w:rPr>
                <w:rFonts w:hint="eastAsia"/>
                <w:b/>
                <w:bCs/>
              </w:rPr>
              <w:t>Ⅱ类项目</w:t>
            </w:r>
          </w:p>
        </w:tc>
        <w:tc>
          <w:tcPr>
            <w:tcW w:w="1031" w:type="pct"/>
            <w:vAlign w:val="center"/>
          </w:tcPr>
          <w:p w14:paraId="733FFBDC">
            <w:pPr>
              <w:pStyle w:val="133"/>
              <w:rPr>
                <w:b/>
                <w:bCs/>
              </w:rPr>
            </w:pPr>
            <w:r>
              <w:rPr>
                <w:rFonts w:hint="eastAsia"/>
                <w:b/>
                <w:bCs/>
              </w:rPr>
              <w:t>Ⅲ类项目</w:t>
            </w:r>
          </w:p>
        </w:tc>
      </w:tr>
      <w:tr w14:paraId="56BBE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5" w:type="pct"/>
            <w:vAlign w:val="center"/>
          </w:tcPr>
          <w:p w14:paraId="493FE97B">
            <w:pPr>
              <w:pStyle w:val="133"/>
            </w:pPr>
            <w:r>
              <w:rPr>
                <w:rFonts w:hint="eastAsia"/>
              </w:rPr>
              <w:t>敏感</w:t>
            </w:r>
          </w:p>
        </w:tc>
        <w:tc>
          <w:tcPr>
            <w:tcW w:w="1164" w:type="pct"/>
            <w:vAlign w:val="center"/>
          </w:tcPr>
          <w:p w14:paraId="33ECE0F0">
            <w:pPr>
              <w:pStyle w:val="133"/>
            </w:pPr>
            <w:r>
              <w:rPr>
                <w:rFonts w:hint="eastAsia"/>
              </w:rPr>
              <w:t>一</w:t>
            </w:r>
          </w:p>
        </w:tc>
        <w:tc>
          <w:tcPr>
            <w:tcW w:w="1080" w:type="pct"/>
            <w:vAlign w:val="center"/>
          </w:tcPr>
          <w:p w14:paraId="217E1515">
            <w:pPr>
              <w:pStyle w:val="133"/>
            </w:pPr>
            <w:r>
              <w:rPr>
                <w:rFonts w:hint="eastAsia"/>
              </w:rPr>
              <w:t>一</w:t>
            </w:r>
          </w:p>
        </w:tc>
        <w:tc>
          <w:tcPr>
            <w:tcW w:w="1031" w:type="pct"/>
            <w:vAlign w:val="center"/>
          </w:tcPr>
          <w:p w14:paraId="7CFB7B73">
            <w:pPr>
              <w:pStyle w:val="133"/>
            </w:pPr>
            <w:r>
              <w:rPr>
                <w:rFonts w:hint="eastAsia"/>
              </w:rPr>
              <w:t>二</w:t>
            </w:r>
          </w:p>
        </w:tc>
      </w:tr>
      <w:tr w14:paraId="5286DF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5" w:type="pct"/>
            <w:vAlign w:val="center"/>
          </w:tcPr>
          <w:p w14:paraId="0285CD1C">
            <w:pPr>
              <w:pStyle w:val="133"/>
            </w:pPr>
            <w:r>
              <w:rPr>
                <w:rFonts w:hint="eastAsia"/>
              </w:rPr>
              <w:t>较敏感</w:t>
            </w:r>
          </w:p>
        </w:tc>
        <w:tc>
          <w:tcPr>
            <w:tcW w:w="1164" w:type="pct"/>
            <w:vAlign w:val="center"/>
          </w:tcPr>
          <w:p w14:paraId="621A59C7">
            <w:pPr>
              <w:pStyle w:val="133"/>
            </w:pPr>
            <w:r>
              <w:rPr>
                <w:rFonts w:hint="eastAsia"/>
              </w:rPr>
              <w:t>一</w:t>
            </w:r>
          </w:p>
        </w:tc>
        <w:tc>
          <w:tcPr>
            <w:tcW w:w="1080" w:type="pct"/>
            <w:vAlign w:val="center"/>
          </w:tcPr>
          <w:p w14:paraId="27F30063">
            <w:pPr>
              <w:pStyle w:val="133"/>
            </w:pPr>
            <w:r>
              <w:rPr>
                <w:rFonts w:hint="eastAsia"/>
              </w:rPr>
              <w:t>二</w:t>
            </w:r>
          </w:p>
        </w:tc>
        <w:tc>
          <w:tcPr>
            <w:tcW w:w="1031" w:type="pct"/>
            <w:vAlign w:val="center"/>
          </w:tcPr>
          <w:p w14:paraId="30629F52">
            <w:pPr>
              <w:pStyle w:val="133"/>
            </w:pPr>
            <w:r>
              <w:rPr>
                <w:rFonts w:hint="eastAsia"/>
              </w:rPr>
              <w:t>三</w:t>
            </w:r>
          </w:p>
        </w:tc>
      </w:tr>
      <w:tr w14:paraId="4C7E71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25" w:type="pct"/>
            <w:vAlign w:val="center"/>
          </w:tcPr>
          <w:p w14:paraId="1B4AABAC">
            <w:pPr>
              <w:pStyle w:val="133"/>
            </w:pPr>
            <w:r>
              <w:rPr>
                <w:rFonts w:hint="eastAsia"/>
              </w:rPr>
              <w:t>不敏感</w:t>
            </w:r>
          </w:p>
        </w:tc>
        <w:tc>
          <w:tcPr>
            <w:tcW w:w="1164" w:type="pct"/>
            <w:vAlign w:val="center"/>
          </w:tcPr>
          <w:p w14:paraId="1AA8AE04">
            <w:pPr>
              <w:pStyle w:val="133"/>
            </w:pPr>
            <w:r>
              <w:rPr>
                <w:rFonts w:hint="eastAsia"/>
              </w:rPr>
              <w:t>二</w:t>
            </w:r>
          </w:p>
        </w:tc>
        <w:tc>
          <w:tcPr>
            <w:tcW w:w="1080" w:type="pct"/>
            <w:vAlign w:val="center"/>
          </w:tcPr>
          <w:p w14:paraId="5428A2B3">
            <w:pPr>
              <w:pStyle w:val="133"/>
            </w:pPr>
            <w:r>
              <w:rPr>
                <w:rFonts w:hint="eastAsia"/>
              </w:rPr>
              <w:t>三</w:t>
            </w:r>
          </w:p>
        </w:tc>
        <w:tc>
          <w:tcPr>
            <w:tcW w:w="1031" w:type="pct"/>
            <w:vAlign w:val="center"/>
          </w:tcPr>
          <w:p w14:paraId="35F67F4D">
            <w:pPr>
              <w:pStyle w:val="133"/>
            </w:pPr>
            <w:r>
              <w:rPr>
                <w:rFonts w:hint="eastAsia"/>
              </w:rPr>
              <w:t>三</w:t>
            </w:r>
          </w:p>
        </w:tc>
      </w:tr>
    </w:tbl>
    <w:p w14:paraId="29D09039">
      <w:pPr>
        <w:pStyle w:val="133"/>
      </w:pPr>
    </w:p>
    <w:p w14:paraId="4139A975">
      <w:pPr>
        <w:pStyle w:val="5"/>
      </w:pPr>
      <w:r>
        <w:rPr>
          <w:rFonts w:hint="eastAsia"/>
        </w:rPr>
        <w:t>声环境</w:t>
      </w:r>
    </w:p>
    <w:p w14:paraId="5C26C3AC">
      <w:pPr>
        <w:widowControl/>
        <w:spacing w:after="156"/>
        <w:ind w:firstLine="480"/>
      </w:pPr>
      <w:r>
        <w:rPr>
          <w:rFonts w:hAnsi="宋体"/>
        </w:rPr>
        <w:t>项目位于工业园区</w:t>
      </w:r>
      <w:r>
        <w:rPr>
          <w:rFonts w:hAnsi="宋体"/>
          <w:szCs w:val="21"/>
        </w:rPr>
        <w:t>内</w:t>
      </w:r>
      <w:r>
        <w:rPr>
          <w:rFonts w:hAnsi="宋体"/>
        </w:rPr>
        <w:t>，声环境功能区属于</w:t>
      </w:r>
      <w:r>
        <w:t>3</w:t>
      </w:r>
      <w:r>
        <w:rPr>
          <w:rFonts w:hAnsi="宋体"/>
        </w:rPr>
        <w:t>类区。根据《环境影响评价技术导则</w:t>
      </w:r>
      <w:r>
        <w:rPr>
          <w:rFonts w:hint="eastAsia" w:hAnsi="宋体"/>
        </w:rPr>
        <w:t xml:space="preserve"> </w:t>
      </w:r>
      <w:r>
        <w:rPr>
          <w:rFonts w:hAnsi="宋体"/>
        </w:rPr>
        <w:t>声环境》</w:t>
      </w:r>
      <w:r>
        <w:rPr>
          <w:rFonts w:hint="eastAsia" w:hAnsi="宋体"/>
        </w:rPr>
        <w:t>（</w:t>
      </w:r>
      <w:r>
        <w:t>HJ2.4-2021</w:t>
      </w:r>
      <w:r>
        <w:rPr>
          <w:rFonts w:hint="eastAsia" w:hAnsi="宋体"/>
        </w:rPr>
        <w:t>）</w:t>
      </w:r>
      <w:r>
        <w:rPr>
          <w:rFonts w:hAnsi="宋体"/>
        </w:rPr>
        <w:t>，项目建设前后噪声值变化较小且厂址附近</w:t>
      </w:r>
      <w:r>
        <w:rPr>
          <w:rFonts w:hint="eastAsia" w:hAnsi="宋体"/>
        </w:rPr>
        <w:t>2</w:t>
      </w:r>
      <w:r>
        <w:rPr>
          <w:rFonts w:hAnsi="宋体"/>
        </w:rPr>
        <w:t>00</w:t>
      </w:r>
      <w:r>
        <w:rPr>
          <w:rFonts w:hint="eastAsia" w:hAnsi="宋体"/>
        </w:rPr>
        <w:t>m范围内</w:t>
      </w:r>
      <w:r>
        <w:rPr>
          <w:rFonts w:hAnsi="宋体"/>
        </w:rPr>
        <w:t>没有声环境敏感目标，受影响人口数量基本不发生变化，因此本项目声环境评价等级定为三级</w:t>
      </w:r>
      <w:r>
        <w:rPr>
          <w:rFonts w:hint="eastAsia" w:hAnsi="宋体"/>
        </w:rPr>
        <w:t>，噪声评价</w:t>
      </w:r>
      <w:r>
        <w:rPr>
          <w:rFonts w:hAnsi="宋体"/>
        </w:rPr>
        <w:t>范围为厂界</w:t>
      </w:r>
      <w:r>
        <w:rPr>
          <w:rFonts w:hint="eastAsia" w:hAnsi="宋体"/>
        </w:rPr>
        <w:t>200m范围内</w:t>
      </w:r>
      <w:r>
        <w:rPr>
          <w:rFonts w:hAnsi="宋体"/>
        </w:rPr>
        <w:t>。环境噪声影响评价工作等级判定依据</w:t>
      </w:r>
      <w:r>
        <w:rPr>
          <w:rFonts w:hint="eastAsia" w:hAnsi="宋体"/>
        </w:rPr>
        <w:t>，</w:t>
      </w:r>
      <w:r>
        <w:rPr>
          <w:rFonts w:hAnsi="宋体"/>
        </w:rPr>
        <w:t>见表</w:t>
      </w:r>
      <w:r>
        <w:t>1.</w:t>
      </w:r>
      <w:r>
        <w:rPr>
          <w:rFonts w:hint="eastAsia"/>
        </w:rPr>
        <w:t>4</w:t>
      </w:r>
      <w:r>
        <w:t>-9</w:t>
      </w:r>
      <w:r>
        <w:rPr>
          <w:rFonts w:hAnsi="宋体"/>
        </w:rPr>
        <w:t>。</w:t>
      </w:r>
    </w:p>
    <w:p w14:paraId="562D72FA">
      <w:pPr>
        <w:pStyle w:val="118"/>
      </w:pPr>
      <w:r>
        <w:t>表1.4-9    环境噪声影响评价工作等级判定依据表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491"/>
        <w:gridCol w:w="1508"/>
        <w:gridCol w:w="3264"/>
        <w:gridCol w:w="2099"/>
      </w:tblGrid>
      <w:tr w14:paraId="46A29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875" w:type="pct"/>
            <w:vAlign w:val="center"/>
          </w:tcPr>
          <w:p w14:paraId="28A0C454">
            <w:pPr>
              <w:pStyle w:val="133"/>
              <w:rPr>
                <w:b/>
                <w:bCs/>
              </w:rPr>
            </w:pPr>
            <w:r>
              <w:rPr>
                <w:b/>
                <w:bCs/>
              </w:rPr>
              <w:t>判别依据</w:t>
            </w:r>
          </w:p>
        </w:tc>
        <w:tc>
          <w:tcPr>
            <w:tcW w:w="885" w:type="pct"/>
            <w:vAlign w:val="center"/>
          </w:tcPr>
          <w:p w14:paraId="3A988662">
            <w:pPr>
              <w:pStyle w:val="133"/>
              <w:rPr>
                <w:b/>
                <w:bCs/>
              </w:rPr>
            </w:pPr>
            <w:r>
              <w:rPr>
                <w:b/>
                <w:bCs/>
              </w:rPr>
              <w:t>声环境功能区类别</w:t>
            </w:r>
          </w:p>
        </w:tc>
        <w:tc>
          <w:tcPr>
            <w:tcW w:w="1915" w:type="pct"/>
            <w:vAlign w:val="center"/>
          </w:tcPr>
          <w:p w14:paraId="08683C77">
            <w:pPr>
              <w:pStyle w:val="133"/>
              <w:rPr>
                <w:b/>
                <w:bCs/>
              </w:rPr>
            </w:pPr>
            <w:r>
              <w:rPr>
                <w:b/>
                <w:bCs/>
              </w:rPr>
              <w:t>项目建设前后评价范围内</w:t>
            </w:r>
          </w:p>
          <w:p w14:paraId="21E4530F">
            <w:pPr>
              <w:pStyle w:val="133"/>
              <w:rPr>
                <w:b/>
                <w:bCs/>
              </w:rPr>
            </w:pPr>
            <w:r>
              <w:rPr>
                <w:rFonts w:hint="eastAsia"/>
                <w:b/>
                <w:bCs/>
              </w:rPr>
              <w:t>声环境</w:t>
            </w:r>
            <w:r>
              <w:rPr>
                <w:b/>
                <w:bCs/>
              </w:rPr>
              <w:t>保护目标噪声级增量</w:t>
            </w:r>
          </w:p>
        </w:tc>
        <w:tc>
          <w:tcPr>
            <w:tcW w:w="1231" w:type="pct"/>
            <w:vAlign w:val="center"/>
          </w:tcPr>
          <w:p w14:paraId="4F533845">
            <w:pPr>
              <w:pStyle w:val="133"/>
              <w:rPr>
                <w:b/>
                <w:bCs/>
              </w:rPr>
            </w:pPr>
            <w:r>
              <w:rPr>
                <w:b/>
                <w:bCs/>
              </w:rPr>
              <w:t>受噪声影响人口数量</w:t>
            </w:r>
          </w:p>
        </w:tc>
      </w:tr>
      <w:tr w14:paraId="7BF62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875" w:type="pct"/>
            <w:vAlign w:val="center"/>
          </w:tcPr>
          <w:p w14:paraId="667066AC">
            <w:pPr>
              <w:pStyle w:val="133"/>
            </w:pPr>
            <w:r>
              <w:t>三级评价</w:t>
            </w:r>
          </w:p>
        </w:tc>
        <w:tc>
          <w:tcPr>
            <w:tcW w:w="885" w:type="pct"/>
            <w:vAlign w:val="center"/>
          </w:tcPr>
          <w:p w14:paraId="011FC75B">
            <w:pPr>
              <w:pStyle w:val="133"/>
            </w:pPr>
            <w:r>
              <w:t>3类区</w:t>
            </w:r>
          </w:p>
        </w:tc>
        <w:tc>
          <w:tcPr>
            <w:tcW w:w="1915" w:type="pct"/>
            <w:vAlign w:val="center"/>
          </w:tcPr>
          <w:p w14:paraId="3B2F8CA1">
            <w:pPr>
              <w:pStyle w:val="133"/>
            </w:pPr>
            <w:r>
              <w:t>3dB</w:t>
            </w:r>
            <w:r>
              <w:rPr>
                <w:rFonts w:hint="eastAsia"/>
              </w:rPr>
              <w:t>（</w:t>
            </w:r>
            <w:r>
              <w:t>A</w:t>
            </w:r>
            <w:r>
              <w:rPr>
                <w:rFonts w:hint="eastAsia"/>
              </w:rPr>
              <w:t>）以下（不含</w:t>
            </w:r>
            <w:r>
              <w:t>3dB</w:t>
            </w:r>
            <w:r>
              <w:rPr>
                <w:rFonts w:hint="eastAsia"/>
              </w:rPr>
              <w:t>（</w:t>
            </w:r>
            <w:r>
              <w:t>A</w:t>
            </w:r>
            <w:r>
              <w:rPr>
                <w:rFonts w:hint="eastAsia"/>
              </w:rPr>
              <w:t>））</w:t>
            </w:r>
          </w:p>
        </w:tc>
        <w:tc>
          <w:tcPr>
            <w:tcW w:w="1231" w:type="pct"/>
            <w:vAlign w:val="center"/>
          </w:tcPr>
          <w:p w14:paraId="2A32DA87">
            <w:pPr>
              <w:pStyle w:val="133"/>
            </w:pPr>
            <w:r>
              <w:t>变化不大</w:t>
            </w:r>
          </w:p>
        </w:tc>
      </w:tr>
      <w:tr w14:paraId="1AD2D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875" w:type="pct"/>
            <w:vAlign w:val="center"/>
          </w:tcPr>
          <w:p w14:paraId="2DC5CEEB">
            <w:pPr>
              <w:pStyle w:val="133"/>
            </w:pPr>
            <w:r>
              <w:t>本工程</w:t>
            </w:r>
          </w:p>
        </w:tc>
        <w:tc>
          <w:tcPr>
            <w:tcW w:w="885" w:type="pct"/>
            <w:vAlign w:val="center"/>
          </w:tcPr>
          <w:p w14:paraId="189FE005">
            <w:pPr>
              <w:pStyle w:val="133"/>
            </w:pPr>
            <w:r>
              <w:t>3类区</w:t>
            </w:r>
          </w:p>
        </w:tc>
        <w:tc>
          <w:tcPr>
            <w:tcW w:w="1915" w:type="pct"/>
            <w:vAlign w:val="center"/>
          </w:tcPr>
          <w:p w14:paraId="4861E0B4">
            <w:pPr>
              <w:pStyle w:val="133"/>
            </w:pPr>
            <w:r>
              <w:t>小于3dB（A）</w:t>
            </w:r>
          </w:p>
        </w:tc>
        <w:tc>
          <w:tcPr>
            <w:tcW w:w="1231" w:type="pct"/>
            <w:vAlign w:val="center"/>
          </w:tcPr>
          <w:p w14:paraId="6DF63EC4">
            <w:pPr>
              <w:pStyle w:val="133"/>
            </w:pPr>
            <w:r>
              <w:t>变化不大</w:t>
            </w:r>
          </w:p>
        </w:tc>
      </w:tr>
      <w:tr w14:paraId="7E92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875" w:type="pct"/>
            <w:vAlign w:val="center"/>
          </w:tcPr>
          <w:p w14:paraId="2656085D">
            <w:pPr>
              <w:pStyle w:val="133"/>
              <w:rPr>
                <w:b/>
              </w:rPr>
            </w:pPr>
            <w:r>
              <w:t>评价等级</w:t>
            </w:r>
          </w:p>
        </w:tc>
        <w:tc>
          <w:tcPr>
            <w:tcW w:w="4031" w:type="pct"/>
            <w:gridSpan w:val="3"/>
            <w:vAlign w:val="center"/>
          </w:tcPr>
          <w:p w14:paraId="4D8B92FA">
            <w:pPr>
              <w:pStyle w:val="133"/>
            </w:pPr>
            <w:r>
              <w:t>三级评价</w:t>
            </w:r>
          </w:p>
        </w:tc>
      </w:tr>
    </w:tbl>
    <w:p w14:paraId="5286F637">
      <w:pPr>
        <w:pStyle w:val="133"/>
      </w:pPr>
    </w:p>
    <w:p w14:paraId="1EA090CC">
      <w:pPr>
        <w:pStyle w:val="5"/>
      </w:pPr>
      <w:r>
        <w:rPr>
          <w:rFonts w:hint="eastAsia"/>
        </w:rPr>
        <w:t>土壤环境</w:t>
      </w:r>
    </w:p>
    <w:p w14:paraId="10DF9C68">
      <w:pPr>
        <w:pStyle w:val="117"/>
        <w:ind w:firstLine="480"/>
      </w:pPr>
      <w:r>
        <w:rPr>
          <w:rFonts w:hint="eastAsia"/>
        </w:rPr>
        <w:t>本项目为镁合金产业循环经济建设技改提升项目，属于污染影响型，根据《环境影响评价技术导则 土壤环境（试行）》（HJ964-2018）附录A（见表1.4-</w:t>
      </w:r>
      <w:r>
        <w:t>10</w:t>
      </w:r>
      <w:r>
        <w:rPr>
          <w:rFonts w:hint="eastAsia"/>
        </w:rPr>
        <w:t>），本项目涉及“石油、化工”中“炼焦”和“金属冶炼和压延加工及非金属矿物”中“其他”行业，分别为</w:t>
      </w:r>
      <w:r>
        <w:rPr>
          <w:rFonts w:cs="Times New Roman"/>
        </w:rPr>
        <w:t>Ⅰ</w:t>
      </w:r>
      <w:r>
        <w:rPr>
          <w:rFonts w:hint="eastAsia"/>
        </w:rPr>
        <w:t>和Ⅲ类项目。根据《环境影响评价技术导则 土壤环境（试行）》（HJ964-2018）污染影响型敏感程度分级表（见表1.4-1</w:t>
      </w:r>
      <w:r>
        <w:t>1</w:t>
      </w:r>
      <w:r>
        <w:rPr>
          <w:rFonts w:hint="eastAsia"/>
        </w:rPr>
        <w:t>），项目厂址周边不存在园地、牧草地、饮用水水源地或居民区、学校、医院、疗养院、养老院等土壤环境敏感目标，确定项目所在区域的环境敏感程度为不敏感。本项目为镁合金产业循环经济建设技改提升项目，新增及现有工程总占地67.99hm</w:t>
      </w:r>
      <w:r>
        <w:rPr>
          <w:rFonts w:hint="eastAsia"/>
          <w:vertAlign w:val="superscript"/>
        </w:rPr>
        <w:t>2</w:t>
      </w:r>
      <w:r>
        <w:rPr>
          <w:rFonts w:hint="eastAsia"/>
        </w:rPr>
        <w:t>，占地规模为大型。</w:t>
      </w:r>
    </w:p>
    <w:p w14:paraId="6D800165">
      <w:pPr>
        <w:pStyle w:val="118"/>
        <w:rPr>
          <w:color w:val="auto"/>
        </w:rPr>
      </w:pPr>
      <w:r>
        <w:rPr>
          <w:rFonts w:hint="eastAsia"/>
          <w:color w:val="auto"/>
        </w:rPr>
        <w:t>表1.4-</w:t>
      </w:r>
      <w:r>
        <w:rPr>
          <w:color w:val="auto"/>
        </w:rPr>
        <w:t>10</w:t>
      </w:r>
      <w:r>
        <w:rPr>
          <w:rFonts w:hint="eastAsia"/>
          <w:color w:val="auto"/>
        </w:rPr>
        <w:t xml:space="preserve">  土壤环境影响评价行业分类表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18"/>
        <w:gridCol w:w="2111"/>
        <w:gridCol w:w="2268"/>
        <w:gridCol w:w="1559"/>
        <w:gridCol w:w="1433"/>
      </w:tblGrid>
      <w:tr w14:paraId="44F956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807" w:type="pct"/>
            <w:vMerge w:val="restart"/>
            <w:vAlign w:val="center"/>
          </w:tcPr>
          <w:p w14:paraId="62C261B2">
            <w:pPr>
              <w:pStyle w:val="133"/>
              <w:rPr>
                <w:rFonts w:cs="Times New Roman"/>
                <w:b/>
                <w:bCs/>
              </w:rPr>
            </w:pPr>
            <w:r>
              <w:rPr>
                <w:rFonts w:cs="Times New Roman"/>
                <w:b/>
                <w:bCs/>
              </w:rPr>
              <w:t>行业类别</w:t>
            </w:r>
          </w:p>
        </w:tc>
        <w:tc>
          <w:tcPr>
            <w:tcW w:w="4193" w:type="pct"/>
            <w:gridSpan w:val="4"/>
            <w:vAlign w:val="center"/>
          </w:tcPr>
          <w:p w14:paraId="562AD9FB">
            <w:pPr>
              <w:pStyle w:val="133"/>
              <w:rPr>
                <w:rFonts w:cs="Times New Roman"/>
                <w:b/>
                <w:bCs/>
              </w:rPr>
            </w:pPr>
            <w:r>
              <w:rPr>
                <w:rFonts w:cs="Times New Roman"/>
                <w:b/>
                <w:bCs/>
              </w:rPr>
              <w:t>项目类别</w:t>
            </w:r>
          </w:p>
        </w:tc>
      </w:tr>
      <w:tr w14:paraId="6BEC14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807" w:type="pct"/>
            <w:vMerge w:val="continue"/>
            <w:vAlign w:val="center"/>
          </w:tcPr>
          <w:p w14:paraId="2C81615C">
            <w:pPr>
              <w:pStyle w:val="133"/>
              <w:rPr>
                <w:rFonts w:cs="Times New Roman"/>
                <w:b/>
                <w:bCs/>
              </w:rPr>
            </w:pPr>
          </w:p>
        </w:tc>
        <w:tc>
          <w:tcPr>
            <w:tcW w:w="1201" w:type="pct"/>
            <w:vAlign w:val="center"/>
          </w:tcPr>
          <w:p w14:paraId="7A80D1F2">
            <w:pPr>
              <w:pStyle w:val="133"/>
              <w:rPr>
                <w:rFonts w:cs="Times New Roman"/>
                <w:b/>
                <w:bCs/>
              </w:rPr>
            </w:pPr>
            <w:r>
              <w:rPr>
                <w:rFonts w:cs="Times New Roman"/>
                <w:b/>
                <w:bCs/>
              </w:rPr>
              <w:t>Ⅰ类</w:t>
            </w:r>
          </w:p>
        </w:tc>
        <w:tc>
          <w:tcPr>
            <w:tcW w:w="1290" w:type="pct"/>
            <w:vAlign w:val="center"/>
          </w:tcPr>
          <w:p w14:paraId="3B0334B7">
            <w:pPr>
              <w:pStyle w:val="133"/>
              <w:rPr>
                <w:rFonts w:cs="Times New Roman"/>
                <w:b/>
                <w:bCs/>
              </w:rPr>
            </w:pPr>
            <w:r>
              <w:rPr>
                <w:rFonts w:cs="Times New Roman"/>
                <w:b/>
                <w:bCs/>
              </w:rPr>
              <w:t>Ⅱ类</w:t>
            </w:r>
          </w:p>
        </w:tc>
        <w:tc>
          <w:tcPr>
            <w:tcW w:w="887" w:type="pct"/>
            <w:vAlign w:val="center"/>
          </w:tcPr>
          <w:p w14:paraId="050A1771">
            <w:pPr>
              <w:pStyle w:val="133"/>
              <w:rPr>
                <w:rFonts w:cs="Times New Roman"/>
                <w:b/>
                <w:bCs/>
              </w:rPr>
            </w:pPr>
            <w:r>
              <w:rPr>
                <w:rFonts w:cs="Times New Roman"/>
                <w:b/>
                <w:bCs/>
              </w:rPr>
              <w:t>Ⅲ类</w:t>
            </w:r>
          </w:p>
        </w:tc>
        <w:tc>
          <w:tcPr>
            <w:tcW w:w="815" w:type="pct"/>
            <w:vAlign w:val="center"/>
          </w:tcPr>
          <w:p w14:paraId="6F31FE0C">
            <w:pPr>
              <w:pStyle w:val="133"/>
              <w:rPr>
                <w:rFonts w:cs="Times New Roman"/>
                <w:b/>
                <w:bCs/>
              </w:rPr>
            </w:pPr>
            <w:r>
              <w:rPr>
                <w:rFonts w:cs="Times New Roman"/>
                <w:b/>
                <w:bCs/>
              </w:rPr>
              <w:t>Ⅳ类</w:t>
            </w:r>
          </w:p>
        </w:tc>
      </w:tr>
      <w:tr w14:paraId="253B7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7" w:type="pct"/>
            <w:vAlign w:val="center"/>
          </w:tcPr>
          <w:p w14:paraId="5AE72C2E">
            <w:pPr>
              <w:pStyle w:val="133"/>
            </w:pPr>
            <w:r>
              <w:rPr>
                <w:rFonts w:hint="eastAsia"/>
              </w:rPr>
              <w:t>金属冶炼和压延加工及非金属矿物制品</w:t>
            </w:r>
          </w:p>
        </w:tc>
        <w:tc>
          <w:tcPr>
            <w:tcW w:w="1201" w:type="pct"/>
            <w:vAlign w:val="center"/>
          </w:tcPr>
          <w:p w14:paraId="7196B899">
            <w:pPr>
              <w:pStyle w:val="133"/>
            </w:pPr>
            <w:r>
              <w:rPr>
                <w:rFonts w:hint="eastAsia"/>
              </w:rPr>
              <w:t>有色金属冶炼（含再生有色金属冶炼）</w:t>
            </w:r>
          </w:p>
        </w:tc>
        <w:tc>
          <w:tcPr>
            <w:tcW w:w="1290" w:type="pct"/>
            <w:vAlign w:val="center"/>
          </w:tcPr>
          <w:p w14:paraId="3E34C842">
            <w:pPr>
              <w:pStyle w:val="133"/>
            </w:pPr>
            <w:r>
              <w:rPr>
                <w:rFonts w:hint="eastAsia"/>
              </w:rPr>
              <w:t>有色金属铸造及合金制造；炼铁；球团；烧结炼钢；冷轧压延加工；铬铁合金制造；水泥制造；平板玻璃制造；石棉制品；含焙烧的石墨、炭素制品</w:t>
            </w:r>
          </w:p>
        </w:tc>
        <w:tc>
          <w:tcPr>
            <w:tcW w:w="887" w:type="pct"/>
            <w:vAlign w:val="center"/>
          </w:tcPr>
          <w:p w14:paraId="09F35D6D">
            <w:pPr>
              <w:pStyle w:val="133"/>
            </w:pPr>
            <w:r>
              <w:rPr>
                <w:rFonts w:hint="eastAsia"/>
              </w:rPr>
              <w:t>其他</w:t>
            </w:r>
          </w:p>
        </w:tc>
        <w:tc>
          <w:tcPr>
            <w:tcW w:w="815" w:type="pct"/>
            <w:vAlign w:val="center"/>
          </w:tcPr>
          <w:p w14:paraId="5853E315">
            <w:pPr>
              <w:pStyle w:val="133"/>
            </w:pPr>
            <w:r>
              <w:rPr>
                <w:rFonts w:hint="eastAsia"/>
              </w:rPr>
              <w:t>-</w:t>
            </w:r>
          </w:p>
        </w:tc>
      </w:tr>
      <w:tr w14:paraId="20CC43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07" w:type="pct"/>
            <w:vAlign w:val="center"/>
          </w:tcPr>
          <w:p w14:paraId="755969F8">
            <w:pPr>
              <w:pStyle w:val="133"/>
            </w:pPr>
            <w:r>
              <w:rPr>
                <w:rFonts w:hint="eastAsia"/>
              </w:rPr>
              <w:t>石油、化工</w:t>
            </w:r>
          </w:p>
        </w:tc>
        <w:tc>
          <w:tcPr>
            <w:tcW w:w="1201" w:type="pct"/>
            <w:vAlign w:val="center"/>
          </w:tcPr>
          <w:p w14:paraId="02434C01">
            <w:pPr>
              <w:pStyle w:val="133"/>
            </w:pPr>
            <w:r>
              <w:rPr>
                <w:rFonts w:hint="eastAsia"/>
              </w:rPr>
              <w:t>石油加工、炼焦；化学原料和化学制品制造；农药制造；涂料、染料、颜料、油墨及其类似产品制造；合成材料制造；炸药、火工及焰火产品制造；水处理剂等制造；化学药品制造；生物、生化制品制造</w:t>
            </w:r>
          </w:p>
        </w:tc>
        <w:tc>
          <w:tcPr>
            <w:tcW w:w="1290" w:type="pct"/>
            <w:vAlign w:val="center"/>
          </w:tcPr>
          <w:p w14:paraId="6AC76E0B">
            <w:pPr>
              <w:pStyle w:val="133"/>
            </w:pPr>
            <w:r>
              <w:rPr>
                <w:rFonts w:hint="eastAsia"/>
              </w:rPr>
              <w:t>半导体材料、日用化学品制造；化学肥料制造</w:t>
            </w:r>
          </w:p>
        </w:tc>
        <w:tc>
          <w:tcPr>
            <w:tcW w:w="887" w:type="pct"/>
            <w:vAlign w:val="center"/>
          </w:tcPr>
          <w:p w14:paraId="7FD5983A">
            <w:pPr>
              <w:pStyle w:val="133"/>
            </w:pPr>
            <w:r>
              <w:rPr>
                <w:rFonts w:hint="eastAsia"/>
              </w:rPr>
              <w:t>-</w:t>
            </w:r>
          </w:p>
        </w:tc>
        <w:tc>
          <w:tcPr>
            <w:tcW w:w="815" w:type="pct"/>
            <w:vAlign w:val="center"/>
          </w:tcPr>
          <w:p w14:paraId="403DE022">
            <w:pPr>
              <w:pStyle w:val="133"/>
            </w:pPr>
            <w:r>
              <w:rPr>
                <w:rFonts w:hint="eastAsia"/>
              </w:rPr>
              <w:t>-</w:t>
            </w:r>
          </w:p>
        </w:tc>
      </w:tr>
    </w:tbl>
    <w:p w14:paraId="5757CC0B">
      <w:pPr>
        <w:pStyle w:val="133"/>
      </w:pPr>
    </w:p>
    <w:p w14:paraId="5E3BAB1E">
      <w:pPr>
        <w:pStyle w:val="118"/>
        <w:rPr>
          <w:color w:val="auto"/>
        </w:rPr>
      </w:pPr>
      <w:r>
        <w:rPr>
          <w:rFonts w:hint="eastAsia"/>
          <w:color w:val="auto"/>
        </w:rPr>
        <w:t>表1.4-1</w:t>
      </w:r>
      <w:r>
        <w:rPr>
          <w:color w:val="auto"/>
        </w:rPr>
        <w:t>1</w:t>
      </w:r>
      <w:r>
        <w:rPr>
          <w:rFonts w:hint="eastAsia"/>
          <w:color w:val="auto"/>
        </w:rPr>
        <w:t xml:space="preserve">  污染影响型</w:t>
      </w:r>
      <w:r>
        <w:rPr>
          <w:color w:val="auto"/>
        </w:rPr>
        <w:t>环境敏感程度分级</w:t>
      </w:r>
      <w:r>
        <w:rPr>
          <w:rFonts w:hint="eastAsia"/>
          <w:color w:val="auto"/>
        </w:rPr>
        <w:t>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18"/>
        <w:gridCol w:w="7771"/>
      </w:tblGrid>
      <w:tr w14:paraId="59486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79" w:type="pct"/>
            <w:vAlign w:val="center"/>
          </w:tcPr>
          <w:p w14:paraId="32209808">
            <w:pPr>
              <w:pStyle w:val="133"/>
              <w:rPr>
                <w:b/>
                <w:bCs/>
              </w:rPr>
            </w:pPr>
            <w:r>
              <w:rPr>
                <w:rFonts w:hint="eastAsia"/>
                <w:b/>
                <w:bCs/>
              </w:rPr>
              <w:t>敏感程度</w:t>
            </w:r>
          </w:p>
        </w:tc>
        <w:tc>
          <w:tcPr>
            <w:tcW w:w="4420" w:type="pct"/>
            <w:vAlign w:val="center"/>
          </w:tcPr>
          <w:p w14:paraId="27754798">
            <w:pPr>
              <w:pStyle w:val="133"/>
              <w:rPr>
                <w:b/>
                <w:bCs/>
              </w:rPr>
            </w:pPr>
            <w:r>
              <w:rPr>
                <w:rFonts w:hint="eastAsia"/>
                <w:b/>
                <w:bCs/>
              </w:rPr>
              <w:t>判别依据</w:t>
            </w:r>
          </w:p>
        </w:tc>
      </w:tr>
      <w:tr w14:paraId="60FA3F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79" w:type="pct"/>
            <w:vAlign w:val="center"/>
          </w:tcPr>
          <w:p w14:paraId="489D41AF">
            <w:pPr>
              <w:pStyle w:val="133"/>
            </w:pPr>
            <w:r>
              <w:rPr>
                <w:rFonts w:hint="eastAsia"/>
              </w:rPr>
              <w:t>敏感</w:t>
            </w:r>
          </w:p>
        </w:tc>
        <w:tc>
          <w:tcPr>
            <w:tcW w:w="4420" w:type="pct"/>
            <w:vAlign w:val="center"/>
          </w:tcPr>
          <w:p w14:paraId="53EDB309">
            <w:pPr>
              <w:pStyle w:val="133"/>
            </w:pPr>
            <w:r>
              <w:rPr>
                <w:rFonts w:hint="eastAsia"/>
              </w:rPr>
              <w:t>建设项目周边存在耕地、园地、牧草地、饮用水水源地或居民区、学校、疗养院、养老院等土壤环境敏感目标的</w:t>
            </w:r>
          </w:p>
        </w:tc>
      </w:tr>
      <w:tr w14:paraId="61996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79" w:type="pct"/>
            <w:vAlign w:val="center"/>
          </w:tcPr>
          <w:p w14:paraId="7B68CC45">
            <w:pPr>
              <w:pStyle w:val="133"/>
            </w:pPr>
            <w:r>
              <w:rPr>
                <w:rFonts w:hint="eastAsia"/>
              </w:rPr>
              <w:t>较敏感</w:t>
            </w:r>
          </w:p>
        </w:tc>
        <w:tc>
          <w:tcPr>
            <w:tcW w:w="4420" w:type="pct"/>
            <w:vAlign w:val="center"/>
          </w:tcPr>
          <w:p w14:paraId="7E7174C4">
            <w:pPr>
              <w:pStyle w:val="133"/>
            </w:pPr>
            <w:r>
              <w:rPr>
                <w:rFonts w:hint="eastAsia"/>
              </w:rPr>
              <w:t>建设项目周边存在其他土壤环境敏感目标的</w:t>
            </w:r>
          </w:p>
        </w:tc>
      </w:tr>
      <w:tr w14:paraId="7997BA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579" w:type="pct"/>
            <w:vAlign w:val="center"/>
          </w:tcPr>
          <w:p w14:paraId="560024CF">
            <w:pPr>
              <w:pStyle w:val="133"/>
            </w:pPr>
            <w:r>
              <w:rPr>
                <w:rFonts w:hint="eastAsia"/>
              </w:rPr>
              <w:t>不敏感</w:t>
            </w:r>
          </w:p>
        </w:tc>
        <w:tc>
          <w:tcPr>
            <w:tcW w:w="4420" w:type="pct"/>
            <w:vAlign w:val="center"/>
          </w:tcPr>
          <w:p w14:paraId="5E90F1C3">
            <w:pPr>
              <w:pStyle w:val="133"/>
            </w:pPr>
            <w:r>
              <w:rPr>
                <w:rFonts w:hint="eastAsia"/>
              </w:rPr>
              <w:t>其他情况</w:t>
            </w:r>
          </w:p>
        </w:tc>
      </w:tr>
    </w:tbl>
    <w:p w14:paraId="4CDAB995">
      <w:pPr>
        <w:pStyle w:val="133"/>
      </w:pPr>
    </w:p>
    <w:p w14:paraId="7E0E7758">
      <w:pPr>
        <w:pStyle w:val="117"/>
        <w:ind w:firstLine="480"/>
      </w:pPr>
      <w:r>
        <w:rPr>
          <w:rFonts w:hint="eastAsia"/>
        </w:rPr>
        <w:t>根据《环境影响评价技术导则 土壤环境（试行）》（HJ964-2018）污染影响型评价工作等级划分表（见表1.4-1</w:t>
      </w:r>
      <w:r>
        <w:t>2</w:t>
      </w:r>
      <w:r>
        <w:rPr>
          <w:rFonts w:hint="eastAsia"/>
        </w:rPr>
        <w:t>），本项目土壤环境影响评价工作等级为一级。</w:t>
      </w:r>
    </w:p>
    <w:p w14:paraId="0C057298">
      <w:pPr>
        <w:pStyle w:val="118"/>
        <w:rPr>
          <w:rStyle w:val="124"/>
          <w:b/>
          <w:color w:val="auto"/>
          <w:szCs w:val="28"/>
        </w:rPr>
      </w:pPr>
      <w:r>
        <w:rPr>
          <w:rStyle w:val="124"/>
          <w:rFonts w:hint="eastAsia"/>
          <w:b/>
          <w:color w:val="auto"/>
          <w:szCs w:val="28"/>
        </w:rPr>
        <w:t>表1.4-1</w:t>
      </w:r>
      <w:r>
        <w:rPr>
          <w:rStyle w:val="124"/>
          <w:b/>
          <w:color w:val="auto"/>
          <w:szCs w:val="28"/>
        </w:rPr>
        <w:t>2</w:t>
      </w:r>
      <w:r>
        <w:rPr>
          <w:rStyle w:val="124"/>
          <w:rFonts w:hint="eastAsia"/>
          <w:b/>
          <w:color w:val="auto"/>
          <w:szCs w:val="28"/>
        </w:rPr>
        <w:t xml:space="preserve">  评价工作等级分级表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570"/>
        <w:gridCol w:w="731"/>
        <w:gridCol w:w="686"/>
        <w:gridCol w:w="645"/>
        <w:gridCol w:w="746"/>
        <w:gridCol w:w="702"/>
        <w:gridCol w:w="681"/>
        <w:gridCol w:w="681"/>
        <w:gridCol w:w="656"/>
        <w:gridCol w:w="691"/>
      </w:tblGrid>
      <w:tr w14:paraId="21ADE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62" w:type="pct"/>
            <w:vMerge w:val="restart"/>
            <w:vAlign w:val="center"/>
          </w:tcPr>
          <w:p w14:paraId="4809DC01">
            <w:pPr>
              <w:pStyle w:val="133"/>
              <w:jc w:val="right"/>
              <w:rPr>
                <w:b/>
                <w:bCs/>
              </w:rPr>
            </w:pPr>
            <w:r>
              <w:rPr>
                <w:b/>
                <w:bCs/>
              </w:rPr>
              <mc:AlternateContent>
                <mc:Choice Requires="wps">
                  <w:drawing>
                    <wp:anchor distT="0" distB="0" distL="114300" distR="114300" simplePos="0" relativeHeight="251664384" behindDoc="0" locked="0" layoutInCell="1" allowOverlap="1">
                      <wp:simplePos x="0" y="0"/>
                      <wp:positionH relativeFrom="column">
                        <wp:posOffset>599440</wp:posOffset>
                      </wp:positionH>
                      <wp:positionV relativeFrom="paragraph">
                        <wp:posOffset>-13970</wp:posOffset>
                      </wp:positionV>
                      <wp:extent cx="952500" cy="619125"/>
                      <wp:effectExtent l="2540" t="3810" r="16510" b="5715"/>
                      <wp:wrapNone/>
                      <wp:docPr id="1035" name="直接连接符 5"/>
                      <wp:cNvGraphicFramePr/>
                      <a:graphic xmlns:a="http://schemas.openxmlformats.org/drawingml/2006/main">
                        <a:graphicData uri="http://schemas.microsoft.com/office/word/2010/wordprocessingShape">
                          <wps:wsp>
                            <wps:cNvCnPr/>
                            <wps:spPr>
                              <a:xfrm>
                                <a:off x="0" y="0"/>
                                <a:ext cx="952499" cy="61912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接连接符 5" o:spid="_x0000_s1026" o:spt="20" style="position:absolute;left:0pt;margin-left:47.2pt;margin-top:-1.1pt;height:48.75pt;width:75pt;z-index:251664384;mso-width-relative:page;mso-height-relative:page;" filled="f" stroked="t" coordsize="21600,21600" o:gfxdata="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apUbXWAAAACAEAAA8AAAAAAAAAAQAgAAAAIgAAAGRycy9kb3ducmV2Lnht&#10;bFBLAQIUABQAAAAIAIdO4kCMfLeM+wEAAPcDAAAOAAAAAAAAAAEAIAAAACUBAABkcnMvZTJvRG9j&#10;LnhtbFBLBQYAAAAABgAGAFkBAACSBQAAAAA=&#10;">
                      <v:fill on="f" focussize="0,0"/>
                      <v:stroke color="#000000" joinstyle="round"/>
                      <v:imagedata o:title=""/>
                      <o:lock v:ext="edit" aspectratio="f"/>
                    </v:line>
                  </w:pict>
                </mc:Fallback>
              </mc:AlternateContent>
            </w:r>
            <w:r>
              <w:rPr>
                <w:rFonts w:hint="eastAsia"/>
                <w:b/>
                <w:bCs/>
              </w:rPr>
              <w:t>占地规模</w:t>
            </w:r>
          </w:p>
          <w:p w14:paraId="3D49E157">
            <w:pPr>
              <w:pStyle w:val="133"/>
              <w:rPr>
                <w:b/>
                <w:bCs/>
              </w:rPr>
            </w:pPr>
            <w:r>
              <w:rPr>
                <w:b/>
                <w:bCs/>
              </w:rPr>
              <mc:AlternateContent>
                <mc:Choice Requires="wps">
                  <w:drawing>
                    <wp:anchor distT="0" distB="0" distL="114300" distR="114300" simplePos="0" relativeHeight="251667456" behindDoc="0" locked="0" layoutInCell="1" allowOverlap="1">
                      <wp:simplePos x="0" y="0"/>
                      <wp:positionH relativeFrom="column">
                        <wp:posOffset>-76835</wp:posOffset>
                      </wp:positionH>
                      <wp:positionV relativeFrom="paragraph">
                        <wp:posOffset>93345</wp:posOffset>
                      </wp:positionV>
                      <wp:extent cx="1628775" cy="304800"/>
                      <wp:effectExtent l="635" t="4445" r="8890" b="14605"/>
                      <wp:wrapNone/>
                      <wp:docPr id="1036" name="直接连接符 35"/>
                      <wp:cNvGraphicFramePr/>
                      <a:graphic xmlns:a="http://schemas.openxmlformats.org/drawingml/2006/main">
                        <a:graphicData uri="http://schemas.microsoft.com/office/word/2010/wordprocessingShape">
                          <wps:wsp>
                            <wps:cNvCnPr/>
                            <wps:spPr>
                              <a:xfrm flipH="1" flipV="1">
                                <a:off x="0" y="0"/>
                                <a:ext cx="1628775" cy="304800"/>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接连接符 35" o:spid="_x0000_s1026" o:spt="20" style="position:absolute;left:0pt;flip:x y;margin-left:-6.05pt;margin-top:7.35pt;height:24pt;width:128.25pt;z-index:251667456;mso-width-relative:page;mso-height-relative:page;" filled="f" stroked="t" coordsize="21600,21600" o:gfxdata="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8oTOHUAAAACQEAAA8AAAAAAAAAAQAgAAAAIgAA&#10;AGRycy9kb3ducmV2LnhtbFBLAQIUABQAAAAIAIdO4kALmaYUDAIAAA0EAAAOAAAAAAAAAAEAIAAA&#10;ACMBAABkcnMvZTJvRG9jLnhtbFBLBQYAAAAABgAGAFkBAAChBQAAAAA=&#10;">
                      <v:fill on="f" focussize="0,0"/>
                      <v:stroke color="#000000" joinstyle="round"/>
                      <v:imagedata o:title=""/>
                      <o:lock v:ext="edit" aspectratio="f"/>
                    </v:line>
                  </w:pict>
                </mc:Fallback>
              </mc:AlternateContent>
            </w:r>
            <w:r>
              <w:rPr>
                <w:rFonts w:hint="eastAsia"/>
                <w:b/>
                <w:bCs/>
              </w:rPr>
              <w:t>工作等级</w:t>
            </w:r>
          </w:p>
          <w:p w14:paraId="56568B50">
            <w:pPr>
              <w:pStyle w:val="133"/>
              <w:jc w:val="left"/>
              <w:rPr>
                <w:b/>
                <w:bCs/>
              </w:rPr>
            </w:pPr>
            <w:r>
              <w:rPr>
                <w:rFonts w:hint="eastAsia"/>
                <w:b/>
                <w:bCs/>
              </w:rPr>
              <w:t>敏感程度</w:t>
            </w:r>
          </w:p>
        </w:tc>
        <w:tc>
          <w:tcPr>
            <w:tcW w:w="1173" w:type="pct"/>
            <w:gridSpan w:val="3"/>
            <w:vAlign w:val="center"/>
          </w:tcPr>
          <w:p w14:paraId="512B6B8E">
            <w:pPr>
              <w:pStyle w:val="133"/>
              <w:rPr>
                <w:b/>
                <w:bCs/>
              </w:rPr>
            </w:pPr>
            <w:r>
              <w:rPr>
                <w:rFonts w:hint="eastAsia"/>
                <w:b/>
                <w:bCs/>
              </w:rPr>
              <w:t>Ⅰ类项目</w:t>
            </w:r>
          </w:p>
        </w:tc>
        <w:tc>
          <w:tcPr>
            <w:tcW w:w="1210" w:type="pct"/>
            <w:gridSpan w:val="3"/>
            <w:vAlign w:val="center"/>
          </w:tcPr>
          <w:p w14:paraId="09CA0B38">
            <w:pPr>
              <w:pStyle w:val="133"/>
              <w:rPr>
                <w:b/>
                <w:bCs/>
              </w:rPr>
            </w:pPr>
            <w:r>
              <w:rPr>
                <w:rFonts w:hint="eastAsia"/>
                <w:b/>
                <w:bCs/>
              </w:rPr>
              <w:t>Ⅱ类项目</w:t>
            </w:r>
          </w:p>
        </w:tc>
        <w:tc>
          <w:tcPr>
            <w:tcW w:w="1153" w:type="pct"/>
            <w:gridSpan w:val="3"/>
            <w:vAlign w:val="center"/>
          </w:tcPr>
          <w:p w14:paraId="271D14A6">
            <w:pPr>
              <w:pStyle w:val="133"/>
              <w:rPr>
                <w:b/>
                <w:bCs/>
              </w:rPr>
            </w:pPr>
            <w:r>
              <w:rPr>
                <w:rFonts w:hint="eastAsia"/>
                <w:b/>
                <w:bCs/>
              </w:rPr>
              <w:t>Ⅲ类项目</w:t>
            </w:r>
          </w:p>
        </w:tc>
      </w:tr>
      <w:tr w14:paraId="19801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62" w:type="pct"/>
            <w:vMerge w:val="continue"/>
            <w:vAlign w:val="center"/>
          </w:tcPr>
          <w:p w14:paraId="283882EE">
            <w:pPr>
              <w:pStyle w:val="133"/>
              <w:rPr>
                <w:b/>
                <w:bCs/>
              </w:rPr>
            </w:pPr>
          </w:p>
        </w:tc>
        <w:tc>
          <w:tcPr>
            <w:tcW w:w="416" w:type="pct"/>
            <w:vAlign w:val="center"/>
          </w:tcPr>
          <w:p w14:paraId="1B03A7D3">
            <w:pPr>
              <w:pStyle w:val="133"/>
              <w:rPr>
                <w:b/>
                <w:bCs/>
              </w:rPr>
            </w:pPr>
            <w:r>
              <w:rPr>
                <w:rFonts w:hint="eastAsia"/>
                <w:b/>
                <w:bCs/>
              </w:rPr>
              <w:t>大</w:t>
            </w:r>
          </w:p>
        </w:tc>
        <w:tc>
          <w:tcPr>
            <w:tcW w:w="390" w:type="pct"/>
            <w:vAlign w:val="center"/>
          </w:tcPr>
          <w:p w14:paraId="764A0870">
            <w:pPr>
              <w:pStyle w:val="133"/>
              <w:rPr>
                <w:b/>
                <w:bCs/>
              </w:rPr>
            </w:pPr>
            <w:r>
              <w:rPr>
                <w:rFonts w:hint="eastAsia"/>
                <w:b/>
                <w:bCs/>
              </w:rPr>
              <w:t>中</w:t>
            </w:r>
          </w:p>
        </w:tc>
        <w:tc>
          <w:tcPr>
            <w:tcW w:w="367" w:type="pct"/>
            <w:vAlign w:val="center"/>
          </w:tcPr>
          <w:p w14:paraId="1132B923">
            <w:pPr>
              <w:pStyle w:val="133"/>
              <w:rPr>
                <w:b/>
                <w:bCs/>
              </w:rPr>
            </w:pPr>
            <w:r>
              <w:rPr>
                <w:rFonts w:hint="eastAsia"/>
                <w:b/>
                <w:bCs/>
              </w:rPr>
              <w:t>小</w:t>
            </w:r>
          </w:p>
        </w:tc>
        <w:tc>
          <w:tcPr>
            <w:tcW w:w="424" w:type="pct"/>
            <w:vAlign w:val="center"/>
          </w:tcPr>
          <w:p w14:paraId="61F51E59">
            <w:pPr>
              <w:pStyle w:val="133"/>
              <w:rPr>
                <w:b/>
                <w:bCs/>
              </w:rPr>
            </w:pPr>
            <w:r>
              <w:rPr>
                <w:rFonts w:hint="eastAsia"/>
                <w:b/>
                <w:bCs/>
              </w:rPr>
              <w:t>大</w:t>
            </w:r>
          </w:p>
        </w:tc>
        <w:tc>
          <w:tcPr>
            <w:tcW w:w="399" w:type="pct"/>
            <w:vAlign w:val="center"/>
          </w:tcPr>
          <w:p w14:paraId="139A23BC">
            <w:pPr>
              <w:pStyle w:val="133"/>
              <w:rPr>
                <w:b/>
                <w:bCs/>
              </w:rPr>
            </w:pPr>
            <w:r>
              <w:rPr>
                <w:rFonts w:hint="eastAsia"/>
                <w:b/>
                <w:bCs/>
              </w:rPr>
              <w:t>中</w:t>
            </w:r>
          </w:p>
        </w:tc>
        <w:tc>
          <w:tcPr>
            <w:tcW w:w="387" w:type="pct"/>
            <w:vAlign w:val="center"/>
          </w:tcPr>
          <w:p w14:paraId="1B59B040">
            <w:pPr>
              <w:pStyle w:val="133"/>
              <w:rPr>
                <w:b/>
                <w:bCs/>
              </w:rPr>
            </w:pPr>
            <w:r>
              <w:rPr>
                <w:rFonts w:hint="eastAsia"/>
                <w:b/>
                <w:bCs/>
              </w:rPr>
              <w:t>小</w:t>
            </w:r>
          </w:p>
        </w:tc>
        <w:tc>
          <w:tcPr>
            <w:tcW w:w="387" w:type="pct"/>
            <w:vAlign w:val="center"/>
          </w:tcPr>
          <w:p w14:paraId="5ACB4FA1">
            <w:pPr>
              <w:pStyle w:val="133"/>
              <w:rPr>
                <w:b/>
                <w:bCs/>
              </w:rPr>
            </w:pPr>
            <w:r>
              <w:rPr>
                <w:rFonts w:hint="eastAsia"/>
                <w:b/>
                <w:bCs/>
              </w:rPr>
              <w:t>大</w:t>
            </w:r>
          </w:p>
        </w:tc>
        <w:tc>
          <w:tcPr>
            <w:tcW w:w="373" w:type="pct"/>
            <w:vAlign w:val="center"/>
          </w:tcPr>
          <w:p w14:paraId="44BABF29">
            <w:pPr>
              <w:pStyle w:val="133"/>
              <w:rPr>
                <w:b/>
                <w:bCs/>
              </w:rPr>
            </w:pPr>
            <w:r>
              <w:rPr>
                <w:rFonts w:hint="eastAsia"/>
                <w:b/>
                <w:bCs/>
              </w:rPr>
              <w:t>中</w:t>
            </w:r>
          </w:p>
        </w:tc>
        <w:tc>
          <w:tcPr>
            <w:tcW w:w="392" w:type="pct"/>
            <w:vAlign w:val="center"/>
          </w:tcPr>
          <w:p w14:paraId="4B446268">
            <w:pPr>
              <w:pStyle w:val="133"/>
              <w:rPr>
                <w:b/>
                <w:bCs/>
              </w:rPr>
            </w:pPr>
            <w:r>
              <w:rPr>
                <w:rFonts w:hint="eastAsia"/>
                <w:b/>
                <w:bCs/>
              </w:rPr>
              <w:t>小</w:t>
            </w:r>
          </w:p>
        </w:tc>
      </w:tr>
      <w:tr w14:paraId="2C070E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62" w:type="pct"/>
            <w:vAlign w:val="center"/>
          </w:tcPr>
          <w:p w14:paraId="626ACE7F">
            <w:pPr>
              <w:pStyle w:val="133"/>
            </w:pPr>
            <w:r>
              <w:rPr>
                <w:rFonts w:hint="eastAsia"/>
              </w:rPr>
              <w:t>敏感</w:t>
            </w:r>
          </w:p>
        </w:tc>
        <w:tc>
          <w:tcPr>
            <w:tcW w:w="416" w:type="pct"/>
            <w:vAlign w:val="center"/>
          </w:tcPr>
          <w:p w14:paraId="3680D619">
            <w:pPr>
              <w:pStyle w:val="133"/>
            </w:pPr>
            <w:r>
              <w:rPr>
                <w:rFonts w:hint="eastAsia"/>
              </w:rPr>
              <w:t>一</w:t>
            </w:r>
          </w:p>
        </w:tc>
        <w:tc>
          <w:tcPr>
            <w:tcW w:w="390" w:type="pct"/>
            <w:vAlign w:val="center"/>
          </w:tcPr>
          <w:p w14:paraId="07A24F82">
            <w:pPr>
              <w:pStyle w:val="133"/>
            </w:pPr>
            <w:r>
              <w:rPr>
                <w:rFonts w:hint="eastAsia"/>
              </w:rPr>
              <w:t>一</w:t>
            </w:r>
          </w:p>
        </w:tc>
        <w:tc>
          <w:tcPr>
            <w:tcW w:w="367" w:type="pct"/>
            <w:vAlign w:val="center"/>
          </w:tcPr>
          <w:p w14:paraId="78D0DA35">
            <w:pPr>
              <w:pStyle w:val="133"/>
            </w:pPr>
            <w:r>
              <w:rPr>
                <w:rFonts w:hint="eastAsia"/>
              </w:rPr>
              <w:t>一</w:t>
            </w:r>
          </w:p>
        </w:tc>
        <w:tc>
          <w:tcPr>
            <w:tcW w:w="424" w:type="pct"/>
            <w:vAlign w:val="center"/>
          </w:tcPr>
          <w:p w14:paraId="7F5014FE">
            <w:pPr>
              <w:pStyle w:val="133"/>
            </w:pPr>
            <w:r>
              <w:rPr>
                <w:rFonts w:hint="eastAsia"/>
              </w:rPr>
              <w:t>二</w:t>
            </w:r>
          </w:p>
        </w:tc>
        <w:tc>
          <w:tcPr>
            <w:tcW w:w="399" w:type="pct"/>
            <w:vAlign w:val="center"/>
          </w:tcPr>
          <w:p w14:paraId="3E424A49">
            <w:pPr>
              <w:pStyle w:val="133"/>
            </w:pPr>
            <w:r>
              <w:rPr>
                <w:rFonts w:hint="eastAsia"/>
              </w:rPr>
              <w:t>二</w:t>
            </w:r>
          </w:p>
        </w:tc>
        <w:tc>
          <w:tcPr>
            <w:tcW w:w="387" w:type="pct"/>
            <w:vAlign w:val="center"/>
          </w:tcPr>
          <w:p w14:paraId="1028AFA9">
            <w:pPr>
              <w:pStyle w:val="133"/>
            </w:pPr>
            <w:r>
              <w:rPr>
                <w:rFonts w:hint="eastAsia"/>
              </w:rPr>
              <w:t>二</w:t>
            </w:r>
          </w:p>
        </w:tc>
        <w:tc>
          <w:tcPr>
            <w:tcW w:w="387" w:type="pct"/>
            <w:vAlign w:val="center"/>
          </w:tcPr>
          <w:p w14:paraId="03E79168">
            <w:pPr>
              <w:pStyle w:val="133"/>
            </w:pPr>
            <w:r>
              <w:rPr>
                <w:rFonts w:hint="eastAsia"/>
              </w:rPr>
              <w:t>三</w:t>
            </w:r>
          </w:p>
        </w:tc>
        <w:tc>
          <w:tcPr>
            <w:tcW w:w="373" w:type="pct"/>
            <w:vAlign w:val="center"/>
          </w:tcPr>
          <w:p w14:paraId="65C2004C">
            <w:pPr>
              <w:pStyle w:val="133"/>
            </w:pPr>
            <w:r>
              <w:rPr>
                <w:rFonts w:hint="eastAsia"/>
              </w:rPr>
              <w:t>三</w:t>
            </w:r>
          </w:p>
        </w:tc>
        <w:tc>
          <w:tcPr>
            <w:tcW w:w="392" w:type="pct"/>
            <w:vAlign w:val="center"/>
          </w:tcPr>
          <w:p w14:paraId="5E924251">
            <w:pPr>
              <w:pStyle w:val="133"/>
            </w:pPr>
            <w:r>
              <w:rPr>
                <w:rFonts w:hint="eastAsia"/>
              </w:rPr>
              <w:t>三</w:t>
            </w:r>
          </w:p>
        </w:tc>
      </w:tr>
      <w:tr w14:paraId="3DC6E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62" w:type="pct"/>
            <w:vAlign w:val="center"/>
          </w:tcPr>
          <w:p w14:paraId="25B29610">
            <w:pPr>
              <w:pStyle w:val="133"/>
            </w:pPr>
            <w:r>
              <w:rPr>
                <w:rFonts w:hint="eastAsia"/>
              </w:rPr>
              <w:t>较敏感</w:t>
            </w:r>
          </w:p>
        </w:tc>
        <w:tc>
          <w:tcPr>
            <w:tcW w:w="416" w:type="pct"/>
            <w:vAlign w:val="center"/>
          </w:tcPr>
          <w:p w14:paraId="4F33A407">
            <w:pPr>
              <w:pStyle w:val="133"/>
            </w:pPr>
            <w:r>
              <w:rPr>
                <w:rFonts w:hint="eastAsia"/>
              </w:rPr>
              <w:t>一</w:t>
            </w:r>
          </w:p>
        </w:tc>
        <w:tc>
          <w:tcPr>
            <w:tcW w:w="390" w:type="pct"/>
            <w:vAlign w:val="center"/>
          </w:tcPr>
          <w:p w14:paraId="0B286D93">
            <w:pPr>
              <w:pStyle w:val="133"/>
            </w:pPr>
            <w:r>
              <w:rPr>
                <w:rFonts w:hint="eastAsia"/>
              </w:rPr>
              <w:t>一</w:t>
            </w:r>
          </w:p>
        </w:tc>
        <w:tc>
          <w:tcPr>
            <w:tcW w:w="367" w:type="pct"/>
            <w:vAlign w:val="center"/>
          </w:tcPr>
          <w:p w14:paraId="29004964">
            <w:pPr>
              <w:pStyle w:val="133"/>
            </w:pPr>
            <w:r>
              <w:rPr>
                <w:rFonts w:hint="eastAsia"/>
              </w:rPr>
              <w:t>二</w:t>
            </w:r>
          </w:p>
        </w:tc>
        <w:tc>
          <w:tcPr>
            <w:tcW w:w="424" w:type="pct"/>
            <w:vAlign w:val="center"/>
          </w:tcPr>
          <w:p w14:paraId="0B0C4285">
            <w:pPr>
              <w:pStyle w:val="133"/>
            </w:pPr>
            <w:r>
              <w:rPr>
                <w:rFonts w:hint="eastAsia"/>
              </w:rPr>
              <w:t>二</w:t>
            </w:r>
          </w:p>
        </w:tc>
        <w:tc>
          <w:tcPr>
            <w:tcW w:w="399" w:type="pct"/>
            <w:vAlign w:val="center"/>
          </w:tcPr>
          <w:p w14:paraId="70609CD7">
            <w:pPr>
              <w:pStyle w:val="133"/>
            </w:pPr>
            <w:r>
              <w:rPr>
                <w:rFonts w:hint="eastAsia"/>
              </w:rPr>
              <w:t>二</w:t>
            </w:r>
          </w:p>
        </w:tc>
        <w:tc>
          <w:tcPr>
            <w:tcW w:w="387" w:type="pct"/>
            <w:vAlign w:val="center"/>
          </w:tcPr>
          <w:p w14:paraId="456DCA9B">
            <w:pPr>
              <w:pStyle w:val="133"/>
            </w:pPr>
            <w:r>
              <w:rPr>
                <w:rFonts w:hint="eastAsia"/>
              </w:rPr>
              <w:t>三</w:t>
            </w:r>
          </w:p>
        </w:tc>
        <w:tc>
          <w:tcPr>
            <w:tcW w:w="387" w:type="pct"/>
            <w:vAlign w:val="center"/>
          </w:tcPr>
          <w:p w14:paraId="200288BB">
            <w:pPr>
              <w:pStyle w:val="133"/>
            </w:pPr>
            <w:r>
              <w:rPr>
                <w:rFonts w:hint="eastAsia"/>
              </w:rPr>
              <w:t>三</w:t>
            </w:r>
          </w:p>
        </w:tc>
        <w:tc>
          <w:tcPr>
            <w:tcW w:w="373" w:type="pct"/>
            <w:vAlign w:val="center"/>
          </w:tcPr>
          <w:p w14:paraId="1C444168">
            <w:pPr>
              <w:pStyle w:val="133"/>
            </w:pPr>
            <w:r>
              <w:rPr>
                <w:rFonts w:hint="eastAsia"/>
              </w:rPr>
              <w:t>三</w:t>
            </w:r>
          </w:p>
        </w:tc>
        <w:tc>
          <w:tcPr>
            <w:tcW w:w="392" w:type="pct"/>
            <w:vAlign w:val="center"/>
          </w:tcPr>
          <w:p w14:paraId="018DF399">
            <w:pPr>
              <w:pStyle w:val="133"/>
            </w:pPr>
            <w:r>
              <w:rPr>
                <w:rFonts w:hint="eastAsia"/>
              </w:rPr>
              <w:t>-</w:t>
            </w:r>
          </w:p>
        </w:tc>
      </w:tr>
      <w:tr w14:paraId="25895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62" w:type="pct"/>
            <w:vAlign w:val="center"/>
          </w:tcPr>
          <w:p w14:paraId="1370B13D">
            <w:pPr>
              <w:pStyle w:val="133"/>
            </w:pPr>
            <w:r>
              <w:rPr>
                <w:rFonts w:hint="eastAsia"/>
              </w:rPr>
              <w:t>不敏感</w:t>
            </w:r>
          </w:p>
        </w:tc>
        <w:tc>
          <w:tcPr>
            <w:tcW w:w="416" w:type="pct"/>
            <w:vAlign w:val="center"/>
          </w:tcPr>
          <w:p w14:paraId="654C1A72">
            <w:pPr>
              <w:pStyle w:val="133"/>
              <w:rPr>
                <w:b/>
                <w:bCs/>
              </w:rPr>
            </w:pPr>
            <w:r>
              <w:rPr>
                <w:rFonts w:hint="eastAsia"/>
                <w:b/>
                <w:bCs/>
              </w:rPr>
              <w:t>一</w:t>
            </w:r>
          </w:p>
        </w:tc>
        <w:tc>
          <w:tcPr>
            <w:tcW w:w="390" w:type="pct"/>
            <w:vAlign w:val="center"/>
          </w:tcPr>
          <w:p w14:paraId="339F647A">
            <w:pPr>
              <w:pStyle w:val="133"/>
            </w:pPr>
            <w:r>
              <w:rPr>
                <w:rFonts w:hint="eastAsia"/>
              </w:rPr>
              <w:t>二</w:t>
            </w:r>
          </w:p>
        </w:tc>
        <w:tc>
          <w:tcPr>
            <w:tcW w:w="367" w:type="pct"/>
            <w:vAlign w:val="center"/>
          </w:tcPr>
          <w:p w14:paraId="04DE66BA">
            <w:pPr>
              <w:pStyle w:val="133"/>
            </w:pPr>
            <w:r>
              <w:rPr>
                <w:rFonts w:hint="eastAsia"/>
              </w:rPr>
              <w:t>二</w:t>
            </w:r>
          </w:p>
        </w:tc>
        <w:tc>
          <w:tcPr>
            <w:tcW w:w="424" w:type="pct"/>
            <w:vAlign w:val="center"/>
          </w:tcPr>
          <w:p w14:paraId="6317AF35">
            <w:pPr>
              <w:pStyle w:val="133"/>
            </w:pPr>
            <w:r>
              <w:rPr>
                <w:rFonts w:hint="eastAsia"/>
              </w:rPr>
              <w:t>二</w:t>
            </w:r>
          </w:p>
        </w:tc>
        <w:tc>
          <w:tcPr>
            <w:tcW w:w="399" w:type="pct"/>
            <w:vAlign w:val="center"/>
          </w:tcPr>
          <w:p w14:paraId="1EA96297">
            <w:pPr>
              <w:pStyle w:val="133"/>
            </w:pPr>
            <w:r>
              <w:rPr>
                <w:rFonts w:hint="eastAsia"/>
              </w:rPr>
              <w:t>三</w:t>
            </w:r>
          </w:p>
        </w:tc>
        <w:tc>
          <w:tcPr>
            <w:tcW w:w="387" w:type="pct"/>
            <w:vAlign w:val="center"/>
          </w:tcPr>
          <w:p w14:paraId="633808A1">
            <w:pPr>
              <w:pStyle w:val="133"/>
            </w:pPr>
            <w:r>
              <w:rPr>
                <w:rFonts w:hint="eastAsia"/>
              </w:rPr>
              <w:t>三</w:t>
            </w:r>
          </w:p>
        </w:tc>
        <w:tc>
          <w:tcPr>
            <w:tcW w:w="387" w:type="pct"/>
            <w:vAlign w:val="center"/>
          </w:tcPr>
          <w:p w14:paraId="77AFF727">
            <w:pPr>
              <w:pStyle w:val="133"/>
            </w:pPr>
            <w:r>
              <w:rPr>
                <w:rFonts w:hint="eastAsia"/>
              </w:rPr>
              <w:t>三</w:t>
            </w:r>
          </w:p>
        </w:tc>
        <w:tc>
          <w:tcPr>
            <w:tcW w:w="373" w:type="pct"/>
            <w:vAlign w:val="center"/>
          </w:tcPr>
          <w:p w14:paraId="34A99E3C">
            <w:pPr>
              <w:pStyle w:val="133"/>
            </w:pPr>
            <w:r>
              <w:rPr>
                <w:rFonts w:hint="eastAsia"/>
              </w:rPr>
              <w:t>-</w:t>
            </w:r>
          </w:p>
        </w:tc>
        <w:tc>
          <w:tcPr>
            <w:tcW w:w="392" w:type="pct"/>
            <w:vAlign w:val="center"/>
          </w:tcPr>
          <w:p w14:paraId="6A28426E">
            <w:pPr>
              <w:pStyle w:val="133"/>
            </w:pPr>
            <w:r>
              <w:rPr>
                <w:rFonts w:hint="eastAsia"/>
              </w:rPr>
              <w:t>-</w:t>
            </w:r>
          </w:p>
        </w:tc>
      </w:tr>
    </w:tbl>
    <w:p w14:paraId="2225C1DC">
      <w:pPr>
        <w:pStyle w:val="133"/>
      </w:pPr>
    </w:p>
    <w:p w14:paraId="1D8AD4C3">
      <w:pPr>
        <w:pStyle w:val="5"/>
      </w:pPr>
      <w:r>
        <w:rPr>
          <w:rFonts w:hint="eastAsia"/>
        </w:rPr>
        <w:t>生态环境</w:t>
      </w:r>
    </w:p>
    <w:p w14:paraId="72110D63">
      <w:pPr>
        <w:ind w:firstLine="480"/>
      </w:pPr>
      <w:r>
        <w:t>根据《环境影响评价技术导则</w:t>
      </w:r>
      <w:r>
        <w:rPr>
          <w:rFonts w:hint="eastAsia"/>
        </w:rPr>
        <w:t xml:space="preserve"> </w:t>
      </w:r>
      <w:r>
        <w:t>生态环境》</w:t>
      </w:r>
      <w:r>
        <w:rPr>
          <w:rFonts w:hint="eastAsia"/>
        </w:rPr>
        <w:t>（</w:t>
      </w:r>
      <w:r>
        <w:t>HJ19-20</w:t>
      </w:r>
      <w:r>
        <w:rPr>
          <w:rFonts w:hint="eastAsia"/>
        </w:rPr>
        <w:t>22）</w:t>
      </w:r>
      <w:r>
        <w:t>评价工作分级划分，本项目位于</w:t>
      </w:r>
      <w:r>
        <w:rPr>
          <w:rFonts w:hint="eastAsia"/>
        </w:rPr>
        <w:t>哈密高新技术产业开发区内，属于位于已批准规划环评的工业园区内且符合规划环评要求、不涉及生态敏感区的污染影响类建设项目</w:t>
      </w:r>
      <w:r>
        <w:t>，可不确定评价等级</w:t>
      </w:r>
      <w:r>
        <w:rPr>
          <w:rFonts w:hint="eastAsia"/>
        </w:rPr>
        <w:t>，</w:t>
      </w:r>
      <w:r>
        <w:t>直接进行生态影响简单分析。</w:t>
      </w:r>
    </w:p>
    <w:p w14:paraId="133B72EC">
      <w:pPr>
        <w:ind w:firstLine="480"/>
        <w:rPr>
          <w:lang w:val="zh-CN"/>
        </w:rPr>
      </w:pPr>
      <w:r>
        <w:t>生态环境影响评价范围</w:t>
      </w:r>
      <w:r>
        <w:rPr>
          <w:lang w:val="zh-CN"/>
        </w:rPr>
        <w:t>在厂区范围内。</w:t>
      </w:r>
    </w:p>
    <w:p w14:paraId="6AB48732">
      <w:pPr>
        <w:pStyle w:val="5"/>
      </w:pPr>
      <w:r>
        <w:rPr>
          <w:rFonts w:hint="eastAsia"/>
        </w:rPr>
        <w:t>环境风险</w:t>
      </w:r>
    </w:p>
    <w:p w14:paraId="2AB38399">
      <w:pPr>
        <w:pStyle w:val="117"/>
        <w:ind w:firstLine="480"/>
      </w:pPr>
      <w:r>
        <w:rPr>
          <w:rFonts w:hint="eastAsia"/>
        </w:rPr>
        <w:t>根据《建设项目环境风险评价技术导则》（HJ169-2018）规定：“环境风险评价工作是依据建设项目涉及的物质及工艺系统危险性和所在地的环境敏感性确定环境风险潜势进行分级，环境影响评价工作等级划分为一级、二级、三级”，评价工作等级划分见表1.4-1</w:t>
      </w:r>
      <w:r>
        <w:t>3</w:t>
      </w:r>
      <w:r>
        <w:rPr>
          <w:rFonts w:hint="eastAsia"/>
        </w:rPr>
        <w:t>。</w:t>
      </w:r>
    </w:p>
    <w:p w14:paraId="43CC56C7">
      <w:pPr>
        <w:pStyle w:val="118"/>
        <w:rPr>
          <w:color w:val="auto"/>
        </w:rPr>
      </w:pPr>
      <w:r>
        <w:rPr>
          <w:rFonts w:hint="eastAsia"/>
          <w:color w:val="auto"/>
        </w:rPr>
        <w:t>表1.4-1</w:t>
      </w:r>
      <w:r>
        <w:rPr>
          <w:color w:val="auto"/>
        </w:rPr>
        <w:t>3</w:t>
      </w:r>
      <w:r>
        <w:rPr>
          <w:rFonts w:hint="eastAsia"/>
          <w:color w:val="auto"/>
        </w:rPr>
        <w:t xml:space="preserve">  环境影响评价等级判据一览表</w:t>
      </w:r>
    </w:p>
    <w:tbl>
      <w:tblPr>
        <w:tblStyle w:val="67"/>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093"/>
        <w:gridCol w:w="1603"/>
        <w:gridCol w:w="1603"/>
        <w:gridCol w:w="1603"/>
        <w:gridCol w:w="1603"/>
      </w:tblGrid>
      <w:tr w14:paraId="6B5771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93" w:type="dxa"/>
            <w:vAlign w:val="center"/>
          </w:tcPr>
          <w:p w14:paraId="1129F41A">
            <w:pPr>
              <w:pStyle w:val="133"/>
              <w:rPr>
                <w:b/>
                <w:bCs/>
              </w:rPr>
            </w:pPr>
            <w:r>
              <w:rPr>
                <w:rFonts w:hint="eastAsia"/>
                <w:b/>
                <w:bCs/>
              </w:rPr>
              <w:t>环境风险潜势</w:t>
            </w:r>
          </w:p>
        </w:tc>
        <w:tc>
          <w:tcPr>
            <w:tcW w:w="1603" w:type="dxa"/>
            <w:vAlign w:val="center"/>
          </w:tcPr>
          <w:p w14:paraId="11863AD4">
            <w:pPr>
              <w:pStyle w:val="133"/>
              <w:rPr>
                <w:rFonts w:cs="Times New Roman"/>
                <w:b/>
                <w:bCs/>
              </w:rPr>
            </w:pPr>
            <w:r>
              <w:rPr>
                <w:rFonts w:cs="Times New Roman"/>
                <w:b/>
                <w:bCs/>
              </w:rPr>
              <w:t>Ⅳ、Ⅳ</w:t>
            </w:r>
            <w:r>
              <w:rPr>
                <w:rFonts w:cs="Times New Roman"/>
                <w:b/>
                <w:bCs/>
                <w:vertAlign w:val="superscript"/>
              </w:rPr>
              <w:t>+</w:t>
            </w:r>
          </w:p>
        </w:tc>
        <w:tc>
          <w:tcPr>
            <w:tcW w:w="1603" w:type="dxa"/>
            <w:vAlign w:val="center"/>
          </w:tcPr>
          <w:p w14:paraId="658B7F06">
            <w:pPr>
              <w:pStyle w:val="133"/>
              <w:rPr>
                <w:b/>
                <w:bCs/>
              </w:rPr>
            </w:pPr>
            <w:r>
              <w:rPr>
                <w:rFonts w:hint="eastAsia"/>
                <w:b/>
                <w:bCs/>
              </w:rPr>
              <w:t>Ⅲ</w:t>
            </w:r>
          </w:p>
        </w:tc>
        <w:tc>
          <w:tcPr>
            <w:tcW w:w="1603" w:type="dxa"/>
            <w:vAlign w:val="center"/>
          </w:tcPr>
          <w:p w14:paraId="3395093C">
            <w:pPr>
              <w:pStyle w:val="133"/>
              <w:rPr>
                <w:b/>
                <w:bCs/>
              </w:rPr>
            </w:pPr>
            <w:r>
              <w:rPr>
                <w:rFonts w:hint="eastAsia"/>
                <w:b/>
                <w:bCs/>
              </w:rPr>
              <w:t>II</w:t>
            </w:r>
          </w:p>
        </w:tc>
        <w:tc>
          <w:tcPr>
            <w:tcW w:w="1603" w:type="dxa"/>
            <w:vAlign w:val="center"/>
          </w:tcPr>
          <w:p w14:paraId="77900687">
            <w:pPr>
              <w:pStyle w:val="133"/>
              <w:rPr>
                <w:b/>
                <w:bCs/>
              </w:rPr>
            </w:pPr>
            <w:r>
              <w:rPr>
                <w:rFonts w:hint="eastAsia"/>
                <w:b/>
                <w:bCs/>
              </w:rPr>
              <w:t>I</w:t>
            </w:r>
          </w:p>
        </w:tc>
      </w:tr>
      <w:tr w14:paraId="5E0FA9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093" w:type="dxa"/>
            <w:vAlign w:val="center"/>
          </w:tcPr>
          <w:p w14:paraId="14985A30">
            <w:pPr>
              <w:pStyle w:val="133"/>
            </w:pPr>
            <w:r>
              <w:rPr>
                <w:rFonts w:hint="eastAsia"/>
              </w:rPr>
              <w:t>环境风险评价等级</w:t>
            </w:r>
          </w:p>
        </w:tc>
        <w:tc>
          <w:tcPr>
            <w:tcW w:w="1603" w:type="dxa"/>
            <w:vAlign w:val="center"/>
          </w:tcPr>
          <w:p w14:paraId="33C896EA">
            <w:pPr>
              <w:pStyle w:val="133"/>
            </w:pPr>
            <w:r>
              <w:rPr>
                <w:rFonts w:hint="eastAsia"/>
              </w:rPr>
              <w:t>一</w:t>
            </w:r>
          </w:p>
        </w:tc>
        <w:tc>
          <w:tcPr>
            <w:tcW w:w="1603" w:type="dxa"/>
            <w:vAlign w:val="center"/>
          </w:tcPr>
          <w:p w14:paraId="315260AE">
            <w:pPr>
              <w:pStyle w:val="133"/>
            </w:pPr>
            <w:r>
              <w:rPr>
                <w:rFonts w:hint="eastAsia"/>
              </w:rPr>
              <w:t>二</w:t>
            </w:r>
          </w:p>
        </w:tc>
        <w:tc>
          <w:tcPr>
            <w:tcW w:w="1603" w:type="dxa"/>
            <w:vAlign w:val="center"/>
          </w:tcPr>
          <w:p w14:paraId="4053CC9A">
            <w:pPr>
              <w:pStyle w:val="133"/>
            </w:pPr>
            <w:r>
              <w:rPr>
                <w:rFonts w:hint="eastAsia"/>
              </w:rPr>
              <w:t>三</w:t>
            </w:r>
          </w:p>
        </w:tc>
        <w:tc>
          <w:tcPr>
            <w:tcW w:w="1603" w:type="dxa"/>
            <w:vAlign w:val="center"/>
          </w:tcPr>
          <w:p w14:paraId="69DCFE2B">
            <w:pPr>
              <w:pStyle w:val="133"/>
            </w:pPr>
            <w:r>
              <w:rPr>
                <w:rFonts w:hint="eastAsia"/>
              </w:rPr>
              <w:t>简单分析</w:t>
            </w:r>
          </w:p>
        </w:tc>
      </w:tr>
    </w:tbl>
    <w:p w14:paraId="19EF83A4">
      <w:pPr>
        <w:pStyle w:val="133"/>
      </w:pPr>
    </w:p>
    <w:p w14:paraId="1499E51A">
      <w:pPr>
        <w:pStyle w:val="117"/>
        <w:ind w:firstLine="480"/>
      </w:pPr>
      <w:r>
        <w:rPr>
          <w:rFonts w:hint="eastAsia"/>
        </w:rPr>
        <w:t>根据第7章分析结果，本项目的环境风险潜势为</w:t>
      </w:r>
      <w:r>
        <w:rPr>
          <w:rFonts w:hint="eastAsia"/>
          <w:color w:val="000000"/>
        </w:rPr>
        <w:t>Ⅳ</w:t>
      </w:r>
      <w:r>
        <w:rPr>
          <w:rFonts w:hint="eastAsia"/>
        </w:rPr>
        <w:t>级，因此本项目的环境风险评价等级为一级。</w:t>
      </w:r>
    </w:p>
    <w:p w14:paraId="6EF6C499">
      <w:pPr>
        <w:pStyle w:val="138"/>
        <w:rPr>
          <w:rFonts w:hint="eastAsia"/>
        </w:rPr>
      </w:pPr>
      <w:bookmarkStart w:id="138" w:name="_Toc12488"/>
      <w:r>
        <w:rPr>
          <w:rFonts w:hint="eastAsia"/>
        </w:rPr>
        <w:t>评价范围</w:t>
      </w:r>
      <w:bookmarkEnd w:id="138"/>
    </w:p>
    <w:p w14:paraId="0BE11D98">
      <w:pPr>
        <w:pStyle w:val="117"/>
        <w:ind w:firstLine="480"/>
      </w:pPr>
      <w:r>
        <w:rPr>
          <w:rFonts w:hint="eastAsia"/>
        </w:rPr>
        <w:t>根据环境影响评价技术导则要求，结合当地气象、水文、地质条件和该工程“三废”排放情况及周围企事业单位、居民区分布等环境特点确定环境影响评价范围。本项目环境影响评价范围见表1.4-1</w:t>
      </w:r>
      <w:r>
        <w:t>4</w:t>
      </w:r>
      <w:r>
        <w:rPr>
          <w:rFonts w:hint="eastAsia"/>
        </w:rPr>
        <w:t>、图1.4-1。</w:t>
      </w:r>
    </w:p>
    <w:p w14:paraId="5638F502">
      <w:pPr>
        <w:pStyle w:val="118"/>
        <w:rPr>
          <w:color w:val="auto"/>
        </w:rPr>
      </w:pPr>
      <w:r>
        <w:rPr>
          <w:rFonts w:hint="eastAsia"/>
          <w:color w:val="auto"/>
        </w:rPr>
        <w:t>表1.4-1</w:t>
      </w:r>
      <w:r>
        <w:rPr>
          <w:color w:val="auto"/>
        </w:rPr>
        <w:t>4</w:t>
      </w:r>
      <w:r>
        <w:rPr>
          <w:rFonts w:hint="eastAsia"/>
          <w:color w:val="auto"/>
        </w:rPr>
        <w:t xml:space="preserve">  评价范围</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46"/>
        <w:gridCol w:w="1190"/>
        <w:gridCol w:w="6253"/>
      </w:tblGrid>
      <w:tr w14:paraId="61780C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621C2EAF">
            <w:pPr>
              <w:pStyle w:val="133"/>
              <w:rPr>
                <w:b/>
                <w:bCs/>
              </w:rPr>
            </w:pPr>
            <w:r>
              <w:rPr>
                <w:rFonts w:hint="eastAsia"/>
                <w:b/>
                <w:bCs/>
              </w:rPr>
              <w:t>环境要素</w:t>
            </w:r>
          </w:p>
        </w:tc>
        <w:tc>
          <w:tcPr>
            <w:tcW w:w="677" w:type="pct"/>
            <w:vAlign w:val="center"/>
          </w:tcPr>
          <w:p w14:paraId="6E37CB0F">
            <w:pPr>
              <w:pStyle w:val="133"/>
              <w:rPr>
                <w:b/>
                <w:bCs/>
              </w:rPr>
            </w:pPr>
            <w:r>
              <w:rPr>
                <w:rFonts w:hint="eastAsia"/>
                <w:b/>
                <w:bCs/>
              </w:rPr>
              <w:t>评价等级</w:t>
            </w:r>
          </w:p>
        </w:tc>
        <w:tc>
          <w:tcPr>
            <w:tcW w:w="3557" w:type="pct"/>
            <w:vAlign w:val="center"/>
          </w:tcPr>
          <w:p w14:paraId="6D75F655">
            <w:pPr>
              <w:pStyle w:val="133"/>
              <w:rPr>
                <w:b/>
                <w:bCs/>
              </w:rPr>
            </w:pPr>
            <w:r>
              <w:rPr>
                <w:rFonts w:hint="eastAsia"/>
                <w:b/>
                <w:bCs/>
              </w:rPr>
              <w:t>评价范围</w:t>
            </w:r>
          </w:p>
        </w:tc>
      </w:tr>
      <w:tr w14:paraId="7612A7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558BDF35">
            <w:pPr>
              <w:pStyle w:val="133"/>
            </w:pPr>
            <w:r>
              <w:rPr>
                <w:rFonts w:hint="eastAsia"/>
              </w:rPr>
              <w:t>环境空气</w:t>
            </w:r>
          </w:p>
        </w:tc>
        <w:tc>
          <w:tcPr>
            <w:tcW w:w="677" w:type="pct"/>
            <w:vAlign w:val="center"/>
          </w:tcPr>
          <w:p w14:paraId="71FEC639">
            <w:pPr>
              <w:pStyle w:val="133"/>
            </w:pPr>
            <w:r>
              <w:rPr>
                <w:rFonts w:hint="eastAsia"/>
              </w:rPr>
              <w:t>一级</w:t>
            </w:r>
          </w:p>
        </w:tc>
        <w:tc>
          <w:tcPr>
            <w:tcW w:w="3557" w:type="pct"/>
            <w:vAlign w:val="center"/>
          </w:tcPr>
          <w:p w14:paraId="56076DF8">
            <w:pPr>
              <w:pStyle w:val="133"/>
            </w:pPr>
            <w:r>
              <w:rPr>
                <w:rFonts w:hint="eastAsia"/>
              </w:rPr>
              <w:t>以厂区为中心，东西长5.0km，南北宽5.0km的矩形区域</w:t>
            </w:r>
          </w:p>
        </w:tc>
      </w:tr>
      <w:tr w14:paraId="12BEAF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44A7FCA6">
            <w:pPr>
              <w:pStyle w:val="133"/>
            </w:pPr>
            <w:r>
              <w:rPr>
                <w:rFonts w:hint="eastAsia"/>
              </w:rPr>
              <w:t>地表水</w:t>
            </w:r>
          </w:p>
        </w:tc>
        <w:tc>
          <w:tcPr>
            <w:tcW w:w="677" w:type="pct"/>
            <w:vAlign w:val="center"/>
          </w:tcPr>
          <w:p w14:paraId="7B944C6F">
            <w:pPr>
              <w:pStyle w:val="133"/>
            </w:pPr>
            <w:r>
              <w:rPr>
                <w:rFonts w:hint="eastAsia"/>
              </w:rPr>
              <w:t>三级B</w:t>
            </w:r>
          </w:p>
        </w:tc>
        <w:tc>
          <w:tcPr>
            <w:tcW w:w="3557" w:type="pct"/>
            <w:vAlign w:val="center"/>
          </w:tcPr>
          <w:p w14:paraId="03454041">
            <w:pPr>
              <w:pStyle w:val="133"/>
            </w:pPr>
            <w:r>
              <w:rPr>
                <w:rFonts w:hint="eastAsia"/>
              </w:rPr>
              <w:t>-</w:t>
            </w:r>
          </w:p>
        </w:tc>
      </w:tr>
      <w:tr w14:paraId="5206A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386E931A">
            <w:pPr>
              <w:pStyle w:val="133"/>
            </w:pPr>
            <w:r>
              <w:rPr>
                <w:rFonts w:hint="eastAsia"/>
              </w:rPr>
              <w:t>地下水环境</w:t>
            </w:r>
          </w:p>
        </w:tc>
        <w:tc>
          <w:tcPr>
            <w:tcW w:w="677" w:type="pct"/>
            <w:vAlign w:val="center"/>
          </w:tcPr>
          <w:p w14:paraId="050E0BB0">
            <w:pPr>
              <w:pStyle w:val="133"/>
            </w:pPr>
            <w:r>
              <w:rPr>
                <w:rFonts w:hint="eastAsia"/>
              </w:rPr>
              <w:t>二级</w:t>
            </w:r>
          </w:p>
        </w:tc>
        <w:tc>
          <w:tcPr>
            <w:tcW w:w="3557" w:type="pct"/>
            <w:vAlign w:val="center"/>
          </w:tcPr>
          <w:p w14:paraId="06E31E1B">
            <w:pPr>
              <w:pStyle w:val="133"/>
            </w:pPr>
            <w:r>
              <w:rPr>
                <w:rFonts w:hint="eastAsia"/>
              </w:rPr>
              <w:t>上游东北方向1.0km、两侧各1.0km、下游西南方向3km，共计8km</w:t>
            </w:r>
            <w:r>
              <w:rPr>
                <w:rFonts w:hint="eastAsia"/>
                <w:vertAlign w:val="superscript"/>
              </w:rPr>
              <w:t>2</w:t>
            </w:r>
            <w:r>
              <w:rPr>
                <w:rFonts w:hint="eastAsia"/>
              </w:rPr>
              <w:t>的矩形范围。</w:t>
            </w:r>
          </w:p>
        </w:tc>
      </w:tr>
      <w:tr w14:paraId="0B769E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64B4CB0B">
            <w:pPr>
              <w:pStyle w:val="133"/>
            </w:pPr>
            <w:r>
              <w:rPr>
                <w:rFonts w:hint="eastAsia"/>
              </w:rPr>
              <w:t>声环境</w:t>
            </w:r>
          </w:p>
        </w:tc>
        <w:tc>
          <w:tcPr>
            <w:tcW w:w="677" w:type="pct"/>
            <w:vAlign w:val="center"/>
          </w:tcPr>
          <w:p w14:paraId="06DE474E">
            <w:pPr>
              <w:pStyle w:val="133"/>
            </w:pPr>
            <w:r>
              <w:rPr>
                <w:rFonts w:hint="eastAsia"/>
              </w:rPr>
              <w:t>三级</w:t>
            </w:r>
          </w:p>
        </w:tc>
        <w:tc>
          <w:tcPr>
            <w:tcW w:w="3557" w:type="pct"/>
            <w:vAlign w:val="center"/>
          </w:tcPr>
          <w:p w14:paraId="18623ACE">
            <w:pPr>
              <w:pStyle w:val="133"/>
            </w:pPr>
            <w:r>
              <w:rPr>
                <w:rFonts w:hint="eastAsia"/>
              </w:rPr>
              <w:t>厂界外200m范围</w:t>
            </w:r>
          </w:p>
        </w:tc>
      </w:tr>
      <w:tr w14:paraId="6BEBDC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60AD0CB1">
            <w:pPr>
              <w:pStyle w:val="133"/>
            </w:pPr>
            <w:r>
              <w:rPr>
                <w:rFonts w:hint="eastAsia"/>
              </w:rPr>
              <w:t>土壤环境</w:t>
            </w:r>
          </w:p>
        </w:tc>
        <w:tc>
          <w:tcPr>
            <w:tcW w:w="677" w:type="pct"/>
            <w:vAlign w:val="center"/>
          </w:tcPr>
          <w:p w14:paraId="69CCC61A">
            <w:pPr>
              <w:pStyle w:val="133"/>
            </w:pPr>
            <w:r>
              <w:rPr>
                <w:rFonts w:hint="eastAsia"/>
              </w:rPr>
              <w:t>一级</w:t>
            </w:r>
          </w:p>
        </w:tc>
        <w:tc>
          <w:tcPr>
            <w:tcW w:w="3557" w:type="pct"/>
            <w:vAlign w:val="center"/>
          </w:tcPr>
          <w:p w14:paraId="6FD8D18C">
            <w:pPr>
              <w:pStyle w:val="133"/>
            </w:pPr>
            <w:r>
              <w:rPr>
                <w:rFonts w:hint="eastAsia"/>
              </w:rPr>
              <w:t>厂界外1.0km范围内</w:t>
            </w:r>
          </w:p>
        </w:tc>
      </w:tr>
      <w:tr w14:paraId="1B7D8E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527AB36C">
            <w:pPr>
              <w:pStyle w:val="133"/>
            </w:pPr>
            <w:r>
              <w:rPr>
                <w:rFonts w:hint="eastAsia"/>
              </w:rPr>
              <w:t>环境风险</w:t>
            </w:r>
          </w:p>
        </w:tc>
        <w:tc>
          <w:tcPr>
            <w:tcW w:w="677" w:type="pct"/>
            <w:vAlign w:val="center"/>
          </w:tcPr>
          <w:p w14:paraId="484207FB">
            <w:pPr>
              <w:pStyle w:val="133"/>
            </w:pPr>
            <w:r>
              <w:rPr>
                <w:rFonts w:hint="eastAsia"/>
              </w:rPr>
              <w:t>二级</w:t>
            </w:r>
          </w:p>
        </w:tc>
        <w:tc>
          <w:tcPr>
            <w:tcW w:w="3557" w:type="pct"/>
            <w:vAlign w:val="center"/>
          </w:tcPr>
          <w:p w14:paraId="2839088B">
            <w:pPr>
              <w:pStyle w:val="133"/>
            </w:pPr>
            <w:r>
              <w:rPr>
                <w:rFonts w:hint="eastAsia"/>
              </w:rPr>
              <w:t>大气环境风险评价范围：距离项目区边界5km的范围；</w:t>
            </w:r>
          </w:p>
          <w:p w14:paraId="2F09869A">
            <w:pPr>
              <w:pStyle w:val="133"/>
            </w:pPr>
            <w:r>
              <w:rPr>
                <w:rFonts w:hint="eastAsia"/>
              </w:rPr>
              <w:t>地下水环境风险评价范围：同地下水评价范围</w:t>
            </w:r>
          </w:p>
        </w:tc>
      </w:tr>
      <w:tr w14:paraId="143468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6" w:type="pct"/>
            <w:vAlign w:val="center"/>
          </w:tcPr>
          <w:p w14:paraId="3AC0375C">
            <w:pPr>
              <w:pStyle w:val="133"/>
            </w:pPr>
            <w:r>
              <w:rPr>
                <w:rFonts w:hint="eastAsia"/>
              </w:rPr>
              <w:t>生态环境</w:t>
            </w:r>
          </w:p>
        </w:tc>
        <w:tc>
          <w:tcPr>
            <w:tcW w:w="677" w:type="pct"/>
            <w:vAlign w:val="center"/>
          </w:tcPr>
          <w:p w14:paraId="7B1890B2">
            <w:pPr>
              <w:pStyle w:val="133"/>
            </w:pPr>
            <w:r>
              <w:rPr>
                <w:rFonts w:hint="eastAsia"/>
              </w:rPr>
              <w:t>简单分析</w:t>
            </w:r>
          </w:p>
        </w:tc>
        <w:tc>
          <w:tcPr>
            <w:tcW w:w="3557" w:type="pct"/>
            <w:vAlign w:val="center"/>
          </w:tcPr>
          <w:p w14:paraId="7873F96B">
            <w:pPr>
              <w:pStyle w:val="133"/>
            </w:pPr>
            <w:r>
              <w:rPr>
                <w:lang w:val="zh-CN"/>
              </w:rPr>
              <w:t>厂区范围内</w:t>
            </w:r>
          </w:p>
        </w:tc>
      </w:tr>
    </w:tbl>
    <w:p w14:paraId="3993D628">
      <w:pPr>
        <w:pStyle w:val="133"/>
      </w:pPr>
      <w:bookmarkStart w:id="139" w:name="_Toc6440"/>
      <w:bookmarkStart w:id="140" w:name="_Toc485640222"/>
      <w:bookmarkStart w:id="141" w:name="_Toc10845"/>
      <w:bookmarkStart w:id="142" w:name="_Toc489258989"/>
      <w:bookmarkStart w:id="143" w:name="_Toc442180945"/>
      <w:bookmarkStart w:id="144" w:name="_Toc414619129"/>
      <w:bookmarkStart w:id="145" w:name="_Toc377604975"/>
    </w:p>
    <w:bookmarkEnd w:id="139"/>
    <w:bookmarkEnd w:id="140"/>
    <w:bookmarkEnd w:id="141"/>
    <w:bookmarkEnd w:id="142"/>
    <w:bookmarkEnd w:id="143"/>
    <w:bookmarkEnd w:id="144"/>
    <w:bookmarkEnd w:id="145"/>
    <w:p w14:paraId="386CC81B">
      <w:pPr>
        <w:pStyle w:val="3"/>
      </w:pPr>
      <w:bookmarkStart w:id="146" w:name="_Toc205291367"/>
      <w:bookmarkStart w:id="147" w:name="_Toc414619130"/>
      <w:bookmarkStart w:id="148" w:name="_Toc410564940"/>
      <w:r>
        <w:rPr>
          <w:rFonts w:hint="eastAsia"/>
        </w:rPr>
        <w:t>环境质量功能区划及评价标准</w:t>
      </w:r>
      <w:bookmarkEnd w:id="146"/>
    </w:p>
    <w:p w14:paraId="40458E9F">
      <w:pPr>
        <w:pStyle w:val="138"/>
        <w:rPr>
          <w:rFonts w:hint="eastAsia"/>
        </w:rPr>
      </w:pPr>
      <w:bookmarkStart w:id="149" w:name="_Toc27438"/>
      <w:r>
        <w:rPr>
          <w:rFonts w:hint="eastAsia"/>
        </w:rPr>
        <w:t>环境质量功能区划</w:t>
      </w:r>
      <w:bookmarkEnd w:id="149"/>
    </w:p>
    <w:p w14:paraId="477D494C">
      <w:pPr>
        <w:pStyle w:val="5"/>
      </w:pPr>
      <w:r>
        <w:rPr>
          <w:rFonts w:hint="eastAsia"/>
        </w:rPr>
        <w:t>环境空气功能区划</w:t>
      </w:r>
    </w:p>
    <w:p w14:paraId="2C71B2CA">
      <w:pPr>
        <w:pStyle w:val="117"/>
        <w:ind w:firstLine="480"/>
      </w:pPr>
      <w:r>
        <w:rPr>
          <w:rFonts w:hint="eastAsia"/>
        </w:rPr>
        <w:t>根据《环境空气质量标准》（GB3095-2012）中功能区的划分要求，项目实施区域为二类功能区。</w:t>
      </w:r>
    </w:p>
    <w:p w14:paraId="20E4C27B">
      <w:pPr>
        <w:pStyle w:val="5"/>
      </w:pPr>
      <w:r>
        <w:rPr>
          <w:rFonts w:hint="eastAsia"/>
        </w:rPr>
        <w:t>地下水环境功能区划</w:t>
      </w:r>
    </w:p>
    <w:p w14:paraId="0305AD06">
      <w:pPr>
        <w:pStyle w:val="117"/>
        <w:ind w:firstLine="480"/>
      </w:pPr>
      <w:r>
        <w:rPr>
          <w:rFonts w:hint="eastAsia" w:ascii="宋体" w:hAnsi="宋体"/>
        </w:rPr>
        <w:t>根据《地下水质量标准》</w:t>
      </w:r>
      <w:r>
        <w:rPr>
          <w:rFonts w:hint="eastAsia"/>
        </w:rPr>
        <w:t>（</w:t>
      </w:r>
      <w:r>
        <w:t>GB/T14848-2017</w:t>
      </w:r>
      <w:r>
        <w:rPr>
          <w:rFonts w:hint="eastAsia"/>
        </w:rPr>
        <w:t>）</w:t>
      </w:r>
      <w:r>
        <w:rPr>
          <w:rFonts w:hint="eastAsia" w:ascii="宋体" w:hAnsi="宋体"/>
        </w:rPr>
        <w:t>地下水质量分类，工业园区规划范围内地下水均划为Ⅲ类功能区，以人体健康基准值为依据，主要适用于生活饮用水水源及工、农业用水。符合区域地下水使用功能要求</w:t>
      </w:r>
      <w:r>
        <w:rPr>
          <w:rFonts w:hint="eastAsia"/>
        </w:rPr>
        <w:t>。</w:t>
      </w:r>
    </w:p>
    <w:p w14:paraId="0BCB6579">
      <w:pPr>
        <w:pStyle w:val="5"/>
      </w:pPr>
      <w:r>
        <w:rPr>
          <w:rFonts w:hint="eastAsia"/>
        </w:rPr>
        <w:t>声环境功能区划</w:t>
      </w:r>
    </w:p>
    <w:p w14:paraId="15007F78">
      <w:pPr>
        <w:pStyle w:val="117"/>
        <w:ind w:firstLine="480"/>
      </w:pPr>
      <w:r>
        <w:rPr>
          <w:rFonts w:hint="eastAsia"/>
        </w:rPr>
        <w:t>根据《声环境质量标准》（GB3096-2008），项目所在区域属于声环境3类功能区。</w:t>
      </w:r>
    </w:p>
    <w:p w14:paraId="4F26E504">
      <w:pPr>
        <w:pStyle w:val="5"/>
      </w:pPr>
      <w:r>
        <w:rPr>
          <w:rFonts w:hint="eastAsia"/>
        </w:rPr>
        <w:t>生态功能区划</w:t>
      </w:r>
    </w:p>
    <w:p w14:paraId="222CB185">
      <w:pPr>
        <w:pStyle w:val="117"/>
        <w:ind w:firstLine="480"/>
        <w:rPr>
          <w:rFonts w:cs="Times New Roman"/>
        </w:rPr>
      </w:pPr>
      <w:r>
        <w:rPr>
          <w:rFonts w:cs="Times New Roman"/>
        </w:rPr>
        <w:t>根据《新疆生态功能区划》，</w:t>
      </w:r>
      <w:r>
        <w:rPr>
          <w:rFonts w:hint="eastAsia" w:cs="Times New Roman"/>
        </w:rPr>
        <w:t>项目</w:t>
      </w:r>
      <w:r>
        <w:rPr>
          <w:rFonts w:cs="Times New Roman"/>
        </w:rPr>
        <w:t>所在区域属于Ⅲ天山山地温性草原、森林生态区</w:t>
      </w:r>
      <w:r>
        <w:rPr>
          <w:rFonts w:hint="eastAsia" w:cs="Times New Roman"/>
        </w:rPr>
        <w:t>－</w:t>
      </w:r>
      <w:r>
        <w:rPr>
          <w:rFonts w:cs="Times New Roman"/>
        </w:rPr>
        <w:t>Ⅲ4 天山南坡吐鲁番—哈密盆地戈壁荒漠、绿洲农业生态亚区-53．嘎顺—南湖戈壁荒漠风蚀敏感生态功能区，该功能区主要的特征见表1-5-1。</w:t>
      </w:r>
    </w:p>
    <w:p w14:paraId="27A2FC0E">
      <w:pPr>
        <w:pStyle w:val="118"/>
        <w:rPr>
          <w:color w:val="auto"/>
        </w:rPr>
      </w:pPr>
      <w:r>
        <w:rPr>
          <w:rFonts w:hint="eastAsia"/>
          <w:color w:val="auto"/>
        </w:rPr>
        <w:t>表1-5-1  生态功能区主要特征</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13"/>
        <w:gridCol w:w="5909"/>
      </w:tblGrid>
      <w:tr w14:paraId="6681D7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3" w:type="pct"/>
            <w:tcBorders>
              <w:tl2br w:val="single" w:color="auto" w:sz="4" w:space="0"/>
            </w:tcBorders>
            <w:vAlign w:val="center"/>
          </w:tcPr>
          <w:p w14:paraId="32AC7C87">
            <w:pPr>
              <w:pStyle w:val="133"/>
              <w:rPr>
                <w:b/>
                <w:bCs/>
              </w:rPr>
            </w:pPr>
            <w:r>
              <w:rPr>
                <w:rFonts w:hint="eastAsia"/>
                <w:b/>
                <w:bCs/>
              </w:rPr>
              <w:t>名称</w:t>
            </w:r>
          </w:p>
          <w:p w14:paraId="1E321FE9">
            <w:pPr>
              <w:pStyle w:val="133"/>
              <w:rPr>
                <w:b/>
                <w:bCs/>
              </w:rPr>
            </w:pPr>
            <w:r>
              <w:rPr>
                <w:rFonts w:hint="eastAsia"/>
                <w:b/>
                <w:bCs/>
              </w:rPr>
              <w:t>内容</w:t>
            </w:r>
          </w:p>
        </w:tc>
        <w:tc>
          <w:tcPr>
            <w:tcW w:w="3467" w:type="pct"/>
            <w:tcBorders>
              <w:bottom w:val="single" w:color="auto" w:sz="4" w:space="0"/>
            </w:tcBorders>
            <w:vAlign w:val="center"/>
          </w:tcPr>
          <w:p w14:paraId="03FEF175">
            <w:pPr>
              <w:pStyle w:val="133"/>
              <w:rPr>
                <w:b/>
                <w:bCs/>
              </w:rPr>
            </w:pPr>
            <w:r>
              <w:rPr>
                <w:rFonts w:hint="eastAsia"/>
                <w:b/>
                <w:bCs/>
              </w:rPr>
              <w:t>嘎顺—南湖戈壁荒漠风蚀敏感生态功能区</w:t>
            </w:r>
          </w:p>
        </w:tc>
      </w:tr>
      <w:tr w14:paraId="3054F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3" w:type="pct"/>
            <w:vAlign w:val="center"/>
          </w:tcPr>
          <w:p w14:paraId="1E3E5D61">
            <w:pPr>
              <w:pStyle w:val="133"/>
            </w:pPr>
            <w:r>
              <w:rPr>
                <w:rFonts w:hint="eastAsia"/>
              </w:rPr>
              <w:t>主要生态服务功能</w:t>
            </w:r>
          </w:p>
        </w:tc>
        <w:tc>
          <w:tcPr>
            <w:tcW w:w="3467" w:type="pct"/>
            <w:tcBorders>
              <w:top w:val="single" w:color="auto" w:sz="4" w:space="0"/>
            </w:tcBorders>
            <w:vAlign w:val="center"/>
          </w:tcPr>
          <w:p w14:paraId="59912568">
            <w:pPr>
              <w:pStyle w:val="133"/>
            </w:pPr>
            <w:r>
              <w:rPr>
                <w:rFonts w:hint="eastAsia"/>
              </w:rPr>
              <w:t>荒漠化控制、生物多样性维护、矿产资源开发</w:t>
            </w:r>
          </w:p>
        </w:tc>
      </w:tr>
      <w:tr w14:paraId="472A77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3" w:type="pct"/>
            <w:vAlign w:val="center"/>
          </w:tcPr>
          <w:p w14:paraId="46CC1C4F">
            <w:pPr>
              <w:pStyle w:val="133"/>
            </w:pPr>
            <w:r>
              <w:rPr>
                <w:rFonts w:hint="eastAsia"/>
              </w:rPr>
              <w:t>主要生态环境问题</w:t>
            </w:r>
          </w:p>
        </w:tc>
        <w:tc>
          <w:tcPr>
            <w:tcW w:w="3467" w:type="pct"/>
            <w:vAlign w:val="center"/>
          </w:tcPr>
          <w:p w14:paraId="1F66D5F2">
            <w:pPr>
              <w:pStyle w:val="133"/>
            </w:pPr>
            <w:r>
              <w:rPr>
                <w:rFonts w:hint="eastAsia"/>
              </w:rPr>
              <w:t>风沙危害铁路公路、地表形态破坏</w:t>
            </w:r>
          </w:p>
        </w:tc>
      </w:tr>
      <w:tr w14:paraId="24FFD8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3" w:type="pct"/>
            <w:vAlign w:val="center"/>
          </w:tcPr>
          <w:p w14:paraId="432B30D9">
            <w:pPr>
              <w:pStyle w:val="133"/>
            </w:pPr>
            <w:r>
              <w:rPr>
                <w:rFonts w:hint="eastAsia"/>
              </w:rPr>
              <w:t>主要生态敏感因子、敏感程度</w:t>
            </w:r>
          </w:p>
        </w:tc>
        <w:tc>
          <w:tcPr>
            <w:tcW w:w="3467" w:type="pct"/>
            <w:vAlign w:val="center"/>
          </w:tcPr>
          <w:p w14:paraId="6AFDC873">
            <w:pPr>
              <w:pStyle w:val="133"/>
            </w:pPr>
            <w:r>
              <w:rPr>
                <w:rFonts w:hint="eastAsia"/>
              </w:rPr>
              <w:t>生物多样性及其生境高度敏感，土壤侵蚀极度敏感，土地沙漠化轻度敏感</w:t>
            </w:r>
          </w:p>
        </w:tc>
      </w:tr>
      <w:tr w14:paraId="2B51D3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3" w:type="pct"/>
            <w:vAlign w:val="center"/>
          </w:tcPr>
          <w:p w14:paraId="06307913">
            <w:pPr>
              <w:pStyle w:val="133"/>
            </w:pPr>
            <w:r>
              <w:rPr>
                <w:rFonts w:hint="eastAsia"/>
              </w:rPr>
              <w:t>主要保护目标</w:t>
            </w:r>
          </w:p>
        </w:tc>
        <w:tc>
          <w:tcPr>
            <w:tcW w:w="3467" w:type="pct"/>
            <w:vAlign w:val="center"/>
          </w:tcPr>
          <w:p w14:paraId="0CA18401">
            <w:pPr>
              <w:pStyle w:val="133"/>
            </w:pPr>
            <w:r>
              <w:rPr>
                <w:rFonts w:hint="eastAsia"/>
              </w:rPr>
              <w:t>保护砾幕、保护野生动植物、保护铁路公路、保护戈壁泉眼</w:t>
            </w:r>
          </w:p>
        </w:tc>
      </w:tr>
      <w:tr w14:paraId="47DA67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3" w:type="pct"/>
            <w:vAlign w:val="center"/>
          </w:tcPr>
          <w:p w14:paraId="7D273934">
            <w:pPr>
              <w:pStyle w:val="133"/>
            </w:pPr>
            <w:r>
              <w:rPr>
                <w:rFonts w:hint="eastAsia"/>
              </w:rPr>
              <w:t>主要保护措施</w:t>
            </w:r>
          </w:p>
        </w:tc>
        <w:tc>
          <w:tcPr>
            <w:tcW w:w="3467" w:type="pct"/>
            <w:vAlign w:val="center"/>
          </w:tcPr>
          <w:p w14:paraId="64CA8197">
            <w:pPr>
              <w:pStyle w:val="133"/>
            </w:pPr>
            <w:r>
              <w:rPr>
                <w:rFonts w:hint="eastAsia"/>
              </w:rPr>
              <w:t>减少公路管道工程破坏地表植被、保护矿区生态、铁路公路沿线防风固沙</w:t>
            </w:r>
          </w:p>
        </w:tc>
      </w:tr>
      <w:tr w14:paraId="3A0DAD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33" w:type="pct"/>
            <w:vAlign w:val="center"/>
          </w:tcPr>
          <w:p w14:paraId="20CFFD67">
            <w:pPr>
              <w:pStyle w:val="133"/>
            </w:pPr>
            <w:r>
              <w:rPr>
                <w:rFonts w:hint="eastAsia"/>
              </w:rPr>
              <w:t>适宜发展方向</w:t>
            </w:r>
          </w:p>
        </w:tc>
        <w:tc>
          <w:tcPr>
            <w:tcW w:w="3467" w:type="pct"/>
            <w:vAlign w:val="center"/>
          </w:tcPr>
          <w:p w14:paraId="66392A03">
            <w:pPr>
              <w:pStyle w:val="133"/>
            </w:pPr>
            <w:r>
              <w:rPr>
                <w:rFonts w:hint="eastAsia"/>
              </w:rPr>
              <w:t>保护荒漠自然景观，维护生态平衡</w:t>
            </w:r>
          </w:p>
        </w:tc>
      </w:tr>
    </w:tbl>
    <w:p w14:paraId="39D43CB9">
      <w:pPr>
        <w:pStyle w:val="133"/>
      </w:pPr>
      <w:bookmarkStart w:id="150" w:name="_Toc1207"/>
    </w:p>
    <w:p w14:paraId="1E2A5096">
      <w:pPr>
        <w:pStyle w:val="138"/>
        <w:rPr>
          <w:rFonts w:hint="eastAsia"/>
        </w:rPr>
      </w:pPr>
      <w:r>
        <w:rPr>
          <w:rFonts w:hint="eastAsia"/>
        </w:rPr>
        <w:t>环境质量标准</w:t>
      </w:r>
      <w:bookmarkEnd w:id="150"/>
    </w:p>
    <w:p w14:paraId="586259FD">
      <w:pPr>
        <w:pStyle w:val="5"/>
      </w:pPr>
      <w:r>
        <w:rPr>
          <w:rFonts w:hint="eastAsia"/>
        </w:rPr>
        <w:t>大气环境评价标准</w:t>
      </w:r>
    </w:p>
    <w:bookmarkEnd w:id="147"/>
    <w:bookmarkEnd w:id="148"/>
    <w:p w14:paraId="50233466">
      <w:pPr>
        <w:pStyle w:val="117"/>
        <w:ind w:firstLine="480"/>
      </w:pPr>
      <w:r>
        <w:rPr>
          <w:rFonts w:hint="eastAsia"/>
        </w:rPr>
        <w:t>本次评价中大气环境常规因子及TSP、苯并[a]芘执行《环境空气质量标准》（GB3095-2012）中的二级标准；HCl、N</w:t>
      </w:r>
      <w:r>
        <w:t>H</w:t>
      </w:r>
      <w:r>
        <w:rPr>
          <w:vertAlign w:val="subscript"/>
        </w:rPr>
        <w:t>3</w:t>
      </w:r>
      <w:r>
        <w:rPr>
          <w:rFonts w:hint="eastAsia"/>
        </w:rPr>
        <w:t>和H</w:t>
      </w:r>
      <w:r>
        <w:rPr>
          <w:vertAlign w:val="subscript"/>
        </w:rPr>
        <w:t>2</w:t>
      </w:r>
      <w:r>
        <w:t>S</w:t>
      </w:r>
      <w:r>
        <w:rPr>
          <w:rFonts w:hint="eastAsia"/>
        </w:rPr>
        <w:t>执行《环境影响评价技术导则 大气环境》（HJ2.2-2018）附录D中表D.1其他污染物空气质量浓度参考限值；N</w:t>
      </w:r>
      <w:r>
        <w:t>MHC</w:t>
      </w:r>
      <w:r>
        <w:rPr>
          <w:rFonts w:hint="eastAsia"/>
        </w:rPr>
        <w:t>执行《大气污染物综合排放标准详解》中一次浓度限值。</w:t>
      </w:r>
    </w:p>
    <w:p w14:paraId="719DFFB3">
      <w:pPr>
        <w:pStyle w:val="117"/>
        <w:ind w:firstLine="480"/>
      </w:pPr>
      <w:r>
        <w:rPr>
          <w:rFonts w:hint="eastAsia"/>
        </w:rPr>
        <w:t>标准限值见表1.5-2。</w:t>
      </w:r>
    </w:p>
    <w:p w14:paraId="55675D47">
      <w:pPr>
        <w:pStyle w:val="118"/>
        <w:rPr>
          <w:color w:val="auto"/>
        </w:rPr>
      </w:pPr>
      <w:r>
        <w:rPr>
          <w:rFonts w:hint="eastAsia"/>
          <w:color w:val="auto"/>
        </w:rPr>
        <w:t>表1.5-2  环境空气质量评价标准</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33"/>
        <w:gridCol w:w="1416"/>
        <w:gridCol w:w="1986"/>
        <w:gridCol w:w="1703"/>
        <w:gridCol w:w="2884"/>
      </w:tblGrid>
      <w:tr w14:paraId="7CDB38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79725251">
            <w:pPr>
              <w:pStyle w:val="133"/>
              <w:rPr>
                <w:b/>
                <w:bCs/>
              </w:rPr>
            </w:pPr>
            <w:bookmarkStart w:id="151" w:name="OLE_LINK57"/>
            <w:r>
              <w:rPr>
                <w:rFonts w:hint="eastAsia"/>
                <w:b/>
                <w:bCs/>
              </w:rPr>
              <w:t>序号</w:t>
            </w:r>
          </w:p>
        </w:tc>
        <w:tc>
          <w:tcPr>
            <w:tcW w:w="831" w:type="pct"/>
            <w:vMerge w:val="restart"/>
            <w:vAlign w:val="center"/>
          </w:tcPr>
          <w:p w14:paraId="31CCF25A">
            <w:pPr>
              <w:pStyle w:val="133"/>
              <w:rPr>
                <w:b/>
                <w:bCs/>
              </w:rPr>
            </w:pPr>
            <w:r>
              <w:rPr>
                <w:rFonts w:hint="eastAsia"/>
                <w:b/>
                <w:bCs/>
              </w:rPr>
              <w:t>污染物名称</w:t>
            </w:r>
          </w:p>
        </w:tc>
        <w:tc>
          <w:tcPr>
            <w:tcW w:w="1165" w:type="pct"/>
            <w:vMerge w:val="restart"/>
            <w:vAlign w:val="center"/>
          </w:tcPr>
          <w:p w14:paraId="1E7A232A">
            <w:pPr>
              <w:pStyle w:val="133"/>
              <w:rPr>
                <w:b/>
                <w:bCs/>
              </w:rPr>
            </w:pPr>
            <w:r>
              <w:rPr>
                <w:rFonts w:hint="eastAsia"/>
                <w:b/>
                <w:bCs/>
              </w:rPr>
              <w:t>取值时间</w:t>
            </w:r>
          </w:p>
        </w:tc>
        <w:tc>
          <w:tcPr>
            <w:tcW w:w="2691" w:type="pct"/>
            <w:gridSpan w:val="2"/>
            <w:vAlign w:val="center"/>
          </w:tcPr>
          <w:p w14:paraId="4EA3CC23">
            <w:pPr>
              <w:pStyle w:val="133"/>
              <w:rPr>
                <w:b/>
                <w:bCs/>
              </w:rPr>
            </w:pPr>
            <w:r>
              <w:rPr>
                <w:rFonts w:hint="eastAsia"/>
                <w:b/>
                <w:bCs/>
              </w:rPr>
              <w:t>本次评价标准</w:t>
            </w:r>
          </w:p>
        </w:tc>
      </w:tr>
      <w:tr w14:paraId="5FD75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010BB6CC">
            <w:pPr>
              <w:pStyle w:val="133"/>
              <w:rPr>
                <w:b/>
                <w:bCs/>
              </w:rPr>
            </w:pPr>
          </w:p>
        </w:tc>
        <w:tc>
          <w:tcPr>
            <w:tcW w:w="831" w:type="pct"/>
            <w:vMerge w:val="continue"/>
            <w:vAlign w:val="center"/>
          </w:tcPr>
          <w:p w14:paraId="397054E6">
            <w:pPr>
              <w:pStyle w:val="133"/>
              <w:rPr>
                <w:b/>
                <w:bCs/>
              </w:rPr>
            </w:pPr>
          </w:p>
        </w:tc>
        <w:tc>
          <w:tcPr>
            <w:tcW w:w="1165" w:type="pct"/>
            <w:vMerge w:val="continue"/>
            <w:vAlign w:val="center"/>
          </w:tcPr>
          <w:p w14:paraId="2575DC84">
            <w:pPr>
              <w:pStyle w:val="133"/>
              <w:rPr>
                <w:b/>
                <w:bCs/>
              </w:rPr>
            </w:pPr>
          </w:p>
        </w:tc>
        <w:tc>
          <w:tcPr>
            <w:tcW w:w="999" w:type="pct"/>
            <w:vAlign w:val="center"/>
          </w:tcPr>
          <w:p w14:paraId="3599748B">
            <w:pPr>
              <w:pStyle w:val="133"/>
              <w:rPr>
                <w:b/>
                <w:bCs/>
              </w:rPr>
            </w:pPr>
            <w:r>
              <w:rPr>
                <w:rFonts w:hint="eastAsia"/>
                <w:b/>
                <w:bCs/>
              </w:rPr>
              <w:t>标准值（</w:t>
            </w:r>
            <w:r>
              <w:rPr>
                <w:rFonts w:cs="Times New Roman"/>
                <w:b/>
                <w:bCs/>
              </w:rPr>
              <w:t>μ</w:t>
            </w:r>
            <w:r>
              <w:rPr>
                <w:rFonts w:hint="eastAsia"/>
                <w:b/>
                <w:bCs/>
              </w:rPr>
              <w:t>g/m</w:t>
            </w:r>
            <w:r>
              <w:rPr>
                <w:rFonts w:hint="eastAsia"/>
                <w:b/>
                <w:bCs/>
                <w:vertAlign w:val="superscript"/>
              </w:rPr>
              <w:t>3</w:t>
            </w:r>
            <w:r>
              <w:rPr>
                <w:rFonts w:hint="eastAsia"/>
                <w:b/>
                <w:bCs/>
              </w:rPr>
              <w:t>）</w:t>
            </w:r>
          </w:p>
        </w:tc>
        <w:tc>
          <w:tcPr>
            <w:tcW w:w="1692" w:type="pct"/>
            <w:vAlign w:val="center"/>
          </w:tcPr>
          <w:p w14:paraId="5B18C200">
            <w:pPr>
              <w:pStyle w:val="133"/>
              <w:rPr>
                <w:b/>
                <w:bCs/>
              </w:rPr>
            </w:pPr>
            <w:r>
              <w:rPr>
                <w:rFonts w:hint="eastAsia"/>
                <w:b/>
                <w:bCs/>
              </w:rPr>
              <w:t>标准来源</w:t>
            </w:r>
          </w:p>
        </w:tc>
      </w:tr>
      <w:tr w14:paraId="0188B7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63CF043B">
            <w:pPr>
              <w:pStyle w:val="133"/>
            </w:pPr>
            <w:r>
              <w:rPr>
                <w:rFonts w:hint="eastAsia"/>
              </w:rPr>
              <w:t>1</w:t>
            </w:r>
          </w:p>
        </w:tc>
        <w:tc>
          <w:tcPr>
            <w:tcW w:w="831" w:type="pct"/>
            <w:vMerge w:val="restart"/>
            <w:vAlign w:val="center"/>
          </w:tcPr>
          <w:p w14:paraId="17E23B14">
            <w:pPr>
              <w:pStyle w:val="133"/>
            </w:pPr>
            <w:r>
              <w:rPr>
                <w:rFonts w:hint="eastAsia"/>
              </w:rPr>
              <w:t>PM</w:t>
            </w:r>
            <w:r>
              <w:rPr>
                <w:rFonts w:hint="eastAsia"/>
                <w:vertAlign w:val="subscript"/>
              </w:rPr>
              <w:t>2.5</w:t>
            </w:r>
          </w:p>
        </w:tc>
        <w:tc>
          <w:tcPr>
            <w:tcW w:w="1165" w:type="pct"/>
            <w:vAlign w:val="center"/>
          </w:tcPr>
          <w:p w14:paraId="5D013A77">
            <w:pPr>
              <w:pStyle w:val="133"/>
            </w:pPr>
            <w:r>
              <w:rPr>
                <w:rFonts w:hint="eastAsia"/>
              </w:rPr>
              <w:t>年平均</w:t>
            </w:r>
          </w:p>
        </w:tc>
        <w:tc>
          <w:tcPr>
            <w:tcW w:w="999" w:type="pct"/>
            <w:vAlign w:val="center"/>
          </w:tcPr>
          <w:p w14:paraId="132CDD05">
            <w:pPr>
              <w:pStyle w:val="133"/>
            </w:pPr>
            <w:r>
              <w:rPr>
                <w:rFonts w:hint="eastAsia"/>
              </w:rPr>
              <w:t>35</w:t>
            </w:r>
          </w:p>
        </w:tc>
        <w:tc>
          <w:tcPr>
            <w:tcW w:w="1692" w:type="pct"/>
            <w:vMerge w:val="restart"/>
            <w:vAlign w:val="center"/>
          </w:tcPr>
          <w:p w14:paraId="3B27D0F9">
            <w:pPr>
              <w:pStyle w:val="133"/>
            </w:pPr>
            <w:r>
              <w:rPr>
                <w:rFonts w:hint="eastAsia"/>
              </w:rPr>
              <w:t>《环境空气质量标准》（GB3095-2012）</w:t>
            </w:r>
          </w:p>
        </w:tc>
      </w:tr>
      <w:tr w14:paraId="089C72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74E9EC95">
            <w:pPr>
              <w:pStyle w:val="133"/>
            </w:pPr>
          </w:p>
        </w:tc>
        <w:tc>
          <w:tcPr>
            <w:tcW w:w="831" w:type="pct"/>
            <w:vMerge w:val="continue"/>
            <w:vAlign w:val="center"/>
          </w:tcPr>
          <w:p w14:paraId="4D25F907">
            <w:pPr>
              <w:pStyle w:val="133"/>
            </w:pPr>
          </w:p>
        </w:tc>
        <w:tc>
          <w:tcPr>
            <w:tcW w:w="1165" w:type="pct"/>
            <w:vAlign w:val="center"/>
          </w:tcPr>
          <w:p w14:paraId="44CF724F">
            <w:pPr>
              <w:pStyle w:val="133"/>
            </w:pPr>
            <w:r>
              <w:rPr>
                <w:rFonts w:hint="eastAsia"/>
              </w:rPr>
              <w:t>24小时平均</w:t>
            </w:r>
          </w:p>
        </w:tc>
        <w:tc>
          <w:tcPr>
            <w:tcW w:w="999" w:type="pct"/>
            <w:vAlign w:val="center"/>
          </w:tcPr>
          <w:p w14:paraId="656128B3">
            <w:pPr>
              <w:pStyle w:val="133"/>
            </w:pPr>
            <w:r>
              <w:rPr>
                <w:rFonts w:hint="eastAsia"/>
              </w:rPr>
              <w:t>75</w:t>
            </w:r>
          </w:p>
        </w:tc>
        <w:tc>
          <w:tcPr>
            <w:tcW w:w="1692" w:type="pct"/>
            <w:vMerge w:val="continue"/>
            <w:vAlign w:val="center"/>
          </w:tcPr>
          <w:p w14:paraId="5B63395C">
            <w:pPr>
              <w:pStyle w:val="133"/>
            </w:pPr>
          </w:p>
        </w:tc>
      </w:tr>
      <w:tr w14:paraId="0B108D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74E3C69E">
            <w:pPr>
              <w:pStyle w:val="133"/>
            </w:pPr>
            <w:r>
              <w:rPr>
                <w:rFonts w:hint="eastAsia"/>
              </w:rPr>
              <w:t>2</w:t>
            </w:r>
          </w:p>
        </w:tc>
        <w:tc>
          <w:tcPr>
            <w:tcW w:w="831" w:type="pct"/>
            <w:vMerge w:val="restart"/>
            <w:vAlign w:val="center"/>
          </w:tcPr>
          <w:p w14:paraId="6147801A">
            <w:pPr>
              <w:pStyle w:val="133"/>
            </w:pPr>
            <w:r>
              <w:rPr>
                <w:rFonts w:hint="eastAsia"/>
              </w:rPr>
              <w:t>PM</w:t>
            </w:r>
            <w:r>
              <w:rPr>
                <w:rFonts w:hint="eastAsia"/>
                <w:vertAlign w:val="subscript"/>
              </w:rPr>
              <w:t>10</w:t>
            </w:r>
          </w:p>
        </w:tc>
        <w:tc>
          <w:tcPr>
            <w:tcW w:w="1165" w:type="pct"/>
            <w:vAlign w:val="center"/>
          </w:tcPr>
          <w:p w14:paraId="0F0A4415">
            <w:pPr>
              <w:pStyle w:val="133"/>
            </w:pPr>
            <w:r>
              <w:rPr>
                <w:rFonts w:hint="eastAsia"/>
              </w:rPr>
              <w:t>年平均</w:t>
            </w:r>
          </w:p>
        </w:tc>
        <w:tc>
          <w:tcPr>
            <w:tcW w:w="999" w:type="pct"/>
            <w:vAlign w:val="center"/>
          </w:tcPr>
          <w:p w14:paraId="17E29CEB">
            <w:pPr>
              <w:pStyle w:val="133"/>
            </w:pPr>
            <w:r>
              <w:rPr>
                <w:rFonts w:hint="eastAsia"/>
              </w:rPr>
              <w:t>70</w:t>
            </w:r>
          </w:p>
        </w:tc>
        <w:tc>
          <w:tcPr>
            <w:tcW w:w="1692" w:type="pct"/>
            <w:vMerge w:val="continue"/>
            <w:vAlign w:val="center"/>
          </w:tcPr>
          <w:p w14:paraId="6BAA9B31">
            <w:pPr>
              <w:pStyle w:val="133"/>
            </w:pPr>
          </w:p>
        </w:tc>
      </w:tr>
      <w:tr w14:paraId="70CF1B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14FE2FEA">
            <w:pPr>
              <w:pStyle w:val="133"/>
            </w:pPr>
          </w:p>
        </w:tc>
        <w:tc>
          <w:tcPr>
            <w:tcW w:w="831" w:type="pct"/>
            <w:vMerge w:val="continue"/>
            <w:vAlign w:val="center"/>
          </w:tcPr>
          <w:p w14:paraId="7680E199">
            <w:pPr>
              <w:pStyle w:val="133"/>
            </w:pPr>
          </w:p>
        </w:tc>
        <w:tc>
          <w:tcPr>
            <w:tcW w:w="1165" w:type="pct"/>
            <w:vAlign w:val="center"/>
          </w:tcPr>
          <w:p w14:paraId="495B9042">
            <w:pPr>
              <w:pStyle w:val="133"/>
            </w:pPr>
            <w:r>
              <w:rPr>
                <w:rFonts w:hint="eastAsia"/>
              </w:rPr>
              <w:t>24小时平均</w:t>
            </w:r>
          </w:p>
        </w:tc>
        <w:tc>
          <w:tcPr>
            <w:tcW w:w="999" w:type="pct"/>
            <w:vAlign w:val="center"/>
          </w:tcPr>
          <w:p w14:paraId="58BA208C">
            <w:pPr>
              <w:pStyle w:val="133"/>
            </w:pPr>
            <w:r>
              <w:rPr>
                <w:rFonts w:hint="eastAsia"/>
              </w:rPr>
              <w:t>150</w:t>
            </w:r>
          </w:p>
        </w:tc>
        <w:tc>
          <w:tcPr>
            <w:tcW w:w="1692" w:type="pct"/>
            <w:vMerge w:val="continue"/>
            <w:vAlign w:val="center"/>
          </w:tcPr>
          <w:p w14:paraId="777F7C43">
            <w:pPr>
              <w:pStyle w:val="133"/>
            </w:pPr>
          </w:p>
        </w:tc>
      </w:tr>
      <w:tr w14:paraId="6D1E5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54641B73">
            <w:pPr>
              <w:pStyle w:val="133"/>
            </w:pPr>
            <w:r>
              <w:rPr>
                <w:rFonts w:hint="eastAsia"/>
              </w:rPr>
              <w:t>3</w:t>
            </w:r>
          </w:p>
        </w:tc>
        <w:tc>
          <w:tcPr>
            <w:tcW w:w="831" w:type="pct"/>
            <w:vMerge w:val="restart"/>
            <w:vAlign w:val="center"/>
          </w:tcPr>
          <w:p w14:paraId="1F7DDF86">
            <w:pPr>
              <w:pStyle w:val="133"/>
            </w:pPr>
            <w:r>
              <w:rPr>
                <w:rFonts w:hint="eastAsia"/>
              </w:rPr>
              <w:t>SO</w:t>
            </w:r>
            <w:r>
              <w:rPr>
                <w:rFonts w:hint="eastAsia"/>
                <w:vertAlign w:val="subscript"/>
              </w:rPr>
              <w:t>2</w:t>
            </w:r>
          </w:p>
        </w:tc>
        <w:tc>
          <w:tcPr>
            <w:tcW w:w="1165" w:type="pct"/>
            <w:vAlign w:val="center"/>
          </w:tcPr>
          <w:p w14:paraId="3AF4DBDD">
            <w:pPr>
              <w:pStyle w:val="133"/>
            </w:pPr>
            <w:r>
              <w:rPr>
                <w:rFonts w:hint="eastAsia"/>
              </w:rPr>
              <w:t>年平均</w:t>
            </w:r>
          </w:p>
        </w:tc>
        <w:tc>
          <w:tcPr>
            <w:tcW w:w="999" w:type="pct"/>
            <w:vAlign w:val="center"/>
          </w:tcPr>
          <w:p w14:paraId="5EA3925D">
            <w:pPr>
              <w:pStyle w:val="133"/>
            </w:pPr>
            <w:r>
              <w:rPr>
                <w:rFonts w:hint="eastAsia"/>
              </w:rPr>
              <w:t>60</w:t>
            </w:r>
          </w:p>
        </w:tc>
        <w:tc>
          <w:tcPr>
            <w:tcW w:w="1692" w:type="pct"/>
            <w:vMerge w:val="continue"/>
            <w:vAlign w:val="center"/>
          </w:tcPr>
          <w:p w14:paraId="4432D4E6">
            <w:pPr>
              <w:pStyle w:val="133"/>
            </w:pPr>
          </w:p>
        </w:tc>
      </w:tr>
      <w:tr w14:paraId="1AB8F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3F06DDA4">
            <w:pPr>
              <w:pStyle w:val="133"/>
            </w:pPr>
          </w:p>
        </w:tc>
        <w:tc>
          <w:tcPr>
            <w:tcW w:w="831" w:type="pct"/>
            <w:vMerge w:val="continue"/>
            <w:vAlign w:val="center"/>
          </w:tcPr>
          <w:p w14:paraId="0571B153">
            <w:pPr>
              <w:pStyle w:val="133"/>
            </w:pPr>
          </w:p>
        </w:tc>
        <w:tc>
          <w:tcPr>
            <w:tcW w:w="1165" w:type="pct"/>
            <w:vAlign w:val="center"/>
          </w:tcPr>
          <w:p w14:paraId="75AC8156">
            <w:pPr>
              <w:pStyle w:val="133"/>
            </w:pPr>
            <w:r>
              <w:rPr>
                <w:rFonts w:hint="eastAsia"/>
              </w:rPr>
              <w:t>24小时平均</w:t>
            </w:r>
          </w:p>
        </w:tc>
        <w:tc>
          <w:tcPr>
            <w:tcW w:w="999" w:type="pct"/>
            <w:vAlign w:val="center"/>
          </w:tcPr>
          <w:p w14:paraId="75EAA551">
            <w:pPr>
              <w:pStyle w:val="133"/>
            </w:pPr>
            <w:r>
              <w:rPr>
                <w:rFonts w:hint="eastAsia"/>
              </w:rPr>
              <w:t>150</w:t>
            </w:r>
          </w:p>
        </w:tc>
        <w:tc>
          <w:tcPr>
            <w:tcW w:w="1692" w:type="pct"/>
            <w:vMerge w:val="continue"/>
            <w:vAlign w:val="center"/>
          </w:tcPr>
          <w:p w14:paraId="45D515FA">
            <w:pPr>
              <w:pStyle w:val="133"/>
            </w:pPr>
          </w:p>
        </w:tc>
      </w:tr>
      <w:tr w14:paraId="317776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4471EE30">
            <w:pPr>
              <w:pStyle w:val="133"/>
            </w:pPr>
          </w:p>
        </w:tc>
        <w:tc>
          <w:tcPr>
            <w:tcW w:w="831" w:type="pct"/>
            <w:vMerge w:val="continue"/>
            <w:vAlign w:val="center"/>
          </w:tcPr>
          <w:p w14:paraId="61CB7849">
            <w:pPr>
              <w:pStyle w:val="133"/>
            </w:pPr>
          </w:p>
        </w:tc>
        <w:tc>
          <w:tcPr>
            <w:tcW w:w="1165" w:type="pct"/>
            <w:vAlign w:val="center"/>
          </w:tcPr>
          <w:p w14:paraId="55D261FC">
            <w:pPr>
              <w:pStyle w:val="133"/>
            </w:pPr>
            <w:r>
              <w:rPr>
                <w:rFonts w:hint="eastAsia"/>
              </w:rPr>
              <w:t>1小时平均</w:t>
            </w:r>
          </w:p>
        </w:tc>
        <w:tc>
          <w:tcPr>
            <w:tcW w:w="999" w:type="pct"/>
            <w:vAlign w:val="center"/>
          </w:tcPr>
          <w:p w14:paraId="0305D5BF">
            <w:pPr>
              <w:pStyle w:val="133"/>
            </w:pPr>
            <w:r>
              <w:rPr>
                <w:rFonts w:hint="eastAsia"/>
              </w:rPr>
              <w:t>500</w:t>
            </w:r>
          </w:p>
        </w:tc>
        <w:tc>
          <w:tcPr>
            <w:tcW w:w="1692" w:type="pct"/>
            <w:vMerge w:val="continue"/>
            <w:vAlign w:val="center"/>
          </w:tcPr>
          <w:p w14:paraId="11E5A1A8">
            <w:pPr>
              <w:pStyle w:val="133"/>
            </w:pPr>
          </w:p>
        </w:tc>
      </w:tr>
      <w:tr w14:paraId="1A8A39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4F0581F7">
            <w:pPr>
              <w:pStyle w:val="133"/>
            </w:pPr>
            <w:r>
              <w:rPr>
                <w:rFonts w:hint="eastAsia"/>
              </w:rPr>
              <w:t>4</w:t>
            </w:r>
          </w:p>
        </w:tc>
        <w:tc>
          <w:tcPr>
            <w:tcW w:w="831" w:type="pct"/>
            <w:vMerge w:val="restart"/>
            <w:vAlign w:val="center"/>
          </w:tcPr>
          <w:p w14:paraId="2157BDF2">
            <w:pPr>
              <w:pStyle w:val="133"/>
            </w:pPr>
            <w:r>
              <w:rPr>
                <w:rFonts w:hint="eastAsia"/>
              </w:rPr>
              <w:t>NO</w:t>
            </w:r>
            <w:r>
              <w:rPr>
                <w:rFonts w:hint="eastAsia"/>
                <w:vertAlign w:val="subscript"/>
              </w:rPr>
              <w:t>2</w:t>
            </w:r>
          </w:p>
        </w:tc>
        <w:tc>
          <w:tcPr>
            <w:tcW w:w="1165" w:type="pct"/>
            <w:vAlign w:val="center"/>
          </w:tcPr>
          <w:p w14:paraId="3E1E9EE4">
            <w:pPr>
              <w:pStyle w:val="133"/>
            </w:pPr>
            <w:r>
              <w:rPr>
                <w:rFonts w:hint="eastAsia"/>
              </w:rPr>
              <w:t>年平均</w:t>
            </w:r>
          </w:p>
        </w:tc>
        <w:tc>
          <w:tcPr>
            <w:tcW w:w="999" w:type="pct"/>
            <w:vAlign w:val="center"/>
          </w:tcPr>
          <w:p w14:paraId="37C27096">
            <w:pPr>
              <w:pStyle w:val="133"/>
            </w:pPr>
            <w:r>
              <w:rPr>
                <w:rFonts w:hint="eastAsia"/>
              </w:rPr>
              <w:t>40</w:t>
            </w:r>
          </w:p>
        </w:tc>
        <w:tc>
          <w:tcPr>
            <w:tcW w:w="1692" w:type="pct"/>
            <w:vMerge w:val="continue"/>
            <w:vAlign w:val="center"/>
          </w:tcPr>
          <w:p w14:paraId="39660994">
            <w:pPr>
              <w:pStyle w:val="133"/>
            </w:pPr>
          </w:p>
        </w:tc>
      </w:tr>
      <w:tr w14:paraId="586E0B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43CCA8F5">
            <w:pPr>
              <w:pStyle w:val="133"/>
            </w:pPr>
          </w:p>
        </w:tc>
        <w:tc>
          <w:tcPr>
            <w:tcW w:w="831" w:type="pct"/>
            <w:vMerge w:val="continue"/>
            <w:vAlign w:val="center"/>
          </w:tcPr>
          <w:p w14:paraId="1D7AA775">
            <w:pPr>
              <w:pStyle w:val="133"/>
            </w:pPr>
          </w:p>
        </w:tc>
        <w:tc>
          <w:tcPr>
            <w:tcW w:w="1165" w:type="pct"/>
            <w:vAlign w:val="center"/>
          </w:tcPr>
          <w:p w14:paraId="0576EEED">
            <w:pPr>
              <w:pStyle w:val="133"/>
            </w:pPr>
            <w:r>
              <w:rPr>
                <w:rFonts w:hint="eastAsia"/>
              </w:rPr>
              <w:t>24小时平均</w:t>
            </w:r>
          </w:p>
        </w:tc>
        <w:tc>
          <w:tcPr>
            <w:tcW w:w="999" w:type="pct"/>
            <w:vAlign w:val="center"/>
          </w:tcPr>
          <w:p w14:paraId="3EB8AF26">
            <w:pPr>
              <w:pStyle w:val="133"/>
            </w:pPr>
            <w:r>
              <w:rPr>
                <w:rFonts w:hint="eastAsia"/>
              </w:rPr>
              <w:t>80</w:t>
            </w:r>
          </w:p>
        </w:tc>
        <w:tc>
          <w:tcPr>
            <w:tcW w:w="1692" w:type="pct"/>
            <w:vMerge w:val="continue"/>
            <w:vAlign w:val="center"/>
          </w:tcPr>
          <w:p w14:paraId="4E240F5C">
            <w:pPr>
              <w:pStyle w:val="133"/>
            </w:pPr>
          </w:p>
        </w:tc>
      </w:tr>
      <w:tr w14:paraId="45A439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10CF0BBC">
            <w:pPr>
              <w:pStyle w:val="133"/>
            </w:pPr>
          </w:p>
        </w:tc>
        <w:tc>
          <w:tcPr>
            <w:tcW w:w="831" w:type="pct"/>
            <w:vMerge w:val="continue"/>
            <w:vAlign w:val="center"/>
          </w:tcPr>
          <w:p w14:paraId="7201D375">
            <w:pPr>
              <w:pStyle w:val="133"/>
            </w:pPr>
          </w:p>
        </w:tc>
        <w:tc>
          <w:tcPr>
            <w:tcW w:w="1165" w:type="pct"/>
            <w:vAlign w:val="center"/>
          </w:tcPr>
          <w:p w14:paraId="4B1A1721">
            <w:pPr>
              <w:pStyle w:val="133"/>
            </w:pPr>
            <w:r>
              <w:rPr>
                <w:rFonts w:hint="eastAsia"/>
              </w:rPr>
              <w:t>1小时平均</w:t>
            </w:r>
          </w:p>
        </w:tc>
        <w:tc>
          <w:tcPr>
            <w:tcW w:w="999" w:type="pct"/>
            <w:vAlign w:val="center"/>
          </w:tcPr>
          <w:p w14:paraId="42F62EEB">
            <w:pPr>
              <w:pStyle w:val="133"/>
            </w:pPr>
            <w:r>
              <w:rPr>
                <w:rFonts w:hint="eastAsia"/>
              </w:rPr>
              <w:t>200</w:t>
            </w:r>
          </w:p>
        </w:tc>
        <w:tc>
          <w:tcPr>
            <w:tcW w:w="1692" w:type="pct"/>
            <w:vMerge w:val="continue"/>
            <w:vAlign w:val="center"/>
          </w:tcPr>
          <w:p w14:paraId="7972D6B8">
            <w:pPr>
              <w:pStyle w:val="133"/>
            </w:pPr>
          </w:p>
        </w:tc>
      </w:tr>
      <w:tr w14:paraId="76E744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483F73B7">
            <w:pPr>
              <w:pStyle w:val="133"/>
            </w:pPr>
            <w:r>
              <w:rPr>
                <w:rFonts w:hint="eastAsia"/>
              </w:rPr>
              <w:t>5</w:t>
            </w:r>
          </w:p>
        </w:tc>
        <w:tc>
          <w:tcPr>
            <w:tcW w:w="831" w:type="pct"/>
            <w:vMerge w:val="restart"/>
            <w:vAlign w:val="center"/>
          </w:tcPr>
          <w:p w14:paraId="45470980">
            <w:pPr>
              <w:pStyle w:val="133"/>
            </w:pPr>
            <w:r>
              <w:rPr>
                <w:rFonts w:hint="eastAsia"/>
              </w:rPr>
              <w:t>CO</w:t>
            </w:r>
          </w:p>
        </w:tc>
        <w:tc>
          <w:tcPr>
            <w:tcW w:w="1165" w:type="pct"/>
            <w:vAlign w:val="center"/>
          </w:tcPr>
          <w:p w14:paraId="51443B0E">
            <w:pPr>
              <w:pStyle w:val="133"/>
            </w:pPr>
            <w:r>
              <w:rPr>
                <w:rFonts w:hint="eastAsia"/>
              </w:rPr>
              <w:t>1小时平均</w:t>
            </w:r>
          </w:p>
        </w:tc>
        <w:tc>
          <w:tcPr>
            <w:tcW w:w="999" w:type="pct"/>
            <w:vAlign w:val="center"/>
          </w:tcPr>
          <w:p w14:paraId="419A73D5">
            <w:pPr>
              <w:pStyle w:val="133"/>
            </w:pPr>
            <w:r>
              <w:rPr>
                <w:rFonts w:hint="eastAsia"/>
              </w:rPr>
              <w:t>10mg/m</w:t>
            </w:r>
            <w:r>
              <w:rPr>
                <w:rFonts w:hint="eastAsia"/>
                <w:vertAlign w:val="superscript"/>
              </w:rPr>
              <w:t>3</w:t>
            </w:r>
          </w:p>
        </w:tc>
        <w:tc>
          <w:tcPr>
            <w:tcW w:w="1692" w:type="pct"/>
            <w:vMerge w:val="continue"/>
            <w:vAlign w:val="center"/>
          </w:tcPr>
          <w:p w14:paraId="5D5A93DC">
            <w:pPr>
              <w:pStyle w:val="133"/>
            </w:pPr>
          </w:p>
        </w:tc>
      </w:tr>
      <w:tr w14:paraId="7682B3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21482DB1">
            <w:pPr>
              <w:pStyle w:val="133"/>
            </w:pPr>
          </w:p>
        </w:tc>
        <w:tc>
          <w:tcPr>
            <w:tcW w:w="831" w:type="pct"/>
            <w:vMerge w:val="continue"/>
            <w:vAlign w:val="center"/>
          </w:tcPr>
          <w:p w14:paraId="690DAD73">
            <w:pPr>
              <w:pStyle w:val="133"/>
            </w:pPr>
          </w:p>
        </w:tc>
        <w:tc>
          <w:tcPr>
            <w:tcW w:w="1165" w:type="pct"/>
            <w:vAlign w:val="center"/>
          </w:tcPr>
          <w:p w14:paraId="4CC3FFED">
            <w:pPr>
              <w:pStyle w:val="133"/>
            </w:pPr>
            <w:r>
              <w:rPr>
                <w:rFonts w:hint="eastAsia"/>
              </w:rPr>
              <w:t>24小时平均</w:t>
            </w:r>
          </w:p>
        </w:tc>
        <w:tc>
          <w:tcPr>
            <w:tcW w:w="999" w:type="pct"/>
            <w:vAlign w:val="center"/>
          </w:tcPr>
          <w:p w14:paraId="163DF733">
            <w:pPr>
              <w:pStyle w:val="133"/>
            </w:pPr>
            <w:r>
              <w:rPr>
                <w:rFonts w:hint="eastAsia"/>
              </w:rPr>
              <w:t>4mg/m</w:t>
            </w:r>
            <w:r>
              <w:rPr>
                <w:rFonts w:hint="eastAsia"/>
                <w:vertAlign w:val="superscript"/>
              </w:rPr>
              <w:t>3</w:t>
            </w:r>
          </w:p>
        </w:tc>
        <w:tc>
          <w:tcPr>
            <w:tcW w:w="1692" w:type="pct"/>
            <w:vMerge w:val="continue"/>
            <w:vAlign w:val="center"/>
          </w:tcPr>
          <w:p w14:paraId="624119AC">
            <w:pPr>
              <w:pStyle w:val="133"/>
            </w:pPr>
          </w:p>
        </w:tc>
      </w:tr>
      <w:tr w14:paraId="29E5AC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0F2E05EE">
            <w:pPr>
              <w:pStyle w:val="133"/>
            </w:pPr>
            <w:r>
              <w:rPr>
                <w:rFonts w:hint="eastAsia"/>
              </w:rPr>
              <w:t>6</w:t>
            </w:r>
          </w:p>
        </w:tc>
        <w:tc>
          <w:tcPr>
            <w:tcW w:w="831" w:type="pct"/>
            <w:vMerge w:val="restart"/>
            <w:vAlign w:val="center"/>
          </w:tcPr>
          <w:p w14:paraId="73A644D0">
            <w:pPr>
              <w:pStyle w:val="133"/>
            </w:pPr>
            <w:r>
              <w:rPr>
                <w:rFonts w:hint="eastAsia"/>
              </w:rPr>
              <w:t>O</w:t>
            </w:r>
            <w:r>
              <w:rPr>
                <w:rFonts w:hint="eastAsia"/>
                <w:vertAlign w:val="subscript"/>
              </w:rPr>
              <w:t>3</w:t>
            </w:r>
          </w:p>
        </w:tc>
        <w:tc>
          <w:tcPr>
            <w:tcW w:w="1165" w:type="pct"/>
            <w:vAlign w:val="center"/>
          </w:tcPr>
          <w:p w14:paraId="4CAAD919">
            <w:pPr>
              <w:pStyle w:val="133"/>
            </w:pPr>
            <w:r>
              <w:rPr>
                <w:rFonts w:hint="eastAsia"/>
              </w:rPr>
              <w:t>日最大8小时平均</w:t>
            </w:r>
          </w:p>
        </w:tc>
        <w:tc>
          <w:tcPr>
            <w:tcW w:w="999" w:type="pct"/>
            <w:vAlign w:val="center"/>
          </w:tcPr>
          <w:p w14:paraId="51575F89">
            <w:pPr>
              <w:pStyle w:val="133"/>
            </w:pPr>
            <w:r>
              <w:rPr>
                <w:rFonts w:hint="eastAsia"/>
              </w:rPr>
              <w:t>160</w:t>
            </w:r>
          </w:p>
        </w:tc>
        <w:tc>
          <w:tcPr>
            <w:tcW w:w="1692" w:type="pct"/>
            <w:vMerge w:val="continue"/>
            <w:vAlign w:val="center"/>
          </w:tcPr>
          <w:p w14:paraId="1FF8E13D">
            <w:pPr>
              <w:pStyle w:val="133"/>
            </w:pPr>
          </w:p>
        </w:tc>
      </w:tr>
      <w:tr w14:paraId="6371FC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6B0A9A47">
            <w:pPr>
              <w:pStyle w:val="133"/>
            </w:pPr>
          </w:p>
        </w:tc>
        <w:tc>
          <w:tcPr>
            <w:tcW w:w="831" w:type="pct"/>
            <w:vMerge w:val="continue"/>
            <w:vAlign w:val="center"/>
          </w:tcPr>
          <w:p w14:paraId="10CD7987">
            <w:pPr>
              <w:pStyle w:val="133"/>
            </w:pPr>
          </w:p>
        </w:tc>
        <w:tc>
          <w:tcPr>
            <w:tcW w:w="1165" w:type="pct"/>
            <w:vAlign w:val="center"/>
          </w:tcPr>
          <w:p w14:paraId="35BBDA87">
            <w:pPr>
              <w:pStyle w:val="133"/>
            </w:pPr>
            <w:r>
              <w:rPr>
                <w:rFonts w:hint="eastAsia"/>
              </w:rPr>
              <w:t>1小时平均</w:t>
            </w:r>
          </w:p>
        </w:tc>
        <w:tc>
          <w:tcPr>
            <w:tcW w:w="999" w:type="pct"/>
            <w:vAlign w:val="center"/>
          </w:tcPr>
          <w:p w14:paraId="02BB4683">
            <w:pPr>
              <w:pStyle w:val="133"/>
            </w:pPr>
            <w:r>
              <w:rPr>
                <w:rFonts w:hint="eastAsia"/>
              </w:rPr>
              <w:t>200</w:t>
            </w:r>
          </w:p>
        </w:tc>
        <w:tc>
          <w:tcPr>
            <w:tcW w:w="1692" w:type="pct"/>
            <w:vMerge w:val="continue"/>
            <w:vAlign w:val="center"/>
          </w:tcPr>
          <w:p w14:paraId="658CBE6B">
            <w:pPr>
              <w:pStyle w:val="133"/>
            </w:pPr>
          </w:p>
        </w:tc>
      </w:tr>
      <w:tr w14:paraId="0504C7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26FEB401">
            <w:pPr>
              <w:pStyle w:val="133"/>
            </w:pPr>
            <w:r>
              <w:rPr>
                <w:rFonts w:hint="eastAsia"/>
              </w:rPr>
              <w:t>7</w:t>
            </w:r>
          </w:p>
        </w:tc>
        <w:tc>
          <w:tcPr>
            <w:tcW w:w="831" w:type="pct"/>
            <w:vMerge w:val="restart"/>
            <w:vAlign w:val="center"/>
          </w:tcPr>
          <w:p w14:paraId="144C5EA9">
            <w:pPr>
              <w:pStyle w:val="133"/>
            </w:pPr>
            <w:r>
              <w:rPr>
                <w:rFonts w:hint="eastAsia"/>
              </w:rPr>
              <w:t>TSP</w:t>
            </w:r>
          </w:p>
        </w:tc>
        <w:tc>
          <w:tcPr>
            <w:tcW w:w="1165" w:type="pct"/>
            <w:vAlign w:val="center"/>
          </w:tcPr>
          <w:p w14:paraId="50D83A22">
            <w:pPr>
              <w:pStyle w:val="133"/>
            </w:pPr>
            <w:r>
              <w:rPr>
                <w:rFonts w:hint="eastAsia"/>
              </w:rPr>
              <w:t>年平均</w:t>
            </w:r>
          </w:p>
        </w:tc>
        <w:tc>
          <w:tcPr>
            <w:tcW w:w="999" w:type="pct"/>
            <w:vAlign w:val="center"/>
          </w:tcPr>
          <w:p w14:paraId="123B01CC">
            <w:pPr>
              <w:pStyle w:val="133"/>
            </w:pPr>
            <w:r>
              <w:rPr>
                <w:rFonts w:hint="eastAsia"/>
              </w:rPr>
              <w:t>200</w:t>
            </w:r>
          </w:p>
        </w:tc>
        <w:tc>
          <w:tcPr>
            <w:tcW w:w="1692" w:type="pct"/>
            <w:vMerge w:val="continue"/>
            <w:vAlign w:val="center"/>
          </w:tcPr>
          <w:p w14:paraId="7CC0A19C">
            <w:pPr>
              <w:pStyle w:val="133"/>
            </w:pPr>
          </w:p>
        </w:tc>
      </w:tr>
      <w:tr w14:paraId="51844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23739225">
            <w:pPr>
              <w:pStyle w:val="133"/>
            </w:pPr>
          </w:p>
        </w:tc>
        <w:tc>
          <w:tcPr>
            <w:tcW w:w="831" w:type="pct"/>
            <w:vMerge w:val="continue"/>
            <w:vAlign w:val="center"/>
          </w:tcPr>
          <w:p w14:paraId="23BA65C4">
            <w:pPr>
              <w:pStyle w:val="133"/>
            </w:pPr>
          </w:p>
        </w:tc>
        <w:tc>
          <w:tcPr>
            <w:tcW w:w="1165" w:type="pct"/>
            <w:vAlign w:val="center"/>
          </w:tcPr>
          <w:p w14:paraId="40DEDF41">
            <w:pPr>
              <w:pStyle w:val="133"/>
            </w:pPr>
            <w:r>
              <w:rPr>
                <w:rFonts w:hint="eastAsia"/>
              </w:rPr>
              <w:t>24小时平均</w:t>
            </w:r>
          </w:p>
        </w:tc>
        <w:tc>
          <w:tcPr>
            <w:tcW w:w="999" w:type="pct"/>
            <w:vAlign w:val="center"/>
          </w:tcPr>
          <w:p w14:paraId="41278C4B">
            <w:pPr>
              <w:pStyle w:val="133"/>
            </w:pPr>
            <w:r>
              <w:rPr>
                <w:rFonts w:hint="eastAsia"/>
              </w:rPr>
              <w:t>300</w:t>
            </w:r>
          </w:p>
        </w:tc>
        <w:tc>
          <w:tcPr>
            <w:tcW w:w="1692" w:type="pct"/>
            <w:vMerge w:val="continue"/>
            <w:vAlign w:val="center"/>
          </w:tcPr>
          <w:p w14:paraId="253DDE42">
            <w:pPr>
              <w:pStyle w:val="133"/>
            </w:pPr>
          </w:p>
        </w:tc>
      </w:tr>
      <w:tr w14:paraId="14031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5AE2A98B">
            <w:pPr>
              <w:pStyle w:val="133"/>
            </w:pPr>
            <w:r>
              <w:rPr>
                <w:rFonts w:hint="eastAsia"/>
              </w:rPr>
              <w:t>8</w:t>
            </w:r>
          </w:p>
        </w:tc>
        <w:tc>
          <w:tcPr>
            <w:tcW w:w="831" w:type="pct"/>
            <w:vMerge w:val="restart"/>
            <w:vAlign w:val="center"/>
          </w:tcPr>
          <w:p w14:paraId="448F12A9">
            <w:pPr>
              <w:pStyle w:val="133"/>
            </w:pPr>
            <w:r>
              <w:rPr>
                <w:rFonts w:hint="eastAsia"/>
              </w:rPr>
              <w:t>苯并[a]芘</w:t>
            </w:r>
          </w:p>
        </w:tc>
        <w:tc>
          <w:tcPr>
            <w:tcW w:w="1165" w:type="pct"/>
            <w:vAlign w:val="center"/>
          </w:tcPr>
          <w:p w14:paraId="3FCBBD14">
            <w:pPr>
              <w:pStyle w:val="133"/>
            </w:pPr>
            <w:r>
              <w:rPr>
                <w:rFonts w:hint="eastAsia"/>
              </w:rPr>
              <w:t>年平均</w:t>
            </w:r>
          </w:p>
        </w:tc>
        <w:tc>
          <w:tcPr>
            <w:tcW w:w="999" w:type="pct"/>
            <w:vAlign w:val="center"/>
          </w:tcPr>
          <w:p w14:paraId="06218063">
            <w:pPr>
              <w:pStyle w:val="133"/>
            </w:pPr>
            <w:r>
              <w:rPr>
                <w:rFonts w:hint="eastAsia"/>
              </w:rPr>
              <w:t>0.001</w:t>
            </w:r>
          </w:p>
        </w:tc>
        <w:tc>
          <w:tcPr>
            <w:tcW w:w="1692" w:type="pct"/>
            <w:vMerge w:val="continue"/>
            <w:vAlign w:val="center"/>
          </w:tcPr>
          <w:p w14:paraId="4E46FA74">
            <w:pPr>
              <w:pStyle w:val="133"/>
            </w:pPr>
          </w:p>
        </w:tc>
      </w:tr>
      <w:tr w14:paraId="5EF479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56DFA976">
            <w:pPr>
              <w:pStyle w:val="133"/>
            </w:pPr>
          </w:p>
        </w:tc>
        <w:tc>
          <w:tcPr>
            <w:tcW w:w="831" w:type="pct"/>
            <w:vMerge w:val="continue"/>
            <w:vAlign w:val="center"/>
          </w:tcPr>
          <w:p w14:paraId="5D750A41">
            <w:pPr>
              <w:pStyle w:val="133"/>
            </w:pPr>
          </w:p>
        </w:tc>
        <w:tc>
          <w:tcPr>
            <w:tcW w:w="1165" w:type="pct"/>
            <w:vAlign w:val="center"/>
          </w:tcPr>
          <w:p w14:paraId="6E173926">
            <w:pPr>
              <w:pStyle w:val="133"/>
            </w:pPr>
            <w:r>
              <w:rPr>
                <w:rFonts w:hint="eastAsia"/>
              </w:rPr>
              <w:t>24小时平均</w:t>
            </w:r>
          </w:p>
        </w:tc>
        <w:tc>
          <w:tcPr>
            <w:tcW w:w="999" w:type="pct"/>
            <w:vAlign w:val="center"/>
          </w:tcPr>
          <w:p w14:paraId="0BF86955">
            <w:pPr>
              <w:pStyle w:val="133"/>
            </w:pPr>
            <w:r>
              <w:rPr>
                <w:rFonts w:hint="eastAsia"/>
              </w:rPr>
              <w:t>0.0025</w:t>
            </w:r>
          </w:p>
        </w:tc>
        <w:tc>
          <w:tcPr>
            <w:tcW w:w="1692" w:type="pct"/>
            <w:vMerge w:val="continue"/>
            <w:vAlign w:val="center"/>
          </w:tcPr>
          <w:p w14:paraId="53EDA58A">
            <w:pPr>
              <w:pStyle w:val="133"/>
            </w:pPr>
          </w:p>
        </w:tc>
      </w:tr>
      <w:tr w14:paraId="233E6A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63F158B4">
            <w:pPr>
              <w:pStyle w:val="133"/>
            </w:pPr>
            <w:r>
              <w:rPr>
                <w:rFonts w:hint="eastAsia"/>
              </w:rPr>
              <w:t>9</w:t>
            </w:r>
          </w:p>
        </w:tc>
        <w:tc>
          <w:tcPr>
            <w:tcW w:w="831" w:type="pct"/>
            <w:vAlign w:val="center"/>
          </w:tcPr>
          <w:p w14:paraId="3CE4EA2D">
            <w:pPr>
              <w:pStyle w:val="133"/>
            </w:pPr>
            <w:r>
              <w:rPr>
                <w:rFonts w:hint="eastAsia"/>
              </w:rPr>
              <w:t>非甲烷总烃</w:t>
            </w:r>
          </w:p>
        </w:tc>
        <w:tc>
          <w:tcPr>
            <w:tcW w:w="1165" w:type="pct"/>
            <w:vAlign w:val="center"/>
          </w:tcPr>
          <w:p w14:paraId="34F892B2">
            <w:pPr>
              <w:pStyle w:val="133"/>
            </w:pPr>
            <w:r>
              <w:rPr>
                <w:rFonts w:hint="eastAsia"/>
              </w:rPr>
              <w:t>1小时平均</w:t>
            </w:r>
          </w:p>
        </w:tc>
        <w:tc>
          <w:tcPr>
            <w:tcW w:w="999" w:type="pct"/>
            <w:vAlign w:val="center"/>
          </w:tcPr>
          <w:p w14:paraId="3F20820B">
            <w:pPr>
              <w:pStyle w:val="133"/>
            </w:pPr>
            <w:r>
              <w:rPr>
                <w:rFonts w:hint="eastAsia"/>
              </w:rPr>
              <w:t>2.0mg/m</w:t>
            </w:r>
            <w:r>
              <w:rPr>
                <w:rFonts w:hint="eastAsia"/>
                <w:vertAlign w:val="superscript"/>
              </w:rPr>
              <w:t>3</w:t>
            </w:r>
          </w:p>
        </w:tc>
        <w:tc>
          <w:tcPr>
            <w:tcW w:w="1692" w:type="pct"/>
            <w:vMerge w:val="restart"/>
            <w:vAlign w:val="center"/>
          </w:tcPr>
          <w:p w14:paraId="5D29AF7E">
            <w:pPr>
              <w:pStyle w:val="133"/>
            </w:pPr>
            <w:r>
              <w:rPr>
                <w:rFonts w:hint="eastAsia"/>
              </w:rPr>
              <w:t>《大气污染物综合排放标准详解》</w:t>
            </w:r>
          </w:p>
        </w:tc>
      </w:tr>
      <w:tr w14:paraId="4D4D7D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0CAAF7E9">
            <w:pPr>
              <w:pStyle w:val="133"/>
            </w:pPr>
            <w:r>
              <w:rPr>
                <w:rFonts w:hint="eastAsia"/>
              </w:rPr>
              <w:t>10</w:t>
            </w:r>
          </w:p>
        </w:tc>
        <w:tc>
          <w:tcPr>
            <w:tcW w:w="831" w:type="pct"/>
            <w:vAlign w:val="center"/>
          </w:tcPr>
          <w:p w14:paraId="15F565F0">
            <w:pPr>
              <w:pStyle w:val="133"/>
            </w:pPr>
            <w:r>
              <w:rPr>
                <w:rFonts w:hint="eastAsia"/>
              </w:rPr>
              <w:t>酚类</w:t>
            </w:r>
          </w:p>
        </w:tc>
        <w:tc>
          <w:tcPr>
            <w:tcW w:w="1165" w:type="pct"/>
            <w:vAlign w:val="center"/>
          </w:tcPr>
          <w:p w14:paraId="025455D3">
            <w:pPr>
              <w:pStyle w:val="133"/>
            </w:pPr>
            <w:r>
              <w:rPr>
                <w:rFonts w:hint="eastAsia"/>
              </w:rPr>
              <w:t>1小时平均</w:t>
            </w:r>
          </w:p>
        </w:tc>
        <w:tc>
          <w:tcPr>
            <w:tcW w:w="999" w:type="pct"/>
            <w:vAlign w:val="center"/>
          </w:tcPr>
          <w:p w14:paraId="786D2484">
            <w:pPr>
              <w:pStyle w:val="133"/>
            </w:pPr>
            <w:r>
              <w:rPr>
                <w:rFonts w:hint="eastAsia"/>
              </w:rPr>
              <w:t>0.02</w:t>
            </w:r>
          </w:p>
        </w:tc>
        <w:tc>
          <w:tcPr>
            <w:tcW w:w="1692" w:type="pct"/>
            <w:vMerge w:val="continue"/>
            <w:vAlign w:val="center"/>
          </w:tcPr>
          <w:p w14:paraId="0E1EC3E2">
            <w:pPr>
              <w:pStyle w:val="133"/>
            </w:pPr>
          </w:p>
        </w:tc>
      </w:tr>
      <w:tr w14:paraId="2306F5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1E7708E5">
            <w:pPr>
              <w:pStyle w:val="133"/>
            </w:pPr>
            <w:r>
              <w:rPr>
                <w:rFonts w:hint="eastAsia"/>
              </w:rPr>
              <w:t>11</w:t>
            </w:r>
          </w:p>
        </w:tc>
        <w:tc>
          <w:tcPr>
            <w:tcW w:w="831" w:type="pct"/>
            <w:vAlign w:val="center"/>
          </w:tcPr>
          <w:p w14:paraId="579CEC5E">
            <w:pPr>
              <w:pStyle w:val="133"/>
            </w:pPr>
            <w:r>
              <w:rPr>
                <w:rFonts w:hint="eastAsia"/>
              </w:rPr>
              <w:t>氰化氢</w:t>
            </w:r>
          </w:p>
        </w:tc>
        <w:tc>
          <w:tcPr>
            <w:tcW w:w="1165" w:type="pct"/>
            <w:vAlign w:val="center"/>
          </w:tcPr>
          <w:p w14:paraId="3A24AE50">
            <w:pPr>
              <w:pStyle w:val="133"/>
            </w:pPr>
            <w:r>
              <w:rPr>
                <w:rFonts w:hint="eastAsia"/>
              </w:rPr>
              <w:t>1小时平均</w:t>
            </w:r>
          </w:p>
        </w:tc>
        <w:tc>
          <w:tcPr>
            <w:tcW w:w="999" w:type="pct"/>
            <w:vAlign w:val="center"/>
          </w:tcPr>
          <w:p w14:paraId="2C3FF693">
            <w:pPr>
              <w:pStyle w:val="133"/>
            </w:pPr>
            <w:r>
              <w:rPr>
                <w:rFonts w:hint="eastAsia"/>
              </w:rPr>
              <w:t>0.03</w:t>
            </w:r>
          </w:p>
        </w:tc>
        <w:tc>
          <w:tcPr>
            <w:tcW w:w="1692" w:type="pct"/>
            <w:vMerge w:val="continue"/>
            <w:vAlign w:val="center"/>
          </w:tcPr>
          <w:p w14:paraId="2CE33221">
            <w:pPr>
              <w:pStyle w:val="133"/>
            </w:pPr>
          </w:p>
        </w:tc>
      </w:tr>
      <w:tr w14:paraId="19423E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2C7F5EFD">
            <w:pPr>
              <w:pStyle w:val="133"/>
            </w:pPr>
            <w:r>
              <w:rPr>
                <w:rFonts w:hint="eastAsia"/>
              </w:rPr>
              <w:t>12</w:t>
            </w:r>
          </w:p>
        </w:tc>
        <w:tc>
          <w:tcPr>
            <w:tcW w:w="831" w:type="pct"/>
            <w:vAlign w:val="center"/>
          </w:tcPr>
          <w:p w14:paraId="2D6BD0CD">
            <w:pPr>
              <w:pStyle w:val="133"/>
            </w:pPr>
            <w:r>
              <w:rPr>
                <w:rFonts w:hint="eastAsia"/>
              </w:rPr>
              <w:t>N</w:t>
            </w:r>
            <w:r>
              <w:t>H</w:t>
            </w:r>
            <w:r>
              <w:rPr>
                <w:vertAlign w:val="subscript"/>
              </w:rPr>
              <w:t>3</w:t>
            </w:r>
          </w:p>
        </w:tc>
        <w:tc>
          <w:tcPr>
            <w:tcW w:w="1165" w:type="pct"/>
            <w:vAlign w:val="center"/>
          </w:tcPr>
          <w:p w14:paraId="1C36077D">
            <w:pPr>
              <w:pStyle w:val="133"/>
            </w:pPr>
            <w:r>
              <w:rPr>
                <w:rFonts w:hint="eastAsia"/>
              </w:rPr>
              <w:t>1小时平均</w:t>
            </w:r>
          </w:p>
        </w:tc>
        <w:tc>
          <w:tcPr>
            <w:tcW w:w="999" w:type="pct"/>
            <w:vAlign w:val="center"/>
          </w:tcPr>
          <w:p w14:paraId="5FCA1708">
            <w:pPr>
              <w:pStyle w:val="133"/>
            </w:pPr>
            <w:r>
              <w:rPr>
                <w:rFonts w:hint="eastAsia"/>
              </w:rPr>
              <w:t>200</w:t>
            </w:r>
          </w:p>
        </w:tc>
        <w:tc>
          <w:tcPr>
            <w:tcW w:w="1692" w:type="pct"/>
            <w:vMerge w:val="restart"/>
            <w:vAlign w:val="center"/>
          </w:tcPr>
          <w:p w14:paraId="66E278D4">
            <w:pPr>
              <w:pStyle w:val="133"/>
            </w:pPr>
            <w:r>
              <w:rPr>
                <w:rFonts w:hint="eastAsia"/>
              </w:rPr>
              <w:t>《环境影响评价技术导则 大气环境》（HJ2.2-2018）附录D</w:t>
            </w:r>
          </w:p>
        </w:tc>
      </w:tr>
      <w:tr w14:paraId="78FCA3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1D6753EA">
            <w:pPr>
              <w:pStyle w:val="133"/>
            </w:pPr>
            <w:r>
              <w:rPr>
                <w:rFonts w:hint="eastAsia"/>
              </w:rPr>
              <w:t>13</w:t>
            </w:r>
          </w:p>
        </w:tc>
        <w:tc>
          <w:tcPr>
            <w:tcW w:w="831" w:type="pct"/>
            <w:vAlign w:val="center"/>
          </w:tcPr>
          <w:p w14:paraId="200AE890">
            <w:pPr>
              <w:pStyle w:val="133"/>
            </w:pPr>
            <w:r>
              <w:rPr>
                <w:rFonts w:hint="eastAsia"/>
              </w:rPr>
              <w:t>H</w:t>
            </w:r>
            <w:r>
              <w:rPr>
                <w:vertAlign w:val="subscript"/>
              </w:rPr>
              <w:t>2</w:t>
            </w:r>
            <w:r>
              <w:t>S</w:t>
            </w:r>
          </w:p>
        </w:tc>
        <w:tc>
          <w:tcPr>
            <w:tcW w:w="1165" w:type="pct"/>
            <w:vAlign w:val="center"/>
          </w:tcPr>
          <w:p w14:paraId="5D88AAC3">
            <w:pPr>
              <w:pStyle w:val="133"/>
            </w:pPr>
            <w:r>
              <w:rPr>
                <w:rFonts w:hint="eastAsia"/>
              </w:rPr>
              <w:t>1小时平均</w:t>
            </w:r>
          </w:p>
        </w:tc>
        <w:tc>
          <w:tcPr>
            <w:tcW w:w="999" w:type="pct"/>
            <w:vAlign w:val="center"/>
          </w:tcPr>
          <w:p w14:paraId="5F0BDB7F">
            <w:pPr>
              <w:pStyle w:val="133"/>
            </w:pPr>
            <w:r>
              <w:rPr>
                <w:rFonts w:hint="eastAsia"/>
              </w:rPr>
              <w:t>10</w:t>
            </w:r>
          </w:p>
        </w:tc>
        <w:tc>
          <w:tcPr>
            <w:tcW w:w="1692" w:type="pct"/>
            <w:vMerge w:val="continue"/>
            <w:vAlign w:val="center"/>
          </w:tcPr>
          <w:p w14:paraId="64F07D1D">
            <w:pPr>
              <w:pStyle w:val="133"/>
            </w:pPr>
          </w:p>
        </w:tc>
      </w:tr>
      <w:tr w14:paraId="6212DC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0F1AD574">
            <w:pPr>
              <w:pStyle w:val="133"/>
            </w:pPr>
            <w:r>
              <w:rPr>
                <w:rFonts w:hint="eastAsia"/>
              </w:rPr>
              <w:t>14</w:t>
            </w:r>
          </w:p>
        </w:tc>
        <w:tc>
          <w:tcPr>
            <w:tcW w:w="831" w:type="pct"/>
            <w:vMerge w:val="restart"/>
            <w:vAlign w:val="center"/>
          </w:tcPr>
          <w:p w14:paraId="137B8169">
            <w:pPr>
              <w:pStyle w:val="133"/>
            </w:pPr>
            <w:r>
              <w:rPr>
                <w:rFonts w:hint="eastAsia"/>
              </w:rPr>
              <w:t>HCl</w:t>
            </w:r>
          </w:p>
        </w:tc>
        <w:tc>
          <w:tcPr>
            <w:tcW w:w="1165" w:type="pct"/>
            <w:vAlign w:val="center"/>
          </w:tcPr>
          <w:p w14:paraId="04204A74">
            <w:pPr>
              <w:pStyle w:val="133"/>
            </w:pPr>
            <w:r>
              <w:rPr>
                <w:rFonts w:hint="eastAsia"/>
              </w:rPr>
              <w:t>1小时平均</w:t>
            </w:r>
          </w:p>
        </w:tc>
        <w:tc>
          <w:tcPr>
            <w:tcW w:w="999" w:type="pct"/>
            <w:vAlign w:val="center"/>
          </w:tcPr>
          <w:p w14:paraId="65D4E52F">
            <w:pPr>
              <w:pStyle w:val="133"/>
            </w:pPr>
            <w:r>
              <w:rPr>
                <w:rFonts w:hint="eastAsia"/>
              </w:rPr>
              <w:t>50</w:t>
            </w:r>
          </w:p>
        </w:tc>
        <w:tc>
          <w:tcPr>
            <w:tcW w:w="1692" w:type="pct"/>
            <w:vMerge w:val="continue"/>
            <w:vAlign w:val="center"/>
          </w:tcPr>
          <w:p w14:paraId="336919E3">
            <w:pPr>
              <w:pStyle w:val="133"/>
            </w:pPr>
          </w:p>
        </w:tc>
      </w:tr>
      <w:tr w14:paraId="7890FC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08AE6FCF">
            <w:pPr>
              <w:pStyle w:val="133"/>
            </w:pPr>
          </w:p>
        </w:tc>
        <w:tc>
          <w:tcPr>
            <w:tcW w:w="831" w:type="pct"/>
            <w:vMerge w:val="continue"/>
            <w:vAlign w:val="center"/>
          </w:tcPr>
          <w:p w14:paraId="270413EB">
            <w:pPr>
              <w:pStyle w:val="133"/>
            </w:pPr>
          </w:p>
        </w:tc>
        <w:tc>
          <w:tcPr>
            <w:tcW w:w="1165" w:type="pct"/>
            <w:vAlign w:val="center"/>
          </w:tcPr>
          <w:p w14:paraId="627CEF4B">
            <w:pPr>
              <w:pStyle w:val="133"/>
            </w:pPr>
            <w:r>
              <w:rPr>
                <w:rFonts w:hint="eastAsia"/>
              </w:rPr>
              <w:t>24小时平均</w:t>
            </w:r>
          </w:p>
        </w:tc>
        <w:tc>
          <w:tcPr>
            <w:tcW w:w="999" w:type="pct"/>
            <w:vAlign w:val="center"/>
          </w:tcPr>
          <w:p w14:paraId="6DF4F0AD">
            <w:pPr>
              <w:pStyle w:val="133"/>
            </w:pPr>
            <w:r>
              <w:rPr>
                <w:rFonts w:hint="eastAsia"/>
              </w:rPr>
              <w:t>15</w:t>
            </w:r>
          </w:p>
        </w:tc>
        <w:tc>
          <w:tcPr>
            <w:tcW w:w="1692" w:type="pct"/>
            <w:vMerge w:val="continue"/>
            <w:vAlign w:val="center"/>
          </w:tcPr>
          <w:p w14:paraId="68C21448">
            <w:pPr>
              <w:pStyle w:val="133"/>
            </w:pPr>
          </w:p>
        </w:tc>
      </w:tr>
      <w:bookmarkEnd w:id="151"/>
    </w:tbl>
    <w:p w14:paraId="6D3A4F9D">
      <w:pPr>
        <w:pStyle w:val="133"/>
      </w:pPr>
    </w:p>
    <w:p w14:paraId="710D210F">
      <w:pPr>
        <w:pStyle w:val="5"/>
      </w:pPr>
      <w:r>
        <w:rPr>
          <w:rFonts w:hint="eastAsia"/>
        </w:rPr>
        <w:t>水环境评价标准</w:t>
      </w:r>
    </w:p>
    <w:p w14:paraId="1FBA335D">
      <w:pPr>
        <w:pStyle w:val="117"/>
        <w:ind w:firstLine="480"/>
      </w:pPr>
      <w:r>
        <w:rPr>
          <w:rFonts w:hint="eastAsia"/>
        </w:rPr>
        <w:t>地下水环境质量执行《地下水质量标准》（GB/T14848-2017）中</w:t>
      </w:r>
      <w:r>
        <w:rPr>
          <w:rFonts w:ascii="宋体" w:hAnsi="宋体" w:cs="Times New Roman"/>
        </w:rPr>
        <w:t>Ⅲ</w:t>
      </w:r>
      <w:r>
        <w:rPr>
          <w:rFonts w:hint="eastAsia"/>
        </w:rPr>
        <w:t>类标准，标准值见表1.5-3。</w:t>
      </w:r>
    </w:p>
    <w:p w14:paraId="45513473">
      <w:pPr>
        <w:pStyle w:val="118"/>
        <w:rPr>
          <w:color w:val="auto"/>
        </w:rPr>
      </w:pPr>
      <w:r>
        <w:rPr>
          <w:rFonts w:hint="eastAsia"/>
          <w:color w:val="auto"/>
        </w:rPr>
        <w:t>表1.5-3  地下水质量评价标准一览表</w:t>
      </w:r>
    </w:p>
    <w:tbl>
      <w:tblPr>
        <w:tblStyle w:val="6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6"/>
        <w:gridCol w:w="1606"/>
        <w:gridCol w:w="1698"/>
        <w:gridCol w:w="954"/>
        <w:gridCol w:w="2007"/>
        <w:gridCol w:w="1286"/>
      </w:tblGrid>
      <w:tr w14:paraId="52772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57560C6C">
            <w:pPr>
              <w:pStyle w:val="133"/>
              <w:rPr>
                <w:b/>
                <w:bCs/>
              </w:rPr>
            </w:pPr>
            <w:r>
              <w:rPr>
                <w:b/>
                <w:bCs/>
              </w:rPr>
              <w:t>序号</w:t>
            </w:r>
          </w:p>
        </w:tc>
        <w:tc>
          <w:tcPr>
            <w:tcW w:w="943" w:type="pct"/>
            <w:vAlign w:val="center"/>
          </w:tcPr>
          <w:p w14:paraId="1B27739D">
            <w:pPr>
              <w:pStyle w:val="133"/>
              <w:rPr>
                <w:b/>
                <w:bCs/>
              </w:rPr>
            </w:pPr>
            <w:r>
              <w:rPr>
                <w:b/>
                <w:bCs/>
              </w:rPr>
              <w:t>项目</w:t>
            </w:r>
          </w:p>
        </w:tc>
        <w:tc>
          <w:tcPr>
            <w:tcW w:w="997" w:type="pct"/>
            <w:vAlign w:val="center"/>
          </w:tcPr>
          <w:p w14:paraId="538B027C">
            <w:pPr>
              <w:pStyle w:val="133"/>
              <w:rPr>
                <w:b/>
                <w:bCs/>
              </w:rPr>
            </w:pPr>
            <w:r>
              <w:rPr>
                <w:b/>
                <w:bCs/>
              </w:rPr>
              <w:t>标准值</w:t>
            </w:r>
          </w:p>
        </w:tc>
        <w:tc>
          <w:tcPr>
            <w:tcW w:w="560" w:type="pct"/>
            <w:vAlign w:val="center"/>
          </w:tcPr>
          <w:p w14:paraId="16EB2E95">
            <w:pPr>
              <w:pStyle w:val="133"/>
              <w:rPr>
                <w:b/>
                <w:bCs/>
              </w:rPr>
            </w:pPr>
            <w:r>
              <w:rPr>
                <w:b/>
                <w:bCs/>
              </w:rPr>
              <w:t>序号</w:t>
            </w:r>
          </w:p>
        </w:tc>
        <w:tc>
          <w:tcPr>
            <w:tcW w:w="1178" w:type="pct"/>
            <w:vAlign w:val="center"/>
          </w:tcPr>
          <w:p w14:paraId="5766D44F">
            <w:pPr>
              <w:pStyle w:val="133"/>
              <w:rPr>
                <w:b/>
                <w:bCs/>
              </w:rPr>
            </w:pPr>
            <w:r>
              <w:rPr>
                <w:b/>
                <w:bCs/>
              </w:rPr>
              <w:t>项目</w:t>
            </w:r>
          </w:p>
        </w:tc>
        <w:tc>
          <w:tcPr>
            <w:tcW w:w="755" w:type="pct"/>
            <w:vAlign w:val="center"/>
          </w:tcPr>
          <w:p w14:paraId="1EEBADCC">
            <w:pPr>
              <w:pStyle w:val="133"/>
              <w:rPr>
                <w:b/>
                <w:bCs/>
              </w:rPr>
            </w:pPr>
            <w:r>
              <w:rPr>
                <w:b/>
                <w:bCs/>
              </w:rPr>
              <w:t>标准值</w:t>
            </w:r>
          </w:p>
        </w:tc>
      </w:tr>
      <w:tr w14:paraId="29ECF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4163F511">
            <w:pPr>
              <w:pStyle w:val="133"/>
            </w:pPr>
            <w:r>
              <w:t>1</w:t>
            </w:r>
          </w:p>
        </w:tc>
        <w:tc>
          <w:tcPr>
            <w:tcW w:w="943" w:type="pct"/>
            <w:vAlign w:val="center"/>
          </w:tcPr>
          <w:p w14:paraId="32BD600C">
            <w:pPr>
              <w:pStyle w:val="133"/>
            </w:pPr>
            <w:r>
              <w:t>pH</w:t>
            </w:r>
          </w:p>
        </w:tc>
        <w:tc>
          <w:tcPr>
            <w:tcW w:w="997" w:type="pct"/>
            <w:vAlign w:val="center"/>
          </w:tcPr>
          <w:p w14:paraId="261A8227">
            <w:pPr>
              <w:pStyle w:val="133"/>
            </w:pPr>
            <w:r>
              <w:t>6.5</w:t>
            </w:r>
            <w:r>
              <w:rPr>
                <w:rFonts w:hint="eastAsia"/>
              </w:rPr>
              <w:t>~</w:t>
            </w:r>
            <w:r>
              <w:t>8.5</w:t>
            </w:r>
          </w:p>
        </w:tc>
        <w:tc>
          <w:tcPr>
            <w:tcW w:w="560" w:type="pct"/>
            <w:vAlign w:val="center"/>
          </w:tcPr>
          <w:p w14:paraId="61FFEB2E">
            <w:pPr>
              <w:pStyle w:val="133"/>
            </w:pPr>
            <w:r>
              <w:t>14</w:t>
            </w:r>
          </w:p>
        </w:tc>
        <w:tc>
          <w:tcPr>
            <w:tcW w:w="1178" w:type="pct"/>
            <w:vAlign w:val="center"/>
          </w:tcPr>
          <w:p w14:paraId="31EE3BD2">
            <w:pPr>
              <w:pStyle w:val="133"/>
            </w:pPr>
            <w:r>
              <w:t>亚硝酸盐氮</w:t>
            </w:r>
          </w:p>
        </w:tc>
        <w:tc>
          <w:tcPr>
            <w:tcW w:w="755" w:type="pct"/>
            <w:vAlign w:val="center"/>
          </w:tcPr>
          <w:p w14:paraId="1B79C7A6">
            <w:pPr>
              <w:pStyle w:val="133"/>
            </w:pPr>
            <w:r>
              <w:t>≤1</w:t>
            </w:r>
          </w:p>
        </w:tc>
      </w:tr>
      <w:tr w14:paraId="5023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028F8947">
            <w:pPr>
              <w:pStyle w:val="133"/>
            </w:pPr>
            <w:r>
              <w:t>2</w:t>
            </w:r>
          </w:p>
        </w:tc>
        <w:tc>
          <w:tcPr>
            <w:tcW w:w="943" w:type="pct"/>
            <w:vAlign w:val="center"/>
          </w:tcPr>
          <w:p w14:paraId="57920AE2">
            <w:pPr>
              <w:pStyle w:val="133"/>
            </w:pPr>
            <w:r>
              <w:t>总硬度</w:t>
            </w:r>
          </w:p>
        </w:tc>
        <w:tc>
          <w:tcPr>
            <w:tcW w:w="997" w:type="pct"/>
            <w:vAlign w:val="center"/>
          </w:tcPr>
          <w:p w14:paraId="18B872BF">
            <w:pPr>
              <w:pStyle w:val="133"/>
            </w:pPr>
            <w:r>
              <w:t>≤450</w:t>
            </w:r>
          </w:p>
        </w:tc>
        <w:tc>
          <w:tcPr>
            <w:tcW w:w="560" w:type="pct"/>
            <w:vAlign w:val="center"/>
          </w:tcPr>
          <w:p w14:paraId="7716D06A">
            <w:pPr>
              <w:pStyle w:val="133"/>
            </w:pPr>
            <w:r>
              <w:t>15</w:t>
            </w:r>
          </w:p>
        </w:tc>
        <w:tc>
          <w:tcPr>
            <w:tcW w:w="1178" w:type="pct"/>
            <w:vAlign w:val="center"/>
          </w:tcPr>
          <w:p w14:paraId="41467A34">
            <w:pPr>
              <w:pStyle w:val="133"/>
            </w:pPr>
            <w:r>
              <w:t>氰化物</w:t>
            </w:r>
          </w:p>
        </w:tc>
        <w:tc>
          <w:tcPr>
            <w:tcW w:w="755" w:type="pct"/>
            <w:vAlign w:val="center"/>
          </w:tcPr>
          <w:p w14:paraId="47CAF4EE">
            <w:pPr>
              <w:pStyle w:val="133"/>
            </w:pPr>
            <w:r>
              <w:t>≤0.05</w:t>
            </w:r>
          </w:p>
        </w:tc>
      </w:tr>
      <w:tr w14:paraId="782B2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72436752">
            <w:pPr>
              <w:pStyle w:val="133"/>
            </w:pPr>
            <w:r>
              <w:t>3</w:t>
            </w:r>
          </w:p>
        </w:tc>
        <w:tc>
          <w:tcPr>
            <w:tcW w:w="943" w:type="pct"/>
            <w:vAlign w:val="center"/>
          </w:tcPr>
          <w:p w14:paraId="1EDFA063">
            <w:pPr>
              <w:pStyle w:val="133"/>
            </w:pPr>
            <w:r>
              <w:t>硫酸盐</w:t>
            </w:r>
          </w:p>
        </w:tc>
        <w:tc>
          <w:tcPr>
            <w:tcW w:w="997" w:type="pct"/>
            <w:vAlign w:val="center"/>
          </w:tcPr>
          <w:p w14:paraId="0418C984">
            <w:pPr>
              <w:pStyle w:val="133"/>
            </w:pPr>
            <w:r>
              <w:t>≤250</w:t>
            </w:r>
          </w:p>
        </w:tc>
        <w:tc>
          <w:tcPr>
            <w:tcW w:w="560" w:type="pct"/>
            <w:vAlign w:val="center"/>
          </w:tcPr>
          <w:p w14:paraId="45F76E5F">
            <w:pPr>
              <w:pStyle w:val="133"/>
            </w:pPr>
            <w:r>
              <w:t>16</w:t>
            </w:r>
          </w:p>
        </w:tc>
        <w:tc>
          <w:tcPr>
            <w:tcW w:w="1178" w:type="pct"/>
            <w:vAlign w:val="center"/>
          </w:tcPr>
          <w:p w14:paraId="40520CCD">
            <w:pPr>
              <w:pStyle w:val="133"/>
            </w:pPr>
            <w:r>
              <w:t>六价铬</w:t>
            </w:r>
          </w:p>
        </w:tc>
        <w:tc>
          <w:tcPr>
            <w:tcW w:w="755" w:type="pct"/>
            <w:vAlign w:val="center"/>
          </w:tcPr>
          <w:p w14:paraId="26C1E998">
            <w:pPr>
              <w:pStyle w:val="133"/>
            </w:pPr>
            <w:r>
              <w:t>≤0.05</w:t>
            </w:r>
          </w:p>
        </w:tc>
      </w:tr>
      <w:tr w14:paraId="11737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2B65AA93">
            <w:pPr>
              <w:pStyle w:val="133"/>
            </w:pPr>
            <w:r>
              <w:t>4</w:t>
            </w:r>
          </w:p>
        </w:tc>
        <w:tc>
          <w:tcPr>
            <w:tcW w:w="943" w:type="pct"/>
            <w:vAlign w:val="center"/>
          </w:tcPr>
          <w:p w14:paraId="764DA689">
            <w:pPr>
              <w:pStyle w:val="133"/>
            </w:pPr>
            <w:r>
              <w:t>氨氮</w:t>
            </w:r>
          </w:p>
        </w:tc>
        <w:tc>
          <w:tcPr>
            <w:tcW w:w="997" w:type="pct"/>
            <w:vAlign w:val="center"/>
          </w:tcPr>
          <w:p w14:paraId="1BFACD82">
            <w:pPr>
              <w:pStyle w:val="133"/>
            </w:pPr>
            <w:r>
              <w:t>≤0.5</w:t>
            </w:r>
          </w:p>
        </w:tc>
        <w:tc>
          <w:tcPr>
            <w:tcW w:w="560" w:type="pct"/>
            <w:vAlign w:val="center"/>
          </w:tcPr>
          <w:p w14:paraId="7FAAB1E4">
            <w:pPr>
              <w:pStyle w:val="133"/>
            </w:pPr>
            <w:r>
              <w:t>17</w:t>
            </w:r>
          </w:p>
        </w:tc>
        <w:tc>
          <w:tcPr>
            <w:tcW w:w="1178" w:type="pct"/>
            <w:vAlign w:val="center"/>
          </w:tcPr>
          <w:p w14:paraId="52776479">
            <w:pPr>
              <w:pStyle w:val="133"/>
            </w:pPr>
            <w:r>
              <w:t>溶解性总固体</w:t>
            </w:r>
          </w:p>
        </w:tc>
        <w:tc>
          <w:tcPr>
            <w:tcW w:w="755" w:type="pct"/>
            <w:vAlign w:val="center"/>
          </w:tcPr>
          <w:p w14:paraId="49565E7B">
            <w:pPr>
              <w:pStyle w:val="133"/>
            </w:pPr>
            <w:r>
              <w:t>≤1000</w:t>
            </w:r>
          </w:p>
        </w:tc>
      </w:tr>
      <w:tr w14:paraId="79B304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169FE29E">
            <w:pPr>
              <w:pStyle w:val="133"/>
            </w:pPr>
            <w:r>
              <w:t>5</w:t>
            </w:r>
          </w:p>
        </w:tc>
        <w:tc>
          <w:tcPr>
            <w:tcW w:w="943" w:type="pct"/>
            <w:vAlign w:val="center"/>
          </w:tcPr>
          <w:p w14:paraId="0EC59254">
            <w:pPr>
              <w:pStyle w:val="133"/>
            </w:pPr>
            <w:r>
              <w:t>耗氧量</w:t>
            </w:r>
          </w:p>
        </w:tc>
        <w:tc>
          <w:tcPr>
            <w:tcW w:w="997" w:type="pct"/>
            <w:vAlign w:val="center"/>
          </w:tcPr>
          <w:p w14:paraId="4C8B6C91">
            <w:pPr>
              <w:pStyle w:val="133"/>
            </w:pPr>
            <w:r>
              <w:t>≤3.0</w:t>
            </w:r>
          </w:p>
        </w:tc>
        <w:tc>
          <w:tcPr>
            <w:tcW w:w="560" w:type="pct"/>
            <w:vAlign w:val="center"/>
          </w:tcPr>
          <w:p w14:paraId="1BD0DE87">
            <w:pPr>
              <w:pStyle w:val="133"/>
            </w:pPr>
            <w:r>
              <w:t>18</w:t>
            </w:r>
          </w:p>
        </w:tc>
        <w:tc>
          <w:tcPr>
            <w:tcW w:w="1178" w:type="pct"/>
            <w:vAlign w:val="center"/>
          </w:tcPr>
          <w:p w14:paraId="36F5B171">
            <w:pPr>
              <w:pStyle w:val="133"/>
            </w:pPr>
            <w:r>
              <w:t>氟化物</w:t>
            </w:r>
          </w:p>
        </w:tc>
        <w:tc>
          <w:tcPr>
            <w:tcW w:w="755" w:type="pct"/>
            <w:vAlign w:val="center"/>
          </w:tcPr>
          <w:p w14:paraId="0AA51212">
            <w:pPr>
              <w:pStyle w:val="133"/>
            </w:pPr>
            <w:r>
              <w:t>≤1.0</w:t>
            </w:r>
          </w:p>
        </w:tc>
      </w:tr>
      <w:tr w14:paraId="472B1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63B0F877">
            <w:pPr>
              <w:pStyle w:val="133"/>
            </w:pPr>
            <w:r>
              <w:t>6</w:t>
            </w:r>
          </w:p>
        </w:tc>
        <w:tc>
          <w:tcPr>
            <w:tcW w:w="943" w:type="pct"/>
            <w:vAlign w:val="center"/>
          </w:tcPr>
          <w:p w14:paraId="1738CEDD">
            <w:pPr>
              <w:pStyle w:val="133"/>
            </w:pPr>
            <w:r>
              <w:t>氯化物</w:t>
            </w:r>
          </w:p>
        </w:tc>
        <w:tc>
          <w:tcPr>
            <w:tcW w:w="997" w:type="pct"/>
            <w:vAlign w:val="center"/>
          </w:tcPr>
          <w:p w14:paraId="7964C1C2">
            <w:pPr>
              <w:pStyle w:val="133"/>
            </w:pPr>
            <w:r>
              <w:t>≤250</w:t>
            </w:r>
          </w:p>
        </w:tc>
        <w:tc>
          <w:tcPr>
            <w:tcW w:w="560" w:type="pct"/>
            <w:vAlign w:val="center"/>
          </w:tcPr>
          <w:p w14:paraId="296A28A3">
            <w:pPr>
              <w:pStyle w:val="133"/>
            </w:pPr>
            <w:r>
              <w:rPr>
                <w:rFonts w:hint="eastAsia"/>
              </w:rPr>
              <w:t>1</w:t>
            </w:r>
            <w:r>
              <w:t>9</w:t>
            </w:r>
          </w:p>
        </w:tc>
        <w:tc>
          <w:tcPr>
            <w:tcW w:w="1178" w:type="pct"/>
            <w:vAlign w:val="center"/>
          </w:tcPr>
          <w:p w14:paraId="68A5C41D">
            <w:pPr>
              <w:pStyle w:val="133"/>
            </w:pPr>
            <w:r>
              <w:t>砷</w:t>
            </w:r>
          </w:p>
        </w:tc>
        <w:tc>
          <w:tcPr>
            <w:tcW w:w="755" w:type="pct"/>
            <w:vAlign w:val="center"/>
          </w:tcPr>
          <w:p w14:paraId="3A6170A4">
            <w:pPr>
              <w:pStyle w:val="133"/>
            </w:pPr>
            <w:r>
              <w:t>≤0.01</w:t>
            </w:r>
          </w:p>
        </w:tc>
      </w:tr>
      <w:tr w14:paraId="183699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5A317945">
            <w:pPr>
              <w:pStyle w:val="133"/>
            </w:pPr>
            <w:r>
              <w:t>7</w:t>
            </w:r>
          </w:p>
        </w:tc>
        <w:tc>
          <w:tcPr>
            <w:tcW w:w="943" w:type="pct"/>
            <w:vAlign w:val="center"/>
          </w:tcPr>
          <w:p w14:paraId="37062741">
            <w:pPr>
              <w:pStyle w:val="133"/>
            </w:pPr>
            <w:r>
              <w:t>挥发酚</w:t>
            </w:r>
          </w:p>
        </w:tc>
        <w:tc>
          <w:tcPr>
            <w:tcW w:w="997" w:type="pct"/>
            <w:vAlign w:val="center"/>
          </w:tcPr>
          <w:p w14:paraId="021CC4A1">
            <w:pPr>
              <w:pStyle w:val="133"/>
            </w:pPr>
            <w:r>
              <w:t>≤0.002</w:t>
            </w:r>
          </w:p>
        </w:tc>
        <w:tc>
          <w:tcPr>
            <w:tcW w:w="560" w:type="pct"/>
            <w:vAlign w:val="center"/>
          </w:tcPr>
          <w:p w14:paraId="24B00A10">
            <w:pPr>
              <w:pStyle w:val="133"/>
            </w:pPr>
            <w:r>
              <w:rPr>
                <w:rFonts w:hint="eastAsia"/>
              </w:rPr>
              <w:t>2</w:t>
            </w:r>
            <w:r>
              <w:t>0</w:t>
            </w:r>
          </w:p>
        </w:tc>
        <w:tc>
          <w:tcPr>
            <w:tcW w:w="1178" w:type="pct"/>
            <w:vAlign w:val="center"/>
          </w:tcPr>
          <w:p w14:paraId="107EDCC9">
            <w:pPr>
              <w:pStyle w:val="133"/>
            </w:pPr>
            <w:r>
              <w:t>汞</w:t>
            </w:r>
          </w:p>
        </w:tc>
        <w:tc>
          <w:tcPr>
            <w:tcW w:w="755" w:type="pct"/>
            <w:vAlign w:val="center"/>
          </w:tcPr>
          <w:p w14:paraId="6DE8D4BF">
            <w:pPr>
              <w:pStyle w:val="133"/>
            </w:pPr>
            <w:r>
              <w:t>≤0.001</w:t>
            </w:r>
          </w:p>
        </w:tc>
      </w:tr>
      <w:tr w14:paraId="026B9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01A7BB32">
            <w:pPr>
              <w:pStyle w:val="133"/>
            </w:pPr>
            <w:r>
              <w:t>8</w:t>
            </w:r>
          </w:p>
        </w:tc>
        <w:tc>
          <w:tcPr>
            <w:tcW w:w="943" w:type="pct"/>
            <w:vAlign w:val="center"/>
          </w:tcPr>
          <w:p w14:paraId="1AC5182D">
            <w:pPr>
              <w:pStyle w:val="133"/>
            </w:pPr>
            <w:r>
              <w:t>硝酸盐氮</w:t>
            </w:r>
          </w:p>
        </w:tc>
        <w:tc>
          <w:tcPr>
            <w:tcW w:w="997" w:type="pct"/>
            <w:vAlign w:val="center"/>
          </w:tcPr>
          <w:p w14:paraId="163D33DE">
            <w:pPr>
              <w:pStyle w:val="133"/>
            </w:pPr>
            <w:r>
              <w:t>≤20</w:t>
            </w:r>
          </w:p>
        </w:tc>
        <w:tc>
          <w:tcPr>
            <w:tcW w:w="560" w:type="pct"/>
            <w:vAlign w:val="center"/>
          </w:tcPr>
          <w:p w14:paraId="44FB8F7F">
            <w:pPr>
              <w:pStyle w:val="133"/>
            </w:pPr>
            <w:r>
              <w:rPr>
                <w:rFonts w:hint="eastAsia"/>
              </w:rPr>
              <w:t>2</w:t>
            </w:r>
            <w:r>
              <w:t>1</w:t>
            </w:r>
          </w:p>
        </w:tc>
        <w:tc>
          <w:tcPr>
            <w:tcW w:w="1178" w:type="pct"/>
            <w:vAlign w:val="center"/>
          </w:tcPr>
          <w:p w14:paraId="01BCD40B">
            <w:pPr>
              <w:pStyle w:val="133"/>
            </w:pPr>
            <w:r>
              <w:t>镉</w:t>
            </w:r>
          </w:p>
        </w:tc>
        <w:tc>
          <w:tcPr>
            <w:tcW w:w="755" w:type="pct"/>
            <w:vAlign w:val="center"/>
          </w:tcPr>
          <w:p w14:paraId="441F5E25">
            <w:pPr>
              <w:pStyle w:val="133"/>
            </w:pPr>
            <w:r>
              <w:t>≤0.005</w:t>
            </w:r>
          </w:p>
        </w:tc>
      </w:tr>
      <w:tr w14:paraId="515D4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753815E5">
            <w:pPr>
              <w:pStyle w:val="133"/>
            </w:pPr>
            <w:r>
              <w:t>9</w:t>
            </w:r>
          </w:p>
        </w:tc>
        <w:tc>
          <w:tcPr>
            <w:tcW w:w="943" w:type="pct"/>
            <w:vAlign w:val="center"/>
          </w:tcPr>
          <w:p w14:paraId="03ACE117">
            <w:pPr>
              <w:pStyle w:val="133"/>
            </w:pPr>
            <w:r>
              <w:t>铅</w:t>
            </w:r>
          </w:p>
        </w:tc>
        <w:tc>
          <w:tcPr>
            <w:tcW w:w="997" w:type="pct"/>
            <w:vAlign w:val="center"/>
          </w:tcPr>
          <w:p w14:paraId="1A43F351">
            <w:pPr>
              <w:pStyle w:val="133"/>
            </w:pPr>
            <w:r>
              <w:t>≤0.01</w:t>
            </w:r>
          </w:p>
        </w:tc>
        <w:tc>
          <w:tcPr>
            <w:tcW w:w="560" w:type="pct"/>
            <w:vAlign w:val="center"/>
          </w:tcPr>
          <w:p w14:paraId="3BDA3A9A">
            <w:pPr>
              <w:pStyle w:val="133"/>
            </w:pPr>
            <w:r>
              <w:rPr>
                <w:rFonts w:hint="eastAsia"/>
              </w:rPr>
              <w:t>2</w:t>
            </w:r>
            <w:r>
              <w:t>2</w:t>
            </w:r>
          </w:p>
        </w:tc>
        <w:tc>
          <w:tcPr>
            <w:tcW w:w="1178" w:type="pct"/>
            <w:vAlign w:val="center"/>
          </w:tcPr>
          <w:p w14:paraId="3E06E70F">
            <w:pPr>
              <w:pStyle w:val="133"/>
            </w:pPr>
            <w:r>
              <w:rPr>
                <w:rFonts w:hint="eastAsia"/>
              </w:rPr>
              <w:t>锰</w:t>
            </w:r>
          </w:p>
        </w:tc>
        <w:tc>
          <w:tcPr>
            <w:tcW w:w="755" w:type="pct"/>
            <w:vAlign w:val="center"/>
          </w:tcPr>
          <w:p w14:paraId="29DAFE5F">
            <w:pPr>
              <w:pStyle w:val="133"/>
            </w:pPr>
            <w:r>
              <w:t>≤0.10</w:t>
            </w:r>
          </w:p>
        </w:tc>
      </w:tr>
      <w:tr w14:paraId="4C86F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0270DF9E">
            <w:pPr>
              <w:pStyle w:val="133"/>
            </w:pPr>
            <w:r>
              <w:t>10</w:t>
            </w:r>
          </w:p>
        </w:tc>
        <w:tc>
          <w:tcPr>
            <w:tcW w:w="943" w:type="pct"/>
            <w:vAlign w:val="center"/>
          </w:tcPr>
          <w:p w14:paraId="3F3F6107">
            <w:pPr>
              <w:pStyle w:val="133"/>
            </w:pPr>
            <w:r>
              <w:rPr>
                <w:rFonts w:hint="eastAsia"/>
              </w:rPr>
              <w:t>总大肠菌落</w:t>
            </w:r>
          </w:p>
        </w:tc>
        <w:tc>
          <w:tcPr>
            <w:tcW w:w="997" w:type="pct"/>
            <w:vAlign w:val="center"/>
          </w:tcPr>
          <w:p w14:paraId="7D7A1EF6">
            <w:pPr>
              <w:pStyle w:val="133"/>
            </w:pPr>
            <w:r>
              <w:t>≤3.0</w:t>
            </w:r>
          </w:p>
        </w:tc>
        <w:tc>
          <w:tcPr>
            <w:tcW w:w="560" w:type="pct"/>
            <w:vAlign w:val="center"/>
          </w:tcPr>
          <w:p w14:paraId="5102B6E8">
            <w:pPr>
              <w:pStyle w:val="133"/>
            </w:pPr>
            <w:r>
              <w:rPr>
                <w:rFonts w:hint="eastAsia"/>
              </w:rPr>
              <w:t>2</w:t>
            </w:r>
            <w:r>
              <w:t>3</w:t>
            </w:r>
          </w:p>
        </w:tc>
        <w:tc>
          <w:tcPr>
            <w:tcW w:w="1178" w:type="pct"/>
            <w:vAlign w:val="center"/>
          </w:tcPr>
          <w:p w14:paraId="702FBFB7">
            <w:pPr>
              <w:pStyle w:val="133"/>
            </w:pPr>
            <w:r>
              <w:rPr>
                <w:rFonts w:hint="eastAsia"/>
              </w:rPr>
              <w:t>碳酸根</w:t>
            </w:r>
          </w:p>
        </w:tc>
        <w:tc>
          <w:tcPr>
            <w:tcW w:w="755" w:type="pct"/>
            <w:vAlign w:val="center"/>
          </w:tcPr>
          <w:p w14:paraId="72DABCB9">
            <w:pPr>
              <w:pStyle w:val="133"/>
            </w:pPr>
            <w:r>
              <w:rPr>
                <w:rFonts w:hint="eastAsia"/>
              </w:rPr>
              <w:t>-</w:t>
            </w:r>
          </w:p>
        </w:tc>
      </w:tr>
      <w:tr w14:paraId="690D9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71F5E9C0">
            <w:pPr>
              <w:pStyle w:val="133"/>
            </w:pPr>
            <w:r>
              <w:t>11</w:t>
            </w:r>
          </w:p>
        </w:tc>
        <w:tc>
          <w:tcPr>
            <w:tcW w:w="943" w:type="pct"/>
            <w:vAlign w:val="center"/>
          </w:tcPr>
          <w:p w14:paraId="02157260">
            <w:pPr>
              <w:pStyle w:val="133"/>
            </w:pPr>
            <w:r>
              <w:rPr>
                <w:rFonts w:hint="eastAsia"/>
              </w:rPr>
              <w:t>铁</w:t>
            </w:r>
          </w:p>
        </w:tc>
        <w:tc>
          <w:tcPr>
            <w:tcW w:w="997" w:type="pct"/>
            <w:vAlign w:val="center"/>
          </w:tcPr>
          <w:p w14:paraId="0BD177AA">
            <w:pPr>
              <w:pStyle w:val="133"/>
            </w:pPr>
            <w:r>
              <w:t>≤0.3</w:t>
            </w:r>
          </w:p>
        </w:tc>
        <w:tc>
          <w:tcPr>
            <w:tcW w:w="560" w:type="pct"/>
            <w:vAlign w:val="center"/>
          </w:tcPr>
          <w:p w14:paraId="7DE85D5E">
            <w:pPr>
              <w:pStyle w:val="133"/>
            </w:pPr>
            <w:r>
              <w:rPr>
                <w:rFonts w:hint="eastAsia"/>
              </w:rPr>
              <w:t>2</w:t>
            </w:r>
            <w:r>
              <w:t>4</w:t>
            </w:r>
          </w:p>
        </w:tc>
        <w:tc>
          <w:tcPr>
            <w:tcW w:w="1178" w:type="pct"/>
            <w:vAlign w:val="center"/>
          </w:tcPr>
          <w:p w14:paraId="5652E137">
            <w:pPr>
              <w:pStyle w:val="133"/>
            </w:pPr>
            <w:r>
              <w:rPr>
                <w:rFonts w:hint="eastAsia"/>
              </w:rPr>
              <w:t>重碳酸根</w:t>
            </w:r>
          </w:p>
        </w:tc>
        <w:tc>
          <w:tcPr>
            <w:tcW w:w="755" w:type="pct"/>
            <w:vAlign w:val="center"/>
          </w:tcPr>
          <w:p w14:paraId="4496D246">
            <w:pPr>
              <w:pStyle w:val="133"/>
            </w:pPr>
            <w:r>
              <w:t>-</w:t>
            </w:r>
          </w:p>
        </w:tc>
      </w:tr>
      <w:tr w14:paraId="032627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48B49F79">
            <w:pPr>
              <w:pStyle w:val="133"/>
            </w:pPr>
            <w:r>
              <w:t>12</w:t>
            </w:r>
          </w:p>
        </w:tc>
        <w:tc>
          <w:tcPr>
            <w:tcW w:w="943" w:type="pct"/>
            <w:vAlign w:val="center"/>
          </w:tcPr>
          <w:p w14:paraId="5456CCCF">
            <w:pPr>
              <w:pStyle w:val="133"/>
            </w:pPr>
            <w:r>
              <w:rPr>
                <w:rFonts w:hint="eastAsia"/>
              </w:rPr>
              <w:t>铜</w:t>
            </w:r>
          </w:p>
        </w:tc>
        <w:tc>
          <w:tcPr>
            <w:tcW w:w="997" w:type="pct"/>
            <w:vAlign w:val="center"/>
          </w:tcPr>
          <w:p w14:paraId="20FBF199">
            <w:pPr>
              <w:pStyle w:val="133"/>
            </w:pPr>
            <w:r>
              <w:t>≤1.00</w:t>
            </w:r>
          </w:p>
        </w:tc>
        <w:tc>
          <w:tcPr>
            <w:tcW w:w="560" w:type="pct"/>
            <w:vAlign w:val="center"/>
          </w:tcPr>
          <w:p w14:paraId="7C705099">
            <w:pPr>
              <w:pStyle w:val="133"/>
            </w:pPr>
            <w:r>
              <w:rPr>
                <w:rFonts w:hint="eastAsia"/>
              </w:rPr>
              <w:t>2</w:t>
            </w:r>
            <w:r>
              <w:t>5</w:t>
            </w:r>
          </w:p>
        </w:tc>
        <w:tc>
          <w:tcPr>
            <w:tcW w:w="1178" w:type="pct"/>
            <w:vAlign w:val="center"/>
          </w:tcPr>
          <w:p w14:paraId="7BD0EB80">
            <w:pPr>
              <w:pStyle w:val="133"/>
            </w:pPr>
            <w:r>
              <w:rPr>
                <w:rFonts w:hint="eastAsia"/>
              </w:rPr>
              <w:t>钙</w:t>
            </w:r>
          </w:p>
        </w:tc>
        <w:tc>
          <w:tcPr>
            <w:tcW w:w="755" w:type="pct"/>
            <w:vAlign w:val="center"/>
          </w:tcPr>
          <w:p w14:paraId="18E77953">
            <w:pPr>
              <w:pStyle w:val="133"/>
            </w:pPr>
            <w:r>
              <w:rPr>
                <w:rFonts w:hint="eastAsia"/>
              </w:rPr>
              <w:t>-</w:t>
            </w:r>
          </w:p>
        </w:tc>
      </w:tr>
      <w:tr w14:paraId="620C8C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7" w:type="pct"/>
            <w:vAlign w:val="center"/>
          </w:tcPr>
          <w:p w14:paraId="69BF10CF">
            <w:pPr>
              <w:pStyle w:val="133"/>
            </w:pPr>
            <w:r>
              <w:t>13</w:t>
            </w:r>
          </w:p>
        </w:tc>
        <w:tc>
          <w:tcPr>
            <w:tcW w:w="943" w:type="pct"/>
            <w:vAlign w:val="center"/>
          </w:tcPr>
          <w:p w14:paraId="61F4D2DB">
            <w:pPr>
              <w:pStyle w:val="133"/>
            </w:pPr>
            <w:r>
              <w:rPr>
                <w:rFonts w:hint="eastAsia"/>
              </w:rPr>
              <w:t>钠</w:t>
            </w:r>
          </w:p>
        </w:tc>
        <w:tc>
          <w:tcPr>
            <w:tcW w:w="997" w:type="pct"/>
            <w:vAlign w:val="center"/>
          </w:tcPr>
          <w:p w14:paraId="0849FD7E">
            <w:pPr>
              <w:pStyle w:val="133"/>
            </w:pPr>
            <w:r>
              <w:t>≤200</w:t>
            </w:r>
          </w:p>
        </w:tc>
        <w:tc>
          <w:tcPr>
            <w:tcW w:w="560" w:type="pct"/>
            <w:vAlign w:val="center"/>
          </w:tcPr>
          <w:p w14:paraId="198E8DC3">
            <w:pPr>
              <w:pStyle w:val="133"/>
            </w:pPr>
            <w:r>
              <w:rPr>
                <w:rFonts w:hint="eastAsia"/>
              </w:rPr>
              <w:t>2</w:t>
            </w:r>
            <w:r>
              <w:t>6</w:t>
            </w:r>
          </w:p>
        </w:tc>
        <w:tc>
          <w:tcPr>
            <w:tcW w:w="1178" w:type="pct"/>
            <w:vAlign w:val="center"/>
          </w:tcPr>
          <w:p w14:paraId="0CE13428">
            <w:pPr>
              <w:pStyle w:val="133"/>
            </w:pPr>
            <w:r>
              <w:rPr>
                <w:rFonts w:hint="eastAsia"/>
              </w:rPr>
              <w:t>镁</w:t>
            </w:r>
          </w:p>
        </w:tc>
        <w:tc>
          <w:tcPr>
            <w:tcW w:w="755" w:type="pct"/>
            <w:vAlign w:val="center"/>
          </w:tcPr>
          <w:p w14:paraId="369A8C7E">
            <w:pPr>
              <w:pStyle w:val="133"/>
            </w:pPr>
            <w:r>
              <w:rPr>
                <w:rFonts w:hint="eastAsia"/>
              </w:rPr>
              <w:t>-</w:t>
            </w:r>
          </w:p>
        </w:tc>
      </w:tr>
    </w:tbl>
    <w:p w14:paraId="16834655">
      <w:pPr>
        <w:pStyle w:val="133"/>
      </w:pPr>
    </w:p>
    <w:p w14:paraId="452DEFE3">
      <w:pPr>
        <w:pStyle w:val="5"/>
      </w:pPr>
      <w:r>
        <w:rPr>
          <w:rFonts w:hint="eastAsia"/>
        </w:rPr>
        <w:t>声环境质量标准</w:t>
      </w:r>
    </w:p>
    <w:p w14:paraId="0E58BC79">
      <w:pPr>
        <w:pStyle w:val="117"/>
        <w:ind w:firstLine="480"/>
      </w:pPr>
      <w:r>
        <w:rPr>
          <w:rFonts w:hint="eastAsia"/>
        </w:rPr>
        <w:t>本项目厂界声环境质量评价执行《声环境质量标准》（GB3096-2008）中的3类标准，即：昼间65dB（A），夜间55dB（A）。</w:t>
      </w:r>
    </w:p>
    <w:p w14:paraId="7D431BBC">
      <w:pPr>
        <w:pStyle w:val="5"/>
      </w:pPr>
      <w:r>
        <w:rPr>
          <w:rFonts w:hint="eastAsia"/>
        </w:rPr>
        <w:t>土壤环境</w:t>
      </w:r>
    </w:p>
    <w:p w14:paraId="128BFAD4">
      <w:pPr>
        <w:pStyle w:val="117"/>
        <w:ind w:firstLine="480"/>
      </w:pPr>
      <w:bookmarkStart w:id="152" w:name="_Toc414619131"/>
      <w:bookmarkStart w:id="153" w:name="_Toc410564941"/>
      <w:r>
        <w:rPr>
          <w:rFonts w:hint="eastAsia"/>
        </w:rPr>
        <w:t>本项目所在区域土壤执行《土壤环境质量 建设用地土壤污染风险管控标准（试行）》（GB36600-2018）中第二类用地筛选值的相关限值要求，见表1.5-4。</w:t>
      </w:r>
    </w:p>
    <w:p w14:paraId="1F22507D">
      <w:pPr>
        <w:pStyle w:val="118"/>
        <w:rPr>
          <w:color w:val="auto"/>
        </w:rPr>
      </w:pPr>
      <w:r>
        <w:rPr>
          <w:rFonts w:hint="eastAsia"/>
          <w:color w:val="auto"/>
        </w:rPr>
        <w:t>表1.5-4  建设用地土壤污染风险筛选值和管制值（基本项目）单位：mg/kg</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48"/>
        <w:gridCol w:w="1892"/>
        <w:gridCol w:w="1321"/>
        <w:gridCol w:w="1352"/>
        <w:gridCol w:w="1532"/>
        <w:gridCol w:w="1677"/>
      </w:tblGrid>
      <w:tr w14:paraId="21DAD4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39" w:type="pct"/>
            <w:vMerge w:val="restart"/>
            <w:vAlign w:val="center"/>
          </w:tcPr>
          <w:p w14:paraId="02768B1A">
            <w:pPr>
              <w:pStyle w:val="133"/>
              <w:rPr>
                <w:b/>
                <w:bCs/>
              </w:rPr>
            </w:pPr>
            <w:r>
              <w:rPr>
                <w:rFonts w:hint="eastAsia"/>
                <w:b/>
                <w:bCs/>
              </w:rPr>
              <w:t>序号</w:t>
            </w:r>
          </w:p>
        </w:tc>
        <w:tc>
          <w:tcPr>
            <w:tcW w:w="1110" w:type="pct"/>
            <w:vMerge w:val="restart"/>
            <w:vAlign w:val="center"/>
          </w:tcPr>
          <w:p w14:paraId="18C3270F">
            <w:pPr>
              <w:pStyle w:val="133"/>
              <w:rPr>
                <w:b/>
                <w:bCs/>
              </w:rPr>
            </w:pPr>
            <w:r>
              <w:rPr>
                <w:rFonts w:hint="eastAsia"/>
                <w:b/>
                <w:bCs/>
              </w:rPr>
              <w:t>污染物项目</w:t>
            </w:r>
          </w:p>
        </w:tc>
        <w:tc>
          <w:tcPr>
            <w:tcW w:w="1568" w:type="pct"/>
            <w:gridSpan w:val="2"/>
            <w:vAlign w:val="center"/>
          </w:tcPr>
          <w:p w14:paraId="11BE304A">
            <w:pPr>
              <w:pStyle w:val="133"/>
              <w:rPr>
                <w:b/>
                <w:bCs/>
              </w:rPr>
            </w:pPr>
            <w:r>
              <w:rPr>
                <w:rFonts w:hint="eastAsia"/>
                <w:b/>
                <w:bCs/>
              </w:rPr>
              <w:t>筛选值</w:t>
            </w:r>
          </w:p>
        </w:tc>
        <w:tc>
          <w:tcPr>
            <w:tcW w:w="1883" w:type="pct"/>
            <w:gridSpan w:val="2"/>
            <w:vAlign w:val="center"/>
          </w:tcPr>
          <w:p w14:paraId="484F3616">
            <w:pPr>
              <w:pStyle w:val="133"/>
              <w:rPr>
                <w:b/>
                <w:bCs/>
              </w:rPr>
            </w:pPr>
            <w:r>
              <w:rPr>
                <w:rFonts w:hint="eastAsia"/>
                <w:b/>
                <w:bCs/>
              </w:rPr>
              <w:t>管制值</w:t>
            </w:r>
          </w:p>
        </w:tc>
      </w:tr>
      <w:tr w14:paraId="4268ED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439" w:type="pct"/>
            <w:vMerge w:val="continue"/>
            <w:vAlign w:val="center"/>
          </w:tcPr>
          <w:p w14:paraId="6315B757">
            <w:pPr>
              <w:pStyle w:val="133"/>
              <w:rPr>
                <w:b/>
                <w:bCs/>
              </w:rPr>
            </w:pPr>
          </w:p>
        </w:tc>
        <w:tc>
          <w:tcPr>
            <w:tcW w:w="1110" w:type="pct"/>
            <w:vMerge w:val="continue"/>
            <w:vAlign w:val="center"/>
          </w:tcPr>
          <w:p w14:paraId="532763D7">
            <w:pPr>
              <w:pStyle w:val="133"/>
              <w:rPr>
                <w:b/>
                <w:bCs/>
              </w:rPr>
            </w:pPr>
          </w:p>
        </w:tc>
        <w:tc>
          <w:tcPr>
            <w:tcW w:w="775" w:type="pct"/>
            <w:vAlign w:val="center"/>
          </w:tcPr>
          <w:p w14:paraId="292E03C7">
            <w:pPr>
              <w:pStyle w:val="133"/>
              <w:rPr>
                <w:b/>
                <w:bCs/>
              </w:rPr>
            </w:pPr>
            <w:r>
              <w:rPr>
                <w:rFonts w:hint="eastAsia"/>
                <w:b/>
                <w:bCs/>
              </w:rPr>
              <w:t>第一类用地</w:t>
            </w:r>
          </w:p>
        </w:tc>
        <w:tc>
          <w:tcPr>
            <w:tcW w:w="793" w:type="pct"/>
            <w:vAlign w:val="center"/>
          </w:tcPr>
          <w:p w14:paraId="6553A682">
            <w:pPr>
              <w:pStyle w:val="133"/>
              <w:rPr>
                <w:b/>
                <w:bCs/>
              </w:rPr>
            </w:pPr>
            <w:r>
              <w:rPr>
                <w:rFonts w:hint="eastAsia"/>
                <w:b/>
                <w:bCs/>
              </w:rPr>
              <w:t>第二类用地</w:t>
            </w:r>
          </w:p>
        </w:tc>
        <w:tc>
          <w:tcPr>
            <w:tcW w:w="899" w:type="pct"/>
            <w:vAlign w:val="center"/>
          </w:tcPr>
          <w:p w14:paraId="5527B26D">
            <w:pPr>
              <w:pStyle w:val="133"/>
              <w:rPr>
                <w:b/>
                <w:bCs/>
              </w:rPr>
            </w:pPr>
            <w:r>
              <w:rPr>
                <w:rFonts w:hint="eastAsia"/>
                <w:b/>
                <w:bCs/>
              </w:rPr>
              <w:t>第一类用地</w:t>
            </w:r>
          </w:p>
        </w:tc>
        <w:tc>
          <w:tcPr>
            <w:tcW w:w="984" w:type="pct"/>
            <w:vAlign w:val="center"/>
          </w:tcPr>
          <w:p w14:paraId="6EF4DA55">
            <w:pPr>
              <w:pStyle w:val="133"/>
              <w:rPr>
                <w:b/>
                <w:bCs/>
              </w:rPr>
            </w:pPr>
            <w:r>
              <w:rPr>
                <w:rFonts w:hint="eastAsia"/>
                <w:b/>
                <w:bCs/>
              </w:rPr>
              <w:t>第二类用地</w:t>
            </w:r>
          </w:p>
        </w:tc>
      </w:tr>
      <w:tr w14:paraId="69BE7C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4E77ECA6">
            <w:pPr>
              <w:pStyle w:val="133"/>
            </w:pPr>
            <w:r>
              <w:rPr>
                <w:rFonts w:hint="eastAsia"/>
              </w:rPr>
              <w:t>重金属和无机物</w:t>
            </w:r>
          </w:p>
        </w:tc>
      </w:tr>
      <w:tr w14:paraId="57A495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4BCCCF58">
            <w:pPr>
              <w:pStyle w:val="133"/>
            </w:pPr>
            <w:r>
              <w:rPr>
                <w:rFonts w:hint="eastAsia"/>
              </w:rPr>
              <w:t>1</w:t>
            </w:r>
          </w:p>
        </w:tc>
        <w:tc>
          <w:tcPr>
            <w:tcW w:w="1110" w:type="pct"/>
            <w:vAlign w:val="center"/>
          </w:tcPr>
          <w:p w14:paraId="0B3B44FA">
            <w:pPr>
              <w:pStyle w:val="133"/>
            </w:pPr>
            <w:r>
              <w:rPr>
                <w:rFonts w:hint="eastAsia"/>
              </w:rPr>
              <w:t>砷</w:t>
            </w:r>
          </w:p>
        </w:tc>
        <w:tc>
          <w:tcPr>
            <w:tcW w:w="775" w:type="pct"/>
            <w:vAlign w:val="center"/>
          </w:tcPr>
          <w:p w14:paraId="7BD1F4C5">
            <w:pPr>
              <w:pStyle w:val="133"/>
            </w:pPr>
            <w:r>
              <w:rPr>
                <w:rFonts w:hint="eastAsia"/>
              </w:rPr>
              <w:t>20</w:t>
            </w:r>
          </w:p>
        </w:tc>
        <w:tc>
          <w:tcPr>
            <w:tcW w:w="793" w:type="pct"/>
            <w:vAlign w:val="center"/>
          </w:tcPr>
          <w:p w14:paraId="40A8347C">
            <w:pPr>
              <w:pStyle w:val="133"/>
            </w:pPr>
            <w:r>
              <w:rPr>
                <w:rFonts w:hint="eastAsia"/>
              </w:rPr>
              <w:t>60</w:t>
            </w:r>
          </w:p>
        </w:tc>
        <w:tc>
          <w:tcPr>
            <w:tcW w:w="899" w:type="pct"/>
            <w:vAlign w:val="center"/>
          </w:tcPr>
          <w:p w14:paraId="0FF249E6">
            <w:pPr>
              <w:pStyle w:val="133"/>
            </w:pPr>
            <w:r>
              <w:rPr>
                <w:rFonts w:hint="eastAsia"/>
              </w:rPr>
              <w:t>120</w:t>
            </w:r>
          </w:p>
        </w:tc>
        <w:tc>
          <w:tcPr>
            <w:tcW w:w="984" w:type="pct"/>
            <w:vAlign w:val="center"/>
          </w:tcPr>
          <w:p w14:paraId="5D09AFA8">
            <w:pPr>
              <w:pStyle w:val="133"/>
            </w:pPr>
            <w:r>
              <w:rPr>
                <w:rFonts w:hint="eastAsia"/>
              </w:rPr>
              <w:t>140</w:t>
            </w:r>
          </w:p>
        </w:tc>
      </w:tr>
      <w:tr w14:paraId="4EA0B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5FFD99B3">
            <w:pPr>
              <w:pStyle w:val="133"/>
            </w:pPr>
            <w:r>
              <w:rPr>
                <w:rFonts w:hint="eastAsia"/>
              </w:rPr>
              <w:t>2</w:t>
            </w:r>
          </w:p>
        </w:tc>
        <w:tc>
          <w:tcPr>
            <w:tcW w:w="1110" w:type="pct"/>
            <w:vAlign w:val="center"/>
          </w:tcPr>
          <w:p w14:paraId="1EFE5ABF">
            <w:pPr>
              <w:pStyle w:val="133"/>
            </w:pPr>
            <w:r>
              <w:rPr>
                <w:rFonts w:hint="eastAsia"/>
              </w:rPr>
              <w:t>镉</w:t>
            </w:r>
          </w:p>
        </w:tc>
        <w:tc>
          <w:tcPr>
            <w:tcW w:w="775" w:type="pct"/>
            <w:vAlign w:val="center"/>
          </w:tcPr>
          <w:p w14:paraId="1EEC0863">
            <w:pPr>
              <w:pStyle w:val="133"/>
            </w:pPr>
            <w:r>
              <w:rPr>
                <w:rFonts w:hint="eastAsia"/>
              </w:rPr>
              <w:t>20</w:t>
            </w:r>
          </w:p>
        </w:tc>
        <w:tc>
          <w:tcPr>
            <w:tcW w:w="793" w:type="pct"/>
            <w:vAlign w:val="center"/>
          </w:tcPr>
          <w:p w14:paraId="600A7DE1">
            <w:pPr>
              <w:pStyle w:val="133"/>
            </w:pPr>
            <w:r>
              <w:rPr>
                <w:rFonts w:hint="eastAsia"/>
              </w:rPr>
              <w:t>65</w:t>
            </w:r>
          </w:p>
        </w:tc>
        <w:tc>
          <w:tcPr>
            <w:tcW w:w="899" w:type="pct"/>
            <w:vAlign w:val="center"/>
          </w:tcPr>
          <w:p w14:paraId="0D8BF842">
            <w:pPr>
              <w:pStyle w:val="133"/>
            </w:pPr>
            <w:r>
              <w:rPr>
                <w:rFonts w:hint="eastAsia"/>
              </w:rPr>
              <w:t>47</w:t>
            </w:r>
          </w:p>
        </w:tc>
        <w:tc>
          <w:tcPr>
            <w:tcW w:w="984" w:type="pct"/>
            <w:vAlign w:val="center"/>
          </w:tcPr>
          <w:p w14:paraId="4DBFB572">
            <w:pPr>
              <w:pStyle w:val="133"/>
            </w:pPr>
            <w:r>
              <w:rPr>
                <w:rFonts w:hint="eastAsia"/>
              </w:rPr>
              <w:t>172</w:t>
            </w:r>
          </w:p>
        </w:tc>
      </w:tr>
      <w:tr w14:paraId="3800AC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076B0A35">
            <w:pPr>
              <w:pStyle w:val="133"/>
            </w:pPr>
            <w:r>
              <w:rPr>
                <w:rFonts w:hint="eastAsia"/>
              </w:rPr>
              <w:t>3</w:t>
            </w:r>
          </w:p>
        </w:tc>
        <w:tc>
          <w:tcPr>
            <w:tcW w:w="1110" w:type="pct"/>
            <w:vAlign w:val="center"/>
          </w:tcPr>
          <w:p w14:paraId="30735917">
            <w:pPr>
              <w:pStyle w:val="133"/>
            </w:pPr>
            <w:r>
              <w:rPr>
                <w:rFonts w:hint="eastAsia"/>
              </w:rPr>
              <w:t>铬（六价）</w:t>
            </w:r>
          </w:p>
        </w:tc>
        <w:tc>
          <w:tcPr>
            <w:tcW w:w="775" w:type="pct"/>
            <w:vAlign w:val="center"/>
          </w:tcPr>
          <w:p w14:paraId="542D85EB">
            <w:pPr>
              <w:pStyle w:val="133"/>
            </w:pPr>
            <w:r>
              <w:rPr>
                <w:rFonts w:hint="eastAsia"/>
              </w:rPr>
              <w:t>3.0</w:t>
            </w:r>
          </w:p>
        </w:tc>
        <w:tc>
          <w:tcPr>
            <w:tcW w:w="793" w:type="pct"/>
            <w:vAlign w:val="center"/>
          </w:tcPr>
          <w:p w14:paraId="71777BE8">
            <w:pPr>
              <w:pStyle w:val="133"/>
            </w:pPr>
            <w:r>
              <w:rPr>
                <w:rFonts w:hint="eastAsia"/>
              </w:rPr>
              <w:t>5.7</w:t>
            </w:r>
          </w:p>
        </w:tc>
        <w:tc>
          <w:tcPr>
            <w:tcW w:w="899" w:type="pct"/>
            <w:vAlign w:val="center"/>
          </w:tcPr>
          <w:p w14:paraId="0FD976EF">
            <w:pPr>
              <w:pStyle w:val="133"/>
            </w:pPr>
            <w:r>
              <w:rPr>
                <w:rFonts w:hint="eastAsia"/>
              </w:rPr>
              <w:t>30</w:t>
            </w:r>
          </w:p>
        </w:tc>
        <w:tc>
          <w:tcPr>
            <w:tcW w:w="984" w:type="pct"/>
            <w:vAlign w:val="center"/>
          </w:tcPr>
          <w:p w14:paraId="24B467D9">
            <w:pPr>
              <w:pStyle w:val="133"/>
            </w:pPr>
            <w:r>
              <w:rPr>
                <w:rFonts w:hint="eastAsia"/>
              </w:rPr>
              <w:t>78</w:t>
            </w:r>
          </w:p>
        </w:tc>
      </w:tr>
      <w:tr w14:paraId="410CF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0CD6303E">
            <w:pPr>
              <w:pStyle w:val="133"/>
            </w:pPr>
            <w:r>
              <w:rPr>
                <w:rFonts w:hint="eastAsia"/>
              </w:rPr>
              <w:t>4</w:t>
            </w:r>
          </w:p>
        </w:tc>
        <w:tc>
          <w:tcPr>
            <w:tcW w:w="1110" w:type="pct"/>
            <w:vAlign w:val="center"/>
          </w:tcPr>
          <w:p w14:paraId="10057E1D">
            <w:pPr>
              <w:pStyle w:val="133"/>
            </w:pPr>
            <w:r>
              <w:rPr>
                <w:rFonts w:hint="eastAsia"/>
              </w:rPr>
              <w:t>铜</w:t>
            </w:r>
          </w:p>
        </w:tc>
        <w:tc>
          <w:tcPr>
            <w:tcW w:w="775" w:type="pct"/>
            <w:vAlign w:val="center"/>
          </w:tcPr>
          <w:p w14:paraId="3DC3CBDE">
            <w:pPr>
              <w:pStyle w:val="133"/>
            </w:pPr>
            <w:r>
              <w:rPr>
                <w:rFonts w:hint="eastAsia"/>
              </w:rPr>
              <w:t>2000</w:t>
            </w:r>
          </w:p>
        </w:tc>
        <w:tc>
          <w:tcPr>
            <w:tcW w:w="793" w:type="pct"/>
            <w:vAlign w:val="center"/>
          </w:tcPr>
          <w:p w14:paraId="1B70D95E">
            <w:pPr>
              <w:pStyle w:val="133"/>
            </w:pPr>
            <w:r>
              <w:rPr>
                <w:rFonts w:hint="eastAsia"/>
              </w:rPr>
              <w:t>18000</w:t>
            </w:r>
          </w:p>
        </w:tc>
        <w:tc>
          <w:tcPr>
            <w:tcW w:w="899" w:type="pct"/>
            <w:vAlign w:val="center"/>
          </w:tcPr>
          <w:p w14:paraId="534FBD32">
            <w:pPr>
              <w:pStyle w:val="133"/>
            </w:pPr>
            <w:r>
              <w:rPr>
                <w:rFonts w:hint="eastAsia"/>
              </w:rPr>
              <w:t>8000</w:t>
            </w:r>
          </w:p>
        </w:tc>
        <w:tc>
          <w:tcPr>
            <w:tcW w:w="984" w:type="pct"/>
            <w:vAlign w:val="center"/>
          </w:tcPr>
          <w:p w14:paraId="3519FD08">
            <w:pPr>
              <w:pStyle w:val="133"/>
            </w:pPr>
            <w:r>
              <w:rPr>
                <w:rFonts w:hint="eastAsia"/>
              </w:rPr>
              <w:t>36000</w:t>
            </w:r>
          </w:p>
        </w:tc>
      </w:tr>
      <w:tr w14:paraId="315BA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2A282775">
            <w:pPr>
              <w:pStyle w:val="133"/>
            </w:pPr>
            <w:r>
              <w:rPr>
                <w:rFonts w:hint="eastAsia"/>
              </w:rPr>
              <w:t>5</w:t>
            </w:r>
          </w:p>
        </w:tc>
        <w:tc>
          <w:tcPr>
            <w:tcW w:w="1110" w:type="pct"/>
            <w:vAlign w:val="center"/>
          </w:tcPr>
          <w:p w14:paraId="617E6DDF">
            <w:pPr>
              <w:pStyle w:val="133"/>
            </w:pPr>
            <w:r>
              <w:rPr>
                <w:rFonts w:hint="eastAsia"/>
              </w:rPr>
              <w:t>铅</w:t>
            </w:r>
          </w:p>
        </w:tc>
        <w:tc>
          <w:tcPr>
            <w:tcW w:w="775" w:type="pct"/>
            <w:vAlign w:val="center"/>
          </w:tcPr>
          <w:p w14:paraId="4A49F0F5">
            <w:pPr>
              <w:pStyle w:val="133"/>
            </w:pPr>
            <w:r>
              <w:rPr>
                <w:rFonts w:hint="eastAsia"/>
              </w:rPr>
              <w:t>400</w:t>
            </w:r>
          </w:p>
        </w:tc>
        <w:tc>
          <w:tcPr>
            <w:tcW w:w="793" w:type="pct"/>
            <w:vAlign w:val="center"/>
          </w:tcPr>
          <w:p w14:paraId="11ADC4E4">
            <w:pPr>
              <w:pStyle w:val="133"/>
            </w:pPr>
            <w:r>
              <w:rPr>
                <w:rFonts w:hint="eastAsia"/>
              </w:rPr>
              <w:t>800</w:t>
            </w:r>
          </w:p>
        </w:tc>
        <w:tc>
          <w:tcPr>
            <w:tcW w:w="899" w:type="pct"/>
            <w:vAlign w:val="center"/>
          </w:tcPr>
          <w:p w14:paraId="52672928">
            <w:pPr>
              <w:pStyle w:val="133"/>
            </w:pPr>
            <w:r>
              <w:rPr>
                <w:rFonts w:hint="eastAsia"/>
              </w:rPr>
              <w:t>800</w:t>
            </w:r>
          </w:p>
        </w:tc>
        <w:tc>
          <w:tcPr>
            <w:tcW w:w="984" w:type="pct"/>
            <w:vAlign w:val="center"/>
          </w:tcPr>
          <w:p w14:paraId="5AA2C490">
            <w:pPr>
              <w:pStyle w:val="133"/>
            </w:pPr>
            <w:r>
              <w:rPr>
                <w:rFonts w:hint="eastAsia"/>
              </w:rPr>
              <w:t>2500</w:t>
            </w:r>
          </w:p>
        </w:tc>
      </w:tr>
      <w:tr w14:paraId="380931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24B314F8">
            <w:pPr>
              <w:pStyle w:val="133"/>
            </w:pPr>
            <w:r>
              <w:rPr>
                <w:rFonts w:hint="eastAsia"/>
              </w:rPr>
              <w:t>6</w:t>
            </w:r>
          </w:p>
        </w:tc>
        <w:tc>
          <w:tcPr>
            <w:tcW w:w="1110" w:type="pct"/>
            <w:vAlign w:val="center"/>
          </w:tcPr>
          <w:p w14:paraId="053839ED">
            <w:pPr>
              <w:pStyle w:val="133"/>
            </w:pPr>
            <w:r>
              <w:rPr>
                <w:rFonts w:hint="eastAsia"/>
              </w:rPr>
              <w:t>汞</w:t>
            </w:r>
          </w:p>
        </w:tc>
        <w:tc>
          <w:tcPr>
            <w:tcW w:w="775" w:type="pct"/>
            <w:vAlign w:val="center"/>
          </w:tcPr>
          <w:p w14:paraId="5912E5AE">
            <w:pPr>
              <w:pStyle w:val="133"/>
            </w:pPr>
            <w:r>
              <w:rPr>
                <w:rFonts w:hint="eastAsia"/>
              </w:rPr>
              <w:t>8</w:t>
            </w:r>
          </w:p>
        </w:tc>
        <w:tc>
          <w:tcPr>
            <w:tcW w:w="793" w:type="pct"/>
            <w:vAlign w:val="center"/>
          </w:tcPr>
          <w:p w14:paraId="450220F9">
            <w:pPr>
              <w:pStyle w:val="133"/>
            </w:pPr>
            <w:r>
              <w:rPr>
                <w:rFonts w:hint="eastAsia"/>
              </w:rPr>
              <w:t>38</w:t>
            </w:r>
          </w:p>
        </w:tc>
        <w:tc>
          <w:tcPr>
            <w:tcW w:w="899" w:type="pct"/>
            <w:vAlign w:val="center"/>
          </w:tcPr>
          <w:p w14:paraId="7DB7C559">
            <w:pPr>
              <w:pStyle w:val="133"/>
            </w:pPr>
            <w:r>
              <w:rPr>
                <w:rFonts w:hint="eastAsia"/>
              </w:rPr>
              <w:t>33</w:t>
            </w:r>
          </w:p>
        </w:tc>
        <w:tc>
          <w:tcPr>
            <w:tcW w:w="984" w:type="pct"/>
            <w:vAlign w:val="center"/>
          </w:tcPr>
          <w:p w14:paraId="0E1ADFD2">
            <w:pPr>
              <w:pStyle w:val="133"/>
            </w:pPr>
            <w:r>
              <w:rPr>
                <w:rFonts w:hint="eastAsia"/>
              </w:rPr>
              <w:t>82</w:t>
            </w:r>
          </w:p>
        </w:tc>
      </w:tr>
      <w:tr w14:paraId="489284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53C6E1B3">
            <w:pPr>
              <w:pStyle w:val="133"/>
            </w:pPr>
            <w:r>
              <w:rPr>
                <w:rFonts w:hint="eastAsia"/>
              </w:rPr>
              <w:t>7</w:t>
            </w:r>
          </w:p>
        </w:tc>
        <w:tc>
          <w:tcPr>
            <w:tcW w:w="1110" w:type="pct"/>
            <w:vAlign w:val="center"/>
          </w:tcPr>
          <w:p w14:paraId="0FCD8465">
            <w:pPr>
              <w:pStyle w:val="133"/>
            </w:pPr>
            <w:r>
              <w:rPr>
                <w:rFonts w:hint="eastAsia"/>
              </w:rPr>
              <w:t>镍</w:t>
            </w:r>
          </w:p>
        </w:tc>
        <w:tc>
          <w:tcPr>
            <w:tcW w:w="775" w:type="pct"/>
            <w:vAlign w:val="center"/>
          </w:tcPr>
          <w:p w14:paraId="5A5CCD8A">
            <w:pPr>
              <w:pStyle w:val="133"/>
            </w:pPr>
            <w:r>
              <w:rPr>
                <w:rFonts w:hint="eastAsia"/>
              </w:rPr>
              <w:t>150</w:t>
            </w:r>
          </w:p>
        </w:tc>
        <w:tc>
          <w:tcPr>
            <w:tcW w:w="793" w:type="pct"/>
            <w:vAlign w:val="center"/>
          </w:tcPr>
          <w:p w14:paraId="3545FF79">
            <w:pPr>
              <w:pStyle w:val="133"/>
            </w:pPr>
            <w:r>
              <w:rPr>
                <w:rFonts w:hint="eastAsia"/>
              </w:rPr>
              <w:t>900</w:t>
            </w:r>
          </w:p>
        </w:tc>
        <w:tc>
          <w:tcPr>
            <w:tcW w:w="899" w:type="pct"/>
            <w:vAlign w:val="center"/>
          </w:tcPr>
          <w:p w14:paraId="5966A4B7">
            <w:pPr>
              <w:pStyle w:val="133"/>
            </w:pPr>
            <w:r>
              <w:rPr>
                <w:rFonts w:hint="eastAsia"/>
              </w:rPr>
              <w:t>600</w:t>
            </w:r>
          </w:p>
        </w:tc>
        <w:tc>
          <w:tcPr>
            <w:tcW w:w="984" w:type="pct"/>
            <w:vAlign w:val="center"/>
          </w:tcPr>
          <w:p w14:paraId="51C9DF90">
            <w:pPr>
              <w:pStyle w:val="133"/>
            </w:pPr>
            <w:r>
              <w:rPr>
                <w:rFonts w:hint="eastAsia"/>
              </w:rPr>
              <w:t>2000</w:t>
            </w:r>
          </w:p>
        </w:tc>
      </w:tr>
      <w:tr w14:paraId="52227D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37EE759B">
            <w:pPr>
              <w:pStyle w:val="133"/>
            </w:pPr>
            <w:r>
              <w:rPr>
                <w:rFonts w:hint="eastAsia"/>
              </w:rPr>
              <w:t>挥发性有机物</w:t>
            </w:r>
          </w:p>
        </w:tc>
      </w:tr>
      <w:tr w14:paraId="79640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10316D7A">
            <w:pPr>
              <w:pStyle w:val="133"/>
            </w:pPr>
            <w:r>
              <w:rPr>
                <w:rFonts w:hint="eastAsia"/>
              </w:rPr>
              <w:t>8</w:t>
            </w:r>
          </w:p>
        </w:tc>
        <w:tc>
          <w:tcPr>
            <w:tcW w:w="1110" w:type="pct"/>
            <w:vAlign w:val="center"/>
          </w:tcPr>
          <w:p w14:paraId="5341965E">
            <w:pPr>
              <w:pStyle w:val="133"/>
            </w:pPr>
            <w:r>
              <w:rPr>
                <w:rFonts w:hint="eastAsia"/>
              </w:rPr>
              <w:t>四氯化碳</w:t>
            </w:r>
          </w:p>
        </w:tc>
        <w:tc>
          <w:tcPr>
            <w:tcW w:w="775" w:type="pct"/>
            <w:vAlign w:val="center"/>
          </w:tcPr>
          <w:p w14:paraId="16328511">
            <w:pPr>
              <w:pStyle w:val="133"/>
            </w:pPr>
            <w:r>
              <w:rPr>
                <w:rFonts w:hint="eastAsia"/>
              </w:rPr>
              <w:t>0.9</w:t>
            </w:r>
          </w:p>
        </w:tc>
        <w:tc>
          <w:tcPr>
            <w:tcW w:w="793" w:type="pct"/>
            <w:vAlign w:val="center"/>
          </w:tcPr>
          <w:p w14:paraId="2B27ACC0">
            <w:pPr>
              <w:pStyle w:val="133"/>
            </w:pPr>
            <w:r>
              <w:rPr>
                <w:rFonts w:hint="eastAsia"/>
              </w:rPr>
              <w:t>2.8</w:t>
            </w:r>
          </w:p>
        </w:tc>
        <w:tc>
          <w:tcPr>
            <w:tcW w:w="899" w:type="pct"/>
            <w:vAlign w:val="center"/>
          </w:tcPr>
          <w:p w14:paraId="2C1B17D8">
            <w:pPr>
              <w:pStyle w:val="133"/>
            </w:pPr>
            <w:r>
              <w:rPr>
                <w:rFonts w:hint="eastAsia"/>
              </w:rPr>
              <w:t>9</w:t>
            </w:r>
          </w:p>
        </w:tc>
        <w:tc>
          <w:tcPr>
            <w:tcW w:w="984" w:type="pct"/>
            <w:vAlign w:val="center"/>
          </w:tcPr>
          <w:p w14:paraId="266E87FF">
            <w:pPr>
              <w:pStyle w:val="133"/>
            </w:pPr>
            <w:r>
              <w:rPr>
                <w:rFonts w:hint="eastAsia"/>
              </w:rPr>
              <w:t>36</w:t>
            </w:r>
          </w:p>
        </w:tc>
      </w:tr>
      <w:tr w14:paraId="5F580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0CD0136A">
            <w:pPr>
              <w:pStyle w:val="133"/>
            </w:pPr>
            <w:r>
              <w:rPr>
                <w:rFonts w:hint="eastAsia"/>
              </w:rPr>
              <w:t>9</w:t>
            </w:r>
          </w:p>
        </w:tc>
        <w:tc>
          <w:tcPr>
            <w:tcW w:w="1110" w:type="pct"/>
            <w:vAlign w:val="center"/>
          </w:tcPr>
          <w:p w14:paraId="258585AD">
            <w:pPr>
              <w:pStyle w:val="133"/>
            </w:pPr>
            <w:r>
              <w:rPr>
                <w:rFonts w:hint="eastAsia"/>
              </w:rPr>
              <w:t>氯仿</w:t>
            </w:r>
          </w:p>
        </w:tc>
        <w:tc>
          <w:tcPr>
            <w:tcW w:w="775" w:type="pct"/>
            <w:vAlign w:val="center"/>
          </w:tcPr>
          <w:p w14:paraId="0E661238">
            <w:pPr>
              <w:pStyle w:val="133"/>
            </w:pPr>
            <w:r>
              <w:rPr>
                <w:rFonts w:hint="eastAsia"/>
              </w:rPr>
              <w:t>0.3</w:t>
            </w:r>
          </w:p>
        </w:tc>
        <w:tc>
          <w:tcPr>
            <w:tcW w:w="793" w:type="pct"/>
            <w:vAlign w:val="center"/>
          </w:tcPr>
          <w:p w14:paraId="7CD5B60C">
            <w:pPr>
              <w:pStyle w:val="133"/>
            </w:pPr>
            <w:r>
              <w:rPr>
                <w:rFonts w:hint="eastAsia"/>
              </w:rPr>
              <w:t>0.9</w:t>
            </w:r>
          </w:p>
        </w:tc>
        <w:tc>
          <w:tcPr>
            <w:tcW w:w="899" w:type="pct"/>
            <w:vAlign w:val="center"/>
          </w:tcPr>
          <w:p w14:paraId="2DB5E40B">
            <w:pPr>
              <w:pStyle w:val="133"/>
            </w:pPr>
            <w:r>
              <w:rPr>
                <w:rFonts w:hint="eastAsia"/>
              </w:rPr>
              <w:t>5</w:t>
            </w:r>
          </w:p>
        </w:tc>
        <w:tc>
          <w:tcPr>
            <w:tcW w:w="984" w:type="pct"/>
            <w:vAlign w:val="center"/>
          </w:tcPr>
          <w:p w14:paraId="35FA533D">
            <w:pPr>
              <w:pStyle w:val="133"/>
            </w:pPr>
            <w:r>
              <w:rPr>
                <w:rFonts w:hint="eastAsia"/>
              </w:rPr>
              <w:t>10</w:t>
            </w:r>
          </w:p>
        </w:tc>
      </w:tr>
      <w:tr w14:paraId="67012F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4FBC0EC5">
            <w:pPr>
              <w:pStyle w:val="133"/>
            </w:pPr>
            <w:r>
              <w:rPr>
                <w:rFonts w:hint="eastAsia"/>
              </w:rPr>
              <w:t>10</w:t>
            </w:r>
          </w:p>
        </w:tc>
        <w:tc>
          <w:tcPr>
            <w:tcW w:w="1110" w:type="pct"/>
            <w:vAlign w:val="center"/>
          </w:tcPr>
          <w:p w14:paraId="7C8F8D28">
            <w:pPr>
              <w:pStyle w:val="133"/>
            </w:pPr>
            <w:r>
              <w:rPr>
                <w:rFonts w:hint="eastAsia"/>
              </w:rPr>
              <w:t>氯甲烷</w:t>
            </w:r>
          </w:p>
        </w:tc>
        <w:tc>
          <w:tcPr>
            <w:tcW w:w="775" w:type="pct"/>
            <w:vAlign w:val="center"/>
          </w:tcPr>
          <w:p w14:paraId="2A271F75">
            <w:pPr>
              <w:pStyle w:val="133"/>
            </w:pPr>
            <w:r>
              <w:rPr>
                <w:rFonts w:hint="eastAsia"/>
              </w:rPr>
              <w:t>12</w:t>
            </w:r>
          </w:p>
        </w:tc>
        <w:tc>
          <w:tcPr>
            <w:tcW w:w="793" w:type="pct"/>
            <w:vAlign w:val="center"/>
          </w:tcPr>
          <w:p w14:paraId="39EEA2F2">
            <w:pPr>
              <w:pStyle w:val="133"/>
            </w:pPr>
            <w:r>
              <w:rPr>
                <w:rFonts w:hint="eastAsia"/>
              </w:rPr>
              <w:t>37</w:t>
            </w:r>
          </w:p>
        </w:tc>
        <w:tc>
          <w:tcPr>
            <w:tcW w:w="899" w:type="pct"/>
            <w:vAlign w:val="center"/>
          </w:tcPr>
          <w:p w14:paraId="12EDF6C8">
            <w:pPr>
              <w:pStyle w:val="133"/>
            </w:pPr>
            <w:r>
              <w:rPr>
                <w:rFonts w:hint="eastAsia"/>
              </w:rPr>
              <w:t>21</w:t>
            </w:r>
          </w:p>
        </w:tc>
        <w:tc>
          <w:tcPr>
            <w:tcW w:w="984" w:type="pct"/>
            <w:vAlign w:val="center"/>
          </w:tcPr>
          <w:p w14:paraId="4E211A77">
            <w:pPr>
              <w:pStyle w:val="133"/>
            </w:pPr>
            <w:r>
              <w:rPr>
                <w:rFonts w:hint="eastAsia"/>
              </w:rPr>
              <w:t>120</w:t>
            </w:r>
          </w:p>
        </w:tc>
      </w:tr>
      <w:tr w14:paraId="5798D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3394C7BC">
            <w:pPr>
              <w:pStyle w:val="133"/>
            </w:pPr>
            <w:r>
              <w:rPr>
                <w:rFonts w:hint="eastAsia"/>
              </w:rPr>
              <w:t>11</w:t>
            </w:r>
          </w:p>
        </w:tc>
        <w:tc>
          <w:tcPr>
            <w:tcW w:w="1110" w:type="pct"/>
            <w:vAlign w:val="center"/>
          </w:tcPr>
          <w:p w14:paraId="6DBF4A77">
            <w:pPr>
              <w:pStyle w:val="133"/>
            </w:pPr>
            <w:r>
              <w:rPr>
                <w:rFonts w:hint="eastAsia"/>
              </w:rPr>
              <w:t>1,1-二氯乙烷</w:t>
            </w:r>
          </w:p>
        </w:tc>
        <w:tc>
          <w:tcPr>
            <w:tcW w:w="775" w:type="pct"/>
            <w:vAlign w:val="center"/>
          </w:tcPr>
          <w:p w14:paraId="5E98A8E5">
            <w:pPr>
              <w:pStyle w:val="133"/>
            </w:pPr>
            <w:r>
              <w:rPr>
                <w:rFonts w:hint="eastAsia"/>
              </w:rPr>
              <w:t>3</w:t>
            </w:r>
          </w:p>
        </w:tc>
        <w:tc>
          <w:tcPr>
            <w:tcW w:w="793" w:type="pct"/>
            <w:vAlign w:val="center"/>
          </w:tcPr>
          <w:p w14:paraId="2194482A">
            <w:pPr>
              <w:pStyle w:val="133"/>
            </w:pPr>
            <w:r>
              <w:rPr>
                <w:rFonts w:hint="eastAsia"/>
              </w:rPr>
              <w:t>9</w:t>
            </w:r>
          </w:p>
        </w:tc>
        <w:tc>
          <w:tcPr>
            <w:tcW w:w="899" w:type="pct"/>
            <w:vAlign w:val="center"/>
          </w:tcPr>
          <w:p w14:paraId="50A1271C">
            <w:pPr>
              <w:pStyle w:val="133"/>
            </w:pPr>
            <w:r>
              <w:rPr>
                <w:rFonts w:hint="eastAsia"/>
              </w:rPr>
              <w:t>20</w:t>
            </w:r>
          </w:p>
        </w:tc>
        <w:tc>
          <w:tcPr>
            <w:tcW w:w="984" w:type="pct"/>
            <w:vAlign w:val="center"/>
          </w:tcPr>
          <w:p w14:paraId="51662B52">
            <w:pPr>
              <w:pStyle w:val="133"/>
            </w:pPr>
            <w:r>
              <w:rPr>
                <w:rFonts w:hint="eastAsia"/>
              </w:rPr>
              <w:t>100</w:t>
            </w:r>
          </w:p>
        </w:tc>
      </w:tr>
      <w:tr w14:paraId="022CDC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1D076E4A">
            <w:pPr>
              <w:pStyle w:val="133"/>
            </w:pPr>
            <w:r>
              <w:rPr>
                <w:rFonts w:hint="eastAsia"/>
              </w:rPr>
              <w:t>12</w:t>
            </w:r>
          </w:p>
        </w:tc>
        <w:tc>
          <w:tcPr>
            <w:tcW w:w="1110" w:type="pct"/>
            <w:vAlign w:val="center"/>
          </w:tcPr>
          <w:p w14:paraId="411EC707">
            <w:pPr>
              <w:pStyle w:val="133"/>
            </w:pPr>
            <w:r>
              <w:rPr>
                <w:rFonts w:hint="eastAsia"/>
              </w:rPr>
              <w:t>1,2-二氯乙烷</w:t>
            </w:r>
          </w:p>
        </w:tc>
        <w:tc>
          <w:tcPr>
            <w:tcW w:w="775" w:type="pct"/>
            <w:vAlign w:val="center"/>
          </w:tcPr>
          <w:p w14:paraId="54C62F95">
            <w:pPr>
              <w:pStyle w:val="133"/>
            </w:pPr>
            <w:r>
              <w:rPr>
                <w:rFonts w:hint="eastAsia"/>
              </w:rPr>
              <w:t>0.52</w:t>
            </w:r>
          </w:p>
        </w:tc>
        <w:tc>
          <w:tcPr>
            <w:tcW w:w="793" w:type="pct"/>
            <w:vAlign w:val="center"/>
          </w:tcPr>
          <w:p w14:paraId="521C5160">
            <w:pPr>
              <w:pStyle w:val="133"/>
            </w:pPr>
            <w:r>
              <w:rPr>
                <w:rFonts w:hint="eastAsia"/>
              </w:rPr>
              <w:t>5</w:t>
            </w:r>
          </w:p>
        </w:tc>
        <w:tc>
          <w:tcPr>
            <w:tcW w:w="899" w:type="pct"/>
            <w:vAlign w:val="center"/>
          </w:tcPr>
          <w:p w14:paraId="236ABF72">
            <w:pPr>
              <w:pStyle w:val="133"/>
            </w:pPr>
            <w:r>
              <w:rPr>
                <w:rFonts w:hint="eastAsia"/>
              </w:rPr>
              <w:t>6</w:t>
            </w:r>
          </w:p>
        </w:tc>
        <w:tc>
          <w:tcPr>
            <w:tcW w:w="984" w:type="pct"/>
            <w:vAlign w:val="center"/>
          </w:tcPr>
          <w:p w14:paraId="513F3DA6">
            <w:pPr>
              <w:pStyle w:val="133"/>
            </w:pPr>
            <w:r>
              <w:rPr>
                <w:rFonts w:hint="eastAsia"/>
              </w:rPr>
              <w:t>21</w:t>
            </w:r>
          </w:p>
        </w:tc>
      </w:tr>
      <w:tr w14:paraId="32F4C3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0E215EFB">
            <w:pPr>
              <w:pStyle w:val="133"/>
            </w:pPr>
            <w:r>
              <w:rPr>
                <w:rFonts w:hint="eastAsia"/>
              </w:rPr>
              <w:t>13</w:t>
            </w:r>
          </w:p>
        </w:tc>
        <w:tc>
          <w:tcPr>
            <w:tcW w:w="1110" w:type="pct"/>
            <w:vAlign w:val="center"/>
          </w:tcPr>
          <w:p w14:paraId="3145771D">
            <w:pPr>
              <w:pStyle w:val="133"/>
            </w:pPr>
            <w:r>
              <w:rPr>
                <w:rFonts w:hint="eastAsia"/>
              </w:rPr>
              <w:t>1,1-二氯乙烯</w:t>
            </w:r>
          </w:p>
        </w:tc>
        <w:tc>
          <w:tcPr>
            <w:tcW w:w="775" w:type="pct"/>
            <w:vAlign w:val="center"/>
          </w:tcPr>
          <w:p w14:paraId="50F7594B">
            <w:pPr>
              <w:pStyle w:val="133"/>
            </w:pPr>
            <w:r>
              <w:rPr>
                <w:rFonts w:hint="eastAsia"/>
              </w:rPr>
              <w:t>12</w:t>
            </w:r>
          </w:p>
        </w:tc>
        <w:tc>
          <w:tcPr>
            <w:tcW w:w="793" w:type="pct"/>
            <w:vAlign w:val="center"/>
          </w:tcPr>
          <w:p w14:paraId="3C297035">
            <w:pPr>
              <w:pStyle w:val="133"/>
            </w:pPr>
            <w:r>
              <w:rPr>
                <w:rFonts w:hint="eastAsia"/>
              </w:rPr>
              <w:t>66</w:t>
            </w:r>
          </w:p>
        </w:tc>
        <w:tc>
          <w:tcPr>
            <w:tcW w:w="899" w:type="pct"/>
            <w:vAlign w:val="center"/>
          </w:tcPr>
          <w:p w14:paraId="1CC2728E">
            <w:pPr>
              <w:pStyle w:val="133"/>
            </w:pPr>
            <w:r>
              <w:rPr>
                <w:rFonts w:hint="eastAsia"/>
              </w:rPr>
              <w:t>40</w:t>
            </w:r>
          </w:p>
        </w:tc>
        <w:tc>
          <w:tcPr>
            <w:tcW w:w="984" w:type="pct"/>
            <w:vAlign w:val="center"/>
          </w:tcPr>
          <w:p w14:paraId="6AB16822">
            <w:pPr>
              <w:pStyle w:val="133"/>
            </w:pPr>
            <w:r>
              <w:rPr>
                <w:rFonts w:hint="eastAsia"/>
              </w:rPr>
              <w:t>200</w:t>
            </w:r>
          </w:p>
        </w:tc>
      </w:tr>
      <w:tr w14:paraId="34F27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72F0ABF3">
            <w:pPr>
              <w:pStyle w:val="133"/>
            </w:pPr>
            <w:r>
              <w:rPr>
                <w:rFonts w:hint="eastAsia"/>
              </w:rPr>
              <w:t>14</w:t>
            </w:r>
          </w:p>
        </w:tc>
        <w:tc>
          <w:tcPr>
            <w:tcW w:w="1110" w:type="pct"/>
            <w:vAlign w:val="center"/>
          </w:tcPr>
          <w:p w14:paraId="16018D3B">
            <w:pPr>
              <w:pStyle w:val="133"/>
            </w:pPr>
            <w:r>
              <w:rPr>
                <w:rFonts w:hint="eastAsia"/>
              </w:rPr>
              <w:t>顺-1,2-二氯乙烯</w:t>
            </w:r>
          </w:p>
        </w:tc>
        <w:tc>
          <w:tcPr>
            <w:tcW w:w="775" w:type="pct"/>
            <w:vAlign w:val="center"/>
          </w:tcPr>
          <w:p w14:paraId="5493BEF7">
            <w:pPr>
              <w:pStyle w:val="133"/>
            </w:pPr>
            <w:r>
              <w:rPr>
                <w:rFonts w:hint="eastAsia"/>
              </w:rPr>
              <w:t>66</w:t>
            </w:r>
          </w:p>
        </w:tc>
        <w:tc>
          <w:tcPr>
            <w:tcW w:w="793" w:type="pct"/>
            <w:vAlign w:val="center"/>
          </w:tcPr>
          <w:p w14:paraId="4311DBDA">
            <w:pPr>
              <w:pStyle w:val="133"/>
            </w:pPr>
            <w:r>
              <w:rPr>
                <w:rFonts w:hint="eastAsia"/>
              </w:rPr>
              <w:t>596</w:t>
            </w:r>
          </w:p>
        </w:tc>
        <w:tc>
          <w:tcPr>
            <w:tcW w:w="899" w:type="pct"/>
            <w:vAlign w:val="center"/>
          </w:tcPr>
          <w:p w14:paraId="1F2C1709">
            <w:pPr>
              <w:pStyle w:val="133"/>
            </w:pPr>
            <w:r>
              <w:rPr>
                <w:rFonts w:hint="eastAsia"/>
              </w:rPr>
              <w:t>200</w:t>
            </w:r>
          </w:p>
        </w:tc>
        <w:tc>
          <w:tcPr>
            <w:tcW w:w="984" w:type="pct"/>
            <w:vAlign w:val="center"/>
          </w:tcPr>
          <w:p w14:paraId="797C69C4">
            <w:pPr>
              <w:pStyle w:val="133"/>
            </w:pPr>
            <w:r>
              <w:rPr>
                <w:rFonts w:hint="eastAsia"/>
              </w:rPr>
              <w:t>2000</w:t>
            </w:r>
          </w:p>
        </w:tc>
      </w:tr>
      <w:tr w14:paraId="0C1928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55082FF6">
            <w:pPr>
              <w:pStyle w:val="133"/>
            </w:pPr>
            <w:r>
              <w:rPr>
                <w:rFonts w:hint="eastAsia"/>
              </w:rPr>
              <w:t>15</w:t>
            </w:r>
          </w:p>
        </w:tc>
        <w:tc>
          <w:tcPr>
            <w:tcW w:w="1110" w:type="pct"/>
            <w:vAlign w:val="center"/>
          </w:tcPr>
          <w:p w14:paraId="3624CFAD">
            <w:pPr>
              <w:pStyle w:val="133"/>
            </w:pPr>
            <w:r>
              <w:rPr>
                <w:rFonts w:hint="eastAsia"/>
              </w:rPr>
              <w:t>反-1,2-二氯乙烯</w:t>
            </w:r>
          </w:p>
        </w:tc>
        <w:tc>
          <w:tcPr>
            <w:tcW w:w="775" w:type="pct"/>
            <w:vAlign w:val="center"/>
          </w:tcPr>
          <w:p w14:paraId="3D3FFB7C">
            <w:pPr>
              <w:pStyle w:val="133"/>
            </w:pPr>
            <w:r>
              <w:rPr>
                <w:rFonts w:hint="eastAsia"/>
              </w:rPr>
              <w:t>10</w:t>
            </w:r>
          </w:p>
        </w:tc>
        <w:tc>
          <w:tcPr>
            <w:tcW w:w="793" w:type="pct"/>
            <w:vAlign w:val="center"/>
          </w:tcPr>
          <w:p w14:paraId="5A9FA381">
            <w:pPr>
              <w:pStyle w:val="133"/>
            </w:pPr>
            <w:r>
              <w:rPr>
                <w:rFonts w:hint="eastAsia"/>
              </w:rPr>
              <w:t>54</w:t>
            </w:r>
          </w:p>
        </w:tc>
        <w:tc>
          <w:tcPr>
            <w:tcW w:w="899" w:type="pct"/>
            <w:vAlign w:val="center"/>
          </w:tcPr>
          <w:p w14:paraId="39507570">
            <w:pPr>
              <w:pStyle w:val="133"/>
            </w:pPr>
            <w:r>
              <w:rPr>
                <w:rFonts w:hint="eastAsia"/>
              </w:rPr>
              <w:t>31</w:t>
            </w:r>
          </w:p>
        </w:tc>
        <w:tc>
          <w:tcPr>
            <w:tcW w:w="984" w:type="pct"/>
            <w:vAlign w:val="center"/>
          </w:tcPr>
          <w:p w14:paraId="5EB620E7">
            <w:pPr>
              <w:pStyle w:val="133"/>
            </w:pPr>
            <w:r>
              <w:rPr>
                <w:rFonts w:hint="eastAsia"/>
              </w:rPr>
              <w:t>163</w:t>
            </w:r>
          </w:p>
        </w:tc>
      </w:tr>
      <w:tr w14:paraId="0ACC9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3C29A2B3">
            <w:pPr>
              <w:pStyle w:val="133"/>
            </w:pPr>
            <w:r>
              <w:rPr>
                <w:rFonts w:hint="eastAsia"/>
              </w:rPr>
              <w:t>16</w:t>
            </w:r>
          </w:p>
        </w:tc>
        <w:tc>
          <w:tcPr>
            <w:tcW w:w="1110" w:type="pct"/>
            <w:vAlign w:val="center"/>
          </w:tcPr>
          <w:p w14:paraId="24536E24">
            <w:pPr>
              <w:pStyle w:val="133"/>
            </w:pPr>
            <w:r>
              <w:rPr>
                <w:rFonts w:hint="eastAsia"/>
              </w:rPr>
              <w:t>二氯甲烷</w:t>
            </w:r>
          </w:p>
        </w:tc>
        <w:tc>
          <w:tcPr>
            <w:tcW w:w="775" w:type="pct"/>
            <w:vAlign w:val="center"/>
          </w:tcPr>
          <w:p w14:paraId="2FB52F00">
            <w:pPr>
              <w:pStyle w:val="133"/>
            </w:pPr>
            <w:r>
              <w:rPr>
                <w:rFonts w:hint="eastAsia"/>
              </w:rPr>
              <w:t>94</w:t>
            </w:r>
          </w:p>
        </w:tc>
        <w:tc>
          <w:tcPr>
            <w:tcW w:w="793" w:type="pct"/>
            <w:vAlign w:val="center"/>
          </w:tcPr>
          <w:p w14:paraId="54D8D742">
            <w:pPr>
              <w:pStyle w:val="133"/>
            </w:pPr>
            <w:r>
              <w:rPr>
                <w:rFonts w:hint="eastAsia"/>
              </w:rPr>
              <w:t>616</w:t>
            </w:r>
          </w:p>
        </w:tc>
        <w:tc>
          <w:tcPr>
            <w:tcW w:w="899" w:type="pct"/>
            <w:vAlign w:val="center"/>
          </w:tcPr>
          <w:p w14:paraId="1DC6EB07">
            <w:pPr>
              <w:pStyle w:val="133"/>
            </w:pPr>
            <w:r>
              <w:rPr>
                <w:rFonts w:hint="eastAsia"/>
              </w:rPr>
              <w:t>300</w:t>
            </w:r>
          </w:p>
        </w:tc>
        <w:tc>
          <w:tcPr>
            <w:tcW w:w="984" w:type="pct"/>
            <w:vAlign w:val="center"/>
          </w:tcPr>
          <w:p w14:paraId="73331C2B">
            <w:pPr>
              <w:pStyle w:val="133"/>
            </w:pPr>
            <w:r>
              <w:rPr>
                <w:rFonts w:hint="eastAsia"/>
              </w:rPr>
              <w:t>2000</w:t>
            </w:r>
          </w:p>
        </w:tc>
      </w:tr>
      <w:tr w14:paraId="495062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6625E0F4">
            <w:pPr>
              <w:pStyle w:val="133"/>
            </w:pPr>
            <w:r>
              <w:rPr>
                <w:rFonts w:hint="eastAsia"/>
              </w:rPr>
              <w:t>17</w:t>
            </w:r>
          </w:p>
        </w:tc>
        <w:tc>
          <w:tcPr>
            <w:tcW w:w="1110" w:type="pct"/>
            <w:vAlign w:val="center"/>
          </w:tcPr>
          <w:p w14:paraId="5633D6FE">
            <w:pPr>
              <w:pStyle w:val="133"/>
            </w:pPr>
            <w:r>
              <w:rPr>
                <w:rFonts w:hint="eastAsia"/>
              </w:rPr>
              <w:t>1,2-二氯丙烷</w:t>
            </w:r>
          </w:p>
        </w:tc>
        <w:tc>
          <w:tcPr>
            <w:tcW w:w="775" w:type="pct"/>
            <w:vAlign w:val="center"/>
          </w:tcPr>
          <w:p w14:paraId="1DCBACC3">
            <w:pPr>
              <w:pStyle w:val="133"/>
            </w:pPr>
            <w:r>
              <w:rPr>
                <w:rFonts w:hint="eastAsia"/>
              </w:rPr>
              <w:t>1</w:t>
            </w:r>
          </w:p>
        </w:tc>
        <w:tc>
          <w:tcPr>
            <w:tcW w:w="793" w:type="pct"/>
            <w:vAlign w:val="center"/>
          </w:tcPr>
          <w:p w14:paraId="29AF6A31">
            <w:pPr>
              <w:pStyle w:val="133"/>
            </w:pPr>
            <w:r>
              <w:rPr>
                <w:rFonts w:hint="eastAsia"/>
              </w:rPr>
              <w:t>5</w:t>
            </w:r>
          </w:p>
        </w:tc>
        <w:tc>
          <w:tcPr>
            <w:tcW w:w="899" w:type="pct"/>
            <w:vAlign w:val="center"/>
          </w:tcPr>
          <w:p w14:paraId="498999DD">
            <w:pPr>
              <w:pStyle w:val="133"/>
            </w:pPr>
            <w:r>
              <w:rPr>
                <w:rFonts w:hint="eastAsia"/>
              </w:rPr>
              <w:t>5</w:t>
            </w:r>
          </w:p>
        </w:tc>
        <w:tc>
          <w:tcPr>
            <w:tcW w:w="984" w:type="pct"/>
            <w:vAlign w:val="center"/>
          </w:tcPr>
          <w:p w14:paraId="3EE098BD">
            <w:pPr>
              <w:pStyle w:val="133"/>
            </w:pPr>
            <w:r>
              <w:rPr>
                <w:rFonts w:hint="eastAsia"/>
              </w:rPr>
              <w:t>47</w:t>
            </w:r>
          </w:p>
        </w:tc>
      </w:tr>
      <w:tr w14:paraId="20B5A8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2BD6180E">
            <w:pPr>
              <w:pStyle w:val="133"/>
            </w:pPr>
            <w:r>
              <w:rPr>
                <w:rFonts w:hint="eastAsia"/>
              </w:rPr>
              <w:t>18</w:t>
            </w:r>
          </w:p>
        </w:tc>
        <w:tc>
          <w:tcPr>
            <w:tcW w:w="1110" w:type="pct"/>
            <w:vAlign w:val="center"/>
          </w:tcPr>
          <w:p w14:paraId="4F658CA7">
            <w:pPr>
              <w:pStyle w:val="133"/>
            </w:pPr>
            <w:r>
              <w:rPr>
                <w:rFonts w:hint="eastAsia"/>
              </w:rPr>
              <w:t>1,1,1,2-四氯乙烷</w:t>
            </w:r>
          </w:p>
        </w:tc>
        <w:tc>
          <w:tcPr>
            <w:tcW w:w="775" w:type="pct"/>
            <w:vAlign w:val="center"/>
          </w:tcPr>
          <w:p w14:paraId="05D1CC05">
            <w:pPr>
              <w:pStyle w:val="133"/>
            </w:pPr>
            <w:r>
              <w:rPr>
                <w:rFonts w:hint="eastAsia"/>
              </w:rPr>
              <w:t>2.6</w:t>
            </w:r>
          </w:p>
        </w:tc>
        <w:tc>
          <w:tcPr>
            <w:tcW w:w="793" w:type="pct"/>
            <w:vAlign w:val="center"/>
          </w:tcPr>
          <w:p w14:paraId="5C8C9E20">
            <w:pPr>
              <w:pStyle w:val="133"/>
            </w:pPr>
            <w:r>
              <w:rPr>
                <w:rFonts w:hint="eastAsia"/>
              </w:rPr>
              <w:t>10</w:t>
            </w:r>
          </w:p>
        </w:tc>
        <w:tc>
          <w:tcPr>
            <w:tcW w:w="899" w:type="pct"/>
            <w:vAlign w:val="center"/>
          </w:tcPr>
          <w:p w14:paraId="199B2850">
            <w:pPr>
              <w:pStyle w:val="133"/>
            </w:pPr>
            <w:r>
              <w:rPr>
                <w:rFonts w:hint="eastAsia"/>
              </w:rPr>
              <w:t>26</w:t>
            </w:r>
          </w:p>
        </w:tc>
        <w:tc>
          <w:tcPr>
            <w:tcW w:w="984" w:type="pct"/>
            <w:vAlign w:val="center"/>
          </w:tcPr>
          <w:p w14:paraId="7066541C">
            <w:pPr>
              <w:pStyle w:val="133"/>
            </w:pPr>
            <w:r>
              <w:rPr>
                <w:rFonts w:hint="eastAsia"/>
              </w:rPr>
              <w:t>100</w:t>
            </w:r>
          </w:p>
        </w:tc>
      </w:tr>
      <w:tr w14:paraId="44F847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74030B23">
            <w:pPr>
              <w:pStyle w:val="133"/>
            </w:pPr>
            <w:r>
              <w:rPr>
                <w:rFonts w:hint="eastAsia"/>
              </w:rPr>
              <w:t>19</w:t>
            </w:r>
          </w:p>
        </w:tc>
        <w:tc>
          <w:tcPr>
            <w:tcW w:w="1110" w:type="pct"/>
            <w:vAlign w:val="center"/>
          </w:tcPr>
          <w:p w14:paraId="33CF30A8">
            <w:pPr>
              <w:pStyle w:val="133"/>
            </w:pPr>
            <w:r>
              <w:rPr>
                <w:rFonts w:hint="eastAsia"/>
              </w:rPr>
              <w:t>1,1,2,2-四氯乙烷</w:t>
            </w:r>
          </w:p>
        </w:tc>
        <w:tc>
          <w:tcPr>
            <w:tcW w:w="775" w:type="pct"/>
            <w:vAlign w:val="center"/>
          </w:tcPr>
          <w:p w14:paraId="2E8A6916">
            <w:pPr>
              <w:pStyle w:val="133"/>
            </w:pPr>
            <w:r>
              <w:rPr>
                <w:rFonts w:hint="eastAsia"/>
              </w:rPr>
              <w:t>1.6</w:t>
            </w:r>
          </w:p>
        </w:tc>
        <w:tc>
          <w:tcPr>
            <w:tcW w:w="793" w:type="pct"/>
            <w:vAlign w:val="center"/>
          </w:tcPr>
          <w:p w14:paraId="0EEE327C">
            <w:pPr>
              <w:pStyle w:val="133"/>
            </w:pPr>
            <w:r>
              <w:rPr>
                <w:rFonts w:hint="eastAsia"/>
              </w:rPr>
              <w:t>6.8</w:t>
            </w:r>
          </w:p>
        </w:tc>
        <w:tc>
          <w:tcPr>
            <w:tcW w:w="899" w:type="pct"/>
            <w:vAlign w:val="center"/>
          </w:tcPr>
          <w:p w14:paraId="63136914">
            <w:pPr>
              <w:pStyle w:val="133"/>
            </w:pPr>
            <w:r>
              <w:rPr>
                <w:rFonts w:hint="eastAsia"/>
              </w:rPr>
              <w:t>14</w:t>
            </w:r>
          </w:p>
        </w:tc>
        <w:tc>
          <w:tcPr>
            <w:tcW w:w="984" w:type="pct"/>
            <w:vAlign w:val="center"/>
          </w:tcPr>
          <w:p w14:paraId="7AB320A5">
            <w:pPr>
              <w:pStyle w:val="133"/>
            </w:pPr>
            <w:r>
              <w:rPr>
                <w:rFonts w:hint="eastAsia"/>
              </w:rPr>
              <w:t>50</w:t>
            </w:r>
          </w:p>
        </w:tc>
      </w:tr>
      <w:tr w14:paraId="15C4EC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03E9AEBF">
            <w:pPr>
              <w:pStyle w:val="133"/>
            </w:pPr>
            <w:r>
              <w:rPr>
                <w:rFonts w:hint="eastAsia"/>
              </w:rPr>
              <w:t>20</w:t>
            </w:r>
          </w:p>
        </w:tc>
        <w:tc>
          <w:tcPr>
            <w:tcW w:w="1110" w:type="pct"/>
            <w:vAlign w:val="center"/>
          </w:tcPr>
          <w:p w14:paraId="36E19779">
            <w:pPr>
              <w:pStyle w:val="133"/>
            </w:pPr>
            <w:r>
              <w:rPr>
                <w:rFonts w:hint="eastAsia"/>
              </w:rPr>
              <w:t>四氯乙烯</w:t>
            </w:r>
          </w:p>
        </w:tc>
        <w:tc>
          <w:tcPr>
            <w:tcW w:w="775" w:type="pct"/>
            <w:vAlign w:val="center"/>
          </w:tcPr>
          <w:p w14:paraId="077CDEBE">
            <w:pPr>
              <w:pStyle w:val="133"/>
            </w:pPr>
            <w:r>
              <w:rPr>
                <w:rFonts w:hint="eastAsia"/>
              </w:rPr>
              <w:t>11</w:t>
            </w:r>
          </w:p>
        </w:tc>
        <w:tc>
          <w:tcPr>
            <w:tcW w:w="793" w:type="pct"/>
            <w:vAlign w:val="center"/>
          </w:tcPr>
          <w:p w14:paraId="5C79D412">
            <w:pPr>
              <w:pStyle w:val="133"/>
            </w:pPr>
            <w:r>
              <w:rPr>
                <w:rFonts w:hint="eastAsia"/>
              </w:rPr>
              <w:t>53</w:t>
            </w:r>
          </w:p>
        </w:tc>
        <w:tc>
          <w:tcPr>
            <w:tcW w:w="899" w:type="pct"/>
            <w:vAlign w:val="center"/>
          </w:tcPr>
          <w:p w14:paraId="48C9A775">
            <w:pPr>
              <w:pStyle w:val="133"/>
            </w:pPr>
            <w:r>
              <w:rPr>
                <w:rFonts w:hint="eastAsia"/>
              </w:rPr>
              <w:t>34</w:t>
            </w:r>
          </w:p>
        </w:tc>
        <w:tc>
          <w:tcPr>
            <w:tcW w:w="984" w:type="pct"/>
            <w:vAlign w:val="center"/>
          </w:tcPr>
          <w:p w14:paraId="7B2A0313">
            <w:pPr>
              <w:pStyle w:val="133"/>
            </w:pPr>
            <w:r>
              <w:rPr>
                <w:rFonts w:hint="eastAsia"/>
              </w:rPr>
              <w:t>183</w:t>
            </w:r>
          </w:p>
        </w:tc>
      </w:tr>
      <w:tr w14:paraId="1F073E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3EAC5406">
            <w:pPr>
              <w:pStyle w:val="133"/>
            </w:pPr>
            <w:r>
              <w:rPr>
                <w:rFonts w:hint="eastAsia"/>
              </w:rPr>
              <w:t>21</w:t>
            </w:r>
          </w:p>
        </w:tc>
        <w:tc>
          <w:tcPr>
            <w:tcW w:w="1110" w:type="pct"/>
            <w:vAlign w:val="center"/>
          </w:tcPr>
          <w:p w14:paraId="74203268">
            <w:pPr>
              <w:pStyle w:val="133"/>
            </w:pPr>
            <w:r>
              <w:rPr>
                <w:rFonts w:hint="eastAsia"/>
              </w:rPr>
              <w:t>1,1,1-三氯乙烷</w:t>
            </w:r>
          </w:p>
        </w:tc>
        <w:tc>
          <w:tcPr>
            <w:tcW w:w="775" w:type="pct"/>
            <w:vAlign w:val="center"/>
          </w:tcPr>
          <w:p w14:paraId="123AC3E2">
            <w:pPr>
              <w:pStyle w:val="133"/>
            </w:pPr>
            <w:r>
              <w:rPr>
                <w:rFonts w:hint="eastAsia"/>
              </w:rPr>
              <w:t>701</w:t>
            </w:r>
          </w:p>
        </w:tc>
        <w:tc>
          <w:tcPr>
            <w:tcW w:w="793" w:type="pct"/>
            <w:vAlign w:val="center"/>
          </w:tcPr>
          <w:p w14:paraId="73797191">
            <w:pPr>
              <w:pStyle w:val="133"/>
            </w:pPr>
            <w:r>
              <w:rPr>
                <w:rFonts w:hint="eastAsia"/>
              </w:rPr>
              <w:t>840</w:t>
            </w:r>
          </w:p>
        </w:tc>
        <w:tc>
          <w:tcPr>
            <w:tcW w:w="899" w:type="pct"/>
            <w:vAlign w:val="center"/>
          </w:tcPr>
          <w:p w14:paraId="1506B7EC">
            <w:pPr>
              <w:pStyle w:val="133"/>
            </w:pPr>
            <w:r>
              <w:rPr>
                <w:rFonts w:hint="eastAsia"/>
              </w:rPr>
              <w:t>840</w:t>
            </w:r>
          </w:p>
        </w:tc>
        <w:tc>
          <w:tcPr>
            <w:tcW w:w="984" w:type="pct"/>
            <w:vAlign w:val="center"/>
          </w:tcPr>
          <w:p w14:paraId="3DCA901B">
            <w:pPr>
              <w:pStyle w:val="133"/>
            </w:pPr>
            <w:r>
              <w:rPr>
                <w:rFonts w:hint="eastAsia"/>
              </w:rPr>
              <w:t>840</w:t>
            </w:r>
          </w:p>
        </w:tc>
      </w:tr>
      <w:tr w14:paraId="6C5F2F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73F80395">
            <w:pPr>
              <w:pStyle w:val="133"/>
            </w:pPr>
            <w:r>
              <w:rPr>
                <w:rFonts w:hint="eastAsia"/>
              </w:rPr>
              <w:t>22</w:t>
            </w:r>
          </w:p>
        </w:tc>
        <w:tc>
          <w:tcPr>
            <w:tcW w:w="1110" w:type="pct"/>
            <w:vAlign w:val="center"/>
          </w:tcPr>
          <w:p w14:paraId="0CAE7334">
            <w:pPr>
              <w:pStyle w:val="133"/>
            </w:pPr>
            <w:r>
              <w:rPr>
                <w:rFonts w:hint="eastAsia"/>
              </w:rPr>
              <w:t>1,1,2-三氯乙烷</w:t>
            </w:r>
          </w:p>
        </w:tc>
        <w:tc>
          <w:tcPr>
            <w:tcW w:w="775" w:type="pct"/>
            <w:vAlign w:val="center"/>
          </w:tcPr>
          <w:p w14:paraId="1B863FF9">
            <w:pPr>
              <w:pStyle w:val="133"/>
            </w:pPr>
            <w:r>
              <w:rPr>
                <w:rFonts w:hint="eastAsia"/>
              </w:rPr>
              <w:t>0.6</w:t>
            </w:r>
          </w:p>
        </w:tc>
        <w:tc>
          <w:tcPr>
            <w:tcW w:w="793" w:type="pct"/>
            <w:vAlign w:val="center"/>
          </w:tcPr>
          <w:p w14:paraId="08510223">
            <w:pPr>
              <w:pStyle w:val="133"/>
            </w:pPr>
            <w:r>
              <w:rPr>
                <w:rFonts w:hint="eastAsia"/>
              </w:rPr>
              <w:t>2.8</w:t>
            </w:r>
          </w:p>
        </w:tc>
        <w:tc>
          <w:tcPr>
            <w:tcW w:w="899" w:type="pct"/>
            <w:vAlign w:val="center"/>
          </w:tcPr>
          <w:p w14:paraId="26CBA18D">
            <w:pPr>
              <w:pStyle w:val="133"/>
            </w:pPr>
            <w:r>
              <w:rPr>
                <w:rFonts w:hint="eastAsia"/>
              </w:rPr>
              <w:t>5</w:t>
            </w:r>
          </w:p>
        </w:tc>
        <w:tc>
          <w:tcPr>
            <w:tcW w:w="984" w:type="pct"/>
            <w:vAlign w:val="center"/>
          </w:tcPr>
          <w:p w14:paraId="6D0177D6">
            <w:pPr>
              <w:pStyle w:val="133"/>
            </w:pPr>
            <w:r>
              <w:rPr>
                <w:rFonts w:hint="eastAsia"/>
              </w:rPr>
              <w:t>15</w:t>
            </w:r>
          </w:p>
        </w:tc>
      </w:tr>
      <w:tr w14:paraId="613918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1ABC63D8">
            <w:pPr>
              <w:pStyle w:val="133"/>
            </w:pPr>
            <w:r>
              <w:rPr>
                <w:rFonts w:hint="eastAsia"/>
              </w:rPr>
              <w:t>23</w:t>
            </w:r>
          </w:p>
        </w:tc>
        <w:tc>
          <w:tcPr>
            <w:tcW w:w="1110" w:type="pct"/>
            <w:vAlign w:val="center"/>
          </w:tcPr>
          <w:p w14:paraId="484F0340">
            <w:pPr>
              <w:pStyle w:val="133"/>
            </w:pPr>
            <w:r>
              <w:rPr>
                <w:rFonts w:hint="eastAsia"/>
              </w:rPr>
              <w:t>三氯乙烯</w:t>
            </w:r>
          </w:p>
        </w:tc>
        <w:tc>
          <w:tcPr>
            <w:tcW w:w="775" w:type="pct"/>
            <w:vAlign w:val="center"/>
          </w:tcPr>
          <w:p w14:paraId="1A3C876B">
            <w:pPr>
              <w:pStyle w:val="133"/>
            </w:pPr>
            <w:r>
              <w:rPr>
                <w:rFonts w:hint="eastAsia"/>
              </w:rPr>
              <w:t>0.7</w:t>
            </w:r>
          </w:p>
        </w:tc>
        <w:tc>
          <w:tcPr>
            <w:tcW w:w="793" w:type="pct"/>
            <w:vAlign w:val="center"/>
          </w:tcPr>
          <w:p w14:paraId="1F23CD32">
            <w:pPr>
              <w:pStyle w:val="133"/>
            </w:pPr>
            <w:r>
              <w:rPr>
                <w:rFonts w:hint="eastAsia"/>
              </w:rPr>
              <w:t>2.8</w:t>
            </w:r>
          </w:p>
        </w:tc>
        <w:tc>
          <w:tcPr>
            <w:tcW w:w="899" w:type="pct"/>
            <w:vAlign w:val="center"/>
          </w:tcPr>
          <w:p w14:paraId="3B83A8EB">
            <w:pPr>
              <w:pStyle w:val="133"/>
            </w:pPr>
            <w:r>
              <w:rPr>
                <w:rFonts w:hint="eastAsia"/>
              </w:rPr>
              <w:t>7</w:t>
            </w:r>
          </w:p>
        </w:tc>
        <w:tc>
          <w:tcPr>
            <w:tcW w:w="984" w:type="pct"/>
            <w:vAlign w:val="center"/>
          </w:tcPr>
          <w:p w14:paraId="44F40A39">
            <w:pPr>
              <w:pStyle w:val="133"/>
            </w:pPr>
            <w:r>
              <w:rPr>
                <w:rFonts w:hint="eastAsia"/>
              </w:rPr>
              <w:t>20</w:t>
            </w:r>
          </w:p>
        </w:tc>
      </w:tr>
      <w:tr w14:paraId="0606A7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66607C23">
            <w:pPr>
              <w:pStyle w:val="133"/>
            </w:pPr>
            <w:r>
              <w:rPr>
                <w:rFonts w:hint="eastAsia"/>
              </w:rPr>
              <w:t>24</w:t>
            </w:r>
          </w:p>
        </w:tc>
        <w:tc>
          <w:tcPr>
            <w:tcW w:w="1110" w:type="pct"/>
            <w:vAlign w:val="center"/>
          </w:tcPr>
          <w:p w14:paraId="1E87411B">
            <w:pPr>
              <w:pStyle w:val="133"/>
            </w:pPr>
            <w:r>
              <w:rPr>
                <w:rFonts w:hint="eastAsia"/>
              </w:rPr>
              <w:t>1,2,3-三氯丙烷</w:t>
            </w:r>
          </w:p>
        </w:tc>
        <w:tc>
          <w:tcPr>
            <w:tcW w:w="775" w:type="pct"/>
            <w:vAlign w:val="center"/>
          </w:tcPr>
          <w:p w14:paraId="45D95BFC">
            <w:pPr>
              <w:pStyle w:val="133"/>
            </w:pPr>
            <w:r>
              <w:rPr>
                <w:rFonts w:hint="eastAsia"/>
              </w:rPr>
              <w:t>0.05</w:t>
            </w:r>
          </w:p>
        </w:tc>
        <w:tc>
          <w:tcPr>
            <w:tcW w:w="793" w:type="pct"/>
            <w:vAlign w:val="center"/>
          </w:tcPr>
          <w:p w14:paraId="3EAAAEB6">
            <w:pPr>
              <w:pStyle w:val="133"/>
            </w:pPr>
            <w:r>
              <w:rPr>
                <w:rFonts w:hint="eastAsia"/>
              </w:rPr>
              <w:t>0.5</w:t>
            </w:r>
          </w:p>
        </w:tc>
        <w:tc>
          <w:tcPr>
            <w:tcW w:w="899" w:type="pct"/>
            <w:vAlign w:val="center"/>
          </w:tcPr>
          <w:p w14:paraId="34FD3FA1">
            <w:pPr>
              <w:pStyle w:val="133"/>
            </w:pPr>
            <w:r>
              <w:rPr>
                <w:rFonts w:hint="eastAsia"/>
              </w:rPr>
              <w:t>0.5</w:t>
            </w:r>
          </w:p>
        </w:tc>
        <w:tc>
          <w:tcPr>
            <w:tcW w:w="984" w:type="pct"/>
            <w:vAlign w:val="center"/>
          </w:tcPr>
          <w:p w14:paraId="727ED036">
            <w:pPr>
              <w:pStyle w:val="133"/>
            </w:pPr>
            <w:r>
              <w:rPr>
                <w:rFonts w:hint="eastAsia"/>
              </w:rPr>
              <w:t>5</w:t>
            </w:r>
          </w:p>
        </w:tc>
      </w:tr>
      <w:tr w14:paraId="6C5A7F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4860F509">
            <w:pPr>
              <w:pStyle w:val="133"/>
            </w:pPr>
            <w:r>
              <w:rPr>
                <w:rFonts w:hint="eastAsia"/>
              </w:rPr>
              <w:t>25</w:t>
            </w:r>
          </w:p>
        </w:tc>
        <w:tc>
          <w:tcPr>
            <w:tcW w:w="1110" w:type="pct"/>
            <w:vAlign w:val="center"/>
          </w:tcPr>
          <w:p w14:paraId="4AA53AA1">
            <w:pPr>
              <w:pStyle w:val="133"/>
            </w:pPr>
            <w:r>
              <w:rPr>
                <w:rFonts w:hint="eastAsia"/>
              </w:rPr>
              <w:t>氯乙烯</w:t>
            </w:r>
          </w:p>
        </w:tc>
        <w:tc>
          <w:tcPr>
            <w:tcW w:w="775" w:type="pct"/>
            <w:vAlign w:val="center"/>
          </w:tcPr>
          <w:p w14:paraId="3FC6FC98">
            <w:pPr>
              <w:pStyle w:val="133"/>
            </w:pPr>
            <w:r>
              <w:rPr>
                <w:rFonts w:hint="eastAsia"/>
              </w:rPr>
              <w:t>0.12</w:t>
            </w:r>
          </w:p>
        </w:tc>
        <w:tc>
          <w:tcPr>
            <w:tcW w:w="793" w:type="pct"/>
            <w:vAlign w:val="center"/>
          </w:tcPr>
          <w:p w14:paraId="4FD51F58">
            <w:pPr>
              <w:pStyle w:val="133"/>
            </w:pPr>
            <w:r>
              <w:rPr>
                <w:rFonts w:hint="eastAsia"/>
              </w:rPr>
              <w:t>0.43</w:t>
            </w:r>
          </w:p>
        </w:tc>
        <w:tc>
          <w:tcPr>
            <w:tcW w:w="899" w:type="pct"/>
            <w:vAlign w:val="center"/>
          </w:tcPr>
          <w:p w14:paraId="3E2061CA">
            <w:pPr>
              <w:pStyle w:val="133"/>
            </w:pPr>
            <w:r>
              <w:rPr>
                <w:rFonts w:hint="eastAsia"/>
              </w:rPr>
              <w:t>1.2</w:t>
            </w:r>
          </w:p>
        </w:tc>
        <w:tc>
          <w:tcPr>
            <w:tcW w:w="984" w:type="pct"/>
            <w:vAlign w:val="center"/>
          </w:tcPr>
          <w:p w14:paraId="7B544EA8">
            <w:pPr>
              <w:pStyle w:val="133"/>
            </w:pPr>
            <w:r>
              <w:rPr>
                <w:rFonts w:hint="eastAsia"/>
              </w:rPr>
              <w:t>4.3</w:t>
            </w:r>
          </w:p>
        </w:tc>
      </w:tr>
      <w:tr w14:paraId="712882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66E52C7E">
            <w:pPr>
              <w:pStyle w:val="133"/>
            </w:pPr>
            <w:r>
              <w:rPr>
                <w:rFonts w:hint="eastAsia"/>
              </w:rPr>
              <w:t>26</w:t>
            </w:r>
          </w:p>
        </w:tc>
        <w:tc>
          <w:tcPr>
            <w:tcW w:w="1110" w:type="pct"/>
            <w:vAlign w:val="center"/>
          </w:tcPr>
          <w:p w14:paraId="00E8BBF6">
            <w:pPr>
              <w:pStyle w:val="133"/>
            </w:pPr>
            <w:r>
              <w:rPr>
                <w:rFonts w:hint="eastAsia"/>
              </w:rPr>
              <w:t>苯</w:t>
            </w:r>
          </w:p>
        </w:tc>
        <w:tc>
          <w:tcPr>
            <w:tcW w:w="775" w:type="pct"/>
            <w:vAlign w:val="center"/>
          </w:tcPr>
          <w:p w14:paraId="7B7F8C34">
            <w:pPr>
              <w:pStyle w:val="133"/>
            </w:pPr>
            <w:r>
              <w:rPr>
                <w:rFonts w:hint="eastAsia"/>
              </w:rPr>
              <w:t>1</w:t>
            </w:r>
          </w:p>
        </w:tc>
        <w:tc>
          <w:tcPr>
            <w:tcW w:w="793" w:type="pct"/>
            <w:vAlign w:val="center"/>
          </w:tcPr>
          <w:p w14:paraId="67329DCD">
            <w:pPr>
              <w:pStyle w:val="133"/>
            </w:pPr>
            <w:r>
              <w:rPr>
                <w:rFonts w:hint="eastAsia"/>
              </w:rPr>
              <w:t>4</w:t>
            </w:r>
          </w:p>
        </w:tc>
        <w:tc>
          <w:tcPr>
            <w:tcW w:w="899" w:type="pct"/>
            <w:vAlign w:val="center"/>
          </w:tcPr>
          <w:p w14:paraId="1BDCB10B">
            <w:pPr>
              <w:pStyle w:val="133"/>
            </w:pPr>
            <w:r>
              <w:rPr>
                <w:rFonts w:hint="eastAsia"/>
              </w:rPr>
              <w:t>10</w:t>
            </w:r>
          </w:p>
        </w:tc>
        <w:tc>
          <w:tcPr>
            <w:tcW w:w="984" w:type="pct"/>
            <w:vAlign w:val="center"/>
          </w:tcPr>
          <w:p w14:paraId="7C80B83A">
            <w:pPr>
              <w:pStyle w:val="133"/>
            </w:pPr>
            <w:r>
              <w:rPr>
                <w:rFonts w:hint="eastAsia"/>
              </w:rPr>
              <w:t>40</w:t>
            </w:r>
          </w:p>
        </w:tc>
      </w:tr>
      <w:tr w14:paraId="0E3F9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3A359F0A">
            <w:pPr>
              <w:pStyle w:val="133"/>
            </w:pPr>
            <w:r>
              <w:rPr>
                <w:rFonts w:hint="eastAsia"/>
              </w:rPr>
              <w:t>27</w:t>
            </w:r>
          </w:p>
        </w:tc>
        <w:tc>
          <w:tcPr>
            <w:tcW w:w="1110" w:type="pct"/>
            <w:vAlign w:val="center"/>
          </w:tcPr>
          <w:p w14:paraId="362323F7">
            <w:pPr>
              <w:pStyle w:val="133"/>
            </w:pPr>
            <w:r>
              <w:rPr>
                <w:rFonts w:hint="eastAsia"/>
              </w:rPr>
              <w:t>氯苯</w:t>
            </w:r>
          </w:p>
        </w:tc>
        <w:tc>
          <w:tcPr>
            <w:tcW w:w="775" w:type="pct"/>
            <w:vAlign w:val="center"/>
          </w:tcPr>
          <w:p w14:paraId="7D2792B1">
            <w:pPr>
              <w:pStyle w:val="133"/>
            </w:pPr>
            <w:r>
              <w:rPr>
                <w:rFonts w:hint="eastAsia"/>
              </w:rPr>
              <w:t>68</w:t>
            </w:r>
          </w:p>
        </w:tc>
        <w:tc>
          <w:tcPr>
            <w:tcW w:w="793" w:type="pct"/>
            <w:vAlign w:val="center"/>
          </w:tcPr>
          <w:p w14:paraId="723399F1">
            <w:pPr>
              <w:pStyle w:val="133"/>
            </w:pPr>
            <w:r>
              <w:rPr>
                <w:rFonts w:hint="eastAsia"/>
              </w:rPr>
              <w:t>270</w:t>
            </w:r>
          </w:p>
        </w:tc>
        <w:tc>
          <w:tcPr>
            <w:tcW w:w="899" w:type="pct"/>
            <w:vAlign w:val="center"/>
          </w:tcPr>
          <w:p w14:paraId="40A5A651">
            <w:pPr>
              <w:pStyle w:val="133"/>
            </w:pPr>
            <w:r>
              <w:rPr>
                <w:rFonts w:hint="eastAsia"/>
              </w:rPr>
              <w:t>200</w:t>
            </w:r>
          </w:p>
        </w:tc>
        <w:tc>
          <w:tcPr>
            <w:tcW w:w="984" w:type="pct"/>
            <w:vAlign w:val="center"/>
          </w:tcPr>
          <w:p w14:paraId="2DEA3D54">
            <w:pPr>
              <w:pStyle w:val="133"/>
            </w:pPr>
            <w:r>
              <w:rPr>
                <w:rFonts w:hint="eastAsia"/>
              </w:rPr>
              <w:t>1000</w:t>
            </w:r>
          </w:p>
        </w:tc>
      </w:tr>
      <w:tr w14:paraId="310A83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38EDE99A">
            <w:pPr>
              <w:pStyle w:val="133"/>
            </w:pPr>
            <w:r>
              <w:rPr>
                <w:rFonts w:hint="eastAsia"/>
              </w:rPr>
              <w:t>28</w:t>
            </w:r>
          </w:p>
        </w:tc>
        <w:tc>
          <w:tcPr>
            <w:tcW w:w="1110" w:type="pct"/>
            <w:vAlign w:val="center"/>
          </w:tcPr>
          <w:p w14:paraId="1A278E37">
            <w:pPr>
              <w:pStyle w:val="133"/>
            </w:pPr>
            <w:r>
              <w:rPr>
                <w:rFonts w:hint="eastAsia"/>
              </w:rPr>
              <w:t>1,2-二氯苯</w:t>
            </w:r>
          </w:p>
        </w:tc>
        <w:tc>
          <w:tcPr>
            <w:tcW w:w="775" w:type="pct"/>
            <w:vAlign w:val="center"/>
          </w:tcPr>
          <w:p w14:paraId="7A87A294">
            <w:pPr>
              <w:pStyle w:val="133"/>
            </w:pPr>
            <w:r>
              <w:rPr>
                <w:rFonts w:hint="eastAsia"/>
              </w:rPr>
              <w:t>560</w:t>
            </w:r>
          </w:p>
        </w:tc>
        <w:tc>
          <w:tcPr>
            <w:tcW w:w="793" w:type="pct"/>
            <w:vAlign w:val="center"/>
          </w:tcPr>
          <w:p w14:paraId="4074F65C">
            <w:pPr>
              <w:pStyle w:val="133"/>
            </w:pPr>
            <w:r>
              <w:rPr>
                <w:rFonts w:hint="eastAsia"/>
              </w:rPr>
              <w:t>560</w:t>
            </w:r>
          </w:p>
        </w:tc>
        <w:tc>
          <w:tcPr>
            <w:tcW w:w="899" w:type="pct"/>
            <w:vAlign w:val="center"/>
          </w:tcPr>
          <w:p w14:paraId="621C0528">
            <w:pPr>
              <w:pStyle w:val="133"/>
            </w:pPr>
            <w:r>
              <w:rPr>
                <w:rFonts w:hint="eastAsia"/>
              </w:rPr>
              <w:t>560</w:t>
            </w:r>
          </w:p>
        </w:tc>
        <w:tc>
          <w:tcPr>
            <w:tcW w:w="984" w:type="pct"/>
            <w:vAlign w:val="center"/>
          </w:tcPr>
          <w:p w14:paraId="67FEB249">
            <w:pPr>
              <w:pStyle w:val="133"/>
            </w:pPr>
            <w:r>
              <w:rPr>
                <w:rFonts w:hint="eastAsia"/>
              </w:rPr>
              <w:t>560</w:t>
            </w:r>
          </w:p>
        </w:tc>
      </w:tr>
      <w:tr w14:paraId="70F21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7B6EE473">
            <w:pPr>
              <w:pStyle w:val="133"/>
            </w:pPr>
            <w:r>
              <w:rPr>
                <w:rFonts w:hint="eastAsia"/>
              </w:rPr>
              <w:t>29</w:t>
            </w:r>
          </w:p>
        </w:tc>
        <w:tc>
          <w:tcPr>
            <w:tcW w:w="1110" w:type="pct"/>
            <w:vAlign w:val="center"/>
          </w:tcPr>
          <w:p w14:paraId="683F0A95">
            <w:pPr>
              <w:pStyle w:val="133"/>
            </w:pPr>
            <w:r>
              <w:rPr>
                <w:rFonts w:hint="eastAsia"/>
              </w:rPr>
              <w:t>1,4-二氯苯</w:t>
            </w:r>
          </w:p>
        </w:tc>
        <w:tc>
          <w:tcPr>
            <w:tcW w:w="775" w:type="pct"/>
            <w:vAlign w:val="center"/>
          </w:tcPr>
          <w:p w14:paraId="5585EB3E">
            <w:pPr>
              <w:pStyle w:val="133"/>
            </w:pPr>
            <w:r>
              <w:rPr>
                <w:rFonts w:hint="eastAsia"/>
              </w:rPr>
              <w:t>5.6</w:t>
            </w:r>
          </w:p>
        </w:tc>
        <w:tc>
          <w:tcPr>
            <w:tcW w:w="793" w:type="pct"/>
            <w:vAlign w:val="center"/>
          </w:tcPr>
          <w:p w14:paraId="0D9E7FB2">
            <w:pPr>
              <w:pStyle w:val="133"/>
            </w:pPr>
            <w:r>
              <w:rPr>
                <w:rFonts w:hint="eastAsia"/>
              </w:rPr>
              <w:t>20</w:t>
            </w:r>
          </w:p>
        </w:tc>
        <w:tc>
          <w:tcPr>
            <w:tcW w:w="899" w:type="pct"/>
            <w:vAlign w:val="center"/>
          </w:tcPr>
          <w:p w14:paraId="14957ECC">
            <w:pPr>
              <w:pStyle w:val="133"/>
            </w:pPr>
            <w:r>
              <w:rPr>
                <w:rFonts w:hint="eastAsia"/>
              </w:rPr>
              <w:t>56</w:t>
            </w:r>
          </w:p>
        </w:tc>
        <w:tc>
          <w:tcPr>
            <w:tcW w:w="984" w:type="pct"/>
            <w:vAlign w:val="center"/>
          </w:tcPr>
          <w:p w14:paraId="462E1540">
            <w:pPr>
              <w:pStyle w:val="133"/>
            </w:pPr>
            <w:r>
              <w:rPr>
                <w:rFonts w:hint="eastAsia"/>
              </w:rPr>
              <w:t>200</w:t>
            </w:r>
          </w:p>
        </w:tc>
      </w:tr>
      <w:tr w14:paraId="7A274F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12EEBF8C">
            <w:pPr>
              <w:pStyle w:val="133"/>
            </w:pPr>
            <w:r>
              <w:rPr>
                <w:rFonts w:hint="eastAsia"/>
              </w:rPr>
              <w:t>30</w:t>
            </w:r>
          </w:p>
        </w:tc>
        <w:tc>
          <w:tcPr>
            <w:tcW w:w="1110" w:type="pct"/>
            <w:vAlign w:val="center"/>
          </w:tcPr>
          <w:p w14:paraId="6C370FD6">
            <w:pPr>
              <w:pStyle w:val="133"/>
            </w:pPr>
            <w:r>
              <w:rPr>
                <w:rFonts w:hint="eastAsia"/>
              </w:rPr>
              <w:t>乙苯</w:t>
            </w:r>
          </w:p>
        </w:tc>
        <w:tc>
          <w:tcPr>
            <w:tcW w:w="775" w:type="pct"/>
            <w:vAlign w:val="center"/>
          </w:tcPr>
          <w:p w14:paraId="17676481">
            <w:pPr>
              <w:pStyle w:val="133"/>
            </w:pPr>
            <w:r>
              <w:rPr>
                <w:rFonts w:hint="eastAsia"/>
              </w:rPr>
              <w:t>7.2</w:t>
            </w:r>
          </w:p>
        </w:tc>
        <w:tc>
          <w:tcPr>
            <w:tcW w:w="793" w:type="pct"/>
            <w:vAlign w:val="center"/>
          </w:tcPr>
          <w:p w14:paraId="748761BB">
            <w:pPr>
              <w:pStyle w:val="133"/>
            </w:pPr>
            <w:r>
              <w:rPr>
                <w:rFonts w:hint="eastAsia"/>
              </w:rPr>
              <w:t>28</w:t>
            </w:r>
          </w:p>
        </w:tc>
        <w:tc>
          <w:tcPr>
            <w:tcW w:w="899" w:type="pct"/>
            <w:vAlign w:val="center"/>
          </w:tcPr>
          <w:p w14:paraId="08BD3DF8">
            <w:pPr>
              <w:pStyle w:val="133"/>
            </w:pPr>
            <w:r>
              <w:rPr>
                <w:rFonts w:hint="eastAsia"/>
              </w:rPr>
              <w:t>72</w:t>
            </w:r>
          </w:p>
        </w:tc>
        <w:tc>
          <w:tcPr>
            <w:tcW w:w="984" w:type="pct"/>
            <w:vAlign w:val="center"/>
          </w:tcPr>
          <w:p w14:paraId="5EFF1075">
            <w:pPr>
              <w:pStyle w:val="133"/>
            </w:pPr>
            <w:r>
              <w:rPr>
                <w:rFonts w:hint="eastAsia"/>
              </w:rPr>
              <w:t>280</w:t>
            </w:r>
          </w:p>
        </w:tc>
      </w:tr>
      <w:tr w14:paraId="2B2FB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51271913">
            <w:pPr>
              <w:pStyle w:val="133"/>
            </w:pPr>
            <w:r>
              <w:rPr>
                <w:rFonts w:hint="eastAsia"/>
              </w:rPr>
              <w:t>31</w:t>
            </w:r>
          </w:p>
        </w:tc>
        <w:tc>
          <w:tcPr>
            <w:tcW w:w="1110" w:type="pct"/>
            <w:vAlign w:val="center"/>
          </w:tcPr>
          <w:p w14:paraId="63F9C74A">
            <w:pPr>
              <w:pStyle w:val="133"/>
            </w:pPr>
            <w:r>
              <w:rPr>
                <w:rFonts w:hint="eastAsia"/>
              </w:rPr>
              <w:t>苯乙烯</w:t>
            </w:r>
          </w:p>
        </w:tc>
        <w:tc>
          <w:tcPr>
            <w:tcW w:w="775" w:type="pct"/>
            <w:vAlign w:val="center"/>
          </w:tcPr>
          <w:p w14:paraId="005F567A">
            <w:pPr>
              <w:pStyle w:val="133"/>
            </w:pPr>
            <w:r>
              <w:rPr>
                <w:rFonts w:hint="eastAsia"/>
              </w:rPr>
              <w:t>1290</w:t>
            </w:r>
          </w:p>
        </w:tc>
        <w:tc>
          <w:tcPr>
            <w:tcW w:w="793" w:type="pct"/>
            <w:vAlign w:val="center"/>
          </w:tcPr>
          <w:p w14:paraId="64852BB5">
            <w:pPr>
              <w:pStyle w:val="133"/>
            </w:pPr>
            <w:r>
              <w:rPr>
                <w:rFonts w:hint="eastAsia"/>
              </w:rPr>
              <w:t>1290</w:t>
            </w:r>
          </w:p>
        </w:tc>
        <w:tc>
          <w:tcPr>
            <w:tcW w:w="899" w:type="pct"/>
            <w:vAlign w:val="center"/>
          </w:tcPr>
          <w:p w14:paraId="63EAB118">
            <w:pPr>
              <w:pStyle w:val="133"/>
            </w:pPr>
            <w:r>
              <w:rPr>
                <w:rFonts w:hint="eastAsia"/>
              </w:rPr>
              <w:t>1290</w:t>
            </w:r>
          </w:p>
        </w:tc>
        <w:tc>
          <w:tcPr>
            <w:tcW w:w="984" w:type="pct"/>
            <w:vAlign w:val="center"/>
          </w:tcPr>
          <w:p w14:paraId="3D98D4FD">
            <w:pPr>
              <w:pStyle w:val="133"/>
            </w:pPr>
            <w:r>
              <w:rPr>
                <w:rFonts w:hint="eastAsia"/>
              </w:rPr>
              <w:t>1290</w:t>
            </w:r>
          </w:p>
        </w:tc>
      </w:tr>
      <w:tr w14:paraId="2E3E7F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618AD3E1">
            <w:pPr>
              <w:pStyle w:val="133"/>
            </w:pPr>
            <w:r>
              <w:rPr>
                <w:rFonts w:hint="eastAsia"/>
              </w:rPr>
              <w:t>32</w:t>
            </w:r>
          </w:p>
        </w:tc>
        <w:tc>
          <w:tcPr>
            <w:tcW w:w="1110" w:type="pct"/>
            <w:vAlign w:val="center"/>
          </w:tcPr>
          <w:p w14:paraId="25EF4B63">
            <w:pPr>
              <w:pStyle w:val="133"/>
            </w:pPr>
            <w:r>
              <w:rPr>
                <w:rFonts w:hint="eastAsia"/>
              </w:rPr>
              <w:t>甲苯</w:t>
            </w:r>
          </w:p>
        </w:tc>
        <w:tc>
          <w:tcPr>
            <w:tcW w:w="775" w:type="pct"/>
            <w:vAlign w:val="center"/>
          </w:tcPr>
          <w:p w14:paraId="682BD6F9">
            <w:pPr>
              <w:pStyle w:val="133"/>
            </w:pPr>
            <w:r>
              <w:rPr>
                <w:rFonts w:hint="eastAsia"/>
              </w:rPr>
              <w:t>1200</w:t>
            </w:r>
          </w:p>
        </w:tc>
        <w:tc>
          <w:tcPr>
            <w:tcW w:w="793" w:type="pct"/>
            <w:vAlign w:val="center"/>
          </w:tcPr>
          <w:p w14:paraId="74E30FA1">
            <w:pPr>
              <w:pStyle w:val="133"/>
            </w:pPr>
            <w:r>
              <w:rPr>
                <w:rFonts w:hint="eastAsia"/>
              </w:rPr>
              <w:t>1200</w:t>
            </w:r>
          </w:p>
        </w:tc>
        <w:tc>
          <w:tcPr>
            <w:tcW w:w="899" w:type="pct"/>
            <w:vAlign w:val="center"/>
          </w:tcPr>
          <w:p w14:paraId="45DB9963">
            <w:pPr>
              <w:pStyle w:val="133"/>
            </w:pPr>
            <w:r>
              <w:rPr>
                <w:rFonts w:hint="eastAsia"/>
              </w:rPr>
              <w:t>1200</w:t>
            </w:r>
          </w:p>
        </w:tc>
        <w:tc>
          <w:tcPr>
            <w:tcW w:w="984" w:type="pct"/>
            <w:vAlign w:val="center"/>
          </w:tcPr>
          <w:p w14:paraId="14983539">
            <w:pPr>
              <w:pStyle w:val="133"/>
            </w:pPr>
            <w:r>
              <w:rPr>
                <w:rFonts w:hint="eastAsia"/>
              </w:rPr>
              <w:t>1200</w:t>
            </w:r>
          </w:p>
        </w:tc>
      </w:tr>
      <w:tr w14:paraId="6E0203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2EAA9F5C">
            <w:pPr>
              <w:pStyle w:val="133"/>
            </w:pPr>
            <w:r>
              <w:rPr>
                <w:rFonts w:hint="eastAsia"/>
              </w:rPr>
              <w:t>33</w:t>
            </w:r>
          </w:p>
        </w:tc>
        <w:tc>
          <w:tcPr>
            <w:tcW w:w="1110" w:type="pct"/>
            <w:vAlign w:val="center"/>
          </w:tcPr>
          <w:p w14:paraId="62B05972">
            <w:pPr>
              <w:pStyle w:val="133"/>
            </w:pPr>
            <w:r>
              <w:rPr>
                <w:rFonts w:hint="eastAsia"/>
              </w:rPr>
              <w:t>间二甲苯+对二甲苯</w:t>
            </w:r>
          </w:p>
        </w:tc>
        <w:tc>
          <w:tcPr>
            <w:tcW w:w="775" w:type="pct"/>
            <w:vAlign w:val="center"/>
          </w:tcPr>
          <w:p w14:paraId="22646021">
            <w:pPr>
              <w:pStyle w:val="133"/>
            </w:pPr>
            <w:r>
              <w:rPr>
                <w:rFonts w:hint="eastAsia"/>
              </w:rPr>
              <w:t>163</w:t>
            </w:r>
          </w:p>
        </w:tc>
        <w:tc>
          <w:tcPr>
            <w:tcW w:w="793" w:type="pct"/>
            <w:vAlign w:val="center"/>
          </w:tcPr>
          <w:p w14:paraId="7FC8932C">
            <w:pPr>
              <w:pStyle w:val="133"/>
            </w:pPr>
            <w:r>
              <w:rPr>
                <w:rFonts w:hint="eastAsia"/>
              </w:rPr>
              <w:t>570</w:t>
            </w:r>
          </w:p>
        </w:tc>
        <w:tc>
          <w:tcPr>
            <w:tcW w:w="899" w:type="pct"/>
            <w:vAlign w:val="center"/>
          </w:tcPr>
          <w:p w14:paraId="4CC3003C">
            <w:pPr>
              <w:pStyle w:val="133"/>
            </w:pPr>
            <w:r>
              <w:rPr>
                <w:rFonts w:hint="eastAsia"/>
              </w:rPr>
              <w:t>500</w:t>
            </w:r>
          </w:p>
        </w:tc>
        <w:tc>
          <w:tcPr>
            <w:tcW w:w="984" w:type="pct"/>
            <w:vAlign w:val="center"/>
          </w:tcPr>
          <w:p w14:paraId="6FECE45F">
            <w:pPr>
              <w:pStyle w:val="133"/>
            </w:pPr>
            <w:r>
              <w:rPr>
                <w:rFonts w:hint="eastAsia"/>
              </w:rPr>
              <w:t>570</w:t>
            </w:r>
          </w:p>
        </w:tc>
      </w:tr>
      <w:tr w14:paraId="52B1C6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5E5C8444">
            <w:pPr>
              <w:pStyle w:val="133"/>
            </w:pPr>
            <w:r>
              <w:rPr>
                <w:rFonts w:hint="eastAsia"/>
              </w:rPr>
              <w:t>34</w:t>
            </w:r>
          </w:p>
        </w:tc>
        <w:tc>
          <w:tcPr>
            <w:tcW w:w="1110" w:type="pct"/>
            <w:vAlign w:val="center"/>
          </w:tcPr>
          <w:p w14:paraId="1E4B0C55">
            <w:pPr>
              <w:pStyle w:val="133"/>
            </w:pPr>
            <w:r>
              <w:rPr>
                <w:rFonts w:hint="eastAsia"/>
              </w:rPr>
              <w:t>邻二甲苯</w:t>
            </w:r>
          </w:p>
        </w:tc>
        <w:tc>
          <w:tcPr>
            <w:tcW w:w="775" w:type="pct"/>
            <w:vAlign w:val="center"/>
          </w:tcPr>
          <w:p w14:paraId="4024D45F">
            <w:pPr>
              <w:pStyle w:val="133"/>
            </w:pPr>
            <w:r>
              <w:rPr>
                <w:rFonts w:hint="eastAsia"/>
              </w:rPr>
              <w:t>222</w:t>
            </w:r>
          </w:p>
        </w:tc>
        <w:tc>
          <w:tcPr>
            <w:tcW w:w="793" w:type="pct"/>
            <w:vAlign w:val="center"/>
          </w:tcPr>
          <w:p w14:paraId="5FF422E4">
            <w:pPr>
              <w:pStyle w:val="133"/>
            </w:pPr>
            <w:r>
              <w:rPr>
                <w:rFonts w:hint="eastAsia"/>
              </w:rPr>
              <w:t>640</w:t>
            </w:r>
          </w:p>
        </w:tc>
        <w:tc>
          <w:tcPr>
            <w:tcW w:w="899" w:type="pct"/>
            <w:vAlign w:val="center"/>
          </w:tcPr>
          <w:p w14:paraId="33EB71A0">
            <w:pPr>
              <w:pStyle w:val="133"/>
            </w:pPr>
            <w:r>
              <w:rPr>
                <w:rFonts w:hint="eastAsia"/>
              </w:rPr>
              <w:t>640</w:t>
            </w:r>
          </w:p>
        </w:tc>
        <w:tc>
          <w:tcPr>
            <w:tcW w:w="984" w:type="pct"/>
            <w:vAlign w:val="center"/>
          </w:tcPr>
          <w:p w14:paraId="6A72D712">
            <w:pPr>
              <w:pStyle w:val="133"/>
            </w:pPr>
            <w:r>
              <w:rPr>
                <w:rFonts w:hint="eastAsia"/>
              </w:rPr>
              <w:t>640</w:t>
            </w:r>
          </w:p>
        </w:tc>
      </w:tr>
      <w:tr w14:paraId="76683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0917F03E">
            <w:pPr>
              <w:pStyle w:val="133"/>
            </w:pPr>
            <w:r>
              <w:rPr>
                <w:rFonts w:hint="eastAsia"/>
              </w:rPr>
              <w:t>半挥发性有机物</w:t>
            </w:r>
          </w:p>
        </w:tc>
      </w:tr>
      <w:tr w14:paraId="46E063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18124CA5">
            <w:pPr>
              <w:pStyle w:val="133"/>
            </w:pPr>
            <w:r>
              <w:rPr>
                <w:rFonts w:hint="eastAsia"/>
              </w:rPr>
              <w:t>35</w:t>
            </w:r>
          </w:p>
        </w:tc>
        <w:tc>
          <w:tcPr>
            <w:tcW w:w="1110" w:type="pct"/>
            <w:vAlign w:val="center"/>
          </w:tcPr>
          <w:p w14:paraId="11131E1A">
            <w:pPr>
              <w:pStyle w:val="133"/>
            </w:pPr>
            <w:r>
              <w:rPr>
                <w:rFonts w:hint="eastAsia"/>
              </w:rPr>
              <w:t>硝基苯</w:t>
            </w:r>
          </w:p>
        </w:tc>
        <w:tc>
          <w:tcPr>
            <w:tcW w:w="775" w:type="pct"/>
            <w:vAlign w:val="center"/>
          </w:tcPr>
          <w:p w14:paraId="25767BDA">
            <w:pPr>
              <w:pStyle w:val="133"/>
            </w:pPr>
            <w:r>
              <w:rPr>
                <w:rFonts w:hint="eastAsia"/>
              </w:rPr>
              <w:t>34</w:t>
            </w:r>
          </w:p>
        </w:tc>
        <w:tc>
          <w:tcPr>
            <w:tcW w:w="793" w:type="pct"/>
            <w:vAlign w:val="center"/>
          </w:tcPr>
          <w:p w14:paraId="4D7A1AB5">
            <w:pPr>
              <w:pStyle w:val="133"/>
            </w:pPr>
            <w:r>
              <w:rPr>
                <w:rFonts w:hint="eastAsia"/>
              </w:rPr>
              <w:t>76</w:t>
            </w:r>
          </w:p>
        </w:tc>
        <w:tc>
          <w:tcPr>
            <w:tcW w:w="899" w:type="pct"/>
            <w:vAlign w:val="center"/>
          </w:tcPr>
          <w:p w14:paraId="605F7AA7">
            <w:pPr>
              <w:pStyle w:val="133"/>
            </w:pPr>
            <w:r>
              <w:rPr>
                <w:rFonts w:hint="eastAsia"/>
              </w:rPr>
              <w:t>190</w:t>
            </w:r>
          </w:p>
        </w:tc>
        <w:tc>
          <w:tcPr>
            <w:tcW w:w="984" w:type="pct"/>
            <w:vAlign w:val="center"/>
          </w:tcPr>
          <w:p w14:paraId="49F13DE5">
            <w:pPr>
              <w:pStyle w:val="133"/>
            </w:pPr>
            <w:r>
              <w:rPr>
                <w:rFonts w:hint="eastAsia"/>
              </w:rPr>
              <w:t>760</w:t>
            </w:r>
          </w:p>
        </w:tc>
      </w:tr>
      <w:tr w14:paraId="35B3A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294C0E54">
            <w:pPr>
              <w:pStyle w:val="133"/>
            </w:pPr>
            <w:r>
              <w:rPr>
                <w:rFonts w:hint="eastAsia"/>
              </w:rPr>
              <w:t>36</w:t>
            </w:r>
          </w:p>
        </w:tc>
        <w:tc>
          <w:tcPr>
            <w:tcW w:w="1110" w:type="pct"/>
            <w:vAlign w:val="center"/>
          </w:tcPr>
          <w:p w14:paraId="65CE66F5">
            <w:pPr>
              <w:pStyle w:val="133"/>
            </w:pPr>
            <w:r>
              <w:rPr>
                <w:rFonts w:hint="eastAsia"/>
              </w:rPr>
              <w:t>苯胺</w:t>
            </w:r>
          </w:p>
        </w:tc>
        <w:tc>
          <w:tcPr>
            <w:tcW w:w="775" w:type="pct"/>
            <w:vAlign w:val="center"/>
          </w:tcPr>
          <w:p w14:paraId="3A50B8EB">
            <w:pPr>
              <w:pStyle w:val="133"/>
            </w:pPr>
            <w:r>
              <w:rPr>
                <w:rFonts w:hint="eastAsia"/>
              </w:rPr>
              <w:t>92</w:t>
            </w:r>
          </w:p>
        </w:tc>
        <w:tc>
          <w:tcPr>
            <w:tcW w:w="793" w:type="pct"/>
            <w:vAlign w:val="center"/>
          </w:tcPr>
          <w:p w14:paraId="45D2E923">
            <w:pPr>
              <w:pStyle w:val="133"/>
            </w:pPr>
            <w:r>
              <w:rPr>
                <w:rFonts w:hint="eastAsia"/>
              </w:rPr>
              <w:t>260</w:t>
            </w:r>
          </w:p>
        </w:tc>
        <w:tc>
          <w:tcPr>
            <w:tcW w:w="899" w:type="pct"/>
            <w:vAlign w:val="center"/>
          </w:tcPr>
          <w:p w14:paraId="4746AE6B">
            <w:pPr>
              <w:pStyle w:val="133"/>
            </w:pPr>
            <w:r>
              <w:rPr>
                <w:rFonts w:hint="eastAsia"/>
              </w:rPr>
              <w:t>211</w:t>
            </w:r>
          </w:p>
        </w:tc>
        <w:tc>
          <w:tcPr>
            <w:tcW w:w="984" w:type="pct"/>
            <w:vAlign w:val="center"/>
          </w:tcPr>
          <w:p w14:paraId="7D9E1C61">
            <w:pPr>
              <w:pStyle w:val="133"/>
            </w:pPr>
            <w:r>
              <w:rPr>
                <w:rFonts w:hint="eastAsia"/>
              </w:rPr>
              <w:t>663</w:t>
            </w:r>
          </w:p>
        </w:tc>
      </w:tr>
      <w:tr w14:paraId="19749B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4878967D">
            <w:pPr>
              <w:pStyle w:val="133"/>
            </w:pPr>
            <w:r>
              <w:rPr>
                <w:rFonts w:hint="eastAsia"/>
              </w:rPr>
              <w:t>37</w:t>
            </w:r>
          </w:p>
        </w:tc>
        <w:tc>
          <w:tcPr>
            <w:tcW w:w="1110" w:type="pct"/>
            <w:vAlign w:val="center"/>
          </w:tcPr>
          <w:p w14:paraId="553220F6">
            <w:pPr>
              <w:pStyle w:val="133"/>
            </w:pPr>
            <w:r>
              <w:rPr>
                <w:rFonts w:hint="eastAsia"/>
              </w:rPr>
              <w:t>2-氯酚</w:t>
            </w:r>
          </w:p>
        </w:tc>
        <w:tc>
          <w:tcPr>
            <w:tcW w:w="775" w:type="pct"/>
            <w:vAlign w:val="center"/>
          </w:tcPr>
          <w:p w14:paraId="7F275840">
            <w:pPr>
              <w:pStyle w:val="133"/>
            </w:pPr>
            <w:r>
              <w:rPr>
                <w:rFonts w:hint="eastAsia"/>
              </w:rPr>
              <w:t>250</w:t>
            </w:r>
          </w:p>
        </w:tc>
        <w:tc>
          <w:tcPr>
            <w:tcW w:w="793" w:type="pct"/>
            <w:vAlign w:val="center"/>
          </w:tcPr>
          <w:p w14:paraId="23719C1E">
            <w:pPr>
              <w:pStyle w:val="133"/>
            </w:pPr>
            <w:r>
              <w:rPr>
                <w:rFonts w:hint="eastAsia"/>
              </w:rPr>
              <w:t>2256</w:t>
            </w:r>
          </w:p>
        </w:tc>
        <w:tc>
          <w:tcPr>
            <w:tcW w:w="899" w:type="pct"/>
            <w:vAlign w:val="center"/>
          </w:tcPr>
          <w:p w14:paraId="587EF0F5">
            <w:pPr>
              <w:pStyle w:val="133"/>
            </w:pPr>
            <w:r>
              <w:rPr>
                <w:rFonts w:hint="eastAsia"/>
              </w:rPr>
              <w:t>500</w:t>
            </w:r>
          </w:p>
        </w:tc>
        <w:tc>
          <w:tcPr>
            <w:tcW w:w="984" w:type="pct"/>
            <w:vAlign w:val="center"/>
          </w:tcPr>
          <w:p w14:paraId="18EEBA7A">
            <w:pPr>
              <w:pStyle w:val="133"/>
            </w:pPr>
            <w:r>
              <w:rPr>
                <w:rFonts w:hint="eastAsia"/>
              </w:rPr>
              <w:t>4500</w:t>
            </w:r>
          </w:p>
        </w:tc>
      </w:tr>
      <w:tr w14:paraId="2B27FF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297045C3">
            <w:pPr>
              <w:pStyle w:val="133"/>
            </w:pPr>
            <w:r>
              <w:rPr>
                <w:rFonts w:hint="eastAsia"/>
              </w:rPr>
              <w:t>38</w:t>
            </w:r>
          </w:p>
        </w:tc>
        <w:tc>
          <w:tcPr>
            <w:tcW w:w="1110" w:type="pct"/>
            <w:vAlign w:val="center"/>
          </w:tcPr>
          <w:p w14:paraId="53311E95">
            <w:pPr>
              <w:pStyle w:val="133"/>
            </w:pPr>
            <w:r>
              <w:rPr>
                <w:rFonts w:hint="eastAsia"/>
              </w:rPr>
              <w:t>苯并[a]蒽</w:t>
            </w:r>
          </w:p>
        </w:tc>
        <w:tc>
          <w:tcPr>
            <w:tcW w:w="775" w:type="pct"/>
            <w:vAlign w:val="center"/>
          </w:tcPr>
          <w:p w14:paraId="1E6F24AE">
            <w:pPr>
              <w:pStyle w:val="133"/>
            </w:pPr>
            <w:r>
              <w:rPr>
                <w:rFonts w:hint="eastAsia"/>
              </w:rPr>
              <w:t>5.5</w:t>
            </w:r>
          </w:p>
        </w:tc>
        <w:tc>
          <w:tcPr>
            <w:tcW w:w="793" w:type="pct"/>
            <w:vAlign w:val="center"/>
          </w:tcPr>
          <w:p w14:paraId="28DEE5ED">
            <w:pPr>
              <w:pStyle w:val="133"/>
            </w:pPr>
            <w:r>
              <w:rPr>
                <w:rFonts w:hint="eastAsia"/>
              </w:rPr>
              <w:t>15</w:t>
            </w:r>
          </w:p>
        </w:tc>
        <w:tc>
          <w:tcPr>
            <w:tcW w:w="899" w:type="pct"/>
            <w:vAlign w:val="center"/>
          </w:tcPr>
          <w:p w14:paraId="0A279037">
            <w:pPr>
              <w:pStyle w:val="133"/>
            </w:pPr>
            <w:r>
              <w:rPr>
                <w:rFonts w:hint="eastAsia"/>
              </w:rPr>
              <w:t>55</w:t>
            </w:r>
          </w:p>
        </w:tc>
        <w:tc>
          <w:tcPr>
            <w:tcW w:w="984" w:type="pct"/>
            <w:vAlign w:val="center"/>
          </w:tcPr>
          <w:p w14:paraId="2AD43CAA">
            <w:pPr>
              <w:pStyle w:val="133"/>
            </w:pPr>
            <w:r>
              <w:rPr>
                <w:rFonts w:hint="eastAsia"/>
              </w:rPr>
              <w:t>151</w:t>
            </w:r>
          </w:p>
        </w:tc>
      </w:tr>
      <w:tr w14:paraId="4A391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387FD9BC">
            <w:pPr>
              <w:pStyle w:val="133"/>
            </w:pPr>
            <w:r>
              <w:rPr>
                <w:rFonts w:hint="eastAsia"/>
              </w:rPr>
              <w:t>39</w:t>
            </w:r>
          </w:p>
        </w:tc>
        <w:tc>
          <w:tcPr>
            <w:tcW w:w="1110" w:type="pct"/>
            <w:vAlign w:val="center"/>
          </w:tcPr>
          <w:p w14:paraId="1BD0DDE9">
            <w:pPr>
              <w:pStyle w:val="133"/>
            </w:pPr>
            <w:r>
              <w:rPr>
                <w:rFonts w:hint="eastAsia"/>
              </w:rPr>
              <w:t>苯并[a]芘</w:t>
            </w:r>
          </w:p>
        </w:tc>
        <w:tc>
          <w:tcPr>
            <w:tcW w:w="775" w:type="pct"/>
            <w:vAlign w:val="center"/>
          </w:tcPr>
          <w:p w14:paraId="36DDFA9A">
            <w:pPr>
              <w:pStyle w:val="133"/>
            </w:pPr>
            <w:r>
              <w:rPr>
                <w:rFonts w:hint="eastAsia"/>
              </w:rPr>
              <w:t>0.55</w:t>
            </w:r>
          </w:p>
        </w:tc>
        <w:tc>
          <w:tcPr>
            <w:tcW w:w="793" w:type="pct"/>
            <w:vAlign w:val="center"/>
          </w:tcPr>
          <w:p w14:paraId="7CE3C04E">
            <w:pPr>
              <w:pStyle w:val="133"/>
            </w:pPr>
            <w:r>
              <w:rPr>
                <w:rFonts w:hint="eastAsia"/>
              </w:rPr>
              <w:t>1.5</w:t>
            </w:r>
          </w:p>
        </w:tc>
        <w:tc>
          <w:tcPr>
            <w:tcW w:w="899" w:type="pct"/>
            <w:vAlign w:val="center"/>
          </w:tcPr>
          <w:p w14:paraId="485572C9">
            <w:pPr>
              <w:pStyle w:val="133"/>
            </w:pPr>
            <w:r>
              <w:rPr>
                <w:rFonts w:hint="eastAsia"/>
              </w:rPr>
              <w:t>5.5</w:t>
            </w:r>
          </w:p>
        </w:tc>
        <w:tc>
          <w:tcPr>
            <w:tcW w:w="984" w:type="pct"/>
            <w:vAlign w:val="center"/>
          </w:tcPr>
          <w:p w14:paraId="11216C01">
            <w:pPr>
              <w:pStyle w:val="133"/>
            </w:pPr>
            <w:r>
              <w:rPr>
                <w:rFonts w:hint="eastAsia"/>
              </w:rPr>
              <w:t>15</w:t>
            </w:r>
          </w:p>
        </w:tc>
      </w:tr>
      <w:tr w14:paraId="7E3514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0ABA0E46">
            <w:pPr>
              <w:pStyle w:val="133"/>
            </w:pPr>
            <w:r>
              <w:rPr>
                <w:rFonts w:hint="eastAsia"/>
              </w:rPr>
              <w:t>40</w:t>
            </w:r>
          </w:p>
        </w:tc>
        <w:tc>
          <w:tcPr>
            <w:tcW w:w="1110" w:type="pct"/>
            <w:vAlign w:val="center"/>
          </w:tcPr>
          <w:p w14:paraId="1EC242A3">
            <w:pPr>
              <w:pStyle w:val="133"/>
            </w:pPr>
            <w:r>
              <w:rPr>
                <w:rFonts w:hint="eastAsia"/>
              </w:rPr>
              <w:t>苯并[b]荧蒽</w:t>
            </w:r>
          </w:p>
        </w:tc>
        <w:tc>
          <w:tcPr>
            <w:tcW w:w="775" w:type="pct"/>
            <w:vAlign w:val="center"/>
          </w:tcPr>
          <w:p w14:paraId="1D832B54">
            <w:pPr>
              <w:pStyle w:val="133"/>
            </w:pPr>
            <w:r>
              <w:rPr>
                <w:rFonts w:hint="eastAsia"/>
              </w:rPr>
              <w:t>5.5</w:t>
            </w:r>
          </w:p>
        </w:tc>
        <w:tc>
          <w:tcPr>
            <w:tcW w:w="793" w:type="pct"/>
            <w:vAlign w:val="center"/>
          </w:tcPr>
          <w:p w14:paraId="4C21ED43">
            <w:pPr>
              <w:pStyle w:val="133"/>
            </w:pPr>
            <w:r>
              <w:rPr>
                <w:rFonts w:hint="eastAsia"/>
              </w:rPr>
              <w:t>15</w:t>
            </w:r>
          </w:p>
        </w:tc>
        <w:tc>
          <w:tcPr>
            <w:tcW w:w="899" w:type="pct"/>
            <w:vAlign w:val="center"/>
          </w:tcPr>
          <w:p w14:paraId="4C980293">
            <w:pPr>
              <w:pStyle w:val="133"/>
            </w:pPr>
            <w:r>
              <w:rPr>
                <w:rFonts w:hint="eastAsia"/>
              </w:rPr>
              <w:t>55</w:t>
            </w:r>
          </w:p>
        </w:tc>
        <w:tc>
          <w:tcPr>
            <w:tcW w:w="984" w:type="pct"/>
            <w:vAlign w:val="center"/>
          </w:tcPr>
          <w:p w14:paraId="7EA79611">
            <w:pPr>
              <w:pStyle w:val="133"/>
            </w:pPr>
            <w:r>
              <w:rPr>
                <w:rFonts w:hint="eastAsia"/>
              </w:rPr>
              <w:t>151</w:t>
            </w:r>
          </w:p>
        </w:tc>
      </w:tr>
      <w:tr w14:paraId="1BB533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5551AC2C">
            <w:pPr>
              <w:pStyle w:val="133"/>
            </w:pPr>
            <w:r>
              <w:rPr>
                <w:rFonts w:hint="eastAsia"/>
              </w:rPr>
              <w:t>41</w:t>
            </w:r>
          </w:p>
        </w:tc>
        <w:tc>
          <w:tcPr>
            <w:tcW w:w="1110" w:type="pct"/>
            <w:vAlign w:val="center"/>
          </w:tcPr>
          <w:p w14:paraId="3946F5C4">
            <w:pPr>
              <w:pStyle w:val="133"/>
            </w:pPr>
            <w:r>
              <w:rPr>
                <w:rFonts w:hint="eastAsia"/>
              </w:rPr>
              <w:t>苯并[k]荧蒽</w:t>
            </w:r>
          </w:p>
        </w:tc>
        <w:tc>
          <w:tcPr>
            <w:tcW w:w="775" w:type="pct"/>
            <w:vAlign w:val="center"/>
          </w:tcPr>
          <w:p w14:paraId="724F3B9D">
            <w:pPr>
              <w:pStyle w:val="133"/>
            </w:pPr>
            <w:r>
              <w:rPr>
                <w:rFonts w:hint="eastAsia"/>
              </w:rPr>
              <w:t>55</w:t>
            </w:r>
          </w:p>
        </w:tc>
        <w:tc>
          <w:tcPr>
            <w:tcW w:w="793" w:type="pct"/>
            <w:vAlign w:val="center"/>
          </w:tcPr>
          <w:p w14:paraId="64AEE6F3">
            <w:pPr>
              <w:pStyle w:val="133"/>
            </w:pPr>
            <w:r>
              <w:rPr>
                <w:rFonts w:hint="eastAsia"/>
              </w:rPr>
              <w:t>151</w:t>
            </w:r>
          </w:p>
        </w:tc>
        <w:tc>
          <w:tcPr>
            <w:tcW w:w="899" w:type="pct"/>
            <w:vAlign w:val="center"/>
          </w:tcPr>
          <w:p w14:paraId="24DEEE4B">
            <w:pPr>
              <w:pStyle w:val="133"/>
            </w:pPr>
            <w:r>
              <w:rPr>
                <w:rFonts w:hint="eastAsia"/>
              </w:rPr>
              <w:t>550</w:t>
            </w:r>
          </w:p>
        </w:tc>
        <w:tc>
          <w:tcPr>
            <w:tcW w:w="984" w:type="pct"/>
            <w:vAlign w:val="center"/>
          </w:tcPr>
          <w:p w14:paraId="176869F2">
            <w:pPr>
              <w:pStyle w:val="133"/>
            </w:pPr>
            <w:r>
              <w:rPr>
                <w:rFonts w:hint="eastAsia"/>
              </w:rPr>
              <w:t>1500</w:t>
            </w:r>
          </w:p>
        </w:tc>
      </w:tr>
      <w:tr w14:paraId="724B10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117E926E">
            <w:pPr>
              <w:pStyle w:val="133"/>
            </w:pPr>
            <w:r>
              <w:rPr>
                <w:rFonts w:hint="eastAsia"/>
              </w:rPr>
              <w:t>42</w:t>
            </w:r>
          </w:p>
        </w:tc>
        <w:tc>
          <w:tcPr>
            <w:tcW w:w="1110" w:type="pct"/>
            <w:vAlign w:val="center"/>
          </w:tcPr>
          <w:p w14:paraId="3FC43DEF">
            <w:pPr>
              <w:pStyle w:val="133"/>
            </w:pPr>
            <w:r>
              <w:rPr>
                <w:rFonts w:hint="eastAsia"/>
              </w:rPr>
              <w:t>䓛</w:t>
            </w:r>
          </w:p>
        </w:tc>
        <w:tc>
          <w:tcPr>
            <w:tcW w:w="775" w:type="pct"/>
            <w:vAlign w:val="center"/>
          </w:tcPr>
          <w:p w14:paraId="6688C799">
            <w:pPr>
              <w:pStyle w:val="133"/>
            </w:pPr>
            <w:r>
              <w:rPr>
                <w:rFonts w:hint="eastAsia"/>
              </w:rPr>
              <w:t>490</w:t>
            </w:r>
          </w:p>
        </w:tc>
        <w:tc>
          <w:tcPr>
            <w:tcW w:w="793" w:type="pct"/>
            <w:vAlign w:val="center"/>
          </w:tcPr>
          <w:p w14:paraId="285E2741">
            <w:pPr>
              <w:pStyle w:val="133"/>
            </w:pPr>
            <w:r>
              <w:rPr>
                <w:rFonts w:hint="eastAsia"/>
              </w:rPr>
              <w:t>1293</w:t>
            </w:r>
          </w:p>
        </w:tc>
        <w:tc>
          <w:tcPr>
            <w:tcW w:w="899" w:type="pct"/>
            <w:vAlign w:val="center"/>
          </w:tcPr>
          <w:p w14:paraId="3F14A6F4">
            <w:pPr>
              <w:pStyle w:val="133"/>
            </w:pPr>
            <w:r>
              <w:rPr>
                <w:rFonts w:hint="eastAsia"/>
              </w:rPr>
              <w:t>4900</w:t>
            </w:r>
          </w:p>
        </w:tc>
        <w:tc>
          <w:tcPr>
            <w:tcW w:w="984" w:type="pct"/>
            <w:vAlign w:val="center"/>
          </w:tcPr>
          <w:p w14:paraId="1655BD47">
            <w:pPr>
              <w:pStyle w:val="133"/>
            </w:pPr>
            <w:r>
              <w:rPr>
                <w:rFonts w:hint="eastAsia"/>
              </w:rPr>
              <w:t>12900</w:t>
            </w:r>
          </w:p>
        </w:tc>
      </w:tr>
      <w:tr w14:paraId="34FE47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44B4AD73">
            <w:pPr>
              <w:pStyle w:val="133"/>
            </w:pPr>
            <w:r>
              <w:rPr>
                <w:rFonts w:hint="eastAsia"/>
              </w:rPr>
              <w:t>43</w:t>
            </w:r>
          </w:p>
        </w:tc>
        <w:tc>
          <w:tcPr>
            <w:tcW w:w="1110" w:type="pct"/>
            <w:vAlign w:val="center"/>
          </w:tcPr>
          <w:p w14:paraId="626EFB0D">
            <w:pPr>
              <w:pStyle w:val="133"/>
            </w:pPr>
            <w:r>
              <w:rPr>
                <w:rFonts w:hint="eastAsia"/>
              </w:rPr>
              <w:t>二苯并[a,h]蒽</w:t>
            </w:r>
          </w:p>
        </w:tc>
        <w:tc>
          <w:tcPr>
            <w:tcW w:w="775" w:type="pct"/>
            <w:vAlign w:val="center"/>
          </w:tcPr>
          <w:p w14:paraId="56A21F9A">
            <w:pPr>
              <w:pStyle w:val="133"/>
            </w:pPr>
            <w:r>
              <w:rPr>
                <w:rFonts w:hint="eastAsia"/>
              </w:rPr>
              <w:t>0.55</w:t>
            </w:r>
          </w:p>
        </w:tc>
        <w:tc>
          <w:tcPr>
            <w:tcW w:w="793" w:type="pct"/>
            <w:vAlign w:val="center"/>
          </w:tcPr>
          <w:p w14:paraId="24A336C8">
            <w:pPr>
              <w:pStyle w:val="133"/>
            </w:pPr>
            <w:r>
              <w:rPr>
                <w:rFonts w:hint="eastAsia"/>
              </w:rPr>
              <w:t>1.5</w:t>
            </w:r>
          </w:p>
        </w:tc>
        <w:tc>
          <w:tcPr>
            <w:tcW w:w="899" w:type="pct"/>
            <w:vAlign w:val="center"/>
          </w:tcPr>
          <w:p w14:paraId="24795659">
            <w:pPr>
              <w:pStyle w:val="133"/>
            </w:pPr>
            <w:r>
              <w:rPr>
                <w:rFonts w:hint="eastAsia"/>
              </w:rPr>
              <w:t>5.5</w:t>
            </w:r>
          </w:p>
        </w:tc>
        <w:tc>
          <w:tcPr>
            <w:tcW w:w="984" w:type="pct"/>
            <w:vAlign w:val="center"/>
          </w:tcPr>
          <w:p w14:paraId="5DF256F1">
            <w:pPr>
              <w:pStyle w:val="133"/>
            </w:pPr>
            <w:r>
              <w:rPr>
                <w:rFonts w:hint="eastAsia"/>
              </w:rPr>
              <w:t>15</w:t>
            </w:r>
          </w:p>
        </w:tc>
      </w:tr>
      <w:tr w14:paraId="349138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1A134F51">
            <w:pPr>
              <w:pStyle w:val="133"/>
            </w:pPr>
            <w:r>
              <w:rPr>
                <w:rFonts w:hint="eastAsia"/>
              </w:rPr>
              <w:t>44</w:t>
            </w:r>
          </w:p>
        </w:tc>
        <w:tc>
          <w:tcPr>
            <w:tcW w:w="1110" w:type="pct"/>
            <w:vAlign w:val="center"/>
          </w:tcPr>
          <w:p w14:paraId="71D6A399">
            <w:pPr>
              <w:pStyle w:val="133"/>
            </w:pPr>
            <w:r>
              <w:rPr>
                <w:rFonts w:hint="eastAsia"/>
              </w:rPr>
              <w:t>茚并[1,2,3-cd]芘</w:t>
            </w:r>
          </w:p>
        </w:tc>
        <w:tc>
          <w:tcPr>
            <w:tcW w:w="775" w:type="pct"/>
            <w:vAlign w:val="center"/>
          </w:tcPr>
          <w:p w14:paraId="524F283B">
            <w:pPr>
              <w:pStyle w:val="133"/>
            </w:pPr>
            <w:r>
              <w:rPr>
                <w:rFonts w:hint="eastAsia"/>
              </w:rPr>
              <w:t>5.5</w:t>
            </w:r>
          </w:p>
        </w:tc>
        <w:tc>
          <w:tcPr>
            <w:tcW w:w="793" w:type="pct"/>
            <w:vAlign w:val="center"/>
          </w:tcPr>
          <w:p w14:paraId="41C73ED1">
            <w:pPr>
              <w:pStyle w:val="133"/>
            </w:pPr>
            <w:r>
              <w:rPr>
                <w:rFonts w:hint="eastAsia"/>
              </w:rPr>
              <w:t>15</w:t>
            </w:r>
          </w:p>
        </w:tc>
        <w:tc>
          <w:tcPr>
            <w:tcW w:w="899" w:type="pct"/>
            <w:vAlign w:val="center"/>
          </w:tcPr>
          <w:p w14:paraId="13C1BA89">
            <w:pPr>
              <w:pStyle w:val="133"/>
            </w:pPr>
            <w:r>
              <w:rPr>
                <w:rFonts w:hint="eastAsia"/>
              </w:rPr>
              <w:t>55</w:t>
            </w:r>
          </w:p>
        </w:tc>
        <w:tc>
          <w:tcPr>
            <w:tcW w:w="984" w:type="pct"/>
            <w:vAlign w:val="center"/>
          </w:tcPr>
          <w:p w14:paraId="0A1DCEBF">
            <w:pPr>
              <w:pStyle w:val="133"/>
            </w:pPr>
            <w:r>
              <w:rPr>
                <w:rFonts w:hint="eastAsia"/>
              </w:rPr>
              <w:t>151</w:t>
            </w:r>
          </w:p>
        </w:tc>
      </w:tr>
      <w:tr w14:paraId="531EF5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42437C27">
            <w:pPr>
              <w:pStyle w:val="133"/>
            </w:pPr>
            <w:r>
              <w:rPr>
                <w:rFonts w:hint="eastAsia"/>
              </w:rPr>
              <w:t>45</w:t>
            </w:r>
          </w:p>
        </w:tc>
        <w:tc>
          <w:tcPr>
            <w:tcW w:w="1110" w:type="pct"/>
            <w:vAlign w:val="center"/>
          </w:tcPr>
          <w:p w14:paraId="31FEB9E3">
            <w:pPr>
              <w:pStyle w:val="133"/>
            </w:pPr>
            <w:r>
              <w:rPr>
                <w:rFonts w:hint="eastAsia"/>
              </w:rPr>
              <w:t>萘</w:t>
            </w:r>
          </w:p>
        </w:tc>
        <w:tc>
          <w:tcPr>
            <w:tcW w:w="775" w:type="pct"/>
            <w:vAlign w:val="center"/>
          </w:tcPr>
          <w:p w14:paraId="142E0B84">
            <w:pPr>
              <w:pStyle w:val="133"/>
            </w:pPr>
            <w:r>
              <w:rPr>
                <w:rFonts w:hint="eastAsia"/>
              </w:rPr>
              <w:t>25</w:t>
            </w:r>
          </w:p>
        </w:tc>
        <w:tc>
          <w:tcPr>
            <w:tcW w:w="793" w:type="pct"/>
            <w:vAlign w:val="center"/>
          </w:tcPr>
          <w:p w14:paraId="457C7675">
            <w:pPr>
              <w:pStyle w:val="133"/>
            </w:pPr>
            <w:r>
              <w:rPr>
                <w:rFonts w:hint="eastAsia"/>
              </w:rPr>
              <w:t>70</w:t>
            </w:r>
          </w:p>
        </w:tc>
        <w:tc>
          <w:tcPr>
            <w:tcW w:w="899" w:type="pct"/>
            <w:vAlign w:val="center"/>
          </w:tcPr>
          <w:p w14:paraId="52D9467C">
            <w:pPr>
              <w:pStyle w:val="133"/>
            </w:pPr>
            <w:r>
              <w:rPr>
                <w:rFonts w:hint="eastAsia"/>
              </w:rPr>
              <w:t>255</w:t>
            </w:r>
          </w:p>
        </w:tc>
        <w:tc>
          <w:tcPr>
            <w:tcW w:w="984" w:type="pct"/>
            <w:vAlign w:val="center"/>
          </w:tcPr>
          <w:p w14:paraId="7471F708">
            <w:pPr>
              <w:pStyle w:val="133"/>
            </w:pPr>
            <w:r>
              <w:rPr>
                <w:rFonts w:hint="eastAsia"/>
              </w:rPr>
              <w:t>700</w:t>
            </w:r>
          </w:p>
        </w:tc>
      </w:tr>
      <w:tr w14:paraId="431D1A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6"/>
            <w:vAlign w:val="center"/>
          </w:tcPr>
          <w:p w14:paraId="65A9EE05">
            <w:pPr>
              <w:pStyle w:val="133"/>
            </w:pPr>
            <w:r>
              <w:rPr>
                <w:rFonts w:hint="eastAsia"/>
              </w:rPr>
              <w:t>石油烃类</w:t>
            </w:r>
          </w:p>
        </w:tc>
      </w:tr>
      <w:tr w14:paraId="292A79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39" w:type="pct"/>
            <w:vAlign w:val="center"/>
          </w:tcPr>
          <w:p w14:paraId="4E94FEB1">
            <w:pPr>
              <w:pStyle w:val="133"/>
            </w:pPr>
            <w:r>
              <w:rPr>
                <w:rFonts w:hint="eastAsia"/>
              </w:rPr>
              <w:t>46</w:t>
            </w:r>
          </w:p>
        </w:tc>
        <w:tc>
          <w:tcPr>
            <w:tcW w:w="1110" w:type="pct"/>
            <w:vAlign w:val="center"/>
          </w:tcPr>
          <w:p w14:paraId="44FBADB5">
            <w:pPr>
              <w:pStyle w:val="133"/>
              <w:jc w:val="both"/>
            </w:pPr>
            <w:r>
              <w:rPr>
                <w:rFonts w:hint="eastAsia"/>
              </w:rPr>
              <w:t>石油烃（C</w:t>
            </w:r>
            <w:r>
              <w:rPr>
                <w:rFonts w:hint="eastAsia"/>
                <w:vertAlign w:val="subscript"/>
              </w:rPr>
              <w:t>10</w:t>
            </w:r>
            <w:r>
              <w:rPr>
                <w:rFonts w:hint="eastAsia"/>
              </w:rPr>
              <w:t>-C</w:t>
            </w:r>
            <w:r>
              <w:rPr>
                <w:rFonts w:hint="eastAsia"/>
                <w:vertAlign w:val="subscript"/>
              </w:rPr>
              <w:t>40</w:t>
            </w:r>
            <w:r>
              <w:rPr>
                <w:rFonts w:hint="eastAsia"/>
              </w:rPr>
              <w:t>）</w:t>
            </w:r>
          </w:p>
        </w:tc>
        <w:tc>
          <w:tcPr>
            <w:tcW w:w="775" w:type="pct"/>
            <w:vAlign w:val="center"/>
          </w:tcPr>
          <w:p w14:paraId="0643D7B1">
            <w:pPr>
              <w:pStyle w:val="133"/>
            </w:pPr>
            <w:r>
              <w:rPr>
                <w:rFonts w:hint="eastAsia"/>
              </w:rPr>
              <w:t>826</w:t>
            </w:r>
          </w:p>
        </w:tc>
        <w:tc>
          <w:tcPr>
            <w:tcW w:w="793" w:type="pct"/>
            <w:vAlign w:val="center"/>
          </w:tcPr>
          <w:p w14:paraId="73B65A18">
            <w:pPr>
              <w:pStyle w:val="133"/>
            </w:pPr>
            <w:r>
              <w:rPr>
                <w:rFonts w:hint="eastAsia"/>
              </w:rPr>
              <w:t>4500</w:t>
            </w:r>
          </w:p>
        </w:tc>
        <w:tc>
          <w:tcPr>
            <w:tcW w:w="899" w:type="pct"/>
            <w:vAlign w:val="center"/>
          </w:tcPr>
          <w:p w14:paraId="35AB3EC9">
            <w:pPr>
              <w:pStyle w:val="133"/>
            </w:pPr>
            <w:r>
              <w:rPr>
                <w:rFonts w:hint="eastAsia"/>
              </w:rPr>
              <w:t>5000</w:t>
            </w:r>
          </w:p>
        </w:tc>
        <w:tc>
          <w:tcPr>
            <w:tcW w:w="984" w:type="pct"/>
            <w:vAlign w:val="center"/>
          </w:tcPr>
          <w:p w14:paraId="05946670">
            <w:pPr>
              <w:pStyle w:val="133"/>
            </w:pPr>
            <w:r>
              <w:rPr>
                <w:rFonts w:hint="eastAsia"/>
              </w:rPr>
              <w:t>9000</w:t>
            </w:r>
          </w:p>
        </w:tc>
      </w:tr>
    </w:tbl>
    <w:p w14:paraId="5D8DBB40">
      <w:pPr>
        <w:pStyle w:val="133"/>
      </w:pPr>
      <w:bookmarkStart w:id="154" w:name="_Toc13849"/>
    </w:p>
    <w:p w14:paraId="215573CC">
      <w:pPr>
        <w:pStyle w:val="138"/>
        <w:rPr>
          <w:rFonts w:hint="eastAsia"/>
        </w:rPr>
      </w:pPr>
      <w:r>
        <w:rPr>
          <w:rFonts w:hint="eastAsia"/>
        </w:rPr>
        <w:t>污染物排放标准</w:t>
      </w:r>
      <w:bookmarkEnd w:id="152"/>
      <w:bookmarkEnd w:id="153"/>
      <w:bookmarkEnd w:id="154"/>
    </w:p>
    <w:p w14:paraId="66482203">
      <w:pPr>
        <w:pStyle w:val="5"/>
      </w:pPr>
      <w:r>
        <w:rPr>
          <w:rFonts w:hint="eastAsia"/>
        </w:rPr>
        <w:t>废气</w:t>
      </w:r>
    </w:p>
    <w:p w14:paraId="784DC32C">
      <w:pPr>
        <w:pStyle w:val="117"/>
        <w:ind w:firstLine="480"/>
      </w:pPr>
      <w:r>
        <w:rPr>
          <w:rFonts w:hint="eastAsia"/>
        </w:rPr>
        <w:t>兰炭生产线属于焦化行业，废气污染物排放执行《炼焦化学工业大气污染物排放标准》（GB16171.1-2024）表6，同时按照《关于推进实施焦化行业超低排放的意见》（环大气〔2024〕5号）的要求，按照超低排放限值进行管理。</w:t>
      </w:r>
    </w:p>
    <w:p w14:paraId="22F22ADF">
      <w:pPr>
        <w:ind w:firstLine="480"/>
        <w:sectPr>
          <w:pgSz w:w="11906" w:h="16838"/>
          <w:pgMar w:top="1440" w:right="1800" w:bottom="1440" w:left="1800" w:header="851" w:footer="992" w:gutter="0"/>
          <w:cols w:space="425" w:num="1"/>
          <w:docGrid w:type="lines" w:linePitch="326" w:charSpace="0"/>
        </w:sectPr>
      </w:pPr>
      <w:r>
        <w:rPr>
          <w:rFonts w:hint="eastAsia"/>
        </w:rPr>
        <w:t>兰炭生产线大气污染物废气有组织排放浓度限值，</w:t>
      </w:r>
      <w:r>
        <w:t>见</w:t>
      </w:r>
      <w:r>
        <w:rPr>
          <w:rFonts w:hint="eastAsia"/>
        </w:rPr>
        <w:t>表1.5-5，表1.5-6。</w:t>
      </w:r>
    </w:p>
    <w:p w14:paraId="5A457960">
      <w:pPr>
        <w:ind w:firstLine="482"/>
        <w:jc w:val="center"/>
        <w:rPr>
          <w:b/>
          <w:bCs/>
          <w:lang w:val="de-DE"/>
        </w:rPr>
      </w:pPr>
      <w:r>
        <w:rPr>
          <w:rFonts w:hint="eastAsia"/>
          <w:b/>
          <w:bCs/>
        </w:rPr>
        <w:t xml:space="preserve">表1.5-5  </w:t>
      </w:r>
      <w:r>
        <w:rPr>
          <w:rFonts w:hint="eastAsia"/>
          <w:b/>
          <w:bCs/>
          <w:lang w:val="de-DE"/>
        </w:rPr>
        <w:t>焦化行业超低排放有组织废气浓度限值  单位：mg/m³</w:t>
      </w:r>
    </w:p>
    <w:tbl>
      <w:tblPr>
        <w:tblStyle w:val="1189"/>
        <w:tblW w:w="5000"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321"/>
        <w:gridCol w:w="1451"/>
        <w:gridCol w:w="1210"/>
        <w:gridCol w:w="1454"/>
        <w:gridCol w:w="2421"/>
        <w:gridCol w:w="1454"/>
        <w:gridCol w:w="863"/>
      </w:tblGrid>
      <w:tr w14:paraId="5DAC92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Merge w:val="restart"/>
            <w:vAlign w:val="center"/>
          </w:tcPr>
          <w:p w14:paraId="47FFE85F">
            <w:pPr>
              <w:spacing w:line="240" w:lineRule="auto"/>
              <w:ind w:firstLine="0" w:firstLineChars="0"/>
              <w:jc w:val="center"/>
              <w:rPr>
                <w:color w:val="000000"/>
                <w:sz w:val="21"/>
              </w:rPr>
            </w:pPr>
            <w:r>
              <w:rPr>
                <w:rFonts w:hint="eastAsia"/>
                <w:color w:val="000000"/>
                <w:sz w:val="21"/>
              </w:rPr>
              <w:t>排放环节</w:t>
            </w:r>
          </w:p>
        </w:tc>
        <w:tc>
          <w:tcPr>
            <w:tcW w:w="512" w:type="pct"/>
            <w:vMerge w:val="restart"/>
            <w:vAlign w:val="center"/>
          </w:tcPr>
          <w:p w14:paraId="3F8263E5">
            <w:pPr>
              <w:spacing w:line="240" w:lineRule="auto"/>
              <w:ind w:firstLine="0" w:firstLineChars="0"/>
              <w:jc w:val="center"/>
              <w:rPr>
                <w:color w:val="000000"/>
                <w:sz w:val="21"/>
              </w:rPr>
            </w:pPr>
            <w:r>
              <w:rPr>
                <w:rFonts w:hint="eastAsia"/>
                <w:color w:val="000000"/>
                <w:sz w:val="21"/>
              </w:rPr>
              <w:t>基准含氧量</w:t>
            </w:r>
          </w:p>
          <w:p w14:paraId="083F2ACD">
            <w:pPr>
              <w:spacing w:line="240" w:lineRule="auto"/>
              <w:ind w:firstLine="0" w:firstLineChars="0"/>
              <w:jc w:val="center"/>
              <w:rPr>
                <w:color w:val="000000"/>
                <w:sz w:val="21"/>
              </w:rPr>
            </w:pPr>
            <w:r>
              <w:rPr>
                <w:rFonts w:hint="eastAsia"/>
                <w:color w:val="000000"/>
                <w:sz w:val="21"/>
              </w:rPr>
              <w:t>（%）</w:t>
            </w:r>
          </w:p>
        </w:tc>
        <w:tc>
          <w:tcPr>
            <w:tcW w:w="2610" w:type="pct"/>
            <w:gridSpan w:val="5"/>
            <w:vAlign w:val="center"/>
          </w:tcPr>
          <w:p w14:paraId="7A59AF72">
            <w:pPr>
              <w:spacing w:line="240" w:lineRule="auto"/>
              <w:ind w:firstLine="0" w:firstLineChars="0"/>
              <w:jc w:val="center"/>
              <w:rPr>
                <w:color w:val="000000"/>
                <w:sz w:val="21"/>
              </w:rPr>
            </w:pPr>
            <w:r>
              <w:rPr>
                <w:rFonts w:hint="eastAsia"/>
                <w:color w:val="000000"/>
                <w:sz w:val="21"/>
              </w:rPr>
              <w:t>污染物项目</w:t>
            </w:r>
          </w:p>
        </w:tc>
      </w:tr>
      <w:tr w14:paraId="698E0C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Merge w:val="continue"/>
            <w:vAlign w:val="center"/>
          </w:tcPr>
          <w:p w14:paraId="4077CDA1">
            <w:pPr>
              <w:spacing w:line="240" w:lineRule="auto"/>
              <w:ind w:firstLine="0" w:firstLineChars="0"/>
              <w:jc w:val="center"/>
              <w:rPr>
                <w:color w:val="000000"/>
                <w:sz w:val="21"/>
              </w:rPr>
            </w:pPr>
          </w:p>
        </w:tc>
        <w:tc>
          <w:tcPr>
            <w:tcW w:w="512" w:type="pct"/>
            <w:vMerge w:val="continue"/>
            <w:vAlign w:val="center"/>
          </w:tcPr>
          <w:p w14:paraId="4F187D24">
            <w:pPr>
              <w:spacing w:line="240" w:lineRule="auto"/>
              <w:ind w:firstLine="0" w:firstLineChars="0"/>
              <w:jc w:val="center"/>
              <w:rPr>
                <w:color w:val="000000"/>
                <w:sz w:val="21"/>
              </w:rPr>
            </w:pPr>
          </w:p>
        </w:tc>
        <w:tc>
          <w:tcPr>
            <w:tcW w:w="427" w:type="pct"/>
            <w:vAlign w:val="center"/>
          </w:tcPr>
          <w:p w14:paraId="7985BE3E">
            <w:pPr>
              <w:spacing w:line="240" w:lineRule="auto"/>
              <w:ind w:firstLine="0" w:firstLineChars="0"/>
              <w:jc w:val="center"/>
              <w:rPr>
                <w:color w:val="000000"/>
                <w:sz w:val="21"/>
              </w:rPr>
            </w:pPr>
            <w:r>
              <w:rPr>
                <w:rFonts w:hint="eastAsia"/>
                <w:color w:val="000000"/>
                <w:sz w:val="21"/>
              </w:rPr>
              <w:t>颗粒物</w:t>
            </w:r>
          </w:p>
        </w:tc>
        <w:tc>
          <w:tcPr>
            <w:tcW w:w="513" w:type="pct"/>
            <w:vAlign w:val="center"/>
          </w:tcPr>
          <w:p w14:paraId="1AE04D82">
            <w:pPr>
              <w:spacing w:line="240" w:lineRule="auto"/>
              <w:ind w:firstLine="0" w:firstLineChars="0"/>
              <w:jc w:val="center"/>
              <w:rPr>
                <w:color w:val="000000"/>
                <w:sz w:val="21"/>
              </w:rPr>
            </w:pPr>
            <w:r>
              <w:rPr>
                <w:rFonts w:hint="eastAsia"/>
                <w:color w:val="000000"/>
                <w:sz w:val="21"/>
              </w:rPr>
              <w:t>二氧化硫</w:t>
            </w:r>
          </w:p>
        </w:tc>
        <w:tc>
          <w:tcPr>
            <w:tcW w:w="854" w:type="pct"/>
            <w:vAlign w:val="center"/>
          </w:tcPr>
          <w:p w14:paraId="2A0A26CE">
            <w:pPr>
              <w:spacing w:line="240" w:lineRule="auto"/>
              <w:ind w:firstLine="0" w:firstLineChars="0"/>
              <w:jc w:val="center"/>
              <w:rPr>
                <w:color w:val="000000"/>
                <w:sz w:val="21"/>
              </w:rPr>
            </w:pPr>
            <w:r>
              <w:rPr>
                <w:rFonts w:hint="eastAsia"/>
                <w:color w:val="000000"/>
                <w:sz w:val="21"/>
              </w:rPr>
              <w:t>氮氧化物</w:t>
            </w:r>
          </w:p>
          <w:p w14:paraId="627F779D">
            <w:pPr>
              <w:spacing w:line="240" w:lineRule="auto"/>
              <w:ind w:firstLine="0" w:firstLineChars="0"/>
              <w:jc w:val="center"/>
              <w:rPr>
                <w:color w:val="000000"/>
                <w:sz w:val="21"/>
              </w:rPr>
            </w:pPr>
            <w:r>
              <w:rPr>
                <w:rFonts w:hint="eastAsia"/>
                <w:color w:val="000000"/>
                <w:sz w:val="21"/>
              </w:rPr>
              <w:t>（NO</w:t>
            </w:r>
            <w:r>
              <w:rPr>
                <w:rFonts w:hint="eastAsia"/>
                <w:color w:val="000000"/>
                <w:sz w:val="21"/>
                <w:vertAlign w:val="subscript"/>
              </w:rPr>
              <w:t>2</w:t>
            </w:r>
            <w:r>
              <w:rPr>
                <w:rFonts w:hint="eastAsia"/>
                <w:color w:val="000000"/>
                <w:sz w:val="21"/>
              </w:rPr>
              <w:t>计）</w:t>
            </w:r>
          </w:p>
        </w:tc>
        <w:tc>
          <w:tcPr>
            <w:tcW w:w="513" w:type="pct"/>
            <w:vAlign w:val="center"/>
          </w:tcPr>
          <w:p w14:paraId="4F1CA683">
            <w:pPr>
              <w:spacing w:line="240" w:lineRule="auto"/>
              <w:ind w:firstLine="0" w:firstLineChars="0"/>
              <w:jc w:val="center"/>
              <w:rPr>
                <w:color w:val="000000"/>
                <w:sz w:val="21"/>
              </w:rPr>
            </w:pPr>
            <w:r>
              <w:rPr>
                <w:rFonts w:hint="eastAsia"/>
                <w:color w:val="000000"/>
                <w:sz w:val="21"/>
              </w:rPr>
              <w:t>非甲烷总烃</w:t>
            </w:r>
          </w:p>
        </w:tc>
        <w:tc>
          <w:tcPr>
            <w:tcW w:w="304" w:type="pct"/>
            <w:vAlign w:val="center"/>
          </w:tcPr>
          <w:p w14:paraId="192CDFAF">
            <w:pPr>
              <w:spacing w:line="240" w:lineRule="auto"/>
              <w:ind w:firstLine="0" w:firstLineChars="0"/>
              <w:jc w:val="center"/>
              <w:rPr>
                <w:color w:val="000000"/>
                <w:sz w:val="21"/>
              </w:rPr>
            </w:pPr>
            <w:r>
              <w:rPr>
                <w:rFonts w:hint="eastAsia"/>
                <w:color w:val="000000"/>
                <w:sz w:val="21"/>
              </w:rPr>
              <w:t>氨</w:t>
            </w:r>
          </w:p>
        </w:tc>
      </w:tr>
      <w:tr w14:paraId="62D038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0977C3C6">
            <w:pPr>
              <w:spacing w:line="240" w:lineRule="auto"/>
              <w:ind w:firstLine="0" w:firstLineChars="0"/>
              <w:jc w:val="center"/>
              <w:rPr>
                <w:color w:val="000000"/>
                <w:sz w:val="21"/>
              </w:rPr>
            </w:pPr>
            <w:r>
              <w:rPr>
                <w:rFonts w:hint="eastAsia"/>
                <w:color w:val="000000"/>
                <w:sz w:val="21"/>
              </w:rPr>
              <w:t>焦炉烟囱</w:t>
            </w:r>
          </w:p>
        </w:tc>
        <w:tc>
          <w:tcPr>
            <w:tcW w:w="512" w:type="pct"/>
            <w:vAlign w:val="center"/>
          </w:tcPr>
          <w:p w14:paraId="529E26F8">
            <w:pPr>
              <w:spacing w:line="240" w:lineRule="auto"/>
              <w:ind w:firstLine="0" w:firstLineChars="0"/>
              <w:jc w:val="center"/>
              <w:rPr>
                <w:color w:val="000000"/>
                <w:sz w:val="21"/>
              </w:rPr>
            </w:pPr>
            <w:r>
              <w:rPr>
                <w:rFonts w:hint="eastAsia"/>
                <w:color w:val="000000"/>
                <w:sz w:val="21"/>
              </w:rPr>
              <w:t>8</w:t>
            </w:r>
          </w:p>
        </w:tc>
        <w:tc>
          <w:tcPr>
            <w:tcW w:w="427" w:type="pct"/>
            <w:vAlign w:val="center"/>
          </w:tcPr>
          <w:p w14:paraId="1849E019">
            <w:pPr>
              <w:spacing w:line="240" w:lineRule="auto"/>
              <w:ind w:firstLine="0" w:firstLineChars="0"/>
              <w:jc w:val="center"/>
              <w:rPr>
                <w:color w:val="000000"/>
                <w:sz w:val="21"/>
              </w:rPr>
            </w:pPr>
            <w:r>
              <w:rPr>
                <w:rFonts w:hint="eastAsia"/>
                <w:color w:val="000000"/>
                <w:sz w:val="21"/>
              </w:rPr>
              <w:t>10</w:t>
            </w:r>
          </w:p>
        </w:tc>
        <w:tc>
          <w:tcPr>
            <w:tcW w:w="513" w:type="pct"/>
            <w:vAlign w:val="center"/>
          </w:tcPr>
          <w:p w14:paraId="6526D70D">
            <w:pPr>
              <w:spacing w:line="240" w:lineRule="auto"/>
              <w:ind w:firstLine="0" w:firstLineChars="0"/>
              <w:jc w:val="center"/>
              <w:rPr>
                <w:color w:val="000000"/>
                <w:sz w:val="21"/>
              </w:rPr>
            </w:pPr>
            <w:r>
              <w:rPr>
                <w:rFonts w:hint="eastAsia"/>
                <w:color w:val="000000"/>
                <w:sz w:val="21"/>
              </w:rPr>
              <w:t>30</w:t>
            </w:r>
          </w:p>
        </w:tc>
        <w:tc>
          <w:tcPr>
            <w:tcW w:w="854" w:type="pct"/>
            <w:vAlign w:val="center"/>
          </w:tcPr>
          <w:p w14:paraId="1E1501DD">
            <w:pPr>
              <w:spacing w:line="240" w:lineRule="auto"/>
              <w:ind w:firstLine="0" w:firstLineChars="0"/>
              <w:jc w:val="center"/>
              <w:rPr>
                <w:color w:val="000000"/>
                <w:sz w:val="21"/>
              </w:rPr>
            </w:pPr>
            <w:r>
              <w:rPr>
                <w:rFonts w:hint="eastAsia"/>
                <w:color w:val="000000"/>
                <w:sz w:val="21"/>
              </w:rPr>
              <w:t>150</w:t>
            </w:r>
          </w:p>
        </w:tc>
        <w:tc>
          <w:tcPr>
            <w:tcW w:w="513" w:type="pct"/>
            <w:vAlign w:val="center"/>
          </w:tcPr>
          <w:p w14:paraId="26F54398">
            <w:pPr>
              <w:spacing w:line="240" w:lineRule="auto"/>
              <w:ind w:firstLine="0" w:firstLineChars="0"/>
              <w:jc w:val="center"/>
              <w:rPr>
                <w:color w:val="000000"/>
                <w:sz w:val="21"/>
              </w:rPr>
            </w:pPr>
            <w:r>
              <w:rPr>
                <w:rFonts w:hint="eastAsia"/>
                <w:color w:val="000000"/>
                <w:sz w:val="21"/>
              </w:rPr>
              <w:t>100</w:t>
            </w:r>
          </w:p>
        </w:tc>
        <w:tc>
          <w:tcPr>
            <w:tcW w:w="304" w:type="pct"/>
            <w:vAlign w:val="center"/>
          </w:tcPr>
          <w:p w14:paraId="2A2EDC90">
            <w:pPr>
              <w:spacing w:line="240" w:lineRule="auto"/>
              <w:ind w:firstLine="0" w:firstLineChars="0"/>
              <w:jc w:val="center"/>
              <w:rPr>
                <w:color w:val="000000"/>
                <w:sz w:val="21"/>
              </w:rPr>
            </w:pPr>
            <w:r>
              <w:rPr>
                <w:rFonts w:hint="eastAsia"/>
                <w:color w:val="000000"/>
                <w:sz w:val="21"/>
              </w:rPr>
              <w:t>8</w:t>
            </w:r>
          </w:p>
        </w:tc>
      </w:tr>
      <w:tr w14:paraId="4D2139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691795C7">
            <w:pPr>
              <w:spacing w:line="240" w:lineRule="auto"/>
              <w:ind w:firstLine="0" w:firstLineChars="0"/>
              <w:jc w:val="center"/>
              <w:rPr>
                <w:color w:val="000000"/>
                <w:sz w:val="21"/>
              </w:rPr>
            </w:pPr>
            <w:r>
              <w:rPr>
                <w:rFonts w:hint="eastAsia"/>
                <w:color w:val="000000"/>
                <w:sz w:val="21"/>
              </w:rPr>
              <w:t>出（推）焦</w:t>
            </w:r>
          </w:p>
        </w:tc>
        <w:tc>
          <w:tcPr>
            <w:tcW w:w="512" w:type="pct"/>
            <w:vAlign w:val="center"/>
          </w:tcPr>
          <w:p w14:paraId="48D9D17A">
            <w:pPr>
              <w:spacing w:line="240" w:lineRule="auto"/>
              <w:ind w:firstLine="0" w:firstLineChars="0"/>
              <w:jc w:val="center"/>
              <w:rPr>
                <w:color w:val="000000"/>
                <w:sz w:val="21"/>
              </w:rPr>
            </w:pPr>
          </w:p>
        </w:tc>
        <w:tc>
          <w:tcPr>
            <w:tcW w:w="427" w:type="pct"/>
            <w:vAlign w:val="center"/>
          </w:tcPr>
          <w:p w14:paraId="67461B85">
            <w:pPr>
              <w:spacing w:line="240" w:lineRule="auto"/>
              <w:ind w:firstLine="0" w:firstLineChars="0"/>
              <w:jc w:val="center"/>
              <w:rPr>
                <w:color w:val="000000"/>
                <w:sz w:val="21"/>
              </w:rPr>
            </w:pPr>
            <w:r>
              <w:rPr>
                <w:rFonts w:hint="eastAsia"/>
                <w:color w:val="000000"/>
                <w:sz w:val="21"/>
              </w:rPr>
              <w:t>10</w:t>
            </w:r>
          </w:p>
        </w:tc>
        <w:tc>
          <w:tcPr>
            <w:tcW w:w="513" w:type="pct"/>
            <w:vAlign w:val="center"/>
          </w:tcPr>
          <w:p w14:paraId="079AB43B">
            <w:pPr>
              <w:spacing w:line="240" w:lineRule="auto"/>
              <w:ind w:firstLine="0" w:firstLineChars="0"/>
              <w:jc w:val="center"/>
              <w:rPr>
                <w:color w:val="000000"/>
                <w:sz w:val="21"/>
              </w:rPr>
            </w:pPr>
            <w:r>
              <w:rPr>
                <w:rFonts w:hint="eastAsia"/>
                <w:color w:val="000000"/>
                <w:sz w:val="21"/>
              </w:rPr>
              <w:t>30</w:t>
            </w:r>
          </w:p>
        </w:tc>
        <w:tc>
          <w:tcPr>
            <w:tcW w:w="854" w:type="pct"/>
            <w:vAlign w:val="center"/>
          </w:tcPr>
          <w:p w14:paraId="5500F906">
            <w:pPr>
              <w:spacing w:line="240" w:lineRule="auto"/>
              <w:ind w:firstLine="0" w:firstLineChars="0"/>
              <w:jc w:val="center"/>
              <w:rPr>
                <w:color w:val="000000"/>
                <w:sz w:val="21"/>
              </w:rPr>
            </w:pPr>
          </w:p>
        </w:tc>
        <w:tc>
          <w:tcPr>
            <w:tcW w:w="513" w:type="pct"/>
            <w:vAlign w:val="center"/>
          </w:tcPr>
          <w:p w14:paraId="215E40DC">
            <w:pPr>
              <w:spacing w:line="240" w:lineRule="auto"/>
              <w:ind w:firstLine="0" w:firstLineChars="0"/>
              <w:jc w:val="center"/>
              <w:rPr>
                <w:color w:val="000000"/>
                <w:sz w:val="21"/>
              </w:rPr>
            </w:pPr>
          </w:p>
        </w:tc>
        <w:tc>
          <w:tcPr>
            <w:tcW w:w="304" w:type="pct"/>
            <w:vAlign w:val="center"/>
          </w:tcPr>
          <w:p w14:paraId="37EAFE0E">
            <w:pPr>
              <w:spacing w:line="240" w:lineRule="auto"/>
              <w:ind w:firstLine="0" w:firstLineChars="0"/>
              <w:jc w:val="center"/>
              <w:rPr>
                <w:color w:val="000000"/>
                <w:sz w:val="21"/>
              </w:rPr>
            </w:pPr>
          </w:p>
        </w:tc>
      </w:tr>
      <w:tr w14:paraId="29D672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0EA8ACBD">
            <w:pPr>
              <w:spacing w:line="240" w:lineRule="auto"/>
              <w:ind w:firstLine="0" w:firstLineChars="0"/>
              <w:jc w:val="center"/>
              <w:rPr>
                <w:color w:val="000000"/>
                <w:sz w:val="21"/>
              </w:rPr>
            </w:pPr>
            <w:r>
              <w:rPr>
                <w:rFonts w:hint="eastAsia"/>
                <w:color w:val="000000"/>
                <w:sz w:val="21"/>
              </w:rPr>
              <w:t>装煤和机侧炉口</w:t>
            </w:r>
          </w:p>
        </w:tc>
        <w:tc>
          <w:tcPr>
            <w:tcW w:w="512" w:type="pct"/>
            <w:vAlign w:val="center"/>
          </w:tcPr>
          <w:p w14:paraId="77F78714">
            <w:pPr>
              <w:spacing w:line="240" w:lineRule="auto"/>
              <w:ind w:firstLine="0" w:firstLineChars="0"/>
              <w:jc w:val="center"/>
              <w:rPr>
                <w:color w:val="000000"/>
                <w:sz w:val="21"/>
              </w:rPr>
            </w:pPr>
          </w:p>
        </w:tc>
        <w:tc>
          <w:tcPr>
            <w:tcW w:w="427" w:type="pct"/>
            <w:vAlign w:val="center"/>
          </w:tcPr>
          <w:p w14:paraId="6E0601D9">
            <w:pPr>
              <w:spacing w:line="240" w:lineRule="auto"/>
              <w:ind w:firstLine="0" w:firstLineChars="0"/>
              <w:jc w:val="center"/>
              <w:rPr>
                <w:color w:val="000000"/>
                <w:sz w:val="21"/>
              </w:rPr>
            </w:pPr>
            <w:r>
              <w:rPr>
                <w:rFonts w:hint="eastAsia"/>
                <w:color w:val="000000"/>
                <w:sz w:val="21"/>
              </w:rPr>
              <w:t>10</w:t>
            </w:r>
          </w:p>
        </w:tc>
        <w:tc>
          <w:tcPr>
            <w:tcW w:w="513" w:type="pct"/>
            <w:vAlign w:val="center"/>
          </w:tcPr>
          <w:p w14:paraId="7781DE23">
            <w:pPr>
              <w:spacing w:line="240" w:lineRule="auto"/>
              <w:ind w:firstLine="0" w:firstLineChars="0"/>
              <w:jc w:val="center"/>
              <w:rPr>
                <w:color w:val="000000"/>
                <w:sz w:val="21"/>
              </w:rPr>
            </w:pPr>
            <w:r>
              <w:rPr>
                <w:rFonts w:hint="eastAsia"/>
                <w:color w:val="000000"/>
                <w:sz w:val="21"/>
              </w:rPr>
              <w:t>70</w:t>
            </w:r>
          </w:p>
        </w:tc>
        <w:tc>
          <w:tcPr>
            <w:tcW w:w="854" w:type="pct"/>
            <w:vAlign w:val="center"/>
          </w:tcPr>
          <w:p w14:paraId="4C33CBBE">
            <w:pPr>
              <w:spacing w:line="240" w:lineRule="auto"/>
              <w:ind w:firstLine="0" w:firstLineChars="0"/>
              <w:jc w:val="center"/>
              <w:rPr>
                <w:color w:val="000000"/>
                <w:sz w:val="21"/>
              </w:rPr>
            </w:pPr>
          </w:p>
        </w:tc>
        <w:tc>
          <w:tcPr>
            <w:tcW w:w="513" w:type="pct"/>
            <w:vAlign w:val="center"/>
          </w:tcPr>
          <w:p w14:paraId="7A1C0891">
            <w:pPr>
              <w:spacing w:line="240" w:lineRule="auto"/>
              <w:ind w:firstLine="0" w:firstLineChars="0"/>
              <w:jc w:val="center"/>
              <w:rPr>
                <w:color w:val="000000"/>
                <w:sz w:val="21"/>
              </w:rPr>
            </w:pPr>
          </w:p>
        </w:tc>
        <w:tc>
          <w:tcPr>
            <w:tcW w:w="304" w:type="pct"/>
            <w:vAlign w:val="center"/>
          </w:tcPr>
          <w:p w14:paraId="2081ACFF">
            <w:pPr>
              <w:spacing w:line="240" w:lineRule="auto"/>
              <w:ind w:firstLine="0" w:firstLineChars="0"/>
              <w:jc w:val="center"/>
              <w:rPr>
                <w:color w:val="000000"/>
                <w:sz w:val="21"/>
              </w:rPr>
            </w:pPr>
          </w:p>
        </w:tc>
      </w:tr>
      <w:tr w14:paraId="612E145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22E42384">
            <w:pPr>
              <w:spacing w:line="240" w:lineRule="auto"/>
              <w:ind w:firstLine="0" w:firstLineChars="0"/>
              <w:jc w:val="center"/>
              <w:rPr>
                <w:color w:val="000000"/>
                <w:sz w:val="21"/>
              </w:rPr>
            </w:pPr>
            <w:r>
              <w:rPr>
                <w:rFonts w:hint="eastAsia"/>
                <w:color w:val="000000"/>
                <w:sz w:val="21"/>
              </w:rPr>
              <w:t>干法熄焦</w:t>
            </w:r>
          </w:p>
        </w:tc>
        <w:tc>
          <w:tcPr>
            <w:tcW w:w="512" w:type="pct"/>
            <w:vAlign w:val="center"/>
          </w:tcPr>
          <w:p w14:paraId="25335127">
            <w:pPr>
              <w:spacing w:line="240" w:lineRule="auto"/>
              <w:ind w:firstLine="0" w:firstLineChars="0"/>
              <w:jc w:val="center"/>
              <w:rPr>
                <w:color w:val="000000"/>
                <w:sz w:val="21"/>
              </w:rPr>
            </w:pPr>
          </w:p>
        </w:tc>
        <w:tc>
          <w:tcPr>
            <w:tcW w:w="427" w:type="pct"/>
            <w:vAlign w:val="center"/>
          </w:tcPr>
          <w:p w14:paraId="3CBD029C">
            <w:pPr>
              <w:spacing w:line="240" w:lineRule="auto"/>
              <w:ind w:firstLine="0" w:firstLineChars="0"/>
              <w:jc w:val="center"/>
              <w:rPr>
                <w:color w:val="000000"/>
                <w:sz w:val="21"/>
              </w:rPr>
            </w:pPr>
            <w:r>
              <w:rPr>
                <w:rFonts w:hint="eastAsia"/>
                <w:color w:val="000000"/>
                <w:sz w:val="21"/>
              </w:rPr>
              <w:t>10</w:t>
            </w:r>
          </w:p>
        </w:tc>
        <w:tc>
          <w:tcPr>
            <w:tcW w:w="513" w:type="pct"/>
            <w:vAlign w:val="center"/>
          </w:tcPr>
          <w:p w14:paraId="3A19F26A">
            <w:pPr>
              <w:spacing w:line="240" w:lineRule="auto"/>
              <w:ind w:firstLine="0" w:firstLineChars="0"/>
              <w:jc w:val="center"/>
              <w:rPr>
                <w:color w:val="000000"/>
                <w:sz w:val="21"/>
              </w:rPr>
            </w:pPr>
            <w:r>
              <w:rPr>
                <w:rFonts w:hint="eastAsia"/>
                <w:color w:val="000000"/>
                <w:sz w:val="21"/>
              </w:rPr>
              <w:t>50</w:t>
            </w:r>
          </w:p>
        </w:tc>
        <w:tc>
          <w:tcPr>
            <w:tcW w:w="854" w:type="pct"/>
            <w:vAlign w:val="center"/>
          </w:tcPr>
          <w:p w14:paraId="10759AE3">
            <w:pPr>
              <w:spacing w:line="240" w:lineRule="auto"/>
              <w:ind w:firstLine="0" w:firstLineChars="0"/>
              <w:jc w:val="center"/>
              <w:rPr>
                <w:color w:val="000000"/>
                <w:sz w:val="21"/>
              </w:rPr>
            </w:pPr>
          </w:p>
        </w:tc>
        <w:tc>
          <w:tcPr>
            <w:tcW w:w="513" w:type="pct"/>
            <w:vAlign w:val="center"/>
          </w:tcPr>
          <w:p w14:paraId="0AC3A9CB">
            <w:pPr>
              <w:spacing w:line="240" w:lineRule="auto"/>
              <w:ind w:firstLine="0" w:firstLineChars="0"/>
              <w:jc w:val="center"/>
              <w:rPr>
                <w:color w:val="000000"/>
                <w:sz w:val="21"/>
              </w:rPr>
            </w:pPr>
          </w:p>
        </w:tc>
        <w:tc>
          <w:tcPr>
            <w:tcW w:w="304" w:type="pct"/>
            <w:vAlign w:val="center"/>
          </w:tcPr>
          <w:p w14:paraId="0F55947C">
            <w:pPr>
              <w:spacing w:line="240" w:lineRule="auto"/>
              <w:ind w:firstLine="0" w:firstLineChars="0"/>
              <w:jc w:val="center"/>
              <w:rPr>
                <w:color w:val="000000"/>
                <w:sz w:val="21"/>
              </w:rPr>
            </w:pPr>
          </w:p>
        </w:tc>
      </w:tr>
      <w:tr w14:paraId="60E50F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3FCE34E7">
            <w:pPr>
              <w:spacing w:line="240" w:lineRule="auto"/>
              <w:ind w:firstLine="0" w:firstLineChars="0"/>
              <w:jc w:val="center"/>
              <w:rPr>
                <w:color w:val="000000"/>
                <w:sz w:val="21"/>
              </w:rPr>
            </w:pPr>
            <w:r>
              <w:rPr>
                <w:rFonts w:hint="eastAsia"/>
                <w:color w:val="000000"/>
                <w:sz w:val="21"/>
              </w:rPr>
              <w:t>燃用煤气的加热炉</w:t>
            </w:r>
          </w:p>
        </w:tc>
        <w:tc>
          <w:tcPr>
            <w:tcW w:w="512" w:type="pct"/>
            <w:vAlign w:val="center"/>
          </w:tcPr>
          <w:p w14:paraId="64D054B6">
            <w:pPr>
              <w:spacing w:line="240" w:lineRule="auto"/>
              <w:ind w:firstLine="0" w:firstLineChars="0"/>
              <w:jc w:val="center"/>
              <w:rPr>
                <w:color w:val="000000"/>
                <w:sz w:val="21"/>
              </w:rPr>
            </w:pPr>
            <w:r>
              <w:rPr>
                <w:rFonts w:hint="eastAsia"/>
                <w:color w:val="000000"/>
                <w:sz w:val="21"/>
              </w:rPr>
              <w:t>8</w:t>
            </w:r>
          </w:p>
        </w:tc>
        <w:tc>
          <w:tcPr>
            <w:tcW w:w="427" w:type="pct"/>
            <w:vAlign w:val="center"/>
          </w:tcPr>
          <w:p w14:paraId="274EBF4F">
            <w:pPr>
              <w:spacing w:line="240" w:lineRule="auto"/>
              <w:ind w:firstLine="0" w:firstLineChars="0"/>
              <w:jc w:val="center"/>
              <w:rPr>
                <w:color w:val="000000"/>
                <w:sz w:val="21"/>
              </w:rPr>
            </w:pPr>
            <w:r>
              <w:rPr>
                <w:rFonts w:hint="eastAsia"/>
                <w:color w:val="000000"/>
                <w:sz w:val="21"/>
              </w:rPr>
              <w:t>10</w:t>
            </w:r>
          </w:p>
        </w:tc>
        <w:tc>
          <w:tcPr>
            <w:tcW w:w="513" w:type="pct"/>
            <w:vAlign w:val="center"/>
          </w:tcPr>
          <w:p w14:paraId="130DF07A">
            <w:pPr>
              <w:spacing w:line="240" w:lineRule="auto"/>
              <w:ind w:firstLine="0" w:firstLineChars="0"/>
              <w:jc w:val="center"/>
              <w:rPr>
                <w:color w:val="000000"/>
                <w:sz w:val="21"/>
              </w:rPr>
            </w:pPr>
            <w:r>
              <w:rPr>
                <w:rFonts w:hint="eastAsia"/>
                <w:color w:val="000000"/>
                <w:sz w:val="21"/>
              </w:rPr>
              <w:t>30</w:t>
            </w:r>
          </w:p>
        </w:tc>
        <w:tc>
          <w:tcPr>
            <w:tcW w:w="854" w:type="pct"/>
            <w:vAlign w:val="center"/>
          </w:tcPr>
          <w:p w14:paraId="18CF2355">
            <w:pPr>
              <w:spacing w:line="240" w:lineRule="auto"/>
              <w:ind w:firstLine="0" w:firstLineChars="0"/>
              <w:jc w:val="center"/>
              <w:rPr>
                <w:color w:val="000000"/>
                <w:sz w:val="21"/>
              </w:rPr>
            </w:pPr>
            <w:r>
              <w:rPr>
                <w:rFonts w:hint="eastAsia"/>
                <w:color w:val="000000"/>
                <w:sz w:val="21"/>
              </w:rPr>
              <w:t>150</w:t>
            </w:r>
          </w:p>
        </w:tc>
        <w:tc>
          <w:tcPr>
            <w:tcW w:w="513" w:type="pct"/>
            <w:vAlign w:val="center"/>
          </w:tcPr>
          <w:p w14:paraId="5D8B3165">
            <w:pPr>
              <w:spacing w:line="240" w:lineRule="auto"/>
              <w:ind w:firstLine="0" w:firstLineChars="0"/>
              <w:jc w:val="center"/>
              <w:rPr>
                <w:color w:val="000000"/>
                <w:sz w:val="21"/>
              </w:rPr>
            </w:pPr>
          </w:p>
        </w:tc>
        <w:tc>
          <w:tcPr>
            <w:tcW w:w="304" w:type="pct"/>
            <w:vAlign w:val="center"/>
          </w:tcPr>
          <w:p w14:paraId="3FF2CE67">
            <w:pPr>
              <w:spacing w:line="240" w:lineRule="auto"/>
              <w:ind w:firstLine="0" w:firstLineChars="0"/>
              <w:jc w:val="center"/>
              <w:rPr>
                <w:color w:val="000000"/>
                <w:sz w:val="21"/>
              </w:rPr>
            </w:pPr>
          </w:p>
        </w:tc>
      </w:tr>
      <w:tr w14:paraId="40FA7D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4E97138C">
            <w:pPr>
              <w:spacing w:line="240" w:lineRule="auto"/>
              <w:ind w:firstLine="0" w:firstLineChars="0"/>
              <w:jc w:val="center"/>
              <w:rPr>
                <w:color w:val="000000"/>
                <w:sz w:val="21"/>
              </w:rPr>
            </w:pPr>
            <w:r>
              <w:rPr>
                <w:color w:val="000000"/>
                <w:sz w:val="21"/>
              </w:rPr>
              <w:t>生产废水处理设施(含储存、调节、气浮、隔油等预处理设施以及厌氧池、预曝气池)</w:t>
            </w:r>
          </w:p>
        </w:tc>
        <w:tc>
          <w:tcPr>
            <w:tcW w:w="512" w:type="pct"/>
            <w:vAlign w:val="center"/>
          </w:tcPr>
          <w:p w14:paraId="14D5C870">
            <w:pPr>
              <w:spacing w:line="240" w:lineRule="auto"/>
              <w:ind w:firstLine="0" w:firstLineChars="0"/>
              <w:jc w:val="center"/>
              <w:rPr>
                <w:color w:val="000000"/>
                <w:sz w:val="21"/>
              </w:rPr>
            </w:pPr>
          </w:p>
        </w:tc>
        <w:tc>
          <w:tcPr>
            <w:tcW w:w="427" w:type="pct"/>
            <w:vAlign w:val="center"/>
          </w:tcPr>
          <w:p w14:paraId="68773DB6">
            <w:pPr>
              <w:spacing w:line="240" w:lineRule="auto"/>
              <w:ind w:firstLine="0" w:firstLineChars="0"/>
              <w:jc w:val="center"/>
              <w:rPr>
                <w:color w:val="000000"/>
                <w:sz w:val="21"/>
              </w:rPr>
            </w:pPr>
          </w:p>
        </w:tc>
        <w:tc>
          <w:tcPr>
            <w:tcW w:w="513" w:type="pct"/>
            <w:vAlign w:val="center"/>
          </w:tcPr>
          <w:p w14:paraId="418764D4">
            <w:pPr>
              <w:spacing w:line="240" w:lineRule="auto"/>
              <w:ind w:firstLine="0" w:firstLineChars="0"/>
              <w:jc w:val="center"/>
              <w:rPr>
                <w:color w:val="000000"/>
                <w:sz w:val="21"/>
              </w:rPr>
            </w:pPr>
          </w:p>
        </w:tc>
        <w:tc>
          <w:tcPr>
            <w:tcW w:w="854" w:type="pct"/>
            <w:vAlign w:val="center"/>
          </w:tcPr>
          <w:p w14:paraId="02340092">
            <w:pPr>
              <w:spacing w:line="240" w:lineRule="auto"/>
              <w:ind w:firstLine="0" w:firstLineChars="0"/>
              <w:jc w:val="center"/>
              <w:rPr>
                <w:color w:val="000000"/>
                <w:sz w:val="21"/>
              </w:rPr>
            </w:pPr>
          </w:p>
        </w:tc>
        <w:tc>
          <w:tcPr>
            <w:tcW w:w="513" w:type="pct"/>
            <w:vAlign w:val="center"/>
          </w:tcPr>
          <w:p w14:paraId="20069591">
            <w:pPr>
              <w:spacing w:line="240" w:lineRule="auto"/>
              <w:ind w:firstLine="0" w:firstLineChars="0"/>
              <w:jc w:val="center"/>
              <w:rPr>
                <w:color w:val="000000"/>
                <w:sz w:val="21"/>
              </w:rPr>
            </w:pPr>
            <w:r>
              <w:rPr>
                <w:rFonts w:hint="eastAsia"/>
                <w:color w:val="000000"/>
                <w:sz w:val="21"/>
              </w:rPr>
              <w:t>100</w:t>
            </w:r>
          </w:p>
        </w:tc>
        <w:tc>
          <w:tcPr>
            <w:tcW w:w="304" w:type="pct"/>
            <w:vAlign w:val="center"/>
          </w:tcPr>
          <w:p w14:paraId="37A49BD1">
            <w:pPr>
              <w:spacing w:line="240" w:lineRule="auto"/>
              <w:ind w:firstLine="0" w:firstLineChars="0"/>
              <w:jc w:val="center"/>
              <w:rPr>
                <w:color w:val="000000"/>
                <w:sz w:val="21"/>
              </w:rPr>
            </w:pPr>
          </w:p>
        </w:tc>
      </w:tr>
      <w:tr w14:paraId="24E5F30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64C01D50">
            <w:pPr>
              <w:spacing w:line="240" w:lineRule="auto"/>
              <w:ind w:firstLine="0" w:firstLineChars="0"/>
              <w:jc w:val="center"/>
              <w:rPr>
                <w:color w:val="000000"/>
                <w:sz w:val="21"/>
              </w:rPr>
            </w:pPr>
            <w:r>
              <w:rPr>
                <w:rFonts w:hint="eastAsia"/>
                <w:color w:val="000000"/>
                <w:sz w:val="21"/>
              </w:rPr>
              <w:t>VOCs燃烧（焚烧、氧化）装置</w:t>
            </w:r>
          </w:p>
        </w:tc>
        <w:tc>
          <w:tcPr>
            <w:tcW w:w="512" w:type="pct"/>
            <w:vAlign w:val="center"/>
          </w:tcPr>
          <w:p w14:paraId="39316E10">
            <w:pPr>
              <w:spacing w:line="240" w:lineRule="auto"/>
              <w:ind w:firstLine="0" w:firstLineChars="0"/>
              <w:jc w:val="center"/>
              <w:rPr>
                <w:color w:val="000000"/>
                <w:sz w:val="21"/>
              </w:rPr>
            </w:pPr>
            <w:r>
              <w:rPr>
                <w:rFonts w:hint="eastAsia"/>
                <w:color w:val="000000"/>
                <w:sz w:val="21"/>
              </w:rPr>
              <w:t>3</w:t>
            </w:r>
          </w:p>
        </w:tc>
        <w:tc>
          <w:tcPr>
            <w:tcW w:w="427" w:type="pct"/>
            <w:vAlign w:val="center"/>
          </w:tcPr>
          <w:p w14:paraId="38583A26">
            <w:pPr>
              <w:spacing w:line="240" w:lineRule="auto"/>
              <w:ind w:firstLine="0" w:firstLineChars="0"/>
              <w:jc w:val="center"/>
              <w:rPr>
                <w:color w:val="000000"/>
                <w:sz w:val="21"/>
              </w:rPr>
            </w:pPr>
          </w:p>
        </w:tc>
        <w:tc>
          <w:tcPr>
            <w:tcW w:w="513" w:type="pct"/>
            <w:vAlign w:val="center"/>
          </w:tcPr>
          <w:p w14:paraId="2BBB9195">
            <w:pPr>
              <w:spacing w:line="240" w:lineRule="auto"/>
              <w:ind w:firstLine="0" w:firstLineChars="0"/>
              <w:jc w:val="center"/>
              <w:rPr>
                <w:color w:val="000000"/>
                <w:sz w:val="21"/>
              </w:rPr>
            </w:pPr>
            <w:r>
              <w:rPr>
                <w:rFonts w:hint="eastAsia"/>
                <w:color w:val="000000"/>
                <w:sz w:val="21"/>
              </w:rPr>
              <w:t>200</w:t>
            </w:r>
          </w:p>
        </w:tc>
        <w:tc>
          <w:tcPr>
            <w:tcW w:w="854" w:type="pct"/>
            <w:vAlign w:val="center"/>
          </w:tcPr>
          <w:p w14:paraId="55CCC96F">
            <w:pPr>
              <w:spacing w:line="240" w:lineRule="auto"/>
              <w:ind w:firstLine="0" w:firstLineChars="0"/>
              <w:jc w:val="center"/>
              <w:rPr>
                <w:color w:val="000000"/>
                <w:sz w:val="21"/>
              </w:rPr>
            </w:pPr>
            <w:r>
              <w:rPr>
                <w:rFonts w:hint="eastAsia"/>
                <w:color w:val="000000"/>
                <w:sz w:val="21"/>
              </w:rPr>
              <w:t>200</w:t>
            </w:r>
          </w:p>
        </w:tc>
        <w:tc>
          <w:tcPr>
            <w:tcW w:w="513" w:type="pct"/>
            <w:vAlign w:val="center"/>
          </w:tcPr>
          <w:p w14:paraId="2C588C08">
            <w:pPr>
              <w:spacing w:line="240" w:lineRule="auto"/>
              <w:ind w:firstLine="0" w:firstLineChars="0"/>
              <w:jc w:val="center"/>
              <w:rPr>
                <w:color w:val="000000"/>
                <w:sz w:val="21"/>
              </w:rPr>
            </w:pPr>
            <w:r>
              <w:rPr>
                <w:rFonts w:hint="eastAsia"/>
                <w:color w:val="000000"/>
                <w:sz w:val="21"/>
              </w:rPr>
              <w:t>50</w:t>
            </w:r>
          </w:p>
        </w:tc>
        <w:tc>
          <w:tcPr>
            <w:tcW w:w="304" w:type="pct"/>
            <w:vAlign w:val="center"/>
          </w:tcPr>
          <w:p w14:paraId="5C00C72D">
            <w:pPr>
              <w:spacing w:line="240" w:lineRule="auto"/>
              <w:ind w:firstLine="0" w:firstLineChars="0"/>
              <w:jc w:val="center"/>
              <w:rPr>
                <w:color w:val="000000"/>
                <w:sz w:val="21"/>
              </w:rPr>
            </w:pPr>
          </w:p>
        </w:tc>
      </w:tr>
      <w:tr w14:paraId="7A908C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24A7FED3">
            <w:pPr>
              <w:spacing w:line="240" w:lineRule="auto"/>
              <w:ind w:firstLine="0" w:firstLineChars="0"/>
              <w:jc w:val="center"/>
              <w:rPr>
                <w:color w:val="000000"/>
                <w:sz w:val="21"/>
              </w:rPr>
            </w:pPr>
            <w:r>
              <w:rPr>
                <w:rFonts w:hint="eastAsia"/>
                <w:color w:val="000000"/>
                <w:sz w:val="21"/>
              </w:rPr>
              <w:t>燃气锅炉</w:t>
            </w:r>
          </w:p>
        </w:tc>
        <w:tc>
          <w:tcPr>
            <w:tcW w:w="512" w:type="pct"/>
            <w:vAlign w:val="center"/>
          </w:tcPr>
          <w:p w14:paraId="5BE7A47D">
            <w:pPr>
              <w:spacing w:line="240" w:lineRule="auto"/>
              <w:ind w:firstLine="0" w:firstLineChars="0"/>
              <w:jc w:val="center"/>
              <w:rPr>
                <w:color w:val="000000"/>
                <w:sz w:val="21"/>
              </w:rPr>
            </w:pPr>
            <w:r>
              <w:rPr>
                <w:rFonts w:hint="eastAsia"/>
                <w:color w:val="000000"/>
                <w:sz w:val="21"/>
              </w:rPr>
              <w:t>3</w:t>
            </w:r>
          </w:p>
        </w:tc>
        <w:tc>
          <w:tcPr>
            <w:tcW w:w="427" w:type="pct"/>
            <w:vAlign w:val="center"/>
          </w:tcPr>
          <w:p w14:paraId="609E4652">
            <w:pPr>
              <w:spacing w:line="240" w:lineRule="auto"/>
              <w:ind w:firstLine="0" w:firstLineChars="0"/>
              <w:jc w:val="center"/>
              <w:rPr>
                <w:color w:val="000000"/>
                <w:sz w:val="21"/>
              </w:rPr>
            </w:pPr>
            <w:r>
              <w:rPr>
                <w:rFonts w:hint="eastAsia"/>
                <w:color w:val="000000"/>
                <w:sz w:val="21"/>
              </w:rPr>
              <w:t>5</w:t>
            </w:r>
          </w:p>
        </w:tc>
        <w:tc>
          <w:tcPr>
            <w:tcW w:w="513" w:type="pct"/>
            <w:vAlign w:val="center"/>
          </w:tcPr>
          <w:p w14:paraId="32FC9BBF">
            <w:pPr>
              <w:spacing w:line="240" w:lineRule="auto"/>
              <w:ind w:firstLine="0" w:firstLineChars="0"/>
              <w:jc w:val="center"/>
              <w:rPr>
                <w:color w:val="000000"/>
                <w:sz w:val="21"/>
              </w:rPr>
            </w:pPr>
            <w:r>
              <w:rPr>
                <w:rFonts w:hint="eastAsia"/>
                <w:color w:val="000000"/>
                <w:sz w:val="21"/>
              </w:rPr>
              <w:t>35</w:t>
            </w:r>
          </w:p>
        </w:tc>
        <w:tc>
          <w:tcPr>
            <w:tcW w:w="854" w:type="pct"/>
            <w:vAlign w:val="center"/>
          </w:tcPr>
          <w:p w14:paraId="1FEFADB4">
            <w:pPr>
              <w:spacing w:line="240" w:lineRule="auto"/>
              <w:ind w:firstLine="0" w:firstLineChars="0"/>
              <w:jc w:val="center"/>
              <w:rPr>
                <w:color w:val="000000"/>
                <w:sz w:val="21"/>
              </w:rPr>
            </w:pPr>
            <w:r>
              <w:rPr>
                <w:rFonts w:hint="eastAsia"/>
                <w:color w:val="000000"/>
                <w:sz w:val="21"/>
              </w:rPr>
              <w:t>50</w:t>
            </w:r>
          </w:p>
        </w:tc>
        <w:tc>
          <w:tcPr>
            <w:tcW w:w="513" w:type="pct"/>
            <w:vAlign w:val="center"/>
          </w:tcPr>
          <w:p w14:paraId="48E79886">
            <w:pPr>
              <w:spacing w:line="240" w:lineRule="auto"/>
              <w:ind w:firstLine="0" w:firstLineChars="0"/>
              <w:jc w:val="center"/>
              <w:rPr>
                <w:color w:val="000000"/>
                <w:sz w:val="21"/>
              </w:rPr>
            </w:pPr>
          </w:p>
        </w:tc>
        <w:tc>
          <w:tcPr>
            <w:tcW w:w="304" w:type="pct"/>
            <w:vAlign w:val="center"/>
          </w:tcPr>
          <w:p w14:paraId="77D3271D">
            <w:pPr>
              <w:spacing w:line="240" w:lineRule="auto"/>
              <w:ind w:firstLine="0" w:firstLineChars="0"/>
              <w:jc w:val="center"/>
              <w:rPr>
                <w:color w:val="000000"/>
                <w:sz w:val="21"/>
              </w:rPr>
            </w:pPr>
          </w:p>
        </w:tc>
      </w:tr>
      <w:tr w14:paraId="67A099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167C4B94">
            <w:pPr>
              <w:spacing w:line="240" w:lineRule="auto"/>
              <w:ind w:firstLine="0" w:firstLineChars="0"/>
              <w:jc w:val="center"/>
              <w:rPr>
                <w:color w:val="000000"/>
                <w:sz w:val="21"/>
              </w:rPr>
            </w:pPr>
            <w:r>
              <w:rPr>
                <w:rFonts w:hint="eastAsia"/>
                <w:color w:val="000000"/>
                <w:sz w:val="21"/>
              </w:rPr>
              <w:t>燃煤锅炉</w:t>
            </w:r>
          </w:p>
        </w:tc>
        <w:tc>
          <w:tcPr>
            <w:tcW w:w="512" w:type="pct"/>
            <w:vAlign w:val="center"/>
          </w:tcPr>
          <w:p w14:paraId="396C25A3">
            <w:pPr>
              <w:spacing w:line="240" w:lineRule="auto"/>
              <w:ind w:firstLine="0" w:firstLineChars="0"/>
              <w:jc w:val="center"/>
              <w:rPr>
                <w:color w:val="000000"/>
                <w:sz w:val="21"/>
              </w:rPr>
            </w:pPr>
            <w:r>
              <w:rPr>
                <w:rFonts w:hint="eastAsia"/>
                <w:color w:val="000000"/>
                <w:sz w:val="21"/>
              </w:rPr>
              <w:t>6</w:t>
            </w:r>
          </w:p>
        </w:tc>
        <w:tc>
          <w:tcPr>
            <w:tcW w:w="427" w:type="pct"/>
            <w:vAlign w:val="center"/>
          </w:tcPr>
          <w:p w14:paraId="04ECB2E3">
            <w:pPr>
              <w:spacing w:line="240" w:lineRule="auto"/>
              <w:ind w:firstLine="0" w:firstLineChars="0"/>
              <w:jc w:val="center"/>
              <w:rPr>
                <w:color w:val="000000"/>
                <w:sz w:val="21"/>
              </w:rPr>
            </w:pPr>
            <w:r>
              <w:rPr>
                <w:rFonts w:hint="eastAsia"/>
                <w:color w:val="000000"/>
                <w:sz w:val="21"/>
              </w:rPr>
              <w:t>10</w:t>
            </w:r>
          </w:p>
        </w:tc>
        <w:tc>
          <w:tcPr>
            <w:tcW w:w="513" w:type="pct"/>
            <w:vAlign w:val="center"/>
          </w:tcPr>
          <w:p w14:paraId="07976BAF">
            <w:pPr>
              <w:spacing w:line="240" w:lineRule="auto"/>
              <w:ind w:firstLine="0" w:firstLineChars="0"/>
              <w:jc w:val="center"/>
              <w:rPr>
                <w:color w:val="000000"/>
                <w:sz w:val="21"/>
              </w:rPr>
            </w:pPr>
            <w:r>
              <w:rPr>
                <w:rFonts w:hint="eastAsia"/>
                <w:color w:val="000000"/>
                <w:sz w:val="21"/>
              </w:rPr>
              <w:t>35</w:t>
            </w:r>
          </w:p>
        </w:tc>
        <w:tc>
          <w:tcPr>
            <w:tcW w:w="854" w:type="pct"/>
            <w:vAlign w:val="center"/>
          </w:tcPr>
          <w:p w14:paraId="570ADB69">
            <w:pPr>
              <w:spacing w:line="240" w:lineRule="auto"/>
              <w:ind w:firstLine="0" w:firstLineChars="0"/>
              <w:jc w:val="center"/>
              <w:rPr>
                <w:color w:val="000000"/>
                <w:sz w:val="21"/>
              </w:rPr>
            </w:pPr>
            <w:r>
              <w:rPr>
                <w:rFonts w:hint="eastAsia"/>
                <w:color w:val="000000"/>
                <w:sz w:val="21"/>
              </w:rPr>
              <w:t>50</w:t>
            </w:r>
          </w:p>
        </w:tc>
        <w:tc>
          <w:tcPr>
            <w:tcW w:w="513" w:type="pct"/>
            <w:vAlign w:val="center"/>
          </w:tcPr>
          <w:p w14:paraId="569025E2">
            <w:pPr>
              <w:spacing w:line="240" w:lineRule="auto"/>
              <w:ind w:firstLine="0" w:firstLineChars="0"/>
              <w:jc w:val="center"/>
              <w:rPr>
                <w:color w:val="000000"/>
                <w:sz w:val="21"/>
              </w:rPr>
            </w:pPr>
          </w:p>
        </w:tc>
        <w:tc>
          <w:tcPr>
            <w:tcW w:w="304" w:type="pct"/>
            <w:vAlign w:val="center"/>
          </w:tcPr>
          <w:p w14:paraId="730A27AA">
            <w:pPr>
              <w:spacing w:line="240" w:lineRule="auto"/>
              <w:ind w:firstLine="0" w:firstLineChars="0"/>
              <w:jc w:val="center"/>
              <w:rPr>
                <w:color w:val="000000"/>
                <w:sz w:val="21"/>
              </w:rPr>
            </w:pPr>
          </w:p>
        </w:tc>
      </w:tr>
      <w:tr w14:paraId="6BF583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172A9708">
            <w:pPr>
              <w:spacing w:line="240" w:lineRule="auto"/>
              <w:ind w:firstLine="0" w:firstLineChars="0"/>
              <w:jc w:val="center"/>
              <w:rPr>
                <w:color w:val="000000"/>
                <w:sz w:val="21"/>
              </w:rPr>
            </w:pPr>
            <w:r>
              <w:rPr>
                <w:rFonts w:hint="eastAsia"/>
                <w:color w:val="000000"/>
                <w:sz w:val="21"/>
              </w:rPr>
              <w:t>燃气轮机组</w:t>
            </w:r>
          </w:p>
        </w:tc>
        <w:tc>
          <w:tcPr>
            <w:tcW w:w="512" w:type="pct"/>
            <w:vAlign w:val="center"/>
          </w:tcPr>
          <w:p w14:paraId="57F0DCBB">
            <w:pPr>
              <w:spacing w:line="240" w:lineRule="auto"/>
              <w:ind w:firstLine="0" w:firstLineChars="0"/>
              <w:jc w:val="center"/>
              <w:rPr>
                <w:color w:val="000000"/>
                <w:sz w:val="21"/>
              </w:rPr>
            </w:pPr>
            <w:r>
              <w:rPr>
                <w:rFonts w:hint="eastAsia"/>
                <w:color w:val="000000"/>
                <w:sz w:val="21"/>
              </w:rPr>
              <w:t>15</w:t>
            </w:r>
          </w:p>
        </w:tc>
        <w:tc>
          <w:tcPr>
            <w:tcW w:w="427" w:type="pct"/>
            <w:vAlign w:val="center"/>
          </w:tcPr>
          <w:p w14:paraId="4E50CF12">
            <w:pPr>
              <w:spacing w:line="240" w:lineRule="auto"/>
              <w:ind w:firstLine="0" w:firstLineChars="0"/>
              <w:jc w:val="center"/>
              <w:rPr>
                <w:color w:val="000000"/>
                <w:sz w:val="21"/>
              </w:rPr>
            </w:pPr>
            <w:r>
              <w:rPr>
                <w:rFonts w:hint="eastAsia"/>
                <w:color w:val="000000"/>
                <w:sz w:val="21"/>
              </w:rPr>
              <w:t>5</w:t>
            </w:r>
          </w:p>
        </w:tc>
        <w:tc>
          <w:tcPr>
            <w:tcW w:w="513" w:type="pct"/>
            <w:vAlign w:val="center"/>
          </w:tcPr>
          <w:p w14:paraId="0D24B6EA">
            <w:pPr>
              <w:spacing w:line="240" w:lineRule="auto"/>
              <w:ind w:firstLine="0" w:firstLineChars="0"/>
              <w:jc w:val="center"/>
              <w:rPr>
                <w:color w:val="000000"/>
                <w:sz w:val="21"/>
              </w:rPr>
            </w:pPr>
            <w:r>
              <w:rPr>
                <w:rFonts w:hint="eastAsia"/>
                <w:color w:val="000000"/>
                <w:sz w:val="21"/>
              </w:rPr>
              <w:t>35</w:t>
            </w:r>
          </w:p>
        </w:tc>
        <w:tc>
          <w:tcPr>
            <w:tcW w:w="854" w:type="pct"/>
            <w:vAlign w:val="center"/>
          </w:tcPr>
          <w:p w14:paraId="5489EC86">
            <w:pPr>
              <w:spacing w:line="240" w:lineRule="auto"/>
              <w:ind w:firstLine="0" w:firstLineChars="0"/>
              <w:jc w:val="center"/>
              <w:rPr>
                <w:color w:val="000000"/>
                <w:sz w:val="21"/>
              </w:rPr>
            </w:pPr>
            <w:r>
              <w:rPr>
                <w:rFonts w:hint="eastAsia"/>
                <w:color w:val="000000"/>
                <w:sz w:val="21"/>
              </w:rPr>
              <w:t>50</w:t>
            </w:r>
          </w:p>
        </w:tc>
        <w:tc>
          <w:tcPr>
            <w:tcW w:w="513" w:type="pct"/>
            <w:vAlign w:val="center"/>
          </w:tcPr>
          <w:p w14:paraId="4A43AF64">
            <w:pPr>
              <w:spacing w:line="240" w:lineRule="auto"/>
              <w:ind w:firstLine="0" w:firstLineChars="0"/>
              <w:jc w:val="center"/>
              <w:rPr>
                <w:color w:val="000000"/>
                <w:sz w:val="21"/>
              </w:rPr>
            </w:pPr>
          </w:p>
        </w:tc>
        <w:tc>
          <w:tcPr>
            <w:tcW w:w="304" w:type="pct"/>
            <w:vAlign w:val="center"/>
          </w:tcPr>
          <w:p w14:paraId="21AC5996">
            <w:pPr>
              <w:spacing w:line="240" w:lineRule="auto"/>
              <w:ind w:firstLine="0" w:firstLineChars="0"/>
              <w:jc w:val="center"/>
              <w:rPr>
                <w:color w:val="000000"/>
                <w:sz w:val="21"/>
              </w:rPr>
            </w:pPr>
          </w:p>
        </w:tc>
      </w:tr>
      <w:tr w14:paraId="4E59B3D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3" w:hRule="atLeast"/>
        </w:trPr>
        <w:tc>
          <w:tcPr>
            <w:tcW w:w="1877" w:type="pct"/>
            <w:vAlign w:val="center"/>
          </w:tcPr>
          <w:p w14:paraId="44B6D561">
            <w:pPr>
              <w:spacing w:line="240" w:lineRule="auto"/>
              <w:ind w:firstLine="0" w:firstLineChars="0"/>
              <w:jc w:val="center"/>
              <w:rPr>
                <w:color w:val="000000"/>
                <w:sz w:val="21"/>
              </w:rPr>
            </w:pPr>
            <w:r>
              <w:rPr>
                <w:rFonts w:hint="eastAsia"/>
                <w:color w:val="000000"/>
                <w:sz w:val="21"/>
              </w:rPr>
              <w:t>燃油锅炉</w:t>
            </w:r>
          </w:p>
        </w:tc>
        <w:tc>
          <w:tcPr>
            <w:tcW w:w="512" w:type="pct"/>
            <w:vAlign w:val="center"/>
          </w:tcPr>
          <w:p w14:paraId="3524B757">
            <w:pPr>
              <w:spacing w:line="240" w:lineRule="auto"/>
              <w:ind w:firstLine="0" w:firstLineChars="0"/>
              <w:jc w:val="center"/>
              <w:rPr>
                <w:color w:val="000000"/>
                <w:sz w:val="21"/>
              </w:rPr>
            </w:pPr>
            <w:r>
              <w:rPr>
                <w:rFonts w:hint="eastAsia"/>
                <w:color w:val="000000"/>
                <w:sz w:val="21"/>
              </w:rPr>
              <w:t>3</w:t>
            </w:r>
          </w:p>
        </w:tc>
        <w:tc>
          <w:tcPr>
            <w:tcW w:w="427" w:type="pct"/>
            <w:vAlign w:val="center"/>
          </w:tcPr>
          <w:p w14:paraId="5C9A5AEC">
            <w:pPr>
              <w:spacing w:line="240" w:lineRule="auto"/>
              <w:ind w:firstLine="0" w:firstLineChars="0"/>
              <w:jc w:val="center"/>
              <w:rPr>
                <w:color w:val="000000"/>
                <w:sz w:val="21"/>
              </w:rPr>
            </w:pPr>
            <w:r>
              <w:rPr>
                <w:rFonts w:hint="eastAsia"/>
                <w:color w:val="000000"/>
                <w:sz w:val="21"/>
              </w:rPr>
              <w:t>10</w:t>
            </w:r>
          </w:p>
        </w:tc>
        <w:tc>
          <w:tcPr>
            <w:tcW w:w="513" w:type="pct"/>
            <w:vAlign w:val="center"/>
          </w:tcPr>
          <w:p w14:paraId="289EF32A">
            <w:pPr>
              <w:spacing w:line="240" w:lineRule="auto"/>
              <w:ind w:firstLine="0" w:firstLineChars="0"/>
              <w:jc w:val="center"/>
              <w:rPr>
                <w:color w:val="000000"/>
                <w:sz w:val="21"/>
              </w:rPr>
            </w:pPr>
            <w:r>
              <w:rPr>
                <w:rFonts w:hint="eastAsia"/>
                <w:color w:val="000000"/>
                <w:sz w:val="21"/>
              </w:rPr>
              <w:t>35</w:t>
            </w:r>
          </w:p>
        </w:tc>
        <w:tc>
          <w:tcPr>
            <w:tcW w:w="854" w:type="pct"/>
            <w:vAlign w:val="center"/>
          </w:tcPr>
          <w:p w14:paraId="74E36D84">
            <w:pPr>
              <w:spacing w:line="240" w:lineRule="auto"/>
              <w:ind w:firstLine="0" w:firstLineChars="0"/>
              <w:jc w:val="center"/>
              <w:rPr>
                <w:color w:val="000000"/>
                <w:sz w:val="21"/>
              </w:rPr>
            </w:pPr>
            <w:r>
              <w:rPr>
                <w:rFonts w:hint="eastAsia"/>
                <w:color w:val="000000"/>
                <w:sz w:val="21"/>
              </w:rPr>
              <w:t>50</w:t>
            </w:r>
          </w:p>
        </w:tc>
        <w:tc>
          <w:tcPr>
            <w:tcW w:w="513" w:type="pct"/>
            <w:vAlign w:val="center"/>
          </w:tcPr>
          <w:p w14:paraId="53ED6A4C">
            <w:pPr>
              <w:spacing w:line="240" w:lineRule="auto"/>
              <w:ind w:firstLine="0" w:firstLineChars="0"/>
              <w:jc w:val="center"/>
              <w:rPr>
                <w:color w:val="000000"/>
                <w:sz w:val="21"/>
              </w:rPr>
            </w:pPr>
          </w:p>
        </w:tc>
        <w:tc>
          <w:tcPr>
            <w:tcW w:w="304" w:type="pct"/>
            <w:vAlign w:val="center"/>
          </w:tcPr>
          <w:p w14:paraId="5613BD80">
            <w:pPr>
              <w:spacing w:line="240" w:lineRule="auto"/>
              <w:ind w:firstLine="0" w:firstLineChars="0"/>
              <w:jc w:val="center"/>
              <w:rPr>
                <w:color w:val="000000"/>
                <w:sz w:val="21"/>
              </w:rPr>
            </w:pPr>
          </w:p>
        </w:tc>
      </w:tr>
    </w:tbl>
    <w:p w14:paraId="0AEC1B68">
      <w:pPr>
        <w:ind w:firstLine="482"/>
        <w:jc w:val="center"/>
        <w:rPr>
          <w:b/>
          <w:bCs/>
          <w:lang w:val="de-DE"/>
        </w:rPr>
      </w:pPr>
      <w:r>
        <w:rPr>
          <w:rFonts w:hint="eastAsia"/>
          <w:b/>
          <w:bCs/>
        </w:rPr>
        <w:t xml:space="preserve">1.5-6 </w:t>
      </w:r>
      <w:r>
        <w:rPr>
          <w:rFonts w:hint="eastAsia"/>
          <w:b/>
          <w:bCs/>
          <w:lang w:val="de-DE"/>
        </w:rPr>
        <w:t>大气污染物排放浓度限值   单位：mg/m³</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10"/>
        <w:gridCol w:w="811"/>
        <w:gridCol w:w="1896"/>
        <w:gridCol w:w="814"/>
        <w:gridCol w:w="1259"/>
        <w:gridCol w:w="1074"/>
        <w:gridCol w:w="1919"/>
        <w:gridCol w:w="913"/>
        <w:gridCol w:w="814"/>
        <w:gridCol w:w="1134"/>
        <w:gridCol w:w="933"/>
        <w:gridCol w:w="913"/>
        <w:gridCol w:w="884"/>
      </w:tblGrid>
      <w:tr w14:paraId="091A0B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22DFC100">
            <w:pPr>
              <w:widowControl/>
              <w:spacing w:line="240" w:lineRule="auto"/>
              <w:ind w:firstLine="0" w:firstLineChars="0"/>
              <w:jc w:val="center"/>
              <w:rPr>
                <w:color w:val="000000"/>
                <w:kern w:val="2"/>
                <w:sz w:val="21"/>
                <w:lang w:val="zh-CN"/>
              </w:rPr>
            </w:pPr>
            <w:r>
              <w:rPr>
                <w:color w:val="000000"/>
                <w:kern w:val="2"/>
                <w:sz w:val="21"/>
                <w:lang w:val="zh-CN"/>
              </w:rPr>
              <w:t>序号</w:t>
            </w:r>
          </w:p>
        </w:tc>
        <w:tc>
          <w:tcPr>
            <w:tcW w:w="955" w:type="pct"/>
            <w:gridSpan w:val="2"/>
            <w:vAlign w:val="center"/>
          </w:tcPr>
          <w:p w14:paraId="7CFBDA10">
            <w:pPr>
              <w:widowControl/>
              <w:spacing w:line="240" w:lineRule="auto"/>
              <w:ind w:firstLine="0" w:firstLineChars="0"/>
              <w:jc w:val="center"/>
              <w:rPr>
                <w:color w:val="000000"/>
                <w:kern w:val="2"/>
                <w:sz w:val="21"/>
                <w:lang w:val="zh-CN"/>
              </w:rPr>
            </w:pPr>
            <w:r>
              <w:rPr>
                <w:color w:val="000000"/>
                <w:kern w:val="2"/>
                <w:sz w:val="21"/>
                <w:lang w:val="zh-CN"/>
              </w:rPr>
              <w:t>污染物排放环节</w:t>
            </w:r>
          </w:p>
        </w:tc>
        <w:tc>
          <w:tcPr>
            <w:tcW w:w="287" w:type="pct"/>
            <w:vAlign w:val="center"/>
          </w:tcPr>
          <w:p w14:paraId="64E99970">
            <w:pPr>
              <w:widowControl/>
              <w:spacing w:line="240" w:lineRule="auto"/>
              <w:ind w:firstLine="0" w:firstLineChars="0"/>
              <w:jc w:val="center"/>
              <w:rPr>
                <w:color w:val="000000"/>
                <w:kern w:val="2"/>
                <w:sz w:val="21"/>
                <w:lang w:val="zh-CN"/>
              </w:rPr>
            </w:pPr>
            <w:r>
              <w:rPr>
                <w:color w:val="000000"/>
                <w:kern w:val="2"/>
                <w:sz w:val="21"/>
                <w:lang w:val="zh-CN"/>
              </w:rPr>
              <w:t>颗粒物</w:t>
            </w:r>
          </w:p>
        </w:tc>
        <w:tc>
          <w:tcPr>
            <w:tcW w:w="444" w:type="pct"/>
            <w:vAlign w:val="center"/>
          </w:tcPr>
          <w:p w14:paraId="70B040D1">
            <w:pPr>
              <w:widowControl/>
              <w:spacing w:line="240" w:lineRule="auto"/>
              <w:ind w:firstLine="0" w:firstLineChars="0"/>
              <w:jc w:val="center"/>
              <w:rPr>
                <w:color w:val="000000"/>
                <w:kern w:val="2"/>
                <w:sz w:val="21"/>
                <w:lang w:val="zh-CN"/>
              </w:rPr>
            </w:pPr>
            <w:r>
              <w:rPr>
                <w:color w:val="000000"/>
                <w:kern w:val="2"/>
                <w:sz w:val="21"/>
                <w:lang w:val="zh-CN"/>
              </w:rPr>
              <w:t>二氧化硫</w:t>
            </w:r>
          </w:p>
        </w:tc>
        <w:tc>
          <w:tcPr>
            <w:tcW w:w="379" w:type="pct"/>
            <w:vAlign w:val="center"/>
          </w:tcPr>
          <w:p w14:paraId="34B377AE">
            <w:pPr>
              <w:widowControl/>
              <w:spacing w:line="240" w:lineRule="auto"/>
              <w:ind w:firstLine="0" w:firstLineChars="0"/>
              <w:jc w:val="center"/>
              <w:rPr>
                <w:color w:val="000000"/>
                <w:kern w:val="2"/>
                <w:sz w:val="21"/>
                <w:lang w:val="zh-CN"/>
              </w:rPr>
            </w:pPr>
            <w:r>
              <w:rPr>
                <w:color w:val="000000"/>
                <w:kern w:val="2"/>
                <w:sz w:val="21"/>
                <w:lang w:val="zh-CN"/>
              </w:rPr>
              <w:t>氮氧化物</w:t>
            </w:r>
          </w:p>
        </w:tc>
        <w:tc>
          <w:tcPr>
            <w:tcW w:w="677" w:type="pct"/>
            <w:vAlign w:val="center"/>
          </w:tcPr>
          <w:p w14:paraId="64031B76">
            <w:pPr>
              <w:widowControl/>
              <w:spacing w:line="240" w:lineRule="auto"/>
              <w:ind w:firstLine="0" w:firstLineChars="0"/>
              <w:jc w:val="center"/>
              <w:rPr>
                <w:color w:val="000000"/>
                <w:kern w:val="2"/>
                <w:sz w:val="21"/>
                <w:lang w:val="zh-CN"/>
              </w:rPr>
            </w:pPr>
            <w:r>
              <w:rPr>
                <w:color w:val="000000"/>
                <w:kern w:val="2"/>
                <w:sz w:val="21"/>
                <w:lang w:val="zh-CN"/>
              </w:rPr>
              <w:t>苯并</w:t>
            </w:r>
            <w:r>
              <w:rPr>
                <w:rFonts w:hint="eastAsia"/>
                <w:color w:val="000000"/>
                <w:kern w:val="2"/>
                <w:sz w:val="21"/>
                <w:lang w:val="zh-CN"/>
              </w:rPr>
              <w:t>〔</w:t>
            </w:r>
            <w:r>
              <w:rPr>
                <w:color w:val="000000"/>
                <w:kern w:val="2"/>
                <w:sz w:val="21"/>
                <w:lang w:val="zh-CN"/>
              </w:rPr>
              <w:t>a</w:t>
            </w:r>
            <w:r>
              <w:rPr>
                <w:rFonts w:hint="eastAsia"/>
                <w:color w:val="000000"/>
                <w:kern w:val="2"/>
                <w:sz w:val="21"/>
                <w:lang w:val="zh-CN"/>
              </w:rPr>
              <w:t>〕</w:t>
            </w:r>
            <w:r>
              <w:rPr>
                <w:color w:val="000000"/>
                <w:kern w:val="2"/>
                <w:sz w:val="21"/>
                <w:lang w:val="zh-CN"/>
              </w:rPr>
              <w:t>芘</w:t>
            </w:r>
            <w:r>
              <w:rPr>
                <w:rFonts w:hint="eastAsia"/>
                <w:color w:val="000000"/>
                <w:kern w:val="2"/>
                <w:sz w:val="21"/>
                <w:vertAlign w:val="superscript"/>
                <w:lang w:val="zh-CN"/>
              </w:rPr>
              <w:t>a</w:t>
            </w:r>
          </w:p>
        </w:tc>
        <w:tc>
          <w:tcPr>
            <w:tcW w:w="322" w:type="pct"/>
            <w:vAlign w:val="center"/>
          </w:tcPr>
          <w:p w14:paraId="6641621F">
            <w:pPr>
              <w:widowControl/>
              <w:spacing w:line="240" w:lineRule="auto"/>
              <w:ind w:firstLine="0" w:firstLineChars="0"/>
              <w:jc w:val="center"/>
              <w:rPr>
                <w:color w:val="000000"/>
                <w:kern w:val="2"/>
                <w:sz w:val="21"/>
                <w:lang w:val="zh-CN"/>
              </w:rPr>
            </w:pPr>
            <w:r>
              <w:rPr>
                <w:color w:val="000000"/>
                <w:kern w:val="2"/>
                <w:sz w:val="21"/>
                <w:lang w:val="zh-CN"/>
              </w:rPr>
              <w:t>氰化氢</w:t>
            </w:r>
          </w:p>
        </w:tc>
        <w:tc>
          <w:tcPr>
            <w:tcW w:w="287" w:type="pct"/>
            <w:vAlign w:val="center"/>
          </w:tcPr>
          <w:p w14:paraId="7297E651">
            <w:pPr>
              <w:widowControl/>
              <w:spacing w:line="240" w:lineRule="auto"/>
              <w:ind w:firstLine="0" w:firstLineChars="0"/>
              <w:jc w:val="center"/>
              <w:rPr>
                <w:color w:val="000000"/>
                <w:kern w:val="2"/>
                <w:sz w:val="21"/>
                <w:lang w:val="zh-CN"/>
              </w:rPr>
            </w:pPr>
            <w:r>
              <w:rPr>
                <w:color w:val="000000"/>
                <w:kern w:val="2"/>
                <w:sz w:val="21"/>
                <w:lang w:val="zh-CN"/>
              </w:rPr>
              <w:t>酚类</w:t>
            </w:r>
          </w:p>
        </w:tc>
        <w:tc>
          <w:tcPr>
            <w:tcW w:w="400" w:type="pct"/>
            <w:vAlign w:val="center"/>
          </w:tcPr>
          <w:p w14:paraId="486BACC2">
            <w:pPr>
              <w:widowControl/>
              <w:spacing w:line="240" w:lineRule="auto"/>
              <w:ind w:firstLine="0" w:firstLineChars="0"/>
              <w:jc w:val="center"/>
              <w:rPr>
                <w:color w:val="000000"/>
                <w:kern w:val="2"/>
                <w:sz w:val="21"/>
                <w:lang w:val="zh-CN"/>
              </w:rPr>
            </w:pPr>
            <w:r>
              <w:rPr>
                <w:color w:val="000000"/>
                <w:kern w:val="2"/>
                <w:sz w:val="21"/>
                <w:lang w:val="zh-CN"/>
              </w:rPr>
              <w:t>非甲烷总烃</w:t>
            </w:r>
          </w:p>
        </w:tc>
        <w:tc>
          <w:tcPr>
            <w:tcW w:w="329" w:type="pct"/>
            <w:vAlign w:val="center"/>
          </w:tcPr>
          <w:p w14:paraId="65CF67B7">
            <w:pPr>
              <w:widowControl/>
              <w:spacing w:line="240" w:lineRule="auto"/>
              <w:ind w:firstLine="0" w:firstLineChars="0"/>
              <w:jc w:val="center"/>
              <w:rPr>
                <w:color w:val="000000"/>
                <w:kern w:val="2"/>
                <w:sz w:val="21"/>
                <w:lang w:val="zh-CN"/>
              </w:rPr>
            </w:pPr>
            <w:r>
              <w:rPr>
                <w:color w:val="000000"/>
                <w:kern w:val="2"/>
                <w:sz w:val="21"/>
                <w:lang w:val="zh-CN"/>
              </w:rPr>
              <w:t>氨</w:t>
            </w:r>
          </w:p>
        </w:tc>
        <w:tc>
          <w:tcPr>
            <w:tcW w:w="322" w:type="pct"/>
            <w:vAlign w:val="center"/>
          </w:tcPr>
          <w:p w14:paraId="60CABE21">
            <w:pPr>
              <w:widowControl/>
              <w:spacing w:line="240" w:lineRule="auto"/>
              <w:ind w:firstLine="0" w:firstLineChars="0"/>
              <w:jc w:val="center"/>
              <w:rPr>
                <w:color w:val="000000"/>
                <w:kern w:val="2"/>
                <w:sz w:val="21"/>
                <w:lang w:val="zh-CN"/>
              </w:rPr>
            </w:pPr>
            <w:r>
              <w:rPr>
                <w:color w:val="000000"/>
                <w:kern w:val="2"/>
                <w:sz w:val="21"/>
                <w:lang w:val="zh-CN"/>
              </w:rPr>
              <w:t>硫化氢</w:t>
            </w:r>
          </w:p>
        </w:tc>
        <w:tc>
          <w:tcPr>
            <w:tcW w:w="312" w:type="pct"/>
            <w:vAlign w:val="center"/>
          </w:tcPr>
          <w:p w14:paraId="5CECF258">
            <w:pPr>
              <w:widowControl/>
              <w:spacing w:line="240" w:lineRule="auto"/>
              <w:ind w:firstLine="0" w:firstLineChars="0"/>
              <w:jc w:val="center"/>
              <w:rPr>
                <w:color w:val="000000"/>
                <w:kern w:val="2"/>
                <w:sz w:val="21"/>
                <w:lang w:val="zh-CN"/>
              </w:rPr>
            </w:pPr>
            <w:r>
              <w:rPr>
                <w:color w:val="000000"/>
                <w:kern w:val="2"/>
                <w:sz w:val="21"/>
                <w:lang w:val="zh-CN"/>
              </w:rPr>
              <w:t>监控位置</w:t>
            </w:r>
          </w:p>
        </w:tc>
      </w:tr>
      <w:tr w14:paraId="5419211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473A54E0">
            <w:pPr>
              <w:widowControl/>
              <w:spacing w:line="240" w:lineRule="auto"/>
              <w:ind w:firstLine="0" w:firstLineChars="0"/>
              <w:jc w:val="center"/>
              <w:rPr>
                <w:color w:val="000000"/>
                <w:kern w:val="2"/>
                <w:sz w:val="21"/>
                <w:lang w:val="zh-CN"/>
              </w:rPr>
            </w:pPr>
            <w:r>
              <w:rPr>
                <w:color w:val="000000"/>
                <w:kern w:val="2"/>
                <w:sz w:val="21"/>
                <w:lang w:val="zh-CN"/>
              </w:rPr>
              <w:t>1</w:t>
            </w:r>
          </w:p>
        </w:tc>
        <w:tc>
          <w:tcPr>
            <w:tcW w:w="286" w:type="pct"/>
            <w:vMerge w:val="restart"/>
            <w:vAlign w:val="center"/>
          </w:tcPr>
          <w:p w14:paraId="23D6ECBE">
            <w:pPr>
              <w:widowControl/>
              <w:spacing w:line="240" w:lineRule="auto"/>
              <w:ind w:firstLine="0" w:firstLineChars="0"/>
              <w:jc w:val="center"/>
              <w:rPr>
                <w:color w:val="000000"/>
                <w:kern w:val="2"/>
                <w:sz w:val="21"/>
                <w:lang w:val="zh-CN"/>
              </w:rPr>
            </w:pPr>
            <w:r>
              <w:rPr>
                <w:rFonts w:hint="eastAsia"/>
                <w:color w:val="000000"/>
                <w:kern w:val="2"/>
                <w:sz w:val="21"/>
                <w:lang w:val="zh-CN"/>
              </w:rPr>
              <w:t>炼焦</w:t>
            </w:r>
          </w:p>
        </w:tc>
        <w:tc>
          <w:tcPr>
            <w:tcW w:w="669" w:type="pct"/>
            <w:vAlign w:val="center"/>
          </w:tcPr>
          <w:p w14:paraId="074506ED">
            <w:pPr>
              <w:widowControl/>
              <w:spacing w:line="240" w:lineRule="auto"/>
              <w:ind w:firstLine="0" w:firstLineChars="0"/>
              <w:jc w:val="center"/>
              <w:rPr>
                <w:color w:val="000000"/>
                <w:kern w:val="2"/>
                <w:sz w:val="21"/>
                <w:lang w:val="zh-CN"/>
              </w:rPr>
            </w:pPr>
            <w:r>
              <w:rPr>
                <w:rFonts w:hint="eastAsia"/>
                <w:color w:val="000000"/>
                <w:kern w:val="2"/>
                <w:sz w:val="21"/>
                <w:lang w:val="zh-CN"/>
              </w:rPr>
              <w:t>装煤</w:t>
            </w:r>
          </w:p>
        </w:tc>
        <w:tc>
          <w:tcPr>
            <w:tcW w:w="287" w:type="pct"/>
            <w:vAlign w:val="center"/>
          </w:tcPr>
          <w:p w14:paraId="7E2753A9">
            <w:pPr>
              <w:widowControl/>
              <w:spacing w:line="240" w:lineRule="auto"/>
              <w:ind w:firstLine="0" w:firstLineChars="0"/>
              <w:jc w:val="center"/>
              <w:rPr>
                <w:color w:val="000000"/>
                <w:kern w:val="2"/>
                <w:sz w:val="21"/>
              </w:rPr>
            </w:pPr>
            <w:r>
              <w:rPr>
                <w:rFonts w:hint="eastAsia"/>
                <w:color w:val="000000"/>
                <w:kern w:val="2"/>
                <w:sz w:val="21"/>
              </w:rPr>
              <w:t>30</w:t>
            </w:r>
          </w:p>
        </w:tc>
        <w:tc>
          <w:tcPr>
            <w:tcW w:w="444" w:type="pct"/>
            <w:vAlign w:val="center"/>
          </w:tcPr>
          <w:p w14:paraId="45C188FC">
            <w:pPr>
              <w:widowControl/>
              <w:spacing w:line="240" w:lineRule="auto"/>
              <w:ind w:firstLine="0" w:firstLineChars="0"/>
              <w:jc w:val="center"/>
              <w:rPr>
                <w:color w:val="000000"/>
                <w:kern w:val="2"/>
                <w:sz w:val="21"/>
                <w:lang w:val="zh-CN"/>
              </w:rPr>
            </w:pPr>
            <w:r>
              <w:rPr>
                <w:rFonts w:hint="eastAsia"/>
                <w:color w:val="000000"/>
                <w:kern w:val="2"/>
                <w:sz w:val="21"/>
                <w:lang w:val="zh-CN"/>
              </w:rPr>
              <w:t>70</w:t>
            </w:r>
          </w:p>
        </w:tc>
        <w:tc>
          <w:tcPr>
            <w:tcW w:w="379" w:type="pct"/>
            <w:vAlign w:val="center"/>
          </w:tcPr>
          <w:p w14:paraId="2CB0F880">
            <w:pPr>
              <w:widowControl/>
              <w:spacing w:line="240" w:lineRule="auto"/>
              <w:ind w:firstLine="0" w:firstLineChars="0"/>
              <w:jc w:val="center"/>
              <w:rPr>
                <w:color w:val="000000"/>
                <w:kern w:val="2"/>
                <w:sz w:val="21"/>
                <w:lang w:val="zh-CN"/>
              </w:rPr>
            </w:pPr>
            <w:r>
              <w:rPr>
                <w:color w:val="000000"/>
                <w:kern w:val="2"/>
                <w:sz w:val="21"/>
                <w:lang w:val="zh-CN"/>
              </w:rPr>
              <w:t>-</w:t>
            </w:r>
          </w:p>
        </w:tc>
        <w:tc>
          <w:tcPr>
            <w:tcW w:w="677" w:type="pct"/>
            <w:vAlign w:val="center"/>
          </w:tcPr>
          <w:p w14:paraId="1C3A0EE2">
            <w:pPr>
              <w:widowControl/>
              <w:spacing w:line="240" w:lineRule="auto"/>
              <w:ind w:firstLine="0" w:firstLineChars="0"/>
              <w:jc w:val="center"/>
              <w:rPr>
                <w:color w:val="000000"/>
                <w:kern w:val="2"/>
                <w:sz w:val="21"/>
                <w:lang w:val="zh-CN"/>
              </w:rPr>
            </w:pPr>
            <w:r>
              <w:rPr>
                <w:color w:val="000000"/>
                <w:kern w:val="2"/>
                <w:sz w:val="21"/>
                <w:lang w:val="zh-CN"/>
              </w:rPr>
              <w:t>0.3</w:t>
            </w:r>
            <w:r>
              <w:rPr>
                <w:rFonts w:hint="eastAsia" w:ascii="宋体" w:hAnsi="宋体"/>
                <w:color w:val="000000"/>
                <w:kern w:val="2"/>
                <w:sz w:val="21"/>
                <w:lang w:val="zh-CN"/>
              </w:rPr>
              <w:t>μ</w:t>
            </w:r>
            <w:r>
              <w:rPr>
                <w:color w:val="000000"/>
                <w:kern w:val="2"/>
                <w:sz w:val="21"/>
                <w:lang w:val="zh-CN"/>
              </w:rPr>
              <w:t>g/m</w:t>
            </w:r>
            <w:r>
              <w:rPr>
                <w:color w:val="000000"/>
                <w:kern w:val="2"/>
                <w:sz w:val="21"/>
                <w:vertAlign w:val="superscript"/>
                <w:lang w:val="zh-CN"/>
              </w:rPr>
              <w:t>3</w:t>
            </w:r>
          </w:p>
        </w:tc>
        <w:tc>
          <w:tcPr>
            <w:tcW w:w="322" w:type="pct"/>
            <w:vAlign w:val="center"/>
          </w:tcPr>
          <w:p w14:paraId="7A59B968">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64C7B1BF">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5BFAE458">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4316FCC1">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63EB4A75">
            <w:pPr>
              <w:widowControl/>
              <w:spacing w:line="240" w:lineRule="auto"/>
              <w:ind w:firstLine="0" w:firstLineChars="0"/>
              <w:jc w:val="center"/>
              <w:rPr>
                <w:color w:val="000000"/>
                <w:kern w:val="2"/>
                <w:sz w:val="21"/>
                <w:lang w:val="zh-CN"/>
              </w:rPr>
            </w:pPr>
            <w:r>
              <w:rPr>
                <w:color w:val="000000"/>
                <w:kern w:val="2"/>
                <w:sz w:val="21"/>
                <w:lang w:val="zh-CN"/>
              </w:rPr>
              <w:t>-</w:t>
            </w:r>
          </w:p>
        </w:tc>
        <w:tc>
          <w:tcPr>
            <w:tcW w:w="312" w:type="pct"/>
            <w:vMerge w:val="restart"/>
            <w:vAlign w:val="center"/>
          </w:tcPr>
          <w:p w14:paraId="54945C3E">
            <w:pPr>
              <w:widowControl/>
              <w:spacing w:line="240" w:lineRule="auto"/>
              <w:ind w:firstLine="0" w:firstLineChars="0"/>
              <w:jc w:val="center"/>
              <w:rPr>
                <w:color w:val="000000"/>
                <w:kern w:val="2"/>
                <w:sz w:val="21"/>
                <w:lang w:val="zh-CN"/>
              </w:rPr>
            </w:pPr>
            <w:r>
              <w:rPr>
                <w:color w:val="000000"/>
                <w:kern w:val="2"/>
                <w:sz w:val="21"/>
                <w:lang w:val="zh-CN"/>
              </w:rPr>
              <w:t>车间或生产设</w:t>
            </w:r>
          </w:p>
          <w:p w14:paraId="5AA3AC62">
            <w:pPr>
              <w:widowControl/>
              <w:spacing w:line="240" w:lineRule="auto"/>
              <w:ind w:firstLine="0" w:firstLineChars="0"/>
              <w:jc w:val="center"/>
              <w:rPr>
                <w:color w:val="000000"/>
                <w:kern w:val="2"/>
                <w:sz w:val="21"/>
                <w:lang w:val="zh-CN"/>
              </w:rPr>
            </w:pPr>
            <w:r>
              <w:rPr>
                <w:color w:val="000000"/>
                <w:kern w:val="2"/>
                <w:sz w:val="21"/>
                <w:lang w:val="zh-CN"/>
              </w:rPr>
              <w:t>施排气筒</w:t>
            </w:r>
          </w:p>
        </w:tc>
      </w:tr>
      <w:tr w14:paraId="3A2ADD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63174200">
            <w:pPr>
              <w:widowControl/>
              <w:spacing w:line="240" w:lineRule="auto"/>
              <w:ind w:firstLine="0" w:firstLineChars="0"/>
              <w:jc w:val="center"/>
              <w:rPr>
                <w:color w:val="000000"/>
                <w:kern w:val="2"/>
                <w:sz w:val="21"/>
                <w:lang w:val="zh-CN"/>
              </w:rPr>
            </w:pPr>
            <w:r>
              <w:rPr>
                <w:color w:val="000000"/>
                <w:kern w:val="2"/>
                <w:sz w:val="21"/>
                <w:lang w:val="zh-CN"/>
              </w:rPr>
              <w:t>2</w:t>
            </w:r>
          </w:p>
        </w:tc>
        <w:tc>
          <w:tcPr>
            <w:tcW w:w="286" w:type="pct"/>
            <w:vMerge w:val="continue"/>
            <w:vAlign w:val="center"/>
          </w:tcPr>
          <w:p w14:paraId="0E4BE141">
            <w:pPr>
              <w:widowControl/>
              <w:spacing w:line="240" w:lineRule="auto"/>
              <w:ind w:firstLine="0" w:firstLineChars="0"/>
              <w:jc w:val="center"/>
              <w:rPr>
                <w:color w:val="000000"/>
                <w:kern w:val="2"/>
                <w:sz w:val="21"/>
                <w:lang w:val="zh-CN"/>
              </w:rPr>
            </w:pPr>
          </w:p>
        </w:tc>
        <w:tc>
          <w:tcPr>
            <w:tcW w:w="669" w:type="pct"/>
            <w:vAlign w:val="center"/>
          </w:tcPr>
          <w:p w14:paraId="100D39A2">
            <w:pPr>
              <w:widowControl/>
              <w:spacing w:line="240" w:lineRule="auto"/>
              <w:ind w:firstLine="0" w:firstLineChars="0"/>
              <w:jc w:val="center"/>
              <w:rPr>
                <w:color w:val="000000"/>
                <w:kern w:val="2"/>
                <w:sz w:val="21"/>
                <w:lang w:val="zh-CN"/>
              </w:rPr>
            </w:pPr>
            <w:r>
              <w:rPr>
                <w:color w:val="000000"/>
                <w:kern w:val="2"/>
                <w:sz w:val="21"/>
                <w:lang w:val="zh-CN"/>
              </w:rPr>
              <w:t>推</w:t>
            </w:r>
            <w:r>
              <w:rPr>
                <w:rFonts w:hint="eastAsia"/>
                <w:color w:val="000000"/>
                <w:kern w:val="2"/>
                <w:sz w:val="21"/>
                <w:lang w:val="zh-CN"/>
              </w:rPr>
              <w:t>（出）</w:t>
            </w:r>
            <w:r>
              <w:rPr>
                <w:color w:val="000000"/>
                <w:kern w:val="2"/>
                <w:sz w:val="21"/>
                <w:lang w:val="zh-CN"/>
              </w:rPr>
              <w:t>焦</w:t>
            </w:r>
          </w:p>
        </w:tc>
        <w:tc>
          <w:tcPr>
            <w:tcW w:w="287" w:type="pct"/>
            <w:vAlign w:val="center"/>
          </w:tcPr>
          <w:p w14:paraId="6668A61C">
            <w:pPr>
              <w:widowControl/>
              <w:spacing w:line="240" w:lineRule="auto"/>
              <w:ind w:firstLine="0" w:firstLineChars="0"/>
              <w:jc w:val="center"/>
              <w:rPr>
                <w:color w:val="000000"/>
                <w:kern w:val="2"/>
                <w:sz w:val="21"/>
              </w:rPr>
            </w:pPr>
            <w:r>
              <w:rPr>
                <w:rFonts w:hint="eastAsia"/>
                <w:color w:val="000000"/>
                <w:kern w:val="2"/>
                <w:sz w:val="21"/>
              </w:rPr>
              <w:t>30</w:t>
            </w:r>
          </w:p>
        </w:tc>
        <w:tc>
          <w:tcPr>
            <w:tcW w:w="444" w:type="pct"/>
            <w:vAlign w:val="center"/>
          </w:tcPr>
          <w:p w14:paraId="57B96B18">
            <w:pPr>
              <w:widowControl/>
              <w:spacing w:line="240" w:lineRule="auto"/>
              <w:ind w:firstLine="0" w:firstLineChars="0"/>
              <w:jc w:val="center"/>
              <w:rPr>
                <w:color w:val="000000"/>
                <w:kern w:val="2"/>
                <w:sz w:val="21"/>
              </w:rPr>
            </w:pPr>
            <w:r>
              <w:rPr>
                <w:rFonts w:hint="eastAsia"/>
                <w:color w:val="000000"/>
                <w:kern w:val="2"/>
                <w:sz w:val="21"/>
              </w:rPr>
              <w:t>30</w:t>
            </w:r>
          </w:p>
        </w:tc>
        <w:tc>
          <w:tcPr>
            <w:tcW w:w="379" w:type="pct"/>
            <w:vAlign w:val="center"/>
          </w:tcPr>
          <w:p w14:paraId="7F4E5946">
            <w:pPr>
              <w:widowControl/>
              <w:spacing w:line="240" w:lineRule="auto"/>
              <w:ind w:firstLine="0" w:firstLineChars="0"/>
              <w:jc w:val="center"/>
              <w:rPr>
                <w:color w:val="000000"/>
                <w:kern w:val="2"/>
                <w:sz w:val="21"/>
                <w:lang w:val="zh-CN"/>
              </w:rPr>
            </w:pPr>
            <w:r>
              <w:rPr>
                <w:color w:val="000000"/>
                <w:kern w:val="2"/>
                <w:sz w:val="21"/>
                <w:lang w:val="zh-CN"/>
              </w:rPr>
              <w:t>-</w:t>
            </w:r>
          </w:p>
        </w:tc>
        <w:tc>
          <w:tcPr>
            <w:tcW w:w="677" w:type="pct"/>
            <w:vAlign w:val="center"/>
          </w:tcPr>
          <w:p w14:paraId="7BC3BF4C">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1F8EC3F7">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0DAC1FDA">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1F4EA6B2">
            <w:pPr>
              <w:widowControl/>
              <w:spacing w:line="240" w:lineRule="auto"/>
              <w:ind w:firstLine="0" w:firstLineChars="0"/>
              <w:jc w:val="center"/>
              <w:rPr>
                <w:color w:val="000000"/>
                <w:kern w:val="2"/>
                <w:sz w:val="21"/>
                <w:lang w:val="zh-CN"/>
              </w:rPr>
            </w:pPr>
            <w:r>
              <w:rPr>
                <w:rFonts w:hint="eastAsia"/>
                <w:color w:val="000000"/>
                <w:kern w:val="2"/>
                <w:sz w:val="21"/>
                <w:lang w:val="zh-CN"/>
              </w:rPr>
              <w:t>100</w:t>
            </w:r>
            <w:r>
              <w:rPr>
                <w:rFonts w:hint="eastAsia"/>
                <w:color w:val="000000"/>
                <w:kern w:val="2"/>
                <w:sz w:val="21"/>
                <w:vertAlign w:val="superscript"/>
                <w:lang w:val="zh-CN"/>
              </w:rPr>
              <w:t>c</w:t>
            </w:r>
          </w:p>
        </w:tc>
        <w:tc>
          <w:tcPr>
            <w:tcW w:w="329" w:type="pct"/>
            <w:vAlign w:val="center"/>
          </w:tcPr>
          <w:p w14:paraId="275DAC7E">
            <w:pPr>
              <w:widowControl/>
              <w:spacing w:line="240" w:lineRule="auto"/>
              <w:ind w:firstLine="0" w:firstLineChars="0"/>
              <w:jc w:val="center"/>
              <w:rPr>
                <w:color w:val="000000"/>
                <w:kern w:val="2"/>
                <w:sz w:val="21"/>
                <w:lang w:val="zh-CN"/>
              </w:rPr>
            </w:pPr>
            <w:r>
              <w:rPr>
                <w:rFonts w:hint="eastAsia"/>
                <w:color w:val="000000"/>
                <w:kern w:val="2"/>
                <w:sz w:val="21"/>
                <w:lang w:val="zh-CN"/>
              </w:rPr>
              <w:t>20</w:t>
            </w:r>
            <w:r>
              <w:rPr>
                <w:rFonts w:hint="eastAsia"/>
                <w:color w:val="000000"/>
                <w:kern w:val="2"/>
                <w:sz w:val="21"/>
                <w:vertAlign w:val="superscript"/>
                <w:lang w:val="zh-CN"/>
              </w:rPr>
              <w:t>c</w:t>
            </w:r>
          </w:p>
        </w:tc>
        <w:tc>
          <w:tcPr>
            <w:tcW w:w="322" w:type="pct"/>
            <w:vAlign w:val="center"/>
          </w:tcPr>
          <w:p w14:paraId="4FAF2F98">
            <w:pPr>
              <w:widowControl/>
              <w:spacing w:line="240" w:lineRule="auto"/>
              <w:ind w:firstLine="0" w:firstLineChars="0"/>
              <w:jc w:val="center"/>
              <w:rPr>
                <w:color w:val="000000"/>
                <w:kern w:val="2"/>
                <w:sz w:val="21"/>
                <w:lang w:val="zh-CN"/>
              </w:rPr>
            </w:pPr>
            <w:r>
              <w:rPr>
                <w:color w:val="000000"/>
                <w:kern w:val="2"/>
                <w:sz w:val="21"/>
                <w:lang w:val="zh-CN"/>
              </w:rPr>
              <w:t>-</w:t>
            </w:r>
          </w:p>
        </w:tc>
        <w:tc>
          <w:tcPr>
            <w:tcW w:w="312" w:type="pct"/>
            <w:vMerge w:val="continue"/>
            <w:vAlign w:val="center"/>
          </w:tcPr>
          <w:p w14:paraId="0EC1C18C">
            <w:pPr>
              <w:widowControl/>
              <w:spacing w:line="240" w:lineRule="auto"/>
              <w:ind w:firstLine="0" w:firstLineChars="0"/>
              <w:jc w:val="center"/>
              <w:rPr>
                <w:color w:val="000000"/>
                <w:kern w:val="2"/>
                <w:sz w:val="21"/>
                <w:lang w:val="zh-CN"/>
              </w:rPr>
            </w:pPr>
          </w:p>
        </w:tc>
      </w:tr>
      <w:tr w14:paraId="03D577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198D73F9">
            <w:pPr>
              <w:widowControl/>
              <w:spacing w:line="240" w:lineRule="auto"/>
              <w:ind w:firstLine="0" w:firstLineChars="0"/>
              <w:jc w:val="center"/>
              <w:rPr>
                <w:color w:val="000000"/>
                <w:kern w:val="2"/>
                <w:sz w:val="21"/>
                <w:lang w:val="zh-CN"/>
              </w:rPr>
            </w:pPr>
            <w:r>
              <w:rPr>
                <w:color w:val="000000"/>
                <w:kern w:val="2"/>
                <w:sz w:val="21"/>
                <w:lang w:val="zh-CN"/>
              </w:rPr>
              <w:t>3</w:t>
            </w:r>
          </w:p>
        </w:tc>
        <w:tc>
          <w:tcPr>
            <w:tcW w:w="286" w:type="pct"/>
            <w:vMerge w:val="continue"/>
            <w:vAlign w:val="center"/>
          </w:tcPr>
          <w:p w14:paraId="62A6DC64">
            <w:pPr>
              <w:widowControl/>
              <w:spacing w:line="240" w:lineRule="auto"/>
              <w:ind w:firstLine="0" w:firstLineChars="0"/>
              <w:jc w:val="center"/>
              <w:rPr>
                <w:color w:val="000000"/>
                <w:kern w:val="2"/>
                <w:sz w:val="21"/>
                <w:lang w:val="zh-CN"/>
              </w:rPr>
            </w:pPr>
          </w:p>
        </w:tc>
        <w:tc>
          <w:tcPr>
            <w:tcW w:w="669" w:type="pct"/>
            <w:vAlign w:val="center"/>
          </w:tcPr>
          <w:p w14:paraId="3661C65D">
            <w:pPr>
              <w:widowControl/>
              <w:spacing w:line="240" w:lineRule="auto"/>
              <w:ind w:firstLine="0" w:firstLineChars="0"/>
              <w:jc w:val="center"/>
              <w:rPr>
                <w:color w:val="000000"/>
                <w:kern w:val="2"/>
                <w:sz w:val="21"/>
                <w:lang w:val="zh-CN"/>
              </w:rPr>
            </w:pPr>
            <w:r>
              <w:rPr>
                <w:color w:val="000000"/>
                <w:kern w:val="2"/>
                <w:sz w:val="21"/>
                <w:lang w:val="zh-CN"/>
              </w:rPr>
              <w:t>焦炉烟囱</w:t>
            </w:r>
          </w:p>
        </w:tc>
        <w:tc>
          <w:tcPr>
            <w:tcW w:w="287" w:type="pct"/>
            <w:vAlign w:val="center"/>
          </w:tcPr>
          <w:p w14:paraId="6003B60D">
            <w:pPr>
              <w:widowControl/>
              <w:spacing w:line="240" w:lineRule="auto"/>
              <w:ind w:firstLine="0" w:firstLineChars="0"/>
              <w:jc w:val="center"/>
              <w:rPr>
                <w:color w:val="000000"/>
                <w:kern w:val="2"/>
                <w:sz w:val="21"/>
                <w:lang w:val="zh-CN"/>
              </w:rPr>
            </w:pPr>
            <w:r>
              <w:rPr>
                <w:rFonts w:hint="eastAsia"/>
                <w:color w:val="000000"/>
                <w:kern w:val="2"/>
                <w:sz w:val="21"/>
              </w:rPr>
              <w:t>15</w:t>
            </w:r>
          </w:p>
        </w:tc>
        <w:tc>
          <w:tcPr>
            <w:tcW w:w="444" w:type="pct"/>
            <w:vAlign w:val="center"/>
          </w:tcPr>
          <w:p w14:paraId="096BE984">
            <w:pPr>
              <w:widowControl/>
              <w:spacing w:line="240" w:lineRule="auto"/>
              <w:ind w:firstLine="0" w:firstLineChars="0"/>
              <w:jc w:val="center"/>
              <w:rPr>
                <w:color w:val="000000"/>
                <w:kern w:val="2"/>
                <w:sz w:val="21"/>
              </w:rPr>
            </w:pPr>
            <w:r>
              <w:rPr>
                <w:rFonts w:hint="eastAsia"/>
                <w:color w:val="000000"/>
                <w:kern w:val="2"/>
                <w:sz w:val="21"/>
              </w:rPr>
              <w:t>30</w:t>
            </w:r>
          </w:p>
        </w:tc>
        <w:tc>
          <w:tcPr>
            <w:tcW w:w="379" w:type="pct"/>
            <w:vAlign w:val="center"/>
          </w:tcPr>
          <w:p w14:paraId="0BEA29CC">
            <w:pPr>
              <w:widowControl/>
              <w:spacing w:line="240" w:lineRule="auto"/>
              <w:ind w:firstLine="0" w:firstLineChars="0"/>
              <w:jc w:val="center"/>
              <w:rPr>
                <w:color w:val="000000"/>
                <w:kern w:val="2"/>
                <w:sz w:val="21"/>
                <w:lang w:val="zh-CN"/>
              </w:rPr>
            </w:pPr>
            <w:r>
              <w:rPr>
                <w:rFonts w:hint="eastAsia"/>
                <w:color w:val="000000"/>
                <w:kern w:val="2"/>
                <w:sz w:val="21"/>
                <w:lang w:val="zh-CN"/>
              </w:rPr>
              <w:t>150</w:t>
            </w:r>
          </w:p>
        </w:tc>
        <w:tc>
          <w:tcPr>
            <w:tcW w:w="677" w:type="pct"/>
            <w:vAlign w:val="center"/>
          </w:tcPr>
          <w:p w14:paraId="31523D78">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3B0CED93">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279F6E26">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2A51664C">
            <w:pPr>
              <w:widowControl/>
              <w:spacing w:line="240" w:lineRule="auto"/>
              <w:ind w:firstLine="0" w:firstLineChars="0"/>
              <w:jc w:val="center"/>
              <w:rPr>
                <w:color w:val="000000"/>
                <w:kern w:val="2"/>
                <w:sz w:val="21"/>
                <w:lang w:val="zh-CN"/>
              </w:rPr>
            </w:pPr>
            <w:r>
              <w:rPr>
                <w:rFonts w:hint="eastAsia"/>
                <w:color w:val="000000"/>
                <w:kern w:val="2"/>
                <w:sz w:val="21"/>
                <w:lang w:val="zh-CN"/>
              </w:rPr>
              <w:t>100</w:t>
            </w:r>
          </w:p>
        </w:tc>
        <w:tc>
          <w:tcPr>
            <w:tcW w:w="329" w:type="pct"/>
            <w:vAlign w:val="center"/>
          </w:tcPr>
          <w:p w14:paraId="0FCE37D2">
            <w:pPr>
              <w:widowControl/>
              <w:spacing w:line="240" w:lineRule="auto"/>
              <w:ind w:firstLine="0" w:firstLineChars="0"/>
              <w:jc w:val="center"/>
              <w:rPr>
                <w:color w:val="000000"/>
                <w:kern w:val="2"/>
                <w:sz w:val="21"/>
                <w:lang w:val="zh-CN"/>
              </w:rPr>
            </w:pPr>
            <w:r>
              <w:rPr>
                <w:rFonts w:hint="eastAsia"/>
                <w:color w:val="000000"/>
                <w:kern w:val="2"/>
                <w:sz w:val="21"/>
                <w:lang w:val="zh-CN"/>
              </w:rPr>
              <w:t>8</w:t>
            </w:r>
            <w:r>
              <w:rPr>
                <w:rFonts w:hint="eastAsia"/>
                <w:color w:val="000000"/>
                <w:kern w:val="2"/>
                <w:sz w:val="21"/>
                <w:vertAlign w:val="superscript"/>
                <w:lang w:val="zh-CN"/>
              </w:rPr>
              <w:t>b</w:t>
            </w:r>
          </w:p>
        </w:tc>
        <w:tc>
          <w:tcPr>
            <w:tcW w:w="322" w:type="pct"/>
            <w:vAlign w:val="center"/>
          </w:tcPr>
          <w:p w14:paraId="75402E54">
            <w:pPr>
              <w:widowControl/>
              <w:spacing w:line="240" w:lineRule="auto"/>
              <w:ind w:firstLine="0" w:firstLineChars="0"/>
              <w:jc w:val="center"/>
              <w:rPr>
                <w:color w:val="000000"/>
                <w:kern w:val="2"/>
                <w:sz w:val="21"/>
                <w:lang w:val="zh-CN"/>
              </w:rPr>
            </w:pPr>
            <w:r>
              <w:rPr>
                <w:color w:val="000000"/>
                <w:kern w:val="2"/>
                <w:sz w:val="21"/>
                <w:lang w:val="zh-CN"/>
              </w:rPr>
              <w:t>-</w:t>
            </w:r>
          </w:p>
        </w:tc>
        <w:tc>
          <w:tcPr>
            <w:tcW w:w="312" w:type="pct"/>
            <w:vMerge w:val="continue"/>
            <w:vAlign w:val="center"/>
          </w:tcPr>
          <w:p w14:paraId="3A3E51D0">
            <w:pPr>
              <w:widowControl/>
              <w:spacing w:line="240" w:lineRule="auto"/>
              <w:ind w:firstLine="0" w:firstLineChars="0"/>
              <w:jc w:val="center"/>
              <w:rPr>
                <w:color w:val="000000"/>
                <w:kern w:val="2"/>
                <w:sz w:val="21"/>
                <w:lang w:val="zh-CN"/>
              </w:rPr>
            </w:pPr>
          </w:p>
        </w:tc>
      </w:tr>
      <w:tr w14:paraId="19FE76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2F61A1C8">
            <w:pPr>
              <w:widowControl/>
              <w:spacing w:line="240" w:lineRule="auto"/>
              <w:ind w:firstLine="0" w:firstLineChars="0"/>
              <w:jc w:val="center"/>
              <w:rPr>
                <w:color w:val="000000"/>
                <w:kern w:val="2"/>
                <w:sz w:val="21"/>
                <w:lang w:val="zh-CN"/>
              </w:rPr>
            </w:pPr>
            <w:r>
              <w:rPr>
                <w:color w:val="000000"/>
                <w:kern w:val="2"/>
                <w:sz w:val="21"/>
                <w:lang w:val="zh-CN"/>
              </w:rPr>
              <w:t>4</w:t>
            </w:r>
          </w:p>
        </w:tc>
        <w:tc>
          <w:tcPr>
            <w:tcW w:w="286" w:type="pct"/>
            <w:vAlign w:val="center"/>
          </w:tcPr>
          <w:p w14:paraId="4F8832DF">
            <w:pPr>
              <w:widowControl/>
              <w:spacing w:line="240" w:lineRule="auto"/>
              <w:ind w:firstLine="0" w:firstLineChars="0"/>
              <w:jc w:val="center"/>
              <w:rPr>
                <w:color w:val="000000"/>
                <w:kern w:val="2"/>
                <w:sz w:val="21"/>
                <w:lang w:val="zh-CN"/>
              </w:rPr>
            </w:pPr>
            <w:r>
              <w:rPr>
                <w:rFonts w:hint="eastAsia"/>
                <w:color w:val="000000"/>
                <w:kern w:val="2"/>
                <w:sz w:val="21"/>
                <w:lang w:val="zh-CN"/>
              </w:rPr>
              <w:t>熄焦</w:t>
            </w:r>
          </w:p>
        </w:tc>
        <w:tc>
          <w:tcPr>
            <w:tcW w:w="669" w:type="pct"/>
            <w:vAlign w:val="center"/>
          </w:tcPr>
          <w:p w14:paraId="37147E36">
            <w:pPr>
              <w:widowControl/>
              <w:spacing w:line="240" w:lineRule="auto"/>
              <w:ind w:firstLine="0" w:firstLineChars="0"/>
              <w:jc w:val="center"/>
              <w:rPr>
                <w:color w:val="000000"/>
                <w:kern w:val="2"/>
                <w:sz w:val="21"/>
                <w:lang w:val="zh-CN"/>
              </w:rPr>
            </w:pPr>
            <w:r>
              <w:rPr>
                <w:color w:val="000000"/>
                <w:kern w:val="2"/>
                <w:sz w:val="21"/>
                <w:lang w:val="zh-CN"/>
              </w:rPr>
              <w:t>干法熄焦</w:t>
            </w:r>
          </w:p>
        </w:tc>
        <w:tc>
          <w:tcPr>
            <w:tcW w:w="287" w:type="pct"/>
            <w:vAlign w:val="center"/>
          </w:tcPr>
          <w:p w14:paraId="283AB85B">
            <w:pPr>
              <w:widowControl/>
              <w:spacing w:line="240" w:lineRule="auto"/>
              <w:ind w:firstLine="0" w:firstLineChars="0"/>
              <w:jc w:val="center"/>
              <w:rPr>
                <w:color w:val="000000"/>
                <w:kern w:val="2"/>
                <w:sz w:val="21"/>
              </w:rPr>
            </w:pPr>
            <w:r>
              <w:rPr>
                <w:rFonts w:hint="eastAsia"/>
                <w:color w:val="000000"/>
                <w:kern w:val="2"/>
                <w:sz w:val="21"/>
              </w:rPr>
              <w:t>30</w:t>
            </w:r>
          </w:p>
        </w:tc>
        <w:tc>
          <w:tcPr>
            <w:tcW w:w="444" w:type="pct"/>
            <w:vAlign w:val="center"/>
          </w:tcPr>
          <w:p w14:paraId="6FBF539F">
            <w:pPr>
              <w:widowControl/>
              <w:spacing w:line="240" w:lineRule="auto"/>
              <w:ind w:firstLine="0" w:firstLineChars="0"/>
              <w:jc w:val="center"/>
              <w:rPr>
                <w:color w:val="000000"/>
                <w:kern w:val="2"/>
                <w:sz w:val="21"/>
              </w:rPr>
            </w:pPr>
            <w:r>
              <w:rPr>
                <w:rFonts w:hint="eastAsia"/>
                <w:color w:val="000000"/>
                <w:kern w:val="2"/>
                <w:sz w:val="21"/>
              </w:rPr>
              <w:t>80</w:t>
            </w:r>
          </w:p>
        </w:tc>
        <w:tc>
          <w:tcPr>
            <w:tcW w:w="379" w:type="pct"/>
            <w:vAlign w:val="center"/>
          </w:tcPr>
          <w:p w14:paraId="19F7EF6D">
            <w:pPr>
              <w:widowControl/>
              <w:spacing w:line="240" w:lineRule="auto"/>
              <w:ind w:firstLine="0" w:firstLineChars="0"/>
              <w:jc w:val="center"/>
              <w:rPr>
                <w:color w:val="000000"/>
                <w:kern w:val="2"/>
                <w:sz w:val="21"/>
                <w:lang w:val="zh-CN"/>
              </w:rPr>
            </w:pPr>
            <w:r>
              <w:rPr>
                <w:color w:val="000000"/>
                <w:kern w:val="2"/>
                <w:sz w:val="21"/>
                <w:lang w:val="zh-CN"/>
              </w:rPr>
              <w:t>-</w:t>
            </w:r>
          </w:p>
        </w:tc>
        <w:tc>
          <w:tcPr>
            <w:tcW w:w="677" w:type="pct"/>
            <w:vAlign w:val="center"/>
          </w:tcPr>
          <w:p w14:paraId="57A8FB64">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08C12085">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483B4799">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2536A53B">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3C6D8A72">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5165123A">
            <w:pPr>
              <w:widowControl/>
              <w:spacing w:line="240" w:lineRule="auto"/>
              <w:ind w:firstLine="0" w:firstLineChars="0"/>
              <w:jc w:val="center"/>
              <w:rPr>
                <w:color w:val="000000"/>
                <w:kern w:val="2"/>
                <w:sz w:val="21"/>
                <w:lang w:val="zh-CN"/>
              </w:rPr>
            </w:pPr>
            <w:r>
              <w:rPr>
                <w:color w:val="000000"/>
                <w:kern w:val="2"/>
                <w:sz w:val="21"/>
                <w:lang w:val="zh-CN"/>
              </w:rPr>
              <w:t>-</w:t>
            </w:r>
          </w:p>
        </w:tc>
        <w:tc>
          <w:tcPr>
            <w:tcW w:w="312" w:type="pct"/>
            <w:vMerge w:val="continue"/>
            <w:vAlign w:val="center"/>
          </w:tcPr>
          <w:p w14:paraId="2D791A9B">
            <w:pPr>
              <w:widowControl/>
              <w:spacing w:line="240" w:lineRule="auto"/>
              <w:ind w:firstLine="0" w:firstLineChars="0"/>
              <w:jc w:val="center"/>
              <w:rPr>
                <w:color w:val="000000"/>
                <w:kern w:val="2"/>
                <w:sz w:val="21"/>
                <w:lang w:val="zh-CN"/>
              </w:rPr>
            </w:pPr>
          </w:p>
        </w:tc>
      </w:tr>
      <w:tr w14:paraId="3565A41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52146C81">
            <w:pPr>
              <w:widowControl/>
              <w:spacing w:line="240" w:lineRule="auto"/>
              <w:ind w:firstLine="0" w:firstLineChars="0"/>
              <w:jc w:val="center"/>
              <w:rPr>
                <w:color w:val="000000"/>
                <w:kern w:val="2"/>
                <w:sz w:val="21"/>
                <w:lang w:val="zh-CN"/>
              </w:rPr>
            </w:pPr>
            <w:r>
              <w:rPr>
                <w:color w:val="000000"/>
                <w:kern w:val="2"/>
                <w:sz w:val="21"/>
                <w:lang w:val="zh-CN"/>
              </w:rPr>
              <w:t>5</w:t>
            </w:r>
          </w:p>
        </w:tc>
        <w:tc>
          <w:tcPr>
            <w:tcW w:w="286" w:type="pct"/>
            <w:vMerge w:val="restart"/>
            <w:vAlign w:val="center"/>
          </w:tcPr>
          <w:p w14:paraId="74937B8F">
            <w:pPr>
              <w:widowControl/>
              <w:spacing w:line="240" w:lineRule="auto"/>
              <w:ind w:firstLine="0" w:firstLineChars="0"/>
              <w:jc w:val="center"/>
              <w:rPr>
                <w:color w:val="000000"/>
                <w:kern w:val="2"/>
                <w:sz w:val="21"/>
                <w:lang w:val="zh-CN"/>
              </w:rPr>
            </w:pPr>
            <w:r>
              <w:rPr>
                <w:rFonts w:hint="eastAsia"/>
                <w:color w:val="000000"/>
                <w:kern w:val="2"/>
                <w:sz w:val="21"/>
                <w:lang w:val="zh-CN"/>
              </w:rPr>
              <w:t>煤气净化和库区</w:t>
            </w:r>
          </w:p>
        </w:tc>
        <w:tc>
          <w:tcPr>
            <w:tcW w:w="669" w:type="pct"/>
            <w:vAlign w:val="center"/>
          </w:tcPr>
          <w:p w14:paraId="58F80FF7">
            <w:pPr>
              <w:widowControl/>
              <w:spacing w:line="240" w:lineRule="auto"/>
              <w:ind w:firstLine="0" w:firstLineChars="0"/>
              <w:jc w:val="center"/>
              <w:rPr>
                <w:b/>
                <w:bCs/>
                <w:color w:val="000000"/>
                <w:kern w:val="2"/>
                <w:sz w:val="21"/>
                <w:lang w:val="zh-CN"/>
              </w:rPr>
            </w:pPr>
            <w:r>
              <w:rPr>
                <w:rFonts w:hint="eastAsia"/>
                <w:b/>
                <w:bCs/>
                <w:color w:val="000000"/>
                <w:kern w:val="2"/>
                <w:sz w:val="21"/>
                <w:lang w:val="zh-CN"/>
              </w:rPr>
              <w:t>冷鼓、库区焦油各类贮槽（罐、池）及装载设施</w:t>
            </w:r>
            <w:r>
              <w:rPr>
                <w:rFonts w:hint="eastAsia"/>
                <w:b/>
                <w:bCs/>
                <w:color w:val="000000"/>
                <w:kern w:val="2"/>
                <w:sz w:val="21"/>
                <w:vertAlign w:val="superscript"/>
                <w:lang w:val="zh-CN"/>
              </w:rPr>
              <w:t>d</w:t>
            </w:r>
          </w:p>
        </w:tc>
        <w:tc>
          <w:tcPr>
            <w:tcW w:w="287" w:type="pct"/>
            <w:vAlign w:val="center"/>
          </w:tcPr>
          <w:p w14:paraId="3F8949AD">
            <w:pPr>
              <w:widowControl/>
              <w:spacing w:line="240" w:lineRule="auto"/>
              <w:ind w:firstLine="0" w:firstLineChars="0"/>
              <w:jc w:val="center"/>
              <w:rPr>
                <w:b/>
                <w:bCs/>
                <w:color w:val="000000"/>
                <w:kern w:val="2"/>
                <w:sz w:val="21"/>
              </w:rPr>
            </w:pPr>
            <w:r>
              <w:rPr>
                <w:b/>
                <w:bCs/>
                <w:color w:val="000000"/>
                <w:kern w:val="2"/>
                <w:sz w:val="21"/>
                <w:lang w:val="zh-CN"/>
              </w:rPr>
              <w:t>-</w:t>
            </w:r>
          </w:p>
        </w:tc>
        <w:tc>
          <w:tcPr>
            <w:tcW w:w="444" w:type="pct"/>
            <w:vAlign w:val="center"/>
          </w:tcPr>
          <w:p w14:paraId="10DC4E9D">
            <w:pPr>
              <w:widowControl/>
              <w:spacing w:line="240" w:lineRule="auto"/>
              <w:ind w:firstLine="0" w:firstLineChars="0"/>
              <w:jc w:val="center"/>
              <w:rPr>
                <w:b/>
                <w:bCs/>
                <w:color w:val="000000"/>
                <w:kern w:val="2"/>
                <w:sz w:val="21"/>
                <w:lang w:val="zh-CN"/>
              </w:rPr>
            </w:pPr>
            <w:r>
              <w:rPr>
                <w:b/>
                <w:bCs/>
                <w:color w:val="000000"/>
                <w:kern w:val="2"/>
                <w:sz w:val="21"/>
                <w:lang w:val="zh-CN"/>
              </w:rPr>
              <w:t>-</w:t>
            </w:r>
          </w:p>
        </w:tc>
        <w:tc>
          <w:tcPr>
            <w:tcW w:w="379" w:type="pct"/>
            <w:vAlign w:val="center"/>
          </w:tcPr>
          <w:p w14:paraId="6EC08B90">
            <w:pPr>
              <w:widowControl/>
              <w:spacing w:line="240" w:lineRule="auto"/>
              <w:ind w:firstLine="0" w:firstLineChars="0"/>
              <w:jc w:val="center"/>
              <w:rPr>
                <w:b/>
                <w:bCs/>
                <w:color w:val="000000"/>
                <w:kern w:val="2"/>
                <w:sz w:val="21"/>
                <w:lang w:val="zh-CN"/>
              </w:rPr>
            </w:pPr>
            <w:r>
              <w:rPr>
                <w:b/>
                <w:bCs/>
                <w:color w:val="000000"/>
                <w:kern w:val="2"/>
                <w:sz w:val="21"/>
                <w:lang w:val="zh-CN"/>
              </w:rPr>
              <w:t>-</w:t>
            </w:r>
          </w:p>
        </w:tc>
        <w:tc>
          <w:tcPr>
            <w:tcW w:w="677" w:type="pct"/>
            <w:vAlign w:val="center"/>
          </w:tcPr>
          <w:p w14:paraId="6BB70BCB">
            <w:pPr>
              <w:widowControl/>
              <w:spacing w:line="240" w:lineRule="auto"/>
              <w:ind w:firstLine="0" w:firstLineChars="0"/>
              <w:jc w:val="center"/>
              <w:rPr>
                <w:b/>
                <w:bCs/>
                <w:color w:val="000000"/>
                <w:kern w:val="2"/>
                <w:sz w:val="21"/>
                <w:lang w:val="zh-CN"/>
              </w:rPr>
            </w:pPr>
            <w:r>
              <w:rPr>
                <w:b/>
                <w:bCs/>
                <w:color w:val="000000"/>
                <w:kern w:val="2"/>
                <w:sz w:val="21"/>
                <w:lang w:val="zh-CN"/>
              </w:rPr>
              <w:t>0.3</w:t>
            </w:r>
            <w:r>
              <w:rPr>
                <w:rFonts w:hint="eastAsia" w:ascii="宋体" w:hAnsi="宋体"/>
                <w:b/>
                <w:bCs/>
                <w:color w:val="000000"/>
                <w:kern w:val="2"/>
                <w:sz w:val="21"/>
                <w:lang w:val="zh-CN"/>
              </w:rPr>
              <w:t>μ</w:t>
            </w:r>
            <w:r>
              <w:rPr>
                <w:b/>
                <w:bCs/>
                <w:color w:val="000000"/>
                <w:kern w:val="2"/>
                <w:sz w:val="21"/>
                <w:lang w:val="zh-CN"/>
              </w:rPr>
              <w:t>g/m</w:t>
            </w:r>
            <w:r>
              <w:rPr>
                <w:b/>
                <w:bCs/>
                <w:color w:val="000000"/>
                <w:kern w:val="2"/>
                <w:sz w:val="21"/>
                <w:vertAlign w:val="superscript"/>
                <w:lang w:val="zh-CN"/>
              </w:rPr>
              <w:t>3</w:t>
            </w:r>
          </w:p>
        </w:tc>
        <w:tc>
          <w:tcPr>
            <w:tcW w:w="322" w:type="pct"/>
            <w:vAlign w:val="center"/>
          </w:tcPr>
          <w:p w14:paraId="684C6DF2">
            <w:pPr>
              <w:widowControl/>
              <w:spacing w:line="240" w:lineRule="auto"/>
              <w:ind w:firstLine="0" w:firstLineChars="0"/>
              <w:jc w:val="center"/>
              <w:rPr>
                <w:b/>
                <w:bCs/>
                <w:color w:val="000000"/>
                <w:kern w:val="2"/>
                <w:sz w:val="21"/>
                <w:lang w:val="zh-CN"/>
              </w:rPr>
            </w:pPr>
            <w:r>
              <w:rPr>
                <w:b/>
                <w:bCs/>
                <w:color w:val="000000"/>
                <w:kern w:val="2"/>
                <w:sz w:val="21"/>
                <w:lang w:val="zh-CN"/>
              </w:rPr>
              <w:t>1.0</w:t>
            </w:r>
          </w:p>
        </w:tc>
        <w:tc>
          <w:tcPr>
            <w:tcW w:w="287" w:type="pct"/>
            <w:vAlign w:val="center"/>
          </w:tcPr>
          <w:p w14:paraId="0FB51C5A">
            <w:pPr>
              <w:widowControl/>
              <w:spacing w:line="240" w:lineRule="auto"/>
              <w:ind w:firstLine="0" w:firstLineChars="0"/>
              <w:jc w:val="center"/>
              <w:rPr>
                <w:b/>
                <w:bCs/>
                <w:color w:val="000000"/>
                <w:kern w:val="2"/>
                <w:sz w:val="21"/>
                <w:lang w:val="zh-CN"/>
              </w:rPr>
            </w:pPr>
            <w:r>
              <w:rPr>
                <w:rFonts w:hint="eastAsia"/>
                <w:b/>
                <w:bCs/>
                <w:color w:val="000000"/>
                <w:kern w:val="2"/>
                <w:sz w:val="21"/>
              </w:rPr>
              <w:t>20</w:t>
            </w:r>
          </w:p>
        </w:tc>
        <w:tc>
          <w:tcPr>
            <w:tcW w:w="400" w:type="pct"/>
            <w:vAlign w:val="center"/>
          </w:tcPr>
          <w:p w14:paraId="320D5B0C">
            <w:pPr>
              <w:widowControl/>
              <w:spacing w:line="240" w:lineRule="auto"/>
              <w:ind w:firstLine="0" w:firstLineChars="0"/>
              <w:jc w:val="center"/>
              <w:rPr>
                <w:b/>
                <w:bCs/>
                <w:color w:val="000000"/>
                <w:kern w:val="2"/>
                <w:sz w:val="21"/>
                <w:lang w:val="zh-CN"/>
              </w:rPr>
            </w:pPr>
            <w:r>
              <w:rPr>
                <w:rFonts w:hint="eastAsia"/>
                <w:b/>
                <w:bCs/>
                <w:color w:val="000000"/>
                <w:kern w:val="2"/>
                <w:sz w:val="21"/>
                <w:lang w:val="zh-CN"/>
              </w:rPr>
              <w:t>50</w:t>
            </w:r>
          </w:p>
        </w:tc>
        <w:tc>
          <w:tcPr>
            <w:tcW w:w="329" w:type="pct"/>
            <w:vAlign w:val="center"/>
          </w:tcPr>
          <w:p w14:paraId="456AB799">
            <w:pPr>
              <w:widowControl/>
              <w:spacing w:line="240" w:lineRule="auto"/>
              <w:ind w:firstLine="0" w:firstLineChars="0"/>
              <w:jc w:val="center"/>
              <w:rPr>
                <w:b/>
                <w:bCs/>
                <w:color w:val="000000"/>
                <w:kern w:val="2"/>
                <w:sz w:val="21"/>
                <w:lang w:val="zh-CN"/>
              </w:rPr>
            </w:pPr>
            <w:r>
              <w:rPr>
                <w:rFonts w:hint="eastAsia"/>
                <w:b/>
                <w:bCs/>
                <w:color w:val="000000"/>
                <w:kern w:val="2"/>
                <w:sz w:val="21"/>
              </w:rPr>
              <w:t>20</w:t>
            </w:r>
          </w:p>
        </w:tc>
        <w:tc>
          <w:tcPr>
            <w:tcW w:w="322" w:type="pct"/>
            <w:vAlign w:val="center"/>
          </w:tcPr>
          <w:p w14:paraId="2A123310">
            <w:pPr>
              <w:widowControl/>
              <w:spacing w:line="240" w:lineRule="auto"/>
              <w:ind w:firstLine="0" w:firstLineChars="0"/>
              <w:jc w:val="center"/>
              <w:rPr>
                <w:b/>
                <w:bCs/>
                <w:color w:val="000000"/>
                <w:kern w:val="2"/>
                <w:sz w:val="21"/>
                <w:lang w:val="zh-CN"/>
              </w:rPr>
            </w:pPr>
            <w:r>
              <w:rPr>
                <w:rFonts w:hint="eastAsia"/>
                <w:b/>
                <w:bCs/>
                <w:color w:val="000000"/>
                <w:kern w:val="2"/>
                <w:sz w:val="21"/>
              </w:rPr>
              <w:t>3.</w:t>
            </w:r>
            <w:r>
              <w:rPr>
                <w:b/>
                <w:bCs/>
                <w:color w:val="000000"/>
                <w:kern w:val="2"/>
                <w:sz w:val="21"/>
                <w:lang w:val="zh-CN"/>
              </w:rPr>
              <w:t>0</w:t>
            </w:r>
          </w:p>
        </w:tc>
        <w:tc>
          <w:tcPr>
            <w:tcW w:w="312" w:type="pct"/>
            <w:vMerge w:val="continue"/>
            <w:vAlign w:val="center"/>
          </w:tcPr>
          <w:p w14:paraId="173DB56C">
            <w:pPr>
              <w:widowControl/>
              <w:spacing w:line="240" w:lineRule="auto"/>
              <w:ind w:firstLine="0" w:firstLineChars="0"/>
              <w:jc w:val="center"/>
              <w:rPr>
                <w:color w:val="000000"/>
                <w:kern w:val="2"/>
                <w:sz w:val="21"/>
                <w:lang w:val="zh-CN"/>
              </w:rPr>
            </w:pPr>
          </w:p>
        </w:tc>
      </w:tr>
      <w:tr w14:paraId="4707A0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1754AE25">
            <w:pPr>
              <w:widowControl/>
              <w:spacing w:line="240" w:lineRule="auto"/>
              <w:ind w:firstLine="0" w:firstLineChars="0"/>
              <w:jc w:val="center"/>
              <w:rPr>
                <w:color w:val="000000"/>
                <w:kern w:val="2"/>
                <w:sz w:val="21"/>
                <w:lang w:val="zh-CN"/>
              </w:rPr>
            </w:pPr>
            <w:r>
              <w:rPr>
                <w:color w:val="000000"/>
                <w:kern w:val="2"/>
                <w:sz w:val="21"/>
                <w:lang w:val="zh-CN"/>
              </w:rPr>
              <w:t>6</w:t>
            </w:r>
          </w:p>
        </w:tc>
        <w:tc>
          <w:tcPr>
            <w:tcW w:w="286" w:type="pct"/>
            <w:vMerge w:val="continue"/>
            <w:vAlign w:val="center"/>
          </w:tcPr>
          <w:p w14:paraId="26A9863A">
            <w:pPr>
              <w:widowControl/>
              <w:spacing w:line="240" w:lineRule="auto"/>
              <w:ind w:firstLine="0" w:firstLineChars="0"/>
              <w:jc w:val="center"/>
              <w:rPr>
                <w:color w:val="000000"/>
                <w:kern w:val="2"/>
                <w:sz w:val="21"/>
                <w:lang w:val="zh-CN"/>
              </w:rPr>
            </w:pPr>
          </w:p>
        </w:tc>
        <w:tc>
          <w:tcPr>
            <w:tcW w:w="669" w:type="pct"/>
            <w:vAlign w:val="center"/>
          </w:tcPr>
          <w:p w14:paraId="508F2F2B">
            <w:pPr>
              <w:widowControl/>
              <w:spacing w:line="240" w:lineRule="auto"/>
              <w:ind w:firstLine="0" w:firstLineChars="0"/>
              <w:jc w:val="center"/>
              <w:rPr>
                <w:color w:val="000000"/>
                <w:kern w:val="2"/>
                <w:sz w:val="21"/>
                <w:lang w:val="zh-CN"/>
              </w:rPr>
            </w:pPr>
            <w:r>
              <w:rPr>
                <w:rFonts w:hint="eastAsia"/>
                <w:color w:val="000000"/>
                <w:kern w:val="2"/>
                <w:sz w:val="21"/>
                <w:lang w:val="zh-CN"/>
              </w:rPr>
              <w:t>苯贮槽（罐）及装载设施</w:t>
            </w:r>
          </w:p>
        </w:tc>
        <w:tc>
          <w:tcPr>
            <w:tcW w:w="287" w:type="pct"/>
            <w:vAlign w:val="center"/>
          </w:tcPr>
          <w:p w14:paraId="20116522">
            <w:pPr>
              <w:widowControl/>
              <w:spacing w:line="240" w:lineRule="auto"/>
              <w:ind w:firstLine="0" w:firstLineChars="0"/>
              <w:jc w:val="center"/>
              <w:rPr>
                <w:color w:val="000000"/>
                <w:kern w:val="2"/>
                <w:sz w:val="21"/>
              </w:rPr>
            </w:pPr>
            <w:r>
              <w:rPr>
                <w:rFonts w:hint="eastAsia"/>
                <w:color w:val="000000"/>
                <w:kern w:val="2"/>
                <w:sz w:val="21"/>
              </w:rPr>
              <w:t>30</w:t>
            </w:r>
          </w:p>
        </w:tc>
        <w:tc>
          <w:tcPr>
            <w:tcW w:w="444" w:type="pct"/>
            <w:vAlign w:val="center"/>
          </w:tcPr>
          <w:p w14:paraId="56617B07">
            <w:pPr>
              <w:widowControl/>
              <w:spacing w:line="240" w:lineRule="auto"/>
              <w:ind w:firstLine="0" w:firstLineChars="0"/>
              <w:jc w:val="center"/>
              <w:rPr>
                <w:color w:val="000000"/>
                <w:kern w:val="2"/>
                <w:sz w:val="21"/>
              </w:rPr>
            </w:pPr>
            <w:r>
              <w:rPr>
                <w:rFonts w:hint="eastAsia"/>
                <w:color w:val="000000"/>
                <w:kern w:val="2"/>
                <w:sz w:val="21"/>
              </w:rPr>
              <w:t>100</w:t>
            </w:r>
          </w:p>
        </w:tc>
        <w:tc>
          <w:tcPr>
            <w:tcW w:w="379" w:type="pct"/>
            <w:vAlign w:val="center"/>
          </w:tcPr>
          <w:p w14:paraId="74B9A5CA">
            <w:pPr>
              <w:widowControl/>
              <w:spacing w:line="240" w:lineRule="auto"/>
              <w:ind w:firstLine="0" w:firstLineChars="0"/>
              <w:jc w:val="center"/>
              <w:rPr>
                <w:color w:val="000000"/>
                <w:kern w:val="2"/>
                <w:sz w:val="21"/>
                <w:lang w:val="zh-CN"/>
              </w:rPr>
            </w:pPr>
            <w:r>
              <w:rPr>
                <w:color w:val="000000"/>
                <w:kern w:val="2"/>
                <w:sz w:val="21"/>
                <w:lang w:val="zh-CN"/>
              </w:rPr>
              <w:t>150</w:t>
            </w:r>
          </w:p>
        </w:tc>
        <w:tc>
          <w:tcPr>
            <w:tcW w:w="677" w:type="pct"/>
            <w:vAlign w:val="center"/>
          </w:tcPr>
          <w:p w14:paraId="111A25F4">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332EC6F3">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1442C573">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609D7802">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1411DD84">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0C6BBCF1">
            <w:pPr>
              <w:widowControl/>
              <w:spacing w:line="240" w:lineRule="auto"/>
              <w:ind w:firstLine="0" w:firstLineChars="0"/>
              <w:jc w:val="center"/>
              <w:rPr>
                <w:color w:val="000000"/>
                <w:kern w:val="2"/>
                <w:sz w:val="21"/>
                <w:lang w:val="zh-CN"/>
              </w:rPr>
            </w:pPr>
          </w:p>
        </w:tc>
        <w:tc>
          <w:tcPr>
            <w:tcW w:w="312" w:type="pct"/>
            <w:vMerge w:val="continue"/>
            <w:vAlign w:val="center"/>
          </w:tcPr>
          <w:p w14:paraId="1C3C0E91">
            <w:pPr>
              <w:widowControl/>
              <w:spacing w:line="240" w:lineRule="auto"/>
              <w:ind w:firstLine="0" w:firstLineChars="0"/>
              <w:jc w:val="center"/>
              <w:rPr>
                <w:color w:val="000000"/>
                <w:kern w:val="2"/>
                <w:sz w:val="21"/>
                <w:lang w:val="zh-CN"/>
              </w:rPr>
            </w:pPr>
          </w:p>
        </w:tc>
      </w:tr>
      <w:tr w14:paraId="382179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0A98AD7A">
            <w:pPr>
              <w:widowControl/>
              <w:spacing w:line="240" w:lineRule="auto"/>
              <w:ind w:firstLine="0" w:firstLineChars="0"/>
              <w:jc w:val="center"/>
              <w:rPr>
                <w:color w:val="000000"/>
                <w:kern w:val="2"/>
                <w:sz w:val="21"/>
                <w:lang w:val="zh-CN"/>
              </w:rPr>
            </w:pPr>
            <w:r>
              <w:rPr>
                <w:rFonts w:hint="eastAsia"/>
                <w:color w:val="000000"/>
                <w:kern w:val="2"/>
                <w:sz w:val="21"/>
                <w:lang w:val="zh-CN"/>
              </w:rPr>
              <w:t>7</w:t>
            </w:r>
          </w:p>
        </w:tc>
        <w:tc>
          <w:tcPr>
            <w:tcW w:w="286" w:type="pct"/>
            <w:vMerge w:val="continue"/>
            <w:vAlign w:val="center"/>
          </w:tcPr>
          <w:p w14:paraId="1E43CD9B">
            <w:pPr>
              <w:widowControl/>
              <w:spacing w:line="240" w:lineRule="auto"/>
              <w:ind w:firstLine="0" w:firstLineChars="0"/>
              <w:jc w:val="center"/>
              <w:rPr>
                <w:color w:val="000000"/>
                <w:kern w:val="2"/>
                <w:sz w:val="21"/>
                <w:lang w:val="zh-CN"/>
              </w:rPr>
            </w:pPr>
          </w:p>
        </w:tc>
        <w:tc>
          <w:tcPr>
            <w:tcW w:w="669" w:type="pct"/>
            <w:vAlign w:val="center"/>
          </w:tcPr>
          <w:p w14:paraId="2A337433">
            <w:pPr>
              <w:widowControl/>
              <w:spacing w:line="240" w:lineRule="auto"/>
              <w:ind w:firstLine="0" w:firstLineChars="0"/>
              <w:jc w:val="center"/>
              <w:rPr>
                <w:color w:val="000000"/>
                <w:kern w:val="2"/>
                <w:sz w:val="21"/>
                <w:lang w:val="zh-CN"/>
              </w:rPr>
            </w:pPr>
            <w:r>
              <w:rPr>
                <w:rFonts w:hint="eastAsia"/>
                <w:color w:val="000000"/>
                <w:kern w:val="2"/>
                <w:sz w:val="21"/>
                <w:lang w:val="zh-CN"/>
              </w:rPr>
              <w:t>脱硫再生装置</w:t>
            </w:r>
          </w:p>
        </w:tc>
        <w:tc>
          <w:tcPr>
            <w:tcW w:w="287" w:type="pct"/>
            <w:vAlign w:val="center"/>
          </w:tcPr>
          <w:p w14:paraId="12FD878C">
            <w:pPr>
              <w:widowControl/>
              <w:spacing w:line="240" w:lineRule="auto"/>
              <w:ind w:firstLine="0" w:firstLineChars="0"/>
              <w:jc w:val="center"/>
              <w:rPr>
                <w:color w:val="000000"/>
                <w:kern w:val="2"/>
                <w:sz w:val="21"/>
              </w:rPr>
            </w:pPr>
            <w:r>
              <w:rPr>
                <w:color w:val="000000"/>
                <w:kern w:val="2"/>
                <w:sz w:val="21"/>
                <w:lang w:val="zh-CN"/>
              </w:rPr>
              <w:t>-</w:t>
            </w:r>
          </w:p>
        </w:tc>
        <w:tc>
          <w:tcPr>
            <w:tcW w:w="444" w:type="pct"/>
            <w:vAlign w:val="center"/>
          </w:tcPr>
          <w:p w14:paraId="2345B01F">
            <w:pPr>
              <w:widowControl/>
              <w:spacing w:line="240" w:lineRule="auto"/>
              <w:ind w:firstLine="0" w:firstLineChars="0"/>
              <w:jc w:val="center"/>
              <w:rPr>
                <w:color w:val="000000"/>
                <w:kern w:val="2"/>
                <w:sz w:val="21"/>
              </w:rPr>
            </w:pPr>
            <w:r>
              <w:rPr>
                <w:color w:val="000000"/>
                <w:kern w:val="2"/>
                <w:sz w:val="21"/>
                <w:lang w:val="zh-CN"/>
              </w:rPr>
              <w:t>-</w:t>
            </w:r>
          </w:p>
        </w:tc>
        <w:tc>
          <w:tcPr>
            <w:tcW w:w="379" w:type="pct"/>
            <w:vAlign w:val="center"/>
          </w:tcPr>
          <w:p w14:paraId="438259D2">
            <w:pPr>
              <w:widowControl/>
              <w:spacing w:line="240" w:lineRule="auto"/>
              <w:ind w:firstLine="0" w:firstLineChars="0"/>
              <w:jc w:val="center"/>
              <w:rPr>
                <w:color w:val="000000"/>
                <w:kern w:val="2"/>
                <w:sz w:val="21"/>
                <w:lang w:val="zh-CN"/>
              </w:rPr>
            </w:pPr>
            <w:r>
              <w:rPr>
                <w:color w:val="000000"/>
                <w:kern w:val="2"/>
                <w:sz w:val="21"/>
                <w:lang w:val="zh-CN"/>
              </w:rPr>
              <w:t>-</w:t>
            </w:r>
          </w:p>
        </w:tc>
        <w:tc>
          <w:tcPr>
            <w:tcW w:w="677" w:type="pct"/>
            <w:vAlign w:val="center"/>
          </w:tcPr>
          <w:p w14:paraId="7ABCAED8">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338C8157">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61341889">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269E2620">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1C2951C0">
            <w:pPr>
              <w:widowControl/>
              <w:spacing w:line="240" w:lineRule="auto"/>
              <w:ind w:firstLine="0" w:firstLineChars="0"/>
              <w:jc w:val="center"/>
              <w:rPr>
                <w:color w:val="000000"/>
                <w:kern w:val="2"/>
                <w:sz w:val="21"/>
                <w:lang w:val="zh-CN"/>
              </w:rPr>
            </w:pPr>
            <w:r>
              <w:rPr>
                <w:rFonts w:hint="eastAsia"/>
                <w:color w:val="000000"/>
                <w:kern w:val="2"/>
                <w:sz w:val="21"/>
                <w:lang w:val="zh-CN"/>
              </w:rPr>
              <w:t>20</w:t>
            </w:r>
          </w:p>
        </w:tc>
        <w:tc>
          <w:tcPr>
            <w:tcW w:w="322" w:type="pct"/>
            <w:vAlign w:val="center"/>
          </w:tcPr>
          <w:p w14:paraId="7831E819">
            <w:pPr>
              <w:widowControl/>
              <w:spacing w:line="240" w:lineRule="auto"/>
              <w:ind w:firstLine="0" w:firstLineChars="0"/>
              <w:jc w:val="center"/>
              <w:rPr>
                <w:color w:val="000000"/>
                <w:kern w:val="2"/>
                <w:sz w:val="21"/>
                <w:lang w:val="zh-CN"/>
              </w:rPr>
            </w:pPr>
            <w:r>
              <w:rPr>
                <w:rFonts w:hint="eastAsia"/>
                <w:color w:val="000000"/>
                <w:kern w:val="2"/>
                <w:sz w:val="21"/>
                <w:lang w:val="zh-CN"/>
              </w:rPr>
              <w:t>3.0</w:t>
            </w:r>
          </w:p>
        </w:tc>
        <w:tc>
          <w:tcPr>
            <w:tcW w:w="312" w:type="pct"/>
            <w:vMerge w:val="continue"/>
            <w:vAlign w:val="center"/>
          </w:tcPr>
          <w:p w14:paraId="2DA1ED83">
            <w:pPr>
              <w:widowControl/>
              <w:spacing w:line="240" w:lineRule="auto"/>
              <w:ind w:firstLine="0" w:firstLineChars="0"/>
              <w:jc w:val="center"/>
              <w:rPr>
                <w:color w:val="000000"/>
                <w:kern w:val="2"/>
                <w:sz w:val="21"/>
                <w:lang w:val="zh-CN"/>
              </w:rPr>
            </w:pPr>
          </w:p>
        </w:tc>
      </w:tr>
      <w:tr w14:paraId="6EEA3C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7748BFAB">
            <w:pPr>
              <w:widowControl/>
              <w:spacing w:line="240" w:lineRule="auto"/>
              <w:ind w:firstLine="0" w:firstLineChars="0"/>
              <w:jc w:val="center"/>
              <w:rPr>
                <w:color w:val="000000"/>
                <w:kern w:val="2"/>
                <w:sz w:val="21"/>
                <w:lang w:val="zh-CN"/>
              </w:rPr>
            </w:pPr>
            <w:r>
              <w:rPr>
                <w:rFonts w:hint="eastAsia"/>
                <w:color w:val="000000"/>
                <w:kern w:val="2"/>
                <w:sz w:val="21"/>
                <w:lang w:val="zh-CN"/>
              </w:rPr>
              <w:t>8</w:t>
            </w:r>
          </w:p>
        </w:tc>
        <w:tc>
          <w:tcPr>
            <w:tcW w:w="286" w:type="pct"/>
            <w:vMerge w:val="continue"/>
            <w:vAlign w:val="center"/>
          </w:tcPr>
          <w:p w14:paraId="3CEE0C2A">
            <w:pPr>
              <w:widowControl/>
              <w:spacing w:line="240" w:lineRule="auto"/>
              <w:ind w:firstLine="0" w:firstLineChars="0"/>
              <w:jc w:val="center"/>
              <w:rPr>
                <w:color w:val="000000"/>
                <w:kern w:val="2"/>
                <w:sz w:val="21"/>
                <w:lang w:val="zh-CN"/>
              </w:rPr>
            </w:pPr>
          </w:p>
        </w:tc>
        <w:tc>
          <w:tcPr>
            <w:tcW w:w="669" w:type="pct"/>
            <w:vAlign w:val="center"/>
          </w:tcPr>
          <w:p w14:paraId="135589A4">
            <w:pPr>
              <w:widowControl/>
              <w:spacing w:line="240" w:lineRule="auto"/>
              <w:ind w:firstLine="0" w:firstLineChars="0"/>
              <w:jc w:val="center"/>
              <w:rPr>
                <w:color w:val="000000"/>
                <w:kern w:val="2"/>
                <w:sz w:val="21"/>
                <w:lang w:val="zh-CN"/>
              </w:rPr>
            </w:pPr>
            <w:r>
              <w:rPr>
                <w:rFonts w:hint="eastAsia"/>
                <w:color w:val="000000"/>
                <w:kern w:val="2"/>
                <w:sz w:val="21"/>
                <w:lang w:val="zh-CN"/>
              </w:rPr>
              <w:t>脱硫制酸装置</w:t>
            </w:r>
          </w:p>
        </w:tc>
        <w:tc>
          <w:tcPr>
            <w:tcW w:w="287" w:type="pct"/>
            <w:vAlign w:val="center"/>
          </w:tcPr>
          <w:p w14:paraId="538E1F03">
            <w:pPr>
              <w:widowControl/>
              <w:spacing w:line="240" w:lineRule="auto"/>
              <w:ind w:firstLine="0" w:firstLineChars="0"/>
              <w:jc w:val="center"/>
              <w:rPr>
                <w:color w:val="000000"/>
                <w:kern w:val="2"/>
                <w:sz w:val="21"/>
              </w:rPr>
            </w:pPr>
            <w:r>
              <w:rPr>
                <w:color w:val="000000"/>
                <w:kern w:val="2"/>
                <w:sz w:val="21"/>
                <w:lang w:val="zh-CN"/>
              </w:rPr>
              <w:t>-</w:t>
            </w:r>
          </w:p>
        </w:tc>
        <w:tc>
          <w:tcPr>
            <w:tcW w:w="444" w:type="pct"/>
            <w:vAlign w:val="center"/>
          </w:tcPr>
          <w:p w14:paraId="0E48860B">
            <w:pPr>
              <w:widowControl/>
              <w:spacing w:line="240" w:lineRule="auto"/>
              <w:ind w:firstLine="0" w:firstLineChars="0"/>
              <w:jc w:val="center"/>
              <w:rPr>
                <w:color w:val="000000"/>
                <w:kern w:val="2"/>
                <w:sz w:val="21"/>
              </w:rPr>
            </w:pPr>
            <w:r>
              <w:rPr>
                <w:rFonts w:hint="eastAsia"/>
                <w:color w:val="000000"/>
                <w:kern w:val="2"/>
                <w:sz w:val="21"/>
              </w:rPr>
              <w:t>100</w:t>
            </w:r>
          </w:p>
        </w:tc>
        <w:tc>
          <w:tcPr>
            <w:tcW w:w="379" w:type="pct"/>
            <w:vAlign w:val="center"/>
          </w:tcPr>
          <w:p w14:paraId="0F4B0035">
            <w:pPr>
              <w:widowControl/>
              <w:spacing w:line="240" w:lineRule="auto"/>
              <w:ind w:firstLine="0" w:firstLineChars="0"/>
              <w:jc w:val="center"/>
              <w:rPr>
                <w:color w:val="000000"/>
                <w:kern w:val="2"/>
                <w:sz w:val="21"/>
                <w:lang w:val="zh-CN"/>
              </w:rPr>
            </w:pPr>
            <w:r>
              <w:rPr>
                <w:rFonts w:hint="eastAsia"/>
                <w:color w:val="000000"/>
                <w:kern w:val="2"/>
                <w:sz w:val="21"/>
                <w:lang w:val="zh-CN"/>
              </w:rPr>
              <w:t>150</w:t>
            </w:r>
          </w:p>
        </w:tc>
        <w:tc>
          <w:tcPr>
            <w:tcW w:w="677" w:type="pct"/>
            <w:vAlign w:val="center"/>
          </w:tcPr>
          <w:p w14:paraId="4B53AB2C">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63DAA07B">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7DCD6219">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4B394414">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6EF59BCA">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5F667D22">
            <w:pPr>
              <w:widowControl/>
              <w:spacing w:line="240" w:lineRule="auto"/>
              <w:ind w:firstLine="0" w:firstLineChars="0"/>
              <w:jc w:val="center"/>
              <w:rPr>
                <w:color w:val="000000"/>
                <w:kern w:val="2"/>
                <w:sz w:val="21"/>
                <w:lang w:val="zh-CN"/>
              </w:rPr>
            </w:pPr>
            <w:r>
              <w:rPr>
                <w:color w:val="000000"/>
                <w:kern w:val="2"/>
                <w:sz w:val="21"/>
                <w:lang w:val="zh-CN"/>
              </w:rPr>
              <w:t>-</w:t>
            </w:r>
          </w:p>
        </w:tc>
        <w:tc>
          <w:tcPr>
            <w:tcW w:w="312" w:type="pct"/>
            <w:vMerge w:val="continue"/>
            <w:vAlign w:val="center"/>
          </w:tcPr>
          <w:p w14:paraId="79DB58CA">
            <w:pPr>
              <w:widowControl/>
              <w:spacing w:line="240" w:lineRule="auto"/>
              <w:ind w:firstLine="0" w:firstLineChars="0"/>
              <w:jc w:val="center"/>
              <w:rPr>
                <w:color w:val="000000"/>
                <w:kern w:val="2"/>
                <w:sz w:val="21"/>
                <w:lang w:val="zh-CN"/>
              </w:rPr>
            </w:pPr>
          </w:p>
        </w:tc>
      </w:tr>
      <w:tr w14:paraId="529167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2B2416FF">
            <w:pPr>
              <w:widowControl/>
              <w:spacing w:line="240" w:lineRule="auto"/>
              <w:ind w:firstLine="0" w:firstLineChars="0"/>
              <w:jc w:val="center"/>
              <w:rPr>
                <w:color w:val="000000"/>
                <w:kern w:val="2"/>
                <w:sz w:val="21"/>
                <w:lang w:val="zh-CN"/>
              </w:rPr>
            </w:pPr>
            <w:r>
              <w:rPr>
                <w:rFonts w:hint="eastAsia"/>
                <w:color w:val="000000"/>
                <w:kern w:val="2"/>
                <w:sz w:val="21"/>
                <w:lang w:val="zh-CN"/>
              </w:rPr>
              <w:t>9</w:t>
            </w:r>
          </w:p>
        </w:tc>
        <w:tc>
          <w:tcPr>
            <w:tcW w:w="286" w:type="pct"/>
            <w:vMerge w:val="continue"/>
            <w:vAlign w:val="center"/>
          </w:tcPr>
          <w:p w14:paraId="229304E3">
            <w:pPr>
              <w:widowControl/>
              <w:spacing w:line="240" w:lineRule="auto"/>
              <w:ind w:firstLine="0" w:firstLineChars="0"/>
              <w:jc w:val="center"/>
              <w:rPr>
                <w:color w:val="000000"/>
                <w:kern w:val="2"/>
                <w:sz w:val="21"/>
                <w:lang w:val="zh-CN"/>
              </w:rPr>
            </w:pPr>
          </w:p>
        </w:tc>
        <w:tc>
          <w:tcPr>
            <w:tcW w:w="669" w:type="pct"/>
            <w:vAlign w:val="center"/>
          </w:tcPr>
          <w:p w14:paraId="7D2F408B">
            <w:pPr>
              <w:widowControl/>
              <w:spacing w:line="240" w:lineRule="auto"/>
              <w:ind w:firstLine="0" w:firstLineChars="0"/>
              <w:jc w:val="center"/>
              <w:rPr>
                <w:color w:val="000000"/>
                <w:kern w:val="2"/>
                <w:sz w:val="21"/>
                <w:lang w:val="zh-CN"/>
              </w:rPr>
            </w:pPr>
            <w:r>
              <w:rPr>
                <w:rFonts w:hint="eastAsia"/>
                <w:color w:val="000000"/>
                <w:kern w:val="2"/>
                <w:sz w:val="21"/>
                <w:lang w:val="zh-CN"/>
              </w:rPr>
              <w:t>硫铵结晶干燥</w:t>
            </w:r>
          </w:p>
        </w:tc>
        <w:tc>
          <w:tcPr>
            <w:tcW w:w="287" w:type="pct"/>
            <w:vAlign w:val="center"/>
          </w:tcPr>
          <w:p w14:paraId="18CC0AA9">
            <w:pPr>
              <w:widowControl/>
              <w:spacing w:line="240" w:lineRule="auto"/>
              <w:ind w:firstLine="0" w:firstLineChars="0"/>
              <w:jc w:val="center"/>
              <w:rPr>
                <w:color w:val="000000"/>
                <w:kern w:val="2"/>
                <w:sz w:val="21"/>
              </w:rPr>
            </w:pPr>
            <w:r>
              <w:rPr>
                <w:rFonts w:hint="eastAsia"/>
                <w:color w:val="000000"/>
                <w:kern w:val="2"/>
                <w:sz w:val="21"/>
              </w:rPr>
              <w:t>30</w:t>
            </w:r>
          </w:p>
        </w:tc>
        <w:tc>
          <w:tcPr>
            <w:tcW w:w="444" w:type="pct"/>
            <w:vAlign w:val="center"/>
          </w:tcPr>
          <w:p w14:paraId="66C1BA1A">
            <w:pPr>
              <w:widowControl/>
              <w:spacing w:line="240" w:lineRule="auto"/>
              <w:ind w:firstLine="0" w:firstLineChars="0"/>
              <w:jc w:val="center"/>
              <w:rPr>
                <w:color w:val="000000"/>
                <w:kern w:val="2"/>
                <w:sz w:val="21"/>
              </w:rPr>
            </w:pPr>
            <w:r>
              <w:rPr>
                <w:color w:val="000000"/>
                <w:kern w:val="2"/>
                <w:sz w:val="21"/>
                <w:lang w:val="zh-CN"/>
              </w:rPr>
              <w:t>-</w:t>
            </w:r>
          </w:p>
        </w:tc>
        <w:tc>
          <w:tcPr>
            <w:tcW w:w="379" w:type="pct"/>
            <w:vAlign w:val="center"/>
          </w:tcPr>
          <w:p w14:paraId="310D66F1">
            <w:pPr>
              <w:widowControl/>
              <w:spacing w:line="240" w:lineRule="auto"/>
              <w:ind w:firstLine="0" w:firstLineChars="0"/>
              <w:jc w:val="center"/>
              <w:rPr>
                <w:color w:val="000000"/>
                <w:kern w:val="2"/>
                <w:sz w:val="21"/>
                <w:lang w:val="zh-CN"/>
              </w:rPr>
            </w:pPr>
            <w:r>
              <w:rPr>
                <w:color w:val="000000"/>
                <w:kern w:val="2"/>
                <w:sz w:val="21"/>
                <w:lang w:val="zh-CN"/>
              </w:rPr>
              <w:t>-</w:t>
            </w:r>
          </w:p>
        </w:tc>
        <w:tc>
          <w:tcPr>
            <w:tcW w:w="677" w:type="pct"/>
            <w:vAlign w:val="center"/>
          </w:tcPr>
          <w:p w14:paraId="6A32E9D0">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3E40CE98">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1271598D">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21853504">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0E4F962D">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1E40E6E9">
            <w:pPr>
              <w:widowControl/>
              <w:spacing w:line="240" w:lineRule="auto"/>
              <w:ind w:firstLine="0" w:firstLineChars="0"/>
              <w:jc w:val="center"/>
              <w:rPr>
                <w:color w:val="000000"/>
                <w:kern w:val="2"/>
                <w:sz w:val="21"/>
                <w:lang w:val="zh-CN"/>
              </w:rPr>
            </w:pPr>
            <w:r>
              <w:rPr>
                <w:rFonts w:hint="eastAsia"/>
                <w:color w:val="000000"/>
                <w:kern w:val="2"/>
                <w:sz w:val="21"/>
                <w:lang w:val="zh-CN"/>
              </w:rPr>
              <w:t>-</w:t>
            </w:r>
          </w:p>
        </w:tc>
        <w:tc>
          <w:tcPr>
            <w:tcW w:w="312" w:type="pct"/>
            <w:vMerge w:val="continue"/>
            <w:vAlign w:val="center"/>
          </w:tcPr>
          <w:p w14:paraId="3AE732B7">
            <w:pPr>
              <w:widowControl/>
              <w:spacing w:line="240" w:lineRule="auto"/>
              <w:ind w:firstLine="0" w:firstLineChars="0"/>
              <w:jc w:val="center"/>
              <w:rPr>
                <w:color w:val="000000"/>
                <w:kern w:val="2"/>
                <w:sz w:val="21"/>
                <w:lang w:val="zh-CN"/>
              </w:rPr>
            </w:pPr>
          </w:p>
        </w:tc>
      </w:tr>
      <w:tr w14:paraId="01D70D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2F3E7A98">
            <w:pPr>
              <w:widowControl/>
              <w:spacing w:line="240" w:lineRule="auto"/>
              <w:ind w:firstLine="0" w:firstLineChars="0"/>
              <w:jc w:val="center"/>
              <w:rPr>
                <w:color w:val="000000"/>
                <w:kern w:val="2"/>
                <w:sz w:val="21"/>
                <w:lang w:val="zh-CN"/>
              </w:rPr>
            </w:pPr>
            <w:r>
              <w:rPr>
                <w:rFonts w:hint="eastAsia"/>
                <w:color w:val="000000"/>
                <w:kern w:val="2"/>
                <w:sz w:val="21"/>
                <w:lang w:val="zh-CN"/>
              </w:rPr>
              <w:t>10</w:t>
            </w:r>
          </w:p>
        </w:tc>
        <w:tc>
          <w:tcPr>
            <w:tcW w:w="955" w:type="pct"/>
            <w:gridSpan w:val="2"/>
            <w:vAlign w:val="center"/>
          </w:tcPr>
          <w:p w14:paraId="0AF1E20D">
            <w:pPr>
              <w:widowControl/>
              <w:spacing w:line="240" w:lineRule="auto"/>
              <w:ind w:firstLine="0" w:firstLineChars="0"/>
              <w:jc w:val="center"/>
              <w:rPr>
                <w:color w:val="000000"/>
                <w:kern w:val="2"/>
                <w:sz w:val="21"/>
                <w:lang w:val="zh-CN"/>
              </w:rPr>
            </w:pPr>
            <w:r>
              <w:rPr>
                <w:rFonts w:hint="eastAsia"/>
                <w:color w:val="000000"/>
                <w:kern w:val="2"/>
                <w:sz w:val="21"/>
                <w:lang w:val="zh-CN"/>
              </w:rPr>
              <w:t>精煤破碎、焦炭破碎、筛分、转运及其他需要通风的生产设施</w:t>
            </w:r>
          </w:p>
        </w:tc>
        <w:tc>
          <w:tcPr>
            <w:tcW w:w="287" w:type="pct"/>
            <w:vAlign w:val="center"/>
          </w:tcPr>
          <w:p w14:paraId="7C79D57A">
            <w:pPr>
              <w:widowControl/>
              <w:spacing w:line="240" w:lineRule="auto"/>
              <w:ind w:firstLine="0" w:firstLineChars="0"/>
              <w:jc w:val="center"/>
              <w:rPr>
                <w:color w:val="000000"/>
                <w:kern w:val="2"/>
                <w:sz w:val="21"/>
              </w:rPr>
            </w:pPr>
            <w:r>
              <w:rPr>
                <w:rFonts w:hint="eastAsia"/>
                <w:color w:val="000000"/>
                <w:kern w:val="2"/>
                <w:sz w:val="21"/>
              </w:rPr>
              <w:t>15</w:t>
            </w:r>
          </w:p>
        </w:tc>
        <w:tc>
          <w:tcPr>
            <w:tcW w:w="444" w:type="pct"/>
            <w:vAlign w:val="center"/>
          </w:tcPr>
          <w:p w14:paraId="68FF9178">
            <w:pPr>
              <w:widowControl/>
              <w:spacing w:line="240" w:lineRule="auto"/>
              <w:ind w:firstLine="0" w:firstLineChars="0"/>
              <w:jc w:val="center"/>
              <w:rPr>
                <w:color w:val="000000"/>
                <w:kern w:val="2"/>
                <w:sz w:val="21"/>
              </w:rPr>
            </w:pPr>
            <w:r>
              <w:rPr>
                <w:color w:val="000000"/>
                <w:kern w:val="2"/>
                <w:sz w:val="21"/>
                <w:lang w:val="zh-CN"/>
              </w:rPr>
              <w:t>-</w:t>
            </w:r>
          </w:p>
        </w:tc>
        <w:tc>
          <w:tcPr>
            <w:tcW w:w="379" w:type="pct"/>
            <w:vAlign w:val="center"/>
          </w:tcPr>
          <w:p w14:paraId="2F7C9504">
            <w:pPr>
              <w:widowControl/>
              <w:spacing w:line="240" w:lineRule="auto"/>
              <w:ind w:firstLine="0" w:firstLineChars="0"/>
              <w:jc w:val="center"/>
              <w:rPr>
                <w:color w:val="000000"/>
                <w:kern w:val="2"/>
                <w:sz w:val="21"/>
                <w:lang w:val="zh-CN"/>
              </w:rPr>
            </w:pPr>
            <w:r>
              <w:rPr>
                <w:color w:val="000000"/>
                <w:kern w:val="2"/>
                <w:sz w:val="21"/>
                <w:lang w:val="zh-CN"/>
              </w:rPr>
              <w:t>-</w:t>
            </w:r>
          </w:p>
        </w:tc>
        <w:tc>
          <w:tcPr>
            <w:tcW w:w="677" w:type="pct"/>
            <w:vAlign w:val="center"/>
          </w:tcPr>
          <w:p w14:paraId="596D8DEC">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5AEA7DE9">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3CED0AA4">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6CBDFB42">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4F5D1055">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4048625F">
            <w:pPr>
              <w:widowControl/>
              <w:spacing w:line="240" w:lineRule="auto"/>
              <w:ind w:firstLine="0" w:firstLineChars="0"/>
              <w:jc w:val="center"/>
              <w:rPr>
                <w:color w:val="000000"/>
                <w:kern w:val="2"/>
                <w:sz w:val="21"/>
                <w:lang w:val="zh-CN"/>
              </w:rPr>
            </w:pPr>
            <w:r>
              <w:rPr>
                <w:color w:val="000000"/>
                <w:kern w:val="2"/>
                <w:sz w:val="21"/>
                <w:lang w:val="zh-CN"/>
              </w:rPr>
              <w:t>-</w:t>
            </w:r>
          </w:p>
        </w:tc>
        <w:tc>
          <w:tcPr>
            <w:tcW w:w="312" w:type="pct"/>
            <w:vMerge w:val="continue"/>
            <w:vAlign w:val="center"/>
          </w:tcPr>
          <w:p w14:paraId="33F2BA04">
            <w:pPr>
              <w:widowControl/>
              <w:spacing w:line="240" w:lineRule="auto"/>
              <w:ind w:firstLine="0" w:firstLineChars="0"/>
              <w:jc w:val="center"/>
              <w:rPr>
                <w:color w:val="000000"/>
                <w:kern w:val="2"/>
                <w:sz w:val="21"/>
                <w:lang w:val="zh-CN"/>
              </w:rPr>
            </w:pPr>
          </w:p>
        </w:tc>
      </w:tr>
      <w:tr w14:paraId="324782F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3234D16F">
            <w:pPr>
              <w:widowControl/>
              <w:spacing w:line="240" w:lineRule="auto"/>
              <w:ind w:firstLine="0" w:firstLineChars="0"/>
              <w:jc w:val="center"/>
              <w:rPr>
                <w:color w:val="000000"/>
                <w:kern w:val="2"/>
                <w:sz w:val="21"/>
                <w:lang w:val="zh-CN"/>
              </w:rPr>
            </w:pPr>
            <w:r>
              <w:rPr>
                <w:rFonts w:hint="eastAsia"/>
                <w:color w:val="000000"/>
                <w:kern w:val="2"/>
                <w:sz w:val="21"/>
                <w:lang w:val="zh-CN"/>
              </w:rPr>
              <w:t>11</w:t>
            </w:r>
          </w:p>
        </w:tc>
        <w:tc>
          <w:tcPr>
            <w:tcW w:w="955" w:type="pct"/>
            <w:gridSpan w:val="2"/>
            <w:vAlign w:val="center"/>
          </w:tcPr>
          <w:p w14:paraId="2F536785">
            <w:pPr>
              <w:widowControl/>
              <w:spacing w:line="240" w:lineRule="auto"/>
              <w:ind w:firstLine="0" w:firstLineChars="0"/>
              <w:jc w:val="center"/>
              <w:rPr>
                <w:color w:val="000000"/>
                <w:kern w:val="2"/>
                <w:sz w:val="21"/>
                <w:lang w:val="zh-CN"/>
              </w:rPr>
            </w:pPr>
            <w:r>
              <w:rPr>
                <w:rFonts w:hint="eastAsia"/>
                <w:color w:val="000000"/>
                <w:kern w:val="2"/>
                <w:sz w:val="21"/>
                <w:lang w:val="zh-CN"/>
              </w:rPr>
              <w:t>管式炉等燃用煤气的设施</w:t>
            </w:r>
          </w:p>
        </w:tc>
        <w:tc>
          <w:tcPr>
            <w:tcW w:w="287" w:type="pct"/>
            <w:vAlign w:val="center"/>
          </w:tcPr>
          <w:p w14:paraId="2DB71BC7">
            <w:pPr>
              <w:widowControl/>
              <w:spacing w:line="240" w:lineRule="auto"/>
              <w:ind w:firstLine="0" w:firstLineChars="0"/>
              <w:jc w:val="center"/>
              <w:rPr>
                <w:color w:val="000000"/>
                <w:kern w:val="2"/>
                <w:sz w:val="21"/>
              </w:rPr>
            </w:pPr>
            <w:r>
              <w:rPr>
                <w:rFonts w:hint="eastAsia"/>
                <w:color w:val="000000"/>
                <w:kern w:val="2"/>
                <w:sz w:val="21"/>
              </w:rPr>
              <w:t>15</w:t>
            </w:r>
          </w:p>
        </w:tc>
        <w:tc>
          <w:tcPr>
            <w:tcW w:w="444" w:type="pct"/>
            <w:vAlign w:val="center"/>
          </w:tcPr>
          <w:p w14:paraId="64B17F8D">
            <w:pPr>
              <w:widowControl/>
              <w:spacing w:line="240" w:lineRule="auto"/>
              <w:ind w:firstLine="0" w:firstLineChars="0"/>
              <w:jc w:val="center"/>
              <w:rPr>
                <w:color w:val="000000"/>
                <w:kern w:val="2"/>
                <w:sz w:val="21"/>
              </w:rPr>
            </w:pPr>
            <w:r>
              <w:rPr>
                <w:rFonts w:hint="eastAsia"/>
                <w:color w:val="000000"/>
                <w:kern w:val="2"/>
                <w:sz w:val="21"/>
              </w:rPr>
              <w:t>30</w:t>
            </w:r>
          </w:p>
        </w:tc>
        <w:tc>
          <w:tcPr>
            <w:tcW w:w="379" w:type="pct"/>
            <w:vAlign w:val="center"/>
          </w:tcPr>
          <w:p w14:paraId="08773166">
            <w:pPr>
              <w:widowControl/>
              <w:spacing w:line="240" w:lineRule="auto"/>
              <w:ind w:firstLine="0" w:firstLineChars="0"/>
              <w:jc w:val="center"/>
              <w:rPr>
                <w:color w:val="000000"/>
                <w:kern w:val="2"/>
                <w:sz w:val="21"/>
                <w:lang w:val="zh-CN"/>
              </w:rPr>
            </w:pPr>
            <w:r>
              <w:rPr>
                <w:rFonts w:hint="eastAsia"/>
                <w:color w:val="000000"/>
                <w:kern w:val="2"/>
                <w:sz w:val="21"/>
                <w:lang w:val="zh-CN"/>
              </w:rPr>
              <w:t>150</w:t>
            </w:r>
          </w:p>
        </w:tc>
        <w:tc>
          <w:tcPr>
            <w:tcW w:w="677" w:type="pct"/>
            <w:vAlign w:val="center"/>
          </w:tcPr>
          <w:p w14:paraId="5FAEBC1E">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4D73AF3A">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23A5F7AE">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311B9FA9">
            <w:pPr>
              <w:widowControl/>
              <w:spacing w:line="240" w:lineRule="auto"/>
              <w:ind w:firstLine="0" w:firstLineChars="0"/>
              <w:jc w:val="center"/>
              <w:rPr>
                <w:color w:val="000000"/>
                <w:kern w:val="2"/>
                <w:sz w:val="21"/>
                <w:lang w:val="zh-CN"/>
              </w:rPr>
            </w:pPr>
            <w:r>
              <w:rPr>
                <w:color w:val="000000"/>
                <w:kern w:val="2"/>
                <w:sz w:val="21"/>
                <w:lang w:val="zh-CN"/>
              </w:rPr>
              <w:t>-</w:t>
            </w:r>
          </w:p>
        </w:tc>
        <w:tc>
          <w:tcPr>
            <w:tcW w:w="329" w:type="pct"/>
            <w:vAlign w:val="center"/>
          </w:tcPr>
          <w:p w14:paraId="0BC8DAE2">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3381C454">
            <w:pPr>
              <w:widowControl/>
              <w:spacing w:line="240" w:lineRule="auto"/>
              <w:ind w:firstLine="0" w:firstLineChars="0"/>
              <w:jc w:val="center"/>
              <w:rPr>
                <w:color w:val="000000"/>
                <w:kern w:val="2"/>
                <w:sz w:val="21"/>
                <w:lang w:val="zh-CN"/>
              </w:rPr>
            </w:pPr>
            <w:r>
              <w:rPr>
                <w:color w:val="000000"/>
                <w:kern w:val="2"/>
                <w:sz w:val="21"/>
                <w:lang w:val="zh-CN"/>
              </w:rPr>
              <w:t>-</w:t>
            </w:r>
          </w:p>
        </w:tc>
        <w:tc>
          <w:tcPr>
            <w:tcW w:w="312" w:type="pct"/>
            <w:vMerge w:val="continue"/>
            <w:vAlign w:val="center"/>
          </w:tcPr>
          <w:p w14:paraId="14559526">
            <w:pPr>
              <w:widowControl/>
              <w:spacing w:line="240" w:lineRule="auto"/>
              <w:ind w:firstLine="0" w:firstLineChars="0"/>
              <w:jc w:val="center"/>
              <w:rPr>
                <w:color w:val="000000"/>
                <w:kern w:val="2"/>
                <w:sz w:val="21"/>
                <w:lang w:val="zh-CN"/>
              </w:rPr>
            </w:pPr>
          </w:p>
        </w:tc>
      </w:tr>
      <w:tr w14:paraId="702D09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86" w:type="pct"/>
            <w:vAlign w:val="center"/>
          </w:tcPr>
          <w:p w14:paraId="7C78CF84">
            <w:pPr>
              <w:widowControl/>
              <w:spacing w:line="240" w:lineRule="auto"/>
              <w:ind w:firstLine="0" w:firstLineChars="0"/>
              <w:jc w:val="center"/>
              <w:rPr>
                <w:color w:val="000000"/>
                <w:kern w:val="2"/>
                <w:sz w:val="21"/>
                <w:lang w:val="zh-CN"/>
              </w:rPr>
            </w:pPr>
            <w:r>
              <w:rPr>
                <w:rFonts w:hint="eastAsia"/>
                <w:color w:val="000000"/>
                <w:kern w:val="2"/>
                <w:sz w:val="21"/>
                <w:lang w:val="zh-CN"/>
              </w:rPr>
              <w:t>12</w:t>
            </w:r>
          </w:p>
        </w:tc>
        <w:tc>
          <w:tcPr>
            <w:tcW w:w="955" w:type="pct"/>
            <w:gridSpan w:val="2"/>
            <w:vAlign w:val="center"/>
          </w:tcPr>
          <w:p w14:paraId="41BDF037">
            <w:pPr>
              <w:widowControl/>
              <w:spacing w:line="240" w:lineRule="auto"/>
              <w:ind w:firstLine="0" w:firstLineChars="0"/>
              <w:jc w:val="center"/>
              <w:rPr>
                <w:color w:val="000000"/>
                <w:kern w:val="2"/>
                <w:sz w:val="21"/>
                <w:lang w:val="zh-CN"/>
              </w:rPr>
            </w:pPr>
            <w:r>
              <w:rPr>
                <w:rFonts w:hint="eastAsia"/>
                <w:color w:val="000000"/>
                <w:kern w:val="2"/>
                <w:sz w:val="21"/>
                <w:lang w:val="zh-CN"/>
              </w:rPr>
              <w:t>生产废水处理设施</w:t>
            </w:r>
          </w:p>
        </w:tc>
        <w:tc>
          <w:tcPr>
            <w:tcW w:w="287" w:type="pct"/>
            <w:vAlign w:val="center"/>
          </w:tcPr>
          <w:p w14:paraId="2EB55229">
            <w:pPr>
              <w:widowControl/>
              <w:spacing w:line="240" w:lineRule="auto"/>
              <w:ind w:firstLine="0" w:firstLineChars="0"/>
              <w:jc w:val="center"/>
              <w:rPr>
                <w:color w:val="000000"/>
                <w:kern w:val="2"/>
                <w:sz w:val="21"/>
              </w:rPr>
            </w:pPr>
            <w:r>
              <w:rPr>
                <w:color w:val="000000"/>
                <w:kern w:val="2"/>
                <w:sz w:val="21"/>
                <w:lang w:val="zh-CN"/>
              </w:rPr>
              <w:t>-</w:t>
            </w:r>
          </w:p>
        </w:tc>
        <w:tc>
          <w:tcPr>
            <w:tcW w:w="444" w:type="pct"/>
            <w:vAlign w:val="center"/>
          </w:tcPr>
          <w:p w14:paraId="7D1DC31C">
            <w:pPr>
              <w:widowControl/>
              <w:spacing w:line="240" w:lineRule="auto"/>
              <w:ind w:firstLine="0" w:firstLineChars="0"/>
              <w:jc w:val="center"/>
              <w:rPr>
                <w:color w:val="000000"/>
                <w:kern w:val="2"/>
                <w:sz w:val="21"/>
              </w:rPr>
            </w:pPr>
            <w:r>
              <w:rPr>
                <w:color w:val="000000"/>
                <w:kern w:val="2"/>
                <w:sz w:val="21"/>
                <w:lang w:val="zh-CN"/>
              </w:rPr>
              <w:t>-</w:t>
            </w:r>
          </w:p>
        </w:tc>
        <w:tc>
          <w:tcPr>
            <w:tcW w:w="379" w:type="pct"/>
            <w:vAlign w:val="center"/>
          </w:tcPr>
          <w:p w14:paraId="79D30FAA">
            <w:pPr>
              <w:widowControl/>
              <w:spacing w:line="240" w:lineRule="auto"/>
              <w:ind w:firstLine="0" w:firstLineChars="0"/>
              <w:jc w:val="center"/>
              <w:rPr>
                <w:color w:val="000000"/>
                <w:kern w:val="2"/>
                <w:sz w:val="21"/>
                <w:lang w:val="zh-CN"/>
              </w:rPr>
            </w:pPr>
            <w:r>
              <w:rPr>
                <w:color w:val="000000"/>
                <w:kern w:val="2"/>
                <w:sz w:val="21"/>
                <w:lang w:val="zh-CN"/>
              </w:rPr>
              <w:t>-</w:t>
            </w:r>
          </w:p>
        </w:tc>
        <w:tc>
          <w:tcPr>
            <w:tcW w:w="677" w:type="pct"/>
            <w:vAlign w:val="center"/>
          </w:tcPr>
          <w:p w14:paraId="310CEEC2">
            <w:pPr>
              <w:widowControl/>
              <w:spacing w:line="240" w:lineRule="auto"/>
              <w:ind w:firstLine="0" w:firstLineChars="0"/>
              <w:jc w:val="center"/>
              <w:rPr>
                <w:color w:val="000000"/>
                <w:kern w:val="2"/>
                <w:sz w:val="21"/>
                <w:lang w:val="zh-CN"/>
              </w:rPr>
            </w:pPr>
            <w:r>
              <w:rPr>
                <w:color w:val="000000"/>
                <w:kern w:val="2"/>
                <w:sz w:val="21"/>
                <w:lang w:val="zh-CN"/>
              </w:rPr>
              <w:t>-</w:t>
            </w:r>
          </w:p>
        </w:tc>
        <w:tc>
          <w:tcPr>
            <w:tcW w:w="322" w:type="pct"/>
            <w:vAlign w:val="center"/>
          </w:tcPr>
          <w:p w14:paraId="58306802">
            <w:pPr>
              <w:widowControl/>
              <w:spacing w:line="240" w:lineRule="auto"/>
              <w:ind w:firstLine="0" w:firstLineChars="0"/>
              <w:jc w:val="center"/>
              <w:rPr>
                <w:color w:val="000000"/>
                <w:kern w:val="2"/>
                <w:sz w:val="21"/>
                <w:lang w:val="zh-CN"/>
              </w:rPr>
            </w:pPr>
            <w:r>
              <w:rPr>
                <w:color w:val="000000"/>
                <w:kern w:val="2"/>
                <w:sz w:val="21"/>
                <w:lang w:val="zh-CN"/>
              </w:rPr>
              <w:t>-</w:t>
            </w:r>
          </w:p>
        </w:tc>
        <w:tc>
          <w:tcPr>
            <w:tcW w:w="287" w:type="pct"/>
            <w:vAlign w:val="center"/>
          </w:tcPr>
          <w:p w14:paraId="2B593E98">
            <w:pPr>
              <w:widowControl/>
              <w:spacing w:line="240" w:lineRule="auto"/>
              <w:ind w:firstLine="0" w:firstLineChars="0"/>
              <w:jc w:val="center"/>
              <w:rPr>
                <w:color w:val="000000"/>
                <w:kern w:val="2"/>
                <w:sz w:val="21"/>
                <w:lang w:val="zh-CN"/>
              </w:rPr>
            </w:pPr>
            <w:r>
              <w:rPr>
                <w:color w:val="000000"/>
                <w:kern w:val="2"/>
                <w:sz w:val="21"/>
                <w:lang w:val="zh-CN"/>
              </w:rPr>
              <w:t>-</w:t>
            </w:r>
          </w:p>
        </w:tc>
        <w:tc>
          <w:tcPr>
            <w:tcW w:w="400" w:type="pct"/>
            <w:vAlign w:val="center"/>
          </w:tcPr>
          <w:p w14:paraId="19C319E0">
            <w:pPr>
              <w:widowControl/>
              <w:spacing w:line="240" w:lineRule="auto"/>
              <w:ind w:firstLine="0" w:firstLineChars="0"/>
              <w:jc w:val="center"/>
              <w:rPr>
                <w:color w:val="000000"/>
                <w:kern w:val="2"/>
                <w:sz w:val="21"/>
                <w:lang w:val="zh-CN"/>
              </w:rPr>
            </w:pPr>
            <w:r>
              <w:rPr>
                <w:rFonts w:hint="eastAsia"/>
                <w:color w:val="000000"/>
                <w:kern w:val="2"/>
                <w:sz w:val="21"/>
                <w:lang w:val="zh-CN"/>
              </w:rPr>
              <w:t>100</w:t>
            </w:r>
          </w:p>
        </w:tc>
        <w:tc>
          <w:tcPr>
            <w:tcW w:w="329" w:type="pct"/>
            <w:vAlign w:val="center"/>
          </w:tcPr>
          <w:p w14:paraId="6CC452E1">
            <w:pPr>
              <w:widowControl/>
              <w:spacing w:line="240" w:lineRule="auto"/>
              <w:ind w:firstLine="0" w:firstLineChars="0"/>
              <w:jc w:val="center"/>
              <w:rPr>
                <w:color w:val="000000"/>
                <w:kern w:val="2"/>
                <w:sz w:val="21"/>
                <w:lang w:val="zh-CN"/>
              </w:rPr>
            </w:pPr>
            <w:r>
              <w:rPr>
                <w:rFonts w:hint="eastAsia"/>
                <w:color w:val="000000"/>
                <w:kern w:val="2"/>
                <w:sz w:val="21"/>
                <w:lang w:val="zh-CN"/>
              </w:rPr>
              <w:t>20</w:t>
            </w:r>
          </w:p>
        </w:tc>
        <w:tc>
          <w:tcPr>
            <w:tcW w:w="322" w:type="pct"/>
            <w:vAlign w:val="center"/>
          </w:tcPr>
          <w:p w14:paraId="42AC7DE5">
            <w:pPr>
              <w:widowControl/>
              <w:spacing w:line="240" w:lineRule="auto"/>
              <w:ind w:firstLine="0" w:firstLineChars="0"/>
              <w:jc w:val="center"/>
              <w:rPr>
                <w:color w:val="000000"/>
                <w:kern w:val="2"/>
                <w:sz w:val="21"/>
                <w:lang w:val="zh-CN"/>
              </w:rPr>
            </w:pPr>
            <w:r>
              <w:rPr>
                <w:rFonts w:hint="eastAsia"/>
                <w:color w:val="000000"/>
                <w:kern w:val="2"/>
                <w:sz w:val="21"/>
                <w:lang w:val="zh-CN"/>
              </w:rPr>
              <w:t>3.0</w:t>
            </w:r>
          </w:p>
        </w:tc>
        <w:tc>
          <w:tcPr>
            <w:tcW w:w="312" w:type="pct"/>
            <w:vMerge w:val="continue"/>
            <w:vAlign w:val="center"/>
          </w:tcPr>
          <w:p w14:paraId="6E669347">
            <w:pPr>
              <w:widowControl/>
              <w:spacing w:line="240" w:lineRule="auto"/>
              <w:ind w:firstLine="0" w:firstLineChars="0"/>
              <w:jc w:val="center"/>
              <w:rPr>
                <w:color w:val="000000"/>
                <w:kern w:val="2"/>
                <w:sz w:val="21"/>
                <w:lang w:val="zh-CN"/>
              </w:rPr>
            </w:pPr>
          </w:p>
        </w:tc>
      </w:tr>
    </w:tbl>
    <w:p w14:paraId="37817C8F">
      <w:pPr>
        <w:ind w:firstLine="480"/>
        <w:jc w:val="center"/>
      </w:pPr>
    </w:p>
    <w:p w14:paraId="3F637A7D">
      <w:pPr>
        <w:pStyle w:val="133"/>
        <w:sectPr>
          <w:pgSz w:w="16838" w:h="11906" w:orient="landscape"/>
          <w:pgMar w:top="1800" w:right="1440" w:bottom="1800" w:left="1440" w:header="851" w:footer="992" w:gutter="0"/>
          <w:cols w:space="425" w:num="1"/>
          <w:docGrid w:type="lines" w:linePitch="326" w:charSpace="0"/>
        </w:sectPr>
      </w:pPr>
    </w:p>
    <w:p w14:paraId="0DD5232F">
      <w:pPr>
        <w:pStyle w:val="133"/>
      </w:pPr>
    </w:p>
    <w:p w14:paraId="44B38BBB">
      <w:pPr>
        <w:pStyle w:val="117"/>
        <w:ind w:firstLine="480"/>
      </w:pPr>
      <w:r>
        <w:rPr>
          <w:rFonts w:hint="eastAsia"/>
        </w:rPr>
        <w:t>炼焦炉顶废气无组织排放执行《炼焦化学工业大气污染物排放标准》（GB16171.1-2024）表3，见表1.5-7。</w:t>
      </w:r>
    </w:p>
    <w:p w14:paraId="37044D9D">
      <w:pPr>
        <w:pStyle w:val="118"/>
        <w:rPr>
          <w:lang w:val="de-DE"/>
        </w:rPr>
      </w:pPr>
      <w:r>
        <w:rPr>
          <w:lang w:val="de-DE"/>
        </w:rPr>
        <w:t>表</w:t>
      </w:r>
      <w:r>
        <w:rPr>
          <w:rFonts w:hint="eastAsia"/>
          <w:lang w:val="de-DE"/>
        </w:rPr>
        <w:t>1.5-7</w:t>
      </w:r>
      <w:r>
        <w:rPr>
          <w:lang w:val="de-DE"/>
        </w:rPr>
        <w:t xml:space="preserve">  焦炉炉顶大气污染物排放浓度限值</w:t>
      </w:r>
      <w:r>
        <w:rPr>
          <w:rFonts w:hint="eastAsia"/>
          <w:lang w:val="de-DE"/>
        </w:rPr>
        <w:t xml:space="preserve">   </w:t>
      </w:r>
      <w:r>
        <w:rPr>
          <w:lang w:val="de-DE"/>
        </w:rPr>
        <w:t>单位：mg/</w:t>
      </w:r>
      <w:r>
        <w:rPr>
          <w:rFonts w:hint="eastAsia"/>
          <w:lang w:val="de-DE"/>
        </w:rPr>
        <w:t>m</w:t>
      </w:r>
      <w:r>
        <w:rPr>
          <w:rFonts w:ascii="Calibri" w:hAnsi="Calibri" w:cs="Calibri"/>
          <w:lang w:val="de-DE"/>
        </w:rPr>
        <w:t>³</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156"/>
        <w:gridCol w:w="1201"/>
        <w:gridCol w:w="1201"/>
        <w:gridCol w:w="1201"/>
        <w:gridCol w:w="1201"/>
        <w:gridCol w:w="1201"/>
        <w:gridCol w:w="1201"/>
      </w:tblGrid>
      <w:tr w14:paraId="597DD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1" w:type="pct"/>
            <w:vAlign w:val="center"/>
          </w:tcPr>
          <w:p w14:paraId="3B226138">
            <w:pPr>
              <w:pStyle w:val="114"/>
            </w:pPr>
            <w:r>
              <w:t>污染物项目</w:t>
            </w:r>
          </w:p>
        </w:tc>
        <w:tc>
          <w:tcPr>
            <w:tcW w:w="718" w:type="pct"/>
            <w:vAlign w:val="center"/>
          </w:tcPr>
          <w:p w14:paraId="30F86B60">
            <w:pPr>
              <w:pStyle w:val="114"/>
            </w:pPr>
            <w:r>
              <w:t>颗粒物</w:t>
            </w:r>
          </w:p>
        </w:tc>
        <w:tc>
          <w:tcPr>
            <w:tcW w:w="718" w:type="pct"/>
            <w:vAlign w:val="center"/>
          </w:tcPr>
          <w:p w14:paraId="453C0709">
            <w:pPr>
              <w:pStyle w:val="114"/>
            </w:pPr>
            <w:r>
              <w:t>苯并</w:t>
            </w:r>
            <w:r>
              <w:rPr>
                <w:rFonts w:hint="eastAsia"/>
              </w:rPr>
              <w:t>[a]</w:t>
            </w:r>
            <w:r>
              <w:t>芘</w:t>
            </w:r>
          </w:p>
        </w:tc>
        <w:tc>
          <w:tcPr>
            <w:tcW w:w="718" w:type="pct"/>
            <w:vAlign w:val="center"/>
          </w:tcPr>
          <w:p w14:paraId="2AE6B0D9">
            <w:pPr>
              <w:pStyle w:val="114"/>
            </w:pPr>
            <w:r>
              <w:t>硫化氢</w:t>
            </w:r>
          </w:p>
        </w:tc>
        <w:tc>
          <w:tcPr>
            <w:tcW w:w="718" w:type="pct"/>
            <w:vAlign w:val="center"/>
          </w:tcPr>
          <w:p w14:paraId="6F1B40BB">
            <w:pPr>
              <w:pStyle w:val="114"/>
            </w:pPr>
            <w:r>
              <w:t>氨</w:t>
            </w:r>
          </w:p>
        </w:tc>
        <w:tc>
          <w:tcPr>
            <w:tcW w:w="718" w:type="pct"/>
            <w:vAlign w:val="center"/>
          </w:tcPr>
          <w:p w14:paraId="038F4637">
            <w:pPr>
              <w:pStyle w:val="114"/>
            </w:pPr>
            <w:r>
              <w:t>苯可溶物</w:t>
            </w:r>
          </w:p>
        </w:tc>
        <w:tc>
          <w:tcPr>
            <w:tcW w:w="718" w:type="pct"/>
            <w:vAlign w:val="center"/>
          </w:tcPr>
          <w:p w14:paraId="2A855E42">
            <w:pPr>
              <w:pStyle w:val="114"/>
            </w:pPr>
            <w:r>
              <w:t>监控位置</w:t>
            </w:r>
          </w:p>
        </w:tc>
      </w:tr>
      <w:tr w14:paraId="22F5A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91" w:type="pct"/>
            <w:vAlign w:val="center"/>
          </w:tcPr>
          <w:p w14:paraId="4CEA427C">
            <w:pPr>
              <w:pStyle w:val="114"/>
            </w:pPr>
            <w:r>
              <w:t>浓度限值</w:t>
            </w:r>
          </w:p>
        </w:tc>
        <w:tc>
          <w:tcPr>
            <w:tcW w:w="718" w:type="pct"/>
            <w:vAlign w:val="center"/>
          </w:tcPr>
          <w:p w14:paraId="52057DA4">
            <w:pPr>
              <w:pStyle w:val="114"/>
            </w:pPr>
            <w:r>
              <w:t>2.5</w:t>
            </w:r>
          </w:p>
        </w:tc>
        <w:tc>
          <w:tcPr>
            <w:tcW w:w="718" w:type="pct"/>
            <w:vAlign w:val="center"/>
          </w:tcPr>
          <w:p w14:paraId="37B1DA50">
            <w:pPr>
              <w:pStyle w:val="114"/>
            </w:pPr>
            <w:r>
              <w:t>2.5μg/</w:t>
            </w:r>
            <w:r>
              <w:rPr>
                <w:rFonts w:hint="eastAsia"/>
              </w:rPr>
              <w:t>m³</w:t>
            </w:r>
          </w:p>
        </w:tc>
        <w:tc>
          <w:tcPr>
            <w:tcW w:w="718" w:type="pct"/>
            <w:vAlign w:val="center"/>
          </w:tcPr>
          <w:p w14:paraId="3D1111D2">
            <w:pPr>
              <w:pStyle w:val="114"/>
            </w:pPr>
            <w:r>
              <w:t>0.1</w:t>
            </w:r>
          </w:p>
        </w:tc>
        <w:tc>
          <w:tcPr>
            <w:tcW w:w="718" w:type="pct"/>
            <w:vAlign w:val="center"/>
          </w:tcPr>
          <w:p w14:paraId="52E56833">
            <w:pPr>
              <w:pStyle w:val="114"/>
            </w:pPr>
            <w:r>
              <w:t>2.0</w:t>
            </w:r>
          </w:p>
        </w:tc>
        <w:tc>
          <w:tcPr>
            <w:tcW w:w="718" w:type="pct"/>
            <w:vAlign w:val="center"/>
          </w:tcPr>
          <w:p w14:paraId="45DB4E3C">
            <w:pPr>
              <w:pStyle w:val="114"/>
            </w:pPr>
            <w:r>
              <w:t>0.6</w:t>
            </w:r>
          </w:p>
        </w:tc>
        <w:tc>
          <w:tcPr>
            <w:tcW w:w="718" w:type="pct"/>
            <w:vAlign w:val="center"/>
          </w:tcPr>
          <w:p w14:paraId="0955283F">
            <w:pPr>
              <w:pStyle w:val="114"/>
            </w:pPr>
            <w:r>
              <w:t>焦炉炉顶</w:t>
            </w:r>
          </w:p>
        </w:tc>
      </w:tr>
    </w:tbl>
    <w:p w14:paraId="4435F0BA">
      <w:pPr>
        <w:pStyle w:val="133"/>
      </w:pPr>
    </w:p>
    <w:p w14:paraId="6460E92F">
      <w:pPr>
        <w:pStyle w:val="117"/>
        <w:ind w:firstLine="480"/>
      </w:pPr>
      <w:r>
        <w:t>硅铁生产线</w:t>
      </w:r>
      <w:r>
        <w:rPr>
          <w:rFonts w:hint="eastAsia"/>
        </w:rPr>
        <w:t>矿热炉废气及其他有组织颗粒物排放执行《铁合金工业污染物排放标准》（</w:t>
      </w:r>
      <w:r>
        <w:t>GB28666-2012</w:t>
      </w:r>
      <w:r>
        <w:rPr>
          <w:rFonts w:hint="eastAsia"/>
        </w:rPr>
        <w:t>）中表5排放浓度限值，见表1.5-8。</w:t>
      </w:r>
    </w:p>
    <w:p w14:paraId="74DE9334">
      <w:pPr>
        <w:pStyle w:val="118"/>
      </w:pPr>
      <w:r>
        <w:rPr>
          <w:rFonts w:hint="eastAsia"/>
          <w:lang w:val="de-DE"/>
        </w:rPr>
        <w:t xml:space="preserve">表1.5-8  </w:t>
      </w:r>
      <w:r>
        <w:t>硅铁生产线</w:t>
      </w:r>
      <w:r>
        <w:rPr>
          <w:rFonts w:hint="eastAsia"/>
          <w:lang w:val="de-DE"/>
        </w:rPr>
        <w:t>有组织废气浓度限值  单位</w:t>
      </w:r>
      <w:r>
        <w:t>：mg/m³</w:t>
      </w:r>
    </w:p>
    <w:tbl>
      <w:tblPr>
        <w:tblStyle w:val="17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02"/>
        <w:gridCol w:w="2212"/>
        <w:gridCol w:w="2211"/>
        <w:gridCol w:w="2897"/>
      </w:tblGrid>
      <w:tr w14:paraId="3BD683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5" w:type="pct"/>
            <w:vAlign w:val="center"/>
          </w:tcPr>
          <w:p w14:paraId="19C217A5">
            <w:pPr>
              <w:pStyle w:val="133"/>
            </w:pPr>
            <w:r>
              <w:rPr>
                <w:rFonts w:hint="eastAsia"/>
              </w:rPr>
              <w:t>污染物</w:t>
            </w:r>
          </w:p>
        </w:tc>
        <w:tc>
          <w:tcPr>
            <w:tcW w:w="1298" w:type="pct"/>
            <w:vAlign w:val="center"/>
          </w:tcPr>
          <w:p w14:paraId="4611E231">
            <w:pPr>
              <w:pStyle w:val="133"/>
            </w:pPr>
            <w:r>
              <w:rPr>
                <w:rFonts w:hint="eastAsia"/>
              </w:rPr>
              <w:t>生产工艺或设施</w:t>
            </w:r>
          </w:p>
        </w:tc>
        <w:tc>
          <w:tcPr>
            <w:tcW w:w="1297" w:type="pct"/>
            <w:vAlign w:val="center"/>
          </w:tcPr>
          <w:p w14:paraId="371F560E">
            <w:pPr>
              <w:pStyle w:val="133"/>
            </w:pPr>
            <w:r>
              <w:rPr>
                <w:rFonts w:hint="eastAsia"/>
              </w:rPr>
              <w:t>浓度限值（mg</w:t>
            </w:r>
            <w:r>
              <w:t>/</w:t>
            </w:r>
            <w:r>
              <w:rPr>
                <w:rFonts w:hint="eastAsia"/>
              </w:rPr>
              <w:t>m</w:t>
            </w:r>
            <w:r>
              <w:rPr>
                <w:vertAlign w:val="superscript"/>
              </w:rPr>
              <w:t>3</w:t>
            </w:r>
            <w:r>
              <w:rPr>
                <w:rFonts w:hint="eastAsia"/>
              </w:rPr>
              <w:t>）</w:t>
            </w:r>
          </w:p>
        </w:tc>
        <w:tc>
          <w:tcPr>
            <w:tcW w:w="1700" w:type="pct"/>
            <w:vAlign w:val="center"/>
          </w:tcPr>
          <w:p w14:paraId="48353246">
            <w:pPr>
              <w:pStyle w:val="133"/>
            </w:pPr>
            <w:r>
              <w:rPr>
                <w:rFonts w:hint="eastAsia"/>
              </w:rPr>
              <w:t>执行标准</w:t>
            </w:r>
          </w:p>
        </w:tc>
      </w:tr>
      <w:tr w14:paraId="5F5EC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5" w:type="pct"/>
            <w:vMerge w:val="restart"/>
            <w:vAlign w:val="center"/>
          </w:tcPr>
          <w:p w14:paraId="2F7D61FD">
            <w:pPr>
              <w:pStyle w:val="133"/>
            </w:pPr>
            <w:r>
              <w:t>颗粒物</w:t>
            </w:r>
          </w:p>
        </w:tc>
        <w:tc>
          <w:tcPr>
            <w:tcW w:w="1298" w:type="pct"/>
            <w:vAlign w:val="center"/>
          </w:tcPr>
          <w:p w14:paraId="7824FBE0">
            <w:pPr>
              <w:pStyle w:val="133"/>
            </w:pPr>
            <w:r>
              <w:rPr>
                <w:rFonts w:hint="eastAsia"/>
              </w:rPr>
              <w:t>半封闭炉、敞口炉、精炼炉</w:t>
            </w:r>
          </w:p>
        </w:tc>
        <w:tc>
          <w:tcPr>
            <w:tcW w:w="1297" w:type="pct"/>
            <w:vAlign w:val="center"/>
          </w:tcPr>
          <w:p w14:paraId="3DDFBFD4">
            <w:pPr>
              <w:pStyle w:val="133"/>
            </w:pPr>
            <w:r>
              <w:rPr>
                <w:rFonts w:hint="eastAsia"/>
              </w:rPr>
              <w:t>50</w:t>
            </w:r>
          </w:p>
        </w:tc>
        <w:tc>
          <w:tcPr>
            <w:tcW w:w="1700" w:type="pct"/>
            <w:vMerge w:val="restart"/>
            <w:vAlign w:val="center"/>
          </w:tcPr>
          <w:p w14:paraId="4BCF00CE">
            <w:pPr>
              <w:pStyle w:val="133"/>
            </w:pPr>
            <w:r>
              <w:rPr>
                <w:rFonts w:hint="eastAsia"/>
              </w:rPr>
              <w:t>《铁合金工业污染物排放标准》（</w:t>
            </w:r>
            <w:r>
              <w:t>GB28666-2012</w:t>
            </w:r>
            <w:r>
              <w:rPr>
                <w:rFonts w:hint="eastAsia"/>
              </w:rPr>
              <w:t>）中表5排放浓度限值</w:t>
            </w:r>
          </w:p>
        </w:tc>
      </w:tr>
      <w:tr w14:paraId="0430A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5" w:type="pct"/>
            <w:vMerge w:val="continue"/>
            <w:vAlign w:val="center"/>
          </w:tcPr>
          <w:p w14:paraId="5146E65A">
            <w:pPr>
              <w:pStyle w:val="133"/>
            </w:pPr>
          </w:p>
        </w:tc>
        <w:tc>
          <w:tcPr>
            <w:tcW w:w="1298" w:type="pct"/>
            <w:vAlign w:val="center"/>
          </w:tcPr>
          <w:p w14:paraId="27FFFA0A">
            <w:pPr>
              <w:pStyle w:val="133"/>
            </w:pPr>
            <w:r>
              <w:rPr>
                <w:rFonts w:hint="eastAsia"/>
              </w:rPr>
              <w:t>其他设施</w:t>
            </w:r>
          </w:p>
        </w:tc>
        <w:tc>
          <w:tcPr>
            <w:tcW w:w="1297" w:type="pct"/>
            <w:vAlign w:val="center"/>
          </w:tcPr>
          <w:p w14:paraId="22282854">
            <w:pPr>
              <w:pStyle w:val="133"/>
            </w:pPr>
            <w:r>
              <w:rPr>
                <w:rFonts w:hint="eastAsia"/>
              </w:rPr>
              <w:t>30</w:t>
            </w:r>
          </w:p>
        </w:tc>
        <w:tc>
          <w:tcPr>
            <w:tcW w:w="1700" w:type="pct"/>
            <w:vMerge w:val="continue"/>
            <w:vAlign w:val="center"/>
          </w:tcPr>
          <w:p w14:paraId="799FD80F">
            <w:pPr>
              <w:pStyle w:val="133"/>
            </w:pPr>
          </w:p>
        </w:tc>
      </w:tr>
    </w:tbl>
    <w:p w14:paraId="59227485">
      <w:pPr>
        <w:pStyle w:val="133"/>
      </w:pPr>
    </w:p>
    <w:p w14:paraId="19DD05DC">
      <w:pPr>
        <w:pStyle w:val="117"/>
        <w:ind w:firstLine="480"/>
      </w:pPr>
      <w:r>
        <w:rPr>
          <w:rFonts w:hint="eastAsia"/>
        </w:rPr>
        <w:t>企业边界大气污染物浓度限值执行《炼焦化学工业大气污染物排放标准》（GB16171.1-2024）表4、《铁合金工业污染物排放标准》（</w:t>
      </w:r>
      <w:r>
        <w:t>GB28666-2012</w:t>
      </w:r>
      <w:r>
        <w:rPr>
          <w:rFonts w:hint="eastAsia"/>
        </w:rPr>
        <w:t>）中表7、《镁、钛工业污染物排放标准》（GB25468-2010）表6，同一因子执行其中最严限值，三项标准未包含的因子执行《大气污染物综合排放标准》（GB16297-1996）表2，详见表1.5-9。</w:t>
      </w:r>
    </w:p>
    <w:p w14:paraId="4F367FD8">
      <w:pPr>
        <w:widowControl/>
        <w:spacing w:line="240" w:lineRule="auto"/>
        <w:ind w:firstLine="0" w:firstLineChars="0"/>
        <w:jc w:val="left"/>
        <w:rPr>
          <w:b/>
          <w:szCs w:val="28"/>
        </w:rPr>
      </w:pPr>
      <w:r>
        <w:br w:type="page"/>
      </w:r>
    </w:p>
    <w:p w14:paraId="78D360C6">
      <w:pPr>
        <w:pStyle w:val="118"/>
        <w:rPr>
          <w:color w:val="auto"/>
        </w:rPr>
      </w:pPr>
      <w:r>
        <w:rPr>
          <w:rFonts w:hint="eastAsia"/>
          <w:color w:val="auto"/>
        </w:rPr>
        <w:t xml:space="preserve">表1.5-9  </w:t>
      </w:r>
      <w:r>
        <w:rPr>
          <w:rFonts w:hint="eastAsia"/>
        </w:rPr>
        <w:t>企业边界大气污染物浓度限值</w:t>
      </w:r>
      <w:r>
        <w:rPr>
          <w:rFonts w:hint="eastAsia"/>
          <w:color w:val="auto"/>
        </w:rPr>
        <w:t>一览表</w:t>
      </w:r>
      <w:r>
        <w:rPr>
          <w:rFonts w:hint="eastAsia"/>
          <w:lang w:val="de-DE"/>
        </w:rPr>
        <w:t xml:space="preserve">    单位</w:t>
      </w:r>
      <w:r>
        <w:t>：mg/m³</w:t>
      </w:r>
    </w:p>
    <w:tbl>
      <w:tblPr>
        <w:tblStyle w:val="17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17"/>
        <w:gridCol w:w="1817"/>
        <w:gridCol w:w="4888"/>
      </w:tblGrid>
      <w:tr w14:paraId="1A2277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60348DEE">
            <w:pPr>
              <w:pStyle w:val="133"/>
              <w:rPr>
                <w:b/>
                <w:bCs/>
                <w:szCs w:val="21"/>
              </w:rPr>
            </w:pPr>
            <w:r>
              <w:rPr>
                <w:rFonts w:hint="eastAsia"/>
                <w:b/>
                <w:bCs/>
                <w:szCs w:val="21"/>
              </w:rPr>
              <w:t>污染物</w:t>
            </w:r>
          </w:p>
        </w:tc>
        <w:tc>
          <w:tcPr>
            <w:tcW w:w="1066" w:type="pct"/>
            <w:vAlign w:val="center"/>
          </w:tcPr>
          <w:p w14:paraId="5B35C2FE">
            <w:pPr>
              <w:pStyle w:val="133"/>
              <w:rPr>
                <w:b/>
                <w:bCs/>
                <w:szCs w:val="21"/>
              </w:rPr>
            </w:pPr>
            <w:r>
              <w:rPr>
                <w:rFonts w:hint="eastAsia"/>
                <w:b/>
                <w:bCs/>
                <w:szCs w:val="21"/>
              </w:rPr>
              <w:t>浓度限值</w:t>
            </w:r>
          </w:p>
        </w:tc>
        <w:tc>
          <w:tcPr>
            <w:tcW w:w="2868" w:type="pct"/>
            <w:vAlign w:val="center"/>
          </w:tcPr>
          <w:p w14:paraId="38867AD1">
            <w:pPr>
              <w:pStyle w:val="133"/>
              <w:rPr>
                <w:b/>
                <w:bCs/>
                <w:szCs w:val="21"/>
              </w:rPr>
            </w:pPr>
            <w:r>
              <w:rPr>
                <w:rFonts w:hint="eastAsia"/>
                <w:b/>
                <w:bCs/>
                <w:szCs w:val="21"/>
              </w:rPr>
              <w:t>执行标准</w:t>
            </w:r>
          </w:p>
        </w:tc>
      </w:tr>
      <w:tr w14:paraId="7D0B20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373CE584">
            <w:pPr>
              <w:pStyle w:val="133"/>
              <w:rPr>
                <w:szCs w:val="21"/>
              </w:rPr>
            </w:pPr>
            <w:r>
              <w:rPr>
                <w:rFonts w:hint="eastAsia"/>
                <w:szCs w:val="21"/>
              </w:rPr>
              <w:t>SO</w:t>
            </w:r>
            <w:r>
              <w:rPr>
                <w:rFonts w:hint="eastAsia"/>
                <w:szCs w:val="21"/>
                <w:vertAlign w:val="subscript"/>
              </w:rPr>
              <w:t>2</w:t>
            </w:r>
          </w:p>
        </w:tc>
        <w:tc>
          <w:tcPr>
            <w:tcW w:w="1066" w:type="pct"/>
            <w:vAlign w:val="center"/>
          </w:tcPr>
          <w:p w14:paraId="363DC59B">
            <w:pPr>
              <w:pStyle w:val="133"/>
              <w:rPr>
                <w:szCs w:val="21"/>
              </w:rPr>
            </w:pPr>
            <w:r>
              <w:rPr>
                <w:rFonts w:hint="eastAsia"/>
                <w:szCs w:val="21"/>
              </w:rPr>
              <w:t>0.5</w:t>
            </w:r>
          </w:p>
        </w:tc>
        <w:tc>
          <w:tcPr>
            <w:tcW w:w="2868" w:type="pct"/>
            <w:vMerge w:val="restart"/>
            <w:vAlign w:val="center"/>
          </w:tcPr>
          <w:p w14:paraId="7AD29E2D">
            <w:pPr>
              <w:pStyle w:val="133"/>
              <w:rPr>
                <w:szCs w:val="21"/>
              </w:rPr>
            </w:pPr>
            <w:r>
              <w:rPr>
                <w:rFonts w:hint="eastAsia"/>
              </w:rPr>
              <w:t>《镁、钛工业污染物排放标准》（GB25468-2010）</w:t>
            </w:r>
          </w:p>
        </w:tc>
      </w:tr>
      <w:tr w14:paraId="4DE72C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2EEACDF4">
            <w:pPr>
              <w:pStyle w:val="133"/>
              <w:rPr>
                <w:szCs w:val="21"/>
              </w:rPr>
            </w:pPr>
            <w:r>
              <w:rPr>
                <w:rFonts w:hint="eastAsia"/>
                <w:szCs w:val="21"/>
              </w:rPr>
              <w:t>颗粒物</w:t>
            </w:r>
          </w:p>
        </w:tc>
        <w:tc>
          <w:tcPr>
            <w:tcW w:w="1066" w:type="pct"/>
            <w:vAlign w:val="center"/>
          </w:tcPr>
          <w:p w14:paraId="00EBE26F">
            <w:pPr>
              <w:pStyle w:val="133"/>
              <w:rPr>
                <w:szCs w:val="21"/>
              </w:rPr>
            </w:pPr>
            <w:r>
              <w:rPr>
                <w:rFonts w:hint="eastAsia"/>
                <w:szCs w:val="21"/>
              </w:rPr>
              <w:t>1.0</w:t>
            </w:r>
          </w:p>
        </w:tc>
        <w:tc>
          <w:tcPr>
            <w:tcW w:w="2868" w:type="pct"/>
            <w:vMerge w:val="continue"/>
            <w:vAlign w:val="center"/>
          </w:tcPr>
          <w:p w14:paraId="745A792A">
            <w:pPr>
              <w:pStyle w:val="133"/>
              <w:rPr>
                <w:szCs w:val="21"/>
              </w:rPr>
            </w:pPr>
          </w:p>
        </w:tc>
      </w:tr>
      <w:tr w14:paraId="62A93C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38B56DC7">
            <w:pPr>
              <w:pStyle w:val="133"/>
              <w:rPr>
                <w:szCs w:val="21"/>
              </w:rPr>
            </w:pPr>
            <w:r>
              <w:rPr>
                <w:rFonts w:hint="eastAsia"/>
                <w:szCs w:val="21"/>
              </w:rPr>
              <w:t>HCl</w:t>
            </w:r>
          </w:p>
        </w:tc>
        <w:tc>
          <w:tcPr>
            <w:tcW w:w="1066" w:type="pct"/>
            <w:vAlign w:val="center"/>
          </w:tcPr>
          <w:p w14:paraId="234147E8">
            <w:pPr>
              <w:pStyle w:val="133"/>
              <w:rPr>
                <w:szCs w:val="21"/>
              </w:rPr>
            </w:pPr>
            <w:r>
              <w:rPr>
                <w:rFonts w:hint="eastAsia"/>
                <w:szCs w:val="21"/>
              </w:rPr>
              <w:t>0.15</w:t>
            </w:r>
          </w:p>
        </w:tc>
        <w:tc>
          <w:tcPr>
            <w:tcW w:w="2868" w:type="pct"/>
            <w:vMerge w:val="continue"/>
            <w:vAlign w:val="center"/>
          </w:tcPr>
          <w:p w14:paraId="1A70563E">
            <w:pPr>
              <w:pStyle w:val="133"/>
              <w:rPr>
                <w:szCs w:val="21"/>
              </w:rPr>
            </w:pPr>
          </w:p>
        </w:tc>
      </w:tr>
      <w:tr w14:paraId="72082E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1183BCC5">
            <w:pPr>
              <w:pStyle w:val="133"/>
              <w:rPr>
                <w:szCs w:val="21"/>
              </w:rPr>
            </w:pPr>
            <w:r>
              <w:t>苯并</w:t>
            </w:r>
            <w:r>
              <w:rPr>
                <w:rFonts w:hint="eastAsia"/>
              </w:rPr>
              <w:t>[a]</w:t>
            </w:r>
            <w:r>
              <w:t>芘</w:t>
            </w:r>
          </w:p>
        </w:tc>
        <w:tc>
          <w:tcPr>
            <w:tcW w:w="1066" w:type="pct"/>
            <w:vAlign w:val="center"/>
          </w:tcPr>
          <w:p w14:paraId="05ED8E1D">
            <w:pPr>
              <w:pStyle w:val="133"/>
              <w:rPr>
                <w:szCs w:val="21"/>
              </w:rPr>
            </w:pPr>
            <w:r>
              <w:rPr>
                <w:rFonts w:hint="eastAsia"/>
                <w:szCs w:val="21"/>
              </w:rPr>
              <w:t>0.01</w:t>
            </w:r>
            <w:r>
              <w:rPr>
                <w:rFonts w:cs="Times New Roman"/>
              </w:rPr>
              <w:t>μ</w:t>
            </w:r>
            <w:r>
              <w:rPr>
                <w:rFonts w:hint="eastAsia"/>
              </w:rPr>
              <w:t>g</w:t>
            </w:r>
            <w:r>
              <w:t>/</w:t>
            </w:r>
            <w:r>
              <w:rPr>
                <w:rFonts w:hint="eastAsia"/>
              </w:rPr>
              <w:t>m</w:t>
            </w:r>
            <w:r>
              <w:rPr>
                <w:vertAlign w:val="superscript"/>
              </w:rPr>
              <w:t>3</w:t>
            </w:r>
          </w:p>
        </w:tc>
        <w:tc>
          <w:tcPr>
            <w:tcW w:w="2868" w:type="pct"/>
            <w:vMerge w:val="restart"/>
            <w:vAlign w:val="center"/>
          </w:tcPr>
          <w:p w14:paraId="05719906">
            <w:pPr>
              <w:pStyle w:val="133"/>
              <w:rPr>
                <w:szCs w:val="21"/>
              </w:rPr>
            </w:pPr>
            <w:r>
              <w:rPr>
                <w:rFonts w:hint="eastAsia"/>
              </w:rPr>
              <w:t>《炼焦化学工业大气污染物排放标准》（GB16171.1-2024）</w:t>
            </w:r>
          </w:p>
        </w:tc>
      </w:tr>
      <w:tr w14:paraId="39EA32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3EE4555A">
            <w:pPr>
              <w:pStyle w:val="133"/>
            </w:pPr>
            <w:r>
              <w:rPr>
                <w:rFonts w:hint="eastAsia"/>
              </w:rPr>
              <w:t>HCN</w:t>
            </w:r>
          </w:p>
        </w:tc>
        <w:tc>
          <w:tcPr>
            <w:tcW w:w="1066" w:type="pct"/>
            <w:vAlign w:val="center"/>
          </w:tcPr>
          <w:p w14:paraId="58AB2567">
            <w:pPr>
              <w:pStyle w:val="133"/>
              <w:rPr>
                <w:szCs w:val="21"/>
              </w:rPr>
            </w:pPr>
            <w:r>
              <w:rPr>
                <w:rFonts w:hint="eastAsia"/>
                <w:szCs w:val="21"/>
              </w:rPr>
              <w:t>0.024</w:t>
            </w:r>
          </w:p>
        </w:tc>
        <w:tc>
          <w:tcPr>
            <w:tcW w:w="2868" w:type="pct"/>
            <w:vMerge w:val="continue"/>
            <w:vAlign w:val="center"/>
          </w:tcPr>
          <w:p w14:paraId="38C6B3BD">
            <w:pPr>
              <w:pStyle w:val="133"/>
              <w:rPr>
                <w:szCs w:val="21"/>
              </w:rPr>
            </w:pPr>
          </w:p>
        </w:tc>
      </w:tr>
      <w:tr w14:paraId="1E3A1F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68AF8834">
            <w:pPr>
              <w:pStyle w:val="133"/>
            </w:pPr>
            <w:r>
              <w:rPr>
                <w:rFonts w:hint="eastAsia"/>
              </w:rPr>
              <w:t>酚类</w:t>
            </w:r>
          </w:p>
        </w:tc>
        <w:tc>
          <w:tcPr>
            <w:tcW w:w="1066" w:type="pct"/>
            <w:vAlign w:val="center"/>
          </w:tcPr>
          <w:p w14:paraId="31092D40">
            <w:pPr>
              <w:pStyle w:val="133"/>
              <w:rPr>
                <w:szCs w:val="21"/>
              </w:rPr>
            </w:pPr>
            <w:r>
              <w:rPr>
                <w:rFonts w:hint="eastAsia"/>
                <w:szCs w:val="21"/>
              </w:rPr>
              <w:t>0.02</w:t>
            </w:r>
          </w:p>
        </w:tc>
        <w:tc>
          <w:tcPr>
            <w:tcW w:w="2868" w:type="pct"/>
            <w:vMerge w:val="continue"/>
            <w:vAlign w:val="center"/>
          </w:tcPr>
          <w:p w14:paraId="4819BB7A">
            <w:pPr>
              <w:pStyle w:val="133"/>
              <w:rPr>
                <w:szCs w:val="21"/>
              </w:rPr>
            </w:pPr>
          </w:p>
        </w:tc>
      </w:tr>
      <w:tr w14:paraId="1A61F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36CD8B41">
            <w:pPr>
              <w:pStyle w:val="133"/>
            </w:pPr>
            <w:r>
              <w:rPr>
                <w:rFonts w:hint="eastAsia"/>
              </w:rPr>
              <w:t>H</w:t>
            </w:r>
            <w:r>
              <w:rPr>
                <w:rFonts w:hint="eastAsia"/>
                <w:vertAlign w:val="subscript"/>
              </w:rPr>
              <w:t>2</w:t>
            </w:r>
            <w:r>
              <w:rPr>
                <w:rFonts w:hint="eastAsia"/>
              </w:rPr>
              <w:t>S</w:t>
            </w:r>
          </w:p>
        </w:tc>
        <w:tc>
          <w:tcPr>
            <w:tcW w:w="1066" w:type="pct"/>
            <w:vAlign w:val="center"/>
          </w:tcPr>
          <w:p w14:paraId="06640E84">
            <w:pPr>
              <w:pStyle w:val="133"/>
              <w:rPr>
                <w:szCs w:val="21"/>
              </w:rPr>
            </w:pPr>
            <w:r>
              <w:rPr>
                <w:rFonts w:hint="eastAsia"/>
                <w:szCs w:val="21"/>
              </w:rPr>
              <w:t>0.01</w:t>
            </w:r>
          </w:p>
        </w:tc>
        <w:tc>
          <w:tcPr>
            <w:tcW w:w="2868" w:type="pct"/>
            <w:vMerge w:val="continue"/>
            <w:vAlign w:val="center"/>
          </w:tcPr>
          <w:p w14:paraId="478D7F85">
            <w:pPr>
              <w:pStyle w:val="133"/>
              <w:rPr>
                <w:szCs w:val="21"/>
              </w:rPr>
            </w:pPr>
          </w:p>
        </w:tc>
      </w:tr>
      <w:tr w14:paraId="4183E9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3BAF1660">
            <w:pPr>
              <w:pStyle w:val="133"/>
            </w:pPr>
            <w:r>
              <w:rPr>
                <w:rFonts w:hint="eastAsia"/>
              </w:rPr>
              <w:t>NH</w:t>
            </w:r>
            <w:r>
              <w:rPr>
                <w:rFonts w:hint="eastAsia"/>
                <w:vertAlign w:val="subscript"/>
              </w:rPr>
              <w:t>3</w:t>
            </w:r>
          </w:p>
        </w:tc>
        <w:tc>
          <w:tcPr>
            <w:tcW w:w="1066" w:type="pct"/>
            <w:vAlign w:val="center"/>
          </w:tcPr>
          <w:p w14:paraId="46FA224A">
            <w:pPr>
              <w:pStyle w:val="133"/>
              <w:rPr>
                <w:szCs w:val="21"/>
              </w:rPr>
            </w:pPr>
            <w:r>
              <w:rPr>
                <w:rFonts w:hint="eastAsia"/>
                <w:szCs w:val="21"/>
              </w:rPr>
              <w:t>0.2</w:t>
            </w:r>
          </w:p>
        </w:tc>
        <w:tc>
          <w:tcPr>
            <w:tcW w:w="2868" w:type="pct"/>
            <w:vMerge w:val="continue"/>
            <w:vAlign w:val="center"/>
          </w:tcPr>
          <w:p w14:paraId="05023A51">
            <w:pPr>
              <w:pStyle w:val="133"/>
              <w:rPr>
                <w:szCs w:val="21"/>
              </w:rPr>
            </w:pPr>
          </w:p>
        </w:tc>
      </w:tr>
      <w:tr w14:paraId="02A0A1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7C963712">
            <w:pPr>
              <w:pStyle w:val="133"/>
              <w:rPr>
                <w:szCs w:val="21"/>
              </w:rPr>
            </w:pPr>
            <w:r>
              <w:rPr>
                <w:rFonts w:hint="eastAsia"/>
              </w:rPr>
              <w:t>NO</w:t>
            </w:r>
            <w:r>
              <w:rPr>
                <w:rFonts w:hint="eastAsia"/>
                <w:vertAlign w:val="subscript"/>
              </w:rPr>
              <w:t>X</w:t>
            </w:r>
          </w:p>
        </w:tc>
        <w:tc>
          <w:tcPr>
            <w:tcW w:w="1066" w:type="pct"/>
            <w:vAlign w:val="center"/>
          </w:tcPr>
          <w:p w14:paraId="29CB9CCF">
            <w:pPr>
              <w:pStyle w:val="133"/>
              <w:rPr>
                <w:szCs w:val="21"/>
              </w:rPr>
            </w:pPr>
            <w:r>
              <w:rPr>
                <w:rFonts w:hint="eastAsia"/>
                <w:szCs w:val="21"/>
              </w:rPr>
              <w:t>0.12</w:t>
            </w:r>
          </w:p>
        </w:tc>
        <w:tc>
          <w:tcPr>
            <w:tcW w:w="2868" w:type="pct"/>
            <w:vMerge w:val="restart"/>
            <w:vAlign w:val="center"/>
          </w:tcPr>
          <w:p w14:paraId="034B8100">
            <w:pPr>
              <w:pStyle w:val="133"/>
              <w:rPr>
                <w:szCs w:val="21"/>
              </w:rPr>
            </w:pPr>
            <w:r>
              <w:rPr>
                <w:rFonts w:hint="eastAsia"/>
              </w:rPr>
              <w:t>《大气污染物综合排放标准》（GB16297-1996）</w:t>
            </w:r>
          </w:p>
        </w:tc>
      </w:tr>
      <w:tr w14:paraId="41380B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66" w:type="pct"/>
            <w:vAlign w:val="center"/>
          </w:tcPr>
          <w:p w14:paraId="6765AC60">
            <w:pPr>
              <w:pStyle w:val="133"/>
              <w:rPr>
                <w:szCs w:val="21"/>
              </w:rPr>
            </w:pPr>
            <w:r>
              <w:rPr>
                <w:rFonts w:hint="eastAsia"/>
                <w:szCs w:val="21"/>
              </w:rPr>
              <w:t>NMHC</w:t>
            </w:r>
          </w:p>
        </w:tc>
        <w:tc>
          <w:tcPr>
            <w:tcW w:w="1066" w:type="pct"/>
            <w:vAlign w:val="center"/>
          </w:tcPr>
          <w:p w14:paraId="4292DEA0">
            <w:pPr>
              <w:pStyle w:val="133"/>
              <w:rPr>
                <w:szCs w:val="21"/>
              </w:rPr>
            </w:pPr>
            <w:r>
              <w:rPr>
                <w:rFonts w:hint="eastAsia"/>
                <w:szCs w:val="21"/>
              </w:rPr>
              <w:t>4.0</w:t>
            </w:r>
          </w:p>
        </w:tc>
        <w:tc>
          <w:tcPr>
            <w:tcW w:w="2868" w:type="pct"/>
            <w:vMerge w:val="continue"/>
            <w:vAlign w:val="center"/>
          </w:tcPr>
          <w:p w14:paraId="177366B6">
            <w:pPr>
              <w:pStyle w:val="133"/>
            </w:pPr>
          </w:p>
        </w:tc>
      </w:tr>
    </w:tbl>
    <w:p w14:paraId="1E235CE9">
      <w:pPr>
        <w:pStyle w:val="133"/>
      </w:pPr>
    </w:p>
    <w:p w14:paraId="4DB01150">
      <w:pPr>
        <w:pStyle w:val="117"/>
        <w:ind w:firstLine="480"/>
      </w:pPr>
      <w:r>
        <w:rPr>
          <w:rFonts w:hint="eastAsia"/>
        </w:rPr>
        <w:t>厂区内非甲烷总烃排放执行《挥发性有机物无组织排放控制标准》（GB 37822-2019）表A.1 厂区内VOCs无组织排放限值（1h平均浓度限值为10mg/m</w:t>
      </w:r>
      <w:r>
        <w:rPr>
          <w:rFonts w:hint="eastAsia"/>
          <w:vertAlign w:val="superscript"/>
        </w:rPr>
        <w:t>3</w:t>
      </w:r>
      <w:r>
        <w:rPr>
          <w:rFonts w:hint="eastAsia"/>
        </w:rPr>
        <w:t>，任意一次浓度为30mg/m</w:t>
      </w:r>
      <w:r>
        <w:rPr>
          <w:rFonts w:hint="eastAsia"/>
          <w:vertAlign w:val="superscript"/>
        </w:rPr>
        <w:t>3</w:t>
      </w:r>
      <w:r>
        <w:rPr>
          <w:rFonts w:hint="eastAsia"/>
        </w:rPr>
        <w:t>）。</w:t>
      </w:r>
    </w:p>
    <w:p w14:paraId="76950C84">
      <w:pPr>
        <w:pStyle w:val="5"/>
      </w:pPr>
      <w:r>
        <w:rPr>
          <w:rFonts w:hint="eastAsia"/>
        </w:rPr>
        <w:t>废水</w:t>
      </w:r>
    </w:p>
    <w:p w14:paraId="4F0E17B7">
      <w:pPr>
        <w:pStyle w:val="117"/>
        <w:ind w:firstLine="480"/>
      </w:pPr>
      <w:bookmarkStart w:id="155" w:name="_Hlk160901407"/>
      <w:r>
        <w:rPr>
          <w:rFonts w:hint="eastAsia"/>
        </w:rPr>
        <w:t>兰炭生产线产生的生产废水经焚烧处理后不排放；清净下水、生活污水分别经石英砂过滤器和一体化污水处理设施处理达到《城市污水再生利用 城市杂用水质》（GB/T18920-2020）中“城市绿化、道路清扫、消防、建筑施工”标准后，部分回用，部分排入园区污水厂进一步处理。</w:t>
      </w:r>
    </w:p>
    <w:p w14:paraId="6AB0B9BE">
      <w:pPr>
        <w:pStyle w:val="117"/>
        <w:ind w:firstLine="480"/>
      </w:pPr>
      <w:r>
        <w:rPr>
          <w:rFonts w:hint="eastAsia"/>
        </w:rPr>
        <w:t>《城市污水再生利用 城市杂用水质》（GB/T18920-2020）污染物排放标准见表1.5-10。</w:t>
      </w:r>
    </w:p>
    <w:p w14:paraId="18D2AE4E">
      <w:pPr>
        <w:pStyle w:val="118"/>
      </w:pPr>
      <w:r>
        <w:rPr>
          <w:rFonts w:hint="eastAsia"/>
        </w:rPr>
        <w:t>表1.5-10</w:t>
      </w:r>
      <w:r>
        <w:t xml:space="preserve">  </w:t>
      </w:r>
      <w:r>
        <w:rPr>
          <w:rFonts w:hint="eastAsia"/>
        </w:rPr>
        <w:t>《城市污水再生利用 城市杂用水质》（GB/T18920-2020）</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189"/>
        <w:gridCol w:w="2809"/>
        <w:gridCol w:w="2809"/>
      </w:tblGrid>
      <w:tr w14:paraId="6B725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4" w:type="dxa"/>
            <w:vAlign w:val="center"/>
          </w:tcPr>
          <w:p w14:paraId="6575989C">
            <w:pPr>
              <w:pStyle w:val="133"/>
              <w:rPr>
                <w:b/>
                <w:bCs/>
              </w:rPr>
            </w:pPr>
            <w:r>
              <w:rPr>
                <w:rFonts w:hint="eastAsia"/>
                <w:b/>
                <w:bCs/>
              </w:rPr>
              <w:t>序号</w:t>
            </w:r>
          </w:p>
        </w:tc>
        <w:tc>
          <w:tcPr>
            <w:tcW w:w="2126" w:type="dxa"/>
            <w:vAlign w:val="center"/>
          </w:tcPr>
          <w:p w14:paraId="6B6C944D">
            <w:pPr>
              <w:pStyle w:val="133"/>
              <w:rPr>
                <w:b/>
                <w:bCs/>
              </w:rPr>
            </w:pPr>
            <w:r>
              <w:rPr>
                <w:rFonts w:hint="eastAsia"/>
                <w:b/>
                <w:bCs/>
              </w:rPr>
              <w:t>项目</w:t>
            </w:r>
          </w:p>
        </w:tc>
        <w:tc>
          <w:tcPr>
            <w:tcW w:w="2728" w:type="dxa"/>
            <w:vAlign w:val="center"/>
          </w:tcPr>
          <w:p w14:paraId="3F8242F0">
            <w:pPr>
              <w:pStyle w:val="133"/>
              <w:rPr>
                <w:b/>
                <w:bCs/>
              </w:rPr>
            </w:pPr>
            <w:r>
              <w:rPr>
                <w:rFonts w:hint="eastAsia"/>
                <w:b/>
                <w:bCs/>
              </w:rPr>
              <w:t>冲厕、车辆冲洗</w:t>
            </w:r>
          </w:p>
        </w:tc>
        <w:tc>
          <w:tcPr>
            <w:tcW w:w="2728" w:type="dxa"/>
            <w:vAlign w:val="center"/>
          </w:tcPr>
          <w:p w14:paraId="034EB97F">
            <w:pPr>
              <w:pStyle w:val="133"/>
              <w:rPr>
                <w:b/>
                <w:bCs/>
              </w:rPr>
            </w:pPr>
            <w:r>
              <w:rPr>
                <w:rFonts w:hint="eastAsia"/>
                <w:b/>
                <w:bCs/>
              </w:rPr>
              <w:t>城市绿化、道路清扫、</w:t>
            </w:r>
          </w:p>
          <w:p w14:paraId="7E2EFB79">
            <w:pPr>
              <w:pStyle w:val="133"/>
              <w:rPr>
                <w:b/>
                <w:bCs/>
              </w:rPr>
            </w:pPr>
            <w:r>
              <w:rPr>
                <w:rFonts w:hint="eastAsia"/>
                <w:b/>
                <w:bCs/>
              </w:rPr>
              <w:t>消防、建筑施工</w:t>
            </w:r>
          </w:p>
        </w:tc>
      </w:tr>
      <w:tr w14:paraId="6C688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1C58724C">
            <w:pPr>
              <w:pStyle w:val="133"/>
            </w:pPr>
            <w:r>
              <w:rPr>
                <w:rFonts w:hint="eastAsia"/>
              </w:rPr>
              <w:t>1</w:t>
            </w:r>
          </w:p>
        </w:tc>
        <w:tc>
          <w:tcPr>
            <w:tcW w:w="2126" w:type="dxa"/>
            <w:vAlign w:val="center"/>
          </w:tcPr>
          <w:p w14:paraId="08257C71">
            <w:pPr>
              <w:pStyle w:val="133"/>
            </w:pPr>
            <w:r>
              <w:rPr>
                <w:rFonts w:hint="eastAsia"/>
              </w:rPr>
              <w:t>pH</w:t>
            </w:r>
          </w:p>
        </w:tc>
        <w:tc>
          <w:tcPr>
            <w:tcW w:w="2728" w:type="dxa"/>
            <w:vAlign w:val="center"/>
          </w:tcPr>
          <w:p w14:paraId="2123C2AF">
            <w:pPr>
              <w:pStyle w:val="133"/>
            </w:pPr>
            <w:r>
              <w:rPr>
                <w:rFonts w:hint="eastAsia"/>
              </w:rPr>
              <w:t>6.0-9.0</w:t>
            </w:r>
          </w:p>
        </w:tc>
        <w:tc>
          <w:tcPr>
            <w:tcW w:w="2728" w:type="dxa"/>
            <w:vAlign w:val="center"/>
          </w:tcPr>
          <w:p w14:paraId="73F07FEC">
            <w:pPr>
              <w:pStyle w:val="133"/>
            </w:pPr>
            <w:r>
              <w:rPr>
                <w:rFonts w:hint="eastAsia"/>
              </w:rPr>
              <w:t>6.0-9.0</w:t>
            </w:r>
          </w:p>
        </w:tc>
      </w:tr>
      <w:tr w14:paraId="68F7A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00AE62EF">
            <w:pPr>
              <w:pStyle w:val="133"/>
            </w:pPr>
            <w:r>
              <w:rPr>
                <w:rFonts w:hint="eastAsia"/>
              </w:rPr>
              <w:t>2</w:t>
            </w:r>
          </w:p>
        </w:tc>
        <w:tc>
          <w:tcPr>
            <w:tcW w:w="2126" w:type="dxa"/>
            <w:vAlign w:val="center"/>
          </w:tcPr>
          <w:p w14:paraId="3D1629FD">
            <w:pPr>
              <w:pStyle w:val="133"/>
            </w:pPr>
            <w:r>
              <w:rPr>
                <w:rFonts w:hint="eastAsia"/>
              </w:rPr>
              <w:t>色度，铂钴色度单位</w:t>
            </w:r>
          </w:p>
        </w:tc>
        <w:tc>
          <w:tcPr>
            <w:tcW w:w="2728" w:type="dxa"/>
            <w:vAlign w:val="center"/>
          </w:tcPr>
          <w:p w14:paraId="1655AD79">
            <w:pPr>
              <w:pStyle w:val="133"/>
            </w:pPr>
            <w:r>
              <w:rPr>
                <w:rFonts w:hint="eastAsia"/>
              </w:rPr>
              <w:t>15</w:t>
            </w:r>
          </w:p>
        </w:tc>
        <w:tc>
          <w:tcPr>
            <w:tcW w:w="2728" w:type="dxa"/>
            <w:vAlign w:val="center"/>
          </w:tcPr>
          <w:p w14:paraId="6FECC2BC">
            <w:pPr>
              <w:pStyle w:val="133"/>
            </w:pPr>
            <w:r>
              <w:rPr>
                <w:rFonts w:hint="eastAsia"/>
              </w:rPr>
              <w:t>30</w:t>
            </w:r>
          </w:p>
        </w:tc>
      </w:tr>
      <w:tr w14:paraId="4CED8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7FCC8D78">
            <w:pPr>
              <w:pStyle w:val="133"/>
            </w:pPr>
            <w:r>
              <w:rPr>
                <w:rFonts w:hint="eastAsia"/>
              </w:rPr>
              <w:t>3</w:t>
            </w:r>
          </w:p>
        </w:tc>
        <w:tc>
          <w:tcPr>
            <w:tcW w:w="2126" w:type="dxa"/>
            <w:vAlign w:val="center"/>
          </w:tcPr>
          <w:p w14:paraId="655C2296">
            <w:pPr>
              <w:pStyle w:val="133"/>
            </w:pPr>
            <w:r>
              <w:rPr>
                <w:rFonts w:hint="eastAsia"/>
              </w:rPr>
              <w:t>嗅</w:t>
            </w:r>
          </w:p>
        </w:tc>
        <w:tc>
          <w:tcPr>
            <w:tcW w:w="2728" w:type="dxa"/>
            <w:vAlign w:val="center"/>
          </w:tcPr>
          <w:p w14:paraId="1AA7C736">
            <w:pPr>
              <w:pStyle w:val="133"/>
            </w:pPr>
            <w:r>
              <w:rPr>
                <w:rFonts w:hint="eastAsia"/>
              </w:rPr>
              <w:t>无不快感</w:t>
            </w:r>
          </w:p>
        </w:tc>
        <w:tc>
          <w:tcPr>
            <w:tcW w:w="2728" w:type="dxa"/>
            <w:vAlign w:val="center"/>
          </w:tcPr>
          <w:p w14:paraId="3192199E">
            <w:pPr>
              <w:pStyle w:val="133"/>
            </w:pPr>
            <w:r>
              <w:rPr>
                <w:rFonts w:hint="eastAsia"/>
              </w:rPr>
              <w:t>无不快感</w:t>
            </w:r>
          </w:p>
        </w:tc>
      </w:tr>
      <w:tr w14:paraId="6851F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4EAD0E94">
            <w:pPr>
              <w:pStyle w:val="133"/>
            </w:pPr>
            <w:r>
              <w:rPr>
                <w:rFonts w:hint="eastAsia"/>
              </w:rPr>
              <w:t>4</w:t>
            </w:r>
          </w:p>
        </w:tc>
        <w:tc>
          <w:tcPr>
            <w:tcW w:w="2126" w:type="dxa"/>
            <w:vAlign w:val="center"/>
          </w:tcPr>
          <w:p w14:paraId="60152399">
            <w:pPr>
              <w:pStyle w:val="133"/>
            </w:pPr>
            <w:r>
              <w:rPr>
                <w:rFonts w:hint="eastAsia"/>
              </w:rPr>
              <w:t>浊度/NTU</w:t>
            </w:r>
          </w:p>
        </w:tc>
        <w:tc>
          <w:tcPr>
            <w:tcW w:w="2728" w:type="dxa"/>
            <w:vAlign w:val="center"/>
          </w:tcPr>
          <w:p w14:paraId="26038AA3">
            <w:pPr>
              <w:pStyle w:val="133"/>
            </w:pPr>
            <w:r>
              <w:rPr>
                <w:rFonts w:hint="eastAsia"/>
              </w:rPr>
              <w:t>5</w:t>
            </w:r>
          </w:p>
        </w:tc>
        <w:tc>
          <w:tcPr>
            <w:tcW w:w="2728" w:type="dxa"/>
            <w:vAlign w:val="center"/>
          </w:tcPr>
          <w:p w14:paraId="70EA51D3">
            <w:pPr>
              <w:pStyle w:val="133"/>
            </w:pPr>
            <w:r>
              <w:rPr>
                <w:rFonts w:hint="eastAsia"/>
              </w:rPr>
              <w:t>10</w:t>
            </w:r>
          </w:p>
        </w:tc>
      </w:tr>
      <w:tr w14:paraId="593AD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2B9E24C3">
            <w:pPr>
              <w:pStyle w:val="133"/>
            </w:pPr>
            <w:r>
              <w:rPr>
                <w:rFonts w:hint="eastAsia"/>
              </w:rPr>
              <w:t>5</w:t>
            </w:r>
          </w:p>
        </w:tc>
        <w:tc>
          <w:tcPr>
            <w:tcW w:w="2126" w:type="dxa"/>
            <w:vAlign w:val="center"/>
          </w:tcPr>
          <w:p w14:paraId="6CF51A03">
            <w:pPr>
              <w:pStyle w:val="133"/>
            </w:pPr>
            <w:r>
              <w:rPr>
                <w:rFonts w:hint="eastAsia"/>
              </w:rPr>
              <w:t>五日生化需氧量（BOD</w:t>
            </w:r>
            <w:r>
              <w:rPr>
                <w:rFonts w:hint="eastAsia"/>
                <w:vertAlign w:val="subscript"/>
              </w:rPr>
              <w:t>5</w:t>
            </w:r>
            <w:r>
              <w:rPr>
                <w:rFonts w:hint="eastAsia"/>
              </w:rPr>
              <w:t>）</w:t>
            </w:r>
          </w:p>
        </w:tc>
        <w:tc>
          <w:tcPr>
            <w:tcW w:w="2728" w:type="dxa"/>
            <w:vAlign w:val="center"/>
          </w:tcPr>
          <w:p w14:paraId="11F3E8BE">
            <w:pPr>
              <w:pStyle w:val="133"/>
            </w:pPr>
            <w:r>
              <w:rPr>
                <w:rFonts w:hint="eastAsia"/>
              </w:rPr>
              <w:t>10</w:t>
            </w:r>
          </w:p>
        </w:tc>
        <w:tc>
          <w:tcPr>
            <w:tcW w:w="2728" w:type="dxa"/>
            <w:vAlign w:val="center"/>
          </w:tcPr>
          <w:p w14:paraId="55347A0B">
            <w:pPr>
              <w:pStyle w:val="133"/>
            </w:pPr>
            <w:r>
              <w:rPr>
                <w:rFonts w:hint="eastAsia"/>
              </w:rPr>
              <w:t>10</w:t>
            </w:r>
          </w:p>
        </w:tc>
      </w:tr>
      <w:tr w14:paraId="371CD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41E12148">
            <w:pPr>
              <w:pStyle w:val="133"/>
            </w:pPr>
            <w:r>
              <w:rPr>
                <w:rFonts w:hint="eastAsia"/>
              </w:rPr>
              <w:t>6</w:t>
            </w:r>
          </w:p>
        </w:tc>
        <w:tc>
          <w:tcPr>
            <w:tcW w:w="2126" w:type="dxa"/>
            <w:vAlign w:val="center"/>
          </w:tcPr>
          <w:p w14:paraId="74C6B11A">
            <w:pPr>
              <w:pStyle w:val="133"/>
            </w:pPr>
            <w:r>
              <w:rPr>
                <w:rFonts w:hint="eastAsia"/>
              </w:rPr>
              <w:t>氨氮</w:t>
            </w:r>
          </w:p>
        </w:tc>
        <w:tc>
          <w:tcPr>
            <w:tcW w:w="2728" w:type="dxa"/>
            <w:vAlign w:val="center"/>
          </w:tcPr>
          <w:p w14:paraId="05852C82">
            <w:pPr>
              <w:pStyle w:val="133"/>
            </w:pPr>
            <w:r>
              <w:rPr>
                <w:rFonts w:hint="eastAsia"/>
              </w:rPr>
              <w:t>5</w:t>
            </w:r>
          </w:p>
        </w:tc>
        <w:tc>
          <w:tcPr>
            <w:tcW w:w="2728" w:type="dxa"/>
            <w:vAlign w:val="center"/>
          </w:tcPr>
          <w:p w14:paraId="610926A8">
            <w:pPr>
              <w:pStyle w:val="133"/>
            </w:pPr>
            <w:r>
              <w:rPr>
                <w:rFonts w:hint="eastAsia"/>
              </w:rPr>
              <w:t>8</w:t>
            </w:r>
          </w:p>
        </w:tc>
      </w:tr>
      <w:tr w14:paraId="418DE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67FFA21B">
            <w:pPr>
              <w:pStyle w:val="133"/>
            </w:pPr>
            <w:r>
              <w:rPr>
                <w:rFonts w:hint="eastAsia"/>
              </w:rPr>
              <w:t>7</w:t>
            </w:r>
          </w:p>
        </w:tc>
        <w:tc>
          <w:tcPr>
            <w:tcW w:w="2126" w:type="dxa"/>
            <w:vAlign w:val="center"/>
          </w:tcPr>
          <w:p w14:paraId="54FAC62A">
            <w:pPr>
              <w:pStyle w:val="133"/>
            </w:pPr>
            <w:r>
              <w:rPr>
                <w:rFonts w:hint="eastAsia"/>
              </w:rPr>
              <w:t>阴离子表面活性剂</w:t>
            </w:r>
          </w:p>
        </w:tc>
        <w:tc>
          <w:tcPr>
            <w:tcW w:w="2728" w:type="dxa"/>
            <w:vAlign w:val="center"/>
          </w:tcPr>
          <w:p w14:paraId="339129BA">
            <w:pPr>
              <w:pStyle w:val="133"/>
            </w:pPr>
            <w:r>
              <w:rPr>
                <w:rFonts w:hint="eastAsia"/>
              </w:rPr>
              <w:t>0.5</w:t>
            </w:r>
          </w:p>
        </w:tc>
        <w:tc>
          <w:tcPr>
            <w:tcW w:w="2728" w:type="dxa"/>
            <w:vAlign w:val="center"/>
          </w:tcPr>
          <w:p w14:paraId="62FA90B2">
            <w:pPr>
              <w:pStyle w:val="133"/>
            </w:pPr>
            <w:r>
              <w:rPr>
                <w:rFonts w:hint="eastAsia"/>
              </w:rPr>
              <w:t>0.5</w:t>
            </w:r>
          </w:p>
        </w:tc>
      </w:tr>
      <w:tr w14:paraId="61FFD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7C8FC052">
            <w:pPr>
              <w:pStyle w:val="133"/>
            </w:pPr>
            <w:r>
              <w:rPr>
                <w:rFonts w:hint="eastAsia"/>
              </w:rPr>
              <w:t>8</w:t>
            </w:r>
          </w:p>
        </w:tc>
        <w:tc>
          <w:tcPr>
            <w:tcW w:w="2126" w:type="dxa"/>
            <w:vAlign w:val="center"/>
          </w:tcPr>
          <w:p w14:paraId="31D2068C">
            <w:pPr>
              <w:pStyle w:val="133"/>
            </w:pPr>
            <w:r>
              <w:rPr>
                <w:rFonts w:hint="eastAsia"/>
              </w:rPr>
              <w:t>铁</w:t>
            </w:r>
          </w:p>
        </w:tc>
        <w:tc>
          <w:tcPr>
            <w:tcW w:w="2728" w:type="dxa"/>
            <w:vAlign w:val="center"/>
          </w:tcPr>
          <w:p w14:paraId="6151ECF8">
            <w:pPr>
              <w:pStyle w:val="133"/>
            </w:pPr>
            <w:r>
              <w:rPr>
                <w:rFonts w:hint="eastAsia"/>
              </w:rPr>
              <w:t>0.3</w:t>
            </w:r>
          </w:p>
        </w:tc>
        <w:tc>
          <w:tcPr>
            <w:tcW w:w="2728" w:type="dxa"/>
            <w:vAlign w:val="center"/>
          </w:tcPr>
          <w:p w14:paraId="1EFCC435">
            <w:pPr>
              <w:pStyle w:val="133"/>
            </w:pPr>
            <w:r>
              <w:rPr>
                <w:rFonts w:hint="eastAsia"/>
              </w:rPr>
              <w:t>-</w:t>
            </w:r>
          </w:p>
        </w:tc>
      </w:tr>
      <w:tr w14:paraId="213DB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2FF9464C">
            <w:pPr>
              <w:pStyle w:val="133"/>
            </w:pPr>
            <w:r>
              <w:rPr>
                <w:rFonts w:hint="eastAsia"/>
              </w:rPr>
              <w:t>9</w:t>
            </w:r>
          </w:p>
        </w:tc>
        <w:tc>
          <w:tcPr>
            <w:tcW w:w="2126" w:type="dxa"/>
            <w:vAlign w:val="center"/>
          </w:tcPr>
          <w:p w14:paraId="090A8ED4">
            <w:pPr>
              <w:pStyle w:val="133"/>
            </w:pPr>
            <w:r>
              <w:rPr>
                <w:rFonts w:hint="eastAsia"/>
              </w:rPr>
              <w:t>锰</w:t>
            </w:r>
          </w:p>
        </w:tc>
        <w:tc>
          <w:tcPr>
            <w:tcW w:w="2728" w:type="dxa"/>
            <w:vAlign w:val="center"/>
          </w:tcPr>
          <w:p w14:paraId="75161DD9">
            <w:pPr>
              <w:pStyle w:val="133"/>
            </w:pPr>
            <w:r>
              <w:rPr>
                <w:rFonts w:hint="eastAsia"/>
              </w:rPr>
              <w:t>0.1</w:t>
            </w:r>
          </w:p>
        </w:tc>
        <w:tc>
          <w:tcPr>
            <w:tcW w:w="2728" w:type="dxa"/>
            <w:vAlign w:val="center"/>
          </w:tcPr>
          <w:p w14:paraId="6C840EEE">
            <w:pPr>
              <w:pStyle w:val="133"/>
            </w:pPr>
            <w:r>
              <w:rPr>
                <w:rFonts w:hint="eastAsia"/>
              </w:rPr>
              <w:t>-</w:t>
            </w:r>
          </w:p>
        </w:tc>
      </w:tr>
      <w:tr w14:paraId="1ACCD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58E70D93">
            <w:pPr>
              <w:pStyle w:val="133"/>
            </w:pPr>
            <w:r>
              <w:rPr>
                <w:rFonts w:hint="eastAsia"/>
              </w:rPr>
              <w:t>10</w:t>
            </w:r>
          </w:p>
        </w:tc>
        <w:tc>
          <w:tcPr>
            <w:tcW w:w="2126" w:type="dxa"/>
            <w:vAlign w:val="center"/>
          </w:tcPr>
          <w:p w14:paraId="330095F9">
            <w:pPr>
              <w:pStyle w:val="133"/>
            </w:pPr>
            <w:r>
              <w:rPr>
                <w:rFonts w:hint="eastAsia"/>
              </w:rPr>
              <w:t>溶剂性总固体</w:t>
            </w:r>
          </w:p>
        </w:tc>
        <w:tc>
          <w:tcPr>
            <w:tcW w:w="2728" w:type="dxa"/>
            <w:vAlign w:val="center"/>
          </w:tcPr>
          <w:p w14:paraId="38863591">
            <w:pPr>
              <w:pStyle w:val="133"/>
            </w:pPr>
            <w:r>
              <w:rPr>
                <w:rFonts w:hint="eastAsia"/>
              </w:rPr>
              <w:t>1000（2000）</w:t>
            </w:r>
            <w:r>
              <w:rPr>
                <w:rFonts w:hint="eastAsia"/>
                <w:vertAlign w:val="superscript"/>
              </w:rPr>
              <w:t>a</w:t>
            </w:r>
          </w:p>
        </w:tc>
        <w:tc>
          <w:tcPr>
            <w:tcW w:w="2728" w:type="dxa"/>
            <w:vAlign w:val="center"/>
          </w:tcPr>
          <w:p w14:paraId="0FC1D9CA">
            <w:pPr>
              <w:pStyle w:val="133"/>
            </w:pPr>
            <w:r>
              <w:rPr>
                <w:rFonts w:hint="eastAsia"/>
              </w:rPr>
              <w:t>1000（2000）</w:t>
            </w:r>
            <w:r>
              <w:rPr>
                <w:rFonts w:hint="eastAsia"/>
                <w:vertAlign w:val="superscript"/>
              </w:rPr>
              <w:t>a</w:t>
            </w:r>
          </w:p>
        </w:tc>
      </w:tr>
      <w:tr w14:paraId="386EE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3ED13948">
            <w:pPr>
              <w:pStyle w:val="133"/>
            </w:pPr>
            <w:r>
              <w:rPr>
                <w:rFonts w:hint="eastAsia"/>
              </w:rPr>
              <w:t>11</w:t>
            </w:r>
          </w:p>
        </w:tc>
        <w:tc>
          <w:tcPr>
            <w:tcW w:w="2126" w:type="dxa"/>
            <w:vAlign w:val="center"/>
          </w:tcPr>
          <w:p w14:paraId="7B8F62BC">
            <w:pPr>
              <w:pStyle w:val="133"/>
            </w:pPr>
            <w:r>
              <w:rPr>
                <w:rFonts w:hint="eastAsia"/>
              </w:rPr>
              <w:t>溶解氧</w:t>
            </w:r>
          </w:p>
        </w:tc>
        <w:tc>
          <w:tcPr>
            <w:tcW w:w="2728" w:type="dxa"/>
            <w:vAlign w:val="center"/>
          </w:tcPr>
          <w:p w14:paraId="46CBAF7F">
            <w:pPr>
              <w:pStyle w:val="133"/>
            </w:pPr>
            <w:r>
              <w:rPr>
                <w:rFonts w:hint="eastAsia"/>
              </w:rPr>
              <w:t>2.0</w:t>
            </w:r>
          </w:p>
        </w:tc>
        <w:tc>
          <w:tcPr>
            <w:tcW w:w="2728" w:type="dxa"/>
            <w:vAlign w:val="center"/>
          </w:tcPr>
          <w:p w14:paraId="0F1875E1">
            <w:pPr>
              <w:pStyle w:val="133"/>
            </w:pPr>
            <w:r>
              <w:rPr>
                <w:rFonts w:hint="eastAsia"/>
              </w:rPr>
              <w:t>2.0</w:t>
            </w:r>
          </w:p>
        </w:tc>
      </w:tr>
      <w:tr w14:paraId="24640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1237EDDB">
            <w:pPr>
              <w:pStyle w:val="133"/>
            </w:pPr>
            <w:r>
              <w:rPr>
                <w:rFonts w:hint="eastAsia"/>
              </w:rPr>
              <w:t>12</w:t>
            </w:r>
          </w:p>
        </w:tc>
        <w:tc>
          <w:tcPr>
            <w:tcW w:w="2126" w:type="dxa"/>
            <w:vAlign w:val="center"/>
          </w:tcPr>
          <w:p w14:paraId="06AC96EC">
            <w:pPr>
              <w:pStyle w:val="133"/>
            </w:pPr>
            <w:r>
              <w:rPr>
                <w:rFonts w:hint="eastAsia"/>
              </w:rPr>
              <w:t>总氯</w:t>
            </w:r>
          </w:p>
        </w:tc>
        <w:tc>
          <w:tcPr>
            <w:tcW w:w="2728" w:type="dxa"/>
            <w:vAlign w:val="center"/>
          </w:tcPr>
          <w:p w14:paraId="26267D3B">
            <w:pPr>
              <w:pStyle w:val="133"/>
            </w:pPr>
            <w:r>
              <w:rPr>
                <w:rFonts w:hint="eastAsia"/>
              </w:rPr>
              <w:t>1.0（出厂），</w:t>
            </w:r>
          </w:p>
          <w:p w14:paraId="2D9EFB54">
            <w:pPr>
              <w:pStyle w:val="133"/>
            </w:pPr>
            <w:r>
              <w:rPr>
                <w:rFonts w:hint="eastAsia"/>
              </w:rPr>
              <w:t>0.2（管网末端）</w:t>
            </w:r>
          </w:p>
        </w:tc>
        <w:tc>
          <w:tcPr>
            <w:tcW w:w="2728" w:type="dxa"/>
            <w:vAlign w:val="center"/>
          </w:tcPr>
          <w:p w14:paraId="471C9683">
            <w:pPr>
              <w:pStyle w:val="133"/>
            </w:pPr>
            <w:r>
              <w:rPr>
                <w:rFonts w:hint="eastAsia"/>
              </w:rPr>
              <w:t>1.0（出厂），</w:t>
            </w:r>
          </w:p>
          <w:p w14:paraId="2EC706FE">
            <w:pPr>
              <w:pStyle w:val="133"/>
            </w:pPr>
            <w:r>
              <w:rPr>
                <w:rFonts w:hint="eastAsia"/>
              </w:rPr>
              <w:t>0.2</w:t>
            </w:r>
            <w:r>
              <w:rPr>
                <w:rFonts w:hint="eastAsia"/>
                <w:vertAlign w:val="superscript"/>
              </w:rPr>
              <w:t>b</w:t>
            </w:r>
            <w:r>
              <w:rPr>
                <w:rFonts w:hint="eastAsia"/>
              </w:rPr>
              <w:t>（管网末端）</w:t>
            </w:r>
          </w:p>
        </w:tc>
      </w:tr>
      <w:tr w14:paraId="7E50D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4" w:type="dxa"/>
            <w:vAlign w:val="center"/>
          </w:tcPr>
          <w:p w14:paraId="2D0F7874">
            <w:pPr>
              <w:pStyle w:val="133"/>
            </w:pPr>
            <w:r>
              <w:rPr>
                <w:rFonts w:hint="eastAsia"/>
              </w:rPr>
              <w:t>13</w:t>
            </w:r>
          </w:p>
        </w:tc>
        <w:tc>
          <w:tcPr>
            <w:tcW w:w="2126" w:type="dxa"/>
            <w:vAlign w:val="center"/>
          </w:tcPr>
          <w:p w14:paraId="458CBF73">
            <w:pPr>
              <w:pStyle w:val="133"/>
            </w:pPr>
            <w:r>
              <w:rPr>
                <w:rFonts w:hint="eastAsia"/>
              </w:rPr>
              <w:t>大肠埃希氏</w:t>
            </w:r>
          </w:p>
          <w:p w14:paraId="4399794A">
            <w:pPr>
              <w:pStyle w:val="133"/>
            </w:pPr>
            <w:r>
              <w:rPr>
                <w:rFonts w:hint="eastAsia"/>
              </w:rPr>
              <w:t>（MPN/100mL或CFU/100mL）</w:t>
            </w:r>
          </w:p>
        </w:tc>
        <w:tc>
          <w:tcPr>
            <w:tcW w:w="2728" w:type="dxa"/>
            <w:vAlign w:val="center"/>
          </w:tcPr>
          <w:p w14:paraId="71CEF5E7">
            <w:pPr>
              <w:pStyle w:val="133"/>
            </w:pPr>
            <w:r>
              <w:rPr>
                <w:rFonts w:hint="eastAsia"/>
              </w:rPr>
              <w:t>无</w:t>
            </w:r>
            <w:r>
              <w:rPr>
                <w:rFonts w:hint="eastAsia"/>
                <w:vertAlign w:val="superscript"/>
              </w:rPr>
              <w:t>c</w:t>
            </w:r>
          </w:p>
        </w:tc>
        <w:tc>
          <w:tcPr>
            <w:tcW w:w="2728" w:type="dxa"/>
            <w:vAlign w:val="center"/>
          </w:tcPr>
          <w:p w14:paraId="2BBC9FF2">
            <w:pPr>
              <w:pStyle w:val="133"/>
            </w:pPr>
            <w:r>
              <w:rPr>
                <w:rFonts w:hint="eastAsia"/>
              </w:rPr>
              <w:t>无</w:t>
            </w:r>
            <w:r>
              <w:rPr>
                <w:rFonts w:hint="eastAsia"/>
                <w:vertAlign w:val="superscript"/>
              </w:rPr>
              <w:t>c</w:t>
            </w:r>
          </w:p>
        </w:tc>
      </w:tr>
      <w:tr w14:paraId="6C1E4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276" w:type="dxa"/>
            <w:gridSpan w:val="4"/>
            <w:vAlign w:val="center"/>
          </w:tcPr>
          <w:p w14:paraId="7E94ABC0">
            <w:pPr>
              <w:pStyle w:val="133"/>
              <w:jc w:val="left"/>
            </w:pPr>
            <w:r>
              <w:rPr>
                <w:rFonts w:hint="eastAsia"/>
                <w:vertAlign w:val="superscript"/>
              </w:rPr>
              <w:t>a</w:t>
            </w:r>
            <w:r>
              <w:rPr>
                <w:rFonts w:hint="eastAsia"/>
              </w:rPr>
              <w:t>括号内指标值为沿海及本地水源中溶解性总固体含量较高的区域的指标。</w:t>
            </w:r>
          </w:p>
          <w:p w14:paraId="288DD55E">
            <w:pPr>
              <w:pStyle w:val="133"/>
              <w:jc w:val="left"/>
            </w:pPr>
            <w:r>
              <w:rPr>
                <w:rFonts w:hint="eastAsia"/>
                <w:vertAlign w:val="superscript"/>
              </w:rPr>
              <w:t>b</w:t>
            </w:r>
            <w:r>
              <w:rPr>
                <w:rFonts w:hint="eastAsia"/>
              </w:rPr>
              <w:t>用于城市绿化时，不应超过2.5mg/L。</w:t>
            </w:r>
          </w:p>
          <w:p w14:paraId="643F5149">
            <w:pPr>
              <w:pStyle w:val="133"/>
              <w:jc w:val="left"/>
            </w:pPr>
            <w:r>
              <w:rPr>
                <w:rFonts w:hint="eastAsia"/>
                <w:vertAlign w:val="superscript"/>
              </w:rPr>
              <w:t>c</w:t>
            </w:r>
            <w:r>
              <w:rPr>
                <w:rFonts w:hint="eastAsia"/>
              </w:rPr>
              <w:t>大肠埃希氏菌不应检出。</w:t>
            </w:r>
          </w:p>
        </w:tc>
      </w:tr>
      <w:bookmarkEnd w:id="155"/>
    </w:tbl>
    <w:p w14:paraId="61329414">
      <w:pPr>
        <w:pStyle w:val="133"/>
      </w:pPr>
    </w:p>
    <w:p w14:paraId="6C67B96D">
      <w:pPr>
        <w:pStyle w:val="5"/>
      </w:pPr>
      <w:r>
        <w:rPr>
          <w:rFonts w:hint="eastAsia"/>
        </w:rPr>
        <w:t>噪声</w:t>
      </w:r>
    </w:p>
    <w:p w14:paraId="62417598">
      <w:pPr>
        <w:pStyle w:val="117"/>
        <w:ind w:firstLine="480"/>
      </w:pPr>
      <w:r>
        <w:rPr>
          <w:rFonts w:hint="eastAsia"/>
        </w:rPr>
        <w:t>本项目东、西、南、北厂界噪声执行《工业企业厂界环境噪声排放标准》（GB12348-2008）中3类区标准（昼间65dB（A）、夜间55dB（A））。</w:t>
      </w:r>
    </w:p>
    <w:p w14:paraId="044930BF">
      <w:pPr>
        <w:pStyle w:val="5"/>
      </w:pPr>
      <w:r>
        <w:rPr>
          <w:rFonts w:hint="eastAsia"/>
        </w:rPr>
        <w:t>固体废物</w:t>
      </w:r>
    </w:p>
    <w:p w14:paraId="06DFD1C7">
      <w:pPr>
        <w:pStyle w:val="117"/>
        <w:ind w:firstLine="480"/>
      </w:pPr>
      <w:bookmarkStart w:id="156" w:name="_Toc377604979"/>
      <w:r>
        <w:rPr>
          <w:rFonts w:hint="eastAsia"/>
        </w:rPr>
        <w:t>项目产生的固体废物暂存执行《危险废物贮存污染控制标准》（GB18597-2023）和《一般工业固体废物贮存和填埋污染控制标准》（GB18599-2020）。</w:t>
      </w:r>
    </w:p>
    <w:p w14:paraId="537F7038">
      <w:pPr>
        <w:pStyle w:val="3"/>
      </w:pPr>
      <w:bookmarkStart w:id="157" w:name="_Toc442180946"/>
      <w:bookmarkStart w:id="158" w:name="_Toc205291368"/>
      <w:bookmarkStart w:id="159" w:name="_Toc414619132"/>
      <w:bookmarkStart w:id="160" w:name="_Toc12845"/>
      <w:bookmarkStart w:id="161" w:name="_Toc485640223"/>
      <w:bookmarkStart w:id="162" w:name="_Toc22794"/>
      <w:bookmarkStart w:id="163" w:name="_Toc489258990"/>
      <w:r>
        <w:rPr>
          <w:rFonts w:hint="eastAsia"/>
        </w:rPr>
        <w:t>评价内容与评价重点</w:t>
      </w:r>
      <w:bookmarkEnd w:id="156"/>
      <w:bookmarkEnd w:id="157"/>
      <w:bookmarkEnd w:id="158"/>
      <w:bookmarkEnd w:id="159"/>
      <w:bookmarkEnd w:id="160"/>
      <w:bookmarkEnd w:id="161"/>
      <w:bookmarkEnd w:id="162"/>
      <w:bookmarkEnd w:id="163"/>
    </w:p>
    <w:p w14:paraId="5B0105A2">
      <w:pPr>
        <w:pStyle w:val="138"/>
        <w:rPr>
          <w:rFonts w:hint="eastAsia"/>
        </w:rPr>
      </w:pPr>
      <w:bookmarkStart w:id="164" w:name="_Toc11958"/>
      <w:bookmarkStart w:id="165" w:name="_Toc414619133"/>
      <w:bookmarkStart w:id="166" w:name="_Toc410564943"/>
      <w:r>
        <w:rPr>
          <w:rFonts w:hint="eastAsia"/>
        </w:rPr>
        <w:t>评价内容</w:t>
      </w:r>
      <w:bookmarkEnd w:id="164"/>
      <w:bookmarkEnd w:id="165"/>
      <w:bookmarkEnd w:id="166"/>
      <w:r>
        <w:rPr>
          <w:rFonts w:hint="eastAsia"/>
        </w:rPr>
        <w:t>·</w:t>
      </w:r>
    </w:p>
    <w:p w14:paraId="51420A44">
      <w:pPr>
        <w:pStyle w:val="117"/>
        <w:ind w:firstLine="480"/>
      </w:pPr>
      <w:r>
        <w:rPr>
          <w:rFonts w:hint="eastAsia"/>
        </w:rPr>
        <w:t>本次评价工作的主要内容为：工程分析、环境质量现状调查及评价、施工期环境影响评价、运营期环境影响评价、污染防治措施可行性论证分析、清洁生产分析与总量控制、公众参与、环境风险评价等；此外，产业政策及规划符合性分析、环境管理与环境监测计划及环境经济损益分析等也将在报告书中予以论述。</w:t>
      </w:r>
      <w:bookmarkStart w:id="167" w:name="_Toc410564944"/>
      <w:bookmarkStart w:id="168" w:name="_Toc17023"/>
      <w:bookmarkStart w:id="169" w:name="_Toc414619134"/>
    </w:p>
    <w:p w14:paraId="6D90BA8D">
      <w:pPr>
        <w:pStyle w:val="138"/>
        <w:rPr>
          <w:rFonts w:hint="eastAsia"/>
        </w:rPr>
      </w:pPr>
      <w:r>
        <w:rPr>
          <w:rFonts w:hint="eastAsia"/>
        </w:rPr>
        <w:t>评价重点</w:t>
      </w:r>
      <w:bookmarkEnd w:id="167"/>
      <w:bookmarkEnd w:id="168"/>
      <w:bookmarkEnd w:id="169"/>
    </w:p>
    <w:p w14:paraId="6451A9FB">
      <w:pPr>
        <w:pStyle w:val="117"/>
        <w:ind w:firstLine="480"/>
      </w:pPr>
      <w:r>
        <w:rPr>
          <w:rFonts w:hint="eastAsia"/>
        </w:rPr>
        <w:t>在污染源调查、综合分析的基础上，把工程分析、大气环境影响评价、污染防治对策、环境风险评价作为评价重点。</w:t>
      </w:r>
    </w:p>
    <w:p w14:paraId="2BF2FEA4">
      <w:pPr>
        <w:pStyle w:val="3"/>
      </w:pPr>
      <w:bookmarkStart w:id="170" w:name="_Toc290048778"/>
      <w:bookmarkStart w:id="171" w:name="_Toc32488"/>
      <w:bookmarkStart w:id="172" w:name="_Toc6113"/>
      <w:bookmarkStart w:id="173" w:name="_Toc286617450"/>
      <w:bookmarkStart w:id="174" w:name="_Toc377604982"/>
      <w:bookmarkStart w:id="175" w:name="_Toc442180947"/>
      <w:bookmarkStart w:id="176" w:name="_Toc205291369"/>
      <w:bookmarkStart w:id="177" w:name="_Toc414619135"/>
      <w:bookmarkStart w:id="178" w:name="_Toc485640224"/>
      <w:bookmarkStart w:id="179" w:name="_Toc489258991"/>
      <w:r>
        <w:rPr>
          <w:rFonts w:hint="eastAsia"/>
        </w:rPr>
        <w:t>环境保护目标</w:t>
      </w:r>
      <w:bookmarkEnd w:id="170"/>
      <w:bookmarkEnd w:id="171"/>
      <w:bookmarkEnd w:id="172"/>
      <w:bookmarkEnd w:id="173"/>
      <w:bookmarkEnd w:id="174"/>
      <w:bookmarkEnd w:id="175"/>
      <w:bookmarkEnd w:id="176"/>
      <w:bookmarkEnd w:id="177"/>
      <w:bookmarkEnd w:id="178"/>
      <w:bookmarkEnd w:id="179"/>
    </w:p>
    <w:p w14:paraId="241FA81B">
      <w:pPr>
        <w:pStyle w:val="117"/>
        <w:ind w:firstLine="480"/>
      </w:pPr>
      <w:r>
        <w:rPr>
          <w:rFonts w:hint="eastAsia"/>
        </w:rPr>
        <w:t>根据项目周围环境状况和敏感点具体分布情况，确定本项目</w:t>
      </w:r>
      <w:bookmarkStart w:id="180" w:name="_Toc155101581"/>
      <w:r>
        <w:rPr>
          <w:rFonts w:hint="eastAsia"/>
          <w:lang w:val="sq-AL"/>
        </w:rPr>
        <w:t>环境空气、地下水环境的保护目标，本项目</w:t>
      </w:r>
      <w:r>
        <w:rPr>
          <w:rFonts w:hint="eastAsia"/>
        </w:rPr>
        <w:t>环境保护目标</w:t>
      </w:r>
      <w:r>
        <w:rPr>
          <w:rFonts w:hint="eastAsia"/>
          <w:lang w:val="sq-AL"/>
        </w:rPr>
        <w:t>分别见表</w:t>
      </w:r>
      <w:r>
        <w:rPr>
          <w:rFonts w:hint="eastAsia"/>
        </w:rPr>
        <w:t>1.7-1</w:t>
      </w:r>
      <w:bookmarkEnd w:id="180"/>
      <w:r>
        <w:rPr>
          <w:rFonts w:hint="eastAsia"/>
        </w:rPr>
        <w:t>，图1.</w:t>
      </w:r>
      <w:r>
        <w:t>4</w:t>
      </w:r>
      <w:r>
        <w:rPr>
          <w:rFonts w:hint="eastAsia"/>
        </w:rPr>
        <w:t>-1。</w:t>
      </w:r>
    </w:p>
    <w:p w14:paraId="6D80D512">
      <w:pPr>
        <w:pStyle w:val="118"/>
        <w:rPr>
          <w:color w:val="auto"/>
        </w:rPr>
      </w:pPr>
      <w:r>
        <w:rPr>
          <w:rFonts w:hint="eastAsia"/>
          <w:color w:val="auto"/>
        </w:rPr>
        <w:t>表1.7-1  主要环境保护目标</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57"/>
        <w:gridCol w:w="1965"/>
        <w:gridCol w:w="1114"/>
        <w:gridCol w:w="930"/>
        <w:gridCol w:w="854"/>
        <w:gridCol w:w="2969"/>
      </w:tblGrid>
      <w:tr w14:paraId="12F568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556" w:type="pct"/>
            <w:vAlign w:val="center"/>
          </w:tcPr>
          <w:p w14:paraId="027AF566">
            <w:pPr>
              <w:pStyle w:val="133"/>
              <w:rPr>
                <w:b/>
                <w:bCs/>
              </w:rPr>
            </w:pPr>
            <w:r>
              <w:rPr>
                <w:rFonts w:hint="eastAsia"/>
                <w:b/>
                <w:bCs/>
              </w:rPr>
              <w:t>类别</w:t>
            </w:r>
          </w:p>
        </w:tc>
        <w:tc>
          <w:tcPr>
            <w:tcW w:w="1129" w:type="pct"/>
            <w:vAlign w:val="center"/>
          </w:tcPr>
          <w:p w14:paraId="42250639">
            <w:pPr>
              <w:pStyle w:val="133"/>
              <w:rPr>
                <w:b/>
                <w:bCs/>
              </w:rPr>
            </w:pPr>
            <w:r>
              <w:rPr>
                <w:rFonts w:hint="eastAsia"/>
                <w:b/>
                <w:bCs/>
              </w:rPr>
              <w:t>保护目标名称</w:t>
            </w:r>
          </w:p>
        </w:tc>
        <w:tc>
          <w:tcPr>
            <w:tcW w:w="645" w:type="pct"/>
            <w:vAlign w:val="center"/>
          </w:tcPr>
          <w:p w14:paraId="216C8D15">
            <w:pPr>
              <w:pStyle w:val="133"/>
              <w:rPr>
                <w:b/>
                <w:bCs/>
              </w:rPr>
            </w:pPr>
            <w:r>
              <w:rPr>
                <w:rFonts w:hint="eastAsia"/>
                <w:b/>
                <w:bCs/>
              </w:rPr>
              <w:t>与厂址</w:t>
            </w:r>
          </w:p>
          <w:p w14:paraId="5C6D16F9">
            <w:pPr>
              <w:pStyle w:val="133"/>
              <w:rPr>
                <w:b/>
                <w:bCs/>
              </w:rPr>
            </w:pPr>
            <w:r>
              <w:rPr>
                <w:rFonts w:hint="eastAsia"/>
                <w:b/>
                <w:bCs/>
              </w:rPr>
              <w:t>相对方位</w:t>
            </w:r>
          </w:p>
        </w:tc>
        <w:tc>
          <w:tcPr>
            <w:tcW w:w="473" w:type="pct"/>
            <w:vAlign w:val="center"/>
          </w:tcPr>
          <w:p w14:paraId="60173F13">
            <w:pPr>
              <w:pStyle w:val="133"/>
              <w:rPr>
                <w:b/>
                <w:bCs/>
              </w:rPr>
            </w:pPr>
            <w:r>
              <w:rPr>
                <w:rFonts w:hint="eastAsia"/>
                <w:b/>
                <w:bCs/>
              </w:rPr>
              <w:t>距离（km）</w:t>
            </w:r>
          </w:p>
        </w:tc>
        <w:tc>
          <w:tcPr>
            <w:tcW w:w="497" w:type="pct"/>
            <w:vAlign w:val="center"/>
          </w:tcPr>
          <w:p w14:paraId="76DB95F7">
            <w:pPr>
              <w:pStyle w:val="133"/>
              <w:rPr>
                <w:b/>
                <w:bCs/>
              </w:rPr>
            </w:pPr>
            <w:r>
              <w:rPr>
                <w:rFonts w:hint="eastAsia"/>
                <w:b/>
                <w:bCs/>
              </w:rPr>
              <w:t>人口</w:t>
            </w:r>
          </w:p>
          <w:p w14:paraId="61150B4E">
            <w:pPr>
              <w:pStyle w:val="133"/>
              <w:rPr>
                <w:b/>
                <w:bCs/>
              </w:rPr>
            </w:pPr>
            <w:r>
              <w:rPr>
                <w:rFonts w:hint="eastAsia"/>
                <w:b/>
                <w:bCs/>
              </w:rPr>
              <w:t>（人）</w:t>
            </w:r>
          </w:p>
        </w:tc>
        <w:tc>
          <w:tcPr>
            <w:tcW w:w="1700" w:type="pct"/>
            <w:vAlign w:val="center"/>
          </w:tcPr>
          <w:p w14:paraId="7F5FA2CC">
            <w:pPr>
              <w:pStyle w:val="133"/>
              <w:rPr>
                <w:b/>
                <w:bCs/>
              </w:rPr>
            </w:pPr>
            <w:r>
              <w:rPr>
                <w:rFonts w:hint="eastAsia"/>
                <w:b/>
                <w:bCs/>
              </w:rPr>
              <w:t>保护要求</w:t>
            </w:r>
          </w:p>
        </w:tc>
      </w:tr>
      <w:tr w14:paraId="5D55B8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6" w:type="pct"/>
            <w:vAlign w:val="center"/>
          </w:tcPr>
          <w:p w14:paraId="6BC1F0CF">
            <w:pPr>
              <w:pStyle w:val="133"/>
            </w:pPr>
            <w:r>
              <w:rPr>
                <w:rFonts w:hint="eastAsia"/>
              </w:rPr>
              <w:t>环境</w:t>
            </w:r>
          </w:p>
          <w:p w14:paraId="0A4036D4">
            <w:pPr>
              <w:pStyle w:val="133"/>
            </w:pPr>
            <w:r>
              <w:rPr>
                <w:rFonts w:hint="eastAsia"/>
              </w:rPr>
              <w:t>空气</w:t>
            </w:r>
          </w:p>
        </w:tc>
        <w:tc>
          <w:tcPr>
            <w:tcW w:w="1129" w:type="pct"/>
            <w:vAlign w:val="center"/>
          </w:tcPr>
          <w:p w14:paraId="5C841FC8">
            <w:pPr>
              <w:pStyle w:val="133"/>
            </w:pPr>
            <w:r>
              <w:rPr>
                <w:rFonts w:hint="eastAsia"/>
              </w:rPr>
              <w:t>无</w:t>
            </w:r>
          </w:p>
        </w:tc>
        <w:tc>
          <w:tcPr>
            <w:tcW w:w="645" w:type="pct"/>
            <w:vAlign w:val="center"/>
          </w:tcPr>
          <w:p w14:paraId="53C42168">
            <w:pPr>
              <w:pStyle w:val="133"/>
            </w:pPr>
            <w:r>
              <w:rPr>
                <w:rFonts w:hint="eastAsia"/>
              </w:rPr>
              <w:t>-</w:t>
            </w:r>
          </w:p>
        </w:tc>
        <w:tc>
          <w:tcPr>
            <w:tcW w:w="473" w:type="pct"/>
            <w:vAlign w:val="center"/>
          </w:tcPr>
          <w:p w14:paraId="2642863F">
            <w:pPr>
              <w:pStyle w:val="133"/>
            </w:pPr>
            <w:r>
              <w:rPr>
                <w:rFonts w:hint="eastAsia"/>
              </w:rPr>
              <w:t>-</w:t>
            </w:r>
          </w:p>
        </w:tc>
        <w:tc>
          <w:tcPr>
            <w:tcW w:w="497" w:type="pct"/>
            <w:vAlign w:val="center"/>
          </w:tcPr>
          <w:p w14:paraId="6124F534">
            <w:pPr>
              <w:pStyle w:val="133"/>
            </w:pPr>
            <w:r>
              <w:rPr>
                <w:rFonts w:hint="eastAsia"/>
              </w:rPr>
              <w:t>-</w:t>
            </w:r>
          </w:p>
        </w:tc>
        <w:tc>
          <w:tcPr>
            <w:tcW w:w="1700" w:type="pct"/>
            <w:vAlign w:val="center"/>
          </w:tcPr>
          <w:p w14:paraId="61DFAF52">
            <w:pPr>
              <w:pStyle w:val="133"/>
            </w:pPr>
            <w:r>
              <w:rPr>
                <w:rFonts w:hint="eastAsia"/>
              </w:rPr>
              <w:t>-</w:t>
            </w:r>
          </w:p>
        </w:tc>
      </w:tr>
      <w:tr w14:paraId="129067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6" w:type="pct"/>
            <w:vAlign w:val="center"/>
          </w:tcPr>
          <w:p w14:paraId="3C82ADB4">
            <w:pPr>
              <w:pStyle w:val="133"/>
            </w:pPr>
            <w:r>
              <w:rPr>
                <w:rFonts w:hint="eastAsia"/>
              </w:rPr>
              <w:t>声环境</w:t>
            </w:r>
          </w:p>
        </w:tc>
        <w:tc>
          <w:tcPr>
            <w:tcW w:w="1129" w:type="pct"/>
            <w:vAlign w:val="center"/>
          </w:tcPr>
          <w:p w14:paraId="7C4EAA34">
            <w:pPr>
              <w:pStyle w:val="133"/>
            </w:pPr>
            <w:r>
              <w:rPr>
                <w:rFonts w:hint="eastAsia"/>
              </w:rPr>
              <w:t>厂址四周边界</w:t>
            </w:r>
          </w:p>
        </w:tc>
        <w:tc>
          <w:tcPr>
            <w:tcW w:w="645" w:type="pct"/>
            <w:vAlign w:val="center"/>
          </w:tcPr>
          <w:p w14:paraId="70E48898">
            <w:pPr>
              <w:pStyle w:val="133"/>
            </w:pPr>
            <w:r>
              <w:rPr>
                <w:rFonts w:hint="eastAsia"/>
              </w:rPr>
              <w:t>-</w:t>
            </w:r>
          </w:p>
        </w:tc>
        <w:tc>
          <w:tcPr>
            <w:tcW w:w="473" w:type="pct"/>
            <w:vAlign w:val="center"/>
          </w:tcPr>
          <w:p w14:paraId="0A592B3B">
            <w:pPr>
              <w:pStyle w:val="133"/>
            </w:pPr>
            <w:r>
              <w:rPr>
                <w:rFonts w:hint="eastAsia"/>
              </w:rPr>
              <w:t>-</w:t>
            </w:r>
          </w:p>
        </w:tc>
        <w:tc>
          <w:tcPr>
            <w:tcW w:w="497" w:type="pct"/>
            <w:vAlign w:val="center"/>
          </w:tcPr>
          <w:p w14:paraId="19DC1B3A">
            <w:pPr>
              <w:pStyle w:val="133"/>
            </w:pPr>
            <w:r>
              <w:rPr>
                <w:rFonts w:hint="eastAsia"/>
              </w:rPr>
              <w:t>-</w:t>
            </w:r>
          </w:p>
        </w:tc>
        <w:tc>
          <w:tcPr>
            <w:tcW w:w="1700" w:type="pct"/>
            <w:vAlign w:val="center"/>
          </w:tcPr>
          <w:p w14:paraId="2C0D3AAA">
            <w:pPr>
              <w:pStyle w:val="133"/>
            </w:pPr>
            <w:r>
              <w:rPr>
                <w:rFonts w:hint="eastAsia"/>
              </w:rPr>
              <w:t>满足《声环境质量标准》（GB3096-2008）中3类标准</w:t>
            </w:r>
          </w:p>
        </w:tc>
      </w:tr>
      <w:tr w14:paraId="61C081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6" w:type="pct"/>
            <w:vAlign w:val="center"/>
          </w:tcPr>
          <w:p w14:paraId="48D5AD69">
            <w:pPr>
              <w:pStyle w:val="133"/>
            </w:pPr>
            <w:r>
              <w:rPr>
                <w:rFonts w:hint="eastAsia"/>
              </w:rPr>
              <w:t>地下水</w:t>
            </w:r>
          </w:p>
          <w:p w14:paraId="486A6099">
            <w:pPr>
              <w:pStyle w:val="133"/>
            </w:pPr>
            <w:r>
              <w:rPr>
                <w:rFonts w:hint="eastAsia"/>
              </w:rPr>
              <w:t>环境</w:t>
            </w:r>
          </w:p>
        </w:tc>
        <w:tc>
          <w:tcPr>
            <w:tcW w:w="1129" w:type="pct"/>
            <w:vAlign w:val="center"/>
          </w:tcPr>
          <w:p w14:paraId="3408A40D">
            <w:pPr>
              <w:pStyle w:val="133"/>
            </w:pPr>
            <w:r>
              <w:rPr>
                <w:rFonts w:hint="eastAsia"/>
              </w:rPr>
              <w:t>厂址及下游</w:t>
            </w:r>
          </w:p>
          <w:p w14:paraId="4A8A51BA">
            <w:pPr>
              <w:pStyle w:val="133"/>
            </w:pPr>
            <w:r>
              <w:rPr>
                <w:rFonts w:hint="eastAsia"/>
              </w:rPr>
              <w:t>地下水</w:t>
            </w:r>
          </w:p>
        </w:tc>
        <w:tc>
          <w:tcPr>
            <w:tcW w:w="645" w:type="pct"/>
            <w:vAlign w:val="center"/>
          </w:tcPr>
          <w:p w14:paraId="376E1F97">
            <w:pPr>
              <w:pStyle w:val="133"/>
            </w:pPr>
            <w:r>
              <w:rPr>
                <w:rFonts w:hint="eastAsia"/>
              </w:rPr>
              <w:t>-</w:t>
            </w:r>
          </w:p>
        </w:tc>
        <w:tc>
          <w:tcPr>
            <w:tcW w:w="970" w:type="pct"/>
            <w:gridSpan w:val="2"/>
            <w:vAlign w:val="center"/>
          </w:tcPr>
          <w:p w14:paraId="16BEC796">
            <w:pPr>
              <w:pStyle w:val="133"/>
            </w:pPr>
            <w:r>
              <w:rPr>
                <w:rFonts w:hint="eastAsia"/>
              </w:rPr>
              <w:t>浅层地下水</w:t>
            </w:r>
          </w:p>
        </w:tc>
        <w:tc>
          <w:tcPr>
            <w:tcW w:w="1700" w:type="pct"/>
            <w:vAlign w:val="center"/>
          </w:tcPr>
          <w:p w14:paraId="2FFB9644">
            <w:pPr>
              <w:pStyle w:val="133"/>
            </w:pPr>
            <w:r>
              <w:rPr>
                <w:rFonts w:hint="eastAsia"/>
              </w:rPr>
              <w:t>满足《地下水质量标准》（</w:t>
            </w:r>
            <w:r>
              <w:t>GB/T14848-2017</w:t>
            </w:r>
            <w:r>
              <w:rPr>
                <w:rFonts w:hint="eastAsia"/>
              </w:rPr>
              <w:t>）中的Ⅲ类标准</w:t>
            </w:r>
          </w:p>
        </w:tc>
      </w:tr>
      <w:tr w14:paraId="586543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6" w:type="pct"/>
            <w:vAlign w:val="center"/>
          </w:tcPr>
          <w:p w14:paraId="31295AD8">
            <w:pPr>
              <w:pStyle w:val="133"/>
            </w:pPr>
            <w:r>
              <w:rPr>
                <w:rFonts w:hint="eastAsia"/>
              </w:rPr>
              <w:t>土壤</w:t>
            </w:r>
          </w:p>
          <w:p w14:paraId="1A8ED7BA">
            <w:pPr>
              <w:pStyle w:val="133"/>
            </w:pPr>
            <w:r>
              <w:rPr>
                <w:rFonts w:hint="eastAsia"/>
              </w:rPr>
              <w:t>环境</w:t>
            </w:r>
          </w:p>
        </w:tc>
        <w:tc>
          <w:tcPr>
            <w:tcW w:w="1129" w:type="pct"/>
            <w:vAlign w:val="center"/>
          </w:tcPr>
          <w:p w14:paraId="74F6CA71">
            <w:pPr>
              <w:pStyle w:val="133"/>
            </w:pPr>
            <w:r>
              <w:rPr>
                <w:rFonts w:hint="eastAsia"/>
              </w:rPr>
              <w:t>占地范围内土壤</w:t>
            </w:r>
          </w:p>
        </w:tc>
        <w:tc>
          <w:tcPr>
            <w:tcW w:w="645" w:type="pct"/>
            <w:vAlign w:val="center"/>
          </w:tcPr>
          <w:p w14:paraId="3AC14304">
            <w:pPr>
              <w:pStyle w:val="133"/>
            </w:pPr>
            <w:r>
              <w:rPr>
                <w:rFonts w:hint="eastAsia"/>
              </w:rPr>
              <w:t>-</w:t>
            </w:r>
          </w:p>
        </w:tc>
        <w:tc>
          <w:tcPr>
            <w:tcW w:w="473" w:type="pct"/>
            <w:vAlign w:val="center"/>
          </w:tcPr>
          <w:p w14:paraId="2334D4EF">
            <w:pPr>
              <w:pStyle w:val="133"/>
            </w:pPr>
            <w:r>
              <w:t>-</w:t>
            </w:r>
          </w:p>
        </w:tc>
        <w:tc>
          <w:tcPr>
            <w:tcW w:w="497" w:type="pct"/>
            <w:vAlign w:val="center"/>
          </w:tcPr>
          <w:p w14:paraId="3CD99E8E">
            <w:pPr>
              <w:pStyle w:val="133"/>
            </w:pPr>
            <w:r>
              <w:rPr>
                <w:rFonts w:hint="eastAsia"/>
              </w:rPr>
              <w:t>-</w:t>
            </w:r>
          </w:p>
        </w:tc>
        <w:tc>
          <w:tcPr>
            <w:tcW w:w="1700" w:type="pct"/>
            <w:vAlign w:val="center"/>
          </w:tcPr>
          <w:p w14:paraId="03A47D3D">
            <w:pPr>
              <w:pStyle w:val="133"/>
            </w:pPr>
            <w:r>
              <w:rPr>
                <w:rFonts w:hint="eastAsia"/>
              </w:rPr>
              <w:t>满足《土壤环境质量 建设用地土壤污染风险管控标准（试行）》（GB36600-2018）</w:t>
            </w:r>
          </w:p>
        </w:tc>
      </w:tr>
      <w:tr w14:paraId="482863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6" w:type="pct"/>
            <w:vMerge w:val="restart"/>
            <w:vAlign w:val="center"/>
          </w:tcPr>
          <w:p w14:paraId="3FE91953">
            <w:pPr>
              <w:pStyle w:val="133"/>
            </w:pPr>
            <w:r>
              <w:rPr>
                <w:rFonts w:hint="eastAsia"/>
              </w:rPr>
              <w:t>环境</w:t>
            </w:r>
          </w:p>
          <w:p w14:paraId="6C7D6D27">
            <w:pPr>
              <w:pStyle w:val="133"/>
            </w:pPr>
            <w:r>
              <w:rPr>
                <w:rFonts w:hint="eastAsia"/>
              </w:rPr>
              <w:t>风险</w:t>
            </w:r>
          </w:p>
        </w:tc>
        <w:tc>
          <w:tcPr>
            <w:tcW w:w="1129" w:type="pct"/>
            <w:vAlign w:val="center"/>
          </w:tcPr>
          <w:p w14:paraId="22D14F81">
            <w:pPr>
              <w:pStyle w:val="133"/>
            </w:pPr>
            <w:r>
              <w:rPr>
                <w:rFonts w:hint="eastAsia"/>
              </w:rPr>
              <w:t>占地范围内土壤</w:t>
            </w:r>
          </w:p>
        </w:tc>
        <w:tc>
          <w:tcPr>
            <w:tcW w:w="645" w:type="pct"/>
            <w:vAlign w:val="center"/>
          </w:tcPr>
          <w:p w14:paraId="52E3D5B7">
            <w:pPr>
              <w:pStyle w:val="133"/>
            </w:pPr>
          </w:p>
        </w:tc>
        <w:tc>
          <w:tcPr>
            <w:tcW w:w="473" w:type="pct"/>
            <w:vAlign w:val="center"/>
          </w:tcPr>
          <w:p w14:paraId="098A9CC2">
            <w:pPr>
              <w:pStyle w:val="133"/>
            </w:pPr>
          </w:p>
        </w:tc>
        <w:tc>
          <w:tcPr>
            <w:tcW w:w="497" w:type="pct"/>
            <w:vAlign w:val="center"/>
          </w:tcPr>
          <w:p w14:paraId="25AC78B3">
            <w:pPr>
              <w:pStyle w:val="133"/>
            </w:pPr>
          </w:p>
        </w:tc>
        <w:tc>
          <w:tcPr>
            <w:tcW w:w="1700" w:type="pct"/>
            <w:vAlign w:val="center"/>
          </w:tcPr>
          <w:p w14:paraId="649F23AC">
            <w:pPr>
              <w:pStyle w:val="133"/>
            </w:pPr>
            <w:r>
              <w:rPr>
                <w:rFonts w:hint="eastAsia"/>
              </w:rPr>
              <w:t>满足《土壤环境质量 建设用地土壤污染风险管控标准（试行）》（GB36600-2018）</w:t>
            </w:r>
          </w:p>
        </w:tc>
      </w:tr>
      <w:tr w14:paraId="42BCBB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56" w:type="pct"/>
            <w:vMerge w:val="continue"/>
            <w:vAlign w:val="center"/>
          </w:tcPr>
          <w:p w14:paraId="5082479D">
            <w:pPr>
              <w:pStyle w:val="133"/>
            </w:pPr>
          </w:p>
        </w:tc>
        <w:tc>
          <w:tcPr>
            <w:tcW w:w="1129" w:type="pct"/>
            <w:vAlign w:val="center"/>
          </w:tcPr>
          <w:p w14:paraId="31023A1D">
            <w:pPr>
              <w:pStyle w:val="133"/>
            </w:pPr>
            <w:r>
              <w:rPr>
                <w:rFonts w:hint="eastAsia"/>
              </w:rPr>
              <w:t>厂址及下游地下水</w:t>
            </w:r>
          </w:p>
        </w:tc>
        <w:tc>
          <w:tcPr>
            <w:tcW w:w="645" w:type="pct"/>
            <w:vAlign w:val="center"/>
          </w:tcPr>
          <w:p w14:paraId="3D7C297A">
            <w:pPr>
              <w:pStyle w:val="133"/>
            </w:pPr>
            <w:r>
              <w:rPr>
                <w:rFonts w:hint="eastAsia"/>
              </w:rPr>
              <w:t>-</w:t>
            </w:r>
          </w:p>
        </w:tc>
        <w:tc>
          <w:tcPr>
            <w:tcW w:w="473" w:type="pct"/>
            <w:vAlign w:val="center"/>
          </w:tcPr>
          <w:p w14:paraId="5F4FF6F9">
            <w:pPr>
              <w:pStyle w:val="133"/>
            </w:pPr>
          </w:p>
        </w:tc>
        <w:tc>
          <w:tcPr>
            <w:tcW w:w="497" w:type="pct"/>
            <w:vAlign w:val="center"/>
          </w:tcPr>
          <w:p w14:paraId="19C29D81">
            <w:pPr>
              <w:pStyle w:val="133"/>
            </w:pPr>
          </w:p>
        </w:tc>
        <w:tc>
          <w:tcPr>
            <w:tcW w:w="1700" w:type="pct"/>
            <w:vAlign w:val="center"/>
          </w:tcPr>
          <w:p w14:paraId="5A2118AE">
            <w:pPr>
              <w:pStyle w:val="133"/>
            </w:pPr>
            <w:r>
              <w:rPr>
                <w:rFonts w:hint="eastAsia"/>
              </w:rPr>
              <w:t>满足《地下水质量标准》（</w:t>
            </w:r>
            <w:r>
              <w:t>GB/T14848-2017</w:t>
            </w:r>
            <w:r>
              <w:rPr>
                <w:rFonts w:hint="eastAsia"/>
              </w:rPr>
              <w:t>）中的Ⅲ类标准</w:t>
            </w:r>
          </w:p>
        </w:tc>
      </w:tr>
    </w:tbl>
    <w:p w14:paraId="5D75EE77">
      <w:pPr>
        <w:pStyle w:val="133"/>
      </w:pPr>
      <w:bookmarkStart w:id="181" w:name="_Toc19688"/>
    </w:p>
    <w:p w14:paraId="104A3E2C">
      <w:pPr>
        <w:pStyle w:val="38"/>
        <w:ind w:firstLine="480"/>
        <w:sectPr>
          <w:pgSz w:w="11906" w:h="16838"/>
          <w:pgMar w:top="1440" w:right="1800" w:bottom="1440" w:left="1800" w:header="851" w:footer="992" w:gutter="0"/>
          <w:cols w:space="425" w:num="1"/>
          <w:docGrid w:type="lines" w:linePitch="326" w:charSpace="0"/>
        </w:sectPr>
      </w:pPr>
    </w:p>
    <w:bookmarkEnd w:id="181"/>
    <w:p w14:paraId="0B3FE9E4">
      <w:pPr>
        <w:pStyle w:val="2"/>
        <w:spacing w:before="326"/>
        <w:rPr>
          <w:bCs w:val="0"/>
        </w:rPr>
      </w:pPr>
      <w:bookmarkStart w:id="182" w:name="_Toc175155723"/>
      <w:bookmarkStart w:id="183" w:name="_Toc205291370"/>
      <w:bookmarkStart w:id="184" w:name="_Toc175154640"/>
      <w:r>
        <w:rPr>
          <w:rFonts w:hint="eastAsia"/>
        </w:rPr>
        <w:t>现有工程回顾性调查与评价</w:t>
      </w:r>
      <w:bookmarkEnd w:id="182"/>
      <w:bookmarkEnd w:id="183"/>
      <w:bookmarkEnd w:id="184"/>
    </w:p>
    <w:p w14:paraId="2DFC8361">
      <w:pPr>
        <w:pStyle w:val="3"/>
        <w:rPr>
          <w:bCs w:val="0"/>
        </w:rPr>
      </w:pPr>
      <w:bookmarkStart w:id="185" w:name="_Toc175155724"/>
      <w:bookmarkStart w:id="186" w:name="_Toc175154641"/>
      <w:bookmarkStart w:id="187" w:name="_Toc205291371"/>
      <w:r>
        <w:rPr>
          <w:rFonts w:hint="eastAsia"/>
        </w:rPr>
        <w:t>现有工程基本情况</w:t>
      </w:r>
      <w:bookmarkEnd w:id="185"/>
      <w:bookmarkEnd w:id="186"/>
      <w:bookmarkEnd w:id="187"/>
    </w:p>
    <w:p w14:paraId="4B48F8E1">
      <w:pPr>
        <w:pStyle w:val="138"/>
        <w:rPr>
          <w:rFonts w:hint="eastAsia"/>
        </w:rPr>
      </w:pPr>
      <w:r>
        <w:rPr>
          <w:rFonts w:hint="eastAsia"/>
        </w:rPr>
        <w:t>现有工程环保手续履行情况</w:t>
      </w:r>
    </w:p>
    <w:p w14:paraId="4980A502">
      <w:pPr>
        <w:ind w:firstLine="480"/>
      </w:pPr>
      <w:r>
        <w:rPr>
          <w:rFonts w:hint="eastAsia"/>
        </w:rPr>
        <w:t>现有工程环保手续履行情况见表</w:t>
      </w:r>
      <w:r>
        <w:t>2.1-1</w:t>
      </w:r>
      <w:r>
        <w:rPr>
          <w:rFonts w:hint="eastAsia"/>
        </w:rPr>
        <w:t>。</w:t>
      </w:r>
    </w:p>
    <w:p w14:paraId="67470C53">
      <w:pPr>
        <w:pStyle w:val="138"/>
        <w:rPr>
          <w:rFonts w:hint="eastAsia"/>
        </w:rPr>
      </w:pPr>
      <w:bookmarkStart w:id="188" w:name="_Toc175155725"/>
      <w:bookmarkStart w:id="189" w:name="_Toc175154642"/>
      <w:r>
        <w:rPr>
          <w:rFonts w:hint="eastAsia"/>
        </w:rPr>
        <w:t>新疆金盛镁业有限公司镁合金产业循环经济建设项目</w:t>
      </w:r>
    </w:p>
    <w:p w14:paraId="2BB0BAC0">
      <w:pPr>
        <w:pStyle w:val="5"/>
      </w:pPr>
      <w:r>
        <w:rPr>
          <w:rFonts w:hint="eastAsia"/>
        </w:rPr>
        <w:t>备案内容</w:t>
      </w:r>
      <w:bookmarkStart w:id="190" w:name="_Hlk178265129"/>
    </w:p>
    <w:p w14:paraId="35F90F1F">
      <w:pPr>
        <w:ind w:firstLine="480"/>
      </w:pPr>
      <w:r>
        <w:t>2012</w:t>
      </w:r>
      <w:r>
        <w:rPr>
          <w:rFonts w:hint="eastAsia"/>
        </w:rPr>
        <w:t>年，新疆金盛镁业有限公司取得了《新疆金盛镁业有限公司镁合金产业循环经济建设项目登记备案证》（哈地发改工交备〔</w:t>
      </w:r>
      <w:r>
        <w:t>2012</w:t>
      </w:r>
      <w:r>
        <w:rPr>
          <w:rFonts w:hint="eastAsia"/>
        </w:rPr>
        <w:t>〕</w:t>
      </w:r>
      <w:r>
        <w:t>05</w:t>
      </w:r>
      <w:r>
        <w:rPr>
          <w:rFonts w:hint="eastAsia"/>
        </w:rPr>
        <w:t>号），项目建设规模为年产</w:t>
      </w:r>
      <w:r>
        <w:t>5</w:t>
      </w:r>
      <w:r>
        <w:rPr>
          <w:rFonts w:hint="eastAsia"/>
        </w:rPr>
        <w:t>万吨镁合金生产线、</w:t>
      </w:r>
      <w:r>
        <w:t>5</w:t>
      </w:r>
      <w:r>
        <w:rPr>
          <w:rFonts w:hint="eastAsia"/>
        </w:rPr>
        <w:t>万吨铁合金生产线、</w:t>
      </w:r>
      <w:r>
        <w:t>60</w:t>
      </w:r>
      <w:r>
        <w:rPr>
          <w:rFonts w:hint="eastAsia"/>
        </w:rPr>
        <w:t>万吨兰炭、</w:t>
      </w:r>
      <w:r>
        <w:t>2</w:t>
      </w:r>
      <w:r>
        <w:rPr>
          <w:rFonts w:hint="eastAsia"/>
          <w:b/>
          <w:bCs/>
        </w:rPr>
        <w:t>×</w:t>
      </w:r>
      <w:r>
        <w:t>25500KVA</w:t>
      </w:r>
      <w:r>
        <w:rPr>
          <w:rFonts w:hint="eastAsia"/>
        </w:rPr>
        <w:t>硅铁余热发电、</w:t>
      </w:r>
      <w:r>
        <w:t>220</w:t>
      </w:r>
      <w:r>
        <w:rPr>
          <w:rFonts w:hint="eastAsia"/>
        </w:rPr>
        <w:t>千伏输变电工程及相关配套设施建设。</w:t>
      </w:r>
      <w:bookmarkEnd w:id="190"/>
    </w:p>
    <w:p w14:paraId="7BBFC537">
      <w:pPr>
        <w:pStyle w:val="5"/>
      </w:pPr>
      <w:r>
        <w:rPr>
          <w:rFonts w:hint="eastAsia"/>
        </w:rPr>
        <w:t>环评批复内容</w:t>
      </w:r>
    </w:p>
    <w:p w14:paraId="06FDC898">
      <w:pPr>
        <w:ind w:firstLine="480"/>
      </w:pPr>
      <w:r>
        <w:t>2012</w:t>
      </w:r>
      <w:r>
        <w:rPr>
          <w:rFonts w:hint="eastAsia"/>
        </w:rPr>
        <w:t>年</w:t>
      </w:r>
      <w:r>
        <w:t>11</w:t>
      </w:r>
      <w:r>
        <w:rPr>
          <w:rFonts w:hint="eastAsia"/>
        </w:rPr>
        <w:t>月</w:t>
      </w:r>
      <w:r>
        <w:t>27</w:t>
      </w:r>
      <w:r>
        <w:rPr>
          <w:rFonts w:hint="eastAsia"/>
        </w:rPr>
        <w:t>日，原新疆维吾尔自治区生态环境厅以《关于新疆金盛镁业有限公司镁合金产业循环经济建设项目环境影响报告书的批复》（新环函〔</w:t>
      </w:r>
      <w:r>
        <w:t>2012</w:t>
      </w:r>
      <w:r>
        <w:rPr>
          <w:rFonts w:hint="eastAsia"/>
        </w:rPr>
        <w:t>〕</w:t>
      </w:r>
      <w:r>
        <w:t>1185</w:t>
      </w:r>
      <w:r>
        <w:rPr>
          <w:rFonts w:hint="eastAsia"/>
        </w:rPr>
        <w:t>号），批复了新疆金盛镁业有限公司在哈密高新技术产业开发区（哈密工业园区）重工业加工区建设镁合金产业循环经济建设项目。</w:t>
      </w:r>
    </w:p>
    <w:p w14:paraId="51051B33">
      <w:pPr>
        <w:ind w:firstLine="480"/>
      </w:pPr>
      <w:r>
        <w:rPr>
          <w:rFonts w:hint="eastAsia"/>
        </w:rPr>
        <w:t>建设规模为：</w:t>
      </w:r>
    </w:p>
    <w:p w14:paraId="4BF16545">
      <w:pPr>
        <w:ind w:firstLine="480"/>
      </w:pPr>
      <w:r>
        <w:rPr>
          <w:rFonts w:hint="eastAsia"/>
        </w:rPr>
        <w:t>项目建设规模为年产5万吨镁合金生产线、5万吨铁合金生产线、60万吨兰炭、2×25500KVA硅铁余热发电、220千伏输变电工程及相关配套设施建设。</w:t>
      </w:r>
    </w:p>
    <w:p w14:paraId="2A228661">
      <w:pPr>
        <w:pStyle w:val="5"/>
      </w:pPr>
      <w:r>
        <w:rPr>
          <w:rFonts w:hint="eastAsia"/>
        </w:rPr>
        <w:t>项目变更情况</w:t>
      </w:r>
    </w:p>
    <w:p w14:paraId="0989F25C">
      <w:pPr>
        <w:ind w:firstLine="480"/>
      </w:pPr>
      <w:r>
        <w:rPr>
          <w:rFonts w:hint="eastAsia"/>
        </w:rPr>
        <w:t>当时兰炭市场低迷亏损时，而这一调整期的持续时间尚不明朗，镁合金生产线燃气必须进行调整才能维持企业的正常经营，故企业采用煤气炉代替兰炭炉的造气，实现金属镁的用气成本下降。</w:t>
      </w:r>
      <w:r>
        <w:t>该项目于20</w:t>
      </w:r>
      <w:r>
        <w:rPr>
          <w:rFonts w:hint="eastAsia"/>
        </w:rPr>
        <w:t>16</w:t>
      </w:r>
      <w:r>
        <w:t>年</w:t>
      </w:r>
      <w:r>
        <w:rPr>
          <w:rFonts w:hint="eastAsia"/>
        </w:rPr>
        <w:t>9</w:t>
      </w:r>
      <w:r>
        <w:t>月</w:t>
      </w:r>
      <w:r>
        <w:rPr>
          <w:rFonts w:hint="eastAsia"/>
        </w:rPr>
        <w:t>19</w:t>
      </w:r>
      <w:r>
        <w:t>日取得</w:t>
      </w:r>
      <w:r>
        <w:rPr>
          <w:rFonts w:hint="eastAsia"/>
        </w:rPr>
        <w:t>原自治区环境保护厅</w:t>
      </w:r>
      <w:r>
        <w:t>批复（</w:t>
      </w:r>
      <w:r>
        <w:rPr>
          <w:rFonts w:hint="eastAsia"/>
        </w:rPr>
        <w:t>新</w:t>
      </w:r>
      <w:r>
        <w:t>环函〔20</w:t>
      </w:r>
      <w:r>
        <w:rPr>
          <w:rFonts w:hint="eastAsia"/>
        </w:rPr>
        <w:t>16</w:t>
      </w:r>
      <w:r>
        <w:t>〕</w:t>
      </w:r>
      <w:r>
        <w:rPr>
          <w:rFonts w:hint="eastAsia"/>
        </w:rPr>
        <w:t>1</w:t>
      </w:r>
      <w:r>
        <w:t>3</w:t>
      </w:r>
      <w:r>
        <w:rPr>
          <w:rFonts w:hint="eastAsia"/>
        </w:rPr>
        <w:t>22</w:t>
      </w:r>
      <w:r>
        <w:t>号）。</w:t>
      </w:r>
      <w:r>
        <w:rPr>
          <w:rFonts w:hint="eastAsia"/>
        </w:rPr>
        <w:t>见表</w:t>
      </w:r>
      <w:r>
        <w:t>2.1</w:t>
      </w:r>
      <w:r>
        <w:rPr>
          <w:rFonts w:hint="eastAsia"/>
        </w:rPr>
        <w:t>-2。</w:t>
      </w:r>
    </w:p>
    <w:p w14:paraId="06C6D792">
      <w:pPr>
        <w:ind w:firstLine="480"/>
      </w:pPr>
    </w:p>
    <w:p w14:paraId="1548A4CE">
      <w:pPr>
        <w:ind w:firstLine="480"/>
        <w:sectPr>
          <w:pgSz w:w="11906" w:h="16838"/>
          <w:pgMar w:top="1440" w:right="1800" w:bottom="1440" w:left="1800" w:header="850" w:footer="850" w:gutter="0"/>
          <w:cols w:space="720" w:num="1"/>
          <w:docGrid w:type="lines" w:linePitch="326" w:charSpace="0"/>
        </w:sectPr>
      </w:pPr>
    </w:p>
    <w:p w14:paraId="1EE71F1F">
      <w:pPr>
        <w:pStyle w:val="118"/>
        <w:ind w:firstLine="480"/>
      </w:pPr>
      <w:r>
        <w:rPr>
          <w:rFonts w:hint="eastAsia"/>
        </w:rPr>
        <w:t>表</w:t>
      </w:r>
      <w:r>
        <w:t xml:space="preserve">2.1-1  </w:t>
      </w:r>
      <w:r>
        <w:rPr>
          <w:rFonts w:hint="eastAsia"/>
        </w:rPr>
        <w:t>相关项目环保手续履行情况一览表</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3441"/>
        <w:gridCol w:w="1378"/>
        <w:gridCol w:w="1811"/>
        <w:gridCol w:w="1928"/>
        <w:gridCol w:w="797"/>
        <w:gridCol w:w="2084"/>
        <w:gridCol w:w="797"/>
        <w:gridCol w:w="1477"/>
      </w:tblGrid>
      <w:tr w14:paraId="6D84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restart"/>
            <w:tcBorders>
              <w:top w:val="single" w:color="auto" w:sz="4" w:space="0"/>
              <w:left w:val="single" w:color="auto" w:sz="4" w:space="0"/>
              <w:bottom w:val="single" w:color="auto" w:sz="4" w:space="0"/>
              <w:right w:val="single" w:color="auto" w:sz="4" w:space="0"/>
            </w:tcBorders>
            <w:vAlign w:val="center"/>
          </w:tcPr>
          <w:p w14:paraId="23A1A927">
            <w:pPr>
              <w:pStyle w:val="133"/>
              <w:rPr>
                <w:b/>
                <w:bCs/>
              </w:rPr>
            </w:pPr>
            <w:r>
              <w:rPr>
                <w:rFonts w:hint="eastAsia"/>
                <w:b/>
                <w:bCs/>
              </w:rPr>
              <w:t>序号</w:t>
            </w:r>
          </w:p>
        </w:tc>
        <w:tc>
          <w:tcPr>
            <w:tcW w:w="1214" w:type="pct"/>
            <w:vMerge w:val="restart"/>
            <w:tcBorders>
              <w:top w:val="single" w:color="auto" w:sz="4" w:space="0"/>
              <w:left w:val="single" w:color="auto" w:sz="4" w:space="0"/>
              <w:bottom w:val="single" w:color="auto" w:sz="4" w:space="0"/>
              <w:right w:val="single" w:color="auto" w:sz="4" w:space="0"/>
            </w:tcBorders>
            <w:vAlign w:val="center"/>
          </w:tcPr>
          <w:p w14:paraId="0BE2FC30">
            <w:pPr>
              <w:pStyle w:val="133"/>
              <w:rPr>
                <w:b/>
                <w:bCs/>
              </w:rPr>
            </w:pPr>
            <w:r>
              <w:rPr>
                <w:rFonts w:hint="eastAsia"/>
                <w:b/>
                <w:bCs/>
              </w:rPr>
              <w:t>建设项目名称</w:t>
            </w:r>
          </w:p>
        </w:tc>
        <w:tc>
          <w:tcPr>
            <w:tcW w:w="1805" w:type="pct"/>
            <w:gridSpan w:val="3"/>
            <w:tcBorders>
              <w:top w:val="single" w:color="auto" w:sz="4" w:space="0"/>
              <w:left w:val="single" w:color="auto" w:sz="4" w:space="0"/>
              <w:bottom w:val="single" w:color="auto" w:sz="4" w:space="0"/>
              <w:right w:val="single" w:color="auto" w:sz="4" w:space="0"/>
            </w:tcBorders>
            <w:vAlign w:val="center"/>
          </w:tcPr>
          <w:p w14:paraId="1DF167B3">
            <w:pPr>
              <w:pStyle w:val="133"/>
              <w:rPr>
                <w:b/>
                <w:bCs/>
              </w:rPr>
            </w:pPr>
            <w:r>
              <w:rPr>
                <w:rFonts w:hint="eastAsia"/>
                <w:b/>
                <w:bCs/>
              </w:rPr>
              <w:t>环境影响评价</w:t>
            </w:r>
          </w:p>
        </w:tc>
        <w:tc>
          <w:tcPr>
            <w:tcW w:w="1818" w:type="pct"/>
            <w:gridSpan w:val="4"/>
            <w:tcBorders>
              <w:top w:val="single" w:color="auto" w:sz="4" w:space="0"/>
              <w:left w:val="single" w:color="auto" w:sz="4" w:space="0"/>
              <w:bottom w:val="single" w:color="auto" w:sz="4" w:space="0"/>
              <w:right w:val="single" w:color="auto" w:sz="4" w:space="0"/>
            </w:tcBorders>
            <w:vAlign w:val="center"/>
          </w:tcPr>
          <w:p w14:paraId="51240296">
            <w:pPr>
              <w:pStyle w:val="133"/>
              <w:rPr>
                <w:b/>
                <w:bCs/>
              </w:rPr>
            </w:pPr>
            <w:r>
              <w:rPr>
                <w:rFonts w:hint="eastAsia"/>
                <w:b/>
                <w:bCs/>
              </w:rPr>
              <w:t>竣工环境保护验收</w:t>
            </w:r>
          </w:p>
        </w:tc>
      </w:tr>
      <w:tr w14:paraId="0E16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F4EB73A">
            <w:pPr>
              <w:widowControl/>
              <w:spacing w:line="240" w:lineRule="auto"/>
              <w:ind w:firstLine="0" w:firstLineChars="0"/>
              <w:jc w:val="center"/>
              <w:rPr>
                <w:rFonts w:cs="宋体"/>
                <w:b/>
                <w:bCs/>
                <w:sz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D8296E">
            <w:pPr>
              <w:widowControl/>
              <w:spacing w:line="240" w:lineRule="auto"/>
              <w:ind w:firstLine="0" w:firstLineChars="0"/>
              <w:jc w:val="center"/>
              <w:rPr>
                <w:rFonts w:cs="宋体"/>
                <w:b/>
                <w:bCs/>
                <w:sz w:val="21"/>
              </w:rPr>
            </w:pPr>
          </w:p>
        </w:tc>
        <w:tc>
          <w:tcPr>
            <w:tcW w:w="486" w:type="pct"/>
            <w:tcBorders>
              <w:top w:val="single" w:color="auto" w:sz="4" w:space="0"/>
              <w:left w:val="single" w:color="auto" w:sz="4" w:space="0"/>
              <w:bottom w:val="single" w:color="auto" w:sz="4" w:space="0"/>
              <w:right w:val="single" w:color="auto" w:sz="4" w:space="0"/>
            </w:tcBorders>
            <w:vAlign w:val="center"/>
          </w:tcPr>
          <w:p w14:paraId="44BA1017">
            <w:pPr>
              <w:pStyle w:val="133"/>
              <w:rPr>
                <w:b/>
                <w:bCs/>
              </w:rPr>
            </w:pPr>
            <w:r>
              <w:rPr>
                <w:rFonts w:hint="eastAsia"/>
                <w:b/>
                <w:bCs/>
              </w:rPr>
              <w:t>审批单位</w:t>
            </w:r>
          </w:p>
        </w:tc>
        <w:tc>
          <w:tcPr>
            <w:tcW w:w="639" w:type="pct"/>
            <w:tcBorders>
              <w:top w:val="single" w:color="auto" w:sz="4" w:space="0"/>
              <w:left w:val="single" w:color="auto" w:sz="4" w:space="0"/>
              <w:bottom w:val="single" w:color="auto" w:sz="4" w:space="0"/>
              <w:right w:val="single" w:color="auto" w:sz="4" w:space="0"/>
            </w:tcBorders>
            <w:vAlign w:val="center"/>
          </w:tcPr>
          <w:p w14:paraId="310825DD">
            <w:pPr>
              <w:pStyle w:val="133"/>
              <w:rPr>
                <w:b/>
                <w:bCs/>
              </w:rPr>
            </w:pPr>
            <w:r>
              <w:rPr>
                <w:rFonts w:hint="eastAsia"/>
                <w:b/>
                <w:bCs/>
              </w:rPr>
              <w:t>批准文号</w:t>
            </w:r>
          </w:p>
        </w:tc>
        <w:tc>
          <w:tcPr>
            <w:tcW w:w="680" w:type="pct"/>
            <w:tcBorders>
              <w:top w:val="single" w:color="auto" w:sz="4" w:space="0"/>
              <w:left w:val="single" w:color="auto" w:sz="4" w:space="0"/>
              <w:bottom w:val="single" w:color="auto" w:sz="4" w:space="0"/>
              <w:right w:val="single" w:color="auto" w:sz="4" w:space="0"/>
            </w:tcBorders>
            <w:vAlign w:val="center"/>
          </w:tcPr>
          <w:p w14:paraId="20A14B28">
            <w:pPr>
              <w:pStyle w:val="133"/>
              <w:rPr>
                <w:b/>
                <w:bCs/>
              </w:rPr>
            </w:pPr>
            <w:r>
              <w:rPr>
                <w:rFonts w:hint="eastAsia"/>
                <w:b/>
                <w:bCs/>
              </w:rPr>
              <w:t>批复时间</w:t>
            </w:r>
          </w:p>
        </w:tc>
        <w:tc>
          <w:tcPr>
            <w:tcW w:w="1016" w:type="pct"/>
            <w:gridSpan w:val="2"/>
            <w:tcBorders>
              <w:top w:val="single" w:color="auto" w:sz="4" w:space="0"/>
              <w:left w:val="single" w:color="auto" w:sz="4" w:space="0"/>
              <w:bottom w:val="single" w:color="auto" w:sz="4" w:space="0"/>
              <w:right w:val="single" w:color="auto" w:sz="4" w:space="0"/>
            </w:tcBorders>
            <w:vAlign w:val="center"/>
          </w:tcPr>
          <w:p w14:paraId="66CCF606">
            <w:pPr>
              <w:pStyle w:val="133"/>
              <w:rPr>
                <w:b/>
                <w:bCs/>
              </w:rPr>
            </w:pPr>
            <w:r>
              <w:rPr>
                <w:rFonts w:hint="eastAsia"/>
                <w:b/>
                <w:bCs/>
              </w:rPr>
              <w:t>验收监测（编制）单位</w:t>
            </w:r>
          </w:p>
        </w:tc>
        <w:tc>
          <w:tcPr>
            <w:tcW w:w="281" w:type="pct"/>
            <w:tcBorders>
              <w:top w:val="single" w:color="auto" w:sz="4" w:space="0"/>
              <w:left w:val="single" w:color="auto" w:sz="4" w:space="0"/>
              <w:bottom w:val="single" w:color="auto" w:sz="4" w:space="0"/>
              <w:right w:val="single" w:color="auto" w:sz="4" w:space="0"/>
            </w:tcBorders>
            <w:vAlign w:val="center"/>
          </w:tcPr>
          <w:p w14:paraId="600742BB">
            <w:pPr>
              <w:pStyle w:val="133"/>
              <w:rPr>
                <w:b/>
                <w:bCs/>
              </w:rPr>
            </w:pPr>
            <w:r>
              <w:rPr>
                <w:rFonts w:hint="eastAsia"/>
                <w:b/>
                <w:bCs/>
              </w:rPr>
              <w:t>批准文号</w:t>
            </w:r>
          </w:p>
        </w:tc>
        <w:tc>
          <w:tcPr>
            <w:tcW w:w="521" w:type="pct"/>
            <w:tcBorders>
              <w:top w:val="single" w:color="auto" w:sz="4" w:space="0"/>
              <w:left w:val="single" w:color="auto" w:sz="4" w:space="0"/>
              <w:bottom w:val="single" w:color="auto" w:sz="4" w:space="0"/>
              <w:right w:val="single" w:color="auto" w:sz="4" w:space="0"/>
            </w:tcBorders>
            <w:vAlign w:val="center"/>
          </w:tcPr>
          <w:p w14:paraId="1197F81F">
            <w:pPr>
              <w:pStyle w:val="133"/>
              <w:rPr>
                <w:b/>
                <w:bCs/>
              </w:rPr>
            </w:pPr>
            <w:r>
              <w:rPr>
                <w:rFonts w:hint="eastAsia"/>
                <w:b/>
                <w:bCs/>
              </w:rPr>
              <w:t>验收时间</w:t>
            </w:r>
          </w:p>
        </w:tc>
      </w:tr>
      <w:tr w14:paraId="1B97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vMerge w:val="restart"/>
            <w:tcBorders>
              <w:top w:val="single" w:color="auto" w:sz="4" w:space="0"/>
              <w:left w:val="single" w:color="auto" w:sz="4" w:space="0"/>
              <w:bottom w:val="single" w:color="auto" w:sz="4" w:space="0"/>
              <w:right w:val="single" w:color="auto" w:sz="4" w:space="0"/>
            </w:tcBorders>
            <w:vAlign w:val="center"/>
          </w:tcPr>
          <w:p w14:paraId="0FF53D0E">
            <w:pPr>
              <w:pStyle w:val="133"/>
            </w:pPr>
            <w:r>
              <w:t>1</w:t>
            </w:r>
          </w:p>
        </w:tc>
        <w:tc>
          <w:tcPr>
            <w:tcW w:w="1214" w:type="pct"/>
            <w:vMerge w:val="restart"/>
            <w:tcBorders>
              <w:top w:val="single" w:color="auto" w:sz="4" w:space="0"/>
              <w:left w:val="single" w:color="auto" w:sz="4" w:space="0"/>
              <w:bottom w:val="single" w:color="auto" w:sz="4" w:space="0"/>
              <w:right w:val="single" w:color="auto" w:sz="4" w:space="0"/>
            </w:tcBorders>
            <w:vAlign w:val="center"/>
          </w:tcPr>
          <w:p w14:paraId="4E340E96">
            <w:pPr>
              <w:pStyle w:val="133"/>
            </w:pPr>
            <w:r>
              <w:rPr>
                <w:rFonts w:hint="eastAsia"/>
              </w:rPr>
              <w:t>新疆金盛镁业有限公司镁合金产业循环经济建设项目</w:t>
            </w:r>
          </w:p>
        </w:tc>
        <w:tc>
          <w:tcPr>
            <w:tcW w:w="486" w:type="pct"/>
            <w:tcBorders>
              <w:top w:val="single" w:color="auto" w:sz="4" w:space="0"/>
              <w:left w:val="single" w:color="auto" w:sz="4" w:space="0"/>
              <w:bottom w:val="single" w:color="auto" w:sz="4" w:space="0"/>
              <w:right w:val="single" w:color="auto" w:sz="4" w:space="0"/>
            </w:tcBorders>
            <w:vAlign w:val="center"/>
          </w:tcPr>
          <w:p w14:paraId="3E207BCA">
            <w:pPr>
              <w:pStyle w:val="133"/>
            </w:pPr>
            <w:r>
              <w:rPr>
                <w:rFonts w:hint="eastAsia"/>
              </w:rPr>
              <w:t>原自治区环境保护厅</w:t>
            </w:r>
          </w:p>
        </w:tc>
        <w:tc>
          <w:tcPr>
            <w:tcW w:w="639" w:type="pct"/>
            <w:tcBorders>
              <w:top w:val="single" w:color="auto" w:sz="4" w:space="0"/>
              <w:left w:val="single" w:color="auto" w:sz="4" w:space="0"/>
              <w:bottom w:val="single" w:color="auto" w:sz="4" w:space="0"/>
              <w:right w:val="single" w:color="auto" w:sz="4" w:space="0"/>
            </w:tcBorders>
            <w:vAlign w:val="center"/>
          </w:tcPr>
          <w:p w14:paraId="7F39D26A">
            <w:pPr>
              <w:pStyle w:val="133"/>
            </w:pPr>
            <w:r>
              <w:rPr>
                <w:rFonts w:hint="eastAsia"/>
              </w:rPr>
              <w:t>新环函〔</w:t>
            </w:r>
            <w:r>
              <w:t>2012</w:t>
            </w:r>
            <w:r>
              <w:rPr>
                <w:rFonts w:hint="eastAsia"/>
              </w:rPr>
              <w:t>〕</w:t>
            </w:r>
            <w:r>
              <w:t>1185</w:t>
            </w:r>
            <w:r>
              <w:rPr>
                <w:rFonts w:hint="eastAsia"/>
              </w:rPr>
              <w:t>号</w:t>
            </w:r>
          </w:p>
        </w:tc>
        <w:tc>
          <w:tcPr>
            <w:tcW w:w="680" w:type="pct"/>
            <w:tcBorders>
              <w:top w:val="single" w:color="auto" w:sz="4" w:space="0"/>
              <w:left w:val="single" w:color="auto" w:sz="4" w:space="0"/>
              <w:bottom w:val="single" w:color="auto" w:sz="4" w:space="0"/>
              <w:right w:val="single" w:color="auto" w:sz="4" w:space="0"/>
            </w:tcBorders>
            <w:vAlign w:val="center"/>
          </w:tcPr>
          <w:p w14:paraId="684A2B22">
            <w:pPr>
              <w:pStyle w:val="133"/>
            </w:pPr>
            <w:r>
              <w:t>2012.11.27</w:t>
            </w:r>
          </w:p>
        </w:tc>
        <w:tc>
          <w:tcPr>
            <w:tcW w:w="281" w:type="pct"/>
            <w:tcBorders>
              <w:top w:val="single" w:color="auto" w:sz="4" w:space="0"/>
              <w:left w:val="single" w:color="auto" w:sz="4" w:space="0"/>
              <w:bottom w:val="single" w:color="auto" w:sz="4" w:space="0"/>
              <w:right w:val="single" w:color="auto" w:sz="4" w:space="0"/>
            </w:tcBorders>
            <w:vAlign w:val="center"/>
          </w:tcPr>
          <w:p w14:paraId="0065B6A9">
            <w:pPr>
              <w:pStyle w:val="133"/>
            </w:pPr>
            <w:r>
              <w:rPr>
                <w:rFonts w:hint="eastAsia"/>
              </w:rPr>
              <w:t>一期工程</w:t>
            </w:r>
          </w:p>
        </w:tc>
        <w:tc>
          <w:tcPr>
            <w:tcW w:w="735" w:type="pct"/>
            <w:tcBorders>
              <w:top w:val="single" w:color="auto" w:sz="4" w:space="0"/>
              <w:left w:val="single" w:color="auto" w:sz="4" w:space="0"/>
              <w:bottom w:val="single" w:color="auto" w:sz="4" w:space="0"/>
              <w:right w:val="single" w:color="auto" w:sz="4" w:space="0"/>
            </w:tcBorders>
            <w:vAlign w:val="center"/>
          </w:tcPr>
          <w:p w14:paraId="591D15CF">
            <w:pPr>
              <w:pStyle w:val="133"/>
            </w:pPr>
            <w:r>
              <w:rPr>
                <w:rFonts w:hint="eastAsia"/>
              </w:rPr>
              <w:t>哈密三缘环境检测有限公司</w:t>
            </w:r>
          </w:p>
        </w:tc>
        <w:tc>
          <w:tcPr>
            <w:tcW w:w="281" w:type="pct"/>
            <w:tcBorders>
              <w:top w:val="single" w:color="auto" w:sz="4" w:space="0"/>
              <w:left w:val="single" w:color="auto" w:sz="4" w:space="0"/>
              <w:bottom w:val="single" w:color="auto" w:sz="4" w:space="0"/>
              <w:right w:val="single" w:color="auto" w:sz="4" w:space="0"/>
            </w:tcBorders>
            <w:vAlign w:val="center"/>
          </w:tcPr>
          <w:p w14:paraId="4BDA8AAE">
            <w:pPr>
              <w:pStyle w:val="133"/>
            </w:pPr>
            <w:r>
              <w:rPr>
                <w:rFonts w:hint="eastAsia"/>
              </w:rPr>
              <w:t>自主验收</w:t>
            </w:r>
          </w:p>
        </w:tc>
        <w:tc>
          <w:tcPr>
            <w:tcW w:w="521" w:type="pct"/>
            <w:tcBorders>
              <w:top w:val="single" w:color="auto" w:sz="4" w:space="0"/>
              <w:left w:val="single" w:color="auto" w:sz="4" w:space="0"/>
              <w:bottom w:val="single" w:color="auto" w:sz="4" w:space="0"/>
              <w:right w:val="single" w:color="auto" w:sz="4" w:space="0"/>
            </w:tcBorders>
            <w:vAlign w:val="center"/>
          </w:tcPr>
          <w:p w14:paraId="1A070D54">
            <w:pPr>
              <w:pStyle w:val="133"/>
            </w:pPr>
            <w:r>
              <w:t>2017.9</w:t>
            </w:r>
          </w:p>
        </w:tc>
      </w:tr>
      <w:tr w14:paraId="37FC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EDB7399">
            <w:pPr>
              <w:widowControl/>
              <w:spacing w:line="240" w:lineRule="auto"/>
              <w:ind w:firstLine="0" w:firstLineChars="0"/>
              <w:jc w:val="center"/>
              <w:rPr>
                <w:rFonts w:cs="宋体"/>
                <w:sz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EE7A32">
            <w:pPr>
              <w:widowControl/>
              <w:spacing w:line="240" w:lineRule="auto"/>
              <w:ind w:firstLine="0" w:firstLineChars="0"/>
              <w:jc w:val="center"/>
              <w:rPr>
                <w:rFonts w:cs="宋体"/>
                <w:sz w:val="21"/>
              </w:rPr>
            </w:pPr>
          </w:p>
        </w:tc>
        <w:tc>
          <w:tcPr>
            <w:tcW w:w="486" w:type="pct"/>
            <w:tcBorders>
              <w:top w:val="single" w:color="auto" w:sz="4" w:space="0"/>
              <w:left w:val="single" w:color="auto" w:sz="4" w:space="0"/>
              <w:bottom w:val="single" w:color="auto" w:sz="4" w:space="0"/>
              <w:right w:val="single" w:color="auto" w:sz="4" w:space="0"/>
            </w:tcBorders>
            <w:vAlign w:val="center"/>
          </w:tcPr>
          <w:p w14:paraId="3ED279D3">
            <w:pPr>
              <w:pStyle w:val="133"/>
            </w:pPr>
            <w:r>
              <w:rPr>
                <w:rFonts w:hint="eastAsia"/>
              </w:rPr>
              <w:t>原自治区环境保护厅</w:t>
            </w:r>
          </w:p>
        </w:tc>
        <w:tc>
          <w:tcPr>
            <w:tcW w:w="639" w:type="pct"/>
            <w:tcBorders>
              <w:top w:val="single" w:color="auto" w:sz="4" w:space="0"/>
              <w:left w:val="single" w:color="auto" w:sz="4" w:space="0"/>
              <w:bottom w:val="single" w:color="auto" w:sz="4" w:space="0"/>
              <w:right w:val="single" w:color="auto" w:sz="4" w:space="0"/>
            </w:tcBorders>
            <w:vAlign w:val="center"/>
          </w:tcPr>
          <w:p w14:paraId="2B986D31">
            <w:pPr>
              <w:pStyle w:val="133"/>
            </w:pPr>
            <w:r>
              <w:rPr>
                <w:rFonts w:hint="eastAsia"/>
              </w:rPr>
              <w:t>新环函〔</w:t>
            </w:r>
            <w:r>
              <w:t>2016</w:t>
            </w:r>
            <w:r>
              <w:rPr>
                <w:rFonts w:hint="eastAsia"/>
              </w:rPr>
              <w:t>〕</w:t>
            </w:r>
            <w:r>
              <w:t>1322</w:t>
            </w:r>
            <w:r>
              <w:rPr>
                <w:rFonts w:hint="eastAsia"/>
              </w:rPr>
              <w:t>号</w:t>
            </w:r>
          </w:p>
        </w:tc>
        <w:tc>
          <w:tcPr>
            <w:tcW w:w="680" w:type="pct"/>
            <w:tcBorders>
              <w:top w:val="single" w:color="auto" w:sz="4" w:space="0"/>
              <w:left w:val="single" w:color="auto" w:sz="4" w:space="0"/>
              <w:bottom w:val="single" w:color="auto" w:sz="4" w:space="0"/>
              <w:right w:val="single" w:color="auto" w:sz="4" w:space="0"/>
            </w:tcBorders>
            <w:vAlign w:val="center"/>
          </w:tcPr>
          <w:p w14:paraId="11A1CCF7">
            <w:pPr>
              <w:pStyle w:val="133"/>
            </w:pPr>
            <w:r>
              <w:t>2016.9.19</w:t>
            </w:r>
          </w:p>
          <w:p w14:paraId="0740E33F">
            <w:pPr>
              <w:pStyle w:val="133"/>
            </w:pPr>
            <w:r>
              <w:rPr>
                <w:rFonts w:hint="eastAsia"/>
              </w:rPr>
              <w:t>（变更内容复函）</w:t>
            </w:r>
          </w:p>
        </w:tc>
        <w:tc>
          <w:tcPr>
            <w:tcW w:w="0" w:type="auto"/>
            <w:tcBorders>
              <w:top w:val="single" w:color="auto" w:sz="4" w:space="0"/>
              <w:left w:val="single" w:color="auto" w:sz="4" w:space="0"/>
              <w:bottom w:val="single" w:color="auto" w:sz="4" w:space="0"/>
              <w:right w:val="single" w:color="auto" w:sz="4" w:space="0"/>
            </w:tcBorders>
            <w:vAlign w:val="center"/>
          </w:tcPr>
          <w:p w14:paraId="5F5A8E40">
            <w:pPr>
              <w:widowControl/>
              <w:spacing w:line="240" w:lineRule="auto"/>
              <w:ind w:firstLine="0" w:firstLineChars="0"/>
              <w:jc w:val="center"/>
              <w:rPr>
                <w:rFonts w:cs="宋体"/>
                <w:sz w:val="21"/>
              </w:rPr>
            </w:pPr>
            <w:r>
              <w:rPr>
                <w:rFonts w:hint="eastAsia" w:cs="宋体"/>
                <w:sz w:val="21"/>
              </w:rPr>
              <w:t>二期工程</w:t>
            </w:r>
          </w:p>
        </w:tc>
        <w:tc>
          <w:tcPr>
            <w:tcW w:w="0" w:type="auto"/>
            <w:tcBorders>
              <w:top w:val="single" w:color="auto" w:sz="4" w:space="0"/>
              <w:left w:val="single" w:color="auto" w:sz="4" w:space="0"/>
              <w:bottom w:val="single" w:color="auto" w:sz="4" w:space="0"/>
              <w:right w:val="single" w:color="auto" w:sz="4" w:space="0"/>
            </w:tcBorders>
            <w:vAlign w:val="center"/>
          </w:tcPr>
          <w:p w14:paraId="30100717">
            <w:pPr>
              <w:widowControl/>
              <w:spacing w:line="240" w:lineRule="auto"/>
              <w:ind w:firstLine="0" w:firstLineChars="0"/>
              <w:jc w:val="center"/>
              <w:rPr>
                <w:rFonts w:cs="宋体"/>
                <w:sz w:val="21"/>
              </w:rPr>
            </w:pPr>
            <w:r>
              <w:rPr>
                <w:rFonts w:hint="eastAsia" w:cs="宋体"/>
                <w:sz w:val="21"/>
              </w:rPr>
              <w:t>建设中</w:t>
            </w:r>
          </w:p>
        </w:tc>
        <w:tc>
          <w:tcPr>
            <w:tcW w:w="0" w:type="auto"/>
            <w:tcBorders>
              <w:top w:val="single" w:color="auto" w:sz="4" w:space="0"/>
              <w:left w:val="single" w:color="auto" w:sz="4" w:space="0"/>
              <w:bottom w:val="single" w:color="auto" w:sz="4" w:space="0"/>
              <w:right w:val="single" w:color="auto" w:sz="4" w:space="0"/>
            </w:tcBorders>
            <w:vAlign w:val="center"/>
          </w:tcPr>
          <w:p w14:paraId="71ECCF06">
            <w:pPr>
              <w:widowControl/>
              <w:spacing w:line="240" w:lineRule="auto"/>
              <w:ind w:firstLine="0" w:firstLineChars="0"/>
              <w:jc w:val="center"/>
              <w:rPr>
                <w:rFonts w:cs="宋体"/>
                <w:sz w:val="21"/>
              </w:rPr>
            </w:pPr>
            <w:r>
              <w:rPr>
                <w:rFonts w:hint="eastAsia" w:cs="宋体"/>
                <w:sz w:val="21"/>
              </w:rPr>
              <w:t>未验收</w:t>
            </w:r>
          </w:p>
        </w:tc>
        <w:tc>
          <w:tcPr>
            <w:tcW w:w="0" w:type="auto"/>
            <w:tcBorders>
              <w:top w:val="single" w:color="auto" w:sz="4" w:space="0"/>
              <w:left w:val="single" w:color="auto" w:sz="4" w:space="0"/>
              <w:bottom w:val="single" w:color="auto" w:sz="4" w:space="0"/>
              <w:right w:val="single" w:color="auto" w:sz="4" w:space="0"/>
            </w:tcBorders>
            <w:vAlign w:val="center"/>
          </w:tcPr>
          <w:p w14:paraId="24CF18EF">
            <w:pPr>
              <w:widowControl/>
              <w:spacing w:line="240" w:lineRule="auto"/>
              <w:ind w:firstLine="0" w:firstLineChars="0"/>
              <w:jc w:val="center"/>
              <w:rPr>
                <w:rFonts w:cs="宋体"/>
                <w:sz w:val="21"/>
              </w:rPr>
            </w:pPr>
            <w:r>
              <w:rPr>
                <w:rFonts w:hint="eastAsia" w:cs="宋体"/>
                <w:sz w:val="21"/>
              </w:rPr>
              <w:t>/</w:t>
            </w:r>
          </w:p>
        </w:tc>
      </w:tr>
      <w:tr w14:paraId="6384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tcBorders>
              <w:top w:val="single" w:color="auto" w:sz="4" w:space="0"/>
              <w:left w:val="single" w:color="auto" w:sz="4" w:space="0"/>
              <w:bottom w:val="single" w:color="auto" w:sz="4" w:space="0"/>
              <w:right w:val="single" w:color="auto" w:sz="4" w:space="0"/>
            </w:tcBorders>
            <w:vAlign w:val="center"/>
          </w:tcPr>
          <w:p w14:paraId="66A73958">
            <w:pPr>
              <w:pStyle w:val="133"/>
            </w:pPr>
            <w:r>
              <w:t>2</w:t>
            </w:r>
          </w:p>
        </w:tc>
        <w:tc>
          <w:tcPr>
            <w:tcW w:w="1214" w:type="pct"/>
            <w:tcBorders>
              <w:top w:val="single" w:color="auto" w:sz="4" w:space="0"/>
              <w:left w:val="single" w:color="auto" w:sz="4" w:space="0"/>
              <w:bottom w:val="single" w:color="auto" w:sz="4" w:space="0"/>
              <w:right w:val="single" w:color="auto" w:sz="4" w:space="0"/>
            </w:tcBorders>
            <w:vAlign w:val="center"/>
          </w:tcPr>
          <w:p w14:paraId="384FD330">
            <w:pPr>
              <w:pStyle w:val="133"/>
            </w:pPr>
            <w:r>
              <w:rPr>
                <w:rFonts w:hint="eastAsia"/>
              </w:rPr>
              <w:t>新疆金盛镁业有限公司烘干设备技术改造项目</w:t>
            </w:r>
          </w:p>
        </w:tc>
        <w:tc>
          <w:tcPr>
            <w:tcW w:w="486" w:type="pct"/>
            <w:tcBorders>
              <w:top w:val="single" w:color="auto" w:sz="4" w:space="0"/>
              <w:left w:val="single" w:color="auto" w:sz="4" w:space="0"/>
              <w:bottom w:val="single" w:color="auto" w:sz="4" w:space="0"/>
              <w:right w:val="single" w:color="auto" w:sz="4" w:space="0"/>
            </w:tcBorders>
            <w:vAlign w:val="center"/>
          </w:tcPr>
          <w:p w14:paraId="6965B9B1">
            <w:pPr>
              <w:pStyle w:val="133"/>
            </w:pPr>
            <w:r>
              <w:rPr>
                <w:rFonts w:hint="eastAsia"/>
              </w:rPr>
              <w:t>哈密市生态环境局伊州分局</w:t>
            </w:r>
          </w:p>
        </w:tc>
        <w:tc>
          <w:tcPr>
            <w:tcW w:w="639" w:type="pct"/>
            <w:tcBorders>
              <w:top w:val="single" w:color="auto" w:sz="4" w:space="0"/>
              <w:left w:val="single" w:color="auto" w:sz="4" w:space="0"/>
              <w:bottom w:val="single" w:color="auto" w:sz="4" w:space="0"/>
              <w:right w:val="single" w:color="auto" w:sz="4" w:space="0"/>
            </w:tcBorders>
            <w:vAlign w:val="center"/>
          </w:tcPr>
          <w:p w14:paraId="7E91B2A8">
            <w:pPr>
              <w:pStyle w:val="133"/>
            </w:pPr>
            <w:r>
              <w:rPr>
                <w:rFonts w:hint="eastAsia"/>
              </w:rPr>
              <w:t>伊环评价函〔</w:t>
            </w:r>
            <w:r>
              <w:t>2021</w:t>
            </w:r>
            <w:r>
              <w:rPr>
                <w:rFonts w:hint="eastAsia"/>
              </w:rPr>
              <w:t>〕</w:t>
            </w:r>
            <w:r>
              <w:t>23</w:t>
            </w:r>
            <w:r>
              <w:rPr>
                <w:rFonts w:hint="eastAsia"/>
              </w:rPr>
              <w:t>号</w:t>
            </w:r>
          </w:p>
        </w:tc>
        <w:tc>
          <w:tcPr>
            <w:tcW w:w="680" w:type="pct"/>
            <w:tcBorders>
              <w:top w:val="single" w:color="auto" w:sz="4" w:space="0"/>
              <w:left w:val="single" w:color="auto" w:sz="4" w:space="0"/>
              <w:bottom w:val="single" w:color="auto" w:sz="4" w:space="0"/>
              <w:right w:val="single" w:color="auto" w:sz="4" w:space="0"/>
            </w:tcBorders>
            <w:vAlign w:val="center"/>
          </w:tcPr>
          <w:p w14:paraId="367FE4CC">
            <w:pPr>
              <w:pStyle w:val="133"/>
            </w:pPr>
            <w:r>
              <w:t>2021.4.27</w:t>
            </w:r>
          </w:p>
        </w:tc>
        <w:tc>
          <w:tcPr>
            <w:tcW w:w="1016" w:type="pct"/>
            <w:gridSpan w:val="2"/>
            <w:tcBorders>
              <w:top w:val="single" w:color="auto" w:sz="4" w:space="0"/>
              <w:left w:val="single" w:color="auto" w:sz="4" w:space="0"/>
              <w:bottom w:val="single" w:color="auto" w:sz="4" w:space="0"/>
              <w:right w:val="single" w:color="auto" w:sz="4" w:space="0"/>
            </w:tcBorders>
            <w:vAlign w:val="center"/>
          </w:tcPr>
          <w:p w14:paraId="6379330F">
            <w:pPr>
              <w:pStyle w:val="133"/>
            </w:pPr>
            <w:r>
              <w:rPr>
                <w:rFonts w:hint="eastAsia"/>
              </w:rPr>
              <w:t>乌鲁木齐巍创节能环保科技有限公司</w:t>
            </w:r>
          </w:p>
        </w:tc>
        <w:tc>
          <w:tcPr>
            <w:tcW w:w="281" w:type="pct"/>
            <w:tcBorders>
              <w:top w:val="single" w:color="auto" w:sz="4" w:space="0"/>
              <w:left w:val="single" w:color="auto" w:sz="4" w:space="0"/>
              <w:bottom w:val="single" w:color="auto" w:sz="4" w:space="0"/>
              <w:right w:val="single" w:color="auto" w:sz="4" w:space="0"/>
            </w:tcBorders>
            <w:vAlign w:val="center"/>
          </w:tcPr>
          <w:p w14:paraId="3BA8B532">
            <w:pPr>
              <w:pStyle w:val="133"/>
            </w:pPr>
            <w:r>
              <w:rPr>
                <w:rFonts w:hint="eastAsia"/>
              </w:rPr>
              <w:t>自主验收</w:t>
            </w:r>
          </w:p>
        </w:tc>
        <w:tc>
          <w:tcPr>
            <w:tcW w:w="521" w:type="pct"/>
            <w:tcBorders>
              <w:top w:val="single" w:color="auto" w:sz="4" w:space="0"/>
              <w:left w:val="single" w:color="auto" w:sz="4" w:space="0"/>
              <w:bottom w:val="single" w:color="auto" w:sz="4" w:space="0"/>
              <w:right w:val="single" w:color="auto" w:sz="4" w:space="0"/>
            </w:tcBorders>
            <w:vAlign w:val="center"/>
          </w:tcPr>
          <w:p w14:paraId="523C0479">
            <w:pPr>
              <w:pStyle w:val="133"/>
            </w:pPr>
            <w:r>
              <w:t>2022.8</w:t>
            </w:r>
          </w:p>
        </w:tc>
      </w:tr>
      <w:tr w14:paraId="33D4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tcBorders>
              <w:top w:val="single" w:color="auto" w:sz="4" w:space="0"/>
              <w:left w:val="single" w:color="auto" w:sz="4" w:space="0"/>
              <w:bottom w:val="single" w:color="auto" w:sz="4" w:space="0"/>
              <w:right w:val="single" w:color="auto" w:sz="4" w:space="0"/>
            </w:tcBorders>
            <w:vAlign w:val="center"/>
          </w:tcPr>
          <w:p w14:paraId="6ADB959D">
            <w:pPr>
              <w:pStyle w:val="133"/>
            </w:pPr>
            <w:r>
              <w:t>3</w:t>
            </w:r>
          </w:p>
        </w:tc>
        <w:tc>
          <w:tcPr>
            <w:tcW w:w="1214" w:type="pct"/>
            <w:tcBorders>
              <w:top w:val="single" w:color="auto" w:sz="4" w:space="0"/>
              <w:left w:val="single" w:color="auto" w:sz="4" w:space="0"/>
              <w:bottom w:val="single" w:color="auto" w:sz="4" w:space="0"/>
              <w:right w:val="single" w:color="auto" w:sz="4" w:space="0"/>
            </w:tcBorders>
            <w:vAlign w:val="center"/>
          </w:tcPr>
          <w:p w14:paraId="0507A911">
            <w:pPr>
              <w:pStyle w:val="133"/>
            </w:pPr>
            <w:r>
              <w:rPr>
                <w:rFonts w:hint="eastAsia"/>
              </w:rPr>
              <w:t>新疆金盛镁业有限公司厂区</w:t>
            </w:r>
            <w:r>
              <w:t>20</w:t>
            </w:r>
            <w:r>
              <w:rPr>
                <w:rFonts w:hint="eastAsia"/>
              </w:rPr>
              <w:t>吨燃气锅炉建设项目</w:t>
            </w:r>
          </w:p>
        </w:tc>
        <w:tc>
          <w:tcPr>
            <w:tcW w:w="486" w:type="pct"/>
            <w:tcBorders>
              <w:top w:val="single" w:color="auto" w:sz="4" w:space="0"/>
              <w:left w:val="single" w:color="auto" w:sz="4" w:space="0"/>
              <w:bottom w:val="single" w:color="auto" w:sz="4" w:space="0"/>
              <w:right w:val="single" w:color="auto" w:sz="4" w:space="0"/>
            </w:tcBorders>
            <w:vAlign w:val="center"/>
          </w:tcPr>
          <w:p w14:paraId="11ED9C90">
            <w:pPr>
              <w:pStyle w:val="133"/>
            </w:pPr>
            <w:r>
              <w:rPr>
                <w:rFonts w:hint="eastAsia"/>
              </w:rPr>
              <w:t>哈密市生态环境局</w:t>
            </w:r>
          </w:p>
        </w:tc>
        <w:tc>
          <w:tcPr>
            <w:tcW w:w="639" w:type="pct"/>
            <w:tcBorders>
              <w:top w:val="single" w:color="auto" w:sz="4" w:space="0"/>
              <w:left w:val="single" w:color="auto" w:sz="4" w:space="0"/>
              <w:bottom w:val="single" w:color="auto" w:sz="4" w:space="0"/>
              <w:right w:val="single" w:color="auto" w:sz="4" w:space="0"/>
            </w:tcBorders>
            <w:vAlign w:val="center"/>
          </w:tcPr>
          <w:p w14:paraId="639BFA4E">
            <w:pPr>
              <w:pStyle w:val="133"/>
            </w:pPr>
            <w:r>
              <w:rPr>
                <w:rFonts w:hint="eastAsia"/>
              </w:rPr>
              <w:t>哈市环监函〔</w:t>
            </w:r>
            <w:r>
              <w:t>2021</w:t>
            </w:r>
            <w:r>
              <w:rPr>
                <w:rFonts w:hint="eastAsia"/>
              </w:rPr>
              <w:t>〕</w:t>
            </w:r>
            <w:r>
              <w:t>26</w:t>
            </w:r>
            <w:r>
              <w:rPr>
                <w:rFonts w:hint="eastAsia"/>
              </w:rPr>
              <w:t>号</w:t>
            </w:r>
          </w:p>
        </w:tc>
        <w:tc>
          <w:tcPr>
            <w:tcW w:w="680" w:type="pct"/>
            <w:tcBorders>
              <w:top w:val="single" w:color="auto" w:sz="4" w:space="0"/>
              <w:left w:val="single" w:color="auto" w:sz="4" w:space="0"/>
              <w:bottom w:val="single" w:color="auto" w:sz="4" w:space="0"/>
              <w:right w:val="single" w:color="auto" w:sz="4" w:space="0"/>
            </w:tcBorders>
            <w:vAlign w:val="center"/>
          </w:tcPr>
          <w:p w14:paraId="71DE72CD">
            <w:pPr>
              <w:pStyle w:val="133"/>
            </w:pPr>
            <w:r>
              <w:t>2021.8.23</w:t>
            </w:r>
          </w:p>
        </w:tc>
        <w:tc>
          <w:tcPr>
            <w:tcW w:w="1016" w:type="pct"/>
            <w:gridSpan w:val="2"/>
            <w:tcBorders>
              <w:top w:val="single" w:color="auto" w:sz="4" w:space="0"/>
              <w:left w:val="single" w:color="auto" w:sz="4" w:space="0"/>
              <w:bottom w:val="single" w:color="auto" w:sz="4" w:space="0"/>
              <w:right w:val="single" w:color="auto" w:sz="4" w:space="0"/>
            </w:tcBorders>
            <w:vAlign w:val="center"/>
          </w:tcPr>
          <w:p w14:paraId="7DE714F6">
            <w:pPr>
              <w:pStyle w:val="133"/>
            </w:pPr>
            <w:r>
              <w:rPr>
                <w:rFonts w:hint="eastAsia"/>
              </w:rPr>
              <w:t>新疆沃谱瑞节能环境科技有限公司</w:t>
            </w:r>
          </w:p>
        </w:tc>
        <w:tc>
          <w:tcPr>
            <w:tcW w:w="281" w:type="pct"/>
            <w:tcBorders>
              <w:top w:val="single" w:color="auto" w:sz="4" w:space="0"/>
              <w:left w:val="single" w:color="auto" w:sz="4" w:space="0"/>
              <w:bottom w:val="single" w:color="auto" w:sz="4" w:space="0"/>
              <w:right w:val="single" w:color="auto" w:sz="4" w:space="0"/>
            </w:tcBorders>
          </w:tcPr>
          <w:p w14:paraId="251C1030">
            <w:pPr>
              <w:pStyle w:val="133"/>
            </w:pPr>
            <w:r>
              <w:rPr>
                <w:rFonts w:hint="eastAsia"/>
              </w:rPr>
              <w:t>自主验收</w:t>
            </w:r>
          </w:p>
        </w:tc>
        <w:tc>
          <w:tcPr>
            <w:tcW w:w="521" w:type="pct"/>
            <w:tcBorders>
              <w:top w:val="single" w:color="auto" w:sz="4" w:space="0"/>
              <w:left w:val="single" w:color="auto" w:sz="4" w:space="0"/>
              <w:bottom w:val="single" w:color="auto" w:sz="4" w:space="0"/>
              <w:right w:val="single" w:color="auto" w:sz="4" w:space="0"/>
            </w:tcBorders>
            <w:vAlign w:val="center"/>
          </w:tcPr>
          <w:p w14:paraId="40A5CDCA">
            <w:pPr>
              <w:pStyle w:val="133"/>
            </w:pPr>
            <w:r>
              <w:rPr>
                <w:rFonts w:hint="eastAsia"/>
              </w:rPr>
              <w:t>2025.3</w:t>
            </w:r>
          </w:p>
        </w:tc>
      </w:tr>
      <w:tr w14:paraId="32DC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 w:type="pct"/>
            <w:tcBorders>
              <w:top w:val="single" w:color="auto" w:sz="4" w:space="0"/>
              <w:left w:val="single" w:color="auto" w:sz="4" w:space="0"/>
              <w:bottom w:val="single" w:color="auto" w:sz="4" w:space="0"/>
              <w:right w:val="single" w:color="auto" w:sz="4" w:space="0"/>
            </w:tcBorders>
            <w:vAlign w:val="center"/>
          </w:tcPr>
          <w:p w14:paraId="7E67AE4C">
            <w:pPr>
              <w:pStyle w:val="133"/>
            </w:pPr>
            <w:r>
              <w:t>4</w:t>
            </w:r>
          </w:p>
        </w:tc>
        <w:tc>
          <w:tcPr>
            <w:tcW w:w="1214" w:type="pct"/>
            <w:tcBorders>
              <w:top w:val="single" w:color="auto" w:sz="4" w:space="0"/>
              <w:left w:val="single" w:color="auto" w:sz="4" w:space="0"/>
              <w:bottom w:val="single" w:color="auto" w:sz="4" w:space="0"/>
              <w:right w:val="single" w:color="auto" w:sz="4" w:space="0"/>
            </w:tcBorders>
            <w:vAlign w:val="center"/>
          </w:tcPr>
          <w:p w14:paraId="6A96977D">
            <w:pPr>
              <w:pStyle w:val="133"/>
            </w:pPr>
            <w:r>
              <w:rPr>
                <w:rFonts w:hint="eastAsia"/>
              </w:rPr>
              <w:t>新疆金盛镁业有限公司全封闭原料大棚环保改造项目</w:t>
            </w:r>
          </w:p>
        </w:tc>
        <w:tc>
          <w:tcPr>
            <w:tcW w:w="486" w:type="pct"/>
            <w:tcBorders>
              <w:top w:val="single" w:color="auto" w:sz="4" w:space="0"/>
              <w:left w:val="single" w:color="auto" w:sz="4" w:space="0"/>
              <w:bottom w:val="single" w:color="auto" w:sz="4" w:space="0"/>
              <w:right w:val="single" w:color="auto" w:sz="4" w:space="0"/>
            </w:tcBorders>
            <w:vAlign w:val="center"/>
          </w:tcPr>
          <w:p w14:paraId="2E3E763F">
            <w:pPr>
              <w:pStyle w:val="133"/>
            </w:pPr>
            <w:r>
              <w:rPr>
                <w:rFonts w:hint="eastAsia"/>
              </w:rPr>
              <w:t>哈密市生态环境局</w:t>
            </w:r>
          </w:p>
        </w:tc>
        <w:tc>
          <w:tcPr>
            <w:tcW w:w="639" w:type="pct"/>
            <w:tcBorders>
              <w:top w:val="single" w:color="auto" w:sz="4" w:space="0"/>
              <w:left w:val="single" w:color="auto" w:sz="4" w:space="0"/>
              <w:bottom w:val="single" w:color="auto" w:sz="4" w:space="0"/>
              <w:right w:val="single" w:color="auto" w:sz="4" w:space="0"/>
            </w:tcBorders>
            <w:vAlign w:val="center"/>
          </w:tcPr>
          <w:p w14:paraId="2D4B0E94">
            <w:pPr>
              <w:pStyle w:val="133"/>
            </w:pPr>
            <w:r>
              <w:rPr>
                <w:rFonts w:hint="eastAsia"/>
              </w:rPr>
              <w:t>哈市环监函〔</w:t>
            </w:r>
            <w:r>
              <w:t>2023</w:t>
            </w:r>
            <w:r>
              <w:rPr>
                <w:rFonts w:hint="eastAsia"/>
              </w:rPr>
              <w:t>〕</w:t>
            </w:r>
            <w:r>
              <w:t>11</w:t>
            </w:r>
            <w:r>
              <w:rPr>
                <w:rFonts w:hint="eastAsia"/>
              </w:rPr>
              <w:t>号</w:t>
            </w:r>
          </w:p>
        </w:tc>
        <w:tc>
          <w:tcPr>
            <w:tcW w:w="680" w:type="pct"/>
            <w:tcBorders>
              <w:top w:val="single" w:color="auto" w:sz="4" w:space="0"/>
              <w:left w:val="single" w:color="auto" w:sz="4" w:space="0"/>
              <w:bottom w:val="single" w:color="auto" w:sz="4" w:space="0"/>
              <w:right w:val="single" w:color="auto" w:sz="4" w:space="0"/>
            </w:tcBorders>
            <w:vAlign w:val="center"/>
          </w:tcPr>
          <w:p w14:paraId="337B0661">
            <w:pPr>
              <w:pStyle w:val="133"/>
            </w:pPr>
            <w:r>
              <w:t>2023.2.2</w:t>
            </w:r>
          </w:p>
        </w:tc>
        <w:tc>
          <w:tcPr>
            <w:tcW w:w="1016" w:type="pct"/>
            <w:gridSpan w:val="2"/>
            <w:tcBorders>
              <w:top w:val="single" w:color="auto" w:sz="4" w:space="0"/>
              <w:left w:val="single" w:color="auto" w:sz="4" w:space="0"/>
              <w:bottom w:val="single" w:color="auto" w:sz="4" w:space="0"/>
              <w:right w:val="single" w:color="auto" w:sz="4" w:space="0"/>
            </w:tcBorders>
            <w:vAlign w:val="center"/>
          </w:tcPr>
          <w:p w14:paraId="11B07D13">
            <w:pPr>
              <w:pStyle w:val="133"/>
            </w:pPr>
            <w:r>
              <w:rPr>
                <w:rFonts w:hint="eastAsia"/>
              </w:rPr>
              <w:t>新疆寰宇工程咨询有限公司</w:t>
            </w:r>
          </w:p>
        </w:tc>
        <w:tc>
          <w:tcPr>
            <w:tcW w:w="281" w:type="pct"/>
            <w:tcBorders>
              <w:top w:val="single" w:color="auto" w:sz="4" w:space="0"/>
              <w:left w:val="single" w:color="auto" w:sz="4" w:space="0"/>
              <w:bottom w:val="single" w:color="auto" w:sz="4" w:space="0"/>
              <w:right w:val="single" w:color="auto" w:sz="4" w:space="0"/>
            </w:tcBorders>
          </w:tcPr>
          <w:p w14:paraId="3ABB0078">
            <w:pPr>
              <w:pStyle w:val="133"/>
            </w:pPr>
            <w:r>
              <w:rPr>
                <w:rFonts w:hint="eastAsia"/>
              </w:rPr>
              <w:t>自主验收</w:t>
            </w:r>
          </w:p>
        </w:tc>
        <w:tc>
          <w:tcPr>
            <w:tcW w:w="521" w:type="pct"/>
            <w:tcBorders>
              <w:top w:val="single" w:color="auto" w:sz="4" w:space="0"/>
              <w:left w:val="single" w:color="auto" w:sz="4" w:space="0"/>
              <w:bottom w:val="single" w:color="auto" w:sz="4" w:space="0"/>
              <w:right w:val="single" w:color="auto" w:sz="4" w:space="0"/>
            </w:tcBorders>
            <w:vAlign w:val="center"/>
          </w:tcPr>
          <w:p w14:paraId="330DC8C5">
            <w:pPr>
              <w:pStyle w:val="133"/>
            </w:pPr>
            <w:r>
              <w:t>2024.9</w:t>
            </w:r>
          </w:p>
        </w:tc>
      </w:tr>
      <w:tr w14:paraId="0F30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63" w:type="pct"/>
            <w:tcBorders>
              <w:top w:val="single" w:color="auto" w:sz="4" w:space="0"/>
              <w:left w:val="single" w:color="auto" w:sz="4" w:space="0"/>
              <w:bottom w:val="single" w:color="auto" w:sz="4" w:space="0"/>
              <w:right w:val="single" w:color="auto" w:sz="4" w:space="0"/>
            </w:tcBorders>
            <w:vAlign w:val="center"/>
          </w:tcPr>
          <w:p w14:paraId="3E992C81">
            <w:pPr>
              <w:pStyle w:val="133"/>
            </w:pPr>
            <w:r>
              <w:t>5</w:t>
            </w:r>
          </w:p>
        </w:tc>
        <w:tc>
          <w:tcPr>
            <w:tcW w:w="1214" w:type="pct"/>
            <w:tcBorders>
              <w:top w:val="single" w:color="auto" w:sz="4" w:space="0"/>
              <w:left w:val="single" w:color="auto" w:sz="4" w:space="0"/>
              <w:bottom w:val="single" w:color="auto" w:sz="4" w:space="0"/>
              <w:right w:val="single" w:color="auto" w:sz="4" w:space="0"/>
            </w:tcBorders>
            <w:vAlign w:val="center"/>
          </w:tcPr>
          <w:p w14:paraId="154D2C81">
            <w:pPr>
              <w:pStyle w:val="133"/>
            </w:pPr>
            <w:r>
              <w:rPr>
                <w:rFonts w:hint="eastAsia"/>
              </w:rPr>
              <w:t>新疆金盛镁业有限公司兰炭废水焚烧项目</w:t>
            </w:r>
          </w:p>
        </w:tc>
        <w:tc>
          <w:tcPr>
            <w:tcW w:w="486" w:type="pct"/>
            <w:tcBorders>
              <w:top w:val="single" w:color="auto" w:sz="4" w:space="0"/>
              <w:left w:val="single" w:color="auto" w:sz="4" w:space="0"/>
              <w:bottom w:val="single" w:color="auto" w:sz="4" w:space="0"/>
              <w:right w:val="single" w:color="auto" w:sz="4" w:space="0"/>
            </w:tcBorders>
            <w:vAlign w:val="center"/>
          </w:tcPr>
          <w:p w14:paraId="4CB109F5">
            <w:pPr>
              <w:pStyle w:val="133"/>
            </w:pPr>
            <w:r>
              <w:rPr>
                <w:rFonts w:hint="eastAsia"/>
              </w:rPr>
              <w:t>哈密市生态环境局</w:t>
            </w:r>
          </w:p>
        </w:tc>
        <w:tc>
          <w:tcPr>
            <w:tcW w:w="639" w:type="pct"/>
            <w:tcBorders>
              <w:top w:val="single" w:color="auto" w:sz="4" w:space="0"/>
              <w:left w:val="single" w:color="auto" w:sz="4" w:space="0"/>
              <w:bottom w:val="single" w:color="auto" w:sz="4" w:space="0"/>
              <w:right w:val="single" w:color="auto" w:sz="4" w:space="0"/>
            </w:tcBorders>
            <w:vAlign w:val="center"/>
          </w:tcPr>
          <w:p w14:paraId="3ED7E594">
            <w:pPr>
              <w:pStyle w:val="133"/>
            </w:pPr>
            <w:r>
              <w:rPr>
                <w:rFonts w:hint="eastAsia"/>
              </w:rPr>
              <w:t>哈市环监函〔</w:t>
            </w:r>
            <w:r>
              <w:t>2023</w:t>
            </w:r>
            <w:r>
              <w:rPr>
                <w:rFonts w:hint="eastAsia"/>
              </w:rPr>
              <w:t>〕</w:t>
            </w:r>
            <w:r>
              <w:t>113</w:t>
            </w:r>
            <w:r>
              <w:rPr>
                <w:rFonts w:hint="eastAsia"/>
              </w:rPr>
              <w:t>号</w:t>
            </w:r>
          </w:p>
        </w:tc>
        <w:tc>
          <w:tcPr>
            <w:tcW w:w="680" w:type="pct"/>
            <w:tcBorders>
              <w:top w:val="single" w:color="auto" w:sz="4" w:space="0"/>
              <w:left w:val="single" w:color="auto" w:sz="4" w:space="0"/>
              <w:bottom w:val="single" w:color="auto" w:sz="4" w:space="0"/>
              <w:right w:val="single" w:color="auto" w:sz="4" w:space="0"/>
            </w:tcBorders>
            <w:vAlign w:val="center"/>
          </w:tcPr>
          <w:p w14:paraId="7B8F35FB">
            <w:pPr>
              <w:pStyle w:val="133"/>
            </w:pPr>
            <w:r>
              <w:t>2023.10.13</w:t>
            </w:r>
          </w:p>
        </w:tc>
        <w:tc>
          <w:tcPr>
            <w:tcW w:w="1016" w:type="pct"/>
            <w:gridSpan w:val="2"/>
            <w:tcBorders>
              <w:top w:val="single" w:color="auto" w:sz="4" w:space="0"/>
              <w:left w:val="single" w:color="auto" w:sz="4" w:space="0"/>
              <w:bottom w:val="single" w:color="auto" w:sz="4" w:space="0"/>
              <w:right w:val="single" w:color="auto" w:sz="4" w:space="0"/>
            </w:tcBorders>
            <w:vAlign w:val="center"/>
          </w:tcPr>
          <w:p w14:paraId="4016C882">
            <w:pPr>
              <w:pStyle w:val="133"/>
            </w:pPr>
            <w:r>
              <w:rPr>
                <w:rFonts w:hint="eastAsia"/>
              </w:rPr>
              <w:t>新疆沃谱瑞节能环境科技有限公司</w:t>
            </w:r>
          </w:p>
        </w:tc>
        <w:tc>
          <w:tcPr>
            <w:tcW w:w="281" w:type="pct"/>
            <w:tcBorders>
              <w:top w:val="single" w:color="auto" w:sz="4" w:space="0"/>
              <w:left w:val="single" w:color="auto" w:sz="4" w:space="0"/>
              <w:bottom w:val="single" w:color="auto" w:sz="4" w:space="0"/>
              <w:right w:val="single" w:color="auto" w:sz="4" w:space="0"/>
            </w:tcBorders>
          </w:tcPr>
          <w:p w14:paraId="4516F37A">
            <w:pPr>
              <w:pStyle w:val="133"/>
            </w:pPr>
            <w:r>
              <w:rPr>
                <w:rFonts w:hint="eastAsia"/>
              </w:rPr>
              <w:t>自主验收</w:t>
            </w:r>
          </w:p>
        </w:tc>
        <w:tc>
          <w:tcPr>
            <w:tcW w:w="521" w:type="pct"/>
            <w:tcBorders>
              <w:top w:val="single" w:color="auto" w:sz="4" w:space="0"/>
              <w:left w:val="single" w:color="auto" w:sz="4" w:space="0"/>
              <w:bottom w:val="single" w:color="auto" w:sz="4" w:space="0"/>
              <w:right w:val="single" w:color="auto" w:sz="4" w:space="0"/>
            </w:tcBorders>
            <w:vAlign w:val="center"/>
          </w:tcPr>
          <w:p w14:paraId="1C875767">
            <w:pPr>
              <w:pStyle w:val="133"/>
            </w:pPr>
            <w:r>
              <w:rPr>
                <w:rFonts w:hint="eastAsia"/>
              </w:rPr>
              <w:t>2025.5</w:t>
            </w:r>
          </w:p>
        </w:tc>
      </w:tr>
    </w:tbl>
    <w:p w14:paraId="4B415DF7">
      <w:pPr>
        <w:pStyle w:val="118"/>
        <w:ind w:firstLine="480"/>
      </w:pPr>
      <w:r>
        <w:rPr>
          <w:rFonts w:hint="eastAsia"/>
        </w:rPr>
        <w:t>表</w:t>
      </w:r>
      <w:r>
        <w:t>2.1</w:t>
      </w:r>
      <w:r>
        <w:rPr>
          <w:rFonts w:hint="eastAsia"/>
        </w:rPr>
        <w:t>-2</w:t>
      </w:r>
      <w:r>
        <w:t xml:space="preserve"> </w:t>
      </w:r>
      <w:r>
        <w:rPr>
          <w:rFonts w:hint="eastAsia"/>
        </w:rPr>
        <w:t>镁合金产业循环经济建设项目（一期）环境影响报告书变更项目</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7230"/>
        <w:gridCol w:w="5387"/>
        <w:gridCol w:w="882"/>
      </w:tblGrid>
      <w:tr w14:paraId="100664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238" w:type="pct"/>
            <w:tcBorders>
              <w:top w:val="single" w:color="000000" w:sz="12" w:space="0"/>
              <w:left w:val="single" w:color="000000" w:sz="4" w:space="0"/>
              <w:bottom w:val="single" w:color="000000" w:sz="4" w:space="0"/>
              <w:right w:val="single" w:color="000000" w:sz="4" w:space="0"/>
            </w:tcBorders>
            <w:vAlign w:val="center"/>
          </w:tcPr>
          <w:p w14:paraId="25BEBB2D">
            <w:pPr>
              <w:pStyle w:val="133"/>
              <w:rPr>
                <w:b/>
                <w:bCs/>
              </w:rPr>
            </w:pPr>
            <w:r>
              <w:rPr>
                <w:rFonts w:hint="eastAsia"/>
                <w:b/>
                <w:bCs/>
              </w:rPr>
              <w:t>序号</w:t>
            </w:r>
          </w:p>
        </w:tc>
        <w:tc>
          <w:tcPr>
            <w:tcW w:w="2550" w:type="pct"/>
            <w:tcBorders>
              <w:top w:val="single" w:color="000000" w:sz="12" w:space="0"/>
              <w:left w:val="single" w:color="000000" w:sz="4" w:space="0"/>
              <w:bottom w:val="single" w:color="000000" w:sz="4" w:space="0"/>
              <w:right w:val="single" w:color="000000" w:sz="4" w:space="0"/>
            </w:tcBorders>
            <w:vAlign w:val="center"/>
          </w:tcPr>
          <w:p w14:paraId="211F7D26">
            <w:pPr>
              <w:pStyle w:val="133"/>
              <w:rPr>
                <w:b/>
                <w:bCs/>
              </w:rPr>
            </w:pPr>
            <w:r>
              <w:rPr>
                <w:rFonts w:hint="eastAsia"/>
                <w:b/>
                <w:bCs/>
              </w:rPr>
              <w:t>批复要求</w:t>
            </w:r>
          </w:p>
        </w:tc>
        <w:tc>
          <w:tcPr>
            <w:tcW w:w="1900" w:type="pct"/>
            <w:tcBorders>
              <w:top w:val="single" w:color="000000" w:sz="12" w:space="0"/>
              <w:left w:val="single" w:color="000000" w:sz="4" w:space="0"/>
              <w:bottom w:val="single" w:color="000000" w:sz="4" w:space="0"/>
              <w:right w:val="single" w:color="000000" w:sz="4" w:space="0"/>
            </w:tcBorders>
            <w:vAlign w:val="center"/>
          </w:tcPr>
          <w:p w14:paraId="5010DF70">
            <w:pPr>
              <w:pStyle w:val="133"/>
              <w:rPr>
                <w:b/>
                <w:bCs/>
              </w:rPr>
            </w:pPr>
            <w:r>
              <w:rPr>
                <w:rFonts w:hint="eastAsia"/>
                <w:b/>
                <w:bCs/>
              </w:rPr>
              <w:t>建设情况</w:t>
            </w:r>
          </w:p>
        </w:tc>
        <w:tc>
          <w:tcPr>
            <w:tcW w:w="311" w:type="pct"/>
            <w:tcBorders>
              <w:top w:val="single" w:color="000000" w:sz="12" w:space="0"/>
              <w:left w:val="single" w:color="000000" w:sz="4" w:space="0"/>
              <w:bottom w:val="single" w:color="000000" w:sz="4" w:space="0"/>
              <w:right w:val="single" w:color="000000" w:sz="12" w:space="0"/>
            </w:tcBorders>
            <w:vAlign w:val="center"/>
          </w:tcPr>
          <w:p w14:paraId="3258B437">
            <w:pPr>
              <w:pStyle w:val="133"/>
              <w:rPr>
                <w:b/>
                <w:bCs/>
              </w:rPr>
            </w:pPr>
            <w:r>
              <w:rPr>
                <w:rFonts w:hint="eastAsia"/>
                <w:b/>
                <w:bCs/>
              </w:rPr>
              <w:t>相符性</w:t>
            </w:r>
          </w:p>
        </w:tc>
      </w:tr>
      <w:tr w14:paraId="6BFF00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8" w:type="pct"/>
            <w:tcBorders>
              <w:top w:val="single" w:color="000000" w:sz="4" w:space="0"/>
              <w:left w:val="single" w:color="000000" w:sz="4" w:space="0"/>
              <w:bottom w:val="single" w:color="000000" w:sz="4" w:space="0"/>
              <w:right w:val="single" w:color="000000" w:sz="4" w:space="0"/>
            </w:tcBorders>
            <w:vAlign w:val="center"/>
          </w:tcPr>
          <w:p w14:paraId="60454170">
            <w:pPr>
              <w:pStyle w:val="133"/>
            </w:pPr>
            <w:r>
              <w:t>1</w:t>
            </w:r>
          </w:p>
        </w:tc>
        <w:tc>
          <w:tcPr>
            <w:tcW w:w="2550" w:type="pct"/>
            <w:tcBorders>
              <w:top w:val="single" w:color="000000" w:sz="4" w:space="0"/>
              <w:left w:val="single" w:color="000000" w:sz="4" w:space="0"/>
              <w:bottom w:val="single" w:color="000000" w:sz="4" w:space="0"/>
              <w:right w:val="single" w:color="000000" w:sz="4" w:space="0"/>
            </w:tcBorders>
            <w:vAlign w:val="center"/>
          </w:tcPr>
          <w:p w14:paraId="5BEC56FA">
            <w:pPr>
              <w:pStyle w:val="133"/>
            </w:pPr>
            <w:r>
              <w:rPr>
                <w:rFonts w:hint="eastAsia"/>
              </w:rPr>
              <w:t>我厅于</w:t>
            </w:r>
            <w:r>
              <w:t>2012</w:t>
            </w:r>
            <w:r>
              <w:rPr>
                <w:rFonts w:hint="eastAsia"/>
              </w:rPr>
              <w:t>年</w:t>
            </w:r>
            <w:r>
              <w:t>11</w:t>
            </w:r>
            <w:r>
              <w:rPr>
                <w:rFonts w:hint="eastAsia"/>
              </w:rPr>
              <w:t>月</w:t>
            </w:r>
            <w:r>
              <w:t>27</w:t>
            </w:r>
            <w:r>
              <w:rPr>
                <w:rFonts w:hint="eastAsia"/>
              </w:rPr>
              <w:t>日以新环评价函〔</w:t>
            </w:r>
            <w:r>
              <w:t>2012</w:t>
            </w:r>
            <w:r>
              <w:rPr>
                <w:rFonts w:hint="eastAsia"/>
              </w:rPr>
              <w:t>〕</w:t>
            </w:r>
            <w:r>
              <w:t>1185</w:t>
            </w:r>
            <w:r>
              <w:rPr>
                <w:rFonts w:hint="eastAsia"/>
              </w:rPr>
              <w:t>号文件批复了《新疆金盛镁业有限公司镁合金产业循环经济建设项目环境影响报告书》，该项目主要建设内容为</w:t>
            </w:r>
            <w:r>
              <w:t>5</w:t>
            </w:r>
            <w:r>
              <w:rPr>
                <w:rFonts w:hint="eastAsia"/>
              </w:rPr>
              <w:t>万吨</w:t>
            </w:r>
            <w:r>
              <w:t>/</w:t>
            </w:r>
            <w:r>
              <w:rPr>
                <w:rFonts w:hint="eastAsia"/>
              </w:rPr>
              <w:t>年镁及镁合金生产线、</w:t>
            </w:r>
            <w:r>
              <w:t>60</w:t>
            </w:r>
            <w:r>
              <w:rPr>
                <w:rFonts w:hint="eastAsia"/>
              </w:rPr>
              <w:t>万吨</w:t>
            </w:r>
            <w:r>
              <w:t>/</w:t>
            </w:r>
            <w:r>
              <w:rPr>
                <w:rFonts w:hint="eastAsia"/>
              </w:rPr>
              <w:t>年兰炭生产线、</w:t>
            </w:r>
            <w:r>
              <w:t>5</w:t>
            </w:r>
            <w:r>
              <w:rPr>
                <w:rFonts w:hint="eastAsia"/>
              </w:rPr>
              <w:t>万吨</w:t>
            </w:r>
            <w:r>
              <w:t>/</w:t>
            </w:r>
            <w:r>
              <w:rPr>
                <w:rFonts w:hint="eastAsia"/>
              </w:rPr>
              <w:t>年硅铁生产线并配套建设相应公辅工程。目前，项目一期已建成</w:t>
            </w:r>
            <w:r>
              <w:t>2.5</w:t>
            </w:r>
            <w:r>
              <w:rPr>
                <w:rFonts w:hint="eastAsia"/>
              </w:rPr>
              <w:t>万吨</w:t>
            </w:r>
            <w:r>
              <w:t>/</w:t>
            </w:r>
            <w:r>
              <w:rPr>
                <w:rFonts w:hint="eastAsia"/>
              </w:rPr>
              <w:t>年镁及镁合金生产线、</w:t>
            </w:r>
            <w:r>
              <w:t>30</w:t>
            </w:r>
            <w:r>
              <w:rPr>
                <w:rFonts w:hint="eastAsia"/>
              </w:rPr>
              <w:t>万吨</w:t>
            </w:r>
            <w:r>
              <w:t>/</w:t>
            </w:r>
            <w:r>
              <w:rPr>
                <w:rFonts w:hint="eastAsia"/>
              </w:rPr>
              <w:t>年兰炭生产线、</w:t>
            </w:r>
            <w:r>
              <w:t>5</w:t>
            </w:r>
            <w:r>
              <w:rPr>
                <w:rFonts w:hint="eastAsia"/>
              </w:rPr>
              <w:t>万吨</w:t>
            </w:r>
            <w:r>
              <w:t>/</w:t>
            </w:r>
            <w:r>
              <w:rPr>
                <w:rFonts w:hint="eastAsia"/>
              </w:rPr>
              <w:t>年硅铁生产线及相应公辅工程。根据设计，兰炭生产线产生的半焦煤气作为燃料供应镁及镁合金生产线。现因项目实际，你公司申请暂停兰炭生产线，新建</w:t>
            </w:r>
            <w:r>
              <w:t>4</w:t>
            </w:r>
            <w:r>
              <w:rPr>
                <w:rFonts w:hint="eastAsia"/>
              </w:rPr>
              <w:t>台直径</w:t>
            </w:r>
            <w:r>
              <w:t xml:space="preserve"> 3.6</w:t>
            </w:r>
            <w:r>
              <w:rPr>
                <w:rFonts w:hint="eastAsia"/>
              </w:rPr>
              <w:t>米的两段式煤气发生炉为镁及镁合金生产线供应燃料气，镁合金产业循环经济建设项目建设性质、地点、规模、工艺及其他环境保护措施均不发生变化。</w:t>
            </w:r>
          </w:p>
        </w:tc>
        <w:tc>
          <w:tcPr>
            <w:tcW w:w="1900" w:type="pct"/>
            <w:tcBorders>
              <w:top w:val="single" w:color="000000" w:sz="4" w:space="0"/>
              <w:left w:val="single" w:color="000000" w:sz="4" w:space="0"/>
              <w:bottom w:val="single" w:color="000000" w:sz="4" w:space="0"/>
              <w:right w:val="single" w:color="000000" w:sz="4" w:space="0"/>
            </w:tcBorders>
            <w:vAlign w:val="center"/>
          </w:tcPr>
          <w:p w14:paraId="14D1A73D">
            <w:pPr>
              <w:pStyle w:val="133"/>
            </w:pPr>
            <w:r>
              <w:rPr>
                <w:rFonts w:hint="eastAsia"/>
              </w:rPr>
              <w:t>项目建设</w:t>
            </w:r>
            <w:r>
              <w:t>4</w:t>
            </w:r>
            <w:r>
              <w:rPr>
                <w:rFonts w:hint="eastAsia"/>
              </w:rPr>
              <w:t>台直径</w:t>
            </w:r>
            <w:r>
              <w:t>3.6</w:t>
            </w:r>
            <w:r>
              <w:rPr>
                <w:rFonts w:hint="eastAsia"/>
              </w:rPr>
              <w:t>米的两段式煤气发生炉为镁及镁合金生产线供应燃料气，镁合金产业循环经济建设项目建设性质、地点、规模、工艺及其他环境保护措施均未发生变化。</w:t>
            </w:r>
          </w:p>
        </w:tc>
        <w:tc>
          <w:tcPr>
            <w:tcW w:w="311" w:type="pct"/>
            <w:tcBorders>
              <w:top w:val="single" w:color="000000" w:sz="4" w:space="0"/>
              <w:left w:val="single" w:color="000000" w:sz="4" w:space="0"/>
              <w:bottom w:val="single" w:color="000000" w:sz="4" w:space="0"/>
              <w:right w:val="single" w:color="000000" w:sz="12" w:space="0"/>
            </w:tcBorders>
            <w:vAlign w:val="center"/>
          </w:tcPr>
          <w:p w14:paraId="4A0990A6">
            <w:pPr>
              <w:pStyle w:val="133"/>
            </w:pPr>
            <w:r>
              <w:rPr>
                <w:rFonts w:hint="eastAsia"/>
              </w:rPr>
              <w:t>相符</w:t>
            </w:r>
          </w:p>
        </w:tc>
      </w:tr>
      <w:tr w14:paraId="4BC256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8" w:type="pct"/>
            <w:tcBorders>
              <w:top w:val="single" w:color="000000" w:sz="4" w:space="0"/>
              <w:left w:val="single" w:color="000000" w:sz="4" w:space="0"/>
              <w:bottom w:val="single" w:color="000000" w:sz="4" w:space="0"/>
              <w:right w:val="single" w:color="000000" w:sz="4" w:space="0"/>
            </w:tcBorders>
            <w:vAlign w:val="center"/>
          </w:tcPr>
          <w:p w14:paraId="30CACF69">
            <w:pPr>
              <w:pStyle w:val="133"/>
            </w:pPr>
            <w:r>
              <w:t>2</w:t>
            </w:r>
          </w:p>
        </w:tc>
        <w:tc>
          <w:tcPr>
            <w:tcW w:w="2550" w:type="pct"/>
            <w:tcBorders>
              <w:top w:val="single" w:color="000000" w:sz="4" w:space="0"/>
              <w:left w:val="single" w:color="000000" w:sz="4" w:space="0"/>
              <w:bottom w:val="single" w:color="000000" w:sz="4" w:space="0"/>
              <w:right w:val="single" w:color="000000" w:sz="4" w:space="0"/>
            </w:tcBorders>
            <w:vAlign w:val="center"/>
          </w:tcPr>
          <w:p w14:paraId="6F83B6B3">
            <w:pPr>
              <w:pStyle w:val="133"/>
            </w:pPr>
            <w:r>
              <w:rPr>
                <w:rFonts w:hint="eastAsia"/>
              </w:rPr>
              <w:t>我厅原则同意你公司在兰炭生产线停产时，使用</w:t>
            </w:r>
            <w:r>
              <w:t>4</w:t>
            </w:r>
            <w:r>
              <w:rPr>
                <w:rFonts w:hint="eastAsia"/>
              </w:rPr>
              <w:t>台直径</w:t>
            </w:r>
            <w:r>
              <w:t>3.6</w:t>
            </w:r>
            <w:r>
              <w:rPr>
                <w:rFonts w:hint="eastAsia"/>
              </w:rPr>
              <w:t>米的两段式煤气发生炉为镁及镁合金生产线供应燃料气。</w:t>
            </w:r>
          </w:p>
        </w:tc>
        <w:tc>
          <w:tcPr>
            <w:tcW w:w="1900" w:type="pct"/>
            <w:tcBorders>
              <w:top w:val="single" w:color="000000" w:sz="4" w:space="0"/>
              <w:left w:val="single" w:color="000000" w:sz="4" w:space="0"/>
              <w:bottom w:val="single" w:color="000000" w:sz="4" w:space="0"/>
              <w:right w:val="single" w:color="000000" w:sz="4" w:space="0"/>
            </w:tcBorders>
            <w:vAlign w:val="center"/>
          </w:tcPr>
          <w:p w14:paraId="2B04DCC7">
            <w:pPr>
              <w:pStyle w:val="133"/>
            </w:pPr>
            <w:r>
              <w:rPr>
                <w:rFonts w:hint="eastAsia"/>
              </w:rPr>
              <w:t>项目在兰炭生产线停产时，使用</w:t>
            </w:r>
            <w:r>
              <w:t>4</w:t>
            </w:r>
            <w:r>
              <w:rPr>
                <w:rFonts w:hint="eastAsia"/>
              </w:rPr>
              <w:t>台直径</w:t>
            </w:r>
            <w:r>
              <w:t>3.6</w:t>
            </w:r>
            <w:r>
              <w:rPr>
                <w:rFonts w:hint="eastAsia"/>
              </w:rPr>
              <w:t>米的两段式煤气发生炉为镁及镁合金生产线供应燃料气。</w:t>
            </w:r>
          </w:p>
        </w:tc>
        <w:tc>
          <w:tcPr>
            <w:tcW w:w="311" w:type="pct"/>
            <w:tcBorders>
              <w:top w:val="single" w:color="000000" w:sz="4" w:space="0"/>
              <w:left w:val="single" w:color="000000" w:sz="4" w:space="0"/>
              <w:bottom w:val="single" w:color="000000" w:sz="4" w:space="0"/>
              <w:right w:val="single" w:color="000000" w:sz="12" w:space="0"/>
            </w:tcBorders>
            <w:vAlign w:val="center"/>
          </w:tcPr>
          <w:p w14:paraId="7496798F">
            <w:pPr>
              <w:pStyle w:val="133"/>
            </w:pPr>
            <w:r>
              <w:rPr>
                <w:rFonts w:hint="eastAsia"/>
              </w:rPr>
              <w:t>相符</w:t>
            </w:r>
          </w:p>
        </w:tc>
      </w:tr>
      <w:tr w14:paraId="4C8CA7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8" w:type="pct"/>
            <w:tcBorders>
              <w:top w:val="single" w:color="000000" w:sz="4" w:space="0"/>
              <w:left w:val="single" w:color="000000" w:sz="4" w:space="0"/>
              <w:bottom w:val="single" w:color="000000" w:sz="4" w:space="0"/>
              <w:right w:val="single" w:color="000000" w:sz="4" w:space="0"/>
            </w:tcBorders>
            <w:vAlign w:val="center"/>
          </w:tcPr>
          <w:p w14:paraId="79885653">
            <w:pPr>
              <w:pStyle w:val="133"/>
            </w:pPr>
            <w:r>
              <w:t>3</w:t>
            </w:r>
          </w:p>
        </w:tc>
        <w:tc>
          <w:tcPr>
            <w:tcW w:w="2550" w:type="pct"/>
            <w:tcBorders>
              <w:top w:val="single" w:color="000000" w:sz="4" w:space="0"/>
              <w:left w:val="single" w:color="000000" w:sz="4" w:space="0"/>
              <w:bottom w:val="single" w:color="000000" w:sz="4" w:space="0"/>
              <w:right w:val="single" w:color="000000" w:sz="4" w:space="0"/>
            </w:tcBorders>
            <w:vAlign w:val="center"/>
          </w:tcPr>
          <w:p w14:paraId="7E64B146">
            <w:pPr>
              <w:pStyle w:val="133"/>
            </w:pPr>
            <w:r>
              <w:rPr>
                <w:rFonts w:hint="eastAsia"/>
              </w:rPr>
              <w:t>新建煤气发生炉净化工段依托现有兰炭项目净化系统（</w:t>
            </w:r>
            <w:r>
              <w:t>888</w:t>
            </w:r>
            <w:r>
              <w:rPr>
                <w:rFonts w:hint="eastAsia"/>
              </w:rPr>
              <w:t>法脱硫工艺），产生的脱硫废液和酚氰污水处理站产生的污泥作为危险废物交由有危险废物处置资质的单位妥善处置，其收集、贮存和转移措施必须严格执行《危险废物贮存污染控制标准》（</w:t>
            </w:r>
            <w:r>
              <w:t>GB18597-2001</w:t>
            </w:r>
            <w:r>
              <w:rPr>
                <w:rFonts w:hint="eastAsia"/>
              </w:rPr>
              <w:t>）等国家有关规定。煤气发生炉废水依托现有兰炭项目废水预处理系统和酚氰污水处理站处理，满足《炼焦化学工业污染物排放标准》（</w:t>
            </w:r>
            <w:r>
              <w:t>GB16171-2012</w:t>
            </w:r>
            <w:r>
              <w:rPr>
                <w:rFonts w:hint="eastAsia"/>
              </w:rPr>
              <w:t>）表</w:t>
            </w:r>
            <w:r>
              <w:t>1</w:t>
            </w:r>
            <w:r>
              <w:rPr>
                <w:rFonts w:hint="eastAsia"/>
              </w:rPr>
              <w:t>间接排放标准后用于熄焦工段，不得外排。</w:t>
            </w:r>
          </w:p>
        </w:tc>
        <w:tc>
          <w:tcPr>
            <w:tcW w:w="1900" w:type="pct"/>
            <w:tcBorders>
              <w:top w:val="single" w:color="000000" w:sz="4" w:space="0"/>
              <w:left w:val="single" w:color="000000" w:sz="4" w:space="0"/>
              <w:bottom w:val="single" w:color="000000" w:sz="4" w:space="0"/>
              <w:right w:val="single" w:color="000000" w:sz="4" w:space="0"/>
            </w:tcBorders>
            <w:vAlign w:val="center"/>
          </w:tcPr>
          <w:p w14:paraId="77F1C5D5">
            <w:pPr>
              <w:pStyle w:val="133"/>
            </w:pPr>
            <w:r>
              <w:rPr>
                <w:rFonts w:hint="eastAsia"/>
              </w:rPr>
              <w:t>项目煤气净化工段依托现有兰炭项目净化系统，产生的脱硫废液和酚氰污水处理站产生的污泥掺入炼焦煤中综合利用。煤气发生炉废水依托兰炭项目废水预处理系统后直接回用于发生炉煤气冷却净化工段，不再经过兰炭项目酚氰污水处理站处理，待兰炭生产线开启时，煤气发生炉停止运行，预处理系统中氨水循环池存水排入酚氰污水处理站处理满足《炼焦化学工业污染物排放标准》（</w:t>
            </w:r>
            <w:r>
              <w:t>GB16171-2012</w:t>
            </w:r>
            <w:r>
              <w:rPr>
                <w:rFonts w:hint="eastAsia"/>
              </w:rPr>
              <w:t>）表</w:t>
            </w:r>
            <w:r>
              <w:t>2</w:t>
            </w:r>
            <w:r>
              <w:rPr>
                <w:rFonts w:hint="eastAsia"/>
              </w:rPr>
              <w:t>间接标准后回用于兰炭生产线熄焦工段，仍不外排。</w:t>
            </w:r>
          </w:p>
        </w:tc>
        <w:tc>
          <w:tcPr>
            <w:tcW w:w="311" w:type="pct"/>
            <w:tcBorders>
              <w:top w:val="single" w:color="000000" w:sz="4" w:space="0"/>
              <w:left w:val="single" w:color="000000" w:sz="4" w:space="0"/>
              <w:bottom w:val="single" w:color="000000" w:sz="4" w:space="0"/>
              <w:right w:val="single" w:color="000000" w:sz="12" w:space="0"/>
            </w:tcBorders>
            <w:vAlign w:val="center"/>
          </w:tcPr>
          <w:p w14:paraId="113F82E1">
            <w:pPr>
              <w:pStyle w:val="133"/>
            </w:pPr>
            <w:r>
              <w:rPr>
                <w:rFonts w:hint="eastAsia"/>
              </w:rPr>
              <w:t>相符</w:t>
            </w:r>
          </w:p>
        </w:tc>
      </w:tr>
      <w:tr w14:paraId="10DD92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8" w:type="pct"/>
            <w:tcBorders>
              <w:top w:val="single" w:color="000000" w:sz="4" w:space="0"/>
              <w:left w:val="single" w:color="000000" w:sz="4" w:space="0"/>
              <w:bottom w:val="single" w:color="000000" w:sz="4" w:space="0"/>
              <w:right w:val="single" w:color="000000" w:sz="4" w:space="0"/>
            </w:tcBorders>
            <w:vAlign w:val="center"/>
          </w:tcPr>
          <w:p w14:paraId="4AEFFD8C">
            <w:pPr>
              <w:pStyle w:val="133"/>
            </w:pPr>
            <w:r>
              <w:t>4</w:t>
            </w:r>
          </w:p>
        </w:tc>
        <w:tc>
          <w:tcPr>
            <w:tcW w:w="2550" w:type="pct"/>
            <w:tcBorders>
              <w:top w:val="single" w:color="000000" w:sz="4" w:space="0"/>
              <w:left w:val="single" w:color="000000" w:sz="4" w:space="0"/>
              <w:bottom w:val="single" w:color="000000" w:sz="4" w:space="0"/>
              <w:right w:val="single" w:color="000000" w:sz="4" w:space="0"/>
            </w:tcBorders>
            <w:vAlign w:val="center"/>
          </w:tcPr>
          <w:p w14:paraId="73DECD6E">
            <w:pPr>
              <w:pStyle w:val="133"/>
            </w:pPr>
            <w:r>
              <w:rPr>
                <w:rFonts w:hint="eastAsia"/>
              </w:rPr>
              <w:t>根据《煤制气业卫生防护距离》（</w:t>
            </w:r>
            <w:r>
              <w:t>GB/T17222-2012</w:t>
            </w:r>
            <w:r>
              <w:rPr>
                <w:rFonts w:hint="eastAsia"/>
              </w:rPr>
              <w:t>）相关要求，本项</w:t>
            </w:r>
            <w:r>
              <w:t xml:space="preserve"> </w:t>
            </w:r>
            <w:r>
              <w:rPr>
                <w:rFonts w:hint="eastAsia"/>
              </w:rPr>
              <w:t>目煤气发生站外设置</w:t>
            </w:r>
            <w:r>
              <w:t>2200</w:t>
            </w:r>
            <w:r>
              <w:rPr>
                <w:rFonts w:hint="eastAsia"/>
              </w:rPr>
              <w:t>米防护距离，在此范围内不得建设居民住宅、医院等对环境敏感的企事业单位。</w:t>
            </w:r>
          </w:p>
        </w:tc>
        <w:tc>
          <w:tcPr>
            <w:tcW w:w="1900" w:type="pct"/>
            <w:tcBorders>
              <w:top w:val="single" w:color="000000" w:sz="4" w:space="0"/>
              <w:left w:val="single" w:color="000000" w:sz="4" w:space="0"/>
              <w:bottom w:val="single" w:color="000000" w:sz="4" w:space="0"/>
              <w:right w:val="single" w:color="000000" w:sz="4" w:space="0"/>
            </w:tcBorders>
            <w:vAlign w:val="center"/>
          </w:tcPr>
          <w:p w14:paraId="457BF28A">
            <w:pPr>
              <w:pStyle w:val="133"/>
            </w:pPr>
            <w:r>
              <w:rPr>
                <w:rFonts w:hint="eastAsia"/>
              </w:rPr>
              <w:t>项目防护距离</w:t>
            </w:r>
            <w:r>
              <w:t>2200m</w:t>
            </w:r>
            <w:r>
              <w:rPr>
                <w:rFonts w:hint="eastAsia"/>
              </w:rPr>
              <w:t>，范围内无居民区、医院、学校等对环境敏感的建筑以及食品、粮油加工、轻工、纺织、精密仪器等生产企业</w:t>
            </w:r>
          </w:p>
        </w:tc>
        <w:tc>
          <w:tcPr>
            <w:tcW w:w="311" w:type="pct"/>
            <w:tcBorders>
              <w:top w:val="single" w:color="000000" w:sz="4" w:space="0"/>
              <w:left w:val="single" w:color="000000" w:sz="4" w:space="0"/>
              <w:bottom w:val="single" w:color="000000" w:sz="4" w:space="0"/>
              <w:right w:val="single" w:color="000000" w:sz="12" w:space="0"/>
            </w:tcBorders>
            <w:vAlign w:val="center"/>
          </w:tcPr>
          <w:p w14:paraId="3F148275">
            <w:pPr>
              <w:pStyle w:val="133"/>
            </w:pPr>
            <w:r>
              <w:rPr>
                <w:rFonts w:hint="eastAsia"/>
              </w:rPr>
              <w:t>相符</w:t>
            </w:r>
          </w:p>
        </w:tc>
      </w:tr>
      <w:tr w14:paraId="59A17B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38" w:type="pct"/>
            <w:tcBorders>
              <w:top w:val="single" w:color="000000" w:sz="4" w:space="0"/>
              <w:left w:val="single" w:color="000000" w:sz="4" w:space="0"/>
              <w:bottom w:val="single" w:color="000000" w:sz="12" w:space="0"/>
              <w:right w:val="single" w:color="000000" w:sz="4" w:space="0"/>
            </w:tcBorders>
            <w:vAlign w:val="center"/>
          </w:tcPr>
          <w:p w14:paraId="1F50DE53">
            <w:pPr>
              <w:pStyle w:val="133"/>
            </w:pPr>
            <w:r>
              <w:t>5</w:t>
            </w:r>
          </w:p>
        </w:tc>
        <w:tc>
          <w:tcPr>
            <w:tcW w:w="2550" w:type="pct"/>
            <w:tcBorders>
              <w:top w:val="single" w:color="000000" w:sz="4" w:space="0"/>
              <w:left w:val="single" w:color="000000" w:sz="4" w:space="0"/>
              <w:bottom w:val="single" w:color="000000" w:sz="12" w:space="0"/>
              <w:right w:val="single" w:color="000000" w:sz="4" w:space="0"/>
            </w:tcBorders>
            <w:vAlign w:val="center"/>
          </w:tcPr>
          <w:p w14:paraId="7C6DEA12">
            <w:pPr>
              <w:pStyle w:val="133"/>
            </w:pPr>
            <w:r>
              <w:rPr>
                <w:rFonts w:hint="eastAsia"/>
              </w:rPr>
              <w:t>有关该项目其它环境保护的要求，仍按我厅《关于新疆金盛镁业有限公司镁合金产业循环经济建设项目环境影响报告书的批复》（新环评价函〔</w:t>
            </w:r>
            <w:r>
              <w:t>2012</w:t>
            </w:r>
            <w:r>
              <w:rPr>
                <w:rFonts w:hint="eastAsia"/>
              </w:rPr>
              <w:t>〕</w:t>
            </w:r>
            <w:r>
              <w:t>1185</w:t>
            </w:r>
            <w:r>
              <w:rPr>
                <w:rFonts w:hint="eastAsia"/>
              </w:rPr>
              <w:t>号）执行。</w:t>
            </w:r>
          </w:p>
        </w:tc>
        <w:tc>
          <w:tcPr>
            <w:tcW w:w="1900" w:type="pct"/>
            <w:tcBorders>
              <w:top w:val="single" w:color="000000" w:sz="4" w:space="0"/>
              <w:left w:val="single" w:color="000000" w:sz="4" w:space="0"/>
              <w:bottom w:val="single" w:color="000000" w:sz="12" w:space="0"/>
              <w:right w:val="single" w:color="000000" w:sz="4" w:space="0"/>
            </w:tcBorders>
            <w:vAlign w:val="center"/>
          </w:tcPr>
          <w:p w14:paraId="1FB99F2A">
            <w:pPr>
              <w:pStyle w:val="133"/>
            </w:pPr>
            <w:r>
              <w:rPr>
                <w:rFonts w:hint="eastAsia"/>
              </w:rPr>
              <w:t>项目环境保护要求均按《关于新疆金盛镁业有限公司镁合金产业循环经济建设项目环境影响报告书的批复》（新环评价函〔</w:t>
            </w:r>
            <w:r>
              <w:t>2012</w:t>
            </w:r>
            <w:r>
              <w:rPr>
                <w:rFonts w:hint="eastAsia"/>
              </w:rPr>
              <w:t>〕</w:t>
            </w:r>
            <w:r>
              <w:t>1185</w:t>
            </w:r>
            <w:r>
              <w:rPr>
                <w:rFonts w:hint="eastAsia"/>
              </w:rPr>
              <w:t>号）执行。</w:t>
            </w:r>
          </w:p>
        </w:tc>
        <w:tc>
          <w:tcPr>
            <w:tcW w:w="311" w:type="pct"/>
            <w:tcBorders>
              <w:top w:val="single" w:color="000000" w:sz="4" w:space="0"/>
              <w:left w:val="single" w:color="000000" w:sz="4" w:space="0"/>
              <w:bottom w:val="single" w:color="000000" w:sz="12" w:space="0"/>
              <w:right w:val="single" w:color="000000" w:sz="12" w:space="0"/>
            </w:tcBorders>
            <w:vAlign w:val="center"/>
          </w:tcPr>
          <w:p w14:paraId="2F1BD404">
            <w:pPr>
              <w:pStyle w:val="133"/>
            </w:pPr>
            <w:r>
              <w:rPr>
                <w:rFonts w:hint="eastAsia"/>
              </w:rPr>
              <w:t>相符</w:t>
            </w:r>
          </w:p>
        </w:tc>
      </w:tr>
    </w:tbl>
    <w:p w14:paraId="60305AFA">
      <w:pPr>
        <w:ind w:firstLine="480"/>
      </w:pPr>
    </w:p>
    <w:p w14:paraId="3A1F1159">
      <w:pPr>
        <w:ind w:firstLine="480"/>
        <w:sectPr>
          <w:pgSz w:w="16838" w:h="11906" w:orient="landscape"/>
          <w:pgMar w:top="1800" w:right="1440" w:bottom="1800" w:left="1440" w:header="850" w:footer="850" w:gutter="0"/>
          <w:cols w:space="720" w:num="1"/>
          <w:docGrid w:type="lines" w:linePitch="326" w:charSpace="0"/>
        </w:sectPr>
      </w:pPr>
    </w:p>
    <w:p w14:paraId="48041F2A">
      <w:pPr>
        <w:pStyle w:val="5"/>
      </w:pPr>
      <w:bookmarkStart w:id="191" w:name="OLE_LINK82"/>
      <w:r>
        <w:rPr>
          <w:rFonts w:hint="eastAsia"/>
        </w:rPr>
        <w:t>实际建设内容</w:t>
      </w:r>
    </w:p>
    <w:bookmarkEnd w:id="191"/>
    <w:p w14:paraId="612C7163">
      <w:pPr>
        <w:ind w:firstLine="480"/>
      </w:pPr>
      <w:r>
        <w:rPr>
          <w:rFonts w:hint="eastAsia"/>
        </w:rPr>
        <w:t>原项目分两期建设，建设规模为：</w:t>
      </w:r>
    </w:p>
    <w:p w14:paraId="0106C8B9">
      <w:pPr>
        <w:ind w:firstLine="480"/>
      </w:pPr>
      <w:r>
        <w:rPr>
          <w:rFonts w:hint="eastAsia"/>
        </w:rPr>
        <w:t>一期：</w:t>
      </w:r>
      <w:r>
        <w:t>30</w:t>
      </w:r>
      <w:r>
        <w:rPr>
          <w:rFonts w:hint="eastAsia"/>
        </w:rPr>
        <w:t>万</w:t>
      </w:r>
      <w:r>
        <w:t>t/a</w:t>
      </w:r>
      <w:r>
        <w:rPr>
          <w:rFonts w:hint="eastAsia"/>
        </w:rPr>
        <w:t>兰炭项目、</w:t>
      </w:r>
      <w:r>
        <w:t>2.5</w:t>
      </w:r>
      <w:r>
        <w:rPr>
          <w:rFonts w:hint="eastAsia"/>
        </w:rPr>
        <w:t>万</w:t>
      </w:r>
      <w:r>
        <w:t>t/a</w:t>
      </w:r>
      <w:r>
        <w:rPr>
          <w:rFonts w:hint="eastAsia"/>
        </w:rPr>
        <w:t>镁合金项目、</w:t>
      </w:r>
      <w:r>
        <w:t>5</w:t>
      </w:r>
      <w:r>
        <w:rPr>
          <w:rFonts w:hint="eastAsia"/>
        </w:rPr>
        <w:t>万</w:t>
      </w:r>
      <w:r>
        <w:t>t/a</w:t>
      </w:r>
      <w:r>
        <w:rPr>
          <w:rFonts w:hint="eastAsia"/>
        </w:rPr>
        <w:t>硅铁项目及</w:t>
      </w:r>
      <w:r>
        <w:t>4</w:t>
      </w:r>
      <w:r>
        <w:rPr>
          <w:rFonts w:hint="eastAsia"/>
        </w:rPr>
        <w:t>台直径</w:t>
      </w:r>
      <w:r>
        <w:t>3.6m</w:t>
      </w:r>
      <w:r>
        <w:rPr>
          <w:rFonts w:hint="eastAsia"/>
        </w:rPr>
        <w:t>的两段式煤气发生炉；</w:t>
      </w:r>
    </w:p>
    <w:p w14:paraId="7C4F07F1">
      <w:pPr>
        <w:ind w:firstLine="480"/>
      </w:pPr>
      <w:r>
        <w:rPr>
          <w:rFonts w:hint="eastAsia"/>
        </w:rPr>
        <w:t>二期：</w:t>
      </w:r>
      <w:r>
        <w:t>30</w:t>
      </w:r>
      <w:r>
        <w:rPr>
          <w:rFonts w:hint="eastAsia"/>
        </w:rPr>
        <w:t>万</w:t>
      </w:r>
      <w:r>
        <w:t>t/a</w:t>
      </w:r>
      <w:r>
        <w:rPr>
          <w:rFonts w:hint="eastAsia"/>
        </w:rPr>
        <w:t>兰炭项目及</w:t>
      </w:r>
      <w:r>
        <w:t>2.5</w:t>
      </w:r>
      <w:r>
        <w:rPr>
          <w:rFonts w:hint="eastAsia"/>
        </w:rPr>
        <w:t>万</w:t>
      </w:r>
      <w:r>
        <w:t>t/a</w:t>
      </w:r>
      <w:r>
        <w:rPr>
          <w:rFonts w:hint="eastAsia"/>
        </w:rPr>
        <w:t>镁合金项目。</w:t>
      </w:r>
    </w:p>
    <w:p w14:paraId="7EF0A53B">
      <w:pPr>
        <w:ind w:firstLine="480"/>
      </w:pPr>
      <w:r>
        <w:rPr>
          <w:rFonts w:hint="eastAsia"/>
        </w:rPr>
        <w:t>现有工程已建成投产2.5万吨</w:t>
      </w:r>
      <w:r>
        <w:t>/</w:t>
      </w:r>
      <w:r>
        <w:rPr>
          <w:rFonts w:hint="eastAsia"/>
        </w:rPr>
        <w:t>年镁合金生产厂；配套</w:t>
      </w:r>
      <w:r>
        <w:t>30</w:t>
      </w:r>
      <w:r>
        <w:rPr>
          <w:rFonts w:hint="eastAsia"/>
        </w:rPr>
        <w:t>万吨</w:t>
      </w:r>
      <w:r>
        <w:t>/</w:t>
      </w:r>
      <w:r>
        <w:rPr>
          <w:rFonts w:hint="eastAsia"/>
        </w:rPr>
        <w:t>年兰炭厂；</w:t>
      </w:r>
      <w:r>
        <w:t>5</w:t>
      </w:r>
      <w:r>
        <w:rPr>
          <w:rFonts w:hint="eastAsia"/>
        </w:rPr>
        <w:t>万吨</w:t>
      </w:r>
      <w:r>
        <w:t>/</w:t>
      </w:r>
      <w:r>
        <w:rPr>
          <w:rFonts w:hint="eastAsia"/>
        </w:rPr>
        <w:t>年硅铁厂，</w:t>
      </w:r>
      <w:r>
        <w:t>4</w:t>
      </w:r>
      <w:r>
        <w:rPr>
          <w:rFonts w:hint="eastAsia"/>
        </w:rPr>
        <w:t>台直径</w:t>
      </w:r>
      <w:r>
        <w:t>3.6m</w:t>
      </w:r>
      <w:r>
        <w:rPr>
          <w:rFonts w:hint="eastAsia"/>
        </w:rPr>
        <w:t>的两段式煤气发生炉，最大煤气产量</w:t>
      </w:r>
      <w:r>
        <w:t>34000m</w:t>
      </w:r>
      <w:r>
        <w:rPr>
          <w:vertAlign w:val="superscript"/>
        </w:rPr>
        <w:t>3</w:t>
      </w:r>
      <w:r>
        <w:t>/h</w:t>
      </w:r>
      <w:r>
        <w:rPr>
          <w:rFonts w:hint="eastAsia"/>
        </w:rPr>
        <w:t>。配套</w:t>
      </w:r>
      <w:r>
        <w:t>6MW</w:t>
      </w:r>
      <w:r>
        <w:rPr>
          <w:rFonts w:hint="eastAsia"/>
        </w:rPr>
        <w:t>烟气余热发电系统；</w:t>
      </w:r>
      <w:r>
        <w:t>220kV</w:t>
      </w:r>
      <w:r>
        <w:rPr>
          <w:rFonts w:hint="eastAsia"/>
        </w:rPr>
        <w:t>变电站及生活行政区。</w:t>
      </w:r>
    </w:p>
    <w:p w14:paraId="70FFB766">
      <w:pPr>
        <w:ind w:firstLine="480"/>
        <w:rPr>
          <w:bCs/>
        </w:rPr>
      </w:pPr>
      <w:r>
        <w:rPr>
          <w:rFonts w:hint="eastAsia"/>
        </w:rPr>
        <w:t>二期项目正在建设中，</w:t>
      </w:r>
      <w:r>
        <w:rPr>
          <w:rFonts w:hint="eastAsia"/>
          <w:bCs/>
        </w:rPr>
        <w:t>现有工程的批复与实际建设内容对比，见表</w:t>
      </w:r>
      <w:r>
        <w:rPr>
          <w:bCs/>
        </w:rPr>
        <w:t>2.1</w:t>
      </w:r>
      <w:r>
        <w:rPr>
          <w:rFonts w:hint="eastAsia"/>
          <w:bCs/>
        </w:rPr>
        <w:t>-3。</w:t>
      </w:r>
    </w:p>
    <w:p w14:paraId="1D2BC4B6">
      <w:pPr>
        <w:pStyle w:val="5"/>
      </w:pPr>
      <w:r>
        <w:rPr>
          <w:rFonts w:hint="eastAsia"/>
        </w:rPr>
        <w:t>环评批复落实情况</w:t>
      </w:r>
    </w:p>
    <w:p w14:paraId="332628F3">
      <w:pPr>
        <w:ind w:firstLine="480"/>
      </w:pPr>
      <w:r>
        <w:rPr>
          <w:rFonts w:hint="eastAsia"/>
        </w:rPr>
        <w:t>原环评批复落实情况，见表</w:t>
      </w:r>
      <w:r>
        <w:t>2.1</w:t>
      </w:r>
      <w:r>
        <w:rPr>
          <w:rFonts w:hint="eastAsia"/>
        </w:rPr>
        <w:t>-4。</w:t>
      </w:r>
    </w:p>
    <w:p w14:paraId="59FDB9E8">
      <w:pPr>
        <w:ind w:firstLine="480"/>
      </w:pPr>
      <w:r>
        <w:rPr>
          <w:rFonts w:hint="eastAsia"/>
        </w:rPr>
        <w:t>根据对比分析，现有工程基本落实环评批复的各项要求。</w:t>
      </w:r>
    </w:p>
    <w:p w14:paraId="75D1EBFE">
      <w:pPr>
        <w:pStyle w:val="5"/>
      </w:pPr>
      <w:r>
        <w:rPr>
          <w:rFonts w:hint="eastAsia"/>
        </w:rPr>
        <w:t>项目验收情况</w:t>
      </w:r>
    </w:p>
    <w:p w14:paraId="11577300">
      <w:pPr>
        <w:pStyle w:val="117"/>
        <w:ind w:firstLine="480"/>
      </w:pPr>
      <w:r>
        <w:t>2016</w:t>
      </w:r>
      <w:r>
        <w:rPr>
          <w:rFonts w:hint="eastAsia"/>
        </w:rPr>
        <w:t>年</w:t>
      </w:r>
      <w:r>
        <w:t>9</w:t>
      </w:r>
      <w:r>
        <w:rPr>
          <w:rFonts w:hint="eastAsia"/>
        </w:rPr>
        <w:t>月</w:t>
      </w:r>
      <w:r>
        <w:t>19</w:t>
      </w:r>
      <w:r>
        <w:rPr>
          <w:rFonts w:hint="eastAsia"/>
        </w:rPr>
        <w:t>日，新疆维吾尔自治区环境保护厅以《</w:t>
      </w:r>
      <w:r>
        <w:rPr>
          <w:rFonts w:hint="eastAsia"/>
          <w:color w:val="000000"/>
        </w:rPr>
        <w:t>关于新疆金盛镁业有限公司镁合金产业循环经济建设项目（一期）环境影响报告书变更有关事宜的复函</w:t>
      </w:r>
      <w:r>
        <w:rPr>
          <w:rFonts w:hint="eastAsia"/>
        </w:rPr>
        <w:t>》（新环函〔</w:t>
      </w:r>
      <w:r>
        <w:t>2016</w:t>
      </w:r>
      <w:r>
        <w:rPr>
          <w:rFonts w:hint="eastAsia"/>
        </w:rPr>
        <w:t>〕</w:t>
      </w:r>
      <w:r>
        <w:t>1322</w:t>
      </w:r>
      <w:r>
        <w:rPr>
          <w:rFonts w:hint="eastAsia"/>
        </w:rPr>
        <w:t>号），同意</w:t>
      </w:r>
      <w:r>
        <w:rPr>
          <w:rFonts w:hint="eastAsia"/>
          <w:color w:val="000000"/>
        </w:rPr>
        <w:t>新疆金盛镁业</w:t>
      </w:r>
      <w:r>
        <w:rPr>
          <w:rFonts w:hint="eastAsia"/>
        </w:rPr>
        <w:t>有限公司在兰炭生产线停产时，使用新建的</w:t>
      </w:r>
      <w:r>
        <w:t>4</w:t>
      </w:r>
      <w:r>
        <w:rPr>
          <w:rFonts w:hint="eastAsia"/>
        </w:rPr>
        <w:t>台直径</w:t>
      </w:r>
      <w:r>
        <w:t>3.6</w:t>
      </w:r>
      <w:r>
        <w:rPr>
          <w:rFonts w:hint="eastAsia"/>
        </w:rPr>
        <w:t>米的两段式煤气发生炉为镁及镁合金生产线供应燃料气。</w:t>
      </w:r>
      <w:r>
        <w:t xml:space="preserve"> </w:t>
      </w:r>
    </w:p>
    <w:p w14:paraId="62E38710">
      <w:pPr>
        <w:ind w:firstLine="480"/>
      </w:pPr>
      <w:r>
        <w:t>2017</w:t>
      </w:r>
      <w:r>
        <w:rPr>
          <w:rFonts w:hint="eastAsia"/>
        </w:rPr>
        <w:t>年</w:t>
      </w:r>
      <w:r>
        <w:t>10</w:t>
      </w:r>
      <w:r>
        <w:rPr>
          <w:rFonts w:hint="eastAsia"/>
        </w:rPr>
        <w:t>月</w:t>
      </w:r>
      <w:r>
        <w:t>26</w:t>
      </w:r>
      <w:r>
        <w:rPr>
          <w:rFonts w:hint="eastAsia"/>
        </w:rPr>
        <w:t>日，新建金盛镁业有限公司邀请监理单位、验收监测报告编制单位、环保设施设计单位、环保设施施工单位及行业技术专家对一期工程内容进行竣工环境保护自主验收，验收范围包括2</w:t>
      </w:r>
      <w:r>
        <w:t>.5</w:t>
      </w:r>
      <w:r>
        <w:rPr>
          <w:rFonts w:hint="eastAsia"/>
        </w:rPr>
        <w:t>万</w:t>
      </w:r>
      <w:r>
        <w:t>t/a</w:t>
      </w:r>
      <w:r>
        <w:rPr>
          <w:rFonts w:hint="eastAsia"/>
        </w:rPr>
        <w:t>镁及镁合金生产线、</w:t>
      </w:r>
      <w:r>
        <w:t>34000m</w:t>
      </w:r>
      <w:r>
        <w:rPr>
          <w:vertAlign w:val="superscript"/>
        </w:rPr>
        <w:t>3</w:t>
      </w:r>
      <w:r>
        <w:t>/h</w:t>
      </w:r>
      <w:r>
        <w:rPr>
          <w:rFonts w:hint="eastAsia"/>
        </w:rPr>
        <w:t>煤气发生炉生产线、</w:t>
      </w:r>
      <w:r>
        <w:t>5</w:t>
      </w:r>
      <w:r>
        <w:rPr>
          <w:rFonts w:hint="eastAsia"/>
        </w:rPr>
        <w:t>万</w:t>
      </w:r>
      <w:r>
        <w:t>t/a</w:t>
      </w:r>
      <w:r>
        <w:rPr>
          <w:rFonts w:hint="eastAsia"/>
        </w:rPr>
        <w:t>硅铁生产线、兰炭生产线、辅助工程、公用工程。</w:t>
      </w:r>
      <w:r>
        <w:t xml:space="preserve"> </w:t>
      </w:r>
    </w:p>
    <w:p w14:paraId="4DC15644">
      <w:pPr>
        <w:ind w:firstLine="480"/>
        <w:sectPr>
          <w:pgSz w:w="11906" w:h="16838"/>
          <w:pgMar w:top="1440" w:right="1800" w:bottom="1440" w:left="1800" w:header="850" w:footer="850" w:gutter="0"/>
          <w:cols w:space="720" w:num="1"/>
          <w:docGrid w:type="lines" w:linePitch="326" w:charSpace="0"/>
        </w:sectPr>
      </w:pPr>
      <w:r>
        <w:t>2017</w:t>
      </w:r>
      <w:r>
        <w:rPr>
          <w:rFonts w:hint="eastAsia"/>
        </w:rPr>
        <w:t>年</w:t>
      </w:r>
      <w:r>
        <w:t>10</w:t>
      </w:r>
      <w:r>
        <w:rPr>
          <w:rFonts w:hint="eastAsia"/>
        </w:rPr>
        <w:t>月</w:t>
      </w:r>
      <w:r>
        <w:t>26</w:t>
      </w:r>
      <w:r>
        <w:rPr>
          <w:rFonts w:hint="eastAsia"/>
        </w:rPr>
        <w:t>日，出具《关于新疆金盛镁业有限公司镁合金产业循环经济建设项目（一期）竣工环保验收结论》：新疆金盛镁业有限公司镁合金产业循环经济建设项目基本落实了“三同时”及环评、审批文件中规定的污染处理措施，同意通过环境保护竣工验收。</w:t>
      </w:r>
    </w:p>
    <w:p w14:paraId="780E1B4F">
      <w:pPr>
        <w:pStyle w:val="118"/>
        <w:ind w:firstLine="480"/>
      </w:pPr>
      <w:r>
        <w:rPr>
          <w:rFonts w:hint="eastAsia"/>
        </w:rPr>
        <w:t>表</w:t>
      </w:r>
      <w:r>
        <w:t>2.1</w:t>
      </w:r>
      <w:r>
        <w:rPr>
          <w:rFonts w:hint="eastAsia"/>
        </w:rPr>
        <w:t>-3</w:t>
      </w:r>
      <w:r>
        <w:t xml:space="preserve">  </w:t>
      </w:r>
      <w:bookmarkStart w:id="192" w:name="OLE_LINK4"/>
      <w:r>
        <w:rPr>
          <w:rFonts w:hint="eastAsia"/>
        </w:rPr>
        <w:t>现有工程的批复与实际建设内容对比一览表</w:t>
      </w:r>
      <w:bookmarkEnd w:id="192"/>
    </w:p>
    <w:tbl>
      <w:tblPr>
        <w:tblStyle w:val="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14"/>
        <w:gridCol w:w="3969"/>
        <w:gridCol w:w="6662"/>
        <w:gridCol w:w="2160"/>
      </w:tblGrid>
      <w:tr w14:paraId="02D9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1" w:type="pct"/>
            <w:tcBorders>
              <w:top w:val="single" w:color="auto" w:sz="4" w:space="0"/>
              <w:left w:val="single" w:color="auto" w:sz="4" w:space="0"/>
              <w:bottom w:val="single" w:color="auto" w:sz="4" w:space="0"/>
              <w:right w:val="single" w:color="auto" w:sz="4" w:space="0"/>
            </w:tcBorders>
            <w:vAlign w:val="center"/>
          </w:tcPr>
          <w:p w14:paraId="503A8DEC">
            <w:pPr>
              <w:pStyle w:val="133"/>
              <w:rPr>
                <w:b/>
                <w:bCs/>
              </w:rPr>
            </w:pPr>
            <w:bookmarkStart w:id="193" w:name="_Hlk204449875"/>
            <w:r>
              <w:rPr>
                <w:rFonts w:hint="eastAsia"/>
                <w:b/>
                <w:bCs/>
              </w:rPr>
              <w:t>工程分期</w:t>
            </w:r>
          </w:p>
        </w:tc>
        <w:tc>
          <w:tcPr>
            <w:tcW w:w="287" w:type="pct"/>
            <w:tcBorders>
              <w:top w:val="single" w:color="auto" w:sz="4" w:space="0"/>
              <w:left w:val="single" w:color="auto" w:sz="4" w:space="0"/>
              <w:bottom w:val="single" w:color="auto" w:sz="4" w:space="0"/>
              <w:right w:val="single" w:color="auto" w:sz="4" w:space="0"/>
            </w:tcBorders>
            <w:vAlign w:val="center"/>
          </w:tcPr>
          <w:p w14:paraId="71638A0C">
            <w:pPr>
              <w:pStyle w:val="133"/>
              <w:rPr>
                <w:b/>
                <w:bCs/>
              </w:rPr>
            </w:pPr>
            <w:r>
              <w:rPr>
                <w:rFonts w:hint="eastAsia"/>
                <w:b/>
                <w:bCs/>
              </w:rPr>
              <w:t>工程内容</w:t>
            </w:r>
          </w:p>
        </w:tc>
        <w:tc>
          <w:tcPr>
            <w:tcW w:w="1400" w:type="pct"/>
            <w:tcBorders>
              <w:top w:val="single" w:color="auto" w:sz="4" w:space="0"/>
              <w:left w:val="single" w:color="auto" w:sz="4" w:space="0"/>
              <w:bottom w:val="single" w:color="auto" w:sz="4" w:space="0"/>
              <w:right w:val="single" w:color="auto" w:sz="4" w:space="0"/>
            </w:tcBorders>
            <w:vAlign w:val="center"/>
          </w:tcPr>
          <w:p w14:paraId="12B3DD1B">
            <w:pPr>
              <w:pStyle w:val="133"/>
              <w:rPr>
                <w:b/>
                <w:bCs/>
              </w:rPr>
            </w:pPr>
            <w:r>
              <w:rPr>
                <w:rFonts w:hint="eastAsia"/>
                <w:b/>
                <w:bCs/>
              </w:rPr>
              <w:t>批复情况</w:t>
            </w:r>
          </w:p>
        </w:tc>
        <w:tc>
          <w:tcPr>
            <w:tcW w:w="2350" w:type="pct"/>
            <w:tcBorders>
              <w:top w:val="single" w:color="auto" w:sz="4" w:space="0"/>
              <w:left w:val="single" w:color="auto" w:sz="4" w:space="0"/>
              <w:bottom w:val="single" w:color="auto" w:sz="4" w:space="0"/>
              <w:right w:val="single" w:color="auto" w:sz="4" w:space="0"/>
            </w:tcBorders>
            <w:vAlign w:val="center"/>
          </w:tcPr>
          <w:p w14:paraId="19361A45">
            <w:pPr>
              <w:pStyle w:val="133"/>
              <w:rPr>
                <w:b/>
                <w:bCs/>
              </w:rPr>
            </w:pPr>
            <w:r>
              <w:rPr>
                <w:rFonts w:hint="eastAsia"/>
                <w:b/>
                <w:bCs/>
              </w:rPr>
              <w:t>实际建设</w:t>
            </w:r>
          </w:p>
        </w:tc>
        <w:tc>
          <w:tcPr>
            <w:tcW w:w="762" w:type="pct"/>
            <w:tcBorders>
              <w:top w:val="single" w:color="auto" w:sz="4" w:space="0"/>
              <w:left w:val="single" w:color="auto" w:sz="4" w:space="0"/>
              <w:bottom w:val="single" w:color="auto" w:sz="4" w:space="0"/>
              <w:right w:val="single" w:color="auto" w:sz="4" w:space="0"/>
            </w:tcBorders>
            <w:vAlign w:val="center"/>
          </w:tcPr>
          <w:p w14:paraId="4B9A8B27">
            <w:pPr>
              <w:pStyle w:val="133"/>
              <w:rPr>
                <w:b/>
                <w:bCs/>
              </w:rPr>
            </w:pPr>
            <w:r>
              <w:rPr>
                <w:rFonts w:hint="eastAsia"/>
                <w:b/>
                <w:bCs/>
              </w:rPr>
              <w:t>变动情况</w:t>
            </w:r>
          </w:p>
          <w:bookmarkEnd w:id="193"/>
        </w:tc>
      </w:tr>
      <w:tr w14:paraId="640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 w:type="pct"/>
            <w:vMerge w:val="restart"/>
            <w:tcBorders>
              <w:top w:val="single" w:color="auto" w:sz="4" w:space="0"/>
              <w:left w:val="single" w:color="auto" w:sz="4" w:space="0"/>
              <w:bottom w:val="single" w:color="auto" w:sz="4" w:space="0"/>
              <w:right w:val="single" w:color="auto" w:sz="4" w:space="0"/>
            </w:tcBorders>
            <w:vAlign w:val="center"/>
          </w:tcPr>
          <w:p w14:paraId="626A9DB0">
            <w:pPr>
              <w:pStyle w:val="133"/>
            </w:pPr>
            <w:r>
              <w:rPr>
                <w:rFonts w:hint="eastAsia"/>
              </w:rPr>
              <w:t>一期工程</w:t>
            </w:r>
          </w:p>
        </w:tc>
        <w:tc>
          <w:tcPr>
            <w:tcW w:w="287" w:type="pct"/>
            <w:tcBorders>
              <w:top w:val="single" w:color="auto" w:sz="4" w:space="0"/>
              <w:left w:val="single" w:color="auto" w:sz="4" w:space="0"/>
              <w:bottom w:val="single" w:color="auto" w:sz="4" w:space="0"/>
              <w:right w:val="single" w:color="auto" w:sz="4" w:space="0"/>
            </w:tcBorders>
            <w:vAlign w:val="center"/>
          </w:tcPr>
          <w:p w14:paraId="2F3059DC">
            <w:pPr>
              <w:pStyle w:val="133"/>
            </w:pPr>
            <w:r>
              <w:rPr>
                <w:rFonts w:hint="eastAsia"/>
              </w:rPr>
              <w:t>生产规模</w:t>
            </w:r>
          </w:p>
        </w:tc>
        <w:tc>
          <w:tcPr>
            <w:tcW w:w="1400" w:type="pct"/>
            <w:tcBorders>
              <w:top w:val="single" w:color="auto" w:sz="4" w:space="0"/>
              <w:left w:val="single" w:color="auto" w:sz="4" w:space="0"/>
              <w:bottom w:val="single" w:color="auto" w:sz="4" w:space="0"/>
              <w:right w:val="single" w:color="auto" w:sz="4" w:space="0"/>
            </w:tcBorders>
            <w:vAlign w:val="center"/>
          </w:tcPr>
          <w:p w14:paraId="6CF40D22">
            <w:pPr>
              <w:pStyle w:val="133"/>
            </w:pPr>
            <w:r>
              <w:t>5</w:t>
            </w:r>
            <w:r>
              <w:rPr>
                <w:rFonts w:hint="eastAsia"/>
              </w:rPr>
              <w:t>万</w:t>
            </w:r>
            <w:r>
              <w:t>t/a</w:t>
            </w:r>
            <w:r>
              <w:rPr>
                <w:rFonts w:hint="eastAsia"/>
              </w:rPr>
              <w:t>镁及镁合金生产线、</w:t>
            </w:r>
            <w:r>
              <w:t>5</w:t>
            </w:r>
            <w:r>
              <w:rPr>
                <w:rFonts w:hint="eastAsia"/>
              </w:rPr>
              <w:t>万</w:t>
            </w:r>
            <w:r>
              <w:t>t/a</w:t>
            </w:r>
            <w:r>
              <w:rPr>
                <w:rFonts w:hint="eastAsia"/>
              </w:rPr>
              <w:t>硅铁生产线、</w:t>
            </w:r>
            <w:r>
              <w:t>60</w:t>
            </w:r>
            <w:r>
              <w:rPr>
                <w:rFonts w:hint="eastAsia"/>
              </w:rPr>
              <w:t>万</w:t>
            </w:r>
            <w:r>
              <w:t>t/a</w:t>
            </w:r>
            <w:r>
              <w:rPr>
                <w:rFonts w:hint="eastAsia"/>
              </w:rPr>
              <w:t>兰炭生产线（</w:t>
            </w:r>
            <w:r>
              <w:t>8</w:t>
            </w:r>
            <w:r>
              <w:rPr>
                <w:rFonts w:hint="eastAsia"/>
              </w:rPr>
              <w:t>座</w:t>
            </w:r>
            <w:r>
              <w:t>7.5</w:t>
            </w:r>
            <w:r>
              <w:rPr>
                <w:rFonts w:hint="eastAsia"/>
              </w:rPr>
              <w:t>万吨</w:t>
            </w:r>
            <w:r>
              <w:t>/</w:t>
            </w:r>
            <w:r>
              <w:rPr>
                <w:rFonts w:hint="eastAsia"/>
              </w:rPr>
              <w:t>年直立炭化炉）</w:t>
            </w:r>
          </w:p>
        </w:tc>
        <w:tc>
          <w:tcPr>
            <w:tcW w:w="2350" w:type="pct"/>
            <w:tcBorders>
              <w:top w:val="single" w:color="auto" w:sz="4" w:space="0"/>
              <w:left w:val="single" w:color="auto" w:sz="4" w:space="0"/>
              <w:bottom w:val="single" w:color="auto" w:sz="4" w:space="0"/>
              <w:right w:val="single" w:color="auto" w:sz="4" w:space="0"/>
            </w:tcBorders>
            <w:vAlign w:val="center"/>
          </w:tcPr>
          <w:p w14:paraId="69A8C4BD">
            <w:pPr>
              <w:pStyle w:val="133"/>
            </w:pPr>
            <w:r>
              <w:t>2.5</w:t>
            </w:r>
            <w:r>
              <w:rPr>
                <w:rFonts w:hint="eastAsia"/>
              </w:rPr>
              <w:t>万</w:t>
            </w:r>
            <w:r>
              <w:t>t/a</w:t>
            </w:r>
            <w:r>
              <w:rPr>
                <w:rFonts w:hint="eastAsia"/>
              </w:rPr>
              <w:t>镁及镁合金生产线、</w:t>
            </w:r>
            <w:r>
              <w:t>5</w:t>
            </w:r>
            <w:r>
              <w:rPr>
                <w:rFonts w:hint="eastAsia"/>
              </w:rPr>
              <w:t>万</w:t>
            </w:r>
            <w:r>
              <w:t>t/a</w:t>
            </w:r>
            <w:r>
              <w:rPr>
                <w:rFonts w:hint="eastAsia"/>
              </w:rPr>
              <w:t>硅铁生产线、</w:t>
            </w:r>
            <w:r>
              <w:t>30</w:t>
            </w:r>
            <w:r>
              <w:rPr>
                <w:rFonts w:hint="eastAsia"/>
              </w:rPr>
              <w:t>万</w:t>
            </w:r>
            <w:r>
              <w:t>t/a</w:t>
            </w:r>
            <w:r>
              <w:rPr>
                <w:rFonts w:hint="eastAsia"/>
              </w:rPr>
              <w:t>兰炭生产线（</w:t>
            </w:r>
            <w:r>
              <w:t>4</w:t>
            </w:r>
            <w:r>
              <w:rPr>
                <w:rFonts w:hint="eastAsia"/>
              </w:rPr>
              <w:t>座</w:t>
            </w:r>
            <w:r>
              <w:t>7.5</w:t>
            </w:r>
            <w:r>
              <w:rPr>
                <w:rFonts w:hint="eastAsia"/>
              </w:rPr>
              <w:t>万吨</w:t>
            </w:r>
            <w:r>
              <w:t>/</w:t>
            </w:r>
            <w:r>
              <w:rPr>
                <w:rFonts w:hint="eastAsia"/>
              </w:rPr>
              <w:t>年直立炭化炉）</w:t>
            </w:r>
          </w:p>
        </w:tc>
        <w:tc>
          <w:tcPr>
            <w:tcW w:w="762" w:type="pct"/>
            <w:tcBorders>
              <w:top w:val="single" w:color="auto" w:sz="4" w:space="0"/>
              <w:left w:val="single" w:color="auto" w:sz="4" w:space="0"/>
              <w:bottom w:val="single" w:color="auto" w:sz="4" w:space="0"/>
              <w:right w:val="single" w:color="auto" w:sz="4" w:space="0"/>
            </w:tcBorders>
            <w:vAlign w:val="center"/>
          </w:tcPr>
          <w:p w14:paraId="0A907C60">
            <w:pPr>
              <w:pStyle w:val="133"/>
            </w:pPr>
            <w:r>
              <w:rPr>
                <w:rFonts w:hint="eastAsia"/>
              </w:rPr>
              <w:t>二期未建</w:t>
            </w:r>
          </w:p>
        </w:tc>
      </w:tr>
      <w:tr w14:paraId="1856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640B0B3">
            <w:pPr>
              <w:pStyle w:val="133"/>
            </w:pPr>
          </w:p>
        </w:tc>
        <w:tc>
          <w:tcPr>
            <w:tcW w:w="287" w:type="pct"/>
            <w:tcBorders>
              <w:top w:val="single" w:color="auto" w:sz="4" w:space="0"/>
              <w:left w:val="single" w:color="auto" w:sz="4" w:space="0"/>
              <w:right w:val="single" w:color="auto" w:sz="4" w:space="0"/>
            </w:tcBorders>
            <w:vAlign w:val="center"/>
          </w:tcPr>
          <w:p w14:paraId="2AC7A988">
            <w:pPr>
              <w:pStyle w:val="133"/>
              <w:rPr>
                <w:highlight w:val="yellow"/>
              </w:rPr>
            </w:pPr>
            <w:r>
              <w:rPr>
                <w:rFonts w:hint="eastAsia"/>
              </w:rPr>
              <w:t>产品方案</w:t>
            </w:r>
          </w:p>
        </w:tc>
        <w:tc>
          <w:tcPr>
            <w:tcW w:w="1400" w:type="pct"/>
            <w:tcBorders>
              <w:top w:val="single" w:color="auto" w:sz="4" w:space="0"/>
              <w:left w:val="single" w:color="auto" w:sz="4" w:space="0"/>
              <w:right w:val="single" w:color="auto" w:sz="4" w:space="0"/>
            </w:tcBorders>
            <w:vAlign w:val="center"/>
          </w:tcPr>
          <w:p w14:paraId="48BF8C77">
            <w:pPr>
              <w:pStyle w:val="133"/>
              <w:rPr>
                <w:highlight w:val="yellow"/>
              </w:rPr>
            </w:pPr>
            <w:r>
              <w:rPr>
                <w:rFonts w:hint="eastAsia"/>
              </w:rPr>
              <w:t>镁锭</w:t>
            </w:r>
            <w:r>
              <w:t>7189t/a</w:t>
            </w:r>
            <w:r>
              <w:rPr>
                <w:rFonts w:hint="eastAsia"/>
              </w:rPr>
              <w:t>、镁合金</w:t>
            </w:r>
            <w:r>
              <w:t>43014t/a</w:t>
            </w:r>
            <w:r>
              <w:rPr>
                <w:rFonts w:hint="eastAsia"/>
              </w:rPr>
              <w:t>、兰炭</w:t>
            </w:r>
            <w:r>
              <w:t xml:space="preserve">60 </w:t>
            </w:r>
            <w:r>
              <w:rPr>
                <w:rFonts w:hint="eastAsia"/>
              </w:rPr>
              <w:t>万</w:t>
            </w:r>
            <w:r>
              <w:t xml:space="preserve">t/a </w:t>
            </w:r>
            <w:r>
              <w:rPr>
                <w:rFonts w:hint="eastAsia"/>
              </w:rPr>
              <w:t>、煤焦油</w:t>
            </w:r>
            <w:r>
              <w:t>35000 t/a</w:t>
            </w:r>
            <w:r>
              <w:rPr>
                <w:rFonts w:hint="eastAsia"/>
              </w:rPr>
              <w:t>、碎煤</w:t>
            </w:r>
            <w:r>
              <w:t>91345t/a</w:t>
            </w:r>
            <w:r>
              <w:rPr>
                <w:rFonts w:hint="eastAsia"/>
              </w:rPr>
              <w:t>、硅铁</w:t>
            </w:r>
            <w:r>
              <w:t>5</w:t>
            </w:r>
            <w:r>
              <w:rPr>
                <w:rFonts w:hint="eastAsia"/>
              </w:rPr>
              <w:t>万</w:t>
            </w:r>
            <w:r>
              <w:t>t/a</w:t>
            </w:r>
            <w:r>
              <w:rPr>
                <w:rFonts w:hint="eastAsia"/>
              </w:rPr>
              <w:t>、硅微粉</w:t>
            </w:r>
            <w:r>
              <w:t>7425t/a</w:t>
            </w:r>
            <w:r>
              <w:rPr>
                <w:rFonts w:hint="eastAsia"/>
              </w:rPr>
              <w:t>。</w:t>
            </w:r>
          </w:p>
        </w:tc>
        <w:tc>
          <w:tcPr>
            <w:tcW w:w="2350" w:type="pct"/>
            <w:tcBorders>
              <w:top w:val="single" w:color="auto" w:sz="4" w:space="0"/>
              <w:left w:val="single" w:color="auto" w:sz="4" w:space="0"/>
              <w:right w:val="single" w:color="auto" w:sz="4" w:space="0"/>
            </w:tcBorders>
            <w:vAlign w:val="center"/>
          </w:tcPr>
          <w:p w14:paraId="777C84B3">
            <w:pPr>
              <w:pStyle w:val="133"/>
            </w:pPr>
            <w:r>
              <w:rPr>
                <w:rFonts w:hint="eastAsia"/>
              </w:rPr>
              <w:t>镁及镁合金生产线生产镁锭25000</w:t>
            </w:r>
            <w:r>
              <w:t>t/a</w:t>
            </w:r>
            <w:r>
              <w:rPr>
                <w:rFonts w:hint="eastAsia"/>
              </w:rPr>
              <w:t>、兰炭生产线生产兰炭300000</w:t>
            </w:r>
            <w:r>
              <w:t xml:space="preserve">t/a </w:t>
            </w:r>
            <w:r>
              <w:rPr>
                <w:rFonts w:hint="eastAsia"/>
              </w:rPr>
              <w:t>、硅铁生产线生产硅铁50000</w:t>
            </w:r>
            <w:r>
              <w:t>t/a</w:t>
            </w:r>
            <w:r>
              <w:rPr>
                <w:rFonts w:hint="eastAsia"/>
              </w:rPr>
              <w:t>、硅微粉</w:t>
            </w:r>
            <w:r>
              <w:t>7213.42t/a</w:t>
            </w:r>
            <w:r>
              <w:rPr>
                <w:rFonts w:hint="eastAsia"/>
              </w:rPr>
              <w:t>。</w:t>
            </w:r>
          </w:p>
        </w:tc>
        <w:tc>
          <w:tcPr>
            <w:tcW w:w="762" w:type="pct"/>
            <w:tcBorders>
              <w:top w:val="single" w:color="auto" w:sz="4" w:space="0"/>
              <w:left w:val="single" w:color="auto" w:sz="4" w:space="0"/>
              <w:right w:val="single" w:color="auto" w:sz="4" w:space="0"/>
            </w:tcBorders>
            <w:vAlign w:val="center"/>
          </w:tcPr>
          <w:p w14:paraId="7EFBAE33">
            <w:pPr>
              <w:pStyle w:val="133"/>
            </w:pPr>
            <w:r>
              <w:t>/</w:t>
            </w:r>
          </w:p>
        </w:tc>
      </w:tr>
      <w:tr w14:paraId="3BA78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C441A9">
            <w:pPr>
              <w:pStyle w:val="133"/>
            </w:pPr>
          </w:p>
        </w:tc>
        <w:tc>
          <w:tcPr>
            <w:tcW w:w="287" w:type="pct"/>
            <w:tcBorders>
              <w:top w:val="single" w:color="auto" w:sz="4" w:space="0"/>
              <w:left w:val="single" w:color="auto" w:sz="4" w:space="0"/>
              <w:bottom w:val="single" w:color="auto" w:sz="4" w:space="0"/>
              <w:right w:val="single" w:color="auto" w:sz="4" w:space="0"/>
            </w:tcBorders>
            <w:vAlign w:val="center"/>
          </w:tcPr>
          <w:p w14:paraId="1F17DDCB">
            <w:pPr>
              <w:pStyle w:val="133"/>
            </w:pPr>
            <w:r>
              <w:rPr>
                <w:rFonts w:hint="eastAsia"/>
              </w:rPr>
              <w:t>环保措施</w:t>
            </w:r>
          </w:p>
        </w:tc>
        <w:tc>
          <w:tcPr>
            <w:tcW w:w="1400" w:type="pct"/>
            <w:tcBorders>
              <w:top w:val="single" w:color="auto" w:sz="4" w:space="0"/>
              <w:left w:val="single" w:color="auto" w:sz="4" w:space="0"/>
              <w:bottom w:val="single" w:color="auto" w:sz="4" w:space="0"/>
              <w:right w:val="single" w:color="auto" w:sz="4" w:space="0"/>
            </w:tcBorders>
            <w:vAlign w:val="center"/>
          </w:tcPr>
          <w:p w14:paraId="71A46FB6">
            <w:pPr>
              <w:pStyle w:val="133"/>
            </w:pPr>
            <w:r>
              <w:rPr>
                <w:rFonts w:hint="eastAsia"/>
              </w:rPr>
              <w:t>废气：镁及镁合金生产线配套脉冲袋式除尘器、碱液吸收装置；兰炭生产线配套脉冲袋式除尘器；硅铁合金生产线配套脉冲袋式除尘装置。</w:t>
            </w:r>
          </w:p>
          <w:p w14:paraId="4C5E9772">
            <w:pPr>
              <w:pStyle w:val="133"/>
            </w:pPr>
            <w:r>
              <w:rPr>
                <w:rFonts w:hint="eastAsia"/>
              </w:rPr>
              <w:t>废水：</w:t>
            </w:r>
            <w:r>
              <w:t xml:space="preserve">1 </w:t>
            </w:r>
            <w:r>
              <w:rPr>
                <w:rFonts w:hint="eastAsia"/>
              </w:rPr>
              <w:t>座沉淀池（</w:t>
            </w:r>
            <w:r>
              <w:t>10m</w:t>
            </w:r>
            <w:r>
              <w:rPr>
                <w:vertAlign w:val="superscript"/>
              </w:rPr>
              <w:t>3</w:t>
            </w:r>
            <w:r>
              <w:t>/d</w:t>
            </w:r>
            <w:r>
              <w:rPr>
                <w:rFonts w:hint="eastAsia"/>
              </w:rPr>
              <w:t>）用来处理酸性废气洗涤塔废水，废水经沉淀后回用；</w:t>
            </w:r>
            <w:r>
              <w:t xml:space="preserve">1 </w:t>
            </w:r>
            <w:r>
              <w:rPr>
                <w:rFonts w:hint="eastAsia"/>
              </w:rPr>
              <w:t>座沉淀池（</w:t>
            </w:r>
            <w:r>
              <w:t>2m</w:t>
            </w:r>
            <w:r>
              <w:rPr>
                <w:vertAlign w:val="superscript"/>
              </w:rPr>
              <w:t>3</w:t>
            </w:r>
            <w:r>
              <w:t>/d</w:t>
            </w:r>
            <w:r>
              <w:rPr>
                <w:rFonts w:hint="eastAsia"/>
              </w:rPr>
              <w:t>）用来处理精镁酸洗废水，废水经沉淀后回用，均不外排。</w:t>
            </w:r>
            <w:r>
              <w:t>1</w:t>
            </w:r>
            <w:r>
              <w:rPr>
                <w:rFonts w:hint="eastAsia"/>
              </w:rPr>
              <w:t>套</w:t>
            </w:r>
            <w:r>
              <w:t>220m</w:t>
            </w:r>
            <w:r>
              <w:rPr>
                <w:vertAlign w:val="superscript"/>
              </w:rPr>
              <w:t>3</w:t>
            </w:r>
            <w:r>
              <w:t>/d</w:t>
            </w:r>
            <w:r>
              <w:rPr>
                <w:rFonts w:hint="eastAsia"/>
              </w:rPr>
              <w:t>的生活污水处理装置。</w:t>
            </w:r>
            <w:r>
              <w:t>1</w:t>
            </w:r>
            <w:r>
              <w:rPr>
                <w:rFonts w:hint="eastAsia"/>
              </w:rPr>
              <w:t>座</w:t>
            </w:r>
            <w:r>
              <w:t>1500m</w:t>
            </w:r>
            <w:r>
              <w:rPr>
                <w:vertAlign w:val="superscript"/>
              </w:rPr>
              <w:t>3</w:t>
            </w:r>
            <w:r>
              <w:rPr>
                <w:rFonts w:hint="eastAsia"/>
              </w:rPr>
              <w:t>事故水池。污水预处理系统，</w:t>
            </w:r>
            <w:r>
              <w:t xml:space="preserve">1 </w:t>
            </w:r>
            <w:r>
              <w:rPr>
                <w:rFonts w:hint="eastAsia"/>
              </w:rPr>
              <w:t>座酚氰污水处理站</w:t>
            </w:r>
            <w:r>
              <w:t xml:space="preserve"> </w:t>
            </w:r>
            <w:r>
              <w:rPr>
                <w:rFonts w:hint="eastAsia"/>
              </w:rPr>
              <w:t>（</w:t>
            </w:r>
            <w:r>
              <w:t>500m</w:t>
            </w:r>
            <w:r>
              <w:rPr>
                <w:vertAlign w:val="superscript"/>
              </w:rPr>
              <w:t>3</w:t>
            </w:r>
            <w:r>
              <w:t>/d</w:t>
            </w:r>
            <w:r>
              <w:rPr>
                <w:rFonts w:hint="eastAsia"/>
              </w:rPr>
              <w:t>）；</w:t>
            </w:r>
            <w:r>
              <w:t>4000m</w:t>
            </w:r>
            <w:r>
              <w:rPr>
                <w:vertAlign w:val="superscript"/>
              </w:rPr>
              <w:t>3</w:t>
            </w:r>
            <w:r>
              <w:rPr>
                <w:rFonts w:hint="eastAsia"/>
              </w:rPr>
              <w:t>事故水池一座。</w:t>
            </w:r>
            <w:r>
              <w:t xml:space="preserve">                                                                                                                                                                                                                                                                                                                                                                                                                                                                                                                                                                                                                                                                                                                                                                                                                                                                                                                                                                                                                                                                                                                                                                                                                                                                                                                                                                                                                                                                                                                                                                                                                                                                                                                                                                                                                                                                                                                                                                                                                                                                                                                                                                                                                                                                                                                                                                                                                                                                                                                                                                                                                                                                                                                                                                                                                                                                                                                                                                                                                                                                                                                                                                                                                                                                                                                                                                                                                                                                                                                                                                                                                                                                                                                                                                                                                                                                                                                                                                                                                                                                                                                                                                                                                </w:t>
            </w:r>
            <w:r>
              <w:t xml:space="preserve">                                                                                                                                                                                                                                                                                                                                                                                                                                                                                                                                                                                                                                                                                                                                                                                                                                                                                                                                                                                                                                                                                                                                                                                                                                                                                                                                                                                                                                                                                                                                                                                                                                                                                                                                                                                                                                                                                                                                                                                                                                                                                                                                                                                                                                                                                                                                                                                                                                                                                                                                                                                                                                                                                                                                                                                                                                                                                                                                                                                                                                                                             </w:t>
            </w:r>
          </w:p>
          <w:p w14:paraId="63E4D3D8">
            <w:pPr>
              <w:pStyle w:val="133"/>
            </w:pPr>
            <w:r>
              <w:rPr>
                <w:rFonts w:hint="eastAsia"/>
              </w:rPr>
              <w:t>固废：</w:t>
            </w:r>
            <w:bookmarkStart w:id="194" w:name="OLE_LINK2"/>
            <w:r>
              <w:rPr>
                <w:rFonts w:hint="eastAsia"/>
              </w:rPr>
              <w:t>危险废物暂存</w:t>
            </w:r>
            <w:bookmarkEnd w:id="194"/>
            <w:r>
              <w:rPr>
                <w:rFonts w:hint="eastAsia"/>
              </w:rPr>
              <w:t>库房、一般固废堆场。</w:t>
            </w:r>
          </w:p>
        </w:tc>
        <w:tc>
          <w:tcPr>
            <w:tcW w:w="2350" w:type="pct"/>
            <w:tcBorders>
              <w:top w:val="single" w:color="auto" w:sz="4" w:space="0"/>
              <w:left w:val="single" w:color="auto" w:sz="4" w:space="0"/>
              <w:bottom w:val="single" w:color="auto" w:sz="4" w:space="0"/>
              <w:right w:val="single" w:color="auto" w:sz="4" w:space="0"/>
            </w:tcBorders>
            <w:vAlign w:val="center"/>
          </w:tcPr>
          <w:p w14:paraId="5C9FE0BB">
            <w:pPr>
              <w:pStyle w:val="133"/>
            </w:pPr>
            <w:r>
              <w:rPr>
                <w:rFonts w:hint="eastAsia"/>
              </w:rPr>
              <w:t>废气：镁及镁合金生产线配套脉冲袋式除尘器、碱液吸收装置处理设施。兰炭生产线配套脉冲袋式除尘器、集气罩</w:t>
            </w:r>
            <w:r>
              <w:t>+</w:t>
            </w:r>
            <w:r>
              <w:rPr>
                <w:rFonts w:hint="eastAsia"/>
              </w:rPr>
              <w:t>布袋除尘器、旋风</w:t>
            </w:r>
            <w:r>
              <w:t>+</w:t>
            </w:r>
            <w:r>
              <w:rPr>
                <w:rFonts w:hint="eastAsia"/>
              </w:rPr>
              <w:t>袋式除尘器等处理措施，煤棚、焦棚采用封闭结构、定期洒水等处理措施。硅铁合金生产线配套脉冲袋式除尘装置、旋风</w:t>
            </w:r>
            <w:r>
              <w:t>+</w:t>
            </w:r>
            <w:r>
              <w:rPr>
                <w:rFonts w:hint="eastAsia"/>
              </w:rPr>
              <w:t>脉冲袋式除尘器等处理措施。</w:t>
            </w:r>
          </w:p>
          <w:p w14:paraId="7C7D48E9">
            <w:pPr>
              <w:pStyle w:val="133"/>
            </w:pPr>
            <w:r>
              <w:rPr>
                <w:rFonts w:hint="eastAsia"/>
              </w:rPr>
              <w:t>废水：</w:t>
            </w:r>
            <w:r>
              <w:t>1</w:t>
            </w:r>
            <w:r>
              <w:rPr>
                <w:rFonts w:hint="eastAsia"/>
              </w:rPr>
              <w:t>套</w:t>
            </w:r>
            <w:r>
              <w:t>240m</w:t>
            </w:r>
            <w:r>
              <w:rPr>
                <w:rFonts w:hint="eastAsia"/>
              </w:rPr>
              <w:t>³</w:t>
            </w:r>
            <w:r>
              <w:t>/d</w:t>
            </w:r>
            <w:r>
              <w:rPr>
                <w:rFonts w:hint="eastAsia"/>
              </w:rPr>
              <w:t>酚氰废水预处理设施（</w:t>
            </w:r>
            <w:r>
              <w:t>&lt;</w:t>
            </w:r>
            <w:r>
              <w:rPr>
                <w:rFonts w:hint="eastAsia"/>
              </w:rPr>
              <w:t>混凝压滤</w:t>
            </w:r>
            <w:r>
              <w:t>+</w:t>
            </w:r>
            <w:r>
              <w:rPr>
                <w:rFonts w:hint="eastAsia"/>
              </w:rPr>
              <w:t>萃取</w:t>
            </w:r>
            <w:r>
              <w:t>+</w:t>
            </w:r>
            <w:r>
              <w:rPr>
                <w:rFonts w:hint="eastAsia"/>
              </w:rPr>
              <w:t>蒸氨</w:t>
            </w:r>
            <w:r>
              <w:t>&gt;</w:t>
            </w:r>
            <w:r>
              <w:rPr>
                <w:rFonts w:hint="eastAsia"/>
              </w:rPr>
              <w:t>预处理</w:t>
            </w:r>
            <w:r>
              <w:t>+</w:t>
            </w:r>
            <w:r>
              <w:rPr>
                <w:rFonts w:hint="eastAsia"/>
              </w:rPr>
              <w:t>生化</w:t>
            </w:r>
            <w:r>
              <w:t>+</w:t>
            </w:r>
            <w:r>
              <w:rPr>
                <w:rFonts w:hint="eastAsia"/>
              </w:rPr>
              <w:t>后处理</w:t>
            </w:r>
            <w:r>
              <w:t>&lt;</w:t>
            </w:r>
            <w:r>
              <w:rPr>
                <w:rFonts w:hint="eastAsia"/>
              </w:rPr>
              <w:t>高级氧化</w:t>
            </w:r>
            <w:r>
              <w:t>+</w:t>
            </w:r>
            <w:r>
              <w:rPr>
                <w:rFonts w:hint="eastAsia"/>
              </w:rPr>
              <w:t>沉淀</w:t>
            </w:r>
            <w:r>
              <w:t>&gt;</w:t>
            </w:r>
            <w:r>
              <w:rPr>
                <w:rFonts w:hint="eastAsia"/>
              </w:rPr>
              <w:t>处理），低负荷运行，出水处理后回用于熄焦。</w:t>
            </w:r>
            <w:r>
              <w:t>1</w:t>
            </w:r>
            <w:r>
              <w:rPr>
                <w:rFonts w:hint="eastAsia"/>
              </w:rPr>
              <w:t>座</w:t>
            </w:r>
            <w:r>
              <w:t>5m</w:t>
            </w:r>
            <w:r>
              <w:rPr>
                <w:vertAlign w:val="superscript"/>
              </w:rPr>
              <w:t>3</w:t>
            </w:r>
            <w:r>
              <w:t>/</w:t>
            </w:r>
            <w:r>
              <w:rPr>
                <w:rFonts w:hint="eastAsia"/>
              </w:rPr>
              <w:t>生产废水处理站，污水处理站处理工艺为“三级除油</w:t>
            </w:r>
            <w:r>
              <w:t>+</w:t>
            </w:r>
            <w:r>
              <w:rPr>
                <w:rFonts w:hint="eastAsia"/>
              </w:rPr>
              <w:t>高效复合脱氮塔”。</w:t>
            </w:r>
            <w:r>
              <w:t xml:space="preserve">1 </w:t>
            </w:r>
            <w:r>
              <w:rPr>
                <w:rFonts w:hint="eastAsia"/>
              </w:rPr>
              <w:t>座沉淀池（</w:t>
            </w:r>
            <w:r>
              <w:t>10m</w:t>
            </w:r>
            <w:r>
              <w:rPr>
                <w:vertAlign w:val="superscript"/>
              </w:rPr>
              <w:t>3</w:t>
            </w:r>
            <w:r>
              <w:t>/d</w:t>
            </w:r>
            <w:r>
              <w:rPr>
                <w:rFonts w:hint="eastAsia"/>
              </w:rPr>
              <w:t>）用来处理酸性废气洗涤塔废水，废水经沉淀后回用；</w:t>
            </w:r>
            <w:r>
              <w:t xml:space="preserve">1 </w:t>
            </w:r>
            <w:r>
              <w:rPr>
                <w:rFonts w:hint="eastAsia"/>
              </w:rPr>
              <w:t>座沉淀池（</w:t>
            </w:r>
            <w:r>
              <w:t>2m</w:t>
            </w:r>
            <w:r>
              <w:rPr>
                <w:vertAlign w:val="superscript"/>
              </w:rPr>
              <w:t>3</w:t>
            </w:r>
            <w:r>
              <w:t>/d</w:t>
            </w:r>
            <w:r>
              <w:rPr>
                <w:rFonts w:hint="eastAsia"/>
              </w:rPr>
              <w:t>）用来处理精镁酸洗废水，废水经沉淀后回用，均不外排。</w:t>
            </w:r>
            <w:r>
              <w:t>1</w:t>
            </w:r>
            <w:r>
              <w:rPr>
                <w:rFonts w:hint="eastAsia"/>
              </w:rPr>
              <w:t>套</w:t>
            </w:r>
            <w:r>
              <w:t>220m</w:t>
            </w:r>
            <w:r>
              <w:rPr>
                <w:vertAlign w:val="superscript"/>
              </w:rPr>
              <w:t>3</w:t>
            </w:r>
            <w:r>
              <w:t>/d</w:t>
            </w:r>
            <w:r>
              <w:rPr>
                <w:rFonts w:hint="eastAsia"/>
              </w:rPr>
              <w:t>的生活污水处理装置。</w:t>
            </w:r>
            <w:r>
              <w:t>1</w:t>
            </w:r>
            <w:r>
              <w:rPr>
                <w:rFonts w:hint="eastAsia"/>
              </w:rPr>
              <w:t>座</w:t>
            </w:r>
            <w:r>
              <w:t>1500m</w:t>
            </w:r>
            <w:r>
              <w:rPr>
                <w:vertAlign w:val="superscript"/>
              </w:rPr>
              <w:t>3</w:t>
            </w:r>
            <w:r>
              <w:rPr>
                <w:rFonts w:hint="eastAsia"/>
              </w:rPr>
              <w:t>事故水池。厂内地面分区防渗、设有围堰。</w:t>
            </w:r>
          </w:p>
          <w:p w14:paraId="6D6310D2">
            <w:pPr>
              <w:pStyle w:val="133"/>
            </w:pPr>
            <w:r>
              <w:rPr>
                <w:rFonts w:hint="eastAsia"/>
              </w:rPr>
              <w:t>固废：</w:t>
            </w:r>
            <w:r>
              <w:t>1</w:t>
            </w:r>
            <w:r>
              <w:rPr>
                <w:rFonts w:hint="eastAsia"/>
              </w:rPr>
              <w:t>座</w:t>
            </w:r>
            <w:r>
              <w:t>50m</w:t>
            </w:r>
            <w:r>
              <w:rPr>
                <w:vertAlign w:val="superscript"/>
              </w:rPr>
              <w:t>2</w:t>
            </w:r>
            <w:r>
              <w:rPr>
                <w:rFonts w:hint="eastAsia"/>
              </w:rPr>
              <w:t>危险废物暂存库间、</w:t>
            </w:r>
            <w:r>
              <w:t>1</w:t>
            </w:r>
            <w:r>
              <w:rPr>
                <w:rFonts w:hint="eastAsia"/>
              </w:rPr>
              <w:t>座</w:t>
            </w:r>
            <w:r>
              <w:t>10000m</w:t>
            </w:r>
            <w:r>
              <w:rPr>
                <w:vertAlign w:val="superscript"/>
              </w:rPr>
              <w:t>2</w:t>
            </w:r>
            <w:r>
              <w:rPr>
                <w:rFonts w:hint="eastAsia"/>
              </w:rPr>
              <w:t>一般固废堆场</w:t>
            </w:r>
          </w:p>
        </w:tc>
        <w:tc>
          <w:tcPr>
            <w:tcW w:w="762" w:type="pct"/>
            <w:tcBorders>
              <w:top w:val="single" w:color="auto" w:sz="4" w:space="0"/>
              <w:left w:val="single" w:color="auto" w:sz="4" w:space="0"/>
              <w:bottom w:val="single" w:color="auto" w:sz="4" w:space="0"/>
              <w:right w:val="single" w:color="auto" w:sz="4" w:space="0"/>
            </w:tcBorders>
            <w:vAlign w:val="center"/>
          </w:tcPr>
          <w:p w14:paraId="0C894400">
            <w:pPr>
              <w:pStyle w:val="133"/>
              <w:rPr>
                <w:szCs w:val="21"/>
              </w:rPr>
            </w:pPr>
            <w:r>
              <w:rPr>
                <w:rFonts w:hint="eastAsia"/>
                <w:szCs w:val="21"/>
              </w:rPr>
              <w:t>由于兰炭生产线只建设一期工程，酚氰废水规模减小，</w:t>
            </w:r>
            <w:r>
              <w:rPr>
                <w:szCs w:val="21"/>
              </w:rPr>
              <w:t>仅建设1座酚氰污水处理站（240m</w:t>
            </w:r>
            <w:r>
              <w:rPr>
                <w:szCs w:val="21"/>
                <w:vertAlign w:val="superscript"/>
              </w:rPr>
              <w:t>3</w:t>
            </w:r>
            <w:r>
              <w:rPr>
                <w:szCs w:val="21"/>
              </w:rPr>
              <w:t>/d），可以满足项目生产需求</w:t>
            </w:r>
            <w:r>
              <w:rPr>
                <w:rFonts w:hint="eastAsia"/>
                <w:szCs w:val="21"/>
              </w:rPr>
              <w:t>。</w:t>
            </w:r>
          </w:p>
          <w:p w14:paraId="09026349">
            <w:pPr>
              <w:pStyle w:val="133"/>
              <w:rPr>
                <w:szCs w:val="21"/>
              </w:rPr>
            </w:pPr>
            <w:r>
              <w:rPr>
                <w:rFonts w:hint="eastAsia"/>
                <w:szCs w:val="21"/>
              </w:rPr>
              <w:t>由于项目仅建设一期工</w:t>
            </w:r>
            <w:r>
              <w:rPr>
                <w:szCs w:val="21"/>
              </w:rPr>
              <w:t xml:space="preserve"> </w:t>
            </w:r>
            <w:r>
              <w:rPr>
                <w:rFonts w:hint="eastAsia"/>
                <w:szCs w:val="21"/>
              </w:rPr>
              <w:t>程，事故池较原环评有所减小，但可以满足企业事故状态下废水的收集。建设一座</w:t>
            </w:r>
            <w:r>
              <w:rPr>
                <w:szCs w:val="21"/>
              </w:rPr>
              <w:t>1500m</w:t>
            </w:r>
            <w:r>
              <w:rPr>
                <w:szCs w:val="21"/>
                <w:vertAlign w:val="superscript"/>
              </w:rPr>
              <w:t>3</w:t>
            </w:r>
            <w:r>
              <w:rPr>
                <w:rFonts w:hint="eastAsia"/>
                <w:szCs w:val="21"/>
              </w:rPr>
              <w:t>事故水池。</w:t>
            </w:r>
          </w:p>
        </w:tc>
      </w:tr>
    </w:tbl>
    <w:p w14:paraId="2CED05A1">
      <w:pPr>
        <w:pStyle w:val="118"/>
        <w:ind w:firstLine="480"/>
      </w:pPr>
      <w:bookmarkStart w:id="195" w:name="_Hlk177586784"/>
      <w:r>
        <w:rPr>
          <w:rFonts w:hint="eastAsia"/>
        </w:rPr>
        <w:t>表</w:t>
      </w:r>
      <w:r>
        <w:t>2.1</w:t>
      </w:r>
      <w:r>
        <w:rPr>
          <w:rFonts w:hint="eastAsia"/>
        </w:rPr>
        <w:t>-4</w:t>
      </w:r>
      <w:r>
        <w:t xml:space="preserve">  </w:t>
      </w:r>
      <w:r>
        <w:rPr>
          <w:rFonts w:hint="eastAsia"/>
        </w:rPr>
        <w:t>环评批复落实情况一览表</w:t>
      </w:r>
    </w:p>
    <w:tbl>
      <w:tblPr>
        <w:tblStyle w:val="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7025"/>
        <w:gridCol w:w="6203"/>
        <w:gridCol w:w="462"/>
      </w:tblGrid>
      <w:tr w14:paraId="0AF76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1" w:type="pct"/>
            <w:tcBorders>
              <w:top w:val="single" w:color="auto" w:sz="4" w:space="0"/>
              <w:left w:val="single" w:color="auto" w:sz="4" w:space="0"/>
              <w:bottom w:val="single" w:color="auto" w:sz="4" w:space="0"/>
              <w:right w:val="single" w:color="auto" w:sz="4" w:space="0"/>
            </w:tcBorders>
            <w:vAlign w:val="center"/>
          </w:tcPr>
          <w:p w14:paraId="1BFDC2A3">
            <w:pPr>
              <w:pStyle w:val="133"/>
              <w:jc w:val="both"/>
              <w:rPr>
                <w:b/>
                <w:bCs/>
              </w:rPr>
            </w:pPr>
            <w:bookmarkStart w:id="196" w:name="_Hlk204451313"/>
            <w:r>
              <w:rPr>
                <w:rFonts w:hint="eastAsia"/>
                <w:b/>
                <w:bCs/>
              </w:rPr>
              <w:t>序号</w:t>
            </w:r>
          </w:p>
        </w:tc>
        <w:tc>
          <w:tcPr>
            <w:tcW w:w="2478" w:type="pct"/>
            <w:tcBorders>
              <w:top w:val="single" w:color="auto" w:sz="4" w:space="0"/>
              <w:left w:val="single" w:color="auto" w:sz="4" w:space="0"/>
              <w:bottom w:val="single" w:color="auto" w:sz="4" w:space="0"/>
              <w:right w:val="single" w:color="auto" w:sz="4" w:space="0"/>
            </w:tcBorders>
            <w:vAlign w:val="center"/>
          </w:tcPr>
          <w:p w14:paraId="7120B630">
            <w:pPr>
              <w:pStyle w:val="133"/>
              <w:rPr>
                <w:b/>
                <w:bCs/>
              </w:rPr>
            </w:pPr>
            <w:r>
              <w:rPr>
                <w:rFonts w:hint="eastAsia"/>
                <w:b/>
                <w:bCs/>
              </w:rPr>
              <w:t>批复要求</w:t>
            </w:r>
          </w:p>
        </w:tc>
        <w:tc>
          <w:tcPr>
            <w:tcW w:w="2188" w:type="pct"/>
            <w:tcBorders>
              <w:top w:val="single" w:color="auto" w:sz="4" w:space="0"/>
              <w:left w:val="single" w:color="auto" w:sz="4" w:space="0"/>
              <w:bottom w:val="single" w:color="auto" w:sz="4" w:space="0"/>
              <w:right w:val="single" w:color="auto" w:sz="4" w:space="0"/>
            </w:tcBorders>
            <w:vAlign w:val="center"/>
          </w:tcPr>
          <w:p w14:paraId="0EFA3A83">
            <w:pPr>
              <w:pStyle w:val="133"/>
              <w:rPr>
                <w:b/>
                <w:bCs/>
              </w:rPr>
            </w:pPr>
            <w:r>
              <w:rPr>
                <w:rFonts w:hint="eastAsia"/>
                <w:b/>
                <w:bCs/>
              </w:rPr>
              <w:t>建设情况</w:t>
            </w:r>
          </w:p>
        </w:tc>
        <w:tc>
          <w:tcPr>
            <w:tcW w:w="163" w:type="pct"/>
            <w:tcBorders>
              <w:top w:val="single" w:color="auto" w:sz="4" w:space="0"/>
              <w:left w:val="single" w:color="auto" w:sz="4" w:space="0"/>
              <w:bottom w:val="single" w:color="auto" w:sz="4" w:space="0"/>
              <w:right w:val="single" w:color="auto" w:sz="4" w:space="0"/>
            </w:tcBorders>
            <w:vAlign w:val="center"/>
          </w:tcPr>
          <w:p w14:paraId="30A37CCC">
            <w:pPr>
              <w:pStyle w:val="133"/>
              <w:rPr>
                <w:b/>
                <w:bCs/>
              </w:rPr>
            </w:pPr>
            <w:r>
              <w:rPr>
                <w:rFonts w:hint="eastAsia"/>
                <w:b/>
                <w:bCs/>
              </w:rPr>
              <w:t>相符性</w:t>
            </w:r>
          </w:p>
          <w:bookmarkEnd w:id="196"/>
        </w:tc>
      </w:tr>
      <w:tr w14:paraId="34DF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4FAAFA83">
            <w:pPr>
              <w:pStyle w:val="133"/>
            </w:pPr>
            <w:r>
              <w:t>1</w:t>
            </w:r>
          </w:p>
        </w:tc>
        <w:tc>
          <w:tcPr>
            <w:tcW w:w="2478" w:type="pct"/>
            <w:tcBorders>
              <w:top w:val="single" w:color="auto" w:sz="4" w:space="0"/>
              <w:left w:val="single" w:color="auto" w:sz="4" w:space="0"/>
              <w:bottom w:val="single" w:color="auto" w:sz="4" w:space="0"/>
              <w:right w:val="single" w:color="auto" w:sz="4" w:space="0"/>
            </w:tcBorders>
            <w:vAlign w:val="center"/>
          </w:tcPr>
          <w:p w14:paraId="6D5961BB">
            <w:pPr>
              <w:pStyle w:val="133"/>
            </w:pPr>
            <w:r>
              <w:rPr>
                <w:rFonts w:hint="eastAsia"/>
              </w:rPr>
              <w:t>本项目为镁合金产业链项目，应按设计要求建设，不得拆分产业链，仅单独建设某一条生产线</w:t>
            </w:r>
          </w:p>
        </w:tc>
        <w:tc>
          <w:tcPr>
            <w:tcW w:w="2188" w:type="pct"/>
            <w:tcBorders>
              <w:top w:val="single" w:color="auto" w:sz="4" w:space="0"/>
              <w:left w:val="single" w:color="auto" w:sz="4" w:space="0"/>
              <w:bottom w:val="single" w:color="auto" w:sz="4" w:space="0"/>
              <w:right w:val="single" w:color="auto" w:sz="4" w:space="0"/>
            </w:tcBorders>
            <w:vAlign w:val="center"/>
          </w:tcPr>
          <w:p w14:paraId="19074397">
            <w:pPr>
              <w:pStyle w:val="133"/>
            </w:pPr>
            <w:r>
              <w:rPr>
                <w:rFonts w:hint="eastAsia"/>
              </w:rPr>
              <w:t>项目目前整体建设了一期</w:t>
            </w:r>
            <w:r>
              <w:t>2.5</w:t>
            </w:r>
            <w:r>
              <w:rPr>
                <w:rFonts w:hint="eastAsia"/>
              </w:rPr>
              <w:t>万</w:t>
            </w:r>
            <w:r>
              <w:t>t/a</w:t>
            </w:r>
            <w:r>
              <w:rPr>
                <w:rFonts w:hint="eastAsia"/>
              </w:rPr>
              <w:t>镁及镁合金项目、</w:t>
            </w:r>
            <w:r>
              <w:t>30</w:t>
            </w:r>
            <w:r>
              <w:rPr>
                <w:rFonts w:hint="eastAsia"/>
              </w:rPr>
              <w:t>万</w:t>
            </w:r>
            <w:r>
              <w:t>t/a</w:t>
            </w:r>
            <w:r>
              <w:rPr>
                <w:rFonts w:hint="eastAsia"/>
              </w:rPr>
              <w:t>兰炭项目及</w:t>
            </w:r>
            <w:r>
              <w:t>5</w:t>
            </w:r>
            <w:r>
              <w:rPr>
                <w:rFonts w:hint="eastAsia"/>
              </w:rPr>
              <w:t>万</w:t>
            </w:r>
            <w:r>
              <w:t>t/a</w:t>
            </w:r>
            <w:r>
              <w:rPr>
                <w:rFonts w:hint="eastAsia"/>
              </w:rPr>
              <w:t>硅铁项目，仅产能有所变化，未分拆建设产业链。</w:t>
            </w:r>
          </w:p>
        </w:tc>
        <w:tc>
          <w:tcPr>
            <w:tcW w:w="163" w:type="pct"/>
            <w:tcBorders>
              <w:top w:val="single" w:color="auto" w:sz="4" w:space="0"/>
              <w:left w:val="single" w:color="auto" w:sz="4" w:space="0"/>
              <w:bottom w:val="single" w:color="auto" w:sz="4" w:space="0"/>
              <w:right w:val="single" w:color="auto" w:sz="4" w:space="0"/>
            </w:tcBorders>
            <w:vAlign w:val="center"/>
          </w:tcPr>
          <w:p w14:paraId="46B8A6B0">
            <w:pPr>
              <w:pStyle w:val="133"/>
            </w:pPr>
            <w:r>
              <w:rPr>
                <w:rFonts w:hint="eastAsia"/>
              </w:rPr>
              <w:t>相符</w:t>
            </w:r>
          </w:p>
        </w:tc>
      </w:tr>
      <w:tr w14:paraId="6BC0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7BAE2E63">
            <w:pPr>
              <w:pStyle w:val="133"/>
            </w:pPr>
            <w:r>
              <w:t>2</w:t>
            </w:r>
          </w:p>
        </w:tc>
        <w:tc>
          <w:tcPr>
            <w:tcW w:w="2478" w:type="pct"/>
            <w:tcBorders>
              <w:top w:val="single" w:color="auto" w:sz="4" w:space="0"/>
              <w:left w:val="single" w:color="auto" w:sz="4" w:space="0"/>
              <w:bottom w:val="single" w:color="auto" w:sz="4" w:space="0"/>
              <w:right w:val="single" w:color="auto" w:sz="4" w:space="0"/>
            </w:tcBorders>
            <w:vAlign w:val="center"/>
          </w:tcPr>
          <w:p w14:paraId="64368FB0">
            <w:pPr>
              <w:pStyle w:val="133"/>
            </w:pPr>
            <w:r>
              <w:rPr>
                <w:rFonts w:hint="eastAsia"/>
              </w:rPr>
              <w:t>制定施工期污染防治计划，采取有效措施，确保施工期扬尘、噪声等达标排放，避免对周围环境敏感点的影响。</w:t>
            </w:r>
          </w:p>
        </w:tc>
        <w:tc>
          <w:tcPr>
            <w:tcW w:w="2188" w:type="pct"/>
            <w:tcBorders>
              <w:top w:val="single" w:color="auto" w:sz="4" w:space="0"/>
              <w:left w:val="single" w:color="auto" w:sz="4" w:space="0"/>
              <w:bottom w:val="single" w:color="auto" w:sz="4" w:space="0"/>
              <w:right w:val="single" w:color="auto" w:sz="4" w:space="0"/>
            </w:tcBorders>
            <w:vAlign w:val="center"/>
          </w:tcPr>
          <w:p w14:paraId="1C33395E">
            <w:pPr>
              <w:pStyle w:val="133"/>
            </w:pPr>
            <w:r>
              <w:rPr>
                <w:rFonts w:hint="eastAsia"/>
              </w:rPr>
              <w:t>项目施工期间对施工烟尘、施工噪声均采取了有效措施，施工期间未对周边环境敏感点造成影响，无居民投诉。</w:t>
            </w:r>
          </w:p>
        </w:tc>
        <w:tc>
          <w:tcPr>
            <w:tcW w:w="163" w:type="pct"/>
            <w:tcBorders>
              <w:top w:val="single" w:color="auto" w:sz="4" w:space="0"/>
              <w:left w:val="single" w:color="auto" w:sz="4" w:space="0"/>
              <w:bottom w:val="single" w:color="auto" w:sz="4" w:space="0"/>
              <w:right w:val="single" w:color="auto" w:sz="4" w:space="0"/>
            </w:tcBorders>
            <w:vAlign w:val="center"/>
          </w:tcPr>
          <w:p w14:paraId="742C8A3C">
            <w:pPr>
              <w:pStyle w:val="133"/>
            </w:pPr>
            <w:r>
              <w:rPr>
                <w:rFonts w:hint="eastAsia"/>
              </w:rPr>
              <w:t>相符</w:t>
            </w:r>
          </w:p>
        </w:tc>
      </w:tr>
      <w:tr w14:paraId="03AA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444235A0">
            <w:pPr>
              <w:pStyle w:val="133"/>
            </w:pPr>
            <w:r>
              <w:t>3</w:t>
            </w:r>
          </w:p>
        </w:tc>
        <w:tc>
          <w:tcPr>
            <w:tcW w:w="2478" w:type="pct"/>
            <w:tcBorders>
              <w:top w:val="single" w:color="auto" w:sz="4" w:space="0"/>
              <w:left w:val="single" w:color="auto" w:sz="4" w:space="0"/>
              <w:bottom w:val="single" w:color="auto" w:sz="4" w:space="0"/>
              <w:right w:val="single" w:color="auto" w:sz="4" w:space="0"/>
            </w:tcBorders>
            <w:vAlign w:val="center"/>
          </w:tcPr>
          <w:p w14:paraId="3B10241A">
            <w:pPr>
              <w:pStyle w:val="133"/>
            </w:pPr>
            <w:r>
              <w:rPr>
                <w:rFonts w:hint="eastAsia"/>
              </w:rPr>
              <w:t>各装置应配套的废气治理设施应当与主体工程同步建成，处理设施的处理能力、效率应满足需要，确保排放的各种大气污染物及排气筒高度等能够</w:t>
            </w:r>
            <w:r>
              <w:t xml:space="preserve"> </w:t>
            </w:r>
            <w:r>
              <w:rPr>
                <w:rFonts w:hint="eastAsia"/>
              </w:rPr>
              <w:t>达到国家有关排放标准。镁及镁合金工段废气中粉尘和二氧化硫排放执行</w:t>
            </w:r>
            <w:r>
              <w:t xml:space="preserve"> </w:t>
            </w:r>
            <w:r>
              <w:rPr>
                <w:rFonts w:hint="eastAsia"/>
              </w:rPr>
              <w:t>《镁、钛工业污染物排放标准》（</w:t>
            </w:r>
            <w:r>
              <w:t>GB25468-2010</w:t>
            </w:r>
            <w:r>
              <w:rPr>
                <w:rFonts w:hint="eastAsia"/>
              </w:rPr>
              <w:t>），氯化氢、氟化物排放执行《大气污染物综合排放标准》（</w:t>
            </w:r>
            <w:r>
              <w:t>GB16297-1996</w:t>
            </w:r>
            <w:r>
              <w:rPr>
                <w:rFonts w:hint="eastAsia"/>
              </w:rPr>
              <w:t>）中二级标准，回转窑煅烧时产生的氮氧化物排放执行《水泥工业大气污染物排放标准》（</w:t>
            </w:r>
            <w:r>
              <w:t>GB4915-2001</w:t>
            </w:r>
            <w:r>
              <w:rPr>
                <w:rFonts w:hint="eastAsia"/>
              </w:rPr>
              <w:t>）；兰炭工段废气排放执行《炼焦化学工业污染物排放标准》（</w:t>
            </w:r>
            <w:r>
              <w:t>GB16171-2012</w:t>
            </w:r>
            <w:r>
              <w:rPr>
                <w:rFonts w:hint="eastAsia"/>
              </w:rPr>
              <w:t>）；硅铁工段废气中粉尘排放执行《铁合金工业污染物排放标准》（</w:t>
            </w:r>
            <w:r>
              <w:t>GB28666-2012</w:t>
            </w:r>
            <w:r>
              <w:rPr>
                <w:rFonts w:hint="eastAsia"/>
              </w:rPr>
              <w:t>），二氧化硫排放执行《工业炉窑大气污染物排放标准》（</w:t>
            </w:r>
            <w:r>
              <w:t>GB9078-1996</w:t>
            </w:r>
            <w:r>
              <w:rPr>
                <w:rFonts w:hint="eastAsia"/>
              </w:rPr>
              <w:t>）；循环流化床锅炉废气排放执行《锅炉大气污染物排放标准》（</w:t>
            </w:r>
            <w:r>
              <w:t>GB13271-2001</w:t>
            </w:r>
            <w:r>
              <w:rPr>
                <w:rFonts w:hint="eastAsia"/>
              </w:rPr>
              <w:t>）。</w:t>
            </w:r>
          </w:p>
        </w:tc>
        <w:tc>
          <w:tcPr>
            <w:tcW w:w="2188" w:type="pct"/>
            <w:tcBorders>
              <w:top w:val="single" w:color="auto" w:sz="4" w:space="0"/>
              <w:left w:val="single" w:color="auto" w:sz="4" w:space="0"/>
              <w:bottom w:val="single" w:color="auto" w:sz="4" w:space="0"/>
              <w:right w:val="single" w:color="auto" w:sz="4" w:space="0"/>
            </w:tcBorders>
            <w:vAlign w:val="center"/>
          </w:tcPr>
          <w:p w14:paraId="7545BF47">
            <w:pPr>
              <w:pStyle w:val="133"/>
            </w:pPr>
            <w:r>
              <w:rPr>
                <w:rFonts w:hint="eastAsia"/>
              </w:rPr>
              <w:t>目前已建生产线均按照环评要求配套建设了相应的废气治理设施，无组织产尘点配套建设了洒水增湿设备，降低无组织粉尘产生；镁及镁合金工段废气中粉尘和二氧化硫排放执行《镁、钛工业污染物排放标准》（</w:t>
            </w:r>
            <w:r>
              <w:t>GB25468-2010</w:t>
            </w:r>
            <w:r>
              <w:rPr>
                <w:rFonts w:hint="eastAsia"/>
              </w:rPr>
              <w:t>），氯化氢、氟化物排放执行《大气污染物综合排放标准》（</w:t>
            </w:r>
            <w:r>
              <w:t>GB16297-1996</w:t>
            </w:r>
            <w:r>
              <w:rPr>
                <w:rFonts w:hint="eastAsia"/>
              </w:rPr>
              <w:t>）中二级标准，回转窑煅烧时产生的氮氧化物排放执行《水泥工业大气污染物排放标准》（</w:t>
            </w:r>
            <w:r>
              <w:t>GB4915-2013</w:t>
            </w:r>
            <w:r>
              <w:rPr>
                <w:rFonts w:hint="eastAsia"/>
              </w:rPr>
              <w:t>）；兰炭工段废气排放执行《炼焦化学工业污染物排放标准》（</w:t>
            </w:r>
            <w:r>
              <w:t>GB16171-2012</w:t>
            </w:r>
            <w:r>
              <w:rPr>
                <w:rFonts w:hint="eastAsia"/>
              </w:rPr>
              <w:t>）；硅铁工段废气中粉尘排放执行《铁合金工业污染物排放标准》（</w:t>
            </w:r>
            <w:r>
              <w:t>GB28666-2012</w:t>
            </w:r>
            <w:r>
              <w:rPr>
                <w:rFonts w:hint="eastAsia"/>
              </w:rPr>
              <w:t>），二氧化硫排放执行《工业炉窑大气污染</w:t>
            </w:r>
            <w:r>
              <w:t xml:space="preserve"> </w:t>
            </w:r>
            <w:r>
              <w:rPr>
                <w:rFonts w:hint="eastAsia"/>
              </w:rPr>
              <w:t>物排放标准》（</w:t>
            </w:r>
            <w:r>
              <w:t>GB9078-1996</w:t>
            </w:r>
            <w:r>
              <w:rPr>
                <w:rFonts w:hint="eastAsia"/>
              </w:rPr>
              <w:t>）；循环流化床锅炉废气排放执行《锅炉大气污染物排放标准》（</w:t>
            </w:r>
            <w:r>
              <w:t>GB13271-2014</w:t>
            </w:r>
            <w:r>
              <w:rPr>
                <w:rFonts w:hint="eastAsia"/>
              </w:rPr>
              <w:t>）。</w:t>
            </w:r>
          </w:p>
        </w:tc>
        <w:tc>
          <w:tcPr>
            <w:tcW w:w="163" w:type="pct"/>
            <w:tcBorders>
              <w:top w:val="single" w:color="auto" w:sz="4" w:space="0"/>
              <w:left w:val="single" w:color="auto" w:sz="4" w:space="0"/>
              <w:bottom w:val="single" w:color="auto" w:sz="4" w:space="0"/>
              <w:right w:val="single" w:color="auto" w:sz="4" w:space="0"/>
            </w:tcBorders>
            <w:vAlign w:val="center"/>
          </w:tcPr>
          <w:p w14:paraId="0FC7EBBA">
            <w:pPr>
              <w:pStyle w:val="133"/>
            </w:pPr>
            <w:r>
              <w:rPr>
                <w:rFonts w:hint="eastAsia"/>
              </w:rPr>
              <w:t>相符</w:t>
            </w:r>
          </w:p>
        </w:tc>
      </w:tr>
      <w:tr w14:paraId="596A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4E319DC2">
            <w:pPr>
              <w:pStyle w:val="133"/>
            </w:pPr>
            <w:r>
              <w:t>4</w:t>
            </w:r>
          </w:p>
        </w:tc>
        <w:tc>
          <w:tcPr>
            <w:tcW w:w="2478" w:type="pct"/>
            <w:tcBorders>
              <w:top w:val="single" w:color="auto" w:sz="4" w:space="0"/>
              <w:left w:val="single" w:color="auto" w:sz="4" w:space="0"/>
              <w:bottom w:val="single" w:color="auto" w:sz="4" w:space="0"/>
              <w:right w:val="single" w:color="auto" w:sz="4" w:space="0"/>
            </w:tcBorders>
            <w:vAlign w:val="center"/>
          </w:tcPr>
          <w:p w14:paraId="607DF6AA">
            <w:pPr>
              <w:pStyle w:val="133"/>
            </w:pPr>
            <w:r>
              <w:rPr>
                <w:rFonts w:hint="eastAsia"/>
              </w:rPr>
              <w:t>进一步优化全厂生产用水和废水处理回用方案，提高废水回用率，最大限度减少新鲜水消耗量和废水排放量。</w:t>
            </w:r>
            <w:r>
              <w:t xml:space="preserve"> </w:t>
            </w:r>
            <w:r>
              <w:rPr>
                <w:rFonts w:hint="eastAsia"/>
              </w:rPr>
              <w:t>生产废水和生活污水经处理后，进行综合利用，不外排。切实落实地下水污染防治措施，认真做好罐区、生产车间、仓库及污水处理站等地面防渗工作。须设置足够容量的事故水池，确保事故状态下各类废水不外排。</w:t>
            </w:r>
          </w:p>
        </w:tc>
        <w:tc>
          <w:tcPr>
            <w:tcW w:w="2188" w:type="pct"/>
            <w:tcBorders>
              <w:top w:val="single" w:color="auto" w:sz="4" w:space="0"/>
              <w:left w:val="single" w:color="auto" w:sz="4" w:space="0"/>
              <w:bottom w:val="single" w:color="auto" w:sz="4" w:space="0"/>
              <w:right w:val="single" w:color="auto" w:sz="4" w:space="0"/>
            </w:tcBorders>
            <w:vAlign w:val="center"/>
          </w:tcPr>
          <w:p w14:paraId="5B6CB3C5">
            <w:pPr>
              <w:pStyle w:val="133"/>
            </w:pPr>
            <w:r>
              <w:rPr>
                <w:rFonts w:hint="eastAsia"/>
              </w:rPr>
              <w:t>酸性废气洗涤塔废水采用废煅白中和沉淀后上清水回用，不外排；精镁酸洗废水采用废煅白中和沉淀后上清水用于还原渣喷洒抑尘，不外排；兰炭项目生产废水排入酚氰污水处理站处理达《炼焦化学工业污染物排放标准》（</w:t>
            </w:r>
            <w:r>
              <w:t>GB16171-2012</w:t>
            </w:r>
            <w:r>
              <w:rPr>
                <w:rFonts w:hint="eastAsia"/>
              </w:rPr>
              <w:t>）表</w:t>
            </w:r>
            <w:r>
              <w:t>2</w:t>
            </w:r>
            <w:r>
              <w:rPr>
                <w:rFonts w:hint="eastAsia"/>
              </w:rPr>
              <w:t>间接标准后用于熄焦等工序，不外排；生活污水经生活污水处理装置处理后，达到《城市污水再生利用城市杂用水水质》（</w:t>
            </w:r>
            <w:r>
              <w:t>GB/T18920-2020</w:t>
            </w:r>
            <w:r>
              <w:rPr>
                <w:rFonts w:hint="eastAsia"/>
              </w:rPr>
              <w:t>）“绿化用水”标准后，部分回用于绿化、煤棚和贮焦棚洒水抑尘，部分排至园区污水处理厂；冷却系统浓缩清下水、软水制备系统浓缩清下水全部用于煤棚、贮焦棚洒水抑尘，不外排。</w:t>
            </w:r>
          </w:p>
        </w:tc>
        <w:tc>
          <w:tcPr>
            <w:tcW w:w="163" w:type="pct"/>
            <w:tcBorders>
              <w:top w:val="single" w:color="auto" w:sz="4" w:space="0"/>
              <w:left w:val="single" w:color="auto" w:sz="4" w:space="0"/>
              <w:bottom w:val="single" w:color="auto" w:sz="4" w:space="0"/>
              <w:right w:val="single" w:color="auto" w:sz="4" w:space="0"/>
            </w:tcBorders>
            <w:vAlign w:val="center"/>
          </w:tcPr>
          <w:p w14:paraId="74396880">
            <w:pPr>
              <w:pStyle w:val="133"/>
            </w:pPr>
            <w:r>
              <w:rPr>
                <w:rFonts w:hint="eastAsia"/>
              </w:rPr>
              <w:t>相符</w:t>
            </w:r>
          </w:p>
        </w:tc>
      </w:tr>
      <w:tr w14:paraId="1CBE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76CC519E">
            <w:pPr>
              <w:pStyle w:val="133"/>
            </w:pPr>
            <w:r>
              <w:t>5</w:t>
            </w:r>
          </w:p>
        </w:tc>
        <w:tc>
          <w:tcPr>
            <w:tcW w:w="2478" w:type="pct"/>
            <w:tcBorders>
              <w:top w:val="single" w:color="auto" w:sz="4" w:space="0"/>
              <w:left w:val="single" w:color="auto" w:sz="4" w:space="0"/>
              <w:bottom w:val="single" w:color="auto" w:sz="4" w:space="0"/>
              <w:right w:val="single" w:color="auto" w:sz="4" w:space="0"/>
            </w:tcBorders>
            <w:vAlign w:val="center"/>
          </w:tcPr>
          <w:p w14:paraId="1764010E">
            <w:pPr>
              <w:pStyle w:val="133"/>
            </w:pPr>
            <w:r>
              <w:rPr>
                <w:rFonts w:hint="eastAsia"/>
              </w:rPr>
              <w:t>严格落实项目固体废物的收集、处置及综合利用措施，严禁随意抛洒或混乱堆放</w:t>
            </w:r>
            <w:r>
              <w:t>,</w:t>
            </w:r>
            <w:r>
              <w:rPr>
                <w:rFonts w:hint="eastAsia"/>
              </w:rPr>
              <w:t>项目产生的废弃物应依照《国家危险废物名录》和有关分析方法检测认定</w:t>
            </w:r>
            <w:r>
              <w:t>;</w:t>
            </w:r>
            <w:r>
              <w:rPr>
                <w:rFonts w:hint="eastAsia"/>
              </w:rPr>
              <w:t>属危险废物的须专人管理，并制定危险废物管理计划，符合相关要求可综合利用的优先综合利用，其它不能综合利用的按有关控制标准贮存和运输，定期交有危险废物处置资质的机构安全处置，不得擅自处理。</w:t>
            </w:r>
          </w:p>
        </w:tc>
        <w:tc>
          <w:tcPr>
            <w:tcW w:w="2188" w:type="pct"/>
            <w:tcBorders>
              <w:top w:val="single" w:color="auto" w:sz="4" w:space="0"/>
              <w:left w:val="single" w:color="auto" w:sz="4" w:space="0"/>
              <w:bottom w:val="single" w:color="auto" w:sz="4" w:space="0"/>
              <w:right w:val="single" w:color="auto" w:sz="4" w:space="0"/>
            </w:tcBorders>
            <w:vAlign w:val="center"/>
          </w:tcPr>
          <w:p w14:paraId="728923DD">
            <w:pPr>
              <w:pStyle w:val="133"/>
            </w:pPr>
            <w:r>
              <w:rPr>
                <w:rFonts w:hint="eastAsia"/>
              </w:rPr>
              <w:t>本项目生产过程中产生的回转窑煅烧烟气除尘器收集的粉尘、还原炉还原渣、精炼炉精炼渣、还原罐再生中频炉熔炼渣、硅微粉、冶炼硅渣、循环流化床锅炉煤渣等均外售哈密新天山水泥有限责任公司作为水泥原料；备煤及筛焦除尘系统回收的粉尘、原料车间收集的粉尘、备煤及筛焦除尘系统回收的粉尘等回用于生产；危险废物按照《危险废物贮存污染控制标准》（</w:t>
            </w:r>
            <w:r>
              <w:t>GB18597-2023</w:t>
            </w:r>
            <w:r>
              <w:rPr>
                <w:rFonts w:hint="eastAsia"/>
              </w:rPr>
              <w:t>）储存、污水处理污泥、脱硫废液掺入炼焦煤中综合利用。</w:t>
            </w:r>
          </w:p>
        </w:tc>
        <w:tc>
          <w:tcPr>
            <w:tcW w:w="163" w:type="pct"/>
            <w:tcBorders>
              <w:top w:val="single" w:color="auto" w:sz="4" w:space="0"/>
              <w:left w:val="single" w:color="auto" w:sz="4" w:space="0"/>
              <w:bottom w:val="single" w:color="auto" w:sz="4" w:space="0"/>
              <w:right w:val="single" w:color="auto" w:sz="4" w:space="0"/>
            </w:tcBorders>
            <w:vAlign w:val="center"/>
          </w:tcPr>
          <w:p w14:paraId="1231D4D1">
            <w:pPr>
              <w:pStyle w:val="133"/>
            </w:pPr>
            <w:r>
              <w:rPr>
                <w:rFonts w:hint="eastAsia"/>
              </w:rPr>
              <w:t>相符</w:t>
            </w:r>
          </w:p>
        </w:tc>
      </w:tr>
      <w:tr w14:paraId="3329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42617BBE">
            <w:pPr>
              <w:pStyle w:val="133"/>
            </w:pPr>
            <w:r>
              <w:t>6</w:t>
            </w:r>
          </w:p>
        </w:tc>
        <w:tc>
          <w:tcPr>
            <w:tcW w:w="2478" w:type="pct"/>
            <w:tcBorders>
              <w:top w:val="single" w:color="auto" w:sz="4" w:space="0"/>
              <w:left w:val="single" w:color="auto" w:sz="4" w:space="0"/>
              <w:bottom w:val="single" w:color="auto" w:sz="4" w:space="0"/>
              <w:right w:val="single" w:color="auto" w:sz="4" w:space="0"/>
            </w:tcBorders>
            <w:vAlign w:val="center"/>
          </w:tcPr>
          <w:p w14:paraId="30D51100">
            <w:pPr>
              <w:pStyle w:val="133"/>
            </w:pPr>
            <w:r>
              <w:rPr>
                <w:rFonts w:hint="eastAsia"/>
              </w:rPr>
              <w:t>采取有效隔声、降噪措施，确保厂界噪声达到《工业企业厂界环境噪声排放标准》（</w:t>
            </w:r>
            <w:r>
              <w:t>GB12348-2008</w:t>
            </w:r>
            <w:r>
              <w:rPr>
                <w:rFonts w:hint="eastAsia"/>
              </w:rPr>
              <w:t>）</w:t>
            </w:r>
            <w:r>
              <w:t>3</w:t>
            </w:r>
            <w:r>
              <w:rPr>
                <w:rFonts w:hint="eastAsia"/>
              </w:rPr>
              <w:t>类标准</w:t>
            </w:r>
          </w:p>
        </w:tc>
        <w:tc>
          <w:tcPr>
            <w:tcW w:w="2188" w:type="pct"/>
            <w:tcBorders>
              <w:top w:val="single" w:color="auto" w:sz="4" w:space="0"/>
              <w:left w:val="single" w:color="auto" w:sz="4" w:space="0"/>
              <w:bottom w:val="single" w:color="auto" w:sz="4" w:space="0"/>
              <w:right w:val="single" w:color="auto" w:sz="4" w:space="0"/>
            </w:tcBorders>
            <w:vAlign w:val="center"/>
          </w:tcPr>
          <w:p w14:paraId="78F9F2D4">
            <w:pPr>
              <w:pStyle w:val="133"/>
            </w:pPr>
            <w:r>
              <w:rPr>
                <w:rFonts w:hint="eastAsia"/>
              </w:rPr>
              <w:t>项目选用低噪声设备，采用基础减震，建筑隔声等措施，降低噪声排放，厂界噪声可以满足《工业企业厂界环境噪声排放标准》（</w:t>
            </w:r>
            <w:r>
              <w:t>GB12348-2008</w:t>
            </w:r>
            <w:r>
              <w:rPr>
                <w:rFonts w:hint="eastAsia"/>
              </w:rPr>
              <w:t>）</w:t>
            </w:r>
            <w:r>
              <w:t>3</w:t>
            </w:r>
            <w:r>
              <w:rPr>
                <w:rFonts w:hint="eastAsia"/>
              </w:rPr>
              <w:t>类标准</w:t>
            </w:r>
          </w:p>
        </w:tc>
        <w:tc>
          <w:tcPr>
            <w:tcW w:w="163" w:type="pct"/>
            <w:tcBorders>
              <w:top w:val="single" w:color="auto" w:sz="4" w:space="0"/>
              <w:left w:val="single" w:color="auto" w:sz="4" w:space="0"/>
              <w:bottom w:val="single" w:color="auto" w:sz="4" w:space="0"/>
              <w:right w:val="single" w:color="auto" w:sz="4" w:space="0"/>
            </w:tcBorders>
            <w:vAlign w:val="center"/>
          </w:tcPr>
          <w:p w14:paraId="27E5BA4F">
            <w:pPr>
              <w:pStyle w:val="133"/>
            </w:pPr>
            <w:r>
              <w:rPr>
                <w:rFonts w:hint="eastAsia"/>
              </w:rPr>
              <w:t>相符</w:t>
            </w:r>
          </w:p>
        </w:tc>
      </w:tr>
      <w:tr w14:paraId="481B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4F078F88">
            <w:pPr>
              <w:pStyle w:val="133"/>
            </w:pPr>
            <w:r>
              <w:t>7</w:t>
            </w:r>
          </w:p>
        </w:tc>
        <w:tc>
          <w:tcPr>
            <w:tcW w:w="2478" w:type="pct"/>
            <w:tcBorders>
              <w:top w:val="single" w:color="auto" w:sz="4" w:space="0"/>
              <w:left w:val="single" w:color="auto" w:sz="4" w:space="0"/>
              <w:bottom w:val="single" w:color="auto" w:sz="4" w:space="0"/>
              <w:right w:val="single" w:color="auto" w:sz="4" w:space="0"/>
            </w:tcBorders>
            <w:vAlign w:val="center"/>
          </w:tcPr>
          <w:p w14:paraId="701A2F97">
            <w:pPr>
              <w:pStyle w:val="133"/>
            </w:pPr>
            <w:r>
              <w:rPr>
                <w:rFonts w:hint="eastAsia"/>
              </w:rPr>
              <w:t>加强项目环境风险防范。加强设备的管理、维护与检修，防止跑、冒、滴、漏现象发生，制定事故状态下环境风险应急预案和污染防治措施，避免生产事故引发环境污染。建立与地方政府突发环境事故应急预案对接及联动具体实施方案，确保风险事故得到有效控制，避免发生污染事件。</w:t>
            </w:r>
          </w:p>
        </w:tc>
        <w:tc>
          <w:tcPr>
            <w:tcW w:w="2188" w:type="pct"/>
            <w:tcBorders>
              <w:top w:val="single" w:color="auto" w:sz="4" w:space="0"/>
              <w:left w:val="single" w:color="auto" w:sz="4" w:space="0"/>
              <w:bottom w:val="single" w:color="auto" w:sz="4" w:space="0"/>
              <w:right w:val="single" w:color="auto" w:sz="4" w:space="0"/>
            </w:tcBorders>
            <w:vAlign w:val="center"/>
          </w:tcPr>
          <w:p w14:paraId="37A0B63B">
            <w:pPr>
              <w:pStyle w:val="133"/>
            </w:pPr>
            <w:r>
              <w:rPr>
                <w:rFonts w:hint="eastAsia"/>
              </w:rPr>
              <w:t>项目制定了事故状态下环境风险应急预案和污染防治措施，避免生产事故引发环境污染。建立与地方政府突发环境事故应急预案对接及联动具体实施方案，确保风险事故得到有效控制。由于目前建设一期项目，兰炭项目生产废水产生量为</w:t>
            </w:r>
            <w:r>
              <w:t>180m</w:t>
            </w:r>
            <w:r>
              <w:rPr>
                <w:vertAlign w:val="superscript"/>
              </w:rPr>
              <w:t>3</w:t>
            </w:r>
            <w:r>
              <w:t>/d</w:t>
            </w:r>
            <w:r>
              <w:rPr>
                <w:rFonts w:hint="eastAsia"/>
              </w:rPr>
              <w:t>，镁及镁合金生产废水产生量为</w:t>
            </w:r>
            <w:r>
              <w:t>7m</w:t>
            </w:r>
            <w:r>
              <w:rPr>
                <w:vertAlign w:val="superscript"/>
              </w:rPr>
              <w:t>3</w:t>
            </w:r>
            <w:r>
              <w:t>/d</w:t>
            </w:r>
            <w:r>
              <w:rPr>
                <w:rFonts w:hint="eastAsia"/>
              </w:rPr>
              <w:t>，按照</w:t>
            </w:r>
            <w:r>
              <w:t>6</w:t>
            </w:r>
            <w:r>
              <w:rPr>
                <w:rFonts w:hint="eastAsia"/>
              </w:rPr>
              <w:t>小时事故废水储水要求，实际建设的</w:t>
            </w:r>
            <w:r>
              <w:t>1500m</w:t>
            </w:r>
            <w:r>
              <w:rPr>
                <w:vertAlign w:val="superscript"/>
              </w:rPr>
              <w:t>3</w:t>
            </w:r>
            <w:r>
              <w:rPr>
                <w:rFonts w:hint="eastAsia"/>
              </w:rPr>
              <w:t>事故水池即可满足事故废水暂存要求。</w:t>
            </w:r>
          </w:p>
        </w:tc>
        <w:tc>
          <w:tcPr>
            <w:tcW w:w="163" w:type="pct"/>
            <w:tcBorders>
              <w:top w:val="single" w:color="auto" w:sz="4" w:space="0"/>
              <w:left w:val="single" w:color="auto" w:sz="4" w:space="0"/>
              <w:bottom w:val="single" w:color="auto" w:sz="4" w:space="0"/>
              <w:right w:val="single" w:color="auto" w:sz="4" w:space="0"/>
            </w:tcBorders>
            <w:vAlign w:val="center"/>
          </w:tcPr>
          <w:p w14:paraId="2B7BD15F">
            <w:pPr>
              <w:pStyle w:val="133"/>
            </w:pPr>
            <w:r>
              <w:rPr>
                <w:rFonts w:hint="eastAsia"/>
              </w:rPr>
              <w:t>相符</w:t>
            </w:r>
          </w:p>
        </w:tc>
      </w:tr>
      <w:tr w14:paraId="70F6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74FE8DC5">
            <w:pPr>
              <w:pStyle w:val="133"/>
            </w:pPr>
            <w:r>
              <w:t>8</w:t>
            </w:r>
          </w:p>
        </w:tc>
        <w:tc>
          <w:tcPr>
            <w:tcW w:w="2478" w:type="pct"/>
            <w:tcBorders>
              <w:top w:val="single" w:color="auto" w:sz="4" w:space="0"/>
              <w:left w:val="single" w:color="auto" w:sz="4" w:space="0"/>
              <w:bottom w:val="single" w:color="auto" w:sz="4" w:space="0"/>
              <w:right w:val="single" w:color="auto" w:sz="4" w:space="0"/>
            </w:tcBorders>
            <w:vAlign w:val="center"/>
          </w:tcPr>
          <w:p w14:paraId="6491BDA5">
            <w:pPr>
              <w:pStyle w:val="133"/>
            </w:pPr>
            <w:r>
              <w:rPr>
                <w:rFonts w:hint="eastAsia"/>
              </w:rPr>
              <w:t>项目须设置足够的卫生防护距离，此距离内不得规划、建设居民区、医院、学校等对环境敏感的建筑以及食品、粮油加工、轻工、纺织、精密仪器等生产企业</w:t>
            </w:r>
          </w:p>
        </w:tc>
        <w:tc>
          <w:tcPr>
            <w:tcW w:w="2188" w:type="pct"/>
            <w:tcBorders>
              <w:top w:val="single" w:color="auto" w:sz="4" w:space="0"/>
              <w:left w:val="single" w:color="auto" w:sz="4" w:space="0"/>
              <w:bottom w:val="single" w:color="auto" w:sz="4" w:space="0"/>
              <w:right w:val="single" w:color="auto" w:sz="4" w:space="0"/>
            </w:tcBorders>
            <w:vAlign w:val="center"/>
          </w:tcPr>
          <w:p w14:paraId="46253F2E">
            <w:pPr>
              <w:pStyle w:val="133"/>
            </w:pPr>
            <w:r>
              <w:rPr>
                <w:rFonts w:hint="eastAsia"/>
              </w:rPr>
              <w:t>项目防护距离</w:t>
            </w:r>
            <w:r>
              <w:t>2200m</w:t>
            </w:r>
            <w:r>
              <w:rPr>
                <w:rFonts w:hint="eastAsia"/>
              </w:rPr>
              <w:t>，范围内无居民区、医院、学校等对环境敏感的建筑以及食品、粮油加工、轻工、纺织、精密仪器等生产企业</w:t>
            </w:r>
          </w:p>
        </w:tc>
        <w:tc>
          <w:tcPr>
            <w:tcW w:w="163" w:type="pct"/>
            <w:tcBorders>
              <w:top w:val="single" w:color="auto" w:sz="4" w:space="0"/>
              <w:left w:val="single" w:color="auto" w:sz="4" w:space="0"/>
              <w:bottom w:val="single" w:color="auto" w:sz="4" w:space="0"/>
              <w:right w:val="single" w:color="auto" w:sz="4" w:space="0"/>
            </w:tcBorders>
            <w:vAlign w:val="center"/>
          </w:tcPr>
          <w:p w14:paraId="1DF59231">
            <w:pPr>
              <w:pStyle w:val="133"/>
            </w:pPr>
            <w:r>
              <w:rPr>
                <w:rFonts w:hint="eastAsia"/>
              </w:rPr>
              <w:t>相符</w:t>
            </w:r>
          </w:p>
        </w:tc>
      </w:tr>
      <w:tr w14:paraId="66BB3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2EC5B1FF">
            <w:pPr>
              <w:pStyle w:val="133"/>
            </w:pPr>
            <w:r>
              <w:t>9</w:t>
            </w:r>
          </w:p>
        </w:tc>
        <w:tc>
          <w:tcPr>
            <w:tcW w:w="2478" w:type="pct"/>
            <w:tcBorders>
              <w:top w:val="single" w:color="auto" w:sz="4" w:space="0"/>
              <w:left w:val="single" w:color="auto" w:sz="4" w:space="0"/>
              <w:bottom w:val="single" w:color="auto" w:sz="4" w:space="0"/>
              <w:right w:val="single" w:color="auto" w:sz="4" w:space="0"/>
            </w:tcBorders>
            <w:vAlign w:val="center"/>
          </w:tcPr>
          <w:p w14:paraId="714A51C9">
            <w:pPr>
              <w:pStyle w:val="133"/>
            </w:pPr>
            <w:r>
              <w:rPr>
                <w:rFonts w:hint="eastAsia"/>
              </w:rPr>
              <w:t>按照排污口设置及规范化整治管理的相关规定设置各类排污口，按要求标识，并设计必备的监测采样平台。按要求安装大气污染源在线自动监控设施并正常联网，进一步加强企业污染源自动监控验收及自动监测数据有效性审核等工作。</w:t>
            </w:r>
          </w:p>
        </w:tc>
        <w:tc>
          <w:tcPr>
            <w:tcW w:w="2188" w:type="pct"/>
            <w:tcBorders>
              <w:top w:val="single" w:color="auto" w:sz="4" w:space="0"/>
              <w:left w:val="single" w:color="auto" w:sz="4" w:space="0"/>
              <w:bottom w:val="single" w:color="auto" w:sz="4" w:space="0"/>
              <w:right w:val="single" w:color="auto" w:sz="4" w:space="0"/>
            </w:tcBorders>
            <w:vAlign w:val="center"/>
          </w:tcPr>
          <w:p w14:paraId="4B30772B">
            <w:pPr>
              <w:pStyle w:val="133"/>
            </w:pPr>
            <w:r>
              <w:rPr>
                <w:rFonts w:hint="eastAsia"/>
              </w:rPr>
              <w:t>项目在各废气排放口及废水排放口进行了规范化整治，在废气排口设置了监测采样平台。回转窑废气、硅铁冶炼电炉废气、循环流化床废气安装了在线监测系统并与当地生态环境部门联网。</w:t>
            </w:r>
          </w:p>
        </w:tc>
        <w:tc>
          <w:tcPr>
            <w:tcW w:w="163" w:type="pct"/>
            <w:tcBorders>
              <w:top w:val="single" w:color="auto" w:sz="4" w:space="0"/>
              <w:left w:val="single" w:color="auto" w:sz="4" w:space="0"/>
              <w:bottom w:val="single" w:color="auto" w:sz="4" w:space="0"/>
              <w:right w:val="single" w:color="auto" w:sz="4" w:space="0"/>
            </w:tcBorders>
            <w:vAlign w:val="center"/>
          </w:tcPr>
          <w:p w14:paraId="1D587CDF">
            <w:pPr>
              <w:pStyle w:val="133"/>
            </w:pPr>
            <w:r>
              <w:rPr>
                <w:rFonts w:hint="eastAsia"/>
              </w:rPr>
              <w:t>相符</w:t>
            </w:r>
          </w:p>
        </w:tc>
      </w:tr>
      <w:tr w14:paraId="4FA5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 w:type="pct"/>
            <w:tcBorders>
              <w:top w:val="single" w:color="auto" w:sz="4" w:space="0"/>
              <w:left w:val="single" w:color="auto" w:sz="4" w:space="0"/>
              <w:bottom w:val="single" w:color="auto" w:sz="4" w:space="0"/>
              <w:right w:val="single" w:color="auto" w:sz="4" w:space="0"/>
            </w:tcBorders>
            <w:vAlign w:val="center"/>
          </w:tcPr>
          <w:p w14:paraId="38704B85">
            <w:pPr>
              <w:pStyle w:val="133"/>
            </w:pPr>
            <w:r>
              <w:t>10</w:t>
            </w:r>
          </w:p>
        </w:tc>
        <w:tc>
          <w:tcPr>
            <w:tcW w:w="2478" w:type="pct"/>
            <w:tcBorders>
              <w:top w:val="single" w:color="auto" w:sz="4" w:space="0"/>
              <w:left w:val="single" w:color="auto" w:sz="4" w:space="0"/>
              <w:bottom w:val="single" w:color="auto" w:sz="4" w:space="0"/>
              <w:right w:val="single" w:color="auto" w:sz="4" w:space="0"/>
            </w:tcBorders>
            <w:vAlign w:val="center"/>
          </w:tcPr>
          <w:p w14:paraId="470DF1F3">
            <w:pPr>
              <w:pStyle w:val="133"/>
            </w:pPr>
            <w:r>
              <w:rPr>
                <w:rFonts w:hint="eastAsia"/>
              </w:rPr>
              <w:t>本项目须开展工程环境监理工作，在施工招标文件、施工合同和工程监理合同文件中明确环保条款和责任。建立专项档案，纳入环保试生产和验收内容，定期向当地环保部门提交工程环境监理报告。</w:t>
            </w:r>
          </w:p>
        </w:tc>
        <w:tc>
          <w:tcPr>
            <w:tcW w:w="2188" w:type="pct"/>
            <w:tcBorders>
              <w:top w:val="single" w:color="auto" w:sz="4" w:space="0"/>
              <w:left w:val="single" w:color="auto" w:sz="4" w:space="0"/>
              <w:bottom w:val="single" w:color="auto" w:sz="4" w:space="0"/>
              <w:right w:val="single" w:color="auto" w:sz="4" w:space="0"/>
            </w:tcBorders>
            <w:vAlign w:val="center"/>
          </w:tcPr>
          <w:p w14:paraId="7D07DFCD">
            <w:pPr>
              <w:pStyle w:val="133"/>
            </w:pPr>
            <w:r>
              <w:rPr>
                <w:rFonts w:hint="eastAsia"/>
              </w:rPr>
              <w:t>环境监理已纳入项目工程监理，且定期向当地环保部门提交工程环境监理报告。</w:t>
            </w:r>
          </w:p>
        </w:tc>
        <w:tc>
          <w:tcPr>
            <w:tcW w:w="163" w:type="pct"/>
            <w:tcBorders>
              <w:top w:val="single" w:color="auto" w:sz="4" w:space="0"/>
              <w:left w:val="single" w:color="auto" w:sz="4" w:space="0"/>
              <w:bottom w:val="single" w:color="auto" w:sz="4" w:space="0"/>
              <w:right w:val="single" w:color="auto" w:sz="4" w:space="0"/>
            </w:tcBorders>
            <w:vAlign w:val="center"/>
          </w:tcPr>
          <w:p w14:paraId="3221A439">
            <w:pPr>
              <w:pStyle w:val="133"/>
            </w:pPr>
            <w:r>
              <w:rPr>
                <w:rFonts w:hint="eastAsia"/>
              </w:rPr>
              <w:t>相符</w:t>
            </w:r>
          </w:p>
        </w:tc>
      </w:tr>
      <w:bookmarkEnd w:id="195"/>
    </w:tbl>
    <w:p w14:paraId="66CD74D2">
      <w:pPr>
        <w:ind w:firstLine="480"/>
        <w:rPr>
          <w:lang w:val="zh-CN"/>
        </w:rPr>
        <w:sectPr>
          <w:pgSz w:w="16838" w:h="11906" w:orient="landscape"/>
          <w:pgMar w:top="1800" w:right="1440" w:bottom="1800" w:left="1440" w:header="850" w:footer="850" w:gutter="0"/>
          <w:cols w:space="720" w:num="1"/>
          <w:docGrid w:type="lines" w:linePitch="326" w:charSpace="0"/>
        </w:sectPr>
      </w:pPr>
      <w:bookmarkStart w:id="197" w:name="_Hlk177574260"/>
    </w:p>
    <w:p w14:paraId="730777C6">
      <w:pPr>
        <w:pStyle w:val="138"/>
        <w:rPr>
          <w:rFonts w:hint="eastAsia"/>
        </w:rPr>
      </w:pPr>
      <w:r>
        <w:rPr>
          <w:rFonts w:hint="eastAsia"/>
        </w:rPr>
        <w:t>新疆金盛镁业有限公司烘干设备技术改造项目</w:t>
      </w:r>
    </w:p>
    <w:p w14:paraId="008ADED2">
      <w:pPr>
        <w:pStyle w:val="5"/>
      </w:pPr>
      <w:r>
        <w:rPr>
          <w:rFonts w:hint="eastAsia"/>
        </w:rPr>
        <w:t>环评批复内容</w:t>
      </w:r>
    </w:p>
    <w:p w14:paraId="6A92C360">
      <w:pPr>
        <w:ind w:firstLine="480"/>
      </w:pPr>
      <w:r>
        <w:t>为提升产品质量，新增一条15万t/a兰炭烘干生产线，</w:t>
      </w:r>
      <w:bookmarkStart w:id="198" w:name="OLE_LINK74"/>
      <w:bookmarkStart w:id="199" w:name="OLE_LINK81"/>
      <w:r>
        <w:t>该项目于</w:t>
      </w:r>
      <w:bookmarkEnd w:id="198"/>
      <w:r>
        <w:t>2021年4月27日取得哈密市生态环境局伊州区分局批复（伊环评价函〔2021〕23号）。</w:t>
      </w:r>
      <w:r>
        <w:rPr>
          <w:rFonts w:hint="eastAsia"/>
        </w:rPr>
        <w:t>见表</w:t>
      </w:r>
      <w:r>
        <w:t>2.1</w:t>
      </w:r>
      <w:r>
        <w:rPr>
          <w:rFonts w:hint="eastAsia"/>
        </w:rPr>
        <w:t>-5。</w:t>
      </w:r>
      <w:bookmarkEnd w:id="199"/>
    </w:p>
    <w:p w14:paraId="1B5E36B6">
      <w:pPr>
        <w:pStyle w:val="5"/>
      </w:pPr>
      <w:r>
        <w:rPr>
          <w:rFonts w:hint="eastAsia"/>
        </w:rPr>
        <w:t>实际建设内容</w:t>
      </w:r>
    </w:p>
    <w:p w14:paraId="0865943A">
      <w:pPr>
        <w:pStyle w:val="117"/>
        <w:ind w:firstLine="480"/>
      </w:pPr>
      <w:r>
        <w:t>2021</w:t>
      </w:r>
      <w:r>
        <w:rPr>
          <w:rFonts w:hint="eastAsia"/>
        </w:rPr>
        <w:t>年</w:t>
      </w:r>
      <w:r>
        <w:t>4</w:t>
      </w:r>
      <w:r>
        <w:rPr>
          <w:rFonts w:hint="eastAsia"/>
        </w:rPr>
        <w:t>月</w:t>
      </w:r>
      <w:r>
        <w:t>27</w:t>
      </w:r>
      <w:r>
        <w:rPr>
          <w:rFonts w:hint="eastAsia"/>
        </w:rPr>
        <w:t>日，哈密市生态环境局以《</w:t>
      </w:r>
      <w:r>
        <w:rPr>
          <w:rFonts w:hint="eastAsia"/>
          <w:color w:val="000000"/>
        </w:rPr>
        <w:t>新疆金盛镁业有</w:t>
      </w:r>
      <w:r>
        <w:rPr>
          <w:rFonts w:hint="eastAsia"/>
        </w:rPr>
        <w:t>限公司</w:t>
      </w:r>
      <w:r>
        <w:rPr>
          <w:rFonts w:hint="eastAsia"/>
          <w:color w:val="000000"/>
        </w:rPr>
        <w:t>烘干设备技术改造项目</w:t>
      </w:r>
      <w:r>
        <w:rPr>
          <w:rFonts w:hint="eastAsia"/>
        </w:rPr>
        <w:t>环境影响报告表的批复》（伊环评价函〔</w:t>
      </w:r>
      <w:r>
        <w:t>2021</w:t>
      </w:r>
      <w:r>
        <w:rPr>
          <w:rFonts w:hint="eastAsia"/>
        </w:rPr>
        <w:t>〕</w:t>
      </w:r>
      <w:r>
        <w:t>23</w:t>
      </w:r>
      <w:r>
        <w:rPr>
          <w:rFonts w:hint="eastAsia"/>
        </w:rPr>
        <w:t>号），同意</w:t>
      </w:r>
      <w:r>
        <w:rPr>
          <w:rFonts w:hint="eastAsia"/>
          <w:color w:val="000000"/>
        </w:rPr>
        <w:t>新疆金盛镁业</w:t>
      </w:r>
      <w:r>
        <w:rPr>
          <w:rFonts w:hint="eastAsia"/>
        </w:rPr>
        <w:t>有限公司实施</w:t>
      </w:r>
      <w:r>
        <w:rPr>
          <w:rFonts w:hint="eastAsia"/>
          <w:color w:val="000000"/>
        </w:rPr>
        <w:t>烘干设备技术</w:t>
      </w:r>
      <w:r>
        <w:rPr>
          <w:rFonts w:hint="eastAsia"/>
        </w:rPr>
        <w:t>改造项目，建设一条兰炭烘干破碎生产线。建设规模：年烘干处理</w:t>
      </w:r>
      <w:r>
        <w:t>18</w:t>
      </w:r>
      <w:r>
        <w:rPr>
          <w:rFonts w:hint="eastAsia"/>
        </w:rPr>
        <w:t>万吨兰炭，得到</w:t>
      </w:r>
      <w:r>
        <w:t>15</w:t>
      </w:r>
      <w:r>
        <w:rPr>
          <w:rFonts w:hint="eastAsia"/>
        </w:rPr>
        <w:t>万吨兰炭成品。本项目总用地面积</w:t>
      </w:r>
      <w:r>
        <w:t>875m</w:t>
      </w:r>
      <w:r>
        <w:rPr>
          <w:vertAlign w:val="superscript"/>
        </w:rPr>
        <w:t>2</w:t>
      </w:r>
      <w:r>
        <w:rPr>
          <w:rFonts w:hint="eastAsia"/>
        </w:rPr>
        <w:t>。</w:t>
      </w:r>
    </w:p>
    <w:p w14:paraId="3BF419B6">
      <w:pPr>
        <w:pStyle w:val="5"/>
      </w:pPr>
      <w:bookmarkStart w:id="200" w:name="OLE_LINK6"/>
      <w:r>
        <w:rPr>
          <w:rFonts w:hint="eastAsia"/>
        </w:rPr>
        <w:t>环评批复落实情况</w:t>
      </w:r>
    </w:p>
    <w:bookmarkEnd w:id="200"/>
    <w:p w14:paraId="1E8B2E24">
      <w:pPr>
        <w:ind w:firstLine="480"/>
      </w:pPr>
      <w:r>
        <w:rPr>
          <w:rFonts w:hint="eastAsia"/>
        </w:rPr>
        <w:t>见表</w:t>
      </w:r>
      <w:r>
        <w:t>2.1</w:t>
      </w:r>
      <w:r>
        <w:rPr>
          <w:rFonts w:hint="eastAsia"/>
        </w:rPr>
        <w:t>-5。</w:t>
      </w:r>
    </w:p>
    <w:p w14:paraId="5C75D871">
      <w:pPr>
        <w:pStyle w:val="5"/>
      </w:pPr>
      <w:r>
        <w:rPr>
          <w:rFonts w:hint="eastAsia"/>
        </w:rPr>
        <w:t>项目验收情况</w:t>
      </w:r>
    </w:p>
    <w:p w14:paraId="2FFD5E30">
      <w:pPr>
        <w:pStyle w:val="117"/>
        <w:ind w:firstLine="480"/>
      </w:pPr>
      <w:r>
        <w:rPr>
          <w:rFonts w:hint="eastAsia"/>
        </w:rPr>
        <w:t>该项目在</w:t>
      </w:r>
      <w:r>
        <w:t>2022</w:t>
      </w:r>
      <w:r>
        <w:rPr>
          <w:rFonts w:hint="eastAsia"/>
        </w:rPr>
        <w:t>年</w:t>
      </w:r>
      <w:r>
        <w:t>8</w:t>
      </w:r>
      <w:r>
        <w:rPr>
          <w:rFonts w:hint="eastAsia"/>
        </w:rPr>
        <w:t>月</w:t>
      </w:r>
      <w:r>
        <w:t>7</w:t>
      </w:r>
      <w:r>
        <w:rPr>
          <w:rFonts w:hint="eastAsia"/>
        </w:rPr>
        <w:t>日进行竣工环境保护自主验收出具《</w:t>
      </w:r>
      <w:r>
        <w:rPr>
          <w:rFonts w:hint="eastAsia"/>
          <w:color w:val="000000"/>
        </w:rPr>
        <w:t>新疆金盛镁业有</w:t>
      </w:r>
      <w:r>
        <w:rPr>
          <w:rFonts w:hint="eastAsia"/>
        </w:rPr>
        <w:t>限公司</w:t>
      </w:r>
      <w:r>
        <w:rPr>
          <w:rFonts w:hint="eastAsia"/>
          <w:color w:val="000000"/>
        </w:rPr>
        <w:t>烘干设备技术改造项目</w:t>
      </w:r>
      <w:r>
        <w:rPr>
          <w:rFonts w:hint="eastAsia"/>
        </w:rPr>
        <w:t>竣工环境保护验收意见》验收结论，</w:t>
      </w:r>
      <w:r>
        <w:rPr>
          <w:rFonts w:hint="eastAsia"/>
          <w:color w:val="000000"/>
        </w:rPr>
        <w:t>新疆金盛镁业有限公司烘干设备技术改造项目</w:t>
      </w:r>
      <w:r>
        <w:rPr>
          <w:rFonts w:hint="eastAsia"/>
        </w:rPr>
        <w:t>环境保护手续齐全，本项目基本落实了环境影响评价报告表提出的污染物历冶措施及审批部门审批意见要求，环境保护设施与主体工程同时投产使用，废气、废水、厂界噪声可达标排放，固废可得到合理处置。本项目符合验收条件及要求，验收组同意该项目通过验收。</w:t>
      </w:r>
    </w:p>
    <w:p w14:paraId="261329EF">
      <w:pPr>
        <w:widowControl/>
        <w:ind w:firstLine="0" w:firstLineChars="0"/>
        <w:jc w:val="left"/>
        <w:rPr>
          <w:rFonts w:cs="宋体"/>
        </w:rPr>
        <w:sectPr>
          <w:pgSz w:w="11906" w:h="16838"/>
          <w:pgMar w:top="1440" w:right="1800" w:bottom="1440" w:left="1800" w:header="850" w:footer="850" w:gutter="0"/>
          <w:cols w:space="720" w:num="1"/>
          <w:docGrid w:type="lines" w:linePitch="326" w:charSpace="0"/>
        </w:sectPr>
      </w:pPr>
    </w:p>
    <w:p w14:paraId="483C8F23">
      <w:pPr>
        <w:pStyle w:val="118"/>
        <w:ind w:firstLine="480"/>
      </w:pPr>
      <w:r>
        <w:rPr>
          <w:rFonts w:hint="eastAsia"/>
        </w:rPr>
        <w:t>表</w:t>
      </w:r>
      <w:r>
        <w:t>2.1</w:t>
      </w:r>
      <w:r>
        <w:rPr>
          <w:rFonts w:hint="eastAsia"/>
        </w:rPr>
        <w:t>-5</w:t>
      </w:r>
      <w:r>
        <w:t xml:space="preserve">  </w:t>
      </w:r>
      <w:bookmarkStart w:id="201" w:name="OLE_LINK5"/>
      <w:r>
        <w:rPr>
          <w:rFonts w:hint="eastAsia"/>
        </w:rPr>
        <w:t>烘干设备技术改造项目的环评批复落实情况</w:t>
      </w:r>
      <w:bookmarkEnd w:id="201"/>
    </w:p>
    <w:tbl>
      <w:tblPr>
        <w:tblStyle w:val="6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61"/>
        <w:gridCol w:w="567"/>
        <w:gridCol w:w="6804"/>
        <w:gridCol w:w="4820"/>
        <w:gridCol w:w="476"/>
      </w:tblGrid>
      <w:tr w14:paraId="2C37EE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61" w:type="dxa"/>
            <w:tcBorders>
              <w:top w:val="single" w:color="000000" w:sz="12" w:space="0"/>
              <w:left w:val="single" w:color="000000" w:sz="12" w:space="0"/>
              <w:bottom w:val="single" w:color="000000" w:sz="4" w:space="0"/>
              <w:right w:val="single" w:color="000000" w:sz="4" w:space="0"/>
            </w:tcBorders>
            <w:vAlign w:val="center"/>
          </w:tcPr>
          <w:p w14:paraId="564C1F55">
            <w:pPr>
              <w:spacing w:line="276" w:lineRule="auto"/>
              <w:ind w:firstLine="0" w:firstLineChars="0"/>
              <w:jc w:val="center"/>
              <w:rPr>
                <w:b/>
                <w:bCs/>
                <w:sz w:val="21"/>
                <w:szCs w:val="21"/>
              </w:rPr>
            </w:pPr>
            <w:r>
              <w:rPr>
                <w:rFonts w:hint="eastAsia"/>
                <w:b/>
                <w:bCs/>
                <w:sz w:val="21"/>
                <w:szCs w:val="21"/>
              </w:rPr>
              <w:t>文件名称</w:t>
            </w:r>
          </w:p>
        </w:tc>
        <w:tc>
          <w:tcPr>
            <w:tcW w:w="567" w:type="dxa"/>
            <w:tcBorders>
              <w:top w:val="single" w:color="000000" w:sz="12" w:space="0"/>
              <w:left w:val="single" w:color="000000" w:sz="4" w:space="0"/>
              <w:bottom w:val="single" w:color="000000" w:sz="4" w:space="0"/>
              <w:right w:val="single" w:color="000000" w:sz="4" w:space="0"/>
            </w:tcBorders>
            <w:vAlign w:val="center"/>
          </w:tcPr>
          <w:p w14:paraId="415AF61E">
            <w:pPr>
              <w:spacing w:line="276" w:lineRule="auto"/>
              <w:ind w:firstLine="0" w:firstLineChars="0"/>
              <w:jc w:val="center"/>
              <w:rPr>
                <w:b/>
                <w:bCs/>
                <w:sz w:val="21"/>
                <w:szCs w:val="21"/>
              </w:rPr>
            </w:pPr>
            <w:r>
              <w:rPr>
                <w:rFonts w:hint="eastAsia"/>
                <w:b/>
                <w:bCs/>
                <w:sz w:val="21"/>
                <w:szCs w:val="21"/>
              </w:rPr>
              <w:t>序号</w:t>
            </w:r>
          </w:p>
        </w:tc>
        <w:tc>
          <w:tcPr>
            <w:tcW w:w="6804" w:type="dxa"/>
            <w:tcBorders>
              <w:top w:val="single" w:color="000000" w:sz="12" w:space="0"/>
              <w:left w:val="single" w:color="000000" w:sz="4" w:space="0"/>
              <w:bottom w:val="single" w:color="000000" w:sz="4" w:space="0"/>
              <w:right w:val="single" w:color="000000" w:sz="4" w:space="0"/>
            </w:tcBorders>
            <w:vAlign w:val="center"/>
          </w:tcPr>
          <w:p w14:paraId="59A0A880">
            <w:pPr>
              <w:spacing w:line="276" w:lineRule="auto"/>
              <w:ind w:firstLine="0" w:firstLineChars="0"/>
              <w:jc w:val="center"/>
              <w:rPr>
                <w:b/>
                <w:bCs/>
                <w:sz w:val="21"/>
                <w:szCs w:val="21"/>
              </w:rPr>
            </w:pPr>
            <w:r>
              <w:rPr>
                <w:rFonts w:hint="eastAsia"/>
                <w:b/>
                <w:bCs/>
                <w:sz w:val="21"/>
                <w:szCs w:val="21"/>
              </w:rPr>
              <w:t>批复要求</w:t>
            </w:r>
          </w:p>
        </w:tc>
        <w:tc>
          <w:tcPr>
            <w:tcW w:w="4820" w:type="dxa"/>
            <w:tcBorders>
              <w:top w:val="single" w:color="000000" w:sz="12" w:space="0"/>
              <w:left w:val="single" w:color="000000" w:sz="4" w:space="0"/>
              <w:bottom w:val="single" w:color="000000" w:sz="4" w:space="0"/>
              <w:right w:val="single" w:color="000000" w:sz="4" w:space="0"/>
            </w:tcBorders>
            <w:vAlign w:val="center"/>
          </w:tcPr>
          <w:p w14:paraId="036D1AE8">
            <w:pPr>
              <w:spacing w:line="276" w:lineRule="auto"/>
              <w:ind w:firstLine="0" w:firstLineChars="0"/>
              <w:jc w:val="center"/>
              <w:rPr>
                <w:b/>
                <w:bCs/>
                <w:sz w:val="21"/>
                <w:szCs w:val="21"/>
              </w:rPr>
            </w:pPr>
            <w:r>
              <w:rPr>
                <w:rFonts w:hint="eastAsia"/>
                <w:b/>
                <w:bCs/>
                <w:sz w:val="21"/>
                <w:szCs w:val="21"/>
              </w:rPr>
              <w:t>建设情况</w:t>
            </w:r>
          </w:p>
        </w:tc>
        <w:tc>
          <w:tcPr>
            <w:tcW w:w="476" w:type="dxa"/>
            <w:tcBorders>
              <w:top w:val="single" w:color="000000" w:sz="12" w:space="0"/>
              <w:left w:val="single" w:color="000000" w:sz="4" w:space="0"/>
              <w:bottom w:val="single" w:color="000000" w:sz="4" w:space="0"/>
              <w:right w:val="single" w:color="000000" w:sz="12" w:space="0"/>
            </w:tcBorders>
            <w:vAlign w:val="center"/>
          </w:tcPr>
          <w:p w14:paraId="0BADF90C">
            <w:pPr>
              <w:spacing w:line="276" w:lineRule="auto"/>
              <w:ind w:firstLine="0" w:firstLineChars="0"/>
              <w:jc w:val="center"/>
              <w:rPr>
                <w:b/>
                <w:bCs/>
                <w:sz w:val="21"/>
                <w:szCs w:val="21"/>
              </w:rPr>
            </w:pPr>
            <w:r>
              <w:rPr>
                <w:rFonts w:hint="eastAsia"/>
                <w:b/>
                <w:bCs/>
                <w:sz w:val="21"/>
                <w:szCs w:val="21"/>
              </w:rPr>
              <w:t>相符性</w:t>
            </w:r>
          </w:p>
        </w:tc>
      </w:tr>
      <w:tr w14:paraId="3DD504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61" w:type="dxa"/>
            <w:vMerge w:val="restart"/>
            <w:tcBorders>
              <w:top w:val="single" w:color="000000" w:sz="4" w:space="0"/>
              <w:left w:val="single" w:color="000000" w:sz="12" w:space="0"/>
              <w:bottom w:val="single" w:color="000000" w:sz="12" w:space="0"/>
              <w:right w:val="single" w:color="000000" w:sz="4" w:space="0"/>
            </w:tcBorders>
            <w:vAlign w:val="center"/>
          </w:tcPr>
          <w:p w14:paraId="78CFB1E3">
            <w:pPr>
              <w:spacing w:line="276" w:lineRule="auto"/>
              <w:ind w:firstLine="0" w:firstLineChars="0"/>
              <w:jc w:val="center"/>
              <w:rPr>
                <w:sz w:val="21"/>
                <w:szCs w:val="21"/>
              </w:rPr>
            </w:pPr>
            <w:r>
              <w:rPr>
                <w:rFonts w:hint="eastAsia"/>
                <w:sz w:val="21"/>
                <w:szCs w:val="21"/>
              </w:rPr>
              <w:t>《关于新疆金盛镁业有限公司兰炭烘干设备技术改造项目环境影响报告表的批复》（哈市环监函</w:t>
            </w:r>
            <w:r>
              <w:rPr>
                <w:sz w:val="21"/>
                <w:szCs w:val="21"/>
              </w:rPr>
              <w:t xml:space="preserve"> [2021]23</w:t>
            </w:r>
            <w:r>
              <w:rPr>
                <w:rFonts w:hint="eastAsia"/>
                <w:sz w:val="21"/>
                <w:szCs w:val="21"/>
              </w:rPr>
              <w:t>号）</w:t>
            </w:r>
          </w:p>
        </w:tc>
        <w:tc>
          <w:tcPr>
            <w:tcW w:w="567" w:type="dxa"/>
            <w:tcBorders>
              <w:top w:val="single" w:color="000000" w:sz="4" w:space="0"/>
              <w:left w:val="single" w:color="000000" w:sz="4" w:space="0"/>
              <w:bottom w:val="single" w:color="000000" w:sz="4" w:space="0"/>
              <w:right w:val="single" w:color="000000" w:sz="4" w:space="0"/>
            </w:tcBorders>
            <w:vAlign w:val="center"/>
          </w:tcPr>
          <w:p w14:paraId="52E845C1">
            <w:pPr>
              <w:spacing w:line="276" w:lineRule="auto"/>
              <w:ind w:firstLine="0" w:firstLineChars="0"/>
              <w:jc w:val="center"/>
              <w:rPr>
                <w:sz w:val="21"/>
                <w:szCs w:val="21"/>
              </w:rPr>
            </w:pPr>
            <w:r>
              <w:rPr>
                <w:sz w:val="21"/>
                <w:szCs w:val="21"/>
              </w:rPr>
              <w:t>1</w:t>
            </w:r>
          </w:p>
        </w:tc>
        <w:tc>
          <w:tcPr>
            <w:tcW w:w="6804" w:type="dxa"/>
            <w:tcBorders>
              <w:top w:val="single" w:color="000000" w:sz="4" w:space="0"/>
              <w:left w:val="single" w:color="000000" w:sz="4" w:space="0"/>
              <w:bottom w:val="single" w:color="000000" w:sz="4" w:space="0"/>
              <w:right w:val="single" w:color="000000" w:sz="4" w:space="0"/>
            </w:tcBorders>
            <w:vAlign w:val="center"/>
          </w:tcPr>
          <w:p w14:paraId="33C8D35B">
            <w:pPr>
              <w:spacing w:line="276" w:lineRule="auto"/>
              <w:ind w:firstLine="0" w:firstLineChars="0"/>
              <w:jc w:val="center"/>
              <w:rPr>
                <w:sz w:val="21"/>
                <w:szCs w:val="21"/>
              </w:rPr>
            </w:pPr>
            <w:r>
              <w:rPr>
                <w:rFonts w:hint="eastAsia"/>
                <w:sz w:val="21"/>
                <w:szCs w:val="21"/>
              </w:rPr>
              <w:t>严格落实大气污染防治措施。施工场地定期洒水抑尘，散装物料堆放和运输时加盖篷布、禁止大风天气施工。运营期皮带输送、破碎、筛分工段采取全封闭措施，并产尘点设置集气罩，集中收集后由布袋除尘器对含尘气体净化处理</w:t>
            </w:r>
            <w:r>
              <w:rPr>
                <w:sz w:val="21"/>
                <w:szCs w:val="21"/>
              </w:rPr>
              <w:t>,</w:t>
            </w:r>
            <w:r>
              <w:rPr>
                <w:rFonts w:hint="eastAsia"/>
                <w:sz w:val="21"/>
                <w:szCs w:val="21"/>
              </w:rPr>
              <w:t>经</w:t>
            </w:r>
            <w:r>
              <w:rPr>
                <w:sz w:val="21"/>
                <w:szCs w:val="21"/>
              </w:rPr>
              <w:t>15m</w:t>
            </w:r>
            <w:r>
              <w:rPr>
                <w:rFonts w:hint="eastAsia"/>
                <w:sz w:val="21"/>
                <w:szCs w:val="21"/>
              </w:rPr>
              <w:t>高排气筒排放。兰炭烘干生产线排放口设置</w:t>
            </w:r>
            <w:r>
              <w:rPr>
                <w:sz w:val="21"/>
                <w:szCs w:val="21"/>
              </w:rPr>
              <w:t>1</w:t>
            </w:r>
            <w:r>
              <w:rPr>
                <w:rFonts w:hint="eastAsia"/>
                <w:sz w:val="21"/>
                <w:szCs w:val="21"/>
              </w:rPr>
              <w:t>套废气处理设施</w:t>
            </w:r>
            <w:r>
              <w:rPr>
                <w:sz w:val="21"/>
                <w:szCs w:val="21"/>
              </w:rPr>
              <w:t>,</w:t>
            </w:r>
            <w:r>
              <w:rPr>
                <w:rFonts w:hint="eastAsia"/>
                <w:sz w:val="21"/>
                <w:szCs w:val="21"/>
              </w:rPr>
              <w:t>燃烧烘干废气经旋风除尘器</w:t>
            </w:r>
            <w:r>
              <w:rPr>
                <w:sz w:val="21"/>
                <w:szCs w:val="21"/>
              </w:rPr>
              <w:t>+</w:t>
            </w:r>
            <w:r>
              <w:rPr>
                <w:rFonts w:hint="eastAsia"/>
                <w:sz w:val="21"/>
                <w:szCs w:val="21"/>
              </w:rPr>
              <w:t>脉冲布袋除尘器处理后经</w:t>
            </w:r>
            <w:r>
              <w:rPr>
                <w:sz w:val="21"/>
                <w:szCs w:val="21"/>
              </w:rPr>
              <w:t>25</w:t>
            </w:r>
            <w:r>
              <w:rPr>
                <w:rFonts w:hint="eastAsia"/>
                <w:sz w:val="21"/>
                <w:szCs w:val="21"/>
              </w:rPr>
              <w:t>米高排气筒排放，有组织废气排放浓度须满足《炼焦化学工业污染物排放标准》</w:t>
            </w:r>
            <w:r>
              <w:rPr>
                <w:sz w:val="21"/>
                <w:szCs w:val="21"/>
              </w:rPr>
              <w:t xml:space="preserve"> </w:t>
            </w:r>
            <w:r>
              <w:rPr>
                <w:rFonts w:hint="eastAsia"/>
                <w:sz w:val="21"/>
                <w:szCs w:val="21"/>
              </w:rPr>
              <w:t>（</w:t>
            </w:r>
            <w:r>
              <w:rPr>
                <w:sz w:val="21"/>
                <w:szCs w:val="21"/>
              </w:rPr>
              <w:t>GB16171-2012</w:t>
            </w:r>
            <w:r>
              <w:rPr>
                <w:rFonts w:hint="eastAsia"/>
                <w:sz w:val="21"/>
                <w:szCs w:val="21"/>
              </w:rPr>
              <w:t>）表</w:t>
            </w:r>
            <w:r>
              <w:rPr>
                <w:sz w:val="21"/>
                <w:szCs w:val="21"/>
              </w:rPr>
              <w:t>5</w:t>
            </w:r>
            <w:r>
              <w:rPr>
                <w:rFonts w:hint="eastAsia"/>
                <w:sz w:val="21"/>
                <w:szCs w:val="21"/>
              </w:rPr>
              <w:t>新建企业大气污染物排放浓度限值要求，无组织废气排放浓度须满足《炼焦化学工业污染物排放标准》（</w:t>
            </w:r>
            <w:r>
              <w:rPr>
                <w:sz w:val="21"/>
                <w:szCs w:val="21"/>
              </w:rPr>
              <w:t>GB16171-2012</w:t>
            </w:r>
            <w:r>
              <w:rPr>
                <w:rFonts w:hint="eastAsia"/>
                <w:sz w:val="21"/>
                <w:szCs w:val="21"/>
              </w:rPr>
              <w:t>）表</w:t>
            </w:r>
            <w:r>
              <w:rPr>
                <w:sz w:val="21"/>
                <w:szCs w:val="21"/>
              </w:rPr>
              <w:t xml:space="preserve">7 </w:t>
            </w:r>
            <w:r>
              <w:rPr>
                <w:rFonts w:hint="eastAsia"/>
                <w:sz w:val="21"/>
                <w:szCs w:val="21"/>
              </w:rPr>
              <w:t>现有和新建炼焦炉炉顶及企业边界大气污染物浓度限值要求。</w:t>
            </w:r>
          </w:p>
        </w:tc>
        <w:tc>
          <w:tcPr>
            <w:tcW w:w="4820" w:type="dxa"/>
            <w:tcBorders>
              <w:top w:val="single" w:color="000000" w:sz="4" w:space="0"/>
              <w:left w:val="single" w:color="000000" w:sz="4" w:space="0"/>
              <w:bottom w:val="single" w:color="000000" w:sz="4" w:space="0"/>
              <w:right w:val="single" w:color="000000" w:sz="4" w:space="0"/>
            </w:tcBorders>
            <w:vAlign w:val="center"/>
          </w:tcPr>
          <w:p w14:paraId="3A612685">
            <w:pPr>
              <w:spacing w:line="276" w:lineRule="auto"/>
              <w:ind w:firstLine="0" w:firstLineChars="0"/>
              <w:jc w:val="center"/>
              <w:rPr>
                <w:sz w:val="21"/>
                <w:szCs w:val="21"/>
              </w:rPr>
            </w:pPr>
            <w:r>
              <w:rPr>
                <w:rFonts w:hint="eastAsia"/>
                <w:sz w:val="21"/>
                <w:szCs w:val="21"/>
              </w:rPr>
              <w:t>运营期，在破碎、筛分工段采取全封闭措施，并产尘点设置集气罩，集中收集后由布袋除尘器对含尘气体净化处理</w:t>
            </w:r>
            <w:r>
              <w:rPr>
                <w:sz w:val="21"/>
                <w:szCs w:val="21"/>
              </w:rPr>
              <w:t>,</w:t>
            </w:r>
            <w:r>
              <w:rPr>
                <w:rFonts w:hint="eastAsia"/>
                <w:sz w:val="21"/>
                <w:szCs w:val="21"/>
              </w:rPr>
              <w:t>经</w:t>
            </w:r>
            <w:r>
              <w:rPr>
                <w:sz w:val="21"/>
                <w:szCs w:val="21"/>
              </w:rPr>
              <w:t>15m</w:t>
            </w:r>
            <w:r>
              <w:rPr>
                <w:rFonts w:hint="eastAsia"/>
                <w:sz w:val="21"/>
                <w:szCs w:val="21"/>
              </w:rPr>
              <w:t>高排气筒排放。兰炭烘干生产线排放口设置</w:t>
            </w:r>
            <w:r>
              <w:rPr>
                <w:sz w:val="21"/>
                <w:szCs w:val="21"/>
              </w:rPr>
              <w:t>1</w:t>
            </w:r>
            <w:r>
              <w:rPr>
                <w:rFonts w:hint="eastAsia"/>
                <w:sz w:val="21"/>
                <w:szCs w:val="21"/>
              </w:rPr>
              <w:t>套废气处理设施</w:t>
            </w:r>
            <w:r>
              <w:rPr>
                <w:sz w:val="21"/>
                <w:szCs w:val="21"/>
              </w:rPr>
              <w:t>,</w:t>
            </w:r>
            <w:r>
              <w:rPr>
                <w:rFonts w:hint="eastAsia"/>
                <w:sz w:val="21"/>
                <w:szCs w:val="21"/>
              </w:rPr>
              <w:t>燃烧烘干废气经旋风除尘器</w:t>
            </w:r>
            <w:r>
              <w:rPr>
                <w:sz w:val="21"/>
                <w:szCs w:val="21"/>
              </w:rPr>
              <w:t>+</w:t>
            </w:r>
            <w:r>
              <w:rPr>
                <w:rFonts w:hint="eastAsia"/>
                <w:sz w:val="21"/>
                <w:szCs w:val="21"/>
              </w:rPr>
              <w:t>脉冲布袋除尘器处理后经</w:t>
            </w:r>
            <w:r>
              <w:rPr>
                <w:sz w:val="21"/>
                <w:szCs w:val="21"/>
              </w:rPr>
              <w:t>25</w:t>
            </w:r>
            <w:r>
              <w:rPr>
                <w:rFonts w:hint="eastAsia"/>
                <w:sz w:val="21"/>
                <w:szCs w:val="21"/>
              </w:rPr>
              <w:t>米高排气筒排放，有组织废气排放浓度须满足《炼焦化学工业污染物排放标准》（</w:t>
            </w:r>
            <w:r>
              <w:rPr>
                <w:sz w:val="21"/>
                <w:szCs w:val="21"/>
              </w:rPr>
              <w:t>GB16171-2012</w:t>
            </w:r>
            <w:r>
              <w:rPr>
                <w:rFonts w:hint="eastAsia"/>
                <w:sz w:val="21"/>
                <w:szCs w:val="21"/>
              </w:rPr>
              <w:t>）表</w:t>
            </w:r>
            <w:r>
              <w:rPr>
                <w:sz w:val="21"/>
                <w:szCs w:val="21"/>
              </w:rPr>
              <w:t>5</w:t>
            </w:r>
            <w:r>
              <w:rPr>
                <w:rFonts w:hint="eastAsia"/>
                <w:sz w:val="21"/>
                <w:szCs w:val="21"/>
              </w:rPr>
              <w:t>新建企业大气污染物排放浓度限值要求，无组织废气排放浓度须满足《炼焦化学工业污染物排放标准》（</w:t>
            </w:r>
            <w:r>
              <w:rPr>
                <w:sz w:val="21"/>
                <w:szCs w:val="21"/>
              </w:rPr>
              <w:t>GB16171-2012</w:t>
            </w:r>
            <w:r>
              <w:rPr>
                <w:rFonts w:hint="eastAsia"/>
                <w:sz w:val="21"/>
                <w:szCs w:val="21"/>
              </w:rPr>
              <w:t>）表</w:t>
            </w:r>
            <w:r>
              <w:rPr>
                <w:sz w:val="21"/>
                <w:szCs w:val="21"/>
              </w:rPr>
              <w:t>7</w:t>
            </w:r>
            <w:r>
              <w:rPr>
                <w:rFonts w:hint="eastAsia"/>
                <w:sz w:val="21"/>
                <w:szCs w:val="21"/>
              </w:rPr>
              <w:t>现有和新建炼焦炉炉顶及企业边界大气污染物浓度限值要求。</w:t>
            </w:r>
          </w:p>
        </w:tc>
        <w:tc>
          <w:tcPr>
            <w:tcW w:w="476" w:type="dxa"/>
            <w:tcBorders>
              <w:top w:val="single" w:color="000000" w:sz="4" w:space="0"/>
              <w:left w:val="single" w:color="000000" w:sz="4" w:space="0"/>
              <w:bottom w:val="single" w:color="000000" w:sz="4" w:space="0"/>
              <w:right w:val="single" w:color="000000" w:sz="12" w:space="0"/>
            </w:tcBorders>
            <w:vAlign w:val="center"/>
          </w:tcPr>
          <w:p w14:paraId="3C0F9BB3">
            <w:pPr>
              <w:spacing w:line="276" w:lineRule="auto"/>
              <w:ind w:firstLine="0" w:firstLineChars="0"/>
              <w:jc w:val="center"/>
              <w:rPr>
                <w:sz w:val="21"/>
                <w:szCs w:val="21"/>
              </w:rPr>
            </w:pPr>
            <w:r>
              <w:rPr>
                <w:rFonts w:hint="eastAsia"/>
                <w:sz w:val="21"/>
                <w:szCs w:val="21"/>
              </w:rPr>
              <w:t>相符</w:t>
            </w:r>
          </w:p>
        </w:tc>
      </w:tr>
      <w:tr w14:paraId="4515D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301F9631">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46D19963">
            <w:pPr>
              <w:spacing w:line="276" w:lineRule="auto"/>
              <w:ind w:firstLine="0" w:firstLineChars="0"/>
              <w:jc w:val="center"/>
              <w:rPr>
                <w:sz w:val="21"/>
                <w:szCs w:val="21"/>
              </w:rPr>
            </w:pPr>
            <w:r>
              <w:rPr>
                <w:sz w:val="21"/>
                <w:szCs w:val="21"/>
              </w:rPr>
              <w:t>2</w:t>
            </w:r>
          </w:p>
        </w:tc>
        <w:tc>
          <w:tcPr>
            <w:tcW w:w="6804" w:type="dxa"/>
            <w:tcBorders>
              <w:top w:val="single" w:color="000000" w:sz="4" w:space="0"/>
              <w:left w:val="single" w:color="000000" w:sz="4" w:space="0"/>
              <w:bottom w:val="single" w:color="000000" w:sz="4" w:space="0"/>
              <w:right w:val="single" w:color="000000" w:sz="4" w:space="0"/>
            </w:tcBorders>
            <w:vAlign w:val="center"/>
          </w:tcPr>
          <w:p w14:paraId="71F63EA8">
            <w:pPr>
              <w:spacing w:line="276" w:lineRule="auto"/>
              <w:ind w:firstLine="0" w:firstLineChars="0"/>
              <w:jc w:val="center"/>
              <w:rPr>
                <w:sz w:val="21"/>
                <w:szCs w:val="21"/>
              </w:rPr>
            </w:pPr>
            <w:r>
              <w:rPr>
                <w:rFonts w:hint="eastAsia"/>
                <w:sz w:val="21"/>
                <w:szCs w:val="21"/>
              </w:rPr>
              <w:t>严格落实各项水污染防治措施。施工期施工废水通过防隔油</w:t>
            </w:r>
            <w:r>
              <w:rPr>
                <w:sz w:val="21"/>
                <w:szCs w:val="21"/>
              </w:rPr>
              <w:t>-</w:t>
            </w:r>
            <w:r>
              <w:rPr>
                <w:rFonts w:hint="eastAsia"/>
                <w:sz w:val="21"/>
                <w:szCs w:val="21"/>
              </w:rPr>
              <w:t>沉淀池处理后，回用于洒水降尘；生活污水经厂区现有生活污水处理系统处理后，达到《城市污水再生利用城市杂用水水质》（</w:t>
            </w:r>
            <w:r>
              <w:rPr>
                <w:sz w:val="21"/>
                <w:szCs w:val="21"/>
              </w:rPr>
              <w:t>GB/T18920-2002</w:t>
            </w:r>
            <w:r>
              <w:rPr>
                <w:rFonts w:hint="eastAsia"/>
                <w:sz w:val="21"/>
                <w:szCs w:val="21"/>
              </w:rPr>
              <w:t>）绿化用水标准，回用于绿化、煤棚、贮焦棚洒水抑尘。</w:t>
            </w:r>
          </w:p>
        </w:tc>
        <w:tc>
          <w:tcPr>
            <w:tcW w:w="4820" w:type="dxa"/>
            <w:tcBorders>
              <w:top w:val="single" w:color="000000" w:sz="4" w:space="0"/>
              <w:left w:val="single" w:color="000000" w:sz="4" w:space="0"/>
              <w:bottom w:val="single" w:color="000000" w:sz="4" w:space="0"/>
              <w:right w:val="single" w:color="000000" w:sz="4" w:space="0"/>
            </w:tcBorders>
            <w:vAlign w:val="center"/>
          </w:tcPr>
          <w:p w14:paraId="0ECEAF1E">
            <w:pPr>
              <w:spacing w:line="276" w:lineRule="auto"/>
              <w:ind w:firstLine="0" w:firstLineChars="0"/>
              <w:jc w:val="center"/>
              <w:rPr>
                <w:sz w:val="21"/>
                <w:szCs w:val="21"/>
              </w:rPr>
            </w:pPr>
            <w:r>
              <w:rPr>
                <w:rFonts w:hint="eastAsia"/>
                <w:sz w:val="21"/>
                <w:szCs w:val="21"/>
              </w:rPr>
              <w:t>施工期施工废水通过防隔油</w:t>
            </w:r>
            <w:r>
              <w:rPr>
                <w:sz w:val="21"/>
                <w:szCs w:val="21"/>
              </w:rPr>
              <w:t>-</w:t>
            </w:r>
            <w:r>
              <w:rPr>
                <w:rFonts w:hint="eastAsia"/>
                <w:sz w:val="21"/>
                <w:szCs w:val="21"/>
              </w:rPr>
              <w:t>沉淀池处理后，回用于洒水降尘；运营期</w:t>
            </w:r>
            <w:r>
              <w:rPr>
                <w:sz w:val="21"/>
                <w:szCs w:val="21"/>
              </w:rPr>
              <w:t>生产废水处理后全部回用，不外排，生活</w:t>
            </w:r>
            <w:r>
              <w:rPr>
                <w:rFonts w:hint="eastAsia"/>
                <w:sz w:val="21"/>
                <w:szCs w:val="21"/>
              </w:rPr>
              <w:t>污水</w:t>
            </w:r>
            <w:r>
              <w:rPr>
                <w:sz w:val="21"/>
                <w:szCs w:val="21"/>
              </w:rPr>
              <w:t>经处理后部分回用于绿化和洒水抑尘，部分排至园区污水处理厂</w:t>
            </w:r>
            <w:r>
              <w:rPr>
                <w:rFonts w:hint="eastAsia"/>
                <w:sz w:val="21"/>
                <w:szCs w:val="21"/>
              </w:rPr>
              <w:t>。</w:t>
            </w:r>
          </w:p>
        </w:tc>
        <w:tc>
          <w:tcPr>
            <w:tcW w:w="476" w:type="dxa"/>
            <w:tcBorders>
              <w:top w:val="single" w:color="000000" w:sz="4" w:space="0"/>
              <w:left w:val="single" w:color="000000" w:sz="4" w:space="0"/>
              <w:bottom w:val="single" w:color="000000" w:sz="4" w:space="0"/>
              <w:right w:val="single" w:color="000000" w:sz="12" w:space="0"/>
            </w:tcBorders>
            <w:vAlign w:val="center"/>
          </w:tcPr>
          <w:p w14:paraId="2A20BD95">
            <w:pPr>
              <w:spacing w:line="276" w:lineRule="auto"/>
              <w:ind w:firstLine="0" w:firstLineChars="0"/>
              <w:jc w:val="center"/>
              <w:rPr>
                <w:sz w:val="21"/>
                <w:szCs w:val="21"/>
              </w:rPr>
            </w:pPr>
            <w:r>
              <w:rPr>
                <w:rFonts w:hint="eastAsia"/>
                <w:sz w:val="21"/>
                <w:szCs w:val="21"/>
              </w:rPr>
              <w:t>相符</w:t>
            </w:r>
          </w:p>
        </w:tc>
      </w:tr>
      <w:tr w14:paraId="7D2ABE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714C609E">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1A238164">
            <w:pPr>
              <w:spacing w:line="276" w:lineRule="auto"/>
              <w:ind w:firstLine="0" w:firstLineChars="0"/>
              <w:jc w:val="center"/>
              <w:rPr>
                <w:sz w:val="21"/>
                <w:szCs w:val="21"/>
              </w:rPr>
            </w:pPr>
            <w:r>
              <w:rPr>
                <w:sz w:val="21"/>
                <w:szCs w:val="21"/>
              </w:rPr>
              <w:t>3</w:t>
            </w:r>
          </w:p>
        </w:tc>
        <w:tc>
          <w:tcPr>
            <w:tcW w:w="6804" w:type="dxa"/>
            <w:tcBorders>
              <w:top w:val="single" w:color="000000" w:sz="4" w:space="0"/>
              <w:left w:val="single" w:color="000000" w:sz="4" w:space="0"/>
              <w:bottom w:val="single" w:color="000000" w:sz="4" w:space="0"/>
              <w:right w:val="single" w:color="000000" w:sz="4" w:space="0"/>
            </w:tcBorders>
            <w:vAlign w:val="center"/>
          </w:tcPr>
          <w:p w14:paraId="5F2793B2">
            <w:pPr>
              <w:spacing w:line="276" w:lineRule="auto"/>
              <w:ind w:firstLine="0" w:firstLineChars="0"/>
              <w:jc w:val="center"/>
              <w:rPr>
                <w:sz w:val="21"/>
                <w:szCs w:val="21"/>
              </w:rPr>
            </w:pPr>
            <w:r>
              <w:rPr>
                <w:rFonts w:hint="eastAsia"/>
                <w:sz w:val="21"/>
                <w:szCs w:val="21"/>
              </w:rPr>
              <w:t>严格落实各项噪声防治措施。优先选用低噪声设备，定期对作业机械、牛辆近行维步，加强设备的日常管理及维护，厂界噪声须满足《工业企业厂界环境噪声排放标准》</w:t>
            </w:r>
            <w:r>
              <w:rPr>
                <w:sz w:val="21"/>
                <w:szCs w:val="21"/>
              </w:rPr>
              <w:t xml:space="preserve"> </w:t>
            </w:r>
            <w:r>
              <w:rPr>
                <w:rFonts w:hint="eastAsia"/>
                <w:sz w:val="21"/>
                <w:szCs w:val="21"/>
              </w:rPr>
              <w:t>（</w:t>
            </w:r>
            <w:r>
              <w:rPr>
                <w:sz w:val="21"/>
                <w:szCs w:val="21"/>
              </w:rPr>
              <w:t>GB12348-2008</w:t>
            </w:r>
            <w:r>
              <w:rPr>
                <w:rFonts w:hint="eastAsia"/>
                <w:sz w:val="21"/>
                <w:szCs w:val="21"/>
              </w:rPr>
              <w:t>）中</w:t>
            </w:r>
            <w:r>
              <w:rPr>
                <w:sz w:val="21"/>
                <w:szCs w:val="21"/>
              </w:rPr>
              <w:t>3</w:t>
            </w:r>
            <w:r>
              <w:rPr>
                <w:rFonts w:hint="eastAsia"/>
                <w:sz w:val="21"/>
                <w:szCs w:val="21"/>
              </w:rPr>
              <w:t>类标准。</w:t>
            </w:r>
          </w:p>
        </w:tc>
        <w:tc>
          <w:tcPr>
            <w:tcW w:w="4820" w:type="dxa"/>
            <w:tcBorders>
              <w:top w:val="single" w:color="000000" w:sz="4" w:space="0"/>
              <w:left w:val="single" w:color="000000" w:sz="4" w:space="0"/>
              <w:bottom w:val="single" w:color="000000" w:sz="4" w:space="0"/>
              <w:right w:val="single" w:color="000000" w:sz="4" w:space="0"/>
            </w:tcBorders>
            <w:vAlign w:val="center"/>
          </w:tcPr>
          <w:p w14:paraId="0C5A009D">
            <w:pPr>
              <w:spacing w:line="276" w:lineRule="auto"/>
              <w:ind w:firstLine="0" w:firstLineChars="0"/>
              <w:jc w:val="center"/>
              <w:rPr>
                <w:sz w:val="21"/>
                <w:szCs w:val="21"/>
              </w:rPr>
            </w:pPr>
            <w:r>
              <w:rPr>
                <w:rFonts w:hint="eastAsia"/>
                <w:sz w:val="21"/>
                <w:szCs w:val="21"/>
              </w:rPr>
              <w:t>选用低噪声设备，定期对作业机械、</w:t>
            </w:r>
            <w:r>
              <w:rPr>
                <w:sz w:val="21"/>
                <w:szCs w:val="21"/>
              </w:rPr>
              <w:t xml:space="preserve"> </w:t>
            </w:r>
            <w:r>
              <w:rPr>
                <w:rFonts w:hint="eastAsia"/>
                <w:sz w:val="21"/>
                <w:szCs w:val="21"/>
              </w:rPr>
              <w:t>牛辆近行维步，加强设备的日常管理及维护，厂界噪声须满足《工业企业厂界环境噪声排放标准》</w:t>
            </w:r>
            <w:r>
              <w:rPr>
                <w:sz w:val="21"/>
                <w:szCs w:val="21"/>
              </w:rPr>
              <w:t xml:space="preserve"> </w:t>
            </w:r>
            <w:r>
              <w:rPr>
                <w:rFonts w:hint="eastAsia"/>
                <w:sz w:val="21"/>
                <w:szCs w:val="21"/>
              </w:rPr>
              <w:t>（</w:t>
            </w:r>
            <w:r>
              <w:rPr>
                <w:sz w:val="21"/>
                <w:szCs w:val="21"/>
              </w:rPr>
              <w:t>GB12348-2008</w:t>
            </w:r>
            <w:r>
              <w:rPr>
                <w:rFonts w:hint="eastAsia"/>
                <w:sz w:val="21"/>
                <w:szCs w:val="21"/>
              </w:rPr>
              <w:t>）中</w:t>
            </w:r>
            <w:r>
              <w:rPr>
                <w:sz w:val="21"/>
                <w:szCs w:val="21"/>
              </w:rPr>
              <w:t>3</w:t>
            </w:r>
            <w:r>
              <w:rPr>
                <w:rFonts w:hint="eastAsia"/>
                <w:sz w:val="21"/>
                <w:szCs w:val="21"/>
              </w:rPr>
              <w:t>类标准。</w:t>
            </w:r>
          </w:p>
        </w:tc>
        <w:tc>
          <w:tcPr>
            <w:tcW w:w="476" w:type="dxa"/>
            <w:tcBorders>
              <w:top w:val="single" w:color="000000" w:sz="4" w:space="0"/>
              <w:left w:val="single" w:color="000000" w:sz="4" w:space="0"/>
              <w:bottom w:val="single" w:color="000000" w:sz="4" w:space="0"/>
              <w:right w:val="single" w:color="000000" w:sz="12" w:space="0"/>
            </w:tcBorders>
            <w:vAlign w:val="center"/>
          </w:tcPr>
          <w:p w14:paraId="73D63E8E">
            <w:pPr>
              <w:spacing w:line="276" w:lineRule="auto"/>
              <w:ind w:firstLine="0" w:firstLineChars="0"/>
              <w:jc w:val="center"/>
              <w:rPr>
                <w:sz w:val="21"/>
                <w:szCs w:val="21"/>
              </w:rPr>
            </w:pPr>
            <w:r>
              <w:rPr>
                <w:rFonts w:hint="eastAsia"/>
                <w:sz w:val="21"/>
                <w:szCs w:val="21"/>
              </w:rPr>
              <w:t>相符</w:t>
            </w:r>
          </w:p>
        </w:tc>
      </w:tr>
      <w:tr w14:paraId="124D0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6BD28AD3">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724A330">
            <w:pPr>
              <w:spacing w:line="276" w:lineRule="auto"/>
              <w:ind w:firstLine="0" w:firstLineChars="0"/>
              <w:jc w:val="center"/>
              <w:rPr>
                <w:sz w:val="21"/>
                <w:szCs w:val="21"/>
              </w:rPr>
            </w:pPr>
            <w:r>
              <w:rPr>
                <w:sz w:val="21"/>
                <w:szCs w:val="21"/>
              </w:rPr>
              <w:t>4</w:t>
            </w:r>
          </w:p>
        </w:tc>
        <w:tc>
          <w:tcPr>
            <w:tcW w:w="6804" w:type="dxa"/>
            <w:tcBorders>
              <w:top w:val="single" w:color="000000" w:sz="4" w:space="0"/>
              <w:left w:val="single" w:color="000000" w:sz="4" w:space="0"/>
              <w:bottom w:val="single" w:color="000000" w:sz="4" w:space="0"/>
              <w:right w:val="single" w:color="000000" w:sz="4" w:space="0"/>
            </w:tcBorders>
            <w:vAlign w:val="center"/>
          </w:tcPr>
          <w:p w14:paraId="23951685">
            <w:pPr>
              <w:spacing w:line="276" w:lineRule="auto"/>
              <w:ind w:firstLine="0" w:firstLineChars="0"/>
              <w:jc w:val="center"/>
              <w:rPr>
                <w:sz w:val="21"/>
                <w:szCs w:val="21"/>
              </w:rPr>
            </w:pPr>
            <w:r>
              <w:rPr>
                <w:rFonts w:hint="eastAsia"/>
                <w:sz w:val="21"/>
                <w:szCs w:val="21"/>
              </w:rPr>
              <w:t>严格落实固体废物分类处置措施。施工建筑垃圾尽可能回收利用，无法回收利用的集中收集后堆放于指定地点，由施工方统一清运。隔油沉淀池油泥用专用封闭容器收集后，暂存于厂区危险废物暂存间，委托有资质单位清运处置。运营期除尘器尘灰收集</w:t>
            </w:r>
            <w:r>
              <w:rPr>
                <w:sz w:val="21"/>
                <w:szCs w:val="21"/>
              </w:rPr>
              <w:t xml:space="preserve"> </w:t>
            </w:r>
            <w:r>
              <w:rPr>
                <w:rFonts w:hint="eastAsia"/>
                <w:sz w:val="21"/>
                <w:szCs w:val="21"/>
              </w:rPr>
              <w:t>后暂存于厂区现有一般工业固废暂存间，作为副产品外售，严格按照《一般工业固体废物贮存、处置场污染控制标准》（</w:t>
            </w:r>
            <w:r>
              <w:rPr>
                <w:sz w:val="21"/>
                <w:szCs w:val="21"/>
              </w:rPr>
              <w:t>GB18599-2001</w:t>
            </w:r>
            <w:r>
              <w:rPr>
                <w:rFonts w:hint="eastAsia"/>
                <w:sz w:val="21"/>
                <w:szCs w:val="21"/>
              </w:rPr>
              <w:t>）及修改单（环保部公告</w:t>
            </w:r>
            <w:r>
              <w:rPr>
                <w:sz w:val="21"/>
                <w:szCs w:val="21"/>
              </w:rPr>
              <w:t>2013</w:t>
            </w:r>
            <w:r>
              <w:rPr>
                <w:rFonts w:hint="eastAsia"/>
                <w:sz w:val="21"/>
                <w:szCs w:val="21"/>
              </w:rPr>
              <w:t>年第</w:t>
            </w:r>
            <w:r>
              <w:rPr>
                <w:sz w:val="21"/>
                <w:szCs w:val="21"/>
              </w:rPr>
              <w:t>36</w:t>
            </w:r>
            <w:r>
              <w:rPr>
                <w:rFonts w:hint="eastAsia"/>
                <w:sz w:val="21"/>
                <w:szCs w:val="21"/>
              </w:rPr>
              <w:t>号）相关要求执行。生活垃圾经统一收集后交由环卫部门处理。</w:t>
            </w:r>
          </w:p>
        </w:tc>
        <w:tc>
          <w:tcPr>
            <w:tcW w:w="4820" w:type="dxa"/>
            <w:tcBorders>
              <w:top w:val="single" w:color="000000" w:sz="4" w:space="0"/>
              <w:left w:val="single" w:color="000000" w:sz="4" w:space="0"/>
              <w:bottom w:val="single" w:color="000000" w:sz="4" w:space="0"/>
              <w:right w:val="single" w:color="000000" w:sz="4" w:space="0"/>
            </w:tcBorders>
            <w:vAlign w:val="center"/>
          </w:tcPr>
          <w:p w14:paraId="298DBAFE">
            <w:pPr>
              <w:spacing w:line="276" w:lineRule="auto"/>
              <w:ind w:firstLine="0" w:firstLineChars="0"/>
              <w:jc w:val="center"/>
              <w:rPr>
                <w:sz w:val="21"/>
                <w:szCs w:val="21"/>
              </w:rPr>
            </w:pPr>
            <w:r>
              <w:rPr>
                <w:rFonts w:hint="eastAsia"/>
                <w:sz w:val="21"/>
                <w:szCs w:val="21"/>
              </w:rPr>
              <w:t>固废：收集的粉尘回收外售；并严格按照《一般工业固体废物贮存和填埋污染控制标准》（</w:t>
            </w:r>
            <w:r>
              <w:rPr>
                <w:sz w:val="21"/>
                <w:szCs w:val="21"/>
              </w:rPr>
              <w:t>GB18599-2020</w:t>
            </w:r>
            <w:r>
              <w:rPr>
                <w:rFonts w:hint="eastAsia"/>
                <w:sz w:val="21"/>
                <w:szCs w:val="21"/>
              </w:rPr>
              <w:t>）有关规定执行。运营期不新增员工，无生活垃圾产生。危险废物焦油渣、脱硫废液、污水处理污泥回配于炼焦煤；废润滑油委托新疆凌志化工有限公司处置。</w:t>
            </w:r>
          </w:p>
        </w:tc>
        <w:tc>
          <w:tcPr>
            <w:tcW w:w="476" w:type="dxa"/>
            <w:tcBorders>
              <w:top w:val="single" w:color="000000" w:sz="4" w:space="0"/>
              <w:left w:val="single" w:color="000000" w:sz="4" w:space="0"/>
              <w:bottom w:val="single" w:color="000000" w:sz="4" w:space="0"/>
              <w:right w:val="single" w:color="000000" w:sz="12" w:space="0"/>
            </w:tcBorders>
            <w:vAlign w:val="center"/>
          </w:tcPr>
          <w:p w14:paraId="3D4B7179">
            <w:pPr>
              <w:spacing w:line="276" w:lineRule="auto"/>
              <w:ind w:firstLine="0" w:firstLineChars="0"/>
              <w:jc w:val="center"/>
              <w:rPr>
                <w:sz w:val="21"/>
                <w:szCs w:val="21"/>
              </w:rPr>
            </w:pPr>
            <w:r>
              <w:rPr>
                <w:rFonts w:hint="eastAsia"/>
                <w:sz w:val="21"/>
                <w:szCs w:val="21"/>
              </w:rPr>
              <w:t>相符</w:t>
            </w:r>
          </w:p>
        </w:tc>
      </w:tr>
      <w:tr w14:paraId="3D3C63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304EAC2C">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12" w:space="0"/>
              <w:right w:val="single" w:color="000000" w:sz="4" w:space="0"/>
            </w:tcBorders>
            <w:vAlign w:val="center"/>
          </w:tcPr>
          <w:p w14:paraId="552FD35F">
            <w:pPr>
              <w:spacing w:line="276" w:lineRule="auto"/>
              <w:ind w:firstLine="0" w:firstLineChars="0"/>
              <w:jc w:val="center"/>
              <w:rPr>
                <w:sz w:val="21"/>
                <w:szCs w:val="21"/>
              </w:rPr>
            </w:pPr>
            <w:r>
              <w:rPr>
                <w:sz w:val="21"/>
                <w:szCs w:val="21"/>
              </w:rPr>
              <w:t>5</w:t>
            </w:r>
          </w:p>
        </w:tc>
        <w:tc>
          <w:tcPr>
            <w:tcW w:w="6804" w:type="dxa"/>
            <w:tcBorders>
              <w:top w:val="single" w:color="000000" w:sz="4" w:space="0"/>
              <w:left w:val="single" w:color="000000" w:sz="4" w:space="0"/>
              <w:bottom w:val="single" w:color="000000" w:sz="12" w:space="0"/>
              <w:right w:val="single" w:color="000000" w:sz="4" w:space="0"/>
            </w:tcBorders>
            <w:vAlign w:val="center"/>
          </w:tcPr>
          <w:p w14:paraId="26CCD6FA">
            <w:pPr>
              <w:spacing w:line="276" w:lineRule="auto"/>
              <w:ind w:firstLine="0" w:firstLineChars="0"/>
              <w:jc w:val="center"/>
              <w:rPr>
                <w:sz w:val="21"/>
                <w:szCs w:val="21"/>
              </w:rPr>
            </w:pPr>
            <w:r>
              <w:rPr>
                <w:rFonts w:hint="eastAsia"/>
                <w:sz w:val="21"/>
                <w:szCs w:val="21"/>
              </w:rPr>
              <w:t>强化环境风险防范和应急措施。建立严格的环境与安全管理制度。做好环境应急预案的编制，评估和备案等工作，并定期演练。严格操作规程，做好运行记录，定期检修设备，发现隐患及时处理，防止非正常工况及事故</w:t>
            </w:r>
            <w:r>
              <w:rPr>
                <w:sz w:val="21"/>
                <w:szCs w:val="21"/>
              </w:rPr>
              <w:t xml:space="preserve"> </w:t>
            </w:r>
            <w:r>
              <w:rPr>
                <w:rFonts w:hint="eastAsia"/>
                <w:sz w:val="21"/>
                <w:szCs w:val="21"/>
              </w:rPr>
              <w:t>排放对周围环境造成的影响或污染。</w:t>
            </w:r>
          </w:p>
        </w:tc>
        <w:tc>
          <w:tcPr>
            <w:tcW w:w="4820" w:type="dxa"/>
            <w:tcBorders>
              <w:top w:val="single" w:color="000000" w:sz="4" w:space="0"/>
              <w:left w:val="single" w:color="000000" w:sz="4" w:space="0"/>
              <w:bottom w:val="single" w:color="000000" w:sz="12" w:space="0"/>
              <w:right w:val="single" w:color="000000" w:sz="4" w:space="0"/>
            </w:tcBorders>
            <w:vAlign w:val="center"/>
          </w:tcPr>
          <w:p w14:paraId="1B600B24">
            <w:pPr>
              <w:spacing w:line="276" w:lineRule="auto"/>
              <w:ind w:firstLine="0" w:firstLineChars="0"/>
              <w:jc w:val="center"/>
              <w:rPr>
                <w:sz w:val="21"/>
                <w:szCs w:val="21"/>
              </w:rPr>
            </w:pPr>
            <w:r>
              <w:rPr>
                <w:rFonts w:hint="eastAsia"/>
                <w:sz w:val="21"/>
                <w:szCs w:val="21"/>
              </w:rPr>
              <w:t>企业已编制完成应急预案，并完成备案（备案编号：</w:t>
            </w:r>
            <w:r>
              <w:rPr>
                <w:sz w:val="21"/>
                <w:szCs w:val="21"/>
              </w:rPr>
              <w:t>650500-2024-57-L</w:t>
            </w:r>
            <w:r>
              <w:rPr>
                <w:rFonts w:hint="eastAsia"/>
                <w:sz w:val="21"/>
                <w:szCs w:val="21"/>
              </w:rPr>
              <w:t>）；已做好车间内无组织粉尘的安全防控措施，并建立有效的生产事故预警系统和应急体系。</w:t>
            </w:r>
          </w:p>
        </w:tc>
        <w:tc>
          <w:tcPr>
            <w:tcW w:w="476" w:type="dxa"/>
            <w:tcBorders>
              <w:top w:val="single" w:color="000000" w:sz="4" w:space="0"/>
              <w:left w:val="single" w:color="000000" w:sz="4" w:space="0"/>
              <w:bottom w:val="single" w:color="000000" w:sz="12" w:space="0"/>
              <w:right w:val="single" w:color="000000" w:sz="12" w:space="0"/>
            </w:tcBorders>
            <w:vAlign w:val="center"/>
          </w:tcPr>
          <w:p w14:paraId="4E982125">
            <w:pPr>
              <w:spacing w:line="276" w:lineRule="auto"/>
              <w:ind w:firstLine="0" w:firstLineChars="0"/>
              <w:jc w:val="center"/>
              <w:rPr>
                <w:sz w:val="21"/>
                <w:szCs w:val="21"/>
              </w:rPr>
            </w:pPr>
            <w:r>
              <w:rPr>
                <w:rFonts w:hint="eastAsia"/>
                <w:sz w:val="21"/>
                <w:szCs w:val="21"/>
              </w:rPr>
              <w:t>相符</w:t>
            </w:r>
          </w:p>
        </w:tc>
      </w:tr>
    </w:tbl>
    <w:p w14:paraId="50C9D35F">
      <w:pPr>
        <w:pStyle w:val="117"/>
        <w:ind w:firstLine="0" w:firstLineChars="0"/>
      </w:pPr>
    </w:p>
    <w:p w14:paraId="69BEBB53">
      <w:pPr>
        <w:pStyle w:val="117"/>
        <w:ind w:firstLine="480"/>
      </w:pPr>
    </w:p>
    <w:p w14:paraId="55255ADC">
      <w:pPr>
        <w:pStyle w:val="117"/>
        <w:ind w:firstLine="480"/>
      </w:pPr>
    </w:p>
    <w:p w14:paraId="151B7F7E">
      <w:pPr>
        <w:widowControl/>
        <w:spacing w:line="240" w:lineRule="auto"/>
        <w:ind w:firstLine="0" w:firstLineChars="0"/>
        <w:jc w:val="left"/>
        <w:rPr>
          <w:rFonts w:hint="eastAsia" w:hAnsi="宋体"/>
          <w:b/>
          <w:sz w:val="28"/>
        </w:rPr>
        <w:sectPr>
          <w:pgSz w:w="16838" w:h="11906" w:orient="landscape"/>
          <w:pgMar w:top="1800" w:right="1440" w:bottom="1800" w:left="1440" w:header="850" w:footer="850" w:gutter="0"/>
          <w:cols w:space="720" w:num="1"/>
          <w:docGrid w:type="lines" w:linePitch="326" w:charSpace="0"/>
        </w:sectPr>
      </w:pPr>
    </w:p>
    <w:p w14:paraId="5AF6C8E2">
      <w:pPr>
        <w:pStyle w:val="138"/>
        <w:rPr>
          <w:rFonts w:hint="eastAsia"/>
        </w:rPr>
      </w:pPr>
      <w:r>
        <w:rPr>
          <w:rFonts w:hint="eastAsia"/>
        </w:rPr>
        <w:t>新疆金盛镁业有限公司</w:t>
      </w:r>
      <w:r>
        <w:t>20</w:t>
      </w:r>
      <w:r>
        <w:rPr>
          <w:rFonts w:hint="eastAsia"/>
        </w:rPr>
        <w:t>吨燃气锅炉建设项目</w:t>
      </w:r>
    </w:p>
    <w:p w14:paraId="48856436">
      <w:pPr>
        <w:pStyle w:val="5"/>
      </w:pPr>
      <w:r>
        <w:rPr>
          <w:rFonts w:hint="eastAsia"/>
        </w:rPr>
        <w:t>环评批复内容</w:t>
      </w:r>
    </w:p>
    <w:p w14:paraId="40624ADA">
      <w:pPr>
        <w:pStyle w:val="118"/>
        <w:ind w:firstLine="480" w:firstLineChars="200"/>
        <w:jc w:val="both"/>
        <w:rPr>
          <w:b w:val="0"/>
          <w:bCs/>
        </w:rPr>
      </w:pPr>
      <w:r>
        <w:rPr>
          <w:rFonts w:hint="eastAsia"/>
          <w:b w:val="0"/>
          <w:bCs/>
        </w:rPr>
        <w:t>扩建一台额定蒸发量为20t/h燃气锅炉及配套辅助设施，为厂区提供20t/h的1.25Mpa饱和蒸汽。</w:t>
      </w:r>
      <w:bookmarkStart w:id="202" w:name="OLE_LINK75"/>
      <w:r>
        <w:rPr>
          <w:b w:val="0"/>
          <w:bCs/>
        </w:rPr>
        <w:t>该项目于2021</w:t>
      </w:r>
      <w:r>
        <w:rPr>
          <w:rFonts w:hint="eastAsia"/>
          <w:b w:val="0"/>
          <w:bCs/>
        </w:rPr>
        <w:t>年</w:t>
      </w:r>
      <w:r>
        <w:rPr>
          <w:b w:val="0"/>
          <w:bCs/>
        </w:rPr>
        <w:t>8</w:t>
      </w:r>
      <w:r>
        <w:rPr>
          <w:rFonts w:hint="eastAsia"/>
          <w:b w:val="0"/>
          <w:bCs/>
        </w:rPr>
        <w:t>月</w:t>
      </w:r>
      <w:r>
        <w:rPr>
          <w:b w:val="0"/>
          <w:bCs/>
        </w:rPr>
        <w:t>23</w:t>
      </w:r>
      <w:r>
        <w:rPr>
          <w:rFonts w:hint="eastAsia"/>
          <w:b w:val="0"/>
          <w:bCs/>
        </w:rPr>
        <w:t>日取得</w:t>
      </w:r>
      <w:r>
        <w:rPr>
          <w:b w:val="0"/>
          <w:bCs/>
        </w:rPr>
        <w:t>哈密市生态环境局伊州区分局批复</w:t>
      </w:r>
      <w:r>
        <w:rPr>
          <w:rFonts w:hint="eastAsia"/>
          <w:b w:val="0"/>
          <w:bCs/>
        </w:rPr>
        <w:t>（哈市环监函〔</w:t>
      </w:r>
      <w:r>
        <w:rPr>
          <w:b w:val="0"/>
          <w:bCs/>
        </w:rPr>
        <w:t>2021</w:t>
      </w:r>
      <w:r>
        <w:rPr>
          <w:rFonts w:hint="eastAsia"/>
          <w:b w:val="0"/>
          <w:bCs/>
        </w:rPr>
        <w:t>〕</w:t>
      </w:r>
      <w:r>
        <w:rPr>
          <w:b w:val="0"/>
          <w:bCs/>
        </w:rPr>
        <w:t>26</w:t>
      </w:r>
      <w:r>
        <w:rPr>
          <w:rFonts w:hint="eastAsia"/>
          <w:b w:val="0"/>
          <w:bCs/>
        </w:rPr>
        <w:t>号）</w:t>
      </w:r>
      <w:bookmarkEnd w:id="202"/>
      <w:r>
        <w:rPr>
          <w:rFonts w:hint="eastAsia"/>
          <w:b w:val="0"/>
          <w:bCs/>
        </w:rPr>
        <w:t>。见表</w:t>
      </w:r>
      <w:r>
        <w:rPr>
          <w:b w:val="0"/>
          <w:bCs/>
        </w:rPr>
        <w:t>2.1</w:t>
      </w:r>
      <w:r>
        <w:rPr>
          <w:rFonts w:hint="eastAsia"/>
          <w:b w:val="0"/>
          <w:bCs/>
        </w:rPr>
        <w:t>-6。</w:t>
      </w:r>
    </w:p>
    <w:p w14:paraId="15DE61DE">
      <w:pPr>
        <w:pStyle w:val="5"/>
      </w:pPr>
      <w:r>
        <w:rPr>
          <w:rFonts w:hint="eastAsia"/>
        </w:rPr>
        <w:t>实际建设内容</w:t>
      </w:r>
    </w:p>
    <w:p w14:paraId="0F5D3EDE">
      <w:pPr>
        <w:pStyle w:val="117"/>
        <w:ind w:firstLine="480"/>
      </w:pPr>
      <w:r>
        <w:t>2021</w:t>
      </w:r>
      <w:r>
        <w:rPr>
          <w:rFonts w:hint="eastAsia"/>
        </w:rPr>
        <w:t>年</w:t>
      </w:r>
      <w:r>
        <w:t>8</w:t>
      </w:r>
      <w:r>
        <w:rPr>
          <w:rFonts w:hint="eastAsia"/>
        </w:rPr>
        <w:t>月</w:t>
      </w:r>
      <w:r>
        <w:t>23</w:t>
      </w:r>
      <w:r>
        <w:rPr>
          <w:rFonts w:hint="eastAsia"/>
        </w:rPr>
        <w:t>日，哈密市生态环境局以《</w:t>
      </w:r>
      <w:r>
        <w:rPr>
          <w:rFonts w:hint="eastAsia"/>
          <w:color w:val="000000"/>
        </w:rPr>
        <w:t>新疆金盛镁业有限公司厂区</w:t>
      </w:r>
      <w:r>
        <w:rPr>
          <w:color w:val="000000"/>
        </w:rPr>
        <w:t>20</w:t>
      </w:r>
      <w:r>
        <w:rPr>
          <w:rFonts w:hint="eastAsia"/>
          <w:color w:val="000000"/>
        </w:rPr>
        <w:t>吨燃气锅炉建设项目</w:t>
      </w:r>
      <w:r>
        <w:rPr>
          <w:rFonts w:hint="eastAsia"/>
        </w:rPr>
        <w:t>环境影响报告表的批复》（哈市环监函〔</w:t>
      </w:r>
      <w:r>
        <w:t>2021</w:t>
      </w:r>
      <w:r>
        <w:rPr>
          <w:rFonts w:hint="eastAsia"/>
        </w:rPr>
        <w:t>〕</w:t>
      </w:r>
      <w:r>
        <w:t>26</w:t>
      </w:r>
      <w:r>
        <w:rPr>
          <w:rFonts w:hint="eastAsia"/>
        </w:rPr>
        <w:t>号），同意新疆</w:t>
      </w:r>
      <w:r>
        <w:rPr>
          <w:rFonts w:hint="eastAsia"/>
          <w:color w:val="000000"/>
        </w:rPr>
        <w:t>金盛镁业</w:t>
      </w:r>
      <w:r>
        <w:rPr>
          <w:rFonts w:hint="eastAsia"/>
        </w:rPr>
        <w:t>有限公司</w:t>
      </w:r>
      <w:r>
        <w:rPr>
          <w:rFonts w:hint="eastAsia"/>
          <w:color w:val="000000"/>
        </w:rPr>
        <w:t>厂区</w:t>
      </w:r>
      <w:r>
        <w:rPr>
          <w:color w:val="000000"/>
        </w:rPr>
        <w:t>20</w:t>
      </w:r>
      <w:r>
        <w:rPr>
          <w:rFonts w:hint="eastAsia"/>
          <w:color w:val="000000"/>
        </w:rPr>
        <w:t>吨燃气锅炉建设项目</w:t>
      </w:r>
      <w:r>
        <w:rPr>
          <w:rFonts w:hint="eastAsia"/>
        </w:rPr>
        <w:t>，扩建</w:t>
      </w:r>
      <w:r>
        <w:t>1</w:t>
      </w:r>
      <w:r>
        <w:rPr>
          <w:rFonts w:hint="eastAsia"/>
        </w:rPr>
        <w:t>台额定蒸发量</w:t>
      </w:r>
      <w:r>
        <w:t>20t/h</w:t>
      </w:r>
      <w:r>
        <w:rPr>
          <w:rFonts w:hint="eastAsia"/>
        </w:rPr>
        <w:t>燃气锅炉及配套辅助设施，为厂区提供</w:t>
      </w:r>
      <w:r>
        <w:t>20t/h</w:t>
      </w:r>
      <w:r>
        <w:rPr>
          <w:rFonts w:hint="eastAsia"/>
        </w:rPr>
        <w:t>的</w:t>
      </w:r>
      <w:r>
        <w:t>1.25Mpa</w:t>
      </w:r>
      <w:r>
        <w:rPr>
          <w:rFonts w:hint="eastAsia"/>
        </w:rPr>
        <w:t>饱和蒸汽。</w:t>
      </w:r>
    </w:p>
    <w:p w14:paraId="07418D7D">
      <w:pPr>
        <w:pStyle w:val="5"/>
      </w:pPr>
      <w:r>
        <w:rPr>
          <w:rFonts w:hint="eastAsia"/>
        </w:rPr>
        <w:t>环评批复落实情况</w:t>
      </w:r>
    </w:p>
    <w:p w14:paraId="78DDA8C8">
      <w:pPr>
        <w:pStyle w:val="118"/>
        <w:ind w:firstLine="480" w:firstLineChars="200"/>
        <w:jc w:val="both"/>
        <w:rPr>
          <w:b w:val="0"/>
          <w:bCs/>
        </w:rPr>
      </w:pPr>
      <w:r>
        <w:rPr>
          <w:rFonts w:hint="eastAsia"/>
          <w:b w:val="0"/>
          <w:bCs/>
        </w:rPr>
        <w:t>见表</w:t>
      </w:r>
      <w:r>
        <w:rPr>
          <w:b w:val="0"/>
          <w:bCs/>
        </w:rPr>
        <w:t>2.1</w:t>
      </w:r>
      <w:r>
        <w:rPr>
          <w:rFonts w:hint="eastAsia"/>
          <w:b w:val="0"/>
          <w:bCs/>
        </w:rPr>
        <w:t>-6。</w:t>
      </w:r>
    </w:p>
    <w:p w14:paraId="6AA0FF95">
      <w:pPr>
        <w:pStyle w:val="5"/>
      </w:pPr>
      <w:r>
        <w:rPr>
          <w:rFonts w:hint="eastAsia"/>
        </w:rPr>
        <w:t>项目验收情况</w:t>
      </w:r>
    </w:p>
    <w:p w14:paraId="3D79EBF1">
      <w:pPr>
        <w:pStyle w:val="117"/>
        <w:ind w:firstLine="480"/>
      </w:pPr>
      <w:r>
        <w:rPr>
          <w:rFonts w:hint="eastAsia"/>
        </w:rPr>
        <w:t>该项目在</w:t>
      </w:r>
      <w:r>
        <w:t>202</w:t>
      </w:r>
      <w:r>
        <w:rPr>
          <w:rFonts w:hint="eastAsia"/>
        </w:rPr>
        <w:t>5年1月25日进行竣工环境保护自主验收出具《</w:t>
      </w:r>
      <w:r>
        <w:rPr>
          <w:rFonts w:hint="eastAsia"/>
          <w:color w:val="000000"/>
        </w:rPr>
        <w:t>新疆金盛镁业有</w:t>
      </w:r>
      <w:r>
        <w:rPr>
          <w:rFonts w:hint="eastAsia"/>
        </w:rPr>
        <w:t>限公司</w:t>
      </w:r>
      <w:r>
        <w:rPr>
          <w:rFonts w:hint="eastAsia"/>
          <w:color w:val="000000"/>
        </w:rPr>
        <w:t>厂区20吨燃气锅炉建设项目</w:t>
      </w:r>
      <w:r>
        <w:rPr>
          <w:rFonts w:hint="eastAsia"/>
        </w:rPr>
        <w:t>竣工环境保护验收意见》验收结论，</w:t>
      </w:r>
      <w:r>
        <w:rPr>
          <w:rFonts w:hint="eastAsia"/>
          <w:color w:val="000000"/>
        </w:rPr>
        <w:t>结合项目验收监测报告结论和现场检查情况，该项目执行了环境影响评价和“三同时”管理制度，落实了环评批复的各项污染防治措施，对照《建设项目竣工环境保护验收暂行办法》的相关要求，新疆金盛镁业有限公司厂区 20吨燃气锅炉建设项目符合《建设项目竣工环境保护验收暂行办法》中规定，满足验收条件，建议新疆金盛镁业有限公司厂区20吨燃气锅炉建设项目通过竣工环境保护验收。</w:t>
      </w:r>
    </w:p>
    <w:p w14:paraId="095D5D36">
      <w:pPr>
        <w:ind w:firstLine="480"/>
      </w:pPr>
    </w:p>
    <w:p w14:paraId="5DCDA03B">
      <w:pPr>
        <w:widowControl/>
        <w:spacing w:line="240" w:lineRule="auto"/>
        <w:ind w:firstLine="0" w:firstLineChars="0"/>
        <w:jc w:val="left"/>
      </w:pPr>
      <w:r>
        <w:br w:type="page"/>
      </w:r>
    </w:p>
    <w:p w14:paraId="3488D971">
      <w:pPr>
        <w:widowControl/>
        <w:ind w:firstLine="0" w:firstLineChars="0"/>
        <w:jc w:val="left"/>
        <w:rPr>
          <w:b/>
          <w:color w:val="000000"/>
          <w:szCs w:val="28"/>
        </w:rPr>
        <w:sectPr>
          <w:pgSz w:w="11906" w:h="16838"/>
          <w:pgMar w:top="1440" w:right="1800" w:bottom="1440" w:left="1800" w:header="850" w:footer="850" w:gutter="0"/>
          <w:cols w:space="720" w:num="1"/>
          <w:docGrid w:type="lines" w:linePitch="326" w:charSpace="0"/>
        </w:sectPr>
      </w:pPr>
    </w:p>
    <w:p w14:paraId="010A8E02">
      <w:pPr>
        <w:pStyle w:val="118"/>
        <w:ind w:firstLine="480"/>
      </w:pPr>
      <w:r>
        <w:rPr>
          <w:rFonts w:hint="eastAsia"/>
        </w:rPr>
        <w:t>表</w:t>
      </w:r>
      <w:r>
        <w:t>2.1</w:t>
      </w:r>
      <w:r>
        <w:rPr>
          <w:rFonts w:hint="eastAsia"/>
        </w:rPr>
        <w:t>-6</w:t>
      </w:r>
      <w:r>
        <w:t xml:space="preserve">  20</w:t>
      </w:r>
      <w:r>
        <w:rPr>
          <w:rFonts w:hint="eastAsia"/>
        </w:rPr>
        <w:t>吨燃气锅炉建设项目的环评批复落实情况</w:t>
      </w:r>
    </w:p>
    <w:tbl>
      <w:tblPr>
        <w:tblStyle w:val="6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61"/>
        <w:gridCol w:w="567"/>
        <w:gridCol w:w="6237"/>
        <w:gridCol w:w="5387"/>
        <w:gridCol w:w="476"/>
      </w:tblGrid>
      <w:tr w14:paraId="21CFDE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261" w:type="dxa"/>
            <w:tcBorders>
              <w:top w:val="single" w:color="000000" w:sz="12" w:space="0"/>
              <w:left w:val="single" w:color="000000" w:sz="12" w:space="0"/>
              <w:bottom w:val="single" w:color="000000" w:sz="4" w:space="0"/>
              <w:right w:val="single" w:color="000000" w:sz="4" w:space="0"/>
            </w:tcBorders>
            <w:vAlign w:val="center"/>
          </w:tcPr>
          <w:p w14:paraId="0CF6A0EC">
            <w:pPr>
              <w:spacing w:line="276" w:lineRule="auto"/>
              <w:ind w:firstLine="0" w:firstLineChars="0"/>
              <w:jc w:val="center"/>
              <w:rPr>
                <w:b/>
                <w:bCs/>
                <w:sz w:val="21"/>
                <w:szCs w:val="21"/>
              </w:rPr>
            </w:pPr>
            <w:r>
              <w:rPr>
                <w:rFonts w:hint="eastAsia"/>
                <w:b/>
                <w:bCs/>
                <w:sz w:val="21"/>
                <w:szCs w:val="21"/>
              </w:rPr>
              <w:t>文件名称</w:t>
            </w:r>
          </w:p>
        </w:tc>
        <w:tc>
          <w:tcPr>
            <w:tcW w:w="567" w:type="dxa"/>
            <w:tcBorders>
              <w:top w:val="single" w:color="000000" w:sz="12" w:space="0"/>
              <w:left w:val="single" w:color="000000" w:sz="4" w:space="0"/>
              <w:bottom w:val="single" w:color="000000" w:sz="4" w:space="0"/>
              <w:right w:val="single" w:color="000000" w:sz="4" w:space="0"/>
            </w:tcBorders>
            <w:vAlign w:val="center"/>
          </w:tcPr>
          <w:p w14:paraId="6C882811">
            <w:pPr>
              <w:spacing w:line="276" w:lineRule="auto"/>
              <w:ind w:firstLine="0" w:firstLineChars="0"/>
              <w:jc w:val="center"/>
              <w:rPr>
                <w:b/>
                <w:bCs/>
                <w:sz w:val="21"/>
                <w:szCs w:val="21"/>
              </w:rPr>
            </w:pPr>
            <w:r>
              <w:rPr>
                <w:rFonts w:hint="eastAsia"/>
                <w:b/>
                <w:bCs/>
                <w:sz w:val="21"/>
                <w:szCs w:val="21"/>
              </w:rPr>
              <w:t>序号</w:t>
            </w:r>
          </w:p>
        </w:tc>
        <w:tc>
          <w:tcPr>
            <w:tcW w:w="6237" w:type="dxa"/>
            <w:tcBorders>
              <w:top w:val="single" w:color="000000" w:sz="12" w:space="0"/>
              <w:left w:val="single" w:color="000000" w:sz="4" w:space="0"/>
              <w:bottom w:val="single" w:color="000000" w:sz="4" w:space="0"/>
              <w:right w:val="single" w:color="000000" w:sz="4" w:space="0"/>
            </w:tcBorders>
            <w:vAlign w:val="center"/>
          </w:tcPr>
          <w:p w14:paraId="3E761192">
            <w:pPr>
              <w:spacing w:line="276" w:lineRule="auto"/>
              <w:ind w:firstLine="0" w:firstLineChars="0"/>
              <w:jc w:val="center"/>
              <w:rPr>
                <w:b/>
                <w:bCs/>
                <w:sz w:val="21"/>
                <w:szCs w:val="21"/>
              </w:rPr>
            </w:pPr>
            <w:r>
              <w:rPr>
                <w:rFonts w:hint="eastAsia"/>
                <w:b/>
                <w:bCs/>
                <w:sz w:val="21"/>
                <w:szCs w:val="21"/>
              </w:rPr>
              <w:t>批复要求</w:t>
            </w:r>
          </w:p>
        </w:tc>
        <w:tc>
          <w:tcPr>
            <w:tcW w:w="5387" w:type="dxa"/>
            <w:tcBorders>
              <w:top w:val="single" w:color="000000" w:sz="12" w:space="0"/>
              <w:left w:val="single" w:color="000000" w:sz="4" w:space="0"/>
              <w:bottom w:val="single" w:color="000000" w:sz="4" w:space="0"/>
              <w:right w:val="single" w:color="000000" w:sz="4" w:space="0"/>
            </w:tcBorders>
            <w:vAlign w:val="center"/>
          </w:tcPr>
          <w:p w14:paraId="528CD3CC">
            <w:pPr>
              <w:spacing w:before="163" w:beforeLines="50" w:line="276" w:lineRule="auto"/>
              <w:ind w:firstLine="422"/>
              <w:jc w:val="center"/>
              <w:rPr>
                <w:rFonts w:cs="宋体"/>
                <w:b/>
                <w:bCs/>
                <w:sz w:val="21"/>
                <w:szCs w:val="21"/>
              </w:rPr>
            </w:pPr>
            <w:r>
              <w:rPr>
                <w:rFonts w:hint="eastAsia"/>
                <w:b/>
                <w:bCs/>
                <w:sz w:val="21"/>
                <w:szCs w:val="21"/>
              </w:rPr>
              <w:t>建设情况</w:t>
            </w:r>
          </w:p>
        </w:tc>
        <w:tc>
          <w:tcPr>
            <w:tcW w:w="476" w:type="dxa"/>
            <w:tcBorders>
              <w:top w:val="single" w:color="000000" w:sz="12" w:space="0"/>
              <w:left w:val="single" w:color="000000" w:sz="4" w:space="0"/>
              <w:bottom w:val="single" w:color="000000" w:sz="4" w:space="0"/>
              <w:right w:val="single" w:color="000000" w:sz="12" w:space="0"/>
            </w:tcBorders>
            <w:vAlign w:val="center"/>
          </w:tcPr>
          <w:p w14:paraId="7FA61711">
            <w:pPr>
              <w:spacing w:line="276" w:lineRule="auto"/>
              <w:ind w:firstLine="0" w:firstLineChars="0"/>
              <w:jc w:val="center"/>
              <w:rPr>
                <w:b/>
                <w:bCs/>
                <w:sz w:val="21"/>
                <w:szCs w:val="21"/>
              </w:rPr>
            </w:pPr>
            <w:r>
              <w:rPr>
                <w:rFonts w:hint="eastAsia"/>
                <w:b/>
                <w:bCs/>
                <w:sz w:val="21"/>
                <w:szCs w:val="21"/>
              </w:rPr>
              <w:t>相符性</w:t>
            </w:r>
          </w:p>
        </w:tc>
      </w:tr>
      <w:tr w14:paraId="5FAD22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61" w:type="dxa"/>
            <w:vMerge w:val="restart"/>
            <w:tcBorders>
              <w:top w:val="single" w:color="000000" w:sz="4" w:space="0"/>
              <w:left w:val="single" w:color="000000" w:sz="12" w:space="0"/>
              <w:bottom w:val="single" w:color="000000" w:sz="12" w:space="0"/>
              <w:right w:val="single" w:color="000000" w:sz="4" w:space="0"/>
            </w:tcBorders>
            <w:vAlign w:val="center"/>
          </w:tcPr>
          <w:p w14:paraId="3EA494BB">
            <w:pPr>
              <w:spacing w:line="276" w:lineRule="auto"/>
              <w:ind w:firstLine="0" w:firstLineChars="0"/>
              <w:jc w:val="center"/>
              <w:rPr>
                <w:sz w:val="21"/>
                <w:szCs w:val="21"/>
              </w:rPr>
            </w:pPr>
            <w:r>
              <w:rPr>
                <w:rFonts w:hint="eastAsia"/>
                <w:sz w:val="21"/>
                <w:szCs w:val="21"/>
              </w:rPr>
              <w:t>《关于新疆金盛镁业有限公司厂区</w:t>
            </w:r>
            <w:r>
              <w:rPr>
                <w:sz w:val="21"/>
                <w:szCs w:val="21"/>
              </w:rPr>
              <w:t>20</w:t>
            </w:r>
            <w:r>
              <w:rPr>
                <w:rFonts w:hint="eastAsia"/>
                <w:sz w:val="21"/>
                <w:szCs w:val="21"/>
              </w:rPr>
              <w:t>吨燃气锅炉建设项目环境影响报告表的批复》（哈市环监函</w:t>
            </w:r>
            <w:r>
              <w:rPr>
                <w:sz w:val="21"/>
                <w:szCs w:val="21"/>
              </w:rPr>
              <w:t xml:space="preserve"> [2021]26</w:t>
            </w:r>
            <w:r>
              <w:rPr>
                <w:rFonts w:hint="eastAsia"/>
                <w:sz w:val="21"/>
                <w:szCs w:val="21"/>
              </w:rPr>
              <w:t>号）</w:t>
            </w:r>
          </w:p>
        </w:tc>
        <w:tc>
          <w:tcPr>
            <w:tcW w:w="567" w:type="dxa"/>
            <w:tcBorders>
              <w:top w:val="single" w:color="000000" w:sz="4" w:space="0"/>
              <w:left w:val="single" w:color="000000" w:sz="4" w:space="0"/>
              <w:bottom w:val="single" w:color="000000" w:sz="4" w:space="0"/>
              <w:right w:val="single" w:color="000000" w:sz="4" w:space="0"/>
            </w:tcBorders>
            <w:vAlign w:val="center"/>
          </w:tcPr>
          <w:p w14:paraId="4AEA8D5E">
            <w:pPr>
              <w:spacing w:line="276" w:lineRule="auto"/>
              <w:ind w:firstLine="0" w:firstLineChars="0"/>
              <w:jc w:val="center"/>
              <w:rPr>
                <w:sz w:val="21"/>
                <w:szCs w:val="21"/>
              </w:rPr>
            </w:pPr>
            <w:r>
              <w:rPr>
                <w:sz w:val="21"/>
                <w:szCs w:val="21"/>
              </w:rPr>
              <w:t>1</w:t>
            </w:r>
          </w:p>
        </w:tc>
        <w:tc>
          <w:tcPr>
            <w:tcW w:w="6237" w:type="dxa"/>
            <w:tcBorders>
              <w:top w:val="single" w:color="000000" w:sz="4" w:space="0"/>
              <w:left w:val="single" w:color="000000" w:sz="4" w:space="0"/>
              <w:bottom w:val="single" w:color="000000" w:sz="4" w:space="0"/>
              <w:right w:val="single" w:color="000000" w:sz="4" w:space="0"/>
            </w:tcBorders>
            <w:vAlign w:val="center"/>
          </w:tcPr>
          <w:p w14:paraId="233E3B46">
            <w:pPr>
              <w:spacing w:line="276" w:lineRule="auto"/>
              <w:ind w:firstLine="0" w:firstLineChars="0"/>
              <w:jc w:val="center"/>
              <w:rPr>
                <w:sz w:val="21"/>
                <w:szCs w:val="21"/>
              </w:rPr>
            </w:pPr>
            <w:r>
              <w:rPr>
                <w:rFonts w:hint="eastAsia"/>
                <w:sz w:val="21"/>
                <w:szCs w:val="21"/>
              </w:rPr>
              <w:t>严格落实大气污染防治措施。燃烧产生的烟气采取</w:t>
            </w:r>
            <w:bookmarkStart w:id="203" w:name="OLE_LINK7"/>
            <w:r>
              <w:rPr>
                <w:rFonts w:hint="eastAsia"/>
                <w:sz w:val="21"/>
                <w:szCs w:val="21"/>
              </w:rPr>
              <w:t>水膜除尘</w:t>
            </w:r>
            <w:r>
              <w:rPr>
                <w:sz w:val="21"/>
                <w:szCs w:val="21"/>
              </w:rPr>
              <w:t>+</w:t>
            </w:r>
            <w:r>
              <w:rPr>
                <w:rFonts w:hint="eastAsia"/>
                <w:sz w:val="21"/>
                <w:szCs w:val="21"/>
              </w:rPr>
              <w:t>双碱法脱硫</w:t>
            </w:r>
            <w:bookmarkEnd w:id="203"/>
            <w:r>
              <w:rPr>
                <w:rFonts w:hint="eastAsia"/>
                <w:sz w:val="21"/>
                <w:szCs w:val="21"/>
              </w:rPr>
              <w:t>措施处理后，经</w:t>
            </w:r>
            <w:r>
              <w:rPr>
                <w:sz w:val="21"/>
                <w:szCs w:val="21"/>
              </w:rPr>
              <w:t>30m</w:t>
            </w:r>
            <w:r>
              <w:rPr>
                <w:rFonts w:hint="eastAsia"/>
                <w:sz w:val="21"/>
                <w:szCs w:val="21"/>
              </w:rPr>
              <w:t>高烟囱排放，废气排放浓度须满足《锅炉大气污染物排放标准》</w:t>
            </w:r>
            <w:r>
              <w:rPr>
                <w:sz w:val="21"/>
                <w:szCs w:val="21"/>
              </w:rPr>
              <w:t>(GB13271-2014)</w:t>
            </w:r>
            <w:r>
              <w:rPr>
                <w:rFonts w:hint="eastAsia"/>
                <w:sz w:val="21"/>
                <w:szCs w:val="21"/>
              </w:rPr>
              <w:t>表</w:t>
            </w:r>
            <w:r>
              <w:rPr>
                <w:sz w:val="21"/>
                <w:szCs w:val="21"/>
              </w:rPr>
              <w:t>3</w:t>
            </w:r>
            <w:r>
              <w:rPr>
                <w:rFonts w:hint="eastAsia"/>
                <w:sz w:val="21"/>
                <w:szCs w:val="21"/>
              </w:rPr>
              <w:t>燃气锅炉排放标准限制要求。</w:t>
            </w:r>
          </w:p>
        </w:tc>
        <w:tc>
          <w:tcPr>
            <w:tcW w:w="5387" w:type="dxa"/>
            <w:tcBorders>
              <w:top w:val="single" w:color="000000" w:sz="4" w:space="0"/>
              <w:left w:val="single" w:color="000000" w:sz="4" w:space="0"/>
              <w:bottom w:val="single" w:color="000000" w:sz="4" w:space="0"/>
              <w:right w:val="single" w:color="000000" w:sz="4" w:space="0"/>
            </w:tcBorders>
            <w:vAlign w:val="center"/>
          </w:tcPr>
          <w:p w14:paraId="2574A407">
            <w:pPr>
              <w:spacing w:before="163" w:beforeLines="50" w:line="276" w:lineRule="auto"/>
              <w:ind w:firstLine="420"/>
              <w:jc w:val="center"/>
              <w:rPr>
                <w:b/>
                <w:bCs/>
                <w:spacing w:val="-10"/>
                <w:sz w:val="21"/>
                <w:szCs w:val="21"/>
              </w:rPr>
            </w:pPr>
            <w:r>
              <w:rPr>
                <w:rFonts w:hint="eastAsia" w:cs="宋体"/>
                <w:sz w:val="21"/>
                <w:szCs w:val="21"/>
              </w:rPr>
              <w:t>本项目产生的废气主要为煤气燃烧尾气，燃烧废气经</w:t>
            </w:r>
            <w:r>
              <w:rPr>
                <w:rFonts w:ascii="Microsoft YaHei UI" w:hAnsi="Microsoft YaHei UI" w:eastAsia="Microsoft YaHei UI" w:cs="Arial"/>
                <w:sz w:val="18"/>
                <w:szCs w:val="18"/>
              </w:rPr>
              <w:t xml:space="preserve"> </w:t>
            </w:r>
            <w:r>
              <w:rPr>
                <w:rFonts w:cs="宋体"/>
                <w:sz w:val="21"/>
                <w:szCs w:val="21"/>
              </w:rPr>
              <w:t>SCR+SNCR+干法脱硫</w:t>
            </w:r>
            <w:r>
              <w:rPr>
                <w:rFonts w:hint="eastAsia" w:cs="宋体"/>
                <w:sz w:val="21"/>
                <w:szCs w:val="21"/>
              </w:rPr>
              <w:t>+布袋除尘处理后，由</w:t>
            </w:r>
            <w:r>
              <w:rPr>
                <w:rFonts w:cs="宋体"/>
                <w:sz w:val="21"/>
                <w:szCs w:val="21"/>
              </w:rPr>
              <w:t>30m</w:t>
            </w:r>
            <w:r>
              <w:rPr>
                <w:rFonts w:hint="eastAsia" w:cs="宋体"/>
                <w:sz w:val="21"/>
                <w:szCs w:val="21"/>
              </w:rPr>
              <w:t>高排气筒排放。本项目锅炉产生烟气经除尘、脱硫后排放烟气中</w:t>
            </w:r>
            <w:r>
              <w:rPr>
                <w:rFonts w:cs="宋体"/>
                <w:sz w:val="21"/>
                <w:szCs w:val="21"/>
              </w:rPr>
              <w:t>SO</w:t>
            </w:r>
            <w:r>
              <w:rPr>
                <w:rFonts w:cs="宋体"/>
                <w:sz w:val="21"/>
                <w:szCs w:val="21"/>
                <w:vertAlign w:val="subscript"/>
              </w:rPr>
              <w:t>2</w:t>
            </w:r>
            <w:r>
              <w:rPr>
                <w:rFonts w:hint="eastAsia" w:cs="宋体"/>
                <w:sz w:val="21"/>
                <w:szCs w:val="21"/>
              </w:rPr>
              <w:t>、烟尘、</w:t>
            </w:r>
            <w:r>
              <w:rPr>
                <w:rFonts w:cs="宋体"/>
                <w:sz w:val="21"/>
                <w:szCs w:val="21"/>
              </w:rPr>
              <w:t>NO</w:t>
            </w:r>
            <w:r>
              <w:rPr>
                <w:rFonts w:cs="宋体"/>
                <w:sz w:val="21"/>
                <w:szCs w:val="21"/>
                <w:vertAlign w:val="subscript"/>
              </w:rPr>
              <w:t>x</w:t>
            </w:r>
            <w:r>
              <w:rPr>
                <w:rFonts w:hint="eastAsia" w:cs="宋体"/>
                <w:sz w:val="21"/>
                <w:szCs w:val="21"/>
              </w:rPr>
              <w:t>最大排放浓度均能满足《锅炉大气污染物排放标准》</w:t>
            </w:r>
            <w:r>
              <w:rPr>
                <w:rFonts w:cs="宋体"/>
                <w:sz w:val="21"/>
                <w:szCs w:val="21"/>
              </w:rPr>
              <w:t>(GB13271-2014)</w:t>
            </w:r>
            <w:r>
              <w:rPr>
                <w:rFonts w:hint="eastAsia" w:cs="宋体"/>
                <w:sz w:val="21"/>
                <w:szCs w:val="21"/>
              </w:rPr>
              <w:t>表</w:t>
            </w:r>
            <w:r>
              <w:rPr>
                <w:rFonts w:cs="宋体"/>
                <w:sz w:val="21"/>
                <w:szCs w:val="21"/>
              </w:rPr>
              <w:t>3</w:t>
            </w:r>
            <w:r>
              <w:rPr>
                <w:rFonts w:hint="eastAsia" w:cs="宋体"/>
                <w:sz w:val="21"/>
                <w:szCs w:val="21"/>
              </w:rPr>
              <w:t>燃气锅炉排放标准要求（</w:t>
            </w:r>
            <w:r>
              <w:rPr>
                <w:rFonts w:cs="宋体"/>
                <w:sz w:val="21"/>
                <w:szCs w:val="21"/>
              </w:rPr>
              <w:t>SO</w:t>
            </w:r>
            <w:r>
              <w:rPr>
                <w:rFonts w:cs="宋体"/>
                <w:sz w:val="21"/>
                <w:szCs w:val="21"/>
                <w:vertAlign w:val="subscript"/>
              </w:rPr>
              <w:t>2</w:t>
            </w:r>
            <w:r>
              <w:rPr>
                <w:rFonts w:hint="eastAsia" w:cs="宋体"/>
                <w:sz w:val="21"/>
                <w:szCs w:val="21"/>
              </w:rPr>
              <w:t>≤</w:t>
            </w:r>
            <w:r>
              <w:rPr>
                <w:rFonts w:cs="宋体"/>
                <w:sz w:val="21"/>
                <w:szCs w:val="21"/>
              </w:rPr>
              <w:t>50mg/m</w:t>
            </w:r>
            <w:r>
              <w:rPr>
                <w:rFonts w:cs="宋体"/>
                <w:sz w:val="21"/>
                <w:szCs w:val="21"/>
                <w:vertAlign w:val="superscript"/>
              </w:rPr>
              <w:t>3</w:t>
            </w:r>
            <w:r>
              <w:rPr>
                <w:rFonts w:hint="eastAsia" w:cs="宋体"/>
                <w:sz w:val="21"/>
                <w:szCs w:val="21"/>
              </w:rPr>
              <w:t>，烟尘≤</w:t>
            </w:r>
            <w:r>
              <w:rPr>
                <w:rFonts w:cs="宋体"/>
                <w:sz w:val="21"/>
                <w:szCs w:val="21"/>
              </w:rPr>
              <w:t>20mg/m</w:t>
            </w:r>
            <w:r>
              <w:rPr>
                <w:rFonts w:cs="宋体"/>
                <w:sz w:val="21"/>
                <w:szCs w:val="21"/>
                <w:vertAlign w:val="superscript"/>
              </w:rPr>
              <w:t>3</w:t>
            </w:r>
            <w:r>
              <w:rPr>
                <w:rFonts w:hint="eastAsia" w:cs="宋体"/>
                <w:sz w:val="21"/>
                <w:szCs w:val="21"/>
              </w:rPr>
              <w:t>，</w:t>
            </w:r>
            <w:r>
              <w:rPr>
                <w:rFonts w:cs="宋体"/>
                <w:sz w:val="21"/>
                <w:szCs w:val="21"/>
              </w:rPr>
              <w:t>NO</w:t>
            </w:r>
            <w:r>
              <w:rPr>
                <w:rFonts w:cs="宋体"/>
                <w:sz w:val="21"/>
                <w:szCs w:val="21"/>
                <w:vertAlign w:val="subscript"/>
              </w:rPr>
              <w:t>x</w:t>
            </w:r>
            <w:r>
              <w:rPr>
                <w:rFonts w:hint="eastAsia" w:cs="宋体"/>
                <w:sz w:val="21"/>
                <w:szCs w:val="21"/>
              </w:rPr>
              <w:t>≤</w:t>
            </w:r>
            <w:r>
              <w:rPr>
                <w:rFonts w:cs="宋体"/>
                <w:sz w:val="21"/>
                <w:szCs w:val="21"/>
              </w:rPr>
              <w:t>150mg/m</w:t>
            </w:r>
            <w:r>
              <w:rPr>
                <w:rFonts w:cs="宋体"/>
                <w:sz w:val="21"/>
                <w:szCs w:val="21"/>
                <w:vertAlign w:val="superscript"/>
              </w:rPr>
              <w:t>3</w:t>
            </w:r>
            <w:r>
              <w:rPr>
                <w:rFonts w:hint="eastAsia" w:cs="宋体"/>
                <w:sz w:val="21"/>
                <w:szCs w:val="21"/>
              </w:rPr>
              <w:t>）。</w:t>
            </w:r>
          </w:p>
        </w:tc>
        <w:tc>
          <w:tcPr>
            <w:tcW w:w="476" w:type="dxa"/>
            <w:tcBorders>
              <w:top w:val="single" w:color="000000" w:sz="4" w:space="0"/>
              <w:left w:val="single" w:color="000000" w:sz="4" w:space="0"/>
              <w:bottom w:val="single" w:color="000000" w:sz="4" w:space="0"/>
              <w:right w:val="single" w:color="000000" w:sz="12" w:space="0"/>
            </w:tcBorders>
            <w:vAlign w:val="center"/>
          </w:tcPr>
          <w:p w14:paraId="06C571D8">
            <w:pPr>
              <w:spacing w:line="276" w:lineRule="auto"/>
              <w:ind w:firstLine="0" w:firstLineChars="0"/>
              <w:jc w:val="center"/>
              <w:rPr>
                <w:sz w:val="21"/>
                <w:szCs w:val="21"/>
              </w:rPr>
            </w:pPr>
            <w:r>
              <w:rPr>
                <w:rFonts w:hint="eastAsia"/>
                <w:sz w:val="21"/>
                <w:szCs w:val="21"/>
              </w:rPr>
              <w:t>相符</w:t>
            </w:r>
          </w:p>
        </w:tc>
      </w:tr>
      <w:tr w14:paraId="4EEC74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0FFED649">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3E6F7866">
            <w:pPr>
              <w:spacing w:line="276" w:lineRule="auto"/>
              <w:ind w:firstLine="0" w:firstLineChars="0"/>
              <w:jc w:val="center"/>
              <w:rPr>
                <w:sz w:val="21"/>
                <w:szCs w:val="21"/>
              </w:rPr>
            </w:pPr>
            <w:r>
              <w:rPr>
                <w:sz w:val="21"/>
                <w:szCs w:val="21"/>
              </w:rPr>
              <w:t>2</w:t>
            </w:r>
          </w:p>
        </w:tc>
        <w:tc>
          <w:tcPr>
            <w:tcW w:w="6237" w:type="dxa"/>
            <w:tcBorders>
              <w:top w:val="single" w:color="000000" w:sz="4" w:space="0"/>
              <w:left w:val="single" w:color="000000" w:sz="4" w:space="0"/>
              <w:bottom w:val="single" w:color="000000" w:sz="4" w:space="0"/>
              <w:right w:val="single" w:color="000000" w:sz="4" w:space="0"/>
            </w:tcBorders>
            <w:vAlign w:val="center"/>
          </w:tcPr>
          <w:p w14:paraId="556ABEA4">
            <w:pPr>
              <w:spacing w:line="276" w:lineRule="auto"/>
              <w:ind w:firstLine="0" w:firstLineChars="0"/>
              <w:jc w:val="center"/>
              <w:rPr>
                <w:sz w:val="21"/>
                <w:szCs w:val="21"/>
              </w:rPr>
            </w:pPr>
            <w:r>
              <w:rPr>
                <w:rFonts w:hint="eastAsia"/>
                <w:sz w:val="21"/>
                <w:szCs w:val="21"/>
              </w:rPr>
              <w:t>严格落实水污染防治措施。锅炉排水为属于清净下水，回用于煤场、贮焦场酒水抑尘。脱硫废水经再生反应池再生后可循环使用，不得外排。</w:t>
            </w:r>
          </w:p>
        </w:tc>
        <w:tc>
          <w:tcPr>
            <w:tcW w:w="5387" w:type="dxa"/>
            <w:tcBorders>
              <w:top w:val="single" w:color="000000" w:sz="4" w:space="0"/>
              <w:left w:val="single" w:color="000000" w:sz="4" w:space="0"/>
              <w:bottom w:val="single" w:color="000000" w:sz="4" w:space="0"/>
              <w:right w:val="single" w:color="000000" w:sz="4" w:space="0"/>
            </w:tcBorders>
            <w:vAlign w:val="center"/>
          </w:tcPr>
          <w:p w14:paraId="7B206E65">
            <w:pPr>
              <w:spacing w:line="276" w:lineRule="auto"/>
              <w:ind w:firstLine="0" w:firstLineChars="0"/>
              <w:jc w:val="center"/>
              <w:rPr>
                <w:sz w:val="21"/>
                <w:szCs w:val="21"/>
              </w:rPr>
            </w:pPr>
            <w:r>
              <w:rPr>
                <w:rFonts w:hint="eastAsia" w:cs="宋体"/>
                <w:sz w:val="21"/>
                <w:szCs w:val="21"/>
              </w:rPr>
              <w:t>锅炉排水为属于清净下水，高浓盐水产生量为</w:t>
            </w:r>
            <w:r>
              <w:rPr>
                <w:rFonts w:cs="宋体"/>
                <w:sz w:val="21"/>
                <w:szCs w:val="21"/>
              </w:rPr>
              <w:t>1512m</w:t>
            </w:r>
            <w:r>
              <w:rPr>
                <w:rFonts w:cs="宋体"/>
                <w:sz w:val="21"/>
                <w:szCs w:val="21"/>
                <w:vertAlign w:val="superscript"/>
              </w:rPr>
              <w:t>3</w:t>
            </w:r>
            <w:r>
              <w:rPr>
                <w:rFonts w:cs="宋体"/>
                <w:sz w:val="21"/>
                <w:szCs w:val="21"/>
              </w:rPr>
              <w:t>/a</w:t>
            </w:r>
            <w:r>
              <w:rPr>
                <w:rFonts w:hint="eastAsia" w:cs="宋体"/>
                <w:sz w:val="21"/>
                <w:szCs w:val="21"/>
              </w:rPr>
              <w:t>，回用于煤场、贮焦场洒水抑尘。</w:t>
            </w:r>
            <w:r>
              <w:rPr>
                <w:rFonts w:hint="eastAsia" w:cs="宋体"/>
                <w:color w:val="000000" w:themeColor="text1"/>
                <w:sz w:val="21"/>
                <w:szCs w:val="21"/>
                <w14:textFill>
                  <w14:solidFill>
                    <w14:schemeClr w14:val="tx1"/>
                  </w14:solidFill>
                </w14:textFill>
              </w:rPr>
              <w:t>脱硫废水</w:t>
            </w:r>
            <w:r>
              <w:rPr>
                <w:rFonts w:hint="eastAsia"/>
                <w:sz w:val="21"/>
                <w:szCs w:val="21"/>
              </w:rPr>
              <w:t>经再生反应池再生后可循环使用，不外排</w:t>
            </w:r>
            <w:r>
              <w:rPr>
                <w:rFonts w:hint="eastAsia" w:cs="宋体"/>
                <w:sz w:val="21"/>
                <w:szCs w:val="21"/>
              </w:rPr>
              <w:t>。</w:t>
            </w:r>
            <w:r>
              <w:rPr>
                <w:rFonts w:hint="eastAsia"/>
                <w:snapToGrid w:val="0"/>
                <w:sz w:val="21"/>
                <w:szCs w:val="21"/>
              </w:rPr>
              <w:t>项目废水均得到妥善处理，合理排放。</w:t>
            </w:r>
          </w:p>
        </w:tc>
        <w:tc>
          <w:tcPr>
            <w:tcW w:w="476" w:type="dxa"/>
            <w:tcBorders>
              <w:top w:val="single" w:color="000000" w:sz="4" w:space="0"/>
              <w:left w:val="single" w:color="000000" w:sz="4" w:space="0"/>
              <w:bottom w:val="single" w:color="000000" w:sz="4" w:space="0"/>
              <w:right w:val="single" w:color="000000" w:sz="12" w:space="0"/>
            </w:tcBorders>
            <w:vAlign w:val="center"/>
          </w:tcPr>
          <w:p w14:paraId="26380A36">
            <w:pPr>
              <w:spacing w:line="276" w:lineRule="auto"/>
              <w:ind w:firstLine="0" w:firstLineChars="0"/>
              <w:jc w:val="center"/>
              <w:rPr>
                <w:sz w:val="21"/>
                <w:szCs w:val="21"/>
              </w:rPr>
            </w:pPr>
            <w:r>
              <w:rPr>
                <w:rFonts w:hint="eastAsia"/>
                <w:sz w:val="21"/>
                <w:szCs w:val="21"/>
              </w:rPr>
              <w:t>相符</w:t>
            </w:r>
          </w:p>
        </w:tc>
      </w:tr>
      <w:tr w14:paraId="6ECD3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6035F6F9">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1150A239">
            <w:pPr>
              <w:spacing w:line="276" w:lineRule="auto"/>
              <w:ind w:firstLine="0" w:firstLineChars="0"/>
              <w:jc w:val="center"/>
              <w:rPr>
                <w:sz w:val="21"/>
                <w:szCs w:val="21"/>
              </w:rPr>
            </w:pPr>
            <w:r>
              <w:rPr>
                <w:sz w:val="21"/>
                <w:szCs w:val="21"/>
              </w:rPr>
              <w:t>3</w:t>
            </w:r>
          </w:p>
        </w:tc>
        <w:tc>
          <w:tcPr>
            <w:tcW w:w="6237" w:type="dxa"/>
            <w:tcBorders>
              <w:top w:val="single" w:color="000000" w:sz="4" w:space="0"/>
              <w:left w:val="single" w:color="000000" w:sz="4" w:space="0"/>
              <w:bottom w:val="single" w:color="000000" w:sz="4" w:space="0"/>
              <w:right w:val="single" w:color="000000" w:sz="4" w:space="0"/>
            </w:tcBorders>
            <w:vAlign w:val="center"/>
          </w:tcPr>
          <w:p w14:paraId="5D6C3088">
            <w:pPr>
              <w:spacing w:line="276" w:lineRule="auto"/>
              <w:ind w:firstLine="0" w:firstLineChars="0"/>
              <w:jc w:val="center"/>
              <w:rPr>
                <w:sz w:val="21"/>
                <w:szCs w:val="21"/>
              </w:rPr>
            </w:pPr>
            <w:r>
              <w:rPr>
                <w:rFonts w:hint="eastAsia"/>
                <w:sz w:val="21"/>
                <w:szCs w:val="21"/>
              </w:rPr>
              <w:t>严格落实噪声防治措施。选用低噪声设备，对噪声大的排放源，通过设置隔音、消声、吸声和减震等设施，厂界昼间和夜间噪声满足《工业企业厂界环境噪声排放标准》</w:t>
            </w:r>
            <w:r>
              <w:rPr>
                <w:sz w:val="21"/>
                <w:szCs w:val="21"/>
              </w:rPr>
              <w:t>(GB12348-2008)</w:t>
            </w:r>
            <w:r>
              <w:rPr>
                <w:rFonts w:hint="eastAsia"/>
                <w:sz w:val="21"/>
                <w:szCs w:val="21"/>
              </w:rPr>
              <w:t>中的</w:t>
            </w:r>
            <w:r>
              <w:rPr>
                <w:sz w:val="21"/>
                <w:szCs w:val="21"/>
              </w:rPr>
              <w:t>3</w:t>
            </w:r>
            <w:r>
              <w:rPr>
                <w:rFonts w:hint="eastAsia"/>
                <w:sz w:val="21"/>
                <w:szCs w:val="21"/>
              </w:rPr>
              <w:t>类标准限值要求。</w:t>
            </w:r>
          </w:p>
        </w:tc>
        <w:tc>
          <w:tcPr>
            <w:tcW w:w="5387" w:type="dxa"/>
            <w:tcBorders>
              <w:top w:val="single" w:color="000000" w:sz="4" w:space="0"/>
              <w:left w:val="single" w:color="000000" w:sz="4" w:space="0"/>
              <w:bottom w:val="single" w:color="000000" w:sz="4" w:space="0"/>
              <w:right w:val="single" w:color="000000" w:sz="4" w:space="0"/>
            </w:tcBorders>
            <w:vAlign w:val="center"/>
          </w:tcPr>
          <w:p w14:paraId="1A8ECAB8">
            <w:pPr>
              <w:spacing w:line="276" w:lineRule="auto"/>
              <w:ind w:firstLine="0" w:firstLineChars="0"/>
              <w:jc w:val="center"/>
              <w:rPr>
                <w:sz w:val="21"/>
                <w:szCs w:val="21"/>
              </w:rPr>
            </w:pPr>
            <w:r>
              <w:rPr>
                <w:rFonts w:hint="eastAsia"/>
                <w:sz w:val="21"/>
                <w:szCs w:val="21"/>
              </w:rPr>
              <w:t>对各厂界点噪声进行预测</w:t>
            </w:r>
            <w:r>
              <w:rPr>
                <w:rFonts w:hint="eastAsia"/>
              </w:rPr>
              <w:t>，</w:t>
            </w:r>
            <w:r>
              <w:rPr>
                <w:rFonts w:hint="eastAsia"/>
                <w:sz w:val="21"/>
                <w:szCs w:val="21"/>
              </w:rPr>
              <w:t>本项目产噪设备通过降噪、隔声等处理措施，再经过距离衰减，本项目厂界昼间和夜间噪声可达到《工业企业厂界环境噪声排放标准》（</w:t>
            </w:r>
            <w:r>
              <w:rPr>
                <w:sz w:val="21"/>
                <w:szCs w:val="21"/>
              </w:rPr>
              <w:t>GB12348-2008</w:t>
            </w:r>
            <w:r>
              <w:rPr>
                <w:rFonts w:hint="eastAsia"/>
                <w:sz w:val="21"/>
                <w:szCs w:val="21"/>
              </w:rPr>
              <w:t>）中的</w:t>
            </w:r>
            <w:r>
              <w:rPr>
                <w:sz w:val="21"/>
                <w:szCs w:val="21"/>
              </w:rPr>
              <w:t>3</w:t>
            </w:r>
            <w:r>
              <w:rPr>
                <w:rFonts w:hint="eastAsia"/>
                <w:sz w:val="21"/>
                <w:szCs w:val="21"/>
              </w:rPr>
              <w:t>类标准限值。</w:t>
            </w:r>
          </w:p>
        </w:tc>
        <w:tc>
          <w:tcPr>
            <w:tcW w:w="476" w:type="dxa"/>
            <w:tcBorders>
              <w:top w:val="single" w:color="000000" w:sz="4" w:space="0"/>
              <w:left w:val="single" w:color="000000" w:sz="4" w:space="0"/>
              <w:bottom w:val="single" w:color="000000" w:sz="4" w:space="0"/>
              <w:right w:val="single" w:color="000000" w:sz="12" w:space="0"/>
            </w:tcBorders>
            <w:vAlign w:val="center"/>
          </w:tcPr>
          <w:p w14:paraId="7303AB3D">
            <w:pPr>
              <w:spacing w:line="276" w:lineRule="auto"/>
              <w:ind w:firstLine="0" w:firstLineChars="0"/>
              <w:jc w:val="center"/>
              <w:rPr>
                <w:sz w:val="21"/>
                <w:szCs w:val="21"/>
              </w:rPr>
            </w:pPr>
            <w:r>
              <w:rPr>
                <w:rFonts w:hint="eastAsia"/>
                <w:sz w:val="21"/>
                <w:szCs w:val="21"/>
              </w:rPr>
              <w:t>相符</w:t>
            </w:r>
          </w:p>
        </w:tc>
      </w:tr>
      <w:tr w14:paraId="7398BC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52E06111">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4F8AD0F">
            <w:pPr>
              <w:spacing w:line="276" w:lineRule="auto"/>
              <w:ind w:firstLine="0" w:firstLineChars="0"/>
              <w:jc w:val="center"/>
              <w:rPr>
                <w:sz w:val="21"/>
                <w:szCs w:val="21"/>
              </w:rPr>
            </w:pPr>
            <w:r>
              <w:rPr>
                <w:sz w:val="21"/>
                <w:szCs w:val="21"/>
              </w:rPr>
              <w:t>4</w:t>
            </w:r>
          </w:p>
        </w:tc>
        <w:tc>
          <w:tcPr>
            <w:tcW w:w="6237" w:type="dxa"/>
            <w:tcBorders>
              <w:top w:val="single" w:color="000000" w:sz="4" w:space="0"/>
              <w:left w:val="single" w:color="000000" w:sz="4" w:space="0"/>
              <w:bottom w:val="single" w:color="000000" w:sz="4" w:space="0"/>
              <w:right w:val="single" w:color="000000" w:sz="4" w:space="0"/>
            </w:tcBorders>
            <w:vAlign w:val="center"/>
          </w:tcPr>
          <w:p w14:paraId="5313D0CB">
            <w:pPr>
              <w:spacing w:line="276" w:lineRule="auto"/>
              <w:ind w:firstLine="0" w:firstLineChars="0"/>
              <w:jc w:val="center"/>
              <w:rPr>
                <w:sz w:val="21"/>
                <w:szCs w:val="21"/>
              </w:rPr>
            </w:pPr>
            <w:r>
              <w:rPr>
                <w:rFonts w:hint="eastAsia"/>
                <w:sz w:val="21"/>
                <w:szCs w:val="21"/>
              </w:rPr>
              <w:t>严格落实固体废物处置措施。水膜除尘器收集尘、脱硫设施产生的石膏等，均属于第</w:t>
            </w:r>
            <w:r>
              <w:rPr>
                <w:sz w:val="21"/>
                <w:szCs w:val="21"/>
              </w:rPr>
              <w:t>I</w:t>
            </w:r>
            <w:r>
              <w:rPr>
                <w:rFonts w:hint="eastAsia"/>
                <w:sz w:val="21"/>
                <w:szCs w:val="21"/>
              </w:rPr>
              <w:t>类一般固体废物。收集尘及脱硫石膏定期清理收集暂存于一般固废间，进行综合利用。严格按照《一般工业固体废物贮存、处置场污染控制标准》</w:t>
            </w:r>
            <w:r>
              <w:rPr>
                <w:sz w:val="21"/>
                <w:szCs w:val="21"/>
              </w:rPr>
              <w:t>(GB18599-2001)</w:t>
            </w:r>
            <w:r>
              <w:rPr>
                <w:rFonts w:hint="eastAsia"/>
                <w:sz w:val="21"/>
                <w:szCs w:val="21"/>
              </w:rPr>
              <w:t>及修改单相关要求执行。</w:t>
            </w:r>
          </w:p>
        </w:tc>
        <w:tc>
          <w:tcPr>
            <w:tcW w:w="5387" w:type="dxa"/>
            <w:tcBorders>
              <w:top w:val="single" w:color="000000" w:sz="4" w:space="0"/>
              <w:left w:val="single" w:color="000000" w:sz="4" w:space="0"/>
              <w:bottom w:val="single" w:color="000000" w:sz="4" w:space="0"/>
              <w:right w:val="single" w:color="000000" w:sz="4" w:space="0"/>
            </w:tcBorders>
            <w:vAlign w:val="center"/>
          </w:tcPr>
          <w:p w14:paraId="3A3DEC5D">
            <w:pPr>
              <w:spacing w:line="276" w:lineRule="auto"/>
              <w:ind w:firstLine="0" w:firstLineChars="0"/>
              <w:jc w:val="center"/>
              <w:rPr>
                <w:sz w:val="21"/>
                <w:szCs w:val="21"/>
              </w:rPr>
            </w:pPr>
            <w:r>
              <w:rPr>
                <w:rFonts w:hint="eastAsia"/>
                <w:sz w:val="21"/>
                <w:szCs w:val="21"/>
              </w:rPr>
              <w:t>脱硫石膏和布袋除尘器收尘灰属于一般固废，暂存于一般固废间定期交由附近水泥厂，进行综合利用</w:t>
            </w:r>
          </w:p>
        </w:tc>
        <w:tc>
          <w:tcPr>
            <w:tcW w:w="476" w:type="dxa"/>
            <w:tcBorders>
              <w:top w:val="single" w:color="000000" w:sz="4" w:space="0"/>
              <w:left w:val="single" w:color="000000" w:sz="4" w:space="0"/>
              <w:bottom w:val="single" w:color="000000" w:sz="4" w:space="0"/>
              <w:right w:val="single" w:color="000000" w:sz="12" w:space="0"/>
            </w:tcBorders>
            <w:vAlign w:val="center"/>
          </w:tcPr>
          <w:p w14:paraId="74A185D9">
            <w:pPr>
              <w:spacing w:line="276" w:lineRule="auto"/>
              <w:ind w:firstLine="0" w:firstLineChars="0"/>
              <w:jc w:val="center"/>
              <w:rPr>
                <w:sz w:val="21"/>
                <w:szCs w:val="21"/>
              </w:rPr>
            </w:pPr>
            <w:r>
              <w:rPr>
                <w:rFonts w:hint="eastAsia"/>
                <w:sz w:val="21"/>
                <w:szCs w:val="21"/>
              </w:rPr>
              <w:t>相符</w:t>
            </w:r>
          </w:p>
        </w:tc>
      </w:tr>
      <w:tr w14:paraId="63A2A4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4580D53F">
            <w:pPr>
              <w:widowControl/>
              <w:spacing w:line="240" w:lineRule="auto"/>
              <w:ind w:firstLine="0" w:firstLineChars="0"/>
              <w:jc w:val="center"/>
              <w:rPr>
                <w:sz w:val="21"/>
                <w:szCs w:val="21"/>
              </w:rPr>
            </w:pPr>
          </w:p>
        </w:tc>
        <w:tc>
          <w:tcPr>
            <w:tcW w:w="567" w:type="dxa"/>
            <w:tcBorders>
              <w:top w:val="single" w:color="000000" w:sz="4" w:space="0"/>
              <w:left w:val="single" w:color="000000" w:sz="4" w:space="0"/>
              <w:bottom w:val="single" w:color="000000" w:sz="12" w:space="0"/>
              <w:right w:val="single" w:color="000000" w:sz="4" w:space="0"/>
            </w:tcBorders>
            <w:vAlign w:val="center"/>
          </w:tcPr>
          <w:p w14:paraId="7A81A847">
            <w:pPr>
              <w:spacing w:line="276" w:lineRule="auto"/>
              <w:ind w:firstLine="0" w:firstLineChars="0"/>
              <w:jc w:val="center"/>
              <w:rPr>
                <w:sz w:val="21"/>
                <w:szCs w:val="21"/>
              </w:rPr>
            </w:pPr>
            <w:r>
              <w:rPr>
                <w:sz w:val="21"/>
                <w:szCs w:val="21"/>
              </w:rPr>
              <w:t>5</w:t>
            </w:r>
          </w:p>
        </w:tc>
        <w:tc>
          <w:tcPr>
            <w:tcW w:w="6237" w:type="dxa"/>
            <w:tcBorders>
              <w:top w:val="single" w:color="000000" w:sz="4" w:space="0"/>
              <w:left w:val="single" w:color="000000" w:sz="4" w:space="0"/>
              <w:bottom w:val="single" w:color="000000" w:sz="12" w:space="0"/>
              <w:right w:val="single" w:color="000000" w:sz="4" w:space="0"/>
            </w:tcBorders>
            <w:vAlign w:val="center"/>
          </w:tcPr>
          <w:p w14:paraId="5B219631">
            <w:pPr>
              <w:spacing w:line="276" w:lineRule="auto"/>
              <w:ind w:firstLine="0" w:firstLineChars="0"/>
              <w:jc w:val="center"/>
              <w:rPr>
                <w:sz w:val="21"/>
                <w:szCs w:val="21"/>
              </w:rPr>
            </w:pPr>
            <w:r>
              <w:rPr>
                <w:rFonts w:hint="eastAsia"/>
                <w:sz w:val="21"/>
                <w:szCs w:val="21"/>
              </w:rPr>
              <w:t>加强环境风险事故防范。你单位应建立严格的环境与安全管理制度，按照《关于印发</w:t>
            </w:r>
            <w:r>
              <w:rPr>
                <w:sz w:val="21"/>
                <w:szCs w:val="21"/>
              </w:rPr>
              <w:t>&lt;</w:t>
            </w:r>
            <w:r>
              <w:rPr>
                <w:rFonts w:hint="eastAsia"/>
                <w:sz w:val="21"/>
                <w:szCs w:val="21"/>
              </w:rPr>
              <w:t>企业事业单位突发环境事件应急预案备案管理办法</w:t>
            </w:r>
            <w:r>
              <w:rPr>
                <w:sz w:val="21"/>
                <w:szCs w:val="21"/>
              </w:rPr>
              <w:t>(</w:t>
            </w:r>
            <w:r>
              <w:rPr>
                <w:rFonts w:hint="eastAsia"/>
                <w:sz w:val="21"/>
                <w:szCs w:val="21"/>
              </w:rPr>
              <w:t>试行</w:t>
            </w:r>
            <w:r>
              <w:rPr>
                <w:sz w:val="21"/>
                <w:szCs w:val="21"/>
              </w:rPr>
              <w:t>)&gt;</w:t>
            </w:r>
            <w:r>
              <w:rPr>
                <w:rFonts w:hint="eastAsia"/>
                <w:sz w:val="21"/>
                <w:szCs w:val="21"/>
              </w:rPr>
              <w:t>的通知》</w:t>
            </w:r>
            <w:r>
              <w:rPr>
                <w:sz w:val="21"/>
                <w:szCs w:val="21"/>
              </w:rPr>
              <w:t>(</w:t>
            </w:r>
            <w:r>
              <w:rPr>
                <w:rFonts w:hint="eastAsia"/>
                <w:sz w:val="21"/>
                <w:szCs w:val="21"/>
              </w:rPr>
              <w:t>环发〔</w:t>
            </w:r>
            <w:r>
              <w:rPr>
                <w:sz w:val="21"/>
                <w:szCs w:val="21"/>
              </w:rPr>
              <w:t>2015]4</w:t>
            </w:r>
            <w:r>
              <w:rPr>
                <w:rFonts w:hint="eastAsia"/>
                <w:sz w:val="21"/>
                <w:szCs w:val="21"/>
              </w:rPr>
              <w:t>号</w:t>
            </w:r>
            <w:r>
              <w:rPr>
                <w:sz w:val="21"/>
                <w:szCs w:val="21"/>
              </w:rPr>
              <w:t>)</w:t>
            </w:r>
            <w:r>
              <w:rPr>
                <w:rFonts w:hint="eastAsia"/>
                <w:sz w:val="21"/>
                <w:szCs w:val="21"/>
              </w:rPr>
              <w:t>要求做好环境应急预案的编制、评估和备案等工作，并定期演练。严格操作规程，做好运行记录，定期检修设备，发现隐患及时处理，杜绝非正常工况及事故排放对环境的影响。</w:t>
            </w:r>
          </w:p>
        </w:tc>
        <w:tc>
          <w:tcPr>
            <w:tcW w:w="5387" w:type="dxa"/>
            <w:tcBorders>
              <w:top w:val="single" w:color="000000" w:sz="4" w:space="0"/>
              <w:left w:val="single" w:color="000000" w:sz="4" w:space="0"/>
              <w:bottom w:val="single" w:color="000000" w:sz="12" w:space="0"/>
              <w:right w:val="single" w:color="000000" w:sz="4" w:space="0"/>
            </w:tcBorders>
            <w:vAlign w:val="center"/>
          </w:tcPr>
          <w:p w14:paraId="328BACF2">
            <w:pPr>
              <w:spacing w:line="276" w:lineRule="auto"/>
              <w:ind w:firstLine="0" w:firstLineChars="0"/>
              <w:jc w:val="center"/>
              <w:rPr>
                <w:sz w:val="21"/>
                <w:szCs w:val="21"/>
              </w:rPr>
            </w:pPr>
            <w:r>
              <w:rPr>
                <w:rFonts w:hint="eastAsia"/>
                <w:sz w:val="21"/>
                <w:szCs w:val="21"/>
              </w:rPr>
              <w:t>企业已编制完成应急预案，并完成备案（备案编号：</w:t>
            </w:r>
            <w:r>
              <w:rPr>
                <w:sz w:val="21"/>
                <w:szCs w:val="21"/>
              </w:rPr>
              <w:t>650500-2024-57-L</w:t>
            </w:r>
            <w:r>
              <w:rPr>
                <w:rFonts w:hint="eastAsia"/>
                <w:sz w:val="21"/>
                <w:szCs w:val="21"/>
              </w:rPr>
              <w:t>）；已做好车间内无组织粉尘的安全防控措施，并建立有效的生产事故预警系统和应急体系。</w:t>
            </w:r>
          </w:p>
        </w:tc>
        <w:tc>
          <w:tcPr>
            <w:tcW w:w="476" w:type="dxa"/>
            <w:tcBorders>
              <w:top w:val="single" w:color="000000" w:sz="4" w:space="0"/>
              <w:left w:val="single" w:color="000000" w:sz="4" w:space="0"/>
              <w:bottom w:val="single" w:color="000000" w:sz="12" w:space="0"/>
              <w:right w:val="single" w:color="000000" w:sz="12" w:space="0"/>
            </w:tcBorders>
            <w:vAlign w:val="center"/>
          </w:tcPr>
          <w:p w14:paraId="33767CE8">
            <w:pPr>
              <w:spacing w:line="276" w:lineRule="auto"/>
              <w:ind w:firstLine="0" w:firstLineChars="0"/>
              <w:jc w:val="center"/>
              <w:rPr>
                <w:sz w:val="21"/>
                <w:szCs w:val="21"/>
              </w:rPr>
            </w:pPr>
            <w:r>
              <w:rPr>
                <w:rFonts w:hint="eastAsia"/>
                <w:sz w:val="21"/>
                <w:szCs w:val="21"/>
              </w:rPr>
              <w:t>相符</w:t>
            </w:r>
          </w:p>
        </w:tc>
      </w:tr>
    </w:tbl>
    <w:p w14:paraId="71908280">
      <w:pPr>
        <w:ind w:firstLine="0" w:firstLineChars="0"/>
      </w:pPr>
    </w:p>
    <w:p w14:paraId="4FEB664E">
      <w:pPr>
        <w:ind w:firstLine="0" w:firstLineChars="0"/>
      </w:pPr>
    </w:p>
    <w:p w14:paraId="14C09747">
      <w:pPr>
        <w:widowControl/>
        <w:spacing w:line="240" w:lineRule="auto"/>
        <w:ind w:firstLine="0" w:firstLineChars="0"/>
        <w:jc w:val="left"/>
      </w:pPr>
      <w:r>
        <w:br w:type="page"/>
      </w:r>
    </w:p>
    <w:p w14:paraId="3B784992">
      <w:pPr>
        <w:widowControl/>
        <w:ind w:firstLine="0" w:firstLineChars="0"/>
        <w:jc w:val="left"/>
        <w:sectPr>
          <w:pgSz w:w="16838" w:h="11906" w:orient="landscape"/>
          <w:pgMar w:top="1800" w:right="1440" w:bottom="1800" w:left="1440" w:header="850" w:footer="850" w:gutter="0"/>
          <w:cols w:space="720" w:num="1"/>
          <w:docGrid w:type="lines" w:linePitch="326" w:charSpace="0"/>
        </w:sectPr>
      </w:pPr>
    </w:p>
    <w:p w14:paraId="10AB4A85">
      <w:pPr>
        <w:pStyle w:val="138"/>
        <w:rPr>
          <w:rFonts w:hint="eastAsia"/>
        </w:rPr>
      </w:pPr>
      <w:r>
        <w:rPr>
          <w:rFonts w:hint="eastAsia"/>
        </w:rPr>
        <w:t>新疆金盛镁业有限公司全封闭原料大棚环保改造项目</w:t>
      </w:r>
    </w:p>
    <w:p w14:paraId="16569A0C">
      <w:pPr>
        <w:pStyle w:val="5"/>
      </w:pPr>
      <w:r>
        <w:rPr>
          <w:rFonts w:hint="eastAsia"/>
        </w:rPr>
        <w:t>环评批复内容</w:t>
      </w:r>
    </w:p>
    <w:p w14:paraId="13608E03">
      <w:pPr>
        <w:ind w:firstLine="480"/>
      </w:pPr>
      <w:r>
        <w:rPr>
          <w:rFonts w:hint="eastAsia"/>
        </w:rPr>
        <w:t>新建设</w:t>
      </w:r>
      <w:r>
        <w:t>1</w:t>
      </w:r>
      <w:r>
        <w:rPr>
          <w:rFonts w:hint="eastAsia"/>
        </w:rPr>
        <w:t>座全封闭钢结构原料大棚，用以储存已建硅铁生产线原料兰炭。</w:t>
      </w:r>
      <w:bookmarkStart w:id="204" w:name="OLE_LINK76"/>
      <w:r>
        <w:t>该项目于202</w:t>
      </w:r>
      <w:r>
        <w:rPr>
          <w:rFonts w:hint="eastAsia"/>
        </w:rPr>
        <w:t>3年2月</w:t>
      </w:r>
      <w:r>
        <w:t>2</w:t>
      </w:r>
      <w:r>
        <w:rPr>
          <w:rFonts w:hint="eastAsia"/>
        </w:rPr>
        <w:t>日取得</w:t>
      </w:r>
      <w:r>
        <w:t>哈密市生态环境局伊州区分局批复</w:t>
      </w:r>
      <w:r>
        <w:rPr>
          <w:rFonts w:hint="eastAsia"/>
        </w:rPr>
        <w:t>（哈市环监函〔</w:t>
      </w:r>
      <w:r>
        <w:t>202</w:t>
      </w:r>
      <w:r>
        <w:rPr>
          <w:rFonts w:hint="eastAsia"/>
        </w:rPr>
        <w:t>3〕11号）</w:t>
      </w:r>
      <w:bookmarkEnd w:id="204"/>
      <w:r>
        <w:rPr>
          <w:rFonts w:hint="eastAsia"/>
        </w:rPr>
        <w:t>。见表</w:t>
      </w:r>
      <w:r>
        <w:t>2.1</w:t>
      </w:r>
      <w:r>
        <w:rPr>
          <w:rFonts w:hint="eastAsia"/>
        </w:rPr>
        <w:t>-7</w:t>
      </w:r>
      <w:r>
        <w:t xml:space="preserve"> </w:t>
      </w:r>
      <w:r>
        <w:rPr>
          <w:rFonts w:hint="eastAsia"/>
        </w:rPr>
        <w:t>。</w:t>
      </w:r>
    </w:p>
    <w:p w14:paraId="7A34BFC9">
      <w:pPr>
        <w:pStyle w:val="5"/>
      </w:pPr>
      <w:r>
        <w:rPr>
          <w:rFonts w:hint="eastAsia"/>
        </w:rPr>
        <w:t>实际建设内容</w:t>
      </w:r>
    </w:p>
    <w:p w14:paraId="54AE72C9">
      <w:pPr>
        <w:pStyle w:val="117"/>
        <w:ind w:firstLine="480"/>
      </w:pPr>
      <w:r>
        <w:t>2021</w:t>
      </w:r>
      <w:r>
        <w:rPr>
          <w:rFonts w:hint="eastAsia"/>
        </w:rPr>
        <w:t>年</w:t>
      </w:r>
      <w:r>
        <w:t>4</w:t>
      </w:r>
      <w:r>
        <w:rPr>
          <w:rFonts w:hint="eastAsia"/>
        </w:rPr>
        <w:t>月</w:t>
      </w:r>
      <w:r>
        <w:t>27</w:t>
      </w:r>
      <w:r>
        <w:rPr>
          <w:rFonts w:hint="eastAsia"/>
        </w:rPr>
        <w:t>日，哈密市生态环境局以《</w:t>
      </w:r>
      <w:r>
        <w:rPr>
          <w:rFonts w:hint="eastAsia"/>
          <w:color w:val="000000"/>
        </w:rPr>
        <w:t>新疆金盛镁业有限公司全封闭原料大棚环保改造项目</w:t>
      </w:r>
      <w:r>
        <w:rPr>
          <w:rFonts w:hint="eastAsia"/>
        </w:rPr>
        <w:t>环境影响报告表的批复》（哈市环监函〔</w:t>
      </w:r>
      <w:r>
        <w:t>2023</w:t>
      </w:r>
      <w:r>
        <w:rPr>
          <w:rFonts w:hint="eastAsia"/>
        </w:rPr>
        <w:t>〕</w:t>
      </w:r>
      <w:r>
        <w:t>11</w:t>
      </w:r>
      <w:r>
        <w:rPr>
          <w:rFonts w:hint="eastAsia"/>
        </w:rPr>
        <w:t>号），同意</w:t>
      </w:r>
      <w:r>
        <w:rPr>
          <w:rFonts w:hint="eastAsia"/>
          <w:color w:val="000000"/>
        </w:rPr>
        <w:t>新疆金盛镁业有限公司全封闭原料大棚环保改造项目</w:t>
      </w:r>
      <w:r>
        <w:rPr>
          <w:rFonts w:hint="eastAsia"/>
        </w:rPr>
        <w:t>，</w:t>
      </w:r>
      <w:bookmarkStart w:id="205" w:name="OLE_LINK73"/>
      <w:r>
        <w:rPr>
          <w:rFonts w:hint="eastAsia"/>
        </w:rPr>
        <w:t>新建设</w:t>
      </w:r>
      <w:r>
        <w:t>1</w:t>
      </w:r>
      <w:r>
        <w:rPr>
          <w:rFonts w:hint="eastAsia"/>
        </w:rPr>
        <w:t>座全封闭钢结构原料大棚，用以储存已建硅铁生产线原料兰炭，</w:t>
      </w:r>
      <w:bookmarkEnd w:id="205"/>
      <w:r>
        <w:rPr>
          <w:rFonts w:hint="eastAsia"/>
        </w:rPr>
        <w:t>总建筑面积</w:t>
      </w:r>
      <w:r>
        <w:t>8506.8m</w:t>
      </w:r>
      <w:r>
        <w:rPr>
          <w:vertAlign w:val="superscript"/>
        </w:rPr>
        <w:t>2</w:t>
      </w:r>
      <w:r>
        <w:t>,</w:t>
      </w:r>
      <w:r>
        <w:rPr>
          <w:rFonts w:hint="eastAsia"/>
        </w:rPr>
        <w:t>设计一次性最大储存量约为</w:t>
      </w:r>
      <w:r>
        <w:t>1.5</w:t>
      </w:r>
      <w:r>
        <w:rPr>
          <w:rFonts w:hint="eastAsia"/>
        </w:rPr>
        <w:t>万</w:t>
      </w:r>
      <w:r>
        <w:t>t</w:t>
      </w:r>
      <w:r>
        <w:rPr>
          <w:rFonts w:hint="eastAsia"/>
        </w:rPr>
        <w:t>。</w:t>
      </w:r>
    </w:p>
    <w:p w14:paraId="43767118">
      <w:pPr>
        <w:pStyle w:val="5"/>
      </w:pPr>
      <w:r>
        <w:rPr>
          <w:rFonts w:hint="eastAsia"/>
        </w:rPr>
        <w:t>环评批复落实情况</w:t>
      </w:r>
    </w:p>
    <w:p w14:paraId="31DD8B06">
      <w:pPr>
        <w:ind w:firstLine="480"/>
      </w:pPr>
      <w:r>
        <w:rPr>
          <w:rFonts w:hint="eastAsia"/>
        </w:rPr>
        <w:t>见表</w:t>
      </w:r>
      <w:r>
        <w:t>2.1</w:t>
      </w:r>
      <w:r>
        <w:rPr>
          <w:rFonts w:hint="eastAsia"/>
        </w:rPr>
        <w:t>-7。</w:t>
      </w:r>
    </w:p>
    <w:p w14:paraId="1B2B2ED6">
      <w:pPr>
        <w:pStyle w:val="5"/>
      </w:pPr>
      <w:r>
        <w:rPr>
          <w:rFonts w:hint="eastAsia"/>
        </w:rPr>
        <w:t>项目验收情况</w:t>
      </w:r>
    </w:p>
    <w:p w14:paraId="62B0906C">
      <w:pPr>
        <w:ind w:firstLine="480"/>
      </w:pPr>
      <w:bookmarkStart w:id="206" w:name="OLE_LINK77"/>
      <w:r>
        <w:rPr>
          <w:rFonts w:hint="eastAsia"/>
        </w:rPr>
        <w:t>该项目在</w:t>
      </w:r>
      <w:r>
        <w:t>2024</w:t>
      </w:r>
      <w:r>
        <w:rPr>
          <w:rFonts w:hint="eastAsia"/>
        </w:rPr>
        <w:t>年</w:t>
      </w:r>
      <w:r>
        <w:t>9</w:t>
      </w:r>
      <w:r>
        <w:rPr>
          <w:rFonts w:hint="eastAsia"/>
        </w:rPr>
        <w:t>月</w:t>
      </w:r>
      <w:r>
        <w:t>15</w:t>
      </w:r>
      <w:r>
        <w:rPr>
          <w:rFonts w:hint="eastAsia"/>
        </w:rPr>
        <w:t>日进行竣工环境保护自主验收出具《</w:t>
      </w:r>
      <w:r>
        <w:rPr>
          <w:rFonts w:hint="eastAsia"/>
          <w:color w:val="000000"/>
        </w:rPr>
        <w:t>新疆金盛镁业有</w:t>
      </w:r>
      <w:r>
        <w:rPr>
          <w:rFonts w:hint="eastAsia"/>
        </w:rPr>
        <w:t>限公司</w:t>
      </w:r>
      <w:r>
        <w:rPr>
          <w:rFonts w:hint="eastAsia"/>
          <w:color w:val="000000"/>
        </w:rPr>
        <w:t>全封闭原料大棚环保改造项目</w:t>
      </w:r>
      <w:r>
        <w:rPr>
          <w:rFonts w:hint="eastAsia"/>
        </w:rPr>
        <w:t>竣工环境保护验收意见》验收结论，</w:t>
      </w:r>
      <w:r>
        <w:rPr>
          <w:rFonts w:hint="eastAsia"/>
          <w:color w:val="000000"/>
        </w:rPr>
        <w:t>新疆金盛镁业有限公司全封闭原料大棚环保改造项目</w:t>
      </w:r>
      <w:r>
        <w:rPr>
          <w:rFonts w:hint="eastAsia"/>
        </w:rPr>
        <w:t>该项目执行了环境影响评价等环保相关制度，落实了环评及批复中提出的污染防治措施，环保设施运行正常，污染物达标排放，根据《新疆金盛镁业有限公司全封闭原料大棚环保改造项目竣工环境保护验收监测报告表》的结论，通过现场查验，认为该项目满足建设项目竣工环境保护验收要求，同意通过竣工环境保护验收。</w:t>
      </w:r>
    </w:p>
    <w:bookmarkEnd w:id="206"/>
    <w:p w14:paraId="2AA1606B">
      <w:pPr>
        <w:widowControl/>
        <w:ind w:firstLine="0" w:firstLineChars="0"/>
        <w:jc w:val="left"/>
        <w:sectPr>
          <w:pgSz w:w="11906" w:h="16838"/>
          <w:pgMar w:top="1440" w:right="1800" w:bottom="1440" w:left="1800" w:header="850" w:footer="850" w:gutter="0"/>
          <w:cols w:space="720" w:num="1"/>
          <w:docGrid w:type="lines" w:linePitch="326" w:charSpace="0"/>
        </w:sectPr>
      </w:pPr>
    </w:p>
    <w:p w14:paraId="0BFCB2E7">
      <w:pPr>
        <w:pStyle w:val="118"/>
        <w:tabs>
          <w:tab w:val="center" w:pos="6979"/>
        </w:tabs>
        <w:ind w:firstLine="480"/>
        <w:jc w:val="both"/>
      </w:pPr>
      <w:r>
        <w:tab/>
      </w:r>
      <w:r>
        <w:rPr>
          <w:rFonts w:hint="eastAsia"/>
        </w:rPr>
        <w:t>表</w:t>
      </w:r>
      <w:r>
        <w:t>2.1-</w:t>
      </w:r>
      <w:r>
        <w:rPr>
          <w:rFonts w:hint="eastAsia"/>
        </w:rPr>
        <w:t>7</w:t>
      </w:r>
      <w:r>
        <w:t xml:space="preserve"> </w:t>
      </w:r>
      <w:r>
        <w:rPr>
          <w:rFonts w:hint="eastAsia"/>
        </w:rPr>
        <w:t>全封闭原料大棚环保改造项目环评批复落实情况</w:t>
      </w:r>
    </w:p>
    <w:tbl>
      <w:tblPr>
        <w:tblStyle w:val="6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19"/>
        <w:gridCol w:w="851"/>
        <w:gridCol w:w="5812"/>
        <w:gridCol w:w="5386"/>
        <w:gridCol w:w="760"/>
      </w:tblGrid>
      <w:tr w14:paraId="7AC22B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119" w:type="dxa"/>
            <w:tcBorders>
              <w:top w:val="single" w:color="000000" w:sz="12" w:space="0"/>
              <w:left w:val="single" w:color="000000" w:sz="12" w:space="0"/>
              <w:bottom w:val="single" w:color="000000" w:sz="4" w:space="0"/>
              <w:right w:val="single" w:color="000000" w:sz="4" w:space="0"/>
            </w:tcBorders>
            <w:vAlign w:val="center"/>
          </w:tcPr>
          <w:p w14:paraId="78680D13">
            <w:pPr>
              <w:pStyle w:val="133"/>
              <w:rPr>
                <w:b/>
                <w:bCs/>
              </w:rPr>
            </w:pPr>
            <w:r>
              <w:rPr>
                <w:rFonts w:hint="eastAsia"/>
                <w:b/>
                <w:bCs/>
              </w:rPr>
              <w:t>文件名称</w:t>
            </w:r>
          </w:p>
        </w:tc>
        <w:tc>
          <w:tcPr>
            <w:tcW w:w="851" w:type="dxa"/>
            <w:tcBorders>
              <w:top w:val="single" w:color="000000" w:sz="12" w:space="0"/>
              <w:left w:val="single" w:color="000000" w:sz="4" w:space="0"/>
              <w:bottom w:val="single" w:color="000000" w:sz="4" w:space="0"/>
              <w:right w:val="single" w:color="000000" w:sz="4" w:space="0"/>
            </w:tcBorders>
            <w:vAlign w:val="center"/>
          </w:tcPr>
          <w:p w14:paraId="4ACA84D8">
            <w:pPr>
              <w:pStyle w:val="133"/>
              <w:rPr>
                <w:b/>
                <w:bCs/>
              </w:rPr>
            </w:pPr>
            <w:r>
              <w:rPr>
                <w:rFonts w:hint="eastAsia"/>
                <w:b/>
                <w:bCs/>
              </w:rPr>
              <w:t>序号</w:t>
            </w:r>
          </w:p>
        </w:tc>
        <w:tc>
          <w:tcPr>
            <w:tcW w:w="5812" w:type="dxa"/>
            <w:tcBorders>
              <w:top w:val="single" w:color="000000" w:sz="12" w:space="0"/>
              <w:left w:val="single" w:color="000000" w:sz="4" w:space="0"/>
              <w:bottom w:val="single" w:color="000000" w:sz="4" w:space="0"/>
              <w:right w:val="single" w:color="000000" w:sz="4" w:space="0"/>
            </w:tcBorders>
            <w:vAlign w:val="center"/>
          </w:tcPr>
          <w:p w14:paraId="56571E85">
            <w:pPr>
              <w:pStyle w:val="133"/>
              <w:rPr>
                <w:b/>
                <w:bCs/>
              </w:rPr>
            </w:pPr>
            <w:r>
              <w:rPr>
                <w:rFonts w:hint="eastAsia"/>
                <w:b/>
                <w:bCs/>
              </w:rPr>
              <w:t>批复要求</w:t>
            </w:r>
          </w:p>
        </w:tc>
        <w:tc>
          <w:tcPr>
            <w:tcW w:w="5386" w:type="dxa"/>
            <w:tcBorders>
              <w:top w:val="single" w:color="000000" w:sz="12" w:space="0"/>
              <w:left w:val="single" w:color="000000" w:sz="4" w:space="0"/>
              <w:bottom w:val="single" w:color="000000" w:sz="4" w:space="0"/>
              <w:right w:val="single" w:color="000000" w:sz="4" w:space="0"/>
            </w:tcBorders>
            <w:vAlign w:val="center"/>
          </w:tcPr>
          <w:p w14:paraId="673ABC2A">
            <w:pPr>
              <w:pStyle w:val="133"/>
              <w:rPr>
                <w:b/>
                <w:bCs/>
              </w:rPr>
            </w:pPr>
            <w:r>
              <w:rPr>
                <w:rFonts w:hint="eastAsia"/>
                <w:b/>
                <w:bCs/>
              </w:rPr>
              <w:t>建设情况</w:t>
            </w:r>
          </w:p>
        </w:tc>
        <w:tc>
          <w:tcPr>
            <w:tcW w:w="760" w:type="dxa"/>
            <w:tcBorders>
              <w:top w:val="single" w:color="000000" w:sz="12" w:space="0"/>
              <w:left w:val="single" w:color="000000" w:sz="4" w:space="0"/>
              <w:bottom w:val="single" w:color="000000" w:sz="4" w:space="0"/>
              <w:right w:val="single" w:color="000000" w:sz="12" w:space="0"/>
            </w:tcBorders>
            <w:vAlign w:val="center"/>
          </w:tcPr>
          <w:p w14:paraId="53518E05">
            <w:pPr>
              <w:pStyle w:val="133"/>
              <w:rPr>
                <w:b/>
                <w:bCs/>
              </w:rPr>
            </w:pPr>
            <w:r>
              <w:rPr>
                <w:rFonts w:hint="eastAsia"/>
                <w:b/>
                <w:bCs/>
              </w:rPr>
              <w:t>相符性</w:t>
            </w:r>
          </w:p>
        </w:tc>
      </w:tr>
      <w:tr w14:paraId="6FD872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19" w:type="dxa"/>
            <w:vMerge w:val="restart"/>
            <w:tcBorders>
              <w:top w:val="single" w:color="000000" w:sz="4" w:space="0"/>
              <w:left w:val="single" w:color="000000" w:sz="12" w:space="0"/>
              <w:bottom w:val="single" w:color="000000" w:sz="12" w:space="0"/>
              <w:right w:val="single" w:color="000000" w:sz="4" w:space="0"/>
            </w:tcBorders>
            <w:vAlign w:val="center"/>
          </w:tcPr>
          <w:p w14:paraId="0618784D">
            <w:pPr>
              <w:pStyle w:val="133"/>
            </w:pPr>
            <w:r>
              <w:rPr>
                <w:rFonts w:hint="eastAsia"/>
              </w:rPr>
              <w:t>《关于新疆金盛镁业有限公司全封闭原料大棚环保改造项目环境影响报告表的批复》</w:t>
            </w:r>
            <w:r>
              <w:t xml:space="preserve"> </w:t>
            </w:r>
            <w:r>
              <w:rPr>
                <w:rFonts w:hint="eastAsia"/>
              </w:rPr>
              <w:t>（哈市环监函</w:t>
            </w:r>
            <w:r>
              <w:t xml:space="preserve"> [2023]11</w:t>
            </w:r>
            <w:r>
              <w:rPr>
                <w:rFonts w:hint="eastAsia"/>
              </w:rPr>
              <w:t>号）</w:t>
            </w:r>
          </w:p>
        </w:tc>
        <w:tc>
          <w:tcPr>
            <w:tcW w:w="851" w:type="dxa"/>
            <w:tcBorders>
              <w:top w:val="single" w:color="000000" w:sz="4" w:space="0"/>
              <w:left w:val="single" w:color="000000" w:sz="4" w:space="0"/>
              <w:bottom w:val="single" w:color="000000" w:sz="4" w:space="0"/>
              <w:right w:val="single" w:color="000000" w:sz="4" w:space="0"/>
            </w:tcBorders>
            <w:vAlign w:val="center"/>
          </w:tcPr>
          <w:p w14:paraId="73CBE76E">
            <w:pPr>
              <w:pStyle w:val="133"/>
            </w:pPr>
            <w:r>
              <w:t>1</w:t>
            </w:r>
          </w:p>
        </w:tc>
        <w:tc>
          <w:tcPr>
            <w:tcW w:w="5812" w:type="dxa"/>
            <w:tcBorders>
              <w:top w:val="single" w:color="000000" w:sz="4" w:space="0"/>
              <w:left w:val="single" w:color="000000" w:sz="4" w:space="0"/>
              <w:bottom w:val="single" w:color="000000" w:sz="4" w:space="0"/>
              <w:right w:val="single" w:color="000000" w:sz="4" w:space="0"/>
            </w:tcBorders>
            <w:vAlign w:val="center"/>
          </w:tcPr>
          <w:p w14:paraId="707A4F69">
            <w:pPr>
              <w:pStyle w:val="133"/>
            </w:pPr>
            <w:r>
              <w:rPr>
                <w:rFonts w:hint="eastAsia"/>
              </w:rPr>
              <w:t>严格落实大气污染防治措施。施工工地周围按照规范设置硬质材料密闭围挡</w:t>
            </w:r>
            <w:r>
              <w:t>,</w:t>
            </w:r>
            <w:r>
              <w:rPr>
                <w:rFonts w:hint="eastAsia"/>
              </w:rPr>
              <w:t>工程材料及物料覆盖防尘网或者防尘布施工场地酒水降尘</w:t>
            </w:r>
            <w:r>
              <w:t>;</w:t>
            </w:r>
            <w:r>
              <w:rPr>
                <w:rFonts w:hint="eastAsia"/>
              </w:rPr>
              <w:t>施工机械达标排放，采用密闭运输方式，禁止高空抛掷、扬撒</w:t>
            </w:r>
            <w:r>
              <w:t>;</w:t>
            </w:r>
            <w:r>
              <w:rPr>
                <w:rFonts w:hint="eastAsia"/>
              </w:rPr>
              <w:t>大风天气禁止大量土石方施工作业。运营期兰炭装卸等生产活动必须在全密闭原料大棚内进行，车辆进出口加装密闭门</w:t>
            </w:r>
            <w:r>
              <w:t>;</w:t>
            </w:r>
            <w:r>
              <w:rPr>
                <w:rFonts w:hint="eastAsia"/>
              </w:rPr>
              <w:t>原料大棚内设置</w:t>
            </w:r>
            <w:r>
              <w:t>1</w:t>
            </w:r>
            <w:r>
              <w:rPr>
                <w:rFonts w:hint="eastAsia"/>
              </w:rPr>
              <w:t>套喷雾抑尘设施（</w:t>
            </w:r>
            <w:r>
              <w:t>37</w:t>
            </w:r>
            <w:r>
              <w:rPr>
                <w:rFonts w:hint="eastAsia"/>
              </w:rPr>
              <w:t>个喷头）并覆盖至全场，最大限度减少无组织粉尘排放量，粉尘排放浓度执行《煤炭工业污染物排放标准》（</w:t>
            </w:r>
            <w:r>
              <w:t>GB20426-2006</w:t>
            </w:r>
            <w:r>
              <w:rPr>
                <w:rFonts w:hint="eastAsia"/>
              </w:rPr>
              <w:t>）中表</w:t>
            </w:r>
            <w:r>
              <w:t>5</w:t>
            </w:r>
            <w:r>
              <w:rPr>
                <w:rFonts w:hint="eastAsia"/>
              </w:rPr>
              <w:t>规定的颗粒物无组织排放限值。</w:t>
            </w:r>
          </w:p>
        </w:tc>
        <w:tc>
          <w:tcPr>
            <w:tcW w:w="5386" w:type="dxa"/>
            <w:tcBorders>
              <w:top w:val="single" w:color="000000" w:sz="4" w:space="0"/>
              <w:left w:val="single" w:color="000000" w:sz="4" w:space="0"/>
              <w:bottom w:val="single" w:color="000000" w:sz="4" w:space="0"/>
              <w:right w:val="single" w:color="000000" w:sz="4" w:space="0"/>
            </w:tcBorders>
            <w:vAlign w:val="center"/>
          </w:tcPr>
          <w:p w14:paraId="1F455114">
            <w:pPr>
              <w:pStyle w:val="133"/>
            </w:pPr>
            <w:r>
              <w:rPr>
                <w:rFonts w:hint="eastAsia"/>
              </w:rPr>
              <w:t>储煤库为全封闭，地面硬化，配备雾炮车定期洒水降尘，装卸作业时尽量降低卸料高度，并喷洒水；装卸作业所用非道路移动机械采用国</w:t>
            </w:r>
            <w:r>
              <w:t>Ⅲ</w:t>
            </w:r>
            <w:r>
              <w:rPr>
                <w:rFonts w:hint="eastAsia"/>
              </w:rPr>
              <w:t>以上，并在非道路移动机械监管平台进行登记，使用符合《车用柴油》（</w:t>
            </w:r>
            <w:r>
              <w:t>GB19147-2016</w:t>
            </w:r>
            <w:r>
              <w:rPr>
                <w:rFonts w:hint="eastAsia"/>
              </w:rPr>
              <w:t>）标准的燃料。储煤库外安装无组织颗粒物自动监测装置，且粉尘排放浓度执行《煤炭工业污染物排放标准》（</w:t>
            </w:r>
            <w:r>
              <w:t>GB20426-2006</w:t>
            </w:r>
            <w:r>
              <w:rPr>
                <w:rFonts w:hint="eastAsia"/>
              </w:rPr>
              <w:t>）中表</w:t>
            </w:r>
            <w:r>
              <w:t>5</w:t>
            </w:r>
            <w:r>
              <w:rPr>
                <w:rFonts w:hint="eastAsia"/>
              </w:rPr>
              <w:t>规定的颗粒物无组织排放限值。</w:t>
            </w:r>
          </w:p>
        </w:tc>
        <w:tc>
          <w:tcPr>
            <w:tcW w:w="760" w:type="dxa"/>
            <w:tcBorders>
              <w:top w:val="single" w:color="000000" w:sz="4" w:space="0"/>
              <w:left w:val="single" w:color="000000" w:sz="4" w:space="0"/>
              <w:bottom w:val="single" w:color="000000" w:sz="4" w:space="0"/>
              <w:right w:val="single" w:color="000000" w:sz="12" w:space="0"/>
            </w:tcBorders>
            <w:vAlign w:val="center"/>
          </w:tcPr>
          <w:p w14:paraId="41442F54">
            <w:pPr>
              <w:pStyle w:val="133"/>
            </w:pPr>
            <w:r>
              <w:rPr>
                <w:rFonts w:hint="eastAsia"/>
              </w:rPr>
              <w:t>相符</w:t>
            </w:r>
          </w:p>
        </w:tc>
      </w:tr>
      <w:tr w14:paraId="0AAFC1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5DB8C84F">
            <w:pPr>
              <w:pStyle w:val="133"/>
              <w:rPr>
                <w:rFonts w:cs="Times New Roman"/>
                <w:color w:val="000000"/>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4E97490">
            <w:pPr>
              <w:pStyle w:val="133"/>
            </w:pPr>
            <w:r>
              <w:t>2</w:t>
            </w:r>
          </w:p>
        </w:tc>
        <w:tc>
          <w:tcPr>
            <w:tcW w:w="5812" w:type="dxa"/>
            <w:tcBorders>
              <w:top w:val="single" w:color="000000" w:sz="4" w:space="0"/>
              <w:left w:val="single" w:color="000000" w:sz="4" w:space="0"/>
              <w:bottom w:val="single" w:color="000000" w:sz="4" w:space="0"/>
              <w:right w:val="single" w:color="000000" w:sz="4" w:space="0"/>
            </w:tcBorders>
            <w:vAlign w:val="center"/>
          </w:tcPr>
          <w:p w14:paraId="5B29876F">
            <w:pPr>
              <w:pStyle w:val="133"/>
            </w:pPr>
            <w:r>
              <w:rPr>
                <w:rFonts w:hint="eastAsia"/>
              </w:rPr>
              <w:t>严格落实水污染防治措施。施工期生产废水经沉淀池沉淀后用于施工场地酒水抑尘。本项目运营期无新增工作人员</w:t>
            </w:r>
            <w:r>
              <w:t>,</w:t>
            </w:r>
            <w:r>
              <w:rPr>
                <w:rFonts w:hint="eastAsia"/>
              </w:rPr>
              <w:t>无生活污水排放</w:t>
            </w:r>
            <w:r>
              <w:t>;</w:t>
            </w:r>
            <w:r>
              <w:rPr>
                <w:rFonts w:hint="eastAsia"/>
              </w:rPr>
              <w:t>厂区道路、原料大棚区域采取一般地面硬化措施。</w:t>
            </w:r>
          </w:p>
        </w:tc>
        <w:tc>
          <w:tcPr>
            <w:tcW w:w="5386" w:type="dxa"/>
            <w:tcBorders>
              <w:top w:val="single" w:color="000000" w:sz="4" w:space="0"/>
              <w:left w:val="single" w:color="000000" w:sz="4" w:space="0"/>
              <w:bottom w:val="single" w:color="000000" w:sz="4" w:space="0"/>
              <w:right w:val="single" w:color="000000" w:sz="4" w:space="0"/>
            </w:tcBorders>
            <w:vAlign w:val="center"/>
          </w:tcPr>
          <w:p w14:paraId="633DA655">
            <w:pPr>
              <w:pStyle w:val="133"/>
            </w:pPr>
            <w:r>
              <w:rPr>
                <w:rFonts w:hint="eastAsia"/>
              </w:rPr>
              <w:t>项目抑尘用水部分随产品带走，部分蒸发，无生产废水产生。储煤库为全封闭，地面硬化，配备雾炮车定期洒水降尘。</w:t>
            </w:r>
          </w:p>
        </w:tc>
        <w:tc>
          <w:tcPr>
            <w:tcW w:w="760" w:type="dxa"/>
            <w:tcBorders>
              <w:top w:val="single" w:color="000000" w:sz="4" w:space="0"/>
              <w:left w:val="single" w:color="000000" w:sz="4" w:space="0"/>
              <w:bottom w:val="single" w:color="000000" w:sz="4" w:space="0"/>
              <w:right w:val="single" w:color="000000" w:sz="12" w:space="0"/>
            </w:tcBorders>
            <w:vAlign w:val="center"/>
          </w:tcPr>
          <w:p w14:paraId="4F22F221">
            <w:pPr>
              <w:pStyle w:val="133"/>
            </w:pPr>
            <w:r>
              <w:rPr>
                <w:rFonts w:hint="eastAsia"/>
              </w:rPr>
              <w:t>相符</w:t>
            </w:r>
          </w:p>
        </w:tc>
      </w:tr>
      <w:tr w14:paraId="6C57A1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139A03C6">
            <w:pPr>
              <w:pStyle w:val="133"/>
              <w:rPr>
                <w:rFonts w:cs="Times New Roman"/>
                <w:color w:val="000000"/>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68F877E">
            <w:pPr>
              <w:pStyle w:val="133"/>
            </w:pPr>
            <w:r>
              <w:t>3</w:t>
            </w:r>
          </w:p>
        </w:tc>
        <w:tc>
          <w:tcPr>
            <w:tcW w:w="5812" w:type="dxa"/>
            <w:tcBorders>
              <w:top w:val="single" w:color="000000" w:sz="4" w:space="0"/>
              <w:left w:val="single" w:color="000000" w:sz="4" w:space="0"/>
              <w:bottom w:val="single" w:color="000000" w:sz="4" w:space="0"/>
              <w:right w:val="single" w:color="000000" w:sz="4" w:space="0"/>
            </w:tcBorders>
            <w:vAlign w:val="center"/>
          </w:tcPr>
          <w:p w14:paraId="1B4DA7F8">
            <w:pPr>
              <w:pStyle w:val="133"/>
            </w:pPr>
            <w:r>
              <w:rPr>
                <w:rFonts w:hint="eastAsia"/>
              </w:rPr>
              <w:t>严格落实噪声污染防治措施。运营期通过采取选择低噪声设备、定期检修保养等措施，噪声执行《工业企业厂界环境噪声排放标准》（</w:t>
            </w:r>
            <w:r>
              <w:t>GB12348-2008</w:t>
            </w:r>
            <w:r>
              <w:rPr>
                <w:rFonts w:hint="eastAsia"/>
              </w:rPr>
              <w:t>）</w:t>
            </w:r>
            <w:r>
              <w:t>3</w:t>
            </w:r>
            <w:r>
              <w:rPr>
                <w:rFonts w:hint="eastAsia"/>
              </w:rPr>
              <w:t>类标准限值要求</w:t>
            </w:r>
            <w:r>
              <w:t>.</w:t>
            </w:r>
          </w:p>
        </w:tc>
        <w:tc>
          <w:tcPr>
            <w:tcW w:w="5386" w:type="dxa"/>
            <w:tcBorders>
              <w:top w:val="single" w:color="000000" w:sz="4" w:space="0"/>
              <w:left w:val="single" w:color="000000" w:sz="4" w:space="0"/>
              <w:bottom w:val="single" w:color="000000" w:sz="4" w:space="0"/>
              <w:right w:val="single" w:color="000000" w:sz="4" w:space="0"/>
            </w:tcBorders>
            <w:vAlign w:val="center"/>
          </w:tcPr>
          <w:p w14:paraId="0D319B9B">
            <w:pPr>
              <w:pStyle w:val="133"/>
            </w:pPr>
            <w:r>
              <w:rPr>
                <w:rFonts w:hint="eastAsia"/>
              </w:rPr>
              <w:t>合理安排车流，减速慢行，禁止鸣笛，利用建筑隔声，非道路移动机械定期维修保养等，且噪声执行《工业企业厂界环境噪声排放标准》（</w:t>
            </w:r>
            <w:r>
              <w:t>GB12348-2008</w:t>
            </w:r>
            <w:r>
              <w:rPr>
                <w:rFonts w:hint="eastAsia"/>
              </w:rPr>
              <w:t>）</w:t>
            </w:r>
            <w:r>
              <w:t>3</w:t>
            </w:r>
            <w:r>
              <w:rPr>
                <w:rFonts w:hint="eastAsia"/>
              </w:rPr>
              <w:t>类标准限值要求</w:t>
            </w:r>
            <w:r>
              <w:t>.</w:t>
            </w:r>
          </w:p>
        </w:tc>
        <w:tc>
          <w:tcPr>
            <w:tcW w:w="760" w:type="dxa"/>
            <w:tcBorders>
              <w:top w:val="single" w:color="000000" w:sz="4" w:space="0"/>
              <w:left w:val="single" w:color="000000" w:sz="4" w:space="0"/>
              <w:bottom w:val="single" w:color="000000" w:sz="4" w:space="0"/>
              <w:right w:val="single" w:color="000000" w:sz="12" w:space="0"/>
            </w:tcBorders>
            <w:vAlign w:val="center"/>
          </w:tcPr>
          <w:p w14:paraId="432B39DD">
            <w:pPr>
              <w:pStyle w:val="133"/>
            </w:pPr>
            <w:r>
              <w:rPr>
                <w:rFonts w:hint="eastAsia"/>
              </w:rPr>
              <w:t>相符</w:t>
            </w:r>
          </w:p>
        </w:tc>
      </w:tr>
      <w:tr w14:paraId="592F41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78E489F4">
            <w:pPr>
              <w:pStyle w:val="133"/>
              <w:rPr>
                <w:rFonts w:cs="Times New Roman"/>
                <w:color w:val="000000"/>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28D3BC4">
            <w:pPr>
              <w:pStyle w:val="133"/>
            </w:pPr>
            <w:r>
              <w:t>4</w:t>
            </w:r>
          </w:p>
        </w:tc>
        <w:tc>
          <w:tcPr>
            <w:tcW w:w="5812" w:type="dxa"/>
            <w:tcBorders>
              <w:top w:val="single" w:color="000000" w:sz="4" w:space="0"/>
              <w:left w:val="single" w:color="000000" w:sz="4" w:space="0"/>
              <w:bottom w:val="single" w:color="000000" w:sz="4" w:space="0"/>
              <w:right w:val="single" w:color="000000" w:sz="4" w:space="0"/>
            </w:tcBorders>
            <w:vAlign w:val="center"/>
          </w:tcPr>
          <w:p w14:paraId="2F3ABE39">
            <w:pPr>
              <w:pStyle w:val="133"/>
            </w:pPr>
            <w:r>
              <w:rPr>
                <w:rFonts w:hint="eastAsia"/>
              </w:rPr>
              <w:t>严格落实固体废物处置措施。施工期建筑垃圾分类堆存，分类回收</w:t>
            </w:r>
            <w:r>
              <w:t>;</w:t>
            </w:r>
            <w:r>
              <w:rPr>
                <w:rFonts w:hint="eastAsia"/>
              </w:rPr>
              <w:t>生活垃圾收集后由园区环卫部门定期清运。运营期不产生固体废物。</w:t>
            </w:r>
          </w:p>
        </w:tc>
        <w:tc>
          <w:tcPr>
            <w:tcW w:w="5386" w:type="dxa"/>
            <w:tcBorders>
              <w:top w:val="single" w:color="000000" w:sz="4" w:space="0"/>
              <w:left w:val="single" w:color="000000" w:sz="4" w:space="0"/>
              <w:bottom w:val="single" w:color="000000" w:sz="4" w:space="0"/>
              <w:right w:val="single" w:color="000000" w:sz="4" w:space="0"/>
            </w:tcBorders>
            <w:vAlign w:val="center"/>
          </w:tcPr>
          <w:p w14:paraId="7BA05976">
            <w:pPr>
              <w:pStyle w:val="133"/>
            </w:pPr>
            <w:r>
              <w:rPr>
                <w:rFonts w:hint="eastAsia"/>
              </w:rPr>
              <w:t>本项目无生产固废产生。</w:t>
            </w:r>
          </w:p>
        </w:tc>
        <w:tc>
          <w:tcPr>
            <w:tcW w:w="760" w:type="dxa"/>
            <w:tcBorders>
              <w:top w:val="single" w:color="000000" w:sz="4" w:space="0"/>
              <w:left w:val="single" w:color="000000" w:sz="4" w:space="0"/>
              <w:bottom w:val="single" w:color="000000" w:sz="4" w:space="0"/>
              <w:right w:val="single" w:color="000000" w:sz="12" w:space="0"/>
            </w:tcBorders>
            <w:vAlign w:val="center"/>
          </w:tcPr>
          <w:p w14:paraId="5194EC04">
            <w:pPr>
              <w:pStyle w:val="133"/>
            </w:pPr>
            <w:r>
              <w:rPr>
                <w:rFonts w:hint="eastAsia"/>
              </w:rPr>
              <w:t>相符</w:t>
            </w:r>
          </w:p>
        </w:tc>
      </w:tr>
      <w:tr w14:paraId="49ECBD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04FF01D9">
            <w:pPr>
              <w:pStyle w:val="133"/>
              <w:rPr>
                <w:rFonts w:cs="Times New Roman"/>
                <w:color w:val="000000"/>
              </w:rPr>
            </w:pPr>
          </w:p>
        </w:tc>
        <w:tc>
          <w:tcPr>
            <w:tcW w:w="851" w:type="dxa"/>
            <w:tcBorders>
              <w:top w:val="single" w:color="000000" w:sz="4" w:space="0"/>
              <w:left w:val="single" w:color="000000" w:sz="4" w:space="0"/>
              <w:bottom w:val="single" w:color="000000" w:sz="12" w:space="0"/>
              <w:right w:val="single" w:color="000000" w:sz="4" w:space="0"/>
            </w:tcBorders>
            <w:vAlign w:val="center"/>
          </w:tcPr>
          <w:p w14:paraId="45F6A2A5">
            <w:pPr>
              <w:pStyle w:val="133"/>
            </w:pPr>
            <w:r>
              <w:t>5</w:t>
            </w:r>
          </w:p>
        </w:tc>
        <w:tc>
          <w:tcPr>
            <w:tcW w:w="5812" w:type="dxa"/>
            <w:tcBorders>
              <w:top w:val="single" w:color="000000" w:sz="4" w:space="0"/>
              <w:left w:val="single" w:color="000000" w:sz="4" w:space="0"/>
              <w:bottom w:val="single" w:color="000000" w:sz="12" w:space="0"/>
              <w:right w:val="single" w:color="000000" w:sz="4" w:space="0"/>
            </w:tcBorders>
            <w:vAlign w:val="center"/>
          </w:tcPr>
          <w:p w14:paraId="21CA725A">
            <w:pPr>
              <w:pStyle w:val="133"/>
            </w:pPr>
            <w:r>
              <w:rPr>
                <w:rFonts w:hint="eastAsia"/>
              </w:rPr>
              <w:t>强化环境风险防范和应急措施。制定本项目突发环境事件应急预案并纳入你公司总体预案中，定期进行演练。运营期加强原料大棚的管理，严格落实通风措施，严防发生火灾，避免因煤炭自燃、煤尘爆炸等事故的发生对区域人员健康安全及环境质量造成影响。本项目建成后，硅铁生产线现有露天兰炭堆场应及时停止使用，同时项目建设期间应加强现有露天兰炭堆场的大气污染防治工作</w:t>
            </w:r>
          </w:p>
        </w:tc>
        <w:tc>
          <w:tcPr>
            <w:tcW w:w="5386" w:type="dxa"/>
            <w:tcBorders>
              <w:top w:val="single" w:color="000000" w:sz="4" w:space="0"/>
              <w:left w:val="single" w:color="000000" w:sz="4" w:space="0"/>
              <w:bottom w:val="single" w:color="000000" w:sz="12" w:space="0"/>
              <w:right w:val="single" w:color="000000" w:sz="4" w:space="0"/>
            </w:tcBorders>
            <w:vAlign w:val="center"/>
          </w:tcPr>
          <w:p w14:paraId="6E91BB70">
            <w:pPr>
              <w:pStyle w:val="133"/>
            </w:pPr>
            <w:r>
              <w:rPr>
                <w:rFonts w:hint="eastAsia"/>
              </w:rPr>
              <w:t>企业已编制完成应急预案，并完成备案（备案编号：</w:t>
            </w:r>
            <w:r>
              <w:t>650500-2024-57-L</w:t>
            </w:r>
            <w:r>
              <w:rPr>
                <w:rFonts w:hint="eastAsia"/>
              </w:rPr>
              <w:t>），加强原料大棚的管理，严格落实通风措施。</w:t>
            </w:r>
          </w:p>
        </w:tc>
        <w:tc>
          <w:tcPr>
            <w:tcW w:w="760" w:type="dxa"/>
            <w:tcBorders>
              <w:top w:val="single" w:color="000000" w:sz="4" w:space="0"/>
              <w:left w:val="single" w:color="000000" w:sz="4" w:space="0"/>
              <w:bottom w:val="single" w:color="000000" w:sz="12" w:space="0"/>
              <w:right w:val="single" w:color="000000" w:sz="12" w:space="0"/>
            </w:tcBorders>
            <w:vAlign w:val="center"/>
          </w:tcPr>
          <w:p w14:paraId="67D0A23C">
            <w:pPr>
              <w:pStyle w:val="133"/>
            </w:pPr>
            <w:r>
              <w:rPr>
                <w:rFonts w:hint="eastAsia"/>
              </w:rPr>
              <w:t>相符</w:t>
            </w:r>
          </w:p>
        </w:tc>
      </w:tr>
    </w:tbl>
    <w:p w14:paraId="1A1C783B">
      <w:pPr>
        <w:pStyle w:val="118"/>
        <w:tabs>
          <w:tab w:val="center" w:pos="6979"/>
        </w:tabs>
        <w:ind w:firstLine="482"/>
        <w:jc w:val="both"/>
      </w:pPr>
    </w:p>
    <w:bookmarkEnd w:id="197"/>
    <w:p w14:paraId="513D3C3C">
      <w:pPr>
        <w:widowControl/>
        <w:ind w:firstLine="0" w:firstLineChars="0"/>
        <w:jc w:val="left"/>
        <w:sectPr>
          <w:pgSz w:w="16838" w:h="11906" w:orient="landscape"/>
          <w:pgMar w:top="1800" w:right="1440" w:bottom="1800" w:left="1440" w:header="850" w:footer="850" w:gutter="0"/>
          <w:cols w:space="720" w:num="1"/>
          <w:docGrid w:type="lines" w:linePitch="326" w:charSpace="0"/>
        </w:sectPr>
      </w:pPr>
    </w:p>
    <w:p w14:paraId="353CAA9B">
      <w:pPr>
        <w:pStyle w:val="138"/>
        <w:rPr>
          <w:rFonts w:hint="eastAsia"/>
        </w:rPr>
      </w:pPr>
      <w:bookmarkStart w:id="207" w:name="_Hlk177584637"/>
      <w:bookmarkEnd w:id="207"/>
      <w:r>
        <w:rPr>
          <w:rFonts w:hint="eastAsia"/>
        </w:rPr>
        <w:t>新疆金盛镁业有限公司兰炭废水焚烧项目</w:t>
      </w:r>
    </w:p>
    <w:p w14:paraId="7369C9DB">
      <w:pPr>
        <w:pStyle w:val="5"/>
      </w:pPr>
      <w:r>
        <w:rPr>
          <w:rFonts w:hint="eastAsia"/>
        </w:rPr>
        <w:t>备案内容</w:t>
      </w:r>
    </w:p>
    <w:p w14:paraId="3C71D6B0">
      <w:pPr>
        <w:ind w:firstLine="480"/>
      </w:pPr>
      <w:r>
        <w:rPr>
          <w:rFonts w:hint="eastAsia"/>
        </w:rPr>
        <w:t>新建一台</w:t>
      </w:r>
      <w:r>
        <w:t>5</w:t>
      </w:r>
      <w:r>
        <w:rPr>
          <w:rFonts w:hint="eastAsia"/>
        </w:rPr>
        <w:t>吨</w:t>
      </w:r>
      <w:r>
        <w:t>/</w:t>
      </w:r>
      <w:r>
        <w:rPr>
          <w:rFonts w:hint="eastAsia"/>
        </w:rPr>
        <w:t>小时兰炭废水焚烧炉对预处理后废水焚烧处理，</w:t>
      </w:r>
      <w:r>
        <w:t>该项目于202</w:t>
      </w:r>
      <w:r>
        <w:rPr>
          <w:rFonts w:hint="eastAsia"/>
        </w:rPr>
        <w:t>3年10月1</w:t>
      </w:r>
      <w:r>
        <w:t>3</w:t>
      </w:r>
      <w:r>
        <w:rPr>
          <w:rFonts w:hint="eastAsia"/>
        </w:rPr>
        <w:t>日取得</w:t>
      </w:r>
      <w:r>
        <w:t>哈密市生态环境局伊州区分局批复</w:t>
      </w:r>
      <w:r>
        <w:rPr>
          <w:rFonts w:hint="eastAsia"/>
        </w:rPr>
        <w:t>（哈市环监函〔</w:t>
      </w:r>
      <w:r>
        <w:t>202</w:t>
      </w:r>
      <w:r>
        <w:rPr>
          <w:rFonts w:hint="eastAsia"/>
        </w:rPr>
        <w:t>3〕113号）</w:t>
      </w:r>
    </w:p>
    <w:p w14:paraId="7645E8CA">
      <w:pPr>
        <w:pStyle w:val="5"/>
      </w:pPr>
      <w:r>
        <w:rPr>
          <w:rFonts w:hint="eastAsia"/>
        </w:rPr>
        <w:t>环评批复内容</w:t>
      </w:r>
    </w:p>
    <w:p w14:paraId="730078D4">
      <w:pPr>
        <w:ind w:firstLine="480"/>
      </w:pPr>
      <w:r>
        <w:rPr>
          <w:rFonts w:hint="eastAsia"/>
        </w:rPr>
        <w:t>本项目建设性质为新建，主体工程主要包括新建一座</w:t>
      </w:r>
      <w:r>
        <w:t>5</w:t>
      </w:r>
      <w:r>
        <w:rPr>
          <w:rFonts w:hint="eastAsia"/>
        </w:rPr>
        <w:t>立方米</w:t>
      </w:r>
      <w:r>
        <w:t>/</w:t>
      </w:r>
      <w:r>
        <w:rPr>
          <w:rFonts w:hint="eastAsia"/>
        </w:rPr>
        <w:t>小时生产废水处理站，新建一台</w:t>
      </w:r>
      <w:r>
        <w:t>5</w:t>
      </w:r>
      <w:r>
        <w:rPr>
          <w:rFonts w:hint="eastAsia"/>
        </w:rPr>
        <w:t>吨</w:t>
      </w:r>
      <w:r>
        <w:t>/</w:t>
      </w:r>
      <w:r>
        <w:rPr>
          <w:rFonts w:hint="eastAsia"/>
        </w:rPr>
        <w:t>小时兰炭废水焚烧炉对预处理后废水焚烧处理。</w:t>
      </w:r>
    </w:p>
    <w:p w14:paraId="74284922">
      <w:pPr>
        <w:ind w:firstLine="480"/>
      </w:pPr>
      <w:r>
        <w:rPr>
          <w:rFonts w:hint="eastAsia"/>
        </w:rPr>
        <w:t>本项目接纳废水范围为厂区现有一期工程兰炭生产线产生的剩余氨水、煤气管道冷凝水</w:t>
      </w:r>
      <w:r>
        <w:t>:</w:t>
      </w:r>
      <w:r>
        <w:rPr>
          <w:rFonts w:hint="eastAsia"/>
        </w:rPr>
        <w:t>煤气水封水、上升管水封水及车间地面冲洗水等含酚氨废水。辅助工程包括新建一台</w:t>
      </w:r>
      <w:r>
        <w:t>5</w:t>
      </w:r>
      <w:r>
        <w:rPr>
          <w:rFonts w:hint="eastAsia"/>
        </w:rPr>
        <w:t>吨</w:t>
      </w:r>
      <w:r>
        <w:t>/</w:t>
      </w:r>
      <w:r>
        <w:rPr>
          <w:rFonts w:hint="eastAsia"/>
        </w:rPr>
        <w:t>小时余热蒸汽锅炉。储运工程中硫酸存储依托厂区已建硫酸贮存罐，新建废水池至焚烧炉输送管线。公用工程中给水、排水、供电、燃料及采暖等工程均依托厂区现有工程。环保工程包括废气、废水、噪声、固体废物、环境风险等工程。本项目总投资约</w:t>
      </w:r>
      <w:r>
        <w:t>1650</w:t>
      </w:r>
      <w:r>
        <w:rPr>
          <w:rFonts w:hint="eastAsia"/>
        </w:rPr>
        <w:t>万元，其中环保投资</w:t>
      </w:r>
      <w:r>
        <w:t>1650</w:t>
      </w:r>
      <w:r>
        <w:rPr>
          <w:rFonts w:hint="eastAsia"/>
        </w:rPr>
        <w:t>万元，占总投资的</w:t>
      </w:r>
      <w:r>
        <w:t>100%</w:t>
      </w:r>
      <w:r>
        <w:rPr>
          <w:rFonts w:hint="eastAsia"/>
        </w:rPr>
        <w:t>。见表</w:t>
      </w:r>
      <w:r>
        <w:t>2.1</w:t>
      </w:r>
      <w:r>
        <w:rPr>
          <w:rFonts w:hint="eastAsia"/>
        </w:rPr>
        <w:t>-8。</w:t>
      </w:r>
    </w:p>
    <w:p w14:paraId="488AA1C0">
      <w:pPr>
        <w:pStyle w:val="5"/>
      </w:pPr>
      <w:r>
        <w:rPr>
          <w:rFonts w:hint="eastAsia"/>
        </w:rPr>
        <w:t>实际建设内容</w:t>
      </w:r>
    </w:p>
    <w:p w14:paraId="096C1B18">
      <w:pPr>
        <w:ind w:firstLine="480"/>
      </w:pPr>
      <w:r>
        <w:rPr>
          <w:rFonts w:hint="eastAsia"/>
        </w:rPr>
        <w:t>新建一座</w:t>
      </w:r>
      <w:r>
        <w:t>5m</w:t>
      </w:r>
      <w:r>
        <w:rPr>
          <w:vertAlign w:val="superscript"/>
        </w:rPr>
        <w:t>3</w:t>
      </w:r>
      <w:r>
        <w:t>/h</w:t>
      </w:r>
      <w:r>
        <w:rPr>
          <w:rFonts w:hint="eastAsia"/>
        </w:rPr>
        <w:t>一期生产废水处理站，污水处理站处理工艺为</w:t>
      </w:r>
      <w:r>
        <w:t>“</w:t>
      </w:r>
      <w:r>
        <w:rPr>
          <w:rFonts w:hint="eastAsia"/>
        </w:rPr>
        <w:t>三级除油</w:t>
      </w:r>
      <w:r>
        <w:t>+</w:t>
      </w:r>
      <w:r>
        <w:rPr>
          <w:rFonts w:hint="eastAsia"/>
        </w:rPr>
        <w:t>高效复合脱氮塔</w:t>
      </w:r>
      <w:r>
        <w:t>”</w:t>
      </w:r>
      <w:r>
        <w:rPr>
          <w:rFonts w:hint="eastAsia"/>
        </w:rPr>
        <w:t>，新建一台</w:t>
      </w:r>
      <w:r>
        <w:t>5t/h</w:t>
      </w:r>
      <w:r>
        <w:rPr>
          <w:rFonts w:hint="eastAsia"/>
        </w:rPr>
        <w:t>兰炭废水焚烧炉用于兰炭生产废水焚烧处理，并配套建设一台</w:t>
      </w:r>
      <w:r>
        <w:t>5t/h</w:t>
      </w:r>
      <w:r>
        <w:rPr>
          <w:rFonts w:hint="eastAsia"/>
        </w:rPr>
        <w:t>余热蒸汽锅炉等设施。</w:t>
      </w:r>
    </w:p>
    <w:p w14:paraId="1358211E">
      <w:pPr>
        <w:pStyle w:val="5"/>
      </w:pPr>
      <w:r>
        <w:rPr>
          <w:rFonts w:hint="eastAsia"/>
        </w:rPr>
        <w:t>环评批复落实情况</w:t>
      </w:r>
    </w:p>
    <w:p w14:paraId="36FB349F">
      <w:pPr>
        <w:ind w:firstLine="480"/>
      </w:pPr>
      <w:r>
        <w:rPr>
          <w:rFonts w:hint="eastAsia"/>
        </w:rPr>
        <w:t>见表</w:t>
      </w:r>
      <w:r>
        <w:t>2.1</w:t>
      </w:r>
      <w:r>
        <w:rPr>
          <w:rFonts w:hint="eastAsia"/>
        </w:rPr>
        <w:t>-8。</w:t>
      </w:r>
    </w:p>
    <w:p w14:paraId="5E1E7E7E">
      <w:pPr>
        <w:pStyle w:val="5"/>
      </w:pPr>
      <w:r>
        <w:rPr>
          <w:rFonts w:hint="eastAsia"/>
        </w:rPr>
        <w:t>项目验收情况</w:t>
      </w:r>
    </w:p>
    <w:p w14:paraId="52E79398">
      <w:pPr>
        <w:ind w:firstLine="480"/>
        <w:sectPr>
          <w:pgSz w:w="11906" w:h="16838"/>
          <w:pgMar w:top="1440" w:right="1800" w:bottom="1440" w:left="1800" w:header="850" w:footer="850" w:gutter="0"/>
          <w:cols w:space="720" w:num="1"/>
          <w:docGrid w:type="lines" w:linePitch="326" w:charSpace="0"/>
        </w:sectPr>
      </w:pPr>
      <w:r>
        <w:rPr>
          <w:rFonts w:hint="eastAsia"/>
        </w:rPr>
        <w:t>该项目在</w:t>
      </w:r>
      <w:r>
        <w:t>202</w:t>
      </w:r>
      <w:r>
        <w:rPr>
          <w:rFonts w:hint="eastAsia"/>
        </w:rPr>
        <w:t>5年5月27日进行竣工环境保护自主验收出具《</w:t>
      </w:r>
      <w:r>
        <w:rPr>
          <w:rFonts w:hint="eastAsia"/>
          <w:color w:val="000000"/>
        </w:rPr>
        <w:t>新疆金盛镁业有</w:t>
      </w:r>
      <w:r>
        <w:rPr>
          <w:rFonts w:hint="eastAsia"/>
        </w:rPr>
        <w:t>限公司</w:t>
      </w:r>
      <w:r>
        <w:rPr>
          <w:rFonts w:hint="eastAsia"/>
          <w:color w:val="000000"/>
        </w:rPr>
        <w:t>兰炭废水焚烧项目</w:t>
      </w:r>
      <w:r>
        <w:rPr>
          <w:rFonts w:hint="eastAsia"/>
        </w:rPr>
        <w:t>竣工环境保护验收意见》验收结论，</w:t>
      </w:r>
      <w:r>
        <w:rPr>
          <w:color w:val="000000"/>
        </w:rPr>
        <w:t>结合项目验收监测报告结论和现场检查情况，该项目执行了环境影响 评价和“三同时”管理制度，落实了环评批复的各项污染防治措施，对照《建设项目竣工环境保护验收暂行办法》的相关要求，新疆金盛镁业有限公司兰炭废水焚烧项目符合《建设项目竣工环境保护验收暂行办法》中规定，满足验收条件，建议新疆金盛镁业有限公司兰炭废水焚烧项目通过竣工环境保护验收。</w:t>
      </w:r>
    </w:p>
    <w:p w14:paraId="191616AC">
      <w:pPr>
        <w:pStyle w:val="118"/>
        <w:tabs>
          <w:tab w:val="center" w:pos="6979"/>
        </w:tabs>
        <w:ind w:firstLine="480"/>
      </w:pPr>
      <w:r>
        <w:rPr>
          <w:rFonts w:hint="eastAsia"/>
        </w:rPr>
        <w:t>表</w:t>
      </w:r>
      <w:r>
        <w:t>2.1</w:t>
      </w:r>
      <w:r>
        <w:rPr>
          <w:rFonts w:hint="eastAsia"/>
        </w:rPr>
        <w:t>-8</w:t>
      </w:r>
      <w:r>
        <w:t xml:space="preserve">   </w:t>
      </w:r>
      <w:r>
        <w:rPr>
          <w:rFonts w:hint="eastAsia"/>
        </w:rPr>
        <w:t>兰炭废水焚烧项目环评批复落实情况</w:t>
      </w:r>
    </w:p>
    <w:tbl>
      <w:tblPr>
        <w:tblStyle w:val="6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19"/>
        <w:gridCol w:w="1276"/>
        <w:gridCol w:w="6095"/>
        <w:gridCol w:w="4962"/>
        <w:gridCol w:w="476"/>
      </w:tblGrid>
      <w:tr w14:paraId="6A1F5F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119" w:type="dxa"/>
            <w:tcBorders>
              <w:top w:val="single" w:color="000000" w:sz="12" w:space="0"/>
              <w:left w:val="single" w:color="000000" w:sz="12" w:space="0"/>
              <w:bottom w:val="single" w:color="000000" w:sz="4" w:space="0"/>
              <w:right w:val="single" w:color="000000" w:sz="4" w:space="0"/>
            </w:tcBorders>
            <w:vAlign w:val="center"/>
          </w:tcPr>
          <w:p w14:paraId="7F707FE6">
            <w:pPr>
              <w:spacing w:line="276" w:lineRule="auto"/>
              <w:ind w:firstLine="0" w:firstLineChars="0"/>
              <w:jc w:val="center"/>
              <w:rPr>
                <w:b/>
                <w:bCs/>
                <w:sz w:val="21"/>
                <w:szCs w:val="21"/>
              </w:rPr>
            </w:pPr>
            <w:r>
              <w:rPr>
                <w:rFonts w:hint="eastAsia"/>
                <w:b/>
                <w:bCs/>
                <w:sz w:val="21"/>
                <w:szCs w:val="21"/>
              </w:rPr>
              <w:t>文件名称</w:t>
            </w:r>
          </w:p>
        </w:tc>
        <w:tc>
          <w:tcPr>
            <w:tcW w:w="1276" w:type="dxa"/>
            <w:tcBorders>
              <w:top w:val="single" w:color="000000" w:sz="12" w:space="0"/>
              <w:left w:val="single" w:color="000000" w:sz="4" w:space="0"/>
              <w:bottom w:val="single" w:color="000000" w:sz="4" w:space="0"/>
              <w:right w:val="single" w:color="000000" w:sz="4" w:space="0"/>
            </w:tcBorders>
            <w:vAlign w:val="center"/>
          </w:tcPr>
          <w:p w14:paraId="19E79C55">
            <w:pPr>
              <w:spacing w:line="276" w:lineRule="auto"/>
              <w:ind w:firstLine="0" w:firstLineChars="0"/>
              <w:jc w:val="center"/>
              <w:rPr>
                <w:b/>
                <w:bCs/>
                <w:sz w:val="21"/>
                <w:szCs w:val="21"/>
              </w:rPr>
            </w:pPr>
            <w:r>
              <w:rPr>
                <w:rFonts w:hint="eastAsia"/>
                <w:b/>
                <w:bCs/>
                <w:sz w:val="21"/>
                <w:szCs w:val="21"/>
              </w:rPr>
              <w:t>序号</w:t>
            </w:r>
          </w:p>
        </w:tc>
        <w:tc>
          <w:tcPr>
            <w:tcW w:w="6095" w:type="dxa"/>
            <w:tcBorders>
              <w:top w:val="single" w:color="000000" w:sz="12" w:space="0"/>
              <w:left w:val="single" w:color="000000" w:sz="4" w:space="0"/>
              <w:bottom w:val="single" w:color="000000" w:sz="4" w:space="0"/>
              <w:right w:val="single" w:color="000000" w:sz="4" w:space="0"/>
            </w:tcBorders>
            <w:vAlign w:val="center"/>
          </w:tcPr>
          <w:p w14:paraId="6565336E">
            <w:pPr>
              <w:spacing w:line="276" w:lineRule="auto"/>
              <w:ind w:firstLine="0" w:firstLineChars="0"/>
              <w:jc w:val="center"/>
              <w:rPr>
                <w:b/>
                <w:bCs/>
                <w:sz w:val="21"/>
                <w:szCs w:val="21"/>
              </w:rPr>
            </w:pPr>
            <w:r>
              <w:rPr>
                <w:rFonts w:hint="eastAsia"/>
                <w:b/>
                <w:bCs/>
                <w:sz w:val="21"/>
                <w:szCs w:val="21"/>
              </w:rPr>
              <w:t>批复要求</w:t>
            </w:r>
          </w:p>
        </w:tc>
        <w:tc>
          <w:tcPr>
            <w:tcW w:w="4962" w:type="dxa"/>
            <w:tcBorders>
              <w:top w:val="single" w:color="000000" w:sz="12" w:space="0"/>
              <w:left w:val="single" w:color="000000" w:sz="4" w:space="0"/>
              <w:bottom w:val="single" w:color="000000" w:sz="4" w:space="0"/>
              <w:right w:val="single" w:color="000000" w:sz="4" w:space="0"/>
            </w:tcBorders>
            <w:vAlign w:val="center"/>
          </w:tcPr>
          <w:p w14:paraId="7672F8E5">
            <w:pPr>
              <w:spacing w:line="276" w:lineRule="auto"/>
              <w:ind w:firstLine="0" w:firstLineChars="0"/>
              <w:jc w:val="center"/>
              <w:rPr>
                <w:b/>
                <w:bCs/>
                <w:sz w:val="21"/>
                <w:szCs w:val="21"/>
              </w:rPr>
            </w:pPr>
            <w:r>
              <w:rPr>
                <w:rFonts w:hint="eastAsia"/>
                <w:b/>
                <w:bCs/>
                <w:sz w:val="21"/>
                <w:szCs w:val="21"/>
              </w:rPr>
              <w:t>落实情况</w:t>
            </w:r>
          </w:p>
        </w:tc>
        <w:tc>
          <w:tcPr>
            <w:tcW w:w="476" w:type="dxa"/>
            <w:tcBorders>
              <w:top w:val="single" w:color="000000" w:sz="12" w:space="0"/>
              <w:left w:val="single" w:color="000000" w:sz="4" w:space="0"/>
              <w:bottom w:val="single" w:color="000000" w:sz="4" w:space="0"/>
              <w:right w:val="single" w:color="000000" w:sz="12" w:space="0"/>
            </w:tcBorders>
            <w:vAlign w:val="center"/>
          </w:tcPr>
          <w:p w14:paraId="33C365A6">
            <w:pPr>
              <w:spacing w:line="276" w:lineRule="auto"/>
              <w:ind w:firstLine="0" w:firstLineChars="0"/>
              <w:jc w:val="center"/>
              <w:rPr>
                <w:b/>
                <w:bCs/>
                <w:sz w:val="21"/>
                <w:szCs w:val="21"/>
              </w:rPr>
            </w:pPr>
            <w:r>
              <w:rPr>
                <w:rFonts w:hint="eastAsia"/>
                <w:b/>
                <w:bCs/>
                <w:sz w:val="21"/>
                <w:szCs w:val="21"/>
              </w:rPr>
              <w:t>相符性</w:t>
            </w:r>
          </w:p>
        </w:tc>
      </w:tr>
      <w:tr w14:paraId="1802F7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119" w:type="dxa"/>
            <w:vMerge w:val="restart"/>
            <w:tcBorders>
              <w:top w:val="single" w:color="000000" w:sz="4" w:space="0"/>
              <w:left w:val="single" w:color="000000" w:sz="12" w:space="0"/>
              <w:bottom w:val="single" w:color="000000" w:sz="12" w:space="0"/>
              <w:right w:val="single" w:color="000000" w:sz="4" w:space="0"/>
            </w:tcBorders>
            <w:vAlign w:val="center"/>
          </w:tcPr>
          <w:p w14:paraId="50AF0F83">
            <w:pPr>
              <w:spacing w:line="276" w:lineRule="auto"/>
              <w:ind w:firstLine="0" w:firstLineChars="0"/>
              <w:jc w:val="center"/>
              <w:rPr>
                <w:sz w:val="21"/>
                <w:szCs w:val="21"/>
              </w:rPr>
            </w:pPr>
            <w:r>
              <w:rPr>
                <w:rFonts w:hint="eastAsia"/>
                <w:sz w:val="21"/>
                <w:szCs w:val="21"/>
              </w:rPr>
              <w:t>《关于新疆金盛镁业有限公司兰炭废水焚烧项目环境影响报告表的批复》</w:t>
            </w:r>
            <w:r>
              <w:rPr>
                <w:sz w:val="21"/>
                <w:szCs w:val="21"/>
              </w:rPr>
              <w:t xml:space="preserve"> </w:t>
            </w:r>
            <w:r>
              <w:rPr>
                <w:rFonts w:hint="eastAsia"/>
                <w:sz w:val="21"/>
                <w:szCs w:val="21"/>
              </w:rPr>
              <w:t>（哈市环监函</w:t>
            </w:r>
            <w:r>
              <w:rPr>
                <w:sz w:val="21"/>
                <w:szCs w:val="21"/>
              </w:rPr>
              <w:t xml:space="preserve"> [2023]11</w:t>
            </w:r>
            <w:r>
              <w:rPr>
                <w:rFonts w:hint="eastAsia"/>
                <w:sz w:val="21"/>
                <w:szCs w:val="21"/>
              </w:rPr>
              <w:t>号）</w:t>
            </w:r>
          </w:p>
        </w:tc>
        <w:tc>
          <w:tcPr>
            <w:tcW w:w="1276" w:type="dxa"/>
            <w:tcBorders>
              <w:top w:val="single" w:color="000000" w:sz="4" w:space="0"/>
              <w:left w:val="single" w:color="000000" w:sz="4" w:space="0"/>
              <w:bottom w:val="single" w:color="000000" w:sz="4" w:space="0"/>
              <w:right w:val="single" w:color="000000" w:sz="4" w:space="0"/>
            </w:tcBorders>
            <w:vAlign w:val="center"/>
          </w:tcPr>
          <w:p w14:paraId="66F2F253">
            <w:pPr>
              <w:spacing w:line="276" w:lineRule="auto"/>
              <w:ind w:firstLine="0" w:firstLineChars="0"/>
              <w:jc w:val="center"/>
              <w:rPr>
                <w:sz w:val="21"/>
                <w:szCs w:val="21"/>
              </w:rPr>
            </w:pPr>
            <w:r>
              <w:rPr>
                <w:sz w:val="21"/>
                <w:szCs w:val="21"/>
              </w:rPr>
              <w:t>1</w:t>
            </w:r>
          </w:p>
        </w:tc>
        <w:tc>
          <w:tcPr>
            <w:tcW w:w="6095" w:type="dxa"/>
            <w:tcBorders>
              <w:top w:val="single" w:color="000000" w:sz="4" w:space="0"/>
              <w:left w:val="single" w:color="000000" w:sz="4" w:space="0"/>
              <w:bottom w:val="single" w:color="000000" w:sz="4" w:space="0"/>
              <w:right w:val="single" w:color="000000" w:sz="4" w:space="0"/>
            </w:tcBorders>
            <w:vAlign w:val="center"/>
          </w:tcPr>
          <w:p w14:paraId="11473CE9">
            <w:pPr>
              <w:spacing w:line="276" w:lineRule="auto"/>
              <w:ind w:firstLine="0" w:firstLineChars="0"/>
              <w:jc w:val="center"/>
              <w:rPr>
                <w:sz w:val="21"/>
                <w:szCs w:val="21"/>
              </w:rPr>
            </w:pPr>
            <w:r>
              <w:rPr>
                <w:rFonts w:hint="eastAsia"/>
                <w:sz w:val="21"/>
                <w:szCs w:val="21"/>
              </w:rPr>
              <w:t>严格落实大气污染防治措施。本项目施工期采取洒水降尘、产尘物料密闭存放或及时覆盖等措施后，减少大气污染程度。运营期酸化除油装置废气经碱喷淋装置处理后由</w:t>
            </w:r>
            <w:r>
              <w:rPr>
                <w:sz w:val="21"/>
                <w:szCs w:val="21"/>
              </w:rPr>
              <w:t>15</w:t>
            </w:r>
            <w:r>
              <w:rPr>
                <w:rFonts w:hint="eastAsia"/>
                <w:sz w:val="21"/>
                <w:szCs w:val="21"/>
              </w:rPr>
              <w:t>米高排气简排放，排放标准执行《恶臭污染物排放标准》</w:t>
            </w:r>
            <w:r>
              <w:rPr>
                <w:sz w:val="21"/>
                <w:szCs w:val="21"/>
              </w:rPr>
              <w:t>(GB14554-93)</w:t>
            </w:r>
            <w:r>
              <w:rPr>
                <w:rFonts w:hint="eastAsia"/>
                <w:sz w:val="21"/>
                <w:szCs w:val="21"/>
              </w:rPr>
              <w:t>中表</w:t>
            </w:r>
            <w:r>
              <w:rPr>
                <w:sz w:val="21"/>
                <w:szCs w:val="21"/>
              </w:rPr>
              <w:t>2</w:t>
            </w:r>
            <w:r>
              <w:rPr>
                <w:rFonts w:hint="eastAsia"/>
                <w:sz w:val="21"/>
                <w:szCs w:val="21"/>
              </w:rPr>
              <w:t>排放限值</w:t>
            </w:r>
            <w:r>
              <w:rPr>
                <w:sz w:val="21"/>
                <w:szCs w:val="21"/>
              </w:rPr>
              <w:t>;</w:t>
            </w:r>
            <w:r>
              <w:rPr>
                <w:rFonts w:hint="eastAsia"/>
                <w:sz w:val="21"/>
                <w:szCs w:val="21"/>
              </w:rPr>
              <w:t>脱氮塔废气经两级吸收塔处理后由</w:t>
            </w:r>
            <w:r>
              <w:rPr>
                <w:sz w:val="21"/>
                <w:szCs w:val="21"/>
              </w:rPr>
              <w:t>15</w:t>
            </w:r>
            <w:r>
              <w:rPr>
                <w:rFonts w:hint="eastAsia"/>
                <w:sz w:val="21"/>
                <w:szCs w:val="21"/>
              </w:rPr>
              <w:t>米高排气简排放，排放标准执行《恶臭污染物排放标准》</w:t>
            </w:r>
            <w:r>
              <w:rPr>
                <w:sz w:val="21"/>
                <w:szCs w:val="21"/>
              </w:rPr>
              <w:t>(GB14554-93)</w:t>
            </w:r>
            <w:r>
              <w:rPr>
                <w:rFonts w:hint="eastAsia"/>
                <w:sz w:val="21"/>
                <w:szCs w:val="21"/>
              </w:rPr>
              <w:t>中表</w:t>
            </w:r>
            <w:r>
              <w:rPr>
                <w:sz w:val="21"/>
                <w:szCs w:val="21"/>
              </w:rPr>
              <w:t>2</w:t>
            </w:r>
            <w:r>
              <w:rPr>
                <w:rFonts w:hint="eastAsia"/>
                <w:sz w:val="21"/>
                <w:szCs w:val="21"/>
              </w:rPr>
              <w:t>排放限值。焚烧炉废气经</w:t>
            </w:r>
            <w:r>
              <w:rPr>
                <w:sz w:val="21"/>
                <w:szCs w:val="21"/>
              </w:rPr>
              <w:t>SNCR</w:t>
            </w:r>
            <w:r>
              <w:rPr>
                <w:rFonts w:hint="eastAsia"/>
                <w:sz w:val="21"/>
                <w:szCs w:val="21"/>
              </w:rPr>
              <w:t>及低温脱硝装置、双碱法脱硫装置处理后由</w:t>
            </w:r>
            <w:r>
              <w:rPr>
                <w:sz w:val="21"/>
                <w:szCs w:val="21"/>
              </w:rPr>
              <w:t xml:space="preserve">15 </w:t>
            </w:r>
            <w:r>
              <w:rPr>
                <w:rFonts w:hint="eastAsia"/>
                <w:sz w:val="21"/>
                <w:szCs w:val="21"/>
              </w:rPr>
              <w:t>米高排气简排放，排放标准执行《炼焦化学工业污染物排放标准》</w:t>
            </w:r>
            <w:r>
              <w:rPr>
                <w:sz w:val="21"/>
                <w:szCs w:val="21"/>
              </w:rPr>
              <w:t>(GB16171-2012)</w:t>
            </w:r>
            <w:r>
              <w:rPr>
                <w:rFonts w:hint="eastAsia"/>
                <w:sz w:val="21"/>
                <w:szCs w:val="21"/>
              </w:rPr>
              <w:t>中表</w:t>
            </w:r>
            <w:r>
              <w:rPr>
                <w:sz w:val="21"/>
                <w:szCs w:val="21"/>
              </w:rPr>
              <w:t>5</w:t>
            </w:r>
            <w:r>
              <w:rPr>
                <w:rFonts w:hint="eastAsia"/>
                <w:sz w:val="21"/>
                <w:szCs w:val="21"/>
              </w:rPr>
              <w:t>排放限值。本项目应采取密闭措施并设置负压收集系统，无组织废气通过管道负压收集送至焚烧炉焚烧处理，厂区内非甲烷总烃无组织排放执行《挥发性有机物无组织排放控制标准》</w:t>
            </w:r>
            <w:r>
              <w:rPr>
                <w:sz w:val="21"/>
                <w:szCs w:val="21"/>
              </w:rPr>
              <w:t>(GB37822-2019)</w:t>
            </w:r>
            <w:r>
              <w:rPr>
                <w:rFonts w:hint="eastAsia"/>
                <w:sz w:val="21"/>
                <w:szCs w:val="21"/>
              </w:rPr>
              <w:t>中表</w:t>
            </w:r>
            <w:r>
              <w:rPr>
                <w:sz w:val="21"/>
                <w:szCs w:val="21"/>
              </w:rPr>
              <w:t>A.1</w:t>
            </w:r>
            <w:r>
              <w:rPr>
                <w:rFonts w:hint="eastAsia"/>
                <w:sz w:val="21"/>
                <w:szCs w:val="21"/>
              </w:rPr>
              <w:t>无组织排放限值要求，厂界非甲烷总烃无组织排放执行《大气污染物综合排放标准》</w:t>
            </w:r>
            <w:r>
              <w:rPr>
                <w:sz w:val="21"/>
                <w:szCs w:val="21"/>
              </w:rPr>
              <w:t>(GB16297-1996)</w:t>
            </w:r>
            <w:r>
              <w:rPr>
                <w:rFonts w:hint="eastAsia"/>
                <w:sz w:val="21"/>
                <w:szCs w:val="21"/>
              </w:rPr>
              <w:t>中表</w:t>
            </w:r>
            <w:r>
              <w:rPr>
                <w:sz w:val="21"/>
                <w:szCs w:val="21"/>
              </w:rPr>
              <w:t>2</w:t>
            </w:r>
            <w:r>
              <w:rPr>
                <w:rFonts w:hint="eastAsia"/>
                <w:sz w:val="21"/>
                <w:szCs w:val="21"/>
              </w:rPr>
              <w:t>无组织排放监控浓度限值要求，厂界硫化氢、氨无组织排放执行《炼焦化学工业污染物排放标准》</w:t>
            </w:r>
            <w:r>
              <w:rPr>
                <w:sz w:val="21"/>
                <w:szCs w:val="21"/>
              </w:rPr>
              <w:t>(GB16171-2012)</w:t>
            </w:r>
            <w:r>
              <w:rPr>
                <w:rFonts w:hint="eastAsia"/>
                <w:sz w:val="21"/>
                <w:szCs w:val="21"/>
              </w:rPr>
              <w:t>表</w:t>
            </w:r>
            <w:r>
              <w:rPr>
                <w:sz w:val="21"/>
                <w:szCs w:val="21"/>
              </w:rPr>
              <w:t>7</w:t>
            </w:r>
            <w:r>
              <w:rPr>
                <w:rFonts w:hint="eastAsia"/>
                <w:sz w:val="21"/>
                <w:szCs w:val="21"/>
              </w:rPr>
              <w:t>排放限值要求。</w:t>
            </w:r>
          </w:p>
        </w:tc>
        <w:tc>
          <w:tcPr>
            <w:tcW w:w="4962" w:type="dxa"/>
            <w:tcBorders>
              <w:top w:val="single" w:color="000000" w:sz="4" w:space="0"/>
              <w:left w:val="single" w:color="000000" w:sz="4" w:space="0"/>
              <w:bottom w:val="single" w:color="000000" w:sz="4" w:space="0"/>
              <w:right w:val="single" w:color="000000" w:sz="4" w:space="0"/>
            </w:tcBorders>
            <w:vAlign w:val="center"/>
          </w:tcPr>
          <w:p w14:paraId="74F8798D">
            <w:pPr>
              <w:spacing w:line="276" w:lineRule="auto"/>
              <w:ind w:firstLine="0" w:firstLineChars="0"/>
              <w:jc w:val="center"/>
              <w:rPr>
                <w:sz w:val="21"/>
                <w:szCs w:val="21"/>
              </w:rPr>
            </w:pPr>
            <w:r>
              <w:rPr>
                <w:rFonts w:hint="eastAsia"/>
                <w:sz w:val="21"/>
                <w:szCs w:val="21"/>
              </w:rPr>
              <w:t>本项目施工期采取洒水降尘、产尘物料密闭存放或及时覆盖等措施后，减少大气污染程度。运营期酸化除油装置废气经碱喷淋装置处理后由</w:t>
            </w:r>
            <w:r>
              <w:rPr>
                <w:sz w:val="21"/>
                <w:szCs w:val="21"/>
              </w:rPr>
              <w:t>15</w:t>
            </w:r>
            <w:r>
              <w:rPr>
                <w:rFonts w:hint="eastAsia"/>
                <w:sz w:val="21"/>
                <w:szCs w:val="21"/>
              </w:rPr>
              <w:t>米高排气简排放，执行《恶臭污染物排放标准》</w:t>
            </w:r>
            <w:r>
              <w:rPr>
                <w:sz w:val="21"/>
                <w:szCs w:val="21"/>
              </w:rPr>
              <w:t>(GB14554-93)</w:t>
            </w:r>
            <w:r>
              <w:rPr>
                <w:rFonts w:hint="eastAsia"/>
                <w:sz w:val="21"/>
                <w:szCs w:val="21"/>
              </w:rPr>
              <w:t>中表</w:t>
            </w:r>
            <w:r>
              <w:rPr>
                <w:sz w:val="21"/>
                <w:szCs w:val="21"/>
              </w:rPr>
              <w:t>2</w:t>
            </w:r>
            <w:r>
              <w:rPr>
                <w:rFonts w:hint="eastAsia"/>
                <w:sz w:val="21"/>
                <w:szCs w:val="21"/>
              </w:rPr>
              <w:t>排放限值，焚烧炉废气经</w:t>
            </w:r>
            <w:r>
              <w:rPr>
                <w:sz w:val="21"/>
                <w:szCs w:val="21"/>
              </w:rPr>
              <w:t>SNCR</w:t>
            </w:r>
            <w:r>
              <w:rPr>
                <w:rFonts w:hint="eastAsia"/>
                <w:sz w:val="21"/>
                <w:szCs w:val="21"/>
              </w:rPr>
              <w:t>及低温脱硝装置、双碱法脱硫装置处理后由</w:t>
            </w:r>
            <w:r>
              <w:rPr>
                <w:sz w:val="21"/>
                <w:szCs w:val="21"/>
              </w:rPr>
              <w:t xml:space="preserve">15 </w:t>
            </w:r>
            <w:r>
              <w:rPr>
                <w:rFonts w:hint="eastAsia"/>
                <w:sz w:val="21"/>
                <w:szCs w:val="21"/>
              </w:rPr>
              <w:t>米高排气简排放，执行《炼焦化学工业污染物排放标准》</w:t>
            </w:r>
            <w:r>
              <w:rPr>
                <w:sz w:val="21"/>
                <w:szCs w:val="21"/>
              </w:rPr>
              <w:t>(GB16171-2012)</w:t>
            </w:r>
            <w:r>
              <w:rPr>
                <w:rFonts w:hint="eastAsia"/>
                <w:sz w:val="21"/>
                <w:szCs w:val="21"/>
              </w:rPr>
              <w:t>中表</w:t>
            </w:r>
            <w:r>
              <w:rPr>
                <w:sz w:val="21"/>
                <w:szCs w:val="21"/>
              </w:rPr>
              <w:t>5</w:t>
            </w:r>
            <w:r>
              <w:rPr>
                <w:rFonts w:hint="eastAsia"/>
                <w:sz w:val="21"/>
                <w:szCs w:val="21"/>
              </w:rPr>
              <w:t>排放限值。采取密闭措施并设置负压收集系统，无组织废气通过管道负压收集送至焚烧炉焚烧处理，厂区内非甲烷总烃无组织排放执行《挥发性有机物无组织排放控制标准》</w:t>
            </w:r>
            <w:r>
              <w:rPr>
                <w:sz w:val="21"/>
                <w:szCs w:val="21"/>
              </w:rPr>
              <w:t>(GB37822-2019)</w:t>
            </w:r>
            <w:r>
              <w:rPr>
                <w:rFonts w:hint="eastAsia"/>
                <w:sz w:val="21"/>
                <w:szCs w:val="21"/>
              </w:rPr>
              <w:t>中表</w:t>
            </w:r>
            <w:r>
              <w:rPr>
                <w:sz w:val="21"/>
                <w:szCs w:val="21"/>
              </w:rPr>
              <w:t>A.1</w:t>
            </w:r>
            <w:r>
              <w:rPr>
                <w:rFonts w:hint="eastAsia"/>
                <w:sz w:val="21"/>
                <w:szCs w:val="21"/>
              </w:rPr>
              <w:t>无组织排放限值要求，厂界非甲烷总烃无组织排放执行《大气污染物综合排放标准》</w:t>
            </w:r>
            <w:r>
              <w:rPr>
                <w:sz w:val="21"/>
                <w:szCs w:val="21"/>
              </w:rPr>
              <w:t>(GB16297-1996)</w:t>
            </w:r>
            <w:r>
              <w:rPr>
                <w:rFonts w:hint="eastAsia"/>
                <w:sz w:val="21"/>
                <w:szCs w:val="21"/>
              </w:rPr>
              <w:t>中表</w:t>
            </w:r>
            <w:r>
              <w:rPr>
                <w:sz w:val="21"/>
                <w:szCs w:val="21"/>
              </w:rPr>
              <w:t>2</w:t>
            </w:r>
            <w:r>
              <w:rPr>
                <w:rFonts w:hint="eastAsia"/>
                <w:sz w:val="21"/>
                <w:szCs w:val="21"/>
              </w:rPr>
              <w:t>无组织排放监控浓度限值要求，厂界硫化氢、氨无组织排放执行《炼焦化学工业污染物排放标准》</w:t>
            </w:r>
            <w:r>
              <w:rPr>
                <w:sz w:val="21"/>
                <w:szCs w:val="21"/>
              </w:rPr>
              <w:t>(GB16171-2012)</w:t>
            </w:r>
            <w:r>
              <w:rPr>
                <w:rFonts w:hint="eastAsia"/>
                <w:sz w:val="21"/>
                <w:szCs w:val="21"/>
              </w:rPr>
              <w:t>表</w:t>
            </w:r>
            <w:r>
              <w:rPr>
                <w:sz w:val="21"/>
                <w:szCs w:val="21"/>
              </w:rPr>
              <w:t>7</w:t>
            </w:r>
            <w:r>
              <w:rPr>
                <w:rFonts w:hint="eastAsia"/>
                <w:sz w:val="21"/>
                <w:szCs w:val="21"/>
              </w:rPr>
              <w:t>排放限值要求。</w:t>
            </w:r>
          </w:p>
        </w:tc>
        <w:tc>
          <w:tcPr>
            <w:tcW w:w="476" w:type="dxa"/>
            <w:tcBorders>
              <w:top w:val="single" w:color="000000" w:sz="4" w:space="0"/>
              <w:left w:val="single" w:color="000000" w:sz="4" w:space="0"/>
              <w:bottom w:val="single" w:color="000000" w:sz="4" w:space="0"/>
              <w:right w:val="single" w:color="000000" w:sz="12" w:space="0"/>
            </w:tcBorders>
            <w:vAlign w:val="center"/>
          </w:tcPr>
          <w:p w14:paraId="7B5C1E4A">
            <w:pPr>
              <w:spacing w:line="276" w:lineRule="auto"/>
              <w:ind w:firstLine="0" w:firstLineChars="0"/>
              <w:jc w:val="center"/>
              <w:rPr>
                <w:sz w:val="21"/>
                <w:szCs w:val="21"/>
              </w:rPr>
            </w:pPr>
            <w:r>
              <w:rPr>
                <w:rFonts w:hint="eastAsia"/>
                <w:sz w:val="21"/>
                <w:szCs w:val="21"/>
              </w:rPr>
              <w:t>相符</w:t>
            </w:r>
          </w:p>
        </w:tc>
      </w:tr>
      <w:tr w14:paraId="20BDD7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44E5100D">
            <w:pPr>
              <w:widowControl/>
              <w:spacing w:line="240" w:lineRule="auto"/>
              <w:ind w:firstLine="0" w:firstLineChars="0"/>
              <w:jc w:val="center"/>
              <w:rPr>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22A598E4">
            <w:pPr>
              <w:spacing w:line="276" w:lineRule="auto"/>
              <w:ind w:firstLine="0" w:firstLineChars="0"/>
              <w:jc w:val="center"/>
              <w:rPr>
                <w:sz w:val="21"/>
                <w:szCs w:val="21"/>
              </w:rPr>
            </w:pPr>
            <w:r>
              <w:rPr>
                <w:sz w:val="21"/>
                <w:szCs w:val="21"/>
              </w:rPr>
              <w:t>2</w:t>
            </w:r>
          </w:p>
        </w:tc>
        <w:tc>
          <w:tcPr>
            <w:tcW w:w="6095" w:type="dxa"/>
            <w:tcBorders>
              <w:top w:val="single" w:color="000000" w:sz="4" w:space="0"/>
              <w:left w:val="single" w:color="000000" w:sz="4" w:space="0"/>
              <w:bottom w:val="single" w:color="000000" w:sz="4" w:space="0"/>
              <w:right w:val="single" w:color="000000" w:sz="4" w:space="0"/>
            </w:tcBorders>
            <w:vAlign w:val="center"/>
          </w:tcPr>
          <w:p w14:paraId="45E73852">
            <w:pPr>
              <w:spacing w:line="276" w:lineRule="auto"/>
              <w:ind w:firstLine="0" w:firstLineChars="0"/>
              <w:jc w:val="center"/>
              <w:rPr>
                <w:sz w:val="21"/>
                <w:szCs w:val="21"/>
              </w:rPr>
            </w:pPr>
            <w:r>
              <w:rPr>
                <w:rFonts w:hint="eastAsia"/>
                <w:sz w:val="21"/>
                <w:szCs w:val="21"/>
              </w:rPr>
              <w:t>严格落实水污染防治措施。施工期生活污水通过管网排入厂区已建的生活污水处理设施后综合利用。运营期碱喷淋废水经中和处理后，排入本次新建废水处理站处理</w:t>
            </w:r>
            <w:r>
              <w:rPr>
                <w:sz w:val="21"/>
                <w:szCs w:val="21"/>
              </w:rPr>
              <w:t>;</w:t>
            </w:r>
            <w:r>
              <w:rPr>
                <w:rFonts w:hint="eastAsia"/>
                <w:sz w:val="21"/>
                <w:szCs w:val="21"/>
              </w:rPr>
              <w:t>软水制备废水全部用于厂区洒水降尘不外排</w:t>
            </w:r>
            <w:r>
              <w:rPr>
                <w:sz w:val="21"/>
                <w:szCs w:val="21"/>
              </w:rPr>
              <w:t>;</w:t>
            </w:r>
            <w:r>
              <w:rPr>
                <w:rFonts w:hint="eastAsia"/>
                <w:sz w:val="21"/>
                <w:szCs w:val="21"/>
              </w:rPr>
              <w:t>脱硫废水经中和处理后，排入本次新建废水处理站处理。本项目采取分区防渗，重点防渗区包括污水输送管线、焚烧炉区及脱硫塔区等区域，一般防渗区为余热蒸汽锅炉区、药品储存间，应按照《环境影响评价技术导则</w:t>
            </w:r>
            <w:r>
              <w:rPr>
                <w:sz w:val="21"/>
                <w:szCs w:val="21"/>
              </w:rPr>
              <w:t xml:space="preserve"> </w:t>
            </w:r>
            <w:r>
              <w:rPr>
                <w:rFonts w:hint="eastAsia"/>
                <w:sz w:val="21"/>
                <w:szCs w:val="21"/>
              </w:rPr>
              <w:t>地下水环境》</w:t>
            </w:r>
            <w:r>
              <w:rPr>
                <w:sz w:val="21"/>
                <w:szCs w:val="21"/>
              </w:rPr>
              <w:t>(HJ610-2016)</w:t>
            </w:r>
            <w:r>
              <w:rPr>
                <w:rFonts w:hint="eastAsia"/>
                <w:sz w:val="21"/>
                <w:szCs w:val="21"/>
              </w:rPr>
              <w:t>中重点防渗区及一般防渗区相关要求进行防渗处理，并依托厂区现有地下水监测系统，定期开展监测</w:t>
            </w:r>
          </w:p>
        </w:tc>
        <w:tc>
          <w:tcPr>
            <w:tcW w:w="4962" w:type="dxa"/>
            <w:tcBorders>
              <w:top w:val="single" w:color="000000" w:sz="4" w:space="0"/>
              <w:left w:val="single" w:color="000000" w:sz="4" w:space="0"/>
              <w:bottom w:val="single" w:color="000000" w:sz="4" w:space="0"/>
              <w:right w:val="single" w:color="000000" w:sz="4" w:space="0"/>
            </w:tcBorders>
            <w:vAlign w:val="center"/>
          </w:tcPr>
          <w:p w14:paraId="5268854B">
            <w:pPr>
              <w:spacing w:line="276" w:lineRule="auto"/>
              <w:ind w:firstLine="0" w:firstLineChars="0"/>
              <w:jc w:val="center"/>
              <w:rPr>
                <w:sz w:val="21"/>
                <w:szCs w:val="21"/>
              </w:rPr>
            </w:pPr>
            <w:r>
              <w:rPr>
                <w:rFonts w:hint="eastAsia"/>
                <w:sz w:val="21"/>
                <w:szCs w:val="21"/>
              </w:rPr>
              <w:t>酸化除油装置废气处理系统的循环水池为</w:t>
            </w:r>
            <w:r>
              <w:rPr>
                <w:sz w:val="21"/>
                <w:szCs w:val="21"/>
              </w:rPr>
              <w:t>50m</w:t>
            </w:r>
            <w:r>
              <w:rPr>
                <w:sz w:val="21"/>
                <w:szCs w:val="21"/>
                <w:vertAlign w:val="superscript"/>
              </w:rPr>
              <w:t>3</w:t>
            </w:r>
            <w:r>
              <w:rPr>
                <w:rFonts w:hint="eastAsia"/>
                <w:sz w:val="21"/>
                <w:szCs w:val="21"/>
              </w:rPr>
              <w:t>，碱喷淋废水经循环沉淀池沉淀处理后循环使用，沉淀池的循环水半年排放一次；碱喷淋废水经中和处理后，排入厂内污水处理站。软水制备废水全部用于厂区洒水降尘，不外排。脱硫烟气处理系统处理的循环水池为</w:t>
            </w:r>
            <w:r>
              <w:rPr>
                <w:sz w:val="21"/>
                <w:szCs w:val="21"/>
              </w:rPr>
              <w:t>100m</w:t>
            </w:r>
            <w:r>
              <w:rPr>
                <w:sz w:val="21"/>
                <w:szCs w:val="21"/>
                <w:vertAlign w:val="superscript"/>
              </w:rPr>
              <w:t>3</w:t>
            </w:r>
            <w:r>
              <w:rPr>
                <w:rFonts w:hint="eastAsia"/>
                <w:sz w:val="21"/>
                <w:szCs w:val="21"/>
              </w:rPr>
              <w:t>，脱硫废水经循环沉淀池沉淀处理后循环使用，沉淀池的循环水半年排放一次；脱硫废水经中和处理后，排入厂内污水处理站。</w:t>
            </w:r>
          </w:p>
        </w:tc>
        <w:tc>
          <w:tcPr>
            <w:tcW w:w="476" w:type="dxa"/>
            <w:tcBorders>
              <w:top w:val="single" w:color="000000" w:sz="4" w:space="0"/>
              <w:left w:val="single" w:color="000000" w:sz="4" w:space="0"/>
              <w:bottom w:val="single" w:color="000000" w:sz="4" w:space="0"/>
              <w:right w:val="single" w:color="000000" w:sz="12" w:space="0"/>
            </w:tcBorders>
            <w:vAlign w:val="center"/>
          </w:tcPr>
          <w:p w14:paraId="0ECE707B">
            <w:pPr>
              <w:spacing w:line="276" w:lineRule="auto"/>
              <w:ind w:firstLine="0" w:firstLineChars="0"/>
              <w:jc w:val="center"/>
              <w:rPr>
                <w:sz w:val="21"/>
                <w:szCs w:val="21"/>
              </w:rPr>
            </w:pPr>
            <w:r>
              <w:rPr>
                <w:rFonts w:hint="eastAsia"/>
                <w:sz w:val="21"/>
                <w:szCs w:val="21"/>
              </w:rPr>
              <w:t>相符</w:t>
            </w:r>
          </w:p>
        </w:tc>
      </w:tr>
      <w:tr w14:paraId="2AD92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2DF4D7E7">
            <w:pPr>
              <w:widowControl/>
              <w:spacing w:line="240" w:lineRule="auto"/>
              <w:ind w:firstLine="0" w:firstLineChars="0"/>
              <w:jc w:val="center"/>
              <w:rPr>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250B8ABE">
            <w:pPr>
              <w:spacing w:line="276" w:lineRule="auto"/>
              <w:ind w:firstLine="0" w:firstLineChars="0"/>
              <w:jc w:val="center"/>
              <w:rPr>
                <w:sz w:val="21"/>
                <w:szCs w:val="21"/>
              </w:rPr>
            </w:pPr>
            <w:r>
              <w:rPr>
                <w:sz w:val="21"/>
                <w:szCs w:val="21"/>
              </w:rPr>
              <w:t>3</w:t>
            </w:r>
          </w:p>
        </w:tc>
        <w:tc>
          <w:tcPr>
            <w:tcW w:w="6095" w:type="dxa"/>
            <w:tcBorders>
              <w:top w:val="single" w:color="000000" w:sz="4" w:space="0"/>
              <w:left w:val="single" w:color="000000" w:sz="4" w:space="0"/>
              <w:bottom w:val="single" w:color="000000" w:sz="4" w:space="0"/>
              <w:right w:val="single" w:color="000000" w:sz="4" w:space="0"/>
            </w:tcBorders>
            <w:vAlign w:val="center"/>
          </w:tcPr>
          <w:p w14:paraId="46D65BFC">
            <w:pPr>
              <w:spacing w:line="276" w:lineRule="auto"/>
              <w:ind w:firstLine="0" w:firstLineChars="0"/>
              <w:jc w:val="center"/>
              <w:rPr>
                <w:sz w:val="21"/>
                <w:szCs w:val="21"/>
              </w:rPr>
            </w:pPr>
            <w:r>
              <w:rPr>
                <w:rFonts w:hint="eastAsia"/>
                <w:sz w:val="21"/>
                <w:szCs w:val="21"/>
              </w:rPr>
              <w:t>严格落实噪声污染防治措施。</w:t>
            </w:r>
            <w:bookmarkStart w:id="208" w:name="OLE_LINK21"/>
            <w:r>
              <w:rPr>
                <w:rFonts w:hint="eastAsia"/>
                <w:sz w:val="21"/>
                <w:szCs w:val="21"/>
              </w:rPr>
              <w:t>运营期噪声通过选用低噪声设备、基础减振、加强设备维护、保养等措施，厂界昼、夜间环境噪声执行《工业企业厂界环境噪声排放标准》</w:t>
            </w:r>
            <w:r>
              <w:rPr>
                <w:sz w:val="21"/>
                <w:szCs w:val="21"/>
              </w:rPr>
              <w:t>(GB12348-2008)3</w:t>
            </w:r>
            <w:r>
              <w:rPr>
                <w:rFonts w:hint="eastAsia"/>
                <w:sz w:val="21"/>
                <w:szCs w:val="21"/>
              </w:rPr>
              <w:t>类声功能区限值</w:t>
            </w:r>
            <w:bookmarkEnd w:id="208"/>
            <w:r>
              <w:rPr>
                <w:rFonts w:hint="eastAsia"/>
                <w:sz w:val="21"/>
                <w:szCs w:val="21"/>
              </w:rPr>
              <w:t>。</w:t>
            </w:r>
          </w:p>
        </w:tc>
        <w:tc>
          <w:tcPr>
            <w:tcW w:w="4962" w:type="dxa"/>
            <w:tcBorders>
              <w:top w:val="single" w:color="000000" w:sz="4" w:space="0"/>
              <w:left w:val="single" w:color="000000" w:sz="4" w:space="0"/>
              <w:bottom w:val="single" w:color="000000" w:sz="4" w:space="0"/>
              <w:right w:val="single" w:color="000000" w:sz="4" w:space="0"/>
            </w:tcBorders>
            <w:vAlign w:val="center"/>
          </w:tcPr>
          <w:p w14:paraId="2893BEE5">
            <w:pPr>
              <w:spacing w:line="276" w:lineRule="auto"/>
              <w:ind w:firstLine="0" w:firstLineChars="0"/>
              <w:jc w:val="center"/>
              <w:rPr>
                <w:sz w:val="21"/>
                <w:szCs w:val="21"/>
              </w:rPr>
            </w:pPr>
            <w:r>
              <w:rPr>
                <w:rFonts w:hint="eastAsia"/>
                <w:sz w:val="21"/>
                <w:szCs w:val="21"/>
              </w:rPr>
              <w:t>通过选用低噪声设备、基础减振、加强设备维护、保养等措施，厂界昼、夜间环境噪声执行《工业企业厂界环境噪声排放标准》</w:t>
            </w:r>
            <w:r>
              <w:rPr>
                <w:sz w:val="21"/>
                <w:szCs w:val="21"/>
              </w:rPr>
              <w:t>(GB12348-2008)3</w:t>
            </w:r>
            <w:r>
              <w:rPr>
                <w:rFonts w:hint="eastAsia"/>
                <w:sz w:val="21"/>
                <w:szCs w:val="21"/>
              </w:rPr>
              <w:t>类声功能区限值。</w:t>
            </w:r>
          </w:p>
        </w:tc>
        <w:tc>
          <w:tcPr>
            <w:tcW w:w="476" w:type="dxa"/>
            <w:tcBorders>
              <w:top w:val="single" w:color="000000" w:sz="4" w:space="0"/>
              <w:left w:val="single" w:color="000000" w:sz="4" w:space="0"/>
              <w:bottom w:val="single" w:color="000000" w:sz="4" w:space="0"/>
              <w:right w:val="single" w:color="000000" w:sz="12" w:space="0"/>
            </w:tcBorders>
            <w:vAlign w:val="center"/>
          </w:tcPr>
          <w:p w14:paraId="470F23B1">
            <w:pPr>
              <w:spacing w:line="276" w:lineRule="auto"/>
              <w:ind w:firstLine="0" w:firstLineChars="0"/>
              <w:jc w:val="center"/>
              <w:rPr>
                <w:sz w:val="21"/>
                <w:szCs w:val="21"/>
              </w:rPr>
            </w:pPr>
            <w:r>
              <w:rPr>
                <w:rFonts w:hint="eastAsia"/>
                <w:sz w:val="21"/>
                <w:szCs w:val="21"/>
              </w:rPr>
              <w:t>相符</w:t>
            </w:r>
          </w:p>
        </w:tc>
      </w:tr>
      <w:tr w14:paraId="796A6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67F7539D">
            <w:pPr>
              <w:widowControl/>
              <w:spacing w:line="240" w:lineRule="auto"/>
              <w:ind w:firstLine="0" w:firstLineChars="0"/>
              <w:jc w:val="center"/>
              <w:rPr>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164FACAB">
            <w:pPr>
              <w:spacing w:line="276" w:lineRule="auto"/>
              <w:ind w:firstLine="0" w:firstLineChars="0"/>
              <w:jc w:val="center"/>
              <w:rPr>
                <w:sz w:val="21"/>
                <w:szCs w:val="21"/>
              </w:rPr>
            </w:pPr>
            <w:r>
              <w:rPr>
                <w:sz w:val="21"/>
                <w:szCs w:val="21"/>
              </w:rPr>
              <w:t>4</w:t>
            </w:r>
          </w:p>
        </w:tc>
        <w:tc>
          <w:tcPr>
            <w:tcW w:w="6095" w:type="dxa"/>
            <w:tcBorders>
              <w:top w:val="single" w:color="000000" w:sz="4" w:space="0"/>
              <w:left w:val="single" w:color="000000" w:sz="4" w:space="0"/>
              <w:bottom w:val="single" w:color="000000" w:sz="4" w:space="0"/>
              <w:right w:val="single" w:color="000000" w:sz="4" w:space="0"/>
            </w:tcBorders>
            <w:vAlign w:val="center"/>
          </w:tcPr>
          <w:p w14:paraId="099FCE8D">
            <w:pPr>
              <w:spacing w:line="276" w:lineRule="auto"/>
              <w:ind w:firstLine="0" w:firstLineChars="0"/>
              <w:jc w:val="center"/>
              <w:rPr>
                <w:sz w:val="21"/>
                <w:szCs w:val="21"/>
              </w:rPr>
            </w:pPr>
            <w:r>
              <w:rPr>
                <w:rFonts w:hint="eastAsia"/>
                <w:sz w:val="21"/>
                <w:szCs w:val="21"/>
              </w:rPr>
              <w:t>严格落实固体废物处置措施。施工期建筑垃圾综合利用，生活垃圾收集后交由园区环卫部门清运处置。运营期产生的危险废物焦油储存于储油槽，委托有相应处置资质的单位处置</w:t>
            </w:r>
            <w:r>
              <w:rPr>
                <w:sz w:val="21"/>
                <w:szCs w:val="21"/>
              </w:rPr>
              <w:t>;</w:t>
            </w:r>
            <w:r>
              <w:rPr>
                <w:rFonts w:hint="eastAsia"/>
                <w:sz w:val="21"/>
                <w:szCs w:val="21"/>
              </w:rPr>
              <w:t>废弃过滤袋暂存于厂区现有危险废物暂存库</w:t>
            </w:r>
            <w:r>
              <w:rPr>
                <w:sz w:val="21"/>
                <w:szCs w:val="21"/>
              </w:rPr>
              <w:t>(</w:t>
            </w:r>
            <w:r>
              <w:rPr>
                <w:rFonts w:hint="eastAsia"/>
                <w:sz w:val="21"/>
                <w:szCs w:val="21"/>
              </w:rPr>
              <w:t>面积</w:t>
            </w:r>
            <w:r>
              <w:rPr>
                <w:sz w:val="21"/>
                <w:szCs w:val="21"/>
              </w:rPr>
              <w:t>150</w:t>
            </w:r>
            <w:r>
              <w:rPr>
                <w:rFonts w:hint="eastAsia"/>
                <w:sz w:val="21"/>
                <w:szCs w:val="21"/>
              </w:rPr>
              <w:t>平方米</w:t>
            </w:r>
            <w:r>
              <w:rPr>
                <w:sz w:val="21"/>
                <w:szCs w:val="21"/>
              </w:rPr>
              <w:t>)</w:t>
            </w:r>
            <w:r>
              <w:rPr>
                <w:rFonts w:hint="eastAsia"/>
                <w:sz w:val="21"/>
                <w:szCs w:val="21"/>
              </w:rPr>
              <w:t>内，定期交由有相应处置资质的单位处置</w:t>
            </w:r>
            <w:r>
              <w:rPr>
                <w:sz w:val="21"/>
                <w:szCs w:val="21"/>
              </w:rPr>
              <w:t>;</w:t>
            </w:r>
            <w:r>
              <w:rPr>
                <w:rFonts w:hint="eastAsia"/>
                <w:sz w:val="21"/>
                <w:szCs w:val="21"/>
              </w:rPr>
              <w:t>脱硫渣</w:t>
            </w:r>
            <w:r>
              <w:rPr>
                <w:sz w:val="21"/>
                <w:szCs w:val="21"/>
              </w:rPr>
              <w:t>(</w:t>
            </w:r>
            <w:r>
              <w:rPr>
                <w:rFonts w:hint="eastAsia"/>
                <w:sz w:val="21"/>
                <w:szCs w:val="21"/>
              </w:rPr>
              <w:t>含水</w:t>
            </w:r>
            <w:r>
              <w:rPr>
                <w:sz w:val="21"/>
                <w:szCs w:val="21"/>
              </w:rPr>
              <w:t>)</w:t>
            </w:r>
            <w:r>
              <w:rPr>
                <w:rFonts w:hint="eastAsia"/>
                <w:sz w:val="21"/>
                <w:szCs w:val="21"/>
              </w:rPr>
              <w:t>送园区一般固废填埋场处置</w:t>
            </w:r>
            <w:r>
              <w:rPr>
                <w:sz w:val="21"/>
                <w:szCs w:val="21"/>
              </w:rPr>
              <w:t>;</w:t>
            </w:r>
            <w:r>
              <w:rPr>
                <w:rFonts w:hint="eastAsia"/>
                <w:sz w:val="21"/>
                <w:szCs w:val="21"/>
              </w:rPr>
              <w:t>硫酸铵达到《肥料级硫酸铵》</w:t>
            </w:r>
            <w:r>
              <w:rPr>
                <w:sz w:val="21"/>
                <w:szCs w:val="21"/>
              </w:rPr>
              <w:t>(GB/TS35-2020)</w:t>
            </w:r>
            <w:r>
              <w:rPr>
                <w:rFonts w:hint="eastAsia"/>
                <w:sz w:val="21"/>
                <w:szCs w:val="21"/>
              </w:rPr>
              <w:t>标准后方可作为副产品出售，若不满足应按照固体废物进行合规处置</w:t>
            </w:r>
          </w:p>
        </w:tc>
        <w:tc>
          <w:tcPr>
            <w:tcW w:w="4962" w:type="dxa"/>
            <w:tcBorders>
              <w:top w:val="single" w:color="000000" w:sz="4" w:space="0"/>
              <w:left w:val="single" w:color="000000" w:sz="4" w:space="0"/>
              <w:bottom w:val="single" w:color="000000" w:sz="4" w:space="0"/>
              <w:right w:val="single" w:color="000000" w:sz="4" w:space="0"/>
            </w:tcBorders>
            <w:vAlign w:val="center"/>
          </w:tcPr>
          <w:p w14:paraId="52C3B410">
            <w:pPr>
              <w:spacing w:line="276" w:lineRule="auto"/>
              <w:ind w:firstLine="0" w:firstLineChars="0"/>
              <w:jc w:val="center"/>
              <w:rPr>
                <w:sz w:val="21"/>
                <w:szCs w:val="21"/>
              </w:rPr>
            </w:pPr>
            <w:r>
              <w:rPr>
                <w:rFonts w:hint="eastAsia"/>
                <w:sz w:val="21"/>
                <w:szCs w:val="21"/>
              </w:rPr>
              <w:t>本项目三级除油装置产生的焦油储存于储油槽，委托有资质的单位处置；袋式过滤器会产生废弃过滤袋，统一收集后暂存于危废暂存间，委托有资质的单位处置；本项目的脱硫渣优先综合利用，无法利用的部分送园区一般固废填埋场处置。硫酸铵作为副产品出售，主要用于绿化施肥。</w:t>
            </w:r>
          </w:p>
        </w:tc>
        <w:tc>
          <w:tcPr>
            <w:tcW w:w="476" w:type="dxa"/>
            <w:tcBorders>
              <w:top w:val="single" w:color="000000" w:sz="4" w:space="0"/>
              <w:left w:val="single" w:color="000000" w:sz="4" w:space="0"/>
              <w:bottom w:val="single" w:color="000000" w:sz="4" w:space="0"/>
              <w:right w:val="single" w:color="000000" w:sz="12" w:space="0"/>
            </w:tcBorders>
            <w:vAlign w:val="center"/>
          </w:tcPr>
          <w:p w14:paraId="38DFB689">
            <w:pPr>
              <w:spacing w:line="276" w:lineRule="auto"/>
              <w:ind w:firstLine="0" w:firstLineChars="0"/>
              <w:jc w:val="center"/>
              <w:rPr>
                <w:sz w:val="21"/>
                <w:szCs w:val="21"/>
              </w:rPr>
            </w:pPr>
            <w:r>
              <w:rPr>
                <w:rFonts w:hint="eastAsia"/>
                <w:sz w:val="21"/>
                <w:szCs w:val="21"/>
              </w:rPr>
              <w:t>相符</w:t>
            </w:r>
          </w:p>
        </w:tc>
      </w:tr>
      <w:tr w14:paraId="3CEA7A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03279272">
            <w:pPr>
              <w:widowControl/>
              <w:spacing w:line="240" w:lineRule="auto"/>
              <w:ind w:firstLine="0" w:firstLineChars="0"/>
              <w:jc w:val="center"/>
              <w:rPr>
                <w:sz w:val="21"/>
                <w:szCs w:val="21"/>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2029D909">
            <w:pPr>
              <w:spacing w:line="276" w:lineRule="auto"/>
              <w:ind w:firstLine="0" w:firstLineChars="0"/>
              <w:jc w:val="center"/>
              <w:rPr>
                <w:sz w:val="21"/>
                <w:szCs w:val="21"/>
              </w:rPr>
            </w:pPr>
            <w:r>
              <w:rPr>
                <w:sz w:val="21"/>
                <w:szCs w:val="21"/>
              </w:rPr>
              <w:t>5</w:t>
            </w:r>
          </w:p>
        </w:tc>
        <w:tc>
          <w:tcPr>
            <w:tcW w:w="6095" w:type="dxa"/>
            <w:tcBorders>
              <w:top w:val="single" w:color="000000" w:sz="4" w:space="0"/>
              <w:left w:val="single" w:color="000000" w:sz="4" w:space="0"/>
              <w:bottom w:val="single" w:color="000000" w:sz="4" w:space="0"/>
              <w:right w:val="single" w:color="000000" w:sz="4" w:space="0"/>
            </w:tcBorders>
            <w:vAlign w:val="center"/>
          </w:tcPr>
          <w:p w14:paraId="0077FBE7">
            <w:pPr>
              <w:spacing w:line="276" w:lineRule="auto"/>
              <w:ind w:firstLine="0" w:firstLineChars="0"/>
              <w:jc w:val="center"/>
              <w:rPr>
                <w:sz w:val="21"/>
                <w:szCs w:val="21"/>
              </w:rPr>
            </w:pPr>
            <w:r>
              <w:rPr>
                <w:rFonts w:hint="eastAsia"/>
                <w:sz w:val="21"/>
                <w:szCs w:val="21"/>
              </w:rPr>
              <w:t>强化环境风险防范和应急措施。本项目煤气设备及管道应设防静电接地，设低压报警与自动切断装置，煤气设备进出口设阀门、盲板或水封阀等切断装置</w:t>
            </w:r>
            <w:r>
              <w:rPr>
                <w:sz w:val="21"/>
                <w:szCs w:val="21"/>
              </w:rPr>
              <w:t>;</w:t>
            </w:r>
            <w:r>
              <w:rPr>
                <w:rFonts w:hint="eastAsia"/>
                <w:sz w:val="21"/>
                <w:szCs w:val="21"/>
              </w:rPr>
              <w:t>采取防静电接地措施，严格按照环境的危险类别或区域配置相应的防爆电器设备和灯具</w:t>
            </w:r>
            <w:r>
              <w:rPr>
                <w:sz w:val="21"/>
                <w:szCs w:val="21"/>
              </w:rPr>
              <w:t>;</w:t>
            </w:r>
            <w:r>
              <w:rPr>
                <w:rFonts w:hint="eastAsia"/>
                <w:sz w:val="21"/>
                <w:szCs w:val="21"/>
              </w:rPr>
              <w:t>设立报警、通讯系统以及事故处置领导体系</w:t>
            </w:r>
            <w:r>
              <w:rPr>
                <w:sz w:val="21"/>
                <w:szCs w:val="21"/>
              </w:rPr>
              <w:t>;</w:t>
            </w:r>
            <w:r>
              <w:rPr>
                <w:rFonts w:hint="eastAsia"/>
                <w:sz w:val="21"/>
                <w:szCs w:val="21"/>
              </w:rPr>
              <w:t>制定有效处理事故的应急行动方案</w:t>
            </w:r>
            <w:r>
              <w:rPr>
                <w:sz w:val="21"/>
                <w:szCs w:val="21"/>
              </w:rPr>
              <w:t>;</w:t>
            </w:r>
            <w:r>
              <w:rPr>
                <w:rFonts w:hint="eastAsia"/>
                <w:sz w:val="21"/>
                <w:szCs w:val="21"/>
              </w:rPr>
              <w:t>制定控制和减少事故影响范围、程度以及补救行动的实施计划。应按规定修编现有突发环境事件应急预案，报所在地生态环境主管部门备案，并与全厂应急预案联动，定期开展应急演练，</w:t>
            </w:r>
          </w:p>
        </w:tc>
        <w:tc>
          <w:tcPr>
            <w:tcW w:w="4962" w:type="dxa"/>
            <w:tcBorders>
              <w:top w:val="single" w:color="000000" w:sz="4" w:space="0"/>
              <w:left w:val="single" w:color="000000" w:sz="4" w:space="0"/>
              <w:bottom w:val="single" w:color="000000" w:sz="4" w:space="0"/>
              <w:right w:val="single" w:color="000000" w:sz="4" w:space="0"/>
            </w:tcBorders>
            <w:vAlign w:val="center"/>
          </w:tcPr>
          <w:p w14:paraId="160777EE">
            <w:pPr>
              <w:spacing w:line="276" w:lineRule="auto"/>
              <w:ind w:firstLine="0" w:firstLineChars="0"/>
              <w:jc w:val="center"/>
              <w:rPr>
                <w:sz w:val="21"/>
                <w:szCs w:val="21"/>
              </w:rPr>
            </w:pPr>
            <w:r>
              <w:rPr>
                <w:rFonts w:hint="eastAsia"/>
                <w:sz w:val="21"/>
                <w:szCs w:val="21"/>
              </w:rPr>
              <w:t>本项目煤气设备及管道应设防静电接地，设低压报警与自动切断装置，煤气设备进出口设阀门、盲板或水封阀等切断装置</w:t>
            </w:r>
            <w:r>
              <w:rPr>
                <w:sz w:val="21"/>
                <w:szCs w:val="21"/>
              </w:rPr>
              <w:t>;</w:t>
            </w:r>
            <w:r>
              <w:rPr>
                <w:rFonts w:hint="eastAsia"/>
                <w:sz w:val="21"/>
                <w:szCs w:val="21"/>
              </w:rPr>
              <w:t>采取防静电接地措施，严格按照环境的危险类别或区域配置相应的防爆电器设备和灯具。</w:t>
            </w:r>
          </w:p>
          <w:p w14:paraId="3790A2FB">
            <w:pPr>
              <w:spacing w:line="276" w:lineRule="auto"/>
              <w:ind w:firstLine="0" w:firstLineChars="0"/>
              <w:jc w:val="center"/>
              <w:rPr>
                <w:sz w:val="21"/>
                <w:szCs w:val="21"/>
              </w:rPr>
            </w:pPr>
            <w:r>
              <w:rPr>
                <w:rFonts w:hint="eastAsia"/>
                <w:sz w:val="21"/>
                <w:szCs w:val="21"/>
              </w:rPr>
              <w:t>企业已编制完成应急预案，并完成备案（备案编号：</w:t>
            </w:r>
            <w:r>
              <w:rPr>
                <w:sz w:val="21"/>
                <w:szCs w:val="21"/>
              </w:rPr>
              <w:t>650500-2024-57-L</w:t>
            </w:r>
            <w:r>
              <w:rPr>
                <w:rFonts w:hint="eastAsia"/>
                <w:sz w:val="21"/>
                <w:szCs w:val="21"/>
              </w:rPr>
              <w:t>）；已做好车间内无组织粉尘的安全防控措施，并建立有效的生产事故预警系统和应急体系。</w:t>
            </w:r>
          </w:p>
        </w:tc>
        <w:tc>
          <w:tcPr>
            <w:tcW w:w="476" w:type="dxa"/>
            <w:tcBorders>
              <w:top w:val="single" w:color="000000" w:sz="4" w:space="0"/>
              <w:left w:val="single" w:color="000000" w:sz="4" w:space="0"/>
              <w:bottom w:val="single" w:color="000000" w:sz="4" w:space="0"/>
              <w:right w:val="single" w:color="000000" w:sz="12" w:space="0"/>
            </w:tcBorders>
            <w:vAlign w:val="center"/>
          </w:tcPr>
          <w:p w14:paraId="42C93B08">
            <w:pPr>
              <w:spacing w:line="276" w:lineRule="auto"/>
              <w:ind w:firstLine="0" w:firstLineChars="0"/>
              <w:jc w:val="center"/>
              <w:rPr>
                <w:sz w:val="21"/>
                <w:szCs w:val="21"/>
              </w:rPr>
            </w:pPr>
            <w:r>
              <w:rPr>
                <w:rFonts w:hint="eastAsia"/>
                <w:sz w:val="21"/>
                <w:szCs w:val="21"/>
              </w:rPr>
              <w:t>相符</w:t>
            </w:r>
          </w:p>
        </w:tc>
      </w:tr>
      <w:tr w14:paraId="61774B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14:paraId="0A74C1BE">
            <w:pPr>
              <w:widowControl/>
              <w:spacing w:line="240" w:lineRule="auto"/>
              <w:ind w:firstLine="0" w:firstLineChars="0"/>
              <w:jc w:val="center"/>
              <w:rPr>
                <w:sz w:val="21"/>
                <w:szCs w:val="21"/>
              </w:rPr>
            </w:pPr>
          </w:p>
        </w:tc>
        <w:tc>
          <w:tcPr>
            <w:tcW w:w="1276" w:type="dxa"/>
            <w:tcBorders>
              <w:top w:val="single" w:color="000000" w:sz="4" w:space="0"/>
              <w:left w:val="single" w:color="000000" w:sz="4" w:space="0"/>
              <w:bottom w:val="single" w:color="000000" w:sz="12" w:space="0"/>
              <w:right w:val="single" w:color="000000" w:sz="4" w:space="0"/>
            </w:tcBorders>
            <w:vAlign w:val="center"/>
          </w:tcPr>
          <w:p w14:paraId="3C395843">
            <w:pPr>
              <w:spacing w:line="276" w:lineRule="auto"/>
              <w:ind w:firstLine="0" w:firstLineChars="0"/>
              <w:jc w:val="center"/>
              <w:rPr>
                <w:sz w:val="21"/>
                <w:szCs w:val="21"/>
              </w:rPr>
            </w:pPr>
            <w:r>
              <w:rPr>
                <w:sz w:val="21"/>
                <w:szCs w:val="21"/>
              </w:rPr>
              <w:t>6</w:t>
            </w:r>
          </w:p>
        </w:tc>
        <w:tc>
          <w:tcPr>
            <w:tcW w:w="6095" w:type="dxa"/>
            <w:tcBorders>
              <w:top w:val="single" w:color="000000" w:sz="4" w:space="0"/>
              <w:left w:val="single" w:color="000000" w:sz="4" w:space="0"/>
              <w:bottom w:val="single" w:color="000000" w:sz="12" w:space="0"/>
              <w:right w:val="single" w:color="000000" w:sz="4" w:space="0"/>
            </w:tcBorders>
            <w:vAlign w:val="center"/>
          </w:tcPr>
          <w:p w14:paraId="7EFBCBB1">
            <w:pPr>
              <w:spacing w:line="276" w:lineRule="auto"/>
              <w:ind w:firstLine="0" w:firstLineChars="0"/>
              <w:jc w:val="center"/>
              <w:rPr>
                <w:sz w:val="21"/>
                <w:szCs w:val="21"/>
              </w:rPr>
            </w:pPr>
            <w:r>
              <w:rPr>
                <w:rFonts w:hint="eastAsia"/>
                <w:sz w:val="21"/>
                <w:szCs w:val="21"/>
              </w:rPr>
              <w:t>加强项目管理。加强运营期废水处理装置运维，确保废水焚烧装置保持</w:t>
            </w:r>
            <w:r>
              <w:rPr>
                <w:sz w:val="21"/>
                <w:szCs w:val="21"/>
              </w:rPr>
              <w:t>800</w:t>
            </w:r>
            <w:r>
              <w:rPr>
                <w:rFonts w:hint="eastAsia"/>
                <w:sz w:val="21"/>
                <w:szCs w:val="21"/>
              </w:rPr>
              <w:t>至</w:t>
            </w:r>
            <w:r>
              <w:rPr>
                <w:sz w:val="21"/>
                <w:szCs w:val="21"/>
              </w:rPr>
              <w:t>1000</w:t>
            </w:r>
            <w:r>
              <w:rPr>
                <w:rFonts w:hint="eastAsia"/>
                <w:sz w:val="21"/>
                <w:szCs w:val="21"/>
              </w:rPr>
              <w:t>℃恒温运转</w:t>
            </w:r>
            <w:r>
              <w:rPr>
                <w:sz w:val="21"/>
                <w:szCs w:val="21"/>
              </w:rPr>
              <w:t>;</w:t>
            </w:r>
            <w:r>
              <w:rPr>
                <w:rFonts w:hint="eastAsia"/>
                <w:sz w:val="21"/>
                <w:szCs w:val="21"/>
              </w:rPr>
              <w:t>建立污染源监测台账制度，严格落实运营期的污染源监测计划，确保废水焚烧炉在线自动监测系统正常运转。项目稳定投产后，应开展清洁生产审核工作并主动公布企业环境信息，接受社会监督</w:t>
            </w:r>
          </w:p>
        </w:tc>
        <w:tc>
          <w:tcPr>
            <w:tcW w:w="4962" w:type="dxa"/>
            <w:tcBorders>
              <w:top w:val="single" w:color="000000" w:sz="4" w:space="0"/>
              <w:left w:val="single" w:color="000000" w:sz="4" w:space="0"/>
              <w:bottom w:val="single" w:color="000000" w:sz="12" w:space="0"/>
              <w:right w:val="single" w:color="000000" w:sz="4" w:space="0"/>
            </w:tcBorders>
            <w:vAlign w:val="center"/>
          </w:tcPr>
          <w:p w14:paraId="1CC23ED6">
            <w:pPr>
              <w:spacing w:line="276" w:lineRule="auto"/>
              <w:ind w:firstLine="0" w:firstLineChars="0"/>
              <w:jc w:val="center"/>
              <w:rPr>
                <w:sz w:val="21"/>
                <w:szCs w:val="21"/>
              </w:rPr>
            </w:pPr>
            <w:r>
              <w:rPr>
                <w:rFonts w:hint="eastAsia"/>
                <w:sz w:val="21"/>
                <w:szCs w:val="21"/>
              </w:rPr>
              <w:t>本项目严格落实运营期的污染源监测计划，废水焚烧炉在线自动监测系统正常运转；接受社会监督</w:t>
            </w:r>
          </w:p>
        </w:tc>
        <w:tc>
          <w:tcPr>
            <w:tcW w:w="476" w:type="dxa"/>
            <w:tcBorders>
              <w:top w:val="single" w:color="000000" w:sz="4" w:space="0"/>
              <w:left w:val="single" w:color="000000" w:sz="4" w:space="0"/>
              <w:bottom w:val="single" w:color="000000" w:sz="12" w:space="0"/>
              <w:right w:val="single" w:color="000000" w:sz="12" w:space="0"/>
            </w:tcBorders>
            <w:vAlign w:val="center"/>
          </w:tcPr>
          <w:p w14:paraId="62F16331">
            <w:pPr>
              <w:spacing w:line="276" w:lineRule="auto"/>
              <w:ind w:firstLine="0" w:firstLineChars="0"/>
              <w:jc w:val="center"/>
              <w:rPr>
                <w:sz w:val="21"/>
                <w:szCs w:val="21"/>
              </w:rPr>
            </w:pPr>
            <w:r>
              <w:rPr>
                <w:rFonts w:hint="eastAsia"/>
                <w:sz w:val="21"/>
                <w:szCs w:val="21"/>
              </w:rPr>
              <w:t>相符</w:t>
            </w:r>
          </w:p>
        </w:tc>
      </w:tr>
    </w:tbl>
    <w:p w14:paraId="389D50DB">
      <w:pPr>
        <w:ind w:firstLine="480"/>
      </w:pPr>
    </w:p>
    <w:p w14:paraId="0633B495">
      <w:pPr>
        <w:widowControl/>
        <w:spacing w:line="240" w:lineRule="auto"/>
        <w:ind w:firstLine="0" w:firstLineChars="0"/>
        <w:jc w:val="left"/>
        <w:rPr>
          <w:rFonts w:hint="eastAsia" w:hAnsi="宋体"/>
          <w:b/>
          <w:sz w:val="28"/>
        </w:rPr>
        <w:sectPr>
          <w:pgSz w:w="16838" w:h="11906" w:orient="landscape"/>
          <w:pgMar w:top="1800" w:right="1440" w:bottom="1800" w:left="1440" w:header="850" w:footer="850" w:gutter="0"/>
          <w:cols w:space="720" w:num="1"/>
          <w:docGrid w:type="lines" w:linePitch="326" w:charSpace="0"/>
        </w:sectPr>
      </w:pPr>
    </w:p>
    <w:p w14:paraId="08A37580">
      <w:pPr>
        <w:pStyle w:val="946"/>
      </w:pPr>
      <w:bookmarkStart w:id="209" w:name="_Toc205291372"/>
      <w:r>
        <w:rPr>
          <w:rFonts w:hint="eastAsia"/>
        </w:rPr>
        <w:t>现有工程生产工艺路线及生产规模</w:t>
      </w:r>
      <w:bookmarkEnd w:id="188"/>
      <w:bookmarkEnd w:id="189"/>
      <w:bookmarkEnd w:id="209"/>
    </w:p>
    <w:p w14:paraId="01DF59EA">
      <w:pPr>
        <w:pStyle w:val="138"/>
        <w:rPr>
          <w:rFonts w:hint="eastAsia"/>
        </w:rPr>
      </w:pPr>
      <w:r>
        <w:rPr>
          <w:rFonts w:hint="eastAsia"/>
        </w:rPr>
        <w:t>项目组成</w:t>
      </w:r>
    </w:p>
    <w:p w14:paraId="70891223">
      <w:pPr>
        <w:ind w:firstLine="480"/>
      </w:pPr>
      <w:bookmarkStart w:id="210" w:name="_Toc175155726"/>
      <w:bookmarkStart w:id="211" w:name="_Toc175154643"/>
      <w:r>
        <w:rPr>
          <w:rFonts w:hint="eastAsia"/>
        </w:rPr>
        <w:t>新疆金盛镁业有限公司厂内现有已建成生产装置包括一条</w:t>
      </w:r>
      <w:r>
        <w:t>5</w:t>
      </w:r>
      <w:r>
        <w:rPr>
          <w:rFonts w:hint="eastAsia"/>
        </w:rPr>
        <w:t>万</w:t>
      </w:r>
      <w:r>
        <w:t>t/a</w:t>
      </w:r>
      <w:r>
        <w:rPr>
          <w:rFonts w:hint="eastAsia"/>
        </w:rPr>
        <w:t>硅铁生产线；一条</w:t>
      </w:r>
      <w:r>
        <w:t>2.5</w:t>
      </w:r>
      <w:r>
        <w:rPr>
          <w:rFonts w:hint="eastAsia"/>
        </w:rPr>
        <w:t>万</w:t>
      </w:r>
      <w:r>
        <w:t xml:space="preserve">t/a </w:t>
      </w:r>
      <w:r>
        <w:rPr>
          <w:rFonts w:hint="eastAsia"/>
        </w:rPr>
        <w:t>镁及镁合金生产线及配套设施；一条</w:t>
      </w:r>
      <w:r>
        <w:t>30</w:t>
      </w:r>
      <w:r>
        <w:rPr>
          <w:rFonts w:hint="eastAsia"/>
        </w:rPr>
        <w:t>万</w:t>
      </w:r>
      <w:r>
        <w:t>t/a</w:t>
      </w:r>
      <w:r>
        <w:rPr>
          <w:rFonts w:hint="eastAsia"/>
        </w:rPr>
        <w:t>兰炭生产线；</w:t>
      </w:r>
      <w:r>
        <w:t>1</w:t>
      </w:r>
      <w:r>
        <w:rPr>
          <w:rFonts w:hint="eastAsia"/>
        </w:rPr>
        <w:t>条</w:t>
      </w:r>
      <w:r>
        <w:t>15</w:t>
      </w:r>
      <w:r>
        <w:rPr>
          <w:rFonts w:hint="eastAsia"/>
        </w:rPr>
        <w:t>万</w:t>
      </w:r>
      <w:r>
        <w:t>t/a</w:t>
      </w:r>
      <w:r>
        <w:rPr>
          <w:rFonts w:hint="eastAsia"/>
        </w:rPr>
        <w:t>兰炭烘干生产线及配套设施；</w:t>
      </w:r>
      <w:r>
        <w:t>4</w:t>
      </w:r>
      <w:r>
        <w:rPr>
          <w:rFonts w:hint="eastAsia"/>
        </w:rPr>
        <w:t>台直径</w:t>
      </w:r>
      <w:r>
        <w:t>3.6m</w:t>
      </w:r>
      <w:r>
        <w:rPr>
          <w:rFonts w:hint="eastAsia"/>
        </w:rPr>
        <w:t>的两段式煤气发生炉。</w:t>
      </w:r>
    </w:p>
    <w:p w14:paraId="5589C865">
      <w:pPr>
        <w:pStyle w:val="118"/>
        <w:tabs>
          <w:tab w:val="center" w:pos="6979"/>
        </w:tabs>
        <w:ind w:firstLine="360"/>
      </w:pPr>
      <w:r>
        <w:rPr>
          <w:rFonts w:hint="eastAsia"/>
        </w:rPr>
        <w:t>表</w:t>
      </w:r>
      <w:r>
        <w:t xml:space="preserve">2.2-1  </w:t>
      </w:r>
      <w:r>
        <w:rPr>
          <w:rFonts w:hint="eastAsia"/>
        </w:rPr>
        <w:t>项目组成表</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2224"/>
        <w:gridCol w:w="1427"/>
        <w:gridCol w:w="5176"/>
      </w:tblGrid>
      <w:tr w14:paraId="49F2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7" w:type="pct"/>
            <w:tcBorders>
              <w:top w:val="single" w:color="auto" w:sz="4" w:space="0"/>
              <w:left w:val="single" w:color="auto" w:sz="4" w:space="0"/>
              <w:bottom w:val="single" w:color="auto" w:sz="4" w:space="0"/>
              <w:right w:val="single" w:color="auto" w:sz="4" w:space="0"/>
            </w:tcBorders>
            <w:vAlign w:val="center"/>
          </w:tcPr>
          <w:p w14:paraId="21D9A907">
            <w:pPr>
              <w:pStyle w:val="133"/>
              <w:rPr>
                <w:b/>
                <w:bCs/>
              </w:rPr>
            </w:pPr>
            <w:r>
              <w:rPr>
                <w:rFonts w:hint="eastAsia"/>
                <w:b/>
                <w:bCs/>
              </w:rPr>
              <w:t>类别</w:t>
            </w:r>
          </w:p>
        </w:tc>
        <w:tc>
          <w:tcPr>
            <w:tcW w:w="1195" w:type="pct"/>
            <w:tcBorders>
              <w:top w:val="single" w:color="auto" w:sz="4" w:space="0"/>
              <w:left w:val="single" w:color="auto" w:sz="4" w:space="0"/>
              <w:bottom w:val="single" w:color="auto" w:sz="4" w:space="0"/>
              <w:right w:val="single" w:color="auto" w:sz="4" w:space="0"/>
            </w:tcBorders>
            <w:vAlign w:val="center"/>
          </w:tcPr>
          <w:p w14:paraId="36363F52">
            <w:pPr>
              <w:pStyle w:val="133"/>
              <w:rPr>
                <w:b/>
                <w:bCs/>
              </w:rPr>
            </w:pPr>
            <w:r>
              <w:rPr>
                <w:rFonts w:hint="eastAsia"/>
                <w:b/>
                <w:bCs/>
              </w:rPr>
              <w:t>项目组成</w:t>
            </w:r>
          </w:p>
        </w:tc>
        <w:tc>
          <w:tcPr>
            <w:tcW w:w="3548" w:type="pct"/>
            <w:gridSpan w:val="2"/>
            <w:tcBorders>
              <w:top w:val="single" w:color="auto" w:sz="4" w:space="0"/>
              <w:left w:val="single" w:color="auto" w:sz="4" w:space="0"/>
              <w:bottom w:val="single" w:color="auto" w:sz="4" w:space="0"/>
              <w:right w:val="single" w:color="auto" w:sz="4" w:space="0"/>
            </w:tcBorders>
            <w:vAlign w:val="center"/>
          </w:tcPr>
          <w:p w14:paraId="5A27F518">
            <w:pPr>
              <w:pStyle w:val="133"/>
              <w:rPr>
                <w:b/>
                <w:bCs/>
              </w:rPr>
            </w:pPr>
            <w:r>
              <w:rPr>
                <w:rFonts w:hint="eastAsia"/>
                <w:b/>
                <w:bCs/>
              </w:rPr>
              <w:t>实际建设内容</w:t>
            </w:r>
          </w:p>
        </w:tc>
      </w:tr>
      <w:tr w14:paraId="1858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57" w:type="pct"/>
            <w:vMerge w:val="restart"/>
            <w:tcBorders>
              <w:top w:val="single" w:color="auto" w:sz="4" w:space="0"/>
              <w:left w:val="single" w:color="auto" w:sz="4" w:space="0"/>
              <w:bottom w:val="single" w:color="auto" w:sz="4" w:space="0"/>
              <w:right w:val="single" w:color="auto" w:sz="4" w:space="0"/>
            </w:tcBorders>
            <w:vAlign w:val="center"/>
          </w:tcPr>
          <w:p w14:paraId="76E8D3DE">
            <w:pPr>
              <w:pStyle w:val="133"/>
            </w:pPr>
            <w:r>
              <w:rPr>
                <w:rFonts w:hint="eastAsia"/>
              </w:rPr>
              <w:t>主体工程</w:t>
            </w:r>
          </w:p>
        </w:tc>
        <w:tc>
          <w:tcPr>
            <w:tcW w:w="1195" w:type="pct"/>
            <w:tcBorders>
              <w:top w:val="single" w:color="auto" w:sz="4" w:space="0"/>
              <w:left w:val="single" w:color="auto" w:sz="4" w:space="0"/>
              <w:bottom w:val="single" w:color="auto" w:sz="4" w:space="0"/>
              <w:right w:val="single" w:color="auto" w:sz="4" w:space="0"/>
            </w:tcBorders>
            <w:vAlign w:val="center"/>
          </w:tcPr>
          <w:p w14:paraId="5D14D54C">
            <w:pPr>
              <w:pStyle w:val="133"/>
            </w:pPr>
            <w:r>
              <w:rPr>
                <w:rFonts w:hint="eastAsia"/>
              </w:rPr>
              <w:t>镁及镁合金生产线</w:t>
            </w:r>
          </w:p>
        </w:tc>
        <w:tc>
          <w:tcPr>
            <w:tcW w:w="767" w:type="pct"/>
            <w:tcBorders>
              <w:top w:val="single" w:color="auto" w:sz="4" w:space="0"/>
              <w:left w:val="single" w:color="auto" w:sz="4" w:space="0"/>
              <w:bottom w:val="single" w:color="auto" w:sz="4" w:space="0"/>
              <w:right w:val="single" w:color="auto" w:sz="4" w:space="0"/>
            </w:tcBorders>
            <w:vAlign w:val="center"/>
          </w:tcPr>
          <w:p w14:paraId="0347A2F3">
            <w:pPr>
              <w:pStyle w:val="133"/>
            </w:pPr>
            <w:r>
              <w:rPr>
                <w:rFonts w:hint="eastAsia"/>
                <w:color w:val="000000"/>
              </w:rPr>
              <w:t>2.</w:t>
            </w:r>
            <w:r>
              <w:rPr>
                <w:color w:val="000000"/>
              </w:rPr>
              <w:t>5</w:t>
            </w:r>
            <w:r>
              <w:rPr>
                <w:rFonts w:hint="eastAsia"/>
                <w:color w:val="000000"/>
              </w:rPr>
              <w:t>万</w:t>
            </w:r>
            <w:r>
              <w:rPr>
                <w:color w:val="000000"/>
              </w:rPr>
              <w:t>t/a</w:t>
            </w:r>
          </w:p>
        </w:tc>
        <w:tc>
          <w:tcPr>
            <w:tcW w:w="2781" w:type="pct"/>
            <w:tcBorders>
              <w:top w:val="single" w:color="auto" w:sz="4" w:space="0"/>
              <w:left w:val="single" w:color="auto" w:sz="4" w:space="0"/>
              <w:bottom w:val="single" w:color="auto" w:sz="4" w:space="0"/>
              <w:right w:val="single" w:color="auto" w:sz="4" w:space="0"/>
            </w:tcBorders>
            <w:vAlign w:val="center"/>
          </w:tcPr>
          <w:p w14:paraId="6E42EBB0">
            <w:pPr>
              <w:pStyle w:val="133"/>
            </w:pPr>
            <w:r>
              <w:t>1条2.5万t/a镁及镁合金生产线</w:t>
            </w:r>
          </w:p>
        </w:tc>
      </w:tr>
      <w:tr w14:paraId="67C7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D090F05">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7F91E205">
            <w:pPr>
              <w:pStyle w:val="133"/>
            </w:pPr>
            <w:r>
              <w:rPr>
                <w:rFonts w:hint="eastAsia"/>
              </w:rPr>
              <w:t>硅铁生产线</w:t>
            </w:r>
          </w:p>
        </w:tc>
        <w:tc>
          <w:tcPr>
            <w:tcW w:w="767" w:type="pct"/>
            <w:tcBorders>
              <w:top w:val="single" w:color="auto" w:sz="4" w:space="0"/>
              <w:left w:val="single" w:color="auto" w:sz="4" w:space="0"/>
              <w:bottom w:val="single" w:color="auto" w:sz="4" w:space="0"/>
              <w:right w:val="single" w:color="auto" w:sz="4" w:space="0"/>
            </w:tcBorders>
            <w:vAlign w:val="center"/>
          </w:tcPr>
          <w:p w14:paraId="1A98C44B">
            <w:pPr>
              <w:pStyle w:val="133"/>
            </w:pPr>
            <w:r>
              <w:t>5</w:t>
            </w:r>
            <w:r>
              <w:rPr>
                <w:rFonts w:hint="eastAsia"/>
              </w:rPr>
              <w:t>万</w:t>
            </w:r>
            <w:r>
              <w:t>t/a</w:t>
            </w:r>
          </w:p>
        </w:tc>
        <w:tc>
          <w:tcPr>
            <w:tcW w:w="2781" w:type="pct"/>
            <w:tcBorders>
              <w:top w:val="single" w:color="auto" w:sz="4" w:space="0"/>
              <w:left w:val="single" w:color="auto" w:sz="4" w:space="0"/>
              <w:bottom w:val="single" w:color="auto" w:sz="4" w:space="0"/>
              <w:right w:val="single" w:color="auto" w:sz="4" w:space="0"/>
            </w:tcBorders>
            <w:vAlign w:val="center"/>
          </w:tcPr>
          <w:p w14:paraId="71AF2911">
            <w:pPr>
              <w:pStyle w:val="133"/>
            </w:pPr>
            <w:r>
              <w:t>1条5万t/a硅铁生产线</w:t>
            </w:r>
          </w:p>
        </w:tc>
      </w:tr>
      <w:tr w14:paraId="7694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56FF4C9">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130EA6FA">
            <w:pPr>
              <w:pStyle w:val="133"/>
            </w:pPr>
            <w:r>
              <w:rPr>
                <w:rFonts w:hint="eastAsia"/>
              </w:rPr>
              <w:t>兰炭生产线</w:t>
            </w:r>
          </w:p>
        </w:tc>
        <w:tc>
          <w:tcPr>
            <w:tcW w:w="767" w:type="pct"/>
            <w:tcBorders>
              <w:top w:val="single" w:color="auto" w:sz="4" w:space="0"/>
              <w:left w:val="single" w:color="auto" w:sz="4" w:space="0"/>
              <w:bottom w:val="single" w:color="auto" w:sz="4" w:space="0"/>
              <w:right w:val="single" w:color="auto" w:sz="4" w:space="0"/>
            </w:tcBorders>
            <w:vAlign w:val="center"/>
          </w:tcPr>
          <w:p w14:paraId="34288423">
            <w:pPr>
              <w:pStyle w:val="133"/>
            </w:pPr>
            <w:r>
              <w:t>30</w:t>
            </w:r>
            <w:r>
              <w:rPr>
                <w:rFonts w:hint="eastAsia"/>
              </w:rPr>
              <w:t>万</w:t>
            </w:r>
            <w:r>
              <w:t>t/a</w:t>
            </w:r>
          </w:p>
        </w:tc>
        <w:tc>
          <w:tcPr>
            <w:tcW w:w="2781" w:type="pct"/>
            <w:tcBorders>
              <w:top w:val="single" w:color="auto" w:sz="4" w:space="0"/>
              <w:left w:val="single" w:color="auto" w:sz="4" w:space="0"/>
              <w:bottom w:val="single" w:color="auto" w:sz="4" w:space="0"/>
              <w:right w:val="single" w:color="auto" w:sz="4" w:space="0"/>
            </w:tcBorders>
            <w:vAlign w:val="center"/>
          </w:tcPr>
          <w:p w14:paraId="1161F8DA">
            <w:pPr>
              <w:pStyle w:val="133"/>
              <w:rPr>
                <w:highlight w:val="yellow"/>
              </w:rPr>
            </w:pPr>
            <w:r>
              <w:t>1条30万t/a兰炭生产线</w:t>
            </w:r>
          </w:p>
        </w:tc>
      </w:tr>
      <w:tr w14:paraId="4AA6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8B0751F">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648A0532">
            <w:pPr>
              <w:pStyle w:val="133"/>
              <w:rPr>
                <w:highlight w:val="yellow"/>
              </w:rPr>
            </w:pPr>
            <w:r>
              <w:rPr>
                <w:rFonts w:hint="eastAsia"/>
              </w:rPr>
              <w:t>两段式煤气发生炉</w:t>
            </w:r>
          </w:p>
        </w:tc>
        <w:tc>
          <w:tcPr>
            <w:tcW w:w="767" w:type="pct"/>
            <w:tcBorders>
              <w:top w:val="single" w:color="auto" w:sz="4" w:space="0"/>
              <w:left w:val="single" w:color="auto" w:sz="4" w:space="0"/>
              <w:bottom w:val="single" w:color="auto" w:sz="4" w:space="0"/>
              <w:right w:val="single" w:color="auto" w:sz="4" w:space="0"/>
            </w:tcBorders>
            <w:vAlign w:val="center"/>
          </w:tcPr>
          <w:p w14:paraId="1DF62E53">
            <w:pPr>
              <w:pStyle w:val="133"/>
              <w:rPr>
                <w:highlight w:val="yellow"/>
              </w:rPr>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085BF3DB">
            <w:pPr>
              <w:pStyle w:val="133"/>
            </w:pPr>
            <w:r>
              <w:t>4</w:t>
            </w:r>
            <w:r>
              <w:rPr>
                <w:rFonts w:hint="eastAsia"/>
              </w:rPr>
              <w:t>台直径</w:t>
            </w:r>
            <w:r>
              <w:t>3.6m</w:t>
            </w:r>
            <w:r>
              <w:rPr>
                <w:rFonts w:hint="eastAsia"/>
              </w:rPr>
              <w:t>两段式煤气发生炉</w:t>
            </w:r>
          </w:p>
        </w:tc>
      </w:tr>
      <w:tr w14:paraId="1D2E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020F03">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3006EAB7">
            <w:pPr>
              <w:pStyle w:val="133"/>
            </w:pPr>
            <w:r>
              <w:rPr>
                <w:rFonts w:hint="eastAsia"/>
              </w:rPr>
              <w:t>兰炭烘干生产线</w:t>
            </w:r>
          </w:p>
        </w:tc>
        <w:tc>
          <w:tcPr>
            <w:tcW w:w="767" w:type="pct"/>
            <w:tcBorders>
              <w:top w:val="single" w:color="auto" w:sz="4" w:space="0"/>
              <w:left w:val="single" w:color="auto" w:sz="4" w:space="0"/>
              <w:bottom w:val="single" w:color="auto" w:sz="4" w:space="0"/>
              <w:right w:val="single" w:color="auto" w:sz="4" w:space="0"/>
            </w:tcBorders>
            <w:vAlign w:val="center"/>
          </w:tcPr>
          <w:p w14:paraId="14673571">
            <w:pPr>
              <w:pStyle w:val="133"/>
            </w:pPr>
            <w:r>
              <w:t>15</w:t>
            </w:r>
            <w:r>
              <w:rPr>
                <w:rFonts w:hint="eastAsia"/>
              </w:rPr>
              <w:t>万</w:t>
            </w:r>
            <w:r>
              <w:t>t/a</w:t>
            </w:r>
          </w:p>
        </w:tc>
        <w:tc>
          <w:tcPr>
            <w:tcW w:w="2781" w:type="pct"/>
            <w:tcBorders>
              <w:top w:val="single" w:color="auto" w:sz="4" w:space="0"/>
              <w:left w:val="single" w:color="auto" w:sz="4" w:space="0"/>
              <w:bottom w:val="single" w:color="auto" w:sz="4" w:space="0"/>
              <w:right w:val="single" w:color="auto" w:sz="4" w:space="0"/>
            </w:tcBorders>
            <w:vAlign w:val="center"/>
          </w:tcPr>
          <w:p w14:paraId="5679E40D">
            <w:pPr>
              <w:pStyle w:val="133"/>
              <w:rPr>
                <w:highlight w:val="yellow"/>
              </w:rPr>
            </w:pPr>
            <w:r>
              <w:rPr>
                <w:rFonts w:hint="eastAsia"/>
              </w:rPr>
              <w:t>一条</w:t>
            </w:r>
            <w:r>
              <w:t>15</w:t>
            </w:r>
            <w:r>
              <w:rPr>
                <w:rFonts w:hint="eastAsia"/>
              </w:rPr>
              <w:t>万</w:t>
            </w:r>
            <w:r>
              <w:t>t/a</w:t>
            </w:r>
            <w:r>
              <w:rPr>
                <w:rFonts w:hint="eastAsia"/>
              </w:rPr>
              <w:t>兰炭烘干破碎生产线</w:t>
            </w:r>
          </w:p>
        </w:tc>
      </w:tr>
      <w:tr w14:paraId="4D4C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restart"/>
            <w:tcBorders>
              <w:top w:val="single" w:color="auto" w:sz="4" w:space="0"/>
              <w:left w:val="single" w:color="auto" w:sz="4" w:space="0"/>
              <w:bottom w:val="single" w:color="auto" w:sz="4" w:space="0"/>
              <w:right w:val="single" w:color="auto" w:sz="4" w:space="0"/>
            </w:tcBorders>
            <w:vAlign w:val="center"/>
          </w:tcPr>
          <w:p w14:paraId="2128C21B">
            <w:pPr>
              <w:pStyle w:val="133"/>
            </w:pPr>
            <w:r>
              <w:rPr>
                <w:rFonts w:hint="eastAsia"/>
              </w:rPr>
              <w:t>辅助工程</w:t>
            </w:r>
          </w:p>
        </w:tc>
        <w:tc>
          <w:tcPr>
            <w:tcW w:w="1195" w:type="pct"/>
            <w:tcBorders>
              <w:top w:val="single" w:color="auto" w:sz="4" w:space="0"/>
              <w:left w:val="single" w:color="auto" w:sz="4" w:space="0"/>
              <w:bottom w:val="single" w:color="auto" w:sz="4" w:space="0"/>
              <w:right w:val="single" w:color="auto" w:sz="4" w:space="0"/>
            </w:tcBorders>
            <w:vAlign w:val="center"/>
          </w:tcPr>
          <w:p w14:paraId="33AB56A8">
            <w:pPr>
              <w:pStyle w:val="133"/>
            </w:pPr>
            <w:r>
              <w:rPr>
                <w:rFonts w:hint="eastAsia"/>
              </w:rPr>
              <w:t>燃煤循环流化床锅炉</w:t>
            </w:r>
          </w:p>
        </w:tc>
        <w:tc>
          <w:tcPr>
            <w:tcW w:w="767" w:type="pct"/>
            <w:tcBorders>
              <w:top w:val="single" w:color="auto" w:sz="4" w:space="0"/>
              <w:left w:val="single" w:color="auto" w:sz="4" w:space="0"/>
              <w:bottom w:val="single" w:color="auto" w:sz="4" w:space="0"/>
              <w:right w:val="single" w:color="auto" w:sz="4" w:space="0"/>
            </w:tcBorders>
            <w:vAlign w:val="center"/>
          </w:tcPr>
          <w:p w14:paraId="4F28447F">
            <w:pPr>
              <w:pStyle w:val="133"/>
            </w:pPr>
            <w:r>
              <w:t>45t/h</w:t>
            </w:r>
          </w:p>
        </w:tc>
        <w:tc>
          <w:tcPr>
            <w:tcW w:w="2781" w:type="pct"/>
            <w:tcBorders>
              <w:top w:val="single" w:color="auto" w:sz="4" w:space="0"/>
              <w:left w:val="single" w:color="auto" w:sz="4" w:space="0"/>
              <w:bottom w:val="single" w:color="auto" w:sz="4" w:space="0"/>
              <w:right w:val="single" w:color="auto" w:sz="4" w:space="0"/>
            </w:tcBorders>
            <w:vAlign w:val="center"/>
          </w:tcPr>
          <w:p w14:paraId="56D89154">
            <w:pPr>
              <w:pStyle w:val="133"/>
            </w:pPr>
            <w:r>
              <w:t>3</w:t>
            </w:r>
            <w:r>
              <w:rPr>
                <w:rFonts w:hint="eastAsia"/>
              </w:rPr>
              <w:t>台</w:t>
            </w:r>
            <w:r>
              <w:t>15t/h</w:t>
            </w:r>
            <w:r>
              <w:rPr>
                <w:rFonts w:hint="eastAsia"/>
              </w:rPr>
              <w:t>燃煤循环流化床锅炉</w:t>
            </w:r>
          </w:p>
        </w:tc>
      </w:tr>
      <w:tr w14:paraId="513D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F143AF0">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46260CE9">
            <w:pPr>
              <w:pStyle w:val="133"/>
            </w:pPr>
            <w:r>
              <w:rPr>
                <w:rFonts w:hint="eastAsia"/>
              </w:rPr>
              <w:t>燃气蒸汽锅炉</w:t>
            </w:r>
          </w:p>
        </w:tc>
        <w:tc>
          <w:tcPr>
            <w:tcW w:w="767" w:type="pct"/>
            <w:tcBorders>
              <w:top w:val="single" w:color="auto" w:sz="4" w:space="0"/>
              <w:left w:val="single" w:color="auto" w:sz="4" w:space="0"/>
              <w:bottom w:val="single" w:color="auto" w:sz="4" w:space="0"/>
              <w:right w:val="single" w:color="auto" w:sz="4" w:space="0"/>
            </w:tcBorders>
            <w:vAlign w:val="center"/>
          </w:tcPr>
          <w:p w14:paraId="3CCA2D12">
            <w:pPr>
              <w:pStyle w:val="133"/>
            </w:pPr>
            <w:r>
              <w:t>20t/h</w:t>
            </w:r>
          </w:p>
        </w:tc>
        <w:tc>
          <w:tcPr>
            <w:tcW w:w="2781" w:type="pct"/>
            <w:tcBorders>
              <w:top w:val="single" w:color="auto" w:sz="4" w:space="0"/>
              <w:left w:val="single" w:color="auto" w:sz="4" w:space="0"/>
              <w:bottom w:val="single" w:color="auto" w:sz="4" w:space="0"/>
              <w:right w:val="single" w:color="auto" w:sz="4" w:space="0"/>
            </w:tcBorders>
            <w:vAlign w:val="center"/>
          </w:tcPr>
          <w:p w14:paraId="332FF0FE">
            <w:pPr>
              <w:pStyle w:val="133"/>
            </w:pPr>
            <w:r>
              <w:t>1</w:t>
            </w:r>
            <w:r>
              <w:rPr>
                <w:rFonts w:hint="eastAsia"/>
              </w:rPr>
              <w:t>台</w:t>
            </w:r>
            <w:r>
              <w:t>20t/h</w:t>
            </w:r>
            <w:r>
              <w:rPr>
                <w:rFonts w:hint="eastAsia"/>
              </w:rPr>
              <w:t>燃气蒸汽锅炉</w:t>
            </w:r>
          </w:p>
        </w:tc>
      </w:tr>
      <w:tr w14:paraId="12D4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FC96017">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5B780DEC">
            <w:pPr>
              <w:pStyle w:val="133"/>
            </w:pPr>
            <w:r>
              <w:rPr>
                <w:rFonts w:hint="eastAsia"/>
              </w:rPr>
              <w:t>废水焚烧炉</w:t>
            </w:r>
          </w:p>
        </w:tc>
        <w:tc>
          <w:tcPr>
            <w:tcW w:w="767" w:type="pct"/>
            <w:tcBorders>
              <w:top w:val="single" w:color="auto" w:sz="4" w:space="0"/>
              <w:left w:val="single" w:color="auto" w:sz="4" w:space="0"/>
              <w:bottom w:val="single" w:color="auto" w:sz="4" w:space="0"/>
              <w:right w:val="single" w:color="auto" w:sz="4" w:space="0"/>
            </w:tcBorders>
            <w:vAlign w:val="center"/>
          </w:tcPr>
          <w:p w14:paraId="27BB0016">
            <w:pPr>
              <w:pStyle w:val="133"/>
            </w:pPr>
            <w:r>
              <w:t>5t/h</w:t>
            </w:r>
          </w:p>
        </w:tc>
        <w:tc>
          <w:tcPr>
            <w:tcW w:w="2781" w:type="pct"/>
            <w:tcBorders>
              <w:top w:val="single" w:color="auto" w:sz="4" w:space="0"/>
              <w:left w:val="single" w:color="auto" w:sz="4" w:space="0"/>
              <w:bottom w:val="single" w:color="auto" w:sz="4" w:space="0"/>
              <w:right w:val="single" w:color="auto" w:sz="4" w:space="0"/>
            </w:tcBorders>
            <w:vAlign w:val="center"/>
          </w:tcPr>
          <w:p w14:paraId="4BFF0E4E">
            <w:pPr>
              <w:pStyle w:val="133"/>
            </w:pPr>
            <w:r>
              <w:rPr>
                <w:rFonts w:hint="eastAsia"/>
              </w:rPr>
              <w:t>一台</w:t>
            </w:r>
            <w:r>
              <w:t>5t/h</w:t>
            </w:r>
            <w:r>
              <w:rPr>
                <w:rFonts w:hint="eastAsia"/>
              </w:rPr>
              <w:t>兰炭废水焚烧炉</w:t>
            </w:r>
          </w:p>
        </w:tc>
      </w:tr>
      <w:tr w14:paraId="5467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0A4A073">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46AC0117">
            <w:pPr>
              <w:pStyle w:val="133"/>
            </w:pPr>
            <w:r>
              <w:rPr>
                <w:rFonts w:hint="eastAsia"/>
              </w:rPr>
              <w:t>余热蒸汽锅炉</w:t>
            </w:r>
          </w:p>
        </w:tc>
        <w:tc>
          <w:tcPr>
            <w:tcW w:w="767" w:type="pct"/>
            <w:tcBorders>
              <w:top w:val="single" w:color="auto" w:sz="4" w:space="0"/>
              <w:left w:val="single" w:color="auto" w:sz="4" w:space="0"/>
              <w:bottom w:val="single" w:color="auto" w:sz="4" w:space="0"/>
              <w:right w:val="single" w:color="auto" w:sz="4" w:space="0"/>
            </w:tcBorders>
            <w:vAlign w:val="center"/>
          </w:tcPr>
          <w:p w14:paraId="4FB2BABA">
            <w:pPr>
              <w:pStyle w:val="133"/>
            </w:pPr>
            <w:r>
              <w:t>5t/h</w:t>
            </w:r>
          </w:p>
        </w:tc>
        <w:tc>
          <w:tcPr>
            <w:tcW w:w="2781" w:type="pct"/>
            <w:tcBorders>
              <w:top w:val="single" w:color="auto" w:sz="4" w:space="0"/>
              <w:left w:val="single" w:color="auto" w:sz="4" w:space="0"/>
              <w:bottom w:val="single" w:color="auto" w:sz="4" w:space="0"/>
              <w:right w:val="single" w:color="auto" w:sz="4" w:space="0"/>
            </w:tcBorders>
            <w:vAlign w:val="center"/>
          </w:tcPr>
          <w:p w14:paraId="16B2620A">
            <w:pPr>
              <w:pStyle w:val="133"/>
            </w:pPr>
            <w:r>
              <w:rPr>
                <w:rFonts w:hint="eastAsia"/>
              </w:rPr>
              <w:t>设一台</w:t>
            </w:r>
            <w:r>
              <w:t>5t/h</w:t>
            </w:r>
            <w:r>
              <w:rPr>
                <w:rFonts w:hint="eastAsia"/>
              </w:rPr>
              <w:t>余热蒸汽锅炉</w:t>
            </w:r>
          </w:p>
        </w:tc>
      </w:tr>
      <w:tr w14:paraId="4C89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E6324C">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0A2459E4">
            <w:pPr>
              <w:pStyle w:val="133"/>
            </w:pPr>
            <w:r>
              <w:rPr>
                <w:rFonts w:hint="eastAsia"/>
              </w:rPr>
              <w:t>冷却循环水系统</w:t>
            </w:r>
          </w:p>
        </w:tc>
        <w:tc>
          <w:tcPr>
            <w:tcW w:w="767" w:type="pct"/>
            <w:tcBorders>
              <w:top w:val="single" w:color="auto" w:sz="4" w:space="0"/>
              <w:left w:val="single" w:color="auto" w:sz="4" w:space="0"/>
              <w:bottom w:val="single" w:color="auto" w:sz="4" w:space="0"/>
              <w:right w:val="single" w:color="auto" w:sz="4" w:space="0"/>
            </w:tcBorders>
            <w:vAlign w:val="center"/>
          </w:tcPr>
          <w:p w14:paraId="2F992FDC">
            <w:pPr>
              <w:pStyle w:val="133"/>
            </w:pPr>
            <w:r>
              <w:t>4739.6m³/h</w:t>
            </w:r>
          </w:p>
        </w:tc>
        <w:tc>
          <w:tcPr>
            <w:tcW w:w="2781" w:type="pct"/>
            <w:tcBorders>
              <w:top w:val="single" w:color="auto" w:sz="4" w:space="0"/>
              <w:left w:val="single" w:color="auto" w:sz="4" w:space="0"/>
              <w:bottom w:val="single" w:color="auto" w:sz="4" w:space="0"/>
              <w:right w:val="single" w:color="auto" w:sz="4" w:space="0"/>
            </w:tcBorders>
            <w:vAlign w:val="center"/>
          </w:tcPr>
          <w:p w14:paraId="22CDCEF5">
            <w:pPr>
              <w:pStyle w:val="133"/>
            </w:pPr>
            <w:r>
              <w:t>6</w:t>
            </w:r>
            <w:r>
              <w:rPr>
                <w:rFonts w:hint="eastAsia"/>
              </w:rPr>
              <w:t>套冷却循环水系统</w:t>
            </w:r>
          </w:p>
        </w:tc>
      </w:tr>
      <w:tr w14:paraId="30856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DD3C2CC">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4FE4E067">
            <w:pPr>
              <w:pStyle w:val="133"/>
            </w:pPr>
            <w:r>
              <w:rPr>
                <w:rFonts w:hint="eastAsia"/>
              </w:rPr>
              <w:t>空压站</w:t>
            </w:r>
          </w:p>
        </w:tc>
        <w:tc>
          <w:tcPr>
            <w:tcW w:w="767" w:type="pct"/>
            <w:tcBorders>
              <w:top w:val="single" w:color="auto" w:sz="4" w:space="0"/>
              <w:left w:val="single" w:color="auto" w:sz="4" w:space="0"/>
              <w:bottom w:val="single" w:color="auto" w:sz="4" w:space="0"/>
              <w:right w:val="single" w:color="auto" w:sz="4" w:space="0"/>
            </w:tcBorders>
            <w:vAlign w:val="center"/>
          </w:tcPr>
          <w:p w14:paraId="1A81B686">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7D43E3C1">
            <w:pPr>
              <w:pStyle w:val="133"/>
            </w:pPr>
            <w:r>
              <w:t>1</w:t>
            </w:r>
            <w:r>
              <w:rPr>
                <w:rFonts w:hint="eastAsia"/>
              </w:rPr>
              <w:t>座空压站</w:t>
            </w:r>
          </w:p>
        </w:tc>
      </w:tr>
      <w:tr w14:paraId="2FE9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81A8DEF">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7DC3B3A1">
            <w:pPr>
              <w:pStyle w:val="133"/>
            </w:pPr>
            <w:r>
              <w:rPr>
                <w:rFonts w:hint="eastAsia"/>
              </w:rPr>
              <w:t>机修车间</w:t>
            </w:r>
          </w:p>
        </w:tc>
        <w:tc>
          <w:tcPr>
            <w:tcW w:w="767" w:type="pct"/>
            <w:tcBorders>
              <w:top w:val="single" w:color="auto" w:sz="4" w:space="0"/>
              <w:left w:val="single" w:color="auto" w:sz="4" w:space="0"/>
              <w:bottom w:val="single" w:color="auto" w:sz="4" w:space="0"/>
              <w:right w:val="single" w:color="auto" w:sz="4" w:space="0"/>
            </w:tcBorders>
            <w:vAlign w:val="center"/>
          </w:tcPr>
          <w:p w14:paraId="57CF3554">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433DAB83">
            <w:pPr>
              <w:pStyle w:val="133"/>
            </w:pPr>
            <w:r>
              <w:t>1</w:t>
            </w:r>
            <w:r>
              <w:rPr>
                <w:rFonts w:hint="eastAsia"/>
              </w:rPr>
              <w:t>座机修车间</w:t>
            </w:r>
          </w:p>
        </w:tc>
      </w:tr>
      <w:tr w14:paraId="04E7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DA5B8DA">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49B15A90">
            <w:pPr>
              <w:pStyle w:val="133"/>
            </w:pPr>
            <w:r>
              <w:rPr>
                <w:rFonts w:hint="eastAsia"/>
              </w:rPr>
              <w:t>办公生活区</w:t>
            </w:r>
          </w:p>
        </w:tc>
        <w:tc>
          <w:tcPr>
            <w:tcW w:w="767" w:type="pct"/>
            <w:tcBorders>
              <w:top w:val="single" w:color="auto" w:sz="4" w:space="0"/>
              <w:left w:val="single" w:color="auto" w:sz="4" w:space="0"/>
              <w:bottom w:val="single" w:color="auto" w:sz="4" w:space="0"/>
              <w:right w:val="single" w:color="auto" w:sz="4" w:space="0"/>
            </w:tcBorders>
            <w:vAlign w:val="center"/>
          </w:tcPr>
          <w:p w14:paraId="33EC1836">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0369978D">
            <w:pPr>
              <w:pStyle w:val="133"/>
            </w:pPr>
            <w:r>
              <w:t>1</w:t>
            </w:r>
            <w:r>
              <w:rPr>
                <w:rFonts w:hint="eastAsia"/>
              </w:rPr>
              <w:t>座办公楼，面积</w:t>
            </w:r>
            <w:r>
              <w:t>2000m</w:t>
            </w:r>
            <w:r>
              <w:rPr>
                <w:vertAlign w:val="superscript"/>
              </w:rPr>
              <w:t>2</w:t>
            </w:r>
            <w:r>
              <w:rPr>
                <w:rFonts w:hint="eastAsia"/>
              </w:rPr>
              <w:t>；</w:t>
            </w:r>
            <w:r>
              <w:t>1</w:t>
            </w:r>
            <w:r>
              <w:rPr>
                <w:rFonts w:hint="eastAsia"/>
              </w:rPr>
              <w:t>座</w:t>
            </w:r>
            <w:r>
              <w:t>5</w:t>
            </w:r>
            <w:r>
              <w:rPr>
                <w:rFonts w:hint="eastAsia"/>
              </w:rPr>
              <w:t>层宿舍，面积</w:t>
            </w:r>
            <w:r>
              <w:t>4564m</w:t>
            </w:r>
            <w:r>
              <w:rPr>
                <w:vertAlign w:val="superscript"/>
              </w:rPr>
              <w:t>2</w:t>
            </w:r>
            <w:r>
              <w:rPr>
                <w:rFonts w:hint="eastAsia"/>
              </w:rPr>
              <w:t>；</w:t>
            </w:r>
            <w:r>
              <w:t>1</w:t>
            </w:r>
            <w:r>
              <w:rPr>
                <w:rFonts w:hint="eastAsia"/>
              </w:rPr>
              <w:t>座汉民餐厅，面积</w:t>
            </w:r>
            <w:r>
              <w:t>5362m</w:t>
            </w:r>
            <w:r>
              <w:rPr>
                <w:vertAlign w:val="superscript"/>
              </w:rPr>
              <w:t>2</w:t>
            </w:r>
            <w:r>
              <w:rPr>
                <w:rFonts w:hint="eastAsia"/>
              </w:rPr>
              <w:t>；</w:t>
            </w:r>
            <w:r>
              <w:t>1</w:t>
            </w:r>
            <w:r>
              <w:rPr>
                <w:rFonts w:hint="eastAsia"/>
              </w:rPr>
              <w:t>座回民餐厅，面积</w:t>
            </w:r>
            <w:r>
              <w:t>1200m</w:t>
            </w:r>
            <w:r>
              <w:rPr>
                <w:vertAlign w:val="superscript"/>
              </w:rPr>
              <w:t>2</w:t>
            </w:r>
            <w:r>
              <w:rPr>
                <w:rFonts w:hint="eastAsia"/>
              </w:rPr>
              <w:t>；</w:t>
            </w:r>
            <w:r>
              <w:t>1</w:t>
            </w:r>
            <w:r>
              <w:rPr>
                <w:rFonts w:hint="eastAsia"/>
              </w:rPr>
              <w:t>座浴室，面积</w:t>
            </w:r>
            <w:r>
              <w:t>600m</w:t>
            </w:r>
            <w:r>
              <w:rPr>
                <w:vertAlign w:val="superscript"/>
              </w:rPr>
              <w:t>2</w:t>
            </w:r>
            <w:r>
              <w:t>.</w:t>
            </w:r>
          </w:p>
        </w:tc>
      </w:tr>
      <w:tr w14:paraId="383D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57" w:type="pct"/>
            <w:vMerge w:val="restart"/>
            <w:tcBorders>
              <w:top w:val="single" w:color="auto" w:sz="4" w:space="0"/>
              <w:left w:val="single" w:color="auto" w:sz="4" w:space="0"/>
              <w:bottom w:val="single" w:color="auto" w:sz="4" w:space="0"/>
              <w:right w:val="single" w:color="auto" w:sz="4" w:space="0"/>
            </w:tcBorders>
            <w:vAlign w:val="center"/>
          </w:tcPr>
          <w:p w14:paraId="49741EDE">
            <w:pPr>
              <w:pStyle w:val="133"/>
            </w:pPr>
            <w:r>
              <w:rPr>
                <w:rFonts w:hint="eastAsia"/>
              </w:rPr>
              <w:t>储运工程</w:t>
            </w:r>
          </w:p>
        </w:tc>
        <w:tc>
          <w:tcPr>
            <w:tcW w:w="1195" w:type="pct"/>
            <w:vMerge w:val="restart"/>
            <w:tcBorders>
              <w:top w:val="single" w:color="auto" w:sz="4" w:space="0"/>
              <w:left w:val="single" w:color="auto" w:sz="4" w:space="0"/>
              <w:bottom w:val="single" w:color="auto" w:sz="4" w:space="0"/>
              <w:right w:val="single" w:color="auto" w:sz="4" w:space="0"/>
            </w:tcBorders>
            <w:vAlign w:val="center"/>
          </w:tcPr>
          <w:p w14:paraId="06D1126E">
            <w:pPr>
              <w:pStyle w:val="133"/>
            </w:pPr>
            <w:r>
              <w:rPr>
                <w:rFonts w:hint="eastAsia"/>
              </w:rPr>
              <w:t>镁及镁合金生产线配套</w:t>
            </w:r>
          </w:p>
        </w:tc>
        <w:tc>
          <w:tcPr>
            <w:tcW w:w="767" w:type="pct"/>
            <w:tcBorders>
              <w:top w:val="single" w:color="auto" w:sz="4" w:space="0"/>
              <w:left w:val="single" w:color="auto" w:sz="4" w:space="0"/>
              <w:bottom w:val="single" w:color="auto" w:sz="4" w:space="0"/>
              <w:right w:val="single" w:color="auto" w:sz="4" w:space="0"/>
            </w:tcBorders>
            <w:vAlign w:val="center"/>
          </w:tcPr>
          <w:p w14:paraId="1DBCA908">
            <w:pPr>
              <w:pStyle w:val="133"/>
            </w:pPr>
            <w:r>
              <w:t>25000m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69AD4BAE">
            <w:pPr>
              <w:pStyle w:val="133"/>
            </w:pPr>
            <w:r>
              <w:t>1</w:t>
            </w:r>
            <w:r>
              <w:rPr>
                <w:rFonts w:hint="eastAsia"/>
              </w:rPr>
              <w:t>座</w:t>
            </w:r>
            <w:r>
              <w:t>25000 m</w:t>
            </w:r>
            <w:r>
              <w:rPr>
                <w:vertAlign w:val="superscript"/>
              </w:rPr>
              <w:t>2</w:t>
            </w:r>
            <w:r>
              <w:rPr>
                <w:rFonts w:hint="eastAsia"/>
              </w:rPr>
              <w:t>白云石堆场</w:t>
            </w:r>
          </w:p>
        </w:tc>
      </w:tr>
      <w:tr w14:paraId="793C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0C3BE62">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6B8554">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07E6A52F">
            <w:pPr>
              <w:pStyle w:val="133"/>
            </w:pPr>
            <w:r>
              <w:t>1600m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365BC25C">
            <w:pPr>
              <w:pStyle w:val="133"/>
            </w:pPr>
            <w:r>
              <w:t>1</w:t>
            </w:r>
            <w:r>
              <w:rPr>
                <w:rFonts w:hint="eastAsia"/>
              </w:rPr>
              <w:t>座</w:t>
            </w:r>
            <w:r>
              <w:t>1600 m</w:t>
            </w:r>
            <w:r>
              <w:rPr>
                <w:vertAlign w:val="superscript"/>
              </w:rPr>
              <w:t>2</w:t>
            </w:r>
            <w:r>
              <w:rPr>
                <w:rFonts w:hint="eastAsia"/>
              </w:rPr>
              <w:t>原料车间</w:t>
            </w:r>
          </w:p>
        </w:tc>
      </w:tr>
      <w:tr w14:paraId="3703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EA94E24">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277440">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54A3856E">
            <w:pPr>
              <w:pStyle w:val="133"/>
            </w:pPr>
            <w:r>
              <w:t>2100m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2042A00F">
            <w:pPr>
              <w:pStyle w:val="133"/>
            </w:pPr>
            <w:r>
              <w:t>1</w:t>
            </w:r>
            <w:r>
              <w:rPr>
                <w:rFonts w:hint="eastAsia"/>
              </w:rPr>
              <w:t>座</w:t>
            </w:r>
            <w:r>
              <w:t>2100 m</w:t>
            </w:r>
            <w:r>
              <w:rPr>
                <w:vertAlign w:val="superscript"/>
              </w:rPr>
              <w:t>2</w:t>
            </w:r>
            <w:r>
              <w:rPr>
                <w:rFonts w:hint="eastAsia"/>
              </w:rPr>
              <w:t>成品仓库</w:t>
            </w:r>
          </w:p>
        </w:tc>
      </w:tr>
      <w:tr w14:paraId="3914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E80A2AD">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7ED735A">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6B6F3FD9">
            <w:pPr>
              <w:pStyle w:val="133"/>
            </w:pPr>
            <w:r>
              <w:t>7500m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25F16749">
            <w:pPr>
              <w:pStyle w:val="133"/>
            </w:pPr>
            <w:r>
              <w:t>1</w:t>
            </w:r>
            <w:r>
              <w:rPr>
                <w:rFonts w:hint="eastAsia"/>
              </w:rPr>
              <w:t>座</w:t>
            </w:r>
            <w:r>
              <w:t>7500 m</w:t>
            </w:r>
            <w:r>
              <w:rPr>
                <w:vertAlign w:val="superscript"/>
              </w:rPr>
              <w:t>2</w:t>
            </w:r>
            <w:r>
              <w:rPr>
                <w:rFonts w:hint="eastAsia"/>
              </w:rPr>
              <w:t>废渣堆场</w:t>
            </w:r>
          </w:p>
        </w:tc>
      </w:tr>
      <w:tr w14:paraId="3731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279DE7">
            <w:pPr>
              <w:pStyle w:val="133"/>
            </w:pPr>
          </w:p>
        </w:tc>
        <w:tc>
          <w:tcPr>
            <w:tcW w:w="1195" w:type="pct"/>
            <w:vMerge w:val="restart"/>
            <w:tcBorders>
              <w:top w:val="single" w:color="auto" w:sz="4" w:space="0"/>
              <w:left w:val="single" w:color="auto" w:sz="4" w:space="0"/>
              <w:bottom w:val="single" w:color="auto" w:sz="4" w:space="0"/>
              <w:right w:val="single" w:color="auto" w:sz="4" w:space="0"/>
            </w:tcBorders>
            <w:vAlign w:val="center"/>
          </w:tcPr>
          <w:p w14:paraId="25E193A4">
            <w:pPr>
              <w:pStyle w:val="133"/>
            </w:pPr>
            <w:r>
              <w:rPr>
                <w:rFonts w:hint="eastAsia"/>
              </w:rPr>
              <w:t>硅铁生产线配套</w:t>
            </w:r>
          </w:p>
        </w:tc>
        <w:tc>
          <w:tcPr>
            <w:tcW w:w="767" w:type="pct"/>
            <w:tcBorders>
              <w:top w:val="single" w:color="auto" w:sz="4" w:space="0"/>
              <w:left w:val="single" w:color="auto" w:sz="4" w:space="0"/>
              <w:bottom w:val="single" w:color="auto" w:sz="4" w:space="0"/>
              <w:right w:val="single" w:color="auto" w:sz="4" w:space="0"/>
            </w:tcBorders>
            <w:vAlign w:val="center"/>
          </w:tcPr>
          <w:p w14:paraId="59E9C38F">
            <w:pPr>
              <w:pStyle w:val="133"/>
            </w:pPr>
            <w:r>
              <w:t>8300 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78001BA3">
            <w:pPr>
              <w:pStyle w:val="133"/>
            </w:pPr>
            <w:r>
              <w:t>1</w:t>
            </w:r>
            <w:r>
              <w:rPr>
                <w:rFonts w:hint="eastAsia"/>
              </w:rPr>
              <w:t>座</w:t>
            </w:r>
            <w:r>
              <w:t>8300 m</w:t>
            </w:r>
            <w:r>
              <w:rPr>
                <w:vertAlign w:val="superscript"/>
              </w:rPr>
              <w:t>2</w:t>
            </w:r>
            <w:r>
              <w:rPr>
                <w:rFonts w:hint="eastAsia"/>
              </w:rPr>
              <w:t>硅石原料场</w:t>
            </w:r>
          </w:p>
        </w:tc>
      </w:tr>
      <w:tr w14:paraId="1EF1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7D07C11">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4347D08">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3CAD6244">
            <w:pPr>
              <w:pStyle w:val="133"/>
            </w:pPr>
            <w:r>
              <w:t>5000 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629F93AE">
            <w:pPr>
              <w:pStyle w:val="133"/>
            </w:pPr>
            <w:r>
              <w:t>1</w:t>
            </w:r>
            <w:r>
              <w:rPr>
                <w:rFonts w:hint="eastAsia"/>
              </w:rPr>
              <w:t>座</w:t>
            </w:r>
            <w:r>
              <w:t>5000m</w:t>
            </w:r>
            <w:r>
              <w:rPr>
                <w:vertAlign w:val="superscript"/>
              </w:rPr>
              <w:t>2</w:t>
            </w:r>
            <w:r>
              <w:rPr>
                <w:rFonts w:hint="eastAsia"/>
              </w:rPr>
              <w:t>铁矿原料场</w:t>
            </w:r>
          </w:p>
        </w:tc>
      </w:tr>
      <w:tr w14:paraId="1615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794B9D">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568CB1">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6B604727">
            <w:pPr>
              <w:pStyle w:val="133"/>
            </w:pPr>
            <w:r>
              <w:t>2000 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67968FBD">
            <w:pPr>
              <w:pStyle w:val="133"/>
            </w:pPr>
            <w:r>
              <w:t>1</w:t>
            </w:r>
            <w:r>
              <w:rPr>
                <w:rFonts w:hint="eastAsia"/>
              </w:rPr>
              <w:t>座</w:t>
            </w:r>
            <w:r>
              <w:t>2000 m</w:t>
            </w:r>
            <w:r>
              <w:rPr>
                <w:vertAlign w:val="superscript"/>
              </w:rPr>
              <w:t>2</w:t>
            </w:r>
            <w:r>
              <w:rPr>
                <w:rFonts w:hint="eastAsia"/>
              </w:rPr>
              <w:t>成品堆场</w:t>
            </w:r>
          </w:p>
        </w:tc>
      </w:tr>
      <w:tr w14:paraId="13CAC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48B75FB">
            <w:pPr>
              <w:pStyle w:val="133"/>
            </w:pPr>
          </w:p>
        </w:tc>
        <w:tc>
          <w:tcPr>
            <w:tcW w:w="1195" w:type="pct"/>
            <w:vMerge w:val="restart"/>
            <w:tcBorders>
              <w:top w:val="single" w:color="auto" w:sz="4" w:space="0"/>
              <w:left w:val="single" w:color="auto" w:sz="4" w:space="0"/>
              <w:bottom w:val="single" w:color="auto" w:sz="4" w:space="0"/>
              <w:right w:val="single" w:color="auto" w:sz="4" w:space="0"/>
            </w:tcBorders>
            <w:vAlign w:val="center"/>
          </w:tcPr>
          <w:p w14:paraId="3539F939">
            <w:pPr>
              <w:pStyle w:val="133"/>
            </w:pPr>
            <w:r>
              <w:rPr>
                <w:rFonts w:hint="eastAsia"/>
              </w:rPr>
              <w:t>兰炭生产线煤气发生炉配套</w:t>
            </w:r>
          </w:p>
        </w:tc>
        <w:tc>
          <w:tcPr>
            <w:tcW w:w="767" w:type="pct"/>
            <w:tcBorders>
              <w:top w:val="single" w:color="auto" w:sz="4" w:space="0"/>
              <w:left w:val="single" w:color="auto" w:sz="4" w:space="0"/>
              <w:bottom w:val="single" w:color="auto" w:sz="4" w:space="0"/>
              <w:right w:val="single" w:color="auto" w:sz="4" w:space="0"/>
            </w:tcBorders>
            <w:vAlign w:val="center"/>
          </w:tcPr>
          <w:p w14:paraId="0C1ACDC9">
            <w:pPr>
              <w:pStyle w:val="133"/>
            </w:pPr>
            <w:r>
              <w:t>23200 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7B5555D5">
            <w:pPr>
              <w:pStyle w:val="133"/>
            </w:pPr>
            <w:r>
              <w:t>1</w:t>
            </w:r>
            <w:r>
              <w:rPr>
                <w:rFonts w:hint="eastAsia"/>
              </w:rPr>
              <w:t>座</w:t>
            </w:r>
            <w:r>
              <w:t>23200 m</w:t>
            </w:r>
            <w:r>
              <w:rPr>
                <w:vertAlign w:val="superscript"/>
              </w:rPr>
              <w:t>2</w:t>
            </w:r>
            <w:r>
              <w:rPr>
                <w:rFonts w:hint="eastAsia"/>
              </w:rPr>
              <w:t>储煤棚</w:t>
            </w:r>
          </w:p>
        </w:tc>
      </w:tr>
      <w:tr w14:paraId="4AA9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53FAB80">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A32910">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4C6B234D">
            <w:pPr>
              <w:pStyle w:val="133"/>
            </w:pPr>
            <w:r>
              <w:t>20000 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45362EAB">
            <w:pPr>
              <w:pStyle w:val="133"/>
            </w:pPr>
            <w:r>
              <w:t>1</w:t>
            </w:r>
            <w:r>
              <w:rPr>
                <w:rFonts w:hint="eastAsia"/>
              </w:rPr>
              <w:t>座</w:t>
            </w:r>
            <w:r>
              <w:t>20000 m</w:t>
            </w:r>
            <w:r>
              <w:rPr>
                <w:vertAlign w:val="superscript"/>
              </w:rPr>
              <w:t>2</w:t>
            </w:r>
            <w:r>
              <w:rPr>
                <w:rFonts w:hint="eastAsia"/>
              </w:rPr>
              <w:t>贮焦棚</w:t>
            </w:r>
          </w:p>
        </w:tc>
      </w:tr>
      <w:tr w14:paraId="7A6F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2EC736">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89D4766">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04C8D34C">
            <w:pPr>
              <w:pStyle w:val="133"/>
            </w:pPr>
            <w:r>
              <w:t>1000 m</w:t>
            </w:r>
            <w:r>
              <w:rPr>
                <w:vertAlign w:val="superscript"/>
              </w:rPr>
              <w:t>3</w:t>
            </w:r>
          </w:p>
        </w:tc>
        <w:tc>
          <w:tcPr>
            <w:tcW w:w="2781" w:type="pct"/>
            <w:tcBorders>
              <w:top w:val="single" w:color="auto" w:sz="4" w:space="0"/>
              <w:left w:val="single" w:color="auto" w:sz="4" w:space="0"/>
              <w:bottom w:val="single" w:color="auto" w:sz="4" w:space="0"/>
              <w:right w:val="single" w:color="auto" w:sz="4" w:space="0"/>
            </w:tcBorders>
            <w:vAlign w:val="center"/>
          </w:tcPr>
          <w:p w14:paraId="275EC9C7">
            <w:pPr>
              <w:pStyle w:val="133"/>
            </w:pPr>
            <w:r>
              <w:t>6</w:t>
            </w:r>
            <w:r>
              <w:rPr>
                <w:rFonts w:hint="eastAsia"/>
              </w:rPr>
              <w:t>个</w:t>
            </w:r>
            <w:r>
              <w:t>1000m</w:t>
            </w:r>
            <w:r>
              <w:rPr>
                <w:vertAlign w:val="superscript"/>
              </w:rPr>
              <w:t>3</w:t>
            </w:r>
            <w:r>
              <w:rPr>
                <w:rFonts w:hint="eastAsia"/>
              </w:rPr>
              <w:t>焦油储罐</w:t>
            </w:r>
          </w:p>
        </w:tc>
      </w:tr>
      <w:tr w14:paraId="4BE4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4E09118">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2B01BC">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4AEE7618">
            <w:pPr>
              <w:pStyle w:val="133"/>
            </w:pPr>
            <w:r>
              <w:t>10000m</w:t>
            </w:r>
            <w:r>
              <w:rPr>
                <w:vertAlign w:val="superscript"/>
              </w:rPr>
              <w:t>3</w:t>
            </w:r>
          </w:p>
        </w:tc>
        <w:tc>
          <w:tcPr>
            <w:tcW w:w="2781" w:type="pct"/>
            <w:tcBorders>
              <w:top w:val="single" w:color="auto" w:sz="4" w:space="0"/>
              <w:left w:val="single" w:color="auto" w:sz="4" w:space="0"/>
              <w:bottom w:val="single" w:color="auto" w:sz="4" w:space="0"/>
              <w:right w:val="single" w:color="auto" w:sz="4" w:space="0"/>
            </w:tcBorders>
            <w:vAlign w:val="center"/>
          </w:tcPr>
          <w:p w14:paraId="393546AB">
            <w:pPr>
              <w:pStyle w:val="133"/>
            </w:pPr>
            <w:r>
              <w:t>1</w:t>
            </w:r>
            <w:r>
              <w:rPr>
                <w:rFonts w:hint="eastAsia"/>
              </w:rPr>
              <w:t>座</w:t>
            </w:r>
            <w:r>
              <w:t>10000m</w:t>
            </w:r>
            <w:r>
              <w:rPr>
                <w:vertAlign w:val="superscript"/>
              </w:rPr>
              <w:t>3</w:t>
            </w:r>
            <w:r>
              <w:rPr>
                <w:rFonts w:hint="eastAsia"/>
              </w:rPr>
              <w:t>煤气储气柜</w:t>
            </w:r>
          </w:p>
        </w:tc>
      </w:tr>
      <w:tr w14:paraId="6B14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57" w:type="pct"/>
            <w:vMerge w:val="restart"/>
            <w:tcBorders>
              <w:top w:val="single" w:color="auto" w:sz="4" w:space="0"/>
              <w:left w:val="single" w:color="auto" w:sz="4" w:space="0"/>
              <w:bottom w:val="single" w:color="auto" w:sz="4" w:space="0"/>
              <w:right w:val="single" w:color="auto" w:sz="4" w:space="0"/>
            </w:tcBorders>
            <w:vAlign w:val="center"/>
          </w:tcPr>
          <w:p w14:paraId="268CC696">
            <w:pPr>
              <w:pStyle w:val="133"/>
            </w:pPr>
            <w:r>
              <w:rPr>
                <w:rFonts w:hint="eastAsia"/>
              </w:rPr>
              <w:t>公用工程</w:t>
            </w:r>
          </w:p>
        </w:tc>
        <w:tc>
          <w:tcPr>
            <w:tcW w:w="1195" w:type="pct"/>
            <w:tcBorders>
              <w:top w:val="single" w:color="auto" w:sz="4" w:space="0"/>
              <w:left w:val="single" w:color="auto" w:sz="4" w:space="0"/>
              <w:bottom w:val="single" w:color="auto" w:sz="4" w:space="0"/>
              <w:right w:val="single" w:color="auto" w:sz="4" w:space="0"/>
            </w:tcBorders>
            <w:vAlign w:val="center"/>
          </w:tcPr>
          <w:p w14:paraId="01AB2BA2">
            <w:pPr>
              <w:pStyle w:val="133"/>
            </w:pPr>
            <w:r>
              <w:rPr>
                <w:rFonts w:hint="eastAsia"/>
              </w:rPr>
              <w:t>给水</w:t>
            </w:r>
          </w:p>
        </w:tc>
        <w:tc>
          <w:tcPr>
            <w:tcW w:w="767" w:type="pct"/>
            <w:tcBorders>
              <w:top w:val="single" w:color="auto" w:sz="4" w:space="0"/>
              <w:left w:val="single" w:color="auto" w:sz="4" w:space="0"/>
              <w:bottom w:val="single" w:color="auto" w:sz="4" w:space="0"/>
              <w:right w:val="single" w:color="auto" w:sz="4" w:space="0"/>
            </w:tcBorders>
            <w:vAlign w:val="center"/>
          </w:tcPr>
          <w:p w14:paraId="1EB58FBD">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36580DBF">
            <w:pPr>
              <w:pStyle w:val="133"/>
            </w:pPr>
            <w:r>
              <w:rPr>
                <w:rFonts w:hint="eastAsia"/>
              </w:rPr>
              <w:t>给水系统依托园区供水管网</w:t>
            </w:r>
          </w:p>
        </w:tc>
      </w:tr>
      <w:tr w14:paraId="4385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093895">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65CC958D">
            <w:pPr>
              <w:pStyle w:val="133"/>
            </w:pPr>
            <w:r>
              <w:rPr>
                <w:rFonts w:hint="eastAsia"/>
              </w:rPr>
              <w:t>供电</w:t>
            </w:r>
          </w:p>
        </w:tc>
        <w:tc>
          <w:tcPr>
            <w:tcW w:w="767" w:type="pct"/>
            <w:tcBorders>
              <w:top w:val="single" w:color="auto" w:sz="4" w:space="0"/>
              <w:left w:val="single" w:color="auto" w:sz="4" w:space="0"/>
              <w:bottom w:val="single" w:color="auto" w:sz="4" w:space="0"/>
              <w:right w:val="single" w:color="auto" w:sz="4" w:space="0"/>
            </w:tcBorders>
            <w:vAlign w:val="center"/>
          </w:tcPr>
          <w:p w14:paraId="749231F0">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2792BDB9">
            <w:pPr>
              <w:pStyle w:val="133"/>
            </w:pPr>
            <w:r>
              <w:rPr>
                <w:rFonts w:hint="eastAsia"/>
              </w:rPr>
              <w:t>供电依托园区供电网</w:t>
            </w:r>
          </w:p>
        </w:tc>
      </w:tr>
      <w:tr w14:paraId="4743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73582DC">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0AEA234B">
            <w:pPr>
              <w:pStyle w:val="133"/>
            </w:pPr>
            <w:r>
              <w:rPr>
                <w:rFonts w:hint="eastAsia"/>
              </w:rPr>
              <w:t>供气</w:t>
            </w:r>
          </w:p>
        </w:tc>
        <w:tc>
          <w:tcPr>
            <w:tcW w:w="767" w:type="pct"/>
            <w:tcBorders>
              <w:top w:val="single" w:color="auto" w:sz="4" w:space="0"/>
              <w:left w:val="single" w:color="auto" w:sz="4" w:space="0"/>
              <w:bottom w:val="single" w:color="auto" w:sz="4" w:space="0"/>
              <w:right w:val="single" w:color="auto" w:sz="4" w:space="0"/>
            </w:tcBorders>
            <w:vAlign w:val="center"/>
          </w:tcPr>
          <w:p w14:paraId="5358A0E7">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0A21A1A7">
            <w:pPr>
              <w:pStyle w:val="133"/>
            </w:pPr>
            <w:r>
              <w:rPr>
                <w:rFonts w:hint="eastAsia"/>
              </w:rPr>
              <w:t>厂区所用燃气由自备的兰炭生产线或煤气发生炉供给</w:t>
            </w:r>
          </w:p>
        </w:tc>
      </w:tr>
      <w:tr w14:paraId="5AE5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74B87C2">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27A41D28">
            <w:pPr>
              <w:pStyle w:val="133"/>
            </w:pPr>
            <w:r>
              <w:rPr>
                <w:rFonts w:hint="eastAsia"/>
              </w:rPr>
              <w:t>供热</w:t>
            </w:r>
          </w:p>
        </w:tc>
        <w:tc>
          <w:tcPr>
            <w:tcW w:w="767" w:type="pct"/>
            <w:tcBorders>
              <w:top w:val="single" w:color="auto" w:sz="4" w:space="0"/>
              <w:left w:val="single" w:color="auto" w:sz="4" w:space="0"/>
              <w:bottom w:val="single" w:color="auto" w:sz="4" w:space="0"/>
              <w:right w:val="single" w:color="auto" w:sz="4" w:space="0"/>
            </w:tcBorders>
            <w:vAlign w:val="center"/>
          </w:tcPr>
          <w:p w14:paraId="5DFF4EC9">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267E6B42">
            <w:pPr>
              <w:pStyle w:val="133"/>
            </w:pPr>
            <w:r>
              <w:rPr>
                <w:rFonts w:hint="eastAsia"/>
              </w:rPr>
              <w:t>厂区所用蒸汽由自备的</w:t>
            </w:r>
            <w:r>
              <w:t>3</w:t>
            </w:r>
            <w:r>
              <w:rPr>
                <w:rFonts w:hint="eastAsia"/>
              </w:rPr>
              <w:t>台</w:t>
            </w:r>
            <w:r>
              <w:t>15t/h</w:t>
            </w:r>
            <w:r>
              <w:rPr>
                <w:rFonts w:hint="eastAsia"/>
              </w:rPr>
              <w:t>循环流化床锅炉及</w:t>
            </w:r>
            <w:r>
              <w:rPr>
                <w:rFonts w:ascii="Microsoft YaHei UI" w:hAnsi="Microsoft YaHei UI" w:eastAsia="Microsoft YaHei UI" w:cs="Arial"/>
                <w:sz w:val="18"/>
                <w:szCs w:val="18"/>
              </w:rPr>
              <w:t xml:space="preserve"> </w:t>
            </w:r>
            <w:r>
              <w:t>20t/h燃气锅炉</w:t>
            </w:r>
            <w:r>
              <w:rPr>
                <w:rFonts w:hint="eastAsia"/>
              </w:rPr>
              <w:t>供给</w:t>
            </w:r>
          </w:p>
        </w:tc>
      </w:tr>
      <w:tr w14:paraId="3BBD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7" w:type="pct"/>
            <w:vMerge w:val="restart"/>
            <w:tcBorders>
              <w:top w:val="single" w:color="auto" w:sz="4" w:space="0"/>
              <w:left w:val="single" w:color="auto" w:sz="4" w:space="0"/>
              <w:bottom w:val="single" w:color="auto" w:sz="4" w:space="0"/>
              <w:right w:val="single" w:color="auto" w:sz="4" w:space="0"/>
            </w:tcBorders>
            <w:vAlign w:val="center"/>
          </w:tcPr>
          <w:p w14:paraId="339BA82C">
            <w:pPr>
              <w:pStyle w:val="133"/>
            </w:pPr>
            <w:r>
              <w:rPr>
                <w:rFonts w:hint="eastAsia"/>
              </w:rPr>
              <w:t>环保工程</w:t>
            </w:r>
          </w:p>
        </w:tc>
        <w:tc>
          <w:tcPr>
            <w:tcW w:w="1195" w:type="pct"/>
            <w:tcBorders>
              <w:top w:val="single" w:color="auto" w:sz="4" w:space="0"/>
              <w:left w:val="single" w:color="auto" w:sz="4" w:space="0"/>
              <w:bottom w:val="single" w:color="auto" w:sz="4" w:space="0"/>
              <w:right w:val="single" w:color="auto" w:sz="4" w:space="0"/>
            </w:tcBorders>
            <w:vAlign w:val="center"/>
          </w:tcPr>
          <w:p w14:paraId="758F62BE">
            <w:pPr>
              <w:pStyle w:val="133"/>
            </w:pPr>
            <w:r>
              <w:rPr>
                <w:rFonts w:hint="eastAsia"/>
              </w:rPr>
              <w:t>污水处理</w:t>
            </w:r>
          </w:p>
        </w:tc>
        <w:tc>
          <w:tcPr>
            <w:tcW w:w="767" w:type="pct"/>
            <w:tcBorders>
              <w:top w:val="single" w:color="auto" w:sz="4" w:space="0"/>
              <w:left w:val="single" w:color="auto" w:sz="4" w:space="0"/>
              <w:bottom w:val="single" w:color="auto" w:sz="4" w:space="0"/>
              <w:right w:val="single" w:color="auto" w:sz="4" w:space="0"/>
            </w:tcBorders>
            <w:vAlign w:val="center"/>
          </w:tcPr>
          <w:p w14:paraId="18CC0D29">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6721945E">
            <w:pPr>
              <w:pStyle w:val="133"/>
            </w:pPr>
            <w:r>
              <w:t>1</w:t>
            </w:r>
            <w:r>
              <w:rPr>
                <w:rFonts w:hint="eastAsia"/>
              </w:rPr>
              <w:t>套</w:t>
            </w:r>
            <w:r>
              <w:t>240m</w:t>
            </w:r>
            <w:r>
              <w:rPr>
                <w:rFonts w:hint="eastAsia"/>
              </w:rPr>
              <w:t>³</w:t>
            </w:r>
            <w:r>
              <w:t>/h</w:t>
            </w:r>
            <w:r>
              <w:rPr>
                <w:rFonts w:hint="eastAsia"/>
              </w:rPr>
              <w:t>酚氰废水预处理设施，出水处理后回用于熄焦。</w:t>
            </w:r>
          </w:p>
          <w:p w14:paraId="0E45B604">
            <w:pPr>
              <w:pStyle w:val="133"/>
            </w:pPr>
            <w:r>
              <w:t>1</w:t>
            </w:r>
            <w:r>
              <w:rPr>
                <w:rFonts w:hint="eastAsia"/>
              </w:rPr>
              <w:t>座</w:t>
            </w:r>
            <w:r>
              <w:t>5m</w:t>
            </w:r>
            <w:r>
              <w:rPr>
                <w:vertAlign w:val="superscript"/>
              </w:rPr>
              <w:t>3</w:t>
            </w:r>
            <w:r>
              <w:t>/</w:t>
            </w:r>
            <w:r>
              <w:rPr>
                <w:rFonts w:hint="eastAsia"/>
              </w:rPr>
              <w:t>生产废水处理站，污水处理站处理工艺为“三级除油</w:t>
            </w:r>
            <w:r>
              <w:t>+</w:t>
            </w:r>
            <w:r>
              <w:rPr>
                <w:rFonts w:hint="eastAsia"/>
              </w:rPr>
              <w:t>高效复合脱氮塔”。</w:t>
            </w:r>
          </w:p>
          <w:p w14:paraId="23645F18">
            <w:pPr>
              <w:pStyle w:val="133"/>
            </w:pPr>
            <w:r>
              <w:t xml:space="preserve">1 </w:t>
            </w:r>
            <w:r>
              <w:rPr>
                <w:rFonts w:hint="eastAsia"/>
              </w:rPr>
              <w:t>座沉淀池（</w:t>
            </w:r>
            <w:r>
              <w:t>10m</w:t>
            </w:r>
            <w:r>
              <w:rPr>
                <w:vertAlign w:val="superscript"/>
              </w:rPr>
              <w:t>3</w:t>
            </w:r>
            <w:r>
              <w:t>/d</w:t>
            </w:r>
            <w:r>
              <w:rPr>
                <w:rFonts w:hint="eastAsia"/>
              </w:rPr>
              <w:t>）用来处理酸性废气洗涤塔废水，废水经沉淀后回用；</w:t>
            </w:r>
            <w:r>
              <w:t xml:space="preserve">1 </w:t>
            </w:r>
            <w:r>
              <w:rPr>
                <w:rFonts w:hint="eastAsia"/>
              </w:rPr>
              <w:t>座沉淀池（</w:t>
            </w:r>
            <w:r>
              <w:t>2m</w:t>
            </w:r>
            <w:r>
              <w:rPr>
                <w:vertAlign w:val="superscript"/>
              </w:rPr>
              <w:t>3</w:t>
            </w:r>
            <w:r>
              <w:t>/d</w:t>
            </w:r>
            <w:r>
              <w:rPr>
                <w:rFonts w:hint="eastAsia"/>
              </w:rPr>
              <w:t>）用来处理精镁酸洗废水，废水经沉淀后回用，均不外排。</w:t>
            </w:r>
          </w:p>
          <w:p w14:paraId="5CA0D291">
            <w:pPr>
              <w:pStyle w:val="133"/>
            </w:pPr>
            <w:r>
              <w:t>1</w:t>
            </w:r>
            <w:r>
              <w:rPr>
                <w:rFonts w:hint="eastAsia"/>
              </w:rPr>
              <w:t>套</w:t>
            </w:r>
            <w:r>
              <w:t>220m</w:t>
            </w:r>
            <w:r>
              <w:rPr>
                <w:vertAlign w:val="superscript"/>
              </w:rPr>
              <w:t>3</w:t>
            </w:r>
            <w:r>
              <w:t>/d</w:t>
            </w:r>
            <w:r>
              <w:rPr>
                <w:rFonts w:hint="eastAsia"/>
              </w:rPr>
              <w:t>的生活污水处理装置。</w:t>
            </w:r>
          </w:p>
          <w:p w14:paraId="20BADD05">
            <w:pPr>
              <w:pStyle w:val="133"/>
            </w:pPr>
            <w:r>
              <w:rPr>
                <w:rFonts w:hint="eastAsia"/>
              </w:rPr>
              <w:t>厂内地面分区防渗、在罐区设有围堰。</w:t>
            </w:r>
          </w:p>
        </w:tc>
      </w:tr>
      <w:tr w14:paraId="3CBB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9D070B3">
            <w:pPr>
              <w:pStyle w:val="133"/>
            </w:pPr>
          </w:p>
        </w:tc>
        <w:tc>
          <w:tcPr>
            <w:tcW w:w="1195" w:type="pct"/>
            <w:vMerge w:val="restart"/>
            <w:tcBorders>
              <w:top w:val="single" w:color="auto" w:sz="4" w:space="0"/>
              <w:left w:val="single" w:color="auto" w:sz="4" w:space="0"/>
              <w:bottom w:val="single" w:color="auto" w:sz="4" w:space="0"/>
              <w:right w:val="single" w:color="auto" w:sz="4" w:space="0"/>
            </w:tcBorders>
            <w:vAlign w:val="center"/>
          </w:tcPr>
          <w:p w14:paraId="4C80701F">
            <w:pPr>
              <w:pStyle w:val="133"/>
            </w:pPr>
            <w:r>
              <w:rPr>
                <w:rFonts w:hint="eastAsia"/>
              </w:rPr>
              <w:t>废气处理</w:t>
            </w:r>
          </w:p>
        </w:tc>
        <w:tc>
          <w:tcPr>
            <w:tcW w:w="767" w:type="pct"/>
            <w:tcBorders>
              <w:top w:val="single" w:color="auto" w:sz="4" w:space="0"/>
              <w:left w:val="single" w:color="auto" w:sz="4" w:space="0"/>
              <w:bottom w:val="single" w:color="auto" w:sz="4" w:space="0"/>
              <w:right w:val="single" w:color="auto" w:sz="4" w:space="0"/>
            </w:tcBorders>
            <w:vAlign w:val="center"/>
          </w:tcPr>
          <w:p w14:paraId="765A4115">
            <w:pPr>
              <w:pStyle w:val="133"/>
            </w:pPr>
            <w:r>
              <w:rPr>
                <w:rFonts w:hint="eastAsia"/>
              </w:rPr>
              <w:t>镁及镁合</w:t>
            </w:r>
            <w:r>
              <w:t xml:space="preserve"> </w:t>
            </w:r>
            <w:r>
              <w:rPr>
                <w:rFonts w:hint="eastAsia"/>
              </w:rPr>
              <w:t>金生产线</w:t>
            </w:r>
          </w:p>
        </w:tc>
        <w:tc>
          <w:tcPr>
            <w:tcW w:w="2781" w:type="pct"/>
            <w:tcBorders>
              <w:top w:val="single" w:color="auto" w:sz="4" w:space="0"/>
              <w:left w:val="single" w:color="auto" w:sz="4" w:space="0"/>
              <w:bottom w:val="single" w:color="auto" w:sz="4" w:space="0"/>
              <w:right w:val="single" w:color="auto" w:sz="4" w:space="0"/>
            </w:tcBorders>
            <w:vAlign w:val="center"/>
          </w:tcPr>
          <w:p w14:paraId="7F7FAB13">
            <w:pPr>
              <w:pStyle w:val="133"/>
            </w:pPr>
            <w:r>
              <w:t>白云石筛分</w:t>
            </w:r>
            <w:bookmarkStart w:id="212" w:name="OLE_LINK63"/>
            <w:r>
              <w:rPr>
                <w:rFonts w:hint="eastAsia"/>
              </w:rPr>
              <w:t>废气</w:t>
            </w:r>
            <w:bookmarkEnd w:id="212"/>
            <w:r>
              <w:rPr>
                <w:rFonts w:hint="eastAsia"/>
              </w:rPr>
              <w:t>、</w:t>
            </w:r>
            <w:r>
              <w:t>粉煤生产</w:t>
            </w:r>
            <w:r>
              <w:rPr>
                <w:rFonts w:hint="eastAsia"/>
              </w:rPr>
              <w:t>废气、</w:t>
            </w:r>
            <w:r>
              <w:t>白云石输送</w:t>
            </w:r>
            <w:r>
              <w:rPr>
                <w:rFonts w:hint="eastAsia"/>
              </w:rPr>
              <w:t>废气、</w:t>
            </w:r>
            <w:r>
              <w:t>硅铁破碎</w:t>
            </w:r>
            <w:r>
              <w:rPr>
                <w:rFonts w:hint="eastAsia"/>
              </w:rPr>
              <w:t>废气、</w:t>
            </w:r>
            <w:r>
              <w:t>配料混磨</w:t>
            </w:r>
            <w:r>
              <w:rPr>
                <w:rFonts w:hint="eastAsia"/>
              </w:rPr>
              <w:t>废气、</w:t>
            </w:r>
            <w:r>
              <w:t>压球筛分</w:t>
            </w:r>
            <w:bookmarkStart w:id="213" w:name="OLE_LINK64"/>
            <w:r>
              <w:rPr>
                <w:rFonts w:hint="eastAsia"/>
              </w:rPr>
              <w:t>废气均</w:t>
            </w:r>
            <w:bookmarkStart w:id="214" w:name="OLE_LINK65"/>
            <w:r>
              <w:rPr>
                <w:rFonts w:hint="eastAsia"/>
              </w:rPr>
              <w:t>采用脉冲袋式除尘器</w:t>
            </w:r>
            <w:r>
              <w:t>+20m</w:t>
            </w:r>
            <w:r>
              <w:rPr>
                <w:rFonts w:hint="eastAsia"/>
              </w:rPr>
              <w:t>高排气筒</w:t>
            </w:r>
            <w:bookmarkEnd w:id="213"/>
            <w:bookmarkEnd w:id="214"/>
            <w:r>
              <w:rPr>
                <w:rFonts w:hint="eastAsia"/>
              </w:rPr>
              <w:t>；</w:t>
            </w:r>
          </w:p>
          <w:p w14:paraId="5FD30032">
            <w:pPr>
              <w:pStyle w:val="133"/>
            </w:pPr>
            <w:r>
              <w:t>萤石粉输送</w:t>
            </w:r>
            <w:bookmarkStart w:id="215" w:name="OLE_LINK66"/>
            <w:r>
              <w:rPr>
                <w:rFonts w:hint="eastAsia"/>
              </w:rPr>
              <w:t>废气采用脉冲袋式除尘器</w:t>
            </w:r>
            <w:r>
              <w:t>+</w:t>
            </w:r>
            <w:r>
              <w:rPr>
                <w:rFonts w:hint="eastAsia"/>
              </w:rPr>
              <w:t>15</w:t>
            </w:r>
            <w:r>
              <w:t>m</w:t>
            </w:r>
            <w:r>
              <w:rPr>
                <w:rFonts w:hint="eastAsia"/>
              </w:rPr>
              <w:t>高排气筒；</w:t>
            </w:r>
            <w:bookmarkEnd w:id="215"/>
            <w:r>
              <w:t>还原炉排口1</w:t>
            </w:r>
            <w:r>
              <w:rPr>
                <w:rFonts w:hint="eastAsia"/>
              </w:rPr>
              <w:t>和2的废气</w:t>
            </w:r>
            <w:bookmarkStart w:id="216" w:name="OLE_LINK67"/>
            <w:r>
              <w:rPr>
                <w:rFonts w:hint="eastAsia"/>
              </w:rPr>
              <w:t>均采用脉冲袋式除尘器</w:t>
            </w:r>
            <w:r>
              <w:t>+2</w:t>
            </w:r>
            <w:r>
              <w:rPr>
                <w:rFonts w:hint="eastAsia"/>
              </w:rPr>
              <w:t>5</w:t>
            </w:r>
            <w:r>
              <w:t>m</w:t>
            </w:r>
            <w:r>
              <w:rPr>
                <w:rFonts w:hint="eastAsia"/>
              </w:rPr>
              <w:t>高排气筒</w:t>
            </w:r>
            <w:bookmarkEnd w:id="216"/>
            <w:r>
              <w:rPr>
                <w:rFonts w:hint="eastAsia"/>
              </w:rPr>
              <w:t>；</w:t>
            </w:r>
            <w:r>
              <w:t>精炼坩埚排放口</w:t>
            </w:r>
            <w:r>
              <w:rPr>
                <w:rFonts w:hint="eastAsia"/>
              </w:rPr>
              <w:t>废气采用脉冲袋式除尘器</w:t>
            </w:r>
            <w:r>
              <w:t>+</w:t>
            </w:r>
            <w:r>
              <w:rPr>
                <w:rFonts w:hint="eastAsia"/>
              </w:rPr>
              <w:t>30</w:t>
            </w:r>
            <w:r>
              <w:t>m</w:t>
            </w:r>
            <w:r>
              <w:rPr>
                <w:rFonts w:hint="eastAsia"/>
              </w:rPr>
              <w:t>高排气筒；</w:t>
            </w:r>
            <w:r>
              <w:t>铸造1</w:t>
            </w:r>
            <w:r>
              <w:rPr>
                <w:rFonts w:hint="eastAsia"/>
              </w:rPr>
              <w:t>和2的废气均采用碱液吸收</w:t>
            </w:r>
            <w:r>
              <w:t>+2</w:t>
            </w:r>
            <w:r>
              <w:rPr>
                <w:rFonts w:hint="eastAsia"/>
              </w:rPr>
              <w:t>0</w:t>
            </w:r>
            <w:r>
              <w:t>m</w:t>
            </w:r>
            <w:r>
              <w:rPr>
                <w:rFonts w:hint="eastAsia"/>
              </w:rPr>
              <w:t>高排气筒；</w:t>
            </w:r>
            <w:r>
              <w:t>各炉燃烧废气排口</w:t>
            </w:r>
            <w:r>
              <w:rPr>
                <w:rFonts w:hint="eastAsia"/>
              </w:rPr>
              <w:t>废气采用</w:t>
            </w:r>
            <w:r>
              <w:t>净化后兰炭项目焦炉煤气或净化后发生炉煤气+25m高排气</w:t>
            </w:r>
            <w:r>
              <w:rPr>
                <w:rFonts w:hint="eastAsia"/>
              </w:rPr>
              <w:t>筒。</w:t>
            </w:r>
          </w:p>
        </w:tc>
      </w:tr>
      <w:tr w14:paraId="7E77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C81D522">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DA6BEB">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256AE5DF">
            <w:pPr>
              <w:pStyle w:val="133"/>
            </w:pPr>
            <w:r>
              <w:rPr>
                <w:rFonts w:hint="eastAsia"/>
              </w:rPr>
              <w:t>兰炭生产线及煤气发生炉</w:t>
            </w:r>
          </w:p>
        </w:tc>
        <w:tc>
          <w:tcPr>
            <w:tcW w:w="2781" w:type="pct"/>
            <w:tcBorders>
              <w:top w:val="single" w:color="auto" w:sz="4" w:space="0"/>
              <w:left w:val="single" w:color="auto" w:sz="4" w:space="0"/>
              <w:bottom w:val="single" w:color="auto" w:sz="4" w:space="0"/>
              <w:right w:val="single" w:color="auto" w:sz="4" w:space="0"/>
            </w:tcBorders>
            <w:vAlign w:val="center"/>
          </w:tcPr>
          <w:p w14:paraId="11016B24">
            <w:pPr>
              <w:pStyle w:val="133"/>
            </w:pPr>
            <w:r>
              <w:t>煤破碎筛分及转运</w:t>
            </w:r>
            <w:bookmarkStart w:id="217" w:name="OLE_LINK3"/>
            <w:r>
              <w:rPr>
                <w:rFonts w:hint="eastAsia"/>
              </w:rPr>
              <w:t>废气采用</w:t>
            </w:r>
            <w:r>
              <w:t>脉冲袋式除尘器+30m高排气筒</w:t>
            </w:r>
            <w:bookmarkEnd w:id="217"/>
            <w:r>
              <w:rPr>
                <w:rFonts w:hint="eastAsia"/>
              </w:rPr>
              <w:t>；</w:t>
            </w:r>
            <w:r>
              <w:t>装煤</w:t>
            </w:r>
            <w:r>
              <w:rPr>
                <w:rFonts w:hint="eastAsia"/>
              </w:rPr>
              <w:t>废气采用</w:t>
            </w:r>
            <w:r>
              <w:t>炉顶导烟车除尘地面袋式除尘站 +45m高排气筒</w:t>
            </w:r>
            <w:r>
              <w:rPr>
                <w:rFonts w:hint="eastAsia"/>
              </w:rPr>
              <w:t>；</w:t>
            </w:r>
            <w:r>
              <w:t>筛焦</w:t>
            </w:r>
            <w:bookmarkStart w:id="218" w:name="OLE_LINK31"/>
            <w:r>
              <w:rPr>
                <w:rFonts w:hint="eastAsia"/>
              </w:rPr>
              <w:t>废气采用</w:t>
            </w:r>
            <w:r>
              <w:t>脉冲袋式除尘器+30m高排气筒</w:t>
            </w:r>
            <w:bookmarkEnd w:id="218"/>
            <w:r>
              <w:rPr>
                <w:rFonts w:hint="eastAsia"/>
              </w:rPr>
              <w:t>；</w:t>
            </w:r>
            <w:r>
              <w:t>兰炭烘干</w:t>
            </w:r>
            <w:r>
              <w:rPr>
                <w:rFonts w:hint="eastAsia"/>
              </w:rPr>
              <w:t>废气</w:t>
            </w:r>
            <w:r>
              <w:t>燃用净化后的煤气30m高排气筒</w:t>
            </w:r>
            <w:r>
              <w:rPr>
                <w:rFonts w:hint="eastAsia"/>
              </w:rPr>
              <w:t>；</w:t>
            </w:r>
            <w:r>
              <w:t>兰炭筛分</w:t>
            </w:r>
            <w:r>
              <w:rPr>
                <w:rFonts w:hint="eastAsia"/>
              </w:rPr>
              <w:t>废气采用集气罩+布</w:t>
            </w:r>
            <w:r>
              <w:t>袋式除尘器+30m高排气筒</w:t>
            </w:r>
            <w:r>
              <w:rPr>
                <w:rFonts w:hint="eastAsia"/>
              </w:rPr>
              <w:t>；煤棚、焦棚采用封闭结构、定期洒水等处理措施。</w:t>
            </w:r>
          </w:p>
        </w:tc>
      </w:tr>
      <w:tr w14:paraId="495AE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A4CE0AC">
            <w:pPr>
              <w:pStyle w:val="133"/>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2540C03">
            <w:pPr>
              <w:pStyle w:val="133"/>
            </w:pPr>
          </w:p>
        </w:tc>
        <w:tc>
          <w:tcPr>
            <w:tcW w:w="767" w:type="pct"/>
            <w:tcBorders>
              <w:top w:val="single" w:color="auto" w:sz="4" w:space="0"/>
              <w:left w:val="single" w:color="auto" w:sz="4" w:space="0"/>
              <w:bottom w:val="single" w:color="auto" w:sz="4" w:space="0"/>
              <w:right w:val="single" w:color="auto" w:sz="4" w:space="0"/>
            </w:tcBorders>
            <w:vAlign w:val="center"/>
          </w:tcPr>
          <w:p w14:paraId="7D5DADA5">
            <w:pPr>
              <w:pStyle w:val="133"/>
            </w:pPr>
            <w:r>
              <w:rPr>
                <w:rFonts w:hint="eastAsia"/>
              </w:rPr>
              <w:t>硅铁生产线</w:t>
            </w:r>
          </w:p>
        </w:tc>
        <w:tc>
          <w:tcPr>
            <w:tcW w:w="2781" w:type="pct"/>
            <w:tcBorders>
              <w:top w:val="single" w:color="auto" w:sz="4" w:space="0"/>
              <w:left w:val="single" w:color="auto" w:sz="4" w:space="0"/>
              <w:bottom w:val="single" w:color="auto" w:sz="4" w:space="0"/>
              <w:right w:val="single" w:color="auto" w:sz="4" w:space="0"/>
            </w:tcBorders>
            <w:vAlign w:val="center"/>
          </w:tcPr>
          <w:p w14:paraId="0DDB9BFD">
            <w:pPr>
              <w:pStyle w:val="133"/>
            </w:pPr>
            <w:r>
              <w:t>原料系统</w:t>
            </w:r>
            <w:r>
              <w:rPr>
                <w:rFonts w:hint="eastAsia"/>
              </w:rPr>
              <w:t>颗粒物采用</w:t>
            </w:r>
            <w:r>
              <w:t>袋式除尘+20m高排气</w:t>
            </w:r>
            <w:r>
              <w:rPr>
                <w:rFonts w:hint="eastAsia"/>
              </w:rPr>
              <w:t>、</w:t>
            </w:r>
          </w:p>
          <w:p w14:paraId="3CFBF4EE">
            <w:pPr>
              <w:pStyle w:val="133"/>
            </w:pPr>
            <w:r>
              <w:rPr>
                <w:rFonts w:hint="eastAsia"/>
              </w:rPr>
              <w:t>配</w:t>
            </w:r>
            <w:r>
              <w:t>料系统</w:t>
            </w:r>
            <w:r>
              <w:rPr>
                <w:rFonts w:hint="eastAsia"/>
              </w:rPr>
              <w:t>颗粒物采用</w:t>
            </w:r>
            <w:r>
              <w:t>袋式除尘+2</w:t>
            </w:r>
            <w:r>
              <w:rPr>
                <w:rFonts w:hint="eastAsia"/>
              </w:rPr>
              <w:t>5</w:t>
            </w:r>
            <w:r>
              <w:t>m高排气</w:t>
            </w:r>
            <w:r>
              <w:rPr>
                <w:rFonts w:hint="eastAsia"/>
              </w:rPr>
              <w:t>、</w:t>
            </w:r>
          </w:p>
          <w:p w14:paraId="28F014E5">
            <w:pPr>
              <w:pStyle w:val="133"/>
            </w:pPr>
            <w:r>
              <w:rPr>
                <w:rFonts w:hint="eastAsia"/>
              </w:rPr>
              <w:t>成品破碎颗粒物采用</w:t>
            </w:r>
            <w:r>
              <w:t>袋式除尘+</w:t>
            </w:r>
            <w:r>
              <w:rPr>
                <w:rFonts w:hint="eastAsia"/>
              </w:rPr>
              <w:t>3</w:t>
            </w:r>
            <w:r>
              <w:t>0m高排气</w:t>
            </w:r>
            <w:r>
              <w:rPr>
                <w:rFonts w:hint="eastAsia"/>
              </w:rPr>
              <w:t>、</w:t>
            </w:r>
          </w:p>
          <w:p w14:paraId="1D5E6524">
            <w:pPr>
              <w:pStyle w:val="133"/>
              <w:rPr>
                <w:highlight w:val="yellow"/>
              </w:rPr>
            </w:pPr>
            <w:r>
              <w:rPr>
                <w:rFonts w:hint="eastAsia"/>
              </w:rPr>
              <w:t>电炉烟气颗粒物采用旋风除尘+</w:t>
            </w:r>
            <w:r>
              <w:t>袋式除尘+</w:t>
            </w:r>
            <w:r>
              <w:rPr>
                <w:rFonts w:hint="eastAsia"/>
              </w:rPr>
              <w:t>6</w:t>
            </w:r>
            <w:r>
              <w:t>0m高排气</w:t>
            </w:r>
            <w:r>
              <w:rPr>
                <w:rFonts w:hint="eastAsia"/>
              </w:rPr>
              <w:t>。</w:t>
            </w:r>
          </w:p>
        </w:tc>
      </w:tr>
      <w:tr w14:paraId="5CB7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F9C0897">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60024BFD">
            <w:pPr>
              <w:pStyle w:val="133"/>
            </w:pPr>
            <w:r>
              <w:rPr>
                <w:rFonts w:hint="eastAsia"/>
              </w:rPr>
              <w:t>事故水池</w:t>
            </w:r>
          </w:p>
        </w:tc>
        <w:tc>
          <w:tcPr>
            <w:tcW w:w="767" w:type="pct"/>
            <w:tcBorders>
              <w:top w:val="single" w:color="auto" w:sz="4" w:space="0"/>
              <w:left w:val="single" w:color="auto" w:sz="4" w:space="0"/>
              <w:bottom w:val="single" w:color="auto" w:sz="4" w:space="0"/>
              <w:right w:val="single" w:color="auto" w:sz="4" w:space="0"/>
            </w:tcBorders>
            <w:vAlign w:val="center"/>
          </w:tcPr>
          <w:p w14:paraId="532A1F85">
            <w:pPr>
              <w:pStyle w:val="133"/>
            </w:pPr>
            <w:r>
              <w:t>1500m</w:t>
            </w:r>
            <w:r>
              <w:rPr>
                <w:rFonts w:hint="eastAsia"/>
              </w:rPr>
              <w:t>³</w:t>
            </w:r>
          </w:p>
        </w:tc>
        <w:tc>
          <w:tcPr>
            <w:tcW w:w="2781" w:type="pct"/>
            <w:tcBorders>
              <w:top w:val="single" w:color="auto" w:sz="4" w:space="0"/>
              <w:left w:val="single" w:color="auto" w:sz="4" w:space="0"/>
              <w:bottom w:val="single" w:color="auto" w:sz="4" w:space="0"/>
              <w:right w:val="single" w:color="auto" w:sz="4" w:space="0"/>
            </w:tcBorders>
            <w:vAlign w:val="center"/>
          </w:tcPr>
          <w:p w14:paraId="12081FC4">
            <w:pPr>
              <w:pStyle w:val="133"/>
            </w:pPr>
            <w:r>
              <w:t>1</w:t>
            </w:r>
            <w:r>
              <w:rPr>
                <w:rFonts w:hint="eastAsia"/>
              </w:rPr>
              <w:t>座事故水池</w:t>
            </w:r>
          </w:p>
        </w:tc>
      </w:tr>
      <w:tr w14:paraId="4905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EDD9735">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15FEDB25">
            <w:pPr>
              <w:pStyle w:val="133"/>
            </w:pPr>
            <w:r>
              <w:rPr>
                <w:rFonts w:hint="eastAsia"/>
              </w:rPr>
              <w:t>噪声治理措施</w:t>
            </w:r>
          </w:p>
        </w:tc>
        <w:tc>
          <w:tcPr>
            <w:tcW w:w="767" w:type="pct"/>
            <w:tcBorders>
              <w:top w:val="single" w:color="auto" w:sz="4" w:space="0"/>
              <w:left w:val="single" w:color="auto" w:sz="4" w:space="0"/>
              <w:bottom w:val="single" w:color="auto" w:sz="4" w:space="0"/>
              <w:right w:val="single" w:color="auto" w:sz="4" w:space="0"/>
            </w:tcBorders>
            <w:vAlign w:val="center"/>
          </w:tcPr>
          <w:p w14:paraId="6D29DCE6">
            <w:pPr>
              <w:pStyle w:val="133"/>
            </w:pPr>
            <w:r>
              <w:t>/</w:t>
            </w:r>
          </w:p>
        </w:tc>
        <w:tc>
          <w:tcPr>
            <w:tcW w:w="2781" w:type="pct"/>
            <w:tcBorders>
              <w:top w:val="single" w:color="auto" w:sz="4" w:space="0"/>
              <w:left w:val="single" w:color="auto" w:sz="4" w:space="0"/>
              <w:bottom w:val="single" w:color="auto" w:sz="4" w:space="0"/>
              <w:right w:val="single" w:color="auto" w:sz="4" w:space="0"/>
            </w:tcBorders>
            <w:vAlign w:val="center"/>
          </w:tcPr>
          <w:p w14:paraId="7A0C682D">
            <w:pPr>
              <w:pStyle w:val="133"/>
            </w:pPr>
            <w:r>
              <w:rPr>
                <w:rFonts w:hint="eastAsia"/>
              </w:rPr>
              <w:t>厂房隔声、减震，厂区积极绿化</w:t>
            </w:r>
          </w:p>
        </w:tc>
      </w:tr>
      <w:tr w14:paraId="65A2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133418F">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5666EE01">
            <w:pPr>
              <w:pStyle w:val="133"/>
            </w:pPr>
            <w:r>
              <w:rPr>
                <w:rFonts w:hint="eastAsia"/>
              </w:rPr>
              <w:t>危险废物暂存间</w:t>
            </w:r>
          </w:p>
        </w:tc>
        <w:tc>
          <w:tcPr>
            <w:tcW w:w="767" w:type="pct"/>
            <w:tcBorders>
              <w:top w:val="single" w:color="auto" w:sz="4" w:space="0"/>
              <w:left w:val="single" w:color="auto" w:sz="4" w:space="0"/>
              <w:bottom w:val="single" w:color="auto" w:sz="4" w:space="0"/>
              <w:right w:val="single" w:color="auto" w:sz="4" w:space="0"/>
            </w:tcBorders>
            <w:vAlign w:val="center"/>
          </w:tcPr>
          <w:p w14:paraId="45C57B4C">
            <w:pPr>
              <w:pStyle w:val="133"/>
              <w:rPr>
                <w:rFonts w:cs="Times New Roman"/>
              </w:rPr>
            </w:pPr>
            <w:r>
              <w:rPr>
                <w:rFonts w:cs="Times New Roman"/>
              </w:rPr>
              <w:t>50</w:t>
            </w:r>
            <w:r>
              <w:t xml:space="preserve"> 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4417F1C5">
            <w:pPr>
              <w:pStyle w:val="133"/>
            </w:pPr>
            <w:r>
              <w:t>1</w:t>
            </w:r>
            <w:r>
              <w:rPr>
                <w:rFonts w:hint="eastAsia"/>
              </w:rPr>
              <w:t>座危险废物暂存间，采取</w:t>
            </w:r>
            <w:r>
              <w:t>30cm</w:t>
            </w:r>
            <w:r>
              <w:rPr>
                <w:rFonts w:hint="eastAsia"/>
              </w:rPr>
              <w:t>厚</w:t>
            </w:r>
            <w:r>
              <w:t>P8</w:t>
            </w:r>
            <w:r>
              <w:rPr>
                <w:rFonts w:hint="eastAsia"/>
              </w:rPr>
              <w:t>抗渗混凝土</w:t>
            </w:r>
            <w:r>
              <w:t>+2mm</w:t>
            </w:r>
            <w:r>
              <w:rPr>
                <w:rFonts w:hint="eastAsia"/>
              </w:rPr>
              <w:t>厚</w:t>
            </w:r>
            <w:r>
              <w:t xml:space="preserve">HDPE </w:t>
            </w:r>
            <w:r>
              <w:rPr>
                <w:rFonts w:hint="eastAsia"/>
              </w:rPr>
              <w:t>防渗层进行防渗，地面设置导流槽。</w:t>
            </w:r>
          </w:p>
        </w:tc>
      </w:tr>
      <w:tr w14:paraId="60C6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4827868">
            <w:pPr>
              <w:pStyle w:val="133"/>
            </w:pPr>
          </w:p>
        </w:tc>
        <w:tc>
          <w:tcPr>
            <w:tcW w:w="1195" w:type="pct"/>
            <w:tcBorders>
              <w:top w:val="single" w:color="auto" w:sz="4" w:space="0"/>
              <w:left w:val="single" w:color="auto" w:sz="4" w:space="0"/>
              <w:bottom w:val="single" w:color="auto" w:sz="4" w:space="0"/>
              <w:right w:val="single" w:color="auto" w:sz="4" w:space="0"/>
            </w:tcBorders>
            <w:vAlign w:val="center"/>
          </w:tcPr>
          <w:p w14:paraId="0C51F03F">
            <w:pPr>
              <w:pStyle w:val="133"/>
            </w:pPr>
            <w:r>
              <w:rPr>
                <w:rFonts w:hint="eastAsia"/>
              </w:rPr>
              <w:t>一般工业固废临时堆场</w:t>
            </w:r>
          </w:p>
        </w:tc>
        <w:tc>
          <w:tcPr>
            <w:tcW w:w="767" w:type="pct"/>
            <w:tcBorders>
              <w:top w:val="single" w:color="auto" w:sz="4" w:space="0"/>
              <w:left w:val="single" w:color="auto" w:sz="4" w:space="0"/>
              <w:bottom w:val="single" w:color="auto" w:sz="4" w:space="0"/>
              <w:right w:val="single" w:color="auto" w:sz="4" w:space="0"/>
            </w:tcBorders>
            <w:vAlign w:val="center"/>
          </w:tcPr>
          <w:p w14:paraId="3E7A58C9">
            <w:pPr>
              <w:pStyle w:val="133"/>
              <w:rPr>
                <w:rFonts w:cs="Times New Roman"/>
              </w:rPr>
            </w:pPr>
            <w:r>
              <w:rPr>
                <w:rFonts w:cs="Times New Roman"/>
              </w:rPr>
              <w:t>10000</w:t>
            </w:r>
            <w:r>
              <w:t>m</w:t>
            </w:r>
            <w:r>
              <w:rPr>
                <w:vertAlign w:val="superscript"/>
              </w:rPr>
              <w:t>2</w:t>
            </w:r>
          </w:p>
        </w:tc>
        <w:tc>
          <w:tcPr>
            <w:tcW w:w="2781" w:type="pct"/>
            <w:tcBorders>
              <w:top w:val="single" w:color="auto" w:sz="4" w:space="0"/>
              <w:left w:val="single" w:color="auto" w:sz="4" w:space="0"/>
              <w:bottom w:val="single" w:color="auto" w:sz="4" w:space="0"/>
              <w:right w:val="single" w:color="auto" w:sz="4" w:space="0"/>
            </w:tcBorders>
            <w:vAlign w:val="center"/>
          </w:tcPr>
          <w:p w14:paraId="76ACDDD3">
            <w:pPr>
              <w:pStyle w:val="133"/>
            </w:pPr>
            <w:r>
              <w:t>1</w:t>
            </w:r>
            <w:r>
              <w:rPr>
                <w:rFonts w:hint="eastAsia"/>
              </w:rPr>
              <w:t>座临时堆场，场地四周设置</w:t>
            </w:r>
            <w:r>
              <w:t>8m</w:t>
            </w:r>
            <w:r>
              <w:rPr>
                <w:rFonts w:hint="eastAsia"/>
              </w:rPr>
              <w:t>高防风抑尘网，场内分区贮存不同废物，各废物采用篷布覆盖。</w:t>
            </w:r>
          </w:p>
        </w:tc>
      </w:tr>
    </w:tbl>
    <w:p w14:paraId="47B70561">
      <w:pPr>
        <w:ind w:firstLine="480"/>
      </w:pPr>
    </w:p>
    <w:p w14:paraId="53563C65">
      <w:pPr>
        <w:pStyle w:val="117"/>
        <w:ind w:left="400" w:firstLine="480"/>
      </w:pPr>
      <w:r>
        <w:rPr>
          <w:rFonts w:hint="eastAsia"/>
        </w:rPr>
        <w:t>新疆金盛镁业有限公司厂内</w:t>
      </w:r>
      <w:r>
        <w:t>现有已建成生产装置包括一条5万t/a硅铁生产线；一条2.5万t/a 镁及镁合金生产线及配套设施；一条30万t/a兰炭生产线；1条15万t/a兰炭烘干生产线及配套设施；4台直径3.6m的两段式煤气发生炉</w:t>
      </w:r>
      <w:r>
        <w:rPr>
          <w:rFonts w:hint="eastAsia"/>
        </w:rPr>
        <w:t>。</w:t>
      </w:r>
    </w:p>
    <w:p w14:paraId="2E57C695">
      <w:pPr>
        <w:pStyle w:val="117"/>
        <w:ind w:left="400" w:firstLine="480"/>
      </w:pPr>
      <w:r>
        <w:rPr>
          <w:rFonts w:hint="eastAsia"/>
        </w:rPr>
        <w:t>项目为循环经济产业链项目，兰炭生产线产生的半焦煤气除直立炉自用外，供镁合金生产线作为燃料，产生的兰炭部分外售，剩余部分供硅铁生产线作为原料，硅铁生产线产生的硅铁作为镁合金生产线的原料，镁合金生产线产生的还原渣外售可以用作制砖和水泥生产原料。</w:t>
      </w:r>
    </w:p>
    <w:p w14:paraId="786A1E70">
      <w:pPr>
        <w:pStyle w:val="117"/>
        <w:ind w:left="400" w:firstLine="480"/>
      </w:pPr>
      <w:r>
        <w:rPr>
          <w:rFonts w:hint="eastAsia"/>
        </w:rPr>
        <w:t>总工艺流程，见图</w:t>
      </w:r>
      <w:r>
        <w:t>2.2-1</w:t>
      </w:r>
      <w:r>
        <w:rPr>
          <w:rFonts w:hint="eastAsia"/>
        </w:rPr>
        <w:t>。</w:t>
      </w:r>
    </w:p>
    <w:p w14:paraId="1A1EA680">
      <w:pPr>
        <w:pStyle w:val="133"/>
        <w:ind w:firstLine="480"/>
      </w:pPr>
      <w:r>
        <w:drawing>
          <wp:inline distT="0" distB="0" distL="0" distR="0">
            <wp:extent cx="5274310" cy="2751455"/>
            <wp:effectExtent l="0" t="0" r="2540" b="0"/>
            <wp:docPr id="1038" name="图片 20"/>
            <wp:cNvGraphicFramePr/>
            <a:graphic xmlns:a="http://schemas.openxmlformats.org/drawingml/2006/main">
              <a:graphicData uri="http://schemas.openxmlformats.org/drawingml/2006/picture">
                <pic:pic xmlns:pic="http://schemas.openxmlformats.org/drawingml/2006/picture">
                  <pic:nvPicPr>
                    <pic:cNvPr id="1038" name="图片 20"/>
                    <pic:cNvPicPr/>
                  </pic:nvPicPr>
                  <pic:blipFill>
                    <a:blip r:embed="rId34" cstate="print"/>
                    <a:srcRect/>
                    <a:stretch>
                      <a:fillRect/>
                    </a:stretch>
                  </pic:blipFill>
                  <pic:spPr>
                    <a:xfrm>
                      <a:off x="0" y="0"/>
                      <a:ext cx="5274310" cy="2751455"/>
                    </a:xfrm>
                    <a:prstGeom prst="rect">
                      <a:avLst/>
                    </a:prstGeom>
                    <a:ln>
                      <a:noFill/>
                    </a:ln>
                  </pic:spPr>
                </pic:pic>
              </a:graphicData>
            </a:graphic>
          </wp:inline>
        </w:drawing>
      </w:r>
    </w:p>
    <w:p w14:paraId="24E64110">
      <w:pPr>
        <w:pStyle w:val="118"/>
        <w:ind w:firstLine="360"/>
      </w:pPr>
      <w:r>
        <w:rPr>
          <w:rFonts w:hint="eastAsia"/>
        </w:rPr>
        <w:t>图</w:t>
      </w:r>
      <w:r>
        <w:t xml:space="preserve">2.2-1  </w:t>
      </w:r>
      <w:r>
        <w:rPr>
          <w:rFonts w:hint="eastAsia"/>
        </w:rPr>
        <w:t>镁合金循环经济总体工艺流程图</w:t>
      </w:r>
    </w:p>
    <w:p w14:paraId="305ABE02">
      <w:pPr>
        <w:pStyle w:val="138"/>
        <w:rPr>
          <w:rFonts w:hint="eastAsia"/>
        </w:rPr>
      </w:pPr>
      <w:r>
        <w:rPr>
          <w:rFonts w:hint="eastAsia"/>
        </w:rPr>
        <w:t>生产规模及产品方案</w:t>
      </w:r>
    </w:p>
    <w:p w14:paraId="2438193C">
      <w:pPr>
        <w:pStyle w:val="117"/>
        <w:ind w:left="400" w:firstLine="480"/>
      </w:pPr>
      <w:r>
        <w:rPr>
          <w:rFonts w:hint="eastAsia"/>
        </w:rPr>
        <w:t>厂内现有工程的设计产能与实际生产能力汇总，见表</w:t>
      </w:r>
      <w:r>
        <w:t>2.2-</w:t>
      </w:r>
      <w:r>
        <w:rPr>
          <w:rFonts w:hint="eastAsia"/>
        </w:rPr>
        <w:t>2。</w:t>
      </w:r>
    </w:p>
    <w:p w14:paraId="172CE9B7">
      <w:pPr>
        <w:pStyle w:val="118"/>
        <w:ind w:firstLine="360"/>
      </w:pPr>
      <w:r>
        <w:rPr>
          <w:rFonts w:hint="eastAsia"/>
        </w:rPr>
        <w:t>表</w:t>
      </w:r>
      <w:r>
        <w:t>2.2-</w:t>
      </w:r>
      <w:r>
        <w:rPr>
          <w:rFonts w:hint="eastAsia"/>
        </w:rPr>
        <w:t>2</w:t>
      </w:r>
      <w:r>
        <w:t xml:space="preserve">  </w:t>
      </w:r>
      <w:r>
        <w:rPr>
          <w:rFonts w:hint="eastAsia"/>
        </w:rPr>
        <w:t xml:space="preserve">现有工程产品产能一览表 </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65"/>
        <w:gridCol w:w="1165"/>
        <w:gridCol w:w="1165"/>
        <w:gridCol w:w="1434"/>
        <w:gridCol w:w="1584"/>
        <w:gridCol w:w="1584"/>
        <w:gridCol w:w="1208"/>
      </w:tblGrid>
      <w:tr w14:paraId="347933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6" w:type="dxa"/>
            <w:tcBorders>
              <w:top w:val="single" w:color="000000" w:sz="12" w:space="0"/>
              <w:left w:val="single" w:color="000000" w:sz="12" w:space="0"/>
              <w:bottom w:val="single" w:color="000000" w:sz="4" w:space="0"/>
              <w:right w:val="single" w:color="000000" w:sz="4" w:space="0"/>
            </w:tcBorders>
            <w:vAlign w:val="center"/>
          </w:tcPr>
          <w:p w14:paraId="310EDFEE">
            <w:pPr>
              <w:pStyle w:val="133"/>
              <w:rPr>
                <w:b/>
                <w:bCs/>
              </w:rPr>
            </w:pPr>
            <w:r>
              <w:rPr>
                <w:rFonts w:hint="eastAsia"/>
                <w:b/>
                <w:bCs/>
              </w:rPr>
              <w:t>生产线</w:t>
            </w:r>
          </w:p>
        </w:tc>
        <w:tc>
          <w:tcPr>
            <w:tcW w:w="816" w:type="dxa"/>
            <w:tcBorders>
              <w:top w:val="single" w:color="000000" w:sz="12" w:space="0"/>
              <w:left w:val="single" w:color="000000" w:sz="4" w:space="0"/>
              <w:bottom w:val="single" w:color="000000" w:sz="4" w:space="0"/>
              <w:right w:val="single" w:color="000000" w:sz="4" w:space="0"/>
            </w:tcBorders>
            <w:vAlign w:val="center"/>
          </w:tcPr>
          <w:p w14:paraId="22B18E1F">
            <w:pPr>
              <w:pStyle w:val="133"/>
              <w:rPr>
                <w:b/>
                <w:bCs/>
              </w:rPr>
            </w:pPr>
            <w:r>
              <w:rPr>
                <w:rFonts w:hint="eastAsia"/>
                <w:b/>
                <w:bCs/>
              </w:rPr>
              <w:t>产品名称</w:t>
            </w:r>
          </w:p>
        </w:tc>
        <w:tc>
          <w:tcPr>
            <w:tcW w:w="816" w:type="dxa"/>
            <w:tcBorders>
              <w:top w:val="single" w:color="000000" w:sz="12" w:space="0"/>
              <w:left w:val="single" w:color="000000" w:sz="4" w:space="0"/>
              <w:bottom w:val="single" w:color="000000" w:sz="4" w:space="0"/>
              <w:right w:val="single" w:color="000000" w:sz="4" w:space="0"/>
            </w:tcBorders>
            <w:vAlign w:val="center"/>
          </w:tcPr>
          <w:p w14:paraId="10A5FAE1">
            <w:pPr>
              <w:pStyle w:val="133"/>
              <w:rPr>
                <w:b/>
                <w:bCs/>
              </w:rPr>
            </w:pPr>
            <w:r>
              <w:rPr>
                <w:rFonts w:hint="eastAsia"/>
                <w:b/>
                <w:bCs/>
              </w:rPr>
              <w:t>单位</w:t>
            </w:r>
          </w:p>
        </w:tc>
        <w:tc>
          <w:tcPr>
            <w:tcW w:w="827" w:type="dxa"/>
            <w:tcBorders>
              <w:top w:val="single" w:color="000000" w:sz="12" w:space="0"/>
              <w:left w:val="single" w:color="000000" w:sz="4" w:space="0"/>
              <w:bottom w:val="single" w:color="000000" w:sz="4" w:space="0"/>
              <w:right w:val="single" w:color="000000" w:sz="4" w:space="0"/>
            </w:tcBorders>
            <w:vAlign w:val="center"/>
          </w:tcPr>
          <w:p w14:paraId="4A964562">
            <w:pPr>
              <w:pStyle w:val="133"/>
              <w:rPr>
                <w:b/>
                <w:bCs/>
              </w:rPr>
            </w:pPr>
            <w:r>
              <w:rPr>
                <w:b/>
                <w:bCs/>
              </w:rPr>
              <w:t>2021</w:t>
            </w:r>
            <w:r>
              <w:rPr>
                <w:rFonts w:hint="eastAsia"/>
                <w:b/>
                <w:bCs/>
              </w:rPr>
              <w:t>年</w:t>
            </w:r>
          </w:p>
        </w:tc>
        <w:tc>
          <w:tcPr>
            <w:tcW w:w="908" w:type="dxa"/>
            <w:tcBorders>
              <w:top w:val="single" w:color="000000" w:sz="12" w:space="0"/>
              <w:left w:val="single" w:color="000000" w:sz="4" w:space="0"/>
              <w:bottom w:val="single" w:color="000000" w:sz="4" w:space="0"/>
              <w:right w:val="single" w:color="000000" w:sz="4" w:space="0"/>
            </w:tcBorders>
            <w:vAlign w:val="center"/>
          </w:tcPr>
          <w:p w14:paraId="01F08A8F">
            <w:pPr>
              <w:pStyle w:val="133"/>
              <w:rPr>
                <w:b/>
                <w:bCs/>
              </w:rPr>
            </w:pPr>
            <w:r>
              <w:rPr>
                <w:b/>
                <w:bCs/>
              </w:rPr>
              <w:t>2022</w:t>
            </w:r>
            <w:r>
              <w:rPr>
                <w:rFonts w:hint="eastAsia"/>
                <w:b/>
                <w:bCs/>
              </w:rPr>
              <w:t>年</w:t>
            </w:r>
          </w:p>
        </w:tc>
        <w:tc>
          <w:tcPr>
            <w:tcW w:w="908" w:type="dxa"/>
            <w:tcBorders>
              <w:top w:val="single" w:color="000000" w:sz="12" w:space="0"/>
              <w:left w:val="single" w:color="000000" w:sz="4" w:space="0"/>
              <w:bottom w:val="single" w:color="000000" w:sz="4" w:space="0"/>
              <w:right w:val="single" w:color="000000" w:sz="4" w:space="0"/>
            </w:tcBorders>
            <w:vAlign w:val="center"/>
          </w:tcPr>
          <w:p w14:paraId="04004E25">
            <w:pPr>
              <w:pStyle w:val="133"/>
              <w:rPr>
                <w:b/>
                <w:bCs/>
              </w:rPr>
            </w:pPr>
            <w:r>
              <w:rPr>
                <w:b/>
                <w:bCs/>
              </w:rPr>
              <w:t>2023</w:t>
            </w:r>
            <w:r>
              <w:rPr>
                <w:rFonts w:hint="eastAsia"/>
                <w:b/>
                <w:bCs/>
              </w:rPr>
              <w:t>年</w:t>
            </w:r>
          </w:p>
        </w:tc>
        <w:tc>
          <w:tcPr>
            <w:tcW w:w="825" w:type="dxa"/>
            <w:tcBorders>
              <w:top w:val="single" w:color="000000" w:sz="12" w:space="0"/>
              <w:left w:val="single" w:color="000000" w:sz="4" w:space="0"/>
              <w:bottom w:val="single" w:color="000000" w:sz="4" w:space="0"/>
              <w:right w:val="single" w:color="000000" w:sz="12" w:space="0"/>
            </w:tcBorders>
            <w:vAlign w:val="center"/>
          </w:tcPr>
          <w:p w14:paraId="1AC28BC8">
            <w:pPr>
              <w:pStyle w:val="133"/>
              <w:rPr>
                <w:b/>
                <w:bCs/>
              </w:rPr>
            </w:pPr>
            <w:r>
              <w:rPr>
                <w:rFonts w:hint="eastAsia"/>
                <w:b/>
                <w:bCs/>
              </w:rPr>
              <w:t>设计值</w:t>
            </w:r>
          </w:p>
        </w:tc>
      </w:tr>
      <w:tr w14:paraId="2B3479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6" w:type="dxa"/>
            <w:tcBorders>
              <w:top w:val="single" w:color="000000" w:sz="4" w:space="0"/>
              <w:left w:val="single" w:color="000000" w:sz="12" w:space="0"/>
              <w:bottom w:val="single" w:color="000000" w:sz="4" w:space="0"/>
              <w:right w:val="single" w:color="000000" w:sz="4" w:space="0"/>
            </w:tcBorders>
            <w:vAlign w:val="center"/>
          </w:tcPr>
          <w:p w14:paraId="28C59E0D">
            <w:pPr>
              <w:pStyle w:val="133"/>
            </w:pPr>
            <w:r>
              <w:rPr>
                <w:rFonts w:hint="eastAsia"/>
              </w:rPr>
              <w:t>兰炭生产线</w:t>
            </w:r>
          </w:p>
        </w:tc>
        <w:tc>
          <w:tcPr>
            <w:tcW w:w="816" w:type="dxa"/>
            <w:tcBorders>
              <w:top w:val="single" w:color="000000" w:sz="4" w:space="0"/>
              <w:left w:val="single" w:color="000000" w:sz="4" w:space="0"/>
              <w:bottom w:val="single" w:color="000000" w:sz="4" w:space="0"/>
              <w:right w:val="single" w:color="000000" w:sz="4" w:space="0"/>
            </w:tcBorders>
            <w:vAlign w:val="center"/>
          </w:tcPr>
          <w:p w14:paraId="404D0EA2">
            <w:pPr>
              <w:pStyle w:val="133"/>
            </w:pPr>
            <w:r>
              <w:rPr>
                <w:rFonts w:hint="eastAsia"/>
              </w:rPr>
              <w:t>兰炭</w:t>
            </w:r>
          </w:p>
        </w:tc>
        <w:tc>
          <w:tcPr>
            <w:tcW w:w="816" w:type="dxa"/>
            <w:tcBorders>
              <w:top w:val="single" w:color="000000" w:sz="4" w:space="0"/>
              <w:left w:val="single" w:color="000000" w:sz="4" w:space="0"/>
              <w:bottom w:val="single" w:color="000000" w:sz="4" w:space="0"/>
              <w:right w:val="single" w:color="000000" w:sz="4" w:space="0"/>
            </w:tcBorders>
            <w:vAlign w:val="center"/>
          </w:tcPr>
          <w:p w14:paraId="67373DFE">
            <w:pPr>
              <w:pStyle w:val="133"/>
            </w:pPr>
            <w:r>
              <w:rPr>
                <w:rFonts w:hint="eastAsia"/>
              </w:rPr>
              <w:t>吨</w:t>
            </w:r>
            <w:r>
              <w:t>/</w:t>
            </w:r>
            <w:r>
              <w:rPr>
                <w:rFonts w:hint="eastAsia"/>
              </w:rPr>
              <w:t>年</w:t>
            </w:r>
          </w:p>
        </w:tc>
        <w:tc>
          <w:tcPr>
            <w:tcW w:w="827" w:type="dxa"/>
            <w:tcBorders>
              <w:top w:val="single" w:color="000000" w:sz="4" w:space="0"/>
              <w:left w:val="single" w:color="000000" w:sz="4" w:space="0"/>
              <w:bottom w:val="single" w:color="000000" w:sz="4" w:space="0"/>
              <w:right w:val="single" w:color="000000" w:sz="4" w:space="0"/>
            </w:tcBorders>
            <w:vAlign w:val="center"/>
          </w:tcPr>
          <w:p w14:paraId="4D523966">
            <w:pPr>
              <w:pStyle w:val="133"/>
            </w:pPr>
            <w:r>
              <w:t>98748.14</w:t>
            </w:r>
          </w:p>
        </w:tc>
        <w:tc>
          <w:tcPr>
            <w:tcW w:w="908" w:type="dxa"/>
            <w:tcBorders>
              <w:top w:val="single" w:color="000000" w:sz="4" w:space="0"/>
              <w:left w:val="single" w:color="000000" w:sz="4" w:space="0"/>
              <w:bottom w:val="single" w:color="000000" w:sz="4" w:space="0"/>
              <w:right w:val="single" w:color="000000" w:sz="4" w:space="0"/>
            </w:tcBorders>
            <w:vAlign w:val="center"/>
          </w:tcPr>
          <w:p w14:paraId="6670EF1F">
            <w:pPr>
              <w:pStyle w:val="133"/>
            </w:pPr>
            <w:r>
              <w:t>115329.57</w:t>
            </w:r>
          </w:p>
        </w:tc>
        <w:tc>
          <w:tcPr>
            <w:tcW w:w="908" w:type="dxa"/>
            <w:tcBorders>
              <w:top w:val="single" w:color="000000" w:sz="4" w:space="0"/>
              <w:left w:val="single" w:color="000000" w:sz="4" w:space="0"/>
              <w:bottom w:val="single" w:color="000000" w:sz="4" w:space="0"/>
              <w:right w:val="single" w:color="000000" w:sz="4" w:space="0"/>
            </w:tcBorders>
            <w:vAlign w:val="center"/>
          </w:tcPr>
          <w:p w14:paraId="159255C6">
            <w:pPr>
              <w:pStyle w:val="133"/>
            </w:pPr>
            <w:r>
              <w:t>181524.91</w:t>
            </w:r>
          </w:p>
        </w:tc>
        <w:tc>
          <w:tcPr>
            <w:tcW w:w="825" w:type="dxa"/>
            <w:tcBorders>
              <w:top w:val="single" w:color="000000" w:sz="4" w:space="0"/>
              <w:left w:val="single" w:color="000000" w:sz="4" w:space="0"/>
              <w:bottom w:val="single" w:color="000000" w:sz="4" w:space="0"/>
              <w:right w:val="single" w:color="000000" w:sz="12" w:space="0"/>
            </w:tcBorders>
            <w:vAlign w:val="center"/>
          </w:tcPr>
          <w:p w14:paraId="29F15AC8">
            <w:pPr>
              <w:pStyle w:val="133"/>
            </w:pPr>
            <w:r>
              <w:t>300000</w:t>
            </w:r>
          </w:p>
        </w:tc>
      </w:tr>
      <w:tr w14:paraId="6FD9AE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6" w:type="dxa"/>
            <w:tcBorders>
              <w:top w:val="single" w:color="000000" w:sz="4" w:space="0"/>
              <w:left w:val="single" w:color="000000" w:sz="12" w:space="0"/>
              <w:bottom w:val="single" w:color="000000" w:sz="4" w:space="0"/>
              <w:right w:val="single" w:color="000000" w:sz="4" w:space="0"/>
            </w:tcBorders>
            <w:vAlign w:val="center"/>
          </w:tcPr>
          <w:p w14:paraId="1736800C">
            <w:pPr>
              <w:pStyle w:val="133"/>
            </w:pPr>
            <w:r>
              <w:rPr>
                <w:rFonts w:hint="eastAsia"/>
              </w:rPr>
              <w:t>镁及镁合金生产线</w:t>
            </w:r>
          </w:p>
        </w:tc>
        <w:tc>
          <w:tcPr>
            <w:tcW w:w="816" w:type="dxa"/>
            <w:tcBorders>
              <w:top w:val="single" w:color="000000" w:sz="4" w:space="0"/>
              <w:left w:val="single" w:color="000000" w:sz="4" w:space="0"/>
              <w:bottom w:val="single" w:color="000000" w:sz="4" w:space="0"/>
              <w:right w:val="single" w:color="000000" w:sz="4" w:space="0"/>
            </w:tcBorders>
            <w:vAlign w:val="center"/>
          </w:tcPr>
          <w:p w14:paraId="20DB0502">
            <w:pPr>
              <w:pStyle w:val="133"/>
            </w:pPr>
            <w:r>
              <w:rPr>
                <w:rFonts w:hint="eastAsia"/>
              </w:rPr>
              <w:t>镁锭</w:t>
            </w:r>
          </w:p>
        </w:tc>
        <w:tc>
          <w:tcPr>
            <w:tcW w:w="816" w:type="dxa"/>
            <w:tcBorders>
              <w:top w:val="single" w:color="000000" w:sz="4" w:space="0"/>
              <w:left w:val="single" w:color="000000" w:sz="4" w:space="0"/>
              <w:bottom w:val="single" w:color="000000" w:sz="4" w:space="0"/>
              <w:right w:val="single" w:color="000000" w:sz="4" w:space="0"/>
            </w:tcBorders>
            <w:vAlign w:val="center"/>
          </w:tcPr>
          <w:p w14:paraId="0D5BDD7E">
            <w:pPr>
              <w:pStyle w:val="133"/>
            </w:pPr>
            <w:r>
              <w:rPr>
                <w:rFonts w:hint="eastAsia"/>
              </w:rPr>
              <w:t>吨</w:t>
            </w:r>
            <w:r>
              <w:t>/</w:t>
            </w:r>
            <w:r>
              <w:rPr>
                <w:rFonts w:hint="eastAsia"/>
              </w:rPr>
              <w:t>年</w:t>
            </w:r>
          </w:p>
        </w:tc>
        <w:tc>
          <w:tcPr>
            <w:tcW w:w="827" w:type="dxa"/>
            <w:tcBorders>
              <w:top w:val="single" w:color="000000" w:sz="4" w:space="0"/>
              <w:left w:val="single" w:color="000000" w:sz="4" w:space="0"/>
              <w:bottom w:val="single" w:color="000000" w:sz="4" w:space="0"/>
              <w:right w:val="single" w:color="000000" w:sz="4" w:space="0"/>
            </w:tcBorders>
            <w:vAlign w:val="center"/>
          </w:tcPr>
          <w:p w14:paraId="184CF45B">
            <w:pPr>
              <w:pStyle w:val="133"/>
            </w:pPr>
            <w:r>
              <w:t>13952.54</w:t>
            </w:r>
          </w:p>
        </w:tc>
        <w:tc>
          <w:tcPr>
            <w:tcW w:w="908" w:type="dxa"/>
            <w:tcBorders>
              <w:top w:val="single" w:color="000000" w:sz="4" w:space="0"/>
              <w:left w:val="single" w:color="000000" w:sz="4" w:space="0"/>
              <w:bottom w:val="single" w:color="000000" w:sz="4" w:space="0"/>
              <w:right w:val="single" w:color="000000" w:sz="4" w:space="0"/>
            </w:tcBorders>
            <w:vAlign w:val="center"/>
          </w:tcPr>
          <w:p w14:paraId="5B4708C5">
            <w:pPr>
              <w:pStyle w:val="133"/>
            </w:pPr>
            <w:r>
              <w:t>17745.07</w:t>
            </w:r>
          </w:p>
        </w:tc>
        <w:tc>
          <w:tcPr>
            <w:tcW w:w="908" w:type="dxa"/>
            <w:tcBorders>
              <w:top w:val="single" w:color="000000" w:sz="4" w:space="0"/>
              <w:left w:val="single" w:color="000000" w:sz="4" w:space="0"/>
              <w:bottom w:val="single" w:color="000000" w:sz="4" w:space="0"/>
              <w:right w:val="single" w:color="000000" w:sz="4" w:space="0"/>
            </w:tcBorders>
            <w:vAlign w:val="center"/>
          </w:tcPr>
          <w:p w14:paraId="4F2852DE">
            <w:pPr>
              <w:pStyle w:val="133"/>
            </w:pPr>
            <w:r>
              <w:t>16685.87</w:t>
            </w:r>
          </w:p>
        </w:tc>
        <w:tc>
          <w:tcPr>
            <w:tcW w:w="825" w:type="dxa"/>
            <w:tcBorders>
              <w:top w:val="single" w:color="000000" w:sz="4" w:space="0"/>
              <w:left w:val="single" w:color="000000" w:sz="4" w:space="0"/>
              <w:bottom w:val="single" w:color="000000" w:sz="4" w:space="0"/>
              <w:right w:val="single" w:color="000000" w:sz="12" w:space="0"/>
            </w:tcBorders>
            <w:vAlign w:val="center"/>
          </w:tcPr>
          <w:p w14:paraId="58FFFEAA">
            <w:pPr>
              <w:pStyle w:val="133"/>
            </w:pPr>
            <w:r>
              <w:t>25000</w:t>
            </w:r>
          </w:p>
        </w:tc>
      </w:tr>
      <w:tr w14:paraId="39C1A5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6" w:type="dxa"/>
            <w:tcBorders>
              <w:top w:val="single" w:color="000000" w:sz="4" w:space="0"/>
              <w:left w:val="single" w:color="000000" w:sz="12" w:space="0"/>
              <w:bottom w:val="single" w:color="000000" w:sz="12" w:space="0"/>
              <w:right w:val="single" w:color="000000" w:sz="4" w:space="0"/>
            </w:tcBorders>
            <w:vAlign w:val="center"/>
          </w:tcPr>
          <w:p w14:paraId="0D13CFA8">
            <w:pPr>
              <w:pStyle w:val="133"/>
            </w:pPr>
            <w:bookmarkStart w:id="219" w:name="OLE_LINK49"/>
            <w:r>
              <w:rPr>
                <w:rFonts w:hint="eastAsia"/>
              </w:rPr>
              <w:t xml:space="preserve"> 硅铁生产线</w:t>
            </w:r>
            <w:bookmarkEnd w:id="219"/>
          </w:p>
        </w:tc>
        <w:tc>
          <w:tcPr>
            <w:tcW w:w="816" w:type="dxa"/>
            <w:tcBorders>
              <w:top w:val="single" w:color="000000" w:sz="4" w:space="0"/>
              <w:left w:val="single" w:color="000000" w:sz="4" w:space="0"/>
              <w:bottom w:val="single" w:color="000000" w:sz="12" w:space="0"/>
              <w:right w:val="single" w:color="000000" w:sz="4" w:space="0"/>
            </w:tcBorders>
            <w:vAlign w:val="center"/>
          </w:tcPr>
          <w:p w14:paraId="4C122A23">
            <w:pPr>
              <w:pStyle w:val="133"/>
            </w:pPr>
            <w:r>
              <w:rPr>
                <w:rFonts w:hint="eastAsia"/>
              </w:rPr>
              <w:t>硅铁</w:t>
            </w:r>
          </w:p>
        </w:tc>
        <w:tc>
          <w:tcPr>
            <w:tcW w:w="816" w:type="dxa"/>
            <w:tcBorders>
              <w:top w:val="single" w:color="000000" w:sz="4" w:space="0"/>
              <w:left w:val="single" w:color="000000" w:sz="4" w:space="0"/>
              <w:bottom w:val="single" w:color="000000" w:sz="12" w:space="0"/>
              <w:right w:val="single" w:color="000000" w:sz="4" w:space="0"/>
            </w:tcBorders>
            <w:vAlign w:val="center"/>
          </w:tcPr>
          <w:p w14:paraId="6FE74CD7">
            <w:pPr>
              <w:pStyle w:val="133"/>
            </w:pPr>
            <w:r>
              <w:rPr>
                <w:rFonts w:hint="eastAsia"/>
              </w:rPr>
              <w:t>吨</w:t>
            </w:r>
            <w:r>
              <w:t>/</w:t>
            </w:r>
            <w:r>
              <w:rPr>
                <w:rFonts w:hint="eastAsia"/>
              </w:rPr>
              <w:t>年</w:t>
            </w:r>
          </w:p>
        </w:tc>
        <w:tc>
          <w:tcPr>
            <w:tcW w:w="827" w:type="dxa"/>
            <w:tcBorders>
              <w:top w:val="single" w:color="000000" w:sz="4" w:space="0"/>
              <w:left w:val="single" w:color="000000" w:sz="4" w:space="0"/>
              <w:bottom w:val="single" w:color="000000" w:sz="12" w:space="0"/>
              <w:right w:val="single" w:color="000000" w:sz="4" w:space="0"/>
            </w:tcBorders>
            <w:vAlign w:val="center"/>
          </w:tcPr>
          <w:p w14:paraId="177BC2ED">
            <w:pPr>
              <w:pStyle w:val="133"/>
            </w:pPr>
            <w:r>
              <w:t>46930.52</w:t>
            </w:r>
          </w:p>
        </w:tc>
        <w:tc>
          <w:tcPr>
            <w:tcW w:w="908" w:type="dxa"/>
            <w:tcBorders>
              <w:top w:val="single" w:color="000000" w:sz="4" w:space="0"/>
              <w:left w:val="single" w:color="000000" w:sz="4" w:space="0"/>
              <w:bottom w:val="single" w:color="000000" w:sz="12" w:space="0"/>
              <w:right w:val="single" w:color="000000" w:sz="4" w:space="0"/>
            </w:tcBorders>
            <w:vAlign w:val="center"/>
          </w:tcPr>
          <w:p w14:paraId="01F1CA74">
            <w:pPr>
              <w:pStyle w:val="133"/>
            </w:pPr>
            <w:r>
              <w:t>40977.01</w:t>
            </w:r>
          </w:p>
        </w:tc>
        <w:tc>
          <w:tcPr>
            <w:tcW w:w="908" w:type="dxa"/>
            <w:tcBorders>
              <w:top w:val="single" w:color="000000" w:sz="4" w:space="0"/>
              <w:left w:val="single" w:color="000000" w:sz="4" w:space="0"/>
              <w:bottom w:val="single" w:color="000000" w:sz="12" w:space="0"/>
              <w:right w:val="single" w:color="000000" w:sz="4" w:space="0"/>
            </w:tcBorders>
            <w:vAlign w:val="center"/>
          </w:tcPr>
          <w:p w14:paraId="33F07B24">
            <w:pPr>
              <w:pStyle w:val="133"/>
            </w:pPr>
            <w:r>
              <w:t>43290.24</w:t>
            </w:r>
          </w:p>
        </w:tc>
        <w:tc>
          <w:tcPr>
            <w:tcW w:w="825" w:type="dxa"/>
            <w:tcBorders>
              <w:top w:val="single" w:color="000000" w:sz="4" w:space="0"/>
              <w:left w:val="single" w:color="000000" w:sz="4" w:space="0"/>
              <w:bottom w:val="single" w:color="000000" w:sz="12" w:space="0"/>
              <w:right w:val="single" w:color="000000" w:sz="12" w:space="0"/>
            </w:tcBorders>
            <w:vAlign w:val="center"/>
          </w:tcPr>
          <w:p w14:paraId="2BB0D3FF">
            <w:pPr>
              <w:pStyle w:val="133"/>
            </w:pPr>
            <w:r>
              <w:t>50000</w:t>
            </w:r>
          </w:p>
        </w:tc>
      </w:tr>
    </w:tbl>
    <w:p w14:paraId="55023383">
      <w:pPr>
        <w:pStyle w:val="118"/>
        <w:jc w:val="both"/>
        <w:rPr>
          <w:b w:val="0"/>
          <w:bCs/>
        </w:rPr>
      </w:pPr>
      <w:r>
        <w:rPr>
          <w:rFonts w:hint="eastAsia"/>
        </w:rPr>
        <w:t xml:space="preserve">    </w:t>
      </w:r>
      <w:r>
        <w:rPr>
          <w:rFonts w:hint="eastAsia"/>
          <w:b w:val="0"/>
          <w:bCs/>
        </w:rPr>
        <w:t>其中兰炭生产线主要以生产煤气为主，所以兰炭产量偏低。</w:t>
      </w:r>
    </w:p>
    <w:p w14:paraId="507F0F77">
      <w:pPr>
        <w:pStyle w:val="118"/>
        <w:ind w:firstLine="360"/>
      </w:pPr>
      <w:r>
        <w:rPr>
          <w:rFonts w:hint="eastAsia"/>
        </w:rPr>
        <w:t>表</w:t>
      </w:r>
      <w:r>
        <w:t>2.2</w:t>
      </w:r>
      <w:r>
        <w:rPr>
          <w:rFonts w:hint="eastAsia"/>
        </w:rPr>
        <w:t>-3</w:t>
      </w:r>
      <w:r>
        <w:t xml:space="preserve"> </w:t>
      </w:r>
      <w:r>
        <w:rPr>
          <w:rFonts w:hint="eastAsia"/>
        </w:rPr>
        <w:t>产品方案表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26"/>
        <w:gridCol w:w="2326"/>
        <w:gridCol w:w="2326"/>
        <w:gridCol w:w="2327"/>
      </w:tblGrid>
      <w:tr w14:paraId="72FF76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tcBorders>
              <w:top w:val="single" w:color="000000" w:sz="12" w:space="0"/>
              <w:left w:val="single" w:color="000000" w:sz="12" w:space="0"/>
              <w:bottom w:val="single" w:color="000000" w:sz="4" w:space="0"/>
              <w:right w:val="single" w:color="000000" w:sz="4" w:space="0"/>
            </w:tcBorders>
            <w:vAlign w:val="center"/>
          </w:tcPr>
          <w:p w14:paraId="35813122">
            <w:pPr>
              <w:pStyle w:val="38"/>
              <w:ind w:firstLine="0" w:firstLineChars="0"/>
              <w:jc w:val="center"/>
              <w:rPr>
                <w:b/>
                <w:bCs/>
                <w:sz w:val="21"/>
                <w:szCs w:val="21"/>
              </w:rPr>
            </w:pPr>
            <w:r>
              <w:rPr>
                <w:rFonts w:hint="eastAsia"/>
                <w:b/>
                <w:bCs/>
                <w:sz w:val="21"/>
                <w:szCs w:val="21"/>
              </w:rPr>
              <w:t>生产线</w:t>
            </w:r>
          </w:p>
        </w:tc>
        <w:tc>
          <w:tcPr>
            <w:tcW w:w="1250" w:type="pct"/>
            <w:tcBorders>
              <w:top w:val="single" w:color="000000" w:sz="12" w:space="0"/>
              <w:left w:val="single" w:color="000000" w:sz="4" w:space="0"/>
              <w:bottom w:val="single" w:color="000000" w:sz="4" w:space="0"/>
              <w:right w:val="single" w:color="000000" w:sz="4" w:space="0"/>
            </w:tcBorders>
            <w:vAlign w:val="center"/>
          </w:tcPr>
          <w:p w14:paraId="3846A438">
            <w:pPr>
              <w:pStyle w:val="38"/>
              <w:ind w:firstLine="0" w:firstLineChars="0"/>
              <w:jc w:val="center"/>
              <w:rPr>
                <w:b/>
                <w:bCs/>
                <w:sz w:val="21"/>
                <w:szCs w:val="21"/>
              </w:rPr>
            </w:pPr>
            <w:r>
              <w:rPr>
                <w:rFonts w:hint="eastAsia"/>
                <w:b/>
                <w:bCs/>
                <w:sz w:val="21"/>
                <w:szCs w:val="21"/>
              </w:rPr>
              <w:t>产品名称</w:t>
            </w:r>
          </w:p>
        </w:tc>
        <w:tc>
          <w:tcPr>
            <w:tcW w:w="1250" w:type="pct"/>
            <w:tcBorders>
              <w:top w:val="single" w:color="000000" w:sz="12" w:space="0"/>
              <w:left w:val="single" w:color="000000" w:sz="4" w:space="0"/>
              <w:bottom w:val="single" w:color="000000" w:sz="4" w:space="0"/>
              <w:right w:val="single" w:color="000000" w:sz="4" w:space="0"/>
            </w:tcBorders>
            <w:vAlign w:val="center"/>
          </w:tcPr>
          <w:p w14:paraId="0916BB09">
            <w:pPr>
              <w:pStyle w:val="38"/>
              <w:ind w:firstLine="0" w:firstLineChars="0"/>
              <w:jc w:val="center"/>
              <w:rPr>
                <w:b/>
                <w:bCs/>
                <w:sz w:val="21"/>
                <w:szCs w:val="21"/>
              </w:rPr>
            </w:pPr>
            <w:r>
              <w:rPr>
                <w:rFonts w:hint="eastAsia"/>
                <w:b/>
                <w:bCs/>
                <w:sz w:val="21"/>
                <w:szCs w:val="21"/>
              </w:rPr>
              <w:t>单位</w:t>
            </w:r>
          </w:p>
        </w:tc>
        <w:tc>
          <w:tcPr>
            <w:tcW w:w="1250" w:type="pct"/>
            <w:tcBorders>
              <w:top w:val="single" w:color="000000" w:sz="12" w:space="0"/>
              <w:left w:val="single" w:color="000000" w:sz="4" w:space="0"/>
              <w:bottom w:val="single" w:color="000000" w:sz="4" w:space="0"/>
              <w:right w:val="single" w:color="000000" w:sz="12" w:space="0"/>
            </w:tcBorders>
            <w:vAlign w:val="center"/>
          </w:tcPr>
          <w:p w14:paraId="4811EEB5">
            <w:pPr>
              <w:pStyle w:val="38"/>
              <w:ind w:firstLine="0" w:firstLineChars="0"/>
              <w:jc w:val="center"/>
              <w:rPr>
                <w:b/>
                <w:bCs/>
                <w:sz w:val="21"/>
                <w:szCs w:val="21"/>
              </w:rPr>
            </w:pPr>
            <w:r>
              <w:rPr>
                <w:rFonts w:hint="eastAsia"/>
                <w:b/>
                <w:bCs/>
                <w:sz w:val="21"/>
                <w:szCs w:val="21"/>
              </w:rPr>
              <w:t>设计值</w:t>
            </w:r>
          </w:p>
        </w:tc>
      </w:tr>
      <w:tr w14:paraId="2B9243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restart"/>
            <w:tcBorders>
              <w:top w:val="single" w:color="000000" w:sz="4" w:space="0"/>
              <w:left w:val="single" w:color="000000" w:sz="12" w:space="0"/>
              <w:bottom w:val="single" w:color="000000" w:sz="4" w:space="0"/>
              <w:right w:val="single" w:color="000000" w:sz="4" w:space="0"/>
            </w:tcBorders>
            <w:vAlign w:val="center"/>
          </w:tcPr>
          <w:p w14:paraId="4D743FDD">
            <w:pPr>
              <w:pStyle w:val="38"/>
              <w:ind w:firstLine="0" w:firstLineChars="0"/>
              <w:jc w:val="center"/>
              <w:rPr>
                <w:sz w:val="21"/>
                <w:szCs w:val="21"/>
              </w:rPr>
            </w:pPr>
            <w:r>
              <w:rPr>
                <w:rFonts w:hint="eastAsia"/>
                <w:sz w:val="21"/>
                <w:szCs w:val="21"/>
              </w:rPr>
              <w:t>兰炭生产线</w:t>
            </w:r>
          </w:p>
        </w:tc>
        <w:tc>
          <w:tcPr>
            <w:tcW w:w="1250" w:type="pct"/>
            <w:tcBorders>
              <w:top w:val="single" w:color="000000" w:sz="4" w:space="0"/>
              <w:left w:val="single" w:color="000000" w:sz="4" w:space="0"/>
              <w:bottom w:val="single" w:color="000000" w:sz="4" w:space="0"/>
              <w:right w:val="single" w:color="000000" w:sz="4" w:space="0"/>
            </w:tcBorders>
            <w:vAlign w:val="center"/>
          </w:tcPr>
          <w:p w14:paraId="7FC2DB1F">
            <w:pPr>
              <w:pStyle w:val="38"/>
              <w:ind w:firstLine="0" w:firstLineChars="0"/>
              <w:jc w:val="center"/>
              <w:rPr>
                <w:sz w:val="21"/>
                <w:szCs w:val="21"/>
              </w:rPr>
            </w:pPr>
            <w:r>
              <w:rPr>
                <w:rFonts w:hint="eastAsia"/>
                <w:sz w:val="21"/>
                <w:szCs w:val="21"/>
              </w:rPr>
              <w:t>兰炭</w:t>
            </w:r>
          </w:p>
        </w:tc>
        <w:tc>
          <w:tcPr>
            <w:tcW w:w="1250" w:type="pct"/>
            <w:tcBorders>
              <w:top w:val="single" w:color="000000" w:sz="4" w:space="0"/>
              <w:left w:val="single" w:color="000000" w:sz="4" w:space="0"/>
              <w:bottom w:val="single" w:color="000000" w:sz="4" w:space="0"/>
              <w:right w:val="single" w:color="000000" w:sz="4" w:space="0"/>
            </w:tcBorders>
            <w:vAlign w:val="center"/>
          </w:tcPr>
          <w:p w14:paraId="715D2C4B">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1E793927">
            <w:pPr>
              <w:pStyle w:val="38"/>
              <w:ind w:firstLine="0" w:firstLineChars="0"/>
              <w:jc w:val="center"/>
              <w:rPr>
                <w:sz w:val="21"/>
                <w:szCs w:val="21"/>
              </w:rPr>
            </w:pPr>
            <w:r>
              <w:rPr>
                <w:sz w:val="21"/>
                <w:szCs w:val="21"/>
              </w:rPr>
              <w:t>300000</w:t>
            </w:r>
          </w:p>
        </w:tc>
      </w:tr>
      <w:tr w14:paraId="7D2956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4" w:space="0"/>
              <w:right w:val="single" w:color="000000" w:sz="4" w:space="0"/>
            </w:tcBorders>
            <w:vAlign w:val="center"/>
          </w:tcPr>
          <w:p w14:paraId="2522C77A">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4" w:space="0"/>
              <w:right w:val="single" w:color="000000" w:sz="4" w:space="0"/>
            </w:tcBorders>
            <w:vAlign w:val="center"/>
          </w:tcPr>
          <w:p w14:paraId="424B5BED">
            <w:pPr>
              <w:pStyle w:val="38"/>
              <w:ind w:firstLine="0" w:firstLineChars="0"/>
              <w:jc w:val="center"/>
              <w:rPr>
                <w:sz w:val="21"/>
                <w:szCs w:val="21"/>
              </w:rPr>
            </w:pPr>
            <w:r>
              <w:rPr>
                <w:rFonts w:hint="eastAsia"/>
                <w:sz w:val="21"/>
                <w:szCs w:val="21"/>
              </w:rPr>
              <w:t>煤气</w:t>
            </w:r>
          </w:p>
        </w:tc>
        <w:tc>
          <w:tcPr>
            <w:tcW w:w="1250" w:type="pct"/>
            <w:tcBorders>
              <w:top w:val="single" w:color="000000" w:sz="4" w:space="0"/>
              <w:left w:val="single" w:color="000000" w:sz="4" w:space="0"/>
              <w:bottom w:val="single" w:color="000000" w:sz="4" w:space="0"/>
              <w:right w:val="single" w:color="000000" w:sz="4" w:space="0"/>
            </w:tcBorders>
            <w:vAlign w:val="center"/>
          </w:tcPr>
          <w:p w14:paraId="60126D4F">
            <w:pPr>
              <w:pStyle w:val="38"/>
              <w:ind w:firstLine="0" w:firstLineChars="0"/>
              <w:jc w:val="center"/>
              <w:rPr>
                <w:sz w:val="21"/>
                <w:szCs w:val="21"/>
              </w:rPr>
            </w:pPr>
            <w:r>
              <w:rPr>
                <w:rFonts w:hint="eastAsia"/>
                <w:sz w:val="21"/>
                <w:szCs w:val="21"/>
              </w:rPr>
              <w:t>万立方米</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3DF86437">
            <w:pPr>
              <w:pStyle w:val="38"/>
              <w:ind w:firstLine="0" w:firstLineChars="0"/>
              <w:jc w:val="center"/>
              <w:rPr>
                <w:sz w:val="21"/>
                <w:szCs w:val="21"/>
              </w:rPr>
            </w:pPr>
            <w:r>
              <w:rPr>
                <w:sz w:val="21"/>
                <w:szCs w:val="21"/>
              </w:rPr>
              <w:t>43560</w:t>
            </w:r>
          </w:p>
        </w:tc>
      </w:tr>
      <w:tr w14:paraId="4DABDD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4" w:space="0"/>
              <w:right w:val="single" w:color="000000" w:sz="4" w:space="0"/>
            </w:tcBorders>
            <w:vAlign w:val="center"/>
          </w:tcPr>
          <w:p w14:paraId="35F26D4D">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4" w:space="0"/>
              <w:right w:val="single" w:color="000000" w:sz="4" w:space="0"/>
            </w:tcBorders>
            <w:vAlign w:val="center"/>
          </w:tcPr>
          <w:p w14:paraId="3058038E">
            <w:pPr>
              <w:pStyle w:val="38"/>
              <w:ind w:firstLine="0" w:firstLineChars="0"/>
              <w:jc w:val="center"/>
              <w:rPr>
                <w:sz w:val="21"/>
                <w:szCs w:val="21"/>
              </w:rPr>
            </w:pPr>
            <w:r>
              <w:rPr>
                <w:rFonts w:hint="eastAsia"/>
                <w:sz w:val="21"/>
                <w:szCs w:val="21"/>
              </w:rPr>
              <w:t>煤焦油</w:t>
            </w:r>
          </w:p>
        </w:tc>
        <w:tc>
          <w:tcPr>
            <w:tcW w:w="1250" w:type="pct"/>
            <w:tcBorders>
              <w:top w:val="single" w:color="000000" w:sz="4" w:space="0"/>
              <w:left w:val="single" w:color="000000" w:sz="4" w:space="0"/>
              <w:bottom w:val="single" w:color="000000" w:sz="4" w:space="0"/>
              <w:right w:val="single" w:color="000000" w:sz="4" w:space="0"/>
            </w:tcBorders>
            <w:vAlign w:val="center"/>
          </w:tcPr>
          <w:p w14:paraId="3B8D3D98">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3480D659">
            <w:pPr>
              <w:pStyle w:val="38"/>
              <w:ind w:firstLine="0" w:firstLineChars="0"/>
              <w:jc w:val="center"/>
              <w:rPr>
                <w:sz w:val="21"/>
                <w:szCs w:val="21"/>
              </w:rPr>
            </w:pPr>
            <w:r>
              <w:rPr>
                <w:sz w:val="21"/>
                <w:szCs w:val="21"/>
              </w:rPr>
              <w:t>15000</w:t>
            </w:r>
          </w:p>
        </w:tc>
      </w:tr>
      <w:tr w14:paraId="37A90D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tcBorders>
              <w:top w:val="single" w:color="000000" w:sz="4" w:space="0"/>
              <w:left w:val="single" w:color="000000" w:sz="12" w:space="0"/>
              <w:bottom w:val="single" w:color="000000" w:sz="4" w:space="0"/>
              <w:right w:val="single" w:color="000000" w:sz="4" w:space="0"/>
            </w:tcBorders>
            <w:vAlign w:val="center"/>
          </w:tcPr>
          <w:p w14:paraId="556D1BB8">
            <w:pPr>
              <w:pStyle w:val="38"/>
              <w:ind w:firstLine="0" w:firstLineChars="0"/>
              <w:jc w:val="center"/>
              <w:rPr>
                <w:sz w:val="21"/>
                <w:szCs w:val="21"/>
              </w:rPr>
            </w:pPr>
            <w:r>
              <w:rPr>
                <w:rFonts w:hint="eastAsia"/>
                <w:sz w:val="21"/>
                <w:szCs w:val="21"/>
              </w:rPr>
              <w:t>镁及镁合金生产线</w:t>
            </w:r>
          </w:p>
        </w:tc>
        <w:tc>
          <w:tcPr>
            <w:tcW w:w="1250" w:type="pct"/>
            <w:tcBorders>
              <w:top w:val="single" w:color="000000" w:sz="4" w:space="0"/>
              <w:left w:val="single" w:color="000000" w:sz="4" w:space="0"/>
              <w:bottom w:val="single" w:color="000000" w:sz="4" w:space="0"/>
              <w:right w:val="single" w:color="000000" w:sz="4" w:space="0"/>
            </w:tcBorders>
            <w:vAlign w:val="center"/>
          </w:tcPr>
          <w:p w14:paraId="55CD4725">
            <w:pPr>
              <w:pStyle w:val="38"/>
              <w:ind w:firstLine="0" w:firstLineChars="0"/>
              <w:jc w:val="center"/>
              <w:rPr>
                <w:sz w:val="21"/>
                <w:szCs w:val="21"/>
              </w:rPr>
            </w:pPr>
            <w:r>
              <w:rPr>
                <w:rFonts w:hint="eastAsia"/>
                <w:sz w:val="21"/>
                <w:szCs w:val="21"/>
              </w:rPr>
              <w:t>镁锭</w:t>
            </w:r>
          </w:p>
        </w:tc>
        <w:tc>
          <w:tcPr>
            <w:tcW w:w="1250" w:type="pct"/>
            <w:tcBorders>
              <w:top w:val="single" w:color="000000" w:sz="4" w:space="0"/>
              <w:left w:val="single" w:color="000000" w:sz="4" w:space="0"/>
              <w:bottom w:val="single" w:color="000000" w:sz="4" w:space="0"/>
              <w:right w:val="single" w:color="000000" w:sz="4" w:space="0"/>
            </w:tcBorders>
            <w:vAlign w:val="center"/>
          </w:tcPr>
          <w:p w14:paraId="3F2F4676">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13AEE58D">
            <w:pPr>
              <w:pStyle w:val="38"/>
              <w:ind w:firstLine="0" w:firstLineChars="0"/>
              <w:jc w:val="center"/>
              <w:rPr>
                <w:sz w:val="21"/>
                <w:szCs w:val="21"/>
              </w:rPr>
            </w:pPr>
            <w:r>
              <w:rPr>
                <w:sz w:val="21"/>
                <w:szCs w:val="21"/>
              </w:rPr>
              <w:t>25000</w:t>
            </w:r>
          </w:p>
        </w:tc>
      </w:tr>
      <w:tr w14:paraId="7D1BB6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restart"/>
            <w:tcBorders>
              <w:top w:val="single" w:color="000000" w:sz="4" w:space="0"/>
              <w:left w:val="single" w:color="000000" w:sz="12" w:space="0"/>
              <w:bottom w:val="single" w:color="000000" w:sz="12" w:space="0"/>
              <w:right w:val="single" w:color="000000" w:sz="4" w:space="0"/>
            </w:tcBorders>
            <w:vAlign w:val="center"/>
          </w:tcPr>
          <w:p w14:paraId="6B662906">
            <w:pPr>
              <w:pStyle w:val="38"/>
              <w:ind w:firstLine="0" w:firstLineChars="0"/>
              <w:jc w:val="center"/>
              <w:rPr>
                <w:sz w:val="21"/>
                <w:szCs w:val="21"/>
              </w:rPr>
            </w:pPr>
            <w:r>
              <w:rPr>
                <w:rFonts w:hint="eastAsia"/>
                <w:sz w:val="21"/>
                <w:szCs w:val="21"/>
              </w:rPr>
              <w:t>硅铁生产线</w:t>
            </w:r>
          </w:p>
        </w:tc>
        <w:tc>
          <w:tcPr>
            <w:tcW w:w="1250" w:type="pct"/>
            <w:tcBorders>
              <w:top w:val="single" w:color="000000" w:sz="4" w:space="0"/>
              <w:left w:val="single" w:color="000000" w:sz="4" w:space="0"/>
              <w:bottom w:val="single" w:color="000000" w:sz="4" w:space="0"/>
              <w:right w:val="single" w:color="000000" w:sz="4" w:space="0"/>
            </w:tcBorders>
            <w:vAlign w:val="center"/>
          </w:tcPr>
          <w:p w14:paraId="4940B6B4">
            <w:pPr>
              <w:pStyle w:val="38"/>
              <w:ind w:firstLine="0" w:firstLineChars="0"/>
              <w:jc w:val="center"/>
              <w:rPr>
                <w:sz w:val="21"/>
                <w:szCs w:val="21"/>
              </w:rPr>
            </w:pPr>
            <w:r>
              <w:rPr>
                <w:rFonts w:hint="eastAsia"/>
                <w:sz w:val="21"/>
                <w:szCs w:val="21"/>
              </w:rPr>
              <w:t>硅铁</w:t>
            </w:r>
          </w:p>
        </w:tc>
        <w:tc>
          <w:tcPr>
            <w:tcW w:w="1250" w:type="pct"/>
            <w:tcBorders>
              <w:top w:val="single" w:color="000000" w:sz="4" w:space="0"/>
              <w:left w:val="single" w:color="000000" w:sz="4" w:space="0"/>
              <w:bottom w:val="single" w:color="000000" w:sz="4" w:space="0"/>
              <w:right w:val="single" w:color="000000" w:sz="4" w:space="0"/>
            </w:tcBorders>
            <w:vAlign w:val="center"/>
          </w:tcPr>
          <w:p w14:paraId="52ADE40B">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74124CDD">
            <w:pPr>
              <w:pStyle w:val="38"/>
              <w:ind w:firstLine="0" w:firstLineChars="0"/>
              <w:jc w:val="center"/>
              <w:rPr>
                <w:sz w:val="21"/>
                <w:szCs w:val="21"/>
              </w:rPr>
            </w:pPr>
            <w:r>
              <w:rPr>
                <w:sz w:val="21"/>
                <w:szCs w:val="21"/>
              </w:rPr>
              <w:t>50000</w:t>
            </w:r>
          </w:p>
        </w:tc>
      </w:tr>
      <w:tr w14:paraId="4F4C71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12" w:space="0"/>
              <w:right w:val="single" w:color="000000" w:sz="4" w:space="0"/>
            </w:tcBorders>
            <w:vAlign w:val="center"/>
          </w:tcPr>
          <w:p w14:paraId="2B32E624">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12" w:space="0"/>
              <w:right w:val="single" w:color="000000" w:sz="4" w:space="0"/>
            </w:tcBorders>
            <w:vAlign w:val="center"/>
          </w:tcPr>
          <w:p w14:paraId="5AB3CBDE">
            <w:pPr>
              <w:pStyle w:val="38"/>
              <w:ind w:firstLine="0" w:firstLineChars="0"/>
              <w:jc w:val="center"/>
              <w:rPr>
                <w:sz w:val="21"/>
                <w:szCs w:val="21"/>
              </w:rPr>
            </w:pPr>
            <w:r>
              <w:rPr>
                <w:rFonts w:hint="eastAsia"/>
                <w:sz w:val="21"/>
                <w:szCs w:val="21"/>
              </w:rPr>
              <w:t>硅微粉</w:t>
            </w:r>
          </w:p>
        </w:tc>
        <w:tc>
          <w:tcPr>
            <w:tcW w:w="1250" w:type="pct"/>
            <w:tcBorders>
              <w:top w:val="single" w:color="000000" w:sz="4" w:space="0"/>
              <w:left w:val="single" w:color="000000" w:sz="4" w:space="0"/>
              <w:bottom w:val="single" w:color="000000" w:sz="12" w:space="0"/>
              <w:right w:val="single" w:color="000000" w:sz="4" w:space="0"/>
            </w:tcBorders>
            <w:vAlign w:val="center"/>
          </w:tcPr>
          <w:p w14:paraId="3EA0E6DB">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12" w:space="0"/>
              <w:right w:val="single" w:color="000000" w:sz="12" w:space="0"/>
            </w:tcBorders>
            <w:vAlign w:val="center"/>
          </w:tcPr>
          <w:p w14:paraId="3DC525EB">
            <w:pPr>
              <w:pStyle w:val="38"/>
              <w:ind w:firstLine="0" w:firstLineChars="0"/>
              <w:jc w:val="center"/>
              <w:rPr>
                <w:sz w:val="21"/>
                <w:szCs w:val="21"/>
              </w:rPr>
            </w:pPr>
            <w:r>
              <w:rPr>
                <w:sz w:val="21"/>
                <w:szCs w:val="21"/>
              </w:rPr>
              <w:t>11000</w:t>
            </w:r>
          </w:p>
        </w:tc>
      </w:tr>
    </w:tbl>
    <w:p w14:paraId="42A56063">
      <w:pPr>
        <w:pStyle w:val="138"/>
        <w:rPr>
          <w:rFonts w:hint="eastAsia"/>
        </w:rPr>
      </w:pPr>
      <w:r>
        <w:rPr>
          <w:rFonts w:hint="eastAsia"/>
        </w:rPr>
        <w:t>原辅材料及公用工程消耗</w:t>
      </w:r>
    </w:p>
    <w:p w14:paraId="5D6F95DF">
      <w:pPr>
        <w:pStyle w:val="38"/>
        <w:spacing w:line="360" w:lineRule="auto"/>
        <w:ind w:left="400" w:firstLine="480"/>
      </w:pPr>
      <w:r>
        <w:rPr>
          <w:rFonts w:hint="eastAsia"/>
        </w:rPr>
        <w:t>本工程所需的主要原料为煤、白云石、硅铁、硅石铁矿球团等，均在自治区内外市场购买。</w:t>
      </w:r>
      <w:r>
        <w:t xml:space="preserve"> </w:t>
      </w:r>
    </w:p>
    <w:p w14:paraId="1CD57909">
      <w:pPr>
        <w:pStyle w:val="38"/>
        <w:spacing w:line="360" w:lineRule="auto"/>
        <w:ind w:left="400" w:firstLine="480"/>
      </w:pPr>
      <w:r>
        <w:rPr>
          <w:rFonts w:hint="eastAsia"/>
        </w:rPr>
        <w:t>项目主要原辅材料及燃料及动力消耗表消耗见表</w:t>
      </w:r>
      <w:r>
        <w:t>2.2</w:t>
      </w:r>
      <w:r>
        <w:rPr>
          <w:rFonts w:hint="eastAsia"/>
        </w:rPr>
        <w:t>-4。</w:t>
      </w:r>
    </w:p>
    <w:p w14:paraId="44910CC3">
      <w:pPr>
        <w:pStyle w:val="118"/>
        <w:ind w:firstLine="360"/>
      </w:pPr>
      <w:r>
        <w:rPr>
          <w:rFonts w:hint="eastAsia"/>
        </w:rPr>
        <w:t>表</w:t>
      </w:r>
      <w:r>
        <w:t>2.2</w:t>
      </w:r>
      <w:r>
        <w:rPr>
          <w:rFonts w:hint="eastAsia"/>
        </w:rPr>
        <w:t>-4</w:t>
      </w:r>
      <w:r>
        <w:t xml:space="preserve"> </w:t>
      </w:r>
      <w:r>
        <w:rPr>
          <w:rFonts w:hint="eastAsia"/>
        </w:rPr>
        <w:t>主要原辅材料及燃料及动力消耗表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26"/>
        <w:gridCol w:w="2326"/>
        <w:gridCol w:w="2326"/>
        <w:gridCol w:w="2327"/>
      </w:tblGrid>
      <w:tr w14:paraId="166D4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tcBorders>
              <w:top w:val="single" w:color="000000" w:sz="12" w:space="0"/>
              <w:left w:val="single" w:color="000000" w:sz="12" w:space="0"/>
              <w:bottom w:val="single" w:color="000000" w:sz="4" w:space="0"/>
              <w:right w:val="single" w:color="000000" w:sz="4" w:space="0"/>
            </w:tcBorders>
            <w:vAlign w:val="center"/>
          </w:tcPr>
          <w:p w14:paraId="0BA35B0D">
            <w:pPr>
              <w:pStyle w:val="38"/>
              <w:ind w:firstLine="0" w:firstLineChars="0"/>
              <w:jc w:val="center"/>
              <w:rPr>
                <w:sz w:val="21"/>
                <w:szCs w:val="21"/>
              </w:rPr>
            </w:pPr>
            <w:r>
              <w:rPr>
                <w:rFonts w:hint="eastAsia"/>
                <w:sz w:val="21"/>
                <w:szCs w:val="21"/>
              </w:rPr>
              <w:t>生产线</w:t>
            </w:r>
          </w:p>
        </w:tc>
        <w:tc>
          <w:tcPr>
            <w:tcW w:w="1250" w:type="pct"/>
            <w:tcBorders>
              <w:top w:val="single" w:color="000000" w:sz="12" w:space="0"/>
              <w:left w:val="single" w:color="000000" w:sz="4" w:space="0"/>
              <w:bottom w:val="single" w:color="000000" w:sz="4" w:space="0"/>
              <w:right w:val="single" w:color="000000" w:sz="4" w:space="0"/>
            </w:tcBorders>
            <w:vAlign w:val="center"/>
          </w:tcPr>
          <w:p w14:paraId="14E8BCC5">
            <w:pPr>
              <w:pStyle w:val="38"/>
              <w:ind w:firstLine="0" w:firstLineChars="0"/>
              <w:jc w:val="center"/>
              <w:rPr>
                <w:sz w:val="21"/>
                <w:szCs w:val="21"/>
              </w:rPr>
            </w:pPr>
            <w:r>
              <w:rPr>
                <w:rFonts w:hint="eastAsia"/>
                <w:sz w:val="21"/>
                <w:szCs w:val="21"/>
              </w:rPr>
              <w:t>产品名称</w:t>
            </w:r>
          </w:p>
        </w:tc>
        <w:tc>
          <w:tcPr>
            <w:tcW w:w="1250" w:type="pct"/>
            <w:tcBorders>
              <w:top w:val="single" w:color="000000" w:sz="12" w:space="0"/>
              <w:left w:val="single" w:color="000000" w:sz="4" w:space="0"/>
              <w:bottom w:val="single" w:color="000000" w:sz="4" w:space="0"/>
              <w:right w:val="single" w:color="000000" w:sz="4" w:space="0"/>
            </w:tcBorders>
            <w:vAlign w:val="center"/>
          </w:tcPr>
          <w:p w14:paraId="3F9E8A23">
            <w:pPr>
              <w:pStyle w:val="38"/>
              <w:ind w:firstLine="0" w:firstLineChars="0"/>
              <w:jc w:val="center"/>
              <w:rPr>
                <w:sz w:val="21"/>
                <w:szCs w:val="21"/>
              </w:rPr>
            </w:pPr>
            <w:r>
              <w:rPr>
                <w:rFonts w:hint="eastAsia"/>
                <w:sz w:val="21"/>
                <w:szCs w:val="21"/>
              </w:rPr>
              <w:t>单位</w:t>
            </w:r>
          </w:p>
        </w:tc>
        <w:tc>
          <w:tcPr>
            <w:tcW w:w="1250" w:type="pct"/>
            <w:tcBorders>
              <w:top w:val="single" w:color="000000" w:sz="12" w:space="0"/>
              <w:left w:val="single" w:color="000000" w:sz="4" w:space="0"/>
              <w:bottom w:val="single" w:color="000000" w:sz="4" w:space="0"/>
              <w:right w:val="single" w:color="000000" w:sz="12" w:space="0"/>
            </w:tcBorders>
            <w:vAlign w:val="center"/>
          </w:tcPr>
          <w:p w14:paraId="40263FE0">
            <w:pPr>
              <w:pStyle w:val="38"/>
              <w:ind w:firstLine="0" w:firstLineChars="0"/>
              <w:jc w:val="center"/>
              <w:rPr>
                <w:sz w:val="21"/>
                <w:szCs w:val="21"/>
              </w:rPr>
            </w:pPr>
            <w:r>
              <w:rPr>
                <w:rFonts w:hint="eastAsia"/>
                <w:sz w:val="21"/>
                <w:szCs w:val="21"/>
              </w:rPr>
              <w:t>设计值</w:t>
            </w:r>
          </w:p>
        </w:tc>
      </w:tr>
      <w:tr w14:paraId="23EFD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tcBorders>
              <w:top w:val="single" w:color="000000" w:sz="4" w:space="0"/>
              <w:left w:val="single" w:color="000000" w:sz="12" w:space="0"/>
              <w:bottom w:val="single" w:color="000000" w:sz="4" w:space="0"/>
              <w:right w:val="single" w:color="000000" w:sz="4" w:space="0"/>
            </w:tcBorders>
            <w:vAlign w:val="center"/>
          </w:tcPr>
          <w:p w14:paraId="788CBA9A">
            <w:pPr>
              <w:pStyle w:val="38"/>
              <w:ind w:firstLine="0" w:firstLineChars="0"/>
              <w:jc w:val="center"/>
              <w:rPr>
                <w:sz w:val="21"/>
                <w:szCs w:val="21"/>
              </w:rPr>
            </w:pPr>
            <w:r>
              <w:rPr>
                <w:rFonts w:hint="eastAsia"/>
                <w:sz w:val="21"/>
                <w:szCs w:val="21"/>
              </w:rPr>
              <w:t>兰炭生产线及煤气发生炉</w:t>
            </w:r>
          </w:p>
        </w:tc>
        <w:tc>
          <w:tcPr>
            <w:tcW w:w="1250" w:type="pct"/>
            <w:tcBorders>
              <w:top w:val="single" w:color="000000" w:sz="4" w:space="0"/>
              <w:left w:val="single" w:color="000000" w:sz="4" w:space="0"/>
              <w:bottom w:val="single" w:color="000000" w:sz="4" w:space="0"/>
              <w:right w:val="single" w:color="000000" w:sz="4" w:space="0"/>
            </w:tcBorders>
            <w:vAlign w:val="center"/>
          </w:tcPr>
          <w:p w14:paraId="49DF8EC5">
            <w:pPr>
              <w:pStyle w:val="38"/>
              <w:ind w:firstLine="0" w:firstLineChars="0"/>
              <w:jc w:val="center"/>
              <w:rPr>
                <w:sz w:val="21"/>
                <w:szCs w:val="21"/>
              </w:rPr>
            </w:pPr>
            <w:r>
              <w:rPr>
                <w:rFonts w:hint="eastAsia"/>
                <w:sz w:val="21"/>
                <w:szCs w:val="21"/>
              </w:rPr>
              <w:t>煤</w:t>
            </w:r>
          </w:p>
        </w:tc>
        <w:tc>
          <w:tcPr>
            <w:tcW w:w="1250" w:type="pct"/>
            <w:tcBorders>
              <w:top w:val="single" w:color="000000" w:sz="4" w:space="0"/>
              <w:left w:val="single" w:color="000000" w:sz="4" w:space="0"/>
              <w:bottom w:val="single" w:color="000000" w:sz="4" w:space="0"/>
              <w:right w:val="single" w:color="000000" w:sz="4" w:space="0"/>
            </w:tcBorders>
            <w:vAlign w:val="center"/>
          </w:tcPr>
          <w:p w14:paraId="2074F9E7">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42A3E0B2">
            <w:pPr>
              <w:pStyle w:val="38"/>
              <w:ind w:firstLine="0" w:firstLineChars="0"/>
              <w:jc w:val="center"/>
              <w:rPr>
                <w:sz w:val="21"/>
                <w:szCs w:val="21"/>
              </w:rPr>
            </w:pPr>
            <w:r>
              <w:rPr>
                <w:sz w:val="21"/>
                <w:szCs w:val="21"/>
              </w:rPr>
              <w:t>549900</w:t>
            </w:r>
          </w:p>
        </w:tc>
      </w:tr>
      <w:tr w14:paraId="0EEFEE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restart"/>
            <w:tcBorders>
              <w:top w:val="single" w:color="000000" w:sz="4" w:space="0"/>
              <w:left w:val="single" w:color="000000" w:sz="12" w:space="0"/>
              <w:bottom w:val="single" w:color="000000" w:sz="4" w:space="0"/>
              <w:right w:val="single" w:color="000000" w:sz="4" w:space="0"/>
            </w:tcBorders>
            <w:vAlign w:val="center"/>
          </w:tcPr>
          <w:p w14:paraId="42CA12CC">
            <w:pPr>
              <w:pStyle w:val="38"/>
              <w:ind w:firstLine="0" w:firstLineChars="0"/>
              <w:jc w:val="center"/>
              <w:rPr>
                <w:sz w:val="21"/>
                <w:szCs w:val="21"/>
              </w:rPr>
            </w:pPr>
            <w:r>
              <w:rPr>
                <w:rFonts w:hint="eastAsia"/>
                <w:sz w:val="21"/>
                <w:szCs w:val="21"/>
              </w:rPr>
              <w:t>镁及镁合金生产线</w:t>
            </w:r>
          </w:p>
        </w:tc>
        <w:tc>
          <w:tcPr>
            <w:tcW w:w="1250" w:type="pct"/>
            <w:tcBorders>
              <w:top w:val="single" w:color="000000" w:sz="4" w:space="0"/>
              <w:left w:val="single" w:color="000000" w:sz="4" w:space="0"/>
              <w:bottom w:val="single" w:color="000000" w:sz="4" w:space="0"/>
              <w:right w:val="single" w:color="000000" w:sz="4" w:space="0"/>
            </w:tcBorders>
            <w:vAlign w:val="center"/>
          </w:tcPr>
          <w:p w14:paraId="5D3FFABE">
            <w:pPr>
              <w:pStyle w:val="38"/>
              <w:ind w:firstLine="0" w:firstLineChars="0"/>
              <w:jc w:val="center"/>
              <w:rPr>
                <w:sz w:val="21"/>
                <w:szCs w:val="21"/>
              </w:rPr>
            </w:pPr>
            <w:r>
              <w:rPr>
                <w:rFonts w:hint="eastAsia"/>
                <w:sz w:val="21"/>
                <w:szCs w:val="21"/>
              </w:rPr>
              <w:t>白云石</w:t>
            </w:r>
          </w:p>
        </w:tc>
        <w:tc>
          <w:tcPr>
            <w:tcW w:w="1250" w:type="pct"/>
            <w:tcBorders>
              <w:top w:val="single" w:color="000000" w:sz="4" w:space="0"/>
              <w:left w:val="single" w:color="000000" w:sz="4" w:space="0"/>
              <w:bottom w:val="single" w:color="000000" w:sz="4" w:space="0"/>
              <w:right w:val="single" w:color="000000" w:sz="4" w:space="0"/>
            </w:tcBorders>
            <w:vAlign w:val="center"/>
          </w:tcPr>
          <w:p w14:paraId="7A8334AB">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168888AC">
            <w:pPr>
              <w:pStyle w:val="38"/>
              <w:ind w:firstLine="0" w:firstLineChars="0"/>
              <w:jc w:val="center"/>
              <w:rPr>
                <w:sz w:val="21"/>
                <w:szCs w:val="21"/>
              </w:rPr>
            </w:pPr>
            <w:r>
              <w:rPr>
                <w:sz w:val="21"/>
                <w:szCs w:val="21"/>
              </w:rPr>
              <w:t>236505</w:t>
            </w:r>
          </w:p>
        </w:tc>
      </w:tr>
      <w:tr w14:paraId="58E430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4" w:space="0"/>
              <w:right w:val="single" w:color="000000" w:sz="4" w:space="0"/>
            </w:tcBorders>
            <w:vAlign w:val="center"/>
          </w:tcPr>
          <w:p w14:paraId="25999693">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4" w:space="0"/>
              <w:right w:val="single" w:color="000000" w:sz="4" w:space="0"/>
            </w:tcBorders>
            <w:vAlign w:val="center"/>
          </w:tcPr>
          <w:p w14:paraId="10323EE0">
            <w:pPr>
              <w:pStyle w:val="38"/>
              <w:ind w:firstLine="0" w:firstLineChars="0"/>
              <w:jc w:val="center"/>
              <w:rPr>
                <w:sz w:val="21"/>
                <w:szCs w:val="21"/>
              </w:rPr>
            </w:pPr>
            <w:r>
              <w:rPr>
                <w:rFonts w:hint="eastAsia"/>
                <w:sz w:val="21"/>
                <w:szCs w:val="21"/>
              </w:rPr>
              <w:t>硅铁</w:t>
            </w:r>
          </w:p>
        </w:tc>
        <w:tc>
          <w:tcPr>
            <w:tcW w:w="1250" w:type="pct"/>
            <w:tcBorders>
              <w:top w:val="single" w:color="000000" w:sz="4" w:space="0"/>
              <w:left w:val="single" w:color="000000" w:sz="4" w:space="0"/>
              <w:bottom w:val="single" w:color="000000" w:sz="4" w:space="0"/>
              <w:right w:val="single" w:color="000000" w:sz="4" w:space="0"/>
            </w:tcBorders>
            <w:vAlign w:val="center"/>
          </w:tcPr>
          <w:p w14:paraId="72A2D710">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6C2169C9">
            <w:pPr>
              <w:pStyle w:val="38"/>
              <w:ind w:firstLine="0" w:firstLineChars="0"/>
              <w:jc w:val="center"/>
              <w:rPr>
                <w:sz w:val="21"/>
                <w:szCs w:val="21"/>
              </w:rPr>
            </w:pPr>
            <w:r>
              <w:rPr>
                <w:sz w:val="21"/>
                <w:szCs w:val="21"/>
              </w:rPr>
              <w:t>24459</w:t>
            </w:r>
          </w:p>
        </w:tc>
      </w:tr>
      <w:tr w14:paraId="6EE64C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restart"/>
            <w:tcBorders>
              <w:top w:val="single" w:color="000000" w:sz="4" w:space="0"/>
              <w:left w:val="single" w:color="000000" w:sz="12" w:space="0"/>
              <w:bottom w:val="single" w:color="000000" w:sz="4" w:space="0"/>
              <w:right w:val="single" w:color="000000" w:sz="4" w:space="0"/>
            </w:tcBorders>
            <w:vAlign w:val="center"/>
          </w:tcPr>
          <w:p w14:paraId="451D72DB">
            <w:pPr>
              <w:pStyle w:val="38"/>
              <w:ind w:firstLine="0" w:firstLineChars="0"/>
              <w:jc w:val="center"/>
              <w:rPr>
                <w:sz w:val="21"/>
                <w:szCs w:val="21"/>
              </w:rPr>
            </w:pPr>
            <w:r>
              <w:rPr>
                <w:rFonts w:hint="eastAsia"/>
                <w:sz w:val="21"/>
                <w:szCs w:val="21"/>
              </w:rPr>
              <w:t>硅铁生产线</w:t>
            </w:r>
          </w:p>
        </w:tc>
        <w:tc>
          <w:tcPr>
            <w:tcW w:w="1250" w:type="pct"/>
            <w:tcBorders>
              <w:top w:val="single" w:color="000000" w:sz="4" w:space="0"/>
              <w:left w:val="single" w:color="000000" w:sz="4" w:space="0"/>
              <w:bottom w:val="single" w:color="000000" w:sz="4" w:space="0"/>
              <w:right w:val="single" w:color="000000" w:sz="4" w:space="0"/>
            </w:tcBorders>
            <w:vAlign w:val="center"/>
          </w:tcPr>
          <w:p w14:paraId="15CC0B96">
            <w:pPr>
              <w:pStyle w:val="38"/>
              <w:ind w:firstLine="0" w:firstLineChars="0"/>
              <w:jc w:val="center"/>
              <w:rPr>
                <w:sz w:val="21"/>
                <w:szCs w:val="21"/>
              </w:rPr>
            </w:pPr>
            <w:r>
              <w:rPr>
                <w:rFonts w:hint="eastAsia"/>
                <w:sz w:val="21"/>
                <w:szCs w:val="21"/>
              </w:rPr>
              <w:t>兰炭</w:t>
            </w:r>
          </w:p>
        </w:tc>
        <w:tc>
          <w:tcPr>
            <w:tcW w:w="1250" w:type="pct"/>
            <w:tcBorders>
              <w:top w:val="single" w:color="000000" w:sz="4" w:space="0"/>
              <w:left w:val="single" w:color="000000" w:sz="4" w:space="0"/>
              <w:bottom w:val="single" w:color="000000" w:sz="4" w:space="0"/>
              <w:right w:val="single" w:color="000000" w:sz="4" w:space="0"/>
            </w:tcBorders>
            <w:vAlign w:val="center"/>
          </w:tcPr>
          <w:p w14:paraId="4FE52CAB">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25EF7849">
            <w:pPr>
              <w:pStyle w:val="38"/>
              <w:ind w:firstLine="0" w:firstLineChars="0"/>
              <w:jc w:val="center"/>
              <w:rPr>
                <w:sz w:val="21"/>
                <w:szCs w:val="21"/>
              </w:rPr>
            </w:pPr>
            <w:r>
              <w:rPr>
                <w:sz w:val="21"/>
                <w:szCs w:val="21"/>
              </w:rPr>
              <w:t>55000</w:t>
            </w:r>
          </w:p>
        </w:tc>
      </w:tr>
      <w:tr w14:paraId="285EB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4" w:space="0"/>
              <w:right w:val="single" w:color="000000" w:sz="4" w:space="0"/>
            </w:tcBorders>
            <w:vAlign w:val="center"/>
          </w:tcPr>
          <w:p w14:paraId="13FF9BA3">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4" w:space="0"/>
              <w:right w:val="single" w:color="000000" w:sz="4" w:space="0"/>
            </w:tcBorders>
            <w:vAlign w:val="center"/>
          </w:tcPr>
          <w:p w14:paraId="50026FB1">
            <w:pPr>
              <w:pStyle w:val="38"/>
              <w:ind w:firstLine="0" w:firstLineChars="0"/>
              <w:jc w:val="center"/>
              <w:rPr>
                <w:sz w:val="21"/>
                <w:szCs w:val="21"/>
              </w:rPr>
            </w:pPr>
            <w:r>
              <w:rPr>
                <w:rFonts w:hint="eastAsia"/>
                <w:sz w:val="21"/>
                <w:szCs w:val="21"/>
              </w:rPr>
              <w:t>硅石</w:t>
            </w:r>
          </w:p>
        </w:tc>
        <w:tc>
          <w:tcPr>
            <w:tcW w:w="1250" w:type="pct"/>
            <w:tcBorders>
              <w:top w:val="single" w:color="000000" w:sz="4" w:space="0"/>
              <w:left w:val="single" w:color="000000" w:sz="4" w:space="0"/>
              <w:bottom w:val="single" w:color="000000" w:sz="4" w:space="0"/>
              <w:right w:val="single" w:color="000000" w:sz="4" w:space="0"/>
            </w:tcBorders>
            <w:vAlign w:val="center"/>
          </w:tcPr>
          <w:p w14:paraId="0883AAFA">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3E42EBD9">
            <w:pPr>
              <w:pStyle w:val="38"/>
              <w:ind w:firstLine="0" w:firstLineChars="0"/>
              <w:jc w:val="center"/>
              <w:rPr>
                <w:sz w:val="21"/>
                <w:szCs w:val="21"/>
              </w:rPr>
            </w:pPr>
            <w:r>
              <w:rPr>
                <w:sz w:val="21"/>
                <w:szCs w:val="21"/>
              </w:rPr>
              <w:t>95000</w:t>
            </w:r>
          </w:p>
        </w:tc>
      </w:tr>
      <w:tr w14:paraId="11595A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4" w:space="0"/>
              <w:right w:val="single" w:color="000000" w:sz="4" w:space="0"/>
            </w:tcBorders>
            <w:vAlign w:val="center"/>
          </w:tcPr>
          <w:p w14:paraId="53E1B533">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4" w:space="0"/>
              <w:right w:val="single" w:color="000000" w:sz="4" w:space="0"/>
            </w:tcBorders>
            <w:vAlign w:val="center"/>
          </w:tcPr>
          <w:p w14:paraId="14F157DF">
            <w:pPr>
              <w:pStyle w:val="38"/>
              <w:ind w:firstLine="0" w:firstLineChars="0"/>
              <w:jc w:val="center"/>
              <w:rPr>
                <w:sz w:val="21"/>
                <w:szCs w:val="21"/>
              </w:rPr>
            </w:pPr>
            <w:r>
              <w:rPr>
                <w:rFonts w:hint="eastAsia"/>
                <w:sz w:val="21"/>
                <w:szCs w:val="21"/>
              </w:rPr>
              <w:t>电极糊</w:t>
            </w:r>
          </w:p>
        </w:tc>
        <w:tc>
          <w:tcPr>
            <w:tcW w:w="1250" w:type="pct"/>
            <w:tcBorders>
              <w:top w:val="single" w:color="000000" w:sz="4" w:space="0"/>
              <w:left w:val="single" w:color="000000" w:sz="4" w:space="0"/>
              <w:bottom w:val="single" w:color="000000" w:sz="4" w:space="0"/>
              <w:right w:val="single" w:color="000000" w:sz="4" w:space="0"/>
            </w:tcBorders>
            <w:vAlign w:val="center"/>
          </w:tcPr>
          <w:p w14:paraId="09C4C089">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5C1AF5ED">
            <w:pPr>
              <w:pStyle w:val="38"/>
              <w:ind w:firstLine="0" w:firstLineChars="0"/>
              <w:jc w:val="center"/>
              <w:rPr>
                <w:sz w:val="21"/>
                <w:szCs w:val="21"/>
              </w:rPr>
            </w:pPr>
            <w:r>
              <w:rPr>
                <w:sz w:val="21"/>
                <w:szCs w:val="21"/>
              </w:rPr>
              <w:t>3000</w:t>
            </w:r>
          </w:p>
        </w:tc>
      </w:tr>
      <w:tr w14:paraId="2F9276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4" w:space="0"/>
              <w:right w:val="single" w:color="000000" w:sz="4" w:space="0"/>
            </w:tcBorders>
            <w:vAlign w:val="center"/>
          </w:tcPr>
          <w:p w14:paraId="2BFAF61A">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4" w:space="0"/>
              <w:right w:val="single" w:color="000000" w:sz="4" w:space="0"/>
            </w:tcBorders>
            <w:vAlign w:val="center"/>
          </w:tcPr>
          <w:p w14:paraId="55C01D6F">
            <w:pPr>
              <w:pStyle w:val="38"/>
              <w:ind w:firstLine="0" w:firstLineChars="0"/>
              <w:jc w:val="center"/>
              <w:rPr>
                <w:sz w:val="21"/>
                <w:szCs w:val="21"/>
              </w:rPr>
            </w:pPr>
            <w:r>
              <w:rPr>
                <w:rFonts w:hint="eastAsia"/>
                <w:sz w:val="21"/>
                <w:szCs w:val="21"/>
              </w:rPr>
              <w:t>铁矿球团</w:t>
            </w:r>
          </w:p>
        </w:tc>
        <w:tc>
          <w:tcPr>
            <w:tcW w:w="1250" w:type="pct"/>
            <w:tcBorders>
              <w:top w:val="single" w:color="000000" w:sz="4" w:space="0"/>
              <w:left w:val="single" w:color="000000" w:sz="4" w:space="0"/>
              <w:bottom w:val="single" w:color="000000" w:sz="4" w:space="0"/>
              <w:right w:val="single" w:color="000000" w:sz="4" w:space="0"/>
            </w:tcBorders>
            <w:vAlign w:val="center"/>
          </w:tcPr>
          <w:p w14:paraId="46360AEF">
            <w:pPr>
              <w:pStyle w:val="38"/>
              <w:ind w:firstLine="0" w:firstLineChars="0"/>
              <w:jc w:val="center"/>
              <w:rPr>
                <w:sz w:val="21"/>
                <w:szCs w:val="21"/>
              </w:rPr>
            </w:pPr>
            <w:bookmarkStart w:id="220" w:name="OLE_LINK50"/>
            <w:r>
              <w:rPr>
                <w:rFonts w:hint="eastAsia"/>
                <w:sz w:val="21"/>
                <w:szCs w:val="21"/>
              </w:rPr>
              <w:t>吨</w:t>
            </w:r>
            <w:r>
              <w:rPr>
                <w:sz w:val="21"/>
                <w:szCs w:val="21"/>
              </w:rPr>
              <w:t>/</w:t>
            </w:r>
            <w:r>
              <w:rPr>
                <w:rFonts w:hint="eastAsia"/>
                <w:sz w:val="21"/>
                <w:szCs w:val="21"/>
              </w:rPr>
              <w:t>年</w:t>
            </w:r>
            <w:bookmarkEnd w:id="220"/>
          </w:p>
        </w:tc>
        <w:tc>
          <w:tcPr>
            <w:tcW w:w="1250" w:type="pct"/>
            <w:tcBorders>
              <w:top w:val="single" w:color="000000" w:sz="4" w:space="0"/>
              <w:left w:val="single" w:color="000000" w:sz="4" w:space="0"/>
              <w:bottom w:val="single" w:color="000000" w:sz="4" w:space="0"/>
              <w:right w:val="single" w:color="000000" w:sz="12" w:space="0"/>
            </w:tcBorders>
            <w:vAlign w:val="center"/>
          </w:tcPr>
          <w:p w14:paraId="224E43F9">
            <w:pPr>
              <w:pStyle w:val="38"/>
              <w:ind w:firstLine="0" w:firstLineChars="0"/>
              <w:jc w:val="center"/>
              <w:rPr>
                <w:sz w:val="21"/>
                <w:szCs w:val="21"/>
              </w:rPr>
            </w:pPr>
            <w:r>
              <w:rPr>
                <w:sz w:val="21"/>
                <w:szCs w:val="21"/>
              </w:rPr>
              <w:t>19000</w:t>
            </w:r>
          </w:p>
        </w:tc>
      </w:tr>
      <w:tr w14:paraId="2AAD93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restart"/>
            <w:tcBorders>
              <w:top w:val="single" w:color="000000" w:sz="4" w:space="0"/>
              <w:left w:val="single" w:color="000000" w:sz="12" w:space="0"/>
              <w:bottom w:val="single" w:color="000000" w:sz="12" w:space="0"/>
              <w:right w:val="single" w:color="000000" w:sz="4" w:space="0"/>
            </w:tcBorders>
            <w:vAlign w:val="center"/>
          </w:tcPr>
          <w:p w14:paraId="20D64509">
            <w:pPr>
              <w:pStyle w:val="38"/>
              <w:ind w:firstLine="0" w:firstLineChars="0"/>
              <w:jc w:val="center"/>
              <w:rPr>
                <w:sz w:val="21"/>
                <w:szCs w:val="21"/>
              </w:rPr>
            </w:pPr>
            <w:r>
              <w:rPr>
                <w:rFonts w:hint="eastAsia"/>
                <w:sz w:val="21"/>
                <w:szCs w:val="21"/>
              </w:rPr>
              <w:t>公用工程</w:t>
            </w:r>
          </w:p>
        </w:tc>
        <w:tc>
          <w:tcPr>
            <w:tcW w:w="1250" w:type="pct"/>
            <w:tcBorders>
              <w:top w:val="single" w:color="000000" w:sz="4" w:space="0"/>
              <w:left w:val="single" w:color="000000" w:sz="4" w:space="0"/>
              <w:bottom w:val="single" w:color="000000" w:sz="4" w:space="0"/>
              <w:right w:val="single" w:color="000000" w:sz="4" w:space="0"/>
            </w:tcBorders>
            <w:vAlign w:val="center"/>
          </w:tcPr>
          <w:p w14:paraId="57233366">
            <w:pPr>
              <w:pStyle w:val="38"/>
              <w:ind w:firstLine="0" w:firstLineChars="0"/>
              <w:jc w:val="center"/>
              <w:rPr>
                <w:sz w:val="21"/>
                <w:szCs w:val="21"/>
              </w:rPr>
            </w:pPr>
            <w:r>
              <w:rPr>
                <w:rFonts w:hint="eastAsia"/>
                <w:sz w:val="21"/>
                <w:szCs w:val="21"/>
              </w:rPr>
              <w:t>水</w:t>
            </w:r>
          </w:p>
        </w:tc>
        <w:tc>
          <w:tcPr>
            <w:tcW w:w="1250" w:type="pct"/>
            <w:tcBorders>
              <w:top w:val="single" w:color="000000" w:sz="4" w:space="0"/>
              <w:left w:val="single" w:color="000000" w:sz="4" w:space="0"/>
              <w:bottom w:val="single" w:color="000000" w:sz="4" w:space="0"/>
              <w:right w:val="single" w:color="000000" w:sz="4" w:space="0"/>
            </w:tcBorders>
            <w:vAlign w:val="center"/>
          </w:tcPr>
          <w:p w14:paraId="7C77B4AE">
            <w:pPr>
              <w:pStyle w:val="38"/>
              <w:ind w:firstLine="0" w:firstLineChars="0"/>
              <w:jc w:val="center"/>
              <w:rPr>
                <w:sz w:val="21"/>
                <w:szCs w:val="21"/>
              </w:rPr>
            </w:pPr>
            <w:r>
              <w:rPr>
                <w:rFonts w:hint="eastAsia"/>
                <w:sz w:val="21"/>
                <w:szCs w:val="21"/>
              </w:rPr>
              <w:t>吨</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4" w:space="0"/>
              <w:right w:val="single" w:color="000000" w:sz="12" w:space="0"/>
            </w:tcBorders>
            <w:vAlign w:val="center"/>
          </w:tcPr>
          <w:p w14:paraId="175B753E">
            <w:pPr>
              <w:pStyle w:val="38"/>
              <w:ind w:firstLine="0" w:firstLineChars="0"/>
              <w:jc w:val="center"/>
              <w:rPr>
                <w:sz w:val="21"/>
                <w:szCs w:val="21"/>
              </w:rPr>
            </w:pPr>
            <w:r>
              <w:rPr>
                <w:sz w:val="21"/>
                <w:szCs w:val="21"/>
              </w:rPr>
              <w:t>738249</w:t>
            </w:r>
          </w:p>
        </w:tc>
      </w:tr>
      <w:tr w14:paraId="664C92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50" w:type="pct"/>
            <w:vMerge w:val="continue"/>
            <w:tcBorders>
              <w:top w:val="single" w:color="000000" w:sz="4" w:space="0"/>
              <w:left w:val="single" w:color="000000" w:sz="12" w:space="0"/>
              <w:bottom w:val="single" w:color="000000" w:sz="12" w:space="0"/>
              <w:right w:val="single" w:color="000000" w:sz="4" w:space="0"/>
            </w:tcBorders>
            <w:vAlign w:val="center"/>
          </w:tcPr>
          <w:p w14:paraId="5FF05203">
            <w:pPr>
              <w:widowControl/>
              <w:spacing w:line="240" w:lineRule="auto"/>
              <w:ind w:firstLine="0" w:firstLineChars="0"/>
              <w:jc w:val="center"/>
              <w:rPr>
                <w:sz w:val="21"/>
                <w:szCs w:val="21"/>
              </w:rPr>
            </w:pPr>
          </w:p>
        </w:tc>
        <w:tc>
          <w:tcPr>
            <w:tcW w:w="1250" w:type="pct"/>
            <w:tcBorders>
              <w:top w:val="single" w:color="000000" w:sz="4" w:space="0"/>
              <w:left w:val="single" w:color="000000" w:sz="4" w:space="0"/>
              <w:bottom w:val="single" w:color="000000" w:sz="12" w:space="0"/>
              <w:right w:val="single" w:color="000000" w:sz="4" w:space="0"/>
            </w:tcBorders>
            <w:vAlign w:val="center"/>
          </w:tcPr>
          <w:p w14:paraId="21871E93">
            <w:pPr>
              <w:pStyle w:val="38"/>
              <w:ind w:firstLine="0" w:firstLineChars="0"/>
              <w:jc w:val="center"/>
              <w:rPr>
                <w:sz w:val="21"/>
                <w:szCs w:val="21"/>
              </w:rPr>
            </w:pPr>
            <w:r>
              <w:rPr>
                <w:rFonts w:hint="eastAsia"/>
                <w:sz w:val="21"/>
                <w:szCs w:val="21"/>
              </w:rPr>
              <w:t>电</w:t>
            </w:r>
          </w:p>
        </w:tc>
        <w:tc>
          <w:tcPr>
            <w:tcW w:w="1250" w:type="pct"/>
            <w:tcBorders>
              <w:top w:val="single" w:color="000000" w:sz="4" w:space="0"/>
              <w:left w:val="single" w:color="000000" w:sz="4" w:space="0"/>
              <w:bottom w:val="single" w:color="000000" w:sz="12" w:space="0"/>
              <w:right w:val="single" w:color="000000" w:sz="4" w:space="0"/>
            </w:tcBorders>
            <w:vAlign w:val="center"/>
          </w:tcPr>
          <w:p w14:paraId="57ACACF1">
            <w:pPr>
              <w:pStyle w:val="38"/>
              <w:ind w:firstLine="0" w:firstLineChars="0"/>
              <w:jc w:val="center"/>
              <w:rPr>
                <w:sz w:val="21"/>
                <w:szCs w:val="21"/>
              </w:rPr>
            </w:pPr>
            <w:r>
              <w:rPr>
                <w:rFonts w:hint="eastAsia"/>
                <w:sz w:val="21"/>
                <w:szCs w:val="21"/>
              </w:rPr>
              <w:t>万千瓦时</w:t>
            </w:r>
            <w:r>
              <w:rPr>
                <w:sz w:val="21"/>
                <w:szCs w:val="21"/>
              </w:rPr>
              <w:t>/</w:t>
            </w:r>
            <w:r>
              <w:rPr>
                <w:rFonts w:hint="eastAsia"/>
                <w:sz w:val="21"/>
                <w:szCs w:val="21"/>
              </w:rPr>
              <w:t>年</w:t>
            </w:r>
          </w:p>
        </w:tc>
        <w:tc>
          <w:tcPr>
            <w:tcW w:w="1250" w:type="pct"/>
            <w:tcBorders>
              <w:top w:val="single" w:color="000000" w:sz="4" w:space="0"/>
              <w:left w:val="single" w:color="000000" w:sz="4" w:space="0"/>
              <w:bottom w:val="single" w:color="000000" w:sz="12" w:space="0"/>
              <w:right w:val="single" w:color="000000" w:sz="12" w:space="0"/>
            </w:tcBorders>
            <w:vAlign w:val="center"/>
          </w:tcPr>
          <w:p w14:paraId="16737497">
            <w:pPr>
              <w:pStyle w:val="38"/>
              <w:ind w:firstLine="0" w:firstLineChars="0"/>
              <w:jc w:val="center"/>
              <w:rPr>
                <w:sz w:val="21"/>
                <w:szCs w:val="21"/>
              </w:rPr>
            </w:pPr>
            <w:r>
              <w:rPr>
                <w:sz w:val="21"/>
                <w:szCs w:val="21"/>
              </w:rPr>
              <w:t>52700</w:t>
            </w:r>
          </w:p>
        </w:tc>
      </w:tr>
      <w:bookmarkEnd w:id="210"/>
      <w:bookmarkEnd w:id="211"/>
    </w:tbl>
    <w:p w14:paraId="22AD98A4">
      <w:pPr>
        <w:pStyle w:val="133"/>
      </w:pPr>
    </w:p>
    <w:p w14:paraId="78C59FCB">
      <w:pPr>
        <w:pStyle w:val="138"/>
        <w:rPr>
          <w:rFonts w:hint="eastAsia"/>
        </w:rPr>
      </w:pPr>
      <w:r>
        <w:rPr>
          <w:rFonts w:hint="eastAsia"/>
        </w:rPr>
        <w:t>工程建构筑物</w:t>
      </w:r>
    </w:p>
    <w:p w14:paraId="5090353E">
      <w:pPr>
        <w:pStyle w:val="117"/>
        <w:ind w:firstLine="480"/>
      </w:pPr>
      <w:r>
        <w:rPr>
          <w:rFonts w:hint="eastAsia"/>
        </w:rPr>
        <w:t>工程建构筑物清单，见表2.2-5。</w:t>
      </w:r>
    </w:p>
    <w:p w14:paraId="47576729">
      <w:pPr>
        <w:pStyle w:val="118"/>
      </w:pPr>
      <w:r>
        <w:rPr>
          <w:rFonts w:hint="eastAsia"/>
        </w:rPr>
        <w:t xml:space="preserve">表2.2-5  </w:t>
      </w:r>
      <w:bookmarkStart w:id="221" w:name="_Hlk186473235"/>
      <w:r>
        <w:rPr>
          <w:rFonts w:hint="eastAsia"/>
        </w:rPr>
        <w:t>工程建构筑物清单</w:t>
      </w:r>
    </w:p>
    <w:tbl>
      <w:tblPr>
        <w:tblStyle w:val="67"/>
        <w:tblW w:w="5000" w:type="pct"/>
        <w:tblInd w:w="0" w:type="dxa"/>
        <w:tblLayout w:type="autofit"/>
        <w:tblCellMar>
          <w:top w:w="0" w:type="dxa"/>
          <w:left w:w="108" w:type="dxa"/>
          <w:bottom w:w="0" w:type="dxa"/>
          <w:right w:w="108" w:type="dxa"/>
        </w:tblCellMar>
      </w:tblPr>
      <w:tblGrid>
        <w:gridCol w:w="1202"/>
        <w:gridCol w:w="4185"/>
        <w:gridCol w:w="2049"/>
        <w:gridCol w:w="1869"/>
      </w:tblGrid>
      <w:tr w14:paraId="51C7C7BF">
        <w:tblPrEx>
          <w:tblCellMar>
            <w:top w:w="0" w:type="dxa"/>
            <w:left w:w="108" w:type="dxa"/>
            <w:bottom w:w="0" w:type="dxa"/>
            <w:right w:w="108" w:type="dxa"/>
          </w:tblCellMar>
        </w:tblPrEx>
        <w:trPr>
          <w:trHeight w:val="499" w:hRule="atLeast"/>
          <w:tblHeader/>
        </w:trPr>
        <w:tc>
          <w:tcPr>
            <w:tcW w:w="646" w:type="pct"/>
            <w:tcBorders>
              <w:top w:val="single" w:color="auto" w:sz="4" w:space="0"/>
              <w:left w:val="single" w:color="auto" w:sz="4" w:space="0"/>
              <w:bottom w:val="single" w:color="auto" w:sz="4" w:space="0"/>
              <w:right w:val="single" w:color="auto" w:sz="4" w:space="0"/>
            </w:tcBorders>
            <w:noWrap/>
            <w:vAlign w:val="center"/>
          </w:tcPr>
          <w:p w14:paraId="7F1D6F5A">
            <w:pPr>
              <w:pStyle w:val="133"/>
              <w:rPr>
                <w:b/>
                <w:bCs/>
              </w:rPr>
            </w:pPr>
            <w:r>
              <w:rPr>
                <w:b/>
                <w:bCs/>
              </w:rPr>
              <w:t>序号</w:t>
            </w:r>
          </w:p>
        </w:tc>
        <w:tc>
          <w:tcPr>
            <w:tcW w:w="2249" w:type="pct"/>
            <w:tcBorders>
              <w:top w:val="single" w:color="auto" w:sz="4" w:space="0"/>
              <w:left w:val="single" w:color="auto" w:sz="4" w:space="0"/>
              <w:bottom w:val="single" w:color="auto" w:sz="4" w:space="0"/>
              <w:right w:val="single" w:color="auto" w:sz="4" w:space="0"/>
            </w:tcBorders>
            <w:noWrap/>
            <w:vAlign w:val="center"/>
          </w:tcPr>
          <w:p w14:paraId="2745B945">
            <w:pPr>
              <w:pStyle w:val="133"/>
              <w:rPr>
                <w:b/>
                <w:bCs/>
              </w:rPr>
            </w:pPr>
            <w:r>
              <w:rPr>
                <w:b/>
                <w:bCs/>
              </w:rPr>
              <w:t>名称</w:t>
            </w:r>
          </w:p>
        </w:tc>
        <w:tc>
          <w:tcPr>
            <w:tcW w:w="1101" w:type="pct"/>
            <w:tcBorders>
              <w:top w:val="single" w:color="auto" w:sz="4" w:space="0"/>
              <w:left w:val="single" w:color="auto" w:sz="4" w:space="0"/>
              <w:bottom w:val="single" w:color="auto" w:sz="4" w:space="0"/>
              <w:right w:val="single" w:color="auto" w:sz="4" w:space="0"/>
            </w:tcBorders>
            <w:noWrap/>
            <w:vAlign w:val="center"/>
          </w:tcPr>
          <w:p w14:paraId="38E1635C">
            <w:pPr>
              <w:pStyle w:val="133"/>
              <w:rPr>
                <w:b/>
                <w:bCs/>
              </w:rPr>
            </w:pPr>
            <w:r>
              <w:rPr>
                <w:b/>
                <w:bCs/>
              </w:rPr>
              <w:t>层数</w:t>
            </w:r>
          </w:p>
        </w:tc>
        <w:tc>
          <w:tcPr>
            <w:tcW w:w="1004" w:type="pct"/>
            <w:tcBorders>
              <w:top w:val="single" w:color="auto" w:sz="4" w:space="0"/>
              <w:left w:val="single" w:color="auto" w:sz="4" w:space="0"/>
              <w:bottom w:val="single" w:color="auto" w:sz="4" w:space="0"/>
              <w:right w:val="single" w:color="auto" w:sz="4" w:space="0"/>
            </w:tcBorders>
            <w:noWrap/>
            <w:vAlign w:val="center"/>
          </w:tcPr>
          <w:p w14:paraId="39AD8B5A">
            <w:pPr>
              <w:pStyle w:val="133"/>
              <w:rPr>
                <w:b/>
                <w:bCs/>
              </w:rPr>
            </w:pPr>
            <w:r>
              <w:rPr>
                <w:b/>
                <w:bCs/>
              </w:rPr>
              <w:t>面积（㎡）</w:t>
            </w:r>
          </w:p>
        </w:tc>
      </w:tr>
      <w:tr w14:paraId="251193F2">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7846D23C">
            <w:pPr>
              <w:pStyle w:val="133"/>
            </w:pPr>
            <w:r>
              <w:t>1</w:t>
            </w:r>
          </w:p>
        </w:tc>
        <w:tc>
          <w:tcPr>
            <w:tcW w:w="2249" w:type="pct"/>
            <w:tcBorders>
              <w:top w:val="single" w:color="auto" w:sz="4" w:space="0"/>
              <w:left w:val="single" w:color="auto" w:sz="4" w:space="0"/>
              <w:bottom w:val="single" w:color="auto" w:sz="4" w:space="0"/>
              <w:right w:val="single" w:color="auto" w:sz="4" w:space="0"/>
            </w:tcBorders>
            <w:noWrap/>
            <w:vAlign w:val="center"/>
          </w:tcPr>
          <w:p w14:paraId="4FFC3E8F">
            <w:pPr>
              <w:pStyle w:val="133"/>
            </w:pPr>
            <w:r>
              <w:t>办公楼</w:t>
            </w:r>
          </w:p>
        </w:tc>
        <w:tc>
          <w:tcPr>
            <w:tcW w:w="1101" w:type="pct"/>
            <w:tcBorders>
              <w:top w:val="single" w:color="auto" w:sz="4" w:space="0"/>
              <w:left w:val="single" w:color="auto" w:sz="4" w:space="0"/>
              <w:bottom w:val="single" w:color="auto" w:sz="4" w:space="0"/>
              <w:right w:val="single" w:color="auto" w:sz="4" w:space="0"/>
            </w:tcBorders>
            <w:noWrap/>
            <w:vAlign w:val="center"/>
          </w:tcPr>
          <w:p w14:paraId="1AF8CA0B">
            <w:pPr>
              <w:pStyle w:val="133"/>
            </w:pPr>
            <w:r>
              <w:t>三层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556BD685">
            <w:pPr>
              <w:pStyle w:val="133"/>
            </w:pPr>
            <w:r>
              <w:t>4657.19</w:t>
            </w:r>
          </w:p>
        </w:tc>
      </w:tr>
      <w:tr w14:paraId="6DCAB5D2">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2E656669">
            <w:pPr>
              <w:pStyle w:val="133"/>
            </w:pPr>
            <w:r>
              <w:t>2</w:t>
            </w:r>
          </w:p>
        </w:tc>
        <w:tc>
          <w:tcPr>
            <w:tcW w:w="2249" w:type="pct"/>
            <w:tcBorders>
              <w:top w:val="single" w:color="auto" w:sz="4" w:space="0"/>
              <w:left w:val="single" w:color="auto" w:sz="4" w:space="0"/>
              <w:bottom w:val="single" w:color="auto" w:sz="4" w:space="0"/>
              <w:right w:val="single" w:color="auto" w:sz="4" w:space="0"/>
            </w:tcBorders>
            <w:noWrap/>
            <w:vAlign w:val="center"/>
          </w:tcPr>
          <w:p w14:paraId="0316862B">
            <w:pPr>
              <w:pStyle w:val="133"/>
            </w:pPr>
            <w:r>
              <w:t>（空压站）值班室1</w:t>
            </w:r>
          </w:p>
        </w:tc>
        <w:tc>
          <w:tcPr>
            <w:tcW w:w="1101" w:type="pct"/>
            <w:tcBorders>
              <w:top w:val="single" w:color="auto" w:sz="4" w:space="0"/>
              <w:left w:val="single" w:color="auto" w:sz="4" w:space="0"/>
              <w:bottom w:val="single" w:color="auto" w:sz="4" w:space="0"/>
              <w:right w:val="single" w:color="auto" w:sz="4" w:space="0"/>
            </w:tcBorders>
            <w:noWrap/>
            <w:vAlign w:val="center"/>
          </w:tcPr>
          <w:p w14:paraId="1225BFB2">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D37B940">
            <w:pPr>
              <w:pStyle w:val="133"/>
            </w:pPr>
            <w:r>
              <w:t>536.4</w:t>
            </w:r>
          </w:p>
        </w:tc>
      </w:tr>
      <w:tr w14:paraId="727B3E77">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14AE36DF">
            <w:pPr>
              <w:pStyle w:val="133"/>
            </w:pPr>
            <w:r>
              <w:t>3</w:t>
            </w:r>
          </w:p>
        </w:tc>
        <w:tc>
          <w:tcPr>
            <w:tcW w:w="2249" w:type="pct"/>
            <w:tcBorders>
              <w:top w:val="single" w:color="auto" w:sz="4" w:space="0"/>
              <w:left w:val="single" w:color="auto" w:sz="4" w:space="0"/>
              <w:bottom w:val="single" w:color="auto" w:sz="4" w:space="0"/>
              <w:right w:val="single" w:color="auto" w:sz="4" w:space="0"/>
            </w:tcBorders>
            <w:noWrap/>
            <w:vAlign w:val="center"/>
          </w:tcPr>
          <w:p w14:paraId="7A7BCCF8">
            <w:pPr>
              <w:pStyle w:val="133"/>
            </w:pPr>
            <w:r>
              <w:t>（危险品库房）库房1</w:t>
            </w:r>
          </w:p>
        </w:tc>
        <w:tc>
          <w:tcPr>
            <w:tcW w:w="1101" w:type="pct"/>
            <w:tcBorders>
              <w:top w:val="single" w:color="auto" w:sz="4" w:space="0"/>
              <w:left w:val="single" w:color="auto" w:sz="4" w:space="0"/>
              <w:bottom w:val="single" w:color="auto" w:sz="4" w:space="0"/>
              <w:right w:val="single" w:color="auto" w:sz="4" w:space="0"/>
            </w:tcBorders>
            <w:noWrap/>
            <w:vAlign w:val="center"/>
          </w:tcPr>
          <w:p w14:paraId="7A733CA1">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31E9D41E">
            <w:pPr>
              <w:pStyle w:val="133"/>
            </w:pPr>
            <w:r>
              <w:t>219.34</w:t>
            </w:r>
          </w:p>
        </w:tc>
      </w:tr>
      <w:tr w14:paraId="2A9F1013">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7D184494">
            <w:pPr>
              <w:pStyle w:val="133"/>
            </w:pPr>
            <w:r>
              <w:t>4</w:t>
            </w:r>
          </w:p>
        </w:tc>
        <w:tc>
          <w:tcPr>
            <w:tcW w:w="2249" w:type="pct"/>
            <w:tcBorders>
              <w:top w:val="single" w:color="auto" w:sz="4" w:space="0"/>
              <w:left w:val="single" w:color="auto" w:sz="4" w:space="0"/>
              <w:bottom w:val="single" w:color="auto" w:sz="4" w:space="0"/>
              <w:right w:val="single" w:color="auto" w:sz="4" w:space="0"/>
            </w:tcBorders>
            <w:noWrap/>
            <w:vAlign w:val="center"/>
          </w:tcPr>
          <w:p w14:paraId="270BCA98">
            <w:pPr>
              <w:pStyle w:val="133"/>
            </w:pPr>
            <w:r>
              <w:t>（220配电室）配电室1</w:t>
            </w:r>
          </w:p>
        </w:tc>
        <w:tc>
          <w:tcPr>
            <w:tcW w:w="1101" w:type="pct"/>
            <w:tcBorders>
              <w:top w:val="single" w:color="auto" w:sz="4" w:space="0"/>
              <w:left w:val="single" w:color="auto" w:sz="4" w:space="0"/>
              <w:bottom w:val="single" w:color="auto" w:sz="4" w:space="0"/>
              <w:right w:val="single" w:color="auto" w:sz="4" w:space="0"/>
            </w:tcBorders>
            <w:noWrap/>
            <w:vAlign w:val="center"/>
          </w:tcPr>
          <w:p w14:paraId="0A67E132">
            <w:pPr>
              <w:pStyle w:val="133"/>
            </w:pPr>
            <w:r>
              <w:t>二层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E36E293">
            <w:pPr>
              <w:pStyle w:val="133"/>
            </w:pPr>
            <w:r>
              <w:t>1220.5</w:t>
            </w:r>
          </w:p>
        </w:tc>
      </w:tr>
      <w:tr w14:paraId="343CBD78">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338673E">
            <w:pPr>
              <w:pStyle w:val="133"/>
            </w:pPr>
            <w:r>
              <w:t>5</w:t>
            </w:r>
          </w:p>
        </w:tc>
        <w:tc>
          <w:tcPr>
            <w:tcW w:w="2249" w:type="pct"/>
            <w:tcBorders>
              <w:top w:val="single" w:color="auto" w:sz="4" w:space="0"/>
              <w:left w:val="single" w:color="auto" w:sz="4" w:space="0"/>
              <w:bottom w:val="single" w:color="auto" w:sz="4" w:space="0"/>
              <w:right w:val="single" w:color="auto" w:sz="4" w:space="0"/>
            </w:tcBorders>
            <w:noWrap/>
            <w:vAlign w:val="center"/>
          </w:tcPr>
          <w:p w14:paraId="15DD9429">
            <w:pPr>
              <w:pStyle w:val="133"/>
            </w:pPr>
            <w:r>
              <w:t>宿舍A</w:t>
            </w:r>
          </w:p>
        </w:tc>
        <w:tc>
          <w:tcPr>
            <w:tcW w:w="1101" w:type="pct"/>
            <w:tcBorders>
              <w:top w:val="single" w:color="auto" w:sz="4" w:space="0"/>
              <w:left w:val="single" w:color="auto" w:sz="4" w:space="0"/>
              <w:bottom w:val="single" w:color="auto" w:sz="4" w:space="0"/>
              <w:right w:val="single" w:color="auto" w:sz="4" w:space="0"/>
            </w:tcBorders>
            <w:noWrap/>
            <w:vAlign w:val="center"/>
          </w:tcPr>
          <w:p w14:paraId="7089AC2D">
            <w:pPr>
              <w:pStyle w:val="133"/>
            </w:pPr>
            <w:r>
              <w:t>五层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C9F3EE5">
            <w:pPr>
              <w:pStyle w:val="133"/>
            </w:pPr>
            <w:r>
              <w:t>4599.01</w:t>
            </w:r>
          </w:p>
        </w:tc>
      </w:tr>
      <w:tr w14:paraId="1FEDF340">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193D7C30">
            <w:pPr>
              <w:pStyle w:val="133"/>
            </w:pPr>
            <w:r>
              <w:t>6</w:t>
            </w:r>
          </w:p>
        </w:tc>
        <w:tc>
          <w:tcPr>
            <w:tcW w:w="2249" w:type="pct"/>
            <w:tcBorders>
              <w:top w:val="single" w:color="auto" w:sz="4" w:space="0"/>
              <w:left w:val="single" w:color="auto" w:sz="4" w:space="0"/>
              <w:bottom w:val="single" w:color="auto" w:sz="4" w:space="0"/>
              <w:right w:val="single" w:color="auto" w:sz="4" w:space="0"/>
            </w:tcBorders>
            <w:noWrap/>
            <w:vAlign w:val="center"/>
          </w:tcPr>
          <w:p w14:paraId="66D1FDE0">
            <w:pPr>
              <w:pStyle w:val="133"/>
            </w:pPr>
            <w:r>
              <w:t>宿舍B</w:t>
            </w:r>
          </w:p>
        </w:tc>
        <w:tc>
          <w:tcPr>
            <w:tcW w:w="1101" w:type="pct"/>
            <w:tcBorders>
              <w:top w:val="single" w:color="auto" w:sz="4" w:space="0"/>
              <w:left w:val="single" w:color="auto" w:sz="4" w:space="0"/>
              <w:bottom w:val="single" w:color="auto" w:sz="4" w:space="0"/>
              <w:right w:val="single" w:color="auto" w:sz="4" w:space="0"/>
            </w:tcBorders>
            <w:noWrap/>
            <w:vAlign w:val="center"/>
          </w:tcPr>
          <w:p w14:paraId="21055C4F">
            <w:pPr>
              <w:pStyle w:val="133"/>
            </w:pPr>
            <w:r>
              <w:t>五层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5B305AF">
            <w:pPr>
              <w:pStyle w:val="133"/>
            </w:pPr>
            <w:r>
              <w:t>4599.01</w:t>
            </w:r>
          </w:p>
        </w:tc>
      </w:tr>
      <w:tr w14:paraId="497A029D">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0699AE94">
            <w:pPr>
              <w:pStyle w:val="133"/>
            </w:pPr>
            <w:r>
              <w:t>7</w:t>
            </w:r>
          </w:p>
        </w:tc>
        <w:tc>
          <w:tcPr>
            <w:tcW w:w="2249" w:type="pct"/>
            <w:tcBorders>
              <w:top w:val="single" w:color="auto" w:sz="4" w:space="0"/>
              <w:left w:val="single" w:color="auto" w:sz="4" w:space="0"/>
              <w:bottom w:val="single" w:color="auto" w:sz="4" w:space="0"/>
              <w:right w:val="single" w:color="auto" w:sz="4" w:space="0"/>
            </w:tcBorders>
            <w:noWrap/>
            <w:vAlign w:val="center"/>
          </w:tcPr>
          <w:p w14:paraId="50CB0C73">
            <w:pPr>
              <w:pStyle w:val="133"/>
            </w:pPr>
            <w:r>
              <w:t>宿舍C</w:t>
            </w:r>
          </w:p>
        </w:tc>
        <w:tc>
          <w:tcPr>
            <w:tcW w:w="1101" w:type="pct"/>
            <w:tcBorders>
              <w:top w:val="single" w:color="auto" w:sz="4" w:space="0"/>
              <w:left w:val="single" w:color="auto" w:sz="4" w:space="0"/>
              <w:bottom w:val="single" w:color="auto" w:sz="4" w:space="0"/>
              <w:right w:val="single" w:color="auto" w:sz="4" w:space="0"/>
            </w:tcBorders>
            <w:noWrap/>
            <w:vAlign w:val="center"/>
          </w:tcPr>
          <w:p w14:paraId="18A989D2">
            <w:pPr>
              <w:pStyle w:val="133"/>
            </w:pPr>
            <w:r>
              <w:t>五层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3B19024C">
            <w:pPr>
              <w:pStyle w:val="133"/>
            </w:pPr>
            <w:r>
              <w:t>4611.91</w:t>
            </w:r>
          </w:p>
        </w:tc>
      </w:tr>
      <w:tr w14:paraId="7BAD6F87">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68C3152D">
            <w:pPr>
              <w:pStyle w:val="133"/>
            </w:pPr>
            <w:r>
              <w:t>8</w:t>
            </w:r>
          </w:p>
        </w:tc>
        <w:tc>
          <w:tcPr>
            <w:tcW w:w="2249" w:type="pct"/>
            <w:tcBorders>
              <w:top w:val="single" w:color="auto" w:sz="4" w:space="0"/>
              <w:left w:val="single" w:color="auto" w:sz="4" w:space="0"/>
              <w:bottom w:val="single" w:color="auto" w:sz="4" w:space="0"/>
              <w:right w:val="single" w:color="auto" w:sz="4" w:space="0"/>
            </w:tcBorders>
            <w:noWrap/>
            <w:vAlign w:val="center"/>
          </w:tcPr>
          <w:p w14:paraId="1F105EE1">
            <w:pPr>
              <w:pStyle w:val="133"/>
            </w:pPr>
            <w:r>
              <w:t>（备品备件库）库房2</w:t>
            </w:r>
          </w:p>
        </w:tc>
        <w:tc>
          <w:tcPr>
            <w:tcW w:w="1101" w:type="pct"/>
            <w:tcBorders>
              <w:top w:val="single" w:color="auto" w:sz="4" w:space="0"/>
              <w:left w:val="single" w:color="auto" w:sz="4" w:space="0"/>
              <w:bottom w:val="single" w:color="auto" w:sz="4" w:space="0"/>
              <w:right w:val="single" w:color="auto" w:sz="4" w:space="0"/>
            </w:tcBorders>
            <w:noWrap/>
            <w:vAlign w:val="center"/>
          </w:tcPr>
          <w:p w14:paraId="5214970F">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7AF3F290">
            <w:pPr>
              <w:pStyle w:val="133"/>
            </w:pPr>
            <w:r>
              <w:t>6223.8</w:t>
            </w:r>
          </w:p>
        </w:tc>
      </w:tr>
      <w:tr w14:paraId="41A3E77E">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479C7991">
            <w:pPr>
              <w:pStyle w:val="133"/>
            </w:pPr>
            <w:r>
              <w:t>9</w:t>
            </w:r>
          </w:p>
        </w:tc>
        <w:tc>
          <w:tcPr>
            <w:tcW w:w="2249" w:type="pct"/>
            <w:tcBorders>
              <w:top w:val="single" w:color="auto" w:sz="4" w:space="0"/>
              <w:left w:val="single" w:color="auto" w:sz="4" w:space="0"/>
              <w:bottom w:val="single" w:color="auto" w:sz="4" w:space="0"/>
              <w:right w:val="single" w:color="auto" w:sz="4" w:space="0"/>
            </w:tcBorders>
            <w:noWrap/>
            <w:vAlign w:val="center"/>
          </w:tcPr>
          <w:p w14:paraId="58F07C54">
            <w:pPr>
              <w:pStyle w:val="133"/>
            </w:pPr>
            <w:r>
              <w:t>（铸罐车间配电室）配电室2</w:t>
            </w:r>
          </w:p>
        </w:tc>
        <w:tc>
          <w:tcPr>
            <w:tcW w:w="1101" w:type="pct"/>
            <w:tcBorders>
              <w:top w:val="single" w:color="auto" w:sz="4" w:space="0"/>
              <w:left w:val="single" w:color="auto" w:sz="4" w:space="0"/>
              <w:bottom w:val="single" w:color="auto" w:sz="4" w:space="0"/>
              <w:right w:val="single" w:color="auto" w:sz="4" w:space="0"/>
            </w:tcBorders>
            <w:noWrap/>
            <w:vAlign w:val="center"/>
          </w:tcPr>
          <w:p w14:paraId="1CDE7564">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1D4A2CC3">
            <w:pPr>
              <w:pStyle w:val="133"/>
            </w:pPr>
            <w:r>
              <w:t>59.2</w:t>
            </w:r>
          </w:p>
        </w:tc>
      </w:tr>
      <w:tr w14:paraId="5C5EA405">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47F49E85">
            <w:pPr>
              <w:pStyle w:val="133"/>
            </w:pPr>
            <w:r>
              <w:t>10</w:t>
            </w:r>
          </w:p>
        </w:tc>
        <w:tc>
          <w:tcPr>
            <w:tcW w:w="2249" w:type="pct"/>
            <w:tcBorders>
              <w:top w:val="single" w:color="auto" w:sz="4" w:space="0"/>
              <w:left w:val="single" w:color="auto" w:sz="4" w:space="0"/>
              <w:bottom w:val="single" w:color="auto" w:sz="4" w:space="0"/>
              <w:right w:val="single" w:color="auto" w:sz="4" w:space="0"/>
            </w:tcBorders>
            <w:noWrap/>
            <w:vAlign w:val="center"/>
          </w:tcPr>
          <w:p w14:paraId="0E7234AD">
            <w:pPr>
              <w:pStyle w:val="133"/>
            </w:pPr>
            <w:r>
              <w:t>（硫磺库）厂房25</w:t>
            </w:r>
          </w:p>
        </w:tc>
        <w:tc>
          <w:tcPr>
            <w:tcW w:w="1101" w:type="pct"/>
            <w:tcBorders>
              <w:top w:val="single" w:color="auto" w:sz="4" w:space="0"/>
              <w:left w:val="single" w:color="auto" w:sz="4" w:space="0"/>
              <w:bottom w:val="single" w:color="auto" w:sz="4" w:space="0"/>
              <w:right w:val="single" w:color="auto" w:sz="4" w:space="0"/>
            </w:tcBorders>
            <w:noWrap/>
            <w:vAlign w:val="center"/>
          </w:tcPr>
          <w:p w14:paraId="4E5B9AF4">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2B544EC5">
            <w:pPr>
              <w:pStyle w:val="133"/>
            </w:pPr>
            <w:r>
              <w:t>130.6</w:t>
            </w:r>
          </w:p>
        </w:tc>
      </w:tr>
      <w:tr w14:paraId="0645A3FF">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5C74675">
            <w:pPr>
              <w:pStyle w:val="133"/>
            </w:pPr>
            <w:r>
              <w:t>11</w:t>
            </w:r>
          </w:p>
        </w:tc>
        <w:tc>
          <w:tcPr>
            <w:tcW w:w="2249" w:type="pct"/>
            <w:tcBorders>
              <w:top w:val="single" w:color="auto" w:sz="4" w:space="0"/>
              <w:left w:val="single" w:color="auto" w:sz="4" w:space="0"/>
              <w:bottom w:val="single" w:color="auto" w:sz="4" w:space="0"/>
              <w:right w:val="single" w:color="auto" w:sz="4" w:space="0"/>
            </w:tcBorders>
            <w:noWrap/>
            <w:vAlign w:val="center"/>
          </w:tcPr>
          <w:p w14:paraId="38E6CCE6">
            <w:pPr>
              <w:pStyle w:val="133"/>
            </w:pPr>
            <w:r>
              <w:t>（煅白仓）厂房1</w:t>
            </w:r>
          </w:p>
        </w:tc>
        <w:tc>
          <w:tcPr>
            <w:tcW w:w="1101" w:type="pct"/>
            <w:tcBorders>
              <w:top w:val="single" w:color="auto" w:sz="4" w:space="0"/>
              <w:left w:val="single" w:color="auto" w:sz="4" w:space="0"/>
              <w:bottom w:val="single" w:color="auto" w:sz="4" w:space="0"/>
              <w:right w:val="single" w:color="auto" w:sz="4" w:space="0"/>
            </w:tcBorders>
            <w:noWrap/>
            <w:vAlign w:val="center"/>
          </w:tcPr>
          <w:p w14:paraId="094F5798">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3E012FF">
            <w:pPr>
              <w:pStyle w:val="133"/>
            </w:pPr>
            <w:r>
              <w:t>444.75</w:t>
            </w:r>
          </w:p>
        </w:tc>
      </w:tr>
      <w:tr w14:paraId="2CE7A0F1">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8B11B92">
            <w:pPr>
              <w:pStyle w:val="133"/>
            </w:pPr>
            <w:r>
              <w:t>12</w:t>
            </w:r>
          </w:p>
        </w:tc>
        <w:tc>
          <w:tcPr>
            <w:tcW w:w="2249" w:type="pct"/>
            <w:tcBorders>
              <w:top w:val="single" w:color="auto" w:sz="4" w:space="0"/>
              <w:left w:val="single" w:color="auto" w:sz="4" w:space="0"/>
              <w:bottom w:val="single" w:color="auto" w:sz="4" w:space="0"/>
              <w:right w:val="single" w:color="auto" w:sz="4" w:space="0"/>
            </w:tcBorders>
            <w:noWrap/>
            <w:vAlign w:val="center"/>
          </w:tcPr>
          <w:p w14:paraId="7D7B70C6">
            <w:pPr>
              <w:pStyle w:val="133"/>
            </w:pPr>
            <w:r>
              <w:t>（冷却循环水池及水泵房）厂房2</w:t>
            </w:r>
          </w:p>
        </w:tc>
        <w:tc>
          <w:tcPr>
            <w:tcW w:w="1101" w:type="pct"/>
            <w:tcBorders>
              <w:top w:val="single" w:color="auto" w:sz="4" w:space="0"/>
              <w:left w:val="single" w:color="auto" w:sz="4" w:space="0"/>
              <w:bottom w:val="single" w:color="auto" w:sz="4" w:space="0"/>
              <w:right w:val="single" w:color="auto" w:sz="4" w:space="0"/>
            </w:tcBorders>
            <w:noWrap/>
            <w:vAlign w:val="center"/>
          </w:tcPr>
          <w:p w14:paraId="03A259BD">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06595A3E">
            <w:pPr>
              <w:pStyle w:val="133"/>
            </w:pPr>
            <w:r>
              <w:t>142.77</w:t>
            </w:r>
          </w:p>
        </w:tc>
      </w:tr>
      <w:tr w14:paraId="5CCF5CCF">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4D15FBAA">
            <w:pPr>
              <w:pStyle w:val="133"/>
            </w:pPr>
            <w:r>
              <w:t>13</w:t>
            </w:r>
          </w:p>
        </w:tc>
        <w:tc>
          <w:tcPr>
            <w:tcW w:w="2249" w:type="pct"/>
            <w:tcBorders>
              <w:top w:val="single" w:color="auto" w:sz="4" w:space="0"/>
              <w:left w:val="single" w:color="auto" w:sz="4" w:space="0"/>
              <w:bottom w:val="single" w:color="auto" w:sz="4" w:space="0"/>
              <w:right w:val="single" w:color="auto" w:sz="4" w:space="0"/>
            </w:tcBorders>
            <w:vAlign w:val="center"/>
          </w:tcPr>
          <w:p w14:paraId="5F6498D9">
            <w:pPr>
              <w:pStyle w:val="133"/>
            </w:pPr>
            <w:r>
              <w:t>（空压机站配电室）配电室3</w:t>
            </w:r>
          </w:p>
        </w:tc>
        <w:tc>
          <w:tcPr>
            <w:tcW w:w="1101" w:type="pct"/>
            <w:tcBorders>
              <w:top w:val="single" w:color="auto" w:sz="4" w:space="0"/>
              <w:left w:val="single" w:color="auto" w:sz="4" w:space="0"/>
              <w:bottom w:val="single" w:color="auto" w:sz="4" w:space="0"/>
              <w:right w:val="single" w:color="auto" w:sz="4" w:space="0"/>
            </w:tcBorders>
            <w:noWrap/>
            <w:vAlign w:val="center"/>
          </w:tcPr>
          <w:p w14:paraId="3148B2D8">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D01E587">
            <w:pPr>
              <w:pStyle w:val="133"/>
            </w:pPr>
            <w:r>
              <w:t>58.87</w:t>
            </w:r>
          </w:p>
        </w:tc>
      </w:tr>
      <w:tr w14:paraId="6C69989A">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1A285934">
            <w:pPr>
              <w:pStyle w:val="133"/>
            </w:pPr>
            <w:r>
              <w:t>14</w:t>
            </w:r>
          </w:p>
        </w:tc>
        <w:tc>
          <w:tcPr>
            <w:tcW w:w="2249" w:type="pct"/>
            <w:tcBorders>
              <w:top w:val="single" w:color="auto" w:sz="4" w:space="0"/>
              <w:left w:val="single" w:color="auto" w:sz="4" w:space="0"/>
              <w:bottom w:val="single" w:color="auto" w:sz="4" w:space="0"/>
              <w:right w:val="single" w:color="auto" w:sz="4" w:space="0"/>
            </w:tcBorders>
            <w:vAlign w:val="center"/>
          </w:tcPr>
          <w:p w14:paraId="18F2D7DD">
            <w:pPr>
              <w:pStyle w:val="133"/>
            </w:pPr>
            <w:r>
              <w:t>（10KV配电室）开关室</w:t>
            </w:r>
          </w:p>
        </w:tc>
        <w:tc>
          <w:tcPr>
            <w:tcW w:w="1101" w:type="pct"/>
            <w:tcBorders>
              <w:top w:val="single" w:color="auto" w:sz="4" w:space="0"/>
              <w:left w:val="single" w:color="auto" w:sz="4" w:space="0"/>
              <w:bottom w:val="single" w:color="auto" w:sz="4" w:space="0"/>
              <w:right w:val="single" w:color="auto" w:sz="4" w:space="0"/>
            </w:tcBorders>
            <w:noWrap/>
            <w:vAlign w:val="center"/>
          </w:tcPr>
          <w:p w14:paraId="37500710">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142BB91F">
            <w:pPr>
              <w:pStyle w:val="133"/>
            </w:pPr>
            <w:r>
              <w:t>206.44</w:t>
            </w:r>
          </w:p>
        </w:tc>
      </w:tr>
      <w:tr w14:paraId="17D92EB1">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2A102A95">
            <w:pPr>
              <w:pStyle w:val="133"/>
            </w:pPr>
            <w:r>
              <w:t>15</w:t>
            </w:r>
          </w:p>
        </w:tc>
        <w:tc>
          <w:tcPr>
            <w:tcW w:w="2249" w:type="pct"/>
            <w:tcBorders>
              <w:top w:val="single" w:color="auto" w:sz="4" w:space="0"/>
              <w:left w:val="single" w:color="auto" w:sz="4" w:space="0"/>
              <w:bottom w:val="single" w:color="auto" w:sz="4" w:space="0"/>
              <w:right w:val="single" w:color="auto" w:sz="4" w:space="0"/>
            </w:tcBorders>
            <w:vAlign w:val="center"/>
          </w:tcPr>
          <w:p w14:paraId="493E597D">
            <w:pPr>
              <w:pStyle w:val="133"/>
            </w:pPr>
            <w:r>
              <w:t>（焦油泵房）厂房3</w:t>
            </w:r>
          </w:p>
        </w:tc>
        <w:tc>
          <w:tcPr>
            <w:tcW w:w="1101" w:type="pct"/>
            <w:tcBorders>
              <w:top w:val="single" w:color="auto" w:sz="4" w:space="0"/>
              <w:left w:val="single" w:color="auto" w:sz="4" w:space="0"/>
              <w:bottom w:val="single" w:color="auto" w:sz="4" w:space="0"/>
              <w:right w:val="single" w:color="auto" w:sz="4" w:space="0"/>
            </w:tcBorders>
            <w:noWrap/>
            <w:vAlign w:val="center"/>
          </w:tcPr>
          <w:p w14:paraId="77FBF58F">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18087765">
            <w:pPr>
              <w:pStyle w:val="133"/>
            </w:pPr>
            <w:r>
              <w:t>121.24</w:t>
            </w:r>
          </w:p>
        </w:tc>
      </w:tr>
      <w:tr w14:paraId="60FBDF3F">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01E0FD58">
            <w:pPr>
              <w:pStyle w:val="133"/>
            </w:pPr>
            <w:r>
              <w:t>16</w:t>
            </w:r>
          </w:p>
        </w:tc>
        <w:tc>
          <w:tcPr>
            <w:tcW w:w="2249" w:type="pct"/>
            <w:tcBorders>
              <w:top w:val="single" w:color="auto" w:sz="4" w:space="0"/>
              <w:left w:val="single" w:color="auto" w:sz="4" w:space="0"/>
              <w:bottom w:val="single" w:color="auto" w:sz="4" w:space="0"/>
              <w:right w:val="single" w:color="auto" w:sz="4" w:space="0"/>
            </w:tcBorders>
            <w:vAlign w:val="center"/>
          </w:tcPr>
          <w:p w14:paraId="2F63BF8F">
            <w:pPr>
              <w:pStyle w:val="133"/>
            </w:pPr>
            <w:r>
              <w:t>（还原车间）配电室4</w:t>
            </w:r>
          </w:p>
        </w:tc>
        <w:tc>
          <w:tcPr>
            <w:tcW w:w="1101" w:type="pct"/>
            <w:tcBorders>
              <w:top w:val="single" w:color="auto" w:sz="4" w:space="0"/>
              <w:left w:val="single" w:color="auto" w:sz="4" w:space="0"/>
              <w:bottom w:val="single" w:color="auto" w:sz="4" w:space="0"/>
              <w:right w:val="single" w:color="auto" w:sz="4" w:space="0"/>
            </w:tcBorders>
            <w:noWrap/>
            <w:vAlign w:val="center"/>
          </w:tcPr>
          <w:p w14:paraId="20B89956">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4DF2E30">
            <w:pPr>
              <w:pStyle w:val="133"/>
            </w:pPr>
            <w:r>
              <w:t>94.35</w:t>
            </w:r>
          </w:p>
        </w:tc>
      </w:tr>
      <w:tr w14:paraId="0D689251">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9B05EBC">
            <w:pPr>
              <w:pStyle w:val="133"/>
            </w:pPr>
            <w:r>
              <w:t>17</w:t>
            </w:r>
          </w:p>
        </w:tc>
        <w:tc>
          <w:tcPr>
            <w:tcW w:w="2249" w:type="pct"/>
            <w:tcBorders>
              <w:top w:val="single" w:color="auto" w:sz="4" w:space="0"/>
              <w:left w:val="single" w:color="auto" w:sz="4" w:space="0"/>
              <w:bottom w:val="single" w:color="auto" w:sz="4" w:space="0"/>
              <w:right w:val="single" w:color="auto" w:sz="4" w:space="0"/>
            </w:tcBorders>
            <w:vAlign w:val="center"/>
          </w:tcPr>
          <w:p w14:paraId="3E2F2CE3">
            <w:pPr>
              <w:pStyle w:val="133"/>
            </w:pPr>
            <w:r>
              <w:t>（变电站10KV开关室）库房3</w:t>
            </w:r>
          </w:p>
        </w:tc>
        <w:tc>
          <w:tcPr>
            <w:tcW w:w="1101" w:type="pct"/>
            <w:tcBorders>
              <w:top w:val="single" w:color="auto" w:sz="4" w:space="0"/>
              <w:left w:val="single" w:color="auto" w:sz="4" w:space="0"/>
              <w:bottom w:val="single" w:color="auto" w:sz="4" w:space="0"/>
              <w:right w:val="single" w:color="auto" w:sz="4" w:space="0"/>
            </w:tcBorders>
            <w:noWrap/>
            <w:vAlign w:val="center"/>
          </w:tcPr>
          <w:p w14:paraId="32D9CB18">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8512E42">
            <w:pPr>
              <w:pStyle w:val="133"/>
            </w:pPr>
            <w:r>
              <w:t>239.05</w:t>
            </w:r>
          </w:p>
        </w:tc>
      </w:tr>
      <w:tr w14:paraId="5FBF086A">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7FC1D5F5">
            <w:pPr>
              <w:pStyle w:val="133"/>
            </w:pPr>
            <w:r>
              <w:t>18</w:t>
            </w:r>
          </w:p>
        </w:tc>
        <w:tc>
          <w:tcPr>
            <w:tcW w:w="2249" w:type="pct"/>
            <w:tcBorders>
              <w:top w:val="single" w:color="auto" w:sz="4" w:space="0"/>
              <w:left w:val="single" w:color="auto" w:sz="4" w:space="0"/>
              <w:bottom w:val="single" w:color="auto" w:sz="4" w:space="0"/>
              <w:right w:val="single" w:color="auto" w:sz="4" w:space="0"/>
            </w:tcBorders>
            <w:vAlign w:val="center"/>
          </w:tcPr>
          <w:p w14:paraId="4A3A2279">
            <w:pPr>
              <w:pStyle w:val="133"/>
            </w:pPr>
            <w:r>
              <w:t>（煤棚）厂房4</w:t>
            </w:r>
          </w:p>
        </w:tc>
        <w:tc>
          <w:tcPr>
            <w:tcW w:w="1101" w:type="pct"/>
            <w:tcBorders>
              <w:top w:val="single" w:color="auto" w:sz="4" w:space="0"/>
              <w:left w:val="single" w:color="auto" w:sz="4" w:space="0"/>
              <w:bottom w:val="single" w:color="auto" w:sz="4" w:space="0"/>
              <w:right w:val="single" w:color="auto" w:sz="4" w:space="0"/>
            </w:tcBorders>
            <w:noWrap/>
            <w:vAlign w:val="center"/>
          </w:tcPr>
          <w:p w14:paraId="33494936">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1D8A5A83">
            <w:pPr>
              <w:pStyle w:val="133"/>
            </w:pPr>
            <w:r>
              <w:t>25601.53</w:t>
            </w:r>
          </w:p>
        </w:tc>
      </w:tr>
      <w:tr w14:paraId="0024B010">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EB2A685">
            <w:pPr>
              <w:pStyle w:val="133"/>
            </w:pPr>
            <w:r>
              <w:t>19</w:t>
            </w:r>
          </w:p>
        </w:tc>
        <w:tc>
          <w:tcPr>
            <w:tcW w:w="2249" w:type="pct"/>
            <w:tcBorders>
              <w:top w:val="single" w:color="auto" w:sz="4" w:space="0"/>
              <w:left w:val="single" w:color="auto" w:sz="4" w:space="0"/>
              <w:bottom w:val="single" w:color="auto" w:sz="4" w:space="0"/>
              <w:right w:val="single" w:color="auto" w:sz="4" w:space="0"/>
            </w:tcBorders>
            <w:vAlign w:val="center"/>
          </w:tcPr>
          <w:p w14:paraId="66AB1840">
            <w:pPr>
              <w:pStyle w:val="133"/>
            </w:pPr>
            <w:r>
              <w:t>（焦棚）厂房5</w:t>
            </w:r>
          </w:p>
        </w:tc>
        <w:tc>
          <w:tcPr>
            <w:tcW w:w="1101" w:type="pct"/>
            <w:tcBorders>
              <w:top w:val="single" w:color="auto" w:sz="4" w:space="0"/>
              <w:left w:val="single" w:color="auto" w:sz="4" w:space="0"/>
              <w:bottom w:val="single" w:color="auto" w:sz="4" w:space="0"/>
              <w:right w:val="single" w:color="auto" w:sz="4" w:space="0"/>
            </w:tcBorders>
            <w:noWrap/>
            <w:vAlign w:val="center"/>
          </w:tcPr>
          <w:p w14:paraId="4CCE4A95">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21100F39">
            <w:pPr>
              <w:pStyle w:val="133"/>
            </w:pPr>
            <w:r>
              <w:t>20996.33</w:t>
            </w:r>
          </w:p>
        </w:tc>
      </w:tr>
      <w:tr w14:paraId="29A51E6C">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1A830BB0">
            <w:pPr>
              <w:pStyle w:val="133"/>
            </w:pPr>
            <w:r>
              <w:t>20</w:t>
            </w:r>
          </w:p>
        </w:tc>
        <w:tc>
          <w:tcPr>
            <w:tcW w:w="2249" w:type="pct"/>
            <w:tcBorders>
              <w:top w:val="single" w:color="auto" w:sz="4" w:space="0"/>
              <w:left w:val="single" w:color="auto" w:sz="4" w:space="0"/>
              <w:bottom w:val="single" w:color="auto" w:sz="4" w:space="0"/>
              <w:right w:val="single" w:color="auto" w:sz="4" w:space="0"/>
            </w:tcBorders>
            <w:vAlign w:val="center"/>
          </w:tcPr>
          <w:p w14:paraId="3064296B">
            <w:pPr>
              <w:pStyle w:val="133"/>
            </w:pPr>
            <w:r>
              <w:t>（中控室）调度室</w:t>
            </w:r>
          </w:p>
        </w:tc>
        <w:tc>
          <w:tcPr>
            <w:tcW w:w="1101" w:type="pct"/>
            <w:tcBorders>
              <w:top w:val="single" w:color="auto" w:sz="4" w:space="0"/>
              <w:left w:val="single" w:color="auto" w:sz="4" w:space="0"/>
              <w:bottom w:val="single" w:color="auto" w:sz="4" w:space="0"/>
              <w:right w:val="single" w:color="auto" w:sz="4" w:space="0"/>
            </w:tcBorders>
            <w:noWrap/>
            <w:vAlign w:val="center"/>
          </w:tcPr>
          <w:p w14:paraId="0D95C4D9">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5AD6FC1">
            <w:pPr>
              <w:pStyle w:val="133"/>
            </w:pPr>
            <w:r>
              <w:t>272.54</w:t>
            </w:r>
          </w:p>
        </w:tc>
      </w:tr>
      <w:tr w14:paraId="38885311">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E8CF0DF">
            <w:pPr>
              <w:pStyle w:val="133"/>
            </w:pPr>
            <w:r>
              <w:t>21</w:t>
            </w:r>
          </w:p>
        </w:tc>
        <w:tc>
          <w:tcPr>
            <w:tcW w:w="2249" w:type="pct"/>
            <w:tcBorders>
              <w:top w:val="single" w:color="auto" w:sz="4" w:space="0"/>
              <w:left w:val="single" w:color="auto" w:sz="4" w:space="0"/>
              <w:bottom w:val="single" w:color="auto" w:sz="4" w:space="0"/>
              <w:right w:val="single" w:color="auto" w:sz="4" w:space="0"/>
            </w:tcBorders>
            <w:vAlign w:val="center"/>
          </w:tcPr>
          <w:p w14:paraId="40017A78">
            <w:pPr>
              <w:pStyle w:val="133"/>
            </w:pPr>
            <w:r>
              <w:t>（电炉除尘电气室）配电室5</w:t>
            </w:r>
          </w:p>
        </w:tc>
        <w:tc>
          <w:tcPr>
            <w:tcW w:w="1101" w:type="pct"/>
            <w:tcBorders>
              <w:top w:val="single" w:color="auto" w:sz="4" w:space="0"/>
              <w:left w:val="single" w:color="auto" w:sz="4" w:space="0"/>
              <w:bottom w:val="single" w:color="auto" w:sz="4" w:space="0"/>
              <w:right w:val="single" w:color="auto" w:sz="4" w:space="0"/>
            </w:tcBorders>
            <w:noWrap/>
            <w:vAlign w:val="center"/>
          </w:tcPr>
          <w:p w14:paraId="13C4372C">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98543D6">
            <w:pPr>
              <w:pStyle w:val="133"/>
            </w:pPr>
            <w:r>
              <w:t>320.22</w:t>
            </w:r>
          </w:p>
        </w:tc>
      </w:tr>
      <w:tr w14:paraId="128E845E">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60E78359">
            <w:pPr>
              <w:pStyle w:val="133"/>
            </w:pPr>
            <w:r>
              <w:t>22</w:t>
            </w:r>
          </w:p>
        </w:tc>
        <w:tc>
          <w:tcPr>
            <w:tcW w:w="2249" w:type="pct"/>
            <w:tcBorders>
              <w:top w:val="single" w:color="auto" w:sz="4" w:space="0"/>
              <w:left w:val="single" w:color="auto" w:sz="4" w:space="0"/>
              <w:bottom w:val="single" w:color="auto" w:sz="4" w:space="0"/>
              <w:right w:val="single" w:color="auto" w:sz="4" w:space="0"/>
            </w:tcBorders>
            <w:vAlign w:val="center"/>
          </w:tcPr>
          <w:p w14:paraId="2CA6D4CF">
            <w:pPr>
              <w:pStyle w:val="133"/>
            </w:pPr>
            <w:r>
              <w:t>（氨水泵房）配电室6</w:t>
            </w:r>
          </w:p>
        </w:tc>
        <w:tc>
          <w:tcPr>
            <w:tcW w:w="1101" w:type="pct"/>
            <w:tcBorders>
              <w:top w:val="single" w:color="auto" w:sz="4" w:space="0"/>
              <w:left w:val="single" w:color="auto" w:sz="4" w:space="0"/>
              <w:bottom w:val="single" w:color="auto" w:sz="4" w:space="0"/>
              <w:right w:val="single" w:color="auto" w:sz="4" w:space="0"/>
            </w:tcBorders>
            <w:noWrap/>
            <w:vAlign w:val="center"/>
          </w:tcPr>
          <w:p w14:paraId="173EDD1F">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1B5B285">
            <w:pPr>
              <w:pStyle w:val="133"/>
            </w:pPr>
            <w:r>
              <w:t>224.72</w:t>
            </w:r>
          </w:p>
        </w:tc>
      </w:tr>
      <w:tr w14:paraId="210BC274">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0078BAC8">
            <w:pPr>
              <w:pStyle w:val="133"/>
            </w:pPr>
            <w:r>
              <w:t>23</w:t>
            </w:r>
          </w:p>
        </w:tc>
        <w:tc>
          <w:tcPr>
            <w:tcW w:w="2249" w:type="pct"/>
            <w:tcBorders>
              <w:top w:val="single" w:color="auto" w:sz="4" w:space="0"/>
              <w:left w:val="single" w:color="auto" w:sz="4" w:space="0"/>
              <w:bottom w:val="single" w:color="auto" w:sz="4" w:space="0"/>
              <w:right w:val="single" w:color="auto" w:sz="4" w:space="0"/>
            </w:tcBorders>
            <w:vAlign w:val="center"/>
          </w:tcPr>
          <w:p w14:paraId="32A239B6">
            <w:pPr>
              <w:pStyle w:val="133"/>
            </w:pPr>
            <w:r>
              <w:t>（污水处理站）厂房6</w:t>
            </w:r>
          </w:p>
        </w:tc>
        <w:tc>
          <w:tcPr>
            <w:tcW w:w="1101" w:type="pct"/>
            <w:tcBorders>
              <w:top w:val="single" w:color="auto" w:sz="4" w:space="0"/>
              <w:left w:val="single" w:color="auto" w:sz="4" w:space="0"/>
              <w:bottom w:val="single" w:color="auto" w:sz="4" w:space="0"/>
              <w:right w:val="single" w:color="auto" w:sz="4" w:space="0"/>
            </w:tcBorders>
            <w:noWrap/>
            <w:vAlign w:val="center"/>
          </w:tcPr>
          <w:p w14:paraId="148CD7A8">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7A3A1385">
            <w:pPr>
              <w:pStyle w:val="133"/>
            </w:pPr>
            <w:r>
              <w:t>755.84</w:t>
            </w:r>
          </w:p>
        </w:tc>
      </w:tr>
      <w:tr w14:paraId="1BCC0C80">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5B2F9203">
            <w:pPr>
              <w:pStyle w:val="133"/>
            </w:pPr>
            <w:r>
              <w:t>24</w:t>
            </w:r>
          </w:p>
        </w:tc>
        <w:tc>
          <w:tcPr>
            <w:tcW w:w="2249" w:type="pct"/>
            <w:tcBorders>
              <w:top w:val="single" w:color="auto" w:sz="4" w:space="0"/>
              <w:left w:val="single" w:color="auto" w:sz="4" w:space="0"/>
              <w:bottom w:val="single" w:color="auto" w:sz="4" w:space="0"/>
              <w:right w:val="single" w:color="auto" w:sz="4" w:space="0"/>
            </w:tcBorders>
            <w:vAlign w:val="center"/>
          </w:tcPr>
          <w:p w14:paraId="4B016DEE">
            <w:pPr>
              <w:pStyle w:val="133"/>
            </w:pPr>
            <w:r>
              <w:t>（脱硫厂房）厂房7</w:t>
            </w:r>
          </w:p>
        </w:tc>
        <w:tc>
          <w:tcPr>
            <w:tcW w:w="1101" w:type="pct"/>
            <w:tcBorders>
              <w:top w:val="single" w:color="auto" w:sz="4" w:space="0"/>
              <w:left w:val="single" w:color="auto" w:sz="4" w:space="0"/>
              <w:bottom w:val="single" w:color="auto" w:sz="4" w:space="0"/>
              <w:right w:val="single" w:color="auto" w:sz="4" w:space="0"/>
            </w:tcBorders>
            <w:noWrap/>
            <w:vAlign w:val="center"/>
          </w:tcPr>
          <w:p w14:paraId="10E3326F">
            <w:pPr>
              <w:pStyle w:val="133"/>
            </w:pPr>
            <w:r>
              <w:t>二层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7712802C">
            <w:pPr>
              <w:pStyle w:val="133"/>
            </w:pPr>
            <w:r>
              <w:t>483.72</w:t>
            </w:r>
          </w:p>
        </w:tc>
      </w:tr>
      <w:tr w14:paraId="608E7F56">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7E084F5B">
            <w:pPr>
              <w:pStyle w:val="133"/>
            </w:pPr>
            <w:r>
              <w:t>25</w:t>
            </w:r>
          </w:p>
        </w:tc>
        <w:tc>
          <w:tcPr>
            <w:tcW w:w="2249" w:type="pct"/>
            <w:tcBorders>
              <w:top w:val="single" w:color="auto" w:sz="4" w:space="0"/>
              <w:left w:val="single" w:color="auto" w:sz="4" w:space="0"/>
              <w:bottom w:val="single" w:color="auto" w:sz="4" w:space="0"/>
              <w:right w:val="single" w:color="auto" w:sz="4" w:space="0"/>
            </w:tcBorders>
            <w:vAlign w:val="center"/>
          </w:tcPr>
          <w:p w14:paraId="1FD9537E">
            <w:pPr>
              <w:pStyle w:val="133"/>
            </w:pPr>
            <w:r>
              <w:t>（煤气柜泵房）厂房8</w:t>
            </w:r>
          </w:p>
        </w:tc>
        <w:tc>
          <w:tcPr>
            <w:tcW w:w="1101" w:type="pct"/>
            <w:tcBorders>
              <w:top w:val="single" w:color="auto" w:sz="4" w:space="0"/>
              <w:left w:val="single" w:color="auto" w:sz="4" w:space="0"/>
              <w:bottom w:val="single" w:color="auto" w:sz="4" w:space="0"/>
              <w:right w:val="single" w:color="auto" w:sz="4" w:space="0"/>
            </w:tcBorders>
            <w:noWrap/>
            <w:vAlign w:val="center"/>
          </w:tcPr>
          <w:p w14:paraId="6F64BEF2">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06FE3045">
            <w:pPr>
              <w:pStyle w:val="133"/>
            </w:pPr>
            <w:r>
              <w:t>21.71</w:t>
            </w:r>
          </w:p>
        </w:tc>
      </w:tr>
      <w:tr w14:paraId="124C35B4">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55B7EFE4">
            <w:pPr>
              <w:pStyle w:val="133"/>
            </w:pPr>
            <w:r>
              <w:t>26</w:t>
            </w:r>
          </w:p>
        </w:tc>
        <w:tc>
          <w:tcPr>
            <w:tcW w:w="2249" w:type="pct"/>
            <w:tcBorders>
              <w:top w:val="single" w:color="auto" w:sz="4" w:space="0"/>
              <w:left w:val="single" w:color="auto" w:sz="4" w:space="0"/>
              <w:bottom w:val="single" w:color="auto" w:sz="4" w:space="0"/>
              <w:right w:val="single" w:color="auto" w:sz="4" w:space="0"/>
            </w:tcBorders>
            <w:vAlign w:val="center"/>
          </w:tcPr>
          <w:p w14:paraId="0C7ADC04">
            <w:pPr>
              <w:pStyle w:val="133"/>
            </w:pPr>
            <w:r>
              <w:t>（煤气风机房）厂房9</w:t>
            </w:r>
          </w:p>
        </w:tc>
        <w:tc>
          <w:tcPr>
            <w:tcW w:w="1101" w:type="pct"/>
            <w:tcBorders>
              <w:top w:val="single" w:color="auto" w:sz="4" w:space="0"/>
              <w:left w:val="single" w:color="auto" w:sz="4" w:space="0"/>
              <w:bottom w:val="single" w:color="auto" w:sz="4" w:space="0"/>
              <w:right w:val="single" w:color="auto" w:sz="4" w:space="0"/>
            </w:tcBorders>
            <w:noWrap/>
            <w:vAlign w:val="center"/>
          </w:tcPr>
          <w:p w14:paraId="6057454A">
            <w:pPr>
              <w:pStyle w:val="133"/>
            </w:pPr>
            <w:r>
              <w:t>二层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0F0A1ECC">
            <w:pPr>
              <w:pStyle w:val="133"/>
            </w:pPr>
            <w:r>
              <w:t>639.72</w:t>
            </w:r>
          </w:p>
        </w:tc>
      </w:tr>
      <w:bookmarkEnd w:id="221"/>
      <w:tr w14:paraId="21C3BF3E">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10B4F9B5">
            <w:pPr>
              <w:pStyle w:val="133"/>
            </w:pPr>
            <w:r>
              <w:t>27</w:t>
            </w:r>
          </w:p>
        </w:tc>
        <w:tc>
          <w:tcPr>
            <w:tcW w:w="2249" w:type="pct"/>
            <w:tcBorders>
              <w:top w:val="single" w:color="auto" w:sz="4" w:space="0"/>
              <w:left w:val="single" w:color="auto" w:sz="4" w:space="0"/>
              <w:bottom w:val="single" w:color="auto" w:sz="4" w:space="0"/>
              <w:right w:val="single" w:color="auto" w:sz="4" w:space="0"/>
            </w:tcBorders>
            <w:vAlign w:val="center"/>
          </w:tcPr>
          <w:p w14:paraId="09DC5AE4">
            <w:pPr>
              <w:pStyle w:val="133"/>
            </w:pPr>
            <w:r>
              <w:t>（变电所）厂房10</w:t>
            </w:r>
          </w:p>
        </w:tc>
        <w:tc>
          <w:tcPr>
            <w:tcW w:w="1101" w:type="pct"/>
            <w:tcBorders>
              <w:top w:val="single" w:color="auto" w:sz="4" w:space="0"/>
              <w:left w:val="single" w:color="auto" w:sz="4" w:space="0"/>
              <w:bottom w:val="single" w:color="auto" w:sz="4" w:space="0"/>
              <w:right w:val="single" w:color="auto" w:sz="4" w:space="0"/>
            </w:tcBorders>
            <w:noWrap/>
            <w:vAlign w:val="center"/>
          </w:tcPr>
          <w:p w14:paraId="659790E7">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029ED0FA">
            <w:pPr>
              <w:pStyle w:val="133"/>
            </w:pPr>
            <w:r>
              <w:t>598.07</w:t>
            </w:r>
          </w:p>
        </w:tc>
      </w:tr>
      <w:tr w14:paraId="43757F38">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6D8C7EBF">
            <w:pPr>
              <w:pStyle w:val="133"/>
            </w:pPr>
            <w:r>
              <w:t>28</w:t>
            </w:r>
          </w:p>
        </w:tc>
        <w:tc>
          <w:tcPr>
            <w:tcW w:w="2249" w:type="pct"/>
            <w:tcBorders>
              <w:top w:val="single" w:color="auto" w:sz="4" w:space="0"/>
              <w:left w:val="single" w:color="auto" w:sz="4" w:space="0"/>
              <w:bottom w:val="single" w:color="auto" w:sz="4" w:space="0"/>
              <w:right w:val="single" w:color="auto" w:sz="4" w:space="0"/>
            </w:tcBorders>
            <w:vAlign w:val="center"/>
          </w:tcPr>
          <w:p w14:paraId="41E75255">
            <w:pPr>
              <w:pStyle w:val="133"/>
            </w:pPr>
            <w:r>
              <w:t>（煤气加压风机房）配电室7</w:t>
            </w:r>
          </w:p>
        </w:tc>
        <w:tc>
          <w:tcPr>
            <w:tcW w:w="1101" w:type="pct"/>
            <w:tcBorders>
              <w:top w:val="single" w:color="auto" w:sz="4" w:space="0"/>
              <w:left w:val="single" w:color="auto" w:sz="4" w:space="0"/>
              <w:bottom w:val="single" w:color="auto" w:sz="4" w:space="0"/>
              <w:right w:val="single" w:color="auto" w:sz="4" w:space="0"/>
            </w:tcBorders>
            <w:noWrap/>
            <w:vAlign w:val="center"/>
          </w:tcPr>
          <w:p w14:paraId="624E64EA">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74823D45">
            <w:pPr>
              <w:pStyle w:val="133"/>
            </w:pPr>
            <w:r>
              <w:t>496.59</w:t>
            </w:r>
          </w:p>
        </w:tc>
      </w:tr>
      <w:tr w14:paraId="60458F90">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0D9E6AA1">
            <w:pPr>
              <w:pStyle w:val="133"/>
            </w:pPr>
            <w:r>
              <w:t>29</w:t>
            </w:r>
          </w:p>
        </w:tc>
        <w:tc>
          <w:tcPr>
            <w:tcW w:w="2249" w:type="pct"/>
            <w:tcBorders>
              <w:top w:val="single" w:color="auto" w:sz="4" w:space="0"/>
              <w:left w:val="single" w:color="auto" w:sz="4" w:space="0"/>
              <w:bottom w:val="single" w:color="auto" w:sz="4" w:space="0"/>
              <w:right w:val="single" w:color="auto" w:sz="4" w:space="0"/>
            </w:tcBorders>
            <w:vAlign w:val="center"/>
          </w:tcPr>
          <w:p w14:paraId="116D4974">
            <w:pPr>
              <w:pStyle w:val="133"/>
            </w:pPr>
            <w:r>
              <w:t>化验室</w:t>
            </w:r>
          </w:p>
        </w:tc>
        <w:tc>
          <w:tcPr>
            <w:tcW w:w="1101" w:type="pct"/>
            <w:tcBorders>
              <w:top w:val="single" w:color="auto" w:sz="4" w:space="0"/>
              <w:left w:val="single" w:color="auto" w:sz="4" w:space="0"/>
              <w:bottom w:val="single" w:color="auto" w:sz="4" w:space="0"/>
              <w:right w:val="single" w:color="auto" w:sz="4" w:space="0"/>
            </w:tcBorders>
            <w:noWrap/>
            <w:vAlign w:val="center"/>
          </w:tcPr>
          <w:p w14:paraId="28A7AC00">
            <w:pPr>
              <w:pStyle w:val="133"/>
            </w:pPr>
            <w:r>
              <w:t>二层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37E5311">
            <w:pPr>
              <w:pStyle w:val="133"/>
            </w:pPr>
            <w:r>
              <w:t>916.31</w:t>
            </w:r>
          </w:p>
        </w:tc>
      </w:tr>
      <w:tr w14:paraId="0B9B5488">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67A15FBA">
            <w:pPr>
              <w:pStyle w:val="133"/>
            </w:pPr>
            <w:r>
              <w:t>30</w:t>
            </w:r>
          </w:p>
        </w:tc>
        <w:tc>
          <w:tcPr>
            <w:tcW w:w="2249" w:type="pct"/>
            <w:tcBorders>
              <w:top w:val="single" w:color="auto" w:sz="4" w:space="0"/>
              <w:left w:val="single" w:color="auto" w:sz="4" w:space="0"/>
              <w:bottom w:val="single" w:color="auto" w:sz="4" w:space="0"/>
              <w:right w:val="single" w:color="auto" w:sz="4" w:space="0"/>
            </w:tcBorders>
            <w:vAlign w:val="center"/>
          </w:tcPr>
          <w:p w14:paraId="34E2494C">
            <w:pPr>
              <w:pStyle w:val="133"/>
            </w:pPr>
            <w:r>
              <w:t>（镁合金办公楼）监控室1</w:t>
            </w:r>
          </w:p>
        </w:tc>
        <w:tc>
          <w:tcPr>
            <w:tcW w:w="1101" w:type="pct"/>
            <w:tcBorders>
              <w:top w:val="single" w:color="auto" w:sz="4" w:space="0"/>
              <w:left w:val="single" w:color="auto" w:sz="4" w:space="0"/>
              <w:bottom w:val="single" w:color="auto" w:sz="4" w:space="0"/>
              <w:right w:val="single" w:color="auto" w:sz="4" w:space="0"/>
            </w:tcBorders>
            <w:noWrap/>
            <w:vAlign w:val="center"/>
          </w:tcPr>
          <w:p w14:paraId="6822C392">
            <w:pPr>
              <w:pStyle w:val="133"/>
            </w:pPr>
            <w:r>
              <w:t>二层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18B5A583">
            <w:pPr>
              <w:pStyle w:val="133"/>
            </w:pPr>
            <w:r>
              <w:t>883.71</w:t>
            </w:r>
          </w:p>
        </w:tc>
      </w:tr>
      <w:tr w14:paraId="2936BFB0">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610692E3">
            <w:pPr>
              <w:pStyle w:val="133"/>
            </w:pPr>
            <w:r>
              <w:t>31</w:t>
            </w:r>
          </w:p>
        </w:tc>
        <w:tc>
          <w:tcPr>
            <w:tcW w:w="2249" w:type="pct"/>
            <w:tcBorders>
              <w:top w:val="single" w:color="auto" w:sz="4" w:space="0"/>
              <w:left w:val="single" w:color="auto" w:sz="4" w:space="0"/>
              <w:bottom w:val="single" w:color="auto" w:sz="4" w:space="0"/>
              <w:right w:val="single" w:color="auto" w:sz="4" w:space="0"/>
            </w:tcBorders>
            <w:vAlign w:val="center"/>
          </w:tcPr>
          <w:p w14:paraId="543DF21E">
            <w:pPr>
              <w:pStyle w:val="133"/>
            </w:pPr>
            <w:r>
              <w:t>（筛煤楼附属用房）监控室2</w:t>
            </w:r>
          </w:p>
        </w:tc>
        <w:tc>
          <w:tcPr>
            <w:tcW w:w="1101" w:type="pct"/>
            <w:tcBorders>
              <w:top w:val="single" w:color="auto" w:sz="4" w:space="0"/>
              <w:left w:val="single" w:color="auto" w:sz="4" w:space="0"/>
              <w:bottom w:val="single" w:color="auto" w:sz="4" w:space="0"/>
              <w:right w:val="single" w:color="auto" w:sz="4" w:space="0"/>
            </w:tcBorders>
            <w:noWrap/>
            <w:vAlign w:val="center"/>
          </w:tcPr>
          <w:p w14:paraId="677E5910">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752BB7CA">
            <w:pPr>
              <w:pStyle w:val="133"/>
            </w:pPr>
            <w:r>
              <w:t>91.86</w:t>
            </w:r>
          </w:p>
        </w:tc>
      </w:tr>
      <w:tr w14:paraId="58441C5D">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4648DCB">
            <w:pPr>
              <w:pStyle w:val="133"/>
            </w:pPr>
            <w:r>
              <w:t>32</w:t>
            </w:r>
          </w:p>
        </w:tc>
        <w:tc>
          <w:tcPr>
            <w:tcW w:w="2249" w:type="pct"/>
            <w:tcBorders>
              <w:top w:val="single" w:color="auto" w:sz="4" w:space="0"/>
              <w:left w:val="single" w:color="auto" w:sz="4" w:space="0"/>
              <w:bottom w:val="single" w:color="auto" w:sz="4" w:space="0"/>
              <w:right w:val="single" w:color="auto" w:sz="4" w:space="0"/>
            </w:tcBorders>
            <w:vAlign w:val="center"/>
          </w:tcPr>
          <w:p w14:paraId="10A069D5">
            <w:pPr>
              <w:pStyle w:val="133"/>
            </w:pPr>
            <w:r>
              <w:t>（卫生间）监控室3</w:t>
            </w:r>
          </w:p>
        </w:tc>
        <w:tc>
          <w:tcPr>
            <w:tcW w:w="1101" w:type="pct"/>
            <w:tcBorders>
              <w:top w:val="single" w:color="auto" w:sz="4" w:space="0"/>
              <w:left w:val="single" w:color="auto" w:sz="4" w:space="0"/>
              <w:bottom w:val="single" w:color="auto" w:sz="4" w:space="0"/>
              <w:right w:val="single" w:color="auto" w:sz="4" w:space="0"/>
            </w:tcBorders>
            <w:noWrap/>
            <w:vAlign w:val="center"/>
          </w:tcPr>
          <w:p w14:paraId="7508D5FC">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F061AEE">
            <w:pPr>
              <w:pStyle w:val="133"/>
            </w:pPr>
            <w:r>
              <w:t>53.39</w:t>
            </w:r>
          </w:p>
        </w:tc>
      </w:tr>
      <w:tr w14:paraId="240B2222">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4800F806">
            <w:pPr>
              <w:pStyle w:val="133"/>
            </w:pPr>
            <w:r>
              <w:t>33</w:t>
            </w:r>
          </w:p>
        </w:tc>
        <w:tc>
          <w:tcPr>
            <w:tcW w:w="2249" w:type="pct"/>
            <w:tcBorders>
              <w:top w:val="single" w:color="auto" w:sz="4" w:space="0"/>
              <w:left w:val="single" w:color="auto" w:sz="4" w:space="0"/>
              <w:bottom w:val="single" w:color="auto" w:sz="4" w:space="0"/>
              <w:right w:val="single" w:color="auto" w:sz="4" w:space="0"/>
            </w:tcBorders>
            <w:vAlign w:val="center"/>
          </w:tcPr>
          <w:p w14:paraId="6837C8A8">
            <w:pPr>
              <w:pStyle w:val="133"/>
            </w:pPr>
            <w:r>
              <w:t>餐厅</w:t>
            </w:r>
          </w:p>
        </w:tc>
        <w:tc>
          <w:tcPr>
            <w:tcW w:w="1101" w:type="pct"/>
            <w:tcBorders>
              <w:top w:val="single" w:color="auto" w:sz="4" w:space="0"/>
              <w:left w:val="single" w:color="auto" w:sz="4" w:space="0"/>
              <w:bottom w:val="single" w:color="auto" w:sz="4" w:space="0"/>
              <w:right w:val="single" w:color="auto" w:sz="4" w:space="0"/>
            </w:tcBorders>
            <w:noWrap/>
            <w:vAlign w:val="center"/>
          </w:tcPr>
          <w:p w14:paraId="3F19C400">
            <w:pPr>
              <w:pStyle w:val="133"/>
            </w:pPr>
            <w:r>
              <w:t>二层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5A810E36">
            <w:pPr>
              <w:pStyle w:val="133"/>
            </w:pPr>
            <w:r>
              <w:t>6007.24</w:t>
            </w:r>
          </w:p>
        </w:tc>
      </w:tr>
      <w:tr w14:paraId="49C6D303">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5A293722">
            <w:pPr>
              <w:pStyle w:val="133"/>
            </w:pPr>
            <w:r>
              <w:t>34</w:t>
            </w:r>
          </w:p>
        </w:tc>
        <w:tc>
          <w:tcPr>
            <w:tcW w:w="2249" w:type="pct"/>
            <w:tcBorders>
              <w:top w:val="single" w:color="auto" w:sz="4" w:space="0"/>
              <w:left w:val="single" w:color="auto" w:sz="4" w:space="0"/>
              <w:bottom w:val="single" w:color="auto" w:sz="4" w:space="0"/>
              <w:right w:val="single" w:color="auto" w:sz="4" w:space="0"/>
            </w:tcBorders>
            <w:vAlign w:val="center"/>
          </w:tcPr>
          <w:p w14:paraId="7A3509CF">
            <w:pPr>
              <w:pStyle w:val="133"/>
            </w:pPr>
            <w:r>
              <w:t>（锅炉房）厂房11</w:t>
            </w:r>
          </w:p>
        </w:tc>
        <w:tc>
          <w:tcPr>
            <w:tcW w:w="1101" w:type="pct"/>
            <w:tcBorders>
              <w:top w:val="single" w:color="auto" w:sz="4" w:space="0"/>
              <w:left w:val="single" w:color="auto" w:sz="4" w:space="0"/>
              <w:bottom w:val="single" w:color="auto" w:sz="4" w:space="0"/>
              <w:right w:val="single" w:color="auto" w:sz="4" w:space="0"/>
            </w:tcBorders>
            <w:noWrap/>
            <w:vAlign w:val="center"/>
          </w:tcPr>
          <w:p w14:paraId="5FC65112">
            <w:pPr>
              <w:pStyle w:val="133"/>
            </w:pPr>
            <w:r>
              <w:t>局三层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5620F794">
            <w:pPr>
              <w:pStyle w:val="133"/>
            </w:pPr>
            <w:r>
              <w:t>2316.18</w:t>
            </w:r>
          </w:p>
        </w:tc>
      </w:tr>
      <w:tr w14:paraId="311D2F03">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6B9A09A8">
            <w:pPr>
              <w:pStyle w:val="133"/>
            </w:pPr>
            <w:r>
              <w:t>35</w:t>
            </w:r>
          </w:p>
        </w:tc>
        <w:tc>
          <w:tcPr>
            <w:tcW w:w="2249" w:type="pct"/>
            <w:tcBorders>
              <w:top w:val="single" w:color="auto" w:sz="4" w:space="0"/>
              <w:left w:val="single" w:color="auto" w:sz="4" w:space="0"/>
              <w:bottom w:val="single" w:color="auto" w:sz="4" w:space="0"/>
              <w:right w:val="single" w:color="auto" w:sz="4" w:space="0"/>
            </w:tcBorders>
            <w:vAlign w:val="center"/>
          </w:tcPr>
          <w:p w14:paraId="0F715DA2">
            <w:pPr>
              <w:pStyle w:val="133"/>
            </w:pPr>
            <w:r>
              <w:t>（成品库）厂房12</w:t>
            </w:r>
          </w:p>
        </w:tc>
        <w:tc>
          <w:tcPr>
            <w:tcW w:w="1101" w:type="pct"/>
            <w:tcBorders>
              <w:top w:val="single" w:color="auto" w:sz="4" w:space="0"/>
              <w:left w:val="single" w:color="auto" w:sz="4" w:space="0"/>
              <w:bottom w:val="single" w:color="auto" w:sz="4" w:space="0"/>
              <w:right w:val="single" w:color="auto" w:sz="4" w:space="0"/>
            </w:tcBorders>
            <w:noWrap/>
            <w:vAlign w:val="center"/>
          </w:tcPr>
          <w:p w14:paraId="0B21BD09">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285DCA0D">
            <w:pPr>
              <w:pStyle w:val="133"/>
            </w:pPr>
            <w:r>
              <w:t>1538.03</w:t>
            </w:r>
          </w:p>
        </w:tc>
      </w:tr>
      <w:tr w14:paraId="2BD761C2">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47A15B35">
            <w:pPr>
              <w:pStyle w:val="133"/>
            </w:pPr>
            <w:r>
              <w:t>36</w:t>
            </w:r>
          </w:p>
        </w:tc>
        <w:tc>
          <w:tcPr>
            <w:tcW w:w="2249" w:type="pct"/>
            <w:tcBorders>
              <w:top w:val="single" w:color="auto" w:sz="4" w:space="0"/>
              <w:left w:val="single" w:color="auto" w:sz="4" w:space="0"/>
              <w:bottom w:val="single" w:color="auto" w:sz="4" w:space="0"/>
              <w:right w:val="single" w:color="auto" w:sz="4" w:space="0"/>
            </w:tcBorders>
            <w:vAlign w:val="center"/>
          </w:tcPr>
          <w:p w14:paraId="1434E749">
            <w:pPr>
              <w:pStyle w:val="133"/>
            </w:pPr>
            <w:r>
              <w:t>（筛煤楼）厂房13</w:t>
            </w:r>
          </w:p>
        </w:tc>
        <w:tc>
          <w:tcPr>
            <w:tcW w:w="1101" w:type="pct"/>
            <w:tcBorders>
              <w:top w:val="single" w:color="auto" w:sz="4" w:space="0"/>
              <w:left w:val="single" w:color="auto" w:sz="4" w:space="0"/>
              <w:bottom w:val="single" w:color="auto" w:sz="4" w:space="0"/>
              <w:right w:val="single" w:color="auto" w:sz="4" w:space="0"/>
            </w:tcBorders>
            <w:noWrap/>
            <w:vAlign w:val="center"/>
          </w:tcPr>
          <w:p w14:paraId="4C9985A1">
            <w:pPr>
              <w:pStyle w:val="133"/>
            </w:pPr>
            <w:r>
              <w:t>四层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38A84E7A">
            <w:pPr>
              <w:pStyle w:val="133"/>
            </w:pPr>
            <w:r>
              <w:t>588</w:t>
            </w:r>
          </w:p>
        </w:tc>
      </w:tr>
      <w:tr w14:paraId="373FB5E4">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00CE153D">
            <w:pPr>
              <w:pStyle w:val="133"/>
            </w:pPr>
            <w:r>
              <w:t>37</w:t>
            </w:r>
          </w:p>
        </w:tc>
        <w:tc>
          <w:tcPr>
            <w:tcW w:w="2249" w:type="pct"/>
            <w:tcBorders>
              <w:top w:val="single" w:color="auto" w:sz="4" w:space="0"/>
              <w:left w:val="single" w:color="auto" w:sz="4" w:space="0"/>
              <w:bottom w:val="single" w:color="auto" w:sz="4" w:space="0"/>
              <w:right w:val="single" w:color="auto" w:sz="4" w:space="0"/>
            </w:tcBorders>
            <w:vAlign w:val="center"/>
          </w:tcPr>
          <w:p w14:paraId="7D117CC1">
            <w:pPr>
              <w:pStyle w:val="133"/>
            </w:pPr>
            <w:r>
              <w:t>（地中衡）磅房</w:t>
            </w:r>
          </w:p>
        </w:tc>
        <w:tc>
          <w:tcPr>
            <w:tcW w:w="1101" w:type="pct"/>
            <w:tcBorders>
              <w:top w:val="single" w:color="auto" w:sz="4" w:space="0"/>
              <w:left w:val="single" w:color="auto" w:sz="4" w:space="0"/>
              <w:bottom w:val="single" w:color="auto" w:sz="4" w:space="0"/>
              <w:right w:val="single" w:color="auto" w:sz="4" w:space="0"/>
            </w:tcBorders>
            <w:noWrap/>
            <w:vAlign w:val="center"/>
          </w:tcPr>
          <w:p w14:paraId="22EBEFC7">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505A6774">
            <w:pPr>
              <w:pStyle w:val="133"/>
            </w:pPr>
            <w:r>
              <w:t>34.44</w:t>
            </w:r>
          </w:p>
        </w:tc>
      </w:tr>
      <w:tr w14:paraId="4301E1C2">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2231C31F">
            <w:pPr>
              <w:pStyle w:val="133"/>
            </w:pPr>
            <w:r>
              <w:t>38</w:t>
            </w:r>
          </w:p>
        </w:tc>
        <w:tc>
          <w:tcPr>
            <w:tcW w:w="2249" w:type="pct"/>
            <w:tcBorders>
              <w:top w:val="single" w:color="auto" w:sz="4" w:space="0"/>
              <w:left w:val="single" w:color="auto" w:sz="4" w:space="0"/>
              <w:bottom w:val="single" w:color="auto" w:sz="4" w:space="0"/>
              <w:right w:val="single" w:color="auto" w:sz="4" w:space="0"/>
            </w:tcBorders>
            <w:vAlign w:val="center"/>
          </w:tcPr>
          <w:p w14:paraId="6A174730">
            <w:pPr>
              <w:pStyle w:val="133"/>
            </w:pPr>
            <w:r>
              <w:t>（筛焦楼）厂房14</w:t>
            </w:r>
          </w:p>
        </w:tc>
        <w:tc>
          <w:tcPr>
            <w:tcW w:w="1101" w:type="pct"/>
            <w:tcBorders>
              <w:top w:val="single" w:color="auto" w:sz="4" w:space="0"/>
              <w:left w:val="single" w:color="auto" w:sz="4" w:space="0"/>
              <w:bottom w:val="single" w:color="auto" w:sz="4" w:space="0"/>
              <w:right w:val="single" w:color="auto" w:sz="4" w:space="0"/>
            </w:tcBorders>
            <w:noWrap/>
            <w:vAlign w:val="center"/>
          </w:tcPr>
          <w:p w14:paraId="1A12EEDB">
            <w:pPr>
              <w:pStyle w:val="133"/>
            </w:pPr>
            <w:r>
              <w:t>三层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362090B">
            <w:pPr>
              <w:pStyle w:val="133"/>
            </w:pPr>
            <w:r>
              <w:t>703.54</w:t>
            </w:r>
          </w:p>
        </w:tc>
      </w:tr>
      <w:tr w14:paraId="7C313901">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A3EA57F">
            <w:pPr>
              <w:pStyle w:val="133"/>
            </w:pPr>
            <w:r>
              <w:t>39</w:t>
            </w:r>
          </w:p>
        </w:tc>
        <w:tc>
          <w:tcPr>
            <w:tcW w:w="2249" w:type="pct"/>
            <w:tcBorders>
              <w:top w:val="single" w:color="auto" w:sz="4" w:space="0"/>
              <w:left w:val="single" w:color="auto" w:sz="4" w:space="0"/>
              <w:bottom w:val="single" w:color="auto" w:sz="4" w:space="0"/>
              <w:right w:val="single" w:color="auto" w:sz="4" w:space="0"/>
            </w:tcBorders>
            <w:vAlign w:val="center"/>
          </w:tcPr>
          <w:p w14:paraId="105FC0B2">
            <w:pPr>
              <w:pStyle w:val="133"/>
            </w:pPr>
            <w:r>
              <w:t>（2#精炼车间）厂房15</w:t>
            </w:r>
          </w:p>
        </w:tc>
        <w:tc>
          <w:tcPr>
            <w:tcW w:w="1101" w:type="pct"/>
            <w:tcBorders>
              <w:top w:val="single" w:color="auto" w:sz="4" w:space="0"/>
              <w:left w:val="single" w:color="auto" w:sz="4" w:space="0"/>
              <w:bottom w:val="single" w:color="auto" w:sz="4" w:space="0"/>
              <w:right w:val="single" w:color="auto" w:sz="4" w:space="0"/>
            </w:tcBorders>
            <w:noWrap/>
            <w:vAlign w:val="center"/>
          </w:tcPr>
          <w:p w14:paraId="4470320C">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1F3CD7D8">
            <w:pPr>
              <w:pStyle w:val="133"/>
            </w:pPr>
            <w:r>
              <w:t>2302.04</w:t>
            </w:r>
          </w:p>
        </w:tc>
      </w:tr>
      <w:tr w14:paraId="7DFCAD2E">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0764DCC5">
            <w:pPr>
              <w:pStyle w:val="133"/>
            </w:pPr>
            <w:r>
              <w:t>40</w:t>
            </w:r>
          </w:p>
        </w:tc>
        <w:tc>
          <w:tcPr>
            <w:tcW w:w="2249" w:type="pct"/>
            <w:tcBorders>
              <w:top w:val="single" w:color="auto" w:sz="4" w:space="0"/>
              <w:left w:val="single" w:color="auto" w:sz="4" w:space="0"/>
              <w:bottom w:val="single" w:color="auto" w:sz="4" w:space="0"/>
              <w:right w:val="single" w:color="auto" w:sz="4" w:space="0"/>
            </w:tcBorders>
            <w:vAlign w:val="center"/>
          </w:tcPr>
          <w:p w14:paraId="4376195A">
            <w:pPr>
              <w:pStyle w:val="133"/>
            </w:pPr>
            <w:r>
              <w:t>（鼓冷工段焦油泵房）配电室8</w:t>
            </w:r>
          </w:p>
        </w:tc>
        <w:tc>
          <w:tcPr>
            <w:tcW w:w="1101" w:type="pct"/>
            <w:tcBorders>
              <w:top w:val="single" w:color="auto" w:sz="4" w:space="0"/>
              <w:left w:val="single" w:color="auto" w:sz="4" w:space="0"/>
              <w:bottom w:val="single" w:color="auto" w:sz="4" w:space="0"/>
              <w:right w:val="single" w:color="auto" w:sz="4" w:space="0"/>
            </w:tcBorders>
            <w:noWrap/>
            <w:vAlign w:val="center"/>
          </w:tcPr>
          <w:p w14:paraId="24B77CD8">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2E3D3A92">
            <w:pPr>
              <w:pStyle w:val="133"/>
            </w:pPr>
            <w:r>
              <w:t>112.22</w:t>
            </w:r>
          </w:p>
        </w:tc>
      </w:tr>
      <w:tr w14:paraId="6B225FD3">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618CBC1D">
            <w:pPr>
              <w:pStyle w:val="133"/>
            </w:pPr>
            <w:r>
              <w:t>41</w:t>
            </w:r>
          </w:p>
        </w:tc>
        <w:tc>
          <w:tcPr>
            <w:tcW w:w="2249" w:type="pct"/>
            <w:tcBorders>
              <w:top w:val="single" w:color="auto" w:sz="4" w:space="0"/>
              <w:left w:val="single" w:color="auto" w:sz="4" w:space="0"/>
              <w:bottom w:val="single" w:color="auto" w:sz="4" w:space="0"/>
              <w:right w:val="single" w:color="auto" w:sz="4" w:space="0"/>
            </w:tcBorders>
            <w:vAlign w:val="center"/>
          </w:tcPr>
          <w:p w14:paraId="6F198EDB">
            <w:pPr>
              <w:pStyle w:val="133"/>
            </w:pPr>
            <w:r>
              <w:t>（风机房）厂房16</w:t>
            </w:r>
          </w:p>
        </w:tc>
        <w:tc>
          <w:tcPr>
            <w:tcW w:w="1101" w:type="pct"/>
            <w:tcBorders>
              <w:top w:val="single" w:color="auto" w:sz="4" w:space="0"/>
              <w:left w:val="single" w:color="auto" w:sz="4" w:space="0"/>
              <w:bottom w:val="single" w:color="auto" w:sz="4" w:space="0"/>
              <w:right w:val="single" w:color="auto" w:sz="4" w:space="0"/>
            </w:tcBorders>
            <w:noWrap/>
            <w:vAlign w:val="center"/>
          </w:tcPr>
          <w:p w14:paraId="428A5E18">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5148A658">
            <w:pPr>
              <w:pStyle w:val="133"/>
            </w:pPr>
            <w:r>
              <w:t>82.79</w:t>
            </w:r>
          </w:p>
        </w:tc>
      </w:tr>
      <w:tr w14:paraId="485F8AD5">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20C30409">
            <w:pPr>
              <w:pStyle w:val="133"/>
            </w:pPr>
            <w:r>
              <w:t>42</w:t>
            </w:r>
          </w:p>
        </w:tc>
        <w:tc>
          <w:tcPr>
            <w:tcW w:w="2249" w:type="pct"/>
            <w:tcBorders>
              <w:top w:val="single" w:color="auto" w:sz="4" w:space="0"/>
              <w:left w:val="single" w:color="auto" w:sz="4" w:space="0"/>
              <w:bottom w:val="single" w:color="auto" w:sz="4" w:space="0"/>
              <w:right w:val="single" w:color="auto" w:sz="4" w:space="0"/>
            </w:tcBorders>
            <w:vAlign w:val="center"/>
          </w:tcPr>
          <w:p w14:paraId="747E93C6">
            <w:pPr>
              <w:pStyle w:val="133"/>
            </w:pPr>
            <w:r>
              <w:t>（生活污水处理站）厂房17</w:t>
            </w:r>
          </w:p>
        </w:tc>
        <w:tc>
          <w:tcPr>
            <w:tcW w:w="1101" w:type="pct"/>
            <w:tcBorders>
              <w:top w:val="single" w:color="auto" w:sz="4" w:space="0"/>
              <w:left w:val="single" w:color="auto" w:sz="4" w:space="0"/>
              <w:bottom w:val="single" w:color="auto" w:sz="4" w:space="0"/>
              <w:right w:val="single" w:color="auto" w:sz="4" w:space="0"/>
            </w:tcBorders>
            <w:noWrap/>
            <w:vAlign w:val="center"/>
          </w:tcPr>
          <w:p w14:paraId="36F81036">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592B611">
            <w:pPr>
              <w:pStyle w:val="133"/>
            </w:pPr>
            <w:r>
              <w:t>69.81</w:t>
            </w:r>
          </w:p>
        </w:tc>
      </w:tr>
      <w:tr w14:paraId="7DD0C510">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145DF35C">
            <w:pPr>
              <w:pStyle w:val="133"/>
            </w:pPr>
            <w:r>
              <w:t>43</w:t>
            </w:r>
          </w:p>
        </w:tc>
        <w:tc>
          <w:tcPr>
            <w:tcW w:w="2249" w:type="pct"/>
            <w:tcBorders>
              <w:top w:val="single" w:color="auto" w:sz="4" w:space="0"/>
              <w:left w:val="single" w:color="auto" w:sz="4" w:space="0"/>
              <w:bottom w:val="single" w:color="auto" w:sz="4" w:space="0"/>
              <w:right w:val="single" w:color="auto" w:sz="4" w:space="0"/>
            </w:tcBorders>
            <w:vAlign w:val="center"/>
          </w:tcPr>
          <w:p w14:paraId="734DCC10">
            <w:pPr>
              <w:pStyle w:val="133"/>
            </w:pPr>
            <w:r>
              <w:t>（余热发电厂房）厂房18</w:t>
            </w:r>
          </w:p>
        </w:tc>
        <w:tc>
          <w:tcPr>
            <w:tcW w:w="1101" w:type="pct"/>
            <w:tcBorders>
              <w:top w:val="single" w:color="auto" w:sz="4" w:space="0"/>
              <w:left w:val="single" w:color="auto" w:sz="4" w:space="0"/>
              <w:bottom w:val="single" w:color="auto" w:sz="4" w:space="0"/>
              <w:right w:val="single" w:color="auto" w:sz="4" w:space="0"/>
            </w:tcBorders>
            <w:noWrap/>
            <w:vAlign w:val="center"/>
          </w:tcPr>
          <w:p w14:paraId="0A9A7222">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219409D">
            <w:pPr>
              <w:pStyle w:val="133"/>
            </w:pPr>
            <w:r>
              <w:t>1292.9</w:t>
            </w:r>
          </w:p>
        </w:tc>
      </w:tr>
      <w:tr w14:paraId="6221F064">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4D24E495">
            <w:pPr>
              <w:pStyle w:val="133"/>
            </w:pPr>
            <w:r>
              <w:t>44</w:t>
            </w:r>
          </w:p>
        </w:tc>
        <w:tc>
          <w:tcPr>
            <w:tcW w:w="2249" w:type="pct"/>
            <w:tcBorders>
              <w:top w:val="single" w:color="auto" w:sz="4" w:space="0"/>
              <w:left w:val="single" w:color="auto" w:sz="4" w:space="0"/>
              <w:bottom w:val="single" w:color="auto" w:sz="4" w:space="0"/>
              <w:right w:val="single" w:color="auto" w:sz="4" w:space="0"/>
            </w:tcBorders>
            <w:vAlign w:val="center"/>
          </w:tcPr>
          <w:p w14:paraId="1B620604">
            <w:pPr>
              <w:pStyle w:val="133"/>
            </w:pPr>
            <w:r>
              <w:t>（还原车间1）厂房19</w:t>
            </w:r>
          </w:p>
        </w:tc>
        <w:tc>
          <w:tcPr>
            <w:tcW w:w="1101" w:type="pct"/>
            <w:tcBorders>
              <w:top w:val="single" w:color="auto" w:sz="4" w:space="0"/>
              <w:left w:val="single" w:color="auto" w:sz="4" w:space="0"/>
              <w:bottom w:val="single" w:color="auto" w:sz="4" w:space="0"/>
              <w:right w:val="single" w:color="auto" w:sz="4" w:space="0"/>
            </w:tcBorders>
            <w:noWrap/>
            <w:vAlign w:val="center"/>
          </w:tcPr>
          <w:p w14:paraId="1A8D91C9">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41E86B0">
            <w:pPr>
              <w:pStyle w:val="133"/>
            </w:pPr>
            <w:r>
              <w:t>1281.45</w:t>
            </w:r>
          </w:p>
        </w:tc>
      </w:tr>
      <w:tr w14:paraId="3327BA7A">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4B102018">
            <w:pPr>
              <w:pStyle w:val="133"/>
            </w:pPr>
            <w:r>
              <w:t>45</w:t>
            </w:r>
          </w:p>
        </w:tc>
        <w:tc>
          <w:tcPr>
            <w:tcW w:w="2249" w:type="pct"/>
            <w:tcBorders>
              <w:top w:val="single" w:color="auto" w:sz="4" w:space="0"/>
              <w:left w:val="single" w:color="auto" w:sz="4" w:space="0"/>
              <w:bottom w:val="single" w:color="auto" w:sz="4" w:space="0"/>
              <w:right w:val="single" w:color="auto" w:sz="4" w:space="0"/>
            </w:tcBorders>
            <w:vAlign w:val="center"/>
          </w:tcPr>
          <w:p w14:paraId="44AC048C">
            <w:pPr>
              <w:pStyle w:val="133"/>
            </w:pPr>
            <w:r>
              <w:t>（还原车间2）厂房20</w:t>
            </w:r>
          </w:p>
        </w:tc>
        <w:tc>
          <w:tcPr>
            <w:tcW w:w="1101" w:type="pct"/>
            <w:tcBorders>
              <w:top w:val="single" w:color="auto" w:sz="4" w:space="0"/>
              <w:left w:val="single" w:color="auto" w:sz="4" w:space="0"/>
              <w:bottom w:val="single" w:color="auto" w:sz="4" w:space="0"/>
              <w:right w:val="single" w:color="auto" w:sz="4" w:space="0"/>
            </w:tcBorders>
            <w:noWrap/>
            <w:vAlign w:val="center"/>
          </w:tcPr>
          <w:p w14:paraId="163741CF">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0E45898">
            <w:pPr>
              <w:pStyle w:val="133"/>
            </w:pPr>
            <w:r>
              <w:t>1281.45</w:t>
            </w:r>
          </w:p>
        </w:tc>
      </w:tr>
      <w:tr w14:paraId="46C63C2A">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1629AC72">
            <w:pPr>
              <w:pStyle w:val="133"/>
            </w:pPr>
            <w:r>
              <w:t>46</w:t>
            </w:r>
          </w:p>
        </w:tc>
        <w:tc>
          <w:tcPr>
            <w:tcW w:w="2249" w:type="pct"/>
            <w:tcBorders>
              <w:top w:val="single" w:color="auto" w:sz="4" w:space="0"/>
              <w:left w:val="single" w:color="auto" w:sz="4" w:space="0"/>
              <w:bottom w:val="single" w:color="auto" w:sz="4" w:space="0"/>
              <w:right w:val="single" w:color="auto" w:sz="4" w:space="0"/>
            </w:tcBorders>
            <w:vAlign w:val="center"/>
          </w:tcPr>
          <w:p w14:paraId="57C947E3">
            <w:pPr>
              <w:pStyle w:val="133"/>
            </w:pPr>
            <w:r>
              <w:t>（还原车间3）厂房21</w:t>
            </w:r>
          </w:p>
        </w:tc>
        <w:tc>
          <w:tcPr>
            <w:tcW w:w="1101" w:type="pct"/>
            <w:tcBorders>
              <w:top w:val="single" w:color="auto" w:sz="4" w:space="0"/>
              <w:left w:val="single" w:color="auto" w:sz="4" w:space="0"/>
              <w:bottom w:val="single" w:color="auto" w:sz="4" w:space="0"/>
              <w:right w:val="single" w:color="auto" w:sz="4" w:space="0"/>
            </w:tcBorders>
            <w:noWrap/>
            <w:vAlign w:val="center"/>
          </w:tcPr>
          <w:p w14:paraId="5FD7AB53">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6FD48383">
            <w:pPr>
              <w:pStyle w:val="133"/>
            </w:pPr>
            <w:r>
              <w:t>1281.45</w:t>
            </w:r>
          </w:p>
        </w:tc>
      </w:tr>
      <w:tr w14:paraId="538A3FAC">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3DFEEF99">
            <w:pPr>
              <w:pStyle w:val="133"/>
            </w:pPr>
            <w:r>
              <w:t>47</w:t>
            </w:r>
          </w:p>
        </w:tc>
        <w:tc>
          <w:tcPr>
            <w:tcW w:w="2249" w:type="pct"/>
            <w:tcBorders>
              <w:top w:val="single" w:color="auto" w:sz="4" w:space="0"/>
              <w:left w:val="single" w:color="auto" w:sz="4" w:space="0"/>
              <w:bottom w:val="single" w:color="auto" w:sz="4" w:space="0"/>
              <w:right w:val="single" w:color="auto" w:sz="4" w:space="0"/>
            </w:tcBorders>
            <w:vAlign w:val="center"/>
          </w:tcPr>
          <w:p w14:paraId="783AA056">
            <w:pPr>
              <w:pStyle w:val="133"/>
            </w:pPr>
            <w:r>
              <w:t>（值班室）配电室9</w:t>
            </w:r>
          </w:p>
        </w:tc>
        <w:tc>
          <w:tcPr>
            <w:tcW w:w="1101" w:type="pct"/>
            <w:tcBorders>
              <w:top w:val="single" w:color="auto" w:sz="4" w:space="0"/>
              <w:left w:val="single" w:color="auto" w:sz="4" w:space="0"/>
              <w:bottom w:val="single" w:color="auto" w:sz="4" w:space="0"/>
              <w:right w:val="single" w:color="auto" w:sz="4" w:space="0"/>
            </w:tcBorders>
            <w:noWrap/>
            <w:vAlign w:val="center"/>
          </w:tcPr>
          <w:p w14:paraId="7C2608B0">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5A28351B">
            <w:pPr>
              <w:pStyle w:val="133"/>
            </w:pPr>
            <w:r>
              <w:t>93.69</w:t>
            </w:r>
          </w:p>
        </w:tc>
      </w:tr>
      <w:tr w14:paraId="77295953">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79B994C7">
            <w:pPr>
              <w:pStyle w:val="133"/>
            </w:pPr>
            <w:r>
              <w:t>48</w:t>
            </w:r>
          </w:p>
        </w:tc>
        <w:tc>
          <w:tcPr>
            <w:tcW w:w="2249" w:type="pct"/>
            <w:tcBorders>
              <w:top w:val="single" w:color="auto" w:sz="4" w:space="0"/>
              <w:left w:val="single" w:color="auto" w:sz="4" w:space="0"/>
              <w:bottom w:val="single" w:color="auto" w:sz="4" w:space="0"/>
              <w:right w:val="single" w:color="auto" w:sz="4" w:space="0"/>
            </w:tcBorders>
            <w:vAlign w:val="center"/>
          </w:tcPr>
          <w:p w14:paraId="5F8D9AB1">
            <w:pPr>
              <w:pStyle w:val="133"/>
            </w:pPr>
            <w:r>
              <w:t>（余热发电控制室）厂房22</w:t>
            </w:r>
          </w:p>
        </w:tc>
        <w:tc>
          <w:tcPr>
            <w:tcW w:w="1101" w:type="pct"/>
            <w:tcBorders>
              <w:top w:val="single" w:color="auto" w:sz="4" w:space="0"/>
              <w:left w:val="single" w:color="auto" w:sz="4" w:space="0"/>
              <w:bottom w:val="single" w:color="auto" w:sz="4" w:space="0"/>
              <w:right w:val="single" w:color="auto" w:sz="4" w:space="0"/>
            </w:tcBorders>
            <w:noWrap/>
            <w:vAlign w:val="center"/>
          </w:tcPr>
          <w:p w14:paraId="567450A4">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47468356">
            <w:pPr>
              <w:pStyle w:val="133"/>
            </w:pPr>
            <w:r>
              <w:t>621.07</w:t>
            </w:r>
          </w:p>
        </w:tc>
      </w:tr>
      <w:tr w14:paraId="4F9A83E5">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0854B240">
            <w:pPr>
              <w:pStyle w:val="133"/>
            </w:pPr>
            <w:r>
              <w:t>49</w:t>
            </w:r>
          </w:p>
        </w:tc>
        <w:tc>
          <w:tcPr>
            <w:tcW w:w="2249" w:type="pct"/>
            <w:tcBorders>
              <w:top w:val="single" w:color="auto" w:sz="4" w:space="0"/>
              <w:left w:val="single" w:color="auto" w:sz="4" w:space="0"/>
              <w:bottom w:val="single" w:color="auto" w:sz="4" w:space="0"/>
              <w:right w:val="single" w:color="auto" w:sz="4" w:space="0"/>
            </w:tcBorders>
            <w:vAlign w:val="center"/>
          </w:tcPr>
          <w:p w14:paraId="344706B6">
            <w:pPr>
              <w:pStyle w:val="133"/>
            </w:pPr>
            <w:r>
              <w:t>（综合水泵房）配电室10</w:t>
            </w:r>
          </w:p>
        </w:tc>
        <w:tc>
          <w:tcPr>
            <w:tcW w:w="1101" w:type="pct"/>
            <w:tcBorders>
              <w:top w:val="single" w:color="auto" w:sz="4" w:space="0"/>
              <w:left w:val="single" w:color="auto" w:sz="4" w:space="0"/>
              <w:bottom w:val="single" w:color="auto" w:sz="4" w:space="0"/>
              <w:right w:val="single" w:color="auto" w:sz="4" w:space="0"/>
            </w:tcBorders>
            <w:noWrap/>
            <w:vAlign w:val="center"/>
          </w:tcPr>
          <w:p w14:paraId="23D93635">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5F014AAC">
            <w:pPr>
              <w:pStyle w:val="133"/>
            </w:pPr>
            <w:r>
              <w:t>1055.83</w:t>
            </w:r>
          </w:p>
        </w:tc>
      </w:tr>
      <w:tr w14:paraId="7B75E0A8">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75C2D91B">
            <w:pPr>
              <w:pStyle w:val="133"/>
            </w:pPr>
            <w:r>
              <w:t>50</w:t>
            </w:r>
          </w:p>
        </w:tc>
        <w:tc>
          <w:tcPr>
            <w:tcW w:w="2249" w:type="pct"/>
            <w:tcBorders>
              <w:top w:val="single" w:color="auto" w:sz="4" w:space="0"/>
              <w:left w:val="single" w:color="auto" w:sz="4" w:space="0"/>
              <w:bottom w:val="single" w:color="auto" w:sz="4" w:space="0"/>
              <w:right w:val="single" w:color="auto" w:sz="4" w:space="0"/>
            </w:tcBorders>
            <w:vAlign w:val="center"/>
          </w:tcPr>
          <w:p w14:paraId="4F0FD6BF">
            <w:pPr>
              <w:pStyle w:val="133"/>
            </w:pPr>
            <w:r>
              <w:t>（电机壳加工车间）厂房23</w:t>
            </w:r>
          </w:p>
        </w:tc>
        <w:tc>
          <w:tcPr>
            <w:tcW w:w="1101" w:type="pct"/>
            <w:tcBorders>
              <w:top w:val="single" w:color="auto" w:sz="4" w:space="0"/>
              <w:left w:val="single" w:color="auto" w:sz="4" w:space="0"/>
              <w:bottom w:val="single" w:color="auto" w:sz="4" w:space="0"/>
              <w:right w:val="single" w:color="auto" w:sz="4" w:space="0"/>
            </w:tcBorders>
            <w:noWrap/>
            <w:vAlign w:val="center"/>
          </w:tcPr>
          <w:p w14:paraId="2DAE33A1">
            <w:pPr>
              <w:pStyle w:val="133"/>
            </w:pPr>
            <w:r>
              <w:t>二层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0EFF83F4">
            <w:pPr>
              <w:pStyle w:val="133"/>
            </w:pPr>
            <w:r>
              <w:t>3391.99</w:t>
            </w:r>
          </w:p>
        </w:tc>
      </w:tr>
      <w:tr w14:paraId="1E9B98BF">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743895FF">
            <w:pPr>
              <w:pStyle w:val="133"/>
            </w:pPr>
            <w:r>
              <w:t>51</w:t>
            </w:r>
          </w:p>
        </w:tc>
        <w:tc>
          <w:tcPr>
            <w:tcW w:w="2249" w:type="pct"/>
            <w:tcBorders>
              <w:top w:val="single" w:color="auto" w:sz="4" w:space="0"/>
              <w:left w:val="single" w:color="auto" w:sz="4" w:space="0"/>
              <w:bottom w:val="single" w:color="auto" w:sz="4" w:space="0"/>
              <w:right w:val="single" w:color="auto" w:sz="4" w:space="0"/>
            </w:tcBorders>
            <w:vAlign w:val="center"/>
          </w:tcPr>
          <w:p w14:paraId="39DF5957">
            <w:pPr>
              <w:pStyle w:val="133"/>
            </w:pPr>
            <w:r>
              <w:t>（电炉主车间）厂房24</w:t>
            </w:r>
          </w:p>
        </w:tc>
        <w:tc>
          <w:tcPr>
            <w:tcW w:w="1101" w:type="pct"/>
            <w:tcBorders>
              <w:top w:val="single" w:color="auto" w:sz="4" w:space="0"/>
              <w:left w:val="single" w:color="auto" w:sz="4" w:space="0"/>
              <w:bottom w:val="single" w:color="auto" w:sz="4" w:space="0"/>
              <w:right w:val="single" w:color="auto" w:sz="4" w:space="0"/>
            </w:tcBorders>
            <w:noWrap/>
            <w:vAlign w:val="center"/>
          </w:tcPr>
          <w:p w14:paraId="48732244">
            <w:pPr>
              <w:pStyle w:val="133"/>
            </w:pPr>
            <w:r>
              <w:t>五层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03F6655F">
            <w:pPr>
              <w:pStyle w:val="133"/>
            </w:pPr>
            <w:r>
              <w:t>17544.37</w:t>
            </w:r>
          </w:p>
        </w:tc>
      </w:tr>
      <w:tr w14:paraId="0AB4CB44">
        <w:tblPrEx>
          <w:tblCellMar>
            <w:top w:w="0" w:type="dxa"/>
            <w:left w:w="108" w:type="dxa"/>
            <w:bottom w:w="0" w:type="dxa"/>
            <w:right w:w="108" w:type="dxa"/>
          </w:tblCellMar>
        </w:tblPrEx>
        <w:trPr>
          <w:trHeight w:val="499" w:hRule="atLeast"/>
        </w:trPr>
        <w:tc>
          <w:tcPr>
            <w:tcW w:w="646" w:type="pct"/>
            <w:tcBorders>
              <w:top w:val="single" w:color="auto" w:sz="4" w:space="0"/>
              <w:left w:val="single" w:color="auto" w:sz="4" w:space="0"/>
              <w:bottom w:val="single" w:color="auto" w:sz="4" w:space="0"/>
              <w:right w:val="single" w:color="auto" w:sz="4" w:space="0"/>
            </w:tcBorders>
            <w:noWrap/>
            <w:vAlign w:val="center"/>
          </w:tcPr>
          <w:p w14:paraId="523FA9CF">
            <w:pPr>
              <w:pStyle w:val="133"/>
            </w:pPr>
            <w:r>
              <w:t>52</w:t>
            </w:r>
          </w:p>
        </w:tc>
        <w:tc>
          <w:tcPr>
            <w:tcW w:w="2249" w:type="pct"/>
            <w:tcBorders>
              <w:top w:val="single" w:color="auto" w:sz="4" w:space="0"/>
              <w:left w:val="single" w:color="auto" w:sz="4" w:space="0"/>
              <w:bottom w:val="single" w:color="auto" w:sz="4" w:space="0"/>
              <w:right w:val="single" w:color="auto" w:sz="4" w:space="0"/>
            </w:tcBorders>
            <w:vAlign w:val="center"/>
          </w:tcPr>
          <w:p w14:paraId="6F623C8B">
            <w:pPr>
              <w:pStyle w:val="133"/>
            </w:pPr>
            <w:r>
              <w:t>（备品备件库及耐材库）库房4</w:t>
            </w:r>
          </w:p>
        </w:tc>
        <w:tc>
          <w:tcPr>
            <w:tcW w:w="1101" w:type="pct"/>
            <w:tcBorders>
              <w:top w:val="single" w:color="auto" w:sz="4" w:space="0"/>
              <w:left w:val="single" w:color="auto" w:sz="4" w:space="0"/>
              <w:bottom w:val="single" w:color="auto" w:sz="4" w:space="0"/>
              <w:right w:val="single" w:color="auto" w:sz="4" w:space="0"/>
            </w:tcBorders>
            <w:noWrap/>
            <w:vAlign w:val="center"/>
          </w:tcPr>
          <w:p w14:paraId="26B9923D">
            <w:pPr>
              <w:pStyle w:val="133"/>
            </w:pPr>
            <w:r>
              <w:t>一层</w:t>
            </w:r>
          </w:p>
        </w:tc>
        <w:tc>
          <w:tcPr>
            <w:tcW w:w="1004" w:type="pct"/>
            <w:tcBorders>
              <w:top w:val="single" w:color="auto" w:sz="4" w:space="0"/>
              <w:left w:val="single" w:color="auto" w:sz="4" w:space="0"/>
              <w:bottom w:val="single" w:color="auto" w:sz="4" w:space="0"/>
              <w:right w:val="single" w:color="auto" w:sz="4" w:space="0"/>
            </w:tcBorders>
            <w:noWrap/>
            <w:vAlign w:val="center"/>
          </w:tcPr>
          <w:p w14:paraId="382BFDCF">
            <w:pPr>
              <w:pStyle w:val="133"/>
            </w:pPr>
            <w:r>
              <w:t>316.93</w:t>
            </w:r>
          </w:p>
        </w:tc>
      </w:tr>
      <w:tr w14:paraId="2DABD1BB">
        <w:tblPrEx>
          <w:tblCellMar>
            <w:top w:w="0" w:type="dxa"/>
            <w:left w:w="108" w:type="dxa"/>
            <w:bottom w:w="0" w:type="dxa"/>
            <w:right w:w="108" w:type="dxa"/>
          </w:tblCellMar>
        </w:tblPrEx>
        <w:trPr>
          <w:trHeight w:val="499" w:hRule="atLeast"/>
        </w:trPr>
        <w:tc>
          <w:tcPr>
            <w:tcW w:w="2895" w:type="pct"/>
            <w:gridSpan w:val="2"/>
            <w:tcBorders>
              <w:top w:val="single" w:color="auto" w:sz="4" w:space="0"/>
              <w:left w:val="single" w:color="auto" w:sz="8" w:space="0"/>
              <w:bottom w:val="single" w:color="auto" w:sz="4" w:space="0"/>
              <w:right w:val="single" w:color="auto" w:sz="4" w:space="0"/>
            </w:tcBorders>
            <w:noWrap/>
            <w:vAlign w:val="center"/>
          </w:tcPr>
          <w:p w14:paraId="54E693BE">
            <w:pPr>
              <w:pStyle w:val="133"/>
            </w:pPr>
            <w:r>
              <w:t>合计：</w:t>
            </w:r>
          </w:p>
        </w:tc>
        <w:tc>
          <w:tcPr>
            <w:tcW w:w="1101" w:type="pct"/>
            <w:tcBorders>
              <w:top w:val="single" w:color="auto" w:sz="4" w:space="0"/>
              <w:left w:val="single" w:color="auto" w:sz="4" w:space="0"/>
              <w:bottom w:val="single" w:color="auto" w:sz="4" w:space="0"/>
              <w:right w:val="single" w:color="auto" w:sz="4" w:space="0"/>
            </w:tcBorders>
            <w:noWrap/>
            <w:vAlign w:val="center"/>
          </w:tcPr>
          <w:p w14:paraId="2CBEC807">
            <w:pPr>
              <w:pStyle w:val="133"/>
            </w:pPr>
            <w:r>
              <w:t>/</w:t>
            </w:r>
          </w:p>
        </w:tc>
        <w:tc>
          <w:tcPr>
            <w:tcW w:w="1004" w:type="pct"/>
            <w:tcBorders>
              <w:top w:val="single" w:color="auto" w:sz="4" w:space="0"/>
              <w:left w:val="single" w:color="auto" w:sz="4" w:space="0"/>
              <w:bottom w:val="single" w:color="auto" w:sz="4" w:space="0"/>
              <w:right w:val="single" w:color="auto" w:sz="8" w:space="0"/>
            </w:tcBorders>
            <w:vAlign w:val="center"/>
          </w:tcPr>
          <w:p w14:paraId="2E0C6C84">
            <w:pPr>
              <w:pStyle w:val="133"/>
            </w:pPr>
            <w:r>
              <w:t>122436.11</w:t>
            </w:r>
          </w:p>
        </w:tc>
      </w:tr>
    </w:tbl>
    <w:p w14:paraId="3399BB3E">
      <w:pPr>
        <w:pStyle w:val="133"/>
      </w:pPr>
    </w:p>
    <w:p w14:paraId="27389D47">
      <w:pPr>
        <w:pStyle w:val="138"/>
        <w:rPr>
          <w:rFonts w:hint="eastAsia"/>
        </w:rPr>
      </w:pPr>
      <w:bookmarkStart w:id="222" w:name="_Hlk177572633"/>
      <w:r>
        <w:rPr>
          <w:rFonts w:hint="eastAsia"/>
        </w:rPr>
        <w:t>工程产污环节及环保措施</w:t>
      </w:r>
    </w:p>
    <w:p w14:paraId="41F664D7">
      <w:pPr>
        <w:pStyle w:val="117"/>
        <w:ind w:firstLine="480"/>
      </w:pPr>
      <w:r>
        <w:rPr>
          <w:rFonts w:hint="eastAsia"/>
        </w:rPr>
        <w:t>（1）废气产污环节及环保措施</w:t>
      </w:r>
    </w:p>
    <w:p w14:paraId="248760DA">
      <w:pPr>
        <w:pStyle w:val="117"/>
        <w:ind w:firstLine="480"/>
        <w:rPr>
          <w:szCs w:val="21"/>
        </w:rPr>
      </w:pPr>
      <w:r>
        <w:rPr>
          <w:szCs w:val="21"/>
        </w:rPr>
        <w:t xml:space="preserve">1、镁及镁合金生产线 </w:t>
      </w:r>
    </w:p>
    <w:p w14:paraId="789B4F60">
      <w:pPr>
        <w:pStyle w:val="117"/>
        <w:ind w:firstLine="480"/>
        <w:rPr>
          <w:szCs w:val="21"/>
        </w:rPr>
      </w:pPr>
      <w:r>
        <w:rPr>
          <w:szCs w:val="21"/>
        </w:rPr>
        <w:t>皮江法镁冶炼生</w:t>
      </w:r>
      <w:r>
        <w:rPr>
          <w:rFonts w:hint="eastAsia"/>
          <w:szCs w:val="21"/>
        </w:rPr>
        <w:t>产的</w:t>
      </w:r>
      <w:r>
        <w:rPr>
          <w:szCs w:val="21"/>
        </w:rPr>
        <w:t>大气污染物产生环节主要是：白云石煅烧回转窑产生含SO</w:t>
      </w:r>
      <w:r>
        <w:rPr>
          <w:szCs w:val="21"/>
          <w:vertAlign w:val="subscript"/>
        </w:rPr>
        <w:t>2</w:t>
      </w:r>
      <w:r>
        <w:rPr>
          <w:szCs w:val="21"/>
        </w:rPr>
        <w:t>、CO</w:t>
      </w:r>
      <w:r>
        <w:rPr>
          <w:szCs w:val="21"/>
          <w:vertAlign w:val="subscript"/>
        </w:rPr>
        <w:t>2</w:t>
      </w:r>
      <w:r>
        <w:rPr>
          <w:szCs w:val="21"/>
        </w:rPr>
        <w:t>、NOx、粉尘的烟气；原料在输送、贮运、破碎、配料、混磨、压球、筛分等过程中产生的生产性粉尘；粉煤制备产生的粉尘废气；精炼产生的含SO</w:t>
      </w:r>
      <w:r>
        <w:rPr>
          <w:szCs w:val="21"/>
          <w:vertAlign w:val="subscript"/>
        </w:rPr>
        <w:t>2</w:t>
      </w:r>
      <w:r>
        <w:rPr>
          <w:szCs w:val="21"/>
        </w:rPr>
        <w:t>、HCl的精炼废气；铸造过程产生的含SO</w:t>
      </w:r>
      <w:r>
        <w:rPr>
          <w:szCs w:val="21"/>
          <w:vertAlign w:val="subscript"/>
        </w:rPr>
        <w:t>2</w:t>
      </w:r>
      <w:r>
        <w:rPr>
          <w:szCs w:val="21"/>
        </w:rPr>
        <w:t>的废气以及还原炉、精炼炉和合金化炉燃烧兰炭焦炉煤气产生的废气。</w:t>
      </w:r>
    </w:p>
    <w:p w14:paraId="79412150">
      <w:pPr>
        <w:pStyle w:val="117"/>
        <w:ind w:firstLine="480"/>
        <w:rPr>
          <w:szCs w:val="21"/>
        </w:rPr>
      </w:pPr>
      <w:r>
        <w:rPr>
          <w:rFonts w:hint="eastAsia"/>
          <w:szCs w:val="21"/>
        </w:rPr>
        <w:t>1</w:t>
      </w:r>
      <w:r>
        <w:rPr>
          <w:szCs w:val="21"/>
        </w:rPr>
        <w:t>）有组织废气</w:t>
      </w:r>
    </w:p>
    <w:p w14:paraId="52A7FB9D">
      <w:pPr>
        <w:pStyle w:val="117"/>
        <w:ind w:firstLine="480"/>
        <w:rPr>
          <w:szCs w:val="21"/>
        </w:rPr>
      </w:pPr>
      <w:r>
        <w:rPr>
          <w:rFonts w:hint="eastAsia"/>
          <w:szCs w:val="21"/>
        </w:rPr>
        <w:t>a．</w:t>
      </w:r>
      <w:r>
        <w:rPr>
          <w:szCs w:val="21"/>
        </w:rPr>
        <w:t xml:space="preserve">白云石筛分粉尘G1-1 </w:t>
      </w:r>
    </w:p>
    <w:p w14:paraId="116C9220">
      <w:pPr>
        <w:pStyle w:val="117"/>
        <w:ind w:firstLine="480"/>
        <w:rPr>
          <w:szCs w:val="21"/>
        </w:rPr>
      </w:pPr>
      <w:r>
        <w:rPr>
          <w:szCs w:val="21"/>
        </w:rPr>
        <w:t xml:space="preserve">采用集气罩+脉冲袋式除尘器处理通过20m高排气筒DA007排放。 </w:t>
      </w:r>
    </w:p>
    <w:p w14:paraId="0D2E922C">
      <w:pPr>
        <w:pStyle w:val="117"/>
        <w:ind w:firstLine="480"/>
        <w:rPr>
          <w:szCs w:val="21"/>
        </w:rPr>
      </w:pPr>
      <w:r>
        <w:rPr>
          <w:rFonts w:hint="eastAsia"/>
          <w:szCs w:val="21"/>
        </w:rPr>
        <w:t>b．</w:t>
      </w:r>
      <w:r>
        <w:rPr>
          <w:szCs w:val="21"/>
        </w:rPr>
        <w:t xml:space="preserve">白云石煅烧烟气G1-2 </w:t>
      </w:r>
    </w:p>
    <w:p w14:paraId="4EAA4C78">
      <w:pPr>
        <w:pStyle w:val="117"/>
        <w:ind w:firstLine="480"/>
        <w:rPr>
          <w:szCs w:val="21"/>
        </w:rPr>
      </w:pPr>
      <w:r>
        <w:rPr>
          <w:szCs w:val="21"/>
        </w:rPr>
        <w:t xml:space="preserve">该高温烟气经过回转窑竖式预热器降温后，用脉冲袋式除尘器净化烟尘，除尘效率大于99%。烟气在预热器里与物料接触进行预热，经过烟气再循环预热处理，控制入窑空气量，氮氧化物的排放浓度可降低25%左右。白云石煅烧废气经45m排气筒DA008排放。 </w:t>
      </w:r>
    </w:p>
    <w:p w14:paraId="7644710E">
      <w:pPr>
        <w:pStyle w:val="117"/>
        <w:ind w:firstLine="480"/>
        <w:rPr>
          <w:szCs w:val="21"/>
        </w:rPr>
      </w:pPr>
      <w:r>
        <w:rPr>
          <w:rFonts w:hint="eastAsia"/>
          <w:szCs w:val="21"/>
        </w:rPr>
        <w:t>c．</w:t>
      </w:r>
      <w:r>
        <w:rPr>
          <w:szCs w:val="21"/>
        </w:rPr>
        <w:t xml:space="preserve">煅白输送粉尘G1-3 </w:t>
      </w:r>
    </w:p>
    <w:p w14:paraId="3AB221A5">
      <w:pPr>
        <w:pStyle w:val="117"/>
        <w:ind w:firstLine="480"/>
        <w:rPr>
          <w:szCs w:val="21"/>
        </w:rPr>
      </w:pPr>
      <w:r>
        <w:rPr>
          <w:szCs w:val="21"/>
        </w:rPr>
        <w:t>在各转接处安装集气罩，集中收集后由布袋除尘器对含尘气体净化处理</w:t>
      </w:r>
      <w:r>
        <w:rPr>
          <w:rFonts w:hint="eastAsia"/>
          <w:szCs w:val="21"/>
        </w:rPr>
        <w:t>，</w:t>
      </w:r>
      <w:r>
        <w:rPr>
          <w:szCs w:val="21"/>
        </w:rPr>
        <w:t xml:space="preserve">通过20m高排气筒DA006排放。 </w:t>
      </w:r>
    </w:p>
    <w:p w14:paraId="5EC17EA5">
      <w:pPr>
        <w:pStyle w:val="117"/>
        <w:ind w:firstLine="480"/>
        <w:rPr>
          <w:szCs w:val="21"/>
        </w:rPr>
      </w:pPr>
      <w:r>
        <w:rPr>
          <w:rFonts w:hint="eastAsia"/>
          <w:szCs w:val="21"/>
        </w:rPr>
        <w:t>d．</w:t>
      </w:r>
      <w:r>
        <w:rPr>
          <w:szCs w:val="21"/>
        </w:rPr>
        <w:t xml:space="preserve">硅铁破碎、转运粉尘G1-4 </w:t>
      </w:r>
    </w:p>
    <w:p w14:paraId="402479A0">
      <w:pPr>
        <w:pStyle w:val="117"/>
        <w:ind w:firstLine="480"/>
        <w:rPr>
          <w:szCs w:val="21"/>
        </w:rPr>
      </w:pPr>
      <w:r>
        <w:rPr>
          <w:szCs w:val="21"/>
        </w:rPr>
        <w:t>在各产尘点设置集气罩，集中收集后由布袋除尘器对含尘气体净化处理，通过20m高排气筒DA010排放。</w:t>
      </w:r>
    </w:p>
    <w:p w14:paraId="525AC85D">
      <w:pPr>
        <w:pStyle w:val="117"/>
        <w:ind w:firstLine="480"/>
        <w:rPr>
          <w:szCs w:val="21"/>
        </w:rPr>
      </w:pPr>
      <w:r>
        <w:rPr>
          <w:rFonts w:hint="eastAsia"/>
          <w:szCs w:val="21"/>
        </w:rPr>
        <w:t>e．</w:t>
      </w:r>
      <w:r>
        <w:rPr>
          <w:szCs w:val="21"/>
        </w:rPr>
        <w:t xml:space="preserve">萤石粉输送氟化物粉尘G1-5 </w:t>
      </w:r>
    </w:p>
    <w:p w14:paraId="7FC57E6F">
      <w:pPr>
        <w:pStyle w:val="117"/>
        <w:ind w:firstLine="480"/>
        <w:rPr>
          <w:szCs w:val="21"/>
        </w:rPr>
      </w:pPr>
      <w:r>
        <w:rPr>
          <w:szCs w:val="21"/>
        </w:rPr>
        <w:t>在转接处安装集气罩，集中收集后由布袋除尘器对含尘气体净化处理</w:t>
      </w:r>
      <w:r>
        <w:rPr>
          <w:rFonts w:hint="eastAsia"/>
          <w:szCs w:val="21"/>
        </w:rPr>
        <w:t>，</w:t>
      </w:r>
      <w:r>
        <w:rPr>
          <w:szCs w:val="21"/>
        </w:rPr>
        <w:t xml:space="preserve">通过15m高排气筒DA009排放。 </w:t>
      </w:r>
    </w:p>
    <w:p w14:paraId="569062AE">
      <w:pPr>
        <w:pStyle w:val="117"/>
        <w:ind w:firstLine="480"/>
        <w:rPr>
          <w:szCs w:val="21"/>
        </w:rPr>
      </w:pPr>
      <w:r>
        <w:rPr>
          <w:rFonts w:hint="eastAsia"/>
          <w:szCs w:val="21"/>
        </w:rPr>
        <w:t>f．</w:t>
      </w:r>
      <w:r>
        <w:rPr>
          <w:szCs w:val="21"/>
        </w:rPr>
        <w:t xml:space="preserve">配料、混磨粉尘G1-6、G1-7 </w:t>
      </w:r>
    </w:p>
    <w:p w14:paraId="7C269EE0">
      <w:pPr>
        <w:pStyle w:val="117"/>
        <w:ind w:firstLine="480"/>
        <w:rPr>
          <w:szCs w:val="21"/>
        </w:rPr>
      </w:pPr>
      <w:r>
        <w:rPr>
          <w:szCs w:val="21"/>
        </w:rPr>
        <w:t xml:space="preserve">经集气罩和袋式除尘器处理，通过20m高排气筒DA011排放。 </w:t>
      </w:r>
    </w:p>
    <w:p w14:paraId="70A9E644">
      <w:pPr>
        <w:pStyle w:val="117"/>
        <w:ind w:firstLine="480"/>
        <w:rPr>
          <w:szCs w:val="21"/>
        </w:rPr>
      </w:pPr>
      <w:r>
        <w:rPr>
          <w:rFonts w:hint="eastAsia"/>
          <w:szCs w:val="21"/>
        </w:rPr>
        <w:t>g．</w:t>
      </w:r>
      <w:r>
        <w:rPr>
          <w:szCs w:val="21"/>
        </w:rPr>
        <w:t xml:space="preserve">压球筛分粉尘G1-8 </w:t>
      </w:r>
    </w:p>
    <w:p w14:paraId="40F3B850">
      <w:pPr>
        <w:pStyle w:val="117"/>
        <w:ind w:firstLine="480"/>
        <w:rPr>
          <w:szCs w:val="21"/>
        </w:rPr>
      </w:pPr>
      <w:r>
        <w:rPr>
          <w:szCs w:val="21"/>
        </w:rPr>
        <w:t xml:space="preserve">压球系统设置集气罩和布袋除尘器，收尘粉返回压球系统，通过20m高排气筒DA013排放。 </w:t>
      </w:r>
    </w:p>
    <w:p w14:paraId="60F2A768">
      <w:pPr>
        <w:pStyle w:val="117"/>
        <w:ind w:firstLine="480"/>
        <w:rPr>
          <w:szCs w:val="21"/>
        </w:rPr>
      </w:pPr>
      <w:r>
        <w:rPr>
          <w:rFonts w:hint="eastAsia"/>
          <w:szCs w:val="21"/>
        </w:rPr>
        <w:t>h．</w:t>
      </w:r>
      <w:r>
        <w:rPr>
          <w:szCs w:val="21"/>
        </w:rPr>
        <w:t>精炼含SO</w:t>
      </w:r>
      <w:r>
        <w:rPr>
          <w:szCs w:val="21"/>
          <w:vertAlign w:val="subscript"/>
        </w:rPr>
        <w:t>2</w:t>
      </w:r>
      <w:r>
        <w:rPr>
          <w:szCs w:val="21"/>
        </w:rPr>
        <w:t xml:space="preserve">、HCl废气G1-9、G1-11 </w:t>
      </w:r>
    </w:p>
    <w:p w14:paraId="580D3285">
      <w:pPr>
        <w:pStyle w:val="117"/>
        <w:ind w:firstLine="480"/>
        <w:rPr>
          <w:szCs w:val="21"/>
        </w:rPr>
      </w:pPr>
      <w:r>
        <w:rPr>
          <w:szCs w:val="21"/>
        </w:rPr>
        <w:t>精炼炉抽出的含SO</w:t>
      </w:r>
      <w:r>
        <w:rPr>
          <w:szCs w:val="21"/>
          <w:vertAlign w:val="subscript"/>
        </w:rPr>
        <w:t>2</w:t>
      </w:r>
      <w:r>
        <w:rPr>
          <w:szCs w:val="21"/>
        </w:rPr>
        <w:t>和HCl废气进入吸收塔进行碱液吸收，SO</w:t>
      </w:r>
      <w:r>
        <w:rPr>
          <w:szCs w:val="21"/>
          <w:vertAlign w:val="subscript"/>
        </w:rPr>
        <w:t xml:space="preserve">2 </w:t>
      </w:r>
      <w:r>
        <w:rPr>
          <w:szCs w:val="21"/>
        </w:rPr>
        <w:t>和HCl的去除效率分别为80%、90%。精炼设施废气分别通过2根30m高排气筒DA019、DA021排放。</w:t>
      </w:r>
    </w:p>
    <w:p w14:paraId="0D580E2F">
      <w:pPr>
        <w:pStyle w:val="117"/>
        <w:ind w:firstLine="480"/>
        <w:rPr>
          <w:szCs w:val="21"/>
        </w:rPr>
      </w:pPr>
      <w:r>
        <w:rPr>
          <w:rFonts w:hint="eastAsia"/>
          <w:szCs w:val="21"/>
        </w:rPr>
        <w:t>i．</w:t>
      </w:r>
      <w:r>
        <w:rPr>
          <w:szCs w:val="21"/>
        </w:rPr>
        <w:t>铸造含SO</w:t>
      </w:r>
      <w:r>
        <w:rPr>
          <w:szCs w:val="21"/>
          <w:vertAlign w:val="subscript"/>
        </w:rPr>
        <w:t>2</w:t>
      </w:r>
      <w:r>
        <w:rPr>
          <w:szCs w:val="21"/>
        </w:rPr>
        <w:t xml:space="preserve">废气G1-10 </w:t>
      </w:r>
    </w:p>
    <w:p w14:paraId="0624C9D7">
      <w:pPr>
        <w:pStyle w:val="117"/>
        <w:ind w:firstLine="480"/>
        <w:rPr>
          <w:szCs w:val="21"/>
        </w:rPr>
      </w:pPr>
      <w:r>
        <w:rPr>
          <w:szCs w:val="21"/>
        </w:rPr>
        <w:t>抽出的气体中含有SO</w:t>
      </w:r>
      <w:r>
        <w:rPr>
          <w:szCs w:val="21"/>
          <w:vertAlign w:val="subscript"/>
        </w:rPr>
        <w:t>2</w:t>
      </w:r>
      <w:r>
        <w:rPr>
          <w:szCs w:val="21"/>
        </w:rPr>
        <w:t>，进入吸收塔进行碱液吸收</w:t>
      </w:r>
      <w:r>
        <w:rPr>
          <w:rFonts w:hint="eastAsia"/>
          <w:szCs w:val="21"/>
        </w:rPr>
        <w:t>，</w:t>
      </w:r>
      <w:r>
        <w:rPr>
          <w:szCs w:val="21"/>
        </w:rPr>
        <w:t>铸造设施废气分别通过2根30m高排气筒DA022、DA023 排放。</w:t>
      </w:r>
    </w:p>
    <w:p w14:paraId="4C5FE963">
      <w:pPr>
        <w:pStyle w:val="117"/>
        <w:ind w:firstLine="480"/>
        <w:rPr>
          <w:szCs w:val="21"/>
        </w:rPr>
      </w:pPr>
      <w:r>
        <w:rPr>
          <w:rFonts w:hint="eastAsia"/>
          <w:szCs w:val="21"/>
        </w:rPr>
        <w:t>j．</w:t>
      </w:r>
      <w:r>
        <w:rPr>
          <w:szCs w:val="21"/>
        </w:rPr>
        <w:t xml:space="preserve">煅烧燃料粉煤制备产生的粉尘废气G1-12 </w:t>
      </w:r>
    </w:p>
    <w:p w14:paraId="16896238">
      <w:pPr>
        <w:pStyle w:val="117"/>
        <w:ind w:firstLine="480"/>
        <w:rPr>
          <w:szCs w:val="21"/>
        </w:rPr>
      </w:pPr>
      <w:r>
        <w:rPr>
          <w:szCs w:val="21"/>
        </w:rPr>
        <w:t xml:space="preserve">制备工艺包括煤磨和分选，产生粉尘废气，经袋式除尘器处理，通过 15m 高排气筒DA012排放。 </w:t>
      </w:r>
    </w:p>
    <w:p w14:paraId="2F89BD5C">
      <w:pPr>
        <w:pStyle w:val="117"/>
        <w:ind w:firstLine="480"/>
        <w:rPr>
          <w:szCs w:val="21"/>
        </w:rPr>
      </w:pPr>
      <w:r>
        <w:rPr>
          <w:rFonts w:hint="eastAsia"/>
          <w:szCs w:val="21"/>
        </w:rPr>
        <w:t>k．</w:t>
      </w:r>
      <w:r>
        <w:rPr>
          <w:szCs w:val="21"/>
        </w:rPr>
        <w:t>煤气燃烧废气项目还原炉、精炼炉和合金化炉均采用兰炭项目生产的净煤气作为燃料。煤气燃烧产生大量的烟气，主要污染物SO2、NOX、烟尘，浓度水平较低，燃烧废气分别通过各自烟囱高空排放。</w:t>
      </w:r>
    </w:p>
    <w:p w14:paraId="5232430B">
      <w:pPr>
        <w:pStyle w:val="117"/>
        <w:ind w:firstLine="480"/>
        <w:rPr>
          <w:szCs w:val="21"/>
        </w:rPr>
      </w:pPr>
      <w:r>
        <w:rPr>
          <w:rFonts w:hint="eastAsia" w:ascii="Cambria Math" w:hAnsi="Cambria Math" w:cs="Cambria Math"/>
          <w:szCs w:val="21"/>
        </w:rPr>
        <w:t>2）</w:t>
      </w:r>
      <w:r>
        <w:rPr>
          <w:rFonts w:hint="eastAsia"/>
          <w:szCs w:val="21"/>
        </w:rPr>
        <w:t>无组织废气</w:t>
      </w:r>
    </w:p>
    <w:p w14:paraId="6D42E7EB">
      <w:pPr>
        <w:pStyle w:val="117"/>
        <w:ind w:firstLine="480"/>
        <w:rPr>
          <w:szCs w:val="21"/>
        </w:rPr>
      </w:pPr>
      <w:r>
        <w:rPr>
          <w:rFonts w:hint="eastAsia"/>
          <w:szCs w:val="21"/>
        </w:rPr>
        <w:t>镁及镁合金项目主要的无组织排放物质为粉尘，产生部位为各原料在筛分、破碎、输运、混磨、压球等工序。</w:t>
      </w:r>
    </w:p>
    <w:p w14:paraId="3AC803EE">
      <w:pPr>
        <w:pStyle w:val="117"/>
        <w:ind w:firstLine="480"/>
        <w:rPr>
          <w:szCs w:val="21"/>
        </w:rPr>
      </w:pPr>
      <w:r>
        <w:rPr>
          <w:rFonts w:hint="eastAsia"/>
          <w:szCs w:val="21"/>
        </w:rPr>
        <w:t>拟采用以下措施：</w:t>
      </w:r>
      <w:r>
        <w:rPr>
          <w:szCs w:val="21"/>
        </w:rPr>
        <w:t xml:space="preserve"> </w:t>
      </w:r>
    </w:p>
    <w:p w14:paraId="264B881F">
      <w:pPr>
        <w:pStyle w:val="117"/>
        <w:ind w:firstLine="480"/>
        <w:rPr>
          <w:szCs w:val="21"/>
        </w:rPr>
      </w:pPr>
      <w:r>
        <w:rPr>
          <w:rFonts w:hint="eastAsia" w:ascii="宋体" w:hAnsi="宋体"/>
          <w:szCs w:val="21"/>
        </w:rPr>
        <w:t>①</w:t>
      </w:r>
      <w:r>
        <w:rPr>
          <w:rFonts w:hint="eastAsia"/>
          <w:szCs w:val="21"/>
        </w:rPr>
        <w:t>在车间设置车间排气扇，加强车间机械通风，减少无组织排放粉尘的影响。</w:t>
      </w:r>
      <w:r>
        <w:rPr>
          <w:szCs w:val="21"/>
        </w:rPr>
        <w:t xml:space="preserve"> </w:t>
      </w:r>
    </w:p>
    <w:p w14:paraId="3AB1CBC1">
      <w:pPr>
        <w:pStyle w:val="117"/>
        <w:ind w:firstLine="480"/>
        <w:rPr>
          <w:szCs w:val="21"/>
        </w:rPr>
      </w:pPr>
      <w:r>
        <w:rPr>
          <w:rFonts w:ascii="Cambria Math" w:hAnsi="Cambria Math"/>
          <w:szCs w:val="21"/>
        </w:rPr>
        <w:t>②</w:t>
      </w:r>
      <w:r>
        <w:rPr>
          <w:rFonts w:hint="eastAsia"/>
          <w:szCs w:val="21"/>
        </w:rPr>
        <w:t>严格按照投料配比进行生产，采用密闭工艺，密封加料，减少生产过程中的粉尘等的无组织排放；</w:t>
      </w:r>
      <w:r>
        <w:rPr>
          <w:szCs w:val="21"/>
        </w:rPr>
        <w:t xml:space="preserve"> </w:t>
      </w:r>
    </w:p>
    <w:p w14:paraId="51E27152">
      <w:pPr>
        <w:pStyle w:val="117"/>
        <w:ind w:firstLine="480"/>
        <w:rPr>
          <w:szCs w:val="21"/>
        </w:rPr>
      </w:pPr>
      <w:r>
        <w:rPr>
          <w:rFonts w:hint="eastAsia" w:ascii="宋体" w:hAnsi="宋体"/>
          <w:szCs w:val="21"/>
        </w:rPr>
        <w:t>③</w:t>
      </w:r>
      <w:r>
        <w:rPr>
          <w:rFonts w:hint="eastAsia"/>
          <w:szCs w:val="21"/>
        </w:rPr>
        <w:t>废渣堆场采取防风抑尘网，并定期洒水，防止二次扬尘。</w:t>
      </w:r>
    </w:p>
    <w:p w14:paraId="77223831">
      <w:pPr>
        <w:pStyle w:val="117"/>
        <w:ind w:firstLine="480"/>
        <w:rPr>
          <w:szCs w:val="21"/>
        </w:rPr>
      </w:pPr>
      <w:r>
        <w:rPr>
          <w:szCs w:val="21"/>
        </w:rPr>
        <w:t>2</w:t>
      </w:r>
      <w:r>
        <w:rPr>
          <w:rFonts w:hint="eastAsia"/>
          <w:szCs w:val="21"/>
        </w:rPr>
        <w:t>、</w:t>
      </w:r>
      <w:r>
        <w:rPr>
          <w:szCs w:val="21"/>
        </w:rPr>
        <w:t xml:space="preserve">硅铁生产线 </w:t>
      </w:r>
    </w:p>
    <w:p w14:paraId="76D2B518">
      <w:pPr>
        <w:pStyle w:val="117"/>
        <w:ind w:firstLine="480"/>
        <w:rPr>
          <w:szCs w:val="21"/>
        </w:rPr>
      </w:pPr>
      <w:r>
        <w:rPr>
          <w:rFonts w:hint="eastAsia"/>
          <w:szCs w:val="21"/>
        </w:rPr>
        <w:t>1）</w:t>
      </w:r>
      <w:r>
        <w:rPr>
          <w:szCs w:val="21"/>
        </w:rPr>
        <w:t xml:space="preserve">有组织废气： </w:t>
      </w:r>
    </w:p>
    <w:p w14:paraId="0C7A5F52">
      <w:pPr>
        <w:pStyle w:val="117"/>
        <w:ind w:firstLine="480"/>
        <w:rPr>
          <w:szCs w:val="21"/>
        </w:rPr>
      </w:pPr>
      <w:r>
        <w:rPr>
          <w:szCs w:val="21"/>
        </w:rPr>
        <w:t xml:space="preserve">本工程硅铁合金生产过程中有组织废气为电炉烟气、电炉出铁口产生的烟气、原料系统产生的粉尘、车间配料系统产生的粉尘以及硅铁合金成品破碎系统产生的粉尘。 </w:t>
      </w:r>
    </w:p>
    <w:p w14:paraId="4DA77B2B">
      <w:pPr>
        <w:pStyle w:val="117"/>
        <w:ind w:firstLine="480"/>
        <w:rPr>
          <w:szCs w:val="21"/>
        </w:rPr>
      </w:pPr>
      <w:r>
        <w:rPr>
          <w:rFonts w:hint="eastAsia"/>
          <w:szCs w:val="21"/>
        </w:rPr>
        <w:t>a．</w:t>
      </w:r>
      <w:r>
        <w:rPr>
          <w:szCs w:val="21"/>
        </w:rPr>
        <w:t xml:space="preserve">冶炼电炉烟气 </w:t>
      </w:r>
    </w:p>
    <w:p w14:paraId="2D2D0B2C">
      <w:pPr>
        <w:pStyle w:val="117"/>
        <w:ind w:firstLine="480"/>
        <w:rPr>
          <w:szCs w:val="21"/>
        </w:rPr>
      </w:pPr>
      <w:r>
        <w:rPr>
          <w:szCs w:val="21"/>
        </w:rPr>
        <w:t>电炉烟气及出铁口烟气中主要污染物为粉尘、SO</w:t>
      </w:r>
      <w:r>
        <w:rPr>
          <w:szCs w:val="21"/>
          <w:vertAlign w:val="subscript"/>
        </w:rPr>
        <w:t>2</w:t>
      </w:r>
      <w:r>
        <w:rPr>
          <w:szCs w:val="21"/>
        </w:rPr>
        <w:t xml:space="preserve">，这部分电炉烟气通过烟囱外排，采用“单筒旋风除尘+袋式除尘器”处理电炉烟气，经处理后通过60米高，出口内径为1.5米的烟囱DA026排空。 </w:t>
      </w:r>
    </w:p>
    <w:p w14:paraId="341255B3">
      <w:pPr>
        <w:pStyle w:val="117"/>
        <w:ind w:firstLine="480"/>
        <w:rPr>
          <w:szCs w:val="21"/>
        </w:rPr>
      </w:pPr>
      <w:r>
        <w:rPr>
          <w:rFonts w:hint="eastAsia"/>
          <w:szCs w:val="21"/>
        </w:rPr>
        <w:t>b．</w:t>
      </w:r>
      <w:r>
        <w:rPr>
          <w:szCs w:val="21"/>
        </w:rPr>
        <w:t xml:space="preserve">原料系统废气 </w:t>
      </w:r>
    </w:p>
    <w:p w14:paraId="3E6E8F24">
      <w:pPr>
        <w:pStyle w:val="117"/>
        <w:ind w:firstLine="480"/>
        <w:rPr>
          <w:szCs w:val="21"/>
        </w:rPr>
      </w:pPr>
      <w:r>
        <w:rPr>
          <w:szCs w:val="21"/>
        </w:rPr>
        <w:t>原料系统产生的废气原料系统主要在硅石输送、筛分</w:t>
      </w:r>
      <w:r>
        <w:rPr>
          <w:rFonts w:hint="eastAsia"/>
          <w:szCs w:val="21"/>
        </w:rPr>
        <w:t>等</w:t>
      </w:r>
      <w:r>
        <w:rPr>
          <w:szCs w:val="21"/>
        </w:rPr>
        <w:t xml:space="preserve">处产生粉尘，采用布袋除尘器处理，经处理后通过20米高，出口内径为0.4 米的烟囱DA025排空。 </w:t>
      </w:r>
    </w:p>
    <w:p w14:paraId="32762D1F">
      <w:pPr>
        <w:pStyle w:val="117"/>
        <w:ind w:firstLine="480"/>
        <w:rPr>
          <w:szCs w:val="21"/>
        </w:rPr>
      </w:pPr>
      <w:r>
        <w:rPr>
          <w:rFonts w:hint="eastAsia"/>
          <w:szCs w:val="21"/>
        </w:rPr>
        <w:t>c．</w:t>
      </w:r>
      <w:r>
        <w:rPr>
          <w:szCs w:val="21"/>
        </w:rPr>
        <w:t xml:space="preserve">车间配料系统废气 </w:t>
      </w:r>
    </w:p>
    <w:p w14:paraId="7AADDE51">
      <w:pPr>
        <w:pStyle w:val="117"/>
        <w:ind w:firstLine="480"/>
        <w:rPr>
          <w:szCs w:val="21"/>
        </w:rPr>
      </w:pPr>
      <w:r>
        <w:rPr>
          <w:szCs w:val="21"/>
        </w:rPr>
        <w:t xml:space="preserve">车间配料系统主要在主车间料仓及分配料系统处产生粉尘，采用布袋除尘器处理原料系统产生的粉尘，经处理后通过30米高，出口内径为1.5米的烟囱DA027排空。 </w:t>
      </w:r>
    </w:p>
    <w:p w14:paraId="7B36C461">
      <w:pPr>
        <w:pStyle w:val="117"/>
        <w:ind w:firstLine="480"/>
        <w:rPr>
          <w:szCs w:val="21"/>
        </w:rPr>
      </w:pPr>
      <w:r>
        <w:rPr>
          <w:rFonts w:hint="eastAsia"/>
          <w:szCs w:val="21"/>
        </w:rPr>
        <w:t>d．</w:t>
      </w:r>
      <w:r>
        <w:rPr>
          <w:szCs w:val="21"/>
        </w:rPr>
        <w:t xml:space="preserve">成品破碎系统废气 </w:t>
      </w:r>
    </w:p>
    <w:p w14:paraId="7F18C049">
      <w:pPr>
        <w:pStyle w:val="117"/>
        <w:ind w:firstLine="480"/>
        <w:rPr>
          <w:szCs w:val="21"/>
        </w:rPr>
      </w:pPr>
      <w:r>
        <w:rPr>
          <w:szCs w:val="21"/>
        </w:rPr>
        <w:t>硅铁合金成品在破碎工段会产生粉尘，采用布袋除尘器处理原料系统产生的粉尘，经处理后通过30米高，出口内径为1.5米的烟囱DA028排空。</w:t>
      </w:r>
    </w:p>
    <w:p w14:paraId="7395A4E1">
      <w:pPr>
        <w:pStyle w:val="117"/>
        <w:ind w:firstLine="480"/>
        <w:rPr>
          <w:szCs w:val="21"/>
        </w:rPr>
      </w:pPr>
      <w:r>
        <w:rPr>
          <w:rFonts w:hint="eastAsia"/>
          <w:szCs w:val="21"/>
        </w:rPr>
        <w:t>2）无组织废气</w:t>
      </w:r>
    </w:p>
    <w:p w14:paraId="4EE34F63">
      <w:pPr>
        <w:pStyle w:val="117"/>
        <w:ind w:firstLine="480"/>
        <w:rPr>
          <w:szCs w:val="21"/>
        </w:rPr>
      </w:pPr>
      <w:r>
        <w:rPr>
          <w:rFonts w:hint="eastAsia"/>
          <w:szCs w:val="21"/>
        </w:rPr>
        <w:t>硅铁项目无组织排放的粉尘是本工程难以控制的大气污染源，产生于原料系统、配料系统、成品破碎系统以及电炉出铁口等环节。</w:t>
      </w:r>
      <w:r>
        <w:rPr>
          <w:szCs w:val="21"/>
        </w:rPr>
        <w:t xml:space="preserve"> </w:t>
      </w:r>
    </w:p>
    <w:p w14:paraId="0169685A">
      <w:pPr>
        <w:pStyle w:val="117"/>
        <w:ind w:firstLine="480"/>
        <w:rPr>
          <w:szCs w:val="21"/>
        </w:rPr>
      </w:pPr>
      <w:r>
        <w:rPr>
          <w:rFonts w:hint="eastAsia"/>
          <w:szCs w:val="21"/>
        </w:rPr>
        <w:t>原料系统、配料系统、成品破碎系统均采取了相应的废气防治措施，在各个产尘点均设置了集气装置，在电炉出口采用了矮烟罩，排放的烟气绝大部分由矮烟罩收集。</w:t>
      </w:r>
    </w:p>
    <w:p w14:paraId="43D500F0">
      <w:pPr>
        <w:pStyle w:val="117"/>
        <w:ind w:firstLine="480"/>
        <w:rPr>
          <w:szCs w:val="21"/>
        </w:rPr>
      </w:pPr>
      <w:r>
        <w:rPr>
          <w:szCs w:val="21"/>
        </w:rPr>
        <w:t>3</w:t>
      </w:r>
      <w:r>
        <w:rPr>
          <w:rFonts w:hint="eastAsia"/>
          <w:szCs w:val="21"/>
        </w:rPr>
        <w:t>、</w:t>
      </w:r>
      <w:r>
        <w:rPr>
          <w:szCs w:val="21"/>
        </w:rPr>
        <w:t xml:space="preserve">兰炭生产线及煤气发生炉 </w:t>
      </w:r>
    </w:p>
    <w:p w14:paraId="5D91D286">
      <w:pPr>
        <w:pStyle w:val="117"/>
        <w:ind w:firstLine="480"/>
        <w:rPr>
          <w:szCs w:val="21"/>
        </w:rPr>
      </w:pPr>
      <w:r>
        <w:rPr>
          <w:szCs w:val="21"/>
        </w:rPr>
        <w:t xml:space="preserve">1）备煤工段废气 </w:t>
      </w:r>
    </w:p>
    <w:p w14:paraId="3E465418">
      <w:pPr>
        <w:pStyle w:val="117"/>
        <w:ind w:firstLine="480"/>
        <w:rPr>
          <w:szCs w:val="21"/>
        </w:rPr>
      </w:pPr>
      <w:r>
        <w:rPr>
          <w:szCs w:val="21"/>
        </w:rPr>
        <w:t>兰炭项目备煤工段废气主要为煤在煤棚贮存及装卸过程产生的扬尘以及煤筛分过程产生的粉尘。项目受煤坑、煤转运站、筛煤楼、上煤槽建构筑物均采用封闭式设计的同时，对于煤棚扬尘及煤转运、筛分粉尘分别采取有针对性的防治措施，最大限度的控制粉尘外逸。</w:t>
      </w:r>
    </w:p>
    <w:p w14:paraId="2B14E866">
      <w:pPr>
        <w:pStyle w:val="117"/>
        <w:ind w:firstLine="480"/>
      </w:pPr>
      <w:r>
        <w:rPr>
          <w:rFonts w:hint="eastAsia"/>
        </w:rPr>
        <w:t>a．</w:t>
      </w:r>
      <w:r>
        <w:t>煤棚扬尘G2-1、G2-2、G2-3、G2-5</w:t>
      </w:r>
    </w:p>
    <w:p w14:paraId="5C245610">
      <w:pPr>
        <w:pStyle w:val="117"/>
        <w:ind w:firstLine="480"/>
      </w:pPr>
      <w:r>
        <w:t xml:space="preserve">煤棚的原料煤在贮存及装卸转运过程会产生部分扬尘，均为无组织排放， 煤棚采用封闭结构，煤的装卸过程采用密闭式输送机，合理设计安装减少扬尘。 项目对煤棚扬尘采取定期洒水喷淋的处理方法抑制扬尘，抑尘效果在80%以上。 </w:t>
      </w:r>
    </w:p>
    <w:p w14:paraId="790688D0">
      <w:pPr>
        <w:pStyle w:val="117"/>
        <w:ind w:firstLine="480"/>
      </w:pPr>
      <w:r>
        <w:rPr>
          <w:rFonts w:hint="eastAsia" w:ascii="宋体" w:hAnsi="宋体"/>
        </w:rPr>
        <w:t>b．</w:t>
      </w:r>
      <w:r>
        <w:t>煤筛分工段废气G2-4</w:t>
      </w:r>
    </w:p>
    <w:p w14:paraId="0ABB8E13">
      <w:pPr>
        <w:pStyle w:val="117"/>
        <w:ind w:firstLine="480"/>
      </w:pPr>
      <w:r>
        <w:t xml:space="preserve">煤在筛分过程中产生一定量的煤尘，经集气罩收集后采用脉冲袋式除尘器 处理，收集效率可达90%，除尘效率可达99%，通过30m高排气筒DA001排 放；未收集的煤粉碎工段的粉尘为无组织排放。 </w:t>
      </w:r>
    </w:p>
    <w:p w14:paraId="584621C7">
      <w:pPr>
        <w:pStyle w:val="117"/>
        <w:ind w:firstLine="480"/>
      </w:pPr>
      <w:r>
        <w:rPr>
          <w:rFonts w:hint="eastAsia"/>
        </w:rPr>
        <w:t>2）</w:t>
      </w:r>
      <w:r>
        <w:t xml:space="preserve">炭化工段废气 </w:t>
      </w:r>
    </w:p>
    <w:p w14:paraId="158AB5F3">
      <w:pPr>
        <w:pStyle w:val="117"/>
        <w:ind w:firstLine="480"/>
      </w:pPr>
      <w:r>
        <w:rPr>
          <w:rFonts w:hint="eastAsia"/>
        </w:rPr>
        <w:t>a．</w:t>
      </w:r>
      <w:r>
        <w:t>装煤废气G2-6</w:t>
      </w:r>
    </w:p>
    <w:p w14:paraId="0572D8EA">
      <w:pPr>
        <w:pStyle w:val="117"/>
        <w:ind w:firstLine="480"/>
      </w:pPr>
      <w:r>
        <w:t>项目炭化炉为炉顶装煤，装煤车在往炭化室装煤时，由于煤受炭化室炉墙高温影响，产生大量荒煤气和水蒸气，项目装煤时采用由阀式给料器和辅助煤箱与炉体联接在一起、连续加煤的方式，减少煤尘外逸，其控制效率可达90%左右。另外，在炉顶采用炉顶导烟车除尘，有效减少烟尘及其他排放的污染物，使装煤烟尘去除率达99%以上。</w:t>
      </w:r>
    </w:p>
    <w:p w14:paraId="21F82DE0">
      <w:pPr>
        <w:pStyle w:val="117"/>
        <w:ind w:firstLine="480"/>
      </w:pPr>
      <w:r>
        <w:rPr>
          <w:rFonts w:hint="eastAsia" w:ascii="宋体" w:hAnsi="宋体"/>
        </w:rPr>
        <w:t>b．</w:t>
      </w:r>
      <w:r>
        <w:t>炭化炉炉门炉顶废气G2-7</w:t>
      </w:r>
    </w:p>
    <w:p w14:paraId="4904ABF0">
      <w:pPr>
        <w:pStyle w:val="117"/>
        <w:ind w:firstLine="480"/>
      </w:pPr>
      <w:r>
        <w:t>生产时炉顶各处缝隙泄漏出烟气G2-7，在直立炉炉顶辅助煤箱和炉体间采用石棉带及特制泥浆密封，其控制效率可达90</w:t>
      </w:r>
      <w:r>
        <w:rPr>
          <w:rFonts w:hint="eastAsia"/>
        </w:rPr>
        <w:t>%～</w:t>
      </w:r>
      <w:r>
        <w:t>95%，以无组织形式排放。</w:t>
      </w:r>
    </w:p>
    <w:p w14:paraId="5344ED8E">
      <w:pPr>
        <w:pStyle w:val="117"/>
        <w:ind w:firstLine="480"/>
      </w:pPr>
      <w:r>
        <w:rPr>
          <w:rFonts w:hint="eastAsia" w:ascii="宋体" w:hAnsi="宋体"/>
        </w:rPr>
        <w:t>c．</w:t>
      </w:r>
      <w:r>
        <w:t>排焦废气G2-8</w:t>
      </w:r>
    </w:p>
    <w:p w14:paraId="165A327C">
      <w:pPr>
        <w:pStyle w:val="117"/>
        <w:ind w:firstLine="480"/>
      </w:pPr>
      <w:r>
        <w:t>排焦过程产生的废气主要为兰炭从放焦机排出时散发的烟尘以及侧炉门散发的烟尘，项目出焦系统采用水封槽。</w:t>
      </w:r>
    </w:p>
    <w:p w14:paraId="1D4F86FB">
      <w:pPr>
        <w:pStyle w:val="117"/>
        <w:ind w:firstLine="480"/>
      </w:pPr>
      <w:r>
        <w:rPr>
          <w:rFonts w:hint="eastAsia" w:ascii="宋体" w:hAnsi="宋体"/>
        </w:rPr>
        <w:t>d．</w:t>
      </w:r>
      <w:r>
        <w:t xml:space="preserve">熄焦废气G2-9 </w:t>
      </w:r>
    </w:p>
    <w:p w14:paraId="0EFA0D0D">
      <w:pPr>
        <w:pStyle w:val="117"/>
        <w:ind w:firstLine="480"/>
        <w:rPr>
          <w:szCs w:val="21"/>
        </w:rPr>
      </w:pPr>
      <w:r>
        <w:t>项目熄焦过程产生的废气主要为含CO、CH</w:t>
      </w:r>
      <w:r>
        <w:rPr>
          <w:vertAlign w:val="subscript"/>
        </w:rPr>
        <w:t>4</w:t>
      </w:r>
      <w:r>
        <w:t>、H</w:t>
      </w:r>
      <w:r>
        <w:rPr>
          <w:vertAlign w:val="subscript"/>
        </w:rPr>
        <w:t>2</w:t>
      </w:r>
      <w:r>
        <w:t>、BaP、H</w:t>
      </w:r>
      <w:r>
        <w:rPr>
          <w:vertAlign w:val="subscript"/>
        </w:rPr>
        <w:t>2</w:t>
      </w:r>
      <w:r>
        <w:t>S等的水蒸气，采用水封式炉内熄焦</w:t>
      </w:r>
      <w:r>
        <w:rPr>
          <w:rFonts w:hint="eastAsia"/>
        </w:rPr>
        <w:t>（湿熄焦）</w:t>
      </w:r>
      <w:r>
        <w:t xml:space="preserve">，控制效率可达95%。 </w:t>
      </w:r>
    </w:p>
    <w:p w14:paraId="29D3523D">
      <w:pPr>
        <w:pStyle w:val="117"/>
        <w:ind w:firstLine="480"/>
      </w:pPr>
      <w:r>
        <w:rPr>
          <w:rFonts w:hint="eastAsia" w:ascii="宋体" w:hAnsi="宋体"/>
        </w:rPr>
        <w:t>e．</w:t>
      </w:r>
      <w:r>
        <w:t xml:space="preserve">筛焦、贮焦废气G2-10 </w:t>
      </w:r>
    </w:p>
    <w:p w14:paraId="2B06AF93">
      <w:pPr>
        <w:pStyle w:val="117"/>
        <w:ind w:firstLine="480"/>
        <w:rPr>
          <w:szCs w:val="21"/>
        </w:rPr>
      </w:pPr>
      <w:r>
        <w:t>筛焦废气经集气罩收集后采用高效脉冲袋式除尘器处置后通过30m 高排气筒DA005排放。</w:t>
      </w:r>
    </w:p>
    <w:p w14:paraId="3A8A63D5">
      <w:pPr>
        <w:pStyle w:val="117"/>
        <w:ind w:firstLine="480"/>
        <w:rPr>
          <w:szCs w:val="21"/>
        </w:rPr>
      </w:pPr>
      <w:r>
        <w:rPr>
          <w:szCs w:val="21"/>
        </w:rPr>
        <w:t>4</w:t>
      </w:r>
      <w:r>
        <w:rPr>
          <w:rFonts w:hint="eastAsia"/>
          <w:szCs w:val="21"/>
        </w:rPr>
        <w:t>、</w:t>
      </w:r>
      <w:r>
        <w:rPr>
          <w:szCs w:val="21"/>
        </w:rPr>
        <w:t xml:space="preserve">公用工程废气 </w:t>
      </w:r>
    </w:p>
    <w:p w14:paraId="6A24BC84">
      <w:pPr>
        <w:pStyle w:val="117"/>
        <w:ind w:firstLine="480"/>
        <w:rPr>
          <w:szCs w:val="21"/>
        </w:rPr>
      </w:pPr>
      <w:r>
        <w:rPr>
          <w:szCs w:val="21"/>
        </w:rPr>
        <w:t>一期项目配备3台15t/h循环流化床蒸汽锅炉，用煤量17125t/a，锅炉烟气采用碱液水膜脱硫除尘装置进行净化后通过45m排气筒DA029排放。后续新增</w:t>
      </w:r>
      <w:r>
        <w:rPr>
          <w:rFonts w:hint="eastAsia"/>
          <w:szCs w:val="21"/>
        </w:rPr>
        <w:t>了</w:t>
      </w:r>
      <w:r>
        <w:rPr>
          <w:szCs w:val="21"/>
        </w:rPr>
        <w:t>20t/h 燃气蒸汽锅炉</w:t>
      </w:r>
      <w:r>
        <w:rPr>
          <w:rFonts w:hint="eastAsia"/>
          <w:szCs w:val="21"/>
        </w:rPr>
        <w:t>，锅炉烟气采用</w:t>
      </w:r>
      <w:r>
        <w:rPr>
          <w:szCs w:val="21"/>
        </w:rPr>
        <w:t>SCR+SNCR+干法脱硫</w:t>
      </w:r>
      <w:r>
        <w:rPr>
          <w:rFonts w:hint="eastAsia"/>
          <w:szCs w:val="21"/>
        </w:rPr>
        <w:t>+</w:t>
      </w:r>
      <w:r>
        <w:rPr>
          <w:szCs w:val="21"/>
        </w:rPr>
        <w:t>布袋除尘</w:t>
      </w:r>
      <w:r>
        <w:rPr>
          <w:rFonts w:hint="eastAsia"/>
          <w:szCs w:val="21"/>
        </w:rPr>
        <w:t>处理后通过30m排气筒DA031排放</w:t>
      </w:r>
      <w:r>
        <w:rPr>
          <w:szCs w:val="21"/>
        </w:rPr>
        <w:t>，尚无污染物产生。</w:t>
      </w:r>
    </w:p>
    <w:p w14:paraId="1E610180">
      <w:pPr>
        <w:pStyle w:val="117"/>
        <w:ind w:firstLine="480"/>
        <w:rPr>
          <w:szCs w:val="21"/>
        </w:rPr>
      </w:pPr>
      <w:r>
        <w:rPr>
          <w:rFonts w:hint="eastAsia"/>
          <w:szCs w:val="21"/>
        </w:rPr>
        <w:t>（2）</w:t>
      </w:r>
      <w:r>
        <w:rPr>
          <w:szCs w:val="21"/>
        </w:rPr>
        <w:t xml:space="preserve">废水产污环节及排污分析 </w:t>
      </w:r>
    </w:p>
    <w:p w14:paraId="0A835469">
      <w:pPr>
        <w:pStyle w:val="117"/>
        <w:ind w:firstLine="480"/>
        <w:rPr>
          <w:szCs w:val="21"/>
        </w:rPr>
      </w:pPr>
      <w:r>
        <w:rPr>
          <w:szCs w:val="21"/>
        </w:rPr>
        <w:t xml:space="preserve">1、镁及镁合金生产线 </w:t>
      </w:r>
    </w:p>
    <w:p w14:paraId="0D8FDDE5">
      <w:pPr>
        <w:pStyle w:val="117"/>
        <w:ind w:firstLine="480"/>
        <w:rPr>
          <w:szCs w:val="21"/>
        </w:rPr>
      </w:pPr>
      <w:r>
        <w:rPr>
          <w:szCs w:val="21"/>
        </w:rPr>
        <w:t xml:space="preserve">酸性废气洗涤塔废水 </w:t>
      </w:r>
      <w:r>
        <w:rPr>
          <w:rFonts w:hint="eastAsia"/>
          <w:szCs w:val="21"/>
        </w:rPr>
        <w:t>：</w:t>
      </w:r>
      <w:r>
        <w:rPr>
          <w:szCs w:val="21"/>
        </w:rPr>
        <w:t xml:space="preserve">一期2.5万t/a镁及镁合金项目精炼炉和铸造工序酸性废气洗涤塔废水产生量为990t/a，主要污染物为盐类，采用废煅白中和，沉淀后回用。 </w:t>
      </w:r>
    </w:p>
    <w:p w14:paraId="138E0396">
      <w:pPr>
        <w:pStyle w:val="117"/>
        <w:ind w:firstLine="480"/>
        <w:rPr>
          <w:szCs w:val="21"/>
        </w:rPr>
      </w:pPr>
      <w:r>
        <w:rPr>
          <w:szCs w:val="21"/>
        </w:rPr>
        <w:t>镁及镁合金项目废水污染物产生及排放情况见表2.</w:t>
      </w:r>
      <w:r>
        <w:rPr>
          <w:rFonts w:hint="eastAsia"/>
          <w:szCs w:val="21"/>
        </w:rPr>
        <w:t>2</w:t>
      </w:r>
      <w:r>
        <w:rPr>
          <w:szCs w:val="21"/>
        </w:rPr>
        <w:t>-</w:t>
      </w:r>
      <w:r>
        <w:rPr>
          <w:rFonts w:hint="eastAsia"/>
          <w:szCs w:val="21"/>
        </w:rPr>
        <w:t>6</w:t>
      </w:r>
      <w:r>
        <w:rPr>
          <w:szCs w:val="21"/>
        </w:rPr>
        <w:t>。</w:t>
      </w:r>
    </w:p>
    <w:p w14:paraId="4A2C4B09">
      <w:pPr>
        <w:pStyle w:val="118"/>
      </w:pPr>
      <w:r>
        <w:t>表2.</w:t>
      </w:r>
      <w:r>
        <w:rPr>
          <w:rFonts w:hint="eastAsia"/>
        </w:rPr>
        <w:t>2-6</w:t>
      </w:r>
      <w:r>
        <w:t xml:space="preserve"> </w:t>
      </w:r>
      <w:r>
        <w:rPr>
          <w:rFonts w:hint="eastAsia"/>
        </w:rPr>
        <w:t xml:space="preserve"> </w:t>
      </w:r>
      <w:r>
        <w:t>镁及镁合金生产线水污染物产生及排放情况</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26"/>
        <w:gridCol w:w="949"/>
        <w:gridCol w:w="927"/>
        <w:gridCol w:w="927"/>
        <w:gridCol w:w="931"/>
        <w:gridCol w:w="929"/>
        <w:gridCol w:w="929"/>
        <w:gridCol w:w="929"/>
        <w:gridCol w:w="1858"/>
      </w:tblGrid>
      <w:tr w14:paraId="36DE7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98" w:type="pct"/>
            <w:vMerge w:val="restart"/>
            <w:vAlign w:val="center"/>
          </w:tcPr>
          <w:p w14:paraId="2047854B">
            <w:pPr>
              <w:pStyle w:val="133"/>
              <w:rPr>
                <w:b/>
                <w:bCs/>
              </w:rPr>
            </w:pPr>
            <w:r>
              <w:rPr>
                <w:b/>
                <w:bCs/>
              </w:rPr>
              <w:t>废水种类</w:t>
            </w:r>
          </w:p>
        </w:tc>
        <w:tc>
          <w:tcPr>
            <w:tcW w:w="2006" w:type="pct"/>
            <w:gridSpan w:val="4"/>
            <w:vAlign w:val="center"/>
          </w:tcPr>
          <w:p w14:paraId="72D14CBC">
            <w:pPr>
              <w:pStyle w:val="133"/>
              <w:rPr>
                <w:b/>
                <w:bCs/>
              </w:rPr>
            </w:pPr>
            <w:r>
              <w:rPr>
                <w:b/>
                <w:bCs/>
              </w:rPr>
              <w:t>产生</w:t>
            </w:r>
          </w:p>
        </w:tc>
        <w:tc>
          <w:tcPr>
            <w:tcW w:w="499" w:type="pct"/>
            <w:vMerge w:val="restart"/>
            <w:vAlign w:val="center"/>
          </w:tcPr>
          <w:p w14:paraId="6279B4DE">
            <w:pPr>
              <w:pStyle w:val="133"/>
              <w:rPr>
                <w:b/>
                <w:bCs/>
              </w:rPr>
            </w:pPr>
            <w:r>
              <w:rPr>
                <w:b/>
                <w:bCs/>
              </w:rPr>
              <w:t>治理措施</w:t>
            </w:r>
          </w:p>
        </w:tc>
        <w:tc>
          <w:tcPr>
            <w:tcW w:w="998" w:type="pct"/>
            <w:gridSpan w:val="2"/>
            <w:vAlign w:val="center"/>
          </w:tcPr>
          <w:p w14:paraId="721C8A21">
            <w:pPr>
              <w:pStyle w:val="133"/>
              <w:rPr>
                <w:b/>
                <w:bCs/>
              </w:rPr>
            </w:pPr>
            <w:r>
              <w:rPr>
                <w:b/>
                <w:bCs/>
              </w:rPr>
              <w:t>排放</w:t>
            </w:r>
          </w:p>
        </w:tc>
        <w:tc>
          <w:tcPr>
            <w:tcW w:w="998" w:type="pct"/>
            <w:vMerge w:val="restart"/>
            <w:vAlign w:val="center"/>
          </w:tcPr>
          <w:p w14:paraId="4BEBF9E4">
            <w:pPr>
              <w:pStyle w:val="133"/>
              <w:rPr>
                <w:b/>
                <w:bCs/>
              </w:rPr>
            </w:pPr>
            <w:r>
              <w:rPr>
                <w:rFonts w:hint="eastAsia"/>
                <w:b/>
                <w:bCs/>
              </w:rPr>
              <w:t>排放去向</w:t>
            </w:r>
          </w:p>
        </w:tc>
      </w:tr>
      <w:tr w14:paraId="62EF75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98" w:type="pct"/>
            <w:vMerge w:val="continue"/>
            <w:vAlign w:val="center"/>
          </w:tcPr>
          <w:p w14:paraId="101C64BA">
            <w:pPr>
              <w:pStyle w:val="133"/>
              <w:rPr>
                <w:b/>
                <w:bCs/>
              </w:rPr>
            </w:pPr>
          </w:p>
        </w:tc>
        <w:tc>
          <w:tcPr>
            <w:tcW w:w="510" w:type="pct"/>
            <w:vAlign w:val="center"/>
          </w:tcPr>
          <w:p w14:paraId="2C50F163">
            <w:pPr>
              <w:pStyle w:val="133"/>
              <w:rPr>
                <w:b/>
                <w:bCs/>
              </w:rPr>
            </w:pPr>
            <w:r>
              <w:rPr>
                <w:b/>
                <w:bCs/>
              </w:rPr>
              <w:t>产生量</w:t>
            </w:r>
            <w:r>
              <w:rPr>
                <w:rFonts w:hint="eastAsia"/>
                <w:b/>
                <w:bCs/>
              </w:rPr>
              <w:t>（t/a）</w:t>
            </w:r>
          </w:p>
        </w:tc>
        <w:tc>
          <w:tcPr>
            <w:tcW w:w="498" w:type="pct"/>
            <w:vAlign w:val="center"/>
          </w:tcPr>
          <w:p w14:paraId="3849372F">
            <w:pPr>
              <w:pStyle w:val="133"/>
              <w:rPr>
                <w:b/>
                <w:bCs/>
              </w:rPr>
            </w:pPr>
            <w:r>
              <w:rPr>
                <w:b/>
                <w:bCs/>
              </w:rPr>
              <w:t>污染物</w:t>
            </w:r>
          </w:p>
        </w:tc>
        <w:tc>
          <w:tcPr>
            <w:tcW w:w="498" w:type="pct"/>
            <w:vAlign w:val="center"/>
          </w:tcPr>
          <w:p w14:paraId="6BD6E634">
            <w:pPr>
              <w:pStyle w:val="133"/>
              <w:rPr>
                <w:b/>
                <w:bCs/>
              </w:rPr>
            </w:pPr>
            <w:r>
              <w:rPr>
                <w:b/>
                <w:bCs/>
              </w:rPr>
              <w:t>浓度</w:t>
            </w:r>
            <w:r>
              <w:rPr>
                <w:rFonts w:hint="eastAsia"/>
                <w:b/>
                <w:bCs/>
              </w:rPr>
              <w:t>mg/L</w:t>
            </w:r>
          </w:p>
        </w:tc>
        <w:tc>
          <w:tcPr>
            <w:tcW w:w="499" w:type="pct"/>
            <w:vAlign w:val="center"/>
          </w:tcPr>
          <w:p w14:paraId="2E4A5AD1">
            <w:pPr>
              <w:pStyle w:val="133"/>
              <w:rPr>
                <w:b/>
                <w:bCs/>
              </w:rPr>
            </w:pPr>
            <w:r>
              <w:rPr>
                <w:b/>
                <w:bCs/>
              </w:rPr>
              <w:t>产生量t/a</w:t>
            </w:r>
          </w:p>
        </w:tc>
        <w:tc>
          <w:tcPr>
            <w:tcW w:w="499" w:type="pct"/>
            <w:vMerge w:val="continue"/>
            <w:vAlign w:val="center"/>
          </w:tcPr>
          <w:p w14:paraId="758ADC90">
            <w:pPr>
              <w:pStyle w:val="133"/>
              <w:rPr>
                <w:b/>
                <w:bCs/>
              </w:rPr>
            </w:pPr>
          </w:p>
        </w:tc>
        <w:tc>
          <w:tcPr>
            <w:tcW w:w="499" w:type="pct"/>
            <w:vAlign w:val="center"/>
          </w:tcPr>
          <w:p w14:paraId="6B3C7BF1">
            <w:pPr>
              <w:pStyle w:val="133"/>
              <w:rPr>
                <w:b/>
                <w:bCs/>
              </w:rPr>
            </w:pPr>
            <w:r>
              <w:rPr>
                <w:b/>
                <w:bCs/>
              </w:rPr>
              <w:t>排放浓 度mg/L</w:t>
            </w:r>
          </w:p>
        </w:tc>
        <w:tc>
          <w:tcPr>
            <w:tcW w:w="499" w:type="pct"/>
            <w:vAlign w:val="center"/>
          </w:tcPr>
          <w:p w14:paraId="0A6BC1AB">
            <w:pPr>
              <w:pStyle w:val="133"/>
              <w:rPr>
                <w:b/>
                <w:bCs/>
              </w:rPr>
            </w:pPr>
            <w:r>
              <w:rPr>
                <w:b/>
                <w:bCs/>
              </w:rPr>
              <w:t>排放量t/a</w:t>
            </w:r>
          </w:p>
        </w:tc>
        <w:tc>
          <w:tcPr>
            <w:tcW w:w="998" w:type="pct"/>
            <w:vMerge w:val="continue"/>
            <w:vAlign w:val="center"/>
          </w:tcPr>
          <w:p w14:paraId="62F16D00">
            <w:pPr>
              <w:pStyle w:val="133"/>
            </w:pPr>
          </w:p>
        </w:tc>
      </w:tr>
      <w:tr w14:paraId="778E65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8" w:type="pct"/>
            <w:vMerge w:val="restart"/>
            <w:vAlign w:val="center"/>
          </w:tcPr>
          <w:p w14:paraId="177A0F41">
            <w:pPr>
              <w:pStyle w:val="133"/>
            </w:pPr>
            <w:r>
              <w:t>精炼炉和铸造工序酸性废气洗涤塔废水</w:t>
            </w:r>
          </w:p>
        </w:tc>
        <w:tc>
          <w:tcPr>
            <w:tcW w:w="510" w:type="pct"/>
            <w:vMerge w:val="restart"/>
            <w:vAlign w:val="center"/>
          </w:tcPr>
          <w:p w14:paraId="40A7ECDB">
            <w:pPr>
              <w:pStyle w:val="133"/>
            </w:pPr>
            <w:r>
              <w:t>1980</w:t>
            </w:r>
          </w:p>
        </w:tc>
        <w:tc>
          <w:tcPr>
            <w:tcW w:w="498" w:type="pct"/>
            <w:vAlign w:val="center"/>
          </w:tcPr>
          <w:p w14:paraId="053668E6">
            <w:pPr>
              <w:pStyle w:val="133"/>
            </w:pPr>
            <w:r>
              <w:rPr>
                <w:rFonts w:hint="eastAsia"/>
              </w:rPr>
              <w:t>pH</w:t>
            </w:r>
          </w:p>
        </w:tc>
        <w:tc>
          <w:tcPr>
            <w:tcW w:w="498" w:type="pct"/>
            <w:vAlign w:val="center"/>
          </w:tcPr>
          <w:p w14:paraId="13630325">
            <w:pPr>
              <w:pStyle w:val="133"/>
            </w:pPr>
            <w:r>
              <w:rPr>
                <w:rFonts w:hint="eastAsia"/>
              </w:rPr>
              <w:t>5-6</w:t>
            </w:r>
          </w:p>
        </w:tc>
        <w:tc>
          <w:tcPr>
            <w:tcW w:w="499" w:type="pct"/>
            <w:vAlign w:val="center"/>
          </w:tcPr>
          <w:p w14:paraId="587C4FC6">
            <w:pPr>
              <w:pStyle w:val="133"/>
            </w:pPr>
            <w:r>
              <w:rPr>
                <w:rFonts w:hint="eastAsia"/>
              </w:rPr>
              <w:t>-</w:t>
            </w:r>
          </w:p>
        </w:tc>
        <w:tc>
          <w:tcPr>
            <w:tcW w:w="499" w:type="pct"/>
            <w:vMerge w:val="restart"/>
            <w:vAlign w:val="center"/>
          </w:tcPr>
          <w:p w14:paraId="340D34A6">
            <w:pPr>
              <w:pStyle w:val="133"/>
            </w:pPr>
            <w:r>
              <w:t>废煅白中和+ 沉淀</w:t>
            </w:r>
          </w:p>
        </w:tc>
        <w:tc>
          <w:tcPr>
            <w:tcW w:w="499" w:type="pct"/>
            <w:vAlign w:val="center"/>
          </w:tcPr>
          <w:p w14:paraId="79A99659">
            <w:pPr>
              <w:pStyle w:val="133"/>
            </w:pPr>
            <w:r>
              <w:rPr>
                <w:rFonts w:hint="eastAsia"/>
              </w:rPr>
              <w:t>7-8</w:t>
            </w:r>
          </w:p>
        </w:tc>
        <w:tc>
          <w:tcPr>
            <w:tcW w:w="499" w:type="pct"/>
            <w:vAlign w:val="center"/>
          </w:tcPr>
          <w:p w14:paraId="79F9D08F">
            <w:pPr>
              <w:pStyle w:val="133"/>
            </w:pPr>
            <w:r>
              <w:rPr>
                <w:rFonts w:hint="eastAsia"/>
              </w:rPr>
              <w:t>-</w:t>
            </w:r>
          </w:p>
        </w:tc>
        <w:tc>
          <w:tcPr>
            <w:tcW w:w="998" w:type="pct"/>
            <w:vMerge w:val="restart"/>
            <w:vAlign w:val="center"/>
          </w:tcPr>
          <w:p w14:paraId="7FC30471">
            <w:pPr>
              <w:pStyle w:val="133"/>
            </w:pPr>
            <w:r>
              <w:t>回用洗涤塔</w:t>
            </w:r>
          </w:p>
        </w:tc>
      </w:tr>
      <w:tr w14:paraId="492BF5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8" w:type="pct"/>
            <w:vMerge w:val="continue"/>
            <w:vAlign w:val="center"/>
          </w:tcPr>
          <w:p w14:paraId="2CC78342">
            <w:pPr>
              <w:pStyle w:val="133"/>
            </w:pPr>
          </w:p>
        </w:tc>
        <w:tc>
          <w:tcPr>
            <w:tcW w:w="510" w:type="pct"/>
            <w:vMerge w:val="continue"/>
            <w:vAlign w:val="center"/>
          </w:tcPr>
          <w:p w14:paraId="7D03453A">
            <w:pPr>
              <w:pStyle w:val="133"/>
            </w:pPr>
          </w:p>
        </w:tc>
        <w:tc>
          <w:tcPr>
            <w:tcW w:w="498" w:type="pct"/>
            <w:vAlign w:val="center"/>
          </w:tcPr>
          <w:p w14:paraId="0183C280">
            <w:pPr>
              <w:pStyle w:val="133"/>
            </w:pPr>
            <w:r>
              <w:rPr>
                <w:rFonts w:hint="eastAsia"/>
              </w:rPr>
              <w:t>盐类</w:t>
            </w:r>
          </w:p>
        </w:tc>
        <w:tc>
          <w:tcPr>
            <w:tcW w:w="498" w:type="pct"/>
            <w:vAlign w:val="center"/>
          </w:tcPr>
          <w:p w14:paraId="36C968DD">
            <w:pPr>
              <w:pStyle w:val="133"/>
            </w:pPr>
            <w:r>
              <w:rPr>
                <w:rFonts w:hint="eastAsia"/>
              </w:rPr>
              <w:t>500</w:t>
            </w:r>
          </w:p>
        </w:tc>
        <w:tc>
          <w:tcPr>
            <w:tcW w:w="499" w:type="pct"/>
            <w:vAlign w:val="center"/>
          </w:tcPr>
          <w:p w14:paraId="67C8C13F">
            <w:pPr>
              <w:pStyle w:val="133"/>
            </w:pPr>
            <w:r>
              <w:rPr>
                <w:rFonts w:hint="eastAsia"/>
              </w:rPr>
              <w:t>0.50</w:t>
            </w:r>
          </w:p>
        </w:tc>
        <w:tc>
          <w:tcPr>
            <w:tcW w:w="499" w:type="pct"/>
            <w:vMerge w:val="continue"/>
            <w:vAlign w:val="center"/>
          </w:tcPr>
          <w:p w14:paraId="1BAA86D3">
            <w:pPr>
              <w:pStyle w:val="133"/>
            </w:pPr>
          </w:p>
        </w:tc>
        <w:tc>
          <w:tcPr>
            <w:tcW w:w="499" w:type="pct"/>
            <w:vAlign w:val="center"/>
          </w:tcPr>
          <w:p w14:paraId="78030692">
            <w:pPr>
              <w:pStyle w:val="133"/>
            </w:pPr>
            <w:r>
              <w:rPr>
                <w:rFonts w:hint="eastAsia"/>
              </w:rPr>
              <w:t>30</w:t>
            </w:r>
          </w:p>
        </w:tc>
        <w:tc>
          <w:tcPr>
            <w:tcW w:w="499" w:type="pct"/>
            <w:vAlign w:val="center"/>
          </w:tcPr>
          <w:p w14:paraId="271FF88A">
            <w:pPr>
              <w:pStyle w:val="133"/>
            </w:pPr>
            <w:r>
              <w:rPr>
                <w:rFonts w:hint="eastAsia"/>
              </w:rPr>
              <w:t>0.030</w:t>
            </w:r>
          </w:p>
        </w:tc>
        <w:tc>
          <w:tcPr>
            <w:tcW w:w="998" w:type="pct"/>
            <w:vMerge w:val="continue"/>
            <w:vAlign w:val="center"/>
          </w:tcPr>
          <w:p w14:paraId="108E9662">
            <w:pPr>
              <w:pStyle w:val="133"/>
            </w:pPr>
          </w:p>
        </w:tc>
      </w:tr>
      <w:tr w14:paraId="0D65F4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8" w:type="pct"/>
            <w:vMerge w:val="restart"/>
            <w:vAlign w:val="center"/>
          </w:tcPr>
          <w:p w14:paraId="367D0A60">
            <w:pPr>
              <w:pStyle w:val="133"/>
            </w:pPr>
            <w:r>
              <w:t>精镁酸洗废水</w:t>
            </w:r>
          </w:p>
        </w:tc>
        <w:tc>
          <w:tcPr>
            <w:tcW w:w="510" w:type="pct"/>
            <w:vMerge w:val="restart"/>
            <w:vAlign w:val="center"/>
          </w:tcPr>
          <w:p w14:paraId="7603C982">
            <w:pPr>
              <w:pStyle w:val="133"/>
            </w:pPr>
            <w:r>
              <w:rPr>
                <w:rFonts w:hint="eastAsia"/>
              </w:rPr>
              <w:t>360</w:t>
            </w:r>
          </w:p>
        </w:tc>
        <w:tc>
          <w:tcPr>
            <w:tcW w:w="498" w:type="pct"/>
            <w:vAlign w:val="center"/>
          </w:tcPr>
          <w:p w14:paraId="0A5668C1">
            <w:pPr>
              <w:pStyle w:val="133"/>
            </w:pPr>
            <w:r>
              <w:rPr>
                <w:rFonts w:hint="eastAsia"/>
              </w:rPr>
              <w:t>pH</w:t>
            </w:r>
          </w:p>
        </w:tc>
        <w:tc>
          <w:tcPr>
            <w:tcW w:w="498" w:type="pct"/>
            <w:vAlign w:val="center"/>
          </w:tcPr>
          <w:p w14:paraId="2FFD7693">
            <w:pPr>
              <w:pStyle w:val="133"/>
            </w:pPr>
            <w:r>
              <w:rPr>
                <w:rFonts w:hint="eastAsia"/>
              </w:rPr>
              <w:t>5-6</w:t>
            </w:r>
          </w:p>
        </w:tc>
        <w:tc>
          <w:tcPr>
            <w:tcW w:w="499" w:type="pct"/>
            <w:vAlign w:val="center"/>
          </w:tcPr>
          <w:p w14:paraId="29BAC3AA">
            <w:pPr>
              <w:pStyle w:val="133"/>
            </w:pPr>
            <w:r>
              <w:rPr>
                <w:rFonts w:hint="eastAsia"/>
              </w:rPr>
              <w:t>-</w:t>
            </w:r>
          </w:p>
        </w:tc>
        <w:tc>
          <w:tcPr>
            <w:tcW w:w="499" w:type="pct"/>
            <w:vMerge w:val="restart"/>
            <w:vAlign w:val="center"/>
          </w:tcPr>
          <w:p w14:paraId="7CF11790">
            <w:pPr>
              <w:pStyle w:val="133"/>
            </w:pPr>
            <w:r>
              <w:t>废煅白 中和+ 沉淀</w:t>
            </w:r>
          </w:p>
        </w:tc>
        <w:tc>
          <w:tcPr>
            <w:tcW w:w="499" w:type="pct"/>
            <w:vAlign w:val="center"/>
          </w:tcPr>
          <w:p w14:paraId="4821E21A">
            <w:pPr>
              <w:pStyle w:val="133"/>
            </w:pPr>
            <w:r>
              <w:rPr>
                <w:rFonts w:hint="eastAsia"/>
              </w:rPr>
              <w:t>7-8</w:t>
            </w:r>
          </w:p>
        </w:tc>
        <w:tc>
          <w:tcPr>
            <w:tcW w:w="499" w:type="pct"/>
            <w:vAlign w:val="center"/>
          </w:tcPr>
          <w:p w14:paraId="56EBE3C6">
            <w:pPr>
              <w:pStyle w:val="133"/>
            </w:pPr>
            <w:r>
              <w:rPr>
                <w:rFonts w:hint="eastAsia"/>
              </w:rPr>
              <w:t>-</w:t>
            </w:r>
          </w:p>
        </w:tc>
        <w:tc>
          <w:tcPr>
            <w:tcW w:w="998" w:type="pct"/>
            <w:vMerge w:val="restart"/>
            <w:vAlign w:val="center"/>
          </w:tcPr>
          <w:p w14:paraId="328E0516">
            <w:pPr>
              <w:pStyle w:val="133"/>
            </w:pPr>
            <w:r>
              <w:t>回用于还原渣洒水</w:t>
            </w:r>
          </w:p>
        </w:tc>
      </w:tr>
      <w:tr w14:paraId="7B02A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8" w:type="pct"/>
            <w:vMerge w:val="continue"/>
            <w:vAlign w:val="center"/>
          </w:tcPr>
          <w:p w14:paraId="1B705E6A">
            <w:pPr>
              <w:pStyle w:val="133"/>
            </w:pPr>
          </w:p>
        </w:tc>
        <w:tc>
          <w:tcPr>
            <w:tcW w:w="510" w:type="pct"/>
            <w:vMerge w:val="continue"/>
            <w:vAlign w:val="center"/>
          </w:tcPr>
          <w:p w14:paraId="40E2D9F5">
            <w:pPr>
              <w:pStyle w:val="133"/>
            </w:pPr>
          </w:p>
        </w:tc>
        <w:tc>
          <w:tcPr>
            <w:tcW w:w="498" w:type="pct"/>
            <w:vAlign w:val="center"/>
          </w:tcPr>
          <w:p w14:paraId="59D0507D">
            <w:pPr>
              <w:pStyle w:val="133"/>
            </w:pPr>
            <w:r>
              <w:rPr>
                <w:rFonts w:hint="eastAsia"/>
              </w:rPr>
              <w:t>盐类</w:t>
            </w:r>
          </w:p>
        </w:tc>
        <w:tc>
          <w:tcPr>
            <w:tcW w:w="498" w:type="pct"/>
            <w:vAlign w:val="center"/>
          </w:tcPr>
          <w:p w14:paraId="27ACA600">
            <w:pPr>
              <w:pStyle w:val="133"/>
            </w:pPr>
            <w:r>
              <w:rPr>
                <w:rFonts w:hint="eastAsia"/>
              </w:rPr>
              <w:t>500</w:t>
            </w:r>
          </w:p>
        </w:tc>
        <w:tc>
          <w:tcPr>
            <w:tcW w:w="499" w:type="pct"/>
            <w:vAlign w:val="center"/>
          </w:tcPr>
          <w:p w14:paraId="256918A1">
            <w:pPr>
              <w:pStyle w:val="133"/>
            </w:pPr>
            <w:r>
              <w:rPr>
                <w:rFonts w:hint="eastAsia"/>
              </w:rPr>
              <w:t>0.09</w:t>
            </w:r>
          </w:p>
        </w:tc>
        <w:tc>
          <w:tcPr>
            <w:tcW w:w="499" w:type="pct"/>
            <w:vMerge w:val="continue"/>
            <w:vAlign w:val="center"/>
          </w:tcPr>
          <w:p w14:paraId="4BE2AF08">
            <w:pPr>
              <w:pStyle w:val="133"/>
            </w:pPr>
          </w:p>
        </w:tc>
        <w:tc>
          <w:tcPr>
            <w:tcW w:w="499" w:type="pct"/>
            <w:vAlign w:val="center"/>
          </w:tcPr>
          <w:p w14:paraId="526197E1">
            <w:pPr>
              <w:pStyle w:val="133"/>
            </w:pPr>
            <w:r>
              <w:rPr>
                <w:rFonts w:hint="eastAsia"/>
              </w:rPr>
              <w:t>30</w:t>
            </w:r>
          </w:p>
        </w:tc>
        <w:tc>
          <w:tcPr>
            <w:tcW w:w="499" w:type="pct"/>
            <w:vAlign w:val="center"/>
          </w:tcPr>
          <w:p w14:paraId="050C61A4">
            <w:pPr>
              <w:pStyle w:val="133"/>
            </w:pPr>
            <w:r>
              <w:rPr>
                <w:rFonts w:hint="eastAsia"/>
              </w:rPr>
              <w:t>0.0055</w:t>
            </w:r>
          </w:p>
        </w:tc>
        <w:tc>
          <w:tcPr>
            <w:tcW w:w="998" w:type="pct"/>
            <w:vMerge w:val="continue"/>
            <w:vAlign w:val="center"/>
          </w:tcPr>
          <w:p w14:paraId="470A8E52">
            <w:pPr>
              <w:pStyle w:val="133"/>
            </w:pPr>
          </w:p>
        </w:tc>
      </w:tr>
    </w:tbl>
    <w:p w14:paraId="30B53CE3">
      <w:pPr>
        <w:pStyle w:val="133"/>
      </w:pPr>
    </w:p>
    <w:p w14:paraId="33EDABCE">
      <w:pPr>
        <w:pStyle w:val="117"/>
        <w:ind w:firstLine="480"/>
      </w:pPr>
      <w:r>
        <w:t>2、硅铁生产线</w:t>
      </w:r>
    </w:p>
    <w:p w14:paraId="3FE4C16C">
      <w:pPr>
        <w:pStyle w:val="117"/>
        <w:ind w:firstLine="480"/>
      </w:pPr>
      <w:r>
        <w:t xml:space="preserve">项目硅铁生产线无废水产生。 </w:t>
      </w:r>
    </w:p>
    <w:p w14:paraId="45DD1FEE">
      <w:pPr>
        <w:pStyle w:val="117"/>
        <w:ind w:firstLine="480"/>
      </w:pPr>
      <w:r>
        <w:t xml:space="preserve">3、兰炭生产线及煤气发生炉 </w:t>
      </w:r>
    </w:p>
    <w:p w14:paraId="4F1EC32E">
      <w:pPr>
        <w:pStyle w:val="117"/>
        <w:ind w:firstLine="480"/>
      </w:pPr>
      <w:r>
        <w:t xml:space="preserve">兰炭项目生产废水主要为剩余氨水、熄焦废水、煤气管道冷凝水、煤气水封水、上升管水封水、车间地面冲洗水等含酚氰废水；发生炉煤气净化依托兰炭生产线煤气净化设施，煤气净化废水依托兰炭项目废水预处理系统后直接回用于发生炉煤气冷却净化工段，不再经过兰炭项目酚氰污水处理站处理，待兰炭生产线开启时，煤气发生炉停止运行，预处理系统中氨水循环池存水排入酚氰污水处理站处理。一期项目混合废水水量约59573吨/年（180t/d），其中剩余氨水水量39600吨/年（120t/d）。废水排入酚氰污水处理站处理达《炼焦化学工业污染物排放标准》（GB16171-2012）表2间接标准后用于兰炭生产线熄焦等工序，不外排。 </w:t>
      </w:r>
    </w:p>
    <w:p w14:paraId="6A328DC1">
      <w:pPr>
        <w:pStyle w:val="117"/>
        <w:ind w:firstLine="480"/>
      </w:pPr>
      <w:r>
        <w:t>兰炭生产线及煤气发生炉废水产生及排放情况见表 2.</w:t>
      </w:r>
      <w:r>
        <w:rPr>
          <w:rFonts w:hint="eastAsia"/>
        </w:rPr>
        <w:t>2</w:t>
      </w:r>
      <w:r>
        <w:t>-</w:t>
      </w:r>
      <w:r>
        <w:rPr>
          <w:rFonts w:hint="eastAsia"/>
        </w:rPr>
        <w:t>7</w:t>
      </w:r>
      <w:r>
        <w:t>。</w:t>
      </w:r>
    </w:p>
    <w:p w14:paraId="30752158">
      <w:pPr>
        <w:pStyle w:val="118"/>
      </w:pPr>
      <w:r>
        <w:t>表2.</w:t>
      </w:r>
      <w:r>
        <w:rPr>
          <w:rFonts w:hint="eastAsia"/>
        </w:rPr>
        <w:t>2</w:t>
      </w:r>
      <w:r>
        <w:t>-</w:t>
      </w:r>
      <w:r>
        <w:rPr>
          <w:rFonts w:hint="eastAsia"/>
        </w:rPr>
        <w:t>7</w:t>
      </w:r>
      <w:r>
        <w:t xml:space="preserve"> 兰炭生产线及煤气发生炉水污染物产生及排放情况汇总</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19"/>
        <w:gridCol w:w="942"/>
        <w:gridCol w:w="919"/>
        <w:gridCol w:w="919"/>
        <w:gridCol w:w="999"/>
        <w:gridCol w:w="921"/>
        <w:gridCol w:w="921"/>
        <w:gridCol w:w="922"/>
        <w:gridCol w:w="1843"/>
      </w:tblGrid>
      <w:tr w14:paraId="77A51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Align w:val="center"/>
          </w:tcPr>
          <w:p w14:paraId="188D0CF4">
            <w:pPr>
              <w:pStyle w:val="133"/>
              <w:rPr>
                <w:b/>
                <w:bCs/>
              </w:rPr>
            </w:pPr>
            <w:r>
              <w:rPr>
                <w:b/>
                <w:bCs/>
              </w:rPr>
              <w:t>废水种类</w:t>
            </w:r>
          </w:p>
        </w:tc>
        <w:tc>
          <w:tcPr>
            <w:tcW w:w="2031" w:type="pct"/>
            <w:gridSpan w:val="4"/>
            <w:vAlign w:val="center"/>
          </w:tcPr>
          <w:p w14:paraId="7636BA43">
            <w:pPr>
              <w:pStyle w:val="133"/>
              <w:rPr>
                <w:b/>
                <w:bCs/>
              </w:rPr>
            </w:pPr>
            <w:r>
              <w:rPr>
                <w:b/>
                <w:bCs/>
              </w:rPr>
              <w:t>产生</w:t>
            </w:r>
          </w:p>
        </w:tc>
        <w:tc>
          <w:tcPr>
            <w:tcW w:w="495" w:type="pct"/>
            <w:vAlign w:val="center"/>
          </w:tcPr>
          <w:p w14:paraId="2C94A370">
            <w:pPr>
              <w:pStyle w:val="133"/>
              <w:rPr>
                <w:b/>
                <w:bCs/>
              </w:rPr>
            </w:pPr>
            <w:r>
              <w:rPr>
                <w:b/>
                <w:bCs/>
              </w:rPr>
              <w:t>治理措施</w:t>
            </w:r>
          </w:p>
        </w:tc>
        <w:tc>
          <w:tcPr>
            <w:tcW w:w="990" w:type="pct"/>
            <w:gridSpan w:val="2"/>
            <w:vAlign w:val="center"/>
          </w:tcPr>
          <w:p w14:paraId="5D4EC658">
            <w:pPr>
              <w:pStyle w:val="133"/>
              <w:rPr>
                <w:b/>
                <w:bCs/>
              </w:rPr>
            </w:pPr>
            <w:r>
              <w:rPr>
                <w:b/>
                <w:bCs/>
              </w:rPr>
              <w:t>排放</w:t>
            </w:r>
          </w:p>
        </w:tc>
        <w:tc>
          <w:tcPr>
            <w:tcW w:w="990" w:type="pct"/>
            <w:vAlign w:val="center"/>
          </w:tcPr>
          <w:p w14:paraId="321C02D3">
            <w:pPr>
              <w:pStyle w:val="133"/>
              <w:rPr>
                <w:b/>
                <w:bCs/>
              </w:rPr>
            </w:pPr>
            <w:r>
              <w:rPr>
                <w:rFonts w:hint="eastAsia"/>
                <w:b/>
                <w:bCs/>
              </w:rPr>
              <w:t>排放去向</w:t>
            </w:r>
          </w:p>
        </w:tc>
      </w:tr>
      <w:tr w14:paraId="7F37BF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Merge w:val="restart"/>
            <w:vAlign w:val="center"/>
          </w:tcPr>
          <w:p w14:paraId="149DBF55">
            <w:pPr>
              <w:pStyle w:val="133"/>
            </w:pPr>
            <w:r>
              <w:t>生产废水</w:t>
            </w:r>
          </w:p>
        </w:tc>
        <w:tc>
          <w:tcPr>
            <w:tcW w:w="506" w:type="pct"/>
            <w:vAlign w:val="center"/>
          </w:tcPr>
          <w:p w14:paraId="02C1D874">
            <w:pPr>
              <w:pStyle w:val="133"/>
            </w:pPr>
            <w:r>
              <w:t>产生量（t/a）</w:t>
            </w:r>
          </w:p>
        </w:tc>
        <w:tc>
          <w:tcPr>
            <w:tcW w:w="494" w:type="pct"/>
            <w:vAlign w:val="center"/>
          </w:tcPr>
          <w:p w14:paraId="619992EF">
            <w:pPr>
              <w:pStyle w:val="133"/>
            </w:pPr>
            <w:r>
              <w:t>污染物</w:t>
            </w:r>
          </w:p>
        </w:tc>
        <w:tc>
          <w:tcPr>
            <w:tcW w:w="494" w:type="pct"/>
            <w:vAlign w:val="center"/>
          </w:tcPr>
          <w:p w14:paraId="5BA6CEE4">
            <w:pPr>
              <w:pStyle w:val="133"/>
            </w:pPr>
            <w:r>
              <w:t>浓度mg/L</w:t>
            </w:r>
          </w:p>
        </w:tc>
        <w:tc>
          <w:tcPr>
            <w:tcW w:w="537" w:type="pct"/>
            <w:vAlign w:val="center"/>
          </w:tcPr>
          <w:p w14:paraId="295BD92C">
            <w:pPr>
              <w:pStyle w:val="133"/>
            </w:pPr>
            <w:r>
              <w:t>产生量t/a</w:t>
            </w:r>
          </w:p>
        </w:tc>
        <w:tc>
          <w:tcPr>
            <w:tcW w:w="495" w:type="pct"/>
            <w:vMerge w:val="restart"/>
            <w:vAlign w:val="center"/>
          </w:tcPr>
          <w:p w14:paraId="43A72661">
            <w:pPr>
              <w:pStyle w:val="133"/>
            </w:pPr>
            <w:r>
              <w:t>酚氰废水处理装置（强化预处理+生化处理工艺）</w:t>
            </w:r>
          </w:p>
        </w:tc>
        <w:tc>
          <w:tcPr>
            <w:tcW w:w="495" w:type="pct"/>
            <w:vAlign w:val="center"/>
          </w:tcPr>
          <w:p w14:paraId="7E783652">
            <w:pPr>
              <w:pStyle w:val="133"/>
            </w:pPr>
            <w:r>
              <w:t>排放浓 度mg/L</w:t>
            </w:r>
          </w:p>
        </w:tc>
        <w:tc>
          <w:tcPr>
            <w:tcW w:w="495" w:type="pct"/>
            <w:vAlign w:val="center"/>
          </w:tcPr>
          <w:p w14:paraId="64C8D4E2">
            <w:pPr>
              <w:pStyle w:val="133"/>
            </w:pPr>
            <w:r>
              <w:t>排放量 t/a</w:t>
            </w:r>
          </w:p>
        </w:tc>
        <w:tc>
          <w:tcPr>
            <w:tcW w:w="990" w:type="pct"/>
            <w:vMerge w:val="restart"/>
            <w:vAlign w:val="center"/>
          </w:tcPr>
          <w:p w14:paraId="079BCDED">
            <w:pPr>
              <w:pStyle w:val="133"/>
            </w:pPr>
            <w:r>
              <w:t>回用于熄焦、煤气水封水、上升管水封水等</w:t>
            </w:r>
          </w:p>
        </w:tc>
      </w:tr>
      <w:tr w14:paraId="47D7F2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Merge w:val="continue"/>
            <w:vAlign w:val="center"/>
          </w:tcPr>
          <w:p w14:paraId="18AE4FDC">
            <w:pPr>
              <w:pStyle w:val="133"/>
            </w:pPr>
          </w:p>
        </w:tc>
        <w:tc>
          <w:tcPr>
            <w:tcW w:w="506" w:type="pct"/>
            <w:vMerge w:val="restart"/>
            <w:vAlign w:val="center"/>
          </w:tcPr>
          <w:p w14:paraId="723A600B">
            <w:pPr>
              <w:pStyle w:val="133"/>
            </w:pPr>
            <w:r>
              <w:t>59573</w:t>
            </w:r>
          </w:p>
        </w:tc>
        <w:tc>
          <w:tcPr>
            <w:tcW w:w="494" w:type="pct"/>
            <w:vAlign w:val="center"/>
          </w:tcPr>
          <w:p w14:paraId="44837DE2">
            <w:pPr>
              <w:pStyle w:val="133"/>
            </w:pPr>
            <w:r>
              <w:t>COD</w:t>
            </w:r>
          </w:p>
        </w:tc>
        <w:tc>
          <w:tcPr>
            <w:tcW w:w="494" w:type="pct"/>
            <w:vAlign w:val="center"/>
          </w:tcPr>
          <w:p w14:paraId="0381128F">
            <w:pPr>
              <w:pStyle w:val="133"/>
            </w:pPr>
            <w:r>
              <w:t>50000</w:t>
            </w:r>
          </w:p>
        </w:tc>
        <w:tc>
          <w:tcPr>
            <w:tcW w:w="537" w:type="pct"/>
            <w:vAlign w:val="center"/>
          </w:tcPr>
          <w:p w14:paraId="09B1A80F">
            <w:pPr>
              <w:pStyle w:val="133"/>
            </w:pPr>
            <w:r>
              <w:t>2978.65</w:t>
            </w:r>
          </w:p>
        </w:tc>
        <w:tc>
          <w:tcPr>
            <w:tcW w:w="495" w:type="pct"/>
            <w:vMerge w:val="continue"/>
            <w:vAlign w:val="center"/>
          </w:tcPr>
          <w:p w14:paraId="7F88EC16">
            <w:pPr>
              <w:pStyle w:val="133"/>
            </w:pPr>
          </w:p>
        </w:tc>
        <w:tc>
          <w:tcPr>
            <w:tcW w:w="495" w:type="pct"/>
            <w:vAlign w:val="center"/>
          </w:tcPr>
          <w:p w14:paraId="42D60160">
            <w:pPr>
              <w:pStyle w:val="133"/>
            </w:pPr>
            <w:r>
              <w:t>150</w:t>
            </w:r>
          </w:p>
        </w:tc>
        <w:tc>
          <w:tcPr>
            <w:tcW w:w="495" w:type="pct"/>
            <w:vAlign w:val="center"/>
          </w:tcPr>
          <w:p w14:paraId="26FFA39B">
            <w:pPr>
              <w:pStyle w:val="133"/>
            </w:pPr>
            <w:r>
              <w:t>8.94</w:t>
            </w:r>
          </w:p>
        </w:tc>
        <w:tc>
          <w:tcPr>
            <w:tcW w:w="990" w:type="pct"/>
            <w:vMerge w:val="continue"/>
            <w:vAlign w:val="center"/>
          </w:tcPr>
          <w:p w14:paraId="38344215">
            <w:pPr>
              <w:pStyle w:val="133"/>
            </w:pPr>
          </w:p>
        </w:tc>
      </w:tr>
      <w:tr w14:paraId="7A2D3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Merge w:val="continue"/>
            <w:vAlign w:val="center"/>
          </w:tcPr>
          <w:p w14:paraId="42708EF1">
            <w:pPr>
              <w:pStyle w:val="133"/>
            </w:pPr>
          </w:p>
        </w:tc>
        <w:tc>
          <w:tcPr>
            <w:tcW w:w="506" w:type="pct"/>
            <w:vMerge w:val="continue"/>
            <w:vAlign w:val="center"/>
          </w:tcPr>
          <w:p w14:paraId="73287ACE">
            <w:pPr>
              <w:pStyle w:val="133"/>
            </w:pPr>
          </w:p>
        </w:tc>
        <w:tc>
          <w:tcPr>
            <w:tcW w:w="494" w:type="pct"/>
            <w:vAlign w:val="center"/>
          </w:tcPr>
          <w:p w14:paraId="72FC2712">
            <w:pPr>
              <w:pStyle w:val="133"/>
            </w:pPr>
            <w:r>
              <w:t>SS</w:t>
            </w:r>
          </w:p>
        </w:tc>
        <w:tc>
          <w:tcPr>
            <w:tcW w:w="494" w:type="pct"/>
            <w:vAlign w:val="center"/>
          </w:tcPr>
          <w:p w14:paraId="4E73CFA8">
            <w:pPr>
              <w:pStyle w:val="133"/>
            </w:pPr>
            <w:r>
              <w:t>1000</w:t>
            </w:r>
          </w:p>
        </w:tc>
        <w:tc>
          <w:tcPr>
            <w:tcW w:w="537" w:type="pct"/>
            <w:vAlign w:val="center"/>
          </w:tcPr>
          <w:p w14:paraId="4BF22C15">
            <w:pPr>
              <w:pStyle w:val="133"/>
            </w:pPr>
            <w:r>
              <w:t>59.58</w:t>
            </w:r>
          </w:p>
        </w:tc>
        <w:tc>
          <w:tcPr>
            <w:tcW w:w="495" w:type="pct"/>
            <w:vMerge w:val="continue"/>
            <w:vAlign w:val="center"/>
          </w:tcPr>
          <w:p w14:paraId="2492097B">
            <w:pPr>
              <w:pStyle w:val="133"/>
            </w:pPr>
          </w:p>
        </w:tc>
        <w:tc>
          <w:tcPr>
            <w:tcW w:w="495" w:type="pct"/>
            <w:vAlign w:val="center"/>
          </w:tcPr>
          <w:p w14:paraId="11828416">
            <w:pPr>
              <w:pStyle w:val="133"/>
            </w:pPr>
            <w:r>
              <w:t>70</w:t>
            </w:r>
          </w:p>
        </w:tc>
        <w:tc>
          <w:tcPr>
            <w:tcW w:w="495" w:type="pct"/>
            <w:vAlign w:val="center"/>
          </w:tcPr>
          <w:p w14:paraId="5711EFA5">
            <w:pPr>
              <w:pStyle w:val="133"/>
            </w:pPr>
            <w:r>
              <w:t>4.17</w:t>
            </w:r>
          </w:p>
        </w:tc>
        <w:tc>
          <w:tcPr>
            <w:tcW w:w="990" w:type="pct"/>
            <w:vMerge w:val="continue"/>
            <w:vAlign w:val="center"/>
          </w:tcPr>
          <w:p w14:paraId="66237ADC">
            <w:pPr>
              <w:pStyle w:val="133"/>
            </w:pPr>
          </w:p>
        </w:tc>
      </w:tr>
      <w:tr w14:paraId="242E0D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Merge w:val="continue"/>
            <w:vAlign w:val="center"/>
          </w:tcPr>
          <w:p w14:paraId="3370C29B">
            <w:pPr>
              <w:pStyle w:val="133"/>
            </w:pPr>
          </w:p>
        </w:tc>
        <w:tc>
          <w:tcPr>
            <w:tcW w:w="506" w:type="pct"/>
            <w:vMerge w:val="continue"/>
            <w:vAlign w:val="center"/>
          </w:tcPr>
          <w:p w14:paraId="07E673ED">
            <w:pPr>
              <w:pStyle w:val="133"/>
            </w:pPr>
          </w:p>
        </w:tc>
        <w:tc>
          <w:tcPr>
            <w:tcW w:w="494" w:type="pct"/>
            <w:vAlign w:val="center"/>
          </w:tcPr>
          <w:p w14:paraId="2EFA06BE">
            <w:pPr>
              <w:pStyle w:val="133"/>
            </w:pPr>
            <w:r>
              <w:t>挥发酚</w:t>
            </w:r>
          </w:p>
        </w:tc>
        <w:tc>
          <w:tcPr>
            <w:tcW w:w="494" w:type="pct"/>
            <w:vAlign w:val="center"/>
          </w:tcPr>
          <w:p w14:paraId="48E170FA">
            <w:pPr>
              <w:pStyle w:val="133"/>
            </w:pPr>
            <w:r>
              <w:t>2300</w:t>
            </w:r>
          </w:p>
        </w:tc>
        <w:tc>
          <w:tcPr>
            <w:tcW w:w="537" w:type="pct"/>
            <w:vAlign w:val="center"/>
          </w:tcPr>
          <w:p w14:paraId="0BB80B61">
            <w:pPr>
              <w:pStyle w:val="133"/>
            </w:pPr>
            <w:r>
              <w:t>137.02</w:t>
            </w:r>
          </w:p>
        </w:tc>
        <w:tc>
          <w:tcPr>
            <w:tcW w:w="495" w:type="pct"/>
            <w:vMerge w:val="continue"/>
            <w:vAlign w:val="center"/>
          </w:tcPr>
          <w:p w14:paraId="2E993293">
            <w:pPr>
              <w:pStyle w:val="133"/>
            </w:pPr>
          </w:p>
        </w:tc>
        <w:tc>
          <w:tcPr>
            <w:tcW w:w="495" w:type="pct"/>
            <w:vAlign w:val="center"/>
          </w:tcPr>
          <w:p w14:paraId="4635FCEE">
            <w:pPr>
              <w:pStyle w:val="133"/>
            </w:pPr>
            <w:r>
              <w:t>0.3</w:t>
            </w:r>
          </w:p>
        </w:tc>
        <w:tc>
          <w:tcPr>
            <w:tcW w:w="495" w:type="pct"/>
            <w:vAlign w:val="center"/>
          </w:tcPr>
          <w:p w14:paraId="203513E6">
            <w:pPr>
              <w:pStyle w:val="133"/>
            </w:pPr>
            <w:r>
              <w:t>0.020</w:t>
            </w:r>
          </w:p>
        </w:tc>
        <w:tc>
          <w:tcPr>
            <w:tcW w:w="990" w:type="pct"/>
            <w:vMerge w:val="continue"/>
            <w:vAlign w:val="center"/>
          </w:tcPr>
          <w:p w14:paraId="2F492570">
            <w:pPr>
              <w:pStyle w:val="133"/>
            </w:pPr>
          </w:p>
        </w:tc>
      </w:tr>
      <w:tr w14:paraId="57705C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Merge w:val="continue"/>
            <w:vAlign w:val="center"/>
          </w:tcPr>
          <w:p w14:paraId="15B8BED7">
            <w:pPr>
              <w:pStyle w:val="133"/>
            </w:pPr>
          </w:p>
        </w:tc>
        <w:tc>
          <w:tcPr>
            <w:tcW w:w="506" w:type="pct"/>
            <w:vMerge w:val="continue"/>
            <w:vAlign w:val="center"/>
          </w:tcPr>
          <w:p w14:paraId="6B7DFA45">
            <w:pPr>
              <w:pStyle w:val="133"/>
            </w:pPr>
          </w:p>
        </w:tc>
        <w:tc>
          <w:tcPr>
            <w:tcW w:w="494" w:type="pct"/>
            <w:vAlign w:val="center"/>
          </w:tcPr>
          <w:p w14:paraId="5AF723CC">
            <w:pPr>
              <w:pStyle w:val="133"/>
            </w:pPr>
            <w:r>
              <w:t>氰化物</w:t>
            </w:r>
          </w:p>
        </w:tc>
        <w:tc>
          <w:tcPr>
            <w:tcW w:w="494" w:type="pct"/>
            <w:vAlign w:val="center"/>
          </w:tcPr>
          <w:p w14:paraId="56253754">
            <w:pPr>
              <w:pStyle w:val="133"/>
            </w:pPr>
            <w:r>
              <w:t>10</w:t>
            </w:r>
          </w:p>
        </w:tc>
        <w:tc>
          <w:tcPr>
            <w:tcW w:w="537" w:type="pct"/>
            <w:vAlign w:val="center"/>
          </w:tcPr>
          <w:p w14:paraId="6CC872C5">
            <w:pPr>
              <w:pStyle w:val="133"/>
            </w:pPr>
            <w:r>
              <w:t>0.60</w:t>
            </w:r>
          </w:p>
        </w:tc>
        <w:tc>
          <w:tcPr>
            <w:tcW w:w="495" w:type="pct"/>
            <w:vMerge w:val="continue"/>
            <w:vAlign w:val="center"/>
          </w:tcPr>
          <w:p w14:paraId="60E7E6ED">
            <w:pPr>
              <w:pStyle w:val="133"/>
            </w:pPr>
          </w:p>
        </w:tc>
        <w:tc>
          <w:tcPr>
            <w:tcW w:w="495" w:type="pct"/>
            <w:vAlign w:val="center"/>
          </w:tcPr>
          <w:p w14:paraId="3B92F993">
            <w:pPr>
              <w:pStyle w:val="133"/>
            </w:pPr>
            <w:r>
              <w:t>0.2</w:t>
            </w:r>
          </w:p>
        </w:tc>
        <w:tc>
          <w:tcPr>
            <w:tcW w:w="495" w:type="pct"/>
            <w:vAlign w:val="center"/>
          </w:tcPr>
          <w:p w14:paraId="107D5053">
            <w:pPr>
              <w:pStyle w:val="133"/>
            </w:pPr>
            <w:r>
              <w:t>0.010</w:t>
            </w:r>
          </w:p>
        </w:tc>
        <w:tc>
          <w:tcPr>
            <w:tcW w:w="990" w:type="pct"/>
            <w:vMerge w:val="continue"/>
            <w:vAlign w:val="center"/>
          </w:tcPr>
          <w:p w14:paraId="327F446A">
            <w:pPr>
              <w:pStyle w:val="133"/>
            </w:pPr>
          </w:p>
        </w:tc>
      </w:tr>
      <w:tr w14:paraId="174953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Merge w:val="continue"/>
            <w:vAlign w:val="center"/>
          </w:tcPr>
          <w:p w14:paraId="0C8D9ACC">
            <w:pPr>
              <w:pStyle w:val="133"/>
            </w:pPr>
          </w:p>
        </w:tc>
        <w:tc>
          <w:tcPr>
            <w:tcW w:w="506" w:type="pct"/>
            <w:vMerge w:val="continue"/>
            <w:vAlign w:val="center"/>
          </w:tcPr>
          <w:p w14:paraId="2F78332A">
            <w:pPr>
              <w:pStyle w:val="133"/>
            </w:pPr>
          </w:p>
        </w:tc>
        <w:tc>
          <w:tcPr>
            <w:tcW w:w="494" w:type="pct"/>
            <w:vAlign w:val="center"/>
          </w:tcPr>
          <w:p w14:paraId="314FAECC">
            <w:pPr>
              <w:pStyle w:val="133"/>
            </w:pPr>
            <w:r>
              <w:t>石油类</w:t>
            </w:r>
          </w:p>
        </w:tc>
        <w:tc>
          <w:tcPr>
            <w:tcW w:w="494" w:type="pct"/>
            <w:vAlign w:val="center"/>
          </w:tcPr>
          <w:p w14:paraId="58F18819">
            <w:pPr>
              <w:pStyle w:val="133"/>
            </w:pPr>
            <w:r>
              <w:t>2500</w:t>
            </w:r>
          </w:p>
        </w:tc>
        <w:tc>
          <w:tcPr>
            <w:tcW w:w="537" w:type="pct"/>
            <w:vAlign w:val="center"/>
          </w:tcPr>
          <w:p w14:paraId="44FF0591">
            <w:pPr>
              <w:pStyle w:val="133"/>
            </w:pPr>
            <w:r>
              <w:t>148.94</w:t>
            </w:r>
          </w:p>
        </w:tc>
        <w:tc>
          <w:tcPr>
            <w:tcW w:w="495" w:type="pct"/>
            <w:vMerge w:val="continue"/>
            <w:vAlign w:val="center"/>
          </w:tcPr>
          <w:p w14:paraId="06856764">
            <w:pPr>
              <w:pStyle w:val="133"/>
            </w:pPr>
          </w:p>
        </w:tc>
        <w:tc>
          <w:tcPr>
            <w:tcW w:w="495" w:type="pct"/>
            <w:vAlign w:val="center"/>
          </w:tcPr>
          <w:p w14:paraId="46DC2764">
            <w:pPr>
              <w:pStyle w:val="133"/>
            </w:pPr>
            <w:r>
              <w:t>2.5</w:t>
            </w:r>
          </w:p>
        </w:tc>
        <w:tc>
          <w:tcPr>
            <w:tcW w:w="495" w:type="pct"/>
            <w:vAlign w:val="center"/>
          </w:tcPr>
          <w:p w14:paraId="06E00CC9">
            <w:pPr>
              <w:pStyle w:val="133"/>
            </w:pPr>
            <w:r>
              <w:t>0.15</w:t>
            </w:r>
          </w:p>
        </w:tc>
        <w:tc>
          <w:tcPr>
            <w:tcW w:w="990" w:type="pct"/>
            <w:vMerge w:val="continue"/>
            <w:vAlign w:val="center"/>
          </w:tcPr>
          <w:p w14:paraId="5C572C3F">
            <w:pPr>
              <w:pStyle w:val="133"/>
            </w:pPr>
          </w:p>
        </w:tc>
      </w:tr>
      <w:tr w14:paraId="00165B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4" w:type="pct"/>
            <w:vMerge w:val="continue"/>
            <w:vAlign w:val="center"/>
          </w:tcPr>
          <w:p w14:paraId="731C68DE">
            <w:pPr>
              <w:pStyle w:val="133"/>
            </w:pPr>
          </w:p>
        </w:tc>
        <w:tc>
          <w:tcPr>
            <w:tcW w:w="506" w:type="pct"/>
            <w:vMerge w:val="continue"/>
            <w:vAlign w:val="center"/>
          </w:tcPr>
          <w:p w14:paraId="23EFF600">
            <w:pPr>
              <w:pStyle w:val="133"/>
            </w:pPr>
          </w:p>
        </w:tc>
        <w:tc>
          <w:tcPr>
            <w:tcW w:w="494" w:type="pct"/>
            <w:vAlign w:val="center"/>
          </w:tcPr>
          <w:p w14:paraId="47BD2076">
            <w:pPr>
              <w:pStyle w:val="133"/>
            </w:pPr>
            <w:r>
              <w:t>氨氮</w:t>
            </w:r>
          </w:p>
        </w:tc>
        <w:tc>
          <w:tcPr>
            <w:tcW w:w="494" w:type="pct"/>
            <w:vAlign w:val="center"/>
          </w:tcPr>
          <w:p w14:paraId="3D932D21">
            <w:pPr>
              <w:pStyle w:val="133"/>
            </w:pPr>
            <w:r>
              <w:t>3000</w:t>
            </w:r>
          </w:p>
        </w:tc>
        <w:tc>
          <w:tcPr>
            <w:tcW w:w="537" w:type="pct"/>
            <w:vAlign w:val="center"/>
          </w:tcPr>
          <w:p w14:paraId="523711CB">
            <w:pPr>
              <w:pStyle w:val="133"/>
            </w:pPr>
            <w:r>
              <w:t>178.72</w:t>
            </w:r>
          </w:p>
        </w:tc>
        <w:tc>
          <w:tcPr>
            <w:tcW w:w="495" w:type="pct"/>
            <w:vMerge w:val="continue"/>
            <w:vAlign w:val="center"/>
          </w:tcPr>
          <w:p w14:paraId="25B28B8A">
            <w:pPr>
              <w:pStyle w:val="133"/>
            </w:pPr>
          </w:p>
        </w:tc>
        <w:tc>
          <w:tcPr>
            <w:tcW w:w="495" w:type="pct"/>
            <w:vAlign w:val="center"/>
          </w:tcPr>
          <w:p w14:paraId="4D9FEB19">
            <w:pPr>
              <w:pStyle w:val="133"/>
            </w:pPr>
            <w:r>
              <w:t>25</w:t>
            </w:r>
          </w:p>
        </w:tc>
        <w:tc>
          <w:tcPr>
            <w:tcW w:w="495" w:type="pct"/>
            <w:vAlign w:val="center"/>
          </w:tcPr>
          <w:p w14:paraId="0B0B003E">
            <w:pPr>
              <w:pStyle w:val="133"/>
            </w:pPr>
            <w:r>
              <w:t>1.49</w:t>
            </w:r>
          </w:p>
        </w:tc>
        <w:tc>
          <w:tcPr>
            <w:tcW w:w="990" w:type="pct"/>
            <w:vMerge w:val="continue"/>
            <w:vAlign w:val="center"/>
          </w:tcPr>
          <w:p w14:paraId="4014FC0D">
            <w:pPr>
              <w:pStyle w:val="133"/>
            </w:pPr>
          </w:p>
        </w:tc>
      </w:tr>
    </w:tbl>
    <w:p w14:paraId="74AF39B7">
      <w:pPr>
        <w:pStyle w:val="133"/>
      </w:pPr>
    </w:p>
    <w:p w14:paraId="01460C55">
      <w:pPr>
        <w:pStyle w:val="117"/>
        <w:ind w:firstLine="480"/>
      </w:pPr>
      <w:r>
        <w:t xml:space="preserve">4、公用工程 </w:t>
      </w:r>
    </w:p>
    <w:p w14:paraId="7753DAE3">
      <w:pPr>
        <w:pStyle w:val="117"/>
        <w:ind w:firstLine="480"/>
      </w:pPr>
      <w:r>
        <w:t xml:space="preserve">（1）生活污水 </w:t>
      </w:r>
    </w:p>
    <w:p w14:paraId="670137A4">
      <w:pPr>
        <w:pStyle w:val="117"/>
        <w:ind w:firstLine="480"/>
      </w:pPr>
      <w:r>
        <w:t>建设项目职工1373人，全年生活污水产生量约为28684t/a。生活污水经生活污水处理装置处理后，部分回用于绿化</w:t>
      </w:r>
      <w:r>
        <w:rPr>
          <w:rFonts w:hint="eastAsia"/>
        </w:rPr>
        <w:t>、</w:t>
      </w:r>
      <w:r>
        <w:t>煤棚</w:t>
      </w:r>
      <w:r>
        <w:rPr>
          <w:rFonts w:hint="eastAsia"/>
        </w:rPr>
        <w:t>和</w:t>
      </w:r>
      <w:r>
        <w:t>贮焦棚洒水抑尘</w:t>
      </w:r>
      <w:r>
        <w:rPr>
          <w:rFonts w:hint="eastAsia"/>
        </w:rPr>
        <w:t>，部分排至园区污水处理厂</w:t>
      </w:r>
      <w:r>
        <w:t>。</w:t>
      </w:r>
    </w:p>
    <w:p w14:paraId="34C079A7">
      <w:pPr>
        <w:pStyle w:val="117"/>
        <w:ind w:firstLine="480"/>
      </w:pPr>
      <w:r>
        <w:t xml:space="preserve">（2）冷却系统浓缩水排水 </w:t>
      </w:r>
    </w:p>
    <w:p w14:paraId="5707C4CC">
      <w:pPr>
        <w:pStyle w:val="117"/>
        <w:ind w:firstLine="480"/>
      </w:pPr>
      <w:r>
        <w:t xml:space="preserve">项目冷却系统定期产生浓缩水，废水中含有少量的COD、SS，为清下水，回用于煤棚、贮焦棚洒水抑尘； </w:t>
      </w:r>
    </w:p>
    <w:p w14:paraId="6015AABD">
      <w:pPr>
        <w:pStyle w:val="117"/>
        <w:ind w:firstLine="480"/>
      </w:pPr>
      <w:r>
        <w:rPr>
          <w:rFonts w:hint="eastAsia"/>
        </w:rPr>
        <w:t>（3）</w:t>
      </w:r>
      <w:r>
        <w:t xml:space="preserve">锅炉软水系统浓缩水排水 </w:t>
      </w:r>
    </w:p>
    <w:p w14:paraId="3A43EC54">
      <w:pPr>
        <w:pStyle w:val="117"/>
        <w:ind w:firstLine="480"/>
      </w:pPr>
      <w:r>
        <w:t>锅炉软水系统定期产生浓缩水，废水中含有少量的COD、SS，为清下水，回用于煤棚、贮焦棚洒水抑尘</w:t>
      </w:r>
    </w:p>
    <w:p w14:paraId="5ACE19EC">
      <w:pPr>
        <w:pStyle w:val="117"/>
        <w:ind w:firstLine="480"/>
      </w:pPr>
      <w:r>
        <w:t>公辅工程水污染物产生及排放情况汇总见表2.</w:t>
      </w:r>
      <w:r>
        <w:rPr>
          <w:rFonts w:hint="eastAsia"/>
        </w:rPr>
        <w:t>2</w:t>
      </w:r>
      <w:r>
        <w:t>-</w:t>
      </w:r>
      <w:r>
        <w:rPr>
          <w:rFonts w:hint="eastAsia"/>
        </w:rPr>
        <w:t>8</w:t>
      </w:r>
      <w:r>
        <w:t xml:space="preserve">。 </w:t>
      </w:r>
    </w:p>
    <w:p w14:paraId="2FC5508C">
      <w:pPr>
        <w:pStyle w:val="118"/>
      </w:pPr>
      <w:r>
        <w:t>表2.</w:t>
      </w:r>
      <w:r>
        <w:rPr>
          <w:rFonts w:hint="eastAsia"/>
        </w:rPr>
        <w:t>2</w:t>
      </w:r>
      <w:r>
        <w:t>-</w:t>
      </w:r>
      <w:r>
        <w:rPr>
          <w:rFonts w:hint="eastAsia"/>
        </w:rPr>
        <w:t xml:space="preserve">8 </w:t>
      </w:r>
      <w:r>
        <w:t>公辅工程水污染物产生及排放情况汇总</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24"/>
        <w:gridCol w:w="927"/>
        <w:gridCol w:w="947"/>
        <w:gridCol w:w="947"/>
        <w:gridCol w:w="927"/>
        <w:gridCol w:w="927"/>
        <w:gridCol w:w="927"/>
        <w:gridCol w:w="927"/>
        <w:gridCol w:w="927"/>
        <w:gridCol w:w="925"/>
      </w:tblGrid>
      <w:tr w14:paraId="0BF9BA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5" w:type="pct"/>
            <w:gridSpan w:val="2"/>
            <w:vMerge w:val="restart"/>
            <w:vAlign w:val="center"/>
          </w:tcPr>
          <w:p w14:paraId="3FAFCE38">
            <w:pPr>
              <w:pStyle w:val="133"/>
              <w:rPr>
                <w:b/>
                <w:bCs/>
              </w:rPr>
            </w:pPr>
            <w:r>
              <w:rPr>
                <w:b/>
                <w:bCs/>
              </w:rPr>
              <w:t>废水种类</w:t>
            </w:r>
          </w:p>
        </w:tc>
        <w:tc>
          <w:tcPr>
            <w:tcW w:w="2013" w:type="pct"/>
            <w:gridSpan w:val="4"/>
            <w:vAlign w:val="center"/>
          </w:tcPr>
          <w:p w14:paraId="56871F7F">
            <w:pPr>
              <w:pStyle w:val="133"/>
              <w:rPr>
                <w:b/>
                <w:bCs/>
              </w:rPr>
            </w:pPr>
            <w:r>
              <w:rPr>
                <w:rFonts w:hint="eastAsia"/>
                <w:b/>
                <w:bCs/>
              </w:rPr>
              <w:t>产生</w:t>
            </w:r>
          </w:p>
        </w:tc>
        <w:tc>
          <w:tcPr>
            <w:tcW w:w="498" w:type="pct"/>
            <w:vMerge w:val="restart"/>
            <w:vAlign w:val="center"/>
          </w:tcPr>
          <w:p w14:paraId="18D02D38">
            <w:pPr>
              <w:pStyle w:val="133"/>
              <w:rPr>
                <w:b/>
                <w:bCs/>
              </w:rPr>
            </w:pPr>
            <w:r>
              <w:rPr>
                <w:rFonts w:hint="eastAsia"/>
                <w:b/>
                <w:bCs/>
              </w:rPr>
              <w:t>治理措施</w:t>
            </w:r>
          </w:p>
        </w:tc>
        <w:tc>
          <w:tcPr>
            <w:tcW w:w="996" w:type="pct"/>
            <w:gridSpan w:val="2"/>
            <w:vAlign w:val="center"/>
          </w:tcPr>
          <w:p w14:paraId="05638E45">
            <w:pPr>
              <w:pStyle w:val="133"/>
              <w:rPr>
                <w:b/>
                <w:bCs/>
              </w:rPr>
            </w:pPr>
            <w:r>
              <w:rPr>
                <w:rFonts w:hint="eastAsia"/>
                <w:b/>
                <w:bCs/>
              </w:rPr>
              <w:t>排放</w:t>
            </w:r>
          </w:p>
        </w:tc>
        <w:tc>
          <w:tcPr>
            <w:tcW w:w="498" w:type="pct"/>
            <w:vMerge w:val="restart"/>
            <w:vAlign w:val="center"/>
          </w:tcPr>
          <w:p w14:paraId="5755A722">
            <w:pPr>
              <w:pStyle w:val="133"/>
              <w:rPr>
                <w:b/>
                <w:bCs/>
              </w:rPr>
            </w:pPr>
            <w:r>
              <w:rPr>
                <w:rFonts w:hint="eastAsia"/>
                <w:b/>
                <w:bCs/>
              </w:rPr>
              <w:t>排放去向</w:t>
            </w:r>
          </w:p>
        </w:tc>
      </w:tr>
      <w:tr w14:paraId="0E8C9C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5" w:type="pct"/>
            <w:gridSpan w:val="2"/>
            <w:vMerge w:val="continue"/>
            <w:vAlign w:val="center"/>
          </w:tcPr>
          <w:p w14:paraId="067F9F65">
            <w:pPr>
              <w:pStyle w:val="133"/>
            </w:pPr>
          </w:p>
        </w:tc>
        <w:tc>
          <w:tcPr>
            <w:tcW w:w="509" w:type="pct"/>
            <w:vAlign w:val="center"/>
          </w:tcPr>
          <w:p w14:paraId="69128828">
            <w:pPr>
              <w:pStyle w:val="133"/>
              <w:rPr>
                <w:b/>
                <w:bCs/>
              </w:rPr>
            </w:pPr>
            <w:r>
              <w:rPr>
                <w:b/>
                <w:bCs/>
              </w:rPr>
              <w:t>产生量</w:t>
            </w:r>
            <w:r>
              <w:rPr>
                <w:rFonts w:hint="eastAsia"/>
                <w:b/>
                <w:bCs/>
              </w:rPr>
              <w:t>（t/a）</w:t>
            </w:r>
          </w:p>
        </w:tc>
        <w:tc>
          <w:tcPr>
            <w:tcW w:w="509" w:type="pct"/>
            <w:vAlign w:val="center"/>
          </w:tcPr>
          <w:p w14:paraId="06FE55A7">
            <w:pPr>
              <w:pStyle w:val="133"/>
              <w:rPr>
                <w:b/>
                <w:bCs/>
              </w:rPr>
            </w:pPr>
            <w:r>
              <w:rPr>
                <w:rFonts w:hint="eastAsia"/>
                <w:b/>
                <w:bCs/>
              </w:rPr>
              <w:t>污染物</w:t>
            </w:r>
          </w:p>
        </w:tc>
        <w:tc>
          <w:tcPr>
            <w:tcW w:w="498" w:type="pct"/>
            <w:vAlign w:val="center"/>
          </w:tcPr>
          <w:p w14:paraId="6628A974">
            <w:pPr>
              <w:pStyle w:val="133"/>
              <w:rPr>
                <w:b/>
                <w:bCs/>
              </w:rPr>
            </w:pPr>
            <w:r>
              <w:rPr>
                <w:b/>
                <w:bCs/>
              </w:rPr>
              <w:t>浓度 mg/L</w:t>
            </w:r>
          </w:p>
        </w:tc>
        <w:tc>
          <w:tcPr>
            <w:tcW w:w="498" w:type="pct"/>
            <w:vAlign w:val="center"/>
          </w:tcPr>
          <w:p w14:paraId="40F9B36A">
            <w:pPr>
              <w:pStyle w:val="133"/>
              <w:rPr>
                <w:b/>
                <w:bCs/>
              </w:rPr>
            </w:pPr>
            <w:r>
              <w:rPr>
                <w:b/>
                <w:bCs/>
              </w:rPr>
              <w:t>产生量 t/a</w:t>
            </w:r>
          </w:p>
        </w:tc>
        <w:tc>
          <w:tcPr>
            <w:tcW w:w="498" w:type="pct"/>
            <w:vMerge w:val="continue"/>
            <w:vAlign w:val="center"/>
          </w:tcPr>
          <w:p w14:paraId="4664AF0B">
            <w:pPr>
              <w:pStyle w:val="133"/>
              <w:rPr>
                <w:b/>
                <w:bCs/>
              </w:rPr>
            </w:pPr>
          </w:p>
        </w:tc>
        <w:tc>
          <w:tcPr>
            <w:tcW w:w="498" w:type="pct"/>
            <w:vAlign w:val="center"/>
          </w:tcPr>
          <w:p w14:paraId="1F9C020E">
            <w:pPr>
              <w:pStyle w:val="133"/>
              <w:rPr>
                <w:b/>
                <w:bCs/>
              </w:rPr>
            </w:pPr>
            <w:r>
              <w:rPr>
                <w:b/>
                <w:bCs/>
              </w:rPr>
              <w:t>排放浓度 mg/L</w:t>
            </w:r>
          </w:p>
        </w:tc>
        <w:tc>
          <w:tcPr>
            <w:tcW w:w="498" w:type="pct"/>
            <w:vAlign w:val="center"/>
          </w:tcPr>
          <w:p w14:paraId="3F078A62">
            <w:pPr>
              <w:pStyle w:val="133"/>
              <w:rPr>
                <w:b/>
                <w:bCs/>
              </w:rPr>
            </w:pPr>
            <w:r>
              <w:rPr>
                <w:b/>
                <w:bCs/>
              </w:rPr>
              <w:t>排放量</w:t>
            </w:r>
            <w:r>
              <w:rPr>
                <w:rFonts w:hint="eastAsia"/>
                <w:b/>
                <w:bCs/>
              </w:rPr>
              <w:t>t/a</w:t>
            </w:r>
          </w:p>
        </w:tc>
        <w:tc>
          <w:tcPr>
            <w:tcW w:w="498" w:type="pct"/>
            <w:vMerge w:val="continue"/>
            <w:vAlign w:val="center"/>
          </w:tcPr>
          <w:p w14:paraId="1F54AD64">
            <w:pPr>
              <w:pStyle w:val="133"/>
              <w:rPr>
                <w:b/>
                <w:bCs/>
              </w:rPr>
            </w:pPr>
          </w:p>
        </w:tc>
      </w:tr>
      <w:tr w14:paraId="1C1319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5" w:type="pct"/>
            <w:gridSpan w:val="2"/>
            <w:vMerge w:val="restart"/>
            <w:vAlign w:val="center"/>
          </w:tcPr>
          <w:p w14:paraId="435756C1">
            <w:pPr>
              <w:pStyle w:val="133"/>
            </w:pPr>
            <w:r>
              <w:t>生活污水</w:t>
            </w:r>
          </w:p>
        </w:tc>
        <w:tc>
          <w:tcPr>
            <w:tcW w:w="509" w:type="pct"/>
            <w:vMerge w:val="restart"/>
            <w:vAlign w:val="center"/>
          </w:tcPr>
          <w:p w14:paraId="08A80215">
            <w:pPr>
              <w:pStyle w:val="133"/>
            </w:pPr>
            <w:r>
              <w:rPr>
                <w:rFonts w:hint="eastAsia"/>
              </w:rPr>
              <w:t>24684</w:t>
            </w:r>
          </w:p>
        </w:tc>
        <w:tc>
          <w:tcPr>
            <w:tcW w:w="509" w:type="pct"/>
            <w:vAlign w:val="center"/>
          </w:tcPr>
          <w:p w14:paraId="30649C8C">
            <w:pPr>
              <w:pStyle w:val="133"/>
            </w:pPr>
            <w:r>
              <w:rPr>
                <w:rFonts w:hint="eastAsia"/>
              </w:rPr>
              <w:t>COD</w:t>
            </w:r>
          </w:p>
        </w:tc>
        <w:tc>
          <w:tcPr>
            <w:tcW w:w="498" w:type="pct"/>
            <w:vAlign w:val="center"/>
          </w:tcPr>
          <w:p w14:paraId="1ED67430">
            <w:pPr>
              <w:pStyle w:val="133"/>
            </w:pPr>
            <w:r>
              <w:rPr>
                <w:rFonts w:hint="eastAsia"/>
              </w:rPr>
              <w:t>350</w:t>
            </w:r>
          </w:p>
        </w:tc>
        <w:tc>
          <w:tcPr>
            <w:tcW w:w="498" w:type="pct"/>
            <w:vAlign w:val="center"/>
          </w:tcPr>
          <w:p w14:paraId="24341A4C">
            <w:pPr>
              <w:pStyle w:val="133"/>
            </w:pPr>
            <w:r>
              <w:rPr>
                <w:rFonts w:hint="eastAsia"/>
              </w:rPr>
              <w:t>10.04</w:t>
            </w:r>
          </w:p>
        </w:tc>
        <w:tc>
          <w:tcPr>
            <w:tcW w:w="498" w:type="pct"/>
            <w:vMerge w:val="restart"/>
            <w:vAlign w:val="center"/>
          </w:tcPr>
          <w:p w14:paraId="7DE1ACAC">
            <w:pPr>
              <w:pStyle w:val="133"/>
            </w:pPr>
            <w:r>
              <w:t>生活污水处理装置</w:t>
            </w:r>
          </w:p>
        </w:tc>
        <w:tc>
          <w:tcPr>
            <w:tcW w:w="498" w:type="pct"/>
            <w:vAlign w:val="center"/>
          </w:tcPr>
          <w:p w14:paraId="55AA453C">
            <w:pPr>
              <w:pStyle w:val="133"/>
            </w:pPr>
            <w:r>
              <w:rPr>
                <w:rFonts w:hint="eastAsia"/>
              </w:rPr>
              <w:t>50</w:t>
            </w:r>
          </w:p>
        </w:tc>
        <w:tc>
          <w:tcPr>
            <w:tcW w:w="498" w:type="pct"/>
            <w:vAlign w:val="center"/>
          </w:tcPr>
          <w:p w14:paraId="002EE74B">
            <w:pPr>
              <w:pStyle w:val="133"/>
            </w:pPr>
            <w:r>
              <w:rPr>
                <w:rFonts w:hint="eastAsia"/>
              </w:rPr>
              <w:t>1.44</w:t>
            </w:r>
          </w:p>
        </w:tc>
        <w:tc>
          <w:tcPr>
            <w:tcW w:w="498" w:type="pct"/>
            <w:vMerge w:val="restart"/>
            <w:vAlign w:val="center"/>
          </w:tcPr>
          <w:p w14:paraId="226BC937">
            <w:pPr>
              <w:pStyle w:val="133"/>
            </w:pPr>
            <w:r>
              <w:rPr>
                <w:rFonts w:hint="eastAsia"/>
              </w:rPr>
              <w:t>部分</w:t>
            </w:r>
            <w:r>
              <w:t>回用于绿化、煤棚</w:t>
            </w:r>
            <w:r>
              <w:rPr>
                <w:rFonts w:hint="eastAsia"/>
              </w:rPr>
              <w:t>和</w:t>
            </w:r>
            <w:r>
              <w:t>贮焦棚洒水抑尘</w:t>
            </w:r>
            <w:r>
              <w:rPr>
                <w:rFonts w:hint="eastAsia"/>
              </w:rPr>
              <w:t>，部分排至园区污水处理厂</w:t>
            </w:r>
          </w:p>
        </w:tc>
      </w:tr>
      <w:tr w14:paraId="07A536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5" w:type="pct"/>
            <w:gridSpan w:val="2"/>
            <w:vMerge w:val="continue"/>
            <w:vAlign w:val="center"/>
          </w:tcPr>
          <w:p w14:paraId="23D28986">
            <w:pPr>
              <w:pStyle w:val="133"/>
            </w:pPr>
          </w:p>
        </w:tc>
        <w:tc>
          <w:tcPr>
            <w:tcW w:w="509" w:type="pct"/>
            <w:vMerge w:val="continue"/>
            <w:vAlign w:val="center"/>
          </w:tcPr>
          <w:p w14:paraId="5EF2934C">
            <w:pPr>
              <w:pStyle w:val="133"/>
            </w:pPr>
          </w:p>
        </w:tc>
        <w:tc>
          <w:tcPr>
            <w:tcW w:w="509" w:type="pct"/>
            <w:vAlign w:val="center"/>
          </w:tcPr>
          <w:p w14:paraId="1B09BE9A">
            <w:pPr>
              <w:pStyle w:val="133"/>
            </w:pPr>
            <w:r>
              <w:rPr>
                <w:rFonts w:hint="eastAsia"/>
              </w:rPr>
              <w:t>SS</w:t>
            </w:r>
          </w:p>
        </w:tc>
        <w:tc>
          <w:tcPr>
            <w:tcW w:w="498" w:type="pct"/>
            <w:vAlign w:val="center"/>
          </w:tcPr>
          <w:p w14:paraId="5FE1D450">
            <w:pPr>
              <w:pStyle w:val="133"/>
            </w:pPr>
            <w:r>
              <w:rPr>
                <w:rFonts w:hint="eastAsia"/>
              </w:rPr>
              <w:t>250</w:t>
            </w:r>
          </w:p>
        </w:tc>
        <w:tc>
          <w:tcPr>
            <w:tcW w:w="498" w:type="pct"/>
            <w:vAlign w:val="center"/>
          </w:tcPr>
          <w:p w14:paraId="759AEE01">
            <w:pPr>
              <w:pStyle w:val="133"/>
            </w:pPr>
            <w:r>
              <w:rPr>
                <w:rFonts w:hint="eastAsia"/>
              </w:rPr>
              <w:t>7.17</w:t>
            </w:r>
          </w:p>
        </w:tc>
        <w:tc>
          <w:tcPr>
            <w:tcW w:w="498" w:type="pct"/>
            <w:vMerge w:val="continue"/>
            <w:vAlign w:val="center"/>
          </w:tcPr>
          <w:p w14:paraId="53A9A09C">
            <w:pPr>
              <w:pStyle w:val="133"/>
            </w:pPr>
          </w:p>
        </w:tc>
        <w:tc>
          <w:tcPr>
            <w:tcW w:w="498" w:type="pct"/>
            <w:vAlign w:val="center"/>
          </w:tcPr>
          <w:p w14:paraId="2D837171">
            <w:pPr>
              <w:pStyle w:val="133"/>
            </w:pPr>
            <w:r>
              <w:rPr>
                <w:rFonts w:hint="eastAsia"/>
              </w:rPr>
              <w:t>50</w:t>
            </w:r>
          </w:p>
        </w:tc>
        <w:tc>
          <w:tcPr>
            <w:tcW w:w="498" w:type="pct"/>
            <w:vAlign w:val="center"/>
          </w:tcPr>
          <w:p w14:paraId="26A3BDB1">
            <w:pPr>
              <w:pStyle w:val="133"/>
            </w:pPr>
            <w:r>
              <w:rPr>
                <w:rFonts w:hint="eastAsia"/>
              </w:rPr>
              <w:t>1.44</w:t>
            </w:r>
          </w:p>
        </w:tc>
        <w:tc>
          <w:tcPr>
            <w:tcW w:w="498" w:type="pct"/>
            <w:vMerge w:val="continue"/>
            <w:vAlign w:val="center"/>
          </w:tcPr>
          <w:p w14:paraId="72B0E745">
            <w:pPr>
              <w:pStyle w:val="133"/>
            </w:pPr>
          </w:p>
        </w:tc>
      </w:tr>
      <w:tr w14:paraId="29B79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5" w:type="pct"/>
            <w:gridSpan w:val="2"/>
            <w:vMerge w:val="continue"/>
            <w:vAlign w:val="center"/>
          </w:tcPr>
          <w:p w14:paraId="681D57B5">
            <w:pPr>
              <w:pStyle w:val="133"/>
            </w:pPr>
          </w:p>
        </w:tc>
        <w:tc>
          <w:tcPr>
            <w:tcW w:w="509" w:type="pct"/>
            <w:vMerge w:val="continue"/>
            <w:vAlign w:val="center"/>
          </w:tcPr>
          <w:p w14:paraId="48BAAD65">
            <w:pPr>
              <w:pStyle w:val="133"/>
            </w:pPr>
          </w:p>
        </w:tc>
        <w:tc>
          <w:tcPr>
            <w:tcW w:w="509" w:type="pct"/>
            <w:vAlign w:val="center"/>
          </w:tcPr>
          <w:p w14:paraId="3C9AD216">
            <w:pPr>
              <w:pStyle w:val="133"/>
            </w:pPr>
            <w:r>
              <w:t>NH3-N</w:t>
            </w:r>
          </w:p>
        </w:tc>
        <w:tc>
          <w:tcPr>
            <w:tcW w:w="498" w:type="pct"/>
            <w:vAlign w:val="center"/>
          </w:tcPr>
          <w:p w14:paraId="1A7A5A08">
            <w:pPr>
              <w:pStyle w:val="133"/>
            </w:pPr>
            <w:r>
              <w:rPr>
                <w:rFonts w:hint="eastAsia"/>
              </w:rPr>
              <w:t>30</w:t>
            </w:r>
          </w:p>
        </w:tc>
        <w:tc>
          <w:tcPr>
            <w:tcW w:w="498" w:type="pct"/>
            <w:vAlign w:val="center"/>
          </w:tcPr>
          <w:p w14:paraId="62DC95AF">
            <w:pPr>
              <w:pStyle w:val="133"/>
            </w:pPr>
            <w:r>
              <w:rPr>
                <w:rFonts w:hint="eastAsia"/>
              </w:rPr>
              <w:t>0.86</w:t>
            </w:r>
          </w:p>
        </w:tc>
        <w:tc>
          <w:tcPr>
            <w:tcW w:w="498" w:type="pct"/>
            <w:vMerge w:val="continue"/>
            <w:vAlign w:val="center"/>
          </w:tcPr>
          <w:p w14:paraId="43673DEE">
            <w:pPr>
              <w:pStyle w:val="133"/>
            </w:pPr>
          </w:p>
        </w:tc>
        <w:tc>
          <w:tcPr>
            <w:tcW w:w="498" w:type="pct"/>
            <w:vAlign w:val="center"/>
          </w:tcPr>
          <w:p w14:paraId="6ABFA7C1">
            <w:pPr>
              <w:pStyle w:val="133"/>
            </w:pPr>
            <w:r>
              <w:rPr>
                <w:rFonts w:hint="eastAsia"/>
              </w:rPr>
              <w:t>20</w:t>
            </w:r>
          </w:p>
        </w:tc>
        <w:tc>
          <w:tcPr>
            <w:tcW w:w="498" w:type="pct"/>
            <w:vAlign w:val="center"/>
          </w:tcPr>
          <w:p w14:paraId="55937E37">
            <w:pPr>
              <w:pStyle w:val="133"/>
            </w:pPr>
            <w:r>
              <w:rPr>
                <w:rFonts w:hint="eastAsia"/>
              </w:rPr>
              <w:t>0.58</w:t>
            </w:r>
          </w:p>
        </w:tc>
        <w:tc>
          <w:tcPr>
            <w:tcW w:w="498" w:type="pct"/>
            <w:vMerge w:val="continue"/>
            <w:vAlign w:val="center"/>
          </w:tcPr>
          <w:p w14:paraId="165DDB6D">
            <w:pPr>
              <w:pStyle w:val="133"/>
            </w:pPr>
          </w:p>
        </w:tc>
      </w:tr>
      <w:tr w14:paraId="3AD99D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21" w:hRule="atLeast"/>
          <w:jc w:val="center"/>
        </w:trPr>
        <w:tc>
          <w:tcPr>
            <w:tcW w:w="995" w:type="pct"/>
            <w:gridSpan w:val="2"/>
            <w:vMerge w:val="continue"/>
            <w:vAlign w:val="center"/>
          </w:tcPr>
          <w:p w14:paraId="032C8442">
            <w:pPr>
              <w:pStyle w:val="133"/>
            </w:pPr>
          </w:p>
        </w:tc>
        <w:tc>
          <w:tcPr>
            <w:tcW w:w="509" w:type="pct"/>
            <w:vMerge w:val="continue"/>
            <w:vAlign w:val="center"/>
          </w:tcPr>
          <w:p w14:paraId="5DDA9A36">
            <w:pPr>
              <w:pStyle w:val="133"/>
            </w:pPr>
          </w:p>
        </w:tc>
        <w:tc>
          <w:tcPr>
            <w:tcW w:w="509" w:type="pct"/>
            <w:vAlign w:val="center"/>
          </w:tcPr>
          <w:p w14:paraId="265AF957">
            <w:pPr>
              <w:pStyle w:val="133"/>
            </w:pPr>
            <w:r>
              <w:rPr>
                <w:rFonts w:hint="eastAsia"/>
              </w:rPr>
              <w:t>TP</w:t>
            </w:r>
          </w:p>
        </w:tc>
        <w:tc>
          <w:tcPr>
            <w:tcW w:w="498" w:type="pct"/>
            <w:vAlign w:val="center"/>
          </w:tcPr>
          <w:p w14:paraId="0B1C426B">
            <w:pPr>
              <w:pStyle w:val="133"/>
            </w:pPr>
            <w:r>
              <w:rPr>
                <w:rFonts w:hint="eastAsia"/>
              </w:rPr>
              <w:t>4</w:t>
            </w:r>
          </w:p>
        </w:tc>
        <w:tc>
          <w:tcPr>
            <w:tcW w:w="498" w:type="pct"/>
            <w:vAlign w:val="center"/>
          </w:tcPr>
          <w:p w14:paraId="562CC51B">
            <w:pPr>
              <w:pStyle w:val="133"/>
            </w:pPr>
            <w:r>
              <w:rPr>
                <w:rFonts w:hint="eastAsia"/>
              </w:rPr>
              <w:t>0.12</w:t>
            </w:r>
          </w:p>
        </w:tc>
        <w:tc>
          <w:tcPr>
            <w:tcW w:w="498" w:type="pct"/>
            <w:vMerge w:val="continue"/>
            <w:vAlign w:val="center"/>
          </w:tcPr>
          <w:p w14:paraId="0E928C88">
            <w:pPr>
              <w:pStyle w:val="133"/>
            </w:pPr>
          </w:p>
        </w:tc>
        <w:tc>
          <w:tcPr>
            <w:tcW w:w="498" w:type="pct"/>
            <w:vAlign w:val="center"/>
          </w:tcPr>
          <w:p w14:paraId="2725EA37">
            <w:pPr>
              <w:pStyle w:val="133"/>
            </w:pPr>
            <w:r>
              <w:rPr>
                <w:rFonts w:hint="eastAsia"/>
              </w:rPr>
              <w:t>1</w:t>
            </w:r>
          </w:p>
        </w:tc>
        <w:tc>
          <w:tcPr>
            <w:tcW w:w="498" w:type="pct"/>
            <w:vAlign w:val="center"/>
          </w:tcPr>
          <w:p w14:paraId="74970B48">
            <w:pPr>
              <w:pStyle w:val="133"/>
            </w:pPr>
            <w:r>
              <w:rPr>
                <w:rFonts w:hint="eastAsia"/>
              </w:rPr>
              <w:t>0.03</w:t>
            </w:r>
          </w:p>
        </w:tc>
        <w:tc>
          <w:tcPr>
            <w:tcW w:w="498" w:type="pct"/>
            <w:vMerge w:val="continue"/>
            <w:vAlign w:val="center"/>
          </w:tcPr>
          <w:p w14:paraId="6198B80C">
            <w:pPr>
              <w:pStyle w:val="133"/>
            </w:pPr>
          </w:p>
        </w:tc>
      </w:tr>
      <w:tr w14:paraId="6DD35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7" w:type="pct"/>
            <w:vMerge w:val="restart"/>
            <w:vAlign w:val="center"/>
          </w:tcPr>
          <w:p w14:paraId="498E055D">
            <w:pPr>
              <w:pStyle w:val="133"/>
            </w:pPr>
            <w:r>
              <w:rPr>
                <w:rFonts w:hint="eastAsia"/>
              </w:rPr>
              <w:t>清下水</w:t>
            </w:r>
          </w:p>
        </w:tc>
        <w:tc>
          <w:tcPr>
            <w:tcW w:w="497" w:type="pct"/>
            <w:vMerge w:val="restart"/>
            <w:vAlign w:val="center"/>
          </w:tcPr>
          <w:p w14:paraId="6870AB8E">
            <w:pPr>
              <w:pStyle w:val="133"/>
            </w:pPr>
            <w:r>
              <w:t>冷却系统浓缩水</w:t>
            </w:r>
          </w:p>
        </w:tc>
        <w:tc>
          <w:tcPr>
            <w:tcW w:w="509" w:type="pct"/>
            <w:vMerge w:val="restart"/>
            <w:vAlign w:val="center"/>
          </w:tcPr>
          <w:p w14:paraId="45726092">
            <w:pPr>
              <w:pStyle w:val="133"/>
            </w:pPr>
            <w:r>
              <w:rPr>
                <w:rFonts w:hint="eastAsia"/>
              </w:rPr>
              <w:t>8098</w:t>
            </w:r>
          </w:p>
        </w:tc>
        <w:tc>
          <w:tcPr>
            <w:tcW w:w="509" w:type="pct"/>
            <w:vAlign w:val="center"/>
          </w:tcPr>
          <w:p w14:paraId="4FEF8FCA">
            <w:pPr>
              <w:pStyle w:val="133"/>
            </w:pPr>
            <w:r>
              <w:rPr>
                <w:rFonts w:hint="eastAsia"/>
              </w:rPr>
              <w:t>COD</w:t>
            </w:r>
          </w:p>
        </w:tc>
        <w:tc>
          <w:tcPr>
            <w:tcW w:w="498" w:type="pct"/>
            <w:vAlign w:val="center"/>
          </w:tcPr>
          <w:p w14:paraId="346C0E8D">
            <w:pPr>
              <w:pStyle w:val="133"/>
            </w:pPr>
            <w:r>
              <w:rPr>
                <w:rFonts w:hint="eastAsia"/>
              </w:rPr>
              <w:t>0.33</w:t>
            </w:r>
          </w:p>
        </w:tc>
        <w:tc>
          <w:tcPr>
            <w:tcW w:w="498" w:type="pct"/>
            <w:vAlign w:val="center"/>
          </w:tcPr>
          <w:p w14:paraId="30770CB8">
            <w:pPr>
              <w:pStyle w:val="133"/>
            </w:pPr>
            <w:r>
              <w:rPr>
                <w:rFonts w:hint="eastAsia"/>
              </w:rPr>
              <w:t>0.65</w:t>
            </w:r>
          </w:p>
        </w:tc>
        <w:tc>
          <w:tcPr>
            <w:tcW w:w="498" w:type="pct"/>
            <w:vMerge w:val="restart"/>
            <w:vAlign w:val="center"/>
          </w:tcPr>
          <w:p w14:paraId="622FABFC">
            <w:pPr>
              <w:pStyle w:val="133"/>
            </w:pPr>
          </w:p>
        </w:tc>
        <w:tc>
          <w:tcPr>
            <w:tcW w:w="498" w:type="pct"/>
            <w:vAlign w:val="center"/>
          </w:tcPr>
          <w:p w14:paraId="59E5C4C7">
            <w:pPr>
              <w:pStyle w:val="133"/>
            </w:pPr>
            <w:r>
              <w:rPr>
                <w:rFonts w:hint="eastAsia"/>
              </w:rPr>
              <w:t>40</w:t>
            </w:r>
          </w:p>
        </w:tc>
        <w:tc>
          <w:tcPr>
            <w:tcW w:w="498" w:type="pct"/>
            <w:vAlign w:val="center"/>
          </w:tcPr>
          <w:p w14:paraId="5EBAE527">
            <w:pPr>
              <w:pStyle w:val="133"/>
            </w:pPr>
            <w:r>
              <w:rPr>
                <w:rFonts w:hint="eastAsia"/>
              </w:rPr>
              <w:t>0.33</w:t>
            </w:r>
          </w:p>
        </w:tc>
        <w:tc>
          <w:tcPr>
            <w:tcW w:w="498" w:type="pct"/>
            <w:vMerge w:val="restart"/>
            <w:vAlign w:val="center"/>
          </w:tcPr>
          <w:p w14:paraId="42F5E15C">
            <w:pPr>
              <w:pStyle w:val="133"/>
            </w:pPr>
            <w:r>
              <w:t>回用于煤棚、贮焦棚洒水抑尘</w:t>
            </w:r>
          </w:p>
        </w:tc>
      </w:tr>
      <w:tr w14:paraId="539F6C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7" w:type="pct"/>
            <w:vMerge w:val="continue"/>
            <w:vAlign w:val="center"/>
          </w:tcPr>
          <w:p w14:paraId="5FED29D9">
            <w:pPr>
              <w:pStyle w:val="133"/>
            </w:pPr>
          </w:p>
        </w:tc>
        <w:tc>
          <w:tcPr>
            <w:tcW w:w="497" w:type="pct"/>
            <w:vMerge w:val="continue"/>
            <w:vAlign w:val="center"/>
          </w:tcPr>
          <w:p w14:paraId="286B5641">
            <w:pPr>
              <w:pStyle w:val="133"/>
            </w:pPr>
          </w:p>
        </w:tc>
        <w:tc>
          <w:tcPr>
            <w:tcW w:w="509" w:type="pct"/>
            <w:vMerge w:val="continue"/>
            <w:vAlign w:val="center"/>
          </w:tcPr>
          <w:p w14:paraId="38D8CF16">
            <w:pPr>
              <w:pStyle w:val="133"/>
            </w:pPr>
          </w:p>
        </w:tc>
        <w:tc>
          <w:tcPr>
            <w:tcW w:w="509" w:type="pct"/>
            <w:vAlign w:val="center"/>
          </w:tcPr>
          <w:p w14:paraId="708D3FCD">
            <w:pPr>
              <w:pStyle w:val="133"/>
            </w:pPr>
            <w:r>
              <w:rPr>
                <w:rFonts w:hint="eastAsia"/>
              </w:rPr>
              <w:t>SS</w:t>
            </w:r>
          </w:p>
        </w:tc>
        <w:tc>
          <w:tcPr>
            <w:tcW w:w="498" w:type="pct"/>
            <w:vAlign w:val="center"/>
          </w:tcPr>
          <w:p w14:paraId="75D5A03E">
            <w:pPr>
              <w:pStyle w:val="133"/>
            </w:pPr>
            <w:r>
              <w:rPr>
                <w:rFonts w:hint="eastAsia"/>
              </w:rPr>
              <w:t>0.33</w:t>
            </w:r>
          </w:p>
        </w:tc>
        <w:tc>
          <w:tcPr>
            <w:tcW w:w="498" w:type="pct"/>
            <w:vAlign w:val="center"/>
          </w:tcPr>
          <w:p w14:paraId="1F7165A2">
            <w:pPr>
              <w:pStyle w:val="133"/>
            </w:pPr>
            <w:r>
              <w:rPr>
                <w:rFonts w:hint="eastAsia"/>
              </w:rPr>
              <w:t>0.65</w:t>
            </w:r>
          </w:p>
        </w:tc>
        <w:tc>
          <w:tcPr>
            <w:tcW w:w="498" w:type="pct"/>
            <w:vMerge w:val="continue"/>
            <w:vAlign w:val="center"/>
          </w:tcPr>
          <w:p w14:paraId="5C54BC1C">
            <w:pPr>
              <w:pStyle w:val="133"/>
            </w:pPr>
          </w:p>
        </w:tc>
        <w:tc>
          <w:tcPr>
            <w:tcW w:w="498" w:type="pct"/>
            <w:vAlign w:val="center"/>
          </w:tcPr>
          <w:p w14:paraId="39C16A38">
            <w:pPr>
              <w:pStyle w:val="133"/>
            </w:pPr>
            <w:r>
              <w:rPr>
                <w:rFonts w:hint="eastAsia"/>
              </w:rPr>
              <w:t>40</w:t>
            </w:r>
          </w:p>
        </w:tc>
        <w:tc>
          <w:tcPr>
            <w:tcW w:w="498" w:type="pct"/>
            <w:vAlign w:val="center"/>
          </w:tcPr>
          <w:p w14:paraId="4C14BD56">
            <w:pPr>
              <w:pStyle w:val="133"/>
            </w:pPr>
            <w:r>
              <w:rPr>
                <w:rFonts w:hint="eastAsia"/>
              </w:rPr>
              <w:t>0.33</w:t>
            </w:r>
          </w:p>
        </w:tc>
        <w:tc>
          <w:tcPr>
            <w:tcW w:w="498" w:type="pct"/>
            <w:vMerge w:val="continue"/>
            <w:vAlign w:val="center"/>
          </w:tcPr>
          <w:p w14:paraId="52B061A9">
            <w:pPr>
              <w:pStyle w:val="133"/>
            </w:pPr>
          </w:p>
        </w:tc>
      </w:tr>
      <w:tr w14:paraId="6011AE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7" w:type="pct"/>
            <w:vMerge w:val="continue"/>
            <w:vAlign w:val="center"/>
          </w:tcPr>
          <w:p w14:paraId="2622CCD1">
            <w:pPr>
              <w:pStyle w:val="133"/>
            </w:pPr>
          </w:p>
        </w:tc>
        <w:tc>
          <w:tcPr>
            <w:tcW w:w="497" w:type="pct"/>
            <w:vMerge w:val="restart"/>
            <w:vAlign w:val="center"/>
          </w:tcPr>
          <w:p w14:paraId="2018260D">
            <w:pPr>
              <w:pStyle w:val="133"/>
            </w:pPr>
            <w:r>
              <w:t>锅炉软水系统浓缩水</w:t>
            </w:r>
          </w:p>
        </w:tc>
        <w:tc>
          <w:tcPr>
            <w:tcW w:w="509" w:type="pct"/>
            <w:vMerge w:val="restart"/>
            <w:vAlign w:val="center"/>
          </w:tcPr>
          <w:p w14:paraId="59787612">
            <w:pPr>
              <w:pStyle w:val="133"/>
            </w:pPr>
            <w:r>
              <w:rPr>
                <w:rFonts w:hint="eastAsia"/>
              </w:rPr>
              <w:t>36897</w:t>
            </w:r>
          </w:p>
        </w:tc>
        <w:tc>
          <w:tcPr>
            <w:tcW w:w="509" w:type="pct"/>
            <w:vAlign w:val="center"/>
          </w:tcPr>
          <w:p w14:paraId="7D5676F6">
            <w:pPr>
              <w:pStyle w:val="133"/>
            </w:pPr>
            <w:r>
              <w:rPr>
                <w:rFonts w:hint="eastAsia"/>
              </w:rPr>
              <w:t>COD</w:t>
            </w:r>
          </w:p>
        </w:tc>
        <w:tc>
          <w:tcPr>
            <w:tcW w:w="498" w:type="pct"/>
            <w:vAlign w:val="center"/>
          </w:tcPr>
          <w:p w14:paraId="791EC72E">
            <w:pPr>
              <w:pStyle w:val="133"/>
            </w:pPr>
            <w:r>
              <w:rPr>
                <w:rFonts w:hint="eastAsia"/>
              </w:rPr>
              <w:t>1.48</w:t>
            </w:r>
          </w:p>
        </w:tc>
        <w:tc>
          <w:tcPr>
            <w:tcW w:w="498" w:type="pct"/>
            <w:vAlign w:val="center"/>
          </w:tcPr>
          <w:p w14:paraId="2CCC2DD1">
            <w:pPr>
              <w:pStyle w:val="133"/>
            </w:pPr>
            <w:r>
              <w:rPr>
                <w:rFonts w:hint="eastAsia"/>
              </w:rPr>
              <w:t>2.95</w:t>
            </w:r>
          </w:p>
        </w:tc>
        <w:tc>
          <w:tcPr>
            <w:tcW w:w="498" w:type="pct"/>
            <w:vMerge w:val="continue"/>
            <w:vAlign w:val="center"/>
          </w:tcPr>
          <w:p w14:paraId="30067961">
            <w:pPr>
              <w:pStyle w:val="133"/>
            </w:pPr>
          </w:p>
        </w:tc>
        <w:tc>
          <w:tcPr>
            <w:tcW w:w="498" w:type="pct"/>
            <w:vAlign w:val="center"/>
          </w:tcPr>
          <w:p w14:paraId="036B3889">
            <w:pPr>
              <w:pStyle w:val="133"/>
            </w:pPr>
            <w:r>
              <w:rPr>
                <w:rFonts w:hint="eastAsia"/>
              </w:rPr>
              <w:t>40</w:t>
            </w:r>
          </w:p>
        </w:tc>
        <w:tc>
          <w:tcPr>
            <w:tcW w:w="498" w:type="pct"/>
            <w:vAlign w:val="center"/>
          </w:tcPr>
          <w:p w14:paraId="43649F62">
            <w:pPr>
              <w:pStyle w:val="133"/>
            </w:pPr>
            <w:r>
              <w:rPr>
                <w:rFonts w:hint="eastAsia"/>
              </w:rPr>
              <w:t>1.48</w:t>
            </w:r>
          </w:p>
        </w:tc>
        <w:tc>
          <w:tcPr>
            <w:tcW w:w="498" w:type="pct"/>
            <w:vMerge w:val="continue"/>
            <w:vAlign w:val="center"/>
          </w:tcPr>
          <w:p w14:paraId="0643549D">
            <w:pPr>
              <w:pStyle w:val="133"/>
            </w:pPr>
          </w:p>
        </w:tc>
      </w:tr>
      <w:tr w14:paraId="2B85AA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7" w:type="pct"/>
            <w:vMerge w:val="continue"/>
            <w:vAlign w:val="center"/>
          </w:tcPr>
          <w:p w14:paraId="216514AE">
            <w:pPr>
              <w:pStyle w:val="133"/>
            </w:pPr>
          </w:p>
        </w:tc>
        <w:tc>
          <w:tcPr>
            <w:tcW w:w="497" w:type="pct"/>
            <w:vMerge w:val="continue"/>
            <w:vAlign w:val="center"/>
          </w:tcPr>
          <w:p w14:paraId="3DD727E9">
            <w:pPr>
              <w:pStyle w:val="133"/>
            </w:pPr>
          </w:p>
        </w:tc>
        <w:tc>
          <w:tcPr>
            <w:tcW w:w="509" w:type="pct"/>
            <w:vMerge w:val="continue"/>
            <w:vAlign w:val="center"/>
          </w:tcPr>
          <w:p w14:paraId="0222E12D">
            <w:pPr>
              <w:pStyle w:val="133"/>
            </w:pPr>
          </w:p>
        </w:tc>
        <w:tc>
          <w:tcPr>
            <w:tcW w:w="509" w:type="pct"/>
            <w:vAlign w:val="center"/>
          </w:tcPr>
          <w:p w14:paraId="0F25326C">
            <w:pPr>
              <w:pStyle w:val="133"/>
            </w:pPr>
            <w:r>
              <w:rPr>
                <w:rFonts w:hint="eastAsia"/>
              </w:rPr>
              <w:t>SS</w:t>
            </w:r>
          </w:p>
        </w:tc>
        <w:tc>
          <w:tcPr>
            <w:tcW w:w="498" w:type="pct"/>
            <w:vAlign w:val="center"/>
          </w:tcPr>
          <w:p w14:paraId="210C201F">
            <w:pPr>
              <w:pStyle w:val="133"/>
            </w:pPr>
            <w:r>
              <w:rPr>
                <w:rFonts w:hint="eastAsia"/>
              </w:rPr>
              <w:t>1.48</w:t>
            </w:r>
          </w:p>
        </w:tc>
        <w:tc>
          <w:tcPr>
            <w:tcW w:w="498" w:type="pct"/>
            <w:vAlign w:val="center"/>
          </w:tcPr>
          <w:p w14:paraId="6939094B">
            <w:pPr>
              <w:pStyle w:val="133"/>
            </w:pPr>
            <w:r>
              <w:rPr>
                <w:rFonts w:hint="eastAsia"/>
              </w:rPr>
              <w:t>2.95</w:t>
            </w:r>
          </w:p>
        </w:tc>
        <w:tc>
          <w:tcPr>
            <w:tcW w:w="498" w:type="pct"/>
            <w:vMerge w:val="continue"/>
            <w:vAlign w:val="center"/>
          </w:tcPr>
          <w:p w14:paraId="4C267FC0">
            <w:pPr>
              <w:pStyle w:val="133"/>
            </w:pPr>
          </w:p>
        </w:tc>
        <w:tc>
          <w:tcPr>
            <w:tcW w:w="498" w:type="pct"/>
            <w:vAlign w:val="center"/>
          </w:tcPr>
          <w:p w14:paraId="7BFFCC1A">
            <w:pPr>
              <w:pStyle w:val="133"/>
            </w:pPr>
            <w:r>
              <w:rPr>
                <w:rFonts w:hint="eastAsia"/>
              </w:rPr>
              <w:t>40</w:t>
            </w:r>
          </w:p>
        </w:tc>
        <w:tc>
          <w:tcPr>
            <w:tcW w:w="498" w:type="pct"/>
            <w:vAlign w:val="center"/>
          </w:tcPr>
          <w:p w14:paraId="1F45FC1B">
            <w:pPr>
              <w:pStyle w:val="133"/>
            </w:pPr>
            <w:r>
              <w:rPr>
                <w:rFonts w:hint="eastAsia"/>
              </w:rPr>
              <w:t>1.48</w:t>
            </w:r>
          </w:p>
        </w:tc>
        <w:tc>
          <w:tcPr>
            <w:tcW w:w="498" w:type="pct"/>
            <w:vMerge w:val="continue"/>
            <w:vAlign w:val="center"/>
          </w:tcPr>
          <w:p w14:paraId="5AE5589F">
            <w:pPr>
              <w:pStyle w:val="133"/>
            </w:pPr>
          </w:p>
        </w:tc>
      </w:tr>
    </w:tbl>
    <w:p w14:paraId="41DE2EBA">
      <w:pPr>
        <w:pStyle w:val="133"/>
      </w:pPr>
    </w:p>
    <w:p w14:paraId="03B3801F">
      <w:pPr>
        <w:pStyle w:val="138"/>
        <w:rPr>
          <w:rFonts w:hint="eastAsia"/>
        </w:rPr>
      </w:pPr>
      <w:r>
        <w:t xml:space="preserve">固体废物产污环节及排污分析 </w:t>
      </w:r>
    </w:p>
    <w:p w14:paraId="1846E3FB">
      <w:pPr>
        <w:pStyle w:val="117"/>
        <w:ind w:firstLine="480"/>
      </w:pPr>
      <w:r>
        <w:t>（1）一般固体废物 项目产生的各类一般固体废物排放量及排放去向见表2.</w:t>
      </w:r>
      <w:r>
        <w:rPr>
          <w:rFonts w:hint="eastAsia"/>
        </w:rPr>
        <w:t>2-9</w:t>
      </w:r>
      <w:r>
        <w:t>。</w:t>
      </w:r>
    </w:p>
    <w:p w14:paraId="72A4C8EE">
      <w:pPr>
        <w:pStyle w:val="118"/>
      </w:pPr>
      <w:r>
        <w:t>表2.</w:t>
      </w:r>
      <w:r>
        <w:rPr>
          <w:rFonts w:hint="eastAsia"/>
        </w:rPr>
        <w:t xml:space="preserve">2-9 </w:t>
      </w:r>
      <w:r>
        <w:t>项目一般固体废物产生及处置情况</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20"/>
        <w:gridCol w:w="1841"/>
        <w:gridCol w:w="1011"/>
        <w:gridCol w:w="1850"/>
        <w:gridCol w:w="923"/>
        <w:gridCol w:w="923"/>
        <w:gridCol w:w="1837"/>
      </w:tblGrid>
      <w:tr w14:paraId="450273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484" w:type="pct"/>
            <w:gridSpan w:val="2"/>
            <w:vAlign w:val="center"/>
          </w:tcPr>
          <w:p w14:paraId="36BD4DDE">
            <w:pPr>
              <w:pStyle w:val="133"/>
              <w:rPr>
                <w:b/>
                <w:bCs/>
              </w:rPr>
            </w:pPr>
            <w:r>
              <w:rPr>
                <w:rFonts w:hint="eastAsia"/>
                <w:b/>
                <w:bCs/>
              </w:rPr>
              <w:t>废物名称</w:t>
            </w:r>
          </w:p>
        </w:tc>
        <w:tc>
          <w:tcPr>
            <w:tcW w:w="543" w:type="pct"/>
            <w:vAlign w:val="center"/>
          </w:tcPr>
          <w:p w14:paraId="17611DC9">
            <w:pPr>
              <w:pStyle w:val="133"/>
              <w:rPr>
                <w:b/>
                <w:bCs/>
              </w:rPr>
            </w:pPr>
            <w:r>
              <w:rPr>
                <w:rFonts w:hint="eastAsia"/>
                <w:b/>
                <w:bCs/>
              </w:rPr>
              <w:t>产生量（t/a）</w:t>
            </w:r>
          </w:p>
        </w:tc>
        <w:tc>
          <w:tcPr>
            <w:tcW w:w="994" w:type="pct"/>
            <w:vAlign w:val="center"/>
          </w:tcPr>
          <w:p w14:paraId="03C05D39">
            <w:pPr>
              <w:pStyle w:val="133"/>
              <w:rPr>
                <w:b/>
                <w:bCs/>
              </w:rPr>
            </w:pPr>
            <w:r>
              <w:rPr>
                <w:rFonts w:hint="eastAsia"/>
                <w:b/>
                <w:bCs/>
              </w:rPr>
              <w:t>主要成分</w:t>
            </w:r>
          </w:p>
        </w:tc>
        <w:tc>
          <w:tcPr>
            <w:tcW w:w="496" w:type="pct"/>
            <w:vAlign w:val="center"/>
          </w:tcPr>
          <w:p w14:paraId="05C505D7">
            <w:pPr>
              <w:pStyle w:val="133"/>
              <w:rPr>
                <w:b/>
                <w:bCs/>
              </w:rPr>
            </w:pPr>
            <w:r>
              <w:rPr>
                <w:rFonts w:hint="eastAsia"/>
                <w:b/>
                <w:bCs/>
              </w:rPr>
              <w:t>属性</w:t>
            </w:r>
          </w:p>
        </w:tc>
        <w:tc>
          <w:tcPr>
            <w:tcW w:w="496" w:type="pct"/>
            <w:vAlign w:val="center"/>
          </w:tcPr>
          <w:p w14:paraId="727DAA12">
            <w:pPr>
              <w:pStyle w:val="133"/>
              <w:rPr>
                <w:b/>
                <w:bCs/>
              </w:rPr>
            </w:pPr>
            <w:r>
              <w:rPr>
                <w:rFonts w:hint="eastAsia"/>
                <w:b/>
                <w:bCs/>
              </w:rPr>
              <w:t>性状</w:t>
            </w:r>
          </w:p>
        </w:tc>
        <w:tc>
          <w:tcPr>
            <w:tcW w:w="987" w:type="pct"/>
            <w:vAlign w:val="center"/>
          </w:tcPr>
          <w:p w14:paraId="59F271BE">
            <w:pPr>
              <w:pStyle w:val="133"/>
              <w:rPr>
                <w:b/>
                <w:bCs/>
              </w:rPr>
            </w:pPr>
            <w:r>
              <w:rPr>
                <w:rFonts w:hint="eastAsia"/>
                <w:b/>
                <w:bCs/>
              </w:rPr>
              <w:t>综合利用方式</w:t>
            </w:r>
          </w:p>
        </w:tc>
      </w:tr>
      <w:tr w14:paraId="7FD31E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5" w:type="pct"/>
            <w:vMerge w:val="restart"/>
            <w:vAlign w:val="center"/>
          </w:tcPr>
          <w:p w14:paraId="0A26D04D">
            <w:pPr>
              <w:pStyle w:val="133"/>
            </w:pPr>
            <w:r>
              <w:rPr>
                <w:rFonts w:hint="eastAsia"/>
              </w:rPr>
              <w:t>镁及镁合金项目</w:t>
            </w:r>
          </w:p>
        </w:tc>
        <w:tc>
          <w:tcPr>
            <w:tcW w:w="988" w:type="pct"/>
            <w:vAlign w:val="center"/>
          </w:tcPr>
          <w:p w14:paraId="0E11D518">
            <w:pPr>
              <w:pStyle w:val="133"/>
            </w:pPr>
            <w:r>
              <w:t>原料车间除尘器粉尘321-007-66</w:t>
            </w:r>
          </w:p>
        </w:tc>
        <w:tc>
          <w:tcPr>
            <w:tcW w:w="543" w:type="pct"/>
            <w:vAlign w:val="center"/>
          </w:tcPr>
          <w:p w14:paraId="5D28B942">
            <w:pPr>
              <w:pStyle w:val="133"/>
            </w:pPr>
            <w:r>
              <w:rPr>
                <w:rFonts w:hint="eastAsia"/>
              </w:rPr>
              <w:t>1327.72</w:t>
            </w:r>
          </w:p>
        </w:tc>
        <w:tc>
          <w:tcPr>
            <w:tcW w:w="994" w:type="pct"/>
            <w:vAlign w:val="center"/>
          </w:tcPr>
          <w:p w14:paraId="7E57F403">
            <w:pPr>
              <w:pStyle w:val="133"/>
            </w:pPr>
            <w:r>
              <w:t>硅铁粉、萤石粉、CaO、MgO等</w:t>
            </w:r>
          </w:p>
        </w:tc>
        <w:tc>
          <w:tcPr>
            <w:tcW w:w="496" w:type="pct"/>
            <w:vMerge w:val="restart"/>
            <w:vAlign w:val="center"/>
          </w:tcPr>
          <w:p w14:paraId="0F390B88">
            <w:pPr>
              <w:pStyle w:val="133"/>
            </w:pPr>
            <w:r>
              <w:t xml:space="preserve">一 </w:t>
            </w:r>
          </w:p>
          <w:p w14:paraId="1A7C1E60">
            <w:pPr>
              <w:pStyle w:val="133"/>
            </w:pPr>
            <w:r>
              <w:t xml:space="preserve">般 </w:t>
            </w:r>
          </w:p>
          <w:p w14:paraId="26A604AB">
            <w:pPr>
              <w:pStyle w:val="133"/>
            </w:pPr>
            <w:r>
              <w:t xml:space="preserve">工 </w:t>
            </w:r>
          </w:p>
          <w:p w14:paraId="4A0DEC03">
            <w:pPr>
              <w:pStyle w:val="133"/>
            </w:pPr>
            <w:r>
              <w:t xml:space="preserve">业 </w:t>
            </w:r>
          </w:p>
          <w:p w14:paraId="13240B68">
            <w:pPr>
              <w:pStyle w:val="133"/>
            </w:pPr>
            <w:r>
              <w:t xml:space="preserve">废 </w:t>
            </w:r>
          </w:p>
          <w:p w14:paraId="68D63FDD">
            <w:pPr>
              <w:pStyle w:val="133"/>
            </w:pPr>
            <w:r>
              <w:t>物</w:t>
            </w:r>
          </w:p>
        </w:tc>
        <w:tc>
          <w:tcPr>
            <w:tcW w:w="496" w:type="pct"/>
            <w:vAlign w:val="center"/>
          </w:tcPr>
          <w:p w14:paraId="7E5CEC21">
            <w:pPr>
              <w:pStyle w:val="133"/>
            </w:pPr>
            <w:r>
              <w:t>固态</w:t>
            </w:r>
          </w:p>
        </w:tc>
        <w:tc>
          <w:tcPr>
            <w:tcW w:w="987" w:type="pct"/>
            <w:vAlign w:val="center"/>
          </w:tcPr>
          <w:p w14:paraId="4DDBAEF0">
            <w:pPr>
              <w:pStyle w:val="133"/>
            </w:pPr>
            <w:r>
              <w:t>回用于生产</w:t>
            </w:r>
          </w:p>
        </w:tc>
      </w:tr>
      <w:tr w14:paraId="2A9D5D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47" w:hRule="atLeast"/>
          <w:jc w:val="center"/>
        </w:trPr>
        <w:tc>
          <w:tcPr>
            <w:tcW w:w="495" w:type="pct"/>
            <w:vMerge w:val="continue"/>
            <w:tcBorders>
              <w:bottom w:val="single" w:color="auto" w:sz="6" w:space="0"/>
            </w:tcBorders>
            <w:vAlign w:val="center"/>
          </w:tcPr>
          <w:p w14:paraId="613C811F">
            <w:pPr>
              <w:pStyle w:val="133"/>
            </w:pPr>
          </w:p>
        </w:tc>
        <w:tc>
          <w:tcPr>
            <w:tcW w:w="988" w:type="pct"/>
            <w:tcBorders>
              <w:bottom w:val="single" w:color="auto" w:sz="6" w:space="0"/>
            </w:tcBorders>
            <w:vAlign w:val="center"/>
          </w:tcPr>
          <w:p w14:paraId="69327679">
            <w:pPr>
              <w:pStyle w:val="133"/>
            </w:pPr>
            <w:r>
              <w:t>回转窑煅烧烟气除尘器收集的粉尘321-007-66</w:t>
            </w:r>
          </w:p>
        </w:tc>
        <w:tc>
          <w:tcPr>
            <w:tcW w:w="543" w:type="pct"/>
            <w:tcBorders>
              <w:bottom w:val="single" w:color="auto" w:sz="6" w:space="0"/>
            </w:tcBorders>
            <w:vAlign w:val="center"/>
          </w:tcPr>
          <w:p w14:paraId="4FF7F598">
            <w:pPr>
              <w:pStyle w:val="133"/>
            </w:pPr>
            <w:r>
              <w:rPr>
                <w:rFonts w:hint="eastAsia"/>
              </w:rPr>
              <w:t>297</w:t>
            </w:r>
          </w:p>
        </w:tc>
        <w:tc>
          <w:tcPr>
            <w:tcW w:w="994" w:type="pct"/>
            <w:tcBorders>
              <w:bottom w:val="single" w:color="auto" w:sz="6" w:space="0"/>
            </w:tcBorders>
            <w:vAlign w:val="center"/>
          </w:tcPr>
          <w:p w14:paraId="7695A8CC">
            <w:pPr>
              <w:pStyle w:val="133"/>
            </w:pPr>
            <w:r>
              <w:t>MgCO3、CaCO3、CaO、MgO等</w:t>
            </w:r>
          </w:p>
        </w:tc>
        <w:tc>
          <w:tcPr>
            <w:tcW w:w="496" w:type="pct"/>
            <w:vMerge w:val="continue"/>
            <w:vAlign w:val="center"/>
          </w:tcPr>
          <w:p w14:paraId="66799F7B">
            <w:pPr>
              <w:pStyle w:val="133"/>
            </w:pPr>
          </w:p>
        </w:tc>
        <w:tc>
          <w:tcPr>
            <w:tcW w:w="496" w:type="pct"/>
            <w:tcBorders>
              <w:bottom w:val="single" w:color="auto" w:sz="6" w:space="0"/>
            </w:tcBorders>
            <w:vAlign w:val="center"/>
          </w:tcPr>
          <w:p w14:paraId="62E817CF">
            <w:pPr>
              <w:pStyle w:val="133"/>
            </w:pPr>
            <w:r>
              <w:t>固态</w:t>
            </w:r>
          </w:p>
        </w:tc>
        <w:tc>
          <w:tcPr>
            <w:tcW w:w="987" w:type="pct"/>
            <w:vAlign w:val="center"/>
          </w:tcPr>
          <w:p w14:paraId="7CE65024">
            <w:pPr>
              <w:pStyle w:val="133"/>
            </w:pPr>
            <w:r>
              <w:t>外售给哈密新天 山水泥有限责任 公司</w:t>
            </w:r>
          </w:p>
        </w:tc>
      </w:tr>
      <w:tr w14:paraId="7FD59C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5" w:type="pct"/>
            <w:vMerge w:val="continue"/>
            <w:vAlign w:val="center"/>
          </w:tcPr>
          <w:p w14:paraId="720B868B">
            <w:pPr>
              <w:pStyle w:val="133"/>
            </w:pPr>
          </w:p>
        </w:tc>
        <w:tc>
          <w:tcPr>
            <w:tcW w:w="988" w:type="pct"/>
            <w:vAlign w:val="center"/>
          </w:tcPr>
          <w:p w14:paraId="3F35797C">
            <w:pPr>
              <w:pStyle w:val="133"/>
            </w:pPr>
            <w:r>
              <w:t>还原渣</w:t>
            </w:r>
          </w:p>
          <w:p w14:paraId="01824E9C">
            <w:pPr>
              <w:pStyle w:val="133"/>
            </w:pPr>
            <w:r>
              <w:t>321-007-54</w:t>
            </w:r>
          </w:p>
        </w:tc>
        <w:tc>
          <w:tcPr>
            <w:tcW w:w="543" w:type="pct"/>
            <w:vAlign w:val="center"/>
          </w:tcPr>
          <w:p w14:paraId="7F0E71DD">
            <w:pPr>
              <w:pStyle w:val="133"/>
            </w:pPr>
            <w:r>
              <w:rPr>
                <w:rFonts w:hint="eastAsia"/>
              </w:rPr>
              <w:t>50000</w:t>
            </w:r>
          </w:p>
        </w:tc>
        <w:tc>
          <w:tcPr>
            <w:tcW w:w="994" w:type="pct"/>
            <w:vAlign w:val="center"/>
          </w:tcPr>
          <w:p w14:paraId="68331828">
            <w:pPr>
              <w:pStyle w:val="133"/>
            </w:pPr>
            <w:r>
              <w:t>CaO、SiO2、CaF2</w:t>
            </w:r>
          </w:p>
        </w:tc>
        <w:tc>
          <w:tcPr>
            <w:tcW w:w="496" w:type="pct"/>
            <w:vMerge w:val="continue"/>
            <w:vAlign w:val="center"/>
          </w:tcPr>
          <w:p w14:paraId="0B329911">
            <w:pPr>
              <w:pStyle w:val="133"/>
            </w:pPr>
          </w:p>
        </w:tc>
        <w:tc>
          <w:tcPr>
            <w:tcW w:w="496" w:type="pct"/>
            <w:vAlign w:val="center"/>
          </w:tcPr>
          <w:p w14:paraId="2F26CF2F">
            <w:pPr>
              <w:pStyle w:val="133"/>
            </w:pPr>
            <w:r>
              <w:t>固态</w:t>
            </w:r>
          </w:p>
        </w:tc>
        <w:tc>
          <w:tcPr>
            <w:tcW w:w="987" w:type="pct"/>
            <w:vAlign w:val="center"/>
          </w:tcPr>
          <w:p w14:paraId="7EE705C7">
            <w:pPr>
              <w:pStyle w:val="133"/>
            </w:pPr>
          </w:p>
        </w:tc>
      </w:tr>
      <w:tr w14:paraId="0B6147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95" w:type="pct"/>
            <w:vMerge w:val="continue"/>
            <w:vAlign w:val="center"/>
          </w:tcPr>
          <w:p w14:paraId="40F3FC0F">
            <w:pPr>
              <w:pStyle w:val="133"/>
            </w:pPr>
          </w:p>
        </w:tc>
        <w:tc>
          <w:tcPr>
            <w:tcW w:w="988" w:type="pct"/>
            <w:vAlign w:val="center"/>
          </w:tcPr>
          <w:p w14:paraId="6B19B22C">
            <w:pPr>
              <w:pStyle w:val="133"/>
              <w:rPr>
                <w:color w:val="000000" w:themeColor="text1"/>
                <w14:textFill>
                  <w14:solidFill>
                    <w14:schemeClr w14:val="tx1"/>
                  </w14:solidFill>
                </w14:textFill>
              </w:rPr>
            </w:pPr>
            <w:r>
              <w:rPr>
                <w:color w:val="000000" w:themeColor="text1"/>
                <w14:textFill>
                  <w14:solidFill>
                    <w14:schemeClr w14:val="tx1"/>
                  </w14:solidFill>
                </w14:textFill>
              </w:rPr>
              <w:t>精炼渣</w:t>
            </w:r>
          </w:p>
          <w:p w14:paraId="53D5434F">
            <w:pPr>
              <w:pStyle w:val="133"/>
            </w:pPr>
            <w:r>
              <w:t>321-007-54</w:t>
            </w:r>
          </w:p>
        </w:tc>
        <w:tc>
          <w:tcPr>
            <w:tcW w:w="543" w:type="pct"/>
            <w:vAlign w:val="center"/>
          </w:tcPr>
          <w:p w14:paraId="37841B52">
            <w:pPr>
              <w:pStyle w:val="133"/>
            </w:pPr>
            <w:r>
              <w:rPr>
                <w:rFonts w:hint="eastAsia"/>
              </w:rPr>
              <w:t>1000</w:t>
            </w:r>
          </w:p>
        </w:tc>
        <w:tc>
          <w:tcPr>
            <w:tcW w:w="994" w:type="pct"/>
            <w:vAlign w:val="center"/>
          </w:tcPr>
          <w:p w14:paraId="6218E8A9">
            <w:pPr>
              <w:pStyle w:val="133"/>
            </w:pPr>
            <w:r>
              <w:t>KCl、MgCl2、BaCl2 及少量Mg、MgO、 CaO等</w:t>
            </w:r>
          </w:p>
        </w:tc>
        <w:tc>
          <w:tcPr>
            <w:tcW w:w="496" w:type="pct"/>
            <w:vMerge w:val="continue"/>
            <w:vAlign w:val="center"/>
          </w:tcPr>
          <w:p w14:paraId="70A28D5C">
            <w:pPr>
              <w:pStyle w:val="133"/>
            </w:pPr>
          </w:p>
        </w:tc>
        <w:tc>
          <w:tcPr>
            <w:tcW w:w="496" w:type="pct"/>
            <w:vAlign w:val="center"/>
          </w:tcPr>
          <w:p w14:paraId="2715E6D4">
            <w:pPr>
              <w:pStyle w:val="133"/>
            </w:pPr>
            <w:r>
              <w:t>固态</w:t>
            </w:r>
          </w:p>
        </w:tc>
        <w:tc>
          <w:tcPr>
            <w:tcW w:w="987" w:type="pct"/>
            <w:vAlign w:val="center"/>
          </w:tcPr>
          <w:p w14:paraId="0E4515C8">
            <w:pPr>
              <w:pStyle w:val="133"/>
            </w:pPr>
            <w:r>
              <w:t>园区填埋场填埋</w:t>
            </w:r>
          </w:p>
        </w:tc>
      </w:tr>
      <w:tr w14:paraId="31B316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495" w:type="pct"/>
            <w:vAlign w:val="center"/>
          </w:tcPr>
          <w:p w14:paraId="2DF00D80">
            <w:pPr>
              <w:pStyle w:val="133"/>
            </w:pPr>
            <w:r>
              <w:t>循环流化床锅炉</w:t>
            </w:r>
          </w:p>
        </w:tc>
        <w:tc>
          <w:tcPr>
            <w:tcW w:w="988" w:type="pct"/>
            <w:vAlign w:val="center"/>
          </w:tcPr>
          <w:p w14:paraId="6D42B56C">
            <w:pPr>
              <w:pStyle w:val="133"/>
              <w:rPr>
                <w:color w:val="000000" w:themeColor="text1"/>
                <w14:textFill>
                  <w14:solidFill>
                    <w14:schemeClr w14:val="tx1"/>
                  </w14:solidFill>
                </w14:textFill>
              </w:rPr>
            </w:pPr>
            <w:r>
              <w:rPr>
                <w:color w:val="000000" w:themeColor="text1"/>
                <w14:textFill>
                  <w14:solidFill>
                    <w14:schemeClr w14:val="tx1"/>
                  </w14:solidFill>
                </w14:textFill>
              </w:rPr>
              <w:t>锅炉炉渣</w:t>
            </w:r>
          </w:p>
          <w:p w14:paraId="3336ECD7">
            <w:pPr>
              <w:pStyle w:val="133"/>
            </w:pPr>
            <w:r>
              <w:t>900-999-64</w:t>
            </w:r>
          </w:p>
        </w:tc>
        <w:tc>
          <w:tcPr>
            <w:tcW w:w="543" w:type="pct"/>
            <w:vAlign w:val="center"/>
          </w:tcPr>
          <w:p w14:paraId="5D28D0A4">
            <w:pPr>
              <w:pStyle w:val="133"/>
            </w:pPr>
            <w:r>
              <w:rPr>
                <w:rFonts w:hint="eastAsia"/>
              </w:rPr>
              <w:t>9000</w:t>
            </w:r>
          </w:p>
        </w:tc>
        <w:tc>
          <w:tcPr>
            <w:tcW w:w="994" w:type="pct"/>
            <w:vAlign w:val="center"/>
          </w:tcPr>
          <w:p w14:paraId="01D909EF">
            <w:pPr>
              <w:pStyle w:val="133"/>
            </w:pPr>
            <w:r>
              <w:rPr>
                <w:rFonts w:hint="eastAsia"/>
              </w:rPr>
              <w:t>--</w:t>
            </w:r>
          </w:p>
        </w:tc>
        <w:tc>
          <w:tcPr>
            <w:tcW w:w="496" w:type="pct"/>
            <w:vMerge w:val="continue"/>
            <w:vAlign w:val="center"/>
          </w:tcPr>
          <w:p w14:paraId="7E5ECDF1">
            <w:pPr>
              <w:pStyle w:val="133"/>
            </w:pPr>
          </w:p>
        </w:tc>
        <w:tc>
          <w:tcPr>
            <w:tcW w:w="496" w:type="pct"/>
            <w:vAlign w:val="center"/>
          </w:tcPr>
          <w:p w14:paraId="160F98A2">
            <w:pPr>
              <w:pStyle w:val="133"/>
            </w:pPr>
            <w:r>
              <w:t>固态</w:t>
            </w:r>
          </w:p>
        </w:tc>
        <w:tc>
          <w:tcPr>
            <w:tcW w:w="987" w:type="pct"/>
            <w:vAlign w:val="center"/>
          </w:tcPr>
          <w:p w14:paraId="6F5F2FA1">
            <w:pPr>
              <w:pStyle w:val="133"/>
            </w:pPr>
            <w:r>
              <w:rPr>
                <w:rFonts w:hint="eastAsia"/>
              </w:rPr>
              <w:t>园区填埋场填埋</w:t>
            </w:r>
          </w:p>
        </w:tc>
      </w:tr>
      <w:tr w14:paraId="02D8D2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495" w:type="pct"/>
            <w:vMerge w:val="restart"/>
            <w:vAlign w:val="center"/>
          </w:tcPr>
          <w:p w14:paraId="3E8030EA">
            <w:pPr>
              <w:pStyle w:val="133"/>
            </w:pPr>
            <w:r>
              <w:t>硅铁生产线</w:t>
            </w:r>
          </w:p>
        </w:tc>
        <w:tc>
          <w:tcPr>
            <w:tcW w:w="988" w:type="pct"/>
            <w:vAlign w:val="center"/>
          </w:tcPr>
          <w:p w14:paraId="56E14FAE">
            <w:pPr>
              <w:pStyle w:val="133"/>
            </w:pPr>
            <w:r>
              <w:t>冶炼硅渣</w:t>
            </w:r>
          </w:p>
          <w:p w14:paraId="1CBABBC7">
            <w:pPr>
              <w:pStyle w:val="133"/>
            </w:pPr>
            <w:r>
              <w:t>314-001-59</w:t>
            </w:r>
          </w:p>
        </w:tc>
        <w:tc>
          <w:tcPr>
            <w:tcW w:w="543" w:type="pct"/>
            <w:tcBorders>
              <w:bottom w:val="single" w:color="auto" w:sz="12" w:space="0"/>
            </w:tcBorders>
            <w:vAlign w:val="center"/>
          </w:tcPr>
          <w:p w14:paraId="42C2748B">
            <w:pPr>
              <w:pStyle w:val="133"/>
            </w:pPr>
            <w:r>
              <w:rPr>
                <w:rFonts w:hint="eastAsia"/>
              </w:rPr>
              <w:t>500</w:t>
            </w:r>
          </w:p>
        </w:tc>
        <w:tc>
          <w:tcPr>
            <w:tcW w:w="994" w:type="pct"/>
            <w:tcBorders>
              <w:bottom w:val="single" w:color="auto" w:sz="12" w:space="0"/>
            </w:tcBorders>
            <w:vAlign w:val="center"/>
          </w:tcPr>
          <w:p w14:paraId="38FDDBA1">
            <w:pPr>
              <w:pStyle w:val="133"/>
            </w:pPr>
            <w:r>
              <w:rPr>
                <w:rFonts w:hint="eastAsia"/>
              </w:rPr>
              <w:t>--</w:t>
            </w:r>
          </w:p>
        </w:tc>
        <w:tc>
          <w:tcPr>
            <w:tcW w:w="496" w:type="pct"/>
            <w:vMerge w:val="continue"/>
            <w:vAlign w:val="center"/>
          </w:tcPr>
          <w:p w14:paraId="7DDF6EE0">
            <w:pPr>
              <w:pStyle w:val="133"/>
            </w:pPr>
          </w:p>
        </w:tc>
        <w:tc>
          <w:tcPr>
            <w:tcW w:w="496" w:type="pct"/>
            <w:tcBorders>
              <w:bottom w:val="single" w:color="auto" w:sz="12" w:space="0"/>
            </w:tcBorders>
            <w:vAlign w:val="center"/>
          </w:tcPr>
          <w:p w14:paraId="7FAD7AD6">
            <w:pPr>
              <w:pStyle w:val="133"/>
            </w:pPr>
            <w:r>
              <w:t>固态</w:t>
            </w:r>
          </w:p>
        </w:tc>
        <w:tc>
          <w:tcPr>
            <w:tcW w:w="987" w:type="pct"/>
            <w:tcBorders>
              <w:bottom w:val="single" w:color="auto" w:sz="12" w:space="0"/>
            </w:tcBorders>
            <w:vAlign w:val="center"/>
          </w:tcPr>
          <w:p w14:paraId="3D4E6080">
            <w:pPr>
              <w:pStyle w:val="133"/>
            </w:pPr>
            <w:r>
              <w:t>作为副产外售</w:t>
            </w:r>
          </w:p>
        </w:tc>
      </w:tr>
      <w:tr w14:paraId="72DD3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495" w:type="pct"/>
            <w:vMerge w:val="continue"/>
            <w:tcBorders>
              <w:bottom w:val="single" w:color="auto" w:sz="12" w:space="0"/>
            </w:tcBorders>
            <w:vAlign w:val="center"/>
          </w:tcPr>
          <w:p w14:paraId="531488C8">
            <w:pPr>
              <w:pStyle w:val="133"/>
            </w:pPr>
          </w:p>
        </w:tc>
        <w:tc>
          <w:tcPr>
            <w:tcW w:w="988" w:type="pct"/>
            <w:tcBorders>
              <w:bottom w:val="single" w:color="auto" w:sz="12" w:space="0"/>
            </w:tcBorders>
            <w:vAlign w:val="center"/>
          </w:tcPr>
          <w:p w14:paraId="55D03FE4">
            <w:pPr>
              <w:pStyle w:val="133"/>
            </w:pPr>
            <w:r>
              <w:t>硅微粉</w:t>
            </w:r>
          </w:p>
          <w:p w14:paraId="312FF980">
            <w:pPr>
              <w:pStyle w:val="133"/>
            </w:pPr>
            <w:r>
              <w:t>314-001-59</w:t>
            </w:r>
          </w:p>
        </w:tc>
        <w:tc>
          <w:tcPr>
            <w:tcW w:w="543" w:type="pct"/>
            <w:tcBorders>
              <w:bottom w:val="single" w:color="auto" w:sz="12" w:space="0"/>
            </w:tcBorders>
            <w:vAlign w:val="center"/>
          </w:tcPr>
          <w:p w14:paraId="18837E04">
            <w:pPr>
              <w:pStyle w:val="133"/>
            </w:pPr>
            <w:r>
              <w:rPr>
                <w:rFonts w:hint="eastAsia"/>
              </w:rPr>
              <w:t>6000</w:t>
            </w:r>
          </w:p>
        </w:tc>
        <w:tc>
          <w:tcPr>
            <w:tcW w:w="994" w:type="pct"/>
            <w:tcBorders>
              <w:bottom w:val="single" w:color="auto" w:sz="12" w:space="0"/>
            </w:tcBorders>
            <w:vAlign w:val="center"/>
          </w:tcPr>
          <w:p w14:paraId="0786231E">
            <w:pPr>
              <w:pStyle w:val="133"/>
            </w:pPr>
            <w:r>
              <w:rPr>
                <w:rFonts w:hint="eastAsia"/>
              </w:rPr>
              <w:t>硅</w:t>
            </w:r>
          </w:p>
        </w:tc>
        <w:tc>
          <w:tcPr>
            <w:tcW w:w="496" w:type="pct"/>
            <w:vMerge w:val="continue"/>
            <w:vAlign w:val="center"/>
          </w:tcPr>
          <w:p w14:paraId="3FFDEA33">
            <w:pPr>
              <w:pStyle w:val="133"/>
            </w:pPr>
          </w:p>
        </w:tc>
        <w:tc>
          <w:tcPr>
            <w:tcW w:w="496" w:type="pct"/>
            <w:tcBorders>
              <w:bottom w:val="single" w:color="auto" w:sz="12" w:space="0"/>
            </w:tcBorders>
            <w:vAlign w:val="center"/>
          </w:tcPr>
          <w:p w14:paraId="0B0E7821">
            <w:pPr>
              <w:pStyle w:val="133"/>
            </w:pPr>
            <w:r>
              <w:t>固态</w:t>
            </w:r>
          </w:p>
        </w:tc>
        <w:tc>
          <w:tcPr>
            <w:tcW w:w="987" w:type="pct"/>
            <w:tcBorders>
              <w:bottom w:val="single" w:color="auto" w:sz="12" w:space="0"/>
            </w:tcBorders>
            <w:vAlign w:val="center"/>
          </w:tcPr>
          <w:p w14:paraId="4523360C">
            <w:pPr>
              <w:pStyle w:val="133"/>
            </w:pPr>
            <w:r>
              <w:t>作为副产外售</w:t>
            </w:r>
          </w:p>
        </w:tc>
      </w:tr>
      <w:tr w14:paraId="31586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495" w:type="pct"/>
            <w:tcBorders>
              <w:bottom w:val="single" w:color="auto" w:sz="12" w:space="0"/>
            </w:tcBorders>
            <w:vAlign w:val="center"/>
          </w:tcPr>
          <w:p w14:paraId="2C6EB722">
            <w:pPr>
              <w:pStyle w:val="133"/>
            </w:pPr>
            <w:r>
              <w:t>兰炭生产线及煤气发生炉</w:t>
            </w:r>
          </w:p>
        </w:tc>
        <w:tc>
          <w:tcPr>
            <w:tcW w:w="988" w:type="pct"/>
            <w:tcBorders>
              <w:bottom w:val="single" w:color="auto" w:sz="12" w:space="0"/>
            </w:tcBorders>
            <w:vAlign w:val="center"/>
          </w:tcPr>
          <w:p w14:paraId="2E746300">
            <w:pPr>
              <w:pStyle w:val="133"/>
            </w:pPr>
            <w:r>
              <w:t>除尘系统收集尘 252-001-66</w:t>
            </w:r>
          </w:p>
        </w:tc>
        <w:tc>
          <w:tcPr>
            <w:tcW w:w="543" w:type="pct"/>
            <w:tcBorders>
              <w:bottom w:val="single" w:color="auto" w:sz="12" w:space="0"/>
            </w:tcBorders>
            <w:vAlign w:val="center"/>
          </w:tcPr>
          <w:p w14:paraId="4206D410">
            <w:pPr>
              <w:pStyle w:val="133"/>
            </w:pPr>
            <w:r>
              <w:rPr>
                <w:rFonts w:hint="eastAsia"/>
              </w:rPr>
              <w:t>84</w:t>
            </w:r>
          </w:p>
        </w:tc>
        <w:tc>
          <w:tcPr>
            <w:tcW w:w="994" w:type="pct"/>
            <w:tcBorders>
              <w:bottom w:val="single" w:color="auto" w:sz="12" w:space="0"/>
            </w:tcBorders>
            <w:vAlign w:val="center"/>
          </w:tcPr>
          <w:p w14:paraId="1B023438">
            <w:pPr>
              <w:pStyle w:val="133"/>
            </w:pPr>
            <w:r>
              <w:rPr>
                <w:rFonts w:hint="eastAsia"/>
              </w:rPr>
              <w:t>煤、兰炭</w:t>
            </w:r>
          </w:p>
        </w:tc>
        <w:tc>
          <w:tcPr>
            <w:tcW w:w="496" w:type="pct"/>
            <w:vMerge w:val="continue"/>
            <w:vAlign w:val="center"/>
          </w:tcPr>
          <w:p w14:paraId="3E9A09FB">
            <w:pPr>
              <w:pStyle w:val="133"/>
            </w:pPr>
          </w:p>
        </w:tc>
        <w:tc>
          <w:tcPr>
            <w:tcW w:w="496" w:type="pct"/>
            <w:tcBorders>
              <w:bottom w:val="single" w:color="auto" w:sz="12" w:space="0"/>
            </w:tcBorders>
            <w:vAlign w:val="center"/>
          </w:tcPr>
          <w:p w14:paraId="367DC085">
            <w:pPr>
              <w:pStyle w:val="133"/>
            </w:pPr>
            <w:r>
              <w:t>固态</w:t>
            </w:r>
          </w:p>
        </w:tc>
        <w:tc>
          <w:tcPr>
            <w:tcW w:w="987" w:type="pct"/>
            <w:tcBorders>
              <w:bottom w:val="single" w:color="auto" w:sz="12" w:space="0"/>
            </w:tcBorders>
            <w:vAlign w:val="center"/>
          </w:tcPr>
          <w:p w14:paraId="114F7C18">
            <w:pPr>
              <w:pStyle w:val="133"/>
            </w:pPr>
            <w:r>
              <w:t>掺入回转窑沫煤中使用</w:t>
            </w:r>
          </w:p>
        </w:tc>
      </w:tr>
      <w:tr w14:paraId="1EDAB1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495" w:type="pct"/>
            <w:vAlign w:val="center"/>
          </w:tcPr>
          <w:p w14:paraId="285B63E3">
            <w:pPr>
              <w:pStyle w:val="133"/>
            </w:pPr>
            <w:r>
              <w:t>办公生活</w:t>
            </w:r>
          </w:p>
        </w:tc>
        <w:tc>
          <w:tcPr>
            <w:tcW w:w="988" w:type="pct"/>
            <w:vAlign w:val="center"/>
          </w:tcPr>
          <w:p w14:paraId="5513B3BC">
            <w:pPr>
              <w:pStyle w:val="133"/>
            </w:pPr>
            <w:r>
              <w:t>生活垃圾</w:t>
            </w:r>
          </w:p>
        </w:tc>
        <w:tc>
          <w:tcPr>
            <w:tcW w:w="543" w:type="pct"/>
            <w:vAlign w:val="center"/>
          </w:tcPr>
          <w:p w14:paraId="6FE31CF1">
            <w:pPr>
              <w:pStyle w:val="133"/>
            </w:pPr>
            <w:r>
              <w:rPr>
                <w:rFonts w:hint="eastAsia"/>
              </w:rPr>
              <w:t>717</w:t>
            </w:r>
          </w:p>
        </w:tc>
        <w:tc>
          <w:tcPr>
            <w:tcW w:w="994" w:type="pct"/>
            <w:vAlign w:val="center"/>
          </w:tcPr>
          <w:p w14:paraId="76DA4E19">
            <w:pPr>
              <w:pStyle w:val="133"/>
            </w:pPr>
            <w:r>
              <w:rPr>
                <w:rFonts w:hint="eastAsia"/>
              </w:rPr>
              <w:t>有机质等</w:t>
            </w:r>
          </w:p>
        </w:tc>
        <w:tc>
          <w:tcPr>
            <w:tcW w:w="496" w:type="pct"/>
            <w:vMerge w:val="continue"/>
            <w:vAlign w:val="center"/>
          </w:tcPr>
          <w:p w14:paraId="2FF2FB5C">
            <w:pPr>
              <w:pStyle w:val="133"/>
            </w:pPr>
          </w:p>
        </w:tc>
        <w:tc>
          <w:tcPr>
            <w:tcW w:w="496" w:type="pct"/>
            <w:vAlign w:val="center"/>
          </w:tcPr>
          <w:p w14:paraId="17A1D004">
            <w:pPr>
              <w:pStyle w:val="133"/>
            </w:pPr>
            <w:r>
              <w:t>固态</w:t>
            </w:r>
          </w:p>
        </w:tc>
        <w:tc>
          <w:tcPr>
            <w:tcW w:w="987" w:type="pct"/>
            <w:vAlign w:val="center"/>
          </w:tcPr>
          <w:p w14:paraId="35B5E9E4">
            <w:pPr>
              <w:pStyle w:val="133"/>
            </w:pPr>
            <w:r>
              <w:t>由环卫部门清运至当地生活垃圾填埋场处置</w:t>
            </w:r>
          </w:p>
        </w:tc>
      </w:tr>
      <w:tr w14:paraId="4D5BB3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495" w:type="pct"/>
            <w:vMerge w:val="restart"/>
            <w:vAlign w:val="center"/>
          </w:tcPr>
          <w:p w14:paraId="46E248D3">
            <w:pPr>
              <w:pStyle w:val="133"/>
            </w:pPr>
            <w:r>
              <w:rPr>
                <w:rFonts w:hint="eastAsia"/>
              </w:rPr>
              <w:t>公用工程</w:t>
            </w:r>
          </w:p>
        </w:tc>
        <w:tc>
          <w:tcPr>
            <w:tcW w:w="988" w:type="pct"/>
            <w:vAlign w:val="center"/>
          </w:tcPr>
          <w:p w14:paraId="7210AF53">
            <w:pPr>
              <w:pStyle w:val="133"/>
            </w:pPr>
            <w:r>
              <w:rPr>
                <w:rFonts w:hint="eastAsia"/>
              </w:rPr>
              <w:t>建筑垃圾</w:t>
            </w:r>
          </w:p>
        </w:tc>
        <w:tc>
          <w:tcPr>
            <w:tcW w:w="543" w:type="pct"/>
            <w:vAlign w:val="center"/>
          </w:tcPr>
          <w:p w14:paraId="0522F9D8">
            <w:pPr>
              <w:pStyle w:val="133"/>
            </w:pPr>
            <w:r>
              <w:rPr>
                <w:rFonts w:hint="eastAsia"/>
              </w:rPr>
              <w:t>3535</w:t>
            </w:r>
          </w:p>
        </w:tc>
        <w:tc>
          <w:tcPr>
            <w:tcW w:w="994" w:type="pct"/>
            <w:vAlign w:val="center"/>
          </w:tcPr>
          <w:p w14:paraId="29D77C28">
            <w:pPr>
              <w:pStyle w:val="133"/>
            </w:pPr>
            <w:r>
              <w:rPr>
                <w:rFonts w:hint="eastAsia"/>
              </w:rPr>
              <w:t>废混凝土、废木料钢材等</w:t>
            </w:r>
          </w:p>
        </w:tc>
        <w:tc>
          <w:tcPr>
            <w:tcW w:w="496" w:type="pct"/>
            <w:vMerge w:val="continue"/>
            <w:vAlign w:val="center"/>
          </w:tcPr>
          <w:p w14:paraId="4AC2D635">
            <w:pPr>
              <w:pStyle w:val="133"/>
            </w:pPr>
          </w:p>
        </w:tc>
        <w:tc>
          <w:tcPr>
            <w:tcW w:w="496" w:type="pct"/>
            <w:vAlign w:val="center"/>
          </w:tcPr>
          <w:p w14:paraId="2FA09AA1">
            <w:pPr>
              <w:pStyle w:val="133"/>
            </w:pPr>
            <w:r>
              <w:rPr>
                <w:rFonts w:hint="eastAsia"/>
              </w:rPr>
              <w:t>固态</w:t>
            </w:r>
          </w:p>
        </w:tc>
        <w:tc>
          <w:tcPr>
            <w:tcW w:w="987" w:type="pct"/>
            <w:vAlign w:val="center"/>
          </w:tcPr>
          <w:p w14:paraId="3F58D121">
            <w:pPr>
              <w:pStyle w:val="133"/>
            </w:pPr>
            <w:r>
              <w:rPr>
                <w:rFonts w:hint="eastAsia"/>
              </w:rPr>
              <w:t>可回收利用部分的材料回收处理，剩余部分统一收集后清运至哈密市建筑垃圾填埋场处置</w:t>
            </w:r>
          </w:p>
        </w:tc>
      </w:tr>
      <w:tr w14:paraId="2ACCA9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6" w:hRule="atLeast"/>
          <w:jc w:val="center"/>
        </w:trPr>
        <w:tc>
          <w:tcPr>
            <w:tcW w:w="495" w:type="pct"/>
            <w:vMerge w:val="continue"/>
            <w:tcBorders>
              <w:bottom w:val="single" w:color="auto" w:sz="12" w:space="0"/>
            </w:tcBorders>
            <w:vAlign w:val="center"/>
          </w:tcPr>
          <w:p w14:paraId="51F3F884">
            <w:pPr>
              <w:pStyle w:val="133"/>
            </w:pPr>
          </w:p>
        </w:tc>
        <w:tc>
          <w:tcPr>
            <w:tcW w:w="988" w:type="pct"/>
            <w:tcBorders>
              <w:bottom w:val="single" w:color="auto" w:sz="12" w:space="0"/>
            </w:tcBorders>
            <w:vAlign w:val="center"/>
          </w:tcPr>
          <w:p w14:paraId="1791BFA4">
            <w:pPr>
              <w:pStyle w:val="133"/>
            </w:pPr>
            <w:r>
              <w:rPr>
                <w:rFonts w:hint="eastAsia"/>
              </w:rPr>
              <w:t>生活垃圾</w:t>
            </w:r>
          </w:p>
        </w:tc>
        <w:tc>
          <w:tcPr>
            <w:tcW w:w="543" w:type="pct"/>
            <w:tcBorders>
              <w:bottom w:val="single" w:color="auto" w:sz="12" w:space="0"/>
            </w:tcBorders>
            <w:vAlign w:val="center"/>
          </w:tcPr>
          <w:p w14:paraId="4D71A854">
            <w:pPr>
              <w:pStyle w:val="133"/>
            </w:pPr>
            <w:r>
              <w:rPr>
                <w:rFonts w:hint="eastAsia"/>
              </w:rPr>
              <w:t>96</w:t>
            </w:r>
          </w:p>
        </w:tc>
        <w:tc>
          <w:tcPr>
            <w:tcW w:w="994" w:type="pct"/>
            <w:tcBorders>
              <w:bottom w:val="single" w:color="auto" w:sz="12" w:space="0"/>
            </w:tcBorders>
            <w:vAlign w:val="center"/>
          </w:tcPr>
          <w:p w14:paraId="1C538FBC">
            <w:pPr>
              <w:pStyle w:val="133"/>
            </w:pPr>
            <w:r>
              <w:rPr>
                <w:rFonts w:hint="eastAsia"/>
              </w:rPr>
              <w:t>有机质等</w:t>
            </w:r>
          </w:p>
        </w:tc>
        <w:tc>
          <w:tcPr>
            <w:tcW w:w="496" w:type="pct"/>
            <w:vMerge w:val="continue"/>
            <w:tcBorders>
              <w:bottom w:val="single" w:color="auto" w:sz="12" w:space="0"/>
            </w:tcBorders>
            <w:vAlign w:val="center"/>
          </w:tcPr>
          <w:p w14:paraId="4CBDE461">
            <w:pPr>
              <w:pStyle w:val="133"/>
            </w:pPr>
          </w:p>
        </w:tc>
        <w:tc>
          <w:tcPr>
            <w:tcW w:w="496" w:type="pct"/>
            <w:tcBorders>
              <w:bottom w:val="single" w:color="auto" w:sz="12" w:space="0"/>
            </w:tcBorders>
            <w:vAlign w:val="center"/>
          </w:tcPr>
          <w:p w14:paraId="2BEF4936">
            <w:pPr>
              <w:pStyle w:val="133"/>
            </w:pPr>
            <w:r>
              <w:rPr>
                <w:rFonts w:hint="eastAsia"/>
              </w:rPr>
              <w:t>固态</w:t>
            </w:r>
          </w:p>
        </w:tc>
        <w:tc>
          <w:tcPr>
            <w:tcW w:w="987" w:type="pct"/>
            <w:tcBorders>
              <w:bottom w:val="single" w:color="auto" w:sz="12" w:space="0"/>
            </w:tcBorders>
            <w:vAlign w:val="center"/>
          </w:tcPr>
          <w:p w14:paraId="15D86CA5">
            <w:pPr>
              <w:pStyle w:val="133"/>
            </w:pPr>
            <w:r>
              <w:rPr>
                <w:rFonts w:hint="eastAsia"/>
              </w:rPr>
              <w:t>收集于垃圾桶内，委托园区环卫部门清运处理</w:t>
            </w:r>
          </w:p>
        </w:tc>
      </w:tr>
    </w:tbl>
    <w:p w14:paraId="0880C010">
      <w:pPr>
        <w:pStyle w:val="133"/>
      </w:pPr>
    </w:p>
    <w:p w14:paraId="4E54E953">
      <w:pPr>
        <w:pStyle w:val="117"/>
        <w:ind w:firstLine="480"/>
      </w:pPr>
      <w:r>
        <w:t xml:space="preserve">（2）危险废物 </w:t>
      </w:r>
    </w:p>
    <w:p w14:paraId="2A87E1E1">
      <w:pPr>
        <w:pStyle w:val="117"/>
        <w:ind w:firstLine="480"/>
      </w:pPr>
      <w:r>
        <w:t>兰炭生产线及煤气发生炉产生的焦油渣、脱硫废液、污水处理污泥</w:t>
      </w:r>
      <w:r>
        <w:rPr>
          <w:rFonts w:hint="eastAsia"/>
        </w:rPr>
        <w:t>，</w:t>
      </w:r>
      <w:r>
        <w:t>属于危险废物HW11；设备维护保养产生的废润滑油属于HW08。项目产生的各类危险废物排放量及排放去向见表2.</w:t>
      </w:r>
      <w:r>
        <w:rPr>
          <w:rFonts w:hint="eastAsia"/>
        </w:rPr>
        <w:t>2</w:t>
      </w:r>
      <w:r>
        <w:t>-</w:t>
      </w:r>
      <w:r>
        <w:rPr>
          <w:rFonts w:hint="eastAsia"/>
        </w:rPr>
        <w:t>10</w:t>
      </w:r>
      <w:r>
        <w:t xml:space="preserve">。 </w:t>
      </w:r>
    </w:p>
    <w:p w14:paraId="39F14E94">
      <w:pPr>
        <w:pStyle w:val="118"/>
      </w:pPr>
      <w:r>
        <w:t>表2.</w:t>
      </w:r>
      <w:r>
        <w:rPr>
          <w:rFonts w:hint="eastAsia"/>
        </w:rPr>
        <w:t>2</w:t>
      </w:r>
      <w:r>
        <w:t>-</w:t>
      </w:r>
      <w:r>
        <w:rPr>
          <w:rFonts w:hint="eastAsia"/>
        </w:rPr>
        <w:t xml:space="preserve">10 </w:t>
      </w:r>
      <w:r>
        <w:t>项目危险废物产生和排放情况</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30"/>
        <w:gridCol w:w="930"/>
        <w:gridCol w:w="2791"/>
        <w:gridCol w:w="931"/>
        <w:gridCol w:w="931"/>
        <w:gridCol w:w="931"/>
        <w:gridCol w:w="1861"/>
      </w:tblGrid>
      <w:tr w14:paraId="074E6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 w:type="pct"/>
            <w:vAlign w:val="center"/>
          </w:tcPr>
          <w:p w14:paraId="7960556F">
            <w:pPr>
              <w:pStyle w:val="133"/>
              <w:rPr>
                <w:b/>
                <w:bCs/>
              </w:rPr>
            </w:pPr>
            <w:r>
              <w:rPr>
                <w:b/>
                <w:bCs/>
              </w:rPr>
              <w:t>废物名称</w:t>
            </w:r>
          </w:p>
        </w:tc>
        <w:tc>
          <w:tcPr>
            <w:tcW w:w="500" w:type="pct"/>
            <w:vAlign w:val="center"/>
          </w:tcPr>
          <w:p w14:paraId="7FBA8313">
            <w:pPr>
              <w:pStyle w:val="133"/>
              <w:rPr>
                <w:b/>
                <w:bCs/>
              </w:rPr>
            </w:pPr>
            <w:r>
              <w:rPr>
                <w:b/>
                <w:bCs/>
              </w:rPr>
              <w:t>主要成 分</w:t>
            </w:r>
          </w:p>
        </w:tc>
        <w:tc>
          <w:tcPr>
            <w:tcW w:w="1500" w:type="pct"/>
            <w:vAlign w:val="center"/>
          </w:tcPr>
          <w:p w14:paraId="31436491">
            <w:pPr>
              <w:pStyle w:val="133"/>
              <w:rPr>
                <w:b/>
                <w:bCs/>
              </w:rPr>
            </w:pPr>
            <w:r>
              <w:rPr>
                <w:rFonts w:hint="eastAsia"/>
                <w:b/>
                <w:bCs/>
              </w:rPr>
              <w:t>分类编号</w:t>
            </w:r>
          </w:p>
        </w:tc>
        <w:tc>
          <w:tcPr>
            <w:tcW w:w="500" w:type="pct"/>
            <w:vAlign w:val="center"/>
          </w:tcPr>
          <w:p w14:paraId="0175E17A">
            <w:pPr>
              <w:pStyle w:val="133"/>
              <w:rPr>
                <w:b/>
                <w:bCs/>
              </w:rPr>
            </w:pPr>
            <w:r>
              <w:rPr>
                <w:b/>
                <w:bCs/>
              </w:rPr>
              <w:t>性状</w:t>
            </w:r>
          </w:p>
        </w:tc>
        <w:tc>
          <w:tcPr>
            <w:tcW w:w="500" w:type="pct"/>
            <w:vAlign w:val="center"/>
          </w:tcPr>
          <w:p w14:paraId="2257ADC9">
            <w:pPr>
              <w:pStyle w:val="133"/>
              <w:rPr>
                <w:b/>
                <w:bCs/>
              </w:rPr>
            </w:pPr>
            <w:r>
              <w:rPr>
                <w:b/>
                <w:bCs/>
              </w:rPr>
              <w:t>产生 量t/a</w:t>
            </w:r>
          </w:p>
        </w:tc>
        <w:tc>
          <w:tcPr>
            <w:tcW w:w="500" w:type="pct"/>
            <w:vAlign w:val="center"/>
          </w:tcPr>
          <w:p w14:paraId="18B2AECC">
            <w:pPr>
              <w:pStyle w:val="133"/>
              <w:rPr>
                <w:b/>
                <w:bCs/>
              </w:rPr>
            </w:pPr>
            <w:r>
              <w:rPr>
                <w:b/>
                <w:bCs/>
              </w:rPr>
              <w:t>含水 率%</w:t>
            </w:r>
          </w:p>
        </w:tc>
        <w:tc>
          <w:tcPr>
            <w:tcW w:w="1000" w:type="pct"/>
            <w:vAlign w:val="center"/>
          </w:tcPr>
          <w:p w14:paraId="19E87E9F">
            <w:pPr>
              <w:pStyle w:val="133"/>
              <w:rPr>
                <w:b/>
                <w:bCs/>
              </w:rPr>
            </w:pPr>
            <w:r>
              <w:rPr>
                <w:b/>
                <w:bCs/>
              </w:rPr>
              <w:t>综合利用方式</w:t>
            </w:r>
          </w:p>
        </w:tc>
      </w:tr>
      <w:tr w14:paraId="546EB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 w:type="pct"/>
            <w:vAlign w:val="center"/>
          </w:tcPr>
          <w:p w14:paraId="65A91438">
            <w:pPr>
              <w:pStyle w:val="133"/>
            </w:pPr>
            <w:r>
              <w:t>焦油渣</w:t>
            </w:r>
          </w:p>
        </w:tc>
        <w:tc>
          <w:tcPr>
            <w:tcW w:w="500" w:type="pct"/>
            <w:vAlign w:val="center"/>
          </w:tcPr>
          <w:p w14:paraId="227985BE">
            <w:pPr>
              <w:pStyle w:val="133"/>
            </w:pPr>
            <w:r>
              <w:t>焦油</w:t>
            </w:r>
          </w:p>
        </w:tc>
        <w:tc>
          <w:tcPr>
            <w:tcW w:w="1500" w:type="pct"/>
            <w:vAlign w:val="center"/>
          </w:tcPr>
          <w:p w14:paraId="2B0CA0A4">
            <w:pPr>
              <w:pStyle w:val="133"/>
            </w:pPr>
            <w:r>
              <w:t>HW11（252-002-11）</w:t>
            </w:r>
          </w:p>
        </w:tc>
        <w:tc>
          <w:tcPr>
            <w:tcW w:w="500" w:type="pct"/>
            <w:vAlign w:val="center"/>
          </w:tcPr>
          <w:p w14:paraId="1E7B8C85">
            <w:pPr>
              <w:pStyle w:val="133"/>
            </w:pPr>
            <w:r>
              <w:t>固态</w:t>
            </w:r>
          </w:p>
        </w:tc>
        <w:tc>
          <w:tcPr>
            <w:tcW w:w="500" w:type="pct"/>
            <w:vAlign w:val="center"/>
          </w:tcPr>
          <w:p w14:paraId="04CA9519">
            <w:pPr>
              <w:pStyle w:val="133"/>
            </w:pPr>
            <w:r>
              <w:rPr>
                <w:rFonts w:hint="eastAsia"/>
              </w:rPr>
              <w:t>6.4</w:t>
            </w:r>
          </w:p>
        </w:tc>
        <w:tc>
          <w:tcPr>
            <w:tcW w:w="500" w:type="pct"/>
            <w:vAlign w:val="center"/>
          </w:tcPr>
          <w:p w14:paraId="6AC69E32">
            <w:pPr>
              <w:pStyle w:val="133"/>
            </w:pPr>
            <w:r>
              <w:rPr>
                <w:rFonts w:hint="eastAsia"/>
              </w:rPr>
              <w:t>/</w:t>
            </w:r>
          </w:p>
        </w:tc>
        <w:tc>
          <w:tcPr>
            <w:tcW w:w="1000" w:type="pct"/>
            <w:vMerge w:val="restart"/>
            <w:vAlign w:val="center"/>
          </w:tcPr>
          <w:p w14:paraId="60AFD441">
            <w:pPr>
              <w:pStyle w:val="133"/>
            </w:pPr>
            <w:r>
              <w:t>回配于炼焦煤</w:t>
            </w:r>
          </w:p>
        </w:tc>
      </w:tr>
      <w:tr w14:paraId="33C613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 w:type="pct"/>
            <w:vAlign w:val="center"/>
          </w:tcPr>
          <w:p w14:paraId="36875230">
            <w:pPr>
              <w:pStyle w:val="133"/>
            </w:pPr>
            <w:r>
              <w:t>污水处理污泥</w:t>
            </w:r>
          </w:p>
        </w:tc>
        <w:tc>
          <w:tcPr>
            <w:tcW w:w="500" w:type="pct"/>
            <w:vAlign w:val="center"/>
          </w:tcPr>
          <w:p w14:paraId="0068C5D8">
            <w:pPr>
              <w:pStyle w:val="133"/>
            </w:pPr>
            <w:r>
              <w:rPr>
                <w:rFonts w:hint="eastAsia"/>
              </w:rPr>
              <w:t>--</w:t>
            </w:r>
          </w:p>
        </w:tc>
        <w:tc>
          <w:tcPr>
            <w:tcW w:w="1500" w:type="pct"/>
            <w:vAlign w:val="center"/>
          </w:tcPr>
          <w:p w14:paraId="4E7AB11B">
            <w:pPr>
              <w:pStyle w:val="133"/>
            </w:pPr>
            <w:r>
              <w:t>HW11（252-010-11）</w:t>
            </w:r>
          </w:p>
        </w:tc>
        <w:tc>
          <w:tcPr>
            <w:tcW w:w="500" w:type="pct"/>
            <w:vAlign w:val="center"/>
          </w:tcPr>
          <w:p w14:paraId="53E93725">
            <w:pPr>
              <w:pStyle w:val="133"/>
            </w:pPr>
            <w:r>
              <w:t>固态</w:t>
            </w:r>
          </w:p>
        </w:tc>
        <w:tc>
          <w:tcPr>
            <w:tcW w:w="500" w:type="pct"/>
            <w:vAlign w:val="center"/>
          </w:tcPr>
          <w:p w14:paraId="34F5629B">
            <w:pPr>
              <w:pStyle w:val="133"/>
            </w:pPr>
            <w:r>
              <w:rPr>
                <w:rFonts w:hint="eastAsia"/>
              </w:rPr>
              <w:t>120</w:t>
            </w:r>
          </w:p>
        </w:tc>
        <w:tc>
          <w:tcPr>
            <w:tcW w:w="500" w:type="pct"/>
            <w:vAlign w:val="center"/>
          </w:tcPr>
          <w:p w14:paraId="44D497D2">
            <w:pPr>
              <w:pStyle w:val="133"/>
            </w:pPr>
            <w:r>
              <w:rPr>
                <w:rFonts w:hint="eastAsia"/>
              </w:rPr>
              <w:t>80%</w:t>
            </w:r>
          </w:p>
        </w:tc>
        <w:tc>
          <w:tcPr>
            <w:tcW w:w="1000" w:type="pct"/>
            <w:vMerge w:val="continue"/>
            <w:vAlign w:val="center"/>
          </w:tcPr>
          <w:p w14:paraId="2AD12004">
            <w:pPr>
              <w:pStyle w:val="133"/>
            </w:pPr>
          </w:p>
        </w:tc>
      </w:tr>
      <w:tr w14:paraId="26682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 w:type="pct"/>
            <w:vAlign w:val="center"/>
          </w:tcPr>
          <w:p w14:paraId="50DEF5EB">
            <w:pPr>
              <w:pStyle w:val="133"/>
            </w:pPr>
            <w:r>
              <w:t>脱硫废液</w:t>
            </w:r>
          </w:p>
        </w:tc>
        <w:tc>
          <w:tcPr>
            <w:tcW w:w="500" w:type="pct"/>
            <w:vAlign w:val="center"/>
          </w:tcPr>
          <w:p w14:paraId="148D11C3">
            <w:pPr>
              <w:pStyle w:val="133"/>
            </w:pPr>
            <w:r>
              <w:t>脱硫液</w:t>
            </w:r>
          </w:p>
        </w:tc>
        <w:tc>
          <w:tcPr>
            <w:tcW w:w="1500" w:type="pct"/>
            <w:vAlign w:val="center"/>
          </w:tcPr>
          <w:p w14:paraId="02EF3412">
            <w:pPr>
              <w:pStyle w:val="133"/>
            </w:pPr>
            <w:r>
              <w:t>HW11（252-013-11）</w:t>
            </w:r>
          </w:p>
        </w:tc>
        <w:tc>
          <w:tcPr>
            <w:tcW w:w="500" w:type="pct"/>
            <w:vAlign w:val="center"/>
          </w:tcPr>
          <w:p w14:paraId="2DAD3BEE">
            <w:pPr>
              <w:pStyle w:val="133"/>
            </w:pPr>
            <w:r>
              <w:rPr>
                <w:rFonts w:hint="eastAsia"/>
              </w:rPr>
              <w:t>液</w:t>
            </w:r>
            <w:r>
              <w:t>态</w:t>
            </w:r>
          </w:p>
        </w:tc>
        <w:tc>
          <w:tcPr>
            <w:tcW w:w="500" w:type="pct"/>
            <w:vAlign w:val="center"/>
          </w:tcPr>
          <w:p w14:paraId="69E0E570">
            <w:pPr>
              <w:pStyle w:val="133"/>
            </w:pPr>
            <w:r>
              <w:rPr>
                <w:rFonts w:hint="eastAsia"/>
              </w:rPr>
              <w:t>72</w:t>
            </w:r>
          </w:p>
        </w:tc>
        <w:tc>
          <w:tcPr>
            <w:tcW w:w="500" w:type="pct"/>
            <w:vAlign w:val="center"/>
          </w:tcPr>
          <w:p w14:paraId="73CEF192">
            <w:pPr>
              <w:pStyle w:val="133"/>
            </w:pPr>
            <w:r>
              <w:rPr>
                <w:rFonts w:hint="eastAsia"/>
              </w:rPr>
              <w:t>80%</w:t>
            </w:r>
          </w:p>
        </w:tc>
        <w:tc>
          <w:tcPr>
            <w:tcW w:w="1000" w:type="pct"/>
            <w:vMerge w:val="continue"/>
            <w:vAlign w:val="center"/>
          </w:tcPr>
          <w:p w14:paraId="65165FDA">
            <w:pPr>
              <w:pStyle w:val="133"/>
            </w:pPr>
          </w:p>
        </w:tc>
      </w:tr>
      <w:tr w14:paraId="4B8693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 w:type="pct"/>
            <w:vAlign w:val="center"/>
          </w:tcPr>
          <w:p w14:paraId="054A566C">
            <w:pPr>
              <w:pStyle w:val="133"/>
            </w:pPr>
            <w:r>
              <w:t>废润滑油</w:t>
            </w:r>
          </w:p>
        </w:tc>
        <w:tc>
          <w:tcPr>
            <w:tcW w:w="500" w:type="pct"/>
            <w:vAlign w:val="center"/>
          </w:tcPr>
          <w:p w14:paraId="0FE215C6">
            <w:pPr>
              <w:pStyle w:val="133"/>
            </w:pPr>
            <w:r>
              <w:t>矿物油</w:t>
            </w:r>
          </w:p>
        </w:tc>
        <w:tc>
          <w:tcPr>
            <w:tcW w:w="1500" w:type="pct"/>
            <w:vAlign w:val="center"/>
          </w:tcPr>
          <w:p w14:paraId="6F6A0AAB">
            <w:pPr>
              <w:pStyle w:val="133"/>
            </w:pPr>
            <w:r>
              <w:t>HW08（900-217-08）</w:t>
            </w:r>
          </w:p>
        </w:tc>
        <w:tc>
          <w:tcPr>
            <w:tcW w:w="500" w:type="pct"/>
            <w:vAlign w:val="center"/>
          </w:tcPr>
          <w:p w14:paraId="522835BC">
            <w:pPr>
              <w:pStyle w:val="133"/>
            </w:pPr>
            <w:r>
              <w:rPr>
                <w:rFonts w:hint="eastAsia"/>
              </w:rPr>
              <w:t>液</w:t>
            </w:r>
            <w:r>
              <w:t>态</w:t>
            </w:r>
          </w:p>
        </w:tc>
        <w:tc>
          <w:tcPr>
            <w:tcW w:w="500" w:type="pct"/>
            <w:vAlign w:val="center"/>
          </w:tcPr>
          <w:p w14:paraId="6BA251A0">
            <w:pPr>
              <w:pStyle w:val="133"/>
            </w:pPr>
            <w:r>
              <w:rPr>
                <w:rFonts w:hint="eastAsia"/>
              </w:rPr>
              <w:t>10</w:t>
            </w:r>
          </w:p>
        </w:tc>
        <w:tc>
          <w:tcPr>
            <w:tcW w:w="500" w:type="pct"/>
            <w:vAlign w:val="center"/>
          </w:tcPr>
          <w:p w14:paraId="4D224948">
            <w:pPr>
              <w:pStyle w:val="133"/>
            </w:pPr>
            <w:r>
              <w:rPr>
                <w:rFonts w:hint="eastAsia"/>
              </w:rPr>
              <w:t>/</w:t>
            </w:r>
          </w:p>
        </w:tc>
        <w:tc>
          <w:tcPr>
            <w:tcW w:w="1000" w:type="pct"/>
            <w:vAlign w:val="center"/>
          </w:tcPr>
          <w:p w14:paraId="37622733">
            <w:pPr>
              <w:pStyle w:val="133"/>
            </w:pPr>
            <w:r>
              <w:t>委托新疆凌志化工有限责任公司处置</w:t>
            </w:r>
          </w:p>
        </w:tc>
      </w:tr>
    </w:tbl>
    <w:p w14:paraId="04D212B7">
      <w:pPr>
        <w:pStyle w:val="133"/>
      </w:pPr>
    </w:p>
    <w:p w14:paraId="0A24BBB8">
      <w:pPr>
        <w:pStyle w:val="138"/>
        <w:rPr>
          <w:rFonts w:hint="eastAsia"/>
        </w:rPr>
      </w:pPr>
      <w:r>
        <w:t xml:space="preserve">噪声污染源分析 </w:t>
      </w:r>
    </w:p>
    <w:p w14:paraId="3E422F07">
      <w:pPr>
        <w:pStyle w:val="117"/>
        <w:ind w:firstLine="480"/>
      </w:pPr>
      <w:r>
        <w:t xml:space="preserve">本项目镁及镁合金生产线的主要噪声是破碎机、球磨机、压球机、扒渣机、液压挤镁机、连续铸锭机、风机、冷却塔、各类泵等生产设备产生的机械噪声，硅铁生产线的主要噪声是破碎机、冷却塔、引风机、风机、各类泵等生产设备产生的机械噪声，兰炭生产线及煤气发生炉的主要噪声有煤皮带机、振动筛、运输机、筛焦机、出焦机、各类风机等生产设备产生的机械噪声。 </w:t>
      </w:r>
    </w:p>
    <w:p w14:paraId="0C12E754">
      <w:pPr>
        <w:pStyle w:val="117"/>
        <w:ind w:firstLine="480"/>
      </w:pPr>
      <w:r>
        <w:t>除上述主要噪声源外，还有交通噪声，主要来自物料运输车辆产生的噪声。项目的主要噪声设备声压级见表2.</w:t>
      </w:r>
      <w:r>
        <w:rPr>
          <w:rFonts w:hint="eastAsia"/>
        </w:rPr>
        <w:t>2-11</w:t>
      </w:r>
      <w:r>
        <w:t xml:space="preserve">。 </w:t>
      </w:r>
    </w:p>
    <w:p w14:paraId="4C413571">
      <w:pPr>
        <w:pStyle w:val="118"/>
      </w:pPr>
      <w:r>
        <w:t>表2.</w:t>
      </w:r>
      <w:r>
        <w:rPr>
          <w:rFonts w:hint="eastAsia"/>
        </w:rPr>
        <w:t xml:space="preserve">2-11  </w:t>
      </w:r>
      <w:r>
        <w:t>项目噪声产生及治理情况</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59"/>
        <w:gridCol w:w="1860"/>
        <w:gridCol w:w="1861"/>
        <w:gridCol w:w="3725"/>
      </w:tblGrid>
      <w:tr w14:paraId="7BF767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Align w:val="center"/>
          </w:tcPr>
          <w:p w14:paraId="7CAC052A">
            <w:pPr>
              <w:pStyle w:val="133"/>
              <w:rPr>
                <w:b/>
                <w:bCs/>
              </w:rPr>
            </w:pPr>
            <w:r>
              <w:rPr>
                <w:rFonts w:hint="eastAsia"/>
                <w:b/>
                <w:bCs/>
              </w:rPr>
              <w:t>生产线</w:t>
            </w:r>
          </w:p>
        </w:tc>
        <w:tc>
          <w:tcPr>
            <w:tcW w:w="999" w:type="pct"/>
            <w:vAlign w:val="center"/>
          </w:tcPr>
          <w:p w14:paraId="6E4F29A5">
            <w:pPr>
              <w:pStyle w:val="133"/>
              <w:rPr>
                <w:b/>
                <w:bCs/>
              </w:rPr>
            </w:pPr>
            <w:r>
              <w:rPr>
                <w:rFonts w:hint="eastAsia"/>
                <w:b/>
                <w:bCs/>
              </w:rPr>
              <w:t>设备名称</w:t>
            </w:r>
          </w:p>
        </w:tc>
        <w:tc>
          <w:tcPr>
            <w:tcW w:w="1000" w:type="pct"/>
            <w:vAlign w:val="center"/>
          </w:tcPr>
          <w:p w14:paraId="6DFD95DA">
            <w:pPr>
              <w:pStyle w:val="133"/>
              <w:rPr>
                <w:b/>
                <w:bCs/>
              </w:rPr>
            </w:pPr>
            <w:r>
              <w:rPr>
                <w:b/>
                <w:bCs/>
              </w:rPr>
              <w:t>声级值dB（A</w:t>
            </w:r>
            <w:r>
              <w:rPr>
                <w:rFonts w:hint="eastAsia"/>
                <w:b/>
                <w:bCs/>
              </w:rPr>
              <w:t>）</w:t>
            </w:r>
          </w:p>
        </w:tc>
        <w:tc>
          <w:tcPr>
            <w:tcW w:w="2001" w:type="pct"/>
            <w:vAlign w:val="center"/>
          </w:tcPr>
          <w:p w14:paraId="346AB03A">
            <w:pPr>
              <w:pStyle w:val="133"/>
              <w:rPr>
                <w:b/>
                <w:bCs/>
              </w:rPr>
            </w:pPr>
            <w:r>
              <w:rPr>
                <w:rFonts w:hint="eastAsia"/>
                <w:b/>
                <w:bCs/>
              </w:rPr>
              <w:t>治理措施</w:t>
            </w:r>
          </w:p>
        </w:tc>
      </w:tr>
      <w:tr w14:paraId="11D687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restart"/>
            <w:vAlign w:val="center"/>
          </w:tcPr>
          <w:p w14:paraId="5D47AFF1">
            <w:pPr>
              <w:pStyle w:val="133"/>
            </w:pPr>
            <w:r>
              <w:t>镁及镁合金生产线</w:t>
            </w:r>
          </w:p>
        </w:tc>
        <w:tc>
          <w:tcPr>
            <w:tcW w:w="999" w:type="pct"/>
            <w:vAlign w:val="center"/>
          </w:tcPr>
          <w:p w14:paraId="22358765">
            <w:pPr>
              <w:pStyle w:val="133"/>
            </w:pPr>
            <w:r>
              <w:t>破碎机</w:t>
            </w:r>
          </w:p>
        </w:tc>
        <w:tc>
          <w:tcPr>
            <w:tcW w:w="1000" w:type="pct"/>
            <w:vAlign w:val="center"/>
          </w:tcPr>
          <w:p w14:paraId="7A97F52B">
            <w:pPr>
              <w:pStyle w:val="133"/>
            </w:pPr>
            <w:r>
              <w:rPr>
                <w:rFonts w:hint="eastAsia"/>
              </w:rPr>
              <w:t>85</w:t>
            </w:r>
          </w:p>
        </w:tc>
        <w:tc>
          <w:tcPr>
            <w:tcW w:w="2001" w:type="pct"/>
            <w:vAlign w:val="center"/>
          </w:tcPr>
          <w:p w14:paraId="32A57DC4">
            <w:pPr>
              <w:pStyle w:val="133"/>
            </w:pPr>
            <w:r>
              <w:t>厂房隔声、减震</w:t>
            </w:r>
          </w:p>
        </w:tc>
      </w:tr>
      <w:tr w14:paraId="3F6AD2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6E19BF72">
            <w:pPr>
              <w:pStyle w:val="133"/>
            </w:pPr>
          </w:p>
        </w:tc>
        <w:tc>
          <w:tcPr>
            <w:tcW w:w="999" w:type="pct"/>
            <w:vAlign w:val="center"/>
          </w:tcPr>
          <w:p w14:paraId="6CD27937">
            <w:pPr>
              <w:pStyle w:val="133"/>
            </w:pPr>
            <w:r>
              <w:t>球磨机</w:t>
            </w:r>
          </w:p>
        </w:tc>
        <w:tc>
          <w:tcPr>
            <w:tcW w:w="1000" w:type="pct"/>
            <w:vAlign w:val="center"/>
          </w:tcPr>
          <w:p w14:paraId="6181161C">
            <w:pPr>
              <w:pStyle w:val="133"/>
            </w:pPr>
            <w:r>
              <w:rPr>
                <w:rFonts w:hint="eastAsia"/>
              </w:rPr>
              <w:t>75</w:t>
            </w:r>
          </w:p>
        </w:tc>
        <w:tc>
          <w:tcPr>
            <w:tcW w:w="2001" w:type="pct"/>
            <w:vAlign w:val="center"/>
          </w:tcPr>
          <w:p w14:paraId="303A1600">
            <w:pPr>
              <w:pStyle w:val="133"/>
            </w:pPr>
            <w:r>
              <w:t>厂房隔声、减震</w:t>
            </w:r>
          </w:p>
        </w:tc>
      </w:tr>
      <w:tr w14:paraId="10336B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0009CEBD">
            <w:pPr>
              <w:pStyle w:val="133"/>
            </w:pPr>
          </w:p>
        </w:tc>
        <w:tc>
          <w:tcPr>
            <w:tcW w:w="999" w:type="pct"/>
            <w:vAlign w:val="center"/>
          </w:tcPr>
          <w:p w14:paraId="134CE61B">
            <w:pPr>
              <w:pStyle w:val="133"/>
            </w:pPr>
            <w:r>
              <w:t>压球机</w:t>
            </w:r>
          </w:p>
        </w:tc>
        <w:tc>
          <w:tcPr>
            <w:tcW w:w="1000" w:type="pct"/>
            <w:vAlign w:val="center"/>
          </w:tcPr>
          <w:p w14:paraId="08244B31">
            <w:pPr>
              <w:pStyle w:val="133"/>
            </w:pPr>
            <w:r>
              <w:rPr>
                <w:rFonts w:hint="eastAsia"/>
              </w:rPr>
              <w:t>75</w:t>
            </w:r>
          </w:p>
        </w:tc>
        <w:tc>
          <w:tcPr>
            <w:tcW w:w="2001" w:type="pct"/>
            <w:vAlign w:val="center"/>
          </w:tcPr>
          <w:p w14:paraId="73654C77">
            <w:pPr>
              <w:pStyle w:val="133"/>
            </w:pPr>
            <w:r>
              <w:t>厂房隔声、减震</w:t>
            </w:r>
          </w:p>
        </w:tc>
      </w:tr>
      <w:tr w14:paraId="3D0B8F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1FB6E2FB">
            <w:pPr>
              <w:pStyle w:val="133"/>
            </w:pPr>
          </w:p>
        </w:tc>
        <w:tc>
          <w:tcPr>
            <w:tcW w:w="999" w:type="pct"/>
            <w:vAlign w:val="center"/>
          </w:tcPr>
          <w:p w14:paraId="462E78D2">
            <w:pPr>
              <w:pStyle w:val="133"/>
            </w:pPr>
            <w:r>
              <w:t>扒渣机</w:t>
            </w:r>
          </w:p>
        </w:tc>
        <w:tc>
          <w:tcPr>
            <w:tcW w:w="1000" w:type="pct"/>
            <w:vAlign w:val="center"/>
          </w:tcPr>
          <w:p w14:paraId="7FDDEE9F">
            <w:pPr>
              <w:pStyle w:val="133"/>
            </w:pPr>
            <w:r>
              <w:rPr>
                <w:rFonts w:hint="eastAsia"/>
              </w:rPr>
              <w:t>80</w:t>
            </w:r>
          </w:p>
        </w:tc>
        <w:tc>
          <w:tcPr>
            <w:tcW w:w="2001" w:type="pct"/>
            <w:vAlign w:val="center"/>
          </w:tcPr>
          <w:p w14:paraId="00183DE8">
            <w:pPr>
              <w:pStyle w:val="133"/>
            </w:pPr>
            <w:r>
              <w:t>厂房隔声、减震</w:t>
            </w:r>
          </w:p>
        </w:tc>
      </w:tr>
      <w:tr w14:paraId="1AE50D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7F882226">
            <w:pPr>
              <w:pStyle w:val="133"/>
            </w:pPr>
          </w:p>
        </w:tc>
        <w:tc>
          <w:tcPr>
            <w:tcW w:w="999" w:type="pct"/>
            <w:vAlign w:val="center"/>
          </w:tcPr>
          <w:p w14:paraId="24931633">
            <w:pPr>
              <w:pStyle w:val="133"/>
            </w:pPr>
            <w:r>
              <w:t>液压挤镁机</w:t>
            </w:r>
          </w:p>
        </w:tc>
        <w:tc>
          <w:tcPr>
            <w:tcW w:w="1000" w:type="pct"/>
            <w:vAlign w:val="center"/>
          </w:tcPr>
          <w:p w14:paraId="39C768E3">
            <w:pPr>
              <w:pStyle w:val="133"/>
            </w:pPr>
            <w:r>
              <w:rPr>
                <w:rFonts w:hint="eastAsia"/>
              </w:rPr>
              <w:t>80</w:t>
            </w:r>
          </w:p>
        </w:tc>
        <w:tc>
          <w:tcPr>
            <w:tcW w:w="2001" w:type="pct"/>
            <w:vAlign w:val="center"/>
          </w:tcPr>
          <w:p w14:paraId="320F9572">
            <w:pPr>
              <w:pStyle w:val="133"/>
            </w:pPr>
            <w:r>
              <w:t>厂房隔声、减震</w:t>
            </w:r>
          </w:p>
        </w:tc>
      </w:tr>
      <w:tr w14:paraId="27C2C3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6034A4B7">
            <w:pPr>
              <w:pStyle w:val="133"/>
            </w:pPr>
          </w:p>
        </w:tc>
        <w:tc>
          <w:tcPr>
            <w:tcW w:w="999" w:type="pct"/>
            <w:vAlign w:val="center"/>
          </w:tcPr>
          <w:p w14:paraId="5E9FED80">
            <w:pPr>
              <w:pStyle w:val="133"/>
            </w:pPr>
            <w:r>
              <w:t>连续铸锭机</w:t>
            </w:r>
          </w:p>
        </w:tc>
        <w:tc>
          <w:tcPr>
            <w:tcW w:w="1000" w:type="pct"/>
            <w:vAlign w:val="center"/>
          </w:tcPr>
          <w:p w14:paraId="38672C5B">
            <w:pPr>
              <w:pStyle w:val="133"/>
            </w:pPr>
            <w:r>
              <w:rPr>
                <w:rFonts w:hint="eastAsia"/>
              </w:rPr>
              <w:t>80</w:t>
            </w:r>
          </w:p>
        </w:tc>
        <w:tc>
          <w:tcPr>
            <w:tcW w:w="2001" w:type="pct"/>
            <w:vAlign w:val="center"/>
          </w:tcPr>
          <w:p w14:paraId="691D6544">
            <w:pPr>
              <w:pStyle w:val="133"/>
            </w:pPr>
            <w:r>
              <w:t>采取减振、隔声等措施</w:t>
            </w:r>
          </w:p>
        </w:tc>
      </w:tr>
      <w:tr w14:paraId="5EBFC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75C3E81A">
            <w:pPr>
              <w:pStyle w:val="133"/>
            </w:pPr>
          </w:p>
        </w:tc>
        <w:tc>
          <w:tcPr>
            <w:tcW w:w="999" w:type="pct"/>
            <w:vAlign w:val="center"/>
          </w:tcPr>
          <w:p w14:paraId="77AC32F7">
            <w:pPr>
              <w:pStyle w:val="133"/>
            </w:pPr>
            <w:r>
              <w:t>风机</w:t>
            </w:r>
          </w:p>
        </w:tc>
        <w:tc>
          <w:tcPr>
            <w:tcW w:w="1000" w:type="pct"/>
            <w:vAlign w:val="center"/>
          </w:tcPr>
          <w:p w14:paraId="242C21F2">
            <w:pPr>
              <w:pStyle w:val="133"/>
            </w:pPr>
            <w:r>
              <w:rPr>
                <w:rFonts w:hint="eastAsia"/>
              </w:rPr>
              <w:t>80</w:t>
            </w:r>
          </w:p>
        </w:tc>
        <w:tc>
          <w:tcPr>
            <w:tcW w:w="2001" w:type="pct"/>
            <w:vAlign w:val="center"/>
          </w:tcPr>
          <w:p w14:paraId="4C1F1043">
            <w:pPr>
              <w:pStyle w:val="133"/>
            </w:pPr>
            <w:r>
              <w:t>采取消声、减振、隔声等措施</w:t>
            </w:r>
          </w:p>
        </w:tc>
      </w:tr>
      <w:tr w14:paraId="43883F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7D7E22B6">
            <w:pPr>
              <w:pStyle w:val="133"/>
            </w:pPr>
          </w:p>
        </w:tc>
        <w:tc>
          <w:tcPr>
            <w:tcW w:w="999" w:type="pct"/>
            <w:vAlign w:val="center"/>
          </w:tcPr>
          <w:p w14:paraId="6B06ACFB">
            <w:pPr>
              <w:pStyle w:val="133"/>
            </w:pPr>
            <w:r>
              <w:t>冷却塔</w:t>
            </w:r>
          </w:p>
        </w:tc>
        <w:tc>
          <w:tcPr>
            <w:tcW w:w="1000" w:type="pct"/>
            <w:vAlign w:val="center"/>
          </w:tcPr>
          <w:p w14:paraId="7A27059A">
            <w:pPr>
              <w:pStyle w:val="133"/>
            </w:pPr>
            <w:r>
              <w:rPr>
                <w:rFonts w:hint="eastAsia"/>
              </w:rPr>
              <w:t>85</w:t>
            </w:r>
          </w:p>
        </w:tc>
        <w:tc>
          <w:tcPr>
            <w:tcW w:w="2001" w:type="pct"/>
            <w:vAlign w:val="center"/>
          </w:tcPr>
          <w:p w14:paraId="460EDEDB">
            <w:pPr>
              <w:pStyle w:val="133"/>
            </w:pPr>
            <w:r>
              <w:t>采取减振、隔声等措施</w:t>
            </w:r>
          </w:p>
        </w:tc>
      </w:tr>
      <w:tr w14:paraId="57CB7E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5CF5A6C3">
            <w:pPr>
              <w:pStyle w:val="133"/>
            </w:pPr>
          </w:p>
        </w:tc>
        <w:tc>
          <w:tcPr>
            <w:tcW w:w="999" w:type="pct"/>
            <w:vAlign w:val="center"/>
          </w:tcPr>
          <w:p w14:paraId="570B7E33">
            <w:pPr>
              <w:pStyle w:val="133"/>
            </w:pPr>
            <w:r>
              <w:rPr>
                <w:rFonts w:hint="eastAsia"/>
              </w:rPr>
              <w:t>泵</w:t>
            </w:r>
          </w:p>
        </w:tc>
        <w:tc>
          <w:tcPr>
            <w:tcW w:w="1000" w:type="pct"/>
            <w:vAlign w:val="center"/>
          </w:tcPr>
          <w:p w14:paraId="6EF551ED">
            <w:pPr>
              <w:pStyle w:val="133"/>
            </w:pPr>
            <w:r>
              <w:rPr>
                <w:rFonts w:hint="eastAsia"/>
              </w:rPr>
              <w:t>80</w:t>
            </w:r>
          </w:p>
        </w:tc>
        <w:tc>
          <w:tcPr>
            <w:tcW w:w="2001" w:type="pct"/>
            <w:vAlign w:val="center"/>
          </w:tcPr>
          <w:p w14:paraId="5454E469">
            <w:pPr>
              <w:pStyle w:val="133"/>
            </w:pPr>
            <w:r>
              <w:t>设专门泵房，采取减振、隔声、消声等措施</w:t>
            </w:r>
          </w:p>
        </w:tc>
      </w:tr>
      <w:tr w14:paraId="3BA351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restart"/>
            <w:vAlign w:val="center"/>
          </w:tcPr>
          <w:p w14:paraId="34D29602">
            <w:pPr>
              <w:pStyle w:val="133"/>
            </w:pPr>
            <w:r>
              <w:t>兰炭生产线及煤气发生炉</w:t>
            </w:r>
          </w:p>
        </w:tc>
        <w:tc>
          <w:tcPr>
            <w:tcW w:w="999" w:type="pct"/>
            <w:vAlign w:val="center"/>
          </w:tcPr>
          <w:p w14:paraId="0DD1A11F">
            <w:pPr>
              <w:pStyle w:val="133"/>
            </w:pPr>
            <w:r>
              <w:t>煤皮带机</w:t>
            </w:r>
          </w:p>
        </w:tc>
        <w:tc>
          <w:tcPr>
            <w:tcW w:w="1000" w:type="pct"/>
            <w:vAlign w:val="center"/>
          </w:tcPr>
          <w:p w14:paraId="3E1EE64C">
            <w:pPr>
              <w:pStyle w:val="133"/>
            </w:pPr>
            <w:r>
              <w:rPr>
                <w:rFonts w:hint="eastAsia"/>
              </w:rPr>
              <w:t>75</w:t>
            </w:r>
          </w:p>
        </w:tc>
        <w:tc>
          <w:tcPr>
            <w:tcW w:w="2001" w:type="pct"/>
            <w:vAlign w:val="center"/>
          </w:tcPr>
          <w:p w14:paraId="4275C8C0">
            <w:pPr>
              <w:pStyle w:val="133"/>
            </w:pPr>
            <w:r>
              <w:t>厂房隔声等措施</w:t>
            </w:r>
          </w:p>
        </w:tc>
      </w:tr>
      <w:tr w14:paraId="667550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036B4D1B">
            <w:pPr>
              <w:pStyle w:val="133"/>
            </w:pPr>
          </w:p>
        </w:tc>
        <w:tc>
          <w:tcPr>
            <w:tcW w:w="999" w:type="pct"/>
            <w:vAlign w:val="center"/>
          </w:tcPr>
          <w:p w14:paraId="4679C58C">
            <w:pPr>
              <w:pStyle w:val="133"/>
            </w:pPr>
            <w:r>
              <w:t>振动筛</w:t>
            </w:r>
          </w:p>
        </w:tc>
        <w:tc>
          <w:tcPr>
            <w:tcW w:w="1000" w:type="pct"/>
            <w:vAlign w:val="center"/>
          </w:tcPr>
          <w:p w14:paraId="489C634D">
            <w:pPr>
              <w:pStyle w:val="133"/>
            </w:pPr>
            <w:r>
              <w:rPr>
                <w:rFonts w:hint="eastAsia"/>
              </w:rPr>
              <w:t>80</w:t>
            </w:r>
          </w:p>
        </w:tc>
        <w:tc>
          <w:tcPr>
            <w:tcW w:w="2001" w:type="pct"/>
            <w:vAlign w:val="center"/>
          </w:tcPr>
          <w:p w14:paraId="329A59D7">
            <w:pPr>
              <w:pStyle w:val="133"/>
            </w:pPr>
            <w:r>
              <w:t>设专门筛煤楼，减振、厂房隔声等措施</w:t>
            </w:r>
          </w:p>
        </w:tc>
      </w:tr>
      <w:tr w14:paraId="34B124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3DAE099C">
            <w:pPr>
              <w:pStyle w:val="133"/>
            </w:pPr>
          </w:p>
        </w:tc>
        <w:tc>
          <w:tcPr>
            <w:tcW w:w="999" w:type="pct"/>
            <w:vAlign w:val="center"/>
          </w:tcPr>
          <w:p w14:paraId="58B36F07">
            <w:pPr>
              <w:pStyle w:val="133"/>
            </w:pPr>
            <w:r>
              <w:t>皮带运输机</w:t>
            </w:r>
          </w:p>
        </w:tc>
        <w:tc>
          <w:tcPr>
            <w:tcW w:w="1000" w:type="pct"/>
            <w:vAlign w:val="center"/>
          </w:tcPr>
          <w:p w14:paraId="76B732B6">
            <w:pPr>
              <w:pStyle w:val="133"/>
            </w:pPr>
            <w:r>
              <w:rPr>
                <w:rFonts w:hint="eastAsia"/>
              </w:rPr>
              <w:t>80</w:t>
            </w:r>
          </w:p>
        </w:tc>
        <w:tc>
          <w:tcPr>
            <w:tcW w:w="2001" w:type="pct"/>
            <w:vAlign w:val="center"/>
          </w:tcPr>
          <w:p w14:paraId="6D2161C8">
            <w:pPr>
              <w:pStyle w:val="133"/>
            </w:pPr>
            <w:r>
              <w:t>采取减振、厂房隔声等措施</w:t>
            </w:r>
          </w:p>
        </w:tc>
      </w:tr>
      <w:tr w14:paraId="3B43FC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0AD6E86B">
            <w:pPr>
              <w:pStyle w:val="133"/>
            </w:pPr>
          </w:p>
        </w:tc>
        <w:tc>
          <w:tcPr>
            <w:tcW w:w="999" w:type="pct"/>
            <w:vAlign w:val="center"/>
          </w:tcPr>
          <w:p w14:paraId="719EFFA0">
            <w:pPr>
              <w:pStyle w:val="133"/>
            </w:pPr>
            <w:r>
              <w:t>卸料车</w:t>
            </w:r>
          </w:p>
        </w:tc>
        <w:tc>
          <w:tcPr>
            <w:tcW w:w="1000" w:type="pct"/>
            <w:vAlign w:val="center"/>
          </w:tcPr>
          <w:p w14:paraId="7BC18426">
            <w:pPr>
              <w:pStyle w:val="133"/>
            </w:pPr>
            <w:r>
              <w:rPr>
                <w:rFonts w:hint="eastAsia"/>
              </w:rPr>
              <w:t>80</w:t>
            </w:r>
          </w:p>
        </w:tc>
        <w:tc>
          <w:tcPr>
            <w:tcW w:w="2001" w:type="pct"/>
            <w:vAlign w:val="center"/>
          </w:tcPr>
          <w:p w14:paraId="49F79CB7">
            <w:pPr>
              <w:pStyle w:val="133"/>
            </w:pPr>
            <w:r>
              <w:t>采取减振、厂房隔声等措施</w:t>
            </w:r>
          </w:p>
        </w:tc>
      </w:tr>
      <w:tr w14:paraId="1D4725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3A3AF3E0">
            <w:pPr>
              <w:pStyle w:val="133"/>
            </w:pPr>
          </w:p>
        </w:tc>
        <w:tc>
          <w:tcPr>
            <w:tcW w:w="999" w:type="pct"/>
            <w:vAlign w:val="center"/>
          </w:tcPr>
          <w:p w14:paraId="02AA9A64">
            <w:pPr>
              <w:pStyle w:val="133"/>
            </w:pPr>
            <w:r>
              <w:t>推焦机</w:t>
            </w:r>
          </w:p>
        </w:tc>
        <w:tc>
          <w:tcPr>
            <w:tcW w:w="1000" w:type="pct"/>
            <w:vAlign w:val="center"/>
          </w:tcPr>
          <w:p w14:paraId="65F1A2C7">
            <w:pPr>
              <w:pStyle w:val="133"/>
            </w:pPr>
            <w:r>
              <w:rPr>
                <w:rFonts w:hint="eastAsia"/>
              </w:rPr>
              <w:t>80</w:t>
            </w:r>
          </w:p>
        </w:tc>
        <w:tc>
          <w:tcPr>
            <w:tcW w:w="2001" w:type="pct"/>
            <w:vAlign w:val="center"/>
          </w:tcPr>
          <w:p w14:paraId="01FE8BD5">
            <w:pPr>
              <w:pStyle w:val="133"/>
            </w:pPr>
            <w:r>
              <w:t>采取减振、厂房隔声等措施</w:t>
            </w:r>
          </w:p>
        </w:tc>
      </w:tr>
      <w:tr w14:paraId="43A337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4D6ADF8F">
            <w:pPr>
              <w:pStyle w:val="133"/>
            </w:pPr>
          </w:p>
        </w:tc>
        <w:tc>
          <w:tcPr>
            <w:tcW w:w="999" w:type="pct"/>
            <w:vAlign w:val="center"/>
          </w:tcPr>
          <w:p w14:paraId="180F4D1D">
            <w:pPr>
              <w:pStyle w:val="133"/>
            </w:pPr>
            <w:r>
              <w:t>筛焦机</w:t>
            </w:r>
          </w:p>
        </w:tc>
        <w:tc>
          <w:tcPr>
            <w:tcW w:w="1000" w:type="pct"/>
            <w:vAlign w:val="center"/>
          </w:tcPr>
          <w:p w14:paraId="1E0E150C">
            <w:pPr>
              <w:pStyle w:val="133"/>
            </w:pPr>
            <w:r>
              <w:rPr>
                <w:rFonts w:hint="eastAsia"/>
              </w:rPr>
              <w:t>85</w:t>
            </w:r>
          </w:p>
        </w:tc>
        <w:tc>
          <w:tcPr>
            <w:tcW w:w="2001" w:type="pct"/>
            <w:vAlign w:val="center"/>
          </w:tcPr>
          <w:p w14:paraId="1D4A3A17">
            <w:pPr>
              <w:pStyle w:val="133"/>
            </w:pPr>
            <w:r>
              <w:t>设专门筛焦楼，减振、厂房隔声等措施</w:t>
            </w:r>
          </w:p>
        </w:tc>
      </w:tr>
      <w:tr w14:paraId="603D11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restart"/>
            <w:vAlign w:val="center"/>
          </w:tcPr>
          <w:p w14:paraId="67A1B80C">
            <w:pPr>
              <w:pStyle w:val="133"/>
            </w:pPr>
            <w:r>
              <w:t>硅铁生产线</w:t>
            </w:r>
          </w:p>
        </w:tc>
        <w:tc>
          <w:tcPr>
            <w:tcW w:w="999" w:type="pct"/>
            <w:vAlign w:val="center"/>
          </w:tcPr>
          <w:p w14:paraId="421EA41D">
            <w:pPr>
              <w:pStyle w:val="133"/>
            </w:pPr>
            <w:r>
              <w:t>引风机</w:t>
            </w:r>
          </w:p>
        </w:tc>
        <w:tc>
          <w:tcPr>
            <w:tcW w:w="1000" w:type="pct"/>
            <w:vAlign w:val="center"/>
          </w:tcPr>
          <w:p w14:paraId="2C8ABAC3">
            <w:pPr>
              <w:pStyle w:val="133"/>
            </w:pPr>
            <w:r>
              <w:rPr>
                <w:rFonts w:hint="eastAsia"/>
              </w:rPr>
              <w:t>87</w:t>
            </w:r>
          </w:p>
        </w:tc>
        <w:tc>
          <w:tcPr>
            <w:tcW w:w="2001" w:type="pct"/>
            <w:vAlign w:val="center"/>
          </w:tcPr>
          <w:p w14:paraId="612B9697">
            <w:pPr>
              <w:pStyle w:val="133"/>
            </w:pPr>
            <w:r>
              <w:t>采取减振、厂房隔声等措施</w:t>
            </w:r>
          </w:p>
        </w:tc>
      </w:tr>
      <w:tr w14:paraId="720C60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21C98C0C">
            <w:pPr>
              <w:pStyle w:val="133"/>
            </w:pPr>
          </w:p>
        </w:tc>
        <w:tc>
          <w:tcPr>
            <w:tcW w:w="999" w:type="pct"/>
            <w:vAlign w:val="center"/>
          </w:tcPr>
          <w:p w14:paraId="4C0E7CE1">
            <w:pPr>
              <w:pStyle w:val="133"/>
            </w:pPr>
            <w:r>
              <w:t>冷却塔</w:t>
            </w:r>
          </w:p>
        </w:tc>
        <w:tc>
          <w:tcPr>
            <w:tcW w:w="1000" w:type="pct"/>
            <w:vAlign w:val="center"/>
          </w:tcPr>
          <w:p w14:paraId="62D99961">
            <w:pPr>
              <w:pStyle w:val="133"/>
            </w:pPr>
            <w:r>
              <w:rPr>
                <w:rFonts w:hint="eastAsia"/>
              </w:rPr>
              <w:t>77</w:t>
            </w:r>
          </w:p>
        </w:tc>
        <w:tc>
          <w:tcPr>
            <w:tcW w:w="2001" w:type="pct"/>
            <w:vAlign w:val="center"/>
          </w:tcPr>
          <w:p w14:paraId="50DE0FAE">
            <w:pPr>
              <w:pStyle w:val="133"/>
            </w:pPr>
            <w:r>
              <w:t>采取减振、厂房隔声等措施</w:t>
            </w:r>
          </w:p>
        </w:tc>
      </w:tr>
      <w:tr w14:paraId="2FFCF2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5FD36422">
            <w:pPr>
              <w:pStyle w:val="133"/>
            </w:pPr>
          </w:p>
        </w:tc>
        <w:tc>
          <w:tcPr>
            <w:tcW w:w="999" w:type="pct"/>
            <w:vAlign w:val="center"/>
          </w:tcPr>
          <w:p w14:paraId="4BB563DD">
            <w:pPr>
              <w:pStyle w:val="133"/>
            </w:pPr>
            <w:r>
              <w:t>破碎机</w:t>
            </w:r>
          </w:p>
        </w:tc>
        <w:tc>
          <w:tcPr>
            <w:tcW w:w="1000" w:type="pct"/>
            <w:vAlign w:val="center"/>
          </w:tcPr>
          <w:p w14:paraId="08C4E443">
            <w:pPr>
              <w:pStyle w:val="133"/>
            </w:pPr>
            <w:r>
              <w:rPr>
                <w:rFonts w:hint="eastAsia"/>
              </w:rPr>
              <w:t>75</w:t>
            </w:r>
          </w:p>
        </w:tc>
        <w:tc>
          <w:tcPr>
            <w:tcW w:w="2001" w:type="pct"/>
            <w:vAlign w:val="center"/>
          </w:tcPr>
          <w:p w14:paraId="0475A30E">
            <w:pPr>
              <w:pStyle w:val="133"/>
            </w:pPr>
            <w:r>
              <w:t>采取减振、厂房隔声等措施</w:t>
            </w:r>
          </w:p>
        </w:tc>
      </w:tr>
      <w:tr w14:paraId="0401B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9" w:type="pct"/>
            <w:vMerge w:val="continue"/>
            <w:vAlign w:val="center"/>
          </w:tcPr>
          <w:p w14:paraId="15FD79D4">
            <w:pPr>
              <w:pStyle w:val="133"/>
            </w:pPr>
          </w:p>
        </w:tc>
        <w:tc>
          <w:tcPr>
            <w:tcW w:w="999" w:type="pct"/>
            <w:vAlign w:val="center"/>
          </w:tcPr>
          <w:p w14:paraId="38376B52">
            <w:pPr>
              <w:pStyle w:val="133"/>
            </w:pPr>
            <w:r>
              <w:t>风机</w:t>
            </w:r>
          </w:p>
        </w:tc>
        <w:tc>
          <w:tcPr>
            <w:tcW w:w="1000" w:type="pct"/>
            <w:vAlign w:val="center"/>
          </w:tcPr>
          <w:p w14:paraId="411CF032">
            <w:pPr>
              <w:pStyle w:val="133"/>
            </w:pPr>
            <w:r>
              <w:rPr>
                <w:rFonts w:hint="eastAsia"/>
              </w:rPr>
              <w:t>90</w:t>
            </w:r>
          </w:p>
        </w:tc>
        <w:tc>
          <w:tcPr>
            <w:tcW w:w="2001" w:type="pct"/>
            <w:vAlign w:val="center"/>
          </w:tcPr>
          <w:p w14:paraId="0E378BFA">
            <w:pPr>
              <w:pStyle w:val="133"/>
            </w:pPr>
            <w:r>
              <w:t>采取减振、厂房隔声等措施</w:t>
            </w:r>
          </w:p>
        </w:tc>
      </w:tr>
    </w:tbl>
    <w:p w14:paraId="5129FEDD">
      <w:pPr>
        <w:pStyle w:val="133"/>
      </w:pPr>
      <w:bookmarkStart w:id="223" w:name="_Toc162332057"/>
      <w:bookmarkStart w:id="224" w:name="_Toc5306"/>
    </w:p>
    <w:p w14:paraId="5323465E">
      <w:pPr>
        <w:pStyle w:val="117"/>
        <w:ind w:firstLine="480"/>
      </w:pPr>
      <w:r>
        <w:rPr>
          <w:rFonts w:hint="eastAsia"/>
        </w:rPr>
        <w:t>（3）</w:t>
      </w:r>
      <w:r>
        <w:t>噪声</w:t>
      </w:r>
      <w:bookmarkEnd w:id="223"/>
      <w:bookmarkEnd w:id="224"/>
    </w:p>
    <w:p w14:paraId="0B4F5513">
      <w:pPr>
        <w:pStyle w:val="117"/>
        <w:ind w:firstLine="480"/>
      </w:pPr>
      <w:r>
        <w:rPr>
          <w:rFonts w:hint="eastAsia"/>
        </w:rPr>
        <w:t>本项目噪声源主要是机械设备。</w:t>
      </w:r>
    </w:p>
    <w:p w14:paraId="7D7F73F8">
      <w:pPr>
        <w:pStyle w:val="117"/>
        <w:ind w:firstLine="480"/>
      </w:pPr>
      <w:r>
        <w:rPr>
          <w:rFonts w:hint="eastAsia"/>
        </w:rPr>
        <w:t>一期工程主要噪声源产生环节及治理措施，见表2</w:t>
      </w:r>
      <w:r>
        <w:t>.</w:t>
      </w:r>
      <w:r>
        <w:rPr>
          <w:rFonts w:hint="eastAsia"/>
        </w:rPr>
        <w:t>2-12。</w:t>
      </w:r>
    </w:p>
    <w:p w14:paraId="1D90E888">
      <w:pPr>
        <w:pStyle w:val="118"/>
      </w:pPr>
      <w:r>
        <w:t>表</w:t>
      </w:r>
      <w:r>
        <w:rPr>
          <w:rFonts w:hint="eastAsia"/>
        </w:rPr>
        <w:t>2</w:t>
      </w:r>
      <w:r>
        <w:t>.</w:t>
      </w:r>
      <w:r>
        <w:rPr>
          <w:rFonts w:hint="eastAsia"/>
        </w:rPr>
        <w:t>2-12</w:t>
      </w:r>
      <w:r>
        <w:t xml:space="preserve">  </w:t>
      </w:r>
      <w:r>
        <w:rPr>
          <w:rFonts w:hint="eastAsia"/>
        </w:rPr>
        <w:t>一期工程</w:t>
      </w:r>
      <w:r>
        <w:t>主要噪声源</w:t>
      </w:r>
      <w:r>
        <w:rPr>
          <w:rFonts w:hint="eastAsia"/>
        </w:rPr>
        <w:t>产污环节</w:t>
      </w:r>
      <w:r>
        <w:t>及治理措施一览表</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08"/>
        <w:gridCol w:w="2904"/>
        <w:gridCol w:w="3587"/>
      </w:tblGrid>
      <w:tr w14:paraId="0355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33" w:type="pct"/>
            <w:vAlign w:val="center"/>
          </w:tcPr>
          <w:p w14:paraId="5B357190">
            <w:pPr>
              <w:pStyle w:val="133"/>
              <w:rPr>
                <w:b/>
                <w:bCs/>
              </w:rPr>
            </w:pPr>
            <w:bookmarkStart w:id="225" w:name="_Toc162332058"/>
            <w:r>
              <w:rPr>
                <w:rFonts w:hint="eastAsia"/>
                <w:b/>
                <w:bCs/>
              </w:rPr>
              <w:t>产污环节</w:t>
            </w:r>
          </w:p>
        </w:tc>
        <w:tc>
          <w:tcPr>
            <w:tcW w:w="1596" w:type="pct"/>
            <w:vAlign w:val="center"/>
          </w:tcPr>
          <w:p w14:paraId="2C527815">
            <w:pPr>
              <w:pStyle w:val="133"/>
              <w:rPr>
                <w:b/>
                <w:bCs/>
              </w:rPr>
            </w:pPr>
            <w:r>
              <w:rPr>
                <w:b/>
                <w:bCs/>
              </w:rPr>
              <w:t>声源名称</w:t>
            </w:r>
          </w:p>
        </w:tc>
        <w:tc>
          <w:tcPr>
            <w:tcW w:w="1971" w:type="pct"/>
            <w:vAlign w:val="center"/>
          </w:tcPr>
          <w:p w14:paraId="72D57E24">
            <w:pPr>
              <w:pStyle w:val="133"/>
              <w:rPr>
                <w:b/>
                <w:bCs/>
              </w:rPr>
            </w:pPr>
            <w:r>
              <w:rPr>
                <w:b/>
                <w:bCs/>
              </w:rPr>
              <w:t>治理措施</w:t>
            </w:r>
          </w:p>
        </w:tc>
      </w:tr>
      <w:tr w14:paraId="6056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33" w:type="pct"/>
            <w:vMerge w:val="restart"/>
            <w:vAlign w:val="center"/>
          </w:tcPr>
          <w:p w14:paraId="71EC430C">
            <w:pPr>
              <w:pStyle w:val="133"/>
            </w:pPr>
            <w:r>
              <w:t>备煤工段</w:t>
            </w:r>
          </w:p>
        </w:tc>
        <w:tc>
          <w:tcPr>
            <w:tcW w:w="1596" w:type="pct"/>
            <w:vAlign w:val="center"/>
          </w:tcPr>
          <w:p w14:paraId="0FD50C6A">
            <w:pPr>
              <w:pStyle w:val="133"/>
            </w:pPr>
            <w:r>
              <w:t>振动筛</w:t>
            </w:r>
          </w:p>
        </w:tc>
        <w:tc>
          <w:tcPr>
            <w:tcW w:w="1971" w:type="pct"/>
            <w:vAlign w:val="center"/>
          </w:tcPr>
          <w:p w14:paraId="7B49FC05">
            <w:pPr>
              <w:pStyle w:val="133"/>
            </w:pPr>
            <w:r>
              <w:rPr>
                <w:rFonts w:hint="eastAsia"/>
              </w:rPr>
              <w:t>隔声、减振</w:t>
            </w:r>
          </w:p>
        </w:tc>
      </w:tr>
      <w:tr w14:paraId="2955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33" w:type="pct"/>
            <w:vMerge w:val="continue"/>
            <w:vAlign w:val="center"/>
          </w:tcPr>
          <w:p w14:paraId="6A6A0514">
            <w:pPr>
              <w:pStyle w:val="133"/>
            </w:pPr>
          </w:p>
        </w:tc>
        <w:tc>
          <w:tcPr>
            <w:tcW w:w="1596" w:type="pct"/>
            <w:vAlign w:val="center"/>
          </w:tcPr>
          <w:p w14:paraId="0051D0B2">
            <w:pPr>
              <w:pStyle w:val="133"/>
            </w:pPr>
            <w:r>
              <w:t>胶带传送机</w:t>
            </w:r>
          </w:p>
        </w:tc>
        <w:tc>
          <w:tcPr>
            <w:tcW w:w="1971" w:type="pct"/>
            <w:vAlign w:val="center"/>
          </w:tcPr>
          <w:p w14:paraId="5DBFFCE0">
            <w:pPr>
              <w:pStyle w:val="133"/>
            </w:pPr>
            <w:r>
              <w:t>密闭廊声隔声</w:t>
            </w:r>
          </w:p>
        </w:tc>
      </w:tr>
      <w:tr w14:paraId="0604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33" w:type="pct"/>
            <w:vAlign w:val="center"/>
          </w:tcPr>
          <w:p w14:paraId="3F710CF0">
            <w:pPr>
              <w:pStyle w:val="133"/>
            </w:pPr>
            <w:r>
              <w:t>筛焦单元</w:t>
            </w:r>
          </w:p>
        </w:tc>
        <w:tc>
          <w:tcPr>
            <w:tcW w:w="1596" w:type="pct"/>
            <w:vAlign w:val="center"/>
          </w:tcPr>
          <w:p w14:paraId="6F0A35F1">
            <w:pPr>
              <w:pStyle w:val="133"/>
            </w:pPr>
            <w:r>
              <w:t>振动筛</w:t>
            </w:r>
          </w:p>
        </w:tc>
        <w:tc>
          <w:tcPr>
            <w:tcW w:w="1971" w:type="pct"/>
            <w:vAlign w:val="center"/>
          </w:tcPr>
          <w:p w14:paraId="75C447D2">
            <w:pPr>
              <w:pStyle w:val="133"/>
            </w:pPr>
            <w:r>
              <w:rPr>
                <w:rFonts w:hint="eastAsia"/>
              </w:rPr>
              <w:t>隔声、减振</w:t>
            </w:r>
          </w:p>
        </w:tc>
      </w:tr>
      <w:tr w14:paraId="019C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33" w:type="pct"/>
            <w:vMerge w:val="restart"/>
            <w:vAlign w:val="center"/>
          </w:tcPr>
          <w:p w14:paraId="6DCEBCCF">
            <w:pPr>
              <w:pStyle w:val="133"/>
            </w:pPr>
            <w:r>
              <w:t>水处理单元</w:t>
            </w:r>
          </w:p>
        </w:tc>
        <w:tc>
          <w:tcPr>
            <w:tcW w:w="1596" w:type="pct"/>
            <w:vAlign w:val="center"/>
          </w:tcPr>
          <w:p w14:paraId="2F2E4916">
            <w:pPr>
              <w:pStyle w:val="133"/>
            </w:pPr>
            <w:r>
              <w:t>水泵</w:t>
            </w:r>
          </w:p>
        </w:tc>
        <w:tc>
          <w:tcPr>
            <w:tcW w:w="1971" w:type="pct"/>
            <w:vAlign w:val="center"/>
          </w:tcPr>
          <w:p w14:paraId="1DB69C73">
            <w:pPr>
              <w:pStyle w:val="133"/>
            </w:pPr>
            <w:r>
              <w:t>设置消音装置</w:t>
            </w:r>
          </w:p>
        </w:tc>
      </w:tr>
      <w:tr w14:paraId="6BBB0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33" w:type="pct"/>
            <w:vMerge w:val="continue"/>
            <w:vAlign w:val="center"/>
          </w:tcPr>
          <w:p w14:paraId="6F7B841A">
            <w:pPr>
              <w:pStyle w:val="133"/>
            </w:pPr>
          </w:p>
        </w:tc>
        <w:tc>
          <w:tcPr>
            <w:tcW w:w="1596" w:type="pct"/>
            <w:vAlign w:val="center"/>
          </w:tcPr>
          <w:p w14:paraId="7087D2D4">
            <w:pPr>
              <w:pStyle w:val="133"/>
            </w:pPr>
            <w:r>
              <w:t>风机</w:t>
            </w:r>
          </w:p>
        </w:tc>
        <w:tc>
          <w:tcPr>
            <w:tcW w:w="1971" w:type="pct"/>
            <w:vAlign w:val="center"/>
          </w:tcPr>
          <w:p w14:paraId="25AFFE49">
            <w:pPr>
              <w:pStyle w:val="133"/>
            </w:pPr>
            <w:r>
              <w:t>设置消音装置</w:t>
            </w:r>
          </w:p>
        </w:tc>
      </w:tr>
    </w:tbl>
    <w:p w14:paraId="00EE3C6D">
      <w:pPr>
        <w:pStyle w:val="133"/>
      </w:pPr>
      <w:bookmarkStart w:id="226" w:name="_Toc5482"/>
    </w:p>
    <w:bookmarkEnd w:id="222"/>
    <w:bookmarkEnd w:id="225"/>
    <w:bookmarkEnd w:id="226"/>
    <w:p w14:paraId="4E90E3C2">
      <w:pPr>
        <w:pStyle w:val="946"/>
      </w:pPr>
      <w:bookmarkStart w:id="227" w:name="_Toc175154645"/>
      <w:bookmarkStart w:id="228" w:name="_Toc205291373"/>
      <w:bookmarkStart w:id="229" w:name="_Toc175155728"/>
      <w:r>
        <w:rPr>
          <w:rFonts w:hint="eastAsia"/>
        </w:rPr>
        <w:t>现有工程污染物达标排放情况</w:t>
      </w:r>
      <w:bookmarkEnd w:id="227"/>
      <w:bookmarkEnd w:id="228"/>
      <w:bookmarkEnd w:id="229"/>
    </w:p>
    <w:p w14:paraId="277E723B">
      <w:pPr>
        <w:pStyle w:val="117"/>
        <w:ind w:firstLine="480"/>
      </w:pPr>
      <w:r>
        <w:rPr>
          <w:rFonts w:hint="eastAsia"/>
        </w:rPr>
        <w:t>现有工程污染物达标排放依据企业2023年污染源例行监测报告监测数据。</w:t>
      </w:r>
    </w:p>
    <w:p w14:paraId="38F0FDD4">
      <w:pPr>
        <w:pStyle w:val="138"/>
        <w:rPr>
          <w:rFonts w:hint="eastAsia"/>
        </w:rPr>
      </w:pPr>
      <w:r>
        <w:rPr>
          <w:rFonts w:hint="eastAsia"/>
        </w:rPr>
        <w:t>废气达标排放情况</w:t>
      </w:r>
    </w:p>
    <w:p w14:paraId="104670EE">
      <w:pPr>
        <w:pStyle w:val="117"/>
        <w:ind w:firstLine="480"/>
      </w:pPr>
      <w:bookmarkStart w:id="230" w:name="OLE_LINK78"/>
      <w:r>
        <w:rPr>
          <w:rFonts w:hint="eastAsia"/>
        </w:rPr>
        <w:t>现有工程废气污染源排放清单，见表2.3-1</w:t>
      </w:r>
      <w:bookmarkEnd w:id="230"/>
      <w:r>
        <w:rPr>
          <w:rFonts w:hint="eastAsia"/>
        </w:rPr>
        <w:t>。</w:t>
      </w:r>
    </w:p>
    <w:p w14:paraId="796715CD">
      <w:pPr>
        <w:pStyle w:val="118"/>
      </w:pPr>
      <w:r>
        <w:t>表</w:t>
      </w:r>
      <w:r>
        <w:rPr>
          <w:rFonts w:hint="eastAsia"/>
        </w:rPr>
        <w:t>2.3</w:t>
      </w:r>
      <w:r>
        <w:t>-</w:t>
      </w:r>
      <w:r>
        <w:rPr>
          <w:rFonts w:hint="eastAsia"/>
        </w:rPr>
        <w:t>1   现有工程废气污染源排放清单</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3"/>
        <w:gridCol w:w="1195"/>
        <w:gridCol w:w="1195"/>
        <w:gridCol w:w="954"/>
        <w:gridCol w:w="1050"/>
        <w:gridCol w:w="1018"/>
        <w:gridCol w:w="877"/>
        <w:gridCol w:w="1877"/>
      </w:tblGrid>
      <w:tr w14:paraId="5C98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24" w:type="pct"/>
            <w:vAlign w:val="center"/>
          </w:tcPr>
          <w:p w14:paraId="02BC5449">
            <w:pPr>
              <w:pStyle w:val="133"/>
              <w:rPr>
                <w:b/>
                <w:bCs/>
              </w:rPr>
            </w:pPr>
            <w:r>
              <w:rPr>
                <w:rFonts w:hint="eastAsia"/>
                <w:b/>
                <w:bCs/>
              </w:rPr>
              <w:t>排气筒编号</w:t>
            </w:r>
          </w:p>
        </w:tc>
        <w:tc>
          <w:tcPr>
            <w:tcW w:w="668" w:type="pct"/>
            <w:vAlign w:val="center"/>
          </w:tcPr>
          <w:p w14:paraId="0DFA1CE9">
            <w:pPr>
              <w:pStyle w:val="133"/>
              <w:rPr>
                <w:b/>
                <w:bCs/>
              </w:rPr>
            </w:pPr>
            <w:r>
              <w:rPr>
                <w:rFonts w:hint="eastAsia"/>
                <w:b/>
                <w:bCs/>
              </w:rPr>
              <w:t>生产线</w:t>
            </w:r>
          </w:p>
        </w:tc>
        <w:tc>
          <w:tcPr>
            <w:tcW w:w="668" w:type="pct"/>
            <w:vAlign w:val="center"/>
          </w:tcPr>
          <w:p w14:paraId="4F33C673">
            <w:pPr>
              <w:pStyle w:val="133"/>
              <w:rPr>
                <w:b/>
                <w:bCs/>
              </w:rPr>
            </w:pPr>
            <w:r>
              <w:rPr>
                <w:rFonts w:hint="eastAsia"/>
                <w:b/>
                <w:bCs/>
              </w:rPr>
              <w:t>排放源</w:t>
            </w:r>
          </w:p>
        </w:tc>
        <w:tc>
          <w:tcPr>
            <w:tcW w:w="535" w:type="pct"/>
            <w:vAlign w:val="center"/>
          </w:tcPr>
          <w:p w14:paraId="10511647">
            <w:pPr>
              <w:pStyle w:val="133"/>
              <w:rPr>
                <w:b/>
                <w:bCs/>
              </w:rPr>
            </w:pPr>
            <w:r>
              <w:rPr>
                <w:rFonts w:hint="eastAsia"/>
                <w:b/>
                <w:bCs/>
              </w:rPr>
              <w:t>污染物</w:t>
            </w:r>
          </w:p>
        </w:tc>
        <w:tc>
          <w:tcPr>
            <w:tcW w:w="579" w:type="pct"/>
            <w:vAlign w:val="center"/>
          </w:tcPr>
          <w:p w14:paraId="11D055DF">
            <w:pPr>
              <w:pStyle w:val="133"/>
              <w:rPr>
                <w:b/>
                <w:bCs/>
              </w:rPr>
            </w:pPr>
            <w:r>
              <w:rPr>
                <w:rFonts w:hint="eastAsia"/>
                <w:b/>
                <w:bCs/>
              </w:rPr>
              <w:t>排放浓度</w:t>
            </w:r>
          </w:p>
          <w:p w14:paraId="007B08B5">
            <w:pPr>
              <w:pStyle w:val="133"/>
              <w:rPr>
                <w:b/>
                <w:bCs/>
              </w:rPr>
            </w:pPr>
            <w:r>
              <w:rPr>
                <w:rFonts w:hint="eastAsia"/>
                <w:b/>
                <w:bCs/>
              </w:rPr>
              <w:t>限值（mg/m3）</w:t>
            </w:r>
          </w:p>
        </w:tc>
        <w:tc>
          <w:tcPr>
            <w:tcW w:w="579" w:type="pct"/>
            <w:vAlign w:val="center"/>
          </w:tcPr>
          <w:p w14:paraId="0B09C02E">
            <w:pPr>
              <w:pStyle w:val="133"/>
              <w:rPr>
                <w:b/>
                <w:bCs/>
              </w:rPr>
            </w:pPr>
            <w:r>
              <w:rPr>
                <w:rFonts w:hint="eastAsia"/>
                <w:b/>
                <w:bCs/>
              </w:rPr>
              <w:t>排气筒</w:t>
            </w:r>
          </w:p>
          <w:p w14:paraId="101E4F93">
            <w:pPr>
              <w:pStyle w:val="133"/>
              <w:rPr>
                <w:b/>
                <w:bCs/>
              </w:rPr>
            </w:pPr>
            <w:r>
              <w:rPr>
                <w:rFonts w:hint="eastAsia"/>
                <w:b/>
                <w:bCs/>
              </w:rPr>
              <w:t>高度（m）</w:t>
            </w:r>
          </w:p>
        </w:tc>
        <w:tc>
          <w:tcPr>
            <w:tcW w:w="493" w:type="pct"/>
            <w:vAlign w:val="center"/>
          </w:tcPr>
          <w:p w14:paraId="75DF757B">
            <w:pPr>
              <w:pStyle w:val="133"/>
              <w:rPr>
                <w:b/>
                <w:bCs/>
              </w:rPr>
            </w:pPr>
            <w:r>
              <w:rPr>
                <w:rFonts w:hint="eastAsia"/>
                <w:b/>
                <w:bCs/>
              </w:rPr>
              <w:t>排气筒</w:t>
            </w:r>
          </w:p>
          <w:p w14:paraId="18AAE549">
            <w:pPr>
              <w:pStyle w:val="133"/>
              <w:rPr>
                <w:b/>
                <w:bCs/>
              </w:rPr>
            </w:pPr>
            <w:r>
              <w:rPr>
                <w:rFonts w:hint="eastAsia"/>
                <w:b/>
                <w:bCs/>
              </w:rPr>
              <w:t>内径（m）</w:t>
            </w:r>
          </w:p>
        </w:tc>
        <w:tc>
          <w:tcPr>
            <w:tcW w:w="955" w:type="pct"/>
            <w:vAlign w:val="center"/>
          </w:tcPr>
          <w:p w14:paraId="6F2AEB79">
            <w:pPr>
              <w:pStyle w:val="133"/>
              <w:rPr>
                <w:b/>
                <w:bCs/>
              </w:rPr>
            </w:pPr>
            <w:r>
              <w:rPr>
                <w:rFonts w:hint="eastAsia"/>
                <w:b/>
                <w:bCs/>
              </w:rPr>
              <w:t>执行标准</w:t>
            </w:r>
          </w:p>
        </w:tc>
      </w:tr>
      <w:tr w14:paraId="6674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4" w:type="pct"/>
            <w:vAlign w:val="center"/>
          </w:tcPr>
          <w:p w14:paraId="5D7B2370">
            <w:pPr>
              <w:pStyle w:val="133"/>
            </w:pPr>
            <w:r>
              <w:rPr>
                <w:rFonts w:hint="eastAsia"/>
              </w:rPr>
              <w:t>DA001</w:t>
            </w:r>
          </w:p>
        </w:tc>
        <w:tc>
          <w:tcPr>
            <w:tcW w:w="668" w:type="pct"/>
            <w:vMerge w:val="restart"/>
            <w:vAlign w:val="center"/>
          </w:tcPr>
          <w:p w14:paraId="580B5927">
            <w:pPr>
              <w:pStyle w:val="133"/>
            </w:pPr>
            <w:r>
              <w:t>兰炭生产线及煤气发生炉</w:t>
            </w:r>
          </w:p>
        </w:tc>
        <w:tc>
          <w:tcPr>
            <w:tcW w:w="668" w:type="pct"/>
            <w:vAlign w:val="center"/>
          </w:tcPr>
          <w:p w14:paraId="4668025D">
            <w:pPr>
              <w:pStyle w:val="133"/>
            </w:pPr>
            <w:r>
              <w:t>备煤</w:t>
            </w:r>
            <w:r>
              <w:rPr>
                <w:rFonts w:hint="eastAsia"/>
              </w:rPr>
              <w:t>－</w:t>
            </w:r>
            <w:r>
              <w:t>筛分</w:t>
            </w:r>
          </w:p>
          <w:p w14:paraId="1F2F716B">
            <w:pPr>
              <w:pStyle w:val="133"/>
            </w:pPr>
            <w:r>
              <w:t>布袋除尘器</w:t>
            </w:r>
          </w:p>
        </w:tc>
        <w:tc>
          <w:tcPr>
            <w:tcW w:w="535" w:type="pct"/>
            <w:vAlign w:val="center"/>
          </w:tcPr>
          <w:p w14:paraId="7A1EE238">
            <w:pPr>
              <w:pStyle w:val="133"/>
            </w:pPr>
            <w:r>
              <w:rPr>
                <w:rFonts w:hint="eastAsia"/>
              </w:rPr>
              <w:t>颗粒物</w:t>
            </w:r>
          </w:p>
        </w:tc>
        <w:tc>
          <w:tcPr>
            <w:tcW w:w="579" w:type="pct"/>
            <w:vAlign w:val="center"/>
          </w:tcPr>
          <w:p w14:paraId="0DD98212">
            <w:pPr>
              <w:pStyle w:val="133"/>
            </w:pPr>
            <w:r>
              <w:rPr>
                <w:rFonts w:hint="eastAsia"/>
              </w:rPr>
              <w:t>30</w:t>
            </w:r>
          </w:p>
        </w:tc>
        <w:tc>
          <w:tcPr>
            <w:tcW w:w="579" w:type="pct"/>
            <w:vAlign w:val="center"/>
          </w:tcPr>
          <w:p w14:paraId="6C5FAC9A">
            <w:pPr>
              <w:pStyle w:val="133"/>
            </w:pPr>
            <w:r>
              <w:rPr>
                <w:rFonts w:hint="eastAsia"/>
              </w:rPr>
              <w:t>30</w:t>
            </w:r>
          </w:p>
        </w:tc>
        <w:tc>
          <w:tcPr>
            <w:tcW w:w="493" w:type="pct"/>
            <w:vAlign w:val="center"/>
          </w:tcPr>
          <w:p w14:paraId="2D6D7566">
            <w:pPr>
              <w:pStyle w:val="133"/>
            </w:pPr>
            <w:r>
              <w:rPr>
                <w:rFonts w:hint="eastAsia"/>
              </w:rPr>
              <w:t>1.2</w:t>
            </w:r>
          </w:p>
        </w:tc>
        <w:tc>
          <w:tcPr>
            <w:tcW w:w="955" w:type="pct"/>
            <w:vMerge w:val="restart"/>
            <w:vAlign w:val="center"/>
          </w:tcPr>
          <w:p w14:paraId="5B3DA1CB">
            <w:pPr>
              <w:pStyle w:val="133"/>
            </w:pPr>
            <w:r>
              <w:t>《炼焦化学工业污染物排放标准》（GB 16171-2012）</w:t>
            </w:r>
            <w:r>
              <w:rPr>
                <w:rFonts w:hint="eastAsia"/>
              </w:rPr>
              <w:t>表5新建企业大气污染物排放浓度限值</w:t>
            </w:r>
          </w:p>
        </w:tc>
      </w:tr>
      <w:tr w14:paraId="734D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trPr>
        <w:tc>
          <w:tcPr>
            <w:tcW w:w="524" w:type="pct"/>
            <w:vMerge w:val="restart"/>
            <w:vAlign w:val="center"/>
          </w:tcPr>
          <w:p w14:paraId="2C61B7BD">
            <w:pPr>
              <w:pStyle w:val="133"/>
            </w:pPr>
            <w:r>
              <w:rPr>
                <w:rFonts w:hint="eastAsia"/>
              </w:rPr>
              <w:t>DA002</w:t>
            </w:r>
          </w:p>
        </w:tc>
        <w:tc>
          <w:tcPr>
            <w:tcW w:w="668" w:type="pct"/>
            <w:vMerge w:val="continue"/>
          </w:tcPr>
          <w:p w14:paraId="3BD29165">
            <w:pPr>
              <w:pStyle w:val="133"/>
            </w:pPr>
          </w:p>
        </w:tc>
        <w:tc>
          <w:tcPr>
            <w:tcW w:w="668" w:type="pct"/>
            <w:vMerge w:val="restart"/>
            <w:vAlign w:val="center"/>
          </w:tcPr>
          <w:p w14:paraId="1820B153">
            <w:pPr>
              <w:pStyle w:val="133"/>
            </w:pPr>
            <w:r>
              <w:t>装煤废气</w:t>
            </w:r>
          </w:p>
          <w:p w14:paraId="393F8AA1">
            <w:pPr>
              <w:pStyle w:val="133"/>
            </w:pPr>
            <w:r>
              <w:t>布袋除尘器</w:t>
            </w:r>
          </w:p>
        </w:tc>
        <w:tc>
          <w:tcPr>
            <w:tcW w:w="535" w:type="pct"/>
            <w:vAlign w:val="center"/>
          </w:tcPr>
          <w:p w14:paraId="55B61548">
            <w:pPr>
              <w:pStyle w:val="133"/>
            </w:pPr>
            <w:r>
              <w:rPr>
                <w:rFonts w:hint="eastAsia"/>
              </w:rPr>
              <w:t>颗粒物</w:t>
            </w:r>
          </w:p>
        </w:tc>
        <w:tc>
          <w:tcPr>
            <w:tcW w:w="579" w:type="pct"/>
            <w:vAlign w:val="center"/>
          </w:tcPr>
          <w:p w14:paraId="455B6058">
            <w:pPr>
              <w:pStyle w:val="133"/>
            </w:pPr>
            <w:r>
              <w:rPr>
                <w:rFonts w:hint="eastAsia"/>
              </w:rPr>
              <w:t>50</w:t>
            </w:r>
          </w:p>
        </w:tc>
        <w:tc>
          <w:tcPr>
            <w:tcW w:w="579" w:type="pct"/>
            <w:vMerge w:val="restart"/>
            <w:vAlign w:val="center"/>
          </w:tcPr>
          <w:p w14:paraId="5D8BED1A">
            <w:pPr>
              <w:pStyle w:val="133"/>
            </w:pPr>
            <w:r>
              <w:rPr>
                <w:rFonts w:hint="eastAsia"/>
              </w:rPr>
              <w:t>45</w:t>
            </w:r>
          </w:p>
        </w:tc>
        <w:tc>
          <w:tcPr>
            <w:tcW w:w="493" w:type="pct"/>
            <w:vMerge w:val="restart"/>
            <w:vAlign w:val="center"/>
          </w:tcPr>
          <w:p w14:paraId="5C13F62E">
            <w:pPr>
              <w:pStyle w:val="133"/>
            </w:pPr>
            <w:r>
              <w:rPr>
                <w:rFonts w:hint="eastAsia"/>
              </w:rPr>
              <w:t>1.0</w:t>
            </w:r>
          </w:p>
        </w:tc>
        <w:tc>
          <w:tcPr>
            <w:tcW w:w="955" w:type="pct"/>
            <w:vMerge w:val="continue"/>
            <w:vAlign w:val="center"/>
          </w:tcPr>
          <w:p w14:paraId="04D82698">
            <w:pPr>
              <w:pStyle w:val="133"/>
            </w:pPr>
          </w:p>
        </w:tc>
      </w:tr>
      <w:tr w14:paraId="061D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524" w:type="pct"/>
            <w:vMerge w:val="continue"/>
            <w:vAlign w:val="center"/>
          </w:tcPr>
          <w:p w14:paraId="77A57DED">
            <w:pPr>
              <w:pStyle w:val="133"/>
            </w:pPr>
          </w:p>
        </w:tc>
        <w:tc>
          <w:tcPr>
            <w:tcW w:w="668" w:type="pct"/>
            <w:vMerge w:val="continue"/>
          </w:tcPr>
          <w:p w14:paraId="22DCED9A">
            <w:pPr>
              <w:pStyle w:val="133"/>
            </w:pPr>
          </w:p>
        </w:tc>
        <w:tc>
          <w:tcPr>
            <w:tcW w:w="668" w:type="pct"/>
            <w:vMerge w:val="continue"/>
            <w:vAlign w:val="center"/>
          </w:tcPr>
          <w:p w14:paraId="1093F435">
            <w:pPr>
              <w:pStyle w:val="133"/>
            </w:pPr>
          </w:p>
        </w:tc>
        <w:tc>
          <w:tcPr>
            <w:tcW w:w="535" w:type="pct"/>
            <w:vAlign w:val="center"/>
          </w:tcPr>
          <w:p w14:paraId="170C3EC4">
            <w:pPr>
              <w:pStyle w:val="133"/>
            </w:pPr>
            <w:r>
              <w:rPr>
                <w:rFonts w:hint="eastAsia"/>
              </w:rPr>
              <w:t>二氧化硫</w:t>
            </w:r>
          </w:p>
        </w:tc>
        <w:tc>
          <w:tcPr>
            <w:tcW w:w="579" w:type="pct"/>
            <w:vAlign w:val="center"/>
          </w:tcPr>
          <w:p w14:paraId="4BD0B0CE">
            <w:pPr>
              <w:pStyle w:val="133"/>
            </w:pPr>
            <w:r>
              <w:rPr>
                <w:rFonts w:hint="eastAsia"/>
              </w:rPr>
              <w:t>100</w:t>
            </w:r>
          </w:p>
        </w:tc>
        <w:tc>
          <w:tcPr>
            <w:tcW w:w="579" w:type="pct"/>
            <w:vMerge w:val="continue"/>
            <w:vAlign w:val="center"/>
          </w:tcPr>
          <w:p w14:paraId="201BB33E">
            <w:pPr>
              <w:pStyle w:val="133"/>
            </w:pPr>
          </w:p>
        </w:tc>
        <w:tc>
          <w:tcPr>
            <w:tcW w:w="493" w:type="pct"/>
            <w:vMerge w:val="continue"/>
            <w:vAlign w:val="center"/>
          </w:tcPr>
          <w:p w14:paraId="61B81448">
            <w:pPr>
              <w:pStyle w:val="133"/>
            </w:pPr>
          </w:p>
        </w:tc>
        <w:tc>
          <w:tcPr>
            <w:tcW w:w="955" w:type="pct"/>
            <w:vMerge w:val="continue"/>
            <w:vAlign w:val="center"/>
          </w:tcPr>
          <w:p w14:paraId="6DEF0849">
            <w:pPr>
              <w:pStyle w:val="133"/>
            </w:pPr>
          </w:p>
        </w:tc>
      </w:tr>
      <w:tr w14:paraId="58E3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trPr>
        <w:tc>
          <w:tcPr>
            <w:tcW w:w="524" w:type="pct"/>
            <w:vMerge w:val="continue"/>
            <w:vAlign w:val="center"/>
          </w:tcPr>
          <w:p w14:paraId="427D3E0A">
            <w:pPr>
              <w:pStyle w:val="133"/>
            </w:pPr>
          </w:p>
        </w:tc>
        <w:tc>
          <w:tcPr>
            <w:tcW w:w="668" w:type="pct"/>
            <w:vMerge w:val="continue"/>
          </w:tcPr>
          <w:p w14:paraId="59C1E2D8">
            <w:pPr>
              <w:pStyle w:val="133"/>
            </w:pPr>
          </w:p>
        </w:tc>
        <w:tc>
          <w:tcPr>
            <w:tcW w:w="668" w:type="pct"/>
            <w:vMerge w:val="continue"/>
            <w:vAlign w:val="center"/>
          </w:tcPr>
          <w:p w14:paraId="7E2850CE">
            <w:pPr>
              <w:pStyle w:val="133"/>
            </w:pPr>
          </w:p>
        </w:tc>
        <w:tc>
          <w:tcPr>
            <w:tcW w:w="535" w:type="pct"/>
            <w:vAlign w:val="center"/>
          </w:tcPr>
          <w:p w14:paraId="6BB0F4F5">
            <w:pPr>
              <w:pStyle w:val="133"/>
            </w:pPr>
            <w:r>
              <w:rPr>
                <w:rFonts w:hint="eastAsia"/>
              </w:rPr>
              <w:t>苯并[a]芘</w:t>
            </w:r>
          </w:p>
        </w:tc>
        <w:tc>
          <w:tcPr>
            <w:tcW w:w="579" w:type="pct"/>
            <w:vAlign w:val="center"/>
          </w:tcPr>
          <w:p w14:paraId="7EB23A3C">
            <w:pPr>
              <w:pStyle w:val="133"/>
            </w:pPr>
            <w:r>
              <w:rPr>
                <w:rFonts w:hint="eastAsia"/>
              </w:rPr>
              <w:t>0.0003</w:t>
            </w:r>
          </w:p>
        </w:tc>
        <w:tc>
          <w:tcPr>
            <w:tcW w:w="579" w:type="pct"/>
            <w:vMerge w:val="continue"/>
            <w:vAlign w:val="center"/>
          </w:tcPr>
          <w:p w14:paraId="16710AE8">
            <w:pPr>
              <w:pStyle w:val="133"/>
            </w:pPr>
          </w:p>
        </w:tc>
        <w:tc>
          <w:tcPr>
            <w:tcW w:w="493" w:type="pct"/>
            <w:vMerge w:val="continue"/>
            <w:vAlign w:val="center"/>
          </w:tcPr>
          <w:p w14:paraId="09BC2A8B">
            <w:pPr>
              <w:pStyle w:val="133"/>
            </w:pPr>
          </w:p>
        </w:tc>
        <w:tc>
          <w:tcPr>
            <w:tcW w:w="955" w:type="pct"/>
            <w:vMerge w:val="continue"/>
            <w:vAlign w:val="center"/>
          </w:tcPr>
          <w:p w14:paraId="12B8DC2F">
            <w:pPr>
              <w:pStyle w:val="133"/>
            </w:pPr>
          </w:p>
        </w:tc>
      </w:tr>
      <w:tr w14:paraId="2A00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30A579CF">
            <w:pPr>
              <w:pStyle w:val="133"/>
            </w:pPr>
            <w:r>
              <w:rPr>
                <w:rFonts w:hint="eastAsia"/>
              </w:rPr>
              <w:t>DA003</w:t>
            </w:r>
          </w:p>
        </w:tc>
        <w:tc>
          <w:tcPr>
            <w:tcW w:w="668" w:type="pct"/>
            <w:vMerge w:val="continue"/>
          </w:tcPr>
          <w:p w14:paraId="573ED6BC">
            <w:pPr>
              <w:pStyle w:val="133"/>
            </w:pPr>
          </w:p>
        </w:tc>
        <w:tc>
          <w:tcPr>
            <w:tcW w:w="668" w:type="pct"/>
            <w:vAlign w:val="center"/>
          </w:tcPr>
          <w:p w14:paraId="20C0D0A7">
            <w:pPr>
              <w:pStyle w:val="133"/>
            </w:pPr>
            <w:r>
              <w:t>筛分</w:t>
            </w:r>
            <w:r>
              <w:rPr>
                <w:rFonts w:hint="eastAsia"/>
              </w:rPr>
              <w:t>工段</w:t>
            </w:r>
          </w:p>
          <w:p w14:paraId="20114ECB">
            <w:pPr>
              <w:pStyle w:val="133"/>
            </w:pPr>
            <w:r>
              <w:t>布袋除尘器</w:t>
            </w:r>
          </w:p>
        </w:tc>
        <w:tc>
          <w:tcPr>
            <w:tcW w:w="535" w:type="pct"/>
            <w:vAlign w:val="center"/>
          </w:tcPr>
          <w:p w14:paraId="53087718">
            <w:pPr>
              <w:pStyle w:val="133"/>
            </w:pPr>
            <w:r>
              <w:rPr>
                <w:rFonts w:hint="eastAsia"/>
              </w:rPr>
              <w:t>颗粒物</w:t>
            </w:r>
          </w:p>
        </w:tc>
        <w:tc>
          <w:tcPr>
            <w:tcW w:w="579" w:type="pct"/>
            <w:vAlign w:val="center"/>
          </w:tcPr>
          <w:p w14:paraId="06CDBA26">
            <w:pPr>
              <w:pStyle w:val="133"/>
            </w:pPr>
            <w:r>
              <w:rPr>
                <w:rFonts w:hint="eastAsia"/>
              </w:rPr>
              <w:t>30</w:t>
            </w:r>
          </w:p>
        </w:tc>
        <w:tc>
          <w:tcPr>
            <w:tcW w:w="579" w:type="pct"/>
            <w:vAlign w:val="center"/>
          </w:tcPr>
          <w:p w14:paraId="1D6B02E6">
            <w:pPr>
              <w:pStyle w:val="133"/>
            </w:pPr>
            <w:r>
              <w:rPr>
                <w:rFonts w:hint="eastAsia"/>
              </w:rPr>
              <w:t>30</w:t>
            </w:r>
          </w:p>
        </w:tc>
        <w:tc>
          <w:tcPr>
            <w:tcW w:w="493" w:type="pct"/>
            <w:vAlign w:val="center"/>
          </w:tcPr>
          <w:p w14:paraId="2D5AE2C9">
            <w:pPr>
              <w:pStyle w:val="133"/>
            </w:pPr>
            <w:r>
              <w:rPr>
                <w:rFonts w:hint="eastAsia"/>
              </w:rPr>
              <w:t>1.2</w:t>
            </w:r>
          </w:p>
        </w:tc>
        <w:tc>
          <w:tcPr>
            <w:tcW w:w="955" w:type="pct"/>
            <w:vMerge w:val="continue"/>
            <w:vAlign w:val="center"/>
          </w:tcPr>
          <w:p w14:paraId="12BAF976">
            <w:pPr>
              <w:pStyle w:val="133"/>
            </w:pPr>
          </w:p>
        </w:tc>
      </w:tr>
      <w:tr w14:paraId="7C5D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524" w:type="pct"/>
            <w:vMerge w:val="restart"/>
            <w:vAlign w:val="center"/>
          </w:tcPr>
          <w:p w14:paraId="7E888EAB">
            <w:pPr>
              <w:pStyle w:val="133"/>
            </w:pPr>
            <w:r>
              <w:t>DA0</w:t>
            </w:r>
            <w:r>
              <w:rPr>
                <w:rFonts w:hint="eastAsia"/>
              </w:rPr>
              <w:t>04</w:t>
            </w:r>
          </w:p>
        </w:tc>
        <w:tc>
          <w:tcPr>
            <w:tcW w:w="668" w:type="pct"/>
            <w:vMerge w:val="continue"/>
          </w:tcPr>
          <w:p w14:paraId="57D64528">
            <w:pPr>
              <w:pStyle w:val="133"/>
            </w:pPr>
          </w:p>
        </w:tc>
        <w:tc>
          <w:tcPr>
            <w:tcW w:w="668" w:type="pct"/>
            <w:vMerge w:val="restart"/>
            <w:vAlign w:val="center"/>
          </w:tcPr>
          <w:p w14:paraId="5228064B">
            <w:pPr>
              <w:pStyle w:val="133"/>
            </w:pPr>
            <w:r>
              <w:t>烘干</w:t>
            </w:r>
            <w:r>
              <w:rPr>
                <w:rFonts w:hint="eastAsia"/>
              </w:rPr>
              <w:t>工段</w:t>
            </w:r>
          </w:p>
          <w:p w14:paraId="64864143">
            <w:pPr>
              <w:pStyle w:val="133"/>
            </w:pPr>
            <w:r>
              <w:t>袋式除尘器</w:t>
            </w:r>
          </w:p>
        </w:tc>
        <w:tc>
          <w:tcPr>
            <w:tcW w:w="535" w:type="pct"/>
            <w:vAlign w:val="center"/>
          </w:tcPr>
          <w:p w14:paraId="0D829543">
            <w:pPr>
              <w:pStyle w:val="133"/>
            </w:pPr>
            <w:r>
              <w:rPr>
                <w:rFonts w:hint="eastAsia"/>
              </w:rPr>
              <w:t>颗粒物</w:t>
            </w:r>
          </w:p>
        </w:tc>
        <w:tc>
          <w:tcPr>
            <w:tcW w:w="579" w:type="pct"/>
            <w:vAlign w:val="center"/>
          </w:tcPr>
          <w:p w14:paraId="65A4F0B9">
            <w:pPr>
              <w:pStyle w:val="133"/>
            </w:pPr>
            <w:r>
              <w:rPr>
                <w:rFonts w:hint="eastAsia"/>
              </w:rPr>
              <w:t>30</w:t>
            </w:r>
          </w:p>
        </w:tc>
        <w:tc>
          <w:tcPr>
            <w:tcW w:w="579" w:type="pct"/>
            <w:vMerge w:val="restart"/>
            <w:vAlign w:val="center"/>
          </w:tcPr>
          <w:p w14:paraId="03B3CAB1">
            <w:pPr>
              <w:pStyle w:val="133"/>
            </w:pPr>
            <w:r>
              <w:rPr>
                <w:rFonts w:hint="eastAsia"/>
              </w:rPr>
              <w:t>30</w:t>
            </w:r>
          </w:p>
        </w:tc>
        <w:tc>
          <w:tcPr>
            <w:tcW w:w="493" w:type="pct"/>
            <w:vMerge w:val="restart"/>
            <w:vAlign w:val="center"/>
          </w:tcPr>
          <w:p w14:paraId="2373A7D8">
            <w:pPr>
              <w:pStyle w:val="133"/>
            </w:pPr>
            <w:r>
              <w:rPr>
                <w:rFonts w:hint="eastAsia"/>
              </w:rPr>
              <w:t>1.5</w:t>
            </w:r>
          </w:p>
        </w:tc>
        <w:tc>
          <w:tcPr>
            <w:tcW w:w="955" w:type="pct"/>
            <w:vMerge w:val="continue"/>
            <w:vAlign w:val="center"/>
          </w:tcPr>
          <w:p w14:paraId="26FABE25">
            <w:pPr>
              <w:pStyle w:val="133"/>
            </w:pPr>
          </w:p>
        </w:tc>
      </w:tr>
      <w:tr w14:paraId="46C9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524" w:type="pct"/>
            <w:vMerge w:val="continue"/>
            <w:vAlign w:val="center"/>
          </w:tcPr>
          <w:p w14:paraId="25262F22">
            <w:pPr>
              <w:pStyle w:val="133"/>
            </w:pPr>
          </w:p>
        </w:tc>
        <w:tc>
          <w:tcPr>
            <w:tcW w:w="668" w:type="pct"/>
            <w:vMerge w:val="continue"/>
          </w:tcPr>
          <w:p w14:paraId="44EAFFA5">
            <w:pPr>
              <w:pStyle w:val="133"/>
            </w:pPr>
          </w:p>
        </w:tc>
        <w:tc>
          <w:tcPr>
            <w:tcW w:w="668" w:type="pct"/>
            <w:vMerge w:val="continue"/>
            <w:vAlign w:val="center"/>
          </w:tcPr>
          <w:p w14:paraId="065E440C">
            <w:pPr>
              <w:pStyle w:val="133"/>
            </w:pPr>
          </w:p>
        </w:tc>
        <w:tc>
          <w:tcPr>
            <w:tcW w:w="535" w:type="pct"/>
            <w:vAlign w:val="center"/>
          </w:tcPr>
          <w:p w14:paraId="6965316F">
            <w:pPr>
              <w:pStyle w:val="133"/>
            </w:pPr>
            <w:r>
              <w:rPr>
                <w:rFonts w:hint="eastAsia"/>
              </w:rPr>
              <w:t>二氧化硫</w:t>
            </w:r>
          </w:p>
        </w:tc>
        <w:tc>
          <w:tcPr>
            <w:tcW w:w="579" w:type="pct"/>
            <w:vAlign w:val="center"/>
          </w:tcPr>
          <w:p w14:paraId="6A266E8D">
            <w:pPr>
              <w:pStyle w:val="133"/>
            </w:pPr>
            <w:r>
              <w:rPr>
                <w:rFonts w:hint="eastAsia"/>
              </w:rPr>
              <w:t>50</w:t>
            </w:r>
          </w:p>
        </w:tc>
        <w:tc>
          <w:tcPr>
            <w:tcW w:w="579" w:type="pct"/>
            <w:vMerge w:val="continue"/>
            <w:vAlign w:val="center"/>
          </w:tcPr>
          <w:p w14:paraId="5F6C0165">
            <w:pPr>
              <w:pStyle w:val="133"/>
            </w:pPr>
          </w:p>
        </w:tc>
        <w:tc>
          <w:tcPr>
            <w:tcW w:w="493" w:type="pct"/>
            <w:vMerge w:val="continue"/>
            <w:vAlign w:val="center"/>
          </w:tcPr>
          <w:p w14:paraId="4D7E684A">
            <w:pPr>
              <w:pStyle w:val="133"/>
            </w:pPr>
          </w:p>
        </w:tc>
        <w:tc>
          <w:tcPr>
            <w:tcW w:w="955" w:type="pct"/>
            <w:vMerge w:val="continue"/>
            <w:vAlign w:val="center"/>
          </w:tcPr>
          <w:p w14:paraId="0573CE9B">
            <w:pPr>
              <w:pStyle w:val="133"/>
            </w:pPr>
          </w:p>
        </w:tc>
      </w:tr>
      <w:tr w14:paraId="3DE2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524" w:type="pct"/>
            <w:vMerge w:val="continue"/>
            <w:vAlign w:val="center"/>
          </w:tcPr>
          <w:p w14:paraId="4468F334">
            <w:pPr>
              <w:pStyle w:val="133"/>
            </w:pPr>
          </w:p>
        </w:tc>
        <w:tc>
          <w:tcPr>
            <w:tcW w:w="668" w:type="pct"/>
            <w:vMerge w:val="continue"/>
          </w:tcPr>
          <w:p w14:paraId="0946DA6D">
            <w:pPr>
              <w:pStyle w:val="133"/>
            </w:pPr>
          </w:p>
        </w:tc>
        <w:tc>
          <w:tcPr>
            <w:tcW w:w="668" w:type="pct"/>
            <w:vMerge w:val="continue"/>
            <w:vAlign w:val="center"/>
          </w:tcPr>
          <w:p w14:paraId="7E36347A">
            <w:pPr>
              <w:pStyle w:val="133"/>
            </w:pPr>
          </w:p>
        </w:tc>
        <w:tc>
          <w:tcPr>
            <w:tcW w:w="535" w:type="pct"/>
            <w:vAlign w:val="center"/>
          </w:tcPr>
          <w:p w14:paraId="008824F6">
            <w:pPr>
              <w:pStyle w:val="133"/>
            </w:pPr>
            <w:r>
              <w:rPr>
                <w:rFonts w:hint="eastAsia"/>
              </w:rPr>
              <w:t>氮氧化物</w:t>
            </w:r>
          </w:p>
        </w:tc>
        <w:tc>
          <w:tcPr>
            <w:tcW w:w="579" w:type="pct"/>
            <w:vAlign w:val="center"/>
          </w:tcPr>
          <w:p w14:paraId="01FE8F91">
            <w:pPr>
              <w:pStyle w:val="133"/>
            </w:pPr>
            <w:r>
              <w:rPr>
                <w:rFonts w:hint="eastAsia"/>
              </w:rPr>
              <w:t>200</w:t>
            </w:r>
          </w:p>
        </w:tc>
        <w:tc>
          <w:tcPr>
            <w:tcW w:w="579" w:type="pct"/>
            <w:vMerge w:val="continue"/>
            <w:vAlign w:val="center"/>
          </w:tcPr>
          <w:p w14:paraId="1DD668DF">
            <w:pPr>
              <w:pStyle w:val="133"/>
            </w:pPr>
          </w:p>
        </w:tc>
        <w:tc>
          <w:tcPr>
            <w:tcW w:w="493" w:type="pct"/>
            <w:vMerge w:val="continue"/>
            <w:vAlign w:val="center"/>
          </w:tcPr>
          <w:p w14:paraId="45820505">
            <w:pPr>
              <w:pStyle w:val="133"/>
            </w:pPr>
          </w:p>
        </w:tc>
        <w:tc>
          <w:tcPr>
            <w:tcW w:w="955" w:type="pct"/>
            <w:vMerge w:val="continue"/>
            <w:vAlign w:val="center"/>
          </w:tcPr>
          <w:p w14:paraId="28075F61">
            <w:pPr>
              <w:pStyle w:val="133"/>
            </w:pPr>
          </w:p>
        </w:tc>
      </w:tr>
      <w:tr w14:paraId="3995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4459822C">
            <w:pPr>
              <w:pStyle w:val="133"/>
            </w:pPr>
            <w:r>
              <w:t>DA0</w:t>
            </w:r>
            <w:r>
              <w:rPr>
                <w:rFonts w:hint="eastAsia"/>
              </w:rPr>
              <w:t>05</w:t>
            </w:r>
          </w:p>
        </w:tc>
        <w:tc>
          <w:tcPr>
            <w:tcW w:w="668" w:type="pct"/>
            <w:vMerge w:val="continue"/>
          </w:tcPr>
          <w:p w14:paraId="38E39F50">
            <w:pPr>
              <w:pStyle w:val="133"/>
            </w:pPr>
          </w:p>
        </w:tc>
        <w:tc>
          <w:tcPr>
            <w:tcW w:w="668" w:type="pct"/>
            <w:vAlign w:val="center"/>
          </w:tcPr>
          <w:p w14:paraId="0F6384ED">
            <w:pPr>
              <w:pStyle w:val="133"/>
            </w:pPr>
            <w:r>
              <w:t>筛焦</w:t>
            </w:r>
            <w:r>
              <w:rPr>
                <w:rFonts w:hint="eastAsia"/>
              </w:rPr>
              <w:t>工段</w:t>
            </w:r>
          </w:p>
          <w:p w14:paraId="77EF28CC">
            <w:pPr>
              <w:pStyle w:val="133"/>
            </w:pPr>
            <w:r>
              <w:t>脉冲袋式除尘器</w:t>
            </w:r>
          </w:p>
        </w:tc>
        <w:tc>
          <w:tcPr>
            <w:tcW w:w="535" w:type="pct"/>
            <w:vAlign w:val="center"/>
          </w:tcPr>
          <w:p w14:paraId="2CFD1CDC">
            <w:pPr>
              <w:pStyle w:val="133"/>
            </w:pPr>
            <w:r>
              <w:rPr>
                <w:rFonts w:hint="eastAsia"/>
              </w:rPr>
              <w:t>颗粒物</w:t>
            </w:r>
          </w:p>
        </w:tc>
        <w:tc>
          <w:tcPr>
            <w:tcW w:w="579" w:type="pct"/>
            <w:vAlign w:val="center"/>
          </w:tcPr>
          <w:p w14:paraId="0548FC6B">
            <w:pPr>
              <w:pStyle w:val="133"/>
            </w:pPr>
            <w:r>
              <w:rPr>
                <w:rFonts w:hint="eastAsia"/>
              </w:rPr>
              <w:t>50</w:t>
            </w:r>
          </w:p>
        </w:tc>
        <w:tc>
          <w:tcPr>
            <w:tcW w:w="579" w:type="pct"/>
            <w:vAlign w:val="center"/>
          </w:tcPr>
          <w:p w14:paraId="5C0835D7">
            <w:pPr>
              <w:pStyle w:val="133"/>
            </w:pPr>
            <w:r>
              <w:rPr>
                <w:rFonts w:hint="eastAsia"/>
              </w:rPr>
              <w:t>30</w:t>
            </w:r>
          </w:p>
        </w:tc>
        <w:tc>
          <w:tcPr>
            <w:tcW w:w="493" w:type="pct"/>
            <w:vAlign w:val="center"/>
          </w:tcPr>
          <w:p w14:paraId="42064FF3">
            <w:pPr>
              <w:pStyle w:val="133"/>
            </w:pPr>
            <w:r>
              <w:rPr>
                <w:rFonts w:hint="eastAsia"/>
              </w:rPr>
              <w:t>1.5</w:t>
            </w:r>
          </w:p>
        </w:tc>
        <w:tc>
          <w:tcPr>
            <w:tcW w:w="955" w:type="pct"/>
            <w:vMerge w:val="continue"/>
            <w:vAlign w:val="center"/>
          </w:tcPr>
          <w:p w14:paraId="0735E4C3">
            <w:pPr>
              <w:pStyle w:val="133"/>
            </w:pPr>
          </w:p>
        </w:tc>
      </w:tr>
      <w:tr w14:paraId="4DF9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42A36237">
            <w:pPr>
              <w:pStyle w:val="133"/>
            </w:pPr>
            <w:r>
              <w:t>DA0</w:t>
            </w:r>
            <w:r>
              <w:rPr>
                <w:rFonts w:hint="eastAsia"/>
              </w:rPr>
              <w:t>06</w:t>
            </w:r>
          </w:p>
        </w:tc>
        <w:tc>
          <w:tcPr>
            <w:tcW w:w="668" w:type="pct"/>
            <w:vMerge w:val="restart"/>
            <w:vAlign w:val="center"/>
          </w:tcPr>
          <w:p w14:paraId="10FBBD83">
            <w:pPr>
              <w:pStyle w:val="133"/>
            </w:pPr>
            <w:r>
              <w:rPr>
                <w:rFonts w:hint="eastAsia"/>
              </w:rPr>
              <w:t>镁及镁合金生产线</w:t>
            </w:r>
          </w:p>
        </w:tc>
        <w:tc>
          <w:tcPr>
            <w:tcW w:w="668" w:type="pct"/>
            <w:vAlign w:val="center"/>
          </w:tcPr>
          <w:p w14:paraId="24A202CA">
            <w:pPr>
              <w:pStyle w:val="133"/>
            </w:pPr>
            <w:r>
              <w:t>白云石输送</w:t>
            </w:r>
          </w:p>
          <w:p w14:paraId="7651BBB2">
            <w:pPr>
              <w:pStyle w:val="133"/>
            </w:pPr>
            <w:r>
              <w:t>脉冲袋式除尘器</w:t>
            </w:r>
          </w:p>
        </w:tc>
        <w:tc>
          <w:tcPr>
            <w:tcW w:w="535" w:type="pct"/>
            <w:vAlign w:val="center"/>
          </w:tcPr>
          <w:p w14:paraId="389AA456">
            <w:pPr>
              <w:pStyle w:val="133"/>
            </w:pPr>
            <w:r>
              <w:rPr>
                <w:rFonts w:hint="eastAsia"/>
              </w:rPr>
              <w:t>颗粒物</w:t>
            </w:r>
          </w:p>
        </w:tc>
        <w:tc>
          <w:tcPr>
            <w:tcW w:w="579" w:type="pct"/>
            <w:vAlign w:val="center"/>
          </w:tcPr>
          <w:p w14:paraId="1F9F36B5">
            <w:pPr>
              <w:pStyle w:val="133"/>
            </w:pPr>
            <w:r>
              <w:rPr>
                <w:rFonts w:hint="eastAsia"/>
              </w:rPr>
              <w:t>50</w:t>
            </w:r>
          </w:p>
        </w:tc>
        <w:tc>
          <w:tcPr>
            <w:tcW w:w="579" w:type="pct"/>
            <w:vAlign w:val="center"/>
          </w:tcPr>
          <w:p w14:paraId="3A0291D3">
            <w:pPr>
              <w:pStyle w:val="133"/>
            </w:pPr>
            <w:r>
              <w:rPr>
                <w:rFonts w:hint="eastAsia"/>
              </w:rPr>
              <w:t>20</w:t>
            </w:r>
          </w:p>
        </w:tc>
        <w:tc>
          <w:tcPr>
            <w:tcW w:w="493" w:type="pct"/>
            <w:vAlign w:val="center"/>
          </w:tcPr>
          <w:p w14:paraId="0FA11DDA">
            <w:pPr>
              <w:pStyle w:val="133"/>
            </w:pPr>
            <w:r>
              <w:rPr>
                <w:rFonts w:hint="eastAsia"/>
              </w:rPr>
              <w:t>0.8</w:t>
            </w:r>
          </w:p>
        </w:tc>
        <w:tc>
          <w:tcPr>
            <w:tcW w:w="955" w:type="pct"/>
            <w:vMerge w:val="restart"/>
            <w:vAlign w:val="center"/>
          </w:tcPr>
          <w:p w14:paraId="3302F1A3">
            <w:pPr>
              <w:pStyle w:val="133"/>
            </w:pPr>
            <w:r>
              <w:rPr>
                <w:rFonts w:hint="eastAsia"/>
              </w:rPr>
              <w:t>《镁、钛工业污染物排放标准》（GB25468—2010）表5新建企业大气污染物排放浓度限值</w:t>
            </w:r>
          </w:p>
          <w:p w14:paraId="12FCD1F5">
            <w:pPr>
              <w:pStyle w:val="133"/>
            </w:pPr>
            <w:r>
              <w:t>《大气污染物综合排放标准》（GB16297-1996）表2中的二级标准</w:t>
            </w:r>
          </w:p>
          <w:p w14:paraId="080F7262">
            <w:pPr>
              <w:pStyle w:val="133"/>
            </w:pPr>
          </w:p>
          <w:p w14:paraId="53A3CCED">
            <w:pPr>
              <w:pStyle w:val="133"/>
            </w:pPr>
            <w:r>
              <w:t>《水泥工业大气污染物排 放标准》（GB4915-2013）中表1限值</w:t>
            </w:r>
          </w:p>
        </w:tc>
      </w:tr>
      <w:tr w14:paraId="616B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4" w:type="pct"/>
            <w:vAlign w:val="center"/>
          </w:tcPr>
          <w:p w14:paraId="793781CB">
            <w:pPr>
              <w:pStyle w:val="133"/>
            </w:pPr>
            <w:r>
              <w:t>DA0</w:t>
            </w:r>
            <w:r>
              <w:rPr>
                <w:rFonts w:hint="eastAsia"/>
              </w:rPr>
              <w:t>07</w:t>
            </w:r>
          </w:p>
        </w:tc>
        <w:tc>
          <w:tcPr>
            <w:tcW w:w="668" w:type="pct"/>
            <w:vMerge w:val="continue"/>
          </w:tcPr>
          <w:p w14:paraId="617B3C95">
            <w:pPr>
              <w:pStyle w:val="133"/>
            </w:pPr>
          </w:p>
        </w:tc>
        <w:tc>
          <w:tcPr>
            <w:tcW w:w="668" w:type="pct"/>
            <w:vAlign w:val="center"/>
          </w:tcPr>
          <w:p w14:paraId="4FD01970">
            <w:pPr>
              <w:pStyle w:val="133"/>
            </w:pPr>
            <w:r>
              <w:t>白云石筛分脉冲袋式除尘器</w:t>
            </w:r>
          </w:p>
        </w:tc>
        <w:tc>
          <w:tcPr>
            <w:tcW w:w="535" w:type="pct"/>
            <w:vAlign w:val="center"/>
          </w:tcPr>
          <w:p w14:paraId="7D6CBA72">
            <w:pPr>
              <w:pStyle w:val="133"/>
            </w:pPr>
            <w:r>
              <w:rPr>
                <w:rFonts w:hint="eastAsia"/>
              </w:rPr>
              <w:t>颗粒物</w:t>
            </w:r>
          </w:p>
        </w:tc>
        <w:tc>
          <w:tcPr>
            <w:tcW w:w="579" w:type="pct"/>
            <w:vAlign w:val="center"/>
          </w:tcPr>
          <w:p w14:paraId="4F39A2AC">
            <w:pPr>
              <w:pStyle w:val="133"/>
            </w:pPr>
            <w:r>
              <w:rPr>
                <w:rFonts w:hint="eastAsia"/>
              </w:rPr>
              <w:t>50</w:t>
            </w:r>
          </w:p>
        </w:tc>
        <w:tc>
          <w:tcPr>
            <w:tcW w:w="579" w:type="pct"/>
            <w:vAlign w:val="center"/>
          </w:tcPr>
          <w:p w14:paraId="712272AE">
            <w:pPr>
              <w:pStyle w:val="133"/>
            </w:pPr>
            <w:r>
              <w:rPr>
                <w:rFonts w:hint="eastAsia"/>
              </w:rPr>
              <w:t>20</w:t>
            </w:r>
          </w:p>
        </w:tc>
        <w:tc>
          <w:tcPr>
            <w:tcW w:w="493" w:type="pct"/>
            <w:vAlign w:val="center"/>
          </w:tcPr>
          <w:p w14:paraId="51966104">
            <w:pPr>
              <w:pStyle w:val="133"/>
            </w:pPr>
            <w:r>
              <w:rPr>
                <w:rFonts w:hint="eastAsia"/>
              </w:rPr>
              <w:t>0.8</w:t>
            </w:r>
          </w:p>
        </w:tc>
        <w:tc>
          <w:tcPr>
            <w:tcW w:w="955" w:type="pct"/>
            <w:vMerge w:val="continue"/>
            <w:vAlign w:val="center"/>
          </w:tcPr>
          <w:p w14:paraId="1114AE33">
            <w:pPr>
              <w:pStyle w:val="133"/>
            </w:pPr>
          </w:p>
        </w:tc>
      </w:tr>
      <w:tr w14:paraId="0373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 w:hRule="atLeast"/>
        </w:trPr>
        <w:tc>
          <w:tcPr>
            <w:tcW w:w="524" w:type="pct"/>
            <w:vMerge w:val="restart"/>
            <w:vAlign w:val="center"/>
          </w:tcPr>
          <w:p w14:paraId="747BC1D2">
            <w:pPr>
              <w:pStyle w:val="133"/>
            </w:pPr>
            <w:r>
              <w:t>DA0</w:t>
            </w:r>
            <w:r>
              <w:rPr>
                <w:rFonts w:hint="eastAsia"/>
              </w:rPr>
              <w:t>08</w:t>
            </w:r>
          </w:p>
        </w:tc>
        <w:tc>
          <w:tcPr>
            <w:tcW w:w="668" w:type="pct"/>
            <w:vMerge w:val="continue"/>
          </w:tcPr>
          <w:p w14:paraId="4AC77F63">
            <w:pPr>
              <w:pStyle w:val="133"/>
            </w:pPr>
          </w:p>
        </w:tc>
        <w:tc>
          <w:tcPr>
            <w:tcW w:w="668" w:type="pct"/>
            <w:vMerge w:val="restart"/>
            <w:vAlign w:val="center"/>
          </w:tcPr>
          <w:p w14:paraId="626EDA98">
            <w:pPr>
              <w:pStyle w:val="133"/>
            </w:pPr>
            <w:r>
              <w:t>白云石煅烧</w:t>
            </w:r>
          </w:p>
          <w:p w14:paraId="51C4ED0F">
            <w:pPr>
              <w:pStyle w:val="133"/>
            </w:pPr>
            <w:r>
              <w:t>袋式除尘器</w:t>
            </w:r>
          </w:p>
        </w:tc>
        <w:tc>
          <w:tcPr>
            <w:tcW w:w="535" w:type="pct"/>
            <w:vAlign w:val="center"/>
          </w:tcPr>
          <w:p w14:paraId="0AC72B40">
            <w:pPr>
              <w:pStyle w:val="133"/>
            </w:pPr>
            <w:r>
              <w:rPr>
                <w:rFonts w:hint="eastAsia"/>
              </w:rPr>
              <w:t>颗粒物</w:t>
            </w:r>
          </w:p>
        </w:tc>
        <w:tc>
          <w:tcPr>
            <w:tcW w:w="579" w:type="pct"/>
            <w:vAlign w:val="center"/>
          </w:tcPr>
          <w:p w14:paraId="15D2DEB7">
            <w:pPr>
              <w:pStyle w:val="133"/>
            </w:pPr>
            <w:r>
              <w:rPr>
                <w:rFonts w:hint="eastAsia"/>
              </w:rPr>
              <w:t>150</w:t>
            </w:r>
          </w:p>
        </w:tc>
        <w:tc>
          <w:tcPr>
            <w:tcW w:w="579" w:type="pct"/>
            <w:vMerge w:val="restart"/>
            <w:vAlign w:val="center"/>
          </w:tcPr>
          <w:p w14:paraId="55B6C941">
            <w:pPr>
              <w:pStyle w:val="133"/>
            </w:pPr>
            <w:r>
              <w:rPr>
                <w:rFonts w:hint="eastAsia"/>
              </w:rPr>
              <w:t>45</w:t>
            </w:r>
          </w:p>
        </w:tc>
        <w:tc>
          <w:tcPr>
            <w:tcW w:w="493" w:type="pct"/>
            <w:vMerge w:val="restart"/>
            <w:vAlign w:val="center"/>
          </w:tcPr>
          <w:p w14:paraId="605393FC">
            <w:pPr>
              <w:pStyle w:val="133"/>
            </w:pPr>
            <w:r>
              <w:rPr>
                <w:rFonts w:hint="eastAsia"/>
              </w:rPr>
              <w:t>2</w:t>
            </w:r>
          </w:p>
        </w:tc>
        <w:tc>
          <w:tcPr>
            <w:tcW w:w="955" w:type="pct"/>
            <w:vMerge w:val="continue"/>
            <w:vAlign w:val="center"/>
          </w:tcPr>
          <w:p w14:paraId="01610E6E">
            <w:pPr>
              <w:pStyle w:val="133"/>
            </w:pPr>
          </w:p>
        </w:tc>
      </w:tr>
      <w:tr w14:paraId="3838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4" w:hRule="atLeast"/>
        </w:trPr>
        <w:tc>
          <w:tcPr>
            <w:tcW w:w="524" w:type="pct"/>
            <w:vMerge w:val="continue"/>
            <w:vAlign w:val="center"/>
          </w:tcPr>
          <w:p w14:paraId="78F682F4">
            <w:pPr>
              <w:pStyle w:val="133"/>
            </w:pPr>
          </w:p>
        </w:tc>
        <w:tc>
          <w:tcPr>
            <w:tcW w:w="668" w:type="pct"/>
            <w:vMerge w:val="continue"/>
          </w:tcPr>
          <w:p w14:paraId="240AB034">
            <w:pPr>
              <w:pStyle w:val="133"/>
            </w:pPr>
          </w:p>
        </w:tc>
        <w:tc>
          <w:tcPr>
            <w:tcW w:w="668" w:type="pct"/>
            <w:vMerge w:val="continue"/>
            <w:vAlign w:val="center"/>
          </w:tcPr>
          <w:p w14:paraId="49168226">
            <w:pPr>
              <w:pStyle w:val="133"/>
            </w:pPr>
          </w:p>
        </w:tc>
        <w:tc>
          <w:tcPr>
            <w:tcW w:w="535" w:type="pct"/>
            <w:vAlign w:val="center"/>
          </w:tcPr>
          <w:p w14:paraId="7F8BBBAD">
            <w:pPr>
              <w:pStyle w:val="133"/>
            </w:pPr>
            <w:r>
              <w:rPr>
                <w:rFonts w:hint="eastAsia"/>
              </w:rPr>
              <w:t>二氧化硫</w:t>
            </w:r>
          </w:p>
        </w:tc>
        <w:tc>
          <w:tcPr>
            <w:tcW w:w="579" w:type="pct"/>
            <w:vAlign w:val="center"/>
          </w:tcPr>
          <w:p w14:paraId="2EABCDD1">
            <w:pPr>
              <w:pStyle w:val="133"/>
            </w:pPr>
            <w:r>
              <w:rPr>
                <w:rFonts w:hint="eastAsia"/>
              </w:rPr>
              <w:t>400</w:t>
            </w:r>
          </w:p>
        </w:tc>
        <w:tc>
          <w:tcPr>
            <w:tcW w:w="579" w:type="pct"/>
            <w:vMerge w:val="continue"/>
            <w:vAlign w:val="center"/>
          </w:tcPr>
          <w:p w14:paraId="1003890B">
            <w:pPr>
              <w:pStyle w:val="133"/>
            </w:pPr>
          </w:p>
        </w:tc>
        <w:tc>
          <w:tcPr>
            <w:tcW w:w="493" w:type="pct"/>
            <w:vMerge w:val="continue"/>
            <w:vAlign w:val="center"/>
          </w:tcPr>
          <w:p w14:paraId="72AD34B9">
            <w:pPr>
              <w:pStyle w:val="133"/>
            </w:pPr>
          </w:p>
        </w:tc>
        <w:tc>
          <w:tcPr>
            <w:tcW w:w="955" w:type="pct"/>
            <w:vMerge w:val="continue"/>
            <w:vAlign w:val="center"/>
          </w:tcPr>
          <w:p w14:paraId="79CC9337">
            <w:pPr>
              <w:pStyle w:val="133"/>
            </w:pPr>
          </w:p>
        </w:tc>
      </w:tr>
      <w:tr w14:paraId="42AA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70A44821">
            <w:pPr>
              <w:pStyle w:val="133"/>
            </w:pPr>
            <w:r>
              <w:t>DA0</w:t>
            </w:r>
            <w:r>
              <w:rPr>
                <w:rFonts w:hint="eastAsia"/>
              </w:rPr>
              <w:t>09</w:t>
            </w:r>
          </w:p>
        </w:tc>
        <w:tc>
          <w:tcPr>
            <w:tcW w:w="668" w:type="pct"/>
            <w:vMerge w:val="continue"/>
          </w:tcPr>
          <w:p w14:paraId="697004D5">
            <w:pPr>
              <w:pStyle w:val="133"/>
            </w:pPr>
          </w:p>
        </w:tc>
        <w:tc>
          <w:tcPr>
            <w:tcW w:w="668" w:type="pct"/>
            <w:vAlign w:val="center"/>
          </w:tcPr>
          <w:p w14:paraId="0976607C">
            <w:pPr>
              <w:pStyle w:val="133"/>
            </w:pPr>
            <w:r>
              <w:t>萤石粉输送</w:t>
            </w:r>
          </w:p>
          <w:p w14:paraId="1D602740">
            <w:pPr>
              <w:pStyle w:val="133"/>
            </w:pPr>
            <w:r>
              <w:t>袋式除尘器</w:t>
            </w:r>
          </w:p>
        </w:tc>
        <w:tc>
          <w:tcPr>
            <w:tcW w:w="535" w:type="pct"/>
            <w:vAlign w:val="center"/>
          </w:tcPr>
          <w:p w14:paraId="0CCE908E">
            <w:pPr>
              <w:pStyle w:val="133"/>
            </w:pPr>
            <w:r>
              <w:rPr>
                <w:rFonts w:hint="eastAsia"/>
              </w:rPr>
              <w:t>氟化物</w:t>
            </w:r>
          </w:p>
        </w:tc>
        <w:tc>
          <w:tcPr>
            <w:tcW w:w="579" w:type="pct"/>
            <w:vAlign w:val="center"/>
          </w:tcPr>
          <w:p w14:paraId="6B8C43F1">
            <w:pPr>
              <w:pStyle w:val="133"/>
            </w:pPr>
            <w:r>
              <w:rPr>
                <w:rFonts w:hint="eastAsia"/>
              </w:rPr>
              <w:t>9</w:t>
            </w:r>
          </w:p>
        </w:tc>
        <w:tc>
          <w:tcPr>
            <w:tcW w:w="579" w:type="pct"/>
            <w:vAlign w:val="center"/>
          </w:tcPr>
          <w:p w14:paraId="7F1762C4">
            <w:pPr>
              <w:pStyle w:val="133"/>
            </w:pPr>
            <w:r>
              <w:rPr>
                <w:rFonts w:hint="eastAsia"/>
              </w:rPr>
              <w:t>15</w:t>
            </w:r>
          </w:p>
        </w:tc>
        <w:tc>
          <w:tcPr>
            <w:tcW w:w="493" w:type="pct"/>
            <w:vAlign w:val="center"/>
          </w:tcPr>
          <w:p w14:paraId="3F3500E6">
            <w:pPr>
              <w:pStyle w:val="133"/>
            </w:pPr>
            <w:r>
              <w:rPr>
                <w:rFonts w:hint="eastAsia"/>
              </w:rPr>
              <w:t>0.2</w:t>
            </w:r>
          </w:p>
        </w:tc>
        <w:tc>
          <w:tcPr>
            <w:tcW w:w="955" w:type="pct"/>
            <w:vMerge w:val="continue"/>
            <w:vAlign w:val="center"/>
          </w:tcPr>
          <w:p w14:paraId="6F704F98">
            <w:pPr>
              <w:pStyle w:val="133"/>
            </w:pPr>
          </w:p>
        </w:tc>
      </w:tr>
      <w:tr w14:paraId="54D6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1DDD18F3">
            <w:pPr>
              <w:pStyle w:val="133"/>
            </w:pPr>
            <w:r>
              <w:t>DA</w:t>
            </w:r>
            <w:r>
              <w:rPr>
                <w:rFonts w:hint="eastAsia"/>
              </w:rPr>
              <w:t>010</w:t>
            </w:r>
          </w:p>
        </w:tc>
        <w:tc>
          <w:tcPr>
            <w:tcW w:w="668" w:type="pct"/>
            <w:vMerge w:val="continue"/>
          </w:tcPr>
          <w:p w14:paraId="4612F573">
            <w:pPr>
              <w:pStyle w:val="133"/>
            </w:pPr>
          </w:p>
        </w:tc>
        <w:tc>
          <w:tcPr>
            <w:tcW w:w="668" w:type="pct"/>
            <w:vAlign w:val="center"/>
          </w:tcPr>
          <w:p w14:paraId="605F0814">
            <w:pPr>
              <w:pStyle w:val="133"/>
            </w:pPr>
            <w:r>
              <w:t>硅铁破碎</w:t>
            </w:r>
          </w:p>
          <w:p w14:paraId="38C5D629">
            <w:pPr>
              <w:pStyle w:val="133"/>
            </w:pPr>
            <w:r>
              <w:t>袋式除尘器</w:t>
            </w:r>
          </w:p>
        </w:tc>
        <w:tc>
          <w:tcPr>
            <w:tcW w:w="535" w:type="pct"/>
            <w:vAlign w:val="center"/>
          </w:tcPr>
          <w:p w14:paraId="18B5B625">
            <w:pPr>
              <w:pStyle w:val="133"/>
            </w:pPr>
            <w:r>
              <w:rPr>
                <w:rFonts w:hint="eastAsia"/>
              </w:rPr>
              <w:t>颗粒物</w:t>
            </w:r>
          </w:p>
        </w:tc>
        <w:tc>
          <w:tcPr>
            <w:tcW w:w="579" w:type="pct"/>
            <w:vAlign w:val="center"/>
          </w:tcPr>
          <w:p w14:paraId="0E19555A">
            <w:pPr>
              <w:pStyle w:val="133"/>
            </w:pPr>
            <w:r>
              <w:rPr>
                <w:rFonts w:hint="eastAsia"/>
              </w:rPr>
              <w:t>50</w:t>
            </w:r>
          </w:p>
        </w:tc>
        <w:tc>
          <w:tcPr>
            <w:tcW w:w="579" w:type="pct"/>
            <w:vAlign w:val="center"/>
          </w:tcPr>
          <w:p w14:paraId="7CEC221A">
            <w:pPr>
              <w:pStyle w:val="133"/>
            </w:pPr>
            <w:r>
              <w:rPr>
                <w:rFonts w:hint="eastAsia"/>
              </w:rPr>
              <w:t>20</w:t>
            </w:r>
          </w:p>
        </w:tc>
        <w:tc>
          <w:tcPr>
            <w:tcW w:w="493" w:type="pct"/>
            <w:vAlign w:val="center"/>
          </w:tcPr>
          <w:p w14:paraId="09E5396F">
            <w:pPr>
              <w:pStyle w:val="133"/>
            </w:pPr>
            <w:r>
              <w:rPr>
                <w:rFonts w:hint="eastAsia"/>
              </w:rPr>
              <w:t>0.4</w:t>
            </w:r>
          </w:p>
        </w:tc>
        <w:tc>
          <w:tcPr>
            <w:tcW w:w="955" w:type="pct"/>
            <w:vMerge w:val="continue"/>
            <w:vAlign w:val="center"/>
          </w:tcPr>
          <w:p w14:paraId="39D8FFB6">
            <w:pPr>
              <w:pStyle w:val="133"/>
            </w:pPr>
          </w:p>
        </w:tc>
      </w:tr>
      <w:tr w14:paraId="6771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524" w:type="pct"/>
            <w:vMerge w:val="restart"/>
            <w:vAlign w:val="center"/>
          </w:tcPr>
          <w:p w14:paraId="4D752903">
            <w:pPr>
              <w:pStyle w:val="133"/>
            </w:pPr>
            <w:r>
              <w:t>DA</w:t>
            </w:r>
            <w:r>
              <w:rPr>
                <w:rFonts w:hint="eastAsia"/>
              </w:rPr>
              <w:t>011</w:t>
            </w:r>
          </w:p>
        </w:tc>
        <w:tc>
          <w:tcPr>
            <w:tcW w:w="668" w:type="pct"/>
            <w:vMerge w:val="continue"/>
          </w:tcPr>
          <w:p w14:paraId="22B33B99">
            <w:pPr>
              <w:pStyle w:val="133"/>
            </w:pPr>
          </w:p>
        </w:tc>
        <w:tc>
          <w:tcPr>
            <w:tcW w:w="668" w:type="pct"/>
            <w:vMerge w:val="restart"/>
            <w:vAlign w:val="center"/>
          </w:tcPr>
          <w:p w14:paraId="51021873">
            <w:pPr>
              <w:pStyle w:val="133"/>
            </w:pPr>
            <w:r>
              <w:t>配料混磨</w:t>
            </w:r>
          </w:p>
          <w:p w14:paraId="5870D2A3">
            <w:pPr>
              <w:pStyle w:val="133"/>
            </w:pPr>
            <w:r>
              <w:t>袋式除尘器</w:t>
            </w:r>
          </w:p>
        </w:tc>
        <w:tc>
          <w:tcPr>
            <w:tcW w:w="535" w:type="pct"/>
            <w:vAlign w:val="center"/>
          </w:tcPr>
          <w:p w14:paraId="7B4D8F67">
            <w:pPr>
              <w:pStyle w:val="133"/>
            </w:pPr>
            <w:r>
              <w:rPr>
                <w:rFonts w:hint="eastAsia"/>
              </w:rPr>
              <w:t>颗粒物</w:t>
            </w:r>
          </w:p>
        </w:tc>
        <w:tc>
          <w:tcPr>
            <w:tcW w:w="579" w:type="pct"/>
            <w:vAlign w:val="center"/>
          </w:tcPr>
          <w:p w14:paraId="69835A9A">
            <w:pPr>
              <w:pStyle w:val="133"/>
            </w:pPr>
            <w:r>
              <w:rPr>
                <w:rFonts w:hint="eastAsia"/>
              </w:rPr>
              <w:t>50</w:t>
            </w:r>
          </w:p>
        </w:tc>
        <w:tc>
          <w:tcPr>
            <w:tcW w:w="579" w:type="pct"/>
            <w:vMerge w:val="restart"/>
            <w:vAlign w:val="center"/>
          </w:tcPr>
          <w:p w14:paraId="6F37AD45">
            <w:pPr>
              <w:pStyle w:val="133"/>
            </w:pPr>
            <w:r>
              <w:rPr>
                <w:rFonts w:hint="eastAsia"/>
              </w:rPr>
              <w:t>20</w:t>
            </w:r>
          </w:p>
        </w:tc>
        <w:tc>
          <w:tcPr>
            <w:tcW w:w="493" w:type="pct"/>
            <w:vMerge w:val="restart"/>
            <w:vAlign w:val="center"/>
          </w:tcPr>
          <w:p w14:paraId="45FF1C6A">
            <w:pPr>
              <w:pStyle w:val="133"/>
            </w:pPr>
            <w:r>
              <w:rPr>
                <w:rFonts w:hint="eastAsia"/>
              </w:rPr>
              <w:t>0.8</w:t>
            </w:r>
          </w:p>
        </w:tc>
        <w:tc>
          <w:tcPr>
            <w:tcW w:w="955" w:type="pct"/>
            <w:vMerge w:val="continue"/>
            <w:vAlign w:val="center"/>
          </w:tcPr>
          <w:p w14:paraId="66F1DB28">
            <w:pPr>
              <w:pStyle w:val="133"/>
            </w:pPr>
          </w:p>
        </w:tc>
      </w:tr>
      <w:tr w14:paraId="5911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524" w:type="pct"/>
            <w:vMerge w:val="continue"/>
            <w:vAlign w:val="center"/>
          </w:tcPr>
          <w:p w14:paraId="094BE300">
            <w:pPr>
              <w:pStyle w:val="133"/>
            </w:pPr>
          </w:p>
        </w:tc>
        <w:tc>
          <w:tcPr>
            <w:tcW w:w="668" w:type="pct"/>
            <w:vMerge w:val="continue"/>
          </w:tcPr>
          <w:p w14:paraId="3F5029A7">
            <w:pPr>
              <w:pStyle w:val="133"/>
            </w:pPr>
          </w:p>
        </w:tc>
        <w:tc>
          <w:tcPr>
            <w:tcW w:w="668" w:type="pct"/>
            <w:vMerge w:val="continue"/>
            <w:vAlign w:val="center"/>
          </w:tcPr>
          <w:p w14:paraId="015ABD6B">
            <w:pPr>
              <w:pStyle w:val="133"/>
            </w:pPr>
          </w:p>
        </w:tc>
        <w:tc>
          <w:tcPr>
            <w:tcW w:w="535" w:type="pct"/>
            <w:vAlign w:val="center"/>
          </w:tcPr>
          <w:p w14:paraId="11216BDE">
            <w:pPr>
              <w:pStyle w:val="133"/>
            </w:pPr>
            <w:r>
              <w:rPr>
                <w:rFonts w:hint="eastAsia"/>
              </w:rPr>
              <w:t>氟化物</w:t>
            </w:r>
          </w:p>
        </w:tc>
        <w:tc>
          <w:tcPr>
            <w:tcW w:w="579" w:type="pct"/>
            <w:vAlign w:val="center"/>
          </w:tcPr>
          <w:p w14:paraId="4A33EDC1">
            <w:pPr>
              <w:pStyle w:val="133"/>
            </w:pPr>
            <w:r>
              <w:rPr>
                <w:rFonts w:hint="eastAsia"/>
              </w:rPr>
              <w:t>9</w:t>
            </w:r>
          </w:p>
        </w:tc>
        <w:tc>
          <w:tcPr>
            <w:tcW w:w="579" w:type="pct"/>
            <w:vMerge w:val="continue"/>
            <w:vAlign w:val="center"/>
          </w:tcPr>
          <w:p w14:paraId="4534DCBE">
            <w:pPr>
              <w:pStyle w:val="133"/>
            </w:pPr>
          </w:p>
        </w:tc>
        <w:tc>
          <w:tcPr>
            <w:tcW w:w="493" w:type="pct"/>
            <w:vMerge w:val="continue"/>
            <w:vAlign w:val="center"/>
          </w:tcPr>
          <w:p w14:paraId="18053C18">
            <w:pPr>
              <w:pStyle w:val="133"/>
            </w:pPr>
          </w:p>
        </w:tc>
        <w:tc>
          <w:tcPr>
            <w:tcW w:w="955" w:type="pct"/>
            <w:vMerge w:val="continue"/>
            <w:vAlign w:val="center"/>
          </w:tcPr>
          <w:p w14:paraId="1BDF1ABF">
            <w:pPr>
              <w:pStyle w:val="133"/>
            </w:pPr>
          </w:p>
        </w:tc>
      </w:tr>
      <w:tr w14:paraId="3ECB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1983866B">
            <w:pPr>
              <w:pStyle w:val="133"/>
            </w:pPr>
            <w:r>
              <w:t>DA</w:t>
            </w:r>
            <w:r>
              <w:rPr>
                <w:rFonts w:hint="eastAsia"/>
              </w:rPr>
              <w:t>012</w:t>
            </w:r>
          </w:p>
        </w:tc>
        <w:tc>
          <w:tcPr>
            <w:tcW w:w="668" w:type="pct"/>
            <w:vMerge w:val="continue"/>
          </w:tcPr>
          <w:p w14:paraId="65C86B78">
            <w:pPr>
              <w:pStyle w:val="133"/>
            </w:pPr>
          </w:p>
        </w:tc>
        <w:tc>
          <w:tcPr>
            <w:tcW w:w="668" w:type="pct"/>
            <w:vAlign w:val="center"/>
          </w:tcPr>
          <w:p w14:paraId="54CFC810">
            <w:pPr>
              <w:pStyle w:val="133"/>
            </w:pPr>
            <w:r>
              <w:t>粉煤生产</w:t>
            </w:r>
          </w:p>
          <w:p w14:paraId="423AF61D">
            <w:pPr>
              <w:pStyle w:val="133"/>
            </w:pPr>
            <w:r>
              <w:t>袋式除尘器</w:t>
            </w:r>
          </w:p>
        </w:tc>
        <w:tc>
          <w:tcPr>
            <w:tcW w:w="535" w:type="pct"/>
            <w:vAlign w:val="center"/>
          </w:tcPr>
          <w:p w14:paraId="6B008A61">
            <w:pPr>
              <w:pStyle w:val="133"/>
            </w:pPr>
            <w:r>
              <w:rPr>
                <w:rFonts w:hint="eastAsia"/>
              </w:rPr>
              <w:t>颗粒物</w:t>
            </w:r>
          </w:p>
        </w:tc>
        <w:tc>
          <w:tcPr>
            <w:tcW w:w="579" w:type="pct"/>
            <w:vAlign w:val="center"/>
          </w:tcPr>
          <w:p w14:paraId="0EC98EE5">
            <w:pPr>
              <w:pStyle w:val="133"/>
            </w:pPr>
            <w:r>
              <w:rPr>
                <w:rFonts w:hint="eastAsia"/>
              </w:rPr>
              <w:t>50</w:t>
            </w:r>
          </w:p>
        </w:tc>
        <w:tc>
          <w:tcPr>
            <w:tcW w:w="579" w:type="pct"/>
            <w:vAlign w:val="center"/>
          </w:tcPr>
          <w:p w14:paraId="657BB125">
            <w:pPr>
              <w:pStyle w:val="133"/>
            </w:pPr>
            <w:r>
              <w:rPr>
                <w:rFonts w:hint="eastAsia"/>
              </w:rPr>
              <w:t>20</w:t>
            </w:r>
          </w:p>
        </w:tc>
        <w:tc>
          <w:tcPr>
            <w:tcW w:w="493" w:type="pct"/>
            <w:vAlign w:val="center"/>
          </w:tcPr>
          <w:p w14:paraId="5547BCFF">
            <w:pPr>
              <w:pStyle w:val="133"/>
            </w:pPr>
            <w:r>
              <w:rPr>
                <w:rFonts w:hint="eastAsia"/>
              </w:rPr>
              <w:t>0.2</w:t>
            </w:r>
          </w:p>
        </w:tc>
        <w:tc>
          <w:tcPr>
            <w:tcW w:w="955" w:type="pct"/>
            <w:vMerge w:val="continue"/>
            <w:vAlign w:val="center"/>
          </w:tcPr>
          <w:p w14:paraId="3C2A5356">
            <w:pPr>
              <w:pStyle w:val="133"/>
            </w:pPr>
          </w:p>
        </w:tc>
      </w:tr>
      <w:tr w14:paraId="5620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524" w:type="pct"/>
            <w:vMerge w:val="restart"/>
            <w:vAlign w:val="center"/>
          </w:tcPr>
          <w:p w14:paraId="2CD4C401">
            <w:pPr>
              <w:pStyle w:val="133"/>
            </w:pPr>
            <w:r>
              <w:t>DA</w:t>
            </w:r>
            <w:r>
              <w:rPr>
                <w:rFonts w:hint="eastAsia"/>
              </w:rPr>
              <w:t>013</w:t>
            </w:r>
          </w:p>
        </w:tc>
        <w:tc>
          <w:tcPr>
            <w:tcW w:w="668" w:type="pct"/>
            <w:vMerge w:val="continue"/>
          </w:tcPr>
          <w:p w14:paraId="7970213E">
            <w:pPr>
              <w:pStyle w:val="133"/>
            </w:pPr>
          </w:p>
        </w:tc>
        <w:tc>
          <w:tcPr>
            <w:tcW w:w="668" w:type="pct"/>
            <w:vMerge w:val="restart"/>
            <w:vAlign w:val="center"/>
          </w:tcPr>
          <w:p w14:paraId="5DB84148">
            <w:pPr>
              <w:pStyle w:val="133"/>
            </w:pPr>
            <w:r>
              <w:t>压球筛分</w:t>
            </w:r>
          </w:p>
          <w:p w14:paraId="00AD4771">
            <w:pPr>
              <w:pStyle w:val="133"/>
            </w:pPr>
            <w:r>
              <w:t>袋式除尘器</w:t>
            </w:r>
          </w:p>
        </w:tc>
        <w:tc>
          <w:tcPr>
            <w:tcW w:w="535" w:type="pct"/>
            <w:vAlign w:val="center"/>
          </w:tcPr>
          <w:p w14:paraId="129A7D31">
            <w:pPr>
              <w:pStyle w:val="133"/>
            </w:pPr>
            <w:r>
              <w:rPr>
                <w:rFonts w:hint="eastAsia"/>
              </w:rPr>
              <w:t>颗粒物</w:t>
            </w:r>
          </w:p>
        </w:tc>
        <w:tc>
          <w:tcPr>
            <w:tcW w:w="579" w:type="pct"/>
            <w:vAlign w:val="center"/>
          </w:tcPr>
          <w:p w14:paraId="4BC16AB0">
            <w:pPr>
              <w:pStyle w:val="133"/>
            </w:pPr>
            <w:r>
              <w:rPr>
                <w:rFonts w:hint="eastAsia"/>
              </w:rPr>
              <w:t>50</w:t>
            </w:r>
          </w:p>
        </w:tc>
        <w:tc>
          <w:tcPr>
            <w:tcW w:w="579" w:type="pct"/>
            <w:vMerge w:val="restart"/>
            <w:vAlign w:val="center"/>
          </w:tcPr>
          <w:p w14:paraId="5626B585">
            <w:pPr>
              <w:pStyle w:val="133"/>
            </w:pPr>
            <w:r>
              <w:rPr>
                <w:rFonts w:hint="eastAsia"/>
              </w:rPr>
              <w:t>20</w:t>
            </w:r>
          </w:p>
        </w:tc>
        <w:tc>
          <w:tcPr>
            <w:tcW w:w="493" w:type="pct"/>
            <w:vMerge w:val="restart"/>
            <w:vAlign w:val="center"/>
          </w:tcPr>
          <w:p w14:paraId="260E8DBA">
            <w:pPr>
              <w:pStyle w:val="133"/>
            </w:pPr>
            <w:r>
              <w:rPr>
                <w:rFonts w:hint="eastAsia"/>
              </w:rPr>
              <w:t>0.8</w:t>
            </w:r>
          </w:p>
        </w:tc>
        <w:tc>
          <w:tcPr>
            <w:tcW w:w="955" w:type="pct"/>
            <w:vMerge w:val="continue"/>
            <w:vAlign w:val="center"/>
          </w:tcPr>
          <w:p w14:paraId="175FED51">
            <w:pPr>
              <w:pStyle w:val="133"/>
            </w:pPr>
          </w:p>
        </w:tc>
      </w:tr>
      <w:tr w14:paraId="19CE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524" w:type="pct"/>
            <w:vMerge w:val="continue"/>
            <w:vAlign w:val="center"/>
          </w:tcPr>
          <w:p w14:paraId="24C445C1">
            <w:pPr>
              <w:pStyle w:val="133"/>
            </w:pPr>
          </w:p>
        </w:tc>
        <w:tc>
          <w:tcPr>
            <w:tcW w:w="668" w:type="pct"/>
            <w:vMerge w:val="continue"/>
          </w:tcPr>
          <w:p w14:paraId="18B4B1DE">
            <w:pPr>
              <w:pStyle w:val="133"/>
            </w:pPr>
          </w:p>
        </w:tc>
        <w:tc>
          <w:tcPr>
            <w:tcW w:w="668" w:type="pct"/>
            <w:vMerge w:val="continue"/>
            <w:vAlign w:val="center"/>
          </w:tcPr>
          <w:p w14:paraId="67184054">
            <w:pPr>
              <w:pStyle w:val="133"/>
            </w:pPr>
          </w:p>
        </w:tc>
        <w:tc>
          <w:tcPr>
            <w:tcW w:w="535" w:type="pct"/>
            <w:vAlign w:val="center"/>
          </w:tcPr>
          <w:p w14:paraId="2868B693">
            <w:pPr>
              <w:pStyle w:val="133"/>
            </w:pPr>
            <w:r>
              <w:rPr>
                <w:rFonts w:hint="eastAsia"/>
              </w:rPr>
              <w:t>氟化物</w:t>
            </w:r>
          </w:p>
        </w:tc>
        <w:tc>
          <w:tcPr>
            <w:tcW w:w="579" w:type="pct"/>
            <w:vAlign w:val="center"/>
          </w:tcPr>
          <w:p w14:paraId="5430F9FF">
            <w:pPr>
              <w:pStyle w:val="133"/>
            </w:pPr>
            <w:r>
              <w:rPr>
                <w:rFonts w:hint="eastAsia"/>
              </w:rPr>
              <w:t>9</w:t>
            </w:r>
          </w:p>
        </w:tc>
        <w:tc>
          <w:tcPr>
            <w:tcW w:w="579" w:type="pct"/>
            <w:vMerge w:val="continue"/>
            <w:vAlign w:val="center"/>
          </w:tcPr>
          <w:p w14:paraId="75F3883F">
            <w:pPr>
              <w:pStyle w:val="133"/>
            </w:pPr>
          </w:p>
        </w:tc>
        <w:tc>
          <w:tcPr>
            <w:tcW w:w="493" w:type="pct"/>
            <w:vMerge w:val="continue"/>
            <w:vAlign w:val="center"/>
          </w:tcPr>
          <w:p w14:paraId="1ABEC636">
            <w:pPr>
              <w:pStyle w:val="133"/>
            </w:pPr>
          </w:p>
        </w:tc>
        <w:tc>
          <w:tcPr>
            <w:tcW w:w="955" w:type="pct"/>
            <w:vMerge w:val="continue"/>
            <w:vAlign w:val="center"/>
          </w:tcPr>
          <w:p w14:paraId="23C6B9B2">
            <w:pPr>
              <w:pStyle w:val="133"/>
            </w:pPr>
          </w:p>
        </w:tc>
      </w:tr>
      <w:tr w14:paraId="7FF3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524" w:type="pct"/>
            <w:vMerge w:val="restart"/>
            <w:vAlign w:val="center"/>
          </w:tcPr>
          <w:p w14:paraId="269DE7D8">
            <w:pPr>
              <w:pStyle w:val="133"/>
            </w:pPr>
            <w:r>
              <w:t>DA0</w:t>
            </w:r>
            <w:r>
              <w:rPr>
                <w:rFonts w:hint="eastAsia"/>
              </w:rPr>
              <w:t>14</w:t>
            </w:r>
          </w:p>
        </w:tc>
        <w:tc>
          <w:tcPr>
            <w:tcW w:w="668" w:type="pct"/>
            <w:vMerge w:val="continue"/>
          </w:tcPr>
          <w:p w14:paraId="12D41AB2">
            <w:pPr>
              <w:pStyle w:val="133"/>
            </w:pPr>
          </w:p>
        </w:tc>
        <w:tc>
          <w:tcPr>
            <w:tcW w:w="668" w:type="pct"/>
            <w:vMerge w:val="restart"/>
            <w:vAlign w:val="center"/>
          </w:tcPr>
          <w:p w14:paraId="6E10CE3E">
            <w:pPr>
              <w:pStyle w:val="133"/>
            </w:pPr>
            <w:r>
              <w:t>还原炉燃烧 废气排口1</w:t>
            </w:r>
          </w:p>
        </w:tc>
        <w:tc>
          <w:tcPr>
            <w:tcW w:w="535" w:type="pct"/>
            <w:vAlign w:val="center"/>
          </w:tcPr>
          <w:p w14:paraId="15C5077A">
            <w:pPr>
              <w:pStyle w:val="133"/>
            </w:pPr>
            <w:r>
              <w:rPr>
                <w:rFonts w:hint="eastAsia"/>
              </w:rPr>
              <w:t>颗粒物</w:t>
            </w:r>
          </w:p>
        </w:tc>
        <w:tc>
          <w:tcPr>
            <w:tcW w:w="579" w:type="pct"/>
            <w:vAlign w:val="center"/>
          </w:tcPr>
          <w:p w14:paraId="42BC9CFA">
            <w:pPr>
              <w:pStyle w:val="133"/>
            </w:pPr>
            <w:r>
              <w:rPr>
                <w:rFonts w:hint="eastAsia"/>
              </w:rPr>
              <w:t>50</w:t>
            </w:r>
          </w:p>
        </w:tc>
        <w:tc>
          <w:tcPr>
            <w:tcW w:w="579" w:type="pct"/>
            <w:vMerge w:val="restart"/>
            <w:vAlign w:val="center"/>
          </w:tcPr>
          <w:p w14:paraId="58DEEB80">
            <w:pPr>
              <w:pStyle w:val="133"/>
            </w:pPr>
            <w:r>
              <w:rPr>
                <w:rFonts w:hint="eastAsia"/>
              </w:rPr>
              <w:t>25</w:t>
            </w:r>
          </w:p>
        </w:tc>
        <w:tc>
          <w:tcPr>
            <w:tcW w:w="493" w:type="pct"/>
            <w:vMerge w:val="restart"/>
            <w:vAlign w:val="center"/>
          </w:tcPr>
          <w:p w14:paraId="7AFD6EAE">
            <w:pPr>
              <w:pStyle w:val="133"/>
            </w:pPr>
            <w:r>
              <w:rPr>
                <w:rFonts w:hint="eastAsia"/>
              </w:rPr>
              <w:t>1.5</w:t>
            </w:r>
          </w:p>
        </w:tc>
        <w:tc>
          <w:tcPr>
            <w:tcW w:w="955" w:type="pct"/>
            <w:vMerge w:val="continue"/>
            <w:vAlign w:val="center"/>
          </w:tcPr>
          <w:p w14:paraId="678BF99A">
            <w:pPr>
              <w:pStyle w:val="133"/>
            </w:pPr>
          </w:p>
        </w:tc>
      </w:tr>
      <w:tr w14:paraId="677A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524" w:type="pct"/>
            <w:vMerge w:val="continue"/>
            <w:vAlign w:val="center"/>
          </w:tcPr>
          <w:p w14:paraId="39C7EC2C">
            <w:pPr>
              <w:pStyle w:val="133"/>
            </w:pPr>
          </w:p>
        </w:tc>
        <w:tc>
          <w:tcPr>
            <w:tcW w:w="668" w:type="pct"/>
            <w:vMerge w:val="continue"/>
          </w:tcPr>
          <w:p w14:paraId="45BC2009">
            <w:pPr>
              <w:pStyle w:val="133"/>
            </w:pPr>
          </w:p>
        </w:tc>
        <w:tc>
          <w:tcPr>
            <w:tcW w:w="668" w:type="pct"/>
            <w:vMerge w:val="continue"/>
            <w:vAlign w:val="center"/>
          </w:tcPr>
          <w:p w14:paraId="5D25E11E">
            <w:pPr>
              <w:pStyle w:val="133"/>
            </w:pPr>
          </w:p>
        </w:tc>
        <w:tc>
          <w:tcPr>
            <w:tcW w:w="535" w:type="pct"/>
            <w:vAlign w:val="center"/>
          </w:tcPr>
          <w:p w14:paraId="113A32AA">
            <w:pPr>
              <w:pStyle w:val="133"/>
            </w:pPr>
            <w:r>
              <w:rPr>
                <w:rFonts w:hint="eastAsia"/>
              </w:rPr>
              <w:t>二氧化硫</w:t>
            </w:r>
          </w:p>
        </w:tc>
        <w:tc>
          <w:tcPr>
            <w:tcW w:w="579" w:type="pct"/>
            <w:vAlign w:val="center"/>
          </w:tcPr>
          <w:p w14:paraId="00B6536B">
            <w:pPr>
              <w:pStyle w:val="133"/>
            </w:pPr>
            <w:r>
              <w:rPr>
                <w:rFonts w:hint="eastAsia"/>
              </w:rPr>
              <w:t>400</w:t>
            </w:r>
          </w:p>
        </w:tc>
        <w:tc>
          <w:tcPr>
            <w:tcW w:w="579" w:type="pct"/>
            <w:vMerge w:val="continue"/>
            <w:vAlign w:val="center"/>
          </w:tcPr>
          <w:p w14:paraId="6DAAD110">
            <w:pPr>
              <w:pStyle w:val="133"/>
            </w:pPr>
          </w:p>
        </w:tc>
        <w:tc>
          <w:tcPr>
            <w:tcW w:w="493" w:type="pct"/>
            <w:vMerge w:val="continue"/>
            <w:vAlign w:val="center"/>
          </w:tcPr>
          <w:p w14:paraId="4D233E8F">
            <w:pPr>
              <w:pStyle w:val="133"/>
            </w:pPr>
          </w:p>
        </w:tc>
        <w:tc>
          <w:tcPr>
            <w:tcW w:w="955" w:type="pct"/>
            <w:vMerge w:val="continue"/>
            <w:vAlign w:val="center"/>
          </w:tcPr>
          <w:p w14:paraId="5C23E0F8">
            <w:pPr>
              <w:pStyle w:val="133"/>
            </w:pPr>
          </w:p>
        </w:tc>
      </w:tr>
      <w:tr w14:paraId="3BF9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524" w:type="pct"/>
            <w:vMerge w:val="restart"/>
            <w:vAlign w:val="center"/>
          </w:tcPr>
          <w:p w14:paraId="5EFF267C">
            <w:pPr>
              <w:pStyle w:val="133"/>
            </w:pPr>
            <w:r>
              <w:t>DA0</w:t>
            </w:r>
            <w:r>
              <w:rPr>
                <w:rFonts w:hint="eastAsia"/>
              </w:rPr>
              <w:t>15</w:t>
            </w:r>
          </w:p>
        </w:tc>
        <w:tc>
          <w:tcPr>
            <w:tcW w:w="668" w:type="pct"/>
            <w:vMerge w:val="continue"/>
          </w:tcPr>
          <w:p w14:paraId="7D744473">
            <w:pPr>
              <w:pStyle w:val="133"/>
            </w:pPr>
          </w:p>
        </w:tc>
        <w:tc>
          <w:tcPr>
            <w:tcW w:w="668" w:type="pct"/>
            <w:vMerge w:val="restart"/>
            <w:vAlign w:val="center"/>
          </w:tcPr>
          <w:p w14:paraId="7072F512">
            <w:pPr>
              <w:pStyle w:val="133"/>
            </w:pPr>
            <w:r>
              <w:t>还原炉燃烧 废气排口2</w:t>
            </w:r>
          </w:p>
        </w:tc>
        <w:tc>
          <w:tcPr>
            <w:tcW w:w="535" w:type="pct"/>
            <w:vAlign w:val="center"/>
          </w:tcPr>
          <w:p w14:paraId="0530B924">
            <w:pPr>
              <w:pStyle w:val="133"/>
            </w:pPr>
            <w:r>
              <w:rPr>
                <w:rFonts w:hint="eastAsia"/>
              </w:rPr>
              <w:t>颗粒物</w:t>
            </w:r>
          </w:p>
        </w:tc>
        <w:tc>
          <w:tcPr>
            <w:tcW w:w="579" w:type="pct"/>
            <w:vAlign w:val="center"/>
          </w:tcPr>
          <w:p w14:paraId="393B4876">
            <w:pPr>
              <w:pStyle w:val="133"/>
            </w:pPr>
            <w:r>
              <w:rPr>
                <w:rFonts w:hint="eastAsia"/>
              </w:rPr>
              <w:t>50</w:t>
            </w:r>
          </w:p>
        </w:tc>
        <w:tc>
          <w:tcPr>
            <w:tcW w:w="579" w:type="pct"/>
            <w:vMerge w:val="restart"/>
            <w:vAlign w:val="center"/>
          </w:tcPr>
          <w:p w14:paraId="32579B0E">
            <w:pPr>
              <w:pStyle w:val="133"/>
            </w:pPr>
            <w:r>
              <w:rPr>
                <w:rFonts w:hint="eastAsia"/>
              </w:rPr>
              <w:t>25</w:t>
            </w:r>
          </w:p>
        </w:tc>
        <w:tc>
          <w:tcPr>
            <w:tcW w:w="493" w:type="pct"/>
            <w:vMerge w:val="restart"/>
            <w:vAlign w:val="center"/>
          </w:tcPr>
          <w:p w14:paraId="65E426CD">
            <w:pPr>
              <w:pStyle w:val="133"/>
            </w:pPr>
            <w:r>
              <w:rPr>
                <w:rFonts w:hint="eastAsia"/>
              </w:rPr>
              <w:t>1.5</w:t>
            </w:r>
          </w:p>
        </w:tc>
        <w:tc>
          <w:tcPr>
            <w:tcW w:w="955" w:type="pct"/>
            <w:vMerge w:val="continue"/>
            <w:vAlign w:val="center"/>
          </w:tcPr>
          <w:p w14:paraId="7CB16195">
            <w:pPr>
              <w:pStyle w:val="133"/>
            </w:pPr>
          </w:p>
        </w:tc>
      </w:tr>
      <w:tr w14:paraId="683F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524" w:type="pct"/>
            <w:vMerge w:val="continue"/>
            <w:vAlign w:val="center"/>
          </w:tcPr>
          <w:p w14:paraId="6F9143E6">
            <w:pPr>
              <w:pStyle w:val="133"/>
            </w:pPr>
          </w:p>
        </w:tc>
        <w:tc>
          <w:tcPr>
            <w:tcW w:w="668" w:type="pct"/>
            <w:vMerge w:val="continue"/>
          </w:tcPr>
          <w:p w14:paraId="32E6D07B">
            <w:pPr>
              <w:pStyle w:val="133"/>
            </w:pPr>
          </w:p>
        </w:tc>
        <w:tc>
          <w:tcPr>
            <w:tcW w:w="668" w:type="pct"/>
            <w:vMerge w:val="continue"/>
            <w:vAlign w:val="center"/>
          </w:tcPr>
          <w:p w14:paraId="5BD8D753">
            <w:pPr>
              <w:pStyle w:val="133"/>
            </w:pPr>
          </w:p>
        </w:tc>
        <w:tc>
          <w:tcPr>
            <w:tcW w:w="535" w:type="pct"/>
            <w:vAlign w:val="center"/>
          </w:tcPr>
          <w:p w14:paraId="28C9606C">
            <w:pPr>
              <w:pStyle w:val="133"/>
            </w:pPr>
            <w:r>
              <w:rPr>
                <w:rFonts w:hint="eastAsia"/>
              </w:rPr>
              <w:t>二氧化硫</w:t>
            </w:r>
          </w:p>
        </w:tc>
        <w:tc>
          <w:tcPr>
            <w:tcW w:w="579" w:type="pct"/>
            <w:vAlign w:val="center"/>
          </w:tcPr>
          <w:p w14:paraId="5084DDD5">
            <w:pPr>
              <w:pStyle w:val="133"/>
            </w:pPr>
            <w:r>
              <w:rPr>
                <w:rFonts w:hint="eastAsia"/>
              </w:rPr>
              <w:t>400</w:t>
            </w:r>
          </w:p>
        </w:tc>
        <w:tc>
          <w:tcPr>
            <w:tcW w:w="579" w:type="pct"/>
            <w:vMerge w:val="continue"/>
            <w:vAlign w:val="center"/>
          </w:tcPr>
          <w:p w14:paraId="143F22FA">
            <w:pPr>
              <w:pStyle w:val="133"/>
            </w:pPr>
          </w:p>
        </w:tc>
        <w:tc>
          <w:tcPr>
            <w:tcW w:w="493" w:type="pct"/>
            <w:vMerge w:val="continue"/>
            <w:vAlign w:val="center"/>
          </w:tcPr>
          <w:p w14:paraId="552D8831">
            <w:pPr>
              <w:pStyle w:val="133"/>
            </w:pPr>
          </w:p>
        </w:tc>
        <w:tc>
          <w:tcPr>
            <w:tcW w:w="955" w:type="pct"/>
            <w:vMerge w:val="continue"/>
            <w:vAlign w:val="center"/>
          </w:tcPr>
          <w:p w14:paraId="4ECEA28E">
            <w:pPr>
              <w:pStyle w:val="133"/>
            </w:pPr>
          </w:p>
        </w:tc>
      </w:tr>
      <w:tr w14:paraId="0925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524" w:type="pct"/>
            <w:vMerge w:val="restart"/>
            <w:vAlign w:val="center"/>
          </w:tcPr>
          <w:p w14:paraId="2976D103">
            <w:pPr>
              <w:pStyle w:val="133"/>
            </w:pPr>
            <w:r>
              <w:t>DA</w:t>
            </w:r>
            <w:r>
              <w:rPr>
                <w:rFonts w:hint="eastAsia"/>
              </w:rPr>
              <w:t>016</w:t>
            </w:r>
          </w:p>
        </w:tc>
        <w:tc>
          <w:tcPr>
            <w:tcW w:w="668" w:type="pct"/>
            <w:vMerge w:val="continue"/>
          </w:tcPr>
          <w:p w14:paraId="4E3D37D5">
            <w:pPr>
              <w:pStyle w:val="133"/>
            </w:pPr>
          </w:p>
        </w:tc>
        <w:tc>
          <w:tcPr>
            <w:tcW w:w="668" w:type="pct"/>
            <w:vMerge w:val="restart"/>
            <w:vAlign w:val="center"/>
          </w:tcPr>
          <w:p w14:paraId="1D93B4C2">
            <w:pPr>
              <w:pStyle w:val="133"/>
            </w:pPr>
            <w:r>
              <w:t>还原炉燃烧 废气排口3</w:t>
            </w:r>
          </w:p>
        </w:tc>
        <w:tc>
          <w:tcPr>
            <w:tcW w:w="535" w:type="pct"/>
            <w:vAlign w:val="center"/>
          </w:tcPr>
          <w:p w14:paraId="468A29CD">
            <w:pPr>
              <w:pStyle w:val="133"/>
            </w:pPr>
            <w:r>
              <w:rPr>
                <w:rFonts w:hint="eastAsia"/>
              </w:rPr>
              <w:t>颗粒物</w:t>
            </w:r>
          </w:p>
        </w:tc>
        <w:tc>
          <w:tcPr>
            <w:tcW w:w="579" w:type="pct"/>
            <w:vAlign w:val="center"/>
          </w:tcPr>
          <w:p w14:paraId="3D728792">
            <w:pPr>
              <w:pStyle w:val="133"/>
            </w:pPr>
            <w:r>
              <w:rPr>
                <w:rFonts w:hint="eastAsia"/>
              </w:rPr>
              <w:t>50</w:t>
            </w:r>
          </w:p>
        </w:tc>
        <w:tc>
          <w:tcPr>
            <w:tcW w:w="579" w:type="pct"/>
            <w:vMerge w:val="restart"/>
            <w:vAlign w:val="center"/>
          </w:tcPr>
          <w:p w14:paraId="6DC7CDAB">
            <w:pPr>
              <w:pStyle w:val="133"/>
            </w:pPr>
            <w:r>
              <w:rPr>
                <w:rFonts w:hint="eastAsia"/>
              </w:rPr>
              <w:t>25</w:t>
            </w:r>
          </w:p>
        </w:tc>
        <w:tc>
          <w:tcPr>
            <w:tcW w:w="493" w:type="pct"/>
            <w:vMerge w:val="restart"/>
            <w:vAlign w:val="center"/>
          </w:tcPr>
          <w:p w14:paraId="252A0CF6">
            <w:pPr>
              <w:pStyle w:val="133"/>
            </w:pPr>
            <w:r>
              <w:rPr>
                <w:rFonts w:hint="eastAsia"/>
              </w:rPr>
              <w:t>1.5</w:t>
            </w:r>
          </w:p>
        </w:tc>
        <w:tc>
          <w:tcPr>
            <w:tcW w:w="955" w:type="pct"/>
            <w:vMerge w:val="continue"/>
            <w:vAlign w:val="center"/>
          </w:tcPr>
          <w:p w14:paraId="59400C50">
            <w:pPr>
              <w:pStyle w:val="133"/>
            </w:pPr>
          </w:p>
        </w:tc>
      </w:tr>
      <w:tr w14:paraId="7E2A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524" w:type="pct"/>
            <w:vMerge w:val="continue"/>
            <w:vAlign w:val="center"/>
          </w:tcPr>
          <w:p w14:paraId="738EB48B">
            <w:pPr>
              <w:pStyle w:val="133"/>
            </w:pPr>
          </w:p>
        </w:tc>
        <w:tc>
          <w:tcPr>
            <w:tcW w:w="668" w:type="pct"/>
            <w:vMerge w:val="continue"/>
          </w:tcPr>
          <w:p w14:paraId="44B130FB">
            <w:pPr>
              <w:pStyle w:val="133"/>
            </w:pPr>
          </w:p>
        </w:tc>
        <w:tc>
          <w:tcPr>
            <w:tcW w:w="668" w:type="pct"/>
            <w:vMerge w:val="continue"/>
            <w:vAlign w:val="center"/>
          </w:tcPr>
          <w:p w14:paraId="5CB0EA05">
            <w:pPr>
              <w:pStyle w:val="133"/>
            </w:pPr>
          </w:p>
        </w:tc>
        <w:tc>
          <w:tcPr>
            <w:tcW w:w="535" w:type="pct"/>
            <w:vAlign w:val="center"/>
          </w:tcPr>
          <w:p w14:paraId="0A0E9DAF">
            <w:pPr>
              <w:pStyle w:val="133"/>
            </w:pPr>
            <w:r>
              <w:rPr>
                <w:rFonts w:hint="eastAsia"/>
              </w:rPr>
              <w:t>二氧化硫</w:t>
            </w:r>
          </w:p>
        </w:tc>
        <w:tc>
          <w:tcPr>
            <w:tcW w:w="579" w:type="pct"/>
            <w:vAlign w:val="center"/>
          </w:tcPr>
          <w:p w14:paraId="6DC3EA35">
            <w:pPr>
              <w:pStyle w:val="133"/>
            </w:pPr>
            <w:r>
              <w:rPr>
                <w:rFonts w:hint="eastAsia"/>
              </w:rPr>
              <w:t>400</w:t>
            </w:r>
          </w:p>
        </w:tc>
        <w:tc>
          <w:tcPr>
            <w:tcW w:w="579" w:type="pct"/>
            <w:vMerge w:val="continue"/>
            <w:vAlign w:val="center"/>
          </w:tcPr>
          <w:p w14:paraId="0FFCF6D5">
            <w:pPr>
              <w:pStyle w:val="133"/>
            </w:pPr>
          </w:p>
        </w:tc>
        <w:tc>
          <w:tcPr>
            <w:tcW w:w="493" w:type="pct"/>
            <w:vMerge w:val="continue"/>
            <w:vAlign w:val="center"/>
          </w:tcPr>
          <w:p w14:paraId="7695FB5A">
            <w:pPr>
              <w:pStyle w:val="133"/>
            </w:pPr>
          </w:p>
        </w:tc>
        <w:tc>
          <w:tcPr>
            <w:tcW w:w="955" w:type="pct"/>
            <w:vMerge w:val="continue"/>
            <w:vAlign w:val="center"/>
          </w:tcPr>
          <w:p w14:paraId="72D8B1D0">
            <w:pPr>
              <w:pStyle w:val="133"/>
            </w:pPr>
          </w:p>
        </w:tc>
      </w:tr>
      <w:tr w14:paraId="613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3F36BFA4">
            <w:pPr>
              <w:pStyle w:val="133"/>
            </w:pPr>
            <w:r>
              <w:t>DA</w:t>
            </w:r>
            <w:r>
              <w:rPr>
                <w:rFonts w:hint="eastAsia"/>
              </w:rPr>
              <w:t>017</w:t>
            </w:r>
          </w:p>
        </w:tc>
        <w:tc>
          <w:tcPr>
            <w:tcW w:w="668" w:type="pct"/>
            <w:vMerge w:val="continue"/>
          </w:tcPr>
          <w:p w14:paraId="3262BAD7">
            <w:pPr>
              <w:pStyle w:val="133"/>
            </w:pPr>
          </w:p>
        </w:tc>
        <w:tc>
          <w:tcPr>
            <w:tcW w:w="668" w:type="pct"/>
            <w:vAlign w:val="center"/>
          </w:tcPr>
          <w:p w14:paraId="10A68FCB">
            <w:pPr>
              <w:pStyle w:val="133"/>
            </w:pPr>
            <w:r>
              <w:t>还原炉排口1</w:t>
            </w:r>
          </w:p>
        </w:tc>
        <w:tc>
          <w:tcPr>
            <w:tcW w:w="535" w:type="pct"/>
            <w:vAlign w:val="center"/>
          </w:tcPr>
          <w:p w14:paraId="60E70F5F">
            <w:pPr>
              <w:pStyle w:val="133"/>
            </w:pPr>
            <w:r>
              <w:rPr>
                <w:rFonts w:hint="eastAsia"/>
              </w:rPr>
              <w:t>颗粒物</w:t>
            </w:r>
          </w:p>
        </w:tc>
        <w:tc>
          <w:tcPr>
            <w:tcW w:w="579" w:type="pct"/>
            <w:vAlign w:val="center"/>
          </w:tcPr>
          <w:p w14:paraId="1B45AB4C">
            <w:pPr>
              <w:pStyle w:val="133"/>
            </w:pPr>
            <w:r>
              <w:rPr>
                <w:rFonts w:hint="eastAsia"/>
              </w:rPr>
              <w:t>50</w:t>
            </w:r>
          </w:p>
        </w:tc>
        <w:tc>
          <w:tcPr>
            <w:tcW w:w="579" w:type="pct"/>
            <w:vAlign w:val="center"/>
          </w:tcPr>
          <w:p w14:paraId="5AC938C8">
            <w:pPr>
              <w:pStyle w:val="133"/>
            </w:pPr>
            <w:r>
              <w:rPr>
                <w:rFonts w:hint="eastAsia"/>
              </w:rPr>
              <w:t>25</w:t>
            </w:r>
          </w:p>
        </w:tc>
        <w:tc>
          <w:tcPr>
            <w:tcW w:w="493" w:type="pct"/>
            <w:vAlign w:val="center"/>
          </w:tcPr>
          <w:p w14:paraId="74943701">
            <w:pPr>
              <w:pStyle w:val="133"/>
            </w:pPr>
            <w:r>
              <w:rPr>
                <w:rFonts w:hint="eastAsia"/>
              </w:rPr>
              <w:t>1.5</w:t>
            </w:r>
          </w:p>
        </w:tc>
        <w:tc>
          <w:tcPr>
            <w:tcW w:w="955" w:type="pct"/>
            <w:vMerge w:val="continue"/>
            <w:vAlign w:val="center"/>
          </w:tcPr>
          <w:p w14:paraId="750F2635">
            <w:pPr>
              <w:pStyle w:val="133"/>
            </w:pPr>
          </w:p>
        </w:tc>
      </w:tr>
      <w:tr w14:paraId="0C74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7FBD79E2">
            <w:pPr>
              <w:pStyle w:val="133"/>
            </w:pPr>
            <w:r>
              <w:t>DA0</w:t>
            </w:r>
            <w:r>
              <w:rPr>
                <w:rFonts w:hint="eastAsia"/>
              </w:rPr>
              <w:t>18</w:t>
            </w:r>
          </w:p>
        </w:tc>
        <w:tc>
          <w:tcPr>
            <w:tcW w:w="668" w:type="pct"/>
            <w:vMerge w:val="continue"/>
          </w:tcPr>
          <w:p w14:paraId="22F9E1C4">
            <w:pPr>
              <w:pStyle w:val="133"/>
            </w:pPr>
          </w:p>
        </w:tc>
        <w:tc>
          <w:tcPr>
            <w:tcW w:w="668" w:type="pct"/>
            <w:vAlign w:val="center"/>
          </w:tcPr>
          <w:p w14:paraId="6756F00C">
            <w:pPr>
              <w:pStyle w:val="133"/>
            </w:pPr>
            <w:r>
              <w:t>还原炉排口2</w:t>
            </w:r>
          </w:p>
        </w:tc>
        <w:tc>
          <w:tcPr>
            <w:tcW w:w="535" w:type="pct"/>
            <w:vAlign w:val="center"/>
          </w:tcPr>
          <w:p w14:paraId="0D43E004">
            <w:pPr>
              <w:pStyle w:val="133"/>
            </w:pPr>
            <w:r>
              <w:rPr>
                <w:rFonts w:hint="eastAsia"/>
              </w:rPr>
              <w:t>颗粒物</w:t>
            </w:r>
          </w:p>
        </w:tc>
        <w:tc>
          <w:tcPr>
            <w:tcW w:w="579" w:type="pct"/>
            <w:vAlign w:val="center"/>
          </w:tcPr>
          <w:p w14:paraId="7FF5C341">
            <w:pPr>
              <w:pStyle w:val="133"/>
            </w:pPr>
            <w:r>
              <w:rPr>
                <w:rFonts w:hint="eastAsia"/>
              </w:rPr>
              <w:t>50</w:t>
            </w:r>
          </w:p>
        </w:tc>
        <w:tc>
          <w:tcPr>
            <w:tcW w:w="579" w:type="pct"/>
            <w:vAlign w:val="center"/>
          </w:tcPr>
          <w:p w14:paraId="12509199">
            <w:pPr>
              <w:pStyle w:val="133"/>
            </w:pPr>
            <w:r>
              <w:rPr>
                <w:rFonts w:hint="eastAsia"/>
              </w:rPr>
              <w:t>25</w:t>
            </w:r>
          </w:p>
        </w:tc>
        <w:tc>
          <w:tcPr>
            <w:tcW w:w="493" w:type="pct"/>
            <w:vAlign w:val="center"/>
          </w:tcPr>
          <w:p w14:paraId="37EE4D29">
            <w:pPr>
              <w:pStyle w:val="133"/>
            </w:pPr>
            <w:r>
              <w:rPr>
                <w:rFonts w:hint="eastAsia"/>
              </w:rPr>
              <w:t>1.5</w:t>
            </w:r>
          </w:p>
        </w:tc>
        <w:tc>
          <w:tcPr>
            <w:tcW w:w="955" w:type="pct"/>
            <w:vMerge w:val="continue"/>
            <w:vAlign w:val="center"/>
          </w:tcPr>
          <w:p w14:paraId="4C12E8AC">
            <w:pPr>
              <w:pStyle w:val="133"/>
            </w:pPr>
          </w:p>
        </w:tc>
      </w:tr>
      <w:tr w14:paraId="4442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0" w:hRule="atLeast"/>
        </w:trPr>
        <w:tc>
          <w:tcPr>
            <w:tcW w:w="524" w:type="pct"/>
            <w:vMerge w:val="restart"/>
            <w:vAlign w:val="center"/>
          </w:tcPr>
          <w:p w14:paraId="7D99B775">
            <w:pPr>
              <w:pStyle w:val="133"/>
            </w:pPr>
            <w:r>
              <w:t>DA0</w:t>
            </w:r>
            <w:r>
              <w:rPr>
                <w:rFonts w:hint="eastAsia"/>
              </w:rPr>
              <w:t>19</w:t>
            </w:r>
          </w:p>
        </w:tc>
        <w:tc>
          <w:tcPr>
            <w:tcW w:w="668" w:type="pct"/>
            <w:vMerge w:val="continue"/>
          </w:tcPr>
          <w:p w14:paraId="0D1FF985">
            <w:pPr>
              <w:pStyle w:val="133"/>
            </w:pPr>
          </w:p>
        </w:tc>
        <w:tc>
          <w:tcPr>
            <w:tcW w:w="668" w:type="pct"/>
            <w:vMerge w:val="restart"/>
            <w:vAlign w:val="center"/>
          </w:tcPr>
          <w:p w14:paraId="1EB41A17">
            <w:pPr>
              <w:pStyle w:val="133"/>
            </w:pPr>
            <w:r>
              <w:t>精炼废气1</w:t>
            </w:r>
          </w:p>
        </w:tc>
        <w:tc>
          <w:tcPr>
            <w:tcW w:w="535" w:type="pct"/>
            <w:vAlign w:val="center"/>
          </w:tcPr>
          <w:p w14:paraId="7E59B5B9">
            <w:pPr>
              <w:pStyle w:val="133"/>
            </w:pPr>
            <w:r>
              <w:rPr>
                <w:rFonts w:hint="eastAsia"/>
              </w:rPr>
              <w:t>颗粒物</w:t>
            </w:r>
          </w:p>
        </w:tc>
        <w:tc>
          <w:tcPr>
            <w:tcW w:w="579" w:type="pct"/>
            <w:vAlign w:val="center"/>
          </w:tcPr>
          <w:p w14:paraId="529D8473">
            <w:pPr>
              <w:pStyle w:val="133"/>
            </w:pPr>
            <w:r>
              <w:rPr>
                <w:rFonts w:hint="eastAsia"/>
              </w:rPr>
              <w:t>50</w:t>
            </w:r>
          </w:p>
        </w:tc>
        <w:tc>
          <w:tcPr>
            <w:tcW w:w="579" w:type="pct"/>
            <w:vMerge w:val="restart"/>
            <w:vAlign w:val="center"/>
          </w:tcPr>
          <w:p w14:paraId="7FEF0E8F">
            <w:pPr>
              <w:pStyle w:val="133"/>
            </w:pPr>
            <w:r>
              <w:rPr>
                <w:rFonts w:hint="eastAsia"/>
              </w:rPr>
              <w:t>25</w:t>
            </w:r>
          </w:p>
        </w:tc>
        <w:tc>
          <w:tcPr>
            <w:tcW w:w="493" w:type="pct"/>
            <w:vMerge w:val="restart"/>
            <w:vAlign w:val="center"/>
          </w:tcPr>
          <w:p w14:paraId="110E7B8A">
            <w:pPr>
              <w:pStyle w:val="133"/>
            </w:pPr>
            <w:r>
              <w:rPr>
                <w:rFonts w:hint="eastAsia"/>
              </w:rPr>
              <w:t>0.8</w:t>
            </w:r>
          </w:p>
        </w:tc>
        <w:tc>
          <w:tcPr>
            <w:tcW w:w="955" w:type="pct"/>
            <w:vMerge w:val="continue"/>
            <w:vAlign w:val="center"/>
          </w:tcPr>
          <w:p w14:paraId="73A60CB6">
            <w:pPr>
              <w:pStyle w:val="133"/>
            </w:pPr>
          </w:p>
        </w:tc>
      </w:tr>
      <w:tr w14:paraId="086F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 w:hRule="atLeast"/>
        </w:trPr>
        <w:tc>
          <w:tcPr>
            <w:tcW w:w="524" w:type="pct"/>
            <w:vMerge w:val="continue"/>
            <w:vAlign w:val="center"/>
          </w:tcPr>
          <w:p w14:paraId="47914132">
            <w:pPr>
              <w:pStyle w:val="133"/>
            </w:pPr>
          </w:p>
        </w:tc>
        <w:tc>
          <w:tcPr>
            <w:tcW w:w="668" w:type="pct"/>
            <w:vMerge w:val="continue"/>
          </w:tcPr>
          <w:p w14:paraId="2A7EE3D9">
            <w:pPr>
              <w:pStyle w:val="133"/>
            </w:pPr>
          </w:p>
        </w:tc>
        <w:tc>
          <w:tcPr>
            <w:tcW w:w="668" w:type="pct"/>
            <w:vMerge w:val="continue"/>
            <w:vAlign w:val="center"/>
          </w:tcPr>
          <w:p w14:paraId="60F7B6A6">
            <w:pPr>
              <w:pStyle w:val="133"/>
            </w:pPr>
          </w:p>
        </w:tc>
        <w:tc>
          <w:tcPr>
            <w:tcW w:w="535" w:type="pct"/>
            <w:vAlign w:val="center"/>
          </w:tcPr>
          <w:p w14:paraId="1A26EEB3">
            <w:pPr>
              <w:pStyle w:val="133"/>
            </w:pPr>
            <w:r>
              <w:rPr>
                <w:rFonts w:hint="eastAsia"/>
              </w:rPr>
              <w:t>二氧化硫</w:t>
            </w:r>
          </w:p>
        </w:tc>
        <w:tc>
          <w:tcPr>
            <w:tcW w:w="579" w:type="pct"/>
            <w:vAlign w:val="center"/>
          </w:tcPr>
          <w:p w14:paraId="62A00E2F">
            <w:pPr>
              <w:pStyle w:val="133"/>
            </w:pPr>
            <w:r>
              <w:rPr>
                <w:rFonts w:hint="eastAsia"/>
              </w:rPr>
              <w:t>400</w:t>
            </w:r>
          </w:p>
        </w:tc>
        <w:tc>
          <w:tcPr>
            <w:tcW w:w="579" w:type="pct"/>
            <w:vMerge w:val="continue"/>
            <w:vAlign w:val="center"/>
          </w:tcPr>
          <w:p w14:paraId="314D1404">
            <w:pPr>
              <w:pStyle w:val="133"/>
            </w:pPr>
          </w:p>
        </w:tc>
        <w:tc>
          <w:tcPr>
            <w:tcW w:w="493" w:type="pct"/>
            <w:vMerge w:val="continue"/>
            <w:vAlign w:val="center"/>
          </w:tcPr>
          <w:p w14:paraId="7505A95A">
            <w:pPr>
              <w:pStyle w:val="133"/>
            </w:pPr>
          </w:p>
        </w:tc>
        <w:tc>
          <w:tcPr>
            <w:tcW w:w="955" w:type="pct"/>
            <w:vMerge w:val="continue"/>
            <w:vAlign w:val="center"/>
          </w:tcPr>
          <w:p w14:paraId="753EE1F8">
            <w:pPr>
              <w:pStyle w:val="133"/>
            </w:pPr>
          </w:p>
        </w:tc>
      </w:tr>
      <w:tr w14:paraId="6DFB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trPr>
        <w:tc>
          <w:tcPr>
            <w:tcW w:w="524" w:type="pct"/>
            <w:vMerge w:val="restart"/>
            <w:vAlign w:val="center"/>
          </w:tcPr>
          <w:p w14:paraId="47DB226D">
            <w:pPr>
              <w:pStyle w:val="133"/>
            </w:pPr>
            <w:r>
              <w:t>DA0</w:t>
            </w:r>
            <w:r>
              <w:rPr>
                <w:rFonts w:hint="eastAsia"/>
              </w:rPr>
              <w:t>20</w:t>
            </w:r>
          </w:p>
        </w:tc>
        <w:tc>
          <w:tcPr>
            <w:tcW w:w="668" w:type="pct"/>
            <w:vMerge w:val="continue"/>
          </w:tcPr>
          <w:p w14:paraId="3CC4852B">
            <w:pPr>
              <w:pStyle w:val="133"/>
            </w:pPr>
          </w:p>
        </w:tc>
        <w:tc>
          <w:tcPr>
            <w:tcW w:w="668" w:type="pct"/>
            <w:vMerge w:val="restart"/>
            <w:vAlign w:val="center"/>
          </w:tcPr>
          <w:p w14:paraId="5A3586BB">
            <w:pPr>
              <w:pStyle w:val="133"/>
            </w:pPr>
            <w:r>
              <w:t>精炼合金化 炉燃烧废气 排口</w:t>
            </w:r>
          </w:p>
        </w:tc>
        <w:tc>
          <w:tcPr>
            <w:tcW w:w="535" w:type="pct"/>
            <w:vAlign w:val="center"/>
          </w:tcPr>
          <w:p w14:paraId="527E920B">
            <w:pPr>
              <w:pStyle w:val="133"/>
            </w:pPr>
            <w:r>
              <w:rPr>
                <w:rFonts w:hint="eastAsia"/>
              </w:rPr>
              <w:t>颗粒物</w:t>
            </w:r>
          </w:p>
        </w:tc>
        <w:tc>
          <w:tcPr>
            <w:tcW w:w="579" w:type="pct"/>
            <w:vAlign w:val="center"/>
          </w:tcPr>
          <w:p w14:paraId="5CB58F3B">
            <w:pPr>
              <w:pStyle w:val="133"/>
            </w:pPr>
            <w:r>
              <w:rPr>
                <w:rFonts w:hint="eastAsia"/>
              </w:rPr>
              <w:t>50</w:t>
            </w:r>
          </w:p>
        </w:tc>
        <w:tc>
          <w:tcPr>
            <w:tcW w:w="579" w:type="pct"/>
            <w:vMerge w:val="restart"/>
            <w:vAlign w:val="center"/>
          </w:tcPr>
          <w:p w14:paraId="3C449F1A">
            <w:pPr>
              <w:pStyle w:val="133"/>
            </w:pPr>
            <w:r>
              <w:rPr>
                <w:rFonts w:hint="eastAsia"/>
              </w:rPr>
              <w:t>30</w:t>
            </w:r>
          </w:p>
        </w:tc>
        <w:tc>
          <w:tcPr>
            <w:tcW w:w="493" w:type="pct"/>
            <w:vMerge w:val="restart"/>
            <w:vAlign w:val="center"/>
          </w:tcPr>
          <w:p w14:paraId="2F988C07">
            <w:pPr>
              <w:pStyle w:val="133"/>
            </w:pPr>
            <w:r>
              <w:rPr>
                <w:rFonts w:hint="eastAsia"/>
              </w:rPr>
              <w:t>1.5</w:t>
            </w:r>
          </w:p>
        </w:tc>
        <w:tc>
          <w:tcPr>
            <w:tcW w:w="955" w:type="pct"/>
            <w:vMerge w:val="continue"/>
            <w:vAlign w:val="center"/>
          </w:tcPr>
          <w:p w14:paraId="0A40AB62">
            <w:pPr>
              <w:pStyle w:val="133"/>
            </w:pPr>
          </w:p>
        </w:tc>
      </w:tr>
      <w:tr w14:paraId="2CDC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524" w:type="pct"/>
            <w:vMerge w:val="continue"/>
            <w:vAlign w:val="center"/>
          </w:tcPr>
          <w:p w14:paraId="64DC8962">
            <w:pPr>
              <w:pStyle w:val="133"/>
            </w:pPr>
          </w:p>
        </w:tc>
        <w:tc>
          <w:tcPr>
            <w:tcW w:w="668" w:type="pct"/>
            <w:vMerge w:val="continue"/>
          </w:tcPr>
          <w:p w14:paraId="7B8F6969">
            <w:pPr>
              <w:pStyle w:val="133"/>
            </w:pPr>
          </w:p>
        </w:tc>
        <w:tc>
          <w:tcPr>
            <w:tcW w:w="668" w:type="pct"/>
            <w:vMerge w:val="continue"/>
            <w:vAlign w:val="center"/>
          </w:tcPr>
          <w:p w14:paraId="47CBE82A">
            <w:pPr>
              <w:pStyle w:val="133"/>
            </w:pPr>
          </w:p>
        </w:tc>
        <w:tc>
          <w:tcPr>
            <w:tcW w:w="535" w:type="pct"/>
            <w:vAlign w:val="center"/>
          </w:tcPr>
          <w:p w14:paraId="74967962">
            <w:pPr>
              <w:pStyle w:val="133"/>
            </w:pPr>
            <w:r>
              <w:rPr>
                <w:rFonts w:hint="eastAsia"/>
              </w:rPr>
              <w:t>二氧化硫</w:t>
            </w:r>
          </w:p>
        </w:tc>
        <w:tc>
          <w:tcPr>
            <w:tcW w:w="579" w:type="pct"/>
            <w:vAlign w:val="center"/>
          </w:tcPr>
          <w:p w14:paraId="4BBB948B">
            <w:pPr>
              <w:pStyle w:val="133"/>
            </w:pPr>
            <w:r>
              <w:rPr>
                <w:rFonts w:hint="eastAsia"/>
              </w:rPr>
              <w:t>400</w:t>
            </w:r>
          </w:p>
        </w:tc>
        <w:tc>
          <w:tcPr>
            <w:tcW w:w="579" w:type="pct"/>
            <w:vMerge w:val="continue"/>
            <w:vAlign w:val="center"/>
          </w:tcPr>
          <w:p w14:paraId="763E80B8">
            <w:pPr>
              <w:pStyle w:val="133"/>
            </w:pPr>
          </w:p>
        </w:tc>
        <w:tc>
          <w:tcPr>
            <w:tcW w:w="493" w:type="pct"/>
            <w:vMerge w:val="continue"/>
            <w:vAlign w:val="center"/>
          </w:tcPr>
          <w:p w14:paraId="56DD0615">
            <w:pPr>
              <w:pStyle w:val="133"/>
            </w:pPr>
          </w:p>
        </w:tc>
        <w:tc>
          <w:tcPr>
            <w:tcW w:w="955" w:type="pct"/>
            <w:vMerge w:val="continue"/>
            <w:vAlign w:val="center"/>
          </w:tcPr>
          <w:p w14:paraId="783F3B8D">
            <w:pPr>
              <w:pStyle w:val="133"/>
            </w:pPr>
          </w:p>
        </w:tc>
      </w:tr>
      <w:tr w14:paraId="44F1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243E9BB0">
            <w:pPr>
              <w:pStyle w:val="133"/>
            </w:pPr>
            <w:r>
              <w:t>DA0</w:t>
            </w:r>
            <w:r>
              <w:rPr>
                <w:rFonts w:hint="eastAsia"/>
              </w:rPr>
              <w:t>21</w:t>
            </w:r>
          </w:p>
        </w:tc>
        <w:tc>
          <w:tcPr>
            <w:tcW w:w="668" w:type="pct"/>
            <w:vMerge w:val="continue"/>
          </w:tcPr>
          <w:p w14:paraId="10E784CF">
            <w:pPr>
              <w:pStyle w:val="133"/>
            </w:pPr>
          </w:p>
        </w:tc>
        <w:tc>
          <w:tcPr>
            <w:tcW w:w="668" w:type="pct"/>
            <w:vMerge w:val="continue"/>
            <w:vAlign w:val="center"/>
          </w:tcPr>
          <w:p w14:paraId="1CDEB2D2">
            <w:pPr>
              <w:pStyle w:val="133"/>
            </w:pPr>
          </w:p>
        </w:tc>
        <w:tc>
          <w:tcPr>
            <w:tcW w:w="535" w:type="pct"/>
            <w:vAlign w:val="center"/>
          </w:tcPr>
          <w:p w14:paraId="267EEFEB">
            <w:pPr>
              <w:pStyle w:val="133"/>
            </w:pPr>
            <w:r>
              <w:rPr>
                <w:rFonts w:hint="eastAsia"/>
              </w:rPr>
              <w:t>氮氧化物</w:t>
            </w:r>
          </w:p>
        </w:tc>
        <w:tc>
          <w:tcPr>
            <w:tcW w:w="579" w:type="pct"/>
            <w:vAlign w:val="center"/>
          </w:tcPr>
          <w:p w14:paraId="6EC6C4BD">
            <w:pPr>
              <w:pStyle w:val="133"/>
            </w:pPr>
            <w:r>
              <w:rPr>
                <w:rFonts w:hint="eastAsia"/>
                <w:color w:val="000000" w:themeColor="text1"/>
                <w14:textFill>
                  <w14:solidFill>
                    <w14:schemeClr w14:val="tx1"/>
                  </w14:solidFill>
                </w14:textFill>
              </w:rPr>
              <w:t>400</w:t>
            </w:r>
          </w:p>
        </w:tc>
        <w:tc>
          <w:tcPr>
            <w:tcW w:w="579" w:type="pct"/>
            <w:vMerge w:val="continue"/>
            <w:vAlign w:val="center"/>
          </w:tcPr>
          <w:p w14:paraId="5A76739B">
            <w:pPr>
              <w:pStyle w:val="133"/>
            </w:pPr>
          </w:p>
        </w:tc>
        <w:tc>
          <w:tcPr>
            <w:tcW w:w="493" w:type="pct"/>
            <w:vMerge w:val="continue"/>
            <w:vAlign w:val="center"/>
          </w:tcPr>
          <w:p w14:paraId="0D3DDF59">
            <w:pPr>
              <w:pStyle w:val="133"/>
            </w:pPr>
          </w:p>
        </w:tc>
        <w:tc>
          <w:tcPr>
            <w:tcW w:w="955" w:type="pct"/>
            <w:vMerge w:val="continue"/>
            <w:vAlign w:val="center"/>
          </w:tcPr>
          <w:p w14:paraId="19AE0B3D">
            <w:pPr>
              <w:pStyle w:val="133"/>
            </w:pPr>
          </w:p>
        </w:tc>
      </w:tr>
      <w:tr w14:paraId="7E81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4" w:type="pct"/>
            <w:vAlign w:val="center"/>
          </w:tcPr>
          <w:p w14:paraId="0C9BBEB3">
            <w:pPr>
              <w:pStyle w:val="133"/>
            </w:pPr>
          </w:p>
        </w:tc>
        <w:tc>
          <w:tcPr>
            <w:tcW w:w="668" w:type="pct"/>
            <w:vMerge w:val="continue"/>
          </w:tcPr>
          <w:p w14:paraId="4DEF9F62">
            <w:pPr>
              <w:pStyle w:val="133"/>
            </w:pPr>
          </w:p>
        </w:tc>
        <w:tc>
          <w:tcPr>
            <w:tcW w:w="668" w:type="pct"/>
            <w:vMerge w:val="continue"/>
            <w:vAlign w:val="center"/>
          </w:tcPr>
          <w:p w14:paraId="7CC261F1">
            <w:pPr>
              <w:pStyle w:val="133"/>
            </w:pPr>
          </w:p>
        </w:tc>
        <w:tc>
          <w:tcPr>
            <w:tcW w:w="535" w:type="pct"/>
            <w:vAlign w:val="center"/>
          </w:tcPr>
          <w:p w14:paraId="4834579B">
            <w:pPr>
              <w:pStyle w:val="133"/>
            </w:pPr>
            <w:r>
              <w:rPr>
                <w:rFonts w:hint="eastAsia"/>
              </w:rPr>
              <w:t>氯化氢</w:t>
            </w:r>
          </w:p>
        </w:tc>
        <w:tc>
          <w:tcPr>
            <w:tcW w:w="579" w:type="pct"/>
            <w:vAlign w:val="center"/>
          </w:tcPr>
          <w:p w14:paraId="1B11B54B">
            <w:pPr>
              <w:pStyle w:val="133"/>
            </w:pPr>
            <w:r>
              <w:rPr>
                <w:rFonts w:hint="eastAsia"/>
              </w:rPr>
              <w:t>100</w:t>
            </w:r>
          </w:p>
        </w:tc>
        <w:tc>
          <w:tcPr>
            <w:tcW w:w="579" w:type="pct"/>
            <w:vMerge w:val="continue"/>
            <w:vAlign w:val="center"/>
          </w:tcPr>
          <w:p w14:paraId="1164CBE0">
            <w:pPr>
              <w:pStyle w:val="133"/>
            </w:pPr>
          </w:p>
        </w:tc>
        <w:tc>
          <w:tcPr>
            <w:tcW w:w="493" w:type="pct"/>
            <w:vMerge w:val="continue"/>
            <w:vAlign w:val="center"/>
          </w:tcPr>
          <w:p w14:paraId="62EE0ABE">
            <w:pPr>
              <w:pStyle w:val="133"/>
            </w:pPr>
          </w:p>
        </w:tc>
        <w:tc>
          <w:tcPr>
            <w:tcW w:w="955" w:type="pct"/>
            <w:vMerge w:val="continue"/>
            <w:vAlign w:val="center"/>
          </w:tcPr>
          <w:p w14:paraId="611F07F8">
            <w:pPr>
              <w:pStyle w:val="133"/>
            </w:pPr>
          </w:p>
        </w:tc>
      </w:tr>
      <w:tr w14:paraId="7F26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4" w:type="pct"/>
            <w:vAlign w:val="center"/>
          </w:tcPr>
          <w:p w14:paraId="4BF07183">
            <w:pPr>
              <w:pStyle w:val="133"/>
            </w:pPr>
            <w:r>
              <w:t>DA0</w:t>
            </w:r>
            <w:r>
              <w:rPr>
                <w:rFonts w:hint="eastAsia"/>
              </w:rPr>
              <w:t>22</w:t>
            </w:r>
          </w:p>
        </w:tc>
        <w:tc>
          <w:tcPr>
            <w:tcW w:w="668" w:type="pct"/>
            <w:vMerge w:val="continue"/>
          </w:tcPr>
          <w:p w14:paraId="623F8F9F">
            <w:pPr>
              <w:pStyle w:val="133"/>
            </w:pPr>
          </w:p>
        </w:tc>
        <w:tc>
          <w:tcPr>
            <w:tcW w:w="668" w:type="pct"/>
            <w:vAlign w:val="center"/>
          </w:tcPr>
          <w:p w14:paraId="3B75A938">
            <w:pPr>
              <w:pStyle w:val="133"/>
            </w:pPr>
            <w:r>
              <w:t>铸造1</w:t>
            </w:r>
          </w:p>
        </w:tc>
        <w:tc>
          <w:tcPr>
            <w:tcW w:w="535" w:type="pct"/>
            <w:vAlign w:val="center"/>
          </w:tcPr>
          <w:p w14:paraId="2BE996BF">
            <w:pPr>
              <w:pStyle w:val="133"/>
            </w:pPr>
            <w:r>
              <w:rPr>
                <w:rFonts w:hint="eastAsia"/>
              </w:rPr>
              <w:t>二氧化硫</w:t>
            </w:r>
          </w:p>
        </w:tc>
        <w:tc>
          <w:tcPr>
            <w:tcW w:w="579" w:type="pct"/>
            <w:vAlign w:val="center"/>
          </w:tcPr>
          <w:p w14:paraId="3B48E937">
            <w:pPr>
              <w:pStyle w:val="133"/>
            </w:pPr>
            <w:r>
              <w:rPr>
                <w:rFonts w:hint="eastAsia"/>
              </w:rPr>
              <w:t>400</w:t>
            </w:r>
          </w:p>
        </w:tc>
        <w:tc>
          <w:tcPr>
            <w:tcW w:w="579" w:type="pct"/>
            <w:vAlign w:val="center"/>
          </w:tcPr>
          <w:p w14:paraId="7727B5EC">
            <w:pPr>
              <w:pStyle w:val="133"/>
            </w:pPr>
            <w:r>
              <w:rPr>
                <w:rFonts w:hint="eastAsia"/>
              </w:rPr>
              <w:t>20</w:t>
            </w:r>
          </w:p>
        </w:tc>
        <w:tc>
          <w:tcPr>
            <w:tcW w:w="493" w:type="pct"/>
            <w:vAlign w:val="center"/>
          </w:tcPr>
          <w:p w14:paraId="497B21DC">
            <w:pPr>
              <w:pStyle w:val="133"/>
            </w:pPr>
            <w:r>
              <w:rPr>
                <w:rFonts w:hint="eastAsia"/>
              </w:rPr>
              <w:t>0.8</w:t>
            </w:r>
          </w:p>
        </w:tc>
        <w:tc>
          <w:tcPr>
            <w:tcW w:w="955" w:type="pct"/>
            <w:vMerge w:val="continue"/>
            <w:vAlign w:val="center"/>
          </w:tcPr>
          <w:p w14:paraId="13CEC9F8">
            <w:pPr>
              <w:pStyle w:val="133"/>
            </w:pPr>
          </w:p>
        </w:tc>
      </w:tr>
      <w:tr w14:paraId="7853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12BD61FB">
            <w:pPr>
              <w:pStyle w:val="133"/>
            </w:pPr>
            <w:r>
              <w:t>DA0</w:t>
            </w:r>
            <w:r>
              <w:rPr>
                <w:rFonts w:hint="eastAsia"/>
              </w:rPr>
              <w:t>23</w:t>
            </w:r>
          </w:p>
        </w:tc>
        <w:tc>
          <w:tcPr>
            <w:tcW w:w="668" w:type="pct"/>
            <w:vMerge w:val="continue"/>
          </w:tcPr>
          <w:p w14:paraId="06649083">
            <w:pPr>
              <w:pStyle w:val="133"/>
            </w:pPr>
          </w:p>
        </w:tc>
        <w:tc>
          <w:tcPr>
            <w:tcW w:w="668" w:type="pct"/>
            <w:vAlign w:val="center"/>
          </w:tcPr>
          <w:p w14:paraId="5B089927">
            <w:pPr>
              <w:pStyle w:val="133"/>
            </w:pPr>
            <w:r>
              <w:t>铸造2</w:t>
            </w:r>
          </w:p>
        </w:tc>
        <w:tc>
          <w:tcPr>
            <w:tcW w:w="535" w:type="pct"/>
            <w:vAlign w:val="center"/>
          </w:tcPr>
          <w:p w14:paraId="73E84368">
            <w:pPr>
              <w:pStyle w:val="133"/>
            </w:pPr>
            <w:r>
              <w:rPr>
                <w:rFonts w:hint="eastAsia"/>
              </w:rPr>
              <w:t>二氧化硫</w:t>
            </w:r>
          </w:p>
        </w:tc>
        <w:tc>
          <w:tcPr>
            <w:tcW w:w="579" w:type="pct"/>
            <w:vAlign w:val="center"/>
          </w:tcPr>
          <w:p w14:paraId="306EEF9B">
            <w:pPr>
              <w:pStyle w:val="133"/>
            </w:pPr>
            <w:r>
              <w:rPr>
                <w:rFonts w:hint="eastAsia"/>
              </w:rPr>
              <w:t>400</w:t>
            </w:r>
          </w:p>
        </w:tc>
        <w:tc>
          <w:tcPr>
            <w:tcW w:w="579" w:type="pct"/>
            <w:vAlign w:val="center"/>
          </w:tcPr>
          <w:p w14:paraId="2AEAECD8">
            <w:pPr>
              <w:pStyle w:val="133"/>
            </w:pPr>
            <w:r>
              <w:rPr>
                <w:rFonts w:hint="eastAsia"/>
              </w:rPr>
              <w:t>30</w:t>
            </w:r>
          </w:p>
        </w:tc>
        <w:tc>
          <w:tcPr>
            <w:tcW w:w="493" w:type="pct"/>
            <w:vAlign w:val="center"/>
          </w:tcPr>
          <w:p w14:paraId="118CE4A7">
            <w:pPr>
              <w:pStyle w:val="133"/>
            </w:pPr>
            <w:r>
              <w:rPr>
                <w:rFonts w:hint="eastAsia"/>
              </w:rPr>
              <w:t>1.5</w:t>
            </w:r>
          </w:p>
        </w:tc>
        <w:tc>
          <w:tcPr>
            <w:tcW w:w="955" w:type="pct"/>
            <w:vMerge w:val="continue"/>
            <w:vAlign w:val="center"/>
          </w:tcPr>
          <w:p w14:paraId="652C8766">
            <w:pPr>
              <w:pStyle w:val="133"/>
            </w:pPr>
          </w:p>
        </w:tc>
      </w:tr>
      <w:tr w14:paraId="02D11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2C9B3EC4">
            <w:pPr>
              <w:pStyle w:val="133"/>
            </w:pPr>
            <w:r>
              <w:t>DA</w:t>
            </w:r>
            <w:r>
              <w:rPr>
                <w:rFonts w:hint="eastAsia"/>
              </w:rPr>
              <w:t>024</w:t>
            </w:r>
          </w:p>
        </w:tc>
        <w:tc>
          <w:tcPr>
            <w:tcW w:w="668" w:type="pct"/>
            <w:vMerge w:val="continue"/>
          </w:tcPr>
          <w:p w14:paraId="5AC3B826">
            <w:pPr>
              <w:pStyle w:val="133"/>
            </w:pPr>
          </w:p>
        </w:tc>
        <w:tc>
          <w:tcPr>
            <w:tcW w:w="668" w:type="pct"/>
            <w:vAlign w:val="center"/>
          </w:tcPr>
          <w:p w14:paraId="217C6691">
            <w:pPr>
              <w:pStyle w:val="133"/>
            </w:pPr>
            <w:r>
              <w:t>精炼坩埚排 放口</w:t>
            </w:r>
          </w:p>
        </w:tc>
        <w:tc>
          <w:tcPr>
            <w:tcW w:w="535" w:type="pct"/>
            <w:vAlign w:val="center"/>
          </w:tcPr>
          <w:p w14:paraId="3C779D92">
            <w:pPr>
              <w:pStyle w:val="133"/>
            </w:pPr>
            <w:r>
              <w:rPr>
                <w:rFonts w:hint="eastAsia"/>
              </w:rPr>
              <w:t>颗粒物</w:t>
            </w:r>
          </w:p>
        </w:tc>
        <w:tc>
          <w:tcPr>
            <w:tcW w:w="579" w:type="pct"/>
            <w:vAlign w:val="center"/>
          </w:tcPr>
          <w:p w14:paraId="53E4BC29">
            <w:pPr>
              <w:pStyle w:val="133"/>
            </w:pPr>
            <w:r>
              <w:rPr>
                <w:rFonts w:hint="eastAsia"/>
              </w:rPr>
              <w:t>50</w:t>
            </w:r>
          </w:p>
        </w:tc>
        <w:tc>
          <w:tcPr>
            <w:tcW w:w="579" w:type="pct"/>
            <w:vAlign w:val="center"/>
          </w:tcPr>
          <w:p w14:paraId="09134DBC">
            <w:pPr>
              <w:pStyle w:val="133"/>
            </w:pPr>
            <w:r>
              <w:rPr>
                <w:rFonts w:hint="eastAsia"/>
              </w:rPr>
              <w:t>30</w:t>
            </w:r>
          </w:p>
        </w:tc>
        <w:tc>
          <w:tcPr>
            <w:tcW w:w="493" w:type="pct"/>
            <w:vAlign w:val="center"/>
          </w:tcPr>
          <w:p w14:paraId="4499DACC">
            <w:pPr>
              <w:pStyle w:val="133"/>
            </w:pPr>
            <w:r>
              <w:rPr>
                <w:rFonts w:hint="eastAsia"/>
              </w:rPr>
              <w:t>1.5</w:t>
            </w:r>
          </w:p>
        </w:tc>
        <w:tc>
          <w:tcPr>
            <w:tcW w:w="955" w:type="pct"/>
            <w:vMerge w:val="continue"/>
            <w:vAlign w:val="center"/>
          </w:tcPr>
          <w:p w14:paraId="5D6B921C">
            <w:pPr>
              <w:pStyle w:val="133"/>
            </w:pPr>
          </w:p>
        </w:tc>
      </w:tr>
      <w:tr w14:paraId="6565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2AC79CF2">
            <w:pPr>
              <w:pStyle w:val="133"/>
            </w:pPr>
            <w:r>
              <w:t>DA0</w:t>
            </w:r>
            <w:r>
              <w:rPr>
                <w:rFonts w:hint="eastAsia"/>
              </w:rPr>
              <w:t>25</w:t>
            </w:r>
          </w:p>
        </w:tc>
        <w:tc>
          <w:tcPr>
            <w:tcW w:w="668" w:type="pct"/>
            <w:vMerge w:val="restart"/>
            <w:vAlign w:val="center"/>
          </w:tcPr>
          <w:p w14:paraId="46DCA950">
            <w:pPr>
              <w:pStyle w:val="133"/>
            </w:pPr>
            <w:r>
              <w:rPr>
                <w:rFonts w:hint="eastAsia"/>
              </w:rPr>
              <w:t>硅铁生产线</w:t>
            </w:r>
          </w:p>
        </w:tc>
        <w:tc>
          <w:tcPr>
            <w:tcW w:w="668" w:type="pct"/>
            <w:vAlign w:val="center"/>
          </w:tcPr>
          <w:p w14:paraId="1A5831CA">
            <w:pPr>
              <w:pStyle w:val="133"/>
            </w:pPr>
            <w:r>
              <w:t>原料系统</w:t>
            </w:r>
          </w:p>
          <w:p w14:paraId="447AD00D">
            <w:pPr>
              <w:pStyle w:val="133"/>
            </w:pPr>
            <w:r>
              <w:t>袋式除尘</w:t>
            </w:r>
            <w:r>
              <w:rPr>
                <w:rFonts w:hint="eastAsia"/>
              </w:rPr>
              <w:t>器</w:t>
            </w:r>
          </w:p>
        </w:tc>
        <w:tc>
          <w:tcPr>
            <w:tcW w:w="535" w:type="pct"/>
            <w:vAlign w:val="center"/>
          </w:tcPr>
          <w:p w14:paraId="368C4902">
            <w:pPr>
              <w:pStyle w:val="133"/>
            </w:pPr>
            <w:r>
              <w:t>颗粒物</w:t>
            </w:r>
          </w:p>
        </w:tc>
        <w:tc>
          <w:tcPr>
            <w:tcW w:w="579" w:type="pct"/>
            <w:vAlign w:val="center"/>
          </w:tcPr>
          <w:p w14:paraId="3ED993BD">
            <w:pPr>
              <w:pStyle w:val="133"/>
            </w:pPr>
            <w:r>
              <w:rPr>
                <w:rFonts w:hint="eastAsia"/>
              </w:rPr>
              <w:t>30</w:t>
            </w:r>
          </w:p>
        </w:tc>
        <w:tc>
          <w:tcPr>
            <w:tcW w:w="579" w:type="pct"/>
            <w:vAlign w:val="center"/>
          </w:tcPr>
          <w:p w14:paraId="3C059479">
            <w:pPr>
              <w:pStyle w:val="133"/>
            </w:pPr>
            <w:r>
              <w:rPr>
                <w:rFonts w:hint="eastAsia"/>
              </w:rPr>
              <w:t>20</w:t>
            </w:r>
          </w:p>
        </w:tc>
        <w:tc>
          <w:tcPr>
            <w:tcW w:w="493" w:type="pct"/>
            <w:vAlign w:val="center"/>
          </w:tcPr>
          <w:p w14:paraId="3D1DC57E">
            <w:pPr>
              <w:pStyle w:val="133"/>
            </w:pPr>
            <w:r>
              <w:rPr>
                <w:rFonts w:hint="eastAsia"/>
              </w:rPr>
              <w:t>0.4</w:t>
            </w:r>
          </w:p>
        </w:tc>
        <w:tc>
          <w:tcPr>
            <w:tcW w:w="955" w:type="pct"/>
            <w:vMerge w:val="restart"/>
            <w:vAlign w:val="center"/>
          </w:tcPr>
          <w:p w14:paraId="3A2E3CF4">
            <w:pPr>
              <w:pStyle w:val="133"/>
            </w:pPr>
            <w:r>
              <w:rPr>
                <w:rFonts w:hint="eastAsia"/>
              </w:rPr>
              <w:t>《</w:t>
            </w:r>
            <w:r>
              <w:fldChar w:fldCharType="begin"/>
            </w:r>
            <w:r>
              <w:instrText xml:space="preserve"> HYPERLINK "https://sthjt.henan.gov.cn/2012/07-01/1374749.html" \t "_blank" </w:instrText>
            </w:r>
            <w:r>
              <w:fldChar w:fldCharType="separate"/>
            </w:r>
            <w:r>
              <w:rPr>
                <w:rStyle w:val="72"/>
                <w:b w:val="0"/>
                <w:bCs w:val="0"/>
              </w:rPr>
              <w:t>铁合金工业污染物排放标准</w:t>
            </w:r>
            <w:r>
              <w:rPr>
                <w:rStyle w:val="72"/>
                <w:rFonts w:hint="eastAsia"/>
                <w:b w:val="0"/>
                <w:bCs w:val="0"/>
              </w:rPr>
              <w:t>》</w:t>
            </w:r>
            <w:r>
              <w:rPr>
                <w:rStyle w:val="79"/>
                <w:color w:val="auto"/>
                <w:u w:val="none"/>
              </w:rPr>
              <w:t>（GB28666-2012）</w:t>
            </w:r>
            <w:r>
              <w:fldChar w:fldCharType="end"/>
            </w:r>
            <w:r>
              <w:rPr>
                <w:rFonts w:hint="eastAsia"/>
              </w:rPr>
              <w:t>表5新建企业大气污染物排放浓度限值</w:t>
            </w:r>
          </w:p>
          <w:p w14:paraId="1AE52FBD">
            <w:pPr>
              <w:pStyle w:val="133"/>
            </w:pPr>
            <w:r>
              <w:rPr>
                <w:rStyle w:val="72"/>
                <w:b w:val="0"/>
                <w:bCs w:val="0"/>
              </w:rPr>
              <w:t>《工业炉窑大气污染物排放标准》（GB9078-1996）</w:t>
            </w:r>
            <w:r>
              <w:rPr>
                <w:rStyle w:val="72"/>
                <w:rFonts w:hint="eastAsia"/>
                <w:b w:val="0"/>
                <w:bCs w:val="0"/>
              </w:rPr>
              <w:t>表1、表4标准</w:t>
            </w:r>
          </w:p>
        </w:tc>
      </w:tr>
      <w:tr w14:paraId="6460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24" w:type="pct"/>
            <w:vAlign w:val="center"/>
          </w:tcPr>
          <w:p w14:paraId="7508E849">
            <w:pPr>
              <w:pStyle w:val="133"/>
            </w:pPr>
            <w:r>
              <w:t>DA</w:t>
            </w:r>
            <w:r>
              <w:rPr>
                <w:rFonts w:hint="eastAsia"/>
              </w:rPr>
              <w:t>026</w:t>
            </w:r>
          </w:p>
        </w:tc>
        <w:tc>
          <w:tcPr>
            <w:tcW w:w="668" w:type="pct"/>
            <w:vMerge w:val="continue"/>
            <w:vAlign w:val="center"/>
          </w:tcPr>
          <w:p w14:paraId="71C431C0">
            <w:pPr>
              <w:pStyle w:val="133"/>
            </w:pPr>
          </w:p>
        </w:tc>
        <w:tc>
          <w:tcPr>
            <w:tcW w:w="668" w:type="pct"/>
            <w:vAlign w:val="center"/>
          </w:tcPr>
          <w:p w14:paraId="0EB58F0F">
            <w:pPr>
              <w:pStyle w:val="133"/>
            </w:pPr>
            <w:r>
              <w:t>配料系统</w:t>
            </w:r>
          </w:p>
          <w:p w14:paraId="663DF31C">
            <w:pPr>
              <w:pStyle w:val="133"/>
            </w:pPr>
            <w:r>
              <w:t>袋式除尘</w:t>
            </w:r>
            <w:r>
              <w:rPr>
                <w:rFonts w:hint="eastAsia"/>
              </w:rPr>
              <w:t>器</w:t>
            </w:r>
          </w:p>
        </w:tc>
        <w:tc>
          <w:tcPr>
            <w:tcW w:w="535" w:type="pct"/>
            <w:vAlign w:val="center"/>
          </w:tcPr>
          <w:p w14:paraId="71A47001">
            <w:pPr>
              <w:pStyle w:val="133"/>
            </w:pPr>
            <w:r>
              <w:t>颗粒物</w:t>
            </w:r>
          </w:p>
        </w:tc>
        <w:tc>
          <w:tcPr>
            <w:tcW w:w="579" w:type="pct"/>
            <w:vAlign w:val="center"/>
          </w:tcPr>
          <w:p w14:paraId="4C69D9B6">
            <w:pPr>
              <w:pStyle w:val="133"/>
            </w:pPr>
            <w:r>
              <w:rPr>
                <w:rFonts w:hint="eastAsia"/>
              </w:rPr>
              <w:t>30</w:t>
            </w:r>
          </w:p>
        </w:tc>
        <w:tc>
          <w:tcPr>
            <w:tcW w:w="579" w:type="pct"/>
            <w:vAlign w:val="center"/>
          </w:tcPr>
          <w:p w14:paraId="13D204FE">
            <w:pPr>
              <w:pStyle w:val="133"/>
            </w:pPr>
            <w:r>
              <w:rPr>
                <w:rFonts w:hint="eastAsia"/>
              </w:rPr>
              <w:t>60</w:t>
            </w:r>
          </w:p>
        </w:tc>
        <w:tc>
          <w:tcPr>
            <w:tcW w:w="493" w:type="pct"/>
            <w:vAlign w:val="center"/>
          </w:tcPr>
          <w:p w14:paraId="7B1650FF">
            <w:pPr>
              <w:pStyle w:val="133"/>
            </w:pPr>
            <w:r>
              <w:rPr>
                <w:rFonts w:hint="eastAsia"/>
              </w:rPr>
              <w:t>1.5</w:t>
            </w:r>
          </w:p>
        </w:tc>
        <w:tc>
          <w:tcPr>
            <w:tcW w:w="955" w:type="pct"/>
            <w:vMerge w:val="continue"/>
            <w:vAlign w:val="center"/>
          </w:tcPr>
          <w:p w14:paraId="222E46D7">
            <w:pPr>
              <w:pStyle w:val="133"/>
            </w:pPr>
          </w:p>
        </w:tc>
      </w:tr>
      <w:tr w14:paraId="3360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trPr>
        <w:tc>
          <w:tcPr>
            <w:tcW w:w="524" w:type="pct"/>
            <w:vMerge w:val="restart"/>
            <w:vAlign w:val="center"/>
          </w:tcPr>
          <w:p w14:paraId="63E2C68D">
            <w:pPr>
              <w:pStyle w:val="133"/>
            </w:pPr>
            <w:r>
              <w:t>DA</w:t>
            </w:r>
            <w:r>
              <w:rPr>
                <w:rFonts w:hint="eastAsia"/>
              </w:rPr>
              <w:t>027</w:t>
            </w:r>
          </w:p>
        </w:tc>
        <w:tc>
          <w:tcPr>
            <w:tcW w:w="668" w:type="pct"/>
            <w:vMerge w:val="continue"/>
            <w:vAlign w:val="center"/>
          </w:tcPr>
          <w:p w14:paraId="0DE7FFB2">
            <w:pPr>
              <w:pStyle w:val="133"/>
            </w:pPr>
          </w:p>
        </w:tc>
        <w:tc>
          <w:tcPr>
            <w:tcW w:w="668" w:type="pct"/>
            <w:vMerge w:val="restart"/>
            <w:vAlign w:val="center"/>
          </w:tcPr>
          <w:p w14:paraId="1848F56E">
            <w:pPr>
              <w:pStyle w:val="133"/>
            </w:pPr>
            <w:r>
              <w:t>电炉烟气</w:t>
            </w:r>
          </w:p>
        </w:tc>
        <w:tc>
          <w:tcPr>
            <w:tcW w:w="535" w:type="pct"/>
            <w:vAlign w:val="center"/>
          </w:tcPr>
          <w:p w14:paraId="41FC456B">
            <w:pPr>
              <w:pStyle w:val="133"/>
            </w:pPr>
            <w:r>
              <w:t>颗粒物</w:t>
            </w:r>
          </w:p>
        </w:tc>
        <w:tc>
          <w:tcPr>
            <w:tcW w:w="579" w:type="pct"/>
            <w:vAlign w:val="center"/>
          </w:tcPr>
          <w:p w14:paraId="05FFE627">
            <w:pPr>
              <w:pStyle w:val="133"/>
            </w:pPr>
            <w:r>
              <w:rPr>
                <w:rFonts w:hint="eastAsia"/>
              </w:rPr>
              <w:t>250</w:t>
            </w:r>
          </w:p>
        </w:tc>
        <w:tc>
          <w:tcPr>
            <w:tcW w:w="579" w:type="pct"/>
            <w:vMerge w:val="restart"/>
            <w:vAlign w:val="center"/>
          </w:tcPr>
          <w:p w14:paraId="452D1632">
            <w:pPr>
              <w:pStyle w:val="133"/>
            </w:pPr>
            <w:r>
              <w:rPr>
                <w:rFonts w:hint="eastAsia"/>
              </w:rPr>
              <w:t>30</w:t>
            </w:r>
          </w:p>
        </w:tc>
        <w:tc>
          <w:tcPr>
            <w:tcW w:w="493" w:type="pct"/>
            <w:vMerge w:val="restart"/>
            <w:vAlign w:val="center"/>
          </w:tcPr>
          <w:p w14:paraId="6DB9668F">
            <w:pPr>
              <w:pStyle w:val="133"/>
            </w:pPr>
            <w:r>
              <w:rPr>
                <w:rFonts w:hint="eastAsia"/>
              </w:rPr>
              <w:t>1.5</w:t>
            </w:r>
          </w:p>
        </w:tc>
        <w:tc>
          <w:tcPr>
            <w:tcW w:w="955" w:type="pct"/>
            <w:vMerge w:val="continue"/>
            <w:vAlign w:val="center"/>
          </w:tcPr>
          <w:p w14:paraId="7CA07973">
            <w:pPr>
              <w:pStyle w:val="133"/>
            </w:pPr>
          </w:p>
        </w:tc>
      </w:tr>
      <w:tr w14:paraId="2177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9" w:hRule="atLeast"/>
        </w:trPr>
        <w:tc>
          <w:tcPr>
            <w:tcW w:w="524" w:type="pct"/>
            <w:vMerge w:val="continue"/>
            <w:vAlign w:val="center"/>
          </w:tcPr>
          <w:p w14:paraId="0DB3CE61">
            <w:pPr>
              <w:pStyle w:val="133"/>
            </w:pPr>
          </w:p>
        </w:tc>
        <w:tc>
          <w:tcPr>
            <w:tcW w:w="668" w:type="pct"/>
            <w:vMerge w:val="continue"/>
            <w:vAlign w:val="center"/>
          </w:tcPr>
          <w:p w14:paraId="460122D3">
            <w:pPr>
              <w:pStyle w:val="133"/>
            </w:pPr>
          </w:p>
        </w:tc>
        <w:tc>
          <w:tcPr>
            <w:tcW w:w="668" w:type="pct"/>
            <w:vMerge w:val="continue"/>
            <w:vAlign w:val="center"/>
          </w:tcPr>
          <w:p w14:paraId="34A1CC59">
            <w:pPr>
              <w:pStyle w:val="133"/>
            </w:pPr>
          </w:p>
        </w:tc>
        <w:tc>
          <w:tcPr>
            <w:tcW w:w="535" w:type="pct"/>
            <w:vAlign w:val="center"/>
          </w:tcPr>
          <w:p w14:paraId="3E29480D">
            <w:pPr>
              <w:pStyle w:val="133"/>
            </w:pPr>
            <w:r>
              <w:rPr>
                <w:rFonts w:hint="eastAsia"/>
              </w:rPr>
              <w:t>二氧化硫</w:t>
            </w:r>
          </w:p>
        </w:tc>
        <w:tc>
          <w:tcPr>
            <w:tcW w:w="579" w:type="pct"/>
            <w:vAlign w:val="center"/>
          </w:tcPr>
          <w:p w14:paraId="50BDECC5">
            <w:pPr>
              <w:pStyle w:val="133"/>
            </w:pPr>
            <w:r>
              <w:rPr>
                <w:rFonts w:hint="eastAsia"/>
              </w:rPr>
              <w:t>850</w:t>
            </w:r>
          </w:p>
        </w:tc>
        <w:tc>
          <w:tcPr>
            <w:tcW w:w="579" w:type="pct"/>
            <w:vMerge w:val="continue"/>
            <w:vAlign w:val="center"/>
          </w:tcPr>
          <w:p w14:paraId="21311770">
            <w:pPr>
              <w:pStyle w:val="133"/>
            </w:pPr>
          </w:p>
        </w:tc>
        <w:tc>
          <w:tcPr>
            <w:tcW w:w="493" w:type="pct"/>
            <w:vMerge w:val="continue"/>
            <w:vAlign w:val="center"/>
          </w:tcPr>
          <w:p w14:paraId="735CDD4E">
            <w:pPr>
              <w:pStyle w:val="133"/>
            </w:pPr>
          </w:p>
        </w:tc>
        <w:tc>
          <w:tcPr>
            <w:tcW w:w="955" w:type="pct"/>
            <w:vMerge w:val="continue"/>
            <w:vAlign w:val="center"/>
          </w:tcPr>
          <w:p w14:paraId="4CA2ED53">
            <w:pPr>
              <w:pStyle w:val="133"/>
            </w:pPr>
          </w:p>
        </w:tc>
      </w:tr>
      <w:tr w14:paraId="23E5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pct"/>
            <w:vAlign w:val="center"/>
          </w:tcPr>
          <w:p w14:paraId="7D25F00B">
            <w:pPr>
              <w:pStyle w:val="133"/>
            </w:pPr>
            <w:r>
              <w:t>DA</w:t>
            </w:r>
            <w:r>
              <w:rPr>
                <w:rFonts w:hint="eastAsia"/>
              </w:rPr>
              <w:t>028</w:t>
            </w:r>
          </w:p>
        </w:tc>
        <w:tc>
          <w:tcPr>
            <w:tcW w:w="668" w:type="pct"/>
            <w:vMerge w:val="continue"/>
            <w:vAlign w:val="center"/>
          </w:tcPr>
          <w:p w14:paraId="3376DA3F">
            <w:pPr>
              <w:pStyle w:val="133"/>
            </w:pPr>
          </w:p>
        </w:tc>
        <w:tc>
          <w:tcPr>
            <w:tcW w:w="668" w:type="pct"/>
            <w:vAlign w:val="center"/>
          </w:tcPr>
          <w:p w14:paraId="719F6D4A">
            <w:pPr>
              <w:pStyle w:val="133"/>
            </w:pPr>
            <w:r>
              <w:t>成品破碎</w:t>
            </w:r>
          </w:p>
          <w:p w14:paraId="0C3097E3">
            <w:pPr>
              <w:pStyle w:val="133"/>
            </w:pPr>
            <w:r>
              <w:t>袋式除尘</w:t>
            </w:r>
            <w:r>
              <w:rPr>
                <w:rFonts w:hint="eastAsia"/>
              </w:rPr>
              <w:t>器</w:t>
            </w:r>
          </w:p>
        </w:tc>
        <w:tc>
          <w:tcPr>
            <w:tcW w:w="535" w:type="pct"/>
            <w:vAlign w:val="center"/>
          </w:tcPr>
          <w:p w14:paraId="3F3F9770">
            <w:pPr>
              <w:pStyle w:val="133"/>
            </w:pPr>
            <w:r>
              <w:t>颗粒物</w:t>
            </w:r>
          </w:p>
        </w:tc>
        <w:tc>
          <w:tcPr>
            <w:tcW w:w="579" w:type="pct"/>
            <w:vAlign w:val="center"/>
          </w:tcPr>
          <w:p w14:paraId="05A17178">
            <w:pPr>
              <w:pStyle w:val="133"/>
            </w:pPr>
            <w:r>
              <w:rPr>
                <w:rFonts w:hint="eastAsia"/>
              </w:rPr>
              <w:t>30</w:t>
            </w:r>
          </w:p>
        </w:tc>
        <w:tc>
          <w:tcPr>
            <w:tcW w:w="579" w:type="pct"/>
            <w:vAlign w:val="center"/>
          </w:tcPr>
          <w:p w14:paraId="1D8AAA8A">
            <w:pPr>
              <w:pStyle w:val="133"/>
            </w:pPr>
            <w:r>
              <w:rPr>
                <w:rFonts w:hint="eastAsia"/>
              </w:rPr>
              <w:t>30</w:t>
            </w:r>
          </w:p>
        </w:tc>
        <w:tc>
          <w:tcPr>
            <w:tcW w:w="493" w:type="pct"/>
            <w:vAlign w:val="center"/>
          </w:tcPr>
          <w:p w14:paraId="6BBD2E79">
            <w:pPr>
              <w:pStyle w:val="133"/>
            </w:pPr>
            <w:r>
              <w:rPr>
                <w:rFonts w:hint="eastAsia"/>
              </w:rPr>
              <w:t>1.5</w:t>
            </w:r>
          </w:p>
        </w:tc>
        <w:tc>
          <w:tcPr>
            <w:tcW w:w="955" w:type="pct"/>
            <w:vMerge w:val="continue"/>
            <w:vAlign w:val="center"/>
          </w:tcPr>
          <w:p w14:paraId="53ACB697">
            <w:pPr>
              <w:pStyle w:val="133"/>
            </w:pPr>
          </w:p>
        </w:tc>
      </w:tr>
      <w:tr w14:paraId="7137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6" w:hRule="atLeast"/>
        </w:trPr>
        <w:tc>
          <w:tcPr>
            <w:tcW w:w="524" w:type="pct"/>
            <w:vMerge w:val="restart"/>
            <w:vAlign w:val="center"/>
          </w:tcPr>
          <w:p w14:paraId="3C811AEB">
            <w:pPr>
              <w:pStyle w:val="133"/>
            </w:pPr>
            <w:r>
              <w:t>DA0</w:t>
            </w:r>
            <w:r>
              <w:rPr>
                <w:rFonts w:hint="eastAsia"/>
              </w:rPr>
              <w:t>29</w:t>
            </w:r>
          </w:p>
        </w:tc>
        <w:tc>
          <w:tcPr>
            <w:tcW w:w="668" w:type="pct"/>
            <w:vMerge w:val="restart"/>
            <w:vAlign w:val="center"/>
          </w:tcPr>
          <w:p w14:paraId="3FF28B74">
            <w:pPr>
              <w:pStyle w:val="133"/>
            </w:pPr>
            <w:r>
              <w:rPr>
                <w:rFonts w:hint="eastAsia"/>
              </w:rPr>
              <w:t>公用工程</w:t>
            </w:r>
          </w:p>
        </w:tc>
        <w:tc>
          <w:tcPr>
            <w:tcW w:w="668" w:type="pct"/>
            <w:vMerge w:val="restart"/>
            <w:vAlign w:val="center"/>
          </w:tcPr>
          <w:p w14:paraId="56DCB210">
            <w:pPr>
              <w:pStyle w:val="133"/>
            </w:pPr>
            <w:r>
              <w:t>循环流化床 锅炉</w:t>
            </w:r>
          </w:p>
        </w:tc>
        <w:tc>
          <w:tcPr>
            <w:tcW w:w="535" w:type="pct"/>
            <w:vAlign w:val="center"/>
          </w:tcPr>
          <w:p w14:paraId="6BA7F03E">
            <w:pPr>
              <w:pStyle w:val="133"/>
            </w:pPr>
            <w:r>
              <w:rPr>
                <w:rFonts w:hint="eastAsia"/>
              </w:rPr>
              <w:t>颗粒物</w:t>
            </w:r>
          </w:p>
        </w:tc>
        <w:tc>
          <w:tcPr>
            <w:tcW w:w="579" w:type="pct"/>
            <w:vAlign w:val="center"/>
          </w:tcPr>
          <w:p w14:paraId="24B871F6">
            <w:pPr>
              <w:pStyle w:val="133"/>
            </w:pPr>
            <w:r>
              <w:rPr>
                <w:rFonts w:hint="eastAsia"/>
              </w:rPr>
              <w:t>80</w:t>
            </w:r>
          </w:p>
        </w:tc>
        <w:tc>
          <w:tcPr>
            <w:tcW w:w="579" w:type="pct"/>
            <w:vMerge w:val="restart"/>
            <w:vAlign w:val="center"/>
          </w:tcPr>
          <w:p w14:paraId="52F8B286">
            <w:pPr>
              <w:pStyle w:val="133"/>
            </w:pPr>
            <w:r>
              <w:rPr>
                <w:rFonts w:hint="eastAsia"/>
              </w:rPr>
              <w:t>45</w:t>
            </w:r>
          </w:p>
        </w:tc>
        <w:tc>
          <w:tcPr>
            <w:tcW w:w="493" w:type="pct"/>
            <w:vMerge w:val="restart"/>
            <w:vAlign w:val="center"/>
          </w:tcPr>
          <w:p w14:paraId="29E59573">
            <w:pPr>
              <w:pStyle w:val="133"/>
            </w:pPr>
            <w:r>
              <w:rPr>
                <w:rFonts w:hint="eastAsia"/>
              </w:rPr>
              <w:t>1.2</w:t>
            </w:r>
          </w:p>
        </w:tc>
        <w:tc>
          <w:tcPr>
            <w:tcW w:w="955" w:type="pct"/>
            <w:vMerge w:val="restart"/>
            <w:vAlign w:val="center"/>
          </w:tcPr>
          <w:p w14:paraId="67A31D4A">
            <w:pPr>
              <w:pStyle w:val="133"/>
            </w:pPr>
            <w:r>
              <w:t>《锅炉大气污染物排放标准》（GB13271-2014）表1以煤为燃料的锅炉标准</w:t>
            </w:r>
          </w:p>
          <w:p w14:paraId="77A788C8">
            <w:pPr>
              <w:pStyle w:val="133"/>
            </w:pPr>
            <w:r>
              <w:t>《环境影响评价技术导则大气环境》（HJ2.2－2018）附录D</w:t>
            </w:r>
          </w:p>
        </w:tc>
      </w:tr>
      <w:tr w14:paraId="1389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trPr>
        <w:tc>
          <w:tcPr>
            <w:tcW w:w="524" w:type="pct"/>
            <w:vMerge w:val="continue"/>
            <w:vAlign w:val="center"/>
          </w:tcPr>
          <w:p w14:paraId="7080D839">
            <w:pPr>
              <w:pStyle w:val="133"/>
            </w:pPr>
          </w:p>
        </w:tc>
        <w:tc>
          <w:tcPr>
            <w:tcW w:w="668" w:type="pct"/>
            <w:vMerge w:val="continue"/>
          </w:tcPr>
          <w:p w14:paraId="19F3FCEB">
            <w:pPr>
              <w:pStyle w:val="133"/>
            </w:pPr>
          </w:p>
        </w:tc>
        <w:tc>
          <w:tcPr>
            <w:tcW w:w="668" w:type="pct"/>
            <w:vMerge w:val="continue"/>
            <w:vAlign w:val="center"/>
          </w:tcPr>
          <w:p w14:paraId="403A80BD">
            <w:pPr>
              <w:pStyle w:val="133"/>
            </w:pPr>
          </w:p>
        </w:tc>
        <w:tc>
          <w:tcPr>
            <w:tcW w:w="535" w:type="pct"/>
            <w:vAlign w:val="center"/>
          </w:tcPr>
          <w:p w14:paraId="1F69A36F">
            <w:pPr>
              <w:pStyle w:val="133"/>
            </w:pPr>
            <w:r>
              <w:rPr>
                <w:rFonts w:hint="eastAsia"/>
              </w:rPr>
              <w:t>氮氧化物</w:t>
            </w:r>
          </w:p>
        </w:tc>
        <w:tc>
          <w:tcPr>
            <w:tcW w:w="579" w:type="pct"/>
            <w:vAlign w:val="center"/>
          </w:tcPr>
          <w:p w14:paraId="32AFABD2">
            <w:pPr>
              <w:pStyle w:val="133"/>
            </w:pPr>
            <w:r>
              <w:rPr>
                <w:rFonts w:hint="eastAsia"/>
              </w:rPr>
              <w:t>400</w:t>
            </w:r>
          </w:p>
        </w:tc>
        <w:tc>
          <w:tcPr>
            <w:tcW w:w="579" w:type="pct"/>
            <w:vMerge w:val="continue"/>
            <w:vAlign w:val="center"/>
          </w:tcPr>
          <w:p w14:paraId="185F709B">
            <w:pPr>
              <w:pStyle w:val="133"/>
            </w:pPr>
          </w:p>
        </w:tc>
        <w:tc>
          <w:tcPr>
            <w:tcW w:w="493" w:type="pct"/>
            <w:vMerge w:val="continue"/>
            <w:vAlign w:val="center"/>
          </w:tcPr>
          <w:p w14:paraId="206FB191">
            <w:pPr>
              <w:pStyle w:val="133"/>
            </w:pPr>
          </w:p>
        </w:tc>
        <w:tc>
          <w:tcPr>
            <w:tcW w:w="955" w:type="pct"/>
            <w:vMerge w:val="continue"/>
            <w:vAlign w:val="center"/>
          </w:tcPr>
          <w:p w14:paraId="77FBD78C">
            <w:pPr>
              <w:pStyle w:val="133"/>
            </w:pPr>
          </w:p>
        </w:tc>
      </w:tr>
      <w:tr w14:paraId="2712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trPr>
        <w:tc>
          <w:tcPr>
            <w:tcW w:w="524" w:type="pct"/>
            <w:vMerge w:val="continue"/>
            <w:vAlign w:val="center"/>
          </w:tcPr>
          <w:p w14:paraId="0AFE0E22">
            <w:pPr>
              <w:pStyle w:val="133"/>
            </w:pPr>
          </w:p>
        </w:tc>
        <w:tc>
          <w:tcPr>
            <w:tcW w:w="668" w:type="pct"/>
            <w:vMerge w:val="continue"/>
          </w:tcPr>
          <w:p w14:paraId="4F70F815">
            <w:pPr>
              <w:pStyle w:val="133"/>
            </w:pPr>
          </w:p>
        </w:tc>
        <w:tc>
          <w:tcPr>
            <w:tcW w:w="668" w:type="pct"/>
            <w:vMerge w:val="continue"/>
            <w:vAlign w:val="center"/>
          </w:tcPr>
          <w:p w14:paraId="3BEA0D47">
            <w:pPr>
              <w:pStyle w:val="133"/>
            </w:pPr>
          </w:p>
        </w:tc>
        <w:tc>
          <w:tcPr>
            <w:tcW w:w="535" w:type="pct"/>
            <w:vAlign w:val="center"/>
          </w:tcPr>
          <w:p w14:paraId="1D0C39DB">
            <w:pPr>
              <w:pStyle w:val="133"/>
            </w:pPr>
            <w:r>
              <w:rPr>
                <w:rFonts w:hint="eastAsia"/>
              </w:rPr>
              <w:t>二氧化硫</w:t>
            </w:r>
          </w:p>
        </w:tc>
        <w:tc>
          <w:tcPr>
            <w:tcW w:w="579" w:type="pct"/>
            <w:vAlign w:val="center"/>
          </w:tcPr>
          <w:p w14:paraId="791450F6">
            <w:pPr>
              <w:pStyle w:val="133"/>
            </w:pPr>
            <w:r>
              <w:rPr>
                <w:rFonts w:hint="eastAsia"/>
              </w:rPr>
              <w:t>550</w:t>
            </w:r>
          </w:p>
        </w:tc>
        <w:tc>
          <w:tcPr>
            <w:tcW w:w="579" w:type="pct"/>
            <w:vMerge w:val="continue"/>
            <w:vAlign w:val="center"/>
          </w:tcPr>
          <w:p w14:paraId="1B72D55F">
            <w:pPr>
              <w:pStyle w:val="133"/>
            </w:pPr>
          </w:p>
        </w:tc>
        <w:tc>
          <w:tcPr>
            <w:tcW w:w="493" w:type="pct"/>
            <w:vMerge w:val="continue"/>
            <w:vAlign w:val="center"/>
          </w:tcPr>
          <w:p w14:paraId="1F70557C">
            <w:pPr>
              <w:pStyle w:val="133"/>
            </w:pPr>
          </w:p>
        </w:tc>
        <w:tc>
          <w:tcPr>
            <w:tcW w:w="955" w:type="pct"/>
            <w:vMerge w:val="continue"/>
            <w:vAlign w:val="center"/>
          </w:tcPr>
          <w:p w14:paraId="338C43D3">
            <w:pPr>
              <w:pStyle w:val="133"/>
            </w:pPr>
          </w:p>
        </w:tc>
      </w:tr>
      <w:tr w14:paraId="5E15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trPr>
        <w:tc>
          <w:tcPr>
            <w:tcW w:w="524" w:type="pct"/>
            <w:vMerge w:val="restart"/>
            <w:vAlign w:val="center"/>
          </w:tcPr>
          <w:p w14:paraId="7AEBC515">
            <w:pPr>
              <w:pStyle w:val="133"/>
            </w:pPr>
            <w:r>
              <w:t>DA0</w:t>
            </w:r>
            <w:r>
              <w:rPr>
                <w:rFonts w:hint="eastAsia"/>
              </w:rPr>
              <w:t>31</w:t>
            </w:r>
          </w:p>
        </w:tc>
        <w:tc>
          <w:tcPr>
            <w:tcW w:w="668" w:type="pct"/>
            <w:vMerge w:val="continue"/>
          </w:tcPr>
          <w:p w14:paraId="41F4A36D">
            <w:pPr>
              <w:pStyle w:val="133"/>
            </w:pPr>
          </w:p>
        </w:tc>
        <w:tc>
          <w:tcPr>
            <w:tcW w:w="668" w:type="pct"/>
            <w:vMerge w:val="restart"/>
            <w:vAlign w:val="center"/>
          </w:tcPr>
          <w:p w14:paraId="612E5C8B">
            <w:pPr>
              <w:pStyle w:val="133"/>
            </w:pPr>
            <w:r>
              <w:rPr>
                <w:rFonts w:hint="eastAsia"/>
              </w:rPr>
              <w:t>燃气锅炉</w:t>
            </w:r>
          </w:p>
        </w:tc>
        <w:tc>
          <w:tcPr>
            <w:tcW w:w="535" w:type="pct"/>
            <w:vAlign w:val="center"/>
          </w:tcPr>
          <w:p w14:paraId="4AA1396E">
            <w:pPr>
              <w:pStyle w:val="133"/>
            </w:pPr>
            <w:r>
              <w:rPr>
                <w:rFonts w:hint="eastAsia"/>
              </w:rPr>
              <w:t>颗粒物</w:t>
            </w:r>
          </w:p>
        </w:tc>
        <w:tc>
          <w:tcPr>
            <w:tcW w:w="579" w:type="pct"/>
            <w:vAlign w:val="center"/>
          </w:tcPr>
          <w:p w14:paraId="2625113F">
            <w:pPr>
              <w:pStyle w:val="133"/>
            </w:pPr>
            <w:r>
              <w:rPr>
                <w:rFonts w:hint="eastAsia"/>
              </w:rPr>
              <w:t>80</w:t>
            </w:r>
          </w:p>
        </w:tc>
        <w:tc>
          <w:tcPr>
            <w:tcW w:w="579" w:type="pct"/>
            <w:vMerge w:val="restart"/>
            <w:vAlign w:val="center"/>
          </w:tcPr>
          <w:p w14:paraId="77136105">
            <w:pPr>
              <w:pStyle w:val="133"/>
            </w:pPr>
            <w:r>
              <w:rPr>
                <w:rFonts w:hint="eastAsia"/>
              </w:rPr>
              <w:t>30</w:t>
            </w:r>
          </w:p>
        </w:tc>
        <w:tc>
          <w:tcPr>
            <w:tcW w:w="493" w:type="pct"/>
            <w:vMerge w:val="restart"/>
            <w:vAlign w:val="center"/>
          </w:tcPr>
          <w:p w14:paraId="3D7DF36E">
            <w:pPr>
              <w:pStyle w:val="133"/>
            </w:pPr>
            <w:r>
              <w:rPr>
                <w:rFonts w:hint="eastAsia"/>
              </w:rPr>
              <w:t>1.2</w:t>
            </w:r>
          </w:p>
        </w:tc>
        <w:tc>
          <w:tcPr>
            <w:tcW w:w="955" w:type="pct"/>
            <w:vMerge w:val="continue"/>
            <w:vAlign w:val="center"/>
          </w:tcPr>
          <w:p w14:paraId="23F08B1E">
            <w:pPr>
              <w:pStyle w:val="133"/>
            </w:pPr>
          </w:p>
        </w:tc>
      </w:tr>
      <w:tr w14:paraId="5BB6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trPr>
        <w:tc>
          <w:tcPr>
            <w:tcW w:w="524" w:type="pct"/>
            <w:vMerge w:val="continue"/>
            <w:vAlign w:val="center"/>
          </w:tcPr>
          <w:p w14:paraId="695808AA">
            <w:pPr>
              <w:pStyle w:val="133"/>
            </w:pPr>
          </w:p>
        </w:tc>
        <w:tc>
          <w:tcPr>
            <w:tcW w:w="668" w:type="pct"/>
            <w:vMerge w:val="continue"/>
          </w:tcPr>
          <w:p w14:paraId="715158BE">
            <w:pPr>
              <w:pStyle w:val="133"/>
            </w:pPr>
          </w:p>
        </w:tc>
        <w:tc>
          <w:tcPr>
            <w:tcW w:w="668" w:type="pct"/>
            <w:vMerge w:val="continue"/>
            <w:vAlign w:val="center"/>
          </w:tcPr>
          <w:p w14:paraId="58C65BF2">
            <w:pPr>
              <w:pStyle w:val="133"/>
            </w:pPr>
          </w:p>
        </w:tc>
        <w:tc>
          <w:tcPr>
            <w:tcW w:w="535" w:type="pct"/>
            <w:vAlign w:val="center"/>
          </w:tcPr>
          <w:p w14:paraId="4CC2348C">
            <w:pPr>
              <w:pStyle w:val="133"/>
            </w:pPr>
            <w:r>
              <w:rPr>
                <w:rFonts w:hint="eastAsia"/>
              </w:rPr>
              <w:t>氮氧化物</w:t>
            </w:r>
          </w:p>
        </w:tc>
        <w:tc>
          <w:tcPr>
            <w:tcW w:w="579" w:type="pct"/>
            <w:vAlign w:val="center"/>
          </w:tcPr>
          <w:p w14:paraId="5166AC56">
            <w:pPr>
              <w:pStyle w:val="133"/>
            </w:pPr>
            <w:r>
              <w:rPr>
                <w:rFonts w:hint="eastAsia"/>
              </w:rPr>
              <w:t>400</w:t>
            </w:r>
          </w:p>
        </w:tc>
        <w:tc>
          <w:tcPr>
            <w:tcW w:w="579" w:type="pct"/>
            <w:vMerge w:val="continue"/>
            <w:vAlign w:val="center"/>
          </w:tcPr>
          <w:p w14:paraId="6AEE3209">
            <w:pPr>
              <w:pStyle w:val="133"/>
            </w:pPr>
          </w:p>
        </w:tc>
        <w:tc>
          <w:tcPr>
            <w:tcW w:w="493" w:type="pct"/>
            <w:vMerge w:val="continue"/>
            <w:vAlign w:val="center"/>
          </w:tcPr>
          <w:p w14:paraId="4F027875">
            <w:pPr>
              <w:pStyle w:val="133"/>
            </w:pPr>
          </w:p>
        </w:tc>
        <w:tc>
          <w:tcPr>
            <w:tcW w:w="955" w:type="pct"/>
            <w:vMerge w:val="continue"/>
            <w:vAlign w:val="center"/>
          </w:tcPr>
          <w:p w14:paraId="2CD3FDA4">
            <w:pPr>
              <w:pStyle w:val="133"/>
            </w:pPr>
          </w:p>
        </w:tc>
      </w:tr>
      <w:tr w14:paraId="6ACE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trPr>
        <w:tc>
          <w:tcPr>
            <w:tcW w:w="524" w:type="pct"/>
            <w:vMerge w:val="continue"/>
            <w:vAlign w:val="center"/>
          </w:tcPr>
          <w:p w14:paraId="42961D67">
            <w:pPr>
              <w:pStyle w:val="133"/>
            </w:pPr>
          </w:p>
        </w:tc>
        <w:tc>
          <w:tcPr>
            <w:tcW w:w="668" w:type="pct"/>
            <w:vMerge w:val="continue"/>
          </w:tcPr>
          <w:p w14:paraId="13F2DB67">
            <w:pPr>
              <w:pStyle w:val="133"/>
            </w:pPr>
          </w:p>
        </w:tc>
        <w:tc>
          <w:tcPr>
            <w:tcW w:w="668" w:type="pct"/>
            <w:vMerge w:val="continue"/>
            <w:vAlign w:val="center"/>
          </w:tcPr>
          <w:p w14:paraId="66D7AFDE">
            <w:pPr>
              <w:pStyle w:val="133"/>
            </w:pPr>
          </w:p>
        </w:tc>
        <w:tc>
          <w:tcPr>
            <w:tcW w:w="535" w:type="pct"/>
            <w:vAlign w:val="center"/>
          </w:tcPr>
          <w:p w14:paraId="7B82D35A">
            <w:pPr>
              <w:pStyle w:val="133"/>
            </w:pPr>
            <w:r>
              <w:rPr>
                <w:rFonts w:hint="eastAsia"/>
              </w:rPr>
              <w:t>二氧化硫</w:t>
            </w:r>
          </w:p>
        </w:tc>
        <w:tc>
          <w:tcPr>
            <w:tcW w:w="579" w:type="pct"/>
            <w:vAlign w:val="center"/>
          </w:tcPr>
          <w:p w14:paraId="64F31FA0">
            <w:pPr>
              <w:pStyle w:val="133"/>
            </w:pPr>
            <w:r>
              <w:rPr>
                <w:rFonts w:hint="eastAsia"/>
              </w:rPr>
              <w:t>550</w:t>
            </w:r>
          </w:p>
        </w:tc>
        <w:tc>
          <w:tcPr>
            <w:tcW w:w="579" w:type="pct"/>
            <w:vMerge w:val="continue"/>
            <w:vAlign w:val="center"/>
          </w:tcPr>
          <w:p w14:paraId="5E1127BF">
            <w:pPr>
              <w:pStyle w:val="133"/>
            </w:pPr>
          </w:p>
        </w:tc>
        <w:tc>
          <w:tcPr>
            <w:tcW w:w="493" w:type="pct"/>
            <w:vMerge w:val="continue"/>
            <w:vAlign w:val="center"/>
          </w:tcPr>
          <w:p w14:paraId="532EB66F">
            <w:pPr>
              <w:pStyle w:val="133"/>
            </w:pPr>
          </w:p>
        </w:tc>
        <w:tc>
          <w:tcPr>
            <w:tcW w:w="955" w:type="pct"/>
            <w:vMerge w:val="continue"/>
            <w:vAlign w:val="center"/>
          </w:tcPr>
          <w:p w14:paraId="42199751">
            <w:pPr>
              <w:pStyle w:val="133"/>
            </w:pPr>
          </w:p>
        </w:tc>
      </w:tr>
      <w:tr w14:paraId="3D87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 w:hRule="atLeast"/>
        </w:trPr>
        <w:tc>
          <w:tcPr>
            <w:tcW w:w="524" w:type="pct"/>
            <w:vMerge w:val="restart"/>
            <w:vAlign w:val="center"/>
          </w:tcPr>
          <w:p w14:paraId="150E44B6">
            <w:pPr>
              <w:pStyle w:val="133"/>
            </w:pPr>
            <w:r>
              <w:t>DA0</w:t>
            </w:r>
            <w:r>
              <w:rPr>
                <w:rFonts w:hint="eastAsia"/>
              </w:rPr>
              <w:t>30</w:t>
            </w:r>
          </w:p>
        </w:tc>
        <w:tc>
          <w:tcPr>
            <w:tcW w:w="668" w:type="pct"/>
            <w:vMerge w:val="continue"/>
          </w:tcPr>
          <w:p w14:paraId="5F6EB263">
            <w:pPr>
              <w:pStyle w:val="133"/>
            </w:pPr>
          </w:p>
        </w:tc>
        <w:tc>
          <w:tcPr>
            <w:tcW w:w="668" w:type="pct"/>
            <w:vMerge w:val="restart"/>
            <w:vAlign w:val="center"/>
          </w:tcPr>
          <w:p w14:paraId="34BE699D">
            <w:pPr>
              <w:pStyle w:val="133"/>
            </w:pPr>
            <w:r>
              <w:t>污水处理站</w:t>
            </w:r>
          </w:p>
        </w:tc>
        <w:tc>
          <w:tcPr>
            <w:tcW w:w="535" w:type="pct"/>
            <w:vAlign w:val="center"/>
          </w:tcPr>
          <w:p w14:paraId="07E68A39">
            <w:pPr>
              <w:pStyle w:val="133"/>
            </w:pPr>
            <w:r>
              <w:rPr>
                <w:rFonts w:hint="eastAsia"/>
              </w:rPr>
              <w:t>H2S</w:t>
            </w:r>
          </w:p>
        </w:tc>
        <w:tc>
          <w:tcPr>
            <w:tcW w:w="579" w:type="pct"/>
            <w:vAlign w:val="center"/>
          </w:tcPr>
          <w:p w14:paraId="32516C8C">
            <w:pPr>
              <w:pStyle w:val="133"/>
            </w:pPr>
            <w:r>
              <w:rPr>
                <w:rFonts w:hint="eastAsia"/>
              </w:rPr>
              <w:t>0.01</w:t>
            </w:r>
          </w:p>
        </w:tc>
        <w:tc>
          <w:tcPr>
            <w:tcW w:w="579" w:type="pct"/>
            <w:vMerge w:val="restart"/>
            <w:vAlign w:val="center"/>
          </w:tcPr>
          <w:p w14:paraId="78BE0767">
            <w:pPr>
              <w:pStyle w:val="133"/>
            </w:pPr>
            <w:r>
              <w:rPr>
                <w:rFonts w:hint="eastAsia"/>
              </w:rPr>
              <w:t>15</w:t>
            </w:r>
          </w:p>
        </w:tc>
        <w:tc>
          <w:tcPr>
            <w:tcW w:w="493" w:type="pct"/>
            <w:vMerge w:val="restart"/>
            <w:vAlign w:val="center"/>
          </w:tcPr>
          <w:p w14:paraId="2D2F04BD">
            <w:pPr>
              <w:pStyle w:val="133"/>
            </w:pPr>
            <w:r>
              <w:rPr>
                <w:rFonts w:hint="eastAsia"/>
              </w:rPr>
              <w:t>0.5</w:t>
            </w:r>
          </w:p>
        </w:tc>
        <w:tc>
          <w:tcPr>
            <w:tcW w:w="955" w:type="pct"/>
            <w:vMerge w:val="continue"/>
            <w:vAlign w:val="center"/>
          </w:tcPr>
          <w:p w14:paraId="7FD5861F">
            <w:pPr>
              <w:pStyle w:val="133"/>
            </w:pPr>
          </w:p>
        </w:tc>
      </w:tr>
      <w:tr w14:paraId="50CD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trPr>
        <w:tc>
          <w:tcPr>
            <w:tcW w:w="524" w:type="pct"/>
            <w:vMerge w:val="continue"/>
            <w:vAlign w:val="center"/>
          </w:tcPr>
          <w:p w14:paraId="0ABC7804">
            <w:pPr>
              <w:pStyle w:val="133"/>
            </w:pPr>
          </w:p>
        </w:tc>
        <w:tc>
          <w:tcPr>
            <w:tcW w:w="668" w:type="pct"/>
            <w:vMerge w:val="continue"/>
          </w:tcPr>
          <w:p w14:paraId="7B54D677">
            <w:pPr>
              <w:pStyle w:val="133"/>
            </w:pPr>
          </w:p>
        </w:tc>
        <w:tc>
          <w:tcPr>
            <w:tcW w:w="668" w:type="pct"/>
            <w:vMerge w:val="continue"/>
            <w:vAlign w:val="center"/>
          </w:tcPr>
          <w:p w14:paraId="00B48919">
            <w:pPr>
              <w:pStyle w:val="133"/>
            </w:pPr>
          </w:p>
        </w:tc>
        <w:tc>
          <w:tcPr>
            <w:tcW w:w="535" w:type="pct"/>
            <w:vAlign w:val="center"/>
          </w:tcPr>
          <w:p w14:paraId="28FC2CEB">
            <w:pPr>
              <w:pStyle w:val="133"/>
            </w:pPr>
            <w:r>
              <w:rPr>
                <w:rFonts w:hint="eastAsia"/>
              </w:rPr>
              <w:t>NH3</w:t>
            </w:r>
          </w:p>
        </w:tc>
        <w:tc>
          <w:tcPr>
            <w:tcW w:w="579" w:type="pct"/>
            <w:vAlign w:val="center"/>
          </w:tcPr>
          <w:p w14:paraId="6D540CFC">
            <w:pPr>
              <w:pStyle w:val="133"/>
            </w:pPr>
            <w:r>
              <w:rPr>
                <w:rFonts w:hint="eastAsia"/>
              </w:rPr>
              <w:t>0.2</w:t>
            </w:r>
          </w:p>
        </w:tc>
        <w:tc>
          <w:tcPr>
            <w:tcW w:w="579" w:type="pct"/>
            <w:vMerge w:val="continue"/>
            <w:vAlign w:val="center"/>
          </w:tcPr>
          <w:p w14:paraId="4C830E2E">
            <w:pPr>
              <w:pStyle w:val="133"/>
            </w:pPr>
          </w:p>
        </w:tc>
        <w:tc>
          <w:tcPr>
            <w:tcW w:w="493" w:type="pct"/>
            <w:vMerge w:val="continue"/>
            <w:vAlign w:val="center"/>
          </w:tcPr>
          <w:p w14:paraId="5AC3C8DC">
            <w:pPr>
              <w:pStyle w:val="133"/>
            </w:pPr>
          </w:p>
        </w:tc>
        <w:tc>
          <w:tcPr>
            <w:tcW w:w="955" w:type="pct"/>
            <w:vMerge w:val="continue"/>
            <w:vAlign w:val="center"/>
          </w:tcPr>
          <w:p w14:paraId="23FD8B12">
            <w:pPr>
              <w:pStyle w:val="133"/>
            </w:pPr>
          </w:p>
        </w:tc>
      </w:tr>
      <w:tr w14:paraId="4A4B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 w:hRule="atLeast"/>
        </w:trPr>
        <w:tc>
          <w:tcPr>
            <w:tcW w:w="524" w:type="pct"/>
            <w:vMerge w:val="continue"/>
            <w:vAlign w:val="center"/>
          </w:tcPr>
          <w:p w14:paraId="63C4AAB8">
            <w:pPr>
              <w:pStyle w:val="133"/>
            </w:pPr>
          </w:p>
        </w:tc>
        <w:tc>
          <w:tcPr>
            <w:tcW w:w="668" w:type="pct"/>
            <w:vMerge w:val="continue"/>
          </w:tcPr>
          <w:p w14:paraId="0AD65340">
            <w:pPr>
              <w:pStyle w:val="133"/>
            </w:pPr>
          </w:p>
        </w:tc>
        <w:tc>
          <w:tcPr>
            <w:tcW w:w="668" w:type="pct"/>
            <w:vMerge w:val="continue"/>
            <w:vAlign w:val="center"/>
          </w:tcPr>
          <w:p w14:paraId="5B448222">
            <w:pPr>
              <w:pStyle w:val="133"/>
            </w:pPr>
          </w:p>
        </w:tc>
        <w:tc>
          <w:tcPr>
            <w:tcW w:w="535" w:type="pct"/>
            <w:vAlign w:val="center"/>
          </w:tcPr>
          <w:p w14:paraId="6E4141EB">
            <w:pPr>
              <w:pStyle w:val="133"/>
            </w:pPr>
            <w:r>
              <w:rPr>
                <w:rFonts w:hint="eastAsia"/>
              </w:rPr>
              <w:t>臭气浓度</w:t>
            </w:r>
          </w:p>
        </w:tc>
        <w:tc>
          <w:tcPr>
            <w:tcW w:w="579" w:type="pct"/>
            <w:vAlign w:val="center"/>
          </w:tcPr>
          <w:p w14:paraId="588ABFF8">
            <w:pPr>
              <w:pStyle w:val="133"/>
            </w:pPr>
            <w:r>
              <w:rPr>
                <w:rFonts w:hint="eastAsia"/>
              </w:rPr>
              <w:t>/</w:t>
            </w:r>
          </w:p>
        </w:tc>
        <w:tc>
          <w:tcPr>
            <w:tcW w:w="579" w:type="pct"/>
            <w:vMerge w:val="continue"/>
            <w:vAlign w:val="center"/>
          </w:tcPr>
          <w:p w14:paraId="5DF360A3">
            <w:pPr>
              <w:pStyle w:val="133"/>
            </w:pPr>
          </w:p>
        </w:tc>
        <w:tc>
          <w:tcPr>
            <w:tcW w:w="493" w:type="pct"/>
            <w:vMerge w:val="continue"/>
            <w:vAlign w:val="center"/>
          </w:tcPr>
          <w:p w14:paraId="5CCF3B5C">
            <w:pPr>
              <w:pStyle w:val="133"/>
            </w:pPr>
          </w:p>
        </w:tc>
        <w:tc>
          <w:tcPr>
            <w:tcW w:w="955" w:type="pct"/>
            <w:vMerge w:val="continue"/>
            <w:vAlign w:val="center"/>
          </w:tcPr>
          <w:p w14:paraId="152512B7">
            <w:pPr>
              <w:pStyle w:val="133"/>
            </w:pPr>
          </w:p>
        </w:tc>
      </w:tr>
    </w:tbl>
    <w:p w14:paraId="530ED5D3">
      <w:pPr>
        <w:pStyle w:val="133"/>
      </w:pPr>
    </w:p>
    <w:p w14:paraId="7B2DD01F">
      <w:pPr>
        <w:pStyle w:val="117"/>
        <w:ind w:firstLine="480"/>
      </w:pPr>
      <w:r>
        <w:rPr>
          <w:rFonts w:hint="eastAsia"/>
        </w:rPr>
        <w:t>本次污染物排放达标情况根据污染物例行监测数据对照分析，具体见表</w:t>
      </w:r>
      <w:r>
        <w:t>2.3-2</w:t>
      </w:r>
      <w:r>
        <w:rPr>
          <w:rFonts w:hint="eastAsia"/>
        </w:rPr>
        <w:t>。</w:t>
      </w:r>
    </w:p>
    <w:p w14:paraId="2796389D">
      <w:pPr>
        <w:pStyle w:val="117"/>
        <w:ind w:firstLine="480"/>
      </w:pPr>
      <w:r>
        <w:rPr>
          <w:rFonts w:hint="eastAsia"/>
        </w:rPr>
        <w:t>根据2023年现有工程例行监测报告，各生产设施废气有组织排放、厂界及焦炉炉顶废气无组织排放的已监测污染物均可达到</w:t>
      </w:r>
      <w:r>
        <w:t>《</w:t>
      </w:r>
      <w:r>
        <w:fldChar w:fldCharType="begin"/>
      </w:r>
      <w:r>
        <w:instrText xml:space="preserve"> HYPERLINK "http://kjs.mep.gov.cn/hjbhbz/bzwb/shjbh/swrwpfbz/201207/t20120731_234146.htm" \t "_blank" </w:instrText>
      </w:r>
      <w:r>
        <w:fldChar w:fldCharType="separate"/>
      </w:r>
      <w:r>
        <w:t>炼焦化学工业污染物排放标准</w:t>
      </w:r>
      <w:r>
        <w:fldChar w:fldCharType="end"/>
      </w:r>
      <w:r>
        <w:t>》（GB 16171-2012）</w:t>
      </w:r>
      <w:r>
        <w:rPr>
          <w:rFonts w:hint="eastAsia"/>
        </w:rPr>
        <w:t>表4现有企业大气污染物排放浓度限值。部分污染因子未按照监测方案开展例行检测。</w:t>
      </w:r>
    </w:p>
    <w:p w14:paraId="55B5B44D">
      <w:pPr>
        <w:pStyle w:val="118"/>
      </w:pPr>
    </w:p>
    <w:p w14:paraId="4906A28C">
      <w:pPr>
        <w:pStyle w:val="118"/>
      </w:pPr>
      <w:r>
        <w:t>表</w:t>
      </w:r>
      <w:r>
        <w:rPr>
          <w:rFonts w:hint="eastAsia"/>
        </w:rPr>
        <w:t>2.3</w:t>
      </w:r>
      <w:r>
        <w:t>-</w:t>
      </w:r>
      <w:r>
        <w:rPr>
          <w:rFonts w:hint="eastAsia"/>
        </w:rPr>
        <w:t xml:space="preserve">2   2023年硅铁生产线废气污染物例行监测数据达标排放分析一览表    </w:t>
      </w:r>
    </w:p>
    <w:p w14:paraId="1E96A197">
      <w:pPr>
        <w:pStyle w:val="118"/>
      </w:pPr>
      <w:r>
        <w:rPr>
          <w:rFonts w:hint="eastAsia"/>
        </w:rPr>
        <w:t>单位：mg/m³</w:t>
      </w:r>
    </w:p>
    <w:tbl>
      <w:tblPr>
        <w:tblStyle w:val="67"/>
        <w:tblW w:w="46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637"/>
        <w:gridCol w:w="920"/>
        <w:gridCol w:w="851"/>
        <w:gridCol w:w="860"/>
        <w:gridCol w:w="935"/>
        <w:gridCol w:w="932"/>
        <w:gridCol w:w="1593"/>
        <w:gridCol w:w="737"/>
      </w:tblGrid>
      <w:tr w14:paraId="5373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 w:hRule="atLeast"/>
          <w:tblHeader/>
          <w:jc w:val="center"/>
        </w:trPr>
        <w:tc>
          <w:tcPr>
            <w:tcW w:w="633" w:type="pct"/>
            <w:vAlign w:val="center"/>
          </w:tcPr>
          <w:p w14:paraId="13C1D156">
            <w:pPr>
              <w:pStyle w:val="133"/>
              <w:rPr>
                <w:b/>
                <w:bCs/>
              </w:rPr>
            </w:pPr>
            <w:r>
              <w:rPr>
                <w:rFonts w:hint="eastAsia"/>
                <w:b/>
                <w:bCs/>
              </w:rPr>
              <w:t>排放源</w:t>
            </w:r>
          </w:p>
        </w:tc>
        <w:tc>
          <w:tcPr>
            <w:tcW w:w="911" w:type="pct"/>
            <w:gridSpan w:val="2"/>
            <w:vAlign w:val="center"/>
          </w:tcPr>
          <w:p w14:paraId="0D887B8E">
            <w:pPr>
              <w:pStyle w:val="133"/>
              <w:rPr>
                <w:b/>
                <w:bCs/>
              </w:rPr>
            </w:pPr>
            <w:r>
              <w:rPr>
                <w:rFonts w:hint="eastAsia"/>
                <w:b/>
                <w:bCs/>
              </w:rPr>
              <w:t>污染物</w:t>
            </w:r>
          </w:p>
        </w:tc>
        <w:tc>
          <w:tcPr>
            <w:tcW w:w="498" w:type="pct"/>
            <w:vAlign w:val="center"/>
          </w:tcPr>
          <w:p w14:paraId="47F8A99D">
            <w:pPr>
              <w:pStyle w:val="133"/>
              <w:rPr>
                <w:b/>
                <w:bCs/>
              </w:rPr>
            </w:pPr>
            <w:r>
              <w:rPr>
                <w:rFonts w:hint="eastAsia"/>
                <w:b/>
                <w:bCs/>
              </w:rPr>
              <w:t>1季度</w:t>
            </w:r>
          </w:p>
        </w:tc>
        <w:tc>
          <w:tcPr>
            <w:tcW w:w="503" w:type="pct"/>
            <w:vAlign w:val="center"/>
          </w:tcPr>
          <w:p w14:paraId="298FBA43">
            <w:pPr>
              <w:pStyle w:val="133"/>
              <w:rPr>
                <w:b/>
                <w:bCs/>
              </w:rPr>
            </w:pPr>
            <w:r>
              <w:rPr>
                <w:rFonts w:hint="eastAsia"/>
                <w:b/>
                <w:bCs/>
              </w:rPr>
              <w:t>2季度</w:t>
            </w:r>
          </w:p>
        </w:tc>
        <w:tc>
          <w:tcPr>
            <w:tcW w:w="547" w:type="pct"/>
            <w:vAlign w:val="center"/>
          </w:tcPr>
          <w:p w14:paraId="09E96819">
            <w:pPr>
              <w:pStyle w:val="133"/>
              <w:rPr>
                <w:b/>
                <w:bCs/>
              </w:rPr>
            </w:pPr>
            <w:r>
              <w:rPr>
                <w:rFonts w:hint="eastAsia"/>
                <w:b/>
                <w:bCs/>
              </w:rPr>
              <w:t>3季度</w:t>
            </w:r>
          </w:p>
        </w:tc>
        <w:tc>
          <w:tcPr>
            <w:tcW w:w="545" w:type="pct"/>
            <w:vAlign w:val="center"/>
          </w:tcPr>
          <w:p w14:paraId="5A4B2CB2">
            <w:pPr>
              <w:pStyle w:val="133"/>
              <w:rPr>
                <w:b/>
                <w:bCs/>
              </w:rPr>
            </w:pPr>
            <w:r>
              <w:rPr>
                <w:b/>
                <w:bCs/>
              </w:rPr>
              <w:t>4</w:t>
            </w:r>
            <w:r>
              <w:rPr>
                <w:rFonts w:hint="eastAsia"/>
                <w:b/>
                <w:bCs/>
              </w:rPr>
              <w:t>季度</w:t>
            </w:r>
          </w:p>
        </w:tc>
        <w:tc>
          <w:tcPr>
            <w:tcW w:w="932" w:type="pct"/>
            <w:vAlign w:val="center"/>
          </w:tcPr>
          <w:p w14:paraId="10FE898D">
            <w:pPr>
              <w:pStyle w:val="133"/>
              <w:rPr>
                <w:b/>
                <w:bCs/>
              </w:rPr>
            </w:pPr>
            <w:r>
              <w:rPr>
                <w:rFonts w:hint="eastAsia"/>
                <w:b/>
                <w:bCs/>
              </w:rPr>
              <w:t>排放标准</w:t>
            </w:r>
          </w:p>
          <w:p w14:paraId="0FEF9462">
            <w:pPr>
              <w:pStyle w:val="133"/>
              <w:rPr>
                <w:b/>
                <w:bCs/>
              </w:rPr>
            </w:pPr>
            <w:r>
              <w:rPr>
                <w:rFonts w:hint="eastAsia"/>
                <w:b/>
                <w:bCs/>
              </w:rPr>
              <w:t>（mg/m³）</w:t>
            </w:r>
          </w:p>
        </w:tc>
        <w:tc>
          <w:tcPr>
            <w:tcW w:w="431" w:type="pct"/>
            <w:vAlign w:val="center"/>
          </w:tcPr>
          <w:p w14:paraId="751C22E1">
            <w:pPr>
              <w:pStyle w:val="133"/>
              <w:rPr>
                <w:b/>
                <w:bCs/>
              </w:rPr>
            </w:pPr>
            <w:r>
              <w:rPr>
                <w:rFonts w:hint="eastAsia"/>
                <w:b/>
                <w:bCs/>
              </w:rPr>
              <w:t>达标情况</w:t>
            </w:r>
          </w:p>
        </w:tc>
      </w:tr>
      <w:tr w14:paraId="31CF2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633" w:type="pct"/>
            <w:vAlign w:val="center"/>
          </w:tcPr>
          <w:p w14:paraId="7E4DD5D9">
            <w:pPr>
              <w:pStyle w:val="133"/>
            </w:pPr>
            <w:r>
              <w:rPr>
                <w:rFonts w:hint="eastAsia"/>
              </w:rPr>
              <w:t>DA0</w:t>
            </w:r>
            <w:r>
              <w:t>25</w:t>
            </w:r>
            <w:r>
              <w:rPr>
                <w:rFonts w:hint="eastAsia"/>
              </w:rPr>
              <w:t>（硅铁上料排口）</w:t>
            </w:r>
          </w:p>
        </w:tc>
        <w:tc>
          <w:tcPr>
            <w:tcW w:w="911" w:type="pct"/>
            <w:gridSpan w:val="2"/>
            <w:vAlign w:val="center"/>
          </w:tcPr>
          <w:p w14:paraId="0B11D361">
            <w:pPr>
              <w:pStyle w:val="133"/>
            </w:pPr>
            <w:r>
              <w:rPr>
                <w:rFonts w:hint="eastAsia"/>
              </w:rPr>
              <w:t>颗粒物</w:t>
            </w:r>
          </w:p>
        </w:tc>
        <w:tc>
          <w:tcPr>
            <w:tcW w:w="498" w:type="pct"/>
            <w:vAlign w:val="center"/>
          </w:tcPr>
          <w:p w14:paraId="45E6F94B">
            <w:pPr>
              <w:pStyle w:val="133"/>
            </w:pPr>
            <w:r>
              <w:t>1.3</w:t>
            </w:r>
          </w:p>
        </w:tc>
        <w:tc>
          <w:tcPr>
            <w:tcW w:w="503" w:type="pct"/>
            <w:vAlign w:val="center"/>
          </w:tcPr>
          <w:p w14:paraId="48F68FE8">
            <w:pPr>
              <w:pStyle w:val="133"/>
            </w:pPr>
            <w:r>
              <w:t>1.2</w:t>
            </w:r>
          </w:p>
        </w:tc>
        <w:tc>
          <w:tcPr>
            <w:tcW w:w="547" w:type="pct"/>
            <w:vAlign w:val="center"/>
          </w:tcPr>
          <w:p w14:paraId="35FB9312">
            <w:pPr>
              <w:pStyle w:val="133"/>
            </w:pPr>
            <w:r>
              <w:t>1.4</w:t>
            </w:r>
          </w:p>
        </w:tc>
        <w:tc>
          <w:tcPr>
            <w:tcW w:w="545" w:type="pct"/>
            <w:vAlign w:val="center"/>
          </w:tcPr>
          <w:p w14:paraId="0F45E093">
            <w:pPr>
              <w:pStyle w:val="133"/>
            </w:pPr>
            <w:r>
              <w:t>1.3</w:t>
            </w:r>
          </w:p>
        </w:tc>
        <w:tc>
          <w:tcPr>
            <w:tcW w:w="932" w:type="pct"/>
            <w:vAlign w:val="center"/>
          </w:tcPr>
          <w:p w14:paraId="06C52260">
            <w:pPr>
              <w:pStyle w:val="133"/>
            </w:pPr>
            <w:r>
              <w:rPr>
                <w:rFonts w:hint="eastAsia"/>
              </w:rPr>
              <w:t>80</w:t>
            </w:r>
          </w:p>
        </w:tc>
        <w:tc>
          <w:tcPr>
            <w:tcW w:w="431" w:type="pct"/>
            <w:vAlign w:val="center"/>
          </w:tcPr>
          <w:p w14:paraId="53C46E7A">
            <w:pPr>
              <w:pStyle w:val="133"/>
            </w:pPr>
            <w:r>
              <w:rPr>
                <w:rFonts w:hint="eastAsia"/>
              </w:rPr>
              <w:t>达标</w:t>
            </w:r>
          </w:p>
        </w:tc>
      </w:tr>
      <w:tr w14:paraId="1808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633" w:type="pct"/>
            <w:vAlign w:val="center"/>
          </w:tcPr>
          <w:p w14:paraId="7248DE45">
            <w:pPr>
              <w:pStyle w:val="133"/>
            </w:pPr>
            <w:r>
              <w:rPr>
                <w:rFonts w:hint="eastAsia"/>
              </w:rPr>
              <w:t>DA026（硅铁出料排口）</w:t>
            </w:r>
          </w:p>
        </w:tc>
        <w:tc>
          <w:tcPr>
            <w:tcW w:w="911" w:type="pct"/>
            <w:gridSpan w:val="2"/>
            <w:vAlign w:val="center"/>
          </w:tcPr>
          <w:p w14:paraId="7083E849">
            <w:pPr>
              <w:pStyle w:val="133"/>
            </w:pPr>
            <w:r>
              <w:rPr>
                <w:rFonts w:hint="eastAsia"/>
              </w:rPr>
              <w:t>颗粒物</w:t>
            </w:r>
          </w:p>
        </w:tc>
        <w:tc>
          <w:tcPr>
            <w:tcW w:w="498" w:type="pct"/>
            <w:vAlign w:val="center"/>
          </w:tcPr>
          <w:p w14:paraId="0F733607">
            <w:pPr>
              <w:pStyle w:val="133"/>
            </w:pPr>
            <w:r>
              <w:t>&lt;1.0</w:t>
            </w:r>
          </w:p>
        </w:tc>
        <w:tc>
          <w:tcPr>
            <w:tcW w:w="503" w:type="pct"/>
            <w:vAlign w:val="center"/>
          </w:tcPr>
          <w:p w14:paraId="51EC679C">
            <w:pPr>
              <w:pStyle w:val="133"/>
            </w:pPr>
            <w:r>
              <w:t>&lt;1.0</w:t>
            </w:r>
          </w:p>
        </w:tc>
        <w:tc>
          <w:tcPr>
            <w:tcW w:w="547" w:type="pct"/>
            <w:vAlign w:val="center"/>
          </w:tcPr>
          <w:p w14:paraId="754FA6EE">
            <w:pPr>
              <w:pStyle w:val="133"/>
            </w:pPr>
            <w:r>
              <w:t>&lt;1.0</w:t>
            </w:r>
          </w:p>
        </w:tc>
        <w:tc>
          <w:tcPr>
            <w:tcW w:w="545" w:type="pct"/>
            <w:vAlign w:val="center"/>
          </w:tcPr>
          <w:p w14:paraId="0BC401CF">
            <w:pPr>
              <w:pStyle w:val="133"/>
            </w:pPr>
            <w:r>
              <w:t>&lt;1.0</w:t>
            </w:r>
          </w:p>
        </w:tc>
        <w:tc>
          <w:tcPr>
            <w:tcW w:w="932" w:type="pct"/>
            <w:vAlign w:val="center"/>
          </w:tcPr>
          <w:p w14:paraId="798613B9">
            <w:pPr>
              <w:pStyle w:val="133"/>
            </w:pPr>
            <w:r>
              <w:rPr>
                <w:rFonts w:hint="eastAsia"/>
              </w:rPr>
              <w:t>80</w:t>
            </w:r>
          </w:p>
        </w:tc>
        <w:tc>
          <w:tcPr>
            <w:tcW w:w="431" w:type="pct"/>
            <w:vAlign w:val="center"/>
          </w:tcPr>
          <w:p w14:paraId="27AFA2E2">
            <w:pPr>
              <w:pStyle w:val="133"/>
            </w:pPr>
            <w:r>
              <w:rPr>
                <w:rFonts w:hint="eastAsia"/>
              </w:rPr>
              <w:t>达标</w:t>
            </w:r>
          </w:p>
        </w:tc>
      </w:tr>
      <w:tr w14:paraId="33E6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633" w:type="pct"/>
            <w:vMerge w:val="restart"/>
            <w:vAlign w:val="center"/>
          </w:tcPr>
          <w:p w14:paraId="1A91AAB6">
            <w:pPr>
              <w:pStyle w:val="133"/>
            </w:pPr>
            <w:r>
              <w:rPr>
                <w:rFonts w:hint="eastAsia"/>
              </w:rPr>
              <w:t>DA008（回转窑炉废气总排口）</w:t>
            </w:r>
          </w:p>
        </w:tc>
        <w:tc>
          <w:tcPr>
            <w:tcW w:w="911" w:type="pct"/>
            <w:gridSpan w:val="2"/>
            <w:vAlign w:val="center"/>
          </w:tcPr>
          <w:p w14:paraId="614EBC57">
            <w:pPr>
              <w:pStyle w:val="133"/>
            </w:pPr>
            <w:r>
              <w:rPr>
                <w:rFonts w:hint="eastAsia"/>
              </w:rPr>
              <w:t>颗粒物</w:t>
            </w:r>
          </w:p>
        </w:tc>
        <w:tc>
          <w:tcPr>
            <w:tcW w:w="498" w:type="pct"/>
            <w:vAlign w:val="center"/>
          </w:tcPr>
          <w:p w14:paraId="249C4699">
            <w:pPr>
              <w:pStyle w:val="133"/>
            </w:pPr>
            <w:r>
              <w:rPr>
                <w:rFonts w:hint="eastAsia"/>
              </w:rPr>
              <w:t>49.6</w:t>
            </w:r>
          </w:p>
        </w:tc>
        <w:tc>
          <w:tcPr>
            <w:tcW w:w="503" w:type="pct"/>
            <w:vAlign w:val="center"/>
          </w:tcPr>
          <w:p w14:paraId="1A4D3220">
            <w:pPr>
              <w:pStyle w:val="133"/>
            </w:pPr>
            <w:r>
              <w:rPr>
                <w:rFonts w:hint="eastAsia"/>
              </w:rPr>
              <w:t>41.5</w:t>
            </w:r>
          </w:p>
        </w:tc>
        <w:tc>
          <w:tcPr>
            <w:tcW w:w="547" w:type="pct"/>
            <w:vAlign w:val="center"/>
          </w:tcPr>
          <w:p w14:paraId="1E88C799">
            <w:pPr>
              <w:pStyle w:val="133"/>
            </w:pPr>
            <w:r>
              <w:rPr>
                <w:rFonts w:hint="eastAsia"/>
              </w:rPr>
              <w:t>28.5</w:t>
            </w:r>
          </w:p>
        </w:tc>
        <w:tc>
          <w:tcPr>
            <w:tcW w:w="545" w:type="pct"/>
            <w:vAlign w:val="center"/>
          </w:tcPr>
          <w:p w14:paraId="005E077C">
            <w:pPr>
              <w:pStyle w:val="133"/>
            </w:pPr>
            <w:r>
              <w:rPr>
                <w:rFonts w:hint="eastAsia"/>
              </w:rPr>
              <w:t>29.1</w:t>
            </w:r>
          </w:p>
        </w:tc>
        <w:tc>
          <w:tcPr>
            <w:tcW w:w="932" w:type="pct"/>
            <w:vAlign w:val="center"/>
          </w:tcPr>
          <w:p w14:paraId="3251DDCA">
            <w:pPr>
              <w:pStyle w:val="133"/>
            </w:pPr>
            <w:r>
              <w:rPr>
                <w:rFonts w:hint="eastAsia"/>
              </w:rPr>
              <w:t>80</w:t>
            </w:r>
          </w:p>
        </w:tc>
        <w:tc>
          <w:tcPr>
            <w:tcW w:w="431" w:type="pct"/>
            <w:vAlign w:val="center"/>
          </w:tcPr>
          <w:p w14:paraId="09B65BA4">
            <w:pPr>
              <w:pStyle w:val="133"/>
            </w:pPr>
            <w:r>
              <w:rPr>
                <w:rFonts w:hint="eastAsia"/>
              </w:rPr>
              <w:t>达标</w:t>
            </w:r>
          </w:p>
        </w:tc>
      </w:tr>
      <w:tr w14:paraId="4961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633" w:type="pct"/>
            <w:vMerge w:val="continue"/>
            <w:vAlign w:val="center"/>
          </w:tcPr>
          <w:p w14:paraId="2477E02B">
            <w:pPr>
              <w:pStyle w:val="133"/>
            </w:pPr>
          </w:p>
        </w:tc>
        <w:tc>
          <w:tcPr>
            <w:tcW w:w="911" w:type="pct"/>
            <w:gridSpan w:val="2"/>
            <w:vAlign w:val="center"/>
          </w:tcPr>
          <w:p w14:paraId="25DF95A8">
            <w:pPr>
              <w:pStyle w:val="133"/>
            </w:pPr>
            <w:r>
              <w:rPr>
                <w:rFonts w:hint="eastAsia"/>
              </w:rPr>
              <w:t>二氧化硫</w:t>
            </w:r>
          </w:p>
        </w:tc>
        <w:tc>
          <w:tcPr>
            <w:tcW w:w="498" w:type="pct"/>
            <w:vAlign w:val="center"/>
          </w:tcPr>
          <w:p w14:paraId="0D7D252D">
            <w:pPr>
              <w:pStyle w:val="133"/>
            </w:pPr>
            <w:r>
              <w:rPr>
                <w:rFonts w:hint="eastAsia"/>
              </w:rPr>
              <w:t>70</w:t>
            </w:r>
          </w:p>
        </w:tc>
        <w:tc>
          <w:tcPr>
            <w:tcW w:w="503" w:type="pct"/>
            <w:vAlign w:val="center"/>
          </w:tcPr>
          <w:p w14:paraId="1507EC58">
            <w:pPr>
              <w:pStyle w:val="133"/>
            </w:pPr>
            <w:r>
              <w:rPr>
                <w:rFonts w:hint="eastAsia"/>
              </w:rPr>
              <w:t>92</w:t>
            </w:r>
          </w:p>
        </w:tc>
        <w:tc>
          <w:tcPr>
            <w:tcW w:w="547" w:type="pct"/>
            <w:vAlign w:val="center"/>
          </w:tcPr>
          <w:p w14:paraId="6C0299E6">
            <w:pPr>
              <w:pStyle w:val="133"/>
            </w:pPr>
            <w:r>
              <w:rPr>
                <w:rFonts w:hint="eastAsia"/>
              </w:rPr>
              <w:t>5</w:t>
            </w:r>
          </w:p>
        </w:tc>
        <w:tc>
          <w:tcPr>
            <w:tcW w:w="545" w:type="pct"/>
            <w:vAlign w:val="center"/>
          </w:tcPr>
          <w:p w14:paraId="3AD6F3A8">
            <w:pPr>
              <w:pStyle w:val="133"/>
            </w:pPr>
            <w:r>
              <w:rPr>
                <w:rFonts w:hint="eastAsia"/>
              </w:rPr>
              <w:t>&lt;2</w:t>
            </w:r>
          </w:p>
        </w:tc>
        <w:tc>
          <w:tcPr>
            <w:tcW w:w="932" w:type="pct"/>
            <w:vAlign w:val="center"/>
          </w:tcPr>
          <w:p w14:paraId="634E4B79">
            <w:pPr>
              <w:pStyle w:val="133"/>
            </w:pPr>
            <w:r>
              <w:rPr>
                <w:rFonts w:hint="eastAsia"/>
              </w:rPr>
              <w:t>800</w:t>
            </w:r>
          </w:p>
        </w:tc>
        <w:tc>
          <w:tcPr>
            <w:tcW w:w="431" w:type="pct"/>
            <w:vAlign w:val="center"/>
          </w:tcPr>
          <w:p w14:paraId="4DB239D2">
            <w:pPr>
              <w:pStyle w:val="133"/>
            </w:pPr>
            <w:r>
              <w:rPr>
                <w:rFonts w:hint="eastAsia"/>
              </w:rPr>
              <w:t>达标</w:t>
            </w:r>
          </w:p>
        </w:tc>
      </w:tr>
      <w:tr w14:paraId="2724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633" w:type="pct"/>
            <w:vMerge w:val="restart"/>
            <w:vAlign w:val="center"/>
          </w:tcPr>
          <w:p w14:paraId="2CCDF278">
            <w:pPr>
              <w:pStyle w:val="133"/>
            </w:pPr>
            <w:r>
              <w:rPr>
                <w:rFonts w:hint="eastAsia"/>
              </w:rPr>
              <w:t>DA027（硅铁分厂电炉烟气）</w:t>
            </w:r>
          </w:p>
        </w:tc>
        <w:tc>
          <w:tcPr>
            <w:tcW w:w="911" w:type="pct"/>
            <w:gridSpan w:val="2"/>
            <w:vAlign w:val="center"/>
          </w:tcPr>
          <w:p w14:paraId="73DBAEF2">
            <w:pPr>
              <w:pStyle w:val="133"/>
            </w:pPr>
            <w:r>
              <w:rPr>
                <w:rFonts w:hint="eastAsia"/>
              </w:rPr>
              <w:t>颗粒物</w:t>
            </w:r>
          </w:p>
        </w:tc>
        <w:tc>
          <w:tcPr>
            <w:tcW w:w="498" w:type="pct"/>
            <w:vAlign w:val="center"/>
          </w:tcPr>
          <w:p w14:paraId="4DD37372">
            <w:pPr>
              <w:pStyle w:val="133"/>
            </w:pPr>
            <w:r>
              <w:rPr>
                <w:rFonts w:hint="eastAsia"/>
              </w:rPr>
              <w:t>37.2</w:t>
            </w:r>
          </w:p>
        </w:tc>
        <w:tc>
          <w:tcPr>
            <w:tcW w:w="503" w:type="pct"/>
            <w:vAlign w:val="center"/>
          </w:tcPr>
          <w:p w14:paraId="4400CE3B">
            <w:pPr>
              <w:pStyle w:val="133"/>
            </w:pPr>
            <w:r>
              <w:rPr>
                <w:rFonts w:hint="eastAsia"/>
              </w:rPr>
              <w:t>18.6</w:t>
            </w:r>
          </w:p>
        </w:tc>
        <w:tc>
          <w:tcPr>
            <w:tcW w:w="547" w:type="pct"/>
            <w:vAlign w:val="center"/>
          </w:tcPr>
          <w:p w14:paraId="6DF483E6">
            <w:pPr>
              <w:pStyle w:val="133"/>
            </w:pPr>
            <w:r>
              <w:rPr>
                <w:rFonts w:hint="eastAsia"/>
              </w:rPr>
              <w:t>31.0</w:t>
            </w:r>
          </w:p>
        </w:tc>
        <w:tc>
          <w:tcPr>
            <w:tcW w:w="545" w:type="pct"/>
            <w:vAlign w:val="center"/>
          </w:tcPr>
          <w:p w14:paraId="5874FFEC">
            <w:pPr>
              <w:pStyle w:val="133"/>
            </w:pPr>
            <w:r>
              <w:rPr>
                <w:rFonts w:hint="eastAsia"/>
              </w:rPr>
              <w:t>32.9</w:t>
            </w:r>
          </w:p>
        </w:tc>
        <w:tc>
          <w:tcPr>
            <w:tcW w:w="932" w:type="pct"/>
            <w:vAlign w:val="center"/>
          </w:tcPr>
          <w:p w14:paraId="1B8AD3D5">
            <w:pPr>
              <w:pStyle w:val="133"/>
            </w:pPr>
            <w:r>
              <w:rPr>
                <w:rFonts w:hint="eastAsia"/>
              </w:rPr>
              <w:t>250</w:t>
            </w:r>
          </w:p>
        </w:tc>
        <w:tc>
          <w:tcPr>
            <w:tcW w:w="431" w:type="pct"/>
            <w:vAlign w:val="center"/>
          </w:tcPr>
          <w:p w14:paraId="37ED56B7">
            <w:pPr>
              <w:pStyle w:val="133"/>
            </w:pPr>
            <w:r>
              <w:rPr>
                <w:rFonts w:hint="eastAsia"/>
              </w:rPr>
              <w:t>达标</w:t>
            </w:r>
          </w:p>
        </w:tc>
      </w:tr>
      <w:tr w14:paraId="016D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633" w:type="pct"/>
            <w:vMerge w:val="continue"/>
            <w:vAlign w:val="center"/>
          </w:tcPr>
          <w:p w14:paraId="3CFB2639">
            <w:pPr>
              <w:pStyle w:val="133"/>
            </w:pPr>
          </w:p>
        </w:tc>
        <w:tc>
          <w:tcPr>
            <w:tcW w:w="911" w:type="pct"/>
            <w:gridSpan w:val="2"/>
            <w:vAlign w:val="center"/>
          </w:tcPr>
          <w:p w14:paraId="09F62E81">
            <w:pPr>
              <w:pStyle w:val="133"/>
            </w:pPr>
            <w:r>
              <w:rPr>
                <w:rFonts w:hint="eastAsia"/>
              </w:rPr>
              <w:t>二氧化硫</w:t>
            </w:r>
          </w:p>
        </w:tc>
        <w:tc>
          <w:tcPr>
            <w:tcW w:w="498" w:type="pct"/>
            <w:vAlign w:val="center"/>
          </w:tcPr>
          <w:p w14:paraId="4462BD84">
            <w:pPr>
              <w:pStyle w:val="133"/>
            </w:pPr>
            <w:r>
              <w:rPr>
                <w:rFonts w:hint="eastAsia"/>
              </w:rPr>
              <w:t>46</w:t>
            </w:r>
          </w:p>
        </w:tc>
        <w:tc>
          <w:tcPr>
            <w:tcW w:w="503" w:type="pct"/>
            <w:vAlign w:val="center"/>
          </w:tcPr>
          <w:p w14:paraId="1B0D42B4">
            <w:pPr>
              <w:pStyle w:val="133"/>
            </w:pPr>
            <w:r>
              <w:rPr>
                <w:rFonts w:hint="eastAsia"/>
              </w:rPr>
              <w:t>64</w:t>
            </w:r>
          </w:p>
        </w:tc>
        <w:tc>
          <w:tcPr>
            <w:tcW w:w="547" w:type="pct"/>
            <w:vAlign w:val="center"/>
          </w:tcPr>
          <w:p w14:paraId="66C4AD62">
            <w:pPr>
              <w:pStyle w:val="133"/>
            </w:pPr>
            <w:r>
              <w:rPr>
                <w:rFonts w:hint="eastAsia"/>
              </w:rPr>
              <w:t>58</w:t>
            </w:r>
          </w:p>
        </w:tc>
        <w:tc>
          <w:tcPr>
            <w:tcW w:w="545" w:type="pct"/>
            <w:vAlign w:val="center"/>
          </w:tcPr>
          <w:p w14:paraId="223C7912">
            <w:pPr>
              <w:pStyle w:val="133"/>
            </w:pPr>
            <w:r>
              <w:rPr>
                <w:rFonts w:hint="eastAsia"/>
              </w:rPr>
              <w:t>30</w:t>
            </w:r>
          </w:p>
        </w:tc>
        <w:tc>
          <w:tcPr>
            <w:tcW w:w="932" w:type="pct"/>
            <w:vAlign w:val="center"/>
          </w:tcPr>
          <w:p w14:paraId="04FD73AC">
            <w:pPr>
              <w:pStyle w:val="133"/>
            </w:pPr>
            <w:r>
              <w:rPr>
                <w:rFonts w:hint="eastAsia"/>
              </w:rPr>
              <w:t>850</w:t>
            </w:r>
          </w:p>
        </w:tc>
        <w:tc>
          <w:tcPr>
            <w:tcW w:w="431" w:type="pct"/>
            <w:vAlign w:val="center"/>
          </w:tcPr>
          <w:p w14:paraId="0A4B2F95">
            <w:pPr>
              <w:pStyle w:val="133"/>
            </w:pPr>
            <w:r>
              <w:rPr>
                <w:rFonts w:hint="eastAsia"/>
              </w:rPr>
              <w:t>达标</w:t>
            </w:r>
          </w:p>
        </w:tc>
      </w:tr>
      <w:tr w14:paraId="5C46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jc w:val="center"/>
        </w:trPr>
        <w:tc>
          <w:tcPr>
            <w:tcW w:w="633" w:type="pct"/>
            <w:vMerge w:val="restart"/>
            <w:vAlign w:val="center"/>
          </w:tcPr>
          <w:p w14:paraId="4F9A3563">
            <w:pPr>
              <w:pStyle w:val="133"/>
            </w:pPr>
            <w:r>
              <w:rPr>
                <w:rFonts w:hint="eastAsia"/>
              </w:rPr>
              <w:t>DA029（锅炉房烟囱排口）</w:t>
            </w:r>
          </w:p>
        </w:tc>
        <w:tc>
          <w:tcPr>
            <w:tcW w:w="911" w:type="pct"/>
            <w:gridSpan w:val="2"/>
            <w:vAlign w:val="center"/>
          </w:tcPr>
          <w:p w14:paraId="69FF015D">
            <w:pPr>
              <w:pStyle w:val="133"/>
            </w:pPr>
            <w:r>
              <w:rPr>
                <w:rFonts w:hint="eastAsia"/>
              </w:rPr>
              <w:t>颗粒物</w:t>
            </w:r>
          </w:p>
        </w:tc>
        <w:tc>
          <w:tcPr>
            <w:tcW w:w="498" w:type="pct"/>
            <w:vAlign w:val="center"/>
          </w:tcPr>
          <w:p w14:paraId="76E42F63">
            <w:pPr>
              <w:pStyle w:val="133"/>
            </w:pPr>
            <w:r>
              <w:rPr>
                <w:rFonts w:hint="eastAsia"/>
              </w:rPr>
              <w:t>17.2</w:t>
            </w:r>
          </w:p>
        </w:tc>
        <w:tc>
          <w:tcPr>
            <w:tcW w:w="503" w:type="pct"/>
            <w:vAlign w:val="center"/>
          </w:tcPr>
          <w:p w14:paraId="2AFAEAAB">
            <w:pPr>
              <w:pStyle w:val="133"/>
            </w:pPr>
            <w:r>
              <w:rPr>
                <w:rFonts w:hint="eastAsia"/>
              </w:rPr>
              <w:t>20.7</w:t>
            </w:r>
          </w:p>
        </w:tc>
        <w:tc>
          <w:tcPr>
            <w:tcW w:w="547" w:type="pct"/>
            <w:vAlign w:val="center"/>
          </w:tcPr>
          <w:p w14:paraId="770965C7">
            <w:pPr>
              <w:pStyle w:val="133"/>
            </w:pPr>
            <w:r>
              <w:rPr>
                <w:rFonts w:hint="eastAsia"/>
              </w:rPr>
              <w:t>31.6</w:t>
            </w:r>
          </w:p>
        </w:tc>
        <w:tc>
          <w:tcPr>
            <w:tcW w:w="545" w:type="pct"/>
            <w:vAlign w:val="center"/>
          </w:tcPr>
          <w:p w14:paraId="3E928452">
            <w:pPr>
              <w:pStyle w:val="133"/>
            </w:pPr>
            <w:r>
              <w:rPr>
                <w:rFonts w:hint="eastAsia"/>
              </w:rPr>
              <w:t>25.0</w:t>
            </w:r>
          </w:p>
        </w:tc>
        <w:tc>
          <w:tcPr>
            <w:tcW w:w="932" w:type="pct"/>
            <w:vAlign w:val="center"/>
          </w:tcPr>
          <w:p w14:paraId="15EB0F8A">
            <w:pPr>
              <w:pStyle w:val="133"/>
            </w:pPr>
            <w:r>
              <w:rPr>
                <w:rFonts w:hint="eastAsia"/>
              </w:rPr>
              <w:t>80</w:t>
            </w:r>
          </w:p>
        </w:tc>
        <w:tc>
          <w:tcPr>
            <w:tcW w:w="431" w:type="pct"/>
            <w:vAlign w:val="center"/>
          </w:tcPr>
          <w:p w14:paraId="75BFDB20">
            <w:pPr>
              <w:pStyle w:val="133"/>
            </w:pPr>
            <w:r>
              <w:rPr>
                <w:rFonts w:hint="eastAsia"/>
              </w:rPr>
              <w:t>达标</w:t>
            </w:r>
          </w:p>
        </w:tc>
      </w:tr>
      <w:tr w14:paraId="6DDE0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633" w:type="pct"/>
            <w:vMerge w:val="continue"/>
            <w:vAlign w:val="center"/>
          </w:tcPr>
          <w:p w14:paraId="0FBBA3ED">
            <w:pPr>
              <w:pStyle w:val="133"/>
            </w:pPr>
          </w:p>
        </w:tc>
        <w:tc>
          <w:tcPr>
            <w:tcW w:w="911" w:type="pct"/>
            <w:gridSpan w:val="2"/>
            <w:vAlign w:val="center"/>
          </w:tcPr>
          <w:p w14:paraId="2C8C6429">
            <w:pPr>
              <w:pStyle w:val="133"/>
            </w:pPr>
            <w:r>
              <w:rPr>
                <w:rFonts w:hint="eastAsia"/>
              </w:rPr>
              <w:t>二氧化硫</w:t>
            </w:r>
          </w:p>
        </w:tc>
        <w:tc>
          <w:tcPr>
            <w:tcW w:w="498" w:type="pct"/>
            <w:vAlign w:val="center"/>
          </w:tcPr>
          <w:p w14:paraId="20EB410D">
            <w:pPr>
              <w:pStyle w:val="133"/>
            </w:pPr>
            <w:r>
              <w:rPr>
                <w:rFonts w:hint="eastAsia"/>
              </w:rPr>
              <w:t>122</w:t>
            </w:r>
          </w:p>
        </w:tc>
        <w:tc>
          <w:tcPr>
            <w:tcW w:w="503" w:type="pct"/>
            <w:vAlign w:val="center"/>
          </w:tcPr>
          <w:p w14:paraId="7C2B667C">
            <w:pPr>
              <w:pStyle w:val="133"/>
            </w:pPr>
            <w:r>
              <w:rPr>
                <w:rFonts w:hint="eastAsia"/>
              </w:rPr>
              <w:t>104</w:t>
            </w:r>
          </w:p>
        </w:tc>
        <w:tc>
          <w:tcPr>
            <w:tcW w:w="547" w:type="pct"/>
            <w:vAlign w:val="center"/>
          </w:tcPr>
          <w:p w14:paraId="2807B04A">
            <w:pPr>
              <w:pStyle w:val="133"/>
            </w:pPr>
            <w:r>
              <w:rPr>
                <w:rFonts w:hint="eastAsia"/>
              </w:rPr>
              <w:t>113</w:t>
            </w:r>
          </w:p>
        </w:tc>
        <w:tc>
          <w:tcPr>
            <w:tcW w:w="545" w:type="pct"/>
            <w:vAlign w:val="center"/>
          </w:tcPr>
          <w:p w14:paraId="4A02C97E">
            <w:pPr>
              <w:pStyle w:val="133"/>
            </w:pPr>
            <w:r>
              <w:rPr>
                <w:rFonts w:hint="eastAsia"/>
              </w:rPr>
              <w:t>72</w:t>
            </w:r>
          </w:p>
        </w:tc>
        <w:tc>
          <w:tcPr>
            <w:tcW w:w="932" w:type="pct"/>
            <w:vAlign w:val="center"/>
          </w:tcPr>
          <w:p w14:paraId="67F8D2F8">
            <w:pPr>
              <w:pStyle w:val="133"/>
            </w:pPr>
            <w:r>
              <w:rPr>
                <w:rFonts w:hint="eastAsia"/>
              </w:rPr>
              <w:t>400</w:t>
            </w:r>
          </w:p>
        </w:tc>
        <w:tc>
          <w:tcPr>
            <w:tcW w:w="431" w:type="pct"/>
            <w:vAlign w:val="center"/>
          </w:tcPr>
          <w:p w14:paraId="4FC25906">
            <w:pPr>
              <w:pStyle w:val="133"/>
            </w:pPr>
            <w:r>
              <w:rPr>
                <w:rFonts w:hint="eastAsia"/>
              </w:rPr>
              <w:t>达标</w:t>
            </w:r>
          </w:p>
        </w:tc>
      </w:tr>
      <w:tr w14:paraId="120B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633" w:type="pct"/>
            <w:vMerge w:val="continue"/>
            <w:vAlign w:val="center"/>
          </w:tcPr>
          <w:p w14:paraId="79F36857">
            <w:pPr>
              <w:pStyle w:val="133"/>
            </w:pPr>
          </w:p>
        </w:tc>
        <w:tc>
          <w:tcPr>
            <w:tcW w:w="911" w:type="pct"/>
            <w:gridSpan w:val="2"/>
            <w:vAlign w:val="center"/>
          </w:tcPr>
          <w:p w14:paraId="09F6D75B">
            <w:pPr>
              <w:pStyle w:val="133"/>
            </w:pPr>
            <w:r>
              <w:rPr>
                <w:rFonts w:hint="eastAsia"/>
              </w:rPr>
              <w:t>氮氧化物</w:t>
            </w:r>
          </w:p>
        </w:tc>
        <w:tc>
          <w:tcPr>
            <w:tcW w:w="498" w:type="pct"/>
            <w:vAlign w:val="center"/>
          </w:tcPr>
          <w:p w14:paraId="5DB07A60">
            <w:pPr>
              <w:pStyle w:val="133"/>
            </w:pPr>
            <w:r>
              <w:rPr>
                <w:rFonts w:hint="eastAsia"/>
              </w:rPr>
              <w:t>109</w:t>
            </w:r>
          </w:p>
        </w:tc>
        <w:tc>
          <w:tcPr>
            <w:tcW w:w="503" w:type="pct"/>
            <w:vAlign w:val="center"/>
          </w:tcPr>
          <w:p w14:paraId="5653972E">
            <w:pPr>
              <w:pStyle w:val="133"/>
            </w:pPr>
            <w:r>
              <w:rPr>
                <w:rFonts w:hint="eastAsia"/>
              </w:rPr>
              <w:t>76</w:t>
            </w:r>
          </w:p>
        </w:tc>
        <w:tc>
          <w:tcPr>
            <w:tcW w:w="547" w:type="pct"/>
            <w:vAlign w:val="center"/>
          </w:tcPr>
          <w:p w14:paraId="5FDBA589">
            <w:pPr>
              <w:pStyle w:val="133"/>
            </w:pPr>
            <w:r>
              <w:rPr>
                <w:rFonts w:hint="eastAsia"/>
              </w:rPr>
              <w:t>124</w:t>
            </w:r>
          </w:p>
        </w:tc>
        <w:tc>
          <w:tcPr>
            <w:tcW w:w="545" w:type="pct"/>
            <w:vAlign w:val="center"/>
          </w:tcPr>
          <w:p w14:paraId="086A7335">
            <w:pPr>
              <w:pStyle w:val="133"/>
            </w:pPr>
            <w:r>
              <w:rPr>
                <w:rFonts w:hint="eastAsia"/>
              </w:rPr>
              <w:t>120</w:t>
            </w:r>
          </w:p>
        </w:tc>
        <w:tc>
          <w:tcPr>
            <w:tcW w:w="932" w:type="pct"/>
            <w:vAlign w:val="center"/>
          </w:tcPr>
          <w:p w14:paraId="76D26415">
            <w:pPr>
              <w:pStyle w:val="133"/>
            </w:pPr>
            <w:r>
              <w:rPr>
                <w:rFonts w:hint="eastAsia"/>
              </w:rPr>
              <w:t>550</w:t>
            </w:r>
          </w:p>
        </w:tc>
        <w:tc>
          <w:tcPr>
            <w:tcW w:w="431" w:type="pct"/>
            <w:vAlign w:val="center"/>
          </w:tcPr>
          <w:p w14:paraId="005683CD">
            <w:pPr>
              <w:pStyle w:val="133"/>
            </w:pPr>
            <w:r>
              <w:rPr>
                <w:rFonts w:hint="eastAsia"/>
              </w:rPr>
              <w:t>达标</w:t>
            </w:r>
          </w:p>
        </w:tc>
      </w:tr>
      <w:tr w14:paraId="04AB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4" w:hRule="atLeast"/>
          <w:jc w:val="center"/>
        </w:trPr>
        <w:tc>
          <w:tcPr>
            <w:tcW w:w="633" w:type="pct"/>
            <w:vAlign w:val="center"/>
          </w:tcPr>
          <w:p w14:paraId="4B2C7992">
            <w:pPr>
              <w:pStyle w:val="133"/>
            </w:pPr>
            <w:bookmarkStart w:id="231" w:name="OLE_LINK71"/>
            <w:r>
              <w:t>DA028</w:t>
            </w:r>
            <w:r>
              <w:rPr>
                <w:rFonts w:hint="eastAsia"/>
              </w:rPr>
              <w:t>（硅铁成品破碎排口</w:t>
            </w:r>
            <w:bookmarkEnd w:id="231"/>
            <w:r>
              <w:rPr>
                <w:rFonts w:hint="eastAsia"/>
              </w:rPr>
              <w:t>）</w:t>
            </w:r>
          </w:p>
        </w:tc>
        <w:tc>
          <w:tcPr>
            <w:tcW w:w="911" w:type="pct"/>
            <w:gridSpan w:val="2"/>
            <w:vAlign w:val="center"/>
          </w:tcPr>
          <w:p w14:paraId="0440BE1A">
            <w:pPr>
              <w:pStyle w:val="133"/>
            </w:pPr>
            <w:r>
              <w:rPr>
                <w:rFonts w:hint="eastAsia"/>
              </w:rPr>
              <w:t>颗粒物</w:t>
            </w:r>
          </w:p>
        </w:tc>
        <w:tc>
          <w:tcPr>
            <w:tcW w:w="498" w:type="pct"/>
            <w:vAlign w:val="center"/>
          </w:tcPr>
          <w:p w14:paraId="42C98BE4">
            <w:pPr>
              <w:pStyle w:val="133"/>
            </w:pPr>
            <w:r>
              <w:t>&lt;1.0</w:t>
            </w:r>
          </w:p>
        </w:tc>
        <w:tc>
          <w:tcPr>
            <w:tcW w:w="503" w:type="pct"/>
            <w:vAlign w:val="center"/>
          </w:tcPr>
          <w:p w14:paraId="49087641">
            <w:pPr>
              <w:pStyle w:val="133"/>
            </w:pPr>
            <w:r>
              <w:t>&lt;1.0</w:t>
            </w:r>
          </w:p>
        </w:tc>
        <w:tc>
          <w:tcPr>
            <w:tcW w:w="547" w:type="pct"/>
            <w:vAlign w:val="center"/>
          </w:tcPr>
          <w:p w14:paraId="64AD7FF1">
            <w:pPr>
              <w:pStyle w:val="133"/>
            </w:pPr>
            <w:r>
              <w:t>&lt;1.0</w:t>
            </w:r>
          </w:p>
        </w:tc>
        <w:tc>
          <w:tcPr>
            <w:tcW w:w="545" w:type="pct"/>
            <w:vAlign w:val="center"/>
          </w:tcPr>
          <w:p w14:paraId="6F1222B4">
            <w:pPr>
              <w:pStyle w:val="133"/>
            </w:pPr>
            <w:r>
              <w:t>&lt;1.0</w:t>
            </w:r>
          </w:p>
        </w:tc>
        <w:tc>
          <w:tcPr>
            <w:tcW w:w="932" w:type="pct"/>
            <w:vAlign w:val="center"/>
          </w:tcPr>
          <w:p w14:paraId="25CA51A6">
            <w:pPr>
              <w:pStyle w:val="133"/>
            </w:pPr>
            <w:r>
              <w:rPr>
                <w:rFonts w:hint="eastAsia"/>
              </w:rPr>
              <w:t>80</w:t>
            </w:r>
          </w:p>
        </w:tc>
        <w:tc>
          <w:tcPr>
            <w:tcW w:w="431" w:type="pct"/>
            <w:vAlign w:val="center"/>
          </w:tcPr>
          <w:p w14:paraId="5DAB0354">
            <w:pPr>
              <w:pStyle w:val="133"/>
            </w:pPr>
            <w:r>
              <w:rPr>
                <w:rFonts w:hint="eastAsia"/>
              </w:rPr>
              <w:t>达标</w:t>
            </w:r>
          </w:p>
        </w:tc>
      </w:tr>
      <w:tr w14:paraId="1564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633" w:type="pct"/>
            <w:vMerge w:val="restart"/>
            <w:vAlign w:val="center"/>
          </w:tcPr>
          <w:p w14:paraId="433DE230">
            <w:pPr>
              <w:pStyle w:val="133"/>
            </w:pPr>
            <w:r>
              <w:rPr>
                <w:rFonts w:hint="eastAsia"/>
              </w:rPr>
              <w:t>无组织排放</w:t>
            </w:r>
          </w:p>
        </w:tc>
        <w:tc>
          <w:tcPr>
            <w:tcW w:w="373" w:type="pct"/>
            <w:vMerge w:val="restart"/>
            <w:vAlign w:val="center"/>
          </w:tcPr>
          <w:p w14:paraId="381B2667">
            <w:pPr>
              <w:pStyle w:val="133"/>
            </w:pPr>
            <w:r>
              <w:rPr>
                <w:rFonts w:hint="eastAsia"/>
              </w:rPr>
              <w:t>焦炉</w:t>
            </w:r>
          </w:p>
          <w:p w14:paraId="049D0487">
            <w:pPr>
              <w:pStyle w:val="133"/>
            </w:pPr>
            <w:r>
              <w:rPr>
                <w:rFonts w:hint="eastAsia"/>
              </w:rPr>
              <w:t>炉顶</w:t>
            </w:r>
          </w:p>
        </w:tc>
        <w:tc>
          <w:tcPr>
            <w:tcW w:w="538" w:type="pct"/>
            <w:vAlign w:val="center"/>
          </w:tcPr>
          <w:p w14:paraId="16C370FC">
            <w:pPr>
              <w:pStyle w:val="133"/>
            </w:pPr>
            <w:r>
              <w:rPr>
                <w:rFonts w:hint="eastAsia"/>
              </w:rPr>
              <w:t>苯并</w:t>
            </w:r>
            <w:r>
              <w:t>〔</w:t>
            </w:r>
            <w:r>
              <w:rPr>
                <w:rFonts w:hint="eastAsia"/>
              </w:rPr>
              <w:t>a</w:t>
            </w:r>
            <w:r>
              <w:t>〕</w:t>
            </w:r>
            <w:r>
              <w:rPr>
                <w:rFonts w:hint="eastAsia"/>
              </w:rPr>
              <w:t>芘</w:t>
            </w:r>
          </w:p>
        </w:tc>
        <w:tc>
          <w:tcPr>
            <w:tcW w:w="498" w:type="pct"/>
            <w:vAlign w:val="center"/>
          </w:tcPr>
          <w:p w14:paraId="62D22107">
            <w:pPr>
              <w:pStyle w:val="133"/>
            </w:pPr>
            <w:r>
              <w:rPr>
                <w:rFonts w:hint="eastAsia"/>
              </w:rPr>
              <w:t>&lt;1.3</w:t>
            </w:r>
          </w:p>
          <w:p w14:paraId="3249ED33">
            <w:pPr>
              <w:pStyle w:val="133"/>
            </w:pPr>
            <w:r>
              <w:rPr>
                <w:rFonts w:hint="eastAsia"/>
              </w:rPr>
              <w:t>ng/m3</w:t>
            </w:r>
          </w:p>
        </w:tc>
        <w:tc>
          <w:tcPr>
            <w:tcW w:w="503" w:type="pct"/>
            <w:vAlign w:val="center"/>
          </w:tcPr>
          <w:p w14:paraId="591D8755">
            <w:pPr>
              <w:pStyle w:val="133"/>
            </w:pPr>
            <w:r>
              <w:rPr>
                <w:rFonts w:hint="eastAsia"/>
              </w:rPr>
              <w:t>&lt;1.3</w:t>
            </w:r>
          </w:p>
          <w:p w14:paraId="5CDD9E7F">
            <w:pPr>
              <w:pStyle w:val="133"/>
            </w:pPr>
            <w:r>
              <w:rPr>
                <w:rFonts w:hint="eastAsia"/>
              </w:rPr>
              <w:t>ng/m3</w:t>
            </w:r>
          </w:p>
        </w:tc>
        <w:tc>
          <w:tcPr>
            <w:tcW w:w="547" w:type="pct"/>
            <w:vAlign w:val="center"/>
          </w:tcPr>
          <w:p w14:paraId="3D164714">
            <w:pPr>
              <w:pStyle w:val="133"/>
            </w:pPr>
            <w:r>
              <w:rPr>
                <w:rFonts w:hint="eastAsia"/>
              </w:rPr>
              <w:t>&lt;1.3</w:t>
            </w:r>
          </w:p>
          <w:p w14:paraId="1AB1950C">
            <w:pPr>
              <w:pStyle w:val="133"/>
            </w:pPr>
            <w:r>
              <w:rPr>
                <w:rFonts w:hint="eastAsia"/>
              </w:rPr>
              <w:t>ng/m3</w:t>
            </w:r>
          </w:p>
        </w:tc>
        <w:tc>
          <w:tcPr>
            <w:tcW w:w="545" w:type="pct"/>
            <w:vAlign w:val="center"/>
          </w:tcPr>
          <w:p w14:paraId="29AFAB7A">
            <w:pPr>
              <w:pStyle w:val="133"/>
            </w:pPr>
            <w:r>
              <w:rPr>
                <w:rFonts w:hint="eastAsia"/>
              </w:rPr>
              <w:t>&lt;1.3</w:t>
            </w:r>
          </w:p>
          <w:p w14:paraId="5352310D">
            <w:pPr>
              <w:pStyle w:val="133"/>
            </w:pPr>
            <w:r>
              <w:rPr>
                <w:rFonts w:hint="eastAsia"/>
              </w:rPr>
              <w:t>ng/m3</w:t>
            </w:r>
          </w:p>
        </w:tc>
        <w:tc>
          <w:tcPr>
            <w:tcW w:w="932" w:type="pct"/>
            <w:vAlign w:val="center"/>
          </w:tcPr>
          <w:p w14:paraId="13308F60">
            <w:pPr>
              <w:pStyle w:val="133"/>
            </w:pPr>
            <w:r>
              <w:t>2.5μg/m³</w:t>
            </w:r>
          </w:p>
        </w:tc>
        <w:tc>
          <w:tcPr>
            <w:tcW w:w="431" w:type="pct"/>
            <w:vAlign w:val="center"/>
          </w:tcPr>
          <w:p w14:paraId="48F90C93">
            <w:pPr>
              <w:pStyle w:val="133"/>
            </w:pPr>
            <w:r>
              <w:rPr>
                <w:rFonts w:hint="eastAsia"/>
              </w:rPr>
              <w:t>达标</w:t>
            </w:r>
          </w:p>
        </w:tc>
      </w:tr>
      <w:tr w14:paraId="6C60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3" w:type="pct"/>
            <w:vMerge w:val="continue"/>
            <w:vAlign w:val="center"/>
          </w:tcPr>
          <w:p w14:paraId="3F3E1FD6">
            <w:pPr>
              <w:pStyle w:val="133"/>
            </w:pPr>
          </w:p>
        </w:tc>
        <w:tc>
          <w:tcPr>
            <w:tcW w:w="373" w:type="pct"/>
            <w:vMerge w:val="continue"/>
            <w:vAlign w:val="center"/>
          </w:tcPr>
          <w:p w14:paraId="4D583314">
            <w:pPr>
              <w:pStyle w:val="133"/>
            </w:pPr>
          </w:p>
        </w:tc>
        <w:tc>
          <w:tcPr>
            <w:tcW w:w="538" w:type="pct"/>
            <w:vAlign w:val="center"/>
          </w:tcPr>
          <w:p w14:paraId="4BAC540A">
            <w:pPr>
              <w:pStyle w:val="133"/>
            </w:pPr>
            <w:r>
              <w:rPr>
                <w:rFonts w:hint="eastAsia"/>
              </w:rPr>
              <w:t>氨</w:t>
            </w:r>
          </w:p>
        </w:tc>
        <w:tc>
          <w:tcPr>
            <w:tcW w:w="498" w:type="pct"/>
            <w:vAlign w:val="center"/>
          </w:tcPr>
          <w:p w14:paraId="2D20F24E">
            <w:pPr>
              <w:pStyle w:val="133"/>
            </w:pPr>
            <w:r>
              <w:rPr>
                <w:rFonts w:hint="eastAsia"/>
              </w:rPr>
              <w:t>0.28</w:t>
            </w:r>
          </w:p>
        </w:tc>
        <w:tc>
          <w:tcPr>
            <w:tcW w:w="503" w:type="pct"/>
            <w:vAlign w:val="center"/>
          </w:tcPr>
          <w:p w14:paraId="6CC342F2">
            <w:pPr>
              <w:pStyle w:val="133"/>
            </w:pPr>
            <w:r>
              <w:rPr>
                <w:rFonts w:hint="eastAsia"/>
              </w:rPr>
              <w:t>0.19</w:t>
            </w:r>
          </w:p>
        </w:tc>
        <w:tc>
          <w:tcPr>
            <w:tcW w:w="547" w:type="pct"/>
            <w:vAlign w:val="center"/>
          </w:tcPr>
          <w:p w14:paraId="62E2C37B">
            <w:pPr>
              <w:pStyle w:val="133"/>
            </w:pPr>
            <w:r>
              <w:rPr>
                <w:rFonts w:hint="eastAsia"/>
              </w:rPr>
              <w:t>0.03</w:t>
            </w:r>
          </w:p>
        </w:tc>
        <w:tc>
          <w:tcPr>
            <w:tcW w:w="545" w:type="pct"/>
            <w:vAlign w:val="center"/>
          </w:tcPr>
          <w:p w14:paraId="30722F55">
            <w:pPr>
              <w:pStyle w:val="133"/>
            </w:pPr>
            <w:r>
              <w:rPr>
                <w:rFonts w:hint="eastAsia"/>
              </w:rPr>
              <w:t>0.10</w:t>
            </w:r>
          </w:p>
        </w:tc>
        <w:tc>
          <w:tcPr>
            <w:tcW w:w="932" w:type="pct"/>
            <w:vAlign w:val="center"/>
          </w:tcPr>
          <w:p w14:paraId="278EAE11">
            <w:pPr>
              <w:pStyle w:val="133"/>
            </w:pPr>
            <w:r>
              <w:rPr>
                <w:rFonts w:hint="eastAsia"/>
              </w:rPr>
              <w:t>2.0</w:t>
            </w:r>
          </w:p>
        </w:tc>
        <w:tc>
          <w:tcPr>
            <w:tcW w:w="431" w:type="pct"/>
            <w:vAlign w:val="center"/>
          </w:tcPr>
          <w:p w14:paraId="27B88204">
            <w:pPr>
              <w:pStyle w:val="133"/>
            </w:pPr>
            <w:r>
              <w:rPr>
                <w:rFonts w:hint="eastAsia"/>
              </w:rPr>
              <w:t>达标</w:t>
            </w:r>
          </w:p>
        </w:tc>
      </w:tr>
      <w:tr w14:paraId="4D7D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3" w:type="pct"/>
            <w:vMerge w:val="continue"/>
            <w:vAlign w:val="center"/>
          </w:tcPr>
          <w:p w14:paraId="528077F4">
            <w:pPr>
              <w:pStyle w:val="133"/>
            </w:pPr>
          </w:p>
        </w:tc>
        <w:tc>
          <w:tcPr>
            <w:tcW w:w="373" w:type="pct"/>
            <w:vMerge w:val="continue"/>
            <w:vAlign w:val="center"/>
          </w:tcPr>
          <w:p w14:paraId="2586B178">
            <w:pPr>
              <w:pStyle w:val="133"/>
            </w:pPr>
          </w:p>
        </w:tc>
        <w:tc>
          <w:tcPr>
            <w:tcW w:w="538" w:type="pct"/>
            <w:vAlign w:val="center"/>
          </w:tcPr>
          <w:p w14:paraId="3B531CAA">
            <w:pPr>
              <w:pStyle w:val="133"/>
            </w:pPr>
            <w:r>
              <w:rPr>
                <w:rFonts w:hint="eastAsia"/>
              </w:rPr>
              <w:t>颗粒物</w:t>
            </w:r>
          </w:p>
        </w:tc>
        <w:tc>
          <w:tcPr>
            <w:tcW w:w="498" w:type="pct"/>
            <w:vAlign w:val="center"/>
          </w:tcPr>
          <w:p w14:paraId="7E7F77F3">
            <w:pPr>
              <w:pStyle w:val="133"/>
            </w:pPr>
            <w:r>
              <w:rPr>
                <w:rFonts w:hint="eastAsia"/>
              </w:rPr>
              <w:t>2.273</w:t>
            </w:r>
          </w:p>
        </w:tc>
        <w:tc>
          <w:tcPr>
            <w:tcW w:w="503" w:type="pct"/>
            <w:vAlign w:val="center"/>
          </w:tcPr>
          <w:p w14:paraId="7B29AF71">
            <w:pPr>
              <w:pStyle w:val="133"/>
            </w:pPr>
            <w:r>
              <w:rPr>
                <w:rFonts w:hint="eastAsia"/>
              </w:rPr>
              <w:t>2.32</w:t>
            </w:r>
          </w:p>
        </w:tc>
        <w:tc>
          <w:tcPr>
            <w:tcW w:w="547" w:type="pct"/>
            <w:vAlign w:val="center"/>
          </w:tcPr>
          <w:p w14:paraId="093C8029">
            <w:pPr>
              <w:pStyle w:val="133"/>
            </w:pPr>
            <w:r>
              <w:rPr>
                <w:rFonts w:hint="eastAsia"/>
              </w:rPr>
              <w:t>1.297</w:t>
            </w:r>
          </w:p>
        </w:tc>
        <w:tc>
          <w:tcPr>
            <w:tcW w:w="545" w:type="pct"/>
            <w:vAlign w:val="center"/>
          </w:tcPr>
          <w:p w14:paraId="710D4CFA">
            <w:pPr>
              <w:pStyle w:val="133"/>
            </w:pPr>
            <w:r>
              <w:rPr>
                <w:rFonts w:hint="eastAsia"/>
              </w:rPr>
              <w:t>0.18</w:t>
            </w:r>
          </w:p>
        </w:tc>
        <w:tc>
          <w:tcPr>
            <w:tcW w:w="932" w:type="pct"/>
            <w:vAlign w:val="center"/>
          </w:tcPr>
          <w:p w14:paraId="264F19D8">
            <w:pPr>
              <w:pStyle w:val="133"/>
            </w:pPr>
            <w:r>
              <w:rPr>
                <w:rFonts w:hint="eastAsia"/>
              </w:rPr>
              <w:t>2.5</w:t>
            </w:r>
          </w:p>
        </w:tc>
        <w:tc>
          <w:tcPr>
            <w:tcW w:w="431" w:type="pct"/>
            <w:vAlign w:val="center"/>
          </w:tcPr>
          <w:p w14:paraId="439F333C">
            <w:pPr>
              <w:pStyle w:val="133"/>
            </w:pPr>
            <w:r>
              <w:rPr>
                <w:rFonts w:hint="eastAsia"/>
              </w:rPr>
              <w:t>达标</w:t>
            </w:r>
          </w:p>
        </w:tc>
      </w:tr>
      <w:tr w14:paraId="5F96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3" w:type="pct"/>
            <w:vMerge w:val="continue"/>
            <w:vAlign w:val="center"/>
          </w:tcPr>
          <w:p w14:paraId="5B34A0F3">
            <w:pPr>
              <w:pStyle w:val="133"/>
            </w:pPr>
          </w:p>
        </w:tc>
        <w:tc>
          <w:tcPr>
            <w:tcW w:w="373" w:type="pct"/>
            <w:vMerge w:val="continue"/>
            <w:vAlign w:val="center"/>
          </w:tcPr>
          <w:p w14:paraId="0D0F6F95">
            <w:pPr>
              <w:pStyle w:val="133"/>
            </w:pPr>
          </w:p>
        </w:tc>
        <w:tc>
          <w:tcPr>
            <w:tcW w:w="538" w:type="pct"/>
            <w:vAlign w:val="center"/>
          </w:tcPr>
          <w:p w14:paraId="243870C9">
            <w:pPr>
              <w:pStyle w:val="133"/>
            </w:pPr>
            <w:r>
              <w:rPr>
                <w:rFonts w:hint="eastAsia"/>
              </w:rPr>
              <w:t>硫化氢</w:t>
            </w:r>
          </w:p>
        </w:tc>
        <w:tc>
          <w:tcPr>
            <w:tcW w:w="498" w:type="pct"/>
            <w:vAlign w:val="center"/>
          </w:tcPr>
          <w:p w14:paraId="244B97B4">
            <w:pPr>
              <w:pStyle w:val="133"/>
            </w:pPr>
            <w:r>
              <w:rPr>
                <w:rFonts w:hint="eastAsia"/>
              </w:rPr>
              <w:t>0.011</w:t>
            </w:r>
          </w:p>
        </w:tc>
        <w:tc>
          <w:tcPr>
            <w:tcW w:w="503" w:type="pct"/>
            <w:vAlign w:val="center"/>
          </w:tcPr>
          <w:p w14:paraId="03078F37">
            <w:pPr>
              <w:pStyle w:val="133"/>
            </w:pPr>
            <w:r>
              <w:rPr>
                <w:rFonts w:hint="eastAsia"/>
              </w:rPr>
              <w:t>&lt;0.05</w:t>
            </w:r>
          </w:p>
        </w:tc>
        <w:tc>
          <w:tcPr>
            <w:tcW w:w="547" w:type="pct"/>
            <w:vAlign w:val="center"/>
          </w:tcPr>
          <w:p w14:paraId="540DD4A5">
            <w:pPr>
              <w:pStyle w:val="133"/>
            </w:pPr>
            <w:r>
              <w:rPr>
                <w:rFonts w:hint="eastAsia"/>
              </w:rPr>
              <w:t>&lt;0.001</w:t>
            </w:r>
          </w:p>
        </w:tc>
        <w:tc>
          <w:tcPr>
            <w:tcW w:w="545" w:type="pct"/>
            <w:vAlign w:val="center"/>
          </w:tcPr>
          <w:p w14:paraId="31A3A978">
            <w:pPr>
              <w:pStyle w:val="133"/>
            </w:pPr>
            <w:r>
              <w:rPr>
                <w:rFonts w:hint="eastAsia"/>
              </w:rPr>
              <w:t>&lt;0.001</w:t>
            </w:r>
          </w:p>
        </w:tc>
        <w:tc>
          <w:tcPr>
            <w:tcW w:w="932" w:type="pct"/>
            <w:vAlign w:val="center"/>
          </w:tcPr>
          <w:p w14:paraId="6EA91DCF">
            <w:pPr>
              <w:pStyle w:val="133"/>
            </w:pPr>
            <w:r>
              <w:rPr>
                <w:rFonts w:hint="eastAsia"/>
              </w:rPr>
              <w:t>0.1</w:t>
            </w:r>
          </w:p>
        </w:tc>
        <w:tc>
          <w:tcPr>
            <w:tcW w:w="431" w:type="pct"/>
            <w:vAlign w:val="center"/>
          </w:tcPr>
          <w:p w14:paraId="68E97765">
            <w:pPr>
              <w:pStyle w:val="133"/>
            </w:pPr>
            <w:r>
              <w:rPr>
                <w:rFonts w:hint="eastAsia"/>
              </w:rPr>
              <w:t>达标</w:t>
            </w:r>
          </w:p>
        </w:tc>
      </w:tr>
      <w:tr w14:paraId="5E36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3" w:type="pct"/>
            <w:vMerge w:val="continue"/>
            <w:vAlign w:val="center"/>
          </w:tcPr>
          <w:p w14:paraId="26BF6A50">
            <w:pPr>
              <w:pStyle w:val="133"/>
            </w:pPr>
          </w:p>
        </w:tc>
        <w:tc>
          <w:tcPr>
            <w:tcW w:w="373" w:type="pct"/>
            <w:vMerge w:val="continue"/>
            <w:vAlign w:val="center"/>
          </w:tcPr>
          <w:p w14:paraId="185E4D5E">
            <w:pPr>
              <w:pStyle w:val="133"/>
            </w:pPr>
          </w:p>
        </w:tc>
        <w:tc>
          <w:tcPr>
            <w:tcW w:w="538" w:type="pct"/>
            <w:vAlign w:val="center"/>
          </w:tcPr>
          <w:p w14:paraId="74CABB81">
            <w:pPr>
              <w:pStyle w:val="133"/>
            </w:pPr>
            <w:r>
              <w:rPr>
                <w:rFonts w:hint="eastAsia"/>
              </w:rPr>
              <w:t>苯可溶物</w:t>
            </w:r>
          </w:p>
        </w:tc>
        <w:tc>
          <w:tcPr>
            <w:tcW w:w="498" w:type="pct"/>
            <w:vAlign w:val="center"/>
          </w:tcPr>
          <w:p w14:paraId="20883216">
            <w:pPr>
              <w:pStyle w:val="133"/>
            </w:pPr>
            <w:r>
              <w:rPr>
                <w:rFonts w:hint="eastAsia"/>
              </w:rPr>
              <w:t>0.14</w:t>
            </w:r>
          </w:p>
        </w:tc>
        <w:tc>
          <w:tcPr>
            <w:tcW w:w="503" w:type="pct"/>
            <w:vAlign w:val="center"/>
          </w:tcPr>
          <w:p w14:paraId="23F630F6">
            <w:pPr>
              <w:pStyle w:val="133"/>
            </w:pPr>
            <w:r>
              <w:rPr>
                <w:rFonts w:hint="eastAsia"/>
              </w:rPr>
              <w:t>0.16</w:t>
            </w:r>
          </w:p>
        </w:tc>
        <w:tc>
          <w:tcPr>
            <w:tcW w:w="547" w:type="pct"/>
            <w:vAlign w:val="center"/>
          </w:tcPr>
          <w:p w14:paraId="36C12555">
            <w:pPr>
              <w:pStyle w:val="133"/>
            </w:pPr>
            <w:r>
              <w:rPr>
                <w:rFonts w:hint="eastAsia"/>
              </w:rPr>
              <w:t>0.14</w:t>
            </w:r>
          </w:p>
        </w:tc>
        <w:tc>
          <w:tcPr>
            <w:tcW w:w="545" w:type="pct"/>
            <w:vAlign w:val="center"/>
          </w:tcPr>
          <w:p w14:paraId="2AC21129">
            <w:pPr>
              <w:pStyle w:val="133"/>
            </w:pPr>
            <w:r>
              <w:rPr>
                <w:rFonts w:hint="eastAsia"/>
              </w:rPr>
              <w:t>0.13</w:t>
            </w:r>
          </w:p>
        </w:tc>
        <w:tc>
          <w:tcPr>
            <w:tcW w:w="932" w:type="pct"/>
            <w:vAlign w:val="center"/>
          </w:tcPr>
          <w:p w14:paraId="72191F38">
            <w:pPr>
              <w:pStyle w:val="133"/>
            </w:pPr>
            <w:r>
              <w:rPr>
                <w:rFonts w:hint="eastAsia"/>
              </w:rPr>
              <w:t>0.6</w:t>
            </w:r>
          </w:p>
        </w:tc>
        <w:tc>
          <w:tcPr>
            <w:tcW w:w="431" w:type="pct"/>
            <w:vAlign w:val="center"/>
          </w:tcPr>
          <w:p w14:paraId="48CF9291">
            <w:pPr>
              <w:pStyle w:val="133"/>
            </w:pPr>
            <w:r>
              <w:rPr>
                <w:rFonts w:hint="eastAsia"/>
              </w:rPr>
              <w:t>达标</w:t>
            </w:r>
          </w:p>
        </w:tc>
      </w:tr>
    </w:tbl>
    <w:p w14:paraId="70048447">
      <w:pPr>
        <w:pStyle w:val="117"/>
        <w:ind w:firstLine="480"/>
      </w:pPr>
      <w:r>
        <w:rPr>
          <w:rFonts w:hint="eastAsia"/>
        </w:rPr>
        <w:t>根据2023年现有工程例行监测报告，兰炭生产线生产设施废气有组织排放的已监测污染物均可达到</w:t>
      </w:r>
      <w:r>
        <w:t>《炼焦化学工业污染物排放标准》（GB 16171-2012）</w:t>
      </w:r>
      <w:r>
        <w:rPr>
          <w:rFonts w:hint="eastAsia"/>
        </w:rPr>
        <w:t>大气污染物排放限值。</w:t>
      </w:r>
    </w:p>
    <w:p w14:paraId="5DC89CA5">
      <w:pPr>
        <w:pStyle w:val="118"/>
      </w:pPr>
      <w:r>
        <w:rPr>
          <w:rFonts w:hint="eastAsia"/>
        </w:rPr>
        <w:t xml:space="preserve">表2.3-3  </w:t>
      </w:r>
      <w:r>
        <w:t>202</w:t>
      </w:r>
      <w:r>
        <w:rPr>
          <w:rFonts w:hint="eastAsia"/>
        </w:rPr>
        <w:t xml:space="preserve">3年兰炭生产线废气污染物例行监测数据达标排放分析一览表 </w:t>
      </w:r>
    </w:p>
    <w:p w14:paraId="39262CF4">
      <w:pPr>
        <w:pStyle w:val="118"/>
      </w:pPr>
      <w:r>
        <w:rPr>
          <w:rFonts w:hint="eastAsia"/>
        </w:rPr>
        <w:t>单位：mg/m³</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60"/>
        <w:gridCol w:w="835"/>
        <w:gridCol w:w="1443"/>
        <w:gridCol w:w="1085"/>
        <w:gridCol w:w="1085"/>
        <w:gridCol w:w="1443"/>
        <w:gridCol w:w="1148"/>
      </w:tblGrid>
      <w:tr w14:paraId="19BE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blHeader/>
          <w:jc w:val="center"/>
        </w:trPr>
        <w:tc>
          <w:tcPr>
            <w:tcW w:w="1132" w:type="pct"/>
            <w:tcBorders>
              <w:top w:val="single" w:color="auto" w:sz="4" w:space="0"/>
              <w:left w:val="single" w:color="auto" w:sz="4" w:space="0"/>
              <w:bottom w:val="single" w:color="auto" w:sz="4" w:space="0"/>
              <w:right w:val="single" w:color="auto" w:sz="4" w:space="0"/>
            </w:tcBorders>
            <w:vAlign w:val="center"/>
          </w:tcPr>
          <w:p w14:paraId="08976B21">
            <w:pPr>
              <w:pStyle w:val="133"/>
              <w:rPr>
                <w:b/>
                <w:bCs/>
              </w:rPr>
            </w:pPr>
            <w:r>
              <w:rPr>
                <w:rFonts w:hint="eastAsia"/>
                <w:b/>
                <w:bCs/>
              </w:rPr>
              <w:t>排放源</w:t>
            </w: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33F58657">
            <w:pPr>
              <w:pStyle w:val="133"/>
              <w:rPr>
                <w:b/>
                <w:bCs/>
              </w:rPr>
            </w:pPr>
            <w:r>
              <w:rPr>
                <w:rFonts w:hint="eastAsia"/>
                <w:b/>
                <w:bCs/>
              </w:rPr>
              <w:t>污染物</w:t>
            </w:r>
          </w:p>
        </w:tc>
        <w:tc>
          <w:tcPr>
            <w:tcW w:w="596" w:type="pct"/>
            <w:tcBorders>
              <w:top w:val="single" w:color="auto" w:sz="4" w:space="0"/>
              <w:left w:val="single" w:color="auto" w:sz="4" w:space="0"/>
              <w:bottom w:val="single" w:color="auto" w:sz="4" w:space="0"/>
              <w:right w:val="single" w:color="auto" w:sz="4" w:space="0"/>
            </w:tcBorders>
            <w:vAlign w:val="center"/>
          </w:tcPr>
          <w:p w14:paraId="6D2F77AB">
            <w:pPr>
              <w:pStyle w:val="133"/>
              <w:rPr>
                <w:b/>
                <w:bCs/>
              </w:rPr>
            </w:pPr>
            <w:r>
              <w:rPr>
                <w:rFonts w:hint="eastAsia"/>
                <w:b/>
                <w:bCs/>
              </w:rPr>
              <w:t>上半年</w:t>
            </w:r>
          </w:p>
        </w:tc>
        <w:tc>
          <w:tcPr>
            <w:tcW w:w="596" w:type="pct"/>
            <w:tcBorders>
              <w:top w:val="single" w:color="auto" w:sz="4" w:space="0"/>
              <w:left w:val="single" w:color="auto" w:sz="4" w:space="0"/>
              <w:bottom w:val="single" w:color="auto" w:sz="4" w:space="0"/>
              <w:right w:val="single" w:color="auto" w:sz="4" w:space="0"/>
            </w:tcBorders>
            <w:vAlign w:val="center"/>
          </w:tcPr>
          <w:p w14:paraId="510EC093">
            <w:pPr>
              <w:pStyle w:val="133"/>
              <w:rPr>
                <w:b/>
                <w:bCs/>
              </w:rPr>
            </w:pPr>
            <w:r>
              <w:rPr>
                <w:rFonts w:hint="eastAsia"/>
                <w:b/>
                <w:bCs/>
              </w:rPr>
              <w:t>下半年</w:t>
            </w:r>
          </w:p>
        </w:tc>
        <w:tc>
          <w:tcPr>
            <w:tcW w:w="793" w:type="pct"/>
            <w:tcBorders>
              <w:top w:val="single" w:color="auto" w:sz="4" w:space="0"/>
              <w:left w:val="single" w:color="auto" w:sz="4" w:space="0"/>
              <w:bottom w:val="single" w:color="auto" w:sz="4" w:space="0"/>
              <w:right w:val="single" w:color="auto" w:sz="4" w:space="0"/>
            </w:tcBorders>
            <w:vAlign w:val="center"/>
          </w:tcPr>
          <w:p w14:paraId="3DFE9F25">
            <w:pPr>
              <w:pStyle w:val="133"/>
              <w:rPr>
                <w:b/>
                <w:bCs/>
              </w:rPr>
            </w:pPr>
            <w:r>
              <w:rPr>
                <w:rFonts w:hint="eastAsia"/>
                <w:b/>
                <w:bCs/>
              </w:rPr>
              <w:t>排放标准</w:t>
            </w:r>
          </w:p>
          <w:p w14:paraId="6C2C1CD0">
            <w:pPr>
              <w:pStyle w:val="133"/>
              <w:rPr>
                <w:b/>
                <w:bCs/>
              </w:rPr>
            </w:pPr>
            <w:r>
              <w:rPr>
                <w:rFonts w:hint="eastAsia"/>
                <w:b/>
                <w:bCs/>
              </w:rPr>
              <w:t>（</w:t>
            </w:r>
            <w:r>
              <w:rPr>
                <w:b/>
                <w:bCs/>
              </w:rPr>
              <w:t>mg/m</w:t>
            </w:r>
            <w:r>
              <w:rPr>
                <w:rFonts w:hint="eastAsia"/>
                <w:b/>
                <w:bCs/>
              </w:rPr>
              <w:t>³）</w:t>
            </w:r>
          </w:p>
        </w:tc>
        <w:tc>
          <w:tcPr>
            <w:tcW w:w="630" w:type="pct"/>
            <w:tcBorders>
              <w:top w:val="single" w:color="auto" w:sz="4" w:space="0"/>
              <w:left w:val="single" w:color="auto" w:sz="4" w:space="0"/>
              <w:bottom w:val="single" w:color="auto" w:sz="4" w:space="0"/>
              <w:right w:val="single" w:color="auto" w:sz="4" w:space="0"/>
            </w:tcBorders>
            <w:vAlign w:val="center"/>
          </w:tcPr>
          <w:p w14:paraId="0D4135EF">
            <w:pPr>
              <w:pStyle w:val="133"/>
              <w:rPr>
                <w:b/>
                <w:bCs/>
              </w:rPr>
            </w:pPr>
            <w:r>
              <w:rPr>
                <w:rFonts w:hint="eastAsia"/>
                <w:b/>
                <w:bCs/>
              </w:rPr>
              <w:t>达标情况</w:t>
            </w:r>
          </w:p>
        </w:tc>
      </w:tr>
      <w:tr w14:paraId="05D6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132" w:type="pct"/>
            <w:tcBorders>
              <w:top w:val="single" w:color="auto" w:sz="4" w:space="0"/>
              <w:left w:val="single" w:color="auto" w:sz="4" w:space="0"/>
              <w:bottom w:val="single" w:color="auto" w:sz="4" w:space="0"/>
              <w:right w:val="single" w:color="auto" w:sz="4" w:space="0"/>
            </w:tcBorders>
            <w:vAlign w:val="center"/>
          </w:tcPr>
          <w:p w14:paraId="4539BCF1">
            <w:pPr>
              <w:pStyle w:val="133"/>
            </w:pPr>
            <w:r>
              <w:t>DA001</w:t>
            </w:r>
            <w:r>
              <w:rPr>
                <w:rFonts w:hint="eastAsia"/>
              </w:rPr>
              <w:t>（备煤上料系统排口）</w:t>
            </w: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5312311B">
            <w:pPr>
              <w:pStyle w:val="133"/>
            </w:pPr>
            <w:r>
              <w:rPr>
                <w:rFonts w:hint="eastAsia"/>
              </w:rPr>
              <w:t>颗粒物</w:t>
            </w:r>
          </w:p>
        </w:tc>
        <w:tc>
          <w:tcPr>
            <w:tcW w:w="596" w:type="pct"/>
            <w:tcBorders>
              <w:top w:val="single" w:color="auto" w:sz="4" w:space="0"/>
              <w:left w:val="single" w:color="auto" w:sz="4" w:space="0"/>
              <w:bottom w:val="single" w:color="auto" w:sz="4" w:space="0"/>
              <w:right w:val="single" w:color="auto" w:sz="4" w:space="0"/>
            </w:tcBorders>
            <w:vAlign w:val="center"/>
          </w:tcPr>
          <w:p w14:paraId="7BF2C48D">
            <w:pPr>
              <w:pStyle w:val="133"/>
            </w:pPr>
            <w:r>
              <w:t>&lt;1.0</w:t>
            </w:r>
          </w:p>
        </w:tc>
        <w:tc>
          <w:tcPr>
            <w:tcW w:w="596" w:type="pct"/>
            <w:tcBorders>
              <w:top w:val="single" w:color="auto" w:sz="4" w:space="0"/>
              <w:left w:val="single" w:color="auto" w:sz="4" w:space="0"/>
              <w:bottom w:val="single" w:color="auto" w:sz="4" w:space="0"/>
              <w:right w:val="single" w:color="auto" w:sz="4" w:space="0"/>
            </w:tcBorders>
            <w:vAlign w:val="center"/>
          </w:tcPr>
          <w:p w14:paraId="2B6B5D12">
            <w:pPr>
              <w:pStyle w:val="133"/>
            </w:pPr>
            <w:r>
              <w:t>&lt;1.0</w:t>
            </w:r>
          </w:p>
        </w:tc>
        <w:tc>
          <w:tcPr>
            <w:tcW w:w="793" w:type="pct"/>
            <w:tcBorders>
              <w:top w:val="single" w:color="auto" w:sz="4" w:space="0"/>
              <w:left w:val="single" w:color="auto" w:sz="4" w:space="0"/>
              <w:bottom w:val="single" w:color="auto" w:sz="4" w:space="0"/>
              <w:right w:val="single" w:color="auto" w:sz="4" w:space="0"/>
            </w:tcBorders>
            <w:vAlign w:val="center"/>
          </w:tcPr>
          <w:p w14:paraId="50DE3B27">
            <w:pPr>
              <w:pStyle w:val="133"/>
            </w:pPr>
            <w:r>
              <w:rPr>
                <w:rFonts w:hint="eastAsia"/>
              </w:rPr>
              <w:t>30</w:t>
            </w:r>
          </w:p>
        </w:tc>
        <w:tc>
          <w:tcPr>
            <w:tcW w:w="630" w:type="pct"/>
            <w:tcBorders>
              <w:top w:val="single" w:color="auto" w:sz="4" w:space="0"/>
              <w:left w:val="single" w:color="auto" w:sz="4" w:space="0"/>
              <w:bottom w:val="single" w:color="auto" w:sz="4" w:space="0"/>
              <w:right w:val="single" w:color="auto" w:sz="4" w:space="0"/>
            </w:tcBorders>
            <w:vAlign w:val="center"/>
          </w:tcPr>
          <w:p w14:paraId="4D886D4D">
            <w:pPr>
              <w:pStyle w:val="133"/>
            </w:pPr>
            <w:r>
              <w:rPr>
                <w:rFonts w:hint="eastAsia"/>
              </w:rPr>
              <w:t>达标</w:t>
            </w:r>
          </w:p>
        </w:tc>
      </w:tr>
      <w:tr w14:paraId="37E5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132" w:type="pct"/>
            <w:vMerge w:val="restart"/>
            <w:tcBorders>
              <w:top w:val="single" w:color="auto" w:sz="4" w:space="0"/>
              <w:left w:val="single" w:color="auto" w:sz="4" w:space="0"/>
              <w:bottom w:val="single" w:color="auto" w:sz="4" w:space="0"/>
              <w:right w:val="single" w:color="auto" w:sz="4" w:space="0"/>
            </w:tcBorders>
            <w:vAlign w:val="center"/>
          </w:tcPr>
          <w:p w14:paraId="7EEE769C">
            <w:pPr>
              <w:pStyle w:val="133"/>
            </w:pPr>
            <w:r>
              <w:t>DA005</w:t>
            </w:r>
            <w:r>
              <w:rPr>
                <w:rFonts w:hint="eastAsia"/>
              </w:rPr>
              <w:t>（筛焦排放口）</w:t>
            </w: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1D492C72">
            <w:pPr>
              <w:pStyle w:val="133"/>
            </w:pPr>
            <w:r>
              <w:rPr>
                <w:rFonts w:hint="eastAsia"/>
              </w:rPr>
              <w:t>颗粒物</w:t>
            </w:r>
          </w:p>
        </w:tc>
        <w:tc>
          <w:tcPr>
            <w:tcW w:w="596" w:type="pct"/>
            <w:tcBorders>
              <w:top w:val="single" w:color="auto" w:sz="4" w:space="0"/>
              <w:left w:val="single" w:color="auto" w:sz="4" w:space="0"/>
              <w:bottom w:val="single" w:color="auto" w:sz="4" w:space="0"/>
              <w:right w:val="single" w:color="auto" w:sz="4" w:space="0"/>
            </w:tcBorders>
            <w:vAlign w:val="center"/>
          </w:tcPr>
          <w:p w14:paraId="1B3AC8F0">
            <w:pPr>
              <w:pStyle w:val="133"/>
            </w:pPr>
            <w:r>
              <w:t>&lt;1.0</w:t>
            </w:r>
          </w:p>
        </w:tc>
        <w:tc>
          <w:tcPr>
            <w:tcW w:w="596" w:type="pct"/>
            <w:tcBorders>
              <w:top w:val="single" w:color="auto" w:sz="4" w:space="0"/>
              <w:left w:val="single" w:color="auto" w:sz="4" w:space="0"/>
              <w:bottom w:val="single" w:color="auto" w:sz="4" w:space="0"/>
              <w:right w:val="single" w:color="auto" w:sz="4" w:space="0"/>
            </w:tcBorders>
            <w:vAlign w:val="center"/>
          </w:tcPr>
          <w:p w14:paraId="393B6984">
            <w:pPr>
              <w:pStyle w:val="133"/>
            </w:pPr>
            <w:r>
              <w:t>/</w:t>
            </w:r>
          </w:p>
        </w:tc>
        <w:tc>
          <w:tcPr>
            <w:tcW w:w="793" w:type="pct"/>
            <w:tcBorders>
              <w:top w:val="single" w:color="auto" w:sz="4" w:space="0"/>
              <w:left w:val="single" w:color="auto" w:sz="4" w:space="0"/>
              <w:bottom w:val="single" w:color="auto" w:sz="4" w:space="0"/>
              <w:right w:val="single" w:color="auto" w:sz="4" w:space="0"/>
            </w:tcBorders>
            <w:vAlign w:val="center"/>
          </w:tcPr>
          <w:p w14:paraId="374BCDFC">
            <w:pPr>
              <w:pStyle w:val="133"/>
            </w:pPr>
            <w:r>
              <w:rPr>
                <w:rFonts w:hint="eastAsia"/>
              </w:rPr>
              <w:t>50</w:t>
            </w:r>
          </w:p>
        </w:tc>
        <w:tc>
          <w:tcPr>
            <w:tcW w:w="630" w:type="pct"/>
            <w:tcBorders>
              <w:top w:val="single" w:color="auto" w:sz="4" w:space="0"/>
              <w:left w:val="single" w:color="auto" w:sz="4" w:space="0"/>
              <w:bottom w:val="single" w:color="auto" w:sz="4" w:space="0"/>
              <w:right w:val="single" w:color="auto" w:sz="4" w:space="0"/>
            </w:tcBorders>
            <w:vAlign w:val="center"/>
          </w:tcPr>
          <w:p w14:paraId="54F436C3">
            <w:pPr>
              <w:pStyle w:val="133"/>
            </w:pPr>
            <w:r>
              <w:rPr>
                <w:rFonts w:hint="eastAsia"/>
              </w:rPr>
              <w:t>达标</w:t>
            </w:r>
          </w:p>
        </w:tc>
      </w:tr>
      <w:tr w14:paraId="749E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0560EABA">
            <w:pPr>
              <w:pStyle w:val="133"/>
            </w:pP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721993D8">
            <w:pPr>
              <w:pStyle w:val="133"/>
            </w:pPr>
            <w:r>
              <w:rPr>
                <w:rFonts w:hint="eastAsia"/>
              </w:rPr>
              <w:t>二氧化硫</w:t>
            </w:r>
          </w:p>
        </w:tc>
        <w:tc>
          <w:tcPr>
            <w:tcW w:w="596" w:type="pct"/>
            <w:tcBorders>
              <w:top w:val="single" w:color="auto" w:sz="4" w:space="0"/>
              <w:left w:val="single" w:color="auto" w:sz="4" w:space="0"/>
              <w:bottom w:val="single" w:color="auto" w:sz="4" w:space="0"/>
              <w:right w:val="single" w:color="auto" w:sz="4" w:space="0"/>
            </w:tcBorders>
            <w:vAlign w:val="center"/>
          </w:tcPr>
          <w:p w14:paraId="5A49C119">
            <w:pPr>
              <w:pStyle w:val="133"/>
            </w:pPr>
            <w:r>
              <w:t>&lt;2</w:t>
            </w:r>
          </w:p>
        </w:tc>
        <w:tc>
          <w:tcPr>
            <w:tcW w:w="596" w:type="pct"/>
            <w:tcBorders>
              <w:top w:val="single" w:color="auto" w:sz="4" w:space="0"/>
              <w:left w:val="single" w:color="auto" w:sz="4" w:space="0"/>
              <w:bottom w:val="single" w:color="auto" w:sz="4" w:space="0"/>
              <w:right w:val="single" w:color="auto" w:sz="4" w:space="0"/>
            </w:tcBorders>
            <w:vAlign w:val="center"/>
          </w:tcPr>
          <w:p w14:paraId="5A81D132">
            <w:pPr>
              <w:pStyle w:val="133"/>
            </w:pPr>
            <w:r>
              <w:t>/</w:t>
            </w:r>
          </w:p>
        </w:tc>
        <w:tc>
          <w:tcPr>
            <w:tcW w:w="793" w:type="pct"/>
            <w:tcBorders>
              <w:top w:val="single" w:color="auto" w:sz="4" w:space="0"/>
              <w:left w:val="single" w:color="auto" w:sz="4" w:space="0"/>
              <w:bottom w:val="single" w:color="auto" w:sz="4" w:space="0"/>
              <w:right w:val="single" w:color="auto" w:sz="4" w:space="0"/>
            </w:tcBorders>
            <w:vAlign w:val="center"/>
          </w:tcPr>
          <w:p w14:paraId="41434155">
            <w:pPr>
              <w:pStyle w:val="133"/>
            </w:pPr>
            <w:r>
              <w:rPr>
                <w:rFonts w:hint="eastAsia"/>
              </w:rPr>
              <w:t>100</w:t>
            </w:r>
          </w:p>
        </w:tc>
        <w:tc>
          <w:tcPr>
            <w:tcW w:w="630" w:type="pct"/>
            <w:tcBorders>
              <w:top w:val="single" w:color="auto" w:sz="4" w:space="0"/>
              <w:left w:val="single" w:color="auto" w:sz="4" w:space="0"/>
              <w:bottom w:val="single" w:color="auto" w:sz="4" w:space="0"/>
              <w:right w:val="single" w:color="auto" w:sz="4" w:space="0"/>
            </w:tcBorders>
            <w:vAlign w:val="center"/>
          </w:tcPr>
          <w:p w14:paraId="22DC3305">
            <w:pPr>
              <w:pStyle w:val="133"/>
            </w:pPr>
            <w:r>
              <w:rPr>
                <w:rFonts w:hint="eastAsia"/>
              </w:rPr>
              <w:t>达标</w:t>
            </w:r>
          </w:p>
        </w:tc>
      </w:tr>
      <w:tr w14:paraId="177C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6" w:hRule="atLeast"/>
          <w:jc w:val="center"/>
        </w:trPr>
        <w:tc>
          <w:tcPr>
            <w:tcW w:w="1132" w:type="pct"/>
            <w:vMerge w:val="restart"/>
            <w:tcBorders>
              <w:top w:val="single" w:color="auto" w:sz="4" w:space="0"/>
              <w:left w:val="single" w:color="auto" w:sz="4" w:space="0"/>
              <w:bottom w:val="single" w:color="auto" w:sz="4" w:space="0"/>
              <w:right w:val="single" w:color="auto" w:sz="4" w:space="0"/>
            </w:tcBorders>
            <w:vAlign w:val="center"/>
          </w:tcPr>
          <w:p w14:paraId="6CD9D26E">
            <w:pPr>
              <w:pStyle w:val="133"/>
            </w:pPr>
            <w:r>
              <w:t>DA002</w:t>
            </w:r>
            <w:r>
              <w:rPr>
                <w:rFonts w:hint="eastAsia"/>
              </w:rPr>
              <w:t>（炭化装煤排口）</w:t>
            </w: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7B6AC4A9">
            <w:pPr>
              <w:pStyle w:val="133"/>
            </w:pPr>
            <w:r>
              <w:rPr>
                <w:rFonts w:hint="eastAsia"/>
              </w:rPr>
              <w:t>颗粒物</w:t>
            </w:r>
          </w:p>
        </w:tc>
        <w:tc>
          <w:tcPr>
            <w:tcW w:w="596" w:type="pct"/>
            <w:tcBorders>
              <w:top w:val="single" w:color="auto" w:sz="4" w:space="0"/>
              <w:left w:val="single" w:color="auto" w:sz="4" w:space="0"/>
              <w:bottom w:val="single" w:color="auto" w:sz="4" w:space="0"/>
              <w:right w:val="single" w:color="auto" w:sz="4" w:space="0"/>
            </w:tcBorders>
            <w:vAlign w:val="center"/>
          </w:tcPr>
          <w:p w14:paraId="4A078D97">
            <w:pPr>
              <w:pStyle w:val="133"/>
            </w:pPr>
            <w:r>
              <w:t>&lt;1.0</w:t>
            </w:r>
          </w:p>
        </w:tc>
        <w:tc>
          <w:tcPr>
            <w:tcW w:w="596" w:type="pct"/>
            <w:tcBorders>
              <w:top w:val="single" w:color="auto" w:sz="4" w:space="0"/>
              <w:left w:val="single" w:color="auto" w:sz="4" w:space="0"/>
              <w:bottom w:val="single" w:color="auto" w:sz="4" w:space="0"/>
              <w:right w:val="single" w:color="auto" w:sz="4" w:space="0"/>
            </w:tcBorders>
            <w:vAlign w:val="center"/>
          </w:tcPr>
          <w:p w14:paraId="1ECFBFFC">
            <w:pPr>
              <w:pStyle w:val="133"/>
            </w:pPr>
            <w:r>
              <w:t>12.3</w:t>
            </w:r>
          </w:p>
        </w:tc>
        <w:tc>
          <w:tcPr>
            <w:tcW w:w="793" w:type="pct"/>
            <w:tcBorders>
              <w:top w:val="single" w:color="auto" w:sz="4" w:space="0"/>
              <w:left w:val="single" w:color="auto" w:sz="4" w:space="0"/>
              <w:bottom w:val="single" w:color="auto" w:sz="4" w:space="0"/>
              <w:right w:val="single" w:color="auto" w:sz="4" w:space="0"/>
            </w:tcBorders>
            <w:vAlign w:val="center"/>
          </w:tcPr>
          <w:p w14:paraId="2304F021">
            <w:pPr>
              <w:pStyle w:val="133"/>
            </w:pPr>
            <w:r>
              <w:rPr>
                <w:rFonts w:hint="eastAsia"/>
              </w:rPr>
              <w:t>50</w:t>
            </w:r>
          </w:p>
        </w:tc>
        <w:tc>
          <w:tcPr>
            <w:tcW w:w="630" w:type="pct"/>
            <w:tcBorders>
              <w:top w:val="single" w:color="auto" w:sz="4" w:space="0"/>
              <w:left w:val="single" w:color="auto" w:sz="4" w:space="0"/>
              <w:bottom w:val="single" w:color="auto" w:sz="4" w:space="0"/>
              <w:right w:val="single" w:color="auto" w:sz="4" w:space="0"/>
            </w:tcBorders>
            <w:vAlign w:val="center"/>
          </w:tcPr>
          <w:p w14:paraId="45382F55">
            <w:pPr>
              <w:pStyle w:val="133"/>
            </w:pPr>
            <w:r>
              <w:rPr>
                <w:rFonts w:hint="eastAsia"/>
              </w:rPr>
              <w:t>达标</w:t>
            </w:r>
          </w:p>
        </w:tc>
      </w:tr>
      <w:tr w14:paraId="1D3A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221AE574">
            <w:pPr>
              <w:pStyle w:val="133"/>
            </w:pP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7CE14DF5">
            <w:pPr>
              <w:pStyle w:val="133"/>
            </w:pPr>
            <w:r>
              <w:rPr>
                <w:rFonts w:hint="eastAsia"/>
              </w:rPr>
              <w:t>二氧化硫</w:t>
            </w:r>
          </w:p>
        </w:tc>
        <w:tc>
          <w:tcPr>
            <w:tcW w:w="596" w:type="pct"/>
            <w:tcBorders>
              <w:top w:val="single" w:color="auto" w:sz="4" w:space="0"/>
              <w:left w:val="single" w:color="auto" w:sz="4" w:space="0"/>
              <w:bottom w:val="single" w:color="auto" w:sz="4" w:space="0"/>
              <w:right w:val="single" w:color="auto" w:sz="4" w:space="0"/>
            </w:tcBorders>
            <w:vAlign w:val="center"/>
          </w:tcPr>
          <w:p w14:paraId="6A78A065">
            <w:pPr>
              <w:pStyle w:val="133"/>
            </w:pPr>
            <w:r>
              <w:t>&lt;2</w:t>
            </w:r>
          </w:p>
        </w:tc>
        <w:tc>
          <w:tcPr>
            <w:tcW w:w="596" w:type="pct"/>
            <w:tcBorders>
              <w:top w:val="single" w:color="auto" w:sz="4" w:space="0"/>
              <w:left w:val="single" w:color="auto" w:sz="4" w:space="0"/>
              <w:bottom w:val="single" w:color="auto" w:sz="4" w:space="0"/>
              <w:right w:val="single" w:color="auto" w:sz="4" w:space="0"/>
            </w:tcBorders>
            <w:vAlign w:val="center"/>
          </w:tcPr>
          <w:p w14:paraId="30AE2E37">
            <w:pPr>
              <w:pStyle w:val="133"/>
            </w:pPr>
            <w:r>
              <w:t>&lt;2</w:t>
            </w:r>
          </w:p>
        </w:tc>
        <w:tc>
          <w:tcPr>
            <w:tcW w:w="793" w:type="pct"/>
            <w:tcBorders>
              <w:top w:val="single" w:color="auto" w:sz="4" w:space="0"/>
              <w:left w:val="single" w:color="auto" w:sz="4" w:space="0"/>
              <w:bottom w:val="single" w:color="auto" w:sz="4" w:space="0"/>
              <w:right w:val="single" w:color="auto" w:sz="4" w:space="0"/>
            </w:tcBorders>
            <w:vAlign w:val="center"/>
          </w:tcPr>
          <w:p w14:paraId="252FC08F">
            <w:pPr>
              <w:pStyle w:val="133"/>
            </w:pPr>
            <w:r>
              <w:rPr>
                <w:rFonts w:hint="eastAsia"/>
              </w:rPr>
              <w:t>100</w:t>
            </w:r>
          </w:p>
        </w:tc>
        <w:tc>
          <w:tcPr>
            <w:tcW w:w="630" w:type="pct"/>
            <w:tcBorders>
              <w:top w:val="single" w:color="auto" w:sz="4" w:space="0"/>
              <w:left w:val="single" w:color="auto" w:sz="4" w:space="0"/>
              <w:bottom w:val="single" w:color="auto" w:sz="4" w:space="0"/>
              <w:right w:val="single" w:color="auto" w:sz="4" w:space="0"/>
            </w:tcBorders>
            <w:vAlign w:val="center"/>
          </w:tcPr>
          <w:p w14:paraId="3E4FFA1C">
            <w:pPr>
              <w:pStyle w:val="133"/>
            </w:pPr>
            <w:r>
              <w:rPr>
                <w:rFonts w:hint="eastAsia"/>
              </w:rPr>
              <w:t>达标</w:t>
            </w:r>
          </w:p>
        </w:tc>
      </w:tr>
      <w:tr w14:paraId="4A05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7635ECD4">
            <w:pPr>
              <w:pStyle w:val="133"/>
            </w:pP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0DCB75FB">
            <w:pPr>
              <w:pStyle w:val="133"/>
            </w:pPr>
            <w:r>
              <w:rPr>
                <w:rFonts w:hint="eastAsia"/>
              </w:rPr>
              <w:t>苯并</w:t>
            </w:r>
            <w:r>
              <w:t>[a]</w:t>
            </w:r>
            <w:r>
              <w:rPr>
                <w:rFonts w:hint="eastAsia"/>
              </w:rPr>
              <w:t>芘</w:t>
            </w:r>
          </w:p>
        </w:tc>
        <w:tc>
          <w:tcPr>
            <w:tcW w:w="596" w:type="pct"/>
            <w:tcBorders>
              <w:top w:val="single" w:color="auto" w:sz="4" w:space="0"/>
              <w:left w:val="single" w:color="auto" w:sz="4" w:space="0"/>
              <w:bottom w:val="single" w:color="auto" w:sz="4" w:space="0"/>
              <w:right w:val="single" w:color="auto" w:sz="4" w:space="0"/>
            </w:tcBorders>
            <w:vAlign w:val="center"/>
          </w:tcPr>
          <w:p w14:paraId="5179E67D">
            <w:pPr>
              <w:pStyle w:val="133"/>
            </w:pPr>
            <w:bookmarkStart w:id="232" w:name="OLE_LINK62"/>
            <w:r>
              <w:t>&lt;2ng/m</w:t>
            </w:r>
            <w:r>
              <w:rPr>
                <w:vertAlign w:val="superscript"/>
              </w:rPr>
              <w:t>3</w:t>
            </w:r>
            <w:bookmarkEnd w:id="232"/>
          </w:p>
        </w:tc>
        <w:tc>
          <w:tcPr>
            <w:tcW w:w="596" w:type="pct"/>
            <w:tcBorders>
              <w:top w:val="single" w:color="auto" w:sz="4" w:space="0"/>
              <w:left w:val="single" w:color="auto" w:sz="4" w:space="0"/>
              <w:bottom w:val="single" w:color="auto" w:sz="4" w:space="0"/>
              <w:right w:val="single" w:color="auto" w:sz="4" w:space="0"/>
            </w:tcBorders>
            <w:vAlign w:val="center"/>
          </w:tcPr>
          <w:p w14:paraId="4C8C2E1D">
            <w:pPr>
              <w:pStyle w:val="133"/>
            </w:pPr>
            <w:r>
              <w:t>&lt;2ng/m</w:t>
            </w:r>
            <w:r>
              <w:rPr>
                <w:vertAlign w:val="superscript"/>
              </w:rPr>
              <w:t>3</w:t>
            </w:r>
          </w:p>
        </w:tc>
        <w:tc>
          <w:tcPr>
            <w:tcW w:w="793" w:type="pct"/>
            <w:tcBorders>
              <w:top w:val="single" w:color="auto" w:sz="4" w:space="0"/>
              <w:left w:val="single" w:color="auto" w:sz="4" w:space="0"/>
              <w:bottom w:val="single" w:color="auto" w:sz="4" w:space="0"/>
              <w:right w:val="single" w:color="auto" w:sz="4" w:space="0"/>
            </w:tcBorders>
            <w:vAlign w:val="center"/>
          </w:tcPr>
          <w:p w14:paraId="38D1ED2C">
            <w:pPr>
              <w:pStyle w:val="133"/>
            </w:pPr>
            <w:r>
              <w:t>0.3μg/m</w:t>
            </w:r>
            <w:r>
              <w:rPr>
                <w:rFonts w:hint="eastAsia"/>
              </w:rPr>
              <w:t>³</w:t>
            </w:r>
          </w:p>
        </w:tc>
        <w:tc>
          <w:tcPr>
            <w:tcW w:w="630" w:type="pct"/>
            <w:tcBorders>
              <w:top w:val="single" w:color="auto" w:sz="4" w:space="0"/>
              <w:left w:val="single" w:color="auto" w:sz="4" w:space="0"/>
              <w:bottom w:val="single" w:color="auto" w:sz="4" w:space="0"/>
              <w:right w:val="single" w:color="auto" w:sz="4" w:space="0"/>
            </w:tcBorders>
            <w:vAlign w:val="center"/>
          </w:tcPr>
          <w:p w14:paraId="3C6D5940">
            <w:pPr>
              <w:pStyle w:val="133"/>
            </w:pPr>
            <w:r>
              <w:rPr>
                <w:rFonts w:hint="eastAsia"/>
              </w:rPr>
              <w:t>达标</w:t>
            </w:r>
          </w:p>
        </w:tc>
      </w:tr>
      <w:tr w14:paraId="1075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jc w:val="center"/>
        </w:trPr>
        <w:tc>
          <w:tcPr>
            <w:tcW w:w="1132" w:type="pct"/>
            <w:vMerge w:val="restart"/>
            <w:tcBorders>
              <w:top w:val="single" w:color="auto" w:sz="4" w:space="0"/>
              <w:left w:val="single" w:color="auto" w:sz="4" w:space="0"/>
              <w:bottom w:val="single" w:color="auto" w:sz="4" w:space="0"/>
              <w:right w:val="single" w:color="auto" w:sz="4" w:space="0"/>
            </w:tcBorders>
            <w:vAlign w:val="center"/>
          </w:tcPr>
          <w:p w14:paraId="5C677CB0">
            <w:pPr>
              <w:pStyle w:val="133"/>
            </w:pPr>
            <w:bookmarkStart w:id="233" w:name="OLE_LINK61"/>
            <w:r>
              <w:t>DA004</w:t>
            </w:r>
            <w:bookmarkEnd w:id="233"/>
            <w:r>
              <w:rPr>
                <w:rFonts w:hint="eastAsia"/>
              </w:rPr>
              <w:t>（兰炭</w:t>
            </w:r>
          </w:p>
          <w:p w14:paraId="09274FE5">
            <w:pPr>
              <w:pStyle w:val="133"/>
            </w:pPr>
            <w:r>
              <w:rPr>
                <w:rFonts w:hint="eastAsia"/>
              </w:rPr>
              <w:t>烘干窑排口）</w:t>
            </w: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4430C382">
            <w:pPr>
              <w:pStyle w:val="133"/>
            </w:pPr>
            <w:r>
              <w:rPr>
                <w:rFonts w:hint="eastAsia"/>
              </w:rPr>
              <w:t>颗粒物</w:t>
            </w:r>
          </w:p>
        </w:tc>
        <w:tc>
          <w:tcPr>
            <w:tcW w:w="596" w:type="pct"/>
            <w:tcBorders>
              <w:top w:val="single" w:color="auto" w:sz="4" w:space="0"/>
              <w:left w:val="single" w:color="auto" w:sz="4" w:space="0"/>
              <w:bottom w:val="single" w:color="auto" w:sz="4" w:space="0"/>
              <w:right w:val="single" w:color="auto" w:sz="4" w:space="0"/>
            </w:tcBorders>
            <w:vAlign w:val="center"/>
          </w:tcPr>
          <w:p w14:paraId="1DC9185D">
            <w:pPr>
              <w:pStyle w:val="133"/>
            </w:pPr>
            <w:r>
              <w:t>/</w:t>
            </w:r>
          </w:p>
        </w:tc>
        <w:tc>
          <w:tcPr>
            <w:tcW w:w="596" w:type="pct"/>
            <w:tcBorders>
              <w:top w:val="single" w:color="auto" w:sz="4" w:space="0"/>
              <w:left w:val="single" w:color="auto" w:sz="4" w:space="0"/>
              <w:bottom w:val="single" w:color="auto" w:sz="4" w:space="0"/>
              <w:right w:val="single" w:color="auto" w:sz="4" w:space="0"/>
            </w:tcBorders>
            <w:vAlign w:val="center"/>
          </w:tcPr>
          <w:p w14:paraId="46B85BDC">
            <w:pPr>
              <w:pStyle w:val="133"/>
            </w:pPr>
            <w:r>
              <w:t>&lt;1.0</w:t>
            </w:r>
          </w:p>
        </w:tc>
        <w:tc>
          <w:tcPr>
            <w:tcW w:w="793" w:type="pct"/>
            <w:tcBorders>
              <w:top w:val="single" w:color="auto" w:sz="4" w:space="0"/>
              <w:left w:val="single" w:color="auto" w:sz="4" w:space="0"/>
              <w:bottom w:val="single" w:color="auto" w:sz="4" w:space="0"/>
              <w:right w:val="single" w:color="auto" w:sz="4" w:space="0"/>
            </w:tcBorders>
            <w:vAlign w:val="center"/>
          </w:tcPr>
          <w:p w14:paraId="29A8E9FB">
            <w:pPr>
              <w:pStyle w:val="133"/>
            </w:pPr>
            <w:r>
              <w:rPr>
                <w:rFonts w:hint="eastAsia"/>
              </w:rPr>
              <w:t>30</w:t>
            </w:r>
          </w:p>
        </w:tc>
        <w:tc>
          <w:tcPr>
            <w:tcW w:w="630" w:type="pct"/>
            <w:tcBorders>
              <w:top w:val="single" w:color="auto" w:sz="4" w:space="0"/>
              <w:left w:val="single" w:color="auto" w:sz="4" w:space="0"/>
              <w:bottom w:val="single" w:color="auto" w:sz="4" w:space="0"/>
              <w:right w:val="single" w:color="auto" w:sz="4" w:space="0"/>
            </w:tcBorders>
            <w:vAlign w:val="center"/>
          </w:tcPr>
          <w:p w14:paraId="35AEDD88">
            <w:pPr>
              <w:pStyle w:val="133"/>
            </w:pPr>
            <w:r>
              <w:rPr>
                <w:rFonts w:hint="eastAsia"/>
              </w:rPr>
              <w:t>达标</w:t>
            </w:r>
          </w:p>
        </w:tc>
      </w:tr>
      <w:tr w14:paraId="1790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06C9BD4A">
            <w:pPr>
              <w:pStyle w:val="133"/>
            </w:pP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046F6307">
            <w:pPr>
              <w:pStyle w:val="133"/>
            </w:pPr>
            <w:r>
              <w:rPr>
                <w:rFonts w:hint="eastAsia"/>
              </w:rPr>
              <w:t>氮氧化物</w:t>
            </w:r>
          </w:p>
        </w:tc>
        <w:tc>
          <w:tcPr>
            <w:tcW w:w="596" w:type="pct"/>
            <w:tcBorders>
              <w:top w:val="single" w:color="auto" w:sz="4" w:space="0"/>
              <w:left w:val="single" w:color="auto" w:sz="4" w:space="0"/>
              <w:bottom w:val="single" w:color="auto" w:sz="4" w:space="0"/>
              <w:right w:val="single" w:color="auto" w:sz="4" w:space="0"/>
            </w:tcBorders>
            <w:vAlign w:val="center"/>
          </w:tcPr>
          <w:p w14:paraId="4036BE49">
            <w:pPr>
              <w:pStyle w:val="133"/>
            </w:pPr>
            <w:r>
              <w:t>/</w:t>
            </w:r>
          </w:p>
        </w:tc>
        <w:tc>
          <w:tcPr>
            <w:tcW w:w="596" w:type="pct"/>
            <w:tcBorders>
              <w:top w:val="single" w:color="auto" w:sz="4" w:space="0"/>
              <w:left w:val="single" w:color="auto" w:sz="4" w:space="0"/>
              <w:bottom w:val="single" w:color="auto" w:sz="4" w:space="0"/>
              <w:right w:val="single" w:color="auto" w:sz="4" w:space="0"/>
            </w:tcBorders>
            <w:vAlign w:val="center"/>
          </w:tcPr>
          <w:p w14:paraId="0F2EDFF2">
            <w:pPr>
              <w:pStyle w:val="133"/>
            </w:pPr>
            <w:r>
              <w:t>128</w:t>
            </w:r>
          </w:p>
        </w:tc>
        <w:tc>
          <w:tcPr>
            <w:tcW w:w="793" w:type="pct"/>
            <w:tcBorders>
              <w:top w:val="single" w:color="auto" w:sz="4" w:space="0"/>
              <w:left w:val="single" w:color="auto" w:sz="4" w:space="0"/>
              <w:bottom w:val="single" w:color="auto" w:sz="4" w:space="0"/>
              <w:right w:val="single" w:color="auto" w:sz="4" w:space="0"/>
            </w:tcBorders>
            <w:vAlign w:val="center"/>
          </w:tcPr>
          <w:p w14:paraId="14521032">
            <w:pPr>
              <w:pStyle w:val="133"/>
            </w:pPr>
            <w:r>
              <w:rPr>
                <w:rFonts w:hint="eastAsia"/>
              </w:rPr>
              <w:t>200</w:t>
            </w:r>
          </w:p>
        </w:tc>
        <w:tc>
          <w:tcPr>
            <w:tcW w:w="630" w:type="pct"/>
            <w:tcBorders>
              <w:top w:val="single" w:color="auto" w:sz="4" w:space="0"/>
              <w:left w:val="single" w:color="auto" w:sz="4" w:space="0"/>
              <w:bottom w:val="single" w:color="auto" w:sz="4" w:space="0"/>
              <w:right w:val="single" w:color="auto" w:sz="4" w:space="0"/>
            </w:tcBorders>
            <w:vAlign w:val="center"/>
          </w:tcPr>
          <w:p w14:paraId="6EB45792">
            <w:pPr>
              <w:pStyle w:val="133"/>
            </w:pPr>
            <w:r>
              <w:rPr>
                <w:rFonts w:hint="eastAsia"/>
              </w:rPr>
              <w:t>达标</w:t>
            </w:r>
          </w:p>
        </w:tc>
      </w:tr>
      <w:tr w14:paraId="31B7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jc w:val="center"/>
        </w:trPr>
        <w:tc>
          <w:tcPr>
            <w:tcW w:w="1132" w:type="pct"/>
            <w:tcBorders>
              <w:top w:val="single" w:color="auto" w:sz="4" w:space="0"/>
              <w:left w:val="single" w:color="auto" w:sz="4" w:space="0"/>
              <w:bottom w:val="single" w:color="auto" w:sz="4" w:space="0"/>
              <w:right w:val="single" w:color="auto" w:sz="4" w:space="0"/>
            </w:tcBorders>
            <w:vAlign w:val="center"/>
          </w:tcPr>
          <w:p w14:paraId="1A54C6CB">
            <w:pPr>
              <w:pStyle w:val="133"/>
            </w:pPr>
            <w:r>
              <w:t>DA003</w:t>
            </w:r>
            <w:r>
              <w:rPr>
                <w:rFonts w:hint="eastAsia"/>
              </w:rPr>
              <w:t>（兰炭筛分排口）</w:t>
            </w:r>
          </w:p>
        </w:tc>
        <w:tc>
          <w:tcPr>
            <w:tcW w:w="1252" w:type="pct"/>
            <w:gridSpan w:val="2"/>
            <w:tcBorders>
              <w:top w:val="single" w:color="auto" w:sz="4" w:space="0"/>
              <w:left w:val="single" w:color="auto" w:sz="4" w:space="0"/>
              <w:bottom w:val="single" w:color="auto" w:sz="4" w:space="0"/>
              <w:right w:val="single" w:color="auto" w:sz="4" w:space="0"/>
            </w:tcBorders>
            <w:vAlign w:val="center"/>
          </w:tcPr>
          <w:p w14:paraId="415B213A">
            <w:pPr>
              <w:pStyle w:val="133"/>
            </w:pPr>
            <w:r>
              <w:rPr>
                <w:rFonts w:hint="eastAsia"/>
              </w:rPr>
              <w:t>颗粒物</w:t>
            </w:r>
          </w:p>
        </w:tc>
        <w:tc>
          <w:tcPr>
            <w:tcW w:w="596" w:type="pct"/>
            <w:tcBorders>
              <w:top w:val="single" w:color="auto" w:sz="4" w:space="0"/>
              <w:left w:val="single" w:color="auto" w:sz="4" w:space="0"/>
              <w:bottom w:val="single" w:color="auto" w:sz="4" w:space="0"/>
              <w:right w:val="single" w:color="auto" w:sz="4" w:space="0"/>
            </w:tcBorders>
            <w:vAlign w:val="center"/>
          </w:tcPr>
          <w:p w14:paraId="601692D9">
            <w:pPr>
              <w:pStyle w:val="133"/>
            </w:pPr>
            <w:r>
              <w:t>12.8</w:t>
            </w:r>
          </w:p>
        </w:tc>
        <w:tc>
          <w:tcPr>
            <w:tcW w:w="596" w:type="pct"/>
            <w:tcBorders>
              <w:top w:val="single" w:color="auto" w:sz="4" w:space="0"/>
              <w:left w:val="single" w:color="auto" w:sz="4" w:space="0"/>
              <w:bottom w:val="single" w:color="auto" w:sz="4" w:space="0"/>
              <w:right w:val="single" w:color="auto" w:sz="4" w:space="0"/>
            </w:tcBorders>
            <w:vAlign w:val="center"/>
          </w:tcPr>
          <w:p w14:paraId="5D0C746F">
            <w:pPr>
              <w:pStyle w:val="133"/>
            </w:pPr>
            <w:r>
              <w:rPr>
                <w:rFonts w:hint="eastAsia"/>
              </w:rPr>
              <w:t>＜</w:t>
            </w:r>
            <w:r>
              <w:t>20</w:t>
            </w:r>
          </w:p>
        </w:tc>
        <w:tc>
          <w:tcPr>
            <w:tcW w:w="793" w:type="pct"/>
            <w:tcBorders>
              <w:top w:val="single" w:color="auto" w:sz="4" w:space="0"/>
              <w:left w:val="single" w:color="auto" w:sz="4" w:space="0"/>
              <w:bottom w:val="single" w:color="auto" w:sz="4" w:space="0"/>
              <w:right w:val="single" w:color="auto" w:sz="4" w:space="0"/>
            </w:tcBorders>
            <w:vAlign w:val="center"/>
          </w:tcPr>
          <w:p w14:paraId="41DBABDA">
            <w:pPr>
              <w:pStyle w:val="133"/>
            </w:pPr>
            <w:r>
              <w:rPr>
                <w:rFonts w:hint="eastAsia"/>
              </w:rPr>
              <w:t>30</w:t>
            </w:r>
          </w:p>
        </w:tc>
        <w:tc>
          <w:tcPr>
            <w:tcW w:w="630" w:type="pct"/>
            <w:tcBorders>
              <w:top w:val="single" w:color="auto" w:sz="4" w:space="0"/>
              <w:left w:val="single" w:color="auto" w:sz="4" w:space="0"/>
              <w:bottom w:val="single" w:color="auto" w:sz="4" w:space="0"/>
              <w:right w:val="single" w:color="auto" w:sz="4" w:space="0"/>
            </w:tcBorders>
            <w:vAlign w:val="center"/>
          </w:tcPr>
          <w:p w14:paraId="34C2D6CB">
            <w:pPr>
              <w:pStyle w:val="133"/>
            </w:pPr>
            <w:r>
              <w:rPr>
                <w:rFonts w:hint="eastAsia"/>
              </w:rPr>
              <w:t>达标</w:t>
            </w:r>
          </w:p>
        </w:tc>
      </w:tr>
      <w:tr w14:paraId="3096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restart"/>
            <w:tcBorders>
              <w:top w:val="single" w:color="auto" w:sz="4" w:space="0"/>
              <w:left w:val="single" w:color="auto" w:sz="4" w:space="0"/>
              <w:bottom w:val="single" w:color="auto" w:sz="4" w:space="0"/>
              <w:right w:val="single" w:color="auto" w:sz="4" w:space="0"/>
            </w:tcBorders>
            <w:vAlign w:val="center"/>
          </w:tcPr>
          <w:p w14:paraId="5656348D">
            <w:pPr>
              <w:pStyle w:val="133"/>
            </w:pPr>
            <w:r>
              <w:rPr>
                <w:rFonts w:hint="eastAsia"/>
              </w:rPr>
              <w:t>无组织排放</w:t>
            </w:r>
          </w:p>
        </w:tc>
        <w:tc>
          <w:tcPr>
            <w:tcW w:w="459" w:type="pct"/>
            <w:vMerge w:val="restart"/>
            <w:tcBorders>
              <w:top w:val="single" w:color="auto" w:sz="4" w:space="0"/>
              <w:left w:val="single" w:color="auto" w:sz="4" w:space="0"/>
              <w:bottom w:val="single" w:color="auto" w:sz="4" w:space="0"/>
              <w:right w:val="single" w:color="auto" w:sz="4" w:space="0"/>
            </w:tcBorders>
            <w:vAlign w:val="center"/>
          </w:tcPr>
          <w:p w14:paraId="442AD94B">
            <w:pPr>
              <w:pStyle w:val="133"/>
            </w:pPr>
            <w:r>
              <w:rPr>
                <w:rFonts w:hint="eastAsia"/>
              </w:rPr>
              <w:t>兰炭生产线厂界</w:t>
            </w:r>
          </w:p>
        </w:tc>
        <w:tc>
          <w:tcPr>
            <w:tcW w:w="793" w:type="pct"/>
            <w:tcBorders>
              <w:top w:val="single" w:color="auto" w:sz="4" w:space="0"/>
              <w:left w:val="single" w:color="auto" w:sz="4" w:space="0"/>
              <w:bottom w:val="single" w:color="auto" w:sz="4" w:space="0"/>
              <w:right w:val="single" w:color="auto" w:sz="4" w:space="0"/>
            </w:tcBorders>
            <w:vAlign w:val="center"/>
          </w:tcPr>
          <w:p w14:paraId="3ADEE471">
            <w:pPr>
              <w:pStyle w:val="133"/>
            </w:pPr>
            <w:r>
              <w:rPr>
                <w:rFonts w:hint="eastAsia"/>
              </w:rPr>
              <w:t>苯并〔</w:t>
            </w:r>
            <w:r>
              <w:t>a</w:t>
            </w:r>
            <w:r>
              <w:rPr>
                <w:rFonts w:hint="eastAsia"/>
              </w:rPr>
              <w:t>〕芘</w:t>
            </w:r>
          </w:p>
        </w:tc>
        <w:tc>
          <w:tcPr>
            <w:tcW w:w="596" w:type="pct"/>
            <w:tcBorders>
              <w:top w:val="single" w:color="auto" w:sz="4" w:space="0"/>
              <w:left w:val="single" w:color="auto" w:sz="4" w:space="0"/>
              <w:bottom w:val="single" w:color="auto" w:sz="4" w:space="0"/>
              <w:right w:val="single" w:color="auto" w:sz="4" w:space="0"/>
            </w:tcBorders>
            <w:vAlign w:val="center"/>
          </w:tcPr>
          <w:p w14:paraId="13EEA6DC">
            <w:pPr>
              <w:pStyle w:val="133"/>
            </w:pPr>
            <w:r>
              <w:t>&lt;1.3ng/m3</w:t>
            </w:r>
          </w:p>
        </w:tc>
        <w:tc>
          <w:tcPr>
            <w:tcW w:w="596" w:type="pct"/>
            <w:tcBorders>
              <w:top w:val="single" w:color="auto" w:sz="4" w:space="0"/>
              <w:left w:val="single" w:color="auto" w:sz="4" w:space="0"/>
              <w:bottom w:val="single" w:color="auto" w:sz="4" w:space="0"/>
              <w:right w:val="single" w:color="auto" w:sz="4" w:space="0"/>
            </w:tcBorders>
            <w:vAlign w:val="center"/>
          </w:tcPr>
          <w:p w14:paraId="4583F74D">
            <w:pPr>
              <w:pStyle w:val="133"/>
            </w:pPr>
            <w:r>
              <w:t>&lt;1.3ng/m3</w:t>
            </w:r>
          </w:p>
        </w:tc>
        <w:tc>
          <w:tcPr>
            <w:tcW w:w="793" w:type="pct"/>
            <w:tcBorders>
              <w:top w:val="single" w:color="auto" w:sz="4" w:space="0"/>
              <w:left w:val="single" w:color="auto" w:sz="4" w:space="0"/>
              <w:bottom w:val="single" w:color="auto" w:sz="4" w:space="0"/>
              <w:right w:val="single" w:color="auto" w:sz="4" w:space="0"/>
            </w:tcBorders>
            <w:vAlign w:val="center"/>
          </w:tcPr>
          <w:p w14:paraId="72B31358">
            <w:pPr>
              <w:pStyle w:val="133"/>
            </w:pPr>
            <w:r>
              <w:t>0.01μg/m³</w:t>
            </w:r>
          </w:p>
        </w:tc>
        <w:tc>
          <w:tcPr>
            <w:tcW w:w="630" w:type="pct"/>
            <w:tcBorders>
              <w:top w:val="single" w:color="auto" w:sz="4" w:space="0"/>
              <w:left w:val="single" w:color="auto" w:sz="4" w:space="0"/>
              <w:bottom w:val="single" w:color="auto" w:sz="4" w:space="0"/>
              <w:right w:val="single" w:color="auto" w:sz="4" w:space="0"/>
            </w:tcBorders>
            <w:vAlign w:val="center"/>
          </w:tcPr>
          <w:p w14:paraId="475204FD">
            <w:pPr>
              <w:pStyle w:val="133"/>
            </w:pPr>
            <w:r>
              <w:rPr>
                <w:rFonts w:hint="eastAsia"/>
              </w:rPr>
              <w:t>达标</w:t>
            </w:r>
          </w:p>
        </w:tc>
      </w:tr>
      <w:tr w14:paraId="25F5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101BD8F3">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175E8F16">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21A40A4C">
            <w:pPr>
              <w:pStyle w:val="133"/>
            </w:pPr>
            <w:r>
              <w:rPr>
                <w:rFonts w:hint="eastAsia"/>
              </w:rPr>
              <w:t>氮氧化物</w:t>
            </w:r>
          </w:p>
        </w:tc>
        <w:tc>
          <w:tcPr>
            <w:tcW w:w="596" w:type="pct"/>
            <w:tcBorders>
              <w:top w:val="single" w:color="auto" w:sz="4" w:space="0"/>
              <w:left w:val="single" w:color="auto" w:sz="4" w:space="0"/>
              <w:bottom w:val="single" w:color="auto" w:sz="4" w:space="0"/>
              <w:right w:val="single" w:color="auto" w:sz="4" w:space="0"/>
            </w:tcBorders>
            <w:vAlign w:val="center"/>
          </w:tcPr>
          <w:p w14:paraId="2D2BCE24">
            <w:pPr>
              <w:pStyle w:val="133"/>
            </w:pPr>
            <w:r>
              <w:t>0.063</w:t>
            </w:r>
          </w:p>
        </w:tc>
        <w:tc>
          <w:tcPr>
            <w:tcW w:w="596" w:type="pct"/>
            <w:tcBorders>
              <w:top w:val="single" w:color="auto" w:sz="4" w:space="0"/>
              <w:left w:val="single" w:color="auto" w:sz="4" w:space="0"/>
              <w:bottom w:val="single" w:color="auto" w:sz="4" w:space="0"/>
              <w:right w:val="single" w:color="auto" w:sz="4" w:space="0"/>
            </w:tcBorders>
            <w:vAlign w:val="center"/>
          </w:tcPr>
          <w:p w14:paraId="04900E54">
            <w:pPr>
              <w:pStyle w:val="133"/>
            </w:pPr>
            <w:r>
              <w:t>0.051</w:t>
            </w:r>
          </w:p>
        </w:tc>
        <w:tc>
          <w:tcPr>
            <w:tcW w:w="793" w:type="pct"/>
            <w:tcBorders>
              <w:top w:val="single" w:color="auto" w:sz="4" w:space="0"/>
              <w:left w:val="single" w:color="auto" w:sz="4" w:space="0"/>
              <w:bottom w:val="single" w:color="auto" w:sz="4" w:space="0"/>
              <w:right w:val="single" w:color="auto" w:sz="4" w:space="0"/>
            </w:tcBorders>
            <w:vAlign w:val="center"/>
          </w:tcPr>
          <w:p w14:paraId="2582586D">
            <w:pPr>
              <w:pStyle w:val="133"/>
            </w:pPr>
            <w:r>
              <w:t>0.25</w:t>
            </w:r>
          </w:p>
        </w:tc>
        <w:tc>
          <w:tcPr>
            <w:tcW w:w="630" w:type="pct"/>
            <w:tcBorders>
              <w:top w:val="single" w:color="auto" w:sz="4" w:space="0"/>
              <w:left w:val="single" w:color="auto" w:sz="4" w:space="0"/>
              <w:bottom w:val="single" w:color="auto" w:sz="4" w:space="0"/>
              <w:right w:val="single" w:color="auto" w:sz="4" w:space="0"/>
            </w:tcBorders>
            <w:vAlign w:val="center"/>
          </w:tcPr>
          <w:p w14:paraId="1CCAAA59">
            <w:pPr>
              <w:pStyle w:val="133"/>
            </w:pPr>
            <w:r>
              <w:rPr>
                <w:rFonts w:hint="eastAsia"/>
              </w:rPr>
              <w:t>达标</w:t>
            </w:r>
          </w:p>
        </w:tc>
      </w:tr>
      <w:tr w14:paraId="4BB6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65AEE6CB">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01D8F59B">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7B52F872">
            <w:pPr>
              <w:pStyle w:val="133"/>
            </w:pPr>
            <w:r>
              <w:rPr>
                <w:rFonts w:hint="eastAsia"/>
              </w:rPr>
              <w:t>二氧化硫</w:t>
            </w:r>
          </w:p>
        </w:tc>
        <w:tc>
          <w:tcPr>
            <w:tcW w:w="596" w:type="pct"/>
            <w:tcBorders>
              <w:top w:val="single" w:color="auto" w:sz="4" w:space="0"/>
              <w:left w:val="single" w:color="auto" w:sz="4" w:space="0"/>
              <w:bottom w:val="single" w:color="auto" w:sz="4" w:space="0"/>
              <w:right w:val="single" w:color="auto" w:sz="4" w:space="0"/>
            </w:tcBorders>
            <w:vAlign w:val="center"/>
          </w:tcPr>
          <w:p w14:paraId="39123603">
            <w:pPr>
              <w:pStyle w:val="133"/>
            </w:pPr>
            <w:r>
              <w:t>0.013</w:t>
            </w:r>
          </w:p>
        </w:tc>
        <w:tc>
          <w:tcPr>
            <w:tcW w:w="596" w:type="pct"/>
            <w:tcBorders>
              <w:top w:val="single" w:color="auto" w:sz="4" w:space="0"/>
              <w:left w:val="single" w:color="auto" w:sz="4" w:space="0"/>
              <w:bottom w:val="single" w:color="auto" w:sz="4" w:space="0"/>
              <w:right w:val="single" w:color="auto" w:sz="4" w:space="0"/>
            </w:tcBorders>
            <w:vAlign w:val="center"/>
          </w:tcPr>
          <w:p w14:paraId="0AAEE098">
            <w:pPr>
              <w:pStyle w:val="133"/>
            </w:pPr>
            <w:r>
              <w:t>0.025</w:t>
            </w:r>
          </w:p>
        </w:tc>
        <w:tc>
          <w:tcPr>
            <w:tcW w:w="793" w:type="pct"/>
            <w:tcBorders>
              <w:top w:val="single" w:color="auto" w:sz="4" w:space="0"/>
              <w:left w:val="single" w:color="auto" w:sz="4" w:space="0"/>
              <w:bottom w:val="single" w:color="auto" w:sz="4" w:space="0"/>
              <w:right w:val="single" w:color="auto" w:sz="4" w:space="0"/>
            </w:tcBorders>
            <w:vAlign w:val="center"/>
          </w:tcPr>
          <w:p w14:paraId="71EACFFA">
            <w:pPr>
              <w:pStyle w:val="133"/>
            </w:pPr>
            <w:r>
              <w:t>0.5</w:t>
            </w:r>
          </w:p>
        </w:tc>
        <w:tc>
          <w:tcPr>
            <w:tcW w:w="630" w:type="pct"/>
            <w:tcBorders>
              <w:top w:val="single" w:color="auto" w:sz="4" w:space="0"/>
              <w:left w:val="single" w:color="auto" w:sz="4" w:space="0"/>
              <w:bottom w:val="single" w:color="auto" w:sz="4" w:space="0"/>
              <w:right w:val="single" w:color="auto" w:sz="4" w:space="0"/>
            </w:tcBorders>
            <w:vAlign w:val="center"/>
          </w:tcPr>
          <w:p w14:paraId="36288658">
            <w:pPr>
              <w:pStyle w:val="133"/>
            </w:pPr>
            <w:r>
              <w:rPr>
                <w:rFonts w:hint="eastAsia"/>
              </w:rPr>
              <w:t>达标</w:t>
            </w:r>
          </w:p>
        </w:tc>
      </w:tr>
      <w:tr w14:paraId="5D17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38BC9425">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358C1460">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59F684E9">
            <w:pPr>
              <w:pStyle w:val="133"/>
            </w:pPr>
            <w:r>
              <w:rPr>
                <w:rFonts w:hint="eastAsia"/>
              </w:rPr>
              <w:t>氨</w:t>
            </w:r>
          </w:p>
        </w:tc>
        <w:tc>
          <w:tcPr>
            <w:tcW w:w="596" w:type="pct"/>
            <w:tcBorders>
              <w:top w:val="single" w:color="auto" w:sz="4" w:space="0"/>
              <w:left w:val="single" w:color="auto" w:sz="4" w:space="0"/>
              <w:bottom w:val="single" w:color="auto" w:sz="4" w:space="0"/>
              <w:right w:val="single" w:color="auto" w:sz="4" w:space="0"/>
            </w:tcBorders>
            <w:vAlign w:val="center"/>
          </w:tcPr>
          <w:p w14:paraId="6155B6E9">
            <w:pPr>
              <w:pStyle w:val="133"/>
            </w:pPr>
            <w:r>
              <w:t>0.08</w:t>
            </w:r>
          </w:p>
        </w:tc>
        <w:tc>
          <w:tcPr>
            <w:tcW w:w="596" w:type="pct"/>
            <w:tcBorders>
              <w:top w:val="single" w:color="auto" w:sz="4" w:space="0"/>
              <w:left w:val="single" w:color="auto" w:sz="4" w:space="0"/>
              <w:bottom w:val="single" w:color="auto" w:sz="4" w:space="0"/>
              <w:right w:val="single" w:color="auto" w:sz="4" w:space="0"/>
            </w:tcBorders>
            <w:vAlign w:val="center"/>
          </w:tcPr>
          <w:p w14:paraId="3056E170">
            <w:pPr>
              <w:pStyle w:val="133"/>
            </w:pPr>
            <w:r>
              <w:t>0.08</w:t>
            </w:r>
          </w:p>
        </w:tc>
        <w:tc>
          <w:tcPr>
            <w:tcW w:w="793" w:type="pct"/>
            <w:tcBorders>
              <w:top w:val="single" w:color="auto" w:sz="4" w:space="0"/>
              <w:left w:val="single" w:color="auto" w:sz="4" w:space="0"/>
              <w:bottom w:val="single" w:color="auto" w:sz="4" w:space="0"/>
              <w:right w:val="single" w:color="auto" w:sz="4" w:space="0"/>
            </w:tcBorders>
            <w:vAlign w:val="center"/>
          </w:tcPr>
          <w:p w14:paraId="10134288">
            <w:pPr>
              <w:pStyle w:val="133"/>
            </w:pPr>
            <w:r>
              <w:t>0.2</w:t>
            </w:r>
          </w:p>
        </w:tc>
        <w:tc>
          <w:tcPr>
            <w:tcW w:w="630" w:type="pct"/>
            <w:tcBorders>
              <w:top w:val="single" w:color="auto" w:sz="4" w:space="0"/>
              <w:left w:val="single" w:color="auto" w:sz="4" w:space="0"/>
              <w:bottom w:val="single" w:color="auto" w:sz="4" w:space="0"/>
              <w:right w:val="single" w:color="auto" w:sz="4" w:space="0"/>
            </w:tcBorders>
            <w:vAlign w:val="center"/>
          </w:tcPr>
          <w:p w14:paraId="76D8252E">
            <w:pPr>
              <w:pStyle w:val="133"/>
            </w:pPr>
            <w:r>
              <w:rPr>
                <w:rFonts w:hint="eastAsia"/>
              </w:rPr>
              <w:t>达标</w:t>
            </w:r>
          </w:p>
        </w:tc>
      </w:tr>
      <w:tr w14:paraId="6E61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62CF092F">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3BA04410">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0E5FFA8C">
            <w:pPr>
              <w:pStyle w:val="133"/>
            </w:pPr>
            <w:r>
              <w:rPr>
                <w:rFonts w:hint="eastAsia"/>
              </w:rPr>
              <w:t>氰化氢</w:t>
            </w:r>
          </w:p>
        </w:tc>
        <w:tc>
          <w:tcPr>
            <w:tcW w:w="596" w:type="pct"/>
            <w:tcBorders>
              <w:top w:val="single" w:color="auto" w:sz="4" w:space="0"/>
              <w:left w:val="single" w:color="auto" w:sz="4" w:space="0"/>
              <w:bottom w:val="single" w:color="auto" w:sz="4" w:space="0"/>
              <w:right w:val="single" w:color="auto" w:sz="4" w:space="0"/>
            </w:tcBorders>
            <w:vAlign w:val="center"/>
          </w:tcPr>
          <w:p w14:paraId="131B9372">
            <w:pPr>
              <w:pStyle w:val="133"/>
            </w:pPr>
            <w:r>
              <w:t>&lt;0.002</w:t>
            </w:r>
          </w:p>
        </w:tc>
        <w:tc>
          <w:tcPr>
            <w:tcW w:w="596" w:type="pct"/>
            <w:tcBorders>
              <w:top w:val="single" w:color="auto" w:sz="4" w:space="0"/>
              <w:left w:val="single" w:color="auto" w:sz="4" w:space="0"/>
              <w:bottom w:val="single" w:color="auto" w:sz="4" w:space="0"/>
              <w:right w:val="single" w:color="auto" w:sz="4" w:space="0"/>
            </w:tcBorders>
            <w:vAlign w:val="center"/>
          </w:tcPr>
          <w:p w14:paraId="23F433F0">
            <w:pPr>
              <w:pStyle w:val="133"/>
            </w:pPr>
            <w:r>
              <w:t>&lt;0.002</w:t>
            </w:r>
          </w:p>
        </w:tc>
        <w:tc>
          <w:tcPr>
            <w:tcW w:w="793" w:type="pct"/>
            <w:tcBorders>
              <w:top w:val="single" w:color="auto" w:sz="4" w:space="0"/>
              <w:left w:val="single" w:color="auto" w:sz="4" w:space="0"/>
              <w:bottom w:val="single" w:color="auto" w:sz="4" w:space="0"/>
              <w:right w:val="single" w:color="auto" w:sz="4" w:space="0"/>
            </w:tcBorders>
            <w:vAlign w:val="center"/>
          </w:tcPr>
          <w:p w14:paraId="6A794884">
            <w:pPr>
              <w:pStyle w:val="133"/>
            </w:pPr>
            <w:r>
              <w:t>0.02</w:t>
            </w:r>
          </w:p>
        </w:tc>
        <w:tc>
          <w:tcPr>
            <w:tcW w:w="630" w:type="pct"/>
            <w:tcBorders>
              <w:top w:val="single" w:color="auto" w:sz="4" w:space="0"/>
              <w:left w:val="single" w:color="auto" w:sz="4" w:space="0"/>
              <w:bottom w:val="single" w:color="auto" w:sz="4" w:space="0"/>
              <w:right w:val="single" w:color="auto" w:sz="4" w:space="0"/>
            </w:tcBorders>
            <w:vAlign w:val="center"/>
          </w:tcPr>
          <w:p w14:paraId="2A613601">
            <w:pPr>
              <w:pStyle w:val="133"/>
            </w:pPr>
            <w:r>
              <w:rPr>
                <w:rFonts w:hint="eastAsia"/>
              </w:rPr>
              <w:t>达标</w:t>
            </w:r>
          </w:p>
        </w:tc>
      </w:tr>
      <w:tr w14:paraId="5A5A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3021D808">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1D697DDB">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730DF0F4">
            <w:pPr>
              <w:pStyle w:val="133"/>
            </w:pPr>
            <w:r>
              <w:rPr>
                <w:rFonts w:hint="eastAsia"/>
              </w:rPr>
              <w:t>颗粒物</w:t>
            </w:r>
          </w:p>
        </w:tc>
        <w:tc>
          <w:tcPr>
            <w:tcW w:w="596" w:type="pct"/>
            <w:tcBorders>
              <w:top w:val="single" w:color="auto" w:sz="4" w:space="0"/>
              <w:left w:val="single" w:color="auto" w:sz="4" w:space="0"/>
              <w:bottom w:val="single" w:color="auto" w:sz="4" w:space="0"/>
              <w:right w:val="single" w:color="auto" w:sz="4" w:space="0"/>
            </w:tcBorders>
            <w:vAlign w:val="center"/>
          </w:tcPr>
          <w:p w14:paraId="78E1BBE5">
            <w:pPr>
              <w:pStyle w:val="133"/>
            </w:pPr>
            <w:r>
              <w:t>0.602</w:t>
            </w:r>
          </w:p>
        </w:tc>
        <w:tc>
          <w:tcPr>
            <w:tcW w:w="596" w:type="pct"/>
            <w:tcBorders>
              <w:top w:val="single" w:color="auto" w:sz="4" w:space="0"/>
              <w:left w:val="single" w:color="auto" w:sz="4" w:space="0"/>
              <w:bottom w:val="single" w:color="auto" w:sz="4" w:space="0"/>
              <w:right w:val="single" w:color="auto" w:sz="4" w:space="0"/>
            </w:tcBorders>
            <w:vAlign w:val="center"/>
          </w:tcPr>
          <w:p w14:paraId="06F238C1">
            <w:pPr>
              <w:pStyle w:val="133"/>
            </w:pPr>
            <w:r>
              <w:t>0.632</w:t>
            </w:r>
          </w:p>
        </w:tc>
        <w:tc>
          <w:tcPr>
            <w:tcW w:w="793" w:type="pct"/>
            <w:tcBorders>
              <w:top w:val="single" w:color="auto" w:sz="4" w:space="0"/>
              <w:left w:val="single" w:color="auto" w:sz="4" w:space="0"/>
              <w:bottom w:val="single" w:color="auto" w:sz="4" w:space="0"/>
              <w:right w:val="single" w:color="auto" w:sz="4" w:space="0"/>
            </w:tcBorders>
            <w:vAlign w:val="center"/>
          </w:tcPr>
          <w:p w14:paraId="157801A2">
            <w:pPr>
              <w:pStyle w:val="133"/>
            </w:pPr>
            <w:r>
              <w:t>1.0</w:t>
            </w:r>
          </w:p>
        </w:tc>
        <w:tc>
          <w:tcPr>
            <w:tcW w:w="630" w:type="pct"/>
            <w:tcBorders>
              <w:top w:val="single" w:color="auto" w:sz="4" w:space="0"/>
              <w:left w:val="single" w:color="auto" w:sz="4" w:space="0"/>
              <w:bottom w:val="single" w:color="auto" w:sz="4" w:space="0"/>
              <w:right w:val="single" w:color="auto" w:sz="4" w:space="0"/>
            </w:tcBorders>
            <w:vAlign w:val="center"/>
          </w:tcPr>
          <w:p w14:paraId="2854DAC8">
            <w:pPr>
              <w:pStyle w:val="133"/>
            </w:pPr>
            <w:r>
              <w:rPr>
                <w:rFonts w:hint="eastAsia"/>
              </w:rPr>
              <w:t>达标</w:t>
            </w:r>
          </w:p>
        </w:tc>
      </w:tr>
      <w:tr w14:paraId="0206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2" w:hRule="atLeast"/>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4A73ED6C">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5C681542">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20047AB1">
            <w:pPr>
              <w:pStyle w:val="133"/>
            </w:pPr>
            <w:r>
              <w:rPr>
                <w:rFonts w:hint="eastAsia"/>
              </w:rPr>
              <w:t>硫化氢</w:t>
            </w:r>
          </w:p>
        </w:tc>
        <w:tc>
          <w:tcPr>
            <w:tcW w:w="596" w:type="pct"/>
            <w:tcBorders>
              <w:top w:val="single" w:color="auto" w:sz="4" w:space="0"/>
              <w:left w:val="single" w:color="auto" w:sz="4" w:space="0"/>
              <w:bottom w:val="single" w:color="auto" w:sz="4" w:space="0"/>
              <w:right w:val="single" w:color="auto" w:sz="4" w:space="0"/>
            </w:tcBorders>
            <w:vAlign w:val="center"/>
          </w:tcPr>
          <w:p w14:paraId="66E3997D">
            <w:pPr>
              <w:pStyle w:val="133"/>
            </w:pPr>
            <w:r>
              <w:t>0.001</w:t>
            </w:r>
          </w:p>
        </w:tc>
        <w:tc>
          <w:tcPr>
            <w:tcW w:w="596" w:type="pct"/>
            <w:tcBorders>
              <w:top w:val="single" w:color="auto" w:sz="4" w:space="0"/>
              <w:left w:val="single" w:color="auto" w:sz="4" w:space="0"/>
              <w:bottom w:val="single" w:color="auto" w:sz="4" w:space="0"/>
              <w:right w:val="single" w:color="auto" w:sz="4" w:space="0"/>
            </w:tcBorders>
            <w:vAlign w:val="center"/>
          </w:tcPr>
          <w:p w14:paraId="44842B4C">
            <w:pPr>
              <w:pStyle w:val="133"/>
            </w:pPr>
            <w:r>
              <w:t>&lt;0.005</w:t>
            </w:r>
          </w:p>
        </w:tc>
        <w:tc>
          <w:tcPr>
            <w:tcW w:w="793" w:type="pct"/>
            <w:tcBorders>
              <w:top w:val="single" w:color="auto" w:sz="4" w:space="0"/>
              <w:left w:val="single" w:color="auto" w:sz="4" w:space="0"/>
              <w:bottom w:val="single" w:color="auto" w:sz="4" w:space="0"/>
              <w:right w:val="single" w:color="auto" w:sz="4" w:space="0"/>
            </w:tcBorders>
            <w:vAlign w:val="center"/>
          </w:tcPr>
          <w:p w14:paraId="1D7DE91D">
            <w:pPr>
              <w:pStyle w:val="133"/>
            </w:pPr>
            <w:r>
              <w:t>0.01</w:t>
            </w:r>
          </w:p>
        </w:tc>
        <w:tc>
          <w:tcPr>
            <w:tcW w:w="630" w:type="pct"/>
            <w:tcBorders>
              <w:top w:val="single" w:color="auto" w:sz="4" w:space="0"/>
              <w:left w:val="single" w:color="auto" w:sz="4" w:space="0"/>
              <w:bottom w:val="single" w:color="auto" w:sz="4" w:space="0"/>
              <w:right w:val="single" w:color="auto" w:sz="4" w:space="0"/>
            </w:tcBorders>
            <w:vAlign w:val="center"/>
          </w:tcPr>
          <w:p w14:paraId="6EB071B0">
            <w:pPr>
              <w:pStyle w:val="133"/>
            </w:pPr>
            <w:r>
              <w:rPr>
                <w:rFonts w:hint="eastAsia"/>
              </w:rPr>
              <w:t>达标</w:t>
            </w:r>
          </w:p>
        </w:tc>
      </w:tr>
      <w:tr w14:paraId="1AC1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47D5D1F3">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70E422F4">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7B1DED03">
            <w:pPr>
              <w:pStyle w:val="133"/>
            </w:pPr>
            <w:r>
              <w:rPr>
                <w:rFonts w:hint="eastAsia"/>
              </w:rPr>
              <w:t>苯</w:t>
            </w:r>
          </w:p>
        </w:tc>
        <w:tc>
          <w:tcPr>
            <w:tcW w:w="596" w:type="pct"/>
            <w:tcBorders>
              <w:top w:val="single" w:color="auto" w:sz="4" w:space="0"/>
              <w:left w:val="single" w:color="auto" w:sz="4" w:space="0"/>
              <w:bottom w:val="single" w:color="auto" w:sz="4" w:space="0"/>
              <w:right w:val="single" w:color="auto" w:sz="4" w:space="0"/>
            </w:tcBorders>
            <w:vAlign w:val="center"/>
          </w:tcPr>
          <w:p w14:paraId="461A8E64">
            <w:pPr>
              <w:pStyle w:val="133"/>
            </w:pPr>
            <w:r>
              <w:t>&lt;0.0015</w:t>
            </w:r>
          </w:p>
        </w:tc>
        <w:tc>
          <w:tcPr>
            <w:tcW w:w="596" w:type="pct"/>
            <w:tcBorders>
              <w:top w:val="single" w:color="auto" w:sz="4" w:space="0"/>
              <w:left w:val="single" w:color="auto" w:sz="4" w:space="0"/>
              <w:bottom w:val="single" w:color="auto" w:sz="4" w:space="0"/>
              <w:right w:val="single" w:color="auto" w:sz="4" w:space="0"/>
            </w:tcBorders>
            <w:vAlign w:val="center"/>
          </w:tcPr>
          <w:p w14:paraId="03D56760">
            <w:pPr>
              <w:pStyle w:val="133"/>
            </w:pPr>
            <w:r>
              <w:t>&lt;0.0015</w:t>
            </w:r>
          </w:p>
        </w:tc>
        <w:tc>
          <w:tcPr>
            <w:tcW w:w="793" w:type="pct"/>
            <w:tcBorders>
              <w:top w:val="single" w:color="auto" w:sz="4" w:space="0"/>
              <w:left w:val="single" w:color="auto" w:sz="4" w:space="0"/>
              <w:bottom w:val="single" w:color="auto" w:sz="4" w:space="0"/>
              <w:right w:val="single" w:color="auto" w:sz="4" w:space="0"/>
            </w:tcBorders>
            <w:vAlign w:val="center"/>
          </w:tcPr>
          <w:p w14:paraId="2CEB8792">
            <w:pPr>
              <w:pStyle w:val="133"/>
            </w:pPr>
            <w:r>
              <w:t>0.4</w:t>
            </w:r>
          </w:p>
        </w:tc>
        <w:tc>
          <w:tcPr>
            <w:tcW w:w="630" w:type="pct"/>
            <w:tcBorders>
              <w:top w:val="single" w:color="auto" w:sz="4" w:space="0"/>
              <w:left w:val="single" w:color="auto" w:sz="4" w:space="0"/>
              <w:bottom w:val="single" w:color="auto" w:sz="4" w:space="0"/>
              <w:right w:val="single" w:color="auto" w:sz="4" w:space="0"/>
            </w:tcBorders>
            <w:vAlign w:val="center"/>
          </w:tcPr>
          <w:p w14:paraId="7E36E376">
            <w:pPr>
              <w:pStyle w:val="133"/>
            </w:pPr>
            <w:r>
              <w:rPr>
                <w:rFonts w:hint="eastAsia"/>
              </w:rPr>
              <w:t>达标</w:t>
            </w:r>
          </w:p>
        </w:tc>
      </w:tr>
      <w:tr w14:paraId="617A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2" w:type="pct"/>
            <w:vMerge w:val="continue"/>
            <w:tcBorders>
              <w:top w:val="single" w:color="auto" w:sz="4" w:space="0"/>
              <w:left w:val="single" w:color="auto" w:sz="4" w:space="0"/>
              <w:bottom w:val="single" w:color="auto" w:sz="4" w:space="0"/>
              <w:right w:val="single" w:color="auto" w:sz="4" w:space="0"/>
            </w:tcBorders>
            <w:vAlign w:val="center"/>
          </w:tcPr>
          <w:p w14:paraId="7C09F2DF">
            <w:pPr>
              <w:pStyle w:val="133"/>
            </w:pPr>
          </w:p>
        </w:tc>
        <w:tc>
          <w:tcPr>
            <w:tcW w:w="459" w:type="pct"/>
            <w:vMerge w:val="continue"/>
            <w:tcBorders>
              <w:top w:val="single" w:color="auto" w:sz="4" w:space="0"/>
              <w:left w:val="single" w:color="auto" w:sz="4" w:space="0"/>
              <w:bottom w:val="single" w:color="auto" w:sz="4" w:space="0"/>
              <w:right w:val="single" w:color="auto" w:sz="4" w:space="0"/>
            </w:tcBorders>
            <w:vAlign w:val="center"/>
          </w:tcPr>
          <w:p w14:paraId="24B75E6F">
            <w:pPr>
              <w:pStyle w:val="133"/>
            </w:pPr>
          </w:p>
        </w:tc>
        <w:tc>
          <w:tcPr>
            <w:tcW w:w="793" w:type="pct"/>
            <w:tcBorders>
              <w:top w:val="single" w:color="auto" w:sz="4" w:space="0"/>
              <w:left w:val="single" w:color="auto" w:sz="4" w:space="0"/>
              <w:bottom w:val="single" w:color="auto" w:sz="4" w:space="0"/>
              <w:right w:val="single" w:color="auto" w:sz="4" w:space="0"/>
            </w:tcBorders>
            <w:vAlign w:val="center"/>
          </w:tcPr>
          <w:p w14:paraId="29AE80E6">
            <w:pPr>
              <w:pStyle w:val="133"/>
            </w:pPr>
            <w:r>
              <w:rPr>
                <w:rFonts w:hint="eastAsia"/>
              </w:rPr>
              <w:t>酚类化合物</w:t>
            </w:r>
          </w:p>
        </w:tc>
        <w:tc>
          <w:tcPr>
            <w:tcW w:w="596" w:type="pct"/>
            <w:tcBorders>
              <w:top w:val="single" w:color="auto" w:sz="4" w:space="0"/>
              <w:left w:val="single" w:color="auto" w:sz="4" w:space="0"/>
              <w:bottom w:val="single" w:color="auto" w:sz="4" w:space="0"/>
              <w:right w:val="single" w:color="auto" w:sz="4" w:space="0"/>
            </w:tcBorders>
            <w:vAlign w:val="center"/>
          </w:tcPr>
          <w:p w14:paraId="2693B05A">
            <w:pPr>
              <w:pStyle w:val="133"/>
            </w:pPr>
            <w:r>
              <w:t>&lt;0.003</w:t>
            </w:r>
          </w:p>
        </w:tc>
        <w:tc>
          <w:tcPr>
            <w:tcW w:w="596" w:type="pct"/>
            <w:tcBorders>
              <w:top w:val="single" w:color="auto" w:sz="4" w:space="0"/>
              <w:left w:val="single" w:color="auto" w:sz="4" w:space="0"/>
              <w:bottom w:val="single" w:color="auto" w:sz="4" w:space="0"/>
              <w:right w:val="single" w:color="auto" w:sz="4" w:space="0"/>
            </w:tcBorders>
            <w:vAlign w:val="center"/>
          </w:tcPr>
          <w:p w14:paraId="0AE13A66">
            <w:pPr>
              <w:pStyle w:val="133"/>
            </w:pPr>
            <w:r>
              <w:t>&lt;0.003</w:t>
            </w:r>
          </w:p>
        </w:tc>
        <w:tc>
          <w:tcPr>
            <w:tcW w:w="793" w:type="pct"/>
            <w:tcBorders>
              <w:top w:val="single" w:color="auto" w:sz="4" w:space="0"/>
              <w:left w:val="single" w:color="auto" w:sz="4" w:space="0"/>
              <w:bottom w:val="single" w:color="auto" w:sz="4" w:space="0"/>
              <w:right w:val="single" w:color="auto" w:sz="4" w:space="0"/>
            </w:tcBorders>
            <w:vAlign w:val="center"/>
          </w:tcPr>
          <w:p w14:paraId="7D8A1C64">
            <w:pPr>
              <w:pStyle w:val="133"/>
            </w:pPr>
            <w:r>
              <w:t>0.02</w:t>
            </w:r>
          </w:p>
        </w:tc>
        <w:tc>
          <w:tcPr>
            <w:tcW w:w="630" w:type="pct"/>
            <w:tcBorders>
              <w:top w:val="single" w:color="auto" w:sz="4" w:space="0"/>
              <w:left w:val="single" w:color="auto" w:sz="4" w:space="0"/>
              <w:bottom w:val="single" w:color="auto" w:sz="4" w:space="0"/>
              <w:right w:val="single" w:color="auto" w:sz="4" w:space="0"/>
            </w:tcBorders>
            <w:vAlign w:val="center"/>
          </w:tcPr>
          <w:p w14:paraId="044EE382">
            <w:pPr>
              <w:pStyle w:val="133"/>
            </w:pPr>
            <w:r>
              <w:rPr>
                <w:rFonts w:hint="eastAsia"/>
              </w:rPr>
              <w:t>达标</w:t>
            </w:r>
          </w:p>
        </w:tc>
      </w:tr>
    </w:tbl>
    <w:p w14:paraId="3764F0E3">
      <w:pPr>
        <w:pStyle w:val="133"/>
        <w:jc w:val="both"/>
      </w:pPr>
    </w:p>
    <w:p w14:paraId="3679F2CE">
      <w:pPr>
        <w:pStyle w:val="118"/>
      </w:pPr>
      <w:r>
        <w:rPr>
          <w:rFonts w:hint="eastAsia"/>
        </w:rPr>
        <w:t xml:space="preserve">表2.3-4  </w:t>
      </w:r>
      <w:r>
        <w:t>202</w:t>
      </w:r>
      <w:r>
        <w:rPr>
          <w:rFonts w:hint="eastAsia"/>
        </w:rPr>
        <w:t xml:space="preserve">3年镁合金生产线废气污染物例行监测数据达标排放分析一览表    </w:t>
      </w:r>
    </w:p>
    <w:p w14:paraId="7F64A778">
      <w:pPr>
        <w:pStyle w:val="118"/>
      </w:pPr>
      <w:r>
        <w:rPr>
          <w:rFonts w:hint="eastAsia"/>
        </w:rPr>
        <w:t>单位：mg/m³</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79"/>
        <w:gridCol w:w="803"/>
        <w:gridCol w:w="1385"/>
        <w:gridCol w:w="1043"/>
        <w:gridCol w:w="1043"/>
        <w:gridCol w:w="1745"/>
        <w:gridCol w:w="1101"/>
      </w:tblGrid>
      <w:tr w14:paraId="14AC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blHeader/>
          <w:jc w:val="center"/>
        </w:trPr>
        <w:tc>
          <w:tcPr>
            <w:tcW w:w="1088" w:type="pct"/>
            <w:tcBorders>
              <w:top w:val="single" w:color="auto" w:sz="4" w:space="0"/>
              <w:left w:val="single" w:color="auto" w:sz="4" w:space="0"/>
              <w:bottom w:val="single" w:color="auto" w:sz="4" w:space="0"/>
              <w:right w:val="single" w:color="auto" w:sz="4" w:space="0"/>
            </w:tcBorders>
            <w:vAlign w:val="center"/>
          </w:tcPr>
          <w:p w14:paraId="5379903E">
            <w:pPr>
              <w:pStyle w:val="133"/>
              <w:rPr>
                <w:b/>
                <w:bCs/>
              </w:rPr>
            </w:pPr>
            <w:r>
              <w:rPr>
                <w:rFonts w:hint="eastAsia"/>
                <w:b/>
                <w:bCs/>
              </w:rPr>
              <w:t>排放源</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799F78DB">
            <w:pPr>
              <w:pStyle w:val="133"/>
              <w:rPr>
                <w:b/>
                <w:bCs/>
              </w:rPr>
            </w:pPr>
            <w:r>
              <w:rPr>
                <w:rFonts w:hint="eastAsia"/>
                <w:b/>
                <w:bCs/>
              </w:rPr>
              <w:t>污染物</w:t>
            </w:r>
          </w:p>
        </w:tc>
        <w:tc>
          <w:tcPr>
            <w:tcW w:w="573" w:type="pct"/>
            <w:tcBorders>
              <w:top w:val="single" w:color="auto" w:sz="4" w:space="0"/>
              <w:left w:val="single" w:color="auto" w:sz="4" w:space="0"/>
              <w:bottom w:val="single" w:color="auto" w:sz="4" w:space="0"/>
              <w:right w:val="single" w:color="auto" w:sz="4" w:space="0"/>
            </w:tcBorders>
            <w:vAlign w:val="center"/>
          </w:tcPr>
          <w:p w14:paraId="75EC5DB2">
            <w:pPr>
              <w:pStyle w:val="133"/>
              <w:rPr>
                <w:b/>
                <w:bCs/>
              </w:rPr>
            </w:pPr>
            <w:r>
              <w:rPr>
                <w:rFonts w:hint="eastAsia"/>
                <w:b/>
                <w:bCs/>
              </w:rPr>
              <w:t>上半年</w:t>
            </w:r>
          </w:p>
        </w:tc>
        <w:tc>
          <w:tcPr>
            <w:tcW w:w="573" w:type="pct"/>
            <w:tcBorders>
              <w:top w:val="single" w:color="auto" w:sz="4" w:space="0"/>
              <w:left w:val="single" w:color="auto" w:sz="4" w:space="0"/>
              <w:bottom w:val="single" w:color="auto" w:sz="4" w:space="0"/>
              <w:right w:val="single" w:color="auto" w:sz="4" w:space="0"/>
            </w:tcBorders>
            <w:vAlign w:val="center"/>
          </w:tcPr>
          <w:p w14:paraId="07D3647D">
            <w:pPr>
              <w:pStyle w:val="133"/>
              <w:rPr>
                <w:b/>
                <w:bCs/>
              </w:rPr>
            </w:pPr>
            <w:r>
              <w:rPr>
                <w:rFonts w:hint="eastAsia"/>
                <w:b/>
                <w:bCs/>
              </w:rPr>
              <w:t>下半年</w:t>
            </w:r>
          </w:p>
        </w:tc>
        <w:tc>
          <w:tcPr>
            <w:tcW w:w="959" w:type="pct"/>
            <w:tcBorders>
              <w:top w:val="single" w:color="auto" w:sz="4" w:space="0"/>
              <w:left w:val="single" w:color="auto" w:sz="4" w:space="0"/>
              <w:bottom w:val="single" w:color="auto" w:sz="4" w:space="0"/>
              <w:right w:val="single" w:color="auto" w:sz="4" w:space="0"/>
            </w:tcBorders>
            <w:vAlign w:val="center"/>
          </w:tcPr>
          <w:p w14:paraId="53C2B566">
            <w:pPr>
              <w:pStyle w:val="133"/>
              <w:rPr>
                <w:b/>
                <w:bCs/>
              </w:rPr>
            </w:pPr>
            <w:r>
              <w:rPr>
                <w:rFonts w:hint="eastAsia"/>
                <w:b/>
                <w:bCs/>
              </w:rPr>
              <w:t>排放标准</w:t>
            </w:r>
          </w:p>
          <w:p w14:paraId="6FB5E76A">
            <w:pPr>
              <w:pStyle w:val="133"/>
              <w:rPr>
                <w:b/>
                <w:bCs/>
              </w:rPr>
            </w:pPr>
            <w:r>
              <w:rPr>
                <w:rFonts w:hint="eastAsia"/>
                <w:b/>
                <w:bCs/>
              </w:rPr>
              <w:t>（</w:t>
            </w:r>
            <w:r>
              <w:rPr>
                <w:b/>
                <w:bCs/>
              </w:rPr>
              <w:t>mg/m</w:t>
            </w:r>
            <w:r>
              <w:rPr>
                <w:rFonts w:hint="eastAsia"/>
                <w:b/>
                <w:bCs/>
              </w:rPr>
              <w:t>³）</w:t>
            </w:r>
          </w:p>
        </w:tc>
        <w:tc>
          <w:tcPr>
            <w:tcW w:w="605" w:type="pct"/>
            <w:tcBorders>
              <w:top w:val="single" w:color="auto" w:sz="4" w:space="0"/>
              <w:left w:val="single" w:color="auto" w:sz="4" w:space="0"/>
              <w:bottom w:val="single" w:color="auto" w:sz="4" w:space="0"/>
              <w:right w:val="single" w:color="auto" w:sz="4" w:space="0"/>
            </w:tcBorders>
            <w:vAlign w:val="center"/>
          </w:tcPr>
          <w:p w14:paraId="307BB3C9">
            <w:pPr>
              <w:pStyle w:val="133"/>
              <w:rPr>
                <w:b/>
                <w:bCs/>
              </w:rPr>
            </w:pPr>
            <w:r>
              <w:rPr>
                <w:rFonts w:hint="eastAsia"/>
                <w:b/>
                <w:bCs/>
              </w:rPr>
              <w:t>达标情况</w:t>
            </w:r>
          </w:p>
        </w:tc>
      </w:tr>
      <w:tr w14:paraId="4D3F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tcBorders>
              <w:top w:val="single" w:color="auto" w:sz="4" w:space="0"/>
              <w:left w:val="single" w:color="auto" w:sz="4" w:space="0"/>
              <w:bottom w:val="single" w:color="auto" w:sz="4" w:space="0"/>
              <w:right w:val="single" w:color="auto" w:sz="4" w:space="0"/>
            </w:tcBorders>
            <w:vAlign w:val="center"/>
          </w:tcPr>
          <w:p w14:paraId="4B8A3079">
            <w:pPr>
              <w:pStyle w:val="133"/>
            </w:pPr>
            <w:r>
              <w:t>DA010</w:t>
            </w:r>
            <w:r>
              <w:rPr>
                <w:rFonts w:hint="eastAsia"/>
              </w:rPr>
              <w:t>（原料硅铁破碎排口）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0F7273E4">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34D4B4D1">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5F29783C">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54F68C7B">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11784019">
            <w:pPr>
              <w:pStyle w:val="133"/>
            </w:pPr>
            <w:r>
              <w:rPr>
                <w:rFonts w:hint="eastAsia"/>
              </w:rPr>
              <w:t>达标</w:t>
            </w:r>
          </w:p>
        </w:tc>
      </w:tr>
      <w:tr w14:paraId="3B8B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tcBorders>
              <w:top w:val="single" w:color="auto" w:sz="4" w:space="0"/>
              <w:left w:val="single" w:color="auto" w:sz="4" w:space="0"/>
              <w:bottom w:val="single" w:color="auto" w:sz="4" w:space="0"/>
              <w:right w:val="single" w:color="auto" w:sz="4" w:space="0"/>
            </w:tcBorders>
            <w:vAlign w:val="center"/>
          </w:tcPr>
          <w:p w14:paraId="23525FDA">
            <w:pPr>
              <w:pStyle w:val="133"/>
            </w:pPr>
            <w:r>
              <w:t>DA011</w:t>
            </w:r>
            <w:r>
              <w:rPr>
                <w:rFonts w:hint="eastAsia"/>
              </w:rPr>
              <w:t>（配料混磨排口）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2A33ECD6">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2511A1E3">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307C5AA1">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2DADB22C">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7B991A19">
            <w:pPr>
              <w:pStyle w:val="133"/>
            </w:pPr>
            <w:r>
              <w:rPr>
                <w:rFonts w:hint="eastAsia"/>
              </w:rPr>
              <w:t>达标</w:t>
            </w:r>
          </w:p>
        </w:tc>
      </w:tr>
      <w:tr w14:paraId="5CE6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tcBorders>
              <w:top w:val="single" w:color="auto" w:sz="4" w:space="0"/>
              <w:left w:val="single" w:color="auto" w:sz="4" w:space="0"/>
              <w:bottom w:val="single" w:color="auto" w:sz="4" w:space="0"/>
              <w:right w:val="single" w:color="auto" w:sz="4" w:space="0"/>
            </w:tcBorders>
            <w:vAlign w:val="center"/>
          </w:tcPr>
          <w:p w14:paraId="63AFA921">
            <w:pPr>
              <w:pStyle w:val="133"/>
            </w:pPr>
            <w:r>
              <w:t>DA012</w:t>
            </w:r>
            <w:r>
              <w:rPr>
                <w:rFonts w:hint="eastAsia"/>
              </w:rPr>
              <w:t>（粉煤制备排口）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64F849ED">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2438FB5E">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390FF8B3">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34C4C3AB">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7B934C63">
            <w:pPr>
              <w:pStyle w:val="133"/>
            </w:pPr>
            <w:r>
              <w:rPr>
                <w:rFonts w:hint="eastAsia"/>
              </w:rPr>
              <w:t>达标</w:t>
            </w:r>
          </w:p>
        </w:tc>
      </w:tr>
      <w:tr w14:paraId="0E78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tcBorders>
              <w:top w:val="single" w:color="auto" w:sz="4" w:space="0"/>
              <w:left w:val="single" w:color="auto" w:sz="4" w:space="0"/>
              <w:bottom w:val="single" w:color="auto" w:sz="4" w:space="0"/>
              <w:right w:val="single" w:color="auto" w:sz="4" w:space="0"/>
            </w:tcBorders>
            <w:vAlign w:val="center"/>
          </w:tcPr>
          <w:p w14:paraId="0E0780C5">
            <w:pPr>
              <w:pStyle w:val="133"/>
            </w:pPr>
            <w:r>
              <w:t>DA009</w:t>
            </w:r>
            <w:r>
              <w:rPr>
                <w:rFonts w:hint="eastAsia"/>
              </w:rPr>
              <w:t>（萤石粉输送排口）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50E3C3E8">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4CDF79EA">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3454EFA8">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397ADE38">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39ABCA2F">
            <w:pPr>
              <w:pStyle w:val="133"/>
            </w:pPr>
            <w:r>
              <w:rPr>
                <w:rFonts w:hint="eastAsia"/>
              </w:rPr>
              <w:t>达标</w:t>
            </w:r>
          </w:p>
        </w:tc>
      </w:tr>
      <w:tr w14:paraId="3B18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tcBorders>
              <w:top w:val="single" w:color="auto" w:sz="4" w:space="0"/>
              <w:left w:val="single" w:color="auto" w:sz="4" w:space="0"/>
              <w:bottom w:val="single" w:color="auto" w:sz="4" w:space="0"/>
              <w:right w:val="single" w:color="auto" w:sz="4" w:space="0"/>
            </w:tcBorders>
            <w:vAlign w:val="center"/>
          </w:tcPr>
          <w:p w14:paraId="35E0E0B8">
            <w:pPr>
              <w:pStyle w:val="133"/>
            </w:pPr>
            <w:r>
              <w:t>DA013</w:t>
            </w:r>
            <w:r>
              <w:rPr>
                <w:rFonts w:hint="eastAsia"/>
              </w:rPr>
              <w:t>（压球筛分排口）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0F19B229">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67D49506">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616607FB">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224D0B3E">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00B501F3">
            <w:pPr>
              <w:pStyle w:val="133"/>
            </w:pPr>
            <w:r>
              <w:rPr>
                <w:rFonts w:hint="eastAsia"/>
              </w:rPr>
              <w:t>达标</w:t>
            </w:r>
          </w:p>
        </w:tc>
      </w:tr>
      <w:tr w14:paraId="1767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tcBorders>
              <w:top w:val="single" w:color="auto" w:sz="4" w:space="0"/>
              <w:left w:val="single" w:color="auto" w:sz="4" w:space="0"/>
              <w:bottom w:val="single" w:color="auto" w:sz="4" w:space="0"/>
              <w:right w:val="single" w:color="auto" w:sz="4" w:space="0"/>
            </w:tcBorders>
            <w:vAlign w:val="center"/>
          </w:tcPr>
          <w:p w14:paraId="33DF7EA9">
            <w:pPr>
              <w:pStyle w:val="133"/>
            </w:pPr>
            <w:r>
              <w:t>DA007</w:t>
            </w:r>
            <w:r>
              <w:rPr>
                <w:rFonts w:hint="eastAsia"/>
              </w:rPr>
              <w:t>（自动筛分排口）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200AE573">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5D112E43">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7728B719">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70053676">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13073ACA">
            <w:pPr>
              <w:pStyle w:val="133"/>
            </w:pPr>
            <w:r>
              <w:rPr>
                <w:rFonts w:hint="eastAsia"/>
              </w:rPr>
              <w:t>达标</w:t>
            </w:r>
          </w:p>
        </w:tc>
      </w:tr>
      <w:tr w14:paraId="1A70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tcBorders>
              <w:top w:val="single" w:color="auto" w:sz="4" w:space="0"/>
              <w:left w:val="single" w:color="auto" w:sz="4" w:space="0"/>
              <w:bottom w:val="single" w:color="auto" w:sz="4" w:space="0"/>
              <w:right w:val="single" w:color="auto" w:sz="4" w:space="0"/>
            </w:tcBorders>
            <w:vAlign w:val="center"/>
          </w:tcPr>
          <w:p w14:paraId="69CA4C8E">
            <w:pPr>
              <w:pStyle w:val="133"/>
            </w:pPr>
            <w:r>
              <w:t>DA006</w:t>
            </w:r>
            <w:r>
              <w:rPr>
                <w:rFonts w:hint="eastAsia"/>
              </w:rPr>
              <w:t>（自动上料排口）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10E7C55F">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268B8290">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511C98DE">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51214C39">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0575FCCE">
            <w:pPr>
              <w:pStyle w:val="133"/>
            </w:pPr>
            <w:r>
              <w:rPr>
                <w:rFonts w:hint="eastAsia"/>
              </w:rPr>
              <w:t>达标</w:t>
            </w:r>
          </w:p>
        </w:tc>
      </w:tr>
      <w:tr w14:paraId="050D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vMerge w:val="restart"/>
            <w:tcBorders>
              <w:top w:val="single" w:color="auto" w:sz="4" w:space="0"/>
              <w:left w:val="single" w:color="auto" w:sz="4" w:space="0"/>
              <w:bottom w:val="single" w:color="auto" w:sz="4" w:space="0"/>
              <w:right w:val="single" w:color="auto" w:sz="4" w:space="0"/>
            </w:tcBorders>
            <w:vAlign w:val="center"/>
          </w:tcPr>
          <w:p w14:paraId="5895A843">
            <w:pPr>
              <w:pStyle w:val="133"/>
            </w:pPr>
            <w:bookmarkStart w:id="234" w:name="OLE_LINK1"/>
            <w:r>
              <w:t>DA0</w:t>
            </w:r>
            <w:bookmarkEnd w:id="234"/>
            <w:r>
              <w:t>22</w:t>
            </w:r>
            <w:r>
              <w:rPr>
                <w:rFonts w:hint="eastAsia"/>
              </w:rPr>
              <w:t>（精料铸造排口）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0064F433">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3BF9048C">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5B30354B">
            <w:pPr>
              <w:pStyle w:val="133"/>
            </w:pPr>
            <w:r>
              <w:t>&lt;1.0</w:t>
            </w:r>
          </w:p>
        </w:tc>
        <w:tc>
          <w:tcPr>
            <w:tcW w:w="959" w:type="pct"/>
            <w:tcBorders>
              <w:top w:val="single" w:color="auto" w:sz="4" w:space="0"/>
              <w:left w:val="single" w:color="auto" w:sz="4" w:space="0"/>
              <w:bottom w:val="single" w:color="auto" w:sz="4" w:space="0"/>
              <w:right w:val="single" w:color="auto" w:sz="4" w:space="0"/>
            </w:tcBorders>
          </w:tcPr>
          <w:p w14:paraId="63795C94">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50</w:t>
            </w:r>
          </w:p>
        </w:tc>
        <w:tc>
          <w:tcPr>
            <w:tcW w:w="605" w:type="pct"/>
            <w:tcBorders>
              <w:top w:val="single" w:color="auto" w:sz="4" w:space="0"/>
              <w:left w:val="single" w:color="auto" w:sz="4" w:space="0"/>
              <w:bottom w:val="single" w:color="auto" w:sz="4" w:space="0"/>
              <w:right w:val="single" w:color="auto" w:sz="4" w:space="0"/>
            </w:tcBorders>
            <w:vAlign w:val="center"/>
          </w:tcPr>
          <w:p w14:paraId="41E18DE8">
            <w:pPr>
              <w:pStyle w:val="133"/>
            </w:pPr>
            <w:r>
              <w:rPr>
                <w:rFonts w:hint="eastAsia"/>
              </w:rPr>
              <w:t>达标</w:t>
            </w:r>
          </w:p>
        </w:tc>
      </w:tr>
      <w:tr w14:paraId="56CE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7C61F031">
            <w:pPr>
              <w:pStyle w:val="133"/>
            </w:pP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54488CCC">
            <w:pPr>
              <w:pStyle w:val="133"/>
            </w:pPr>
            <w:r>
              <w:rPr>
                <w:rFonts w:hint="eastAsia"/>
              </w:rPr>
              <w:t>二氧化硫</w:t>
            </w:r>
          </w:p>
        </w:tc>
        <w:tc>
          <w:tcPr>
            <w:tcW w:w="573" w:type="pct"/>
            <w:tcBorders>
              <w:top w:val="single" w:color="auto" w:sz="4" w:space="0"/>
              <w:left w:val="single" w:color="auto" w:sz="4" w:space="0"/>
              <w:bottom w:val="single" w:color="auto" w:sz="4" w:space="0"/>
              <w:right w:val="single" w:color="auto" w:sz="4" w:space="0"/>
            </w:tcBorders>
            <w:vAlign w:val="center"/>
          </w:tcPr>
          <w:p w14:paraId="7E4E57D4">
            <w:pPr>
              <w:pStyle w:val="133"/>
            </w:pPr>
            <w:r>
              <w:t>6</w:t>
            </w:r>
          </w:p>
        </w:tc>
        <w:tc>
          <w:tcPr>
            <w:tcW w:w="573" w:type="pct"/>
            <w:tcBorders>
              <w:top w:val="single" w:color="auto" w:sz="4" w:space="0"/>
              <w:left w:val="single" w:color="auto" w:sz="4" w:space="0"/>
              <w:bottom w:val="single" w:color="auto" w:sz="4" w:space="0"/>
              <w:right w:val="single" w:color="auto" w:sz="4" w:space="0"/>
            </w:tcBorders>
            <w:vAlign w:val="center"/>
          </w:tcPr>
          <w:p w14:paraId="1E8C6B89">
            <w:pPr>
              <w:pStyle w:val="133"/>
            </w:pPr>
            <w:r>
              <w:t>3</w:t>
            </w:r>
          </w:p>
        </w:tc>
        <w:tc>
          <w:tcPr>
            <w:tcW w:w="959" w:type="pct"/>
            <w:tcBorders>
              <w:top w:val="single" w:color="auto" w:sz="4" w:space="0"/>
              <w:left w:val="single" w:color="auto" w:sz="4" w:space="0"/>
              <w:bottom w:val="single" w:color="auto" w:sz="4" w:space="0"/>
              <w:right w:val="single" w:color="auto" w:sz="4" w:space="0"/>
            </w:tcBorders>
            <w:vAlign w:val="center"/>
          </w:tcPr>
          <w:p w14:paraId="0C0622A4">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400</w:t>
            </w:r>
          </w:p>
        </w:tc>
        <w:tc>
          <w:tcPr>
            <w:tcW w:w="605" w:type="pct"/>
            <w:tcBorders>
              <w:top w:val="single" w:color="auto" w:sz="4" w:space="0"/>
              <w:left w:val="single" w:color="auto" w:sz="4" w:space="0"/>
              <w:bottom w:val="single" w:color="auto" w:sz="4" w:space="0"/>
              <w:right w:val="single" w:color="auto" w:sz="4" w:space="0"/>
            </w:tcBorders>
            <w:vAlign w:val="center"/>
          </w:tcPr>
          <w:p w14:paraId="626BA613">
            <w:pPr>
              <w:pStyle w:val="133"/>
            </w:pPr>
            <w:r>
              <w:rPr>
                <w:rFonts w:hint="eastAsia"/>
              </w:rPr>
              <w:t>达标</w:t>
            </w:r>
          </w:p>
        </w:tc>
      </w:tr>
      <w:tr w14:paraId="2216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vMerge w:val="restart"/>
            <w:tcBorders>
              <w:top w:val="single" w:color="auto" w:sz="4" w:space="0"/>
              <w:left w:val="single" w:color="auto" w:sz="4" w:space="0"/>
              <w:bottom w:val="single" w:color="auto" w:sz="4" w:space="0"/>
              <w:right w:val="single" w:color="auto" w:sz="4" w:space="0"/>
            </w:tcBorders>
            <w:vAlign w:val="center"/>
          </w:tcPr>
          <w:p w14:paraId="5E1D0D8A">
            <w:pPr>
              <w:pStyle w:val="133"/>
            </w:pPr>
            <w:r>
              <w:t>DA019</w:t>
            </w:r>
            <w:r>
              <w:rPr>
                <w:rFonts w:hint="eastAsia"/>
              </w:rPr>
              <w:t>（精炼废气排放口）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1B9D4E76">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7CD7CAD9">
            <w:pPr>
              <w:pStyle w:val="133"/>
            </w:pPr>
            <w:r>
              <w:t>9.3</w:t>
            </w:r>
          </w:p>
        </w:tc>
        <w:tc>
          <w:tcPr>
            <w:tcW w:w="573" w:type="pct"/>
            <w:tcBorders>
              <w:top w:val="single" w:color="auto" w:sz="4" w:space="0"/>
              <w:left w:val="single" w:color="auto" w:sz="4" w:space="0"/>
              <w:bottom w:val="single" w:color="auto" w:sz="4" w:space="0"/>
              <w:right w:val="single" w:color="auto" w:sz="4" w:space="0"/>
            </w:tcBorders>
            <w:vAlign w:val="center"/>
          </w:tcPr>
          <w:p w14:paraId="7D8DD9B2">
            <w:pPr>
              <w:pStyle w:val="133"/>
            </w:pPr>
            <w:r>
              <w:t>9.7</w:t>
            </w:r>
          </w:p>
        </w:tc>
        <w:tc>
          <w:tcPr>
            <w:tcW w:w="959" w:type="pct"/>
            <w:tcBorders>
              <w:top w:val="single" w:color="auto" w:sz="4" w:space="0"/>
              <w:left w:val="single" w:color="auto" w:sz="4" w:space="0"/>
              <w:bottom w:val="single" w:color="auto" w:sz="4" w:space="0"/>
              <w:right w:val="single" w:color="auto" w:sz="4" w:space="0"/>
            </w:tcBorders>
            <w:vAlign w:val="center"/>
          </w:tcPr>
          <w:p w14:paraId="45E56D09">
            <w:pPr>
              <w:pStyle w:val="133"/>
              <w:rPr>
                <w:color w:val="000000" w:themeColor="text1"/>
                <w14:textFill>
                  <w14:solidFill>
                    <w14:schemeClr w14:val="tx1"/>
                  </w14:solidFill>
                </w14:textFill>
              </w:rPr>
            </w:pPr>
            <w:r>
              <w:rPr>
                <w:color w:val="000000" w:themeColor="text1"/>
                <w14:textFill>
                  <w14:solidFill>
                    <w14:schemeClr w14:val="tx1"/>
                  </w14:solidFill>
                </w14:textFill>
              </w:rPr>
              <w:t>200</w:t>
            </w:r>
          </w:p>
        </w:tc>
        <w:tc>
          <w:tcPr>
            <w:tcW w:w="605" w:type="pct"/>
            <w:tcBorders>
              <w:top w:val="single" w:color="auto" w:sz="4" w:space="0"/>
              <w:left w:val="single" w:color="auto" w:sz="4" w:space="0"/>
              <w:bottom w:val="single" w:color="auto" w:sz="4" w:space="0"/>
              <w:right w:val="single" w:color="auto" w:sz="4" w:space="0"/>
            </w:tcBorders>
            <w:vAlign w:val="center"/>
          </w:tcPr>
          <w:p w14:paraId="0D94D75A">
            <w:pPr>
              <w:pStyle w:val="133"/>
            </w:pPr>
            <w:r>
              <w:rPr>
                <w:rFonts w:hint="eastAsia"/>
              </w:rPr>
              <w:t>达标</w:t>
            </w:r>
          </w:p>
        </w:tc>
      </w:tr>
      <w:tr w14:paraId="2504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4C7F8675">
            <w:pPr>
              <w:pStyle w:val="133"/>
            </w:pP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53561690">
            <w:pPr>
              <w:pStyle w:val="133"/>
            </w:pPr>
            <w:r>
              <w:rPr>
                <w:rFonts w:hint="eastAsia"/>
              </w:rPr>
              <w:t>二氧化硫</w:t>
            </w:r>
          </w:p>
        </w:tc>
        <w:tc>
          <w:tcPr>
            <w:tcW w:w="573" w:type="pct"/>
            <w:tcBorders>
              <w:top w:val="single" w:color="auto" w:sz="4" w:space="0"/>
              <w:left w:val="single" w:color="auto" w:sz="4" w:space="0"/>
              <w:bottom w:val="single" w:color="auto" w:sz="4" w:space="0"/>
              <w:right w:val="single" w:color="auto" w:sz="4" w:space="0"/>
            </w:tcBorders>
            <w:vAlign w:val="center"/>
          </w:tcPr>
          <w:p w14:paraId="28AC66E9">
            <w:pPr>
              <w:pStyle w:val="133"/>
            </w:pPr>
            <w:r>
              <w:t>66</w:t>
            </w:r>
          </w:p>
        </w:tc>
        <w:tc>
          <w:tcPr>
            <w:tcW w:w="573" w:type="pct"/>
            <w:tcBorders>
              <w:top w:val="single" w:color="auto" w:sz="4" w:space="0"/>
              <w:left w:val="single" w:color="auto" w:sz="4" w:space="0"/>
              <w:bottom w:val="single" w:color="auto" w:sz="4" w:space="0"/>
              <w:right w:val="single" w:color="auto" w:sz="4" w:space="0"/>
            </w:tcBorders>
            <w:vAlign w:val="center"/>
          </w:tcPr>
          <w:p w14:paraId="78F4AEE4">
            <w:pPr>
              <w:pStyle w:val="133"/>
            </w:pPr>
            <w:r>
              <w:t>62</w:t>
            </w:r>
          </w:p>
        </w:tc>
        <w:tc>
          <w:tcPr>
            <w:tcW w:w="959" w:type="pct"/>
            <w:tcBorders>
              <w:top w:val="single" w:color="auto" w:sz="4" w:space="0"/>
              <w:left w:val="single" w:color="auto" w:sz="4" w:space="0"/>
              <w:bottom w:val="single" w:color="auto" w:sz="4" w:space="0"/>
              <w:right w:val="single" w:color="auto" w:sz="4" w:space="0"/>
            </w:tcBorders>
            <w:vAlign w:val="center"/>
          </w:tcPr>
          <w:p w14:paraId="5DE64E26">
            <w:pPr>
              <w:pStyle w:val="133"/>
              <w:rPr>
                <w:color w:val="000000" w:themeColor="text1"/>
                <w14:textFill>
                  <w14:solidFill>
                    <w14:schemeClr w14:val="tx1"/>
                  </w14:solidFill>
                </w14:textFill>
              </w:rPr>
            </w:pPr>
            <w:r>
              <w:rPr>
                <w:color w:val="000000" w:themeColor="text1"/>
                <w14:textFill>
                  <w14:solidFill>
                    <w14:schemeClr w14:val="tx1"/>
                  </w14:solidFill>
                </w14:textFill>
              </w:rPr>
              <w:t>30</w:t>
            </w:r>
          </w:p>
        </w:tc>
        <w:tc>
          <w:tcPr>
            <w:tcW w:w="605" w:type="pct"/>
            <w:tcBorders>
              <w:top w:val="single" w:color="auto" w:sz="4" w:space="0"/>
              <w:left w:val="single" w:color="auto" w:sz="4" w:space="0"/>
              <w:bottom w:val="single" w:color="auto" w:sz="4" w:space="0"/>
              <w:right w:val="single" w:color="auto" w:sz="4" w:space="0"/>
            </w:tcBorders>
            <w:vAlign w:val="center"/>
          </w:tcPr>
          <w:p w14:paraId="6750E23E">
            <w:pPr>
              <w:pStyle w:val="133"/>
            </w:pPr>
            <w:r>
              <w:rPr>
                <w:rFonts w:hint="eastAsia"/>
              </w:rPr>
              <w:t>达标</w:t>
            </w:r>
          </w:p>
        </w:tc>
      </w:tr>
      <w:tr w14:paraId="5692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303AD78D">
            <w:pPr>
              <w:pStyle w:val="133"/>
            </w:pP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5C6C0D72">
            <w:pPr>
              <w:pStyle w:val="133"/>
            </w:pPr>
            <w:r>
              <w:rPr>
                <w:rFonts w:hint="eastAsia"/>
              </w:rPr>
              <w:t>氮氧化物</w:t>
            </w:r>
          </w:p>
        </w:tc>
        <w:tc>
          <w:tcPr>
            <w:tcW w:w="573" w:type="pct"/>
            <w:tcBorders>
              <w:top w:val="single" w:color="auto" w:sz="4" w:space="0"/>
              <w:left w:val="single" w:color="auto" w:sz="4" w:space="0"/>
              <w:bottom w:val="single" w:color="auto" w:sz="4" w:space="0"/>
              <w:right w:val="single" w:color="auto" w:sz="4" w:space="0"/>
            </w:tcBorders>
            <w:vAlign w:val="center"/>
          </w:tcPr>
          <w:p w14:paraId="384CA45C">
            <w:pPr>
              <w:pStyle w:val="133"/>
            </w:pPr>
            <w:r>
              <w:t>205</w:t>
            </w:r>
          </w:p>
        </w:tc>
        <w:tc>
          <w:tcPr>
            <w:tcW w:w="573" w:type="pct"/>
            <w:tcBorders>
              <w:top w:val="single" w:color="auto" w:sz="4" w:space="0"/>
              <w:left w:val="single" w:color="auto" w:sz="4" w:space="0"/>
              <w:bottom w:val="single" w:color="auto" w:sz="4" w:space="0"/>
              <w:right w:val="single" w:color="auto" w:sz="4" w:space="0"/>
            </w:tcBorders>
            <w:vAlign w:val="center"/>
          </w:tcPr>
          <w:p w14:paraId="6F4A1E02">
            <w:pPr>
              <w:pStyle w:val="133"/>
            </w:pPr>
            <w:r>
              <w:t>197</w:t>
            </w:r>
          </w:p>
        </w:tc>
        <w:tc>
          <w:tcPr>
            <w:tcW w:w="959" w:type="pct"/>
            <w:tcBorders>
              <w:top w:val="single" w:color="auto" w:sz="4" w:space="0"/>
              <w:left w:val="single" w:color="auto" w:sz="4" w:space="0"/>
              <w:bottom w:val="single" w:color="auto" w:sz="4" w:space="0"/>
              <w:right w:val="single" w:color="auto" w:sz="4" w:space="0"/>
            </w:tcBorders>
            <w:vAlign w:val="center"/>
          </w:tcPr>
          <w:p w14:paraId="096E2299">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05" w:type="pct"/>
            <w:tcBorders>
              <w:top w:val="single" w:color="auto" w:sz="4" w:space="0"/>
              <w:left w:val="single" w:color="auto" w:sz="4" w:space="0"/>
              <w:bottom w:val="single" w:color="auto" w:sz="4" w:space="0"/>
              <w:right w:val="single" w:color="auto" w:sz="4" w:space="0"/>
            </w:tcBorders>
            <w:vAlign w:val="center"/>
          </w:tcPr>
          <w:p w14:paraId="61320266">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2715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5E9247EF">
            <w:pPr>
              <w:pStyle w:val="133"/>
            </w:pP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2CDE8EC4">
            <w:pPr>
              <w:pStyle w:val="133"/>
            </w:pPr>
            <w:r>
              <w:rPr>
                <w:rFonts w:hint="eastAsia"/>
              </w:rPr>
              <w:t>氯化氢</w:t>
            </w:r>
          </w:p>
        </w:tc>
        <w:tc>
          <w:tcPr>
            <w:tcW w:w="573" w:type="pct"/>
            <w:tcBorders>
              <w:top w:val="single" w:color="auto" w:sz="4" w:space="0"/>
              <w:left w:val="single" w:color="auto" w:sz="4" w:space="0"/>
              <w:bottom w:val="single" w:color="auto" w:sz="4" w:space="0"/>
              <w:right w:val="single" w:color="auto" w:sz="4" w:space="0"/>
            </w:tcBorders>
            <w:vAlign w:val="center"/>
          </w:tcPr>
          <w:p w14:paraId="7117C11A">
            <w:pPr>
              <w:pStyle w:val="133"/>
            </w:pPr>
            <w:r>
              <w:t>17.8</w:t>
            </w:r>
          </w:p>
        </w:tc>
        <w:tc>
          <w:tcPr>
            <w:tcW w:w="573" w:type="pct"/>
            <w:tcBorders>
              <w:top w:val="single" w:color="auto" w:sz="4" w:space="0"/>
              <w:left w:val="single" w:color="auto" w:sz="4" w:space="0"/>
              <w:bottom w:val="single" w:color="auto" w:sz="4" w:space="0"/>
              <w:right w:val="single" w:color="auto" w:sz="4" w:space="0"/>
            </w:tcBorders>
            <w:vAlign w:val="center"/>
          </w:tcPr>
          <w:p w14:paraId="375802B9">
            <w:pPr>
              <w:pStyle w:val="133"/>
            </w:pPr>
            <w:r>
              <w:t>18.1</w:t>
            </w:r>
          </w:p>
        </w:tc>
        <w:tc>
          <w:tcPr>
            <w:tcW w:w="959" w:type="pct"/>
            <w:tcBorders>
              <w:top w:val="single" w:color="auto" w:sz="4" w:space="0"/>
              <w:left w:val="single" w:color="auto" w:sz="4" w:space="0"/>
              <w:bottom w:val="single" w:color="auto" w:sz="4" w:space="0"/>
              <w:right w:val="single" w:color="auto" w:sz="4" w:space="0"/>
            </w:tcBorders>
            <w:vAlign w:val="center"/>
          </w:tcPr>
          <w:p w14:paraId="466D4BD9">
            <w:pPr>
              <w:pStyle w:val="133"/>
              <w:rPr>
                <w:color w:val="000000" w:themeColor="text1"/>
                <w14:textFill>
                  <w14:solidFill>
                    <w14:schemeClr w14:val="tx1"/>
                  </w14:solidFill>
                </w14:textFill>
              </w:rPr>
            </w:pPr>
            <w:r>
              <w:rPr>
                <w:color w:val="000000" w:themeColor="text1"/>
                <w14:textFill>
                  <w14:solidFill>
                    <w14:schemeClr w14:val="tx1"/>
                  </w14:solidFill>
                </w14:textFill>
              </w:rPr>
              <w:t>150</w:t>
            </w:r>
          </w:p>
        </w:tc>
        <w:tc>
          <w:tcPr>
            <w:tcW w:w="605" w:type="pct"/>
            <w:tcBorders>
              <w:top w:val="single" w:color="auto" w:sz="4" w:space="0"/>
              <w:left w:val="single" w:color="auto" w:sz="4" w:space="0"/>
              <w:bottom w:val="single" w:color="auto" w:sz="4" w:space="0"/>
              <w:right w:val="single" w:color="auto" w:sz="4" w:space="0"/>
            </w:tcBorders>
            <w:vAlign w:val="center"/>
          </w:tcPr>
          <w:p w14:paraId="6A039919">
            <w:pPr>
              <w:pStyle w:val="133"/>
            </w:pPr>
            <w:r>
              <w:rPr>
                <w:rFonts w:hint="eastAsia"/>
              </w:rPr>
              <w:t>达标</w:t>
            </w:r>
          </w:p>
        </w:tc>
      </w:tr>
      <w:tr w14:paraId="07F0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jc w:val="center"/>
        </w:trPr>
        <w:tc>
          <w:tcPr>
            <w:tcW w:w="1088" w:type="pct"/>
            <w:vMerge w:val="restart"/>
            <w:tcBorders>
              <w:top w:val="single" w:color="auto" w:sz="4" w:space="0"/>
              <w:left w:val="single" w:color="auto" w:sz="4" w:space="0"/>
              <w:bottom w:val="single" w:color="auto" w:sz="4" w:space="0"/>
              <w:right w:val="single" w:color="auto" w:sz="4" w:space="0"/>
            </w:tcBorders>
            <w:vAlign w:val="center"/>
          </w:tcPr>
          <w:p w14:paraId="76A01996">
            <w:pPr>
              <w:pStyle w:val="133"/>
            </w:pPr>
            <w:r>
              <w:t>DA002</w:t>
            </w:r>
            <w:r>
              <w:rPr>
                <w:rFonts w:hint="eastAsia"/>
              </w:rPr>
              <w:t>（碳化装煤排口）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77029396">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38E4EAB0">
            <w:pPr>
              <w:pStyle w:val="133"/>
            </w:pPr>
            <w:r>
              <w:t>&lt;1.0</w:t>
            </w:r>
          </w:p>
        </w:tc>
        <w:tc>
          <w:tcPr>
            <w:tcW w:w="573" w:type="pct"/>
            <w:tcBorders>
              <w:top w:val="single" w:color="auto" w:sz="4" w:space="0"/>
              <w:left w:val="single" w:color="auto" w:sz="4" w:space="0"/>
              <w:bottom w:val="single" w:color="auto" w:sz="4" w:space="0"/>
              <w:right w:val="single" w:color="auto" w:sz="4" w:space="0"/>
            </w:tcBorders>
            <w:vAlign w:val="center"/>
          </w:tcPr>
          <w:p w14:paraId="410C2BE4">
            <w:pPr>
              <w:pStyle w:val="133"/>
            </w:pPr>
            <w:r>
              <w:t>&lt;1.0</w:t>
            </w:r>
          </w:p>
        </w:tc>
        <w:tc>
          <w:tcPr>
            <w:tcW w:w="959" w:type="pct"/>
            <w:tcBorders>
              <w:top w:val="single" w:color="auto" w:sz="4" w:space="0"/>
              <w:left w:val="single" w:color="auto" w:sz="4" w:space="0"/>
              <w:bottom w:val="single" w:color="auto" w:sz="4" w:space="0"/>
              <w:right w:val="single" w:color="auto" w:sz="4" w:space="0"/>
            </w:tcBorders>
            <w:vAlign w:val="center"/>
          </w:tcPr>
          <w:p w14:paraId="0AFCAE63">
            <w:pPr>
              <w:pStyle w:val="133"/>
              <w:rPr>
                <w:color w:val="000000" w:themeColor="text1"/>
                <w14:textFill>
                  <w14:solidFill>
                    <w14:schemeClr w14:val="tx1"/>
                  </w14:solidFill>
                </w14:textFill>
              </w:rPr>
            </w:pPr>
            <w:r>
              <w:rPr>
                <w:color w:val="000000" w:themeColor="text1"/>
                <w14:textFill>
                  <w14:solidFill>
                    <w14:schemeClr w14:val="tx1"/>
                  </w14:solidFill>
                </w14:textFill>
              </w:rPr>
              <w:t>10</w:t>
            </w:r>
          </w:p>
        </w:tc>
        <w:tc>
          <w:tcPr>
            <w:tcW w:w="605" w:type="pct"/>
            <w:tcBorders>
              <w:top w:val="single" w:color="auto" w:sz="4" w:space="0"/>
              <w:left w:val="single" w:color="auto" w:sz="4" w:space="0"/>
              <w:bottom w:val="single" w:color="auto" w:sz="4" w:space="0"/>
              <w:right w:val="single" w:color="auto" w:sz="4" w:space="0"/>
            </w:tcBorders>
            <w:vAlign w:val="center"/>
          </w:tcPr>
          <w:p w14:paraId="1ABAB64D">
            <w:pPr>
              <w:pStyle w:val="133"/>
            </w:pPr>
            <w:r>
              <w:rPr>
                <w:rFonts w:hint="eastAsia"/>
              </w:rPr>
              <w:t>达标</w:t>
            </w:r>
          </w:p>
        </w:tc>
      </w:tr>
      <w:tr w14:paraId="7007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2E8BD2F0">
            <w:pPr>
              <w:pStyle w:val="133"/>
            </w:pP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45280812">
            <w:pPr>
              <w:pStyle w:val="133"/>
            </w:pPr>
            <w:r>
              <w:rPr>
                <w:rFonts w:hint="eastAsia"/>
              </w:rPr>
              <w:t>二氧化硫</w:t>
            </w:r>
          </w:p>
        </w:tc>
        <w:tc>
          <w:tcPr>
            <w:tcW w:w="573" w:type="pct"/>
            <w:tcBorders>
              <w:top w:val="single" w:color="auto" w:sz="4" w:space="0"/>
              <w:left w:val="single" w:color="auto" w:sz="4" w:space="0"/>
              <w:bottom w:val="single" w:color="auto" w:sz="4" w:space="0"/>
              <w:right w:val="single" w:color="auto" w:sz="4" w:space="0"/>
            </w:tcBorders>
            <w:vAlign w:val="center"/>
          </w:tcPr>
          <w:p w14:paraId="2BCA6DF0">
            <w:pPr>
              <w:pStyle w:val="133"/>
            </w:pPr>
            <w:r>
              <w:t>&lt;2</w:t>
            </w:r>
          </w:p>
        </w:tc>
        <w:tc>
          <w:tcPr>
            <w:tcW w:w="573" w:type="pct"/>
            <w:tcBorders>
              <w:top w:val="single" w:color="auto" w:sz="4" w:space="0"/>
              <w:left w:val="single" w:color="auto" w:sz="4" w:space="0"/>
              <w:bottom w:val="single" w:color="auto" w:sz="4" w:space="0"/>
              <w:right w:val="single" w:color="auto" w:sz="4" w:space="0"/>
            </w:tcBorders>
            <w:vAlign w:val="center"/>
          </w:tcPr>
          <w:p w14:paraId="0FE84A09">
            <w:pPr>
              <w:pStyle w:val="133"/>
            </w:pPr>
            <w:r>
              <w:t>&lt;2</w:t>
            </w:r>
          </w:p>
        </w:tc>
        <w:tc>
          <w:tcPr>
            <w:tcW w:w="959" w:type="pct"/>
            <w:tcBorders>
              <w:top w:val="single" w:color="auto" w:sz="4" w:space="0"/>
              <w:left w:val="single" w:color="auto" w:sz="4" w:space="0"/>
              <w:bottom w:val="single" w:color="auto" w:sz="4" w:space="0"/>
              <w:right w:val="single" w:color="auto" w:sz="4" w:space="0"/>
            </w:tcBorders>
            <w:vAlign w:val="center"/>
          </w:tcPr>
          <w:p w14:paraId="5D6CF76F">
            <w:pPr>
              <w:pStyle w:val="133"/>
              <w:rPr>
                <w:color w:val="000000" w:themeColor="text1"/>
                <w14:textFill>
                  <w14:solidFill>
                    <w14:schemeClr w14:val="tx1"/>
                  </w14:solidFill>
                </w14:textFill>
              </w:rPr>
            </w:pPr>
            <w:r>
              <w:rPr>
                <w:color w:val="000000" w:themeColor="text1"/>
                <w14:textFill>
                  <w14:solidFill>
                    <w14:schemeClr w14:val="tx1"/>
                  </w14:solidFill>
                </w14:textFill>
              </w:rPr>
              <w:t>30</w:t>
            </w:r>
          </w:p>
        </w:tc>
        <w:tc>
          <w:tcPr>
            <w:tcW w:w="605" w:type="pct"/>
            <w:tcBorders>
              <w:top w:val="single" w:color="auto" w:sz="4" w:space="0"/>
              <w:left w:val="single" w:color="auto" w:sz="4" w:space="0"/>
              <w:bottom w:val="single" w:color="auto" w:sz="4" w:space="0"/>
              <w:right w:val="single" w:color="auto" w:sz="4" w:space="0"/>
            </w:tcBorders>
            <w:vAlign w:val="center"/>
          </w:tcPr>
          <w:p w14:paraId="385D580F">
            <w:pPr>
              <w:pStyle w:val="133"/>
            </w:pPr>
            <w:r>
              <w:rPr>
                <w:rFonts w:hint="eastAsia"/>
              </w:rPr>
              <w:t>达标</w:t>
            </w:r>
          </w:p>
        </w:tc>
      </w:tr>
      <w:tr w14:paraId="754B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1088" w:type="pct"/>
            <w:vMerge w:val="restart"/>
            <w:tcBorders>
              <w:top w:val="single" w:color="auto" w:sz="4" w:space="0"/>
              <w:left w:val="single" w:color="auto" w:sz="4" w:space="0"/>
              <w:bottom w:val="single" w:color="auto" w:sz="4" w:space="0"/>
              <w:right w:val="single" w:color="auto" w:sz="4" w:space="0"/>
            </w:tcBorders>
            <w:vAlign w:val="center"/>
          </w:tcPr>
          <w:p w14:paraId="7DD474D9">
            <w:pPr>
              <w:pStyle w:val="133"/>
            </w:pPr>
            <w:r>
              <w:t>DA024</w:t>
            </w:r>
            <w:r>
              <w:rPr>
                <w:rFonts w:hint="eastAsia"/>
              </w:rPr>
              <w:t>（精炼坩埚烟气排口）</w:t>
            </w: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5A93A86F">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6DB1910C">
            <w:pPr>
              <w:pStyle w:val="133"/>
            </w:pPr>
            <w:r>
              <w:t>4.7</w:t>
            </w:r>
          </w:p>
        </w:tc>
        <w:tc>
          <w:tcPr>
            <w:tcW w:w="573" w:type="pct"/>
            <w:tcBorders>
              <w:top w:val="single" w:color="auto" w:sz="4" w:space="0"/>
              <w:left w:val="single" w:color="auto" w:sz="4" w:space="0"/>
              <w:bottom w:val="single" w:color="auto" w:sz="4" w:space="0"/>
              <w:right w:val="single" w:color="auto" w:sz="4" w:space="0"/>
            </w:tcBorders>
            <w:vAlign w:val="center"/>
          </w:tcPr>
          <w:p w14:paraId="50167AAF">
            <w:pPr>
              <w:pStyle w:val="133"/>
            </w:pPr>
            <w:r>
              <w:t>6.1</w:t>
            </w:r>
          </w:p>
        </w:tc>
        <w:tc>
          <w:tcPr>
            <w:tcW w:w="959" w:type="pct"/>
            <w:tcBorders>
              <w:top w:val="single" w:color="auto" w:sz="4" w:space="0"/>
              <w:left w:val="single" w:color="auto" w:sz="4" w:space="0"/>
              <w:bottom w:val="single" w:color="auto" w:sz="4" w:space="0"/>
              <w:right w:val="single" w:color="auto" w:sz="4" w:space="0"/>
            </w:tcBorders>
            <w:vAlign w:val="center"/>
          </w:tcPr>
          <w:p w14:paraId="096D7933">
            <w:pPr>
              <w:pStyle w:val="133"/>
              <w:rPr>
                <w:color w:val="000000" w:themeColor="text1"/>
                <w14:textFill>
                  <w14:solidFill>
                    <w14:schemeClr w14:val="tx1"/>
                  </w14:solidFill>
                </w14:textFill>
              </w:rPr>
            </w:pPr>
            <w:r>
              <w:rPr>
                <w:color w:val="000000" w:themeColor="text1"/>
                <w14:textFill>
                  <w14:solidFill>
                    <w14:schemeClr w14:val="tx1"/>
                  </w14:solidFill>
                </w14:textFill>
              </w:rPr>
              <w:t>80</w:t>
            </w:r>
          </w:p>
        </w:tc>
        <w:tc>
          <w:tcPr>
            <w:tcW w:w="605" w:type="pct"/>
            <w:tcBorders>
              <w:top w:val="single" w:color="auto" w:sz="4" w:space="0"/>
              <w:left w:val="single" w:color="auto" w:sz="4" w:space="0"/>
              <w:bottom w:val="single" w:color="auto" w:sz="4" w:space="0"/>
              <w:right w:val="single" w:color="auto" w:sz="4" w:space="0"/>
            </w:tcBorders>
            <w:vAlign w:val="center"/>
          </w:tcPr>
          <w:p w14:paraId="47CF430A">
            <w:pPr>
              <w:pStyle w:val="133"/>
            </w:pPr>
            <w:r>
              <w:rPr>
                <w:rFonts w:hint="eastAsia"/>
              </w:rPr>
              <w:t>达标</w:t>
            </w:r>
          </w:p>
        </w:tc>
      </w:tr>
      <w:tr w14:paraId="34AC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719BBC33">
            <w:pPr>
              <w:pStyle w:val="133"/>
            </w:pPr>
          </w:p>
        </w:tc>
        <w:tc>
          <w:tcPr>
            <w:tcW w:w="1202" w:type="pct"/>
            <w:gridSpan w:val="2"/>
            <w:tcBorders>
              <w:top w:val="single" w:color="auto" w:sz="4" w:space="0"/>
              <w:left w:val="single" w:color="auto" w:sz="4" w:space="0"/>
              <w:bottom w:val="single" w:color="auto" w:sz="4" w:space="0"/>
              <w:right w:val="single" w:color="auto" w:sz="4" w:space="0"/>
            </w:tcBorders>
            <w:vAlign w:val="center"/>
          </w:tcPr>
          <w:p w14:paraId="7E8FD9A6">
            <w:pPr>
              <w:pStyle w:val="133"/>
            </w:pPr>
            <w:r>
              <w:rPr>
                <w:rFonts w:hint="eastAsia"/>
              </w:rPr>
              <w:t>二氧化硫</w:t>
            </w:r>
          </w:p>
        </w:tc>
        <w:tc>
          <w:tcPr>
            <w:tcW w:w="573" w:type="pct"/>
            <w:tcBorders>
              <w:top w:val="single" w:color="auto" w:sz="4" w:space="0"/>
              <w:left w:val="single" w:color="auto" w:sz="4" w:space="0"/>
              <w:bottom w:val="single" w:color="auto" w:sz="4" w:space="0"/>
              <w:right w:val="single" w:color="auto" w:sz="4" w:space="0"/>
            </w:tcBorders>
            <w:vAlign w:val="center"/>
          </w:tcPr>
          <w:p w14:paraId="6F9DAF83">
            <w:pPr>
              <w:pStyle w:val="133"/>
            </w:pPr>
            <w:r>
              <w:t>5</w:t>
            </w:r>
          </w:p>
        </w:tc>
        <w:tc>
          <w:tcPr>
            <w:tcW w:w="573" w:type="pct"/>
            <w:tcBorders>
              <w:top w:val="single" w:color="auto" w:sz="4" w:space="0"/>
              <w:left w:val="single" w:color="auto" w:sz="4" w:space="0"/>
              <w:bottom w:val="single" w:color="auto" w:sz="4" w:space="0"/>
              <w:right w:val="single" w:color="auto" w:sz="4" w:space="0"/>
            </w:tcBorders>
            <w:vAlign w:val="center"/>
          </w:tcPr>
          <w:p w14:paraId="0F631853">
            <w:pPr>
              <w:pStyle w:val="133"/>
            </w:pPr>
            <w:r>
              <w:t>7</w:t>
            </w:r>
          </w:p>
        </w:tc>
        <w:tc>
          <w:tcPr>
            <w:tcW w:w="959" w:type="pct"/>
            <w:tcBorders>
              <w:top w:val="single" w:color="auto" w:sz="4" w:space="0"/>
              <w:left w:val="single" w:color="auto" w:sz="4" w:space="0"/>
              <w:bottom w:val="single" w:color="auto" w:sz="4" w:space="0"/>
              <w:right w:val="single" w:color="auto" w:sz="4" w:space="0"/>
            </w:tcBorders>
            <w:vAlign w:val="center"/>
          </w:tcPr>
          <w:p w14:paraId="67A8D2A2">
            <w:pPr>
              <w:pStyle w:val="133"/>
              <w:rPr>
                <w:color w:val="000000" w:themeColor="text1"/>
                <w14:textFill>
                  <w14:solidFill>
                    <w14:schemeClr w14:val="tx1"/>
                  </w14:solidFill>
                </w14:textFill>
              </w:rPr>
            </w:pPr>
            <w:r>
              <w:rPr>
                <w:color w:val="000000" w:themeColor="text1"/>
                <w14:textFill>
                  <w14:solidFill>
                    <w14:schemeClr w14:val="tx1"/>
                  </w14:solidFill>
                </w14:textFill>
              </w:rPr>
              <w:t>30</w:t>
            </w:r>
          </w:p>
        </w:tc>
        <w:tc>
          <w:tcPr>
            <w:tcW w:w="605" w:type="pct"/>
            <w:tcBorders>
              <w:top w:val="single" w:color="auto" w:sz="4" w:space="0"/>
              <w:left w:val="single" w:color="auto" w:sz="4" w:space="0"/>
              <w:bottom w:val="single" w:color="auto" w:sz="4" w:space="0"/>
              <w:right w:val="single" w:color="auto" w:sz="4" w:space="0"/>
            </w:tcBorders>
            <w:vAlign w:val="center"/>
          </w:tcPr>
          <w:p w14:paraId="52A590AE">
            <w:pPr>
              <w:pStyle w:val="133"/>
            </w:pPr>
            <w:r>
              <w:rPr>
                <w:rFonts w:hint="eastAsia"/>
              </w:rPr>
              <w:t>达标</w:t>
            </w:r>
          </w:p>
        </w:tc>
      </w:tr>
      <w:tr w14:paraId="5527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8" w:type="pct"/>
            <w:vMerge w:val="restart"/>
            <w:tcBorders>
              <w:top w:val="single" w:color="auto" w:sz="4" w:space="0"/>
              <w:left w:val="single" w:color="auto" w:sz="4" w:space="0"/>
              <w:bottom w:val="single" w:color="auto" w:sz="4" w:space="0"/>
              <w:right w:val="single" w:color="auto" w:sz="4" w:space="0"/>
            </w:tcBorders>
            <w:vAlign w:val="center"/>
          </w:tcPr>
          <w:p w14:paraId="4DFCB56A">
            <w:pPr>
              <w:pStyle w:val="133"/>
            </w:pPr>
            <w:r>
              <w:rPr>
                <w:rFonts w:hint="eastAsia"/>
              </w:rPr>
              <w:t>无组织排放</w:t>
            </w:r>
          </w:p>
        </w:tc>
        <w:tc>
          <w:tcPr>
            <w:tcW w:w="441" w:type="pct"/>
            <w:vMerge w:val="restart"/>
            <w:tcBorders>
              <w:top w:val="single" w:color="auto" w:sz="4" w:space="0"/>
              <w:left w:val="single" w:color="auto" w:sz="4" w:space="0"/>
              <w:bottom w:val="single" w:color="auto" w:sz="4" w:space="0"/>
              <w:right w:val="single" w:color="auto" w:sz="4" w:space="0"/>
            </w:tcBorders>
            <w:vAlign w:val="center"/>
          </w:tcPr>
          <w:p w14:paraId="72C86FDB">
            <w:pPr>
              <w:pStyle w:val="133"/>
            </w:pPr>
            <w:r>
              <w:rPr>
                <w:rFonts w:hint="eastAsia"/>
              </w:rPr>
              <w:t>镁合金生产线厂界</w:t>
            </w:r>
          </w:p>
        </w:tc>
        <w:tc>
          <w:tcPr>
            <w:tcW w:w="761" w:type="pct"/>
            <w:tcBorders>
              <w:top w:val="single" w:color="auto" w:sz="4" w:space="0"/>
              <w:left w:val="single" w:color="auto" w:sz="4" w:space="0"/>
              <w:bottom w:val="single" w:color="auto" w:sz="4" w:space="0"/>
              <w:right w:val="single" w:color="auto" w:sz="4" w:space="0"/>
            </w:tcBorders>
            <w:vAlign w:val="center"/>
          </w:tcPr>
          <w:p w14:paraId="0E782849">
            <w:pPr>
              <w:pStyle w:val="133"/>
            </w:pPr>
            <w:r>
              <w:rPr>
                <w:rFonts w:hint="eastAsia"/>
              </w:rPr>
              <w:t>颗粒物</w:t>
            </w:r>
          </w:p>
        </w:tc>
        <w:tc>
          <w:tcPr>
            <w:tcW w:w="573" w:type="pct"/>
            <w:tcBorders>
              <w:top w:val="single" w:color="auto" w:sz="4" w:space="0"/>
              <w:left w:val="single" w:color="auto" w:sz="4" w:space="0"/>
              <w:bottom w:val="single" w:color="auto" w:sz="4" w:space="0"/>
              <w:right w:val="single" w:color="auto" w:sz="4" w:space="0"/>
            </w:tcBorders>
            <w:vAlign w:val="center"/>
          </w:tcPr>
          <w:p w14:paraId="32AE3896">
            <w:pPr>
              <w:pStyle w:val="133"/>
            </w:pPr>
            <w:r>
              <w:t>0.305</w:t>
            </w:r>
          </w:p>
        </w:tc>
        <w:tc>
          <w:tcPr>
            <w:tcW w:w="573" w:type="pct"/>
            <w:tcBorders>
              <w:top w:val="single" w:color="auto" w:sz="4" w:space="0"/>
              <w:left w:val="single" w:color="auto" w:sz="4" w:space="0"/>
              <w:bottom w:val="single" w:color="auto" w:sz="4" w:space="0"/>
              <w:right w:val="single" w:color="auto" w:sz="4" w:space="0"/>
            </w:tcBorders>
            <w:vAlign w:val="center"/>
          </w:tcPr>
          <w:p w14:paraId="60BD9195">
            <w:pPr>
              <w:pStyle w:val="133"/>
            </w:pPr>
            <w:r>
              <w:t>0.699</w:t>
            </w:r>
          </w:p>
        </w:tc>
        <w:tc>
          <w:tcPr>
            <w:tcW w:w="959" w:type="pct"/>
            <w:tcBorders>
              <w:top w:val="single" w:color="auto" w:sz="4" w:space="0"/>
              <w:left w:val="single" w:color="auto" w:sz="4" w:space="0"/>
              <w:bottom w:val="single" w:color="auto" w:sz="4" w:space="0"/>
              <w:right w:val="single" w:color="auto" w:sz="4" w:space="0"/>
            </w:tcBorders>
            <w:vAlign w:val="center"/>
          </w:tcPr>
          <w:p w14:paraId="6386D8B8">
            <w:pPr>
              <w:pStyle w:val="133"/>
            </w:pPr>
            <w:r>
              <w:t>1.0</w:t>
            </w:r>
          </w:p>
        </w:tc>
        <w:tc>
          <w:tcPr>
            <w:tcW w:w="605" w:type="pct"/>
            <w:tcBorders>
              <w:top w:val="single" w:color="auto" w:sz="4" w:space="0"/>
              <w:left w:val="single" w:color="auto" w:sz="4" w:space="0"/>
              <w:bottom w:val="single" w:color="auto" w:sz="4" w:space="0"/>
              <w:right w:val="single" w:color="auto" w:sz="4" w:space="0"/>
            </w:tcBorders>
            <w:vAlign w:val="center"/>
          </w:tcPr>
          <w:p w14:paraId="4734F1A5">
            <w:pPr>
              <w:pStyle w:val="133"/>
            </w:pPr>
            <w:r>
              <w:rPr>
                <w:rFonts w:hint="eastAsia"/>
              </w:rPr>
              <w:t>达标</w:t>
            </w:r>
          </w:p>
        </w:tc>
      </w:tr>
      <w:tr w14:paraId="4094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5A57DC5C">
            <w:pPr>
              <w:pStyle w:val="133"/>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77AD9E18">
            <w:pPr>
              <w:pStyle w:val="133"/>
            </w:pPr>
          </w:p>
        </w:tc>
        <w:tc>
          <w:tcPr>
            <w:tcW w:w="761" w:type="pct"/>
            <w:tcBorders>
              <w:top w:val="single" w:color="auto" w:sz="4" w:space="0"/>
              <w:left w:val="single" w:color="auto" w:sz="4" w:space="0"/>
              <w:bottom w:val="single" w:color="auto" w:sz="4" w:space="0"/>
              <w:right w:val="single" w:color="auto" w:sz="4" w:space="0"/>
            </w:tcBorders>
            <w:vAlign w:val="center"/>
          </w:tcPr>
          <w:p w14:paraId="5A96F567">
            <w:pPr>
              <w:pStyle w:val="133"/>
            </w:pPr>
            <w:r>
              <w:rPr>
                <w:rFonts w:hint="eastAsia"/>
              </w:rPr>
              <w:t>氯化氢</w:t>
            </w:r>
          </w:p>
        </w:tc>
        <w:tc>
          <w:tcPr>
            <w:tcW w:w="573" w:type="pct"/>
            <w:tcBorders>
              <w:top w:val="single" w:color="auto" w:sz="4" w:space="0"/>
              <w:left w:val="single" w:color="auto" w:sz="4" w:space="0"/>
              <w:bottom w:val="single" w:color="auto" w:sz="4" w:space="0"/>
              <w:right w:val="single" w:color="auto" w:sz="4" w:space="0"/>
            </w:tcBorders>
            <w:vAlign w:val="center"/>
          </w:tcPr>
          <w:p w14:paraId="6C5165D4">
            <w:pPr>
              <w:pStyle w:val="133"/>
            </w:pPr>
            <w:r>
              <w:t>0.139</w:t>
            </w:r>
          </w:p>
        </w:tc>
        <w:tc>
          <w:tcPr>
            <w:tcW w:w="573" w:type="pct"/>
            <w:tcBorders>
              <w:top w:val="single" w:color="auto" w:sz="4" w:space="0"/>
              <w:left w:val="single" w:color="auto" w:sz="4" w:space="0"/>
              <w:bottom w:val="single" w:color="auto" w:sz="4" w:space="0"/>
              <w:right w:val="single" w:color="auto" w:sz="4" w:space="0"/>
            </w:tcBorders>
            <w:vAlign w:val="center"/>
          </w:tcPr>
          <w:p w14:paraId="09BC680F">
            <w:pPr>
              <w:pStyle w:val="133"/>
            </w:pPr>
            <w:r>
              <w:t>0.149</w:t>
            </w:r>
          </w:p>
        </w:tc>
        <w:tc>
          <w:tcPr>
            <w:tcW w:w="959" w:type="pct"/>
            <w:tcBorders>
              <w:top w:val="single" w:color="auto" w:sz="4" w:space="0"/>
              <w:left w:val="single" w:color="auto" w:sz="4" w:space="0"/>
              <w:bottom w:val="single" w:color="auto" w:sz="4" w:space="0"/>
              <w:right w:val="single" w:color="auto" w:sz="4" w:space="0"/>
            </w:tcBorders>
            <w:vAlign w:val="center"/>
          </w:tcPr>
          <w:p w14:paraId="1BF0CC9C">
            <w:pPr>
              <w:pStyle w:val="133"/>
            </w:pPr>
            <w:r>
              <w:t>0.15</w:t>
            </w:r>
          </w:p>
        </w:tc>
        <w:tc>
          <w:tcPr>
            <w:tcW w:w="605" w:type="pct"/>
            <w:tcBorders>
              <w:top w:val="single" w:color="auto" w:sz="4" w:space="0"/>
              <w:left w:val="single" w:color="auto" w:sz="4" w:space="0"/>
              <w:bottom w:val="single" w:color="auto" w:sz="4" w:space="0"/>
              <w:right w:val="single" w:color="auto" w:sz="4" w:space="0"/>
            </w:tcBorders>
            <w:vAlign w:val="center"/>
          </w:tcPr>
          <w:p w14:paraId="7FE6493F">
            <w:pPr>
              <w:pStyle w:val="133"/>
            </w:pPr>
            <w:r>
              <w:rPr>
                <w:rFonts w:hint="eastAsia"/>
              </w:rPr>
              <w:t>达标</w:t>
            </w:r>
          </w:p>
        </w:tc>
      </w:tr>
      <w:tr w14:paraId="2220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88" w:type="pct"/>
            <w:vMerge w:val="continue"/>
            <w:tcBorders>
              <w:top w:val="single" w:color="auto" w:sz="4" w:space="0"/>
              <w:left w:val="single" w:color="auto" w:sz="4" w:space="0"/>
              <w:bottom w:val="single" w:color="auto" w:sz="4" w:space="0"/>
              <w:right w:val="single" w:color="auto" w:sz="4" w:space="0"/>
            </w:tcBorders>
            <w:vAlign w:val="center"/>
          </w:tcPr>
          <w:p w14:paraId="2B9AFA29">
            <w:pPr>
              <w:pStyle w:val="133"/>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737BB023">
            <w:pPr>
              <w:pStyle w:val="133"/>
            </w:pPr>
          </w:p>
        </w:tc>
        <w:tc>
          <w:tcPr>
            <w:tcW w:w="761" w:type="pct"/>
            <w:tcBorders>
              <w:top w:val="single" w:color="auto" w:sz="4" w:space="0"/>
              <w:left w:val="single" w:color="auto" w:sz="4" w:space="0"/>
              <w:bottom w:val="single" w:color="auto" w:sz="4" w:space="0"/>
              <w:right w:val="single" w:color="auto" w:sz="4" w:space="0"/>
            </w:tcBorders>
            <w:vAlign w:val="center"/>
          </w:tcPr>
          <w:p w14:paraId="6B212639">
            <w:pPr>
              <w:pStyle w:val="133"/>
            </w:pPr>
            <w:r>
              <w:rPr>
                <w:rFonts w:hint="eastAsia"/>
              </w:rPr>
              <w:t>二氧化硫</w:t>
            </w:r>
          </w:p>
        </w:tc>
        <w:tc>
          <w:tcPr>
            <w:tcW w:w="573" w:type="pct"/>
            <w:tcBorders>
              <w:top w:val="single" w:color="auto" w:sz="4" w:space="0"/>
              <w:left w:val="single" w:color="auto" w:sz="4" w:space="0"/>
              <w:bottom w:val="single" w:color="auto" w:sz="4" w:space="0"/>
              <w:right w:val="single" w:color="auto" w:sz="4" w:space="0"/>
            </w:tcBorders>
            <w:vAlign w:val="center"/>
          </w:tcPr>
          <w:p w14:paraId="71C44E1E">
            <w:pPr>
              <w:pStyle w:val="133"/>
            </w:pPr>
            <w:r>
              <w:t>0.015</w:t>
            </w:r>
          </w:p>
        </w:tc>
        <w:tc>
          <w:tcPr>
            <w:tcW w:w="573" w:type="pct"/>
            <w:tcBorders>
              <w:top w:val="single" w:color="auto" w:sz="4" w:space="0"/>
              <w:left w:val="single" w:color="auto" w:sz="4" w:space="0"/>
              <w:bottom w:val="single" w:color="auto" w:sz="4" w:space="0"/>
              <w:right w:val="single" w:color="auto" w:sz="4" w:space="0"/>
            </w:tcBorders>
            <w:vAlign w:val="center"/>
          </w:tcPr>
          <w:p w14:paraId="12F5C704">
            <w:pPr>
              <w:pStyle w:val="133"/>
            </w:pPr>
            <w:r>
              <w:t>0.016</w:t>
            </w:r>
          </w:p>
        </w:tc>
        <w:tc>
          <w:tcPr>
            <w:tcW w:w="959" w:type="pct"/>
            <w:tcBorders>
              <w:top w:val="single" w:color="auto" w:sz="4" w:space="0"/>
              <w:left w:val="single" w:color="auto" w:sz="4" w:space="0"/>
              <w:bottom w:val="single" w:color="auto" w:sz="4" w:space="0"/>
              <w:right w:val="single" w:color="auto" w:sz="4" w:space="0"/>
            </w:tcBorders>
            <w:vAlign w:val="center"/>
          </w:tcPr>
          <w:p w14:paraId="79E0B081">
            <w:pPr>
              <w:pStyle w:val="133"/>
            </w:pPr>
            <w:r>
              <w:t>0.5</w:t>
            </w:r>
          </w:p>
        </w:tc>
        <w:tc>
          <w:tcPr>
            <w:tcW w:w="605" w:type="pct"/>
            <w:tcBorders>
              <w:top w:val="single" w:color="auto" w:sz="4" w:space="0"/>
              <w:left w:val="single" w:color="auto" w:sz="4" w:space="0"/>
              <w:bottom w:val="single" w:color="auto" w:sz="4" w:space="0"/>
              <w:right w:val="single" w:color="auto" w:sz="4" w:space="0"/>
            </w:tcBorders>
            <w:vAlign w:val="center"/>
          </w:tcPr>
          <w:p w14:paraId="3BE02CB7">
            <w:pPr>
              <w:pStyle w:val="133"/>
            </w:pPr>
            <w:r>
              <w:rPr>
                <w:rFonts w:hint="eastAsia"/>
              </w:rPr>
              <w:t>达标</w:t>
            </w:r>
          </w:p>
        </w:tc>
      </w:tr>
    </w:tbl>
    <w:p w14:paraId="4938A57F">
      <w:pPr>
        <w:pStyle w:val="133"/>
        <w:jc w:val="both"/>
      </w:pPr>
    </w:p>
    <w:p w14:paraId="1D31DED1">
      <w:pPr>
        <w:pStyle w:val="138"/>
        <w:rPr>
          <w:rFonts w:hint="eastAsia"/>
        </w:rPr>
      </w:pPr>
      <w:r>
        <w:rPr>
          <w:rStyle w:val="169"/>
          <w:rFonts w:hint="eastAsia"/>
          <w:b/>
        </w:rPr>
        <w:t>废水达标排放情况</w:t>
      </w:r>
    </w:p>
    <w:p w14:paraId="1D3DBE10">
      <w:pPr>
        <w:pStyle w:val="118"/>
        <w:ind w:firstLine="480" w:firstLineChars="200"/>
        <w:jc w:val="both"/>
        <w:rPr>
          <w:b w:val="0"/>
          <w:bCs/>
        </w:rPr>
      </w:pPr>
      <w:r>
        <w:rPr>
          <w:rFonts w:hint="eastAsia"/>
          <w:b w:val="0"/>
          <w:bCs/>
        </w:rPr>
        <w:t>现有工程废水污染源排放清单，见表</w:t>
      </w:r>
      <w:bookmarkStart w:id="235" w:name="OLE_LINK80"/>
      <w:bookmarkStart w:id="236" w:name="OLE_LINK79"/>
      <w:r>
        <w:rPr>
          <w:rFonts w:hint="eastAsia"/>
          <w:b w:val="0"/>
          <w:bCs/>
        </w:rPr>
        <w:t>2.3-5</w:t>
      </w:r>
      <w:bookmarkEnd w:id="235"/>
      <w:r>
        <w:rPr>
          <w:rFonts w:hint="eastAsia"/>
          <w:b w:val="0"/>
          <w:bCs/>
        </w:rPr>
        <w:t>、2.3-6</w:t>
      </w:r>
      <w:bookmarkEnd w:id="236"/>
      <w:r>
        <w:rPr>
          <w:rFonts w:hint="eastAsia"/>
          <w:b w:val="0"/>
          <w:bCs/>
        </w:rPr>
        <w:t>。</w:t>
      </w:r>
    </w:p>
    <w:p w14:paraId="64B11FE3">
      <w:pPr>
        <w:pStyle w:val="118"/>
      </w:pPr>
      <w:r>
        <w:t>表</w:t>
      </w:r>
      <w:r>
        <w:rPr>
          <w:rFonts w:hint="eastAsia"/>
        </w:rPr>
        <w:t>2</w:t>
      </w:r>
      <w:r>
        <w:t>.</w:t>
      </w:r>
      <w:r>
        <w:rPr>
          <w:rFonts w:hint="eastAsia"/>
        </w:rPr>
        <w:t>3</w:t>
      </w:r>
      <w:r>
        <w:t>-</w:t>
      </w:r>
      <w:r>
        <w:rPr>
          <w:rFonts w:hint="eastAsia"/>
        </w:rPr>
        <w:t>5</w:t>
      </w:r>
      <w:r>
        <w:t xml:space="preserve"> 污水处理站出水水质监测结果一览表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47"/>
        <w:gridCol w:w="1146"/>
        <w:gridCol w:w="1182"/>
        <w:gridCol w:w="1182"/>
        <w:gridCol w:w="1182"/>
        <w:gridCol w:w="1182"/>
        <w:gridCol w:w="1033"/>
        <w:gridCol w:w="1051"/>
      </w:tblGrid>
      <w:tr w14:paraId="66D28F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pct"/>
            <w:vAlign w:val="center"/>
          </w:tcPr>
          <w:p w14:paraId="7A212A84">
            <w:pPr>
              <w:pStyle w:val="133"/>
              <w:rPr>
                <w:b/>
                <w:bCs/>
              </w:rPr>
            </w:pPr>
            <w:r>
              <w:rPr>
                <w:rFonts w:hint="eastAsia"/>
                <w:b/>
                <w:bCs/>
              </w:rPr>
              <w:t>污染物</w:t>
            </w:r>
          </w:p>
        </w:tc>
        <w:tc>
          <w:tcPr>
            <w:tcW w:w="616" w:type="pct"/>
            <w:vAlign w:val="center"/>
          </w:tcPr>
          <w:p w14:paraId="65690F19">
            <w:pPr>
              <w:pStyle w:val="133"/>
              <w:rPr>
                <w:b/>
                <w:bCs/>
              </w:rPr>
            </w:pPr>
            <w:r>
              <w:rPr>
                <w:rFonts w:hint="eastAsia"/>
                <w:b/>
                <w:bCs/>
              </w:rPr>
              <w:t>COD</w:t>
            </w:r>
          </w:p>
        </w:tc>
        <w:tc>
          <w:tcPr>
            <w:tcW w:w="635" w:type="pct"/>
            <w:vAlign w:val="center"/>
          </w:tcPr>
          <w:p w14:paraId="0A7529BF">
            <w:pPr>
              <w:pStyle w:val="133"/>
              <w:rPr>
                <w:b/>
                <w:bCs/>
              </w:rPr>
            </w:pPr>
            <w:r>
              <w:rPr>
                <w:rFonts w:hint="eastAsia"/>
                <w:b/>
                <w:bCs/>
              </w:rPr>
              <w:t>氨氮</w:t>
            </w:r>
          </w:p>
        </w:tc>
        <w:tc>
          <w:tcPr>
            <w:tcW w:w="635" w:type="pct"/>
            <w:vAlign w:val="center"/>
          </w:tcPr>
          <w:p w14:paraId="4BCF3AEF">
            <w:pPr>
              <w:pStyle w:val="133"/>
              <w:rPr>
                <w:b/>
                <w:bCs/>
              </w:rPr>
            </w:pPr>
            <w:r>
              <w:rPr>
                <w:rFonts w:hint="eastAsia"/>
                <w:b/>
                <w:bCs/>
              </w:rPr>
              <w:t>挥发酚</w:t>
            </w:r>
          </w:p>
        </w:tc>
        <w:tc>
          <w:tcPr>
            <w:tcW w:w="635" w:type="pct"/>
            <w:vAlign w:val="center"/>
          </w:tcPr>
          <w:p w14:paraId="6814C5A7">
            <w:pPr>
              <w:pStyle w:val="133"/>
              <w:rPr>
                <w:b/>
                <w:bCs/>
              </w:rPr>
            </w:pPr>
            <w:r>
              <w:rPr>
                <w:rFonts w:hint="eastAsia"/>
                <w:b/>
                <w:bCs/>
              </w:rPr>
              <w:t>氰化物</w:t>
            </w:r>
          </w:p>
        </w:tc>
        <w:tc>
          <w:tcPr>
            <w:tcW w:w="635" w:type="pct"/>
            <w:vAlign w:val="center"/>
          </w:tcPr>
          <w:p w14:paraId="7FEF87E8">
            <w:pPr>
              <w:pStyle w:val="133"/>
              <w:rPr>
                <w:b/>
                <w:bCs/>
              </w:rPr>
            </w:pPr>
            <w:r>
              <w:rPr>
                <w:rFonts w:hint="eastAsia"/>
                <w:b/>
                <w:bCs/>
              </w:rPr>
              <w:t>石油类</w:t>
            </w:r>
          </w:p>
        </w:tc>
        <w:tc>
          <w:tcPr>
            <w:tcW w:w="555" w:type="pct"/>
            <w:vAlign w:val="center"/>
          </w:tcPr>
          <w:p w14:paraId="233DD33B">
            <w:pPr>
              <w:pStyle w:val="133"/>
              <w:rPr>
                <w:b/>
                <w:bCs/>
              </w:rPr>
            </w:pPr>
            <w:r>
              <w:rPr>
                <w:rFonts w:hint="eastAsia"/>
                <w:b/>
                <w:bCs/>
              </w:rPr>
              <w:t>SS</w:t>
            </w:r>
          </w:p>
        </w:tc>
        <w:tc>
          <w:tcPr>
            <w:tcW w:w="566" w:type="pct"/>
            <w:vAlign w:val="center"/>
          </w:tcPr>
          <w:p w14:paraId="15DD5355">
            <w:pPr>
              <w:pStyle w:val="133"/>
              <w:rPr>
                <w:b/>
                <w:bCs/>
              </w:rPr>
            </w:pPr>
            <w:r>
              <w:rPr>
                <w:rFonts w:hint="eastAsia"/>
                <w:b/>
                <w:bCs/>
              </w:rPr>
              <w:t>pH</w:t>
            </w:r>
          </w:p>
        </w:tc>
      </w:tr>
      <w:tr w14:paraId="478CDF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pct"/>
            <w:vAlign w:val="center"/>
          </w:tcPr>
          <w:p w14:paraId="36DD3D0D">
            <w:pPr>
              <w:pStyle w:val="133"/>
            </w:pPr>
            <w:r>
              <w:rPr>
                <w:rFonts w:hint="eastAsia"/>
              </w:rPr>
              <w:t>出水</w:t>
            </w:r>
          </w:p>
        </w:tc>
        <w:tc>
          <w:tcPr>
            <w:tcW w:w="616" w:type="pct"/>
            <w:vAlign w:val="center"/>
          </w:tcPr>
          <w:p w14:paraId="607BF795">
            <w:pPr>
              <w:pStyle w:val="133"/>
            </w:pPr>
            <w:r>
              <w:rPr>
                <w:rFonts w:hint="eastAsia"/>
              </w:rPr>
              <w:t>144</w:t>
            </w:r>
          </w:p>
        </w:tc>
        <w:tc>
          <w:tcPr>
            <w:tcW w:w="635" w:type="pct"/>
            <w:vAlign w:val="center"/>
          </w:tcPr>
          <w:p w14:paraId="0ED6037F">
            <w:pPr>
              <w:pStyle w:val="133"/>
            </w:pPr>
            <w:r>
              <w:rPr>
                <w:rFonts w:hint="eastAsia"/>
              </w:rPr>
              <w:t>8.8</w:t>
            </w:r>
          </w:p>
        </w:tc>
        <w:tc>
          <w:tcPr>
            <w:tcW w:w="635" w:type="pct"/>
            <w:vAlign w:val="center"/>
          </w:tcPr>
          <w:p w14:paraId="4350D5FC">
            <w:pPr>
              <w:pStyle w:val="133"/>
            </w:pPr>
            <w:r>
              <w:rPr>
                <w:rFonts w:hint="eastAsia"/>
              </w:rPr>
              <w:t>0.04</w:t>
            </w:r>
          </w:p>
        </w:tc>
        <w:tc>
          <w:tcPr>
            <w:tcW w:w="635" w:type="pct"/>
            <w:vAlign w:val="center"/>
          </w:tcPr>
          <w:p w14:paraId="0F2DFCE4">
            <w:pPr>
              <w:pStyle w:val="133"/>
            </w:pPr>
            <w:r>
              <w:rPr>
                <w:rFonts w:hint="eastAsia"/>
              </w:rPr>
              <w:t>0.01</w:t>
            </w:r>
          </w:p>
        </w:tc>
        <w:tc>
          <w:tcPr>
            <w:tcW w:w="635" w:type="pct"/>
            <w:vAlign w:val="center"/>
          </w:tcPr>
          <w:p w14:paraId="724B7038">
            <w:pPr>
              <w:pStyle w:val="133"/>
            </w:pPr>
            <w:r>
              <w:rPr>
                <w:rFonts w:hint="eastAsia"/>
              </w:rPr>
              <w:t>0.21</w:t>
            </w:r>
          </w:p>
        </w:tc>
        <w:tc>
          <w:tcPr>
            <w:tcW w:w="555" w:type="pct"/>
            <w:vAlign w:val="center"/>
          </w:tcPr>
          <w:p w14:paraId="531D19CA">
            <w:pPr>
              <w:pStyle w:val="133"/>
            </w:pPr>
            <w:r>
              <w:rPr>
                <w:rFonts w:hint="eastAsia"/>
              </w:rPr>
              <w:t>14</w:t>
            </w:r>
          </w:p>
        </w:tc>
        <w:tc>
          <w:tcPr>
            <w:tcW w:w="566" w:type="pct"/>
            <w:vAlign w:val="center"/>
          </w:tcPr>
          <w:p w14:paraId="1E73478E">
            <w:pPr>
              <w:pStyle w:val="133"/>
            </w:pPr>
            <w:r>
              <w:rPr>
                <w:rFonts w:hint="eastAsia"/>
              </w:rPr>
              <w:t>8.39</w:t>
            </w:r>
          </w:p>
        </w:tc>
      </w:tr>
      <w:tr w14:paraId="3DAA6E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pct"/>
            <w:vAlign w:val="center"/>
          </w:tcPr>
          <w:p w14:paraId="02545A6C">
            <w:pPr>
              <w:pStyle w:val="133"/>
            </w:pPr>
            <w:r>
              <w:rPr>
                <w:rFonts w:hint="eastAsia"/>
              </w:rPr>
              <w:t>标准限值</w:t>
            </w:r>
          </w:p>
        </w:tc>
        <w:tc>
          <w:tcPr>
            <w:tcW w:w="616" w:type="pct"/>
            <w:vAlign w:val="center"/>
          </w:tcPr>
          <w:p w14:paraId="791D9D06">
            <w:pPr>
              <w:pStyle w:val="133"/>
            </w:pPr>
            <w:r>
              <w:rPr>
                <w:rFonts w:hint="eastAsia"/>
              </w:rPr>
              <w:t>150</w:t>
            </w:r>
          </w:p>
        </w:tc>
        <w:tc>
          <w:tcPr>
            <w:tcW w:w="635" w:type="pct"/>
            <w:vAlign w:val="center"/>
          </w:tcPr>
          <w:p w14:paraId="001DED71">
            <w:pPr>
              <w:pStyle w:val="133"/>
            </w:pPr>
            <w:r>
              <w:rPr>
                <w:rFonts w:hint="eastAsia"/>
              </w:rPr>
              <w:t>25</w:t>
            </w:r>
          </w:p>
        </w:tc>
        <w:tc>
          <w:tcPr>
            <w:tcW w:w="635" w:type="pct"/>
            <w:vAlign w:val="center"/>
          </w:tcPr>
          <w:p w14:paraId="172AAEA4">
            <w:pPr>
              <w:pStyle w:val="133"/>
            </w:pPr>
            <w:r>
              <w:rPr>
                <w:rFonts w:hint="eastAsia"/>
              </w:rPr>
              <w:t>0.3</w:t>
            </w:r>
          </w:p>
        </w:tc>
        <w:tc>
          <w:tcPr>
            <w:tcW w:w="635" w:type="pct"/>
            <w:vAlign w:val="center"/>
          </w:tcPr>
          <w:p w14:paraId="5B7A91F5">
            <w:pPr>
              <w:pStyle w:val="133"/>
            </w:pPr>
            <w:r>
              <w:rPr>
                <w:rFonts w:hint="eastAsia"/>
              </w:rPr>
              <w:t>0.2</w:t>
            </w:r>
          </w:p>
        </w:tc>
        <w:tc>
          <w:tcPr>
            <w:tcW w:w="635" w:type="pct"/>
            <w:vAlign w:val="center"/>
          </w:tcPr>
          <w:p w14:paraId="083E5E0C">
            <w:pPr>
              <w:pStyle w:val="133"/>
            </w:pPr>
            <w:r>
              <w:rPr>
                <w:rFonts w:hint="eastAsia"/>
              </w:rPr>
              <w:t>2.5</w:t>
            </w:r>
          </w:p>
        </w:tc>
        <w:tc>
          <w:tcPr>
            <w:tcW w:w="555" w:type="pct"/>
            <w:vAlign w:val="center"/>
          </w:tcPr>
          <w:p w14:paraId="5BAAA995">
            <w:pPr>
              <w:pStyle w:val="133"/>
            </w:pPr>
            <w:r>
              <w:rPr>
                <w:rFonts w:hint="eastAsia"/>
              </w:rPr>
              <w:t>70</w:t>
            </w:r>
          </w:p>
        </w:tc>
        <w:tc>
          <w:tcPr>
            <w:tcW w:w="566" w:type="pct"/>
            <w:vAlign w:val="center"/>
          </w:tcPr>
          <w:p w14:paraId="3D388DF3">
            <w:pPr>
              <w:pStyle w:val="133"/>
            </w:pPr>
            <w:r>
              <w:rPr>
                <w:rFonts w:hint="eastAsia"/>
              </w:rPr>
              <w:t>6~9</w:t>
            </w:r>
          </w:p>
        </w:tc>
      </w:tr>
      <w:tr w14:paraId="5D3DF8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pct"/>
            <w:vAlign w:val="center"/>
          </w:tcPr>
          <w:p w14:paraId="4E5B52EB">
            <w:pPr>
              <w:pStyle w:val="133"/>
            </w:pPr>
            <w:r>
              <w:rPr>
                <w:rFonts w:hint="eastAsia"/>
              </w:rPr>
              <w:t>是否达标</w:t>
            </w:r>
          </w:p>
        </w:tc>
        <w:tc>
          <w:tcPr>
            <w:tcW w:w="616" w:type="pct"/>
            <w:vAlign w:val="center"/>
          </w:tcPr>
          <w:p w14:paraId="2088DCDC">
            <w:pPr>
              <w:pStyle w:val="133"/>
            </w:pPr>
            <w:r>
              <w:rPr>
                <w:rFonts w:hint="eastAsia"/>
              </w:rPr>
              <w:t>是</w:t>
            </w:r>
          </w:p>
        </w:tc>
        <w:tc>
          <w:tcPr>
            <w:tcW w:w="635" w:type="pct"/>
            <w:vAlign w:val="center"/>
          </w:tcPr>
          <w:p w14:paraId="3D8DB572">
            <w:pPr>
              <w:pStyle w:val="133"/>
            </w:pPr>
            <w:r>
              <w:rPr>
                <w:rFonts w:hint="eastAsia"/>
              </w:rPr>
              <w:t>是</w:t>
            </w:r>
          </w:p>
        </w:tc>
        <w:tc>
          <w:tcPr>
            <w:tcW w:w="635" w:type="pct"/>
            <w:vAlign w:val="center"/>
          </w:tcPr>
          <w:p w14:paraId="0076A1DF">
            <w:pPr>
              <w:pStyle w:val="133"/>
            </w:pPr>
            <w:r>
              <w:rPr>
                <w:rFonts w:hint="eastAsia"/>
              </w:rPr>
              <w:t>是</w:t>
            </w:r>
          </w:p>
        </w:tc>
        <w:tc>
          <w:tcPr>
            <w:tcW w:w="635" w:type="pct"/>
            <w:vAlign w:val="center"/>
          </w:tcPr>
          <w:p w14:paraId="622C981D">
            <w:pPr>
              <w:pStyle w:val="133"/>
            </w:pPr>
            <w:r>
              <w:rPr>
                <w:rFonts w:hint="eastAsia"/>
              </w:rPr>
              <w:t>是</w:t>
            </w:r>
          </w:p>
        </w:tc>
        <w:tc>
          <w:tcPr>
            <w:tcW w:w="635" w:type="pct"/>
            <w:vAlign w:val="center"/>
          </w:tcPr>
          <w:p w14:paraId="63D481E7">
            <w:pPr>
              <w:pStyle w:val="133"/>
            </w:pPr>
            <w:r>
              <w:rPr>
                <w:rFonts w:hint="eastAsia"/>
              </w:rPr>
              <w:t>是</w:t>
            </w:r>
          </w:p>
        </w:tc>
        <w:tc>
          <w:tcPr>
            <w:tcW w:w="555" w:type="pct"/>
            <w:vAlign w:val="center"/>
          </w:tcPr>
          <w:p w14:paraId="6A885966">
            <w:pPr>
              <w:pStyle w:val="133"/>
            </w:pPr>
            <w:r>
              <w:rPr>
                <w:rFonts w:hint="eastAsia"/>
              </w:rPr>
              <w:t>是</w:t>
            </w:r>
          </w:p>
        </w:tc>
        <w:tc>
          <w:tcPr>
            <w:tcW w:w="566" w:type="pct"/>
            <w:vAlign w:val="center"/>
          </w:tcPr>
          <w:p w14:paraId="0BDAA022">
            <w:pPr>
              <w:pStyle w:val="133"/>
            </w:pPr>
            <w:r>
              <w:rPr>
                <w:rFonts w:hint="eastAsia"/>
              </w:rPr>
              <w:t>是</w:t>
            </w:r>
          </w:p>
        </w:tc>
      </w:tr>
    </w:tbl>
    <w:p w14:paraId="2D6FDFF6">
      <w:pPr>
        <w:pStyle w:val="117"/>
        <w:ind w:firstLine="0" w:firstLineChars="0"/>
        <w:jc w:val="center"/>
        <w:rPr>
          <w:b/>
        </w:rPr>
      </w:pPr>
    </w:p>
    <w:p w14:paraId="37EFB7F6">
      <w:pPr>
        <w:pStyle w:val="117"/>
        <w:ind w:firstLine="0" w:firstLineChars="0"/>
        <w:jc w:val="center"/>
        <w:rPr>
          <w:b/>
        </w:rPr>
      </w:pPr>
      <w:r>
        <w:rPr>
          <w:rFonts w:hint="eastAsia"/>
          <w:b/>
        </w:rPr>
        <w:t>表</w:t>
      </w:r>
      <w:r>
        <w:rPr>
          <w:b/>
        </w:rPr>
        <w:t>2.</w:t>
      </w:r>
      <w:r>
        <w:rPr>
          <w:rFonts w:hint="eastAsia"/>
          <w:b/>
        </w:rPr>
        <w:t>3</w:t>
      </w:r>
      <w:r>
        <w:rPr>
          <w:b/>
        </w:rPr>
        <w:t>-</w:t>
      </w:r>
      <w:r>
        <w:rPr>
          <w:rFonts w:hint="eastAsia"/>
          <w:b/>
        </w:rPr>
        <w:t>6</w:t>
      </w:r>
      <w:r>
        <w:rPr>
          <w:b/>
        </w:rPr>
        <w:t xml:space="preserve"> </w:t>
      </w:r>
      <w:r>
        <w:rPr>
          <w:rFonts w:hint="eastAsia"/>
          <w:b/>
        </w:rPr>
        <w:t>生活污水处理站出水水质监测结果一览表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05"/>
        <w:gridCol w:w="1228"/>
        <w:gridCol w:w="1012"/>
        <w:gridCol w:w="1288"/>
        <w:gridCol w:w="1738"/>
        <w:gridCol w:w="904"/>
        <w:gridCol w:w="852"/>
        <w:gridCol w:w="878"/>
      </w:tblGrid>
      <w:tr w14:paraId="68A2FE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755" w:type="pct"/>
            <w:tcBorders>
              <w:top w:val="single" w:color="000000" w:sz="12" w:space="0"/>
              <w:left w:val="single" w:color="000000" w:sz="12" w:space="0"/>
              <w:bottom w:val="single" w:color="000000" w:sz="4" w:space="0"/>
              <w:right w:val="single" w:color="000000" w:sz="4" w:space="0"/>
            </w:tcBorders>
            <w:vAlign w:val="center"/>
          </w:tcPr>
          <w:p w14:paraId="027118CF">
            <w:pPr>
              <w:pStyle w:val="117"/>
              <w:ind w:firstLine="0" w:firstLineChars="0"/>
              <w:jc w:val="center"/>
              <w:rPr>
                <w:b/>
                <w:bCs/>
                <w:sz w:val="21"/>
                <w:szCs w:val="21"/>
              </w:rPr>
            </w:pPr>
            <w:r>
              <w:rPr>
                <w:rFonts w:hint="eastAsia"/>
                <w:b/>
                <w:bCs/>
                <w:sz w:val="21"/>
                <w:szCs w:val="21"/>
              </w:rPr>
              <w:t>污染物</w:t>
            </w:r>
          </w:p>
        </w:tc>
        <w:tc>
          <w:tcPr>
            <w:tcW w:w="660" w:type="pct"/>
            <w:tcBorders>
              <w:top w:val="single" w:color="000000" w:sz="12" w:space="0"/>
              <w:left w:val="single" w:color="000000" w:sz="4" w:space="0"/>
              <w:bottom w:val="single" w:color="000000" w:sz="4" w:space="0"/>
              <w:right w:val="single" w:color="000000" w:sz="4" w:space="0"/>
            </w:tcBorders>
            <w:vAlign w:val="center"/>
          </w:tcPr>
          <w:p w14:paraId="47D178C4">
            <w:pPr>
              <w:pStyle w:val="117"/>
              <w:ind w:firstLine="0" w:firstLineChars="0"/>
              <w:jc w:val="center"/>
              <w:rPr>
                <w:b/>
                <w:bCs/>
                <w:sz w:val="21"/>
                <w:szCs w:val="21"/>
              </w:rPr>
            </w:pPr>
            <w:r>
              <w:rPr>
                <w:b/>
                <w:bCs/>
                <w:sz w:val="21"/>
                <w:szCs w:val="21"/>
              </w:rPr>
              <w:t>COD</w:t>
            </w:r>
          </w:p>
        </w:tc>
        <w:tc>
          <w:tcPr>
            <w:tcW w:w="544" w:type="pct"/>
            <w:tcBorders>
              <w:top w:val="single" w:color="000000" w:sz="12" w:space="0"/>
              <w:left w:val="single" w:color="000000" w:sz="4" w:space="0"/>
              <w:bottom w:val="single" w:color="000000" w:sz="4" w:space="0"/>
              <w:right w:val="single" w:color="000000" w:sz="4" w:space="0"/>
            </w:tcBorders>
            <w:vAlign w:val="center"/>
          </w:tcPr>
          <w:p w14:paraId="4A12E08E">
            <w:pPr>
              <w:pStyle w:val="117"/>
              <w:ind w:firstLine="0" w:firstLineChars="0"/>
              <w:jc w:val="center"/>
              <w:rPr>
                <w:b/>
                <w:bCs/>
                <w:sz w:val="21"/>
                <w:szCs w:val="21"/>
              </w:rPr>
            </w:pPr>
            <w:r>
              <w:rPr>
                <w:rFonts w:hint="eastAsia"/>
                <w:b/>
                <w:bCs/>
                <w:sz w:val="21"/>
                <w:szCs w:val="21"/>
              </w:rPr>
              <w:t>氨氮</w:t>
            </w:r>
          </w:p>
        </w:tc>
        <w:tc>
          <w:tcPr>
            <w:tcW w:w="692" w:type="pct"/>
            <w:tcBorders>
              <w:top w:val="single" w:color="000000" w:sz="12" w:space="0"/>
              <w:left w:val="single" w:color="000000" w:sz="4" w:space="0"/>
              <w:bottom w:val="single" w:color="000000" w:sz="4" w:space="0"/>
              <w:right w:val="single" w:color="000000" w:sz="4" w:space="0"/>
            </w:tcBorders>
            <w:vAlign w:val="center"/>
          </w:tcPr>
          <w:p w14:paraId="513D80E6">
            <w:pPr>
              <w:pStyle w:val="117"/>
              <w:ind w:firstLine="0" w:firstLineChars="0"/>
              <w:jc w:val="center"/>
              <w:rPr>
                <w:b/>
                <w:bCs/>
                <w:sz w:val="21"/>
                <w:szCs w:val="21"/>
              </w:rPr>
            </w:pPr>
            <w:r>
              <w:rPr>
                <w:rFonts w:hint="eastAsia"/>
                <w:b/>
                <w:bCs/>
                <w:sz w:val="21"/>
                <w:szCs w:val="21"/>
              </w:rPr>
              <w:t>溶解氧</w:t>
            </w:r>
          </w:p>
        </w:tc>
        <w:tc>
          <w:tcPr>
            <w:tcW w:w="934" w:type="pct"/>
            <w:tcBorders>
              <w:top w:val="single" w:color="000000" w:sz="12" w:space="0"/>
              <w:left w:val="single" w:color="000000" w:sz="4" w:space="0"/>
              <w:bottom w:val="single" w:color="000000" w:sz="4" w:space="0"/>
              <w:right w:val="single" w:color="000000" w:sz="4" w:space="0"/>
            </w:tcBorders>
            <w:vAlign w:val="center"/>
          </w:tcPr>
          <w:p w14:paraId="3F86E52D">
            <w:pPr>
              <w:pStyle w:val="117"/>
              <w:ind w:firstLine="0" w:firstLineChars="0"/>
              <w:jc w:val="center"/>
              <w:rPr>
                <w:b/>
                <w:bCs/>
                <w:sz w:val="21"/>
                <w:szCs w:val="21"/>
              </w:rPr>
            </w:pPr>
            <w:r>
              <w:rPr>
                <w:rFonts w:hint="eastAsia"/>
                <w:b/>
                <w:bCs/>
                <w:sz w:val="21"/>
                <w:szCs w:val="21"/>
              </w:rPr>
              <w:t>总大肠菌数</w:t>
            </w:r>
          </w:p>
        </w:tc>
        <w:tc>
          <w:tcPr>
            <w:tcW w:w="486" w:type="pct"/>
            <w:tcBorders>
              <w:top w:val="single" w:color="000000" w:sz="12" w:space="0"/>
              <w:left w:val="single" w:color="000000" w:sz="4" w:space="0"/>
              <w:bottom w:val="single" w:color="000000" w:sz="4" w:space="0"/>
              <w:right w:val="single" w:color="000000" w:sz="4" w:space="0"/>
            </w:tcBorders>
            <w:vAlign w:val="center"/>
          </w:tcPr>
          <w:p w14:paraId="3512BF39">
            <w:pPr>
              <w:pStyle w:val="117"/>
              <w:ind w:firstLine="0" w:firstLineChars="0"/>
              <w:jc w:val="center"/>
              <w:rPr>
                <w:b/>
                <w:bCs/>
                <w:sz w:val="21"/>
                <w:szCs w:val="21"/>
              </w:rPr>
            </w:pPr>
            <w:r>
              <w:rPr>
                <w:b/>
                <w:bCs/>
                <w:sz w:val="21"/>
                <w:szCs w:val="21"/>
              </w:rPr>
              <w:t>BOD</w:t>
            </w:r>
            <w:r>
              <w:rPr>
                <w:b/>
                <w:bCs/>
                <w:sz w:val="21"/>
                <w:szCs w:val="21"/>
                <w:vertAlign w:val="subscript"/>
              </w:rPr>
              <w:t>5</w:t>
            </w:r>
          </w:p>
        </w:tc>
        <w:tc>
          <w:tcPr>
            <w:tcW w:w="458" w:type="pct"/>
            <w:tcBorders>
              <w:top w:val="single" w:color="000000" w:sz="12" w:space="0"/>
              <w:left w:val="single" w:color="000000" w:sz="4" w:space="0"/>
              <w:bottom w:val="single" w:color="000000" w:sz="4" w:space="0"/>
              <w:right w:val="single" w:color="000000" w:sz="4" w:space="0"/>
            </w:tcBorders>
            <w:vAlign w:val="center"/>
          </w:tcPr>
          <w:p w14:paraId="2B3EB950">
            <w:pPr>
              <w:pStyle w:val="117"/>
              <w:ind w:firstLine="0" w:firstLineChars="0"/>
              <w:jc w:val="center"/>
              <w:rPr>
                <w:b/>
                <w:bCs/>
                <w:sz w:val="21"/>
                <w:szCs w:val="21"/>
              </w:rPr>
            </w:pPr>
            <w:r>
              <w:rPr>
                <w:rFonts w:hint="eastAsia"/>
                <w:b/>
                <w:bCs/>
                <w:sz w:val="21"/>
                <w:szCs w:val="21"/>
              </w:rPr>
              <w:t>色度</w:t>
            </w:r>
          </w:p>
        </w:tc>
        <w:tc>
          <w:tcPr>
            <w:tcW w:w="472" w:type="pct"/>
            <w:tcBorders>
              <w:top w:val="single" w:color="000000" w:sz="12" w:space="0"/>
              <w:left w:val="single" w:color="000000" w:sz="4" w:space="0"/>
              <w:bottom w:val="single" w:color="000000" w:sz="4" w:space="0"/>
              <w:right w:val="single" w:color="000000" w:sz="12" w:space="0"/>
            </w:tcBorders>
            <w:vAlign w:val="center"/>
          </w:tcPr>
          <w:p w14:paraId="2057F01B">
            <w:pPr>
              <w:pStyle w:val="117"/>
              <w:ind w:firstLine="0" w:firstLineChars="0"/>
              <w:jc w:val="center"/>
              <w:rPr>
                <w:b/>
                <w:bCs/>
                <w:sz w:val="21"/>
                <w:szCs w:val="21"/>
              </w:rPr>
            </w:pPr>
            <w:r>
              <w:rPr>
                <w:b/>
                <w:bCs/>
                <w:sz w:val="21"/>
                <w:szCs w:val="21"/>
              </w:rPr>
              <w:t>pH</w:t>
            </w:r>
          </w:p>
        </w:tc>
      </w:tr>
      <w:tr w14:paraId="1D6B4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55" w:type="pct"/>
            <w:tcBorders>
              <w:top w:val="single" w:color="000000" w:sz="4" w:space="0"/>
              <w:left w:val="single" w:color="000000" w:sz="12" w:space="0"/>
              <w:bottom w:val="single" w:color="000000" w:sz="4" w:space="0"/>
              <w:right w:val="single" w:color="000000" w:sz="4" w:space="0"/>
            </w:tcBorders>
            <w:vAlign w:val="center"/>
          </w:tcPr>
          <w:p w14:paraId="500CFACF">
            <w:pPr>
              <w:pStyle w:val="117"/>
              <w:ind w:firstLine="0" w:firstLineChars="0"/>
              <w:jc w:val="center"/>
              <w:rPr>
                <w:sz w:val="21"/>
                <w:szCs w:val="21"/>
              </w:rPr>
            </w:pPr>
            <w:r>
              <w:rPr>
                <w:rFonts w:hint="eastAsia"/>
                <w:sz w:val="21"/>
                <w:szCs w:val="21"/>
              </w:rPr>
              <w:t>出水</w:t>
            </w:r>
          </w:p>
        </w:tc>
        <w:tc>
          <w:tcPr>
            <w:tcW w:w="660" w:type="pct"/>
            <w:tcBorders>
              <w:top w:val="single" w:color="000000" w:sz="4" w:space="0"/>
              <w:left w:val="single" w:color="000000" w:sz="4" w:space="0"/>
              <w:bottom w:val="single" w:color="000000" w:sz="4" w:space="0"/>
              <w:right w:val="single" w:color="000000" w:sz="4" w:space="0"/>
            </w:tcBorders>
            <w:vAlign w:val="center"/>
          </w:tcPr>
          <w:p w14:paraId="1CFEB3E3">
            <w:pPr>
              <w:pStyle w:val="117"/>
              <w:ind w:firstLine="0" w:firstLineChars="0"/>
              <w:jc w:val="center"/>
              <w:rPr>
                <w:sz w:val="21"/>
                <w:szCs w:val="21"/>
              </w:rPr>
            </w:pPr>
            <w:r>
              <w:rPr>
                <w:sz w:val="21"/>
                <w:szCs w:val="21"/>
              </w:rPr>
              <w:t>43</w:t>
            </w:r>
          </w:p>
        </w:tc>
        <w:tc>
          <w:tcPr>
            <w:tcW w:w="544" w:type="pct"/>
            <w:tcBorders>
              <w:top w:val="single" w:color="000000" w:sz="4" w:space="0"/>
              <w:left w:val="single" w:color="000000" w:sz="4" w:space="0"/>
              <w:bottom w:val="single" w:color="000000" w:sz="4" w:space="0"/>
              <w:right w:val="single" w:color="000000" w:sz="4" w:space="0"/>
            </w:tcBorders>
            <w:vAlign w:val="center"/>
          </w:tcPr>
          <w:p w14:paraId="7247D963">
            <w:pPr>
              <w:pStyle w:val="117"/>
              <w:ind w:firstLine="0" w:firstLineChars="0"/>
              <w:jc w:val="center"/>
              <w:rPr>
                <w:sz w:val="21"/>
                <w:szCs w:val="21"/>
              </w:rPr>
            </w:pPr>
            <w:r>
              <w:rPr>
                <w:sz w:val="21"/>
                <w:szCs w:val="21"/>
              </w:rPr>
              <w:t>3.64</w:t>
            </w:r>
          </w:p>
        </w:tc>
        <w:tc>
          <w:tcPr>
            <w:tcW w:w="692" w:type="pct"/>
            <w:tcBorders>
              <w:top w:val="single" w:color="000000" w:sz="4" w:space="0"/>
              <w:left w:val="single" w:color="000000" w:sz="4" w:space="0"/>
              <w:bottom w:val="single" w:color="000000" w:sz="4" w:space="0"/>
              <w:right w:val="single" w:color="000000" w:sz="4" w:space="0"/>
            </w:tcBorders>
            <w:vAlign w:val="center"/>
          </w:tcPr>
          <w:p w14:paraId="496BA792">
            <w:pPr>
              <w:pStyle w:val="117"/>
              <w:ind w:firstLine="0" w:firstLineChars="0"/>
              <w:jc w:val="center"/>
              <w:rPr>
                <w:sz w:val="21"/>
                <w:szCs w:val="21"/>
              </w:rPr>
            </w:pPr>
            <w:r>
              <w:rPr>
                <w:sz w:val="21"/>
                <w:szCs w:val="21"/>
              </w:rPr>
              <w:t>0.04</w:t>
            </w:r>
          </w:p>
        </w:tc>
        <w:tc>
          <w:tcPr>
            <w:tcW w:w="934" w:type="pct"/>
            <w:tcBorders>
              <w:top w:val="single" w:color="000000" w:sz="4" w:space="0"/>
              <w:left w:val="single" w:color="000000" w:sz="4" w:space="0"/>
              <w:bottom w:val="single" w:color="000000" w:sz="4" w:space="0"/>
              <w:right w:val="single" w:color="000000" w:sz="4" w:space="0"/>
            </w:tcBorders>
            <w:vAlign w:val="center"/>
          </w:tcPr>
          <w:p w14:paraId="42086893">
            <w:pPr>
              <w:pStyle w:val="117"/>
              <w:ind w:firstLine="0" w:firstLineChars="0"/>
              <w:jc w:val="center"/>
              <w:rPr>
                <w:sz w:val="21"/>
                <w:szCs w:val="21"/>
              </w:rPr>
            </w:pPr>
            <w:r>
              <w:rPr>
                <w:sz w:val="21"/>
                <w:szCs w:val="21"/>
              </w:rPr>
              <w:t>1700</w:t>
            </w:r>
          </w:p>
        </w:tc>
        <w:tc>
          <w:tcPr>
            <w:tcW w:w="486" w:type="pct"/>
            <w:tcBorders>
              <w:top w:val="single" w:color="000000" w:sz="4" w:space="0"/>
              <w:left w:val="single" w:color="000000" w:sz="4" w:space="0"/>
              <w:bottom w:val="single" w:color="000000" w:sz="4" w:space="0"/>
              <w:right w:val="single" w:color="000000" w:sz="4" w:space="0"/>
            </w:tcBorders>
            <w:vAlign w:val="center"/>
          </w:tcPr>
          <w:p w14:paraId="57A0B5C1">
            <w:pPr>
              <w:pStyle w:val="117"/>
              <w:ind w:firstLine="0" w:firstLineChars="0"/>
              <w:jc w:val="center"/>
              <w:rPr>
                <w:sz w:val="21"/>
                <w:szCs w:val="21"/>
              </w:rPr>
            </w:pPr>
            <w:r>
              <w:rPr>
                <w:sz w:val="21"/>
                <w:szCs w:val="21"/>
              </w:rPr>
              <w:t>15.2</w:t>
            </w:r>
          </w:p>
        </w:tc>
        <w:tc>
          <w:tcPr>
            <w:tcW w:w="458" w:type="pct"/>
            <w:tcBorders>
              <w:top w:val="single" w:color="000000" w:sz="4" w:space="0"/>
              <w:left w:val="single" w:color="000000" w:sz="4" w:space="0"/>
              <w:bottom w:val="single" w:color="000000" w:sz="4" w:space="0"/>
              <w:right w:val="single" w:color="000000" w:sz="4" w:space="0"/>
            </w:tcBorders>
            <w:vAlign w:val="center"/>
          </w:tcPr>
          <w:p w14:paraId="4B698B99">
            <w:pPr>
              <w:pStyle w:val="117"/>
              <w:ind w:firstLine="0" w:firstLineChars="0"/>
              <w:jc w:val="center"/>
              <w:rPr>
                <w:sz w:val="21"/>
                <w:szCs w:val="21"/>
              </w:rPr>
            </w:pPr>
            <w:r>
              <w:rPr>
                <w:sz w:val="21"/>
                <w:szCs w:val="21"/>
              </w:rPr>
              <w:t>6</w:t>
            </w:r>
          </w:p>
        </w:tc>
        <w:tc>
          <w:tcPr>
            <w:tcW w:w="472" w:type="pct"/>
            <w:tcBorders>
              <w:top w:val="single" w:color="000000" w:sz="4" w:space="0"/>
              <w:left w:val="single" w:color="000000" w:sz="4" w:space="0"/>
              <w:bottom w:val="single" w:color="000000" w:sz="4" w:space="0"/>
              <w:right w:val="single" w:color="000000" w:sz="12" w:space="0"/>
            </w:tcBorders>
            <w:vAlign w:val="center"/>
          </w:tcPr>
          <w:p w14:paraId="2B1D484C">
            <w:pPr>
              <w:pStyle w:val="117"/>
              <w:ind w:firstLine="0" w:firstLineChars="0"/>
              <w:jc w:val="center"/>
              <w:rPr>
                <w:sz w:val="21"/>
                <w:szCs w:val="21"/>
              </w:rPr>
            </w:pPr>
            <w:r>
              <w:rPr>
                <w:sz w:val="21"/>
                <w:szCs w:val="21"/>
              </w:rPr>
              <w:t>7.4</w:t>
            </w:r>
          </w:p>
        </w:tc>
      </w:tr>
      <w:tr w14:paraId="2DA162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55" w:type="pct"/>
            <w:tcBorders>
              <w:top w:val="single" w:color="000000" w:sz="4" w:space="0"/>
              <w:left w:val="single" w:color="000000" w:sz="12" w:space="0"/>
              <w:bottom w:val="single" w:color="000000" w:sz="4" w:space="0"/>
              <w:right w:val="single" w:color="000000" w:sz="4" w:space="0"/>
            </w:tcBorders>
            <w:vAlign w:val="center"/>
          </w:tcPr>
          <w:p w14:paraId="3842EAF0">
            <w:pPr>
              <w:pStyle w:val="117"/>
              <w:ind w:firstLine="0" w:firstLineChars="0"/>
              <w:jc w:val="center"/>
              <w:rPr>
                <w:sz w:val="21"/>
                <w:szCs w:val="21"/>
              </w:rPr>
            </w:pPr>
            <w:r>
              <w:rPr>
                <w:rFonts w:hint="eastAsia"/>
                <w:sz w:val="21"/>
                <w:szCs w:val="21"/>
              </w:rPr>
              <w:t>标准限值</w:t>
            </w:r>
          </w:p>
        </w:tc>
        <w:tc>
          <w:tcPr>
            <w:tcW w:w="660" w:type="pct"/>
            <w:tcBorders>
              <w:top w:val="single" w:color="000000" w:sz="4" w:space="0"/>
              <w:left w:val="single" w:color="000000" w:sz="4" w:space="0"/>
              <w:bottom w:val="single" w:color="000000" w:sz="4" w:space="0"/>
              <w:right w:val="single" w:color="000000" w:sz="4" w:space="0"/>
            </w:tcBorders>
            <w:vAlign w:val="center"/>
          </w:tcPr>
          <w:p w14:paraId="7A3BD0C7">
            <w:pPr>
              <w:pStyle w:val="117"/>
              <w:ind w:firstLine="0" w:firstLineChars="0"/>
              <w:jc w:val="center"/>
              <w:rPr>
                <w:sz w:val="21"/>
                <w:szCs w:val="21"/>
              </w:rPr>
            </w:pPr>
            <w:r>
              <w:rPr>
                <w:sz w:val="21"/>
                <w:szCs w:val="21"/>
              </w:rPr>
              <w:t>150</w:t>
            </w:r>
          </w:p>
        </w:tc>
        <w:tc>
          <w:tcPr>
            <w:tcW w:w="544" w:type="pct"/>
            <w:tcBorders>
              <w:top w:val="single" w:color="000000" w:sz="4" w:space="0"/>
              <w:left w:val="single" w:color="000000" w:sz="4" w:space="0"/>
              <w:bottom w:val="single" w:color="000000" w:sz="4" w:space="0"/>
              <w:right w:val="single" w:color="000000" w:sz="4" w:space="0"/>
            </w:tcBorders>
            <w:vAlign w:val="center"/>
          </w:tcPr>
          <w:p w14:paraId="63C54918">
            <w:pPr>
              <w:pStyle w:val="117"/>
              <w:ind w:firstLine="0" w:firstLineChars="0"/>
              <w:jc w:val="center"/>
              <w:rPr>
                <w:sz w:val="21"/>
                <w:szCs w:val="21"/>
              </w:rPr>
            </w:pPr>
            <w:r>
              <w:rPr>
                <w:sz w:val="21"/>
                <w:szCs w:val="21"/>
              </w:rPr>
              <w:t>25</w:t>
            </w:r>
          </w:p>
        </w:tc>
        <w:tc>
          <w:tcPr>
            <w:tcW w:w="692" w:type="pct"/>
            <w:tcBorders>
              <w:top w:val="single" w:color="000000" w:sz="4" w:space="0"/>
              <w:left w:val="single" w:color="000000" w:sz="4" w:space="0"/>
              <w:bottom w:val="single" w:color="000000" w:sz="4" w:space="0"/>
              <w:right w:val="single" w:color="000000" w:sz="4" w:space="0"/>
            </w:tcBorders>
            <w:vAlign w:val="center"/>
          </w:tcPr>
          <w:p w14:paraId="2291FFA7">
            <w:pPr>
              <w:pStyle w:val="117"/>
              <w:ind w:firstLine="0" w:firstLineChars="0"/>
              <w:jc w:val="center"/>
              <w:rPr>
                <w:sz w:val="21"/>
                <w:szCs w:val="21"/>
              </w:rPr>
            </w:pPr>
            <w:r>
              <w:rPr>
                <w:sz w:val="21"/>
                <w:szCs w:val="21"/>
              </w:rPr>
              <w:t>0.3</w:t>
            </w:r>
          </w:p>
        </w:tc>
        <w:tc>
          <w:tcPr>
            <w:tcW w:w="934" w:type="pct"/>
            <w:tcBorders>
              <w:top w:val="single" w:color="000000" w:sz="4" w:space="0"/>
              <w:left w:val="single" w:color="000000" w:sz="4" w:space="0"/>
              <w:bottom w:val="single" w:color="000000" w:sz="4" w:space="0"/>
              <w:right w:val="single" w:color="000000" w:sz="4" w:space="0"/>
            </w:tcBorders>
            <w:vAlign w:val="center"/>
          </w:tcPr>
          <w:p w14:paraId="56096CA7">
            <w:pPr>
              <w:pStyle w:val="117"/>
              <w:ind w:firstLine="0" w:firstLineChars="0"/>
              <w:jc w:val="center"/>
              <w:rPr>
                <w:sz w:val="21"/>
                <w:szCs w:val="21"/>
              </w:rPr>
            </w:pPr>
            <w:r>
              <w:rPr>
                <w:sz w:val="21"/>
                <w:szCs w:val="21"/>
              </w:rPr>
              <w:t>10000</w:t>
            </w:r>
          </w:p>
        </w:tc>
        <w:tc>
          <w:tcPr>
            <w:tcW w:w="486" w:type="pct"/>
            <w:tcBorders>
              <w:top w:val="single" w:color="000000" w:sz="4" w:space="0"/>
              <w:left w:val="single" w:color="000000" w:sz="4" w:space="0"/>
              <w:bottom w:val="single" w:color="000000" w:sz="4" w:space="0"/>
              <w:right w:val="single" w:color="000000" w:sz="4" w:space="0"/>
            </w:tcBorders>
            <w:vAlign w:val="center"/>
          </w:tcPr>
          <w:p w14:paraId="429A2B58">
            <w:pPr>
              <w:pStyle w:val="117"/>
              <w:ind w:firstLine="0" w:firstLineChars="0"/>
              <w:jc w:val="center"/>
              <w:rPr>
                <w:sz w:val="21"/>
                <w:szCs w:val="21"/>
              </w:rPr>
            </w:pPr>
            <w:r>
              <w:rPr>
                <w:sz w:val="21"/>
                <w:szCs w:val="21"/>
              </w:rPr>
              <w:t>25</w:t>
            </w:r>
          </w:p>
        </w:tc>
        <w:tc>
          <w:tcPr>
            <w:tcW w:w="458" w:type="pct"/>
            <w:tcBorders>
              <w:top w:val="single" w:color="000000" w:sz="4" w:space="0"/>
              <w:left w:val="single" w:color="000000" w:sz="4" w:space="0"/>
              <w:bottom w:val="single" w:color="000000" w:sz="4" w:space="0"/>
              <w:right w:val="single" w:color="000000" w:sz="4" w:space="0"/>
            </w:tcBorders>
            <w:vAlign w:val="center"/>
          </w:tcPr>
          <w:p w14:paraId="2F7D9F4B">
            <w:pPr>
              <w:pStyle w:val="117"/>
              <w:ind w:firstLine="0" w:firstLineChars="0"/>
              <w:jc w:val="center"/>
              <w:rPr>
                <w:sz w:val="21"/>
                <w:szCs w:val="21"/>
              </w:rPr>
            </w:pPr>
            <w:r>
              <w:rPr>
                <w:sz w:val="21"/>
                <w:szCs w:val="21"/>
              </w:rPr>
              <w:t>20</w:t>
            </w:r>
          </w:p>
        </w:tc>
        <w:tc>
          <w:tcPr>
            <w:tcW w:w="472" w:type="pct"/>
            <w:tcBorders>
              <w:top w:val="single" w:color="000000" w:sz="4" w:space="0"/>
              <w:left w:val="single" w:color="000000" w:sz="4" w:space="0"/>
              <w:bottom w:val="single" w:color="000000" w:sz="4" w:space="0"/>
              <w:right w:val="single" w:color="000000" w:sz="12" w:space="0"/>
            </w:tcBorders>
            <w:vAlign w:val="center"/>
          </w:tcPr>
          <w:p w14:paraId="0154CF4D">
            <w:pPr>
              <w:pStyle w:val="117"/>
              <w:ind w:firstLine="0" w:firstLineChars="0"/>
              <w:jc w:val="center"/>
              <w:rPr>
                <w:sz w:val="21"/>
                <w:szCs w:val="21"/>
              </w:rPr>
            </w:pPr>
            <w:r>
              <w:rPr>
                <w:sz w:val="21"/>
                <w:szCs w:val="21"/>
              </w:rPr>
              <w:t>6~9</w:t>
            </w:r>
          </w:p>
        </w:tc>
      </w:tr>
      <w:tr w14:paraId="62DB0A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755" w:type="pct"/>
            <w:tcBorders>
              <w:top w:val="single" w:color="000000" w:sz="4" w:space="0"/>
              <w:left w:val="single" w:color="000000" w:sz="12" w:space="0"/>
              <w:bottom w:val="single" w:color="000000" w:sz="12" w:space="0"/>
              <w:right w:val="single" w:color="000000" w:sz="4" w:space="0"/>
            </w:tcBorders>
            <w:vAlign w:val="center"/>
          </w:tcPr>
          <w:p w14:paraId="234475E5">
            <w:pPr>
              <w:pStyle w:val="117"/>
              <w:ind w:firstLine="0" w:firstLineChars="0"/>
              <w:jc w:val="center"/>
              <w:rPr>
                <w:sz w:val="21"/>
                <w:szCs w:val="21"/>
              </w:rPr>
            </w:pPr>
            <w:r>
              <w:rPr>
                <w:rFonts w:hint="eastAsia"/>
                <w:sz w:val="21"/>
                <w:szCs w:val="21"/>
              </w:rPr>
              <w:t>是否达标</w:t>
            </w:r>
          </w:p>
        </w:tc>
        <w:tc>
          <w:tcPr>
            <w:tcW w:w="660" w:type="pct"/>
            <w:tcBorders>
              <w:top w:val="single" w:color="000000" w:sz="4" w:space="0"/>
              <w:left w:val="single" w:color="000000" w:sz="4" w:space="0"/>
              <w:bottom w:val="single" w:color="000000" w:sz="12" w:space="0"/>
              <w:right w:val="single" w:color="000000" w:sz="4" w:space="0"/>
            </w:tcBorders>
            <w:vAlign w:val="center"/>
          </w:tcPr>
          <w:p w14:paraId="146B9C56">
            <w:pPr>
              <w:pStyle w:val="117"/>
              <w:ind w:firstLine="0" w:firstLineChars="0"/>
              <w:jc w:val="center"/>
              <w:rPr>
                <w:sz w:val="21"/>
                <w:szCs w:val="21"/>
              </w:rPr>
            </w:pPr>
            <w:r>
              <w:rPr>
                <w:rFonts w:hint="eastAsia"/>
                <w:sz w:val="21"/>
                <w:szCs w:val="21"/>
              </w:rPr>
              <w:t>是</w:t>
            </w:r>
          </w:p>
        </w:tc>
        <w:tc>
          <w:tcPr>
            <w:tcW w:w="544" w:type="pct"/>
            <w:tcBorders>
              <w:top w:val="single" w:color="000000" w:sz="4" w:space="0"/>
              <w:left w:val="single" w:color="000000" w:sz="4" w:space="0"/>
              <w:bottom w:val="single" w:color="000000" w:sz="12" w:space="0"/>
              <w:right w:val="single" w:color="000000" w:sz="4" w:space="0"/>
            </w:tcBorders>
            <w:vAlign w:val="center"/>
          </w:tcPr>
          <w:p w14:paraId="7F594BAB">
            <w:pPr>
              <w:pStyle w:val="117"/>
              <w:ind w:firstLine="0" w:firstLineChars="0"/>
              <w:jc w:val="center"/>
              <w:rPr>
                <w:sz w:val="21"/>
                <w:szCs w:val="21"/>
              </w:rPr>
            </w:pPr>
            <w:r>
              <w:rPr>
                <w:rFonts w:hint="eastAsia"/>
                <w:sz w:val="21"/>
                <w:szCs w:val="21"/>
              </w:rPr>
              <w:t>是</w:t>
            </w:r>
          </w:p>
        </w:tc>
        <w:tc>
          <w:tcPr>
            <w:tcW w:w="692" w:type="pct"/>
            <w:tcBorders>
              <w:top w:val="single" w:color="000000" w:sz="4" w:space="0"/>
              <w:left w:val="single" w:color="000000" w:sz="4" w:space="0"/>
              <w:bottom w:val="single" w:color="000000" w:sz="12" w:space="0"/>
              <w:right w:val="single" w:color="000000" w:sz="4" w:space="0"/>
            </w:tcBorders>
            <w:vAlign w:val="center"/>
          </w:tcPr>
          <w:p w14:paraId="1FB8DF10">
            <w:pPr>
              <w:pStyle w:val="117"/>
              <w:ind w:firstLine="0" w:firstLineChars="0"/>
              <w:jc w:val="center"/>
              <w:rPr>
                <w:sz w:val="21"/>
                <w:szCs w:val="21"/>
              </w:rPr>
            </w:pPr>
            <w:r>
              <w:rPr>
                <w:rFonts w:hint="eastAsia"/>
                <w:sz w:val="21"/>
                <w:szCs w:val="21"/>
              </w:rPr>
              <w:t>是</w:t>
            </w:r>
          </w:p>
        </w:tc>
        <w:tc>
          <w:tcPr>
            <w:tcW w:w="934" w:type="pct"/>
            <w:tcBorders>
              <w:top w:val="single" w:color="000000" w:sz="4" w:space="0"/>
              <w:left w:val="single" w:color="000000" w:sz="4" w:space="0"/>
              <w:bottom w:val="single" w:color="000000" w:sz="12" w:space="0"/>
              <w:right w:val="single" w:color="000000" w:sz="4" w:space="0"/>
            </w:tcBorders>
            <w:vAlign w:val="center"/>
          </w:tcPr>
          <w:p w14:paraId="12523551">
            <w:pPr>
              <w:pStyle w:val="117"/>
              <w:ind w:firstLine="0" w:firstLineChars="0"/>
              <w:jc w:val="center"/>
              <w:rPr>
                <w:sz w:val="21"/>
                <w:szCs w:val="21"/>
              </w:rPr>
            </w:pPr>
            <w:r>
              <w:rPr>
                <w:rFonts w:hint="eastAsia"/>
                <w:sz w:val="21"/>
                <w:szCs w:val="21"/>
              </w:rPr>
              <w:t>是</w:t>
            </w:r>
          </w:p>
        </w:tc>
        <w:tc>
          <w:tcPr>
            <w:tcW w:w="486" w:type="pct"/>
            <w:tcBorders>
              <w:top w:val="single" w:color="000000" w:sz="4" w:space="0"/>
              <w:left w:val="single" w:color="000000" w:sz="4" w:space="0"/>
              <w:bottom w:val="single" w:color="000000" w:sz="12" w:space="0"/>
              <w:right w:val="single" w:color="000000" w:sz="4" w:space="0"/>
            </w:tcBorders>
            <w:vAlign w:val="center"/>
          </w:tcPr>
          <w:p w14:paraId="76D4295B">
            <w:pPr>
              <w:pStyle w:val="117"/>
              <w:ind w:firstLine="0" w:firstLineChars="0"/>
              <w:jc w:val="center"/>
              <w:rPr>
                <w:sz w:val="21"/>
                <w:szCs w:val="21"/>
              </w:rPr>
            </w:pPr>
            <w:r>
              <w:rPr>
                <w:rFonts w:hint="eastAsia"/>
                <w:sz w:val="21"/>
                <w:szCs w:val="21"/>
              </w:rPr>
              <w:t>是</w:t>
            </w:r>
          </w:p>
        </w:tc>
        <w:tc>
          <w:tcPr>
            <w:tcW w:w="458" w:type="pct"/>
            <w:tcBorders>
              <w:top w:val="single" w:color="000000" w:sz="4" w:space="0"/>
              <w:left w:val="single" w:color="000000" w:sz="4" w:space="0"/>
              <w:bottom w:val="single" w:color="000000" w:sz="12" w:space="0"/>
              <w:right w:val="single" w:color="000000" w:sz="4" w:space="0"/>
            </w:tcBorders>
            <w:vAlign w:val="center"/>
          </w:tcPr>
          <w:p w14:paraId="44438C75">
            <w:pPr>
              <w:pStyle w:val="117"/>
              <w:ind w:firstLine="0" w:firstLineChars="0"/>
              <w:jc w:val="center"/>
              <w:rPr>
                <w:sz w:val="21"/>
                <w:szCs w:val="21"/>
              </w:rPr>
            </w:pPr>
            <w:r>
              <w:rPr>
                <w:rFonts w:hint="eastAsia"/>
                <w:sz w:val="21"/>
                <w:szCs w:val="21"/>
              </w:rPr>
              <w:t>是</w:t>
            </w:r>
          </w:p>
        </w:tc>
        <w:tc>
          <w:tcPr>
            <w:tcW w:w="472" w:type="pct"/>
            <w:tcBorders>
              <w:top w:val="single" w:color="000000" w:sz="4" w:space="0"/>
              <w:left w:val="single" w:color="000000" w:sz="4" w:space="0"/>
              <w:bottom w:val="single" w:color="000000" w:sz="12" w:space="0"/>
              <w:right w:val="single" w:color="000000" w:sz="12" w:space="0"/>
            </w:tcBorders>
            <w:vAlign w:val="center"/>
          </w:tcPr>
          <w:p w14:paraId="6E703CD8">
            <w:pPr>
              <w:pStyle w:val="117"/>
              <w:ind w:firstLine="0" w:firstLineChars="0"/>
              <w:jc w:val="center"/>
              <w:rPr>
                <w:sz w:val="21"/>
                <w:szCs w:val="21"/>
              </w:rPr>
            </w:pPr>
            <w:r>
              <w:rPr>
                <w:rFonts w:hint="eastAsia"/>
                <w:sz w:val="21"/>
                <w:szCs w:val="21"/>
              </w:rPr>
              <w:t>是</w:t>
            </w:r>
          </w:p>
        </w:tc>
      </w:tr>
    </w:tbl>
    <w:p w14:paraId="0824324F">
      <w:pPr>
        <w:pStyle w:val="117"/>
        <w:ind w:firstLine="480"/>
        <w:rPr>
          <w:color w:val="000000"/>
        </w:rPr>
      </w:pPr>
      <w:r>
        <w:rPr>
          <w:color w:val="000000"/>
        </w:rPr>
        <w:t>根据表</w:t>
      </w:r>
      <w:r>
        <w:rPr>
          <w:rFonts w:hint="eastAsia"/>
        </w:rPr>
        <w:t>2.3-5</w:t>
      </w:r>
      <w:r>
        <w:rPr>
          <w:color w:val="000000"/>
        </w:rPr>
        <w:t>内容，项目废水经酚氰污水处理站处理后出水水质可以满足《炼焦化学工业污染物排放标准》（GB16171-2012）表2间接标准要求，回用于兰炭生产线熄焦工段，不外排。</w:t>
      </w:r>
    </w:p>
    <w:p w14:paraId="6FAAAF01">
      <w:pPr>
        <w:pStyle w:val="117"/>
        <w:ind w:firstLine="480"/>
        <w:rPr>
          <w:color w:val="000000"/>
        </w:rPr>
      </w:pPr>
      <w:r>
        <w:rPr>
          <w:rFonts w:hint="eastAsia"/>
          <w:color w:val="000000"/>
        </w:rPr>
        <w:t>根据表2.3-6内容，项目生活污水经生活污水处理站处理后出水水质可以满足《城市污水再生利用 城市杂用水水质》（GB/T18920—2020）表1城市绿化、道路清扫标准要求，部分回用于厂区绿化及洒水降尘，部分排至园区污水处理厂。</w:t>
      </w:r>
    </w:p>
    <w:p w14:paraId="02089CF2">
      <w:pPr>
        <w:pStyle w:val="138"/>
        <w:rPr>
          <w:rFonts w:hint="eastAsia"/>
        </w:rPr>
      </w:pPr>
      <w:r>
        <w:rPr>
          <w:rFonts w:hint="eastAsia"/>
        </w:rPr>
        <w:t>噪声达标排放情况</w:t>
      </w:r>
    </w:p>
    <w:p w14:paraId="1F79B2D4">
      <w:pPr>
        <w:pStyle w:val="117"/>
        <w:ind w:firstLine="480"/>
      </w:pPr>
      <w:r>
        <w:t>本项目镁及镁合金生产线的主要噪声是破碎机、球磨机、压球机、扒渣机、液压挤镁机、连续铸锭机、风机、冷却塔、各类泵等生产设备产生的机械噪声，硅铁生产线的主要噪声是破碎机、冷却塔、引风机、风机、各类泵等生产设备产生的机械噪声，兰炭生产线及煤气发生炉的主要噪声有煤皮带机、振动筛、运输机、筛焦机、出焦机、各类风机等生产设备产生的机械噪声。企业设备噪声值在75~95dB（A）之间。</w:t>
      </w:r>
    </w:p>
    <w:p w14:paraId="1ACE2A5D">
      <w:pPr>
        <w:pStyle w:val="117"/>
        <w:ind w:firstLine="480"/>
      </w:pPr>
      <w:r>
        <w:t>建设单位通过采取设置隔声罩、减震垫、建筑隔声等防治措施控制噪声排放。设备选择性按照“低噪声、高效率”的原则进行选购，如低噪声的风机、空压机、泵等，从声源处减弱噪声。同时，噪声经过厂房屏蔽、距离衰减以及消声器作用后，有了很大程度</w:t>
      </w:r>
      <w:r>
        <w:rPr>
          <w:rFonts w:hint="eastAsia"/>
        </w:rPr>
        <w:t>地</w:t>
      </w:r>
      <w:r>
        <w:t>降低。</w:t>
      </w:r>
    </w:p>
    <w:p w14:paraId="723BF6DE">
      <w:pPr>
        <w:pStyle w:val="117"/>
        <w:ind w:firstLine="480"/>
      </w:pPr>
      <w:r>
        <w:rPr>
          <w:rFonts w:hint="eastAsia"/>
        </w:rPr>
        <w:t>现有工程噪声达标排放情况，见表2.3</w:t>
      </w:r>
      <w:r>
        <w:t>-</w:t>
      </w:r>
      <w:r>
        <w:rPr>
          <w:rFonts w:hint="eastAsia"/>
        </w:rPr>
        <w:t>7。</w:t>
      </w:r>
    </w:p>
    <w:p w14:paraId="017A8EA0">
      <w:pPr>
        <w:pStyle w:val="118"/>
      </w:pPr>
      <w:r>
        <w:t>表</w:t>
      </w:r>
      <w:r>
        <w:rPr>
          <w:rFonts w:hint="eastAsia"/>
        </w:rPr>
        <w:t xml:space="preserve">2.3-7  </w:t>
      </w:r>
      <w:r>
        <w:t>202</w:t>
      </w:r>
      <w:r>
        <w:rPr>
          <w:rFonts w:hint="eastAsia"/>
        </w:rPr>
        <w:t>3年厂界噪声达标分析一览表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97"/>
        <w:gridCol w:w="3117"/>
        <w:gridCol w:w="1470"/>
        <w:gridCol w:w="1604"/>
        <w:gridCol w:w="1176"/>
        <w:gridCol w:w="1141"/>
      </w:tblGrid>
      <w:tr w14:paraId="688460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03" w:type="pct"/>
            <w:gridSpan w:val="2"/>
            <w:vMerge w:val="restart"/>
            <w:vAlign w:val="center"/>
          </w:tcPr>
          <w:p w14:paraId="55BE39DC">
            <w:pPr>
              <w:pStyle w:val="133"/>
              <w:rPr>
                <w:b/>
                <w:bCs/>
              </w:rPr>
            </w:pPr>
            <w:r>
              <w:rPr>
                <w:b/>
                <w:bCs/>
              </w:rPr>
              <mc:AlternateContent>
                <mc:Choice Requires="wps">
                  <w:drawing>
                    <wp:anchor distT="0" distB="0" distL="114300" distR="114300" simplePos="0" relativeHeight="251668480" behindDoc="0" locked="0" layoutInCell="0" allowOverlap="1">
                      <wp:simplePos x="0" y="0"/>
                      <wp:positionH relativeFrom="column">
                        <wp:posOffset>-88900</wp:posOffset>
                      </wp:positionH>
                      <wp:positionV relativeFrom="paragraph">
                        <wp:posOffset>-15875</wp:posOffset>
                      </wp:positionV>
                      <wp:extent cx="635" cy="635"/>
                      <wp:effectExtent l="0" t="0" r="0" b="0"/>
                      <wp:wrapNone/>
                      <wp:docPr id="1047" name="直接连接符 1171009998"/>
                      <wp:cNvGraphicFramePr/>
                      <a:graphic xmlns:a="http://schemas.openxmlformats.org/drawingml/2006/main">
                        <a:graphicData uri="http://schemas.microsoft.com/office/word/2010/wordprocessingShape">
                          <wps:wsp>
                            <wps:cNvCnPr/>
                            <wps:spPr>
                              <a:xfrm>
                                <a:off x="0" y="0"/>
                                <a:ext cx="635" cy="634"/>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接连接符 1171009998" o:spid="_x0000_s1026" o:spt="20" style="position:absolute;left:0pt;margin-left:-7pt;margin-top:-1.25pt;height:0.05pt;width:0.05pt;z-index:251668480;mso-width-relative:page;mso-height-relative:page;" filled="f" stroked="t" coordsize="21600,21600" o:allowincell="f" o:gfxdata="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WypNtcAAAAJAQAADwAAAAAAAAABACAAAAAiAAAAZHJzL2Rvd25y&#10;ZXYueG1sUEsBAhQAFAAAAAgAh07iQN5J3Nb/AQAA+gMAAA4AAAAAAAAAAQAgAAAAJgEAAGRycy9l&#10;Mm9Eb2MueG1sUEsFBgAAAAAGAAYAWQEAAJcFAAAAAA==&#10;">
                      <v:fill on="f" focussize="0,0"/>
                      <v:stroke color="#000000" joinstyle="round"/>
                      <v:imagedata o:title=""/>
                      <o:lock v:ext="edit" aspectratio="f"/>
                    </v:line>
                  </w:pict>
                </mc:Fallback>
              </mc:AlternateContent>
            </w:r>
            <w:r>
              <w:rPr>
                <w:rFonts w:hint="eastAsia"/>
                <w:b/>
                <w:bCs/>
              </w:rPr>
              <w:t>声</w:t>
            </w:r>
            <w:r>
              <w:rPr>
                <w:b/>
                <w:bCs/>
              </w:rPr>
              <w:t>级</w:t>
            </w:r>
          </w:p>
          <w:p w14:paraId="7DBE8D6D">
            <w:pPr>
              <w:pStyle w:val="133"/>
              <w:rPr>
                <w:b/>
                <w:bCs/>
              </w:rPr>
            </w:pPr>
            <w:r>
              <w:rPr>
                <w:b/>
                <w:bCs/>
              </w:rPr>
              <w:t>测点</w:t>
            </w:r>
          </w:p>
        </w:tc>
        <w:tc>
          <w:tcPr>
            <w:tcW w:w="1652" w:type="pct"/>
            <w:gridSpan w:val="2"/>
            <w:vAlign w:val="center"/>
          </w:tcPr>
          <w:p w14:paraId="12449878">
            <w:pPr>
              <w:pStyle w:val="133"/>
              <w:rPr>
                <w:b/>
                <w:bCs/>
              </w:rPr>
            </w:pPr>
            <w:r>
              <w:rPr>
                <w:b/>
                <w:bCs/>
              </w:rPr>
              <w:t>噪声值 dB（A）</w:t>
            </w:r>
          </w:p>
        </w:tc>
        <w:tc>
          <w:tcPr>
            <w:tcW w:w="1245" w:type="pct"/>
            <w:gridSpan w:val="2"/>
            <w:vAlign w:val="center"/>
          </w:tcPr>
          <w:p w14:paraId="6C99EF76">
            <w:pPr>
              <w:pStyle w:val="133"/>
              <w:rPr>
                <w:b/>
                <w:bCs/>
              </w:rPr>
            </w:pPr>
            <w:r>
              <w:rPr>
                <w:rFonts w:hint="eastAsia"/>
                <w:b/>
                <w:bCs/>
              </w:rPr>
              <w:t>标准值</w:t>
            </w:r>
            <w:r>
              <w:rPr>
                <w:b/>
                <w:bCs/>
              </w:rPr>
              <w:t>dB（A）</w:t>
            </w:r>
          </w:p>
        </w:tc>
      </w:tr>
      <w:tr w14:paraId="01CD46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2103" w:type="pct"/>
            <w:gridSpan w:val="2"/>
            <w:vMerge w:val="continue"/>
            <w:vAlign w:val="center"/>
          </w:tcPr>
          <w:p w14:paraId="397F97E9">
            <w:pPr>
              <w:pStyle w:val="133"/>
              <w:rPr>
                <w:b/>
                <w:bCs/>
              </w:rPr>
            </w:pPr>
          </w:p>
        </w:tc>
        <w:tc>
          <w:tcPr>
            <w:tcW w:w="790" w:type="pct"/>
            <w:vAlign w:val="center"/>
          </w:tcPr>
          <w:p w14:paraId="6EF3A566">
            <w:pPr>
              <w:pStyle w:val="133"/>
              <w:rPr>
                <w:b/>
                <w:bCs/>
              </w:rPr>
            </w:pPr>
            <w:r>
              <w:rPr>
                <w:rFonts w:hint="eastAsia"/>
                <w:b/>
                <w:bCs/>
              </w:rPr>
              <w:t>昼间</w:t>
            </w:r>
          </w:p>
        </w:tc>
        <w:tc>
          <w:tcPr>
            <w:tcW w:w="862" w:type="pct"/>
            <w:vAlign w:val="center"/>
          </w:tcPr>
          <w:p w14:paraId="141D3F81">
            <w:pPr>
              <w:pStyle w:val="133"/>
              <w:rPr>
                <w:b/>
                <w:bCs/>
              </w:rPr>
            </w:pPr>
            <w:r>
              <w:rPr>
                <w:rFonts w:hint="eastAsia"/>
                <w:b/>
                <w:bCs/>
              </w:rPr>
              <w:t>夜间</w:t>
            </w:r>
          </w:p>
        </w:tc>
        <w:tc>
          <w:tcPr>
            <w:tcW w:w="632" w:type="pct"/>
            <w:vAlign w:val="center"/>
          </w:tcPr>
          <w:p w14:paraId="4119FEAC">
            <w:pPr>
              <w:pStyle w:val="133"/>
              <w:rPr>
                <w:b/>
                <w:bCs/>
              </w:rPr>
            </w:pPr>
            <w:r>
              <w:rPr>
                <w:rFonts w:hint="eastAsia"/>
                <w:b/>
                <w:bCs/>
              </w:rPr>
              <w:t>昼间</w:t>
            </w:r>
          </w:p>
        </w:tc>
        <w:tc>
          <w:tcPr>
            <w:tcW w:w="613" w:type="pct"/>
            <w:vAlign w:val="center"/>
          </w:tcPr>
          <w:p w14:paraId="1D4BD8EA">
            <w:pPr>
              <w:pStyle w:val="133"/>
              <w:rPr>
                <w:b/>
                <w:bCs/>
              </w:rPr>
            </w:pPr>
            <w:r>
              <w:rPr>
                <w:rFonts w:hint="eastAsia"/>
                <w:b/>
                <w:bCs/>
              </w:rPr>
              <w:t>夜间</w:t>
            </w:r>
          </w:p>
        </w:tc>
      </w:tr>
      <w:tr w14:paraId="6EE53F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 w:type="pct"/>
            <w:vAlign w:val="center"/>
          </w:tcPr>
          <w:p w14:paraId="3B28A09D">
            <w:pPr>
              <w:pStyle w:val="133"/>
            </w:pPr>
            <w:r>
              <w:rPr>
                <w:rFonts w:hint="eastAsia"/>
              </w:rPr>
              <w:t>1#</w:t>
            </w:r>
          </w:p>
        </w:tc>
        <w:tc>
          <w:tcPr>
            <w:tcW w:w="1675" w:type="pct"/>
            <w:vAlign w:val="center"/>
          </w:tcPr>
          <w:p w14:paraId="20A67EEE">
            <w:pPr>
              <w:pStyle w:val="133"/>
            </w:pPr>
            <w:r>
              <w:rPr>
                <w:rFonts w:hint="eastAsia"/>
              </w:rPr>
              <w:t>厂界东侧外</w:t>
            </w:r>
          </w:p>
        </w:tc>
        <w:tc>
          <w:tcPr>
            <w:tcW w:w="790" w:type="pct"/>
            <w:vAlign w:val="center"/>
          </w:tcPr>
          <w:p w14:paraId="2E603D6A">
            <w:pPr>
              <w:pStyle w:val="133"/>
            </w:pPr>
            <w:r>
              <w:rPr>
                <w:rFonts w:hint="eastAsia"/>
              </w:rPr>
              <w:t>42</w:t>
            </w:r>
          </w:p>
        </w:tc>
        <w:tc>
          <w:tcPr>
            <w:tcW w:w="862" w:type="pct"/>
            <w:vAlign w:val="center"/>
          </w:tcPr>
          <w:p w14:paraId="3D20D3E4">
            <w:pPr>
              <w:pStyle w:val="133"/>
            </w:pPr>
            <w:r>
              <w:rPr>
                <w:rFonts w:hint="eastAsia"/>
              </w:rPr>
              <w:t>39</w:t>
            </w:r>
          </w:p>
        </w:tc>
        <w:tc>
          <w:tcPr>
            <w:tcW w:w="632" w:type="pct"/>
            <w:vMerge w:val="restart"/>
            <w:vAlign w:val="center"/>
          </w:tcPr>
          <w:p w14:paraId="2F6D9723">
            <w:pPr>
              <w:pStyle w:val="133"/>
            </w:pPr>
            <w:r>
              <w:rPr>
                <w:rFonts w:hint="eastAsia"/>
              </w:rPr>
              <w:t>65</w:t>
            </w:r>
          </w:p>
        </w:tc>
        <w:tc>
          <w:tcPr>
            <w:tcW w:w="613" w:type="pct"/>
            <w:vMerge w:val="restart"/>
            <w:vAlign w:val="center"/>
          </w:tcPr>
          <w:p w14:paraId="1A4BF43B">
            <w:pPr>
              <w:pStyle w:val="133"/>
            </w:pPr>
            <w:r>
              <w:rPr>
                <w:rFonts w:hint="eastAsia"/>
              </w:rPr>
              <w:t>55</w:t>
            </w:r>
          </w:p>
        </w:tc>
      </w:tr>
      <w:tr w14:paraId="3AEDE5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 w:type="pct"/>
            <w:vAlign w:val="center"/>
          </w:tcPr>
          <w:p w14:paraId="6BB25661">
            <w:pPr>
              <w:pStyle w:val="133"/>
            </w:pPr>
            <w:r>
              <w:rPr>
                <w:rFonts w:hint="eastAsia"/>
              </w:rPr>
              <w:t>2#</w:t>
            </w:r>
          </w:p>
        </w:tc>
        <w:tc>
          <w:tcPr>
            <w:tcW w:w="1675" w:type="pct"/>
            <w:vAlign w:val="center"/>
          </w:tcPr>
          <w:p w14:paraId="33A8BF59">
            <w:pPr>
              <w:pStyle w:val="133"/>
            </w:pPr>
            <w:r>
              <w:rPr>
                <w:rFonts w:hint="eastAsia"/>
              </w:rPr>
              <w:t>厂界南侧外</w:t>
            </w:r>
          </w:p>
        </w:tc>
        <w:tc>
          <w:tcPr>
            <w:tcW w:w="790" w:type="pct"/>
            <w:vAlign w:val="center"/>
          </w:tcPr>
          <w:p w14:paraId="6BC199C3">
            <w:pPr>
              <w:pStyle w:val="133"/>
            </w:pPr>
            <w:r>
              <w:rPr>
                <w:rFonts w:hint="eastAsia"/>
              </w:rPr>
              <w:t>63</w:t>
            </w:r>
          </w:p>
        </w:tc>
        <w:tc>
          <w:tcPr>
            <w:tcW w:w="862" w:type="pct"/>
            <w:vAlign w:val="center"/>
          </w:tcPr>
          <w:p w14:paraId="7D34C546">
            <w:pPr>
              <w:pStyle w:val="133"/>
            </w:pPr>
            <w:r>
              <w:rPr>
                <w:rFonts w:hint="eastAsia"/>
              </w:rPr>
              <w:t>52</w:t>
            </w:r>
          </w:p>
        </w:tc>
        <w:tc>
          <w:tcPr>
            <w:tcW w:w="632" w:type="pct"/>
            <w:vMerge w:val="continue"/>
            <w:vAlign w:val="center"/>
          </w:tcPr>
          <w:p w14:paraId="6C80FCF2">
            <w:pPr>
              <w:pStyle w:val="133"/>
            </w:pPr>
          </w:p>
        </w:tc>
        <w:tc>
          <w:tcPr>
            <w:tcW w:w="613" w:type="pct"/>
            <w:vMerge w:val="continue"/>
            <w:vAlign w:val="center"/>
          </w:tcPr>
          <w:p w14:paraId="2B74CD1F">
            <w:pPr>
              <w:pStyle w:val="133"/>
            </w:pPr>
          </w:p>
        </w:tc>
      </w:tr>
      <w:tr w14:paraId="395B2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 w:type="pct"/>
            <w:vAlign w:val="center"/>
          </w:tcPr>
          <w:p w14:paraId="53966EAC">
            <w:pPr>
              <w:pStyle w:val="133"/>
            </w:pPr>
            <w:r>
              <w:rPr>
                <w:rFonts w:hint="eastAsia"/>
              </w:rPr>
              <w:t>3#</w:t>
            </w:r>
          </w:p>
        </w:tc>
        <w:tc>
          <w:tcPr>
            <w:tcW w:w="1675" w:type="pct"/>
            <w:vAlign w:val="center"/>
          </w:tcPr>
          <w:p w14:paraId="4D209DF7">
            <w:pPr>
              <w:pStyle w:val="133"/>
            </w:pPr>
            <w:r>
              <w:rPr>
                <w:rFonts w:hint="eastAsia"/>
              </w:rPr>
              <w:t>厂界西侧外</w:t>
            </w:r>
          </w:p>
        </w:tc>
        <w:tc>
          <w:tcPr>
            <w:tcW w:w="790" w:type="pct"/>
            <w:vAlign w:val="center"/>
          </w:tcPr>
          <w:p w14:paraId="7758F2A1">
            <w:pPr>
              <w:pStyle w:val="133"/>
            </w:pPr>
            <w:r>
              <w:rPr>
                <w:rFonts w:hint="eastAsia"/>
              </w:rPr>
              <w:t>58</w:t>
            </w:r>
          </w:p>
        </w:tc>
        <w:tc>
          <w:tcPr>
            <w:tcW w:w="862" w:type="pct"/>
            <w:vAlign w:val="center"/>
          </w:tcPr>
          <w:p w14:paraId="2A610BE4">
            <w:pPr>
              <w:pStyle w:val="133"/>
            </w:pPr>
            <w:r>
              <w:rPr>
                <w:rFonts w:hint="eastAsia"/>
              </w:rPr>
              <w:t>48</w:t>
            </w:r>
          </w:p>
        </w:tc>
        <w:tc>
          <w:tcPr>
            <w:tcW w:w="632" w:type="pct"/>
            <w:vMerge w:val="continue"/>
            <w:vAlign w:val="center"/>
          </w:tcPr>
          <w:p w14:paraId="6811F7FA">
            <w:pPr>
              <w:pStyle w:val="133"/>
            </w:pPr>
          </w:p>
        </w:tc>
        <w:tc>
          <w:tcPr>
            <w:tcW w:w="613" w:type="pct"/>
            <w:vMerge w:val="continue"/>
            <w:vAlign w:val="center"/>
          </w:tcPr>
          <w:p w14:paraId="14631CF9">
            <w:pPr>
              <w:pStyle w:val="133"/>
            </w:pPr>
          </w:p>
        </w:tc>
      </w:tr>
      <w:tr w14:paraId="5960E4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8" w:type="pct"/>
            <w:vAlign w:val="center"/>
          </w:tcPr>
          <w:p w14:paraId="78D5064E">
            <w:pPr>
              <w:pStyle w:val="133"/>
            </w:pPr>
            <w:r>
              <w:rPr>
                <w:rFonts w:hint="eastAsia"/>
              </w:rPr>
              <w:t>4#</w:t>
            </w:r>
          </w:p>
        </w:tc>
        <w:tc>
          <w:tcPr>
            <w:tcW w:w="1675" w:type="pct"/>
            <w:vAlign w:val="center"/>
          </w:tcPr>
          <w:p w14:paraId="1F5FDCBE">
            <w:pPr>
              <w:pStyle w:val="133"/>
            </w:pPr>
            <w:r>
              <w:rPr>
                <w:rFonts w:hint="eastAsia"/>
              </w:rPr>
              <w:t>厂界北侧外</w:t>
            </w:r>
          </w:p>
        </w:tc>
        <w:tc>
          <w:tcPr>
            <w:tcW w:w="790" w:type="pct"/>
            <w:vAlign w:val="center"/>
          </w:tcPr>
          <w:p w14:paraId="3BA428FC">
            <w:pPr>
              <w:pStyle w:val="133"/>
            </w:pPr>
            <w:r>
              <w:rPr>
                <w:rFonts w:hint="eastAsia"/>
              </w:rPr>
              <w:t>62</w:t>
            </w:r>
          </w:p>
        </w:tc>
        <w:tc>
          <w:tcPr>
            <w:tcW w:w="862" w:type="pct"/>
            <w:vAlign w:val="center"/>
          </w:tcPr>
          <w:p w14:paraId="23C51BB9">
            <w:pPr>
              <w:pStyle w:val="133"/>
            </w:pPr>
            <w:r>
              <w:rPr>
                <w:rFonts w:hint="eastAsia"/>
              </w:rPr>
              <w:t>52</w:t>
            </w:r>
          </w:p>
        </w:tc>
        <w:tc>
          <w:tcPr>
            <w:tcW w:w="632" w:type="pct"/>
            <w:vMerge w:val="continue"/>
            <w:vAlign w:val="center"/>
          </w:tcPr>
          <w:p w14:paraId="5BC54951">
            <w:pPr>
              <w:pStyle w:val="133"/>
            </w:pPr>
          </w:p>
        </w:tc>
        <w:tc>
          <w:tcPr>
            <w:tcW w:w="613" w:type="pct"/>
            <w:vMerge w:val="continue"/>
            <w:vAlign w:val="center"/>
          </w:tcPr>
          <w:p w14:paraId="3A9AA2B6">
            <w:pPr>
              <w:pStyle w:val="133"/>
            </w:pPr>
          </w:p>
        </w:tc>
      </w:tr>
    </w:tbl>
    <w:p w14:paraId="752622EB">
      <w:pPr>
        <w:pStyle w:val="133"/>
      </w:pPr>
    </w:p>
    <w:p w14:paraId="53168EBA">
      <w:pPr>
        <w:pStyle w:val="117"/>
        <w:ind w:firstLine="480"/>
      </w:pPr>
      <w:r>
        <w:rPr>
          <w:rFonts w:hint="eastAsia"/>
        </w:rPr>
        <w:t>根据2023年监测报告统计情况，厂界噪声均</w:t>
      </w:r>
      <w:r>
        <w:t>《工业企业厂界环境噪声排放标准》（GB12348-2008）3类标准（昼间：65dB、夜间：55dB）。</w:t>
      </w:r>
    </w:p>
    <w:p w14:paraId="236E4B11">
      <w:pPr>
        <w:pStyle w:val="138"/>
        <w:rPr>
          <w:rFonts w:hint="eastAsia"/>
        </w:rPr>
      </w:pPr>
      <w:r>
        <w:rPr>
          <w:rFonts w:hint="eastAsia"/>
        </w:rPr>
        <w:t>固体废物安全处置情况</w:t>
      </w:r>
    </w:p>
    <w:p w14:paraId="59428851">
      <w:pPr>
        <w:ind w:firstLine="480"/>
      </w:pPr>
      <w:r>
        <w:rPr>
          <w:rFonts w:hint="eastAsia"/>
        </w:rPr>
        <w:t>现有工程固体废物产生及处置情况，</w:t>
      </w:r>
      <w:r>
        <w:rPr>
          <w:szCs w:val="21"/>
        </w:rPr>
        <w:t>一般固体废物排放量及排放去向</w:t>
      </w:r>
      <w:r>
        <w:rPr>
          <w:rFonts w:hint="eastAsia"/>
        </w:rPr>
        <w:t>见表2.2-9，</w:t>
      </w:r>
      <w:r>
        <w:rPr>
          <w:szCs w:val="21"/>
        </w:rPr>
        <w:t>项目产生的各类危险废物排放量及排放去向</w:t>
      </w:r>
      <w:r>
        <w:rPr>
          <w:rFonts w:hint="eastAsia"/>
        </w:rPr>
        <w:t>2.2-10。</w:t>
      </w:r>
    </w:p>
    <w:p w14:paraId="68746DA8">
      <w:pPr>
        <w:ind w:firstLine="480"/>
      </w:pPr>
      <w:r>
        <w:rPr>
          <w:rFonts w:hint="eastAsia"/>
        </w:rPr>
        <w:t>根据污染物达标排放分析，现有工程配套的各项污染防治设施基本能够稳定运行、并可保证正常工况下污染物达标排放。</w:t>
      </w:r>
    </w:p>
    <w:p w14:paraId="559FA4E4">
      <w:pPr>
        <w:pStyle w:val="138"/>
        <w:rPr>
          <w:rFonts w:hint="eastAsia"/>
        </w:rPr>
      </w:pPr>
      <w:r>
        <w:rPr>
          <w:rFonts w:hint="eastAsia"/>
        </w:rPr>
        <w:t>现有工程污染物排放汇总和总量控制分析</w:t>
      </w:r>
    </w:p>
    <w:p w14:paraId="68859704">
      <w:pPr>
        <w:pStyle w:val="117"/>
        <w:ind w:firstLine="480"/>
      </w:pPr>
      <w:r>
        <w:rPr>
          <w:rFonts w:hint="eastAsia"/>
        </w:rPr>
        <w:t>本评价根据2023年排污许可证执行证副本、2023年例行监测报告统计，核算现有工程污染物排放量，见表2.3-8。</w:t>
      </w:r>
    </w:p>
    <w:p w14:paraId="67FF6CA3">
      <w:pPr>
        <w:pStyle w:val="118"/>
      </w:pPr>
      <w:r>
        <w:t>表</w:t>
      </w:r>
      <w:r>
        <w:rPr>
          <w:rFonts w:hint="eastAsia"/>
        </w:rPr>
        <w:t xml:space="preserve">2.3-8  现有工程污染物排放汇总表 </w:t>
      </w:r>
      <w:r>
        <w:t xml:space="preserve">   </w:t>
      </w:r>
      <w:r>
        <w:rPr>
          <w:rFonts w:hint="eastAsia"/>
        </w:rPr>
        <w:t>单位：t</w:t>
      </w:r>
      <w:r>
        <w:t>/</w:t>
      </w:r>
      <w:r>
        <w:rPr>
          <w:rFonts w:hint="eastAsia"/>
        </w:rPr>
        <w:t>a</w:t>
      </w:r>
    </w:p>
    <w:tbl>
      <w:tblPr>
        <w:tblStyle w:val="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953"/>
        <w:gridCol w:w="1433"/>
        <w:gridCol w:w="3180"/>
        <w:gridCol w:w="2312"/>
      </w:tblGrid>
      <w:tr w14:paraId="6DF8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7" w:type="pct"/>
            <w:vAlign w:val="center"/>
          </w:tcPr>
          <w:p w14:paraId="4CF7908A">
            <w:pPr>
              <w:pStyle w:val="133"/>
              <w:rPr>
                <w:b/>
                <w:bCs/>
              </w:rPr>
            </w:pPr>
            <w:r>
              <w:rPr>
                <w:rFonts w:hint="eastAsia"/>
                <w:b/>
                <w:bCs/>
              </w:rPr>
              <w:t>类别</w:t>
            </w:r>
          </w:p>
        </w:tc>
        <w:tc>
          <w:tcPr>
            <w:tcW w:w="1282" w:type="pct"/>
            <w:gridSpan w:val="2"/>
            <w:vAlign w:val="center"/>
          </w:tcPr>
          <w:p w14:paraId="5070EA7A">
            <w:pPr>
              <w:pStyle w:val="133"/>
              <w:rPr>
                <w:b/>
                <w:bCs/>
              </w:rPr>
            </w:pPr>
            <w:r>
              <w:rPr>
                <w:rFonts w:hint="eastAsia"/>
                <w:b/>
                <w:bCs/>
              </w:rPr>
              <w:t>污染物</w:t>
            </w:r>
          </w:p>
        </w:tc>
        <w:tc>
          <w:tcPr>
            <w:tcW w:w="1709" w:type="pct"/>
            <w:vAlign w:val="center"/>
          </w:tcPr>
          <w:p w14:paraId="16E03D30">
            <w:pPr>
              <w:pStyle w:val="133"/>
              <w:rPr>
                <w:b/>
                <w:bCs/>
              </w:rPr>
            </w:pPr>
            <w:r>
              <w:rPr>
                <w:rFonts w:hint="eastAsia"/>
                <w:b/>
                <w:bCs/>
              </w:rPr>
              <w:t>现有工程污染物排放量</w:t>
            </w:r>
          </w:p>
        </w:tc>
        <w:tc>
          <w:tcPr>
            <w:tcW w:w="1242" w:type="pct"/>
            <w:vAlign w:val="center"/>
          </w:tcPr>
          <w:p w14:paraId="33981F5F">
            <w:pPr>
              <w:pStyle w:val="133"/>
              <w:rPr>
                <w:b/>
                <w:bCs/>
              </w:rPr>
            </w:pPr>
            <w:r>
              <w:rPr>
                <w:rFonts w:hint="eastAsia"/>
                <w:b/>
                <w:bCs/>
              </w:rPr>
              <w:t>排污许可量</w:t>
            </w:r>
          </w:p>
        </w:tc>
      </w:tr>
      <w:tr w14:paraId="6E4E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restart"/>
            <w:vAlign w:val="center"/>
          </w:tcPr>
          <w:p w14:paraId="6C299C1F">
            <w:pPr>
              <w:pStyle w:val="133"/>
            </w:pPr>
            <w:r>
              <w:rPr>
                <w:rFonts w:hint="eastAsia"/>
              </w:rPr>
              <w:t>废气</w:t>
            </w:r>
          </w:p>
        </w:tc>
        <w:tc>
          <w:tcPr>
            <w:tcW w:w="1282" w:type="pct"/>
            <w:gridSpan w:val="2"/>
            <w:vAlign w:val="center"/>
          </w:tcPr>
          <w:p w14:paraId="13575091">
            <w:pPr>
              <w:pStyle w:val="133"/>
            </w:pPr>
            <w:r>
              <w:rPr>
                <w:rFonts w:hint="eastAsia"/>
              </w:rPr>
              <w:t>颗粒物</w:t>
            </w:r>
          </w:p>
        </w:tc>
        <w:tc>
          <w:tcPr>
            <w:tcW w:w="1709" w:type="pct"/>
            <w:vAlign w:val="center"/>
          </w:tcPr>
          <w:p w14:paraId="17BA9588">
            <w:pPr>
              <w:pStyle w:val="133"/>
            </w:pPr>
            <w:r>
              <w:rPr>
                <w:rFonts w:hint="eastAsia"/>
              </w:rPr>
              <w:t>100.126</w:t>
            </w:r>
          </w:p>
        </w:tc>
        <w:tc>
          <w:tcPr>
            <w:tcW w:w="1242" w:type="pct"/>
            <w:vAlign w:val="center"/>
          </w:tcPr>
          <w:p w14:paraId="6C07477D">
            <w:pPr>
              <w:pStyle w:val="133"/>
            </w:pPr>
            <w:r>
              <w:rPr>
                <w:rFonts w:hint="eastAsia"/>
              </w:rPr>
              <w:t>101.250000</w:t>
            </w:r>
          </w:p>
        </w:tc>
      </w:tr>
      <w:tr w14:paraId="30B2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5286E9B3">
            <w:pPr>
              <w:pStyle w:val="133"/>
            </w:pPr>
          </w:p>
        </w:tc>
        <w:tc>
          <w:tcPr>
            <w:tcW w:w="1282" w:type="pct"/>
            <w:gridSpan w:val="2"/>
            <w:vAlign w:val="center"/>
          </w:tcPr>
          <w:p w14:paraId="1CC0589D">
            <w:pPr>
              <w:pStyle w:val="133"/>
            </w:pPr>
            <w:r>
              <w:rPr>
                <w:rFonts w:hint="eastAsia"/>
              </w:rPr>
              <w:t>二氧化硫</w:t>
            </w:r>
          </w:p>
        </w:tc>
        <w:tc>
          <w:tcPr>
            <w:tcW w:w="1709" w:type="pct"/>
            <w:vAlign w:val="center"/>
          </w:tcPr>
          <w:p w14:paraId="1A1437AF">
            <w:pPr>
              <w:pStyle w:val="133"/>
            </w:pPr>
            <w:r>
              <w:rPr>
                <w:rFonts w:hint="eastAsia"/>
              </w:rPr>
              <w:t>286.744</w:t>
            </w:r>
          </w:p>
        </w:tc>
        <w:tc>
          <w:tcPr>
            <w:tcW w:w="1242" w:type="pct"/>
            <w:vAlign w:val="center"/>
          </w:tcPr>
          <w:p w14:paraId="14A8F457">
            <w:pPr>
              <w:pStyle w:val="133"/>
            </w:pPr>
            <w:r>
              <w:rPr>
                <w:rFonts w:hint="eastAsia"/>
              </w:rPr>
              <w:t>535.370000</w:t>
            </w:r>
          </w:p>
        </w:tc>
      </w:tr>
      <w:tr w14:paraId="30E8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49932E26">
            <w:pPr>
              <w:pStyle w:val="133"/>
            </w:pPr>
          </w:p>
        </w:tc>
        <w:tc>
          <w:tcPr>
            <w:tcW w:w="1282" w:type="pct"/>
            <w:gridSpan w:val="2"/>
            <w:vAlign w:val="center"/>
          </w:tcPr>
          <w:p w14:paraId="2E5E4D1C">
            <w:pPr>
              <w:pStyle w:val="133"/>
            </w:pPr>
            <w:r>
              <w:rPr>
                <w:rFonts w:hint="eastAsia"/>
              </w:rPr>
              <w:t>氮氧化物</w:t>
            </w:r>
          </w:p>
        </w:tc>
        <w:tc>
          <w:tcPr>
            <w:tcW w:w="1709" w:type="pct"/>
            <w:vAlign w:val="center"/>
          </w:tcPr>
          <w:p w14:paraId="72C0F4D3">
            <w:pPr>
              <w:pStyle w:val="133"/>
            </w:pPr>
            <w:r>
              <w:rPr>
                <w:rFonts w:hint="eastAsia"/>
              </w:rPr>
              <w:t>217.267</w:t>
            </w:r>
          </w:p>
        </w:tc>
        <w:tc>
          <w:tcPr>
            <w:tcW w:w="1242" w:type="pct"/>
            <w:vAlign w:val="center"/>
          </w:tcPr>
          <w:p w14:paraId="6F7D31B2">
            <w:pPr>
              <w:pStyle w:val="133"/>
            </w:pPr>
            <w:r>
              <w:rPr>
                <w:rFonts w:hint="eastAsia"/>
              </w:rPr>
              <w:t>273.965000</w:t>
            </w:r>
          </w:p>
        </w:tc>
      </w:tr>
      <w:tr w14:paraId="40E2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5CF7C0AD">
            <w:pPr>
              <w:pStyle w:val="133"/>
            </w:pPr>
          </w:p>
        </w:tc>
        <w:tc>
          <w:tcPr>
            <w:tcW w:w="512" w:type="pct"/>
            <w:vMerge w:val="restart"/>
            <w:vAlign w:val="center"/>
          </w:tcPr>
          <w:p w14:paraId="27A79719">
            <w:pPr>
              <w:pStyle w:val="133"/>
            </w:pPr>
            <w:r>
              <w:rPr>
                <w:rFonts w:hint="eastAsia"/>
              </w:rPr>
              <w:t>无组织</w:t>
            </w:r>
          </w:p>
        </w:tc>
        <w:tc>
          <w:tcPr>
            <w:tcW w:w="770" w:type="pct"/>
            <w:vAlign w:val="center"/>
          </w:tcPr>
          <w:p w14:paraId="635C6349">
            <w:pPr>
              <w:pStyle w:val="133"/>
            </w:pPr>
            <w:r>
              <w:rPr>
                <w:rFonts w:hint="eastAsia"/>
              </w:rPr>
              <w:t>苯并[a]芘</w:t>
            </w:r>
          </w:p>
        </w:tc>
        <w:tc>
          <w:tcPr>
            <w:tcW w:w="1709" w:type="pct"/>
            <w:vAlign w:val="center"/>
          </w:tcPr>
          <w:p w14:paraId="6A59D31D">
            <w:pPr>
              <w:pStyle w:val="133"/>
            </w:pPr>
            <w:r>
              <w:rPr>
                <w:rFonts w:hint="eastAsia"/>
              </w:rPr>
              <w:t>/</w:t>
            </w:r>
          </w:p>
        </w:tc>
        <w:tc>
          <w:tcPr>
            <w:tcW w:w="1242" w:type="pct"/>
            <w:vAlign w:val="center"/>
          </w:tcPr>
          <w:p w14:paraId="1304F972">
            <w:pPr>
              <w:pStyle w:val="133"/>
            </w:pPr>
            <w:r>
              <w:rPr>
                <w:rFonts w:hint="eastAsia"/>
              </w:rPr>
              <w:t>/</w:t>
            </w:r>
          </w:p>
        </w:tc>
      </w:tr>
      <w:tr w14:paraId="769FB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45782274">
            <w:pPr>
              <w:pStyle w:val="133"/>
            </w:pPr>
          </w:p>
        </w:tc>
        <w:tc>
          <w:tcPr>
            <w:tcW w:w="512" w:type="pct"/>
            <w:vMerge w:val="continue"/>
            <w:vAlign w:val="center"/>
          </w:tcPr>
          <w:p w14:paraId="2CCE9143">
            <w:pPr>
              <w:pStyle w:val="133"/>
            </w:pPr>
          </w:p>
        </w:tc>
        <w:tc>
          <w:tcPr>
            <w:tcW w:w="770" w:type="pct"/>
            <w:vAlign w:val="center"/>
          </w:tcPr>
          <w:p w14:paraId="0BA77802">
            <w:pPr>
              <w:pStyle w:val="133"/>
            </w:pPr>
            <w:r>
              <w:rPr>
                <w:rFonts w:hint="eastAsia"/>
              </w:rPr>
              <w:t>氰化氢</w:t>
            </w:r>
          </w:p>
        </w:tc>
        <w:tc>
          <w:tcPr>
            <w:tcW w:w="1709" w:type="pct"/>
            <w:vAlign w:val="center"/>
          </w:tcPr>
          <w:p w14:paraId="32B38ED6">
            <w:pPr>
              <w:pStyle w:val="133"/>
            </w:pPr>
            <w:r>
              <w:rPr>
                <w:rFonts w:hint="eastAsia"/>
              </w:rPr>
              <w:t>/</w:t>
            </w:r>
          </w:p>
        </w:tc>
        <w:tc>
          <w:tcPr>
            <w:tcW w:w="1242" w:type="pct"/>
            <w:vAlign w:val="center"/>
          </w:tcPr>
          <w:p w14:paraId="2D7B84BB">
            <w:pPr>
              <w:pStyle w:val="133"/>
            </w:pPr>
            <w:r>
              <w:rPr>
                <w:rFonts w:hint="eastAsia"/>
              </w:rPr>
              <w:t>/</w:t>
            </w:r>
          </w:p>
        </w:tc>
      </w:tr>
      <w:tr w14:paraId="30C4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6930AB45">
            <w:pPr>
              <w:pStyle w:val="133"/>
            </w:pPr>
          </w:p>
        </w:tc>
        <w:tc>
          <w:tcPr>
            <w:tcW w:w="512" w:type="pct"/>
            <w:vMerge w:val="continue"/>
            <w:vAlign w:val="center"/>
          </w:tcPr>
          <w:p w14:paraId="0B27541B">
            <w:pPr>
              <w:pStyle w:val="133"/>
            </w:pPr>
          </w:p>
        </w:tc>
        <w:tc>
          <w:tcPr>
            <w:tcW w:w="770" w:type="pct"/>
            <w:vAlign w:val="center"/>
          </w:tcPr>
          <w:p w14:paraId="7ED241B5">
            <w:pPr>
              <w:pStyle w:val="133"/>
            </w:pPr>
            <w:r>
              <w:rPr>
                <w:rFonts w:hint="eastAsia"/>
              </w:rPr>
              <w:t>酚类</w:t>
            </w:r>
          </w:p>
        </w:tc>
        <w:tc>
          <w:tcPr>
            <w:tcW w:w="1709" w:type="pct"/>
            <w:vAlign w:val="center"/>
          </w:tcPr>
          <w:p w14:paraId="632FBBE8">
            <w:pPr>
              <w:pStyle w:val="133"/>
            </w:pPr>
            <w:r>
              <w:rPr>
                <w:rFonts w:hint="eastAsia"/>
              </w:rPr>
              <w:t>/</w:t>
            </w:r>
          </w:p>
        </w:tc>
        <w:tc>
          <w:tcPr>
            <w:tcW w:w="1242" w:type="pct"/>
            <w:vAlign w:val="center"/>
          </w:tcPr>
          <w:p w14:paraId="39489690">
            <w:pPr>
              <w:pStyle w:val="133"/>
            </w:pPr>
            <w:r>
              <w:rPr>
                <w:rFonts w:hint="eastAsia"/>
              </w:rPr>
              <w:t>/</w:t>
            </w:r>
          </w:p>
        </w:tc>
      </w:tr>
      <w:tr w14:paraId="68A7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0BC45B71">
            <w:pPr>
              <w:pStyle w:val="133"/>
            </w:pPr>
          </w:p>
        </w:tc>
        <w:tc>
          <w:tcPr>
            <w:tcW w:w="512" w:type="pct"/>
            <w:vMerge w:val="continue"/>
            <w:vAlign w:val="center"/>
          </w:tcPr>
          <w:p w14:paraId="06F4AEC2">
            <w:pPr>
              <w:pStyle w:val="133"/>
            </w:pPr>
          </w:p>
        </w:tc>
        <w:tc>
          <w:tcPr>
            <w:tcW w:w="770" w:type="pct"/>
            <w:vAlign w:val="center"/>
          </w:tcPr>
          <w:p w14:paraId="73E0FE7F">
            <w:pPr>
              <w:pStyle w:val="133"/>
            </w:pPr>
            <w:r>
              <w:rPr>
                <w:rFonts w:hint="eastAsia"/>
              </w:rPr>
              <w:t>氨</w:t>
            </w:r>
          </w:p>
        </w:tc>
        <w:tc>
          <w:tcPr>
            <w:tcW w:w="1709" w:type="pct"/>
            <w:vAlign w:val="center"/>
          </w:tcPr>
          <w:p w14:paraId="19904CEB">
            <w:pPr>
              <w:pStyle w:val="133"/>
            </w:pPr>
            <w:r>
              <w:rPr>
                <w:rFonts w:hint="eastAsia"/>
              </w:rPr>
              <w:t>/</w:t>
            </w:r>
          </w:p>
        </w:tc>
        <w:tc>
          <w:tcPr>
            <w:tcW w:w="1242" w:type="pct"/>
            <w:vAlign w:val="center"/>
          </w:tcPr>
          <w:p w14:paraId="4FE393BC">
            <w:pPr>
              <w:pStyle w:val="133"/>
            </w:pPr>
            <w:r>
              <w:rPr>
                <w:rFonts w:hint="eastAsia"/>
              </w:rPr>
              <w:t>/</w:t>
            </w:r>
          </w:p>
        </w:tc>
      </w:tr>
      <w:tr w14:paraId="3A45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7A3DC772">
            <w:pPr>
              <w:pStyle w:val="133"/>
            </w:pPr>
          </w:p>
        </w:tc>
        <w:tc>
          <w:tcPr>
            <w:tcW w:w="512" w:type="pct"/>
            <w:vMerge w:val="continue"/>
            <w:vAlign w:val="center"/>
          </w:tcPr>
          <w:p w14:paraId="2F1948B7">
            <w:pPr>
              <w:pStyle w:val="133"/>
            </w:pPr>
          </w:p>
        </w:tc>
        <w:tc>
          <w:tcPr>
            <w:tcW w:w="770" w:type="pct"/>
            <w:vAlign w:val="center"/>
          </w:tcPr>
          <w:p w14:paraId="78076852">
            <w:pPr>
              <w:pStyle w:val="133"/>
            </w:pPr>
            <w:r>
              <w:rPr>
                <w:rFonts w:hint="eastAsia"/>
              </w:rPr>
              <w:t>硫化氢</w:t>
            </w:r>
          </w:p>
        </w:tc>
        <w:tc>
          <w:tcPr>
            <w:tcW w:w="1709" w:type="pct"/>
            <w:vAlign w:val="center"/>
          </w:tcPr>
          <w:p w14:paraId="4F3A1BCE">
            <w:pPr>
              <w:pStyle w:val="133"/>
            </w:pPr>
            <w:r>
              <w:rPr>
                <w:rFonts w:hint="eastAsia"/>
              </w:rPr>
              <w:t>/</w:t>
            </w:r>
          </w:p>
        </w:tc>
        <w:tc>
          <w:tcPr>
            <w:tcW w:w="1242" w:type="pct"/>
            <w:vAlign w:val="center"/>
          </w:tcPr>
          <w:p w14:paraId="03499E28">
            <w:pPr>
              <w:pStyle w:val="133"/>
            </w:pPr>
            <w:r>
              <w:rPr>
                <w:rFonts w:hint="eastAsia"/>
              </w:rPr>
              <w:t>/</w:t>
            </w:r>
          </w:p>
        </w:tc>
      </w:tr>
      <w:tr w14:paraId="4497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0951E3E9">
            <w:pPr>
              <w:pStyle w:val="133"/>
            </w:pPr>
          </w:p>
        </w:tc>
        <w:tc>
          <w:tcPr>
            <w:tcW w:w="512" w:type="pct"/>
            <w:vMerge w:val="continue"/>
            <w:vAlign w:val="center"/>
          </w:tcPr>
          <w:p w14:paraId="25A11DD0">
            <w:pPr>
              <w:pStyle w:val="133"/>
            </w:pPr>
          </w:p>
        </w:tc>
        <w:tc>
          <w:tcPr>
            <w:tcW w:w="770" w:type="pct"/>
            <w:vAlign w:val="center"/>
          </w:tcPr>
          <w:p w14:paraId="310188EF">
            <w:pPr>
              <w:pStyle w:val="133"/>
            </w:pPr>
            <w:r>
              <w:rPr>
                <w:rFonts w:hint="eastAsia"/>
              </w:rPr>
              <w:t>颗粒物</w:t>
            </w:r>
          </w:p>
        </w:tc>
        <w:tc>
          <w:tcPr>
            <w:tcW w:w="1709" w:type="pct"/>
            <w:vAlign w:val="center"/>
          </w:tcPr>
          <w:p w14:paraId="22EF0088">
            <w:pPr>
              <w:pStyle w:val="133"/>
            </w:pPr>
            <w:r>
              <w:rPr>
                <w:rFonts w:hint="eastAsia"/>
              </w:rPr>
              <w:t>/</w:t>
            </w:r>
          </w:p>
        </w:tc>
        <w:tc>
          <w:tcPr>
            <w:tcW w:w="1242" w:type="pct"/>
            <w:vAlign w:val="center"/>
          </w:tcPr>
          <w:p w14:paraId="45F434BA">
            <w:pPr>
              <w:pStyle w:val="133"/>
            </w:pPr>
            <w:r>
              <w:rPr>
                <w:rFonts w:hint="eastAsia"/>
              </w:rPr>
              <w:t>/</w:t>
            </w:r>
          </w:p>
        </w:tc>
      </w:tr>
      <w:tr w14:paraId="187D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076797DB">
            <w:pPr>
              <w:pStyle w:val="133"/>
            </w:pPr>
          </w:p>
        </w:tc>
        <w:tc>
          <w:tcPr>
            <w:tcW w:w="1282" w:type="pct"/>
            <w:gridSpan w:val="2"/>
            <w:vAlign w:val="center"/>
          </w:tcPr>
          <w:p w14:paraId="2C395A31">
            <w:pPr>
              <w:pStyle w:val="133"/>
            </w:pPr>
            <w:r>
              <w:rPr>
                <w:rFonts w:hint="eastAsia"/>
              </w:rPr>
              <w:t>非甲烷总烃（无组织）</w:t>
            </w:r>
          </w:p>
        </w:tc>
        <w:tc>
          <w:tcPr>
            <w:tcW w:w="1709" w:type="pct"/>
            <w:vAlign w:val="center"/>
          </w:tcPr>
          <w:p w14:paraId="2F45D508">
            <w:pPr>
              <w:pStyle w:val="133"/>
            </w:pPr>
            <w:r>
              <w:rPr>
                <w:rFonts w:hint="eastAsia"/>
              </w:rPr>
              <w:t>/</w:t>
            </w:r>
          </w:p>
        </w:tc>
        <w:tc>
          <w:tcPr>
            <w:tcW w:w="1242" w:type="pct"/>
            <w:vAlign w:val="center"/>
          </w:tcPr>
          <w:p w14:paraId="250A5578">
            <w:pPr>
              <w:pStyle w:val="133"/>
            </w:pPr>
            <w:r>
              <w:rPr>
                <w:rFonts w:hint="eastAsia"/>
              </w:rPr>
              <w:t>/</w:t>
            </w:r>
          </w:p>
        </w:tc>
      </w:tr>
      <w:tr w14:paraId="34FD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restart"/>
            <w:vAlign w:val="center"/>
          </w:tcPr>
          <w:p w14:paraId="296DB644">
            <w:pPr>
              <w:pStyle w:val="133"/>
            </w:pPr>
            <w:r>
              <w:rPr>
                <w:rFonts w:hint="eastAsia"/>
              </w:rPr>
              <w:t>废水</w:t>
            </w:r>
          </w:p>
        </w:tc>
        <w:tc>
          <w:tcPr>
            <w:tcW w:w="1282" w:type="pct"/>
            <w:gridSpan w:val="2"/>
            <w:vAlign w:val="center"/>
          </w:tcPr>
          <w:p w14:paraId="70F616A2">
            <w:pPr>
              <w:pStyle w:val="133"/>
            </w:pPr>
            <w:r>
              <w:rPr>
                <w:rFonts w:hint="eastAsia"/>
              </w:rPr>
              <w:t>废水</w:t>
            </w:r>
          </w:p>
        </w:tc>
        <w:tc>
          <w:tcPr>
            <w:tcW w:w="1709" w:type="pct"/>
            <w:vAlign w:val="center"/>
          </w:tcPr>
          <w:p w14:paraId="2BCF2D14">
            <w:pPr>
              <w:pStyle w:val="133"/>
            </w:pPr>
            <w:r>
              <w:rPr>
                <w:rFonts w:hint="eastAsia"/>
              </w:rPr>
              <w:t>/</w:t>
            </w:r>
          </w:p>
        </w:tc>
        <w:tc>
          <w:tcPr>
            <w:tcW w:w="1242" w:type="pct"/>
            <w:vAlign w:val="center"/>
          </w:tcPr>
          <w:p w14:paraId="46012538">
            <w:pPr>
              <w:pStyle w:val="133"/>
            </w:pPr>
            <w:r>
              <w:rPr>
                <w:rFonts w:hint="eastAsia"/>
              </w:rPr>
              <w:t>/</w:t>
            </w:r>
          </w:p>
        </w:tc>
      </w:tr>
      <w:tr w14:paraId="567A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0098ADE2">
            <w:pPr>
              <w:pStyle w:val="133"/>
            </w:pPr>
          </w:p>
        </w:tc>
        <w:tc>
          <w:tcPr>
            <w:tcW w:w="1282" w:type="pct"/>
            <w:gridSpan w:val="2"/>
            <w:vAlign w:val="center"/>
          </w:tcPr>
          <w:p w14:paraId="7C536B40">
            <w:pPr>
              <w:pStyle w:val="133"/>
            </w:pPr>
            <w:r>
              <w:rPr>
                <w:rFonts w:hint="eastAsia"/>
              </w:rPr>
              <w:t>COD</w:t>
            </w:r>
          </w:p>
        </w:tc>
        <w:tc>
          <w:tcPr>
            <w:tcW w:w="1709" w:type="pct"/>
            <w:vAlign w:val="center"/>
          </w:tcPr>
          <w:p w14:paraId="27466047">
            <w:pPr>
              <w:pStyle w:val="133"/>
            </w:pPr>
            <w:r>
              <w:rPr>
                <w:rFonts w:hint="eastAsia"/>
              </w:rPr>
              <w:t>/</w:t>
            </w:r>
          </w:p>
        </w:tc>
        <w:tc>
          <w:tcPr>
            <w:tcW w:w="1242" w:type="pct"/>
            <w:vAlign w:val="center"/>
          </w:tcPr>
          <w:p w14:paraId="51E843B5">
            <w:pPr>
              <w:pStyle w:val="133"/>
            </w:pPr>
            <w:r>
              <w:rPr>
                <w:rFonts w:hint="eastAsia"/>
              </w:rPr>
              <w:t>/</w:t>
            </w:r>
          </w:p>
        </w:tc>
      </w:tr>
      <w:tr w14:paraId="5AB6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7" w:type="pct"/>
            <w:vMerge w:val="continue"/>
            <w:vAlign w:val="center"/>
          </w:tcPr>
          <w:p w14:paraId="2D198CE7">
            <w:pPr>
              <w:pStyle w:val="133"/>
            </w:pPr>
          </w:p>
        </w:tc>
        <w:tc>
          <w:tcPr>
            <w:tcW w:w="1282" w:type="pct"/>
            <w:gridSpan w:val="2"/>
            <w:vAlign w:val="center"/>
          </w:tcPr>
          <w:p w14:paraId="483F399B">
            <w:pPr>
              <w:pStyle w:val="133"/>
            </w:pPr>
            <w:r>
              <w:rPr>
                <w:rFonts w:hint="eastAsia"/>
              </w:rPr>
              <w:t>氨氮</w:t>
            </w:r>
          </w:p>
        </w:tc>
        <w:tc>
          <w:tcPr>
            <w:tcW w:w="1709" w:type="pct"/>
            <w:vAlign w:val="center"/>
          </w:tcPr>
          <w:p w14:paraId="3C91D849">
            <w:pPr>
              <w:pStyle w:val="133"/>
            </w:pPr>
            <w:r>
              <w:rPr>
                <w:rFonts w:hint="eastAsia"/>
              </w:rPr>
              <w:t xml:space="preserve"> /</w:t>
            </w:r>
          </w:p>
        </w:tc>
        <w:tc>
          <w:tcPr>
            <w:tcW w:w="1242" w:type="pct"/>
            <w:vAlign w:val="center"/>
          </w:tcPr>
          <w:p w14:paraId="42232E5A">
            <w:pPr>
              <w:pStyle w:val="133"/>
            </w:pPr>
            <w:r>
              <w:rPr>
                <w:rFonts w:hint="eastAsia"/>
              </w:rPr>
              <w:t>/</w:t>
            </w:r>
          </w:p>
        </w:tc>
      </w:tr>
      <w:tr w14:paraId="3256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16B5224E">
            <w:pPr>
              <w:pStyle w:val="133"/>
            </w:pPr>
            <w:r>
              <w:rPr>
                <w:rFonts w:hint="eastAsia"/>
              </w:rPr>
              <w:t>注：</w:t>
            </w:r>
          </w:p>
          <w:p w14:paraId="3DF1C142">
            <w:pPr>
              <w:pStyle w:val="133"/>
            </w:pPr>
            <w:r>
              <w:rPr>
                <w:rFonts w:hint="eastAsia"/>
              </w:rPr>
              <w:t>（1）现有工程根据2023年例行监测数据中的污染物最大排放量核算排放总量。</w:t>
            </w:r>
          </w:p>
          <w:p w14:paraId="7E8FE048">
            <w:pPr>
              <w:pStyle w:val="133"/>
            </w:pPr>
            <w:r>
              <w:rPr>
                <w:rFonts w:hint="eastAsia"/>
              </w:rPr>
              <w:t>（2）废气污染物排放汇总仅考虑有组织排放，不考虑无组织排放量。</w:t>
            </w:r>
          </w:p>
          <w:p w14:paraId="709C2C27">
            <w:pPr>
              <w:pStyle w:val="133"/>
            </w:pPr>
            <w:r>
              <w:rPr>
                <w:rFonts w:hint="eastAsia"/>
              </w:rPr>
              <w:t>（3）本项目生产废水及生活污水经处理后回用不外排。</w:t>
            </w:r>
          </w:p>
        </w:tc>
      </w:tr>
    </w:tbl>
    <w:p w14:paraId="48F8886E">
      <w:pPr>
        <w:pStyle w:val="133"/>
      </w:pPr>
    </w:p>
    <w:p w14:paraId="0196BE07">
      <w:pPr>
        <w:pStyle w:val="117"/>
        <w:ind w:firstLine="480"/>
      </w:pPr>
      <w:r>
        <w:rPr>
          <w:rFonts w:hint="eastAsia"/>
        </w:rPr>
        <w:t>根据分析，现有工程废气污染物排放量未超出排污许可量及排污许可证执行报告年报登记的排放量。</w:t>
      </w:r>
    </w:p>
    <w:p w14:paraId="0F04D2C3">
      <w:pPr>
        <w:pStyle w:val="946"/>
      </w:pPr>
      <w:bookmarkStart w:id="237" w:name="_Toc175154646"/>
      <w:bookmarkStart w:id="238" w:name="_Toc205291374"/>
      <w:bookmarkStart w:id="239" w:name="_Toc175155729"/>
      <w:r>
        <w:rPr>
          <w:rFonts w:hint="eastAsia"/>
        </w:rPr>
        <w:t>环保制度执行情况</w:t>
      </w:r>
      <w:bookmarkEnd w:id="237"/>
      <w:bookmarkEnd w:id="238"/>
      <w:bookmarkEnd w:id="239"/>
    </w:p>
    <w:p w14:paraId="47162981">
      <w:pPr>
        <w:pStyle w:val="138"/>
        <w:rPr>
          <w:rFonts w:hint="eastAsia"/>
        </w:rPr>
      </w:pPr>
      <w:r>
        <w:rPr>
          <w:rFonts w:hint="eastAsia"/>
        </w:rPr>
        <w:t>环境管理机构</w:t>
      </w:r>
    </w:p>
    <w:p w14:paraId="384314B7">
      <w:pPr>
        <w:pStyle w:val="117"/>
        <w:ind w:firstLine="480"/>
        <w:rPr>
          <w:rFonts w:hint="eastAsia" w:ascii="宋体" w:hAnsi="宋体"/>
        </w:rPr>
      </w:pPr>
      <w:r>
        <w:rPr>
          <w:rFonts w:ascii="宋体" w:hAnsi="宋体"/>
        </w:rPr>
        <w:t>新</w:t>
      </w:r>
      <w:r>
        <w:t>疆金盛镁业有限公司设立安环部，部内架构17人，设置安全总监，环境</w:t>
      </w:r>
      <w:r>
        <w:rPr>
          <w:rFonts w:hint="eastAsia"/>
        </w:rPr>
        <w:t>部部</w:t>
      </w:r>
      <w:r>
        <w:t>长、安全员等，设有专兼职环保工作人员10人，具体负责生产工序中的环保工作，日常生产中环保人员负责环保设备的操作、维护、管理，该管理体系能够确保全厂环保工作的顺利进行、各项环保制度的正常执行及落实，对生产设备的正常使用及环保设备的稳定运行、管理、维护提供了较好的保障。环境管理机构设置见图2.</w:t>
      </w:r>
      <w:r>
        <w:rPr>
          <w:rFonts w:hint="eastAsia"/>
        </w:rPr>
        <w:t>4</w:t>
      </w:r>
      <w:r>
        <w:t>-1</w:t>
      </w:r>
      <w:r>
        <w:rPr>
          <w:rFonts w:ascii="宋体" w:hAnsi="宋体"/>
        </w:rPr>
        <w:t>。</w:t>
      </w:r>
    </w:p>
    <w:p w14:paraId="27E6ADCD">
      <w:pPr>
        <w:pStyle w:val="133"/>
      </w:pPr>
    </w:p>
    <w:p w14:paraId="57A65FBC">
      <w:pPr>
        <w:pStyle w:val="117"/>
        <w:ind w:firstLine="480"/>
      </w:pPr>
      <w:r>
        <w:t>新疆金盛镁业有限公司根据本厂的生产工艺及特点，相应制定了多项管理制度，作为日常环境管理的依据，主要包括：环境事故管理制度、环境治理管理制度、“三废”管理制度、环保管理员岗位责任制、环保培训管理制度和档案管理制度等。根据现场调查，生产中各设备运行记录齐全，同时有专人对相关环保档案同意收集整理、保存，做到环保档案完整、管理有序、有档可查。</w:t>
      </w:r>
    </w:p>
    <w:p w14:paraId="24B391B8">
      <w:pPr>
        <w:pStyle w:val="138"/>
        <w:rPr>
          <w:rFonts w:hint="eastAsia"/>
        </w:rPr>
      </w:pPr>
      <w:r>
        <w:rPr>
          <w:rFonts w:hint="eastAsia"/>
        </w:rPr>
        <w:t>排污许可管理</w:t>
      </w:r>
    </w:p>
    <w:p w14:paraId="17E9F68B">
      <w:pPr>
        <w:pStyle w:val="117"/>
        <w:ind w:firstLine="480"/>
      </w:pPr>
      <w:bookmarkStart w:id="240" w:name="_Hlk177574517"/>
      <w:r>
        <w:rPr>
          <w:rFonts w:hint="eastAsia"/>
        </w:rPr>
        <w:t>（1）排污许可证申领情况</w:t>
      </w:r>
    </w:p>
    <w:p w14:paraId="05A3FCE7">
      <w:pPr>
        <w:pStyle w:val="117"/>
        <w:ind w:firstLine="480"/>
      </w:pPr>
      <w:r>
        <w:t>新疆金盛镁业有限公司在全国排污许可证管理信息平台</w:t>
      </w:r>
      <w:r>
        <w:rPr>
          <w:rFonts w:hint="eastAsia"/>
        </w:rPr>
        <w:t>－</w:t>
      </w:r>
      <w:r>
        <w:t>公开端申请了排污许可证，排污许可证编号为：9165220057253610x6001P。公司于2017年12月28日完成了首次申报并通过了哈密市生态环境局的审批。首次申报有效期为2018年1月1日</w:t>
      </w:r>
      <w:r>
        <w:rPr>
          <w:rFonts w:hint="eastAsia"/>
        </w:rPr>
        <w:t>—</w:t>
      </w:r>
      <w:r>
        <w:t>2020年12月31日。2021年1月4日，企业对排污许可进行了第一次补充申报；2021年3月4日，企业对排污许可进行了第二次补充申报，2021年3月8日企业申请了排污许可证延续；2022年</w:t>
      </w:r>
      <w:r>
        <w:rPr>
          <w:rFonts w:hint="eastAsia"/>
        </w:rPr>
        <w:t>9</w:t>
      </w:r>
      <w:r>
        <w:t>月</w:t>
      </w:r>
      <w:r>
        <w:rPr>
          <w:rFonts w:hint="eastAsia"/>
        </w:rPr>
        <w:t>26</w:t>
      </w:r>
      <w:r>
        <w:t>日，企业对排污许可进行了变更</w:t>
      </w:r>
      <w:r>
        <w:rPr>
          <w:rFonts w:hint="eastAsia"/>
        </w:rPr>
        <w:t>；2023年1月9日，</w:t>
      </w:r>
      <w:r>
        <w:t>企业对排污许可进行了变更</w:t>
      </w:r>
      <w:r>
        <w:rPr>
          <w:rFonts w:hint="eastAsia"/>
        </w:rPr>
        <w:t>；2023年6月12日，</w:t>
      </w:r>
      <w:r>
        <w:t>企业对排污许可进行了变更</w:t>
      </w:r>
      <w:r>
        <w:rPr>
          <w:rFonts w:hint="eastAsia"/>
        </w:rPr>
        <w:t>；2023年7月19日，</w:t>
      </w:r>
      <w:r>
        <w:t>企业对排污许可进行了变更</w:t>
      </w:r>
      <w:r>
        <w:rPr>
          <w:rFonts w:hint="eastAsia"/>
        </w:rPr>
        <w:t>；2023年9月13日，</w:t>
      </w:r>
      <w:r>
        <w:t>企业对排污许可进行了变更</w:t>
      </w:r>
      <w:r>
        <w:rPr>
          <w:rFonts w:hint="eastAsia"/>
        </w:rPr>
        <w:t>；2024年7月23日，</w:t>
      </w:r>
      <w:r>
        <w:t>企业对排污许可进行了变更</w:t>
      </w:r>
      <w:r>
        <w:rPr>
          <w:rFonts w:hint="eastAsia"/>
        </w:rPr>
        <w:t>；2025年3月14日，企业重新申请排污许可；2025年4月15日，</w:t>
      </w:r>
      <w:r>
        <w:t>企业对排污许可进行了变更</w:t>
      </w:r>
      <w:r>
        <w:rPr>
          <w:rFonts w:hint="eastAsia"/>
        </w:rPr>
        <w:t>；</w:t>
      </w:r>
      <w:r>
        <w:t>现企业排污许可证有效期为2021年1月1日</w:t>
      </w:r>
      <w:r>
        <w:rPr>
          <w:rFonts w:hint="eastAsia"/>
        </w:rPr>
        <w:t>—</w:t>
      </w:r>
      <w:r>
        <w:t>2025年12月31日。</w:t>
      </w:r>
    </w:p>
    <w:p w14:paraId="7F29EB8D">
      <w:pPr>
        <w:pStyle w:val="117"/>
        <w:ind w:firstLine="480"/>
      </w:pPr>
      <w:r>
        <w:rPr>
          <w:rFonts w:hint="eastAsia"/>
        </w:rPr>
        <w:t>（</w:t>
      </w:r>
      <w:r>
        <w:t>2</w:t>
      </w:r>
      <w:r>
        <w:rPr>
          <w:rFonts w:hint="eastAsia"/>
        </w:rPr>
        <w:t>）许可排放量</w:t>
      </w:r>
    </w:p>
    <w:p w14:paraId="063E84ED">
      <w:pPr>
        <w:pStyle w:val="117"/>
        <w:ind w:firstLine="480"/>
      </w:pPr>
      <w:r>
        <w:rPr>
          <w:rFonts w:hint="eastAsia"/>
        </w:rPr>
        <w:t>现有工程有组织排放的许可排放量为：颗粒物101.25t/a、SO</w:t>
      </w:r>
      <w:r>
        <w:rPr>
          <w:rFonts w:hint="eastAsia"/>
          <w:vertAlign w:val="subscript"/>
        </w:rPr>
        <w:t>2</w:t>
      </w:r>
      <w:r>
        <w:rPr>
          <w:rFonts w:hint="eastAsia"/>
        </w:rPr>
        <w:t xml:space="preserve"> 535.37t/a、NO</w:t>
      </w:r>
      <w:r>
        <w:rPr>
          <w:rFonts w:hint="eastAsia"/>
          <w:vertAlign w:val="subscript"/>
        </w:rPr>
        <w:t>X</w:t>
      </w:r>
      <w:r>
        <w:rPr>
          <w:rFonts w:hint="eastAsia"/>
        </w:rPr>
        <w:t>273.965t/a。</w:t>
      </w:r>
    </w:p>
    <w:p w14:paraId="277E1F96">
      <w:pPr>
        <w:pStyle w:val="117"/>
        <w:ind w:firstLine="480"/>
      </w:pPr>
      <w:r>
        <w:rPr>
          <w:rFonts w:hint="eastAsia"/>
        </w:rPr>
        <w:t>根据本次评价以例行监测报告中的排放速率最大值核算现有工程污染物排放量：颗粒物</w:t>
      </w:r>
      <w:r>
        <w:rPr>
          <w:color w:val="000000" w:themeColor="text1"/>
          <w14:textFill>
            <w14:solidFill>
              <w14:schemeClr w14:val="tx1"/>
            </w14:solidFill>
          </w14:textFill>
        </w:rPr>
        <w:t>100.126t/a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bookmarkStart w:id="241" w:name="OLE_LINK8"/>
      <w:r>
        <w:rPr>
          <w:color w:val="000000" w:themeColor="text1"/>
          <w14:textFill>
            <w14:solidFill>
              <w14:schemeClr w14:val="tx1"/>
            </w14:solidFill>
          </w14:textFill>
        </w:rPr>
        <w:t xml:space="preserve"> </w:t>
      </w:r>
      <w:bookmarkEnd w:id="241"/>
      <w:r>
        <w:rPr>
          <w:color w:val="000000" w:themeColor="text1"/>
          <w14:textFill>
            <w14:solidFill>
              <w14:schemeClr w14:val="tx1"/>
            </w14:solidFill>
          </w14:textFill>
        </w:rPr>
        <w:t>286.744t/a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 xml:space="preserve"> 217.267t/a</w:t>
      </w:r>
      <w:r>
        <w:rPr>
          <w:rFonts w:hint="eastAsia"/>
        </w:rPr>
        <w:t>均小于现有工程有组织排放的许可排放量，无超标现象。</w:t>
      </w:r>
    </w:p>
    <w:p w14:paraId="2C8E8CC5">
      <w:pPr>
        <w:pStyle w:val="117"/>
        <w:ind w:firstLine="480"/>
      </w:pPr>
      <w:r>
        <w:rPr>
          <w:rFonts w:hint="eastAsia"/>
        </w:rPr>
        <w:t>现有工程未申请无组织排放量。</w:t>
      </w:r>
    </w:p>
    <w:p w14:paraId="73BB1BC8">
      <w:pPr>
        <w:pStyle w:val="117"/>
        <w:ind w:firstLine="480"/>
      </w:pPr>
      <w:r>
        <w:rPr>
          <w:rFonts w:hint="eastAsia"/>
        </w:rPr>
        <w:t>（3）自行监测执行情况</w:t>
      </w:r>
    </w:p>
    <w:p w14:paraId="6C25CD07">
      <w:pPr>
        <w:pStyle w:val="117"/>
        <w:ind w:firstLine="480"/>
      </w:pPr>
      <w:r>
        <w:rPr>
          <w:rFonts w:hint="eastAsia"/>
        </w:rPr>
        <w:t>企业已按照环境管理要求，开展自行监测。企业现有工程有组织排放口检测情况，见表2.4</w:t>
      </w:r>
      <w:r>
        <w:t>-1</w:t>
      </w:r>
      <w:r>
        <w:rPr>
          <w:rFonts w:hint="eastAsia"/>
        </w:rPr>
        <w:t>。</w:t>
      </w:r>
    </w:p>
    <w:p w14:paraId="01376BAD">
      <w:pPr>
        <w:pStyle w:val="118"/>
      </w:pPr>
      <w:r>
        <w:t>表2.</w:t>
      </w:r>
      <w:r>
        <w:rPr>
          <w:rFonts w:hint="eastAsia"/>
        </w:rPr>
        <w:t>4</w:t>
      </w:r>
      <w:r>
        <w:t>-1  现有工程自行监测</w:t>
      </w:r>
      <w:r>
        <w:rPr>
          <w:rFonts w:hint="eastAsia"/>
        </w:rPr>
        <w:t>计划</w:t>
      </w:r>
    </w:p>
    <w:tbl>
      <w:tblPr>
        <w:tblStyle w:val="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5136"/>
        <w:gridCol w:w="966"/>
        <w:gridCol w:w="1777"/>
      </w:tblGrid>
      <w:tr w14:paraId="7737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526" w:type="pct"/>
            <w:gridSpan w:val="2"/>
            <w:vAlign w:val="center"/>
          </w:tcPr>
          <w:p w14:paraId="462A6F24">
            <w:pPr>
              <w:pStyle w:val="133"/>
              <w:rPr>
                <w:b/>
                <w:bCs/>
              </w:rPr>
            </w:pPr>
            <w:r>
              <w:rPr>
                <w:rFonts w:hint="eastAsia"/>
                <w:b/>
                <w:bCs/>
              </w:rPr>
              <w:t>分析项目</w:t>
            </w:r>
          </w:p>
        </w:tc>
        <w:tc>
          <w:tcPr>
            <w:tcW w:w="519" w:type="pct"/>
            <w:vAlign w:val="center"/>
          </w:tcPr>
          <w:p w14:paraId="64F680C2">
            <w:pPr>
              <w:pStyle w:val="133"/>
              <w:rPr>
                <w:b/>
                <w:bCs/>
              </w:rPr>
            </w:pPr>
            <w:r>
              <w:rPr>
                <w:rFonts w:hint="eastAsia"/>
                <w:b/>
                <w:bCs/>
              </w:rPr>
              <w:t>频次</w:t>
            </w:r>
          </w:p>
        </w:tc>
        <w:tc>
          <w:tcPr>
            <w:tcW w:w="955" w:type="pct"/>
            <w:vAlign w:val="center"/>
          </w:tcPr>
          <w:p w14:paraId="5FB67F1F">
            <w:pPr>
              <w:pStyle w:val="133"/>
              <w:rPr>
                <w:b/>
                <w:bCs/>
              </w:rPr>
            </w:pPr>
            <w:r>
              <w:rPr>
                <w:rFonts w:hint="eastAsia"/>
                <w:b/>
                <w:bCs/>
              </w:rPr>
              <w:t>采样类型及采样点</w:t>
            </w:r>
          </w:p>
        </w:tc>
      </w:tr>
      <w:tr w14:paraId="3935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2E803808">
            <w:pPr>
              <w:pStyle w:val="133"/>
            </w:pPr>
            <w:r>
              <w:rPr>
                <w:rFonts w:hint="eastAsia"/>
              </w:rPr>
              <w:t>废气</w:t>
            </w:r>
          </w:p>
          <w:p w14:paraId="07F24415">
            <w:pPr>
              <w:pStyle w:val="133"/>
            </w:pPr>
            <w:r>
              <w:rPr>
                <w:rFonts w:hint="eastAsia"/>
              </w:rPr>
              <w:t>（有组织）</w:t>
            </w:r>
          </w:p>
        </w:tc>
        <w:tc>
          <w:tcPr>
            <w:tcW w:w="2760" w:type="pct"/>
            <w:vAlign w:val="center"/>
          </w:tcPr>
          <w:p w14:paraId="742A7D71">
            <w:pPr>
              <w:pStyle w:val="133"/>
            </w:pPr>
            <w:r>
              <w:rPr>
                <w:rFonts w:hint="eastAsia"/>
              </w:rPr>
              <w:t>颗粒物、二氧化硫、氮氧化物、苯并</w:t>
            </w:r>
            <w:r>
              <w:t>〔</w:t>
            </w:r>
            <w:r>
              <w:rPr>
                <w:rFonts w:hint="eastAsia"/>
              </w:rPr>
              <w:t>a</w:t>
            </w:r>
            <w:r>
              <w:t>〕</w:t>
            </w:r>
            <w:r>
              <w:rPr>
                <w:rFonts w:hint="eastAsia"/>
              </w:rPr>
              <w:t>芘、氟化物</w:t>
            </w:r>
          </w:p>
        </w:tc>
        <w:tc>
          <w:tcPr>
            <w:tcW w:w="519" w:type="pct"/>
            <w:vAlign w:val="center"/>
          </w:tcPr>
          <w:p w14:paraId="1D1B5183">
            <w:pPr>
              <w:pStyle w:val="133"/>
            </w:pPr>
            <w:r>
              <w:rPr>
                <w:rFonts w:hint="eastAsia"/>
              </w:rPr>
              <w:t>1次/季度</w:t>
            </w:r>
          </w:p>
        </w:tc>
        <w:tc>
          <w:tcPr>
            <w:tcW w:w="955" w:type="pct"/>
            <w:vAlign w:val="center"/>
          </w:tcPr>
          <w:p w14:paraId="3C12D300">
            <w:pPr>
              <w:pStyle w:val="133"/>
            </w:pPr>
            <w:r>
              <w:rPr>
                <w:rFonts w:hint="eastAsia"/>
              </w:rPr>
              <w:t>一般排放口</w:t>
            </w:r>
          </w:p>
        </w:tc>
      </w:tr>
      <w:tr w14:paraId="16B4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53ADF483">
            <w:pPr>
              <w:pStyle w:val="133"/>
            </w:pPr>
            <w:r>
              <w:rPr>
                <w:rFonts w:hint="eastAsia"/>
              </w:rPr>
              <w:t>废气</w:t>
            </w:r>
          </w:p>
          <w:p w14:paraId="538A1BC2">
            <w:pPr>
              <w:pStyle w:val="133"/>
            </w:pPr>
            <w:r>
              <w:rPr>
                <w:rFonts w:hint="eastAsia"/>
              </w:rPr>
              <w:t>（厂界）</w:t>
            </w:r>
          </w:p>
        </w:tc>
        <w:tc>
          <w:tcPr>
            <w:tcW w:w="2760" w:type="pct"/>
            <w:vAlign w:val="center"/>
          </w:tcPr>
          <w:p w14:paraId="7457B6F8">
            <w:pPr>
              <w:pStyle w:val="133"/>
            </w:pPr>
            <w:r>
              <w:rPr>
                <w:rFonts w:hint="eastAsia"/>
              </w:rPr>
              <w:t>HCl、非甲烷总烃、氨、硫化氢、TSP、苯并[a]芘、氰化氢、苯、酚类</w:t>
            </w:r>
          </w:p>
        </w:tc>
        <w:tc>
          <w:tcPr>
            <w:tcW w:w="519" w:type="pct"/>
            <w:vAlign w:val="center"/>
          </w:tcPr>
          <w:p w14:paraId="64132B99">
            <w:pPr>
              <w:pStyle w:val="133"/>
            </w:pPr>
            <w:r>
              <w:rPr>
                <w:rFonts w:hint="eastAsia"/>
              </w:rPr>
              <w:t>1次/季度</w:t>
            </w:r>
          </w:p>
        </w:tc>
        <w:tc>
          <w:tcPr>
            <w:tcW w:w="955" w:type="pct"/>
            <w:vAlign w:val="center"/>
          </w:tcPr>
          <w:p w14:paraId="4E7C6ED0">
            <w:pPr>
              <w:pStyle w:val="133"/>
            </w:pPr>
            <w:r>
              <w:rPr>
                <w:rFonts w:hint="eastAsia"/>
              </w:rPr>
              <w:t>厂界东、厂界南、厂界西、厂界北</w:t>
            </w:r>
          </w:p>
        </w:tc>
      </w:tr>
      <w:tr w14:paraId="74E1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1281076E">
            <w:pPr>
              <w:pStyle w:val="133"/>
            </w:pPr>
            <w:r>
              <w:rPr>
                <w:rFonts w:hint="eastAsia"/>
              </w:rPr>
              <w:t>废气</w:t>
            </w:r>
          </w:p>
          <w:p w14:paraId="7B06B26B">
            <w:pPr>
              <w:pStyle w:val="133"/>
            </w:pPr>
            <w:r>
              <w:rPr>
                <w:rFonts w:hint="eastAsia"/>
              </w:rPr>
              <w:t>（焦炉炉顶）</w:t>
            </w:r>
          </w:p>
        </w:tc>
        <w:tc>
          <w:tcPr>
            <w:tcW w:w="2760" w:type="pct"/>
            <w:vAlign w:val="center"/>
          </w:tcPr>
          <w:p w14:paraId="4AF79A32">
            <w:pPr>
              <w:pStyle w:val="133"/>
            </w:pPr>
            <w:r>
              <w:rPr>
                <w:rFonts w:hint="eastAsia"/>
              </w:rPr>
              <w:t>氨、苯并（A）芘、苯可溶物、总悬浮颗粒物、硫化氢</w:t>
            </w:r>
          </w:p>
        </w:tc>
        <w:tc>
          <w:tcPr>
            <w:tcW w:w="519" w:type="pct"/>
            <w:vAlign w:val="center"/>
          </w:tcPr>
          <w:p w14:paraId="17E35C97">
            <w:pPr>
              <w:pStyle w:val="133"/>
            </w:pPr>
            <w:r>
              <w:rPr>
                <w:rFonts w:hint="eastAsia"/>
              </w:rPr>
              <w:t>1次/季度</w:t>
            </w:r>
          </w:p>
        </w:tc>
        <w:tc>
          <w:tcPr>
            <w:tcW w:w="955" w:type="pct"/>
            <w:vAlign w:val="center"/>
          </w:tcPr>
          <w:p w14:paraId="0863B9F7">
            <w:pPr>
              <w:pStyle w:val="133"/>
            </w:pPr>
            <w:r>
              <w:rPr>
                <w:rFonts w:hint="eastAsia"/>
              </w:rPr>
              <w:t>焦炉炉顶</w:t>
            </w:r>
          </w:p>
        </w:tc>
      </w:tr>
      <w:tr w14:paraId="541B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1C2F27E9">
            <w:pPr>
              <w:pStyle w:val="133"/>
            </w:pPr>
            <w:r>
              <w:rPr>
                <w:rFonts w:hint="eastAsia"/>
              </w:rPr>
              <w:t>噪声</w:t>
            </w:r>
          </w:p>
        </w:tc>
        <w:tc>
          <w:tcPr>
            <w:tcW w:w="2760" w:type="pct"/>
            <w:vAlign w:val="center"/>
          </w:tcPr>
          <w:p w14:paraId="581AC406">
            <w:pPr>
              <w:pStyle w:val="133"/>
            </w:pPr>
            <w:r>
              <w:rPr>
                <w:rFonts w:hint="eastAsia"/>
              </w:rPr>
              <w:t>等效A声级</w:t>
            </w:r>
          </w:p>
        </w:tc>
        <w:tc>
          <w:tcPr>
            <w:tcW w:w="519" w:type="pct"/>
            <w:vAlign w:val="center"/>
          </w:tcPr>
          <w:p w14:paraId="15DF04BB">
            <w:pPr>
              <w:pStyle w:val="133"/>
            </w:pPr>
            <w:r>
              <w:rPr>
                <w:rFonts w:hint="eastAsia"/>
              </w:rPr>
              <w:t>1次/季度</w:t>
            </w:r>
          </w:p>
        </w:tc>
        <w:tc>
          <w:tcPr>
            <w:tcW w:w="955" w:type="pct"/>
            <w:vAlign w:val="center"/>
          </w:tcPr>
          <w:p w14:paraId="27C538A6">
            <w:pPr>
              <w:pStyle w:val="133"/>
            </w:pPr>
            <w:r>
              <w:rPr>
                <w:rFonts w:hint="eastAsia"/>
              </w:rPr>
              <w:t>厂界东、厂界南、厂界西、厂界北</w:t>
            </w:r>
          </w:p>
        </w:tc>
      </w:tr>
      <w:tr w14:paraId="24B2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2DC4C4EB">
            <w:pPr>
              <w:pStyle w:val="133"/>
            </w:pPr>
            <w:r>
              <w:rPr>
                <w:rFonts w:hint="eastAsia"/>
              </w:rPr>
              <w:t>地下水</w:t>
            </w:r>
          </w:p>
        </w:tc>
        <w:tc>
          <w:tcPr>
            <w:tcW w:w="2760" w:type="pct"/>
            <w:vAlign w:val="center"/>
          </w:tcPr>
          <w:p w14:paraId="70C32510">
            <w:pPr>
              <w:pStyle w:val="133"/>
            </w:pPr>
            <w:r>
              <w:rPr>
                <w:rFonts w:hint="eastAsia"/>
              </w:rPr>
              <w:t>色、嗅和味、浊度、肉眼可见物、pH值、总硬度、溶解性总固体、硫酸盐、氯化物、铁、锰、铜、锌、铝、挥发酚、阴离子表面活性剂、高锰酸盐指数（耗氧量）、氨氮、化物、钠、亚硝酸盐氮、硝酸盐氮、氰化物、氟化物、碘化物、汞、砷、硒、镉、铬（六价）、铅、三氯甲烷、四氯化碳、苯、甲苯、苯并[a]芘。</w:t>
            </w:r>
          </w:p>
        </w:tc>
        <w:tc>
          <w:tcPr>
            <w:tcW w:w="519" w:type="pct"/>
            <w:vAlign w:val="center"/>
          </w:tcPr>
          <w:p w14:paraId="0971D1C6">
            <w:pPr>
              <w:pStyle w:val="133"/>
            </w:pPr>
            <w:r>
              <w:rPr>
                <w:rFonts w:hint="eastAsia"/>
              </w:rPr>
              <w:t>1次/1年</w:t>
            </w:r>
          </w:p>
        </w:tc>
        <w:tc>
          <w:tcPr>
            <w:tcW w:w="955" w:type="pct"/>
            <w:vAlign w:val="center"/>
          </w:tcPr>
          <w:p w14:paraId="6E894F40">
            <w:pPr>
              <w:pStyle w:val="133"/>
            </w:pPr>
            <w:r>
              <w:rPr>
                <w:rFonts w:hint="eastAsia"/>
              </w:rPr>
              <w:t>地下水井</w:t>
            </w:r>
          </w:p>
        </w:tc>
      </w:tr>
      <w:tr w14:paraId="5C6C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65160A60">
            <w:pPr>
              <w:pStyle w:val="133"/>
            </w:pPr>
            <w:r>
              <w:rPr>
                <w:rFonts w:hint="eastAsia"/>
              </w:rPr>
              <w:t>周边土壤</w:t>
            </w:r>
          </w:p>
        </w:tc>
        <w:tc>
          <w:tcPr>
            <w:tcW w:w="2760" w:type="pct"/>
            <w:vAlign w:val="center"/>
          </w:tcPr>
          <w:p w14:paraId="1998E157">
            <w:pPr>
              <w:pStyle w:val="133"/>
            </w:pPr>
            <w:r>
              <w:rPr>
                <w:rFonts w:hint="eastAsia"/>
              </w:rPr>
              <w:t>基本45项+pH值+石油烃（C10-C40）、氰化物</w:t>
            </w:r>
          </w:p>
        </w:tc>
        <w:tc>
          <w:tcPr>
            <w:tcW w:w="519" w:type="pct"/>
            <w:vAlign w:val="center"/>
          </w:tcPr>
          <w:p w14:paraId="19097FA1">
            <w:pPr>
              <w:pStyle w:val="133"/>
            </w:pPr>
            <w:r>
              <w:rPr>
                <w:rFonts w:hint="eastAsia"/>
              </w:rPr>
              <w:t>1次/1年</w:t>
            </w:r>
          </w:p>
        </w:tc>
        <w:tc>
          <w:tcPr>
            <w:tcW w:w="955" w:type="pct"/>
            <w:vAlign w:val="center"/>
          </w:tcPr>
          <w:p w14:paraId="1C71FFBC">
            <w:pPr>
              <w:pStyle w:val="133"/>
            </w:pPr>
            <w:r>
              <w:rPr>
                <w:rFonts w:hint="eastAsia"/>
              </w:rPr>
              <w:t>厂区土壤</w:t>
            </w:r>
          </w:p>
        </w:tc>
      </w:tr>
    </w:tbl>
    <w:p w14:paraId="4A1B3504">
      <w:pPr>
        <w:pStyle w:val="133"/>
      </w:pPr>
    </w:p>
    <w:p w14:paraId="10CDAE27">
      <w:pPr>
        <w:pStyle w:val="117"/>
        <w:ind w:firstLine="480"/>
      </w:pPr>
      <w:bookmarkStart w:id="242" w:name="_Hlk160729087"/>
      <w:bookmarkStart w:id="243" w:name="_Hlk158151587"/>
      <w:r>
        <w:rPr>
          <w:rFonts w:hint="eastAsia"/>
        </w:rPr>
        <w:t>（4）排污许可证执行报告编制情况</w:t>
      </w:r>
    </w:p>
    <w:bookmarkEnd w:id="242"/>
    <w:p w14:paraId="3D9EBD86">
      <w:pPr>
        <w:pStyle w:val="117"/>
        <w:ind w:firstLine="480"/>
      </w:pPr>
      <w:r>
        <w:rPr>
          <w:rFonts w:hint="eastAsia"/>
        </w:rPr>
        <w:t>企业在全国排污许可证管理信息平台公开端（</w:t>
      </w:r>
      <w:r>
        <w:t>https://permit.mee.gov.cn/permitExt/defaults/default-index!getInformation.action</w:t>
      </w:r>
      <w:r>
        <w:rPr>
          <w:rFonts w:hint="eastAsia"/>
        </w:rPr>
        <w:t>）填报了排污许可报告（含月报、季报及年报）。排污许可证执行报告是按期填报，登记了正常时段废气年度许可排放量、各季度及年度实际排放量等。</w:t>
      </w:r>
    </w:p>
    <w:p w14:paraId="0DD98FBB">
      <w:pPr>
        <w:pStyle w:val="117"/>
        <w:ind w:firstLine="480"/>
      </w:pPr>
      <w:r>
        <w:rPr>
          <w:rFonts w:hint="eastAsia"/>
        </w:rPr>
        <w:t>（5）环境管理台账记录情况</w:t>
      </w:r>
    </w:p>
    <w:p w14:paraId="6E6BA870">
      <w:pPr>
        <w:pStyle w:val="117"/>
        <w:ind w:firstLine="480"/>
      </w:pPr>
      <w:bookmarkStart w:id="244" w:name="_Hlk160729021"/>
      <w:r>
        <w:rPr>
          <w:rFonts w:hint="eastAsia"/>
        </w:rPr>
        <w:t>新疆金盛镁业有限公司</w:t>
      </w:r>
      <w:r>
        <w:t>按照《排污单位环境管理台帐及排污许可证执行报告技术规范总则（试行）》（HJ944-2018、）《排污许可证申请与核发技术规范 炼焦化学工业》（HJ 854-2017）《排污许可证申请与核发技术规范 锅炉》（HJ953-2018）</w:t>
      </w:r>
      <w:r>
        <w:rPr>
          <w:rFonts w:hint="eastAsia"/>
        </w:rPr>
        <w:t>制定了环境管理台账制度，</w:t>
      </w:r>
      <w:r>
        <w:t>建立健全环境台账和环境档案管理与保密制度、污染防治设施设计技术改进及运行资料、污染源调查技术档案、环境监测及评价资料、项目平面图和给排水管网图等。</w:t>
      </w:r>
    </w:p>
    <w:bookmarkEnd w:id="244"/>
    <w:p w14:paraId="3329B0AC">
      <w:pPr>
        <w:pStyle w:val="117"/>
        <w:ind w:firstLine="199" w:firstLineChars="83"/>
      </w:pPr>
      <w:bookmarkStart w:id="245" w:name="_Hlk160134642"/>
      <w:r>
        <w:rPr>
          <w:rFonts w:hint="eastAsia"/>
        </w:rPr>
        <w:t>（6）环境信息披露情况</w:t>
      </w:r>
    </w:p>
    <w:p w14:paraId="616B842F">
      <w:pPr>
        <w:pStyle w:val="117"/>
        <w:ind w:firstLine="480"/>
      </w:pPr>
      <w:r>
        <w:rPr>
          <w:rFonts w:hint="eastAsia"/>
        </w:rPr>
        <w:t>新疆金盛镁业有限公司在新疆维吾尔自治区污染源监测数据管理与信息共享公开平台（</w:t>
      </w:r>
      <w:r>
        <w:t>http://www.xjmic.com:8012/PollutionMonitor-xj/publish.do</w:t>
      </w:r>
      <w:r>
        <w:rPr>
          <w:rFonts w:hint="eastAsia"/>
        </w:rPr>
        <w:t>）公开企业环境质量及污染源监测情况。每季度例行监测工作完成后，企业也公开具体的检测项目监测频次，监测结果、执行标准等情况。</w:t>
      </w:r>
    </w:p>
    <w:p w14:paraId="74BAE6C6">
      <w:pPr>
        <w:pStyle w:val="117"/>
        <w:ind w:firstLine="480"/>
      </w:pPr>
      <w:r>
        <w:rPr>
          <w:rFonts w:hint="eastAsia"/>
        </w:rPr>
        <w:t>新疆金盛镁业有限公司在全国排污许可证管理信息平台公开端（</w:t>
      </w:r>
      <w:r>
        <w:t>https://permit.mee.gov.cn/permitExt/defaults/default-index!getInformation.action</w:t>
      </w:r>
      <w:r>
        <w:rPr>
          <w:rFonts w:hint="eastAsia"/>
        </w:rPr>
        <w:t>）公开企业基本信息、污染源排放正本、副本、排污许可报告（含月报、季报及年报）、污染物排放信息（含大气、废水、固体废物等）等相关信息。</w:t>
      </w:r>
    </w:p>
    <w:p w14:paraId="413422C1">
      <w:pPr>
        <w:pStyle w:val="117"/>
        <w:ind w:firstLine="480"/>
      </w:pPr>
      <w:r>
        <w:t>《企业环境信息依法披露管理办法》要求，排污企业应依法通过网站、企业事业单位环境信息公开平台或者当地报刊等便于公众知晓的方式公开环境信息，企业环境信息公开采取自愿公开与强制公开相结合。</w:t>
      </w:r>
    </w:p>
    <w:p w14:paraId="08262474">
      <w:pPr>
        <w:pStyle w:val="117"/>
        <w:ind w:firstLine="480"/>
      </w:pPr>
      <w:r>
        <w:t>《企业环境信息依法披露管理办法》</w:t>
      </w:r>
      <w:r>
        <w:rPr>
          <w:rFonts w:hint="eastAsia"/>
        </w:rPr>
        <w:t>要求企业年度环境信息依法披露报告应当包括以下内容：</w:t>
      </w:r>
    </w:p>
    <w:p w14:paraId="3A511D8E">
      <w:pPr>
        <w:pStyle w:val="117"/>
        <w:ind w:firstLine="480"/>
      </w:pPr>
      <w:r>
        <w:rPr>
          <w:rFonts w:hint="eastAsia"/>
        </w:rPr>
        <w:t>（一）企业基本信息，包括企业生产和生态环境保护等方面的基础信息；</w:t>
      </w:r>
    </w:p>
    <w:p w14:paraId="54E798E4">
      <w:pPr>
        <w:pStyle w:val="117"/>
        <w:ind w:firstLine="480"/>
      </w:pPr>
      <w:r>
        <w:rPr>
          <w:rFonts w:hint="eastAsia"/>
        </w:rPr>
        <w:t>（二）企业环境管理信息，包括生态环境行政许可、环境保护税、环境污染责任保险、环保信用评价等方面的信息；</w:t>
      </w:r>
    </w:p>
    <w:p w14:paraId="53E14788">
      <w:pPr>
        <w:pStyle w:val="117"/>
        <w:ind w:firstLine="480"/>
      </w:pPr>
      <w:r>
        <w:rPr>
          <w:rFonts w:hint="eastAsia"/>
        </w:rPr>
        <w:t>（三）污染物产生、治理与排放信息，包括污染防治设施，污染物排放，有毒有害物质排放，工业固体废物和危险废物产生、贮存、流向、利用、处置，自行监测等方面的信息；</w:t>
      </w:r>
    </w:p>
    <w:p w14:paraId="04820B0B">
      <w:pPr>
        <w:pStyle w:val="117"/>
        <w:ind w:firstLine="480"/>
      </w:pPr>
      <w:r>
        <w:rPr>
          <w:rFonts w:hint="eastAsia"/>
        </w:rPr>
        <w:t>（四）碳排放信息，包括排放量、排放设施等方面的信息；</w:t>
      </w:r>
    </w:p>
    <w:p w14:paraId="0BEE6849">
      <w:pPr>
        <w:pStyle w:val="117"/>
        <w:ind w:firstLine="480"/>
      </w:pPr>
      <w:r>
        <w:rPr>
          <w:rFonts w:hint="eastAsia"/>
        </w:rPr>
        <w:t>（五）生态环境应急信息，包括突发环境事件应急预案、重污染天气应急响应等方面的信息；</w:t>
      </w:r>
    </w:p>
    <w:p w14:paraId="54237057">
      <w:pPr>
        <w:pStyle w:val="117"/>
        <w:ind w:firstLine="480"/>
      </w:pPr>
      <w:r>
        <w:rPr>
          <w:rFonts w:hint="eastAsia"/>
        </w:rPr>
        <w:t>（六）生态环境违法信息；</w:t>
      </w:r>
    </w:p>
    <w:p w14:paraId="6E999FCE">
      <w:pPr>
        <w:pStyle w:val="117"/>
        <w:ind w:firstLine="480"/>
      </w:pPr>
      <w:r>
        <w:rPr>
          <w:rFonts w:hint="eastAsia"/>
        </w:rPr>
        <w:t>（七）本年度临时环境信息依法披露情况；</w:t>
      </w:r>
    </w:p>
    <w:p w14:paraId="169498C0">
      <w:pPr>
        <w:pStyle w:val="117"/>
        <w:ind w:firstLine="480"/>
      </w:pPr>
      <w:r>
        <w:rPr>
          <w:rFonts w:hint="eastAsia"/>
        </w:rPr>
        <w:t>（八）法律法规规定的其他环境信息。</w:t>
      </w:r>
    </w:p>
    <w:p w14:paraId="5DB4BB6A">
      <w:pPr>
        <w:pStyle w:val="117"/>
        <w:ind w:firstLine="480"/>
      </w:pPr>
      <w:bookmarkStart w:id="246" w:name="_Hlk186473133"/>
      <w:bookmarkStart w:id="247" w:name="_Hlk157967273"/>
      <w:r>
        <w:rPr>
          <w:rFonts w:hint="eastAsia"/>
        </w:rPr>
        <w:t>新疆金盛镁业有限公司在</w:t>
      </w:r>
      <w:r>
        <w:t>新疆维吾尔自治区企业环境信息披露与信用评价系统</w:t>
      </w:r>
      <w:bookmarkEnd w:id="246"/>
      <w:r>
        <w:rPr>
          <w:rFonts w:hint="eastAsia"/>
        </w:rPr>
        <w:t>（</w:t>
      </w:r>
      <w:r>
        <w:t>https://124.117.235.203:9015/index</w:t>
      </w:r>
      <w:r>
        <w:rPr>
          <w:rFonts w:hint="eastAsia"/>
        </w:rPr>
        <w:t>），根据</w:t>
      </w:r>
      <w:r>
        <w:t>《企业环境信息依法披露管理办法》</w:t>
      </w:r>
      <w:bookmarkStart w:id="248" w:name="_Hlk186473162"/>
      <w:r>
        <w:rPr>
          <w:rFonts w:hint="eastAsia"/>
        </w:rPr>
        <w:t>披露企业各项信息。</w:t>
      </w:r>
      <w:bookmarkEnd w:id="243"/>
      <w:bookmarkEnd w:id="247"/>
    </w:p>
    <w:bookmarkEnd w:id="248"/>
    <w:p w14:paraId="7986BE27">
      <w:pPr>
        <w:pStyle w:val="117"/>
        <w:ind w:firstLine="480"/>
      </w:pPr>
      <w:r>
        <w:rPr>
          <w:rFonts w:hint="eastAsia"/>
        </w:rPr>
        <w:t>（7）排污许可制度执行情况</w:t>
      </w:r>
    </w:p>
    <w:p w14:paraId="4139C68B">
      <w:pPr>
        <w:pStyle w:val="117"/>
        <w:ind w:firstLine="480"/>
      </w:pPr>
      <w:r>
        <w:rPr>
          <w:rFonts w:hint="eastAsia"/>
        </w:rPr>
        <w:t>企业严格遵守排污许可证规定，按照生态环境管理要求运行和维护污染防治设施建立了环境管理制度，按照要求严格控制污染物排放。污染物排放口位置和数量、污染物排放方式和排放去向与排污许可证规定相符，同时规范化建设了污染物排放口；企业按照排污许可证规定和有关标准规范，依法开展了自行监测，并保存原始检测记录。</w:t>
      </w:r>
      <w:bookmarkEnd w:id="240"/>
    </w:p>
    <w:p w14:paraId="60829D62">
      <w:pPr>
        <w:pStyle w:val="117"/>
        <w:ind w:firstLine="480"/>
      </w:pPr>
      <w:bookmarkStart w:id="249" w:name="_Hlk177574444"/>
      <w:r>
        <w:rPr>
          <w:rFonts w:hint="eastAsia"/>
        </w:rPr>
        <w:t>（8）排污许可填报的问题</w:t>
      </w:r>
    </w:p>
    <w:p w14:paraId="0DDC9F1B">
      <w:pPr>
        <w:pStyle w:val="117"/>
        <w:ind w:firstLine="480"/>
      </w:pPr>
      <w:r>
        <w:rPr>
          <w:rFonts w:hint="eastAsia"/>
        </w:rPr>
        <w:t>大气污染物排放执行标准为《炼焦化学工业污染物排放标准》（GB16171-2012），未及时更新为《关于推进实施焦化行业超低排放的意见》（环大气〔2024〕5号）要求的更严格的排放限值。</w:t>
      </w:r>
    </w:p>
    <w:bookmarkEnd w:id="245"/>
    <w:bookmarkEnd w:id="249"/>
    <w:p w14:paraId="63D094DD">
      <w:pPr>
        <w:pStyle w:val="138"/>
        <w:rPr>
          <w:rFonts w:hint="eastAsia"/>
        </w:rPr>
      </w:pPr>
      <w:r>
        <w:rPr>
          <w:rFonts w:hint="eastAsia"/>
        </w:rPr>
        <w:t>排污口规范化管理</w:t>
      </w:r>
    </w:p>
    <w:p w14:paraId="53EBDC1E">
      <w:pPr>
        <w:pStyle w:val="117"/>
        <w:ind w:firstLine="480"/>
        <w:rPr>
          <w:szCs w:val="28"/>
          <w:lang w:val="zh-CN"/>
        </w:rPr>
      </w:pPr>
      <w:r>
        <w:rPr>
          <w:rFonts w:hint="eastAsia"/>
        </w:rPr>
        <w:t>本项目排污口为各废气排气筒，排气筒监测点位均搭设采样平台并设有永久性采样孔；设置了规范化的污染物排放标识牌。</w:t>
      </w:r>
    </w:p>
    <w:p w14:paraId="1A685214">
      <w:pPr>
        <w:pStyle w:val="138"/>
        <w:rPr>
          <w:rFonts w:hint="eastAsia"/>
          <w:lang w:val="zh-CN"/>
        </w:rPr>
      </w:pPr>
      <w:r>
        <w:rPr>
          <w:rFonts w:hint="eastAsia"/>
          <w:lang w:val="zh-CN"/>
        </w:rPr>
        <w:t>清洁生产审核及验收情况</w:t>
      </w:r>
    </w:p>
    <w:p w14:paraId="2F218150">
      <w:pPr>
        <w:pStyle w:val="117"/>
        <w:ind w:firstLine="480"/>
      </w:pPr>
      <w:r>
        <w:rPr>
          <w:rFonts w:hint="eastAsia"/>
        </w:rPr>
        <w:t>新疆金盛镁业有限公司</w:t>
      </w:r>
      <w:r>
        <w:t>，在咨询机构指导下于2020年6月在企业内部开展清洁生产审核工作。2021年3月通过哈密市生态环境局备案</w:t>
      </w:r>
      <w:r>
        <w:rPr>
          <w:rFonts w:hint="eastAsia"/>
        </w:rPr>
        <w:t>，2023年10月完成了新疆金盛镁业有限公司清洁生产审核验收报告的编制，并在哈密市生态环境局备案。</w:t>
      </w:r>
    </w:p>
    <w:p w14:paraId="336AAECF">
      <w:pPr>
        <w:pStyle w:val="138"/>
        <w:rPr>
          <w:rFonts w:hint="eastAsia"/>
        </w:rPr>
      </w:pPr>
      <w:r>
        <w:rPr>
          <w:rFonts w:hint="eastAsia"/>
        </w:rPr>
        <w:t>应急预案与演练</w:t>
      </w:r>
    </w:p>
    <w:p w14:paraId="1EC0FF63">
      <w:pPr>
        <w:pStyle w:val="117"/>
        <w:ind w:firstLine="480"/>
      </w:pPr>
      <w:r>
        <w:rPr>
          <w:rFonts w:hint="eastAsia"/>
        </w:rPr>
        <w:t>新疆金盛镁业有限</w:t>
      </w:r>
      <w:r>
        <w:rPr>
          <w:rFonts w:hint="eastAsia"/>
          <w:lang w:val="zh-CN"/>
        </w:rPr>
        <w:t>公司</w:t>
      </w:r>
      <w:r>
        <w:rPr>
          <w:rFonts w:hint="eastAsia"/>
        </w:rPr>
        <w:t>针对本项目生产过程中可能出现的污染事故制定了《新疆金盛镁业有限公司突发环境事件应急预案》，以应对事故状况下的污染物排放，并定期组织员工学习各项相关制度，在各个生产装置进行实际演练，切实做到警钟长鸣，防患于未然。</w:t>
      </w:r>
    </w:p>
    <w:p w14:paraId="6D1237AD">
      <w:pPr>
        <w:pStyle w:val="117"/>
        <w:ind w:firstLine="480"/>
      </w:pPr>
      <w:r>
        <w:rPr>
          <w:rFonts w:hint="eastAsia"/>
        </w:rPr>
        <w:t>新疆金盛镁业有限</w:t>
      </w:r>
      <w:r>
        <w:rPr>
          <w:rFonts w:hint="eastAsia"/>
          <w:lang w:val="zh-CN"/>
        </w:rPr>
        <w:t>公司</w:t>
      </w:r>
      <w:r>
        <w:rPr>
          <w:rFonts w:hint="eastAsia"/>
        </w:rPr>
        <w:t>于2024年8月修订并发布了《新疆金盛镁业有限公司突发环境事件应急预案》，并在哈密市生态环境局完成备案，备案编号为：650500-20</w:t>
      </w:r>
      <w:r>
        <w:t>2</w:t>
      </w:r>
      <w:r>
        <w:rPr>
          <w:rFonts w:hint="eastAsia"/>
        </w:rPr>
        <w:t>4-57-L。</w:t>
      </w:r>
    </w:p>
    <w:p w14:paraId="6EEEE952">
      <w:pPr>
        <w:pStyle w:val="117"/>
        <w:ind w:firstLine="480"/>
      </w:pPr>
      <w:r>
        <w:rPr>
          <w:rFonts w:hint="eastAsia"/>
        </w:rPr>
        <w:t>现有工程的环境风险事故主要来自环保设施故障情况引起的生产废水、各类废气污染物超标排放，火灾、爆炸及危化品泄漏等引发的安全事故及环境污染事故。</w:t>
      </w:r>
      <w:r>
        <w:rPr>
          <w:rFonts w:hint="eastAsia" w:ascii="宋体" w:hAnsi="宋体"/>
          <w:spacing w:val="-4"/>
        </w:rPr>
        <w:t>新疆金盛镁业有限公司</w:t>
      </w:r>
      <w:r>
        <w:t>根据本项目使用、贮存环境污染目标的品种、数量、危险性质及可能引起化学事故的特点，确定</w:t>
      </w:r>
      <w:r>
        <w:rPr>
          <w:rFonts w:hint="eastAsia"/>
        </w:rPr>
        <w:t>了</w:t>
      </w:r>
      <w:r>
        <w:t>风险防范重点目标</w:t>
      </w:r>
      <w:r>
        <w:rPr>
          <w:rFonts w:hint="eastAsia"/>
        </w:rPr>
        <w:t>，制定《新疆金盛镁业有限公司突发环境事件应急预案》，以应对事故状况下的污染物排放，并定期组织员工学习各项相关制度，在各个生产装置进行实际演练，切实做到警钟长鸣，防患于未然。</w:t>
      </w:r>
    </w:p>
    <w:p w14:paraId="5E79EA32">
      <w:pPr>
        <w:pStyle w:val="117"/>
        <w:ind w:firstLine="480"/>
      </w:pPr>
      <w:r>
        <w:t>公司定期组织</w:t>
      </w:r>
      <w:r>
        <w:rPr>
          <w:rFonts w:hint="eastAsia"/>
        </w:rPr>
        <w:t>员工</w:t>
      </w:r>
      <w:r>
        <w:t>对</w:t>
      </w:r>
      <w:r>
        <w:rPr>
          <w:rFonts w:hint="eastAsia"/>
        </w:rPr>
        <w:t>《新疆金盛镁业有限公司突发环境事件应急预案》</w:t>
      </w:r>
      <w:r>
        <w:t>进行宣贯学习，使每个人了解和掌握职责和任务；按照演练计划，每年定期组织应急</w:t>
      </w:r>
      <w:r>
        <w:rPr>
          <w:rFonts w:hint="eastAsia"/>
        </w:rPr>
        <w:t>预案</w:t>
      </w:r>
      <w:r>
        <w:t>演练，锻炼</w:t>
      </w:r>
      <w:r>
        <w:rPr>
          <w:rFonts w:hint="eastAsia"/>
        </w:rPr>
        <w:t>员工</w:t>
      </w:r>
      <w:r>
        <w:t>的快速反应能力，加强各个环节之间的配合，及时解决演习中暴露出来的问题。</w:t>
      </w:r>
    </w:p>
    <w:p w14:paraId="061A604D">
      <w:pPr>
        <w:pStyle w:val="138"/>
        <w:rPr>
          <w:rFonts w:hint="eastAsia"/>
        </w:rPr>
      </w:pPr>
      <w:r>
        <w:rPr>
          <w:rFonts w:hint="eastAsia"/>
        </w:rPr>
        <w:t>地下水及土壤隐患排查工作</w:t>
      </w:r>
    </w:p>
    <w:p w14:paraId="3CED1F2C">
      <w:pPr>
        <w:pStyle w:val="117"/>
        <w:ind w:firstLine="480"/>
      </w:pPr>
      <w:r>
        <w:rPr>
          <w:rFonts w:hint="eastAsia"/>
        </w:rPr>
        <w:t>根据《环境监管重点单位名录管理办法》（中华人民共和国生态环境部令第27号），规模以上焦化企业应当列为土壤污染重点监管单位。新建金盛镁业有限公司应被列为土壤污染重点监管单位。</w:t>
      </w:r>
    </w:p>
    <w:p w14:paraId="6FD1B379">
      <w:pPr>
        <w:pStyle w:val="117"/>
        <w:ind w:firstLine="480"/>
      </w:pPr>
      <w:r>
        <w:rPr>
          <w:rFonts w:hint="eastAsia"/>
        </w:rPr>
        <w:t>根据《重点监管单位土壤污染隐患排查指南（试行）》（生态环境部公告 2021年 第1号），土壤污染重点监管单位（重点监管单位）是土壤污染隐患排查工作的实施主体，应建立隐患排查组织领导机构，配备相应的管理和技术人员，可根据自身技术能力情况，自行组织开展排查，或者委托相关技术单位协助完成排查。</w:t>
      </w:r>
    </w:p>
    <w:p w14:paraId="5ADF16A7">
      <w:pPr>
        <w:pStyle w:val="117"/>
        <w:ind w:firstLine="480"/>
      </w:pPr>
      <w:r>
        <w:t xml:space="preserve">新疆金盛镁业有限公司属于哈密市土壤污染重点监管单位。企业根据《重点监管单位土壤污染隐患排查指南（试行）》（生态环境部2021年第1号公告）、关于印发《炼焦化学工业企业土壤污染隐患排查技术指南》的通知（环办土壤函〔2022〕445号）要求，于2021年12月编制完成了《新疆金盛镁业有限公司土壤污染隐患排查报告》。 </w:t>
      </w:r>
    </w:p>
    <w:p w14:paraId="3B74DB83">
      <w:pPr>
        <w:pStyle w:val="117"/>
        <w:ind w:firstLine="480"/>
        <w:rPr>
          <w:szCs w:val="28"/>
        </w:rPr>
      </w:pPr>
      <w:r>
        <w:t>根据《新疆金盛镁业有限公司土壤污染隐患排查报告》，企业厂区内土壤监测点2020和2021年监测报告显示，企业厂区内土壤质量可以满足</w:t>
      </w:r>
      <w:r>
        <w:rPr>
          <w:rFonts w:hint="eastAsia"/>
        </w:rPr>
        <w:t>《</w:t>
      </w:r>
      <w:r>
        <w:t>土壤环境质量</w:t>
      </w:r>
      <w:r>
        <w:rPr>
          <w:rFonts w:hint="eastAsia"/>
        </w:rPr>
        <w:t xml:space="preserve"> </w:t>
      </w:r>
      <w:r>
        <w:t>建设用地污染风险管控标准（试行）</w:t>
      </w:r>
      <w:r>
        <w:rPr>
          <w:rFonts w:hint="eastAsia"/>
        </w:rPr>
        <w:t>》</w:t>
      </w:r>
      <w:r>
        <w:t>（GB36600-2018）表1中第二类筛选值标准。企业对焦油储罐区、氨水收集池、应急事故池、危险废物暂存间、各管线、生产装置、企业管理等内容进行逐一排查。排查结果显示：企业各设施现场未见</w:t>
      </w:r>
      <w:r>
        <w:rPr>
          <w:rFonts w:hint="eastAsia"/>
        </w:rPr>
        <w:t>泄漏</w:t>
      </w:r>
      <w:r>
        <w:t>痕迹，应急事故池位于地下，但未设置检漏措施。企业制定有定期检查及维修制度，发现问题及时检修，可以有效减少土壤污染事件发生的概率</w:t>
      </w:r>
      <w:r>
        <w:rPr>
          <w:rFonts w:hint="eastAsia"/>
        </w:rPr>
        <w:t>。</w:t>
      </w:r>
    </w:p>
    <w:p w14:paraId="0D15F813">
      <w:pPr>
        <w:pStyle w:val="946"/>
      </w:pPr>
      <w:bookmarkStart w:id="250" w:name="_Toc175154647"/>
      <w:bookmarkStart w:id="251" w:name="_Toc205291375"/>
      <w:bookmarkStart w:id="252" w:name="_Toc175155730"/>
      <w:r>
        <w:rPr>
          <w:rFonts w:hint="eastAsia"/>
        </w:rPr>
        <w:t>现有环境问题及“以新带老”环保措施</w:t>
      </w:r>
      <w:bookmarkEnd w:id="250"/>
      <w:bookmarkEnd w:id="251"/>
      <w:bookmarkEnd w:id="252"/>
    </w:p>
    <w:p w14:paraId="1EDAAF52">
      <w:pPr>
        <w:pStyle w:val="138"/>
        <w:rPr>
          <w:rFonts w:hint="eastAsia"/>
        </w:rPr>
      </w:pPr>
      <w:bookmarkStart w:id="253" w:name="_Hlk177574465"/>
      <w:r>
        <w:rPr>
          <w:rFonts w:hint="eastAsia"/>
        </w:rPr>
        <w:t>现有工程存在的主要环境问题</w:t>
      </w:r>
    </w:p>
    <w:p w14:paraId="46849C07">
      <w:pPr>
        <w:pStyle w:val="117"/>
        <w:ind w:firstLine="480"/>
      </w:pPr>
      <w:r>
        <w:rPr>
          <w:rFonts w:hint="eastAsia"/>
        </w:rPr>
        <w:t>（</w:t>
      </w:r>
      <w:r>
        <w:t>1</w:t>
      </w:r>
      <w:r>
        <w:rPr>
          <w:rFonts w:hint="eastAsia"/>
        </w:rPr>
        <w:t>）</w:t>
      </w:r>
      <w:bookmarkStart w:id="254" w:name="_Hlk177579350"/>
      <w:r>
        <w:rPr>
          <w:rFonts w:hint="eastAsia"/>
        </w:rPr>
        <w:t>兰炭分厂中炭化装煤废气和兰炭筛分废气的污染物排放浓度满足</w:t>
      </w:r>
      <w:bookmarkStart w:id="255" w:name="OLE_LINK59"/>
      <w:r>
        <w:rPr>
          <w:rFonts w:hint="eastAsia"/>
        </w:rPr>
        <w:t>《炼焦化学工业大气污染物排放标准》（</w:t>
      </w:r>
      <w:r>
        <w:t>GB 16171.1-2024</w:t>
      </w:r>
      <w:r>
        <w:rPr>
          <w:rFonts w:hint="eastAsia"/>
        </w:rPr>
        <w:t>）</w:t>
      </w:r>
      <w:bookmarkEnd w:id="255"/>
      <w:r>
        <w:rPr>
          <w:rFonts w:hint="eastAsia"/>
        </w:rPr>
        <w:t>中表</w:t>
      </w:r>
      <w:r>
        <w:t>1</w:t>
      </w:r>
      <w:r>
        <w:rPr>
          <w:rFonts w:hint="eastAsia"/>
        </w:rPr>
        <w:t>大气污染物排放限值，不满足《关于推进实施焦化行业超低排放的意见》（环大气〔</w:t>
      </w:r>
      <w:r>
        <w:t>2024</w:t>
      </w:r>
      <w:r>
        <w:rPr>
          <w:rFonts w:hint="eastAsia"/>
        </w:rPr>
        <w:t>〕</w:t>
      </w:r>
      <w:r>
        <w:t>5</w:t>
      </w:r>
      <w:r>
        <w:rPr>
          <w:rFonts w:hint="eastAsia"/>
        </w:rPr>
        <w:t>号）中附表</w:t>
      </w:r>
      <w:r>
        <w:t>1</w:t>
      </w:r>
      <w:r>
        <w:rPr>
          <w:rFonts w:hint="eastAsia"/>
        </w:rPr>
        <w:t>有组织排放指标限值。</w:t>
      </w:r>
      <w:bookmarkEnd w:id="254"/>
    </w:p>
    <w:p w14:paraId="68629E12">
      <w:pPr>
        <w:pStyle w:val="117"/>
        <w:ind w:firstLine="480"/>
      </w:pPr>
      <w:r>
        <w:rPr>
          <w:rFonts w:hint="eastAsia"/>
        </w:rPr>
        <w:t>（</w:t>
      </w:r>
      <w:r>
        <w:t>2</w:t>
      </w:r>
      <w:r>
        <w:rPr>
          <w:rFonts w:hint="eastAsia"/>
        </w:rPr>
        <w:t>）现有工程未对厂内</w:t>
      </w:r>
      <w:r>
        <w:t>VOCs</w:t>
      </w:r>
      <w:r>
        <w:rPr>
          <w:rFonts w:hint="eastAsia"/>
        </w:rPr>
        <w:t>废气进行收集处理，作为本项目</w:t>
      </w:r>
      <w:r>
        <w:t>VOCs</w:t>
      </w:r>
      <w:r>
        <w:rPr>
          <w:rFonts w:hint="eastAsia"/>
        </w:rPr>
        <w:t>废气无组织排放替代污染源，</w:t>
      </w:r>
      <w:r>
        <w:t>不符合《焦化行业规范条件（2020年修订）》《炼焦化学工业废气治理工程技术规范 》（（HJ 1280—2023））《关于推进实施焦化行业超低排放的意见》《钢铁、焦化建设项目环境影响评价文件审批原则》等管理要求</w:t>
      </w:r>
      <w:r>
        <w:rPr>
          <w:rFonts w:hint="eastAsia"/>
        </w:rPr>
        <w:t>。</w:t>
      </w:r>
    </w:p>
    <w:p w14:paraId="2A56F71A">
      <w:pPr>
        <w:pStyle w:val="117"/>
        <w:ind w:firstLine="480"/>
      </w:pPr>
      <w:r>
        <w:rPr>
          <w:rFonts w:hint="eastAsia"/>
        </w:rPr>
        <w:t>（</w:t>
      </w:r>
      <w:r>
        <w:t>3</w:t>
      </w:r>
      <w:r>
        <w:rPr>
          <w:rFonts w:hint="eastAsia"/>
        </w:rPr>
        <w:t>）根据</w:t>
      </w:r>
      <w:r>
        <w:t>2023</w:t>
      </w:r>
      <w:r>
        <w:rPr>
          <w:rFonts w:hint="eastAsia"/>
        </w:rPr>
        <w:t>年现有工程例行监测报告，各生产设施废气有组织排放、厂界及焦炉炉顶废气无组织排放的部分污染因子未完全按照自行监测方案要求开展例行检测；自行监测方案部分因子及有缺失，不符合《排污单位自行监测技术指南</w:t>
      </w:r>
      <w:r>
        <w:t xml:space="preserve"> </w:t>
      </w:r>
      <w:r>
        <w:rPr>
          <w:rFonts w:hint="eastAsia"/>
        </w:rPr>
        <w:t>钢铁工业及炼焦化学工业》（</w:t>
      </w:r>
      <w:r>
        <w:t>HJ 878-2017</w:t>
      </w:r>
      <w:r>
        <w:rPr>
          <w:rFonts w:hint="eastAsia"/>
        </w:rPr>
        <w:t>）对炼焦化学工业自行监测要求。</w:t>
      </w:r>
    </w:p>
    <w:p w14:paraId="65525CC3">
      <w:pPr>
        <w:pStyle w:val="117"/>
        <w:ind w:firstLine="480"/>
      </w:pPr>
      <w:r>
        <w:rPr>
          <w:rFonts w:hint="eastAsia"/>
        </w:rPr>
        <w:t>（4）现有工程采用的是水封式炉内熄焦，属于湿熄焦，不符合《产业结构调整指导目录（2024年本）》及</w:t>
      </w:r>
      <w:r>
        <w:t>《关于推进实施焦化行业超低排放的意见》</w:t>
      </w:r>
      <w:r>
        <w:rPr>
          <w:rFonts w:hint="eastAsia"/>
        </w:rPr>
        <w:t>的相关</w:t>
      </w:r>
      <w:r>
        <w:t>要求</w:t>
      </w:r>
      <w:r>
        <w:rPr>
          <w:rFonts w:hint="eastAsia"/>
        </w:rPr>
        <w:t>。</w:t>
      </w:r>
    </w:p>
    <w:p w14:paraId="23BD8726">
      <w:pPr>
        <w:pStyle w:val="138"/>
        <w:rPr>
          <w:rFonts w:hint="eastAsia"/>
        </w:rPr>
      </w:pPr>
      <w:r>
        <w:rPr>
          <w:rFonts w:hint="eastAsia"/>
        </w:rPr>
        <w:t>“以新带老”措施</w:t>
      </w:r>
    </w:p>
    <w:p w14:paraId="38F67C45">
      <w:pPr>
        <w:pStyle w:val="117"/>
        <w:ind w:firstLine="480"/>
      </w:pPr>
      <w:r>
        <w:rPr>
          <w:rFonts w:hint="eastAsia"/>
        </w:rPr>
        <w:t>针对现有环境问题，改造项目采取以下措施：</w:t>
      </w:r>
    </w:p>
    <w:p w14:paraId="630A3722">
      <w:pPr>
        <w:pStyle w:val="117"/>
        <w:ind w:firstLine="480"/>
      </w:pPr>
      <w:r>
        <w:rPr>
          <w:rFonts w:hint="eastAsia"/>
        </w:rPr>
        <w:t>（</w:t>
      </w:r>
      <w:r>
        <w:t>1</w:t>
      </w:r>
      <w:r>
        <w:rPr>
          <w:rFonts w:hint="eastAsia"/>
        </w:rPr>
        <w:t>）</w:t>
      </w:r>
      <w:bookmarkStart w:id="256" w:name="_Hlk191659389"/>
      <w:bookmarkStart w:id="257" w:name="_Hlk177579363"/>
      <w:r>
        <w:rPr>
          <w:rFonts w:hint="eastAsia"/>
        </w:rPr>
        <w:t>将现有的布袋除尘器更换为覆膜除尘器</w:t>
      </w:r>
      <w:bookmarkEnd w:id="256"/>
      <w:r>
        <w:rPr>
          <w:rFonts w:hint="eastAsia"/>
        </w:rPr>
        <w:t>。</w:t>
      </w:r>
      <w:bookmarkEnd w:id="257"/>
    </w:p>
    <w:p w14:paraId="19F20BEA">
      <w:pPr>
        <w:pStyle w:val="117"/>
        <w:ind w:firstLine="480"/>
      </w:pPr>
      <w:r>
        <w:rPr>
          <w:rFonts w:hint="eastAsia"/>
        </w:rPr>
        <w:t>（</w:t>
      </w:r>
      <w:r>
        <w:t>2</w:t>
      </w:r>
      <w:r>
        <w:rPr>
          <w:rFonts w:hint="eastAsia"/>
        </w:rPr>
        <w:t>）</w:t>
      </w:r>
      <w:r>
        <w:t>VOCs</w:t>
      </w:r>
      <w:r>
        <w:rPr>
          <w:rFonts w:hint="eastAsia"/>
        </w:rPr>
        <w:t>处理装置系统采用</w:t>
      </w:r>
      <w:r>
        <w:t>“</w:t>
      </w:r>
      <w:r>
        <w:rPr>
          <w:rFonts w:hint="eastAsia"/>
        </w:rPr>
        <w:t>酸洗</w:t>
      </w:r>
      <w:r>
        <w:t>+</w:t>
      </w:r>
      <w:r>
        <w:rPr>
          <w:rFonts w:hint="eastAsia"/>
        </w:rPr>
        <w:t>碱洗</w:t>
      </w:r>
      <w:r>
        <w:t>+</w:t>
      </w:r>
      <w:r>
        <w:rPr>
          <w:rFonts w:hint="eastAsia"/>
        </w:rPr>
        <w:t>活性炭吸附</w:t>
      </w:r>
      <w:r>
        <w:t>-</w:t>
      </w:r>
      <w:r>
        <w:rPr>
          <w:rFonts w:hint="eastAsia"/>
        </w:rPr>
        <w:t>脱附</w:t>
      </w:r>
      <w:r>
        <w:t>+</w:t>
      </w:r>
      <w:r>
        <w:rPr>
          <w:rFonts w:hint="eastAsia"/>
        </w:rPr>
        <w:t>催化燃烧工艺</w:t>
      </w:r>
      <w:r>
        <w:t>”</w:t>
      </w:r>
      <w:r>
        <w:rPr>
          <w:rFonts w:hint="eastAsia"/>
        </w:rPr>
        <w:t>处理，去除效率</w:t>
      </w:r>
      <w:r>
        <w:t>97%</w:t>
      </w:r>
      <w:r>
        <w:rPr>
          <w:rFonts w:hint="eastAsia"/>
        </w:rPr>
        <w:t>，处理后的废气经</w:t>
      </w:r>
      <w:r>
        <w:t>25m</w:t>
      </w:r>
      <w:r>
        <w:rPr>
          <w:rFonts w:hint="eastAsia"/>
        </w:rPr>
        <w:t>排气筒排放，污染物排放执行《炼焦化学工业污染物排放标准》（</w:t>
      </w:r>
      <w:r>
        <w:t>GB16171-2012</w:t>
      </w:r>
      <w:r>
        <w:rPr>
          <w:rFonts w:hint="eastAsia"/>
        </w:rPr>
        <w:t>）中表</w:t>
      </w:r>
      <w:r>
        <w:t>5</w:t>
      </w:r>
      <w:r>
        <w:rPr>
          <w:rFonts w:hint="eastAsia"/>
        </w:rPr>
        <w:t>标准。</w:t>
      </w:r>
    </w:p>
    <w:p w14:paraId="75BFCD72">
      <w:pPr>
        <w:pStyle w:val="117"/>
        <w:ind w:firstLine="480"/>
      </w:pPr>
      <w:r>
        <w:rPr>
          <w:rFonts w:hint="eastAsia"/>
        </w:rPr>
        <w:t>（</w:t>
      </w:r>
      <w:r>
        <w:t>3</w:t>
      </w:r>
      <w:r>
        <w:rPr>
          <w:rFonts w:hint="eastAsia"/>
        </w:rPr>
        <w:t>）新疆金盛镁业有限公司应完善自行监测方案并严格按照《排污单位自行监测技术指南</w:t>
      </w:r>
      <w:r>
        <w:t xml:space="preserve"> </w:t>
      </w:r>
      <w:r>
        <w:rPr>
          <w:rFonts w:hint="eastAsia"/>
        </w:rPr>
        <w:t>钢铁工业及炼焦化学工业》（</w:t>
      </w:r>
      <w:r>
        <w:t>HJ 878-2017</w:t>
      </w:r>
      <w:r>
        <w:rPr>
          <w:rFonts w:hint="eastAsia"/>
        </w:rPr>
        <w:t>）对炼焦化学工业自行监测要求开展例行检测。</w:t>
      </w:r>
    </w:p>
    <w:bookmarkEnd w:id="253"/>
    <w:p w14:paraId="5A398C84">
      <w:pPr>
        <w:pStyle w:val="117"/>
        <w:ind w:firstLine="480"/>
        <w:sectPr>
          <w:headerReference r:id="rId14" w:type="first"/>
          <w:footerReference r:id="rId16" w:type="first"/>
          <w:headerReference r:id="rId13" w:type="even"/>
          <w:footerReference r:id="rId15" w:type="even"/>
          <w:pgSz w:w="11906" w:h="16838"/>
          <w:pgMar w:top="1418" w:right="1286" w:bottom="1418" w:left="1531" w:header="851" w:footer="992" w:gutter="0"/>
          <w:cols w:space="720" w:num="1"/>
          <w:docGrid w:linePitch="326" w:charSpace="0"/>
        </w:sectPr>
      </w:pPr>
      <w:r>
        <w:rPr>
          <w:rFonts w:hint="eastAsia"/>
        </w:rPr>
        <w:t>（4）本项目将水封式炉内熄焦改为水冷壁蒸汽熄焦，符合《产业结构调整指导目录（2024年本）》及</w:t>
      </w:r>
      <w:r>
        <w:t>《关于推进实施焦化行业超低排放的意见》的相关要求</w:t>
      </w:r>
      <w:r>
        <w:rPr>
          <w:rFonts w:hint="eastAsia"/>
        </w:rPr>
        <w:t>。</w:t>
      </w:r>
    </w:p>
    <w:p w14:paraId="6CD098C4">
      <w:pPr>
        <w:pStyle w:val="2"/>
        <w:spacing w:before="326"/>
      </w:pPr>
      <w:bookmarkStart w:id="258" w:name="_Toc205291376"/>
      <w:r>
        <w:rPr>
          <w:rFonts w:hint="eastAsia"/>
        </w:rPr>
        <w:t>建设项目工程分析</w:t>
      </w:r>
      <w:bookmarkEnd w:id="258"/>
    </w:p>
    <w:p w14:paraId="198177DD">
      <w:pPr>
        <w:pStyle w:val="3"/>
      </w:pPr>
      <w:bookmarkStart w:id="259" w:name="_Toc24445"/>
      <w:bookmarkStart w:id="260" w:name="_Toc205291377"/>
      <w:bookmarkStart w:id="261" w:name="_Toc14512"/>
      <w:r>
        <w:rPr>
          <w:rFonts w:hint="eastAsia"/>
        </w:rPr>
        <w:t>项目概况</w:t>
      </w:r>
      <w:bookmarkEnd w:id="259"/>
      <w:bookmarkEnd w:id="260"/>
      <w:bookmarkEnd w:id="261"/>
    </w:p>
    <w:p w14:paraId="16E0190D">
      <w:pPr>
        <w:pStyle w:val="138"/>
        <w:rPr>
          <w:rFonts w:hint="eastAsia"/>
        </w:rPr>
      </w:pPr>
      <w:r>
        <w:rPr>
          <w:rFonts w:hint="eastAsia"/>
        </w:rPr>
        <w:t>基本情况</w:t>
      </w:r>
    </w:p>
    <w:p w14:paraId="2E2DD14E">
      <w:pPr>
        <w:pStyle w:val="117"/>
        <w:ind w:firstLine="480"/>
      </w:pPr>
      <w:r>
        <w:rPr>
          <w:rFonts w:hint="eastAsia"/>
        </w:rPr>
        <w:t>（</w:t>
      </w:r>
      <w:r>
        <w:t>1</w:t>
      </w:r>
      <w:r>
        <w:rPr>
          <w:rFonts w:hint="eastAsia"/>
        </w:rPr>
        <w:t>）项目名称</w:t>
      </w:r>
    </w:p>
    <w:p w14:paraId="2EC35F0D">
      <w:pPr>
        <w:pStyle w:val="117"/>
        <w:ind w:firstLine="480"/>
      </w:pPr>
      <w:r>
        <w:rPr>
          <w:rFonts w:hint="eastAsia"/>
        </w:rPr>
        <w:t>新疆金盛镁业有限公司镁合金产业循环经济建设技改提升项目。</w:t>
      </w:r>
    </w:p>
    <w:p w14:paraId="182234AA">
      <w:pPr>
        <w:pStyle w:val="117"/>
        <w:ind w:firstLine="480"/>
      </w:pPr>
      <w:r>
        <w:rPr>
          <w:rFonts w:hint="eastAsia"/>
        </w:rPr>
        <w:t>（</w:t>
      </w:r>
      <w:r>
        <w:t>2</w:t>
      </w:r>
      <w:r>
        <w:rPr>
          <w:rFonts w:hint="eastAsia"/>
        </w:rPr>
        <w:t>）建设单位</w:t>
      </w:r>
    </w:p>
    <w:p w14:paraId="734B2769">
      <w:pPr>
        <w:pStyle w:val="117"/>
        <w:ind w:firstLine="480"/>
      </w:pPr>
      <w:r>
        <w:rPr>
          <w:rFonts w:hint="eastAsia"/>
        </w:rPr>
        <w:t>新疆金盛镁业有限公司。</w:t>
      </w:r>
    </w:p>
    <w:p w14:paraId="2533D631">
      <w:pPr>
        <w:pStyle w:val="117"/>
        <w:ind w:firstLine="480"/>
      </w:pPr>
      <w:r>
        <w:rPr>
          <w:rFonts w:hint="eastAsia"/>
        </w:rPr>
        <w:t>（</w:t>
      </w:r>
      <w:r>
        <w:t>3</w:t>
      </w:r>
      <w:r>
        <w:rPr>
          <w:rFonts w:hint="eastAsia"/>
        </w:rPr>
        <w:t>）建设性质</w:t>
      </w:r>
    </w:p>
    <w:p w14:paraId="50ACD0C5">
      <w:pPr>
        <w:pStyle w:val="117"/>
        <w:ind w:firstLine="480"/>
      </w:pPr>
      <w:r>
        <w:rPr>
          <w:rFonts w:hint="eastAsia"/>
        </w:rPr>
        <w:t>技术改造。</w:t>
      </w:r>
    </w:p>
    <w:p w14:paraId="10D1ED89">
      <w:pPr>
        <w:pStyle w:val="117"/>
        <w:ind w:firstLine="480"/>
      </w:pPr>
      <w:r>
        <w:rPr>
          <w:rFonts w:hint="eastAsia"/>
        </w:rPr>
        <w:t>（</w:t>
      </w:r>
      <w:r>
        <w:t>4</w:t>
      </w:r>
      <w:r>
        <w:rPr>
          <w:rFonts w:hint="eastAsia"/>
        </w:rPr>
        <w:t>）建设地点</w:t>
      </w:r>
    </w:p>
    <w:p w14:paraId="60925DAF">
      <w:pPr>
        <w:pStyle w:val="117"/>
        <w:ind w:firstLine="480"/>
        <w:rPr>
          <w:rFonts w:cs="Times New Roman"/>
        </w:rPr>
      </w:pPr>
      <w:r>
        <w:rPr>
          <w:rFonts w:hint="eastAsia" w:cs="Times New Roman"/>
        </w:rPr>
        <w:t>哈密高新技术产业开发区</w:t>
      </w:r>
      <w:r>
        <w:rPr>
          <w:rFonts w:cs="Times New Roman"/>
        </w:rPr>
        <w:t>南部循环经济产业园，项目中心地理坐标为：。项目地理位置见图</w:t>
      </w:r>
      <w:r>
        <w:rPr>
          <w:rFonts w:hint="eastAsia" w:cs="Times New Roman"/>
        </w:rPr>
        <w:t>3</w:t>
      </w:r>
      <w:r>
        <w:rPr>
          <w:rFonts w:cs="Times New Roman"/>
        </w:rPr>
        <w:t>.1-1所示。</w:t>
      </w:r>
    </w:p>
    <w:p w14:paraId="6A20F643">
      <w:pPr>
        <w:pStyle w:val="117"/>
        <w:ind w:firstLine="480"/>
      </w:pPr>
      <w:r>
        <w:rPr>
          <w:rFonts w:hint="eastAsia"/>
        </w:rPr>
        <w:t>（</w:t>
      </w:r>
      <w:r>
        <w:t>5</w:t>
      </w:r>
      <w:r>
        <w:rPr>
          <w:rFonts w:hint="eastAsia"/>
        </w:rPr>
        <w:t>）建设规模</w:t>
      </w:r>
    </w:p>
    <w:p w14:paraId="0D945391">
      <w:pPr>
        <w:pStyle w:val="117"/>
        <w:ind w:firstLine="480"/>
      </w:pPr>
      <w:r>
        <w:rPr>
          <w:rFonts w:hint="eastAsia"/>
        </w:rPr>
        <w:t>将现有</w:t>
      </w:r>
      <w:r>
        <w:t>4</w:t>
      </w:r>
      <w:r>
        <w:rPr>
          <w:rFonts w:hint="eastAsia"/>
        </w:rPr>
        <w:t>×</w:t>
      </w:r>
      <w:r>
        <w:t>7.5</w:t>
      </w:r>
      <w:r>
        <w:rPr>
          <w:rFonts w:hint="eastAsia"/>
        </w:rPr>
        <w:t>万t/a直立式兰炭炉和在建</w:t>
      </w:r>
      <w:r>
        <w:t>4</w:t>
      </w:r>
      <w:r>
        <w:rPr>
          <w:rFonts w:hint="eastAsia"/>
        </w:rPr>
        <w:t>×</w:t>
      </w:r>
      <w:r>
        <w:t>7.5</w:t>
      </w:r>
      <w:r>
        <w:rPr>
          <w:rFonts w:hint="eastAsia"/>
        </w:rPr>
        <w:t>万t/a直立式兰炭炉改造为4×15万t/a直立式兰炭炉，兰炭生产规模不增加；将</w:t>
      </w:r>
      <w:r>
        <w:t>2</w:t>
      </w:r>
      <w:r>
        <w:rPr>
          <w:rFonts w:hint="eastAsia"/>
        </w:rPr>
        <w:t>×</w:t>
      </w:r>
      <w:r>
        <w:t>25500kVA</w:t>
      </w:r>
      <w:r>
        <w:rPr>
          <w:rFonts w:hint="eastAsia"/>
        </w:rPr>
        <w:t>硅铁炉改造为2×33000</w:t>
      </w:r>
      <w:r>
        <w:t>kVA</w:t>
      </w:r>
      <w:r>
        <w:rPr>
          <w:rFonts w:hint="eastAsia"/>
        </w:rPr>
        <w:t>硅铁炉，硅铁产能从5万t/a扩大至5.6万t/a。</w:t>
      </w:r>
    </w:p>
    <w:p w14:paraId="0E569262">
      <w:pPr>
        <w:pStyle w:val="117"/>
        <w:ind w:firstLine="480"/>
      </w:pPr>
      <w:r>
        <w:rPr>
          <w:rFonts w:hint="eastAsia"/>
        </w:rPr>
        <w:t>（6）项目投资</w:t>
      </w:r>
    </w:p>
    <w:p w14:paraId="2A3A6FA0">
      <w:pPr>
        <w:pStyle w:val="117"/>
        <w:ind w:firstLine="480"/>
        <w:rPr>
          <w:color w:val="000000"/>
        </w:rPr>
      </w:pPr>
      <w:r>
        <w:rPr>
          <w:color w:val="000000"/>
        </w:rPr>
        <w:t>项目总投资为</w:t>
      </w:r>
      <w:r>
        <w:rPr>
          <w:rFonts w:hint="eastAsia"/>
          <w:color w:val="000000"/>
        </w:rPr>
        <w:t>58223.97</w:t>
      </w:r>
      <w:r>
        <w:rPr>
          <w:color w:val="000000"/>
        </w:rPr>
        <w:t>万元，环保投资</w:t>
      </w:r>
      <w:r>
        <w:rPr>
          <w:rFonts w:hint="eastAsia"/>
          <w:color w:val="000000"/>
        </w:rPr>
        <w:t>2500</w:t>
      </w:r>
      <w:r>
        <w:rPr>
          <w:color w:val="000000"/>
        </w:rPr>
        <w:t>万元，环保投资占项目总投资的</w:t>
      </w:r>
      <w:r>
        <w:rPr>
          <w:rFonts w:hint="eastAsia"/>
          <w:color w:val="000000"/>
        </w:rPr>
        <w:t>4.29%</w:t>
      </w:r>
      <w:r>
        <w:rPr>
          <w:color w:val="000000"/>
        </w:rPr>
        <w:t>。</w:t>
      </w:r>
    </w:p>
    <w:p w14:paraId="1ED9258B">
      <w:pPr>
        <w:pStyle w:val="117"/>
        <w:ind w:firstLine="480"/>
      </w:pPr>
      <w:r>
        <w:rPr>
          <w:rFonts w:hint="eastAsia"/>
        </w:rPr>
        <w:t>（</w:t>
      </w:r>
      <w:r>
        <w:t>7</w:t>
      </w:r>
      <w:r>
        <w:rPr>
          <w:rFonts w:hint="eastAsia"/>
        </w:rPr>
        <w:t>）劳动定员及工作制度</w:t>
      </w:r>
    </w:p>
    <w:p w14:paraId="0B8205DD">
      <w:pPr>
        <w:pStyle w:val="117"/>
        <w:ind w:firstLine="480"/>
      </w:pPr>
      <w:r>
        <w:rPr>
          <w:rFonts w:hint="eastAsia"/>
        </w:rPr>
        <w:t>技改后不新增劳动定员。</w:t>
      </w:r>
    </w:p>
    <w:p w14:paraId="1627A3E3">
      <w:pPr>
        <w:pStyle w:val="117"/>
        <w:ind w:firstLine="480"/>
      </w:pPr>
      <w:r>
        <w:rPr>
          <w:rFonts w:hint="eastAsia"/>
        </w:rPr>
        <w:t>实行三班运转制，每天生产24h，年工作330d。</w:t>
      </w:r>
      <w:bookmarkStart w:id="262" w:name="_Toc6445"/>
    </w:p>
    <w:p w14:paraId="09C70293">
      <w:pPr>
        <w:pStyle w:val="138"/>
        <w:rPr>
          <w:rFonts w:hint="eastAsia"/>
        </w:rPr>
      </w:pPr>
      <w:r>
        <w:rPr>
          <w:rFonts w:hint="eastAsia"/>
        </w:rPr>
        <w:t>建设内容</w:t>
      </w:r>
      <w:bookmarkEnd w:id="262"/>
    </w:p>
    <w:p w14:paraId="32BA8357">
      <w:pPr>
        <w:pStyle w:val="117"/>
        <w:ind w:firstLine="480"/>
      </w:pPr>
      <w:r>
        <w:rPr>
          <w:rFonts w:hint="eastAsia"/>
        </w:rPr>
        <w:t>本项目属于技改提升工程，建设内容主要为：</w:t>
      </w:r>
    </w:p>
    <w:p w14:paraId="5D1CC321">
      <w:pPr>
        <w:pStyle w:val="133"/>
      </w:pPr>
    </w:p>
    <w:p w14:paraId="33769F9B">
      <w:pPr>
        <w:pStyle w:val="117"/>
        <w:ind w:firstLine="480"/>
      </w:pPr>
      <w:r>
        <w:rPr>
          <w:rFonts w:hint="eastAsia"/>
        </w:rPr>
        <w:t>（1）对现有</w:t>
      </w:r>
      <w:r>
        <w:t>4</w:t>
      </w:r>
      <w:r>
        <w:rPr>
          <w:rFonts w:hint="eastAsia"/>
        </w:rPr>
        <w:t>×</w:t>
      </w:r>
      <w:r>
        <w:t>7.5</w:t>
      </w:r>
      <w:r>
        <w:rPr>
          <w:rFonts w:hint="eastAsia"/>
        </w:rPr>
        <w:t>万t/a和在建</w:t>
      </w:r>
      <w:r>
        <w:t>4</w:t>
      </w:r>
      <w:r>
        <w:rPr>
          <w:rFonts w:hint="eastAsia"/>
        </w:rPr>
        <w:t>×</w:t>
      </w:r>
      <w:r>
        <w:t>7.5</w:t>
      </w:r>
      <w:r>
        <w:rPr>
          <w:rFonts w:hint="eastAsia"/>
        </w:rPr>
        <w:t>万t/a直立式兰炭炉进行改造，改造为4×</w:t>
      </w:r>
      <w:r>
        <w:t>15</w:t>
      </w:r>
      <w:r>
        <w:rPr>
          <w:rFonts w:hint="eastAsia"/>
        </w:rPr>
        <w:t>万t/a内热方形直立炭化炉；将兰炭生产线</w:t>
      </w:r>
      <w:r>
        <w:rPr>
          <w:rFonts w:hint="eastAsia"/>
          <w:color w:val="000000"/>
          <w:szCs w:val="21"/>
        </w:rPr>
        <w:t>备煤、炼焦、熄焦、焦处理、煤气净化等生产环节，以及物料产品储存运输的大气污染物有组织排放、无组织排放及运输过程均按照</w:t>
      </w:r>
      <w:r>
        <w:rPr>
          <w:rFonts w:hint="eastAsia"/>
          <w:color w:val="000000"/>
        </w:rPr>
        <w:t>《关于推进实施焦化行业超低排放的意见》中</w:t>
      </w:r>
      <w:r>
        <w:rPr>
          <w:rFonts w:hint="eastAsia"/>
          <w:color w:val="000000"/>
          <w:szCs w:val="21"/>
        </w:rPr>
        <w:t>超低排放要求进行改造</w:t>
      </w:r>
      <w:r>
        <w:rPr>
          <w:rFonts w:hint="eastAsia"/>
        </w:rPr>
        <w:t>。</w:t>
      </w:r>
    </w:p>
    <w:p w14:paraId="68D5D63F">
      <w:pPr>
        <w:pStyle w:val="117"/>
        <w:ind w:firstLine="480"/>
      </w:pPr>
      <w:r>
        <w:rPr>
          <w:rFonts w:hint="eastAsia"/>
        </w:rPr>
        <w:t>（2）对现有</w:t>
      </w:r>
      <w:r>
        <w:t>2</w:t>
      </w:r>
      <w:r>
        <w:rPr>
          <w:rFonts w:hint="eastAsia"/>
        </w:rPr>
        <w:t>×</w:t>
      </w:r>
      <w:r>
        <w:t>25500kVA</w:t>
      </w:r>
      <w:r>
        <w:rPr>
          <w:rFonts w:hint="eastAsia"/>
        </w:rPr>
        <w:t>硅铁炉进行技术改造，升级为</w:t>
      </w:r>
      <w:r>
        <w:t>2</w:t>
      </w:r>
      <w:r>
        <w:rPr>
          <w:rFonts w:hint="eastAsia"/>
        </w:rPr>
        <w:t>×</w:t>
      </w:r>
      <w:r>
        <w:t>33000kVA</w:t>
      </w:r>
      <w:r>
        <w:rPr>
          <w:rFonts w:hint="eastAsia"/>
        </w:rPr>
        <w:t>硅铁炉，硅铁产能达到</w:t>
      </w:r>
      <w:r>
        <w:t>5.6</w:t>
      </w:r>
      <w:r>
        <w:rPr>
          <w:rFonts w:hint="eastAsia"/>
        </w:rPr>
        <w:t>万t/a，满足全厂镁合金生产的硅铁消耗需求。</w:t>
      </w:r>
    </w:p>
    <w:p w14:paraId="6E892007">
      <w:pPr>
        <w:pStyle w:val="117"/>
        <w:ind w:firstLine="480"/>
      </w:pPr>
      <w:r>
        <w:rPr>
          <w:rFonts w:hint="eastAsia"/>
        </w:rPr>
        <w:t>镁合金产业循环经济建设技改提升项目主要建设内容见表3.1-1。</w:t>
      </w:r>
    </w:p>
    <w:p w14:paraId="1D9E9106">
      <w:pPr>
        <w:pStyle w:val="118"/>
        <w:rPr>
          <w:color w:val="auto"/>
        </w:rPr>
      </w:pPr>
      <w:r>
        <w:rPr>
          <w:rFonts w:hint="eastAsia"/>
          <w:color w:val="auto"/>
        </w:rPr>
        <w:t>表3.1-1  镁合金产业循环经济建设技改提升项目建设内容一览</w:t>
      </w:r>
      <w:r>
        <w:rPr>
          <w:color w:val="auto"/>
        </w:rPr>
        <w:t>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56"/>
        <w:gridCol w:w="714"/>
        <w:gridCol w:w="1285"/>
        <w:gridCol w:w="4854"/>
        <w:gridCol w:w="927"/>
      </w:tblGrid>
      <w:tr w14:paraId="1BC72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Align w:val="center"/>
          </w:tcPr>
          <w:p w14:paraId="672E5CFB">
            <w:pPr>
              <w:pStyle w:val="133"/>
              <w:rPr>
                <w:rFonts w:cs="Times New Roman"/>
                <w:b/>
                <w:bCs/>
                <w:color w:val="000000"/>
                <w:szCs w:val="21"/>
              </w:rPr>
            </w:pPr>
            <w:bookmarkStart w:id="263" w:name="_Hlk191294587"/>
            <w:r>
              <w:rPr>
                <w:rFonts w:cs="Times New Roman"/>
                <w:b/>
                <w:bCs/>
                <w:color w:val="000000"/>
                <w:szCs w:val="21"/>
              </w:rPr>
              <w:t>项目</w:t>
            </w:r>
          </w:p>
        </w:tc>
        <w:tc>
          <w:tcPr>
            <w:tcW w:w="1985" w:type="dxa"/>
            <w:gridSpan w:val="2"/>
            <w:vAlign w:val="center"/>
          </w:tcPr>
          <w:p w14:paraId="78B20629">
            <w:pPr>
              <w:pStyle w:val="133"/>
              <w:rPr>
                <w:rFonts w:cs="Times New Roman"/>
                <w:b/>
                <w:bCs/>
                <w:color w:val="000000"/>
                <w:szCs w:val="21"/>
              </w:rPr>
            </w:pPr>
            <w:r>
              <w:rPr>
                <w:rFonts w:cs="Times New Roman"/>
                <w:b/>
                <w:bCs/>
                <w:color w:val="000000"/>
                <w:szCs w:val="21"/>
              </w:rPr>
              <w:t>名称</w:t>
            </w:r>
          </w:p>
        </w:tc>
        <w:tc>
          <w:tcPr>
            <w:tcW w:w="4819" w:type="dxa"/>
            <w:vAlign w:val="center"/>
          </w:tcPr>
          <w:p w14:paraId="60A35232">
            <w:pPr>
              <w:pStyle w:val="133"/>
              <w:rPr>
                <w:rFonts w:cs="Times New Roman"/>
                <w:b/>
                <w:bCs/>
                <w:color w:val="000000"/>
                <w:szCs w:val="21"/>
              </w:rPr>
            </w:pPr>
            <w:r>
              <w:rPr>
                <w:rFonts w:cs="Times New Roman"/>
                <w:b/>
                <w:bCs/>
                <w:color w:val="000000"/>
                <w:szCs w:val="21"/>
              </w:rPr>
              <w:t>主要内容</w:t>
            </w:r>
          </w:p>
        </w:tc>
        <w:tc>
          <w:tcPr>
            <w:tcW w:w="920" w:type="dxa"/>
            <w:vAlign w:val="center"/>
          </w:tcPr>
          <w:p w14:paraId="74953961">
            <w:pPr>
              <w:pStyle w:val="133"/>
              <w:rPr>
                <w:rFonts w:cs="Times New Roman"/>
                <w:b/>
                <w:bCs/>
                <w:color w:val="000000"/>
                <w:szCs w:val="21"/>
              </w:rPr>
            </w:pPr>
            <w:r>
              <w:rPr>
                <w:rFonts w:cs="Times New Roman"/>
                <w:b/>
                <w:bCs/>
                <w:color w:val="000000"/>
                <w:szCs w:val="21"/>
              </w:rPr>
              <w:t>备注</w:t>
            </w:r>
          </w:p>
        </w:tc>
      </w:tr>
      <w:tr w14:paraId="2D437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restart"/>
            <w:vAlign w:val="center"/>
          </w:tcPr>
          <w:p w14:paraId="42970AB2">
            <w:pPr>
              <w:pStyle w:val="133"/>
              <w:rPr>
                <w:rFonts w:cs="Times New Roman"/>
                <w:color w:val="000000"/>
                <w:szCs w:val="21"/>
              </w:rPr>
            </w:pPr>
            <w:r>
              <w:rPr>
                <w:rFonts w:cs="Times New Roman"/>
                <w:color w:val="000000"/>
                <w:szCs w:val="21"/>
              </w:rPr>
              <w:t>主体</w:t>
            </w:r>
          </w:p>
          <w:p w14:paraId="37822CA0">
            <w:pPr>
              <w:pStyle w:val="133"/>
              <w:rPr>
                <w:rFonts w:cs="Times New Roman"/>
                <w:color w:val="000000"/>
                <w:szCs w:val="21"/>
              </w:rPr>
            </w:pPr>
            <w:r>
              <w:rPr>
                <w:rFonts w:cs="Times New Roman"/>
                <w:color w:val="000000"/>
                <w:szCs w:val="21"/>
              </w:rPr>
              <w:t>工程</w:t>
            </w:r>
          </w:p>
        </w:tc>
        <w:tc>
          <w:tcPr>
            <w:tcW w:w="709" w:type="dxa"/>
            <w:vAlign w:val="center"/>
          </w:tcPr>
          <w:p w14:paraId="17F6C76D">
            <w:pPr>
              <w:pStyle w:val="133"/>
              <w:rPr>
                <w:rFonts w:cs="Times New Roman"/>
                <w:color w:val="000000"/>
                <w:szCs w:val="21"/>
              </w:rPr>
            </w:pPr>
            <w:r>
              <w:rPr>
                <w:rFonts w:cs="Times New Roman"/>
                <w:color w:val="000000"/>
                <w:szCs w:val="21"/>
              </w:rPr>
              <w:t>兰炭生产线</w:t>
            </w:r>
          </w:p>
        </w:tc>
        <w:tc>
          <w:tcPr>
            <w:tcW w:w="1276" w:type="dxa"/>
            <w:vAlign w:val="center"/>
          </w:tcPr>
          <w:p w14:paraId="714D5725">
            <w:pPr>
              <w:pStyle w:val="133"/>
              <w:rPr>
                <w:rFonts w:cs="Times New Roman"/>
                <w:color w:val="000000"/>
                <w:szCs w:val="21"/>
              </w:rPr>
            </w:pPr>
            <w:r>
              <w:rPr>
                <w:rFonts w:cs="Times New Roman"/>
                <w:color w:val="000000"/>
                <w:szCs w:val="21"/>
              </w:rPr>
              <w:t>炭化炉厂房</w:t>
            </w:r>
          </w:p>
        </w:tc>
        <w:tc>
          <w:tcPr>
            <w:tcW w:w="4819" w:type="dxa"/>
            <w:vAlign w:val="center"/>
          </w:tcPr>
          <w:p w14:paraId="3F150946">
            <w:pPr>
              <w:pStyle w:val="133"/>
              <w:rPr>
                <w:rFonts w:cs="Times New Roman"/>
                <w:color w:val="000000"/>
                <w:szCs w:val="21"/>
              </w:rPr>
            </w:pPr>
            <w:r>
              <w:rPr>
                <w:rFonts w:cs="Times New Roman"/>
                <w:color w:val="000000"/>
                <w:szCs w:val="21"/>
              </w:rPr>
              <w:t>1座，布设4×15万t/a内热方形直立炭化炉</w:t>
            </w:r>
            <w:r>
              <w:rPr>
                <w:rFonts w:hint="eastAsia" w:cs="Times New Roman"/>
                <w:color w:val="000000"/>
                <w:szCs w:val="21"/>
              </w:rPr>
              <w:t>（对现有和在建的8</w:t>
            </w:r>
            <w:r>
              <w:rPr>
                <w:rFonts w:hint="eastAsia"/>
                <w:color w:val="000000"/>
              </w:rPr>
              <w:t>×</w:t>
            </w:r>
            <w:r>
              <w:rPr>
                <w:color w:val="000000"/>
              </w:rPr>
              <w:t>7.5</w:t>
            </w:r>
            <w:r>
              <w:rPr>
                <w:rFonts w:hint="eastAsia"/>
                <w:color w:val="000000"/>
              </w:rPr>
              <w:t>万t/a直立式兰炭炉进行改造</w:t>
            </w:r>
            <w:r>
              <w:rPr>
                <w:rFonts w:hint="eastAsia" w:cs="Times New Roman"/>
                <w:color w:val="000000"/>
                <w:szCs w:val="21"/>
              </w:rPr>
              <w:t>）</w:t>
            </w:r>
          </w:p>
        </w:tc>
        <w:tc>
          <w:tcPr>
            <w:tcW w:w="920" w:type="dxa"/>
            <w:vAlign w:val="center"/>
          </w:tcPr>
          <w:p w14:paraId="25118C63">
            <w:pPr>
              <w:pStyle w:val="133"/>
              <w:rPr>
                <w:rFonts w:cs="Times New Roman"/>
                <w:color w:val="000000"/>
                <w:szCs w:val="21"/>
              </w:rPr>
            </w:pPr>
            <w:r>
              <w:rPr>
                <w:rFonts w:cs="Times New Roman"/>
                <w:color w:val="000000"/>
                <w:szCs w:val="21"/>
              </w:rPr>
              <w:t>改造</w:t>
            </w:r>
          </w:p>
        </w:tc>
      </w:tr>
      <w:tr w14:paraId="5A201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0F327F3B">
            <w:pPr>
              <w:pStyle w:val="133"/>
              <w:rPr>
                <w:rFonts w:cs="Times New Roman"/>
                <w:color w:val="000000"/>
                <w:szCs w:val="21"/>
              </w:rPr>
            </w:pPr>
          </w:p>
        </w:tc>
        <w:tc>
          <w:tcPr>
            <w:tcW w:w="709" w:type="dxa"/>
            <w:vAlign w:val="center"/>
          </w:tcPr>
          <w:p w14:paraId="1F47C5F7">
            <w:pPr>
              <w:pStyle w:val="133"/>
              <w:rPr>
                <w:rFonts w:cs="Times New Roman"/>
                <w:color w:val="000000"/>
                <w:szCs w:val="21"/>
              </w:rPr>
            </w:pPr>
            <w:r>
              <w:rPr>
                <w:rFonts w:cs="Times New Roman"/>
                <w:color w:val="000000"/>
                <w:szCs w:val="21"/>
              </w:rPr>
              <w:t>硅铁生产线</w:t>
            </w:r>
          </w:p>
        </w:tc>
        <w:tc>
          <w:tcPr>
            <w:tcW w:w="1276" w:type="dxa"/>
            <w:vAlign w:val="center"/>
          </w:tcPr>
          <w:p w14:paraId="1F824BCE">
            <w:pPr>
              <w:pStyle w:val="133"/>
              <w:rPr>
                <w:rFonts w:cs="Times New Roman"/>
                <w:color w:val="000000"/>
                <w:szCs w:val="21"/>
              </w:rPr>
            </w:pPr>
            <w:r>
              <w:rPr>
                <w:rFonts w:cs="Times New Roman"/>
                <w:color w:val="000000"/>
                <w:szCs w:val="21"/>
              </w:rPr>
              <w:t>冶炼车间</w:t>
            </w:r>
          </w:p>
        </w:tc>
        <w:tc>
          <w:tcPr>
            <w:tcW w:w="4819" w:type="dxa"/>
            <w:vAlign w:val="center"/>
          </w:tcPr>
          <w:p w14:paraId="64A2E4B7">
            <w:pPr>
              <w:pStyle w:val="133"/>
              <w:rPr>
                <w:rFonts w:cs="Times New Roman"/>
                <w:color w:val="000000"/>
                <w:szCs w:val="21"/>
              </w:rPr>
            </w:pPr>
            <w:r>
              <w:rPr>
                <w:rFonts w:cs="Times New Roman"/>
                <w:color w:val="000000"/>
                <w:szCs w:val="21"/>
              </w:rPr>
              <w:t>对现有硅铁矿热炉炉缸主体、供电短网、电极等进行改造，将2×25500kVA矿热炉升级为2×33000kVA矿热炉</w:t>
            </w:r>
          </w:p>
        </w:tc>
        <w:tc>
          <w:tcPr>
            <w:tcW w:w="920" w:type="dxa"/>
            <w:vAlign w:val="center"/>
          </w:tcPr>
          <w:p w14:paraId="582D3A3D">
            <w:pPr>
              <w:pStyle w:val="133"/>
              <w:rPr>
                <w:rFonts w:cs="Times New Roman"/>
                <w:color w:val="000000"/>
                <w:szCs w:val="21"/>
              </w:rPr>
            </w:pPr>
            <w:r>
              <w:rPr>
                <w:rFonts w:cs="Times New Roman"/>
                <w:color w:val="000000"/>
                <w:szCs w:val="21"/>
              </w:rPr>
              <w:t>改造</w:t>
            </w:r>
          </w:p>
        </w:tc>
      </w:tr>
      <w:tr w14:paraId="42BEF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restart"/>
            <w:vAlign w:val="center"/>
          </w:tcPr>
          <w:p w14:paraId="1C06F6AF">
            <w:pPr>
              <w:pStyle w:val="133"/>
              <w:rPr>
                <w:rFonts w:cs="Times New Roman"/>
                <w:color w:val="000000"/>
                <w:szCs w:val="21"/>
              </w:rPr>
            </w:pPr>
            <w:r>
              <w:rPr>
                <w:rFonts w:cs="Times New Roman"/>
                <w:color w:val="000000"/>
                <w:szCs w:val="21"/>
              </w:rPr>
              <w:t>公辅工程</w:t>
            </w:r>
          </w:p>
        </w:tc>
        <w:tc>
          <w:tcPr>
            <w:tcW w:w="1985" w:type="dxa"/>
            <w:gridSpan w:val="2"/>
            <w:vAlign w:val="center"/>
          </w:tcPr>
          <w:p w14:paraId="52324594">
            <w:pPr>
              <w:pStyle w:val="133"/>
              <w:rPr>
                <w:rFonts w:cs="Times New Roman"/>
                <w:color w:val="000000"/>
                <w:szCs w:val="21"/>
              </w:rPr>
            </w:pPr>
            <w:r>
              <w:rPr>
                <w:rFonts w:hint="eastAsia" w:cs="Times New Roman"/>
                <w:color w:val="000000"/>
                <w:szCs w:val="21"/>
              </w:rPr>
              <w:t>宿舍楼</w:t>
            </w:r>
          </w:p>
        </w:tc>
        <w:tc>
          <w:tcPr>
            <w:tcW w:w="4819" w:type="dxa"/>
            <w:vAlign w:val="center"/>
          </w:tcPr>
          <w:p w14:paraId="6DA42CD5">
            <w:pPr>
              <w:pStyle w:val="133"/>
              <w:rPr>
                <w:rFonts w:cs="Times New Roman"/>
                <w:color w:val="000000"/>
                <w:szCs w:val="21"/>
              </w:rPr>
            </w:pPr>
            <w:r>
              <w:rPr>
                <w:rFonts w:cs="Times New Roman"/>
                <w:color w:val="000000"/>
                <w:szCs w:val="21"/>
              </w:rPr>
              <w:t>1座，建筑面积</w:t>
            </w:r>
            <w:r>
              <w:rPr>
                <w:rFonts w:hint="eastAsia" w:cs="Times New Roman"/>
                <w:color w:val="000000"/>
                <w:szCs w:val="21"/>
              </w:rPr>
              <w:t>11032</w:t>
            </w:r>
            <w:r>
              <w:rPr>
                <w:rFonts w:cs="Times New Roman"/>
                <w:color w:val="000000"/>
                <w:szCs w:val="21"/>
              </w:rPr>
              <w:t>m</w:t>
            </w:r>
            <w:r>
              <w:rPr>
                <w:rFonts w:cs="Times New Roman"/>
                <w:color w:val="000000"/>
                <w:szCs w:val="21"/>
                <w:vertAlign w:val="superscript"/>
              </w:rPr>
              <w:t>2</w:t>
            </w:r>
          </w:p>
        </w:tc>
        <w:tc>
          <w:tcPr>
            <w:tcW w:w="920" w:type="dxa"/>
            <w:vAlign w:val="center"/>
          </w:tcPr>
          <w:p w14:paraId="4E58E110">
            <w:pPr>
              <w:pStyle w:val="133"/>
              <w:rPr>
                <w:rFonts w:cs="Times New Roman"/>
                <w:color w:val="000000"/>
                <w:szCs w:val="21"/>
              </w:rPr>
            </w:pPr>
            <w:r>
              <w:rPr>
                <w:rFonts w:hint="eastAsia" w:cs="Times New Roman"/>
                <w:color w:val="000000" w:themeColor="text1"/>
                <w:szCs w:val="21"/>
                <w14:textFill>
                  <w14:solidFill>
                    <w14:schemeClr w14:val="tx1"/>
                  </w14:solidFill>
                </w14:textFill>
              </w:rPr>
              <w:t>利旧</w:t>
            </w:r>
          </w:p>
        </w:tc>
      </w:tr>
      <w:tr w14:paraId="47066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33D86560">
            <w:pPr>
              <w:pStyle w:val="133"/>
              <w:rPr>
                <w:rFonts w:cs="Times New Roman"/>
                <w:color w:val="000000"/>
                <w:szCs w:val="21"/>
              </w:rPr>
            </w:pPr>
          </w:p>
        </w:tc>
        <w:tc>
          <w:tcPr>
            <w:tcW w:w="1985" w:type="dxa"/>
            <w:gridSpan w:val="2"/>
            <w:vAlign w:val="center"/>
          </w:tcPr>
          <w:p w14:paraId="0FB5E7DF">
            <w:pPr>
              <w:pStyle w:val="133"/>
              <w:rPr>
                <w:rFonts w:cs="Times New Roman"/>
                <w:color w:val="000000"/>
                <w:szCs w:val="21"/>
              </w:rPr>
            </w:pPr>
            <w:r>
              <w:rPr>
                <w:rFonts w:cs="Times New Roman"/>
                <w:color w:val="000000"/>
                <w:szCs w:val="21"/>
              </w:rPr>
              <w:t>筛煤楼</w:t>
            </w:r>
          </w:p>
        </w:tc>
        <w:tc>
          <w:tcPr>
            <w:tcW w:w="4819" w:type="dxa"/>
            <w:vAlign w:val="center"/>
          </w:tcPr>
          <w:p w14:paraId="508D213D">
            <w:pPr>
              <w:pStyle w:val="133"/>
              <w:rPr>
                <w:rFonts w:cs="Times New Roman"/>
                <w:color w:val="000000"/>
                <w:szCs w:val="21"/>
              </w:rPr>
            </w:pPr>
            <w:r>
              <w:rPr>
                <w:rFonts w:cs="Times New Roman"/>
                <w:color w:val="000000"/>
                <w:szCs w:val="21"/>
              </w:rPr>
              <w:t>1座，建筑面积</w:t>
            </w:r>
            <w:r>
              <w:rPr>
                <w:rFonts w:hint="eastAsia" w:cs="Times New Roman"/>
                <w:color w:val="000000"/>
                <w:szCs w:val="21"/>
              </w:rPr>
              <w:t>183</w:t>
            </w:r>
            <w:r>
              <w:rPr>
                <w:rFonts w:cs="Times New Roman"/>
                <w:color w:val="000000"/>
                <w:szCs w:val="21"/>
              </w:rPr>
              <w:t>m</w:t>
            </w:r>
            <w:r>
              <w:rPr>
                <w:rFonts w:cs="Times New Roman"/>
                <w:color w:val="000000"/>
                <w:szCs w:val="21"/>
                <w:vertAlign w:val="superscript"/>
              </w:rPr>
              <w:t>2</w:t>
            </w:r>
          </w:p>
        </w:tc>
        <w:tc>
          <w:tcPr>
            <w:tcW w:w="920" w:type="dxa"/>
            <w:vAlign w:val="center"/>
          </w:tcPr>
          <w:p w14:paraId="51410916">
            <w:pPr>
              <w:pStyle w:val="133"/>
              <w:rPr>
                <w:rFonts w:cs="Times New Roman"/>
                <w:color w:val="000000"/>
                <w:szCs w:val="21"/>
              </w:rPr>
            </w:pPr>
            <w:r>
              <w:rPr>
                <w:rFonts w:cs="Times New Roman"/>
                <w:color w:val="000000"/>
                <w:szCs w:val="21"/>
              </w:rPr>
              <w:t>利旧</w:t>
            </w:r>
          </w:p>
        </w:tc>
      </w:tr>
      <w:tr w14:paraId="315B8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5BDE6351">
            <w:pPr>
              <w:pStyle w:val="133"/>
              <w:rPr>
                <w:rFonts w:cs="Times New Roman"/>
                <w:color w:val="000000"/>
                <w:szCs w:val="21"/>
              </w:rPr>
            </w:pPr>
          </w:p>
        </w:tc>
        <w:tc>
          <w:tcPr>
            <w:tcW w:w="1985" w:type="dxa"/>
            <w:gridSpan w:val="2"/>
            <w:vAlign w:val="center"/>
          </w:tcPr>
          <w:p w14:paraId="7D9508B7">
            <w:pPr>
              <w:pStyle w:val="133"/>
              <w:rPr>
                <w:rFonts w:cs="Times New Roman"/>
                <w:color w:val="000000"/>
                <w:szCs w:val="21"/>
              </w:rPr>
            </w:pPr>
            <w:r>
              <w:rPr>
                <w:rFonts w:hint="eastAsia" w:cs="Times New Roman"/>
                <w:color w:val="000000"/>
                <w:szCs w:val="21"/>
              </w:rPr>
              <w:t>原煤破碎车间</w:t>
            </w:r>
          </w:p>
        </w:tc>
        <w:tc>
          <w:tcPr>
            <w:tcW w:w="4819" w:type="dxa"/>
            <w:vAlign w:val="center"/>
          </w:tcPr>
          <w:p w14:paraId="597C6311">
            <w:pPr>
              <w:pStyle w:val="133"/>
              <w:rPr>
                <w:rFonts w:cs="Times New Roman"/>
                <w:color w:val="000000"/>
                <w:szCs w:val="21"/>
              </w:rPr>
            </w:pPr>
            <w:r>
              <w:rPr>
                <w:rFonts w:cs="Times New Roman"/>
                <w:color w:val="000000"/>
                <w:szCs w:val="21"/>
              </w:rPr>
              <w:t>1座，建筑面积</w:t>
            </w:r>
            <w:r>
              <w:rPr>
                <w:rFonts w:hint="eastAsia" w:cs="Times New Roman"/>
                <w:color w:val="000000"/>
                <w:szCs w:val="21"/>
              </w:rPr>
              <w:t>1180</w:t>
            </w:r>
            <w:r>
              <w:rPr>
                <w:rFonts w:cs="Times New Roman"/>
                <w:color w:val="000000"/>
                <w:szCs w:val="21"/>
              </w:rPr>
              <w:t>m</w:t>
            </w:r>
            <w:r>
              <w:rPr>
                <w:rFonts w:cs="Times New Roman"/>
                <w:color w:val="000000"/>
                <w:szCs w:val="21"/>
                <w:vertAlign w:val="superscript"/>
              </w:rPr>
              <w:t>2</w:t>
            </w:r>
          </w:p>
        </w:tc>
        <w:tc>
          <w:tcPr>
            <w:tcW w:w="920" w:type="dxa"/>
            <w:vAlign w:val="center"/>
          </w:tcPr>
          <w:p w14:paraId="13F1767E">
            <w:pPr>
              <w:pStyle w:val="133"/>
              <w:rPr>
                <w:rFonts w:cs="Times New Roman"/>
                <w:color w:val="000000"/>
                <w:szCs w:val="21"/>
              </w:rPr>
            </w:pPr>
            <w:r>
              <w:rPr>
                <w:rFonts w:hint="eastAsia" w:cs="Times New Roman"/>
                <w:color w:val="000000"/>
                <w:szCs w:val="21"/>
              </w:rPr>
              <w:t>新建</w:t>
            </w:r>
          </w:p>
        </w:tc>
      </w:tr>
      <w:tr w14:paraId="349B9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1F832BD8">
            <w:pPr>
              <w:pStyle w:val="133"/>
              <w:rPr>
                <w:rFonts w:cs="Times New Roman"/>
                <w:color w:val="000000"/>
                <w:szCs w:val="21"/>
              </w:rPr>
            </w:pPr>
          </w:p>
        </w:tc>
        <w:tc>
          <w:tcPr>
            <w:tcW w:w="1985" w:type="dxa"/>
            <w:gridSpan w:val="2"/>
            <w:vAlign w:val="center"/>
          </w:tcPr>
          <w:p w14:paraId="0635B19F">
            <w:pPr>
              <w:pStyle w:val="133"/>
              <w:rPr>
                <w:rFonts w:cs="Times New Roman"/>
                <w:color w:val="000000"/>
                <w:szCs w:val="21"/>
              </w:rPr>
            </w:pPr>
            <w:r>
              <w:rPr>
                <w:rFonts w:hint="eastAsia" w:cs="Times New Roman"/>
                <w:color w:val="000000"/>
                <w:szCs w:val="21"/>
              </w:rPr>
              <w:t>空压站</w:t>
            </w:r>
          </w:p>
        </w:tc>
        <w:tc>
          <w:tcPr>
            <w:tcW w:w="4819" w:type="dxa"/>
            <w:vAlign w:val="center"/>
          </w:tcPr>
          <w:p w14:paraId="54EBE46C">
            <w:pPr>
              <w:pStyle w:val="133"/>
              <w:rPr>
                <w:rFonts w:cs="Times New Roman"/>
                <w:color w:val="000000"/>
                <w:szCs w:val="21"/>
              </w:rPr>
            </w:pPr>
            <w:r>
              <w:rPr>
                <w:rFonts w:cs="Times New Roman"/>
                <w:color w:val="000000"/>
                <w:szCs w:val="21"/>
              </w:rPr>
              <w:t>1座，建筑面积</w:t>
            </w:r>
            <w:r>
              <w:rPr>
                <w:rFonts w:hint="eastAsia" w:cs="Times New Roman"/>
                <w:color w:val="000000"/>
                <w:szCs w:val="21"/>
              </w:rPr>
              <w:t>589</w:t>
            </w:r>
            <w:r>
              <w:rPr>
                <w:rFonts w:cs="Times New Roman"/>
                <w:color w:val="000000"/>
                <w:szCs w:val="21"/>
              </w:rPr>
              <w:t>m</w:t>
            </w:r>
            <w:r>
              <w:rPr>
                <w:rFonts w:cs="Times New Roman"/>
                <w:color w:val="000000"/>
                <w:szCs w:val="21"/>
                <w:vertAlign w:val="superscript"/>
              </w:rPr>
              <w:t>2</w:t>
            </w:r>
          </w:p>
        </w:tc>
        <w:tc>
          <w:tcPr>
            <w:tcW w:w="920" w:type="dxa"/>
            <w:vAlign w:val="center"/>
          </w:tcPr>
          <w:p w14:paraId="78A6DDE5">
            <w:pPr>
              <w:pStyle w:val="133"/>
              <w:rPr>
                <w:rFonts w:cs="Times New Roman"/>
                <w:color w:val="000000"/>
                <w:szCs w:val="21"/>
              </w:rPr>
            </w:pPr>
            <w:r>
              <w:rPr>
                <w:rFonts w:hint="eastAsia" w:cs="Times New Roman"/>
                <w:color w:val="000000"/>
                <w:szCs w:val="21"/>
              </w:rPr>
              <w:t>新建</w:t>
            </w:r>
          </w:p>
        </w:tc>
      </w:tr>
      <w:tr w14:paraId="57222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4F42B4AA">
            <w:pPr>
              <w:pStyle w:val="133"/>
              <w:rPr>
                <w:rFonts w:cs="Times New Roman"/>
                <w:color w:val="000000"/>
                <w:szCs w:val="21"/>
              </w:rPr>
            </w:pPr>
          </w:p>
        </w:tc>
        <w:tc>
          <w:tcPr>
            <w:tcW w:w="1985" w:type="dxa"/>
            <w:gridSpan w:val="2"/>
            <w:vAlign w:val="center"/>
          </w:tcPr>
          <w:p w14:paraId="4D19B712">
            <w:pPr>
              <w:pStyle w:val="133"/>
              <w:rPr>
                <w:rFonts w:cs="Times New Roman"/>
                <w:color w:val="000000"/>
                <w:szCs w:val="21"/>
              </w:rPr>
            </w:pPr>
            <w:r>
              <w:rPr>
                <w:rFonts w:cs="Times New Roman"/>
                <w:color w:val="000000"/>
                <w:szCs w:val="21"/>
              </w:rPr>
              <w:t>空压</w:t>
            </w:r>
            <w:r>
              <w:rPr>
                <w:rFonts w:hint="eastAsia" w:cs="Times New Roman"/>
                <w:color w:val="000000"/>
                <w:szCs w:val="21"/>
              </w:rPr>
              <w:t>制氮间</w:t>
            </w:r>
          </w:p>
        </w:tc>
        <w:tc>
          <w:tcPr>
            <w:tcW w:w="4819" w:type="dxa"/>
            <w:vAlign w:val="center"/>
          </w:tcPr>
          <w:p w14:paraId="6E911B28">
            <w:pPr>
              <w:pStyle w:val="133"/>
              <w:rPr>
                <w:rFonts w:cs="Times New Roman"/>
                <w:color w:val="000000"/>
                <w:szCs w:val="21"/>
              </w:rPr>
            </w:pPr>
            <w:r>
              <w:rPr>
                <w:rFonts w:cs="Times New Roman"/>
                <w:color w:val="000000"/>
                <w:szCs w:val="21"/>
              </w:rPr>
              <w:t>1座，建筑面积</w:t>
            </w:r>
            <w:r>
              <w:rPr>
                <w:rFonts w:hint="eastAsia" w:cs="Times New Roman"/>
                <w:color w:val="000000"/>
                <w:szCs w:val="21"/>
              </w:rPr>
              <w:t>200</w:t>
            </w:r>
            <w:r>
              <w:rPr>
                <w:rFonts w:cs="Times New Roman"/>
                <w:color w:val="000000"/>
                <w:szCs w:val="21"/>
              </w:rPr>
              <w:t>m</w:t>
            </w:r>
            <w:r>
              <w:rPr>
                <w:rFonts w:cs="Times New Roman"/>
                <w:color w:val="000000"/>
                <w:szCs w:val="21"/>
                <w:vertAlign w:val="superscript"/>
              </w:rPr>
              <w:t>2</w:t>
            </w:r>
          </w:p>
        </w:tc>
        <w:tc>
          <w:tcPr>
            <w:tcW w:w="920" w:type="dxa"/>
            <w:vAlign w:val="center"/>
          </w:tcPr>
          <w:p w14:paraId="4FCBC3C4">
            <w:pPr>
              <w:pStyle w:val="133"/>
              <w:rPr>
                <w:rFonts w:cs="Times New Roman"/>
                <w:color w:val="000000"/>
                <w:szCs w:val="21"/>
              </w:rPr>
            </w:pPr>
            <w:r>
              <w:rPr>
                <w:rFonts w:cs="Times New Roman"/>
                <w:color w:val="000000"/>
                <w:szCs w:val="21"/>
              </w:rPr>
              <w:t>新建</w:t>
            </w:r>
          </w:p>
        </w:tc>
      </w:tr>
      <w:tr w14:paraId="3B29B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restart"/>
            <w:vAlign w:val="center"/>
          </w:tcPr>
          <w:p w14:paraId="54719DC4">
            <w:pPr>
              <w:pStyle w:val="133"/>
              <w:rPr>
                <w:rFonts w:cs="Times New Roman"/>
                <w:color w:val="000000"/>
                <w:szCs w:val="21"/>
              </w:rPr>
            </w:pPr>
            <w:r>
              <w:rPr>
                <w:rFonts w:cs="Times New Roman"/>
                <w:color w:val="000000"/>
                <w:szCs w:val="21"/>
              </w:rPr>
              <w:t>储运</w:t>
            </w:r>
          </w:p>
          <w:p w14:paraId="25BE4916">
            <w:pPr>
              <w:pStyle w:val="133"/>
              <w:rPr>
                <w:rFonts w:cs="Times New Roman"/>
                <w:color w:val="000000"/>
                <w:szCs w:val="21"/>
              </w:rPr>
            </w:pPr>
            <w:r>
              <w:rPr>
                <w:rFonts w:cs="Times New Roman"/>
                <w:color w:val="000000"/>
                <w:szCs w:val="21"/>
              </w:rPr>
              <w:t>工程</w:t>
            </w:r>
          </w:p>
        </w:tc>
        <w:tc>
          <w:tcPr>
            <w:tcW w:w="1985" w:type="dxa"/>
            <w:gridSpan w:val="2"/>
            <w:vAlign w:val="center"/>
          </w:tcPr>
          <w:p w14:paraId="1006A584">
            <w:pPr>
              <w:pStyle w:val="133"/>
              <w:rPr>
                <w:rFonts w:cs="Times New Roman"/>
                <w:color w:val="000000"/>
                <w:szCs w:val="21"/>
              </w:rPr>
            </w:pPr>
            <w:r>
              <w:rPr>
                <w:rFonts w:cs="Times New Roman"/>
                <w:color w:val="000000"/>
                <w:szCs w:val="21"/>
              </w:rPr>
              <w:t>备煤转运站</w:t>
            </w:r>
          </w:p>
        </w:tc>
        <w:tc>
          <w:tcPr>
            <w:tcW w:w="4819" w:type="dxa"/>
            <w:vAlign w:val="center"/>
          </w:tcPr>
          <w:p w14:paraId="6A08683B">
            <w:pPr>
              <w:pStyle w:val="133"/>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1座，建筑面积136.39m</w:t>
            </w:r>
            <w:r>
              <w:rPr>
                <w:rFonts w:cs="Times New Roman"/>
                <w:color w:val="000000" w:themeColor="text1"/>
                <w:szCs w:val="21"/>
                <w:vertAlign w:val="superscript"/>
                <w14:textFill>
                  <w14:solidFill>
                    <w14:schemeClr w14:val="tx1"/>
                  </w14:solidFill>
                </w14:textFill>
              </w:rPr>
              <w:t>2</w:t>
            </w:r>
          </w:p>
        </w:tc>
        <w:tc>
          <w:tcPr>
            <w:tcW w:w="920" w:type="dxa"/>
            <w:vAlign w:val="center"/>
          </w:tcPr>
          <w:p w14:paraId="5F9390E0">
            <w:pPr>
              <w:pStyle w:val="133"/>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新建</w:t>
            </w:r>
          </w:p>
        </w:tc>
      </w:tr>
      <w:tr w14:paraId="0FA93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4B05BE65">
            <w:pPr>
              <w:pStyle w:val="133"/>
              <w:rPr>
                <w:rFonts w:cs="Times New Roman"/>
                <w:color w:val="000000"/>
                <w:szCs w:val="21"/>
              </w:rPr>
            </w:pPr>
          </w:p>
        </w:tc>
        <w:tc>
          <w:tcPr>
            <w:tcW w:w="1985" w:type="dxa"/>
            <w:gridSpan w:val="2"/>
            <w:vAlign w:val="center"/>
          </w:tcPr>
          <w:p w14:paraId="3665F9D7">
            <w:pPr>
              <w:pStyle w:val="133"/>
              <w:rPr>
                <w:rFonts w:cs="Times New Roman"/>
                <w:color w:val="000000"/>
                <w:szCs w:val="21"/>
              </w:rPr>
            </w:pPr>
            <w:r>
              <w:rPr>
                <w:rFonts w:cs="Times New Roman"/>
                <w:color w:val="000000"/>
                <w:szCs w:val="21"/>
              </w:rPr>
              <w:t>备煤煤棚</w:t>
            </w:r>
          </w:p>
        </w:tc>
        <w:tc>
          <w:tcPr>
            <w:tcW w:w="4819" w:type="dxa"/>
            <w:vAlign w:val="center"/>
          </w:tcPr>
          <w:p w14:paraId="012E7C16">
            <w:pPr>
              <w:pStyle w:val="133"/>
              <w:rPr>
                <w:rFonts w:cs="Times New Roman"/>
                <w:color w:val="000000"/>
                <w:szCs w:val="21"/>
              </w:rPr>
            </w:pPr>
            <w:r>
              <w:rPr>
                <w:rFonts w:cs="Times New Roman"/>
                <w:color w:val="000000"/>
                <w:szCs w:val="21"/>
              </w:rPr>
              <w:t>1座，建筑面积</w:t>
            </w:r>
            <w:r>
              <w:rPr>
                <w:rFonts w:hint="eastAsia" w:cs="Times New Roman"/>
                <w:color w:val="000000"/>
                <w:szCs w:val="21"/>
              </w:rPr>
              <w:t>13500</w:t>
            </w:r>
            <w:r>
              <w:rPr>
                <w:rFonts w:cs="Times New Roman"/>
                <w:color w:val="000000"/>
                <w:szCs w:val="21"/>
              </w:rPr>
              <w:t>m</w:t>
            </w:r>
            <w:r>
              <w:rPr>
                <w:rFonts w:cs="Times New Roman"/>
                <w:color w:val="000000"/>
                <w:szCs w:val="21"/>
                <w:vertAlign w:val="superscript"/>
              </w:rPr>
              <w:t>2</w:t>
            </w:r>
          </w:p>
        </w:tc>
        <w:tc>
          <w:tcPr>
            <w:tcW w:w="920" w:type="dxa"/>
            <w:vAlign w:val="center"/>
          </w:tcPr>
          <w:p w14:paraId="6F5AF656">
            <w:pPr>
              <w:pStyle w:val="133"/>
              <w:rPr>
                <w:rFonts w:cs="Times New Roman"/>
                <w:color w:val="000000"/>
                <w:szCs w:val="21"/>
              </w:rPr>
            </w:pPr>
            <w:r>
              <w:rPr>
                <w:rFonts w:cs="Times New Roman"/>
                <w:color w:val="000000"/>
                <w:szCs w:val="21"/>
              </w:rPr>
              <w:t>利旧</w:t>
            </w:r>
          </w:p>
        </w:tc>
      </w:tr>
      <w:tr w14:paraId="02468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68BF8C76">
            <w:pPr>
              <w:pStyle w:val="133"/>
              <w:rPr>
                <w:rFonts w:cs="Times New Roman"/>
                <w:color w:val="000000"/>
                <w:szCs w:val="21"/>
              </w:rPr>
            </w:pPr>
          </w:p>
        </w:tc>
        <w:tc>
          <w:tcPr>
            <w:tcW w:w="1985" w:type="dxa"/>
            <w:gridSpan w:val="2"/>
            <w:vAlign w:val="center"/>
          </w:tcPr>
          <w:p w14:paraId="177C87DA">
            <w:pPr>
              <w:pStyle w:val="133"/>
              <w:rPr>
                <w:rFonts w:cs="Times New Roman"/>
                <w:color w:val="000000"/>
                <w:szCs w:val="21"/>
              </w:rPr>
            </w:pPr>
            <w:r>
              <w:rPr>
                <w:rFonts w:cs="Times New Roman"/>
                <w:color w:val="000000"/>
                <w:szCs w:val="21"/>
              </w:rPr>
              <w:t>焦棚</w:t>
            </w:r>
          </w:p>
        </w:tc>
        <w:tc>
          <w:tcPr>
            <w:tcW w:w="4819" w:type="dxa"/>
            <w:vAlign w:val="center"/>
          </w:tcPr>
          <w:p w14:paraId="1F7468C6">
            <w:pPr>
              <w:pStyle w:val="133"/>
              <w:rPr>
                <w:rFonts w:cs="Times New Roman"/>
                <w:color w:val="000000"/>
                <w:szCs w:val="21"/>
              </w:rPr>
            </w:pPr>
            <w:r>
              <w:rPr>
                <w:rFonts w:cs="Times New Roman"/>
                <w:color w:val="000000"/>
                <w:szCs w:val="21"/>
              </w:rPr>
              <w:t>1座，建筑面积20300m</w:t>
            </w:r>
            <w:r>
              <w:rPr>
                <w:rFonts w:cs="Times New Roman"/>
                <w:color w:val="000000"/>
                <w:szCs w:val="21"/>
                <w:vertAlign w:val="superscript"/>
              </w:rPr>
              <w:t>2</w:t>
            </w:r>
            <w:r>
              <w:rPr>
                <w:rFonts w:cs="Times New Roman"/>
                <w:color w:val="000000"/>
              </w:rPr>
              <w:t>，</w:t>
            </w:r>
            <w:r>
              <w:rPr>
                <w:rFonts w:hint="eastAsia" w:cs="Times New Roman"/>
                <w:color w:val="000000"/>
              </w:rPr>
              <w:t>贮存焦炭</w:t>
            </w:r>
          </w:p>
        </w:tc>
        <w:tc>
          <w:tcPr>
            <w:tcW w:w="920" w:type="dxa"/>
            <w:vAlign w:val="center"/>
          </w:tcPr>
          <w:p w14:paraId="4FE43EB5">
            <w:pPr>
              <w:pStyle w:val="133"/>
              <w:rPr>
                <w:rFonts w:cs="Times New Roman"/>
                <w:color w:val="000000"/>
                <w:szCs w:val="21"/>
              </w:rPr>
            </w:pPr>
            <w:r>
              <w:rPr>
                <w:rFonts w:cs="Times New Roman"/>
                <w:color w:val="000000"/>
                <w:szCs w:val="21"/>
              </w:rPr>
              <w:t>利旧</w:t>
            </w:r>
          </w:p>
        </w:tc>
      </w:tr>
      <w:tr w14:paraId="76CDD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6731E986">
            <w:pPr>
              <w:pStyle w:val="133"/>
              <w:rPr>
                <w:rFonts w:cs="Times New Roman"/>
                <w:color w:val="000000"/>
                <w:szCs w:val="21"/>
              </w:rPr>
            </w:pPr>
          </w:p>
        </w:tc>
        <w:tc>
          <w:tcPr>
            <w:tcW w:w="1985" w:type="dxa"/>
            <w:gridSpan w:val="2"/>
            <w:vAlign w:val="center"/>
          </w:tcPr>
          <w:p w14:paraId="00D8AFB3">
            <w:pPr>
              <w:pStyle w:val="133"/>
              <w:rPr>
                <w:rFonts w:cs="Times New Roman"/>
                <w:color w:val="000000"/>
                <w:szCs w:val="21"/>
              </w:rPr>
            </w:pPr>
            <w:r>
              <w:rPr>
                <w:rFonts w:hint="eastAsia" w:cs="Times New Roman"/>
                <w:color w:val="000000"/>
                <w:szCs w:val="21"/>
              </w:rPr>
              <w:t>兰炭棚</w:t>
            </w:r>
          </w:p>
        </w:tc>
        <w:tc>
          <w:tcPr>
            <w:tcW w:w="4819" w:type="dxa"/>
            <w:vAlign w:val="center"/>
          </w:tcPr>
          <w:p w14:paraId="13D90D5E">
            <w:pPr>
              <w:pStyle w:val="133"/>
              <w:rPr>
                <w:rFonts w:cs="Times New Roman"/>
                <w:color w:val="000000"/>
                <w:szCs w:val="21"/>
              </w:rPr>
            </w:pPr>
            <w:r>
              <w:rPr>
                <w:rFonts w:cs="Times New Roman"/>
                <w:color w:val="000000"/>
                <w:szCs w:val="21"/>
              </w:rPr>
              <w:t>1座，建筑面积</w:t>
            </w:r>
            <w:r>
              <w:rPr>
                <w:rFonts w:hint="eastAsia" w:cs="Times New Roman"/>
                <w:color w:val="000000"/>
                <w:szCs w:val="21"/>
              </w:rPr>
              <w:t>8544</w:t>
            </w:r>
            <w:r>
              <w:rPr>
                <w:rFonts w:cs="Times New Roman"/>
                <w:color w:val="000000"/>
                <w:szCs w:val="21"/>
              </w:rPr>
              <w:t>m</w:t>
            </w:r>
            <w:r>
              <w:rPr>
                <w:rFonts w:cs="Times New Roman"/>
                <w:color w:val="000000"/>
                <w:szCs w:val="21"/>
                <w:vertAlign w:val="superscript"/>
              </w:rPr>
              <w:t>2</w:t>
            </w:r>
          </w:p>
        </w:tc>
        <w:tc>
          <w:tcPr>
            <w:tcW w:w="920" w:type="dxa"/>
            <w:vAlign w:val="center"/>
          </w:tcPr>
          <w:p w14:paraId="08E2907E">
            <w:pPr>
              <w:pStyle w:val="133"/>
              <w:rPr>
                <w:rFonts w:cs="Times New Roman"/>
                <w:color w:val="000000"/>
                <w:szCs w:val="21"/>
              </w:rPr>
            </w:pPr>
            <w:r>
              <w:rPr>
                <w:rFonts w:hint="eastAsia" w:cs="Times New Roman"/>
                <w:color w:val="000000" w:themeColor="text1"/>
                <w:szCs w:val="21"/>
                <w14:textFill>
                  <w14:solidFill>
                    <w14:schemeClr w14:val="tx1"/>
                  </w14:solidFill>
                </w14:textFill>
              </w:rPr>
              <w:t>利旧</w:t>
            </w:r>
          </w:p>
        </w:tc>
      </w:tr>
      <w:tr w14:paraId="0E29EC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5218FE6B">
            <w:pPr>
              <w:pStyle w:val="133"/>
              <w:rPr>
                <w:rFonts w:cs="Times New Roman"/>
                <w:color w:val="000000"/>
                <w:szCs w:val="21"/>
              </w:rPr>
            </w:pPr>
          </w:p>
        </w:tc>
        <w:tc>
          <w:tcPr>
            <w:tcW w:w="1985" w:type="dxa"/>
            <w:gridSpan w:val="2"/>
            <w:vAlign w:val="center"/>
          </w:tcPr>
          <w:p w14:paraId="23E53C7E">
            <w:pPr>
              <w:pStyle w:val="133"/>
              <w:rPr>
                <w:rFonts w:cs="Times New Roman"/>
                <w:color w:val="000000"/>
                <w:szCs w:val="21"/>
              </w:rPr>
            </w:pPr>
            <w:r>
              <w:rPr>
                <w:rFonts w:hint="eastAsia" w:cs="Times New Roman"/>
                <w:color w:val="000000"/>
                <w:szCs w:val="21"/>
              </w:rPr>
              <w:t>焦油罐区</w:t>
            </w:r>
          </w:p>
        </w:tc>
        <w:tc>
          <w:tcPr>
            <w:tcW w:w="4819" w:type="dxa"/>
            <w:vAlign w:val="center"/>
          </w:tcPr>
          <w:p w14:paraId="2C4E7DA6">
            <w:pPr>
              <w:pStyle w:val="133"/>
              <w:rPr>
                <w:rFonts w:cs="Times New Roman"/>
                <w:color w:val="000000"/>
                <w:szCs w:val="21"/>
              </w:rPr>
            </w:pPr>
            <w:r>
              <w:rPr>
                <w:rFonts w:hint="eastAsia" w:cs="Times New Roman"/>
                <w:color w:val="000000"/>
                <w:szCs w:val="21"/>
              </w:rPr>
              <w:t>4座焦油储罐，每座容积为4500</w:t>
            </w:r>
            <w:r>
              <w:rPr>
                <w:rFonts w:cs="Times New Roman"/>
                <w:color w:val="000000"/>
                <w:szCs w:val="21"/>
              </w:rPr>
              <w:t>m</w:t>
            </w:r>
            <w:r>
              <w:rPr>
                <w:rFonts w:hint="eastAsia" w:cs="Times New Roman"/>
                <w:color w:val="000000"/>
                <w:szCs w:val="21"/>
                <w:vertAlign w:val="superscript"/>
              </w:rPr>
              <w:t>3</w:t>
            </w:r>
            <w:r>
              <w:rPr>
                <w:rFonts w:cs="Times New Roman"/>
                <w:color w:val="000000"/>
              </w:rPr>
              <w:t>，</w:t>
            </w:r>
            <w:r>
              <w:rPr>
                <w:rFonts w:hint="eastAsia" w:cs="Times New Roman"/>
                <w:color w:val="000000"/>
              </w:rPr>
              <w:t>贮存焦油</w:t>
            </w:r>
          </w:p>
        </w:tc>
        <w:tc>
          <w:tcPr>
            <w:tcW w:w="920" w:type="dxa"/>
            <w:vAlign w:val="center"/>
          </w:tcPr>
          <w:p w14:paraId="5A3714E8">
            <w:pPr>
              <w:pStyle w:val="133"/>
              <w:rPr>
                <w:rFonts w:cs="Times New Roman"/>
                <w:color w:val="000000"/>
                <w:szCs w:val="21"/>
              </w:rPr>
            </w:pPr>
            <w:r>
              <w:rPr>
                <w:rFonts w:cs="Times New Roman"/>
                <w:color w:val="000000"/>
                <w:szCs w:val="21"/>
              </w:rPr>
              <w:t>新建</w:t>
            </w:r>
          </w:p>
        </w:tc>
      </w:tr>
      <w:tr w14:paraId="09259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restart"/>
            <w:vAlign w:val="center"/>
          </w:tcPr>
          <w:p w14:paraId="7969DEB2">
            <w:pPr>
              <w:pStyle w:val="133"/>
              <w:rPr>
                <w:rFonts w:cs="Times New Roman"/>
                <w:color w:val="000000"/>
                <w:szCs w:val="21"/>
              </w:rPr>
            </w:pPr>
            <w:r>
              <w:rPr>
                <w:rFonts w:cs="Times New Roman"/>
                <w:color w:val="000000"/>
                <w:szCs w:val="21"/>
              </w:rPr>
              <w:t>环保工程</w:t>
            </w:r>
          </w:p>
        </w:tc>
        <w:tc>
          <w:tcPr>
            <w:tcW w:w="1985" w:type="dxa"/>
            <w:gridSpan w:val="2"/>
            <w:vMerge w:val="restart"/>
            <w:vAlign w:val="center"/>
          </w:tcPr>
          <w:p w14:paraId="6D914CCB">
            <w:pPr>
              <w:pStyle w:val="133"/>
              <w:rPr>
                <w:rFonts w:cs="Times New Roman"/>
                <w:color w:val="000000"/>
                <w:szCs w:val="21"/>
              </w:rPr>
            </w:pPr>
            <w:r>
              <w:rPr>
                <w:rFonts w:hint="eastAsia" w:cs="Times New Roman"/>
                <w:color w:val="000000"/>
                <w:szCs w:val="21"/>
              </w:rPr>
              <w:t>废气治理</w:t>
            </w:r>
          </w:p>
        </w:tc>
        <w:tc>
          <w:tcPr>
            <w:tcW w:w="4819" w:type="dxa"/>
            <w:vAlign w:val="center"/>
          </w:tcPr>
          <w:p w14:paraId="7A3C0AF1">
            <w:pPr>
              <w:pStyle w:val="133"/>
              <w:rPr>
                <w:rFonts w:cs="Times New Roman"/>
                <w:color w:val="000000"/>
                <w:szCs w:val="21"/>
              </w:rPr>
            </w:pPr>
            <w:r>
              <w:rPr>
                <w:rFonts w:hint="eastAsia" w:cs="Times New Roman"/>
                <w:color w:val="000000"/>
                <w:szCs w:val="21"/>
              </w:rPr>
              <w:t>兰炭生产线废水焚烧废气采用</w:t>
            </w:r>
            <w:r>
              <w:rPr>
                <w:rFonts w:hint="eastAsia"/>
                <w:color w:val="000000"/>
              </w:rPr>
              <w:t>“</w:t>
            </w:r>
            <w:r>
              <w:rPr>
                <w:color w:val="000000"/>
              </w:rPr>
              <w:t>SNCR</w:t>
            </w:r>
            <w:r>
              <w:rPr>
                <w:rFonts w:hint="eastAsia"/>
                <w:color w:val="000000"/>
              </w:rPr>
              <w:t>脱硝+</w:t>
            </w:r>
            <w:bookmarkStart w:id="264" w:name="OLE_LINK24"/>
            <w:r>
              <w:rPr>
                <w:rFonts w:hint="eastAsia"/>
                <w:color w:val="000000"/>
              </w:rPr>
              <w:t>二级碱喷淋脱硫</w:t>
            </w:r>
            <w:bookmarkEnd w:id="264"/>
            <w:r>
              <w:rPr>
                <w:rFonts w:hint="eastAsia"/>
                <w:color w:val="000000"/>
              </w:rPr>
              <w:t>”处理</w:t>
            </w:r>
          </w:p>
        </w:tc>
        <w:tc>
          <w:tcPr>
            <w:tcW w:w="920" w:type="dxa"/>
            <w:vMerge w:val="restart"/>
            <w:vAlign w:val="center"/>
          </w:tcPr>
          <w:p w14:paraId="6C7CC1D9">
            <w:pPr>
              <w:pStyle w:val="133"/>
              <w:rPr>
                <w:rFonts w:cs="Times New Roman"/>
                <w:color w:val="000000"/>
                <w:szCs w:val="21"/>
              </w:rPr>
            </w:pPr>
            <w:r>
              <w:rPr>
                <w:rFonts w:hint="eastAsia" w:cs="Times New Roman"/>
                <w:color w:val="000000"/>
                <w:szCs w:val="21"/>
              </w:rPr>
              <w:t>改造工程与在建工程合并建设</w:t>
            </w:r>
          </w:p>
        </w:tc>
      </w:tr>
      <w:tr w14:paraId="53D22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030E0D4C">
            <w:pPr>
              <w:pStyle w:val="133"/>
              <w:rPr>
                <w:rFonts w:cs="Times New Roman"/>
                <w:color w:val="000000"/>
                <w:szCs w:val="21"/>
              </w:rPr>
            </w:pPr>
          </w:p>
        </w:tc>
        <w:tc>
          <w:tcPr>
            <w:tcW w:w="1985" w:type="dxa"/>
            <w:gridSpan w:val="2"/>
            <w:vMerge w:val="continue"/>
            <w:vAlign w:val="center"/>
          </w:tcPr>
          <w:p w14:paraId="4D20D1CF">
            <w:pPr>
              <w:pStyle w:val="133"/>
              <w:rPr>
                <w:rFonts w:cs="Times New Roman"/>
                <w:color w:val="000000"/>
                <w:szCs w:val="21"/>
              </w:rPr>
            </w:pPr>
          </w:p>
        </w:tc>
        <w:tc>
          <w:tcPr>
            <w:tcW w:w="4819" w:type="dxa"/>
            <w:vAlign w:val="center"/>
          </w:tcPr>
          <w:p w14:paraId="7F1DCAB0">
            <w:pPr>
              <w:pStyle w:val="133"/>
              <w:rPr>
                <w:rFonts w:cs="Times New Roman"/>
                <w:color w:val="000000"/>
                <w:szCs w:val="21"/>
              </w:rPr>
            </w:pPr>
            <w:r>
              <w:rPr>
                <w:rFonts w:hint="eastAsia" w:cs="Times New Roman"/>
                <w:color w:val="000000"/>
                <w:szCs w:val="21"/>
              </w:rPr>
              <w:t>兰炭生产线无组织排放的VOC</w:t>
            </w:r>
            <w:r>
              <w:rPr>
                <w:rFonts w:hint="eastAsia" w:cs="Times New Roman"/>
                <w:color w:val="000000"/>
                <w:szCs w:val="21"/>
                <w:vertAlign w:val="subscript"/>
              </w:rPr>
              <w:t>S</w:t>
            </w:r>
            <w:r>
              <w:rPr>
                <w:rFonts w:hint="eastAsia" w:cs="Times New Roman"/>
                <w:color w:val="000000"/>
                <w:szCs w:val="21"/>
              </w:rPr>
              <w:t>废气收集后采</w:t>
            </w:r>
            <w:r>
              <w:rPr>
                <w:rFonts w:hint="eastAsia"/>
                <w:color w:val="000000"/>
              </w:rPr>
              <w:t>用2套“酸洗+碱洗+活性炭吸附-脱附+催化燃烧”处理</w:t>
            </w:r>
          </w:p>
        </w:tc>
        <w:tc>
          <w:tcPr>
            <w:tcW w:w="920" w:type="dxa"/>
            <w:vMerge w:val="continue"/>
            <w:vAlign w:val="center"/>
          </w:tcPr>
          <w:p w14:paraId="34F5C6A3">
            <w:pPr>
              <w:pStyle w:val="133"/>
              <w:rPr>
                <w:rFonts w:cs="Times New Roman"/>
                <w:color w:val="000000"/>
                <w:szCs w:val="21"/>
              </w:rPr>
            </w:pPr>
          </w:p>
        </w:tc>
      </w:tr>
      <w:tr w14:paraId="338789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407E4073">
            <w:pPr>
              <w:pStyle w:val="133"/>
              <w:rPr>
                <w:rFonts w:cs="Times New Roman"/>
                <w:color w:val="000000"/>
                <w:szCs w:val="21"/>
              </w:rPr>
            </w:pPr>
          </w:p>
        </w:tc>
        <w:tc>
          <w:tcPr>
            <w:tcW w:w="1985" w:type="dxa"/>
            <w:gridSpan w:val="2"/>
            <w:vMerge w:val="continue"/>
            <w:vAlign w:val="center"/>
          </w:tcPr>
          <w:p w14:paraId="467B5C5C">
            <w:pPr>
              <w:pStyle w:val="133"/>
              <w:rPr>
                <w:rFonts w:cs="Times New Roman"/>
                <w:color w:val="000000"/>
                <w:szCs w:val="21"/>
              </w:rPr>
            </w:pPr>
          </w:p>
        </w:tc>
        <w:tc>
          <w:tcPr>
            <w:tcW w:w="4819" w:type="dxa"/>
            <w:vAlign w:val="center"/>
          </w:tcPr>
          <w:p w14:paraId="0593146F">
            <w:pPr>
              <w:pStyle w:val="133"/>
              <w:rPr>
                <w:rFonts w:cs="Times New Roman"/>
                <w:color w:val="000000"/>
              </w:rPr>
            </w:pPr>
            <w:r>
              <w:rPr>
                <w:rFonts w:cs="Times New Roman"/>
                <w:color w:val="000000"/>
              </w:rPr>
              <w:t>其他各产尘环节废气采用布袋除尘处理</w:t>
            </w:r>
          </w:p>
        </w:tc>
        <w:tc>
          <w:tcPr>
            <w:tcW w:w="920" w:type="dxa"/>
            <w:vMerge w:val="continue"/>
            <w:vAlign w:val="center"/>
          </w:tcPr>
          <w:p w14:paraId="7683A616">
            <w:pPr>
              <w:pStyle w:val="133"/>
              <w:rPr>
                <w:rFonts w:cs="Times New Roman"/>
                <w:color w:val="000000"/>
                <w:szCs w:val="21"/>
              </w:rPr>
            </w:pPr>
          </w:p>
        </w:tc>
      </w:tr>
      <w:tr w14:paraId="32411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continue"/>
            <w:vAlign w:val="center"/>
          </w:tcPr>
          <w:p w14:paraId="71C37E0C">
            <w:pPr>
              <w:pStyle w:val="133"/>
              <w:rPr>
                <w:rFonts w:cs="Times New Roman"/>
                <w:color w:val="000000"/>
                <w:szCs w:val="21"/>
              </w:rPr>
            </w:pPr>
          </w:p>
        </w:tc>
        <w:tc>
          <w:tcPr>
            <w:tcW w:w="1985" w:type="dxa"/>
            <w:gridSpan w:val="2"/>
            <w:vMerge w:val="restart"/>
            <w:vAlign w:val="center"/>
          </w:tcPr>
          <w:p w14:paraId="73C78599">
            <w:pPr>
              <w:pStyle w:val="133"/>
              <w:rPr>
                <w:rFonts w:cs="Times New Roman"/>
                <w:color w:val="000000"/>
                <w:szCs w:val="21"/>
              </w:rPr>
            </w:pPr>
            <w:r>
              <w:rPr>
                <w:rFonts w:hint="eastAsia" w:cs="Times New Roman"/>
                <w:color w:val="000000"/>
                <w:szCs w:val="21"/>
              </w:rPr>
              <w:t>废水治理</w:t>
            </w:r>
          </w:p>
        </w:tc>
        <w:tc>
          <w:tcPr>
            <w:tcW w:w="4819" w:type="dxa"/>
            <w:vAlign w:val="center"/>
          </w:tcPr>
          <w:p w14:paraId="485D2682">
            <w:pPr>
              <w:pStyle w:val="133"/>
              <w:rPr>
                <w:rFonts w:cs="Times New Roman"/>
                <w:color w:val="000000"/>
                <w:szCs w:val="21"/>
              </w:rPr>
            </w:pPr>
            <w:r>
              <w:rPr>
                <w:rFonts w:hint="eastAsia" w:cs="Times New Roman"/>
                <w:color w:val="000000"/>
                <w:szCs w:val="21"/>
              </w:rPr>
              <w:t>兰炭生产线</w:t>
            </w:r>
            <w:r>
              <w:rPr>
                <w:rFonts w:hint="eastAsia"/>
                <w:color w:val="000000"/>
              </w:rPr>
              <w:t>剩余氨水、含</w:t>
            </w:r>
            <w:r>
              <w:rPr>
                <w:rFonts w:hint="eastAsia" w:cs="Times New Roman"/>
                <w:color w:val="000000"/>
                <w:szCs w:val="21"/>
              </w:rPr>
              <w:t>硫废水、VOCS处理喷淋废水</w:t>
            </w:r>
            <w:r>
              <w:rPr>
                <w:rFonts w:hint="eastAsia"/>
                <w:color w:val="000000"/>
              </w:rPr>
              <w:t>采用预处理+焚烧处理（4台焚烧炉）</w:t>
            </w:r>
          </w:p>
        </w:tc>
        <w:tc>
          <w:tcPr>
            <w:tcW w:w="920" w:type="dxa"/>
            <w:vAlign w:val="center"/>
          </w:tcPr>
          <w:p w14:paraId="389B20AB">
            <w:pPr>
              <w:pStyle w:val="133"/>
              <w:rPr>
                <w:rFonts w:cs="Times New Roman"/>
                <w:color w:val="000000"/>
                <w:szCs w:val="21"/>
              </w:rPr>
            </w:pPr>
            <w:r>
              <w:rPr>
                <w:rFonts w:hint="eastAsia" w:cs="Times New Roman"/>
                <w:color w:val="000000"/>
                <w:szCs w:val="21"/>
              </w:rPr>
              <w:t>1台利旧、3台新建</w:t>
            </w:r>
          </w:p>
        </w:tc>
      </w:tr>
      <w:tr w14:paraId="20B71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066865B9">
            <w:pPr>
              <w:pStyle w:val="133"/>
              <w:rPr>
                <w:rFonts w:cs="Times New Roman"/>
                <w:color w:val="000000"/>
                <w:szCs w:val="21"/>
              </w:rPr>
            </w:pPr>
          </w:p>
        </w:tc>
        <w:tc>
          <w:tcPr>
            <w:tcW w:w="1985" w:type="dxa"/>
            <w:gridSpan w:val="2"/>
            <w:vMerge w:val="continue"/>
            <w:vAlign w:val="center"/>
          </w:tcPr>
          <w:p w14:paraId="6E132C71">
            <w:pPr>
              <w:pStyle w:val="133"/>
              <w:rPr>
                <w:rFonts w:cs="Times New Roman"/>
                <w:color w:val="000000"/>
                <w:szCs w:val="21"/>
              </w:rPr>
            </w:pPr>
          </w:p>
        </w:tc>
        <w:tc>
          <w:tcPr>
            <w:tcW w:w="4819" w:type="dxa"/>
            <w:vAlign w:val="center"/>
          </w:tcPr>
          <w:p w14:paraId="709CDAC4">
            <w:pPr>
              <w:pStyle w:val="133"/>
              <w:rPr>
                <w:rFonts w:cs="Times New Roman"/>
                <w:color w:val="000000"/>
                <w:szCs w:val="21"/>
              </w:rPr>
            </w:pPr>
            <w:r>
              <w:rPr>
                <w:rFonts w:hint="eastAsia" w:cs="Times New Roman"/>
                <w:color w:val="000000"/>
                <w:szCs w:val="21"/>
              </w:rPr>
              <w:t>全厂</w:t>
            </w:r>
            <w:r>
              <w:rPr>
                <w:rFonts w:hint="eastAsia"/>
                <w:color w:val="000000"/>
              </w:rPr>
              <w:t>脱盐水站排污水、循环水站排污水采用石英砂过滤器过滤后，作为绿化水使用，冬季排至园区污水处理厂</w:t>
            </w:r>
          </w:p>
        </w:tc>
        <w:tc>
          <w:tcPr>
            <w:tcW w:w="920" w:type="dxa"/>
            <w:vAlign w:val="center"/>
          </w:tcPr>
          <w:p w14:paraId="4C818AD0">
            <w:pPr>
              <w:pStyle w:val="133"/>
              <w:rPr>
                <w:rFonts w:cs="Times New Roman"/>
                <w:color w:val="000000"/>
                <w:szCs w:val="21"/>
              </w:rPr>
            </w:pPr>
            <w:r>
              <w:rPr>
                <w:rFonts w:hint="eastAsia" w:cs="Times New Roman"/>
                <w:color w:val="000000"/>
                <w:szCs w:val="21"/>
              </w:rPr>
              <w:t>新建</w:t>
            </w:r>
          </w:p>
        </w:tc>
      </w:tr>
      <w:tr w14:paraId="4EEAF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2C4FF906">
            <w:pPr>
              <w:pStyle w:val="133"/>
              <w:rPr>
                <w:rFonts w:cs="Times New Roman"/>
                <w:color w:val="000000"/>
                <w:szCs w:val="21"/>
              </w:rPr>
            </w:pPr>
          </w:p>
        </w:tc>
        <w:tc>
          <w:tcPr>
            <w:tcW w:w="1985" w:type="dxa"/>
            <w:gridSpan w:val="2"/>
            <w:vAlign w:val="center"/>
          </w:tcPr>
          <w:p w14:paraId="13112AAF">
            <w:pPr>
              <w:pStyle w:val="133"/>
              <w:rPr>
                <w:rFonts w:cs="Times New Roman"/>
                <w:color w:val="000000"/>
                <w:szCs w:val="21"/>
              </w:rPr>
            </w:pPr>
            <w:r>
              <w:rPr>
                <w:rFonts w:cs="Times New Roman"/>
                <w:color w:val="000000"/>
              </w:rPr>
              <w:t>噪声治理</w:t>
            </w:r>
          </w:p>
        </w:tc>
        <w:tc>
          <w:tcPr>
            <w:tcW w:w="4819" w:type="dxa"/>
            <w:vAlign w:val="center"/>
          </w:tcPr>
          <w:p w14:paraId="149F2457">
            <w:pPr>
              <w:pStyle w:val="133"/>
              <w:rPr>
                <w:rFonts w:cs="Times New Roman"/>
                <w:color w:val="000000"/>
                <w:szCs w:val="21"/>
              </w:rPr>
            </w:pPr>
            <w:r>
              <w:rPr>
                <w:rFonts w:cs="Times New Roman"/>
                <w:color w:val="000000"/>
              </w:rPr>
              <w:t>优先选用低噪声设备、厂房隔声、设备加装减振垫</w:t>
            </w:r>
          </w:p>
        </w:tc>
        <w:tc>
          <w:tcPr>
            <w:tcW w:w="920" w:type="dxa"/>
            <w:vAlign w:val="center"/>
          </w:tcPr>
          <w:p w14:paraId="3841C9E4">
            <w:pPr>
              <w:pStyle w:val="133"/>
              <w:rPr>
                <w:rFonts w:cs="Times New Roman"/>
                <w:color w:val="000000"/>
                <w:szCs w:val="21"/>
              </w:rPr>
            </w:pPr>
            <w:r>
              <w:rPr>
                <w:rFonts w:hint="eastAsia" w:cs="Times New Roman"/>
                <w:color w:val="000000"/>
                <w:szCs w:val="21"/>
              </w:rPr>
              <w:t>新建</w:t>
            </w:r>
          </w:p>
        </w:tc>
      </w:tr>
      <w:tr w14:paraId="58455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2" w:type="dxa"/>
            <w:vMerge w:val="continue"/>
            <w:vAlign w:val="center"/>
          </w:tcPr>
          <w:p w14:paraId="262181DC">
            <w:pPr>
              <w:pStyle w:val="133"/>
              <w:rPr>
                <w:rFonts w:cs="Times New Roman"/>
                <w:color w:val="000000"/>
                <w:szCs w:val="21"/>
              </w:rPr>
            </w:pPr>
          </w:p>
        </w:tc>
        <w:tc>
          <w:tcPr>
            <w:tcW w:w="1985" w:type="dxa"/>
            <w:gridSpan w:val="2"/>
            <w:vAlign w:val="center"/>
          </w:tcPr>
          <w:p w14:paraId="6E7FA58B">
            <w:pPr>
              <w:pStyle w:val="133"/>
              <w:rPr>
                <w:rFonts w:cs="Times New Roman"/>
                <w:color w:val="000000"/>
              </w:rPr>
            </w:pPr>
            <w:r>
              <w:rPr>
                <w:rFonts w:cs="Times New Roman"/>
                <w:color w:val="000000"/>
              </w:rPr>
              <w:t>固体废物治理</w:t>
            </w:r>
          </w:p>
        </w:tc>
        <w:tc>
          <w:tcPr>
            <w:tcW w:w="4819" w:type="dxa"/>
            <w:vAlign w:val="center"/>
          </w:tcPr>
          <w:p w14:paraId="31FEB06C">
            <w:pPr>
              <w:pStyle w:val="133"/>
              <w:rPr>
                <w:rFonts w:cs="Times New Roman"/>
                <w:color w:val="000000"/>
              </w:rPr>
            </w:pPr>
            <w:r>
              <w:rPr>
                <w:rFonts w:hint="eastAsia" w:cs="Times New Roman"/>
                <w:color w:val="000000"/>
              </w:rPr>
              <w:t>依托现有危废暂存库1座</w:t>
            </w:r>
          </w:p>
        </w:tc>
        <w:tc>
          <w:tcPr>
            <w:tcW w:w="920" w:type="dxa"/>
            <w:vAlign w:val="center"/>
          </w:tcPr>
          <w:p w14:paraId="12C2DA81">
            <w:pPr>
              <w:pStyle w:val="133"/>
              <w:rPr>
                <w:rFonts w:cs="Times New Roman"/>
                <w:color w:val="000000"/>
                <w:szCs w:val="21"/>
              </w:rPr>
            </w:pPr>
            <w:r>
              <w:rPr>
                <w:rFonts w:hint="eastAsia" w:cs="Times New Roman"/>
                <w:color w:val="000000"/>
                <w:szCs w:val="21"/>
              </w:rPr>
              <w:t>利旧</w:t>
            </w:r>
          </w:p>
        </w:tc>
      </w:tr>
      <w:bookmarkEnd w:id="263"/>
    </w:tbl>
    <w:p w14:paraId="76C16066">
      <w:pPr>
        <w:pStyle w:val="138"/>
        <w:rPr>
          <w:rFonts w:hint="eastAsia"/>
        </w:rPr>
      </w:pPr>
      <w:bookmarkStart w:id="265" w:name="_Toc25767"/>
      <w:r>
        <w:rPr>
          <w:rFonts w:hint="eastAsia"/>
        </w:rPr>
        <w:t>平面布置</w:t>
      </w:r>
      <w:bookmarkEnd w:id="265"/>
    </w:p>
    <w:p w14:paraId="246542FE">
      <w:pPr>
        <w:pStyle w:val="944"/>
      </w:pPr>
      <w:r>
        <w:rPr>
          <w:rFonts w:hint="eastAsia"/>
        </w:rPr>
        <w:t>功能分区</w:t>
      </w:r>
    </w:p>
    <w:p w14:paraId="19FEB34A">
      <w:pPr>
        <w:pStyle w:val="404"/>
      </w:pPr>
      <w:r>
        <w:rPr>
          <w:rFonts w:hint="eastAsia"/>
          <w:lang w:val="en-US"/>
        </w:rPr>
        <w:t>根据本项目用地周边环境，道路交通，气候等条件，结合工艺流程，本项目总平面布置分为五大功能分区：分别为镁冶炼生产区、兰炭生产区、办公生活区、储运区、公辅区。</w:t>
      </w:r>
    </w:p>
    <w:p w14:paraId="50A37709">
      <w:pPr>
        <w:pStyle w:val="944"/>
      </w:pPr>
      <w:r>
        <w:rPr>
          <w:rFonts w:hint="eastAsia"/>
        </w:rPr>
        <w:t>总平面布置方案</w:t>
      </w:r>
    </w:p>
    <w:p w14:paraId="739C1E3D">
      <w:pPr>
        <w:pStyle w:val="117"/>
        <w:ind w:firstLine="480"/>
      </w:pPr>
      <w:r>
        <w:rPr>
          <w:rFonts w:hint="eastAsia"/>
        </w:rPr>
        <w:t>本项目在满足生产工艺要求的基础上，根据运输、消防、安全、卫生、施工等方面的要求，结合场地实际情况，进行总平面布置。</w:t>
      </w:r>
    </w:p>
    <w:p w14:paraId="47410DA9">
      <w:pPr>
        <w:pStyle w:val="117"/>
        <w:ind w:firstLine="480"/>
      </w:pPr>
      <w:r>
        <w:rPr>
          <w:rFonts w:hint="eastAsia"/>
        </w:rPr>
        <w:t>改造后兰炭生产线在现有</w:t>
      </w:r>
      <w:r>
        <w:t>30</w:t>
      </w:r>
      <w:r>
        <w:rPr>
          <w:rFonts w:hint="eastAsia"/>
        </w:rPr>
        <w:t>万t/a兰炭项目场地及周边预留用地建设，备煤和筛焦场地均利用原有场地，煤气净化车间在现有基础上进行改造。硅铁生产线在原址改造。生产区位于现有办公生活区侧风向。从总体来看，厂区平面布置比较合理。</w:t>
      </w:r>
    </w:p>
    <w:p w14:paraId="25B5DDD8">
      <w:pPr>
        <w:pStyle w:val="117"/>
        <w:ind w:firstLine="480"/>
      </w:pPr>
      <w:r>
        <w:rPr>
          <w:rFonts w:hint="eastAsia"/>
        </w:rPr>
        <w:t>平面布置图见图3.1-</w:t>
      </w:r>
      <w:r>
        <w:t>1</w:t>
      </w:r>
      <w:r>
        <w:rPr>
          <w:rFonts w:hint="eastAsia"/>
        </w:rPr>
        <w:t>。</w:t>
      </w:r>
    </w:p>
    <w:p w14:paraId="04FF3D9D">
      <w:pPr>
        <w:pStyle w:val="944"/>
      </w:pPr>
      <w:r>
        <w:rPr>
          <w:rFonts w:hint="eastAsia"/>
        </w:rPr>
        <w:t>合理性分析</w:t>
      </w:r>
    </w:p>
    <w:p w14:paraId="7782BBBC">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项目厂区总平面布置参照以下原则：</w:t>
      </w:r>
    </w:p>
    <w:p w14:paraId="6D69108F">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）执行国家颁布的有关规范、规定和标准要求，遵循总图专业布置原则。</w:t>
      </w:r>
    </w:p>
    <w:p w14:paraId="72AD2220">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）充分利用现有土地资源，因地制宜，紧凑布置，节约用地。</w:t>
      </w:r>
    </w:p>
    <w:p w14:paraId="77032048">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）力求工艺流程顺畅，管线短捷，使各规划装置区有机结合，方便生产管理。</w:t>
      </w:r>
    </w:p>
    <w:p w14:paraId="4DFA5155">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）确保界区外道路及公用工程管线引入顺畅、便捷。</w:t>
      </w:r>
    </w:p>
    <w:p w14:paraId="170F085E">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）总图布置充分考虑规划厂址的风向因素。</w:t>
      </w:r>
    </w:p>
    <w:p w14:paraId="36C0B380">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）厂区道路和场地的布置充分考虑装置的施工、设备安装、检修及消防通道。</w:t>
      </w:r>
    </w:p>
    <w:p w14:paraId="19B2F591">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）切实注重安全和环保要求，建设密度和建筑系数科学合理，建（构）筑物的间距符合防火、卫生规范及各种安全生产规定的要求。</w:t>
      </w:r>
    </w:p>
    <w:p w14:paraId="01837AC5">
      <w:pPr>
        <w:pStyle w:val="25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平面布置是在满足生产工艺要求的前提下，结合场地实际情况，根据运输、消防、安全、卫生、绿化、道路、地上地下管线、节约用地、施工等方面的要求，考虑到生产工段、辅助生产设施及生产管理和生活设施各自的功能和相互协作，充分利用有限场地力求紧凑合理，进而达到节省投资，有利生产、方便管理的目的。项目厂区总体布局功能分区明确，有利于组织生产和对外联系。</w:t>
      </w:r>
    </w:p>
    <w:p w14:paraId="50C1CF31">
      <w:pPr>
        <w:pStyle w:val="257"/>
        <w:ind w:firstLine="480"/>
        <w:rPr>
          <w:rFonts w:hint="eastAsia"/>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从厂区总体布置来看，生产设施集中布置，厂主要生产区均布置于厂区中央，这样可以有效降低生产过程对厂界周围的环境影响，从平面布置来看，本项目总图设计较为合理。</w:t>
      </w:r>
    </w:p>
    <w:p w14:paraId="50AA8410">
      <w:pPr>
        <w:pStyle w:val="133"/>
      </w:pPr>
    </w:p>
    <w:p w14:paraId="67E0E507">
      <w:pPr>
        <w:pStyle w:val="138"/>
        <w:rPr>
          <w:rFonts w:hint="eastAsia"/>
        </w:rPr>
      </w:pPr>
      <w:bookmarkStart w:id="266" w:name="_Toc17653"/>
      <w:r>
        <w:rPr>
          <w:rFonts w:hint="eastAsia"/>
        </w:rPr>
        <w:t>产品方案</w:t>
      </w:r>
      <w:bookmarkEnd w:id="266"/>
      <w:r>
        <w:rPr>
          <w:rFonts w:hint="eastAsia"/>
        </w:rPr>
        <w:t>及标准</w:t>
      </w:r>
    </w:p>
    <w:p w14:paraId="39BF32CE">
      <w:pPr>
        <w:pStyle w:val="5"/>
      </w:pPr>
      <w:r>
        <w:rPr>
          <w:rFonts w:hint="eastAsia"/>
        </w:rPr>
        <w:t>产品方案</w:t>
      </w:r>
    </w:p>
    <w:p w14:paraId="770CECF0">
      <w:pPr>
        <w:pStyle w:val="117"/>
        <w:ind w:firstLine="480"/>
      </w:pPr>
      <w:r>
        <w:rPr>
          <w:rFonts w:hint="eastAsia"/>
        </w:rPr>
        <w:t>本次技改提升产品方案见表3.1-2。</w:t>
      </w:r>
    </w:p>
    <w:p w14:paraId="45EAA6CD">
      <w:pPr>
        <w:pStyle w:val="118"/>
        <w:ind w:firstLine="480"/>
      </w:pPr>
      <w:r>
        <w:rPr>
          <w:rFonts w:hint="eastAsia"/>
        </w:rPr>
        <w:t>表3.1-2</w:t>
      </w:r>
      <w:r>
        <w:t xml:space="preserve"> </w:t>
      </w:r>
      <w:r>
        <w:rPr>
          <w:rFonts w:hint="eastAsia"/>
        </w:rPr>
        <w:t xml:space="preserve"> 产品方案一览表</w:t>
      </w:r>
    </w:p>
    <w:tbl>
      <w:tblPr>
        <w:tblStyle w:val="176"/>
        <w:tblW w:w="5000" w:type="pct"/>
        <w:tblInd w:w="13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2353"/>
        <w:gridCol w:w="2354"/>
        <w:gridCol w:w="2354"/>
      </w:tblGrid>
      <w:tr w14:paraId="48E147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560DEACD">
            <w:pPr>
              <w:pStyle w:val="133"/>
              <w:rPr>
                <w:rFonts w:ascii="Arial" w:hAnsi="Arial"/>
                <w:b/>
                <w:bCs/>
                <w:snapToGrid w:val="0"/>
                <w:color w:val="000000"/>
              </w:rPr>
            </w:pPr>
            <w:r>
              <w:rPr>
                <w:rFonts w:ascii="Arial" w:hAnsi="Arial"/>
                <w:b/>
                <w:bCs/>
                <w:snapToGrid w:val="0"/>
                <w:color w:val="000000"/>
              </w:rPr>
              <w:t>序号</w:t>
            </w:r>
          </w:p>
        </w:tc>
        <w:tc>
          <w:tcPr>
            <w:tcW w:w="2336" w:type="dxa"/>
            <w:vAlign w:val="center"/>
          </w:tcPr>
          <w:p w14:paraId="6EF59CA0">
            <w:pPr>
              <w:pStyle w:val="133"/>
              <w:rPr>
                <w:rFonts w:ascii="Arial" w:hAnsi="Arial"/>
                <w:b/>
                <w:bCs/>
                <w:snapToGrid w:val="0"/>
                <w:color w:val="000000"/>
              </w:rPr>
            </w:pPr>
            <w:r>
              <w:rPr>
                <w:rFonts w:ascii="Arial" w:hAnsi="Arial"/>
                <w:b/>
                <w:bCs/>
                <w:snapToGrid w:val="0"/>
                <w:color w:val="000000"/>
              </w:rPr>
              <w:t>产品名称</w:t>
            </w:r>
          </w:p>
        </w:tc>
        <w:tc>
          <w:tcPr>
            <w:tcW w:w="2337" w:type="dxa"/>
            <w:vAlign w:val="center"/>
          </w:tcPr>
          <w:p w14:paraId="5F86A461">
            <w:pPr>
              <w:pStyle w:val="133"/>
              <w:rPr>
                <w:rFonts w:ascii="Arial" w:hAnsi="Arial"/>
                <w:b/>
                <w:bCs/>
                <w:snapToGrid w:val="0"/>
                <w:color w:val="000000"/>
              </w:rPr>
            </w:pPr>
            <w:r>
              <w:rPr>
                <w:rFonts w:ascii="Arial" w:hAnsi="Arial"/>
                <w:b/>
                <w:bCs/>
                <w:snapToGrid w:val="0"/>
                <w:color w:val="000000"/>
              </w:rPr>
              <w:t>年产量（t）</w:t>
            </w:r>
          </w:p>
        </w:tc>
        <w:tc>
          <w:tcPr>
            <w:tcW w:w="2337" w:type="dxa"/>
            <w:vAlign w:val="center"/>
          </w:tcPr>
          <w:p w14:paraId="4B5CF9A0">
            <w:pPr>
              <w:pStyle w:val="133"/>
              <w:rPr>
                <w:rFonts w:ascii="Arial" w:hAnsi="Arial"/>
                <w:b/>
                <w:bCs/>
                <w:snapToGrid w:val="0"/>
                <w:color w:val="000000"/>
              </w:rPr>
            </w:pPr>
            <w:r>
              <w:rPr>
                <w:rFonts w:hint="eastAsia" w:ascii="Arial" w:hAnsi="Arial"/>
                <w:b/>
                <w:bCs/>
                <w:snapToGrid w:val="0"/>
                <w:color w:val="000000"/>
              </w:rPr>
              <w:t>执行标准</w:t>
            </w:r>
          </w:p>
        </w:tc>
      </w:tr>
      <w:tr w14:paraId="36CFCE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05825FDD">
            <w:pPr>
              <w:pStyle w:val="133"/>
              <w:rPr>
                <w:rFonts w:ascii="Arial" w:hAnsi="Arial"/>
                <w:snapToGrid w:val="0"/>
                <w:color w:val="000000"/>
              </w:rPr>
            </w:pPr>
            <w:r>
              <w:rPr>
                <w:rFonts w:hint="eastAsia" w:ascii="Arial" w:hAnsi="Arial"/>
                <w:snapToGrid w:val="0"/>
                <w:color w:val="000000"/>
              </w:rPr>
              <w:t>1</w:t>
            </w:r>
          </w:p>
        </w:tc>
        <w:tc>
          <w:tcPr>
            <w:tcW w:w="2336" w:type="dxa"/>
            <w:vAlign w:val="center"/>
          </w:tcPr>
          <w:p w14:paraId="75A455E2">
            <w:pPr>
              <w:pStyle w:val="133"/>
              <w:rPr>
                <w:rFonts w:ascii="Arial" w:hAnsi="Arial"/>
                <w:snapToGrid w:val="0"/>
                <w:color w:val="000000"/>
              </w:rPr>
            </w:pPr>
            <w:r>
              <w:rPr>
                <w:rFonts w:ascii="Arial" w:hAnsi="Arial"/>
                <w:snapToGrid w:val="0"/>
                <w:color w:val="000000"/>
              </w:rPr>
              <w:t>兰炭</w:t>
            </w:r>
          </w:p>
        </w:tc>
        <w:tc>
          <w:tcPr>
            <w:tcW w:w="2337" w:type="dxa"/>
            <w:vAlign w:val="center"/>
          </w:tcPr>
          <w:p w14:paraId="3C7FAC93">
            <w:pPr>
              <w:pStyle w:val="133"/>
              <w:rPr>
                <w:rFonts w:ascii="Arial" w:hAnsi="Arial"/>
                <w:snapToGrid w:val="0"/>
                <w:color w:val="000000"/>
              </w:rPr>
            </w:pPr>
            <w:r>
              <w:rPr>
                <w:rFonts w:hint="eastAsia" w:ascii="Arial" w:hAnsi="Arial"/>
                <w:snapToGrid w:val="0"/>
                <w:color w:val="000000"/>
              </w:rPr>
              <w:t>600000</w:t>
            </w:r>
          </w:p>
        </w:tc>
        <w:tc>
          <w:tcPr>
            <w:tcW w:w="2337" w:type="dxa"/>
            <w:vAlign w:val="center"/>
          </w:tcPr>
          <w:p w14:paraId="090C456B">
            <w:pPr>
              <w:pStyle w:val="133"/>
              <w:rPr>
                <w:rFonts w:ascii="Arial" w:hAnsi="Arial"/>
                <w:snapToGrid w:val="0"/>
                <w:color w:val="000000"/>
              </w:rPr>
            </w:pPr>
            <w:r>
              <w:rPr>
                <w:rFonts w:ascii="Arial" w:hAnsi="Arial"/>
                <w:snapToGrid w:val="0"/>
                <w:color w:val="000000"/>
              </w:rPr>
              <w:t>GB/T25211-2023</w:t>
            </w:r>
          </w:p>
        </w:tc>
      </w:tr>
      <w:tr w14:paraId="0F39D2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5D2AFF52">
            <w:pPr>
              <w:pStyle w:val="133"/>
              <w:rPr>
                <w:rFonts w:ascii="Arial" w:hAnsi="Arial"/>
                <w:snapToGrid w:val="0"/>
                <w:color w:val="000000"/>
              </w:rPr>
            </w:pPr>
            <w:r>
              <w:rPr>
                <w:rFonts w:ascii="Arial" w:hAnsi="Arial"/>
                <w:snapToGrid w:val="0"/>
                <w:color w:val="000000"/>
              </w:rPr>
              <w:t>2</w:t>
            </w:r>
          </w:p>
        </w:tc>
        <w:tc>
          <w:tcPr>
            <w:tcW w:w="2336" w:type="dxa"/>
            <w:vAlign w:val="center"/>
          </w:tcPr>
          <w:p w14:paraId="5591DD55">
            <w:pPr>
              <w:pStyle w:val="133"/>
              <w:rPr>
                <w:rFonts w:ascii="Arial" w:hAnsi="Arial"/>
                <w:snapToGrid w:val="0"/>
                <w:color w:val="000000"/>
              </w:rPr>
            </w:pPr>
            <w:r>
              <w:rPr>
                <w:rFonts w:ascii="Arial" w:hAnsi="Arial"/>
                <w:snapToGrid w:val="0"/>
                <w:color w:val="000000"/>
              </w:rPr>
              <w:t>沫煤</w:t>
            </w:r>
          </w:p>
        </w:tc>
        <w:tc>
          <w:tcPr>
            <w:tcW w:w="2337" w:type="dxa"/>
            <w:vAlign w:val="center"/>
          </w:tcPr>
          <w:p w14:paraId="57E4D8F9">
            <w:pPr>
              <w:pStyle w:val="133"/>
              <w:rPr>
                <w:rFonts w:ascii="Arial" w:hAnsi="Arial"/>
                <w:snapToGrid w:val="0"/>
                <w:color w:val="000000"/>
              </w:rPr>
            </w:pPr>
            <w:r>
              <w:rPr>
                <w:rFonts w:hint="eastAsia" w:ascii="Arial" w:hAnsi="Arial"/>
                <w:snapToGrid w:val="0"/>
                <w:color w:val="000000"/>
              </w:rPr>
              <w:t>300000</w:t>
            </w:r>
          </w:p>
        </w:tc>
        <w:tc>
          <w:tcPr>
            <w:tcW w:w="2337" w:type="dxa"/>
            <w:vAlign w:val="center"/>
          </w:tcPr>
          <w:p w14:paraId="0164B329">
            <w:pPr>
              <w:pStyle w:val="133"/>
              <w:rPr>
                <w:rFonts w:ascii="Arial" w:hAnsi="Arial"/>
                <w:snapToGrid w:val="0"/>
                <w:color w:val="000000"/>
              </w:rPr>
            </w:pPr>
            <w:r>
              <w:rPr>
                <w:rFonts w:hint="eastAsia" w:ascii="Arial" w:hAnsi="Arial"/>
                <w:snapToGrid w:val="0"/>
                <w:color w:val="000000"/>
              </w:rPr>
              <w:t>-</w:t>
            </w:r>
          </w:p>
        </w:tc>
      </w:tr>
      <w:tr w14:paraId="12A2D0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384127F2">
            <w:pPr>
              <w:pStyle w:val="133"/>
              <w:rPr>
                <w:rFonts w:ascii="Arial" w:hAnsi="Arial"/>
                <w:snapToGrid w:val="0"/>
                <w:color w:val="000000"/>
              </w:rPr>
            </w:pPr>
            <w:r>
              <w:rPr>
                <w:rFonts w:ascii="Arial" w:hAnsi="Arial"/>
                <w:snapToGrid w:val="0"/>
                <w:color w:val="000000"/>
              </w:rPr>
              <w:t>3</w:t>
            </w:r>
          </w:p>
        </w:tc>
        <w:tc>
          <w:tcPr>
            <w:tcW w:w="2336" w:type="dxa"/>
            <w:vAlign w:val="center"/>
          </w:tcPr>
          <w:p w14:paraId="36A65036">
            <w:pPr>
              <w:pStyle w:val="133"/>
              <w:rPr>
                <w:rFonts w:ascii="Arial" w:hAnsi="Arial"/>
                <w:snapToGrid w:val="0"/>
                <w:color w:val="000000"/>
              </w:rPr>
            </w:pPr>
            <w:r>
              <w:rPr>
                <w:rFonts w:ascii="Arial" w:hAnsi="Arial"/>
                <w:snapToGrid w:val="0"/>
                <w:color w:val="000000"/>
              </w:rPr>
              <w:t>煤焦油</w:t>
            </w:r>
          </w:p>
        </w:tc>
        <w:tc>
          <w:tcPr>
            <w:tcW w:w="2337" w:type="dxa"/>
            <w:vAlign w:val="center"/>
          </w:tcPr>
          <w:p w14:paraId="255FE8F5">
            <w:pPr>
              <w:pStyle w:val="133"/>
              <w:rPr>
                <w:rFonts w:ascii="Arial" w:hAnsi="Arial"/>
                <w:snapToGrid w:val="0"/>
                <w:color w:val="000000"/>
              </w:rPr>
            </w:pPr>
            <w:r>
              <w:rPr>
                <w:rFonts w:hint="eastAsia" w:ascii="Arial" w:hAnsi="Arial"/>
                <w:snapToGrid w:val="0"/>
                <w:color w:val="000000"/>
              </w:rPr>
              <w:t>97000</w:t>
            </w:r>
          </w:p>
        </w:tc>
        <w:tc>
          <w:tcPr>
            <w:tcW w:w="2337" w:type="dxa"/>
            <w:vAlign w:val="center"/>
          </w:tcPr>
          <w:p w14:paraId="6B78C177">
            <w:pPr>
              <w:pStyle w:val="133"/>
              <w:rPr>
                <w:rFonts w:ascii="Arial" w:hAnsi="Arial"/>
                <w:snapToGrid w:val="0"/>
                <w:color w:val="000000"/>
              </w:rPr>
            </w:pPr>
            <w:r>
              <w:rPr>
                <w:rFonts w:ascii="Arial" w:hAnsi="Arial"/>
                <w:snapToGrid w:val="0"/>
                <w:color w:val="000000"/>
              </w:rPr>
              <w:t>YB/T5075-2010</w:t>
            </w:r>
          </w:p>
        </w:tc>
      </w:tr>
      <w:tr w14:paraId="2EFF33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0B2538BC">
            <w:pPr>
              <w:pStyle w:val="133"/>
              <w:rPr>
                <w:rFonts w:ascii="Arial" w:hAnsi="Arial"/>
                <w:snapToGrid w:val="0"/>
                <w:color w:val="000000"/>
              </w:rPr>
            </w:pPr>
            <w:r>
              <w:rPr>
                <w:rFonts w:ascii="Arial" w:hAnsi="Arial"/>
                <w:snapToGrid w:val="0"/>
                <w:color w:val="000000"/>
              </w:rPr>
              <w:t>4</w:t>
            </w:r>
          </w:p>
        </w:tc>
        <w:tc>
          <w:tcPr>
            <w:tcW w:w="2336" w:type="dxa"/>
            <w:vAlign w:val="center"/>
          </w:tcPr>
          <w:p w14:paraId="2DFE384C">
            <w:pPr>
              <w:pStyle w:val="133"/>
              <w:rPr>
                <w:rFonts w:ascii="Arial" w:hAnsi="Arial"/>
                <w:snapToGrid w:val="0"/>
                <w:color w:val="000000"/>
              </w:rPr>
            </w:pPr>
            <w:r>
              <w:rPr>
                <w:rFonts w:hint="eastAsia" w:ascii="Arial" w:hAnsi="Arial"/>
                <w:snapToGrid w:val="0"/>
                <w:color w:val="000000"/>
              </w:rPr>
              <w:t>荒煤气</w:t>
            </w:r>
          </w:p>
        </w:tc>
        <w:tc>
          <w:tcPr>
            <w:tcW w:w="2337" w:type="dxa"/>
            <w:vAlign w:val="center"/>
          </w:tcPr>
          <w:p w14:paraId="0CC297B3">
            <w:pPr>
              <w:pStyle w:val="133"/>
              <w:rPr>
                <w:rFonts w:ascii="Arial" w:hAnsi="Arial"/>
                <w:snapToGrid w:val="0"/>
                <w:color w:val="000000"/>
              </w:rPr>
            </w:pPr>
            <w:r>
              <w:rPr>
                <w:rFonts w:hint="eastAsia" w:ascii="Arial" w:hAnsi="Arial"/>
                <w:snapToGrid w:val="0"/>
                <w:color w:val="000000"/>
              </w:rPr>
              <w:t>1227600</w:t>
            </w:r>
          </w:p>
        </w:tc>
        <w:tc>
          <w:tcPr>
            <w:tcW w:w="2337" w:type="dxa"/>
            <w:vAlign w:val="center"/>
          </w:tcPr>
          <w:p w14:paraId="20426A92">
            <w:pPr>
              <w:pStyle w:val="133"/>
              <w:rPr>
                <w:rFonts w:ascii="Arial" w:hAnsi="Arial"/>
                <w:snapToGrid w:val="0"/>
                <w:color w:val="000000"/>
              </w:rPr>
            </w:pPr>
            <w:r>
              <w:rPr>
                <w:rFonts w:hint="eastAsia" w:ascii="Arial" w:hAnsi="Arial"/>
                <w:snapToGrid w:val="0"/>
                <w:color w:val="000000"/>
              </w:rPr>
              <w:t>厂内使用</w:t>
            </w:r>
          </w:p>
        </w:tc>
      </w:tr>
      <w:tr w14:paraId="625B30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0F7664EF">
            <w:pPr>
              <w:pStyle w:val="133"/>
              <w:rPr>
                <w:rFonts w:ascii="Arial" w:hAnsi="Arial"/>
                <w:snapToGrid w:val="0"/>
                <w:color w:val="000000"/>
              </w:rPr>
            </w:pPr>
            <w:r>
              <w:rPr>
                <w:rFonts w:hint="eastAsia" w:ascii="Arial" w:hAnsi="Arial"/>
                <w:snapToGrid w:val="0"/>
                <w:color w:val="000000"/>
              </w:rPr>
              <w:t>5</w:t>
            </w:r>
          </w:p>
        </w:tc>
        <w:tc>
          <w:tcPr>
            <w:tcW w:w="2336" w:type="dxa"/>
            <w:vAlign w:val="center"/>
          </w:tcPr>
          <w:p w14:paraId="4C0AD3A7">
            <w:pPr>
              <w:pStyle w:val="133"/>
              <w:rPr>
                <w:rFonts w:ascii="Arial" w:hAnsi="Arial"/>
                <w:snapToGrid w:val="0"/>
                <w:color w:val="000000"/>
              </w:rPr>
            </w:pPr>
            <w:r>
              <w:rPr>
                <w:rFonts w:hint="eastAsia" w:ascii="Arial" w:hAnsi="Arial"/>
                <w:snapToGrid w:val="0"/>
                <w:color w:val="000000"/>
              </w:rPr>
              <w:t>硅铁（75%）</w:t>
            </w:r>
          </w:p>
        </w:tc>
        <w:tc>
          <w:tcPr>
            <w:tcW w:w="2337" w:type="dxa"/>
            <w:vAlign w:val="center"/>
          </w:tcPr>
          <w:p w14:paraId="56669BA9">
            <w:pPr>
              <w:pStyle w:val="133"/>
              <w:rPr>
                <w:rFonts w:ascii="Arial" w:hAnsi="Arial"/>
                <w:snapToGrid w:val="0"/>
                <w:color w:val="000000"/>
              </w:rPr>
            </w:pPr>
            <w:r>
              <w:rPr>
                <w:rFonts w:hint="eastAsia" w:ascii="Arial" w:hAnsi="Arial"/>
                <w:snapToGrid w:val="0"/>
                <w:color w:val="000000"/>
              </w:rPr>
              <w:t>52006.19</w:t>
            </w:r>
          </w:p>
        </w:tc>
        <w:tc>
          <w:tcPr>
            <w:tcW w:w="2337" w:type="dxa"/>
            <w:vAlign w:val="center"/>
          </w:tcPr>
          <w:p w14:paraId="396E951C">
            <w:pPr>
              <w:pStyle w:val="133"/>
              <w:rPr>
                <w:rFonts w:ascii="Arial" w:hAnsi="Arial"/>
                <w:snapToGrid w:val="0"/>
                <w:color w:val="000000"/>
              </w:rPr>
            </w:pPr>
            <w:r>
              <w:rPr>
                <w:rFonts w:ascii="Arial" w:hAnsi="Arial" w:eastAsia="Times New Roman" w:cs="Times New Roman"/>
                <w:snapToGrid w:val="0"/>
                <w:color w:val="000000"/>
                <w:spacing w:val="-8"/>
              </w:rPr>
              <w:t>GB/T</w:t>
            </w:r>
            <w:r>
              <w:rPr>
                <w:rFonts w:ascii="Arial" w:hAnsi="Arial" w:eastAsia="Times New Roman" w:cs="Times New Roman"/>
                <w:snapToGrid w:val="0"/>
                <w:color w:val="000000"/>
              </w:rPr>
              <w:t>2272-2020</w:t>
            </w:r>
          </w:p>
        </w:tc>
      </w:tr>
      <w:tr w14:paraId="06A31D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5F61B7AF">
            <w:pPr>
              <w:pStyle w:val="133"/>
              <w:rPr>
                <w:rFonts w:ascii="Arial" w:hAnsi="Arial"/>
                <w:snapToGrid w:val="0"/>
                <w:color w:val="000000"/>
              </w:rPr>
            </w:pPr>
            <w:r>
              <w:rPr>
                <w:rFonts w:hint="eastAsia" w:ascii="Arial" w:hAnsi="Arial"/>
                <w:snapToGrid w:val="0"/>
                <w:color w:val="000000"/>
              </w:rPr>
              <w:t>6</w:t>
            </w:r>
          </w:p>
        </w:tc>
        <w:tc>
          <w:tcPr>
            <w:tcW w:w="2336" w:type="dxa"/>
            <w:vAlign w:val="center"/>
          </w:tcPr>
          <w:p w14:paraId="42D08C17">
            <w:pPr>
              <w:pStyle w:val="133"/>
              <w:rPr>
                <w:rFonts w:ascii="Arial" w:hAnsi="Arial"/>
                <w:snapToGrid w:val="0"/>
                <w:color w:val="000000"/>
              </w:rPr>
            </w:pPr>
            <w:r>
              <w:rPr>
                <w:rFonts w:hint="eastAsia" w:ascii="Arial" w:hAnsi="Arial"/>
                <w:snapToGrid w:val="0"/>
                <w:color w:val="000000"/>
              </w:rPr>
              <w:t>硅铁（72%）</w:t>
            </w:r>
          </w:p>
        </w:tc>
        <w:tc>
          <w:tcPr>
            <w:tcW w:w="2337" w:type="dxa"/>
            <w:vAlign w:val="center"/>
          </w:tcPr>
          <w:p w14:paraId="559B2E30">
            <w:pPr>
              <w:pStyle w:val="133"/>
              <w:rPr>
                <w:rFonts w:ascii="Arial" w:hAnsi="Arial"/>
                <w:snapToGrid w:val="0"/>
                <w:color w:val="000000"/>
              </w:rPr>
            </w:pPr>
            <w:r>
              <w:rPr>
                <w:rFonts w:hint="eastAsia" w:ascii="Arial" w:hAnsi="Arial"/>
                <w:snapToGrid w:val="0"/>
                <w:color w:val="000000"/>
              </w:rPr>
              <w:t>4000</w:t>
            </w:r>
          </w:p>
        </w:tc>
        <w:tc>
          <w:tcPr>
            <w:tcW w:w="2337" w:type="dxa"/>
            <w:vAlign w:val="center"/>
          </w:tcPr>
          <w:p w14:paraId="3D47CD7E">
            <w:pPr>
              <w:pStyle w:val="133"/>
              <w:rPr>
                <w:rFonts w:ascii="Arial" w:hAnsi="Arial"/>
                <w:snapToGrid w:val="0"/>
                <w:color w:val="000000"/>
              </w:rPr>
            </w:pPr>
            <w:r>
              <w:rPr>
                <w:rFonts w:ascii="Arial" w:hAnsi="Arial" w:eastAsia="Times New Roman" w:cs="Times New Roman"/>
                <w:snapToGrid w:val="0"/>
                <w:color w:val="000000"/>
                <w:spacing w:val="-8"/>
              </w:rPr>
              <w:t>GB/T</w:t>
            </w:r>
            <w:r>
              <w:rPr>
                <w:rFonts w:ascii="Arial" w:hAnsi="Arial" w:eastAsia="Times New Roman" w:cs="Times New Roman"/>
                <w:snapToGrid w:val="0"/>
                <w:color w:val="000000"/>
              </w:rPr>
              <w:t>2272-2020</w:t>
            </w:r>
          </w:p>
        </w:tc>
      </w:tr>
      <w:tr w14:paraId="50F7F1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66" w:type="dxa"/>
            <w:vAlign w:val="center"/>
          </w:tcPr>
          <w:p w14:paraId="3AAB24CC">
            <w:pPr>
              <w:pStyle w:val="133"/>
              <w:rPr>
                <w:rFonts w:ascii="Arial" w:hAnsi="Arial"/>
                <w:snapToGrid w:val="0"/>
                <w:color w:val="000000"/>
              </w:rPr>
            </w:pPr>
            <w:r>
              <w:rPr>
                <w:rFonts w:hint="eastAsia" w:ascii="Arial" w:hAnsi="Arial"/>
                <w:snapToGrid w:val="0"/>
                <w:color w:val="000000"/>
              </w:rPr>
              <w:t>7</w:t>
            </w:r>
          </w:p>
        </w:tc>
        <w:tc>
          <w:tcPr>
            <w:tcW w:w="2336" w:type="dxa"/>
            <w:vAlign w:val="center"/>
          </w:tcPr>
          <w:p w14:paraId="52AF8B09">
            <w:pPr>
              <w:pStyle w:val="133"/>
              <w:rPr>
                <w:rFonts w:ascii="Arial" w:hAnsi="Arial"/>
                <w:snapToGrid w:val="0"/>
                <w:color w:val="000000"/>
              </w:rPr>
            </w:pPr>
            <w:r>
              <w:rPr>
                <w:rFonts w:ascii="Arial" w:hAnsi="Arial"/>
                <w:snapToGrid w:val="0"/>
                <w:color w:val="000000"/>
              </w:rPr>
              <w:t>微硅粉</w:t>
            </w:r>
          </w:p>
        </w:tc>
        <w:tc>
          <w:tcPr>
            <w:tcW w:w="2337" w:type="dxa"/>
            <w:vAlign w:val="center"/>
          </w:tcPr>
          <w:p w14:paraId="3375CBCF">
            <w:pPr>
              <w:pStyle w:val="133"/>
              <w:rPr>
                <w:rFonts w:ascii="Arial" w:hAnsi="Arial"/>
                <w:snapToGrid w:val="0"/>
                <w:color w:val="000000"/>
              </w:rPr>
            </w:pPr>
            <w:r>
              <w:rPr>
                <w:rFonts w:hint="eastAsia" w:ascii="Arial" w:hAnsi="Arial"/>
                <w:snapToGrid w:val="0"/>
                <w:color w:val="000000"/>
              </w:rPr>
              <w:t>7309.28</w:t>
            </w:r>
          </w:p>
        </w:tc>
        <w:tc>
          <w:tcPr>
            <w:tcW w:w="2337" w:type="dxa"/>
            <w:vAlign w:val="center"/>
          </w:tcPr>
          <w:p w14:paraId="4918A17C">
            <w:pPr>
              <w:pStyle w:val="133"/>
              <w:rPr>
                <w:rFonts w:ascii="Arial" w:hAnsi="Arial"/>
                <w:snapToGrid w:val="0"/>
                <w:color w:val="000000"/>
              </w:rPr>
            </w:pPr>
            <w:r>
              <w:rPr>
                <w:rFonts w:ascii="Arial" w:hAnsi="Arial"/>
                <w:snapToGrid w:val="0"/>
                <w:color w:val="000000"/>
              </w:rPr>
              <w:t>GB/T21236-2007</w:t>
            </w:r>
          </w:p>
        </w:tc>
      </w:tr>
    </w:tbl>
    <w:p w14:paraId="52F30BB2">
      <w:pPr>
        <w:pStyle w:val="133"/>
      </w:pPr>
    </w:p>
    <w:p w14:paraId="51148B1F">
      <w:pPr>
        <w:pStyle w:val="5"/>
      </w:pPr>
      <w:bookmarkStart w:id="267" w:name="_Toc24350"/>
      <w:r>
        <w:rPr>
          <w:rFonts w:hint="eastAsia"/>
        </w:rPr>
        <w:t>产品标准</w:t>
      </w:r>
    </w:p>
    <w:bookmarkEnd w:id="267"/>
    <w:p w14:paraId="1C2A0DD7">
      <w:pPr>
        <w:pStyle w:val="117"/>
        <w:ind w:firstLine="480"/>
      </w:pPr>
      <w:r>
        <w:rPr>
          <w:rFonts w:hint="eastAsia"/>
        </w:rPr>
        <w:t>（1</w:t>
      </w:r>
      <w:r>
        <w:t>）兰炭</w:t>
      </w:r>
      <w:r>
        <w:rPr>
          <w:rFonts w:hint="eastAsia"/>
        </w:rPr>
        <w:t>产品</w:t>
      </w:r>
      <w:r>
        <w:t>符合《兰炭产品分类及质量要求》（GB/T25211-2023）中表6</w:t>
      </w:r>
      <w:r>
        <w:rPr>
          <w:rFonts w:hint="eastAsia"/>
        </w:rPr>
        <w:t xml:space="preserve"> </w:t>
      </w:r>
      <w:r>
        <w:t>用作铁合金等冶炼用还原剂的兰炭产品质量要求</w:t>
      </w:r>
      <w:r>
        <w:rPr>
          <w:rFonts w:hint="eastAsia"/>
        </w:rPr>
        <w:t>，见表3.1-3。</w:t>
      </w:r>
    </w:p>
    <w:p w14:paraId="1461A1F6">
      <w:pPr>
        <w:pStyle w:val="118"/>
      </w:pPr>
      <w:r>
        <w:rPr>
          <w:rFonts w:hint="eastAsia"/>
        </w:rPr>
        <w:t>表3.1-3  兰炭产品标准要求</w:t>
      </w:r>
    </w:p>
    <w:tbl>
      <w:tblPr>
        <w:tblStyle w:val="17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50"/>
        <w:gridCol w:w="1173"/>
        <w:gridCol w:w="5013"/>
      </w:tblGrid>
      <w:tr w14:paraId="7A6638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102" w:type="dxa"/>
            <w:vAlign w:val="center"/>
          </w:tcPr>
          <w:p w14:paraId="008F1E55">
            <w:pPr>
              <w:pStyle w:val="133"/>
              <w:rPr>
                <w:rFonts w:ascii="Arial" w:hAnsi="Arial"/>
                <w:b/>
                <w:bCs/>
                <w:snapToGrid w:val="0"/>
                <w:color w:val="000000"/>
              </w:rPr>
            </w:pPr>
            <w:r>
              <w:rPr>
                <w:rFonts w:ascii="Arial" w:hAnsi="Arial"/>
                <w:b/>
                <w:bCs/>
                <w:snapToGrid w:val="0"/>
                <w:color w:val="000000"/>
              </w:rPr>
              <w:t>项目/单位</w:t>
            </w:r>
          </w:p>
        </w:tc>
        <w:tc>
          <w:tcPr>
            <w:tcW w:w="1147" w:type="dxa"/>
            <w:vAlign w:val="center"/>
          </w:tcPr>
          <w:p w14:paraId="0D8B4CB1">
            <w:pPr>
              <w:pStyle w:val="133"/>
              <w:rPr>
                <w:rFonts w:ascii="Arial" w:hAnsi="Arial"/>
                <w:b/>
                <w:bCs/>
                <w:snapToGrid w:val="0"/>
                <w:color w:val="000000"/>
              </w:rPr>
            </w:pPr>
            <w:r>
              <w:rPr>
                <w:rFonts w:ascii="Arial" w:hAnsi="Arial"/>
                <w:b/>
                <w:bCs/>
                <w:snapToGrid w:val="0"/>
                <w:color w:val="000000"/>
              </w:rPr>
              <w:t>级别</w:t>
            </w:r>
          </w:p>
        </w:tc>
        <w:tc>
          <w:tcPr>
            <w:tcW w:w="4901" w:type="dxa"/>
            <w:vAlign w:val="center"/>
          </w:tcPr>
          <w:p w14:paraId="3409E36A">
            <w:pPr>
              <w:pStyle w:val="133"/>
              <w:rPr>
                <w:rFonts w:ascii="Arial" w:hAnsi="Arial"/>
                <w:b/>
                <w:bCs/>
                <w:snapToGrid w:val="0"/>
                <w:color w:val="000000"/>
              </w:rPr>
            </w:pPr>
            <w:r>
              <w:rPr>
                <w:rFonts w:ascii="Arial" w:hAnsi="Arial"/>
                <w:b/>
                <w:bCs/>
                <w:snapToGrid w:val="0"/>
                <w:color w:val="000000"/>
              </w:rPr>
              <w:t>数值范围</w:t>
            </w:r>
          </w:p>
        </w:tc>
      </w:tr>
      <w:tr w14:paraId="2F4555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3EA2D55F">
            <w:pPr>
              <w:pStyle w:val="133"/>
              <w:rPr>
                <w:rFonts w:ascii="Arial" w:hAnsi="Arial"/>
                <w:snapToGrid w:val="0"/>
                <w:color w:val="000000"/>
              </w:rPr>
            </w:pPr>
            <w:r>
              <w:rPr>
                <w:rFonts w:ascii="Arial" w:hAnsi="Arial"/>
                <w:snapToGrid w:val="0"/>
                <w:color w:val="000000"/>
              </w:rPr>
              <w:t>粒度/mm</w:t>
            </w:r>
          </w:p>
        </w:tc>
        <w:tc>
          <w:tcPr>
            <w:tcW w:w="1147" w:type="dxa"/>
            <w:vAlign w:val="center"/>
          </w:tcPr>
          <w:p w14:paraId="07E063B9">
            <w:pPr>
              <w:pStyle w:val="133"/>
              <w:rPr>
                <w:rFonts w:ascii="Arial" w:hAnsi="Arial"/>
                <w:snapToGrid w:val="0"/>
                <w:color w:val="000000"/>
              </w:rPr>
            </w:pPr>
            <w:r>
              <w:rPr>
                <w:rFonts w:ascii="Arial" w:hAnsi="Arial"/>
                <w:snapToGrid w:val="0"/>
                <w:color w:val="000000"/>
              </w:rPr>
              <w:t>I级</w:t>
            </w:r>
          </w:p>
        </w:tc>
        <w:tc>
          <w:tcPr>
            <w:tcW w:w="4901" w:type="dxa"/>
            <w:vAlign w:val="center"/>
          </w:tcPr>
          <w:p w14:paraId="465E6B40">
            <w:pPr>
              <w:pStyle w:val="133"/>
              <w:rPr>
                <w:rFonts w:ascii="Arial" w:hAnsi="Arial"/>
                <w:snapToGrid w:val="0"/>
                <w:color w:val="000000"/>
              </w:rPr>
            </w:pPr>
            <w:r>
              <w:rPr>
                <w:rFonts w:hint="eastAsia" w:ascii="Arial" w:hAnsi="Arial"/>
                <w:snapToGrid w:val="0"/>
                <w:color w:val="000000"/>
              </w:rPr>
              <w:t>“</w:t>
            </w:r>
            <w:r>
              <w:rPr>
                <w:rFonts w:ascii="Arial" w:hAnsi="Arial"/>
                <w:snapToGrid w:val="0"/>
                <w:color w:val="000000"/>
              </w:rPr>
              <w:t>6~13（&lt;6的不大于10%）</w:t>
            </w:r>
            <w:r>
              <w:rPr>
                <w:rFonts w:hint="eastAsia" w:ascii="Arial" w:hAnsi="Arial"/>
                <w:snapToGrid w:val="0"/>
                <w:color w:val="000000"/>
              </w:rPr>
              <w:t>”或“13~25（</w:t>
            </w:r>
            <w:r>
              <w:rPr>
                <w:rFonts w:ascii="Arial" w:hAnsi="Arial"/>
                <w:snapToGrid w:val="0"/>
                <w:color w:val="000000"/>
              </w:rPr>
              <w:t>&lt;</w:t>
            </w:r>
            <w:r>
              <w:rPr>
                <w:rFonts w:hint="eastAsia" w:ascii="Arial" w:hAnsi="Arial"/>
                <w:snapToGrid w:val="0"/>
                <w:color w:val="000000"/>
              </w:rPr>
              <w:t>13的不大于10%）”</w:t>
            </w:r>
          </w:p>
        </w:tc>
      </w:tr>
      <w:tr w14:paraId="3DE195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11E1CB3C">
            <w:pPr>
              <w:pStyle w:val="133"/>
              <w:rPr>
                <w:rFonts w:ascii="Arial" w:hAnsi="Arial"/>
                <w:snapToGrid w:val="0"/>
                <w:color w:val="000000"/>
              </w:rPr>
            </w:pPr>
            <w:r>
              <w:rPr>
                <w:rFonts w:ascii="Arial" w:hAnsi="Arial"/>
                <w:snapToGrid w:val="0"/>
                <w:color w:val="000000"/>
              </w:rPr>
              <w:t>挥发分/%</w:t>
            </w:r>
          </w:p>
        </w:tc>
        <w:tc>
          <w:tcPr>
            <w:tcW w:w="1147" w:type="dxa"/>
            <w:vAlign w:val="center"/>
          </w:tcPr>
          <w:p w14:paraId="1E3E8A80">
            <w:pPr>
              <w:pStyle w:val="133"/>
              <w:rPr>
                <w:rFonts w:ascii="Arial" w:hAnsi="Arial"/>
                <w:snapToGrid w:val="0"/>
                <w:color w:val="000000"/>
              </w:rPr>
            </w:pPr>
            <w:r>
              <w:rPr>
                <w:rFonts w:ascii="Arial" w:hAnsi="Arial"/>
                <w:snapToGrid w:val="0"/>
                <w:color w:val="000000"/>
              </w:rPr>
              <w:t>I级</w:t>
            </w:r>
          </w:p>
          <w:p w14:paraId="605411D6">
            <w:pPr>
              <w:pStyle w:val="133"/>
              <w:rPr>
                <w:rFonts w:ascii="Arial" w:hAnsi="Arial"/>
                <w:snapToGrid w:val="0"/>
                <w:color w:val="000000"/>
              </w:rPr>
            </w:pPr>
            <w:r>
              <w:rPr>
                <w:rFonts w:hint="eastAsia" w:ascii="宋体" w:hAnsi="宋体"/>
                <w:snapToGrid w:val="0"/>
                <w:color w:val="000000"/>
              </w:rPr>
              <w:t>Ⅱ级</w:t>
            </w:r>
          </w:p>
          <w:p w14:paraId="143D2792">
            <w:pPr>
              <w:pStyle w:val="133"/>
              <w:rPr>
                <w:rFonts w:ascii="Arial" w:hAnsi="Arial"/>
                <w:snapToGrid w:val="0"/>
                <w:color w:val="000000"/>
              </w:rPr>
            </w:pPr>
            <w:r>
              <w:rPr>
                <w:rFonts w:hint="eastAsia" w:ascii="宋体" w:hAnsi="宋体"/>
                <w:snapToGrid w:val="0"/>
                <w:color w:val="000000"/>
              </w:rPr>
              <w:t>Ⅲ级</w:t>
            </w:r>
          </w:p>
        </w:tc>
        <w:tc>
          <w:tcPr>
            <w:tcW w:w="4901" w:type="dxa"/>
            <w:vAlign w:val="center"/>
          </w:tcPr>
          <w:p w14:paraId="0923C3F0">
            <w:pPr>
              <w:pStyle w:val="133"/>
              <w:rPr>
                <w:rFonts w:ascii="Arial" w:hAnsi="Arial"/>
                <w:snapToGrid w:val="0"/>
                <w:color w:val="000000"/>
              </w:rPr>
            </w:pPr>
            <w:r>
              <w:rPr>
                <w:rFonts w:ascii="Arial" w:hAnsi="Arial"/>
                <w:snapToGrid w:val="0"/>
                <w:color w:val="000000"/>
              </w:rPr>
              <w:t>≤5.00</w:t>
            </w:r>
          </w:p>
          <w:p w14:paraId="3C2094FF">
            <w:pPr>
              <w:pStyle w:val="133"/>
              <w:rPr>
                <w:rFonts w:ascii="Arial" w:hAnsi="Arial"/>
                <w:snapToGrid w:val="0"/>
                <w:color w:val="000000"/>
              </w:rPr>
            </w:pPr>
            <w:r>
              <w:rPr>
                <w:rFonts w:hint="eastAsia" w:ascii="Arial" w:hAnsi="Arial"/>
                <w:snapToGrid w:val="0"/>
                <w:color w:val="000000"/>
              </w:rPr>
              <w:t>&gt;5.00~8.00</w:t>
            </w:r>
          </w:p>
          <w:p w14:paraId="4900C710">
            <w:pPr>
              <w:pStyle w:val="133"/>
              <w:rPr>
                <w:rFonts w:ascii="Arial" w:hAnsi="Arial"/>
                <w:snapToGrid w:val="0"/>
                <w:color w:val="000000"/>
              </w:rPr>
            </w:pPr>
            <w:r>
              <w:rPr>
                <w:rFonts w:hint="eastAsia" w:ascii="Arial" w:hAnsi="Arial"/>
                <w:snapToGrid w:val="0"/>
                <w:color w:val="000000"/>
              </w:rPr>
              <w:t>&gt;8.00~10.00</w:t>
            </w:r>
          </w:p>
        </w:tc>
      </w:tr>
      <w:tr w14:paraId="639D58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1223683D">
            <w:pPr>
              <w:pStyle w:val="133"/>
              <w:rPr>
                <w:rFonts w:ascii="Arial" w:hAnsi="Arial"/>
                <w:snapToGrid w:val="0"/>
                <w:color w:val="000000"/>
              </w:rPr>
            </w:pPr>
            <w:r>
              <w:rPr>
                <w:rFonts w:ascii="Arial" w:hAnsi="Arial"/>
                <w:snapToGrid w:val="0"/>
                <w:color w:val="000000"/>
              </w:rPr>
              <w:t>固定碳/%</w:t>
            </w:r>
          </w:p>
        </w:tc>
        <w:tc>
          <w:tcPr>
            <w:tcW w:w="1147" w:type="dxa"/>
            <w:vAlign w:val="center"/>
          </w:tcPr>
          <w:p w14:paraId="73629DAF">
            <w:pPr>
              <w:pStyle w:val="133"/>
              <w:rPr>
                <w:rFonts w:ascii="Arial" w:hAnsi="Arial"/>
                <w:snapToGrid w:val="0"/>
                <w:color w:val="000000"/>
              </w:rPr>
            </w:pPr>
            <w:r>
              <w:rPr>
                <w:rFonts w:ascii="Arial" w:hAnsi="Arial"/>
                <w:snapToGrid w:val="0"/>
                <w:color w:val="000000"/>
              </w:rPr>
              <w:t>I级</w:t>
            </w:r>
          </w:p>
          <w:p w14:paraId="29484540">
            <w:pPr>
              <w:pStyle w:val="133"/>
              <w:rPr>
                <w:rFonts w:ascii="Arial" w:hAnsi="Arial"/>
                <w:snapToGrid w:val="0"/>
                <w:color w:val="000000"/>
              </w:rPr>
            </w:pPr>
            <w:r>
              <w:rPr>
                <w:rFonts w:hint="eastAsia" w:ascii="宋体" w:hAnsi="宋体"/>
                <w:snapToGrid w:val="0"/>
                <w:color w:val="000000"/>
              </w:rPr>
              <w:t>Ⅱ级</w:t>
            </w:r>
          </w:p>
        </w:tc>
        <w:tc>
          <w:tcPr>
            <w:tcW w:w="4901" w:type="dxa"/>
            <w:vAlign w:val="center"/>
          </w:tcPr>
          <w:p w14:paraId="549579B2">
            <w:pPr>
              <w:pStyle w:val="133"/>
              <w:rPr>
                <w:rFonts w:ascii="Arial" w:hAnsi="Arial"/>
                <w:snapToGrid w:val="0"/>
                <w:color w:val="000000"/>
              </w:rPr>
            </w:pPr>
            <w:r>
              <w:rPr>
                <w:rFonts w:ascii="Arial" w:hAnsi="Arial"/>
                <w:snapToGrid w:val="0"/>
                <w:color w:val="000000"/>
              </w:rPr>
              <w:t>&gt;85.00</w:t>
            </w:r>
          </w:p>
          <w:p w14:paraId="056A8C84">
            <w:pPr>
              <w:pStyle w:val="133"/>
              <w:rPr>
                <w:rFonts w:ascii="Arial" w:hAnsi="Arial"/>
                <w:snapToGrid w:val="0"/>
                <w:color w:val="000000"/>
              </w:rPr>
            </w:pPr>
            <w:r>
              <w:rPr>
                <w:rFonts w:hint="eastAsia" w:ascii="Arial" w:hAnsi="Arial"/>
                <w:snapToGrid w:val="0"/>
                <w:color w:val="000000"/>
              </w:rPr>
              <w:t>&gt;80.00~85.00</w:t>
            </w:r>
          </w:p>
        </w:tc>
      </w:tr>
      <w:tr w14:paraId="202F73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264CA757">
            <w:pPr>
              <w:pStyle w:val="133"/>
              <w:rPr>
                <w:rFonts w:ascii="Arial" w:hAnsi="Arial"/>
                <w:snapToGrid w:val="0"/>
                <w:color w:val="000000"/>
              </w:rPr>
            </w:pPr>
            <w:r>
              <w:rPr>
                <w:rFonts w:ascii="Arial" w:hAnsi="Arial"/>
                <w:snapToGrid w:val="0"/>
                <w:color w:val="000000"/>
              </w:rPr>
              <w:t>全水分/%</w:t>
            </w:r>
          </w:p>
        </w:tc>
        <w:tc>
          <w:tcPr>
            <w:tcW w:w="1147" w:type="dxa"/>
            <w:vAlign w:val="center"/>
          </w:tcPr>
          <w:p w14:paraId="65BC8B25">
            <w:pPr>
              <w:pStyle w:val="133"/>
              <w:rPr>
                <w:rFonts w:ascii="Arial" w:hAnsi="Arial"/>
                <w:snapToGrid w:val="0"/>
                <w:color w:val="000000"/>
              </w:rPr>
            </w:pPr>
            <w:r>
              <w:rPr>
                <w:rFonts w:ascii="Arial" w:hAnsi="Arial"/>
                <w:snapToGrid w:val="0"/>
                <w:color w:val="000000"/>
              </w:rPr>
              <w:t>I级</w:t>
            </w:r>
          </w:p>
          <w:p w14:paraId="0D3302C8">
            <w:pPr>
              <w:pStyle w:val="133"/>
              <w:rPr>
                <w:rFonts w:ascii="Arial" w:hAnsi="Arial"/>
                <w:snapToGrid w:val="0"/>
                <w:color w:val="000000"/>
              </w:rPr>
            </w:pPr>
            <w:r>
              <w:rPr>
                <w:rFonts w:hint="eastAsia" w:ascii="宋体" w:hAnsi="宋体"/>
                <w:snapToGrid w:val="0"/>
                <w:color w:val="000000"/>
              </w:rPr>
              <w:t>Ⅱ级</w:t>
            </w:r>
          </w:p>
        </w:tc>
        <w:tc>
          <w:tcPr>
            <w:tcW w:w="4901" w:type="dxa"/>
            <w:vAlign w:val="center"/>
          </w:tcPr>
          <w:p w14:paraId="78FE5B30">
            <w:pPr>
              <w:pStyle w:val="133"/>
              <w:rPr>
                <w:rFonts w:ascii="Arial" w:hAnsi="Arial"/>
                <w:snapToGrid w:val="0"/>
                <w:color w:val="000000"/>
              </w:rPr>
            </w:pPr>
            <w:r>
              <w:rPr>
                <w:rFonts w:ascii="Arial" w:hAnsi="Arial"/>
                <w:snapToGrid w:val="0"/>
                <w:color w:val="000000"/>
              </w:rPr>
              <w:t>≤8.0</w:t>
            </w:r>
          </w:p>
          <w:p w14:paraId="50FD4AE7">
            <w:pPr>
              <w:pStyle w:val="133"/>
              <w:rPr>
                <w:rFonts w:ascii="Arial" w:hAnsi="Arial"/>
                <w:snapToGrid w:val="0"/>
                <w:color w:val="000000"/>
              </w:rPr>
            </w:pPr>
            <w:r>
              <w:rPr>
                <w:rFonts w:hint="eastAsia" w:ascii="Arial" w:hAnsi="Arial"/>
                <w:snapToGrid w:val="0"/>
                <w:color w:val="000000"/>
              </w:rPr>
              <w:t>&gt;8.0~12.0</w:t>
            </w:r>
          </w:p>
        </w:tc>
      </w:tr>
      <w:tr w14:paraId="0E0941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57700CA9">
            <w:pPr>
              <w:pStyle w:val="133"/>
              <w:rPr>
                <w:rFonts w:ascii="Arial" w:hAnsi="Arial"/>
                <w:snapToGrid w:val="0"/>
                <w:color w:val="000000"/>
              </w:rPr>
            </w:pPr>
            <w:r>
              <w:rPr>
                <w:rFonts w:ascii="Arial" w:hAnsi="Arial"/>
                <w:snapToGrid w:val="0"/>
                <w:color w:val="000000"/>
              </w:rPr>
              <w:t>灰分/%</w:t>
            </w:r>
          </w:p>
        </w:tc>
        <w:tc>
          <w:tcPr>
            <w:tcW w:w="1147" w:type="dxa"/>
            <w:vAlign w:val="center"/>
          </w:tcPr>
          <w:p w14:paraId="00A28A96">
            <w:pPr>
              <w:pStyle w:val="133"/>
              <w:rPr>
                <w:rFonts w:ascii="Arial" w:hAnsi="Arial"/>
                <w:snapToGrid w:val="0"/>
                <w:color w:val="000000"/>
              </w:rPr>
            </w:pPr>
            <w:r>
              <w:rPr>
                <w:rFonts w:ascii="Arial" w:hAnsi="Arial"/>
                <w:snapToGrid w:val="0"/>
                <w:color w:val="000000"/>
              </w:rPr>
              <w:t>I级</w:t>
            </w:r>
          </w:p>
          <w:p w14:paraId="76AB5223">
            <w:pPr>
              <w:pStyle w:val="133"/>
              <w:rPr>
                <w:rFonts w:ascii="Arial" w:hAnsi="Arial"/>
                <w:snapToGrid w:val="0"/>
                <w:color w:val="000000"/>
              </w:rPr>
            </w:pPr>
            <w:r>
              <w:rPr>
                <w:rFonts w:hint="eastAsia" w:ascii="宋体" w:hAnsi="宋体"/>
                <w:snapToGrid w:val="0"/>
                <w:color w:val="000000"/>
              </w:rPr>
              <w:t>Ⅱ级</w:t>
            </w:r>
          </w:p>
          <w:p w14:paraId="257B0B05">
            <w:pPr>
              <w:pStyle w:val="133"/>
              <w:rPr>
                <w:rFonts w:ascii="Arial" w:hAnsi="Arial"/>
                <w:snapToGrid w:val="0"/>
                <w:color w:val="000000"/>
              </w:rPr>
            </w:pPr>
            <w:r>
              <w:rPr>
                <w:rFonts w:hint="eastAsia" w:ascii="宋体" w:hAnsi="宋体"/>
                <w:snapToGrid w:val="0"/>
                <w:color w:val="000000"/>
              </w:rPr>
              <w:t>Ⅲ级</w:t>
            </w:r>
          </w:p>
        </w:tc>
        <w:tc>
          <w:tcPr>
            <w:tcW w:w="4901" w:type="dxa"/>
            <w:vAlign w:val="center"/>
          </w:tcPr>
          <w:p w14:paraId="7C627908">
            <w:pPr>
              <w:pStyle w:val="133"/>
              <w:rPr>
                <w:rFonts w:ascii="Arial" w:hAnsi="Arial"/>
                <w:snapToGrid w:val="0"/>
                <w:color w:val="000000"/>
              </w:rPr>
            </w:pPr>
            <w:r>
              <w:rPr>
                <w:rFonts w:ascii="Arial" w:hAnsi="Arial"/>
                <w:snapToGrid w:val="0"/>
                <w:color w:val="000000"/>
              </w:rPr>
              <w:t>≤6.00</w:t>
            </w:r>
          </w:p>
          <w:p w14:paraId="68CA2D47">
            <w:pPr>
              <w:pStyle w:val="133"/>
              <w:rPr>
                <w:rFonts w:ascii="Arial" w:hAnsi="Arial"/>
                <w:snapToGrid w:val="0"/>
                <w:color w:val="000000"/>
              </w:rPr>
            </w:pPr>
            <w:r>
              <w:rPr>
                <w:rFonts w:hint="eastAsia" w:ascii="Arial" w:hAnsi="Arial"/>
                <w:snapToGrid w:val="0"/>
                <w:color w:val="000000"/>
              </w:rPr>
              <w:t>&gt;6.00~9.00</w:t>
            </w:r>
          </w:p>
          <w:p w14:paraId="2F37E2EC">
            <w:pPr>
              <w:pStyle w:val="133"/>
              <w:rPr>
                <w:rFonts w:ascii="Arial" w:hAnsi="Arial"/>
                <w:snapToGrid w:val="0"/>
                <w:color w:val="000000"/>
              </w:rPr>
            </w:pPr>
            <w:r>
              <w:rPr>
                <w:rFonts w:hint="eastAsia" w:ascii="Arial" w:hAnsi="Arial"/>
                <w:snapToGrid w:val="0"/>
                <w:color w:val="000000"/>
              </w:rPr>
              <w:t>&gt;9.00~12.00</w:t>
            </w:r>
          </w:p>
        </w:tc>
      </w:tr>
      <w:tr w14:paraId="0444FA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141B8224">
            <w:pPr>
              <w:pStyle w:val="133"/>
              <w:rPr>
                <w:rFonts w:ascii="Arial" w:hAnsi="Arial"/>
                <w:snapToGrid w:val="0"/>
                <w:color w:val="000000"/>
              </w:rPr>
            </w:pPr>
            <w:r>
              <w:rPr>
                <w:rFonts w:ascii="Arial" w:hAnsi="Arial"/>
                <w:snapToGrid w:val="0"/>
                <w:color w:val="000000"/>
              </w:rPr>
              <w:t>全硫/%</w:t>
            </w:r>
          </w:p>
        </w:tc>
        <w:tc>
          <w:tcPr>
            <w:tcW w:w="1147" w:type="dxa"/>
            <w:vAlign w:val="center"/>
          </w:tcPr>
          <w:p w14:paraId="7E5C5E04">
            <w:pPr>
              <w:pStyle w:val="133"/>
              <w:rPr>
                <w:rFonts w:ascii="Arial" w:hAnsi="Arial"/>
                <w:snapToGrid w:val="0"/>
                <w:color w:val="000000"/>
              </w:rPr>
            </w:pPr>
            <w:r>
              <w:rPr>
                <w:rFonts w:ascii="Arial" w:hAnsi="Arial"/>
                <w:snapToGrid w:val="0"/>
                <w:color w:val="000000"/>
              </w:rPr>
              <w:t>I级</w:t>
            </w:r>
          </w:p>
          <w:p w14:paraId="388FAF79">
            <w:pPr>
              <w:pStyle w:val="133"/>
              <w:rPr>
                <w:rFonts w:ascii="Arial" w:hAnsi="Arial"/>
                <w:snapToGrid w:val="0"/>
                <w:color w:val="000000"/>
              </w:rPr>
            </w:pPr>
            <w:r>
              <w:rPr>
                <w:rFonts w:hint="eastAsia" w:ascii="宋体" w:hAnsi="宋体"/>
                <w:snapToGrid w:val="0"/>
                <w:color w:val="000000"/>
              </w:rPr>
              <w:t>Ⅱ级</w:t>
            </w:r>
          </w:p>
          <w:p w14:paraId="7B4B7DB6">
            <w:pPr>
              <w:pStyle w:val="133"/>
              <w:rPr>
                <w:rFonts w:ascii="Arial" w:hAnsi="Arial"/>
                <w:snapToGrid w:val="0"/>
                <w:color w:val="000000"/>
              </w:rPr>
            </w:pPr>
            <w:r>
              <w:rPr>
                <w:rFonts w:hint="eastAsia" w:ascii="宋体" w:hAnsi="宋体"/>
                <w:snapToGrid w:val="0"/>
                <w:color w:val="000000"/>
              </w:rPr>
              <w:t>Ⅲ级</w:t>
            </w:r>
          </w:p>
        </w:tc>
        <w:tc>
          <w:tcPr>
            <w:tcW w:w="4901" w:type="dxa"/>
            <w:vAlign w:val="center"/>
          </w:tcPr>
          <w:p w14:paraId="1A229745">
            <w:pPr>
              <w:pStyle w:val="133"/>
              <w:rPr>
                <w:rFonts w:ascii="Arial" w:hAnsi="Arial"/>
                <w:snapToGrid w:val="0"/>
                <w:color w:val="000000"/>
              </w:rPr>
            </w:pPr>
            <w:r>
              <w:rPr>
                <w:rFonts w:ascii="Arial" w:hAnsi="Arial"/>
                <w:snapToGrid w:val="0"/>
                <w:color w:val="000000"/>
              </w:rPr>
              <w:t>≤0.30</w:t>
            </w:r>
          </w:p>
          <w:p w14:paraId="3C11F820">
            <w:pPr>
              <w:pStyle w:val="133"/>
              <w:rPr>
                <w:rFonts w:ascii="Arial" w:hAnsi="Arial"/>
                <w:snapToGrid w:val="0"/>
                <w:color w:val="000000"/>
              </w:rPr>
            </w:pPr>
            <w:r>
              <w:rPr>
                <w:rFonts w:hint="eastAsia" w:ascii="Arial" w:hAnsi="Arial"/>
                <w:snapToGrid w:val="0"/>
                <w:color w:val="000000"/>
              </w:rPr>
              <w:t>&gt;0.30~0.50</w:t>
            </w:r>
          </w:p>
          <w:p w14:paraId="1868B719">
            <w:pPr>
              <w:pStyle w:val="133"/>
              <w:rPr>
                <w:rFonts w:ascii="Arial" w:hAnsi="Arial"/>
                <w:snapToGrid w:val="0"/>
                <w:color w:val="000000"/>
              </w:rPr>
            </w:pPr>
            <w:r>
              <w:rPr>
                <w:rFonts w:hint="eastAsia" w:ascii="Arial" w:hAnsi="Arial"/>
                <w:snapToGrid w:val="0"/>
                <w:color w:val="000000"/>
              </w:rPr>
              <w:t>&gt;0.50~0.75</w:t>
            </w:r>
          </w:p>
        </w:tc>
      </w:tr>
      <w:tr w14:paraId="1E239B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655A0199">
            <w:pPr>
              <w:pStyle w:val="133"/>
              <w:rPr>
                <w:rFonts w:ascii="Arial" w:hAnsi="Arial"/>
                <w:snapToGrid w:val="0"/>
                <w:color w:val="000000"/>
              </w:rPr>
            </w:pPr>
            <w:r>
              <w:rPr>
                <w:rFonts w:ascii="Arial" w:hAnsi="Arial"/>
                <w:snapToGrid w:val="0"/>
                <w:color w:val="000000"/>
              </w:rPr>
              <w:t>磷/%</w:t>
            </w:r>
          </w:p>
        </w:tc>
        <w:tc>
          <w:tcPr>
            <w:tcW w:w="1147" w:type="dxa"/>
            <w:vAlign w:val="center"/>
          </w:tcPr>
          <w:p w14:paraId="48FC45B0">
            <w:pPr>
              <w:pStyle w:val="133"/>
              <w:rPr>
                <w:rFonts w:ascii="Arial" w:hAnsi="Arial"/>
                <w:snapToGrid w:val="0"/>
                <w:color w:val="000000"/>
              </w:rPr>
            </w:pPr>
            <w:r>
              <w:rPr>
                <w:rFonts w:ascii="Arial" w:hAnsi="Arial"/>
                <w:snapToGrid w:val="0"/>
                <w:color w:val="000000"/>
              </w:rPr>
              <w:t>I级</w:t>
            </w:r>
          </w:p>
          <w:p w14:paraId="110A5B7D">
            <w:pPr>
              <w:pStyle w:val="133"/>
              <w:rPr>
                <w:rFonts w:ascii="Arial" w:hAnsi="Arial"/>
                <w:snapToGrid w:val="0"/>
                <w:color w:val="000000"/>
              </w:rPr>
            </w:pPr>
            <w:r>
              <w:rPr>
                <w:rFonts w:hint="eastAsia" w:ascii="宋体" w:hAnsi="宋体"/>
                <w:snapToGrid w:val="0"/>
                <w:color w:val="000000"/>
              </w:rPr>
              <w:t>Ⅱ级</w:t>
            </w:r>
          </w:p>
          <w:p w14:paraId="55648920">
            <w:pPr>
              <w:pStyle w:val="133"/>
              <w:rPr>
                <w:rFonts w:ascii="Arial" w:hAnsi="Arial"/>
                <w:snapToGrid w:val="0"/>
                <w:color w:val="000000"/>
              </w:rPr>
            </w:pPr>
            <w:r>
              <w:rPr>
                <w:rFonts w:hint="eastAsia" w:ascii="宋体" w:hAnsi="宋体"/>
                <w:snapToGrid w:val="0"/>
                <w:color w:val="000000"/>
              </w:rPr>
              <w:t>Ⅲ级</w:t>
            </w:r>
          </w:p>
        </w:tc>
        <w:tc>
          <w:tcPr>
            <w:tcW w:w="4901" w:type="dxa"/>
            <w:vAlign w:val="center"/>
          </w:tcPr>
          <w:p w14:paraId="0CED6BBE">
            <w:pPr>
              <w:pStyle w:val="133"/>
              <w:rPr>
                <w:rFonts w:ascii="Arial" w:hAnsi="Arial"/>
                <w:snapToGrid w:val="0"/>
                <w:color w:val="000000"/>
              </w:rPr>
            </w:pPr>
            <w:r>
              <w:rPr>
                <w:rFonts w:ascii="Arial" w:hAnsi="Arial"/>
                <w:snapToGrid w:val="0"/>
                <w:color w:val="000000"/>
              </w:rPr>
              <w:t>≤0.010</w:t>
            </w:r>
          </w:p>
          <w:p w14:paraId="0B4B06B5">
            <w:pPr>
              <w:pStyle w:val="133"/>
              <w:rPr>
                <w:rFonts w:ascii="Arial" w:hAnsi="Arial"/>
                <w:snapToGrid w:val="0"/>
                <w:color w:val="000000"/>
              </w:rPr>
            </w:pPr>
            <w:r>
              <w:rPr>
                <w:rFonts w:hint="eastAsia" w:ascii="Arial" w:hAnsi="Arial"/>
                <w:snapToGrid w:val="0"/>
                <w:color w:val="000000"/>
              </w:rPr>
              <w:t>&gt;0.010~0.030</w:t>
            </w:r>
          </w:p>
          <w:p w14:paraId="584D0773">
            <w:pPr>
              <w:pStyle w:val="133"/>
              <w:rPr>
                <w:rFonts w:ascii="Arial" w:hAnsi="Arial"/>
                <w:snapToGrid w:val="0"/>
                <w:color w:val="000000"/>
              </w:rPr>
            </w:pPr>
            <w:r>
              <w:rPr>
                <w:rFonts w:hint="eastAsia" w:ascii="Arial" w:hAnsi="Arial"/>
                <w:snapToGrid w:val="0"/>
                <w:color w:val="000000"/>
              </w:rPr>
              <w:t>&gt;0.030~0.040</w:t>
            </w:r>
          </w:p>
        </w:tc>
      </w:tr>
      <w:tr w14:paraId="41822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570C681F">
            <w:pPr>
              <w:pStyle w:val="133"/>
              <w:rPr>
                <w:rFonts w:ascii="Arial" w:hAnsi="Arial"/>
                <w:snapToGrid w:val="0"/>
                <w:color w:val="000000"/>
              </w:rPr>
            </w:pPr>
            <w:r>
              <w:rPr>
                <w:rFonts w:ascii="Arial" w:hAnsi="Arial"/>
                <w:snapToGrid w:val="0"/>
                <w:color w:val="000000"/>
              </w:rPr>
              <w:t>电阻率/%</w:t>
            </w:r>
          </w:p>
        </w:tc>
        <w:tc>
          <w:tcPr>
            <w:tcW w:w="1147" w:type="dxa"/>
            <w:vAlign w:val="center"/>
          </w:tcPr>
          <w:p w14:paraId="12035A96">
            <w:pPr>
              <w:pStyle w:val="133"/>
              <w:rPr>
                <w:rFonts w:ascii="Arial" w:hAnsi="Arial"/>
                <w:snapToGrid w:val="0"/>
                <w:color w:val="000000"/>
              </w:rPr>
            </w:pPr>
            <w:r>
              <w:rPr>
                <w:rFonts w:ascii="Arial" w:hAnsi="Arial"/>
                <w:snapToGrid w:val="0"/>
                <w:color w:val="000000"/>
              </w:rPr>
              <w:t>I级</w:t>
            </w:r>
          </w:p>
          <w:p w14:paraId="25B6E07F">
            <w:pPr>
              <w:pStyle w:val="133"/>
              <w:rPr>
                <w:rFonts w:ascii="Arial" w:hAnsi="Arial"/>
                <w:snapToGrid w:val="0"/>
                <w:color w:val="000000"/>
              </w:rPr>
            </w:pPr>
            <w:r>
              <w:rPr>
                <w:rFonts w:hint="eastAsia" w:ascii="宋体" w:hAnsi="宋体"/>
                <w:snapToGrid w:val="0"/>
                <w:color w:val="000000"/>
              </w:rPr>
              <w:t>Ⅱ级</w:t>
            </w:r>
          </w:p>
          <w:p w14:paraId="73CF1DDC">
            <w:pPr>
              <w:pStyle w:val="133"/>
              <w:rPr>
                <w:rFonts w:ascii="Arial" w:hAnsi="Arial"/>
                <w:snapToGrid w:val="0"/>
                <w:color w:val="000000"/>
              </w:rPr>
            </w:pPr>
            <w:r>
              <w:rPr>
                <w:rFonts w:hint="eastAsia" w:ascii="宋体" w:hAnsi="宋体"/>
                <w:snapToGrid w:val="0"/>
                <w:color w:val="000000"/>
              </w:rPr>
              <w:t>Ⅲ级</w:t>
            </w:r>
          </w:p>
        </w:tc>
        <w:tc>
          <w:tcPr>
            <w:tcW w:w="4901" w:type="dxa"/>
            <w:vAlign w:val="center"/>
          </w:tcPr>
          <w:p w14:paraId="6BB963D3">
            <w:pPr>
              <w:pStyle w:val="133"/>
              <w:rPr>
                <w:rFonts w:ascii="Arial" w:hAnsi="Arial"/>
                <w:snapToGrid w:val="0"/>
                <w:color w:val="000000"/>
              </w:rPr>
            </w:pPr>
            <w:r>
              <w:rPr>
                <w:rFonts w:ascii="Arial" w:hAnsi="Arial"/>
                <w:snapToGrid w:val="0"/>
                <w:color w:val="000000"/>
              </w:rPr>
              <w:t>&gt;15000</w:t>
            </w:r>
          </w:p>
          <w:p w14:paraId="42378CDD">
            <w:pPr>
              <w:pStyle w:val="133"/>
              <w:rPr>
                <w:rFonts w:ascii="Arial" w:hAnsi="Arial"/>
                <w:snapToGrid w:val="0"/>
                <w:color w:val="000000"/>
              </w:rPr>
            </w:pPr>
            <w:r>
              <w:rPr>
                <w:rFonts w:hint="eastAsia" w:ascii="Arial" w:hAnsi="Arial"/>
                <w:snapToGrid w:val="0"/>
                <w:color w:val="000000"/>
              </w:rPr>
              <w:t>&gt;10000~15000</w:t>
            </w:r>
          </w:p>
          <w:p w14:paraId="6823D3D3">
            <w:pPr>
              <w:pStyle w:val="133"/>
              <w:rPr>
                <w:rFonts w:ascii="Arial" w:hAnsi="Arial"/>
                <w:snapToGrid w:val="0"/>
                <w:color w:val="000000"/>
              </w:rPr>
            </w:pPr>
            <w:r>
              <w:rPr>
                <w:rFonts w:hint="eastAsia" w:ascii="Arial" w:hAnsi="Arial"/>
                <w:snapToGrid w:val="0"/>
                <w:color w:val="000000"/>
              </w:rPr>
              <w:t>&gt;5000~10000</w:t>
            </w:r>
          </w:p>
        </w:tc>
      </w:tr>
      <w:tr w14:paraId="1380B6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02" w:type="dxa"/>
            <w:vAlign w:val="center"/>
          </w:tcPr>
          <w:p w14:paraId="38581270">
            <w:pPr>
              <w:pStyle w:val="133"/>
              <w:rPr>
                <w:rFonts w:ascii="Arial" w:hAnsi="Arial"/>
                <w:snapToGrid w:val="0"/>
                <w:color w:val="000000"/>
              </w:rPr>
            </w:pPr>
            <w:r>
              <w:rPr>
                <w:rFonts w:ascii="Arial" w:hAnsi="Arial"/>
                <w:snapToGrid w:val="0"/>
                <w:color w:val="000000"/>
              </w:rPr>
              <w:t>氧化铝/%</w:t>
            </w:r>
          </w:p>
        </w:tc>
        <w:tc>
          <w:tcPr>
            <w:tcW w:w="1147" w:type="dxa"/>
            <w:vAlign w:val="center"/>
          </w:tcPr>
          <w:p w14:paraId="25C81F6A">
            <w:pPr>
              <w:pStyle w:val="133"/>
              <w:rPr>
                <w:rFonts w:ascii="Arial" w:hAnsi="Arial"/>
                <w:snapToGrid w:val="0"/>
                <w:color w:val="000000"/>
              </w:rPr>
            </w:pPr>
            <w:r>
              <w:rPr>
                <w:rFonts w:ascii="Arial" w:hAnsi="Arial"/>
                <w:snapToGrid w:val="0"/>
                <w:color w:val="000000"/>
              </w:rPr>
              <w:t>I级</w:t>
            </w:r>
          </w:p>
          <w:p w14:paraId="0969FF5A">
            <w:pPr>
              <w:pStyle w:val="133"/>
              <w:rPr>
                <w:rFonts w:ascii="Arial" w:hAnsi="Arial"/>
                <w:snapToGrid w:val="0"/>
                <w:color w:val="000000"/>
              </w:rPr>
            </w:pPr>
            <w:r>
              <w:rPr>
                <w:rFonts w:hint="eastAsia" w:ascii="宋体" w:hAnsi="宋体"/>
                <w:snapToGrid w:val="0"/>
                <w:color w:val="000000"/>
              </w:rPr>
              <w:t>Ⅱ级</w:t>
            </w:r>
          </w:p>
          <w:p w14:paraId="4275CB01">
            <w:pPr>
              <w:pStyle w:val="133"/>
              <w:rPr>
                <w:rFonts w:ascii="Arial" w:hAnsi="Arial"/>
                <w:snapToGrid w:val="0"/>
                <w:color w:val="000000"/>
              </w:rPr>
            </w:pPr>
            <w:r>
              <w:rPr>
                <w:rFonts w:hint="eastAsia" w:ascii="宋体" w:hAnsi="宋体"/>
                <w:snapToGrid w:val="0"/>
                <w:color w:val="000000"/>
              </w:rPr>
              <w:t>Ⅲ级</w:t>
            </w:r>
          </w:p>
        </w:tc>
        <w:tc>
          <w:tcPr>
            <w:tcW w:w="4901" w:type="dxa"/>
            <w:vAlign w:val="center"/>
          </w:tcPr>
          <w:p w14:paraId="3BF9BEC1">
            <w:pPr>
              <w:pStyle w:val="133"/>
              <w:rPr>
                <w:rFonts w:ascii="Arial" w:hAnsi="Arial"/>
                <w:snapToGrid w:val="0"/>
                <w:color w:val="000000"/>
              </w:rPr>
            </w:pPr>
            <w:r>
              <w:rPr>
                <w:rFonts w:ascii="Arial" w:hAnsi="Arial"/>
                <w:snapToGrid w:val="0"/>
                <w:color w:val="000000"/>
              </w:rPr>
              <w:t>≤2.00</w:t>
            </w:r>
          </w:p>
          <w:p w14:paraId="7717C056">
            <w:pPr>
              <w:pStyle w:val="133"/>
              <w:rPr>
                <w:rFonts w:ascii="Arial" w:hAnsi="Arial"/>
                <w:snapToGrid w:val="0"/>
                <w:color w:val="000000"/>
              </w:rPr>
            </w:pPr>
            <w:r>
              <w:rPr>
                <w:rFonts w:hint="eastAsia" w:ascii="Arial" w:hAnsi="Arial"/>
                <w:snapToGrid w:val="0"/>
                <w:color w:val="000000"/>
              </w:rPr>
              <w:t>&gt;2.00~3.00</w:t>
            </w:r>
          </w:p>
          <w:p w14:paraId="653A955B">
            <w:pPr>
              <w:pStyle w:val="133"/>
              <w:rPr>
                <w:rFonts w:ascii="Arial" w:hAnsi="Arial"/>
                <w:snapToGrid w:val="0"/>
                <w:color w:val="000000"/>
              </w:rPr>
            </w:pPr>
            <w:r>
              <w:rPr>
                <w:rFonts w:hint="eastAsia" w:ascii="Arial" w:hAnsi="Arial"/>
                <w:snapToGrid w:val="0"/>
                <w:color w:val="000000"/>
              </w:rPr>
              <w:t>&gt;3.00~4.00</w:t>
            </w:r>
          </w:p>
        </w:tc>
      </w:tr>
    </w:tbl>
    <w:p w14:paraId="4BE527CF">
      <w:pPr>
        <w:pStyle w:val="133"/>
      </w:pPr>
    </w:p>
    <w:p w14:paraId="31350099">
      <w:pPr>
        <w:pStyle w:val="161"/>
        <w:numPr>
          <w:ilvl w:val="0"/>
          <w:numId w:val="0"/>
        </w:numPr>
        <w:ind w:firstLine="480"/>
      </w:pPr>
      <w:r>
        <w:rPr>
          <w:rFonts w:hint="eastAsia"/>
        </w:rPr>
        <w:t>（2）</w:t>
      </w:r>
      <w:r>
        <w:rPr>
          <w:spacing w:val="-5"/>
        </w:rPr>
        <w:t>煤焦油</w:t>
      </w:r>
      <w:r>
        <w:rPr>
          <w:rFonts w:hint="eastAsia"/>
          <w:spacing w:val="-5"/>
        </w:rPr>
        <w:t>产品</w:t>
      </w:r>
      <w:r>
        <w:rPr>
          <w:spacing w:val="-5"/>
        </w:rPr>
        <w:t>符合《煤焦油》（</w:t>
      </w:r>
      <w:r>
        <w:rPr>
          <w:rFonts w:eastAsia="Times New Roman" w:cs="Times New Roman"/>
          <w:spacing w:val="-5"/>
        </w:rPr>
        <w:t>YB/T5075-2010</w:t>
      </w:r>
      <w:r>
        <w:rPr>
          <w:spacing w:val="-5"/>
        </w:rPr>
        <w:t>）中</w:t>
      </w:r>
      <w:r>
        <w:rPr>
          <w:rFonts w:eastAsia="Times New Roman" w:cs="Times New Roman"/>
        </w:rPr>
        <w:t>1</w:t>
      </w:r>
      <w:r>
        <w:t>号煤焦油标准</w:t>
      </w:r>
      <w:r>
        <w:rPr>
          <w:rFonts w:hint="eastAsia"/>
        </w:rPr>
        <w:t>，见表3.1-4</w:t>
      </w:r>
      <w:r>
        <w:t>。</w:t>
      </w:r>
    </w:p>
    <w:p w14:paraId="5964C399">
      <w:pPr>
        <w:pStyle w:val="118"/>
      </w:pPr>
      <w:r>
        <w:rPr>
          <w:rFonts w:hint="eastAsia"/>
        </w:rPr>
        <w:t>表3.1-4  煤焦油产品标准要求</w:t>
      </w:r>
    </w:p>
    <w:tbl>
      <w:tblPr>
        <w:tblStyle w:val="17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68"/>
        <w:gridCol w:w="4168"/>
      </w:tblGrid>
      <w:tr w14:paraId="16C18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75" w:type="dxa"/>
            <w:vAlign w:val="center"/>
          </w:tcPr>
          <w:p w14:paraId="09B0B281">
            <w:pPr>
              <w:pStyle w:val="133"/>
              <w:rPr>
                <w:rFonts w:ascii="Arial" w:hAnsi="Arial"/>
                <w:b/>
                <w:bCs/>
                <w:snapToGrid w:val="0"/>
                <w:color w:val="000000"/>
              </w:rPr>
            </w:pPr>
            <w:r>
              <w:rPr>
                <w:rFonts w:ascii="Arial" w:hAnsi="Arial"/>
                <w:b/>
                <w:bCs/>
                <w:snapToGrid w:val="0"/>
                <w:color w:val="000000"/>
              </w:rPr>
              <w:t>项目</w:t>
            </w:r>
          </w:p>
        </w:tc>
        <w:tc>
          <w:tcPr>
            <w:tcW w:w="4075" w:type="dxa"/>
            <w:vAlign w:val="center"/>
          </w:tcPr>
          <w:p w14:paraId="5ABCC43F">
            <w:pPr>
              <w:pStyle w:val="133"/>
              <w:rPr>
                <w:rFonts w:ascii="Arial" w:hAnsi="Arial"/>
                <w:b/>
                <w:bCs/>
                <w:snapToGrid w:val="0"/>
                <w:color w:val="000000"/>
              </w:rPr>
            </w:pPr>
            <w:r>
              <w:rPr>
                <w:rFonts w:ascii="Arial" w:hAnsi="Arial"/>
                <w:b/>
                <w:bCs/>
                <w:snapToGrid w:val="0"/>
                <w:color w:val="000000"/>
              </w:rPr>
              <w:t>1 号</w:t>
            </w:r>
          </w:p>
        </w:tc>
      </w:tr>
      <w:tr w14:paraId="6EABF9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75" w:type="dxa"/>
            <w:vAlign w:val="center"/>
          </w:tcPr>
          <w:p w14:paraId="194CAA0E">
            <w:pPr>
              <w:pStyle w:val="133"/>
              <w:rPr>
                <w:rFonts w:ascii="Arial" w:hAnsi="Arial"/>
                <w:snapToGrid w:val="0"/>
                <w:color w:val="000000"/>
              </w:rPr>
            </w:pPr>
            <w:r>
              <w:rPr>
                <w:rFonts w:ascii="Arial" w:hAnsi="Arial"/>
                <w:snapToGrid w:val="0"/>
                <w:color w:val="000000"/>
              </w:rPr>
              <w:t>密度/（g/cm</w:t>
            </w:r>
            <w:r>
              <w:rPr>
                <w:rFonts w:ascii="Arial" w:hAnsi="Arial"/>
                <w:snapToGrid w:val="0"/>
                <w:color w:val="000000"/>
                <w:vertAlign w:val="superscript"/>
              </w:rPr>
              <w:t>3</w:t>
            </w:r>
            <w:r>
              <w:rPr>
                <w:rFonts w:ascii="Arial" w:hAnsi="Arial"/>
                <w:snapToGrid w:val="0"/>
                <w:color w:val="000000"/>
              </w:rPr>
              <w:t>）</w:t>
            </w:r>
          </w:p>
        </w:tc>
        <w:tc>
          <w:tcPr>
            <w:tcW w:w="4075" w:type="dxa"/>
            <w:vAlign w:val="center"/>
          </w:tcPr>
          <w:p w14:paraId="2D248FC3">
            <w:pPr>
              <w:pStyle w:val="133"/>
              <w:rPr>
                <w:rFonts w:ascii="Arial" w:hAnsi="Arial"/>
                <w:snapToGrid w:val="0"/>
                <w:color w:val="000000"/>
              </w:rPr>
            </w:pPr>
            <w:r>
              <w:rPr>
                <w:rFonts w:ascii="Arial" w:hAnsi="Arial"/>
                <w:snapToGrid w:val="0"/>
                <w:color w:val="000000"/>
              </w:rPr>
              <w:t>1.15~1.21</w:t>
            </w:r>
          </w:p>
        </w:tc>
      </w:tr>
      <w:tr w14:paraId="3498F8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75" w:type="dxa"/>
            <w:vAlign w:val="center"/>
          </w:tcPr>
          <w:p w14:paraId="569F6A30">
            <w:pPr>
              <w:pStyle w:val="133"/>
              <w:rPr>
                <w:rFonts w:ascii="Arial" w:hAnsi="Arial"/>
                <w:snapToGrid w:val="0"/>
                <w:color w:val="000000"/>
              </w:rPr>
            </w:pPr>
            <w:r>
              <w:rPr>
                <w:rFonts w:ascii="Arial" w:hAnsi="Arial"/>
                <w:snapToGrid w:val="0"/>
                <w:color w:val="000000"/>
              </w:rPr>
              <w:t>水分/%</w:t>
            </w:r>
          </w:p>
        </w:tc>
        <w:tc>
          <w:tcPr>
            <w:tcW w:w="4075" w:type="dxa"/>
            <w:vAlign w:val="center"/>
          </w:tcPr>
          <w:p w14:paraId="3CB987BB">
            <w:pPr>
              <w:pStyle w:val="133"/>
              <w:rPr>
                <w:rFonts w:ascii="Arial" w:hAnsi="Arial"/>
                <w:snapToGrid w:val="0"/>
                <w:color w:val="000000"/>
              </w:rPr>
            </w:pPr>
            <w:r>
              <w:rPr>
                <w:rFonts w:ascii="Arial" w:hAnsi="Arial"/>
                <w:snapToGrid w:val="0"/>
                <w:color w:val="000000"/>
              </w:rPr>
              <w:t>≤3.0</w:t>
            </w:r>
          </w:p>
        </w:tc>
      </w:tr>
      <w:tr w14:paraId="6589F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75" w:type="dxa"/>
            <w:vAlign w:val="center"/>
          </w:tcPr>
          <w:p w14:paraId="6B7048B5">
            <w:pPr>
              <w:pStyle w:val="133"/>
              <w:rPr>
                <w:rFonts w:ascii="Arial" w:hAnsi="Arial"/>
                <w:snapToGrid w:val="0"/>
                <w:color w:val="000000"/>
              </w:rPr>
            </w:pPr>
            <w:r>
              <w:rPr>
                <w:rFonts w:ascii="Arial" w:hAnsi="Arial"/>
                <w:snapToGrid w:val="0"/>
                <w:color w:val="000000"/>
              </w:rPr>
              <w:t>灰分/%</w:t>
            </w:r>
          </w:p>
        </w:tc>
        <w:tc>
          <w:tcPr>
            <w:tcW w:w="4075" w:type="dxa"/>
            <w:vAlign w:val="center"/>
          </w:tcPr>
          <w:p w14:paraId="4DA246FB">
            <w:pPr>
              <w:pStyle w:val="133"/>
              <w:rPr>
                <w:rFonts w:ascii="Arial" w:hAnsi="Arial"/>
                <w:snapToGrid w:val="0"/>
                <w:color w:val="000000"/>
              </w:rPr>
            </w:pPr>
            <w:r>
              <w:rPr>
                <w:rFonts w:ascii="Arial" w:hAnsi="Arial"/>
                <w:snapToGrid w:val="0"/>
                <w:color w:val="000000"/>
              </w:rPr>
              <w:t>≤0.13</w:t>
            </w:r>
          </w:p>
        </w:tc>
      </w:tr>
      <w:tr w14:paraId="6E5251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75" w:type="dxa"/>
            <w:vAlign w:val="center"/>
          </w:tcPr>
          <w:p w14:paraId="789C4C66">
            <w:pPr>
              <w:pStyle w:val="133"/>
              <w:rPr>
                <w:rFonts w:ascii="Arial" w:hAnsi="Arial"/>
                <w:snapToGrid w:val="0"/>
                <w:color w:val="000000"/>
              </w:rPr>
            </w:pPr>
            <w:r>
              <w:rPr>
                <w:rFonts w:ascii="Arial" w:hAnsi="Arial"/>
                <w:snapToGrid w:val="0"/>
                <w:color w:val="000000"/>
              </w:rPr>
              <w:t>黏度/</w:t>
            </w:r>
          </w:p>
        </w:tc>
        <w:tc>
          <w:tcPr>
            <w:tcW w:w="4075" w:type="dxa"/>
            <w:vAlign w:val="center"/>
          </w:tcPr>
          <w:p w14:paraId="1F2BCC88">
            <w:pPr>
              <w:pStyle w:val="133"/>
              <w:rPr>
                <w:rFonts w:ascii="Arial" w:hAnsi="Arial"/>
                <w:snapToGrid w:val="0"/>
                <w:color w:val="000000"/>
              </w:rPr>
            </w:pPr>
            <w:r>
              <w:rPr>
                <w:rFonts w:ascii="Arial" w:hAnsi="Arial"/>
                <w:snapToGrid w:val="0"/>
                <w:color w:val="000000"/>
              </w:rPr>
              <w:t>≤4.0</w:t>
            </w:r>
          </w:p>
        </w:tc>
      </w:tr>
      <w:tr w14:paraId="2D9EB8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75" w:type="dxa"/>
            <w:vAlign w:val="center"/>
          </w:tcPr>
          <w:p w14:paraId="6709A7A5">
            <w:pPr>
              <w:pStyle w:val="133"/>
              <w:rPr>
                <w:rFonts w:ascii="Arial" w:hAnsi="Arial"/>
                <w:snapToGrid w:val="0"/>
                <w:color w:val="000000"/>
              </w:rPr>
            </w:pPr>
            <w:r>
              <w:rPr>
                <w:rFonts w:ascii="Arial" w:hAnsi="Arial"/>
                <w:snapToGrid w:val="0"/>
                <w:color w:val="000000"/>
              </w:rPr>
              <w:t>甲苯不溶物（无水基）/%</w:t>
            </w:r>
          </w:p>
        </w:tc>
        <w:tc>
          <w:tcPr>
            <w:tcW w:w="4075" w:type="dxa"/>
            <w:vAlign w:val="center"/>
          </w:tcPr>
          <w:p w14:paraId="78714CDD">
            <w:pPr>
              <w:pStyle w:val="133"/>
              <w:rPr>
                <w:rFonts w:ascii="Arial" w:hAnsi="Arial"/>
                <w:snapToGrid w:val="0"/>
                <w:color w:val="000000"/>
              </w:rPr>
            </w:pPr>
            <w:r>
              <w:rPr>
                <w:rFonts w:ascii="Arial" w:hAnsi="Arial"/>
                <w:snapToGrid w:val="0"/>
                <w:color w:val="000000"/>
              </w:rPr>
              <w:t>3.5~7.0</w:t>
            </w:r>
          </w:p>
        </w:tc>
      </w:tr>
      <w:tr w14:paraId="3CB605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75" w:type="dxa"/>
            <w:vAlign w:val="center"/>
          </w:tcPr>
          <w:p w14:paraId="3D064380">
            <w:pPr>
              <w:pStyle w:val="133"/>
              <w:rPr>
                <w:rFonts w:ascii="Arial" w:hAnsi="Arial"/>
                <w:snapToGrid w:val="0"/>
                <w:color w:val="000000"/>
              </w:rPr>
            </w:pPr>
            <w:r>
              <w:rPr>
                <w:rFonts w:ascii="Arial" w:hAnsi="Arial"/>
                <w:snapToGrid w:val="0"/>
                <w:color w:val="000000"/>
              </w:rPr>
              <w:t>萘含量（无水基）/%</w:t>
            </w:r>
          </w:p>
        </w:tc>
        <w:tc>
          <w:tcPr>
            <w:tcW w:w="4075" w:type="dxa"/>
            <w:vAlign w:val="center"/>
          </w:tcPr>
          <w:p w14:paraId="34585B5E">
            <w:pPr>
              <w:pStyle w:val="133"/>
              <w:rPr>
                <w:rFonts w:ascii="Arial" w:hAnsi="Arial"/>
                <w:snapToGrid w:val="0"/>
                <w:color w:val="000000"/>
              </w:rPr>
            </w:pPr>
            <w:r>
              <w:rPr>
                <w:rFonts w:ascii="Arial" w:hAnsi="Arial"/>
                <w:snapToGrid w:val="0"/>
                <w:color w:val="000000"/>
              </w:rPr>
              <w:t>7.0</w:t>
            </w:r>
          </w:p>
        </w:tc>
      </w:tr>
    </w:tbl>
    <w:p w14:paraId="2DEFB6FB">
      <w:pPr>
        <w:pStyle w:val="133"/>
      </w:pPr>
    </w:p>
    <w:p w14:paraId="604B758D">
      <w:pPr>
        <w:pStyle w:val="117"/>
        <w:ind w:firstLine="480"/>
      </w:pPr>
      <w:r>
        <w:rPr>
          <w:rFonts w:hint="eastAsia"/>
        </w:rPr>
        <w:t>（3）</w:t>
      </w:r>
      <w:r>
        <w:rPr>
          <w:spacing w:val="-8"/>
        </w:rPr>
        <w:t>硅铁</w:t>
      </w:r>
      <w:r>
        <w:rPr>
          <w:rFonts w:hint="eastAsia"/>
          <w:spacing w:val="-8"/>
        </w:rPr>
        <w:t>产品</w:t>
      </w:r>
      <w:r>
        <w:rPr>
          <w:spacing w:val="-8"/>
        </w:rPr>
        <w:t>符合《硅铁》（</w:t>
      </w:r>
      <w:r>
        <w:rPr>
          <w:rFonts w:eastAsia="Times New Roman" w:cs="Times New Roman"/>
          <w:spacing w:val="-8"/>
        </w:rPr>
        <w:t>GB/T</w:t>
      </w:r>
      <w:r>
        <w:rPr>
          <w:rFonts w:eastAsia="Times New Roman" w:cs="Times New Roman"/>
        </w:rPr>
        <w:t>2272-2020</w:t>
      </w:r>
      <w:r>
        <w:t>）中普通硅铁的标准</w:t>
      </w:r>
      <w:r>
        <w:rPr>
          <w:rFonts w:hint="eastAsia"/>
        </w:rPr>
        <w:t>，见表3.1-5。</w:t>
      </w:r>
    </w:p>
    <w:p w14:paraId="49E98F2B">
      <w:pPr>
        <w:pStyle w:val="118"/>
      </w:pPr>
      <w:r>
        <w:rPr>
          <w:rFonts w:hint="eastAsia"/>
        </w:rPr>
        <w:t>表3.1-5  硅铁产品标准要求</w:t>
      </w:r>
    </w:p>
    <w:tbl>
      <w:tblPr>
        <w:tblStyle w:val="17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689"/>
        <w:gridCol w:w="690"/>
        <w:gridCol w:w="690"/>
        <w:gridCol w:w="690"/>
        <w:gridCol w:w="690"/>
        <w:gridCol w:w="690"/>
        <w:gridCol w:w="690"/>
        <w:gridCol w:w="690"/>
        <w:gridCol w:w="690"/>
      </w:tblGrid>
      <w:tr w14:paraId="7ADD0B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2" w:type="dxa"/>
            <w:vMerge w:val="restart"/>
            <w:vAlign w:val="center"/>
          </w:tcPr>
          <w:p w14:paraId="20264282">
            <w:pPr>
              <w:pStyle w:val="133"/>
              <w:rPr>
                <w:rFonts w:ascii="Arial" w:hAnsi="Arial"/>
                <w:b/>
                <w:bCs/>
                <w:snapToGrid w:val="0"/>
                <w:color w:val="000000"/>
              </w:rPr>
            </w:pPr>
            <w:r>
              <w:rPr>
                <w:rFonts w:ascii="Arial" w:hAnsi="Arial"/>
                <w:b/>
                <w:bCs/>
                <w:snapToGrid w:val="0"/>
                <w:color w:val="000000"/>
              </w:rPr>
              <w:t>牌号</w:t>
            </w:r>
          </w:p>
        </w:tc>
        <w:tc>
          <w:tcPr>
            <w:tcW w:w="6164" w:type="dxa"/>
            <w:gridSpan w:val="9"/>
            <w:vAlign w:val="center"/>
          </w:tcPr>
          <w:p w14:paraId="76D23F8D">
            <w:pPr>
              <w:pStyle w:val="133"/>
              <w:rPr>
                <w:rFonts w:ascii="Arial" w:hAnsi="Arial"/>
                <w:b/>
                <w:bCs/>
                <w:snapToGrid w:val="0"/>
                <w:color w:val="000000"/>
              </w:rPr>
            </w:pPr>
            <w:r>
              <w:rPr>
                <w:rFonts w:hint="eastAsia" w:ascii="Arial" w:hAnsi="Arial"/>
                <w:b/>
                <w:bCs/>
                <w:snapToGrid w:val="0"/>
                <w:color w:val="000000"/>
              </w:rPr>
              <w:t>化学成分（质量分数）</w:t>
            </w:r>
            <w:r>
              <w:rPr>
                <w:rFonts w:ascii="Arial" w:hAnsi="Arial"/>
                <w:b/>
                <w:bCs/>
                <w:snapToGrid w:val="0"/>
                <w:color w:val="000000"/>
              </w:rPr>
              <w:t>/%</w:t>
            </w:r>
          </w:p>
        </w:tc>
      </w:tr>
      <w:tr w14:paraId="78696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2" w:type="dxa"/>
            <w:vMerge w:val="continue"/>
            <w:vAlign w:val="center"/>
          </w:tcPr>
          <w:p w14:paraId="0D138EEF">
            <w:pPr>
              <w:pStyle w:val="133"/>
              <w:rPr>
                <w:rFonts w:ascii="Arial" w:hAnsi="Arial"/>
                <w:b/>
                <w:bCs/>
                <w:snapToGrid w:val="0"/>
                <w:color w:val="000000"/>
              </w:rPr>
            </w:pPr>
          </w:p>
        </w:tc>
        <w:tc>
          <w:tcPr>
            <w:tcW w:w="684" w:type="dxa"/>
            <w:vAlign w:val="center"/>
          </w:tcPr>
          <w:p w14:paraId="425F14E8">
            <w:pPr>
              <w:pStyle w:val="133"/>
              <w:rPr>
                <w:rFonts w:ascii="Arial" w:hAnsi="Arial"/>
                <w:b/>
                <w:bCs/>
                <w:snapToGrid w:val="0"/>
                <w:color w:val="000000"/>
              </w:rPr>
            </w:pPr>
            <w:r>
              <w:rPr>
                <w:rFonts w:ascii="Arial" w:hAnsi="Arial"/>
                <w:b/>
                <w:bCs/>
                <w:snapToGrid w:val="0"/>
                <w:color w:val="000000"/>
              </w:rPr>
              <w:t>Si</w:t>
            </w:r>
          </w:p>
        </w:tc>
        <w:tc>
          <w:tcPr>
            <w:tcW w:w="685" w:type="dxa"/>
            <w:vAlign w:val="center"/>
          </w:tcPr>
          <w:p w14:paraId="54B1D6F4">
            <w:pPr>
              <w:pStyle w:val="133"/>
              <w:rPr>
                <w:rFonts w:ascii="Arial" w:hAnsi="Arial"/>
                <w:b/>
                <w:bCs/>
                <w:snapToGrid w:val="0"/>
                <w:color w:val="000000"/>
              </w:rPr>
            </w:pPr>
            <w:r>
              <w:rPr>
                <w:rFonts w:ascii="Arial" w:hAnsi="Arial"/>
                <w:b/>
                <w:bCs/>
                <w:snapToGrid w:val="0"/>
                <w:color w:val="000000"/>
              </w:rPr>
              <w:t>A</w:t>
            </w:r>
            <w:r>
              <w:rPr>
                <w:rFonts w:hint="eastAsia" w:ascii="Arial" w:hAnsi="Arial"/>
                <w:b/>
                <w:bCs/>
                <w:snapToGrid w:val="0"/>
                <w:color w:val="000000"/>
              </w:rPr>
              <w:t>l</w:t>
            </w:r>
          </w:p>
        </w:tc>
        <w:tc>
          <w:tcPr>
            <w:tcW w:w="685" w:type="dxa"/>
            <w:vAlign w:val="center"/>
          </w:tcPr>
          <w:p w14:paraId="45904434">
            <w:pPr>
              <w:pStyle w:val="133"/>
              <w:rPr>
                <w:rFonts w:ascii="Arial" w:hAnsi="Arial"/>
                <w:b/>
                <w:bCs/>
                <w:snapToGrid w:val="0"/>
                <w:color w:val="000000"/>
              </w:rPr>
            </w:pPr>
            <w:r>
              <w:rPr>
                <w:rFonts w:ascii="Arial" w:hAnsi="Arial"/>
                <w:b/>
                <w:bCs/>
                <w:snapToGrid w:val="0"/>
                <w:color w:val="000000"/>
              </w:rPr>
              <w:t>Ca</w:t>
            </w:r>
          </w:p>
        </w:tc>
        <w:tc>
          <w:tcPr>
            <w:tcW w:w="685" w:type="dxa"/>
            <w:vAlign w:val="center"/>
          </w:tcPr>
          <w:p w14:paraId="4A955881">
            <w:pPr>
              <w:pStyle w:val="133"/>
              <w:rPr>
                <w:rFonts w:ascii="Arial" w:hAnsi="Arial"/>
                <w:b/>
                <w:bCs/>
                <w:snapToGrid w:val="0"/>
                <w:color w:val="000000"/>
              </w:rPr>
            </w:pPr>
            <w:r>
              <w:rPr>
                <w:rFonts w:ascii="Arial" w:hAnsi="Arial"/>
                <w:b/>
                <w:bCs/>
                <w:snapToGrid w:val="0"/>
                <w:color w:val="000000"/>
              </w:rPr>
              <w:t>Mn</w:t>
            </w:r>
          </w:p>
        </w:tc>
        <w:tc>
          <w:tcPr>
            <w:tcW w:w="685" w:type="dxa"/>
            <w:vAlign w:val="center"/>
          </w:tcPr>
          <w:p w14:paraId="5E712FFE">
            <w:pPr>
              <w:pStyle w:val="133"/>
              <w:rPr>
                <w:rFonts w:ascii="Arial" w:hAnsi="Arial"/>
                <w:b/>
                <w:bCs/>
                <w:snapToGrid w:val="0"/>
                <w:color w:val="000000"/>
              </w:rPr>
            </w:pPr>
            <w:r>
              <w:rPr>
                <w:rFonts w:ascii="Arial" w:hAnsi="Arial"/>
                <w:b/>
                <w:bCs/>
                <w:snapToGrid w:val="0"/>
                <w:color w:val="000000"/>
              </w:rPr>
              <w:t>Cr</w:t>
            </w:r>
          </w:p>
        </w:tc>
        <w:tc>
          <w:tcPr>
            <w:tcW w:w="685" w:type="dxa"/>
            <w:vAlign w:val="center"/>
          </w:tcPr>
          <w:p w14:paraId="374B0907">
            <w:pPr>
              <w:pStyle w:val="133"/>
              <w:rPr>
                <w:rFonts w:ascii="Arial" w:hAnsi="Arial"/>
                <w:b/>
                <w:bCs/>
                <w:snapToGrid w:val="0"/>
                <w:color w:val="000000"/>
              </w:rPr>
            </w:pPr>
            <w:r>
              <w:rPr>
                <w:rFonts w:ascii="Arial" w:hAnsi="Arial"/>
                <w:b/>
                <w:bCs/>
                <w:snapToGrid w:val="0"/>
                <w:color w:val="000000"/>
              </w:rPr>
              <w:t>P</w:t>
            </w:r>
          </w:p>
        </w:tc>
        <w:tc>
          <w:tcPr>
            <w:tcW w:w="685" w:type="dxa"/>
            <w:vAlign w:val="center"/>
          </w:tcPr>
          <w:p w14:paraId="54A61EA5">
            <w:pPr>
              <w:pStyle w:val="133"/>
              <w:rPr>
                <w:rFonts w:ascii="Arial" w:hAnsi="Arial"/>
                <w:b/>
                <w:bCs/>
                <w:snapToGrid w:val="0"/>
                <w:color w:val="000000"/>
              </w:rPr>
            </w:pPr>
            <w:r>
              <w:rPr>
                <w:rFonts w:ascii="Arial" w:hAnsi="Arial"/>
                <w:b/>
                <w:bCs/>
                <w:snapToGrid w:val="0"/>
                <w:color w:val="000000"/>
              </w:rPr>
              <w:t>S</w:t>
            </w:r>
          </w:p>
        </w:tc>
        <w:tc>
          <w:tcPr>
            <w:tcW w:w="685" w:type="dxa"/>
            <w:vAlign w:val="center"/>
          </w:tcPr>
          <w:p w14:paraId="03F27643">
            <w:pPr>
              <w:pStyle w:val="133"/>
              <w:rPr>
                <w:rFonts w:ascii="Arial" w:hAnsi="Arial"/>
                <w:b/>
                <w:bCs/>
                <w:snapToGrid w:val="0"/>
                <w:color w:val="000000"/>
              </w:rPr>
            </w:pPr>
            <w:r>
              <w:rPr>
                <w:rFonts w:ascii="Arial" w:hAnsi="Arial"/>
                <w:b/>
                <w:bCs/>
                <w:snapToGrid w:val="0"/>
                <w:color w:val="000000"/>
              </w:rPr>
              <w:t>C</w:t>
            </w:r>
          </w:p>
        </w:tc>
        <w:tc>
          <w:tcPr>
            <w:tcW w:w="685" w:type="dxa"/>
            <w:vAlign w:val="center"/>
          </w:tcPr>
          <w:p w14:paraId="07AFA569">
            <w:pPr>
              <w:pStyle w:val="133"/>
              <w:rPr>
                <w:rFonts w:ascii="Arial" w:hAnsi="Arial"/>
                <w:b/>
                <w:bCs/>
                <w:snapToGrid w:val="0"/>
                <w:color w:val="000000"/>
              </w:rPr>
            </w:pPr>
            <w:r>
              <w:rPr>
                <w:rFonts w:ascii="Arial" w:hAnsi="Arial"/>
                <w:b/>
                <w:bCs/>
                <w:snapToGrid w:val="0"/>
                <w:color w:val="000000"/>
              </w:rPr>
              <w:t>Ti</w:t>
            </w:r>
          </w:p>
        </w:tc>
      </w:tr>
      <w:tr w14:paraId="1056C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2" w:type="dxa"/>
            <w:vAlign w:val="center"/>
          </w:tcPr>
          <w:p w14:paraId="7DE322F9">
            <w:pPr>
              <w:pStyle w:val="133"/>
              <w:rPr>
                <w:rFonts w:ascii="Arial" w:hAnsi="Arial"/>
                <w:snapToGrid w:val="0"/>
                <w:color w:val="000000"/>
              </w:rPr>
            </w:pPr>
            <w:r>
              <w:rPr>
                <w:rFonts w:ascii="Arial" w:hAnsi="Arial"/>
                <w:snapToGrid w:val="0"/>
                <w:color w:val="000000"/>
              </w:rPr>
              <w:t>PGFeSi72Al1.5</w:t>
            </w:r>
          </w:p>
        </w:tc>
        <w:tc>
          <w:tcPr>
            <w:tcW w:w="684" w:type="dxa"/>
            <w:vMerge w:val="restart"/>
            <w:vAlign w:val="center"/>
          </w:tcPr>
          <w:p w14:paraId="0DC1A8B7">
            <w:pPr>
              <w:pStyle w:val="133"/>
              <w:rPr>
                <w:rFonts w:ascii="Arial" w:hAnsi="Arial"/>
                <w:snapToGrid w:val="0"/>
                <w:color w:val="000000"/>
              </w:rPr>
            </w:pPr>
            <w:r>
              <w:rPr>
                <w:rFonts w:hint="eastAsia" w:ascii="Arial" w:hAnsi="Arial"/>
                <w:snapToGrid w:val="0"/>
                <w:color w:val="000000"/>
              </w:rPr>
              <w:t>72-</w:t>
            </w:r>
          </w:p>
          <w:p w14:paraId="59722A81">
            <w:pPr>
              <w:pStyle w:val="133"/>
              <w:rPr>
                <w:rFonts w:ascii="Arial" w:hAnsi="Arial"/>
                <w:snapToGrid w:val="0"/>
                <w:color w:val="000000"/>
              </w:rPr>
            </w:pPr>
            <w:r>
              <w:rPr>
                <w:rFonts w:hint="eastAsia" w:ascii="Arial" w:hAnsi="Arial"/>
                <w:snapToGrid w:val="0"/>
                <w:color w:val="000000"/>
              </w:rPr>
              <w:t>&lt;75</w:t>
            </w:r>
          </w:p>
        </w:tc>
        <w:tc>
          <w:tcPr>
            <w:tcW w:w="685" w:type="dxa"/>
            <w:vAlign w:val="center"/>
          </w:tcPr>
          <w:p w14:paraId="0BD56F48">
            <w:pPr>
              <w:pStyle w:val="133"/>
              <w:rPr>
                <w:rFonts w:ascii="Arial" w:hAnsi="Arial"/>
                <w:snapToGrid w:val="0"/>
                <w:color w:val="000000"/>
              </w:rPr>
            </w:pPr>
            <w:r>
              <w:rPr>
                <w:rFonts w:hint="eastAsia" w:ascii="Arial" w:hAnsi="Arial"/>
                <w:snapToGrid w:val="0"/>
                <w:color w:val="000000"/>
              </w:rPr>
              <w:t>1.5</w:t>
            </w:r>
          </w:p>
        </w:tc>
        <w:tc>
          <w:tcPr>
            <w:tcW w:w="685" w:type="dxa"/>
            <w:vMerge w:val="restart"/>
            <w:vAlign w:val="center"/>
          </w:tcPr>
          <w:p w14:paraId="161ADD86">
            <w:pPr>
              <w:pStyle w:val="133"/>
              <w:rPr>
                <w:rFonts w:ascii="Arial" w:hAnsi="Arial"/>
                <w:snapToGrid w:val="0"/>
                <w:color w:val="000000"/>
              </w:rPr>
            </w:pPr>
            <w:r>
              <w:rPr>
                <w:rFonts w:hint="eastAsia" w:ascii="Arial" w:hAnsi="Arial"/>
                <w:snapToGrid w:val="0"/>
                <w:color w:val="000000"/>
              </w:rPr>
              <w:t>1.5</w:t>
            </w:r>
          </w:p>
        </w:tc>
        <w:tc>
          <w:tcPr>
            <w:tcW w:w="685" w:type="dxa"/>
            <w:vMerge w:val="restart"/>
            <w:vAlign w:val="center"/>
          </w:tcPr>
          <w:p w14:paraId="1FB11248">
            <w:pPr>
              <w:pStyle w:val="133"/>
              <w:rPr>
                <w:rFonts w:ascii="Arial" w:hAnsi="Arial"/>
                <w:snapToGrid w:val="0"/>
                <w:color w:val="000000"/>
              </w:rPr>
            </w:pPr>
            <w:r>
              <w:rPr>
                <w:rFonts w:ascii="Arial" w:hAnsi="Arial"/>
                <w:snapToGrid w:val="0"/>
                <w:color w:val="000000"/>
              </w:rPr>
              <w:t>0.5</w:t>
            </w:r>
          </w:p>
        </w:tc>
        <w:tc>
          <w:tcPr>
            <w:tcW w:w="685" w:type="dxa"/>
            <w:vMerge w:val="restart"/>
            <w:vAlign w:val="center"/>
          </w:tcPr>
          <w:p w14:paraId="67171B43">
            <w:pPr>
              <w:pStyle w:val="133"/>
              <w:rPr>
                <w:rFonts w:ascii="Arial" w:hAnsi="Arial"/>
                <w:snapToGrid w:val="0"/>
                <w:color w:val="000000"/>
              </w:rPr>
            </w:pPr>
            <w:r>
              <w:rPr>
                <w:rFonts w:ascii="Arial" w:hAnsi="Arial"/>
                <w:snapToGrid w:val="0"/>
                <w:color w:val="000000"/>
              </w:rPr>
              <w:t>0.3</w:t>
            </w:r>
          </w:p>
        </w:tc>
        <w:tc>
          <w:tcPr>
            <w:tcW w:w="685" w:type="dxa"/>
            <w:vAlign w:val="center"/>
          </w:tcPr>
          <w:p w14:paraId="7C7DC1A3">
            <w:pPr>
              <w:pStyle w:val="133"/>
              <w:rPr>
                <w:rFonts w:ascii="Arial" w:hAnsi="Arial"/>
                <w:snapToGrid w:val="0"/>
                <w:color w:val="000000"/>
              </w:rPr>
            </w:pPr>
            <w:r>
              <w:rPr>
                <w:rFonts w:ascii="Arial" w:hAnsi="Arial"/>
                <w:snapToGrid w:val="0"/>
                <w:color w:val="000000"/>
              </w:rPr>
              <w:t>0.045</w:t>
            </w:r>
          </w:p>
        </w:tc>
        <w:tc>
          <w:tcPr>
            <w:tcW w:w="685" w:type="dxa"/>
            <w:vMerge w:val="restart"/>
            <w:vAlign w:val="center"/>
          </w:tcPr>
          <w:p w14:paraId="7F7A846B">
            <w:pPr>
              <w:pStyle w:val="133"/>
              <w:rPr>
                <w:rFonts w:ascii="Arial" w:hAnsi="Arial"/>
                <w:snapToGrid w:val="0"/>
                <w:color w:val="000000"/>
              </w:rPr>
            </w:pPr>
            <w:r>
              <w:rPr>
                <w:rFonts w:ascii="Arial" w:hAnsi="Arial"/>
                <w:snapToGrid w:val="0"/>
                <w:color w:val="000000"/>
              </w:rPr>
              <w:t>0.020</w:t>
            </w:r>
          </w:p>
        </w:tc>
        <w:tc>
          <w:tcPr>
            <w:tcW w:w="685" w:type="dxa"/>
            <w:vMerge w:val="restart"/>
            <w:vAlign w:val="center"/>
          </w:tcPr>
          <w:p w14:paraId="1A3706F7">
            <w:pPr>
              <w:pStyle w:val="133"/>
              <w:rPr>
                <w:rFonts w:ascii="Arial" w:hAnsi="Arial"/>
                <w:snapToGrid w:val="0"/>
                <w:color w:val="000000"/>
              </w:rPr>
            </w:pPr>
            <w:r>
              <w:rPr>
                <w:rFonts w:ascii="Arial" w:hAnsi="Arial"/>
                <w:snapToGrid w:val="0"/>
                <w:color w:val="000000"/>
              </w:rPr>
              <w:t>0.20</w:t>
            </w:r>
          </w:p>
        </w:tc>
        <w:tc>
          <w:tcPr>
            <w:tcW w:w="685" w:type="dxa"/>
            <w:vMerge w:val="restart"/>
            <w:vAlign w:val="center"/>
          </w:tcPr>
          <w:p w14:paraId="4C130294">
            <w:pPr>
              <w:pStyle w:val="133"/>
              <w:rPr>
                <w:rFonts w:ascii="Arial" w:hAnsi="Arial"/>
                <w:snapToGrid w:val="0"/>
                <w:color w:val="000000"/>
              </w:rPr>
            </w:pPr>
            <w:r>
              <w:rPr>
                <w:rFonts w:ascii="Arial" w:hAnsi="Arial"/>
                <w:snapToGrid w:val="0"/>
                <w:color w:val="000000"/>
              </w:rPr>
              <w:t>0.3</w:t>
            </w:r>
          </w:p>
        </w:tc>
      </w:tr>
      <w:tr w14:paraId="730830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2" w:type="dxa"/>
            <w:vAlign w:val="center"/>
          </w:tcPr>
          <w:p w14:paraId="6B3FC9A0">
            <w:pPr>
              <w:pStyle w:val="133"/>
              <w:rPr>
                <w:rFonts w:ascii="Arial" w:hAnsi="Arial"/>
                <w:snapToGrid w:val="0"/>
                <w:color w:val="000000"/>
              </w:rPr>
            </w:pPr>
            <w:r>
              <w:rPr>
                <w:rFonts w:ascii="Arial" w:hAnsi="Arial"/>
                <w:snapToGrid w:val="0"/>
                <w:color w:val="000000"/>
              </w:rPr>
              <w:t>PGFeSi72Al2.0</w:t>
            </w:r>
          </w:p>
        </w:tc>
        <w:tc>
          <w:tcPr>
            <w:tcW w:w="684" w:type="dxa"/>
            <w:vMerge w:val="continue"/>
            <w:vAlign w:val="center"/>
          </w:tcPr>
          <w:p w14:paraId="0926ED20">
            <w:pPr>
              <w:pStyle w:val="133"/>
              <w:rPr>
                <w:rFonts w:ascii="Arial" w:hAnsi="Arial"/>
                <w:snapToGrid w:val="0"/>
                <w:color w:val="000000"/>
              </w:rPr>
            </w:pPr>
          </w:p>
        </w:tc>
        <w:tc>
          <w:tcPr>
            <w:tcW w:w="685" w:type="dxa"/>
            <w:vAlign w:val="center"/>
          </w:tcPr>
          <w:p w14:paraId="35638A9D">
            <w:pPr>
              <w:pStyle w:val="133"/>
              <w:rPr>
                <w:rFonts w:ascii="Arial" w:hAnsi="Arial"/>
                <w:snapToGrid w:val="0"/>
                <w:color w:val="000000"/>
              </w:rPr>
            </w:pPr>
            <w:r>
              <w:rPr>
                <w:rFonts w:hint="eastAsia" w:ascii="Arial" w:hAnsi="Arial"/>
                <w:snapToGrid w:val="0"/>
                <w:color w:val="000000"/>
              </w:rPr>
              <w:t>2.0</w:t>
            </w:r>
          </w:p>
        </w:tc>
        <w:tc>
          <w:tcPr>
            <w:tcW w:w="685" w:type="dxa"/>
            <w:vMerge w:val="continue"/>
            <w:vAlign w:val="center"/>
          </w:tcPr>
          <w:p w14:paraId="46C98665">
            <w:pPr>
              <w:pStyle w:val="133"/>
              <w:rPr>
                <w:rFonts w:ascii="Arial" w:hAnsi="Arial"/>
                <w:snapToGrid w:val="0"/>
                <w:color w:val="000000"/>
              </w:rPr>
            </w:pPr>
          </w:p>
        </w:tc>
        <w:tc>
          <w:tcPr>
            <w:tcW w:w="685" w:type="dxa"/>
            <w:vMerge w:val="continue"/>
            <w:vAlign w:val="center"/>
          </w:tcPr>
          <w:p w14:paraId="3C35B6F8">
            <w:pPr>
              <w:pStyle w:val="133"/>
              <w:rPr>
                <w:rFonts w:ascii="Arial" w:hAnsi="Arial"/>
                <w:snapToGrid w:val="0"/>
                <w:color w:val="000000"/>
              </w:rPr>
            </w:pPr>
          </w:p>
        </w:tc>
        <w:tc>
          <w:tcPr>
            <w:tcW w:w="685" w:type="dxa"/>
            <w:vMerge w:val="continue"/>
            <w:vAlign w:val="center"/>
          </w:tcPr>
          <w:p w14:paraId="73B91F9B">
            <w:pPr>
              <w:pStyle w:val="133"/>
              <w:rPr>
                <w:rFonts w:ascii="Arial" w:hAnsi="Arial"/>
                <w:snapToGrid w:val="0"/>
                <w:color w:val="000000"/>
              </w:rPr>
            </w:pPr>
          </w:p>
        </w:tc>
        <w:tc>
          <w:tcPr>
            <w:tcW w:w="685" w:type="dxa"/>
            <w:vMerge w:val="restart"/>
            <w:vAlign w:val="center"/>
          </w:tcPr>
          <w:p w14:paraId="1FFE8382">
            <w:pPr>
              <w:pStyle w:val="133"/>
              <w:rPr>
                <w:rFonts w:ascii="Arial" w:hAnsi="Arial"/>
                <w:snapToGrid w:val="0"/>
                <w:color w:val="000000"/>
              </w:rPr>
            </w:pPr>
            <w:r>
              <w:rPr>
                <w:rFonts w:hint="eastAsia" w:ascii="Arial" w:hAnsi="Arial"/>
                <w:snapToGrid w:val="0"/>
                <w:color w:val="000000"/>
              </w:rPr>
              <w:t>0.040</w:t>
            </w:r>
          </w:p>
        </w:tc>
        <w:tc>
          <w:tcPr>
            <w:tcW w:w="685" w:type="dxa"/>
            <w:vMerge w:val="continue"/>
            <w:vAlign w:val="center"/>
          </w:tcPr>
          <w:p w14:paraId="0207D1FF">
            <w:pPr>
              <w:pStyle w:val="133"/>
              <w:rPr>
                <w:rFonts w:ascii="Arial" w:hAnsi="Arial"/>
                <w:snapToGrid w:val="0"/>
                <w:color w:val="000000"/>
              </w:rPr>
            </w:pPr>
          </w:p>
        </w:tc>
        <w:tc>
          <w:tcPr>
            <w:tcW w:w="685" w:type="dxa"/>
            <w:vMerge w:val="continue"/>
            <w:vAlign w:val="center"/>
          </w:tcPr>
          <w:p w14:paraId="010FC6DB">
            <w:pPr>
              <w:pStyle w:val="133"/>
              <w:rPr>
                <w:rFonts w:ascii="Arial" w:hAnsi="Arial"/>
                <w:snapToGrid w:val="0"/>
                <w:color w:val="000000"/>
              </w:rPr>
            </w:pPr>
          </w:p>
        </w:tc>
        <w:tc>
          <w:tcPr>
            <w:tcW w:w="685" w:type="dxa"/>
            <w:vMerge w:val="continue"/>
            <w:vAlign w:val="center"/>
          </w:tcPr>
          <w:p w14:paraId="554C8146">
            <w:pPr>
              <w:pStyle w:val="133"/>
              <w:rPr>
                <w:rFonts w:ascii="Arial" w:hAnsi="Arial"/>
                <w:snapToGrid w:val="0"/>
                <w:color w:val="000000"/>
              </w:rPr>
            </w:pPr>
          </w:p>
        </w:tc>
      </w:tr>
      <w:tr w14:paraId="6243CC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2" w:type="dxa"/>
            <w:vAlign w:val="center"/>
          </w:tcPr>
          <w:p w14:paraId="1C3459FF">
            <w:pPr>
              <w:pStyle w:val="133"/>
              <w:rPr>
                <w:rFonts w:ascii="Arial" w:hAnsi="Arial"/>
                <w:snapToGrid w:val="0"/>
                <w:color w:val="000000"/>
              </w:rPr>
            </w:pPr>
            <w:r>
              <w:rPr>
                <w:rFonts w:ascii="Arial" w:hAnsi="Arial"/>
                <w:snapToGrid w:val="0"/>
                <w:color w:val="000000"/>
              </w:rPr>
              <w:t>PGFeSi72Al2.5</w:t>
            </w:r>
          </w:p>
        </w:tc>
        <w:tc>
          <w:tcPr>
            <w:tcW w:w="684" w:type="dxa"/>
            <w:vMerge w:val="continue"/>
            <w:vAlign w:val="center"/>
          </w:tcPr>
          <w:p w14:paraId="1F6D4901">
            <w:pPr>
              <w:pStyle w:val="133"/>
              <w:rPr>
                <w:rFonts w:ascii="Arial" w:hAnsi="Arial"/>
                <w:snapToGrid w:val="0"/>
                <w:color w:val="000000"/>
              </w:rPr>
            </w:pPr>
          </w:p>
        </w:tc>
        <w:tc>
          <w:tcPr>
            <w:tcW w:w="685" w:type="dxa"/>
            <w:vAlign w:val="center"/>
          </w:tcPr>
          <w:p w14:paraId="3E967C23">
            <w:pPr>
              <w:pStyle w:val="133"/>
              <w:rPr>
                <w:rFonts w:ascii="Arial" w:hAnsi="Arial"/>
                <w:snapToGrid w:val="0"/>
                <w:color w:val="000000"/>
              </w:rPr>
            </w:pPr>
            <w:r>
              <w:rPr>
                <w:rFonts w:hint="eastAsia" w:ascii="Arial" w:hAnsi="Arial"/>
                <w:snapToGrid w:val="0"/>
                <w:color w:val="000000"/>
              </w:rPr>
              <w:t>2.5</w:t>
            </w:r>
          </w:p>
        </w:tc>
        <w:tc>
          <w:tcPr>
            <w:tcW w:w="685" w:type="dxa"/>
            <w:vAlign w:val="center"/>
          </w:tcPr>
          <w:p w14:paraId="2E251D36">
            <w:pPr>
              <w:pStyle w:val="133"/>
              <w:rPr>
                <w:rFonts w:ascii="Arial" w:hAnsi="Arial"/>
                <w:snapToGrid w:val="0"/>
                <w:color w:val="000000"/>
              </w:rPr>
            </w:pPr>
            <w:r>
              <w:rPr>
                <w:rFonts w:hint="eastAsia" w:ascii="Arial" w:hAnsi="Arial"/>
                <w:snapToGrid w:val="0"/>
                <w:color w:val="000000"/>
              </w:rPr>
              <w:t>-</w:t>
            </w:r>
          </w:p>
        </w:tc>
        <w:tc>
          <w:tcPr>
            <w:tcW w:w="685" w:type="dxa"/>
            <w:vMerge w:val="continue"/>
            <w:vAlign w:val="center"/>
          </w:tcPr>
          <w:p w14:paraId="60DE79EE">
            <w:pPr>
              <w:pStyle w:val="133"/>
              <w:rPr>
                <w:rFonts w:ascii="Arial" w:hAnsi="Arial"/>
                <w:snapToGrid w:val="0"/>
                <w:color w:val="000000"/>
              </w:rPr>
            </w:pPr>
          </w:p>
        </w:tc>
        <w:tc>
          <w:tcPr>
            <w:tcW w:w="685" w:type="dxa"/>
            <w:vMerge w:val="continue"/>
            <w:vAlign w:val="center"/>
          </w:tcPr>
          <w:p w14:paraId="51F88D15">
            <w:pPr>
              <w:pStyle w:val="133"/>
              <w:rPr>
                <w:rFonts w:ascii="Arial" w:hAnsi="Arial"/>
                <w:snapToGrid w:val="0"/>
                <w:color w:val="000000"/>
              </w:rPr>
            </w:pPr>
          </w:p>
        </w:tc>
        <w:tc>
          <w:tcPr>
            <w:tcW w:w="685" w:type="dxa"/>
            <w:vMerge w:val="continue"/>
            <w:vAlign w:val="center"/>
          </w:tcPr>
          <w:p w14:paraId="47492E81">
            <w:pPr>
              <w:pStyle w:val="133"/>
              <w:rPr>
                <w:rFonts w:ascii="Arial" w:hAnsi="Arial"/>
                <w:snapToGrid w:val="0"/>
                <w:color w:val="000000"/>
              </w:rPr>
            </w:pPr>
          </w:p>
        </w:tc>
        <w:tc>
          <w:tcPr>
            <w:tcW w:w="685" w:type="dxa"/>
            <w:vMerge w:val="continue"/>
            <w:vAlign w:val="center"/>
          </w:tcPr>
          <w:p w14:paraId="5D89D677">
            <w:pPr>
              <w:pStyle w:val="133"/>
              <w:rPr>
                <w:rFonts w:ascii="Arial" w:hAnsi="Arial"/>
                <w:snapToGrid w:val="0"/>
                <w:color w:val="000000"/>
              </w:rPr>
            </w:pPr>
          </w:p>
        </w:tc>
        <w:tc>
          <w:tcPr>
            <w:tcW w:w="685" w:type="dxa"/>
            <w:vMerge w:val="continue"/>
            <w:vAlign w:val="center"/>
          </w:tcPr>
          <w:p w14:paraId="0BF577A3">
            <w:pPr>
              <w:pStyle w:val="133"/>
              <w:rPr>
                <w:rFonts w:ascii="Arial" w:hAnsi="Arial"/>
                <w:snapToGrid w:val="0"/>
                <w:color w:val="000000"/>
              </w:rPr>
            </w:pPr>
          </w:p>
        </w:tc>
        <w:tc>
          <w:tcPr>
            <w:tcW w:w="685" w:type="dxa"/>
            <w:vMerge w:val="continue"/>
            <w:vAlign w:val="center"/>
          </w:tcPr>
          <w:p w14:paraId="62FB6AF9">
            <w:pPr>
              <w:pStyle w:val="133"/>
              <w:rPr>
                <w:rFonts w:ascii="Arial" w:hAnsi="Arial"/>
                <w:snapToGrid w:val="0"/>
                <w:color w:val="000000"/>
              </w:rPr>
            </w:pPr>
          </w:p>
        </w:tc>
      </w:tr>
    </w:tbl>
    <w:p w14:paraId="5E0C998A">
      <w:pPr>
        <w:pStyle w:val="133"/>
      </w:pPr>
    </w:p>
    <w:p w14:paraId="246B376C">
      <w:pPr>
        <w:pStyle w:val="117"/>
        <w:ind w:firstLine="480"/>
      </w:pPr>
      <w:r>
        <w:rPr>
          <w:rFonts w:hint="eastAsia"/>
        </w:rPr>
        <w:t>（4）</w:t>
      </w:r>
      <w:r>
        <w:t>微硅粉</w:t>
      </w:r>
      <w:r>
        <w:rPr>
          <w:rFonts w:hint="eastAsia"/>
        </w:rPr>
        <w:t>产品</w:t>
      </w:r>
      <w:r>
        <w:t>符合《电炉回收二氧化硅微粉》（GB/T 21236-2007）中 SF90的标准</w:t>
      </w:r>
      <w:r>
        <w:rPr>
          <w:rFonts w:hint="eastAsia"/>
        </w:rPr>
        <w:t>，见表3.1-6。</w:t>
      </w:r>
    </w:p>
    <w:p w14:paraId="403A007A">
      <w:pPr>
        <w:pStyle w:val="118"/>
      </w:pPr>
      <w:r>
        <w:rPr>
          <w:rFonts w:hint="eastAsia"/>
        </w:rPr>
        <w:t>表3.1-6  微硅粉产品技术要求</w:t>
      </w:r>
    </w:p>
    <w:tbl>
      <w:tblPr>
        <w:tblStyle w:val="176"/>
        <w:tblW w:w="5000" w:type="pct"/>
        <w:tblInd w:w="13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168"/>
        <w:gridCol w:w="4168"/>
      </w:tblGrid>
      <w:tr w14:paraId="0BD81E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exact"/>
          <w:tblHeader/>
        </w:trPr>
        <w:tc>
          <w:tcPr>
            <w:tcW w:w="4075" w:type="dxa"/>
            <w:vAlign w:val="center"/>
          </w:tcPr>
          <w:p w14:paraId="0C3124C9">
            <w:pPr>
              <w:pStyle w:val="133"/>
              <w:rPr>
                <w:rFonts w:ascii="Arial" w:hAnsi="Arial"/>
                <w:b/>
                <w:bCs/>
                <w:snapToGrid w:val="0"/>
                <w:color w:val="000000"/>
              </w:rPr>
            </w:pPr>
            <w:r>
              <w:rPr>
                <w:rFonts w:ascii="Arial" w:hAnsi="Arial"/>
                <w:b/>
                <w:bCs/>
                <w:snapToGrid w:val="0"/>
                <w:color w:val="000000"/>
              </w:rPr>
              <w:t>检验项目</w:t>
            </w:r>
          </w:p>
        </w:tc>
        <w:tc>
          <w:tcPr>
            <w:tcW w:w="4075" w:type="dxa"/>
            <w:vAlign w:val="center"/>
          </w:tcPr>
          <w:p w14:paraId="545CEC0A">
            <w:pPr>
              <w:pStyle w:val="133"/>
              <w:rPr>
                <w:rFonts w:ascii="Arial" w:hAnsi="Arial"/>
                <w:b/>
                <w:bCs/>
                <w:snapToGrid w:val="0"/>
                <w:color w:val="000000"/>
              </w:rPr>
            </w:pPr>
            <w:r>
              <w:rPr>
                <w:rFonts w:ascii="Arial" w:hAnsi="Arial"/>
                <w:b/>
                <w:bCs/>
                <w:snapToGrid w:val="0"/>
                <w:color w:val="000000"/>
              </w:rPr>
              <w:t>技术指标</w:t>
            </w:r>
          </w:p>
        </w:tc>
      </w:tr>
      <w:tr w14:paraId="42C7D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7D0CE57F">
            <w:pPr>
              <w:pStyle w:val="133"/>
              <w:rPr>
                <w:rFonts w:ascii="Arial" w:hAnsi="Arial"/>
                <w:snapToGrid w:val="0"/>
                <w:color w:val="000000"/>
              </w:rPr>
            </w:pPr>
            <w:r>
              <w:rPr>
                <w:rFonts w:ascii="Arial" w:hAnsi="Arial"/>
                <w:snapToGrid w:val="0"/>
                <w:color w:val="000000"/>
              </w:rPr>
              <w:t>SiO</w:t>
            </w:r>
            <w:r>
              <w:rPr>
                <w:rFonts w:ascii="Arial" w:hAnsi="Arial"/>
                <w:snapToGrid w:val="0"/>
                <w:color w:val="000000"/>
                <w:vertAlign w:val="subscript"/>
              </w:rPr>
              <w:t>2</w:t>
            </w:r>
            <w:r>
              <w:rPr>
                <w:rFonts w:ascii="Arial" w:hAnsi="Arial"/>
                <w:snapToGrid w:val="0"/>
                <w:color w:val="000000"/>
              </w:rPr>
              <w:t>/%</w:t>
            </w:r>
          </w:p>
        </w:tc>
        <w:tc>
          <w:tcPr>
            <w:tcW w:w="4075" w:type="dxa"/>
            <w:vAlign w:val="center"/>
          </w:tcPr>
          <w:p w14:paraId="72CD2315">
            <w:pPr>
              <w:pStyle w:val="133"/>
              <w:rPr>
                <w:rFonts w:ascii="Arial" w:hAnsi="Arial"/>
                <w:snapToGrid w:val="0"/>
                <w:color w:val="000000"/>
              </w:rPr>
            </w:pPr>
            <w:r>
              <w:rPr>
                <w:rFonts w:ascii="Arial" w:hAnsi="Arial"/>
                <w:snapToGrid w:val="0"/>
                <w:color w:val="000000"/>
              </w:rPr>
              <w:t>≥90.0</w:t>
            </w:r>
          </w:p>
        </w:tc>
      </w:tr>
      <w:tr w14:paraId="2E974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0789B37A">
            <w:pPr>
              <w:pStyle w:val="133"/>
              <w:rPr>
                <w:rFonts w:ascii="Arial" w:hAnsi="Arial"/>
                <w:snapToGrid w:val="0"/>
                <w:color w:val="000000"/>
              </w:rPr>
            </w:pPr>
            <w:r>
              <w:rPr>
                <w:rFonts w:ascii="Arial" w:hAnsi="Arial"/>
                <w:snapToGrid w:val="0"/>
                <w:color w:val="000000"/>
              </w:rPr>
              <w:t>Al</w:t>
            </w:r>
            <w:r>
              <w:rPr>
                <w:rFonts w:ascii="Arial" w:hAnsi="Arial"/>
                <w:snapToGrid w:val="0"/>
                <w:color w:val="000000"/>
                <w:vertAlign w:val="subscript"/>
              </w:rPr>
              <w:t>2</w:t>
            </w:r>
            <w:r>
              <w:rPr>
                <w:rFonts w:ascii="Arial" w:hAnsi="Arial"/>
                <w:snapToGrid w:val="0"/>
                <w:color w:val="000000"/>
              </w:rPr>
              <w:t>O</w:t>
            </w:r>
            <w:r>
              <w:rPr>
                <w:rFonts w:ascii="Arial" w:hAnsi="Arial"/>
                <w:snapToGrid w:val="0"/>
                <w:color w:val="000000"/>
                <w:vertAlign w:val="subscript"/>
              </w:rPr>
              <w:t>3</w:t>
            </w:r>
            <w:r>
              <w:rPr>
                <w:rFonts w:ascii="Arial" w:hAnsi="Arial"/>
                <w:snapToGrid w:val="0"/>
                <w:color w:val="000000"/>
              </w:rPr>
              <w:t>/%</w:t>
            </w:r>
          </w:p>
        </w:tc>
        <w:tc>
          <w:tcPr>
            <w:tcW w:w="4075" w:type="dxa"/>
            <w:vAlign w:val="center"/>
          </w:tcPr>
          <w:p w14:paraId="48B6F9BB">
            <w:pPr>
              <w:pStyle w:val="133"/>
              <w:rPr>
                <w:rFonts w:ascii="Arial" w:hAnsi="Arial"/>
                <w:snapToGrid w:val="0"/>
                <w:color w:val="000000"/>
              </w:rPr>
            </w:pPr>
            <w:r>
              <w:rPr>
                <w:rFonts w:ascii="Arial" w:hAnsi="Arial"/>
                <w:snapToGrid w:val="0"/>
                <w:color w:val="000000"/>
              </w:rPr>
              <w:t>≤1.5</w:t>
            </w:r>
          </w:p>
        </w:tc>
      </w:tr>
      <w:tr w14:paraId="5D57D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7D824E46">
            <w:pPr>
              <w:pStyle w:val="133"/>
              <w:rPr>
                <w:rFonts w:ascii="Arial" w:hAnsi="Arial"/>
                <w:snapToGrid w:val="0"/>
                <w:color w:val="000000"/>
              </w:rPr>
            </w:pPr>
            <w:r>
              <w:rPr>
                <w:rFonts w:ascii="Arial" w:hAnsi="Arial"/>
                <w:snapToGrid w:val="0"/>
                <w:color w:val="000000"/>
              </w:rPr>
              <w:t>Fe</w:t>
            </w:r>
            <w:r>
              <w:rPr>
                <w:rFonts w:ascii="Arial" w:hAnsi="Arial"/>
                <w:snapToGrid w:val="0"/>
                <w:color w:val="000000"/>
                <w:vertAlign w:val="subscript"/>
              </w:rPr>
              <w:t>2</w:t>
            </w:r>
            <w:r>
              <w:rPr>
                <w:rFonts w:ascii="Arial" w:hAnsi="Arial"/>
                <w:snapToGrid w:val="0"/>
                <w:color w:val="000000"/>
              </w:rPr>
              <w:t>O</w:t>
            </w:r>
            <w:r>
              <w:rPr>
                <w:rFonts w:ascii="Arial" w:hAnsi="Arial"/>
                <w:snapToGrid w:val="0"/>
                <w:color w:val="000000"/>
                <w:vertAlign w:val="subscript"/>
              </w:rPr>
              <w:t>3</w:t>
            </w:r>
            <w:r>
              <w:rPr>
                <w:rFonts w:ascii="Arial" w:hAnsi="Arial"/>
                <w:snapToGrid w:val="0"/>
                <w:color w:val="000000"/>
              </w:rPr>
              <w:t>/%</w:t>
            </w:r>
          </w:p>
        </w:tc>
        <w:tc>
          <w:tcPr>
            <w:tcW w:w="4075" w:type="dxa"/>
            <w:vAlign w:val="center"/>
          </w:tcPr>
          <w:p w14:paraId="0B01C10E">
            <w:pPr>
              <w:pStyle w:val="133"/>
              <w:rPr>
                <w:rFonts w:ascii="Arial" w:hAnsi="Arial"/>
                <w:snapToGrid w:val="0"/>
                <w:color w:val="000000"/>
              </w:rPr>
            </w:pPr>
            <w:r>
              <w:rPr>
                <w:rFonts w:ascii="Arial" w:hAnsi="Arial"/>
                <w:snapToGrid w:val="0"/>
                <w:color w:val="000000"/>
              </w:rPr>
              <w:t>≤2.0</w:t>
            </w:r>
          </w:p>
        </w:tc>
      </w:tr>
      <w:tr w14:paraId="65B3F0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0F2C9C0F">
            <w:pPr>
              <w:pStyle w:val="133"/>
              <w:rPr>
                <w:rFonts w:ascii="Arial" w:hAnsi="Arial"/>
                <w:snapToGrid w:val="0"/>
                <w:color w:val="000000"/>
              </w:rPr>
            </w:pPr>
            <w:r>
              <w:rPr>
                <w:rFonts w:ascii="Arial" w:hAnsi="Arial"/>
                <w:snapToGrid w:val="0"/>
                <w:color w:val="000000"/>
              </w:rPr>
              <w:t>CaO+MgO/%</w:t>
            </w:r>
          </w:p>
        </w:tc>
        <w:tc>
          <w:tcPr>
            <w:tcW w:w="4075" w:type="dxa"/>
            <w:vAlign w:val="center"/>
          </w:tcPr>
          <w:p w14:paraId="3D6BA55F">
            <w:pPr>
              <w:pStyle w:val="133"/>
              <w:rPr>
                <w:rFonts w:ascii="Arial" w:hAnsi="Arial"/>
                <w:snapToGrid w:val="0"/>
                <w:color w:val="000000"/>
              </w:rPr>
            </w:pPr>
            <w:r>
              <w:rPr>
                <w:rFonts w:ascii="Arial" w:hAnsi="Arial"/>
                <w:snapToGrid w:val="0"/>
                <w:color w:val="000000"/>
              </w:rPr>
              <w:t>≤2.0</w:t>
            </w:r>
          </w:p>
        </w:tc>
      </w:tr>
      <w:tr w14:paraId="584AC2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4323E08E">
            <w:pPr>
              <w:pStyle w:val="133"/>
              <w:rPr>
                <w:rFonts w:ascii="Arial" w:hAnsi="Arial"/>
                <w:snapToGrid w:val="0"/>
                <w:color w:val="000000"/>
              </w:rPr>
            </w:pPr>
            <w:r>
              <w:rPr>
                <w:rFonts w:ascii="Arial" w:hAnsi="Arial"/>
                <w:snapToGrid w:val="0"/>
                <w:color w:val="000000"/>
              </w:rPr>
              <w:t>K</w:t>
            </w:r>
            <w:r>
              <w:rPr>
                <w:rFonts w:ascii="Arial" w:hAnsi="Arial"/>
                <w:snapToGrid w:val="0"/>
                <w:color w:val="000000"/>
                <w:vertAlign w:val="subscript"/>
              </w:rPr>
              <w:t>2</w:t>
            </w:r>
            <w:r>
              <w:rPr>
                <w:rFonts w:ascii="Arial" w:hAnsi="Arial"/>
                <w:snapToGrid w:val="0"/>
                <w:color w:val="000000"/>
              </w:rPr>
              <w:t>O+Na</w:t>
            </w:r>
            <w:r>
              <w:rPr>
                <w:rFonts w:ascii="Arial" w:hAnsi="Arial"/>
                <w:snapToGrid w:val="0"/>
                <w:color w:val="000000"/>
                <w:vertAlign w:val="subscript"/>
              </w:rPr>
              <w:t>2</w:t>
            </w:r>
            <w:r>
              <w:rPr>
                <w:rFonts w:ascii="Arial" w:hAnsi="Arial"/>
                <w:snapToGrid w:val="0"/>
                <w:color w:val="000000"/>
              </w:rPr>
              <w:t>O/%</w:t>
            </w:r>
          </w:p>
        </w:tc>
        <w:tc>
          <w:tcPr>
            <w:tcW w:w="4075" w:type="dxa"/>
            <w:vAlign w:val="center"/>
          </w:tcPr>
          <w:p w14:paraId="526A6FAB">
            <w:pPr>
              <w:pStyle w:val="133"/>
              <w:rPr>
                <w:rFonts w:ascii="Arial" w:hAnsi="Arial"/>
                <w:snapToGrid w:val="0"/>
                <w:color w:val="000000"/>
              </w:rPr>
            </w:pPr>
            <w:r>
              <w:rPr>
                <w:rFonts w:ascii="Arial" w:hAnsi="Arial"/>
                <w:snapToGrid w:val="0"/>
                <w:color w:val="000000"/>
              </w:rPr>
              <w:t>≤2.0</w:t>
            </w:r>
          </w:p>
        </w:tc>
      </w:tr>
      <w:tr w14:paraId="3C9371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47249C5E">
            <w:pPr>
              <w:pStyle w:val="133"/>
              <w:rPr>
                <w:rFonts w:ascii="Arial" w:hAnsi="Arial"/>
                <w:snapToGrid w:val="0"/>
                <w:color w:val="000000"/>
              </w:rPr>
            </w:pPr>
            <w:r>
              <w:rPr>
                <w:rFonts w:ascii="Arial" w:hAnsi="Arial"/>
                <w:snapToGrid w:val="0"/>
                <w:color w:val="000000"/>
              </w:rPr>
              <w:t>C/%</w:t>
            </w:r>
          </w:p>
        </w:tc>
        <w:tc>
          <w:tcPr>
            <w:tcW w:w="4075" w:type="dxa"/>
            <w:vAlign w:val="center"/>
          </w:tcPr>
          <w:p w14:paraId="628FAAAC">
            <w:pPr>
              <w:pStyle w:val="133"/>
              <w:rPr>
                <w:rFonts w:ascii="Arial" w:hAnsi="Arial"/>
                <w:snapToGrid w:val="0"/>
                <w:color w:val="000000"/>
              </w:rPr>
            </w:pPr>
            <w:r>
              <w:rPr>
                <w:rFonts w:ascii="Arial" w:hAnsi="Arial"/>
                <w:snapToGrid w:val="0"/>
                <w:color w:val="000000"/>
              </w:rPr>
              <w:t>≤2.0</w:t>
            </w:r>
          </w:p>
        </w:tc>
      </w:tr>
      <w:tr w14:paraId="289A57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7F6BE216">
            <w:pPr>
              <w:pStyle w:val="133"/>
              <w:rPr>
                <w:rFonts w:ascii="Arial" w:hAnsi="Arial"/>
                <w:snapToGrid w:val="0"/>
                <w:color w:val="000000"/>
              </w:rPr>
            </w:pPr>
            <w:r>
              <w:rPr>
                <w:rFonts w:ascii="Arial" w:hAnsi="Arial"/>
                <w:snapToGrid w:val="0"/>
                <w:color w:val="000000"/>
              </w:rPr>
              <w:t>Cl</w:t>
            </w:r>
            <w:r>
              <w:rPr>
                <w:rFonts w:hint="eastAsia" w:ascii="Arial" w:hAnsi="Arial"/>
                <w:snapToGrid w:val="0"/>
                <w:color w:val="000000"/>
                <w:vertAlign w:val="superscript"/>
              </w:rPr>
              <w:t>-</w:t>
            </w:r>
            <w:r>
              <w:rPr>
                <w:rFonts w:ascii="Arial" w:hAnsi="Arial"/>
                <w:snapToGrid w:val="0"/>
                <w:color w:val="000000"/>
              </w:rPr>
              <w:t>/%</w:t>
            </w:r>
          </w:p>
        </w:tc>
        <w:tc>
          <w:tcPr>
            <w:tcW w:w="4075" w:type="dxa"/>
            <w:vAlign w:val="center"/>
          </w:tcPr>
          <w:p w14:paraId="68CD5748">
            <w:pPr>
              <w:pStyle w:val="133"/>
              <w:rPr>
                <w:rFonts w:ascii="Arial" w:hAnsi="Arial"/>
                <w:snapToGrid w:val="0"/>
                <w:color w:val="000000"/>
              </w:rPr>
            </w:pPr>
            <w:r>
              <w:rPr>
                <w:rFonts w:ascii="Arial" w:hAnsi="Arial"/>
                <w:snapToGrid w:val="0"/>
                <w:color w:val="000000"/>
              </w:rPr>
              <w:t>≤2.0</w:t>
            </w:r>
          </w:p>
        </w:tc>
      </w:tr>
      <w:tr w14:paraId="3C5B71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441E63E4">
            <w:pPr>
              <w:pStyle w:val="133"/>
              <w:rPr>
                <w:rFonts w:ascii="Arial" w:hAnsi="Arial"/>
                <w:snapToGrid w:val="0"/>
                <w:color w:val="000000"/>
              </w:rPr>
            </w:pPr>
            <w:r>
              <w:rPr>
                <w:rFonts w:hint="eastAsia" w:ascii="Arial" w:hAnsi="Arial"/>
                <w:snapToGrid w:val="0"/>
                <w:color w:val="000000"/>
              </w:rPr>
              <w:t>p</w:t>
            </w:r>
            <w:r>
              <w:rPr>
                <w:rFonts w:ascii="Arial" w:hAnsi="Arial"/>
                <w:snapToGrid w:val="0"/>
                <w:color w:val="000000"/>
              </w:rPr>
              <w:t>H值</w:t>
            </w:r>
          </w:p>
        </w:tc>
        <w:tc>
          <w:tcPr>
            <w:tcW w:w="4075" w:type="dxa"/>
            <w:vAlign w:val="center"/>
          </w:tcPr>
          <w:p w14:paraId="5CEAF23A">
            <w:pPr>
              <w:pStyle w:val="133"/>
              <w:rPr>
                <w:rFonts w:ascii="Arial" w:hAnsi="Arial"/>
                <w:snapToGrid w:val="0"/>
                <w:color w:val="000000"/>
              </w:rPr>
            </w:pPr>
            <w:r>
              <w:rPr>
                <w:rFonts w:ascii="Arial" w:hAnsi="Arial"/>
                <w:snapToGrid w:val="0"/>
                <w:color w:val="000000"/>
              </w:rPr>
              <w:t>4.0~8.5</w:t>
            </w:r>
          </w:p>
        </w:tc>
      </w:tr>
      <w:tr w14:paraId="17239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1B0E46EA">
            <w:pPr>
              <w:pStyle w:val="133"/>
              <w:rPr>
                <w:rFonts w:ascii="Arial" w:hAnsi="Arial"/>
                <w:snapToGrid w:val="0"/>
                <w:color w:val="000000"/>
              </w:rPr>
            </w:pPr>
            <w:r>
              <w:rPr>
                <w:rFonts w:ascii="Arial" w:hAnsi="Arial"/>
                <w:snapToGrid w:val="0"/>
                <w:color w:val="000000"/>
              </w:rPr>
              <w:t>灼烧减量/%</w:t>
            </w:r>
          </w:p>
        </w:tc>
        <w:tc>
          <w:tcPr>
            <w:tcW w:w="4075" w:type="dxa"/>
            <w:vAlign w:val="center"/>
          </w:tcPr>
          <w:p w14:paraId="0DC34465">
            <w:pPr>
              <w:pStyle w:val="133"/>
              <w:rPr>
                <w:rFonts w:ascii="Arial" w:hAnsi="Arial"/>
                <w:snapToGrid w:val="0"/>
                <w:color w:val="000000"/>
              </w:rPr>
            </w:pPr>
            <w:r>
              <w:rPr>
                <w:rFonts w:ascii="Arial" w:hAnsi="Arial"/>
                <w:snapToGrid w:val="0"/>
                <w:color w:val="000000"/>
              </w:rPr>
              <w:t>≤3.0</w:t>
            </w:r>
          </w:p>
        </w:tc>
      </w:tr>
      <w:tr w14:paraId="43A97B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4A9D981A">
            <w:pPr>
              <w:pStyle w:val="133"/>
              <w:rPr>
                <w:rFonts w:ascii="Arial" w:hAnsi="Arial"/>
                <w:snapToGrid w:val="0"/>
                <w:color w:val="000000"/>
              </w:rPr>
            </w:pPr>
            <w:r>
              <w:rPr>
                <w:rFonts w:ascii="Arial" w:hAnsi="Arial"/>
                <w:snapToGrid w:val="0"/>
                <w:color w:val="000000"/>
              </w:rPr>
              <w:t>水分/%</w:t>
            </w:r>
          </w:p>
        </w:tc>
        <w:tc>
          <w:tcPr>
            <w:tcW w:w="4075" w:type="dxa"/>
            <w:vAlign w:val="center"/>
          </w:tcPr>
          <w:p w14:paraId="1AE0F87C">
            <w:pPr>
              <w:pStyle w:val="133"/>
              <w:rPr>
                <w:rFonts w:ascii="Arial" w:hAnsi="Arial"/>
                <w:snapToGrid w:val="0"/>
                <w:color w:val="000000"/>
              </w:rPr>
            </w:pPr>
            <w:r>
              <w:rPr>
                <w:rFonts w:ascii="Arial" w:hAnsi="Arial"/>
                <w:snapToGrid w:val="0"/>
                <w:color w:val="000000"/>
              </w:rPr>
              <w:t>≤2.5</w:t>
            </w:r>
          </w:p>
        </w:tc>
      </w:tr>
      <w:tr w14:paraId="652A06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57E53871">
            <w:pPr>
              <w:pStyle w:val="133"/>
              <w:rPr>
                <w:rFonts w:ascii="Arial" w:hAnsi="Arial"/>
                <w:snapToGrid w:val="0"/>
                <w:color w:val="000000"/>
              </w:rPr>
            </w:pPr>
            <w:r>
              <w:rPr>
                <w:rFonts w:ascii="Arial" w:hAnsi="Arial"/>
                <w:snapToGrid w:val="0"/>
                <w:color w:val="000000"/>
              </w:rPr>
              <w:t>比表面积/（</w:t>
            </w:r>
            <w:r>
              <w:rPr>
                <w:rFonts w:hint="eastAsia" w:ascii="Arial" w:hAnsi="Arial"/>
                <w:snapToGrid w:val="0"/>
                <w:color w:val="000000"/>
              </w:rPr>
              <w:t>m</w:t>
            </w:r>
            <w:r>
              <w:rPr>
                <w:rFonts w:hint="eastAsia" w:ascii="Arial" w:hAnsi="Arial"/>
                <w:snapToGrid w:val="0"/>
                <w:color w:val="000000"/>
                <w:vertAlign w:val="superscript"/>
              </w:rPr>
              <w:t>2</w:t>
            </w:r>
            <w:r>
              <w:rPr>
                <w:rFonts w:ascii="Arial" w:hAnsi="Arial"/>
                <w:snapToGrid w:val="0"/>
                <w:color w:val="000000"/>
              </w:rPr>
              <w:t>/g）</w:t>
            </w:r>
          </w:p>
        </w:tc>
        <w:tc>
          <w:tcPr>
            <w:tcW w:w="4075" w:type="dxa"/>
            <w:vAlign w:val="center"/>
          </w:tcPr>
          <w:p w14:paraId="0FB31B46">
            <w:pPr>
              <w:pStyle w:val="133"/>
              <w:rPr>
                <w:rFonts w:ascii="Arial" w:hAnsi="Arial"/>
                <w:snapToGrid w:val="0"/>
                <w:color w:val="000000"/>
              </w:rPr>
            </w:pPr>
            <w:r>
              <w:rPr>
                <w:rFonts w:ascii="Arial" w:hAnsi="Arial"/>
                <w:snapToGrid w:val="0"/>
                <w:color w:val="000000"/>
              </w:rPr>
              <w:t>≥15</w:t>
            </w:r>
          </w:p>
        </w:tc>
      </w:tr>
      <w:tr w14:paraId="012ECC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183CAE18">
            <w:pPr>
              <w:pStyle w:val="133"/>
              <w:rPr>
                <w:rFonts w:ascii="Arial" w:hAnsi="Arial"/>
                <w:snapToGrid w:val="0"/>
                <w:color w:val="000000"/>
              </w:rPr>
            </w:pPr>
            <w:r>
              <w:rPr>
                <w:rFonts w:ascii="Arial" w:hAnsi="Arial"/>
                <w:snapToGrid w:val="0"/>
                <w:color w:val="000000"/>
              </w:rPr>
              <w:t>45μm筛余量/%</w:t>
            </w:r>
          </w:p>
        </w:tc>
        <w:tc>
          <w:tcPr>
            <w:tcW w:w="4075" w:type="dxa"/>
            <w:vAlign w:val="center"/>
          </w:tcPr>
          <w:p w14:paraId="6AEF80D8">
            <w:pPr>
              <w:pStyle w:val="133"/>
              <w:rPr>
                <w:rFonts w:ascii="Arial" w:hAnsi="Arial"/>
                <w:snapToGrid w:val="0"/>
                <w:color w:val="000000"/>
              </w:rPr>
            </w:pPr>
            <w:r>
              <w:rPr>
                <w:rFonts w:ascii="Arial" w:hAnsi="Arial"/>
                <w:snapToGrid w:val="0"/>
                <w:color w:val="000000"/>
              </w:rPr>
              <w:t>≤3.0</w:t>
            </w:r>
          </w:p>
        </w:tc>
      </w:tr>
      <w:tr w14:paraId="63309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7B5B3E19">
            <w:pPr>
              <w:pStyle w:val="133"/>
              <w:rPr>
                <w:rFonts w:ascii="Arial" w:hAnsi="Arial"/>
                <w:snapToGrid w:val="0"/>
                <w:color w:val="000000"/>
              </w:rPr>
            </w:pPr>
            <w:r>
              <w:rPr>
                <w:rFonts w:ascii="Arial" w:hAnsi="Arial"/>
                <w:snapToGrid w:val="0"/>
                <w:color w:val="000000"/>
              </w:rPr>
              <w:t>火山灰活性指数（28d）/%</w:t>
            </w:r>
          </w:p>
        </w:tc>
        <w:tc>
          <w:tcPr>
            <w:tcW w:w="4075" w:type="dxa"/>
            <w:vAlign w:val="center"/>
          </w:tcPr>
          <w:p w14:paraId="766A32ED">
            <w:pPr>
              <w:pStyle w:val="133"/>
              <w:rPr>
                <w:rFonts w:ascii="Arial" w:hAnsi="Arial"/>
                <w:snapToGrid w:val="0"/>
                <w:color w:val="000000"/>
              </w:rPr>
            </w:pPr>
            <w:r>
              <w:rPr>
                <w:rFonts w:ascii="Arial" w:hAnsi="Arial"/>
                <w:snapToGrid w:val="0"/>
                <w:color w:val="000000"/>
              </w:rPr>
              <w:t>≥85</w:t>
            </w:r>
          </w:p>
        </w:tc>
      </w:tr>
      <w:tr w14:paraId="46D7CA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4075" w:type="dxa"/>
            <w:vAlign w:val="center"/>
          </w:tcPr>
          <w:p w14:paraId="5B3A2D23">
            <w:pPr>
              <w:pStyle w:val="133"/>
              <w:rPr>
                <w:rFonts w:ascii="Arial" w:hAnsi="Arial"/>
                <w:snapToGrid w:val="0"/>
                <w:color w:val="000000"/>
              </w:rPr>
            </w:pPr>
            <w:r>
              <w:rPr>
                <w:rFonts w:ascii="Arial" w:hAnsi="Arial"/>
                <w:snapToGrid w:val="0"/>
                <w:color w:val="000000"/>
              </w:rPr>
              <w:t>需水量比/%</w:t>
            </w:r>
          </w:p>
        </w:tc>
        <w:tc>
          <w:tcPr>
            <w:tcW w:w="4075" w:type="dxa"/>
            <w:vAlign w:val="center"/>
          </w:tcPr>
          <w:p w14:paraId="61E26F61">
            <w:pPr>
              <w:pStyle w:val="133"/>
              <w:rPr>
                <w:rFonts w:ascii="Arial" w:hAnsi="Arial"/>
                <w:snapToGrid w:val="0"/>
                <w:color w:val="000000"/>
              </w:rPr>
            </w:pPr>
            <w:r>
              <w:rPr>
                <w:rFonts w:ascii="Arial" w:hAnsi="Arial"/>
                <w:snapToGrid w:val="0"/>
                <w:color w:val="000000"/>
              </w:rPr>
              <w:t>≤125</w:t>
            </w:r>
          </w:p>
        </w:tc>
      </w:tr>
    </w:tbl>
    <w:p w14:paraId="5F6D8C89">
      <w:pPr>
        <w:pStyle w:val="133"/>
      </w:pPr>
    </w:p>
    <w:p w14:paraId="08B54D7F">
      <w:pPr>
        <w:pStyle w:val="3"/>
      </w:pPr>
      <w:bookmarkStart w:id="268" w:name="_Toc205291378"/>
      <w:r>
        <w:rPr>
          <w:rFonts w:hint="eastAsia"/>
        </w:rPr>
        <w:t>工艺方案</w:t>
      </w:r>
      <w:bookmarkEnd w:id="268"/>
    </w:p>
    <w:p w14:paraId="2E6ABFEE">
      <w:pPr>
        <w:pStyle w:val="117"/>
        <w:ind w:firstLine="480"/>
      </w:pPr>
      <w:r>
        <w:rPr>
          <w:rFonts w:hint="eastAsia"/>
        </w:rPr>
        <w:t>本项目兰炭生产线采用成熟的内热方形直立炭化炉工艺，副产荒煤气及筛下沫煤作为镁合金生产煅烧、还原、精炼等工段所需燃料。</w:t>
      </w:r>
    </w:p>
    <w:p w14:paraId="5051C92E">
      <w:pPr>
        <w:pStyle w:val="117"/>
        <w:ind w:firstLine="480"/>
      </w:pPr>
      <w:r>
        <w:rPr>
          <w:rFonts w:hint="eastAsia"/>
        </w:rPr>
        <w:t>年产5.6万t硅铁（还原剂）生产线采用成熟可靠的矿热电炉冶炼工艺，即硅石、兰炭和氧化铁皮按比例进行配料，送至矿热电炉，通过电极加热至1500℃以上进行还原反应制得熔融硅铁，浇入模具冷却，经破碎后，送至硅铁成品库。</w:t>
      </w:r>
    </w:p>
    <w:p w14:paraId="6C9FBAA2">
      <w:pPr>
        <w:pStyle w:val="117"/>
        <w:ind w:firstLine="480"/>
      </w:pPr>
      <w:r>
        <w:rPr>
          <w:rFonts w:hint="eastAsia" w:cs="Times New Roman"/>
        </w:rPr>
        <w:t>全厂</w:t>
      </w:r>
      <w:r>
        <w:rPr>
          <w:rFonts w:hint="eastAsia"/>
        </w:rPr>
        <w:t>工艺路线见图2</w:t>
      </w:r>
      <w:r>
        <w:t>.3-1</w:t>
      </w:r>
      <w:r>
        <w:rPr>
          <w:rFonts w:hint="eastAsia"/>
        </w:rPr>
        <w:t>。</w:t>
      </w:r>
    </w:p>
    <w:p w14:paraId="06D2CD19">
      <w:pPr>
        <w:pStyle w:val="133"/>
      </w:pPr>
    </w:p>
    <w:p w14:paraId="6012FCF1">
      <w:pPr>
        <w:pStyle w:val="3"/>
      </w:pPr>
      <w:bookmarkStart w:id="269" w:name="_Toc205291379"/>
      <w:bookmarkStart w:id="270" w:name="_Hlk131171228"/>
      <w:bookmarkStart w:id="271" w:name="_Hlk34834479"/>
      <w:bookmarkStart w:id="272" w:name="_Toc25520"/>
      <w:r>
        <w:rPr>
          <w:rFonts w:hint="eastAsia"/>
        </w:rPr>
        <w:t>兰炭生产线</w:t>
      </w:r>
      <w:bookmarkEnd w:id="269"/>
    </w:p>
    <w:p w14:paraId="537E809E">
      <w:pPr>
        <w:ind w:firstLine="480"/>
      </w:pPr>
      <w:r>
        <w:rPr>
          <w:rFonts w:hint="eastAsia"/>
        </w:rPr>
        <w:t>兰炭生产线拆除现有</w:t>
      </w:r>
      <w:r>
        <w:t>4</w:t>
      </w:r>
      <w:r>
        <w:rPr>
          <w:rFonts w:hint="eastAsia"/>
        </w:rPr>
        <w:t>×</w:t>
      </w:r>
      <w:r>
        <w:t>7.5</w:t>
      </w:r>
      <w:r>
        <w:rPr>
          <w:rFonts w:hint="eastAsia"/>
        </w:rPr>
        <w:t>万t/a直立式兰炭炉更换为</w:t>
      </w:r>
      <w:r>
        <w:t>2</w:t>
      </w:r>
      <w:r>
        <w:rPr>
          <w:rFonts w:hint="eastAsia"/>
        </w:rPr>
        <w:t>×</w:t>
      </w:r>
      <w:r>
        <w:t>15</w:t>
      </w:r>
      <w:r>
        <w:rPr>
          <w:rFonts w:hint="eastAsia"/>
        </w:rPr>
        <w:t>万t/a内热方形直立炭化炉，同时将在建</w:t>
      </w:r>
      <w:r>
        <w:t>4</w:t>
      </w:r>
      <w:r>
        <w:rPr>
          <w:rFonts w:hint="eastAsia"/>
        </w:rPr>
        <w:t>×</w:t>
      </w:r>
      <w:r>
        <w:t>7.5</w:t>
      </w:r>
      <w:r>
        <w:rPr>
          <w:rFonts w:hint="eastAsia"/>
        </w:rPr>
        <w:t>万t/a直立式兰炭炉改造为</w:t>
      </w:r>
      <w:r>
        <w:t>2</w:t>
      </w:r>
      <w:r>
        <w:rPr>
          <w:rFonts w:hint="eastAsia"/>
        </w:rPr>
        <w:t>×</w:t>
      </w:r>
      <w:r>
        <w:t>15</w:t>
      </w:r>
      <w:r>
        <w:rPr>
          <w:rFonts w:hint="eastAsia"/>
        </w:rPr>
        <w:t>万t/a内热方形直立炭化炉，本项目共建设4×</w:t>
      </w:r>
      <w:r>
        <w:t>15</w:t>
      </w:r>
      <w:r>
        <w:rPr>
          <w:rFonts w:hint="eastAsia"/>
        </w:rPr>
        <w:t>万t/a内热方形直立炭化炉及配套公辅设施。改造后的兰炭生产线年产60万t/a兰炭，采用水冷壁环保节能型蒸汽熄焦技术，在能耗、环保等方面达到国内先进指标。</w:t>
      </w:r>
    </w:p>
    <w:p w14:paraId="371909C9">
      <w:pPr>
        <w:ind w:firstLine="480"/>
      </w:pPr>
      <w:r>
        <w:rPr>
          <w:rFonts w:hint="eastAsia"/>
        </w:rPr>
        <w:t>兰炭生产线建设内容包括：建设4×</w:t>
      </w:r>
      <w:r>
        <w:t>15</w:t>
      </w:r>
      <w:r>
        <w:rPr>
          <w:rFonts w:hint="eastAsia"/>
        </w:rPr>
        <w:t>万t/a内热方形直立炭化炉；新建一座原煤破碎车间；扩建煤气净化系统，取消荒煤气PDS脱硫装置，煤气处理能力达到</w:t>
      </w:r>
      <w:r>
        <w:t>15</w:t>
      </w:r>
      <w:r>
        <w:rPr>
          <w:rFonts w:hint="eastAsia"/>
        </w:rPr>
        <w:t>5</w:t>
      </w:r>
      <w:r>
        <w:t>000N</w:t>
      </w:r>
      <w:r>
        <w:rPr>
          <w:rFonts w:hint="eastAsia"/>
        </w:rPr>
        <w:t>m³</w:t>
      </w:r>
      <w:r>
        <w:t>/h</w:t>
      </w:r>
      <w:r>
        <w:rPr>
          <w:rFonts w:hint="eastAsia"/>
        </w:rPr>
        <w:t>；新建</w:t>
      </w:r>
      <w:r>
        <w:t>8</w:t>
      </w:r>
      <w:r>
        <w:rPr>
          <w:rFonts w:hint="eastAsia"/>
        </w:rPr>
        <w:t>台冷环水罐和</w:t>
      </w:r>
      <w:r>
        <w:t>8</w:t>
      </w:r>
      <w:r>
        <w:rPr>
          <w:rFonts w:hint="eastAsia"/>
        </w:rPr>
        <w:t>台热环水罐；新建4台45</w:t>
      </w:r>
      <w:r>
        <w:t>00m</w:t>
      </w:r>
      <w:r>
        <w:rPr>
          <w:rFonts w:hint="eastAsia"/>
        </w:rPr>
        <w:t>³焦油储罐。现有6台1</w:t>
      </w:r>
      <w:r>
        <w:t>000m</w:t>
      </w:r>
      <w:r>
        <w:rPr>
          <w:rFonts w:hint="eastAsia"/>
        </w:rPr>
        <w:t>³焦油储罐用途改为3台消防水罐及3台清水罐。</w:t>
      </w:r>
    </w:p>
    <w:p w14:paraId="56993C6F">
      <w:pPr>
        <w:ind w:firstLine="480"/>
      </w:pPr>
      <w:r>
        <w:rPr>
          <w:rFonts w:hint="eastAsia"/>
        </w:rPr>
        <w:t>兰炭生产线产出60万t/a兰炭（干基55.2万t/a），其中5.6万t/a用于硅铁生产线生产硅铁合金，另有54.4万t/a外售；产出煤气12.16亿m³/a，其中4.72亿m³/a用于炭化炉加热，其他7.44亿m³/a用于厂内兰炭烘干、废水焚烧、燃气锅炉及</w:t>
      </w:r>
      <w:bookmarkStart w:id="273" w:name="OLE_LINK13"/>
      <w:r>
        <w:rPr>
          <w:rFonts w:hint="eastAsia"/>
        </w:rPr>
        <w:t>镁基新材料及制品生产线</w:t>
      </w:r>
      <w:bookmarkEnd w:id="273"/>
      <w:r>
        <w:rPr>
          <w:rFonts w:hint="eastAsia"/>
        </w:rPr>
        <w:t>；产出9.7万t/a煤焦油外售。</w:t>
      </w:r>
    </w:p>
    <w:p w14:paraId="4FB0550D">
      <w:pPr>
        <w:ind w:firstLine="480"/>
      </w:pPr>
      <w:r>
        <w:rPr>
          <w:rFonts w:hint="eastAsia"/>
        </w:rPr>
        <w:t>兰炭</w:t>
      </w:r>
      <w:r>
        <w:rPr>
          <w:rFonts w:hint="eastAsia"/>
          <w:lang w:val="zh-CN"/>
        </w:rPr>
        <w:t>质量</w:t>
      </w:r>
      <w:r>
        <w:rPr>
          <w:lang w:val="zh-CN"/>
        </w:rPr>
        <w:t>执行</w:t>
      </w:r>
      <w:r>
        <w:rPr>
          <w:rFonts w:hint="eastAsia"/>
          <w:lang w:val="zh-CN"/>
        </w:rPr>
        <w:t>《兰炭产品分类及质量要求》（GB/T 25211-2023）的用作铁合金等冶炼用还原剂的兰炭质量指标。煤焦油质量</w:t>
      </w:r>
      <w:r>
        <w:rPr>
          <w:lang w:val="zh-CN"/>
        </w:rPr>
        <w:t>执行《中低温煤焦油》（DB61/T995-2015）</w:t>
      </w:r>
      <w:r>
        <w:rPr>
          <w:rFonts w:hint="eastAsia"/>
          <w:lang w:val="zh-CN"/>
        </w:rPr>
        <w:t>。</w:t>
      </w:r>
    </w:p>
    <w:p w14:paraId="3ABBAEB0">
      <w:pPr>
        <w:pStyle w:val="138"/>
        <w:rPr>
          <w:rFonts w:hint="eastAsia"/>
        </w:rPr>
      </w:pPr>
      <w:r>
        <w:rPr>
          <w:rFonts w:hint="eastAsia"/>
        </w:rPr>
        <w:t>工艺流程及产污环节</w:t>
      </w:r>
    </w:p>
    <w:p w14:paraId="4D295D0B">
      <w:pPr>
        <w:ind w:firstLine="480"/>
      </w:pPr>
      <w:r>
        <w:rPr>
          <w:rFonts w:hint="eastAsia"/>
        </w:rPr>
        <w:t>本装置由备煤单元、炭化单元、筛焦单元、煤气净化单元、焦油储运单元、</w:t>
      </w:r>
      <w:r>
        <w:t>VOC</w:t>
      </w:r>
      <w:r>
        <w:rPr>
          <w:rFonts w:hint="eastAsia"/>
        </w:rPr>
        <w:t>系统组成，公辅设施依托总厂。</w:t>
      </w:r>
    </w:p>
    <w:p w14:paraId="46E3574C">
      <w:pPr>
        <w:pStyle w:val="944"/>
      </w:pPr>
      <w:r>
        <w:rPr>
          <w:rFonts w:hint="eastAsia"/>
        </w:rPr>
        <w:t>备煤单元</w:t>
      </w:r>
    </w:p>
    <w:p w14:paraId="1A98D275">
      <w:pPr>
        <w:ind w:firstLine="480"/>
      </w:pPr>
      <w:r>
        <w:rPr>
          <w:rFonts w:hint="eastAsia"/>
        </w:rPr>
        <w:t>内热式炭化炉生产兰炭所用的原料煤要求为</w:t>
      </w:r>
      <w:r>
        <w:t>20</w:t>
      </w:r>
      <w:r>
        <w:rPr>
          <w:rFonts w:hint="eastAsia"/>
        </w:rPr>
        <w:t>～</w:t>
      </w:r>
      <w:r>
        <w:t>80mm</w:t>
      </w:r>
      <w:r>
        <w:rPr>
          <w:rFonts w:hint="eastAsia"/>
        </w:rPr>
        <w:t>的块煤。备煤工段采用机械化运煤、破碎、筛分、布料，减少操作人员数量，改善操作条件。整个车间由贮煤棚、原煤破碎车间、胶带输送机、转运站和筛煤楼组成。</w:t>
      </w:r>
    </w:p>
    <w:p w14:paraId="73CE8FCB">
      <w:pPr>
        <w:ind w:firstLine="480"/>
      </w:pPr>
      <w:r>
        <w:rPr>
          <w:rFonts w:hint="eastAsia"/>
        </w:rPr>
        <w:t>原料煤由原煤破碎车间的受煤坑卸车系统送入破碎装置，将块煤破碎后经胶带机送至现有贮煤棚内储存。煤棚内的原料煤经胶带机输送至现有筛煤楼筛分，筛下粉煤通过胶带输送机直接送到镁基新材料及制品生产线粉煤棚，筛上合格块煤经由</w:t>
      </w:r>
      <w:r>
        <w:t>M2</w:t>
      </w:r>
      <w:r>
        <w:rPr>
          <w:rFonts w:hint="eastAsia"/>
        </w:rPr>
        <w:t>胶带机运至立式炉炉顶煤仓。煤仓有多个下料口，块煤经放料阀放入胶带式布料机上，分别供应煤仓下的炭化炉。筛煤楼是将由煤矿运来的块煤在装卸倒运过程中产生的＜</w:t>
      </w:r>
      <w:r>
        <w:t>20mm</w:t>
      </w:r>
      <w:r>
        <w:rPr>
          <w:rFonts w:hint="eastAsia"/>
        </w:rPr>
        <w:t>的粉煤筛除，筛煤楼内设两台圆振动筛，生产能力为</w:t>
      </w:r>
      <w:r>
        <w:t>175t/h</w:t>
      </w:r>
      <w:r>
        <w:rPr>
          <w:rFonts w:hint="eastAsia"/>
        </w:rPr>
        <w:t>，一用一备。</w:t>
      </w:r>
    </w:p>
    <w:p w14:paraId="566F4EEA">
      <w:pPr>
        <w:ind w:firstLine="480"/>
      </w:pPr>
      <w:r>
        <w:rPr>
          <w:rFonts w:hint="eastAsia"/>
        </w:rPr>
        <w:t>为了避免块煤装卸过程中产生粉尘污染，煤场设置</w:t>
      </w:r>
      <w:bookmarkStart w:id="274" w:name="OLE_LINK25"/>
      <w:r>
        <w:rPr>
          <w:rFonts w:hint="eastAsia"/>
        </w:rPr>
        <w:t>贮煤棚</w:t>
      </w:r>
      <w:bookmarkEnd w:id="274"/>
      <w:r>
        <w:rPr>
          <w:rFonts w:hint="eastAsia"/>
        </w:rPr>
        <w:t>，分区贮存块煤与粉煤，贮煤棚煤场面积</w:t>
      </w:r>
      <w:r>
        <w:t>2.32</w:t>
      </w:r>
      <w:r>
        <w:rPr>
          <w:rFonts w:hint="eastAsia"/>
        </w:rPr>
        <w:t>万㎡，能保证炭化炉近</w:t>
      </w:r>
      <w:r>
        <w:t>7</w:t>
      </w:r>
      <w:r>
        <w:rPr>
          <w:rFonts w:hint="eastAsia"/>
        </w:rPr>
        <w:t>d的生产用煤量。</w:t>
      </w:r>
    </w:p>
    <w:p w14:paraId="07333DB4">
      <w:pPr>
        <w:pStyle w:val="944"/>
      </w:pPr>
      <w:r>
        <w:rPr>
          <w:rFonts w:hint="eastAsia"/>
        </w:rPr>
        <w:t>炭化单元</w:t>
      </w:r>
    </w:p>
    <w:p w14:paraId="53D2DBEF">
      <w:pPr>
        <w:ind w:firstLine="480"/>
      </w:pPr>
      <w:r>
        <w:rPr>
          <w:rFonts w:hint="eastAsia"/>
        </w:rPr>
        <w:t>兰炭生产线建设4台15万t/a内热式炭化炉，采用气体热载体低温干馏炭化工艺，炉型采用内热式方型炭化炉。炭化工段为硅铁合金生产线提供兰炭作为原料，为镁基新材料及制品生产线提供煤气作为燃料。</w:t>
      </w:r>
    </w:p>
    <w:p w14:paraId="5B4C4CD8">
      <w:pPr>
        <w:ind w:firstLine="480"/>
      </w:pPr>
      <w:r>
        <w:rPr>
          <w:rFonts w:hint="eastAsia"/>
        </w:rPr>
        <w:t>从备煤系统来的合格原料（</w:t>
      </w:r>
      <w:r>
        <w:t>20</w:t>
      </w:r>
      <w:r>
        <w:rPr>
          <w:rFonts w:hint="eastAsia"/>
        </w:rPr>
        <w:t>～</w:t>
      </w:r>
      <w:r>
        <w:t>80mm</w:t>
      </w:r>
      <w:r>
        <w:rPr>
          <w:rFonts w:hint="eastAsia"/>
        </w:rPr>
        <w:t>）煤送炉顶煤仓（炉顶煤仓储煤量约</w:t>
      </w:r>
      <w:r>
        <w:t>600</w:t>
      </w:r>
      <w:r>
        <w:rPr>
          <w:rFonts w:hint="eastAsia"/>
        </w:rPr>
        <w:t>吨），经仓下插板阀落入炉顶四条可逆配仓输送皮带，这四条可逆配仓输送皮带机在炉顶来回移动，定点卸料，将合格原料煤经加煤上阀卸入中间料仓，中间料仓和辅助煤箱之间安装加煤下阀，通过两道加煤阀交替开关，将煤装入炭化炉。加入炭化炉的块煤自上而下移落，与混合燃烧室送入的高温废气逆流接触。炭化室的上部为预热段，块煤在此段被加热到</w:t>
      </w:r>
      <w:r>
        <w:t>300</w:t>
      </w:r>
      <w:r>
        <w:rPr>
          <w:rFonts w:hint="eastAsia"/>
        </w:rPr>
        <w:t>℃左右；接着进入炭化室中部的干馏段，块煤在此段被加热到</w:t>
      </w:r>
      <w:r>
        <w:t>650</w:t>
      </w:r>
      <w:r>
        <w:rPr>
          <w:rFonts w:hint="eastAsia"/>
        </w:rPr>
        <w:t>℃左右，并被干馏为兰炭；</w:t>
      </w:r>
      <w:r>
        <w:t>兰炭经炭化室出料口底部水冷壁冷却降温至250℃，然后经推焦杆推入熄焦溜槽，采用蒸汽进行熄焦。</w:t>
      </w:r>
      <w:r>
        <w:rPr>
          <w:rFonts w:hint="eastAsia"/>
          <w:szCs w:val="32"/>
        </w:rPr>
        <w:t>熄焦后的</w:t>
      </w:r>
      <w:r>
        <w:rPr>
          <w:rFonts w:hint="eastAsia"/>
        </w:rPr>
        <w:t>兰炭由刮板机输送至兰炭皮带机。兰炭通过推焦机推落至水冷壁换热后产生的</w:t>
      </w:r>
      <w:r>
        <w:t>1.0MPa</w:t>
      </w:r>
      <w:r>
        <w:rPr>
          <w:rFonts w:hint="eastAsia"/>
        </w:rPr>
        <w:t>的蒸汽送至蒸汽管网。</w:t>
      </w:r>
    </w:p>
    <w:p w14:paraId="192CDF53">
      <w:pPr>
        <w:ind w:firstLine="480"/>
      </w:pPr>
      <w:r>
        <w:rPr>
          <w:rFonts w:hint="eastAsia"/>
        </w:rPr>
        <w:t>炭化炉加热用的煤气是经煤气净化单元净化和冷却后的回炉煤气。空气由离心风机鼓入炭化炉内，煤气和空气混合后进入燃烧室燃烧，燃烧产生高温废气，利用高温烟气的热量将煤料进行热解。煤热解过程中产生的荒煤气与进入炭化室的高温废气混合后，荒煤气经上升管、桥管进入集气槽，</w:t>
      </w:r>
      <w:r>
        <w:t>80</w:t>
      </w:r>
      <w:r>
        <w:rPr>
          <w:rFonts w:hint="eastAsia"/>
        </w:rPr>
        <w:t>℃左右的混合气在桥管和集气槽内经循环氨水喷洒被冷却至</w:t>
      </w:r>
      <w:r>
        <w:t>70</w:t>
      </w:r>
      <w:r>
        <w:rPr>
          <w:rFonts w:hint="eastAsia"/>
        </w:rPr>
        <w:t>℃左右。荒煤气和循环氨水送至煤气净化工段。</w:t>
      </w:r>
    </w:p>
    <w:p w14:paraId="6980395C">
      <w:pPr>
        <w:ind w:firstLine="480"/>
      </w:pPr>
      <w:r>
        <w:t>炭化炉出焦落料口、推焦刮板机、输焦地沟、输焦斜皮带</w:t>
      </w:r>
      <w:r>
        <w:rPr>
          <w:rFonts w:hint="eastAsia"/>
        </w:rPr>
        <w:t>废气经密闭空间负压收集后送1#VOCs治理装置处理后排放。</w:t>
      </w:r>
    </w:p>
    <w:p w14:paraId="77255FD3">
      <w:pPr>
        <w:pStyle w:val="944"/>
      </w:pPr>
      <w:r>
        <w:rPr>
          <w:rFonts w:hint="eastAsia"/>
        </w:rPr>
        <w:t>筛焦单元</w:t>
      </w:r>
    </w:p>
    <w:p w14:paraId="6FDA26F2">
      <w:pPr>
        <w:ind w:firstLine="480"/>
      </w:pPr>
      <w:r>
        <w:rPr>
          <w:rFonts w:hint="eastAsia"/>
        </w:rPr>
        <w:t>兰炭经缓冲仓下方的放料阀放料至</w:t>
      </w:r>
      <w:r>
        <w:t>J1</w:t>
      </w:r>
      <w:r>
        <w:rPr>
          <w:rFonts w:hint="eastAsia"/>
        </w:rPr>
        <w:t>皮带机（新建），经</w:t>
      </w:r>
      <w:r>
        <w:t>3-1#</w:t>
      </w:r>
      <w:r>
        <w:rPr>
          <w:rFonts w:hint="eastAsia"/>
        </w:rPr>
        <w:t>转运站转送到</w:t>
      </w:r>
      <w:r>
        <w:t>J2</w:t>
      </w:r>
      <w:r>
        <w:rPr>
          <w:rFonts w:hint="eastAsia"/>
        </w:rPr>
        <w:t>皮带机（新建），由三通分料器下至振动筛，振动筛一备一用，筛分粒度分为兰炭末</w:t>
      </w:r>
      <w:r>
        <w:t>（</w:t>
      </w:r>
      <w:r>
        <w:rPr>
          <w:rFonts w:hint="eastAsia"/>
        </w:rPr>
        <w:t>＜</w:t>
      </w:r>
      <w:r>
        <w:t>5mm）</w:t>
      </w:r>
      <w:r>
        <w:rPr>
          <w:rFonts w:hint="eastAsia"/>
        </w:rPr>
        <w:t>、小粒兰炭</w:t>
      </w:r>
      <w:r>
        <w:t>（5</w:t>
      </w:r>
      <w:r>
        <w:rPr>
          <w:rFonts w:hint="eastAsia"/>
        </w:rPr>
        <w:t>～</w:t>
      </w:r>
      <w:r>
        <w:t>15mm）</w:t>
      </w:r>
      <w:r>
        <w:rPr>
          <w:rFonts w:hint="eastAsia"/>
        </w:rPr>
        <w:t>、中粒兰炭</w:t>
      </w:r>
      <w:r>
        <w:t>（15</w:t>
      </w:r>
      <w:r>
        <w:rPr>
          <w:rFonts w:hint="eastAsia"/>
        </w:rPr>
        <w:t>～</w:t>
      </w:r>
      <w:r>
        <w:t>25mm）</w:t>
      </w:r>
      <w:r>
        <w:rPr>
          <w:rFonts w:hint="eastAsia"/>
        </w:rPr>
        <w:t>、大粒兰炭</w:t>
      </w:r>
      <w:r>
        <w:t>（</w:t>
      </w:r>
      <w:r>
        <w:rPr>
          <w:rFonts w:hint="eastAsia"/>
        </w:rPr>
        <w:t>＞</w:t>
      </w:r>
      <w:r>
        <w:t>25mm）</w:t>
      </w:r>
      <w:r>
        <w:rPr>
          <w:rFonts w:hint="eastAsia"/>
        </w:rPr>
        <w:t>四种粒度等级的成品兰炭；大粒兰炭经溜槽落入带卸料车的</w:t>
      </w:r>
      <w:r>
        <w:t>J8</w:t>
      </w:r>
      <w:r>
        <w:rPr>
          <w:rFonts w:hint="eastAsia"/>
        </w:rPr>
        <w:t>皮带机至大粒堆场布料，中粒兰炭经溜槽落入</w:t>
      </w:r>
      <w:r>
        <w:t>J4</w:t>
      </w:r>
      <w:r>
        <w:rPr>
          <w:rFonts w:hint="eastAsia"/>
        </w:rPr>
        <w:t>皮带机，经</w:t>
      </w:r>
      <w:r>
        <w:t>3-3#</w:t>
      </w:r>
      <w:r>
        <w:rPr>
          <w:rFonts w:hint="eastAsia"/>
        </w:rPr>
        <w:t>转运站转运至带卸料车的</w:t>
      </w:r>
      <w:r>
        <w:t xml:space="preserve">J7 </w:t>
      </w:r>
      <w:r>
        <w:rPr>
          <w:rFonts w:hint="eastAsia"/>
        </w:rPr>
        <w:t>皮带机至中粒堆场布料，小粒兰炭经溜槽落入</w:t>
      </w:r>
      <w:r>
        <w:t>J5</w:t>
      </w:r>
      <w:r>
        <w:rPr>
          <w:rFonts w:hint="eastAsia"/>
        </w:rPr>
        <w:t>皮带机，经</w:t>
      </w:r>
      <w:r>
        <w:t>3-2#</w:t>
      </w:r>
      <w:r>
        <w:rPr>
          <w:rFonts w:hint="eastAsia"/>
        </w:rPr>
        <w:t>转运站转运至带卸料车的</w:t>
      </w:r>
      <w:r>
        <w:t>J6</w:t>
      </w:r>
      <w:r>
        <w:rPr>
          <w:rFonts w:hint="eastAsia"/>
        </w:rPr>
        <w:t>皮带机至小粒堆场布料，兰炭末经溜槽落入</w:t>
      </w:r>
      <w:r>
        <w:t>J3</w:t>
      </w:r>
      <w:r>
        <w:rPr>
          <w:rFonts w:hint="eastAsia"/>
        </w:rPr>
        <w:t>皮带机、</w:t>
      </w:r>
      <w:r>
        <w:t>J9</w:t>
      </w:r>
      <w:r>
        <w:rPr>
          <w:rFonts w:hint="eastAsia"/>
        </w:rPr>
        <w:t>皮带机至兰炭末堆场上方，由带卸料车卸料布料。</w:t>
      </w:r>
    </w:p>
    <w:p w14:paraId="1F151783">
      <w:pPr>
        <w:ind w:firstLine="480"/>
      </w:pPr>
      <w:r>
        <w:rPr>
          <w:rFonts w:hint="eastAsia"/>
        </w:rPr>
        <w:t>外售兰炭由装载机装车外运。</w:t>
      </w:r>
    </w:p>
    <w:p w14:paraId="0733D156">
      <w:pPr>
        <w:ind w:firstLine="480"/>
      </w:pPr>
      <w:r>
        <w:t>J1</w:t>
      </w:r>
      <w:r>
        <w:rPr>
          <w:rFonts w:hint="eastAsia"/>
        </w:rPr>
        <w:t>和</w:t>
      </w:r>
      <w:r>
        <w:t>J2</w:t>
      </w:r>
      <w:r>
        <w:rPr>
          <w:rFonts w:hint="eastAsia"/>
        </w:rPr>
        <w:t>皮带机及其通廊新建，其它利旧。</w:t>
      </w:r>
    </w:p>
    <w:p w14:paraId="69F2946D">
      <w:pPr>
        <w:pStyle w:val="944"/>
      </w:pPr>
      <w:r>
        <w:rPr>
          <w:rFonts w:hint="eastAsia"/>
        </w:rPr>
        <w:t>煤气净化单元</w:t>
      </w:r>
    </w:p>
    <w:p w14:paraId="1A34FEAE">
      <w:pPr>
        <w:ind w:firstLine="480"/>
      </w:pPr>
      <w:r>
        <w:rPr>
          <w:rFonts w:hint="eastAsia"/>
        </w:rPr>
        <w:t>本单元处理荒煤气量约为</w:t>
      </w:r>
      <w:r>
        <w:t>15</w:t>
      </w:r>
      <w:r>
        <w:rPr>
          <w:rFonts w:hint="eastAsia"/>
        </w:rPr>
        <w:t>5</w:t>
      </w:r>
      <w:r>
        <w:t>000N</w:t>
      </w:r>
      <w:r>
        <w:rPr>
          <w:rFonts w:hint="eastAsia"/>
        </w:rPr>
        <w:t>m³</w:t>
      </w:r>
      <w:r>
        <w:t>/h</w:t>
      </w:r>
      <w:r>
        <w:rPr>
          <w:rFonts w:hint="eastAsia"/>
        </w:rPr>
        <w:t>。主要由直冷塔、初冷器、电捕焦油器、10000m³干式气柜、煤气风机等组成。</w:t>
      </w:r>
    </w:p>
    <w:p w14:paraId="7E1B0DF5">
      <w:pPr>
        <w:ind w:firstLine="480"/>
      </w:pPr>
      <w:r>
        <w:rPr>
          <w:rFonts w:hint="eastAsia"/>
        </w:rPr>
        <w:t>直立炉出来的</w:t>
      </w:r>
      <w:r>
        <w:t>80</w:t>
      </w:r>
      <w:r>
        <w:rPr>
          <w:rFonts w:hint="eastAsia"/>
        </w:rPr>
        <w:t>℃荒煤气在集气槽被循环氨水喷洒冷却至</w:t>
      </w:r>
      <w:r>
        <w:t>70</w:t>
      </w:r>
      <w:r>
        <w:rPr>
          <w:rFonts w:hint="eastAsia"/>
        </w:rPr>
        <w:t>℃后，沿吸煤气管经气液分离器进入直冷洗涤塔；氨水由直冷洗涤塔上部喷淋，下部带有焦油的氨水进入冷环水槽；煤气由直冷洗涤塔上部排出进入横管初冷器，煤气被冷却到</w:t>
      </w:r>
      <w:r>
        <w:t>40</w:t>
      </w:r>
      <w:r>
        <w:rPr>
          <w:rFonts w:hint="eastAsia"/>
        </w:rPr>
        <w:t>～</w:t>
      </w:r>
      <w:r>
        <w:t>45</w:t>
      </w:r>
      <w:r>
        <w:rPr>
          <w:rFonts w:hint="eastAsia"/>
        </w:rPr>
        <w:t>℃，煤气经电捕焦油器利用高压直流电场的作用分离煤气中的焦油雾滴后进入鼓风机加压后部分返回炭化炉作为热源，部分去污水焚烧系统、燃气锅炉及兰炭烘干装置，剩余煤气去气柜，经气柜缓冲后进入煤气鼓风机加压，加压后送镁基新材料及制品生产线。</w:t>
      </w:r>
    </w:p>
    <w:p w14:paraId="6EF36B69">
      <w:pPr>
        <w:ind w:firstLine="480"/>
      </w:pPr>
      <w:r>
        <w:rPr>
          <w:rFonts w:hint="eastAsia"/>
        </w:rPr>
        <w:t>从气液分离器出来的焦油、氨水，自流入热环水槽静置分离焦油，从直冷洗涤塔出来的焦油氨水自流入冷环水槽静置分离焦油，焦油经焦油中间槽后用泵送至焦油储罐脱水，热循环氨水用泵送至炉顶集气槽循环使用。冷换水槽的冷循环氨水送至直冷洗涤塔循环使用，直冷洗涤塔及横管初冷器出来的焦油氨水自流入冷环水槽静置分离焦油。横管初冷器采用循环水间接逆流换热，热环水槽和冷环水槽的含焦油氨水在氨水罐进一步分离焦油，分离出的焦油经焦油中间槽后用泵送至焦油储罐，剩余氨水经剩余氨水槽送废水焚烧系统进行预处理后焚烧。</w:t>
      </w:r>
    </w:p>
    <w:p w14:paraId="0B6C7B48">
      <w:pPr>
        <w:ind w:firstLine="480"/>
      </w:pPr>
      <w:r>
        <w:rPr>
          <w:rFonts w:hint="eastAsia"/>
        </w:rPr>
        <w:t>净化单元循环水系统分为一段循环水系统和二段循环水系统。一段循环水系统是一段循环水池的循环水，经一段循环水泵送到初冷器一段和荒煤气逆流换热，换热后一段循环水经玻璃钢冷却塔冷却后进入一段循环水池，一段循环水系统的循环水量为</w:t>
      </w:r>
      <w:r>
        <w:t>2000</w:t>
      </w:r>
      <w:r>
        <w:rPr>
          <w:rFonts w:hint="eastAsia"/>
        </w:rPr>
        <w:t>m³</w:t>
      </w:r>
      <w:r>
        <w:t>/h</w:t>
      </w:r>
      <w:r>
        <w:rPr>
          <w:rFonts w:hint="eastAsia"/>
        </w:rPr>
        <w:t>。二段循环水系统是二段循环水池的循环水经二段循环水泵送到初冷器二段和荒煤气逆流换热，换热后二段循环水经玻璃钢冷却塔冷却后进入二段循环水池，二段循环水系统的循环水量为</w:t>
      </w:r>
      <w:r>
        <w:t>1000</w:t>
      </w:r>
      <w:r>
        <w:rPr>
          <w:rFonts w:hint="eastAsia"/>
        </w:rPr>
        <w:t>m³</w:t>
      </w:r>
      <w:r>
        <w:t>/h</w:t>
      </w:r>
      <w:r>
        <w:rPr>
          <w:rFonts w:hint="eastAsia"/>
        </w:rPr>
        <w:t>。</w:t>
      </w:r>
    </w:p>
    <w:p w14:paraId="5BC22E6E">
      <w:pPr>
        <w:ind w:firstLine="480"/>
      </w:pPr>
      <w:r>
        <w:rPr>
          <w:rFonts w:hint="eastAsia"/>
        </w:rPr>
        <w:t>氨水罐、循环氨水罐废气经密闭管道收集送1#VOCs治理装置处理后排放。</w:t>
      </w:r>
    </w:p>
    <w:p w14:paraId="437C116B">
      <w:pPr>
        <w:pStyle w:val="944"/>
      </w:pPr>
      <w:r>
        <w:rPr>
          <w:rFonts w:hint="eastAsia"/>
        </w:rPr>
        <w:t>焦油储运单元</w:t>
      </w:r>
    </w:p>
    <w:p w14:paraId="09B51F73">
      <w:pPr>
        <w:ind w:firstLine="480"/>
      </w:pPr>
      <w:r>
        <w:rPr>
          <w:rFonts w:hint="eastAsia"/>
        </w:rPr>
        <w:t>本单元新建4台45</w:t>
      </w:r>
      <w:r>
        <w:t>00</w:t>
      </w:r>
      <w:r>
        <w:rPr>
          <w:rFonts w:hint="eastAsia"/>
        </w:rPr>
        <w:t>m³焦油储罐，设置</w:t>
      </w:r>
      <w:r>
        <w:t>2</w:t>
      </w:r>
      <w:r>
        <w:rPr>
          <w:rFonts w:hint="eastAsia"/>
        </w:rPr>
        <w:t>套焦油装车鹤管。</w:t>
      </w:r>
    </w:p>
    <w:p w14:paraId="04842FA2">
      <w:pPr>
        <w:ind w:firstLine="480"/>
      </w:pPr>
      <w:r>
        <w:rPr>
          <w:rFonts w:hint="eastAsia"/>
        </w:rPr>
        <w:t>从煤气净化单元送来的焦油进入焦油储罐，通过加热静置脱水后，用装车泵通过管道送到装车鹤管，装车操作台设置静电接地线，装车台内地面为防爆地面。</w:t>
      </w:r>
    </w:p>
    <w:p w14:paraId="5E241DCF">
      <w:pPr>
        <w:ind w:firstLine="480"/>
      </w:pPr>
      <w:r>
        <w:rPr>
          <w:rFonts w:hint="eastAsia"/>
        </w:rPr>
        <w:t>焦油储罐底部的分离水流入焦油分离水罐，通过泵送回净化单元。</w:t>
      </w:r>
    </w:p>
    <w:p w14:paraId="2A9884BD">
      <w:pPr>
        <w:ind w:firstLine="480"/>
      </w:pPr>
      <w:r>
        <w:rPr>
          <w:rFonts w:hint="eastAsia"/>
        </w:rPr>
        <w:t>焦油储罐采用蒸汽盘管加热，设置温度报警装置，当储罐温度过高，及时切断蒸汽源，避免焦油温度过高发生危险，产生的蒸汽冷凝水送至单元外统一回收。</w:t>
      </w:r>
    </w:p>
    <w:p w14:paraId="382907C6">
      <w:pPr>
        <w:ind w:firstLine="480"/>
      </w:pPr>
      <w:r>
        <w:rPr>
          <w:rFonts w:hint="eastAsia"/>
        </w:rPr>
        <w:t>焦油储罐采用氮封保护，防止引发安全事故。焦油储罐产生的尾气与装车鹤管产生的尾气统一送至尾气处理单元。</w:t>
      </w:r>
    </w:p>
    <w:p w14:paraId="191C0ADA">
      <w:pPr>
        <w:ind w:firstLine="480"/>
      </w:pPr>
      <w:r>
        <w:rPr>
          <w:rFonts w:hint="eastAsia"/>
        </w:rPr>
        <w:t>储罐设有一定高度的防火堤进行隔离，耐火时间大于</w:t>
      </w:r>
      <w:r>
        <w:t>3h</w:t>
      </w:r>
      <w:r>
        <w:rPr>
          <w:rFonts w:hint="eastAsia"/>
        </w:rPr>
        <w:t>，减少储罐发生少量泄漏事故时的污染范围，防止起火时的连锁反应。每个储罐之间设置高度不小于</w:t>
      </w:r>
      <w:r>
        <w:t>0.5m</w:t>
      </w:r>
      <w:r>
        <w:rPr>
          <w:rFonts w:hint="eastAsia"/>
        </w:rPr>
        <w:t>的隔堤。</w:t>
      </w:r>
    </w:p>
    <w:p w14:paraId="63D91174">
      <w:pPr>
        <w:ind w:firstLine="480"/>
      </w:pPr>
      <w:r>
        <w:rPr>
          <w:rFonts w:hint="eastAsia"/>
        </w:rPr>
        <w:t>储罐设有独立的液位检测系统实时测量罐内的液位，在</w:t>
      </w:r>
      <w:r>
        <w:t>DCS</w:t>
      </w:r>
      <w:r>
        <w:rPr>
          <w:rFonts w:hint="eastAsia"/>
        </w:rPr>
        <w:t>中不间断反映液位高度。另外还装有高液位和低液位报警监测系统，用于及时切断或者排放储液，确保储罐的安全操作运行。</w:t>
      </w:r>
    </w:p>
    <w:p w14:paraId="197F7B31">
      <w:pPr>
        <w:ind w:firstLine="480"/>
      </w:pPr>
      <w:r>
        <w:rPr>
          <w:rFonts w:hint="eastAsia"/>
        </w:rPr>
        <w:t>焦油中间槽、焦油罐、煤焦油装车鹤管装车废气经密闭空间负压收集后送2#VOCs治理装置处理后排放。</w:t>
      </w:r>
    </w:p>
    <w:p w14:paraId="4AA5B76E">
      <w:pPr>
        <w:ind w:firstLine="480"/>
      </w:pPr>
      <w:r>
        <w:rPr>
          <w:rFonts w:hint="eastAsia"/>
        </w:rPr>
        <w:t>兰炭生产线工艺流程，见图3.3-1。</w:t>
      </w:r>
    </w:p>
    <w:p w14:paraId="527ACC61">
      <w:pPr>
        <w:pStyle w:val="944"/>
      </w:pPr>
      <w:r>
        <w:rPr>
          <w:rFonts w:hint="eastAsia"/>
        </w:rPr>
        <w:t>产污环节汇总</w:t>
      </w:r>
    </w:p>
    <w:p w14:paraId="4BFF81C6">
      <w:pPr>
        <w:ind w:firstLine="480"/>
      </w:pPr>
      <w:r>
        <w:rPr>
          <w:rFonts w:hint="eastAsia"/>
        </w:rPr>
        <w:t>兰炭单元产污环节</w:t>
      </w:r>
      <w:r>
        <w:t>见表</w:t>
      </w:r>
      <w:r>
        <w:rPr>
          <w:rFonts w:hint="eastAsia"/>
        </w:rPr>
        <w:t>3.3-1</w:t>
      </w:r>
      <w:r>
        <w:t>。</w:t>
      </w:r>
    </w:p>
    <w:p w14:paraId="332A6350">
      <w:pPr>
        <w:ind w:firstLine="0" w:firstLineChars="0"/>
        <w:sectPr>
          <w:headerReference r:id="rId18" w:type="first"/>
          <w:footerReference r:id="rId20" w:type="first"/>
          <w:headerReference r:id="rId17" w:type="even"/>
          <w:footerReference r:id="rId19" w:type="even"/>
          <w:pgSz w:w="11906" w:h="16838"/>
          <w:pgMar w:top="1440" w:right="1800" w:bottom="1440" w:left="1800" w:header="851" w:footer="992" w:gutter="0"/>
          <w:cols w:space="425" w:num="1"/>
          <w:docGrid w:type="lines" w:linePitch="326" w:charSpace="0"/>
        </w:sectPr>
      </w:pPr>
    </w:p>
    <w:p w14:paraId="7C30B326">
      <w:pPr>
        <w:pStyle w:val="118"/>
      </w:pPr>
      <w:r>
        <w:rPr>
          <w:rFonts w:hint="eastAsia"/>
        </w:rPr>
        <w:t>表3.3-1  兰炭生产线产污环节汇总表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1298"/>
        <w:gridCol w:w="1154"/>
        <w:gridCol w:w="2452"/>
        <w:gridCol w:w="4933"/>
        <w:gridCol w:w="3487"/>
      </w:tblGrid>
      <w:tr w14:paraId="42B9A4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00" w:type="pct"/>
            <w:vAlign w:val="center"/>
          </w:tcPr>
          <w:p w14:paraId="7355B6C2">
            <w:pPr>
              <w:tabs>
                <w:tab w:val="center" w:pos="4180"/>
              </w:tabs>
              <w:adjustRightInd w:val="0"/>
              <w:snapToGrid w:val="0"/>
              <w:spacing w:line="240" w:lineRule="auto"/>
              <w:ind w:firstLine="0" w:firstLineChars="0"/>
              <w:jc w:val="center"/>
              <w:rPr>
                <w:rFonts w:cs="宋体"/>
                <w:b/>
                <w:bCs/>
                <w:kern w:val="2"/>
                <w:sz w:val="21"/>
                <w:szCs w:val="21"/>
              </w:rPr>
            </w:pPr>
            <w:bookmarkStart w:id="275" w:name="_Hlk162520581"/>
            <w:r>
              <w:rPr>
                <w:rFonts w:cs="宋体"/>
                <w:b/>
                <w:bCs/>
                <w:kern w:val="2"/>
                <w:sz w:val="21"/>
                <w:szCs w:val="21"/>
              </w:rPr>
              <w:t>类别</w:t>
            </w:r>
          </w:p>
        </w:tc>
        <w:tc>
          <w:tcPr>
            <w:tcW w:w="1730" w:type="pct"/>
            <w:gridSpan w:val="3"/>
            <w:vAlign w:val="center"/>
          </w:tcPr>
          <w:p w14:paraId="3A51175B">
            <w:pPr>
              <w:tabs>
                <w:tab w:val="center" w:pos="4180"/>
              </w:tabs>
              <w:adjustRightInd w:val="0"/>
              <w:snapToGrid w:val="0"/>
              <w:spacing w:line="240" w:lineRule="auto"/>
              <w:ind w:firstLine="0" w:firstLineChars="0"/>
              <w:jc w:val="center"/>
              <w:rPr>
                <w:rFonts w:cs="宋体"/>
                <w:b/>
                <w:bCs/>
                <w:kern w:val="2"/>
                <w:sz w:val="21"/>
                <w:szCs w:val="21"/>
              </w:rPr>
            </w:pPr>
            <w:r>
              <w:rPr>
                <w:rFonts w:hint="eastAsia" w:cs="宋体"/>
                <w:b/>
                <w:bCs/>
                <w:kern w:val="2"/>
                <w:sz w:val="21"/>
                <w:szCs w:val="21"/>
              </w:rPr>
              <w:t>产污环节</w:t>
            </w:r>
          </w:p>
        </w:tc>
        <w:tc>
          <w:tcPr>
            <w:tcW w:w="1740" w:type="pct"/>
            <w:vAlign w:val="center"/>
          </w:tcPr>
          <w:p w14:paraId="53F9C0AB">
            <w:pPr>
              <w:tabs>
                <w:tab w:val="center" w:pos="4180"/>
              </w:tabs>
              <w:adjustRightInd w:val="0"/>
              <w:snapToGrid w:val="0"/>
              <w:spacing w:line="240" w:lineRule="auto"/>
              <w:ind w:firstLine="0" w:firstLineChars="0"/>
              <w:jc w:val="center"/>
              <w:rPr>
                <w:rFonts w:cs="宋体"/>
                <w:b/>
                <w:bCs/>
                <w:kern w:val="2"/>
                <w:sz w:val="21"/>
                <w:szCs w:val="21"/>
              </w:rPr>
            </w:pPr>
            <w:r>
              <w:rPr>
                <w:rFonts w:cs="宋体"/>
                <w:b/>
                <w:bCs/>
                <w:kern w:val="2"/>
                <w:sz w:val="21"/>
                <w:szCs w:val="21"/>
              </w:rPr>
              <w:t>主要污染物</w:t>
            </w:r>
          </w:p>
        </w:tc>
        <w:tc>
          <w:tcPr>
            <w:tcW w:w="1230" w:type="pct"/>
            <w:vAlign w:val="center"/>
          </w:tcPr>
          <w:p w14:paraId="2F614C52">
            <w:pPr>
              <w:tabs>
                <w:tab w:val="center" w:pos="4180"/>
              </w:tabs>
              <w:adjustRightInd w:val="0"/>
              <w:snapToGrid w:val="0"/>
              <w:spacing w:line="240" w:lineRule="auto"/>
              <w:ind w:firstLine="0" w:firstLineChars="0"/>
              <w:jc w:val="center"/>
              <w:rPr>
                <w:rFonts w:cs="宋体"/>
                <w:b/>
                <w:bCs/>
                <w:kern w:val="2"/>
                <w:sz w:val="21"/>
                <w:szCs w:val="21"/>
              </w:rPr>
            </w:pPr>
            <w:r>
              <w:rPr>
                <w:rFonts w:cs="宋体"/>
                <w:b/>
                <w:bCs/>
                <w:kern w:val="2"/>
                <w:sz w:val="21"/>
                <w:szCs w:val="21"/>
              </w:rPr>
              <w:t>防治措施</w:t>
            </w:r>
          </w:p>
        </w:tc>
      </w:tr>
      <w:tr w14:paraId="0485B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restart"/>
            <w:vAlign w:val="center"/>
          </w:tcPr>
          <w:p w14:paraId="66E3043C">
            <w:pPr>
              <w:tabs>
                <w:tab w:val="center" w:pos="4180"/>
              </w:tabs>
              <w:adjustRightInd w:val="0"/>
              <w:snapToGrid w:val="0"/>
              <w:spacing w:line="240" w:lineRule="auto"/>
              <w:ind w:firstLine="0" w:firstLineChars="0"/>
              <w:jc w:val="center"/>
              <w:rPr>
                <w:rFonts w:cs="宋体"/>
                <w:kern w:val="2"/>
                <w:sz w:val="21"/>
                <w:szCs w:val="21"/>
              </w:rPr>
            </w:pPr>
            <w:bookmarkStart w:id="276" w:name="_Hlk178072360"/>
            <w:r>
              <w:rPr>
                <w:rFonts w:cs="宋体"/>
                <w:kern w:val="2"/>
                <w:sz w:val="21"/>
                <w:szCs w:val="21"/>
              </w:rPr>
              <w:t>废气</w:t>
            </w:r>
          </w:p>
        </w:tc>
        <w:tc>
          <w:tcPr>
            <w:tcW w:w="458" w:type="pct"/>
            <w:vMerge w:val="restart"/>
            <w:vAlign w:val="center"/>
          </w:tcPr>
          <w:p w14:paraId="2E264F16">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备煤</w:t>
            </w:r>
          </w:p>
        </w:tc>
        <w:tc>
          <w:tcPr>
            <w:tcW w:w="407" w:type="pct"/>
            <w:vAlign w:val="center"/>
          </w:tcPr>
          <w:p w14:paraId="0EB4B7F1">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1-1</w:t>
            </w:r>
          </w:p>
        </w:tc>
        <w:tc>
          <w:tcPr>
            <w:tcW w:w="865" w:type="pct"/>
            <w:vAlign w:val="center"/>
          </w:tcPr>
          <w:p w14:paraId="46014DD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备煤上料废气</w:t>
            </w:r>
          </w:p>
        </w:tc>
        <w:tc>
          <w:tcPr>
            <w:tcW w:w="1740" w:type="pct"/>
            <w:vAlign w:val="center"/>
          </w:tcPr>
          <w:p w14:paraId="3B13771D">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颗粒物</w:t>
            </w:r>
          </w:p>
        </w:tc>
        <w:tc>
          <w:tcPr>
            <w:tcW w:w="1230" w:type="pct"/>
            <w:vAlign w:val="center"/>
          </w:tcPr>
          <w:p w14:paraId="74CD56BE">
            <w:pPr>
              <w:tabs>
                <w:tab w:val="center" w:pos="4180"/>
              </w:tabs>
              <w:adjustRightInd w:val="0"/>
              <w:snapToGrid w:val="0"/>
              <w:spacing w:line="240" w:lineRule="auto"/>
              <w:ind w:firstLine="0" w:firstLineChars="0"/>
              <w:jc w:val="center"/>
              <w:rPr>
                <w:rFonts w:cs="宋体"/>
                <w:kern w:val="2"/>
                <w:sz w:val="21"/>
                <w:szCs w:val="21"/>
              </w:rPr>
            </w:pPr>
            <w:r>
              <w:rPr>
                <w:kern w:val="2"/>
                <w:sz w:val="21"/>
                <w:szCs w:val="21"/>
              </w:rPr>
              <w:t>布袋除尘器</w:t>
            </w:r>
          </w:p>
        </w:tc>
      </w:tr>
      <w:bookmarkEnd w:id="276"/>
      <w:tr w14:paraId="204E7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186E6245">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5DBCC13D">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2D4E28A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1-2</w:t>
            </w:r>
          </w:p>
        </w:tc>
        <w:tc>
          <w:tcPr>
            <w:tcW w:w="865" w:type="pct"/>
            <w:vAlign w:val="center"/>
          </w:tcPr>
          <w:p w14:paraId="2A79C92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原煤破碎废气</w:t>
            </w:r>
          </w:p>
        </w:tc>
        <w:tc>
          <w:tcPr>
            <w:tcW w:w="1740" w:type="pct"/>
            <w:vAlign w:val="center"/>
          </w:tcPr>
          <w:p w14:paraId="1D2607FA">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颗粒物</w:t>
            </w:r>
          </w:p>
        </w:tc>
        <w:tc>
          <w:tcPr>
            <w:tcW w:w="1230" w:type="pct"/>
            <w:vAlign w:val="center"/>
          </w:tcPr>
          <w:p w14:paraId="570CC781">
            <w:pPr>
              <w:tabs>
                <w:tab w:val="center" w:pos="4180"/>
              </w:tabs>
              <w:adjustRightInd w:val="0"/>
              <w:snapToGrid w:val="0"/>
              <w:spacing w:line="240" w:lineRule="auto"/>
              <w:ind w:firstLine="0" w:firstLineChars="0"/>
              <w:jc w:val="center"/>
              <w:rPr>
                <w:kern w:val="2"/>
                <w:sz w:val="21"/>
                <w:szCs w:val="21"/>
              </w:rPr>
            </w:pPr>
            <w:r>
              <w:rPr>
                <w:kern w:val="2"/>
                <w:sz w:val="21"/>
                <w:szCs w:val="21"/>
              </w:rPr>
              <w:t>布袋除尘器</w:t>
            </w:r>
          </w:p>
        </w:tc>
      </w:tr>
      <w:tr w14:paraId="483BE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7D3284F9">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1624475C">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08D2547D">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1-1</w:t>
            </w:r>
            <w:r>
              <w:rPr>
                <w:rFonts w:hint="eastAsia" w:ascii="宋体" w:hAnsi="宋体" w:cs="宋体"/>
                <w:kern w:val="2"/>
                <w:sz w:val="21"/>
                <w:szCs w:val="21"/>
                <w:vertAlign w:val="subscript"/>
              </w:rPr>
              <w:t>ˊ</w:t>
            </w:r>
          </w:p>
        </w:tc>
        <w:tc>
          <w:tcPr>
            <w:tcW w:w="865" w:type="pct"/>
            <w:vAlign w:val="center"/>
          </w:tcPr>
          <w:p w14:paraId="07FFFE81">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原煤棚无组织废气</w:t>
            </w:r>
          </w:p>
        </w:tc>
        <w:tc>
          <w:tcPr>
            <w:tcW w:w="1740" w:type="pct"/>
            <w:vAlign w:val="center"/>
          </w:tcPr>
          <w:p w14:paraId="02D34C18">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颗粒物</w:t>
            </w:r>
          </w:p>
        </w:tc>
        <w:tc>
          <w:tcPr>
            <w:tcW w:w="1230" w:type="pct"/>
            <w:vAlign w:val="center"/>
          </w:tcPr>
          <w:p w14:paraId="7F1AF527">
            <w:pPr>
              <w:tabs>
                <w:tab w:val="center" w:pos="4180"/>
              </w:tabs>
              <w:adjustRightInd w:val="0"/>
              <w:snapToGrid w:val="0"/>
              <w:spacing w:line="240" w:lineRule="auto"/>
              <w:ind w:firstLine="0" w:firstLineChars="0"/>
              <w:jc w:val="center"/>
              <w:rPr>
                <w:kern w:val="2"/>
                <w:sz w:val="21"/>
                <w:szCs w:val="21"/>
              </w:rPr>
            </w:pPr>
            <w:r>
              <w:rPr>
                <w:rFonts w:hint="eastAsia" w:cs="宋体"/>
                <w:kern w:val="2"/>
                <w:sz w:val="21"/>
                <w:szCs w:val="21"/>
              </w:rPr>
              <w:t>全封闭煤棚+车辆冲洗+水雾降尘</w:t>
            </w:r>
          </w:p>
        </w:tc>
      </w:tr>
      <w:tr w14:paraId="69ECB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C456C38">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restart"/>
            <w:vAlign w:val="center"/>
          </w:tcPr>
          <w:p w14:paraId="4E557FF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炭化</w:t>
            </w:r>
          </w:p>
        </w:tc>
        <w:tc>
          <w:tcPr>
            <w:tcW w:w="407" w:type="pct"/>
            <w:vAlign w:val="center"/>
          </w:tcPr>
          <w:p w14:paraId="411A84C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1-3</w:t>
            </w:r>
          </w:p>
        </w:tc>
        <w:tc>
          <w:tcPr>
            <w:tcW w:w="865" w:type="pct"/>
            <w:vAlign w:val="center"/>
          </w:tcPr>
          <w:p w14:paraId="3165085C">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炭化装煤废气</w:t>
            </w:r>
          </w:p>
        </w:tc>
        <w:tc>
          <w:tcPr>
            <w:tcW w:w="1740" w:type="pct"/>
            <w:vAlign w:val="center"/>
          </w:tcPr>
          <w:p w14:paraId="0BFE762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颗粒物、二氧化硫、苯并芘</w:t>
            </w:r>
          </w:p>
        </w:tc>
        <w:tc>
          <w:tcPr>
            <w:tcW w:w="1230" w:type="pct"/>
            <w:vAlign w:val="center"/>
          </w:tcPr>
          <w:p w14:paraId="3C06BF7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密闭</w:t>
            </w:r>
            <w:r>
              <w:rPr>
                <w:rFonts w:hint="eastAsia" w:cs="宋体"/>
                <w:kern w:val="2"/>
                <w:sz w:val="21"/>
                <w:szCs w:val="21"/>
                <w:lang w:val="zh-CN"/>
              </w:rPr>
              <w:t>收集+覆膜高效布袋除尘</w:t>
            </w:r>
          </w:p>
        </w:tc>
      </w:tr>
      <w:tr w14:paraId="0519DE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91AF2BB">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59DEB757">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502C626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1-4</w:t>
            </w:r>
          </w:p>
        </w:tc>
        <w:tc>
          <w:tcPr>
            <w:tcW w:w="865" w:type="pct"/>
            <w:vAlign w:val="center"/>
          </w:tcPr>
          <w:p w14:paraId="51C8663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筛焦排放口</w:t>
            </w:r>
          </w:p>
        </w:tc>
        <w:tc>
          <w:tcPr>
            <w:tcW w:w="1740" w:type="pct"/>
            <w:vAlign w:val="center"/>
          </w:tcPr>
          <w:p w14:paraId="1006CA97">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颗粒物</w:t>
            </w:r>
          </w:p>
        </w:tc>
        <w:tc>
          <w:tcPr>
            <w:tcW w:w="1230" w:type="pct"/>
            <w:vAlign w:val="center"/>
          </w:tcPr>
          <w:p w14:paraId="6F96BE9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布袋除尘</w:t>
            </w:r>
          </w:p>
        </w:tc>
      </w:tr>
      <w:tr w14:paraId="6F6F3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4C72F696">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716AA990">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23F7E7A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1-5</w:t>
            </w:r>
          </w:p>
        </w:tc>
        <w:tc>
          <w:tcPr>
            <w:tcW w:w="865" w:type="pct"/>
            <w:vAlign w:val="center"/>
          </w:tcPr>
          <w:p w14:paraId="787FED7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兰炭烘干废气</w:t>
            </w:r>
          </w:p>
        </w:tc>
        <w:tc>
          <w:tcPr>
            <w:tcW w:w="1740" w:type="pct"/>
            <w:vAlign w:val="center"/>
          </w:tcPr>
          <w:p w14:paraId="5EC65768">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颗粒物、二氧化硫及氮氧化物</w:t>
            </w:r>
          </w:p>
        </w:tc>
        <w:tc>
          <w:tcPr>
            <w:tcW w:w="1230" w:type="pct"/>
            <w:vAlign w:val="center"/>
          </w:tcPr>
          <w:p w14:paraId="7A1414C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旋风除尘+碱喷淋+布袋除尘</w:t>
            </w:r>
          </w:p>
        </w:tc>
      </w:tr>
      <w:tr w14:paraId="3FCC72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187187FF">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567B0419">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4859115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1-6</w:t>
            </w:r>
          </w:p>
        </w:tc>
        <w:tc>
          <w:tcPr>
            <w:tcW w:w="865" w:type="pct"/>
            <w:vAlign w:val="center"/>
          </w:tcPr>
          <w:p w14:paraId="1BFB23C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兰炭筛分废气</w:t>
            </w:r>
          </w:p>
        </w:tc>
        <w:tc>
          <w:tcPr>
            <w:tcW w:w="1740" w:type="pct"/>
            <w:vAlign w:val="center"/>
          </w:tcPr>
          <w:p w14:paraId="0C9855B9">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颗粒物</w:t>
            </w:r>
          </w:p>
        </w:tc>
        <w:tc>
          <w:tcPr>
            <w:tcW w:w="1230" w:type="pct"/>
            <w:vAlign w:val="center"/>
          </w:tcPr>
          <w:p w14:paraId="4B1D582C">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布袋除尘器</w:t>
            </w:r>
          </w:p>
        </w:tc>
      </w:tr>
      <w:tr w14:paraId="6AA8F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2143A6F9">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3B695468">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52D7EB3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1-2</w:t>
            </w:r>
            <w:r>
              <w:rPr>
                <w:rFonts w:hint="eastAsia" w:ascii="宋体" w:hAnsi="宋体" w:cs="宋体"/>
                <w:kern w:val="2"/>
                <w:sz w:val="21"/>
                <w:szCs w:val="21"/>
                <w:vertAlign w:val="subscript"/>
              </w:rPr>
              <w:t>ˊ</w:t>
            </w:r>
          </w:p>
        </w:tc>
        <w:tc>
          <w:tcPr>
            <w:tcW w:w="865" w:type="pct"/>
            <w:vAlign w:val="center"/>
          </w:tcPr>
          <w:p w14:paraId="4067FAE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兰炭棚无组织废气</w:t>
            </w:r>
          </w:p>
        </w:tc>
        <w:tc>
          <w:tcPr>
            <w:tcW w:w="1740" w:type="pct"/>
            <w:vAlign w:val="center"/>
          </w:tcPr>
          <w:p w14:paraId="7011E3F5">
            <w:pPr>
              <w:tabs>
                <w:tab w:val="center" w:pos="4180"/>
              </w:tabs>
              <w:adjustRightInd w:val="0"/>
              <w:snapToGrid w:val="0"/>
              <w:spacing w:line="240" w:lineRule="auto"/>
              <w:ind w:firstLine="0" w:firstLineChars="0"/>
              <w:jc w:val="center"/>
              <w:rPr>
                <w:rFonts w:cs="宋体"/>
                <w:kern w:val="2"/>
                <w:sz w:val="21"/>
                <w:szCs w:val="21"/>
                <w:highlight w:val="yellow"/>
              </w:rPr>
            </w:pPr>
            <w:r>
              <w:rPr>
                <w:rFonts w:cs="宋体"/>
                <w:kern w:val="2"/>
                <w:sz w:val="21"/>
                <w:szCs w:val="21"/>
              </w:rPr>
              <w:t>颗粒物</w:t>
            </w:r>
          </w:p>
        </w:tc>
        <w:tc>
          <w:tcPr>
            <w:tcW w:w="1230" w:type="pct"/>
            <w:vAlign w:val="center"/>
          </w:tcPr>
          <w:p w14:paraId="79631EFE">
            <w:pPr>
              <w:tabs>
                <w:tab w:val="center" w:pos="4180"/>
              </w:tabs>
              <w:adjustRightInd w:val="0"/>
              <w:snapToGrid w:val="0"/>
              <w:spacing w:line="240" w:lineRule="auto"/>
              <w:ind w:firstLine="0" w:firstLineChars="0"/>
              <w:jc w:val="center"/>
              <w:rPr>
                <w:rFonts w:cs="宋体"/>
                <w:kern w:val="2"/>
                <w:sz w:val="21"/>
                <w:szCs w:val="21"/>
                <w:highlight w:val="yellow"/>
              </w:rPr>
            </w:pPr>
            <w:r>
              <w:rPr>
                <w:rFonts w:hint="eastAsia" w:cs="宋体"/>
                <w:kern w:val="2"/>
                <w:sz w:val="21"/>
                <w:szCs w:val="21"/>
              </w:rPr>
              <w:t>全封闭焦棚+车辆冲洗</w:t>
            </w:r>
          </w:p>
        </w:tc>
      </w:tr>
      <w:tr w14:paraId="2680C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6E85FDC1">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2564D159">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27BFFD1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1-3</w:t>
            </w:r>
            <w:r>
              <w:rPr>
                <w:rFonts w:hint="eastAsia" w:ascii="宋体" w:hAnsi="宋体" w:cs="宋体"/>
                <w:kern w:val="2"/>
                <w:sz w:val="21"/>
                <w:szCs w:val="21"/>
                <w:vertAlign w:val="subscript"/>
              </w:rPr>
              <w:t>ˊ</w:t>
            </w:r>
          </w:p>
        </w:tc>
        <w:tc>
          <w:tcPr>
            <w:tcW w:w="865" w:type="pct"/>
            <w:vAlign w:val="center"/>
          </w:tcPr>
          <w:p w14:paraId="0B5DAA03">
            <w:pPr>
              <w:tabs>
                <w:tab w:val="center" w:pos="4180"/>
              </w:tabs>
              <w:adjustRightInd w:val="0"/>
              <w:snapToGrid w:val="0"/>
              <w:spacing w:line="240" w:lineRule="auto"/>
              <w:ind w:firstLine="0" w:firstLineChars="0"/>
              <w:jc w:val="center"/>
              <w:rPr>
                <w:rFonts w:cs="宋体"/>
                <w:kern w:val="2"/>
                <w:sz w:val="21"/>
                <w:szCs w:val="21"/>
                <w:highlight w:val="yellow"/>
              </w:rPr>
            </w:pPr>
            <w:r>
              <w:rPr>
                <w:rFonts w:hint="eastAsia" w:cs="宋体"/>
                <w:kern w:val="2"/>
                <w:sz w:val="21"/>
                <w:szCs w:val="21"/>
              </w:rPr>
              <w:t>水冷壁蒸汽熄焦、出焦无组织废气</w:t>
            </w:r>
          </w:p>
        </w:tc>
        <w:tc>
          <w:tcPr>
            <w:tcW w:w="1740" w:type="pct"/>
            <w:vAlign w:val="center"/>
          </w:tcPr>
          <w:p w14:paraId="234FE738">
            <w:pPr>
              <w:tabs>
                <w:tab w:val="center" w:pos="4180"/>
              </w:tabs>
              <w:adjustRightInd w:val="0"/>
              <w:snapToGrid w:val="0"/>
              <w:spacing w:line="240" w:lineRule="auto"/>
              <w:ind w:firstLine="0" w:firstLineChars="0"/>
              <w:jc w:val="center"/>
              <w:rPr>
                <w:rFonts w:cs="宋体"/>
                <w:kern w:val="2"/>
                <w:sz w:val="21"/>
                <w:szCs w:val="21"/>
                <w:highlight w:val="yellow"/>
              </w:rPr>
            </w:pPr>
            <w:r>
              <w:rPr>
                <w:rFonts w:cs="宋体"/>
                <w:kern w:val="2"/>
                <w:sz w:val="21"/>
                <w:szCs w:val="21"/>
              </w:rPr>
              <w:t>颗粒物</w:t>
            </w:r>
            <w:r>
              <w:rPr>
                <w:rFonts w:hint="eastAsia" w:cs="宋体"/>
                <w:kern w:val="2"/>
                <w:sz w:val="21"/>
                <w:szCs w:val="21"/>
              </w:rPr>
              <w:t>、硫化氢、氨、酚类及BaP、二氧化硫</w:t>
            </w:r>
          </w:p>
        </w:tc>
        <w:tc>
          <w:tcPr>
            <w:tcW w:w="1230" w:type="pct"/>
            <w:vAlign w:val="center"/>
          </w:tcPr>
          <w:p w14:paraId="4B6616AD">
            <w:pPr>
              <w:tabs>
                <w:tab w:val="center" w:pos="4180"/>
              </w:tabs>
              <w:adjustRightInd w:val="0"/>
              <w:snapToGrid w:val="0"/>
              <w:spacing w:line="240" w:lineRule="auto"/>
              <w:ind w:firstLine="0" w:firstLineChars="0"/>
              <w:jc w:val="center"/>
              <w:rPr>
                <w:rFonts w:cs="宋体"/>
                <w:kern w:val="2"/>
                <w:sz w:val="21"/>
                <w:szCs w:val="21"/>
                <w:highlight w:val="yellow"/>
              </w:rPr>
            </w:pPr>
            <w:r>
              <w:rPr>
                <w:rFonts w:hint="eastAsia" w:cs="宋体"/>
                <w:kern w:val="2"/>
                <w:sz w:val="21"/>
                <w:szCs w:val="21"/>
              </w:rPr>
              <w:t>密闭空间负压收集送1#VOCs治理装置</w:t>
            </w:r>
          </w:p>
        </w:tc>
      </w:tr>
      <w:tr w14:paraId="0CBF9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4936AC9">
            <w:pPr>
              <w:tabs>
                <w:tab w:val="center" w:pos="4180"/>
              </w:tabs>
              <w:adjustRightInd w:val="0"/>
              <w:snapToGrid w:val="0"/>
              <w:spacing w:line="240" w:lineRule="auto"/>
              <w:ind w:firstLine="0" w:firstLineChars="0"/>
              <w:jc w:val="center"/>
              <w:rPr>
                <w:rFonts w:cs="宋体"/>
                <w:kern w:val="2"/>
                <w:sz w:val="21"/>
                <w:szCs w:val="21"/>
              </w:rPr>
            </w:pPr>
          </w:p>
        </w:tc>
        <w:tc>
          <w:tcPr>
            <w:tcW w:w="458" w:type="pct"/>
            <w:vAlign w:val="center"/>
          </w:tcPr>
          <w:p w14:paraId="16745F7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煤气净化</w:t>
            </w:r>
          </w:p>
        </w:tc>
        <w:tc>
          <w:tcPr>
            <w:tcW w:w="407" w:type="pct"/>
            <w:vAlign w:val="center"/>
          </w:tcPr>
          <w:p w14:paraId="097E0AEE">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1-4</w:t>
            </w:r>
            <w:r>
              <w:rPr>
                <w:rFonts w:hint="eastAsia" w:ascii="宋体" w:hAnsi="宋体" w:cs="宋体"/>
                <w:kern w:val="2"/>
                <w:sz w:val="21"/>
                <w:szCs w:val="21"/>
                <w:vertAlign w:val="subscript"/>
              </w:rPr>
              <w:t>ˊ</w:t>
            </w:r>
          </w:p>
        </w:tc>
        <w:tc>
          <w:tcPr>
            <w:tcW w:w="865" w:type="pct"/>
            <w:vAlign w:val="center"/>
          </w:tcPr>
          <w:p w14:paraId="43760BA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煤气冷却各种槽类设备无组织废气</w:t>
            </w:r>
          </w:p>
        </w:tc>
        <w:tc>
          <w:tcPr>
            <w:tcW w:w="1740" w:type="pct"/>
            <w:vAlign w:val="center"/>
          </w:tcPr>
          <w:p w14:paraId="22A8D7B0">
            <w:pPr>
              <w:tabs>
                <w:tab w:val="center" w:pos="4180"/>
              </w:tabs>
              <w:adjustRightInd w:val="0"/>
              <w:snapToGrid w:val="0"/>
              <w:spacing w:line="240" w:lineRule="auto"/>
              <w:ind w:firstLine="420"/>
              <w:jc w:val="center"/>
              <w:rPr>
                <w:rFonts w:cs="宋体"/>
                <w:kern w:val="2"/>
                <w:sz w:val="21"/>
                <w:szCs w:val="21"/>
              </w:rPr>
            </w:pPr>
            <w:r>
              <w:rPr>
                <w:rFonts w:hint="eastAsia" w:cs="宋体"/>
                <w:kern w:val="2"/>
                <w:sz w:val="21"/>
                <w:szCs w:val="21"/>
              </w:rPr>
              <w:t>氨、硫化氢、氰化氢、非甲烷总烃、酚类及BaP</w:t>
            </w:r>
          </w:p>
        </w:tc>
        <w:tc>
          <w:tcPr>
            <w:tcW w:w="1230" w:type="pct"/>
            <w:vAlign w:val="center"/>
          </w:tcPr>
          <w:p w14:paraId="42673741">
            <w:pPr>
              <w:tabs>
                <w:tab w:val="center" w:pos="4180"/>
              </w:tabs>
              <w:adjustRightInd w:val="0"/>
              <w:snapToGrid w:val="0"/>
              <w:spacing w:line="240" w:lineRule="auto"/>
              <w:ind w:firstLine="420"/>
              <w:jc w:val="center"/>
              <w:rPr>
                <w:rFonts w:cs="宋体"/>
                <w:kern w:val="2"/>
                <w:sz w:val="21"/>
                <w:szCs w:val="21"/>
              </w:rPr>
            </w:pPr>
            <w:r>
              <w:rPr>
                <w:rFonts w:hint="eastAsia" w:cs="宋体"/>
                <w:kern w:val="2"/>
                <w:sz w:val="21"/>
                <w:szCs w:val="21"/>
              </w:rPr>
              <w:t>密闭管道收集送1#VOCs治理装置</w:t>
            </w:r>
          </w:p>
        </w:tc>
      </w:tr>
      <w:tr w14:paraId="7710A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2DA70F33">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restart"/>
            <w:vAlign w:val="center"/>
          </w:tcPr>
          <w:p w14:paraId="7CFEEB98">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储运工程</w:t>
            </w:r>
          </w:p>
        </w:tc>
        <w:tc>
          <w:tcPr>
            <w:tcW w:w="407" w:type="pct"/>
            <w:vAlign w:val="center"/>
          </w:tcPr>
          <w:p w14:paraId="5AA11EC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1-5</w:t>
            </w:r>
            <w:r>
              <w:rPr>
                <w:rFonts w:hint="eastAsia" w:ascii="宋体" w:hAnsi="宋体" w:cs="宋体"/>
                <w:kern w:val="2"/>
                <w:sz w:val="21"/>
                <w:szCs w:val="21"/>
                <w:vertAlign w:val="subscript"/>
              </w:rPr>
              <w:t>ˊ</w:t>
            </w:r>
          </w:p>
        </w:tc>
        <w:tc>
          <w:tcPr>
            <w:tcW w:w="865" w:type="pct"/>
            <w:vAlign w:val="center"/>
          </w:tcPr>
          <w:p w14:paraId="72269C2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焦油储罐无组织废气</w:t>
            </w:r>
          </w:p>
        </w:tc>
        <w:tc>
          <w:tcPr>
            <w:tcW w:w="1740" w:type="pct"/>
            <w:vAlign w:val="center"/>
          </w:tcPr>
          <w:p w14:paraId="4E4222B1">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非甲烷总烃</w:t>
            </w:r>
          </w:p>
        </w:tc>
        <w:tc>
          <w:tcPr>
            <w:tcW w:w="1230" w:type="pct"/>
            <w:vAlign w:val="center"/>
          </w:tcPr>
          <w:p w14:paraId="5A39D0E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管道运输+密闭管道收集送2#VOCs治理装置</w:t>
            </w:r>
          </w:p>
        </w:tc>
      </w:tr>
      <w:tr w14:paraId="2AA25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540E05E6">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39053C05">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18DC622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1-6</w:t>
            </w:r>
            <w:r>
              <w:rPr>
                <w:rFonts w:hint="eastAsia" w:ascii="宋体" w:hAnsi="宋体" w:cs="宋体"/>
                <w:kern w:val="2"/>
                <w:sz w:val="21"/>
                <w:szCs w:val="21"/>
                <w:vertAlign w:val="subscript"/>
              </w:rPr>
              <w:t>ˊ</w:t>
            </w:r>
          </w:p>
        </w:tc>
        <w:tc>
          <w:tcPr>
            <w:tcW w:w="865" w:type="pct"/>
            <w:vAlign w:val="center"/>
          </w:tcPr>
          <w:p w14:paraId="59AD95C8">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焦油装车站无组织废气</w:t>
            </w:r>
          </w:p>
        </w:tc>
        <w:tc>
          <w:tcPr>
            <w:tcW w:w="1740" w:type="pct"/>
            <w:vAlign w:val="center"/>
          </w:tcPr>
          <w:p w14:paraId="7357F4E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非甲烷总烃</w:t>
            </w:r>
          </w:p>
        </w:tc>
        <w:tc>
          <w:tcPr>
            <w:tcW w:w="1230" w:type="pct"/>
            <w:vAlign w:val="center"/>
          </w:tcPr>
          <w:p w14:paraId="105BBE5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管道运输+密闭空间收集送2#VOCs治理装置</w:t>
            </w:r>
          </w:p>
        </w:tc>
      </w:tr>
      <w:tr w14:paraId="09B87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17A08CE">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restart"/>
            <w:vAlign w:val="center"/>
          </w:tcPr>
          <w:p w14:paraId="31B09849">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环保工程</w:t>
            </w:r>
          </w:p>
        </w:tc>
        <w:tc>
          <w:tcPr>
            <w:tcW w:w="407" w:type="pct"/>
            <w:vAlign w:val="center"/>
          </w:tcPr>
          <w:p w14:paraId="5ECEED01">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1-7</w:t>
            </w:r>
          </w:p>
        </w:tc>
        <w:tc>
          <w:tcPr>
            <w:tcW w:w="865" w:type="pct"/>
            <w:vAlign w:val="center"/>
          </w:tcPr>
          <w:p w14:paraId="436719F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废水焚烧炉烟气</w:t>
            </w:r>
          </w:p>
        </w:tc>
        <w:tc>
          <w:tcPr>
            <w:tcW w:w="1740" w:type="pct"/>
            <w:vAlign w:val="center"/>
          </w:tcPr>
          <w:p w14:paraId="655B704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颗粒物、二氧化硫、氮氧化物</w:t>
            </w:r>
          </w:p>
        </w:tc>
        <w:tc>
          <w:tcPr>
            <w:tcW w:w="1230" w:type="pct"/>
            <w:vAlign w:val="center"/>
          </w:tcPr>
          <w:p w14:paraId="7FEEDD9B">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SNCR脱硝</w:t>
            </w:r>
            <w:r>
              <w:rPr>
                <w:rFonts w:hint="eastAsia" w:cs="宋体"/>
                <w:kern w:val="2"/>
                <w:sz w:val="21"/>
                <w:szCs w:val="21"/>
              </w:rPr>
              <w:t>+二级钠碱法</w:t>
            </w:r>
            <w:r>
              <w:rPr>
                <w:rFonts w:cs="宋体"/>
                <w:kern w:val="2"/>
                <w:sz w:val="21"/>
                <w:szCs w:val="21"/>
              </w:rPr>
              <w:t>脱硫</w:t>
            </w:r>
          </w:p>
        </w:tc>
      </w:tr>
      <w:tr w14:paraId="7FE3F7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056C37FF">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23ACD6F4">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38BF13A6">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1-8</w:t>
            </w:r>
          </w:p>
        </w:tc>
        <w:tc>
          <w:tcPr>
            <w:tcW w:w="865" w:type="pct"/>
            <w:vAlign w:val="center"/>
          </w:tcPr>
          <w:p w14:paraId="1561AC5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1#VOCs处理装置废气</w:t>
            </w:r>
          </w:p>
        </w:tc>
        <w:tc>
          <w:tcPr>
            <w:tcW w:w="1740" w:type="pct"/>
            <w:vAlign w:val="center"/>
          </w:tcPr>
          <w:p w14:paraId="5F1C26D8">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粉尘、氨、硫化氢、氰化氢、酚类、BaP、非甲烷总烃</w:t>
            </w:r>
          </w:p>
        </w:tc>
        <w:tc>
          <w:tcPr>
            <w:tcW w:w="1230" w:type="pct"/>
            <w:vAlign w:val="center"/>
          </w:tcPr>
          <w:p w14:paraId="560B05A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酸洗+碱洗+活性炭吸附-脱附+催化燃烧工艺</w:t>
            </w:r>
          </w:p>
        </w:tc>
      </w:tr>
      <w:tr w14:paraId="2DC89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679C1AE2">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6AC04151">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6C96ABD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1-9</w:t>
            </w:r>
          </w:p>
        </w:tc>
        <w:tc>
          <w:tcPr>
            <w:tcW w:w="865" w:type="pct"/>
            <w:vAlign w:val="center"/>
          </w:tcPr>
          <w:p w14:paraId="6B4C75F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2#VOCs处理装置废气</w:t>
            </w:r>
          </w:p>
        </w:tc>
        <w:tc>
          <w:tcPr>
            <w:tcW w:w="1740" w:type="pct"/>
            <w:vAlign w:val="center"/>
          </w:tcPr>
          <w:p w14:paraId="6F5714A5">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非甲烷总烃</w:t>
            </w:r>
          </w:p>
        </w:tc>
        <w:tc>
          <w:tcPr>
            <w:tcW w:w="1230" w:type="pct"/>
            <w:vAlign w:val="center"/>
          </w:tcPr>
          <w:p w14:paraId="7ABFDE85">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酸洗+碱洗+活性炭吸附-脱附+催化燃烧工艺</w:t>
            </w:r>
          </w:p>
        </w:tc>
      </w:tr>
      <w:tr w14:paraId="1563C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03BFBB04">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6D762E84">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69E36248">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G</w:t>
            </w:r>
            <w:r>
              <w:rPr>
                <w:rFonts w:hint="eastAsia" w:cs="宋体"/>
                <w:kern w:val="2"/>
                <w:sz w:val="21"/>
                <w:szCs w:val="21"/>
                <w:vertAlign w:val="subscript"/>
              </w:rPr>
              <w:t>1-7</w:t>
            </w:r>
            <w:r>
              <w:rPr>
                <w:rFonts w:hint="eastAsia" w:ascii="宋体" w:hAnsi="宋体" w:cs="宋体"/>
                <w:kern w:val="2"/>
                <w:sz w:val="21"/>
                <w:szCs w:val="21"/>
                <w:vertAlign w:val="subscript"/>
              </w:rPr>
              <w:t>ˊ</w:t>
            </w:r>
          </w:p>
        </w:tc>
        <w:tc>
          <w:tcPr>
            <w:tcW w:w="865" w:type="pct"/>
            <w:vAlign w:val="center"/>
          </w:tcPr>
          <w:p w14:paraId="533E466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污水预处理装置废气</w:t>
            </w:r>
          </w:p>
        </w:tc>
        <w:tc>
          <w:tcPr>
            <w:tcW w:w="1740" w:type="pct"/>
            <w:vAlign w:val="center"/>
          </w:tcPr>
          <w:p w14:paraId="171F22D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非甲烷总烃</w:t>
            </w:r>
          </w:p>
        </w:tc>
        <w:tc>
          <w:tcPr>
            <w:tcW w:w="1230" w:type="pct"/>
            <w:vAlign w:val="center"/>
          </w:tcPr>
          <w:p w14:paraId="2087D0D8">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管道运输+密闭管道收集送焚烧炉焚烧</w:t>
            </w:r>
          </w:p>
        </w:tc>
      </w:tr>
      <w:tr w14:paraId="54E2B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restart"/>
            <w:vAlign w:val="center"/>
          </w:tcPr>
          <w:p w14:paraId="2ED4BE36">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废水</w:t>
            </w:r>
          </w:p>
        </w:tc>
        <w:tc>
          <w:tcPr>
            <w:tcW w:w="458" w:type="pct"/>
            <w:vAlign w:val="center"/>
          </w:tcPr>
          <w:p w14:paraId="3291E39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煤气净化</w:t>
            </w:r>
          </w:p>
        </w:tc>
        <w:tc>
          <w:tcPr>
            <w:tcW w:w="407" w:type="pct"/>
            <w:vAlign w:val="center"/>
          </w:tcPr>
          <w:p w14:paraId="21D5577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W</w:t>
            </w:r>
            <w:r>
              <w:rPr>
                <w:rFonts w:hint="eastAsia" w:cs="宋体"/>
                <w:kern w:val="2"/>
                <w:sz w:val="21"/>
                <w:szCs w:val="21"/>
                <w:vertAlign w:val="subscript"/>
              </w:rPr>
              <w:t>1-1</w:t>
            </w:r>
          </w:p>
        </w:tc>
        <w:tc>
          <w:tcPr>
            <w:tcW w:w="865" w:type="pct"/>
            <w:vAlign w:val="center"/>
          </w:tcPr>
          <w:p w14:paraId="10889BB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生产废水</w:t>
            </w:r>
          </w:p>
        </w:tc>
        <w:tc>
          <w:tcPr>
            <w:tcW w:w="1740" w:type="pct"/>
            <w:vAlign w:val="center"/>
          </w:tcPr>
          <w:p w14:paraId="63CA7326">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pH值、悬浮物、化学需氧量、氨氮、五日生化需氧量、总氮、总磷、石油类、挥发酚、硫化物、苯、氰化物、多环芳烃（PAHS）、苯并（a）芘等</w:t>
            </w:r>
          </w:p>
        </w:tc>
        <w:tc>
          <w:tcPr>
            <w:tcW w:w="1230" w:type="pct"/>
            <w:vAlign w:val="center"/>
          </w:tcPr>
          <w:p w14:paraId="68B0776E">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絮凝除油+气浮除油+酸化除油+高效复合脱氮</w:t>
            </w:r>
            <w:r>
              <w:rPr>
                <w:rFonts w:hint="eastAsia" w:cs="宋体"/>
                <w:kern w:val="2"/>
                <w:sz w:val="21"/>
                <w:szCs w:val="21"/>
              </w:rPr>
              <w:t>+焚烧</w:t>
            </w:r>
          </w:p>
        </w:tc>
      </w:tr>
      <w:tr w14:paraId="7B33B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187159BE">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restart"/>
            <w:vAlign w:val="center"/>
          </w:tcPr>
          <w:p w14:paraId="4F8C9461">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公用工程</w:t>
            </w:r>
          </w:p>
        </w:tc>
        <w:tc>
          <w:tcPr>
            <w:tcW w:w="407" w:type="pct"/>
            <w:vAlign w:val="center"/>
          </w:tcPr>
          <w:p w14:paraId="5F253C95">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W</w:t>
            </w:r>
            <w:r>
              <w:rPr>
                <w:rFonts w:hint="eastAsia" w:cs="宋体"/>
                <w:kern w:val="2"/>
                <w:sz w:val="21"/>
                <w:szCs w:val="21"/>
                <w:vertAlign w:val="subscript"/>
              </w:rPr>
              <w:t>1-2</w:t>
            </w:r>
          </w:p>
        </w:tc>
        <w:tc>
          <w:tcPr>
            <w:tcW w:w="865" w:type="pct"/>
            <w:vAlign w:val="center"/>
          </w:tcPr>
          <w:p w14:paraId="3291F6D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脱盐水站</w:t>
            </w:r>
          </w:p>
        </w:tc>
        <w:tc>
          <w:tcPr>
            <w:tcW w:w="1740" w:type="pct"/>
            <w:vAlign w:val="center"/>
          </w:tcPr>
          <w:p w14:paraId="24B6B633">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SS</w:t>
            </w:r>
            <w:r>
              <w:rPr>
                <w:rFonts w:hint="eastAsia" w:cs="宋体"/>
                <w:kern w:val="2"/>
                <w:sz w:val="21"/>
                <w:szCs w:val="21"/>
              </w:rPr>
              <w:t>、盐类</w:t>
            </w:r>
          </w:p>
        </w:tc>
        <w:tc>
          <w:tcPr>
            <w:tcW w:w="1230" w:type="pct"/>
            <w:vAlign w:val="center"/>
          </w:tcPr>
          <w:p w14:paraId="1078893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送厂内中水回用系统</w:t>
            </w:r>
          </w:p>
        </w:tc>
      </w:tr>
      <w:tr w14:paraId="3802E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09B0D4AC">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5FDB859A">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03A14AD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W</w:t>
            </w:r>
            <w:r>
              <w:rPr>
                <w:rFonts w:hint="eastAsia" w:cs="宋体"/>
                <w:kern w:val="2"/>
                <w:sz w:val="21"/>
                <w:szCs w:val="21"/>
                <w:vertAlign w:val="subscript"/>
              </w:rPr>
              <w:t>1-3</w:t>
            </w:r>
          </w:p>
        </w:tc>
        <w:tc>
          <w:tcPr>
            <w:tcW w:w="865" w:type="pct"/>
            <w:vAlign w:val="center"/>
          </w:tcPr>
          <w:p w14:paraId="5DC141DE">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循环水站排污水</w:t>
            </w:r>
          </w:p>
        </w:tc>
        <w:tc>
          <w:tcPr>
            <w:tcW w:w="1740" w:type="pct"/>
            <w:vAlign w:val="center"/>
          </w:tcPr>
          <w:p w14:paraId="5A08D616">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SS</w:t>
            </w:r>
            <w:r>
              <w:rPr>
                <w:rFonts w:hint="eastAsia" w:cs="宋体"/>
                <w:kern w:val="2"/>
                <w:sz w:val="21"/>
                <w:szCs w:val="21"/>
              </w:rPr>
              <w:t>、盐类</w:t>
            </w:r>
          </w:p>
        </w:tc>
        <w:tc>
          <w:tcPr>
            <w:tcW w:w="1230" w:type="pct"/>
            <w:vAlign w:val="center"/>
          </w:tcPr>
          <w:p w14:paraId="2009EE2C">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回用于进出料仓车辆冲洗</w:t>
            </w:r>
          </w:p>
        </w:tc>
      </w:tr>
      <w:tr w14:paraId="0E9FA5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61ACC506">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3C0F52BE">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32E61B8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W</w:t>
            </w:r>
            <w:r>
              <w:rPr>
                <w:rFonts w:hint="eastAsia" w:cs="宋体"/>
                <w:kern w:val="2"/>
                <w:sz w:val="21"/>
                <w:szCs w:val="21"/>
                <w:vertAlign w:val="subscript"/>
              </w:rPr>
              <w:t>1-4</w:t>
            </w:r>
          </w:p>
        </w:tc>
        <w:tc>
          <w:tcPr>
            <w:tcW w:w="865" w:type="pct"/>
            <w:vAlign w:val="center"/>
          </w:tcPr>
          <w:p w14:paraId="40BA5E49">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焚烧炉脱硫废水</w:t>
            </w:r>
          </w:p>
        </w:tc>
        <w:tc>
          <w:tcPr>
            <w:tcW w:w="1740" w:type="pct"/>
            <w:vAlign w:val="center"/>
          </w:tcPr>
          <w:p w14:paraId="48BFED5C">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SS</w:t>
            </w:r>
            <w:r>
              <w:rPr>
                <w:rFonts w:hint="eastAsia" w:cs="宋体"/>
                <w:kern w:val="2"/>
                <w:sz w:val="21"/>
                <w:szCs w:val="21"/>
              </w:rPr>
              <w:t>、盐类</w:t>
            </w:r>
          </w:p>
        </w:tc>
        <w:tc>
          <w:tcPr>
            <w:tcW w:w="1230" w:type="pct"/>
            <w:vAlign w:val="center"/>
          </w:tcPr>
          <w:p w14:paraId="0601D045">
            <w:pPr>
              <w:tabs>
                <w:tab w:val="center" w:pos="4180"/>
              </w:tabs>
              <w:adjustRightInd w:val="0"/>
              <w:snapToGrid w:val="0"/>
              <w:spacing w:line="240" w:lineRule="auto"/>
              <w:ind w:firstLine="0" w:firstLineChars="0"/>
              <w:jc w:val="center"/>
              <w:rPr>
                <w:rFonts w:cs="宋体"/>
                <w:kern w:val="2"/>
                <w:sz w:val="21"/>
                <w:szCs w:val="21"/>
              </w:rPr>
            </w:pPr>
            <w:bookmarkStart w:id="277" w:name="OLE_LINK38"/>
            <w:r>
              <w:rPr>
                <w:rFonts w:hint="eastAsia" w:cs="宋体"/>
                <w:kern w:val="2"/>
                <w:sz w:val="21"/>
                <w:szCs w:val="21"/>
              </w:rPr>
              <w:t>送废水预处理装置</w:t>
            </w:r>
            <w:bookmarkEnd w:id="277"/>
          </w:p>
        </w:tc>
      </w:tr>
      <w:tr w14:paraId="25295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1D9C454A">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0F1AE70D">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161E95EC">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W</w:t>
            </w:r>
            <w:r>
              <w:rPr>
                <w:rFonts w:hint="eastAsia" w:cs="宋体"/>
                <w:kern w:val="2"/>
                <w:sz w:val="21"/>
                <w:szCs w:val="21"/>
                <w:vertAlign w:val="subscript"/>
              </w:rPr>
              <w:t>1-5</w:t>
            </w:r>
          </w:p>
        </w:tc>
        <w:tc>
          <w:tcPr>
            <w:tcW w:w="865" w:type="pct"/>
            <w:vAlign w:val="center"/>
          </w:tcPr>
          <w:p w14:paraId="2E6A3B0E">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VOCs处理喷淋废水</w:t>
            </w:r>
          </w:p>
        </w:tc>
        <w:tc>
          <w:tcPr>
            <w:tcW w:w="1740" w:type="pct"/>
            <w:vAlign w:val="center"/>
          </w:tcPr>
          <w:p w14:paraId="3C684407">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SS</w:t>
            </w:r>
            <w:r>
              <w:rPr>
                <w:rFonts w:hint="eastAsia" w:cs="宋体"/>
                <w:kern w:val="2"/>
                <w:sz w:val="21"/>
                <w:szCs w:val="21"/>
              </w:rPr>
              <w:t>、盐类</w:t>
            </w:r>
          </w:p>
        </w:tc>
        <w:tc>
          <w:tcPr>
            <w:tcW w:w="1230" w:type="pct"/>
            <w:vAlign w:val="center"/>
          </w:tcPr>
          <w:p w14:paraId="0706A66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送废水预处理装置</w:t>
            </w:r>
          </w:p>
        </w:tc>
      </w:tr>
      <w:tr w14:paraId="2F962B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restart"/>
            <w:vAlign w:val="center"/>
          </w:tcPr>
          <w:p w14:paraId="3F1E4C53">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固体废物</w:t>
            </w:r>
          </w:p>
        </w:tc>
        <w:tc>
          <w:tcPr>
            <w:tcW w:w="458" w:type="pct"/>
            <w:vAlign w:val="center"/>
          </w:tcPr>
          <w:p w14:paraId="0862EFF6">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备煤</w:t>
            </w:r>
          </w:p>
        </w:tc>
        <w:tc>
          <w:tcPr>
            <w:tcW w:w="407" w:type="pct"/>
            <w:vAlign w:val="center"/>
          </w:tcPr>
          <w:p w14:paraId="569C61BE">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w:t>
            </w:r>
            <w:r>
              <w:rPr>
                <w:sz w:val="21"/>
                <w:szCs w:val="21"/>
                <w:vertAlign w:val="subscript"/>
              </w:rPr>
              <w:t>1</w:t>
            </w:r>
          </w:p>
        </w:tc>
        <w:tc>
          <w:tcPr>
            <w:tcW w:w="865" w:type="pct"/>
            <w:vAlign w:val="center"/>
          </w:tcPr>
          <w:p w14:paraId="485EAAC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煤尘</w:t>
            </w:r>
          </w:p>
        </w:tc>
        <w:tc>
          <w:tcPr>
            <w:tcW w:w="1740" w:type="pct"/>
            <w:vAlign w:val="center"/>
          </w:tcPr>
          <w:p w14:paraId="72C9D48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粉煤</w:t>
            </w:r>
          </w:p>
        </w:tc>
        <w:tc>
          <w:tcPr>
            <w:tcW w:w="1230" w:type="pct"/>
            <w:vAlign w:val="center"/>
          </w:tcPr>
          <w:p w14:paraId="43EB292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沫煤出厂</w:t>
            </w:r>
          </w:p>
        </w:tc>
      </w:tr>
      <w:tr w14:paraId="2D3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2F17B298">
            <w:pPr>
              <w:tabs>
                <w:tab w:val="center" w:pos="4180"/>
              </w:tabs>
              <w:adjustRightInd w:val="0"/>
              <w:snapToGrid w:val="0"/>
              <w:spacing w:line="240" w:lineRule="auto"/>
              <w:ind w:firstLine="420"/>
              <w:jc w:val="center"/>
              <w:rPr>
                <w:rFonts w:cs="宋体"/>
                <w:kern w:val="2"/>
                <w:sz w:val="21"/>
                <w:szCs w:val="21"/>
              </w:rPr>
            </w:pPr>
          </w:p>
        </w:tc>
        <w:tc>
          <w:tcPr>
            <w:tcW w:w="458" w:type="pct"/>
            <w:vMerge w:val="restart"/>
            <w:vAlign w:val="center"/>
          </w:tcPr>
          <w:p w14:paraId="3B2B440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炭化</w:t>
            </w:r>
          </w:p>
        </w:tc>
        <w:tc>
          <w:tcPr>
            <w:tcW w:w="407" w:type="pct"/>
            <w:vAlign w:val="center"/>
          </w:tcPr>
          <w:p w14:paraId="05DD1C48">
            <w:pPr>
              <w:tabs>
                <w:tab w:val="center" w:pos="4180"/>
              </w:tabs>
              <w:adjustRightInd w:val="0"/>
              <w:snapToGrid w:val="0"/>
              <w:spacing w:line="240" w:lineRule="auto"/>
              <w:ind w:firstLine="0" w:firstLineChars="0"/>
              <w:jc w:val="center"/>
              <w:rPr>
                <w:sz w:val="21"/>
                <w:szCs w:val="21"/>
              </w:rPr>
            </w:pPr>
            <w:r>
              <w:rPr>
                <w:sz w:val="21"/>
                <w:szCs w:val="21"/>
              </w:rPr>
              <w:t>S</w:t>
            </w:r>
            <w:r>
              <w:rPr>
                <w:rFonts w:hint="eastAsia"/>
                <w:sz w:val="21"/>
                <w:szCs w:val="21"/>
                <w:vertAlign w:val="subscript"/>
              </w:rPr>
              <w:t>1-2</w:t>
            </w:r>
          </w:p>
        </w:tc>
        <w:tc>
          <w:tcPr>
            <w:tcW w:w="865" w:type="pct"/>
            <w:vAlign w:val="center"/>
          </w:tcPr>
          <w:p w14:paraId="0E92ACE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焦尘</w:t>
            </w:r>
          </w:p>
        </w:tc>
        <w:tc>
          <w:tcPr>
            <w:tcW w:w="1740" w:type="pct"/>
            <w:vAlign w:val="center"/>
          </w:tcPr>
          <w:p w14:paraId="2C00F7D6">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粉焦</w:t>
            </w:r>
          </w:p>
        </w:tc>
        <w:tc>
          <w:tcPr>
            <w:tcW w:w="1230" w:type="pct"/>
            <w:vAlign w:val="center"/>
          </w:tcPr>
          <w:p w14:paraId="3C308A4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掺入兰炭外售</w:t>
            </w:r>
          </w:p>
        </w:tc>
      </w:tr>
      <w:tr w14:paraId="541F4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6135FE31">
            <w:pPr>
              <w:tabs>
                <w:tab w:val="center" w:pos="4180"/>
              </w:tabs>
              <w:adjustRightInd w:val="0"/>
              <w:snapToGrid w:val="0"/>
              <w:spacing w:line="240" w:lineRule="auto"/>
              <w:ind w:firstLine="420"/>
              <w:jc w:val="center"/>
              <w:rPr>
                <w:rFonts w:cs="宋体"/>
                <w:kern w:val="2"/>
                <w:sz w:val="21"/>
                <w:szCs w:val="21"/>
              </w:rPr>
            </w:pPr>
          </w:p>
        </w:tc>
        <w:tc>
          <w:tcPr>
            <w:tcW w:w="458" w:type="pct"/>
            <w:vMerge w:val="continue"/>
            <w:vAlign w:val="center"/>
          </w:tcPr>
          <w:p w14:paraId="6F6577DD">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22B43FDD">
            <w:pPr>
              <w:tabs>
                <w:tab w:val="center" w:pos="4180"/>
              </w:tabs>
              <w:adjustRightInd w:val="0"/>
              <w:snapToGrid w:val="0"/>
              <w:spacing w:line="240" w:lineRule="auto"/>
              <w:ind w:firstLine="0" w:firstLineChars="0"/>
              <w:jc w:val="center"/>
              <w:rPr>
                <w:sz w:val="21"/>
                <w:szCs w:val="21"/>
              </w:rPr>
            </w:pPr>
            <w:r>
              <w:rPr>
                <w:sz w:val="21"/>
                <w:szCs w:val="21"/>
              </w:rPr>
              <w:t>S</w:t>
            </w:r>
            <w:r>
              <w:rPr>
                <w:rFonts w:hint="eastAsia"/>
                <w:sz w:val="21"/>
                <w:szCs w:val="21"/>
                <w:vertAlign w:val="subscript"/>
              </w:rPr>
              <w:t>1-</w:t>
            </w:r>
            <w:r>
              <w:rPr>
                <w:sz w:val="21"/>
                <w:szCs w:val="21"/>
                <w:vertAlign w:val="subscript"/>
              </w:rPr>
              <w:t>3</w:t>
            </w:r>
          </w:p>
        </w:tc>
        <w:tc>
          <w:tcPr>
            <w:tcW w:w="865" w:type="pct"/>
            <w:vAlign w:val="center"/>
          </w:tcPr>
          <w:p w14:paraId="7802CE6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硫酸钠滤饼</w:t>
            </w:r>
          </w:p>
        </w:tc>
        <w:tc>
          <w:tcPr>
            <w:tcW w:w="1740" w:type="pct"/>
            <w:vAlign w:val="center"/>
          </w:tcPr>
          <w:p w14:paraId="1EB48249">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废盐</w:t>
            </w:r>
          </w:p>
        </w:tc>
        <w:tc>
          <w:tcPr>
            <w:tcW w:w="1230" w:type="pct"/>
            <w:vAlign w:val="center"/>
          </w:tcPr>
          <w:p w14:paraId="0DF6E79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厂外综合利用</w:t>
            </w:r>
          </w:p>
        </w:tc>
      </w:tr>
      <w:tr w14:paraId="3EB84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4E040F18">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restart"/>
            <w:vAlign w:val="center"/>
          </w:tcPr>
          <w:p w14:paraId="0CC3E38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煤气净化</w:t>
            </w:r>
          </w:p>
        </w:tc>
        <w:tc>
          <w:tcPr>
            <w:tcW w:w="407" w:type="pct"/>
            <w:vAlign w:val="center"/>
          </w:tcPr>
          <w:p w14:paraId="51FCD41D">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1-4</w:t>
            </w:r>
          </w:p>
        </w:tc>
        <w:tc>
          <w:tcPr>
            <w:tcW w:w="865" w:type="pct"/>
            <w:vAlign w:val="center"/>
          </w:tcPr>
          <w:p w14:paraId="6B62321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煤焦油</w:t>
            </w:r>
          </w:p>
        </w:tc>
        <w:tc>
          <w:tcPr>
            <w:tcW w:w="1740" w:type="pct"/>
            <w:vAlign w:val="center"/>
          </w:tcPr>
          <w:p w14:paraId="3128F9E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矿物油</w:t>
            </w:r>
          </w:p>
        </w:tc>
        <w:tc>
          <w:tcPr>
            <w:tcW w:w="1230" w:type="pct"/>
            <w:vAlign w:val="center"/>
          </w:tcPr>
          <w:p w14:paraId="0C088A8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委托资质单位处理</w:t>
            </w:r>
          </w:p>
        </w:tc>
      </w:tr>
      <w:tr w14:paraId="6876C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FD9C8EE">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20FE366B">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537A662F">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1-5</w:t>
            </w:r>
          </w:p>
        </w:tc>
        <w:tc>
          <w:tcPr>
            <w:tcW w:w="865" w:type="pct"/>
            <w:vAlign w:val="center"/>
          </w:tcPr>
          <w:p w14:paraId="19AF059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焦油渣</w:t>
            </w:r>
          </w:p>
        </w:tc>
        <w:tc>
          <w:tcPr>
            <w:tcW w:w="1740" w:type="pct"/>
            <w:vAlign w:val="center"/>
          </w:tcPr>
          <w:p w14:paraId="6A758C7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矿物油</w:t>
            </w:r>
          </w:p>
        </w:tc>
        <w:tc>
          <w:tcPr>
            <w:tcW w:w="1230" w:type="pct"/>
            <w:vMerge w:val="restart"/>
            <w:vAlign w:val="center"/>
          </w:tcPr>
          <w:p w14:paraId="3A9B076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备煤工段掺烧</w:t>
            </w:r>
          </w:p>
        </w:tc>
      </w:tr>
      <w:tr w14:paraId="17DA9D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096409E">
            <w:pPr>
              <w:tabs>
                <w:tab w:val="center" w:pos="4180"/>
              </w:tabs>
              <w:adjustRightInd w:val="0"/>
              <w:snapToGrid w:val="0"/>
              <w:spacing w:line="240" w:lineRule="auto"/>
              <w:ind w:firstLine="0" w:firstLineChars="0"/>
              <w:jc w:val="center"/>
              <w:rPr>
                <w:rFonts w:cs="宋体"/>
                <w:kern w:val="2"/>
                <w:sz w:val="21"/>
                <w:szCs w:val="21"/>
              </w:rPr>
            </w:pPr>
          </w:p>
        </w:tc>
        <w:tc>
          <w:tcPr>
            <w:tcW w:w="458" w:type="pct"/>
            <w:vAlign w:val="center"/>
          </w:tcPr>
          <w:p w14:paraId="0F39C358">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焦油罐区</w:t>
            </w:r>
          </w:p>
        </w:tc>
        <w:tc>
          <w:tcPr>
            <w:tcW w:w="407" w:type="pct"/>
            <w:vAlign w:val="center"/>
          </w:tcPr>
          <w:p w14:paraId="3607C78F">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1-6</w:t>
            </w:r>
          </w:p>
        </w:tc>
        <w:tc>
          <w:tcPr>
            <w:tcW w:w="865" w:type="pct"/>
            <w:vAlign w:val="center"/>
          </w:tcPr>
          <w:p w14:paraId="637F827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焦油渣</w:t>
            </w:r>
          </w:p>
        </w:tc>
        <w:tc>
          <w:tcPr>
            <w:tcW w:w="1740" w:type="pct"/>
            <w:vAlign w:val="center"/>
          </w:tcPr>
          <w:p w14:paraId="2DBC7D4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矿物油</w:t>
            </w:r>
          </w:p>
        </w:tc>
        <w:tc>
          <w:tcPr>
            <w:tcW w:w="1230" w:type="pct"/>
            <w:vMerge w:val="continue"/>
            <w:vAlign w:val="center"/>
          </w:tcPr>
          <w:p w14:paraId="331DC350">
            <w:pPr>
              <w:tabs>
                <w:tab w:val="center" w:pos="4180"/>
              </w:tabs>
              <w:adjustRightInd w:val="0"/>
              <w:snapToGrid w:val="0"/>
              <w:spacing w:line="240" w:lineRule="auto"/>
              <w:ind w:firstLine="0" w:firstLineChars="0"/>
              <w:jc w:val="center"/>
              <w:rPr>
                <w:rFonts w:cs="宋体"/>
                <w:kern w:val="2"/>
                <w:sz w:val="21"/>
                <w:szCs w:val="21"/>
              </w:rPr>
            </w:pPr>
          </w:p>
        </w:tc>
      </w:tr>
      <w:tr w14:paraId="4D0F4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8D3052C">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restart"/>
            <w:vAlign w:val="center"/>
          </w:tcPr>
          <w:p w14:paraId="127A3869">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设备检修</w:t>
            </w:r>
          </w:p>
        </w:tc>
        <w:tc>
          <w:tcPr>
            <w:tcW w:w="407" w:type="pct"/>
            <w:vAlign w:val="center"/>
          </w:tcPr>
          <w:p w14:paraId="75D2DC4C">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1-7</w:t>
            </w:r>
          </w:p>
        </w:tc>
        <w:tc>
          <w:tcPr>
            <w:tcW w:w="865" w:type="pct"/>
            <w:vAlign w:val="center"/>
          </w:tcPr>
          <w:p w14:paraId="355A4CBE">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废矿物油</w:t>
            </w:r>
          </w:p>
        </w:tc>
        <w:tc>
          <w:tcPr>
            <w:tcW w:w="1740" w:type="pct"/>
            <w:vAlign w:val="center"/>
          </w:tcPr>
          <w:p w14:paraId="643ED5A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矿物油</w:t>
            </w:r>
          </w:p>
        </w:tc>
        <w:tc>
          <w:tcPr>
            <w:tcW w:w="1230" w:type="pct"/>
            <w:vMerge w:val="continue"/>
            <w:vAlign w:val="center"/>
          </w:tcPr>
          <w:p w14:paraId="59989169">
            <w:pPr>
              <w:tabs>
                <w:tab w:val="center" w:pos="4180"/>
              </w:tabs>
              <w:adjustRightInd w:val="0"/>
              <w:snapToGrid w:val="0"/>
              <w:spacing w:line="240" w:lineRule="auto"/>
              <w:ind w:firstLine="0" w:firstLineChars="0"/>
              <w:jc w:val="center"/>
              <w:rPr>
                <w:rFonts w:cs="宋体"/>
                <w:kern w:val="2"/>
                <w:sz w:val="21"/>
                <w:szCs w:val="21"/>
              </w:rPr>
            </w:pPr>
          </w:p>
        </w:tc>
      </w:tr>
      <w:tr w14:paraId="0C6EC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5E0249C9">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18D59025">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5407930A">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1-8</w:t>
            </w:r>
          </w:p>
        </w:tc>
        <w:tc>
          <w:tcPr>
            <w:tcW w:w="865" w:type="pct"/>
            <w:vAlign w:val="center"/>
          </w:tcPr>
          <w:p w14:paraId="41A0B7EE">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废润滑油</w:t>
            </w:r>
          </w:p>
        </w:tc>
        <w:tc>
          <w:tcPr>
            <w:tcW w:w="1740" w:type="pct"/>
            <w:vAlign w:val="center"/>
          </w:tcPr>
          <w:p w14:paraId="4DBD025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矿物油</w:t>
            </w:r>
          </w:p>
        </w:tc>
        <w:tc>
          <w:tcPr>
            <w:tcW w:w="1230" w:type="pct"/>
            <w:vMerge w:val="continue"/>
            <w:vAlign w:val="center"/>
          </w:tcPr>
          <w:p w14:paraId="6710D957">
            <w:pPr>
              <w:tabs>
                <w:tab w:val="center" w:pos="4180"/>
              </w:tabs>
              <w:adjustRightInd w:val="0"/>
              <w:snapToGrid w:val="0"/>
              <w:spacing w:line="240" w:lineRule="auto"/>
              <w:ind w:firstLine="0" w:firstLineChars="0"/>
              <w:jc w:val="center"/>
              <w:rPr>
                <w:rFonts w:cs="宋体"/>
                <w:kern w:val="2"/>
                <w:sz w:val="21"/>
                <w:szCs w:val="21"/>
              </w:rPr>
            </w:pPr>
          </w:p>
        </w:tc>
      </w:tr>
      <w:tr w14:paraId="338BC4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1202386C">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7A3B35B0">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4C879274">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1-9</w:t>
            </w:r>
          </w:p>
        </w:tc>
        <w:tc>
          <w:tcPr>
            <w:tcW w:w="865" w:type="pct"/>
            <w:vAlign w:val="center"/>
          </w:tcPr>
          <w:p w14:paraId="080A4D2D">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废油桶</w:t>
            </w:r>
          </w:p>
        </w:tc>
        <w:tc>
          <w:tcPr>
            <w:tcW w:w="1740" w:type="pct"/>
            <w:vAlign w:val="center"/>
          </w:tcPr>
          <w:p w14:paraId="0E3F737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油桶</w:t>
            </w:r>
          </w:p>
        </w:tc>
        <w:tc>
          <w:tcPr>
            <w:tcW w:w="1230" w:type="pct"/>
            <w:vAlign w:val="center"/>
          </w:tcPr>
          <w:p w14:paraId="333C837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委托资质单位处理</w:t>
            </w:r>
          </w:p>
        </w:tc>
      </w:tr>
      <w:tr w14:paraId="1690A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1410310B">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restart"/>
            <w:vAlign w:val="center"/>
          </w:tcPr>
          <w:p w14:paraId="4C362965">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废气处理</w:t>
            </w:r>
          </w:p>
        </w:tc>
        <w:tc>
          <w:tcPr>
            <w:tcW w:w="407" w:type="pct"/>
            <w:vAlign w:val="center"/>
          </w:tcPr>
          <w:p w14:paraId="54DEDC96">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1-10</w:t>
            </w:r>
          </w:p>
        </w:tc>
        <w:tc>
          <w:tcPr>
            <w:tcW w:w="865" w:type="pct"/>
            <w:vAlign w:val="center"/>
          </w:tcPr>
          <w:p w14:paraId="04C1389E">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废活性炭</w:t>
            </w:r>
          </w:p>
        </w:tc>
        <w:tc>
          <w:tcPr>
            <w:tcW w:w="1740" w:type="pct"/>
            <w:vAlign w:val="center"/>
          </w:tcPr>
          <w:p w14:paraId="03A5BBE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碳</w:t>
            </w:r>
          </w:p>
        </w:tc>
        <w:tc>
          <w:tcPr>
            <w:tcW w:w="1230" w:type="pct"/>
            <w:vAlign w:val="center"/>
          </w:tcPr>
          <w:p w14:paraId="082535E1">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备煤工段掺烧</w:t>
            </w:r>
          </w:p>
        </w:tc>
      </w:tr>
      <w:tr w14:paraId="6FC68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45656016">
            <w:pPr>
              <w:tabs>
                <w:tab w:val="center" w:pos="4180"/>
              </w:tabs>
              <w:adjustRightInd w:val="0"/>
              <w:snapToGrid w:val="0"/>
              <w:spacing w:line="240" w:lineRule="auto"/>
              <w:ind w:firstLine="0" w:firstLineChars="0"/>
              <w:jc w:val="center"/>
              <w:rPr>
                <w:rFonts w:cs="宋体"/>
                <w:kern w:val="2"/>
                <w:sz w:val="21"/>
                <w:szCs w:val="21"/>
              </w:rPr>
            </w:pPr>
          </w:p>
        </w:tc>
        <w:tc>
          <w:tcPr>
            <w:tcW w:w="458" w:type="pct"/>
            <w:vMerge w:val="continue"/>
            <w:vAlign w:val="center"/>
          </w:tcPr>
          <w:p w14:paraId="5D240455">
            <w:pPr>
              <w:tabs>
                <w:tab w:val="center" w:pos="4180"/>
              </w:tabs>
              <w:adjustRightInd w:val="0"/>
              <w:snapToGrid w:val="0"/>
              <w:spacing w:line="240" w:lineRule="auto"/>
              <w:ind w:firstLine="0" w:firstLineChars="0"/>
              <w:jc w:val="center"/>
              <w:rPr>
                <w:rFonts w:cs="宋体"/>
                <w:kern w:val="2"/>
                <w:sz w:val="21"/>
                <w:szCs w:val="21"/>
              </w:rPr>
            </w:pPr>
          </w:p>
        </w:tc>
        <w:tc>
          <w:tcPr>
            <w:tcW w:w="407" w:type="pct"/>
            <w:vAlign w:val="center"/>
          </w:tcPr>
          <w:p w14:paraId="49C710A3">
            <w:pPr>
              <w:tabs>
                <w:tab w:val="center" w:pos="4180"/>
              </w:tabs>
              <w:adjustRightInd w:val="0"/>
              <w:snapToGrid w:val="0"/>
              <w:spacing w:line="240" w:lineRule="auto"/>
              <w:ind w:firstLine="0" w:firstLineChars="0"/>
              <w:jc w:val="center"/>
              <w:rPr>
                <w:sz w:val="21"/>
                <w:szCs w:val="21"/>
              </w:rPr>
            </w:pPr>
            <w:r>
              <w:rPr>
                <w:sz w:val="21"/>
                <w:szCs w:val="21"/>
              </w:rPr>
              <w:t>S</w:t>
            </w:r>
            <w:r>
              <w:rPr>
                <w:rFonts w:hint="eastAsia"/>
                <w:sz w:val="21"/>
                <w:szCs w:val="21"/>
                <w:vertAlign w:val="subscript"/>
              </w:rPr>
              <w:t>1-11</w:t>
            </w:r>
          </w:p>
        </w:tc>
        <w:tc>
          <w:tcPr>
            <w:tcW w:w="865" w:type="pct"/>
            <w:vAlign w:val="center"/>
          </w:tcPr>
          <w:p w14:paraId="74D61C4C">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废催化剂</w:t>
            </w:r>
          </w:p>
        </w:tc>
        <w:tc>
          <w:tcPr>
            <w:tcW w:w="1740" w:type="pct"/>
            <w:vAlign w:val="center"/>
          </w:tcPr>
          <w:p w14:paraId="55087CB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贵金属铂</w:t>
            </w:r>
          </w:p>
        </w:tc>
        <w:tc>
          <w:tcPr>
            <w:tcW w:w="1230" w:type="pct"/>
            <w:vAlign w:val="center"/>
          </w:tcPr>
          <w:p w14:paraId="41A4F136">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厂家回收</w:t>
            </w:r>
          </w:p>
        </w:tc>
      </w:tr>
      <w:tr w14:paraId="3315A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2F1EA6F5">
            <w:pPr>
              <w:tabs>
                <w:tab w:val="center" w:pos="4180"/>
              </w:tabs>
              <w:adjustRightInd w:val="0"/>
              <w:snapToGrid w:val="0"/>
              <w:spacing w:line="240" w:lineRule="auto"/>
              <w:ind w:firstLine="0" w:firstLineChars="0"/>
              <w:jc w:val="center"/>
              <w:rPr>
                <w:rFonts w:cs="宋体"/>
                <w:kern w:val="2"/>
                <w:sz w:val="21"/>
                <w:szCs w:val="21"/>
              </w:rPr>
            </w:pPr>
          </w:p>
        </w:tc>
        <w:tc>
          <w:tcPr>
            <w:tcW w:w="458" w:type="pct"/>
            <w:vAlign w:val="center"/>
          </w:tcPr>
          <w:p w14:paraId="45F7E07E">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废水处理</w:t>
            </w:r>
          </w:p>
        </w:tc>
        <w:tc>
          <w:tcPr>
            <w:tcW w:w="407" w:type="pct"/>
            <w:vAlign w:val="center"/>
          </w:tcPr>
          <w:p w14:paraId="516C134B">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1-12</w:t>
            </w:r>
          </w:p>
        </w:tc>
        <w:tc>
          <w:tcPr>
            <w:tcW w:w="865" w:type="pct"/>
            <w:vAlign w:val="center"/>
          </w:tcPr>
          <w:p w14:paraId="3A2D161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硫酸铵溶液</w:t>
            </w:r>
          </w:p>
        </w:tc>
        <w:tc>
          <w:tcPr>
            <w:tcW w:w="1740" w:type="pct"/>
            <w:vAlign w:val="center"/>
          </w:tcPr>
          <w:p w14:paraId="6EB43A4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含盐溶液</w:t>
            </w:r>
          </w:p>
        </w:tc>
        <w:tc>
          <w:tcPr>
            <w:tcW w:w="1230" w:type="pct"/>
            <w:vAlign w:val="center"/>
          </w:tcPr>
          <w:p w14:paraId="132CA72A">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回用于绿化施肥</w:t>
            </w:r>
          </w:p>
        </w:tc>
      </w:tr>
      <w:tr w14:paraId="5733B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601AAE9B">
            <w:pPr>
              <w:tabs>
                <w:tab w:val="center" w:pos="4180"/>
              </w:tabs>
              <w:adjustRightInd w:val="0"/>
              <w:snapToGrid w:val="0"/>
              <w:spacing w:line="240" w:lineRule="auto"/>
              <w:ind w:firstLine="0" w:firstLineChars="0"/>
              <w:jc w:val="center"/>
              <w:rPr>
                <w:rFonts w:cs="宋体"/>
                <w:kern w:val="2"/>
                <w:sz w:val="21"/>
                <w:szCs w:val="21"/>
              </w:rPr>
            </w:pPr>
          </w:p>
        </w:tc>
        <w:tc>
          <w:tcPr>
            <w:tcW w:w="458" w:type="pct"/>
            <w:vAlign w:val="center"/>
          </w:tcPr>
          <w:p w14:paraId="7AA9635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脱盐水制备</w:t>
            </w:r>
          </w:p>
        </w:tc>
        <w:tc>
          <w:tcPr>
            <w:tcW w:w="407" w:type="pct"/>
            <w:vAlign w:val="center"/>
          </w:tcPr>
          <w:p w14:paraId="4F543A06">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w:t>
            </w:r>
            <w:r>
              <w:rPr>
                <w:sz w:val="21"/>
                <w:szCs w:val="21"/>
                <w:vertAlign w:val="subscript"/>
              </w:rPr>
              <w:t>1</w:t>
            </w:r>
            <w:r>
              <w:rPr>
                <w:rFonts w:hint="eastAsia"/>
                <w:sz w:val="21"/>
                <w:szCs w:val="21"/>
                <w:vertAlign w:val="subscript"/>
              </w:rPr>
              <w:t>3</w:t>
            </w:r>
          </w:p>
        </w:tc>
        <w:tc>
          <w:tcPr>
            <w:tcW w:w="865" w:type="pct"/>
            <w:vAlign w:val="center"/>
          </w:tcPr>
          <w:p w14:paraId="6D42CE1F">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废离子交换树脂</w:t>
            </w:r>
          </w:p>
        </w:tc>
        <w:tc>
          <w:tcPr>
            <w:tcW w:w="1740" w:type="pct"/>
            <w:vAlign w:val="center"/>
          </w:tcPr>
          <w:p w14:paraId="36EA623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树脂</w:t>
            </w:r>
          </w:p>
        </w:tc>
        <w:tc>
          <w:tcPr>
            <w:tcW w:w="1230" w:type="pct"/>
            <w:vAlign w:val="center"/>
          </w:tcPr>
          <w:p w14:paraId="58C6A1A2">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厂家回收</w:t>
            </w:r>
          </w:p>
        </w:tc>
      </w:tr>
      <w:tr w14:paraId="1DF63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7562DC5F">
            <w:pPr>
              <w:tabs>
                <w:tab w:val="center" w:pos="4180"/>
              </w:tabs>
              <w:adjustRightInd w:val="0"/>
              <w:snapToGrid w:val="0"/>
              <w:spacing w:line="240" w:lineRule="auto"/>
              <w:ind w:firstLine="0" w:firstLineChars="0"/>
              <w:jc w:val="center"/>
              <w:rPr>
                <w:rFonts w:cs="宋体"/>
                <w:kern w:val="2"/>
                <w:sz w:val="21"/>
                <w:szCs w:val="21"/>
              </w:rPr>
            </w:pPr>
          </w:p>
        </w:tc>
        <w:tc>
          <w:tcPr>
            <w:tcW w:w="458" w:type="pct"/>
            <w:vAlign w:val="center"/>
          </w:tcPr>
          <w:p w14:paraId="6CAD18E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制氮站</w:t>
            </w:r>
          </w:p>
        </w:tc>
        <w:tc>
          <w:tcPr>
            <w:tcW w:w="407" w:type="pct"/>
            <w:vAlign w:val="center"/>
          </w:tcPr>
          <w:p w14:paraId="47A14171">
            <w:pPr>
              <w:tabs>
                <w:tab w:val="center" w:pos="4180"/>
              </w:tabs>
              <w:adjustRightInd w:val="0"/>
              <w:snapToGrid w:val="0"/>
              <w:spacing w:line="240" w:lineRule="auto"/>
              <w:ind w:firstLine="0" w:firstLineChars="0"/>
              <w:jc w:val="center"/>
              <w:rPr>
                <w:rFonts w:cs="宋体"/>
                <w:kern w:val="2"/>
                <w:sz w:val="21"/>
                <w:szCs w:val="21"/>
              </w:rPr>
            </w:pPr>
            <w:r>
              <w:rPr>
                <w:sz w:val="21"/>
                <w:szCs w:val="21"/>
              </w:rPr>
              <w:t>S</w:t>
            </w:r>
            <w:r>
              <w:rPr>
                <w:rFonts w:hint="eastAsia"/>
                <w:sz w:val="21"/>
                <w:szCs w:val="21"/>
                <w:vertAlign w:val="subscript"/>
              </w:rPr>
              <w:t>1-</w:t>
            </w:r>
            <w:r>
              <w:rPr>
                <w:sz w:val="21"/>
                <w:szCs w:val="21"/>
                <w:vertAlign w:val="subscript"/>
              </w:rPr>
              <w:t>1</w:t>
            </w:r>
            <w:r>
              <w:rPr>
                <w:rFonts w:hint="eastAsia"/>
                <w:sz w:val="21"/>
                <w:szCs w:val="21"/>
                <w:vertAlign w:val="subscript"/>
              </w:rPr>
              <w:t>4</w:t>
            </w:r>
          </w:p>
        </w:tc>
        <w:tc>
          <w:tcPr>
            <w:tcW w:w="865" w:type="pct"/>
            <w:vAlign w:val="center"/>
          </w:tcPr>
          <w:p w14:paraId="105858B5">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废分子筛</w:t>
            </w:r>
          </w:p>
        </w:tc>
        <w:tc>
          <w:tcPr>
            <w:tcW w:w="1740" w:type="pct"/>
            <w:vAlign w:val="center"/>
          </w:tcPr>
          <w:p w14:paraId="284FC443">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碳</w:t>
            </w:r>
          </w:p>
        </w:tc>
        <w:tc>
          <w:tcPr>
            <w:tcW w:w="1230" w:type="pct"/>
            <w:vMerge w:val="restart"/>
            <w:vAlign w:val="center"/>
          </w:tcPr>
          <w:p w14:paraId="17291423">
            <w:pPr>
              <w:tabs>
                <w:tab w:val="center" w:pos="4180"/>
              </w:tabs>
              <w:adjustRightInd w:val="0"/>
              <w:snapToGrid w:val="0"/>
              <w:spacing w:line="240" w:lineRule="auto"/>
              <w:ind w:firstLine="420"/>
              <w:jc w:val="center"/>
              <w:rPr>
                <w:rFonts w:cs="宋体"/>
                <w:kern w:val="2"/>
                <w:sz w:val="21"/>
                <w:szCs w:val="21"/>
              </w:rPr>
            </w:pPr>
            <w:r>
              <w:rPr>
                <w:rFonts w:hint="eastAsia" w:cs="宋体"/>
                <w:kern w:val="2"/>
                <w:sz w:val="21"/>
                <w:szCs w:val="21"/>
              </w:rPr>
              <w:t>园区一般固废填埋场</w:t>
            </w:r>
          </w:p>
        </w:tc>
      </w:tr>
      <w:tr w14:paraId="01AF5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096A28E6">
            <w:pPr>
              <w:tabs>
                <w:tab w:val="center" w:pos="4180"/>
              </w:tabs>
              <w:adjustRightInd w:val="0"/>
              <w:snapToGrid w:val="0"/>
              <w:spacing w:line="240" w:lineRule="auto"/>
              <w:ind w:firstLine="0" w:firstLineChars="0"/>
              <w:jc w:val="center"/>
              <w:rPr>
                <w:rFonts w:cs="宋体"/>
                <w:kern w:val="2"/>
                <w:sz w:val="21"/>
                <w:szCs w:val="21"/>
              </w:rPr>
            </w:pPr>
          </w:p>
        </w:tc>
        <w:tc>
          <w:tcPr>
            <w:tcW w:w="458" w:type="pct"/>
            <w:vAlign w:val="center"/>
          </w:tcPr>
          <w:p w14:paraId="48AFB98D">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除尘设施</w:t>
            </w:r>
          </w:p>
        </w:tc>
        <w:tc>
          <w:tcPr>
            <w:tcW w:w="407" w:type="pct"/>
            <w:vAlign w:val="center"/>
          </w:tcPr>
          <w:p w14:paraId="186E2054">
            <w:pPr>
              <w:tabs>
                <w:tab w:val="center" w:pos="4180"/>
              </w:tabs>
              <w:adjustRightInd w:val="0"/>
              <w:snapToGrid w:val="0"/>
              <w:spacing w:line="240" w:lineRule="auto"/>
              <w:ind w:firstLine="0" w:firstLineChars="0"/>
              <w:jc w:val="center"/>
              <w:rPr>
                <w:sz w:val="21"/>
                <w:szCs w:val="21"/>
              </w:rPr>
            </w:pPr>
            <w:r>
              <w:rPr>
                <w:sz w:val="21"/>
                <w:szCs w:val="21"/>
              </w:rPr>
              <w:t>S</w:t>
            </w:r>
            <w:r>
              <w:rPr>
                <w:rFonts w:hint="eastAsia"/>
                <w:sz w:val="21"/>
                <w:szCs w:val="21"/>
                <w:vertAlign w:val="subscript"/>
              </w:rPr>
              <w:t>1-</w:t>
            </w:r>
            <w:r>
              <w:rPr>
                <w:sz w:val="21"/>
                <w:szCs w:val="21"/>
                <w:vertAlign w:val="subscript"/>
              </w:rPr>
              <w:t>1</w:t>
            </w:r>
            <w:r>
              <w:rPr>
                <w:rFonts w:hint="eastAsia"/>
                <w:sz w:val="21"/>
                <w:szCs w:val="21"/>
                <w:vertAlign w:val="subscript"/>
              </w:rPr>
              <w:t>5</w:t>
            </w:r>
          </w:p>
        </w:tc>
        <w:tc>
          <w:tcPr>
            <w:tcW w:w="865" w:type="pct"/>
            <w:vAlign w:val="center"/>
          </w:tcPr>
          <w:p w14:paraId="53DB02A4">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废布袋</w:t>
            </w:r>
          </w:p>
        </w:tc>
        <w:tc>
          <w:tcPr>
            <w:tcW w:w="1740" w:type="pct"/>
            <w:vAlign w:val="center"/>
          </w:tcPr>
          <w:p w14:paraId="14013C66">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涤纶、玻璃纤维</w:t>
            </w:r>
          </w:p>
        </w:tc>
        <w:tc>
          <w:tcPr>
            <w:tcW w:w="1230" w:type="pct"/>
            <w:vMerge w:val="continue"/>
            <w:vAlign w:val="center"/>
          </w:tcPr>
          <w:p w14:paraId="0E76E156">
            <w:pPr>
              <w:tabs>
                <w:tab w:val="center" w:pos="4180"/>
              </w:tabs>
              <w:adjustRightInd w:val="0"/>
              <w:snapToGrid w:val="0"/>
              <w:spacing w:line="240" w:lineRule="auto"/>
              <w:ind w:firstLine="420"/>
              <w:jc w:val="center"/>
              <w:rPr>
                <w:rFonts w:cs="宋体"/>
                <w:kern w:val="2"/>
                <w:sz w:val="21"/>
                <w:szCs w:val="21"/>
              </w:rPr>
            </w:pPr>
          </w:p>
        </w:tc>
      </w:tr>
      <w:tr w14:paraId="623BE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3DA75177">
            <w:pPr>
              <w:tabs>
                <w:tab w:val="center" w:pos="4180"/>
              </w:tabs>
              <w:adjustRightInd w:val="0"/>
              <w:snapToGrid w:val="0"/>
              <w:spacing w:line="240" w:lineRule="auto"/>
              <w:ind w:firstLine="0" w:firstLineChars="0"/>
              <w:jc w:val="center"/>
              <w:rPr>
                <w:rFonts w:cs="宋体"/>
                <w:kern w:val="2"/>
                <w:sz w:val="21"/>
                <w:szCs w:val="21"/>
              </w:rPr>
            </w:pPr>
          </w:p>
        </w:tc>
        <w:tc>
          <w:tcPr>
            <w:tcW w:w="458" w:type="pct"/>
            <w:vAlign w:val="center"/>
          </w:tcPr>
          <w:p w14:paraId="56ED1960">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料仓洗车</w:t>
            </w:r>
          </w:p>
        </w:tc>
        <w:tc>
          <w:tcPr>
            <w:tcW w:w="407" w:type="pct"/>
            <w:vAlign w:val="center"/>
          </w:tcPr>
          <w:p w14:paraId="60F34BDE">
            <w:pPr>
              <w:tabs>
                <w:tab w:val="center" w:pos="4180"/>
              </w:tabs>
              <w:adjustRightInd w:val="0"/>
              <w:snapToGrid w:val="0"/>
              <w:spacing w:line="240" w:lineRule="auto"/>
              <w:ind w:firstLine="0" w:firstLineChars="0"/>
              <w:jc w:val="center"/>
              <w:rPr>
                <w:sz w:val="21"/>
                <w:szCs w:val="21"/>
              </w:rPr>
            </w:pPr>
            <w:r>
              <w:rPr>
                <w:sz w:val="21"/>
                <w:szCs w:val="21"/>
              </w:rPr>
              <w:t>S</w:t>
            </w:r>
            <w:r>
              <w:rPr>
                <w:rFonts w:hint="eastAsia"/>
                <w:sz w:val="21"/>
                <w:szCs w:val="21"/>
                <w:vertAlign w:val="subscript"/>
              </w:rPr>
              <w:t>1-</w:t>
            </w:r>
            <w:r>
              <w:rPr>
                <w:sz w:val="21"/>
                <w:szCs w:val="21"/>
                <w:vertAlign w:val="subscript"/>
              </w:rPr>
              <w:t>1</w:t>
            </w:r>
            <w:r>
              <w:rPr>
                <w:rFonts w:hint="eastAsia"/>
                <w:sz w:val="21"/>
                <w:szCs w:val="21"/>
                <w:vertAlign w:val="subscript"/>
              </w:rPr>
              <w:t>6</w:t>
            </w:r>
          </w:p>
        </w:tc>
        <w:tc>
          <w:tcPr>
            <w:tcW w:w="865" w:type="pct"/>
            <w:vAlign w:val="center"/>
          </w:tcPr>
          <w:p w14:paraId="70B2753D">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煤泥</w:t>
            </w:r>
          </w:p>
        </w:tc>
        <w:tc>
          <w:tcPr>
            <w:tcW w:w="1740" w:type="pct"/>
            <w:vAlign w:val="center"/>
          </w:tcPr>
          <w:p w14:paraId="09488D17">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煤尘</w:t>
            </w:r>
          </w:p>
        </w:tc>
        <w:tc>
          <w:tcPr>
            <w:tcW w:w="1230" w:type="pct"/>
            <w:vAlign w:val="center"/>
          </w:tcPr>
          <w:p w14:paraId="3F595C6F">
            <w:pPr>
              <w:tabs>
                <w:tab w:val="center" w:pos="4180"/>
              </w:tabs>
              <w:adjustRightInd w:val="0"/>
              <w:snapToGrid w:val="0"/>
              <w:spacing w:line="240" w:lineRule="auto"/>
              <w:ind w:firstLine="420"/>
              <w:jc w:val="center"/>
              <w:rPr>
                <w:rFonts w:cs="宋体"/>
                <w:kern w:val="2"/>
                <w:sz w:val="21"/>
                <w:szCs w:val="21"/>
              </w:rPr>
            </w:pPr>
            <w:r>
              <w:rPr>
                <w:rFonts w:hint="eastAsia" w:cs="宋体"/>
                <w:kern w:val="2"/>
                <w:sz w:val="21"/>
                <w:szCs w:val="21"/>
              </w:rPr>
              <w:t>备煤工段掺烧</w:t>
            </w:r>
          </w:p>
        </w:tc>
      </w:tr>
      <w:tr w14:paraId="64B36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0" w:type="pct"/>
            <w:vAlign w:val="center"/>
          </w:tcPr>
          <w:p w14:paraId="2F21069D">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噪声</w:t>
            </w:r>
          </w:p>
        </w:tc>
        <w:tc>
          <w:tcPr>
            <w:tcW w:w="458" w:type="pct"/>
            <w:vAlign w:val="center"/>
          </w:tcPr>
          <w:p w14:paraId="21077746">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生产装置</w:t>
            </w:r>
          </w:p>
        </w:tc>
        <w:tc>
          <w:tcPr>
            <w:tcW w:w="407" w:type="pct"/>
            <w:vAlign w:val="center"/>
          </w:tcPr>
          <w:p w14:paraId="367781C9">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N</w:t>
            </w:r>
            <w:r>
              <w:rPr>
                <w:rFonts w:hint="eastAsia" w:cs="宋体"/>
                <w:kern w:val="2"/>
                <w:sz w:val="21"/>
                <w:szCs w:val="21"/>
                <w:vertAlign w:val="subscript"/>
              </w:rPr>
              <w:t>1</w:t>
            </w:r>
          </w:p>
        </w:tc>
        <w:tc>
          <w:tcPr>
            <w:tcW w:w="865" w:type="pct"/>
            <w:vAlign w:val="center"/>
          </w:tcPr>
          <w:p w14:paraId="21BACF31">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振动筛、各种风机与泵类</w:t>
            </w:r>
          </w:p>
        </w:tc>
        <w:tc>
          <w:tcPr>
            <w:tcW w:w="1740" w:type="pct"/>
            <w:vAlign w:val="center"/>
          </w:tcPr>
          <w:p w14:paraId="16AB561B">
            <w:pPr>
              <w:tabs>
                <w:tab w:val="center" w:pos="4180"/>
              </w:tabs>
              <w:adjustRightInd w:val="0"/>
              <w:snapToGrid w:val="0"/>
              <w:spacing w:line="240" w:lineRule="auto"/>
              <w:ind w:firstLine="0" w:firstLineChars="0"/>
              <w:jc w:val="center"/>
              <w:rPr>
                <w:rFonts w:cs="宋体"/>
                <w:kern w:val="2"/>
                <w:sz w:val="21"/>
                <w:szCs w:val="21"/>
              </w:rPr>
            </w:pPr>
            <w:r>
              <w:rPr>
                <w:rFonts w:hint="eastAsia" w:cs="宋体"/>
                <w:kern w:val="2"/>
                <w:sz w:val="21"/>
                <w:szCs w:val="21"/>
              </w:rPr>
              <w:t>等效A声级</w:t>
            </w:r>
          </w:p>
        </w:tc>
        <w:tc>
          <w:tcPr>
            <w:tcW w:w="1230" w:type="pct"/>
            <w:vAlign w:val="center"/>
          </w:tcPr>
          <w:p w14:paraId="46131257">
            <w:pPr>
              <w:tabs>
                <w:tab w:val="center" w:pos="4180"/>
              </w:tabs>
              <w:adjustRightInd w:val="0"/>
              <w:snapToGrid w:val="0"/>
              <w:spacing w:line="240" w:lineRule="auto"/>
              <w:ind w:firstLine="0" w:firstLineChars="0"/>
              <w:jc w:val="center"/>
              <w:rPr>
                <w:rFonts w:cs="宋体"/>
                <w:kern w:val="2"/>
                <w:sz w:val="21"/>
                <w:szCs w:val="21"/>
              </w:rPr>
            </w:pPr>
            <w:r>
              <w:rPr>
                <w:rFonts w:cs="宋体"/>
                <w:kern w:val="2"/>
                <w:sz w:val="21"/>
                <w:szCs w:val="21"/>
              </w:rPr>
              <w:t>选用低噪声设备、</w:t>
            </w:r>
            <w:r>
              <w:rPr>
                <w:rFonts w:hint="eastAsia" w:cs="宋体"/>
                <w:kern w:val="2"/>
                <w:sz w:val="21"/>
                <w:szCs w:val="21"/>
              </w:rPr>
              <w:t>基础减震、厂房隔声、设置隔声置</w:t>
            </w:r>
            <w:r>
              <w:rPr>
                <w:rFonts w:cs="宋体"/>
                <w:kern w:val="2"/>
                <w:sz w:val="21"/>
                <w:szCs w:val="21"/>
              </w:rPr>
              <w:t>等措施</w:t>
            </w:r>
          </w:p>
        </w:tc>
      </w:tr>
      <w:bookmarkEnd w:id="275"/>
    </w:tbl>
    <w:p w14:paraId="517D8B77">
      <w:pPr>
        <w:ind w:firstLine="480"/>
        <w:sectPr>
          <w:pgSz w:w="16838" w:h="11906" w:orient="landscape"/>
          <w:pgMar w:top="1800" w:right="1440" w:bottom="1800" w:left="1440" w:header="851" w:footer="992" w:gutter="0"/>
          <w:cols w:space="425" w:num="1"/>
          <w:docGrid w:type="lines" w:linePitch="326" w:charSpace="0"/>
        </w:sectPr>
      </w:pPr>
    </w:p>
    <w:p w14:paraId="585C3F01">
      <w:pPr>
        <w:pStyle w:val="138"/>
        <w:rPr>
          <w:rFonts w:hint="eastAsia"/>
        </w:rPr>
      </w:pPr>
      <w:r>
        <w:rPr>
          <w:rFonts w:hint="eastAsia"/>
        </w:rPr>
        <w:t>原辅材料及资源能源消耗</w:t>
      </w:r>
    </w:p>
    <w:p w14:paraId="65E9DCFB">
      <w:pPr>
        <w:pStyle w:val="944"/>
      </w:pPr>
      <w:r>
        <w:rPr>
          <w:rFonts w:hint="eastAsia"/>
        </w:rPr>
        <w:t>原煤</w:t>
      </w:r>
    </w:p>
    <w:p w14:paraId="57CF7E4C">
      <w:pPr>
        <w:pStyle w:val="117"/>
        <w:ind w:firstLine="480"/>
      </w:pPr>
      <w:r>
        <w:rPr>
          <w:rFonts w:hint="eastAsia"/>
        </w:rPr>
        <w:t>兰炭生产线的原料依托于现有的原料路线，原料来源于哈密地区疆纳煤矿。哈密地区煤炭资源丰富，此煤具有低灰、低硫、低磷不粘、弱粘、长焰等特点，是理想的优质动力煤和化工用煤。属优质环保煤，属气煤和长焰煤，硫、磷灰分低于一般工业用煤，是生产兰炭的优质原料。</w:t>
      </w:r>
    </w:p>
    <w:p w14:paraId="4E2CFFC7">
      <w:pPr>
        <w:pStyle w:val="117"/>
        <w:ind w:firstLine="480"/>
      </w:pPr>
      <w:r>
        <w:rPr>
          <w:rFonts w:hint="eastAsia"/>
        </w:rPr>
        <w:t>新疆疆纳煤矿位于新疆维吾尔自治区哈密市伊吾县淖毛湖镇。这一煤矿是新疆疆纳矿业有限公司的一部分，具体位置在伊吾县淖毛湖矿区，属于新疆伊吾淖毛湖矿区规划煤矿之一。该煤矿的行政区划隶属于哈密地区伊吾县淖毛湖镇管辖，矿田面积达到</w:t>
      </w:r>
      <w:r>
        <w:t xml:space="preserve">32.53 </w:t>
      </w:r>
      <w:r>
        <w:rPr>
          <w:rFonts w:hint="eastAsia"/>
        </w:rPr>
        <w:t>平方公里，剩余可采煤层有</w:t>
      </w:r>
      <w:r>
        <w:t>2</w:t>
      </w:r>
      <w:r>
        <w:rPr>
          <w:rFonts w:hint="eastAsia"/>
        </w:rPr>
        <w:t>层，可采储量为</w:t>
      </w:r>
      <w:r>
        <w:t>2.77</w:t>
      </w:r>
      <w:r>
        <w:rPr>
          <w:rFonts w:hint="eastAsia"/>
        </w:rPr>
        <w:t>亿吨。</w:t>
      </w:r>
    </w:p>
    <w:p w14:paraId="2F5D4ACA">
      <w:pPr>
        <w:ind w:firstLine="480"/>
      </w:pPr>
      <w:r>
        <w:t>根据试验测定，原料煤主要性质见表</w:t>
      </w:r>
      <w:r>
        <w:rPr>
          <w:rFonts w:hint="eastAsia"/>
        </w:rPr>
        <w:t>3.3-2</w:t>
      </w:r>
      <w:r>
        <w:t>。</w:t>
      </w:r>
    </w:p>
    <w:p w14:paraId="290AE487">
      <w:pPr>
        <w:pStyle w:val="118"/>
        <w:rPr>
          <w:bCs/>
        </w:rPr>
      </w:pPr>
      <w:r>
        <w:t>表</w:t>
      </w:r>
      <w:r>
        <w:rPr>
          <w:rFonts w:hint="eastAsia"/>
        </w:rPr>
        <w:t>3.3-2</w:t>
      </w:r>
      <w:r>
        <w:t xml:space="preserve">   矿区煤样分析数据表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8"/>
        <w:gridCol w:w="2711"/>
        <w:gridCol w:w="1179"/>
        <w:gridCol w:w="1922"/>
        <w:gridCol w:w="1652"/>
      </w:tblGrid>
      <w:tr w14:paraId="0975F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21EDCAEA">
            <w:pPr>
              <w:pStyle w:val="125"/>
              <w:ind w:firstLine="0" w:firstLineChars="0"/>
              <w:rPr>
                <w:b/>
                <w:bCs/>
              </w:rPr>
            </w:pPr>
            <w:r>
              <w:rPr>
                <w:rFonts w:hint="eastAsia"/>
                <w:b/>
                <w:bCs/>
              </w:rPr>
              <w:t>序号</w:t>
            </w:r>
          </w:p>
        </w:tc>
        <w:tc>
          <w:tcPr>
            <w:tcW w:w="1606" w:type="pct"/>
            <w:noWrap/>
            <w:vAlign w:val="center"/>
          </w:tcPr>
          <w:p w14:paraId="3A8E2B81">
            <w:pPr>
              <w:pStyle w:val="125"/>
              <w:ind w:firstLine="0" w:firstLineChars="0"/>
              <w:rPr>
                <w:b/>
                <w:bCs/>
              </w:rPr>
            </w:pPr>
            <w:r>
              <w:rPr>
                <w:rFonts w:hint="eastAsia"/>
                <w:b/>
                <w:bCs/>
              </w:rPr>
              <w:t>检验检测项目</w:t>
            </w:r>
          </w:p>
        </w:tc>
        <w:tc>
          <w:tcPr>
            <w:tcW w:w="707" w:type="pct"/>
            <w:noWrap/>
            <w:vAlign w:val="center"/>
          </w:tcPr>
          <w:p w14:paraId="7B27CC0D">
            <w:pPr>
              <w:pStyle w:val="125"/>
              <w:ind w:firstLine="0" w:firstLineChars="0"/>
              <w:rPr>
                <w:b/>
                <w:bCs/>
              </w:rPr>
            </w:pPr>
            <w:r>
              <w:rPr>
                <w:rFonts w:hint="eastAsia"/>
                <w:b/>
                <w:bCs/>
              </w:rPr>
              <w:t>单位</w:t>
            </w:r>
          </w:p>
        </w:tc>
        <w:tc>
          <w:tcPr>
            <w:tcW w:w="1143" w:type="pct"/>
            <w:noWrap/>
            <w:vAlign w:val="center"/>
          </w:tcPr>
          <w:p w14:paraId="40CC06E8">
            <w:pPr>
              <w:pStyle w:val="125"/>
              <w:ind w:firstLine="0" w:firstLineChars="0"/>
              <w:rPr>
                <w:b/>
                <w:bCs/>
              </w:rPr>
            </w:pPr>
            <w:r>
              <w:rPr>
                <w:rFonts w:hint="eastAsia"/>
                <w:b/>
                <w:bCs/>
              </w:rPr>
              <w:t>检验检测结果</w:t>
            </w:r>
          </w:p>
        </w:tc>
        <w:tc>
          <w:tcPr>
            <w:tcW w:w="908" w:type="pct"/>
            <w:noWrap/>
            <w:vAlign w:val="center"/>
          </w:tcPr>
          <w:p w14:paraId="6E31D99B">
            <w:pPr>
              <w:pStyle w:val="125"/>
              <w:ind w:firstLine="0" w:firstLineChars="0"/>
              <w:rPr>
                <w:b/>
                <w:bCs/>
              </w:rPr>
            </w:pPr>
            <w:r>
              <w:rPr>
                <w:rFonts w:hint="eastAsia"/>
                <w:b/>
                <w:bCs/>
              </w:rPr>
              <w:t>备注</w:t>
            </w:r>
          </w:p>
        </w:tc>
      </w:tr>
      <w:tr w14:paraId="205598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0E4428B0">
            <w:pPr>
              <w:pStyle w:val="125"/>
              <w:ind w:firstLine="0" w:firstLineChars="0"/>
            </w:pPr>
            <w:r>
              <w:rPr>
                <w:rFonts w:hint="eastAsia"/>
              </w:rPr>
              <w:t>1</w:t>
            </w:r>
          </w:p>
        </w:tc>
        <w:tc>
          <w:tcPr>
            <w:tcW w:w="1606" w:type="pct"/>
            <w:vAlign w:val="center"/>
          </w:tcPr>
          <w:p w14:paraId="67D99471">
            <w:pPr>
              <w:pStyle w:val="125"/>
              <w:ind w:firstLine="0" w:firstLineChars="0"/>
            </w:pPr>
            <w:r>
              <w:rPr>
                <w:rFonts w:hint="eastAsia"/>
              </w:rPr>
              <w:t>全水分（Mt）</w:t>
            </w:r>
          </w:p>
        </w:tc>
        <w:tc>
          <w:tcPr>
            <w:tcW w:w="707" w:type="pct"/>
            <w:vAlign w:val="center"/>
          </w:tcPr>
          <w:p w14:paraId="2120AF36">
            <w:pPr>
              <w:pStyle w:val="125"/>
              <w:ind w:firstLine="0" w:firstLineChars="0"/>
            </w:pPr>
            <w:r>
              <w:rPr>
                <w:rFonts w:hint="eastAsia"/>
              </w:rPr>
              <w:t>%</w:t>
            </w:r>
          </w:p>
        </w:tc>
        <w:tc>
          <w:tcPr>
            <w:tcW w:w="1143" w:type="pct"/>
            <w:noWrap/>
            <w:vAlign w:val="center"/>
          </w:tcPr>
          <w:p w14:paraId="7DEE5D44">
            <w:pPr>
              <w:pStyle w:val="125"/>
              <w:ind w:firstLine="0" w:firstLineChars="0"/>
            </w:pPr>
            <w:r>
              <w:rPr>
                <w:rFonts w:hint="eastAsia"/>
              </w:rPr>
              <w:t>18.8</w:t>
            </w:r>
          </w:p>
        </w:tc>
        <w:tc>
          <w:tcPr>
            <w:tcW w:w="908" w:type="pct"/>
            <w:noWrap/>
            <w:vAlign w:val="center"/>
          </w:tcPr>
          <w:p w14:paraId="3C7CF1D0">
            <w:pPr>
              <w:pStyle w:val="125"/>
              <w:ind w:firstLine="0" w:firstLineChars="0"/>
            </w:pPr>
          </w:p>
        </w:tc>
      </w:tr>
      <w:tr w14:paraId="4DC9F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0EDB3FB6">
            <w:pPr>
              <w:pStyle w:val="125"/>
              <w:ind w:firstLine="0" w:firstLineChars="0"/>
            </w:pPr>
            <w:r>
              <w:rPr>
                <w:rFonts w:hint="eastAsia"/>
              </w:rPr>
              <w:t>2</w:t>
            </w:r>
          </w:p>
        </w:tc>
        <w:tc>
          <w:tcPr>
            <w:tcW w:w="1606" w:type="pct"/>
            <w:vAlign w:val="center"/>
          </w:tcPr>
          <w:p w14:paraId="0C27F120">
            <w:pPr>
              <w:pStyle w:val="125"/>
              <w:ind w:firstLine="0" w:firstLineChars="0"/>
            </w:pPr>
            <w:r>
              <w:rPr>
                <w:rFonts w:hint="eastAsia"/>
              </w:rPr>
              <w:t>空气干燥基水分（Mad）</w:t>
            </w:r>
          </w:p>
        </w:tc>
        <w:tc>
          <w:tcPr>
            <w:tcW w:w="707" w:type="pct"/>
            <w:vAlign w:val="center"/>
          </w:tcPr>
          <w:p w14:paraId="735A2174">
            <w:pPr>
              <w:pStyle w:val="125"/>
              <w:ind w:firstLine="0" w:firstLineChars="0"/>
            </w:pPr>
            <w:r>
              <w:rPr>
                <w:rFonts w:hint="eastAsia"/>
              </w:rPr>
              <w:t>%</w:t>
            </w:r>
          </w:p>
        </w:tc>
        <w:tc>
          <w:tcPr>
            <w:tcW w:w="1143" w:type="pct"/>
            <w:noWrap/>
            <w:vAlign w:val="center"/>
          </w:tcPr>
          <w:p w14:paraId="63C24E42">
            <w:pPr>
              <w:pStyle w:val="125"/>
              <w:ind w:firstLine="0" w:firstLineChars="0"/>
            </w:pPr>
            <w:r>
              <w:rPr>
                <w:rFonts w:hint="eastAsia"/>
              </w:rPr>
              <w:t>0.45</w:t>
            </w:r>
          </w:p>
        </w:tc>
        <w:tc>
          <w:tcPr>
            <w:tcW w:w="908" w:type="pct"/>
            <w:noWrap/>
            <w:vAlign w:val="center"/>
          </w:tcPr>
          <w:p w14:paraId="30412234">
            <w:pPr>
              <w:pStyle w:val="125"/>
              <w:ind w:firstLine="0" w:firstLineChars="0"/>
            </w:pPr>
          </w:p>
        </w:tc>
      </w:tr>
      <w:tr w14:paraId="11A5F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574CD3FA">
            <w:pPr>
              <w:pStyle w:val="125"/>
              <w:ind w:firstLine="0" w:firstLineChars="0"/>
            </w:pPr>
            <w:r>
              <w:rPr>
                <w:rFonts w:hint="eastAsia"/>
              </w:rPr>
              <w:t>3</w:t>
            </w:r>
          </w:p>
        </w:tc>
        <w:tc>
          <w:tcPr>
            <w:tcW w:w="1606" w:type="pct"/>
            <w:vAlign w:val="center"/>
          </w:tcPr>
          <w:p w14:paraId="396D0D9D">
            <w:pPr>
              <w:pStyle w:val="125"/>
              <w:ind w:firstLine="0" w:firstLineChars="0"/>
            </w:pPr>
            <w:r>
              <w:rPr>
                <w:rFonts w:hint="eastAsia"/>
              </w:rPr>
              <w:t>收到基灰分（Aar）</w:t>
            </w:r>
          </w:p>
        </w:tc>
        <w:tc>
          <w:tcPr>
            <w:tcW w:w="707" w:type="pct"/>
            <w:vAlign w:val="center"/>
          </w:tcPr>
          <w:p w14:paraId="27B01A2D">
            <w:pPr>
              <w:pStyle w:val="125"/>
              <w:ind w:firstLine="0" w:firstLineChars="0"/>
            </w:pPr>
            <w:r>
              <w:rPr>
                <w:rFonts w:hint="eastAsia"/>
              </w:rPr>
              <w:t>%</w:t>
            </w:r>
          </w:p>
        </w:tc>
        <w:tc>
          <w:tcPr>
            <w:tcW w:w="1143" w:type="pct"/>
            <w:noWrap/>
            <w:vAlign w:val="center"/>
          </w:tcPr>
          <w:p w14:paraId="29E8F788">
            <w:pPr>
              <w:pStyle w:val="125"/>
              <w:ind w:firstLine="0" w:firstLineChars="0"/>
            </w:pPr>
            <w:r>
              <w:rPr>
                <w:rFonts w:hint="eastAsia"/>
              </w:rPr>
              <w:t>4.04</w:t>
            </w:r>
          </w:p>
        </w:tc>
        <w:tc>
          <w:tcPr>
            <w:tcW w:w="908" w:type="pct"/>
            <w:noWrap/>
            <w:vAlign w:val="center"/>
          </w:tcPr>
          <w:p w14:paraId="696CE54F">
            <w:pPr>
              <w:pStyle w:val="125"/>
              <w:ind w:firstLine="0" w:firstLineChars="0"/>
            </w:pPr>
          </w:p>
        </w:tc>
      </w:tr>
      <w:tr w14:paraId="12872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2805EC0D">
            <w:pPr>
              <w:pStyle w:val="125"/>
              <w:ind w:firstLine="0" w:firstLineChars="0"/>
            </w:pPr>
            <w:r>
              <w:rPr>
                <w:rFonts w:hint="eastAsia"/>
              </w:rPr>
              <w:t>4</w:t>
            </w:r>
          </w:p>
        </w:tc>
        <w:tc>
          <w:tcPr>
            <w:tcW w:w="1606" w:type="pct"/>
            <w:vAlign w:val="center"/>
          </w:tcPr>
          <w:p w14:paraId="063D7502">
            <w:pPr>
              <w:pStyle w:val="125"/>
              <w:ind w:firstLine="0" w:firstLineChars="0"/>
            </w:pPr>
            <w:r>
              <w:rPr>
                <w:rFonts w:hint="eastAsia"/>
              </w:rPr>
              <w:t>干燥无灰基挥发分（Vdaf）</w:t>
            </w:r>
          </w:p>
        </w:tc>
        <w:tc>
          <w:tcPr>
            <w:tcW w:w="707" w:type="pct"/>
            <w:vAlign w:val="center"/>
          </w:tcPr>
          <w:p w14:paraId="7EBE8FBC">
            <w:pPr>
              <w:pStyle w:val="125"/>
              <w:ind w:firstLine="0" w:firstLineChars="0"/>
            </w:pPr>
            <w:r>
              <w:rPr>
                <w:rFonts w:hint="eastAsia"/>
              </w:rPr>
              <w:t>%</w:t>
            </w:r>
          </w:p>
        </w:tc>
        <w:tc>
          <w:tcPr>
            <w:tcW w:w="1143" w:type="pct"/>
            <w:noWrap/>
            <w:vAlign w:val="center"/>
          </w:tcPr>
          <w:p w14:paraId="6F9D2078">
            <w:pPr>
              <w:pStyle w:val="125"/>
              <w:ind w:firstLine="0" w:firstLineChars="0"/>
            </w:pPr>
            <w:r>
              <w:rPr>
                <w:rFonts w:hint="eastAsia"/>
              </w:rPr>
              <w:t>53.52</w:t>
            </w:r>
          </w:p>
        </w:tc>
        <w:tc>
          <w:tcPr>
            <w:tcW w:w="908" w:type="pct"/>
            <w:noWrap/>
            <w:vAlign w:val="center"/>
          </w:tcPr>
          <w:p w14:paraId="79F3A17D">
            <w:pPr>
              <w:pStyle w:val="125"/>
              <w:ind w:firstLine="0" w:firstLineChars="0"/>
            </w:pPr>
          </w:p>
        </w:tc>
      </w:tr>
      <w:tr w14:paraId="1468AC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663DCBAE">
            <w:pPr>
              <w:pStyle w:val="125"/>
              <w:ind w:firstLine="0" w:firstLineChars="0"/>
            </w:pPr>
            <w:r>
              <w:rPr>
                <w:rFonts w:hint="eastAsia"/>
              </w:rPr>
              <w:t>5</w:t>
            </w:r>
          </w:p>
        </w:tc>
        <w:tc>
          <w:tcPr>
            <w:tcW w:w="1606" w:type="pct"/>
            <w:vAlign w:val="center"/>
          </w:tcPr>
          <w:p w14:paraId="6BBBBFC1">
            <w:pPr>
              <w:pStyle w:val="125"/>
              <w:ind w:firstLine="0" w:firstLineChars="0"/>
            </w:pPr>
            <w:r>
              <w:rPr>
                <w:rFonts w:hint="eastAsia"/>
              </w:rPr>
              <w:t>焦渣特征（1-8）</w:t>
            </w:r>
          </w:p>
        </w:tc>
        <w:tc>
          <w:tcPr>
            <w:tcW w:w="707" w:type="pct"/>
            <w:vAlign w:val="center"/>
          </w:tcPr>
          <w:p w14:paraId="1CB83E62">
            <w:pPr>
              <w:pStyle w:val="125"/>
              <w:ind w:firstLine="0" w:firstLineChars="0"/>
            </w:pPr>
            <w:r>
              <w:rPr>
                <w:rFonts w:hint="eastAsia"/>
              </w:rPr>
              <w:t>/</w:t>
            </w:r>
          </w:p>
        </w:tc>
        <w:tc>
          <w:tcPr>
            <w:tcW w:w="1143" w:type="pct"/>
            <w:noWrap/>
            <w:vAlign w:val="center"/>
          </w:tcPr>
          <w:p w14:paraId="633E0566">
            <w:pPr>
              <w:pStyle w:val="125"/>
              <w:ind w:firstLine="0" w:firstLineChars="0"/>
            </w:pPr>
            <w:r>
              <w:rPr>
                <w:rFonts w:hint="eastAsia"/>
              </w:rPr>
              <w:t>2</w:t>
            </w:r>
          </w:p>
        </w:tc>
        <w:tc>
          <w:tcPr>
            <w:tcW w:w="908" w:type="pct"/>
            <w:noWrap/>
            <w:vAlign w:val="center"/>
          </w:tcPr>
          <w:p w14:paraId="5D62050D">
            <w:pPr>
              <w:pStyle w:val="125"/>
              <w:ind w:firstLine="0" w:firstLineChars="0"/>
            </w:pPr>
          </w:p>
        </w:tc>
      </w:tr>
      <w:tr w14:paraId="01C28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0EA4D5A4">
            <w:pPr>
              <w:pStyle w:val="125"/>
              <w:ind w:firstLine="0" w:firstLineChars="0"/>
            </w:pPr>
            <w:r>
              <w:rPr>
                <w:rFonts w:hint="eastAsia"/>
              </w:rPr>
              <w:t>6</w:t>
            </w:r>
          </w:p>
        </w:tc>
        <w:tc>
          <w:tcPr>
            <w:tcW w:w="1606" w:type="pct"/>
            <w:vAlign w:val="center"/>
          </w:tcPr>
          <w:p w14:paraId="64A4A581">
            <w:pPr>
              <w:pStyle w:val="125"/>
              <w:ind w:firstLine="0" w:firstLineChars="0"/>
            </w:pPr>
            <w:r>
              <w:rPr>
                <w:rFonts w:hint="eastAsia"/>
              </w:rPr>
              <w:t>收到基固定碳（FCar）</w:t>
            </w:r>
          </w:p>
        </w:tc>
        <w:tc>
          <w:tcPr>
            <w:tcW w:w="707" w:type="pct"/>
            <w:vAlign w:val="center"/>
          </w:tcPr>
          <w:p w14:paraId="1B6E3728">
            <w:pPr>
              <w:pStyle w:val="125"/>
              <w:ind w:firstLine="0" w:firstLineChars="0"/>
            </w:pPr>
            <w:r>
              <w:rPr>
                <w:rFonts w:hint="eastAsia"/>
              </w:rPr>
              <w:t>%</w:t>
            </w:r>
          </w:p>
        </w:tc>
        <w:tc>
          <w:tcPr>
            <w:tcW w:w="1143" w:type="pct"/>
            <w:noWrap/>
            <w:vAlign w:val="center"/>
          </w:tcPr>
          <w:p w14:paraId="6E46C595">
            <w:pPr>
              <w:pStyle w:val="125"/>
              <w:ind w:firstLine="0" w:firstLineChars="0"/>
            </w:pPr>
            <w:r>
              <w:rPr>
                <w:rFonts w:hint="eastAsia"/>
              </w:rPr>
              <w:t>34.47</w:t>
            </w:r>
          </w:p>
        </w:tc>
        <w:tc>
          <w:tcPr>
            <w:tcW w:w="908" w:type="pct"/>
            <w:noWrap/>
            <w:vAlign w:val="center"/>
          </w:tcPr>
          <w:p w14:paraId="2C16CCFB">
            <w:pPr>
              <w:pStyle w:val="125"/>
              <w:ind w:firstLine="0" w:firstLineChars="0"/>
            </w:pPr>
          </w:p>
        </w:tc>
      </w:tr>
      <w:tr w14:paraId="6FDD5E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1F2AAEE4">
            <w:pPr>
              <w:pStyle w:val="125"/>
              <w:ind w:firstLine="0" w:firstLineChars="0"/>
            </w:pPr>
            <w:r>
              <w:rPr>
                <w:rFonts w:hint="eastAsia"/>
              </w:rPr>
              <w:t>7</w:t>
            </w:r>
          </w:p>
        </w:tc>
        <w:tc>
          <w:tcPr>
            <w:tcW w:w="1606" w:type="pct"/>
            <w:vAlign w:val="center"/>
          </w:tcPr>
          <w:p w14:paraId="43842025">
            <w:pPr>
              <w:pStyle w:val="125"/>
              <w:ind w:firstLine="0" w:firstLineChars="0"/>
            </w:pPr>
            <w:r>
              <w:rPr>
                <w:rFonts w:hint="eastAsia"/>
              </w:rPr>
              <w:t>干燥基全硫（St,ar）</w:t>
            </w:r>
          </w:p>
        </w:tc>
        <w:tc>
          <w:tcPr>
            <w:tcW w:w="707" w:type="pct"/>
            <w:vAlign w:val="center"/>
          </w:tcPr>
          <w:p w14:paraId="3ED20894">
            <w:pPr>
              <w:pStyle w:val="125"/>
              <w:ind w:firstLine="0" w:firstLineChars="0"/>
            </w:pPr>
            <w:r>
              <w:rPr>
                <w:rFonts w:hint="eastAsia"/>
              </w:rPr>
              <w:t>%</w:t>
            </w:r>
          </w:p>
        </w:tc>
        <w:tc>
          <w:tcPr>
            <w:tcW w:w="1143" w:type="pct"/>
            <w:noWrap/>
            <w:vAlign w:val="center"/>
          </w:tcPr>
          <w:p w14:paraId="1A9FE724">
            <w:pPr>
              <w:pStyle w:val="125"/>
              <w:ind w:firstLine="0" w:firstLineChars="0"/>
            </w:pPr>
            <w:r>
              <w:rPr>
                <w:rFonts w:hint="eastAsia"/>
              </w:rPr>
              <w:t>0.53</w:t>
            </w:r>
          </w:p>
        </w:tc>
        <w:tc>
          <w:tcPr>
            <w:tcW w:w="908" w:type="pct"/>
            <w:noWrap/>
            <w:vAlign w:val="center"/>
          </w:tcPr>
          <w:p w14:paraId="03730D99">
            <w:pPr>
              <w:pStyle w:val="125"/>
              <w:ind w:firstLine="0" w:firstLineChars="0"/>
            </w:pPr>
            <w:r>
              <w:rPr>
                <w:rFonts w:hint="eastAsia"/>
              </w:rPr>
              <w:t>折0.43%收到基</w:t>
            </w:r>
          </w:p>
        </w:tc>
      </w:tr>
      <w:tr w14:paraId="764DA5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6" w:type="pct"/>
            <w:noWrap/>
            <w:vAlign w:val="center"/>
          </w:tcPr>
          <w:p w14:paraId="1A8F9AB8">
            <w:pPr>
              <w:pStyle w:val="125"/>
              <w:ind w:firstLine="0" w:firstLineChars="0"/>
            </w:pPr>
            <w:r>
              <w:rPr>
                <w:rFonts w:hint="eastAsia"/>
              </w:rPr>
              <w:t>8</w:t>
            </w:r>
          </w:p>
        </w:tc>
        <w:tc>
          <w:tcPr>
            <w:tcW w:w="1606" w:type="pct"/>
            <w:vAlign w:val="center"/>
          </w:tcPr>
          <w:p w14:paraId="122F389F">
            <w:pPr>
              <w:pStyle w:val="125"/>
              <w:ind w:firstLine="0" w:firstLineChars="0"/>
            </w:pPr>
            <w:r>
              <w:rPr>
                <w:rFonts w:hint="eastAsia"/>
              </w:rPr>
              <w:t>收到基低位发热量（Qnet,ar）</w:t>
            </w:r>
          </w:p>
        </w:tc>
        <w:tc>
          <w:tcPr>
            <w:tcW w:w="707" w:type="pct"/>
            <w:vAlign w:val="center"/>
          </w:tcPr>
          <w:p w14:paraId="389BF2F2">
            <w:pPr>
              <w:pStyle w:val="125"/>
              <w:ind w:firstLine="0" w:firstLineChars="0"/>
            </w:pPr>
            <w:r>
              <w:rPr>
                <w:rFonts w:hint="eastAsia"/>
              </w:rPr>
              <w:t>MJ/kg</w:t>
            </w:r>
          </w:p>
        </w:tc>
        <w:tc>
          <w:tcPr>
            <w:tcW w:w="1143" w:type="pct"/>
            <w:noWrap/>
            <w:vAlign w:val="center"/>
          </w:tcPr>
          <w:p w14:paraId="51C3F6D2">
            <w:pPr>
              <w:pStyle w:val="125"/>
              <w:ind w:firstLine="0" w:firstLineChars="0"/>
            </w:pPr>
            <w:r>
              <w:rPr>
                <w:rFonts w:hint="eastAsia"/>
              </w:rPr>
              <w:t xml:space="preserve">23.23 </w:t>
            </w:r>
          </w:p>
        </w:tc>
        <w:tc>
          <w:tcPr>
            <w:tcW w:w="908" w:type="pct"/>
            <w:noWrap/>
            <w:vAlign w:val="center"/>
          </w:tcPr>
          <w:p w14:paraId="65E0A603">
            <w:pPr>
              <w:pStyle w:val="125"/>
              <w:ind w:firstLine="0" w:firstLineChars="0"/>
            </w:pPr>
            <w:r>
              <w:rPr>
                <w:rFonts w:hint="eastAsia"/>
              </w:rPr>
              <w:t>5559.1Cal/kg</w:t>
            </w:r>
          </w:p>
        </w:tc>
      </w:tr>
    </w:tbl>
    <w:p w14:paraId="1BC45C8C">
      <w:pPr>
        <w:pStyle w:val="117"/>
        <w:ind w:firstLine="480"/>
      </w:pPr>
    </w:p>
    <w:p w14:paraId="571F2905">
      <w:pPr>
        <w:pStyle w:val="944"/>
      </w:pPr>
      <w:r>
        <w:rPr>
          <w:rFonts w:hint="eastAsia"/>
        </w:rPr>
        <w:t>原辅材料及公用工程消耗</w:t>
      </w:r>
    </w:p>
    <w:p w14:paraId="61758D90">
      <w:pPr>
        <w:pStyle w:val="117"/>
        <w:ind w:firstLine="480"/>
      </w:pPr>
      <w:r>
        <w:t>本</w:t>
      </w:r>
      <w:r>
        <w:rPr>
          <w:rFonts w:hint="eastAsia"/>
        </w:rPr>
        <w:t>项目兰炭生产线原料及公用工程消耗见表3.3-3</w:t>
      </w:r>
      <w:r>
        <w:rPr>
          <w:spacing w:val="-3"/>
        </w:rPr>
        <w:t>。</w:t>
      </w:r>
    </w:p>
    <w:p w14:paraId="75C4CAF7">
      <w:pPr>
        <w:pStyle w:val="118"/>
        <w:rPr>
          <w:bCs/>
          <w:lang w:val="zh-CN"/>
        </w:rPr>
      </w:pPr>
      <w:r>
        <w:rPr>
          <w:rFonts w:hint="eastAsia"/>
        </w:rPr>
        <w:t>表3.3-3</w:t>
      </w:r>
      <w:r>
        <w:t xml:space="preserve">  </w:t>
      </w:r>
      <w:r>
        <w:rPr>
          <w:rFonts w:hint="eastAsia"/>
        </w:rPr>
        <w:t>兰炭生产线物料及公用工程消耗定额表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3"/>
        <w:gridCol w:w="1217"/>
        <w:gridCol w:w="1014"/>
        <w:gridCol w:w="973"/>
        <w:gridCol w:w="1229"/>
        <w:gridCol w:w="1418"/>
        <w:gridCol w:w="1938"/>
      </w:tblGrid>
      <w:tr w14:paraId="2FD8D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430" w:type="pct"/>
            <w:vMerge w:val="restart"/>
            <w:vAlign w:val="center"/>
          </w:tcPr>
          <w:p w14:paraId="19AB5706">
            <w:pPr>
              <w:pStyle w:val="125"/>
              <w:ind w:firstLine="0" w:firstLineChars="0"/>
              <w:rPr>
                <w:b/>
                <w:bCs/>
              </w:rPr>
            </w:pPr>
            <w:r>
              <w:rPr>
                <w:rFonts w:hint="eastAsia"/>
                <w:b/>
                <w:bCs/>
              </w:rPr>
              <w:t>序号</w:t>
            </w:r>
          </w:p>
        </w:tc>
        <w:tc>
          <w:tcPr>
            <w:tcW w:w="714" w:type="pct"/>
            <w:vMerge w:val="restart"/>
            <w:vAlign w:val="center"/>
          </w:tcPr>
          <w:p w14:paraId="5D364D3B">
            <w:pPr>
              <w:pStyle w:val="125"/>
              <w:ind w:firstLine="0" w:firstLineChars="0"/>
              <w:rPr>
                <w:b/>
                <w:bCs/>
              </w:rPr>
            </w:pPr>
            <w:r>
              <w:rPr>
                <w:rFonts w:hint="eastAsia"/>
                <w:b/>
                <w:bCs/>
              </w:rPr>
              <w:t>名称</w:t>
            </w:r>
          </w:p>
        </w:tc>
        <w:tc>
          <w:tcPr>
            <w:tcW w:w="1166" w:type="pct"/>
            <w:gridSpan w:val="2"/>
            <w:vAlign w:val="center"/>
          </w:tcPr>
          <w:p w14:paraId="073DB84A">
            <w:pPr>
              <w:pStyle w:val="125"/>
              <w:ind w:firstLine="0" w:firstLineChars="0"/>
              <w:rPr>
                <w:b/>
                <w:bCs/>
              </w:rPr>
            </w:pPr>
            <w:r>
              <w:rPr>
                <w:rFonts w:hint="eastAsia"/>
                <w:b/>
                <w:bCs/>
              </w:rPr>
              <w:t>时耗</w:t>
            </w:r>
          </w:p>
        </w:tc>
        <w:tc>
          <w:tcPr>
            <w:tcW w:w="1553" w:type="pct"/>
            <w:gridSpan w:val="2"/>
            <w:vAlign w:val="center"/>
          </w:tcPr>
          <w:p w14:paraId="65D398EA">
            <w:pPr>
              <w:pStyle w:val="125"/>
              <w:ind w:firstLine="0" w:firstLineChars="0"/>
              <w:rPr>
                <w:b/>
                <w:bCs/>
              </w:rPr>
            </w:pPr>
            <w:r>
              <w:rPr>
                <w:rFonts w:hint="eastAsia"/>
                <w:b/>
                <w:bCs/>
              </w:rPr>
              <w:t>年耗</w:t>
            </w:r>
          </w:p>
        </w:tc>
        <w:tc>
          <w:tcPr>
            <w:tcW w:w="1137" w:type="pct"/>
            <w:vMerge w:val="restart"/>
            <w:vAlign w:val="center"/>
          </w:tcPr>
          <w:p w14:paraId="019E4565">
            <w:pPr>
              <w:pStyle w:val="125"/>
              <w:ind w:firstLine="0" w:firstLineChars="0"/>
              <w:rPr>
                <w:b/>
                <w:bCs/>
              </w:rPr>
            </w:pPr>
            <w:r>
              <w:rPr>
                <w:rFonts w:hint="eastAsia"/>
                <w:b/>
                <w:bCs/>
              </w:rPr>
              <w:t>备注</w:t>
            </w:r>
          </w:p>
        </w:tc>
      </w:tr>
      <w:tr w14:paraId="2C893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430" w:type="pct"/>
            <w:vMerge w:val="continue"/>
            <w:vAlign w:val="center"/>
          </w:tcPr>
          <w:p w14:paraId="2C6BCDDA">
            <w:pPr>
              <w:pStyle w:val="125"/>
              <w:ind w:firstLine="0" w:firstLineChars="0"/>
              <w:rPr>
                <w:b/>
                <w:bCs/>
              </w:rPr>
            </w:pPr>
          </w:p>
        </w:tc>
        <w:tc>
          <w:tcPr>
            <w:tcW w:w="714" w:type="pct"/>
            <w:vMerge w:val="continue"/>
            <w:vAlign w:val="center"/>
          </w:tcPr>
          <w:p w14:paraId="3EC4EAD1">
            <w:pPr>
              <w:pStyle w:val="125"/>
              <w:ind w:firstLine="0" w:firstLineChars="0"/>
              <w:rPr>
                <w:b/>
                <w:bCs/>
              </w:rPr>
            </w:pPr>
          </w:p>
        </w:tc>
        <w:tc>
          <w:tcPr>
            <w:tcW w:w="595" w:type="pct"/>
            <w:vAlign w:val="center"/>
          </w:tcPr>
          <w:p w14:paraId="2371221E">
            <w:pPr>
              <w:pStyle w:val="125"/>
              <w:ind w:firstLine="0" w:firstLineChars="0"/>
              <w:rPr>
                <w:b/>
                <w:bCs/>
              </w:rPr>
            </w:pPr>
            <w:r>
              <w:rPr>
                <w:rFonts w:hint="eastAsia"/>
                <w:b/>
                <w:bCs/>
              </w:rPr>
              <w:t>单位</w:t>
            </w:r>
          </w:p>
        </w:tc>
        <w:tc>
          <w:tcPr>
            <w:tcW w:w="571" w:type="pct"/>
            <w:vAlign w:val="center"/>
          </w:tcPr>
          <w:p w14:paraId="46368DF3">
            <w:pPr>
              <w:pStyle w:val="125"/>
              <w:ind w:firstLine="0" w:firstLineChars="0"/>
              <w:rPr>
                <w:b/>
                <w:bCs/>
              </w:rPr>
            </w:pPr>
            <w:r>
              <w:rPr>
                <w:rFonts w:hint="eastAsia"/>
                <w:b/>
                <w:bCs/>
              </w:rPr>
              <w:t>消耗量</w:t>
            </w:r>
          </w:p>
        </w:tc>
        <w:tc>
          <w:tcPr>
            <w:tcW w:w="721" w:type="pct"/>
            <w:vAlign w:val="center"/>
          </w:tcPr>
          <w:p w14:paraId="35F06DD5">
            <w:pPr>
              <w:pStyle w:val="125"/>
              <w:ind w:firstLine="0" w:firstLineChars="0"/>
              <w:rPr>
                <w:b/>
                <w:bCs/>
              </w:rPr>
            </w:pPr>
            <w:r>
              <w:rPr>
                <w:rFonts w:hint="eastAsia"/>
                <w:b/>
                <w:bCs/>
              </w:rPr>
              <w:t>单位</w:t>
            </w:r>
          </w:p>
        </w:tc>
        <w:tc>
          <w:tcPr>
            <w:tcW w:w="832" w:type="pct"/>
            <w:vAlign w:val="center"/>
          </w:tcPr>
          <w:p w14:paraId="63B253F3">
            <w:pPr>
              <w:pStyle w:val="125"/>
              <w:ind w:firstLine="0" w:firstLineChars="0"/>
              <w:rPr>
                <w:b/>
                <w:bCs/>
              </w:rPr>
            </w:pPr>
            <w:r>
              <w:rPr>
                <w:rFonts w:hint="eastAsia"/>
                <w:b/>
                <w:bCs/>
              </w:rPr>
              <w:t>消耗量</w:t>
            </w:r>
          </w:p>
        </w:tc>
        <w:tc>
          <w:tcPr>
            <w:tcW w:w="1137" w:type="pct"/>
            <w:vMerge w:val="continue"/>
            <w:vAlign w:val="center"/>
          </w:tcPr>
          <w:p w14:paraId="4B4B8DBC">
            <w:pPr>
              <w:pStyle w:val="125"/>
              <w:ind w:firstLine="0" w:firstLineChars="0"/>
              <w:rPr>
                <w:b/>
                <w:bCs/>
              </w:rPr>
            </w:pPr>
          </w:p>
        </w:tc>
      </w:tr>
      <w:tr w14:paraId="0F063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2695E6EB">
            <w:pPr>
              <w:pStyle w:val="125"/>
              <w:ind w:firstLine="0" w:firstLineChars="0"/>
            </w:pPr>
            <w:r>
              <w:rPr>
                <w:rFonts w:hint="eastAsia"/>
              </w:rPr>
              <w:t>1</w:t>
            </w:r>
          </w:p>
        </w:tc>
        <w:tc>
          <w:tcPr>
            <w:tcW w:w="714" w:type="pct"/>
            <w:vAlign w:val="center"/>
          </w:tcPr>
          <w:p w14:paraId="5FC880DD">
            <w:pPr>
              <w:pStyle w:val="125"/>
              <w:ind w:firstLine="0" w:firstLineChars="0"/>
            </w:pPr>
            <w:r>
              <w:t>原料煤</w:t>
            </w:r>
          </w:p>
        </w:tc>
        <w:tc>
          <w:tcPr>
            <w:tcW w:w="595" w:type="pct"/>
            <w:vAlign w:val="center"/>
          </w:tcPr>
          <w:p w14:paraId="2A0480AB">
            <w:pPr>
              <w:pStyle w:val="125"/>
              <w:ind w:firstLine="0" w:firstLineChars="0"/>
            </w:pPr>
            <w:r>
              <w:t>t</w:t>
            </w:r>
            <w:r>
              <w:rPr>
                <w:rFonts w:hint="eastAsia"/>
              </w:rPr>
              <w:t>/h</w:t>
            </w:r>
          </w:p>
        </w:tc>
        <w:tc>
          <w:tcPr>
            <w:tcW w:w="571" w:type="pct"/>
            <w:vAlign w:val="center"/>
          </w:tcPr>
          <w:p w14:paraId="09C8E68F">
            <w:pPr>
              <w:pStyle w:val="125"/>
              <w:ind w:firstLine="0" w:firstLineChars="0"/>
            </w:pPr>
            <w:r>
              <w:rPr>
                <w:rFonts w:hint="eastAsia"/>
              </w:rPr>
              <w:t>189.4</w:t>
            </w:r>
          </w:p>
        </w:tc>
        <w:tc>
          <w:tcPr>
            <w:tcW w:w="721" w:type="pct"/>
            <w:vAlign w:val="center"/>
          </w:tcPr>
          <w:p w14:paraId="7B41A588">
            <w:pPr>
              <w:pStyle w:val="125"/>
              <w:ind w:firstLine="0" w:firstLineChars="0"/>
            </w:pPr>
            <w:r>
              <w:t>t</w:t>
            </w:r>
            <w:r>
              <w:rPr>
                <w:rFonts w:hint="eastAsia"/>
              </w:rPr>
              <w:t>/a</w:t>
            </w:r>
          </w:p>
        </w:tc>
        <w:tc>
          <w:tcPr>
            <w:tcW w:w="832" w:type="pct"/>
            <w:vAlign w:val="center"/>
          </w:tcPr>
          <w:p w14:paraId="20784B58">
            <w:pPr>
              <w:pStyle w:val="125"/>
              <w:ind w:firstLine="0" w:firstLineChars="0"/>
            </w:pPr>
            <w:r>
              <w:rPr>
                <w:rFonts w:hint="eastAsia"/>
              </w:rPr>
              <w:t>1500000</w:t>
            </w:r>
          </w:p>
        </w:tc>
        <w:tc>
          <w:tcPr>
            <w:tcW w:w="1137" w:type="pct"/>
            <w:vAlign w:val="center"/>
          </w:tcPr>
          <w:p w14:paraId="41EF290A">
            <w:pPr>
              <w:pStyle w:val="125"/>
              <w:ind w:firstLine="0" w:firstLineChars="0"/>
            </w:pPr>
          </w:p>
        </w:tc>
      </w:tr>
      <w:tr w14:paraId="624A2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7C4728C2">
            <w:pPr>
              <w:pStyle w:val="125"/>
              <w:ind w:firstLine="0" w:firstLineChars="0"/>
            </w:pPr>
            <w:r>
              <w:rPr>
                <w:rFonts w:hint="eastAsia"/>
              </w:rPr>
              <w:t>2</w:t>
            </w:r>
          </w:p>
        </w:tc>
        <w:tc>
          <w:tcPr>
            <w:tcW w:w="714" w:type="pct"/>
            <w:vAlign w:val="center"/>
          </w:tcPr>
          <w:p w14:paraId="50F389AB">
            <w:pPr>
              <w:pStyle w:val="125"/>
              <w:ind w:firstLine="0" w:firstLineChars="0"/>
            </w:pPr>
            <w:r>
              <w:rPr>
                <w:rFonts w:hint="eastAsia"/>
              </w:rPr>
              <w:t>新鲜水</w:t>
            </w:r>
          </w:p>
        </w:tc>
        <w:tc>
          <w:tcPr>
            <w:tcW w:w="595" w:type="pct"/>
            <w:vAlign w:val="center"/>
          </w:tcPr>
          <w:p w14:paraId="29F5543E">
            <w:pPr>
              <w:pStyle w:val="125"/>
              <w:ind w:firstLine="0" w:firstLineChars="0"/>
            </w:pPr>
            <w:r>
              <w:rPr>
                <w:rFonts w:hint="eastAsia"/>
              </w:rPr>
              <w:t>t/h</w:t>
            </w:r>
          </w:p>
        </w:tc>
        <w:tc>
          <w:tcPr>
            <w:tcW w:w="571" w:type="pct"/>
            <w:vAlign w:val="center"/>
          </w:tcPr>
          <w:p w14:paraId="43AD9050">
            <w:pPr>
              <w:pStyle w:val="125"/>
              <w:ind w:firstLine="0" w:firstLineChars="0"/>
            </w:pPr>
            <w:r>
              <w:rPr>
                <w:rFonts w:hint="eastAsia"/>
              </w:rPr>
              <w:t>65.24</w:t>
            </w:r>
          </w:p>
        </w:tc>
        <w:tc>
          <w:tcPr>
            <w:tcW w:w="721" w:type="pct"/>
            <w:vAlign w:val="center"/>
          </w:tcPr>
          <w:p w14:paraId="748612F8">
            <w:pPr>
              <w:pStyle w:val="125"/>
              <w:ind w:firstLine="0" w:firstLineChars="0"/>
            </w:pPr>
            <w:r>
              <w:rPr>
                <w:rFonts w:hint="eastAsia"/>
              </w:rPr>
              <w:t>t/ a</w:t>
            </w:r>
          </w:p>
        </w:tc>
        <w:tc>
          <w:tcPr>
            <w:tcW w:w="832" w:type="pct"/>
            <w:vAlign w:val="center"/>
          </w:tcPr>
          <w:p w14:paraId="56929FFD">
            <w:pPr>
              <w:pStyle w:val="125"/>
              <w:ind w:firstLine="0" w:firstLineChars="0"/>
            </w:pPr>
            <w:r>
              <w:rPr>
                <w:rFonts w:hint="eastAsia"/>
              </w:rPr>
              <w:t>516661</w:t>
            </w:r>
          </w:p>
        </w:tc>
        <w:tc>
          <w:tcPr>
            <w:tcW w:w="1137" w:type="pct"/>
            <w:vAlign w:val="center"/>
          </w:tcPr>
          <w:p w14:paraId="52109C54">
            <w:pPr>
              <w:pStyle w:val="125"/>
              <w:ind w:firstLine="0" w:firstLineChars="0"/>
            </w:pPr>
            <w:r>
              <w:rPr>
                <w:rFonts w:hint="eastAsia"/>
              </w:rPr>
              <w:t>园区市政供水</w:t>
            </w:r>
          </w:p>
        </w:tc>
      </w:tr>
      <w:tr w14:paraId="0850C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50C13A22">
            <w:pPr>
              <w:pStyle w:val="125"/>
              <w:ind w:firstLine="0" w:firstLineChars="0"/>
            </w:pPr>
            <w:r>
              <w:rPr>
                <w:rFonts w:hint="eastAsia"/>
              </w:rPr>
              <w:t>3</w:t>
            </w:r>
          </w:p>
        </w:tc>
        <w:tc>
          <w:tcPr>
            <w:tcW w:w="714" w:type="pct"/>
            <w:vAlign w:val="center"/>
          </w:tcPr>
          <w:p w14:paraId="1FE017C0">
            <w:pPr>
              <w:pStyle w:val="125"/>
              <w:ind w:firstLine="0" w:firstLineChars="0"/>
            </w:pPr>
            <w:r>
              <w:rPr>
                <w:rFonts w:hint="eastAsia"/>
              </w:rPr>
              <w:t>蒸汽</w:t>
            </w:r>
          </w:p>
        </w:tc>
        <w:tc>
          <w:tcPr>
            <w:tcW w:w="595" w:type="pct"/>
            <w:vAlign w:val="center"/>
          </w:tcPr>
          <w:p w14:paraId="72FBDBB7">
            <w:pPr>
              <w:pStyle w:val="125"/>
              <w:ind w:firstLine="0" w:firstLineChars="0"/>
            </w:pPr>
            <w:r>
              <w:t>t/</w:t>
            </w:r>
            <w:r>
              <w:rPr>
                <w:rFonts w:hint="eastAsia"/>
              </w:rPr>
              <w:t>h</w:t>
            </w:r>
          </w:p>
        </w:tc>
        <w:tc>
          <w:tcPr>
            <w:tcW w:w="571" w:type="pct"/>
            <w:vAlign w:val="center"/>
          </w:tcPr>
          <w:p w14:paraId="4328F9CF">
            <w:pPr>
              <w:pStyle w:val="125"/>
              <w:ind w:firstLine="0" w:firstLineChars="0"/>
            </w:pPr>
            <w:r>
              <w:rPr>
                <w:rFonts w:hint="eastAsia"/>
              </w:rPr>
              <w:t>-20</w:t>
            </w:r>
          </w:p>
        </w:tc>
        <w:tc>
          <w:tcPr>
            <w:tcW w:w="721" w:type="pct"/>
            <w:vAlign w:val="center"/>
          </w:tcPr>
          <w:p w14:paraId="16045DA2">
            <w:pPr>
              <w:pStyle w:val="125"/>
              <w:ind w:firstLine="0" w:firstLineChars="0"/>
            </w:pPr>
            <w:r>
              <w:t>t/a</w:t>
            </w:r>
          </w:p>
        </w:tc>
        <w:tc>
          <w:tcPr>
            <w:tcW w:w="832" w:type="pct"/>
            <w:vAlign w:val="center"/>
          </w:tcPr>
          <w:p w14:paraId="4088C4C0">
            <w:pPr>
              <w:pStyle w:val="125"/>
              <w:ind w:firstLine="0" w:firstLineChars="0"/>
            </w:pPr>
            <w:r>
              <w:rPr>
                <w:rFonts w:hint="eastAsia"/>
              </w:rPr>
              <w:t>-158400</w:t>
            </w:r>
          </w:p>
        </w:tc>
        <w:tc>
          <w:tcPr>
            <w:tcW w:w="1137" w:type="pct"/>
            <w:vAlign w:val="center"/>
          </w:tcPr>
          <w:p w14:paraId="59F0DCBB">
            <w:pPr>
              <w:pStyle w:val="125"/>
              <w:ind w:firstLine="0" w:firstLineChars="0"/>
            </w:pPr>
            <w:r>
              <w:rPr>
                <w:rFonts w:hint="eastAsia"/>
              </w:rPr>
              <w:t>余热锅炉及蒸汽锅炉供应</w:t>
            </w:r>
          </w:p>
        </w:tc>
      </w:tr>
      <w:tr w14:paraId="5344BB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1E58A019">
            <w:pPr>
              <w:pStyle w:val="125"/>
              <w:ind w:firstLine="0" w:firstLineChars="0"/>
            </w:pPr>
            <w:r>
              <w:rPr>
                <w:rFonts w:hint="eastAsia"/>
              </w:rPr>
              <w:t>4</w:t>
            </w:r>
          </w:p>
        </w:tc>
        <w:tc>
          <w:tcPr>
            <w:tcW w:w="714" w:type="pct"/>
            <w:vAlign w:val="center"/>
          </w:tcPr>
          <w:p w14:paraId="49028E49">
            <w:pPr>
              <w:pStyle w:val="125"/>
              <w:ind w:firstLine="0" w:firstLineChars="0"/>
            </w:pPr>
            <w:r>
              <w:rPr>
                <w:rFonts w:hint="eastAsia"/>
              </w:rPr>
              <w:t>氮气</w:t>
            </w:r>
          </w:p>
        </w:tc>
        <w:tc>
          <w:tcPr>
            <w:tcW w:w="595" w:type="pct"/>
            <w:vAlign w:val="center"/>
          </w:tcPr>
          <w:p w14:paraId="021970FF">
            <w:pPr>
              <w:pStyle w:val="125"/>
              <w:ind w:firstLine="0" w:firstLineChars="0"/>
            </w:pPr>
            <w:r>
              <w:t>N</w:t>
            </w:r>
            <w:r>
              <w:rPr>
                <w:rFonts w:hint="eastAsia"/>
              </w:rPr>
              <w:t>m³</w:t>
            </w:r>
            <w:r>
              <w:t>/</w:t>
            </w:r>
            <w:r>
              <w:rPr>
                <w:rFonts w:hint="eastAsia"/>
              </w:rPr>
              <w:t>h</w:t>
            </w:r>
          </w:p>
        </w:tc>
        <w:tc>
          <w:tcPr>
            <w:tcW w:w="571" w:type="pct"/>
            <w:vAlign w:val="center"/>
          </w:tcPr>
          <w:p w14:paraId="25109E63">
            <w:pPr>
              <w:pStyle w:val="125"/>
              <w:ind w:firstLine="0" w:firstLineChars="0"/>
            </w:pPr>
            <w:r>
              <w:rPr>
                <w:rFonts w:hint="eastAsia"/>
              </w:rPr>
              <w:t>100</w:t>
            </w:r>
          </w:p>
        </w:tc>
        <w:tc>
          <w:tcPr>
            <w:tcW w:w="721" w:type="pct"/>
            <w:vAlign w:val="center"/>
          </w:tcPr>
          <w:p w14:paraId="0998F4D7">
            <w:pPr>
              <w:pStyle w:val="125"/>
              <w:ind w:firstLine="0" w:firstLineChars="0"/>
            </w:pPr>
            <w:r>
              <w:t>10</w:t>
            </w:r>
            <w:r>
              <w:rPr>
                <w:vertAlign w:val="superscript"/>
              </w:rPr>
              <w:t>4</w:t>
            </w:r>
            <w:r>
              <w:t>N</w:t>
            </w:r>
            <w:r>
              <w:rPr>
                <w:rFonts w:hint="eastAsia"/>
              </w:rPr>
              <w:t>m³</w:t>
            </w:r>
            <w:r>
              <w:t>/a</w:t>
            </w:r>
          </w:p>
        </w:tc>
        <w:tc>
          <w:tcPr>
            <w:tcW w:w="832" w:type="pct"/>
            <w:vAlign w:val="center"/>
          </w:tcPr>
          <w:p w14:paraId="4BF5A16A">
            <w:pPr>
              <w:pStyle w:val="125"/>
              <w:ind w:firstLine="0" w:firstLineChars="0"/>
            </w:pPr>
            <w:r>
              <w:rPr>
                <w:rFonts w:hint="eastAsia"/>
              </w:rPr>
              <w:t>79.2</w:t>
            </w:r>
          </w:p>
        </w:tc>
        <w:tc>
          <w:tcPr>
            <w:tcW w:w="1137" w:type="pct"/>
            <w:vAlign w:val="center"/>
          </w:tcPr>
          <w:p w14:paraId="293E3A06">
            <w:pPr>
              <w:pStyle w:val="125"/>
              <w:ind w:firstLine="0" w:firstLineChars="0"/>
            </w:pPr>
          </w:p>
        </w:tc>
      </w:tr>
      <w:tr w14:paraId="50DA5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0EE701C6">
            <w:pPr>
              <w:pStyle w:val="125"/>
              <w:ind w:firstLine="0" w:firstLineChars="0"/>
            </w:pPr>
            <w:r>
              <w:rPr>
                <w:rFonts w:hint="eastAsia"/>
              </w:rPr>
              <w:t>5</w:t>
            </w:r>
          </w:p>
        </w:tc>
        <w:tc>
          <w:tcPr>
            <w:tcW w:w="714" w:type="pct"/>
            <w:vAlign w:val="center"/>
          </w:tcPr>
          <w:p w14:paraId="4F3BB42A">
            <w:pPr>
              <w:pStyle w:val="125"/>
              <w:ind w:firstLine="0" w:firstLineChars="0"/>
            </w:pPr>
            <w:r>
              <w:rPr>
                <w:rFonts w:hint="eastAsia"/>
              </w:rPr>
              <w:t>电</w:t>
            </w:r>
          </w:p>
        </w:tc>
        <w:tc>
          <w:tcPr>
            <w:tcW w:w="595" w:type="pct"/>
            <w:vAlign w:val="center"/>
          </w:tcPr>
          <w:p w14:paraId="407B81AE">
            <w:pPr>
              <w:pStyle w:val="125"/>
              <w:ind w:firstLine="0" w:firstLineChars="0"/>
            </w:pPr>
            <w:r>
              <w:rPr>
                <w:rFonts w:hint="eastAsia"/>
              </w:rPr>
              <w:t>kW·h</w:t>
            </w:r>
          </w:p>
        </w:tc>
        <w:tc>
          <w:tcPr>
            <w:tcW w:w="571" w:type="pct"/>
            <w:vAlign w:val="center"/>
          </w:tcPr>
          <w:p w14:paraId="5D2AC28E">
            <w:pPr>
              <w:pStyle w:val="125"/>
              <w:ind w:firstLine="0" w:firstLineChars="0"/>
            </w:pPr>
            <w:r>
              <w:rPr>
                <w:rFonts w:hint="eastAsia"/>
              </w:rPr>
              <w:t>9800</w:t>
            </w:r>
          </w:p>
        </w:tc>
        <w:tc>
          <w:tcPr>
            <w:tcW w:w="721" w:type="pct"/>
            <w:vAlign w:val="center"/>
          </w:tcPr>
          <w:p w14:paraId="4C76B354">
            <w:pPr>
              <w:pStyle w:val="125"/>
              <w:ind w:firstLine="0" w:firstLineChars="0"/>
            </w:pPr>
            <w:r>
              <w:rPr>
                <w:rFonts w:hint="eastAsia"/>
              </w:rPr>
              <w:t>kW·h</w:t>
            </w:r>
          </w:p>
        </w:tc>
        <w:tc>
          <w:tcPr>
            <w:tcW w:w="832" w:type="pct"/>
            <w:vAlign w:val="center"/>
          </w:tcPr>
          <w:p w14:paraId="00CA6D05">
            <w:pPr>
              <w:pStyle w:val="125"/>
              <w:ind w:firstLine="0" w:firstLineChars="0"/>
            </w:pPr>
            <w:r>
              <w:rPr>
                <w:rFonts w:hint="eastAsia"/>
              </w:rPr>
              <w:t>7791.6</w:t>
            </w:r>
          </w:p>
        </w:tc>
        <w:tc>
          <w:tcPr>
            <w:tcW w:w="1137" w:type="pct"/>
            <w:vAlign w:val="center"/>
          </w:tcPr>
          <w:p w14:paraId="70C50193">
            <w:pPr>
              <w:pStyle w:val="125"/>
              <w:ind w:firstLine="0" w:firstLineChars="0"/>
            </w:pPr>
            <w:r>
              <w:rPr>
                <w:rFonts w:hint="eastAsia"/>
              </w:rPr>
              <w:t>工业园区变电站</w:t>
            </w:r>
          </w:p>
        </w:tc>
      </w:tr>
      <w:tr w14:paraId="0917C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643E7802">
            <w:pPr>
              <w:pStyle w:val="125"/>
              <w:ind w:firstLine="0" w:firstLineChars="0"/>
            </w:pPr>
            <w:r>
              <w:rPr>
                <w:rFonts w:hint="eastAsia"/>
              </w:rPr>
              <w:t>6</w:t>
            </w:r>
          </w:p>
        </w:tc>
        <w:tc>
          <w:tcPr>
            <w:tcW w:w="714" w:type="pct"/>
            <w:vAlign w:val="center"/>
          </w:tcPr>
          <w:p w14:paraId="4B8ED006">
            <w:pPr>
              <w:pStyle w:val="125"/>
              <w:ind w:firstLine="0" w:firstLineChars="0"/>
            </w:pPr>
            <w:r>
              <w:rPr>
                <w:rFonts w:hint="eastAsia"/>
              </w:rPr>
              <w:t>93%硫酸</w:t>
            </w:r>
          </w:p>
        </w:tc>
        <w:tc>
          <w:tcPr>
            <w:tcW w:w="595" w:type="pct"/>
            <w:vAlign w:val="center"/>
          </w:tcPr>
          <w:p w14:paraId="40CF5437">
            <w:pPr>
              <w:pStyle w:val="125"/>
              <w:ind w:firstLine="0" w:firstLineChars="0"/>
            </w:pPr>
            <w:r>
              <w:rPr>
                <w:rFonts w:hint="eastAsia"/>
              </w:rPr>
              <w:t>kg/h</w:t>
            </w:r>
          </w:p>
        </w:tc>
        <w:tc>
          <w:tcPr>
            <w:tcW w:w="571" w:type="pct"/>
            <w:vAlign w:val="center"/>
          </w:tcPr>
          <w:p w14:paraId="6CDE9A3E">
            <w:pPr>
              <w:pStyle w:val="125"/>
              <w:ind w:firstLine="0" w:firstLineChars="0"/>
            </w:pPr>
            <w:r>
              <w:rPr>
                <w:rFonts w:hint="eastAsia"/>
              </w:rPr>
              <w:t>91.2</w:t>
            </w:r>
          </w:p>
        </w:tc>
        <w:tc>
          <w:tcPr>
            <w:tcW w:w="721" w:type="pct"/>
            <w:vAlign w:val="center"/>
          </w:tcPr>
          <w:p w14:paraId="32D03BAE">
            <w:pPr>
              <w:pStyle w:val="125"/>
              <w:ind w:firstLine="0" w:firstLineChars="0"/>
            </w:pPr>
            <w:r>
              <w:t>t</w:t>
            </w:r>
            <w:r>
              <w:rPr>
                <w:rFonts w:hint="eastAsia"/>
              </w:rPr>
              <w:t>/a</w:t>
            </w:r>
          </w:p>
        </w:tc>
        <w:tc>
          <w:tcPr>
            <w:tcW w:w="832" w:type="pct"/>
            <w:vAlign w:val="center"/>
          </w:tcPr>
          <w:p w14:paraId="798E3F20">
            <w:pPr>
              <w:pStyle w:val="125"/>
              <w:ind w:firstLine="0" w:firstLineChars="0"/>
            </w:pPr>
            <w:r>
              <w:rPr>
                <w:rFonts w:hint="eastAsia"/>
              </w:rPr>
              <w:t>722.3</w:t>
            </w:r>
          </w:p>
        </w:tc>
        <w:tc>
          <w:tcPr>
            <w:tcW w:w="1137" w:type="pct"/>
            <w:vMerge w:val="restart"/>
            <w:vAlign w:val="center"/>
          </w:tcPr>
          <w:p w14:paraId="6118A250">
            <w:pPr>
              <w:pStyle w:val="125"/>
              <w:ind w:firstLine="0" w:firstLineChars="0"/>
            </w:pPr>
            <w:r>
              <w:rPr>
                <w:rFonts w:hint="eastAsia"/>
              </w:rPr>
              <w:t>市场采购</w:t>
            </w:r>
          </w:p>
        </w:tc>
      </w:tr>
      <w:tr w14:paraId="79197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6F854195">
            <w:pPr>
              <w:pStyle w:val="125"/>
              <w:ind w:firstLine="0" w:firstLineChars="0"/>
            </w:pPr>
            <w:r>
              <w:rPr>
                <w:rFonts w:hint="eastAsia"/>
              </w:rPr>
              <w:t>7</w:t>
            </w:r>
          </w:p>
        </w:tc>
        <w:tc>
          <w:tcPr>
            <w:tcW w:w="714" w:type="pct"/>
            <w:vAlign w:val="center"/>
          </w:tcPr>
          <w:p w14:paraId="6631F3E0">
            <w:pPr>
              <w:pStyle w:val="125"/>
              <w:ind w:firstLine="0" w:firstLineChars="0"/>
            </w:pPr>
            <w:r>
              <w:rPr>
                <w:rFonts w:hint="eastAsia"/>
              </w:rPr>
              <w:t>氢氧化钠</w:t>
            </w:r>
          </w:p>
        </w:tc>
        <w:tc>
          <w:tcPr>
            <w:tcW w:w="595" w:type="pct"/>
            <w:vAlign w:val="center"/>
          </w:tcPr>
          <w:p w14:paraId="2565D73B">
            <w:pPr>
              <w:pStyle w:val="125"/>
              <w:ind w:firstLine="0" w:firstLineChars="0"/>
            </w:pPr>
            <w:r>
              <w:rPr>
                <w:rFonts w:hint="eastAsia"/>
              </w:rPr>
              <w:t>kg/h</w:t>
            </w:r>
          </w:p>
        </w:tc>
        <w:tc>
          <w:tcPr>
            <w:tcW w:w="571" w:type="pct"/>
            <w:vAlign w:val="center"/>
          </w:tcPr>
          <w:p w14:paraId="4EFEB9C4">
            <w:pPr>
              <w:pStyle w:val="125"/>
              <w:ind w:firstLine="0" w:firstLineChars="0"/>
            </w:pPr>
            <w:r>
              <w:rPr>
                <w:rFonts w:hint="eastAsia"/>
              </w:rPr>
              <w:t>164</w:t>
            </w:r>
          </w:p>
        </w:tc>
        <w:tc>
          <w:tcPr>
            <w:tcW w:w="721" w:type="pct"/>
            <w:vAlign w:val="center"/>
          </w:tcPr>
          <w:p w14:paraId="1D296B0C">
            <w:pPr>
              <w:pStyle w:val="125"/>
              <w:ind w:firstLine="0" w:firstLineChars="0"/>
            </w:pPr>
            <w:r>
              <w:t>t</w:t>
            </w:r>
            <w:r>
              <w:rPr>
                <w:rFonts w:hint="eastAsia"/>
              </w:rPr>
              <w:t>/a</w:t>
            </w:r>
          </w:p>
        </w:tc>
        <w:tc>
          <w:tcPr>
            <w:tcW w:w="832" w:type="pct"/>
            <w:vAlign w:val="center"/>
          </w:tcPr>
          <w:p w14:paraId="58FC72D7">
            <w:pPr>
              <w:pStyle w:val="125"/>
              <w:ind w:firstLine="0" w:firstLineChars="0"/>
            </w:pPr>
            <w:r>
              <w:rPr>
                <w:rFonts w:hint="eastAsia"/>
              </w:rPr>
              <w:t>1298.9</w:t>
            </w:r>
          </w:p>
        </w:tc>
        <w:tc>
          <w:tcPr>
            <w:tcW w:w="1137" w:type="pct"/>
            <w:vMerge w:val="continue"/>
            <w:vAlign w:val="center"/>
          </w:tcPr>
          <w:p w14:paraId="67CE86E2">
            <w:pPr>
              <w:pStyle w:val="125"/>
              <w:ind w:firstLine="420"/>
            </w:pPr>
          </w:p>
        </w:tc>
      </w:tr>
      <w:tr w14:paraId="10DDE7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602BEBEB">
            <w:pPr>
              <w:pStyle w:val="125"/>
              <w:ind w:firstLine="0" w:firstLineChars="0"/>
            </w:pPr>
            <w:r>
              <w:rPr>
                <w:rFonts w:hint="eastAsia"/>
              </w:rPr>
              <w:t>8</w:t>
            </w:r>
          </w:p>
        </w:tc>
        <w:tc>
          <w:tcPr>
            <w:tcW w:w="714" w:type="pct"/>
            <w:vAlign w:val="center"/>
          </w:tcPr>
          <w:p w14:paraId="10067502">
            <w:pPr>
              <w:pStyle w:val="125"/>
              <w:ind w:firstLine="0" w:firstLineChars="0"/>
            </w:pPr>
            <w:r>
              <w:rPr>
                <w:rFonts w:hint="eastAsia"/>
              </w:rPr>
              <w:t>尿素</w:t>
            </w:r>
          </w:p>
        </w:tc>
        <w:tc>
          <w:tcPr>
            <w:tcW w:w="595" w:type="pct"/>
            <w:vAlign w:val="center"/>
          </w:tcPr>
          <w:p w14:paraId="62C39103">
            <w:pPr>
              <w:pStyle w:val="125"/>
              <w:ind w:firstLine="0" w:firstLineChars="0"/>
            </w:pPr>
            <w:r>
              <w:rPr>
                <w:rFonts w:hint="eastAsia"/>
              </w:rPr>
              <w:t>kg/h</w:t>
            </w:r>
          </w:p>
        </w:tc>
        <w:tc>
          <w:tcPr>
            <w:tcW w:w="571" w:type="pct"/>
            <w:vAlign w:val="center"/>
          </w:tcPr>
          <w:p w14:paraId="039EFE47">
            <w:pPr>
              <w:pStyle w:val="125"/>
              <w:ind w:firstLine="0" w:firstLineChars="0"/>
            </w:pPr>
            <w:r>
              <w:rPr>
                <w:rFonts w:hint="eastAsia"/>
              </w:rPr>
              <w:t>110</w:t>
            </w:r>
          </w:p>
        </w:tc>
        <w:tc>
          <w:tcPr>
            <w:tcW w:w="721" w:type="pct"/>
            <w:vAlign w:val="center"/>
          </w:tcPr>
          <w:p w14:paraId="058DA9A3">
            <w:pPr>
              <w:pStyle w:val="125"/>
              <w:ind w:firstLine="0" w:firstLineChars="0"/>
            </w:pPr>
            <w:r>
              <w:t>t</w:t>
            </w:r>
            <w:r>
              <w:rPr>
                <w:rFonts w:hint="eastAsia"/>
              </w:rPr>
              <w:t>/a</w:t>
            </w:r>
          </w:p>
        </w:tc>
        <w:tc>
          <w:tcPr>
            <w:tcW w:w="832" w:type="pct"/>
            <w:vAlign w:val="center"/>
          </w:tcPr>
          <w:p w14:paraId="26B17C67">
            <w:pPr>
              <w:pStyle w:val="125"/>
              <w:ind w:firstLine="0" w:firstLineChars="0"/>
            </w:pPr>
            <w:r>
              <w:rPr>
                <w:rFonts w:hint="eastAsia"/>
              </w:rPr>
              <w:t>869</w:t>
            </w:r>
          </w:p>
        </w:tc>
        <w:tc>
          <w:tcPr>
            <w:tcW w:w="1137" w:type="pct"/>
            <w:vMerge w:val="continue"/>
            <w:vAlign w:val="center"/>
          </w:tcPr>
          <w:p w14:paraId="01FE3903">
            <w:pPr>
              <w:pStyle w:val="125"/>
              <w:ind w:firstLine="420"/>
            </w:pPr>
          </w:p>
        </w:tc>
      </w:tr>
      <w:tr w14:paraId="42757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2C0346EB">
            <w:pPr>
              <w:pStyle w:val="125"/>
              <w:ind w:firstLine="0" w:firstLineChars="0"/>
            </w:pPr>
            <w:r>
              <w:rPr>
                <w:rFonts w:hint="eastAsia"/>
              </w:rPr>
              <w:t>9</w:t>
            </w:r>
          </w:p>
        </w:tc>
        <w:tc>
          <w:tcPr>
            <w:tcW w:w="714" w:type="pct"/>
            <w:vAlign w:val="center"/>
          </w:tcPr>
          <w:p w14:paraId="14C47074">
            <w:pPr>
              <w:pStyle w:val="125"/>
              <w:ind w:firstLine="0" w:firstLineChars="0"/>
            </w:pPr>
            <w:r>
              <w:t>PAC</w:t>
            </w:r>
          </w:p>
        </w:tc>
        <w:tc>
          <w:tcPr>
            <w:tcW w:w="595" w:type="pct"/>
            <w:vAlign w:val="center"/>
          </w:tcPr>
          <w:p w14:paraId="4F1AC5C4">
            <w:pPr>
              <w:pStyle w:val="125"/>
              <w:ind w:firstLine="0" w:firstLineChars="0"/>
            </w:pPr>
            <w:r>
              <w:rPr>
                <w:rFonts w:hint="eastAsia"/>
              </w:rPr>
              <w:t>kg/h</w:t>
            </w:r>
          </w:p>
        </w:tc>
        <w:tc>
          <w:tcPr>
            <w:tcW w:w="571" w:type="pct"/>
            <w:vAlign w:val="center"/>
          </w:tcPr>
          <w:p w14:paraId="5121CFD0">
            <w:pPr>
              <w:pStyle w:val="125"/>
              <w:ind w:firstLine="0" w:firstLineChars="0"/>
            </w:pPr>
            <w:r>
              <w:rPr>
                <w:rFonts w:hint="eastAsia"/>
              </w:rPr>
              <w:t>6.35</w:t>
            </w:r>
          </w:p>
        </w:tc>
        <w:tc>
          <w:tcPr>
            <w:tcW w:w="721" w:type="pct"/>
            <w:vAlign w:val="center"/>
          </w:tcPr>
          <w:p w14:paraId="192E2FB6">
            <w:pPr>
              <w:pStyle w:val="125"/>
              <w:ind w:firstLine="0" w:firstLineChars="0"/>
            </w:pPr>
            <w:r>
              <w:t>t</w:t>
            </w:r>
            <w:r>
              <w:rPr>
                <w:rFonts w:hint="eastAsia"/>
              </w:rPr>
              <w:t>/a</w:t>
            </w:r>
          </w:p>
        </w:tc>
        <w:tc>
          <w:tcPr>
            <w:tcW w:w="832" w:type="pct"/>
            <w:vAlign w:val="center"/>
          </w:tcPr>
          <w:p w14:paraId="1BE92818">
            <w:pPr>
              <w:pStyle w:val="125"/>
              <w:ind w:firstLine="0" w:firstLineChars="0"/>
            </w:pPr>
            <w:r>
              <w:rPr>
                <w:rFonts w:hint="eastAsia"/>
              </w:rPr>
              <w:t>50.3</w:t>
            </w:r>
          </w:p>
        </w:tc>
        <w:tc>
          <w:tcPr>
            <w:tcW w:w="1137" w:type="pct"/>
            <w:vMerge w:val="continue"/>
            <w:vAlign w:val="center"/>
          </w:tcPr>
          <w:p w14:paraId="5AB3E56D">
            <w:pPr>
              <w:pStyle w:val="125"/>
              <w:ind w:firstLine="420"/>
            </w:pPr>
          </w:p>
        </w:tc>
      </w:tr>
      <w:tr w14:paraId="5B0A5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2F4034FC">
            <w:pPr>
              <w:pStyle w:val="125"/>
              <w:ind w:firstLine="0" w:firstLineChars="0"/>
            </w:pPr>
            <w:r>
              <w:rPr>
                <w:rFonts w:hint="eastAsia"/>
              </w:rPr>
              <w:t>10</w:t>
            </w:r>
          </w:p>
        </w:tc>
        <w:tc>
          <w:tcPr>
            <w:tcW w:w="714" w:type="pct"/>
            <w:vAlign w:val="center"/>
          </w:tcPr>
          <w:p w14:paraId="4D3D7F36">
            <w:pPr>
              <w:pStyle w:val="125"/>
              <w:ind w:firstLine="0" w:firstLineChars="0"/>
            </w:pPr>
            <w:r>
              <w:t>PAM</w:t>
            </w:r>
          </w:p>
        </w:tc>
        <w:tc>
          <w:tcPr>
            <w:tcW w:w="595" w:type="pct"/>
            <w:vAlign w:val="center"/>
          </w:tcPr>
          <w:p w14:paraId="4B462863">
            <w:pPr>
              <w:pStyle w:val="125"/>
              <w:ind w:firstLine="0" w:firstLineChars="0"/>
            </w:pPr>
            <w:r>
              <w:rPr>
                <w:rFonts w:hint="eastAsia"/>
              </w:rPr>
              <w:t>kg/h</w:t>
            </w:r>
          </w:p>
        </w:tc>
        <w:tc>
          <w:tcPr>
            <w:tcW w:w="571" w:type="pct"/>
            <w:vAlign w:val="center"/>
          </w:tcPr>
          <w:p w14:paraId="5D883BC6">
            <w:pPr>
              <w:pStyle w:val="125"/>
              <w:ind w:firstLine="0" w:firstLineChars="0"/>
            </w:pPr>
            <w:r>
              <w:rPr>
                <w:rFonts w:hint="eastAsia"/>
              </w:rPr>
              <w:t>0.05</w:t>
            </w:r>
          </w:p>
        </w:tc>
        <w:tc>
          <w:tcPr>
            <w:tcW w:w="721" w:type="pct"/>
            <w:vAlign w:val="center"/>
          </w:tcPr>
          <w:p w14:paraId="4E6A04A7">
            <w:pPr>
              <w:pStyle w:val="125"/>
              <w:ind w:firstLine="0" w:firstLineChars="0"/>
            </w:pPr>
            <w:r>
              <w:t>t</w:t>
            </w:r>
            <w:r>
              <w:rPr>
                <w:rFonts w:hint="eastAsia"/>
              </w:rPr>
              <w:t>/a</w:t>
            </w:r>
          </w:p>
        </w:tc>
        <w:tc>
          <w:tcPr>
            <w:tcW w:w="832" w:type="pct"/>
            <w:vAlign w:val="center"/>
          </w:tcPr>
          <w:p w14:paraId="54415FD2">
            <w:pPr>
              <w:pStyle w:val="125"/>
              <w:ind w:firstLine="0" w:firstLineChars="0"/>
            </w:pPr>
            <w:r>
              <w:rPr>
                <w:rFonts w:hint="eastAsia"/>
              </w:rPr>
              <w:t>0.4</w:t>
            </w:r>
          </w:p>
        </w:tc>
        <w:tc>
          <w:tcPr>
            <w:tcW w:w="1137" w:type="pct"/>
            <w:vMerge w:val="continue"/>
            <w:vAlign w:val="center"/>
          </w:tcPr>
          <w:p w14:paraId="6B05DD5E">
            <w:pPr>
              <w:pStyle w:val="125"/>
              <w:ind w:firstLine="420"/>
            </w:pPr>
          </w:p>
        </w:tc>
      </w:tr>
      <w:tr w14:paraId="291FD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36A2C0C2">
            <w:pPr>
              <w:pStyle w:val="125"/>
              <w:ind w:firstLine="0" w:firstLineChars="0"/>
            </w:pPr>
            <w:r>
              <w:rPr>
                <w:rFonts w:hint="eastAsia"/>
              </w:rPr>
              <w:t>11</w:t>
            </w:r>
          </w:p>
        </w:tc>
        <w:tc>
          <w:tcPr>
            <w:tcW w:w="714" w:type="pct"/>
            <w:vAlign w:val="center"/>
          </w:tcPr>
          <w:p w14:paraId="1CC9A38D">
            <w:pPr>
              <w:pStyle w:val="125"/>
              <w:ind w:firstLine="0" w:firstLineChars="0"/>
            </w:pPr>
            <w:r>
              <w:rPr>
                <w:rFonts w:hint="eastAsia"/>
              </w:rPr>
              <w:t>脱氮剂</w:t>
            </w:r>
          </w:p>
        </w:tc>
        <w:tc>
          <w:tcPr>
            <w:tcW w:w="595" w:type="pct"/>
            <w:vAlign w:val="center"/>
          </w:tcPr>
          <w:p w14:paraId="7E94203A">
            <w:pPr>
              <w:pStyle w:val="125"/>
              <w:ind w:firstLine="0" w:firstLineChars="0"/>
            </w:pPr>
            <w:r>
              <w:rPr>
                <w:rFonts w:hint="eastAsia"/>
              </w:rPr>
              <w:t>kg/h</w:t>
            </w:r>
          </w:p>
        </w:tc>
        <w:tc>
          <w:tcPr>
            <w:tcW w:w="571" w:type="pct"/>
            <w:vAlign w:val="center"/>
          </w:tcPr>
          <w:p w14:paraId="13A54044">
            <w:pPr>
              <w:pStyle w:val="125"/>
              <w:ind w:firstLine="0" w:firstLineChars="0"/>
            </w:pPr>
            <w:r>
              <w:rPr>
                <w:rFonts w:hint="eastAsia"/>
              </w:rPr>
              <w:t>0.2</w:t>
            </w:r>
          </w:p>
        </w:tc>
        <w:tc>
          <w:tcPr>
            <w:tcW w:w="721" w:type="pct"/>
            <w:vAlign w:val="center"/>
          </w:tcPr>
          <w:p w14:paraId="459F3975">
            <w:pPr>
              <w:pStyle w:val="125"/>
              <w:ind w:firstLine="0" w:firstLineChars="0"/>
            </w:pPr>
            <w:r>
              <w:t>t</w:t>
            </w:r>
            <w:r>
              <w:rPr>
                <w:rFonts w:hint="eastAsia"/>
              </w:rPr>
              <w:t>/a</w:t>
            </w:r>
          </w:p>
        </w:tc>
        <w:tc>
          <w:tcPr>
            <w:tcW w:w="832" w:type="pct"/>
            <w:vAlign w:val="center"/>
          </w:tcPr>
          <w:p w14:paraId="086C25A8">
            <w:pPr>
              <w:pStyle w:val="125"/>
              <w:ind w:firstLine="0" w:firstLineChars="0"/>
            </w:pPr>
            <w:r>
              <w:rPr>
                <w:rFonts w:hint="eastAsia"/>
              </w:rPr>
              <w:t>1.6</w:t>
            </w:r>
          </w:p>
        </w:tc>
        <w:tc>
          <w:tcPr>
            <w:tcW w:w="1137" w:type="pct"/>
            <w:vMerge w:val="continue"/>
            <w:vAlign w:val="center"/>
          </w:tcPr>
          <w:p w14:paraId="37ED63F1">
            <w:pPr>
              <w:pStyle w:val="125"/>
              <w:ind w:firstLine="420"/>
            </w:pPr>
          </w:p>
        </w:tc>
      </w:tr>
      <w:tr w14:paraId="6EB0C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0" w:type="pct"/>
            <w:vAlign w:val="center"/>
          </w:tcPr>
          <w:p w14:paraId="45FE470C">
            <w:pPr>
              <w:pStyle w:val="125"/>
              <w:ind w:firstLine="0" w:firstLineChars="0"/>
            </w:pPr>
            <w:r>
              <w:rPr>
                <w:rFonts w:hint="eastAsia"/>
              </w:rPr>
              <w:t>12</w:t>
            </w:r>
          </w:p>
        </w:tc>
        <w:tc>
          <w:tcPr>
            <w:tcW w:w="714" w:type="pct"/>
            <w:vAlign w:val="center"/>
          </w:tcPr>
          <w:p w14:paraId="46F87505">
            <w:pPr>
              <w:pStyle w:val="125"/>
              <w:ind w:firstLine="0" w:firstLineChars="0"/>
            </w:pPr>
            <w:r>
              <w:rPr>
                <w:rFonts w:hint="eastAsia"/>
              </w:rPr>
              <w:t>工业盐</w:t>
            </w:r>
          </w:p>
        </w:tc>
        <w:tc>
          <w:tcPr>
            <w:tcW w:w="595" w:type="pct"/>
            <w:vAlign w:val="center"/>
          </w:tcPr>
          <w:p w14:paraId="44AE1C9B">
            <w:pPr>
              <w:pStyle w:val="125"/>
              <w:ind w:firstLine="0" w:firstLineChars="0"/>
            </w:pPr>
            <w:r>
              <w:rPr>
                <w:rFonts w:hint="eastAsia"/>
              </w:rPr>
              <w:t>kg/h</w:t>
            </w:r>
          </w:p>
        </w:tc>
        <w:tc>
          <w:tcPr>
            <w:tcW w:w="571" w:type="pct"/>
            <w:vAlign w:val="center"/>
          </w:tcPr>
          <w:p w14:paraId="668C2D57">
            <w:pPr>
              <w:pStyle w:val="125"/>
              <w:ind w:firstLine="0" w:firstLineChars="0"/>
            </w:pPr>
            <w:r>
              <w:rPr>
                <w:rFonts w:hint="eastAsia"/>
              </w:rPr>
              <w:t>14</w:t>
            </w:r>
          </w:p>
        </w:tc>
        <w:tc>
          <w:tcPr>
            <w:tcW w:w="721" w:type="pct"/>
            <w:vAlign w:val="center"/>
          </w:tcPr>
          <w:p w14:paraId="2AB443F0">
            <w:pPr>
              <w:pStyle w:val="125"/>
              <w:ind w:firstLine="0" w:firstLineChars="0"/>
            </w:pPr>
            <w:r>
              <w:t>t</w:t>
            </w:r>
            <w:r>
              <w:rPr>
                <w:rFonts w:hint="eastAsia"/>
              </w:rPr>
              <w:t>/a</w:t>
            </w:r>
          </w:p>
        </w:tc>
        <w:tc>
          <w:tcPr>
            <w:tcW w:w="832" w:type="pct"/>
            <w:vAlign w:val="center"/>
          </w:tcPr>
          <w:p w14:paraId="609F2627">
            <w:pPr>
              <w:pStyle w:val="125"/>
              <w:ind w:firstLine="0" w:firstLineChars="0"/>
            </w:pPr>
            <w:r>
              <w:rPr>
                <w:rFonts w:hint="eastAsia"/>
              </w:rPr>
              <w:t>110.9</w:t>
            </w:r>
          </w:p>
        </w:tc>
        <w:tc>
          <w:tcPr>
            <w:tcW w:w="1137" w:type="pct"/>
            <w:vMerge w:val="continue"/>
            <w:vAlign w:val="center"/>
          </w:tcPr>
          <w:p w14:paraId="54878972">
            <w:pPr>
              <w:pStyle w:val="125"/>
              <w:ind w:firstLine="420"/>
            </w:pPr>
          </w:p>
        </w:tc>
      </w:tr>
    </w:tbl>
    <w:p w14:paraId="0FDFA6AC">
      <w:pPr>
        <w:pStyle w:val="118"/>
      </w:pPr>
    </w:p>
    <w:p w14:paraId="1209C544">
      <w:pPr>
        <w:pStyle w:val="944"/>
      </w:pPr>
      <w:r>
        <w:rPr>
          <w:rFonts w:hint="eastAsia"/>
        </w:rPr>
        <w:t>综合能耗</w:t>
      </w:r>
    </w:p>
    <w:p w14:paraId="1BE17EB3">
      <w:pPr>
        <w:ind w:firstLine="480"/>
      </w:pPr>
      <w:r>
        <w:rPr>
          <w:rFonts w:hint="eastAsia"/>
        </w:rPr>
        <w:t>根据《煤基活性炭和兰炭单位产品能源消耗限额》（GB 29995-2024）核算兰炭生产线综合能耗及兰炭单位产品能耗，见表3.3-4。</w:t>
      </w:r>
    </w:p>
    <w:p w14:paraId="34C646F6">
      <w:pPr>
        <w:pStyle w:val="118"/>
      </w:pPr>
      <w:r>
        <w:t>表</w:t>
      </w:r>
      <w:r>
        <w:rPr>
          <w:rFonts w:hint="eastAsia"/>
        </w:rPr>
        <w:t xml:space="preserve">3.3-4 </w:t>
      </w:r>
      <w:r>
        <w:t xml:space="preserve"> 实物消耗量及综合能耗量表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2"/>
        <w:gridCol w:w="1732"/>
        <w:gridCol w:w="1234"/>
        <w:gridCol w:w="1091"/>
        <w:gridCol w:w="1439"/>
        <w:gridCol w:w="1210"/>
        <w:gridCol w:w="1164"/>
      </w:tblGrid>
      <w:tr w14:paraId="7D226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restart"/>
            <w:noWrap/>
            <w:vAlign w:val="center"/>
          </w:tcPr>
          <w:p w14:paraId="359D0C1B">
            <w:pPr>
              <w:pStyle w:val="125"/>
              <w:ind w:firstLine="0" w:firstLineChars="0"/>
              <w:rPr>
                <w:b/>
                <w:bCs/>
              </w:rPr>
            </w:pPr>
            <w:r>
              <w:rPr>
                <w:rFonts w:hint="eastAsia"/>
                <w:b/>
                <w:bCs/>
              </w:rPr>
              <w:t>类型</w:t>
            </w:r>
          </w:p>
        </w:tc>
        <w:tc>
          <w:tcPr>
            <w:tcW w:w="2380" w:type="pct"/>
            <w:gridSpan w:val="3"/>
            <w:noWrap/>
            <w:vAlign w:val="center"/>
          </w:tcPr>
          <w:p w14:paraId="64E63F3F">
            <w:pPr>
              <w:pStyle w:val="125"/>
              <w:ind w:firstLine="0" w:firstLineChars="0"/>
              <w:rPr>
                <w:b/>
                <w:bCs/>
              </w:rPr>
            </w:pPr>
            <w:r>
              <w:rPr>
                <w:rFonts w:hint="eastAsia"/>
                <w:b/>
                <w:bCs/>
              </w:rPr>
              <w:t>实物量</w:t>
            </w:r>
          </w:p>
        </w:tc>
        <w:tc>
          <w:tcPr>
            <w:tcW w:w="2237" w:type="pct"/>
            <w:gridSpan w:val="3"/>
            <w:noWrap/>
            <w:vAlign w:val="center"/>
          </w:tcPr>
          <w:p w14:paraId="7015531D">
            <w:pPr>
              <w:pStyle w:val="125"/>
              <w:ind w:firstLine="0" w:firstLineChars="0"/>
              <w:rPr>
                <w:b/>
                <w:bCs/>
              </w:rPr>
            </w:pPr>
            <w:r>
              <w:rPr>
                <w:rFonts w:hint="eastAsia"/>
                <w:b/>
                <w:bCs/>
              </w:rPr>
              <w:t>折标量</w:t>
            </w:r>
          </w:p>
        </w:tc>
      </w:tr>
      <w:tr w14:paraId="53AE1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continue"/>
            <w:vAlign w:val="center"/>
          </w:tcPr>
          <w:p w14:paraId="2C3E2D6E">
            <w:pPr>
              <w:pStyle w:val="125"/>
              <w:ind w:firstLine="0" w:firstLineChars="0"/>
              <w:rPr>
                <w:b/>
                <w:bCs/>
              </w:rPr>
            </w:pPr>
          </w:p>
        </w:tc>
        <w:tc>
          <w:tcPr>
            <w:tcW w:w="1016" w:type="pct"/>
            <w:noWrap/>
            <w:vAlign w:val="center"/>
          </w:tcPr>
          <w:p w14:paraId="6861A55B">
            <w:pPr>
              <w:pStyle w:val="125"/>
              <w:ind w:firstLine="0" w:firstLineChars="0"/>
              <w:rPr>
                <w:b/>
                <w:bCs/>
              </w:rPr>
            </w:pPr>
            <w:r>
              <w:rPr>
                <w:rFonts w:hint="eastAsia"/>
                <w:b/>
                <w:bCs/>
              </w:rPr>
              <w:t>名称</w:t>
            </w:r>
          </w:p>
        </w:tc>
        <w:tc>
          <w:tcPr>
            <w:tcW w:w="724" w:type="pct"/>
            <w:noWrap/>
            <w:vAlign w:val="center"/>
          </w:tcPr>
          <w:p w14:paraId="05119072">
            <w:pPr>
              <w:pStyle w:val="125"/>
              <w:ind w:firstLine="0" w:firstLineChars="0"/>
              <w:rPr>
                <w:b/>
                <w:bCs/>
              </w:rPr>
            </w:pPr>
            <w:r>
              <w:rPr>
                <w:rFonts w:hint="eastAsia"/>
                <w:b/>
                <w:bCs/>
              </w:rPr>
              <w:t>单位</w:t>
            </w:r>
          </w:p>
        </w:tc>
        <w:tc>
          <w:tcPr>
            <w:tcW w:w="639" w:type="pct"/>
            <w:noWrap/>
            <w:vAlign w:val="center"/>
          </w:tcPr>
          <w:p w14:paraId="0DDF069C">
            <w:pPr>
              <w:pStyle w:val="125"/>
              <w:ind w:firstLine="0" w:firstLineChars="0"/>
              <w:rPr>
                <w:b/>
                <w:bCs/>
              </w:rPr>
            </w:pPr>
            <w:r>
              <w:rPr>
                <w:rFonts w:hint="eastAsia"/>
                <w:b/>
                <w:bCs/>
              </w:rPr>
              <w:t>年消耗量</w:t>
            </w:r>
          </w:p>
        </w:tc>
        <w:tc>
          <w:tcPr>
            <w:tcW w:w="844" w:type="pct"/>
            <w:noWrap/>
            <w:vAlign w:val="center"/>
          </w:tcPr>
          <w:p w14:paraId="400D540E">
            <w:pPr>
              <w:pStyle w:val="125"/>
              <w:ind w:firstLine="0" w:firstLineChars="0"/>
              <w:rPr>
                <w:b/>
                <w:bCs/>
              </w:rPr>
            </w:pPr>
            <w:r>
              <w:rPr>
                <w:rFonts w:hint="eastAsia"/>
                <w:b/>
                <w:bCs/>
              </w:rPr>
              <w:t>单位</w:t>
            </w:r>
          </w:p>
        </w:tc>
        <w:tc>
          <w:tcPr>
            <w:tcW w:w="710" w:type="pct"/>
            <w:noWrap/>
            <w:vAlign w:val="center"/>
          </w:tcPr>
          <w:p w14:paraId="5A5E7E91">
            <w:pPr>
              <w:pStyle w:val="125"/>
              <w:ind w:firstLine="0" w:firstLineChars="0"/>
              <w:rPr>
                <w:b/>
                <w:bCs/>
              </w:rPr>
            </w:pPr>
            <w:r>
              <w:rPr>
                <w:rFonts w:hint="eastAsia"/>
                <w:b/>
                <w:bCs/>
              </w:rPr>
              <w:t>折标系数</w:t>
            </w:r>
          </w:p>
        </w:tc>
        <w:tc>
          <w:tcPr>
            <w:tcW w:w="683" w:type="pct"/>
            <w:noWrap/>
            <w:vAlign w:val="center"/>
          </w:tcPr>
          <w:p w14:paraId="762A6693">
            <w:pPr>
              <w:pStyle w:val="125"/>
              <w:ind w:firstLine="0" w:firstLineChars="0"/>
              <w:rPr>
                <w:b/>
                <w:bCs/>
              </w:rPr>
            </w:pPr>
            <w:r>
              <w:rPr>
                <w:rFonts w:hint="eastAsia"/>
                <w:b/>
                <w:bCs/>
              </w:rPr>
              <w:t>折标准煤</w:t>
            </w:r>
          </w:p>
        </w:tc>
      </w:tr>
      <w:tr w14:paraId="77C89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restart"/>
            <w:noWrap/>
            <w:vAlign w:val="center"/>
          </w:tcPr>
          <w:p w14:paraId="58ADAAFC">
            <w:pPr>
              <w:pStyle w:val="125"/>
              <w:ind w:firstLine="0" w:firstLineChars="0"/>
            </w:pPr>
            <w:r>
              <w:rPr>
                <w:rFonts w:hint="eastAsia"/>
              </w:rPr>
              <w:t>供入</w:t>
            </w:r>
          </w:p>
        </w:tc>
        <w:tc>
          <w:tcPr>
            <w:tcW w:w="1016" w:type="pct"/>
            <w:noWrap/>
            <w:vAlign w:val="center"/>
          </w:tcPr>
          <w:p w14:paraId="198570B2">
            <w:pPr>
              <w:pStyle w:val="125"/>
              <w:ind w:firstLine="0" w:firstLineChars="0"/>
            </w:pPr>
            <w:r>
              <w:rPr>
                <w:rFonts w:hint="eastAsia"/>
              </w:rPr>
              <w:t>入炉煤</w:t>
            </w:r>
          </w:p>
        </w:tc>
        <w:tc>
          <w:tcPr>
            <w:tcW w:w="724" w:type="pct"/>
            <w:noWrap/>
            <w:vAlign w:val="center"/>
          </w:tcPr>
          <w:p w14:paraId="2F412CC4">
            <w:pPr>
              <w:pStyle w:val="125"/>
              <w:ind w:firstLine="0" w:firstLineChars="0"/>
            </w:pPr>
            <w:r>
              <w:rPr>
                <w:rFonts w:hint="eastAsia"/>
              </w:rPr>
              <w:t>万t</w:t>
            </w:r>
          </w:p>
        </w:tc>
        <w:tc>
          <w:tcPr>
            <w:tcW w:w="639" w:type="pct"/>
            <w:noWrap/>
            <w:vAlign w:val="center"/>
          </w:tcPr>
          <w:p w14:paraId="725F1558">
            <w:pPr>
              <w:pStyle w:val="125"/>
              <w:ind w:firstLine="0" w:firstLineChars="0"/>
            </w:pPr>
            <w:r>
              <w:rPr>
                <w:rFonts w:hint="eastAsia"/>
              </w:rPr>
              <w:t>120</w:t>
            </w:r>
          </w:p>
        </w:tc>
        <w:tc>
          <w:tcPr>
            <w:tcW w:w="844" w:type="pct"/>
            <w:noWrap/>
            <w:vAlign w:val="center"/>
          </w:tcPr>
          <w:p w14:paraId="44C2CF5F">
            <w:pPr>
              <w:pStyle w:val="125"/>
              <w:ind w:firstLine="0" w:firstLineChars="0"/>
            </w:pPr>
            <w:r>
              <w:rPr>
                <w:rFonts w:hint="eastAsia"/>
              </w:rPr>
              <w:t>tce/t</w:t>
            </w:r>
          </w:p>
        </w:tc>
        <w:tc>
          <w:tcPr>
            <w:tcW w:w="710" w:type="pct"/>
            <w:noWrap/>
            <w:vAlign w:val="center"/>
          </w:tcPr>
          <w:p w14:paraId="009A59D7">
            <w:pPr>
              <w:pStyle w:val="125"/>
              <w:ind w:firstLine="0" w:firstLineChars="0"/>
            </w:pPr>
            <w:r>
              <w:rPr>
                <w:rFonts w:hint="eastAsia"/>
              </w:rPr>
              <w:t>0.7942</w:t>
            </w:r>
          </w:p>
        </w:tc>
        <w:tc>
          <w:tcPr>
            <w:tcW w:w="683" w:type="pct"/>
            <w:noWrap/>
            <w:vAlign w:val="center"/>
          </w:tcPr>
          <w:p w14:paraId="3C7536EA">
            <w:pPr>
              <w:pStyle w:val="125"/>
              <w:ind w:firstLine="0" w:firstLineChars="0"/>
            </w:pPr>
            <w:r>
              <w:rPr>
                <w:rFonts w:hint="eastAsia"/>
              </w:rPr>
              <w:t>953007.63</w:t>
            </w:r>
          </w:p>
        </w:tc>
      </w:tr>
      <w:tr w14:paraId="7A8F6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continue"/>
            <w:vAlign w:val="center"/>
          </w:tcPr>
          <w:p w14:paraId="6541F26E">
            <w:pPr>
              <w:pStyle w:val="125"/>
              <w:ind w:firstLine="0" w:firstLineChars="0"/>
            </w:pPr>
          </w:p>
        </w:tc>
        <w:tc>
          <w:tcPr>
            <w:tcW w:w="1016" w:type="pct"/>
            <w:noWrap/>
            <w:vAlign w:val="center"/>
          </w:tcPr>
          <w:p w14:paraId="2DFE48A5">
            <w:pPr>
              <w:pStyle w:val="125"/>
              <w:ind w:firstLine="0" w:firstLineChars="0"/>
            </w:pPr>
            <w:r>
              <w:rPr>
                <w:rFonts w:hint="eastAsia"/>
              </w:rPr>
              <w:t>电力</w:t>
            </w:r>
          </w:p>
        </w:tc>
        <w:tc>
          <w:tcPr>
            <w:tcW w:w="724" w:type="pct"/>
            <w:noWrap/>
            <w:vAlign w:val="center"/>
          </w:tcPr>
          <w:p w14:paraId="0F359DE3">
            <w:pPr>
              <w:pStyle w:val="125"/>
              <w:ind w:firstLine="0" w:firstLineChars="0"/>
            </w:pPr>
            <w:r>
              <w:rPr>
                <w:rFonts w:hint="eastAsia"/>
              </w:rPr>
              <w:t>万kW·h</w:t>
            </w:r>
          </w:p>
        </w:tc>
        <w:tc>
          <w:tcPr>
            <w:tcW w:w="639" w:type="pct"/>
            <w:noWrap/>
            <w:vAlign w:val="center"/>
          </w:tcPr>
          <w:p w14:paraId="16F6CCEF">
            <w:pPr>
              <w:pStyle w:val="125"/>
              <w:ind w:firstLine="0" w:firstLineChars="0"/>
            </w:pPr>
            <w:r>
              <w:rPr>
                <w:rFonts w:hint="eastAsia"/>
              </w:rPr>
              <w:t>7761.6</w:t>
            </w:r>
          </w:p>
        </w:tc>
        <w:tc>
          <w:tcPr>
            <w:tcW w:w="844" w:type="pct"/>
            <w:noWrap/>
            <w:vAlign w:val="center"/>
          </w:tcPr>
          <w:p w14:paraId="15209A89">
            <w:pPr>
              <w:pStyle w:val="125"/>
              <w:ind w:firstLine="0" w:firstLineChars="0"/>
            </w:pPr>
            <w:r>
              <w:rPr>
                <w:rFonts w:hint="eastAsia"/>
              </w:rPr>
              <w:t>tce/万kW·h</w:t>
            </w:r>
          </w:p>
        </w:tc>
        <w:tc>
          <w:tcPr>
            <w:tcW w:w="710" w:type="pct"/>
            <w:noWrap/>
            <w:vAlign w:val="center"/>
          </w:tcPr>
          <w:p w14:paraId="1ED5259B">
            <w:pPr>
              <w:pStyle w:val="125"/>
              <w:ind w:firstLine="0" w:firstLineChars="0"/>
            </w:pPr>
            <w:r>
              <w:rPr>
                <w:rFonts w:hint="eastAsia"/>
              </w:rPr>
              <w:t>1.229</w:t>
            </w:r>
          </w:p>
        </w:tc>
        <w:tc>
          <w:tcPr>
            <w:tcW w:w="683" w:type="pct"/>
            <w:noWrap/>
            <w:vAlign w:val="center"/>
          </w:tcPr>
          <w:p w14:paraId="721068BF">
            <w:pPr>
              <w:pStyle w:val="125"/>
              <w:ind w:firstLine="0" w:firstLineChars="0"/>
            </w:pPr>
            <w:r>
              <w:rPr>
                <w:rFonts w:hint="eastAsia"/>
              </w:rPr>
              <w:t>9539.01</w:t>
            </w:r>
          </w:p>
        </w:tc>
      </w:tr>
      <w:tr w14:paraId="6BD5C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continue"/>
            <w:vAlign w:val="center"/>
          </w:tcPr>
          <w:p w14:paraId="6A356139">
            <w:pPr>
              <w:pStyle w:val="125"/>
              <w:ind w:firstLine="0" w:firstLineChars="0"/>
            </w:pPr>
          </w:p>
        </w:tc>
        <w:tc>
          <w:tcPr>
            <w:tcW w:w="1016" w:type="pct"/>
            <w:noWrap/>
            <w:vAlign w:val="center"/>
          </w:tcPr>
          <w:p w14:paraId="1CDFA871">
            <w:pPr>
              <w:pStyle w:val="125"/>
              <w:ind w:firstLine="0" w:firstLineChars="0"/>
            </w:pPr>
            <w:r>
              <w:rPr>
                <w:rFonts w:hint="eastAsia"/>
              </w:rPr>
              <w:t>新水</w:t>
            </w:r>
          </w:p>
        </w:tc>
        <w:tc>
          <w:tcPr>
            <w:tcW w:w="724" w:type="pct"/>
            <w:noWrap/>
            <w:vAlign w:val="center"/>
          </w:tcPr>
          <w:p w14:paraId="4B4DBDA2">
            <w:pPr>
              <w:pStyle w:val="125"/>
              <w:ind w:firstLine="0" w:firstLineChars="0"/>
            </w:pPr>
            <w:r>
              <w:rPr>
                <w:rFonts w:hint="eastAsia"/>
              </w:rPr>
              <w:t>m³</w:t>
            </w:r>
          </w:p>
        </w:tc>
        <w:tc>
          <w:tcPr>
            <w:tcW w:w="639" w:type="pct"/>
            <w:noWrap/>
            <w:vAlign w:val="center"/>
          </w:tcPr>
          <w:p w14:paraId="0070CDBE">
            <w:pPr>
              <w:pStyle w:val="125"/>
              <w:ind w:firstLine="0" w:firstLineChars="0"/>
            </w:pPr>
            <w:r>
              <w:rPr>
                <w:rFonts w:hint="eastAsia"/>
              </w:rPr>
              <w:t>516661.2</w:t>
            </w:r>
          </w:p>
        </w:tc>
        <w:tc>
          <w:tcPr>
            <w:tcW w:w="844" w:type="pct"/>
            <w:noWrap/>
            <w:vAlign w:val="center"/>
          </w:tcPr>
          <w:p w14:paraId="029195FE">
            <w:pPr>
              <w:pStyle w:val="125"/>
              <w:ind w:firstLine="0" w:firstLineChars="0"/>
            </w:pPr>
            <w:r>
              <w:rPr>
                <w:rFonts w:hint="eastAsia"/>
              </w:rPr>
              <w:t>tce/t</w:t>
            </w:r>
          </w:p>
        </w:tc>
        <w:tc>
          <w:tcPr>
            <w:tcW w:w="710" w:type="pct"/>
            <w:noWrap/>
            <w:vAlign w:val="center"/>
          </w:tcPr>
          <w:p w14:paraId="2633EBF2">
            <w:pPr>
              <w:pStyle w:val="125"/>
              <w:ind w:firstLine="0" w:firstLineChars="0"/>
            </w:pPr>
            <w:r>
              <w:rPr>
                <w:rFonts w:hint="eastAsia"/>
              </w:rPr>
              <w:t>0.0002571</w:t>
            </w:r>
          </w:p>
        </w:tc>
        <w:tc>
          <w:tcPr>
            <w:tcW w:w="683" w:type="pct"/>
            <w:noWrap/>
            <w:vAlign w:val="center"/>
          </w:tcPr>
          <w:p w14:paraId="30EF6A82">
            <w:pPr>
              <w:pStyle w:val="125"/>
              <w:ind w:firstLine="0" w:firstLineChars="0"/>
            </w:pPr>
            <w:r>
              <w:rPr>
                <w:rFonts w:hint="eastAsia"/>
              </w:rPr>
              <w:t>132.83</w:t>
            </w:r>
          </w:p>
        </w:tc>
      </w:tr>
      <w:tr w14:paraId="43B4A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continue"/>
            <w:vAlign w:val="center"/>
          </w:tcPr>
          <w:p w14:paraId="028ACCBD">
            <w:pPr>
              <w:pStyle w:val="125"/>
              <w:ind w:firstLine="0" w:firstLineChars="0"/>
            </w:pPr>
          </w:p>
        </w:tc>
        <w:tc>
          <w:tcPr>
            <w:tcW w:w="1016" w:type="pct"/>
            <w:noWrap/>
            <w:vAlign w:val="center"/>
          </w:tcPr>
          <w:p w14:paraId="21DD2DAD">
            <w:pPr>
              <w:pStyle w:val="125"/>
              <w:ind w:firstLine="0" w:firstLineChars="0"/>
            </w:pPr>
            <w:r>
              <w:rPr>
                <w:rFonts w:hint="eastAsia"/>
              </w:rPr>
              <w:t>合计</w:t>
            </w:r>
          </w:p>
        </w:tc>
        <w:tc>
          <w:tcPr>
            <w:tcW w:w="724" w:type="pct"/>
            <w:noWrap/>
            <w:vAlign w:val="center"/>
          </w:tcPr>
          <w:p w14:paraId="3D2E1679">
            <w:pPr>
              <w:pStyle w:val="125"/>
              <w:ind w:firstLine="0" w:firstLineChars="0"/>
            </w:pPr>
            <w:r>
              <w:rPr>
                <w:rFonts w:hint="eastAsia"/>
              </w:rPr>
              <w:t>/</w:t>
            </w:r>
          </w:p>
        </w:tc>
        <w:tc>
          <w:tcPr>
            <w:tcW w:w="639" w:type="pct"/>
            <w:noWrap/>
            <w:vAlign w:val="center"/>
          </w:tcPr>
          <w:p w14:paraId="2C20FB85">
            <w:pPr>
              <w:pStyle w:val="125"/>
              <w:ind w:firstLine="0" w:firstLineChars="0"/>
            </w:pPr>
          </w:p>
        </w:tc>
        <w:tc>
          <w:tcPr>
            <w:tcW w:w="844" w:type="pct"/>
            <w:noWrap/>
            <w:vAlign w:val="center"/>
          </w:tcPr>
          <w:p w14:paraId="085DF5CF">
            <w:pPr>
              <w:pStyle w:val="125"/>
              <w:ind w:firstLine="0" w:firstLineChars="0"/>
            </w:pPr>
            <w:r>
              <w:rPr>
                <w:rFonts w:hint="eastAsia"/>
              </w:rPr>
              <w:t>tce/t</w:t>
            </w:r>
          </w:p>
        </w:tc>
        <w:tc>
          <w:tcPr>
            <w:tcW w:w="710" w:type="pct"/>
            <w:noWrap/>
            <w:vAlign w:val="center"/>
          </w:tcPr>
          <w:p w14:paraId="17ABCD89">
            <w:pPr>
              <w:pStyle w:val="125"/>
              <w:ind w:firstLine="0" w:firstLineChars="0"/>
            </w:pPr>
          </w:p>
        </w:tc>
        <w:tc>
          <w:tcPr>
            <w:tcW w:w="683" w:type="pct"/>
            <w:noWrap/>
            <w:vAlign w:val="center"/>
          </w:tcPr>
          <w:p w14:paraId="34F8B140">
            <w:pPr>
              <w:pStyle w:val="125"/>
              <w:ind w:firstLine="0" w:firstLineChars="0"/>
            </w:pPr>
            <w:r>
              <w:rPr>
                <w:rFonts w:hint="eastAsia"/>
              </w:rPr>
              <w:t>962679.47</w:t>
            </w:r>
          </w:p>
        </w:tc>
      </w:tr>
      <w:tr w14:paraId="17C96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restart"/>
            <w:noWrap/>
            <w:vAlign w:val="center"/>
          </w:tcPr>
          <w:p w14:paraId="052D09B7">
            <w:pPr>
              <w:pStyle w:val="125"/>
              <w:ind w:firstLine="0" w:firstLineChars="0"/>
            </w:pPr>
            <w:r>
              <w:rPr>
                <w:rFonts w:hint="eastAsia"/>
              </w:rPr>
              <w:t>供出</w:t>
            </w:r>
          </w:p>
        </w:tc>
        <w:tc>
          <w:tcPr>
            <w:tcW w:w="1016" w:type="pct"/>
            <w:noWrap/>
            <w:vAlign w:val="center"/>
          </w:tcPr>
          <w:p w14:paraId="2BDA70B9">
            <w:pPr>
              <w:pStyle w:val="125"/>
              <w:ind w:firstLine="0" w:firstLineChars="0"/>
            </w:pPr>
            <w:r>
              <w:rPr>
                <w:rFonts w:hint="eastAsia"/>
              </w:rPr>
              <w:t>兰炭</w:t>
            </w:r>
          </w:p>
        </w:tc>
        <w:tc>
          <w:tcPr>
            <w:tcW w:w="724" w:type="pct"/>
            <w:noWrap/>
            <w:vAlign w:val="center"/>
          </w:tcPr>
          <w:p w14:paraId="7623285E">
            <w:pPr>
              <w:pStyle w:val="125"/>
              <w:ind w:firstLine="0" w:firstLineChars="0"/>
            </w:pPr>
            <w:r>
              <w:rPr>
                <w:rFonts w:hint="eastAsia"/>
              </w:rPr>
              <w:t>t</w:t>
            </w:r>
          </w:p>
        </w:tc>
        <w:tc>
          <w:tcPr>
            <w:tcW w:w="639" w:type="pct"/>
            <w:noWrap/>
            <w:vAlign w:val="center"/>
          </w:tcPr>
          <w:p w14:paraId="3DD0A312">
            <w:pPr>
              <w:pStyle w:val="125"/>
              <w:ind w:firstLine="0" w:firstLineChars="0"/>
            </w:pPr>
            <w:r>
              <w:rPr>
                <w:rFonts w:hint="eastAsia"/>
              </w:rPr>
              <w:t>600000</w:t>
            </w:r>
          </w:p>
        </w:tc>
        <w:tc>
          <w:tcPr>
            <w:tcW w:w="844" w:type="pct"/>
            <w:noWrap/>
            <w:vAlign w:val="center"/>
          </w:tcPr>
          <w:p w14:paraId="080CCC60">
            <w:pPr>
              <w:pStyle w:val="125"/>
              <w:ind w:firstLine="0" w:firstLineChars="0"/>
            </w:pPr>
            <w:r>
              <w:rPr>
                <w:rFonts w:hint="eastAsia"/>
              </w:rPr>
              <w:t>tce/t</w:t>
            </w:r>
          </w:p>
        </w:tc>
        <w:tc>
          <w:tcPr>
            <w:tcW w:w="710" w:type="pct"/>
            <w:noWrap/>
            <w:vAlign w:val="center"/>
          </w:tcPr>
          <w:p w14:paraId="6E092263">
            <w:pPr>
              <w:pStyle w:val="125"/>
              <w:ind w:firstLine="0" w:firstLineChars="0"/>
            </w:pPr>
            <w:r>
              <w:rPr>
                <w:rFonts w:hint="eastAsia"/>
              </w:rPr>
              <w:t>0.7857</w:t>
            </w:r>
          </w:p>
        </w:tc>
        <w:tc>
          <w:tcPr>
            <w:tcW w:w="683" w:type="pct"/>
            <w:noWrap/>
            <w:vAlign w:val="center"/>
          </w:tcPr>
          <w:p w14:paraId="6F7933E9">
            <w:pPr>
              <w:pStyle w:val="125"/>
              <w:ind w:firstLine="0" w:firstLineChars="0"/>
            </w:pPr>
            <w:r>
              <w:rPr>
                <w:rFonts w:hint="eastAsia"/>
              </w:rPr>
              <w:t>471428.57</w:t>
            </w:r>
          </w:p>
        </w:tc>
      </w:tr>
      <w:tr w14:paraId="40F8BB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continue"/>
            <w:vAlign w:val="center"/>
          </w:tcPr>
          <w:p w14:paraId="2563AC1E">
            <w:pPr>
              <w:pStyle w:val="125"/>
              <w:ind w:firstLine="0" w:firstLineChars="0"/>
            </w:pPr>
          </w:p>
        </w:tc>
        <w:tc>
          <w:tcPr>
            <w:tcW w:w="1016" w:type="pct"/>
            <w:noWrap/>
            <w:vAlign w:val="center"/>
          </w:tcPr>
          <w:p w14:paraId="7BCEB856">
            <w:pPr>
              <w:pStyle w:val="125"/>
              <w:ind w:firstLine="0" w:firstLineChars="0"/>
            </w:pPr>
            <w:r>
              <w:rPr>
                <w:rFonts w:hint="eastAsia"/>
              </w:rPr>
              <w:t>煤气</w:t>
            </w:r>
          </w:p>
        </w:tc>
        <w:tc>
          <w:tcPr>
            <w:tcW w:w="724" w:type="pct"/>
            <w:noWrap/>
            <w:vAlign w:val="center"/>
          </w:tcPr>
          <w:p w14:paraId="4482B959">
            <w:pPr>
              <w:pStyle w:val="125"/>
              <w:ind w:firstLine="0" w:firstLineChars="0"/>
            </w:pPr>
            <w:r>
              <w:rPr>
                <w:rFonts w:hint="eastAsia"/>
              </w:rPr>
              <w:t>万m³</w:t>
            </w:r>
          </w:p>
        </w:tc>
        <w:tc>
          <w:tcPr>
            <w:tcW w:w="639" w:type="pct"/>
            <w:noWrap/>
            <w:vAlign w:val="center"/>
          </w:tcPr>
          <w:p w14:paraId="660D59C8">
            <w:pPr>
              <w:pStyle w:val="125"/>
              <w:ind w:firstLine="0" w:firstLineChars="0"/>
            </w:pPr>
            <w:r>
              <w:rPr>
                <w:rFonts w:hint="eastAsia"/>
              </w:rPr>
              <w:t>121600</w:t>
            </w:r>
          </w:p>
        </w:tc>
        <w:tc>
          <w:tcPr>
            <w:tcW w:w="844" w:type="pct"/>
            <w:noWrap/>
            <w:vAlign w:val="center"/>
          </w:tcPr>
          <w:p w14:paraId="293A2E51">
            <w:pPr>
              <w:pStyle w:val="125"/>
              <w:ind w:firstLine="0" w:firstLineChars="0"/>
            </w:pPr>
            <w:r>
              <w:rPr>
                <w:rFonts w:hint="eastAsia"/>
              </w:rPr>
              <w:t>tce/万m³</w:t>
            </w:r>
          </w:p>
        </w:tc>
        <w:tc>
          <w:tcPr>
            <w:tcW w:w="710" w:type="pct"/>
            <w:noWrap/>
            <w:vAlign w:val="center"/>
          </w:tcPr>
          <w:p w14:paraId="380F990A">
            <w:pPr>
              <w:pStyle w:val="125"/>
              <w:ind w:firstLine="0" w:firstLineChars="0"/>
            </w:pPr>
            <w:r>
              <w:rPr>
                <w:rFonts w:hint="eastAsia"/>
              </w:rPr>
              <w:t>2.286</w:t>
            </w:r>
          </w:p>
        </w:tc>
        <w:tc>
          <w:tcPr>
            <w:tcW w:w="683" w:type="pct"/>
            <w:noWrap/>
            <w:vAlign w:val="center"/>
          </w:tcPr>
          <w:p w14:paraId="496EF6A4">
            <w:pPr>
              <w:pStyle w:val="125"/>
              <w:ind w:firstLine="0" w:firstLineChars="0"/>
            </w:pPr>
            <w:r>
              <w:rPr>
                <w:rFonts w:hint="eastAsia"/>
              </w:rPr>
              <w:t>277977.6</w:t>
            </w:r>
          </w:p>
        </w:tc>
      </w:tr>
      <w:tr w14:paraId="27FC6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continue"/>
            <w:vAlign w:val="center"/>
          </w:tcPr>
          <w:p w14:paraId="213F34F6">
            <w:pPr>
              <w:pStyle w:val="125"/>
              <w:ind w:firstLine="0" w:firstLineChars="0"/>
            </w:pPr>
          </w:p>
        </w:tc>
        <w:tc>
          <w:tcPr>
            <w:tcW w:w="1016" w:type="pct"/>
            <w:noWrap/>
            <w:vAlign w:val="center"/>
          </w:tcPr>
          <w:p w14:paraId="10DF9211">
            <w:pPr>
              <w:pStyle w:val="125"/>
              <w:ind w:firstLine="0" w:firstLineChars="0"/>
            </w:pPr>
            <w:r>
              <w:rPr>
                <w:rFonts w:hint="eastAsia"/>
              </w:rPr>
              <w:t>煤焦油</w:t>
            </w:r>
          </w:p>
        </w:tc>
        <w:tc>
          <w:tcPr>
            <w:tcW w:w="724" w:type="pct"/>
            <w:noWrap/>
            <w:vAlign w:val="center"/>
          </w:tcPr>
          <w:p w14:paraId="6BF361B3">
            <w:pPr>
              <w:pStyle w:val="125"/>
              <w:ind w:firstLine="0" w:firstLineChars="0"/>
            </w:pPr>
            <w:r>
              <w:rPr>
                <w:rFonts w:hint="eastAsia"/>
              </w:rPr>
              <w:t>t</w:t>
            </w:r>
          </w:p>
        </w:tc>
        <w:tc>
          <w:tcPr>
            <w:tcW w:w="639" w:type="pct"/>
            <w:noWrap/>
            <w:vAlign w:val="center"/>
          </w:tcPr>
          <w:p w14:paraId="72F813D3">
            <w:pPr>
              <w:pStyle w:val="125"/>
              <w:ind w:firstLine="0" w:firstLineChars="0"/>
            </w:pPr>
            <w:r>
              <w:rPr>
                <w:rFonts w:hint="eastAsia"/>
              </w:rPr>
              <w:t>97000</w:t>
            </w:r>
          </w:p>
        </w:tc>
        <w:tc>
          <w:tcPr>
            <w:tcW w:w="844" w:type="pct"/>
            <w:noWrap/>
            <w:vAlign w:val="center"/>
          </w:tcPr>
          <w:p w14:paraId="321D72F9">
            <w:pPr>
              <w:pStyle w:val="125"/>
              <w:ind w:firstLine="0" w:firstLineChars="0"/>
            </w:pPr>
            <w:r>
              <w:rPr>
                <w:rFonts w:hint="eastAsia"/>
              </w:rPr>
              <w:t>tce/t</w:t>
            </w:r>
          </w:p>
        </w:tc>
        <w:tc>
          <w:tcPr>
            <w:tcW w:w="710" w:type="pct"/>
            <w:noWrap/>
            <w:vAlign w:val="center"/>
          </w:tcPr>
          <w:p w14:paraId="2ED094E6">
            <w:pPr>
              <w:pStyle w:val="125"/>
              <w:ind w:firstLine="0" w:firstLineChars="0"/>
            </w:pPr>
            <w:r>
              <w:rPr>
                <w:rFonts w:hint="eastAsia"/>
              </w:rPr>
              <w:t>1.1429</w:t>
            </w:r>
          </w:p>
        </w:tc>
        <w:tc>
          <w:tcPr>
            <w:tcW w:w="683" w:type="pct"/>
            <w:noWrap/>
            <w:vAlign w:val="center"/>
          </w:tcPr>
          <w:p w14:paraId="12ECF840">
            <w:pPr>
              <w:pStyle w:val="125"/>
              <w:ind w:firstLine="0" w:firstLineChars="0"/>
            </w:pPr>
            <w:r>
              <w:rPr>
                <w:rFonts w:hint="eastAsia"/>
              </w:rPr>
              <w:t>110861.3</w:t>
            </w:r>
          </w:p>
        </w:tc>
      </w:tr>
      <w:tr w14:paraId="27AF0A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3" w:type="pct"/>
            <w:vMerge w:val="continue"/>
            <w:vAlign w:val="center"/>
          </w:tcPr>
          <w:p w14:paraId="192202B6">
            <w:pPr>
              <w:pStyle w:val="125"/>
              <w:ind w:firstLine="0" w:firstLineChars="0"/>
            </w:pPr>
          </w:p>
        </w:tc>
        <w:tc>
          <w:tcPr>
            <w:tcW w:w="1016" w:type="pct"/>
            <w:noWrap/>
            <w:vAlign w:val="center"/>
          </w:tcPr>
          <w:p w14:paraId="48CEAFB2">
            <w:pPr>
              <w:pStyle w:val="125"/>
              <w:ind w:firstLine="0" w:firstLineChars="0"/>
            </w:pPr>
            <w:r>
              <w:rPr>
                <w:rFonts w:hint="eastAsia"/>
              </w:rPr>
              <w:t>合计</w:t>
            </w:r>
          </w:p>
        </w:tc>
        <w:tc>
          <w:tcPr>
            <w:tcW w:w="724" w:type="pct"/>
            <w:noWrap/>
            <w:vAlign w:val="center"/>
          </w:tcPr>
          <w:p w14:paraId="3C37269E">
            <w:pPr>
              <w:pStyle w:val="125"/>
              <w:ind w:firstLine="0" w:firstLineChars="0"/>
            </w:pPr>
            <w:r>
              <w:rPr>
                <w:rFonts w:hint="eastAsia"/>
              </w:rPr>
              <w:t>/</w:t>
            </w:r>
          </w:p>
        </w:tc>
        <w:tc>
          <w:tcPr>
            <w:tcW w:w="639" w:type="pct"/>
            <w:noWrap/>
            <w:vAlign w:val="center"/>
          </w:tcPr>
          <w:p w14:paraId="2AD144E8">
            <w:pPr>
              <w:pStyle w:val="125"/>
              <w:ind w:firstLine="0" w:firstLineChars="0"/>
            </w:pPr>
          </w:p>
        </w:tc>
        <w:tc>
          <w:tcPr>
            <w:tcW w:w="844" w:type="pct"/>
            <w:noWrap/>
            <w:vAlign w:val="center"/>
          </w:tcPr>
          <w:p w14:paraId="394D3307">
            <w:pPr>
              <w:pStyle w:val="125"/>
              <w:ind w:firstLine="0" w:firstLineChars="0"/>
            </w:pPr>
            <w:r>
              <w:rPr>
                <w:rFonts w:hint="eastAsia"/>
              </w:rPr>
              <w:t>tce/t</w:t>
            </w:r>
          </w:p>
        </w:tc>
        <w:tc>
          <w:tcPr>
            <w:tcW w:w="710" w:type="pct"/>
            <w:noWrap/>
            <w:vAlign w:val="center"/>
          </w:tcPr>
          <w:p w14:paraId="61AB569A">
            <w:pPr>
              <w:pStyle w:val="125"/>
              <w:ind w:firstLine="0" w:firstLineChars="0"/>
            </w:pPr>
          </w:p>
        </w:tc>
        <w:tc>
          <w:tcPr>
            <w:tcW w:w="683" w:type="pct"/>
            <w:noWrap/>
            <w:vAlign w:val="center"/>
          </w:tcPr>
          <w:p w14:paraId="05264198">
            <w:pPr>
              <w:pStyle w:val="125"/>
              <w:ind w:firstLine="0" w:firstLineChars="0"/>
            </w:pPr>
            <w:r>
              <w:rPr>
                <w:rFonts w:hint="eastAsia"/>
              </w:rPr>
              <w:t>860267.47</w:t>
            </w:r>
          </w:p>
        </w:tc>
      </w:tr>
      <w:tr w14:paraId="0441D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99" w:type="pct"/>
            <w:gridSpan w:val="2"/>
            <w:noWrap/>
            <w:vAlign w:val="center"/>
          </w:tcPr>
          <w:p w14:paraId="0121B0E1">
            <w:pPr>
              <w:pStyle w:val="125"/>
              <w:ind w:firstLine="0" w:firstLineChars="0"/>
            </w:pPr>
            <w:r>
              <w:rPr>
                <w:rFonts w:hint="eastAsia"/>
              </w:rPr>
              <w:t>综合能耗</w:t>
            </w:r>
          </w:p>
        </w:tc>
        <w:tc>
          <w:tcPr>
            <w:tcW w:w="724" w:type="pct"/>
            <w:noWrap/>
            <w:vAlign w:val="center"/>
          </w:tcPr>
          <w:p w14:paraId="048B4989">
            <w:pPr>
              <w:pStyle w:val="125"/>
              <w:ind w:firstLine="0" w:firstLineChars="0"/>
            </w:pPr>
            <w:r>
              <w:rPr>
                <w:rFonts w:hint="eastAsia"/>
              </w:rPr>
              <w:t>tce</w:t>
            </w:r>
          </w:p>
        </w:tc>
        <w:tc>
          <w:tcPr>
            <w:tcW w:w="639" w:type="pct"/>
            <w:noWrap/>
            <w:vAlign w:val="center"/>
          </w:tcPr>
          <w:p w14:paraId="6E90BD2C">
            <w:pPr>
              <w:pStyle w:val="125"/>
              <w:ind w:firstLine="0" w:firstLineChars="0"/>
            </w:pPr>
          </w:p>
        </w:tc>
        <w:tc>
          <w:tcPr>
            <w:tcW w:w="844" w:type="pct"/>
            <w:noWrap/>
            <w:vAlign w:val="center"/>
          </w:tcPr>
          <w:p w14:paraId="41B6335C">
            <w:pPr>
              <w:pStyle w:val="125"/>
              <w:ind w:firstLine="0" w:firstLineChars="0"/>
            </w:pPr>
            <w:r>
              <w:rPr>
                <w:rFonts w:hint="eastAsia"/>
              </w:rPr>
              <w:t>tce</w:t>
            </w:r>
          </w:p>
        </w:tc>
        <w:tc>
          <w:tcPr>
            <w:tcW w:w="710" w:type="pct"/>
            <w:noWrap/>
            <w:vAlign w:val="center"/>
          </w:tcPr>
          <w:p w14:paraId="05DD1A15">
            <w:pPr>
              <w:pStyle w:val="125"/>
              <w:ind w:firstLine="0" w:firstLineChars="0"/>
            </w:pPr>
          </w:p>
        </w:tc>
        <w:tc>
          <w:tcPr>
            <w:tcW w:w="683" w:type="pct"/>
            <w:noWrap/>
            <w:vAlign w:val="center"/>
          </w:tcPr>
          <w:p w14:paraId="0E3E39F3">
            <w:pPr>
              <w:pStyle w:val="125"/>
              <w:ind w:firstLine="0" w:firstLineChars="0"/>
            </w:pPr>
            <w:r>
              <w:rPr>
                <w:rFonts w:hint="eastAsia"/>
              </w:rPr>
              <w:t>102412.00</w:t>
            </w:r>
          </w:p>
        </w:tc>
      </w:tr>
      <w:tr w14:paraId="75933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99" w:type="pct"/>
            <w:gridSpan w:val="2"/>
            <w:noWrap/>
            <w:vAlign w:val="center"/>
          </w:tcPr>
          <w:p w14:paraId="6D58BB1C">
            <w:pPr>
              <w:pStyle w:val="125"/>
              <w:ind w:firstLine="0" w:firstLineChars="0"/>
            </w:pPr>
            <w:r>
              <w:rPr>
                <w:rFonts w:hint="eastAsia"/>
              </w:rPr>
              <w:t>单位产品能耗（修正）</w:t>
            </w:r>
          </w:p>
        </w:tc>
        <w:tc>
          <w:tcPr>
            <w:tcW w:w="724" w:type="pct"/>
            <w:noWrap/>
            <w:vAlign w:val="center"/>
          </w:tcPr>
          <w:p w14:paraId="000F0CB3">
            <w:pPr>
              <w:pStyle w:val="125"/>
              <w:ind w:firstLine="0" w:firstLineChars="0"/>
            </w:pPr>
            <w:r>
              <w:rPr>
                <w:rFonts w:hint="eastAsia"/>
              </w:rPr>
              <w:t>kgce/t兰炭</w:t>
            </w:r>
          </w:p>
        </w:tc>
        <w:tc>
          <w:tcPr>
            <w:tcW w:w="639" w:type="pct"/>
            <w:noWrap/>
            <w:vAlign w:val="center"/>
          </w:tcPr>
          <w:p w14:paraId="5C66D550">
            <w:pPr>
              <w:pStyle w:val="125"/>
              <w:ind w:firstLine="0" w:firstLineChars="0"/>
            </w:pPr>
          </w:p>
        </w:tc>
        <w:tc>
          <w:tcPr>
            <w:tcW w:w="844" w:type="pct"/>
            <w:noWrap/>
            <w:vAlign w:val="center"/>
          </w:tcPr>
          <w:p w14:paraId="7012574C">
            <w:pPr>
              <w:pStyle w:val="125"/>
              <w:ind w:firstLine="0" w:firstLineChars="0"/>
            </w:pPr>
            <w:r>
              <w:rPr>
                <w:rFonts w:hint="eastAsia"/>
              </w:rPr>
              <w:t>tce/t</w:t>
            </w:r>
          </w:p>
        </w:tc>
        <w:tc>
          <w:tcPr>
            <w:tcW w:w="710" w:type="pct"/>
            <w:noWrap/>
            <w:vAlign w:val="center"/>
          </w:tcPr>
          <w:p w14:paraId="0AABE20B">
            <w:pPr>
              <w:pStyle w:val="125"/>
              <w:ind w:firstLine="0" w:firstLineChars="0"/>
            </w:pPr>
          </w:p>
        </w:tc>
        <w:tc>
          <w:tcPr>
            <w:tcW w:w="683" w:type="pct"/>
            <w:noWrap/>
            <w:vAlign w:val="center"/>
          </w:tcPr>
          <w:p w14:paraId="7F0B74F8">
            <w:pPr>
              <w:pStyle w:val="125"/>
              <w:ind w:firstLine="0" w:firstLineChars="0"/>
            </w:pPr>
            <w:r>
              <w:rPr>
                <w:rFonts w:hint="eastAsia"/>
              </w:rPr>
              <w:t>170.67</w:t>
            </w:r>
          </w:p>
        </w:tc>
      </w:tr>
    </w:tbl>
    <w:p w14:paraId="2BD9D1D8">
      <w:pPr>
        <w:pStyle w:val="410"/>
        <w:ind w:firstLine="360"/>
      </w:pPr>
    </w:p>
    <w:p w14:paraId="5E5408D5">
      <w:pPr>
        <w:ind w:firstLine="480"/>
      </w:pPr>
      <w:r>
        <w:rPr>
          <w:rFonts w:hint="eastAsia"/>
        </w:rPr>
        <w:t>根据《煤基活性炭和兰炭单位产品能源消耗限额》（GB 29995-2024）的兰炭单位产品能耗限额等级</w:t>
      </w:r>
      <w:r>
        <w:t>要求：</w:t>
      </w:r>
      <w:r>
        <w:rPr>
          <w:rFonts w:hint="eastAsia"/>
        </w:rPr>
        <w:t>新建及改、扩建生产企业兰炭单位产品能耗限定值不应大于二级能耗限额等级（≤180kgce/t兰炭）。兰炭生产线单位产品</w:t>
      </w:r>
      <w:r>
        <w:t>综合能耗为</w:t>
      </w:r>
      <w:r>
        <w:rPr>
          <w:rFonts w:hint="eastAsia"/>
        </w:rPr>
        <w:t>170.67</w:t>
      </w:r>
      <w:r>
        <w:t>kgce/t</w:t>
      </w:r>
      <w:r>
        <w:rPr>
          <w:rFonts w:hint="eastAsia"/>
        </w:rPr>
        <w:t>兰炭，</w:t>
      </w:r>
      <w:r>
        <w:t>符合</w:t>
      </w:r>
      <w:r>
        <w:rPr>
          <w:rFonts w:hint="eastAsia"/>
        </w:rPr>
        <w:t>兰炭</w:t>
      </w:r>
      <w:r>
        <w:t>生产单位产品</w:t>
      </w:r>
      <w:r>
        <w:rPr>
          <w:rFonts w:hint="eastAsia"/>
        </w:rPr>
        <w:t>能耗限额</w:t>
      </w:r>
      <w:r>
        <w:t>。</w:t>
      </w:r>
    </w:p>
    <w:p w14:paraId="58E3CA84">
      <w:pPr>
        <w:ind w:firstLine="480"/>
      </w:pPr>
      <w:r>
        <w:rPr>
          <w:rFonts w:hint="eastAsia"/>
        </w:rPr>
        <w:t>根据《煤炭清洁高效利用重点领域标杆水平和基准水平（2022年版）》，兰炭的单位产品能耗标杆水平为190</w:t>
      </w:r>
      <w:r>
        <w:t>kgce/t</w:t>
      </w:r>
      <w:r>
        <w:rPr>
          <w:rFonts w:hint="eastAsia"/>
        </w:rPr>
        <w:t>兰炭产品，兰炭生产线单位产品</w:t>
      </w:r>
      <w:r>
        <w:t>综合能耗为</w:t>
      </w:r>
      <w:r>
        <w:rPr>
          <w:rFonts w:hint="eastAsia"/>
        </w:rPr>
        <w:t>170.67</w:t>
      </w:r>
      <w:r>
        <w:t>kgce/t</w:t>
      </w:r>
      <w:r>
        <w:rPr>
          <w:rFonts w:hint="eastAsia"/>
        </w:rPr>
        <w:t>兰炭，达到能耗标杆水平。</w:t>
      </w:r>
    </w:p>
    <w:p w14:paraId="35DCFC73">
      <w:pPr>
        <w:pStyle w:val="138"/>
        <w:rPr>
          <w:rFonts w:hint="eastAsia"/>
        </w:rPr>
      </w:pPr>
      <w:r>
        <w:rPr>
          <w:rFonts w:hint="eastAsia"/>
        </w:rPr>
        <w:t>主要设备</w:t>
      </w:r>
    </w:p>
    <w:p w14:paraId="79CDA117">
      <w:pPr>
        <w:ind w:firstLine="480"/>
      </w:pPr>
      <w:r>
        <w:rPr>
          <w:rFonts w:hint="eastAsia"/>
        </w:rPr>
        <w:t>（1）内热方形直立炭化炉</w:t>
      </w:r>
    </w:p>
    <w:p w14:paraId="60A9DCF9">
      <w:pPr>
        <w:ind w:firstLine="480"/>
      </w:pPr>
      <w:r>
        <w:rPr>
          <w:rFonts w:hint="eastAsia"/>
        </w:rPr>
        <w:t>内热直立炭化炉主要分为三段，从上到下为干燥段、干馏段、冷却段。原煤从上料系统输送到直立炭化炉的煤仓，依次经过电液动平板闸阀及中间煤仓，在炭化炉的上段</w:t>
      </w:r>
      <w:r>
        <w:t>200</w:t>
      </w:r>
      <w:r>
        <w:rPr>
          <w:rFonts w:hint="eastAsia"/>
        </w:rPr>
        <w:t>℃下干燥脱水，干燥完成后，进入到中段</w:t>
      </w:r>
      <w:r>
        <w:t>650~750</w:t>
      </w:r>
      <w:r>
        <w:rPr>
          <w:rFonts w:hint="eastAsia"/>
        </w:rPr>
        <w:t>℃下干馏为兰炭，最后进入到冷却段进行冷却过程中，回炉煤气与回炉空气的混合气作为燃料。在原煤干馏为兰炭的过程中，产生煤气及焦油中间产品，煤气在炭化炉上部通过集气罩进去桥管，在桥管内利用氨水喷淋对煤气冷却，冷却的煤气汇聚到煤气总管；氨水喷淋冷却煤气，产生氨水及焦油的混合物，经自混聚到氨水回水总管。</w:t>
      </w:r>
    </w:p>
    <w:p w14:paraId="6F8F32C4">
      <w:pPr>
        <w:ind w:firstLine="480"/>
      </w:pPr>
      <w:r>
        <w:rPr>
          <w:rFonts w:hint="eastAsia"/>
        </w:rPr>
        <w:t>该工艺特点：技术成熟，运行可靠，操作维护方便，是生产兰炭的主流工艺，目前国内</w:t>
      </w:r>
      <w:r>
        <w:t>95%</w:t>
      </w:r>
      <w:r>
        <w:rPr>
          <w:rFonts w:hint="eastAsia"/>
        </w:rPr>
        <w:t>以上的兰炭生产企业均采用该工艺。</w:t>
      </w:r>
    </w:p>
    <w:p w14:paraId="639B8223">
      <w:pPr>
        <w:ind w:firstLine="480"/>
      </w:pPr>
      <w:r>
        <w:rPr>
          <w:rFonts w:hint="eastAsia"/>
        </w:rPr>
        <w:t>内热方形直立炭化炉的</w:t>
      </w:r>
      <w:r>
        <w:t>主要工艺参数</w:t>
      </w:r>
      <w:r>
        <w:rPr>
          <w:rFonts w:hint="eastAsia"/>
        </w:rPr>
        <w:t>，见表3.3-5。</w:t>
      </w:r>
    </w:p>
    <w:p w14:paraId="5FDC5925">
      <w:pPr>
        <w:pStyle w:val="118"/>
      </w:pPr>
      <w:r>
        <w:rPr>
          <w:rFonts w:hint="eastAsia"/>
        </w:rPr>
        <w:t>表3.3-5  炭化炉炉型参数一览表</w:t>
      </w:r>
    </w:p>
    <w:tbl>
      <w:tblPr>
        <w:tblStyle w:val="6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58"/>
        <w:gridCol w:w="2759"/>
        <w:gridCol w:w="2759"/>
      </w:tblGrid>
      <w:tr w14:paraId="3874D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2354D7E1">
            <w:pPr>
              <w:pStyle w:val="125"/>
              <w:ind w:firstLine="0" w:firstLineChars="0"/>
              <w:rPr>
                <w:b/>
                <w:bCs/>
              </w:rPr>
            </w:pPr>
            <w:r>
              <w:rPr>
                <w:rFonts w:hint="eastAsia"/>
                <w:b/>
                <w:bCs/>
              </w:rPr>
              <w:t>项目</w:t>
            </w:r>
          </w:p>
        </w:tc>
        <w:tc>
          <w:tcPr>
            <w:tcW w:w="2759" w:type="dxa"/>
            <w:vAlign w:val="center"/>
          </w:tcPr>
          <w:p w14:paraId="08EA9AC0">
            <w:pPr>
              <w:pStyle w:val="125"/>
              <w:ind w:firstLine="0" w:firstLineChars="0"/>
              <w:rPr>
                <w:b/>
                <w:bCs/>
              </w:rPr>
            </w:pPr>
            <w:r>
              <w:rPr>
                <w:rFonts w:hint="eastAsia"/>
                <w:b/>
                <w:bCs/>
              </w:rPr>
              <w:t>单位</w:t>
            </w:r>
          </w:p>
        </w:tc>
        <w:tc>
          <w:tcPr>
            <w:tcW w:w="2759" w:type="dxa"/>
            <w:vAlign w:val="center"/>
          </w:tcPr>
          <w:p w14:paraId="2B3F5A38">
            <w:pPr>
              <w:pStyle w:val="125"/>
              <w:ind w:firstLine="0" w:firstLineChars="0"/>
              <w:rPr>
                <w:b/>
                <w:bCs/>
              </w:rPr>
            </w:pPr>
            <w:r>
              <w:rPr>
                <w:rFonts w:hint="eastAsia"/>
                <w:b/>
                <w:bCs/>
              </w:rPr>
              <w:t>炭化炉指标</w:t>
            </w:r>
          </w:p>
        </w:tc>
      </w:tr>
      <w:tr w14:paraId="62925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769FAA3B">
            <w:pPr>
              <w:pStyle w:val="125"/>
              <w:ind w:firstLine="0" w:firstLineChars="0"/>
            </w:pPr>
            <w:r>
              <w:rPr>
                <w:rFonts w:hint="eastAsia"/>
              </w:rPr>
              <w:t>炭化炉孔数</w:t>
            </w:r>
          </w:p>
        </w:tc>
        <w:tc>
          <w:tcPr>
            <w:tcW w:w="2759" w:type="dxa"/>
            <w:vAlign w:val="center"/>
          </w:tcPr>
          <w:p w14:paraId="665285B4">
            <w:pPr>
              <w:pStyle w:val="125"/>
              <w:ind w:firstLine="0" w:firstLineChars="0"/>
            </w:pPr>
            <w:r>
              <w:rPr>
                <w:rFonts w:hint="eastAsia"/>
              </w:rPr>
              <w:t>个</w:t>
            </w:r>
          </w:p>
        </w:tc>
        <w:tc>
          <w:tcPr>
            <w:tcW w:w="2759" w:type="dxa"/>
            <w:vAlign w:val="center"/>
          </w:tcPr>
          <w:p w14:paraId="06E0365E">
            <w:pPr>
              <w:pStyle w:val="125"/>
              <w:ind w:firstLine="0" w:firstLineChars="0"/>
            </w:pPr>
            <w:r>
              <w:rPr>
                <w:rFonts w:hint="eastAsia"/>
              </w:rPr>
              <w:t>20</w:t>
            </w:r>
          </w:p>
        </w:tc>
      </w:tr>
      <w:tr w14:paraId="613E1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2425A7BE">
            <w:pPr>
              <w:pStyle w:val="125"/>
              <w:ind w:firstLine="0" w:firstLineChars="0"/>
            </w:pPr>
            <w:r>
              <w:rPr>
                <w:rFonts w:hint="eastAsia"/>
              </w:rPr>
              <w:t>炭化室长度</w:t>
            </w:r>
          </w:p>
        </w:tc>
        <w:tc>
          <w:tcPr>
            <w:tcW w:w="2759" w:type="dxa"/>
            <w:vAlign w:val="center"/>
          </w:tcPr>
          <w:p w14:paraId="53A0D9D2">
            <w:pPr>
              <w:pStyle w:val="125"/>
              <w:ind w:firstLine="0" w:firstLineChars="0"/>
            </w:pPr>
            <w:r>
              <w:rPr>
                <w:rFonts w:hint="eastAsia"/>
              </w:rPr>
              <w:t>mm</w:t>
            </w:r>
          </w:p>
        </w:tc>
        <w:tc>
          <w:tcPr>
            <w:tcW w:w="2759" w:type="dxa"/>
            <w:vAlign w:val="center"/>
          </w:tcPr>
          <w:p w14:paraId="5CD13729">
            <w:pPr>
              <w:pStyle w:val="125"/>
              <w:ind w:firstLine="0" w:firstLineChars="0"/>
            </w:pPr>
            <w:r>
              <w:rPr>
                <w:rFonts w:hint="eastAsia"/>
              </w:rPr>
              <w:t>4000</w:t>
            </w:r>
          </w:p>
        </w:tc>
      </w:tr>
      <w:tr w14:paraId="62A35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256B2763">
            <w:pPr>
              <w:pStyle w:val="125"/>
              <w:ind w:firstLine="0" w:firstLineChars="0"/>
            </w:pPr>
            <w:r>
              <w:rPr>
                <w:rFonts w:hint="eastAsia"/>
              </w:rPr>
              <w:t>炭化室内高</w:t>
            </w:r>
          </w:p>
        </w:tc>
        <w:tc>
          <w:tcPr>
            <w:tcW w:w="2759" w:type="dxa"/>
            <w:vAlign w:val="center"/>
          </w:tcPr>
          <w:p w14:paraId="1AD2D2A4">
            <w:pPr>
              <w:pStyle w:val="125"/>
              <w:ind w:firstLine="0" w:firstLineChars="0"/>
            </w:pPr>
            <w:r>
              <w:rPr>
                <w:rFonts w:hint="eastAsia"/>
              </w:rPr>
              <w:t>mm</w:t>
            </w:r>
          </w:p>
        </w:tc>
        <w:tc>
          <w:tcPr>
            <w:tcW w:w="2759" w:type="dxa"/>
            <w:vAlign w:val="center"/>
          </w:tcPr>
          <w:p w14:paraId="24E7909B">
            <w:pPr>
              <w:pStyle w:val="125"/>
              <w:ind w:firstLine="0" w:firstLineChars="0"/>
            </w:pPr>
            <w:r>
              <w:rPr>
                <w:rFonts w:hint="eastAsia"/>
              </w:rPr>
              <w:t>9940</w:t>
            </w:r>
          </w:p>
        </w:tc>
      </w:tr>
      <w:tr w14:paraId="0961F5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2F884B86">
            <w:pPr>
              <w:pStyle w:val="125"/>
              <w:ind w:firstLine="0" w:firstLineChars="0"/>
            </w:pPr>
            <w:r>
              <w:rPr>
                <w:rFonts w:hint="eastAsia"/>
              </w:rPr>
              <w:t>炭化室内宽</w:t>
            </w:r>
          </w:p>
        </w:tc>
        <w:tc>
          <w:tcPr>
            <w:tcW w:w="2759" w:type="dxa"/>
            <w:vAlign w:val="center"/>
          </w:tcPr>
          <w:p w14:paraId="1AC61FA9">
            <w:pPr>
              <w:pStyle w:val="125"/>
              <w:ind w:firstLine="0" w:firstLineChars="0"/>
            </w:pPr>
            <w:r>
              <w:rPr>
                <w:rFonts w:hint="eastAsia"/>
              </w:rPr>
              <w:t>mm</w:t>
            </w:r>
          </w:p>
        </w:tc>
        <w:tc>
          <w:tcPr>
            <w:tcW w:w="2759" w:type="dxa"/>
            <w:vAlign w:val="center"/>
          </w:tcPr>
          <w:p w14:paraId="3DB950EA">
            <w:pPr>
              <w:pStyle w:val="125"/>
              <w:ind w:firstLine="0" w:firstLineChars="0"/>
            </w:pPr>
            <w:r>
              <w:rPr>
                <w:rFonts w:hint="eastAsia"/>
              </w:rPr>
              <w:t>470</w:t>
            </w:r>
          </w:p>
        </w:tc>
      </w:tr>
      <w:tr w14:paraId="7E43A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0E1511B0">
            <w:pPr>
              <w:pStyle w:val="125"/>
              <w:ind w:firstLine="0" w:firstLineChars="0"/>
            </w:pPr>
            <w:r>
              <w:rPr>
                <w:rFonts w:hint="eastAsia"/>
              </w:rPr>
              <w:t>炭化室有效容积</w:t>
            </w:r>
          </w:p>
        </w:tc>
        <w:tc>
          <w:tcPr>
            <w:tcW w:w="2759" w:type="dxa"/>
            <w:vAlign w:val="center"/>
          </w:tcPr>
          <w:p w14:paraId="59545804">
            <w:pPr>
              <w:pStyle w:val="125"/>
              <w:ind w:firstLine="0" w:firstLineChars="0"/>
            </w:pPr>
            <w:r>
              <w:rPr>
                <w:rFonts w:hint="eastAsia"/>
              </w:rPr>
              <w:t>m³</w:t>
            </w:r>
          </w:p>
        </w:tc>
        <w:tc>
          <w:tcPr>
            <w:tcW w:w="2759" w:type="dxa"/>
            <w:vAlign w:val="center"/>
          </w:tcPr>
          <w:p w14:paraId="13C16B72">
            <w:pPr>
              <w:pStyle w:val="125"/>
              <w:ind w:firstLine="0" w:firstLineChars="0"/>
            </w:pPr>
            <w:r>
              <w:rPr>
                <w:rFonts w:hint="eastAsia"/>
              </w:rPr>
              <w:t>38.5</w:t>
            </w:r>
          </w:p>
        </w:tc>
      </w:tr>
      <w:tr w14:paraId="29444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0569FD8C">
            <w:pPr>
              <w:pStyle w:val="125"/>
              <w:ind w:firstLine="0" w:firstLineChars="0"/>
            </w:pPr>
            <w:r>
              <w:rPr>
                <w:rFonts w:hint="eastAsia"/>
              </w:rPr>
              <w:t>炭化室中心距</w:t>
            </w:r>
          </w:p>
        </w:tc>
        <w:tc>
          <w:tcPr>
            <w:tcW w:w="2759" w:type="dxa"/>
            <w:vAlign w:val="center"/>
          </w:tcPr>
          <w:p w14:paraId="4E308C8B">
            <w:pPr>
              <w:pStyle w:val="125"/>
              <w:ind w:firstLine="0" w:firstLineChars="0"/>
            </w:pPr>
            <w:r>
              <w:rPr>
                <w:rFonts w:hint="eastAsia"/>
              </w:rPr>
              <w:t>mm</w:t>
            </w:r>
          </w:p>
        </w:tc>
        <w:tc>
          <w:tcPr>
            <w:tcW w:w="2759" w:type="dxa"/>
            <w:vAlign w:val="center"/>
          </w:tcPr>
          <w:p w14:paraId="378CA28A">
            <w:pPr>
              <w:pStyle w:val="125"/>
              <w:ind w:firstLine="0" w:firstLineChars="0"/>
            </w:pPr>
            <w:r>
              <w:rPr>
                <w:rFonts w:hint="eastAsia"/>
              </w:rPr>
              <w:t>1114</w:t>
            </w:r>
          </w:p>
        </w:tc>
      </w:tr>
      <w:tr w14:paraId="35899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3C504315">
            <w:pPr>
              <w:pStyle w:val="125"/>
              <w:ind w:firstLine="0" w:firstLineChars="0"/>
            </w:pPr>
            <w:r>
              <w:rPr>
                <w:rFonts w:hint="eastAsia"/>
              </w:rPr>
              <w:t>装干煤量</w:t>
            </w:r>
          </w:p>
        </w:tc>
        <w:tc>
          <w:tcPr>
            <w:tcW w:w="2759" w:type="dxa"/>
            <w:vAlign w:val="center"/>
          </w:tcPr>
          <w:p w14:paraId="6E2A50C5">
            <w:pPr>
              <w:pStyle w:val="125"/>
              <w:ind w:firstLine="0" w:firstLineChars="0"/>
            </w:pPr>
            <w:r>
              <w:rPr>
                <w:rFonts w:hint="eastAsia"/>
              </w:rPr>
              <w:t>t/d·孔</w:t>
            </w:r>
          </w:p>
        </w:tc>
        <w:tc>
          <w:tcPr>
            <w:tcW w:w="2759" w:type="dxa"/>
            <w:vAlign w:val="center"/>
          </w:tcPr>
          <w:p w14:paraId="68699518">
            <w:pPr>
              <w:pStyle w:val="125"/>
              <w:ind w:firstLine="0" w:firstLineChars="0"/>
            </w:pPr>
            <w:r>
              <w:rPr>
                <w:rFonts w:hint="eastAsia"/>
              </w:rPr>
              <w:t>1014.7</w:t>
            </w:r>
          </w:p>
        </w:tc>
      </w:tr>
      <w:tr w14:paraId="63AA7C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7AD49C46">
            <w:pPr>
              <w:pStyle w:val="125"/>
              <w:ind w:firstLine="0" w:firstLineChars="0"/>
            </w:pPr>
            <w:r>
              <w:rPr>
                <w:rFonts w:hint="eastAsia"/>
              </w:rPr>
              <w:t>燃烧火道数量</w:t>
            </w:r>
          </w:p>
        </w:tc>
        <w:tc>
          <w:tcPr>
            <w:tcW w:w="2759" w:type="dxa"/>
            <w:vAlign w:val="center"/>
          </w:tcPr>
          <w:p w14:paraId="497C1267">
            <w:pPr>
              <w:pStyle w:val="125"/>
              <w:ind w:firstLine="0" w:firstLineChars="0"/>
            </w:pPr>
            <w:r>
              <w:rPr>
                <w:rFonts w:hint="eastAsia"/>
              </w:rPr>
              <w:t>个</w:t>
            </w:r>
          </w:p>
        </w:tc>
        <w:tc>
          <w:tcPr>
            <w:tcW w:w="2759" w:type="dxa"/>
            <w:vAlign w:val="center"/>
          </w:tcPr>
          <w:p w14:paraId="37DAE5B1">
            <w:pPr>
              <w:pStyle w:val="125"/>
              <w:ind w:firstLine="0" w:firstLineChars="0"/>
            </w:pPr>
            <w:r>
              <w:rPr>
                <w:rFonts w:hint="eastAsia"/>
              </w:rPr>
              <w:t>40</w:t>
            </w:r>
          </w:p>
        </w:tc>
      </w:tr>
      <w:tr w14:paraId="31364C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1E83E6CD">
            <w:pPr>
              <w:pStyle w:val="125"/>
              <w:ind w:firstLine="0" w:firstLineChars="0"/>
            </w:pPr>
            <w:r>
              <w:rPr>
                <w:rFonts w:hint="eastAsia"/>
              </w:rPr>
              <w:t>回炉煤气热值</w:t>
            </w:r>
          </w:p>
        </w:tc>
        <w:tc>
          <w:tcPr>
            <w:tcW w:w="2759" w:type="dxa"/>
            <w:vAlign w:val="center"/>
          </w:tcPr>
          <w:p w14:paraId="4539FDC5">
            <w:pPr>
              <w:pStyle w:val="125"/>
              <w:ind w:firstLine="0" w:firstLineChars="0"/>
            </w:pPr>
            <w:r>
              <w:rPr>
                <w:rFonts w:hint="eastAsia"/>
              </w:rPr>
              <w:t>Kal/Nm³</w:t>
            </w:r>
          </w:p>
        </w:tc>
        <w:tc>
          <w:tcPr>
            <w:tcW w:w="2759" w:type="dxa"/>
            <w:vAlign w:val="center"/>
          </w:tcPr>
          <w:p w14:paraId="5CC94A5A">
            <w:pPr>
              <w:pStyle w:val="125"/>
              <w:ind w:firstLine="0" w:firstLineChars="0"/>
            </w:pPr>
            <w:r>
              <w:rPr>
                <w:rFonts w:hint="eastAsia"/>
              </w:rPr>
              <w:t>&gt;1750</w:t>
            </w:r>
          </w:p>
        </w:tc>
      </w:tr>
      <w:tr w14:paraId="0DF32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758" w:type="dxa"/>
            <w:vAlign w:val="center"/>
          </w:tcPr>
          <w:p w14:paraId="0B11EFB1">
            <w:pPr>
              <w:pStyle w:val="125"/>
              <w:ind w:firstLine="0" w:firstLineChars="0"/>
            </w:pPr>
            <w:r>
              <w:rPr>
                <w:rFonts w:hint="eastAsia"/>
              </w:rPr>
              <w:t>焦炉生产能力</w:t>
            </w:r>
          </w:p>
        </w:tc>
        <w:tc>
          <w:tcPr>
            <w:tcW w:w="2759" w:type="dxa"/>
            <w:vAlign w:val="center"/>
          </w:tcPr>
          <w:p w14:paraId="4A250AE7">
            <w:pPr>
              <w:pStyle w:val="125"/>
              <w:ind w:firstLine="0" w:firstLineChars="0"/>
            </w:pPr>
            <w:r>
              <w:rPr>
                <w:rFonts w:hint="eastAsia"/>
              </w:rPr>
              <w:t>t/d·孔</w:t>
            </w:r>
          </w:p>
        </w:tc>
        <w:tc>
          <w:tcPr>
            <w:tcW w:w="2759" w:type="dxa"/>
            <w:vAlign w:val="center"/>
          </w:tcPr>
          <w:p w14:paraId="0A202334">
            <w:pPr>
              <w:pStyle w:val="125"/>
              <w:ind w:firstLine="0" w:firstLineChars="0"/>
            </w:pPr>
            <w:r>
              <w:rPr>
                <w:rFonts w:hint="eastAsia"/>
              </w:rPr>
              <w:t>545.55</w:t>
            </w:r>
          </w:p>
        </w:tc>
      </w:tr>
    </w:tbl>
    <w:p w14:paraId="0F62C5F1">
      <w:pPr>
        <w:ind w:firstLine="480"/>
      </w:pPr>
      <w:r>
        <w:rPr>
          <w:rFonts w:hint="eastAsia"/>
        </w:rPr>
        <w:t>（2）主要设备汇总表</w:t>
      </w:r>
    </w:p>
    <w:p w14:paraId="5B506493">
      <w:pPr>
        <w:ind w:firstLine="480"/>
      </w:pPr>
      <w:r>
        <w:rPr>
          <w:rFonts w:hint="eastAsia"/>
        </w:rPr>
        <w:t>兰炭生产线新增主要生产设备汇总，见表3.3-6。</w:t>
      </w:r>
    </w:p>
    <w:p w14:paraId="362F33D2">
      <w:pPr>
        <w:pStyle w:val="118"/>
      </w:pPr>
      <w:r>
        <w:rPr>
          <w:rFonts w:hint="eastAsia"/>
        </w:rPr>
        <w:t>表3.3-6  兰炭生产线新增主要生产设备一览表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8"/>
        <w:gridCol w:w="2166"/>
        <w:gridCol w:w="3978"/>
        <w:gridCol w:w="750"/>
        <w:gridCol w:w="750"/>
      </w:tblGrid>
      <w:tr w14:paraId="40B9B0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BE3BFA7">
            <w:pPr>
              <w:pStyle w:val="125"/>
              <w:spacing w:line="240" w:lineRule="auto"/>
              <w:ind w:firstLine="0" w:firstLineChars="0"/>
              <w:rPr>
                <w:b/>
                <w:bCs/>
                <w:szCs w:val="21"/>
              </w:rPr>
            </w:pPr>
            <w:r>
              <w:rPr>
                <w:rFonts w:hint="eastAsia"/>
                <w:b/>
                <w:bCs/>
                <w:szCs w:val="21"/>
              </w:rPr>
              <w:t>序号</w:t>
            </w:r>
          </w:p>
        </w:tc>
        <w:tc>
          <w:tcPr>
            <w:tcW w:w="3605" w:type="pct"/>
            <w:gridSpan w:val="2"/>
            <w:vAlign w:val="center"/>
          </w:tcPr>
          <w:p w14:paraId="7B3C44A1">
            <w:pPr>
              <w:pStyle w:val="125"/>
              <w:spacing w:line="240" w:lineRule="auto"/>
              <w:ind w:firstLine="0" w:firstLineChars="0"/>
              <w:rPr>
                <w:b/>
                <w:bCs/>
                <w:szCs w:val="21"/>
              </w:rPr>
            </w:pPr>
            <w:r>
              <w:rPr>
                <w:rFonts w:hint="eastAsia"/>
                <w:b/>
                <w:bCs/>
                <w:szCs w:val="21"/>
              </w:rPr>
              <w:t>设备名称</w:t>
            </w:r>
          </w:p>
        </w:tc>
        <w:tc>
          <w:tcPr>
            <w:tcW w:w="440" w:type="pct"/>
            <w:vAlign w:val="center"/>
          </w:tcPr>
          <w:p w14:paraId="5221C1F5">
            <w:pPr>
              <w:pStyle w:val="125"/>
              <w:spacing w:line="240" w:lineRule="auto"/>
              <w:ind w:firstLine="0" w:firstLineChars="0"/>
              <w:jc w:val="both"/>
              <w:rPr>
                <w:b/>
                <w:bCs/>
                <w:szCs w:val="21"/>
              </w:rPr>
            </w:pPr>
            <w:r>
              <w:rPr>
                <w:rFonts w:hint="eastAsia"/>
                <w:b/>
                <w:bCs/>
                <w:szCs w:val="21"/>
              </w:rPr>
              <w:t>数量（台/套）</w:t>
            </w:r>
          </w:p>
        </w:tc>
        <w:tc>
          <w:tcPr>
            <w:tcW w:w="440" w:type="pct"/>
            <w:tcBorders>
              <w:right w:val="single" w:color="auto" w:sz="4" w:space="0"/>
            </w:tcBorders>
            <w:vAlign w:val="center"/>
          </w:tcPr>
          <w:p w14:paraId="741ABC60">
            <w:pPr>
              <w:pStyle w:val="125"/>
              <w:spacing w:line="240" w:lineRule="auto"/>
              <w:ind w:firstLine="0" w:firstLineChars="0"/>
              <w:jc w:val="both"/>
              <w:rPr>
                <w:b/>
                <w:bCs/>
                <w:szCs w:val="21"/>
              </w:rPr>
            </w:pPr>
            <w:r>
              <w:rPr>
                <w:rFonts w:hint="eastAsia"/>
                <w:b/>
                <w:bCs/>
                <w:szCs w:val="21"/>
              </w:rPr>
              <w:t>备注</w:t>
            </w:r>
          </w:p>
        </w:tc>
      </w:tr>
      <w:tr w14:paraId="12F15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2EA3C242">
            <w:pPr>
              <w:pStyle w:val="125"/>
              <w:spacing w:line="240" w:lineRule="auto"/>
              <w:ind w:firstLine="0" w:firstLineChars="0"/>
              <w:rPr>
                <w:szCs w:val="21"/>
              </w:rPr>
            </w:pPr>
            <w:r>
              <w:rPr>
                <w:rFonts w:hint="eastAsia"/>
                <w:szCs w:val="21"/>
              </w:rPr>
              <w:t>一</w:t>
            </w:r>
          </w:p>
        </w:tc>
        <w:tc>
          <w:tcPr>
            <w:tcW w:w="4485" w:type="pct"/>
            <w:gridSpan w:val="4"/>
            <w:tcBorders>
              <w:right w:val="single" w:color="auto" w:sz="4" w:space="0"/>
            </w:tcBorders>
            <w:vAlign w:val="center"/>
          </w:tcPr>
          <w:p w14:paraId="5B602827">
            <w:pPr>
              <w:pStyle w:val="125"/>
              <w:spacing w:line="240" w:lineRule="auto"/>
              <w:ind w:firstLine="0" w:firstLineChars="0"/>
              <w:rPr>
                <w:szCs w:val="21"/>
              </w:rPr>
            </w:pPr>
            <w:r>
              <w:rPr>
                <w:rFonts w:hint="eastAsia"/>
                <w:szCs w:val="21"/>
              </w:rPr>
              <w:t>备煤单元</w:t>
            </w:r>
          </w:p>
        </w:tc>
      </w:tr>
      <w:tr w14:paraId="23C21F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00839D2">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669F204D">
            <w:pPr>
              <w:pStyle w:val="125"/>
              <w:spacing w:line="240" w:lineRule="auto"/>
              <w:ind w:firstLine="0" w:firstLineChars="0"/>
              <w:rPr>
                <w:szCs w:val="21"/>
              </w:rPr>
            </w:pPr>
            <w:r>
              <w:rPr>
                <w:rFonts w:hint="eastAsia"/>
                <w:szCs w:val="21"/>
              </w:rPr>
              <w:t>煤-1输送带A</w:t>
            </w:r>
          </w:p>
        </w:tc>
        <w:tc>
          <w:tcPr>
            <w:tcW w:w="2334" w:type="pct"/>
            <w:tcBorders>
              <w:left w:val="single" w:color="auto" w:sz="4" w:space="0"/>
            </w:tcBorders>
            <w:vAlign w:val="center"/>
          </w:tcPr>
          <w:p w14:paraId="01A72336">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03FE7E0D">
            <w:pPr>
              <w:pStyle w:val="125"/>
              <w:spacing w:line="240" w:lineRule="auto"/>
              <w:ind w:firstLine="0" w:firstLineChars="0"/>
              <w:rPr>
                <w:szCs w:val="21"/>
              </w:rPr>
            </w:pPr>
            <w:r>
              <w:rPr>
                <w:rFonts w:hint="eastAsia"/>
                <w:szCs w:val="21"/>
              </w:rPr>
              <w:t>1</w:t>
            </w:r>
          </w:p>
        </w:tc>
        <w:tc>
          <w:tcPr>
            <w:tcW w:w="440" w:type="pct"/>
            <w:tcBorders>
              <w:right w:val="single" w:color="auto" w:sz="4" w:space="0"/>
            </w:tcBorders>
            <w:vAlign w:val="center"/>
          </w:tcPr>
          <w:p w14:paraId="55366B60">
            <w:pPr>
              <w:pStyle w:val="125"/>
              <w:spacing w:line="240" w:lineRule="auto"/>
              <w:ind w:firstLine="0" w:firstLineChars="0"/>
              <w:rPr>
                <w:szCs w:val="21"/>
              </w:rPr>
            </w:pPr>
          </w:p>
        </w:tc>
      </w:tr>
      <w:tr w14:paraId="797E3D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930A94C">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0ADBBBED">
            <w:pPr>
              <w:pStyle w:val="125"/>
              <w:spacing w:line="240" w:lineRule="auto"/>
              <w:ind w:firstLine="0" w:firstLineChars="0"/>
              <w:rPr>
                <w:szCs w:val="21"/>
              </w:rPr>
            </w:pPr>
            <w:r>
              <w:rPr>
                <w:rFonts w:hint="eastAsia"/>
                <w:szCs w:val="21"/>
              </w:rPr>
              <w:t>煤-1输送带B</w:t>
            </w:r>
          </w:p>
        </w:tc>
        <w:tc>
          <w:tcPr>
            <w:tcW w:w="2334" w:type="pct"/>
            <w:tcBorders>
              <w:left w:val="single" w:color="auto" w:sz="4" w:space="0"/>
            </w:tcBorders>
            <w:vAlign w:val="center"/>
          </w:tcPr>
          <w:p w14:paraId="2AC53B7B">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6B87A2FD">
            <w:pPr>
              <w:pStyle w:val="125"/>
              <w:spacing w:line="240" w:lineRule="auto"/>
              <w:ind w:firstLine="0" w:firstLineChars="0"/>
              <w:rPr>
                <w:szCs w:val="21"/>
              </w:rPr>
            </w:pPr>
            <w:r>
              <w:rPr>
                <w:rFonts w:hint="eastAsia"/>
                <w:szCs w:val="21"/>
              </w:rPr>
              <w:t>1</w:t>
            </w:r>
          </w:p>
        </w:tc>
        <w:tc>
          <w:tcPr>
            <w:tcW w:w="440" w:type="pct"/>
            <w:tcBorders>
              <w:right w:val="single" w:color="auto" w:sz="4" w:space="0"/>
            </w:tcBorders>
            <w:vAlign w:val="center"/>
          </w:tcPr>
          <w:p w14:paraId="4D84C4C9">
            <w:pPr>
              <w:pStyle w:val="125"/>
              <w:spacing w:line="240" w:lineRule="auto"/>
              <w:ind w:firstLine="0" w:firstLineChars="0"/>
              <w:rPr>
                <w:szCs w:val="21"/>
              </w:rPr>
            </w:pPr>
          </w:p>
        </w:tc>
      </w:tr>
      <w:tr w14:paraId="15F44A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AF8A9A8">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30918A24">
            <w:pPr>
              <w:pStyle w:val="125"/>
              <w:spacing w:line="240" w:lineRule="auto"/>
              <w:ind w:firstLine="0" w:firstLineChars="0"/>
              <w:rPr>
                <w:szCs w:val="21"/>
              </w:rPr>
            </w:pPr>
            <w:r>
              <w:rPr>
                <w:rFonts w:hint="eastAsia"/>
                <w:szCs w:val="21"/>
              </w:rPr>
              <w:t>煤-2输送带</w:t>
            </w:r>
          </w:p>
        </w:tc>
        <w:tc>
          <w:tcPr>
            <w:tcW w:w="2334" w:type="pct"/>
            <w:tcBorders>
              <w:left w:val="single" w:color="auto" w:sz="4" w:space="0"/>
            </w:tcBorders>
            <w:vAlign w:val="center"/>
          </w:tcPr>
          <w:p w14:paraId="5A6D6782">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3228DDAA">
            <w:pPr>
              <w:pStyle w:val="125"/>
              <w:spacing w:line="240" w:lineRule="auto"/>
              <w:ind w:firstLine="0" w:firstLineChars="0"/>
              <w:rPr>
                <w:szCs w:val="21"/>
              </w:rPr>
            </w:pPr>
            <w:r>
              <w:rPr>
                <w:rFonts w:hint="eastAsia"/>
                <w:szCs w:val="21"/>
              </w:rPr>
              <w:t>1</w:t>
            </w:r>
          </w:p>
        </w:tc>
        <w:tc>
          <w:tcPr>
            <w:tcW w:w="440" w:type="pct"/>
            <w:vAlign w:val="center"/>
          </w:tcPr>
          <w:p w14:paraId="64CC8AC3">
            <w:pPr>
              <w:pStyle w:val="125"/>
              <w:spacing w:line="240" w:lineRule="auto"/>
              <w:ind w:firstLine="0" w:firstLineChars="0"/>
              <w:rPr>
                <w:szCs w:val="21"/>
              </w:rPr>
            </w:pPr>
          </w:p>
        </w:tc>
      </w:tr>
      <w:tr w14:paraId="47F979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7C90406">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55AC4254">
            <w:pPr>
              <w:pStyle w:val="125"/>
              <w:spacing w:line="240" w:lineRule="auto"/>
              <w:ind w:firstLine="0" w:firstLineChars="0"/>
              <w:rPr>
                <w:szCs w:val="21"/>
              </w:rPr>
            </w:pPr>
            <w:r>
              <w:rPr>
                <w:rFonts w:hint="eastAsia"/>
                <w:szCs w:val="21"/>
              </w:rPr>
              <w:t>煤-3输送带</w:t>
            </w:r>
          </w:p>
        </w:tc>
        <w:tc>
          <w:tcPr>
            <w:tcW w:w="2334" w:type="pct"/>
            <w:tcBorders>
              <w:left w:val="single" w:color="auto" w:sz="4" w:space="0"/>
            </w:tcBorders>
            <w:vAlign w:val="center"/>
          </w:tcPr>
          <w:p w14:paraId="4C797CC9">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6BB516EA">
            <w:pPr>
              <w:pStyle w:val="125"/>
              <w:spacing w:line="240" w:lineRule="auto"/>
              <w:ind w:firstLine="0" w:firstLineChars="0"/>
              <w:rPr>
                <w:szCs w:val="21"/>
              </w:rPr>
            </w:pPr>
            <w:r>
              <w:rPr>
                <w:rFonts w:hint="eastAsia"/>
                <w:szCs w:val="21"/>
              </w:rPr>
              <w:t>1</w:t>
            </w:r>
          </w:p>
        </w:tc>
        <w:tc>
          <w:tcPr>
            <w:tcW w:w="440" w:type="pct"/>
            <w:vAlign w:val="center"/>
          </w:tcPr>
          <w:p w14:paraId="1D3CFE6E">
            <w:pPr>
              <w:pStyle w:val="125"/>
              <w:spacing w:line="240" w:lineRule="auto"/>
              <w:ind w:firstLine="0" w:firstLineChars="0"/>
              <w:rPr>
                <w:szCs w:val="21"/>
              </w:rPr>
            </w:pPr>
          </w:p>
        </w:tc>
      </w:tr>
      <w:tr w14:paraId="26018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8B094A2">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3942F420">
            <w:pPr>
              <w:pStyle w:val="125"/>
              <w:spacing w:line="240" w:lineRule="auto"/>
              <w:ind w:firstLine="0" w:firstLineChars="0"/>
              <w:rPr>
                <w:szCs w:val="21"/>
              </w:rPr>
            </w:pPr>
            <w:r>
              <w:rPr>
                <w:rFonts w:hint="eastAsia"/>
                <w:szCs w:val="21"/>
              </w:rPr>
              <w:t>煤-4输送带</w:t>
            </w:r>
          </w:p>
        </w:tc>
        <w:tc>
          <w:tcPr>
            <w:tcW w:w="2334" w:type="pct"/>
            <w:tcBorders>
              <w:left w:val="single" w:color="auto" w:sz="4" w:space="0"/>
            </w:tcBorders>
            <w:vAlign w:val="center"/>
          </w:tcPr>
          <w:p w14:paraId="589C5155">
            <w:pPr>
              <w:pStyle w:val="125"/>
              <w:spacing w:line="240" w:lineRule="auto"/>
              <w:ind w:firstLine="420"/>
              <w:rPr>
                <w:szCs w:val="21"/>
              </w:rPr>
            </w:pPr>
            <w:r>
              <w:rPr>
                <w:szCs w:val="21"/>
              </w:rPr>
              <w:t>B=1200</w:t>
            </w:r>
            <w:r>
              <w:rPr>
                <w:rFonts w:hint="eastAsia"/>
                <w:szCs w:val="21"/>
              </w:rPr>
              <w:t>，最大输送量</w:t>
            </w:r>
            <w:r>
              <w:rPr>
                <w:szCs w:val="21"/>
              </w:rPr>
              <w:t>891t/h</w:t>
            </w:r>
            <w:r>
              <w:rPr>
                <w:rFonts w:hint="eastAsia"/>
                <w:szCs w:val="21"/>
              </w:rPr>
              <w:t>，</w:t>
            </w:r>
          </w:p>
        </w:tc>
        <w:tc>
          <w:tcPr>
            <w:tcW w:w="440" w:type="pct"/>
            <w:vAlign w:val="center"/>
          </w:tcPr>
          <w:p w14:paraId="7FE8FE52">
            <w:pPr>
              <w:pStyle w:val="125"/>
              <w:spacing w:line="240" w:lineRule="auto"/>
              <w:ind w:firstLine="0" w:firstLineChars="0"/>
              <w:rPr>
                <w:szCs w:val="21"/>
              </w:rPr>
            </w:pPr>
            <w:r>
              <w:rPr>
                <w:rFonts w:hint="eastAsia"/>
                <w:szCs w:val="21"/>
              </w:rPr>
              <w:t>1</w:t>
            </w:r>
          </w:p>
        </w:tc>
        <w:tc>
          <w:tcPr>
            <w:tcW w:w="440" w:type="pct"/>
            <w:vAlign w:val="center"/>
          </w:tcPr>
          <w:p w14:paraId="287184D4">
            <w:pPr>
              <w:pStyle w:val="125"/>
              <w:spacing w:line="240" w:lineRule="auto"/>
              <w:ind w:firstLine="0" w:firstLineChars="0"/>
              <w:rPr>
                <w:szCs w:val="21"/>
              </w:rPr>
            </w:pPr>
          </w:p>
        </w:tc>
      </w:tr>
      <w:tr w14:paraId="29BA3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23D93F57">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605FA121">
            <w:pPr>
              <w:pStyle w:val="125"/>
              <w:spacing w:line="240" w:lineRule="auto"/>
              <w:ind w:firstLine="0" w:firstLineChars="0"/>
              <w:rPr>
                <w:szCs w:val="21"/>
              </w:rPr>
            </w:pPr>
            <w:r>
              <w:rPr>
                <w:rFonts w:hint="eastAsia"/>
                <w:szCs w:val="21"/>
              </w:rPr>
              <w:t>煤-5输送带</w:t>
            </w:r>
          </w:p>
        </w:tc>
        <w:tc>
          <w:tcPr>
            <w:tcW w:w="2334" w:type="pct"/>
            <w:tcBorders>
              <w:left w:val="single" w:color="auto" w:sz="4" w:space="0"/>
            </w:tcBorders>
            <w:vAlign w:val="center"/>
          </w:tcPr>
          <w:p w14:paraId="4FB5557D">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7A9D88D4">
            <w:pPr>
              <w:pStyle w:val="125"/>
              <w:spacing w:line="240" w:lineRule="auto"/>
              <w:ind w:firstLine="0" w:firstLineChars="0"/>
              <w:rPr>
                <w:szCs w:val="21"/>
              </w:rPr>
            </w:pPr>
            <w:r>
              <w:rPr>
                <w:rFonts w:hint="eastAsia"/>
                <w:szCs w:val="21"/>
              </w:rPr>
              <w:t>1</w:t>
            </w:r>
          </w:p>
        </w:tc>
        <w:tc>
          <w:tcPr>
            <w:tcW w:w="440" w:type="pct"/>
            <w:vAlign w:val="center"/>
          </w:tcPr>
          <w:p w14:paraId="089726DA">
            <w:pPr>
              <w:pStyle w:val="125"/>
              <w:spacing w:line="240" w:lineRule="auto"/>
              <w:ind w:firstLine="0" w:firstLineChars="0"/>
              <w:rPr>
                <w:szCs w:val="21"/>
              </w:rPr>
            </w:pPr>
          </w:p>
        </w:tc>
      </w:tr>
      <w:tr w14:paraId="53404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855FCE0">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45D3103D">
            <w:pPr>
              <w:pStyle w:val="125"/>
              <w:spacing w:line="240" w:lineRule="auto"/>
              <w:ind w:firstLine="0" w:firstLineChars="0"/>
              <w:rPr>
                <w:szCs w:val="21"/>
              </w:rPr>
            </w:pPr>
            <w:r>
              <w:rPr>
                <w:rFonts w:hint="eastAsia"/>
                <w:szCs w:val="21"/>
              </w:rPr>
              <w:t>煤-6输送带</w:t>
            </w:r>
          </w:p>
        </w:tc>
        <w:tc>
          <w:tcPr>
            <w:tcW w:w="2334" w:type="pct"/>
            <w:tcBorders>
              <w:left w:val="single" w:color="auto" w:sz="4" w:space="0"/>
            </w:tcBorders>
            <w:vAlign w:val="center"/>
          </w:tcPr>
          <w:p w14:paraId="4D22DF75">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4DE3698A">
            <w:pPr>
              <w:pStyle w:val="125"/>
              <w:spacing w:line="240" w:lineRule="auto"/>
              <w:ind w:firstLine="0" w:firstLineChars="0"/>
              <w:rPr>
                <w:szCs w:val="21"/>
              </w:rPr>
            </w:pPr>
            <w:r>
              <w:rPr>
                <w:rFonts w:hint="eastAsia"/>
                <w:szCs w:val="21"/>
              </w:rPr>
              <w:t>1</w:t>
            </w:r>
          </w:p>
        </w:tc>
        <w:tc>
          <w:tcPr>
            <w:tcW w:w="440" w:type="pct"/>
            <w:vAlign w:val="center"/>
          </w:tcPr>
          <w:p w14:paraId="2854AB66">
            <w:pPr>
              <w:pStyle w:val="125"/>
              <w:spacing w:line="240" w:lineRule="auto"/>
              <w:ind w:firstLine="0" w:firstLineChars="0"/>
              <w:rPr>
                <w:szCs w:val="21"/>
              </w:rPr>
            </w:pPr>
          </w:p>
        </w:tc>
      </w:tr>
      <w:tr w14:paraId="7F7A0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30481AC">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3EEF9035">
            <w:pPr>
              <w:pStyle w:val="125"/>
              <w:spacing w:line="240" w:lineRule="auto"/>
              <w:ind w:firstLine="0" w:firstLineChars="0"/>
              <w:rPr>
                <w:szCs w:val="21"/>
              </w:rPr>
            </w:pPr>
            <w:r>
              <w:rPr>
                <w:rFonts w:hint="eastAsia"/>
                <w:szCs w:val="21"/>
              </w:rPr>
              <w:t>煤-7输送带</w:t>
            </w:r>
          </w:p>
        </w:tc>
        <w:tc>
          <w:tcPr>
            <w:tcW w:w="2334" w:type="pct"/>
            <w:tcBorders>
              <w:left w:val="single" w:color="auto" w:sz="4" w:space="0"/>
            </w:tcBorders>
            <w:vAlign w:val="center"/>
          </w:tcPr>
          <w:p w14:paraId="077C0A3D">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3CA1767D">
            <w:pPr>
              <w:pStyle w:val="125"/>
              <w:spacing w:line="240" w:lineRule="auto"/>
              <w:ind w:firstLine="0" w:firstLineChars="0"/>
              <w:rPr>
                <w:szCs w:val="21"/>
              </w:rPr>
            </w:pPr>
            <w:r>
              <w:rPr>
                <w:rFonts w:hint="eastAsia"/>
                <w:szCs w:val="21"/>
              </w:rPr>
              <w:t>1</w:t>
            </w:r>
          </w:p>
        </w:tc>
        <w:tc>
          <w:tcPr>
            <w:tcW w:w="440" w:type="pct"/>
            <w:vAlign w:val="center"/>
          </w:tcPr>
          <w:p w14:paraId="194B7952">
            <w:pPr>
              <w:pStyle w:val="125"/>
              <w:spacing w:line="240" w:lineRule="auto"/>
              <w:ind w:firstLine="0" w:firstLineChars="0"/>
              <w:rPr>
                <w:szCs w:val="21"/>
              </w:rPr>
            </w:pPr>
          </w:p>
        </w:tc>
      </w:tr>
      <w:tr w14:paraId="62E8C7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072FCB45">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4F95DC6C">
            <w:pPr>
              <w:pStyle w:val="125"/>
              <w:spacing w:line="240" w:lineRule="auto"/>
              <w:ind w:firstLine="0" w:firstLineChars="0"/>
              <w:rPr>
                <w:szCs w:val="21"/>
              </w:rPr>
            </w:pPr>
            <w:r>
              <w:rPr>
                <w:rFonts w:hint="eastAsia"/>
                <w:szCs w:val="21"/>
              </w:rPr>
              <w:t>煤-8输送带</w:t>
            </w:r>
          </w:p>
        </w:tc>
        <w:tc>
          <w:tcPr>
            <w:tcW w:w="2334" w:type="pct"/>
            <w:tcBorders>
              <w:left w:val="single" w:color="auto" w:sz="4" w:space="0"/>
            </w:tcBorders>
            <w:vAlign w:val="center"/>
          </w:tcPr>
          <w:p w14:paraId="43360A94">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0B40A676">
            <w:pPr>
              <w:pStyle w:val="125"/>
              <w:spacing w:line="240" w:lineRule="auto"/>
              <w:ind w:firstLine="0" w:firstLineChars="0"/>
              <w:rPr>
                <w:szCs w:val="21"/>
              </w:rPr>
            </w:pPr>
            <w:r>
              <w:rPr>
                <w:rFonts w:hint="eastAsia"/>
                <w:szCs w:val="21"/>
              </w:rPr>
              <w:t>1</w:t>
            </w:r>
          </w:p>
        </w:tc>
        <w:tc>
          <w:tcPr>
            <w:tcW w:w="440" w:type="pct"/>
            <w:vAlign w:val="center"/>
          </w:tcPr>
          <w:p w14:paraId="4A3EB669">
            <w:pPr>
              <w:pStyle w:val="125"/>
              <w:spacing w:line="240" w:lineRule="auto"/>
              <w:ind w:firstLine="0" w:firstLineChars="0"/>
              <w:rPr>
                <w:szCs w:val="21"/>
              </w:rPr>
            </w:pPr>
          </w:p>
        </w:tc>
      </w:tr>
      <w:tr w14:paraId="4D7583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72D7B1D">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46D8CDBE">
            <w:pPr>
              <w:pStyle w:val="125"/>
              <w:spacing w:line="240" w:lineRule="auto"/>
              <w:ind w:firstLine="0" w:firstLineChars="0"/>
              <w:rPr>
                <w:szCs w:val="21"/>
              </w:rPr>
            </w:pPr>
            <w:r>
              <w:rPr>
                <w:rFonts w:hint="eastAsia"/>
                <w:szCs w:val="21"/>
              </w:rPr>
              <w:t>煤-9输送带</w:t>
            </w:r>
          </w:p>
        </w:tc>
        <w:tc>
          <w:tcPr>
            <w:tcW w:w="2334" w:type="pct"/>
            <w:tcBorders>
              <w:left w:val="single" w:color="auto" w:sz="4" w:space="0"/>
            </w:tcBorders>
            <w:vAlign w:val="center"/>
          </w:tcPr>
          <w:p w14:paraId="0659D36F">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3F1101E5">
            <w:pPr>
              <w:pStyle w:val="125"/>
              <w:spacing w:line="240" w:lineRule="auto"/>
              <w:ind w:firstLine="0" w:firstLineChars="0"/>
              <w:rPr>
                <w:szCs w:val="21"/>
              </w:rPr>
            </w:pPr>
            <w:r>
              <w:rPr>
                <w:rFonts w:hint="eastAsia"/>
                <w:szCs w:val="21"/>
              </w:rPr>
              <w:t>1</w:t>
            </w:r>
          </w:p>
        </w:tc>
        <w:tc>
          <w:tcPr>
            <w:tcW w:w="440" w:type="pct"/>
            <w:vAlign w:val="center"/>
          </w:tcPr>
          <w:p w14:paraId="0A828D5B">
            <w:pPr>
              <w:pStyle w:val="125"/>
              <w:spacing w:line="240" w:lineRule="auto"/>
              <w:ind w:firstLine="0" w:firstLineChars="0"/>
              <w:rPr>
                <w:szCs w:val="21"/>
              </w:rPr>
            </w:pPr>
          </w:p>
        </w:tc>
      </w:tr>
      <w:tr w14:paraId="78859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303EA165">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6DC26226">
            <w:pPr>
              <w:pStyle w:val="125"/>
              <w:spacing w:line="240" w:lineRule="auto"/>
              <w:ind w:firstLine="0" w:firstLineChars="0"/>
              <w:rPr>
                <w:szCs w:val="21"/>
              </w:rPr>
            </w:pPr>
            <w:r>
              <w:rPr>
                <w:rFonts w:hint="eastAsia"/>
                <w:szCs w:val="21"/>
              </w:rPr>
              <w:t>原煤振动筛A</w:t>
            </w:r>
          </w:p>
        </w:tc>
        <w:tc>
          <w:tcPr>
            <w:tcW w:w="2334" w:type="pct"/>
            <w:tcBorders>
              <w:left w:val="single" w:color="auto" w:sz="4" w:space="0"/>
            </w:tcBorders>
            <w:vAlign w:val="center"/>
          </w:tcPr>
          <w:p w14:paraId="553C506D">
            <w:pPr>
              <w:pStyle w:val="125"/>
              <w:spacing w:line="240" w:lineRule="auto"/>
              <w:ind w:firstLine="420"/>
              <w:rPr>
                <w:szCs w:val="21"/>
              </w:rPr>
            </w:pPr>
            <w:r>
              <w:rPr>
                <w:rFonts w:hint="eastAsia"/>
                <w:szCs w:val="21"/>
              </w:rPr>
              <w:t>25.2</w:t>
            </w:r>
            <w:r>
              <w:rPr>
                <w:rFonts w:ascii="Segoe UI Symbol" w:hAnsi="Segoe UI Symbol"/>
                <w:szCs w:val="21"/>
              </w:rPr>
              <w:t>㎡</w:t>
            </w:r>
            <w:r>
              <w:rPr>
                <w:rFonts w:hint="eastAsia"/>
                <w:szCs w:val="21"/>
              </w:rPr>
              <w:t>，2层，处理量</w:t>
            </w:r>
            <w:r>
              <w:rPr>
                <w:szCs w:val="21"/>
              </w:rPr>
              <w:t>1500</w:t>
            </w:r>
            <w:r>
              <w:rPr>
                <w:rFonts w:hint="eastAsia"/>
                <w:szCs w:val="21"/>
              </w:rPr>
              <w:t>t/h</w:t>
            </w:r>
          </w:p>
        </w:tc>
        <w:tc>
          <w:tcPr>
            <w:tcW w:w="440" w:type="pct"/>
            <w:vAlign w:val="center"/>
          </w:tcPr>
          <w:p w14:paraId="05E652EC">
            <w:pPr>
              <w:pStyle w:val="125"/>
              <w:spacing w:line="240" w:lineRule="auto"/>
              <w:ind w:firstLine="0" w:firstLineChars="0"/>
              <w:rPr>
                <w:szCs w:val="21"/>
              </w:rPr>
            </w:pPr>
            <w:r>
              <w:rPr>
                <w:rFonts w:hint="eastAsia"/>
                <w:szCs w:val="21"/>
              </w:rPr>
              <w:t>1</w:t>
            </w:r>
          </w:p>
        </w:tc>
        <w:tc>
          <w:tcPr>
            <w:tcW w:w="440" w:type="pct"/>
            <w:vAlign w:val="center"/>
          </w:tcPr>
          <w:p w14:paraId="7007DBBB">
            <w:pPr>
              <w:pStyle w:val="125"/>
              <w:spacing w:line="240" w:lineRule="auto"/>
              <w:ind w:firstLine="0" w:firstLineChars="0"/>
              <w:rPr>
                <w:szCs w:val="21"/>
              </w:rPr>
            </w:pPr>
          </w:p>
        </w:tc>
      </w:tr>
      <w:tr w14:paraId="14B287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380D6D95">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7631C504">
            <w:pPr>
              <w:pStyle w:val="125"/>
              <w:spacing w:line="240" w:lineRule="auto"/>
              <w:ind w:firstLine="0" w:firstLineChars="0"/>
              <w:rPr>
                <w:szCs w:val="21"/>
              </w:rPr>
            </w:pPr>
            <w:r>
              <w:rPr>
                <w:rFonts w:hint="eastAsia"/>
                <w:szCs w:val="21"/>
              </w:rPr>
              <w:t>原煤振动筛B</w:t>
            </w:r>
          </w:p>
        </w:tc>
        <w:tc>
          <w:tcPr>
            <w:tcW w:w="2334" w:type="pct"/>
            <w:tcBorders>
              <w:left w:val="single" w:color="auto" w:sz="4" w:space="0"/>
            </w:tcBorders>
            <w:vAlign w:val="center"/>
          </w:tcPr>
          <w:p w14:paraId="6E602D20">
            <w:pPr>
              <w:pStyle w:val="125"/>
              <w:spacing w:line="240" w:lineRule="auto"/>
              <w:ind w:firstLine="420"/>
              <w:rPr>
                <w:szCs w:val="21"/>
              </w:rPr>
            </w:pPr>
            <w:r>
              <w:rPr>
                <w:szCs w:val="21"/>
              </w:rPr>
              <w:t>25.2㎡</w:t>
            </w:r>
            <w:r>
              <w:rPr>
                <w:rFonts w:hint="eastAsia"/>
                <w:szCs w:val="21"/>
              </w:rPr>
              <w:t>，</w:t>
            </w:r>
            <w:r>
              <w:rPr>
                <w:szCs w:val="21"/>
              </w:rPr>
              <w:t>2</w:t>
            </w:r>
            <w:r>
              <w:rPr>
                <w:rFonts w:hint="eastAsia"/>
                <w:szCs w:val="21"/>
              </w:rPr>
              <w:t>层，处理量</w:t>
            </w:r>
            <w:r>
              <w:rPr>
                <w:szCs w:val="21"/>
              </w:rPr>
              <w:t>1500t/</w:t>
            </w:r>
            <w:r>
              <w:rPr>
                <w:rFonts w:hint="eastAsia"/>
                <w:szCs w:val="21"/>
              </w:rPr>
              <w:t>h</w:t>
            </w:r>
          </w:p>
        </w:tc>
        <w:tc>
          <w:tcPr>
            <w:tcW w:w="440" w:type="pct"/>
            <w:vAlign w:val="center"/>
          </w:tcPr>
          <w:p w14:paraId="7AB01C6F">
            <w:pPr>
              <w:pStyle w:val="125"/>
              <w:spacing w:line="240" w:lineRule="auto"/>
              <w:ind w:firstLine="0" w:firstLineChars="0"/>
              <w:rPr>
                <w:szCs w:val="21"/>
              </w:rPr>
            </w:pPr>
            <w:r>
              <w:rPr>
                <w:rFonts w:hint="eastAsia"/>
                <w:szCs w:val="21"/>
              </w:rPr>
              <w:t>1</w:t>
            </w:r>
          </w:p>
        </w:tc>
        <w:tc>
          <w:tcPr>
            <w:tcW w:w="440" w:type="pct"/>
            <w:vAlign w:val="center"/>
          </w:tcPr>
          <w:p w14:paraId="513FB93F">
            <w:pPr>
              <w:pStyle w:val="125"/>
              <w:spacing w:line="240" w:lineRule="auto"/>
              <w:ind w:firstLine="0" w:firstLineChars="0"/>
              <w:rPr>
                <w:szCs w:val="21"/>
              </w:rPr>
            </w:pPr>
          </w:p>
        </w:tc>
      </w:tr>
      <w:tr w14:paraId="4D18B1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2005C6CB">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18A82C8B">
            <w:pPr>
              <w:pStyle w:val="125"/>
              <w:spacing w:line="240" w:lineRule="auto"/>
              <w:ind w:firstLine="0" w:firstLineChars="0"/>
              <w:rPr>
                <w:szCs w:val="21"/>
              </w:rPr>
            </w:pPr>
            <w:r>
              <w:rPr>
                <w:rFonts w:hint="eastAsia"/>
                <w:szCs w:val="21"/>
              </w:rPr>
              <w:t>液压装车系统</w:t>
            </w:r>
          </w:p>
        </w:tc>
        <w:tc>
          <w:tcPr>
            <w:tcW w:w="2334" w:type="pct"/>
            <w:tcBorders>
              <w:left w:val="single" w:color="auto" w:sz="4" w:space="0"/>
            </w:tcBorders>
            <w:vAlign w:val="center"/>
          </w:tcPr>
          <w:p w14:paraId="06C19F53">
            <w:pPr>
              <w:pStyle w:val="125"/>
              <w:spacing w:line="240" w:lineRule="auto"/>
              <w:ind w:firstLine="420"/>
              <w:rPr>
                <w:szCs w:val="21"/>
              </w:rPr>
            </w:pPr>
            <w:r>
              <w:rPr>
                <w:rFonts w:hint="eastAsia"/>
                <w:szCs w:val="21"/>
              </w:rPr>
              <w:t>装机功率45k</w:t>
            </w:r>
            <w:r>
              <w:rPr>
                <w:szCs w:val="21"/>
              </w:rPr>
              <w:t>W</w:t>
            </w:r>
          </w:p>
        </w:tc>
        <w:tc>
          <w:tcPr>
            <w:tcW w:w="440" w:type="pct"/>
            <w:vAlign w:val="center"/>
          </w:tcPr>
          <w:p w14:paraId="4D09E9ED">
            <w:pPr>
              <w:pStyle w:val="125"/>
              <w:spacing w:line="240" w:lineRule="auto"/>
              <w:ind w:firstLine="0" w:firstLineChars="0"/>
              <w:rPr>
                <w:szCs w:val="21"/>
              </w:rPr>
            </w:pPr>
            <w:r>
              <w:rPr>
                <w:rFonts w:hint="eastAsia"/>
                <w:szCs w:val="21"/>
              </w:rPr>
              <w:t>2</w:t>
            </w:r>
          </w:p>
        </w:tc>
        <w:tc>
          <w:tcPr>
            <w:tcW w:w="440" w:type="pct"/>
            <w:vAlign w:val="center"/>
          </w:tcPr>
          <w:p w14:paraId="105FFA79">
            <w:pPr>
              <w:pStyle w:val="125"/>
              <w:spacing w:line="240" w:lineRule="auto"/>
              <w:ind w:firstLine="0" w:firstLineChars="0"/>
              <w:rPr>
                <w:szCs w:val="21"/>
              </w:rPr>
            </w:pPr>
          </w:p>
        </w:tc>
      </w:tr>
      <w:tr w14:paraId="18CD2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75D4DAB">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61796360">
            <w:pPr>
              <w:pStyle w:val="125"/>
              <w:spacing w:line="240" w:lineRule="auto"/>
              <w:ind w:firstLine="0" w:firstLineChars="0"/>
              <w:rPr>
                <w:szCs w:val="21"/>
              </w:rPr>
            </w:pPr>
            <w:r>
              <w:rPr>
                <w:rFonts w:hint="eastAsia"/>
                <w:color w:val="000000"/>
                <w:szCs w:val="21"/>
              </w:rPr>
              <w:t>筛分除尘器</w:t>
            </w:r>
          </w:p>
        </w:tc>
        <w:tc>
          <w:tcPr>
            <w:tcW w:w="2334" w:type="pct"/>
            <w:tcBorders>
              <w:left w:val="single" w:color="auto" w:sz="4" w:space="0"/>
            </w:tcBorders>
            <w:vAlign w:val="center"/>
          </w:tcPr>
          <w:p w14:paraId="08E633F1">
            <w:pPr>
              <w:pStyle w:val="125"/>
              <w:spacing w:line="240" w:lineRule="auto"/>
              <w:ind w:firstLine="420"/>
              <w:rPr>
                <w:szCs w:val="21"/>
              </w:rPr>
            </w:pPr>
            <w:r>
              <w:rPr>
                <w:rFonts w:hint="eastAsia"/>
                <w:szCs w:val="21"/>
              </w:rPr>
              <w:t>处理风量35000m³</w:t>
            </w:r>
            <w:r>
              <w:rPr>
                <w:szCs w:val="21"/>
              </w:rPr>
              <w:t>/h</w:t>
            </w:r>
            <w:r>
              <w:rPr>
                <w:rFonts w:hint="eastAsia"/>
                <w:szCs w:val="21"/>
              </w:rPr>
              <w:t>，过滤面积584㎡，滤袋长度6</w:t>
            </w:r>
            <w:r>
              <w:rPr>
                <w:szCs w:val="21"/>
              </w:rPr>
              <w:t>m</w:t>
            </w:r>
            <w:r>
              <w:rPr>
                <w:rFonts w:hint="eastAsia"/>
                <w:szCs w:val="21"/>
              </w:rPr>
              <w:t>，滤袋数量238条</w:t>
            </w:r>
          </w:p>
        </w:tc>
        <w:tc>
          <w:tcPr>
            <w:tcW w:w="440" w:type="pct"/>
            <w:vAlign w:val="center"/>
          </w:tcPr>
          <w:p w14:paraId="026364C5">
            <w:pPr>
              <w:pStyle w:val="125"/>
              <w:spacing w:line="240" w:lineRule="auto"/>
              <w:ind w:firstLine="0" w:firstLineChars="0"/>
              <w:rPr>
                <w:szCs w:val="21"/>
              </w:rPr>
            </w:pPr>
            <w:r>
              <w:rPr>
                <w:rFonts w:hint="eastAsia"/>
                <w:szCs w:val="21"/>
              </w:rPr>
              <w:t>1</w:t>
            </w:r>
          </w:p>
        </w:tc>
        <w:tc>
          <w:tcPr>
            <w:tcW w:w="440" w:type="pct"/>
            <w:vAlign w:val="center"/>
          </w:tcPr>
          <w:p w14:paraId="3A1D803B">
            <w:pPr>
              <w:pStyle w:val="125"/>
              <w:spacing w:line="240" w:lineRule="auto"/>
              <w:ind w:firstLine="0" w:firstLineChars="0"/>
              <w:rPr>
                <w:szCs w:val="21"/>
              </w:rPr>
            </w:pPr>
            <w:r>
              <w:rPr>
                <w:rFonts w:hint="eastAsia"/>
                <w:szCs w:val="21"/>
              </w:rPr>
              <w:t>利旧</w:t>
            </w:r>
          </w:p>
        </w:tc>
      </w:tr>
      <w:tr w14:paraId="34929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155C537">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227B7A71">
            <w:pPr>
              <w:pStyle w:val="125"/>
              <w:spacing w:line="240" w:lineRule="auto"/>
              <w:ind w:firstLine="0" w:firstLineChars="0"/>
              <w:rPr>
                <w:szCs w:val="21"/>
              </w:rPr>
            </w:pPr>
            <w:r>
              <w:rPr>
                <w:rFonts w:hint="eastAsia"/>
                <w:color w:val="000000"/>
                <w:szCs w:val="21"/>
              </w:rPr>
              <w:t>筛分除尘风机</w:t>
            </w:r>
          </w:p>
        </w:tc>
        <w:tc>
          <w:tcPr>
            <w:tcW w:w="2334" w:type="pct"/>
            <w:tcBorders>
              <w:left w:val="single" w:color="auto" w:sz="4" w:space="0"/>
            </w:tcBorders>
            <w:vAlign w:val="center"/>
          </w:tcPr>
          <w:p w14:paraId="76150203">
            <w:pPr>
              <w:pStyle w:val="125"/>
              <w:spacing w:line="240" w:lineRule="auto"/>
              <w:ind w:firstLine="420"/>
              <w:rPr>
                <w:szCs w:val="21"/>
              </w:rPr>
            </w:pPr>
            <w:r>
              <w:rPr>
                <w:rFonts w:hint="eastAsia"/>
                <w:color w:val="000000"/>
                <w:szCs w:val="21"/>
              </w:rPr>
              <w:t>风机压力4000-4500</w:t>
            </w:r>
            <w:r>
              <w:rPr>
                <w:color w:val="000000"/>
                <w:szCs w:val="21"/>
              </w:rPr>
              <w:t>pa</w:t>
            </w:r>
          </w:p>
        </w:tc>
        <w:tc>
          <w:tcPr>
            <w:tcW w:w="440" w:type="pct"/>
            <w:vAlign w:val="center"/>
          </w:tcPr>
          <w:p w14:paraId="1EFB1970">
            <w:pPr>
              <w:pStyle w:val="125"/>
              <w:spacing w:line="240" w:lineRule="auto"/>
              <w:ind w:firstLine="0" w:firstLineChars="0"/>
              <w:rPr>
                <w:szCs w:val="21"/>
              </w:rPr>
            </w:pPr>
            <w:r>
              <w:rPr>
                <w:rFonts w:hint="eastAsia"/>
                <w:szCs w:val="21"/>
              </w:rPr>
              <w:t>1</w:t>
            </w:r>
          </w:p>
        </w:tc>
        <w:tc>
          <w:tcPr>
            <w:tcW w:w="440" w:type="pct"/>
            <w:vAlign w:val="center"/>
          </w:tcPr>
          <w:p w14:paraId="220BAA57">
            <w:pPr>
              <w:pStyle w:val="125"/>
              <w:spacing w:line="240" w:lineRule="auto"/>
              <w:ind w:firstLine="0" w:firstLineChars="0"/>
              <w:rPr>
                <w:szCs w:val="21"/>
              </w:rPr>
            </w:pPr>
            <w:r>
              <w:rPr>
                <w:rFonts w:hint="eastAsia"/>
                <w:szCs w:val="21"/>
              </w:rPr>
              <w:t>利旧</w:t>
            </w:r>
          </w:p>
        </w:tc>
      </w:tr>
      <w:tr w14:paraId="788B4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7D6841C">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7B97258C">
            <w:pPr>
              <w:pStyle w:val="125"/>
              <w:spacing w:line="240" w:lineRule="auto"/>
              <w:ind w:firstLine="0" w:firstLineChars="0"/>
              <w:rPr>
                <w:szCs w:val="21"/>
              </w:rPr>
            </w:pPr>
            <w:r>
              <w:rPr>
                <w:rFonts w:hint="eastAsia"/>
                <w:color w:val="000000"/>
                <w:szCs w:val="21"/>
              </w:rPr>
              <w:t>原煤高架卸料小车</w:t>
            </w:r>
          </w:p>
        </w:tc>
        <w:tc>
          <w:tcPr>
            <w:tcW w:w="2334" w:type="pct"/>
            <w:tcBorders>
              <w:left w:val="single" w:color="auto" w:sz="4" w:space="0"/>
            </w:tcBorders>
            <w:vAlign w:val="center"/>
          </w:tcPr>
          <w:p w14:paraId="708863F7">
            <w:pPr>
              <w:pStyle w:val="125"/>
              <w:spacing w:line="240" w:lineRule="auto"/>
              <w:ind w:firstLine="420"/>
              <w:rPr>
                <w:szCs w:val="21"/>
              </w:rPr>
            </w:pPr>
            <w:r>
              <w:rPr>
                <w:szCs w:val="21"/>
              </w:rPr>
              <w:t>N=11.5kW</w:t>
            </w:r>
          </w:p>
        </w:tc>
        <w:tc>
          <w:tcPr>
            <w:tcW w:w="440" w:type="pct"/>
            <w:vAlign w:val="center"/>
          </w:tcPr>
          <w:p w14:paraId="3B700187">
            <w:pPr>
              <w:pStyle w:val="125"/>
              <w:spacing w:line="240" w:lineRule="auto"/>
              <w:ind w:firstLine="0" w:firstLineChars="0"/>
              <w:rPr>
                <w:szCs w:val="21"/>
              </w:rPr>
            </w:pPr>
            <w:r>
              <w:rPr>
                <w:rFonts w:hint="eastAsia"/>
                <w:szCs w:val="21"/>
              </w:rPr>
              <w:t>1</w:t>
            </w:r>
          </w:p>
        </w:tc>
        <w:tc>
          <w:tcPr>
            <w:tcW w:w="440" w:type="pct"/>
            <w:vAlign w:val="center"/>
          </w:tcPr>
          <w:p w14:paraId="52F76931">
            <w:pPr>
              <w:pStyle w:val="125"/>
              <w:spacing w:line="240" w:lineRule="auto"/>
              <w:ind w:firstLine="0" w:firstLineChars="0"/>
              <w:rPr>
                <w:szCs w:val="21"/>
              </w:rPr>
            </w:pPr>
          </w:p>
        </w:tc>
      </w:tr>
      <w:tr w14:paraId="2AE7B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2E6D601">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3CACAD92">
            <w:pPr>
              <w:pStyle w:val="125"/>
              <w:spacing w:line="240" w:lineRule="auto"/>
              <w:ind w:firstLine="0" w:firstLineChars="0"/>
              <w:rPr>
                <w:szCs w:val="21"/>
              </w:rPr>
            </w:pPr>
            <w:r>
              <w:rPr>
                <w:rFonts w:hint="eastAsia"/>
                <w:color w:val="000000"/>
                <w:szCs w:val="21"/>
              </w:rPr>
              <w:t>炉顶布料小车</w:t>
            </w:r>
          </w:p>
        </w:tc>
        <w:tc>
          <w:tcPr>
            <w:tcW w:w="2334" w:type="pct"/>
            <w:tcBorders>
              <w:left w:val="single" w:color="auto" w:sz="4" w:space="0"/>
            </w:tcBorders>
            <w:vAlign w:val="center"/>
          </w:tcPr>
          <w:p w14:paraId="478B7F46">
            <w:pPr>
              <w:pStyle w:val="125"/>
              <w:spacing w:line="240" w:lineRule="auto"/>
              <w:ind w:firstLine="420"/>
              <w:rPr>
                <w:szCs w:val="21"/>
              </w:rPr>
            </w:pPr>
            <w:r>
              <w:rPr>
                <w:szCs w:val="21"/>
              </w:rPr>
              <w:t>N=11.5kW</w:t>
            </w:r>
          </w:p>
        </w:tc>
        <w:tc>
          <w:tcPr>
            <w:tcW w:w="440" w:type="pct"/>
            <w:vAlign w:val="center"/>
          </w:tcPr>
          <w:p w14:paraId="4D9E73F9">
            <w:pPr>
              <w:pStyle w:val="125"/>
              <w:spacing w:line="240" w:lineRule="auto"/>
              <w:ind w:firstLine="0" w:firstLineChars="0"/>
              <w:rPr>
                <w:szCs w:val="21"/>
              </w:rPr>
            </w:pPr>
            <w:r>
              <w:rPr>
                <w:rFonts w:hint="eastAsia"/>
                <w:szCs w:val="21"/>
              </w:rPr>
              <w:t>1</w:t>
            </w:r>
          </w:p>
        </w:tc>
        <w:tc>
          <w:tcPr>
            <w:tcW w:w="440" w:type="pct"/>
            <w:vAlign w:val="center"/>
          </w:tcPr>
          <w:p w14:paraId="52D4059A">
            <w:pPr>
              <w:pStyle w:val="125"/>
              <w:spacing w:line="240" w:lineRule="auto"/>
              <w:ind w:firstLine="0" w:firstLineChars="0"/>
              <w:rPr>
                <w:szCs w:val="21"/>
              </w:rPr>
            </w:pPr>
          </w:p>
        </w:tc>
      </w:tr>
      <w:tr w14:paraId="30F12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7A035EB">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78413908">
            <w:pPr>
              <w:pStyle w:val="125"/>
              <w:spacing w:line="240" w:lineRule="auto"/>
              <w:ind w:firstLine="0" w:firstLineChars="0"/>
              <w:rPr>
                <w:szCs w:val="21"/>
              </w:rPr>
            </w:pPr>
            <w:r>
              <w:rPr>
                <w:rFonts w:hint="eastAsia"/>
                <w:color w:val="000000"/>
                <w:szCs w:val="21"/>
              </w:rPr>
              <w:t>破碎除尘器</w:t>
            </w:r>
          </w:p>
        </w:tc>
        <w:tc>
          <w:tcPr>
            <w:tcW w:w="2334" w:type="pct"/>
            <w:tcBorders>
              <w:left w:val="single" w:color="auto" w:sz="4" w:space="0"/>
            </w:tcBorders>
            <w:vAlign w:val="center"/>
          </w:tcPr>
          <w:p w14:paraId="7935DEBD">
            <w:pPr>
              <w:pStyle w:val="125"/>
              <w:spacing w:line="240" w:lineRule="auto"/>
              <w:ind w:firstLine="420"/>
              <w:rPr>
                <w:szCs w:val="21"/>
              </w:rPr>
            </w:pPr>
            <w:r>
              <w:rPr>
                <w:rFonts w:hint="eastAsia"/>
                <w:szCs w:val="21"/>
              </w:rPr>
              <w:t>处理风量</w:t>
            </w:r>
            <w:r>
              <w:rPr>
                <w:szCs w:val="21"/>
              </w:rPr>
              <w:t>Q=50000m³/h</w:t>
            </w:r>
            <w:r>
              <w:rPr>
                <w:rFonts w:hint="eastAsia"/>
                <w:szCs w:val="21"/>
              </w:rPr>
              <w:t>，过滤面积</w:t>
            </w:r>
            <w:r>
              <w:rPr>
                <w:szCs w:val="21"/>
              </w:rPr>
              <w:t>S=1010m²</w:t>
            </w:r>
            <w:r>
              <w:rPr>
                <w:rFonts w:hint="eastAsia"/>
                <w:szCs w:val="21"/>
              </w:rPr>
              <w:t>，过滤风速</w:t>
            </w:r>
            <w:r>
              <w:rPr>
                <w:szCs w:val="21"/>
              </w:rPr>
              <w:t>V=0.83m/min</w:t>
            </w:r>
          </w:p>
        </w:tc>
        <w:tc>
          <w:tcPr>
            <w:tcW w:w="440" w:type="pct"/>
            <w:vAlign w:val="center"/>
          </w:tcPr>
          <w:p w14:paraId="22AEFC29">
            <w:pPr>
              <w:pStyle w:val="125"/>
              <w:spacing w:line="240" w:lineRule="auto"/>
              <w:ind w:firstLine="0" w:firstLineChars="0"/>
              <w:rPr>
                <w:szCs w:val="21"/>
              </w:rPr>
            </w:pPr>
            <w:r>
              <w:rPr>
                <w:rFonts w:hint="eastAsia"/>
                <w:szCs w:val="21"/>
              </w:rPr>
              <w:t>1</w:t>
            </w:r>
          </w:p>
        </w:tc>
        <w:tc>
          <w:tcPr>
            <w:tcW w:w="440" w:type="pct"/>
            <w:vAlign w:val="center"/>
          </w:tcPr>
          <w:p w14:paraId="2E0C8258">
            <w:pPr>
              <w:pStyle w:val="125"/>
              <w:spacing w:line="240" w:lineRule="auto"/>
              <w:ind w:firstLine="0" w:firstLineChars="0"/>
              <w:rPr>
                <w:szCs w:val="21"/>
                <w:highlight w:val="yellow"/>
              </w:rPr>
            </w:pPr>
          </w:p>
        </w:tc>
      </w:tr>
      <w:tr w14:paraId="22EB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2F8FF2BB">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405FBA90">
            <w:pPr>
              <w:pStyle w:val="125"/>
              <w:spacing w:line="240" w:lineRule="auto"/>
              <w:ind w:firstLine="0" w:firstLineChars="0"/>
              <w:rPr>
                <w:szCs w:val="21"/>
              </w:rPr>
            </w:pPr>
            <w:r>
              <w:rPr>
                <w:rFonts w:hint="eastAsia"/>
                <w:color w:val="000000"/>
                <w:szCs w:val="21"/>
              </w:rPr>
              <w:t>破碎车间除尘风机</w:t>
            </w:r>
          </w:p>
        </w:tc>
        <w:tc>
          <w:tcPr>
            <w:tcW w:w="2334" w:type="pct"/>
            <w:tcBorders>
              <w:left w:val="single" w:color="auto" w:sz="4" w:space="0"/>
            </w:tcBorders>
            <w:vAlign w:val="center"/>
          </w:tcPr>
          <w:p w14:paraId="3384FCDB">
            <w:pPr>
              <w:pStyle w:val="125"/>
              <w:spacing w:line="240" w:lineRule="auto"/>
              <w:ind w:firstLine="420"/>
              <w:rPr>
                <w:szCs w:val="21"/>
              </w:rPr>
            </w:pPr>
            <w:r>
              <w:rPr>
                <w:szCs w:val="21"/>
              </w:rPr>
              <w:t>Q=50000m³/h</w:t>
            </w:r>
            <w:r>
              <w:rPr>
                <w:rFonts w:hint="eastAsia"/>
                <w:szCs w:val="21"/>
              </w:rPr>
              <w:t xml:space="preserve">, </w:t>
            </w:r>
            <w:r>
              <w:rPr>
                <w:szCs w:val="21"/>
              </w:rPr>
              <w:t>P=132kW</w:t>
            </w:r>
          </w:p>
        </w:tc>
        <w:tc>
          <w:tcPr>
            <w:tcW w:w="440" w:type="pct"/>
            <w:vAlign w:val="center"/>
          </w:tcPr>
          <w:p w14:paraId="0FE52F89">
            <w:pPr>
              <w:pStyle w:val="125"/>
              <w:spacing w:line="240" w:lineRule="auto"/>
              <w:ind w:firstLine="0" w:firstLineChars="0"/>
              <w:rPr>
                <w:szCs w:val="21"/>
              </w:rPr>
            </w:pPr>
            <w:r>
              <w:rPr>
                <w:rFonts w:hint="eastAsia"/>
                <w:szCs w:val="21"/>
              </w:rPr>
              <w:t>1</w:t>
            </w:r>
          </w:p>
        </w:tc>
        <w:tc>
          <w:tcPr>
            <w:tcW w:w="440" w:type="pct"/>
            <w:vAlign w:val="center"/>
          </w:tcPr>
          <w:p w14:paraId="665D434E">
            <w:pPr>
              <w:pStyle w:val="125"/>
              <w:spacing w:line="240" w:lineRule="auto"/>
              <w:ind w:firstLine="0" w:firstLineChars="0"/>
              <w:rPr>
                <w:szCs w:val="21"/>
              </w:rPr>
            </w:pPr>
          </w:p>
        </w:tc>
      </w:tr>
      <w:tr w14:paraId="724C6A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FB41B4D">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4B883D3A">
            <w:pPr>
              <w:pStyle w:val="125"/>
              <w:spacing w:line="240" w:lineRule="auto"/>
              <w:ind w:firstLine="0" w:firstLineChars="0"/>
              <w:rPr>
                <w:szCs w:val="21"/>
              </w:rPr>
            </w:pPr>
            <w:r>
              <w:rPr>
                <w:rFonts w:hint="eastAsia"/>
                <w:color w:val="000000"/>
                <w:szCs w:val="21"/>
              </w:rPr>
              <w:t>双齿辊破碎机</w:t>
            </w:r>
          </w:p>
        </w:tc>
        <w:tc>
          <w:tcPr>
            <w:tcW w:w="2334" w:type="pct"/>
            <w:tcBorders>
              <w:left w:val="single" w:color="auto" w:sz="4" w:space="0"/>
            </w:tcBorders>
            <w:vAlign w:val="center"/>
          </w:tcPr>
          <w:p w14:paraId="44A1B542">
            <w:pPr>
              <w:pStyle w:val="125"/>
              <w:spacing w:line="240" w:lineRule="auto"/>
              <w:ind w:firstLine="420"/>
              <w:rPr>
                <w:szCs w:val="21"/>
              </w:rPr>
            </w:pPr>
            <w:r>
              <w:rPr>
                <w:rFonts w:hint="eastAsia"/>
                <w:szCs w:val="21"/>
              </w:rPr>
              <w:t>最大输送量</w:t>
            </w:r>
            <w:r>
              <w:rPr>
                <w:szCs w:val="21"/>
              </w:rPr>
              <w:t>1200t/h</w:t>
            </w:r>
          </w:p>
        </w:tc>
        <w:tc>
          <w:tcPr>
            <w:tcW w:w="440" w:type="pct"/>
            <w:vAlign w:val="center"/>
          </w:tcPr>
          <w:p w14:paraId="0AB380FE">
            <w:pPr>
              <w:pStyle w:val="125"/>
              <w:spacing w:line="240" w:lineRule="auto"/>
              <w:ind w:firstLine="0" w:firstLineChars="0"/>
              <w:rPr>
                <w:szCs w:val="21"/>
              </w:rPr>
            </w:pPr>
            <w:r>
              <w:rPr>
                <w:rFonts w:hint="eastAsia"/>
                <w:szCs w:val="21"/>
              </w:rPr>
              <w:t>1</w:t>
            </w:r>
          </w:p>
        </w:tc>
        <w:tc>
          <w:tcPr>
            <w:tcW w:w="440" w:type="pct"/>
            <w:vAlign w:val="center"/>
          </w:tcPr>
          <w:p w14:paraId="236845D9">
            <w:pPr>
              <w:pStyle w:val="125"/>
              <w:spacing w:line="240" w:lineRule="auto"/>
              <w:ind w:firstLine="0" w:firstLineChars="0"/>
              <w:rPr>
                <w:szCs w:val="21"/>
              </w:rPr>
            </w:pPr>
          </w:p>
        </w:tc>
      </w:tr>
      <w:tr w14:paraId="4E0A0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8AA138F">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2FBD541B">
            <w:pPr>
              <w:pStyle w:val="125"/>
              <w:spacing w:line="240" w:lineRule="auto"/>
              <w:ind w:firstLine="0" w:firstLineChars="0"/>
              <w:rPr>
                <w:szCs w:val="21"/>
              </w:rPr>
            </w:pPr>
            <w:r>
              <w:rPr>
                <w:rFonts w:hint="eastAsia"/>
                <w:szCs w:val="21"/>
              </w:rPr>
              <w:t>沫-1输送带</w:t>
            </w:r>
          </w:p>
        </w:tc>
        <w:tc>
          <w:tcPr>
            <w:tcW w:w="2334" w:type="pct"/>
            <w:tcBorders>
              <w:left w:val="single" w:color="auto" w:sz="4" w:space="0"/>
            </w:tcBorders>
            <w:vAlign w:val="center"/>
          </w:tcPr>
          <w:p w14:paraId="0D504CBB">
            <w:pPr>
              <w:pStyle w:val="125"/>
              <w:spacing w:line="240" w:lineRule="auto"/>
              <w:ind w:firstLine="420"/>
              <w:rPr>
                <w:szCs w:val="21"/>
              </w:rPr>
            </w:pPr>
            <w:r>
              <w:rPr>
                <w:szCs w:val="21"/>
              </w:rPr>
              <w:t>B=1200</w:t>
            </w:r>
            <w:r>
              <w:rPr>
                <w:rFonts w:hint="eastAsia"/>
                <w:szCs w:val="21"/>
              </w:rPr>
              <w:t>，最大输送量</w:t>
            </w:r>
            <w:r>
              <w:rPr>
                <w:szCs w:val="21"/>
              </w:rPr>
              <w:t>891t/h</w:t>
            </w:r>
          </w:p>
        </w:tc>
        <w:tc>
          <w:tcPr>
            <w:tcW w:w="440" w:type="pct"/>
            <w:vAlign w:val="center"/>
          </w:tcPr>
          <w:p w14:paraId="5C9C48E5">
            <w:pPr>
              <w:pStyle w:val="125"/>
              <w:spacing w:line="240" w:lineRule="auto"/>
              <w:ind w:firstLine="0" w:firstLineChars="0"/>
              <w:rPr>
                <w:szCs w:val="21"/>
              </w:rPr>
            </w:pPr>
            <w:r>
              <w:rPr>
                <w:rFonts w:hint="eastAsia"/>
                <w:szCs w:val="21"/>
              </w:rPr>
              <w:t>1</w:t>
            </w:r>
          </w:p>
        </w:tc>
        <w:tc>
          <w:tcPr>
            <w:tcW w:w="440" w:type="pct"/>
            <w:vAlign w:val="center"/>
          </w:tcPr>
          <w:p w14:paraId="72A56469">
            <w:pPr>
              <w:pStyle w:val="125"/>
              <w:spacing w:line="240" w:lineRule="auto"/>
              <w:ind w:firstLine="0" w:firstLineChars="0"/>
              <w:rPr>
                <w:szCs w:val="21"/>
              </w:rPr>
            </w:pPr>
          </w:p>
        </w:tc>
      </w:tr>
      <w:tr w14:paraId="2FB951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2B79CF0">
            <w:pPr>
              <w:pStyle w:val="125"/>
              <w:numPr>
                <w:ilvl w:val="0"/>
                <w:numId w:val="16"/>
              </w:numPr>
              <w:spacing w:line="240" w:lineRule="auto"/>
              <w:ind w:firstLineChars="0"/>
              <w:rPr>
                <w:szCs w:val="21"/>
              </w:rPr>
            </w:pPr>
          </w:p>
        </w:tc>
        <w:tc>
          <w:tcPr>
            <w:tcW w:w="1271" w:type="pct"/>
            <w:tcBorders>
              <w:right w:val="single" w:color="auto" w:sz="4" w:space="0"/>
            </w:tcBorders>
            <w:vAlign w:val="center"/>
          </w:tcPr>
          <w:p w14:paraId="090C898B">
            <w:pPr>
              <w:pStyle w:val="125"/>
              <w:spacing w:line="240" w:lineRule="auto"/>
              <w:ind w:firstLine="0" w:firstLineChars="0"/>
              <w:rPr>
                <w:szCs w:val="21"/>
              </w:rPr>
            </w:pPr>
            <w:r>
              <w:rPr>
                <w:rFonts w:hint="eastAsia"/>
                <w:szCs w:val="21"/>
              </w:rPr>
              <w:t>沫煤高架卸料小车</w:t>
            </w:r>
          </w:p>
        </w:tc>
        <w:tc>
          <w:tcPr>
            <w:tcW w:w="2334" w:type="pct"/>
            <w:tcBorders>
              <w:left w:val="single" w:color="auto" w:sz="4" w:space="0"/>
            </w:tcBorders>
            <w:vAlign w:val="center"/>
          </w:tcPr>
          <w:p w14:paraId="410551C4">
            <w:pPr>
              <w:pStyle w:val="125"/>
              <w:spacing w:line="240" w:lineRule="auto"/>
              <w:ind w:firstLine="420"/>
              <w:rPr>
                <w:szCs w:val="21"/>
              </w:rPr>
            </w:pPr>
            <w:r>
              <w:rPr>
                <w:szCs w:val="21"/>
              </w:rPr>
              <w:t>N=11.5kW</w:t>
            </w:r>
          </w:p>
        </w:tc>
        <w:tc>
          <w:tcPr>
            <w:tcW w:w="440" w:type="pct"/>
            <w:vAlign w:val="center"/>
          </w:tcPr>
          <w:p w14:paraId="041EB5DB">
            <w:pPr>
              <w:pStyle w:val="125"/>
              <w:spacing w:line="240" w:lineRule="auto"/>
              <w:ind w:firstLine="0" w:firstLineChars="0"/>
              <w:rPr>
                <w:szCs w:val="21"/>
              </w:rPr>
            </w:pPr>
            <w:r>
              <w:rPr>
                <w:rFonts w:hint="eastAsia"/>
                <w:szCs w:val="21"/>
              </w:rPr>
              <w:t>1</w:t>
            </w:r>
          </w:p>
        </w:tc>
        <w:tc>
          <w:tcPr>
            <w:tcW w:w="440" w:type="pct"/>
            <w:tcBorders>
              <w:right w:val="single" w:color="auto" w:sz="4" w:space="0"/>
            </w:tcBorders>
            <w:vAlign w:val="center"/>
          </w:tcPr>
          <w:p w14:paraId="29334A62">
            <w:pPr>
              <w:pStyle w:val="125"/>
              <w:spacing w:line="240" w:lineRule="auto"/>
              <w:ind w:firstLine="0" w:firstLineChars="0"/>
              <w:rPr>
                <w:szCs w:val="21"/>
              </w:rPr>
            </w:pPr>
          </w:p>
        </w:tc>
      </w:tr>
      <w:tr w14:paraId="026EE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3762C99">
            <w:pPr>
              <w:pStyle w:val="125"/>
              <w:spacing w:line="240" w:lineRule="auto"/>
              <w:ind w:firstLine="0" w:firstLineChars="0"/>
              <w:rPr>
                <w:szCs w:val="21"/>
              </w:rPr>
            </w:pPr>
            <w:r>
              <w:rPr>
                <w:rFonts w:hint="eastAsia"/>
                <w:szCs w:val="21"/>
              </w:rPr>
              <w:t>二</w:t>
            </w:r>
          </w:p>
        </w:tc>
        <w:tc>
          <w:tcPr>
            <w:tcW w:w="4485" w:type="pct"/>
            <w:gridSpan w:val="4"/>
            <w:tcBorders>
              <w:right w:val="single" w:color="auto" w:sz="4" w:space="0"/>
            </w:tcBorders>
            <w:vAlign w:val="center"/>
          </w:tcPr>
          <w:p w14:paraId="1799CD8A">
            <w:pPr>
              <w:pStyle w:val="125"/>
              <w:spacing w:line="240" w:lineRule="auto"/>
              <w:ind w:firstLine="0" w:firstLineChars="0"/>
              <w:rPr>
                <w:szCs w:val="21"/>
              </w:rPr>
            </w:pPr>
            <w:r>
              <w:rPr>
                <w:rFonts w:hint="eastAsia"/>
                <w:szCs w:val="21"/>
              </w:rPr>
              <w:t>炭化单元</w:t>
            </w:r>
          </w:p>
        </w:tc>
      </w:tr>
      <w:tr w14:paraId="3ECD6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3914FA6">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28A98BDE">
            <w:pPr>
              <w:pStyle w:val="125"/>
              <w:spacing w:line="240" w:lineRule="auto"/>
              <w:ind w:firstLine="0" w:firstLineChars="0"/>
              <w:rPr>
                <w:szCs w:val="21"/>
              </w:rPr>
            </w:pPr>
            <w:r>
              <w:rPr>
                <w:rFonts w:hint="eastAsia"/>
                <w:szCs w:val="21"/>
              </w:rPr>
              <w:t>1#炭化炉/2#炭化炉/3#炭化炉/4#炭化炉</w:t>
            </w:r>
          </w:p>
        </w:tc>
        <w:tc>
          <w:tcPr>
            <w:tcW w:w="2334" w:type="pct"/>
            <w:tcBorders>
              <w:left w:val="single" w:color="auto" w:sz="4" w:space="0"/>
            </w:tcBorders>
            <w:vAlign w:val="center"/>
          </w:tcPr>
          <w:p w14:paraId="0B679819">
            <w:pPr>
              <w:pStyle w:val="125"/>
              <w:spacing w:line="240" w:lineRule="auto"/>
              <w:ind w:firstLine="0" w:firstLineChars="0"/>
              <w:rPr>
                <w:szCs w:val="21"/>
              </w:rPr>
            </w:pPr>
            <w:r>
              <w:rPr>
                <w:color w:val="000000"/>
                <w:szCs w:val="21"/>
              </w:rPr>
              <w:t>15</w:t>
            </w:r>
            <w:r>
              <w:rPr>
                <w:rFonts w:hint="eastAsia"/>
                <w:color w:val="000000"/>
                <w:szCs w:val="21"/>
              </w:rPr>
              <w:t>万吨</w:t>
            </w:r>
          </w:p>
        </w:tc>
        <w:tc>
          <w:tcPr>
            <w:tcW w:w="440" w:type="pct"/>
            <w:vAlign w:val="center"/>
          </w:tcPr>
          <w:p w14:paraId="20429F65">
            <w:pPr>
              <w:pStyle w:val="125"/>
              <w:spacing w:line="240" w:lineRule="auto"/>
              <w:ind w:firstLine="0" w:firstLineChars="0"/>
              <w:rPr>
                <w:color w:val="000000"/>
                <w:szCs w:val="21"/>
              </w:rPr>
            </w:pPr>
            <w:r>
              <w:rPr>
                <w:color w:val="000000"/>
                <w:szCs w:val="21"/>
              </w:rPr>
              <w:t>4</w:t>
            </w:r>
          </w:p>
        </w:tc>
        <w:tc>
          <w:tcPr>
            <w:tcW w:w="440" w:type="pct"/>
            <w:tcBorders>
              <w:right w:val="single" w:color="auto" w:sz="4" w:space="0"/>
            </w:tcBorders>
            <w:vAlign w:val="center"/>
          </w:tcPr>
          <w:p w14:paraId="36E9B4E4">
            <w:pPr>
              <w:pStyle w:val="125"/>
              <w:spacing w:line="240" w:lineRule="auto"/>
              <w:ind w:firstLine="0" w:firstLineChars="0"/>
              <w:rPr>
                <w:szCs w:val="21"/>
              </w:rPr>
            </w:pPr>
          </w:p>
        </w:tc>
      </w:tr>
      <w:tr w14:paraId="54CC5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92C9A2E">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6F23BC76">
            <w:pPr>
              <w:pStyle w:val="125"/>
              <w:spacing w:line="240" w:lineRule="auto"/>
              <w:ind w:firstLine="0" w:firstLineChars="0"/>
              <w:rPr>
                <w:szCs w:val="21"/>
              </w:rPr>
            </w:pPr>
            <w:r>
              <w:rPr>
                <w:color w:val="000000"/>
                <w:szCs w:val="21"/>
              </w:rPr>
              <w:t>1#</w:t>
            </w:r>
            <w:r>
              <w:rPr>
                <w:rFonts w:hint="eastAsia"/>
                <w:color w:val="000000"/>
                <w:szCs w:val="21"/>
              </w:rPr>
              <w:t>炭化炉推焦机</w:t>
            </w:r>
            <w:r>
              <w:rPr>
                <w:color w:val="000000"/>
                <w:szCs w:val="21"/>
              </w:rPr>
              <w:t>A/B</w:t>
            </w:r>
          </w:p>
        </w:tc>
        <w:tc>
          <w:tcPr>
            <w:tcW w:w="2334" w:type="pct"/>
            <w:tcBorders>
              <w:left w:val="single" w:color="auto" w:sz="4" w:space="0"/>
            </w:tcBorders>
            <w:vAlign w:val="center"/>
          </w:tcPr>
          <w:p w14:paraId="4901EE55">
            <w:pPr>
              <w:pStyle w:val="125"/>
              <w:spacing w:line="240" w:lineRule="auto"/>
              <w:ind w:firstLine="0" w:firstLineChars="0"/>
              <w:rPr>
                <w:szCs w:val="21"/>
              </w:rPr>
            </w:pPr>
            <w:r>
              <w:rPr>
                <w:color w:val="000000"/>
                <w:szCs w:val="21"/>
              </w:rPr>
              <w:t>N=11kW</w:t>
            </w:r>
          </w:p>
        </w:tc>
        <w:tc>
          <w:tcPr>
            <w:tcW w:w="440" w:type="pct"/>
            <w:vAlign w:val="center"/>
          </w:tcPr>
          <w:p w14:paraId="6A210945">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106D8678">
            <w:pPr>
              <w:pStyle w:val="125"/>
              <w:spacing w:line="240" w:lineRule="auto"/>
              <w:ind w:firstLine="0" w:firstLineChars="0"/>
              <w:rPr>
                <w:szCs w:val="21"/>
              </w:rPr>
            </w:pPr>
          </w:p>
        </w:tc>
      </w:tr>
      <w:tr w14:paraId="62D5B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3EB3D1DE">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138705F2">
            <w:pPr>
              <w:pStyle w:val="125"/>
              <w:spacing w:line="240" w:lineRule="auto"/>
              <w:ind w:firstLine="0" w:firstLineChars="0"/>
              <w:rPr>
                <w:szCs w:val="21"/>
              </w:rPr>
            </w:pPr>
            <w:r>
              <w:rPr>
                <w:color w:val="000000"/>
                <w:szCs w:val="21"/>
              </w:rPr>
              <w:t>1#</w:t>
            </w:r>
            <w:r>
              <w:rPr>
                <w:rFonts w:hint="eastAsia"/>
                <w:color w:val="000000"/>
                <w:szCs w:val="21"/>
              </w:rPr>
              <w:t>炭化炉刮板机</w:t>
            </w:r>
            <w:r>
              <w:rPr>
                <w:color w:val="000000"/>
                <w:szCs w:val="21"/>
              </w:rPr>
              <w:t>A/B</w:t>
            </w:r>
          </w:p>
        </w:tc>
        <w:tc>
          <w:tcPr>
            <w:tcW w:w="2334" w:type="pct"/>
            <w:tcBorders>
              <w:left w:val="single" w:color="auto" w:sz="4" w:space="0"/>
            </w:tcBorders>
            <w:vAlign w:val="center"/>
          </w:tcPr>
          <w:p w14:paraId="3DFBD5A7">
            <w:pPr>
              <w:pStyle w:val="125"/>
              <w:spacing w:line="240" w:lineRule="auto"/>
              <w:ind w:firstLine="0" w:firstLineChars="0"/>
              <w:rPr>
                <w:szCs w:val="21"/>
              </w:rPr>
            </w:pPr>
            <w:r>
              <w:rPr>
                <w:color w:val="000000"/>
                <w:szCs w:val="21"/>
              </w:rPr>
              <w:t>N=38kW</w:t>
            </w:r>
          </w:p>
        </w:tc>
        <w:tc>
          <w:tcPr>
            <w:tcW w:w="440" w:type="pct"/>
            <w:vAlign w:val="center"/>
          </w:tcPr>
          <w:p w14:paraId="01403F1D">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18C1EE0A">
            <w:pPr>
              <w:pStyle w:val="125"/>
              <w:spacing w:line="240" w:lineRule="auto"/>
              <w:ind w:firstLine="0" w:firstLineChars="0"/>
              <w:rPr>
                <w:szCs w:val="21"/>
              </w:rPr>
            </w:pPr>
          </w:p>
        </w:tc>
      </w:tr>
      <w:tr w14:paraId="4D4FA0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3C381827">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4F036822">
            <w:pPr>
              <w:pStyle w:val="125"/>
              <w:spacing w:line="240" w:lineRule="auto"/>
              <w:ind w:firstLine="0" w:firstLineChars="0"/>
              <w:rPr>
                <w:szCs w:val="21"/>
              </w:rPr>
            </w:pPr>
            <w:r>
              <w:rPr>
                <w:color w:val="000000"/>
                <w:szCs w:val="21"/>
              </w:rPr>
              <w:t>2#</w:t>
            </w:r>
            <w:r>
              <w:rPr>
                <w:rFonts w:hint="eastAsia"/>
                <w:color w:val="000000"/>
                <w:szCs w:val="21"/>
              </w:rPr>
              <w:t>炭化炉推焦机</w:t>
            </w:r>
            <w:r>
              <w:rPr>
                <w:color w:val="000000"/>
                <w:szCs w:val="21"/>
              </w:rPr>
              <w:t>A/B</w:t>
            </w:r>
          </w:p>
        </w:tc>
        <w:tc>
          <w:tcPr>
            <w:tcW w:w="2334" w:type="pct"/>
            <w:tcBorders>
              <w:left w:val="single" w:color="auto" w:sz="4" w:space="0"/>
            </w:tcBorders>
            <w:vAlign w:val="center"/>
          </w:tcPr>
          <w:p w14:paraId="50BEC3A1">
            <w:pPr>
              <w:pStyle w:val="125"/>
              <w:spacing w:line="240" w:lineRule="auto"/>
              <w:ind w:firstLine="0" w:firstLineChars="0"/>
              <w:rPr>
                <w:szCs w:val="21"/>
              </w:rPr>
            </w:pPr>
            <w:r>
              <w:rPr>
                <w:color w:val="000000"/>
                <w:szCs w:val="21"/>
              </w:rPr>
              <w:t>N=11kW</w:t>
            </w:r>
          </w:p>
        </w:tc>
        <w:tc>
          <w:tcPr>
            <w:tcW w:w="440" w:type="pct"/>
            <w:vAlign w:val="center"/>
          </w:tcPr>
          <w:p w14:paraId="4163EB2E">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31420892">
            <w:pPr>
              <w:pStyle w:val="125"/>
              <w:spacing w:line="240" w:lineRule="auto"/>
              <w:ind w:firstLine="0" w:firstLineChars="0"/>
              <w:rPr>
                <w:szCs w:val="21"/>
              </w:rPr>
            </w:pPr>
          </w:p>
        </w:tc>
      </w:tr>
      <w:tr w14:paraId="4C46F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02BE0833">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4F4D3E94">
            <w:pPr>
              <w:pStyle w:val="125"/>
              <w:spacing w:line="240" w:lineRule="auto"/>
              <w:ind w:firstLine="0" w:firstLineChars="0"/>
              <w:rPr>
                <w:szCs w:val="21"/>
              </w:rPr>
            </w:pPr>
            <w:r>
              <w:rPr>
                <w:color w:val="000000"/>
                <w:szCs w:val="21"/>
              </w:rPr>
              <w:t>2#</w:t>
            </w:r>
            <w:r>
              <w:rPr>
                <w:rFonts w:hint="eastAsia"/>
                <w:color w:val="000000"/>
                <w:szCs w:val="21"/>
              </w:rPr>
              <w:t>炭化炉刮板机</w:t>
            </w:r>
            <w:r>
              <w:rPr>
                <w:color w:val="000000"/>
                <w:szCs w:val="21"/>
              </w:rPr>
              <w:t>A/B</w:t>
            </w:r>
          </w:p>
        </w:tc>
        <w:tc>
          <w:tcPr>
            <w:tcW w:w="2334" w:type="pct"/>
            <w:tcBorders>
              <w:left w:val="single" w:color="auto" w:sz="4" w:space="0"/>
            </w:tcBorders>
            <w:vAlign w:val="center"/>
          </w:tcPr>
          <w:p w14:paraId="61669A7E">
            <w:pPr>
              <w:pStyle w:val="125"/>
              <w:spacing w:line="240" w:lineRule="auto"/>
              <w:ind w:firstLine="0" w:firstLineChars="0"/>
              <w:rPr>
                <w:szCs w:val="21"/>
              </w:rPr>
            </w:pPr>
            <w:r>
              <w:rPr>
                <w:color w:val="000000"/>
                <w:szCs w:val="21"/>
              </w:rPr>
              <w:t>N=38kW</w:t>
            </w:r>
          </w:p>
        </w:tc>
        <w:tc>
          <w:tcPr>
            <w:tcW w:w="440" w:type="pct"/>
            <w:vAlign w:val="center"/>
          </w:tcPr>
          <w:p w14:paraId="3841C5BD">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4E4BC810">
            <w:pPr>
              <w:pStyle w:val="125"/>
              <w:spacing w:line="240" w:lineRule="auto"/>
              <w:ind w:firstLine="0" w:firstLineChars="0"/>
              <w:rPr>
                <w:szCs w:val="21"/>
              </w:rPr>
            </w:pPr>
          </w:p>
        </w:tc>
      </w:tr>
      <w:tr w14:paraId="3D437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97C28F5">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0B3C1BB2">
            <w:pPr>
              <w:pStyle w:val="125"/>
              <w:spacing w:line="240" w:lineRule="auto"/>
              <w:ind w:firstLine="0" w:firstLineChars="0"/>
              <w:rPr>
                <w:szCs w:val="21"/>
              </w:rPr>
            </w:pPr>
            <w:r>
              <w:rPr>
                <w:color w:val="000000"/>
                <w:szCs w:val="21"/>
              </w:rPr>
              <w:t>3#</w:t>
            </w:r>
            <w:r>
              <w:rPr>
                <w:rFonts w:hint="eastAsia"/>
                <w:color w:val="000000"/>
                <w:szCs w:val="21"/>
              </w:rPr>
              <w:t>炭化炉推焦机</w:t>
            </w:r>
            <w:r>
              <w:rPr>
                <w:color w:val="000000"/>
                <w:szCs w:val="21"/>
              </w:rPr>
              <w:t>A/B</w:t>
            </w:r>
          </w:p>
        </w:tc>
        <w:tc>
          <w:tcPr>
            <w:tcW w:w="2334" w:type="pct"/>
            <w:tcBorders>
              <w:left w:val="single" w:color="auto" w:sz="4" w:space="0"/>
            </w:tcBorders>
            <w:vAlign w:val="center"/>
          </w:tcPr>
          <w:p w14:paraId="1BFF233B">
            <w:pPr>
              <w:pStyle w:val="125"/>
              <w:spacing w:line="240" w:lineRule="auto"/>
              <w:ind w:firstLine="0" w:firstLineChars="0"/>
              <w:rPr>
                <w:szCs w:val="21"/>
              </w:rPr>
            </w:pPr>
            <w:r>
              <w:rPr>
                <w:color w:val="000000"/>
                <w:szCs w:val="21"/>
              </w:rPr>
              <w:t>N=11kW</w:t>
            </w:r>
          </w:p>
        </w:tc>
        <w:tc>
          <w:tcPr>
            <w:tcW w:w="440" w:type="pct"/>
            <w:vAlign w:val="center"/>
          </w:tcPr>
          <w:p w14:paraId="25F73E51">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191E5F87">
            <w:pPr>
              <w:pStyle w:val="125"/>
              <w:spacing w:line="240" w:lineRule="auto"/>
              <w:ind w:firstLine="0" w:firstLineChars="0"/>
              <w:rPr>
                <w:szCs w:val="21"/>
              </w:rPr>
            </w:pPr>
          </w:p>
        </w:tc>
      </w:tr>
      <w:tr w14:paraId="7DC09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03B836B">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662D7B35">
            <w:pPr>
              <w:pStyle w:val="125"/>
              <w:spacing w:line="240" w:lineRule="auto"/>
              <w:ind w:firstLine="0" w:firstLineChars="0"/>
              <w:rPr>
                <w:szCs w:val="21"/>
              </w:rPr>
            </w:pPr>
            <w:r>
              <w:rPr>
                <w:color w:val="000000"/>
                <w:szCs w:val="21"/>
              </w:rPr>
              <w:t>3#</w:t>
            </w:r>
            <w:r>
              <w:rPr>
                <w:rFonts w:hint="eastAsia"/>
                <w:color w:val="000000"/>
                <w:szCs w:val="21"/>
              </w:rPr>
              <w:t>炭化炉刮板机</w:t>
            </w:r>
            <w:r>
              <w:rPr>
                <w:color w:val="000000"/>
                <w:szCs w:val="21"/>
              </w:rPr>
              <w:t>A/B</w:t>
            </w:r>
          </w:p>
        </w:tc>
        <w:tc>
          <w:tcPr>
            <w:tcW w:w="2334" w:type="pct"/>
            <w:tcBorders>
              <w:left w:val="single" w:color="auto" w:sz="4" w:space="0"/>
            </w:tcBorders>
            <w:vAlign w:val="center"/>
          </w:tcPr>
          <w:p w14:paraId="79DC8A33">
            <w:pPr>
              <w:pStyle w:val="125"/>
              <w:spacing w:line="240" w:lineRule="auto"/>
              <w:ind w:firstLine="0" w:firstLineChars="0"/>
              <w:rPr>
                <w:szCs w:val="21"/>
              </w:rPr>
            </w:pPr>
            <w:r>
              <w:rPr>
                <w:color w:val="000000"/>
                <w:szCs w:val="21"/>
              </w:rPr>
              <w:t>N=38kW</w:t>
            </w:r>
          </w:p>
        </w:tc>
        <w:tc>
          <w:tcPr>
            <w:tcW w:w="440" w:type="pct"/>
            <w:vAlign w:val="center"/>
          </w:tcPr>
          <w:p w14:paraId="1CAEC097">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771F1048">
            <w:pPr>
              <w:pStyle w:val="125"/>
              <w:spacing w:line="240" w:lineRule="auto"/>
              <w:ind w:firstLine="0" w:firstLineChars="0"/>
              <w:rPr>
                <w:szCs w:val="21"/>
              </w:rPr>
            </w:pPr>
          </w:p>
        </w:tc>
      </w:tr>
      <w:tr w14:paraId="0C2244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0CEEE84">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7DA11E62">
            <w:pPr>
              <w:pStyle w:val="125"/>
              <w:spacing w:line="240" w:lineRule="auto"/>
              <w:ind w:firstLine="0" w:firstLineChars="0"/>
              <w:rPr>
                <w:szCs w:val="21"/>
              </w:rPr>
            </w:pPr>
            <w:r>
              <w:rPr>
                <w:color w:val="000000"/>
                <w:szCs w:val="21"/>
              </w:rPr>
              <w:t>4#</w:t>
            </w:r>
            <w:r>
              <w:rPr>
                <w:rFonts w:hint="eastAsia"/>
                <w:color w:val="000000"/>
                <w:szCs w:val="21"/>
              </w:rPr>
              <w:t>炭化炉推焦机</w:t>
            </w:r>
            <w:r>
              <w:rPr>
                <w:color w:val="000000"/>
                <w:szCs w:val="21"/>
              </w:rPr>
              <w:t>A/B</w:t>
            </w:r>
          </w:p>
        </w:tc>
        <w:tc>
          <w:tcPr>
            <w:tcW w:w="2334" w:type="pct"/>
            <w:tcBorders>
              <w:left w:val="single" w:color="auto" w:sz="4" w:space="0"/>
            </w:tcBorders>
            <w:vAlign w:val="center"/>
          </w:tcPr>
          <w:p w14:paraId="29178D0A">
            <w:pPr>
              <w:pStyle w:val="125"/>
              <w:spacing w:line="240" w:lineRule="auto"/>
              <w:ind w:firstLine="0" w:firstLineChars="0"/>
              <w:rPr>
                <w:szCs w:val="21"/>
              </w:rPr>
            </w:pPr>
            <w:r>
              <w:rPr>
                <w:color w:val="000000"/>
                <w:szCs w:val="21"/>
              </w:rPr>
              <w:t>N=11kW</w:t>
            </w:r>
          </w:p>
        </w:tc>
        <w:tc>
          <w:tcPr>
            <w:tcW w:w="440" w:type="pct"/>
            <w:vAlign w:val="center"/>
          </w:tcPr>
          <w:p w14:paraId="078A80CB">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677B9C26">
            <w:pPr>
              <w:pStyle w:val="125"/>
              <w:spacing w:line="240" w:lineRule="auto"/>
              <w:ind w:firstLine="0" w:firstLineChars="0"/>
              <w:rPr>
                <w:szCs w:val="21"/>
              </w:rPr>
            </w:pPr>
          </w:p>
        </w:tc>
      </w:tr>
      <w:tr w14:paraId="35342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9B1B01D">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50BE0766">
            <w:pPr>
              <w:pStyle w:val="125"/>
              <w:spacing w:line="240" w:lineRule="auto"/>
              <w:ind w:firstLine="0" w:firstLineChars="0"/>
              <w:rPr>
                <w:szCs w:val="21"/>
              </w:rPr>
            </w:pPr>
            <w:r>
              <w:rPr>
                <w:color w:val="000000"/>
                <w:szCs w:val="21"/>
              </w:rPr>
              <w:t>4#</w:t>
            </w:r>
            <w:r>
              <w:rPr>
                <w:rFonts w:hint="eastAsia"/>
                <w:color w:val="000000"/>
                <w:szCs w:val="21"/>
              </w:rPr>
              <w:t>炭化炉刮板机</w:t>
            </w:r>
            <w:r>
              <w:rPr>
                <w:color w:val="000000"/>
                <w:szCs w:val="21"/>
              </w:rPr>
              <w:t>A/B</w:t>
            </w:r>
          </w:p>
        </w:tc>
        <w:tc>
          <w:tcPr>
            <w:tcW w:w="2334" w:type="pct"/>
            <w:tcBorders>
              <w:left w:val="single" w:color="auto" w:sz="4" w:space="0"/>
            </w:tcBorders>
            <w:vAlign w:val="center"/>
          </w:tcPr>
          <w:p w14:paraId="252EBD1B">
            <w:pPr>
              <w:pStyle w:val="125"/>
              <w:spacing w:line="240" w:lineRule="auto"/>
              <w:ind w:firstLine="0" w:firstLineChars="0"/>
              <w:rPr>
                <w:szCs w:val="21"/>
              </w:rPr>
            </w:pPr>
            <w:r>
              <w:rPr>
                <w:color w:val="000000"/>
                <w:szCs w:val="21"/>
              </w:rPr>
              <w:t>N=38kW</w:t>
            </w:r>
          </w:p>
        </w:tc>
        <w:tc>
          <w:tcPr>
            <w:tcW w:w="440" w:type="pct"/>
            <w:vAlign w:val="center"/>
          </w:tcPr>
          <w:p w14:paraId="0D19819D">
            <w:pPr>
              <w:pStyle w:val="125"/>
              <w:spacing w:line="240" w:lineRule="auto"/>
              <w:ind w:firstLine="0" w:firstLineChars="0"/>
              <w:rPr>
                <w:color w:val="000000"/>
                <w:szCs w:val="21"/>
              </w:rPr>
            </w:pPr>
            <w:r>
              <w:rPr>
                <w:color w:val="000000"/>
                <w:szCs w:val="21"/>
              </w:rPr>
              <w:t>2</w:t>
            </w:r>
          </w:p>
        </w:tc>
        <w:tc>
          <w:tcPr>
            <w:tcW w:w="440" w:type="pct"/>
            <w:tcBorders>
              <w:right w:val="single" w:color="auto" w:sz="4" w:space="0"/>
            </w:tcBorders>
            <w:vAlign w:val="center"/>
          </w:tcPr>
          <w:p w14:paraId="268E1E7B">
            <w:pPr>
              <w:pStyle w:val="125"/>
              <w:spacing w:line="240" w:lineRule="auto"/>
              <w:ind w:firstLine="0" w:firstLineChars="0"/>
              <w:rPr>
                <w:szCs w:val="21"/>
              </w:rPr>
            </w:pPr>
          </w:p>
        </w:tc>
      </w:tr>
      <w:tr w14:paraId="5E0B5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2C123190">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51042C04">
            <w:pPr>
              <w:pStyle w:val="125"/>
              <w:spacing w:line="240" w:lineRule="auto"/>
              <w:ind w:firstLine="0" w:firstLineChars="0"/>
              <w:rPr>
                <w:szCs w:val="21"/>
              </w:rPr>
            </w:pPr>
            <w:r>
              <w:rPr>
                <w:color w:val="000000"/>
                <w:szCs w:val="21"/>
              </w:rPr>
              <w:t>1#</w:t>
            </w:r>
            <w:r>
              <w:rPr>
                <w:rFonts w:hint="eastAsia"/>
                <w:color w:val="000000"/>
                <w:szCs w:val="21"/>
              </w:rPr>
              <w:t>炉顶可逆皮带</w:t>
            </w:r>
          </w:p>
        </w:tc>
        <w:tc>
          <w:tcPr>
            <w:tcW w:w="2334" w:type="pct"/>
            <w:tcBorders>
              <w:left w:val="single" w:color="auto" w:sz="4" w:space="0"/>
            </w:tcBorders>
            <w:vAlign w:val="center"/>
          </w:tcPr>
          <w:p w14:paraId="281972F7">
            <w:pPr>
              <w:pStyle w:val="125"/>
              <w:spacing w:line="240" w:lineRule="auto"/>
              <w:ind w:firstLine="0" w:firstLineChars="0"/>
              <w:rPr>
                <w:szCs w:val="21"/>
              </w:rPr>
            </w:pPr>
            <w:r>
              <w:rPr>
                <w:szCs w:val="21"/>
              </w:rPr>
              <w:t>B=1000</w:t>
            </w:r>
            <w:r>
              <w:rPr>
                <w:rFonts w:hint="eastAsia"/>
                <w:szCs w:val="21"/>
              </w:rPr>
              <w:t>，最大输送量</w:t>
            </w:r>
            <w:r>
              <w:rPr>
                <w:szCs w:val="21"/>
              </w:rPr>
              <w:t>608t/h</w:t>
            </w:r>
          </w:p>
        </w:tc>
        <w:tc>
          <w:tcPr>
            <w:tcW w:w="440" w:type="pct"/>
            <w:vAlign w:val="center"/>
          </w:tcPr>
          <w:p w14:paraId="735C3B94">
            <w:pPr>
              <w:pStyle w:val="125"/>
              <w:spacing w:line="240" w:lineRule="auto"/>
              <w:ind w:firstLine="0" w:firstLineChars="0"/>
              <w:rPr>
                <w:color w:val="000000"/>
                <w:szCs w:val="21"/>
              </w:rPr>
            </w:pPr>
            <w:r>
              <w:rPr>
                <w:color w:val="000000"/>
                <w:szCs w:val="21"/>
              </w:rPr>
              <w:t>1</w:t>
            </w:r>
          </w:p>
        </w:tc>
        <w:tc>
          <w:tcPr>
            <w:tcW w:w="440" w:type="pct"/>
            <w:tcBorders>
              <w:right w:val="single" w:color="auto" w:sz="4" w:space="0"/>
            </w:tcBorders>
            <w:vAlign w:val="center"/>
          </w:tcPr>
          <w:p w14:paraId="34669267">
            <w:pPr>
              <w:pStyle w:val="125"/>
              <w:spacing w:line="240" w:lineRule="auto"/>
              <w:ind w:firstLine="0" w:firstLineChars="0"/>
              <w:rPr>
                <w:szCs w:val="21"/>
              </w:rPr>
            </w:pPr>
          </w:p>
        </w:tc>
      </w:tr>
      <w:tr w14:paraId="269F2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48E50BF">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12BCB3A3">
            <w:pPr>
              <w:pStyle w:val="125"/>
              <w:spacing w:line="240" w:lineRule="auto"/>
              <w:ind w:firstLine="0" w:firstLineChars="0"/>
              <w:rPr>
                <w:szCs w:val="21"/>
              </w:rPr>
            </w:pPr>
            <w:r>
              <w:rPr>
                <w:color w:val="000000"/>
                <w:szCs w:val="21"/>
              </w:rPr>
              <w:t>2#炉顶可逆皮带</w:t>
            </w:r>
          </w:p>
        </w:tc>
        <w:tc>
          <w:tcPr>
            <w:tcW w:w="2334" w:type="pct"/>
            <w:tcBorders>
              <w:left w:val="single" w:color="auto" w:sz="4" w:space="0"/>
            </w:tcBorders>
            <w:vAlign w:val="center"/>
          </w:tcPr>
          <w:p w14:paraId="6C443E9E">
            <w:pPr>
              <w:pStyle w:val="125"/>
              <w:spacing w:line="240" w:lineRule="auto"/>
              <w:ind w:firstLine="0" w:firstLineChars="0"/>
              <w:rPr>
                <w:szCs w:val="21"/>
              </w:rPr>
            </w:pPr>
            <w:r>
              <w:rPr>
                <w:szCs w:val="21"/>
              </w:rPr>
              <w:t>B=1000</w:t>
            </w:r>
            <w:r>
              <w:rPr>
                <w:rFonts w:hint="eastAsia"/>
                <w:szCs w:val="21"/>
              </w:rPr>
              <w:t>，最大输送量</w:t>
            </w:r>
            <w:r>
              <w:rPr>
                <w:szCs w:val="21"/>
              </w:rPr>
              <w:t>608t/h</w:t>
            </w:r>
          </w:p>
        </w:tc>
        <w:tc>
          <w:tcPr>
            <w:tcW w:w="440" w:type="pct"/>
            <w:vAlign w:val="center"/>
          </w:tcPr>
          <w:p w14:paraId="11231B67">
            <w:pPr>
              <w:pStyle w:val="125"/>
              <w:spacing w:line="240" w:lineRule="auto"/>
              <w:ind w:firstLine="0" w:firstLineChars="0"/>
              <w:rPr>
                <w:color w:val="000000"/>
                <w:szCs w:val="21"/>
              </w:rPr>
            </w:pPr>
            <w:r>
              <w:rPr>
                <w:color w:val="000000"/>
                <w:szCs w:val="21"/>
              </w:rPr>
              <w:t>1</w:t>
            </w:r>
          </w:p>
        </w:tc>
        <w:tc>
          <w:tcPr>
            <w:tcW w:w="440" w:type="pct"/>
            <w:tcBorders>
              <w:right w:val="single" w:color="auto" w:sz="4" w:space="0"/>
            </w:tcBorders>
            <w:vAlign w:val="center"/>
          </w:tcPr>
          <w:p w14:paraId="0ADEF665">
            <w:pPr>
              <w:pStyle w:val="125"/>
              <w:spacing w:line="240" w:lineRule="auto"/>
              <w:ind w:firstLine="0" w:firstLineChars="0"/>
              <w:rPr>
                <w:szCs w:val="21"/>
              </w:rPr>
            </w:pPr>
          </w:p>
        </w:tc>
      </w:tr>
      <w:tr w14:paraId="420C3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2D25C1D">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1B24A93E">
            <w:pPr>
              <w:pStyle w:val="125"/>
              <w:spacing w:line="240" w:lineRule="auto"/>
              <w:ind w:firstLine="0" w:firstLineChars="0"/>
              <w:rPr>
                <w:szCs w:val="21"/>
              </w:rPr>
            </w:pPr>
            <w:r>
              <w:rPr>
                <w:color w:val="000000"/>
                <w:szCs w:val="21"/>
              </w:rPr>
              <w:t>3#炉顶可逆皮带</w:t>
            </w:r>
          </w:p>
        </w:tc>
        <w:tc>
          <w:tcPr>
            <w:tcW w:w="2334" w:type="pct"/>
            <w:tcBorders>
              <w:left w:val="single" w:color="auto" w:sz="4" w:space="0"/>
            </w:tcBorders>
            <w:vAlign w:val="center"/>
          </w:tcPr>
          <w:p w14:paraId="687D67CB">
            <w:pPr>
              <w:pStyle w:val="125"/>
              <w:spacing w:line="240" w:lineRule="auto"/>
              <w:ind w:firstLine="0" w:firstLineChars="0"/>
              <w:rPr>
                <w:szCs w:val="21"/>
              </w:rPr>
            </w:pPr>
            <w:r>
              <w:rPr>
                <w:szCs w:val="21"/>
              </w:rPr>
              <w:t>B=1000</w:t>
            </w:r>
            <w:r>
              <w:rPr>
                <w:rFonts w:hint="eastAsia"/>
                <w:szCs w:val="21"/>
              </w:rPr>
              <w:t>，最大输送量</w:t>
            </w:r>
            <w:r>
              <w:rPr>
                <w:szCs w:val="21"/>
              </w:rPr>
              <w:t>608t/h</w:t>
            </w:r>
          </w:p>
        </w:tc>
        <w:tc>
          <w:tcPr>
            <w:tcW w:w="440" w:type="pct"/>
            <w:vAlign w:val="center"/>
          </w:tcPr>
          <w:p w14:paraId="2E03C065">
            <w:pPr>
              <w:pStyle w:val="125"/>
              <w:spacing w:line="240" w:lineRule="auto"/>
              <w:ind w:firstLine="0" w:firstLineChars="0"/>
              <w:rPr>
                <w:color w:val="000000"/>
                <w:szCs w:val="21"/>
              </w:rPr>
            </w:pPr>
            <w:r>
              <w:rPr>
                <w:color w:val="000000"/>
                <w:szCs w:val="21"/>
              </w:rPr>
              <w:t>1</w:t>
            </w:r>
          </w:p>
        </w:tc>
        <w:tc>
          <w:tcPr>
            <w:tcW w:w="440" w:type="pct"/>
            <w:tcBorders>
              <w:right w:val="single" w:color="auto" w:sz="4" w:space="0"/>
            </w:tcBorders>
            <w:vAlign w:val="center"/>
          </w:tcPr>
          <w:p w14:paraId="60F8C0E0">
            <w:pPr>
              <w:pStyle w:val="125"/>
              <w:spacing w:line="240" w:lineRule="auto"/>
              <w:ind w:firstLine="0" w:firstLineChars="0"/>
              <w:rPr>
                <w:szCs w:val="21"/>
              </w:rPr>
            </w:pPr>
          </w:p>
        </w:tc>
      </w:tr>
      <w:tr w14:paraId="1E12C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9BCF950">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11B55605">
            <w:pPr>
              <w:pStyle w:val="125"/>
              <w:spacing w:line="240" w:lineRule="auto"/>
              <w:ind w:firstLine="0" w:firstLineChars="0"/>
              <w:rPr>
                <w:szCs w:val="21"/>
              </w:rPr>
            </w:pPr>
            <w:r>
              <w:rPr>
                <w:color w:val="000000"/>
                <w:szCs w:val="21"/>
              </w:rPr>
              <w:t>4#炉顶可逆皮带</w:t>
            </w:r>
          </w:p>
        </w:tc>
        <w:tc>
          <w:tcPr>
            <w:tcW w:w="2334" w:type="pct"/>
            <w:tcBorders>
              <w:left w:val="single" w:color="auto" w:sz="4" w:space="0"/>
            </w:tcBorders>
            <w:vAlign w:val="center"/>
          </w:tcPr>
          <w:p w14:paraId="74B1BD21">
            <w:pPr>
              <w:pStyle w:val="125"/>
              <w:spacing w:line="240" w:lineRule="auto"/>
              <w:ind w:firstLine="0" w:firstLineChars="0"/>
              <w:rPr>
                <w:szCs w:val="21"/>
              </w:rPr>
            </w:pPr>
            <w:r>
              <w:rPr>
                <w:szCs w:val="21"/>
              </w:rPr>
              <w:t>B=1000</w:t>
            </w:r>
            <w:r>
              <w:rPr>
                <w:rFonts w:hint="eastAsia"/>
                <w:szCs w:val="21"/>
              </w:rPr>
              <w:t>，最大输送量</w:t>
            </w:r>
            <w:r>
              <w:rPr>
                <w:szCs w:val="21"/>
              </w:rPr>
              <w:t>608t/h</w:t>
            </w:r>
          </w:p>
        </w:tc>
        <w:tc>
          <w:tcPr>
            <w:tcW w:w="440" w:type="pct"/>
            <w:vAlign w:val="center"/>
          </w:tcPr>
          <w:p w14:paraId="61B1877C">
            <w:pPr>
              <w:pStyle w:val="125"/>
              <w:spacing w:line="240" w:lineRule="auto"/>
              <w:ind w:firstLine="0" w:firstLineChars="0"/>
              <w:rPr>
                <w:color w:val="000000"/>
                <w:szCs w:val="21"/>
              </w:rPr>
            </w:pPr>
            <w:r>
              <w:rPr>
                <w:color w:val="000000"/>
                <w:szCs w:val="21"/>
              </w:rPr>
              <w:t>1</w:t>
            </w:r>
          </w:p>
        </w:tc>
        <w:tc>
          <w:tcPr>
            <w:tcW w:w="440" w:type="pct"/>
            <w:tcBorders>
              <w:right w:val="single" w:color="auto" w:sz="4" w:space="0"/>
            </w:tcBorders>
            <w:vAlign w:val="center"/>
          </w:tcPr>
          <w:p w14:paraId="72A77A7C">
            <w:pPr>
              <w:pStyle w:val="125"/>
              <w:spacing w:line="240" w:lineRule="auto"/>
              <w:ind w:firstLine="0" w:firstLineChars="0"/>
              <w:rPr>
                <w:szCs w:val="21"/>
              </w:rPr>
            </w:pPr>
          </w:p>
        </w:tc>
      </w:tr>
      <w:tr w14:paraId="26142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1E02661">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1F2D3666">
            <w:pPr>
              <w:pStyle w:val="125"/>
              <w:spacing w:line="240" w:lineRule="auto"/>
              <w:ind w:firstLine="0" w:firstLineChars="0"/>
              <w:rPr>
                <w:szCs w:val="21"/>
              </w:rPr>
            </w:pPr>
            <w:r>
              <w:rPr>
                <w:rFonts w:hint="eastAsia"/>
                <w:color w:val="000000"/>
                <w:szCs w:val="21"/>
              </w:rPr>
              <w:t>除尘风机</w:t>
            </w:r>
          </w:p>
        </w:tc>
        <w:tc>
          <w:tcPr>
            <w:tcW w:w="2334" w:type="pct"/>
            <w:tcBorders>
              <w:left w:val="single" w:color="auto" w:sz="4" w:space="0"/>
            </w:tcBorders>
            <w:vAlign w:val="center"/>
          </w:tcPr>
          <w:p w14:paraId="248CB4C2">
            <w:pPr>
              <w:pStyle w:val="125"/>
              <w:spacing w:line="240" w:lineRule="auto"/>
              <w:ind w:firstLine="0" w:firstLineChars="0"/>
              <w:rPr>
                <w:szCs w:val="21"/>
              </w:rPr>
            </w:pPr>
            <w:r>
              <w:rPr>
                <w:rFonts w:hint="eastAsia"/>
                <w:color w:val="000000"/>
                <w:szCs w:val="21"/>
              </w:rPr>
              <w:t>风机压力：</w:t>
            </w:r>
            <w:r>
              <w:rPr>
                <w:color w:val="000000"/>
                <w:szCs w:val="21"/>
              </w:rPr>
              <w:t>4000-4500pa</w:t>
            </w:r>
          </w:p>
        </w:tc>
        <w:tc>
          <w:tcPr>
            <w:tcW w:w="440" w:type="pct"/>
            <w:vAlign w:val="center"/>
          </w:tcPr>
          <w:p w14:paraId="44FF37D0">
            <w:pPr>
              <w:pStyle w:val="125"/>
              <w:spacing w:line="240" w:lineRule="auto"/>
              <w:ind w:firstLine="0" w:firstLineChars="0"/>
              <w:rPr>
                <w:color w:val="000000"/>
                <w:szCs w:val="21"/>
              </w:rPr>
            </w:pPr>
            <w:r>
              <w:rPr>
                <w:color w:val="000000"/>
                <w:szCs w:val="21"/>
              </w:rPr>
              <w:t>1</w:t>
            </w:r>
          </w:p>
        </w:tc>
        <w:tc>
          <w:tcPr>
            <w:tcW w:w="440" w:type="pct"/>
            <w:tcBorders>
              <w:right w:val="single" w:color="auto" w:sz="4" w:space="0"/>
            </w:tcBorders>
            <w:vAlign w:val="center"/>
          </w:tcPr>
          <w:p w14:paraId="0E0D0F64">
            <w:pPr>
              <w:pStyle w:val="125"/>
              <w:spacing w:line="240" w:lineRule="auto"/>
              <w:ind w:firstLine="0" w:firstLineChars="0"/>
              <w:rPr>
                <w:szCs w:val="21"/>
              </w:rPr>
            </w:pPr>
          </w:p>
        </w:tc>
      </w:tr>
      <w:tr w14:paraId="5C97E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E31A2E0">
            <w:pPr>
              <w:pStyle w:val="125"/>
              <w:numPr>
                <w:ilvl w:val="0"/>
                <w:numId w:val="17"/>
              </w:numPr>
              <w:spacing w:line="240" w:lineRule="auto"/>
              <w:ind w:firstLineChars="0"/>
              <w:rPr>
                <w:szCs w:val="21"/>
              </w:rPr>
            </w:pPr>
          </w:p>
        </w:tc>
        <w:tc>
          <w:tcPr>
            <w:tcW w:w="1271" w:type="pct"/>
            <w:tcBorders>
              <w:right w:val="single" w:color="auto" w:sz="4" w:space="0"/>
            </w:tcBorders>
            <w:vAlign w:val="center"/>
          </w:tcPr>
          <w:p w14:paraId="01425E2B">
            <w:pPr>
              <w:pStyle w:val="125"/>
              <w:spacing w:line="240" w:lineRule="auto"/>
              <w:ind w:firstLine="0" w:firstLineChars="0"/>
              <w:rPr>
                <w:szCs w:val="21"/>
              </w:rPr>
            </w:pPr>
            <w:r>
              <w:rPr>
                <w:rFonts w:hint="eastAsia"/>
                <w:color w:val="000000"/>
                <w:szCs w:val="21"/>
              </w:rPr>
              <w:t>除尘器</w:t>
            </w:r>
          </w:p>
        </w:tc>
        <w:tc>
          <w:tcPr>
            <w:tcW w:w="2334" w:type="pct"/>
            <w:tcBorders>
              <w:left w:val="single" w:color="auto" w:sz="4" w:space="0"/>
            </w:tcBorders>
            <w:vAlign w:val="center"/>
          </w:tcPr>
          <w:p w14:paraId="6A235596">
            <w:pPr>
              <w:pStyle w:val="125"/>
              <w:spacing w:line="240" w:lineRule="auto"/>
              <w:ind w:firstLine="0" w:firstLineChars="0"/>
              <w:rPr>
                <w:szCs w:val="21"/>
              </w:rPr>
            </w:pPr>
            <w:r>
              <w:rPr>
                <w:rFonts w:hint="eastAsia"/>
                <w:color w:val="000000"/>
                <w:szCs w:val="21"/>
              </w:rPr>
              <w:t>处理风量</w:t>
            </w:r>
            <w:r>
              <w:rPr>
                <w:color w:val="000000"/>
                <w:szCs w:val="21"/>
              </w:rPr>
              <w:t>35000m³/h</w:t>
            </w:r>
            <w:r>
              <w:rPr>
                <w:rFonts w:hint="eastAsia"/>
                <w:color w:val="000000"/>
                <w:szCs w:val="21"/>
              </w:rPr>
              <w:t>，过滤面积</w:t>
            </w:r>
            <w:r>
              <w:rPr>
                <w:color w:val="000000"/>
                <w:szCs w:val="21"/>
              </w:rPr>
              <w:t>584</w:t>
            </w:r>
            <w:r>
              <w:rPr>
                <w:rFonts w:ascii="Segoe UI Symbol" w:hAnsi="Segoe UI Symbol"/>
                <w:color w:val="000000"/>
                <w:szCs w:val="21"/>
              </w:rPr>
              <w:t>㎡</w:t>
            </w:r>
            <w:r>
              <w:rPr>
                <w:rFonts w:hint="eastAsia"/>
                <w:color w:val="000000"/>
                <w:szCs w:val="21"/>
              </w:rPr>
              <w:t>，滤袋长度</w:t>
            </w:r>
            <w:r>
              <w:rPr>
                <w:color w:val="000000"/>
                <w:szCs w:val="21"/>
              </w:rPr>
              <w:t>6m</w:t>
            </w:r>
            <w:r>
              <w:rPr>
                <w:rFonts w:hint="eastAsia"/>
                <w:color w:val="000000"/>
                <w:szCs w:val="21"/>
              </w:rPr>
              <w:t>，滤袋数量</w:t>
            </w:r>
            <w:r>
              <w:rPr>
                <w:color w:val="000000"/>
                <w:szCs w:val="21"/>
              </w:rPr>
              <w:t>238</w:t>
            </w:r>
            <w:r>
              <w:rPr>
                <w:rFonts w:hint="eastAsia"/>
                <w:color w:val="000000"/>
                <w:szCs w:val="21"/>
              </w:rPr>
              <w:t>条</w:t>
            </w:r>
          </w:p>
        </w:tc>
        <w:tc>
          <w:tcPr>
            <w:tcW w:w="440" w:type="pct"/>
            <w:vAlign w:val="center"/>
          </w:tcPr>
          <w:p w14:paraId="68973DA6">
            <w:pPr>
              <w:pStyle w:val="125"/>
              <w:spacing w:line="240" w:lineRule="auto"/>
              <w:ind w:firstLine="0" w:firstLineChars="0"/>
              <w:rPr>
                <w:color w:val="000000"/>
                <w:szCs w:val="21"/>
              </w:rPr>
            </w:pPr>
            <w:r>
              <w:rPr>
                <w:color w:val="000000"/>
                <w:szCs w:val="21"/>
              </w:rPr>
              <w:t>1</w:t>
            </w:r>
          </w:p>
        </w:tc>
        <w:tc>
          <w:tcPr>
            <w:tcW w:w="440" w:type="pct"/>
            <w:tcBorders>
              <w:right w:val="single" w:color="auto" w:sz="4" w:space="0"/>
            </w:tcBorders>
            <w:vAlign w:val="center"/>
          </w:tcPr>
          <w:p w14:paraId="0D24ECAA">
            <w:pPr>
              <w:pStyle w:val="125"/>
              <w:spacing w:line="240" w:lineRule="auto"/>
              <w:ind w:firstLine="0" w:firstLineChars="0"/>
              <w:rPr>
                <w:szCs w:val="21"/>
              </w:rPr>
            </w:pPr>
            <w:r>
              <w:rPr>
                <w:rFonts w:hint="eastAsia"/>
                <w:szCs w:val="21"/>
              </w:rPr>
              <w:t>利旧</w:t>
            </w:r>
          </w:p>
        </w:tc>
      </w:tr>
      <w:tr w14:paraId="6BC07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A06BE0A">
            <w:pPr>
              <w:pStyle w:val="125"/>
              <w:spacing w:line="240" w:lineRule="auto"/>
              <w:ind w:firstLine="0" w:firstLineChars="0"/>
              <w:rPr>
                <w:szCs w:val="21"/>
              </w:rPr>
            </w:pPr>
            <w:r>
              <w:rPr>
                <w:rFonts w:hint="eastAsia"/>
                <w:szCs w:val="21"/>
              </w:rPr>
              <w:t>三</w:t>
            </w:r>
          </w:p>
        </w:tc>
        <w:tc>
          <w:tcPr>
            <w:tcW w:w="4485" w:type="pct"/>
            <w:gridSpan w:val="4"/>
            <w:tcBorders>
              <w:right w:val="single" w:color="auto" w:sz="4" w:space="0"/>
            </w:tcBorders>
            <w:vAlign w:val="center"/>
          </w:tcPr>
          <w:p w14:paraId="7FB55D12">
            <w:pPr>
              <w:pStyle w:val="125"/>
              <w:spacing w:line="240" w:lineRule="auto"/>
              <w:ind w:firstLine="0" w:firstLineChars="0"/>
              <w:rPr>
                <w:szCs w:val="21"/>
              </w:rPr>
            </w:pPr>
            <w:r>
              <w:rPr>
                <w:rFonts w:hint="eastAsia"/>
                <w:szCs w:val="21"/>
              </w:rPr>
              <w:t>出焦单元</w:t>
            </w:r>
          </w:p>
        </w:tc>
      </w:tr>
      <w:tr w14:paraId="7BCBEC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2329B87">
            <w:pPr>
              <w:pStyle w:val="125"/>
              <w:numPr>
                <w:ilvl w:val="0"/>
                <w:numId w:val="18"/>
              </w:numPr>
              <w:spacing w:line="240" w:lineRule="auto"/>
              <w:ind w:firstLineChars="0"/>
              <w:rPr>
                <w:szCs w:val="21"/>
              </w:rPr>
            </w:pPr>
          </w:p>
        </w:tc>
        <w:tc>
          <w:tcPr>
            <w:tcW w:w="1271" w:type="pct"/>
            <w:tcBorders>
              <w:bottom w:val="single" w:color="auto" w:sz="4" w:space="0"/>
              <w:right w:val="single" w:color="auto" w:sz="4" w:space="0"/>
            </w:tcBorders>
            <w:vAlign w:val="center"/>
          </w:tcPr>
          <w:p w14:paraId="7A855A4A">
            <w:pPr>
              <w:pStyle w:val="125"/>
              <w:spacing w:line="240" w:lineRule="auto"/>
              <w:ind w:firstLine="0" w:firstLineChars="0"/>
              <w:rPr>
                <w:szCs w:val="21"/>
              </w:rPr>
            </w:pPr>
            <w:r>
              <w:rPr>
                <w:rFonts w:hint="eastAsia"/>
                <w:szCs w:val="21"/>
              </w:rPr>
              <w:t>焦-1输送带</w:t>
            </w:r>
          </w:p>
        </w:tc>
        <w:tc>
          <w:tcPr>
            <w:tcW w:w="2334" w:type="pct"/>
            <w:tcBorders>
              <w:left w:val="single" w:color="auto" w:sz="4" w:space="0"/>
            </w:tcBorders>
            <w:vAlign w:val="center"/>
          </w:tcPr>
          <w:p w14:paraId="68E5B753">
            <w:pPr>
              <w:pStyle w:val="125"/>
              <w:spacing w:line="240" w:lineRule="auto"/>
              <w:ind w:firstLine="420"/>
              <w:rPr>
                <w:szCs w:val="21"/>
              </w:rPr>
            </w:pPr>
            <w:r>
              <w:rPr>
                <w:szCs w:val="21"/>
              </w:rPr>
              <w:t>B=1000</w:t>
            </w:r>
            <w:r>
              <w:rPr>
                <w:rFonts w:hint="eastAsia"/>
                <w:szCs w:val="21"/>
              </w:rPr>
              <w:t>，最大输送量6</w:t>
            </w:r>
            <w:r>
              <w:rPr>
                <w:szCs w:val="21"/>
              </w:rPr>
              <w:t>08t/h</w:t>
            </w:r>
          </w:p>
        </w:tc>
        <w:tc>
          <w:tcPr>
            <w:tcW w:w="440" w:type="pct"/>
            <w:vAlign w:val="center"/>
          </w:tcPr>
          <w:p w14:paraId="4FB6E177">
            <w:pPr>
              <w:pStyle w:val="125"/>
              <w:spacing w:line="240" w:lineRule="auto"/>
              <w:ind w:firstLine="0" w:firstLineChars="0"/>
              <w:rPr>
                <w:szCs w:val="21"/>
              </w:rPr>
            </w:pPr>
            <w:r>
              <w:rPr>
                <w:rFonts w:hint="eastAsia"/>
                <w:szCs w:val="21"/>
              </w:rPr>
              <w:t>1</w:t>
            </w:r>
          </w:p>
        </w:tc>
        <w:tc>
          <w:tcPr>
            <w:tcW w:w="440" w:type="pct"/>
            <w:tcBorders>
              <w:right w:val="single" w:color="auto" w:sz="4" w:space="0"/>
            </w:tcBorders>
            <w:vAlign w:val="center"/>
          </w:tcPr>
          <w:p w14:paraId="35F464CD">
            <w:pPr>
              <w:pStyle w:val="125"/>
              <w:spacing w:line="240" w:lineRule="auto"/>
              <w:ind w:firstLine="0" w:firstLineChars="0"/>
              <w:rPr>
                <w:szCs w:val="21"/>
              </w:rPr>
            </w:pPr>
          </w:p>
        </w:tc>
      </w:tr>
      <w:tr w14:paraId="31D88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946919C">
            <w:pPr>
              <w:pStyle w:val="125"/>
              <w:numPr>
                <w:ilvl w:val="0"/>
                <w:numId w:val="18"/>
              </w:numPr>
              <w:spacing w:line="240" w:lineRule="auto"/>
              <w:ind w:firstLineChars="0"/>
              <w:rPr>
                <w:szCs w:val="21"/>
              </w:rPr>
            </w:pPr>
          </w:p>
        </w:tc>
        <w:tc>
          <w:tcPr>
            <w:tcW w:w="1271" w:type="pct"/>
            <w:tcBorders>
              <w:top w:val="single" w:color="auto" w:sz="4" w:space="0"/>
              <w:right w:val="single" w:color="auto" w:sz="4" w:space="0"/>
            </w:tcBorders>
            <w:vAlign w:val="center"/>
          </w:tcPr>
          <w:p w14:paraId="034D044A">
            <w:pPr>
              <w:pStyle w:val="125"/>
              <w:spacing w:line="240" w:lineRule="auto"/>
              <w:ind w:firstLine="0" w:firstLineChars="0"/>
              <w:rPr>
                <w:szCs w:val="21"/>
              </w:rPr>
            </w:pPr>
            <w:r>
              <w:rPr>
                <w:rFonts w:hint="eastAsia"/>
                <w:color w:val="000000"/>
                <w:szCs w:val="21"/>
              </w:rPr>
              <w:t>1#/2#/3#/4#兰炭缓冲上下仓</w:t>
            </w:r>
          </w:p>
        </w:tc>
        <w:tc>
          <w:tcPr>
            <w:tcW w:w="2334" w:type="pct"/>
            <w:tcBorders>
              <w:left w:val="single" w:color="auto" w:sz="4" w:space="0"/>
            </w:tcBorders>
            <w:vAlign w:val="center"/>
          </w:tcPr>
          <w:p w14:paraId="3CAA2C9A">
            <w:pPr>
              <w:pStyle w:val="125"/>
              <w:spacing w:line="240" w:lineRule="auto"/>
              <w:ind w:firstLine="0" w:firstLineChars="0"/>
              <w:rPr>
                <w:szCs w:val="21"/>
              </w:rPr>
            </w:pPr>
            <w:r>
              <w:rPr>
                <w:color w:val="000000"/>
                <w:szCs w:val="21"/>
              </w:rPr>
              <w:t>5600×5600</w:t>
            </w:r>
          </w:p>
        </w:tc>
        <w:tc>
          <w:tcPr>
            <w:tcW w:w="440" w:type="pct"/>
            <w:vAlign w:val="center"/>
          </w:tcPr>
          <w:p w14:paraId="677DDFBF">
            <w:pPr>
              <w:pStyle w:val="125"/>
              <w:spacing w:line="240" w:lineRule="auto"/>
              <w:ind w:firstLine="0" w:firstLineChars="0"/>
              <w:rPr>
                <w:szCs w:val="21"/>
              </w:rPr>
            </w:pPr>
            <w:r>
              <w:rPr>
                <w:rFonts w:hint="eastAsia"/>
                <w:szCs w:val="21"/>
              </w:rPr>
              <w:t>8</w:t>
            </w:r>
          </w:p>
        </w:tc>
        <w:tc>
          <w:tcPr>
            <w:tcW w:w="440" w:type="pct"/>
            <w:tcBorders>
              <w:right w:val="single" w:color="auto" w:sz="4" w:space="0"/>
            </w:tcBorders>
            <w:vAlign w:val="center"/>
          </w:tcPr>
          <w:p w14:paraId="62FD7E06">
            <w:pPr>
              <w:pStyle w:val="125"/>
              <w:spacing w:line="240" w:lineRule="auto"/>
              <w:ind w:firstLine="0" w:firstLineChars="0"/>
              <w:rPr>
                <w:szCs w:val="21"/>
              </w:rPr>
            </w:pPr>
          </w:p>
        </w:tc>
      </w:tr>
      <w:tr w14:paraId="21964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B71D5CA">
            <w:pPr>
              <w:pStyle w:val="125"/>
              <w:spacing w:line="240" w:lineRule="auto"/>
              <w:ind w:firstLine="0" w:firstLineChars="0"/>
              <w:rPr>
                <w:szCs w:val="21"/>
              </w:rPr>
            </w:pPr>
            <w:r>
              <w:rPr>
                <w:rFonts w:hint="eastAsia"/>
                <w:szCs w:val="21"/>
              </w:rPr>
              <w:t>四</w:t>
            </w:r>
          </w:p>
        </w:tc>
        <w:tc>
          <w:tcPr>
            <w:tcW w:w="4485" w:type="pct"/>
            <w:gridSpan w:val="4"/>
            <w:tcBorders>
              <w:right w:val="single" w:color="auto" w:sz="4" w:space="0"/>
            </w:tcBorders>
            <w:vAlign w:val="center"/>
          </w:tcPr>
          <w:p w14:paraId="39237D9A">
            <w:pPr>
              <w:pStyle w:val="125"/>
              <w:spacing w:line="240" w:lineRule="auto"/>
              <w:ind w:firstLine="0" w:firstLineChars="0"/>
              <w:rPr>
                <w:szCs w:val="21"/>
              </w:rPr>
            </w:pPr>
            <w:r>
              <w:rPr>
                <w:rFonts w:hint="eastAsia"/>
                <w:szCs w:val="21"/>
              </w:rPr>
              <w:t>煤气净化单元</w:t>
            </w:r>
          </w:p>
        </w:tc>
      </w:tr>
      <w:tr w14:paraId="78C6A4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C44D475">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17974D9F">
            <w:pPr>
              <w:pStyle w:val="125"/>
              <w:spacing w:line="240" w:lineRule="auto"/>
              <w:ind w:firstLine="0" w:firstLineChars="0"/>
              <w:rPr>
                <w:szCs w:val="21"/>
              </w:rPr>
            </w:pPr>
            <w:r>
              <w:rPr>
                <w:szCs w:val="21"/>
              </w:rPr>
              <w:t>1#/2#/3#</w:t>
            </w:r>
            <w:r>
              <w:rPr>
                <w:szCs w:val="21"/>
              </w:rPr>
              <w:br w:type="textWrapping"/>
            </w:r>
            <w:r>
              <w:rPr>
                <w:rFonts w:hint="eastAsia"/>
                <w:szCs w:val="21"/>
              </w:rPr>
              <w:t>空气风机</w:t>
            </w:r>
          </w:p>
        </w:tc>
        <w:tc>
          <w:tcPr>
            <w:tcW w:w="2334" w:type="pct"/>
            <w:tcBorders>
              <w:left w:val="single" w:color="auto" w:sz="4" w:space="0"/>
            </w:tcBorders>
            <w:vAlign w:val="center"/>
          </w:tcPr>
          <w:p w14:paraId="22897A52">
            <w:pPr>
              <w:pStyle w:val="125"/>
              <w:spacing w:line="240" w:lineRule="auto"/>
              <w:ind w:firstLine="420"/>
              <w:rPr>
                <w:szCs w:val="21"/>
              </w:rPr>
            </w:pPr>
            <w:r>
              <w:rPr>
                <w:szCs w:val="21"/>
              </w:rPr>
              <w:t>Q=75000m³/h</w:t>
            </w:r>
            <w:r>
              <w:rPr>
                <w:rFonts w:hint="eastAsia"/>
                <w:szCs w:val="21"/>
              </w:rPr>
              <w:t xml:space="preserve">, </w:t>
            </w:r>
            <w:r>
              <w:rPr>
                <w:szCs w:val="21"/>
              </w:rPr>
              <w:t>N=400</w:t>
            </w:r>
            <w:r>
              <w:rPr>
                <w:rFonts w:hint="eastAsia"/>
                <w:szCs w:val="21"/>
              </w:rPr>
              <w:t>kW</w:t>
            </w:r>
          </w:p>
        </w:tc>
        <w:tc>
          <w:tcPr>
            <w:tcW w:w="440" w:type="pct"/>
            <w:vAlign w:val="center"/>
          </w:tcPr>
          <w:p w14:paraId="0F26600D">
            <w:pPr>
              <w:pStyle w:val="125"/>
              <w:spacing w:line="240" w:lineRule="auto"/>
              <w:ind w:firstLine="0" w:firstLineChars="0"/>
              <w:rPr>
                <w:szCs w:val="21"/>
              </w:rPr>
            </w:pPr>
            <w:r>
              <w:rPr>
                <w:szCs w:val="21"/>
              </w:rPr>
              <w:t>3</w:t>
            </w:r>
          </w:p>
        </w:tc>
        <w:tc>
          <w:tcPr>
            <w:tcW w:w="440" w:type="pct"/>
            <w:tcBorders>
              <w:right w:val="single" w:color="auto" w:sz="4" w:space="0"/>
            </w:tcBorders>
            <w:vAlign w:val="center"/>
          </w:tcPr>
          <w:p w14:paraId="4E3F9868">
            <w:pPr>
              <w:pStyle w:val="125"/>
              <w:spacing w:line="240" w:lineRule="auto"/>
              <w:ind w:firstLine="0" w:firstLineChars="0"/>
              <w:rPr>
                <w:szCs w:val="21"/>
              </w:rPr>
            </w:pPr>
          </w:p>
        </w:tc>
      </w:tr>
      <w:tr w14:paraId="673D61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7AC1558">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1FBBD3DF">
            <w:pPr>
              <w:pStyle w:val="125"/>
              <w:spacing w:line="240" w:lineRule="auto"/>
              <w:ind w:firstLine="0" w:firstLineChars="0"/>
              <w:rPr>
                <w:szCs w:val="21"/>
              </w:rPr>
            </w:pPr>
            <w:r>
              <w:rPr>
                <w:szCs w:val="21"/>
              </w:rPr>
              <w:t>1#/2#/3#/4#/5#/6#</w:t>
            </w:r>
            <w:r>
              <w:rPr>
                <w:szCs w:val="21"/>
              </w:rPr>
              <w:br w:type="textWrapping"/>
            </w:r>
            <w:r>
              <w:rPr>
                <w:rFonts w:hint="eastAsia"/>
                <w:szCs w:val="21"/>
              </w:rPr>
              <w:t>煤气风机</w:t>
            </w:r>
          </w:p>
        </w:tc>
        <w:tc>
          <w:tcPr>
            <w:tcW w:w="2334" w:type="pct"/>
            <w:tcBorders>
              <w:left w:val="single" w:color="auto" w:sz="4" w:space="0"/>
            </w:tcBorders>
            <w:vAlign w:val="center"/>
          </w:tcPr>
          <w:p w14:paraId="03BBD214">
            <w:pPr>
              <w:pStyle w:val="125"/>
              <w:spacing w:line="240" w:lineRule="auto"/>
              <w:ind w:firstLine="420"/>
              <w:rPr>
                <w:szCs w:val="21"/>
              </w:rPr>
            </w:pPr>
            <w:r>
              <w:rPr>
                <w:szCs w:val="21"/>
              </w:rPr>
              <w:t>Q=100000m³/h</w:t>
            </w:r>
            <w:r>
              <w:rPr>
                <w:rFonts w:hint="eastAsia"/>
                <w:szCs w:val="21"/>
              </w:rPr>
              <w:t xml:space="preserve">, </w:t>
            </w:r>
            <w:r>
              <w:rPr>
                <w:szCs w:val="21"/>
              </w:rPr>
              <w:t>N=760</w:t>
            </w:r>
            <w:r>
              <w:rPr>
                <w:rFonts w:hint="eastAsia"/>
                <w:szCs w:val="21"/>
              </w:rPr>
              <w:t>kW</w:t>
            </w:r>
          </w:p>
        </w:tc>
        <w:tc>
          <w:tcPr>
            <w:tcW w:w="440" w:type="pct"/>
            <w:vAlign w:val="center"/>
          </w:tcPr>
          <w:p w14:paraId="5777085B">
            <w:pPr>
              <w:pStyle w:val="125"/>
              <w:spacing w:line="240" w:lineRule="auto"/>
              <w:ind w:firstLine="0" w:firstLineChars="0"/>
              <w:rPr>
                <w:szCs w:val="21"/>
              </w:rPr>
            </w:pPr>
            <w:r>
              <w:rPr>
                <w:szCs w:val="21"/>
              </w:rPr>
              <w:t>5</w:t>
            </w:r>
          </w:p>
        </w:tc>
        <w:tc>
          <w:tcPr>
            <w:tcW w:w="440" w:type="pct"/>
            <w:tcBorders>
              <w:right w:val="single" w:color="auto" w:sz="4" w:space="0"/>
            </w:tcBorders>
            <w:vAlign w:val="center"/>
          </w:tcPr>
          <w:p w14:paraId="0C8862A7">
            <w:pPr>
              <w:pStyle w:val="125"/>
              <w:spacing w:line="240" w:lineRule="auto"/>
              <w:ind w:firstLine="0" w:firstLineChars="0"/>
              <w:rPr>
                <w:szCs w:val="21"/>
              </w:rPr>
            </w:pPr>
          </w:p>
        </w:tc>
      </w:tr>
      <w:tr w14:paraId="756D2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38C32ABE">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324B7E03">
            <w:pPr>
              <w:pStyle w:val="125"/>
              <w:spacing w:line="240" w:lineRule="auto"/>
              <w:ind w:firstLine="0" w:firstLineChars="0"/>
              <w:rPr>
                <w:szCs w:val="21"/>
              </w:rPr>
            </w:pPr>
            <w:r>
              <w:rPr>
                <w:szCs w:val="21"/>
              </w:rPr>
              <w:t>1#/2#/3#/4#</w:t>
            </w:r>
            <w:r>
              <w:rPr>
                <w:rFonts w:hint="eastAsia"/>
                <w:szCs w:val="21"/>
              </w:rPr>
              <w:t>电捕焦油器</w:t>
            </w:r>
          </w:p>
        </w:tc>
        <w:tc>
          <w:tcPr>
            <w:tcW w:w="2334" w:type="pct"/>
            <w:tcBorders>
              <w:left w:val="single" w:color="auto" w:sz="4" w:space="0"/>
            </w:tcBorders>
            <w:vAlign w:val="center"/>
          </w:tcPr>
          <w:p w14:paraId="152DFB68">
            <w:pPr>
              <w:pStyle w:val="125"/>
              <w:spacing w:line="240" w:lineRule="auto"/>
              <w:ind w:firstLine="420"/>
              <w:rPr>
                <w:szCs w:val="21"/>
              </w:rPr>
            </w:pPr>
            <w:r>
              <w:rPr>
                <w:rFonts w:hint="eastAsia"/>
                <w:szCs w:val="21"/>
              </w:rPr>
              <w:t>处理风量9</w:t>
            </w:r>
            <w:r>
              <w:rPr>
                <w:szCs w:val="21"/>
              </w:rPr>
              <w:t>0000</w:t>
            </w:r>
            <w:r>
              <w:rPr>
                <w:rFonts w:hint="eastAsia"/>
                <w:szCs w:val="21"/>
              </w:rPr>
              <w:t>～</w:t>
            </w:r>
            <w:r>
              <w:rPr>
                <w:szCs w:val="21"/>
              </w:rPr>
              <w:t>100000m³/h</w:t>
            </w:r>
          </w:p>
        </w:tc>
        <w:tc>
          <w:tcPr>
            <w:tcW w:w="440" w:type="pct"/>
            <w:vAlign w:val="center"/>
          </w:tcPr>
          <w:p w14:paraId="20126EBE">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7E2F3E12">
            <w:pPr>
              <w:pStyle w:val="125"/>
              <w:spacing w:line="240" w:lineRule="auto"/>
              <w:ind w:firstLine="0" w:firstLineChars="0"/>
              <w:rPr>
                <w:szCs w:val="21"/>
              </w:rPr>
            </w:pPr>
          </w:p>
        </w:tc>
      </w:tr>
      <w:tr w14:paraId="00B5C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8075B49">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4D45F289">
            <w:pPr>
              <w:pStyle w:val="125"/>
              <w:spacing w:line="240" w:lineRule="auto"/>
              <w:ind w:firstLine="0" w:firstLineChars="0"/>
              <w:rPr>
                <w:szCs w:val="21"/>
              </w:rPr>
            </w:pPr>
            <w:r>
              <w:rPr>
                <w:szCs w:val="21"/>
              </w:rPr>
              <w:t>1#/2#/3#/4#</w:t>
            </w:r>
            <w:r>
              <w:rPr>
                <w:rFonts w:hint="eastAsia"/>
                <w:szCs w:val="21"/>
              </w:rPr>
              <w:t>填料直冷塔</w:t>
            </w:r>
          </w:p>
        </w:tc>
        <w:tc>
          <w:tcPr>
            <w:tcW w:w="2334" w:type="pct"/>
            <w:tcBorders>
              <w:left w:val="single" w:color="auto" w:sz="4" w:space="0"/>
            </w:tcBorders>
            <w:vAlign w:val="center"/>
          </w:tcPr>
          <w:p w14:paraId="0F7644B8">
            <w:pPr>
              <w:pStyle w:val="125"/>
              <w:spacing w:line="240" w:lineRule="auto"/>
              <w:ind w:firstLine="420"/>
              <w:rPr>
                <w:szCs w:val="21"/>
              </w:rPr>
            </w:pPr>
            <w:r>
              <w:rPr>
                <w:szCs w:val="21"/>
              </w:rPr>
              <w:t>Φ6</w:t>
            </w:r>
            <w:r>
              <w:rPr>
                <w:rFonts w:hint="eastAsia" w:ascii="宋体" w:hAnsi="宋体"/>
                <w:szCs w:val="21"/>
              </w:rPr>
              <w:t>×</w:t>
            </w:r>
            <w:r>
              <w:rPr>
                <w:szCs w:val="21"/>
              </w:rPr>
              <w:t>20M</w:t>
            </w:r>
          </w:p>
        </w:tc>
        <w:tc>
          <w:tcPr>
            <w:tcW w:w="440" w:type="pct"/>
            <w:vAlign w:val="center"/>
          </w:tcPr>
          <w:p w14:paraId="4736FD3E">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239E086B">
            <w:pPr>
              <w:pStyle w:val="125"/>
              <w:spacing w:line="240" w:lineRule="auto"/>
              <w:ind w:firstLine="0" w:firstLineChars="0"/>
              <w:rPr>
                <w:szCs w:val="21"/>
              </w:rPr>
            </w:pPr>
          </w:p>
        </w:tc>
      </w:tr>
      <w:tr w14:paraId="3E185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806671C">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08AE790A">
            <w:pPr>
              <w:pStyle w:val="125"/>
              <w:spacing w:line="240" w:lineRule="auto"/>
              <w:ind w:firstLine="0" w:firstLineChars="0"/>
              <w:rPr>
                <w:szCs w:val="21"/>
              </w:rPr>
            </w:pPr>
            <w:r>
              <w:rPr>
                <w:szCs w:val="21"/>
              </w:rPr>
              <w:t>1#~4#</w:t>
            </w:r>
            <w:r>
              <w:rPr>
                <w:rFonts w:hint="eastAsia"/>
                <w:szCs w:val="21"/>
              </w:rPr>
              <w:t>横管冷却器</w:t>
            </w:r>
          </w:p>
        </w:tc>
        <w:tc>
          <w:tcPr>
            <w:tcW w:w="2334" w:type="pct"/>
            <w:tcBorders>
              <w:left w:val="single" w:color="auto" w:sz="4" w:space="0"/>
            </w:tcBorders>
            <w:vAlign w:val="center"/>
          </w:tcPr>
          <w:p w14:paraId="286627BC">
            <w:pPr>
              <w:pStyle w:val="125"/>
              <w:spacing w:line="240" w:lineRule="auto"/>
              <w:ind w:firstLine="420"/>
              <w:rPr>
                <w:szCs w:val="21"/>
              </w:rPr>
            </w:pPr>
            <w:r>
              <w:rPr>
                <w:szCs w:val="21"/>
              </w:rPr>
              <w:t>FN=5000</w:t>
            </w:r>
            <w:r>
              <w:rPr>
                <w:rFonts w:hint="eastAsia"/>
                <w:szCs w:val="21"/>
              </w:rPr>
              <w:t>㎡</w:t>
            </w:r>
          </w:p>
        </w:tc>
        <w:tc>
          <w:tcPr>
            <w:tcW w:w="440" w:type="pct"/>
            <w:vAlign w:val="center"/>
          </w:tcPr>
          <w:p w14:paraId="720F2C7D">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4B2AA568">
            <w:pPr>
              <w:pStyle w:val="125"/>
              <w:spacing w:line="240" w:lineRule="auto"/>
              <w:ind w:firstLine="0" w:firstLineChars="0"/>
              <w:rPr>
                <w:szCs w:val="21"/>
              </w:rPr>
            </w:pPr>
          </w:p>
        </w:tc>
      </w:tr>
      <w:tr w14:paraId="66B98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63A1CB6">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3E6C5865">
            <w:pPr>
              <w:pStyle w:val="125"/>
              <w:spacing w:line="240" w:lineRule="auto"/>
              <w:ind w:firstLine="0" w:firstLineChars="0"/>
              <w:rPr>
                <w:szCs w:val="21"/>
              </w:rPr>
            </w:pPr>
            <w:r>
              <w:rPr>
                <w:szCs w:val="21"/>
              </w:rPr>
              <w:t>1#~4#</w:t>
            </w:r>
            <w:r>
              <w:rPr>
                <w:rFonts w:hint="eastAsia"/>
                <w:szCs w:val="21"/>
              </w:rPr>
              <w:t>回炉旋风分离器</w:t>
            </w:r>
          </w:p>
        </w:tc>
        <w:tc>
          <w:tcPr>
            <w:tcW w:w="2334" w:type="pct"/>
            <w:tcBorders>
              <w:left w:val="single" w:color="auto" w:sz="4" w:space="0"/>
            </w:tcBorders>
            <w:vAlign w:val="center"/>
          </w:tcPr>
          <w:p w14:paraId="5D87F235">
            <w:pPr>
              <w:pStyle w:val="125"/>
              <w:spacing w:line="240" w:lineRule="auto"/>
              <w:ind w:firstLine="420"/>
              <w:rPr>
                <w:szCs w:val="21"/>
              </w:rPr>
            </w:pPr>
            <w:r>
              <w:rPr>
                <w:szCs w:val="21"/>
              </w:rPr>
              <w:t>Φ3.4</w:t>
            </w:r>
            <w:r>
              <w:rPr>
                <w:rFonts w:hint="eastAsia" w:ascii="宋体" w:hAnsi="宋体"/>
                <w:szCs w:val="21"/>
              </w:rPr>
              <w:t>×</w:t>
            </w:r>
            <w:r>
              <w:rPr>
                <w:szCs w:val="21"/>
              </w:rPr>
              <w:t>5M</w:t>
            </w:r>
          </w:p>
        </w:tc>
        <w:tc>
          <w:tcPr>
            <w:tcW w:w="440" w:type="pct"/>
            <w:vAlign w:val="center"/>
          </w:tcPr>
          <w:p w14:paraId="4363BB16">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640D210B">
            <w:pPr>
              <w:pStyle w:val="125"/>
              <w:spacing w:line="240" w:lineRule="auto"/>
              <w:ind w:firstLine="0" w:firstLineChars="0"/>
              <w:rPr>
                <w:szCs w:val="21"/>
              </w:rPr>
            </w:pPr>
          </w:p>
        </w:tc>
      </w:tr>
      <w:tr w14:paraId="6E380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73B954A">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43DB1CD0">
            <w:pPr>
              <w:pStyle w:val="125"/>
              <w:spacing w:line="240" w:lineRule="auto"/>
              <w:ind w:firstLine="0" w:firstLineChars="0"/>
              <w:rPr>
                <w:szCs w:val="21"/>
              </w:rPr>
            </w:pPr>
            <w:r>
              <w:rPr>
                <w:szCs w:val="21"/>
              </w:rPr>
              <w:t>1#</w:t>
            </w:r>
            <w:r>
              <w:rPr>
                <w:rFonts w:hint="eastAsia"/>
                <w:szCs w:val="21"/>
              </w:rPr>
              <w:t>水封罐</w:t>
            </w:r>
            <w:r>
              <w:rPr>
                <w:szCs w:val="21"/>
              </w:rPr>
              <w:t>A~D</w:t>
            </w:r>
          </w:p>
        </w:tc>
        <w:tc>
          <w:tcPr>
            <w:tcW w:w="2334" w:type="pct"/>
            <w:tcBorders>
              <w:left w:val="single" w:color="auto" w:sz="4" w:space="0"/>
            </w:tcBorders>
            <w:vAlign w:val="center"/>
          </w:tcPr>
          <w:p w14:paraId="47ED24D0">
            <w:pPr>
              <w:pStyle w:val="125"/>
              <w:spacing w:line="240" w:lineRule="auto"/>
              <w:ind w:firstLine="420"/>
              <w:rPr>
                <w:szCs w:val="21"/>
              </w:rPr>
            </w:pPr>
            <w:r>
              <w:rPr>
                <w:szCs w:val="21"/>
              </w:rPr>
              <w:t>Φ0.8</w:t>
            </w:r>
            <w:r>
              <w:rPr>
                <w:rFonts w:hint="eastAsia" w:ascii="宋体" w:hAnsi="宋体"/>
                <w:szCs w:val="21"/>
              </w:rPr>
              <w:t>×</w:t>
            </w:r>
            <w:r>
              <w:rPr>
                <w:szCs w:val="21"/>
              </w:rPr>
              <w:t>2M</w:t>
            </w:r>
          </w:p>
        </w:tc>
        <w:tc>
          <w:tcPr>
            <w:tcW w:w="440" w:type="pct"/>
            <w:vAlign w:val="center"/>
          </w:tcPr>
          <w:p w14:paraId="6FAA23D0">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6D2CE41C">
            <w:pPr>
              <w:pStyle w:val="125"/>
              <w:spacing w:line="240" w:lineRule="auto"/>
              <w:ind w:firstLine="0" w:firstLineChars="0"/>
              <w:rPr>
                <w:szCs w:val="21"/>
              </w:rPr>
            </w:pPr>
          </w:p>
        </w:tc>
      </w:tr>
      <w:tr w14:paraId="031B9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6AF9EBD">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4A69B6EA">
            <w:pPr>
              <w:pStyle w:val="125"/>
              <w:spacing w:line="240" w:lineRule="auto"/>
              <w:ind w:firstLine="0" w:firstLineChars="0"/>
              <w:rPr>
                <w:szCs w:val="21"/>
              </w:rPr>
            </w:pPr>
            <w:r>
              <w:rPr>
                <w:szCs w:val="21"/>
              </w:rPr>
              <w:t>2#</w:t>
            </w:r>
            <w:r>
              <w:rPr>
                <w:rFonts w:hint="eastAsia"/>
                <w:szCs w:val="21"/>
              </w:rPr>
              <w:t>水封罐</w:t>
            </w:r>
            <w:r>
              <w:rPr>
                <w:szCs w:val="21"/>
              </w:rPr>
              <w:t>A~D</w:t>
            </w:r>
          </w:p>
        </w:tc>
        <w:tc>
          <w:tcPr>
            <w:tcW w:w="2334" w:type="pct"/>
            <w:tcBorders>
              <w:left w:val="single" w:color="auto" w:sz="4" w:space="0"/>
            </w:tcBorders>
            <w:vAlign w:val="center"/>
          </w:tcPr>
          <w:p w14:paraId="549B0B65">
            <w:pPr>
              <w:pStyle w:val="125"/>
              <w:spacing w:line="240" w:lineRule="auto"/>
              <w:ind w:firstLine="420"/>
              <w:rPr>
                <w:szCs w:val="21"/>
              </w:rPr>
            </w:pPr>
            <w:r>
              <w:rPr>
                <w:szCs w:val="21"/>
              </w:rPr>
              <w:t>Φ0.8</w:t>
            </w:r>
            <w:r>
              <w:rPr>
                <w:rFonts w:hint="eastAsia" w:ascii="宋体" w:hAnsi="宋体"/>
                <w:szCs w:val="21"/>
              </w:rPr>
              <w:t>×</w:t>
            </w:r>
            <w:r>
              <w:rPr>
                <w:szCs w:val="21"/>
              </w:rPr>
              <w:t>2M</w:t>
            </w:r>
          </w:p>
        </w:tc>
        <w:tc>
          <w:tcPr>
            <w:tcW w:w="440" w:type="pct"/>
            <w:vAlign w:val="center"/>
          </w:tcPr>
          <w:p w14:paraId="5B10FA1B">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3557C489">
            <w:pPr>
              <w:pStyle w:val="125"/>
              <w:spacing w:line="240" w:lineRule="auto"/>
              <w:ind w:firstLine="0" w:firstLineChars="0"/>
              <w:rPr>
                <w:szCs w:val="21"/>
              </w:rPr>
            </w:pPr>
          </w:p>
        </w:tc>
      </w:tr>
      <w:tr w14:paraId="17DAD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4727167">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457564B8">
            <w:pPr>
              <w:pStyle w:val="125"/>
              <w:spacing w:line="240" w:lineRule="auto"/>
              <w:ind w:firstLine="0" w:firstLineChars="0"/>
              <w:rPr>
                <w:szCs w:val="21"/>
              </w:rPr>
            </w:pPr>
            <w:r>
              <w:rPr>
                <w:szCs w:val="21"/>
              </w:rPr>
              <w:t>3#</w:t>
            </w:r>
            <w:r>
              <w:rPr>
                <w:rFonts w:hint="eastAsia"/>
                <w:szCs w:val="21"/>
              </w:rPr>
              <w:t>水封罐</w:t>
            </w:r>
            <w:r>
              <w:rPr>
                <w:szCs w:val="21"/>
              </w:rPr>
              <w:t>A~D</w:t>
            </w:r>
          </w:p>
        </w:tc>
        <w:tc>
          <w:tcPr>
            <w:tcW w:w="2334" w:type="pct"/>
            <w:tcBorders>
              <w:left w:val="single" w:color="auto" w:sz="4" w:space="0"/>
            </w:tcBorders>
            <w:vAlign w:val="center"/>
          </w:tcPr>
          <w:p w14:paraId="43A5D1B1">
            <w:pPr>
              <w:pStyle w:val="125"/>
              <w:spacing w:line="240" w:lineRule="auto"/>
              <w:ind w:firstLine="420"/>
              <w:rPr>
                <w:szCs w:val="21"/>
              </w:rPr>
            </w:pPr>
            <w:r>
              <w:rPr>
                <w:szCs w:val="21"/>
              </w:rPr>
              <w:t>Φ0.8</w:t>
            </w:r>
            <w:r>
              <w:rPr>
                <w:rFonts w:hint="eastAsia" w:ascii="宋体" w:hAnsi="宋体"/>
                <w:szCs w:val="21"/>
              </w:rPr>
              <w:t>×</w:t>
            </w:r>
            <w:r>
              <w:rPr>
                <w:szCs w:val="21"/>
              </w:rPr>
              <w:t>2M</w:t>
            </w:r>
          </w:p>
        </w:tc>
        <w:tc>
          <w:tcPr>
            <w:tcW w:w="440" w:type="pct"/>
            <w:vAlign w:val="center"/>
          </w:tcPr>
          <w:p w14:paraId="4B6A4DE4">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483AEE75">
            <w:pPr>
              <w:pStyle w:val="125"/>
              <w:spacing w:line="240" w:lineRule="auto"/>
              <w:ind w:firstLine="0" w:firstLineChars="0"/>
              <w:rPr>
                <w:szCs w:val="21"/>
              </w:rPr>
            </w:pPr>
          </w:p>
        </w:tc>
      </w:tr>
      <w:tr w14:paraId="2E20A2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412BFF55">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4FEF2EC7">
            <w:pPr>
              <w:pStyle w:val="125"/>
              <w:spacing w:line="240" w:lineRule="auto"/>
              <w:ind w:firstLine="0" w:firstLineChars="0"/>
              <w:rPr>
                <w:szCs w:val="21"/>
              </w:rPr>
            </w:pPr>
            <w:r>
              <w:rPr>
                <w:rFonts w:hint="eastAsia"/>
                <w:szCs w:val="21"/>
              </w:rPr>
              <w:t>放散水封</w:t>
            </w:r>
          </w:p>
        </w:tc>
        <w:tc>
          <w:tcPr>
            <w:tcW w:w="2334" w:type="pct"/>
            <w:tcBorders>
              <w:left w:val="single" w:color="auto" w:sz="4" w:space="0"/>
            </w:tcBorders>
            <w:vAlign w:val="center"/>
          </w:tcPr>
          <w:p w14:paraId="25E26C66">
            <w:pPr>
              <w:pStyle w:val="125"/>
              <w:spacing w:line="240" w:lineRule="auto"/>
              <w:ind w:firstLine="0" w:firstLineChars="0"/>
              <w:rPr>
                <w:szCs w:val="21"/>
              </w:rPr>
            </w:pPr>
            <w:r>
              <w:rPr>
                <w:szCs w:val="21"/>
              </w:rPr>
              <w:t>Φ2</w:t>
            </w:r>
            <w:r>
              <w:rPr>
                <w:rFonts w:hint="eastAsia" w:ascii="宋体" w:hAnsi="宋体"/>
                <w:szCs w:val="21"/>
              </w:rPr>
              <w:t>×</w:t>
            </w:r>
            <w:r>
              <w:rPr>
                <w:szCs w:val="21"/>
              </w:rPr>
              <w:t>2M</w:t>
            </w:r>
          </w:p>
        </w:tc>
        <w:tc>
          <w:tcPr>
            <w:tcW w:w="440" w:type="pct"/>
            <w:vAlign w:val="center"/>
          </w:tcPr>
          <w:p w14:paraId="7A65524D">
            <w:pPr>
              <w:pStyle w:val="125"/>
              <w:spacing w:line="240" w:lineRule="auto"/>
              <w:ind w:firstLine="0" w:firstLineChars="0"/>
              <w:rPr>
                <w:szCs w:val="21"/>
              </w:rPr>
            </w:pPr>
            <w:r>
              <w:rPr>
                <w:szCs w:val="21"/>
              </w:rPr>
              <w:t>1</w:t>
            </w:r>
          </w:p>
        </w:tc>
        <w:tc>
          <w:tcPr>
            <w:tcW w:w="440" w:type="pct"/>
            <w:tcBorders>
              <w:right w:val="single" w:color="auto" w:sz="4" w:space="0"/>
            </w:tcBorders>
            <w:vAlign w:val="center"/>
          </w:tcPr>
          <w:p w14:paraId="1C135E98">
            <w:pPr>
              <w:pStyle w:val="125"/>
              <w:spacing w:line="240" w:lineRule="auto"/>
              <w:ind w:firstLine="0" w:firstLineChars="0"/>
              <w:rPr>
                <w:szCs w:val="21"/>
              </w:rPr>
            </w:pPr>
          </w:p>
        </w:tc>
      </w:tr>
      <w:tr w14:paraId="21AC5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34FB1BC0">
            <w:pPr>
              <w:pStyle w:val="125"/>
              <w:numPr>
                <w:ilvl w:val="0"/>
                <w:numId w:val="19"/>
              </w:numPr>
              <w:spacing w:line="240" w:lineRule="auto"/>
              <w:ind w:firstLineChars="0"/>
              <w:rPr>
                <w:szCs w:val="21"/>
              </w:rPr>
            </w:pPr>
          </w:p>
        </w:tc>
        <w:tc>
          <w:tcPr>
            <w:tcW w:w="1271" w:type="pct"/>
            <w:tcBorders>
              <w:right w:val="single" w:color="auto" w:sz="4" w:space="0"/>
            </w:tcBorders>
            <w:vAlign w:val="center"/>
          </w:tcPr>
          <w:p w14:paraId="20646872">
            <w:pPr>
              <w:pStyle w:val="125"/>
              <w:spacing w:line="240" w:lineRule="auto"/>
              <w:ind w:firstLine="0" w:firstLineChars="0"/>
              <w:rPr>
                <w:szCs w:val="21"/>
              </w:rPr>
            </w:pPr>
            <w:r>
              <w:rPr>
                <w:rFonts w:hint="eastAsia"/>
                <w:szCs w:val="21"/>
              </w:rPr>
              <w:t>煤气加压风机A/B</w:t>
            </w:r>
          </w:p>
        </w:tc>
        <w:tc>
          <w:tcPr>
            <w:tcW w:w="2334" w:type="pct"/>
            <w:tcBorders>
              <w:left w:val="single" w:color="auto" w:sz="4" w:space="0"/>
            </w:tcBorders>
            <w:vAlign w:val="center"/>
          </w:tcPr>
          <w:p w14:paraId="4707B322">
            <w:pPr>
              <w:pStyle w:val="125"/>
              <w:spacing w:line="240" w:lineRule="auto"/>
              <w:ind w:firstLine="0" w:firstLineChars="0"/>
              <w:rPr>
                <w:szCs w:val="21"/>
              </w:rPr>
            </w:pPr>
            <w:r>
              <w:rPr>
                <w:szCs w:val="21"/>
              </w:rPr>
              <w:t>Q=150000m³/h</w:t>
            </w:r>
            <w:r>
              <w:rPr>
                <w:rFonts w:hint="eastAsia"/>
                <w:szCs w:val="21"/>
              </w:rPr>
              <w:t xml:space="preserve">, </w:t>
            </w:r>
            <w:r>
              <w:rPr>
                <w:szCs w:val="21"/>
              </w:rPr>
              <w:t>N=400</w:t>
            </w:r>
            <w:r>
              <w:rPr>
                <w:rFonts w:hint="eastAsia"/>
                <w:szCs w:val="21"/>
              </w:rPr>
              <w:t>k</w:t>
            </w:r>
            <w:r>
              <w:rPr>
                <w:szCs w:val="21"/>
              </w:rPr>
              <w:t>W</w:t>
            </w:r>
          </w:p>
        </w:tc>
        <w:tc>
          <w:tcPr>
            <w:tcW w:w="440" w:type="pct"/>
            <w:vAlign w:val="center"/>
          </w:tcPr>
          <w:p w14:paraId="0D6FF167">
            <w:pPr>
              <w:pStyle w:val="125"/>
              <w:spacing w:line="240" w:lineRule="auto"/>
              <w:ind w:firstLine="0" w:firstLineChars="0"/>
              <w:rPr>
                <w:szCs w:val="21"/>
              </w:rPr>
            </w:pPr>
            <w:r>
              <w:rPr>
                <w:szCs w:val="21"/>
              </w:rPr>
              <w:t>2</w:t>
            </w:r>
          </w:p>
        </w:tc>
        <w:tc>
          <w:tcPr>
            <w:tcW w:w="440" w:type="pct"/>
            <w:tcBorders>
              <w:right w:val="single" w:color="auto" w:sz="4" w:space="0"/>
            </w:tcBorders>
            <w:vAlign w:val="center"/>
          </w:tcPr>
          <w:p w14:paraId="1A8CABED">
            <w:pPr>
              <w:pStyle w:val="125"/>
              <w:spacing w:line="240" w:lineRule="auto"/>
              <w:ind w:firstLine="0" w:firstLineChars="0"/>
              <w:rPr>
                <w:szCs w:val="21"/>
              </w:rPr>
            </w:pPr>
          </w:p>
        </w:tc>
      </w:tr>
      <w:tr w14:paraId="6FC87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C6DCC78">
            <w:pPr>
              <w:pStyle w:val="125"/>
              <w:spacing w:line="240" w:lineRule="auto"/>
              <w:ind w:firstLine="0" w:firstLineChars="0"/>
              <w:rPr>
                <w:szCs w:val="21"/>
              </w:rPr>
            </w:pPr>
            <w:r>
              <w:rPr>
                <w:rFonts w:hint="eastAsia"/>
                <w:szCs w:val="21"/>
              </w:rPr>
              <w:t>五</w:t>
            </w:r>
          </w:p>
        </w:tc>
        <w:tc>
          <w:tcPr>
            <w:tcW w:w="4485" w:type="pct"/>
            <w:gridSpan w:val="4"/>
            <w:tcBorders>
              <w:right w:val="single" w:color="auto" w:sz="4" w:space="0"/>
            </w:tcBorders>
            <w:vAlign w:val="center"/>
          </w:tcPr>
          <w:p w14:paraId="4B49F853">
            <w:pPr>
              <w:pStyle w:val="125"/>
              <w:spacing w:line="240" w:lineRule="auto"/>
              <w:ind w:firstLine="0" w:firstLineChars="0"/>
              <w:rPr>
                <w:szCs w:val="21"/>
              </w:rPr>
            </w:pPr>
            <w:r>
              <w:rPr>
                <w:rFonts w:hint="eastAsia"/>
                <w:szCs w:val="21"/>
              </w:rPr>
              <w:t>焦油氨水分离工段</w:t>
            </w:r>
          </w:p>
        </w:tc>
      </w:tr>
      <w:tr w14:paraId="5C472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843FDD6">
            <w:pPr>
              <w:pStyle w:val="125"/>
              <w:numPr>
                <w:ilvl w:val="0"/>
                <w:numId w:val="20"/>
              </w:numPr>
              <w:spacing w:line="240" w:lineRule="auto"/>
              <w:ind w:firstLineChars="0"/>
              <w:rPr>
                <w:szCs w:val="21"/>
              </w:rPr>
            </w:pPr>
          </w:p>
        </w:tc>
        <w:tc>
          <w:tcPr>
            <w:tcW w:w="1271" w:type="pct"/>
            <w:tcBorders>
              <w:right w:val="single" w:color="auto" w:sz="4" w:space="0"/>
            </w:tcBorders>
            <w:vAlign w:val="center"/>
          </w:tcPr>
          <w:p w14:paraId="636DE776">
            <w:pPr>
              <w:pStyle w:val="125"/>
              <w:spacing w:line="240" w:lineRule="auto"/>
              <w:ind w:firstLine="0" w:firstLineChars="0"/>
              <w:rPr>
                <w:szCs w:val="21"/>
              </w:rPr>
            </w:pPr>
            <w:r>
              <w:rPr>
                <w:rFonts w:hint="eastAsia"/>
                <w:szCs w:val="21"/>
              </w:rPr>
              <w:t>氨水循环泵A~F</w:t>
            </w:r>
          </w:p>
        </w:tc>
        <w:tc>
          <w:tcPr>
            <w:tcW w:w="2334" w:type="pct"/>
            <w:tcBorders>
              <w:left w:val="single" w:color="auto" w:sz="4" w:space="0"/>
            </w:tcBorders>
            <w:vAlign w:val="center"/>
          </w:tcPr>
          <w:p w14:paraId="0A55894A">
            <w:pPr>
              <w:pStyle w:val="125"/>
              <w:spacing w:line="240" w:lineRule="auto"/>
              <w:ind w:firstLine="0" w:firstLineChars="0"/>
              <w:rPr>
                <w:szCs w:val="21"/>
              </w:rPr>
            </w:pPr>
            <w:r>
              <w:rPr>
                <w:szCs w:val="21"/>
              </w:rPr>
              <w:t>SLW200-400</w:t>
            </w:r>
            <w:r>
              <w:rPr>
                <w:rFonts w:hint="eastAsia"/>
                <w:szCs w:val="21"/>
              </w:rPr>
              <w:t>(</w:t>
            </w:r>
            <w:r>
              <w:rPr>
                <w:szCs w:val="21"/>
              </w:rPr>
              <w:t>I</w:t>
            </w:r>
            <w:r>
              <w:rPr>
                <w:rFonts w:hint="eastAsia"/>
                <w:szCs w:val="21"/>
              </w:rPr>
              <w:t xml:space="preserve">), </w:t>
            </w:r>
            <w:r>
              <w:rPr>
                <w:szCs w:val="21"/>
              </w:rPr>
              <w:t>N=130</w:t>
            </w:r>
            <w:r>
              <w:rPr>
                <w:rFonts w:hint="eastAsia"/>
                <w:szCs w:val="21"/>
              </w:rPr>
              <w:t>k</w:t>
            </w:r>
            <w:r>
              <w:rPr>
                <w:szCs w:val="21"/>
              </w:rPr>
              <w:t>W</w:t>
            </w:r>
          </w:p>
        </w:tc>
        <w:tc>
          <w:tcPr>
            <w:tcW w:w="440" w:type="pct"/>
            <w:vAlign w:val="center"/>
          </w:tcPr>
          <w:p w14:paraId="0E80932F">
            <w:pPr>
              <w:pStyle w:val="125"/>
              <w:spacing w:line="240" w:lineRule="auto"/>
              <w:ind w:firstLine="0" w:firstLineChars="0"/>
              <w:rPr>
                <w:szCs w:val="21"/>
              </w:rPr>
            </w:pPr>
            <w:r>
              <w:rPr>
                <w:szCs w:val="21"/>
              </w:rPr>
              <w:t>6</w:t>
            </w:r>
          </w:p>
        </w:tc>
        <w:tc>
          <w:tcPr>
            <w:tcW w:w="440" w:type="pct"/>
            <w:tcBorders>
              <w:right w:val="single" w:color="auto" w:sz="4" w:space="0"/>
            </w:tcBorders>
            <w:vAlign w:val="center"/>
          </w:tcPr>
          <w:p w14:paraId="759B277F">
            <w:pPr>
              <w:pStyle w:val="125"/>
              <w:spacing w:line="240" w:lineRule="auto"/>
              <w:ind w:firstLine="0" w:firstLineChars="0"/>
              <w:rPr>
                <w:szCs w:val="21"/>
              </w:rPr>
            </w:pPr>
            <w:r>
              <w:rPr>
                <w:rFonts w:hint="eastAsia"/>
                <w:szCs w:val="21"/>
              </w:rPr>
              <w:t>利旧</w:t>
            </w:r>
          </w:p>
        </w:tc>
      </w:tr>
      <w:tr w14:paraId="5B5854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2FB7E2BD">
            <w:pPr>
              <w:pStyle w:val="125"/>
              <w:numPr>
                <w:ilvl w:val="0"/>
                <w:numId w:val="20"/>
              </w:numPr>
              <w:spacing w:line="240" w:lineRule="auto"/>
              <w:ind w:firstLineChars="0"/>
              <w:rPr>
                <w:szCs w:val="21"/>
              </w:rPr>
            </w:pPr>
          </w:p>
        </w:tc>
        <w:tc>
          <w:tcPr>
            <w:tcW w:w="1271" w:type="pct"/>
            <w:tcBorders>
              <w:right w:val="single" w:color="auto" w:sz="4" w:space="0"/>
            </w:tcBorders>
            <w:vAlign w:val="center"/>
          </w:tcPr>
          <w:p w14:paraId="3C8244A0">
            <w:pPr>
              <w:pStyle w:val="125"/>
              <w:spacing w:line="240" w:lineRule="auto"/>
              <w:ind w:firstLine="0" w:firstLineChars="0"/>
              <w:rPr>
                <w:szCs w:val="21"/>
              </w:rPr>
            </w:pPr>
            <w:r>
              <w:rPr>
                <w:rFonts w:hint="eastAsia"/>
                <w:szCs w:val="21"/>
              </w:rPr>
              <w:t>焦油中转泵A/B</w:t>
            </w:r>
          </w:p>
        </w:tc>
        <w:tc>
          <w:tcPr>
            <w:tcW w:w="2334" w:type="pct"/>
            <w:tcBorders>
              <w:left w:val="single" w:color="auto" w:sz="4" w:space="0"/>
            </w:tcBorders>
            <w:vAlign w:val="center"/>
          </w:tcPr>
          <w:p w14:paraId="6C8F9167">
            <w:pPr>
              <w:pStyle w:val="125"/>
              <w:spacing w:line="240" w:lineRule="auto"/>
              <w:ind w:firstLine="0" w:firstLineChars="0"/>
              <w:rPr>
                <w:szCs w:val="21"/>
              </w:rPr>
            </w:pPr>
            <w:r>
              <w:rPr>
                <w:szCs w:val="21"/>
              </w:rPr>
              <w:t>Q=100m³/h</w:t>
            </w:r>
            <w:r>
              <w:rPr>
                <w:rFonts w:hint="eastAsia"/>
                <w:szCs w:val="21"/>
              </w:rPr>
              <w:t xml:space="preserve">, </w:t>
            </w:r>
            <w:r>
              <w:rPr>
                <w:szCs w:val="21"/>
              </w:rPr>
              <w:t>H=50m</w:t>
            </w:r>
            <w:r>
              <w:rPr>
                <w:rFonts w:hint="eastAsia"/>
                <w:szCs w:val="21"/>
              </w:rPr>
              <w:t xml:space="preserve">, </w:t>
            </w:r>
            <w:r>
              <w:rPr>
                <w:szCs w:val="21"/>
              </w:rPr>
              <w:t>N=25</w:t>
            </w:r>
            <w:r>
              <w:rPr>
                <w:rFonts w:hint="eastAsia"/>
                <w:szCs w:val="21"/>
              </w:rPr>
              <w:t>k</w:t>
            </w:r>
            <w:r>
              <w:rPr>
                <w:szCs w:val="21"/>
              </w:rPr>
              <w:t xml:space="preserve">W </w:t>
            </w:r>
          </w:p>
        </w:tc>
        <w:tc>
          <w:tcPr>
            <w:tcW w:w="440" w:type="pct"/>
            <w:vAlign w:val="center"/>
          </w:tcPr>
          <w:p w14:paraId="5ACA101B">
            <w:pPr>
              <w:pStyle w:val="125"/>
              <w:spacing w:line="240" w:lineRule="auto"/>
              <w:ind w:firstLine="0" w:firstLineChars="0"/>
              <w:rPr>
                <w:szCs w:val="21"/>
              </w:rPr>
            </w:pPr>
            <w:r>
              <w:rPr>
                <w:szCs w:val="21"/>
              </w:rPr>
              <w:t>2</w:t>
            </w:r>
          </w:p>
        </w:tc>
        <w:tc>
          <w:tcPr>
            <w:tcW w:w="440" w:type="pct"/>
            <w:tcBorders>
              <w:right w:val="single" w:color="auto" w:sz="4" w:space="0"/>
            </w:tcBorders>
            <w:vAlign w:val="center"/>
          </w:tcPr>
          <w:p w14:paraId="14D8C709">
            <w:pPr>
              <w:pStyle w:val="125"/>
              <w:spacing w:line="240" w:lineRule="auto"/>
              <w:ind w:firstLine="0" w:firstLineChars="0"/>
              <w:rPr>
                <w:szCs w:val="21"/>
              </w:rPr>
            </w:pPr>
            <w:r>
              <w:rPr>
                <w:rFonts w:hint="eastAsia"/>
                <w:szCs w:val="21"/>
              </w:rPr>
              <w:t>利旧</w:t>
            </w:r>
          </w:p>
        </w:tc>
      </w:tr>
      <w:tr w14:paraId="5EFFC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6C0B0D7">
            <w:pPr>
              <w:pStyle w:val="125"/>
              <w:numPr>
                <w:ilvl w:val="0"/>
                <w:numId w:val="20"/>
              </w:numPr>
              <w:spacing w:line="240" w:lineRule="auto"/>
              <w:ind w:firstLineChars="0"/>
              <w:rPr>
                <w:szCs w:val="21"/>
              </w:rPr>
            </w:pPr>
          </w:p>
        </w:tc>
        <w:tc>
          <w:tcPr>
            <w:tcW w:w="1271" w:type="pct"/>
            <w:tcBorders>
              <w:right w:val="single" w:color="auto" w:sz="4" w:space="0"/>
            </w:tcBorders>
            <w:vAlign w:val="center"/>
          </w:tcPr>
          <w:p w14:paraId="094D26E3">
            <w:pPr>
              <w:pStyle w:val="125"/>
              <w:spacing w:line="240" w:lineRule="auto"/>
              <w:ind w:firstLine="0" w:firstLineChars="0"/>
              <w:rPr>
                <w:szCs w:val="21"/>
              </w:rPr>
            </w:pPr>
            <w:r>
              <w:rPr>
                <w:rFonts w:hint="eastAsia"/>
                <w:szCs w:val="21"/>
              </w:rPr>
              <w:t>焦油氨水中转泵</w:t>
            </w:r>
            <w:r>
              <w:rPr>
                <w:szCs w:val="21"/>
              </w:rPr>
              <w:t>A/B</w:t>
            </w:r>
          </w:p>
        </w:tc>
        <w:tc>
          <w:tcPr>
            <w:tcW w:w="2334" w:type="pct"/>
            <w:tcBorders>
              <w:left w:val="single" w:color="auto" w:sz="4" w:space="0"/>
            </w:tcBorders>
            <w:vAlign w:val="center"/>
          </w:tcPr>
          <w:p w14:paraId="6FD992D3">
            <w:pPr>
              <w:pStyle w:val="125"/>
              <w:spacing w:line="240" w:lineRule="auto"/>
              <w:ind w:firstLine="0" w:firstLineChars="0"/>
              <w:rPr>
                <w:szCs w:val="21"/>
              </w:rPr>
            </w:pPr>
            <w:r>
              <w:rPr>
                <w:szCs w:val="21"/>
              </w:rPr>
              <w:t>Q=100m³/h</w:t>
            </w:r>
            <w:r>
              <w:rPr>
                <w:rFonts w:hint="eastAsia"/>
                <w:szCs w:val="21"/>
              </w:rPr>
              <w:t xml:space="preserve">, </w:t>
            </w:r>
            <w:r>
              <w:rPr>
                <w:szCs w:val="21"/>
              </w:rPr>
              <w:t>H=20m</w:t>
            </w:r>
            <w:r>
              <w:rPr>
                <w:rFonts w:hint="eastAsia"/>
                <w:szCs w:val="21"/>
              </w:rPr>
              <w:t xml:space="preserve">, </w:t>
            </w:r>
            <w:r>
              <w:rPr>
                <w:szCs w:val="21"/>
              </w:rPr>
              <w:t>N=25</w:t>
            </w:r>
            <w:r>
              <w:rPr>
                <w:rFonts w:hint="eastAsia"/>
                <w:szCs w:val="21"/>
              </w:rPr>
              <w:t>k</w:t>
            </w:r>
            <w:r>
              <w:rPr>
                <w:szCs w:val="21"/>
              </w:rPr>
              <w:t xml:space="preserve">W </w:t>
            </w:r>
          </w:p>
        </w:tc>
        <w:tc>
          <w:tcPr>
            <w:tcW w:w="440" w:type="pct"/>
            <w:vAlign w:val="center"/>
          </w:tcPr>
          <w:p w14:paraId="08E2A9FB">
            <w:pPr>
              <w:pStyle w:val="125"/>
              <w:spacing w:line="240" w:lineRule="auto"/>
              <w:ind w:firstLine="0" w:firstLineChars="0"/>
              <w:rPr>
                <w:szCs w:val="21"/>
              </w:rPr>
            </w:pPr>
            <w:r>
              <w:rPr>
                <w:szCs w:val="21"/>
              </w:rPr>
              <w:t>2</w:t>
            </w:r>
          </w:p>
        </w:tc>
        <w:tc>
          <w:tcPr>
            <w:tcW w:w="440" w:type="pct"/>
            <w:tcBorders>
              <w:right w:val="single" w:color="auto" w:sz="4" w:space="0"/>
            </w:tcBorders>
            <w:vAlign w:val="center"/>
          </w:tcPr>
          <w:p w14:paraId="7A9FC970">
            <w:pPr>
              <w:pStyle w:val="125"/>
              <w:spacing w:line="240" w:lineRule="auto"/>
              <w:ind w:firstLine="0" w:firstLineChars="0"/>
              <w:rPr>
                <w:szCs w:val="21"/>
              </w:rPr>
            </w:pPr>
            <w:r>
              <w:rPr>
                <w:rFonts w:hint="eastAsia"/>
                <w:szCs w:val="21"/>
              </w:rPr>
              <w:t>利旧</w:t>
            </w:r>
          </w:p>
        </w:tc>
      </w:tr>
      <w:tr w14:paraId="10901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50C26DA">
            <w:pPr>
              <w:pStyle w:val="125"/>
              <w:numPr>
                <w:ilvl w:val="0"/>
                <w:numId w:val="20"/>
              </w:numPr>
              <w:spacing w:line="240" w:lineRule="auto"/>
              <w:ind w:firstLineChars="0"/>
              <w:rPr>
                <w:szCs w:val="21"/>
              </w:rPr>
            </w:pPr>
          </w:p>
        </w:tc>
        <w:tc>
          <w:tcPr>
            <w:tcW w:w="1271" w:type="pct"/>
            <w:tcBorders>
              <w:right w:val="single" w:color="auto" w:sz="4" w:space="0"/>
            </w:tcBorders>
            <w:vAlign w:val="center"/>
          </w:tcPr>
          <w:p w14:paraId="0E3B452D">
            <w:pPr>
              <w:pStyle w:val="125"/>
              <w:spacing w:line="240" w:lineRule="auto"/>
              <w:ind w:firstLine="0" w:firstLineChars="0"/>
              <w:rPr>
                <w:szCs w:val="21"/>
              </w:rPr>
            </w:pPr>
            <w:r>
              <w:rPr>
                <w:szCs w:val="21"/>
              </w:rPr>
              <w:t>1#~16#</w:t>
            </w:r>
            <w:r>
              <w:rPr>
                <w:rFonts w:hint="eastAsia"/>
                <w:szCs w:val="21"/>
              </w:rPr>
              <w:t>焦油氨水分离罐</w:t>
            </w:r>
          </w:p>
        </w:tc>
        <w:tc>
          <w:tcPr>
            <w:tcW w:w="2334" w:type="pct"/>
            <w:tcBorders>
              <w:left w:val="single" w:color="auto" w:sz="4" w:space="0"/>
            </w:tcBorders>
            <w:vAlign w:val="center"/>
          </w:tcPr>
          <w:p w14:paraId="12D989DF">
            <w:pPr>
              <w:pStyle w:val="125"/>
              <w:spacing w:line="240" w:lineRule="auto"/>
              <w:ind w:firstLine="0" w:firstLineChars="0"/>
              <w:rPr>
                <w:szCs w:val="21"/>
              </w:rPr>
            </w:pPr>
            <w:r>
              <w:rPr>
                <w:rFonts w:ascii="Cambria Math" w:hAnsi="Cambria Math" w:cs="Cambria Math"/>
                <w:szCs w:val="21"/>
              </w:rPr>
              <w:t>∅</w:t>
            </w:r>
            <w:r>
              <w:rPr>
                <w:rFonts w:hint="eastAsia"/>
                <w:szCs w:val="21"/>
              </w:rPr>
              <w:t>8</w:t>
            </w:r>
            <w:r>
              <w:rPr>
                <w:szCs w:val="21"/>
              </w:rPr>
              <w:t>m×</w:t>
            </w:r>
            <w:r>
              <w:rPr>
                <w:rFonts w:hint="eastAsia"/>
                <w:szCs w:val="21"/>
              </w:rPr>
              <w:t>7.5</w:t>
            </w:r>
            <w:r>
              <w:rPr>
                <w:szCs w:val="21"/>
              </w:rPr>
              <w:t>m</w:t>
            </w:r>
            <w:r>
              <w:rPr>
                <w:rFonts w:hint="eastAsia"/>
                <w:szCs w:val="21"/>
              </w:rPr>
              <w:t>，设计压力</w:t>
            </w:r>
            <w:r>
              <w:rPr>
                <w:szCs w:val="21"/>
              </w:rPr>
              <w:t>0.1M</w:t>
            </w:r>
            <w:r>
              <w:rPr>
                <w:rFonts w:hint="eastAsia"/>
                <w:szCs w:val="21"/>
              </w:rPr>
              <w:t>P</w:t>
            </w:r>
            <w:r>
              <w:rPr>
                <w:szCs w:val="21"/>
              </w:rPr>
              <w:t>a</w:t>
            </w:r>
            <w:r>
              <w:rPr>
                <w:rFonts w:hint="eastAsia"/>
                <w:szCs w:val="21"/>
              </w:rPr>
              <w:t>，设计温度</w:t>
            </w:r>
            <w:r>
              <w:rPr>
                <w:szCs w:val="21"/>
              </w:rPr>
              <w:t>90</w:t>
            </w:r>
            <w:r>
              <w:rPr>
                <w:rFonts w:hint="eastAsia"/>
                <w:szCs w:val="21"/>
              </w:rPr>
              <w:t>℃，需做防腐保温</w:t>
            </w:r>
          </w:p>
        </w:tc>
        <w:tc>
          <w:tcPr>
            <w:tcW w:w="440" w:type="pct"/>
            <w:vAlign w:val="center"/>
          </w:tcPr>
          <w:p w14:paraId="3E8ADE2B">
            <w:pPr>
              <w:pStyle w:val="125"/>
              <w:spacing w:line="240" w:lineRule="auto"/>
              <w:ind w:firstLine="0" w:firstLineChars="0"/>
              <w:rPr>
                <w:szCs w:val="21"/>
              </w:rPr>
            </w:pPr>
            <w:r>
              <w:rPr>
                <w:szCs w:val="21"/>
              </w:rPr>
              <w:t>16</w:t>
            </w:r>
          </w:p>
        </w:tc>
        <w:tc>
          <w:tcPr>
            <w:tcW w:w="440" w:type="pct"/>
            <w:tcBorders>
              <w:right w:val="single" w:color="auto" w:sz="4" w:space="0"/>
            </w:tcBorders>
            <w:vAlign w:val="center"/>
          </w:tcPr>
          <w:p w14:paraId="7079ED43">
            <w:pPr>
              <w:pStyle w:val="125"/>
              <w:spacing w:line="240" w:lineRule="auto"/>
              <w:ind w:firstLine="0" w:firstLineChars="0"/>
              <w:rPr>
                <w:szCs w:val="21"/>
              </w:rPr>
            </w:pPr>
          </w:p>
        </w:tc>
      </w:tr>
      <w:tr w14:paraId="3A441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027A16CD">
            <w:pPr>
              <w:pStyle w:val="125"/>
              <w:numPr>
                <w:ilvl w:val="0"/>
                <w:numId w:val="20"/>
              </w:numPr>
              <w:spacing w:line="240" w:lineRule="auto"/>
              <w:ind w:firstLineChars="0"/>
              <w:rPr>
                <w:szCs w:val="21"/>
              </w:rPr>
            </w:pPr>
          </w:p>
        </w:tc>
        <w:tc>
          <w:tcPr>
            <w:tcW w:w="1271" w:type="pct"/>
            <w:tcBorders>
              <w:right w:val="single" w:color="auto" w:sz="4" w:space="0"/>
            </w:tcBorders>
            <w:vAlign w:val="center"/>
          </w:tcPr>
          <w:p w14:paraId="20C9574B">
            <w:pPr>
              <w:pStyle w:val="125"/>
              <w:spacing w:line="240" w:lineRule="auto"/>
              <w:ind w:firstLine="0" w:firstLineChars="0"/>
              <w:rPr>
                <w:szCs w:val="21"/>
              </w:rPr>
            </w:pPr>
            <w:r>
              <w:rPr>
                <w:szCs w:val="21"/>
              </w:rPr>
              <w:t>1#~4#</w:t>
            </w:r>
            <w:r>
              <w:rPr>
                <w:rFonts w:hint="eastAsia"/>
                <w:szCs w:val="21"/>
              </w:rPr>
              <w:t>焦油氨水分离槽</w:t>
            </w:r>
          </w:p>
        </w:tc>
        <w:tc>
          <w:tcPr>
            <w:tcW w:w="2334" w:type="pct"/>
            <w:tcBorders>
              <w:left w:val="single" w:color="auto" w:sz="4" w:space="0"/>
            </w:tcBorders>
            <w:vAlign w:val="center"/>
          </w:tcPr>
          <w:p w14:paraId="6726A127">
            <w:pPr>
              <w:pStyle w:val="125"/>
              <w:spacing w:line="240" w:lineRule="auto"/>
              <w:ind w:firstLine="0" w:firstLineChars="0"/>
              <w:rPr>
                <w:szCs w:val="21"/>
              </w:rPr>
            </w:pPr>
            <w:r>
              <w:rPr>
                <w:rFonts w:hint="eastAsia"/>
                <w:szCs w:val="21"/>
              </w:rPr>
              <w:t>卧式罐，</w:t>
            </w:r>
            <w:r>
              <w:rPr>
                <w:rFonts w:ascii="Cambria Math" w:hAnsi="Cambria Math" w:cs="Cambria Math"/>
                <w:szCs w:val="21"/>
              </w:rPr>
              <w:t>∅</w:t>
            </w:r>
            <w:r>
              <w:rPr>
                <w:rFonts w:hint="eastAsia"/>
                <w:szCs w:val="21"/>
              </w:rPr>
              <w:t>2.8</w:t>
            </w:r>
            <w:r>
              <w:rPr>
                <w:szCs w:val="21"/>
              </w:rPr>
              <w:t>m×</w:t>
            </w:r>
            <w:r>
              <w:rPr>
                <w:rFonts w:hint="eastAsia"/>
                <w:szCs w:val="21"/>
              </w:rPr>
              <w:t>14</w:t>
            </w:r>
            <w:r>
              <w:rPr>
                <w:szCs w:val="21"/>
              </w:rPr>
              <w:t>m</w:t>
            </w:r>
            <w:r>
              <w:rPr>
                <w:rFonts w:hint="eastAsia"/>
                <w:szCs w:val="21"/>
              </w:rPr>
              <w:t>，设计压力</w:t>
            </w:r>
            <w:r>
              <w:rPr>
                <w:szCs w:val="21"/>
              </w:rPr>
              <w:t>0.1M</w:t>
            </w:r>
            <w:r>
              <w:rPr>
                <w:rFonts w:hint="eastAsia"/>
                <w:szCs w:val="21"/>
              </w:rPr>
              <w:t>P</w:t>
            </w:r>
            <w:r>
              <w:rPr>
                <w:szCs w:val="21"/>
              </w:rPr>
              <w:t>a</w:t>
            </w:r>
            <w:r>
              <w:rPr>
                <w:rFonts w:hint="eastAsia"/>
                <w:szCs w:val="21"/>
              </w:rPr>
              <w:t>，设计温度</w:t>
            </w:r>
            <w:r>
              <w:rPr>
                <w:szCs w:val="21"/>
              </w:rPr>
              <w:t>90</w:t>
            </w:r>
            <w:r>
              <w:rPr>
                <w:rFonts w:hint="eastAsia"/>
                <w:szCs w:val="21"/>
              </w:rPr>
              <w:t>℃，需做防腐保温</w:t>
            </w:r>
          </w:p>
        </w:tc>
        <w:tc>
          <w:tcPr>
            <w:tcW w:w="440" w:type="pct"/>
            <w:vAlign w:val="center"/>
          </w:tcPr>
          <w:p w14:paraId="50013BE5">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5A639B27">
            <w:pPr>
              <w:pStyle w:val="125"/>
              <w:spacing w:line="240" w:lineRule="auto"/>
              <w:ind w:firstLine="0" w:firstLineChars="0"/>
              <w:rPr>
                <w:szCs w:val="21"/>
              </w:rPr>
            </w:pPr>
          </w:p>
        </w:tc>
      </w:tr>
      <w:tr w14:paraId="670AE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0D89983">
            <w:pPr>
              <w:pStyle w:val="125"/>
              <w:spacing w:line="240" w:lineRule="auto"/>
              <w:ind w:firstLine="0" w:firstLineChars="0"/>
              <w:rPr>
                <w:szCs w:val="21"/>
              </w:rPr>
            </w:pPr>
            <w:r>
              <w:rPr>
                <w:rFonts w:hint="eastAsia"/>
                <w:szCs w:val="21"/>
              </w:rPr>
              <w:t>六</w:t>
            </w:r>
          </w:p>
        </w:tc>
        <w:tc>
          <w:tcPr>
            <w:tcW w:w="4485" w:type="pct"/>
            <w:gridSpan w:val="4"/>
            <w:tcBorders>
              <w:right w:val="single" w:color="auto" w:sz="4" w:space="0"/>
            </w:tcBorders>
            <w:vAlign w:val="center"/>
          </w:tcPr>
          <w:p w14:paraId="708630CC">
            <w:pPr>
              <w:pStyle w:val="125"/>
              <w:spacing w:line="240" w:lineRule="auto"/>
              <w:ind w:firstLine="0" w:firstLineChars="0"/>
              <w:rPr>
                <w:szCs w:val="21"/>
              </w:rPr>
            </w:pPr>
            <w:r>
              <w:rPr>
                <w:rFonts w:hint="eastAsia"/>
                <w:szCs w:val="21"/>
              </w:rPr>
              <w:t>循环冷却水系统</w:t>
            </w:r>
          </w:p>
        </w:tc>
      </w:tr>
      <w:tr w14:paraId="0441C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281D5A29">
            <w:pPr>
              <w:pStyle w:val="125"/>
              <w:numPr>
                <w:ilvl w:val="0"/>
                <w:numId w:val="21"/>
              </w:numPr>
              <w:spacing w:line="240" w:lineRule="auto"/>
              <w:ind w:firstLineChars="0"/>
              <w:rPr>
                <w:szCs w:val="21"/>
              </w:rPr>
            </w:pPr>
          </w:p>
        </w:tc>
        <w:tc>
          <w:tcPr>
            <w:tcW w:w="1271" w:type="pct"/>
            <w:tcBorders>
              <w:right w:val="single" w:color="auto" w:sz="4" w:space="0"/>
            </w:tcBorders>
            <w:vAlign w:val="center"/>
          </w:tcPr>
          <w:p w14:paraId="09189517">
            <w:pPr>
              <w:pStyle w:val="125"/>
              <w:spacing w:line="240" w:lineRule="auto"/>
              <w:ind w:firstLine="0" w:firstLineChars="0"/>
              <w:rPr>
                <w:szCs w:val="21"/>
              </w:rPr>
            </w:pPr>
            <w:r>
              <w:rPr>
                <w:rFonts w:hint="eastAsia"/>
                <w:szCs w:val="21"/>
              </w:rPr>
              <w:t>1#~3#循环水泵</w:t>
            </w:r>
          </w:p>
        </w:tc>
        <w:tc>
          <w:tcPr>
            <w:tcW w:w="2334" w:type="pct"/>
            <w:tcBorders>
              <w:left w:val="single" w:color="auto" w:sz="4" w:space="0"/>
            </w:tcBorders>
            <w:vAlign w:val="center"/>
          </w:tcPr>
          <w:p w14:paraId="0F1C3DB1">
            <w:pPr>
              <w:pStyle w:val="125"/>
              <w:spacing w:line="240" w:lineRule="auto"/>
              <w:ind w:firstLine="0" w:firstLineChars="0"/>
              <w:rPr>
                <w:szCs w:val="21"/>
              </w:rPr>
            </w:pPr>
            <w:r>
              <w:rPr>
                <w:szCs w:val="21"/>
              </w:rPr>
              <w:t>Q=1170m³/h</w:t>
            </w:r>
            <w:r>
              <w:rPr>
                <w:rFonts w:hint="eastAsia"/>
                <w:szCs w:val="21"/>
              </w:rPr>
              <w:t xml:space="preserve">, </w:t>
            </w:r>
            <w:r>
              <w:rPr>
                <w:szCs w:val="21"/>
              </w:rPr>
              <w:t>P=0.65MPa</w:t>
            </w:r>
          </w:p>
        </w:tc>
        <w:tc>
          <w:tcPr>
            <w:tcW w:w="440" w:type="pct"/>
            <w:vAlign w:val="center"/>
          </w:tcPr>
          <w:p w14:paraId="49777AD4">
            <w:pPr>
              <w:pStyle w:val="125"/>
              <w:spacing w:line="240" w:lineRule="auto"/>
              <w:ind w:firstLine="0" w:firstLineChars="0"/>
              <w:rPr>
                <w:szCs w:val="21"/>
              </w:rPr>
            </w:pPr>
            <w:r>
              <w:rPr>
                <w:szCs w:val="21"/>
              </w:rPr>
              <w:t>3</w:t>
            </w:r>
          </w:p>
        </w:tc>
        <w:tc>
          <w:tcPr>
            <w:tcW w:w="440" w:type="pct"/>
            <w:tcBorders>
              <w:right w:val="single" w:color="auto" w:sz="4" w:space="0"/>
            </w:tcBorders>
            <w:vAlign w:val="center"/>
          </w:tcPr>
          <w:p w14:paraId="07AFF474">
            <w:pPr>
              <w:pStyle w:val="125"/>
              <w:spacing w:line="240" w:lineRule="auto"/>
              <w:ind w:firstLine="0" w:firstLineChars="0"/>
              <w:rPr>
                <w:szCs w:val="21"/>
              </w:rPr>
            </w:pPr>
            <w:r>
              <w:rPr>
                <w:rFonts w:hint="eastAsia"/>
                <w:szCs w:val="21"/>
              </w:rPr>
              <w:t>利旧</w:t>
            </w:r>
          </w:p>
        </w:tc>
      </w:tr>
      <w:tr w14:paraId="5A28B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B633293">
            <w:pPr>
              <w:pStyle w:val="125"/>
              <w:numPr>
                <w:ilvl w:val="0"/>
                <w:numId w:val="21"/>
              </w:numPr>
              <w:spacing w:line="240" w:lineRule="auto"/>
              <w:ind w:firstLineChars="0"/>
              <w:rPr>
                <w:szCs w:val="21"/>
              </w:rPr>
            </w:pPr>
          </w:p>
        </w:tc>
        <w:tc>
          <w:tcPr>
            <w:tcW w:w="1271" w:type="pct"/>
            <w:tcBorders>
              <w:right w:val="single" w:color="auto" w:sz="4" w:space="0"/>
            </w:tcBorders>
            <w:vAlign w:val="center"/>
          </w:tcPr>
          <w:p w14:paraId="5798119C">
            <w:pPr>
              <w:pStyle w:val="125"/>
              <w:spacing w:line="240" w:lineRule="auto"/>
              <w:ind w:firstLine="0" w:firstLineChars="0"/>
              <w:rPr>
                <w:szCs w:val="21"/>
              </w:rPr>
            </w:pPr>
            <w:r>
              <w:rPr>
                <w:rFonts w:hint="eastAsia"/>
                <w:szCs w:val="21"/>
              </w:rPr>
              <w:t>4#~5#循环水泵</w:t>
            </w:r>
          </w:p>
        </w:tc>
        <w:tc>
          <w:tcPr>
            <w:tcW w:w="2334" w:type="pct"/>
            <w:tcBorders>
              <w:left w:val="single" w:color="auto" w:sz="4" w:space="0"/>
            </w:tcBorders>
            <w:vAlign w:val="center"/>
          </w:tcPr>
          <w:p w14:paraId="7FE87033">
            <w:pPr>
              <w:pStyle w:val="125"/>
              <w:spacing w:line="240" w:lineRule="auto"/>
              <w:ind w:firstLine="0" w:firstLineChars="0"/>
              <w:rPr>
                <w:szCs w:val="21"/>
              </w:rPr>
            </w:pPr>
            <w:r>
              <w:rPr>
                <w:szCs w:val="21"/>
              </w:rPr>
              <w:t>Q=1170m³/h</w:t>
            </w:r>
            <w:r>
              <w:rPr>
                <w:rFonts w:hint="eastAsia"/>
                <w:szCs w:val="21"/>
              </w:rPr>
              <w:t xml:space="preserve">, </w:t>
            </w:r>
            <w:r>
              <w:rPr>
                <w:szCs w:val="21"/>
              </w:rPr>
              <w:t>P=0.65MPa</w:t>
            </w:r>
          </w:p>
        </w:tc>
        <w:tc>
          <w:tcPr>
            <w:tcW w:w="440" w:type="pct"/>
            <w:vAlign w:val="center"/>
          </w:tcPr>
          <w:p w14:paraId="13254F43">
            <w:pPr>
              <w:pStyle w:val="125"/>
              <w:spacing w:line="240" w:lineRule="auto"/>
              <w:ind w:firstLine="0" w:firstLineChars="0"/>
              <w:rPr>
                <w:szCs w:val="21"/>
              </w:rPr>
            </w:pPr>
            <w:r>
              <w:rPr>
                <w:szCs w:val="21"/>
              </w:rPr>
              <w:t>2</w:t>
            </w:r>
          </w:p>
        </w:tc>
        <w:tc>
          <w:tcPr>
            <w:tcW w:w="440" w:type="pct"/>
            <w:tcBorders>
              <w:right w:val="single" w:color="auto" w:sz="4" w:space="0"/>
            </w:tcBorders>
            <w:vAlign w:val="center"/>
          </w:tcPr>
          <w:p w14:paraId="195E8533">
            <w:pPr>
              <w:pStyle w:val="125"/>
              <w:spacing w:line="240" w:lineRule="auto"/>
              <w:ind w:firstLine="0" w:firstLineChars="0"/>
              <w:rPr>
                <w:szCs w:val="21"/>
              </w:rPr>
            </w:pPr>
            <w:r>
              <w:rPr>
                <w:rFonts w:hint="eastAsia"/>
                <w:szCs w:val="21"/>
              </w:rPr>
              <w:t>新建</w:t>
            </w:r>
          </w:p>
        </w:tc>
      </w:tr>
      <w:tr w14:paraId="35AD6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604F03B">
            <w:pPr>
              <w:pStyle w:val="125"/>
              <w:numPr>
                <w:ilvl w:val="0"/>
                <w:numId w:val="21"/>
              </w:numPr>
              <w:spacing w:line="240" w:lineRule="auto"/>
              <w:ind w:firstLineChars="0"/>
              <w:rPr>
                <w:szCs w:val="21"/>
              </w:rPr>
            </w:pPr>
          </w:p>
        </w:tc>
        <w:tc>
          <w:tcPr>
            <w:tcW w:w="1271" w:type="pct"/>
            <w:tcBorders>
              <w:right w:val="single" w:color="auto" w:sz="4" w:space="0"/>
            </w:tcBorders>
            <w:vAlign w:val="center"/>
          </w:tcPr>
          <w:p w14:paraId="6680EED5">
            <w:pPr>
              <w:pStyle w:val="125"/>
              <w:spacing w:line="240" w:lineRule="auto"/>
              <w:ind w:firstLine="0" w:firstLineChars="0"/>
              <w:rPr>
                <w:szCs w:val="21"/>
              </w:rPr>
            </w:pPr>
            <w:r>
              <w:rPr>
                <w:rFonts w:hint="eastAsia"/>
                <w:szCs w:val="21"/>
              </w:rPr>
              <w:t>循环水池</w:t>
            </w:r>
          </w:p>
        </w:tc>
        <w:tc>
          <w:tcPr>
            <w:tcW w:w="2334" w:type="pct"/>
            <w:tcBorders>
              <w:left w:val="single" w:color="auto" w:sz="4" w:space="0"/>
            </w:tcBorders>
            <w:vAlign w:val="center"/>
          </w:tcPr>
          <w:p w14:paraId="7B5754B1">
            <w:pPr>
              <w:pStyle w:val="125"/>
              <w:spacing w:line="240" w:lineRule="auto"/>
              <w:ind w:firstLine="0" w:firstLineChars="0"/>
              <w:rPr>
                <w:szCs w:val="21"/>
              </w:rPr>
            </w:pPr>
            <w:r>
              <w:rPr>
                <w:szCs w:val="21"/>
              </w:rPr>
              <w:t>33.6</w:t>
            </w:r>
            <w:r>
              <w:rPr>
                <w:rFonts w:hint="eastAsia" w:ascii="宋体" w:hAnsi="宋体"/>
                <w:szCs w:val="21"/>
              </w:rPr>
              <w:t>×</w:t>
            </w:r>
            <w:r>
              <w:rPr>
                <w:szCs w:val="21"/>
              </w:rPr>
              <w:t>8.4</w:t>
            </w:r>
            <w:r>
              <w:rPr>
                <w:rFonts w:hint="eastAsia" w:ascii="宋体" w:hAnsi="宋体"/>
                <w:szCs w:val="21"/>
              </w:rPr>
              <w:t>×</w:t>
            </w:r>
            <w:r>
              <w:rPr>
                <w:szCs w:val="21"/>
              </w:rPr>
              <w:t>6m</w:t>
            </w:r>
          </w:p>
        </w:tc>
        <w:tc>
          <w:tcPr>
            <w:tcW w:w="440" w:type="pct"/>
            <w:vAlign w:val="center"/>
          </w:tcPr>
          <w:p w14:paraId="6058F90B">
            <w:pPr>
              <w:pStyle w:val="125"/>
              <w:spacing w:line="240" w:lineRule="auto"/>
              <w:ind w:firstLine="0" w:firstLineChars="0"/>
              <w:rPr>
                <w:szCs w:val="21"/>
              </w:rPr>
            </w:pPr>
            <w:r>
              <w:rPr>
                <w:szCs w:val="21"/>
              </w:rPr>
              <w:t>1</w:t>
            </w:r>
          </w:p>
        </w:tc>
        <w:tc>
          <w:tcPr>
            <w:tcW w:w="440" w:type="pct"/>
            <w:tcBorders>
              <w:right w:val="single" w:color="auto" w:sz="4" w:space="0"/>
            </w:tcBorders>
            <w:vAlign w:val="center"/>
          </w:tcPr>
          <w:p w14:paraId="505706D1">
            <w:pPr>
              <w:pStyle w:val="125"/>
              <w:spacing w:line="240" w:lineRule="auto"/>
              <w:ind w:firstLine="0" w:firstLineChars="0"/>
              <w:rPr>
                <w:szCs w:val="21"/>
              </w:rPr>
            </w:pPr>
          </w:p>
        </w:tc>
      </w:tr>
      <w:tr w14:paraId="565278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588A0CA8">
            <w:pPr>
              <w:pStyle w:val="125"/>
              <w:numPr>
                <w:ilvl w:val="0"/>
                <w:numId w:val="21"/>
              </w:numPr>
              <w:spacing w:line="240" w:lineRule="auto"/>
              <w:ind w:firstLineChars="0"/>
              <w:rPr>
                <w:szCs w:val="21"/>
              </w:rPr>
            </w:pPr>
          </w:p>
        </w:tc>
        <w:tc>
          <w:tcPr>
            <w:tcW w:w="1271" w:type="pct"/>
            <w:tcBorders>
              <w:right w:val="single" w:color="auto" w:sz="4" w:space="0"/>
            </w:tcBorders>
            <w:vAlign w:val="center"/>
          </w:tcPr>
          <w:p w14:paraId="43146472">
            <w:pPr>
              <w:pStyle w:val="125"/>
              <w:spacing w:line="240" w:lineRule="auto"/>
              <w:ind w:firstLine="0" w:firstLineChars="0"/>
              <w:rPr>
                <w:szCs w:val="21"/>
              </w:rPr>
            </w:pPr>
            <w:r>
              <w:rPr>
                <w:szCs w:val="21"/>
              </w:rPr>
              <w:t>1#~3#</w:t>
            </w:r>
            <w:r>
              <w:rPr>
                <w:rFonts w:hint="eastAsia"/>
                <w:szCs w:val="21"/>
              </w:rPr>
              <w:t>凉水塔</w:t>
            </w:r>
          </w:p>
        </w:tc>
        <w:tc>
          <w:tcPr>
            <w:tcW w:w="2334" w:type="pct"/>
            <w:tcBorders>
              <w:left w:val="single" w:color="auto" w:sz="4" w:space="0"/>
            </w:tcBorders>
            <w:vAlign w:val="center"/>
          </w:tcPr>
          <w:p w14:paraId="005E33F9">
            <w:pPr>
              <w:pStyle w:val="125"/>
              <w:spacing w:line="240" w:lineRule="auto"/>
              <w:ind w:firstLine="0" w:firstLineChars="0"/>
              <w:rPr>
                <w:szCs w:val="21"/>
              </w:rPr>
            </w:pPr>
            <w:r>
              <w:rPr>
                <w:rFonts w:hint="eastAsia"/>
                <w:szCs w:val="21"/>
              </w:rPr>
              <w:t>处理量</w:t>
            </w:r>
            <w:r>
              <w:rPr>
                <w:szCs w:val="21"/>
              </w:rPr>
              <w:t>Q=1000m³/h</w:t>
            </w:r>
            <w:r>
              <w:rPr>
                <w:rFonts w:hint="eastAsia"/>
                <w:szCs w:val="21"/>
              </w:rPr>
              <w:t>，</w:t>
            </w:r>
            <w:r>
              <w:rPr>
                <w:szCs w:val="21"/>
              </w:rPr>
              <w:t>P=30</w:t>
            </w:r>
            <w:r>
              <w:rPr>
                <w:rFonts w:hint="eastAsia"/>
                <w:szCs w:val="21"/>
              </w:rPr>
              <w:t>k</w:t>
            </w:r>
            <w:r>
              <w:rPr>
                <w:szCs w:val="21"/>
              </w:rPr>
              <w:t>W</w:t>
            </w:r>
          </w:p>
        </w:tc>
        <w:tc>
          <w:tcPr>
            <w:tcW w:w="440" w:type="pct"/>
            <w:vAlign w:val="center"/>
          </w:tcPr>
          <w:p w14:paraId="38FC80AB">
            <w:pPr>
              <w:pStyle w:val="125"/>
              <w:spacing w:line="240" w:lineRule="auto"/>
              <w:ind w:firstLine="0" w:firstLineChars="0"/>
              <w:rPr>
                <w:szCs w:val="21"/>
              </w:rPr>
            </w:pPr>
            <w:r>
              <w:rPr>
                <w:szCs w:val="21"/>
              </w:rPr>
              <w:t>2</w:t>
            </w:r>
          </w:p>
        </w:tc>
        <w:tc>
          <w:tcPr>
            <w:tcW w:w="440" w:type="pct"/>
            <w:tcBorders>
              <w:right w:val="single" w:color="auto" w:sz="4" w:space="0"/>
            </w:tcBorders>
            <w:vAlign w:val="center"/>
          </w:tcPr>
          <w:p w14:paraId="49E0F637">
            <w:pPr>
              <w:pStyle w:val="125"/>
              <w:spacing w:line="240" w:lineRule="auto"/>
              <w:ind w:firstLine="0" w:firstLineChars="0"/>
              <w:rPr>
                <w:szCs w:val="21"/>
              </w:rPr>
            </w:pPr>
            <w:r>
              <w:rPr>
                <w:rFonts w:hint="eastAsia"/>
                <w:szCs w:val="21"/>
              </w:rPr>
              <w:t>利旧</w:t>
            </w:r>
          </w:p>
        </w:tc>
      </w:tr>
      <w:tr w14:paraId="5E07F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34F4A5A9">
            <w:pPr>
              <w:pStyle w:val="125"/>
              <w:numPr>
                <w:ilvl w:val="0"/>
                <w:numId w:val="21"/>
              </w:numPr>
              <w:spacing w:line="240" w:lineRule="auto"/>
              <w:ind w:firstLineChars="0"/>
              <w:rPr>
                <w:szCs w:val="21"/>
              </w:rPr>
            </w:pPr>
          </w:p>
        </w:tc>
        <w:tc>
          <w:tcPr>
            <w:tcW w:w="1271" w:type="pct"/>
            <w:tcBorders>
              <w:right w:val="single" w:color="auto" w:sz="4" w:space="0"/>
            </w:tcBorders>
            <w:vAlign w:val="center"/>
          </w:tcPr>
          <w:p w14:paraId="28840E47">
            <w:pPr>
              <w:pStyle w:val="125"/>
              <w:spacing w:line="240" w:lineRule="auto"/>
              <w:ind w:firstLine="0" w:firstLineChars="0"/>
              <w:rPr>
                <w:szCs w:val="21"/>
              </w:rPr>
            </w:pPr>
            <w:r>
              <w:rPr>
                <w:szCs w:val="21"/>
              </w:rPr>
              <w:t>4#</w:t>
            </w:r>
            <w:r>
              <w:rPr>
                <w:rFonts w:hint="eastAsia"/>
                <w:szCs w:val="21"/>
              </w:rPr>
              <w:t>凉水塔</w:t>
            </w:r>
          </w:p>
        </w:tc>
        <w:tc>
          <w:tcPr>
            <w:tcW w:w="2334" w:type="pct"/>
            <w:tcBorders>
              <w:left w:val="single" w:color="auto" w:sz="4" w:space="0"/>
            </w:tcBorders>
            <w:vAlign w:val="center"/>
          </w:tcPr>
          <w:p w14:paraId="6D247103">
            <w:pPr>
              <w:pStyle w:val="125"/>
              <w:spacing w:line="240" w:lineRule="auto"/>
              <w:ind w:firstLine="0" w:firstLineChars="0"/>
              <w:rPr>
                <w:szCs w:val="21"/>
              </w:rPr>
            </w:pPr>
            <w:r>
              <w:rPr>
                <w:rFonts w:hint="eastAsia"/>
                <w:szCs w:val="21"/>
              </w:rPr>
              <w:t>处理量</w:t>
            </w:r>
            <w:r>
              <w:rPr>
                <w:szCs w:val="21"/>
              </w:rPr>
              <w:t>Q=1000m³/h</w:t>
            </w:r>
            <w:r>
              <w:rPr>
                <w:rFonts w:hint="eastAsia"/>
                <w:szCs w:val="21"/>
              </w:rPr>
              <w:t>，</w:t>
            </w:r>
            <w:r>
              <w:rPr>
                <w:szCs w:val="21"/>
              </w:rPr>
              <w:t>P=30</w:t>
            </w:r>
            <w:r>
              <w:rPr>
                <w:rFonts w:hint="eastAsia"/>
                <w:szCs w:val="21"/>
              </w:rPr>
              <w:t>k</w:t>
            </w:r>
            <w:r>
              <w:rPr>
                <w:szCs w:val="21"/>
              </w:rPr>
              <w:t>W</w:t>
            </w:r>
          </w:p>
        </w:tc>
        <w:tc>
          <w:tcPr>
            <w:tcW w:w="440" w:type="pct"/>
            <w:vAlign w:val="center"/>
          </w:tcPr>
          <w:p w14:paraId="2A107B46">
            <w:pPr>
              <w:pStyle w:val="125"/>
              <w:spacing w:line="240" w:lineRule="auto"/>
              <w:ind w:firstLine="0" w:firstLineChars="0"/>
              <w:rPr>
                <w:szCs w:val="21"/>
              </w:rPr>
            </w:pPr>
            <w:r>
              <w:rPr>
                <w:szCs w:val="21"/>
              </w:rPr>
              <w:t>1</w:t>
            </w:r>
          </w:p>
        </w:tc>
        <w:tc>
          <w:tcPr>
            <w:tcW w:w="440" w:type="pct"/>
            <w:tcBorders>
              <w:right w:val="single" w:color="auto" w:sz="4" w:space="0"/>
            </w:tcBorders>
            <w:vAlign w:val="center"/>
          </w:tcPr>
          <w:p w14:paraId="5555F795">
            <w:pPr>
              <w:pStyle w:val="125"/>
              <w:spacing w:line="240" w:lineRule="auto"/>
              <w:ind w:firstLine="0" w:firstLineChars="0"/>
              <w:rPr>
                <w:szCs w:val="21"/>
              </w:rPr>
            </w:pPr>
            <w:r>
              <w:rPr>
                <w:rFonts w:hint="eastAsia"/>
                <w:szCs w:val="21"/>
              </w:rPr>
              <w:t>新建</w:t>
            </w:r>
          </w:p>
        </w:tc>
      </w:tr>
      <w:tr w14:paraId="38104B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7192577A">
            <w:pPr>
              <w:pStyle w:val="125"/>
              <w:spacing w:line="240" w:lineRule="auto"/>
              <w:ind w:firstLine="0" w:firstLineChars="0"/>
              <w:rPr>
                <w:szCs w:val="21"/>
              </w:rPr>
            </w:pPr>
            <w:r>
              <w:rPr>
                <w:rFonts w:hint="eastAsia"/>
                <w:szCs w:val="21"/>
              </w:rPr>
              <w:t>六</w:t>
            </w:r>
          </w:p>
        </w:tc>
        <w:tc>
          <w:tcPr>
            <w:tcW w:w="4485" w:type="pct"/>
            <w:gridSpan w:val="4"/>
            <w:tcBorders>
              <w:right w:val="single" w:color="auto" w:sz="4" w:space="0"/>
            </w:tcBorders>
            <w:vAlign w:val="center"/>
          </w:tcPr>
          <w:p w14:paraId="1632DB35">
            <w:pPr>
              <w:pStyle w:val="125"/>
              <w:spacing w:line="240" w:lineRule="auto"/>
              <w:ind w:firstLine="420"/>
              <w:rPr>
                <w:szCs w:val="21"/>
              </w:rPr>
            </w:pPr>
            <w:r>
              <w:rPr>
                <w:rFonts w:hint="eastAsia"/>
                <w:szCs w:val="21"/>
              </w:rPr>
              <w:t>焦油储运提供</w:t>
            </w:r>
          </w:p>
        </w:tc>
      </w:tr>
      <w:tr w14:paraId="0D873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64353538">
            <w:pPr>
              <w:pStyle w:val="125"/>
              <w:numPr>
                <w:ilvl w:val="0"/>
                <w:numId w:val="22"/>
              </w:numPr>
              <w:spacing w:line="240" w:lineRule="auto"/>
              <w:ind w:firstLineChars="0"/>
              <w:rPr>
                <w:szCs w:val="21"/>
              </w:rPr>
            </w:pPr>
          </w:p>
        </w:tc>
        <w:tc>
          <w:tcPr>
            <w:tcW w:w="1271" w:type="pct"/>
            <w:tcBorders>
              <w:right w:val="single" w:color="auto" w:sz="4" w:space="0"/>
            </w:tcBorders>
            <w:vAlign w:val="center"/>
          </w:tcPr>
          <w:p w14:paraId="684796B5">
            <w:pPr>
              <w:pStyle w:val="125"/>
              <w:spacing w:line="240" w:lineRule="auto"/>
              <w:ind w:firstLine="0" w:firstLineChars="0"/>
              <w:rPr>
                <w:szCs w:val="21"/>
              </w:rPr>
            </w:pPr>
            <w:r>
              <w:rPr>
                <w:szCs w:val="21"/>
              </w:rPr>
              <w:t>焦油装车泵A/B/C</w:t>
            </w:r>
          </w:p>
        </w:tc>
        <w:tc>
          <w:tcPr>
            <w:tcW w:w="2334" w:type="pct"/>
            <w:tcBorders>
              <w:left w:val="single" w:color="auto" w:sz="4" w:space="0"/>
            </w:tcBorders>
            <w:vAlign w:val="center"/>
          </w:tcPr>
          <w:p w14:paraId="1D6D9724">
            <w:pPr>
              <w:pStyle w:val="125"/>
              <w:spacing w:line="240" w:lineRule="auto"/>
              <w:ind w:firstLine="420"/>
              <w:rPr>
                <w:szCs w:val="21"/>
              </w:rPr>
            </w:pPr>
            <w:r>
              <w:rPr>
                <w:szCs w:val="21"/>
              </w:rPr>
              <w:t>Q=100m³/h</w:t>
            </w:r>
            <w:r>
              <w:rPr>
                <w:rFonts w:hint="eastAsia"/>
                <w:szCs w:val="21"/>
              </w:rPr>
              <w:t xml:space="preserve">, </w:t>
            </w:r>
            <w:r>
              <w:rPr>
                <w:szCs w:val="21"/>
              </w:rPr>
              <w:t>H=30m</w:t>
            </w:r>
            <w:r>
              <w:rPr>
                <w:rFonts w:hint="eastAsia"/>
                <w:szCs w:val="21"/>
              </w:rPr>
              <w:t xml:space="preserve">, </w:t>
            </w:r>
            <w:r>
              <w:rPr>
                <w:szCs w:val="21"/>
              </w:rPr>
              <w:t>N=15</w:t>
            </w:r>
            <w:r>
              <w:rPr>
                <w:rFonts w:hint="eastAsia"/>
                <w:szCs w:val="21"/>
              </w:rPr>
              <w:t>k</w:t>
            </w:r>
            <w:r>
              <w:rPr>
                <w:szCs w:val="21"/>
              </w:rPr>
              <w:t>W</w:t>
            </w:r>
          </w:p>
        </w:tc>
        <w:tc>
          <w:tcPr>
            <w:tcW w:w="440" w:type="pct"/>
            <w:vAlign w:val="center"/>
          </w:tcPr>
          <w:p w14:paraId="104BFD73">
            <w:pPr>
              <w:pStyle w:val="125"/>
              <w:spacing w:line="240" w:lineRule="auto"/>
              <w:ind w:firstLine="0" w:firstLineChars="0"/>
              <w:rPr>
                <w:szCs w:val="21"/>
              </w:rPr>
            </w:pPr>
            <w:r>
              <w:rPr>
                <w:szCs w:val="21"/>
              </w:rPr>
              <w:t>2</w:t>
            </w:r>
          </w:p>
        </w:tc>
        <w:tc>
          <w:tcPr>
            <w:tcW w:w="440" w:type="pct"/>
            <w:tcBorders>
              <w:right w:val="single" w:color="auto" w:sz="4" w:space="0"/>
            </w:tcBorders>
            <w:vAlign w:val="center"/>
          </w:tcPr>
          <w:p w14:paraId="4E46CF30">
            <w:pPr>
              <w:pStyle w:val="125"/>
              <w:spacing w:line="240" w:lineRule="auto"/>
              <w:ind w:firstLine="0" w:firstLineChars="0"/>
              <w:rPr>
                <w:szCs w:val="21"/>
              </w:rPr>
            </w:pPr>
            <w:r>
              <w:rPr>
                <w:rFonts w:hint="eastAsia"/>
                <w:szCs w:val="21"/>
              </w:rPr>
              <w:t>利旧</w:t>
            </w:r>
          </w:p>
        </w:tc>
      </w:tr>
      <w:tr w14:paraId="0E2011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5" w:type="pct"/>
            <w:vAlign w:val="center"/>
          </w:tcPr>
          <w:p w14:paraId="17534824">
            <w:pPr>
              <w:pStyle w:val="125"/>
              <w:numPr>
                <w:ilvl w:val="0"/>
                <w:numId w:val="22"/>
              </w:numPr>
              <w:spacing w:line="240" w:lineRule="auto"/>
              <w:ind w:firstLineChars="0"/>
              <w:rPr>
                <w:szCs w:val="21"/>
              </w:rPr>
            </w:pPr>
          </w:p>
        </w:tc>
        <w:tc>
          <w:tcPr>
            <w:tcW w:w="1271" w:type="pct"/>
            <w:tcBorders>
              <w:right w:val="single" w:color="auto" w:sz="4" w:space="0"/>
            </w:tcBorders>
            <w:vAlign w:val="center"/>
          </w:tcPr>
          <w:p w14:paraId="71035455">
            <w:pPr>
              <w:pStyle w:val="125"/>
              <w:spacing w:line="240" w:lineRule="auto"/>
              <w:ind w:firstLine="0" w:firstLineChars="0"/>
              <w:rPr>
                <w:szCs w:val="21"/>
              </w:rPr>
            </w:pPr>
            <w:r>
              <w:rPr>
                <w:szCs w:val="21"/>
              </w:rPr>
              <w:t>1#~4#</w:t>
            </w:r>
            <w:r>
              <w:rPr>
                <w:rFonts w:hint="eastAsia"/>
                <w:szCs w:val="21"/>
              </w:rPr>
              <w:t>焦油储罐</w:t>
            </w:r>
          </w:p>
        </w:tc>
        <w:tc>
          <w:tcPr>
            <w:tcW w:w="2334" w:type="pct"/>
            <w:tcBorders>
              <w:left w:val="single" w:color="auto" w:sz="4" w:space="0"/>
            </w:tcBorders>
            <w:vAlign w:val="center"/>
          </w:tcPr>
          <w:p w14:paraId="27C7371E">
            <w:pPr>
              <w:pStyle w:val="125"/>
              <w:spacing w:line="240" w:lineRule="auto"/>
              <w:ind w:firstLine="420"/>
              <w:rPr>
                <w:szCs w:val="21"/>
              </w:rPr>
            </w:pPr>
            <w:r>
              <w:rPr>
                <w:rFonts w:ascii="Cambria Math" w:hAnsi="Cambria Math" w:cs="Cambria Math"/>
                <w:szCs w:val="21"/>
              </w:rPr>
              <w:t>∅</w:t>
            </w:r>
            <w:r>
              <w:rPr>
                <w:rFonts w:hint="eastAsia"/>
                <w:szCs w:val="21"/>
              </w:rPr>
              <w:t>21</w:t>
            </w:r>
            <w:r>
              <w:rPr>
                <w:szCs w:val="21"/>
              </w:rPr>
              <w:t>m×14.86m</w:t>
            </w:r>
            <w:r>
              <w:rPr>
                <w:rFonts w:hint="eastAsia"/>
                <w:szCs w:val="21"/>
              </w:rPr>
              <w:t>，设计压力0.1MPa，设计温度50℃，需做防腐保温</w:t>
            </w:r>
          </w:p>
        </w:tc>
        <w:tc>
          <w:tcPr>
            <w:tcW w:w="440" w:type="pct"/>
            <w:vAlign w:val="center"/>
          </w:tcPr>
          <w:p w14:paraId="209A45A7">
            <w:pPr>
              <w:pStyle w:val="125"/>
              <w:spacing w:line="240" w:lineRule="auto"/>
              <w:ind w:firstLine="0" w:firstLineChars="0"/>
              <w:rPr>
                <w:szCs w:val="21"/>
              </w:rPr>
            </w:pPr>
            <w:r>
              <w:rPr>
                <w:szCs w:val="21"/>
              </w:rPr>
              <w:t>4</w:t>
            </w:r>
          </w:p>
        </w:tc>
        <w:tc>
          <w:tcPr>
            <w:tcW w:w="440" w:type="pct"/>
            <w:tcBorders>
              <w:right w:val="single" w:color="auto" w:sz="4" w:space="0"/>
            </w:tcBorders>
            <w:vAlign w:val="center"/>
          </w:tcPr>
          <w:p w14:paraId="596EE3A5">
            <w:pPr>
              <w:pStyle w:val="125"/>
              <w:spacing w:line="240" w:lineRule="auto"/>
              <w:ind w:firstLine="0" w:firstLineChars="0"/>
              <w:rPr>
                <w:szCs w:val="21"/>
              </w:rPr>
            </w:pPr>
          </w:p>
        </w:tc>
      </w:tr>
    </w:tbl>
    <w:p w14:paraId="06058DA2">
      <w:pPr>
        <w:pStyle w:val="138"/>
        <w:rPr>
          <w:rFonts w:hint="eastAsia"/>
        </w:rPr>
      </w:pPr>
      <w:r>
        <w:rPr>
          <w:rFonts w:hint="eastAsia"/>
        </w:rPr>
        <w:t>平衡核算</w:t>
      </w:r>
    </w:p>
    <w:p w14:paraId="1E1724A5">
      <w:pPr>
        <w:pStyle w:val="5"/>
      </w:pPr>
      <w:r>
        <w:rPr>
          <w:rFonts w:hint="eastAsia"/>
        </w:rPr>
        <w:t>物料平衡</w:t>
      </w:r>
    </w:p>
    <w:p w14:paraId="78E58888">
      <w:pPr>
        <w:ind w:firstLine="480"/>
      </w:pPr>
      <w:r>
        <w:rPr>
          <w:rFonts w:hint="eastAsia"/>
        </w:rPr>
        <w:t>入厂原料煤150万t/a，经备煤工段破碎及筛分后，达到生产指标要求的120万t/a入炉煤送炭化炉进行中低温热解，30万t/a沫煤外售。入炉煤在直立炉炭化过程主要产品为60万t/a兰炭（干基55.20万t/a），副产128.4万t/a荒煤气。</w:t>
      </w:r>
      <w:bookmarkStart w:id="278" w:name="_Hlk177575194"/>
      <w:bookmarkStart w:id="279" w:name="OLE_LINK35"/>
      <w:r>
        <w:rPr>
          <w:rFonts w:hint="eastAsia"/>
        </w:rPr>
        <w:t>荒煤气经煤气净化后产出102.56万t/a净化煤气及9.7万t/a煤焦油，同时产生15.72万t/a剩余氨水。</w:t>
      </w:r>
    </w:p>
    <w:p w14:paraId="18B3CB42">
      <w:pPr>
        <w:ind w:firstLine="480"/>
      </w:pPr>
      <w:r>
        <w:rPr>
          <w:rFonts w:hint="eastAsia"/>
        </w:rPr>
        <w:t>根据《西部地区荒煤气的利用现状与工艺》（河南化工，校文超，2021年第38卷），新疆哈密地区褐煤经内热式直立炭化炉生产提质煤，干馏过程中产生的荒煤气（含水蒸气和焦油）经上升管、桥管进入集气槽，在桥管和集气槽内经热氨水喷洒初冷后进入直冷塔、间冷塔、电捕焦油器分理处焦油，净化后的荒煤气密度0.9~1.2kg/m³。本项目净化后的煤气温度约为40~45</w:t>
      </w:r>
      <w:r>
        <w:rPr>
          <w:rFonts w:hint="eastAsia" w:ascii="宋体" w:hAnsi="宋体"/>
        </w:rPr>
        <w:t>℃</w:t>
      </w:r>
      <w:r>
        <w:rPr>
          <w:rFonts w:hint="eastAsia"/>
        </w:rPr>
        <w:t>折算后为煤气密度约为0.77~1.03kg/Nm³，结合现有工程煤气特性，环评按煤气密度0.8kg/Nm³进行物料衡算。</w:t>
      </w:r>
    </w:p>
    <w:bookmarkEnd w:id="278"/>
    <w:bookmarkEnd w:id="279"/>
    <w:p w14:paraId="44897493">
      <w:pPr>
        <w:ind w:firstLine="480"/>
      </w:pPr>
      <w:r>
        <w:rPr>
          <w:rFonts w:hint="eastAsia"/>
        </w:rPr>
        <w:t>兰炭生产线物料平衡核算，见表3.3-7及图3.3-2。</w:t>
      </w:r>
    </w:p>
    <w:p w14:paraId="6849FDD2">
      <w:pPr>
        <w:pStyle w:val="118"/>
      </w:pPr>
      <w:r>
        <w:rPr>
          <w:rFonts w:hint="eastAsia"/>
        </w:rPr>
        <w:t>表3.3-7  兰炭生产线物料平衡表    单位：万t/a</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4"/>
        <w:gridCol w:w="1082"/>
        <w:gridCol w:w="866"/>
        <w:gridCol w:w="2841"/>
        <w:gridCol w:w="866"/>
        <w:gridCol w:w="1733"/>
      </w:tblGrid>
      <w:tr w14:paraId="70E14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restart"/>
            <w:vAlign w:val="center"/>
          </w:tcPr>
          <w:p w14:paraId="799B59FF">
            <w:pPr>
              <w:pStyle w:val="125"/>
              <w:spacing w:line="240" w:lineRule="auto"/>
              <w:ind w:firstLine="0" w:firstLineChars="0"/>
              <w:rPr>
                <w:szCs w:val="21"/>
              </w:rPr>
            </w:pPr>
            <w:r>
              <w:rPr>
                <w:rFonts w:hint="eastAsia"/>
                <w:szCs w:val="21"/>
              </w:rPr>
              <w:t>工段</w:t>
            </w:r>
          </w:p>
        </w:tc>
        <w:tc>
          <w:tcPr>
            <w:tcW w:w="1149" w:type="pct"/>
            <w:gridSpan w:val="2"/>
            <w:noWrap/>
            <w:vAlign w:val="center"/>
          </w:tcPr>
          <w:p w14:paraId="57D87D60">
            <w:pPr>
              <w:pStyle w:val="125"/>
              <w:spacing w:line="240" w:lineRule="auto"/>
              <w:ind w:firstLine="0" w:firstLineChars="0"/>
              <w:rPr>
                <w:szCs w:val="21"/>
              </w:rPr>
            </w:pPr>
            <w:r>
              <w:rPr>
                <w:rFonts w:hint="eastAsia"/>
                <w:szCs w:val="21"/>
              </w:rPr>
              <w:t>输入</w:t>
            </w:r>
          </w:p>
        </w:tc>
        <w:tc>
          <w:tcPr>
            <w:tcW w:w="2164" w:type="pct"/>
            <w:gridSpan w:val="2"/>
            <w:noWrap/>
            <w:vAlign w:val="center"/>
          </w:tcPr>
          <w:p w14:paraId="274EC1E4">
            <w:pPr>
              <w:pStyle w:val="125"/>
              <w:spacing w:line="240" w:lineRule="auto"/>
              <w:ind w:firstLine="0" w:firstLineChars="0"/>
              <w:rPr>
                <w:szCs w:val="21"/>
              </w:rPr>
            </w:pPr>
            <w:r>
              <w:rPr>
                <w:rFonts w:hint="eastAsia"/>
                <w:szCs w:val="21"/>
              </w:rPr>
              <w:t>输出</w:t>
            </w:r>
          </w:p>
        </w:tc>
        <w:tc>
          <w:tcPr>
            <w:tcW w:w="1019" w:type="pct"/>
            <w:vMerge w:val="restart"/>
            <w:noWrap/>
            <w:vAlign w:val="center"/>
          </w:tcPr>
          <w:p w14:paraId="1370FE87">
            <w:pPr>
              <w:pStyle w:val="125"/>
              <w:spacing w:line="240" w:lineRule="auto"/>
              <w:ind w:firstLine="0" w:firstLineChars="0"/>
              <w:rPr>
                <w:szCs w:val="21"/>
              </w:rPr>
            </w:pPr>
            <w:r>
              <w:rPr>
                <w:rFonts w:hint="eastAsia"/>
                <w:szCs w:val="21"/>
              </w:rPr>
              <w:t>去向</w:t>
            </w:r>
          </w:p>
        </w:tc>
      </w:tr>
      <w:tr w14:paraId="5221A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0E183C6B">
            <w:pPr>
              <w:pStyle w:val="125"/>
              <w:spacing w:line="240" w:lineRule="auto"/>
              <w:ind w:firstLine="0" w:firstLineChars="0"/>
              <w:rPr>
                <w:szCs w:val="21"/>
              </w:rPr>
            </w:pPr>
          </w:p>
        </w:tc>
        <w:tc>
          <w:tcPr>
            <w:tcW w:w="638" w:type="pct"/>
            <w:vAlign w:val="center"/>
          </w:tcPr>
          <w:p w14:paraId="52D28CD7">
            <w:pPr>
              <w:pStyle w:val="125"/>
              <w:spacing w:line="240" w:lineRule="auto"/>
              <w:ind w:firstLine="0" w:firstLineChars="0"/>
              <w:rPr>
                <w:szCs w:val="21"/>
              </w:rPr>
            </w:pPr>
            <w:r>
              <w:rPr>
                <w:rFonts w:hint="eastAsia"/>
                <w:szCs w:val="21"/>
              </w:rPr>
              <w:t>物料种类</w:t>
            </w:r>
          </w:p>
        </w:tc>
        <w:tc>
          <w:tcPr>
            <w:tcW w:w="511" w:type="pct"/>
            <w:noWrap/>
            <w:vAlign w:val="center"/>
          </w:tcPr>
          <w:p w14:paraId="7272083E">
            <w:pPr>
              <w:pStyle w:val="125"/>
              <w:spacing w:line="240" w:lineRule="auto"/>
              <w:ind w:firstLine="0" w:firstLineChars="0"/>
              <w:rPr>
                <w:szCs w:val="21"/>
              </w:rPr>
            </w:pPr>
            <w:r>
              <w:rPr>
                <w:rFonts w:hint="eastAsia"/>
                <w:szCs w:val="21"/>
              </w:rPr>
              <w:t>物料量</w:t>
            </w:r>
          </w:p>
        </w:tc>
        <w:tc>
          <w:tcPr>
            <w:tcW w:w="1653" w:type="pct"/>
            <w:vAlign w:val="center"/>
          </w:tcPr>
          <w:p w14:paraId="1BB32132">
            <w:pPr>
              <w:pStyle w:val="125"/>
              <w:spacing w:line="240" w:lineRule="auto"/>
              <w:ind w:firstLine="0" w:firstLineChars="0"/>
              <w:rPr>
                <w:szCs w:val="21"/>
              </w:rPr>
            </w:pPr>
            <w:r>
              <w:rPr>
                <w:rFonts w:hint="eastAsia"/>
                <w:szCs w:val="21"/>
              </w:rPr>
              <w:t>物料种类</w:t>
            </w:r>
          </w:p>
        </w:tc>
        <w:tc>
          <w:tcPr>
            <w:tcW w:w="511" w:type="pct"/>
            <w:noWrap/>
            <w:vAlign w:val="center"/>
          </w:tcPr>
          <w:p w14:paraId="420D3994">
            <w:pPr>
              <w:pStyle w:val="125"/>
              <w:spacing w:line="240" w:lineRule="auto"/>
              <w:ind w:firstLine="0" w:firstLineChars="0"/>
              <w:rPr>
                <w:szCs w:val="21"/>
              </w:rPr>
            </w:pPr>
            <w:r>
              <w:rPr>
                <w:rFonts w:hint="eastAsia"/>
                <w:szCs w:val="21"/>
              </w:rPr>
              <w:t>物料量</w:t>
            </w:r>
          </w:p>
        </w:tc>
        <w:tc>
          <w:tcPr>
            <w:tcW w:w="1019" w:type="pct"/>
            <w:vMerge w:val="continue"/>
            <w:vAlign w:val="center"/>
          </w:tcPr>
          <w:p w14:paraId="1066C85F">
            <w:pPr>
              <w:pStyle w:val="125"/>
              <w:spacing w:line="240" w:lineRule="auto"/>
              <w:ind w:firstLine="0" w:firstLineChars="0"/>
              <w:rPr>
                <w:szCs w:val="21"/>
              </w:rPr>
            </w:pPr>
          </w:p>
        </w:tc>
      </w:tr>
      <w:tr w14:paraId="3C49C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restart"/>
            <w:vAlign w:val="center"/>
          </w:tcPr>
          <w:p w14:paraId="6F910268">
            <w:pPr>
              <w:pStyle w:val="125"/>
              <w:spacing w:line="240" w:lineRule="auto"/>
              <w:ind w:firstLine="0" w:firstLineChars="0"/>
              <w:rPr>
                <w:szCs w:val="21"/>
              </w:rPr>
            </w:pPr>
            <w:r>
              <w:rPr>
                <w:rFonts w:hint="eastAsia"/>
                <w:szCs w:val="21"/>
              </w:rPr>
              <w:t>备煤工段</w:t>
            </w:r>
          </w:p>
        </w:tc>
        <w:tc>
          <w:tcPr>
            <w:tcW w:w="638" w:type="pct"/>
            <w:vMerge w:val="restart"/>
            <w:noWrap/>
            <w:vAlign w:val="center"/>
          </w:tcPr>
          <w:p w14:paraId="29163277">
            <w:pPr>
              <w:pStyle w:val="125"/>
              <w:spacing w:line="240" w:lineRule="auto"/>
              <w:ind w:firstLine="0" w:firstLineChars="0"/>
              <w:rPr>
                <w:szCs w:val="21"/>
              </w:rPr>
            </w:pPr>
            <w:r>
              <w:rPr>
                <w:rFonts w:hint="eastAsia"/>
                <w:szCs w:val="21"/>
              </w:rPr>
              <w:t>原料煤</w:t>
            </w:r>
          </w:p>
        </w:tc>
        <w:tc>
          <w:tcPr>
            <w:tcW w:w="511" w:type="pct"/>
            <w:vMerge w:val="restart"/>
            <w:noWrap/>
            <w:vAlign w:val="center"/>
          </w:tcPr>
          <w:p w14:paraId="539ABB3F">
            <w:pPr>
              <w:pStyle w:val="125"/>
              <w:spacing w:line="240" w:lineRule="auto"/>
              <w:ind w:firstLine="0" w:firstLineChars="0"/>
              <w:rPr>
                <w:szCs w:val="21"/>
              </w:rPr>
            </w:pPr>
            <w:r>
              <w:rPr>
                <w:rFonts w:hint="eastAsia"/>
                <w:szCs w:val="21"/>
              </w:rPr>
              <w:t>150</w:t>
            </w:r>
          </w:p>
        </w:tc>
        <w:tc>
          <w:tcPr>
            <w:tcW w:w="1653" w:type="pct"/>
            <w:noWrap/>
            <w:vAlign w:val="center"/>
          </w:tcPr>
          <w:p w14:paraId="720E4CAE">
            <w:pPr>
              <w:pStyle w:val="125"/>
              <w:spacing w:line="240" w:lineRule="auto"/>
              <w:ind w:firstLine="0" w:firstLineChars="0"/>
              <w:rPr>
                <w:szCs w:val="21"/>
              </w:rPr>
            </w:pPr>
            <w:r>
              <w:rPr>
                <w:rFonts w:hint="eastAsia"/>
                <w:szCs w:val="21"/>
              </w:rPr>
              <w:t>入炉煤</w:t>
            </w:r>
          </w:p>
        </w:tc>
        <w:tc>
          <w:tcPr>
            <w:tcW w:w="511" w:type="pct"/>
            <w:noWrap/>
            <w:vAlign w:val="center"/>
          </w:tcPr>
          <w:p w14:paraId="29A0A586">
            <w:pPr>
              <w:pStyle w:val="125"/>
              <w:spacing w:line="240" w:lineRule="auto"/>
              <w:ind w:firstLine="0" w:firstLineChars="0"/>
              <w:rPr>
                <w:szCs w:val="21"/>
              </w:rPr>
            </w:pPr>
            <w:r>
              <w:rPr>
                <w:rFonts w:hint="eastAsia"/>
                <w:szCs w:val="21"/>
              </w:rPr>
              <w:t>120</w:t>
            </w:r>
          </w:p>
        </w:tc>
        <w:tc>
          <w:tcPr>
            <w:tcW w:w="1019" w:type="pct"/>
            <w:noWrap/>
            <w:vAlign w:val="center"/>
          </w:tcPr>
          <w:p w14:paraId="12FAD854">
            <w:pPr>
              <w:pStyle w:val="125"/>
              <w:spacing w:line="240" w:lineRule="auto"/>
              <w:ind w:firstLine="0" w:firstLineChars="0"/>
              <w:rPr>
                <w:szCs w:val="21"/>
              </w:rPr>
            </w:pPr>
            <w:r>
              <w:rPr>
                <w:rFonts w:hint="eastAsia"/>
                <w:szCs w:val="21"/>
              </w:rPr>
              <w:t>入炉煤</w:t>
            </w:r>
          </w:p>
        </w:tc>
      </w:tr>
      <w:tr w14:paraId="3B1CB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76A687CB">
            <w:pPr>
              <w:pStyle w:val="125"/>
              <w:spacing w:line="240" w:lineRule="auto"/>
              <w:ind w:firstLine="0" w:firstLineChars="0"/>
              <w:rPr>
                <w:szCs w:val="21"/>
              </w:rPr>
            </w:pPr>
          </w:p>
        </w:tc>
        <w:tc>
          <w:tcPr>
            <w:tcW w:w="638" w:type="pct"/>
            <w:vMerge w:val="continue"/>
            <w:vAlign w:val="center"/>
          </w:tcPr>
          <w:p w14:paraId="6DB46DBB">
            <w:pPr>
              <w:pStyle w:val="125"/>
              <w:spacing w:line="240" w:lineRule="auto"/>
              <w:ind w:firstLine="0" w:firstLineChars="0"/>
              <w:rPr>
                <w:szCs w:val="21"/>
              </w:rPr>
            </w:pPr>
          </w:p>
        </w:tc>
        <w:tc>
          <w:tcPr>
            <w:tcW w:w="511" w:type="pct"/>
            <w:vMerge w:val="continue"/>
            <w:vAlign w:val="center"/>
          </w:tcPr>
          <w:p w14:paraId="3DE289DB">
            <w:pPr>
              <w:pStyle w:val="125"/>
              <w:spacing w:line="240" w:lineRule="auto"/>
              <w:ind w:firstLine="0" w:firstLineChars="0"/>
              <w:rPr>
                <w:szCs w:val="21"/>
              </w:rPr>
            </w:pPr>
          </w:p>
        </w:tc>
        <w:tc>
          <w:tcPr>
            <w:tcW w:w="1653" w:type="pct"/>
            <w:noWrap/>
            <w:vAlign w:val="center"/>
          </w:tcPr>
          <w:p w14:paraId="36CF7831">
            <w:pPr>
              <w:pStyle w:val="125"/>
              <w:spacing w:line="240" w:lineRule="auto"/>
              <w:ind w:firstLine="0" w:firstLineChars="0"/>
              <w:rPr>
                <w:szCs w:val="21"/>
              </w:rPr>
            </w:pPr>
            <w:r>
              <w:rPr>
                <w:rFonts w:hint="eastAsia"/>
                <w:szCs w:val="21"/>
              </w:rPr>
              <w:t>沫煤</w:t>
            </w:r>
          </w:p>
        </w:tc>
        <w:tc>
          <w:tcPr>
            <w:tcW w:w="511" w:type="pct"/>
            <w:noWrap/>
            <w:vAlign w:val="center"/>
          </w:tcPr>
          <w:p w14:paraId="5042BD47">
            <w:pPr>
              <w:pStyle w:val="125"/>
              <w:spacing w:line="240" w:lineRule="auto"/>
              <w:ind w:firstLine="0" w:firstLineChars="0"/>
              <w:rPr>
                <w:szCs w:val="21"/>
              </w:rPr>
            </w:pPr>
            <w:r>
              <w:rPr>
                <w:rFonts w:hint="eastAsia"/>
                <w:szCs w:val="21"/>
              </w:rPr>
              <w:t>30</w:t>
            </w:r>
          </w:p>
        </w:tc>
        <w:tc>
          <w:tcPr>
            <w:tcW w:w="1019" w:type="pct"/>
            <w:noWrap/>
            <w:vAlign w:val="center"/>
          </w:tcPr>
          <w:p w14:paraId="2B641F97">
            <w:pPr>
              <w:pStyle w:val="125"/>
              <w:spacing w:line="240" w:lineRule="auto"/>
              <w:ind w:firstLine="0" w:firstLineChars="0"/>
              <w:rPr>
                <w:szCs w:val="21"/>
              </w:rPr>
            </w:pPr>
            <w:r>
              <w:rPr>
                <w:rFonts w:hint="eastAsia"/>
                <w:szCs w:val="21"/>
              </w:rPr>
              <w:t>粉煤棚</w:t>
            </w:r>
          </w:p>
        </w:tc>
      </w:tr>
      <w:tr w14:paraId="52D55F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56FF9A59">
            <w:pPr>
              <w:pStyle w:val="125"/>
              <w:spacing w:line="240" w:lineRule="auto"/>
              <w:ind w:firstLine="0" w:firstLineChars="0"/>
              <w:rPr>
                <w:szCs w:val="21"/>
              </w:rPr>
            </w:pPr>
          </w:p>
        </w:tc>
        <w:tc>
          <w:tcPr>
            <w:tcW w:w="638" w:type="pct"/>
            <w:noWrap/>
            <w:vAlign w:val="center"/>
          </w:tcPr>
          <w:p w14:paraId="26D119B5">
            <w:pPr>
              <w:pStyle w:val="125"/>
              <w:spacing w:line="240" w:lineRule="auto"/>
              <w:ind w:firstLine="0" w:firstLineChars="0"/>
              <w:rPr>
                <w:szCs w:val="21"/>
              </w:rPr>
            </w:pPr>
            <w:r>
              <w:rPr>
                <w:rFonts w:hint="eastAsia"/>
                <w:szCs w:val="21"/>
              </w:rPr>
              <w:t>小计</w:t>
            </w:r>
          </w:p>
        </w:tc>
        <w:tc>
          <w:tcPr>
            <w:tcW w:w="511" w:type="pct"/>
            <w:noWrap/>
            <w:vAlign w:val="center"/>
          </w:tcPr>
          <w:p w14:paraId="3ED3F245">
            <w:pPr>
              <w:pStyle w:val="125"/>
              <w:spacing w:line="240" w:lineRule="auto"/>
              <w:ind w:firstLine="0" w:firstLineChars="0"/>
              <w:rPr>
                <w:szCs w:val="21"/>
              </w:rPr>
            </w:pPr>
            <w:r>
              <w:rPr>
                <w:rFonts w:hint="eastAsia"/>
                <w:szCs w:val="21"/>
              </w:rPr>
              <w:t>150</w:t>
            </w:r>
          </w:p>
        </w:tc>
        <w:tc>
          <w:tcPr>
            <w:tcW w:w="1653" w:type="pct"/>
            <w:noWrap/>
            <w:vAlign w:val="center"/>
          </w:tcPr>
          <w:p w14:paraId="64021FC6">
            <w:pPr>
              <w:pStyle w:val="125"/>
              <w:spacing w:line="240" w:lineRule="auto"/>
              <w:ind w:firstLine="0" w:firstLineChars="0"/>
              <w:rPr>
                <w:szCs w:val="21"/>
              </w:rPr>
            </w:pPr>
            <w:r>
              <w:rPr>
                <w:rFonts w:hint="eastAsia"/>
                <w:szCs w:val="21"/>
              </w:rPr>
              <w:t>小计</w:t>
            </w:r>
          </w:p>
        </w:tc>
        <w:tc>
          <w:tcPr>
            <w:tcW w:w="511" w:type="pct"/>
            <w:noWrap/>
            <w:vAlign w:val="center"/>
          </w:tcPr>
          <w:p w14:paraId="4089DF8C">
            <w:pPr>
              <w:pStyle w:val="125"/>
              <w:spacing w:line="240" w:lineRule="auto"/>
              <w:ind w:firstLine="0" w:firstLineChars="0"/>
              <w:rPr>
                <w:szCs w:val="21"/>
              </w:rPr>
            </w:pPr>
            <w:r>
              <w:rPr>
                <w:rFonts w:hint="eastAsia"/>
                <w:szCs w:val="21"/>
              </w:rPr>
              <w:t>150</w:t>
            </w:r>
          </w:p>
        </w:tc>
        <w:tc>
          <w:tcPr>
            <w:tcW w:w="1019" w:type="pct"/>
            <w:noWrap/>
            <w:vAlign w:val="center"/>
          </w:tcPr>
          <w:p w14:paraId="0451D7ED">
            <w:pPr>
              <w:pStyle w:val="125"/>
              <w:spacing w:line="240" w:lineRule="auto"/>
              <w:ind w:firstLine="0" w:firstLineChars="0"/>
              <w:rPr>
                <w:szCs w:val="21"/>
              </w:rPr>
            </w:pPr>
          </w:p>
        </w:tc>
      </w:tr>
      <w:tr w14:paraId="26D425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restart"/>
            <w:vAlign w:val="center"/>
          </w:tcPr>
          <w:p w14:paraId="5EB64D16">
            <w:pPr>
              <w:pStyle w:val="125"/>
              <w:spacing w:line="240" w:lineRule="auto"/>
              <w:ind w:firstLine="0" w:firstLineChars="0"/>
              <w:rPr>
                <w:szCs w:val="21"/>
              </w:rPr>
            </w:pPr>
            <w:r>
              <w:rPr>
                <w:rFonts w:hint="eastAsia"/>
                <w:szCs w:val="21"/>
              </w:rPr>
              <w:t xml:space="preserve">炭化工段 </w:t>
            </w:r>
          </w:p>
        </w:tc>
        <w:tc>
          <w:tcPr>
            <w:tcW w:w="638" w:type="pct"/>
            <w:noWrap/>
            <w:vAlign w:val="center"/>
          </w:tcPr>
          <w:p w14:paraId="12B83AB5">
            <w:pPr>
              <w:pStyle w:val="125"/>
              <w:spacing w:line="240" w:lineRule="auto"/>
              <w:ind w:firstLine="0" w:firstLineChars="0"/>
              <w:rPr>
                <w:szCs w:val="21"/>
              </w:rPr>
            </w:pPr>
            <w:r>
              <w:rPr>
                <w:rFonts w:hint="eastAsia"/>
                <w:szCs w:val="21"/>
              </w:rPr>
              <w:t>入炉煤</w:t>
            </w:r>
          </w:p>
        </w:tc>
        <w:tc>
          <w:tcPr>
            <w:tcW w:w="511" w:type="pct"/>
            <w:noWrap/>
            <w:vAlign w:val="center"/>
          </w:tcPr>
          <w:p w14:paraId="40B0F2F1">
            <w:pPr>
              <w:pStyle w:val="125"/>
              <w:spacing w:line="240" w:lineRule="auto"/>
              <w:ind w:firstLine="0" w:firstLineChars="0"/>
              <w:rPr>
                <w:szCs w:val="21"/>
              </w:rPr>
            </w:pPr>
            <w:r>
              <w:rPr>
                <w:rFonts w:hint="eastAsia"/>
                <w:szCs w:val="21"/>
              </w:rPr>
              <w:t>120</w:t>
            </w:r>
          </w:p>
        </w:tc>
        <w:tc>
          <w:tcPr>
            <w:tcW w:w="1653" w:type="pct"/>
            <w:noWrap/>
            <w:vAlign w:val="center"/>
          </w:tcPr>
          <w:p w14:paraId="5F64E270">
            <w:pPr>
              <w:pStyle w:val="125"/>
              <w:spacing w:line="240" w:lineRule="auto"/>
              <w:ind w:firstLine="0" w:firstLineChars="0"/>
              <w:rPr>
                <w:szCs w:val="21"/>
              </w:rPr>
            </w:pPr>
            <w:r>
              <w:rPr>
                <w:rFonts w:hint="eastAsia"/>
                <w:szCs w:val="21"/>
              </w:rPr>
              <w:t>兰炭（干基）</w:t>
            </w:r>
          </w:p>
        </w:tc>
        <w:tc>
          <w:tcPr>
            <w:tcW w:w="511" w:type="pct"/>
            <w:noWrap/>
            <w:vAlign w:val="center"/>
          </w:tcPr>
          <w:p w14:paraId="3C4FC931">
            <w:pPr>
              <w:pStyle w:val="125"/>
              <w:spacing w:line="240" w:lineRule="auto"/>
              <w:ind w:firstLine="0" w:firstLineChars="0"/>
              <w:rPr>
                <w:szCs w:val="21"/>
              </w:rPr>
            </w:pPr>
            <w:r>
              <w:rPr>
                <w:rFonts w:hint="eastAsia"/>
                <w:szCs w:val="21"/>
              </w:rPr>
              <w:t>55.20</w:t>
            </w:r>
          </w:p>
        </w:tc>
        <w:tc>
          <w:tcPr>
            <w:tcW w:w="1019" w:type="pct"/>
            <w:noWrap/>
            <w:vAlign w:val="center"/>
          </w:tcPr>
          <w:p w14:paraId="5BE622DB">
            <w:pPr>
              <w:pStyle w:val="125"/>
              <w:spacing w:line="240" w:lineRule="auto"/>
              <w:ind w:firstLine="0" w:firstLineChars="0"/>
              <w:rPr>
                <w:szCs w:val="21"/>
              </w:rPr>
            </w:pPr>
            <w:r>
              <w:rPr>
                <w:rFonts w:hint="eastAsia"/>
                <w:szCs w:val="21"/>
              </w:rPr>
              <w:t>兰炭棚</w:t>
            </w:r>
          </w:p>
        </w:tc>
      </w:tr>
      <w:tr w14:paraId="0FB15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668" w:type="pct"/>
            <w:vMerge w:val="continue"/>
            <w:vAlign w:val="center"/>
          </w:tcPr>
          <w:p w14:paraId="33AB5481">
            <w:pPr>
              <w:pStyle w:val="125"/>
              <w:spacing w:line="240" w:lineRule="auto"/>
              <w:ind w:firstLine="0" w:firstLineChars="0"/>
              <w:rPr>
                <w:szCs w:val="21"/>
              </w:rPr>
            </w:pPr>
          </w:p>
        </w:tc>
        <w:tc>
          <w:tcPr>
            <w:tcW w:w="638" w:type="pct"/>
            <w:noWrap/>
            <w:vAlign w:val="center"/>
          </w:tcPr>
          <w:p w14:paraId="4ED5B746">
            <w:pPr>
              <w:pStyle w:val="125"/>
              <w:spacing w:line="240" w:lineRule="auto"/>
              <w:ind w:firstLine="0" w:firstLineChars="0"/>
              <w:rPr>
                <w:szCs w:val="21"/>
              </w:rPr>
            </w:pPr>
            <w:r>
              <w:rPr>
                <w:rFonts w:hint="eastAsia"/>
                <w:szCs w:val="21"/>
              </w:rPr>
              <w:t>空气</w:t>
            </w:r>
          </w:p>
        </w:tc>
        <w:tc>
          <w:tcPr>
            <w:tcW w:w="511" w:type="pct"/>
            <w:noWrap/>
            <w:vAlign w:val="center"/>
          </w:tcPr>
          <w:p w14:paraId="77E4CD2C">
            <w:pPr>
              <w:pStyle w:val="125"/>
              <w:spacing w:line="240" w:lineRule="auto"/>
              <w:ind w:firstLine="0" w:firstLineChars="0"/>
              <w:rPr>
                <w:szCs w:val="21"/>
              </w:rPr>
            </w:pPr>
            <w:r>
              <w:rPr>
                <w:rFonts w:hint="eastAsia"/>
                <w:szCs w:val="21"/>
              </w:rPr>
              <w:t>20.14</w:t>
            </w:r>
          </w:p>
        </w:tc>
        <w:tc>
          <w:tcPr>
            <w:tcW w:w="1653" w:type="pct"/>
            <w:noWrap/>
            <w:vAlign w:val="center"/>
          </w:tcPr>
          <w:p w14:paraId="1F9FFB89">
            <w:pPr>
              <w:pStyle w:val="125"/>
              <w:spacing w:line="240" w:lineRule="auto"/>
              <w:ind w:firstLine="0" w:firstLineChars="0"/>
              <w:rPr>
                <w:szCs w:val="21"/>
              </w:rPr>
            </w:pPr>
            <w:r>
              <w:rPr>
                <w:rFonts w:hint="eastAsia"/>
                <w:szCs w:val="21"/>
              </w:rPr>
              <w:t>荒煤气</w:t>
            </w:r>
          </w:p>
        </w:tc>
        <w:tc>
          <w:tcPr>
            <w:tcW w:w="511" w:type="pct"/>
            <w:noWrap/>
            <w:vAlign w:val="center"/>
          </w:tcPr>
          <w:p w14:paraId="578175A2">
            <w:pPr>
              <w:pStyle w:val="125"/>
              <w:spacing w:line="240" w:lineRule="auto"/>
              <w:ind w:firstLine="0" w:firstLineChars="0"/>
              <w:rPr>
                <w:szCs w:val="21"/>
              </w:rPr>
            </w:pPr>
            <w:r>
              <w:rPr>
                <w:rFonts w:hint="eastAsia"/>
                <w:szCs w:val="21"/>
              </w:rPr>
              <w:t>122.76</w:t>
            </w:r>
          </w:p>
        </w:tc>
        <w:tc>
          <w:tcPr>
            <w:tcW w:w="1019" w:type="pct"/>
            <w:noWrap/>
            <w:vAlign w:val="center"/>
          </w:tcPr>
          <w:p w14:paraId="1C8AB0E7">
            <w:pPr>
              <w:pStyle w:val="125"/>
              <w:spacing w:line="240" w:lineRule="auto"/>
              <w:ind w:firstLine="0" w:firstLineChars="0"/>
              <w:rPr>
                <w:szCs w:val="21"/>
              </w:rPr>
            </w:pPr>
            <w:r>
              <w:rPr>
                <w:rFonts w:hint="eastAsia"/>
                <w:szCs w:val="21"/>
              </w:rPr>
              <w:t>回炉及综合利用</w:t>
            </w:r>
          </w:p>
        </w:tc>
      </w:tr>
      <w:tr w14:paraId="50DB0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21F225A7">
            <w:pPr>
              <w:pStyle w:val="125"/>
              <w:spacing w:line="240" w:lineRule="auto"/>
              <w:ind w:firstLine="0" w:firstLineChars="0"/>
              <w:rPr>
                <w:szCs w:val="21"/>
              </w:rPr>
            </w:pPr>
          </w:p>
        </w:tc>
        <w:tc>
          <w:tcPr>
            <w:tcW w:w="638" w:type="pct"/>
            <w:noWrap/>
            <w:vAlign w:val="center"/>
          </w:tcPr>
          <w:p w14:paraId="619B4538">
            <w:pPr>
              <w:pStyle w:val="125"/>
              <w:spacing w:line="240" w:lineRule="auto"/>
              <w:ind w:firstLine="0" w:firstLineChars="0"/>
              <w:rPr>
                <w:szCs w:val="21"/>
              </w:rPr>
            </w:pPr>
            <w:r>
              <w:rPr>
                <w:rFonts w:hint="eastAsia"/>
                <w:szCs w:val="21"/>
              </w:rPr>
              <w:t>回炉煤气</w:t>
            </w:r>
          </w:p>
        </w:tc>
        <w:tc>
          <w:tcPr>
            <w:tcW w:w="511" w:type="pct"/>
            <w:noWrap/>
            <w:vAlign w:val="center"/>
          </w:tcPr>
          <w:p w14:paraId="1CBB4F1C">
            <w:pPr>
              <w:pStyle w:val="125"/>
              <w:spacing w:line="240" w:lineRule="auto"/>
              <w:ind w:firstLine="0" w:firstLineChars="0"/>
              <w:rPr>
                <w:szCs w:val="21"/>
              </w:rPr>
            </w:pPr>
            <w:r>
              <w:rPr>
                <w:rFonts w:hint="eastAsia"/>
                <w:szCs w:val="21"/>
              </w:rPr>
              <w:t>37.77</w:t>
            </w:r>
          </w:p>
        </w:tc>
        <w:tc>
          <w:tcPr>
            <w:tcW w:w="1653" w:type="pct"/>
            <w:noWrap/>
            <w:vAlign w:val="center"/>
          </w:tcPr>
          <w:p w14:paraId="58D6AFE0">
            <w:pPr>
              <w:pStyle w:val="125"/>
              <w:spacing w:line="240" w:lineRule="auto"/>
              <w:ind w:firstLine="0" w:firstLineChars="0"/>
              <w:rPr>
                <w:szCs w:val="21"/>
              </w:rPr>
            </w:pPr>
            <w:r>
              <w:rPr>
                <w:rFonts w:hint="eastAsia"/>
                <w:szCs w:val="21"/>
              </w:rPr>
              <w:t>废气</w:t>
            </w:r>
          </w:p>
        </w:tc>
        <w:tc>
          <w:tcPr>
            <w:tcW w:w="511" w:type="pct"/>
            <w:noWrap/>
            <w:vAlign w:val="center"/>
          </w:tcPr>
          <w:p w14:paraId="3F2601E3">
            <w:pPr>
              <w:pStyle w:val="125"/>
              <w:spacing w:line="240" w:lineRule="auto"/>
              <w:ind w:firstLine="0" w:firstLineChars="0"/>
              <w:rPr>
                <w:szCs w:val="21"/>
              </w:rPr>
            </w:pPr>
            <w:r>
              <w:rPr>
                <w:rFonts w:hint="eastAsia"/>
                <w:szCs w:val="21"/>
              </w:rPr>
              <w:t>0.001</w:t>
            </w:r>
          </w:p>
        </w:tc>
        <w:tc>
          <w:tcPr>
            <w:tcW w:w="1019" w:type="pct"/>
            <w:noWrap/>
            <w:vAlign w:val="center"/>
          </w:tcPr>
          <w:p w14:paraId="30232F51">
            <w:pPr>
              <w:pStyle w:val="125"/>
              <w:spacing w:line="240" w:lineRule="auto"/>
              <w:ind w:firstLine="0" w:firstLineChars="0"/>
              <w:rPr>
                <w:szCs w:val="21"/>
              </w:rPr>
            </w:pPr>
            <w:r>
              <w:rPr>
                <w:rFonts w:hint="eastAsia"/>
                <w:szCs w:val="21"/>
              </w:rPr>
              <w:t>逸散排放</w:t>
            </w:r>
          </w:p>
        </w:tc>
      </w:tr>
      <w:tr w14:paraId="444B40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7D76849B">
            <w:pPr>
              <w:pStyle w:val="125"/>
              <w:spacing w:line="240" w:lineRule="auto"/>
              <w:ind w:firstLine="0" w:firstLineChars="0"/>
              <w:rPr>
                <w:szCs w:val="21"/>
              </w:rPr>
            </w:pPr>
          </w:p>
        </w:tc>
        <w:tc>
          <w:tcPr>
            <w:tcW w:w="638" w:type="pct"/>
            <w:noWrap/>
            <w:vAlign w:val="center"/>
          </w:tcPr>
          <w:p w14:paraId="46CA33AE">
            <w:pPr>
              <w:pStyle w:val="125"/>
              <w:spacing w:line="240" w:lineRule="auto"/>
              <w:ind w:firstLine="0" w:firstLineChars="0"/>
              <w:rPr>
                <w:szCs w:val="21"/>
              </w:rPr>
            </w:pPr>
            <w:r>
              <w:rPr>
                <w:rFonts w:hint="eastAsia"/>
                <w:szCs w:val="21"/>
              </w:rPr>
              <w:t>焦油渣</w:t>
            </w:r>
          </w:p>
        </w:tc>
        <w:tc>
          <w:tcPr>
            <w:tcW w:w="511" w:type="pct"/>
            <w:noWrap/>
            <w:vAlign w:val="center"/>
          </w:tcPr>
          <w:p w14:paraId="562D8056">
            <w:pPr>
              <w:pStyle w:val="125"/>
              <w:spacing w:line="240" w:lineRule="auto"/>
              <w:ind w:firstLine="0" w:firstLineChars="0"/>
              <w:rPr>
                <w:szCs w:val="21"/>
              </w:rPr>
            </w:pPr>
            <w:r>
              <w:rPr>
                <w:rFonts w:hint="eastAsia"/>
                <w:szCs w:val="21"/>
              </w:rPr>
              <w:t>0.06</w:t>
            </w:r>
          </w:p>
        </w:tc>
        <w:tc>
          <w:tcPr>
            <w:tcW w:w="1653" w:type="pct"/>
            <w:noWrap/>
            <w:vAlign w:val="center"/>
          </w:tcPr>
          <w:p w14:paraId="2AA15330">
            <w:pPr>
              <w:pStyle w:val="125"/>
              <w:spacing w:line="240" w:lineRule="auto"/>
              <w:ind w:firstLine="0" w:firstLineChars="0"/>
              <w:rPr>
                <w:szCs w:val="21"/>
              </w:rPr>
            </w:pPr>
          </w:p>
        </w:tc>
        <w:tc>
          <w:tcPr>
            <w:tcW w:w="511" w:type="pct"/>
            <w:noWrap/>
            <w:vAlign w:val="center"/>
          </w:tcPr>
          <w:p w14:paraId="0A011A27">
            <w:pPr>
              <w:pStyle w:val="125"/>
              <w:spacing w:line="240" w:lineRule="auto"/>
              <w:ind w:firstLine="0" w:firstLineChars="0"/>
              <w:rPr>
                <w:szCs w:val="21"/>
              </w:rPr>
            </w:pPr>
          </w:p>
        </w:tc>
        <w:tc>
          <w:tcPr>
            <w:tcW w:w="1019" w:type="pct"/>
            <w:noWrap/>
            <w:vAlign w:val="center"/>
          </w:tcPr>
          <w:p w14:paraId="6755091B">
            <w:pPr>
              <w:pStyle w:val="125"/>
              <w:spacing w:line="240" w:lineRule="auto"/>
              <w:ind w:firstLine="0" w:firstLineChars="0"/>
              <w:rPr>
                <w:szCs w:val="21"/>
              </w:rPr>
            </w:pPr>
          </w:p>
        </w:tc>
      </w:tr>
      <w:tr w14:paraId="5963E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1602CDB3">
            <w:pPr>
              <w:pStyle w:val="125"/>
              <w:spacing w:line="240" w:lineRule="auto"/>
              <w:ind w:firstLine="0" w:firstLineChars="0"/>
              <w:rPr>
                <w:szCs w:val="21"/>
              </w:rPr>
            </w:pPr>
          </w:p>
        </w:tc>
        <w:tc>
          <w:tcPr>
            <w:tcW w:w="638" w:type="pct"/>
            <w:noWrap/>
            <w:vAlign w:val="center"/>
          </w:tcPr>
          <w:p w14:paraId="049A06DA">
            <w:pPr>
              <w:pStyle w:val="125"/>
              <w:spacing w:line="240" w:lineRule="auto"/>
              <w:ind w:firstLine="0" w:firstLineChars="0"/>
              <w:rPr>
                <w:szCs w:val="21"/>
              </w:rPr>
            </w:pPr>
            <w:r>
              <w:rPr>
                <w:rFonts w:hint="eastAsia"/>
                <w:szCs w:val="21"/>
              </w:rPr>
              <w:t>小计</w:t>
            </w:r>
          </w:p>
        </w:tc>
        <w:tc>
          <w:tcPr>
            <w:tcW w:w="511" w:type="pct"/>
            <w:noWrap/>
            <w:vAlign w:val="center"/>
          </w:tcPr>
          <w:p w14:paraId="24057CDD">
            <w:pPr>
              <w:pStyle w:val="125"/>
              <w:spacing w:line="240" w:lineRule="auto"/>
              <w:ind w:firstLine="0" w:firstLineChars="0"/>
              <w:rPr>
                <w:szCs w:val="21"/>
              </w:rPr>
            </w:pPr>
            <w:r>
              <w:rPr>
                <w:rFonts w:hint="eastAsia"/>
                <w:szCs w:val="21"/>
              </w:rPr>
              <w:t>177.96</w:t>
            </w:r>
          </w:p>
        </w:tc>
        <w:tc>
          <w:tcPr>
            <w:tcW w:w="1653" w:type="pct"/>
            <w:noWrap/>
            <w:vAlign w:val="center"/>
          </w:tcPr>
          <w:p w14:paraId="0193EF73">
            <w:pPr>
              <w:pStyle w:val="125"/>
              <w:spacing w:line="240" w:lineRule="auto"/>
              <w:ind w:firstLine="0" w:firstLineChars="0"/>
              <w:rPr>
                <w:szCs w:val="21"/>
              </w:rPr>
            </w:pPr>
            <w:r>
              <w:rPr>
                <w:rFonts w:hint="eastAsia"/>
                <w:szCs w:val="21"/>
              </w:rPr>
              <w:t>小计</w:t>
            </w:r>
          </w:p>
        </w:tc>
        <w:tc>
          <w:tcPr>
            <w:tcW w:w="511" w:type="pct"/>
            <w:noWrap/>
            <w:vAlign w:val="center"/>
          </w:tcPr>
          <w:p w14:paraId="2355B4FE">
            <w:pPr>
              <w:pStyle w:val="125"/>
              <w:spacing w:line="240" w:lineRule="auto"/>
              <w:ind w:firstLine="0" w:firstLineChars="0"/>
              <w:rPr>
                <w:szCs w:val="21"/>
              </w:rPr>
            </w:pPr>
            <w:r>
              <w:rPr>
                <w:rFonts w:hint="eastAsia"/>
                <w:szCs w:val="21"/>
              </w:rPr>
              <w:t>177.96</w:t>
            </w:r>
          </w:p>
        </w:tc>
        <w:tc>
          <w:tcPr>
            <w:tcW w:w="1019" w:type="pct"/>
            <w:noWrap/>
            <w:vAlign w:val="center"/>
          </w:tcPr>
          <w:p w14:paraId="2A0D402E">
            <w:pPr>
              <w:pStyle w:val="125"/>
              <w:spacing w:line="240" w:lineRule="auto"/>
              <w:ind w:firstLine="0" w:firstLineChars="0"/>
              <w:rPr>
                <w:szCs w:val="21"/>
              </w:rPr>
            </w:pPr>
          </w:p>
        </w:tc>
      </w:tr>
      <w:tr w14:paraId="4E894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restart"/>
            <w:vAlign w:val="center"/>
          </w:tcPr>
          <w:p w14:paraId="68259720">
            <w:pPr>
              <w:pStyle w:val="125"/>
              <w:spacing w:line="240" w:lineRule="auto"/>
              <w:ind w:firstLine="0" w:firstLineChars="0"/>
              <w:rPr>
                <w:szCs w:val="21"/>
              </w:rPr>
            </w:pPr>
            <w:r>
              <w:rPr>
                <w:rFonts w:hint="eastAsia"/>
                <w:szCs w:val="21"/>
              </w:rPr>
              <w:t>煤气净化工段</w:t>
            </w:r>
          </w:p>
        </w:tc>
        <w:tc>
          <w:tcPr>
            <w:tcW w:w="638" w:type="pct"/>
            <w:vMerge w:val="restart"/>
            <w:noWrap/>
            <w:vAlign w:val="center"/>
          </w:tcPr>
          <w:p w14:paraId="0523A2B6">
            <w:pPr>
              <w:pStyle w:val="125"/>
              <w:spacing w:line="240" w:lineRule="auto"/>
              <w:ind w:firstLine="0" w:firstLineChars="0"/>
              <w:rPr>
                <w:szCs w:val="21"/>
              </w:rPr>
            </w:pPr>
            <w:r>
              <w:rPr>
                <w:rFonts w:hint="eastAsia"/>
                <w:szCs w:val="21"/>
              </w:rPr>
              <w:t>荒煤气</w:t>
            </w:r>
          </w:p>
        </w:tc>
        <w:tc>
          <w:tcPr>
            <w:tcW w:w="511" w:type="pct"/>
            <w:vMerge w:val="restart"/>
            <w:noWrap/>
            <w:vAlign w:val="center"/>
          </w:tcPr>
          <w:p w14:paraId="4325CBCD">
            <w:pPr>
              <w:pStyle w:val="125"/>
              <w:spacing w:line="240" w:lineRule="auto"/>
              <w:ind w:firstLine="0" w:firstLineChars="0"/>
              <w:rPr>
                <w:szCs w:val="21"/>
              </w:rPr>
            </w:pPr>
            <w:r>
              <w:rPr>
                <w:rFonts w:hint="eastAsia"/>
                <w:szCs w:val="21"/>
              </w:rPr>
              <w:t>122.76</w:t>
            </w:r>
          </w:p>
        </w:tc>
        <w:tc>
          <w:tcPr>
            <w:tcW w:w="1653" w:type="pct"/>
            <w:noWrap/>
            <w:vAlign w:val="center"/>
          </w:tcPr>
          <w:p w14:paraId="1C084D58">
            <w:pPr>
              <w:pStyle w:val="125"/>
              <w:spacing w:line="240" w:lineRule="auto"/>
              <w:ind w:firstLine="0" w:firstLineChars="0"/>
              <w:rPr>
                <w:szCs w:val="21"/>
              </w:rPr>
            </w:pPr>
            <w:r>
              <w:rPr>
                <w:rFonts w:hint="eastAsia"/>
                <w:szCs w:val="21"/>
              </w:rPr>
              <w:t>供应镁基新材料煤气</w:t>
            </w:r>
          </w:p>
        </w:tc>
        <w:tc>
          <w:tcPr>
            <w:tcW w:w="511" w:type="pct"/>
            <w:noWrap/>
            <w:vAlign w:val="center"/>
          </w:tcPr>
          <w:p w14:paraId="058BE298">
            <w:pPr>
              <w:pStyle w:val="125"/>
              <w:spacing w:line="240" w:lineRule="auto"/>
              <w:ind w:firstLine="0" w:firstLineChars="0"/>
              <w:rPr>
                <w:szCs w:val="21"/>
              </w:rPr>
            </w:pPr>
            <w:r>
              <w:rPr>
                <w:rFonts w:hint="eastAsia"/>
                <w:szCs w:val="21"/>
              </w:rPr>
              <w:t>46.50</w:t>
            </w:r>
          </w:p>
        </w:tc>
        <w:tc>
          <w:tcPr>
            <w:tcW w:w="1019" w:type="pct"/>
            <w:noWrap/>
            <w:vAlign w:val="center"/>
          </w:tcPr>
          <w:p w14:paraId="6280887B">
            <w:pPr>
              <w:pStyle w:val="125"/>
              <w:spacing w:line="240" w:lineRule="auto"/>
              <w:ind w:firstLine="0" w:firstLineChars="0"/>
              <w:rPr>
                <w:szCs w:val="21"/>
              </w:rPr>
            </w:pPr>
            <w:r>
              <w:rPr>
                <w:rFonts w:hint="eastAsia"/>
                <w:szCs w:val="21"/>
              </w:rPr>
              <w:t>镁基新材料</w:t>
            </w:r>
          </w:p>
          <w:p w14:paraId="7800B76A">
            <w:pPr>
              <w:pStyle w:val="125"/>
              <w:spacing w:line="240" w:lineRule="auto"/>
              <w:ind w:firstLine="0" w:firstLineChars="0"/>
              <w:rPr>
                <w:szCs w:val="21"/>
              </w:rPr>
            </w:pPr>
            <w:r>
              <w:rPr>
                <w:rFonts w:hint="eastAsia"/>
                <w:szCs w:val="21"/>
              </w:rPr>
              <w:t>及制品生产线</w:t>
            </w:r>
          </w:p>
        </w:tc>
      </w:tr>
      <w:tr w14:paraId="4EFF0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03FA222E">
            <w:pPr>
              <w:pStyle w:val="125"/>
              <w:spacing w:line="240" w:lineRule="auto"/>
              <w:ind w:firstLine="0" w:firstLineChars="0"/>
              <w:rPr>
                <w:szCs w:val="21"/>
              </w:rPr>
            </w:pPr>
          </w:p>
        </w:tc>
        <w:tc>
          <w:tcPr>
            <w:tcW w:w="638" w:type="pct"/>
            <w:vMerge w:val="continue"/>
            <w:noWrap/>
            <w:vAlign w:val="center"/>
          </w:tcPr>
          <w:p w14:paraId="2DFDF09D">
            <w:pPr>
              <w:pStyle w:val="125"/>
              <w:spacing w:line="240" w:lineRule="auto"/>
              <w:ind w:firstLine="0" w:firstLineChars="0"/>
              <w:rPr>
                <w:szCs w:val="21"/>
              </w:rPr>
            </w:pPr>
          </w:p>
        </w:tc>
        <w:tc>
          <w:tcPr>
            <w:tcW w:w="511" w:type="pct"/>
            <w:vMerge w:val="continue"/>
            <w:noWrap/>
            <w:vAlign w:val="center"/>
          </w:tcPr>
          <w:p w14:paraId="02048FD4">
            <w:pPr>
              <w:pStyle w:val="125"/>
              <w:spacing w:line="240" w:lineRule="auto"/>
              <w:ind w:firstLine="0" w:firstLineChars="0"/>
              <w:rPr>
                <w:szCs w:val="21"/>
              </w:rPr>
            </w:pPr>
          </w:p>
        </w:tc>
        <w:tc>
          <w:tcPr>
            <w:tcW w:w="1653" w:type="pct"/>
            <w:noWrap/>
            <w:vAlign w:val="center"/>
          </w:tcPr>
          <w:p w14:paraId="040E74DD">
            <w:pPr>
              <w:pStyle w:val="125"/>
              <w:spacing w:line="240" w:lineRule="auto"/>
              <w:ind w:firstLine="0" w:firstLineChars="0"/>
              <w:rPr>
                <w:szCs w:val="21"/>
              </w:rPr>
            </w:pPr>
            <w:r>
              <w:rPr>
                <w:rFonts w:hint="eastAsia"/>
                <w:szCs w:val="21"/>
              </w:rPr>
              <w:t>供应现有兰炭烘干煤气</w:t>
            </w:r>
          </w:p>
        </w:tc>
        <w:tc>
          <w:tcPr>
            <w:tcW w:w="511" w:type="pct"/>
            <w:noWrap/>
            <w:vAlign w:val="center"/>
          </w:tcPr>
          <w:p w14:paraId="39A5E248">
            <w:pPr>
              <w:pStyle w:val="125"/>
              <w:spacing w:line="240" w:lineRule="auto"/>
              <w:ind w:firstLine="0" w:firstLineChars="0"/>
              <w:rPr>
                <w:szCs w:val="21"/>
              </w:rPr>
            </w:pPr>
            <w:r>
              <w:rPr>
                <w:rFonts w:hint="eastAsia"/>
                <w:szCs w:val="21"/>
              </w:rPr>
              <w:t>0.93</w:t>
            </w:r>
          </w:p>
        </w:tc>
        <w:tc>
          <w:tcPr>
            <w:tcW w:w="1019" w:type="pct"/>
            <w:noWrap/>
            <w:vAlign w:val="center"/>
          </w:tcPr>
          <w:p w14:paraId="2BE6C422">
            <w:pPr>
              <w:pStyle w:val="125"/>
              <w:spacing w:line="240" w:lineRule="auto"/>
              <w:ind w:firstLine="0" w:firstLineChars="0"/>
              <w:rPr>
                <w:szCs w:val="21"/>
              </w:rPr>
            </w:pPr>
            <w:r>
              <w:rPr>
                <w:rFonts w:hint="eastAsia"/>
                <w:szCs w:val="21"/>
              </w:rPr>
              <w:t>兰炭烘干</w:t>
            </w:r>
          </w:p>
        </w:tc>
      </w:tr>
      <w:tr w14:paraId="67AE8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294A06F0">
            <w:pPr>
              <w:pStyle w:val="125"/>
              <w:spacing w:line="240" w:lineRule="auto"/>
              <w:ind w:firstLine="0" w:firstLineChars="0"/>
              <w:rPr>
                <w:szCs w:val="21"/>
              </w:rPr>
            </w:pPr>
          </w:p>
        </w:tc>
        <w:tc>
          <w:tcPr>
            <w:tcW w:w="638" w:type="pct"/>
            <w:vMerge w:val="continue"/>
            <w:vAlign w:val="center"/>
          </w:tcPr>
          <w:p w14:paraId="17F8E87A">
            <w:pPr>
              <w:pStyle w:val="125"/>
              <w:spacing w:line="240" w:lineRule="auto"/>
              <w:ind w:firstLine="0" w:firstLineChars="0"/>
              <w:rPr>
                <w:szCs w:val="21"/>
              </w:rPr>
            </w:pPr>
          </w:p>
        </w:tc>
        <w:tc>
          <w:tcPr>
            <w:tcW w:w="511" w:type="pct"/>
            <w:vMerge w:val="continue"/>
            <w:vAlign w:val="center"/>
          </w:tcPr>
          <w:p w14:paraId="42FB4824">
            <w:pPr>
              <w:pStyle w:val="125"/>
              <w:spacing w:line="240" w:lineRule="auto"/>
              <w:ind w:firstLine="0" w:firstLineChars="0"/>
              <w:rPr>
                <w:szCs w:val="21"/>
              </w:rPr>
            </w:pPr>
          </w:p>
        </w:tc>
        <w:tc>
          <w:tcPr>
            <w:tcW w:w="1653" w:type="pct"/>
            <w:noWrap/>
            <w:vAlign w:val="center"/>
          </w:tcPr>
          <w:p w14:paraId="3D0B7348">
            <w:pPr>
              <w:pStyle w:val="125"/>
              <w:spacing w:line="240" w:lineRule="auto"/>
              <w:ind w:firstLine="0" w:firstLineChars="0"/>
              <w:rPr>
                <w:szCs w:val="21"/>
              </w:rPr>
            </w:pPr>
            <w:r>
              <w:rPr>
                <w:rFonts w:hint="eastAsia"/>
                <w:szCs w:val="21"/>
              </w:rPr>
              <w:t>回炉煤气</w:t>
            </w:r>
          </w:p>
        </w:tc>
        <w:tc>
          <w:tcPr>
            <w:tcW w:w="511" w:type="pct"/>
            <w:noWrap/>
            <w:vAlign w:val="center"/>
          </w:tcPr>
          <w:p w14:paraId="7B5261B3">
            <w:pPr>
              <w:pStyle w:val="125"/>
              <w:spacing w:line="240" w:lineRule="auto"/>
              <w:ind w:firstLine="0" w:firstLineChars="0"/>
              <w:rPr>
                <w:szCs w:val="21"/>
              </w:rPr>
            </w:pPr>
            <w:r>
              <w:rPr>
                <w:rFonts w:hint="eastAsia"/>
                <w:szCs w:val="21"/>
              </w:rPr>
              <w:t>37.77</w:t>
            </w:r>
          </w:p>
        </w:tc>
        <w:tc>
          <w:tcPr>
            <w:tcW w:w="1019" w:type="pct"/>
            <w:noWrap/>
            <w:vAlign w:val="center"/>
          </w:tcPr>
          <w:p w14:paraId="227B1A59">
            <w:pPr>
              <w:pStyle w:val="125"/>
              <w:spacing w:line="240" w:lineRule="auto"/>
              <w:ind w:firstLine="0" w:firstLineChars="0"/>
              <w:rPr>
                <w:szCs w:val="21"/>
              </w:rPr>
            </w:pPr>
            <w:r>
              <w:rPr>
                <w:rFonts w:hint="eastAsia"/>
                <w:szCs w:val="21"/>
              </w:rPr>
              <w:t>回炉</w:t>
            </w:r>
          </w:p>
        </w:tc>
      </w:tr>
      <w:tr w14:paraId="1A07B4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2D9C712E">
            <w:pPr>
              <w:pStyle w:val="125"/>
              <w:spacing w:line="240" w:lineRule="auto"/>
              <w:ind w:firstLine="0" w:firstLineChars="0"/>
              <w:rPr>
                <w:szCs w:val="21"/>
              </w:rPr>
            </w:pPr>
          </w:p>
        </w:tc>
        <w:tc>
          <w:tcPr>
            <w:tcW w:w="638" w:type="pct"/>
            <w:vMerge w:val="continue"/>
            <w:vAlign w:val="center"/>
          </w:tcPr>
          <w:p w14:paraId="65AEC3E8">
            <w:pPr>
              <w:pStyle w:val="125"/>
              <w:spacing w:line="240" w:lineRule="auto"/>
              <w:ind w:firstLine="0" w:firstLineChars="0"/>
              <w:rPr>
                <w:szCs w:val="21"/>
              </w:rPr>
            </w:pPr>
          </w:p>
        </w:tc>
        <w:tc>
          <w:tcPr>
            <w:tcW w:w="511" w:type="pct"/>
            <w:vMerge w:val="continue"/>
            <w:vAlign w:val="center"/>
          </w:tcPr>
          <w:p w14:paraId="7C9E7F15">
            <w:pPr>
              <w:pStyle w:val="125"/>
              <w:spacing w:line="240" w:lineRule="auto"/>
              <w:ind w:firstLine="0" w:firstLineChars="0"/>
              <w:rPr>
                <w:szCs w:val="21"/>
              </w:rPr>
            </w:pPr>
          </w:p>
        </w:tc>
        <w:tc>
          <w:tcPr>
            <w:tcW w:w="1653" w:type="pct"/>
            <w:noWrap/>
            <w:vAlign w:val="center"/>
          </w:tcPr>
          <w:p w14:paraId="677E46BB">
            <w:pPr>
              <w:pStyle w:val="125"/>
              <w:spacing w:line="240" w:lineRule="auto"/>
              <w:ind w:firstLine="0" w:firstLineChars="0"/>
              <w:rPr>
                <w:szCs w:val="21"/>
              </w:rPr>
            </w:pPr>
            <w:r>
              <w:rPr>
                <w:rFonts w:hint="eastAsia"/>
                <w:szCs w:val="21"/>
              </w:rPr>
              <w:t>供应在建及新建焚烧炉煤气</w:t>
            </w:r>
          </w:p>
        </w:tc>
        <w:tc>
          <w:tcPr>
            <w:tcW w:w="511" w:type="pct"/>
            <w:noWrap/>
            <w:vAlign w:val="center"/>
          </w:tcPr>
          <w:p w14:paraId="726C68BE">
            <w:pPr>
              <w:pStyle w:val="125"/>
              <w:spacing w:line="240" w:lineRule="auto"/>
              <w:ind w:firstLine="0" w:firstLineChars="0"/>
              <w:rPr>
                <w:szCs w:val="21"/>
              </w:rPr>
            </w:pPr>
            <w:r>
              <w:rPr>
                <w:rFonts w:hint="eastAsia"/>
                <w:szCs w:val="21"/>
              </w:rPr>
              <w:t>8.45</w:t>
            </w:r>
          </w:p>
        </w:tc>
        <w:tc>
          <w:tcPr>
            <w:tcW w:w="1019" w:type="pct"/>
            <w:noWrap/>
            <w:vAlign w:val="center"/>
          </w:tcPr>
          <w:p w14:paraId="43FB480B">
            <w:pPr>
              <w:pStyle w:val="125"/>
              <w:spacing w:line="240" w:lineRule="auto"/>
              <w:ind w:firstLine="0" w:firstLineChars="0"/>
              <w:rPr>
                <w:szCs w:val="21"/>
              </w:rPr>
            </w:pPr>
            <w:r>
              <w:rPr>
                <w:rFonts w:hint="eastAsia"/>
                <w:szCs w:val="21"/>
              </w:rPr>
              <w:t>废水焚烧炉</w:t>
            </w:r>
          </w:p>
        </w:tc>
      </w:tr>
      <w:tr w14:paraId="2066C3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3495F935">
            <w:pPr>
              <w:pStyle w:val="125"/>
              <w:spacing w:line="240" w:lineRule="auto"/>
              <w:ind w:firstLine="0" w:firstLineChars="0"/>
              <w:rPr>
                <w:szCs w:val="21"/>
              </w:rPr>
            </w:pPr>
          </w:p>
        </w:tc>
        <w:tc>
          <w:tcPr>
            <w:tcW w:w="638" w:type="pct"/>
            <w:vMerge w:val="continue"/>
            <w:vAlign w:val="center"/>
          </w:tcPr>
          <w:p w14:paraId="788627F7">
            <w:pPr>
              <w:pStyle w:val="125"/>
              <w:spacing w:line="240" w:lineRule="auto"/>
              <w:ind w:firstLine="0" w:firstLineChars="0"/>
              <w:rPr>
                <w:szCs w:val="21"/>
              </w:rPr>
            </w:pPr>
          </w:p>
        </w:tc>
        <w:tc>
          <w:tcPr>
            <w:tcW w:w="511" w:type="pct"/>
            <w:vMerge w:val="continue"/>
            <w:vAlign w:val="center"/>
          </w:tcPr>
          <w:p w14:paraId="4DB81408">
            <w:pPr>
              <w:pStyle w:val="125"/>
              <w:spacing w:line="240" w:lineRule="auto"/>
              <w:ind w:firstLine="0" w:firstLineChars="0"/>
              <w:rPr>
                <w:szCs w:val="21"/>
              </w:rPr>
            </w:pPr>
          </w:p>
        </w:tc>
        <w:tc>
          <w:tcPr>
            <w:tcW w:w="1653" w:type="pct"/>
            <w:noWrap/>
            <w:vAlign w:val="center"/>
          </w:tcPr>
          <w:p w14:paraId="29E566ED">
            <w:pPr>
              <w:pStyle w:val="125"/>
              <w:spacing w:line="240" w:lineRule="auto"/>
              <w:ind w:firstLine="0" w:firstLineChars="0"/>
              <w:rPr>
                <w:szCs w:val="21"/>
              </w:rPr>
            </w:pPr>
            <w:r>
              <w:rPr>
                <w:rFonts w:hint="eastAsia"/>
                <w:szCs w:val="21"/>
              </w:rPr>
              <w:t>供应现有20吨燃气锅炉煤气</w:t>
            </w:r>
          </w:p>
        </w:tc>
        <w:tc>
          <w:tcPr>
            <w:tcW w:w="511" w:type="pct"/>
            <w:noWrap/>
            <w:vAlign w:val="center"/>
          </w:tcPr>
          <w:p w14:paraId="60AA5AC7">
            <w:pPr>
              <w:pStyle w:val="125"/>
              <w:spacing w:line="240" w:lineRule="auto"/>
              <w:ind w:firstLine="0" w:firstLineChars="0"/>
              <w:rPr>
                <w:szCs w:val="21"/>
              </w:rPr>
            </w:pPr>
            <w:r>
              <w:rPr>
                <w:rFonts w:hint="eastAsia"/>
                <w:szCs w:val="21"/>
              </w:rPr>
              <w:t>3.64</w:t>
            </w:r>
          </w:p>
        </w:tc>
        <w:tc>
          <w:tcPr>
            <w:tcW w:w="1019" w:type="pct"/>
            <w:noWrap/>
            <w:vAlign w:val="center"/>
          </w:tcPr>
          <w:p w14:paraId="0269657B">
            <w:pPr>
              <w:pStyle w:val="125"/>
              <w:spacing w:line="240" w:lineRule="auto"/>
              <w:ind w:firstLine="0" w:firstLineChars="0"/>
              <w:rPr>
                <w:szCs w:val="21"/>
              </w:rPr>
            </w:pPr>
            <w:r>
              <w:rPr>
                <w:rFonts w:hint="eastAsia"/>
                <w:szCs w:val="21"/>
              </w:rPr>
              <w:t>燃气锅炉</w:t>
            </w:r>
          </w:p>
        </w:tc>
      </w:tr>
      <w:tr w14:paraId="57BFD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216118DC">
            <w:pPr>
              <w:pStyle w:val="125"/>
              <w:spacing w:line="240" w:lineRule="auto"/>
              <w:ind w:firstLine="0" w:firstLineChars="0"/>
              <w:rPr>
                <w:szCs w:val="21"/>
              </w:rPr>
            </w:pPr>
          </w:p>
        </w:tc>
        <w:tc>
          <w:tcPr>
            <w:tcW w:w="638" w:type="pct"/>
            <w:vMerge w:val="continue"/>
            <w:vAlign w:val="center"/>
          </w:tcPr>
          <w:p w14:paraId="25036D24">
            <w:pPr>
              <w:pStyle w:val="125"/>
              <w:spacing w:line="240" w:lineRule="auto"/>
              <w:ind w:firstLine="0" w:firstLineChars="0"/>
              <w:rPr>
                <w:szCs w:val="21"/>
              </w:rPr>
            </w:pPr>
          </w:p>
        </w:tc>
        <w:tc>
          <w:tcPr>
            <w:tcW w:w="511" w:type="pct"/>
            <w:vMerge w:val="continue"/>
            <w:vAlign w:val="center"/>
          </w:tcPr>
          <w:p w14:paraId="0F7EC0EB">
            <w:pPr>
              <w:pStyle w:val="125"/>
              <w:spacing w:line="240" w:lineRule="auto"/>
              <w:ind w:firstLine="0" w:firstLineChars="0"/>
              <w:rPr>
                <w:szCs w:val="21"/>
              </w:rPr>
            </w:pPr>
          </w:p>
        </w:tc>
        <w:tc>
          <w:tcPr>
            <w:tcW w:w="1653" w:type="pct"/>
            <w:noWrap/>
            <w:vAlign w:val="center"/>
          </w:tcPr>
          <w:p w14:paraId="0CBBABC0">
            <w:pPr>
              <w:pStyle w:val="125"/>
              <w:spacing w:line="240" w:lineRule="auto"/>
              <w:ind w:firstLine="0" w:firstLineChars="0"/>
              <w:rPr>
                <w:szCs w:val="21"/>
              </w:rPr>
            </w:pPr>
            <w:r>
              <w:rPr>
                <w:rFonts w:hint="eastAsia"/>
                <w:szCs w:val="21"/>
              </w:rPr>
              <w:t>焦油渣</w:t>
            </w:r>
          </w:p>
        </w:tc>
        <w:tc>
          <w:tcPr>
            <w:tcW w:w="511" w:type="pct"/>
            <w:noWrap/>
            <w:vAlign w:val="center"/>
          </w:tcPr>
          <w:p w14:paraId="16B896F4">
            <w:pPr>
              <w:pStyle w:val="125"/>
              <w:spacing w:line="240" w:lineRule="auto"/>
              <w:ind w:firstLine="0" w:firstLineChars="0"/>
              <w:rPr>
                <w:szCs w:val="21"/>
              </w:rPr>
            </w:pPr>
            <w:r>
              <w:rPr>
                <w:rFonts w:hint="eastAsia"/>
                <w:szCs w:val="21"/>
              </w:rPr>
              <w:t>0.06</w:t>
            </w:r>
          </w:p>
        </w:tc>
        <w:tc>
          <w:tcPr>
            <w:tcW w:w="1019" w:type="pct"/>
            <w:noWrap/>
            <w:vAlign w:val="center"/>
          </w:tcPr>
          <w:p w14:paraId="4283DCF1">
            <w:pPr>
              <w:pStyle w:val="125"/>
              <w:spacing w:line="240" w:lineRule="auto"/>
              <w:ind w:firstLine="0" w:firstLineChars="0"/>
              <w:rPr>
                <w:szCs w:val="21"/>
              </w:rPr>
            </w:pPr>
            <w:r>
              <w:rPr>
                <w:rFonts w:hint="eastAsia"/>
                <w:szCs w:val="21"/>
              </w:rPr>
              <w:t>回炉</w:t>
            </w:r>
          </w:p>
        </w:tc>
      </w:tr>
      <w:tr w14:paraId="2C4A3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76723148">
            <w:pPr>
              <w:pStyle w:val="125"/>
              <w:spacing w:line="240" w:lineRule="auto"/>
              <w:ind w:firstLine="0" w:firstLineChars="0"/>
              <w:rPr>
                <w:szCs w:val="21"/>
              </w:rPr>
            </w:pPr>
          </w:p>
        </w:tc>
        <w:tc>
          <w:tcPr>
            <w:tcW w:w="638" w:type="pct"/>
            <w:vMerge w:val="continue"/>
            <w:vAlign w:val="center"/>
          </w:tcPr>
          <w:p w14:paraId="15D99EC8">
            <w:pPr>
              <w:pStyle w:val="125"/>
              <w:spacing w:line="240" w:lineRule="auto"/>
              <w:ind w:firstLine="0" w:firstLineChars="0"/>
              <w:rPr>
                <w:szCs w:val="21"/>
              </w:rPr>
            </w:pPr>
          </w:p>
        </w:tc>
        <w:tc>
          <w:tcPr>
            <w:tcW w:w="511" w:type="pct"/>
            <w:vMerge w:val="continue"/>
            <w:vAlign w:val="center"/>
          </w:tcPr>
          <w:p w14:paraId="58AD0970">
            <w:pPr>
              <w:pStyle w:val="125"/>
              <w:spacing w:line="240" w:lineRule="auto"/>
              <w:ind w:firstLine="0" w:firstLineChars="0"/>
              <w:rPr>
                <w:szCs w:val="21"/>
              </w:rPr>
            </w:pPr>
          </w:p>
        </w:tc>
        <w:tc>
          <w:tcPr>
            <w:tcW w:w="1653" w:type="pct"/>
            <w:noWrap/>
            <w:vAlign w:val="center"/>
          </w:tcPr>
          <w:p w14:paraId="01500308">
            <w:pPr>
              <w:pStyle w:val="125"/>
              <w:spacing w:line="240" w:lineRule="auto"/>
              <w:ind w:firstLine="0" w:firstLineChars="0"/>
              <w:rPr>
                <w:szCs w:val="21"/>
              </w:rPr>
            </w:pPr>
            <w:r>
              <w:rPr>
                <w:rFonts w:hint="eastAsia"/>
                <w:szCs w:val="21"/>
              </w:rPr>
              <w:t>焦油</w:t>
            </w:r>
          </w:p>
        </w:tc>
        <w:tc>
          <w:tcPr>
            <w:tcW w:w="511" w:type="pct"/>
            <w:noWrap/>
            <w:vAlign w:val="center"/>
          </w:tcPr>
          <w:p w14:paraId="7590E840">
            <w:pPr>
              <w:pStyle w:val="125"/>
              <w:spacing w:line="240" w:lineRule="auto"/>
              <w:ind w:firstLine="0" w:firstLineChars="0"/>
              <w:rPr>
                <w:szCs w:val="21"/>
              </w:rPr>
            </w:pPr>
            <w:r>
              <w:rPr>
                <w:rFonts w:hint="eastAsia"/>
                <w:szCs w:val="21"/>
              </w:rPr>
              <w:t>9.7</w:t>
            </w:r>
          </w:p>
        </w:tc>
        <w:tc>
          <w:tcPr>
            <w:tcW w:w="1019" w:type="pct"/>
            <w:noWrap/>
            <w:vAlign w:val="center"/>
          </w:tcPr>
          <w:p w14:paraId="532ACEBE">
            <w:pPr>
              <w:pStyle w:val="125"/>
              <w:spacing w:line="240" w:lineRule="auto"/>
              <w:ind w:firstLine="0" w:firstLineChars="0"/>
              <w:rPr>
                <w:szCs w:val="21"/>
              </w:rPr>
            </w:pPr>
            <w:r>
              <w:rPr>
                <w:rFonts w:hint="eastAsia"/>
                <w:szCs w:val="21"/>
              </w:rPr>
              <w:t>焦油罐</w:t>
            </w:r>
          </w:p>
        </w:tc>
      </w:tr>
      <w:tr w14:paraId="12610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3767116B">
            <w:pPr>
              <w:pStyle w:val="125"/>
              <w:spacing w:line="240" w:lineRule="auto"/>
              <w:ind w:firstLine="0" w:firstLineChars="0"/>
              <w:rPr>
                <w:szCs w:val="21"/>
              </w:rPr>
            </w:pPr>
          </w:p>
        </w:tc>
        <w:tc>
          <w:tcPr>
            <w:tcW w:w="638" w:type="pct"/>
            <w:vMerge w:val="continue"/>
            <w:vAlign w:val="center"/>
          </w:tcPr>
          <w:p w14:paraId="08140ED1">
            <w:pPr>
              <w:pStyle w:val="125"/>
              <w:spacing w:line="240" w:lineRule="auto"/>
              <w:ind w:firstLine="0" w:firstLineChars="0"/>
              <w:rPr>
                <w:szCs w:val="21"/>
              </w:rPr>
            </w:pPr>
          </w:p>
        </w:tc>
        <w:tc>
          <w:tcPr>
            <w:tcW w:w="511" w:type="pct"/>
            <w:vMerge w:val="continue"/>
            <w:vAlign w:val="center"/>
          </w:tcPr>
          <w:p w14:paraId="04890C58">
            <w:pPr>
              <w:pStyle w:val="125"/>
              <w:spacing w:line="240" w:lineRule="auto"/>
              <w:ind w:firstLine="0" w:firstLineChars="0"/>
              <w:rPr>
                <w:szCs w:val="21"/>
              </w:rPr>
            </w:pPr>
          </w:p>
        </w:tc>
        <w:tc>
          <w:tcPr>
            <w:tcW w:w="1653" w:type="pct"/>
            <w:noWrap/>
            <w:vAlign w:val="center"/>
          </w:tcPr>
          <w:p w14:paraId="18AB4A16">
            <w:pPr>
              <w:pStyle w:val="125"/>
              <w:spacing w:line="240" w:lineRule="auto"/>
              <w:ind w:firstLine="0" w:firstLineChars="0"/>
              <w:rPr>
                <w:szCs w:val="21"/>
              </w:rPr>
            </w:pPr>
            <w:r>
              <w:rPr>
                <w:rFonts w:hint="eastAsia"/>
                <w:szCs w:val="21"/>
              </w:rPr>
              <w:t>剩余氨水</w:t>
            </w:r>
          </w:p>
        </w:tc>
        <w:tc>
          <w:tcPr>
            <w:tcW w:w="511" w:type="pct"/>
            <w:noWrap/>
            <w:vAlign w:val="center"/>
          </w:tcPr>
          <w:p w14:paraId="7E45F7B8">
            <w:pPr>
              <w:pStyle w:val="125"/>
              <w:spacing w:line="240" w:lineRule="auto"/>
              <w:ind w:firstLine="0" w:firstLineChars="0"/>
              <w:rPr>
                <w:szCs w:val="21"/>
              </w:rPr>
            </w:pPr>
            <w:r>
              <w:rPr>
                <w:rFonts w:hint="eastAsia"/>
                <w:szCs w:val="21"/>
              </w:rPr>
              <w:t>15.72</w:t>
            </w:r>
          </w:p>
        </w:tc>
        <w:tc>
          <w:tcPr>
            <w:tcW w:w="1019" w:type="pct"/>
            <w:noWrap/>
            <w:vAlign w:val="center"/>
          </w:tcPr>
          <w:p w14:paraId="5D3D43DB">
            <w:pPr>
              <w:pStyle w:val="125"/>
              <w:spacing w:line="240" w:lineRule="auto"/>
              <w:ind w:firstLine="0" w:firstLineChars="0"/>
              <w:rPr>
                <w:szCs w:val="21"/>
              </w:rPr>
            </w:pPr>
            <w:r>
              <w:rPr>
                <w:rFonts w:hint="eastAsia"/>
                <w:szCs w:val="21"/>
              </w:rPr>
              <w:t>废水焚烧系统</w:t>
            </w:r>
          </w:p>
        </w:tc>
      </w:tr>
      <w:tr w14:paraId="3B549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2F244F0A">
            <w:pPr>
              <w:pStyle w:val="125"/>
              <w:spacing w:line="240" w:lineRule="auto"/>
              <w:ind w:firstLine="0" w:firstLineChars="0"/>
              <w:rPr>
                <w:szCs w:val="21"/>
              </w:rPr>
            </w:pPr>
          </w:p>
        </w:tc>
        <w:tc>
          <w:tcPr>
            <w:tcW w:w="638" w:type="pct"/>
            <w:vMerge w:val="continue"/>
            <w:vAlign w:val="center"/>
          </w:tcPr>
          <w:p w14:paraId="1EF8F027">
            <w:pPr>
              <w:pStyle w:val="125"/>
              <w:spacing w:line="240" w:lineRule="auto"/>
              <w:ind w:firstLine="0" w:firstLineChars="0"/>
              <w:rPr>
                <w:szCs w:val="21"/>
              </w:rPr>
            </w:pPr>
          </w:p>
        </w:tc>
        <w:tc>
          <w:tcPr>
            <w:tcW w:w="511" w:type="pct"/>
            <w:vMerge w:val="continue"/>
            <w:vAlign w:val="center"/>
          </w:tcPr>
          <w:p w14:paraId="4F21C083">
            <w:pPr>
              <w:pStyle w:val="125"/>
              <w:spacing w:line="240" w:lineRule="auto"/>
              <w:ind w:firstLine="0" w:firstLineChars="0"/>
              <w:rPr>
                <w:szCs w:val="21"/>
              </w:rPr>
            </w:pPr>
          </w:p>
        </w:tc>
        <w:tc>
          <w:tcPr>
            <w:tcW w:w="1653" w:type="pct"/>
            <w:noWrap/>
            <w:vAlign w:val="center"/>
          </w:tcPr>
          <w:p w14:paraId="5CE35235">
            <w:pPr>
              <w:pStyle w:val="125"/>
              <w:spacing w:line="240" w:lineRule="auto"/>
              <w:ind w:firstLine="0" w:firstLineChars="0"/>
              <w:rPr>
                <w:szCs w:val="21"/>
              </w:rPr>
            </w:pPr>
            <w:r>
              <w:rPr>
                <w:rFonts w:hint="eastAsia"/>
                <w:szCs w:val="21"/>
              </w:rPr>
              <w:t>废气无组织排放</w:t>
            </w:r>
          </w:p>
        </w:tc>
        <w:tc>
          <w:tcPr>
            <w:tcW w:w="511" w:type="pct"/>
            <w:noWrap/>
            <w:vAlign w:val="center"/>
          </w:tcPr>
          <w:p w14:paraId="17D59552">
            <w:pPr>
              <w:pStyle w:val="125"/>
              <w:spacing w:line="240" w:lineRule="auto"/>
              <w:ind w:firstLine="0" w:firstLineChars="0"/>
              <w:rPr>
                <w:szCs w:val="21"/>
              </w:rPr>
            </w:pPr>
            <w:r>
              <w:rPr>
                <w:rFonts w:hint="eastAsia"/>
                <w:szCs w:val="21"/>
              </w:rPr>
              <w:t>0.0003</w:t>
            </w:r>
          </w:p>
        </w:tc>
        <w:tc>
          <w:tcPr>
            <w:tcW w:w="1019" w:type="pct"/>
            <w:noWrap/>
            <w:vAlign w:val="center"/>
          </w:tcPr>
          <w:p w14:paraId="77CE2B00">
            <w:pPr>
              <w:pStyle w:val="125"/>
              <w:spacing w:line="240" w:lineRule="auto"/>
              <w:ind w:firstLine="0" w:firstLineChars="0"/>
              <w:rPr>
                <w:szCs w:val="21"/>
              </w:rPr>
            </w:pPr>
            <w:r>
              <w:rPr>
                <w:rFonts w:hint="eastAsia"/>
                <w:szCs w:val="21"/>
              </w:rPr>
              <w:t>逸散排放</w:t>
            </w:r>
          </w:p>
        </w:tc>
      </w:tr>
      <w:tr w14:paraId="1F89C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68" w:type="pct"/>
            <w:vMerge w:val="continue"/>
            <w:vAlign w:val="center"/>
          </w:tcPr>
          <w:p w14:paraId="3680D5AE">
            <w:pPr>
              <w:pStyle w:val="125"/>
              <w:spacing w:line="240" w:lineRule="auto"/>
              <w:ind w:firstLine="0" w:firstLineChars="0"/>
              <w:rPr>
                <w:szCs w:val="21"/>
              </w:rPr>
            </w:pPr>
          </w:p>
        </w:tc>
        <w:tc>
          <w:tcPr>
            <w:tcW w:w="638" w:type="pct"/>
            <w:noWrap/>
            <w:vAlign w:val="center"/>
          </w:tcPr>
          <w:p w14:paraId="07923567">
            <w:pPr>
              <w:pStyle w:val="125"/>
              <w:spacing w:line="240" w:lineRule="auto"/>
              <w:ind w:firstLine="0" w:firstLineChars="0"/>
              <w:rPr>
                <w:szCs w:val="21"/>
              </w:rPr>
            </w:pPr>
            <w:r>
              <w:rPr>
                <w:rFonts w:hint="eastAsia"/>
                <w:szCs w:val="21"/>
              </w:rPr>
              <w:t>小计</w:t>
            </w:r>
          </w:p>
        </w:tc>
        <w:tc>
          <w:tcPr>
            <w:tcW w:w="511" w:type="pct"/>
            <w:noWrap/>
            <w:vAlign w:val="center"/>
          </w:tcPr>
          <w:p w14:paraId="0F1764F2">
            <w:pPr>
              <w:pStyle w:val="125"/>
              <w:spacing w:line="240" w:lineRule="auto"/>
              <w:ind w:firstLine="0" w:firstLineChars="0"/>
              <w:rPr>
                <w:szCs w:val="21"/>
              </w:rPr>
            </w:pPr>
            <w:r>
              <w:rPr>
                <w:rFonts w:hint="eastAsia"/>
                <w:szCs w:val="21"/>
              </w:rPr>
              <w:t>122.76</w:t>
            </w:r>
          </w:p>
        </w:tc>
        <w:tc>
          <w:tcPr>
            <w:tcW w:w="1653" w:type="pct"/>
            <w:noWrap/>
            <w:vAlign w:val="center"/>
          </w:tcPr>
          <w:p w14:paraId="0F88580E">
            <w:pPr>
              <w:pStyle w:val="125"/>
              <w:spacing w:line="240" w:lineRule="auto"/>
              <w:ind w:firstLine="0" w:firstLineChars="0"/>
              <w:rPr>
                <w:szCs w:val="21"/>
              </w:rPr>
            </w:pPr>
            <w:r>
              <w:rPr>
                <w:rFonts w:hint="eastAsia"/>
                <w:szCs w:val="21"/>
              </w:rPr>
              <w:t>小计</w:t>
            </w:r>
          </w:p>
        </w:tc>
        <w:tc>
          <w:tcPr>
            <w:tcW w:w="511" w:type="pct"/>
            <w:noWrap/>
            <w:vAlign w:val="center"/>
          </w:tcPr>
          <w:p w14:paraId="7CA6D724">
            <w:pPr>
              <w:pStyle w:val="125"/>
              <w:spacing w:line="240" w:lineRule="auto"/>
              <w:ind w:firstLine="0" w:firstLineChars="0"/>
              <w:rPr>
                <w:szCs w:val="21"/>
              </w:rPr>
            </w:pPr>
            <w:r>
              <w:rPr>
                <w:rFonts w:hint="eastAsia"/>
                <w:szCs w:val="21"/>
              </w:rPr>
              <w:t>122.76</w:t>
            </w:r>
          </w:p>
        </w:tc>
        <w:tc>
          <w:tcPr>
            <w:tcW w:w="1019" w:type="pct"/>
            <w:noWrap/>
            <w:vAlign w:val="center"/>
          </w:tcPr>
          <w:p w14:paraId="279879EA">
            <w:pPr>
              <w:pStyle w:val="125"/>
              <w:spacing w:line="240" w:lineRule="auto"/>
              <w:ind w:firstLine="0" w:firstLineChars="0"/>
              <w:rPr>
                <w:szCs w:val="21"/>
              </w:rPr>
            </w:pPr>
          </w:p>
        </w:tc>
      </w:tr>
    </w:tbl>
    <w:p w14:paraId="03A30472">
      <w:pPr>
        <w:pStyle w:val="480"/>
        <w:spacing w:line="240" w:lineRule="auto"/>
        <w:ind w:firstLine="0" w:firstLineChars="0"/>
        <w:jc w:val="center"/>
      </w:pPr>
    </w:p>
    <w:p w14:paraId="1FEE2F8E">
      <w:pPr>
        <w:pStyle w:val="480"/>
        <w:spacing w:line="240" w:lineRule="auto"/>
        <w:ind w:firstLine="0" w:firstLineChars="0"/>
        <w:jc w:val="center"/>
        <w:sectPr>
          <w:pgSz w:w="11906" w:h="16838"/>
          <w:pgMar w:top="1440" w:right="1800" w:bottom="1440" w:left="1800" w:header="850" w:footer="850" w:gutter="0"/>
          <w:cols w:space="425" w:num="1"/>
          <w:docGrid w:type="lines" w:linePitch="326" w:charSpace="0"/>
        </w:sectPr>
      </w:pPr>
    </w:p>
    <w:p w14:paraId="0FA31F86">
      <w:pPr>
        <w:pStyle w:val="480"/>
        <w:spacing w:line="240" w:lineRule="auto"/>
        <w:ind w:firstLine="0" w:firstLineChars="0"/>
        <w:jc w:val="center"/>
      </w:pPr>
    </w:p>
    <w:p w14:paraId="7FFD0F59">
      <w:pPr>
        <w:pStyle w:val="480"/>
        <w:spacing w:line="240" w:lineRule="auto"/>
        <w:ind w:firstLine="0" w:firstLineChars="0"/>
        <w:jc w:val="center"/>
      </w:pPr>
    </w:p>
    <w:p w14:paraId="5184FE7A">
      <w:pPr>
        <w:pStyle w:val="944"/>
      </w:pPr>
      <w:r>
        <w:rPr>
          <w:rFonts w:hint="eastAsia"/>
        </w:rPr>
        <w:t>煤气平衡</w:t>
      </w:r>
    </w:p>
    <w:p w14:paraId="762372CC">
      <w:pPr>
        <w:ind w:firstLine="480"/>
      </w:pPr>
      <w:r>
        <w:rPr>
          <w:rFonts w:hint="eastAsia"/>
        </w:rPr>
        <w:t>炭化工段产出的荒煤气经煤气净化工段净化处理后，部分自用于回炉煤气，部分用于兰炭烘干、废水焚烧及燃气锅炉，其他供应镁基新材料及制品生产线。</w:t>
      </w:r>
    </w:p>
    <w:p w14:paraId="48F7EC34">
      <w:pPr>
        <w:ind w:firstLine="480"/>
      </w:pPr>
      <w:r>
        <w:rPr>
          <w:rFonts w:hint="eastAsia"/>
        </w:rPr>
        <w:t>厂内煤气平衡关系，见表3.3-8及图3.3-3。</w:t>
      </w:r>
    </w:p>
    <w:p w14:paraId="6A2D568A">
      <w:pPr>
        <w:pStyle w:val="118"/>
      </w:pPr>
      <w:r>
        <w:rPr>
          <w:rFonts w:hint="eastAsia"/>
        </w:rPr>
        <w:t>表3.3-8  厂内煤气供求关系平衡表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99"/>
        <w:gridCol w:w="2884"/>
        <w:gridCol w:w="1214"/>
        <w:gridCol w:w="1220"/>
        <w:gridCol w:w="1205"/>
      </w:tblGrid>
      <w:tr w14:paraId="402E4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Merge w:val="restart"/>
            <w:vAlign w:val="center"/>
          </w:tcPr>
          <w:p w14:paraId="685DC931">
            <w:pPr>
              <w:pStyle w:val="125"/>
              <w:ind w:firstLine="0" w:firstLineChars="0"/>
            </w:pPr>
            <w:r>
              <w:rPr>
                <w:rFonts w:hint="eastAsia"/>
              </w:rPr>
              <w:t>煤气来源</w:t>
            </w:r>
          </w:p>
        </w:tc>
        <w:tc>
          <w:tcPr>
            <w:tcW w:w="3119" w:type="pct"/>
            <w:gridSpan w:val="3"/>
            <w:vAlign w:val="center"/>
          </w:tcPr>
          <w:p w14:paraId="70FC4D91">
            <w:pPr>
              <w:pStyle w:val="125"/>
              <w:ind w:firstLine="0" w:firstLineChars="0"/>
            </w:pPr>
            <w:r>
              <w:rPr>
                <w:rFonts w:hint="eastAsia"/>
              </w:rPr>
              <w:t>煤气支出</w:t>
            </w:r>
          </w:p>
        </w:tc>
        <w:tc>
          <w:tcPr>
            <w:tcW w:w="707" w:type="pct"/>
            <w:vMerge w:val="restart"/>
            <w:vAlign w:val="center"/>
          </w:tcPr>
          <w:p w14:paraId="1A389BAE">
            <w:pPr>
              <w:pStyle w:val="125"/>
              <w:ind w:firstLine="0" w:firstLineChars="0"/>
            </w:pPr>
            <w:r>
              <w:rPr>
                <w:rFonts w:hint="eastAsia"/>
              </w:rPr>
              <w:t>支出比例</w:t>
            </w:r>
          </w:p>
          <w:p w14:paraId="08B91A30">
            <w:pPr>
              <w:pStyle w:val="125"/>
              <w:ind w:firstLine="0" w:firstLineChars="0"/>
            </w:pPr>
            <w:r>
              <w:rPr>
                <w:rFonts w:hint="eastAsia"/>
              </w:rPr>
              <w:t>（%）</w:t>
            </w:r>
          </w:p>
        </w:tc>
      </w:tr>
      <w:tr w14:paraId="50349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Merge w:val="continue"/>
            <w:vAlign w:val="center"/>
          </w:tcPr>
          <w:p w14:paraId="4AFA5580">
            <w:pPr>
              <w:pStyle w:val="125"/>
              <w:ind w:firstLine="0" w:firstLineChars="0"/>
            </w:pPr>
          </w:p>
        </w:tc>
        <w:tc>
          <w:tcPr>
            <w:tcW w:w="1692" w:type="pct"/>
            <w:vAlign w:val="center"/>
          </w:tcPr>
          <w:p w14:paraId="00AEF435">
            <w:pPr>
              <w:pStyle w:val="125"/>
              <w:ind w:firstLine="0" w:firstLineChars="0"/>
            </w:pPr>
            <w:r>
              <w:rPr>
                <w:rFonts w:hint="eastAsia"/>
              </w:rPr>
              <w:t>用气单位</w:t>
            </w:r>
          </w:p>
        </w:tc>
        <w:tc>
          <w:tcPr>
            <w:tcW w:w="712" w:type="pct"/>
            <w:vAlign w:val="center"/>
          </w:tcPr>
          <w:p w14:paraId="52DB4D86">
            <w:pPr>
              <w:pStyle w:val="125"/>
              <w:ind w:firstLine="0" w:firstLineChars="0"/>
            </w:pPr>
            <w:r>
              <w:rPr>
                <w:rFonts w:hint="eastAsia"/>
              </w:rPr>
              <w:t>万Nm³/h</w:t>
            </w:r>
          </w:p>
        </w:tc>
        <w:tc>
          <w:tcPr>
            <w:tcW w:w="716" w:type="pct"/>
            <w:vAlign w:val="center"/>
          </w:tcPr>
          <w:p w14:paraId="4239F754">
            <w:pPr>
              <w:pStyle w:val="125"/>
              <w:ind w:firstLine="0" w:firstLineChars="0"/>
            </w:pPr>
            <w:r>
              <w:rPr>
                <w:rFonts w:hint="eastAsia"/>
              </w:rPr>
              <w:t>10</w:t>
            </w:r>
            <w:r>
              <w:rPr>
                <w:rFonts w:hint="eastAsia"/>
                <w:vertAlign w:val="superscript"/>
              </w:rPr>
              <w:t>8</w:t>
            </w:r>
            <w:r>
              <w:rPr>
                <w:rFonts w:hint="eastAsia"/>
              </w:rPr>
              <w:t>Nm³/a</w:t>
            </w:r>
          </w:p>
        </w:tc>
        <w:tc>
          <w:tcPr>
            <w:tcW w:w="707" w:type="pct"/>
            <w:vMerge w:val="continue"/>
            <w:vAlign w:val="center"/>
          </w:tcPr>
          <w:p w14:paraId="44D23B2A">
            <w:pPr>
              <w:pStyle w:val="125"/>
              <w:ind w:firstLine="0" w:firstLineChars="0"/>
            </w:pPr>
          </w:p>
        </w:tc>
      </w:tr>
      <w:tr w14:paraId="481A60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Merge w:val="restart"/>
            <w:vAlign w:val="center"/>
          </w:tcPr>
          <w:p w14:paraId="0CC90D42">
            <w:pPr>
              <w:pStyle w:val="125"/>
              <w:ind w:firstLine="0" w:firstLineChars="0"/>
            </w:pPr>
            <w:r>
              <w:rPr>
                <w:rFonts w:hint="eastAsia"/>
              </w:rPr>
              <w:t>炭化炉煤气</w:t>
            </w:r>
          </w:p>
          <w:p w14:paraId="180E472A">
            <w:pPr>
              <w:pStyle w:val="125"/>
              <w:ind w:firstLine="0" w:firstLineChars="0"/>
            </w:pPr>
            <w:r>
              <w:rPr>
                <w:rFonts w:hint="eastAsia"/>
              </w:rPr>
              <w:t>产生量</w:t>
            </w:r>
          </w:p>
          <w:p w14:paraId="76CCD3D9">
            <w:pPr>
              <w:pStyle w:val="125"/>
              <w:ind w:firstLine="0" w:firstLineChars="0"/>
            </w:pPr>
            <w:r>
              <w:rPr>
                <w:rFonts w:hint="eastAsia"/>
              </w:rPr>
              <w:t>15.35万Nm³/h</w:t>
            </w:r>
          </w:p>
        </w:tc>
        <w:tc>
          <w:tcPr>
            <w:tcW w:w="1692" w:type="pct"/>
            <w:vAlign w:val="center"/>
          </w:tcPr>
          <w:p w14:paraId="2AE81183">
            <w:pPr>
              <w:pStyle w:val="125"/>
              <w:ind w:firstLine="0" w:firstLineChars="0"/>
            </w:pPr>
            <w:r>
              <w:rPr>
                <w:rFonts w:hint="eastAsia"/>
                <w:szCs w:val="21"/>
              </w:rPr>
              <w:t>供应镁基新材料</w:t>
            </w:r>
          </w:p>
        </w:tc>
        <w:tc>
          <w:tcPr>
            <w:tcW w:w="712" w:type="pct"/>
            <w:vAlign w:val="center"/>
          </w:tcPr>
          <w:p w14:paraId="23F494CD">
            <w:pPr>
              <w:pStyle w:val="125"/>
              <w:ind w:firstLine="0" w:firstLineChars="0"/>
            </w:pPr>
            <w:r>
              <w:rPr>
                <w:rFonts w:hint="eastAsia"/>
                <w:sz w:val="22"/>
                <w:szCs w:val="22"/>
              </w:rPr>
              <w:t>7.34</w:t>
            </w:r>
          </w:p>
        </w:tc>
        <w:tc>
          <w:tcPr>
            <w:tcW w:w="716" w:type="pct"/>
            <w:vAlign w:val="center"/>
          </w:tcPr>
          <w:p w14:paraId="78FD3783">
            <w:pPr>
              <w:pStyle w:val="125"/>
              <w:ind w:firstLine="0" w:firstLineChars="0"/>
            </w:pPr>
            <w:r>
              <w:rPr>
                <w:rFonts w:hint="eastAsia"/>
                <w:sz w:val="22"/>
                <w:szCs w:val="22"/>
              </w:rPr>
              <w:t>5.81</w:t>
            </w:r>
          </w:p>
        </w:tc>
        <w:tc>
          <w:tcPr>
            <w:tcW w:w="707" w:type="pct"/>
            <w:vAlign w:val="center"/>
          </w:tcPr>
          <w:p w14:paraId="2547A1E4">
            <w:pPr>
              <w:pStyle w:val="125"/>
              <w:ind w:firstLine="0" w:firstLineChars="0"/>
            </w:pPr>
            <w:r>
              <w:rPr>
                <w:rFonts w:hint="eastAsia"/>
                <w:sz w:val="22"/>
                <w:szCs w:val="22"/>
              </w:rPr>
              <w:t>47.80</w:t>
            </w:r>
          </w:p>
        </w:tc>
      </w:tr>
      <w:tr w14:paraId="55F15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Merge w:val="continue"/>
            <w:vAlign w:val="center"/>
          </w:tcPr>
          <w:p w14:paraId="36FC87B2">
            <w:pPr>
              <w:pStyle w:val="125"/>
              <w:ind w:firstLine="0" w:firstLineChars="0"/>
            </w:pPr>
          </w:p>
        </w:tc>
        <w:tc>
          <w:tcPr>
            <w:tcW w:w="1692" w:type="pct"/>
            <w:vAlign w:val="center"/>
          </w:tcPr>
          <w:p w14:paraId="10EE9B3F">
            <w:pPr>
              <w:pStyle w:val="125"/>
              <w:ind w:firstLine="0" w:firstLineChars="0"/>
            </w:pPr>
            <w:r>
              <w:rPr>
                <w:rFonts w:hint="eastAsia"/>
                <w:szCs w:val="21"/>
              </w:rPr>
              <w:t>供应现有兰炭烘干生产线</w:t>
            </w:r>
          </w:p>
        </w:tc>
        <w:tc>
          <w:tcPr>
            <w:tcW w:w="712" w:type="pct"/>
            <w:vAlign w:val="center"/>
          </w:tcPr>
          <w:p w14:paraId="2CC682B9">
            <w:pPr>
              <w:pStyle w:val="125"/>
              <w:ind w:firstLine="0" w:firstLineChars="0"/>
            </w:pPr>
            <w:r>
              <w:rPr>
                <w:rFonts w:hint="eastAsia"/>
                <w:sz w:val="22"/>
                <w:szCs w:val="22"/>
              </w:rPr>
              <w:t>0.15</w:t>
            </w:r>
          </w:p>
        </w:tc>
        <w:tc>
          <w:tcPr>
            <w:tcW w:w="716" w:type="pct"/>
            <w:vAlign w:val="center"/>
          </w:tcPr>
          <w:p w14:paraId="5691CDF2">
            <w:pPr>
              <w:pStyle w:val="125"/>
              <w:ind w:firstLine="0" w:firstLineChars="0"/>
            </w:pPr>
            <w:r>
              <w:rPr>
                <w:rFonts w:hint="eastAsia"/>
                <w:sz w:val="22"/>
                <w:szCs w:val="22"/>
              </w:rPr>
              <w:t>0.12</w:t>
            </w:r>
          </w:p>
        </w:tc>
        <w:tc>
          <w:tcPr>
            <w:tcW w:w="707" w:type="pct"/>
            <w:vAlign w:val="center"/>
          </w:tcPr>
          <w:p w14:paraId="3296957B">
            <w:pPr>
              <w:pStyle w:val="125"/>
              <w:ind w:firstLine="0" w:firstLineChars="0"/>
            </w:pPr>
            <w:r>
              <w:rPr>
                <w:rFonts w:hint="eastAsia"/>
                <w:sz w:val="22"/>
                <w:szCs w:val="22"/>
              </w:rPr>
              <w:t>0.95</w:t>
            </w:r>
          </w:p>
        </w:tc>
      </w:tr>
      <w:tr w14:paraId="46459E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Merge w:val="continue"/>
            <w:vAlign w:val="center"/>
          </w:tcPr>
          <w:p w14:paraId="27AF5F45">
            <w:pPr>
              <w:pStyle w:val="125"/>
              <w:ind w:firstLine="0" w:firstLineChars="0"/>
            </w:pPr>
          </w:p>
        </w:tc>
        <w:tc>
          <w:tcPr>
            <w:tcW w:w="1692" w:type="pct"/>
            <w:vAlign w:val="center"/>
          </w:tcPr>
          <w:p w14:paraId="0DE6A1ED">
            <w:pPr>
              <w:pStyle w:val="125"/>
              <w:ind w:firstLine="0" w:firstLineChars="0"/>
            </w:pPr>
            <w:r>
              <w:rPr>
                <w:rFonts w:hint="eastAsia"/>
                <w:szCs w:val="21"/>
              </w:rPr>
              <w:t>返回炭化炉</w:t>
            </w:r>
          </w:p>
        </w:tc>
        <w:tc>
          <w:tcPr>
            <w:tcW w:w="712" w:type="pct"/>
            <w:vAlign w:val="center"/>
          </w:tcPr>
          <w:p w14:paraId="63DEBBFD">
            <w:pPr>
              <w:pStyle w:val="125"/>
              <w:ind w:firstLine="0" w:firstLineChars="0"/>
            </w:pPr>
            <w:r>
              <w:rPr>
                <w:rFonts w:hint="eastAsia"/>
                <w:sz w:val="22"/>
                <w:szCs w:val="22"/>
              </w:rPr>
              <w:t>5.96</w:t>
            </w:r>
          </w:p>
        </w:tc>
        <w:tc>
          <w:tcPr>
            <w:tcW w:w="716" w:type="pct"/>
            <w:vAlign w:val="center"/>
          </w:tcPr>
          <w:p w14:paraId="72DED045">
            <w:pPr>
              <w:pStyle w:val="125"/>
              <w:ind w:firstLine="0" w:firstLineChars="0"/>
            </w:pPr>
            <w:r>
              <w:rPr>
                <w:rFonts w:hint="eastAsia"/>
                <w:sz w:val="22"/>
                <w:szCs w:val="22"/>
              </w:rPr>
              <w:t>4.72</w:t>
            </w:r>
          </w:p>
        </w:tc>
        <w:tc>
          <w:tcPr>
            <w:tcW w:w="707" w:type="pct"/>
            <w:vAlign w:val="center"/>
          </w:tcPr>
          <w:p w14:paraId="68E8CE77">
            <w:pPr>
              <w:pStyle w:val="125"/>
              <w:ind w:firstLine="0" w:firstLineChars="0"/>
            </w:pPr>
            <w:r>
              <w:rPr>
                <w:rFonts w:hint="eastAsia"/>
                <w:sz w:val="22"/>
                <w:szCs w:val="22"/>
              </w:rPr>
              <w:t>38.82</w:t>
            </w:r>
          </w:p>
        </w:tc>
      </w:tr>
      <w:tr w14:paraId="683A7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Merge w:val="continue"/>
            <w:vAlign w:val="center"/>
          </w:tcPr>
          <w:p w14:paraId="77E0293D">
            <w:pPr>
              <w:pStyle w:val="125"/>
              <w:ind w:firstLine="0" w:firstLineChars="0"/>
            </w:pPr>
          </w:p>
        </w:tc>
        <w:tc>
          <w:tcPr>
            <w:tcW w:w="1692" w:type="pct"/>
            <w:vAlign w:val="center"/>
          </w:tcPr>
          <w:p w14:paraId="6D9AF4D4">
            <w:pPr>
              <w:pStyle w:val="125"/>
              <w:ind w:firstLine="0" w:firstLineChars="0"/>
            </w:pPr>
            <w:r>
              <w:rPr>
                <w:rFonts w:hint="eastAsia"/>
                <w:szCs w:val="21"/>
              </w:rPr>
              <w:t>供应在建及新建焚烧炉</w:t>
            </w:r>
          </w:p>
        </w:tc>
        <w:tc>
          <w:tcPr>
            <w:tcW w:w="712" w:type="pct"/>
            <w:vAlign w:val="center"/>
          </w:tcPr>
          <w:p w14:paraId="6CAF69F7">
            <w:pPr>
              <w:pStyle w:val="125"/>
              <w:ind w:firstLine="0" w:firstLineChars="0"/>
            </w:pPr>
            <w:r>
              <w:rPr>
                <w:rFonts w:hint="eastAsia"/>
                <w:sz w:val="22"/>
                <w:szCs w:val="22"/>
              </w:rPr>
              <w:t>1.33</w:t>
            </w:r>
          </w:p>
        </w:tc>
        <w:tc>
          <w:tcPr>
            <w:tcW w:w="716" w:type="pct"/>
            <w:vAlign w:val="center"/>
          </w:tcPr>
          <w:p w14:paraId="208119CD">
            <w:pPr>
              <w:pStyle w:val="125"/>
              <w:ind w:firstLine="0" w:firstLineChars="0"/>
            </w:pPr>
            <w:r>
              <w:rPr>
                <w:rFonts w:hint="eastAsia"/>
                <w:sz w:val="22"/>
                <w:szCs w:val="22"/>
              </w:rPr>
              <w:t>1.06</w:t>
            </w:r>
          </w:p>
        </w:tc>
        <w:tc>
          <w:tcPr>
            <w:tcW w:w="707" w:type="pct"/>
            <w:vAlign w:val="center"/>
          </w:tcPr>
          <w:p w14:paraId="13C784B3">
            <w:pPr>
              <w:pStyle w:val="125"/>
              <w:ind w:firstLine="0" w:firstLineChars="0"/>
            </w:pPr>
            <w:r>
              <w:rPr>
                <w:rFonts w:hint="eastAsia"/>
                <w:sz w:val="22"/>
                <w:szCs w:val="22"/>
              </w:rPr>
              <w:t>8.68</w:t>
            </w:r>
          </w:p>
        </w:tc>
      </w:tr>
      <w:tr w14:paraId="17A88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Merge w:val="continue"/>
            <w:vAlign w:val="center"/>
          </w:tcPr>
          <w:p w14:paraId="25B9E134">
            <w:pPr>
              <w:pStyle w:val="125"/>
              <w:ind w:firstLine="0" w:firstLineChars="0"/>
            </w:pPr>
          </w:p>
        </w:tc>
        <w:tc>
          <w:tcPr>
            <w:tcW w:w="1692" w:type="pct"/>
            <w:vAlign w:val="center"/>
          </w:tcPr>
          <w:p w14:paraId="6701427C">
            <w:pPr>
              <w:pStyle w:val="125"/>
              <w:ind w:firstLine="0" w:firstLineChars="0"/>
            </w:pPr>
            <w:r>
              <w:rPr>
                <w:rFonts w:hint="eastAsia"/>
                <w:szCs w:val="21"/>
              </w:rPr>
              <w:t>供应现有20吨燃气锅炉</w:t>
            </w:r>
          </w:p>
        </w:tc>
        <w:tc>
          <w:tcPr>
            <w:tcW w:w="712" w:type="pct"/>
            <w:vAlign w:val="center"/>
          </w:tcPr>
          <w:p w14:paraId="36606A89">
            <w:pPr>
              <w:pStyle w:val="125"/>
              <w:ind w:firstLine="0" w:firstLineChars="0"/>
            </w:pPr>
            <w:r>
              <w:rPr>
                <w:rFonts w:hint="eastAsia"/>
                <w:sz w:val="22"/>
                <w:szCs w:val="22"/>
              </w:rPr>
              <w:t>0.57</w:t>
            </w:r>
          </w:p>
        </w:tc>
        <w:tc>
          <w:tcPr>
            <w:tcW w:w="716" w:type="pct"/>
            <w:vAlign w:val="center"/>
          </w:tcPr>
          <w:p w14:paraId="2BE3DB4B">
            <w:pPr>
              <w:pStyle w:val="125"/>
              <w:ind w:firstLine="0" w:firstLineChars="0"/>
            </w:pPr>
            <w:r>
              <w:rPr>
                <w:rFonts w:hint="eastAsia"/>
              </w:rPr>
              <w:t>0.45</w:t>
            </w:r>
          </w:p>
        </w:tc>
        <w:tc>
          <w:tcPr>
            <w:tcW w:w="707" w:type="pct"/>
            <w:vAlign w:val="center"/>
          </w:tcPr>
          <w:p w14:paraId="5F6097B3">
            <w:pPr>
              <w:pStyle w:val="125"/>
              <w:ind w:firstLine="0" w:firstLineChars="0"/>
            </w:pPr>
            <w:r>
              <w:rPr>
                <w:rFonts w:hint="eastAsia"/>
                <w:sz w:val="22"/>
                <w:szCs w:val="22"/>
              </w:rPr>
              <w:t>3.74</w:t>
            </w:r>
          </w:p>
        </w:tc>
      </w:tr>
      <w:tr w14:paraId="455CE5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73" w:type="pct"/>
            <w:vAlign w:val="center"/>
          </w:tcPr>
          <w:p w14:paraId="36EFC724">
            <w:pPr>
              <w:pStyle w:val="125"/>
              <w:ind w:firstLine="0" w:firstLineChars="0"/>
            </w:pPr>
            <w:r>
              <w:rPr>
                <w:rFonts w:hint="eastAsia"/>
              </w:rPr>
              <w:t>12.16×10</w:t>
            </w:r>
            <w:r>
              <w:rPr>
                <w:rFonts w:hint="eastAsia"/>
                <w:vertAlign w:val="superscript"/>
              </w:rPr>
              <w:t>8</w:t>
            </w:r>
            <w:r>
              <w:rPr>
                <w:rFonts w:hint="eastAsia"/>
              </w:rPr>
              <w:t>Nm³/a</w:t>
            </w:r>
          </w:p>
        </w:tc>
        <w:tc>
          <w:tcPr>
            <w:tcW w:w="1692" w:type="pct"/>
            <w:vAlign w:val="center"/>
          </w:tcPr>
          <w:p w14:paraId="27B7831A">
            <w:pPr>
              <w:pStyle w:val="125"/>
              <w:ind w:firstLine="0" w:firstLineChars="0"/>
            </w:pPr>
            <w:r>
              <w:rPr>
                <w:rFonts w:hint="eastAsia"/>
              </w:rPr>
              <w:t>合计</w:t>
            </w:r>
          </w:p>
        </w:tc>
        <w:tc>
          <w:tcPr>
            <w:tcW w:w="712" w:type="pct"/>
            <w:vAlign w:val="center"/>
          </w:tcPr>
          <w:p w14:paraId="462D39D0">
            <w:pPr>
              <w:pStyle w:val="125"/>
              <w:ind w:firstLine="0" w:firstLineChars="0"/>
            </w:pPr>
            <w:r>
              <w:rPr>
                <w:rFonts w:hint="eastAsia"/>
              </w:rPr>
              <w:t>15.35</w:t>
            </w:r>
          </w:p>
        </w:tc>
        <w:tc>
          <w:tcPr>
            <w:tcW w:w="716" w:type="pct"/>
            <w:vAlign w:val="center"/>
          </w:tcPr>
          <w:p w14:paraId="500FB156">
            <w:pPr>
              <w:pStyle w:val="125"/>
              <w:ind w:firstLine="0" w:firstLineChars="0"/>
            </w:pPr>
            <w:r>
              <w:rPr>
                <w:rFonts w:hint="eastAsia"/>
              </w:rPr>
              <w:t>12.16</w:t>
            </w:r>
          </w:p>
        </w:tc>
        <w:tc>
          <w:tcPr>
            <w:tcW w:w="707" w:type="pct"/>
            <w:vAlign w:val="center"/>
          </w:tcPr>
          <w:p w14:paraId="051302BE">
            <w:pPr>
              <w:pStyle w:val="125"/>
              <w:ind w:firstLine="0" w:firstLineChars="0"/>
            </w:pPr>
            <w:r>
              <w:rPr>
                <w:rFonts w:hint="eastAsia"/>
              </w:rPr>
              <w:t>100</w:t>
            </w:r>
          </w:p>
        </w:tc>
      </w:tr>
    </w:tbl>
    <w:p w14:paraId="17EF6F14">
      <w:pPr>
        <w:pStyle w:val="480"/>
        <w:spacing w:line="240" w:lineRule="auto"/>
        <w:ind w:firstLine="0" w:firstLineChars="0"/>
        <w:jc w:val="center"/>
      </w:pPr>
      <w:r>
        <w:rPr>
          <w:rFonts w:hint="eastAsia"/>
        </w:rPr>
        <w:object>
          <v:shape id="_x0000_i1025" o:spt="75" type="#_x0000_t75" style="height:144pt;width:259.35pt;" o:ole="t" filled="f" o:preferrelative="t" stroked="f" coordsize="21600,21600">
            <v:path/>
            <v:fill on="f" focussize="0,0"/>
            <v:stroke on="f" joinstyle="miter"/>
            <v:imagedata r:id="rId36" embosscolor="#FFFFFF" o:title=""/>
            <o:lock v:ext="edit" aspectratio="t"/>
            <w10:wrap type="none"/>
            <w10:anchorlock/>
          </v:shape>
          <o:OLEObject Type="Embed" ProgID="Visio.Drawing.11" ShapeID="_x0000_i1025" DrawAspect="Content" ObjectID="_1468075725" r:id="rId35">
            <o:LockedField>false</o:LockedField>
          </o:OLEObject>
        </w:object>
      </w:r>
    </w:p>
    <w:p w14:paraId="57852223">
      <w:pPr>
        <w:pStyle w:val="118"/>
      </w:pPr>
      <w:r>
        <w:rPr>
          <w:rFonts w:hint="eastAsia"/>
        </w:rPr>
        <w:t>图3.3-3  厂内煤气供求关系平衡图</w:t>
      </w:r>
    </w:p>
    <w:p w14:paraId="297B8AAF">
      <w:pPr>
        <w:pStyle w:val="944"/>
      </w:pPr>
      <w:r>
        <w:rPr>
          <w:rFonts w:hint="eastAsia"/>
        </w:rPr>
        <w:t>硫平衡</w:t>
      </w:r>
    </w:p>
    <w:p w14:paraId="0384199E">
      <w:pPr>
        <w:ind w:firstLine="480"/>
      </w:pPr>
      <w:r>
        <w:rPr>
          <w:rFonts w:hint="eastAsia"/>
        </w:rPr>
        <w:t>本项目入炉煤量120万t/a。根据建设单位提供的所用煤质检测资料，干燥基全硫分0.53%，则原煤收到基含硫0.43%。根据企业副产煤气的成分检测情况，</w:t>
      </w:r>
      <w:r>
        <w:t>煤气中H</w:t>
      </w:r>
      <w:r>
        <w:rPr>
          <w:vertAlign w:val="subscript"/>
        </w:rPr>
        <w:t>2</w:t>
      </w:r>
      <w:r>
        <w:t>S</w:t>
      </w:r>
      <w:bookmarkStart w:id="280" w:name="OLE_LINK14"/>
      <w:r>
        <w:rPr>
          <w:rFonts w:hint="eastAsia"/>
        </w:rPr>
        <w:t>浓度约为800mg/m³</w:t>
      </w:r>
      <w:bookmarkEnd w:id="280"/>
      <w:r>
        <w:rPr>
          <w:rFonts w:hint="eastAsia"/>
        </w:rPr>
        <w:t>，则硫含量约为753mg/m³。兰炭产品中硫份约为0.72%，可达到</w:t>
      </w:r>
      <w:r>
        <w:t>《兰炭产品分类及质量要求》（GB/T25211-2023）中表 6用作铁合金等冶炼用还原剂的兰炭产品质量</w:t>
      </w:r>
      <w:r>
        <w:rPr>
          <w:rFonts w:hint="eastAsia"/>
        </w:rPr>
        <w:t>要求。根据剩余氨水及焚烧废水的污染物组分，废水中硫含量约为400mg/L，经废水焚烧炉焚烧处理后进入焚烧烟气处理。</w:t>
      </w:r>
    </w:p>
    <w:p w14:paraId="7DD78528">
      <w:pPr>
        <w:ind w:firstLine="480"/>
        <w:sectPr>
          <w:pgSz w:w="11906" w:h="16838"/>
          <w:pgMar w:top="1440" w:right="1800" w:bottom="1440" w:left="1800" w:header="850" w:footer="850" w:gutter="0"/>
          <w:cols w:space="425" w:num="1"/>
          <w:docGrid w:type="lines" w:linePitch="326" w:charSpace="0"/>
        </w:sectPr>
      </w:pPr>
      <w:r>
        <w:rPr>
          <w:rFonts w:hint="eastAsia"/>
        </w:rPr>
        <w:t>兰炭生产线硫平衡见表3.3-9及图3.3-4。</w:t>
      </w:r>
    </w:p>
    <w:p w14:paraId="501C49AA">
      <w:pPr>
        <w:pStyle w:val="118"/>
      </w:pPr>
      <w:r>
        <w:rPr>
          <w:rFonts w:hint="eastAsia"/>
        </w:rPr>
        <w:t>表3.3-9  兰炭生产线硫平衡表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92"/>
        <w:gridCol w:w="1281"/>
        <w:gridCol w:w="1347"/>
        <w:gridCol w:w="1369"/>
        <w:gridCol w:w="1091"/>
        <w:gridCol w:w="3450"/>
        <w:gridCol w:w="1347"/>
        <w:gridCol w:w="1369"/>
        <w:gridCol w:w="1128"/>
      </w:tblGrid>
      <w:tr w14:paraId="4EBA86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restart"/>
            <w:vAlign w:val="center"/>
          </w:tcPr>
          <w:p w14:paraId="6842DB98">
            <w:pPr>
              <w:pStyle w:val="125"/>
              <w:ind w:firstLine="0" w:firstLineChars="0"/>
            </w:pPr>
            <w:r>
              <w:rPr>
                <w:rFonts w:hint="eastAsia"/>
              </w:rPr>
              <w:t>工段</w:t>
            </w:r>
          </w:p>
        </w:tc>
        <w:tc>
          <w:tcPr>
            <w:tcW w:w="1795" w:type="pct"/>
            <w:gridSpan w:val="4"/>
            <w:vAlign w:val="center"/>
          </w:tcPr>
          <w:p w14:paraId="67EF3214">
            <w:pPr>
              <w:pStyle w:val="125"/>
              <w:ind w:firstLine="0" w:firstLineChars="0"/>
            </w:pPr>
            <w:r>
              <w:rPr>
                <w:rFonts w:hint="eastAsia"/>
              </w:rPr>
              <w:t>投入</w:t>
            </w:r>
          </w:p>
        </w:tc>
        <w:tc>
          <w:tcPr>
            <w:tcW w:w="2573" w:type="pct"/>
            <w:gridSpan w:val="4"/>
            <w:vAlign w:val="center"/>
          </w:tcPr>
          <w:p w14:paraId="5E611DA1">
            <w:pPr>
              <w:pStyle w:val="125"/>
              <w:ind w:firstLine="0" w:firstLineChars="0"/>
            </w:pPr>
            <w:r>
              <w:rPr>
                <w:rFonts w:hint="eastAsia"/>
              </w:rPr>
              <w:t>产出</w:t>
            </w:r>
          </w:p>
        </w:tc>
      </w:tr>
      <w:tr w14:paraId="11EB7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64CE595E">
            <w:pPr>
              <w:pStyle w:val="125"/>
              <w:ind w:firstLine="0" w:firstLineChars="0"/>
            </w:pPr>
          </w:p>
        </w:tc>
        <w:tc>
          <w:tcPr>
            <w:tcW w:w="452" w:type="pct"/>
            <w:vAlign w:val="center"/>
          </w:tcPr>
          <w:p w14:paraId="5B474AE8">
            <w:pPr>
              <w:pStyle w:val="125"/>
              <w:ind w:firstLine="0" w:firstLineChars="0"/>
            </w:pPr>
            <w:r>
              <w:rPr>
                <w:rFonts w:hint="eastAsia"/>
              </w:rPr>
              <w:t>物料</w:t>
            </w:r>
          </w:p>
        </w:tc>
        <w:tc>
          <w:tcPr>
            <w:tcW w:w="475" w:type="pct"/>
            <w:vAlign w:val="center"/>
          </w:tcPr>
          <w:p w14:paraId="5911855D">
            <w:pPr>
              <w:pStyle w:val="125"/>
              <w:ind w:firstLine="0" w:firstLineChars="0"/>
            </w:pPr>
            <w:r>
              <w:rPr>
                <w:rFonts w:hint="eastAsia"/>
              </w:rPr>
              <w:t>物料量</w:t>
            </w:r>
          </w:p>
          <w:p w14:paraId="10362DE2">
            <w:pPr>
              <w:pStyle w:val="125"/>
              <w:ind w:firstLine="0" w:firstLineChars="0"/>
            </w:pPr>
            <w:r>
              <w:rPr>
                <w:rFonts w:hint="eastAsia"/>
              </w:rPr>
              <w:t>（万t/a）</w:t>
            </w:r>
          </w:p>
        </w:tc>
        <w:tc>
          <w:tcPr>
            <w:tcW w:w="483" w:type="pct"/>
            <w:vAlign w:val="center"/>
          </w:tcPr>
          <w:p w14:paraId="098AFC90">
            <w:pPr>
              <w:pStyle w:val="125"/>
              <w:ind w:firstLine="0" w:firstLineChars="0"/>
            </w:pPr>
            <w:r>
              <w:rPr>
                <w:rFonts w:hint="eastAsia"/>
              </w:rPr>
              <w:t>含硫量</w:t>
            </w:r>
          </w:p>
          <w:p w14:paraId="3407E266">
            <w:pPr>
              <w:pStyle w:val="125"/>
              <w:ind w:firstLine="0" w:firstLineChars="0"/>
            </w:pPr>
            <w:r>
              <w:rPr>
                <w:rFonts w:hint="eastAsia"/>
              </w:rPr>
              <w:t>（%）</w:t>
            </w:r>
          </w:p>
        </w:tc>
        <w:tc>
          <w:tcPr>
            <w:tcW w:w="385" w:type="pct"/>
            <w:vAlign w:val="center"/>
          </w:tcPr>
          <w:p w14:paraId="2D8544D6">
            <w:pPr>
              <w:pStyle w:val="125"/>
              <w:ind w:firstLine="0" w:firstLineChars="0"/>
            </w:pPr>
            <w:r>
              <w:rPr>
                <w:rFonts w:hint="eastAsia"/>
              </w:rPr>
              <w:t>折硫量</w:t>
            </w:r>
          </w:p>
          <w:p w14:paraId="6CAEA127">
            <w:pPr>
              <w:pStyle w:val="125"/>
              <w:ind w:firstLine="0" w:firstLineChars="0"/>
            </w:pPr>
            <w:r>
              <w:rPr>
                <w:rFonts w:hint="eastAsia"/>
              </w:rPr>
              <w:t>(t/a)</w:t>
            </w:r>
          </w:p>
        </w:tc>
        <w:tc>
          <w:tcPr>
            <w:tcW w:w="1217" w:type="pct"/>
            <w:vAlign w:val="center"/>
          </w:tcPr>
          <w:p w14:paraId="02694617">
            <w:pPr>
              <w:pStyle w:val="125"/>
              <w:ind w:firstLine="0" w:firstLineChars="0"/>
            </w:pPr>
            <w:r>
              <w:rPr>
                <w:rFonts w:hint="eastAsia"/>
              </w:rPr>
              <w:t>物料</w:t>
            </w:r>
          </w:p>
        </w:tc>
        <w:tc>
          <w:tcPr>
            <w:tcW w:w="475" w:type="pct"/>
            <w:vAlign w:val="center"/>
          </w:tcPr>
          <w:p w14:paraId="1BB289A5">
            <w:pPr>
              <w:pStyle w:val="125"/>
              <w:ind w:firstLine="0" w:firstLineChars="0"/>
            </w:pPr>
            <w:r>
              <w:rPr>
                <w:rFonts w:hint="eastAsia"/>
              </w:rPr>
              <w:t>物料量</w:t>
            </w:r>
          </w:p>
          <w:p w14:paraId="2B5735A5">
            <w:pPr>
              <w:pStyle w:val="125"/>
              <w:ind w:firstLine="0" w:firstLineChars="0"/>
            </w:pPr>
            <w:r>
              <w:rPr>
                <w:rFonts w:hint="eastAsia"/>
              </w:rPr>
              <w:t>（万t/a）</w:t>
            </w:r>
          </w:p>
        </w:tc>
        <w:tc>
          <w:tcPr>
            <w:tcW w:w="483" w:type="pct"/>
            <w:vAlign w:val="center"/>
          </w:tcPr>
          <w:p w14:paraId="4BB1B5FC">
            <w:pPr>
              <w:pStyle w:val="125"/>
              <w:ind w:firstLine="0" w:firstLineChars="0"/>
            </w:pPr>
            <w:r>
              <w:rPr>
                <w:rFonts w:hint="eastAsia"/>
              </w:rPr>
              <w:t>含硫量</w:t>
            </w:r>
          </w:p>
          <w:p w14:paraId="7B9F637A">
            <w:pPr>
              <w:pStyle w:val="125"/>
              <w:ind w:firstLine="0" w:firstLineChars="0"/>
            </w:pPr>
            <w:r>
              <w:rPr>
                <w:rFonts w:hint="eastAsia"/>
              </w:rPr>
              <w:t>（%）</w:t>
            </w:r>
          </w:p>
        </w:tc>
        <w:tc>
          <w:tcPr>
            <w:tcW w:w="399" w:type="pct"/>
            <w:vAlign w:val="center"/>
          </w:tcPr>
          <w:p w14:paraId="2CB844D8">
            <w:pPr>
              <w:pStyle w:val="125"/>
              <w:ind w:firstLine="0" w:firstLineChars="0"/>
            </w:pPr>
            <w:r>
              <w:rPr>
                <w:rFonts w:hint="eastAsia"/>
              </w:rPr>
              <w:t>折硫量</w:t>
            </w:r>
          </w:p>
          <w:p w14:paraId="3435E052">
            <w:pPr>
              <w:pStyle w:val="125"/>
              <w:ind w:firstLine="0" w:firstLineChars="0"/>
            </w:pPr>
            <w:r>
              <w:rPr>
                <w:rFonts w:hint="eastAsia"/>
              </w:rPr>
              <w:t>(t/a)</w:t>
            </w:r>
          </w:p>
        </w:tc>
      </w:tr>
      <w:tr w14:paraId="6B7E1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restart"/>
            <w:vAlign w:val="center"/>
          </w:tcPr>
          <w:p w14:paraId="11903B66">
            <w:pPr>
              <w:pStyle w:val="125"/>
              <w:ind w:firstLine="0" w:firstLineChars="0"/>
            </w:pPr>
            <w:r>
              <w:rPr>
                <w:rFonts w:hint="eastAsia"/>
              </w:rPr>
              <w:t>备煤</w:t>
            </w:r>
          </w:p>
        </w:tc>
        <w:tc>
          <w:tcPr>
            <w:tcW w:w="452" w:type="pct"/>
            <w:vAlign w:val="center"/>
          </w:tcPr>
          <w:p w14:paraId="654370B3">
            <w:pPr>
              <w:pStyle w:val="125"/>
              <w:ind w:firstLine="0" w:firstLineChars="0"/>
            </w:pPr>
            <w:r>
              <w:rPr>
                <w:rFonts w:hint="eastAsia"/>
              </w:rPr>
              <w:t>原料煤</w:t>
            </w:r>
          </w:p>
        </w:tc>
        <w:tc>
          <w:tcPr>
            <w:tcW w:w="475" w:type="pct"/>
            <w:vAlign w:val="center"/>
          </w:tcPr>
          <w:p w14:paraId="67476927">
            <w:pPr>
              <w:pStyle w:val="125"/>
              <w:ind w:firstLine="0" w:firstLineChars="0"/>
            </w:pPr>
            <w:r>
              <w:rPr>
                <w:rFonts w:hint="eastAsia"/>
              </w:rPr>
              <w:t>150</w:t>
            </w:r>
          </w:p>
        </w:tc>
        <w:tc>
          <w:tcPr>
            <w:tcW w:w="483" w:type="pct"/>
            <w:vAlign w:val="center"/>
          </w:tcPr>
          <w:p w14:paraId="3999ED1D">
            <w:pPr>
              <w:pStyle w:val="125"/>
              <w:ind w:firstLine="0" w:firstLineChars="0"/>
            </w:pPr>
            <w:r>
              <w:rPr>
                <w:rFonts w:hint="eastAsia"/>
              </w:rPr>
              <w:t>0.43</w:t>
            </w:r>
          </w:p>
        </w:tc>
        <w:tc>
          <w:tcPr>
            <w:tcW w:w="385" w:type="pct"/>
            <w:vAlign w:val="center"/>
          </w:tcPr>
          <w:p w14:paraId="612A333F">
            <w:pPr>
              <w:pStyle w:val="125"/>
              <w:ind w:firstLine="0" w:firstLineChars="0"/>
            </w:pPr>
            <w:r>
              <w:rPr>
                <w:rFonts w:hint="eastAsia"/>
              </w:rPr>
              <w:t>6450</w:t>
            </w:r>
          </w:p>
        </w:tc>
        <w:tc>
          <w:tcPr>
            <w:tcW w:w="1217" w:type="pct"/>
            <w:vAlign w:val="center"/>
          </w:tcPr>
          <w:p w14:paraId="2AFCDD31">
            <w:pPr>
              <w:pStyle w:val="125"/>
              <w:ind w:firstLine="0" w:firstLineChars="0"/>
            </w:pPr>
            <w:r>
              <w:rPr>
                <w:rFonts w:hint="eastAsia"/>
              </w:rPr>
              <w:t>入炉煤</w:t>
            </w:r>
          </w:p>
        </w:tc>
        <w:tc>
          <w:tcPr>
            <w:tcW w:w="475" w:type="pct"/>
            <w:vAlign w:val="center"/>
          </w:tcPr>
          <w:p w14:paraId="41BE6A75">
            <w:pPr>
              <w:pStyle w:val="125"/>
              <w:ind w:firstLine="0" w:firstLineChars="0"/>
            </w:pPr>
            <w:r>
              <w:rPr>
                <w:rFonts w:hint="eastAsia"/>
              </w:rPr>
              <w:t>120</w:t>
            </w:r>
          </w:p>
        </w:tc>
        <w:tc>
          <w:tcPr>
            <w:tcW w:w="483" w:type="pct"/>
            <w:vAlign w:val="center"/>
          </w:tcPr>
          <w:p w14:paraId="4106D32F">
            <w:pPr>
              <w:pStyle w:val="125"/>
              <w:ind w:firstLine="0" w:firstLineChars="0"/>
            </w:pPr>
            <w:r>
              <w:rPr>
                <w:rFonts w:hint="eastAsia"/>
              </w:rPr>
              <w:t>0.43</w:t>
            </w:r>
          </w:p>
        </w:tc>
        <w:tc>
          <w:tcPr>
            <w:tcW w:w="399" w:type="pct"/>
            <w:vAlign w:val="center"/>
          </w:tcPr>
          <w:p w14:paraId="3DE09342">
            <w:pPr>
              <w:pStyle w:val="125"/>
              <w:ind w:firstLine="0" w:firstLineChars="0"/>
            </w:pPr>
            <w:r>
              <w:rPr>
                <w:rFonts w:hint="eastAsia"/>
              </w:rPr>
              <w:t>5160</w:t>
            </w:r>
          </w:p>
        </w:tc>
      </w:tr>
      <w:tr w14:paraId="3FC1A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5EF8B2E2">
            <w:pPr>
              <w:pStyle w:val="125"/>
              <w:ind w:firstLine="0" w:firstLineChars="0"/>
            </w:pPr>
          </w:p>
        </w:tc>
        <w:tc>
          <w:tcPr>
            <w:tcW w:w="452" w:type="pct"/>
            <w:vAlign w:val="center"/>
          </w:tcPr>
          <w:p w14:paraId="05F37B1F">
            <w:pPr>
              <w:pStyle w:val="125"/>
              <w:ind w:firstLine="0" w:firstLineChars="0"/>
            </w:pPr>
          </w:p>
        </w:tc>
        <w:tc>
          <w:tcPr>
            <w:tcW w:w="475" w:type="pct"/>
            <w:vAlign w:val="center"/>
          </w:tcPr>
          <w:p w14:paraId="68C700C4">
            <w:pPr>
              <w:pStyle w:val="125"/>
              <w:ind w:firstLine="0" w:firstLineChars="0"/>
            </w:pPr>
          </w:p>
        </w:tc>
        <w:tc>
          <w:tcPr>
            <w:tcW w:w="483" w:type="pct"/>
            <w:vAlign w:val="center"/>
          </w:tcPr>
          <w:p w14:paraId="35755B5C">
            <w:pPr>
              <w:pStyle w:val="125"/>
              <w:ind w:firstLine="0" w:firstLineChars="0"/>
            </w:pPr>
          </w:p>
        </w:tc>
        <w:tc>
          <w:tcPr>
            <w:tcW w:w="385" w:type="pct"/>
            <w:vAlign w:val="center"/>
          </w:tcPr>
          <w:p w14:paraId="723EB16F">
            <w:pPr>
              <w:pStyle w:val="125"/>
              <w:ind w:firstLine="0" w:firstLineChars="0"/>
            </w:pPr>
          </w:p>
        </w:tc>
        <w:tc>
          <w:tcPr>
            <w:tcW w:w="1217" w:type="pct"/>
            <w:vAlign w:val="center"/>
          </w:tcPr>
          <w:p w14:paraId="6A29E76F">
            <w:pPr>
              <w:pStyle w:val="125"/>
              <w:ind w:firstLine="0" w:firstLineChars="0"/>
            </w:pPr>
            <w:r>
              <w:rPr>
                <w:rFonts w:hint="eastAsia"/>
              </w:rPr>
              <w:t>末煤</w:t>
            </w:r>
          </w:p>
        </w:tc>
        <w:tc>
          <w:tcPr>
            <w:tcW w:w="475" w:type="pct"/>
            <w:vAlign w:val="center"/>
          </w:tcPr>
          <w:p w14:paraId="64A06DC1">
            <w:pPr>
              <w:pStyle w:val="125"/>
              <w:ind w:firstLine="0" w:firstLineChars="0"/>
            </w:pPr>
            <w:r>
              <w:rPr>
                <w:rFonts w:hint="eastAsia"/>
              </w:rPr>
              <w:t>30</w:t>
            </w:r>
          </w:p>
        </w:tc>
        <w:tc>
          <w:tcPr>
            <w:tcW w:w="483" w:type="pct"/>
            <w:vAlign w:val="center"/>
          </w:tcPr>
          <w:p w14:paraId="799F7C8C">
            <w:pPr>
              <w:pStyle w:val="125"/>
              <w:ind w:firstLine="0" w:firstLineChars="0"/>
            </w:pPr>
            <w:r>
              <w:rPr>
                <w:rFonts w:hint="eastAsia"/>
              </w:rPr>
              <w:t>0.43</w:t>
            </w:r>
          </w:p>
        </w:tc>
        <w:tc>
          <w:tcPr>
            <w:tcW w:w="399" w:type="pct"/>
            <w:vAlign w:val="center"/>
          </w:tcPr>
          <w:p w14:paraId="7679F53A">
            <w:pPr>
              <w:pStyle w:val="125"/>
              <w:ind w:firstLine="0" w:firstLineChars="0"/>
            </w:pPr>
            <w:r>
              <w:rPr>
                <w:rFonts w:hint="eastAsia"/>
              </w:rPr>
              <w:t>1290</w:t>
            </w:r>
          </w:p>
        </w:tc>
      </w:tr>
      <w:tr w14:paraId="65478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02575668">
            <w:pPr>
              <w:pStyle w:val="125"/>
              <w:ind w:firstLine="0" w:firstLineChars="0"/>
            </w:pPr>
          </w:p>
        </w:tc>
        <w:tc>
          <w:tcPr>
            <w:tcW w:w="452" w:type="pct"/>
            <w:vAlign w:val="center"/>
          </w:tcPr>
          <w:p w14:paraId="6B9A986A">
            <w:pPr>
              <w:pStyle w:val="125"/>
              <w:ind w:firstLine="0" w:firstLineChars="0"/>
            </w:pPr>
            <w:r>
              <w:rPr>
                <w:rFonts w:hint="eastAsia"/>
              </w:rPr>
              <w:t>小计</w:t>
            </w:r>
          </w:p>
        </w:tc>
        <w:tc>
          <w:tcPr>
            <w:tcW w:w="475" w:type="pct"/>
            <w:vAlign w:val="center"/>
          </w:tcPr>
          <w:p w14:paraId="24D60309">
            <w:pPr>
              <w:pStyle w:val="125"/>
              <w:ind w:firstLine="0" w:firstLineChars="0"/>
            </w:pPr>
          </w:p>
        </w:tc>
        <w:tc>
          <w:tcPr>
            <w:tcW w:w="483" w:type="pct"/>
            <w:vAlign w:val="center"/>
          </w:tcPr>
          <w:p w14:paraId="413F49A9">
            <w:pPr>
              <w:pStyle w:val="125"/>
              <w:ind w:firstLine="0" w:firstLineChars="0"/>
            </w:pPr>
          </w:p>
        </w:tc>
        <w:tc>
          <w:tcPr>
            <w:tcW w:w="385" w:type="pct"/>
            <w:vAlign w:val="center"/>
          </w:tcPr>
          <w:p w14:paraId="33F9A69F">
            <w:pPr>
              <w:pStyle w:val="125"/>
              <w:ind w:firstLine="0" w:firstLineChars="0"/>
            </w:pPr>
            <w:r>
              <w:rPr>
                <w:rFonts w:hint="eastAsia"/>
              </w:rPr>
              <w:t>6450</w:t>
            </w:r>
          </w:p>
        </w:tc>
        <w:tc>
          <w:tcPr>
            <w:tcW w:w="1217" w:type="pct"/>
            <w:vAlign w:val="center"/>
          </w:tcPr>
          <w:p w14:paraId="0B79ED85">
            <w:pPr>
              <w:pStyle w:val="125"/>
              <w:ind w:firstLine="0" w:firstLineChars="0"/>
            </w:pPr>
            <w:r>
              <w:rPr>
                <w:rFonts w:hint="eastAsia"/>
              </w:rPr>
              <w:t>小计</w:t>
            </w:r>
          </w:p>
        </w:tc>
        <w:tc>
          <w:tcPr>
            <w:tcW w:w="475" w:type="pct"/>
            <w:vAlign w:val="center"/>
          </w:tcPr>
          <w:p w14:paraId="5F99ACEE">
            <w:pPr>
              <w:pStyle w:val="125"/>
              <w:ind w:firstLine="0" w:firstLineChars="0"/>
            </w:pPr>
          </w:p>
        </w:tc>
        <w:tc>
          <w:tcPr>
            <w:tcW w:w="483" w:type="pct"/>
            <w:vAlign w:val="center"/>
          </w:tcPr>
          <w:p w14:paraId="258C0758">
            <w:pPr>
              <w:pStyle w:val="125"/>
              <w:ind w:firstLine="0" w:firstLineChars="0"/>
            </w:pPr>
          </w:p>
        </w:tc>
        <w:tc>
          <w:tcPr>
            <w:tcW w:w="399" w:type="pct"/>
            <w:vAlign w:val="center"/>
          </w:tcPr>
          <w:p w14:paraId="08028F7E">
            <w:pPr>
              <w:pStyle w:val="125"/>
              <w:ind w:firstLine="0" w:firstLineChars="0"/>
            </w:pPr>
            <w:r>
              <w:rPr>
                <w:rFonts w:hint="eastAsia"/>
              </w:rPr>
              <w:t>6450</w:t>
            </w:r>
          </w:p>
        </w:tc>
      </w:tr>
      <w:tr w14:paraId="601374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restart"/>
            <w:vAlign w:val="center"/>
          </w:tcPr>
          <w:p w14:paraId="03A1D82B">
            <w:pPr>
              <w:pStyle w:val="125"/>
              <w:ind w:firstLine="0" w:firstLineChars="0"/>
            </w:pPr>
            <w:r>
              <w:rPr>
                <w:rFonts w:hint="eastAsia"/>
              </w:rPr>
              <w:t>炭化工段</w:t>
            </w:r>
          </w:p>
        </w:tc>
        <w:tc>
          <w:tcPr>
            <w:tcW w:w="452" w:type="pct"/>
            <w:vAlign w:val="center"/>
          </w:tcPr>
          <w:p w14:paraId="72EE9D3E">
            <w:pPr>
              <w:pStyle w:val="125"/>
              <w:ind w:firstLine="0" w:firstLineChars="0"/>
            </w:pPr>
            <w:r>
              <w:rPr>
                <w:rFonts w:hint="eastAsia"/>
              </w:rPr>
              <w:t>入炉煤</w:t>
            </w:r>
          </w:p>
        </w:tc>
        <w:tc>
          <w:tcPr>
            <w:tcW w:w="475" w:type="pct"/>
            <w:vAlign w:val="center"/>
          </w:tcPr>
          <w:p w14:paraId="4713597F">
            <w:pPr>
              <w:pStyle w:val="125"/>
              <w:ind w:firstLine="0" w:firstLineChars="0"/>
            </w:pPr>
            <w:r>
              <w:rPr>
                <w:rFonts w:hint="eastAsia"/>
              </w:rPr>
              <w:t>120</w:t>
            </w:r>
          </w:p>
        </w:tc>
        <w:tc>
          <w:tcPr>
            <w:tcW w:w="483" w:type="pct"/>
            <w:vAlign w:val="center"/>
          </w:tcPr>
          <w:p w14:paraId="4C5D2E49">
            <w:pPr>
              <w:pStyle w:val="125"/>
              <w:ind w:firstLine="0" w:firstLineChars="0"/>
            </w:pPr>
            <w:r>
              <w:rPr>
                <w:rFonts w:hint="eastAsia"/>
              </w:rPr>
              <w:t>0.43</w:t>
            </w:r>
          </w:p>
        </w:tc>
        <w:tc>
          <w:tcPr>
            <w:tcW w:w="385" w:type="pct"/>
            <w:vAlign w:val="center"/>
          </w:tcPr>
          <w:p w14:paraId="2DC5757F">
            <w:pPr>
              <w:pStyle w:val="125"/>
              <w:ind w:firstLine="0" w:firstLineChars="0"/>
            </w:pPr>
            <w:r>
              <w:rPr>
                <w:rFonts w:hint="eastAsia"/>
              </w:rPr>
              <w:t>5160</w:t>
            </w:r>
          </w:p>
        </w:tc>
        <w:tc>
          <w:tcPr>
            <w:tcW w:w="1217" w:type="pct"/>
            <w:vAlign w:val="center"/>
          </w:tcPr>
          <w:p w14:paraId="0B394DD9">
            <w:pPr>
              <w:pStyle w:val="125"/>
              <w:ind w:firstLine="0" w:firstLineChars="0"/>
            </w:pPr>
            <w:r>
              <w:rPr>
                <w:rFonts w:hint="eastAsia"/>
              </w:rPr>
              <w:t>兰炭</w:t>
            </w:r>
          </w:p>
        </w:tc>
        <w:tc>
          <w:tcPr>
            <w:tcW w:w="475" w:type="pct"/>
            <w:vAlign w:val="center"/>
          </w:tcPr>
          <w:p w14:paraId="306C46F7">
            <w:pPr>
              <w:pStyle w:val="125"/>
              <w:ind w:firstLine="0" w:firstLineChars="0"/>
            </w:pPr>
            <w:r>
              <w:rPr>
                <w:rFonts w:hint="eastAsia"/>
              </w:rPr>
              <w:t>60</w:t>
            </w:r>
          </w:p>
        </w:tc>
        <w:tc>
          <w:tcPr>
            <w:tcW w:w="483" w:type="pct"/>
            <w:vAlign w:val="center"/>
          </w:tcPr>
          <w:p w14:paraId="44EB2FFF">
            <w:pPr>
              <w:pStyle w:val="125"/>
              <w:ind w:firstLine="0" w:firstLineChars="0"/>
            </w:pPr>
            <w:r>
              <w:rPr>
                <w:rFonts w:hint="eastAsia"/>
              </w:rPr>
              <w:t>0.72</w:t>
            </w:r>
          </w:p>
        </w:tc>
        <w:tc>
          <w:tcPr>
            <w:tcW w:w="399" w:type="pct"/>
            <w:vAlign w:val="center"/>
          </w:tcPr>
          <w:p w14:paraId="0D9D214E">
            <w:pPr>
              <w:pStyle w:val="125"/>
              <w:ind w:firstLine="0" w:firstLineChars="0"/>
            </w:pPr>
            <w:r>
              <w:rPr>
                <w:rFonts w:hint="eastAsia"/>
                <w:color w:val="000000"/>
                <w:sz w:val="22"/>
                <w:szCs w:val="22"/>
              </w:rPr>
              <w:t>4292.95</w:t>
            </w:r>
          </w:p>
        </w:tc>
      </w:tr>
      <w:tr w14:paraId="06824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65727AD5">
            <w:pPr>
              <w:pStyle w:val="125"/>
              <w:ind w:firstLine="0" w:firstLineChars="0"/>
            </w:pPr>
          </w:p>
        </w:tc>
        <w:tc>
          <w:tcPr>
            <w:tcW w:w="452" w:type="pct"/>
            <w:vAlign w:val="center"/>
          </w:tcPr>
          <w:p w14:paraId="73DF271A">
            <w:pPr>
              <w:pStyle w:val="125"/>
              <w:ind w:firstLine="0" w:firstLineChars="0"/>
            </w:pPr>
            <w:r>
              <w:rPr>
                <w:rFonts w:hint="eastAsia"/>
              </w:rPr>
              <w:t>回炉煤气</w:t>
            </w:r>
          </w:p>
        </w:tc>
        <w:tc>
          <w:tcPr>
            <w:tcW w:w="475" w:type="pct"/>
            <w:vAlign w:val="center"/>
          </w:tcPr>
          <w:p w14:paraId="52EBF599">
            <w:pPr>
              <w:pStyle w:val="125"/>
              <w:ind w:firstLine="0" w:firstLineChars="0"/>
            </w:pPr>
            <w:r>
              <w:rPr>
                <w:rFonts w:hint="eastAsia"/>
              </w:rPr>
              <w:t>37.77</w:t>
            </w:r>
          </w:p>
        </w:tc>
        <w:tc>
          <w:tcPr>
            <w:tcW w:w="483" w:type="pct"/>
            <w:vAlign w:val="center"/>
          </w:tcPr>
          <w:p w14:paraId="4139D0D0">
            <w:pPr>
              <w:pStyle w:val="125"/>
              <w:ind w:firstLine="0" w:firstLineChars="0"/>
            </w:pPr>
            <w:r>
              <w:rPr>
                <w:rFonts w:hint="eastAsia"/>
              </w:rPr>
              <w:t>753mg/m³</w:t>
            </w:r>
          </w:p>
        </w:tc>
        <w:tc>
          <w:tcPr>
            <w:tcW w:w="385" w:type="pct"/>
            <w:vAlign w:val="center"/>
          </w:tcPr>
          <w:p w14:paraId="620C9A6C">
            <w:pPr>
              <w:pStyle w:val="125"/>
              <w:ind w:firstLine="0" w:firstLineChars="0"/>
            </w:pPr>
            <w:r>
              <w:rPr>
                <w:rFonts w:hint="eastAsia"/>
              </w:rPr>
              <w:t>355.44</w:t>
            </w:r>
          </w:p>
        </w:tc>
        <w:tc>
          <w:tcPr>
            <w:tcW w:w="1217" w:type="pct"/>
            <w:vAlign w:val="center"/>
          </w:tcPr>
          <w:p w14:paraId="188CF96D">
            <w:pPr>
              <w:pStyle w:val="125"/>
              <w:ind w:firstLine="0" w:firstLineChars="0"/>
            </w:pPr>
            <w:r>
              <w:rPr>
                <w:rFonts w:hint="eastAsia"/>
              </w:rPr>
              <w:t>荒煤气</w:t>
            </w:r>
          </w:p>
        </w:tc>
        <w:tc>
          <w:tcPr>
            <w:tcW w:w="475" w:type="pct"/>
            <w:vAlign w:val="center"/>
          </w:tcPr>
          <w:p w14:paraId="73499C6B">
            <w:pPr>
              <w:pStyle w:val="125"/>
              <w:ind w:firstLine="0" w:firstLineChars="0"/>
            </w:pPr>
            <w:r>
              <w:rPr>
                <w:rFonts w:hint="eastAsia"/>
              </w:rPr>
              <w:t>122.76</w:t>
            </w:r>
          </w:p>
        </w:tc>
        <w:tc>
          <w:tcPr>
            <w:tcW w:w="483" w:type="pct"/>
            <w:vAlign w:val="center"/>
          </w:tcPr>
          <w:p w14:paraId="6A029C32">
            <w:pPr>
              <w:pStyle w:val="125"/>
              <w:ind w:firstLine="0" w:firstLineChars="0"/>
            </w:pPr>
            <w:r>
              <w:rPr>
                <w:rFonts w:hint="eastAsia"/>
              </w:rPr>
              <w:t>776mg/m³</w:t>
            </w:r>
          </w:p>
        </w:tc>
        <w:tc>
          <w:tcPr>
            <w:tcW w:w="399" w:type="pct"/>
            <w:vAlign w:val="center"/>
          </w:tcPr>
          <w:p w14:paraId="012F1697">
            <w:pPr>
              <w:pStyle w:val="125"/>
              <w:ind w:firstLine="0" w:firstLineChars="0"/>
            </w:pPr>
            <w:r>
              <w:rPr>
                <w:rFonts w:hint="eastAsia"/>
                <w:color w:val="000000"/>
                <w:sz w:val="22"/>
                <w:szCs w:val="22"/>
              </w:rPr>
              <w:t>1190.40</w:t>
            </w:r>
          </w:p>
        </w:tc>
      </w:tr>
      <w:tr w14:paraId="574C12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4FA9038B">
            <w:pPr>
              <w:pStyle w:val="125"/>
              <w:ind w:firstLine="0" w:firstLineChars="0"/>
            </w:pPr>
          </w:p>
        </w:tc>
        <w:tc>
          <w:tcPr>
            <w:tcW w:w="452" w:type="pct"/>
            <w:vAlign w:val="center"/>
          </w:tcPr>
          <w:p w14:paraId="21F9D568">
            <w:pPr>
              <w:pStyle w:val="125"/>
              <w:ind w:firstLine="0" w:firstLineChars="0"/>
            </w:pPr>
            <w:r>
              <w:rPr>
                <w:rFonts w:hint="eastAsia"/>
              </w:rPr>
              <w:t>焦油渣</w:t>
            </w:r>
          </w:p>
        </w:tc>
        <w:tc>
          <w:tcPr>
            <w:tcW w:w="475" w:type="pct"/>
            <w:vAlign w:val="center"/>
          </w:tcPr>
          <w:p w14:paraId="087CAC35">
            <w:pPr>
              <w:pStyle w:val="125"/>
              <w:ind w:firstLine="0" w:firstLineChars="0"/>
            </w:pPr>
            <w:r>
              <w:rPr>
                <w:rFonts w:hint="eastAsia"/>
              </w:rPr>
              <w:t>0.06</w:t>
            </w:r>
          </w:p>
        </w:tc>
        <w:tc>
          <w:tcPr>
            <w:tcW w:w="483" w:type="pct"/>
            <w:vAlign w:val="center"/>
          </w:tcPr>
          <w:p w14:paraId="31E7344A">
            <w:pPr>
              <w:pStyle w:val="125"/>
              <w:ind w:firstLine="0" w:firstLineChars="0"/>
            </w:pPr>
            <w:r>
              <w:rPr>
                <w:rFonts w:hint="eastAsia"/>
              </w:rPr>
              <w:t>0.2</w:t>
            </w:r>
          </w:p>
        </w:tc>
        <w:tc>
          <w:tcPr>
            <w:tcW w:w="385" w:type="pct"/>
            <w:vAlign w:val="center"/>
          </w:tcPr>
          <w:p w14:paraId="0DCDB5DB">
            <w:pPr>
              <w:pStyle w:val="125"/>
              <w:ind w:firstLine="0" w:firstLineChars="0"/>
            </w:pPr>
            <w:r>
              <w:rPr>
                <w:rFonts w:hint="eastAsia"/>
              </w:rPr>
              <w:t>1.2</w:t>
            </w:r>
          </w:p>
        </w:tc>
        <w:tc>
          <w:tcPr>
            <w:tcW w:w="1217" w:type="pct"/>
            <w:vAlign w:val="center"/>
          </w:tcPr>
          <w:p w14:paraId="27C6442A">
            <w:pPr>
              <w:pStyle w:val="125"/>
              <w:ind w:firstLine="0" w:firstLineChars="0"/>
            </w:pPr>
            <w:r>
              <w:rPr>
                <w:rFonts w:hint="eastAsia"/>
              </w:rPr>
              <w:t>废气</w:t>
            </w:r>
          </w:p>
        </w:tc>
        <w:tc>
          <w:tcPr>
            <w:tcW w:w="475" w:type="pct"/>
            <w:vAlign w:val="center"/>
          </w:tcPr>
          <w:p w14:paraId="7C31BC2C">
            <w:pPr>
              <w:pStyle w:val="125"/>
              <w:ind w:firstLine="0" w:firstLineChars="0"/>
            </w:pPr>
          </w:p>
        </w:tc>
        <w:tc>
          <w:tcPr>
            <w:tcW w:w="483" w:type="pct"/>
            <w:vAlign w:val="center"/>
          </w:tcPr>
          <w:p w14:paraId="1B0CD7AD">
            <w:pPr>
              <w:pStyle w:val="125"/>
              <w:ind w:firstLine="0" w:firstLineChars="0"/>
            </w:pPr>
          </w:p>
        </w:tc>
        <w:tc>
          <w:tcPr>
            <w:tcW w:w="399" w:type="pct"/>
            <w:vAlign w:val="center"/>
          </w:tcPr>
          <w:p w14:paraId="56BACCB5">
            <w:pPr>
              <w:pStyle w:val="125"/>
              <w:ind w:firstLine="0" w:firstLineChars="0"/>
            </w:pPr>
            <w:r>
              <w:rPr>
                <w:rFonts w:hint="eastAsia"/>
                <w:color w:val="000000"/>
                <w:sz w:val="22"/>
                <w:szCs w:val="22"/>
              </w:rPr>
              <w:t>33.29</w:t>
            </w:r>
          </w:p>
        </w:tc>
      </w:tr>
      <w:tr w14:paraId="43F816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1C7ADEAE">
            <w:pPr>
              <w:pStyle w:val="125"/>
              <w:ind w:firstLine="0" w:firstLineChars="0"/>
            </w:pPr>
          </w:p>
        </w:tc>
        <w:tc>
          <w:tcPr>
            <w:tcW w:w="452" w:type="pct"/>
            <w:vAlign w:val="center"/>
          </w:tcPr>
          <w:p w14:paraId="30BD6B44">
            <w:pPr>
              <w:pStyle w:val="125"/>
              <w:ind w:firstLine="0" w:firstLineChars="0"/>
            </w:pPr>
            <w:r>
              <w:rPr>
                <w:rFonts w:hint="eastAsia"/>
              </w:rPr>
              <w:t>小计</w:t>
            </w:r>
          </w:p>
        </w:tc>
        <w:tc>
          <w:tcPr>
            <w:tcW w:w="475" w:type="pct"/>
            <w:vAlign w:val="center"/>
          </w:tcPr>
          <w:p w14:paraId="6DC8D010">
            <w:pPr>
              <w:pStyle w:val="125"/>
              <w:ind w:firstLine="0" w:firstLineChars="0"/>
            </w:pPr>
          </w:p>
        </w:tc>
        <w:tc>
          <w:tcPr>
            <w:tcW w:w="483" w:type="pct"/>
            <w:vAlign w:val="center"/>
          </w:tcPr>
          <w:p w14:paraId="4BE2F723">
            <w:pPr>
              <w:pStyle w:val="125"/>
              <w:ind w:firstLine="0" w:firstLineChars="0"/>
            </w:pPr>
          </w:p>
        </w:tc>
        <w:tc>
          <w:tcPr>
            <w:tcW w:w="385" w:type="pct"/>
            <w:vAlign w:val="center"/>
          </w:tcPr>
          <w:p w14:paraId="5D2FE755">
            <w:pPr>
              <w:pStyle w:val="125"/>
              <w:ind w:firstLine="0" w:firstLineChars="0"/>
            </w:pPr>
            <w:r>
              <w:rPr>
                <w:rFonts w:hint="eastAsia"/>
              </w:rPr>
              <w:t>5516.64</w:t>
            </w:r>
          </w:p>
        </w:tc>
        <w:tc>
          <w:tcPr>
            <w:tcW w:w="1217" w:type="pct"/>
            <w:vAlign w:val="center"/>
          </w:tcPr>
          <w:p w14:paraId="11CA9E1E">
            <w:pPr>
              <w:pStyle w:val="125"/>
              <w:ind w:firstLine="0" w:firstLineChars="0"/>
            </w:pPr>
            <w:r>
              <w:rPr>
                <w:rFonts w:hint="eastAsia"/>
              </w:rPr>
              <w:t>小计</w:t>
            </w:r>
          </w:p>
        </w:tc>
        <w:tc>
          <w:tcPr>
            <w:tcW w:w="475" w:type="pct"/>
            <w:vAlign w:val="center"/>
          </w:tcPr>
          <w:p w14:paraId="2520B081">
            <w:pPr>
              <w:pStyle w:val="125"/>
              <w:ind w:firstLine="0" w:firstLineChars="0"/>
            </w:pPr>
          </w:p>
        </w:tc>
        <w:tc>
          <w:tcPr>
            <w:tcW w:w="483" w:type="pct"/>
            <w:vAlign w:val="center"/>
          </w:tcPr>
          <w:p w14:paraId="722002E7">
            <w:pPr>
              <w:pStyle w:val="125"/>
              <w:ind w:firstLine="0" w:firstLineChars="0"/>
            </w:pPr>
          </w:p>
        </w:tc>
        <w:tc>
          <w:tcPr>
            <w:tcW w:w="399" w:type="pct"/>
            <w:vAlign w:val="center"/>
          </w:tcPr>
          <w:p w14:paraId="511C410B">
            <w:pPr>
              <w:pStyle w:val="125"/>
              <w:ind w:firstLine="0" w:firstLineChars="0"/>
            </w:pPr>
            <w:r>
              <w:rPr>
                <w:rFonts w:hint="eastAsia"/>
              </w:rPr>
              <w:t>5516.64</w:t>
            </w:r>
          </w:p>
        </w:tc>
      </w:tr>
      <w:tr w14:paraId="0398F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restart"/>
            <w:vAlign w:val="center"/>
          </w:tcPr>
          <w:p w14:paraId="1F9119C3">
            <w:pPr>
              <w:pStyle w:val="125"/>
              <w:ind w:firstLine="0" w:firstLineChars="0"/>
            </w:pPr>
            <w:r>
              <w:rPr>
                <w:rFonts w:hint="eastAsia"/>
              </w:rPr>
              <w:t>煤气净化工段</w:t>
            </w:r>
          </w:p>
        </w:tc>
        <w:tc>
          <w:tcPr>
            <w:tcW w:w="452" w:type="pct"/>
            <w:vMerge w:val="restart"/>
            <w:vAlign w:val="center"/>
          </w:tcPr>
          <w:p w14:paraId="1C9617A6">
            <w:pPr>
              <w:pStyle w:val="125"/>
              <w:ind w:firstLine="0" w:firstLineChars="0"/>
            </w:pPr>
            <w:r>
              <w:rPr>
                <w:rFonts w:hint="eastAsia"/>
              </w:rPr>
              <w:t>荒煤气</w:t>
            </w:r>
          </w:p>
        </w:tc>
        <w:tc>
          <w:tcPr>
            <w:tcW w:w="475" w:type="pct"/>
            <w:vMerge w:val="restart"/>
            <w:vAlign w:val="center"/>
          </w:tcPr>
          <w:p w14:paraId="4515EB8F">
            <w:pPr>
              <w:pStyle w:val="125"/>
              <w:ind w:firstLine="0" w:firstLineChars="0"/>
            </w:pPr>
            <w:r>
              <w:rPr>
                <w:rFonts w:hint="eastAsia"/>
              </w:rPr>
              <w:t>122.76</w:t>
            </w:r>
          </w:p>
        </w:tc>
        <w:tc>
          <w:tcPr>
            <w:tcW w:w="483" w:type="pct"/>
            <w:vMerge w:val="restart"/>
            <w:vAlign w:val="center"/>
          </w:tcPr>
          <w:p w14:paraId="74FAA5E3">
            <w:pPr>
              <w:pStyle w:val="125"/>
              <w:ind w:firstLine="0" w:firstLineChars="0"/>
            </w:pPr>
            <w:r>
              <w:rPr>
                <w:rFonts w:hint="eastAsia"/>
              </w:rPr>
              <w:t>776mg/m³</w:t>
            </w:r>
          </w:p>
        </w:tc>
        <w:tc>
          <w:tcPr>
            <w:tcW w:w="385" w:type="pct"/>
            <w:vMerge w:val="restart"/>
            <w:vAlign w:val="center"/>
          </w:tcPr>
          <w:p w14:paraId="4EBAE69B">
            <w:pPr>
              <w:pStyle w:val="125"/>
              <w:ind w:firstLine="0" w:firstLineChars="0"/>
            </w:pPr>
            <w:r>
              <w:rPr>
                <w:rFonts w:hint="eastAsia"/>
              </w:rPr>
              <w:t>1190.40</w:t>
            </w:r>
          </w:p>
        </w:tc>
        <w:tc>
          <w:tcPr>
            <w:tcW w:w="1217" w:type="pct"/>
            <w:vAlign w:val="center"/>
          </w:tcPr>
          <w:p w14:paraId="732DACEF">
            <w:pPr>
              <w:pStyle w:val="125"/>
              <w:ind w:firstLine="0" w:firstLineChars="0"/>
            </w:pPr>
            <w:r>
              <w:rPr>
                <w:rFonts w:hint="eastAsia"/>
                <w:szCs w:val="21"/>
              </w:rPr>
              <w:t>供应镁基新材料煤气</w:t>
            </w:r>
          </w:p>
        </w:tc>
        <w:tc>
          <w:tcPr>
            <w:tcW w:w="475" w:type="pct"/>
            <w:vAlign w:val="center"/>
          </w:tcPr>
          <w:p w14:paraId="3A504ADB">
            <w:pPr>
              <w:pStyle w:val="125"/>
              <w:ind w:firstLine="0" w:firstLineChars="0"/>
            </w:pPr>
            <w:r>
              <w:rPr>
                <w:rFonts w:hint="eastAsia"/>
                <w:color w:val="000000"/>
                <w:sz w:val="22"/>
                <w:szCs w:val="22"/>
              </w:rPr>
              <w:t>46.50</w:t>
            </w:r>
          </w:p>
        </w:tc>
        <w:tc>
          <w:tcPr>
            <w:tcW w:w="483" w:type="pct"/>
            <w:vAlign w:val="center"/>
          </w:tcPr>
          <w:p w14:paraId="35547B1E">
            <w:pPr>
              <w:pStyle w:val="125"/>
              <w:ind w:firstLine="0" w:firstLineChars="0"/>
            </w:pPr>
            <w:r>
              <w:rPr>
                <w:rFonts w:hint="eastAsia"/>
              </w:rPr>
              <w:t>753mg/m³</w:t>
            </w:r>
          </w:p>
        </w:tc>
        <w:tc>
          <w:tcPr>
            <w:tcW w:w="399" w:type="pct"/>
            <w:vAlign w:val="center"/>
          </w:tcPr>
          <w:p w14:paraId="0503F349">
            <w:pPr>
              <w:pStyle w:val="125"/>
              <w:ind w:firstLine="0" w:firstLineChars="0"/>
            </w:pPr>
            <w:r>
              <w:rPr>
                <w:rFonts w:hint="eastAsia"/>
                <w:color w:val="000000"/>
                <w:sz w:val="22"/>
                <w:szCs w:val="22"/>
              </w:rPr>
              <w:t>437.67</w:t>
            </w:r>
          </w:p>
        </w:tc>
      </w:tr>
      <w:tr w14:paraId="60CD5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1DA13D1F">
            <w:pPr>
              <w:pStyle w:val="125"/>
              <w:ind w:firstLine="0" w:firstLineChars="0"/>
            </w:pPr>
          </w:p>
        </w:tc>
        <w:tc>
          <w:tcPr>
            <w:tcW w:w="452" w:type="pct"/>
            <w:vMerge w:val="continue"/>
            <w:vAlign w:val="center"/>
          </w:tcPr>
          <w:p w14:paraId="4DB282F0">
            <w:pPr>
              <w:pStyle w:val="125"/>
              <w:ind w:firstLine="0" w:firstLineChars="0"/>
            </w:pPr>
          </w:p>
        </w:tc>
        <w:tc>
          <w:tcPr>
            <w:tcW w:w="475" w:type="pct"/>
            <w:vMerge w:val="continue"/>
            <w:vAlign w:val="center"/>
          </w:tcPr>
          <w:p w14:paraId="5455FF43">
            <w:pPr>
              <w:pStyle w:val="125"/>
              <w:ind w:firstLine="0" w:firstLineChars="0"/>
            </w:pPr>
          </w:p>
        </w:tc>
        <w:tc>
          <w:tcPr>
            <w:tcW w:w="483" w:type="pct"/>
            <w:vMerge w:val="continue"/>
            <w:vAlign w:val="center"/>
          </w:tcPr>
          <w:p w14:paraId="022E9186">
            <w:pPr>
              <w:pStyle w:val="125"/>
              <w:ind w:firstLine="0" w:firstLineChars="0"/>
            </w:pPr>
          </w:p>
        </w:tc>
        <w:tc>
          <w:tcPr>
            <w:tcW w:w="385" w:type="pct"/>
            <w:vMerge w:val="continue"/>
            <w:vAlign w:val="center"/>
          </w:tcPr>
          <w:p w14:paraId="4F916F89">
            <w:pPr>
              <w:pStyle w:val="125"/>
              <w:ind w:firstLine="0" w:firstLineChars="0"/>
            </w:pPr>
          </w:p>
        </w:tc>
        <w:tc>
          <w:tcPr>
            <w:tcW w:w="1217" w:type="pct"/>
            <w:vAlign w:val="center"/>
          </w:tcPr>
          <w:p w14:paraId="1970BAE8">
            <w:pPr>
              <w:pStyle w:val="125"/>
              <w:ind w:firstLine="0" w:firstLineChars="0"/>
            </w:pPr>
            <w:r>
              <w:rPr>
                <w:rFonts w:hint="eastAsia"/>
                <w:szCs w:val="21"/>
              </w:rPr>
              <w:t>供应现有兰炭烘干煤气</w:t>
            </w:r>
          </w:p>
        </w:tc>
        <w:tc>
          <w:tcPr>
            <w:tcW w:w="475" w:type="pct"/>
            <w:vAlign w:val="center"/>
          </w:tcPr>
          <w:p w14:paraId="14BF227C">
            <w:pPr>
              <w:pStyle w:val="125"/>
              <w:ind w:firstLine="0" w:firstLineChars="0"/>
            </w:pPr>
            <w:r>
              <w:rPr>
                <w:rFonts w:hint="eastAsia"/>
                <w:color w:val="000000"/>
                <w:sz w:val="22"/>
                <w:szCs w:val="22"/>
              </w:rPr>
              <w:t>0.93</w:t>
            </w:r>
          </w:p>
        </w:tc>
        <w:tc>
          <w:tcPr>
            <w:tcW w:w="483" w:type="pct"/>
          </w:tcPr>
          <w:p w14:paraId="039ABE7A">
            <w:pPr>
              <w:pStyle w:val="125"/>
              <w:ind w:firstLine="0" w:firstLineChars="0"/>
            </w:pPr>
            <w:r>
              <w:rPr>
                <w:rFonts w:hint="eastAsia"/>
              </w:rPr>
              <w:t>753mg/m³</w:t>
            </w:r>
          </w:p>
        </w:tc>
        <w:tc>
          <w:tcPr>
            <w:tcW w:w="399" w:type="pct"/>
            <w:vAlign w:val="center"/>
          </w:tcPr>
          <w:p w14:paraId="6289F01C">
            <w:pPr>
              <w:pStyle w:val="125"/>
              <w:ind w:firstLine="0" w:firstLineChars="0"/>
            </w:pPr>
            <w:r>
              <w:rPr>
                <w:rFonts w:hint="eastAsia"/>
                <w:color w:val="000000"/>
                <w:sz w:val="22"/>
                <w:szCs w:val="22"/>
              </w:rPr>
              <w:t>8.71</w:t>
            </w:r>
          </w:p>
        </w:tc>
      </w:tr>
      <w:tr w14:paraId="47088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41CDF3D9">
            <w:pPr>
              <w:pStyle w:val="125"/>
              <w:ind w:firstLine="0" w:firstLineChars="0"/>
            </w:pPr>
          </w:p>
        </w:tc>
        <w:tc>
          <w:tcPr>
            <w:tcW w:w="452" w:type="pct"/>
            <w:vMerge w:val="continue"/>
            <w:vAlign w:val="center"/>
          </w:tcPr>
          <w:p w14:paraId="1510B4BC">
            <w:pPr>
              <w:pStyle w:val="125"/>
              <w:ind w:firstLine="0" w:firstLineChars="0"/>
            </w:pPr>
          </w:p>
        </w:tc>
        <w:tc>
          <w:tcPr>
            <w:tcW w:w="475" w:type="pct"/>
            <w:vMerge w:val="continue"/>
            <w:vAlign w:val="center"/>
          </w:tcPr>
          <w:p w14:paraId="3CF24F2A">
            <w:pPr>
              <w:pStyle w:val="125"/>
              <w:ind w:firstLine="0" w:firstLineChars="0"/>
            </w:pPr>
          </w:p>
        </w:tc>
        <w:tc>
          <w:tcPr>
            <w:tcW w:w="483" w:type="pct"/>
            <w:vMerge w:val="continue"/>
            <w:vAlign w:val="center"/>
          </w:tcPr>
          <w:p w14:paraId="36D3C0F2">
            <w:pPr>
              <w:pStyle w:val="125"/>
              <w:ind w:firstLine="0" w:firstLineChars="0"/>
            </w:pPr>
          </w:p>
        </w:tc>
        <w:tc>
          <w:tcPr>
            <w:tcW w:w="385" w:type="pct"/>
            <w:vMerge w:val="continue"/>
            <w:vAlign w:val="center"/>
          </w:tcPr>
          <w:p w14:paraId="749DD0B6">
            <w:pPr>
              <w:pStyle w:val="125"/>
              <w:ind w:firstLine="0" w:firstLineChars="0"/>
            </w:pPr>
          </w:p>
        </w:tc>
        <w:tc>
          <w:tcPr>
            <w:tcW w:w="1217" w:type="pct"/>
            <w:vAlign w:val="center"/>
          </w:tcPr>
          <w:p w14:paraId="655CDD49">
            <w:pPr>
              <w:pStyle w:val="125"/>
              <w:ind w:firstLine="0" w:firstLineChars="0"/>
            </w:pPr>
            <w:r>
              <w:rPr>
                <w:rFonts w:hint="eastAsia"/>
                <w:szCs w:val="21"/>
              </w:rPr>
              <w:t>回炉煤气</w:t>
            </w:r>
          </w:p>
        </w:tc>
        <w:tc>
          <w:tcPr>
            <w:tcW w:w="475" w:type="pct"/>
            <w:vAlign w:val="center"/>
          </w:tcPr>
          <w:p w14:paraId="36A22D6F">
            <w:pPr>
              <w:pStyle w:val="125"/>
              <w:ind w:firstLine="0" w:firstLineChars="0"/>
            </w:pPr>
            <w:r>
              <w:rPr>
                <w:rFonts w:hint="eastAsia"/>
                <w:color w:val="000000"/>
                <w:sz w:val="22"/>
                <w:szCs w:val="22"/>
              </w:rPr>
              <w:t>37.77</w:t>
            </w:r>
          </w:p>
        </w:tc>
        <w:tc>
          <w:tcPr>
            <w:tcW w:w="483" w:type="pct"/>
          </w:tcPr>
          <w:p w14:paraId="06B5D518">
            <w:pPr>
              <w:pStyle w:val="125"/>
              <w:ind w:firstLine="0" w:firstLineChars="0"/>
            </w:pPr>
            <w:r>
              <w:rPr>
                <w:rFonts w:hint="eastAsia"/>
              </w:rPr>
              <w:t>753mg/m³</w:t>
            </w:r>
          </w:p>
        </w:tc>
        <w:tc>
          <w:tcPr>
            <w:tcW w:w="399" w:type="pct"/>
            <w:vAlign w:val="center"/>
          </w:tcPr>
          <w:p w14:paraId="08BC9E10">
            <w:pPr>
              <w:pStyle w:val="125"/>
              <w:ind w:firstLine="0" w:firstLineChars="0"/>
            </w:pPr>
            <w:r>
              <w:rPr>
                <w:rFonts w:hint="eastAsia"/>
                <w:color w:val="000000"/>
                <w:sz w:val="22"/>
                <w:szCs w:val="22"/>
              </w:rPr>
              <w:t>355.44</w:t>
            </w:r>
          </w:p>
        </w:tc>
      </w:tr>
      <w:tr w14:paraId="0AB6C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2C94E538">
            <w:pPr>
              <w:pStyle w:val="125"/>
              <w:ind w:firstLine="0" w:firstLineChars="0"/>
            </w:pPr>
          </w:p>
        </w:tc>
        <w:tc>
          <w:tcPr>
            <w:tcW w:w="452" w:type="pct"/>
            <w:vMerge w:val="continue"/>
            <w:vAlign w:val="center"/>
          </w:tcPr>
          <w:p w14:paraId="672A649E">
            <w:pPr>
              <w:pStyle w:val="125"/>
              <w:ind w:firstLine="0" w:firstLineChars="0"/>
            </w:pPr>
          </w:p>
        </w:tc>
        <w:tc>
          <w:tcPr>
            <w:tcW w:w="475" w:type="pct"/>
            <w:vMerge w:val="continue"/>
            <w:vAlign w:val="center"/>
          </w:tcPr>
          <w:p w14:paraId="6062E1FB">
            <w:pPr>
              <w:pStyle w:val="125"/>
              <w:ind w:firstLine="0" w:firstLineChars="0"/>
            </w:pPr>
          </w:p>
        </w:tc>
        <w:tc>
          <w:tcPr>
            <w:tcW w:w="483" w:type="pct"/>
            <w:vMerge w:val="continue"/>
            <w:vAlign w:val="center"/>
          </w:tcPr>
          <w:p w14:paraId="4C843931">
            <w:pPr>
              <w:pStyle w:val="125"/>
              <w:ind w:firstLine="0" w:firstLineChars="0"/>
            </w:pPr>
          </w:p>
        </w:tc>
        <w:tc>
          <w:tcPr>
            <w:tcW w:w="385" w:type="pct"/>
            <w:vMerge w:val="continue"/>
            <w:vAlign w:val="center"/>
          </w:tcPr>
          <w:p w14:paraId="0792F2EF">
            <w:pPr>
              <w:pStyle w:val="125"/>
              <w:ind w:firstLine="0" w:firstLineChars="0"/>
            </w:pPr>
          </w:p>
        </w:tc>
        <w:tc>
          <w:tcPr>
            <w:tcW w:w="1217" w:type="pct"/>
            <w:vAlign w:val="center"/>
          </w:tcPr>
          <w:p w14:paraId="2B7E5E0B">
            <w:pPr>
              <w:pStyle w:val="125"/>
              <w:ind w:firstLine="0" w:firstLineChars="0"/>
            </w:pPr>
            <w:r>
              <w:rPr>
                <w:rFonts w:hint="eastAsia"/>
                <w:szCs w:val="21"/>
              </w:rPr>
              <w:t>供应在建及新建焚烧炉煤气</w:t>
            </w:r>
          </w:p>
        </w:tc>
        <w:tc>
          <w:tcPr>
            <w:tcW w:w="475" w:type="pct"/>
            <w:vAlign w:val="center"/>
          </w:tcPr>
          <w:p w14:paraId="29EA8DB6">
            <w:pPr>
              <w:pStyle w:val="125"/>
              <w:ind w:firstLine="0" w:firstLineChars="0"/>
            </w:pPr>
            <w:r>
              <w:rPr>
                <w:rFonts w:hint="eastAsia"/>
                <w:color w:val="000000"/>
                <w:sz w:val="22"/>
                <w:szCs w:val="22"/>
              </w:rPr>
              <w:t>8.45</w:t>
            </w:r>
          </w:p>
        </w:tc>
        <w:tc>
          <w:tcPr>
            <w:tcW w:w="483" w:type="pct"/>
          </w:tcPr>
          <w:p w14:paraId="264B3E0F">
            <w:pPr>
              <w:pStyle w:val="125"/>
              <w:ind w:firstLine="0" w:firstLineChars="0"/>
            </w:pPr>
            <w:r>
              <w:rPr>
                <w:rFonts w:hint="eastAsia"/>
              </w:rPr>
              <w:t>753mg/m³</w:t>
            </w:r>
          </w:p>
        </w:tc>
        <w:tc>
          <w:tcPr>
            <w:tcW w:w="399" w:type="pct"/>
            <w:vAlign w:val="center"/>
          </w:tcPr>
          <w:p w14:paraId="2F988F1B">
            <w:pPr>
              <w:pStyle w:val="125"/>
              <w:ind w:firstLine="0" w:firstLineChars="0"/>
            </w:pPr>
            <w:r>
              <w:rPr>
                <w:rFonts w:hint="eastAsia"/>
                <w:color w:val="000000"/>
                <w:sz w:val="22"/>
                <w:szCs w:val="22"/>
              </w:rPr>
              <w:t>79.51</w:t>
            </w:r>
          </w:p>
        </w:tc>
      </w:tr>
      <w:tr w14:paraId="71CF3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210FE798">
            <w:pPr>
              <w:pStyle w:val="125"/>
              <w:ind w:firstLine="0" w:firstLineChars="0"/>
            </w:pPr>
          </w:p>
        </w:tc>
        <w:tc>
          <w:tcPr>
            <w:tcW w:w="452" w:type="pct"/>
            <w:vMerge w:val="continue"/>
            <w:vAlign w:val="center"/>
          </w:tcPr>
          <w:p w14:paraId="7A347C3F">
            <w:pPr>
              <w:pStyle w:val="125"/>
              <w:ind w:firstLine="0" w:firstLineChars="0"/>
            </w:pPr>
          </w:p>
        </w:tc>
        <w:tc>
          <w:tcPr>
            <w:tcW w:w="475" w:type="pct"/>
            <w:vMerge w:val="continue"/>
            <w:vAlign w:val="center"/>
          </w:tcPr>
          <w:p w14:paraId="4A8F6869">
            <w:pPr>
              <w:pStyle w:val="125"/>
              <w:ind w:firstLine="0" w:firstLineChars="0"/>
            </w:pPr>
          </w:p>
        </w:tc>
        <w:tc>
          <w:tcPr>
            <w:tcW w:w="483" w:type="pct"/>
            <w:vMerge w:val="continue"/>
            <w:vAlign w:val="center"/>
          </w:tcPr>
          <w:p w14:paraId="7AA550CB">
            <w:pPr>
              <w:pStyle w:val="125"/>
              <w:ind w:firstLine="0" w:firstLineChars="0"/>
            </w:pPr>
          </w:p>
        </w:tc>
        <w:tc>
          <w:tcPr>
            <w:tcW w:w="385" w:type="pct"/>
            <w:vMerge w:val="continue"/>
            <w:vAlign w:val="center"/>
          </w:tcPr>
          <w:p w14:paraId="331974FB">
            <w:pPr>
              <w:pStyle w:val="125"/>
              <w:ind w:firstLine="0" w:firstLineChars="0"/>
            </w:pPr>
          </w:p>
        </w:tc>
        <w:tc>
          <w:tcPr>
            <w:tcW w:w="1217" w:type="pct"/>
            <w:vAlign w:val="center"/>
          </w:tcPr>
          <w:p w14:paraId="72A99720">
            <w:pPr>
              <w:pStyle w:val="125"/>
              <w:ind w:firstLine="0" w:firstLineChars="0"/>
            </w:pPr>
            <w:r>
              <w:rPr>
                <w:rFonts w:hint="eastAsia"/>
                <w:szCs w:val="21"/>
              </w:rPr>
              <w:t>供应现有20吨燃气锅炉煤气</w:t>
            </w:r>
          </w:p>
        </w:tc>
        <w:tc>
          <w:tcPr>
            <w:tcW w:w="475" w:type="pct"/>
            <w:vAlign w:val="center"/>
          </w:tcPr>
          <w:p w14:paraId="6F178D93">
            <w:pPr>
              <w:pStyle w:val="125"/>
              <w:ind w:firstLine="0" w:firstLineChars="0"/>
            </w:pPr>
            <w:r>
              <w:rPr>
                <w:rFonts w:hint="eastAsia"/>
                <w:color w:val="000000"/>
                <w:sz w:val="22"/>
                <w:szCs w:val="22"/>
              </w:rPr>
              <w:t>3.64</w:t>
            </w:r>
          </w:p>
        </w:tc>
        <w:tc>
          <w:tcPr>
            <w:tcW w:w="483" w:type="pct"/>
          </w:tcPr>
          <w:p w14:paraId="759F306B">
            <w:pPr>
              <w:pStyle w:val="125"/>
              <w:ind w:firstLine="0" w:firstLineChars="0"/>
            </w:pPr>
            <w:r>
              <w:rPr>
                <w:rFonts w:hint="eastAsia"/>
              </w:rPr>
              <w:t>753mg/m³</w:t>
            </w:r>
          </w:p>
        </w:tc>
        <w:tc>
          <w:tcPr>
            <w:tcW w:w="399" w:type="pct"/>
            <w:vAlign w:val="center"/>
          </w:tcPr>
          <w:p w14:paraId="771167FD">
            <w:pPr>
              <w:pStyle w:val="125"/>
              <w:ind w:firstLine="0" w:firstLineChars="0"/>
            </w:pPr>
            <w:r>
              <w:rPr>
                <w:rFonts w:hint="eastAsia"/>
                <w:color w:val="000000"/>
                <w:sz w:val="22"/>
                <w:szCs w:val="22"/>
              </w:rPr>
              <w:t>34.24</w:t>
            </w:r>
          </w:p>
        </w:tc>
      </w:tr>
      <w:tr w14:paraId="4EE2A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366934AB">
            <w:pPr>
              <w:pStyle w:val="125"/>
              <w:ind w:firstLine="0" w:firstLineChars="0"/>
            </w:pPr>
          </w:p>
        </w:tc>
        <w:tc>
          <w:tcPr>
            <w:tcW w:w="452" w:type="pct"/>
            <w:vMerge w:val="continue"/>
            <w:vAlign w:val="center"/>
          </w:tcPr>
          <w:p w14:paraId="7D164C93">
            <w:pPr>
              <w:pStyle w:val="125"/>
              <w:ind w:firstLine="0" w:firstLineChars="0"/>
            </w:pPr>
          </w:p>
        </w:tc>
        <w:tc>
          <w:tcPr>
            <w:tcW w:w="475" w:type="pct"/>
            <w:vMerge w:val="continue"/>
            <w:vAlign w:val="center"/>
          </w:tcPr>
          <w:p w14:paraId="5B84960B">
            <w:pPr>
              <w:pStyle w:val="125"/>
              <w:ind w:firstLine="0" w:firstLineChars="0"/>
            </w:pPr>
          </w:p>
        </w:tc>
        <w:tc>
          <w:tcPr>
            <w:tcW w:w="483" w:type="pct"/>
            <w:vMerge w:val="continue"/>
            <w:vAlign w:val="center"/>
          </w:tcPr>
          <w:p w14:paraId="087CFA8B">
            <w:pPr>
              <w:pStyle w:val="125"/>
              <w:ind w:firstLine="0" w:firstLineChars="0"/>
            </w:pPr>
          </w:p>
        </w:tc>
        <w:tc>
          <w:tcPr>
            <w:tcW w:w="385" w:type="pct"/>
            <w:vMerge w:val="continue"/>
            <w:vAlign w:val="center"/>
          </w:tcPr>
          <w:p w14:paraId="3DA4521B">
            <w:pPr>
              <w:pStyle w:val="125"/>
              <w:ind w:firstLine="0" w:firstLineChars="0"/>
            </w:pPr>
          </w:p>
        </w:tc>
        <w:tc>
          <w:tcPr>
            <w:tcW w:w="1217" w:type="pct"/>
            <w:vAlign w:val="center"/>
          </w:tcPr>
          <w:p w14:paraId="63EEA4B5">
            <w:pPr>
              <w:pStyle w:val="125"/>
              <w:ind w:firstLine="0" w:firstLineChars="0"/>
            </w:pPr>
            <w:r>
              <w:rPr>
                <w:rFonts w:hint="eastAsia"/>
              </w:rPr>
              <w:t>焦油渣</w:t>
            </w:r>
          </w:p>
        </w:tc>
        <w:tc>
          <w:tcPr>
            <w:tcW w:w="475" w:type="pct"/>
            <w:vAlign w:val="center"/>
          </w:tcPr>
          <w:p w14:paraId="553197DB">
            <w:pPr>
              <w:pStyle w:val="125"/>
              <w:ind w:firstLine="0" w:firstLineChars="0"/>
            </w:pPr>
            <w:r>
              <w:rPr>
                <w:rFonts w:hint="eastAsia"/>
                <w:color w:val="000000"/>
                <w:sz w:val="22"/>
                <w:szCs w:val="22"/>
              </w:rPr>
              <w:t>0.06</w:t>
            </w:r>
          </w:p>
        </w:tc>
        <w:tc>
          <w:tcPr>
            <w:tcW w:w="483" w:type="pct"/>
            <w:vAlign w:val="center"/>
          </w:tcPr>
          <w:p w14:paraId="6A9BA02C">
            <w:pPr>
              <w:pStyle w:val="125"/>
              <w:ind w:firstLine="0" w:firstLineChars="0"/>
            </w:pPr>
            <w:r>
              <w:rPr>
                <w:rFonts w:hint="eastAsia"/>
              </w:rPr>
              <w:t>0.2</w:t>
            </w:r>
          </w:p>
        </w:tc>
        <w:tc>
          <w:tcPr>
            <w:tcW w:w="399" w:type="pct"/>
            <w:vAlign w:val="center"/>
          </w:tcPr>
          <w:p w14:paraId="6F5C9C3C">
            <w:pPr>
              <w:pStyle w:val="125"/>
              <w:ind w:firstLine="0" w:firstLineChars="0"/>
            </w:pPr>
            <w:r>
              <w:rPr>
                <w:rFonts w:hint="eastAsia"/>
                <w:color w:val="000000"/>
                <w:sz w:val="22"/>
                <w:szCs w:val="22"/>
              </w:rPr>
              <w:t>1.20</w:t>
            </w:r>
          </w:p>
        </w:tc>
      </w:tr>
      <w:tr w14:paraId="3B11E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68D4516B">
            <w:pPr>
              <w:pStyle w:val="125"/>
              <w:ind w:firstLine="0" w:firstLineChars="0"/>
            </w:pPr>
          </w:p>
        </w:tc>
        <w:tc>
          <w:tcPr>
            <w:tcW w:w="452" w:type="pct"/>
            <w:vMerge w:val="continue"/>
            <w:vAlign w:val="center"/>
          </w:tcPr>
          <w:p w14:paraId="344458C7">
            <w:pPr>
              <w:pStyle w:val="125"/>
              <w:ind w:firstLine="0" w:firstLineChars="0"/>
            </w:pPr>
          </w:p>
        </w:tc>
        <w:tc>
          <w:tcPr>
            <w:tcW w:w="475" w:type="pct"/>
            <w:vMerge w:val="continue"/>
            <w:vAlign w:val="center"/>
          </w:tcPr>
          <w:p w14:paraId="3D0E9B24">
            <w:pPr>
              <w:pStyle w:val="125"/>
              <w:ind w:firstLine="0" w:firstLineChars="0"/>
            </w:pPr>
          </w:p>
        </w:tc>
        <w:tc>
          <w:tcPr>
            <w:tcW w:w="483" w:type="pct"/>
            <w:vMerge w:val="continue"/>
            <w:vAlign w:val="center"/>
          </w:tcPr>
          <w:p w14:paraId="74628D8A">
            <w:pPr>
              <w:pStyle w:val="125"/>
              <w:ind w:firstLine="0" w:firstLineChars="0"/>
            </w:pPr>
          </w:p>
        </w:tc>
        <w:tc>
          <w:tcPr>
            <w:tcW w:w="385" w:type="pct"/>
            <w:vMerge w:val="continue"/>
            <w:vAlign w:val="center"/>
          </w:tcPr>
          <w:p w14:paraId="03DCE2B2">
            <w:pPr>
              <w:pStyle w:val="125"/>
              <w:ind w:firstLine="0" w:firstLineChars="0"/>
            </w:pPr>
          </w:p>
        </w:tc>
        <w:tc>
          <w:tcPr>
            <w:tcW w:w="1217" w:type="pct"/>
            <w:vAlign w:val="center"/>
          </w:tcPr>
          <w:p w14:paraId="4BF16802">
            <w:pPr>
              <w:pStyle w:val="125"/>
              <w:ind w:firstLine="0" w:firstLineChars="0"/>
            </w:pPr>
            <w:r>
              <w:rPr>
                <w:rFonts w:hint="eastAsia"/>
              </w:rPr>
              <w:t>焦油</w:t>
            </w:r>
          </w:p>
        </w:tc>
        <w:tc>
          <w:tcPr>
            <w:tcW w:w="475" w:type="pct"/>
            <w:vAlign w:val="center"/>
          </w:tcPr>
          <w:p w14:paraId="072FE80D">
            <w:pPr>
              <w:pStyle w:val="125"/>
              <w:ind w:firstLine="0" w:firstLineChars="0"/>
            </w:pPr>
            <w:r>
              <w:rPr>
                <w:rFonts w:hint="eastAsia"/>
                <w:color w:val="000000"/>
                <w:sz w:val="22"/>
                <w:szCs w:val="22"/>
              </w:rPr>
              <w:t>9.7</w:t>
            </w:r>
          </w:p>
        </w:tc>
        <w:tc>
          <w:tcPr>
            <w:tcW w:w="483" w:type="pct"/>
            <w:vAlign w:val="center"/>
          </w:tcPr>
          <w:p w14:paraId="53E5ED99">
            <w:pPr>
              <w:pStyle w:val="125"/>
              <w:ind w:firstLine="0" w:firstLineChars="0"/>
            </w:pPr>
            <w:r>
              <w:rPr>
                <w:rFonts w:hint="eastAsia"/>
              </w:rPr>
              <w:t>0.217</w:t>
            </w:r>
          </w:p>
        </w:tc>
        <w:tc>
          <w:tcPr>
            <w:tcW w:w="399" w:type="pct"/>
            <w:vAlign w:val="center"/>
          </w:tcPr>
          <w:p w14:paraId="36D8ED3C">
            <w:pPr>
              <w:pStyle w:val="125"/>
              <w:ind w:firstLine="0" w:firstLineChars="0"/>
            </w:pPr>
            <w:r>
              <w:rPr>
                <w:rFonts w:hint="eastAsia"/>
                <w:color w:val="000000"/>
                <w:sz w:val="22"/>
                <w:szCs w:val="22"/>
              </w:rPr>
              <w:t>210.68</w:t>
            </w:r>
          </w:p>
        </w:tc>
      </w:tr>
      <w:tr w14:paraId="493945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396938FA">
            <w:pPr>
              <w:pStyle w:val="125"/>
              <w:ind w:firstLine="0" w:firstLineChars="0"/>
            </w:pPr>
          </w:p>
        </w:tc>
        <w:tc>
          <w:tcPr>
            <w:tcW w:w="452" w:type="pct"/>
            <w:vMerge w:val="continue"/>
            <w:vAlign w:val="center"/>
          </w:tcPr>
          <w:p w14:paraId="14BB9063">
            <w:pPr>
              <w:pStyle w:val="125"/>
              <w:ind w:firstLine="0" w:firstLineChars="0"/>
            </w:pPr>
          </w:p>
        </w:tc>
        <w:tc>
          <w:tcPr>
            <w:tcW w:w="475" w:type="pct"/>
            <w:vMerge w:val="continue"/>
            <w:vAlign w:val="center"/>
          </w:tcPr>
          <w:p w14:paraId="7A9ED6F7">
            <w:pPr>
              <w:pStyle w:val="125"/>
              <w:ind w:firstLine="0" w:firstLineChars="0"/>
            </w:pPr>
          </w:p>
        </w:tc>
        <w:tc>
          <w:tcPr>
            <w:tcW w:w="483" w:type="pct"/>
            <w:vMerge w:val="continue"/>
            <w:vAlign w:val="center"/>
          </w:tcPr>
          <w:p w14:paraId="3AA9B9FE">
            <w:pPr>
              <w:pStyle w:val="125"/>
              <w:ind w:firstLine="0" w:firstLineChars="0"/>
            </w:pPr>
          </w:p>
        </w:tc>
        <w:tc>
          <w:tcPr>
            <w:tcW w:w="385" w:type="pct"/>
            <w:vMerge w:val="continue"/>
            <w:vAlign w:val="center"/>
          </w:tcPr>
          <w:p w14:paraId="1C510D48">
            <w:pPr>
              <w:pStyle w:val="125"/>
              <w:ind w:firstLine="0" w:firstLineChars="0"/>
            </w:pPr>
          </w:p>
        </w:tc>
        <w:tc>
          <w:tcPr>
            <w:tcW w:w="1217" w:type="pct"/>
            <w:vAlign w:val="center"/>
          </w:tcPr>
          <w:p w14:paraId="6C774BFC">
            <w:pPr>
              <w:pStyle w:val="125"/>
              <w:ind w:firstLine="0" w:firstLineChars="0"/>
            </w:pPr>
            <w:r>
              <w:rPr>
                <w:rFonts w:hint="eastAsia"/>
              </w:rPr>
              <w:t>剩余氨水</w:t>
            </w:r>
          </w:p>
        </w:tc>
        <w:tc>
          <w:tcPr>
            <w:tcW w:w="475" w:type="pct"/>
            <w:vAlign w:val="center"/>
          </w:tcPr>
          <w:p w14:paraId="37AAF1AB">
            <w:pPr>
              <w:pStyle w:val="125"/>
              <w:ind w:firstLine="0" w:firstLineChars="0"/>
            </w:pPr>
            <w:r>
              <w:rPr>
                <w:rFonts w:hint="eastAsia"/>
                <w:color w:val="000000"/>
                <w:sz w:val="22"/>
                <w:szCs w:val="22"/>
              </w:rPr>
              <w:t>15.72</w:t>
            </w:r>
          </w:p>
        </w:tc>
        <w:tc>
          <w:tcPr>
            <w:tcW w:w="483" w:type="pct"/>
            <w:vAlign w:val="center"/>
          </w:tcPr>
          <w:p w14:paraId="3405EEFC">
            <w:pPr>
              <w:pStyle w:val="125"/>
              <w:ind w:firstLine="0" w:firstLineChars="0"/>
            </w:pPr>
            <w:r>
              <w:rPr>
                <w:rFonts w:hint="eastAsia"/>
              </w:rPr>
              <w:t>400mg/L</w:t>
            </w:r>
          </w:p>
        </w:tc>
        <w:tc>
          <w:tcPr>
            <w:tcW w:w="399" w:type="pct"/>
            <w:vAlign w:val="center"/>
          </w:tcPr>
          <w:p w14:paraId="62AE066C">
            <w:pPr>
              <w:pStyle w:val="125"/>
              <w:ind w:firstLine="0" w:firstLineChars="0"/>
            </w:pPr>
            <w:r>
              <w:rPr>
                <w:rFonts w:hint="eastAsia"/>
                <w:color w:val="000000"/>
                <w:sz w:val="22"/>
                <w:szCs w:val="22"/>
              </w:rPr>
              <w:t>62.88</w:t>
            </w:r>
          </w:p>
        </w:tc>
      </w:tr>
      <w:tr w14:paraId="54856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35194D85">
            <w:pPr>
              <w:pStyle w:val="125"/>
              <w:ind w:firstLine="0" w:firstLineChars="0"/>
            </w:pPr>
          </w:p>
        </w:tc>
        <w:tc>
          <w:tcPr>
            <w:tcW w:w="452" w:type="pct"/>
            <w:vMerge w:val="continue"/>
            <w:vAlign w:val="center"/>
          </w:tcPr>
          <w:p w14:paraId="26BFC175">
            <w:pPr>
              <w:pStyle w:val="125"/>
              <w:ind w:firstLine="0" w:firstLineChars="0"/>
            </w:pPr>
          </w:p>
        </w:tc>
        <w:tc>
          <w:tcPr>
            <w:tcW w:w="475" w:type="pct"/>
            <w:vMerge w:val="continue"/>
            <w:vAlign w:val="center"/>
          </w:tcPr>
          <w:p w14:paraId="256D6CB0">
            <w:pPr>
              <w:pStyle w:val="125"/>
              <w:ind w:firstLine="0" w:firstLineChars="0"/>
            </w:pPr>
          </w:p>
        </w:tc>
        <w:tc>
          <w:tcPr>
            <w:tcW w:w="483" w:type="pct"/>
            <w:vMerge w:val="continue"/>
            <w:vAlign w:val="center"/>
          </w:tcPr>
          <w:p w14:paraId="71EF64D7">
            <w:pPr>
              <w:pStyle w:val="125"/>
              <w:ind w:firstLine="0" w:firstLineChars="0"/>
            </w:pPr>
          </w:p>
        </w:tc>
        <w:tc>
          <w:tcPr>
            <w:tcW w:w="385" w:type="pct"/>
            <w:vMerge w:val="continue"/>
            <w:vAlign w:val="center"/>
          </w:tcPr>
          <w:p w14:paraId="07FC8232">
            <w:pPr>
              <w:pStyle w:val="125"/>
              <w:ind w:firstLine="0" w:firstLineChars="0"/>
            </w:pPr>
          </w:p>
        </w:tc>
        <w:tc>
          <w:tcPr>
            <w:tcW w:w="1217" w:type="pct"/>
            <w:vAlign w:val="center"/>
          </w:tcPr>
          <w:p w14:paraId="7D1B75D4">
            <w:pPr>
              <w:pStyle w:val="125"/>
              <w:ind w:firstLine="0" w:firstLineChars="0"/>
            </w:pPr>
            <w:r>
              <w:rPr>
                <w:rFonts w:hint="eastAsia"/>
              </w:rPr>
              <w:t>废气排放</w:t>
            </w:r>
          </w:p>
        </w:tc>
        <w:tc>
          <w:tcPr>
            <w:tcW w:w="475" w:type="pct"/>
            <w:vAlign w:val="center"/>
          </w:tcPr>
          <w:p w14:paraId="218432AA">
            <w:pPr>
              <w:pStyle w:val="125"/>
              <w:ind w:firstLine="0" w:firstLineChars="0"/>
            </w:pPr>
          </w:p>
        </w:tc>
        <w:tc>
          <w:tcPr>
            <w:tcW w:w="483" w:type="pct"/>
            <w:vAlign w:val="center"/>
          </w:tcPr>
          <w:p w14:paraId="679865EB">
            <w:pPr>
              <w:pStyle w:val="125"/>
              <w:ind w:firstLine="0" w:firstLineChars="0"/>
            </w:pPr>
          </w:p>
        </w:tc>
        <w:tc>
          <w:tcPr>
            <w:tcW w:w="399" w:type="pct"/>
            <w:vAlign w:val="center"/>
          </w:tcPr>
          <w:p w14:paraId="5C8AD11F">
            <w:pPr>
              <w:pStyle w:val="125"/>
              <w:ind w:firstLine="0" w:firstLineChars="0"/>
            </w:pPr>
            <w:r>
              <w:rPr>
                <w:rFonts w:hint="eastAsia"/>
                <w:color w:val="000000"/>
                <w:sz w:val="22"/>
                <w:szCs w:val="22"/>
              </w:rPr>
              <w:t>0.06</w:t>
            </w:r>
          </w:p>
        </w:tc>
      </w:tr>
      <w:tr w14:paraId="3D977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32" w:type="pct"/>
            <w:vMerge w:val="continue"/>
            <w:vAlign w:val="center"/>
          </w:tcPr>
          <w:p w14:paraId="1D2F3784">
            <w:pPr>
              <w:pStyle w:val="125"/>
              <w:ind w:firstLine="0" w:firstLineChars="0"/>
            </w:pPr>
          </w:p>
        </w:tc>
        <w:tc>
          <w:tcPr>
            <w:tcW w:w="452" w:type="pct"/>
            <w:vAlign w:val="center"/>
          </w:tcPr>
          <w:p w14:paraId="37718F02">
            <w:pPr>
              <w:pStyle w:val="125"/>
              <w:ind w:firstLine="0" w:firstLineChars="0"/>
            </w:pPr>
            <w:r>
              <w:rPr>
                <w:rFonts w:hint="eastAsia"/>
              </w:rPr>
              <w:t>小计</w:t>
            </w:r>
          </w:p>
        </w:tc>
        <w:tc>
          <w:tcPr>
            <w:tcW w:w="475" w:type="pct"/>
            <w:vAlign w:val="center"/>
          </w:tcPr>
          <w:p w14:paraId="1A880137">
            <w:pPr>
              <w:pStyle w:val="125"/>
              <w:ind w:firstLine="0" w:firstLineChars="0"/>
            </w:pPr>
          </w:p>
        </w:tc>
        <w:tc>
          <w:tcPr>
            <w:tcW w:w="483" w:type="pct"/>
            <w:vAlign w:val="center"/>
          </w:tcPr>
          <w:p w14:paraId="6EA36B60">
            <w:pPr>
              <w:pStyle w:val="125"/>
              <w:ind w:firstLine="0" w:firstLineChars="0"/>
            </w:pPr>
          </w:p>
        </w:tc>
        <w:tc>
          <w:tcPr>
            <w:tcW w:w="385" w:type="pct"/>
            <w:vAlign w:val="center"/>
          </w:tcPr>
          <w:p w14:paraId="0E5B3E42">
            <w:pPr>
              <w:pStyle w:val="125"/>
              <w:ind w:firstLine="0" w:firstLineChars="0"/>
            </w:pPr>
            <w:r>
              <w:rPr>
                <w:rFonts w:hint="eastAsia"/>
              </w:rPr>
              <w:t>1190.40</w:t>
            </w:r>
          </w:p>
        </w:tc>
        <w:tc>
          <w:tcPr>
            <w:tcW w:w="1217" w:type="pct"/>
            <w:vAlign w:val="center"/>
          </w:tcPr>
          <w:p w14:paraId="5D703188">
            <w:pPr>
              <w:pStyle w:val="125"/>
              <w:ind w:firstLine="0" w:firstLineChars="0"/>
            </w:pPr>
            <w:r>
              <w:rPr>
                <w:rFonts w:hint="eastAsia"/>
              </w:rPr>
              <w:t>小计</w:t>
            </w:r>
          </w:p>
        </w:tc>
        <w:tc>
          <w:tcPr>
            <w:tcW w:w="475" w:type="pct"/>
            <w:vAlign w:val="center"/>
          </w:tcPr>
          <w:p w14:paraId="34291A27">
            <w:pPr>
              <w:pStyle w:val="125"/>
              <w:ind w:firstLine="0" w:firstLineChars="0"/>
            </w:pPr>
          </w:p>
        </w:tc>
        <w:tc>
          <w:tcPr>
            <w:tcW w:w="483" w:type="pct"/>
            <w:vAlign w:val="center"/>
          </w:tcPr>
          <w:p w14:paraId="27DD2BA7">
            <w:pPr>
              <w:pStyle w:val="125"/>
              <w:ind w:firstLine="0" w:firstLineChars="0"/>
            </w:pPr>
          </w:p>
        </w:tc>
        <w:tc>
          <w:tcPr>
            <w:tcW w:w="399" w:type="pct"/>
            <w:vAlign w:val="center"/>
          </w:tcPr>
          <w:p w14:paraId="6AE06534">
            <w:pPr>
              <w:pStyle w:val="125"/>
              <w:ind w:firstLine="0" w:firstLineChars="0"/>
            </w:pPr>
            <w:r>
              <w:rPr>
                <w:rFonts w:hint="eastAsia"/>
              </w:rPr>
              <w:t>1190.40</w:t>
            </w:r>
          </w:p>
        </w:tc>
      </w:tr>
    </w:tbl>
    <w:p w14:paraId="77AE7465">
      <w:pPr>
        <w:pStyle w:val="16"/>
        <w:ind w:firstLine="0" w:firstLineChars="0"/>
        <w:rPr>
          <w:rFonts w:hint="eastAsia"/>
        </w:rPr>
        <w:sectPr>
          <w:pgSz w:w="16838" w:h="11906" w:orient="landscape"/>
          <w:pgMar w:top="1800" w:right="1440" w:bottom="1800" w:left="1440" w:header="850" w:footer="850" w:gutter="0"/>
          <w:cols w:space="425" w:num="1"/>
          <w:docGrid w:type="lines" w:linePitch="326" w:charSpace="0"/>
        </w:sectPr>
      </w:pPr>
    </w:p>
    <w:p w14:paraId="6DE8D55A">
      <w:pPr>
        <w:ind w:firstLine="0" w:firstLineChars="0"/>
        <w:rPr>
          <w:rFonts w:hint="eastAsia"/>
        </w:rPr>
      </w:pPr>
    </w:p>
    <w:p w14:paraId="4B7DD622">
      <w:pPr>
        <w:pStyle w:val="944"/>
      </w:pPr>
      <w:r>
        <w:rPr>
          <w:rFonts w:hint="eastAsia"/>
        </w:rPr>
        <w:t>水平衡</w:t>
      </w:r>
    </w:p>
    <w:p w14:paraId="358CBB48">
      <w:pPr>
        <w:ind w:firstLine="480"/>
      </w:pPr>
      <w:r>
        <w:rPr>
          <w:rFonts w:hint="eastAsia"/>
        </w:rPr>
        <w:t>兰炭生产线新水消耗54.82万t/a，其中主要用于脱盐水站及循环水站补水。厂内回用水系统供应回用水约9.08万t/a，用于熄焦蒸汽耗水及煤仓喷雾降尘。</w:t>
      </w:r>
    </w:p>
    <w:p w14:paraId="72F98654">
      <w:pPr>
        <w:ind w:firstLine="480"/>
      </w:pPr>
      <w:r>
        <w:rPr>
          <w:rFonts w:hint="eastAsia"/>
        </w:rPr>
        <w:t>炭化炉进入集气槽的荒煤气在桥管和集气槽内经循环氨水喷洒被冷却至</w:t>
      </w:r>
      <w:r>
        <w:t>70</w:t>
      </w:r>
      <w:r>
        <w:rPr>
          <w:rFonts w:hint="eastAsia"/>
        </w:rPr>
        <w:t>℃左右送入煤气净化单元，净化煤气被冷却到</w:t>
      </w:r>
      <w:r>
        <w:t>40</w:t>
      </w:r>
      <w:r>
        <w:rPr>
          <w:rFonts w:hint="eastAsia"/>
        </w:rPr>
        <w:t>～</w:t>
      </w:r>
      <w:r>
        <w:t>45</w:t>
      </w:r>
      <w:r>
        <w:rPr>
          <w:rFonts w:hint="eastAsia"/>
        </w:rPr>
        <w:t>℃加压送出至煤气用户。净化后的煤气温度约为40~45</w:t>
      </w:r>
      <w:r>
        <w:rPr>
          <w:rFonts w:hint="eastAsia" w:ascii="宋体" w:hAnsi="宋体"/>
        </w:rPr>
        <w:t>℃</w:t>
      </w:r>
      <w:r>
        <w:rPr>
          <w:rFonts w:hint="eastAsia"/>
        </w:rPr>
        <w:t>折算后为煤气密度约为0.77~1.03kg/Nm³，结合现有工程煤气特性，环评按煤气密度0.8kg/Nm³计算。根据查阅到的《各种温度下焦炉煤气中水蒸气的体积、焓和含量表》，净化煤气含水量约在65.4g/m³，折算成质量后的净化煤气含水率约为8.2%。</w:t>
      </w:r>
    </w:p>
    <w:p w14:paraId="69A3482A">
      <w:pPr>
        <w:ind w:firstLine="480"/>
        <w:sectPr>
          <w:pgSz w:w="11906" w:h="16838"/>
          <w:pgMar w:top="1440" w:right="1800" w:bottom="1440" w:left="1800" w:header="850" w:footer="850" w:gutter="0"/>
          <w:cols w:space="425" w:num="1"/>
          <w:docGrid w:type="lines" w:linePitch="326" w:charSpace="0"/>
        </w:sectPr>
      </w:pPr>
      <w:r>
        <w:rPr>
          <w:rFonts w:hint="eastAsia"/>
        </w:rPr>
        <w:t>兰炭生产线水平衡见表3.3-10。</w:t>
      </w:r>
    </w:p>
    <w:p w14:paraId="381452A4">
      <w:pPr>
        <w:pStyle w:val="118"/>
      </w:pPr>
      <w:r>
        <w:rPr>
          <w:rFonts w:hint="eastAsia"/>
        </w:rPr>
        <w:t>表3.3-10  兰炭生产线水平衡表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755"/>
        <w:gridCol w:w="1755"/>
        <w:gridCol w:w="1318"/>
        <w:gridCol w:w="1006"/>
        <w:gridCol w:w="1318"/>
        <w:gridCol w:w="3379"/>
        <w:gridCol w:w="1318"/>
        <w:gridCol w:w="1006"/>
        <w:gridCol w:w="1319"/>
      </w:tblGrid>
      <w:tr w14:paraId="060D70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619" w:type="pct"/>
            <w:vMerge w:val="restart"/>
            <w:vAlign w:val="center"/>
          </w:tcPr>
          <w:p w14:paraId="7EB3402E">
            <w:pPr>
              <w:spacing w:line="240" w:lineRule="auto"/>
              <w:ind w:firstLine="0" w:firstLineChars="0"/>
              <w:rPr>
                <w:b/>
                <w:bCs/>
                <w:sz w:val="21"/>
                <w:szCs w:val="21"/>
              </w:rPr>
            </w:pPr>
            <w:r>
              <w:rPr>
                <w:rFonts w:hint="eastAsia"/>
                <w:b/>
                <w:bCs/>
                <w:sz w:val="21"/>
                <w:szCs w:val="21"/>
              </w:rPr>
              <w:t>工艺过程</w:t>
            </w:r>
          </w:p>
        </w:tc>
        <w:tc>
          <w:tcPr>
            <w:tcW w:w="1904" w:type="pct"/>
            <w:gridSpan w:val="4"/>
            <w:vAlign w:val="center"/>
          </w:tcPr>
          <w:p w14:paraId="3DB2266A">
            <w:pPr>
              <w:spacing w:line="240" w:lineRule="auto"/>
              <w:ind w:firstLine="0" w:firstLineChars="0"/>
              <w:rPr>
                <w:b/>
                <w:bCs/>
                <w:sz w:val="21"/>
                <w:szCs w:val="21"/>
              </w:rPr>
            </w:pPr>
            <w:r>
              <w:rPr>
                <w:rFonts w:hint="eastAsia"/>
                <w:b/>
                <w:bCs/>
                <w:sz w:val="21"/>
                <w:szCs w:val="21"/>
              </w:rPr>
              <w:t>投入</w:t>
            </w:r>
          </w:p>
        </w:tc>
        <w:tc>
          <w:tcPr>
            <w:tcW w:w="2477" w:type="pct"/>
            <w:gridSpan w:val="4"/>
            <w:vAlign w:val="center"/>
          </w:tcPr>
          <w:p w14:paraId="7678742A">
            <w:pPr>
              <w:spacing w:line="240" w:lineRule="auto"/>
              <w:ind w:firstLine="0" w:firstLineChars="0"/>
              <w:rPr>
                <w:b/>
                <w:bCs/>
                <w:sz w:val="21"/>
                <w:szCs w:val="21"/>
              </w:rPr>
            </w:pPr>
            <w:r>
              <w:rPr>
                <w:rFonts w:hint="eastAsia"/>
                <w:b/>
                <w:bCs/>
                <w:sz w:val="21"/>
                <w:szCs w:val="21"/>
              </w:rPr>
              <w:t>产出</w:t>
            </w:r>
          </w:p>
        </w:tc>
      </w:tr>
      <w:tr w14:paraId="38D47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619" w:type="pct"/>
            <w:vMerge w:val="continue"/>
            <w:vAlign w:val="center"/>
          </w:tcPr>
          <w:p w14:paraId="4C997244">
            <w:pPr>
              <w:spacing w:line="240" w:lineRule="auto"/>
              <w:ind w:firstLine="0" w:firstLineChars="0"/>
              <w:rPr>
                <w:b/>
                <w:bCs/>
                <w:sz w:val="21"/>
                <w:szCs w:val="21"/>
              </w:rPr>
            </w:pPr>
          </w:p>
        </w:tc>
        <w:tc>
          <w:tcPr>
            <w:tcW w:w="619" w:type="pct"/>
            <w:vAlign w:val="center"/>
          </w:tcPr>
          <w:p w14:paraId="35C17B10">
            <w:pPr>
              <w:spacing w:line="240" w:lineRule="auto"/>
              <w:ind w:firstLine="0" w:firstLineChars="0"/>
              <w:rPr>
                <w:b/>
                <w:bCs/>
                <w:sz w:val="21"/>
                <w:szCs w:val="21"/>
              </w:rPr>
            </w:pPr>
            <w:r>
              <w:rPr>
                <w:rFonts w:hint="eastAsia"/>
                <w:b/>
                <w:bCs/>
                <w:sz w:val="21"/>
                <w:szCs w:val="21"/>
              </w:rPr>
              <w:t>物料名称</w:t>
            </w:r>
          </w:p>
        </w:tc>
        <w:tc>
          <w:tcPr>
            <w:tcW w:w="465" w:type="pct"/>
            <w:vAlign w:val="center"/>
          </w:tcPr>
          <w:p w14:paraId="5A9ADEEA">
            <w:pPr>
              <w:spacing w:line="240" w:lineRule="auto"/>
              <w:ind w:firstLine="0" w:firstLineChars="0"/>
              <w:rPr>
                <w:b/>
                <w:bCs/>
                <w:sz w:val="21"/>
                <w:szCs w:val="21"/>
              </w:rPr>
            </w:pPr>
            <w:r>
              <w:rPr>
                <w:rFonts w:hint="eastAsia"/>
                <w:b/>
                <w:bCs/>
                <w:sz w:val="21"/>
                <w:szCs w:val="21"/>
              </w:rPr>
              <w:t>物料量</w:t>
            </w:r>
          </w:p>
          <w:p w14:paraId="0266A981">
            <w:pPr>
              <w:spacing w:line="240" w:lineRule="auto"/>
              <w:ind w:firstLine="0" w:firstLineChars="0"/>
              <w:rPr>
                <w:b/>
                <w:bCs/>
                <w:sz w:val="21"/>
                <w:szCs w:val="21"/>
              </w:rPr>
            </w:pPr>
            <w:r>
              <w:rPr>
                <w:rFonts w:hint="eastAsia"/>
                <w:b/>
                <w:bCs/>
                <w:sz w:val="21"/>
                <w:szCs w:val="21"/>
              </w:rPr>
              <w:t>（万t/a）</w:t>
            </w:r>
          </w:p>
        </w:tc>
        <w:tc>
          <w:tcPr>
            <w:tcW w:w="355" w:type="pct"/>
            <w:vAlign w:val="center"/>
          </w:tcPr>
          <w:p w14:paraId="37815BF5">
            <w:pPr>
              <w:spacing w:line="240" w:lineRule="auto"/>
              <w:ind w:firstLine="0" w:firstLineChars="0"/>
              <w:rPr>
                <w:b/>
                <w:bCs/>
                <w:sz w:val="21"/>
                <w:szCs w:val="21"/>
              </w:rPr>
            </w:pPr>
            <w:r>
              <w:rPr>
                <w:rFonts w:hint="eastAsia"/>
                <w:b/>
                <w:bCs/>
                <w:sz w:val="21"/>
                <w:szCs w:val="21"/>
              </w:rPr>
              <w:t>含水率%</w:t>
            </w:r>
          </w:p>
        </w:tc>
        <w:tc>
          <w:tcPr>
            <w:tcW w:w="465" w:type="pct"/>
            <w:vAlign w:val="center"/>
          </w:tcPr>
          <w:p w14:paraId="78B19248">
            <w:pPr>
              <w:spacing w:line="240" w:lineRule="auto"/>
              <w:ind w:firstLine="0" w:firstLineChars="0"/>
              <w:rPr>
                <w:b/>
                <w:bCs/>
                <w:sz w:val="21"/>
                <w:szCs w:val="21"/>
              </w:rPr>
            </w:pPr>
            <w:r>
              <w:rPr>
                <w:rFonts w:hint="eastAsia"/>
                <w:b/>
                <w:bCs/>
                <w:sz w:val="21"/>
                <w:szCs w:val="21"/>
              </w:rPr>
              <w:t>含水量</w:t>
            </w:r>
          </w:p>
          <w:p w14:paraId="4F45C18D">
            <w:pPr>
              <w:spacing w:line="240" w:lineRule="auto"/>
              <w:ind w:firstLine="0" w:firstLineChars="0"/>
              <w:rPr>
                <w:b/>
                <w:bCs/>
                <w:sz w:val="21"/>
                <w:szCs w:val="21"/>
              </w:rPr>
            </w:pPr>
            <w:r>
              <w:rPr>
                <w:rFonts w:hint="eastAsia"/>
                <w:b/>
                <w:bCs/>
                <w:sz w:val="21"/>
                <w:szCs w:val="21"/>
              </w:rPr>
              <w:t>（万t/a）</w:t>
            </w:r>
          </w:p>
        </w:tc>
        <w:tc>
          <w:tcPr>
            <w:tcW w:w="1192" w:type="pct"/>
            <w:vAlign w:val="center"/>
          </w:tcPr>
          <w:p w14:paraId="421F1F8E">
            <w:pPr>
              <w:spacing w:line="240" w:lineRule="auto"/>
              <w:ind w:firstLine="0" w:firstLineChars="0"/>
              <w:rPr>
                <w:b/>
                <w:bCs/>
                <w:sz w:val="21"/>
                <w:szCs w:val="21"/>
              </w:rPr>
            </w:pPr>
            <w:r>
              <w:rPr>
                <w:rFonts w:hint="eastAsia"/>
                <w:b/>
                <w:bCs/>
                <w:sz w:val="21"/>
                <w:szCs w:val="21"/>
              </w:rPr>
              <w:t>物料名称</w:t>
            </w:r>
          </w:p>
        </w:tc>
        <w:tc>
          <w:tcPr>
            <w:tcW w:w="465" w:type="pct"/>
            <w:vAlign w:val="center"/>
          </w:tcPr>
          <w:p w14:paraId="3F0A628D">
            <w:pPr>
              <w:spacing w:line="240" w:lineRule="auto"/>
              <w:ind w:firstLine="0" w:firstLineChars="0"/>
              <w:rPr>
                <w:b/>
                <w:bCs/>
                <w:sz w:val="21"/>
                <w:szCs w:val="21"/>
              </w:rPr>
            </w:pPr>
            <w:r>
              <w:rPr>
                <w:rFonts w:hint="eastAsia"/>
                <w:b/>
                <w:bCs/>
                <w:sz w:val="21"/>
                <w:szCs w:val="21"/>
              </w:rPr>
              <w:t>物料量</w:t>
            </w:r>
          </w:p>
          <w:p w14:paraId="0C739E82">
            <w:pPr>
              <w:spacing w:line="240" w:lineRule="auto"/>
              <w:ind w:firstLine="0" w:firstLineChars="0"/>
              <w:rPr>
                <w:b/>
                <w:bCs/>
                <w:sz w:val="21"/>
                <w:szCs w:val="21"/>
              </w:rPr>
            </w:pPr>
            <w:r>
              <w:rPr>
                <w:rFonts w:hint="eastAsia"/>
                <w:b/>
                <w:bCs/>
                <w:sz w:val="21"/>
                <w:szCs w:val="21"/>
              </w:rPr>
              <w:t>（万t/a）</w:t>
            </w:r>
          </w:p>
        </w:tc>
        <w:tc>
          <w:tcPr>
            <w:tcW w:w="355" w:type="pct"/>
            <w:vAlign w:val="center"/>
          </w:tcPr>
          <w:p w14:paraId="4A948830">
            <w:pPr>
              <w:spacing w:line="240" w:lineRule="auto"/>
              <w:ind w:firstLine="0" w:firstLineChars="0"/>
              <w:rPr>
                <w:b/>
                <w:bCs/>
                <w:sz w:val="21"/>
                <w:szCs w:val="21"/>
              </w:rPr>
            </w:pPr>
            <w:r>
              <w:rPr>
                <w:rFonts w:hint="eastAsia"/>
                <w:b/>
                <w:bCs/>
                <w:sz w:val="21"/>
                <w:szCs w:val="21"/>
              </w:rPr>
              <w:t>含水率%</w:t>
            </w:r>
          </w:p>
        </w:tc>
        <w:tc>
          <w:tcPr>
            <w:tcW w:w="465" w:type="pct"/>
            <w:vAlign w:val="center"/>
          </w:tcPr>
          <w:p w14:paraId="3F3984A9">
            <w:pPr>
              <w:spacing w:line="240" w:lineRule="auto"/>
              <w:ind w:firstLine="0" w:firstLineChars="0"/>
              <w:rPr>
                <w:b/>
                <w:bCs/>
                <w:sz w:val="21"/>
                <w:szCs w:val="21"/>
              </w:rPr>
            </w:pPr>
            <w:r>
              <w:rPr>
                <w:rFonts w:hint="eastAsia"/>
                <w:b/>
                <w:bCs/>
                <w:sz w:val="21"/>
                <w:szCs w:val="21"/>
              </w:rPr>
              <w:t>含水量</w:t>
            </w:r>
          </w:p>
          <w:p w14:paraId="1CA31E77">
            <w:pPr>
              <w:spacing w:line="240" w:lineRule="auto"/>
              <w:ind w:firstLine="0" w:firstLineChars="0"/>
              <w:rPr>
                <w:b/>
                <w:bCs/>
                <w:sz w:val="21"/>
                <w:szCs w:val="21"/>
              </w:rPr>
            </w:pPr>
            <w:r>
              <w:rPr>
                <w:rFonts w:hint="eastAsia"/>
                <w:b/>
                <w:bCs/>
                <w:sz w:val="21"/>
                <w:szCs w:val="21"/>
              </w:rPr>
              <w:t>（万t/a）</w:t>
            </w:r>
          </w:p>
        </w:tc>
      </w:tr>
      <w:tr w14:paraId="275ADF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restart"/>
            <w:vAlign w:val="center"/>
          </w:tcPr>
          <w:p w14:paraId="4909A307">
            <w:pPr>
              <w:spacing w:line="240" w:lineRule="auto"/>
              <w:ind w:firstLine="0" w:firstLineChars="0"/>
              <w:rPr>
                <w:sz w:val="21"/>
                <w:szCs w:val="21"/>
              </w:rPr>
            </w:pPr>
            <w:r>
              <w:rPr>
                <w:rFonts w:hint="eastAsia"/>
                <w:sz w:val="21"/>
                <w:szCs w:val="21"/>
              </w:rPr>
              <w:t>兰炭生产线</w:t>
            </w:r>
          </w:p>
          <w:p w14:paraId="11C02A46">
            <w:pPr>
              <w:spacing w:line="240" w:lineRule="auto"/>
              <w:ind w:firstLine="0" w:firstLineChars="0"/>
              <w:rPr>
                <w:sz w:val="21"/>
                <w:szCs w:val="21"/>
              </w:rPr>
            </w:pPr>
            <w:r>
              <w:rPr>
                <w:rFonts w:hint="eastAsia"/>
                <w:sz w:val="21"/>
                <w:szCs w:val="21"/>
              </w:rPr>
              <w:t>整体生产用水</w:t>
            </w:r>
          </w:p>
        </w:tc>
        <w:tc>
          <w:tcPr>
            <w:tcW w:w="619" w:type="pct"/>
            <w:vAlign w:val="center"/>
          </w:tcPr>
          <w:p w14:paraId="14227408">
            <w:pPr>
              <w:spacing w:line="240" w:lineRule="auto"/>
              <w:ind w:firstLine="0" w:firstLineChars="0"/>
              <w:rPr>
                <w:sz w:val="21"/>
                <w:szCs w:val="21"/>
              </w:rPr>
            </w:pPr>
            <w:r>
              <w:rPr>
                <w:rFonts w:hint="eastAsia"/>
                <w:sz w:val="21"/>
                <w:szCs w:val="21"/>
              </w:rPr>
              <w:t>新鲜水</w:t>
            </w:r>
          </w:p>
        </w:tc>
        <w:tc>
          <w:tcPr>
            <w:tcW w:w="465" w:type="pct"/>
            <w:vAlign w:val="center"/>
          </w:tcPr>
          <w:p w14:paraId="08CA1E04">
            <w:pPr>
              <w:spacing w:line="240" w:lineRule="auto"/>
              <w:ind w:firstLine="0" w:firstLineChars="0"/>
              <w:rPr>
                <w:sz w:val="21"/>
                <w:szCs w:val="21"/>
              </w:rPr>
            </w:pPr>
            <w:r>
              <w:rPr>
                <w:rFonts w:hint="eastAsia"/>
                <w:sz w:val="21"/>
                <w:szCs w:val="21"/>
              </w:rPr>
              <w:t>45.74</w:t>
            </w:r>
          </w:p>
        </w:tc>
        <w:tc>
          <w:tcPr>
            <w:tcW w:w="355" w:type="pct"/>
            <w:vAlign w:val="center"/>
          </w:tcPr>
          <w:p w14:paraId="4CEE4164">
            <w:pPr>
              <w:spacing w:line="240" w:lineRule="auto"/>
              <w:ind w:firstLine="0" w:firstLineChars="0"/>
              <w:rPr>
                <w:sz w:val="21"/>
                <w:szCs w:val="21"/>
              </w:rPr>
            </w:pPr>
            <w:r>
              <w:rPr>
                <w:rFonts w:hint="eastAsia"/>
                <w:sz w:val="21"/>
                <w:szCs w:val="21"/>
              </w:rPr>
              <w:t>100</w:t>
            </w:r>
          </w:p>
        </w:tc>
        <w:tc>
          <w:tcPr>
            <w:tcW w:w="465" w:type="pct"/>
            <w:vAlign w:val="center"/>
          </w:tcPr>
          <w:p w14:paraId="6B4F6D2C">
            <w:pPr>
              <w:spacing w:line="240" w:lineRule="auto"/>
              <w:ind w:firstLine="0" w:firstLineChars="0"/>
              <w:rPr>
                <w:sz w:val="21"/>
                <w:szCs w:val="21"/>
              </w:rPr>
            </w:pPr>
            <w:r>
              <w:rPr>
                <w:rFonts w:hint="eastAsia"/>
                <w:sz w:val="21"/>
                <w:szCs w:val="21"/>
              </w:rPr>
              <w:t>45.74</w:t>
            </w:r>
          </w:p>
        </w:tc>
        <w:tc>
          <w:tcPr>
            <w:tcW w:w="1192" w:type="pct"/>
            <w:vAlign w:val="center"/>
          </w:tcPr>
          <w:p w14:paraId="611C14A3">
            <w:pPr>
              <w:spacing w:line="240" w:lineRule="auto"/>
              <w:ind w:firstLine="0" w:firstLineChars="0"/>
              <w:rPr>
                <w:sz w:val="21"/>
                <w:szCs w:val="21"/>
              </w:rPr>
            </w:pPr>
            <w:r>
              <w:rPr>
                <w:rFonts w:hint="eastAsia"/>
                <w:sz w:val="21"/>
                <w:szCs w:val="21"/>
              </w:rPr>
              <w:t>煤仓喷雾降尘用水</w:t>
            </w:r>
          </w:p>
        </w:tc>
        <w:tc>
          <w:tcPr>
            <w:tcW w:w="465" w:type="pct"/>
            <w:vAlign w:val="center"/>
          </w:tcPr>
          <w:p w14:paraId="0D50A189">
            <w:pPr>
              <w:spacing w:line="240" w:lineRule="auto"/>
              <w:ind w:firstLine="0" w:firstLineChars="0"/>
              <w:rPr>
                <w:sz w:val="21"/>
                <w:szCs w:val="21"/>
              </w:rPr>
            </w:pPr>
            <w:r>
              <w:rPr>
                <w:rFonts w:hint="eastAsia"/>
                <w:sz w:val="21"/>
                <w:szCs w:val="21"/>
              </w:rPr>
              <w:t>1.58</w:t>
            </w:r>
          </w:p>
        </w:tc>
        <w:tc>
          <w:tcPr>
            <w:tcW w:w="355" w:type="pct"/>
            <w:vAlign w:val="center"/>
          </w:tcPr>
          <w:p w14:paraId="6951C2F5">
            <w:pPr>
              <w:spacing w:line="240" w:lineRule="auto"/>
              <w:ind w:firstLine="0" w:firstLineChars="0"/>
              <w:rPr>
                <w:sz w:val="21"/>
                <w:szCs w:val="21"/>
              </w:rPr>
            </w:pPr>
            <w:r>
              <w:rPr>
                <w:rFonts w:hint="eastAsia"/>
                <w:sz w:val="21"/>
                <w:szCs w:val="21"/>
              </w:rPr>
              <w:t>100</w:t>
            </w:r>
          </w:p>
        </w:tc>
        <w:tc>
          <w:tcPr>
            <w:tcW w:w="465" w:type="pct"/>
            <w:vAlign w:val="center"/>
          </w:tcPr>
          <w:p w14:paraId="00B12812">
            <w:pPr>
              <w:spacing w:line="240" w:lineRule="auto"/>
              <w:ind w:firstLine="0" w:firstLineChars="0"/>
              <w:rPr>
                <w:sz w:val="21"/>
                <w:szCs w:val="21"/>
              </w:rPr>
            </w:pPr>
            <w:r>
              <w:rPr>
                <w:rFonts w:hint="eastAsia"/>
                <w:sz w:val="21"/>
                <w:szCs w:val="21"/>
              </w:rPr>
              <w:t>1.58</w:t>
            </w:r>
          </w:p>
        </w:tc>
      </w:tr>
      <w:tr w14:paraId="761941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6444D9D3">
            <w:pPr>
              <w:spacing w:line="240" w:lineRule="auto"/>
              <w:ind w:firstLine="0" w:firstLineChars="0"/>
              <w:rPr>
                <w:sz w:val="21"/>
                <w:szCs w:val="21"/>
              </w:rPr>
            </w:pPr>
          </w:p>
        </w:tc>
        <w:tc>
          <w:tcPr>
            <w:tcW w:w="619" w:type="pct"/>
            <w:vAlign w:val="center"/>
          </w:tcPr>
          <w:p w14:paraId="40656C66">
            <w:pPr>
              <w:spacing w:line="240" w:lineRule="auto"/>
              <w:ind w:firstLine="0" w:firstLineChars="0"/>
              <w:rPr>
                <w:sz w:val="21"/>
                <w:szCs w:val="21"/>
              </w:rPr>
            </w:pPr>
            <w:r>
              <w:rPr>
                <w:rFonts w:hint="eastAsia"/>
                <w:sz w:val="21"/>
                <w:szCs w:val="21"/>
              </w:rPr>
              <w:t>全厂回用水站</w:t>
            </w:r>
          </w:p>
        </w:tc>
        <w:tc>
          <w:tcPr>
            <w:tcW w:w="465" w:type="pct"/>
            <w:vAlign w:val="center"/>
          </w:tcPr>
          <w:p w14:paraId="0DFC6710">
            <w:pPr>
              <w:spacing w:line="240" w:lineRule="auto"/>
              <w:ind w:firstLine="0" w:firstLineChars="0"/>
              <w:rPr>
                <w:sz w:val="21"/>
                <w:szCs w:val="21"/>
              </w:rPr>
            </w:pPr>
            <w:r>
              <w:rPr>
                <w:rFonts w:hint="eastAsia"/>
                <w:sz w:val="21"/>
                <w:szCs w:val="21"/>
              </w:rPr>
              <w:t>9.08</w:t>
            </w:r>
          </w:p>
        </w:tc>
        <w:tc>
          <w:tcPr>
            <w:tcW w:w="355" w:type="pct"/>
            <w:vAlign w:val="center"/>
          </w:tcPr>
          <w:p w14:paraId="270A9AC5">
            <w:pPr>
              <w:spacing w:line="240" w:lineRule="auto"/>
              <w:ind w:firstLine="0" w:firstLineChars="0"/>
              <w:rPr>
                <w:sz w:val="21"/>
                <w:szCs w:val="21"/>
              </w:rPr>
            </w:pPr>
            <w:r>
              <w:rPr>
                <w:rFonts w:hint="eastAsia"/>
                <w:sz w:val="21"/>
                <w:szCs w:val="21"/>
              </w:rPr>
              <w:t>100</w:t>
            </w:r>
          </w:p>
        </w:tc>
        <w:tc>
          <w:tcPr>
            <w:tcW w:w="465" w:type="pct"/>
            <w:vAlign w:val="center"/>
          </w:tcPr>
          <w:p w14:paraId="5CE035C1">
            <w:pPr>
              <w:spacing w:line="240" w:lineRule="auto"/>
              <w:ind w:firstLine="0" w:firstLineChars="0"/>
              <w:rPr>
                <w:sz w:val="21"/>
                <w:szCs w:val="21"/>
              </w:rPr>
            </w:pPr>
            <w:r>
              <w:rPr>
                <w:rFonts w:hint="eastAsia"/>
                <w:sz w:val="21"/>
                <w:szCs w:val="21"/>
              </w:rPr>
              <w:t>9.08</w:t>
            </w:r>
          </w:p>
        </w:tc>
        <w:tc>
          <w:tcPr>
            <w:tcW w:w="1192" w:type="pct"/>
            <w:vAlign w:val="center"/>
          </w:tcPr>
          <w:p w14:paraId="207B242D">
            <w:pPr>
              <w:spacing w:line="240" w:lineRule="auto"/>
              <w:ind w:firstLine="0" w:firstLineChars="0"/>
              <w:rPr>
                <w:sz w:val="21"/>
                <w:szCs w:val="21"/>
              </w:rPr>
            </w:pPr>
            <w:r>
              <w:rPr>
                <w:rFonts w:hint="eastAsia"/>
                <w:sz w:val="21"/>
                <w:szCs w:val="21"/>
              </w:rPr>
              <w:t>循环水站补水</w:t>
            </w:r>
          </w:p>
        </w:tc>
        <w:tc>
          <w:tcPr>
            <w:tcW w:w="465" w:type="pct"/>
            <w:vAlign w:val="center"/>
          </w:tcPr>
          <w:p w14:paraId="2F279DE0">
            <w:pPr>
              <w:spacing w:line="240" w:lineRule="auto"/>
              <w:ind w:firstLine="0" w:firstLineChars="0"/>
              <w:rPr>
                <w:sz w:val="21"/>
                <w:szCs w:val="21"/>
              </w:rPr>
            </w:pPr>
            <w:r>
              <w:rPr>
                <w:rFonts w:hint="eastAsia"/>
                <w:sz w:val="21"/>
                <w:szCs w:val="21"/>
              </w:rPr>
              <w:t>23.76</w:t>
            </w:r>
          </w:p>
        </w:tc>
        <w:tc>
          <w:tcPr>
            <w:tcW w:w="355" w:type="pct"/>
            <w:vAlign w:val="center"/>
          </w:tcPr>
          <w:p w14:paraId="1DE077D0">
            <w:pPr>
              <w:spacing w:line="240" w:lineRule="auto"/>
              <w:ind w:firstLine="0" w:firstLineChars="0"/>
              <w:rPr>
                <w:sz w:val="21"/>
                <w:szCs w:val="21"/>
              </w:rPr>
            </w:pPr>
            <w:r>
              <w:rPr>
                <w:rFonts w:hint="eastAsia"/>
                <w:sz w:val="21"/>
                <w:szCs w:val="21"/>
              </w:rPr>
              <w:t>100</w:t>
            </w:r>
          </w:p>
        </w:tc>
        <w:tc>
          <w:tcPr>
            <w:tcW w:w="465" w:type="pct"/>
            <w:vAlign w:val="center"/>
          </w:tcPr>
          <w:p w14:paraId="47612D72">
            <w:pPr>
              <w:spacing w:line="240" w:lineRule="auto"/>
              <w:ind w:firstLine="0" w:firstLineChars="0"/>
              <w:rPr>
                <w:sz w:val="21"/>
                <w:szCs w:val="21"/>
              </w:rPr>
            </w:pPr>
            <w:r>
              <w:rPr>
                <w:rFonts w:hint="eastAsia"/>
                <w:sz w:val="21"/>
                <w:szCs w:val="21"/>
              </w:rPr>
              <w:t>23.76</w:t>
            </w:r>
          </w:p>
        </w:tc>
      </w:tr>
      <w:tr w14:paraId="7EEFB9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41FE8268">
            <w:pPr>
              <w:spacing w:line="240" w:lineRule="auto"/>
              <w:ind w:firstLine="0" w:firstLineChars="0"/>
              <w:rPr>
                <w:sz w:val="21"/>
                <w:szCs w:val="21"/>
              </w:rPr>
            </w:pPr>
          </w:p>
        </w:tc>
        <w:tc>
          <w:tcPr>
            <w:tcW w:w="619" w:type="pct"/>
            <w:vAlign w:val="center"/>
          </w:tcPr>
          <w:p w14:paraId="5BDDB250">
            <w:pPr>
              <w:spacing w:line="240" w:lineRule="auto"/>
              <w:ind w:firstLine="0" w:firstLineChars="0"/>
              <w:rPr>
                <w:sz w:val="21"/>
                <w:szCs w:val="21"/>
              </w:rPr>
            </w:pPr>
          </w:p>
        </w:tc>
        <w:tc>
          <w:tcPr>
            <w:tcW w:w="465" w:type="pct"/>
            <w:vAlign w:val="center"/>
          </w:tcPr>
          <w:p w14:paraId="630E7B6E">
            <w:pPr>
              <w:spacing w:line="240" w:lineRule="auto"/>
              <w:ind w:firstLine="0" w:firstLineChars="0"/>
              <w:rPr>
                <w:sz w:val="21"/>
                <w:szCs w:val="21"/>
              </w:rPr>
            </w:pPr>
          </w:p>
        </w:tc>
        <w:tc>
          <w:tcPr>
            <w:tcW w:w="355" w:type="pct"/>
            <w:vAlign w:val="center"/>
          </w:tcPr>
          <w:p w14:paraId="3DA21908">
            <w:pPr>
              <w:spacing w:line="240" w:lineRule="auto"/>
              <w:ind w:firstLine="0" w:firstLineChars="0"/>
              <w:rPr>
                <w:sz w:val="21"/>
                <w:szCs w:val="21"/>
              </w:rPr>
            </w:pPr>
          </w:p>
        </w:tc>
        <w:tc>
          <w:tcPr>
            <w:tcW w:w="465" w:type="pct"/>
            <w:vAlign w:val="center"/>
          </w:tcPr>
          <w:p w14:paraId="0EA71B3B">
            <w:pPr>
              <w:spacing w:line="240" w:lineRule="auto"/>
              <w:ind w:firstLine="0" w:firstLineChars="0"/>
              <w:rPr>
                <w:sz w:val="21"/>
                <w:szCs w:val="21"/>
              </w:rPr>
            </w:pPr>
          </w:p>
        </w:tc>
        <w:tc>
          <w:tcPr>
            <w:tcW w:w="1192" w:type="pct"/>
            <w:vAlign w:val="center"/>
          </w:tcPr>
          <w:p w14:paraId="3BCC594F">
            <w:pPr>
              <w:spacing w:line="240" w:lineRule="auto"/>
              <w:ind w:firstLine="0" w:firstLineChars="0"/>
              <w:rPr>
                <w:sz w:val="21"/>
                <w:szCs w:val="21"/>
              </w:rPr>
            </w:pPr>
            <w:r>
              <w:rPr>
                <w:rFonts w:hint="eastAsia"/>
                <w:sz w:val="21"/>
                <w:szCs w:val="21"/>
              </w:rPr>
              <w:t>脱盐水站补水</w:t>
            </w:r>
          </w:p>
        </w:tc>
        <w:tc>
          <w:tcPr>
            <w:tcW w:w="465" w:type="pct"/>
            <w:vAlign w:val="center"/>
          </w:tcPr>
          <w:p w14:paraId="298B125A">
            <w:pPr>
              <w:spacing w:line="240" w:lineRule="auto"/>
              <w:ind w:firstLine="0" w:firstLineChars="0"/>
              <w:rPr>
                <w:sz w:val="21"/>
                <w:szCs w:val="21"/>
              </w:rPr>
            </w:pPr>
            <w:r>
              <w:rPr>
                <w:rFonts w:hint="eastAsia"/>
                <w:sz w:val="21"/>
                <w:szCs w:val="21"/>
              </w:rPr>
              <w:t>22.36</w:t>
            </w:r>
          </w:p>
        </w:tc>
        <w:tc>
          <w:tcPr>
            <w:tcW w:w="355" w:type="pct"/>
            <w:vAlign w:val="center"/>
          </w:tcPr>
          <w:p w14:paraId="574BDAB0">
            <w:pPr>
              <w:spacing w:line="240" w:lineRule="auto"/>
              <w:ind w:firstLine="0" w:firstLineChars="0"/>
              <w:rPr>
                <w:sz w:val="21"/>
                <w:szCs w:val="21"/>
              </w:rPr>
            </w:pPr>
            <w:r>
              <w:rPr>
                <w:rFonts w:hint="eastAsia"/>
                <w:sz w:val="21"/>
                <w:szCs w:val="21"/>
              </w:rPr>
              <w:t>100</w:t>
            </w:r>
          </w:p>
        </w:tc>
        <w:tc>
          <w:tcPr>
            <w:tcW w:w="465" w:type="pct"/>
            <w:vAlign w:val="center"/>
          </w:tcPr>
          <w:p w14:paraId="14118388">
            <w:pPr>
              <w:spacing w:line="240" w:lineRule="auto"/>
              <w:ind w:firstLine="0" w:firstLineChars="0"/>
              <w:rPr>
                <w:sz w:val="21"/>
                <w:szCs w:val="21"/>
              </w:rPr>
            </w:pPr>
            <w:r>
              <w:rPr>
                <w:rFonts w:hint="eastAsia"/>
                <w:sz w:val="21"/>
                <w:szCs w:val="21"/>
              </w:rPr>
              <w:t>22.36</w:t>
            </w:r>
          </w:p>
        </w:tc>
      </w:tr>
      <w:tr w14:paraId="03B779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4DBE3676">
            <w:pPr>
              <w:spacing w:line="240" w:lineRule="auto"/>
              <w:ind w:firstLine="0" w:firstLineChars="0"/>
              <w:rPr>
                <w:sz w:val="21"/>
                <w:szCs w:val="21"/>
              </w:rPr>
            </w:pPr>
          </w:p>
        </w:tc>
        <w:tc>
          <w:tcPr>
            <w:tcW w:w="619" w:type="pct"/>
            <w:vAlign w:val="center"/>
          </w:tcPr>
          <w:p w14:paraId="153C1EEB">
            <w:pPr>
              <w:spacing w:line="240" w:lineRule="auto"/>
              <w:ind w:firstLine="0" w:firstLineChars="0"/>
              <w:rPr>
                <w:sz w:val="21"/>
                <w:szCs w:val="21"/>
              </w:rPr>
            </w:pPr>
          </w:p>
        </w:tc>
        <w:tc>
          <w:tcPr>
            <w:tcW w:w="465" w:type="pct"/>
            <w:vAlign w:val="center"/>
          </w:tcPr>
          <w:p w14:paraId="3E7ACCE0">
            <w:pPr>
              <w:spacing w:line="240" w:lineRule="auto"/>
              <w:ind w:firstLine="0" w:firstLineChars="0"/>
              <w:rPr>
                <w:sz w:val="21"/>
                <w:szCs w:val="21"/>
              </w:rPr>
            </w:pPr>
          </w:p>
        </w:tc>
        <w:tc>
          <w:tcPr>
            <w:tcW w:w="355" w:type="pct"/>
            <w:vAlign w:val="center"/>
          </w:tcPr>
          <w:p w14:paraId="08128D5D">
            <w:pPr>
              <w:spacing w:line="240" w:lineRule="auto"/>
              <w:ind w:firstLine="0" w:firstLineChars="0"/>
              <w:rPr>
                <w:sz w:val="21"/>
                <w:szCs w:val="21"/>
              </w:rPr>
            </w:pPr>
          </w:p>
        </w:tc>
        <w:tc>
          <w:tcPr>
            <w:tcW w:w="465" w:type="pct"/>
            <w:vAlign w:val="center"/>
          </w:tcPr>
          <w:p w14:paraId="4AC5D00C">
            <w:pPr>
              <w:spacing w:line="240" w:lineRule="auto"/>
              <w:ind w:firstLine="0" w:firstLineChars="0"/>
              <w:rPr>
                <w:sz w:val="21"/>
                <w:szCs w:val="21"/>
              </w:rPr>
            </w:pPr>
          </w:p>
        </w:tc>
        <w:tc>
          <w:tcPr>
            <w:tcW w:w="1192" w:type="pct"/>
            <w:vAlign w:val="center"/>
          </w:tcPr>
          <w:p w14:paraId="21CB3D18">
            <w:pPr>
              <w:spacing w:line="240" w:lineRule="auto"/>
              <w:ind w:firstLine="0" w:firstLineChars="0"/>
              <w:rPr>
                <w:sz w:val="21"/>
                <w:szCs w:val="21"/>
              </w:rPr>
            </w:pPr>
            <w:r>
              <w:rPr>
                <w:rFonts w:hint="eastAsia"/>
                <w:sz w:val="21"/>
                <w:szCs w:val="21"/>
              </w:rPr>
              <w:t>熄焦蒸汽耗水</w:t>
            </w:r>
          </w:p>
        </w:tc>
        <w:tc>
          <w:tcPr>
            <w:tcW w:w="465" w:type="pct"/>
            <w:vAlign w:val="center"/>
          </w:tcPr>
          <w:p w14:paraId="0CF3884E">
            <w:pPr>
              <w:spacing w:line="240" w:lineRule="auto"/>
              <w:ind w:firstLine="0" w:firstLineChars="0"/>
              <w:rPr>
                <w:sz w:val="21"/>
                <w:szCs w:val="21"/>
              </w:rPr>
            </w:pPr>
            <w:r>
              <w:rPr>
                <w:rFonts w:hint="eastAsia"/>
                <w:sz w:val="21"/>
                <w:szCs w:val="21"/>
              </w:rPr>
              <w:t>3.17</w:t>
            </w:r>
          </w:p>
        </w:tc>
        <w:tc>
          <w:tcPr>
            <w:tcW w:w="355" w:type="pct"/>
            <w:vAlign w:val="center"/>
          </w:tcPr>
          <w:p w14:paraId="75C0CFDB">
            <w:pPr>
              <w:spacing w:line="240" w:lineRule="auto"/>
              <w:ind w:firstLine="0" w:firstLineChars="0"/>
              <w:rPr>
                <w:sz w:val="21"/>
                <w:szCs w:val="21"/>
              </w:rPr>
            </w:pPr>
            <w:r>
              <w:rPr>
                <w:rFonts w:hint="eastAsia"/>
                <w:sz w:val="21"/>
                <w:szCs w:val="21"/>
              </w:rPr>
              <w:t>100</w:t>
            </w:r>
          </w:p>
        </w:tc>
        <w:tc>
          <w:tcPr>
            <w:tcW w:w="465" w:type="pct"/>
            <w:vAlign w:val="center"/>
          </w:tcPr>
          <w:p w14:paraId="00F2F541">
            <w:pPr>
              <w:spacing w:line="240" w:lineRule="auto"/>
              <w:ind w:firstLine="0" w:firstLineChars="0"/>
              <w:rPr>
                <w:sz w:val="21"/>
                <w:szCs w:val="21"/>
              </w:rPr>
            </w:pPr>
            <w:r>
              <w:rPr>
                <w:rFonts w:hint="eastAsia"/>
                <w:sz w:val="21"/>
                <w:szCs w:val="21"/>
              </w:rPr>
              <w:t>3.17</w:t>
            </w:r>
          </w:p>
        </w:tc>
      </w:tr>
      <w:tr w14:paraId="2D0F5D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30B4A19D">
            <w:pPr>
              <w:spacing w:line="240" w:lineRule="auto"/>
              <w:ind w:firstLine="0" w:firstLineChars="0"/>
              <w:rPr>
                <w:sz w:val="21"/>
                <w:szCs w:val="21"/>
              </w:rPr>
            </w:pPr>
          </w:p>
        </w:tc>
        <w:tc>
          <w:tcPr>
            <w:tcW w:w="619" w:type="pct"/>
            <w:vAlign w:val="center"/>
          </w:tcPr>
          <w:p w14:paraId="1CA8DCEF">
            <w:pPr>
              <w:spacing w:line="240" w:lineRule="auto"/>
              <w:ind w:firstLine="0" w:firstLineChars="0"/>
              <w:rPr>
                <w:sz w:val="21"/>
                <w:szCs w:val="21"/>
              </w:rPr>
            </w:pPr>
          </w:p>
        </w:tc>
        <w:tc>
          <w:tcPr>
            <w:tcW w:w="465" w:type="pct"/>
            <w:vAlign w:val="center"/>
          </w:tcPr>
          <w:p w14:paraId="15308FA9">
            <w:pPr>
              <w:spacing w:line="240" w:lineRule="auto"/>
              <w:ind w:firstLine="0" w:firstLineChars="0"/>
              <w:rPr>
                <w:sz w:val="21"/>
                <w:szCs w:val="21"/>
              </w:rPr>
            </w:pPr>
          </w:p>
        </w:tc>
        <w:tc>
          <w:tcPr>
            <w:tcW w:w="355" w:type="pct"/>
            <w:vAlign w:val="center"/>
          </w:tcPr>
          <w:p w14:paraId="03040587">
            <w:pPr>
              <w:spacing w:line="240" w:lineRule="auto"/>
              <w:ind w:firstLine="0" w:firstLineChars="0"/>
              <w:rPr>
                <w:sz w:val="21"/>
                <w:szCs w:val="21"/>
              </w:rPr>
            </w:pPr>
          </w:p>
        </w:tc>
        <w:tc>
          <w:tcPr>
            <w:tcW w:w="465" w:type="pct"/>
            <w:vAlign w:val="center"/>
          </w:tcPr>
          <w:p w14:paraId="4C54AD93">
            <w:pPr>
              <w:spacing w:line="240" w:lineRule="auto"/>
              <w:ind w:firstLine="0" w:firstLineChars="0"/>
              <w:rPr>
                <w:sz w:val="21"/>
                <w:szCs w:val="21"/>
              </w:rPr>
            </w:pPr>
          </w:p>
        </w:tc>
        <w:tc>
          <w:tcPr>
            <w:tcW w:w="1192" w:type="pct"/>
            <w:vAlign w:val="center"/>
          </w:tcPr>
          <w:p w14:paraId="6793B1F6">
            <w:pPr>
              <w:spacing w:line="240" w:lineRule="auto"/>
              <w:ind w:firstLine="0" w:firstLineChars="0"/>
              <w:rPr>
                <w:sz w:val="21"/>
                <w:szCs w:val="21"/>
              </w:rPr>
            </w:pPr>
            <w:r>
              <w:rPr>
                <w:rFonts w:hint="eastAsia"/>
                <w:sz w:val="21"/>
                <w:szCs w:val="21"/>
              </w:rPr>
              <w:t>VOC处理系统补水</w:t>
            </w:r>
          </w:p>
        </w:tc>
        <w:tc>
          <w:tcPr>
            <w:tcW w:w="465" w:type="pct"/>
            <w:vAlign w:val="center"/>
          </w:tcPr>
          <w:p w14:paraId="281F2374">
            <w:pPr>
              <w:spacing w:line="240" w:lineRule="auto"/>
              <w:ind w:firstLine="0" w:firstLineChars="0"/>
              <w:rPr>
                <w:sz w:val="21"/>
                <w:szCs w:val="21"/>
              </w:rPr>
            </w:pPr>
            <w:r>
              <w:rPr>
                <w:rFonts w:hint="eastAsia"/>
                <w:sz w:val="21"/>
                <w:szCs w:val="21"/>
              </w:rPr>
              <w:t>1.58</w:t>
            </w:r>
          </w:p>
        </w:tc>
        <w:tc>
          <w:tcPr>
            <w:tcW w:w="355" w:type="pct"/>
            <w:vAlign w:val="center"/>
          </w:tcPr>
          <w:p w14:paraId="4D9FE0FF">
            <w:pPr>
              <w:spacing w:line="240" w:lineRule="auto"/>
              <w:ind w:firstLine="0" w:firstLineChars="0"/>
              <w:rPr>
                <w:sz w:val="21"/>
                <w:szCs w:val="21"/>
              </w:rPr>
            </w:pPr>
            <w:r>
              <w:rPr>
                <w:rFonts w:hint="eastAsia"/>
                <w:sz w:val="21"/>
                <w:szCs w:val="21"/>
              </w:rPr>
              <w:t>100</w:t>
            </w:r>
          </w:p>
        </w:tc>
        <w:tc>
          <w:tcPr>
            <w:tcW w:w="465" w:type="pct"/>
            <w:vAlign w:val="center"/>
          </w:tcPr>
          <w:p w14:paraId="098777E6">
            <w:pPr>
              <w:spacing w:line="240" w:lineRule="auto"/>
              <w:ind w:firstLine="0" w:firstLineChars="0"/>
              <w:rPr>
                <w:sz w:val="21"/>
                <w:szCs w:val="21"/>
              </w:rPr>
            </w:pPr>
            <w:r>
              <w:rPr>
                <w:rFonts w:hint="eastAsia"/>
                <w:sz w:val="21"/>
                <w:szCs w:val="21"/>
              </w:rPr>
              <w:t>1.58</w:t>
            </w:r>
          </w:p>
        </w:tc>
      </w:tr>
      <w:tr w14:paraId="30E59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4176E1D7">
            <w:pPr>
              <w:spacing w:line="240" w:lineRule="auto"/>
              <w:ind w:firstLine="0" w:firstLineChars="0"/>
              <w:rPr>
                <w:sz w:val="21"/>
                <w:szCs w:val="21"/>
              </w:rPr>
            </w:pPr>
          </w:p>
        </w:tc>
        <w:tc>
          <w:tcPr>
            <w:tcW w:w="619" w:type="pct"/>
            <w:vAlign w:val="center"/>
          </w:tcPr>
          <w:p w14:paraId="08C2C20F">
            <w:pPr>
              <w:spacing w:line="240" w:lineRule="auto"/>
              <w:ind w:firstLine="0" w:firstLineChars="0"/>
              <w:rPr>
                <w:sz w:val="21"/>
                <w:szCs w:val="21"/>
              </w:rPr>
            </w:pPr>
          </w:p>
        </w:tc>
        <w:tc>
          <w:tcPr>
            <w:tcW w:w="465" w:type="pct"/>
            <w:vAlign w:val="center"/>
          </w:tcPr>
          <w:p w14:paraId="329B81D5">
            <w:pPr>
              <w:spacing w:line="240" w:lineRule="auto"/>
              <w:ind w:firstLine="0" w:firstLineChars="0"/>
              <w:rPr>
                <w:sz w:val="21"/>
                <w:szCs w:val="21"/>
              </w:rPr>
            </w:pPr>
          </w:p>
        </w:tc>
        <w:tc>
          <w:tcPr>
            <w:tcW w:w="355" w:type="pct"/>
            <w:vAlign w:val="center"/>
          </w:tcPr>
          <w:p w14:paraId="12D08DB1">
            <w:pPr>
              <w:spacing w:line="240" w:lineRule="auto"/>
              <w:ind w:firstLine="0" w:firstLineChars="0"/>
              <w:rPr>
                <w:sz w:val="21"/>
                <w:szCs w:val="21"/>
              </w:rPr>
            </w:pPr>
          </w:p>
        </w:tc>
        <w:tc>
          <w:tcPr>
            <w:tcW w:w="465" w:type="pct"/>
            <w:vAlign w:val="center"/>
          </w:tcPr>
          <w:p w14:paraId="65D87373">
            <w:pPr>
              <w:spacing w:line="240" w:lineRule="auto"/>
              <w:ind w:firstLine="0" w:firstLineChars="0"/>
              <w:rPr>
                <w:sz w:val="21"/>
                <w:szCs w:val="21"/>
              </w:rPr>
            </w:pPr>
          </w:p>
        </w:tc>
        <w:tc>
          <w:tcPr>
            <w:tcW w:w="1192" w:type="pct"/>
            <w:vAlign w:val="center"/>
          </w:tcPr>
          <w:p w14:paraId="3BD1ECCD">
            <w:pPr>
              <w:spacing w:line="240" w:lineRule="auto"/>
              <w:ind w:firstLine="0" w:firstLineChars="0"/>
              <w:rPr>
                <w:sz w:val="21"/>
                <w:szCs w:val="21"/>
              </w:rPr>
            </w:pPr>
            <w:r>
              <w:rPr>
                <w:rFonts w:hint="eastAsia"/>
                <w:sz w:val="21"/>
                <w:szCs w:val="21"/>
              </w:rPr>
              <w:t>污水预处理车间用水</w:t>
            </w:r>
          </w:p>
        </w:tc>
        <w:tc>
          <w:tcPr>
            <w:tcW w:w="465" w:type="pct"/>
            <w:vAlign w:val="center"/>
          </w:tcPr>
          <w:p w14:paraId="7F764F22">
            <w:pPr>
              <w:spacing w:line="240" w:lineRule="auto"/>
              <w:ind w:firstLine="0" w:firstLineChars="0"/>
              <w:rPr>
                <w:sz w:val="21"/>
                <w:szCs w:val="21"/>
              </w:rPr>
            </w:pPr>
            <w:r>
              <w:rPr>
                <w:rFonts w:hint="eastAsia"/>
                <w:sz w:val="21"/>
                <w:szCs w:val="21"/>
              </w:rPr>
              <w:t>1.58</w:t>
            </w:r>
          </w:p>
        </w:tc>
        <w:tc>
          <w:tcPr>
            <w:tcW w:w="355" w:type="pct"/>
            <w:vAlign w:val="center"/>
          </w:tcPr>
          <w:p w14:paraId="78C6C34F">
            <w:pPr>
              <w:spacing w:line="240" w:lineRule="auto"/>
              <w:ind w:firstLine="0" w:firstLineChars="0"/>
              <w:rPr>
                <w:sz w:val="21"/>
                <w:szCs w:val="21"/>
              </w:rPr>
            </w:pPr>
            <w:r>
              <w:rPr>
                <w:rFonts w:hint="eastAsia"/>
                <w:sz w:val="21"/>
                <w:szCs w:val="21"/>
              </w:rPr>
              <w:t>100</w:t>
            </w:r>
          </w:p>
        </w:tc>
        <w:tc>
          <w:tcPr>
            <w:tcW w:w="465" w:type="pct"/>
            <w:vAlign w:val="center"/>
          </w:tcPr>
          <w:p w14:paraId="7C3FA68E">
            <w:pPr>
              <w:spacing w:line="240" w:lineRule="auto"/>
              <w:ind w:firstLine="0" w:firstLineChars="0"/>
              <w:rPr>
                <w:sz w:val="21"/>
                <w:szCs w:val="21"/>
              </w:rPr>
            </w:pPr>
            <w:r>
              <w:rPr>
                <w:rFonts w:hint="eastAsia"/>
                <w:sz w:val="21"/>
                <w:szCs w:val="21"/>
              </w:rPr>
              <w:t>1.58</w:t>
            </w:r>
          </w:p>
        </w:tc>
      </w:tr>
      <w:tr w14:paraId="7760B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729EF8E7">
            <w:pPr>
              <w:spacing w:line="240" w:lineRule="auto"/>
              <w:ind w:firstLine="0" w:firstLineChars="0"/>
              <w:rPr>
                <w:sz w:val="21"/>
                <w:szCs w:val="21"/>
              </w:rPr>
            </w:pPr>
          </w:p>
        </w:tc>
        <w:tc>
          <w:tcPr>
            <w:tcW w:w="619" w:type="pct"/>
            <w:vAlign w:val="center"/>
          </w:tcPr>
          <w:p w14:paraId="57BFAF00">
            <w:pPr>
              <w:spacing w:line="240" w:lineRule="auto"/>
              <w:ind w:firstLine="0" w:firstLineChars="0"/>
              <w:rPr>
                <w:sz w:val="21"/>
                <w:szCs w:val="21"/>
              </w:rPr>
            </w:pPr>
          </w:p>
        </w:tc>
        <w:tc>
          <w:tcPr>
            <w:tcW w:w="465" w:type="pct"/>
            <w:vAlign w:val="center"/>
          </w:tcPr>
          <w:p w14:paraId="6FA98138">
            <w:pPr>
              <w:spacing w:line="240" w:lineRule="auto"/>
              <w:ind w:firstLine="0" w:firstLineChars="0"/>
              <w:rPr>
                <w:sz w:val="21"/>
                <w:szCs w:val="21"/>
              </w:rPr>
            </w:pPr>
          </w:p>
        </w:tc>
        <w:tc>
          <w:tcPr>
            <w:tcW w:w="355" w:type="pct"/>
            <w:vAlign w:val="center"/>
          </w:tcPr>
          <w:p w14:paraId="54CF229A">
            <w:pPr>
              <w:spacing w:line="240" w:lineRule="auto"/>
              <w:ind w:firstLine="0" w:firstLineChars="0"/>
              <w:rPr>
                <w:sz w:val="21"/>
                <w:szCs w:val="21"/>
              </w:rPr>
            </w:pPr>
          </w:p>
        </w:tc>
        <w:tc>
          <w:tcPr>
            <w:tcW w:w="465" w:type="pct"/>
            <w:vAlign w:val="center"/>
          </w:tcPr>
          <w:p w14:paraId="296F3F18">
            <w:pPr>
              <w:spacing w:line="240" w:lineRule="auto"/>
              <w:ind w:firstLine="0" w:firstLineChars="0"/>
              <w:rPr>
                <w:sz w:val="21"/>
                <w:szCs w:val="21"/>
              </w:rPr>
            </w:pPr>
          </w:p>
        </w:tc>
        <w:tc>
          <w:tcPr>
            <w:tcW w:w="1192" w:type="pct"/>
            <w:vAlign w:val="center"/>
          </w:tcPr>
          <w:p w14:paraId="2BD44AB2">
            <w:pPr>
              <w:spacing w:line="240" w:lineRule="auto"/>
              <w:ind w:firstLine="0" w:firstLineChars="0"/>
              <w:rPr>
                <w:sz w:val="21"/>
                <w:szCs w:val="21"/>
              </w:rPr>
            </w:pPr>
            <w:r>
              <w:rPr>
                <w:rFonts w:hint="eastAsia"/>
                <w:sz w:val="21"/>
                <w:szCs w:val="21"/>
              </w:rPr>
              <w:t>焚烧炉烟气处理用水</w:t>
            </w:r>
          </w:p>
        </w:tc>
        <w:tc>
          <w:tcPr>
            <w:tcW w:w="465" w:type="pct"/>
            <w:vAlign w:val="center"/>
          </w:tcPr>
          <w:p w14:paraId="0A425360">
            <w:pPr>
              <w:spacing w:line="240" w:lineRule="auto"/>
              <w:ind w:firstLine="0" w:firstLineChars="0"/>
              <w:rPr>
                <w:sz w:val="21"/>
                <w:szCs w:val="21"/>
              </w:rPr>
            </w:pPr>
            <w:r>
              <w:rPr>
                <w:rFonts w:hint="eastAsia"/>
                <w:sz w:val="21"/>
                <w:szCs w:val="21"/>
              </w:rPr>
              <w:t>0.79</w:t>
            </w:r>
          </w:p>
        </w:tc>
        <w:tc>
          <w:tcPr>
            <w:tcW w:w="355" w:type="pct"/>
            <w:vAlign w:val="center"/>
          </w:tcPr>
          <w:p w14:paraId="2D855302">
            <w:pPr>
              <w:spacing w:line="240" w:lineRule="auto"/>
              <w:ind w:firstLine="0" w:firstLineChars="0"/>
              <w:rPr>
                <w:sz w:val="21"/>
                <w:szCs w:val="21"/>
              </w:rPr>
            </w:pPr>
            <w:r>
              <w:rPr>
                <w:rFonts w:hint="eastAsia"/>
                <w:sz w:val="21"/>
                <w:szCs w:val="21"/>
              </w:rPr>
              <w:t>100</w:t>
            </w:r>
          </w:p>
        </w:tc>
        <w:tc>
          <w:tcPr>
            <w:tcW w:w="465" w:type="pct"/>
            <w:vAlign w:val="center"/>
          </w:tcPr>
          <w:p w14:paraId="6ECE31FD">
            <w:pPr>
              <w:spacing w:line="240" w:lineRule="auto"/>
              <w:ind w:firstLine="0" w:firstLineChars="0"/>
              <w:rPr>
                <w:sz w:val="21"/>
                <w:szCs w:val="21"/>
              </w:rPr>
            </w:pPr>
            <w:r>
              <w:rPr>
                <w:rFonts w:hint="eastAsia"/>
                <w:sz w:val="21"/>
                <w:szCs w:val="21"/>
              </w:rPr>
              <w:t>0.79</w:t>
            </w:r>
          </w:p>
        </w:tc>
      </w:tr>
      <w:tr w14:paraId="4D009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540A491B">
            <w:pPr>
              <w:spacing w:line="240" w:lineRule="auto"/>
              <w:ind w:firstLine="0" w:firstLineChars="0"/>
              <w:rPr>
                <w:sz w:val="21"/>
                <w:szCs w:val="21"/>
              </w:rPr>
            </w:pPr>
          </w:p>
        </w:tc>
        <w:tc>
          <w:tcPr>
            <w:tcW w:w="619" w:type="pct"/>
            <w:vAlign w:val="center"/>
          </w:tcPr>
          <w:p w14:paraId="29A37CA2">
            <w:pPr>
              <w:spacing w:line="240" w:lineRule="auto"/>
              <w:ind w:firstLine="0" w:firstLineChars="0"/>
              <w:rPr>
                <w:sz w:val="21"/>
                <w:szCs w:val="21"/>
              </w:rPr>
            </w:pPr>
            <w:bookmarkStart w:id="281" w:name="OLE_LINK36"/>
            <w:r>
              <w:rPr>
                <w:rFonts w:hint="eastAsia"/>
                <w:sz w:val="21"/>
                <w:szCs w:val="21"/>
              </w:rPr>
              <w:t>小计</w:t>
            </w:r>
            <w:bookmarkEnd w:id="281"/>
          </w:p>
        </w:tc>
        <w:tc>
          <w:tcPr>
            <w:tcW w:w="465" w:type="pct"/>
            <w:vAlign w:val="center"/>
          </w:tcPr>
          <w:p w14:paraId="7FF114EF">
            <w:pPr>
              <w:spacing w:line="240" w:lineRule="auto"/>
              <w:ind w:firstLine="0" w:firstLineChars="0"/>
              <w:rPr>
                <w:sz w:val="21"/>
                <w:szCs w:val="21"/>
              </w:rPr>
            </w:pPr>
          </w:p>
        </w:tc>
        <w:tc>
          <w:tcPr>
            <w:tcW w:w="355" w:type="pct"/>
            <w:vAlign w:val="center"/>
          </w:tcPr>
          <w:p w14:paraId="5EBD1CF8">
            <w:pPr>
              <w:spacing w:line="240" w:lineRule="auto"/>
              <w:ind w:firstLine="0" w:firstLineChars="0"/>
              <w:rPr>
                <w:sz w:val="21"/>
                <w:szCs w:val="21"/>
              </w:rPr>
            </w:pPr>
          </w:p>
        </w:tc>
        <w:tc>
          <w:tcPr>
            <w:tcW w:w="465" w:type="pct"/>
            <w:vAlign w:val="center"/>
          </w:tcPr>
          <w:p w14:paraId="180D3195">
            <w:pPr>
              <w:spacing w:line="240" w:lineRule="auto"/>
              <w:ind w:firstLine="0" w:firstLineChars="0"/>
              <w:rPr>
                <w:sz w:val="21"/>
                <w:szCs w:val="21"/>
              </w:rPr>
            </w:pPr>
            <w:r>
              <w:rPr>
                <w:rFonts w:hint="eastAsia"/>
                <w:sz w:val="21"/>
                <w:szCs w:val="21"/>
              </w:rPr>
              <w:t>54.82</w:t>
            </w:r>
          </w:p>
        </w:tc>
        <w:tc>
          <w:tcPr>
            <w:tcW w:w="1192" w:type="pct"/>
            <w:vAlign w:val="center"/>
          </w:tcPr>
          <w:p w14:paraId="4D33F2A7">
            <w:pPr>
              <w:spacing w:line="240" w:lineRule="auto"/>
              <w:ind w:firstLine="0" w:firstLineChars="0"/>
              <w:rPr>
                <w:sz w:val="21"/>
                <w:szCs w:val="21"/>
              </w:rPr>
            </w:pPr>
          </w:p>
        </w:tc>
        <w:tc>
          <w:tcPr>
            <w:tcW w:w="465" w:type="pct"/>
            <w:vAlign w:val="center"/>
          </w:tcPr>
          <w:p w14:paraId="5CF0BC1F">
            <w:pPr>
              <w:spacing w:line="240" w:lineRule="auto"/>
              <w:ind w:firstLine="0" w:firstLineChars="0"/>
              <w:rPr>
                <w:sz w:val="21"/>
                <w:szCs w:val="21"/>
              </w:rPr>
            </w:pPr>
          </w:p>
        </w:tc>
        <w:tc>
          <w:tcPr>
            <w:tcW w:w="355" w:type="pct"/>
            <w:vAlign w:val="center"/>
          </w:tcPr>
          <w:p w14:paraId="1A6DC7BB">
            <w:pPr>
              <w:spacing w:line="240" w:lineRule="auto"/>
              <w:ind w:firstLine="0" w:firstLineChars="0"/>
              <w:rPr>
                <w:sz w:val="21"/>
                <w:szCs w:val="21"/>
              </w:rPr>
            </w:pPr>
          </w:p>
        </w:tc>
        <w:tc>
          <w:tcPr>
            <w:tcW w:w="465" w:type="pct"/>
            <w:vAlign w:val="center"/>
          </w:tcPr>
          <w:p w14:paraId="00941BF1">
            <w:pPr>
              <w:spacing w:line="240" w:lineRule="auto"/>
              <w:ind w:firstLine="0" w:firstLineChars="0"/>
              <w:rPr>
                <w:sz w:val="21"/>
                <w:szCs w:val="21"/>
              </w:rPr>
            </w:pPr>
            <w:r>
              <w:rPr>
                <w:rFonts w:hint="eastAsia"/>
                <w:sz w:val="21"/>
                <w:szCs w:val="21"/>
              </w:rPr>
              <w:t>54.82</w:t>
            </w:r>
          </w:p>
        </w:tc>
      </w:tr>
      <w:tr w14:paraId="2F3846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restart"/>
            <w:vAlign w:val="center"/>
          </w:tcPr>
          <w:p w14:paraId="2B0269FC">
            <w:pPr>
              <w:spacing w:line="240" w:lineRule="auto"/>
              <w:ind w:firstLine="0" w:firstLineChars="0"/>
              <w:rPr>
                <w:sz w:val="21"/>
                <w:szCs w:val="21"/>
              </w:rPr>
            </w:pPr>
            <w:r>
              <w:rPr>
                <w:rFonts w:hint="eastAsia"/>
                <w:sz w:val="21"/>
                <w:szCs w:val="21"/>
              </w:rPr>
              <w:t>备煤</w:t>
            </w:r>
          </w:p>
        </w:tc>
        <w:tc>
          <w:tcPr>
            <w:tcW w:w="619" w:type="pct"/>
            <w:vAlign w:val="center"/>
          </w:tcPr>
          <w:p w14:paraId="16A8C4C9">
            <w:pPr>
              <w:spacing w:line="240" w:lineRule="auto"/>
              <w:ind w:firstLine="0" w:firstLineChars="0"/>
              <w:rPr>
                <w:sz w:val="21"/>
                <w:szCs w:val="21"/>
              </w:rPr>
            </w:pPr>
            <w:r>
              <w:rPr>
                <w:rFonts w:hint="eastAsia"/>
                <w:sz w:val="21"/>
                <w:szCs w:val="21"/>
              </w:rPr>
              <w:t>原料煤</w:t>
            </w:r>
          </w:p>
        </w:tc>
        <w:tc>
          <w:tcPr>
            <w:tcW w:w="465" w:type="pct"/>
            <w:vAlign w:val="center"/>
          </w:tcPr>
          <w:p w14:paraId="63921D7F">
            <w:pPr>
              <w:spacing w:line="240" w:lineRule="auto"/>
              <w:ind w:firstLine="0" w:firstLineChars="0"/>
              <w:rPr>
                <w:sz w:val="21"/>
                <w:szCs w:val="21"/>
              </w:rPr>
            </w:pPr>
            <w:r>
              <w:rPr>
                <w:rFonts w:hint="eastAsia"/>
                <w:sz w:val="21"/>
                <w:szCs w:val="21"/>
              </w:rPr>
              <w:t>150</w:t>
            </w:r>
          </w:p>
        </w:tc>
        <w:tc>
          <w:tcPr>
            <w:tcW w:w="355" w:type="pct"/>
            <w:vAlign w:val="center"/>
          </w:tcPr>
          <w:p w14:paraId="7782801A">
            <w:pPr>
              <w:spacing w:line="240" w:lineRule="auto"/>
              <w:ind w:firstLine="0" w:firstLineChars="0"/>
              <w:rPr>
                <w:sz w:val="21"/>
                <w:szCs w:val="21"/>
              </w:rPr>
            </w:pPr>
            <w:r>
              <w:rPr>
                <w:rFonts w:hint="eastAsia"/>
                <w:sz w:val="21"/>
                <w:szCs w:val="21"/>
              </w:rPr>
              <w:t>1.88</w:t>
            </w:r>
          </w:p>
        </w:tc>
        <w:tc>
          <w:tcPr>
            <w:tcW w:w="465" w:type="pct"/>
            <w:vAlign w:val="center"/>
          </w:tcPr>
          <w:p w14:paraId="64796605">
            <w:pPr>
              <w:spacing w:line="240" w:lineRule="auto"/>
              <w:ind w:firstLine="0" w:firstLineChars="0"/>
              <w:rPr>
                <w:sz w:val="21"/>
                <w:szCs w:val="21"/>
              </w:rPr>
            </w:pPr>
            <w:r>
              <w:rPr>
                <w:rFonts w:hint="eastAsia"/>
                <w:sz w:val="21"/>
                <w:szCs w:val="21"/>
              </w:rPr>
              <w:t>28.20</w:t>
            </w:r>
          </w:p>
        </w:tc>
        <w:tc>
          <w:tcPr>
            <w:tcW w:w="1192" w:type="pct"/>
            <w:vAlign w:val="center"/>
          </w:tcPr>
          <w:p w14:paraId="204BC255">
            <w:pPr>
              <w:spacing w:line="240" w:lineRule="auto"/>
              <w:ind w:firstLine="0" w:firstLineChars="0"/>
              <w:rPr>
                <w:sz w:val="21"/>
                <w:szCs w:val="21"/>
              </w:rPr>
            </w:pPr>
            <w:r>
              <w:rPr>
                <w:rFonts w:hint="eastAsia"/>
                <w:sz w:val="21"/>
                <w:szCs w:val="21"/>
              </w:rPr>
              <w:t>入炉煤</w:t>
            </w:r>
          </w:p>
        </w:tc>
        <w:tc>
          <w:tcPr>
            <w:tcW w:w="465" w:type="pct"/>
            <w:vAlign w:val="center"/>
          </w:tcPr>
          <w:p w14:paraId="156AFBAA">
            <w:pPr>
              <w:spacing w:line="240" w:lineRule="auto"/>
              <w:ind w:firstLine="0" w:firstLineChars="0"/>
              <w:rPr>
                <w:sz w:val="21"/>
                <w:szCs w:val="21"/>
              </w:rPr>
            </w:pPr>
            <w:r>
              <w:rPr>
                <w:rFonts w:hint="eastAsia"/>
                <w:sz w:val="21"/>
                <w:szCs w:val="21"/>
              </w:rPr>
              <w:t>120</w:t>
            </w:r>
          </w:p>
        </w:tc>
        <w:tc>
          <w:tcPr>
            <w:tcW w:w="355" w:type="pct"/>
            <w:vAlign w:val="center"/>
          </w:tcPr>
          <w:p w14:paraId="444578DB">
            <w:pPr>
              <w:spacing w:line="240" w:lineRule="auto"/>
              <w:ind w:firstLine="0" w:firstLineChars="0"/>
              <w:rPr>
                <w:sz w:val="21"/>
                <w:szCs w:val="21"/>
              </w:rPr>
            </w:pPr>
            <w:r>
              <w:rPr>
                <w:rFonts w:hint="eastAsia"/>
                <w:sz w:val="21"/>
                <w:szCs w:val="21"/>
              </w:rPr>
              <w:t>18.8</w:t>
            </w:r>
          </w:p>
        </w:tc>
        <w:tc>
          <w:tcPr>
            <w:tcW w:w="465" w:type="pct"/>
            <w:vAlign w:val="center"/>
          </w:tcPr>
          <w:p w14:paraId="383A4A11">
            <w:pPr>
              <w:spacing w:line="240" w:lineRule="auto"/>
              <w:ind w:firstLine="0" w:firstLineChars="0"/>
              <w:rPr>
                <w:sz w:val="21"/>
                <w:szCs w:val="21"/>
              </w:rPr>
            </w:pPr>
            <w:r>
              <w:rPr>
                <w:rFonts w:hint="eastAsia"/>
                <w:color w:val="000000"/>
                <w:sz w:val="22"/>
                <w:szCs w:val="22"/>
              </w:rPr>
              <w:t>22.56</w:t>
            </w:r>
          </w:p>
        </w:tc>
      </w:tr>
      <w:tr w14:paraId="610A8B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1CEA963B">
            <w:pPr>
              <w:spacing w:line="240" w:lineRule="auto"/>
              <w:ind w:firstLine="0" w:firstLineChars="0"/>
              <w:rPr>
                <w:sz w:val="21"/>
                <w:szCs w:val="21"/>
              </w:rPr>
            </w:pPr>
          </w:p>
        </w:tc>
        <w:tc>
          <w:tcPr>
            <w:tcW w:w="619" w:type="pct"/>
            <w:vAlign w:val="center"/>
          </w:tcPr>
          <w:p w14:paraId="6E921EA3">
            <w:pPr>
              <w:spacing w:line="240" w:lineRule="auto"/>
              <w:ind w:firstLine="0" w:firstLineChars="0"/>
              <w:rPr>
                <w:sz w:val="21"/>
                <w:szCs w:val="21"/>
              </w:rPr>
            </w:pPr>
          </w:p>
        </w:tc>
        <w:tc>
          <w:tcPr>
            <w:tcW w:w="465" w:type="pct"/>
            <w:vAlign w:val="center"/>
          </w:tcPr>
          <w:p w14:paraId="76AE3ECF">
            <w:pPr>
              <w:spacing w:line="240" w:lineRule="auto"/>
              <w:ind w:firstLine="0" w:firstLineChars="0"/>
              <w:rPr>
                <w:sz w:val="21"/>
                <w:szCs w:val="21"/>
              </w:rPr>
            </w:pPr>
          </w:p>
        </w:tc>
        <w:tc>
          <w:tcPr>
            <w:tcW w:w="355" w:type="pct"/>
            <w:vAlign w:val="center"/>
          </w:tcPr>
          <w:p w14:paraId="15AC851C">
            <w:pPr>
              <w:spacing w:line="240" w:lineRule="auto"/>
              <w:ind w:firstLine="0" w:firstLineChars="0"/>
              <w:rPr>
                <w:sz w:val="21"/>
                <w:szCs w:val="21"/>
              </w:rPr>
            </w:pPr>
          </w:p>
        </w:tc>
        <w:tc>
          <w:tcPr>
            <w:tcW w:w="465" w:type="pct"/>
            <w:vAlign w:val="center"/>
          </w:tcPr>
          <w:p w14:paraId="167B4B08">
            <w:pPr>
              <w:spacing w:line="240" w:lineRule="auto"/>
              <w:ind w:firstLine="0" w:firstLineChars="0"/>
              <w:rPr>
                <w:sz w:val="21"/>
                <w:szCs w:val="21"/>
              </w:rPr>
            </w:pPr>
          </w:p>
        </w:tc>
        <w:tc>
          <w:tcPr>
            <w:tcW w:w="1192" w:type="pct"/>
            <w:vAlign w:val="center"/>
          </w:tcPr>
          <w:p w14:paraId="12FA2CCE">
            <w:pPr>
              <w:spacing w:line="240" w:lineRule="auto"/>
              <w:ind w:firstLine="0" w:firstLineChars="0"/>
              <w:rPr>
                <w:sz w:val="21"/>
                <w:szCs w:val="21"/>
              </w:rPr>
            </w:pPr>
            <w:r>
              <w:rPr>
                <w:rFonts w:hint="eastAsia"/>
                <w:sz w:val="21"/>
                <w:szCs w:val="21"/>
              </w:rPr>
              <w:t>沫煤</w:t>
            </w:r>
          </w:p>
        </w:tc>
        <w:tc>
          <w:tcPr>
            <w:tcW w:w="465" w:type="pct"/>
            <w:vAlign w:val="center"/>
          </w:tcPr>
          <w:p w14:paraId="22958579">
            <w:pPr>
              <w:spacing w:line="240" w:lineRule="auto"/>
              <w:ind w:firstLine="0" w:firstLineChars="0"/>
              <w:rPr>
                <w:sz w:val="21"/>
                <w:szCs w:val="21"/>
              </w:rPr>
            </w:pPr>
            <w:r>
              <w:rPr>
                <w:rFonts w:hint="eastAsia"/>
                <w:sz w:val="21"/>
                <w:szCs w:val="21"/>
              </w:rPr>
              <w:t>30</w:t>
            </w:r>
          </w:p>
        </w:tc>
        <w:tc>
          <w:tcPr>
            <w:tcW w:w="355" w:type="pct"/>
            <w:vAlign w:val="center"/>
          </w:tcPr>
          <w:p w14:paraId="5D2E33FE">
            <w:pPr>
              <w:spacing w:line="240" w:lineRule="auto"/>
              <w:ind w:firstLine="0" w:firstLineChars="0"/>
              <w:rPr>
                <w:sz w:val="21"/>
                <w:szCs w:val="21"/>
              </w:rPr>
            </w:pPr>
            <w:r>
              <w:rPr>
                <w:rFonts w:hint="eastAsia"/>
                <w:sz w:val="21"/>
                <w:szCs w:val="21"/>
              </w:rPr>
              <w:t>18.8</w:t>
            </w:r>
          </w:p>
        </w:tc>
        <w:tc>
          <w:tcPr>
            <w:tcW w:w="465" w:type="pct"/>
            <w:vAlign w:val="center"/>
          </w:tcPr>
          <w:p w14:paraId="508D8A96">
            <w:pPr>
              <w:spacing w:line="240" w:lineRule="auto"/>
              <w:ind w:firstLine="0" w:firstLineChars="0"/>
              <w:rPr>
                <w:sz w:val="21"/>
                <w:szCs w:val="21"/>
              </w:rPr>
            </w:pPr>
            <w:r>
              <w:rPr>
                <w:rFonts w:hint="eastAsia"/>
                <w:color w:val="000000"/>
                <w:sz w:val="22"/>
                <w:szCs w:val="22"/>
              </w:rPr>
              <w:t>5.64</w:t>
            </w:r>
          </w:p>
        </w:tc>
      </w:tr>
      <w:tr w14:paraId="44F4ED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6C8C6877">
            <w:pPr>
              <w:spacing w:line="240" w:lineRule="auto"/>
              <w:ind w:firstLine="0" w:firstLineChars="0"/>
              <w:rPr>
                <w:sz w:val="21"/>
                <w:szCs w:val="21"/>
              </w:rPr>
            </w:pPr>
          </w:p>
        </w:tc>
        <w:tc>
          <w:tcPr>
            <w:tcW w:w="619" w:type="pct"/>
            <w:vAlign w:val="center"/>
          </w:tcPr>
          <w:p w14:paraId="61909E1B">
            <w:pPr>
              <w:spacing w:line="240" w:lineRule="auto"/>
              <w:ind w:firstLine="0" w:firstLineChars="0"/>
              <w:rPr>
                <w:sz w:val="21"/>
                <w:szCs w:val="21"/>
              </w:rPr>
            </w:pPr>
            <w:r>
              <w:rPr>
                <w:rFonts w:hint="eastAsia"/>
                <w:sz w:val="21"/>
                <w:szCs w:val="21"/>
              </w:rPr>
              <w:t>小计</w:t>
            </w:r>
          </w:p>
        </w:tc>
        <w:tc>
          <w:tcPr>
            <w:tcW w:w="465" w:type="pct"/>
            <w:vAlign w:val="center"/>
          </w:tcPr>
          <w:p w14:paraId="040E5BD6">
            <w:pPr>
              <w:spacing w:line="240" w:lineRule="auto"/>
              <w:ind w:firstLine="0" w:firstLineChars="0"/>
              <w:rPr>
                <w:sz w:val="21"/>
                <w:szCs w:val="21"/>
              </w:rPr>
            </w:pPr>
          </w:p>
        </w:tc>
        <w:tc>
          <w:tcPr>
            <w:tcW w:w="355" w:type="pct"/>
            <w:vAlign w:val="center"/>
          </w:tcPr>
          <w:p w14:paraId="35E5D50B">
            <w:pPr>
              <w:spacing w:line="240" w:lineRule="auto"/>
              <w:ind w:firstLine="0" w:firstLineChars="0"/>
              <w:rPr>
                <w:sz w:val="21"/>
                <w:szCs w:val="21"/>
              </w:rPr>
            </w:pPr>
          </w:p>
        </w:tc>
        <w:tc>
          <w:tcPr>
            <w:tcW w:w="465" w:type="pct"/>
            <w:vAlign w:val="center"/>
          </w:tcPr>
          <w:p w14:paraId="4D2AD898">
            <w:pPr>
              <w:spacing w:line="240" w:lineRule="auto"/>
              <w:ind w:firstLine="0" w:firstLineChars="0"/>
              <w:rPr>
                <w:sz w:val="21"/>
                <w:szCs w:val="21"/>
              </w:rPr>
            </w:pPr>
            <w:r>
              <w:rPr>
                <w:rFonts w:hint="eastAsia"/>
                <w:sz w:val="21"/>
                <w:szCs w:val="21"/>
              </w:rPr>
              <w:t>28.20</w:t>
            </w:r>
          </w:p>
        </w:tc>
        <w:tc>
          <w:tcPr>
            <w:tcW w:w="1192" w:type="pct"/>
            <w:vAlign w:val="center"/>
          </w:tcPr>
          <w:p w14:paraId="7FC411A3">
            <w:pPr>
              <w:spacing w:line="240" w:lineRule="auto"/>
              <w:ind w:firstLine="0" w:firstLineChars="0"/>
              <w:rPr>
                <w:sz w:val="21"/>
                <w:szCs w:val="21"/>
              </w:rPr>
            </w:pPr>
          </w:p>
        </w:tc>
        <w:tc>
          <w:tcPr>
            <w:tcW w:w="465" w:type="pct"/>
            <w:vAlign w:val="center"/>
          </w:tcPr>
          <w:p w14:paraId="1FE592ED">
            <w:pPr>
              <w:spacing w:line="240" w:lineRule="auto"/>
              <w:ind w:firstLine="0" w:firstLineChars="0"/>
              <w:rPr>
                <w:sz w:val="21"/>
                <w:szCs w:val="21"/>
              </w:rPr>
            </w:pPr>
          </w:p>
        </w:tc>
        <w:tc>
          <w:tcPr>
            <w:tcW w:w="355" w:type="pct"/>
            <w:vAlign w:val="center"/>
          </w:tcPr>
          <w:p w14:paraId="4542598D">
            <w:pPr>
              <w:spacing w:line="240" w:lineRule="auto"/>
              <w:ind w:firstLine="0" w:firstLineChars="0"/>
              <w:rPr>
                <w:sz w:val="21"/>
                <w:szCs w:val="21"/>
              </w:rPr>
            </w:pPr>
          </w:p>
        </w:tc>
        <w:tc>
          <w:tcPr>
            <w:tcW w:w="465" w:type="pct"/>
            <w:vAlign w:val="center"/>
          </w:tcPr>
          <w:p w14:paraId="1D724CB1">
            <w:pPr>
              <w:spacing w:line="240" w:lineRule="auto"/>
              <w:ind w:firstLine="0" w:firstLineChars="0"/>
              <w:rPr>
                <w:sz w:val="21"/>
                <w:szCs w:val="21"/>
              </w:rPr>
            </w:pPr>
            <w:r>
              <w:rPr>
                <w:rFonts w:hint="eastAsia"/>
                <w:sz w:val="21"/>
                <w:szCs w:val="21"/>
              </w:rPr>
              <w:t>28.20</w:t>
            </w:r>
          </w:p>
        </w:tc>
      </w:tr>
      <w:tr w14:paraId="6A0079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619" w:type="pct"/>
            <w:vMerge w:val="restart"/>
            <w:vAlign w:val="center"/>
          </w:tcPr>
          <w:p w14:paraId="03409C5C">
            <w:pPr>
              <w:spacing w:line="240" w:lineRule="auto"/>
              <w:ind w:firstLine="0" w:firstLineChars="0"/>
              <w:rPr>
                <w:sz w:val="21"/>
                <w:szCs w:val="21"/>
              </w:rPr>
            </w:pPr>
            <w:r>
              <w:rPr>
                <w:rFonts w:hint="eastAsia"/>
                <w:sz w:val="21"/>
                <w:szCs w:val="21"/>
              </w:rPr>
              <w:t>炭化工段</w:t>
            </w:r>
          </w:p>
        </w:tc>
        <w:tc>
          <w:tcPr>
            <w:tcW w:w="619" w:type="pct"/>
            <w:vAlign w:val="center"/>
          </w:tcPr>
          <w:p w14:paraId="60BB32C9">
            <w:pPr>
              <w:spacing w:line="240" w:lineRule="auto"/>
              <w:ind w:firstLine="0" w:firstLineChars="0"/>
              <w:rPr>
                <w:sz w:val="21"/>
                <w:szCs w:val="21"/>
              </w:rPr>
            </w:pPr>
            <w:r>
              <w:rPr>
                <w:rFonts w:hint="eastAsia"/>
                <w:sz w:val="21"/>
                <w:szCs w:val="21"/>
              </w:rPr>
              <w:t>入炉煤</w:t>
            </w:r>
          </w:p>
        </w:tc>
        <w:tc>
          <w:tcPr>
            <w:tcW w:w="465" w:type="pct"/>
            <w:vAlign w:val="center"/>
          </w:tcPr>
          <w:p w14:paraId="08984029">
            <w:pPr>
              <w:spacing w:line="240" w:lineRule="auto"/>
              <w:ind w:firstLine="0" w:firstLineChars="0"/>
              <w:rPr>
                <w:sz w:val="21"/>
                <w:szCs w:val="21"/>
              </w:rPr>
            </w:pPr>
            <w:r>
              <w:rPr>
                <w:rFonts w:hint="eastAsia"/>
                <w:sz w:val="21"/>
                <w:szCs w:val="21"/>
              </w:rPr>
              <w:t>120</w:t>
            </w:r>
          </w:p>
        </w:tc>
        <w:tc>
          <w:tcPr>
            <w:tcW w:w="355" w:type="pct"/>
            <w:vAlign w:val="center"/>
          </w:tcPr>
          <w:p w14:paraId="53E22808">
            <w:pPr>
              <w:spacing w:line="240" w:lineRule="auto"/>
              <w:ind w:firstLine="0" w:firstLineChars="0"/>
              <w:rPr>
                <w:sz w:val="21"/>
                <w:szCs w:val="21"/>
              </w:rPr>
            </w:pPr>
            <w:r>
              <w:rPr>
                <w:rFonts w:hint="eastAsia"/>
                <w:sz w:val="21"/>
                <w:szCs w:val="21"/>
              </w:rPr>
              <w:t>1.88</w:t>
            </w:r>
          </w:p>
        </w:tc>
        <w:tc>
          <w:tcPr>
            <w:tcW w:w="465" w:type="pct"/>
            <w:vAlign w:val="center"/>
          </w:tcPr>
          <w:p w14:paraId="26268B28">
            <w:pPr>
              <w:spacing w:line="240" w:lineRule="auto"/>
              <w:ind w:firstLine="0" w:firstLineChars="0"/>
              <w:rPr>
                <w:sz w:val="21"/>
                <w:szCs w:val="21"/>
              </w:rPr>
            </w:pPr>
            <w:r>
              <w:rPr>
                <w:rFonts w:hint="eastAsia"/>
                <w:sz w:val="21"/>
                <w:szCs w:val="21"/>
              </w:rPr>
              <w:t>22.56</w:t>
            </w:r>
          </w:p>
        </w:tc>
        <w:tc>
          <w:tcPr>
            <w:tcW w:w="1192" w:type="pct"/>
            <w:vAlign w:val="center"/>
          </w:tcPr>
          <w:p w14:paraId="2FB5459D">
            <w:pPr>
              <w:spacing w:line="240" w:lineRule="auto"/>
              <w:ind w:firstLine="0" w:firstLineChars="0"/>
              <w:rPr>
                <w:sz w:val="21"/>
                <w:szCs w:val="21"/>
              </w:rPr>
            </w:pPr>
            <w:r>
              <w:rPr>
                <w:rFonts w:hint="eastAsia"/>
                <w:sz w:val="21"/>
                <w:szCs w:val="21"/>
              </w:rPr>
              <w:t>兰炭</w:t>
            </w:r>
          </w:p>
        </w:tc>
        <w:tc>
          <w:tcPr>
            <w:tcW w:w="465" w:type="pct"/>
            <w:vAlign w:val="center"/>
          </w:tcPr>
          <w:p w14:paraId="583C67D5">
            <w:pPr>
              <w:spacing w:line="240" w:lineRule="auto"/>
              <w:ind w:firstLine="0" w:firstLineChars="0"/>
              <w:rPr>
                <w:sz w:val="21"/>
                <w:szCs w:val="21"/>
              </w:rPr>
            </w:pPr>
            <w:r>
              <w:rPr>
                <w:rFonts w:hint="eastAsia"/>
                <w:sz w:val="21"/>
                <w:szCs w:val="21"/>
              </w:rPr>
              <w:t>60</w:t>
            </w:r>
          </w:p>
        </w:tc>
        <w:tc>
          <w:tcPr>
            <w:tcW w:w="355" w:type="pct"/>
            <w:vAlign w:val="center"/>
          </w:tcPr>
          <w:p w14:paraId="20684161">
            <w:pPr>
              <w:spacing w:line="240" w:lineRule="auto"/>
              <w:ind w:firstLine="0" w:firstLineChars="0"/>
              <w:rPr>
                <w:sz w:val="21"/>
                <w:szCs w:val="21"/>
              </w:rPr>
            </w:pPr>
            <w:r>
              <w:rPr>
                <w:rFonts w:hint="eastAsia"/>
                <w:sz w:val="21"/>
                <w:szCs w:val="21"/>
              </w:rPr>
              <w:t>10</w:t>
            </w:r>
          </w:p>
        </w:tc>
        <w:tc>
          <w:tcPr>
            <w:tcW w:w="465" w:type="pct"/>
            <w:vAlign w:val="center"/>
          </w:tcPr>
          <w:p w14:paraId="5AA0E866">
            <w:pPr>
              <w:spacing w:line="240" w:lineRule="auto"/>
              <w:ind w:firstLine="0" w:firstLineChars="0"/>
              <w:rPr>
                <w:sz w:val="21"/>
                <w:szCs w:val="21"/>
              </w:rPr>
            </w:pPr>
            <w:r>
              <w:rPr>
                <w:rFonts w:hint="eastAsia"/>
                <w:color w:val="000000"/>
                <w:sz w:val="22"/>
                <w:szCs w:val="22"/>
              </w:rPr>
              <w:t>4.80</w:t>
            </w:r>
          </w:p>
        </w:tc>
      </w:tr>
      <w:tr w14:paraId="6028B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2F4DAB21">
            <w:pPr>
              <w:spacing w:line="240" w:lineRule="auto"/>
              <w:ind w:firstLine="0" w:firstLineChars="0"/>
              <w:rPr>
                <w:sz w:val="21"/>
                <w:szCs w:val="21"/>
              </w:rPr>
            </w:pPr>
          </w:p>
        </w:tc>
        <w:tc>
          <w:tcPr>
            <w:tcW w:w="619" w:type="pct"/>
            <w:vAlign w:val="center"/>
          </w:tcPr>
          <w:p w14:paraId="51AADBEA">
            <w:pPr>
              <w:spacing w:line="240" w:lineRule="auto"/>
              <w:ind w:firstLine="0" w:firstLineChars="0"/>
              <w:rPr>
                <w:sz w:val="21"/>
                <w:szCs w:val="21"/>
              </w:rPr>
            </w:pPr>
            <w:r>
              <w:rPr>
                <w:rFonts w:hint="eastAsia"/>
                <w:sz w:val="21"/>
                <w:szCs w:val="21"/>
              </w:rPr>
              <w:t>回炉煤气</w:t>
            </w:r>
          </w:p>
        </w:tc>
        <w:tc>
          <w:tcPr>
            <w:tcW w:w="465" w:type="pct"/>
            <w:vAlign w:val="center"/>
          </w:tcPr>
          <w:p w14:paraId="22C3926D">
            <w:pPr>
              <w:spacing w:line="240" w:lineRule="auto"/>
              <w:ind w:firstLine="0" w:firstLineChars="0"/>
              <w:rPr>
                <w:sz w:val="21"/>
                <w:szCs w:val="21"/>
              </w:rPr>
            </w:pPr>
            <w:r>
              <w:rPr>
                <w:rFonts w:hint="eastAsia"/>
                <w:sz w:val="21"/>
                <w:szCs w:val="21"/>
              </w:rPr>
              <w:t>37.77</w:t>
            </w:r>
          </w:p>
        </w:tc>
        <w:tc>
          <w:tcPr>
            <w:tcW w:w="355" w:type="pct"/>
            <w:vAlign w:val="center"/>
          </w:tcPr>
          <w:p w14:paraId="43D52116">
            <w:pPr>
              <w:spacing w:line="240" w:lineRule="auto"/>
              <w:ind w:firstLine="0" w:firstLineChars="0"/>
              <w:rPr>
                <w:sz w:val="21"/>
                <w:szCs w:val="21"/>
              </w:rPr>
            </w:pPr>
            <w:r>
              <w:rPr>
                <w:rFonts w:hint="eastAsia"/>
                <w:sz w:val="21"/>
                <w:szCs w:val="21"/>
              </w:rPr>
              <w:t>8.2</w:t>
            </w:r>
          </w:p>
        </w:tc>
        <w:tc>
          <w:tcPr>
            <w:tcW w:w="465" w:type="pct"/>
            <w:vAlign w:val="center"/>
          </w:tcPr>
          <w:p w14:paraId="62631963">
            <w:pPr>
              <w:spacing w:line="240" w:lineRule="auto"/>
              <w:ind w:firstLine="0" w:firstLineChars="0"/>
              <w:rPr>
                <w:sz w:val="21"/>
                <w:szCs w:val="21"/>
              </w:rPr>
            </w:pPr>
            <w:r>
              <w:rPr>
                <w:rFonts w:hint="eastAsia"/>
                <w:sz w:val="21"/>
                <w:szCs w:val="21"/>
              </w:rPr>
              <w:t>3.10</w:t>
            </w:r>
          </w:p>
        </w:tc>
        <w:tc>
          <w:tcPr>
            <w:tcW w:w="1192" w:type="pct"/>
            <w:vAlign w:val="center"/>
          </w:tcPr>
          <w:p w14:paraId="0ED1E759">
            <w:pPr>
              <w:spacing w:line="240" w:lineRule="auto"/>
              <w:ind w:firstLine="0" w:firstLineChars="0"/>
              <w:rPr>
                <w:sz w:val="21"/>
                <w:szCs w:val="21"/>
              </w:rPr>
            </w:pPr>
            <w:r>
              <w:rPr>
                <w:rFonts w:hint="eastAsia"/>
                <w:sz w:val="21"/>
                <w:szCs w:val="21"/>
              </w:rPr>
              <w:t>荒煤气</w:t>
            </w:r>
          </w:p>
        </w:tc>
        <w:tc>
          <w:tcPr>
            <w:tcW w:w="465" w:type="pct"/>
            <w:vAlign w:val="center"/>
          </w:tcPr>
          <w:p w14:paraId="25A508E4">
            <w:pPr>
              <w:spacing w:line="240" w:lineRule="auto"/>
              <w:ind w:firstLine="0" w:firstLineChars="0"/>
              <w:rPr>
                <w:sz w:val="21"/>
                <w:szCs w:val="21"/>
              </w:rPr>
            </w:pPr>
            <w:r>
              <w:rPr>
                <w:rFonts w:hint="eastAsia"/>
                <w:sz w:val="21"/>
                <w:szCs w:val="21"/>
              </w:rPr>
              <w:t>122.76</w:t>
            </w:r>
          </w:p>
        </w:tc>
        <w:tc>
          <w:tcPr>
            <w:tcW w:w="355" w:type="pct"/>
            <w:vAlign w:val="center"/>
          </w:tcPr>
          <w:p w14:paraId="4752D836">
            <w:pPr>
              <w:spacing w:line="240" w:lineRule="auto"/>
              <w:ind w:firstLine="0" w:firstLineChars="0"/>
              <w:rPr>
                <w:sz w:val="21"/>
                <w:szCs w:val="21"/>
              </w:rPr>
            </w:pPr>
            <w:r>
              <w:rPr>
                <w:rFonts w:hint="eastAsia"/>
                <w:sz w:val="21"/>
                <w:szCs w:val="21"/>
              </w:rPr>
              <w:t>20</w:t>
            </w:r>
          </w:p>
        </w:tc>
        <w:tc>
          <w:tcPr>
            <w:tcW w:w="465" w:type="pct"/>
            <w:vAlign w:val="center"/>
          </w:tcPr>
          <w:p w14:paraId="503D7119">
            <w:pPr>
              <w:spacing w:line="240" w:lineRule="auto"/>
              <w:ind w:firstLine="0" w:firstLineChars="0"/>
              <w:rPr>
                <w:sz w:val="21"/>
                <w:szCs w:val="21"/>
              </w:rPr>
            </w:pPr>
            <w:r>
              <w:rPr>
                <w:rFonts w:hint="eastAsia"/>
                <w:color w:val="000000"/>
                <w:sz w:val="22"/>
                <w:szCs w:val="22"/>
              </w:rPr>
              <w:t>24.30</w:t>
            </w:r>
          </w:p>
        </w:tc>
      </w:tr>
      <w:tr w14:paraId="4C267E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1440EB96">
            <w:pPr>
              <w:spacing w:line="240" w:lineRule="auto"/>
              <w:ind w:firstLine="0" w:firstLineChars="0"/>
              <w:rPr>
                <w:sz w:val="21"/>
                <w:szCs w:val="21"/>
              </w:rPr>
            </w:pPr>
          </w:p>
        </w:tc>
        <w:tc>
          <w:tcPr>
            <w:tcW w:w="619" w:type="pct"/>
            <w:vAlign w:val="center"/>
          </w:tcPr>
          <w:p w14:paraId="199AA792">
            <w:pPr>
              <w:spacing w:line="240" w:lineRule="auto"/>
              <w:ind w:firstLine="0" w:firstLineChars="0"/>
              <w:rPr>
                <w:sz w:val="21"/>
                <w:szCs w:val="21"/>
              </w:rPr>
            </w:pPr>
            <w:r>
              <w:rPr>
                <w:rFonts w:hint="eastAsia"/>
                <w:sz w:val="21"/>
                <w:szCs w:val="21"/>
              </w:rPr>
              <w:t>焦油渣</w:t>
            </w:r>
          </w:p>
        </w:tc>
        <w:tc>
          <w:tcPr>
            <w:tcW w:w="465" w:type="pct"/>
            <w:vAlign w:val="center"/>
          </w:tcPr>
          <w:p w14:paraId="5D1B49DA">
            <w:pPr>
              <w:spacing w:line="240" w:lineRule="auto"/>
              <w:ind w:firstLine="0" w:firstLineChars="0"/>
              <w:rPr>
                <w:sz w:val="21"/>
                <w:szCs w:val="21"/>
              </w:rPr>
            </w:pPr>
            <w:r>
              <w:rPr>
                <w:rFonts w:hint="eastAsia"/>
                <w:sz w:val="21"/>
                <w:szCs w:val="21"/>
              </w:rPr>
              <w:t>0.06</w:t>
            </w:r>
          </w:p>
        </w:tc>
        <w:tc>
          <w:tcPr>
            <w:tcW w:w="355" w:type="pct"/>
            <w:vAlign w:val="center"/>
          </w:tcPr>
          <w:p w14:paraId="7AED2AC6">
            <w:pPr>
              <w:spacing w:line="240" w:lineRule="auto"/>
              <w:ind w:firstLine="0" w:firstLineChars="0"/>
              <w:rPr>
                <w:sz w:val="21"/>
                <w:szCs w:val="21"/>
              </w:rPr>
            </w:pPr>
            <w:r>
              <w:rPr>
                <w:rFonts w:hint="eastAsia"/>
                <w:sz w:val="21"/>
                <w:szCs w:val="21"/>
              </w:rPr>
              <w:t>2</w:t>
            </w:r>
          </w:p>
        </w:tc>
        <w:tc>
          <w:tcPr>
            <w:tcW w:w="465" w:type="pct"/>
            <w:vAlign w:val="center"/>
          </w:tcPr>
          <w:p w14:paraId="778EF46C">
            <w:pPr>
              <w:spacing w:line="240" w:lineRule="auto"/>
              <w:ind w:firstLine="0" w:firstLineChars="0"/>
              <w:rPr>
                <w:sz w:val="21"/>
                <w:szCs w:val="21"/>
              </w:rPr>
            </w:pPr>
            <w:r>
              <w:rPr>
                <w:rFonts w:hint="eastAsia"/>
                <w:sz w:val="21"/>
                <w:szCs w:val="21"/>
              </w:rPr>
              <w:t>0.001</w:t>
            </w:r>
          </w:p>
        </w:tc>
        <w:tc>
          <w:tcPr>
            <w:tcW w:w="1192" w:type="pct"/>
            <w:vAlign w:val="center"/>
          </w:tcPr>
          <w:p w14:paraId="4243D53C">
            <w:pPr>
              <w:spacing w:line="240" w:lineRule="auto"/>
              <w:ind w:firstLine="0" w:firstLineChars="0"/>
              <w:rPr>
                <w:sz w:val="21"/>
                <w:szCs w:val="21"/>
              </w:rPr>
            </w:pPr>
            <w:r>
              <w:rPr>
                <w:rFonts w:hint="eastAsia"/>
                <w:sz w:val="21"/>
                <w:szCs w:val="21"/>
              </w:rPr>
              <w:t>熄焦损失水</w:t>
            </w:r>
          </w:p>
        </w:tc>
        <w:tc>
          <w:tcPr>
            <w:tcW w:w="465" w:type="pct"/>
            <w:vAlign w:val="center"/>
          </w:tcPr>
          <w:p w14:paraId="3F583E55">
            <w:pPr>
              <w:spacing w:line="240" w:lineRule="auto"/>
              <w:ind w:firstLine="0" w:firstLineChars="0"/>
              <w:rPr>
                <w:sz w:val="21"/>
                <w:szCs w:val="21"/>
              </w:rPr>
            </w:pPr>
            <w:r>
              <w:rPr>
                <w:rFonts w:hint="eastAsia"/>
                <w:sz w:val="21"/>
                <w:szCs w:val="21"/>
              </w:rPr>
              <w:t>3.17</w:t>
            </w:r>
          </w:p>
        </w:tc>
        <w:tc>
          <w:tcPr>
            <w:tcW w:w="355" w:type="pct"/>
            <w:vAlign w:val="center"/>
          </w:tcPr>
          <w:p w14:paraId="375C0D0F">
            <w:pPr>
              <w:spacing w:line="240" w:lineRule="auto"/>
              <w:ind w:firstLine="0" w:firstLineChars="0"/>
              <w:rPr>
                <w:sz w:val="21"/>
                <w:szCs w:val="21"/>
              </w:rPr>
            </w:pPr>
          </w:p>
        </w:tc>
        <w:tc>
          <w:tcPr>
            <w:tcW w:w="465" w:type="pct"/>
            <w:vAlign w:val="center"/>
          </w:tcPr>
          <w:p w14:paraId="616DCB8B">
            <w:pPr>
              <w:spacing w:line="240" w:lineRule="auto"/>
              <w:ind w:firstLine="0" w:firstLineChars="0"/>
              <w:rPr>
                <w:sz w:val="21"/>
                <w:szCs w:val="21"/>
              </w:rPr>
            </w:pPr>
            <w:r>
              <w:rPr>
                <w:rFonts w:hint="eastAsia"/>
                <w:color w:val="000000"/>
                <w:sz w:val="22"/>
                <w:szCs w:val="22"/>
              </w:rPr>
              <w:t>3.17</w:t>
            </w:r>
          </w:p>
        </w:tc>
      </w:tr>
      <w:tr w14:paraId="082310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7BC410D0">
            <w:pPr>
              <w:spacing w:line="240" w:lineRule="auto"/>
              <w:ind w:firstLine="0" w:firstLineChars="0"/>
              <w:rPr>
                <w:sz w:val="21"/>
                <w:szCs w:val="21"/>
              </w:rPr>
            </w:pPr>
          </w:p>
        </w:tc>
        <w:tc>
          <w:tcPr>
            <w:tcW w:w="619" w:type="pct"/>
            <w:vAlign w:val="center"/>
          </w:tcPr>
          <w:p w14:paraId="2BC5F4CC">
            <w:pPr>
              <w:spacing w:line="240" w:lineRule="auto"/>
              <w:ind w:firstLine="0" w:firstLineChars="0"/>
              <w:rPr>
                <w:sz w:val="21"/>
                <w:szCs w:val="21"/>
              </w:rPr>
            </w:pPr>
            <w:r>
              <w:rPr>
                <w:rFonts w:hint="eastAsia"/>
                <w:sz w:val="21"/>
                <w:szCs w:val="21"/>
              </w:rPr>
              <w:t>熄焦蒸汽耗水</w:t>
            </w:r>
          </w:p>
        </w:tc>
        <w:tc>
          <w:tcPr>
            <w:tcW w:w="465" w:type="pct"/>
            <w:vAlign w:val="center"/>
          </w:tcPr>
          <w:p w14:paraId="644D0C0D">
            <w:pPr>
              <w:spacing w:line="240" w:lineRule="auto"/>
              <w:ind w:firstLine="0" w:firstLineChars="0"/>
              <w:rPr>
                <w:sz w:val="21"/>
                <w:szCs w:val="21"/>
              </w:rPr>
            </w:pPr>
            <w:r>
              <w:rPr>
                <w:rFonts w:hint="eastAsia"/>
                <w:sz w:val="21"/>
                <w:szCs w:val="21"/>
              </w:rPr>
              <w:t>3.17</w:t>
            </w:r>
          </w:p>
        </w:tc>
        <w:tc>
          <w:tcPr>
            <w:tcW w:w="355" w:type="pct"/>
            <w:vAlign w:val="center"/>
          </w:tcPr>
          <w:p w14:paraId="7AD435AC">
            <w:pPr>
              <w:spacing w:line="240" w:lineRule="auto"/>
              <w:ind w:firstLine="0" w:firstLineChars="0"/>
              <w:rPr>
                <w:sz w:val="21"/>
                <w:szCs w:val="21"/>
              </w:rPr>
            </w:pPr>
            <w:r>
              <w:rPr>
                <w:rFonts w:hint="eastAsia"/>
                <w:sz w:val="21"/>
                <w:szCs w:val="21"/>
              </w:rPr>
              <w:t>100</w:t>
            </w:r>
          </w:p>
        </w:tc>
        <w:tc>
          <w:tcPr>
            <w:tcW w:w="465" w:type="pct"/>
            <w:vAlign w:val="center"/>
          </w:tcPr>
          <w:p w14:paraId="3A1BF75A">
            <w:pPr>
              <w:spacing w:line="240" w:lineRule="auto"/>
              <w:ind w:firstLine="0" w:firstLineChars="0"/>
              <w:rPr>
                <w:sz w:val="21"/>
                <w:szCs w:val="21"/>
              </w:rPr>
            </w:pPr>
            <w:r>
              <w:rPr>
                <w:rFonts w:hint="eastAsia"/>
                <w:sz w:val="21"/>
                <w:szCs w:val="21"/>
              </w:rPr>
              <w:t>3.17</w:t>
            </w:r>
          </w:p>
        </w:tc>
        <w:tc>
          <w:tcPr>
            <w:tcW w:w="1192" w:type="pct"/>
            <w:vAlign w:val="center"/>
          </w:tcPr>
          <w:p w14:paraId="5DED18E0">
            <w:pPr>
              <w:spacing w:line="240" w:lineRule="auto"/>
              <w:ind w:firstLine="0" w:firstLineChars="0"/>
              <w:rPr>
                <w:sz w:val="21"/>
                <w:szCs w:val="21"/>
              </w:rPr>
            </w:pPr>
          </w:p>
        </w:tc>
        <w:tc>
          <w:tcPr>
            <w:tcW w:w="465" w:type="pct"/>
            <w:vAlign w:val="center"/>
          </w:tcPr>
          <w:p w14:paraId="6BE039C4">
            <w:pPr>
              <w:spacing w:line="240" w:lineRule="auto"/>
              <w:ind w:firstLine="0" w:firstLineChars="0"/>
              <w:rPr>
                <w:sz w:val="21"/>
                <w:szCs w:val="21"/>
              </w:rPr>
            </w:pPr>
          </w:p>
        </w:tc>
        <w:tc>
          <w:tcPr>
            <w:tcW w:w="355" w:type="pct"/>
            <w:vAlign w:val="center"/>
          </w:tcPr>
          <w:p w14:paraId="1414FFBA">
            <w:pPr>
              <w:spacing w:line="240" w:lineRule="auto"/>
              <w:ind w:firstLine="0" w:firstLineChars="0"/>
              <w:rPr>
                <w:sz w:val="21"/>
                <w:szCs w:val="21"/>
              </w:rPr>
            </w:pPr>
          </w:p>
        </w:tc>
        <w:tc>
          <w:tcPr>
            <w:tcW w:w="465" w:type="pct"/>
            <w:vAlign w:val="center"/>
          </w:tcPr>
          <w:p w14:paraId="04A34F3A">
            <w:pPr>
              <w:spacing w:line="240" w:lineRule="auto"/>
              <w:ind w:firstLine="0" w:firstLineChars="0"/>
              <w:rPr>
                <w:sz w:val="21"/>
                <w:szCs w:val="21"/>
              </w:rPr>
            </w:pPr>
          </w:p>
        </w:tc>
      </w:tr>
      <w:tr w14:paraId="53DA81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443FD38F">
            <w:pPr>
              <w:spacing w:line="240" w:lineRule="auto"/>
              <w:ind w:firstLine="0" w:firstLineChars="0"/>
              <w:rPr>
                <w:sz w:val="21"/>
                <w:szCs w:val="21"/>
              </w:rPr>
            </w:pPr>
          </w:p>
        </w:tc>
        <w:tc>
          <w:tcPr>
            <w:tcW w:w="619" w:type="pct"/>
            <w:vAlign w:val="center"/>
          </w:tcPr>
          <w:p w14:paraId="5FA3EDF6">
            <w:pPr>
              <w:spacing w:line="240" w:lineRule="auto"/>
              <w:ind w:firstLine="0" w:firstLineChars="0"/>
              <w:rPr>
                <w:sz w:val="21"/>
                <w:szCs w:val="21"/>
              </w:rPr>
            </w:pPr>
            <w:r>
              <w:rPr>
                <w:rFonts w:hint="eastAsia"/>
                <w:sz w:val="21"/>
                <w:szCs w:val="21"/>
              </w:rPr>
              <w:t>空气</w:t>
            </w:r>
          </w:p>
        </w:tc>
        <w:tc>
          <w:tcPr>
            <w:tcW w:w="465" w:type="pct"/>
            <w:vAlign w:val="center"/>
          </w:tcPr>
          <w:p w14:paraId="2EECEE7B">
            <w:pPr>
              <w:spacing w:line="240" w:lineRule="auto"/>
              <w:ind w:firstLine="0" w:firstLineChars="0"/>
              <w:rPr>
                <w:sz w:val="21"/>
                <w:szCs w:val="21"/>
              </w:rPr>
            </w:pPr>
            <w:r>
              <w:rPr>
                <w:rFonts w:hint="eastAsia"/>
                <w:sz w:val="21"/>
                <w:szCs w:val="21"/>
              </w:rPr>
              <w:t>20.137</w:t>
            </w:r>
          </w:p>
        </w:tc>
        <w:tc>
          <w:tcPr>
            <w:tcW w:w="355" w:type="pct"/>
            <w:vAlign w:val="center"/>
          </w:tcPr>
          <w:p w14:paraId="52859EAD">
            <w:pPr>
              <w:spacing w:line="240" w:lineRule="auto"/>
              <w:ind w:firstLine="0" w:firstLineChars="0"/>
              <w:rPr>
                <w:sz w:val="21"/>
                <w:szCs w:val="21"/>
              </w:rPr>
            </w:pPr>
            <w:r>
              <w:rPr>
                <w:rFonts w:hint="eastAsia"/>
                <w:sz w:val="21"/>
                <w:szCs w:val="21"/>
              </w:rPr>
              <w:t>1.14</w:t>
            </w:r>
          </w:p>
        </w:tc>
        <w:tc>
          <w:tcPr>
            <w:tcW w:w="465" w:type="pct"/>
            <w:vAlign w:val="center"/>
          </w:tcPr>
          <w:p w14:paraId="6B254350">
            <w:pPr>
              <w:spacing w:line="240" w:lineRule="auto"/>
              <w:ind w:firstLine="0" w:firstLineChars="0"/>
              <w:rPr>
                <w:sz w:val="21"/>
                <w:szCs w:val="21"/>
              </w:rPr>
            </w:pPr>
            <w:r>
              <w:rPr>
                <w:rFonts w:hint="eastAsia"/>
                <w:sz w:val="21"/>
                <w:szCs w:val="21"/>
              </w:rPr>
              <w:t>0.23</w:t>
            </w:r>
          </w:p>
        </w:tc>
        <w:tc>
          <w:tcPr>
            <w:tcW w:w="1192" w:type="pct"/>
            <w:vAlign w:val="center"/>
          </w:tcPr>
          <w:p w14:paraId="0F94468E">
            <w:pPr>
              <w:spacing w:line="240" w:lineRule="auto"/>
              <w:ind w:firstLine="0" w:firstLineChars="0"/>
              <w:rPr>
                <w:sz w:val="21"/>
                <w:szCs w:val="21"/>
              </w:rPr>
            </w:pPr>
          </w:p>
        </w:tc>
        <w:tc>
          <w:tcPr>
            <w:tcW w:w="465" w:type="pct"/>
            <w:vAlign w:val="center"/>
          </w:tcPr>
          <w:p w14:paraId="46637E0B">
            <w:pPr>
              <w:spacing w:line="240" w:lineRule="auto"/>
              <w:ind w:firstLine="0" w:firstLineChars="0"/>
              <w:rPr>
                <w:sz w:val="21"/>
                <w:szCs w:val="21"/>
              </w:rPr>
            </w:pPr>
          </w:p>
        </w:tc>
        <w:tc>
          <w:tcPr>
            <w:tcW w:w="355" w:type="pct"/>
            <w:vAlign w:val="center"/>
          </w:tcPr>
          <w:p w14:paraId="71E73845">
            <w:pPr>
              <w:spacing w:line="240" w:lineRule="auto"/>
              <w:ind w:firstLine="0" w:firstLineChars="0"/>
              <w:rPr>
                <w:sz w:val="21"/>
                <w:szCs w:val="21"/>
              </w:rPr>
            </w:pPr>
          </w:p>
        </w:tc>
        <w:tc>
          <w:tcPr>
            <w:tcW w:w="465" w:type="pct"/>
            <w:vAlign w:val="center"/>
          </w:tcPr>
          <w:p w14:paraId="4E66ABD2">
            <w:pPr>
              <w:spacing w:line="240" w:lineRule="auto"/>
              <w:ind w:firstLine="0" w:firstLineChars="0"/>
              <w:rPr>
                <w:sz w:val="21"/>
                <w:szCs w:val="21"/>
              </w:rPr>
            </w:pPr>
          </w:p>
        </w:tc>
      </w:tr>
      <w:tr w14:paraId="502DDD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00B0F3F4">
            <w:pPr>
              <w:spacing w:line="240" w:lineRule="auto"/>
              <w:ind w:firstLine="0" w:firstLineChars="0"/>
              <w:rPr>
                <w:sz w:val="21"/>
                <w:szCs w:val="21"/>
              </w:rPr>
            </w:pPr>
          </w:p>
        </w:tc>
        <w:tc>
          <w:tcPr>
            <w:tcW w:w="619" w:type="pct"/>
            <w:vAlign w:val="center"/>
          </w:tcPr>
          <w:p w14:paraId="1F8B9083">
            <w:pPr>
              <w:spacing w:line="240" w:lineRule="auto"/>
              <w:ind w:firstLine="0" w:firstLineChars="0"/>
              <w:rPr>
                <w:sz w:val="21"/>
                <w:szCs w:val="21"/>
              </w:rPr>
            </w:pPr>
            <w:r>
              <w:rPr>
                <w:rFonts w:hint="eastAsia"/>
                <w:sz w:val="21"/>
                <w:szCs w:val="21"/>
              </w:rPr>
              <w:t>小计</w:t>
            </w:r>
          </w:p>
        </w:tc>
        <w:tc>
          <w:tcPr>
            <w:tcW w:w="465" w:type="pct"/>
            <w:vAlign w:val="center"/>
          </w:tcPr>
          <w:p w14:paraId="4833C643">
            <w:pPr>
              <w:spacing w:line="240" w:lineRule="auto"/>
              <w:ind w:firstLine="0" w:firstLineChars="0"/>
              <w:rPr>
                <w:sz w:val="21"/>
                <w:szCs w:val="21"/>
              </w:rPr>
            </w:pPr>
          </w:p>
        </w:tc>
        <w:tc>
          <w:tcPr>
            <w:tcW w:w="355" w:type="pct"/>
            <w:vAlign w:val="center"/>
          </w:tcPr>
          <w:p w14:paraId="0549C110">
            <w:pPr>
              <w:spacing w:line="240" w:lineRule="auto"/>
              <w:ind w:firstLine="0" w:firstLineChars="0"/>
              <w:rPr>
                <w:sz w:val="21"/>
                <w:szCs w:val="21"/>
              </w:rPr>
            </w:pPr>
          </w:p>
        </w:tc>
        <w:tc>
          <w:tcPr>
            <w:tcW w:w="465" w:type="pct"/>
            <w:vAlign w:val="center"/>
          </w:tcPr>
          <w:p w14:paraId="79802DF8">
            <w:pPr>
              <w:spacing w:line="240" w:lineRule="auto"/>
              <w:ind w:firstLine="0" w:firstLineChars="0"/>
              <w:rPr>
                <w:sz w:val="21"/>
                <w:szCs w:val="21"/>
              </w:rPr>
            </w:pPr>
            <w:r>
              <w:rPr>
                <w:rFonts w:hint="eastAsia"/>
                <w:sz w:val="21"/>
                <w:szCs w:val="21"/>
              </w:rPr>
              <w:t>32.27</w:t>
            </w:r>
          </w:p>
        </w:tc>
        <w:tc>
          <w:tcPr>
            <w:tcW w:w="1192" w:type="pct"/>
            <w:vAlign w:val="center"/>
          </w:tcPr>
          <w:p w14:paraId="457074E9">
            <w:pPr>
              <w:spacing w:line="240" w:lineRule="auto"/>
              <w:ind w:firstLine="0" w:firstLineChars="0"/>
              <w:rPr>
                <w:sz w:val="21"/>
                <w:szCs w:val="21"/>
              </w:rPr>
            </w:pPr>
          </w:p>
        </w:tc>
        <w:tc>
          <w:tcPr>
            <w:tcW w:w="465" w:type="pct"/>
            <w:vAlign w:val="center"/>
          </w:tcPr>
          <w:p w14:paraId="0641E531">
            <w:pPr>
              <w:spacing w:line="240" w:lineRule="auto"/>
              <w:ind w:firstLine="0" w:firstLineChars="0"/>
              <w:rPr>
                <w:sz w:val="21"/>
                <w:szCs w:val="21"/>
              </w:rPr>
            </w:pPr>
          </w:p>
        </w:tc>
        <w:tc>
          <w:tcPr>
            <w:tcW w:w="355" w:type="pct"/>
            <w:vAlign w:val="center"/>
          </w:tcPr>
          <w:p w14:paraId="29023469">
            <w:pPr>
              <w:spacing w:line="240" w:lineRule="auto"/>
              <w:ind w:firstLine="0" w:firstLineChars="0"/>
              <w:rPr>
                <w:sz w:val="21"/>
                <w:szCs w:val="21"/>
              </w:rPr>
            </w:pPr>
          </w:p>
        </w:tc>
        <w:tc>
          <w:tcPr>
            <w:tcW w:w="465" w:type="pct"/>
            <w:vAlign w:val="center"/>
          </w:tcPr>
          <w:p w14:paraId="54A16F0B">
            <w:pPr>
              <w:spacing w:line="240" w:lineRule="auto"/>
              <w:ind w:firstLine="0" w:firstLineChars="0"/>
              <w:rPr>
                <w:sz w:val="21"/>
                <w:szCs w:val="21"/>
              </w:rPr>
            </w:pPr>
            <w:r>
              <w:rPr>
                <w:rFonts w:hint="eastAsia"/>
                <w:sz w:val="21"/>
                <w:szCs w:val="21"/>
              </w:rPr>
              <w:t>32.27</w:t>
            </w:r>
          </w:p>
        </w:tc>
      </w:tr>
      <w:tr w14:paraId="621A8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restart"/>
            <w:vAlign w:val="center"/>
          </w:tcPr>
          <w:p w14:paraId="0A87FBB3">
            <w:pPr>
              <w:spacing w:line="240" w:lineRule="auto"/>
              <w:ind w:firstLine="0" w:firstLineChars="0"/>
              <w:rPr>
                <w:sz w:val="21"/>
                <w:szCs w:val="21"/>
              </w:rPr>
            </w:pPr>
            <w:r>
              <w:rPr>
                <w:rFonts w:hint="eastAsia"/>
                <w:sz w:val="21"/>
                <w:szCs w:val="21"/>
              </w:rPr>
              <w:t>煤气净化工段</w:t>
            </w:r>
          </w:p>
        </w:tc>
        <w:tc>
          <w:tcPr>
            <w:tcW w:w="619" w:type="pct"/>
            <w:vAlign w:val="center"/>
          </w:tcPr>
          <w:p w14:paraId="1DCFBFEC">
            <w:pPr>
              <w:spacing w:line="240" w:lineRule="auto"/>
              <w:ind w:firstLine="0" w:firstLineChars="0"/>
              <w:rPr>
                <w:sz w:val="21"/>
                <w:szCs w:val="21"/>
              </w:rPr>
            </w:pPr>
            <w:r>
              <w:rPr>
                <w:rFonts w:hint="eastAsia"/>
                <w:sz w:val="21"/>
                <w:szCs w:val="21"/>
              </w:rPr>
              <w:t>荒煤气</w:t>
            </w:r>
          </w:p>
        </w:tc>
        <w:tc>
          <w:tcPr>
            <w:tcW w:w="465" w:type="pct"/>
            <w:vAlign w:val="center"/>
          </w:tcPr>
          <w:p w14:paraId="4602758F">
            <w:pPr>
              <w:spacing w:line="240" w:lineRule="auto"/>
              <w:ind w:firstLine="0" w:firstLineChars="0"/>
              <w:rPr>
                <w:sz w:val="21"/>
                <w:szCs w:val="21"/>
              </w:rPr>
            </w:pPr>
            <w:r>
              <w:rPr>
                <w:rFonts w:hint="eastAsia"/>
                <w:sz w:val="21"/>
                <w:szCs w:val="21"/>
              </w:rPr>
              <w:t>122.76</w:t>
            </w:r>
          </w:p>
        </w:tc>
        <w:tc>
          <w:tcPr>
            <w:tcW w:w="355" w:type="pct"/>
            <w:vAlign w:val="center"/>
          </w:tcPr>
          <w:p w14:paraId="6764CAF6">
            <w:pPr>
              <w:spacing w:line="240" w:lineRule="auto"/>
              <w:ind w:firstLine="0" w:firstLineChars="0"/>
              <w:rPr>
                <w:sz w:val="21"/>
                <w:szCs w:val="21"/>
              </w:rPr>
            </w:pPr>
            <w:r>
              <w:rPr>
                <w:rFonts w:hint="eastAsia"/>
                <w:sz w:val="21"/>
                <w:szCs w:val="21"/>
              </w:rPr>
              <w:t>20</w:t>
            </w:r>
          </w:p>
        </w:tc>
        <w:tc>
          <w:tcPr>
            <w:tcW w:w="465" w:type="pct"/>
            <w:vAlign w:val="center"/>
          </w:tcPr>
          <w:p w14:paraId="20CB1B4E">
            <w:pPr>
              <w:spacing w:line="240" w:lineRule="auto"/>
              <w:ind w:firstLine="0" w:firstLineChars="0"/>
              <w:rPr>
                <w:sz w:val="21"/>
                <w:szCs w:val="21"/>
              </w:rPr>
            </w:pPr>
            <w:r>
              <w:rPr>
                <w:rFonts w:hint="eastAsia"/>
                <w:sz w:val="21"/>
                <w:szCs w:val="21"/>
              </w:rPr>
              <w:t>24.30</w:t>
            </w:r>
          </w:p>
        </w:tc>
        <w:tc>
          <w:tcPr>
            <w:tcW w:w="1192" w:type="pct"/>
            <w:vAlign w:val="center"/>
          </w:tcPr>
          <w:p w14:paraId="2AE3544E">
            <w:pPr>
              <w:spacing w:line="240" w:lineRule="auto"/>
              <w:ind w:firstLine="0" w:firstLineChars="0"/>
              <w:rPr>
                <w:sz w:val="21"/>
                <w:szCs w:val="21"/>
              </w:rPr>
            </w:pPr>
            <w:r>
              <w:rPr>
                <w:rFonts w:hint="eastAsia"/>
                <w:sz w:val="21"/>
                <w:szCs w:val="21"/>
              </w:rPr>
              <w:t>供应镁基新材料煤气</w:t>
            </w:r>
          </w:p>
        </w:tc>
        <w:tc>
          <w:tcPr>
            <w:tcW w:w="465" w:type="pct"/>
            <w:vAlign w:val="center"/>
          </w:tcPr>
          <w:p w14:paraId="6E260D6C">
            <w:pPr>
              <w:spacing w:line="240" w:lineRule="auto"/>
              <w:ind w:firstLine="0" w:firstLineChars="0"/>
              <w:rPr>
                <w:sz w:val="21"/>
                <w:szCs w:val="21"/>
              </w:rPr>
            </w:pPr>
            <w:r>
              <w:rPr>
                <w:rFonts w:hint="eastAsia"/>
                <w:color w:val="000000"/>
                <w:sz w:val="22"/>
                <w:szCs w:val="22"/>
              </w:rPr>
              <w:t>46.50</w:t>
            </w:r>
          </w:p>
        </w:tc>
        <w:tc>
          <w:tcPr>
            <w:tcW w:w="355" w:type="pct"/>
            <w:vAlign w:val="center"/>
          </w:tcPr>
          <w:p w14:paraId="44DDE750">
            <w:pPr>
              <w:spacing w:line="240" w:lineRule="auto"/>
              <w:ind w:firstLine="0" w:firstLineChars="0"/>
              <w:rPr>
                <w:color w:val="000000"/>
                <w:sz w:val="22"/>
                <w:szCs w:val="22"/>
              </w:rPr>
            </w:pPr>
            <w:r>
              <w:rPr>
                <w:rFonts w:hint="eastAsia"/>
                <w:color w:val="000000"/>
                <w:sz w:val="22"/>
                <w:szCs w:val="22"/>
              </w:rPr>
              <w:t>8.2</w:t>
            </w:r>
          </w:p>
        </w:tc>
        <w:tc>
          <w:tcPr>
            <w:tcW w:w="465" w:type="pct"/>
            <w:vAlign w:val="center"/>
          </w:tcPr>
          <w:p w14:paraId="0FFFC44D">
            <w:pPr>
              <w:spacing w:line="240" w:lineRule="auto"/>
              <w:ind w:firstLine="0" w:firstLineChars="0"/>
              <w:rPr>
                <w:color w:val="000000"/>
                <w:sz w:val="22"/>
                <w:szCs w:val="22"/>
              </w:rPr>
            </w:pPr>
            <w:r>
              <w:rPr>
                <w:rFonts w:hint="eastAsia"/>
                <w:color w:val="000000"/>
                <w:sz w:val="22"/>
                <w:szCs w:val="22"/>
              </w:rPr>
              <w:t>3.81</w:t>
            </w:r>
          </w:p>
        </w:tc>
      </w:tr>
      <w:tr w14:paraId="4DA890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2EF192BF">
            <w:pPr>
              <w:spacing w:line="240" w:lineRule="auto"/>
              <w:ind w:firstLine="0" w:firstLineChars="0"/>
              <w:rPr>
                <w:sz w:val="21"/>
                <w:szCs w:val="21"/>
              </w:rPr>
            </w:pPr>
          </w:p>
        </w:tc>
        <w:tc>
          <w:tcPr>
            <w:tcW w:w="619" w:type="pct"/>
            <w:vAlign w:val="center"/>
          </w:tcPr>
          <w:p w14:paraId="0497839B">
            <w:pPr>
              <w:spacing w:line="240" w:lineRule="auto"/>
              <w:ind w:firstLine="0" w:firstLineChars="0"/>
              <w:rPr>
                <w:sz w:val="21"/>
                <w:szCs w:val="21"/>
              </w:rPr>
            </w:pPr>
          </w:p>
        </w:tc>
        <w:tc>
          <w:tcPr>
            <w:tcW w:w="465" w:type="pct"/>
            <w:vAlign w:val="center"/>
          </w:tcPr>
          <w:p w14:paraId="43A07918">
            <w:pPr>
              <w:spacing w:line="240" w:lineRule="auto"/>
              <w:ind w:firstLine="0" w:firstLineChars="0"/>
              <w:rPr>
                <w:sz w:val="21"/>
                <w:szCs w:val="21"/>
              </w:rPr>
            </w:pPr>
          </w:p>
        </w:tc>
        <w:tc>
          <w:tcPr>
            <w:tcW w:w="355" w:type="pct"/>
            <w:vAlign w:val="center"/>
          </w:tcPr>
          <w:p w14:paraId="7E5278DD">
            <w:pPr>
              <w:spacing w:line="240" w:lineRule="auto"/>
              <w:ind w:firstLine="0" w:firstLineChars="0"/>
              <w:rPr>
                <w:sz w:val="21"/>
                <w:szCs w:val="21"/>
              </w:rPr>
            </w:pPr>
          </w:p>
        </w:tc>
        <w:tc>
          <w:tcPr>
            <w:tcW w:w="465" w:type="pct"/>
            <w:vAlign w:val="center"/>
          </w:tcPr>
          <w:p w14:paraId="3CF3ACBF">
            <w:pPr>
              <w:spacing w:line="240" w:lineRule="auto"/>
              <w:ind w:firstLine="0" w:firstLineChars="0"/>
              <w:rPr>
                <w:sz w:val="21"/>
                <w:szCs w:val="21"/>
              </w:rPr>
            </w:pPr>
          </w:p>
        </w:tc>
        <w:tc>
          <w:tcPr>
            <w:tcW w:w="1192" w:type="pct"/>
            <w:vAlign w:val="center"/>
          </w:tcPr>
          <w:p w14:paraId="6B36FBF8">
            <w:pPr>
              <w:spacing w:line="240" w:lineRule="auto"/>
              <w:ind w:firstLine="0" w:firstLineChars="0"/>
              <w:rPr>
                <w:sz w:val="21"/>
                <w:szCs w:val="21"/>
              </w:rPr>
            </w:pPr>
            <w:r>
              <w:rPr>
                <w:rFonts w:hint="eastAsia"/>
                <w:sz w:val="21"/>
                <w:szCs w:val="21"/>
              </w:rPr>
              <w:t>供应现有兰炭烘干煤气</w:t>
            </w:r>
          </w:p>
        </w:tc>
        <w:tc>
          <w:tcPr>
            <w:tcW w:w="465" w:type="pct"/>
            <w:vAlign w:val="center"/>
          </w:tcPr>
          <w:p w14:paraId="376D381B">
            <w:pPr>
              <w:spacing w:line="240" w:lineRule="auto"/>
              <w:ind w:firstLine="0" w:firstLineChars="0"/>
              <w:rPr>
                <w:sz w:val="21"/>
                <w:szCs w:val="21"/>
              </w:rPr>
            </w:pPr>
            <w:r>
              <w:rPr>
                <w:rFonts w:hint="eastAsia"/>
                <w:color w:val="000000"/>
                <w:sz w:val="22"/>
                <w:szCs w:val="22"/>
              </w:rPr>
              <w:t>0.93</w:t>
            </w:r>
          </w:p>
        </w:tc>
        <w:tc>
          <w:tcPr>
            <w:tcW w:w="355" w:type="pct"/>
            <w:vAlign w:val="center"/>
          </w:tcPr>
          <w:p w14:paraId="740E2392">
            <w:pPr>
              <w:spacing w:line="240" w:lineRule="auto"/>
              <w:ind w:firstLine="0" w:firstLineChars="0"/>
              <w:rPr>
                <w:color w:val="000000"/>
                <w:sz w:val="22"/>
                <w:szCs w:val="22"/>
              </w:rPr>
            </w:pPr>
            <w:r>
              <w:rPr>
                <w:rFonts w:hint="eastAsia"/>
                <w:color w:val="000000"/>
                <w:sz w:val="22"/>
                <w:szCs w:val="22"/>
              </w:rPr>
              <w:t>8.2</w:t>
            </w:r>
          </w:p>
        </w:tc>
        <w:tc>
          <w:tcPr>
            <w:tcW w:w="465" w:type="pct"/>
            <w:vAlign w:val="center"/>
          </w:tcPr>
          <w:p w14:paraId="5D7787FB">
            <w:pPr>
              <w:spacing w:line="240" w:lineRule="auto"/>
              <w:ind w:firstLine="0" w:firstLineChars="0"/>
              <w:rPr>
                <w:color w:val="000000"/>
                <w:sz w:val="22"/>
                <w:szCs w:val="22"/>
              </w:rPr>
            </w:pPr>
            <w:r>
              <w:rPr>
                <w:rFonts w:hint="eastAsia"/>
                <w:color w:val="000000"/>
                <w:sz w:val="22"/>
                <w:szCs w:val="22"/>
              </w:rPr>
              <w:t>0.08</w:t>
            </w:r>
          </w:p>
        </w:tc>
      </w:tr>
      <w:tr w14:paraId="56A55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56B8D905">
            <w:pPr>
              <w:spacing w:line="240" w:lineRule="auto"/>
              <w:ind w:firstLine="0" w:firstLineChars="0"/>
              <w:rPr>
                <w:sz w:val="21"/>
                <w:szCs w:val="21"/>
              </w:rPr>
            </w:pPr>
          </w:p>
        </w:tc>
        <w:tc>
          <w:tcPr>
            <w:tcW w:w="619" w:type="pct"/>
            <w:vAlign w:val="center"/>
          </w:tcPr>
          <w:p w14:paraId="0C6A7C98">
            <w:pPr>
              <w:spacing w:line="240" w:lineRule="auto"/>
              <w:ind w:firstLine="0" w:firstLineChars="0"/>
              <w:rPr>
                <w:sz w:val="21"/>
                <w:szCs w:val="21"/>
              </w:rPr>
            </w:pPr>
          </w:p>
        </w:tc>
        <w:tc>
          <w:tcPr>
            <w:tcW w:w="465" w:type="pct"/>
            <w:vAlign w:val="center"/>
          </w:tcPr>
          <w:p w14:paraId="6C3A9CA5">
            <w:pPr>
              <w:spacing w:line="240" w:lineRule="auto"/>
              <w:ind w:firstLine="0" w:firstLineChars="0"/>
              <w:rPr>
                <w:sz w:val="21"/>
                <w:szCs w:val="21"/>
              </w:rPr>
            </w:pPr>
          </w:p>
        </w:tc>
        <w:tc>
          <w:tcPr>
            <w:tcW w:w="355" w:type="pct"/>
            <w:vAlign w:val="center"/>
          </w:tcPr>
          <w:p w14:paraId="1F986672">
            <w:pPr>
              <w:spacing w:line="240" w:lineRule="auto"/>
              <w:ind w:firstLine="0" w:firstLineChars="0"/>
              <w:rPr>
                <w:sz w:val="21"/>
                <w:szCs w:val="21"/>
              </w:rPr>
            </w:pPr>
          </w:p>
        </w:tc>
        <w:tc>
          <w:tcPr>
            <w:tcW w:w="465" w:type="pct"/>
            <w:vAlign w:val="center"/>
          </w:tcPr>
          <w:p w14:paraId="349EEAAC">
            <w:pPr>
              <w:spacing w:line="240" w:lineRule="auto"/>
              <w:ind w:firstLine="0" w:firstLineChars="0"/>
              <w:rPr>
                <w:sz w:val="21"/>
                <w:szCs w:val="21"/>
              </w:rPr>
            </w:pPr>
          </w:p>
        </w:tc>
        <w:tc>
          <w:tcPr>
            <w:tcW w:w="1192" w:type="pct"/>
            <w:vAlign w:val="center"/>
          </w:tcPr>
          <w:p w14:paraId="4F9D985B">
            <w:pPr>
              <w:spacing w:line="240" w:lineRule="auto"/>
              <w:ind w:firstLine="0" w:firstLineChars="0"/>
              <w:rPr>
                <w:sz w:val="21"/>
                <w:szCs w:val="21"/>
              </w:rPr>
            </w:pPr>
            <w:r>
              <w:rPr>
                <w:rFonts w:hint="eastAsia"/>
                <w:sz w:val="21"/>
                <w:szCs w:val="21"/>
              </w:rPr>
              <w:t>回炉煤气</w:t>
            </w:r>
          </w:p>
        </w:tc>
        <w:tc>
          <w:tcPr>
            <w:tcW w:w="465" w:type="pct"/>
            <w:vAlign w:val="center"/>
          </w:tcPr>
          <w:p w14:paraId="6BEACD06">
            <w:pPr>
              <w:spacing w:line="240" w:lineRule="auto"/>
              <w:ind w:firstLine="0" w:firstLineChars="0"/>
              <w:rPr>
                <w:sz w:val="21"/>
                <w:szCs w:val="21"/>
              </w:rPr>
            </w:pPr>
            <w:r>
              <w:rPr>
                <w:rFonts w:hint="eastAsia"/>
                <w:color w:val="000000"/>
                <w:sz w:val="22"/>
                <w:szCs w:val="22"/>
              </w:rPr>
              <w:t>37.77</w:t>
            </w:r>
          </w:p>
        </w:tc>
        <w:tc>
          <w:tcPr>
            <w:tcW w:w="355" w:type="pct"/>
            <w:vAlign w:val="center"/>
          </w:tcPr>
          <w:p w14:paraId="29C84396">
            <w:pPr>
              <w:spacing w:line="240" w:lineRule="auto"/>
              <w:ind w:firstLine="0" w:firstLineChars="0"/>
              <w:rPr>
                <w:color w:val="000000"/>
                <w:sz w:val="22"/>
                <w:szCs w:val="22"/>
              </w:rPr>
            </w:pPr>
            <w:r>
              <w:rPr>
                <w:rFonts w:hint="eastAsia"/>
                <w:color w:val="000000"/>
                <w:sz w:val="22"/>
                <w:szCs w:val="22"/>
              </w:rPr>
              <w:t>8.2</w:t>
            </w:r>
          </w:p>
        </w:tc>
        <w:tc>
          <w:tcPr>
            <w:tcW w:w="465" w:type="pct"/>
            <w:vAlign w:val="center"/>
          </w:tcPr>
          <w:p w14:paraId="02D59442">
            <w:pPr>
              <w:spacing w:line="240" w:lineRule="auto"/>
              <w:ind w:firstLine="0" w:firstLineChars="0"/>
              <w:rPr>
                <w:color w:val="000000"/>
                <w:sz w:val="22"/>
                <w:szCs w:val="22"/>
              </w:rPr>
            </w:pPr>
            <w:r>
              <w:rPr>
                <w:rFonts w:hint="eastAsia"/>
                <w:color w:val="000000"/>
                <w:sz w:val="22"/>
                <w:szCs w:val="22"/>
              </w:rPr>
              <w:t>3.10</w:t>
            </w:r>
          </w:p>
        </w:tc>
      </w:tr>
      <w:tr w14:paraId="1BFA0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1FC96D4B">
            <w:pPr>
              <w:spacing w:line="240" w:lineRule="auto"/>
              <w:ind w:firstLine="0" w:firstLineChars="0"/>
              <w:rPr>
                <w:sz w:val="21"/>
                <w:szCs w:val="21"/>
              </w:rPr>
            </w:pPr>
          </w:p>
        </w:tc>
        <w:tc>
          <w:tcPr>
            <w:tcW w:w="619" w:type="pct"/>
            <w:vAlign w:val="center"/>
          </w:tcPr>
          <w:p w14:paraId="0D7294D1">
            <w:pPr>
              <w:spacing w:line="240" w:lineRule="auto"/>
              <w:ind w:firstLine="0" w:firstLineChars="0"/>
              <w:rPr>
                <w:sz w:val="21"/>
                <w:szCs w:val="21"/>
              </w:rPr>
            </w:pPr>
          </w:p>
        </w:tc>
        <w:tc>
          <w:tcPr>
            <w:tcW w:w="465" w:type="pct"/>
            <w:vAlign w:val="center"/>
          </w:tcPr>
          <w:p w14:paraId="7FC3BCBC">
            <w:pPr>
              <w:spacing w:line="240" w:lineRule="auto"/>
              <w:ind w:firstLine="0" w:firstLineChars="0"/>
              <w:rPr>
                <w:sz w:val="21"/>
                <w:szCs w:val="21"/>
              </w:rPr>
            </w:pPr>
          </w:p>
        </w:tc>
        <w:tc>
          <w:tcPr>
            <w:tcW w:w="355" w:type="pct"/>
            <w:vAlign w:val="center"/>
          </w:tcPr>
          <w:p w14:paraId="132C7BF3">
            <w:pPr>
              <w:spacing w:line="240" w:lineRule="auto"/>
              <w:ind w:firstLine="0" w:firstLineChars="0"/>
              <w:rPr>
                <w:sz w:val="21"/>
                <w:szCs w:val="21"/>
              </w:rPr>
            </w:pPr>
          </w:p>
        </w:tc>
        <w:tc>
          <w:tcPr>
            <w:tcW w:w="465" w:type="pct"/>
            <w:vAlign w:val="center"/>
          </w:tcPr>
          <w:p w14:paraId="2C9BD24D">
            <w:pPr>
              <w:spacing w:line="240" w:lineRule="auto"/>
              <w:ind w:firstLine="0" w:firstLineChars="0"/>
              <w:rPr>
                <w:sz w:val="21"/>
                <w:szCs w:val="21"/>
              </w:rPr>
            </w:pPr>
          </w:p>
        </w:tc>
        <w:tc>
          <w:tcPr>
            <w:tcW w:w="1192" w:type="pct"/>
            <w:vAlign w:val="center"/>
          </w:tcPr>
          <w:p w14:paraId="70DF9036">
            <w:pPr>
              <w:spacing w:line="240" w:lineRule="auto"/>
              <w:ind w:firstLine="0" w:firstLineChars="0"/>
              <w:rPr>
                <w:sz w:val="21"/>
                <w:szCs w:val="21"/>
              </w:rPr>
            </w:pPr>
            <w:r>
              <w:rPr>
                <w:rFonts w:hint="eastAsia"/>
                <w:sz w:val="21"/>
                <w:szCs w:val="21"/>
              </w:rPr>
              <w:t>供应在建及新建焚烧炉煤气</w:t>
            </w:r>
          </w:p>
        </w:tc>
        <w:tc>
          <w:tcPr>
            <w:tcW w:w="465" w:type="pct"/>
            <w:vAlign w:val="center"/>
          </w:tcPr>
          <w:p w14:paraId="4BAC6951">
            <w:pPr>
              <w:spacing w:line="240" w:lineRule="auto"/>
              <w:ind w:firstLine="0" w:firstLineChars="0"/>
              <w:rPr>
                <w:sz w:val="21"/>
                <w:szCs w:val="21"/>
              </w:rPr>
            </w:pPr>
            <w:r>
              <w:rPr>
                <w:rFonts w:hint="eastAsia"/>
                <w:color w:val="000000"/>
                <w:sz w:val="22"/>
                <w:szCs w:val="22"/>
              </w:rPr>
              <w:t>8.45</w:t>
            </w:r>
          </w:p>
        </w:tc>
        <w:tc>
          <w:tcPr>
            <w:tcW w:w="355" w:type="pct"/>
            <w:vAlign w:val="center"/>
          </w:tcPr>
          <w:p w14:paraId="30513273">
            <w:pPr>
              <w:spacing w:line="240" w:lineRule="auto"/>
              <w:ind w:firstLine="0" w:firstLineChars="0"/>
              <w:rPr>
                <w:color w:val="000000"/>
                <w:sz w:val="22"/>
                <w:szCs w:val="22"/>
              </w:rPr>
            </w:pPr>
            <w:r>
              <w:rPr>
                <w:rFonts w:hint="eastAsia"/>
                <w:color w:val="000000"/>
                <w:sz w:val="22"/>
                <w:szCs w:val="22"/>
              </w:rPr>
              <w:t>8.2</w:t>
            </w:r>
          </w:p>
        </w:tc>
        <w:tc>
          <w:tcPr>
            <w:tcW w:w="465" w:type="pct"/>
            <w:vAlign w:val="center"/>
          </w:tcPr>
          <w:p w14:paraId="36094071">
            <w:pPr>
              <w:spacing w:line="240" w:lineRule="auto"/>
              <w:ind w:firstLine="0" w:firstLineChars="0"/>
              <w:rPr>
                <w:color w:val="000000"/>
                <w:sz w:val="22"/>
                <w:szCs w:val="22"/>
              </w:rPr>
            </w:pPr>
            <w:r>
              <w:rPr>
                <w:rFonts w:hint="eastAsia"/>
                <w:color w:val="000000"/>
                <w:sz w:val="22"/>
                <w:szCs w:val="22"/>
              </w:rPr>
              <w:t>0.69</w:t>
            </w:r>
          </w:p>
        </w:tc>
      </w:tr>
      <w:tr w14:paraId="747DF1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60F7B2B9">
            <w:pPr>
              <w:spacing w:line="240" w:lineRule="auto"/>
              <w:ind w:firstLine="0" w:firstLineChars="0"/>
              <w:rPr>
                <w:sz w:val="21"/>
                <w:szCs w:val="21"/>
              </w:rPr>
            </w:pPr>
          </w:p>
        </w:tc>
        <w:tc>
          <w:tcPr>
            <w:tcW w:w="619" w:type="pct"/>
            <w:vAlign w:val="center"/>
          </w:tcPr>
          <w:p w14:paraId="19905BEB">
            <w:pPr>
              <w:spacing w:line="240" w:lineRule="auto"/>
              <w:ind w:firstLine="0" w:firstLineChars="0"/>
              <w:rPr>
                <w:sz w:val="21"/>
                <w:szCs w:val="21"/>
              </w:rPr>
            </w:pPr>
          </w:p>
        </w:tc>
        <w:tc>
          <w:tcPr>
            <w:tcW w:w="465" w:type="pct"/>
            <w:vAlign w:val="center"/>
          </w:tcPr>
          <w:p w14:paraId="522311C0">
            <w:pPr>
              <w:spacing w:line="240" w:lineRule="auto"/>
              <w:ind w:firstLine="0" w:firstLineChars="0"/>
              <w:rPr>
                <w:sz w:val="21"/>
                <w:szCs w:val="21"/>
              </w:rPr>
            </w:pPr>
          </w:p>
        </w:tc>
        <w:tc>
          <w:tcPr>
            <w:tcW w:w="355" w:type="pct"/>
            <w:vAlign w:val="center"/>
          </w:tcPr>
          <w:p w14:paraId="266CC240">
            <w:pPr>
              <w:spacing w:line="240" w:lineRule="auto"/>
              <w:ind w:firstLine="0" w:firstLineChars="0"/>
              <w:rPr>
                <w:sz w:val="21"/>
                <w:szCs w:val="21"/>
              </w:rPr>
            </w:pPr>
          </w:p>
        </w:tc>
        <w:tc>
          <w:tcPr>
            <w:tcW w:w="465" w:type="pct"/>
            <w:vAlign w:val="center"/>
          </w:tcPr>
          <w:p w14:paraId="3564E060">
            <w:pPr>
              <w:spacing w:line="240" w:lineRule="auto"/>
              <w:ind w:firstLine="0" w:firstLineChars="0"/>
              <w:rPr>
                <w:sz w:val="21"/>
                <w:szCs w:val="21"/>
              </w:rPr>
            </w:pPr>
          </w:p>
        </w:tc>
        <w:tc>
          <w:tcPr>
            <w:tcW w:w="1192" w:type="pct"/>
            <w:vAlign w:val="center"/>
          </w:tcPr>
          <w:p w14:paraId="7A009585">
            <w:pPr>
              <w:spacing w:line="240" w:lineRule="auto"/>
              <w:ind w:firstLine="0" w:firstLineChars="0"/>
              <w:rPr>
                <w:sz w:val="21"/>
                <w:szCs w:val="21"/>
              </w:rPr>
            </w:pPr>
            <w:r>
              <w:rPr>
                <w:rFonts w:hint="eastAsia"/>
                <w:sz w:val="21"/>
                <w:szCs w:val="21"/>
              </w:rPr>
              <w:t>供应现有20吨燃气锅炉煤气</w:t>
            </w:r>
          </w:p>
        </w:tc>
        <w:tc>
          <w:tcPr>
            <w:tcW w:w="465" w:type="pct"/>
            <w:vAlign w:val="center"/>
          </w:tcPr>
          <w:p w14:paraId="0374F692">
            <w:pPr>
              <w:spacing w:line="240" w:lineRule="auto"/>
              <w:ind w:firstLine="0" w:firstLineChars="0"/>
              <w:rPr>
                <w:sz w:val="21"/>
                <w:szCs w:val="21"/>
              </w:rPr>
            </w:pPr>
            <w:r>
              <w:rPr>
                <w:rFonts w:hint="eastAsia"/>
                <w:color w:val="000000"/>
                <w:sz w:val="22"/>
                <w:szCs w:val="22"/>
              </w:rPr>
              <w:t>3.64</w:t>
            </w:r>
          </w:p>
        </w:tc>
        <w:tc>
          <w:tcPr>
            <w:tcW w:w="355" w:type="pct"/>
            <w:vAlign w:val="center"/>
          </w:tcPr>
          <w:p w14:paraId="3923FE34">
            <w:pPr>
              <w:spacing w:line="240" w:lineRule="auto"/>
              <w:ind w:firstLine="0" w:firstLineChars="0"/>
              <w:rPr>
                <w:color w:val="000000"/>
                <w:sz w:val="22"/>
                <w:szCs w:val="22"/>
              </w:rPr>
            </w:pPr>
            <w:r>
              <w:rPr>
                <w:rFonts w:hint="eastAsia"/>
                <w:color w:val="000000"/>
                <w:sz w:val="22"/>
                <w:szCs w:val="22"/>
              </w:rPr>
              <w:t>8.2</w:t>
            </w:r>
          </w:p>
        </w:tc>
        <w:tc>
          <w:tcPr>
            <w:tcW w:w="465" w:type="pct"/>
            <w:vAlign w:val="center"/>
          </w:tcPr>
          <w:p w14:paraId="34DBEF73">
            <w:pPr>
              <w:spacing w:line="240" w:lineRule="auto"/>
              <w:ind w:firstLine="0" w:firstLineChars="0"/>
              <w:rPr>
                <w:color w:val="000000"/>
                <w:sz w:val="22"/>
                <w:szCs w:val="22"/>
              </w:rPr>
            </w:pPr>
            <w:r>
              <w:rPr>
                <w:rFonts w:hint="eastAsia"/>
                <w:color w:val="000000"/>
                <w:sz w:val="22"/>
                <w:szCs w:val="22"/>
              </w:rPr>
              <w:t>0.30</w:t>
            </w:r>
          </w:p>
        </w:tc>
      </w:tr>
      <w:tr w14:paraId="499394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1EA4F7D0">
            <w:pPr>
              <w:spacing w:line="240" w:lineRule="auto"/>
              <w:ind w:firstLine="0" w:firstLineChars="0"/>
              <w:rPr>
                <w:sz w:val="21"/>
                <w:szCs w:val="21"/>
              </w:rPr>
            </w:pPr>
          </w:p>
        </w:tc>
        <w:tc>
          <w:tcPr>
            <w:tcW w:w="619" w:type="pct"/>
            <w:vAlign w:val="center"/>
          </w:tcPr>
          <w:p w14:paraId="39C3A607">
            <w:pPr>
              <w:spacing w:line="240" w:lineRule="auto"/>
              <w:ind w:firstLine="0" w:firstLineChars="0"/>
              <w:rPr>
                <w:sz w:val="21"/>
                <w:szCs w:val="21"/>
              </w:rPr>
            </w:pPr>
          </w:p>
        </w:tc>
        <w:tc>
          <w:tcPr>
            <w:tcW w:w="465" w:type="pct"/>
            <w:vAlign w:val="center"/>
          </w:tcPr>
          <w:p w14:paraId="21C52E9D">
            <w:pPr>
              <w:spacing w:line="240" w:lineRule="auto"/>
              <w:ind w:firstLine="0" w:firstLineChars="0"/>
              <w:rPr>
                <w:sz w:val="21"/>
                <w:szCs w:val="21"/>
              </w:rPr>
            </w:pPr>
          </w:p>
        </w:tc>
        <w:tc>
          <w:tcPr>
            <w:tcW w:w="355" w:type="pct"/>
            <w:vAlign w:val="center"/>
          </w:tcPr>
          <w:p w14:paraId="249A0F3C">
            <w:pPr>
              <w:spacing w:line="240" w:lineRule="auto"/>
              <w:ind w:firstLine="0" w:firstLineChars="0"/>
              <w:rPr>
                <w:sz w:val="21"/>
                <w:szCs w:val="21"/>
              </w:rPr>
            </w:pPr>
          </w:p>
        </w:tc>
        <w:tc>
          <w:tcPr>
            <w:tcW w:w="465" w:type="pct"/>
            <w:vAlign w:val="center"/>
          </w:tcPr>
          <w:p w14:paraId="45472E3D">
            <w:pPr>
              <w:spacing w:line="240" w:lineRule="auto"/>
              <w:ind w:firstLine="0" w:firstLineChars="0"/>
              <w:rPr>
                <w:sz w:val="21"/>
                <w:szCs w:val="21"/>
              </w:rPr>
            </w:pPr>
          </w:p>
        </w:tc>
        <w:tc>
          <w:tcPr>
            <w:tcW w:w="1192" w:type="pct"/>
            <w:vAlign w:val="center"/>
          </w:tcPr>
          <w:p w14:paraId="56C5B1E6">
            <w:pPr>
              <w:spacing w:line="240" w:lineRule="auto"/>
              <w:ind w:firstLine="0" w:firstLineChars="0"/>
              <w:rPr>
                <w:sz w:val="21"/>
                <w:szCs w:val="21"/>
              </w:rPr>
            </w:pPr>
            <w:r>
              <w:rPr>
                <w:rFonts w:hint="eastAsia"/>
                <w:sz w:val="21"/>
                <w:szCs w:val="21"/>
              </w:rPr>
              <w:t>焦油渣</w:t>
            </w:r>
          </w:p>
        </w:tc>
        <w:tc>
          <w:tcPr>
            <w:tcW w:w="465" w:type="pct"/>
            <w:vAlign w:val="center"/>
          </w:tcPr>
          <w:p w14:paraId="7946B94A">
            <w:pPr>
              <w:spacing w:line="240" w:lineRule="auto"/>
              <w:ind w:firstLine="0" w:firstLineChars="0"/>
              <w:rPr>
                <w:sz w:val="21"/>
                <w:szCs w:val="21"/>
              </w:rPr>
            </w:pPr>
            <w:r>
              <w:rPr>
                <w:rFonts w:hint="eastAsia"/>
                <w:color w:val="000000"/>
                <w:sz w:val="22"/>
                <w:szCs w:val="22"/>
              </w:rPr>
              <w:t>0.06</w:t>
            </w:r>
          </w:p>
        </w:tc>
        <w:tc>
          <w:tcPr>
            <w:tcW w:w="355" w:type="pct"/>
            <w:vAlign w:val="center"/>
          </w:tcPr>
          <w:p w14:paraId="293F4BF0">
            <w:pPr>
              <w:spacing w:line="240" w:lineRule="auto"/>
              <w:ind w:firstLine="0" w:firstLineChars="0"/>
              <w:rPr>
                <w:color w:val="000000"/>
                <w:sz w:val="22"/>
                <w:szCs w:val="22"/>
              </w:rPr>
            </w:pPr>
            <w:r>
              <w:rPr>
                <w:rFonts w:hint="eastAsia"/>
                <w:color w:val="000000"/>
                <w:sz w:val="22"/>
                <w:szCs w:val="22"/>
              </w:rPr>
              <w:t>0.02</w:t>
            </w:r>
          </w:p>
        </w:tc>
        <w:tc>
          <w:tcPr>
            <w:tcW w:w="465" w:type="pct"/>
            <w:vAlign w:val="center"/>
          </w:tcPr>
          <w:p w14:paraId="7C50F9FF">
            <w:pPr>
              <w:spacing w:line="240" w:lineRule="auto"/>
              <w:ind w:firstLine="0" w:firstLineChars="0"/>
              <w:rPr>
                <w:color w:val="000000"/>
                <w:sz w:val="22"/>
                <w:szCs w:val="22"/>
              </w:rPr>
            </w:pPr>
            <w:r>
              <w:rPr>
                <w:rFonts w:hint="eastAsia"/>
                <w:color w:val="000000"/>
                <w:sz w:val="22"/>
                <w:szCs w:val="22"/>
              </w:rPr>
              <w:t>0.00</w:t>
            </w:r>
          </w:p>
        </w:tc>
      </w:tr>
      <w:tr w14:paraId="275264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3DAAB184">
            <w:pPr>
              <w:spacing w:line="240" w:lineRule="auto"/>
              <w:ind w:firstLine="0" w:firstLineChars="0"/>
              <w:rPr>
                <w:sz w:val="21"/>
                <w:szCs w:val="21"/>
              </w:rPr>
            </w:pPr>
          </w:p>
        </w:tc>
        <w:tc>
          <w:tcPr>
            <w:tcW w:w="619" w:type="pct"/>
            <w:vAlign w:val="center"/>
          </w:tcPr>
          <w:p w14:paraId="5868E81F">
            <w:pPr>
              <w:spacing w:line="240" w:lineRule="auto"/>
              <w:ind w:firstLine="0" w:firstLineChars="0"/>
              <w:rPr>
                <w:sz w:val="21"/>
                <w:szCs w:val="21"/>
              </w:rPr>
            </w:pPr>
          </w:p>
        </w:tc>
        <w:tc>
          <w:tcPr>
            <w:tcW w:w="465" w:type="pct"/>
            <w:vAlign w:val="center"/>
          </w:tcPr>
          <w:p w14:paraId="4B9DDEED">
            <w:pPr>
              <w:spacing w:line="240" w:lineRule="auto"/>
              <w:ind w:firstLine="0" w:firstLineChars="0"/>
              <w:rPr>
                <w:sz w:val="21"/>
                <w:szCs w:val="21"/>
              </w:rPr>
            </w:pPr>
          </w:p>
        </w:tc>
        <w:tc>
          <w:tcPr>
            <w:tcW w:w="355" w:type="pct"/>
            <w:vAlign w:val="center"/>
          </w:tcPr>
          <w:p w14:paraId="027E18FF">
            <w:pPr>
              <w:spacing w:line="240" w:lineRule="auto"/>
              <w:ind w:firstLine="0" w:firstLineChars="0"/>
              <w:rPr>
                <w:sz w:val="21"/>
                <w:szCs w:val="21"/>
              </w:rPr>
            </w:pPr>
          </w:p>
        </w:tc>
        <w:tc>
          <w:tcPr>
            <w:tcW w:w="465" w:type="pct"/>
            <w:vAlign w:val="center"/>
          </w:tcPr>
          <w:p w14:paraId="3A919B85">
            <w:pPr>
              <w:spacing w:line="240" w:lineRule="auto"/>
              <w:ind w:firstLine="0" w:firstLineChars="0"/>
              <w:rPr>
                <w:sz w:val="21"/>
                <w:szCs w:val="21"/>
              </w:rPr>
            </w:pPr>
          </w:p>
        </w:tc>
        <w:tc>
          <w:tcPr>
            <w:tcW w:w="1192" w:type="pct"/>
            <w:vAlign w:val="center"/>
          </w:tcPr>
          <w:p w14:paraId="7F080F96">
            <w:pPr>
              <w:spacing w:line="240" w:lineRule="auto"/>
              <w:ind w:firstLine="0" w:firstLineChars="0"/>
              <w:rPr>
                <w:sz w:val="21"/>
                <w:szCs w:val="21"/>
              </w:rPr>
            </w:pPr>
            <w:r>
              <w:rPr>
                <w:rFonts w:hint="eastAsia"/>
                <w:sz w:val="21"/>
                <w:szCs w:val="21"/>
              </w:rPr>
              <w:t>焦油</w:t>
            </w:r>
          </w:p>
        </w:tc>
        <w:tc>
          <w:tcPr>
            <w:tcW w:w="465" w:type="pct"/>
            <w:vAlign w:val="center"/>
          </w:tcPr>
          <w:p w14:paraId="734AEF44">
            <w:pPr>
              <w:spacing w:line="240" w:lineRule="auto"/>
              <w:ind w:firstLine="0" w:firstLineChars="0"/>
              <w:rPr>
                <w:sz w:val="21"/>
                <w:szCs w:val="21"/>
              </w:rPr>
            </w:pPr>
            <w:r>
              <w:rPr>
                <w:rFonts w:hint="eastAsia"/>
                <w:color w:val="000000"/>
                <w:sz w:val="22"/>
                <w:szCs w:val="22"/>
              </w:rPr>
              <w:t>9.7</w:t>
            </w:r>
          </w:p>
        </w:tc>
        <w:tc>
          <w:tcPr>
            <w:tcW w:w="355" w:type="pct"/>
            <w:vAlign w:val="center"/>
          </w:tcPr>
          <w:p w14:paraId="1CC9F49F">
            <w:pPr>
              <w:spacing w:line="240" w:lineRule="auto"/>
              <w:ind w:firstLine="0" w:firstLineChars="0"/>
              <w:rPr>
                <w:color w:val="000000"/>
                <w:sz w:val="22"/>
                <w:szCs w:val="22"/>
              </w:rPr>
            </w:pPr>
            <w:r>
              <w:rPr>
                <w:rFonts w:hint="eastAsia"/>
                <w:color w:val="000000"/>
                <w:sz w:val="22"/>
                <w:szCs w:val="22"/>
              </w:rPr>
              <w:t>0.05</w:t>
            </w:r>
          </w:p>
        </w:tc>
        <w:tc>
          <w:tcPr>
            <w:tcW w:w="465" w:type="pct"/>
            <w:vAlign w:val="center"/>
          </w:tcPr>
          <w:p w14:paraId="0ABA476A">
            <w:pPr>
              <w:spacing w:line="240" w:lineRule="auto"/>
              <w:ind w:firstLine="0" w:firstLineChars="0"/>
              <w:rPr>
                <w:color w:val="000000"/>
                <w:sz w:val="22"/>
                <w:szCs w:val="22"/>
              </w:rPr>
            </w:pPr>
            <w:r>
              <w:rPr>
                <w:rFonts w:hint="eastAsia"/>
                <w:color w:val="000000"/>
                <w:sz w:val="22"/>
                <w:szCs w:val="22"/>
              </w:rPr>
              <w:t>0.49</w:t>
            </w:r>
          </w:p>
        </w:tc>
      </w:tr>
      <w:tr w14:paraId="7EC1F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1EDB0FA9">
            <w:pPr>
              <w:spacing w:line="240" w:lineRule="auto"/>
              <w:ind w:firstLine="0" w:firstLineChars="0"/>
              <w:rPr>
                <w:sz w:val="21"/>
                <w:szCs w:val="21"/>
              </w:rPr>
            </w:pPr>
          </w:p>
        </w:tc>
        <w:tc>
          <w:tcPr>
            <w:tcW w:w="619" w:type="pct"/>
            <w:vAlign w:val="center"/>
          </w:tcPr>
          <w:p w14:paraId="54F48808">
            <w:pPr>
              <w:spacing w:line="240" w:lineRule="auto"/>
              <w:ind w:firstLine="0" w:firstLineChars="0"/>
              <w:rPr>
                <w:sz w:val="21"/>
                <w:szCs w:val="21"/>
              </w:rPr>
            </w:pPr>
          </w:p>
        </w:tc>
        <w:tc>
          <w:tcPr>
            <w:tcW w:w="465" w:type="pct"/>
            <w:vAlign w:val="center"/>
          </w:tcPr>
          <w:p w14:paraId="4413793E">
            <w:pPr>
              <w:spacing w:line="240" w:lineRule="auto"/>
              <w:ind w:firstLine="0" w:firstLineChars="0"/>
              <w:rPr>
                <w:sz w:val="21"/>
                <w:szCs w:val="21"/>
              </w:rPr>
            </w:pPr>
          </w:p>
        </w:tc>
        <w:tc>
          <w:tcPr>
            <w:tcW w:w="355" w:type="pct"/>
            <w:vAlign w:val="center"/>
          </w:tcPr>
          <w:p w14:paraId="3A1F0D4D">
            <w:pPr>
              <w:spacing w:line="240" w:lineRule="auto"/>
              <w:ind w:firstLine="0" w:firstLineChars="0"/>
              <w:rPr>
                <w:sz w:val="21"/>
                <w:szCs w:val="21"/>
              </w:rPr>
            </w:pPr>
          </w:p>
        </w:tc>
        <w:tc>
          <w:tcPr>
            <w:tcW w:w="465" w:type="pct"/>
            <w:vAlign w:val="center"/>
          </w:tcPr>
          <w:p w14:paraId="544E0B47">
            <w:pPr>
              <w:spacing w:line="240" w:lineRule="auto"/>
              <w:ind w:firstLine="0" w:firstLineChars="0"/>
              <w:rPr>
                <w:sz w:val="21"/>
                <w:szCs w:val="21"/>
              </w:rPr>
            </w:pPr>
          </w:p>
        </w:tc>
        <w:tc>
          <w:tcPr>
            <w:tcW w:w="1192" w:type="pct"/>
            <w:vAlign w:val="center"/>
          </w:tcPr>
          <w:p w14:paraId="5113877F">
            <w:pPr>
              <w:spacing w:line="240" w:lineRule="auto"/>
              <w:ind w:firstLine="0" w:firstLineChars="0"/>
              <w:rPr>
                <w:sz w:val="21"/>
                <w:szCs w:val="21"/>
              </w:rPr>
            </w:pPr>
            <w:r>
              <w:rPr>
                <w:rFonts w:hint="eastAsia"/>
                <w:sz w:val="21"/>
                <w:szCs w:val="21"/>
              </w:rPr>
              <w:t>剩余氨水</w:t>
            </w:r>
          </w:p>
        </w:tc>
        <w:tc>
          <w:tcPr>
            <w:tcW w:w="465" w:type="pct"/>
            <w:vAlign w:val="center"/>
          </w:tcPr>
          <w:p w14:paraId="7541F1C5">
            <w:pPr>
              <w:spacing w:line="240" w:lineRule="auto"/>
              <w:ind w:firstLine="0" w:firstLineChars="0"/>
              <w:rPr>
                <w:sz w:val="21"/>
                <w:szCs w:val="21"/>
              </w:rPr>
            </w:pPr>
            <w:r>
              <w:rPr>
                <w:rFonts w:hint="eastAsia"/>
                <w:color w:val="000000"/>
                <w:sz w:val="22"/>
                <w:szCs w:val="22"/>
              </w:rPr>
              <w:t>15.72</w:t>
            </w:r>
          </w:p>
        </w:tc>
        <w:tc>
          <w:tcPr>
            <w:tcW w:w="355" w:type="pct"/>
            <w:vAlign w:val="center"/>
          </w:tcPr>
          <w:p w14:paraId="7DE4FC36">
            <w:pPr>
              <w:spacing w:line="240" w:lineRule="auto"/>
              <w:ind w:firstLine="0" w:firstLineChars="0"/>
              <w:rPr>
                <w:color w:val="000000"/>
                <w:sz w:val="22"/>
                <w:szCs w:val="22"/>
              </w:rPr>
            </w:pPr>
            <w:r>
              <w:rPr>
                <w:rFonts w:hint="eastAsia"/>
                <w:color w:val="000000"/>
                <w:sz w:val="22"/>
                <w:szCs w:val="22"/>
              </w:rPr>
              <w:t>1</w:t>
            </w:r>
          </w:p>
        </w:tc>
        <w:tc>
          <w:tcPr>
            <w:tcW w:w="465" w:type="pct"/>
            <w:vAlign w:val="center"/>
          </w:tcPr>
          <w:p w14:paraId="54ACA850">
            <w:pPr>
              <w:spacing w:line="240" w:lineRule="auto"/>
              <w:ind w:firstLine="0" w:firstLineChars="0"/>
              <w:rPr>
                <w:color w:val="000000"/>
                <w:sz w:val="22"/>
                <w:szCs w:val="22"/>
              </w:rPr>
            </w:pPr>
            <w:r>
              <w:rPr>
                <w:rFonts w:hint="eastAsia"/>
                <w:color w:val="000000"/>
                <w:sz w:val="22"/>
                <w:szCs w:val="22"/>
              </w:rPr>
              <w:t>15.72</w:t>
            </w:r>
          </w:p>
        </w:tc>
      </w:tr>
      <w:tr w14:paraId="385D97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7284E810">
            <w:pPr>
              <w:spacing w:line="240" w:lineRule="auto"/>
              <w:ind w:firstLine="0" w:firstLineChars="0"/>
              <w:rPr>
                <w:sz w:val="21"/>
                <w:szCs w:val="21"/>
              </w:rPr>
            </w:pPr>
          </w:p>
        </w:tc>
        <w:tc>
          <w:tcPr>
            <w:tcW w:w="619" w:type="pct"/>
            <w:vAlign w:val="center"/>
          </w:tcPr>
          <w:p w14:paraId="6FC7B4E8">
            <w:pPr>
              <w:spacing w:line="240" w:lineRule="auto"/>
              <w:ind w:firstLine="0" w:firstLineChars="0"/>
              <w:rPr>
                <w:sz w:val="21"/>
                <w:szCs w:val="21"/>
              </w:rPr>
            </w:pPr>
          </w:p>
        </w:tc>
        <w:tc>
          <w:tcPr>
            <w:tcW w:w="465" w:type="pct"/>
            <w:vAlign w:val="center"/>
          </w:tcPr>
          <w:p w14:paraId="5B74154D">
            <w:pPr>
              <w:spacing w:line="240" w:lineRule="auto"/>
              <w:ind w:firstLine="0" w:firstLineChars="0"/>
              <w:rPr>
                <w:sz w:val="21"/>
                <w:szCs w:val="21"/>
              </w:rPr>
            </w:pPr>
          </w:p>
        </w:tc>
        <w:tc>
          <w:tcPr>
            <w:tcW w:w="355" w:type="pct"/>
            <w:vAlign w:val="center"/>
          </w:tcPr>
          <w:p w14:paraId="0F620FE8">
            <w:pPr>
              <w:spacing w:line="240" w:lineRule="auto"/>
              <w:ind w:firstLine="0" w:firstLineChars="0"/>
              <w:rPr>
                <w:sz w:val="21"/>
                <w:szCs w:val="21"/>
              </w:rPr>
            </w:pPr>
          </w:p>
        </w:tc>
        <w:tc>
          <w:tcPr>
            <w:tcW w:w="465" w:type="pct"/>
            <w:vAlign w:val="center"/>
          </w:tcPr>
          <w:p w14:paraId="4008DE18">
            <w:pPr>
              <w:spacing w:line="240" w:lineRule="auto"/>
              <w:ind w:firstLine="0" w:firstLineChars="0"/>
              <w:rPr>
                <w:sz w:val="21"/>
                <w:szCs w:val="21"/>
              </w:rPr>
            </w:pPr>
          </w:p>
        </w:tc>
        <w:tc>
          <w:tcPr>
            <w:tcW w:w="1192" w:type="pct"/>
            <w:vAlign w:val="center"/>
          </w:tcPr>
          <w:p w14:paraId="2F3D1C01">
            <w:pPr>
              <w:spacing w:line="240" w:lineRule="auto"/>
              <w:ind w:firstLine="0" w:firstLineChars="0"/>
              <w:rPr>
                <w:sz w:val="21"/>
                <w:szCs w:val="21"/>
              </w:rPr>
            </w:pPr>
            <w:r>
              <w:rPr>
                <w:rFonts w:hint="eastAsia"/>
                <w:sz w:val="21"/>
                <w:szCs w:val="21"/>
              </w:rPr>
              <w:t>废气</w:t>
            </w:r>
          </w:p>
        </w:tc>
        <w:tc>
          <w:tcPr>
            <w:tcW w:w="465" w:type="pct"/>
            <w:vAlign w:val="center"/>
          </w:tcPr>
          <w:p w14:paraId="566831AC">
            <w:pPr>
              <w:spacing w:line="240" w:lineRule="auto"/>
              <w:ind w:firstLine="0" w:firstLineChars="0"/>
              <w:rPr>
                <w:sz w:val="21"/>
                <w:szCs w:val="21"/>
              </w:rPr>
            </w:pPr>
            <w:r>
              <w:rPr>
                <w:rFonts w:hint="eastAsia"/>
                <w:color w:val="000000"/>
                <w:sz w:val="22"/>
                <w:szCs w:val="22"/>
              </w:rPr>
              <w:t>0.00026</w:t>
            </w:r>
          </w:p>
        </w:tc>
        <w:tc>
          <w:tcPr>
            <w:tcW w:w="355" w:type="pct"/>
            <w:vAlign w:val="center"/>
          </w:tcPr>
          <w:p w14:paraId="76466F1E">
            <w:pPr>
              <w:spacing w:line="240" w:lineRule="auto"/>
              <w:ind w:firstLine="0" w:firstLineChars="0"/>
              <w:rPr>
                <w:color w:val="000000"/>
                <w:sz w:val="22"/>
                <w:szCs w:val="22"/>
              </w:rPr>
            </w:pPr>
            <w:r>
              <w:rPr>
                <w:rFonts w:hint="eastAsia"/>
                <w:color w:val="000000"/>
                <w:sz w:val="22"/>
                <w:szCs w:val="22"/>
              </w:rPr>
              <w:t>0.152</w:t>
            </w:r>
          </w:p>
        </w:tc>
        <w:tc>
          <w:tcPr>
            <w:tcW w:w="465" w:type="pct"/>
            <w:vAlign w:val="center"/>
          </w:tcPr>
          <w:p w14:paraId="0721D7B9">
            <w:pPr>
              <w:spacing w:line="240" w:lineRule="auto"/>
              <w:ind w:firstLine="0" w:firstLineChars="0"/>
              <w:rPr>
                <w:color w:val="000000"/>
                <w:sz w:val="22"/>
                <w:szCs w:val="22"/>
              </w:rPr>
            </w:pPr>
            <w:r>
              <w:rPr>
                <w:rFonts w:hint="eastAsia"/>
                <w:color w:val="000000"/>
                <w:sz w:val="22"/>
                <w:szCs w:val="22"/>
              </w:rPr>
              <w:t>0.12</w:t>
            </w:r>
          </w:p>
        </w:tc>
      </w:tr>
      <w:tr w14:paraId="33E94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619" w:type="pct"/>
            <w:vMerge w:val="continue"/>
            <w:vAlign w:val="center"/>
          </w:tcPr>
          <w:p w14:paraId="798C7AD3">
            <w:pPr>
              <w:spacing w:line="240" w:lineRule="auto"/>
              <w:ind w:firstLine="0" w:firstLineChars="0"/>
              <w:rPr>
                <w:sz w:val="21"/>
                <w:szCs w:val="21"/>
              </w:rPr>
            </w:pPr>
          </w:p>
        </w:tc>
        <w:tc>
          <w:tcPr>
            <w:tcW w:w="619" w:type="pct"/>
            <w:vAlign w:val="center"/>
          </w:tcPr>
          <w:p w14:paraId="1D50F919">
            <w:pPr>
              <w:spacing w:line="240" w:lineRule="auto"/>
              <w:ind w:firstLine="0" w:firstLineChars="0"/>
              <w:rPr>
                <w:sz w:val="21"/>
                <w:szCs w:val="21"/>
              </w:rPr>
            </w:pPr>
            <w:r>
              <w:rPr>
                <w:rFonts w:hint="eastAsia"/>
                <w:sz w:val="21"/>
                <w:szCs w:val="21"/>
              </w:rPr>
              <w:t>小计</w:t>
            </w:r>
          </w:p>
        </w:tc>
        <w:tc>
          <w:tcPr>
            <w:tcW w:w="465" w:type="pct"/>
            <w:vAlign w:val="center"/>
          </w:tcPr>
          <w:p w14:paraId="46710514">
            <w:pPr>
              <w:spacing w:line="240" w:lineRule="auto"/>
              <w:ind w:firstLine="0" w:firstLineChars="0"/>
              <w:rPr>
                <w:sz w:val="21"/>
                <w:szCs w:val="21"/>
              </w:rPr>
            </w:pPr>
          </w:p>
        </w:tc>
        <w:tc>
          <w:tcPr>
            <w:tcW w:w="355" w:type="pct"/>
            <w:vAlign w:val="center"/>
          </w:tcPr>
          <w:p w14:paraId="78DCB7AA">
            <w:pPr>
              <w:spacing w:line="240" w:lineRule="auto"/>
              <w:ind w:firstLine="0" w:firstLineChars="0"/>
              <w:rPr>
                <w:sz w:val="21"/>
                <w:szCs w:val="21"/>
              </w:rPr>
            </w:pPr>
          </w:p>
        </w:tc>
        <w:tc>
          <w:tcPr>
            <w:tcW w:w="465" w:type="pct"/>
            <w:vAlign w:val="center"/>
          </w:tcPr>
          <w:p w14:paraId="467EE813">
            <w:pPr>
              <w:spacing w:line="240" w:lineRule="auto"/>
              <w:ind w:firstLine="0" w:firstLineChars="0"/>
              <w:rPr>
                <w:sz w:val="21"/>
                <w:szCs w:val="21"/>
              </w:rPr>
            </w:pPr>
            <w:r>
              <w:rPr>
                <w:rFonts w:hint="eastAsia"/>
                <w:sz w:val="21"/>
                <w:szCs w:val="21"/>
              </w:rPr>
              <w:t>24.30</w:t>
            </w:r>
          </w:p>
        </w:tc>
        <w:tc>
          <w:tcPr>
            <w:tcW w:w="1192" w:type="pct"/>
            <w:vAlign w:val="center"/>
          </w:tcPr>
          <w:p w14:paraId="0D99E95D">
            <w:pPr>
              <w:spacing w:line="240" w:lineRule="auto"/>
              <w:ind w:firstLine="0" w:firstLineChars="0"/>
              <w:rPr>
                <w:sz w:val="21"/>
                <w:szCs w:val="21"/>
              </w:rPr>
            </w:pPr>
          </w:p>
        </w:tc>
        <w:tc>
          <w:tcPr>
            <w:tcW w:w="465" w:type="pct"/>
            <w:vAlign w:val="center"/>
          </w:tcPr>
          <w:p w14:paraId="649A3AB2">
            <w:pPr>
              <w:spacing w:line="240" w:lineRule="auto"/>
              <w:ind w:firstLine="0" w:firstLineChars="0"/>
              <w:rPr>
                <w:sz w:val="21"/>
                <w:szCs w:val="21"/>
              </w:rPr>
            </w:pPr>
          </w:p>
        </w:tc>
        <w:tc>
          <w:tcPr>
            <w:tcW w:w="355" w:type="pct"/>
            <w:vAlign w:val="center"/>
          </w:tcPr>
          <w:p w14:paraId="0BCABB6C">
            <w:pPr>
              <w:spacing w:line="240" w:lineRule="auto"/>
              <w:ind w:firstLine="0" w:firstLineChars="0"/>
              <w:rPr>
                <w:color w:val="000000"/>
                <w:sz w:val="22"/>
                <w:szCs w:val="22"/>
              </w:rPr>
            </w:pPr>
          </w:p>
        </w:tc>
        <w:tc>
          <w:tcPr>
            <w:tcW w:w="465" w:type="pct"/>
            <w:vAlign w:val="center"/>
          </w:tcPr>
          <w:p w14:paraId="7B84E244">
            <w:pPr>
              <w:spacing w:line="240" w:lineRule="auto"/>
              <w:ind w:firstLine="0" w:firstLineChars="0"/>
              <w:rPr>
                <w:color w:val="000000"/>
                <w:sz w:val="22"/>
                <w:szCs w:val="22"/>
              </w:rPr>
            </w:pPr>
            <w:r>
              <w:rPr>
                <w:rFonts w:hint="eastAsia"/>
                <w:color w:val="000000"/>
                <w:sz w:val="22"/>
                <w:szCs w:val="22"/>
              </w:rPr>
              <w:t>24.30</w:t>
            </w:r>
          </w:p>
        </w:tc>
      </w:tr>
    </w:tbl>
    <w:p w14:paraId="4598B9FA">
      <w:pPr>
        <w:ind w:firstLine="0" w:firstLineChars="0"/>
        <w:sectPr>
          <w:pgSz w:w="16838" w:h="11906" w:orient="landscape"/>
          <w:pgMar w:top="1800" w:right="1440" w:bottom="1800" w:left="1440" w:header="850" w:footer="850" w:gutter="0"/>
          <w:cols w:space="425" w:num="1"/>
          <w:docGrid w:type="lines" w:linePitch="326" w:charSpace="0"/>
        </w:sectPr>
      </w:pPr>
      <w:r>
        <w:br w:type="page"/>
      </w:r>
    </w:p>
    <w:p w14:paraId="7163374B">
      <w:pPr>
        <w:pStyle w:val="944"/>
      </w:pPr>
      <w:r>
        <w:rPr>
          <w:rFonts w:hint="eastAsia"/>
        </w:rPr>
        <w:t>蒸汽平衡</w:t>
      </w:r>
    </w:p>
    <w:p w14:paraId="5CF169CA">
      <w:pPr>
        <w:ind w:firstLine="480"/>
      </w:pPr>
      <w:r>
        <w:rPr>
          <w:rFonts w:hint="eastAsia"/>
        </w:rPr>
        <w:t>兰炭生产线蒸汽平衡见表3.3-11。</w:t>
      </w:r>
    </w:p>
    <w:p w14:paraId="6ABAB844">
      <w:pPr>
        <w:ind w:firstLine="0" w:firstLineChars="0"/>
        <w:jc w:val="center"/>
        <w:rPr>
          <w:b/>
          <w:bCs/>
        </w:rPr>
      </w:pPr>
      <w:r>
        <w:rPr>
          <w:rFonts w:hint="eastAsia"/>
          <w:b/>
          <w:bCs/>
        </w:rPr>
        <w:t>表3.3-11  兰炭生产线蒸汽平衡表</w:t>
      </w:r>
    </w:p>
    <w:tbl>
      <w:tblPr>
        <w:tblStyle w:val="6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14:paraId="2D16E5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Merge w:val="restart"/>
            <w:vAlign w:val="center"/>
          </w:tcPr>
          <w:p w14:paraId="2E649FC2">
            <w:pPr>
              <w:spacing w:line="240" w:lineRule="auto"/>
              <w:ind w:firstLine="0" w:firstLineChars="0"/>
              <w:jc w:val="center"/>
              <w:rPr>
                <w:b/>
                <w:bCs/>
                <w:sz w:val="21"/>
                <w:szCs w:val="21"/>
              </w:rPr>
            </w:pPr>
            <w:r>
              <w:rPr>
                <w:rFonts w:hint="eastAsia"/>
                <w:b/>
                <w:bCs/>
                <w:sz w:val="21"/>
                <w:szCs w:val="21"/>
              </w:rPr>
              <w:t>序号</w:t>
            </w:r>
          </w:p>
        </w:tc>
        <w:tc>
          <w:tcPr>
            <w:tcW w:w="1217" w:type="dxa"/>
            <w:vMerge w:val="restart"/>
            <w:vAlign w:val="center"/>
          </w:tcPr>
          <w:p w14:paraId="6551A13A">
            <w:pPr>
              <w:spacing w:line="240" w:lineRule="auto"/>
              <w:ind w:firstLine="0" w:firstLineChars="0"/>
              <w:jc w:val="center"/>
              <w:rPr>
                <w:b/>
                <w:bCs/>
                <w:sz w:val="21"/>
                <w:szCs w:val="21"/>
              </w:rPr>
            </w:pPr>
            <w:r>
              <w:rPr>
                <w:rFonts w:hint="eastAsia"/>
                <w:b/>
                <w:bCs/>
                <w:sz w:val="21"/>
                <w:szCs w:val="21"/>
              </w:rPr>
              <w:t>装置名称</w:t>
            </w:r>
          </w:p>
        </w:tc>
        <w:tc>
          <w:tcPr>
            <w:tcW w:w="1217" w:type="dxa"/>
            <w:vMerge w:val="restart"/>
            <w:vAlign w:val="center"/>
          </w:tcPr>
          <w:p w14:paraId="07A3206A">
            <w:pPr>
              <w:spacing w:line="240" w:lineRule="auto"/>
              <w:ind w:firstLine="0" w:firstLineChars="0"/>
              <w:jc w:val="center"/>
              <w:rPr>
                <w:b/>
                <w:bCs/>
                <w:sz w:val="21"/>
                <w:szCs w:val="21"/>
              </w:rPr>
            </w:pPr>
            <w:r>
              <w:rPr>
                <w:rFonts w:hint="eastAsia"/>
                <w:b/>
                <w:bCs/>
                <w:sz w:val="21"/>
                <w:szCs w:val="21"/>
              </w:rPr>
              <w:t>万t/a</w:t>
            </w:r>
          </w:p>
        </w:tc>
        <w:tc>
          <w:tcPr>
            <w:tcW w:w="3653" w:type="dxa"/>
            <w:gridSpan w:val="3"/>
            <w:vAlign w:val="center"/>
          </w:tcPr>
          <w:p w14:paraId="020FDD76">
            <w:pPr>
              <w:spacing w:line="240" w:lineRule="auto"/>
              <w:ind w:firstLine="0" w:firstLineChars="0"/>
              <w:jc w:val="center"/>
              <w:rPr>
                <w:b/>
                <w:bCs/>
                <w:sz w:val="21"/>
                <w:szCs w:val="21"/>
              </w:rPr>
            </w:pPr>
            <w:r>
              <w:rPr>
                <w:rFonts w:hint="eastAsia"/>
                <w:b/>
                <w:bCs/>
                <w:sz w:val="21"/>
                <w:szCs w:val="21"/>
              </w:rPr>
              <w:t>1.0MPa蒸汽（kg/h）</w:t>
            </w:r>
          </w:p>
        </w:tc>
        <w:tc>
          <w:tcPr>
            <w:tcW w:w="1218" w:type="dxa"/>
            <w:vAlign w:val="center"/>
          </w:tcPr>
          <w:p w14:paraId="35AF9C96">
            <w:pPr>
              <w:spacing w:line="240" w:lineRule="auto"/>
              <w:ind w:firstLine="0" w:firstLineChars="0"/>
              <w:jc w:val="center"/>
              <w:rPr>
                <w:b/>
                <w:bCs/>
                <w:sz w:val="21"/>
                <w:szCs w:val="21"/>
              </w:rPr>
            </w:pPr>
            <w:r>
              <w:rPr>
                <w:rFonts w:hint="eastAsia"/>
                <w:b/>
                <w:bCs/>
                <w:sz w:val="21"/>
                <w:szCs w:val="21"/>
              </w:rPr>
              <w:t>备注</w:t>
            </w:r>
          </w:p>
        </w:tc>
      </w:tr>
      <w:tr w14:paraId="7CFA8F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Merge w:val="continue"/>
            <w:vAlign w:val="center"/>
          </w:tcPr>
          <w:p w14:paraId="6273B5B0">
            <w:pPr>
              <w:spacing w:line="240" w:lineRule="auto"/>
              <w:ind w:firstLine="0" w:firstLineChars="0"/>
              <w:jc w:val="center"/>
              <w:rPr>
                <w:b/>
                <w:bCs/>
                <w:sz w:val="21"/>
                <w:szCs w:val="21"/>
              </w:rPr>
            </w:pPr>
          </w:p>
        </w:tc>
        <w:tc>
          <w:tcPr>
            <w:tcW w:w="1217" w:type="dxa"/>
            <w:vMerge w:val="continue"/>
            <w:vAlign w:val="center"/>
          </w:tcPr>
          <w:p w14:paraId="0C0E123C">
            <w:pPr>
              <w:spacing w:line="240" w:lineRule="auto"/>
              <w:ind w:firstLine="0" w:firstLineChars="0"/>
              <w:jc w:val="center"/>
              <w:rPr>
                <w:b/>
                <w:bCs/>
                <w:sz w:val="21"/>
                <w:szCs w:val="21"/>
              </w:rPr>
            </w:pPr>
          </w:p>
        </w:tc>
        <w:tc>
          <w:tcPr>
            <w:tcW w:w="1217" w:type="dxa"/>
            <w:vMerge w:val="continue"/>
            <w:vAlign w:val="center"/>
          </w:tcPr>
          <w:p w14:paraId="12DE2D7D">
            <w:pPr>
              <w:spacing w:line="240" w:lineRule="auto"/>
              <w:ind w:firstLine="0" w:firstLineChars="0"/>
              <w:jc w:val="center"/>
              <w:rPr>
                <w:b/>
                <w:bCs/>
                <w:sz w:val="21"/>
                <w:szCs w:val="21"/>
              </w:rPr>
            </w:pPr>
          </w:p>
        </w:tc>
        <w:tc>
          <w:tcPr>
            <w:tcW w:w="1217" w:type="dxa"/>
            <w:vAlign w:val="center"/>
          </w:tcPr>
          <w:p w14:paraId="7083D5E5">
            <w:pPr>
              <w:spacing w:line="240" w:lineRule="auto"/>
              <w:ind w:firstLine="0" w:firstLineChars="0"/>
              <w:jc w:val="center"/>
              <w:rPr>
                <w:b/>
                <w:bCs/>
                <w:sz w:val="21"/>
                <w:szCs w:val="21"/>
              </w:rPr>
            </w:pPr>
            <w:r>
              <w:rPr>
                <w:rFonts w:hint="eastAsia"/>
                <w:b/>
                <w:bCs/>
                <w:sz w:val="21"/>
                <w:szCs w:val="21"/>
              </w:rPr>
              <w:t>一次产汽</w:t>
            </w:r>
          </w:p>
        </w:tc>
        <w:tc>
          <w:tcPr>
            <w:tcW w:w="1218" w:type="dxa"/>
            <w:vAlign w:val="center"/>
          </w:tcPr>
          <w:p w14:paraId="0CB1A8F5">
            <w:pPr>
              <w:spacing w:line="240" w:lineRule="auto"/>
              <w:ind w:firstLine="0" w:firstLineChars="0"/>
              <w:jc w:val="center"/>
              <w:rPr>
                <w:b/>
                <w:bCs/>
                <w:sz w:val="21"/>
                <w:szCs w:val="21"/>
              </w:rPr>
            </w:pPr>
            <w:r>
              <w:rPr>
                <w:rFonts w:hint="eastAsia"/>
                <w:b/>
                <w:bCs/>
                <w:sz w:val="21"/>
                <w:szCs w:val="21"/>
              </w:rPr>
              <w:t>生产用气（连续）</w:t>
            </w:r>
          </w:p>
        </w:tc>
        <w:tc>
          <w:tcPr>
            <w:tcW w:w="1218" w:type="dxa"/>
            <w:vAlign w:val="center"/>
          </w:tcPr>
          <w:p w14:paraId="16AB6EBC">
            <w:pPr>
              <w:spacing w:line="240" w:lineRule="auto"/>
              <w:ind w:firstLine="0" w:firstLineChars="0"/>
              <w:jc w:val="center"/>
              <w:rPr>
                <w:b/>
                <w:bCs/>
                <w:sz w:val="21"/>
                <w:szCs w:val="21"/>
              </w:rPr>
            </w:pPr>
            <w:r>
              <w:rPr>
                <w:rFonts w:hint="eastAsia"/>
                <w:b/>
                <w:bCs/>
                <w:sz w:val="21"/>
                <w:szCs w:val="21"/>
              </w:rPr>
              <w:t>生产用气（间断）</w:t>
            </w:r>
          </w:p>
        </w:tc>
        <w:tc>
          <w:tcPr>
            <w:tcW w:w="1218" w:type="dxa"/>
            <w:vAlign w:val="center"/>
          </w:tcPr>
          <w:p w14:paraId="49C3F0D2">
            <w:pPr>
              <w:spacing w:line="240" w:lineRule="auto"/>
              <w:ind w:firstLine="0" w:firstLineChars="0"/>
              <w:jc w:val="center"/>
              <w:rPr>
                <w:b/>
                <w:bCs/>
                <w:sz w:val="21"/>
                <w:szCs w:val="21"/>
              </w:rPr>
            </w:pPr>
          </w:p>
        </w:tc>
      </w:tr>
      <w:tr w14:paraId="1ACCFE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336FE5DE">
            <w:pPr>
              <w:spacing w:line="240" w:lineRule="auto"/>
              <w:ind w:firstLine="0" w:firstLineChars="0"/>
              <w:jc w:val="center"/>
              <w:rPr>
                <w:sz w:val="21"/>
                <w:szCs w:val="21"/>
              </w:rPr>
            </w:pPr>
            <w:r>
              <w:rPr>
                <w:rFonts w:hint="eastAsia"/>
                <w:sz w:val="21"/>
                <w:szCs w:val="21"/>
              </w:rPr>
              <w:t>1</w:t>
            </w:r>
          </w:p>
        </w:tc>
        <w:tc>
          <w:tcPr>
            <w:tcW w:w="1217" w:type="dxa"/>
            <w:vAlign w:val="center"/>
          </w:tcPr>
          <w:p w14:paraId="66D231D0">
            <w:pPr>
              <w:spacing w:line="240" w:lineRule="auto"/>
              <w:ind w:firstLine="0" w:firstLineChars="0"/>
              <w:jc w:val="center"/>
              <w:rPr>
                <w:sz w:val="21"/>
                <w:szCs w:val="21"/>
              </w:rPr>
            </w:pPr>
            <w:r>
              <w:rPr>
                <w:rFonts w:hint="eastAsia"/>
                <w:sz w:val="21"/>
                <w:szCs w:val="21"/>
              </w:rPr>
              <w:t>兰炭装置</w:t>
            </w:r>
          </w:p>
        </w:tc>
        <w:tc>
          <w:tcPr>
            <w:tcW w:w="1217" w:type="dxa"/>
            <w:vAlign w:val="center"/>
          </w:tcPr>
          <w:p w14:paraId="28CDF34C">
            <w:pPr>
              <w:spacing w:line="240" w:lineRule="auto"/>
              <w:ind w:firstLine="0" w:firstLineChars="0"/>
              <w:jc w:val="center"/>
              <w:rPr>
                <w:sz w:val="21"/>
                <w:szCs w:val="21"/>
              </w:rPr>
            </w:pPr>
            <w:r>
              <w:rPr>
                <w:rFonts w:hint="eastAsia"/>
                <w:sz w:val="21"/>
                <w:szCs w:val="21"/>
              </w:rPr>
              <w:t>60万吨/年</w:t>
            </w:r>
          </w:p>
        </w:tc>
        <w:tc>
          <w:tcPr>
            <w:tcW w:w="1217" w:type="dxa"/>
            <w:vAlign w:val="center"/>
          </w:tcPr>
          <w:p w14:paraId="7FFB7250">
            <w:pPr>
              <w:spacing w:line="240" w:lineRule="auto"/>
              <w:ind w:firstLine="0" w:firstLineChars="0"/>
              <w:jc w:val="center"/>
              <w:rPr>
                <w:sz w:val="21"/>
                <w:szCs w:val="21"/>
              </w:rPr>
            </w:pPr>
            <w:r>
              <w:rPr>
                <w:rFonts w:hint="eastAsia"/>
                <w:sz w:val="21"/>
                <w:szCs w:val="21"/>
              </w:rPr>
              <w:t>4000</w:t>
            </w:r>
          </w:p>
        </w:tc>
        <w:tc>
          <w:tcPr>
            <w:tcW w:w="1218" w:type="dxa"/>
            <w:vAlign w:val="center"/>
          </w:tcPr>
          <w:p w14:paraId="6C5D60BE">
            <w:pPr>
              <w:spacing w:line="240" w:lineRule="auto"/>
              <w:ind w:firstLine="0" w:firstLineChars="0"/>
              <w:jc w:val="center"/>
              <w:rPr>
                <w:sz w:val="21"/>
                <w:szCs w:val="21"/>
              </w:rPr>
            </w:pPr>
          </w:p>
        </w:tc>
        <w:tc>
          <w:tcPr>
            <w:tcW w:w="1218" w:type="dxa"/>
            <w:vAlign w:val="center"/>
          </w:tcPr>
          <w:p w14:paraId="555558A0">
            <w:pPr>
              <w:spacing w:line="240" w:lineRule="auto"/>
              <w:ind w:firstLine="0" w:firstLineChars="0"/>
              <w:jc w:val="center"/>
              <w:rPr>
                <w:sz w:val="21"/>
                <w:szCs w:val="21"/>
              </w:rPr>
            </w:pPr>
          </w:p>
        </w:tc>
        <w:tc>
          <w:tcPr>
            <w:tcW w:w="1218" w:type="dxa"/>
            <w:vAlign w:val="center"/>
          </w:tcPr>
          <w:p w14:paraId="4635D8DA">
            <w:pPr>
              <w:spacing w:line="240" w:lineRule="auto"/>
              <w:ind w:firstLine="0" w:firstLineChars="0"/>
              <w:jc w:val="center"/>
              <w:rPr>
                <w:sz w:val="21"/>
                <w:szCs w:val="21"/>
              </w:rPr>
            </w:pPr>
            <w:r>
              <w:rPr>
                <w:rFonts w:hint="eastAsia"/>
                <w:sz w:val="21"/>
                <w:szCs w:val="21"/>
              </w:rPr>
              <w:t>水冷壁产生蒸汽</w:t>
            </w:r>
          </w:p>
        </w:tc>
      </w:tr>
      <w:tr w14:paraId="3B07F6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453F3200">
            <w:pPr>
              <w:spacing w:line="240" w:lineRule="auto"/>
              <w:ind w:firstLine="0" w:firstLineChars="0"/>
              <w:jc w:val="center"/>
              <w:rPr>
                <w:sz w:val="21"/>
                <w:szCs w:val="21"/>
              </w:rPr>
            </w:pPr>
            <w:r>
              <w:rPr>
                <w:rFonts w:hint="eastAsia"/>
                <w:sz w:val="21"/>
                <w:szCs w:val="21"/>
              </w:rPr>
              <w:t>2</w:t>
            </w:r>
          </w:p>
        </w:tc>
        <w:tc>
          <w:tcPr>
            <w:tcW w:w="1217" w:type="dxa"/>
            <w:vAlign w:val="center"/>
          </w:tcPr>
          <w:p w14:paraId="246E124D">
            <w:pPr>
              <w:spacing w:line="240" w:lineRule="auto"/>
              <w:ind w:firstLine="0" w:firstLineChars="0"/>
              <w:jc w:val="center"/>
              <w:rPr>
                <w:sz w:val="21"/>
                <w:szCs w:val="21"/>
              </w:rPr>
            </w:pPr>
            <w:r>
              <w:rPr>
                <w:rFonts w:hint="eastAsia"/>
                <w:sz w:val="21"/>
                <w:szCs w:val="21"/>
              </w:rPr>
              <w:t>煤气外送管道（吹扫）</w:t>
            </w:r>
          </w:p>
        </w:tc>
        <w:tc>
          <w:tcPr>
            <w:tcW w:w="1217" w:type="dxa"/>
            <w:vAlign w:val="center"/>
          </w:tcPr>
          <w:p w14:paraId="2DC0E7D2">
            <w:pPr>
              <w:spacing w:line="240" w:lineRule="auto"/>
              <w:ind w:firstLine="0" w:firstLineChars="0"/>
              <w:jc w:val="center"/>
              <w:rPr>
                <w:sz w:val="21"/>
                <w:szCs w:val="21"/>
              </w:rPr>
            </w:pPr>
          </w:p>
        </w:tc>
        <w:tc>
          <w:tcPr>
            <w:tcW w:w="1217" w:type="dxa"/>
            <w:vAlign w:val="center"/>
          </w:tcPr>
          <w:p w14:paraId="5C8A2094">
            <w:pPr>
              <w:spacing w:line="240" w:lineRule="auto"/>
              <w:ind w:firstLine="0" w:firstLineChars="0"/>
              <w:jc w:val="center"/>
              <w:rPr>
                <w:sz w:val="21"/>
                <w:szCs w:val="21"/>
              </w:rPr>
            </w:pPr>
          </w:p>
        </w:tc>
        <w:tc>
          <w:tcPr>
            <w:tcW w:w="1218" w:type="dxa"/>
            <w:vAlign w:val="center"/>
          </w:tcPr>
          <w:p w14:paraId="3A10BDEF">
            <w:pPr>
              <w:spacing w:line="240" w:lineRule="auto"/>
              <w:ind w:firstLine="0" w:firstLineChars="0"/>
              <w:jc w:val="center"/>
              <w:rPr>
                <w:sz w:val="21"/>
                <w:szCs w:val="21"/>
              </w:rPr>
            </w:pPr>
          </w:p>
        </w:tc>
        <w:tc>
          <w:tcPr>
            <w:tcW w:w="1218" w:type="dxa"/>
            <w:vAlign w:val="center"/>
          </w:tcPr>
          <w:p w14:paraId="2F535071">
            <w:pPr>
              <w:spacing w:line="240" w:lineRule="auto"/>
              <w:ind w:firstLine="0" w:firstLineChars="0"/>
              <w:jc w:val="center"/>
              <w:rPr>
                <w:sz w:val="21"/>
                <w:szCs w:val="21"/>
              </w:rPr>
            </w:pPr>
            <w:r>
              <w:rPr>
                <w:rFonts w:hint="eastAsia"/>
                <w:sz w:val="21"/>
                <w:szCs w:val="21"/>
              </w:rPr>
              <w:t>-777.1</w:t>
            </w:r>
          </w:p>
        </w:tc>
        <w:tc>
          <w:tcPr>
            <w:tcW w:w="1218" w:type="dxa"/>
            <w:vAlign w:val="center"/>
          </w:tcPr>
          <w:p w14:paraId="2A41D7FE">
            <w:pPr>
              <w:spacing w:line="240" w:lineRule="auto"/>
              <w:ind w:firstLine="0" w:firstLineChars="0"/>
              <w:jc w:val="center"/>
              <w:rPr>
                <w:sz w:val="21"/>
                <w:szCs w:val="21"/>
              </w:rPr>
            </w:pPr>
          </w:p>
        </w:tc>
      </w:tr>
      <w:tr w14:paraId="7B8B0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3B773534">
            <w:pPr>
              <w:spacing w:line="240" w:lineRule="auto"/>
              <w:ind w:firstLine="0" w:firstLineChars="0"/>
              <w:jc w:val="center"/>
              <w:rPr>
                <w:sz w:val="21"/>
                <w:szCs w:val="21"/>
              </w:rPr>
            </w:pPr>
            <w:r>
              <w:rPr>
                <w:rFonts w:hint="eastAsia"/>
                <w:sz w:val="21"/>
                <w:szCs w:val="21"/>
              </w:rPr>
              <w:t>3</w:t>
            </w:r>
          </w:p>
        </w:tc>
        <w:tc>
          <w:tcPr>
            <w:tcW w:w="1217" w:type="dxa"/>
            <w:vAlign w:val="center"/>
          </w:tcPr>
          <w:p w14:paraId="6740D59E">
            <w:pPr>
              <w:spacing w:line="240" w:lineRule="auto"/>
              <w:ind w:firstLine="0" w:firstLineChars="0"/>
              <w:jc w:val="center"/>
              <w:rPr>
                <w:sz w:val="21"/>
                <w:szCs w:val="21"/>
              </w:rPr>
            </w:pPr>
            <w:r>
              <w:rPr>
                <w:rFonts w:hint="eastAsia"/>
                <w:sz w:val="21"/>
                <w:szCs w:val="21"/>
              </w:rPr>
              <w:t>炭化工段（吹扫）</w:t>
            </w:r>
          </w:p>
        </w:tc>
        <w:tc>
          <w:tcPr>
            <w:tcW w:w="1217" w:type="dxa"/>
            <w:vAlign w:val="center"/>
          </w:tcPr>
          <w:p w14:paraId="3D500469">
            <w:pPr>
              <w:spacing w:line="240" w:lineRule="auto"/>
              <w:ind w:firstLine="0" w:firstLineChars="0"/>
              <w:jc w:val="center"/>
              <w:rPr>
                <w:sz w:val="21"/>
                <w:szCs w:val="21"/>
              </w:rPr>
            </w:pPr>
          </w:p>
        </w:tc>
        <w:tc>
          <w:tcPr>
            <w:tcW w:w="1217" w:type="dxa"/>
            <w:vAlign w:val="center"/>
          </w:tcPr>
          <w:p w14:paraId="41C60D35">
            <w:pPr>
              <w:spacing w:line="240" w:lineRule="auto"/>
              <w:ind w:firstLine="0" w:firstLineChars="0"/>
              <w:jc w:val="center"/>
              <w:rPr>
                <w:sz w:val="21"/>
                <w:szCs w:val="21"/>
              </w:rPr>
            </w:pPr>
          </w:p>
        </w:tc>
        <w:tc>
          <w:tcPr>
            <w:tcW w:w="1218" w:type="dxa"/>
            <w:vAlign w:val="center"/>
          </w:tcPr>
          <w:p w14:paraId="65F574A8">
            <w:pPr>
              <w:spacing w:line="240" w:lineRule="auto"/>
              <w:ind w:firstLine="0" w:firstLineChars="0"/>
              <w:jc w:val="center"/>
              <w:rPr>
                <w:sz w:val="21"/>
                <w:szCs w:val="21"/>
              </w:rPr>
            </w:pPr>
          </w:p>
        </w:tc>
        <w:tc>
          <w:tcPr>
            <w:tcW w:w="1218" w:type="dxa"/>
            <w:vAlign w:val="center"/>
          </w:tcPr>
          <w:p w14:paraId="14893909">
            <w:pPr>
              <w:spacing w:line="240" w:lineRule="auto"/>
              <w:ind w:firstLine="0" w:firstLineChars="0"/>
              <w:jc w:val="center"/>
              <w:rPr>
                <w:sz w:val="21"/>
                <w:szCs w:val="21"/>
              </w:rPr>
            </w:pPr>
            <w:r>
              <w:rPr>
                <w:rFonts w:hint="eastAsia"/>
                <w:sz w:val="21"/>
                <w:szCs w:val="21"/>
              </w:rPr>
              <w:t>-514.76</w:t>
            </w:r>
          </w:p>
        </w:tc>
        <w:tc>
          <w:tcPr>
            <w:tcW w:w="1218" w:type="dxa"/>
            <w:vAlign w:val="center"/>
          </w:tcPr>
          <w:p w14:paraId="6F5DC63D">
            <w:pPr>
              <w:spacing w:line="240" w:lineRule="auto"/>
              <w:ind w:firstLine="0" w:firstLineChars="0"/>
              <w:jc w:val="center"/>
              <w:rPr>
                <w:sz w:val="21"/>
                <w:szCs w:val="21"/>
              </w:rPr>
            </w:pPr>
          </w:p>
        </w:tc>
      </w:tr>
      <w:tr w14:paraId="5C1F3D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1F7D806E">
            <w:pPr>
              <w:spacing w:line="240" w:lineRule="auto"/>
              <w:ind w:firstLine="0" w:firstLineChars="0"/>
              <w:jc w:val="center"/>
              <w:rPr>
                <w:sz w:val="21"/>
                <w:szCs w:val="21"/>
              </w:rPr>
            </w:pPr>
            <w:r>
              <w:rPr>
                <w:rFonts w:hint="eastAsia"/>
                <w:sz w:val="21"/>
                <w:szCs w:val="21"/>
              </w:rPr>
              <w:t>4</w:t>
            </w:r>
          </w:p>
        </w:tc>
        <w:tc>
          <w:tcPr>
            <w:tcW w:w="1217" w:type="dxa"/>
            <w:vAlign w:val="center"/>
          </w:tcPr>
          <w:p w14:paraId="2CB4C850">
            <w:pPr>
              <w:spacing w:line="240" w:lineRule="auto"/>
              <w:ind w:firstLine="0" w:firstLineChars="0"/>
              <w:jc w:val="center"/>
              <w:rPr>
                <w:sz w:val="21"/>
                <w:szCs w:val="21"/>
              </w:rPr>
            </w:pPr>
            <w:r>
              <w:rPr>
                <w:rFonts w:hint="eastAsia"/>
                <w:sz w:val="21"/>
                <w:szCs w:val="21"/>
              </w:rPr>
              <w:t>蒸汽灭焦</w:t>
            </w:r>
          </w:p>
        </w:tc>
        <w:tc>
          <w:tcPr>
            <w:tcW w:w="1217" w:type="dxa"/>
            <w:vAlign w:val="center"/>
          </w:tcPr>
          <w:p w14:paraId="2E75826D">
            <w:pPr>
              <w:spacing w:line="240" w:lineRule="auto"/>
              <w:ind w:firstLine="0" w:firstLineChars="0"/>
              <w:jc w:val="center"/>
              <w:rPr>
                <w:sz w:val="21"/>
                <w:szCs w:val="21"/>
              </w:rPr>
            </w:pPr>
          </w:p>
        </w:tc>
        <w:tc>
          <w:tcPr>
            <w:tcW w:w="1217" w:type="dxa"/>
            <w:vAlign w:val="center"/>
          </w:tcPr>
          <w:p w14:paraId="6D194F82">
            <w:pPr>
              <w:spacing w:line="240" w:lineRule="auto"/>
              <w:ind w:firstLine="0" w:firstLineChars="0"/>
              <w:jc w:val="center"/>
              <w:rPr>
                <w:sz w:val="21"/>
                <w:szCs w:val="21"/>
              </w:rPr>
            </w:pPr>
          </w:p>
        </w:tc>
        <w:tc>
          <w:tcPr>
            <w:tcW w:w="1218" w:type="dxa"/>
            <w:vAlign w:val="center"/>
          </w:tcPr>
          <w:p w14:paraId="7F0C2C1A">
            <w:pPr>
              <w:spacing w:line="240" w:lineRule="auto"/>
              <w:ind w:firstLine="0" w:firstLineChars="0"/>
              <w:jc w:val="center"/>
              <w:rPr>
                <w:sz w:val="21"/>
                <w:szCs w:val="21"/>
              </w:rPr>
            </w:pPr>
            <w:r>
              <w:rPr>
                <w:rFonts w:hint="eastAsia"/>
                <w:sz w:val="21"/>
                <w:szCs w:val="21"/>
              </w:rPr>
              <w:t>-4000</w:t>
            </w:r>
          </w:p>
        </w:tc>
        <w:tc>
          <w:tcPr>
            <w:tcW w:w="1218" w:type="dxa"/>
            <w:vAlign w:val="center"/>
          </w:tcPr>
          <w:p w14:paraId="1104E7A5">
            <w:pPr>
              <w:spacing w:line="240" w:lineRule="auto"/>
              <w:ind w:firstLine="0" w:firstLineChars="0"/>
              <w:jc w:val="center"/>
              <w:rPr>
                <w:sz w:val="21"/>
                <w:szCs w:val="21"/>
              </w:rPr>
            </w:pPr>
          </w:p>
        </w:tc>
        <w:tc>
          <w:tcPr>
            <w:tcW w:w="1218" w:type="dxa"/>
            <w:vAlign w:val="center"/>
          </w:tcPr>
          <w:p w14:paraId="043764B6">
            <w:pPr>
              <w:spacing w:line="240" w:lineRule="auto"/>
              <w:ind w:firstLine="0" w:firstLineChars="0"/>
              <w:jc w:val="center"/>
              <w:rPr>
                <w:sz w:val="21"/>
                <w:szCs w:val="21"/>
              </w:rPr>
            </w:pPr>
          </w:p>
        </w:tc>
      </w:tr>
      <w:tr w14:paraId="024C0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3580CDF5">
            <w:pPr>
              <w:spacing w:line="240" w:lineRule="auto"/>
              <w:ind w:firstLine="0" w:firstLineChars="0"/>
              <w:jc w:val="center"/>
              <w:rPr>
                <w:sz w:val="21"/>
                <w:szCs w:val="21"/>
              </w:rPr>
            </w:pPr>
            <w:r>
              <w:rPr>
                <w:rFonts w:hint="eastAsia"/>
                <w:sz w:val="21"/>
                <w:szCs w:val="21"/>
              </w:rPr>
              <w:t>5</w:t>
            </w:r>
          </w:p>
        </w:tc>
        <w:tc>
          <w:tcPr>
            <w:tcW w:w="1217" w:type="dxa"/>
            <w:vAlign w:val="center"/>
          </w:tcPr>
          <w:p w14:paraId="2969EEF2">
            <w:pPr>
              <w:spacing w:line="240" w:lineRule="auto"/>
              <w:ind w:firstLine="0" w:firstLineChars="0"/>
              <w:jc w:val="center"/>
              <w:rPr>
                <w:sz w:val="21"/>
                <w:szCs w:val="21"/>
              </w:rPr>
            </w:pPr>
            <w:r>
              <w:rPr>
                <w:rFonts w:hint="eastAsia"/>
                <w:sz w:val="21"/>
                <w:szCs w:val="21"/>
              </w:rPr>
              <w:t>净化工段（吹扫）</w:t>
            </w:r>
          </w:p>
        </w:tc>
        <w:tc>
          <w:tcPr>
            <w:tcW w:w="1217" w:type="dxa"/>
            <w:vAlign w:val="center"/>
          </w:tcPr>
          <w:p w14:paraId="60008391">
            <w:pPr>
              <w:spacing w:line="240" w:lineRule="auto"/>
              <w:ind w:firstLine="0" w:firstLineChars="0"/>
              <w:jc w:val="center"/>
              <w:rPr>
                <w:sz w:val="21"/>
                <w:szCs w:val="21"/>
              </w:rPr>
            </w:pPr>
          </w:p>
        </w:tc>
        <w:tc>
          <w:tcPr>
            <w:tcW w:w="1217" w:type="dxa"/>
            <w:vAlign w:val="center"/>
          </w:tcPr>
          <w:p w14:paraId="0EC440B9">
            <w:pPr>
              <w:spacing w:line="240" w:lineRule="auto"/>
              <w:ind w:firstLine="0" w:firstLineChars="0"/>
              <w:jc w:val="center"/>
              <w:rPr>
                <w:sz w:val="21"/>
                <w:szCs w:val="21"/>
              </w:rPr>
            </w:pPr>
          </w:p>
        </w:tc>
        <w:tc>
          <w:tcPr>
            <w:tcW w:w="1218" w:type="dxa"/>
            <w:vAlign w:val="center"/>
          </w:tcPr>
          <w:p w14:paraId="19F3B407">
            <w:pPr>
              <w:spacing w:line="240" w:lineRule="auto"/>
              <w:ind w:firstLine="0" w:firstLineChars="0"/>
              <w:jc w:val="center"/>
              <w:rPr>
                <w:sz w:val="21"/>
                <w:szCs w:val="21"/>
              </w:rPr>
            </w:pPr>
          </w:p>
        </w:tc>
        <w:tc>
          <w:tcPr>
            <w:tcW w:w="1218" w:type="dxa"/>
            <w:vAlign w:val="center"/>
          </w:tcPr>
          <w:p w14:paraId="354E3A93">
            <w:pPr>
              <w:spacing w:line="240" w:lineRule="auto"/>
              <w:ind w:firstLine="0" w:firstLineChars="0"/>
              <w:jc w:val="center"/>
              <w:rPr>
                <w:sz w:val="21"/>
                <w:szCs w:val="21"/>
              </w:rPr>
            </w:pPr>
            <w:r>
              <w:rPr>
                <w:rFonts w:hint="eastAsia"/>
                <w:sz w:val="21"/>
                <w:szCs w:val="21"/>
              </w:rPr>
              <w:t>-557.5</w:t>
            </w:r>
          </w:p>
        </w:tc>
        <w:tc>
          <w:tcPr>
            <w:tcW w:w="1218" w:type="dxa"/>
            <w:vAlign w:val="center"/>
          </w:tcPr>
          <w:p w14:paraId="1529DE90">
            <w:pPr>
              <w:spacing w:line="240" w:lineRule="auto"/>
              <w:ind w:firstLine="0" w:firstLineChars="0"/>
              <w:jc w:val="center"/>
              <w:rPr>
                <w:sz w:val="21"/>
                <w:szCs w:val="21"/>
              </w:rPr>
            </w:pPr>
          </w:p>
        </w:tc>
      </w:tr>
      <w:tr w14:paraId="492703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39B124BB">
            <w:pPr>
              <w:spacing w:line="240" w:lineRule="auto"/>
              <w:ind w:firstLine="0" w:firstLineChars="0"/>
              <w:jc w:val="center"/>
              <w:rPr>
                <w:sz w:val="21"/>
                <w:szCs w:val="21"/>
              </w:rPr>
            </w:pPr>
            <w:r>
              <w:rPr>
                <w:rFonts w:hint="eastAsia"/>
                <w:sz w:val="21"/>
                <w:szCs w:val="21"/>
              </w:rPr>
              <w:t>6</w:t>
            </w:r>
          </w:p>
        </w:tc>
        <w:tc>
          <w:tcPr>
            <w:tcW w:w="1217" w:type="dxa"/>
            <w:vAlign w:val="center"/>
          </w:tcPr>
          <w:p w14:paraId="5BDAF3D9">
            <w:pPr>
              <w:spacing w:line="240" w:lineRule="auto"/>
              <w:ind w:firstLine="0" w:firstLineChars="0"/>
              <w:jc w:val="center"/>
              <w:rPr>
                <w:sz w:val="21"/>
                <w:szCs w:val="21"/>
              </w:rPr>
            </w:pPr>
            <w:r>
              <w:rPr>
                <w:rFonts w:hint="eastAsia"/>
                <w:sz w:val="21"/>
                <w:szCs w:val="21"/>
              </w:rPr>
              <w:t>废水焚烧余热锅炉</w:t>
            </w:r>
          </w:p>
        </w:tc>
        <w:tc>
          <w:tcPr>
            <w:tcW w:w="1217" w:type="dxa"/>
            <w:vAlign w:val="center"/>
          </w:tcPr>
          <w:p w14:paraId="79C9BB79">
            <w:pPr>
              <w:spacing w:line="240" w:lineRule="auto"/>
              <w:ind w:firstLine="0" w:firstLineChars="0"/>
              <w:jc w:val="center"/>
              <w:rPr>
                <w:sz w:val="21"/>
                <w:szCs w:val="21"/>
              </w:rPr>
            </w:pPr>
          </w:p>
        </w:tc>
        <w:tc>
          <w:tcPr>
            <w:tcW w:w="1217" w:type="dxa"/>
            <w:vAlign w:val="center"/>
          </w:tcPr>
          <w:p w14:paraId="4B2A0386">
            <w:pPr>
              <w:spacing w:line="240" w:lineRule="auto"/>
              <w:ind w:firstLine="0" w:firstLineChars="0"/>
              <w:jc w:val="center"/>
              <w:rPr>
                <w:sz w:val="21"/>
                <w:szCs w:val="21"/>
              </w:rPr>
            </w:pPr>
            <w:r>
              <w:rPr>
                <w:rFonts w:hint="eastAsia"/>
                <w:sz w:val="21"/>
                <w:szCs w:val="21"/>
              </w:rPr>
              <w:t>20000</w:t>
            </w:r>
          </w:p>
        </w:tc>
        <w:tc>
          <w:tcPr>
            <w:tcW w:w="1218" w:type="dxa"/>
            <w:vAlign w:val="center"/>
          </w:tcPr>
          <w:p w14:paraId="25D5FB2E">
            <w:pPr>
              <w:spacing w:line="240" w:lineRule="auto"/>
              <w:ind w:firstLine="0" w:firstLineChars="0"/>
              <w:jc w:val="center"/>
              <w:rPr>
                <w:sz w:val="21"/>
                <w:szCs w:val="21"/>
              </w:rPr>
            </w:pPr>
            <w:r>
              <w:rPr>
                <w:rFonts w:hint="eastAsia"/>
                <w:sz w:val="21"/>
                <w:szCs w:val="21"/>
              </w:rPr>
              <w:t>-2000</w:t>
            </w:r>
          </w:p>
        </w:tc>
        <w:tc>
          <w:tcPr>
            <w:tcW w:w="1218" w:type="dxa"/>
            <w:vAlign w:val="center"/>
          </w:tcPr>
          <w:p w14:paraId="1D11E2D6">
            <w:pPr>
              <w:spacing w:line="240" w:lineRule="auto"/>
              <w:ind w:firstLine="0" w:firstLineChars="0"/>
              <w:jc w:val="center"/>
              <w:rPr>
                <w:sz w:val="21"/>
                <w:szCs w:val="21"/>
              </w:rPr>
            </w:pPr>
          </w:p>
        </w:tc>
        <w:tc>
          <w:tcPr>
            <w:tcW w:w="1218" w:type="dxa"/>
            <w:vAlign w:val="center"/>
          </w:tcPr>
          <w:p w14:paraId="5237FE63">
            <w:pPr>
              <w:spacing w:line="240" w:lineRule="auto"/>
              <w:ind w:firstLine="0" w:firstLineChars="0"/>
              <w:jc w:val="center"/>
              <w:rPr>
                <w:sz w:val="21"/>
                <w:szCs w:val="21"/>
              </w:rPr>
            </w:pPr>
          </w:p>
        </w:tc>
      </w:tr>
      <w:tr w14:paraId="3E83D8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78B33A5B">
            <w:pPr>
              <w:spacing w:line="240" w:lineRule="auto"/>
              <w:ind w:firstLine="0" w:firstLineChars="0"/>
              <w:jc w:val="center"/>
              <w:rPr>
                <w:sz w:val="21"/>
                <w:szCs w:val="21"/>
              </w:rPr>
            </w:pPr>
            <w:r>
              <w:rPr>
                <w:rFonts w:hint="eastAsia"/>
                <w:sz w:val="21"/>
                <w:szCs w:val="21"/>
              </w:rPr>
              <w:t>7</w:t>
            </w:r>
          </w:p>
        </w:tc>
        <w:tc>
          <w:tcPr>
            <w:tcW w:w="1217" w:type="dxa"/>
            <w:vAlign w:val="center"/>
          </w:tcPr>
          <w:p w14:paraId="0ED2AC0C">
            <w:pPr>
              <w:spacing w:line="240" w:lineRule="auto"/>
              <w:ind w:firstLine="0" w:firstLineChars="0"/>
              <w:jc w:val="center"/>
              <w:rPr>
                <w:sz w:val="21"/>
                <w:szCs w:val="21"/>
              </w:rPr>
            </w:pPr>
            <w:r>
              <w:rPr>
                <w:rFonts w:hint="eastAsia"/>
                <w:sz w:val="21"/>
                <w:szCs w:val="21"/>
              </w:rPr>
              <w:t>管网损失</w:t>
            </w:r>
          </w:p>
        </w:tc>
        <w:tc>
          <w:tcPr>
            <w:tcW w:w="1217" w:type="dxa"/>
            <w:vAlign w:val="center"/>
          </w:tcPr>
          <w:p w14:paraId="431F0CEB">
            <w:pPr>
              <w:spacing w:line="240" w:lineRule="auto"/>
              <w:ind w:firstLine="0" w:firstLineChars="0"/>
              <w:jc w:val="center"/>
              <w:rPr>
                <w:sz w:val="21"/>
                <w:szCs w:val="21"/>
              </w:rPr>
            </w:pPr>
          </w:p>
        </w:tc>
        <w:tc>
          <w:tcPr>
            <w:tcW w:w="3653" w:type="dxa"/>
            <w:gridSpan w:val="3"/>
            <w:vAlign w:val="center"/>
          </w:tcPr>
          <w:p w14:paraId="63E0C502">
            <w:pPr>
              <w:spacing w:line="240" w:lineRule="auto"/>
              <w:ind w:firstLine="0" w:firstLineChars="0"/>
              <w:jc w:val="center"/>
              <w:rPr>
                <w:sz w:val="21"/>
                <w:szCs w:val="21"/>
              </w:rPr>
            </w:pPr>
            <w:r>
              <w:rPr>
                <w:rFonts w:hint="eastAsia"/>
                <w:sz w:val="21"/>
                <w:szCs w:val="21"/>
              </w:rPr>
              <w:t>-18.6</w:t>
            </w:r>
          </w:p>
        </w:tc>
        <w:tc>
          <w:tcPr>
            <w:tcW w:w="1218" w:type="dxa"/>
            <w:vAlign w:val="center"/>
          </w:tcPr>
          <w:p w14:paraId="40F2D28A">
            <w:pPr>
              <w:spacing w:line="240" w:lineRule="auto"/>
              <w:ind w:firstLine="0" w:firstLineChars="0"/>
              <w:jc w:val="center"/>
              <w:rPr>
                <w:sz w:val="21"/>
                <w:szCs w:val="21"/>
              </w:rPr>
            </w:pPr>
          </w:p>
        </w:tc>
      </w:tr>
      <w:tr w14:paraId="519FC1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6320A35C">
            <w:pPr>
              <w:spacing w:line="240" w:lineRule="auto"/>
              <w:ind w:firstLine="0" w:firstLineChars="0"/>
              <w:jc w:val="center"/>
              <w:rPr>
                <w:sz w:val="21"/>
                <w:szCs w:val="21"/>
              </w:rPr>
            </w:pPr>
          </w:p>
        </w:tc>
        <w:tc>
          <w:tcPr>
            <w:tcW w:w="1217" w:type="dxa"/>
            <w:vAlign w:val="center"/>
          </w:tcPr>
          <w:p w14:paraId="7627E26D">
            <w:pPr>
              <w:spacing w:line="240" w:lineRule="auto"/>
              <w:ind w:firstLine="0" w:firstLineChars="0"/>
              <w:jc w:val="center"/>
              <w:rPr>
                <w:sz w:val="21"/>
                <w:szCs w:val="21"/>
              </w:rPr>
            </w:pPr>
            <w:r>
              <w:rPr>
                <w:rFonts w:hint="eastAsia"/>
                <w:sz w:val="21"/>
                <w:szCs w:val="21"/>
              </w:rPr>
              <w:t>总计</w:t>
            </w:r>
          </w:p>
        </w:tc>
        <w:tc>
          <w:tcPr>
            <w:tcW w:w="1217" w:type="dxa"/>
            <w:vAlign w:val="center"/>
          </w:tcPr>
          <w:p w14:paraId="73265FEA">
            <w:pPr>
              <w:spacing w:line="240" w:lineRule="auto"/>
              <w:ind w:firstLine="0" w:firstLineChars="0"/>
              <w:jc w:val="center"/>
              <w:rPr>
                <w:sz w:val="21"/>
                <w:szCs w:val="21"/>
              </w:rPr>
            </w:pPr>
          </w:p>
        </w:tc>
        <w:tc>
          <w:tcPr>
            <w:tcW w:w="1217" w:type="dxa"/>
            <w:vAlign w:val="center"/>
          </w:tcPr>
          <w:p w14:paraId="223A78A3">
            <w:pPr>
              <w:spacing w:line="240" w:lineRule="auto"/>
              <w:ind w:firstLine="0" w:firstLineChars="0"/>
              <w:jc w:val="center"/>
              <w:rPr>
                <w:sz w:val="21"/>
                <w:szCs w:val="21"/>
              </w:rPr>
            </w:pPr>
            <w:r>
              <w:rPr>
                <w:rFonts w:hint="eastAsia"/>
                <w:sz w:val="21"/>
                <w:szCs w:val="21"/>
              </w:rPr>
              <w:t>24000</w:t>
            </w:r>
          </w:p>
        </w:tc>
        <w:tc>
          <w:tcPr>
            <w:tcW w:w="1218" w:type="dxa"/>
            <w:vAlign w:val="center"/>
          </w:tcPr>
          <w:p w14:paraId="3832DCF5">
            <w:pPr>
              <w:spacing w:line="240" w:lineRule="auto"/>
              <w:ind w:firstLine="0" w:firstLineChars="0"/>
              <w:jc w:val="center"/>
              <w:rPr>
                <w:sz w:val="21"/>
                <w:szCs w:val="21"/>
              </w:rPr>
            </w:pPr>
            <w:r>
              <w:rPr>
                <w:rFonts w:hint="eastAsia"/>
                <w:sz w:val="21"/>
                <w:szCs w:val="21"/>
              </w:rPr>
              <w:t>-6018.65</w:t>
            </w:r>
          </w:p>
        </w:tc>
        <w:tc>
          <w:tcPr>
            <w:tcW w:w="1218" w:type="dxa"/>
            <w:vAlign w:val="center"/>
          </w:tcPr>
          <w:p w14:paraId="12537162">
            <w:pPr>
              <w:spacing w:line="240" w:lineRule="auto"/>
              <w:ind w:firstLine="0" w:firstLineChars="0"/>
              <w:jc w:val="center"/>
              <w:rPr>
                <w:sz w:val="21"/>
                <w:szCs w:val="21"/>
              </w:rPr>
            </w:pPr>
            <w:r>
              <w:rPr>
                <w:rFonts w:hint="eastAsia"/>
                <w:sz w:val="21"/>
                <w:szCs w:val="21"/>
              </w:rPr>
              <w:t>-1849.36</w:t>
            </w:r>
          </w:p>
        </w:tc>
        <w:tc>
          <w:tcPr>
            <w:tcW w:w="1218" w:type="dxa"/>
            <w:vAlign w:val="center"/>
          </w:tcPr>
          <w:p w14:paraId="26316FEE">
            <w:pPr>
              <w:spacing w:line="240" w:lineRule="auto"/>
              <w:ind w:firstLine="0" w:firstLineChars="0"/>
              <w:jc w:val="center"/>
              <w:rPr>
                <w:sz w:val="21"/>
                <w:szCs w:val="21"/>
              </w:rPr>
            </w:pPr>
          </w:p>
        </w:tc>
      </w:tr>
      <w:tr w14:paraId="525FB2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217" w:type="dxa"/>
            <w:vAlign w:val="center"/>
          </w:tcPr>
          <w:p w14:paraId="78C37CCB">
            <w:pPr>
              <w:spacing w:line="240" w:lineRule="auto"/>
              <w:ind w:firstLine="0" w:firstLineChars="0"/>
              <w:jc w:val="center"/>
              <w:rPr>
                <w:sz w:val="21"/>
                <w:szCs w:val="21"/>
              </w:rPr>
            </w:pPr>
          </w:p>
        </w:tc>
        <w:tc>
          <w:tcPr>
            <w:tcW w:w="1217" w:type="dxa"/>
            <w:vAlign w:val="center"/>
          </w:tcPr>
          <w:p w14:paraId="7E976B95">
            <w:pPr>
              <w:spacing w:line="240" w:lineRule="auto"/>
              <w:ind w:firstLine="0" w:firstLineChars="0"/>
              <w:jc w:val="center"/>
              <w:rPr>
                <w:sz w:val="21"/>
                <w:szCs w:val="21"/>
              </w:rPr>
            </w:pPr>
            <w:r>
              <w:rPr>
                <w:rFonts w:hint="eastAsia"/>
                <w:sz w:val="21"/>
                <w:szCs w:val="21"/>
              </w:rPr>
              <w:t>合计</w:t>
            </w:r>
          </w:p>
        </w:tc>
        <w:tc>
          <w:tcPr>
            <w:tcW w:w="1217" w:type="dxa"/>
            <w:vAlign w:val="center"/>
          </w:tcPr>
          <w:p w14:paraId="12072C71">
            <w:pPr>
              <w:spacing w:line="240" w:lineRule="auto"/>
              <w:ind w:firstLine="0" w:firstLineChars="0"/>
              <w:jc w:val="center"/>
              <w:rPr>
                <w:sz w:val="21"/>
                <w:szCs w:val="21"/>
              </w:rPr>
            </w:pPr>
          </w:p>
        </w:tc>
        <w:tc>
          <w:tcPr>
            <w:tcW w:w="3653" w:type="dxa"/>
            <w:gridSpan w:val="3"/>
            <w:vAlign w:val="center"/>
          </w:tcPr>
          <w:p w14:paraId="5A543B7F">
            <w:pPr>
              <w:spacing w:line="240" w:lineRule="auto"/>
              <w:ind w:firstLine="0" w:firstLineChars="0"/>
              <w:jc w:val="center"/>
              <w:rPr>
                <w:sz w:val="21"/>
                <w:szCs w:val="21"/>
              </w:rPr>
            </w:pPr>
            <w:r>
              <w:rPr>
                <w:rFonts w:hint="eastAsia"/>
                <w:sz w:val="21"/>
                <w:szCs w:val="21"/>
              </w:rPr>
              <w:t>16131.99</w:t>
            </w:r>
          </w:p>
        </w:tc>
        <w:tc>
          <w:tcPr>
            <w:tcW w:w="1218" w:type="dxa"/>
            <w:vAlign w:val="center"/>
          </w:tcPr>
          <w:p w14:paraId="6C7B5458">
            <w:pPr>
              <w:spacing w:line="240" w:lineRule="auto"/>
              <w:ind w:firstLine="0" w:firstLineChars="0"/>
              <w:jc w:val="center"/>
              <w:rPr>
                <w:sz w:val="21"/>
                <w:szCs w:val="21"/>
              </w:rPr>
            </w:pPr>
            <w:r>
              <w:rPr>
                <w:rFonts w:hint="eastAsia"/>
                <w:sz w:val="21"/>
                <w:szCs w:val="21"/>
              </w:rPr>
              <w:t>外送镁合金</w:t>
            </w:r>
          </w:p>
        </w:tc>
      </w:tr>
    </w:tbl>
    <w:p w14:paraId="6AEE8E6C">
      <w:pPr>
        <w:ind w:firstLine="0" w:firstLineChars="0"/>
      </w:pPr>
    </w:p>
    <w:p w14:paraId="3D81A0D6">
      <w:pPr>
        <w:ind w:firstLine="480"/>
        <w:sectPr>
          <w:pgSz w:w="11906" w:h="16838"/>
          <w:pgMar w:top="1440" w:right="1800" w:bottom="1440" w:left="1800" w:header="850" w:footer="850" w:gutter="0"/>
          <w:cols w:space="425" w:num="1"/>
          <w:docGrid w:type="lines" w:linePitch="326" w:charSpace="0"/>
        </w:sectPr>
      </w:pPr>
    </w:p>
    <w:p w14:paraId="310414B9">
      <w:pPr>
        <w:pStyle w:val="138"/>
        <w:rPr>
          <w:rFonts w:hint="eastAsia"/>
        </w:rPr>
      </w:pPr>
      <w:r>
        <w:rPr>
          <w:rFonts w:hint="eastAsia"/>
        </w:rPr>
        <w:t>污染源源强核算</w:t>
      </w:r>
    </w:p>
    <w:p w14:paraId="049BD507">
      <w:pPr>
        <w:pStyle w:val="5"/>
      </w:pPr>
      <w:r>
        <w:rPr>
          <w:rFonts w:hint="eastAsia"/>
        </w:rPr>
        <w:t>废气污染物源强核算</w:t>
      </w:r>
    </w:p>
    <w:p w14:paraId="69481C85">
      <w:pPr>
        <w:ind w:firstLine="480"/>
      </w:pPr>
      <w:bookmarkStart w:id="282" w:name="_Hlk177587822"/>
      <w:r>
        <w:rPr>
          <w:rFonts w:hint="eastAsia"/>
        </w:rPr>
        <w:t>本项目对厂内现有及在建兰炭生产线统筹改造及建设。改造完成后，本项目4</w:t>
      </w:r>
      <w:r>
        <w:rPr>
          <w:rFonts w:hint="eastAsia" w:ascii="宋体" w:hAnsi="宋体"/>
        </w:rPr>
        <w:t>×</w:t>
      </w:r>
      <w:r>
        <w:rPr>
          <w:rFonts w:hint="eastAsia"/>
        </w:rPr>
        <w:t>15万t/a炭化炉与煤气生产设施分别运行，但共用备煤设施、筛焦装置、储运工程及环保工程。炭化炉与煤气生产设施产生的无组织排放废气合并收集、处理、排放，环评整体核算全厂60万t/a兰炭生产线的废气污染物排放量。</w:t>
      </w:r>
    </w:p>
    <w:p w14:paraId="0E7B1640">
      <w:pPr>
        <w:ind w:firstLine="480"/>
      </w:pPr>
      <w:r>
        <w:rPr>
          <w:rFonts w:hint="eastAsia"/>
        </w:rPr>
        <w:t>环评主要参考《污染物源强核算指南 炼焦化学工业》（HJ 981-2018）、《排污许可证申请与核发技术规范 炼焦化学工业》（HJ 854-2017）、《炼焦化学工业污染防治可行技术指南》（HJ 2306-2018）相关要求，开展兰炭生产线污染源源强核算。新（改、扩）建设工程优先采取类比法，其次采用产污系数法；现有工程核算优先采取实测法，其次采用类比法；二氧化硫采用物料平衡法确定兰炭生产各工段污染物源强。</w:t>
      </w:r>
      <w:bookmarkEnd w:id="282"/>
    </w:p>
    <w:p w14:paraId="2311595D">
      <w:pPr>
        <w:ind w:firstLine="480"/>
      </w:pPr>
      <w:r>
        <w:rPr>
          <w:rFonts w:hint="eastAsia"/>
        </w:rPr>
        <w:t>根据《污染源源强核算技术指南 炼焦化学工业》（HJ 981-2018），燃用煤气的设施二氧化硫采用物料衡算法；颗粒物、氮氧化物优先采用类比法核算，其次采用产污系数法核算；其他特征因子采用类比法核算；废气无组织源采用类比法核算。非正常排放时，废气源强采用类比法及物料平衡法核算。</w:t>
      </w:r>
    </w:p>
    <w:p w14:paraId="6B9DFC88">
      <w:pPr>
        <w:ind w:firstLine="480"/>
      </w:pPr>
      <w:r>
        <w:rPr>
          <w:rFonts w:hint="eastAsia"/>
        </w:rPr>
        <w:t>根据《炼焦化学工业废气治理工程技术规范》（HJ 1280-2023），兰炭生产线废气污染物负荷应按产生污染设备连续运行工况条件下最大烟气量、最高烟气温度及污染物浓度计算确定。</w:t>
      </w:r>
    </w:p>
    <w:p w14:paraId="26EDCCA4">
      <w:pPr>
        <w:ind w:firstLine="480"/>
      </w:pPr>
      <w:r>
        <w:rPr>
          <w:rFonts w:hint="eastAsia"/>
        </w:rPr>
        <w:t>改造前后，本项目废气处理装置建设及运行情况汇总，见表3.3-12。表中的生产规模是指配套兰炭生产线产能，而不是环保设施实际处理的物料量。</w:t>
      </w:r>
    </w:p>
    <w:p w14:paraId="0BD08453">
      <w:pPr>
        <w:pStyle w:val="118"/>
      </w:pPr>
      <w:r>
        <w:rPr>
          <w:rFonts w:hint="eastAsia"/>
        </w:rPr>
        <w:t>表3.3-12  改造前后废气处理装置建设及运行情况汇总表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5"/>
        <w:gridCol w:w="1185"/>
        <w:gridCol w:w="2027"/>
        <w:gridCol w:w="1150"/>
        <w:gridCol w:w="2352"/>
        <w:gridCol w:w="1093"/>
      </w:tblGrid>
      <w:tr w14:paraId="48E5FB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20" w:type="pct"/>
            <w:vMerge w:val="restart"/>
            <w:vAlign w:val="center"/>
          </w:tcPr>
          <w:p w14:paraId="59712856">
            <w:pPr>
              <w:spacing w:line="240" w:lineRule="auto"/>
              <w:ind w:firstLine="0" w:firstLineChars="0"/>
              <w:jc w:val="center"/>
              <w:rPr>
                <w:b/>
                <w:bCs/>
                <w:sz w:val="21"/>
                <w:szCs w:val="21"/>
              </w:rPr>
            </w:pPr>
            <w:r>
              <w:rPr>
                <w:rFonts w:hint="eastAsia"/>
                <w:b/>
                <w:bCs/>
                <w:sz w:val="21"/>
                <w:szCs w:val="21"/>
              </w:rPr>
              <w:t>序号</w:t>
            </w:r>
          </w:p>
        </w:tc>
        <w:tc>
          <w:tcPr>
            <w:tcW w:w="695" w:type="pct"/>
            <w:vMerge w:val="restart"/>
            <w:vAlign w:val="center"/>
          </w:tcPr>
          <w:p w14:paraId="65255052">
            <w:pPr>
              <w:spacing w:line="240" w:lineRule="auto"/>
              <w:ind w:firstLine="0" w:firstLineChars="0"/>
              <w:jc w:val="center"/>
              <w:rPr>
                <w:b/>
                <w:bCs/>
                <w:sz w:val="21"/>
                <w:szCs w:val="21"/>
              </w:rPr>
            </w:pPr>
            <w:r>
              <w:rPr>
                <w:rFonts w:hint="eastAsia"/>
                <w:b/>
                <w:bCs/>
                <w:sz w:val="21"/>
                <w:szCs w:val="21"/>
              </w:rPr>
              <w:t>废气名称</w:t>
            </w:r>
          </w:p>
        </w:tc>
        <w:tc>
          <w:tcPr>
            <w:tcW w:w="1864" w:type="pct"/>
            <w:gridSpan w:val="2"/>
            <w:vAlign w:val="center"/>
          </w:tcPr>
          <w:p w14:paraId="638734E6">
            <w:pPr>
              <w:spacing w:line="240" w:lineRule="auto"/>
              <w:ind w:firstLine="0" w:firstLineChars="0"/>
              <w:jc w:val="center"/>
              <w:rPr>
                <w:b/>
                <w:bCs/>
                <w:sz w:val="21"/>
                <w:szCs w:val="21"/>
              </w:rPr>
            </w:pPr>
            <w:r>
              <w:rPr>
                <w:rFonts w:hint="eastAsia"/>
                <w:b/>
                <w:bCs/>
                <w:sz w:val="21"/>
                <w:szCs w:val="21"/>
              </w:rPr>
              <w:t>现有工程</w:t>
            </w:r>
          </w:p>
        </w:tc>
        <w:tc>
          <w:tcPr>
            <w:tcW w:w="2021" w:type="pct"/>
            <w:gridSpan w:val="2"/>
            <w:vAlign w:val="center"/>
          </w:tcPr>
          <w:p w14:paraId="550556F6">
            <w:pPr>
              <w:spacing w:line="240" w:lineRule="auto"/>
              <w:ind w:firstLine="0" w:firstLineChars="0"/>
              <w:jc w:val="center"/>
              <w:rPr>
                <w:b/>
                <w:bCs/>
                <w:sz w:val="21"/>
                <w:szCs w:val="21"/>
              </w:rPr>
            </w:pPr>
            <w:r>
              <w:rPr>
                <w:rFonts w:hint="eastAsia"/>
                <w:b/>
                <w:bCs/>
                <w:sz w:val="21"/>
                <w:szCs w:val="21"/>
              </w:rPr>
              <w:t>本项目</w:t>
            </w:r>
          </w:p>
        </w:tc>
      </w:tr>
      <w:tr w14:paraId="390DB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20" w:type="pct"/>
            <w:vMerge w:val="continue"/>
            <w:vAlign w:val="center"/>
          </w:tcPr>
          <w:p w14:paraId="39EB5931">
            <w:pPr>
              <w:spacing w:line="240" w:lineRule="auto"/>
              <w:ind w:firstLine="0" w:firstLineChars="0"/>
              <w:jc w:val="center"/>
              <w:rPr>
                <w:b/>
                <w:bCs/>
                <w:sz w:val="21"/>
                <w:szCs w:val="21"/>
              </w:rPr>
            </w:pPr>
          </w:p>
        </w:tc>
        <w:tc>
          <w:tcPr>
            <w:tcW w:w="695" w:type="pct"/>
            <w:vMerge w:val="continue"/>
            <w:vAlign w:val="center"/>
          </w:tcPr>
          <w:p w14:paraId="14C9896A">
            <w:pPr>
              <w:spacing w:line="240" w:lineRule="auto"/>
              <w:ind w:firstLine="0" w:firstLineChars="0"/>
              <w:jc w:val="center"/>
              <w:rPr>
                <w:b/>
                <w:bCs/>
                <w:sz w:val="21"/>
                <w:szCs w:val="21"/>
              </w:rPr>
            </w:pPr>
          </w:p>
        </w:tc>
        <w:tc>
          <w:tcPr>
            <w:tcW w:w="1189" w:type="pct"/>
            <w:vAlign w:val="center"/>
          </w:tcPr>
          <w:p w14:paraId="12A96E78">
            <w:pPr>
              <w:spacing w:line="240" w:lineRule="auto"/>
              <w:ind w:firstLine="0" w:firstLineChars="0"/>
              <w:jc w:val="center"/>
              <w:rPr>
                <w:b/>
                <w:bCs/>
                <w:sz w:val="21"/>
                <w:szCs w:val="21"/>
              </w:rPr>
            </w:pPr>
            <w:r>
              <w:rPr>
                <w:rFonts w:hint="eastAsia"/>
                <w:b/>
                <w:bCs/>
                <w:sz w:val="21"/>
                <w:szCs w:val="21"/>
              </w:rPr>
              <w:t>处理措施</w:t>
            </w:r>
          </w:p>
        </w:tc>
        <w:tc>
          <w:tcPr>
            <w:tcW w:w="675" w:type="pct"/>
            <w:vAlign w:val="center"/>
          </w:tcPr>
          <w:p w14:paraId="08FFA599">
            <w:pPr>
              <w:spacing w:line="240" w:lineRule="auto"/>
              <w:ind w:firstLine="0" w:firstLineChars="0"/>
              <w:jc w:val="center"/>
              <w:rPr>
                <w:b/>
                <w:bCs/>
                <w:sz w:val="21"/>
                <w:szCs w:val="21"/>
              </w:rPr>
            </w:pPr>
            <w:r>
              <w:rPr>
                <w:rFonts w:hint="eastAsia"/>
                <w:b/>
                <w:bCs/>
                <w:sz w:val="21"/>
                <w:szCs w:val="21"/>
              </w:rPr>
              <w:t>生产规模</w:t>
            </w:r>
          </w:p>
        </w:tc>
        <w:tc>
          <w:tcPr>
            <w:tcW w:w="1380" w:type="pct"/>
            <w:vAlign w:val="center"/>
          </w:tcPr>
          <w:p w14:paraId="5280944E">
            <w:pPr>
              <w:spacing w:line="240" w:lineRule="auto"/>
              <w:ind w:firstLine="0" w:firstLineChars="0"/>
              <w:jc w:val="center"/>
              <w:rPr>
                <w:b/>
                <w:bCs/>
                <w:sz w:val="21"/>
                <w:szCs w:val="21"/>
              </w:rPr>
            </w:pPr>
            <w:r>
              <w:rPr>
                <w:rFonts w:hint="eastAsia"/>
                <w:b/>
                <w:bCs/>
                <w:sz w:val="21"/>
                <w:szCs w:val="21"/>
              </w:rPr>
              <w:t>处理措施</w:t>
            </w:r>
          </w:p>
        </w:tc>
        <w:tc>
          <w:tcPr>
            <w:tcW w:w="641" w:type="pct"/>
            <w:vAlign w:val="center"/>
          </w:tcPr>
          <w:p w14:paraId="29C6573E">
            <w:pPr>
              <w:spacing w:line="240" w:lineRule="auto"/>
              <w:ind w:firstLine="0" w:firstLineChars="0"/>
              <w:jc w:val="center"/>
              <w:rPr>
                <w:b/>
                <w:bCs/>
                <w:sz w:val="21"/>
                <w:szCs w:val="21"/>
              </w:rPr>
            </w:pPr>
            <w:r>
              <w:rPr>
                <w:rFonts w:hint="eastAsia"/>
                <w:b/>
                <w:bCs/>
                <w:sz w:val="21"/>
                <w:szCs w:val="21"/>
              </w:rPr>
              <w:t>生产规模</w:t>
            </w:r>
          </w:p>
        </w:tc>
      </w:tr>
      <w:tr w14:paraId="2A4B44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5E1A33F9">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1-1</w:t>
            </w:r>
          </w:p>
        </w:tc>
        <w:tc>
          <w:tcPr>
            <w:tcW w:w="695" w:type="pct"/>
            <w:vAlign w:val="center"/>
          </w:tcPr>
          <w:p w14:paraId="2E48D304">
            <w:pPr>
              <w:spacing w:line="240" w:lineRule="auto"/>
              <w:ind w:firstLine="0" w:firstLineChars="0"/>
              <w:jc w:val="center"/>
              <w:rPr>
                <w:sz w:val="21"/>
                <w:szCs w:val="21"/>
              </w:rPr>
            </w:pPr>
            <w:r>
              <w:rPr>
                <w:rFonts w:hint="eastAsia" w:cs="宋体"/>
                <w:kern w:val="2"/>
                <w:sz w:val="21"/>
                <w:szCs w:val="21"/>
              </w:rPr>
              <w:t>备煤上料废气</w:t>
            </w:r>
          </w:p>
        </w:tc>
        <w:tc>
          <w:tcPr>
            <w:tcW w:w="1189" w:type="pct"/>
            <w:vAlign w:val="center"/>
          </w:tcPr>
          <w:p w14:paraId="3AD40816">
            <w:pPr>
              <w:spacing w:line="240" w:lineRule="auto"/>
              <w:ind w:firstLine="0" w:firstLineChars="0"/>
              <w:jc w:val="center"/>
              <w:rPr>
                <w:sz w:val="21"/>
                <w:szCs w:val="21"/>
              </w:rPr>
            </w:pPr>
            <w:r>
              <w:rPr>
                <w:rFonts w:hint="eastAsia"/>
                <w:sz w:val="21"/>
                <w:szCs w:val="21"/>
              </w:rPr>
              <w:t>1套布袋除尘</w:t>
            </w:r>
          </w:p>
        </w:tc>
        <w:tc>
          <w:tcPr>
            <w:tcW w:w="675" w:type="pct"/>
            <w:vAlign w:val="center"/>
          </w:tcPr>
          <w:p w14:paraId="73470057">
            <w:pPr>
              <w:spacing w:line="240" w:lineRule="auto"/>
              <w:ind w:firstLine="0" w:firstLineChars="0"/>
              <w:jc w:val="center"/>
              <w:rPr>
                <w:sz w:val="21"/>
                <w:szCs w:val="21"/>
              </w:rPr>
            </w:pPr>
            <w:r>
              <w:rPr>
                <w:rFonts w:hint="eastAsia"/>
                <w:sz w:val="21"/>
                <w:szCs w:val="21"/>
              </w:rPr>
              <w:t>30万t/a</w:t>
            </w:r>
          </w:p>
        </w:tc>
        <w:tc>
          <w:tcPr>
            <w:tcW w:w="1380" w:type="pct"/>
            <w:vAlign w:val="center"/>
          </w:tcPr>
          <w:p w14:paraId="05E50D55">
            <w:pPr>
              <w:spacing w:line="240" w:lineRule="auto"/>
              <w:ind w:firstLine="0" w:firstLineChars="0"/>
              <w:jc w:val="center"/>
              <w:rPr>
                <w:sz w:val="21"/>
                <w:szCs w:val="21"/>
              </w:rPr>
            </w:pPr>
            <w:r>
              <w:rPr>
                <w:rFonts w:hint="eastAsia"/>
                <w:sz w:val="21"/>
                <w:szCs w:val="21"/>
              </w:rPr>
              <w:t>不变</w:t>
            </w:r>
          </w:p>
        </w:tc>
        <w:tc>
          <w:tcPr>
            <w:tcW w:w="641" w:type="pct"/>
            <w:vAlign w:val="center"/>
          </w:tcPr>
          <w:p w14:paraId="3F3D35F1">
            <w:pPr>
              <w:spacing w:line="240" w:lineRule="auto"/>
              <w:ind w:firstLine="0" w:firstLineChars="0"/>
              <w:jc w:val="center"/>
              <w:rPr>
                <w:sz w:val="21"/>
                <w:szCs w:val="21"/>
              </w:rPr>
            </w:pPr>
            <w:r>
              <w:rPr>
                <w:rFonts w:hint="eastAsia"/>
                <w:sz w:val="21"/>
                <w:szCs w:val="21"/>
              </w:rPr>
              <w:t>60万t/a</w:t>
            </w:r>
          </w:p>
        </w:tc>
      </w:tr>
      <w:tr w14:paraId="31005C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247CB1F5">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1-2</w:t>
            </w:r>
          </w:p>
        </w:tc>
        <w:tc>
          <w:tcPr>
            <w:tcW w:w="695" w:type="pct"/>
            <w:vAlign w:val="center"/>
          </w:tcPr>
          <w:p w14:paraId="5EC3C471">
            <w:pPr>
              <w:spacing w:line="240" w:lineRule="auto"/>
              <w:ind w:firstLine="0" w:firstLineChars="0"/>
              <w:jc w:val="center"/>
              <w:rPr>
                <w:sz w:val="21"/>
                <w:szCs w:val="21"/>
              </w:rPr>
            </w:pPr>
            <w:r>
              <w:rPr>
                <w:rFonts w:hint="eastAsia" w:cs="宋体"/>
                <w:kern w:val="2"/>
                <w:sz w:val="21"/>
                <w:szCs w:val="21"/>
              </w:rPr>
              <w:t>原煤破碎废气</w:t>
            </w:r>
          </w:p>
        </w:tc>
        <w:tc>
          <w:tcPr>
            <w:tcW w:w="1189" w:type="pct"/>
            <w:vAlign w:val="center"/>
          </w:tcPr>
          <w:p w14:paraId="175404FC">
            <w:pPr>
              <w:spacing w:line="240" w:lineRule="auto"/>
              <w:ind w:firstLine="0" w:firstLineChars="0"/>
              <w:jc w:val="center"/>
              <w:rPr>
                <w:sz w:val="21"/>
                <w:szCs w:val="21"/>
              </w:rPr>
            </w:pPr>
            <w:r>
              <w:rPr>
                <w:rFonts w:hint="eastAsia"/>
                <w:sz w:val="21"/>
                <w:szCs w:val="21"/>
              </w:rPr>
              <w:t>/</w:t>
            </w:r>
          </w:p>
        </w:tc>
        <w:tc>
          <w:tcPr>
            <w:tcW w:w="675" w:type="pct"/>
            <w:vAlign w:val="center"/>
          </w:tcPr>
          <w:p w14:paraId="0D4FFA89">
            <w:pPr>
              <w:spacing w:line="240" w:lineRule="auto"/>
              <w:ind w:firstLine="0" w:firstLineChars="0"/>
              <w:jc w:val="center"/>
              <w:rPr>
                <w:sz w:val="21"/>
                <w:szCs w:val="21"/>
              </w:rPr>
            </w:pPr>
            <w:r>
              <w:rPr>
                <w:rFonts w:hint="eastAsia"/>
                <w:sz w:val="21"/>
                <w:szCs w:val="21"/>
              </w:rPr>
              <w:t>/</w:t>
            </w:r>
          </w:p>
        </w:tc>
        <w:tc>
          <w:tcPr>
            <w:tcW w:w="1380" w:type="pct"/>
            <w:vAlign w:val="center"/>
          </w:tcPr>
          <w:p w14:paraId="504B1C15">
            <w:pPr>
              <w:spacing w:line="240" w:lineRule="auto"/>
              <w:ind w:firstLine="0" w:firstLineChars="0"/>
              <w:jc w:val="center"/>
              <w:rPr>
                <w:sz w:val="21"/>
                <w:szCs w:val="21"/>
              </w:rPr>
            </w:pPr>
            <w:r>
              <w:rPr>
                <w:rFonts w:hint="eastAsia"/>
                <w:sz w:val="21"/>
                <w:szCs w:val="21"/>
              </w:rPr>
              <w:t>新建1套布袋除尘</w:t>
            </w:r>
          </w:p>
        </w:tc>
        <w:tc>
          <w:tcPr>
            <w:tcW w:w="641" w:type="pct"/>
            <w:vAlign w:val="center"/>
          </w:tcPr>
          <w:p w14:paraId="6C8121F3">
            <w:pPr>
              <w:spacing w:line="240" w:lineRule="auto"/>
              <w:ind w:firstLine="0" w:firstLineChars="0"/>
              <w:jc w:val="center"/>
              <w:rPr>
                <w:sz w:val="21"/>
                <w:szCs w:val="21"/>
              </w:rPr>
            </w:pPr>
            <w:r>
              <w:rPr>
                <w:rFonts w:hint="eastAsia"/>
                <w:sz w:val="21"/>
                <w:szCs w:val="21"/>
              </w:rPr>
              <w:t>60万t/a</w:t>
            </w:r>
          </w:p>
        </w:tc>
      </w:tr>
      <w:tr w14:paraId="3EECC9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75F0BE0D">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1-3</w:t>
            </w:r>
          </w:p>
        </w:tc>
        <w:tc>
          <w:tcPr>
            <w:tcW w:w="695" w:type="pct"/>
            <w:vAlign w:val="center"/>
          </w:tcPr>
          <w:p w14:paraId="2FB7EB11">
            <w:pPr>
              <w:spacing w:line="240" w:lineRule="auto"/>
              <w:ind w:firstLine="0" w:firstLineChars="0"/>
              <w:jc w:val="center"/>
              <w:rPr>
                <w:sz w:val="21"/>
                <w:szCs w:val="21"/>
              </w:rPr>
            </w:pPr>
            <w:r>
              <w:rPr>
                <w:rFonts w:hint="eastAsia" w:cs="宋体"/>
                <w:kern w:val="2"/>
                <w:sz w:val="21"/>
                <w:szCs w:val="21"/>
              </w:rPr>
              <w:t>炭化装煤废气</w:t>
            </w:r>
          </w:p>
        </w:tc>
        <w:tc>
          <w:tcPr>
            <w:tcW w:w="1189" w:type="pct"/>
            <w:vAlign w:val="center"/>
          </w:tcPr>
          <w:p w14:paraId="3DC1A5D8">
            <w:pPr>
              <w:spacing w:line="240" w:lineRule="auto"/>
              <w:ind w:firstLine="0" w:firstLineChars="0"/>
              <w:jc w:val="center"/>
              <w:rPr>
                <w:sz w:val="21"/>
                <w:szCs w:val="21"/>
              </w:rPr>
            </w:pPr>
            <w:r>
              <w:rPr>
                <w:rFonts w:hint="eastAsia"/>
                <w:sz w:val="21"/>
                <w:szCs w:val="21"/>
              </w:rPr>
              <w:t>1套布袋除尘</w:t>
            </w:r>
          </w:p>
        </w:tc>
        <w:tc>
          <w:tcPr>
            <w:tcW w:w="675" w:type="pct"/>
            <w:vAlign w:val="center"/>
          </w:tcPr>
          <w:p w14:paraId="490431ED">
            <w:pPr>
              <w:spacing w:line="240" w:lineRule="auto"/>
              <w:ind w:firstLine="0" w:firstLineChars="0"/>
              <w:jc w:val="center"/>
              <w:rPr>
                <w:sz w:val="21"/>
                <w:szCs w:val="21"/>
              </w:rPr>
            </w:pPr>
            <w:r>
              <w:rPr>
                <w:rFonts w:hint="eastAsia"/>
                <w:sz w:val="21"/>
                <w:szCs w:val="21"/>
              </w:rPr>
              <w:t>30万t/a</w:t>
            </w:r>
          </w:p>
        </w:tc>
        <w:tc>
          <w:tcPr>
            <w:tcW w:w="1380" w:type="pct"/>
            <w:vAlign w:val="center"/>
          </w:tcPr>
          <w:p w14:paraId="40FC1E80">
            <w:pPr>
              <w:spacing w:line="240" w:lineRule="auto"/>
              <w:ind w:firstLine="0" w:firstLineChars="0"/>
              <w:jc w:val="center"/>
              <w:rPr>
                <w:sz w:val="21"/>
                <w:szCs w:val="21"/>
              </w:rPr>
            </w:pPr>
            <w:r>
              <w:rPr>
                <w:rFonts w:hint="eastAsia"/>
                <w:sz w:val="21"/>
                <w:szCs w:val="21"/>
              </w:rPr>
              <w:t>更换为覆膜高效布袋除尘器</w:t>
            </w:r>
          </w:p>
        </w:tc>
        <w:tc>
          <w:tcPr>
            <w:tcW w:w="641" w:type="pct"/>
            <w:vAlign w:val="center"/>
          </w:tcPr>
          <w:p w14:paraId="232AE054">
            <w:pPr>
              <w:spacing w:line="240" w:lineRule="auto"/>
              <w:ind w:firstLine="0" w:firstLineChars="0"/>
              <w:jc w:val="center"/>
              <w:rPr>
                <w:sz w:val="21"/>
                <w:szCs w:val="21"/>
              </w:rPr>
            </w:pPr>
            <w:r>
              <w:rPr>
                <w:rFonts w:hint="eastAsia"/>
                <w:sz w:val="21"/>
                <w:szCs w:val="21"/>
              </w:rPr>
              <w:t>60万t/a</w:t>
            </w:r>
          </w:p>
        </w:tc>
      </w:tr>
      <w:tr w14:paraId="5E8734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1CF990A2">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1-4</w:t>
            </w:r>
          </w:p>
        </w:tc>
        <w:tc>
          <w:tcPr>
            <w:tcW w:w="695" w:type="pct"/>
            <w:vAlign w:val="center"/>
          </w:tcPr>
          <w:p w14:paraId="2D2E4562">
            <w:pPr>
              <w:spacing w:line="240" w:lineRule="auto"/>
              <w:ind w:firstLine="0" w:firstLineChars="0"/>
              <w:jc w:val="center"/>
              <w:rPr>
                <w:sz w:val="21"/>
                <w:szCs w:val="21"/>
              </w:rPr>
            </w:pPr>
            <w:r>
              <w:rPr>
                <w:rFonts w:hint="eastAsia" w:cs="宋体"/>
                <w:kern w:val="2"/>
                <w:sz w:val="21"/>
                <w:szCs w:val="21"/>
              </w:rPr>
              <w:t>筛焦废气</w:t>
            </w:r>
          </w:p>
        </w:tc>
        <w:tc>
          <w:tcPr>
            <w:tcW w:w="1189" w:type="pct"/>
            <w:vAlign w:val="center"/>
          </w:tcPr>
          <w:p w14:paraId="632892B9">
            <w:pPr>
              <w:spacing w:line="240" w:lineRule="auto"/>
              <w:ind w:firstLine="0" w:firstLineChars="0"/>
              <w:jc w:val="center"/>
              <w:rPr>
                <w:sz w:val="21"/>
                <w:szCs w:val="21"/>
              </w:rPr>
            </w:pPr>
            <w:r>
              <w:rPr>
                <w:rFonts w:hint="eastAsia"/>
                <w:sz w:val="21"/>
                <w:szCs w:val="21"/>
              </w:rPr>
              <w:t>1套布袋除尘</w:t>
            </w:r>
          </w:p>
        </w:tc>
        <w:tc>
          <w:tcPr>
            <w:tcW w:w="675" w:type="pct"/>
            <w:vAlign w:val="center"/>
          </w:tcPr>
          <w:p w14:paraId="2691A00C">
            <w:pPr>
              <w:spacing w:line="240" w:lineRule="auto"/>
              <w:ind w:firstLine="0" w:firstLineChars="0"/>
              <w:jc w:val="center"/>
              <w:rPr>
                <w:sz w:val="21"/>
                <w:szCs w:val="21"/>
              </w:rPr>
            </w:pPr>
            <w:r>
              <w:rPr>
                <w:rFonts w:hint="eastAsia"/>
                <w:sz w:val="21"/>
                <w:szCs w:val="21"/>
              </w:rPr>
              <w:t>30万t/a</w:t>
            </w:r>
          </w:p>
        </w:tc>
        <w:tc>
          <w:tcPr>
            <w:tcW w:w="1380" w:type="pct"/>
            <w:vAlign w:val="center"/>
          </w:tcPr>
          <w:p w14:paraId="3BB5A1DC">
            <w:pPr>
              <w:spacing w:line="240" w:lineRule="auto"/>
              <w:ind w:firstLine="0" w:firstLineChars="0"/>
              <w:jc w:val="center"/>
              <w:rPr>
                <w:sz w:val="21"/>
                <w:szCs w:val="21"/>
              </w:rPr>
            </w:pPr>
            <w:r>
              <w:rPr>
                <w:rFonts w:hint="eastAsia"/>
                <w:sz w:val="21"/>
                <w:szCs w:val="21"/>
              </w:rPr>
              <w:t>不变</w:t>
            </w:r>
          </w:p>
        </w:tc>
        <w:tc>
          <w:tcPr>
            <w:tcW w:w="641" w:type="pct"/>
            <w:vAlign w:val="center"/>
          </w:tcPr>
          <w:p w14:paraId="420F42EC">
            <w:pPr>
              <w:spacing w:line="240" w:lineRule="auto"/>
              <w:ind w:firstLine="0" w:firstLineChars="0"/>
              <w:jc w:val="center"/>
              <w:rPr>
                <w:sz w:val="21"/>
                <w:szCs w:val="21"/>
              </w:rPr>
            </w:pPr>
            <w:r>
              <w:rPr>
                <w:rFonts w:hint="eastAsia"/>
                <w:sz w:val="21"/>
                <w:szCs w:val="21"/>
              </w:rPr>
              <w:t>60万t/a</w:t>
            </w:r>
          </w:p>
        </w:tc>
      </w:tr>
      <w:tr w14:paraId="59950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04070042">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1-5</w:t>
            </w:r>
          </w:p>
        </w:tc>
        <w:tc>
          <w:tcPr>
            <w:tcW w:w="695" w:type="pct"/>
            <w:vAlign w:val="center"/>
          </w:tcPr>
          <w:p w14:paraId="1BA19D60">
            <w:pPr>
              <w:spacing w:line="240" w:lineRule="auto"/>
              <w:ind w:firstLine="0" w:firstLineChars="0"/>
              <w:jc w:val="center"/>
              <w:rPr>
                <w:sz w:val="21"/>
                <w:szCs w:val="21"/>
              </w:rPr>
            </w:pPr>
            <w:r>
              <w:rPr>
                <w:rFonts w:hint="eastAsia" w:cs="宋体"/>
                <w:kern w:val="2"/>
                <w:sz w:val="21"/>
                <w:szCs w:val="21"/>
              </w:rPr>
              <w:t>兰炭烘干废气</w:t>
            </w:r>
          </w:p>
        </w:tc>
        <w:tc>
          <w:tcPr>
            <w:tcW w:w="1189" w:type="pct"/>
            <w:vAlign w:val="center"/>
          </w:tcPr>
          <w:p w14:paraId="221F2499">
            <w:pPr>
              <w:spacing w:line="240" w:lineRule="auto"/>
              <w:ind w:firstLine="0" w:firstLineChars="0"/>
              <w:jc w:val="center"/>
              <w:rPr>
                <w:sz w:val="21"/>
                <w:szCs w:val="21"/>
              </w:rPr>
            </w:pPr>
            <w:r>
              <w:rPr>
                <w:sz w:val="21"/>
                <w:szCs w:val="21"/>
              </w:rPr>
              <w:t>旋风除尘器+脉冲布袋除尘器</w:t>
            </w:r>
          </w:p>
        </w:tc>
        <w:tc>
          <w:tcPr>
            <w:tcW w:w="675" w:type="pct"/>
            <w:vAlign w:val="center"/>
          </w:tcPr>
          <w:p w14:paraId="1FCBC851">
            <w:pPr>
              <w:spacing w:line="240" w:lineRule="auto"/>
              <w:ind w:firstLine="0" w:firstLineChars="0"/>
              <w:jc w:val="center"/>
              <w:rPr>
                <w:sz w:val="21"/>
                <w:szCs w:val="21"/>
              </w:rPr>
            </w:pPr>
            <w:r>
              <w:rPr>
                <w:rFonts w:hint="eastAsia"/>
                <w:sz w:val="21"/>
                <w:szCs w:val="21"/>
              </w:rPr>
              <w:t>15万t/a兰炭成品</w:t>
            </w:r>
          </w:p>
        </w:tc>
        <w:tc>
          <w:tcPr>
            <w:tcW w:w="1380" w:type="pct"/>
            <w:vAlign w:val="center"/>
          </w:tcPr>
          <w:p w14:paraId="67D090E2">
            <w:pPr>
              <w:spacing w:line="240" w:lineRule="auto"/>
              <w:ind w:firstLine="0" w:firstLineChars="0"/>
              <w:jc w:val="center"/>
              <w:rPr>
                <w:sz w:val="21"/>
                <w:szCs w:val="21"/>
              </w:rPr>
            </w:pPr>
            <w:r>
              <w:rPr>
                <w:rFonts w:hint="eastAsia" w:cs="宋体"/>
                <w:kern w:val="2"/>
                <w:sz w:val="21"/>
                <w:szCs w:val="21"/>
              </w:rPr>
              <w:t>旋风除尘+碱喷淋+布袋除尘</w:t>
            </w:r>
          </w:p>
        </w:tc>
        <w:tc>
          <w:tcPr>
            <w:tcW w:w="641" w:type="pct"/>
            <w:vAlign w:val="center"/>
          </w:tcPr>
          <w:p w14:paraId="4753168D">
            <w:pPr>
              <w:spacing w:line="240" w:lineRule="auto"/>
              <w:ind w:firstLine="0" w:firstLineChars="0"/>
              <w:jc w:val="center"/>
              <w:rPr>
                <w:sz w:val="21"/>
                <w:szCs w:val="21"/>
              </w:rPr>
            </w:pPr>
            <w:r>
              <w:rPr>
                <w:rFonts w:hint="eastAsia"/>
                <w:sz w:val="21"/>
                <w:szCs w:val="21"/>
              </w:rPr>
              <w:t>15万t/a兰炭烘干成品</w:t>
            </w:r>
          </w:p>
        </w:tc>
      </w:tr>
      <w:tr w14:paraId="5F1AC5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44545EC7">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1-6</w:t>
            </w:r>
          </w:p>
        </w:tc>
        <w:tc>
          <w:tcPr>
            <w:tcW w:w="695" w:type="pct"/>
            <w:vAlign w:val="center"/>
          </w:tcPr>
          <w:p w14:paraId="73C4C2D8">
            <w:pPr>
              <w:spacing w:line="240" w:lineRule="auto"/>
              <w:ind w:firstLine="0" w:firstLineChars="0"/>
              <w:jc w:val="center"/>
              <w:rPr>
                <w:sz w:val="21"/>
                <w:szCs w:val="21"/>
              </w:rPr>
            </w:pPr>
            <w:r>
              <w:rPr>
                <w:rFonts w:hint="eastAsia" w:cs="宋体"/>
                <w:kern w:val="2"/>
                <w:sz w:val="21"/>
                <w:szCs w:val="21"/>
              </w:rPr>
              <w:t>兰炭筛分废气</w:t>
            </w:r>
          </w:p>
        </w:tc>
        <w:tc>
          <w:tcPr>
            <w:tcW w:w="1189" w:type="pct"/>
            <w:vAlign w:val="center"/>
          </w:tcPr>
          <w:p w14:paraId="5E73CE68">
            <w:pPr>
              <w:spacing w:line="240" w:lineRule="auto"/>
              <w:ind w:firstLine="0" w:firstLineChars="0"/>
              <w:jc w:val="center"/>
              <w:rPr>
                <w:sz w:val="21"/>
                <w:szCs w:val="21"/>
              </w:rPr>
            </w:pPr>
            <w:r>
              <w:rPr>
                <w:rFonts w:hint="eastAsia"/>
                <w:sz w:val="21"/>
                <w:szCs w:val="21"/>
              </w:rPr>
              <w:t>1套布袋除尘</w:t>
            </w:r>
          </w:p>
        </w:tc>
        <w:tc>
          <w:tcPr>
            <w:tcW w:w="675" w:type="pct"/>
            <w:vAlign w:val="center"/>
          </w:tcPr>
          <w:p w14:paraId="1BC24207">
            <w:pPr>
              <w:spacing w:line="240" w:lineRule="auto"/>
              <w:ind w:firstLine="0" w:firstLineChars="0"/>
              <w:jc w:val="center"/>
              <w:rPr>
                <w:sz w:val="21"/>
                <w:szCs w:val="21"/>
              </w:rPr>
            </w:pPr>
            <w:r>
              <w:rPr>
                <w:rFonts w:hint="eastAsia"/>
                <w:sz w:val="21"/>
                <w:szCs w:val="21"/>
              </w:rPr>
              <w:t>15万t/a兰炭成品</w:t>
            </w:r>
          </w:p>
        </w:tc>
        <w:tc>
          <w:tcPr>
            <w:tcW w:w="1380" w:type="pct"/>
            <w:vAlign w:val="center"/>
          </w:tcPr>
          <w:p w14:paraId="066BBCA5">
            <w:pPr>
              <w:spacing w:line="240" w:lineRule="auto"/>
              <w:ind w:firstLine="0" w:firstLineChars="0"/>
              <w:jc w:val="center"/>
              <w:rPr>
                <w:sz w:val="21"/>
                <w:szCs w:val="21"/>
              </w:rPr>
            </w:pPr>
            <w:r>
              <w:rPr>
                <w:rFonts w:hint="eastAsia"/>
                <w:sz w:val="21"/>
                <w:szCs w:val="21"/>
              </w:rPr>
              <w:t>更换为覆膜高效布袋除尘器</w:t>
            </w:r>
          </w:p>
        </w:tc>
        <w:tc>
          <w:tcPr>
            <w:tcW w:w="641" w:type="pct"/>
            <w:vAlign w:val="center"/>
          </w:tcPr>
          <w:p w14:paraId="6E30BEF6">
            <w:pPr>
              <w:spacing w:line="240" w:lineRule="auto"/>
              <w:ind w:firstLine="0" w:firstLineChars="0"/>
              <w:jc w:val="center"/>
              <w:rPr>
                <w:sz w:val="21"/>
                <w:szCs w:val="21"/>
              </w:rPr>
            </w:pPr>
            <w:r>
              <w:rPr>
                <w:rFonts w:hint="eastAsia"/>
                <w:sz w:val="21"/>
                <w:szCs w:val="21"/>
              </w:rPr>
              <w:t>15万t/a兰炭成品</w:t>
            </w:r>
          </w:p>
        </w:tc>
      </w:tr>
      <w:tr w14:paraId="4D2F15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2129BCCC">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1-7</w:t>
            </w:r>
          </w:p>
        </w:tc>
        <w:tc>
          <w:tcPr>
            <w:tcW w:w="695" w:type="pct"/>
            <w:vAlign w:val="center"/>
          </w:tcPr>
          <w:p w14:paraId="593CA1B2">
            <w:pPr>
              <w:spacing w:line="240" w:lineRule="auto"/>
              <w:ind w:firstLine="0" w:firstLineChars="0"/>
              <w:jc w:val="center"/>
              <w:rPr>
                <w:sz w:val="21"/>
                <w:szCs w:val="21"/>
              </w:rPr>
            </w:pPr>
            <w:r>
              <w:rPr>
                <w:rFonts w:hint="eastAsia" w:cs="宋体"/>
                <w:kern w:val="2"/>
                <w:sz w:val="21"/>
                <w:szCs w:val="21"/>
              </w:rPr>
              <w:t>废水焚烧炉烟气</w:t>
            </w:r>
          </w:p>
        </w:tc>
        <w:tc>
          <w:tcPr>
            <w:tcW w:w="1189" w:type="pct"/>
            <w:vAlign w:val="center"/>
          </w:tcPr>
          <w:p w14:paraId="0613FD5D">
            <w:pPr>
              <w:spacing w:line="240" w:lineRule="auto"/>
              <w:ind w:firstLine="0" w:firstLineChars="0"/>
              <w:jc w:val="center"/>
              <w:rPr>
                <w:sz w:val="21"/>
                <w:szCs w:val="21"/>
              </w:rPr>
            </w:pPr>
            <w:r>
              <w:rPr>
                <w:rFonts w:hint="eastAsia"/>
                <w:sz w:val="21"/>
                <w:szCs w:val="21"/>
              </w:rPr>
              <w:t>在建1套5t/h焚烧炉及烟气“</w:t>
            </w:r>
            <w:r>
              <w:rPr>
                <w:sz w:val="21"/>
                <w:szCs w:val="21"/>
              </w:rPr>
              <w:t>SNCR</w:t>
            </w:r>
            <w:r>
              <w:rPr>
                <w:rFonts w:hint="eastAsia"/>
                <w:sz w:val="21"/>
                <w:szCs w:val="21"/>
              </w:rPr>
              <w:t>脱硝+二级碱喷淋脱硫”设施</w:t>
            </w:r>
          </w:p>
        </w:tc>
        <w:tc>
          <w:tcPr>
            <w:tcW w:w="675" w:type="pct"/>
            <w:vAlign w:val="center"/>
          </w:tcPr>
          <w:p w14:paraId="47EB8824">
            <w:pPr>
              <w:spacing w:line="240" w:lineRule="auto"/>
              <w:ind w:firstLine="0" w:firstLineChars="0"/>
              <w:jc w:val="center"/>
              <w:rPr>
                <w:sz w:val="21"/>
                <w:szCs w:val="21"/>
              </w:rPr>
            </w:pPr>
            <w:r>
              <w:rPr>
                <w:rFonts w:hint="eastAsia"/>
                <w:sz w:val="21"/>
                <w:szCs w:val="21"/>
              </w:rPr>
              <w:t>5t/h生产废水</w:t>
            </w:r>
          </w:p>
        </w:tc>
        <w:tc>
          <w:tcPr>
            <w:tcW w:w="1380" w:type="pct"/>
            <w:vAlign w:val="center"/>
          </w:tcPr>
          <w:p w14:paraId="31D29F20">
            <w:pPr>
              <w:spacing w:line="240" w:lineRule="auto"/>
              <w:ind w:firstLine="0" w:firstLineChars="0"/>
              <w:jc w:val="center"/>
              <w:rPr>
                <w:sz w:val="21"/>
                <w:szCs w:val="21"/>
              </w:rPr>
            </w:pPr>
            <w:r>
              <w:rPr>
                <w:rFonts w:hint="eastAsia"/>
                <w:sz w:val="21"/>
                <w:szCs w:val="21"/>
              </w:rPr>
              <w:t>新增3套5t/h焚烧炉及1套烟气“</w:t>
            </w:r>
            <w:r>
              <w:rPr>
                <w:sz w:val="21"/>
                <w:szCs w:val="21"/>
              </w:rPr>
              <w:t>SNCR</w:t>
            </w:r>
            <w:r>
              <w:rPr>
                <w:rFonts w:hint="eastAsia"/>
                <w:sz w:val="21"/>
                <w:szCs w:val="21"/>
              </w:rPr>
              <w:t>脱硝+二级碱喷淋脱硫”设施</w:t>
            </w:r>
          </w:p>
        </w:tc>
        <w:tc>
          <w:tcPr>
            <w:tcW w:w="641" w:type="pct"/>
            <w:vAlign w:val="center"/>
          </w:tcPr>
          <w:p w14:paraId="782F647D">
            <w:pPr>
              <w:spacing w:line="240" w:lineRule="auto"/>
              <w:ind w:firstLine="0" w:firstLineChars="0"/>
              <w:jc w:val="center"/>
              <w:rPr>
                <w:sz w:val="21"/>
                <w:szCs w:val="21"/>
              </w:rPr>
            </w:pPr>
            <w:r>
              <w:rPr>
                <w:rFonts w:hint="eastAsia"/>
                <w:sz w:val="21"/>
                <w:szCs w:val="21"/>
              </w:rPr>
              <w:t>20t/h生产废水</w:t>
            </w:r>
          </w:p>
        </w:tc>
      </w:tr>
      <w:tr w14:paraId="2E380C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2262812E">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1-8</w:t>
            </w:r>
          </w:p>
        </w:tc>
        <w:tc>
          <w:tcPr>
            <w:tcW w:w="695" w:type="pct"/>
            <w:vAlign w:val="center"/>
          </w:tcPr>
          <w:p w14:paraId="3802830D">
            <w:pPr>
              <w:spacing w:line="240" w:lineRule="auto"/>
              <w:ind w:firstLine="0" w:firstLineChars="0"/>
              <w:jc w:val="center"/>
              <w:rPr>
                <w:sz w:val="21"/>
                <w:szCs w:val="21"/>
              </w:rPr>
            </w:pPr>
            <w:r>
              <w:rPr>
                <w:rFonts w:hint="eastAsia" w:cs="宋体"/>
                <w:kern w:val="2"/>
                <w:sz w:val="21"/>
                <w:szCs w:val="21"/>
              </w:rPr>
              <w:t>1#VOCs处理装置废气</w:t>
            </w:r>
          </w:p>
        </w:tc>
        <w:tc>
          <w:tcPr>
            <w:tcW w:w="1189" w:type="pct"/>
            <w:vAlign w:val="center"/>
          </w:tcPr>
          <w:p w14:paraId="536A4C2F">
            <w:pPr>
              <w:spacing w:line="240" w:lineRule="auto"/>
              <w:ind w:firstLine="0" w:firstLineChars="0"/>
              <w:jc w:val="center"/>
              <w:rPr>
                <w:sz w:val="21"/>
                <w:szCs w:val="21"/>
              </w:rPr>
            </w:pPr>
            <w:r>
              <w:rPr>
                <w:rFonts w:hint="eastAsia"/>
                <w:sz w:val="21"/>
                <w:szCs w:val="21"/>
              </w:rPr>
              <w:t>/</w:t>
            </w:r>
          </w:p>
        </w:tc>
        <w:tc>
          <w:tcPr>
            <w:tcW w:w="675" w:type="pct"/>
            <w:vAlign w:val="center"/>
          </w:tcPr>
          <w:p w14:paraId="2FF98556">
            <w:pPr>
              <w:spacing w:line="240" w:lineRule="auto"/>
              <w:ind w:firstLine="0" w:firstLineChars="0"/>
              <w:jc w:val="center"/>
              <w:rPr>
                <w:sz w:val="21"/>
                <w:szCs w:val="21"/>
              </w:rPr>
            </w:pPr>
            <w:r>
              <w:rPr>
                <w:rFonts w:hint="eastAsia"/>
                <w:sz w:val="21"/>
                <w:szCs w:val="21"/>
              </w:rPr>
              <w:t>/</w:t>
            </w:r>
          </w:p>
        </w:tc>
        <w:tc>
          <w:tcPr>
            <w:tcW w:w="1380" w:type="pct"/>
            <w:vAlign w:val="center"/>
          </w:tcPr>
          <w:p w14:paraId="127CFB0D">
            <w:pPr>
              <w:spacing w:line="240" w:lineRule="auto"/>
              <w:ind w:firstLine="0" w:firstLineChars="0"/>
              <w:jc w:val="center"/>
              <w:rPr>
                <w:sz w:val="21"/>
                <w:szCs w:val="21"/>
              </w:rPr>
            </w:pPr>
            <w:r>
              <w:rPr>
                <w:rFonts w:hint="eastAsia"/>
                <w:sz w:val="21"/>
                <w:szCs w:val="21"/>
              </w:rPr>
              <w:t>新建</w:t>
            </w:r>
            <w:r>
              <w:rPr>
                <w:rFonts w:hint="eastAsia" w:cs="宋体"/>
                <w:kern w:val="2"/>
                <w:sz w:val="21"/>
                <w:szCs w:val="21"/>
              </w:rPr>
              <w:t>1#VOCs处理装置</w:t>
            </w:r>
          </w:p>
        </w:tc>
        <w:tc>
          <w:tcPr>
            <w:tcW w:w="641" w:type="pct"/>
            <w:vAlign w:val="center"/>
          </w:tcPr>
          <w:p w14:paraId="5FB7EE26">
            <w:pPr>
              <w:spacing w:line="240" w:lineRule="auto"/>
              <w:ind w:firstLine="0" w:firstLineChars="0"/>
              <w:jc w:val="center"/>
              <w:rPr>
                <w:sz w:val="21"/>
                <w:szCs w:val="21"/>
              </w:rPr>
            </w:pPr>
            <w:r>
              <w:rPr>
                <w:rFonts w:hint="eastAsia"/>
                <w:sz w:val="21"/>
                <w:szCs w:val="21"/>
              </w:rPr>
              <w:t>60万t/a</w:t>
            </w:r>
          </w:p>
        </w:tc>
      </w:tr>
      <w:tr w14:paraId="391CCC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20" w:type="pct"/>
            <w:vAlign w:val="center"/>
          </w:tcPr>
          <w:p w14:paraId="37365682">
            <w:pPr>
              <w:spacing w:line="240" w:lineRule="auto"/>
              <w:ind w:firstLine="0" w:firstLineChars="0"/>
              <w:jc w:val="center"/>
              <w:rPr>
                <w:sz w:val="21"/>
                <w:szCs w:val="21"/>
              </w:rPr>
            </w:pPr>
            <w:r>
              <w:rPr>
                <w:rFonts w:hint="eastAsia" w:cs="宋体"/>
                <w:kern w:val="2"/>
                <w:sz w:val="21"/>
                <w:szCs w:val="21"/>
              </w:rPr>
              <w:t>G</w:t>
            </w:r>
            <w:r>
              <w:rPr>
                <w:rFonts w:hint="eastAsia" w:cs="宋体"/>
                <w:kern w:val="2"/>
                <w:sz w:val="21"/>
                <w:szCs w:val="21"/>
                <w:vertAlign w:val="subscript"/>
              </w:rPr>
              <w:t>1-9</w:t>
            </w:r>
          </w:p>
        </w:tc>
        <w:tc>
          <w:tcPr>
            <w:tcW w:w="695" w:type="pct"/>
            <w:vAlign w:val="center"/>
          </w:tcPr>
          <w:p w14:paraId="3AA1911E">
            <w:pPr>
              <w:spacing w:line="240" w:lineRule="auto"/>
              <w:ind w:firstLine="0" w:firstLineChars="0"/>
              <w:jc w:val="center"/>
              <w:rPr>
                <w:sz w:val="21"/>
                <w:szCs w:val="21"/>
              </w:rPr>
            </w:pPr>
            <w:r>
              <w:rPr>
                <w:rFonts w:hint="eastAsia" w:cs="宋体"/>
                <w:kern w:val="2"/>
                <w:sz w:val="21"/>
                <w:szCs w:val="21"/>
              </w:rPr>
              <w:t>2#VOCs处理装置废气</w:t>
            </w:r>
          </w:p>
        </w:tc>
        <w:tc>
          <w:tcPr>
            <w:tcW w:w="1189" w:type="pct"/>
            <w:vAlign w:val="center"/>
          </w:tcPr>
          <w:p w14:paraId="63490835">
            <w:pPr>
              <w:spacing w:line="240" w:lineRule="auto"/>
              <w:ind w:firstLine="0" w:firstLineChars="0"/>
              <w:jc w:val="center"/>
              <w:rPr>
                <w:sz w:val="21"/>
                <w:szCs w:val="21"/>
              </w:rPr>
            </w:pPr>
            <w:r>
              <w:rPr>
                <w:rFonts w:hint="eastAsia"/>
                <w:sz w:val="21"/>
                <w:szCs w:val="21"/>
              </w:rPr>
              <w:t>/</w:t>
            </w:r>
          </w:p>
        </w:tc>
        <w:tc>
          <w:tcPr>
            <w:tcW w:w="675" w:type="pct"/>
            <w:vAlign w:val="center"/>
          </w:tcPr>
          <w:p w14:paraId="03CCD111">
            <w:pPr>
              <w:spacing w:line="240" w:lineRule="auto"/>
              <w:ind w:firstLine="0" w:firstLineChars="0"/>
              <w:jc w:val="center"/>
              <w:rPr>
                <w:sz w:val="21"/>
                <w:szCs w:val="21"/>
              </w:rPr>
            </w:pPr>
            <w:r>
              <w:rPr>
                <w:rFonts w:hint="eastAsia"/>
                <w:sz w:val="21"/>
                <w:szCs w:val="21"/>
              </w:rPr>
              <w:t>/</w:t>
            </w:r>
          </w:p>
        </w:tc>
        <w:tc>
          <w:tcPr>
            <w:tcW w:w="1380" w:type="pct"/>
            <w:vAlign w:val="center"/>
          </w:tcPr>
          <w:p w14:paraId="637D3DA9">
            <w:pPr>
              <w:spacing w:line="240" w:lineRule="auto"/>
              <w:ind w:firstLine="0" w:firstLineChars="0"/>
              <w:jc w:val="center"/>
              <w:rPr>
                <w:sz w:val="21"/>
                <w:szCs w:val="21"/>
              </w:rPr>
            </w:pPr>
            <w:r>
              <w:rPr>
                <w:rFonts w:hint="eastAsia"/>
                <w:sz w:val="21"/>
                <w:szCs w:val="21"/>
              </w:rPr>
              <w:t>新建2</w:t>
            </w:r>
            <w:r>
              <w:rPr>
                <w:rFonts w:hint="eastAsia" w:cs="宋体"/>
                <w:kern w:val="2"/>
                <w:sz w:val="21"/>
                <w:szCs w:val="21"/>
              </w:rPr>
              <w:t>#VOCs处理装置</w:t>
            </w:r>
          </w:p>
        </w:tc>
        <w:tc>
          <w:tcPr>
            <w:tcW w:w="641" w:type="pct"/>
            <w:vAlign w:val="center"/>
          </w:tcPr>
          <w:p w14:paraId="56B356FB">
            <w:pPr>
              <w:spacing w:line="240" w:lineRule="auto"/>
              <w:ind w:firstLine="0" w:firstLineChars="0"/>
              <w:jc w:val="center"/>
              <w:rPr>
                <w:sz w:val="21"/>
                <w:szCs w:val="21"/>
              </w:rPr>
            </w:pPr>
            <w:r>
              <w:rPr>
                <w:rFonts w:hint="eastAsia"/>
                <w:sz w:val="21"/>
                <w:szCs w:val="21"/>
              </w:rPr>
              <w:t>60万t/a</w:t>
            </w:r>
          </w:p>
        </w:tc>
      </w:tr>
    </w:tbl>
    <w:p w14:paraId="20D1B0E4">
      <w:pPr>
        <w:ind w:firstLine="480"/>
      </w:pPr>
    </w:p>
    <w:p w14:paraId="277BECCD">
      <w:pPr>
        <w:ind w:firstLine="480"/>
      </w:pPr>
      <w:r>
        <w:rPr>
          <w:rFonts w:hint="eastAsia"/>
        </w:rPr>
        <w:t>（1）有组织废气</w:t>
      </w:r>
    </w:p>
    <w:p w14:paraId="5838435F">
      <w:pPr>
        <w:ind w:firstLine="480"/>
      </w:pPr>
      <w:r>
        <w:rPr>
          <w:rFonts w:hint="eastAsia"/>
        </w:rPr>
        <w:t>1）备煤上料废气（G</w:t>
      </w:r>
      <w:r>
        <w:rPr>
          <w:rFonts w:hint="eastAsia"/>
          <w:vertAlign w:val="subscript"/>
        </w:rPr>
        <w:t>1-1</w:t>
      </w:r>
      <w:r>
        <w:rPr>
          <w:rFonts w:hint="eastAsia"/>
        </w:rPr>
        <w:t>）及原煤破碎废气（G</w:t>
      </w:r>
      <w:r>
        <w:rPr>
          <w:rFonts w:hint="eastAsia"/>
          <w:vertAlign w:val="subscript"/>
        </w:rPr>
        <w:t>1-2</w:t>
      </w:r>
      <w:r>
        <w:rPr>
          <w:rFonts w:hint="eastAsia"/>
        </w:rPr>
        <w:t>）</w:t>
      </w:r>
    </w:p>
    <w:p w14:paraId="017D779F">
      <w:pPr>
        <w:ind w:firstLine="480"/>
      </w:pPr>
      <w:r>
        <w:rPr>
          <w:rFonts w:hint="eastAsia"/>
        </w:rPr>
        <w:t>现有工程备煤工段设1座筛煤楼用于入厂原煤筛分，备煤上料废气是指现有筛煤楼原煤筛分废气。本项目新建一座原煤破碎车间。改造完成后，原料煤由新建原煤破碎车间将块煤破碎，经贮煤棚内输送至现有筛煤楼筛分后上料。</w:t>
      </w:r>
    </w:p>
    <w:p w14:paraId="4562B5A6">
      <w:pPr>
        <w:ind w:firstLine="480"/>
      </w:pPr>
      <w:r>
        <w:rPr>
          <w:rFonts w:hint="eastAsia"/>
        </w:rPr>
        <w:t>改造完成前后，备煤上料废气污染物运行负荷增加一倍，备煤上料废气（G</w:t>
      </w:r>
      <w:r>
        <w:rPr>
          <w:rFonts w:hint="eastAsia"/>
          <w:vertAlign w:val="subscript"/>
        </w:rPr>
        <w:t>1-1</w:t>
      </w:r>
      <w:r>
        <w:rPr>
          <w:rFonts w:hint="eastAsia"/>
        </w:rPr>
        <w:t>）污染物产生源强增加一倍。新建原煤破碎车间产生原煤破碎废气（G</w:t>
      </w:r>
      <w:r>
        <w:rPr>
          <w:rFonts w:hint="eastAsia"/>
          <w:vertAlign w:val="subscript"/>
        </w:rPr>
        <w:t>1-2</w:t>
      </w:r>
      <w:r>
        <w:rPr>
          <w:rFonts w:hint="eastAsia"/>
        </w:rPr>
        <w:t>），运行负荷及条件与现有工程备煤上料废气（G</w:t>
      </w:r>
      <w:r>
        <w:rPr>
          <w:rFonts w:hint="eastAsia"/>
          <w:vertAlign w:val="subscript"/>
        </w:rPr>
        <w:t>1-1</w:t>
      </w:r>
      <w:r>
        <w:rPr>
          <w:rFonts w:hint="eastAsia"/>
        </w:rPr>
        <w:t>）一致。</w:t>
      </w:r>
      <w:bookmarkStart w:id="283" w:name="OLE_LINK52"/>
    </w:p>
    <w:p w14:paraId="76DF858F">
      <w:pPr>
        <w:ind w:firstLine="480"/>
      </w:pPr>
      <w:r>
        <w:rPr>
          <w:rFonts w:hint="eastAsia"/>
        </w:rPr>
        <w:t>根据现有工程污染物排放例行检测情况，现有工程备煤上料废气颗粒物最大排放速率的产生速率0.022kg/h，现有工程采用一般袋式除尘器处理，除尘效率按99%计，则颗粒物产生速率约为4.40kg/h。</w:t>
      </w:r>
    </w:p>
    <w:p w14:paraId="7813A599">
      <w:pPr>
        <w:ind w:firstLine="480"/>
      </w:pPr>
      <w:r>
        <w:rPr>
          <w:rFonts w:hint="eastAsia"/>
        </w:rPr>
        <w:t>源强核算类比现有工程污染物排放</w:t>
      </w:r>
      <w:bookmarkStart w:id="284" w:name="OLE_LINK15"/>
      <w:r>
        <w:rPr>
          <w:rFonts w:hint="eastAsia"/>
        </w:rPr>
        <w:t>例行检测</w:t>
      </w:r>
      <w:bookmarkEnd w:id="284"/>
      <w:r>
        <w:rPr>
          <w:rFonts w:hint="eastAsia"/>
        </w:rPr>
        <w:t>情况，现有工程备煤上料废气与新增原煤破碎废气颗粒物的产生速率均为4.40kg/h，采用高效袋式除尘器处理，除尘效率按99%计，除尘后的原煤破碎筛分废气经30m排气筒排放，</w:t>
      </w:r>
      <w:bookmarkStart w:id="285" w:name="OLE_LINK26"/>
      <w:r>
        <w:rPr>
          <w:rFonts w:hint="eastAsia"/>
        </w:rPr>
        <w:t>颗粒物排放可达到</w:t>
      </w:r>
      <w:bookmarkStart w:id="286" w:name="_Hlk199873637"/>
      <w:r>
        <w:rPr>
          <w:rFonts w:hint="eastAsia"/>
        </w:rPr>
        <w:t>《关于推进实施焦化行业超低排放的意见》（环大气〔2024〕5号）</w:t>
      </w:r>
      <w:bookmarkEnd w:id="286"/>
      <w:r>
        <w:rPr>
          <w:rFonts w:hint="eastAsia"/>
        </w:rPr>
        <w:t>要求的10mg/m³</w:t>
      </w:r>
      <w:r>
        <w:t>。</w:t>
      </w:r>
      <w:bookmarkEnd w:id="285"/>
    </w:p>
    <w:bookmarkEnd w:id="283"/>
    <w:p w14:paraId="24C4D917">
      <w:pPr>
        <w:ind w:firstLine="480"/>
      </w:pPr>
      <w:r>
        <w:rPr>
          <w:rFonts w:hint="eastAsia"/>
        </w:rPr>
        <w:t>2）</w:t>
      </w:r>
      <w:bookmarkStart w:id="287" w:name="OLE_LINK18"/>
      <w:r>
        <w:rPr>
          <w:rFonts w:hint="eastAsia"/>
        </w:rPr>
        <w:t>炭化炉装煤废气</w:t>
      </w:r>
      <w:bookmarkEnd w:id="287"/>
      <w:r>
        <w:rPr>
          <w:rFonts w:hint="eastAsia"/>
        </w:rPr>
        <w:t>（G</w:t>
      </w:r>
      <w:r>
        <w:rPr>
          <w:rFonts w:hint="eastAsia"/>
          <w:vertAlign w:val="subscript"/>
        </w:rPr>
        <w:t>1-3</w:t>
      </w:r>
      <w:r>
        <w:rPr>
          <w:rFonts w:hint="eastAsia"/>
        </w:rPr>
        <w:t>）</w:t>
      </w:r>
    </w:p>
    <w:p w14:paraId="2EC92099">
      <w:pPr>
        <w:ind w:firstLine="480"/>
      </w:pPr>
      <w:r>
        <w:rPr>
          <w:rFonts w:hint="eastAsia"/>
        </w:rPr>
        <w:t>炭化装煤工段产生的废气主要污染物为煤尘、二氧化硫、苯并芘。改造完成后，4台炭化炉的装煤废气合并收集采用袋式除尘器处理后排放。</w:t>
      </w:r>
    </w:p>
    <w:p w14:paraId="74F44DDE">
      <w:pPr>
        <w:ind w:firstLine="480"/>
      </w:pPr>
      <w:r>
        <w:rPr>
          <w:rFonts w:hint="eastAsia"/>
        </w:rPr>
        <w:t>根据现有工程污染物排放</w:t>
      </w:r>
      <w:bookmarkStart w:id="288" w:name="OLE_LINK19"/>
      <w:r>
        <w:rPr>
          <w:rFonts w:hint="eastAsia"/>
        </w:rPr>
        <w:t>例行检测</w:t>
      </w:r>
      <w:bookmarkEnd w:id="288"/>
      <w:r>
        <w:rPr>
          <w:rFonts w:hint="eastAsia"/>
        </w:rPr>
        <w:t>情况，现有4</w:t>
      </w:r>
      <w:r>
        <w:rPr>
          <w:rFonts w:hint="eastAsia" w:ascii="宋体" w:hAnsi="宋体"/>
        </w:rPr>
        <w:t>×</w:t>
      </w:r>
      <w:r>
        <w:rPr>
          <w:rFonts w:hint="eastAsia"/>
        </w:rPr>
        <w:t>7.5万t/a炭化炉装煤废气污染物最大排放速率为颗粒物0.406kg/h、二氧化硫0.067kg/h、苯并芘6.52</w:t>
      </w:r>
      <w:r>
        <w:rPr>
          <w:rFonts w:hint="eastAsia" w:ascii="宋体" w:hAnsi="宋体"/>
        </w:rPr>
        <w:t>×</w:t>
      </w:r>
      <w:r>
        <w:rPr>
          <w:rFonts w:hint="eastAsia"/>
        </w:rPr>
        <w:t>10</w:t>
      </w:r>
      <w:r>
        <w:rPr>
          <w:rFonts w:hint="eastAsia"/>
          <w:vertAlign w:val="superscript"/>
        </w:rPr>
        <w:t>-8</w:t>
      </w:r>
      <w:r>
        <w:rPr>
          <w:rFonts w:hint="eastAsia"/>
        </w:rPr>
        <w:t>kg/h，年产生与排放时长约2000h。现有工程装煤废气采用一般袋式除尘器处理，除尘效率按99%计，则装煤废气颗粒物产生速率为40.6kg/h。改造完成后，4台15</w:t>
      </w:r>
      <w:r>
        <w:rPr>
          <w:rFonts w:hint="eastAsia" w:ascii="宋体" w:hAnsi="宋体"/>
        </w:rPr>
        <w:t>×</w:t>
      </w:r>
      <w:r>
        <w:rPr>
          <w:rFonts w:hint="eastAsia"/>
        </w:rPr>
        <w:t>t/a炭化炉装煤废气颗粒物产生速率不变，但年产生与排放时长约4000h。</w:t>
      </w:r>
    </w:p>
    <w:p w14:paraId="5B5C3801">
      <w:pPr>
        <w:ind w:firstLine="480"/>
      </w:pPr>
      <w:r>
        <w:rPr>
          <w:rFonts w:hint="eastAsia"/>
        </w:rPr>
        <w:t>源强核算类比现有工程污染物排放例行检测情况，本项目炭化炉装煤废气污染物的产生速率约为颗粒物40.6kg/h、二氧化硫0.067kg/h、苯并芘6.52</w:t>
      </w:r>
      <w:r>
        <w:rPr>
          <w:rFonts w:hint="eastAsia" w:ascii="宋体" w:hAnsi="宋体"/>
        </w:rPr>
        <w:t>×</w:t>
      </w:r>
      <w:r>
        <w:rPr>
          <w:rFonts w:hint="eastAsia"/>
        </w:rPr>
        <w:t>10</w:t>
      </w:r>
      <w:r>
        <w:rPr>
          <w:rFonts w:hint="eastAsia"/>
          <w:vertAlign w:val="superscript"/>
        </w:rPr>
        <w:t>-8</w:t>
      </w:r>
      <w:r>
        <w:rPr>
          <w:rFonts w:hint="eastAsia"/>
        </w:rPr>
        <w:t>kg/h，改造后采用覆膜高效袋式除尘器处理，除尘效率按99.5%计，除尘后的炭化炉装煤废气经30m排气筒排放，污染物排放可达到《关于推进实施焦化行业超低排放的意见》（环大气〔2024〕5号）附表1有组织排放指标限值</w:t>
      </w:r>
      <w:r>
        <w:t>。</w:t>
      </w:r>
    </w:p>
    <w:p w14:paraId="7BDD7007">
      <w:pPr>
        <w:ind w:firstLine="480"/>
      </w:pPr>
      <w:r>
        <w:rPr>
          <w:rFonts w:hint="eastAsia"/>
        </w:rPr>
        <w:t>3）筛焦废气（G</w:t>
      </w:r>
      <w:r>
        <w:rPr>
          <w:rFonts w:hint="eastAsia"/>
          <w:vertAlign w:val="subscript"/>
        </w:rPr>
        <w:t>1-4</w:t>
      </w:r>
      <w:r>
        <w:rPr>
          <w:rFonts w:hint="eastAsia"/>
        </w:rPr>
        <w:t>）</w:t>
      </w:r>
    </w:p>
    <w:p w14:paraId="791FAB6F">
      <w:pPr>
        <w:ind w:firstLine="480"/>
      </w:pPr>
      <w:r>
        <w:rPr>
          <w:rFonts w:hint="eastAsia"/>
        </w:rPr>
        <w:t>炭化炉兰炭出炉熄焦后送筛焦工段，筛焦过程产生筛焦废气。改造完成后，筛焦工段不进行改造，筛焦负荷增加一倍，则筛焦废气污染物处理规模增加。</w:t>
      </w:r>
    </w:p>
    <w:p w14:paraId="4F00BAEF">
      <w:pPr>
        <w:ind w:firstLine="480"/>
      </w:pPr>
      <w:r>
        <w:rPr>
          <w:rFonts w:hint="eastAsia"/>
        </w:rPr>
        <w:t>根据现有工程污染物排放例行检测情况，现有筛焦废气颗粒物最大排放速率为0.031kg/h。现有工程装煤废气采用一般袋式除尘器处理，除尘效率按99%计，则装煤废气颗粒物产生速率为3.1kg/h。</w:t>
      </w:r>
    </w:p>
    <w:p w14:paraId="6A10352B">
      <w:pPr>
        <w:ind w:firstLine="480"/>
      </w:pPr>
      <w:r>
        <w:rPr>
          <w:rFonts w:hint="eastAsia"/>
        </w:rPr>
        <w:t>源强核算类比现有工程污染物排放例行检测情况，本项目筛焦废气颗粒物的产生速率约为6.2kg/h，采用袋式除尘器处理，除尘效率按99%计，除尘后的原煤破碎筛分废气经15m排气筒排放，颗粒物排放可达到《关于推进实施焦化行业超低排放的意见》（环大气〔2024〕5号）要求的10mg/m³</w:t>
      </w:r>
      <w:r>
        <w:t>。</w:t>
      </w:r>
    </w:p>
    <w:p w14:paraId="0AD4A45E">
      <w:pPr>
        <w:ind w:firstLine="480"/>
      </w:pPr>
      <w:r>
        <w:rPr>
          <w:rFonts w:hint="eastAsia"/>
        </w:rPr>
        <w:t>4）兰炭烘干废气（G</w:t>
      </w:r>
      <w:r>
        <w:rPr>
          <w:rFonts w:hint="eastAsia"/>
          <w:vertAlign w:val="subscript"/>
        </w:rPr>
        <w:t>1-5</w:t>
      </w:r>
      <w:r>
        <w:rPr>
          <w:rFonts w:hint="eastAsia"/>
        </w:rPr>
        <w:t>）</w:t>
      </w:r>
    </w:p>
    <w:p w14:paraId="1AB25349">
      <w:pPr>
        <w:ind w:firstLine="480"/>
      </w:pPr>
      <w:r>
        <w:rPr>
          <w:rFonts w:hint="eastAsia"/>
        </w:rPr>
        <w:t>现有工程建设有一条15万t/a兰炭烘干装置，兰炭烘干废气采用“旋风除尘+布袋除尘”处理后排放，改造前后兰炭烘干装置生产能力不变，废气污染物颗粒物及氮氧化物产生情况不变化。改造后，本项目取消荒煤气PDS脱硫装置，使煤气中的硫化氢含量增加，则兰炭烘干废气中的二氧化硫产生量增加。本项目新增兰炭烘干废气脱硫装置，兰炭烘干废气采用“旋风除尘+碱喷淋+布袋除尘”工艺处理后排放。</w:t>
      </w:r>
    </w:p>
    <w:p w14:paraId="4631E6A5">
      <w:pPr>
        <w:ind w:firstLine="480"/>
      </w:pPr>
      <w:r>
        <w:rPr>
          <w:rFonts w:hint="eastAsia"/>
        </w:rPr>
        <w:t>根据现有工程污染物排放例行检测情况，现有兰炭烘干废气污染物最大排放速率为颗粒物0.039kg/h、氮氧化物3.61kg/h、二氧化硫0.061kg/h。源强核算类比现有工程污染物排放例行检测情况，根据企业副产煤气的成分检测情况，</w:t>
      </w:r>
      <w:r>
        <w:t>煤气中H</w:t>
      </w:r>
      <w:r>
        <w:rPr>
          <w:vertAlign w:val="subscript"/>
        </w:rPr>
        <w:t>2</w:t>
      </w:r>
      <w:r>
        <w:t>S</w:t>
      </w:r>
      <w:r>
        <w:rPr>
          <w:rFonts w:hint="eastAsia"/>
        </w:rPr>
        <w:t>浓度约为800mg/m³，则硫含量约为753mg/m³。根据物料平衡计算，兰炭烘干废气中的二氧化硫产生速率为2.2kg/h。现有工程兰炭烘干废气采用一般袋式除尘器处理，除尘效率按99%计，则兰炭烘干废气颗粒物产生速率为3.9kg/h，氮氧化物产生速率3.61kg/h。改造完成后，兰炭烘干废气采用“旋风除尘+碱喷淋+布袋除尘”处理，根据《252</w:t>
      </w:r>
      <w:r>
        <w:t xml:space="preserve"> </w:t>
      </w:r>
      <w:r>
        <w:rPr>
          <w:rFonts w:hint="eastAsia"/>
        </w:rPr>
        <w:t>煤炭加工行业</w:t>
      </w:r>
      <w:r>
        <w:t>系数手册》，</w:t>
      </w:r>
      <w:r>
        <w:rPr>
          <w:rFonts w:hint="eastAsia"/>
        </w:rPr>
        <w:t>袋式除尘+双碱法脱硫的除尘效率99%、脱硫效率85%。处理后的兰炭烘干废气经25m排气筒排放，污染物排放可达到《关于推进实施焦化行业超低排放的意见》（环大气〔2024〕5号）附表1有组织排放指标限值</w:t>
      </w:r>
      <w:r>
        <w:t>。</w:t>
      </w:r>
    </w:p>
    <w:p w14:paraId="036A1A97">
      <w:pPr>
        <w:ind w:firstLine="480"/>
      </w:pPr>
      <w:r>
        <w:rPr>
          <w:rFonts w:hint="eastAsia"/>
        </w:rPr>
        <w:t>5）兰炭筛分废气（G</w:t>
      </w:r>
      <w:r>
        <w:rPr>
          <w:rFonts w:hint="eastAsia"/>
          <w:vertAlign w:val="subscript"/>
        </w:rPr>
        <w:t>1-6</w:t>
      </w:r>
      <w:r>
        <w:rPr>
          <w:rFonts w:hint="eastAsia"/>
        </w:rPr>
        <w:t>）</w:t>
      </w:r>
    </w:p>
    <w:p w14:paraId="188AD3BF">
      <w:pPr>
        <w:ind w:firstLine="480"/>
      </w:pPr>
      <w:r>
        <w:rPr>
          <w:rFonts w:hint="eastAsia"/>
        </w:rPr>
        <w:t>现有工程建设有一条15万t/a兰炭烘干装置，兰炭烘干后进行筛分，产生兰炭筛分废气，废气采用布袋除尘后排放。改造前后兰炭烘干装置生产能力不变，兰炭筛分废气颗粒物产生情况不变化。</w:t>
      </w:r>
    </w:p>
    <w:p w14:paraId="20EA0567">
      <w:pPr>
        <w:ind w:firstLine="480"/>
      </w:pPr>
      <w:r>
        <w:rPr>
          <w:rFonts w:hint="eastAsia"/>
        </w:rPr>
        <w:t>根据现有工程污染物排放例行检测情况，现有兰炭筛分废气颗粒物最大排放速率为0.247kg/h。现有工程兰炭筛分废气采用一般袋式除尘器处理，除尘效率按99%计，则兰炭筛分废气颗粒物产生速率为24.7kg/h。改造后，兰炭筛分废气采用覆膜高效袋式除尘器处理，除尘效率按99.5%计，除尘后的兰炭筛分废气经15m排气筒排放，颗粒物排放可达到《关于推进实施焦化行业超低排放的意见》（环大气〔2024〕5号）要求的10mg/m³</w:t>
      </w:r>
      <w:r>
        <w:t>。</w:t>
      </w:r>
    </w:p>
    <w:p w14:paraId="4CDE110A">
      <w:pPr>
        <w:ind w:firstLine="480"/>
      </w:pPr>
      <w:r>
        <w:rPr>
          <w:rFonts w:hint="eastAsia"/>
        </w:rPr>
        <w:t>6）废水焚烧炉烟气（G</w:t>
      </w:r>
      <w:r>
        <w:rPr>
          <w:rFonts w:hint="eastAsia"/>
          <w:vertAlign w:val="subscript"/>
        </w:rPr>
        <w:t>1-7</w:t>
      </w:r>
      <w:r>
        <w:rPr>
          <w:rFonts w:hint="eastAsia"/>
        </w:rPr>
        <w:t>）</w:t>
      </w:r>
    </w:p>
    <w:p w14:paraId="7E40978D">
      <w:pPr>
        <w:ind w:firstLine="480"/>
      </w:pPr>
      <w:r>
        <w:rPr>
          <w:rFonts w:hint="eastAsia"/>
        </w:rPr>
        <w:t>厂内现有1套在建</w:t>
      </w:r>
      <w:bookmarkStart w:id="289" w:name="OLE_LINK22"/>
      <w:r>
        <w:rPr>
          <w:rFonts w:hint="eastAsia"/>
        </w:rPr>
        <w:t>5t/h</w:t>
      </w:r>
      <w:bookmarkEnd w:id="289"/>
      <w:r>
        <w:rPr>
          <w:rFonts w:hint="eastAsia"/>
        </w:rPr>
        <w:t>兰炭废水预处理配套5t/h废水焚烧炉，作为在建污染源；本工程新增1套15t/h兰炭废水预处理及3套5t/h废水焚烧炉。本项目完成后，厂内在建废水焚烧炉处理后的烟气与新增3套废水焚烧炉处理后的烟气合并排放。</w:t>
      </w:r>
    </w:p>
    <w:p w14:paraId="0F030425">
      <w:pPr>
        <w:ind w:firstLine="480"/>
      </w:pPr>
      <w:r>
        <w:rPr>
          <w:rFonts w:hint="eastAsia" w:ascii="宋体" w:hAnsi="宋体"/>
        </w:rPr>
        <w:t>①</w:t>
      </w:r>
      <w:r>
        <w:rPr>
          <w:rFonts w:hint="eastAsia"/>
        </w:rPr>
        <w:t>焚烧废水的水质指标</w:t>
      </w:r>
    </w:p>
    <w:p w14:paraId="01C2C61A">
      <w:pPr>
        <w:ind w:firstLine="480"/>
      </w:pPr>
      <w:r>
        <w:rPr>
          <w:rFonts w:hint="eastAsia"/>
        </w:rPr>
        <w:t>经“三级除油+高效复合脱氮”处理后废水中主要污染物包括石油类、酚、氰化物、铵盐等，酚、氰、氨等化合物在常温时以气体存在，可溶解于水，在富氧燃烧状态下分解为简单无机物，主要反应式有：</w:t>
      </w:r>
    </w:p>
    <w:p w14:paraId="283691F0">
      <w:pPr>
        <w:ind w:firstLine="480"/>
      </w:pPr>
      <w:r>
        <w:t>CnHm+O</w:t>
      </w:r>
      <w:r>
        <w:rPr>
          <w:vertAlign w:val="subscript"/>
        </w:rPr>
        <w:t>2</w:t>
      </w:r>
      <w:r>
        <w:t>→CO</w:t>
      </w:r>
      <w:r>
        <w:rPr>
          <w:vertAlign w:val="subscript"/>
        </w:rPr>
        <w:t>2</w:t>
      </w:r>
      <w:r>
        <w:t>+H</w:t>
      </w:r>
      <w:r>
        <w:rPr>
          <w:vertAlign w:val="subscript"/>
        </w:rPr>
        <w:t>2</w:t>
      </w:r>
      <w:r>
        <w:t>O</w:t>
      </w:r>
    </w:p>
    <w:p w14:paraId="50896A66">
      <w:pPr>
        <w:ind w:firstLine="480"/>
      </w:pPr>
      <w:r>
        <w:t>CN</w:t>
      </w:r>
      <w:r>
        <w:rPr>
          <w:vertAlign w:val="superscript"/>
        </w:rPr>
        <w:t>-</w:t>
      </w:r>
      <w:r>
        <w:t>+O</w:t>
      </w:r>
      <w:r>
        <w:rPr>
          <w:vertAlign w:val="subscript"/>
        </w:rPr>
        <w:t>2</w:t>
      </w:r>
      <w:r>
        <w:t>→N</w:t>
      </w:r>
      <w:r>
        <w:rPr>
          <w:vertAlign w:val="subscript"/>
        </w:rPr>
        <w:t>2</w:t>
      </w:r>
      <w:r>
        <w:t>+CO</w:t>
      </w:r>
      <w:r>
        <w:rPr>
          <w:vertAlign w:val="subscript"/>
        </w:rPr>
        <w:t>2</w:t>
      </w:r>
    </w:p>
    <w:p w14:paraId="42C39D1A">
      <w:pPr>
        <w:ind w:firstLine="480"/>
      </w:pPr>
      <w:r>
        <w:t>NH</w:t>
      </w:r>
      <w:r>
        <w:rPr>
          <w:vertAlign w:val="subscript"/>
        </w:rPr>
        <w:t>3</w:t>
      </w:r>
      <w:r>
        <w:t>+O</w:t>
      </w:r>
      <w:r>
        <w:rPr>
          <w:vertAlign w:val="subscript"/>
        </w:rPr>
        <w:t>2</w:t>
      </w:r>
      <w:r>
        <w:t>→N</w:t>
      </w:r>
      <w:r>
        <w:rPr>
          <w:vertAlign w:val="subscript"/>
        </w:rPr>
        <w:t>2</w:t>
      </w:r>
      <w:r>
        <w:t>+H</w:t>
      </w:r>
      <w:r>
        <w:rPr>
          <w:vertAlign w:val="subscript"/>
        </w:rPr>
        <w:t>2</w:t>
      </w:r>
      <w:r>
        <w:t>O</w:t>
      </w:r>
    </w:p>
    <w:p w14:paraId="656EC450">
      <w:pPr>
        <w:ind w:firstLine="480"/>
      </w:pPr>
      <w:r>
        <w:t>NH</w:t>
      </w:r>
      <w:r>
        <w:rPr>
          <w:vertAlign w:val="subscript"/>
        </w:rPr>
        <w:t>4</w:t>
      </w:r>
      <w:r>
        <w:t>+O</w:t>
      </w:r>
      <w:r>
        <w:rPr>
          <w:vertAlign w:val="subscript"/>
        </w:rPr>
        <w:t>2</w:t>
      </w:r>
      <w:r>
        <w:t>→N</w:t>
      </w:r>
      <w:r>
        <w:rPr>
          <w:vertAlign w:val="subscript"/>
        </w:rPr>
        <w:t>2</w:t>
      </w:r>
      <w:r>
        <w:t>+H</w:t>
      </w:r>
      <w:r>
        <w:rPr>
          <w:vertAlign w:val="subscript"/>
        </w:rPr>
        <w:t>2</w:t>
      </w:r>
      <w:r>
        <w:t>O</w:t>
      </w:r>
    </w:p>
    <w:p w14:paraId="656E110B">
      <w:pPr>
        <w:ind w:firstLine="480"/>
      </w:pPr>
      <w:r>
        <w:rPr>
          <w:rFonts w:hint="eastAsia"/>
        </w:rPr>
        <w:t>从上述反应中可以看出，废水中的酚、氰、氨焚烧后生成</w:t>
      </w:r>
      <w:r>
        <w:t>CO</w:t>
      </w:r>
      <w:r>
        <w:rPr>
          <w:vertAlign w:val="subscript"/>
        </w:rPr>
        <w:t>2</w:t>
      </w:r>
      <w:r>
        <w:rPr>
          <w:rFonts w:hint="eastAsia"/>
        </w:rPr>
        <w:t>、</w:t>
      </w:r>
      <w:r>
        <w:t>N</w:t>
      </w:r>
      <w:r>
        <w:rPr>
          <w:vertAlign w:val="subscript"/>
        </w:rPr>
        <w:t>2</w:t>
      </w:r>
      <w:r>
        <w:rPr>
          <w:rFonts w:hint="eastAsia"/>
        </w:rPr>
        <w:t>和水蒸气，不产生二次污染物。</w:t>
      </w:r>
    </w:p>
    <w:p w14:paraId="4A90C6FC">
      <w:pPr>
        <w:ind w:firstLine="480"/>
      </w:pPr>
      <w:r>
        <w:rPr>
          <w:rFonts w:hint="eastAsia"/>
        </w:rPr>
        <w:t>兰炭废水中</w:t>
      </w:r>
      <w:r>
        <w:t>苯并〔a〕芘</w:t>
      </w:r>
      <w:r>
        <w:rPr>
          <w:rFonts w:hint="eastAsia"/>
        </w:rPr>
        <w:t>原始浓度参照《焦化厂废水综合深度处理工艺研究》（第十一届中国钢铁年会论文集-</w:t>
      </w:r>
      <w:r>
        <w:t>S15.</w:t>
      </w:r>
      <w:r>
        <w:rPr>
          <w:rFonts w:hint="eastAsia"/>
        </w:rPr>
        <w:t>能源与环保）处理前原水样品</w:t>
      </w:r>
      <w:r>
        <w:t>苯并〔a〕芘</w:t>
      </w:r>
      <w:r>
        <w:rPr>
          <w:rFonts w:hint="eastAsia"/>
        </w:rPr>
        <w:t>浓度为2</w:t>
      </w:r>
      <w:r>
        <w:t>.4</w:t>
      </w:r>
      <w:r>
        <w:rPr>
          <w:rFonts w:hint="eastAsia"/>
        </w:rPr>
        <w:t>μg/L，焚烧处理对有害物质去除率为：酚及有机物</w:t>
      </w:r>
      <w:r>
        <w:t>97</w:t>
      </w:r>
      <w:r>
        <w:rPr>
          <w:rFonts w:hint="eastAsia"/>
        </w:rPr>
        <w:t>%～</w:t>
      </w:r>
      <w:r>
        <w:t>99%</w:t>
      </w:r>
      <w:r>
        <w:rPr>
          <w:rFonts w:hint="eastAsia"/>
        </w:rPr>
        <w:t>，</w:t>
      </w:r>
      <w:r>
        <w:t>NH</w:t>
      </w:r>
      <w:r>
        <w:rPr>
          <w:vertAlign w:val="subscript"/>
        </w:rPr>
        <w:t>3</w:t>
      </w:r>
      <w:r>
        <w:rPr>
          <w:rFonts w:hint="eastAsia"/>
        </w:rPr>
        <w:t>（</w:t>
      </w:r>
      <w:r>
        <w:t>NH</w:t>
      </w:r>
      <w:r>
        <w:rPr>
          <w:vertAlign w:val="superscript"/>
        </w:rPr>
        <w:t>+</w:t>
      </w:r>
      <w:r>
        <w:rPr>
          <w:rFonts w:hint="eastAsia"/>
        </w:rPr>
        <w:t>）</w:t>
      </w:r>
      <w:r>
        <w:t>83</w:t>
      </w:r>
      <w:r>
        <w:rPr>
          <w:rFonts w:hint="eastAsia"/>
        </w:rPr>
        <w:t>%～</w:t>
      </w:r>
      <w:r>
        <w:t>95%</w:t>
      </w:r>
      <w:r>
        <w:rPr>
          <w:rFonts w:hint="eastAsia"/>
        </w:rPr>
        <w:t>。</w:t>
      </w:r>
    </w:p>
    <w:p w14:paraId="2F2E9248">
      <w:pPr>
        <w:ind w:firstLine="480"/>
      </w:pPr>
      <w:r>
        <w:rPr>
          <w:rFonts w:hint="eastAsia"/>
        </w:rPr>
        <w:t>根据废水焚烧炉设计指标，厂内废水预处理装置后的焚烧废水水质参数见表3.3-13</w:t>
      </w:r>
      <w:r>
        <w:t>。</w:t>
      </w:r>
    </w:p>
    <w:p w14:paraId="28AE9ABE">
      <w:pPr>
        <w:pStyle w:val="118"/>
      </w:pPr>
      <w:r>
        <w:rPr>
          <w:rFonts w:hint="eastAsia"/>
        </w:rPr>
        <w:t>表3.3-13  焚烧炉废水水质参数表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6"/>
        <w:gridCol w:w="1563"/>
        <w:gridCol w:w="683"/>
        <w:gridCol w:w="714"/>
        <w:gridCol w:w="874"/>
        <w:gridCol w:w="658"/>
        <w:gridCol w:w="874"/>
        <w:gridCol w:w="875"/>
        <w:gridCol w:w="1405"/>
      </w:tblGrid>
      <w:tr w14:paraId="194D5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4" w:type="pct"/>
            <w:vAlign w:val="center"/>
          </w:tcPr>
          <w:p w14:paraId="4D73228B">
            <w:pPr>
              <w:pStyle w:val="133"/>
              <w:rPr>
                <w:b/>
                <w:bCs/>
              </w:rPr>
            </w:pPr>
            <w:r>
              <w:rPr>
                <w:b/>
                <w:bCs/>
              </w:rPr>
              <w:t>废水量</w:t>
            </w:r>
          </w:p>
        </w:tc>
        <w:tc>
          <w:tcPr>
            <w:tcW w:w="917" w:type="pct"/>
            <w:vAlign w:val="center"/>
          </w:tcPr>
          <w:p w14:paraId="55011F30">
            <w:pPr>
              <w:pStyle w:val="133"/>
              <w:rPr>
                <w:b/>
                <w:bCs/>
              </w:rPr>
            </w:pPr>
            <w:r>
              <w:rPr>
                <w:b/>
                <w:bCs/>
              </w:rPr>
              <w:t>指标</w:t>
            </w:r>
          </w:p>
        </w:tc>
        <w:tc>
          <w:tcPr>
            <w:tcW w:w="401" w:type="pct"/>
            <w:vAlign w:val="center"/>
          </w:tcPr>
          <w:p w14:paraId="27165579">
            <w:pPr>
              <w:pStyle w:val="133"/>
              <w:rPr>
                <w:b/>
                <w:bCs/>
              </w:rPr>
            </w:pPr>
            <w:r>
              <w:rPr>
                <w:b/>
                <w:bCs/>
              </w:rPr>
              <w:t>COD</w:t>
            </w:r>
          </w:p>
        </w:tc>
        <w:tc>
          <w:tcPr>
            <w:tcW w:w="419" w:type="pct"/>
            <w:vAlign w:val="center"/>
          </w:tcPr>
          <w:p w14:paraId="1ED9BF0D">
            <w:pPr>
              <w:pStyle w:val="133"/>
              <w:rPr>
                <w:b/>
                <w:bCs/>
              </w:rPr>
            </w:pPr>
            <w:r>
              <w:rPr>
                <w:b/>
                <w:bCs/>
              </w:rPr>
              <w:t>总油</w:t>
            </w:r>
          </w:p>
        </w:tc>
        <w:tc>
          <w:tcPr>
            <w:tcW w:w="513" w:type="pct"/>
            <w:vAlign w:val="center"/>
          </w:tcPr>
          <w:p w14:paraId="22832320">
            <w:pPr>
              <w:pStyle w:val="133"/>
              <w:rPr>
                <w:b/>
                <w:bCs/>
              </w:rPr>
            </w:pPr>
            <w:r>
              <w:rPr>
                <w:b/>
                <w:bCs/>
              </w:rPr>
              <w:t>挥发酚</w:t>
            </w:r>
          </w:p>
        </w:tc>
        <w:tc>
          <w:tcPr>
            <w:tcW w:w="386" w:type="pct"/>
            <w:vAlign w:val="center"/>
          </w:tcPr>
          <w:p w14:paraId="1BE74E74">
            <w:pPr>
              <w:pStyle w:val="133"/>
              <w:rPr>
                <w:b/>
                <w:bCs/>
              </w:rPr>
            </w:pPr>
            <w:r>
              <w:rPr>
                <w:b/>
                <w:bCs/>
              </w:rPr>
              <w:t>氨氮</w:t>
            </w:r>
          </w:p>
        </w:tc>
        <w:tc>
          <w:tcPr>
            <w:tcW w:w="513" w:type="pct"/>
            <w:vAlign w:val="center"/>
          </w:tcPr>
          <w:p w14:paraId="13B98B17">
            <w:pPr>
              <w:pStyle w:val="133"/>
              <w:rPr>
                <w:b/>
                <w:bCs/>
              </w:rPr>
            </w:pPr>
            <w:r>
              <w:rPr>
                <w:rFonts w:hint="eastAsia"/>
                <w:b/>
                <w:bCs/>
              </w:rPr>
              <w:t>硫化物</w:t>
            </w:r>
          </w:p>
        </w:tc>
        <w:tc>
          <w:tcPr>
            <w:tcW w:w="513" w:type="pct"/>
            <w:vAlign w:val="center"/>
          </w:tcPr>
          <w:p w14:paraId="5019A7C1">
            <w:pPr>
              <w:pStyle w:val="133"/>
              <w:rPr>
                <w:b/>
                <w:bCs/>
              </w:rPr>
            </w:pPr>
            <w:r>
              <w:rPr>
                <w:b/>
                <w:bCs/>
              </w:rPr>
              <w:t>氰化物</w:t>
            </w:r>
          </w:p>
        </w:tc>
        <w:tc>
          <w:tcPr>
            <w:tcW w:w="824" w:type="pct"/>
            <w:vAlign w:val="center"/>
          </w:tcPr>
          <w:p w14:paraId="03456C03">
            <w:pPr>
              <w:pStyle w:val="133"/>
              <w:rPr>
                <w:b/>
                <w:bCs/>
              </w:rPr>
            </w:pPr>
            <w:r>
              <w:rPr>
                <w:b/>
                <w:bCs/>
              </w:rPr>
              <w:t>苯并〔a〕芘</w:t>
            </w:r>
          </w:p>
        </w:tc>
      </w:tr>
      <w:tr w14:paraId="43AF2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4" w:type="pct"/>
            <w:vMerge w:val="restart"/>
            <w:vAlign w:val="center"/>
          </w:tcPr>
          <w:p w14:paraId="47A313AC">
            <w:pPr>
              <w:pStyle w:val="133"/>
            </w:pPr>
            <w:r>
              <w:rPr>
                <w:rFonts w:hint="eastAsia"/>
              </w:rPr>
              <w:t>20</w:t>
            </w:r>
            <w:r>
              <w:t>m³/h</w:t>
            </w:r>
          </w:p>
        </w:tc>
        <w:tc>
          <w:tcPr>
            <w:tcW w:w="917" w:type="pct"/>
            <w:vAlign w:val="center"/>
          </w:tcPr>
          <w:p w14:paraId="563679FC">
            <w:pPr>
              <w:pStyle w:val="133"/>
            </w:pPr>
            <w:r>
              <w:t>浓度（mg/L）</w:t>
            </w:r>
          </w:p>
        </w:tc>
        <w:tc>
          <w:tcPr>
            <w:tcW w:w="401" w:type="pct"/>
            <w:vAlign w:val="center"/>
          </w:tcPr>
          <w:p w14:paraId="02F2A3D9">
            <w:pPr>
              <w:pStyle w:val="133"/>
            </w:pPr>
            <w:r>
              <w:rPr>
                <w:rFonts w:hint="eastAsia"/>
              </w:rPr>
              <w:t>9</w:t>
            </w:r>
            <w:r>
              <w:t>000</w:t>
            </w:r>
          </w:p>
        </w:tc>
        <w:tc>
          <w:tcPr>
            <w:tcW w:w="419" w:type="pct"/>
            <w:vAlign w:val="center"/>
          </w:tcPr>
          <w:p w14:paraId="31847381">
            <w:pPr>
              <w:pStyle w:val="133"/>
            </w:pPr>
            <w:r>
              <w:t>15</w:t>
            </w:r>
          </w:p>
        </w:tc>
        <w:tc>
          <w:tcPr>
            <w:tcW w:w="513" w:type="pct"/>
            <w:vAlign w:val="center"/>
          </w:tcPr>
          <w:p w14:paraId="414FF422">
            <w:pPr>
              <w:pStyle w:val="133"/>
            </w:pPr>
            <w:r>
              <w:rPr>
                <w:rFonts w:hint="eastAsia"/>
              </w:rPr>
              <w:t>60</w:t>
            </w:r>
          </w:p>
        </w:tc>
        <w:tc>
          <w:tcPr>
            <w:tcW w:w="386" w:type="pct"/>
            <w:vAlign w:val="center"/>
          </w:tcPr>
          <w:p w14:paraId="335585C8">
            <w:pPr>
              <w:pStyle w:val="133"/>
            </w:pPr>
            <w:r>
              <w:rPr>
                <w:rFonts w:eastAsia="等线" w:cs="Times New Roman"/>
                <w:szCs w:val="21"/>
              </w:rPr>
              <w:t>150</w:t>
            </w:r>
          </w:p>
        </w:tc>
        <w:tc>
          <w:tcPr>
            <w:tcW w:w="513" w:type="pct"/>
            <w:vAlign w:val="center"/>
          </w:tcPr>
          <w:p w14:paraId="72FA23CB">
            <w:pPr>
              <w:pStyle w:val="133"/>
            </w:pPr>
            <w:r>
              <w:rPr>
                <w:rFonts w:hint="eastAsia"/>
              </w:rPr>
              <w:t>4</w:t>
            </w:r>
            <w:r>
              <w:t>00</w:t>
            </w:r>
          </w:p>
        </w:tc>
        <w:tc>
          <w:tcPr>
            <w:tcW w:w="513" w:type="pct"/>
            <w:vAlign w:val="center"/>
          </w:tcPr>
          <w:p w14:paraId="013C104C">
            <w:pPr>
              <w:pStyle w:val="133"/>
            </w:pPr>
            <w:r>
              <w:t>0.6</w:t>
            </w:r>
          </w:p>
        </w:tc>
        <w:tc>
          <w:tcPr>
            <w:tcW w:w="824" w:type="pct"/>
            <w:vAlign w:val="center"/>
          </w:tcPr>
          <w:p w14:paraId="7849D64C">
            <w:pPr>
              <w:pStyle w:val="133"/>
            </w:pPr>
            <w:r>
              <w:rPr>
                <w:rFonts w:hint="eastAsia"/>
              </w:rPr>
              <w:t>2</w:t>
            </w:r>
            <w:r>
              <w:t>.4</w:t>
            </w:r>
            <w:r>
              <w:rPr>
                <w:rFonts w:hint="eastAsia"/>
              </w:rPr>
              <w:t>μg/L</w:t>
            </w:r>
          </w:p>
        </w:tc>
      </w:tr>
      <w:tr w14:paraId="6FCAB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4" w:type="pct"/>
            <w:vMerge w:val="continue"/>
            <w:vAlign w:val="center"/>
          </w:tcPr>
          <w:p w14:paraId="31439F2E">
            <w:pPr>
              <w:pStyle w:val="133"/>
            </w:pPr>
          </w:p>
        </w:tc>
        <w:tc>
          <w:tcPr>
            <w:tcW w:w="917" w:type="pct"/>
            <w:vAlign w:val="center"/>
          </w:tcPr>
          <w:p w14:paraId="0A3E6DB3">
            <w:pPr>
              <w:pStyle w:val="133"/>
            </w:pPr>
            <w:r>
              <w:t>质量（kg/h）</w:t>
            </w:r>
          </w:p>
        </w:tc>
        <w:tc>
          <w:tcPr>
            <w:tcW w:w="401" w:type="pct"/>
            <w:vAlign w:val="center"/>
          </w:tcPr>
          <w:p w14:paraId="1803122B">
            <w:pPr>
              <w:pStyle w:val="133"/>
            </w:pPr>
            <w:r>
              <w:rPr>
                <w:rFonts w:eastAsia="等线" w:cs="Times New Roman"/>
                <w:color w:val="000000"/>
                <w:szCs w:val="21"/>
              </w:rPr>
              <w:t>180</w:t>
            </w:r>
          </w:p>
        </w:tc>
        <w:tc>
          <w:tcPr>
            <w:tcW w:w="419" w:type="pct"/>
            <w:vAlign w:val="center"/>
          </w:tcPr>
          <w:p w14:paraId="48DCC08E">
            <w:pPr>
              <w:pStyle w:val="133"/>
            </w:pPr>
            <w:r>
              <w:rPr>
                <w:rFonts w:eastAsia="等线" w:cs="Times New Roman"/>
                <w:color w:val="000000"/>
                <w:szCs w:val="21"/>
              </w:rPr>
              <w:t>0.3</w:t>
            </w:r>
          </w:p>
        </w:tc>
        <w:tc>
          <w:tcPr>
            <w:tcW w:w="513" w:type="pct"/>
            <w:vAlign w:val="center"/>
          </w:tcPr>
          <w:p w14:paraId="57D3E59F">
            <w:pPr>
              <w:pStyle w:val="133"/>
            </w:pPr>
            <w:r>
              <w:rPr>
                <w:rFonts w:eastAsia="等线" w:cs="Times New Roman"/>
                <w:color w:val="000000"/>
                <w:szCs w:val="21"/>
              </w:rPr>
              <w:t>1.2</w:t>
            </w:r>
          </w:p>
        </w:tc>
        <w:tc>
          <w:tcPr>
            <w:tcW w:w="386" w:type="pct"/>
            <w:shd w:val="clear" w:color="auto" w:fill="FFFFFF"/>
            <w:vAlign w:val="center"/>
          </w:tcPr>
          <w:p w14:paraId="771CDD06">
            <w:pPr>
              <w:pStyle w:val="133"/>
            </w:pPr>
            <w:r>
              <w:rPr>
                <w:rFonts w:eastAsia="等线" w:cs="Times New Roman"/>
                <w:color w:val="000000"/>
                <w:szCs w:val="21"/>
              </w:rPr>
              <w:t>3</w:t>
            </w:r>
          </w:p>
        </w:tc>
        <w:tc>
          <w:tcPr>
            <w:tcW w:w="513" w:type="pct"/>
            <w:shd w:val="clear" w:color="auto" w:fill="FFFFFF"/>
            <w:vAlign w:val="center"/>
          </w:tcPr>
          <w:p w14:paraId="29582E56">
            <w:pPr>
              <w:pStyle w:val="133"/>
            </w:pPr>
            <w:r>
              <w:rPr>
                <w:rFonts w:eastAsia="等线" w:cs="Times New Roman"/>
                <w:color w:val="000000"/>
                <w:szCs w:val="21"/>
              </w:rPr>
              <w:t>8</w:t>
            </w:r>
          </w:p>
        </w:tc>
        <w:tc>
          <w:tcPr>
            <w:tcW w:w="513" w:type="pct"/>
            <w:vAlign w:val="center"/>
          </w:tcPr>
          <w:p w14:paraId="36F65629">
            <w:pPr>
              <w:pStyle w:val="133"/>
            </w:pPr>
            <w:r>
              <w:rPr>
                <w:rFonts w:eastAsia="等线" w:cs="Times New Roman"/>
                <w:color w:val="000000"/>
                <w:szCs w:val="21"/>
              </w:rPr>
              <w:t>0.012</w:t>
            </w:r>
          </w:p>
        </w:tc>
        <w:tc>
          <w:tcPr>
            <w:tcW w:w="824" w:type="pct"/>
            <w:vAlign w:val="center"/>
          </w:tcPr>
          <w:p w14:paraId="23543039">
            <w:pPr>
              <w:pStyle w:val="133"/>
            </w:pPr>
            <w:r>
              <w:rPr>
                <w:rFonts w:eastAsia="等线" w:cs="Times New Roman"/>
                <w:color w:val="000000"/>
                <w:szCs w:val="21"/>
              </w:rPr>
              <w:t>0.000048</w:t>
            </w:r>
          </w:p>
        </w:tc>
      </w:tr>
    </w:tbl>
    <w:p w14:paraId="5023F4BE">
      <w:pPr>
        <w:pStyle w:val="410"/>
        <w:ind w:firstLine="360"/>
      </w:pPr>
    </w:p>
    <w:p w14:paraId="0E70F990">
      <w:pPr>
        <w:ind w:firstLine="480"/>
      </w:pPr>
      <w:r>
        <w:rPr>
          <w:rFonts w:hint="eastAsia" w:ascii="宋体" w:hAnsi="宋体"/>
        </w:rPr>
        <w:t>②</w:t>
      </w:r>
      <w:r>
        <w:rPr>
          <w:rFonts w:hint="eastAsia"/>
        </w:rPr>
        <w:t>焚烧炉污染物去除原理</w:t>
      </w:r>
    </w:p>
    <w:p w14:paraId="1F22C94E">
      <w:pPr>
        <w:ind w:firstLine="480"/>
      </w:pPr>
      <w:r>
        <w:t>根据查阅相关资料，氰化物的分解温度为</w:t>
      </w:r>
      <w:r>
        <w:rPr>
          <w:rFonts w:hint="eastAsia"/>
        </w:rPr>
        <w:t>4</w:t>
      </w:r>
      <w:r>
        <w:t>00-600℃，焚烧炉温度为</w:t>
      </w:r>
      <w:r>
        <w:rPr>
          <w:rFonts w:hint="eastAsia"/>
        </w:rPr>
        <w:t>8</w:t>
      </w:r>
      <w:r>
        <w:t>50</w:t>
      </w:r>
      <w:r>
        <w:rPr>
          <w:rFonts w:hint="eastAsia"/>
        </w:rPr>
        <w:t>℃</w:t>
      </w:r>
      <w:r>
        <w:t>-1100</w:t>
      </w:r>
      <w:r>
        <w:rPr>
          <w:rFonts w:hint="eastAsia"/>
        </w:rPr>
        <w:t>℃，焚烧时间2</w:t>
      </w:r>
      <w:r>
        <w:t>s，氰化</w:t>
      </w:r>
      <w:r>
        <w:rPr>
          <w:rFonts w:hint="eastAsia"/>
        </w:rPr>
        <w:t>物产生量很少，焚烧炉可将其全部分解，无氰化物排放。</w:t>
      </w:r>
    </w:p>
    <w:p w14:paraId="14916D76">
      <w:pPr>
        <w:ind w:firstLine="480"/>
      </w:pPr>
      <w:bookmarkStart w:id="290" w:name="_Hlk140084223"/>
      <w:r>
        <w:rPr>
          <w:rFonts w:hint="eastAsia"/>
        </w:rPr>
        <w:t>根据焚烧炉废水焚烧效率设计要求，挥发酚去除率取值</w:t>
      </w:r>
      <w:r>
        <w:t>99%，苯并〔a〕芘</w:t>
      </w:r>
      <w:r>
        <w:rPr>
          <w:rFonts w:hint="eastAsia"/>
        </w:rPr>
        <w:t>去除率取值</w:t>
      </w:r>
      <w:r>
        <w:t>99%，</w:t>
      </w:r>
      <w:r>
        <w:rPr>
          <w:rFonts w:hint="eastAsia"/>
        </w:rPr>
        <w:t>核算</w:t>
      </w:r>
      <w:r>
        <w:t>焚烧后挥发酚排放量</w:t>
      </w:r>
      <w:r>
        <w:rPr>
          <w:rFonts w:hint="eastAsia"/>
        </w:rPr>
        <w:t>0.009</w:t>
      </w:r>
      <w:r>
        <w:t>kg/h，苯并〔a〕芘</w:t>
      </w:r>
      <w:r>
        <w:rPr>
          <w:rFonts w:hint="eastAsia"/>
        </w:rPr>
        <w:t>排放量</w:t>
      </w:r>
      <w:r>
        <w:t>0.000000</w:t>
      </w:r>
      <w:r>
        <w:rPr>
          <w:rFonts w:hint="eastAsia"/>
        </w:rPr>
        <w:t>36</w:t>
      </w:r>
      <w:r>
        <w:t>kg/h。</w:t>
      </w:r>
      <w:r>
        <w:rPr>
          <w:rFonts w:hint="eastAsia"/>
        </w:rPr>
        <w:t>每台</w:t>
      </w:r>
      <w:r>
        <w:t>焚烧炉烟气</w:t>
      </w:r>
      <w:r>
        <w:rPr>
          <w:rFonts w:hint="eastAsia"/>
        </w:rPr>
        <w:t>量65057</w:t>
      </w:r>
      <w:r>
        <w:t>Nm</w:t>
      </w:r>
      <w:r>
        <w:rPr>
          <w:vertAlign w:val="superscript"/>
        </w:rPr>
        <w:t>3</w:t>
      </w:r>
      <w:r>
        <w:t>/h，则挥发酚排放浓度</w:t>
      </w:r>
      <w:r>
        <w:rPr>
          <w:rFonts w:hint="eastAsia"/>
        </w:rPr>
        <w:t>0.138</w:t>
      </w:r>
      <w:r>
        <w:t>mg/Nm</w:t>
      </w:r>
      <w:r>
        <w:rPr>
          <w:vertAlign w:val="superscript"/>
        </w:rPr>
        <w:t>3</w:t>
      </w:r>
      <w:r>
        <w:t>，苯并〔a〕芘</w:t>
      </w:r>
      <w:r>
        <w:rPr>
          <w:rFonts w:hint="eastAsia"/>
        </w:rPr>
        <w:t>排放浓度</w:t>
      </w:r>
      <w:r>
        <w:t>0.00000</w:t>
      </w:r>
      <w:r>
        <w:rPr>
          <w:rFonts w:hint="eastAsia"/>
        </w:rPr>
        <w:t>553</w:t>
      </w:r>
      <w:r>
        <w:t>mg/Nm</w:t>
      </w:r>
      <w:r>
        <w:rPr>
          <w:vertAlign w:val="superscript"/>
        </w:rPr>
        <w:t>3</w:t>
      </w:r>
      <w:r>
        <w:rPr>
          <w:rFonts w:hint="eastAsia"/>
        </w:rPr>
        <w:t>，即废水焚烧后只有微量挥发酚和</w:t>
      </w:r>
      <w:r>
        <w:t>苯并〔a〕芘</w:t>
      </w:r>
      <w:r>
        <w:rPr>
          <w:rFonts w:hint="eastAsia"/>
        </w:rPr>
        <w:t>排放。</w:t>
      </w:r>
      <w:bookmarkEnd w:id="290"/>
      <w:bookmarkStart w:id="291" w:name="_Hlk140084309"/>
      <w:r>
        <w:rPr>
          <w:rFonts w:hint="eastAsia"/>
        </w:rPr>
        <w:t>根据《排污单位自行监测技术指南 钢铁工业及炼焦化学工业》</w:t>
      </w:r>
      <w:r>
        <w:t>（HJ 878-2017）</w:t>
      </w:r>
      <w:r>
        <w:rPr>
          <w:rFonts w:hint="eastAsia"/>
        </w:rPr>
        <w:t>表1相关要求，只对粗苯管式炉、半焦烘干和氨分解炉等燃用焦炉煤气的设施产生的颗粒物、二氧化硫、氮氧化物进行自行监测，未对挥发酚和</w:t>
      </w:r>
      <w:r>
        <w:t>苯并〔a〕芘</w:t>
      </w:r>
      <w:r>
        <w:rPr>
          <w:rFonts w:hint="eastAsia"/>
        </w:rPr>
        <w:t>提出监测要求。同时，</w:t>
      </w:r>
      <w:bookmarkStart w:id="292" w:name="_Hlk139460525"/>
      <w:r>
        <w:rPr>
          <w:rFonts w:hint="eastAsia"/>
        </w:rPr>
        <w:t>根据《炼焦化学工业大气污染物排放标准》（</w:t>
      </w:r>
      <w:r>
        <w:t>GB 16171</w:t>
      </w:r>
      <w:r>
        <w:rPr>
          <w:rFonts w:hint="eastAsia"/>
        </w:rPr>
        <w:t>.1</w:t>
      </w:r>
      <w:r>
        <w:t>-20</w:t>
      </w:r>
      <w:r>
        <w:rPr>
          <w:rFonts w:hint="eastAsia"/>
        </w:rPr>
        <w:t>24）表1大气污染物排放浓度限值，管式炉等燃用煤气的设施大气污染物排放限值只有颗粒物、二氧化硫、氮氧化物的排放浓度限值。</w:t>
      </w:r>
      <w:bookmarkEnd w:id="292"/>
      <w:r>
        <w:rPr>
          <w:rFonts w:hint="eastAsia"/>
        </w:rPr>
        <w:t>因此，废水焚烧炉排放的挥发酚和</w:t>
      </w:r>
      <w:r>
        <w:t>苯并〔a〕芘</w:t>
      </w:r>
      <w:r>
        <w:rPr>
          <w:rFonts w:hint="eastAsia"/>
        </w:rPr>
        <w:t>无排放标准控制要求。</w:t>
      </w:r>
      <w:bookmarkEnd w:id="291"/>
    </w:p>
    <w:p w14:paraId="2A20FD38">
      <w:pPr>
        <w:ind w:firstLine="480"/>
      </w:pPr>
      <w:r>
        <w:rPr>
          <w:rFonts w:hint="eastAsia" w:ascii="宋体" w:hAnsi="宋体"/>
        </w:rPr>
        <w:t>③</w:t>
      </w:r>
      <w:r>
        <w:rPr>
          <w:rFonts w:hint="eastAsia"/>
        </w:rPr>
        <w:t>焚烧炉烟气</w:t>
      </w:r>
    </w:p>
    <w:p w14:paraId="4E9F0D68">
      <w:pPr>
        <w:ind w:firstLine="480"/>
        <w:rPr>
          <w:b/>
          <w:bCs/>
        </w:rPr>
      </w:pPr>
      <w:r>
        <w:rPr>
          <w:rFonts w:hint="eastAsia"/>
        </w:rPr>
        <w:t>本项目使用煤气为厂内净化煤气，主要成分为N</w:t>
      </w:r>
      <w:r>
        <w:rPr>
          <w:rFonts w:hint="eastAsia"/>
          <w:vertAlign w:val="subscript"/>
        </w:rPr>
        <w:t>2</w:t>
      </w:r>
      <w:r>
        <w:rPr>
          <w:rFonts w:hint="eastAsia"/>
        </w:rPr>
        <w:t>、</w:t>
      </w:r>
      <w:r>
        <w:t>H</w:t>
      </w:r>
      <w:r>
        <w:rPr>
          <w:vertAlign w:val="subscript"/>
        </w:rPr>
        <w:t>2</w:t>
      </w:r>
      <w:r>
        <w:t>、CO、</w:t>
      </w:r>
      <w:r>
        <w:rPr>
          <w:rFonts w:hint="eastAsia"/>
        </w:rPr>
        <w:t>CO</w:t>
      </w:r>
      <w:r>
        <w:rPr>
          <w:rFonts w:hint="eastAsia"/>
          <w:vertAlign w:val="subscript"/>
        </w:rPr>
        <w:t>2</w:t>
      </w:r>
      <w:r>
        <w:rPr>
          <w:rFonts w:hint="eastAsia"/>
        </w:rPr>
        <w:t>、</w:t>
      </w:r>
      <w:r>
        <w:t>CH</w:t>
      </w:r>
      <w:r>
        <w:rPr>
          <w:vertAlign w:val="subscript"/>
        </w:rPr>
        <w:t>4</w:t>
      </w:r>
      <w:r>
        <w:rPr>
          <w:rFonts w:hint="eastAsia"/>
        </w:rPr>
        <w:t>，含一定量的</w:t>
      </w:r>
      <w:r>
        <w:t>H</w:t>
      </w:r>
      <w:r>
        <w:rPr>
          <w:vertAlign w:val="subscript"/>
        </w:rPr>
        <w:t>2</w:t>
      </w:r>
      <w:r>
        <w:t>S</w:t>
      </w:r>
      <w:r>
        <w:rPr>
          <w:rFonts w:hint="eastAsia"/>
        </w:rPr>
        <w:t>及NH</w:t>
      </w:r>
      <w:r>
        <w:rPr>
          <w:rFonts w:hint="eastAsia"/>
          <w:vertAlign w:val="subscript"/>
        </w:rPr>
        <w:t>3</w:t>
      </w:r>
      <w:r>
        <w:t>等，煤气直接进入火道燃烧，对</w:t>
      </w:r>
      <w:r>
        <w:rPr>
          <w:rFonts w:hint="eastAsia"/>
        </w:rPr>
        <w:t>预处理后的酚氰废水</w:t>
      </w:r>
      <w:r>
        <w:t>进行</w:t>
      </w:r>
      <w:r>
        <w:rPr>
          <w:rFonts w:hint="eastAsia"/>
        </w:rPr>
        <w:t>焚烧</w:t>
      </w:r>
      <w:r>
        <w:t>。</w:t>
      </w:r>
      <w:r>
        <w:rPr>
          <w:rFonts w:hint="eastAsia"/>
        </w:rPr>
        <w:t>此外，废水集输、储存、预处理过程逸散废气及焚烧炉烟气高效复合脱氮塔废气经硫酸吸收后的含氨废气均作为焚烧炉补风，送焚烧炉焚烧处理。</w:t>
      </w:r>
    </w:p>
    <w:p w14:paraId="46D2343C">
      <w:pPr>
        <w:ind w:firstLine="480"/>
      </w:pPr>
      <w:r>
        <w:rPr>
          <w:rFonts w:hint="eastAsia"/>
        </w:rPr>
        <w:t>本项目废水焚烧炉以净化煤气为燃料。参照</w:t>
      </w:r>
      <w:bookmarkStart w:id="293" w:name="OLE_LINK20"/>
      <w:r>
        <w:rPr>
          <w:rFonts w:hint="eastAsia"/>
        </w:rPr>
        <w:t>《</w:t>
      </w:r>
      <w:r>
        <w:t>4430 工业锅炉（热力生产和供应行业）行业系数手册》，燃烧焦炉煤气工业废气量为48793Nm</w:t>
      </w:r>
      <w:r>
        <w:rPr>
          <w:vertAlign w:val="superscript"/>
        </w:rPr>
        <w:t>3</w:t>
      </w:r>
      <w:r>
        <w:t>/万立方米</w:t>
      </w:r>
      <w:r>
        <w:rPr>
          <w:rFonts w:hint="eastAsia"/>
        </w:rPr>
        <w:t>－</w:t>
      </w:r>
      <w:r>
        <w:t>煤气。</w:t>
      </w:r>
      <w:r>
        <w:rPr>
          <w:rFonts w:hint="eastAsia"/>
        </w:rPr>
        <w:t>厂内4台5t/h废水焚烧炉，使用煤气量为10560</w:t>
      </w:r>
      <w:r>
        <w:t>万m</w:t>
      </w:r>
      <w:r>
        <w:rPr>
          <w:vertAlign w:val="superscript"/>
        </w:rPr>
        <w:t>3</w:t>
      </w:r>
      <w:r>
        <w:t>/a，烟气量为</w:t>
      </w:r>
      <w:r>
        <w:rPr>
          <w:rFonts w:hint="eastAsia"/>
        </w:rPr>
        <w:t>65057</w:t>
      </w:r>
      <w:r>
        <w:t>m</w:t>
      </w:r>
      <w:r>
        <w:rPr>
          <w:vertAlign w:val="superscript"/>
        </w:rPr>
        <w:t>3</w:t>
      </w:r>
      <w:r>
        <w:t>/h。</w:t>
      </w:r>
    </w:p>
    <w:bookmarkEnd w:id="293"/>
    <w:p w14:paraId="092AB964">
      <w:pPr>
        <w:ind w:firstLine="480"/>
      </w:pPr>
      <w:r>
        <w:rPr>
          <w:rFonts w:hint="eastAsia"/>
        </w:rPr>
        <w:t>参照《排污许可证申请与核发技术规范 锅炉》（</w:t>
      </w:r>
      <w:r>
        <w:t>HJ953-2018）表 F.3燃气工业锅炉的废气产排污系数：颗粒物产生系数2.86kg/万立方米煤气</w:t>
      </w:r>
      <w:r>
        <w:rPr>
          <w:rFonts w:hint="eastAsia"/>
        </w:rPr>
        <w:t>。</w:t>
      </w:r>
    </w:p>
    <w:p w14:paraId="4716F1C4">
      <w:pPr>
        <w:ind w:firstLine="480"/>
      </w:pPr>
      <w:r>
        <w:rPr>
          <w:rFonts w:hint="eastAsia"/>
        </w:rPr>
        <w:t>焚烧炉燃用净化煤气量为10560</w:t>
      </w:r>
      <w:r>
        <w:t>万m</w:t>
      </w:r>
      <w:r>
        <w:rPr>
          <w:vertAlign w:val="superscript"/>
        </w:rPr>
        <w:t>3</w:t>
      </w:r>
      <w:r>
        <w:t>/a</w:t>
      </w:r>
      <w:r>
        <w:rPr>
          <w:rFonts w:hint="eastAsia"/>
        </w:rPr>
        <w:t>。根据企业副产煤气的成分检测情况，</w:t>
      </w:r>
      <w:r>
        <w:t>煤气中H</w:t>
      </w:r>
      <w:r>
        <w:rPr>
          <w:vertAlign w:val="subscript"/>
        </w:rPr>
        <w:t>2</w:t>
      </w:r>
      <w:r>
        <w:t>S</w:t>
      </w:r>
      <w:r>
        <w:rPr>
          <w:rFonts w:hint="eastAsia"/>
        </w:rPr>
        <w:t>浓度约为800mg/m³，则硫含量约为753mg/m³。根据硫平衡，煤气中含硫79.51t/a。本项目废水焚烧炉设计规模量15.84万t/a，包括煤气净化工段产生的剩余氨水为15.72万t/a及少量烟气脱硫废水及VOCs处理装置废气喷淋废水。根据设计指标，废水预处理装置后的焚烧废水含硫约400mg/L，则废水带入硫63.36t/a。按照《污染源源强核算技术指南 炼焦化学工业》，净化煤气和剩余氨水中的硫含量为142.87t/a，全部转化为二氧化硫，则燃烧后二氧化硫产生量285.74t/a（36.08kg/h），产生浓度为555mg/m³。</w:t>
      </w:r>
    </w:p>
    <w:p w14:paraId="5645CE22">
      <w:pPr>
        <w:ind w:firstLine="480"/>
        <w:rPr>
          <w:b/>
          <w:bCs/>
        </w:rPr>
      </w:pPr>
      <w:r>
        <w:rPr>
          <w:rFonts w:hint="eastAsia"/>
        </w:rPr>
        <w:t>根据设计单位提供资料，废水焚烧炉</w:t>
      </w:r>
      <w:r>
        <w:t>N</w:t>
      </w:r>
      <w:r>
        <w:rPr>
          <w:rFonts w:hint="eastAsia"/>
        </w:rPr>
        <w:t>O</w:t>
      </w:r>
      <w:r>
        <w:t>x</w:t>
      </w:r>
      <w:r>
        <w:rPr>
          <w:rFonts w:hint="eastAsia"/>
        </w:rPr>
        <w:t>出口保证浓度≤3</w:t>
      </w:r>
      <w:r>
        <w:t>00mg/Nm</w:t>
      </w:r>
      <w:r>
        <w:rPr>
          <w:vertAlign w:val="superscript"/>
        </w:rPr>
        <w:t>3</w:t>
      </w:r>
      <w:r>
        <w:rPr>
          <w:rFonts w:hint="eastAsia"/>
        </w:rPr>
        <w:t>，废水焚烧炉</w:t>
      </w:r>
      <w:r>
        <w:t>N</w:t>
      </w:r>
      <w:r>
        <w:rPr>
          <w:rFonts w:hint="eastAsia"/>
        </w:rPr>
        <w:t>O</w:t>
      </w:r>
      <w:r>
        <w:t>x</w:t>
      </w:r>
      <w:r>
        <w:rPr>
          <w:rFonts w:hint="eastAsia"/>
        </w:rPr>
        <w:t>初始浓度以3</w:t>
      </w:r>
      <w:r>
        <w:t>00mg/Nm</w:t>
      </w:r>
      <w:r>
        <w:rPr>
          <w:vertAlign w:val="superscript"/>
        </w:rPr>
        <w:t>3</w:t>
      </w:r>
      <w:r>
        <w:rPr>
          <w:rFonts w:hint="eastAsia"/>
        </w:rPr>
        <w:t>计。</w:t>
      </w:r>
    </w:p>
    <w:p w14:paraId="4F01D7B3">
      <w:pPr>
        <w:ind w:firstLine="480"/>
        <w:rPr>
          <w:b/>
          <w:bCs/>
        </w:rPr>
      </w:pPr>
      <w:r>
        <w:rPr>
          <w:rFonts w:hint="eastAsia"/>
        </w:rPr>
        <w:t>在建5t/h废水焚烧炉及新建3座5t/h废水焚烧炉的燃烧烟气均采用“</w:t>
      </w:r>
      <w:r>
        <w:t>SNCR</w:t>
      </w:r>
      <w:r>
        <w:rPr>
          <w:rFonts w:hint="eastAsia"/>
        </w:rPr>
        <w:t>脱硝+二级碱喷淋脱硫”处理后排放。参照《</w:t>
      </w:r>
      <w:r>
        <w:rPr>
          <w:rFonts w:hAnsi="宋体"/>
        </w:rPr>
        <w:t>4430工业锅炉（热力供应）行业系数手册</w:t>
      </w:r>
      <w:r>
        <w:rPr>
          <w:rFonts w:hint="eastAsia"/>
        </w:rPr>
        <w:t>》，烟气采用S</w:t>
      </w:r>
      <w:r>
        <w:t>NCR</w:t>
      </w:r>
      <w:r>
        <w:rPr>
          <w:rFonts w:hint="eastAsia"/>
        </w:rPr>
        <w:t>脱硝的</w:t>
      </w:r>
      <w:r>
        <w:t>NO</w:t>
      </w:r>
      <w:r>
        <w:rPr>
          <w:vertAlign w:val="subscript"/>
        </w:rPr>
        <w:t>X</w:t>
      </w:r>
      <w:r>
        <w:rPr>
          <w:rFonts w:hint="eastAsia"/>
        </w:rPr>
        <w:t>脱除效率</w:t>
      </w:r>
      <w:r>
        <w:t>50</w:t>
      </w:r>
      <w:r>
        <w:rPr>
          <w:rFonts w:hint="eastAsia"/>
        </w:rPr>
        <w:t>%，钠碱法脱硫的</w:t>
      </w:r>
      <w:r>
        <w:t>SO</w:t>
      </w:r>
      <w:r>
        <w:rPr>
          <w:vertAlign w:val="subscript"/>
        </w:rPr>
        <w:t>2</w:t>
      </w:r>
      <w:r>
        <w:rPr>
          <w:rFonts w:hint="eastAsia"/>
        </w:rPr>
        <w:t>脱除效率92.5%，协同</w:t>
      </w:r>
      <w:r>
        <w:t>颗粒物</w:t>
      </w:r>
      <w:r>
        <w:rPr>
          <w:rFonts w:hint="eastAsia"/>
        </w:rPr>
        <w:t>脱除效率87</w:t>
      </w:r>
      <w:r>
        <w:t>%</w:t>
      </w:r>
      <w:r>
        <w:rPr>
          <w:rFonts w:hint="eastAsia"/>
        </w:rPr>
        <w:t>。焚烧炉烟气采用S</w:t>
      </w:r>
      <w:r>
        <w:t>NCR</w:t>
      </w:r>
      <w:r>
        <w:rPr>
          <w:rFonts w:hint="eastAsia"/>
        </w:rPr>
        <w:t>脱硝，根据设计指标，脱硝效率不低于50%，采用二级碱喷淋脱硫的</w:t>
      </w:r>
      <w:r>
        <w:t>SO</w:t>
      </w:r>
      <w:r>
        <w:rPr>
          <w:vertAlign w:val="subscript"/>
        </w:rPr>
        <w:t>2</w:t>
      </w:r>
      <w:r>
        <w:t>脱除效率</w:t>
      </w:r>
      <w:r>
        <w:rPr>
          <w:rFonts w:hint="eastAsia"/>
        </w:rPr>
        <w:t>按95</w:t>
      </w:r>
      <w:r>
        <w:t>%</w:t>
      </w:r>
      <w:r>
        <w:rPr>
          <w:rFonts w:hint="eastAsia"/>
        </w:rPr>
        <w:t>计。根据核算，废水焚烧炉烟气经15m排气筒排放，可达到《关于推进实施焦化行业超低排放的意见》（环大气〔2024〕5号）附表1有组织排放指标限值</w:t>
      </w:r>
      <w:r>
        <w:t>。</w:t>
      </w:r>
    </w:p>
    <w:p w14:paraId="14BCD6B5">
      <w:pPr>
        <w:ind w:firstLine="480"/>
      </w:pPr>
      <w:r>
        <w:rPr>
          <w:rFonts w:hint="eastAsia"/>
        </w:rPr>
        <w:t>7）1#VOCs处理废气（G</w:t>
      </w:r>
      <w:r>
        <w:rPr>
          <w:rFonts w:hint="eastAsia"/>
          <w:vertAlign w:val="subscript"/>
        </w:rPr>
        <w:t>1-8</w:t>
      </w:r>
      <w:r>
        <w:rPr>
          <w:rFonts w:hint="eastAsia"/>
        </w:rPr>
        <w:t>）</w:t>
      </w:r>
    </w:p>
    <w:p w14:paraId="2B8587B7">
      <w:pPr>
        <w:ind w:firstLine="480"/>
      </w:pPr>
      <w:r>
        <w:rPr>
          <w:rFonts w:hint="eastAsia"/>
        </w:rPr>
        <w:t>1#VOCs治理设施主要收集</w:t>
      </w:r>
      <w:r>
        <w:rPr>
          <w:rFonts w:hint="eastAsia"/>
          <w:kern w:val="1"/>
        </w:rPr>
        <w:t>氨水循环池、</w:t>
      </w:r>
      <w:r>
        <w:t>炭化炉出焦落料口、推焦刮板机、输焦地沟、输焦斜皮带</w:t>
      </w:r>
      <w:r>
        <w:rPr>
          <w:rFonts w:hint="eastAsia"/>
          <w:kern w:val="1"/>
        </w:rPr>
        <w:t>等装置区</w:t>
      </w:r>
      <w:r>
        <w:rPr>
          <w:rFonts w:hint="eastAsia"/>
        </w:rPr>
        <w:t>产生的</w:t>
      </w:r>
      <w:r>
        <w:rPr>
          <w:rFonts w:hint="eastAsia"/>
          <w:kern w:val="1"/>
        </w:rPr>
        <w:t>无组织废气</w:t>
      </w:r>
      <w:r>
        <w:rPr>
          <w:kern w:val="1"/>
        </w:rPr>
        <w:t>。</w:t>
      </w:r>
      <w:r>
        <w:t>废气的成分主要为：</w:t>
      </w:r>
      <w:r>
        <w:rPr>
          <w:rFonts w:hint="eastAsia"/>
        </w:rPr>
        <w:t>颗粒物、</w:t>
      </w:r>
      <w:r>
        <w:t>硫化氢、氨</w:t>
      </w:r>
      <w:r>
        <w:rPr>
          <w:rFonts w:hint="eastAsia"/>
        </w:rPr>
        <w:t>、</w:t>
      </w:r>
      <w:r>
        <w:t>苯并〔a〕芘、酚类</w:t>
      </w:r>
      <w:r>
        <w:rPr>
          <w:rFonts w:hint="eastAsia"/>
        </w:rPr>
        <w:t>、二氧化硫、氰化氢</w:t>
      </w:r>
      <w:r>
        <w:t>和</w:t>
      </w:r>
      <w:r>
        <w:rPr>
          <w:rFonts w:hint="eastAsia"/>
        </w:rPr>
        <w:t>非甲烷总烃</w:t>
      </w:r>
      <w:r>
        <w:t>等；同时该废气含有大量的</w:t>
      </w:r>
      <w:r>
        <w:rPr>
          <w:rFonts w:hint="eastAsia"/>
        </w:rPr>
        <w:t>焦粉、水蒸气</w:t>
      </w:r>
      <w:r>
        <w:t>、焦油类物质</w:t>
      </w:r>
      <w:r>
        <w:rPr>
          <w:rFonts w:hint="eastAsia"/>
        </w:rPr>
        <w:t>。</w:t>
      </w:r>
    </w:p>
    <w:p w14:paraId="3CB44688">
      <w:pPr>
        <w:ind w:firstLine="480"/>
      </w:pPr>
      <w:r>
        <w:t>炭化工段废气经密闭空间负压收集，煤气净化工段废气采用密闭储罐配套密闭管道收集</w:t>
      </w:r>
      <w:r>
        <w:rPr>
          <w:rFonts w:hint="eastAsia"/>
        </w:rPr>
        <w:t>后，采用“酸洗+碱洗+活性炭吸附-脱附+催化燃烧工艺”处理</w:t>
      </w:r>
      <w:r>
        <w:t>挥发性有机物</w:t>
      </w:r>
      <w:r>
        <w:rPr>
          <w:rFonts w:hint="eastAsia"/>
        </w:rPr>
        <w:t>，处理后的废气通过25m排气筒排放</w:t>
      </w:r>
      <w:r>
        <w:t>。</w:t>
      </w:r>
    </w:p>
    <w:p w14:paraId="6B029B15">
      <w:pPr>
        <w:ind w:firstLine="480"/>
      </w:pPr>
      <w:bookmarkStart w:id="294" w:name="_Hlk177587837"/>
      <w:r>
        <w:rPr>
          <w:rFonts w:hint="eastAsia"/>
        </w:rPr>
        <w:t>根据《污染物源强核算指南 炼焦化学工业》（HJ 981-2018），废气污染物排放情况可类比同时符合下列条件的现有装置的废气污染物有效实测数据进行核算。类比条件包括：a）入炉煤及燃料成分相似；b）炉型、炭化室高度及宽度等参数相同；c）生产工艺相同；d）污染控制措施相似，且污染物设计去除效率不低于类比对象去除效率。有机废气污染源类比《新疆同顺源能源开发有限公司180万吨/年褐煤热解提质多联产综合利用项目（一期120万吨/年）炭化炉升级改造项目环境影响报告书》，该项目以淖毛湖当地煤矿供应的褐煤为原料，建设10台12万t/a内热式直立式炭化炉，采用中低温干馏工艺及水冷壁环保节能型熄焦技术，年产提质煤120万吨/年</w:t>
      </w:r>
      <w:bookmarkStart w:id="295" w:name="OLE_LINK17"/>
      <w:r>
        <w:rPr>
          <w:rFonts w:hint="eastAsia"/>
        </w:rPr>
        <w:t>，单炉提质煤产能12万t/a。</w:t>
      </w:r>
      <w:bookmarkEnd w:id="295"/>
      <w:r>
        <w:rPr>
          <w:rFonts w:hint="eastAsia"/>
        </w:rPr>
        <w:t>本项目同样以淖毛湖当地煤矿供应的褐煤为原料，建设4台内热式直立式炭化炉，采用中低温干馏工艺及水冷壁环保节能型熄焦技术，年产兰炭60万吨/年，单炉产能15万t/a。综上分析，该项目原料与本项目来自同一个矿区，单个炭化炉装置生产规模相近，生产工艺相同，设备及产品相似，具有可类比性。</w:t>
      </w:r>
    </w:p>
    <w:p w14:paraId="5E046000">
      <w:pPr>
        <w:ind w:firstLine="480"/>
      </w:pPr>
      <w:r>
        <w:rPr>
          <w:rFonts w:hint="eastAsia" w:ascii="宋体" w:hAnsi="宋体"/>
        </w:rPr>
        <w:t>①</w:t>
      </w:r>
      <w:r>
        <w:t>炭化炉出焦</w:t>
      </w:r>
      <w:r>
        <w:rPr>
          <w:rFonts w:hint="eastAsia"/>
        </w:rPr>
        <w:t>段</w:t>
      </w:r>
    </w:p>
    <w:p w14:paraId="68E3C513">
      <w:pPr>
        <w:ind w:firstLine="480"/>
        <w:rPr>
          <w:rFonts w:hint="eastAsia" w:ascii="宋体" w:hAnsi="宋体"/>
        </w:rPr>
      </w:pPr>
      <w:r>
        <w:rPr>
          <w:rFonts w:hint="eastAsia"/>
        </w:rPr>
        <w:t>炭化炉推焦与蒸汽熄焦同时排放颗粒物及二氧化硫，兰炭经水冷壁蒸汽熄焦、密闭出焦时逸散组分复杂的有机废气，</w:t>
      </w:r>
      <w:bookmarkStart w:id="296" w:name="_Hlk179370598"/>
      <w:r>
        <w:rPr>
          <w:rFonts w:hint="eastAsia"/>
        </w:rPr>
        <w:t>主要污染物有粉尘、硫化氢、氨、酚类、BaP及二氧化硫等</w:t>
      </w:r>
      <w:bookmarkEnd w:id="296"/>
      <w:r>
        <w:rPr>
          <w:rFonts w:hint="eastAsia"/>
        </w:rPr>
        <w:t>。本项目采用“水冷壁+蒸汽熄焦+机械化封闭出焦”，废气经密闭空间负压收集送1#VOCs治理装置处理后排放。</w:t>
      </w:r>
    </w:p>
    <w:p w14:paraId="050C6B62">
      <w:pPr>
        <w:ind w:firstLine="480"/>
      </w:pPr>
      <w:r>
        <w:rPr>
          <w:rFonts w:hint="eastAsia"/>
        </w:rPr>
        <w:t>根据《污染物源强核算指南 炼焦化学工业》（HJ 981-2018）表1规定，无组织废气应主要采取类比法确定，炭化炉出焦废气污染物源强类比《新疆同顺源能源开发有限公司180万吨/年褐煤热解提质多联产综合利用项目（一期120万吨/年）炭化炉升级改造项目环境影响报告书》，炭化炉装置区粉尘、硫化氢、氨、酚类及BaP总产生量分别为18.144t/a、0.432t/a、1.512t/a、0.058t/a、0.0000216t/a。</w:t>
      </w:r>
    </w:p>
    <w:p w14:paraId="48803D48">
      <w:pPr>
        <w:ind w:firstLine="480"/>
      </w:pPr>
      <w:r>
        <w:rPr>
          <w:rFonts w:hint="eastAsia"/>
        </w:rPr>
        <w:t>估算本项目炭化炉装置区粉尘、硫化氢、氨、酚类及BaP总产生量分别为9.070t/a、0.216t/a、0.756t/a、0.029t/a、0.000011t/a。</w:t>
      </w:r>
    </w:p>
    <w:p w14:paraId="7ABBD336">
      <w:pPr>
        <w:ind w:firstLine="480"/>
      </w:pPr>
      <w:r>
        <w:rPr>
          <w:rFonts w:hint="eastAsia"/>
        </w:rPr>
        <w:t>根据《污染源源强核算技术指南 炼焦化学工业》（HJ 981-2018），蒸汽熄焦设施二氧化硫源强按下式核算：</w:t>
      </w:r>
    </w:p>
    <w:p w14:paraId="12A2B994">
      <w:pPr>
        <w:ind w:firstLine="480"/>
        <w:jc w:val="center"/>
      </w:pPr>
      <w:r>
        <w:drawing>
          <wp:inline distT="0" distB="0" distL="0" distR="0">
            <wp:extent cx="2023110" cy="431800"/>
            <wp:effectExtent l="0" t="0" r="0" b="6350"/>
            <wp:docPr id="1061" name="图片 1"/>
            <wp:cNvGraphicFramePr/>
            <a:graphic xmlns:a="http://schemas.openxmlformats.org/drawingml/2006/main">
              <a:graphicData uri="http://schemas.openxmlformats.org/drawingml/2006/picture">
                <pic:pic xmlns:pic="http://schemas.openxmlformats.org/drawingml/2006/picture">
                  <pic:nvPicPr>
                    <pic:cNvPr id="1061" name="图片 1"/>
                    <pic:cNvPicPr/>
                  </pic:nvPicPr>
                  <pic:blipFill>
                    <a:blip r:embed="rId37" cstate="print"/>
                    <a:srcRect/>
                    <a:stretch>
                      <a:fillRect/>
                    </a:stretch>
                  </pic:blipFill>
                  <pic:spPr>
                    <a:xfrm>
                      <a:off x="0" y="0"/>
                      <a:ext cx="2023744" cy="431800"/>
                    </a:xfrm>
                    <a:prstGeom prst="rect">
                      <a:avLst/>
                    </a:prstGeom>
                  </pic:spPr>
                </pic:pic>
              </a:graphicData>
            </a:graphic>
          </wp:inline>
        </w:drawing>
      </w:r>
    </w:p>
    <w:p w14:paraId="07B61918">
      <w:pPr>
        <w:ind w:firstLine="480"/>
      </w:pPr>
      <w:r>
        <w:rPr>
          <w:rFonts w:hint="eastAsia"/>
        </w:rPr>
        <w:t>式中：</w:t>
      </w:r>
    </w:p>
    <w:p w14:paraId="6FED5547">
      <w:pPr>
        <w:ind w:firstLine="480"/>
      </w:pPr>
      <w:r>
        <w:rPr>
          <w:rFonts w:hint="eastAsia"/>
        </w:rPr>
        <w:t xml:space="preserve">D——核算时段内二氧化硫排放量，t； </w:t>
      </w:r>
    </w:p>
    <w:p w14:paraId="7EED8165">
      <w:pPr>
        <w:ind w:firstLine="480"/>
      </w:pPr>
      <w:r>
        <w:rPr>
          <w:rFonts w:hint="eastAsia"/>
        </w:rPr>
        <w:t>Q——核算时段内焦炭干熄处理量，t，51.88万；</w:t>
      </w:r>
    </w:p>
    <w:p w14:paraId="788A0297">
      <w:pPr>
        <w:ind w:firstLine="480"/>
      </w:pPr>
      <w:r>
        <w:rPr>
          <w:rFonts w:hint="eastAsia"/>
        </w:rPr>
        <w:t>S</w:t>
      </w:r>
      <w:r>
        <w:rPr>
          <w:rFonts w:hint="eastAsia"/>
          <w:vertAlign w:val="subscript"/>
        </w:rPr>
        <w:t>Q</w:t>
      </w:r>
      <w:r>
        <w:rPr>
          <w:rFonts w:hint="eastAsia"/>
        </w:rPr>
        <w:t>——核算时段内焦炭中总硫含量，%，0.72；</w:t>
      </w:r>
    </w:p>
    <w:p w14:paraId="61924148">
      <w:pPr>
        <w:ind w:firstLine="480"/>
      </w:pPr>
      <w:r>
        <w:rPr>
          <w:rFonts w:hint="eastAsia"/>
        </w:rPr>
        <w:t>λ——焦炭烧损率，%，0.9；</w:t>
      </w:r>
    </w:p>
    <w:p w14:paraId="42DF4CAF">
      <w:pPr>
        <w:ind w:firstLine="480"/>
      </w:pPr>
      <w:r>
        <w:rPr>
          <w:rFonts w:hint="eastAsia"/>
        </w:rPr>
        <w:t>η——脱硫效率，%，0。</w:t>
      </w:r>
    </w:p>
    <w:p w14:paraId="0B8DB423">
      <w:pPr>
        <w:ind w:firstLine="480"/>
      </w:pPr>
      <w:r>
        <w:rPr>
          <w:rFonts w:hint="eastAsia"/>
        </w:rPr>
        <w:t>根据计算，熄焦过程产生二氧化硫66.58t/a。</w:t>
      </w:r>
    </w:p>
    <w:p w14:paraId="56445F08">
      <w:pPr>
        <w:ind w:firstLine="480"/>
        <w:rPr>
          <w:rFonts w:hint="eastAsia" w:hAnsi="宋体"/>
        </w:rPr>
      </w:pPr>
      <w:r>
        <w:rPr>
          <w:kern w:val="1"/>
        </w:rPr>
        <w:t>炭化炉出焦</w:t>
      </w:r>
      <w:r>
        <w:rPr>
          <w:rFonts w:hint="eastAsia"/>
          <w:kern w:val="1"/>
        </w:rPr>
        <w:t>段逸散的有机废气采用密闭空间</w:t>
      </w:r>
      <w:r>
        <w:rPr>
          <w:rFonts w:hint="eastAsia"/>
        </w:rPr>
        <w:t>负压收集。</w:t>
      </w:r>
      <w:r>
        <w:rPr>
          <w:rFonts w:hint="eastAsia" w:hAnsi="宋体"/>
        </w:rPr>
        <w:t>根据《主要污染物总量减排核算技术指南（2</w:t>
      </w:r>
      <w:r>
        <w:rPr>
          <w:rFonts w:hAnsi="宋体"/>
        </w:rPr>
        <w:t>022</w:t>
      </w:r>
      <w:r>
        <w:rPr>
          <w:rFonts w:hint="eastAsia" w:hAnsi="宋体"/>
        </w:rPr>
        <w:t>年修订）》表2</w:t>
      </w:r>
      <w:r>
        <w:rPr>
          <w:rFonts w:hAnsi="宋体"/>
        </w:rPr>
        <w:t>-3VOC</w:t>
      </w:r>
      <w:r>
        <w:rPr>
          <w:rFonts w:hint="eastAsia" w:hAnsi="宋体"/>
        </w:rPr>
        <w:t>s废气收集和治理设施去除率通用系数，密闭空间负压收集的废气收集率为9</w:t>
      </w:r>
      <w:r>
        <w:rPr>
          <w:rFonts w:hAnsi="宋体"/>
        </w:rPr>
        <w:t>0%</w:t>
      </w:r>
      <w:r>
        <w:rPr>
          <w:rFonts w:hint="eastAsia" w:hAnsi="宋体"/>
        </w:rPr>
        <w:t>，未收集到的10%为装置区无组织排放。</w:t>
      </w:r>
      <w:r>
        <w:rPr>
          <w:rFonts w:hint="eastAsia"/>
        </w:rPr>
        <w:t>炭化工段有机废气产生与收集情况，见表3.3-14。</w:t>
      </w:r>
    </w:p>
    <w:p w14:paraId="6CDA3D98">
      <w:pPr>
        <w:pStyle w:val="118"/>
      </w:pPr>
    </w:p>
    <w:p w14:paraId="17FE9837">
      <w:pPr>
        <w:pStyle w:val="118"/>
      </w:pPr>
      <w:r>
        <w:rPr>
          <w:rFonts w:hint="eastAsia"/>
        </w:rPr>
        <w:t>表3.3-14  炭化工段有机废气产排情况一览表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08"/>
        <w:gridCol w:w="701"/>
        <w:gridCol w:w="881"/>
        <w:gridCol w:w="943"/>
        <w:gridCol w:w="881"/>
        <w:gridCol w:w="881"/>
        <w:gridCol w:w="1139"/>
        <w:gridCol w:w="1188"/>
      </w:tblGrid>
      <w:tr w14:paraId="623E2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0" w:type="pct"/>
            <w:vAlign w:val="center"/>
          </w:tcPr>
          <w:p w14:paraId="1D223572">
            <w:pPr>
              <w:pStyle w:val="133"/>
              <w:rPr>
                <w:rFonts w:cs="Times New Roman"/>
                <w:b/>
                <w:bCs/>
              </w:rPr>
            </w:pPr>
            <w:r>
              <w:rPr>
                <w:rFonts w:cs="Times New Roman"/>
                <w:b/>
                <w:bCs/>
              </w:rPr>
              <w:t>污染物</w:t>
            </w:r>
          </w:p>
        </w:tc>
        <w:tc>
          <w:tcPr>
            <w:tcW w:w="411" w:type="pct"/>
            <w:vAlign w:val="center"/>
          </w:tcPr>
          <w:p w14:paraId="44692A7C">
            <w:pPr>
              <w:pStyle w:val="133"/>
              <w:rPr>
                <w:rFonts w:cs="Times New Roman"/>
                <w:b/>
                <w:bCs/>
              </w:rPr>
            </w:pPr>
            <w:r>
              <w:rPr>
                <w:rFonts w:cs="Times New Roman"/>
                <w:b/>
                <w:bCs/>
              </w:rPr>
              <w:t>单位</w:t>
            </w:r>
          </w:p>
        </w:tc>
        <w:tc>
          <w:tcPr>
            <w:tcW w:w="517" w:type="pct"/>
            <w:vAlign w:val="center"/>
          </w:tcPr>
          <w:p w14:paraId="118FA93F">
            <w:pPr>
              <w:pStyle w:val="133"/>
              <w:rPr>
                <w:rFonts w:cs="Times New Roman"/>
                <w:b/>
                <w:bCs/>
              </w:rPr>
            </w:pPr>
            <w:r>
              <w:rPr>
                <w:rFonts w:cs="Times New Roman"/>
                <w:b/>
                <w:bCs/>
              </w:rPr>
              <w:t>粉尘</w:t>
            </w:r>
          </w:p>
        </w:tc>
        <w:tc>
          <w:tcPr>
            <w:tcW w:w="553" w:type="pct"/>
            <w:vAlign w:val="center"/>
          </w:tcPr>
          <w:p w14:paraId="4F5C9354">
            <w:pPr>
              <w:pStyle w:val="133"/>
              <w:rPr>
                <w:rFonts w:cs="Times New Roman"/>
                <w:b/>
                <w:bCs/>
              </w:rPr>
            </w:pPr>
            <w:r>
              <w:rPr>
                <w:rFonts w:cs="Times New Roman"/>
                <w:b/>
                <w:bCs/>
              </w:rPr>
              <w:t>硫化氢</w:t>
            </w:r>
          </w:p>
        </w:tc>
        <w:tc>
          <w:tcPr>
            <w:tcW w:w="517" w:type="pct"/>
            <w:vAlign w:val="center"/>
          </w:tcPr>
          <w:p w14:paraId="2D8CD542">
            <w:pPr>
              <w:pStyle w:val="133"/>
              <w:rPr>
                <w:rFonts w:cs="Times New Roman"/>
                <w:b/>
                <w:bCs/>
              </w:rPr>
            </w:pPr>
            <w:r>
              <w:rPr>
                <w:rFonts w:cs="Times New Roman"/>
                <w:b/>
                <w:bCs/>
              </w:rPr>
              <w:t>氨</w:t>
            </w:r>
          </w:p>
        </w:tc>
        <w:tc>
          <w:tcPr>
            <w:tcW w:w="517" w:type="pct"/>
            <w:vAlign w:val="center"/>
          </w:tcPr>
          <w:p w14:paraId="0EDE135B">
            <w:pPr>
              <w:pStyle w:val="133"/>
              <w:rPr>
                <w:rFonts w:cs="Times New Roman"/>
                <w:b/>
                <w:bCs/>
              </w:rPr>
            </w:pPr>
            <w:r>
              <w:rPr>
                <w:rFonts w:cs="Times New Roman"/>
                <w:b/>
                <w:bCs/>
              </w:rPr>
              <w:t>酚类</w:t>
            </w:r>
          </w:p>
        </w:tc>
        <w:tc>
          <w:tcPr>
            <w:tcW w:w="668" w:type="pct"/>
            <w:vAlign w:val="center"/>
          </w:tcPr>
          <w:p w14:paraId="78993D62">
            <w:pPr>
              <w:pStyle w:val="133"/>
              <w:rPr>
                <w:rFonts w:cs="Times New Roman"/>
                <w:b/>
                <w:bCs/>
              </w:rPr>
            </w:pPr>
            <w:r>
              <w:rPr>
                <w:rFonts w:cs="Times New Roman"/>
                <w:b/>
                <w:bCs/>
              </w:rPr>
              <w:t>BaP</w:t>
            </w:r>
          </w:p>
        </w:tc>
        <w:tc>
          <w:tcPr>
            <w:tcW w:w="697" w:type="pct"/>
            <w:vAlign w:val="center"/>
          </w:tcPr>
          <w:p w14:paraId="29D4C2B4">
            <w:pPr>
              <w:pStyle w:val="133"/>
              <w:rPr>
                <w:rFonts w:cs="Times New Roman"/>
                <w:b/>
                <w:bCs/>
              </w:rPr>
            </w:pPr>
            <w:r>
              <w:rPr>
                <w:rFonts w:cs="Times New Roman"/>
                <w:b/>
                <w:bCs/>
              </w:rPr>
              <w:t>二氧化硫</w:t>
            </w:r>
          </w:p>
        </w:tc>
      </w:tr>
      <w:tr w14:paraId="5EE03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0" w:type="pct"/>
            <w:vAlign w:val="center"/>
          </w:tcPr>
          <w:p w14:paraId="0690D6E0">
            <w:pPr>
              <w:pStyle w:val="133"/>
              <w:rPr>
                <w:rFonts w:cs="Times New Roman"/>
              </w:rPr>
            </w:pPr>
            <w:r>
              <w:rPr>
                <w:rFonts w:cs="Times New Roman"/>
              </w:rPr>
              <w:t>产生量</w:t>
            </w:r>
          </w:p>
        </w:tc>
        <w:tc>
          <w:tcPr>
            <w:tcW w:w="411" w:type="pct"/>
            <w:vAlign w:val="center"/>
          </w:tcPr>
          <w:p w14:paraId="7D8FFBCE">
            <w:pPr>
              <w:pStyle w:val="133"/>
              <w:rPr>
                <w:rFonts w:eastAsia="等线" w:cs="Times New Roman"/>
              </w:rPr>
            </w:pPr>
            <w:r>
              <w:rPr>
                <w:rFonts w:eastAsia="等线" w:cs="Times New Roman"/>
              </w:rPr>
              <w:t>t/a</w:t>
            </w:r>
          </w:p>
        </w:tc>
        <w:tc>
          <w:tcPr>
            <w:tcW w:w="517" w:type="pct"/>
            <w:vAlign w:val="center"/>
          </w:tcPr>
          <w:p w14:paraId="17BC0307">
            <w:pPr>
              <w:pStyle w:val="133"/>
              <w:rPr>
                <w:rFonts w:eastAsia="等线" w:cs="Times New Roman"/>
              </w:rPr>
            </w:pPr>
            <w:r>
              <w:rPr>
                <w:rFonts w:eastAsia="等线" w:cs="Times New Roman"/>
                <w:color w:val="000000"/>
                <w:szCs w:val="21"/>
              </w:rPr>
              <w:t>9.072</w:t>
            </w:r>
          </w:p>
        </w:tc>
        <w:tc>
          <w:tcPr>
            <w:tcW w:w="553" w:type="pct"/>
            <w:vAlign w:val="center"/>
          </w:tcPr>
          <w:p w14:paraId="22CCDA51">
            <w:pPr>
              <w:pStyle w:val="133"/>
              <w:rPr>
                <w:rFonts w:eastAsia="等线" w:cs="Times New Roman"/>
              </w:rPr>
            </w:pPr>
            <w:r>
              <w:rPr>
                <w:rFonts w:eastAsia="等线" w:cs="Times New Roman"/>
                <w:color w:val="000000"/>
                <w:szCs w:val="21"/>
              </w:rPr>
              <w:t>0.216</w:t>
            </w:r>
          </w:p>
        </w:tc>
        <w:tc>
          <w:tcPr>
            <w:tcW w:w="517" w:type="pct"/>
            <w:vAlign w:val="center"/>
          </w:tcPr>
          <w:p w14:paraId="27E026CD">
            <w:pPr>
              <w:pStyle w:val="133"/>
              <w:rPr>
                <w:rFonts w:eastAsia="等线" w:cs="Times New Roman"/>
              </w:rPr>
            </w:pPr>
            <w:r>
              <w:rPr>
                <w:rFonts w:eastAsia="等线" w:cs="Times New Roman"/>
                <w:color w:val="000000"/>
                <w:szCs w:val="21"/>
              </w:rPr>
              <w:t>0.756</w:t>
            </w:r>
          </w:p>
        </w:tc>
        <w:tc>
          <w:tcPr>
            <w:tcW w:w="517" w:type="pct"/>
            <w:vAlign w:val="center"/>
          </w:tcPr>
          <w:p w14:paraId="5D3D43FD">
            <w:pPr>
              <w:pStyle w:val="133"/>
              <w:rPr>
                <w:rFonts w:eastAsia="等线" w:cs="Times New Roman"/>
              </w:rPr>
            </w:pPr>
            <w:r>
              <w:rPr>
                <w:rFonts w:eastAsia="等线" w:cs="Times New Roman"/>
                <w:color w:val="000000"/>
                <w:szCs w:val="21"/>
              </w:rPr>
              <w:t>0.029</w:t>
            </w:r>
          </w:p>
        </w:tc>
        <w:tc>
          <w:tcPr>
            <w:tcW w:w="668" w:type="pct"/>
            <w:vAlign w:val="center"/>
          </w:tcPr>
          <w:p w14:paraId="12661F9F">
            <w:pPr>
              <w:pStyle w:val="133"/>
              <w:rPr>
                <w:rFonts w:eastAsia="等线" w:cs="Times New Roman"/>
              </w:rPr>
            </w:pPr>
            <w:r>
              <w:rPr>
                <w:rFonts w:eastAsia="等线" w:cs="Times New Roman"/>
                <w:color w:val="000000"/>
                <w:szCs w:val="21"/>
              </w:rPr>
              <w:t>0.000</w:t>
            </w:r>
            <w:r>
              <w:rPr>
                <w:rFonts w:hint="eastAsia" w:eastAsia="等线" w:cs="Times New Roman"/>
                <w:color w:val="000000"/>
                <w:szCs w:val="21"/>
              </w:rPr>
              <w:t>011</w:t>
            </w:r>
          </w:p>
        </w:tc>
        <w:tc>
          <w:tcPr>
            <w:tcW w:w="697" w:type="pct"/>
            <w:vAlign w:val="center"/>
          </w:tcPr>
          <w:p w14:paraId="72D7E103">
            <w:pPr>
              <w:pStyle w:val="133"/>
              <w:rPr>
                <w:rFonts w:eastAsia="等线" w:cs="Times New Roman"/>
                <w:szCs w:val="21"/>
              </w:rPr>
            </w:pPr>
            <w:r>
              <w:rPr>
                <w:rFonts w:hint="eastAsia" w:eastAsia="等线" w:cs="Times New Roman"/>
                <w:szCs w:val="21"/>
              </w:rPr>
              <w:t>66.582</w:t>
            </w:r>
          </w:p>
        </w:tc>
      </w:tr>
      <w:tr w14:paraId="390B8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0" w:type="pct"/>
            <w:vAlign w:val="center"/>
          </w:tcPr>
          <w:p w14:paraId="59B21EAE">
            <w:pPr>
              <w:pStyle w:val="133"/>
              <w:rPr>
                <w:rFonts w:cs="Times New Roman"/>
              </w:rPr>
            </w:pPr>
            <w:r>
              <w:rPr>
                <w:rFonts w:cs="Times New Roman"/>
              </w:rPr>
              <w:t>产生速率</w:t>
            </w:r>
          </w:p>
        </w:tc>
        <w:tc>
          <w:tcPr>
            <w:tcW w:w="411" w:type="pct"/>
            <w:vAlign w:val="center"/>
          </w:tcPr>
          <w:p w14:paraId="214FD42D">
            <w:pPr>
              <w:pStyle w:val="133"/>
              <w:rPr>
                <w:rFonts w:eastAsia="等线" w:cs="Times New Roman"/>
              </w:rPr>
            </w:pPr>
            <w:r>
              <w:rPr>
                <w:rFonts w:eastAsia="等线" w:cs="Times New Roman"/>
              </w:rPr>
              <w:t>kg/h</w:t>
            </w:r>
          </w:p>
        </w:tc>
        <w:tc>
          <w:tcPr>
            <w:tcW w:w="517" w:type="pct"/>
            <w:vAlign w:val="center"/>
          </w:tcPr>
          <w:p w14:paraId="0E8B8975">
            <w:pPr>
              <w:pStyle w:val="133"/>
              <w:rPr>
                <w:rFonts w:eastAsia="等线" w:cs="Times New Roman"/>
              </w:rPr>
            </w:pPr>
            <w:r>
              <w:rPr>
                <w:rFonts w:eastAsia="等线" w:cs="Times New Roman"/>
                <w:color w:val="000000"/>
                <w:szCs w:val="21"/>
              </w:rPr>
              <w:t>1.1455</w:t>
            </w:r>
          </w:p>
        </w:tc>
        <w:tc>
          <w:tcPr>
            <w:tcW w:w="553" w:type="pct"/>
            <w:vAlign w:val="center"/>
          </w:tcPr>
          <w:p w14:paraId="1A250F72">
            <w:pPr>
              <w:pStyle w:val="133"/>
              <w:rPr>
                <w:rFonts w:eastAsia="等线" w:cs="Times New Roman"/>
              </w:rPr>
            </w:pPr>
            <w:r>
              <w:rPr>
                <w:rFonts w:eastAsia="等线" w:cs="Times New Roman"/>
                <w:color w:val="000000"/>
                <w:szCs w:val="21"/>
              </w:rPr>
              <w:t>0.0273</w:t>
            </w:r>
          </w:p>
        </w:tc>
        <w:tc>
          <w:tcPr>
            <w:tcW w:w="517" w:type="pct"/>
            <w:vAlign w:val="center"/>
          </w:tcPr>
          <w:p w14:paraId="1ACE35E6">
            <w:pPr>
              <w:pStyle w:val="133"/>
              <w:rPr>
                <w:rFonts w:eastAsia="等线" w:cs="Times New Roman"/>
              </w:rPr>
            </w:pPr>
            <w:r>
              <w:rPr>
                <w:rFonts w:eastAsia="等线" w:cs="Times New Roman"/>
                <w:color w:val="000000"/>
                <w:szCs w:val="21"/>
              </w:rPr>
              <w:t>0.0955</w:t>
            </w:r>
          </w:p>
        </w:tc>
        <w:tc>
          <w:tcPr>
            <w:tcW w:w="517" w:type="pct"/>
            <w:vAlign w:val="center"/>
          </w:tcPr>
          <w:p w14:paraId="73F675D8">
            <w:pPr>
              <w:pStyle w:val="133"/>
              <w:rPr>
                <w:rFonts w:eastAsia="等线" w:cs="Times New Roman"/>
              </w:rPr>
            </w:pPr>
            <w:r>
              <w:rPr>
                <w:rFonts w:eastAsia="等线" w:cs="Times New Roman"/>
                <w:color w:val="000000"/>
                <w:szCs w:val="21"/>
              </w:rPr>
              <w:t>0.0036</w:t>
            </w:r>
          </w:p>
        </w:tc>
        <w:tc>
          <w:tcPr>
            <w:tcW w:w="668" w:type="pct"/>
            <w:vAlign w:val="center"/>
          </w:tcPr>
          <w:p w14:paraId="5113CFA3">
            <w:pPr>
              <w:pStyle w:val="133"/>
              <w:rPr>
                <w:rFonts w:eastAsia="等线" w:cs="Times New Roman"/>
              </w:rPr>
            </w:pPr>
            <w:r>
              <w:rPr>
                <w:rFonts w:eastAsia="等线" w:cs="Times New Roman"/>
                <w:color w:val="000000"/>
                <w:szCs w:val="21"/>
              </w:rPr>
              <w:t>1.36E-06</w:t>
            </w:r>
          </w:p>
        </w:tc>
        <w:tc>
          <w:tcPr>
            <w:tcW w:w="697" w:type="pct"/>
            <w:vAlign w:val="center"/>
          </w:tcPr>
          <w:p w14:paraId="001176E9">
            <w:pPr>
              <w:pStyle w:val="133"/>
              <w:rPr>
                <w:rFonts w:eastAsia="等线" w:cs="Times New Roman"/>
                <w:szCs w:val="21"/>
              </w:rPr>
            </w:pPr>
            <w:r>
              <w:rPr>
                <w:rFonts w:eastAsia="等线" w:cs="Times New Roman"/>
                <w:color w:val="000000"/>
                <w:szCs w:val="21"/>
              </w:rPr>
              <w:t>8.4068</w:t>
            </w:r>
          </w:p>
        </w:tc>
      </w:tr>
      <w:tr w14:paraId="63B4DA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0" w:type="pct"/>
            <w:vAlign w:val="center"/>
          </w:tcPr>
          <w:p w14:paraId="098E5877">
            <w:pPr>
              <w:pStyle w:val="133"/>
              <w:rPr>
                <w:rFonts w:cs="Times New Roman"/>
              </w:rPr>
            </w:pPr>
            <w:r>
              <w:rPr>
                <w:rFonts w:cs="Times New Roman"/>
              </w:rPr>
              <w:t>收集速率</w:t>
            </w:r>
          </w:p>
        </w:tc>
        <w:tc>
          <w:tcPr>
            <w:tcW w:w="411" w:type="pct"/>
            <w:vAlign w:val="center"/>
          </w:tcPr>
          <w:p w14:paraId="34E472FF">
            <w:pPr>
              <w:pStyle w:val="133"/>
              <w:rPr>
                <w:rFonts w:eastAsia="等线" w:cs="Times New Roman"/>
              </w:rPr>
            </w:pPr>
            <w:r>
              <w:rPr>
                <w:rFonts w:eastAsia="等线" w:cs="Times New Roman"/>
              </w:rPr>
              <w:t>kg/h</w:t>
            </w:r>
          </w:p>
        </w:tc>
        <w:tc>
          <w:tcPr>
            <w:tcW w:w="517" w:type="pct"/>
            <w:vAlign w:val="center"/>
          </w:tcPr>
          <w:p w14:paraId="3B1C6918">
            <w:pPr>
              <w:pStyle w:val="133"/>
              <w:rPr>
                <w:rFonts w:eastAsia="等线" w:cs="Times New Roman"/>
              </w:rPr>
            </w:pPr>
            <w:r>
              <w:rPr>
                <w:rFonts w:eastAsia="等线" w:cs="Times New Roman"/>
                <w:color w:val="000000"/>
                <w:szCs w:val="21"/>
              </w:rPr>
              <w:t>1.0309</w:t>
            </w:r>
          </w:p>
        </w:tc>
        <w:tc>
          <w:tcPr>
            <w:tcW w:w="553" w:type="pct"/>
            <w:vAlign w:val="center"/>
          </w:tcPr>
          <w:p w14:paraId="4BF889FF">
            <w:pPr>
              <w:pStyle w:val="133"/>
              <w:rPr>
                <w:rFonts w:eastAsia="等线" w:cs="Times New Roman"/>
              </w:rPr>
            </w:pPr>
            <w:r>
              <w:rPr>
                <w:rFonts w:eastAsia="等线" w:cs="Times New Roman"/>
                <w:color w:val="000000"/>
                <w:szCs w:val="21"/>
              </w:rPr>
              <w:t>0.0245</w:t>
            </w:r>
          </w:p>
        </w:tc>
        <w:tc>
          <w:tcPr>
            <w:tcW w:w="517" w:type="pct"/>
            <w:vAlign w:val="center"/>
          </w:tcPr>
          <w:p w14:paraId="18D2D208">
            <w:pPr>
              <w:pStyle w:val="133"/>
              <w:rPr>
                <w:rFonts w:eastAsia="等线" w:cs="Times New Roman"/>
              </w:rPr>
            </w:pPr>
            <w:r>
              <w:rPr>
                <w:rFonts w:eastAsia="等线" w:cs="Times New Roman"/>
                <w:color w:val="000000"/>
                <w:szCs w:val="21"/>
              </w:rPr>
              <w:t>0.0859</w:t>
            </w:r>
          </w:p>
        </w:tc>
        <w:tc>
          <w:tcPr>
            <w:tcW w:w="517" w:type="pct"/>
            <w:vAlign w:val="center"/>
          </w:tcPr>
          <w:p w14:paraId="6AD040F0">
            <w:pPr>
              <w:pStyle w:val="133"/>
              <w:rPr>
                <w:rFonts w:eastAsia="等线" w:cs="Times New Roman"/>
              </w:rPr>
            </w:pPr>
            <w:r>
              <w:rPr>
                <w:rFonts w:eastAsia="等线" w:cs="Times New Roman"/>
                <w:color w:val="000000"/>
                <w:szCs w:val="21"/>
              </w:rPr>
              <w:t>0.0033</w:t>
            </w:r>
          </w:p>
        </w:tc>
        <w:tc>
          <w:tcPr>
            <w:tcW w:w="668" w:type="pct"/>
            <w:vAlign w:val="center"/>
          </w:tcPr>
          <w:p w14:paraId="525834B1">
            <w:pPr>
              <w:pStyle w:val="133"/>
              <w:rPr>
                <w:rFonts w:eastAsia="等线" w:cs="Times New Roman"/>
              </w:rPr>
            </w:pPr>
            <w:r>
              <w:rPr>
                <w:rFonts w:eastAsia="等线" w:cs="Times New Roman"/>
                <w:color w:val="000000"/>
                <w:szCs w:val="21"/>
              </w:rPr>
              <w:t>1.23E-06</w:t>
            </w:r>
          </w:p>
        </w:tc>
        <w:tc>
          <w:tcPr>
            <w:tcW w:w="697" w:type="pct"/>
            <w:vAlign w:val="center"/>
          </w:tcPr>
          <w:p w14:paraId="1CEA4DBC">
            <w:pPr>
              <w:pStyle w:val="133"/>
              <w:rPr>
                <w:rFonts w:eastAsia="等线" w:cs="Times New Roman"/>
                <w:szCs w:val="21"/>
              </w:rPr>
            </w:pPr>
            <w:r>
              <w:rPr>
                <w:rFonts w:eastAsia="等线" w:cs="Times New Roman"/>
                <w:color w:val="000000"/>
                <w:szCs w:val="21"/>
              </w:rPr>
              <w:t>7.5661</w:t>
            </w:r>
          </w:p>
        </w:tc>
      </w:tr>
      <w:tr w14:paraId="192097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20" w:type="pct"/>
            <w:vAlign w:val="center"/>
          </w:tcPr>
          <w:p w14:paraId="2C239325">
            <w:pPr>
              <w:pStyle w:val="133"/>
              <w:rPr>
                <w:rFonts w:cs="Times New Roman"/>
              </w:rPr>
            </w:pPr>
            <w:r>
              <w:rPr>
                <w:rFonts w:cs="Times New Roman"/>
              </w:rPr>
              <w:t>无组织排放速率</w:t>
            </w:r>
          </w:p>
        </w:tc>
        <w:tc>
          <w:tcPr>
            <w:tcW w:w="411" w:type="pct"/>
            <w:vAlign w:val="center"/>
          </w:tcPr>
          <w:p w14:paraId="6BD0CA41">
            <w:pPr>
              <w:pStyle w:val="133"/>
              <w:rPr>
                <w:rFonts w:eastAsia="等线" w:cs="Times New Roman"/>
              </w:rPr>
            </w:pPr>
            <w:r>
              <w:rPr>
                <w:rFonts w:eastAsia="等线" w:cs="Times New Roman"/>
              </w:rPr>
              <w:t>kg/h</w:t>
            </w:r>
          </w:p>
        </w:tc>
        <w:tc>
          <w:tcPr>
            <w:tcW w:w="517" w:type="pct"/>
            <w:vAlign w:val="center"/>
          </w:tcPr>
          <w:p w14:paraId="43EC1B52">
            <w:pPr>
              <w:pStyle w:val="133"/>
              <w:rPr>
                <w:rFonts w:eastAsia="等线" w:cs="Times New Roman"/>
              </w:rPr>
            </w:pPr>
            <w:r>
              <w:rPr>
                <w:rFonts w:eastAsia="等线" w:cs="Times New Roman"/>
                <w:color w:val="000000"/>
                <w:szCs w:val="21"/>
              </w:rPr>
              <w:t>0.1145</w:t>
            </w:r>
          </w:p>
        </w:tc>
        <w:tc>
          <w:tcPr>
            <w:tcW w:w="553" w:type="pct"/>
            <w:vAlign w:val="center"/>
          </w:tcPr>
          <w:p w14:paraId="53E0EE6E">
            <w:pPr>
              <w:pStyle w:val="133"/>
              <w:rPr>
                <w:rFonts w:eastAsia="等线" w:cs="Times New Roman"/>
              </w:rPr>
            </w:pPr>
            <w:r>
              <w:rPr>
                <w:rFonts w:eastAsia="等线" w:cs="Times New Roman"/>
                <w:color w:val="000000"/>
                <w:szCs w:val="21"/>
              </w:rPr>
              <w:t>0.0027</w:t>
            </w:r>
          </w:p>
        </w:tc>
        <w:tc>
          <w:tcPr>
            <w:tcW w:w="517" w:type="pct"/>
            <w:vAlign w:val="center"/>
          </w:tcPr>
          <w:p w14:paraId="7727E366">
            <w:pPr>
              <w:pStyle w:val="133"/>
              <w:rPr>
                <w:rFonts w:eastAsia="等线" w:cs="Times New Roman"/>
              </w:rPr>
            </w:pPr>
            <w:r>
              <w:rPr>
                <w:rFonts w:eastAsia="等线" w:cs="Times New Roman"/>
                <w:color w:val="000000"/>
                <w:szCs w:val="21"/>
              </w:rPr>
              <w:t>0.0095</w:t>
            </w:r>
          </w:p>
        </w:tc>
        <w:tc>
          <w:tcPr>
            <w:tcW w:w="517" w:type="pct"/>
            <w:vAlign w:val="center"/>
          </w:tcPr>
          <w:p w14:paraId="504BC068">
            <w:pPr>
              <w:pStyle w:val="133"/>
              <w:rPr>
                <w:rFonts w:eastAsia="等线" w:cs="Times New Roman"/>
              </w:rPr>
            </w:pPr>
            <w:r>
              <w:rPr>
                <w:rFonts w:eastAsia="等线" w:cs="Times New Roman"/>
                <w:color w:val="000000"/>
                <w:szCs w:val="21"/>
              </w:rPr>
              <w:t>0.0004</w:t>
            </w:r>
          </w:p>
        </w:tc>
        <w:tc>
          <w:tcPr>
            <w:tcW w:w="668" w:type="pct"/>
            <w:vAlign w:val="center"/>
          </w:tcPr>
          <w:p w14:paraId="05213578">
            <w:pPr>
              <w:pStyle w:val="133"/>
              <w:rPr>
                <w:rFonts w:eastAsia="等线" w:cs="Times New Roman"/>
              </w:rPr>
            </w:pPr>
            <w:r>
              <w:rPr>
                <w:rFonts w:eastAsia="等线" w:cs="Times New Roman"/>
                <w:color w:val="000000"/>
                <w:szCs w:val="21"/>
              </w:rPr>
              <w:t>1.36E-07</w:t>
            </w:r>
          </w:p>
        </w:tc>
        <w:tc>
          <w:tcPr>
            <w:tcW w:w="697" w:type="pct"/>
            <w:vAlign w:val="center"/>
          </w:tcPr>
          <w:p w14:paraId="660CEE58">
            <w:pPr>
              <w:pStyle w:val="133"/>
              <w:rPr>
                <w:rFonts w:eastAsia="等线" w:cs="Times New Roman"/>
                <w:szCs w:val="21"/>
              </w:rPr>
            </w:pPr>
            <w:r>
              <w:rPr>
                <w:rFonts w:eastAsia="等线" w:cs="Times New Roman"/>
                <w:color w:val="000000"/>
                <w:szCs w:val="21"/>
              </w:rPr>
              <w:t>0.8407</w:t>
            </w:r>
          </w:p>
        </w:tc>
      </w:tr>
    </w:tbl>
    <w:p w14:paraId="1254D186">
      <w:pPr>
        <w:pStyle w:val="410"/>
        <w:ind w:firstLine="360"/>
      </w:pPr>
    </w:p>
    <w:p w14:paraId="5AF6C749">
      <w:pPr>
        <w:ind w:firstLine="480"/>
      </w:pPr>
      <w:r>
        <w:rPr>
          <w:rFonts w:hint="eastAsia" w:ascii="宋体" w:hAnsi="宋体"/>
        </w:rPr>
        <w:t>②</w:t>
      </w:r>
      <w:r>
        <w:rPr>
          <w:rFonts w:hint="eastAsia"/>
        </w:rPr>
        <w:t>煤气净化工段</w:t>
      </w:r>
    </w:p>
    <w:p w14:paraId="484831E8">
      <w:pPr>
        <w:ind w:firstLine="480"/>
      </w:pPr>
      <w:r>
        <w:rPr>
          <w:rFonts w:hint="eastAsia"/>
        </w:rPr>
        <w:t>煤气净化工艺产生的废气主要在冷凝鼓风工段，氨水罐和剩余氨水罐等由于存放的物料温度较高，其中一些易挥发的NH</w:t>
      </w:r>
      <w:r>
        <w:rPr>
          <w:rFonts w:hint="eastAsia"/>
          <w:vertAlign w:val="subscript"/>
        </w:rPr>
        <w:t>3</w:t>
      </w:r>
      <w:r>
        <w:rPr>
          <w:rFonts w:hint="eastAsia"/>
        </w:rPr>
        <w:t>、H</w:t>
      </w:r>
      <w:r>
        <w:rPr>
          <w:rFonts w:hint="eastAsia"/>
          <w:vertAlign w:val="subscript"/>
        </w:rPr>
        <w:t>2</w:t>
      </w:r>
      <w:r>
        <w:rPr>
          <w:rFonts w:hint="eastAsia"/>
        </w:rPr>
        <w:t>S、HCN、酚类、BaP及非甲烷总烃等有害气体难以单个处理。本项目采用密闭储罐配套密闭管道收集系统，有机废气经密闭管道收集送1#VOCs治理装置处理后排放。</w:t>
      </w:r>
    </w:p>
    <w:p w14:paraId="14AF6AD3">
      <w:pPr>
        <w:ind w:firstLine="480"/>
      </w:pPr>
      <w:r>
        <w:rPr>
          <w:rFonts w:hint="eastAsia"/>
        </w:rPr>
        <w:t>根据《新疆同顺源能源开发有限公司180万吨/年褐煤热解提质多联产综合利用项目（一期120万吨/年）炭化炉升级改造项目环境影响报告书》，煤气净化工段苯并芘、氰化氢、酚类、氨气、硫化氢和非甲烷总烃的产生量分别为0.00468t/a、0.0374t/a、0.1872t/a、0.936t/a、0.0562t/a、1.404t/a。</w:t>
      </w:r>
    </w:p>
    <w:p w14:paraId="28A1D674">
      <w:pPr>
        <w:ind w:firstLine="480"/>
      </w:pPr>
      <w:r>
        <w:rPr>
          <w:rFonts w:hint="eastAsia"/>
        </w:rPr>
        <w:t>煤气净化工段废气污染源类比该项目污染物源强，苯并芘、氰化氢、酚类、氨气、硫化氢和非甲烷总烃的产生量分别为0.0023t/a、0.0187t/a、0.0936t/a、0.4680t/a、0.0281t/a、0.7020t/a。</w:t>
      </w:r>
      <w:bookmarkEnd w:id="294"/>
    </w:p>
    <w:p w14:paraId="63ACE3A6">
      <w:pPr>
        <w:ind w:firstLine="480"/>
        <w:rPr>
          <w:rFonts w:hint="eastAsia" w:hAnsi="宋体"/>
        </w:rPr>
      </w:pPr>
      <w:r>
        <w:rPr>
          <w:rFonts w:hint="eastAsia"/>
        </w:rPr>
        <w:t>本项目采用密闭管道收集。</w:t>
      </w:r>
      <w:r>
        <w:rPr>
          <w:rFonts w:hint="eastAsia" w:hAnsi="宋体"/>
        </w:rPr>
        <w:t>根据《主要污染物总量减排核算技术指南（2</w:t>
      </w:r>
      <w:r>
        <w:rPr>
          <w:rFonts w:hAnsi="宋体"/>
        </w:rPr>
        <w:t>022</w:t>
      </w:r>
      <w:r>
        <w:rPr>
          <w:rFonts w:hint="eastAsia" w:hAnsi="宋体"/>
        </w:rPr>
        <w:t>年修订）》表2</w:t>
      </w:r>
      <w:r>
        <w:rPr>
          <w:rFonts w:hAnsi="宋体"/>
        </w:rPr>
        <w:t>-3VOC</w:t>
      </w:r>
      <w:r>
        <w:rPr>
          <w:rFonts w:hint="eastAsia" w:hAnsi="宋体"/>
        </w:rPr>
        <w:t>s废气收集和治理设施去除率通用系数，密闭管道收集的废气收集率为95</w:t>
      </w:r>
      <w:r>
        <w:rPr>
          <w:rFonts w:hAnsi="宋体"/>
        </w:rPr>
        <w:t>%</w:t>
      </w:r>
      <w:r>
        <w:rPr>
          <w:rFonts w:hint="eastAsia" w:hAnsi="宋体"/>
        </w:rPr>
        <w:t>，未收集到的5%为装置区无组织排放。</w:t>
      </w:r>
      <w:r>
        <w:rPr>
          <w:rFonts w:hint="eastAsia"/>
        </w:rPr>
        <w:t>煤气净化工段有机废气产生与收集情况，见表3.3-15。</w:t>
      </w:r>
    </w:p>
    <w:p w14:paraId="7AA64A64">
      <w:pPr>
        <w:pStyle w:val="118"/>
      </w:pPr>
      <w:r>
        <w:rPr>
          <w:rFonts w:hint="eastAsia"/>
        </w:rPr>
        <w:t>表3.3-15  煤气净化工段有机废气产生与收集情况一览表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7"/>
        <w:gridCol w:w="670"/>
        <w:gridCol w:w="948"/>
        <w:gridCol w:w="948"/>
        <w:gridCol w:w="948"/>
        <w:gridCol w:w="948"/>
        <w:gridCol w:w="948"/>
        <w:gridCol w:w="1335"/>
      </w:tblGrid>
      <w:tr w14:paraId="733124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3" w:type="pct"/>
            <w:vAlign w:val="center"/>
          </w:tcPr>
          <w:p w14:paraId="5880DE87">
            <w:pPr>
              <w:pStyle w:val="133"/>
              <w:rPr>
                <w:b/>
                <w:bCs/>
              </w:rPr>
            </w:pPr>
            <w:r>
              <w:rPr>
                <w:rFonts w:hint="eastAsia"/>
                <w:b/>
                <w:bCs/>
              </w:rPr>
              <w:t>污染物</w:t>
            </w:r>
          </w:p>
        </w:tc>
        <w:tc>
          <w:tcPr>
            <w:tcW w:w="393" w:type="pct"/>
            <w:vAlign w:val="center"/>
          </w:tcPr>
          <w:p w14:paraId="62E5D927">
            <w:pPr>
              <w:pStyle w:val="133"/>
              <w:rPr>
                <w:b/>
                <w:bCs/>
              </w:rPr>
            </w:pPr>
            <w:r>
              <w:rPr>
                <w:rFonts w:hint="eastAsia"/>
                <w:b/>
                <w:bCs/>
              </w:rPr>
              <w:t>单位</w:t>
            </w:r>
          </w:p>
        </w:tc>
        <w:tc>
          <w:tcPr>
            <w:tcW w:w="556" w:type="pct"/>
            <w:vAlign w:val="center"/>
          </w:tcPr>
          <w:p w14:paraId="26C88D87">
            <w:pPr>
              <w:pStyle w:val="133"/>
              <w:rPr>
                <w:b/>
                <w:bCs/>
              </w:rPr>
            </w:pPr>
            <w:r>
              <w:rPr>
                <w:rFonts w:hint="eastAsia"/>
                <w:b/>
                <w:bCs/>
              </w:rPr>
              <w:t>BaP</w:t>
            </w:r>
          </w:p>
        </w:tc>
        <w:tc>
          <w:tcPr>
            <w:tcW w:w="556" w:type="pct"/>
            <w:vAlign w:val="center"/>
          </w:tcPr>
          <w:p w14:paraId="76EA3E25">
            <w:pPr>
              <w:pStyle w:val="133"/>
              <w:rPr>
                <w:b/>
                <w:bCs/>
              </w:rPr>
            </w:pPr>
            <w:r>
              <w:rPr>
                <w:rFonts w:hint="eastAsia"/>
                <w:b/>
                <w:bCs/>
              </w:rPr>
              <w:t>氰化氢</w:t>
            </w:r>
          </w:p>
        </w:tc>
        <w:tc>
          <w:tcPr>
            <w:tcW w:w="556" w:type="pct"/>
            <w:vAlign w:val="center"/>
          </w:tcPr>
          <w:p w14:paraId="135F03EF">
            <w:pPr>
              <w:pStyle w:val="133"/>
              <w:rPr>
                <w:b/>
                <w:bCs/>
              </w:rPr>
            </w:pPr>
            <w:r>
              <w:rPr>
                <w:rFonts w:hint="eastAsia"/>
                <w:b/>
                <w:bCs/>
              </w:rPr>
              <w:t>酚类</w:t>
            </w:r>
          </w:p>
        </w:tc>
        <w:tc>
          <w:tcPr>
            <w:tcW w:w="556" w:type="pct"/>
            <w:vAlign w:val="center"/>
          </w:tcPr>
          <w:p w14:paraId="3F26B048">
            <w:pPr>
              <w:pStyle w:val="133"/>
              <w:rPr>
                <w:b/>
                <w:bCs/>
              </w:rPr>
            </w:pPr>
            <w:r>
              <w:rPr>
                <w:rFonts w:hint="eastAsia"/>
                <w:b/>
                <w:bCs/>
              </w:rPr>
              <w:t>氨</w:t>
            </w:r>
          </w:p>
        </w:tc>
        <w:tc>
          <w:tcPr>
            <w:tcW w:w="556" w:type="pct"/>
            <w:vAlign w:val="center"/>
          </w:tcPr>
          <w:p w14:paraId="4A45866F">
            <w:pPr>
              <w:pStyle w:val="133"/>
              <w:rPr>
                <w:rFonts w:eastAsia="等线"/>
                <w:b/>
                <w:bCs/>
              </w:rPr>
            </w:pPr>
            <w:r>
              <w:rPr>
                <w:rFonts w:hint="eastAsia"/>
                <w:b/>
                <w:bCs/>
              </w:rPr>
              <w:t>硫化氢</w:t>
            </w:r>
          </w:p>
        </w:tc>
        <w:tc>
          <w:tcPr>
            <w:tcW w:w="783" w:type="pct"/>
            <w:vAlign w:val="center"/>
          </w:tcPr>
          <w:p w14:paraId="684326B7">
            <w:pPr>
              <w:pStyle w:val="133"/>
              <w:rPr>
                <w:rFonts w:eastAsia="等线"/>
                <w:b/>
                <w:bCs/>
              </w:rPr>
            </w:pPr>
            <w:r>
              <w:rPr>
                <w:rFonts w:hint="eastAsia"/>
                <w:b/>
                <w:bCs/>
              </w:rPr>
              <w:t>非甲烷总烃</w:t>
            </w:r>
          </w:p>
        </w:tc>
      </w:tr>
      <w:tr w14:paraId="47604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3" w:type="pct"/>
            <w:vAlign w:val="center"/>
          </w:tcPr>
          <w:p w14:paraId="3F60A2E1">
            <w:pPr>
              <w:pStyle w:val="133"/>
            </w:pPr>
            <w:r>
              <w:rPr>
                <w:rFonts w:hint="eastAsia"/>
              </w:rPr>
              <w:t>产生量</w:t>
            </w:r>
          </w:p>
        </w:tc>
        <w:tc>
          <w:tcPr>
            <w:tcW w:w="393" w:type="pct"/>
            <w:vAlign w:val="center"/>
          </w:tcPr>
          <w:p w14:paraId="7955752A">
            <w:pPr>
              <w:pStyle w:val="133"/>
              <w:rPr>
                <w:rFonts w:eastAsia="等线"/>
              </w:rPr>
            </w:pPr>
            <w:r>
              <w:rPr>
                <w:rFonts w:eastAsia="等线"/>
              </w:rPr>
              <w:t>t/a</w:t>
            </w:r>
          </w:p>
        </w:tc>
        <w:tc>
          <w:tcPr>
            <w:tcW w:w="556" w:type="pct"/>
            <w:vAlign w:val="center"/>
          </w:tcPr>
          <w:p w14:paraId="5E7CCDE2">
            <w:pPr>
              <w:pStyle w:val="133"/>
              <w:rPr>
                <w:rFonts w:eastAsia="等线"/>
              </w:rPr>
            </w:pPr>
            <w:r>
              <w:rPr>
                <w:rFonts w:eastAsia="等线" w:cs="Times New Roman"/>
                <w:color w:val="000000"/>
                <w:szCs w:val="21"/>
              </w:rPr>
              <w:t>0.0023</w:t>
            </w:r>
          </w:p>
        </w:tc>
        <w:tc>
          <w:tcPr>
            <w:tcW w:w="556" w:type="pct"/>
            <w:vAlign w:val="center"/>
          </w:tcPr>
          <w:p w14:paraId="74F33A3B">
            <w:pPr>
              <w:pStyle w:val="133"/>
              <w:rPr>
                <w:rFonts w:eastAsia="等线"/>
              </w:rPr>
            </w:pPr>
            <w:r>
              <w:rPr>
                <w:rFonts w:eastAsia="等线" w:cs="Times New Roman"/>
                <w:color w:val="000000"/>
                <w:szCs w:val="21"/>
              </w:rPr>
              <w:t>0.0187</w:t>
            </w:r>
          </w:p>
        </w:tc>
        <w:tc>
          <w:tcPr>
            <w:tcW w:w="556" w:type="pct"/>
            <w:vAlign w:val="center"/>
          </w:tcPr>
          <w:p w14:paraId="320DCF30">
            <w:pPr>
              <w:pStyle w:val="133"/>
              <w:rPr>
                <w:rFonts w:eastAsia="等线"/>
              </w:rPr>
            </w:pPr>
            <w:r>
              <w:rPr>
                <w:rFonts w:eastAsia="等线" w:cs="Times New Roman"/>
                <w:color w:val="000000"/>
                <w:szCs w:val="21"/>
              </w:rPr>
              <w:t>0.0936</w:t>
            </w:r>
          </w:p>
        </w:tc>
        <w:tc>
          <w:tcPr>
            <w:tcW w:w="556" w:type="pct"/>
            <w:vAlign w:val="center"/>
          </w:tcPr>
          <w:p w14:paraId="56D231B0">
            <w:pPr>
              <w:pStyle w:val="133"/>
              <w:rPr>
                <w:rFonts w:eastAsia="等线"/>
              </w:rPr>
            </w:pPr>
            <w:r>
              <w:rPr>
                <w:rFonts w:eastAsia="等线" w:cs="Times New Roman"/>
                <w:color w:val="000000"/>
                <w:szCs w:val="21"/>
              </w:rPr>
              <w:t>0.4680</w:t>
            </w:r>
          </w:p>
        </w:tc>
        <w:tc>
          <w:tcPr>
            <w:tcW w:w="556" w:type="pct"/>
            <w:vAlign w:val="center"/>
          </w:tcPr>
          <w:p w14:paraId="58C91131">
            <w:pPr>
              <w:pStyle w:val="133"/>
              <w:rPr>
                <w:rFonts w:eastAsia="等线"/>
              </w:rPr>
            </w:pPr>
            <w:r>
              <w:rPr>
                <w:rFonts w:eastAsia="等线" w:cs="Times New Roman"/>
                <w:color w:val="000000"/>
                <w:szCs w:val="21"/>
              </w:rPr>
              <w:t>0.0281</w:t>
            </w:r>
          </w:p>
        </w:tc>
        <w:tc>
          <w:tcPr>
            <w:tcW w:w="783" w:type="pct"/>
            <w:vAlign w:val="center"/>
          </w:tcPr>
          <w:p w14:paraId="34A55FFD">
            <w:pPr>
              <w:pStyle w:val="133"/>
              <w:rPr>
                <w:rFonts w:eastAsia="等线"/>
              </w:rPr>
            </w:pPr>
            <w:r>
              <w:rPr>
                <w:rFonts w:eastAsia="等线" w:cs="Times New Roman"/>
                <w:color w:val="000000"/>
                <w:szCs w:val="21"/>
              </w:rPr>
              <w:t>0.7020</w:t>
            </w:r>
          </w:p>
        </w:tc>
      </w:tr>
      <w:tr w14:paraId="64B50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3" w:type="pct"/>
            <w:vAlign w:val="center"/>
          </w:tcPr>
          <w:p w14:paraId="53DA61AC">
            <w:pPr>
              <w:pStyle w:val="133"/>
            </w:pPr>
            <w:r>
              <w:rPr>
                <w:rFonts w:hint="eastAsia"/>
              </w:rPr>
              <w:t>产生速率</w:t>
            </w:r>
          </w:p>
        </w:tc>
        <w:tc>
          <w:tcPr>
            <w:tcW w:w="393" w:type="pct"/>
            <w:vAlign w:val="center"/>
          </w:tcPr>
          <w:p w14:paraId="7BE1D873">
            <w:pPr>
              <w:pStyle w:val="133"/>
              <w:rPr>
                <w:rFonts w:eastAsia="等线"/>
              </w:rPr>
            </w:pPr>
            <w:r>
              <w:rPr>
                <w:rFonts w:eastAsia="等线"/>
              </w:rPr>
              <w:t>kg/h</w:t>
            </w:r>
          </w:p>
        </w:tc>
        <w:tc>
          <w:tcPr>
            <w:tcW w:w="556" w:type="pct"/>
            <w:vAlign w:val="center"/>
          </w:tcPr>
          <w:p w14:paraId="2239B33C">
            <w:pPr>
              <w:pStyle w:val="133"/>
              <w:rPr>
                <w:rFonts w:eastAsia="等线"/>
              </w:rPr>
            </w:pPr>
            <w:r>
              <w:rPr>
                <w:rFonts w:eastAsia="等线" w:cs="Times New Roman"/>
                <w:color w:val="000000"/>
                <w:szCs w:val="21"/>
              </w:rPr>
              <w:t>0.0003</w:t>
            </w:r>
          </w:p>
        </w:tc>
        <w:tc>
          <w:tcPr>
            <w:tcW w:w="556" w:type="pct"/>
            <w:vAlign w:val="center"/>
          </w:tcPr>
          <w:p w14:paraId="1A9DB73A">
            <w:pPr>
              <w:pStyle w:val="133"/>
              <w:rPr>
                <w:rFonts w:eastAsia="等线"/>
              </w:rPr>
            </w:pPr>
            <w:r>
              <w:rPr>
                <w:rFonts w:eastAsia="等线" w:cs="Times New Roman"/>
                <w:color w:val="000000"/>
                <w:szCs w:val="21"/>
              </w:rPr>
              <w:t>0.002</w:t>
            </w:r>
            <w:r>
              <w:rPr>
                <w:rFonts w:hint="eastAsia" w:eastAsia="等线" w:cs="Times New Roman"/>
                <w:color w:val="000000"/>
                <w:szCs w:val="21"/>
              </w:rPr>
              <w:t>4</w:t>
            </w:r>
          </w:p>
        </w:tc>
        <w:tc>
          <w:tcPr>
            <w:tcW w:w="556" w:type="pct"/>
            <w:vAlign w:val="center"/>
          </w:tcPr>
          <w:p w14:paraId="2F8AE8EA">
            <w:pPr>
              <w:pStyle w:val="133"/>
              <w:rPr>
                <w:rFonts w:eastAsia="等线"/>
              </w:rPr>
            </w:pPr>
            <w:r>
              <w:rPr>
                <w:rFonts w:eastAsia="等线" w:cs="Times New Roman"/>
                <w:color w:val="000000"/>
                <w:szCs w:val="21"/>
              </w:rPr>
              <w:t>0.011</w:t>
            </w:r>
            <w:r>
              <w:rPr>
                <w:rFonts w:hint="eastAsia" w:eastAsia="等线" w:cs="Times New Roman"/>
                <w:color w:val="000000"/>
                <w:szCs w:val="21"/>
              </w:rPr>
              <w:t>8</w:t>
            </w:r>
          </w:p>
        </w:tc>
        <w:tc>
          <w:tcPr>
            <w:tcW w:w="556" w:type="pct"/>
            <w:vAlign w:val="center"/>
          </w:tcPr>
          <w:p w14:paraId="7F161F5D">
            <w:pPr>
              <w:pStyle w:val="133"/>
              <w:rPr>
                <w:rFonts w:eastAsia="等线"/>
              </w:rPr>
            </w:pPr>
            <w:r>
              <w:rPr>
                <w:rFonts w:eastAsia="等线" w:cs="Times New Roman"/>
                <w:color w:val="000000"/>
                <w:szCs w:val="21"/>
              </w:rPr>
              <w:t>0.05</w:t>
            </w:r>
            <w:r>
              <w:rPr>
                <w:rFonts w:hint="eastAsia" w:eastAsia="等线" w:cs="Times New Roman"/>
                <w:color w:val="000000"/>
                <w:szCs w:val="21"/>
              </w:rPr>
              <w:t>91</w:t>
            </w:r>
          </w:p>
        </w:tc>
        <w:tc>
          <w:tcPr>
            <w:tcW w:w="556" w:type="pct"/>
            <w:vAlign w:val="center"/>
          </w:tcPr>
          <w:p w14:paraId="0EBE2222">
            <w:pPr>
              <w:pStyle w:val="133"/>
              <w:rPr>
                <w:rFonts w:eastAsia="等线"/>
              </w:rPr>
            </w:pPr>
            <w:r>
              <w:rPr>
                <w:rFonts w:eastAsia="等线" w:cs="Times New Roman"/>
                <w:color w:val="000000"/>
                <w:szCs w:val="21"/>
              </w:rPr>
              <w:t>0.0035</w:t>
            </w:r>
          </w:p>
        </w:tc>
        <w:tc>
          <w:tcPr>
            <w:tcW w:w="783" w:type="pct"/>
            <w:vAlign w:val="center"/>
          </w:tcPr>
          <w:p w14:paraId="2F3022D5">
            <w:pPr>
              <w:pStyle w:val="133"/>
              <w:rPr>
                <w:rFonts w:eastAsia="等线"/>
              </w:rPr>
            </w:pPr>
            <w:r>
              <w:rPr>
                <w:rFonts w:eastAsia="等线" w:cs="Times New Roman"/>
                <w:color w:val="000000"/>
                <w:szCs w:val="21"/>
              </w:rPr>
              <w:t>0.08</w:t>
            </w:r>
            <w:r>
              <w:rPr>
                <w:rFonts w:hint="eastAsia" w:eastAsia="等线" w:cs="Times New Roman"/>
                <w:color w:val="000000"/>
                <w:szCs w:val="21"/>
              </w:rPr>
              <w:t>86</w:t>
            </w:r>
          </w:p>
        </w:tc>
      </w:tr>
      <w:tr w14:paraId="06F0B1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43" w:type="pct"/>
            <w:vAlign w:val="center"/>
          </w:tcPr>
          <w:p w14:paraId="10BB38B4">
            <w:pPr>
              <w:pStyle w:val="133"/>
            </w:pPr>
            <w:r>
              <w:rPr>
                <w:rFonts w:hint="eastAsia"/>
              </w:rPr>
              <w:t>收集速率</w:t>
            </w:r>
          </w:p>
        </w:tc>
        <w:tc>
          <w:tcPr>
            <w:tcW w:w="393" w:type="pct"/>
            <w:vAlign w:val="center"/>
          </w:tcPr>
          <w:p w14:paraId="797B10A0">
            <w:pPr>
              <w:pStyle w:val="133"/>
              <w:rPr>
                <w:rFonts w:eastAsia="等线"/>
              </w:rPr>
            </w:pPr>
            <w:r>
              <w:rPr>
                <w:rFonts w:eastAsia="等线"/>
              </w:rPr>
              <w:t>kg/h</w:t>
            </w:r>
          </w:p>
        </w:tc>
        <w:tc>
          <w:tcPr>
            <w:tcW w:w="556" w:type="pct"/>
            <w:vAlign w:val="center"/>
          </w:tcPr>
          <w:p w14:paraId="0139D605">
            <w:pPr>
              <w:pStyle w:val="133"/>
              <w:rPr>
                <w:rFonts w:eastAsia="等线"/>
              </w:rPr>
            </w:pPr>
            <w:r>
              <w:rPr>
                <w:rFonts w:eastAsia="等线" w:cs="Times New Roman"/>
                <w:color w:val="000000"/>
                <w:szCs w:val="21"/>
              </w:rPr>
              <w:t>0.0003</w:t>
            </w:r>
          </w:p>
        </w:tc>
        <w:tc>
          <w:tcPr>
            <w:tcW w:w="556" w:type="pct"/>
            <w:vAlign w:val="center"/>
          </w:tcPr>
          <w:p w14:paraId="22D43617">
            <w:pPr>
              <w:pStyle w:val="133"/>
              <w:rPr>
                <w:rFonts w:eastAsia="等线"/>
              </w:rPr>
            </w:pPr>
            <w:r>
              <w:rPr>
                <w:rFonts w:eastAsia="等线" w:cs="Times New Roman"/>
                <w:color w:val="000000"/>
                <w:szCs w:val="21"/>
              </w:rPr>
              <w:t>0.0022</w:t>
            </w:r>
          </w:p>
        </w:tc>
        <w:tc>
          <w:tcPr>
            <w:tcW w:w="556" w:type="pct"/>
            <w:vAlign w:val="center"/>
          </w:tcPr>
          <w:p w14:paraId="422BD3A4">
            <w:pPr>
              <w:pStyle w:val="133"/>
              <w:rPr>
                <w:rFonts w:eastAsia="等线"/>
              </w:rPr>
            </w:pPr>
            <w:r>
              <w:rPr>
                <w:rFonts w:eastAsia="等线" w:cs="Times New Roman"/>
                <w:color w:val="000000"/>
                <w:szCs w:val="21"/>
              </w:rPr>
              <w:t>0.011</w:t>
            </w:r>
            <w:r>
              <w:rPr>
                <w:rFonts w:hint="eastAsia" w:eastAsia="等线" w:cs="Times New Roman"/>
                <w:color w:val="000000"/>
                <w:szCs w:val="21"/>
              </w:rPr>
              <w:t>2</w:t>
            </w:r>
          </w:p>
        </w:tc>
        <w:tc>
          <w:tcPr>
            <w:tcW w:w="556" w:type="pct"/>
            <w:vAlign w:val="center"/>
          </w:tcPr>
          <w:p w14:paraId="26632444">
            <w:pPr>
              <w:pStyle w:val="133"/>
              <w:rPr>
                <w:rFonts w:eastAsia="等线"/>
              </w:rPr>
            </w:pPr>
            <w:r>
              <w:rPr>
                <w:rFonts w:eastAsia="等线" w:cs="Times New Roman"/>
                <w:color w:val="000000"/>
                <w:szCs w:val="21"/>
              </w:rPr>
              <w:t>0.05</w:t>
            </w:r>
            <w:r>
              <w:rPr>
                <w:rFonts w:hint="eastAsia" w:eastAsia="等线" w:cs="Times New Roman"/>
                <w:color w:val="000000"/>
                <w:szCs w:val="21"/>
              </w:rPr>
              <w:t>61</w:t>
            </w:r>
          </w:p>
        </w:tc>
        <w:tc>
          <w:tcPr>
            <w:tcW w:w="556" w:type="pct"/>
            <w:vAlign w:val="center"/>
          </w:tcPr>
          <w:p w14:paraId="4473133A">
            <w:pPr>
              <w:pStyle w:val="133"/>
              <w:rPr>
                <w:rFonts w:eastAsia="等线"/>
              </w:rPr>
            </w:pPr>
            <w:r>
              <w:rPr>
                <w:rFonts w:eastAsia="等线" w:cs="Times New Roman"/>
                <w:color w:val="000000"/>
                <w:szCs w:val="21"/>
              </w:rPr>
              <w:t>0.003</w:t>
            </w:r>
            <w:r>
              <w:rPr>
                <w:rFonts w:hint="eastAsia" w:eastAsia="等线" w:cs="Times New Roman"/>
                <w:color w:val="000000"/>
                <w:szCs w:val="21"/>
              </w:rPr>
              <w:t>4</w:t>
            </w:r>
          </w:p>
        </w:tc>
        <w:tc>
          <w:tcPr>
            <w:tcW w:w="783" w:type="pct"/>
            <w:vAlign w:val="center"/>
          </w:tcPr>
          <w:p w14:paraId="0DB57FB3">
            <w:pPr>
              <w:pStyle w:val="133"/>
              <w:rPr>
                <w:rFonts w:eastAsia="等线"/>
              </w:rPr>
            </w:pPr>
            <w:r>
              <w:rPr>
                <w:rFonts w:eastAsia="等线" w:cs="Times New Roman"/>
                <w:color w:val="000000"/>
                <w:szCs w:val="21"/>
              </w:rPr>
              <w:t>0.08</w:t>
            </w:r>
            <w:r>
              <w:rPr>
                <w:rFonts w:hint="eastAsia" w:eastAsia="等线" w:cs="Times New Roman"/>
                <w:color w:val="000000"/>
                <w:szCs w:val="21"/>
              </w:rPr>
              <w:t>42</w:t>
            </w:r>
          </w:p>
        </w:tc>
      </w:tr>
      <w:tr w14:paraId="18BB77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1043" w:type="pct"/>
            <w:vAlign w:val="center"/>
          </w:tcPr>
          <w:p w14:paraId="5AD71DB2">
            <w:pPr>
              <w:pStyle w:val="133"/>
            </w:pPr>
            <w:r>
              <w:rPr>
                <w:rFonts w:hint="eastAsia"/>
              </w:rPr>
              <w:t>无组织排放速率</w:t>
            </w:r>
          </w:p>
        </w:tc>
        <w:tc>
          <w:tcPr>
            <w:tcW w:w="393" w:type="pct"/>
            <w:vAlign w:val="center"/>
          </w:tcPr>
          <w:p w14:paraId="099B2277">
            <w:pPr>
              <w:pStyle w:val="133"/>
              <w:rPr>
                <w:rFonts w:eastAsia="等线"/>
              </w:rPr>
            </w:pPr>
            <w:r>
              <w:rPr>
                <w:rFonts w:eastAsia="等线"/>
              </w:rPr>
              <w:t>kg/h</w:t>
            </w:r>
          </w:p>
        </w:tc>
        <w:tc>
          <w:tcPr>
            <w:tcW w:w="556" w:type="pct"/>
            <w:vAlign w:val="center"/>
          </w:tcPr>
          <w:p w14:paraId="1F85D8D1">
            <w:pPr>
              <w:pStyle w:val="133"/>
              <w:rPr>
                <w:rFonts w:eastAsia="等线"/>
              </w:rPr>
            </w:pPr>
            <w:r>
              <w:rPr>
                <w:rFonts w:eastAsia="等线" w:cs="Times New Roman"/>
                <w:color w:val="000000"/>
                <w:szCs w:val="21"/>
              </w:rPr>
              <w:t>0.00001</w:t>
            </w:r>
          </w:p>
        </w:tc>
        <w:tc>
          <w:tcPr>
            <w:tcW w:w="556" w:type="pct"/>
            <w:vAlign w:val="center"/>
          </w:tcPr>
          <w:p w14:paraId="6CDB9C7F">
            <w:pPr>
              <w:pStyle w:val="133"/>
              <w:rPr>
                <w:rFonts w:eastAsia="等线"/>
              </w:rPr>
            </w:pPr>
            <w:r>
              <w:rPr>
                <w:rFonts w:eastAsia="等线" w:cs="Times New Roman"/>
                <w:color w:val="000000"/>
                <w:szCs w:val="21"/>
              </w:rPr>
              <w:t>0.00012</w:t>
            </w:r>
          </w:p>
        </w:tc>
        <w:tc>
          <w:tcPr>
            <w:tcW w:w="556" w:type="pct"/>
            <w:vAlign w:val="center"/>
          </w:tcPr>
          <w:p w14:paraId="400F946B">
            <w:pPr>
              <w:pStyle w:val="133"/>
              <w:rPr>
                <w:rFonts w:eastAsia="等线"/>
              </w:rPr>
            </w:pPr>
            <w:r>
              <w:rPr>
                <w:rFonts w:eastAsia="等线" w:cs="Times New Roman"/>
                <w:color w:val="000000"/>
                <w:szCs w:val="21"/>
              </w:rPr>
              <w:t>0.00059</w:t>
            </w:r>
          </w:p>
        </w:tc>
        <w:tc>
          <w:tcPr>
            <w:tcW w:w="556" w:type="pct"/>
            <w:vAlign w:val="center"/>
          </w:tcPr>
          <w:p w14:paraId="30BDB672">
            <w:pPr>
              <w:pStyle w:val="133"/>
              <w:rPr>
                <w:rFonts w:eastAsia="等线"/>
              </w:rPr>
            </w:pPr>
            <w:r>
              <w:rPr>
                <w:rFonts w:eastAsia="等线" w:cs="Times New Roman"/>
                <w:color w:val="000000"/>
                <w:szCs w:val="21"/>
              </w:rPr>
              <w:t>0.0029</w:t>
            </w:r>
            <w:r>
              <w:rPr>
                <w:rFonts w:hint="eastAsia" w:eastAsia="等线" w:cs="Times New Roman"/>
                <w:color w:val="000000"/>
                <w:szCs w:val="21"/>
              </w:rPr>
              <w:t>5</w:t>
            </w:r>
          </w:p>
        </w:tc>
        <w:tc>
          <w:tcPr>
            <w:tcW w:w="556" w:type="pct"/>
            <w:vAlign w:val="center"/>
          </w:tcPr>
          <w:p w14:paraId="790D0AA1">
            <w:pPr>
              <w:pStyle w:val="133"/>
              <w:rPr>
                <w:rFonts w:eastAsia="等线"/>
              </w:rPr>
            </w:pPr>
            <w:r>
              <w:rPr>
                <w:rFonts w:eastAsia="等线" w:cs="Times New Roman"/>
                <w:color w:val="000000"/>
                <w:szCs w:val="21"/>
              </w:rPr>
              <w:t>0.00018</w:t>
            </w:r>
          </w:p>
        </w:tc>
        <w:tc>
          <w:tcPr>
            <w:tcW w:w="783" w:type="pct"/>
            <w:vAlign w:val="center"/>
          </w:tcPr>
          <w:p w14:paraId="045DACD1">
            <w:pPr>
              <w:pStyle w:val="133"/>
              <w:rPr>
                <w:rFonts w:eastAsia="等线"/>
              </w:rPr>
            </w:pPr>
            <w:r>
              <w:rPr>
                <w:rFonts w:eastAsia="等线" w:cs="Times New Roman"/>
                <w:color w:val="000000"/>
                <w:szCs w:val="21"/>
              </w:rPr>
              <w:t>0.004</w:t>
            </w:r>
            <w:r>
              <w:rPr>
                <w:rFonts w:hint="eastAsia" w:eastAsia="等线" w:cs="Times New Roman"/>
                <w:color w:val="000000"/>
                <w:szCs w:val="21"/>
              </w:rPr>
              <w:t>43</w:t>
            </w:r>
          </w:p>
        </w:tc>
      </w:tr>
    </w:tbl>
    <w:p w14:paraId="6AF02EA4">
      <w:pPr>
        <w:pStyle w:val="133"/>
      </w:pPr>
    </w:p>
    <w:p w14:paraId="1B3A3FBE">
      <w:pPr>
        <w:ind w:firstLine="480"/>
      </w:pPr>
      <w:r>
        <w:rPr>
          <w:rFonts w:ascii="Cambria Math" w:hAnsi="Cambria Math" w:cs="Cambria Math"/>
        </w:rPr>
        <w:t>③</w:t>
      </w:r>
      <w:r>
        <w:t>1#VOCs处理装置污染源强</w:t>
      </w:r>
    </w:p>
    <w:p w14:paraId="5396600B">
      <w:pPr>
        <w:ind w:firstLine="480"/>
      </w:pPr>
      <w:r>
        <w:t>炭化工段废气经密闭空间负压收集，煤气净化工段废气采用密闭储罐配套密闭管道收集，以上废气经1#VOCs处理装置系统采用“酸洗+碱洗+活性炭吸附-脱附+催化燃烧工艺”处理，</w:t>
      </w:r>
      <w:r>
        <w:rPr>
          <w:rFonts w:hint="eastAsia"/>
        </w:rPr>
        <w:t>根据同类企业巴里坤天汇利能源有限公司例行监测报告，采用“清水喷淋+碱液喷淋+活性炭吸附”</w:t>
      </w:r>
      <w:r>
        <w:t xml:space="preserve"> VOCs去除效率</w:t>
      </w:r>
      <w:r>
        <w:rPr>
          <w:rFonts w:hint="eastAsia"/>
        </w:rPr>
        <w:t>最低可以达到</w:t>
      </w:r>
      <w:r>
        <w:t>9</w:t>
      </w:r>
      <w:r>
        <w:rPr>
          <w:rFonts w:hint="eastAsia"/>
        </w:rPr>
        <w:t>2</w:t>
      </w:r>
      <w:r>
        <w:t>%</w:t>
      </w:r>
      <w:r>
        <w:rPr>
          <w:rFonts w:hint="eastAsia"/>
        </w:rPr>
        <w:t>（监测报告见附件），根据《主要污染物总量减排核算技术指南》，</w:t>
      </w:r>
      <w:r>
        <w:t>采用</w:t>
      </w:r>
      <w:r>
        <w:rPr>
          <w:rFonts w:hint="eastAsia"/>
        </w:rPr>
        <w:t>“</w:t>
      </w:r>
      <w:r>
        <w:t>活性炭吸附-脱附-催化燃烧</w:t>
      </w:r>
      <w:r>
        <w:rPr>
          <w:rFonts w:hint="eastAsia"/>
        </w:rPr>
        <w:t>”</w:t>
      </w:r>
      <w:r>
        <w:t xml:space="preserve"> VOCs去除效率</w:t>
      </w:r>
      <w:r>
        <w:rPr>
          <w:rFonts w:hint="eastAsia"/>
        </w:rPr>
        <w:t>可以达到60</w:t>
      </w:r>
      <w:r>
        <w:t>%</w:t>
      </w:r>
      <w:r>
        <w:rPr>
          <w:rFonts w:hint="eastAsia"/>
        </w:rPr>
        <w:t>。</w:t>
      </w:r>
    </w:p>
    <w:p w14:paraId="24AC20BC">
      <w:pPr>
        <w:ind w:firstLine="480"/>
      </w:pPr>
      <w:r>
        <w:rPr>
          <w:rFonts w:hint="eastAsia"/>
        </w:rPr>
        <w:t>综上所述，本项目采取</w:t>
      </w:r>
      <w:r>
        <w:t xml:space="preserve"> “酸洗+碱洗+活性炭吸附-脱附+催化燃烧工艺”</w:t>
      </w:r>
      <w:r>
        <w:rPr>
          <w:rFonts w:hint="eastAsia"/>
        </w:rPr>
        <w:t>对</w:t>
      </w:r>
      <w:r>
        <w:t>VOCs去除效率</w:t>
      </w:r>
      <w:r>
        <w:rPr>
          <w:rFonts w:hint="eastAsia"/>
        </w:rPr>
        <w:t>可以达到</w:t>
      </w:r>
      <w:r>
        <w:t>97%，处理后的废气经25m排气筒排放，污染物排放执行《炼焦化学工业污染物</w:t>
      </w:r>
      <w:r>
        <w:rPr>
          <w:rFonts w:hint="eastAsia"/>
        </w:rPr>
        <w:t>大气</w:t>
      </w:r>
      <w:r>
        <w:t>排放标准》</w:t>
      </w:r>
      <w:r>
        <w:rPr>
          <w:rFonts w:hint="eastAsia"/>
        </w:rPr>
        <w:t>（</w:t>
      </w:r>
      <w:r>
        <w:t>GB 16171</w:t>
      </w:r>
      <w:r>
        <w:rPr>
          <w:rFonts w:hint="eastAsia"/>
        </w:rPr>
        <w:t>.1</w:t>
      </w:r>
      <w:r>
        <w:t>-20</w:t>
      </w:r>
      <w:r>
        <w:rPr>
          <w:rFonts w:hint="eastAsia"/>
        </w:rPr>
        <w:t>24）</w:t>
      </w:r>
      <w:r>
        <w:t>中表</w:t>
      </w:r>
      <w:r>
        <w:rPr>
          <w:rFonts w:hint="eastAsia"/>
        </w:rPr>
        <w:t>1 大气污染物排放限值及表2 VOCs燃烧装置大气污染物排放限值</w:t>
      </w:r>
      <w:r>
        <w:t>。</w:t>
      </w:r>
    </w:p>
    <w:p w14:paraId="7A70956C">
      <w:pPr>
        <w:ind w:firstLine="480"/>
      </w:pPr>
      <w:r>
        <w:t>根据工艺设计方案，1#VOCs处理装置的VOCs废气量40000m³/h。根据VOCs气体负压收集系统收集的各装置废气源强，核算VOCs处理系统各废气污染物初始源强，1#VOCs处理装置有机废气产生、收集与排放情况，见表</w:t>
      </w:r>
      <w:r>
        <w:rPr>
          <w:rFonts w:hint="eastAsia"/>
        </w:rPr>
        <w:t>3.3-16</w:t>
      </w:r>
      <w:r>
        <w:t>。</w:t>
      </w:r>
    </w:p>
    <w:p w14:paraId="4C215B3A">
      <w:pPr>
        <w:ind w:firstLine="480"/>
        <w:sectPr>
          <w:pgSz w:w="11906" w:h="16838"/>
          <w:pgMar w:top="1440" w:right="1800" w:bottom="1440" w:left="1800" w:header="850" w:footer="850" w:gutter="0"/>
          <w:cols w:space="425" w:num="1"/>
          <w:docGrid w:type="lines" w:linePitch="326" w:charSpace="0"/>
        </w:sectPr>
      </w:pPr>
    </w:p>
    <w:p w14:paraId="36B597D0">
      <w:pPr>
        <w:pStyle w:val="118"/>
      </w:pPr>
      <w:r>
        <w:rPr>
          <w:rFonts w:hint="eastAsia"/>
        </w:rPr>
        <w:t>表3.3-16  1#VOCs处理装置有机废气产生、收集与排放情况一览表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14"/>
        <w:gridCol w:w="1202"/>
        <w:gridCol w:w="862"/>
        <w:gridCol w:w="1021"/>
        <w:gridCol w:w="916"/>
        <w:gridCol w:w="808"/>
        <w:gridCol w:w="808"/>
        <w:gridCol w:w="862"/>
        <w:gridCol w:w="1287"/>
        <w:gridCol w:w="1077"/>
        <w:gridCol w:w="1933"/>
        <w:gridCol w:w="1684"/>
      </w:tblGrid>
      <w:tr w14:paraId="3414E8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605" w:type="pct"/>
            <w:vAlign w:val="center"/>
          </w:tcPr>
          <w:p w14:paraId="6F8DD4EF">
            <w:pPr>
              <w:pStyle w:val="133"/>
              <w:rPr>
                <w:b/>
                <w:bCs/>
              </w:rPr>
            </w:pPr>
            <w:r>
              <w:rPr>
                <w:rFonts w:hint="eastAsia"/>
                <w:b/>
                <w:bCs/>
              </w:rPr>
              <w:t>污染工段</w:t>
            </w:r>
          </w:p>
        </w:tc>
        <w:tc>
          <w:tcPr>
            <w:tcW w:w="424" w:type="pct"/>
            <w:vAlign w:val="center"/>
          </w:tcPr>
          <w:p w14:paraId="2F2ED4E1">
            <w:pPr>
              <w:pStyle w:val="133"/>
              <w:rPr>
                <w:b/>
                <w:bCs/>
              </w:rPr>
            </w:pPr>
            <w:r>
              <w:rPr>
                <w:rFonts w:hint="eastAsia"/>
                <w:b/>
                <w:bCs/>
              </w:rPr>
              <w:t>单位</w:t>
            </w:r>
          </w:p>
        </w:tc>
        <w:tc>
          <w:tcPr>
            <w:tcW w:w="304" w:type="pct"/>
            <w:vAlign w:val="center"/>
          </w:tcPr>
          <w:p w14:paraId="32A97F8D">
            <w:pPr>
              <w:pStyle w:val="133"/>
              <w:rPr>
                <w:b/>
                <w:bCs/>
              </w:rPr>
            </w:pPr>
            <w:r>
              <w:rPr>
                <w:rFonts w:hint="eastAsia"/>
                <w:b/>
                <w:bCs/>
              </w:rPr>
              <w:t>颗粒物</w:t>
            </w:r>
          </w:p>
        </w:tc>
        <w:tc>
          <w:tcPr>
            <w:tcW w:w="360" w:type="pct"/>
            <w:vAlign w:val="center"/>
          </w:tcPr>
          <w:p w14:paraId="2B8F0676">
            <w:pPr>
              <w:pStyle w:val="133"/>
              <w:rPr>
                <w:b/>
                <w:bCs/>
              </w:rPr>
            </w:pPr>
            <w:r>
              <w:rPr>
                <w:b/>
                <w:bCs/>
              </w:rPr>
              <w:t>BaP</w:t>
            </w:r>
          </w:p>
        </w:tc>
        <w:tc>
          <w:tcPr>
            <w:tcW w:w="323" w:type="pct"/>
            <w:vAlign w:val="center"/>
          </w:tcPr>
          <w:p w14:paraId="28F7A639">
            <w:pPr>
              <w:pStyle w:val="133"/>
              <w:rPr>
                <w:b/>
                <w:bCs/>
              </w:rPr>
            </w:pPr>
            <w:r>
              <w:rPr>
                <w:rFonts w:hint="eastAsia"/>
                <w:b/>
                <w:bCs/>
              </w:rPr>
              <w:t>氰化氢</w:t>
            </w:r>
          </w:p>
        </w:tc>
        <w:tc>
          <w:tcPr>
            <w:tcW w:w="285" w:type="pct"/>
            <w:vAlign w:val="center"/>
          </w:tcPr>
          <w:p w14:paraId="3FB0ABE1">
            <w:pPr>
              <w:pStyle w:val="133"/>
              <w:rPr>
                <w:b/>
                <w:bCs/>
              </w:rPr>
            </w:pPr>
            <w:r>
              <w:rPr>
                <w:rFonts w:hint="eastAsia"/>
                <w:b/>
                <w:bCs/>
              </w:rPr>
              <w:t>酚类</w:t>
            </w:r>
          </w:p>
        </w:tc>
        <w:tc>
          <w:tcPr>
            <w:tcW w:w="285" w:type="pct"/>
            <w:vAlign w:val="center"/>
          </w:tcPr>
          <w:p w14:paraId="77BEA20A">
            <w:pPr>
              <w:pStyle w:val="133"/>
              <w:rPr>
                <w:b/>
                <w:bCs/>
              </w:rPr>
            </w:pPr>
            <w:r>
              <w:rPr>
                <w:rFonts w:hint="eastAsia"/>
                <w:b/>
                <w:bCs/>
              </w:rPr>
              <w:t>氨</w:t>
            </w:r>
          </w:p>
        </w:tc>
        <w:tc>
          <w:tcPr>
            <w:tcW w:w="304" w:type="pct"/>
            <w:vAlign w:val="center"/>
          </w:tcPr>
          <w:p w14:paraId="675B4886">
            <w:pPr>
              <w:pStyle w:val="133"/>
              <w:rPr>
                <w:b/>
                <w:bCs/>
              </w:rPr>
            </w:pPr>
            <w:r>
              <w:rPr>
                <w:rFonts w:hint="eastAsia"/>
                <w:b/>
                <w:bCs/>
              </w:rPr>
              <w:t>硫化氢</w:t>
            </w:r>
          </w:p>
        </w:tc>
        <w:tc>
          <w:tcPr>
            <w:tcW w:w="454" w:type="pct"/>
            <w:vAlign w:val="center"/>
          </w:tcPr>
          <w:p w14:paraId="33FA364A">
            <w:pPr>
              <w:pStyle w:val="133"/>
              <w:rPr>
                <w:b/>
                <w:bCs/>
              </w:rPr>
            </w:pPr>
            <w:r>
              <w:rPr>
                <w:rFonts w:hint="eastAsia"/>
                <w:b/>
                <w:bCs/>
              </w:rPr>
              <w:t>非甲烷总烃</w:t>
            </w:r>
          </w:p>
        </w:tc>
        <w:tc>
          <w:tcPr>
            <w:tcW w:w="380" w:type="pct"/>
            <w:vAlign w:val="center"/>
          </w:tcPr>
          <w:p w14:paraId="21018728">
            <w:pPr>
              <w:pStyle w:val="133"/>
              <w:rPr>
                <w:b/>
                <w:bCs/>
              </w:rPr>
            </w:pPr>
            <w:r>
              <w:rPr>
                <w:rFonts w:hint="eastAsia"/>
                <w:b/>
                <w:bCs/>
              </w:rPr>
              <w:t>二氧化硫</w:t>
            </w:r>
          </w:p>
        </w:tc>
        <w:tc>
          <w:tcPr>
            <w:tcW w:w="682" w:type="pct"/>
            <w:vAlign w:val="center"/>
          </w:tcPr>
          <w:p w14:paraId="52AACDF1">
            <w:pPr>
              <w:pStyle w:val="133"/>
              <w:rPr>
                <w:b/>
                <w:bCs/>
              </w:rPr>
            </w:pPr>
            <w:r>
              <w:rPr>
                <w:rFonts w:hint="eastAsia"/>
                <w:b/>
                <w:bCs/>
              </w:rPr>
              <w:t>密闭形式</w:t>
            </w:r>
          </w:p>
        </w:tc>
        <w:tc>
          <w:tcPr>
            <w:tcW w:w="594" w:type="pct"/>
            <w:vAlign w:val="center"/>
          </w:tcPr>
          <w:p w14:paraId="7DAB6A2B">
            <w:pPr>
              <w:pStyle w:val="133"/>
              <w:rPr>
                <w:b/>
                <w:bCs/>
              </w:rPr>
            </w:pPr>
            <w:r>
              <w:rPr>
                <w:rFonts w:hint="eastAsia"/>
                <w:b/>
                <w:bCs/>
              </w:rPr>
              <w:t>收集效率（%）</w:t>
            </w:r>
          </w:p>
        </w:tc>
      </w:tr>
      <w:tr w14:paraId="0DDE7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05" w:type="pct"/>
            <w:vAlign w:val="center"/>
          </w:tcPr>
          <w:p w14:paraId="21314A8B">
            <w:pPr>
              <w:pStyle w:val="133"/>
            </w:pPr>
            <w:r>
              <w:rPr>
                <w:rFonts w:hint="eastAsia"/>
              </w:rPr>
              <w:t>炭化炉区</w:t>
            </w:r>
          </w:p>
        </w:tc>
        <w:tc>
          <w:tcPr>
            <w:tcW w:w="424" w:type="pct"/>
            <w:vAlign w:val="center"/>
          </w:tcPr>
          <w:p w14:paraId="7B056C97">
            <w:pPr>
              <w:pStyle w:val="133"/>
            </w:pPr>
            <w:r>
              <w:t>kg/h</w:t>
            </w:r>
          </w:p>
        </w:tc>
        <w:tc>
          <w:tcPr>
            <w:tcW w:w="304" w:type="pct"/>
            <w:vAlign w:val="center"/>
          </w:tcPr>
          <w:p w14:paraId="1A23E29B">
            <w:pPr>
              <w:pStyle w:val="133"/>
            </w:pPr>
            <w:r>
              <w:rPr>
                <w:rFonts w:eastAsia="等线" w:cs="Times New Roman"/>
                <w:color w:val="000000"/>
                <w:szCs w:val="21"/>
              </w:rPr>
              <w:t>1.0309</w:t>
            </w:r>
          </w:p>
        </w:tc>
        <w:tc>
          <w:tcPr>
            <w:tcW w:w="360" w:type="pct"/>
            <w:vAlign w:val="center"/>
          </w:tcPr>
          <w:p w14:paraId="6DB910A0">
            <w:pPr>
              <w:pStyle w:val="133"/>
            </w:pPr>
            <w:r>
              <w:rPr>
                <w:rFonts w:eastAsia="等线" w:cs="Times New Roman"/>
                <w:color w:val="000000"/>
                <w:szCs w:val="21"/>
              </w:rPr>
              <w:t>1.23E-06</w:t>
            </w:r>
          </w:p>
        </w:tc>
        <w:tc>
          <w:tcPr>
            <w:tcW w:w="323" w:type="pct"/>
            <w:vAlign w:val="center"/>
          </w:tcPr>
          <w:p w14:paraId="6FBFAC6E">
            <w:pPr>
              <w:pStyle w:val="133"/>
            </w:pPr>
          </w:p>
        </w:tc>
        <w:tc>
          <w:tcPr>
            <w:tcW w:w="285" w:type="pct"/>
            <w:vAlign w:val="center"/>
          </w:tcPr>
          <w:p w14:paraId="2746DDCA">
            <w:pPr>
              <w:pStyle w:val="133"/>
            </w:pPr>
            <w:r>
              <w:rPr>
                <w:rFonts w:eastAsia="等线" w:cs="Times New Roman"/>
                <w:color w:val="000000"/>
                <w:szCs w:val="21"/>
              </w:rPr>
              <w:t>0.0033</w:t>
            </w:r>
          </w:p>
        </w:tc>
        <w:tc>
          <w:tcPr>
            <w:tcW w:w="285" w:type="pct"/>
            <w:vAlign w:val="center"/>
          </w:tcPr>
          <w:p w14:paraId="64B76286">
            <w:pPr>
              <w:pStyle w:val="133"/>
            </w:pPr>
            <w:r>
              <w:rPr>
                <w:rFonts w:eastAsia="等线" w:cs="Times New Roman"/>
                <w:color w:val="000000"/>
                <w:szCs w:val="21"/>
              </w:rPr>
              <w:t>0.0859</w:t>
            </w:r>
          </w:p>
        </w:tc>
        <w:tc>
          <w:tcPr>
            <w:tcW w:w="304" w:type="pct"/>
            <w:vAlign w:val="center"/>
          </w:tcPr>
          <w:p w14:paraId="6A4BAE35">
            <w:pPr>
              <w:pStyle w:val="133"/>
            </w:pPr>
            <w:r>
              <w:rPr>
                <w:rFonts w:eastAsia="等线" w:cs="Times New Roman"/>
                <w:color w:val="000000"/>
                <w:szCs w:val="21"/>
              </w:rPr>
              <w:t>0.0245</w:t>
            </w:r>
          </w:p>
        </w:tc>
        <w:tc>
          <w:tcPr>
            <w:tcW w:w="454" w:type="pct"/>
            <w:vAlign w:val="center"/>
          </w:tcPr>
          <w:p w14:paraId="746706EF">
            <w:pPr>
              <w:pStyle w:val="133"/>
            </w:pPr>
          </w:p>
        </w:tc>
        <w:tc>
          <w:tcPr>
            <w:tcW w:w="380" w:type="pct"/>
            <w:vAlign w:val="center"/>
          </w:tcPr>
          <w:p w14:paraId="2F81FD4E">
            <w:pPr>
              <w:pStyle w:val="133"/>
            </w:pPr>
            <w:r>
              <w:rPr>
                <w:rFonts w:eastAsia="等线" w:cs="Times New Roman"/>
                <w:color w:val="000000"/>
                <w:szCs w:val="21"/>
              </w:rPr>
              <w:t>7.5661</w:t>
            </w:r>
          </w:p>
        </w:tc>
        <w:tc>
          <w:tcPr>
            <w:tcW w:w="682" w:type="pct"/>
            <w:vAlign w:val="center"/>
          </w:tcPr>
          <w:p w14:paraId="28DF6431">
            <w:pPr>
              <w:pStyle w:val="133"/>
            </w:pPr>
            <w:r>
              <w:rPr>
                <w:rFonts w:hint="eastAsia"/>
              </w:rPr>
              <w:t>密闭空间负压收集</w:t>
            </w:r>
          </w:p>
        </w:tc>
        <w:tc>
          <w:tcPr>
            <w:tcW w:w="594" w:type="pct"/>
            <w:vAlign w:val="center"/>
          </w:tcPr>
          <w:p w14:paraId="1D1370E3">
            <w:pPr>
              <w:pStyle w:val="133"/>
            </w:pPr>
            <w:r>
              <w:rPr>
                <w:rFonts w:hint="eastAsia"/>
              </w:rPr>
              <w:t>90</w:t>
            </w:r>
          </w:p>
        </w:tc>
      </w:tr>
      <w:tr w14:paraId="0AC60D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605" w:type="pct"/>
            <w:vAlign w:val="center"/>
          </w:tcPr>
          <w:p w14:paraId="2AFDFAED">
            <w:pPr>
              <w:pStyle w:val="133"/>
            </w:pPr>
            <w:r>
              <w:rPr>
                <w:rFonts w:hint="eastAsia"/>
              </w:rPr>
              <w:t>煤气净化工段</w:t>
            </w:r>
          </w:p>
        </w:tc>
        <w:tc>
          <w:tcPr>
            <w:tcW w:w="424" w:type="pct"/>
            <w:vAlign w:val="center"/>
          </w:tcPr>
          <w:p w14:paraId="6C902FA2">
            <w:pPr>
              <w:pStyle w:val="133"/>
            </w:pPr>
            <w:r>
              <w:t>kg/h</w:t>
            </w:r>
          </w:p>
        </w:tc>
        <w:tc>
          <w:tcPr>
            <w:tcW w:w="304" w:type="pct"/>
            <w:vAlign w:val="center"/>
          </w:tcPr>
          <w:p w14:paraId="72805C60">
            <w:pPr>
              <w:pStyle w:val="133"/>
            </w:pPr>
          </w:p>
        </w:tc>
        <w:tc>
          <w:tcPr>
            <w:tcW w:w="360" w:type="pct"/>
            <w:vAlign w:val="center"/>
          </w:tcPr>
          <w:p w14:paraId="4164B8E6">
            <w:pPr>
              <w:pStyle w:val="133"/>
            </w:pPr>
            <w:r>
              <w:rPr>
                <w:rFonts w:eastAsia="等线" w:cs="Times New Roman"/>
                <w:color w:val="000000"/>
                <w:szCs w:val="21"/>
              </w:rPr>
              <w:t>0.0003</w:t>
            </w:r>
          </w:p>
        </w:tc>
        <w:tc>
          <w:tcPr>
            <w:tcW w:w="323" w:type="pct"/>
            <w:vAlign w:val="center"/>
          </w:tcPr>
          <w:p w14:paraId="50162A4B">
            <w:pPr>
              <w:pStyle w:val="133"/>
            </w:pPr>
            <w:r>
              <w:rPr>
                <w:rFonts w:eastAsia="等线" w:cs="Times New Roman"/>
                <w:color w:val="000000"/>
                <w:szCs w:val="21"/>
              </w:rPr>
              <w:t>0.0022</w:t>
            </w:r>
          </w:p>
        </w:tc>
        <w:tc>
          <w:tcPr>
            <w:tcW w:w="285" w:type="pct"/>
            <w:vAlign w:val="center"/>
          </w:tcPr>
          <w:p w14:paraId="7D6157CF">
            <w:pPr>
              <w:pStyle w:val="133"/>
            </w:pPr>
            <w:r>
              <w:rPr>
                <w:rFonts w:eastAsia="等线" w:cs="Times New Roman"/>
                <w:color w:val="000000"/>
                <w:szCs w:val="21"/>
              </w:rPr>
              <w:t>0.0112</w:t>
            </w:r>
          </w:p>
        </w:tc>
        <w:tc>
          <w:tcPr>
            <w:tcW w:w="285" w:type="pct"/>
            <w:vAlign w:val="center"/>
          </w:tcPr>
          <w:p w14:paraId="1A7294DD">
            <w:pPr>
              <w:pStyle w:val="133"/>
            </w:pPr>
            <w:r>
              <w:rPr>
                <w:rFonts w:eastAsia="等线" w:cs="Times New Roman"/>
                <w:color w:val="000000"/>
                <w:szCs w:val="21"/>
              </w:rPr>
              <w:t>0.0561</w:t>
            </w:r>
          </w:p>
        </w:tc>
        <w:tc>
          <w:tcPr>
            <w:tcW w:w="304" w:type="pct"/>
            <w:vAlign w:val="center"/>
          </w:tcPr>
          <w:p w14:paraId="38C5B515">
            <w:pPr>
              <w:pStyle w:val="133"/>
            </w:pPr>
            <w:r>
              <w:rPr>
                <w:rFonts w:eastAsia="等线" w:cs="Times New Roman"/>
                <w:color w:val="000000"/>
                <w:szCs w:val="21"/>
              </w:rPr>
              <w:t>0.0034</w:t>
            </w:r>
          </w:p>
        </w:tc>
        <w:tc>
          <w:tcPr>
            <w:tcW w:w="454" w:type="pct"/>
            <w:vAlign w:val="center"/>
          </w:tcPr>
          <w:p w14:paraId="13C0B575">
            <w:pPr>
              <w:pStyle w:val="133"/>
            </w:pPr>
            <w:r>
              <w:rPr>
                <w:rFonts w:eastAsia="等线" w:cs="Times New Roman"/>
                <w:color w:val="000000"/>
                <w:szCs w:val="21"/>
              </w:rPr>
              <w:t>0.0842</w:t>
            </w:r>
          </w:p>
        </w:tc>
        <w:tc>
          <w:tcPr>
            <w:tcW w:w="380" w:type="pct"/>
            <w:vAlign w:val="center"/>
          </w:tcPr>
          <w:p w14:paraId="62FE0046">
            <w:pPr>
              <w:pStyle w:val="133"/>
              <w:rPr>
                <w:rFonts w:eastAsia="等线" w:cs="Times New Roman"/>
                <w:color w:val="000000"/>
                <w:szCs w:val="21"/>
              </w:rPr>
            </w:pPr>
          </w:p>
        </w:tc>
        <w:tc>
          <w:tcPr>
            <w:tcW w:w="682" w:type="pct"/>
            <w:vAlign w:val="center"/>
          </w:tcPr>
          <w:p w14:paraId="455D752A">
            <w:pPr>
              <w:pStyle w:val="133"/>
              <w:rPr>
                <w:rFonts w:eastAsia="等线" w:cs="Times New Roman"/>
                <w:color w:val="000000"/>
                <w:szCs w:val="21"/>
              </w:rPr>
            </w:pPr>
            <w:r>
              <w:rPr>
                <w:rFonts w:hint="eastAsia"/>
              </w:rPr>
              <w:t>密闭管道收集</w:t>
            </w:r>
          </w:p>
        </w:tc>
        <w:tc>
          <w:tcPr>
            <w:tcW w:w="594" w:type="pct"/>
            <w:vAlign w:val="center"/>
          </w:tcPr>
          <w:p w14:paraId="2D64B024">
            <w:pPr>
              <w:pStyle w:val="133"/>
            </w:pPr>
            <w:r>
              <w:rPr>
                <w:rFonts w:hint="eastAsia"/>
              </w:rPr>
              <w:t>95</w:t>
            </w:r>
          </w:p>
        </w:tc>
      </w:tr>
      <w:tr w14:paraId="13D48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05" w:type="pct"/>
            <w:vMerge w:val="restart"/>
            <w:vAlign w:val="center"/>
          </w:tcPr>
          <w:p w14:paraId="6AFDD8D9">
            <w:pPr>
              <w:pStyle w:val="133"/>
            </w:pPr>
            <w:r>
              <w:t>VOCs</w:t>
            </w:r>
            <w:r>
              <w:rPr>
                <w:rFonts w:hint="eastAsia"/>
              </w:rPr>
              <w:t>处理</w:t>
            </w:r>
          </w:p>
          <w:p w14:paraId="2774FD43">
            <w:pPr>
              <w:pStyle w:val="133"/>
            </w:pPr>
            <w:r>
              <w:rPr>
                <w:rFonts w:hint="eastAsia"/>
              </w:rPr>
              <w:t>产生源强</w:t>
            </w:r>
          </w:p>
        </w:tc>
        <w:tc>
          <w:tcPr>
            <w:tcW w:w="424" w:type="pct"/>
            <w:vAlign w:val="center"/>
          </w:tcPr>
          <w:p w14:paraId="4E24B3B4">
            <w:pPr>
              <w:pStyle w:val="133"/>
            </w:pPr>
            <w:r>
              <w:t>kg/h</w:t>
            </w:r>
          </w:p>
        </w:tc>
        <w:tc>
          <w:tcPr>
            <w:tcW w:w="304" w:type="pct"/>
            <w:vAlign w:val="center"/>
          </w:tcPr>
          <w:p w14:paraId="710EDB5A">
            <w:pPr>
              <w:pStyle w:val="133"/>
            </w:pPr>
            <w:r>
              <w:rPr>
                <w:rFonts w:eastAsia="等线" w:cs="Times New Roman"/>
                <w:color w:val="000000"/>
                <w:szCs w:val="21"/>
              </w:rPr>
              <w:t>1.0309</w:t>
            </w:r>
          </w:p>
        </w:tc>
        <w:tc>
          <w:tcPr>
            <w:tcW w:w="360" w:type="pct"/>
            <w:vAlign w:val="center"/>
          </w:tcPr>
          <w:p w14:paraId="6201F92A">
            <w:pPr>
              <w:pStyle w:val="133"/>
            </w:pPr>
            <w:r>
              <w:rPr>
                <w:rFonts w:eastAsia="等线" w:cs="Times New Roman"/>
                <w:color w:val="000000"/>
                <w:szCs w:val="21"/>
              </w:rPr>
              <w:t>0.0003</w:t>
            </w:r>
          </w:p>
        </w:tc>
        <w:tc>
          <w:tcPr>
            <w:tcW w:w="323" w:type="pct"/>
            <w:vAlign w:val="center"/>
          </w:tcPr>
          <w:p w14:paraId="00C0A8A3">
            <w:pPr>
              <w:pStyle w:val="133"/>
            </w:pPr>
            <w:r>
              <w:rPr>
                <w:rFonts w:eastAsia="等线" w:cs="Times New Roman"/>
                <w:color w:val="000000"/>
                <w:szCs w:val="21"/>
              </w:rPr>
              <w:t>0.0022</w:t>
            </w:r>
          </w:p>
        </w:tc>
        <w:tc>
          <w:tcPr>
            <w:tcW w:w="285" w:type="pct"/>
            <w:vAlign w:val="center"/>
          </w:tcPr>
          <w:p w14:paraId="7A1229A9">
            <w:pPr>
              <w:pStyle w:val="133"/>
            </w:pPr>
            <w:r>
              <w:rPr>
                <w:rFonts w:eastAsia="等线" w:cs="Times New Roman"/>
                <w:color w:val="000000"/>
                <w:szCs w:val="21"/>
              </w:rPr>
              <w:t>0.0145</w:t>
            </w:r>
          </w:p>
        </w:tc>
        <w:tc>
          <w:tcPr>
            <w:tcW w:w="285" w:type="pct"/>
            <w:vAlign w:val="center"/>
          </w:tcPr>
          <w:p w14:paraId="25D53E4B">
            <w:pPr>
              <w:pStyle w:val="133"/>
            </w:pPr>
            <w:r>
              <w:rPr>
                <w:rFonts w:eastAsia="等线" w:cs="Times New Roman"/>
                <w:color w:val="000000"/>
                <w:szCs w:val="21"/>
              </w:rPr>
              <w:t>0.1420</w:t>
            </w:r>
          </w:p>
        </w:tc>
        <w:tc>
          <w:tcPr>
            <w:tcW w:w="304" w:type="pct"/>
            <w:vAlign w:val="center"/>
          </w:tcPr>
          <w:p w14:paraId="00C3990B">
            <w:pPr>
              <w:pStyle w:val="133"/>
            </w:pPr>
            <w:r>
              <w:rPr>
                <w:rFonts w:eastAsia="等线" w:cs="Times New Roman"/>
                <w:color w:val="000000"/>
                <w:szCs w:val="21"/>
              </w:rPr>
              <w:t>0.0279</w:t>
            </w:r>
          </w:p>
        </w:tc>
        <w:tc>
          <w:tcPr>
            <w:tcW w:w="454" w:type="pct"/>
            <w:vAlign w:val="center"/>
          </w:tcPr>
          <w:p w14:paraId="6AD2EDA5">
            <w:pPr>
              <w:pStyle w:val="133"/>
            </w:pPr>
            <w:r>
              <w:rPr>
                <w:rFonts w:eastAsia="等线" w:cs="Times New Roman"/>
                <w:color w:val="000000"/>
                <w:szCs w:val="21"/>
              </w:rPr>
              <w:t>0.0842</w:t>
            </w:r>
          </w:p>
        </w:tc>
        <w:tc>
          <w:tcPr>
            <w:tcW w:w="380" w:type="pct"/>
            <w:vAlign w:val="center"/>
          </w:tcPr>
          <w:p w14:paraId="38F3CB0E">
            <w:pPr>
              <w:pStyle w:val="133"/>
            </w:pPr>
            <w:r>
              <w:rPr>
                <w:rFonts w:eastAsia="等线" w:cs="Times New Roman"/>
                <w:color w:val="000000"/>
                <w:szCs w:val="21"/>
              </w:rPr>
              <w:t>7.5661</w:t>
            </w:r>
          </w:p>
        </w:tc>
        <w:tc>
          <w:tcPr>
            <w:tcW w:w="682" w:type="pct"/>
            <w:vAlign w:val="center"/>
          </w:tcPr>
          <w:p w14:paraId="7BC19DB1">
            <w:pPr>
              <w:pStyle w:val="133"/>
            </w:pPr>
          </w:p>
        </w:tc>
        <w:tc>
          <w:tcPr>
            <w:tcW w:w="594" w:type="pct"/>
            <w:vAlign w:val="center"/>
          </w:tcPr>
          <w:p w14:paraId="4DCB85B0">
            <w:pPr>
              <w:pStyle w:val="133"/>
            </w:pPr>
          </w:p>
        </w:tc>
      </w:tr>
      <w:tr w14:paraId="15462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05" w:type="pct"/>
            <w:vMerge w:val="continue"/>
            <w:vAlign w:val="center"/>
          </w:tcPr>
          <w:p w14:paraId="5BD1467B">
            <w:pPr>
              <w:pStyle w:val="133"/>
            </w:pPr>
          </w:p>
        </w:tc>
        <w:tc>
          <w:tcPr>
            <w:tcW w:w="424" w:type="pct"/>
            <w:vAlign w:val="center"/>
          </w:tcPr>
          <w:p w14:paraId="0689C690">
            <w:pPr>
              <w:pStyle w:val="133"/>
            </w:pPr>
            <w:r>
              <w:t>mg/m</w:t>
            </w:r>
            <w:r>
              <w:rPr>
                <w:rFonts w:hint="eastAsia"/>
              </w:rPr>
              <w:t>³</w:t>
            </w:r>
          </w:p>
        </w:tc>
        <w:tc>
          <w:tcPr>
            <w:tcW w:w="304" w:type="pct"/>
            <w:vAlign w:val="center"/>
          </w:tcPr>
          <w:p w14:paraId="6E9328AC">
            <w:pPr>
              <w:pStyle w:val="133"/>
            </w:pPr>
            <w:r>
              <w:rPr>
                <w:rFonts w:eastAsia="等线" w:cs="Times New Roman"/>
                <w:color w:val="000000"/>
                <w:szCs w:val="21"/>
              </w:rPr>
              <w:t>25.77</w:t>
            </w:r>
          </w:p>
        </w:tc>
        <w:tc>
          <w:tcPr>
            <w:tcW w:w="360" w:type="pct"/>
            <w:vAlign w:val="center"/>
          </w:tcPr>
          <w:p w14:paraId="1E8C4EB0">
            <w:pPr>
              <w:pStyle w:val="133"/>
            </w:pPr>
            <w:r>
              <w:rPr>
                <w:rFonts w:eastAsia="等线" w:cs="Times New Roman"/>
                <w:color w:val="000000"/>
                <w:szCs w:val="21"/>
              </w:rPr>
              <w:t>0.0</w:t>
            </w:r>
            <w:r>
              <w:rPr>
                <w:rFonts w:hint="eastAsia" w:eastAsia="等线" w:cs="Times New Roman"/>
                <w:color w:val="000000"/>
                <w:szCs w:val="21"/>
              </w:rPr>
              <w:t>07</w:t>
            </w:r>
          </w:p>
        </w:tc>
        <w:tc>
          <w:tcPr>
            <w:tcW w:w="323" w:type="pct"/>
            <w:vAlign w:val="center"/>
          </w:tcPr>
          <w:p w14:paraId="07B387B0">
            <w:pPr>
              <w:pStyle w:val="133"/>
            </w:pPr>
            <w:r>
              <w:rPr>
                <w:rFonts w:eastAsia="等线" w:cs="Times New Roman"/>
                <w:color w:val="000000"/>
                <w:szCs w:val="21"/>
              </w:rPr>
              <w:t>0.06</w:t>
            </w:r>
          </w:p>
        </w:tc>
        <w:tc>
          <w:tcPr>
            <w:tcW w:w="285" w:type="pct"/>
            <w:vAlign w:val="center"/>
          </w:tcPr>
          <w:p w14:paraId="0D6924EF">
            <w:pPr>
              <w:pStyle w:val="133"/>
            </w:pPr>
            <w:r>
              <w:rPr>
                <w:rFonts w:eastAsia="等线" w:cs="Times New Roman"/>
                <w:color w:val="000000"/>
                <w:szCs w:val="21"/>
              </w:rPr>
              <w:t>0.36</w:t>
            </w:r>
          </w:p>
        </w:tc>
        <w:tc>
          <w:tcPr>
            <w:tcW w:w="285" w:type="pct"/>
            <w:vAlign w:val="center"/>
          </w:tcPr>
          <w:p w14:paraId="15BAAEEE">
            <w:pPr>
              <w:pStyle w:val="133"/>
            </w:pPr>
            <w:r>
              <w:rPr>
                <w:rFonts w:eastAsia="等线" w:cs="Times New Roman"/>
                <w:color w:val="000000"/>
                <w:szCs w:val="21"/>
              </w:rPr>
              <w:t>3.55</w:t>
            </w:r>
          </w:p>
        </w:tc>
        <w:tc>
          <w:tcPr>
            <w:tcW w:w="304" w:type="pct"/>
            <w:vAlign w:val="center"/>
          </w:tcPr>
          <w:p w14:paraId="35D5AC97">
            <w:pPr>
              <w:pStyle w:val="133"/>
            </w:pPr>
            <w:r>
              <w:rPr>
                <w:rFonts w:eastAsia="等线" w:cs="Times New Roman"/>
                <w:color w:val="000000"/>
                <w:szCs w:val="21"/>
              </w:rPr>
              <w:t>0.70</w:t>
            </w:r>
          </w:p>
        </w:tc>
        <w:tc>
          <w:tcPr>
            <w:tcW w:w="454" w:type="pct"/>
            <w:vAlign w:val="center"/>
          </w:tcPr>
          <w:p w14:paraId="614AE54F">
            <w:pPr>
              <w:pStyle w:val="133"/>
            </w:pPr>
            <w:r>
              <w:rPr>
                <w:rFonts w:eastAsia="等线" w:cs="Times New Roman"/>
                <w:color w:val="000000"/>
                <w:szCs w:val="21"/>
              </w:rPr>
              <w:t>2.11</w:t>
            </w:r>
          </w:p>
        </w:tc>
        <w:tc>
          <w:tcPr>
            <w:tcW w:w="380" w:type="pct"/>
            <w:vAlign w:val="center"/>
          </w:tcPr>
          <w:p w14:paraId="114BFA58">
            <w:pPr>
              <w:pStyle w:val="133"/>
            </w:pPr>
            <w:r>
              <w:rPr>
                <w:rFonts w:eastAsia="等线" w:cs="Times New Roman"/>
                <w:color w:val="000000"/>
                <w:szCs w:val="21"/>
              </w:rPr>
              <w:t>189.15</w:t>
            </w:r>
          </w:p>
        </w:tc>
        <w:tc>
          <w:tcPr>
            <w:tcW w:w="682" w:type="pct"/>
            <w:vAlign w:val="center"/>
          </w:tcPr>
          <w:p w14:paraId="2ACFB200">
            <w:pPr>
              <w:pStyle w:val="133"/>
            </w:pPr>
          </w:p>
        </w:tc>
        <w:tc>
          <w:tcPr>
            <w:tcW w:w="594" w:type="pct"/>
            <w:vAlign w:val="center"/>
          </w:tcPr>
          <w:p w14:paraId="7CEC6E08">
            <w:pPr>
              <w:pStyle w:val="133"/>
            </w:pPr>
          </w:p>
        </w:tc>
      </w:tr>
      <w:tr w14:paraId="63289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05" w:type="pct"/>
            <w:vMerge w:val="restart"/>
            <w:vAlign w:val="center"/>
          </w:tcPr>
          <w:p w14:paraId="3F3C6D93">
            <w:pPr>
              <w:pStyle w:val="133"/>
            </w:pPr>
            <w:r>
              <w:t>VOCs</w:t>
            </w:r>
            <w:r>
              <w:rPr>
                <w:rFonts w:hint="eastAsia"/>
              </w:rPr>
              <w:t>处理</w:t>
            </w:r>
          </w:p>
          <w:p w14:paraId="0C447BAB">
            <w:pPr>
              <w:pStyle w:val="133"/>
            </w:pPr>
            <w:r>
              <w:rPr>
                <w:rFonts w:hint="eastAsia"/>
              </w:rPr>
              <w:t>排放源强</w:t>
            </w:r>
          </w:p>
        </w:tc>
        <w:tc>
          <w:tcPr>
            <w:tcW w:w="424" w:type="pct"/>
            <w:vAlign w:val="center"/>
          </w:tcPr>
          <w:p w14:paraId="3A490BBD">
            <w:pPr>
              <w:pStyle w:val="133"/>
            </w:pPr>
            <w:r>
              <w:t>kg/h</w:t>
            </w:r>
          </w:p>
        </w:tc>
        <w:tc>
          <w:tcPr>
            <w:tcW w:w="304" w:type="pct"/>
            <w:vAlign w:val="center"/>
          </w:tcPr>
          <w:p w14:paraId="1F54297A">
            <w:pPr>
              <w:pStyle w:val="133"/>
            </w:pPr>
            <w:r>
              <w:rPr>
                <w:rFonts w:eastAsia="等线" w:cs="Times New Roman"/>
                <w:color w:val="000000"/>
                <w:szCs w:val="21"/>
              </w:rPr>
              <w:t>0.03</w:t>
            </w:r>
          </w:p>
        </w:tc>
        <w:tc>
          <w:tcPr>
            <w:tcW w:w="360" w:type="pct"/>
            <w:vAlign w:val="center"/>
          </w:tcPr>
          <w:p w14:paraId="7AC802A9">
            <w:pPr>
              <w:pStyle w:val="133"/>
            </w:pPr>
            <w:r>
              <w:rPr>
                <w:rFonts w:eastAsia="等线" w:cs="Times New Roman"/>
                <w:color w:val="000000"/>
                <w:szCs w:val="21"/>
              </w:rPr>
              <w:t>0.0000</w:t>
            </w:r>
            <w:r>
              <w:rPr>
                <w:rFonts w:hint="eastAsia" w:eastAsia="等线" w:cs="Times New Roman"/>
                <w:color w:val="000000"/>
                <w:szCs w:val="21"/>
              </w:rPr>
              <w:t>08</w:t>
            </w:r>
          </w:p>
        </w:tc>
        <w:tc>
          <w:tcPr>
            <w:tcW w:w="323" w:type="pct"/>
            <w:vAlign w:val="center"/>
          </w:tcPr>
          <w:p w14:paraId="661B0953">
            <w:pPr>
              <w:pStyle w:val="133"/>
            </w:pPr>
            <w:r>
              <w:rPr>
                <w:rFonts w:eastAsia="等线" w:cs="Times New Roman"/>
                <w:color w:val="000000"/>
                <w:szCs w:val="21"/>
              </w:rPr>
              <w:t>0.00007</w:t>
            </w:r>
          </w:p>
        </w:tc>
        <w:tc>
          <w:tcPr>
            <w:tcW w:w="285" w:type="pct"/>
            <w:vAlign w:val="center"/>
          </w:tcPr>
          <w:p w14:paraId="36419FC7">
            <w:pPr>
              <w:pStyle w:val="133"/>
            </w:pPr>
            <w:r>
              <w:rPr>
                <w:rFonts w:eastAsia="等线" w:cs="Times New Roman"/>
                <w:color w:val="000000"/>
                <w:szCs w:val="21"/>
              </w:rPr>
              <w:t>0.0004</w:t>
            </w:r>
          </w:p>
        </w:tc>
        <w:tc>
          <w:tcPr>
            <w:tcW w:w="285" w:type="pct"/>
            <w:vAlign w:val="center"/>
          </w:tcPr>
          <w:p w14:paraId="0E9B5AFB">
            <w:pPr>
              <w:pStyle w:val="133"/>
            </w:pPr>
            <w:r>
              <w:rPr>
                <w:rFonts w:eastAsia="等线" w:cs="Times New Roman"/>
                <w:color w:val="000000"/>
                <w:szCs w:val="21"/>
              </w:rPr>
              <w:t>0.0043</w:t>
            </w:r>
          </w:p>
        </w:tc>
        <w:tc>
          <w:tcPr>
            <w:tcW w:w="304" w:type="pct"/>
            <w:vAlign w:val="center"/>
          </w:tcPr>
          <w:p w14:paraId="78FDFFCF">
            <w:pPr>
              <w:pStyle w:val="133"/>
            </w:pPr>
            <w:r>
              <w:rPr>
                <w:rFonts w:eastAsia="等线" w:cs="Times New Roman"/>
                <w:color w:val="000000"/>
                <w:szCs w:val="21"/>
              </w:rPr>
              <w:t>0.0008</w:t>
            </w:r>
          </w:p>
        </w:tc>
        <w:tc>
          <w:tcPr>
            <w:tcW w:w="454" w:type="pct"/>
            <w:vAlign w:val="center"/>
          </w:tcPr>
          <w:p w14:paraId="434BA3FB">
            <w:pPr>
              <w:pStyle w:val="133"/>
            </w:pPr>
            <w:r>
              <w:rPr>
                <w:rFonts w:eastAsia="等线" w:cs="Times New Roman"/>
                <w:color w:val="000000"/>
                <w:szCs w:val="21"/>
              </w:rPr>
              <w:t>0.0025</w:t>
            </w:r>
          </w:p>
        </w:tc>
        <w:tc>
          <w:tcPr>
            <w:tcW w:w="380" w:type="pct"/>
            <w:vAlign w:val="center"/>
          </w:tcPr>
          <w:p w14:paraId="47DEB0B8">
            <w:pPr>
              <w:pStyle w:val="133"/>
            </w:pPr>
            <w:r>
              <w:rPr>
                <w:rFonts w:eastAsia="等线" w:cs="Times New Roman"/>
                <w:color w:val="000000"/>
                <w:szCs w:val="21"/>
              </w:rPr>
              <w:t>0.23</w:t>
            </w:r>
          </w:p>
        </w:tc>
        <w:tc>
          <w:tcPr>
            <w:tcW w:w="682" w:type="pct"/>
            <w:vAlign w:val="center"/>
          </w:tcPr>
          <w:p w14:paraId="452E6932">
            <w:pPr>
              <w:pStyle w:val="133"/>
            </w:pPr>
          </w:p>
        </w:tc>
        <w:tc>
          <w:tcPr>
            <w:tcW w:w="594" w:type="pct"/>
            <w:vAlign w:val="center"/>
          </w:tcPr>
          <w:p w14:paraId="208681A7">
            <w:pPr>
              <w:pStyle w:val="133"/>
            </w:pPr>
          </w:p>
        </w:tc>
      </w:tr>
      <w:tr w14:paraId="13593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05" w:type="pct"/>
            <w:vMerge w:val="continue"/>
            <w:vAlign w:val="center"/>
          </w:tcPr>
          <w:p w14:paraId="278314E2">
            <w:pPr>
              <w:pStyle w:val="133"/>
            </w:pPr>
          </w:p>
        </w:tc>
        <w:tc>
          <w:tcPr>
            <w:tcW w:w="424" w:type="pct"/>
            <w:vAlign w:val="center"/>
          </w:tcPr>
          <w:p w14:paraId="6AC4E130">
            <w:pPr>
              <w:pStyle w:val="133"/>
            </w:pPr>
            <w:r>
              <w:t>mg/m</w:t>
            </w:r>
            <w:r>
              <w:rPr>
                <w:rFonts w:hint="eastAsia"/>
              </w:rPr>
              <w:t>³</w:t>
            </w:r>
          </w:p>
        </w:tc>
        <w:tc>
          <w:tcPr>
            <w:tcW w:w="304" w:type="pct"/>
            <w:vAlign w:val="center"/>
          </w:tcPr>
          <w:p w14:paraId="1DFFEC65">
            <w:pPr>
              <w:pStyle w:val="133"/>
            </w:pPr>
            <w:r>
              <w:rPr>
                <w:rFonts w:eastAsia="等线" w:cs="Times New Roman"/>
                <w:color w:val="000000"/>
                <w:szCs w:val="21"/>
              </w:rPr>
              <w:t>0.77</w:t>
            </w:r>
          </w:p>
        </w:tc>
        <w:tc>
          <w:tcPr>
            <w:tcW w:w="360" w:type="pct"/>
            <w:vAlign w:val="center"/>
          </w:tcPr>
          <w:p w14:paraId="7E1C9F34">
            <w:pPr>
              <w:pStyle w:val="133"/>
            </w:pPr>
            <w:r>
              <w:rPr>
                <w:rFonts w:eastAsia="等线" w:cs="Times New Roman"/>
                <w:color w:val="000000"/>
                <w:szCs w:val="21"/>
              </w:rPr>
              <w:t>0.0002</w:t>
            </w:r>
          </w:p>
        </w:tc>
        <w:tc>
          <w:tcPr>
            <w:tcW w:w="323" w:type="pct"/>
            <w:vAlign w:val="center"/>
          </w:tcPr>
          <w:p w14:paraId="2B1476CB">
            <w:pPr>
              <w:pStyle w:val="133"/>
            </w:pPr>
            <w:r>
              <w:rPr>
                <w:rFonts w:eastAsia="等线" w:cs="Times New Roman"/>
                <w:color w:val="000000"/>
                <w:szCs w:val="21"/>
              </w:rPr>
              <w:t>0.002</w:t>
            </w:r>
          </w:p>
        </w:tc>
        <w:tc>
          <w:tcPr>
            <w:tcW w:w="285" w:type="pct"/>
            <w:vAlign w:val="center"/>
          </w:tcPr>
          <w:p w14:paraId="4B1E089C">
            <w:pPr>
              <w:pStyle w:val="133"/>
            </w:pPr>
            <w:r>
              <w:rPr>
                <w:rFonts w:eastAsia="等线" w:cs="Times New Roman"/>
                <w:color w:val="000000"/>
                <w:szCs w:val="21"/>
              </w:rPr>
              <w:t>0.0</w:t>
            </w:r>
            <w:r>
              <w:rPr>
                <w:rFonts w:hint="eastAsia" w:eastAsia="等线" w:cs="Times New Roman"/>
                <w:color w:val="000000"/>
                <w:szCs w:val="21"/>
              </w:rPr>
              <w:t>02</w:t>
            </w:r>
          </w:p>
        </w:tc>
        <w:tc>
          <w:tcPr>
            <w:tcW w:w="285" w:type="pct"/>
            <w:vAlign w:val="center"/>
          </w:tcPr>
          <w:p w14:paraId="5A3D31B8">
            <w:pPr>
              <w:pStyle w:val="133"/>
            </w:pPr>
            <w:r>
              <w:rPr>
                <w:rFonts w:eastAsia="等线" w:cs="Times New Roman"/>
                <w:color w:val="000000"/>
                <w:szCs w:val="21"/>
              </w:rPr>
              <w:t>0.11</w:t>
            </w:r>
          </w:p>
        </w:tc>
        <w:tc>
          <w:tcPr>
            <w:tcW w:w="304" w:type="pct"/>
            <w:vAlign w:val="center"/>
          </w:tcPr>
          <w:p w14:paraId="78A95301">
            <w:pPr>
              <w:pStyle w:val="133"/>
            </w:pPr>
            <w:r>
              <w:rPr>
                <w:rFonts w:eastAsia="等线" w:cs="Times New Roman"/>
                <w:color w:val="000000"/>
                <w:szCs w:val="21"/>
              </w:rPr>
              <w:t>0.02</w:t>
            </w:r>
          </w:p>
        </w:tc>
        <w:tc>
          <w:tcPr>
            <w:tcW w:w="454" w:type="pct"/>
            <w:vAlign w:val="center"/>
          </w:tcPr>
          <w:p w14:paraId="12E25489">
            <w:pPr>
              <w:pStyle w:val="133"/>
            </w:pPr>
            <w:r>
              <w:rPr>
                <w:rFonts w:eastAsia="等线" w:cs="Times New Roman"/>
                <w:color w:val="000000"/>
                <w:szCs w:val="21"/>
              </w:rPr>
              <w:t>0.06</w:t>
            </w:r>
          </w:p>
        </w:tc>
        <w:tc>
          <w:tcPr>
            <w:tcW w:w="380" w:type="pct"/>
            <w:vAlign w:val="center"/>
          </w:tcPr>
          <w:p w14:paraId="0FD1D953">
            <w:pPr>
              <w:pStyle w:val="133"/>
            </w:pPr>
            <w:r>
              <w:rPr>
                <w:rFonts w:eastAsia="等线" w:cs="Times New Roman"/>
                <w:color w:val="000000"/>
                <w:szCs w:val="21"/>
              </w:rPr>
              <w:t>5.67</w:t>
            </w:r>
          </w:p>
        </w:tc>
        <w:tc>
          <w:tcPr>
            <w:tcW w:w="682" w:type="pct"/>
            <w:vAlign w:val="center"/>
          </w:tcPr>
          <w:p w14:paraId="008AF88F">
            <w:pPr>
              <w:pStyle w:val="133"/>
            </w:pPr>
          </w:p>
        </w:tc>
        <w:tc>
          <w:tcPr>
            <w:tcW w:w="594" w:type="pct"/>
            <w:vAlign w:val="center"/>
          </w:tcPr>
          <w:p w14:paraId="6E6E2A49">
            <w:pPr>
              <w:pStyle w:val="133"/>
            </w:pPr>
          </w:p>
        </w:tc>
      </w:tr>
      <w:tr w14:paraId="75AD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605" w:type="pct"/>
            <w:vAlign w:val="center"/>
          </w:tcPr>
          <w:p w14:paraId="60889A14">
            <w:pPr>
              <w:pStyle w:val="133"/>
            </w:pPr>
            <w:r>
              <w:rPr>
                <w:rFonts w:hint="eastAsia"/>
              </w:rPr>
              <w:t>排放标准</w:t>
            </w:r>
          </w:p>
        </w:tc>
        <w:tc>
          <w:tcPr>
            <w:tcW w:w="424" w:type="pct"/>
            <w:vAlign w:val="center"/>
          </w:tcPr>
          <w:p w14:paraId="738BE5DA">
            <w:pPr>
              <w:pStyle w:val="133"/>
            </w:pPr>
            <w:r>
              <w:t>mg/m</w:t>
            </w:r>
            <w:r>
              <w:rPr>
                <w:rFonts w:hint="eastAsia"/>
              </w:rPr>
              <w:t>³</w:t>
            </w:r>
          </w:p>
        </w:tc>
        <w:tc>
          <w:tcPr>
            <w:tcW w:w="304" w:type="pct"/>
            <w:vAlign w:val="center"/>
          </w:tcPr>
          <w:p w14:paraId="58FDCE4F">
            <w:pPr>
              <w:pStyle w:val="133"/>
            </w:pPr>
            <w:r>
              <w:rPr>
                <w:rFonts w:eastAsia="等线"/>
              </w:rPr>
              <w:t>/</w:t>
            </w:r>
          </w:p>
        </w:tc>
        <w:tc>
          <w:tcPr>
            <w:tcW w:w="360" w:type="pct"/>
            <w:vAlign w:val="center"/>
          </w:tcPr>
          <w:p w14:paraId="1BE09F1E">
            <w:pPr>
              <w:pStyle w:val="133"/>
            </w:pPr>
            <w:r>
              <w:rPr>
                <w:rFonts w:eastAsia="等线"/>
              </w:rPr>
              <w:t>0.0003</w:t>
            </w:r>
          </w:p>
        </w:tc>
        <w:tc>
          <w:tcPr>
            <w:tcW w:w="323" w:type="pct"/>
            <w:vAlign w:val="center"/>
          </w:tcPr>
          <w:p w14:paraId="13450364">
            <w:pPr>
              <w:pStyle w:val="133"/>
            </w:pPr>
            <w:r>
              <w:rPr>
                <w:rFonts w:eastAsia="等线"/>
              </w:rPr>
              <w:t>1.0</w:t>
            </w:r>
          </w:p>
        </w:tc>
        <w:tc>
          <w:tcPr>
            <w:tcW w:w="285" w:type="pct"/>
            <w:vAlign w:val="center"/>
          </w:tcPr>
          <w:p w14:paraId="599FBD5D">
            <w:pPr>
              <w:pStyle w:val="133"/>
            </w:pPr>
            <w:r>
              <w:rPr>
                <w:rFonts w:hint="eastAsia" w:eastAsia="等线"/>
              </w:rPr>
              <w:t>20</w:t>
            </w:r>
          </w:p>
        </w:tc>
        <w:tc>
          <w:tcPr>
            <w:tcW w:w="285" w:type="pct"/>
            <w:vAlign w:val="center"/>
          </w:tcPr>
          <w:p w14:paraId="60306ECD">
            <w:pPr>
              <w:pStyle w:val="133"/>
            </w:pPr>
            <w:r>
              <w:rPr>
                <w:rFonts w:hint="eastAsia" w:eastAsia="等线"/>
              </w:rPr>
              <w:t>20</w:t>
            </w:r>
          </w:p>
        </w:tc>
        <w:tc>
          <w:tcPr>
            <w:tcW w:w="304" w:type="pct"/>
            <w:vAlign w:val="center"/>
          </w:tcPr>
          <w:p w14:paraId="3D179C65">
            <w:pPr>
              <w:pStyle w:val="133"/>
            </w:pPr>
            <w:r>
              <w:rPr>
                <w:rFonts w:eastAsia="等线"/>
              </w:rPr>
              <w:t>3.0</w:t>
            </w:r>
          </w:p>
        </w:tc>
        <w:tc>
          <w:tcPr>
            <w:tcW w:w="454" w:type="pct"/>
            <w:vAlign w:val="center"/>
          </w:tcPr>
          <w:p w14:paraId="4DD79413">
            <w:pPr>
              <w:pStyle w:val="133"/>
            </w:pPr>
            <w:r>
              <w:rPr>
                <w:rFonts w:hint="eastAsia" w:eastAsia="等线"/>
              </w:rPr>
              <w:t>50</w:t>
            </w:r>
          </w:p>
        </w:tc>
        <w:tc>
          <w:tcPr>
            <w:tcW w:w="380" w:type="pct"/>
            <w:vAlign w:val="center"/>
          </w:tcPr>
          <w:p w14:paraId="62587E62">
            <w:pPr>
              <w:pStyle w:val="133"/>
              <w:rPr>
                <w:rFonts w:eastAsia="等线"/>
              </w:rPr>
            </w:pPr>
            <w:r>
              <w:rPr>
                <w:rFonts w:hint="eastAsia" w:eastAsia="等线"/>
              </w:rPr>
              <w:t>200</w:t>
            </w:r>
          </w:p>
        </w:tc>
        <w:tc>
          <w:tcPr>
            <w:tcW w:w="682" w:type="pct"/>
            <w:vAlign w:val="center"/>
          </w:tcPr>
          <w:p w14:paraId="77F55B80">
            <w:pPr>
              <w:pStyle w:val="133"/>
              <w:rPr>
                <w:rFonts w:eastAsia="等线"/>
              </w:rPr>
            </w:pPr>
          </w:p>
        </w:tc>
        <w:tc>
          <w:tcPr>
            <w:tcW w:w="594" w:type="pct"/>
            <w:vAlign w:val="center"/>
          </w:tcPr>
          <w:p w14:paraId="1AC43EE7">
            <w:pPr>
              <w:pStyle w:val="133"/>
              <w:rPr>
                <w:rFonts w:eastAsia="等线"/>
              </w:rPr>
            </w:pPr>
          </w:p>
        </w:tc>
      </w:tr>
    </w:tbl>
    <w:p w14:paraId="2D2C6153">
      <w:pPr>
        <w:pStyle w:val="480"/>
        <w:ind w:firstLine="400"/>
        <w:rPr>
          <w:lang w:val="en-US"/>
        </w:rPr>
      </w:pPr>
    </w:p>
    <w:p w14:paraId="1A9E7D67">
      <w:pPr>
        <w:ind w:firstLine="480"/>
        <w:sectPr>
          <w:pgSz w:w="16838" w:h="11906" w:orient="landscape"/>
          <w:pgMar w:top="1800" w:right="1440" w:bottom="1800" w:left="1440" w:header="850" w:footer="850" w:gutter="0"/>
          <w:cols w:space="425" w:num="1"/>
          <w:docGrid w:type="lines" w:linePitch="326" w:charSpace="0"/>
        </w:sectPr>
      </w:pPr>
    </w:p>
    <w:p w14:paraId="4D3DA080">
      <w:pPr>
        <w:ind w:firstLine="480"/>
      </w:pPr>
      <w:r>
        <w:rPr>
          <w:rFonts w:hint="eastAsia"/>
        </w:rPr>
        <w:t>8）2#VOCs处理废气（G</w:t>
      </w:r>
      <w:r>
        <w:rPr>
          <w:rFonts w:hint="eastAsia"/>
          <w:vertAlign w:val="subscript"/>
        </w:rPr>
        <w:t>1-9</w:t>
      </w:r>
      <w:r>
        <w:rPr>
          <w:rFonts w:hint="eastAsia"/>
        </w:rPr>
        <w:t>）</w:t>
      </w:r>
    </w:p>
    <w:p w14:paraId="50431E4C">
      <w:pPr>
        <w:ind w:firstLine="480"/>
      </w:pPr>
      <w:r>
        <w:rPr>
          <w:rFonts w:hint="eastAsia"/>
        </w:rPr>
        <w:t>2#VOCs治理设施主要收集焦油中间槽、焦油罐、煤焦油装车鹤管装车废气等环节产生的无组织废气</w:t>
      </w:r>
      <w:r>
        <w:t>。废气的成分主要为</w:t>
      </w:r>
      <w:r>
        <w:rPr>
          <w:rFonts w:hint="eastAsia"/>
        </w:rPr>
        <w:t>非甲烷总烃。</w:t>
      </w:r>
    </w:p>
    <w:p w14:paraId="39EE349C">
      <w:pPr>
        <w:ind w:firstLine="480"/>
        <w:rPr>
          <w:kern w:val="1"/>
        </w:rPr>
      </w:pPr>
      <w:r>
        <w:rPr>
          <w:rFonts w:hint="eastAsia" w:ascii="宋体" w:hAnsi="宋体"/>
          <w:kern w:val="1"/>
        </w:rPr>
        <w:t>①</w:t>
      </w:r>
      <w:r>
        <w:rPr>
          <w:rFonts w:hint="eastAsia"/>
          <w:kern w:val="1"/>
        </w:rPr>
        <w:t>焦油罐区</w:t>
      </w:r>
    </w:p>
    <w:p w14:paraId="026506D6">
      <w:pPr>
        <w:ind w:firstLine="480"/>
      </w:pPr>
      <w:r>
        <w:rPr>
          <w:rFonts w:hint="eastAsia"/>
        </w:rPr>
        <w:t>根据《污染源源强核算技术指南 石油炼制工业》</w:t>
      </w:r>
      <w:r>
        <w:t>（HJ 982-2018）</w:t>
      </w:r>
      <w:r>
        <w:rPr>
          <w:rFonts w:hint="eastAsia"/>
        </w:rPr>
        <w:t>，挥发性有机液体储罐产生的挥发性有机物采用《石化行业V</w:t>
      </w:r>
      <w:r>
        <w:t>OC</w:t>
      </w:r>
      <w:r>
        <w:rPr>
          <w:rFonts w:hint="eastAsia"/>
        </w:rPr>
        <w:t>s污染源排查工作指南》，根据储罐物料储存温度、储存高度、周转量等实际运行情况核算实际产生量。</w:t>
      </w:r>
    </w:p>
    <w:p w14:paraId="78C40220">
      <w:pPr>
        <w:ind w:firstLine="480"/>
      </w:pPr>
      <w:bookmarkStart w:id="297" w:name="_Hlk160890014"/>
      <w:r>
        <w:rPr>
          <w:rFonts w:hint="eastAsia"/>
        </w:rPr>
        <w:t>煤焦油</w:t>
      </w:r>
      <w:r>
        <w:t>采用钢制拱顶罐存放。</w:t>
      </w:r>
      <w:bookmarkEnd w:id="297"/>
      <w:r>
        <w:rPr>
          <w:rFonts w:hint="eastAsia"/>
        </w:rPr>
        <w:t>固定</w:t>
      </w:r>
      <w:r>
        <w:t>顶罐</w:t>
      </w:r>
      <w:r>
        <w:rPr>
          <w:rFonts w:hint="eastAsia"/>
        </w:rPr>
        <w:t>挥发性有机物的产生量采用如下公式计算：</w:t>
      </w:r>
    </w:p>
    <w:p w14:paraId="12928349">
      <w:pPr>
        <w:ind w:firstLine="480"/>
        <w:jc w:val="center"/>
      </w:pPr>
      <w:r>
        <w:drawing>
          <wp:inline distT="0" distB="0" distL="0" distR="0">
            <wp:extent cx="1005840" cy="184785"/>
            <wp:effectExtent l="0" t="0" r="3810" b="5715"/>
            <wp:docPr id="1062" name="图片 6"/>
            <wp:cNvGraphicFramePr/>
            <a:graphic xmlns:a="http://schemas.openxmlformats.org/drawingml/2006/main">
              <a:graphicData uri="http://schemas.openxmlformats.org/drawingml/2006/picture">
                <pic:pic xmlns:pic="http://schemas.openxmlformats.org/drawingml/2006/picture">
                  <pic:nvPicPr>
                    <pic:cNvPr id="1062" name="图片 6"/>
                    <pic:cNvPicPr/>
                  </pic:nvPicPr>
                  <pic:blipFill>
                    <a:blip r:embed="rId38" cstate="print"/>
                    <a:srcRect/>
                    <a:stretch>
                      <a:fillRect/>
                    </a:stretch>
                  </pic:blipFill>
                  <pic:spPr>
                    <a:xfrm>
                      <a:off x="0" y="0"/>
                      <a:ext cx="1005840" cy="184785"/>
                    </a:xfrm>
                    <a:prstGeom prst="rect">
                      <a:avLst/>
                    </a:prstGeom>
                    <a:ln>
                      <a:noFill/>
                    </a:ln>
                  </pic:spPr>
                </pic:pic>
              </a:graphicData>
            </a:graphic>
          </wp:inline>
        </w:drawing>
      </w:r>
      <w:r>
        <w:rPr>
          <w:rFonts w:hint="eastAsia"/>
        </w:rPr>
        <w:t>(1)</w:t>
      </w:r>
    </w:p>
    <w:p w14:paraId="19C34317">
      <w:pPr>
        <w:ind w:firstLine="480"/>
      </w:pPr>
      <w:r>
        <w:t>式中：</w:t>
      </w:r>
    </w:p>
    <w:p w14:paraId="72F18C57">
      <w:pPr>
        <w:ind w:firstLine="480"/>
      </w:pPr>
      <w:r>
        <w:t>D</w:t>
      </w:r>
      <w:r>
        <w:rPr>
          <w:rFonts w:hint="eastAsia"/>
          <w:vertAlign w:val="subscript"/>
        </w:rPr>
        <w:t>固定</w:t>
      </w:r>
      <w:r>
        <w:rPr>
          <w:vertAlign w:val="subscript"/>
        </w:rPr>
        <w:t>顶罐</w:t>
      </w:r>
      <w:r>
        <w:rPr>
          <w:rFonts w:hint="eastAsia"/>
        </w:rPr>
        <w:t>——</w:t>
      </w:r>
      <w:r>
        <w:t>总损耗，lb/a；</w:t>
      </w:r>
    </w:p>
    <w:p w14:paraId="37A1CE48">
      <w:pPr>
        <w:ind w:firstLine="480"/>
      </w:pPr>
      <w:r>
        <w:t>Es</w:t>
      </w:r>
      <w:r>
        <w:rPr>
          <w:rFonts w:hint="eastAsia"/>
        </w:rPr>
        <w:t>——</w:t>
      </w:r>
      <w:r>
        <w:t>静置储藏损耗，lb/a；</w:t>
      </w:r>
    </w:p>
    <w:p w14:paraId="5573708E">
      <w:pPr>
        <w:ind w:firstLine="480"/>
      </w:pPr>
      <w:r>
        <w:t>E</w:t>
      </w:r>
      <w:r>
        <w:rPr>
          <w:rFonts w:hint="eastAsia"/>
        </w:rPr>
        <w:t>w——</w:t>
      </w:r>
      <w:r>
        <w:t>工作损耗，lb/a。</w:t>
      </w:r>
    </w:p>
    <w:p w14:paraId="48B1CD9A">
      <w:pPr>
        <w:ind w:firstLine="480"/>
      </w:pPr>
      <w:r>
        <w:rPr>
          <w:rFonts w:hint="eastAsia"/>
        </w:rPr>
        <w:t>A.</w:t>
      </w:r>
      <w:r>
        <w:t>静置损耗</w:t>
      </w:r>
    </w:p>
    <w:p w14:paraId="68297ADD">
      <w:pPr>
        <w:ind w:firstLine="480"/>
      </w:pPr>
      <w:r>
        <w:t>静置储藏损耗值由于罐体气相空间呼吸导致的储存气相损耗，可由下面公式估算：</w:t>
      </w:r>
    </w:p>
    <w:p w14:paraId="1A5B5C09">
      <w:pPr>
        <w:ind w:firstLine="480"/>
        <w:jc w:val="center"/>
      </w:pPr>
      <w:r>
        <w:drawing>
          <wp:inline distT="0" distB="0" distL="0" distR="0">
            <wp:extent cx="2417445" cy="353060"/>
            <wp:effectExtent l="0" t="0" r="1905" b="8890"/>
            <wp:docPr id="1063" name="图片 5"/>
            <wp:cNvGraphicFramePr/>
            <a:graphic xmlns:a="http://schemas.openxmlformats.org/drawingml/2006/main">
              <a:graphicData uri="http://schemas.openxmlformats.org/drawingml/2006/picture">
                <pic:pic xmlns:pic="http://schemas.openxmlformats.org/drawingml/2006/picture">
                  <pic:nvPicPr>
                    <pic:cNvPr id="1063" name="图片 5"/>
                    <pic:cNvPicPr/>
                  </pic:nvPicPr>
                  <pic:blipFill>
                    <a:blip r:embed="rId39" cstate="print"/>
                    <a:srcRect/>
                    <a:stretch>
                      <a:fillRect/>
                    </a:stretch>
                  </pic:blipFill>
                  <pic:spPr>
                    <a:xfrm>
                      <a:off x="0" y="0"/>
                      <a:ext cx="2417445" cy="353060"/>
                    </a:xfrm>
                    <a:prstGeom prst="rect">
                      <a:avLst/>
                    </a:prstGeom>
                    <a:ln>
                      <a:noFill/>
                    </a:ln>
                  </pic:spPr>
                </pic:pic>
              </a:graphicData>
            </a:graphic>
          </wp:inline>
        </w:drawing>
      </w:r>
      <w:r>
        <w:rPr>
          <w:rFonts w:hint="eastAsia"/>
        </w:rPr>
        <w:t>(2)</w:t>
      </w:r>
    </w:p>
    <w:p w14:paraId="3DE68063">
      <w:pPr>
        <w:ind w:firstLine="480"/>
      </w:pPr>
      <w:r>
        <w:t>式中：</w:t>
      </w:r>
    </w:p>
    <w:p w14:paraId="4ED83BDE">
      <w:pPr>
        <w:ind w:firstLine="480"/>
      </w:pPr>
      <w:r>
        <w:t>Es</w:t>
      </w:r>
      <w:r>
        <w:rPr>
          <w:rFonts w:hint="eastAsia"/>
        </w:rPr>
        <w:t>——</w:t>
      </w:r>
      <w:r>
        <w:t>静置损耗，lb/a；</w:t>
      </w:r>
    </w:p>
    <w:p w14:paraId="587D8EAF">
      <w:pPr>
        <w:ind w:firstLine="480"/>
      </w:pPr>
      <w:r>
        <w:rPr>
          <w:rFonts w:hint="eastAsia"/>
        </w:rPr>
        <w:t>D——</w:t>
      </w:r>
      <w:r>
        <w:t>罐径，ft；</w:t>
      </w:r>
    </w:p>
    <w:p w14:paraId="63D7C403">
      <w:pPr>
        <w:ind w:firstLine="480"/>
      </w:pPr>
      <w:r>
        <w:t>Hs</w:t>
      </w:r>
      <w:r>
        <w:rPr>
          <w:rFonts w:hint="eastAsia"/>
        </w:rPr>
        <w:t>——</w:t>
      </w:r>
      <w:r>
        <w:t>罐体高度，ft；</w:t>
      </w:r>
    </w:p>
    <w:p w14:paraId="67878B44">
      <w:pPr>
        <w:ind w:firstLine="480"/>
      </w:pPr>
      <w:r>
        <w:t>H</w:t>
      </w:r>
      <w:r>
        <w:rPr>
          <w:vertAlign w:val="subscript"/>
        </w:rPr>
        <w:t>L</w:t>
      </w:r>
      <w:r>
        <w:rPr>
          <w:rFonts w:hint="eastAsia"/>
        </w:rPr>
        <w:t>——</w:t>
      </w:r>
      <w:r>
        <w:t>液体高度，ft；</w:t>
      </w:r>
    </w:p>
    <w:p w14:paraId="55F6AA49">
      <w:pPr>
        <w:ind w:firstLine="480"/>
      </w:pPr>
      <w:r>
        <w:t>H</w:t>
      </w:r>
      <w:r>
        <w:rPr>
          <w:vertAlign w:val="subscript"/>
        </w:rPr>
        <w:t>RO</w:t>
      </w:r>
      <w:r>
        <w:rPr>
          <w:rFonts w:hint="eastAsia"/>
        </w:rPr>
        <w:t>——</w:t>
      </w:r>
      <w:r>
        <w:t>罐顶计量高度，ft；</w:t>
      </w:r>
    </w:p>
    <w:p w14:paraId="72EF92A6">
      <w:pPr>
        <w:ind w:firstLine="480"/>
      </w:pPr>
      <w:r>
        <w:t>Wv</w:t>
      </w:r>
      <w:r>
        <w:rPr>
          <w:rFonts w:hint="eastAsia"/>
        </w:rPr>
        <w:t>——</w:t>
      </w:r>
      <w:r>
        <w:t>储藏气相密度，lb/ft3；</w:t>
      </w:r>
    </w:p>
    <w:p w14:paraId="6BD9EC3A">
      <w:pPr>
        <w:ind w:firstLine="480"/>
      </w:pPr>
      <w:r>
        <w:t>K</w:t>
      </w:r>
      <w:r>
        <w:rPr>
          <w:vertAlign w:val="subscript"/>
        </w:rPr>
        <w:t>E</w:t>
      </w:r>
      <w:r>
        <w:rPr>
          <w:rFonts w:hint="eastAsia"/>
        </w:rPr>
        <w:t>——</w:t>
      </w:r>
      <w:r>
        <w:t>气相空间膨胀因子，无量纲量；</w:t>
      </w:r>
    </w:p>
    <w:p w14:paraId="22486C13">
      <w:pPr>
        <w:ind w:firstLine="480"/>
      </w:pPr>
      <w:r>
        <w:t>Ks</w:t>
      </w:r>
      <w:r>
        <w:rPr>
          <w:rFonts w:hint="eastAsia"/>
        </w:rPr>
        <w:t>——</w:t>
      </w:r>
      <w:r>
        <w:t>排放蒸汽饱和因子，无量纲量。</w:t>
      </w:r>
    </w:p>
    <w:p w14:paraId="4F66EA3F">
      <w:pPr>
        <w:ind w:firstLine="480"/>
      </w:pPr>
      <w:r>
        <w:rPr>
          <w:rFonts w:hint="eastAsia"/>
        </w:rPr>
        <w:t>B.</w:t>
      </w:r>
      <w:r>
        <w:t>工作损耗</w:t>
      </w:r>
    </w:p>
    <w:p w14:paraId="3A354875">
      <w:pPr>
        <w:ind w:firstLine="480"/>
      </w:pPr>
      <w:r>
        <w:t>工作损耗与装料或卸料</w:t>
      </w:r>
      <w:r>
        <w:rPr>
          <w:rFonts w:hint="eastAsia"/>
        </w:rPr>
        <w:t>时</w:t>
      </w:r>
      <w:r>
        <w:t>所储蒸汽的排放有关，可由下面公式估算：</w:t>
      </w:r>
    </w:p>
    <w:p w14:paraId="2929749E">
      <w:pPr>
        <w:ind w:firstLine="480"/>
        <w:jc w:val="center"/>
      </w:pPr>
      <w:r>
        <w:drawing>
          <wp:inline distT="0" distB="0" distL="0" distR="0">
            <wp:extent cx="1732915" cy="362585"/>
            <wp:effectExtent l="0" t="0" r="635" b="0"/>
            <wp:docPr id="1064" name="图片 1"/>
            <wp:cNvGraphicFramePr/>
            <a:graphic xmlns:a="http://schemas.openxmlformats.org/drawingml/2006/main">
              <a:graphicData uri="http://schemas.openxmlformats.org/drawingml/2006/picture">
                <pic:pic xmlns:pic="http://schemas.openxmlformats.org/drawingml/2006/picture">
                  <pic:nvPicPr>
                    <pic:cNvPr id="1064" name="图片 1"/>
                    <pic:cNvPicPr/>
                  </pic:nvPicPr>
                  <pic:blipFill>
                    <a:blip r:embed="rId40" cstate="print"/>
                    <a:srcRect/>
                    <a:stretch>
                      <a:fillRect/>
                    </a:stretch>
                  </pic:blipFill>
                  <pic:spPr>
                    <a:xfrm>
                      <a:off x="0" y="0"/>
                      <a:ext cx="1732915" cy="362585"/>
                    </a:xfrm>
                    <a:prstGeom prst="rect">
                      <a:avLst/>
                    </a:prstGeom>
                    <a:ln>
                      <a:noFill/>
                    </a:ln>
                  </pic:spPr>
                </pic:pic>
              </a:graphicData>
            </a:graphic>
          </wp:inline>
        </w:drawing>
      </w:r>
      <w:r>
        <w:rPr>
          <w:rFonts w:hint="eastAsia"/>
        </w:rPr>
        <w:t xml:space="preserve">    (3)</w:t>
      </w:r>
    </w:p>
    <w:p w14:paraId="366B8925">
      <w:pPr>
        <w:ind w:firstLine="480"/>
      </w:pPr>
      <w:r>
        <w:t>式中：</w:t>
      </w:r>
    </w:p>
    <w:p w14:paraId="56792FAD">
      <w:pPr>
        <w:ind w:firstLine="480"/>
      </w:pPr>
      <w:r>
        <w:t>Ew</w:t>
      </w:r>
      <w:r>
        <w:rPr>
          <w:rFonts w:hint="eastAsia"/>
        </w:rPr>
        <w:t>——</w:t>
      </w:r>
      <w:r>
        <w:t>工作损耗，lb/a；</w:t>
      </w:r>
    </w:p>
    <w:p w14:paraId="0226D485">
      <w:pPr>
        <w:ind w:firstLine="480"/>
      </w:pPr>
      <w:r>
        <w:t>R</w:t>
      </w:r>
      <w:r>
        <w:rPr>
          <w:rFonts w:hint="eastAsia"/>
        </w:rPr>
        <w:t>——</w:t>
      </w:r>
      <w:r>
        <w:t>理想气体状态常数；</w:t>
      </w:r>
    </w:p>
    <w:p w14:paraId="26B3AF89">
      <w:pPr>
        <w:ind w:firstLine="480"/>
      </w:pPr>
      <w:r>
        <w:t>T</w:t>
      </w:r>
      <w:r>
        <w:rPr>
          <w:vertAlign w:val="subscript"/>
        </w:rPr>
        <w:t>LA</w:t>
      </w:r>
      <w:r>
        <w:rPr>
          <w:rFonts w:hint="eastAsia"/>
        </w:rPr>
        <w:t>——</w:t>
      </w:r>
      <w:r>
        <w:t>日平均液体表面温度，</w:t>
      </w:r>
      <w:r>
        <w:rPr>
          <w:rFonts w:hint="eastAsia"/>
        </w:rPr>
        <w:t>℃</w:t>
      </w:r>
      <w:r>
        <w:t>；</w:t>
      </w:r>
    </w:p>
    <w:p w14:paraId="5661DD9B">
      <w:pPr>
        <w:ind w:firstLine="480"/>
      </w:pPr>
      <w:r>
        <w:t>Mv</w:t>
      </w:r>
      <w:r>
        <w:rPr>
          <w:rFonts w:hint="eastAsia"/>
        </w:rPr>
        <w:t>——</w:t>
      </w:r>
      <w:r>
        <w:t>气相分子量，lb/lb-mol；</w:t>
      </w:r>
    </w:p>
    <w:p w14:paraId="037F750E">
      <w:pPr>
        <w:ind w:firstLine="480"/>
      </w:pPr>
      <w:r>
        <w:t>P</w:t>
      </w:r>
      <w:r>
        <w:rPr>
          <w:vertAlign w:val="subscript"/>
        </w:rPr>
        <w:t>VA</w:t>
      </w:r>
      <w:r>
        <w:rPr>
          <w:rFonts w:hint="eastAsia"/>
        </w:rPr>
        <w:t>——</w:t>
      </w:r>
      <w:r>
        <w:t>真实</w:t>
      </w:r>
      <w:r>
        <w:rPr>
          <w:rFonts w:hint="eastAsia"/>
        </w:rPr>
        <w:t>蒸汽压</w:t>
      </w:r>
      <w:r>
        <w:t>，psia；</w:t>
      </w:r>
    </w:p>
    <w:p w14:paraId="4BBA4339">
      <w:pPr>
        <w:ind w:firstLine="480"/>
      </w:pPr>
      <w:r>
        <w:t>Q</w:t>
      </w:r>
      <w:r>
        <w:rPr>
          <w:rFonts w:hint="eastAsia"/>
        </w:rPr>
        <w:t>——</w:t>
      </w:r>
      <w:r>
        <w:t>年周转量，bbl/a</w:t>
      </w:r>
    </w:p>
    <w:p w14:paraId="43B1B0D5">
      <w:pPr>
        <w:ind w:firstLine="480"/>
      </w:pPr>
      <w:r>
        <w:t>K</w:t>
      </w:r>
      <w:r>
        <w:rPr>
          <w:vertAlign w:val="subscript"/>
        </w:rPr>
        <w:t>N</w:t>
      </w:r>
      <w:r>
        <w:rPr>
          <w:rFonts w:hint="eastAsia"/>
        </w:rPr>
        <w:t>——</w:t>
      </w:r>
      <w:r>
        <w:t>工作排放周转（饱和）因子，无量纲量；当周转数＞36，K</w:t>
      </w:r>
      <w:r>
        <w:rPr>
          <w:vertAlign w:val="subscript"/>
        </w:rPr>
        <w:t>N</w:t>
      </w:r>
      <w:r>
        <w:t>=（180+N）/6N，当周转数≤36，K</w:t>
      </w:r>
      <w:r>
        <w:rPr>
          <w:vertAlign w:val="subscript"/>
        </w:rPr>
        <w:t>N</w:t>
      </w:r>
      <w:r>
        <w:t>=1；</w:t>
      </w:r>
    </w:p>
    <w:p w14:paraId="12D9AE07">
      <w:pPr>
        <w:ind w:firstLine="480"/>
      </w:pPr>
      <w:r>
        <w:t>Kp</w:t>
      </w:r>
      <w:r>
        <w:rPr>
          <w:rFonts w:hint="eastAsia"/>
        </w:rPr>
        <w:t>——</w:t>
      </w:r>
      <w:r>
        <w:t>工作损耗产品因子，无量纲量；对于原油Kp=0.75，对于其他有机液体Kp=1；</w:t>
      </w:r>
    </w:p>
    <w:p w14:paraId="43F6036E">
      <w:pPr>
        <w:ind w:firstLine="480"/>
      </w:pPr>
      <w:r>
        <w:t>K</w:t>
      </w:r>
      <w:r>
        <w:rPr>
          <w:vertAlign w:val="subscript"/>
        </w:rPr>
        <w:t>B</w:t>
      </w:r>
      <w:r>
        <w:rPr>
          <w:rFonts w:hint="eastAsia"/>
        </w:rPr>
        <w:t>——</w:t>
      </w:r>
      <w:r>
        <w:t>呼吸阀工作校正因子，无量纲量。</w:t>
      </w:r>
    </w:p>
    <w:p w14:paraId="4FEE7857">
      <w:pPr>
        <w:ind w:firstLine="480"/>
      </w:pPr>
      <w:r>
        <w:rPr>
          <w:rFonts w:hint="eastAsia"/>
        </w:rPr>
        <w:t>根据《主要污染物总量减排核算技术指南（2</w:t>
      </w:r>
      <w:r>
        <w:t>022</w:t>
      </w:r>
      <w:r>
        <w:rPr>
          <w:rFonts w:hint="eastAsia"/>
        </w:rPr>
        <w:t>年修订）》表2</w:t>
      </w:r>
      <w:r>
        <w:t>-3VOC</w:t>
      </w:r>
      <w:r>
        <w:rPr>
          <w:rFonts w:hint="eastAsia"/>
        </w:rPr>
        <w:t>s废气收集和治理设施去除率通用系数，密闭管道收集的废气收集率为95</w:t>
      </w:r>
      <w:r>
        <w:t>%</w:t>
      </w:r>
      <w:r>
        <w:rPr>
          <w:rFonts w:hint="eastAsia"/>
        </w:rPr>
        <w:t>。</w:t>
      </w:r>
    </w:p>
    <w:p w14:paraId="0A8B723B">
      <w:pPr>
        <w:ind w:firstLine="480"/>
      </w:pPr>
      <w:r>
        <w:rPr>
          <w:rFonts w:hint="eastAsia"/>
        </w:rPr>
        <w:t>焦油储罐挥发性有机物产排情况核算参数及核算结果汇总，见表3.3-17、表3.3-18。</w:t>
      </w:r>
    </w:p>
    <w:p w14:paraId="22AA05FF">
      <w:pPr>
        <w:pStyle w:val="118"/>
      </w:pPr>
      <w:bookmarkStart w:id="298" w:name="_Hlk153219298"/>
      <w:r>
        <w:rPr>
          <w:rFonts w:hint="eastAsia"/>
        </w:rPr>
        <w:t>表3.3-17  焦油储罐挥发性有机物产生量核算参数汇总表</w:t>
      </w:r>
      <w:bookmarkEnd w:id="298"/>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94"/>
        <w:gridCol w:w="963"/>
        <w:gridCol w:w="1270"/>
        <w:gridCol w:w="1604"/>
        <w:gridCol w:w="1410"/>
        <w:gridCol w:w="1981"/>
      </w:tblGrid>
      <w:tr w14:paraId="4DFE7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2" w:hRule="atLeast"/>
        </w:trPr>
        <w:tc>
          <w:tcPr>
            <w:tcW w:w="760" w:type="pct"/>
            <w:vAlign w:val="center"/>
          </w:tcPr>
          <w:p w14:paraId="6FB4C2D4">
            <w:pPr>
              <w:pStyle w:val="133"/>
              <w:rPr>
                <w:b/>
                <w:bCs/>
              </w:rPr>
            </w:pPr>
            <w:r>
              <w:rPr>
                <w:rFonts w:hint="eastAsia"/>
                <w:b/>
                <w:bCs/>
              </w:rPr>
              <w:t>储罐容积（m³）</w:t>
            </w:r>
          </w:p>
        </w:tc>
        <w:tc>
          <w:tcPr>
            <w:tcW w:w="565" w:type="pct"/>
            <w:vAlign w:val="center"/>
          </w:tcPr>
          <w:p w14:paraId="04A32BE4">
            <w:pPr>
              <w:pStyle w:val="133"/>
              <w:rPr>
                <w:b/>
                <w:bCs/>
              </w:rPr>
            </w:pPr>
            <w:r>
              <w:rPr>
                <w:rFonts w:hint="eastAsia"/>
                <w:b/>
                <w:bCs/>
              </w:rPr>
              <w:t>罐壁/顶颜色</w:t>
            </w:r>
          </w:p>
        </w:tc>
        <w:tc>
          <w:tcPr>
            <w:tcW w:w="745" w:type="pct"/>
          </w:tcPr>
          <w:p w14:paraId="02D77A76">
            <w:pPr>
              <w:pStyle w:val="133"/>
              <w:rPr>
                <w:b/>
                <w:bCs/>
              </w:rPr>
            </w:pPr>
            <w:r>
              <w:rPr>
                <w:rFonts w:hint="eastAsia"/>
                <w:b/>
                <w:bCs/>
              </w:rPr>
              <w:t>大气压（kPa）</w:t>
            </w:r>
          </w:p>
        </w:tc>
        <w:tc>
          <w:tcPr>
            <w:tcW w:w="941" w:type="pct"/>
          </w:tcPr>
          <w:p w14:paraId="1F81AFED">
            <w:pPr>
              <w:pStyle w:val="133"/>
              <w:rPr>
                <w:b/>
                <w:bCs/>
              </w:rPr>
            </w:pPr>
            <w:r>
              <w:rPr>
                <w:rFonts w:hint="eastAsia"/>
                <w:b/>
                <w:bCs/>
              </w:rPr>
              <w:t>呼吸阀压力设定（pa）</w:t>
            </w:r>
          </w:p>
        </w:tc>
        <w:tc>
          <w:tcPr>
            <w:tcW w:w="827" w:type="pct"/>
          </w:tcPr>
          <w:p w14:paraId="4D46CD46">
            <w:pPr>
              <w:pStyle w:val="133"/>
              <w:rPr>
                <w:b/>
                <w:bCs/>
              </w:rPr>
            </w:pPr>
            <w:r>
              <w:rPr>
                <w:rFonts w:hint="eastAsia"/>
                <w:b/>
                <w:bCs/>
              </w:rPr>
              <w:t>呼吸阀真空设定（pa）</w:t>
            </w:r>
          </w:p>
        </w:tc>
        <w:tc>
          <w:tcPr>
            <w:tcW w:w="1162" w:type="pct"/>
            <w:vAlign w:val="center"/>
          </w:tcPr>
          <w:p w14:paraId="303DCD6C">
            <w:pPr>
              <w:pStyle w:val="133"/>
              <w:rPr>
                <w:b/>
                <w:bCs/>
              </w:rPr>
            </w:pPr>
            <w:r>
              <w:rPr>
                <w:rFonts w:hint="eastAsia"/>
                <w:b/>
                <w:bCs/>
              </w:rPr>
              <w:t>油气摩尔分子质量（g/g-mol）</w:t>
            </w:r>
          </w:p>
        </w:tc>
      </w:tr>
      <w:tr w14:paraId="15242B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0" w:type="pct"/>
            <w:vAlign w:val="center"/>
          </w:tcPr>
          <w:p w14:paraId="37274C35">
            <w:pPr>
              <w:pStyle w:val="133"/>
            </w:pPr>
            <w:r>
              <w:rPr>
                <w:rFonts w:hint="eastAsia"/>
              </w:rPr>
              <w:t>4500</w:t>
            </w:r>
          </w:p>
        </w:tc>
        <w:tc>
          <w:tcPr>
            <w:tcW w:w="565" w:type="pct"/>
            <w:vAlign w:val="center"/>
          </w:tcPr>
          <w:p w14:paraId="79A34D3D">
            <w:pPr>
              <w:pStyle w:val="133"/>
            </w:pPr>
            <w:r>
              <w:rPr>
                <w:rFonts w:hint="eastAsia"/>
              </w:rPr>
              <w:t>白色</w:t>
            </w:r>
          </w:p>
        </w:tc>
        <w:tc>
          <w:tcPr>
            <w:tcW w:w="745" w:type="pct"/>
          </w:tcPr>
          <w:p w14:paraId="08D72203">
            <w:pPr>
              <w:pStyle w:val="133"/>
            </w:pPr>
            <w:r>
              <w:rPr>
                <w:rFonts w:hint="eastAsia"/>
              </w:rPr>
              <w:t>100.3</w:t>
            </w:r>
          </w:p>
        </w:tc>
        <w:tc>
          <w:tcPr>
            <w:tcW w:w="941" w:type="pct"/>
          </w:tcPr>
          <w:p w14:paraId="40408284">
            <w:pPr>
              <w:pStyle w:val="133"/>
            </w:pPr>
            <w:r>
              <w:rPr>
                <w:rFonts w:hint="eastAsia"/>
              </w:rPr>
              <w:t>1760</w:t>
            </w:r>
          </w:p>
        </w:tc>
        <w:tc>
          <w:tcPr>
            <w:tcW w:w="827" w:type="pct"/>
          </w:tcPr>
          <w:p w14:paraId="05DBC8FD">
            <w:pPr>
              <w:pStyle w:val="133"/>
            </w:pPr>
            <w:r>
              <w:rPr>
                <w:rFonts w:hint="eastAsia"/>
              </w:rPr>
              <w:t>-295</w:t>
            </w:r>
          </w:p>
        </w:tc>
        <w:tc>
          <w:tcPr>
            <w:tcW w:w="1162" w:type="pct"/>
            <w:vAlign w:val="center"/>
          </w:tcPr>
          <w:p w14:paraId="5BBA4CE1">
            <w:pPr>
              <w:pStyle w:val="133"/>
            </w:pPr>
            <w:r>
              <w:rPr>
                <w:rFonts w:hint="eastAsia"/>
              </w:rPr>
              <w:t>190</w:t>
            </w:r>
          </w:p>
        </w:tc>
      </w:tr>
      <w:tr w14:paraId="6970B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0" w:type="pct"/>
            <w:vAlign w:val="center"/>
          </w:tcPr>
          <w:p w14:paraId="27AD7BAC">
            <w:pPr>
              <w:pStyle w:val="133"/>
            </w:pPr>
            <w:r>
              <w:rPr>
                <w:rFonts w:hint="eastAsia"/>
              </w:rPr>
              <w:t>年周转量（t）</w:t>
            </w:r>
          </w:p>
        </w:tc>
        <w:tc>
          <w:tcPr>
            <w:tcW w:w="565" w:type="pct"/>
          </w:tcPr>
          <w:p w14:paraId="456E42CF">
            <w:pPr>
              <w:pStyle w:val="133"/>
            </w:pPr>
            <w:r>
              <w:rPr>
                <w:rFonts w:hint="eastAsia"/>
              </w:rPr>
              <w:t>直径（m）</w:t>
            </w:r>
          </w:p>
        </w:tc>
        <w:tc>
          <w:tcPr>
            <w:tcW w:w="745" w:type="pct"/>
          </w:tcPr>
          <w:p w14:paraId="3205EA6C">
            <w:pPr>
              <w:pStyle w:val="133"/>
            </w:pPr>
            <w:r>
              <w:rPr>
                <w:rFonts w:hint="eastAsia"/>
              </w:rPr>
              <w:t>罐体高度（m）</w:t>
            </w:r>
          </w:p>
        </w:tc>
        <w:tc>
          <w:tcPr>
            <w:tcW w:w="941" w:type="pct"/>
          </w:tcPr>
          <w:p w14:paraId="27FF084E">
            <w:pPr>
              <w:pStyle w:val="133"/>
            </w:pPr>
            <w:r>
              <w:rPr>
                <w:rFonts w:hint="eastAsia"/>
              </w:rPr>
              <w:t>年平均储存高度（m）</w:t>
            </w:r>
          </w:p>
        </w:tc>
        <w:tc>
          <w:tcPr>
            <w:tcW w:w="827" w:type="pct"/>
          </w:tcPr>
          <w:p w14:paraId="7DEE4E5B">
            <w:pPr>
              <w:pStyle w:val="133"/>
            </w:pPr>
            <w:r>
              <w:rPr>
                <w:rFonts w:hint="eastAsia"/>
              </w:rPr>
              <w:t>罐穹顶半径（m）</w:t>
            </w:r>
          </w:p>
        </w:tc>
        <w:tc>
          <w:tcPr>
            <w:tcW w:w="1162" w:type="pct"/>
            <w:vAlign w:val="center"/>
          </w:tcPr>
          <w:p w14:paraId="3A40F7D7">
            <w:pPr>
              <w:pStyle w:val="133"/>
            </w:pPr>
            <w:r>
              <w:t>密度（t/</w:t>
            </w:r>
            <w:r>
              <w:rPr>
                <w:rFonts w:hint="eastAsia"/>
              </w:rPr>
              <w:t>m³</w:t>
            </w:r>
            <w:r>
              <w:t>）</w:t>
            </w:r>
          </w:p>
        </w:tc>
      </w:tr>
      <w:tr w14:paraId="599E01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60" w:type="pct"/>
            <w:vAlign w:val="center"/>
          </w:tcPr>
          <w:p w14:paraId="23A1DD8F">
            <w:pPr>
              <w:pStyle w:val="133"/>
            </w:pPr>
            <w:r>
              <w:rPr>
                <w:rFonts w:hint="eastAsia"/>
              </w:rPr>
              <w:t>24250</w:t>
            </w:r>
          </w:p>
        </w:tc>
        <w:tc>
          <w:tcPr>
            <w:tcW w:w="565" w:type="pct"/>
          </w:tcPr>
          <w:p w14:paraId="13BD7E0F">
            <w:pPr>
              <w:pStyle w:val="133"/>
            </w:pPr>
            <w:r>
              <w:rPr>
                <w:rFonts w:hint="eastAsia"/>
              </w:rPr>
              <w:t>21</w:t>
            </w:r>
          </w:p>
        </w:tc>
        <w:tc>
          <w:tcPr>
            <w:tcW w:w="745" w:type="pct"/>
          </w:tcPr>
          <w:p w14:paraId="6799C762">
            <w:pPr>
              <w:pStyle w:val="133"/>
            </w:pPr>
            <w:r>
              <w:rPr>
                <w:rFonts w:hint="eastAsia"/>
              </w:rPr>
              <w:t>18.86</w:t>
            </w:r>
          </w:p>
        </w:tc>
        <w:tc>
          <w:tcPr>
            <w:tcW w:w="941" w:type="pct"/>
          </w:tcPr>
          <w:p w14:paraId="1182F4D0">
            <w:pPr>
              <w:pStyle w:val="133"/>
            </w:pPr>
            <w:r>
              <w:rPr>
                <w:rFonts w:hint="eastAsia"/>
              </w:rPr>
              <w:t>14</w:t>
            </w:r>
          </w:p>
        </w:tc>
        <w:tc>
          <w:tcPr>
            <w:tcW w:w="827" w:type="pct"/>
          </w:tcPr>
          <w:p w14:paraId="67F68CDA">
            <w:pPr>
              <w:pStyle w:val="133"/>
            </w:pPr>
            <w:r>
              <w:rPr>
                <w:rFonts w:hint="eastAsia"/>
              </w:rPr>
              <w:t>20</w:t>
            </w:r>
          </w:p>
        </w:tc>
        <w:tc>
          <w:tcPr>
            <w:tcW w:w="1162" w:type="pct"/>
            <w:vAlign w:val="center"/>
          </w:tcPr>
          <w:p w14:paraId="7886775C">
            <w:pPr>
              <w:pStyle w:val="133"/>
            </w:pPr>
            <w:r>
              <w:rPr>
                <w:rFonts w:hint="eastAsia"/>
              </w:rPr>
              <w:t>0.9802</w:t>
            </w:r>
          </w:p>
        </w:tc>
      </w:tr>
    </w:tbl>
    <w:p w14:paraId="1DA8A55C">
      <w:pPr>
        <w:pStyle w:val="410"/>
        <w:ind w:firstLine="360"/>
      </w:pPr>
    </w:p>
    <w:p w14:paraId="5E45E55C">
      <w:pPr>
        <w:ind w:firstLine="480"/>
      </w:pPr>
    </w:p>
    <w:p w14:paraId="6326F1A8">
      <w:pPr>
        <w:ind w:firstLine="480"/>
      </w:pPr>
    </w:p>
    <w:p w14:paraId="05C17F6B">
      <w:pPr>
        <w:ind w:firstLine="480"/>
      </w:pPr>
    </w:p>
    <w:p w14:paraId="5BAEADA5">
      <w:pPr>
        <w:ind w:firstLine="480"/>
      </w:pPr>
    </w:p>
    <w:p w14:paraId="69DC8533">
      <w:pPr>
        <w:pStyle w:val="118"/>
      </w:pPr>
      <w:r>
        <w:rPr>
          <w:rFonts w:hint="eastAsia"/>
        </w:rPr>
        <w:t>表3.3-18  焦油储罐挥发性有机物产生情况一览表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9"/>
        <w:gridCol w:w="1016"/>
        <w:gridCol w:w="869"/>
        <w:gridCol w:w="1016"/>
        <w:gridCol w:w="1016"/>
        <w:gridCol w:w="1016"/>
        <w:gridCol w:w="1031"/>
        <w:gridCol w:w="1539"/>
      </w:tblGrid>
      <w:tr w14:paraId="5384F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8" w:type="pct"/>
            <w:vAlign w:val="center"/>
          </w:tcPr>
          <w:p w14:paraId="4BEEDA01">
            <w:pPr>
              <w:pStyle w:val="133"/>
              <w:rPr>
                <w:b/>
                <w:bCs/>
              </w:rPr>
            </w:pPr>
            <w:r>
              <w:rPr>
                <w:rFonts w:hint="eastAsia"/>
                <w:b/>
                <w:bCs/>
              </w:rPr>
              <w:t>罐区</w:t>
            </w:r>
          </w:p>
        </w:tc>
        <w:tc>
          <w:tcPr>
            <w:tcW w:w="596" w:type="pct"/>
            <w:vAlign w:val="center"/>
          </w:tcPr>
          <w:p w14:paraId="252E4875">
            <w:pPr>
              <w:pStyle w:val="133"/>
              <w:rPr>
                <w:b/>
                <w:bCs/>
              </w:rPr>
            </w:pPr>
            <w:r>
              <w:rPr>
                <w:b/>
                <w:bCs/>
              </w:rPr>
              <w:t>单罐容积</w:t>
            </w:r>
          </w:p>
          <w:p w14:paraId="7B9E8026">
            <w:pPr>
              <w:pStyle w:val="133"/>
              <w:rPr>
                <w:b/>
                <w:bCs/>
              </w:rPr>
            </w:pPr>
            <w:r>
              <w:rPr>
                <w:rFonts w:hint="eastAsia"/>
                <w:b/>
                <w:bCs/>
              </w:rPr>
              <w:t>(m³)</w:t>
            </w:r>
          </w:p>
        </w:tc>
        <w:tc>
          <w:tcPr>
            <w:tcW w:w="510" w:type="pct"/>
            <w:vAlign w:val="center"/>
          </w:tcPr>
          <w:p w14:paraId="0AA7353C">
            <w:pPr>
              <w:pStyle w:val="133"/>
              <w:rPr>
                <w:b/>
                <w:bCs/>
              </w:rPr>
            </w:pPr>
            <w:r>
              <w:rPr>
                <w:rFonts w:hint="eastAsia"/>
                <w:b/>
                <w:bCs/>
              </w:rPr>
              <w:t>数量</w:t>
            </w:r>
          </w:p>
          <w:p w14:paraId="4BB1E2FD">
            <w:pPr>
              <w:pStyle w:val="133"/>
              <w:rPr>
                <w:b/>
                <w:bCs/>
              </w:rPr>
            </w:pPr>
            <w:r>
              <w:rPr>
                <w:rFonts w:hint="eastAsia"/>
                <w:b/>
                <w:bCs/>
              </w:rPr>
              <w:t>（个）</w:t>
            </w:r>
          </w:p>
        </w:tc>
        <w:tc>
          <w:tcPr>
            <w:tcW w:w="596" w:type="pct"/>
            <w:vAlign w:val="center"/>
          </w:tcPr>
          <w:p w14:paraId="025DD37D">
            <w:pPr>
              <w:pStyle w:val="133"/>
              <w:rPr>
                <w:b/>
                <w:bCs/>
              </w:rPr>
            </w:pPr>
            <w:r>
              <w:rPr>
                <w:rFonts w:hint="eastAsia"/>
                <w:b/>
                <w:bCs/>
              </w:rPr>
              <w:t>静置损失</w:t>
            </w:r>
          </w:p>
          <w:p w14:paraId="64871223">
            <w:pPr>
              <w:pStyle w:val="133"/>
              <w:rPr>
                <w:b/>
                <w:bCs/>
              </w:rPr>
            </w:pPr>
            <w:r>
              <w:rPr>
                <w:rFonts w:hint="eastAsia"/>
                <w:b/>
                <w:bCs/>
              </w:rPr>
              <w:t>(t/a)</w:t>
            </w:r>
          </w:p>
        </w:tc>
        <w:tc>
          <w:tcPr>
            <w:tcW w:w="596" w:type="pct"/>
            <w:vAlign w:val="center"/>
          </w:tcPr>
          <w:p w14:paraId="2CCFBD9B">
            <w:pPr>
              <w:pStyle w:val="133"/>
              <w:rPr>
                <w:b/>
                <w:bCs/>
              </w:rPr>
            </w:pPr>
            <w:r>
              <w:rPr>
                <w:rFonts w:hint="eastAsia"/>
                <w:b/>
                <w:bCs/>
              </w:rPr>
              <w:t>工作损失</w:t>
            </w:r>
          </w:p>
          <w:p w14:paraId="38A9BB93">
            <w:pPr>
              <w:pStyle w:val="133"/>
              <w:rPr>
                <w:b/>
                <w:bCs/>
              </w:rPr>
            </w:pPr>
            <w:r>
              <w:rPr>
                <w:rFonts w:hint="eastAsia"/>
                <w:b/>
                <w:bCs/>
              </w:rPr>
              <w:t>(t/a)</w:t>
            </w:r>
          </w:p>
        </w:tc>
        <w:tc>
          <w:tcPr>
            <w:tcW w:w="596" w:type="pct"/>
            <w:vAlign w:val="center"/>
          </w:tcPr>
          <w:p w14:paraId="628DCF31">
            <w:pPr>
              <w:pStyle w:val="133"/>
              <w:rPr>
                <w:b/>
                <w:bCs/>
              </w:rPr>
            </w:pPr>
            <w:r>
              <w:rPr>
                <w:rFonts w:hint="eastAsia"/>
                <w:b/>
                <w:bCs/>
              </w:rPr>
              <w:t>总损失量</w:t>
            </w:r>
          </w:p>
          <w:p w14:paraId="75526E01">
            <w:pPr>
              <w:pStyle w:val="133"/>
              <w:rPr>
                <w:b/>
                <w:bCs/>
              </w:rPr>
            </w:pPr>
            <w:r>
              <w:rPr>
                <w:rFonts w:hint="eastAsia"/>
                <w:b/>
                <w:bCs/>
              </w:rPr>
              <w:t>(t/a)</w:t>
            </w:r>
          </w:p>
        </w:tc>
        <w:tc>
          <w:tcPr>
            <w:tcW w:w="605" w:type="pct"/>
            <w:vAlign w:val="center"/>
          </w:tcPr>
          <w:p w14:paraId="76530915">
            <w:pPr>
              <w:pStyle w:val="133"/>
              <w:rPr>
                <w:b/>
                <w:bCs/>
              </w:rPr>
            </w:pPr>
            <w:r>
              <w:rPr>
                <w:rFonts w:hint="eastAsia"/>
                <w:b/>
                <w:bCs/>
              </w:rPr>
              <w:t>收集量</w:t>
            </w:r>
          </w:p>
          <w:p w14:paraId="6A905A0C">
            <w:pPr>
              <w:pStyle w:val="133"/>
              <w:rPr>
                <w:b/>
                <w:bCs/>
              </w:rPr>
            </w:pPr>
            <w:r>
              <w:rPr>
                <w:rFonts w:hint="eastAsia"/>
                <w:b/>
                <w:bCs/>
              </w:rPr>
              <w:t>(t/a)</w:t>
            </w:r>
          </w:p>
        </w:tc>
        <w:tc>
          <w:tcPr>
            <w:tcW w:w="903" w:type="pct"/>
            <w:vAlign w:val="center"/>
          </w:tcPr>
          <w:p w14:paraId="3EDB5C18">
            <w:pPr>
              <w:pStyle w:val="133"/>
              <w:rPr>
                <w:b/>
                <w:bCs/>
              </w:rPr>
            </w:pPr>
            <w:r>
              <w:rPr>
                <w:rFonts w:hint="eastAsia"/>
                <w:b/>
                <w:bCs/>
              </w:rPr>
              <w:t>无组织排放量</w:t>
            </w:r>
          </w:p>
          <w:p w14:paraId="0068E77A">
            <w:pPr>
              <w:pStyle w:val="133"/>
              <w:rPr>
                <w:b/>
                <w:bCs/>
              </w:rPr>
            </w:pPr>
            <w:r>
              <w:rPr>
                <w:rFonts w:hint="eastAsia"/>
                <w:b/>
                <w:bCs/>
              </w:rPr>
              <w:t>(t/a)</w:t>
            </w:r>
          </w:p>
        </w:tc>
      </w:tr>
      <w:tr w14:paraId="063CE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98" w:type="pct"/>
            <w:vAlign w:val="center"/>
          </w:tcPr>
          <w:p w14:paraId="2EE71725">
            <w:pPr>
              <w:pStyle w:val="133"/>
            </w:pPr>
            <w:r>
              <w:rPr>
                <w:rFonts w:hint="eastAsia"/>
              </w:rPr>
              <w:t>焦油罐区</w:t>
            </w:r>
          </w:p>
        </w:tc>
        <w:tc>
          <w:tcPr>
            <w:tcW w:w="596" w:type="pct"/>
            <w:vAlign w:val="center"/>
          </w:tcPr>
          <w:p w14:paraId="726FA2E8">
            <w:pPr>
              <w:pStyle w:val="133"/>
            </w:pPr>
            <w:r>
              <w:rPr>
                <w:rFonts w:hint="eastAsia" w:eastAsia="等线"/>
                <w:szCs w:val="21"/>
              </w:rPr>
              <w:t>45</w:t>
            </w:r>
            <w:r>
              <w:rPr>
                <w:rFonts w:eastAsia="等线"/>
                <w:szCs w:val="21"/>
              </w:rPr>
              <w:t>00</w:t>
            </w:r>
          </w:p>
        </w:tc>
        <w:tc>
          <w:tcPr>
            <w:tcW w:w="510" w:type="pct"/>
            <w:vAlign w:val="center"/>
          </w:tcPr>
          <w:p w14:paraId="3FC98E86">
            <w:pPr>
              <w:pStyle w:val="133"/>
            </w:pPr>
            <w:r>
              <w:rPr>
                <w:rFonts w:hint="eastAsia" w:eastAsia="等线"/>
                <w:szCs w:val="21"/>
              </w:rPr>
              <w:t>4</w:t>
            </w:r>
          </w:p>
        </w:tc>
        <w:tc>
          <w:tcPr>
            <w:tcW w:w="596" w:type="pct"/>
            <w:vAlign w:val="center"/>
          </w:tcPr>
          <w:p w14:paraId="326D886B">
            <w:pPr>
              <w:pStyle w:val="133"/>
            </w:pPr>
            <w:r>
              <w:rPr>
                <w:rFonts w:hint="eastAsia" w:eastAsia="等线"/>
                <w:szCs w:val="21"/>
              </w:rPr>
              <w:t>3.187</w:t>
            </w:r>
          </w:p>
        </w:tc>
        <w:tc>
          <w:tcPr>
            <w:tcW w:w="596" w:type="pct"/>
            <w:vAlign w:val="center"/>
          </w:tcPr>
          <w:p w14:paraId="2F172D44">
            <w:pPr>
              <w:pStyle w:val="133"/>
            </w:pPr>
            <w:r>
              <w:rPr>
                <w:rFonts w:hint="eastAsia" w:eastAsia="等线"/>
                <w:szCs w:val="21"/>
              </w:rPr>
              <w:t>7.671</w:t>
            </w:r>
          </w:p>
        </w:tc>
        <w:tc>
          <w:tcPr>
            <w:tcW w:w="596" w:type="pct"/>
            <w:vAlign w:val="center"/>
          </w:tcPr>
          <w:p w14:paraId="27304C9E">
            <w:pPr>
              <w:pStyle w:val="133"/>
            </w:pPr>
            <w:r>
              <w:rPr>
                <w:rFonts w:hint="eastAsia" w:eastAsia="等线"/>
                <w:szCs w:val="21"/>
              </w:rPr>
              <w:t>10.859</w:t>
            </w:r>
          </w:p>
        </w:tc>
        <w:tc>
          <w:tcPr>
            <w:tcW w:w="605" w:type="pct"/>
            <w:vAlign w:val="center"/>
          </w:tcPr>
          <w:p w14:paraId="02F804BF">
            <w:pPr>
              <w:pStyle w:val="133"/>
            </w:pPr>
            <w:r>
              <w:rPr>
                <w:rFonts w:hint="eastAsia" w:eastAsia="等线"/>
                <w:szCs w:val="21"/>
              </w:rPr>
              <w:t>10.316</w:t>
            </w:r>
          </w:p>
        </w:tc>
        <w:tc>
          <w:tcPr>
            <w:tcW w:w="903" w:type="pct"/>
            <w:vAlign w:val="center"/>
          </w:tcPr>
          <w:p w14:paraId="7FDAC177">
            <w:pPr>
              <w:pStyle w:val="133"/>
            </w:pPr>
            <w:r>
              <w:rPr>
                <w:rFonts w:hint="eastAsia" w:eastAsia="等线"/>
                <w:szCs w:val="21"/>
              </w:rPr>
              <w:t>0.543</w:t>
            </w:r>
          </w:p>
        </w:tc>
      </w:tr>
    </w:tbl>
    <w:p w14:paraId="1AF58F7D">
      <w:pPr>
        <w:ind w:firstLine="480"/>
      </w:pPr>
      <w:r>
        <w:rPr>
          <w:rFonts w:hint="eastAsia" w:ascii="宋体" w:hAnsi="宋体"/>
        </w:rPr>
        <w:t>②</w:t>
      </w:r>
      <w:r>
        <w:t>装车站</w:t>
      </w:r>
    </w:p>
    <w:p w14:paraId="598E67E1">
      <w:pPr>
        <w:ind w:firstLine="480"/>
      </w:pPr>
      <w:r>
        <w:rPr>
          <w:rFonts w:hint="eastAsia"/>
        </w:rPr>
        <w:t>根据《污染源源强核算技术指南 石油炼制工业》</w:t>
      </w:r>
      <w:r>
        <w:t>（HJ 982-2018）</w:t>
      </w:r>
      <w:r>
        <w:rPr>
          <w:rFonts w:hint="eastAsia"/>
        </w:rPr>
        <w:t>，挥发性有机液体装载过程产生的挥发性有机物根据装载物料的真实蒸气压、油气分子量、装载温度、装载量等实际运行情况核算实际排放量。</w:t>
      </w:r>
    </w:p>
    <w:p w14:paraId="473408CA">
      <w:pPr>
        <w:ind w:firstLine="480"/>
      </w:pPr>
      <w:r>
        <w:rPr>
          <w:rFonts w:hint="eastAsia" w:ascii="宋体" w:hAnsi="宋体"/>
        </w:rPr>
        <w:t>A.</w:t>
      </w:r>
      <w:r>
        <w:rPr>
          <w:rFonts w:hint="eastAsia"/>
        </w:rPr>
        <w:t>挥发性有机液体装载过程挥发性有机物的产生量采取以下公式核算：</w:t>
      </w:r>
    </w:p>
    <w:p w14:paraId="3242165C">
      <w:pPr>
        <w:ind w:firstLine="480"/>
        <w:jc w:val="center"/>
      </w:pPr>
      <w:r>
        <w:drawing>
          <wp:inline distT="0" distB="0" distL="0" distR="0">
            <wp:extent cx="1037590" cy="359410"/>
            <wp:effectExtent l="0" t="0" r="0" b="2540"/>
            <wp:docPr id="1065" name="图片 1"/>
            <wp:cNvGraphicFramePr/>
            <a:graphic xmlns:a="http://schemas.openxmlformats.org/drawingml/2006/main">
              <a:graphicData uri="http://schemas.openxmlformats.org/drawingml/2006/picture">
                <pic:pic xmlns:pic="http://schemas.openxmlformats.org/drawingml/2006/picture">
                  <pic:nvPicPr>
                    <pic:cNvPr id="1065" name="图片 1"/>
                    <pic:cNvPicPr/>
                  </pic:nvPicPr>
                  <pic:blipFill>
                    <a:blip r:embed="rId41" cstate="print"/>
                    <a:srcRect/>
                    <a:stretch>
                      <a:fillRect/>
                    </a:stretch>
                  </pic:blipFill>
                  <pic:spPr>
                    <a:xfrm>
                      <a:off x="0" y="0"/>
                      <a:ext cx="1038224" cy="359410"/>
                    </a:xfrm>
                    <a:prstGeom prst="rect">
                      <a:avLst/>
                    </a:prstGeom>
                  </pic:spPr>
                </pic:pic>
              </a:graphicData>
            </a:graphic>
          </wp:inline>
        </w:drawing>
      </w:r>
      <w:r>
        <w:rPr>
          <w:rFonts w:hint="eastAsia"/>
        </w:rPr>
        <w:t xml:space="preserve">    (4)</w:t>
      </w:r>
    </w:p>
    <w:p w14:paraId="2C608D42">
      <w:pPr>
        <w:ind w:firstLine="480"/>
      </w:pPr>
      <w:bookmarkStart w:id="299" w:name="_Hlk97824527"/>
      <w:r>
        <w:rPr>
          <w:rFonts w:hint="eastAsia"/>
        </w:rPr>
        <w:t>式中：</w:t>
      </w:r>
    </w:p>
    <w:p w14:paraId="0F17DB8C">
      <w:pPr>
        <w:ind w:firstLine="480"/>
      </w:pPr>
      <w:r>
        <w:t>D</w:t>
      </w:r>
      <w:r>
        <w:rPr>
          <w:rFonts w:hint="eastAsia"/>
          <w:vertAlign w:val="subscript"/>
        </w:rPr>
        <w:t>产生量</w:t>
      </w:r>
      <w:r>
        <w:t xml:space="preserve"> </w:t>
      </w:r>
      <w:r>
        <w:rPr>
          <w:rFonts w:hint="eastAsia"/>
        </w:rPr>
        <w:t>——核算时间段内挥发性有机液体装载过程挥发性有机物的产生量，</w:t>
      </w:r>
      <w:r>
        <w:t>t/a</w:t>
      </w:r>
      <w:r>
        <w:rPr>
          <w:rFonts w:hint="eastAsia"/>
        </w:rPr>
        <w:t>；</w:t>
      </w:r>
    </w:p>
    <w:p w14:paraId="214E30AD">
      <w:pPr>
        <w:ind w:firstLine="480"/>
      </w:pPr>
      <w:r>
        <w:t>L</w:t>
      </w:r>
      <w:r>
        <w:rPr>
          <w:vertAlign w:val="subscript"/>
        </w:rPr>
        <w:t>L</w:t>
      </w:r>
      <w:r>
        <w:rPr>
          <w:rFonts w:hint="eastAsia"/>
        </w:rPr>
        <w:t>——挥发性有机液体装载过程的排放系数，</w:t>
      </w:r>
      <w:r>
        <w:t>kg/</w:t>
      </w:r>
      <w:r>
        <w:rPr>
          <w:rFonts w:hint="eastAsia"/>
        </w:rPr>
        <w:t>m³，0.019938；</w:t>
      </w:r>
    </w:p>
    <w:p w14:paraId="4FAE13C5">
      <w:pPr>
        <w:ind w:firstLine="480"/>
      </w:pPr>
      <w:r>
        <w:rPr>
          <w:rFonts w:hint="eastAsia"/>
        </w:rPr>
        <w:t>Q——核算时段内物料装载量，m³/a，98959。</w:t>
      </w:r>
    </w:p>
    <w:p w14:paraId="64394BE0">
      <w:pPr>
        <w:ind w:firstLine="480"/>
      </w:pPr>
      <w:r>
        <w:rPr>
          <w:rFonts w:hint="eastAsia" w:ascii="宋体" w:hAnsi="宋体"/>
        </w:rPr>
        <w:t>B.</w:t>
      </w:r>
      <w:r>
        <w:rPr>
          <w:rFonts w:hint="eastAsia"/>
        </w:rPr>
        <w:t>公路、铁路装载损失排放系数：</w:t>
      </w:r>
    </w:p>
    <w:p w14:paraId="0520AC04">
      <w:pPr>
        <w:ind w:firstLine="480"/>
        <w:jc w:val="center"/>
      </w:pPr>
      <w:r>
        <w:object>
          <v:shape id="_x0000_i1026" o:spt="75" type="#_x0000_t75" style="height:22.1pt;width:64.65pt;" o:ole="t" filled="f" o:preferrelative="t" stroked="f" coordsize="21600,21600">
            <v:path/>
            <v:fill on="f" focussize="0,0"/>
            <v:stroke on="f" joinstyle="miter"/>
            <v:imagedata r:id="rId43" embosscolor="#FFFFFF" o:title=""/>
            <o:lock v:ext="edit" aspectratio="t"/>
            <w10:wrap type="none"/>
            <w10:anchorlock/>
          </v:shape>
          <o:OLEObject Type="Embed" ProgID="Equation.DSMT4" ShapeID="_x0000_i1026" DrawAspect="Content" ObjectID="_1468075726" r:id="rId42">
            <o:LockedField>false</o:LockedField>
          </o:OLEObject>
        </w:object>
      </w:r>
      <w:r>
        <w:rPr>
          <w:rFonts w:hint="eastAsia"/>
        </w:rPr>
        <w:t xml:space="preserve">    （5）</w:t>
      </w:r>
    </w:p>
    <w:p w14:paraId="5173CE8C">
      <w:pPr>
        <w:ind w:firstLine="480"/>
        <w:jc w:val="center"/>
      </w:pPr>
      <w:r>
        <w:drawing>
          <wp:inline distT="0" distB="0" distL="0" distR="0">
            <wp:extent cx="1700530" cy="359410"/>
            <wp:effectExtent l="0" t="0" r="0" b="2540"/>
            <wp:docPr id="1068" name="图片 1"/>
            <wp:cNvGraphicFramePr/>
            <a:graphic xmlns:a="http://schemas.openxmlformats.org/drawingml/2006/main">
              <a:graphicData uri="http://schemas.openxmlformats.org/drawingml/2006/picture">
                <pic:pic xmlns:pic="http://schemas.openxmlformats.org/drawingml/2006/picture">
                  <pic:nvPicPr>
                    <pic:cNvPr id="1068" name="图片 1"/>
                    <pic:cNvPicPr/>
                  </pic:nvPicPr>
                  <pic:blipFill>
                    <a:blip r:embed="rId44" cstate="print"/>
                    <a:srcRect/>
                    <a:stretch>
                      <a:fillRect/>
                    </a:stretch>
                  </pic:blipFill>
                  <pic:spPr>
                    <a:xfrm>
                      <a:off x="0" y="0"/>
                      <a:ext cx="1700530" cy="359410"/>
                    </a:xfrm>
                    <a:prstGeom prst="rect">
                      <a:avLst/>
                    </a:prstGeom>
                  </pic:spPr>
                </pic:pic>
              </a:graphicData>
            </a:graphic>
          </wp:inline>
        </w:drawing>
      </w:r>
      <w:r>
        <w:rPr>
          <w:rFonts w:hint="eastAsia"/>
        </w:rPr>
        <w:t xml:space="preserve">    （6）</w:t>
      </w:r>
    </w:p>
    <w:p w14:paraId="62C7BA6E">
      <w:pPr>
        <w:ind w:firstLine="480"/>
      </w:pPr>
      <w:r>
        <w:rPr>
          <w:rFonts w:hint="eastAsia"/>
        </w:rPr>
        <w:t>式中：</w:t>
      </w:r>
    </w:p>
    <w:p w14:paraId="23480B8B">
      <w:pPr>
        <w:ind w:firstLine="480"/>
      </w:pPr>
      <w:r>
        <w:t>S</w:t>
      </w:r>
      <w:r>
        <w:rPr>
          <w:rFonts w:hint="eastAsia"/>
        </w:rPr>
        <w:t>——饱和因子，代表排出的挥发性有机物接近饱和的程度；底部装车，正常工况下S取0.6；</w:t>
      </w:r>
    </w:p>
    <w:p w14:paraId="1DEF9775">
      <w:pPr>
        <w:ind w:firstLine="480"/>
      </w:pPr>
      <w:r>
        <w:rPr>
          <w:rFonts w:hint="eastAsia"/>
        </w:rPr>
        <w:t>Co——装载罐车气、液相处于平衡状态，将挥发性物料视为理想气体下的密度，kg/m³，0.03323。</w:t>
      </w:r>
    </w:p>
    <w:p w14:paraId="0B9233AE">
      <w:pPr>
        <w:ind w:firstLine="480"/>
      </w:pPr>
      <w:r>
        <w:t>T</w:t>
      </w:r>
      <w:r>
        <w:rPr>
          <w:rFonts w:hint="eastAsia"/>
        </w:rPr>
        <w:t>——实际装载温度，℃；取50；</w:t>
      </w:r>
    </w:p>
    <w:p w14:paraId="02D55B54">
      <w:pPr>
        <w:ind w:firstLine="480"/>
      </w:pPr>
      <w:r>
        <w:t>P</w:t>
      </w:r>
      <w:r>
        <w:rPr>
          <w:vertAlign w:val="subscript"/>
        </w:rPr>
        <w:t>T</w:t>
      </w:r>
      <w:r>
        <w:rPr>
          <w:rFonts w:hint="eastAsia"/>
        </w:rPr>
        <w:t>——温度</w:t>
      </w:r>
      <w:r>
        <w:t>T</w:t>
      </w:r>
      <w:r>
        <w:rPr>
          <w:rFonts w:hint="eastAsia"/>
        </w:rPr>
        <w:t>时装载物料的真实蒸汽压，</w:t>
      </w:r>
      <w:r>
        <w:t>Pa</w:t>
      </w:r>
      <w:r>
        <w:rPr>
          <w:rFonts w:hint="eastAsia"/>
        </w:rPr>
        <w:t>；取470.97；</w:t>
      </w:r>
    </w:p>
    <w:p w14:paraId="4E1D5312">
      <w:pPr>
        <w:ind w:firstLine="480"/>
      </w:pPr>
      <w:r>
        <w:t>M</w:t>
      </w:r>
      <w:r>
        <w:rPr>
          <w:rFonts w:hint="eastAsia"/>
        </w:rPr>
        <w:t>——油气的分子量，</w:t>
      </w:r>
      <w:r>
        <w:t>g/mol</w:t>
      </w:r>
      <w:r>
        <w:rPr>
          <w:rFonts w:hint="eastAsia"/>
        </w:rPr>
        <w:t>；取190。</w:t>
      </w:r>
    </w:p>
    <w:p w14:paraId="5608C42A">
      <w:pPr>
        <w:ind w:firstLine="480"/>
      </w:pPr>
      <w:r>
        <w:rPr>
          <w:rFonts w:hint="eastAsia"/>
        </w:rPr>
        <w:t>煤焦油储罐装卸损失计算参数及结果，见表3.3-19。</w:t>
      </w:r>
    </w:p>
    <w:p w14:paraId="295A5BF2">
      <w:pPr>
        <w:widowControl/>
        <w:spacing w:line="240" w:lineRule="auto"/>
        <w:ind w:firstLine="0" w:firstLineChars="0"/>
        <w:jc w:val="left"/>
        <w:rPr>
          <w:b/>
          <w:color w:val="000000"/>
          <w:szCs w:val="28"/>
        </w:rPr>
      </w:pPr>
    </w:p>
    <w:p w14:paraId="0A8620D8">
      <w:pPr>
        <w:pStyle w:val="118"/>
      </w:pPr>
      <w:r>
        <w:rPr>
          <w:rFonts w:hint="eastAsia"/>
        </w:rPr>
        <w:t>表3.3-19  焦油储罐装载过程挥发性有机物核算参数一览表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0"/>
        <w:gridCol w:w="1070"/>
        <w:gridCol w:w="1070"/>
        <w:gridCol w:w="871"/>
        <w:gridCol w:w="1070"/>
        <w:gridCol w:w="1082"/>
        <w:gridCol w:w="1687"/>
        <w:gridCol w:w="872"/>
      </w:tblGrid>
      <w:tr w14:paraId="2E2D8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Align w:val="center"/>
          </w:tcPr>
          <w:p w14:paraId="56A6AE59">
            <w:pPr>
              <w:pStyle w:val="133"/>
              <w:rPr>
                <w:b/>
                <w:bCs/>
              </w:rPr>
            </w:pPr>
            <w:r>
              <w:rPr>
                <w:rFonts w:hint="eastAsia"/>
                <w:b/>
                <w:bCs/>
              </w:rPr>
              <w:t>罐区</w:t>
            </w:r>
          </w:p>
        </w:tc>
        <w:tc>
          <w:tcPr>
            <w:tcW w:w="638" w:type="pct"/>
            <w:vAlign w:val="center"/>
          </w:tcPr>
          <w:p w14:paraId="537B68CB">
            <w:pPr>
              <w:pStyle w:val="133"/>
              <w:rPr>
                <w:b/>
                <w:bCs/>
              </w:rPr>
            </w:pPr>
            <w:r>
              <w:rPr>
                <w:rFonts w:hint="eastAsia"/>
                <w:b/>
                <w:bCs/>
              </w:rPr>
              <w:t>装载方式</w:t>
            </w:r>
          </w:p>
        </w:tc>
        <w:tc>
          <w:tcPr>
            <w:tcW w:w="638" w:type="pct"/>
            <w:vAlign w:val="center"/>
          </w:tcPr>
          <w:p w14:paraId="40701321">
            <w:pPr>
              <w:pStyle w:val="133"/>
              <w:rPr>
                <w:b/>
                <w:bCs/>
              </w:rPr>
            </w:pPr>
            <w:r>
              <w:rPr>
                <w:rFonts w:hint="eastAsia"/>
                <w:b/>
                <w:bCs/>
              </w:rPr>
              <w:t>状态</w:t>
            </w:r>
          </w:p>
        </w:tc>
        <w:tc>
          <w:tcPr>
            <w:tcW w:w="480" w:type="pct"/>
            <w:vAlign w:val="center"/>
          </w:tcPr>
          <w:p w14:paraId="269ABB99">
            <w:pPr>
              <w:pStyle w:val="133"/>
              <w:rPr>
                <w:b/>
                <w:bCs/>
              </w:rPr>
            </w:pPr>
            <w:r>
              <w:rPr>
                <w:rFonts w:hint="eastAsia"/>
                <w:b/>
                <w:bCs/>
              </w:rPr>
              <w:t>装车量</w:t>
            </w:r>
          </w:p>
          <w:p w14:paraId="191B918F">
            <w:pPr>
              <w:pStyle w:val="133"/>
              <w:rPr>
                <w:b/>
                <w:bCs/>
              </w:rPr>
            </w:pPr>
            <w:r>
              <w:rPr>
                <w:b/>
                <w:bCs/>
              </w:rPr>
              <w:t>（</w:t>
            </w:r>
            <w:r>
              <w:rPr>
                <w:rFonts w:hint="eastAsia"/>
                <w:b/>
                <w:bCs/>
              </w:rPr>
              <w:t>t/a</w:t>
            </w:r>
            <w:r>
              <w:rPr>
                <w:b/>
                <w:bCs/>
              </w:rPr>
              <w:t>）</w:t>
            </w:r>
          </w:p>
        </w:tc>
        <w:tc>
          <w:tcPr>
            <w:tcW w:w="638" w:type="pct"/>
            <w:vAlign w:val="center"/>
          </w:tcPr>
          <w:p w14:paraId="51ABDE89">
            <w:pPr>
              <w:pStyle w:val="133"/>
              <w:rPr>
                <w:b/>
                <w:bCs/>
              </w:rPr>
            </w:pPr>
            <w:r>
              <w:rPr>
                <w:rFonts w:hint="eastAsia"/>
                <w:b/>
                <w:bCs/>
              </w:rPr>
              <w:t>油品密度</w:t>
            </w:r>
          </w:p>
          <w:p w14:paraId="49850177">
            <w:pPr>
              <w:pStyle w:val="133"/>
              <w:rPr>
                <w:b/>
                <w:bCs/>
              </w:rPr>
            </w:pPr>
            <w:r>
              <w:rPr>
                <w:rFonts w:hint="eastAsia"/>
                <w:b/>
                <w:bCs/>
              </w:rPr>
              <w:t>（t/m³）</w:t>
            </w:r>
          </w:p>
        </w:tc>
        <w:tc>
          <w:tcPr>
            <w:tcW w:w="638" w:type="pct"/>
            <w:vAlign w:val="center"/>
          </w:tcPr>
          <w:p w14:paraId="0E9607F4">
            <w:pPr>
              <w:pStyle w:val="133"/>
              <w:rPr>
                <w:b/>
                <w:bCs/>
              </w:rPr>
            </w:pPr>
            <w:r>
              <w:rPr>
                <w:rFonts w:hint="eastAsia"/>
                <w:b/>
                <w:bCs/>
              </w:rPr>
              <w:t>装车量</w:t>
            </w:r>
          </w:p>
          <w:p w14:paraId="2CBBC753">
            <w:pPr>
              <w:pStyle w:val="133"/>
              <w:rPr>
                <w:b/>
                <w:bCs/>
              </w:rPr>
            </w:pPr>
            <w:r>
              <w:rPr>
                <w:b/>
                <w:bCs/>
              </w:rPr>
              <w:t>（</w:t>
            </w:r>
            <w:r>
              <w:rPr>
                <w:rFonts w:hint="eastAsia"/>
                <w:b/>
                <w:bCs/>
              </w:rPr>
              <w:t>m³/a</w:t>
            </w:r>
            <w:r>
              <w:rPr>
                <w:b/>
                <w:bCs/>
              </w:rPr>
              <w:t>）</w:t>
            </w:r>
          </w:p>
        </w:tc>
        <w:tc>
          <w:tcPr>
            <w:tcW w:w="1007" w:type="pct"/>
            <w:vAlign w:val="center"/>
          </w:tcPr>
          <w:p w14:paraId="3ADA9105">
            <w:pPr>
              <w:pStyle w:val="133"/>
              <w:rPr>
                <w:b/>
                <w:bCs/>
              </w:rPr>
            </w:pPr>
            <w:r>
              <w:rPr>
                <w:rFonts w:hint="eastAsia"/>
                <w:b/>
                <w:bCs/>
              </w:rPr>
              <w:t>油气摩尔分子</w:t>
            </w:r>
          </w:p>
          <w:p w14:paraId="6DFA4CCC">
            <w:pPr>
              <w:pStyle w:val="133"/>
              <w:rPr>
                <w:b/>
                <w:bCs/>
              </w:rPr>
            </w:pPr>
            <w:r>
              <w:rPr>
                <w:rFonts w:hint="eastAsia"/>
                <w:b/>
                <w:bCs/>
              </w:rPr>
              <w:t>质量（g/mol）</w:t>
            </w:r>
          </w:p>
        </w:tc>
        <w:tc>
          <w:tcPr>
            <w:tcW w:w="480" w:type="pct"/>
            <w:vAlign w:val="center"/>
          </w:tcPr>
          <w:p w14:paraId="36612219">
            <w:pPr>
              <w:pStyle w:val="133"/>
              <w:rPr>
                <w:b/>
                <w:bCs/>
              </w:rPr>
            </w:pPr>
            <w:r>
              <w:rPr>
                <w:rFonts w:hint="eastAsia"/>
                <w:b/>
                <w:bCs/>
              </w:rPr>
              <w:t>产生</w:t>
            </w:r>
            <w:r>
              <w:rPr>
                <w:b/>
                <w:bCs/>
              </w:rPr>
              <w:t>量</w:t>
            </w:r>
          </w:p>
          <w:p w14:paraId="4765F9D0">
            <w:pPr>
              <w:pStyle w:val="133"/>
              <w:rPr>
                <w:b/>
                <w:bCs/>
              </w:rPr>
            </w:pPr>
            <w:r>
              <w:rPr>
                <w:rFonts w:hint="eastAsia"/>
                <w:b/>
                <w:bCs/>
              </w:rPr>
              <w:t>（t/</w:t>
            </w:r>
            <w:r>
              <w:rPr>
                <w:b/>
                <w:bCs/>
              </w:rPr>
              <w:t>a</w:t>
            </w:r>
            <w:r>
              <w:rPr>
                <w:rFonts w:hint="eastAsia"/>
                <w:b/>
                <w:bCs/>
              </w:rPr>
              <w:t>）</w:t>
            </w:r>
          </w:p>
        </w:tc>
      </w:tr>
      <w:tr w14:paraId="719DE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80" w:type="pct"/>
            <w:vAlign w:val="center"/>
          </w:tcPr>
          <w:p w14:paraId="249A921D">
            <w:pPr>
              <w:pStyle w:val="133"/>
            </w:pPr>
            <w:r>
              <w:rPr>
                <w:rFonts w:hint="eastAsia"/>
              </w:rPr>
              <w:t>煤焦油</w:t>
            </w:r>
          </w:p>
        </w:tc>
        <w:tc>
          <w:tcPr>
            <w:tcW w:w="638" w:type="pct"/>
            <w:vAlign w:val="center"/>
          </w:tcPr>
          <w:p w14:paraId="58E42CDD">
            <w:pPr>
              <w:pStyle w:val="133"/>
            </w:pPr>
            <w:r>
              <w:rPr>
                <w:rFonts w:hint="eastAsia"/>
              </w:rPr>
              <w:t>液下装车</w:t>
            </w:r>
          </w:p>
        </w:tc>
        <w:tc>
          <w:tcPr>
            <w:tcW w:w="638" w:type="pct"/>
            <w:vAlign w:val="center"/>
          </w:tcPr>
          <w:p w14:paraId="4499FB51">
            <w:pPr>
              <w:pStyle w:val="133"/>
            </w:pPr>
            <w:r>
              <w:rPr>
                <w:rFonts w:hint="eastAsia"/>
              </w:rPr>
              <w:t>正常工况</w:t>
            </w:r>
          </w:p>
        </w:tc>
        <w:tc>
          <w:tcPr>
            <w:tcW w:w="480" w:type="pct"/>
            <w:vAlign w:val="center"/>
          </w:tcPr>
          <w:p w14:paraId="624B34E1">
            <w:pPr>
              <w:pStyle w:val="133"/>
            </w:pPr>
            <w:r>
              <w:rPr>
                <w:rFonts w:hint="eastAsia"/>
              </w:rPr>
              <w:t>97000</w:t>
            </w:r>
          </w:p>
        </w:tc>
        <w:tc>
          <w:tcPr>
            <w:tcW w:w="638" w:type="pct"/>
            <w:vAlign w:val="center"/>
          </w:tcPr>
          <w:p w14:paraId="7A388F80">
            <w:pPr>
              <w:pStyle w:val="133"/>
            </w:pPr>
            <w:r>
              <w:rPr>
                <w:rFonts w:hint="eastAsia"/>
              </w:rPr>
              <w:t>0.9802</w:t>
            </w:r>
          </w:p>
        </w:tc>
        <w:tc>
          <w:tcPr>
            <w:tcW w:w="638" w:type="pct"/>
            <w:vAlign w:val="center"/>
          </w:tcPr>
          <w:p w14:paraId="66E613B0">
            <w:pPr>
              <w:pStyle w:val="133"/>
            </w:pPr>
            <w:r>
              <w:rPr>
                <w:rFonts w:hint="eastAsia"/>
              </w:rPr>
              <w:t>98959</w:t>
            </w:r>
          </w:p>
        </w:tc>
        <w:tc>
          <w:tcPr>
            <w:tcW w:w="1007" w:type="pct"/>
            <w:vAlign w:val="center"/>
          </w:tcPr>
          <w:p w14:paraId="238E4040">
            <w:pPr>
              <w:pStyle w:val="133"/>
            </w:pPr>
            <w:r>
              <w:rPr>
                <w:rFonts w:hint="eastAsia"/>
              </w:rPr>
              <w:t>190</w:t>
            </w:r>
          </w:p>
        </w:tc>
        <w:tc>
          <w:tcPr>
            <w:tcW w:w="480" w:type="pct"/>
            <w:vAlign w:val="center"/>
          </w:tcPr>
          <w:p w14:paraId="23438DA6">
            <w:pPr>
              <w:pStyle w:val="133"/>
            </w:pPr>
            <w:r>
              <w:rPr>
                <w:rFonts w:hint="eastAsia"/>
              </w:rPr>
              <w:t>1.973</w:t>
            </w:r>
          </w:p>
        </w:tc>
      </w:tr>
    </w:tbl>
    <w:p w14:paraId="52C7ECA6">
      <w:pPr>
        <w:pStyle w:val="410"/>
        <w:ind w:firstLine="360"/>
      </w:pPr>
    </w:p>
    <w:p w14:paraId="5ACE7924">
      <w:pPr>
        <w:ind w:firstLine="480"/>
      </w:pPr>
      <w:r>
        <w:rPr>
          <w:rFonts w:hint="eastAsia" w:ascii="宋体" w:hAnsi="宋体"/>
        </w:rPr>
        <w:t>C.</w:t>
      </w:r>
      <w:r>
        <w:rPr>
          <w:rFonts w:hint="eastAsia"/>
        </w:rPr>
        <w:t>装载过程挥发性有机物排放量采用下式核算：</w:t>
      </w:r>
    </w:p>
    <w:p w14:paraId="3E0A35F1">
      <w:pPr>
        <w:ind w:firstLine="480"/>
        <w:jc w:val="center"/>
      </w:pPr>
      <w:r>
        <w:drawing>
          <wp:inline distT="0" distB="0" distL="0" distR="0">
            <wp:extent cx="2540635" cy="539750"/>
            <wp:effectExtent l="0" t="0" r="0" b="0"/>
            <wp:docPr id="1069" name="图片 1"/>
            <wp:cNvGraphicFramePr/>
            <a:graphic xmlns:a="http://schemas.openxmlformats.org/drawingml/2006/main">
              <a:graphicData uri="http://schemas.openxmlformats.org/drawingml/2006/picture">
                <pic:pic xmlns:pic="http://schemas.openxmlformats.org/drawingml/2006/picture">
                  <pic:nvPicPr>
                    <pic:cNvPr id="1069" name="图片 1"/>
                    <pic:cNvPicPr/>
                  </pic:nvPicPr>
                  <pic:blipFill>
                    <a:blip r:embed="rId45" cstate="print"/>
                    <a:srcRect/>
                    <a:stretch>
                      <a:fillRect/>
                    </a:stretch>
                  </pic:blipFill>
                  <pic:spPr>
                    <a:xfrm>
                      <a:off x="0" y="0"/>
                      <a:ext cx="2540635" cy="539750"/>
                    </a:xfrm>
                    <a:prstGeom prst="rect">
                      <a:avLst/>
                    </a:prstGeom>
                  </pic:spPr>
                </pic:pic>
              </a:graphicData>
            </a:graphic>
          </wp:inline>
        </w:drawing>
      </w:r>
      <w:r>
        <w:rPr>
          <w:rFonts w:hint="eastAsia"/>
        </w:rPr>
        <w:t xml:space="preserve">    （7）</w:t>
      </w:r>
    </w:p>
    <w:p w14:paraId="28C42C8E">
      <w:pPr>
        <w:ind w:firstLine="480"/>
      </w:pPr>
      <w:r>
        <w:rPr>
          <w:rFonts w:hint="eastAsia"/>
        </w:rPr>
        <w:t>式中：</w:t>
      </w:r>
    </w:p>
    <w:p w14:paraId="08EDFA70">
      <w:pPr>
        <w:ind w:firstLine="480"/>
      </w:pPr>
      <w:r>
        <w:t>D</w:t>
      </w:r>
      <w:r>
        <w:rPr>
          <w:rFonts w:hint="eastAsia"/>
          <w:vertAlign w:val="subscript"/>
        </w:rPr>
        <w:t>排放量</w:t>
      </w:r>
      <w:r>
        <w:rPr>
          <w:rFonts w:hint="eastAsia"/>
        </w:rPr>
        <w:t>——核算时间段内挥发性有机液体装载过程挥发性有机物排放量，</w:t>
      </w:r>
      <w:r>
        <w:t>t/a</w:t>
      </w:r>
      <w:r>
        <w:rPr>
          <w:rFonts w:hint="eastAsia"/>
        </w:rPr>
        <w:t>；</w:t>
      </w:r>
    </w:p>
    <w:p w14:paraId="2CAD4CAB">
      <w:pPr>
        <w:ind w:firstLine="480"/>
      </w:pPr>
      <w:r>
        <w:t>D</w:t>
      </w:r>
      <w:r>
        <w:rPr>
          <w:rFonts w:hint="eastAsia"/>
          <w:vertAlign w:val="subscript"/>
        </w:rPr>
        <w:t>产生量</w:t>
      </w:r>
      <w:r>
        <w:rPr>
          <w:rFonts w:hint="eastAsia"/>
        </w:rPr>
        <w:t>——核算时间段内挥发性有机液体装载过程挥发性有机物的产生量，</w:t>
      </w:r>
      <w:r>
        <w:t>t/a</w:t>
      </w:r>
      <w:r>
        <w:rPr>
          <w:rFonts w:hint="eastAsia"/>
        </w:rPr>
        <w:t>；</w:t>
      </w:r>
      <w:bookmarkEnd w:id="299"/>
    </w:p>
    <w:p w14:paraId="0F62F585">
      <w:pPr>
        <w:ind w:firstLine="480"/>
      </w:pPr>
      <w:r>
        <w:t>η</w:t>
      </w:r>
      <w:r>
        <w:rPr>
          <w:rFonts w:hint="eastAsia"/>
          <w:vertAlign w:val="subscript"/>
        </w:rPr>
        <w:t>收集</w:t>
      </w:r>
      <w:r>
        <w:rPr>
          <w:rFonts w:hint="eastAsia"/>
        </w:rPr>
        <w:t>——集气设施收集效率，%，取90；</w:t>
      </w:r>
    </w:p>
    <w:p w14:paraId="6271A809">
      <w:pPr>
        <w:ind w:firstLine="480"/>
      </w:pPr>
      <w:r>
        <w:t>η</w:t>
      </w:r>
      <w:r>
        <w:rPr>
          <w:rFonts w:hint="eastAsia"/>
          <w:vertAlign w:val="subscript"/>
        </w:rPr>
        <w:t>去除</w:t>
      </w:r>
      <w:r>
        <w:rPr>
          <w:rFonts w:hint="eastAsia"/>
        </w:rPr>
        <w:t>——废气治理设施去除效率，%，100（按VOCs装置全处理计）。</w:t>
      </w:r>
    </w:p>
    <w:p w14:paraId="3D484E5E">
      <w:pPr>
        <w:ind w:firstLine="480"/>
      </w:pPr>
      <w:r>
        <w:rPr>
          <w:rFonts w:hint="eastAsia"/>
        </w:rPr>
        <w:t>根据《主要污染物总量减排核算技术指南（2</w:t>
      </w:r>
      <w:r>
        <w:t>022</w:t>
      </w:r>
      <w:r>
        <w:rPr>
          <w:rFonts w:hint="eastAsia"/>
        </w:rPr>
        <w:t>年修订）》表2</w:t>
      </w:r>
      <w:r>
        <w:t>-3VOC</w:t>
      </w:r>
      <w:r>
        <w:rPr>
          <w:rFonts w:hint="eastAsia"/>
        </w:rPr>
        <w:t>s废气收集和治理设施去除率通用系数，密闭空间负压收集的废气收集率为90</w:t>
      </w:r>
      <w:r>
        <w:t>%</w:t>
      </w:r>
      <w:r>
        <w:rPr>
          <w:rFonts w:hint="eastAsia"/>
        </w:rPr>
        <w:t>。</w:t>
      </w:r>
    </w:p>
    <w:p w14:paraId="19F3319C">
      <w:pPr>
        <w:ind w:firstLine="480"/>
      </w:pPr>
      <w:r>
        <w:rPr>
          <w:rFonts w:hint="eastAsia"/>
        </w:rPr>
        <w:t>焦油储罐装卸过程装车站挥发性有机物产生及收集情况，见表3.3-20。</w:t>
      </w:r>
    </w:p>
    <w:p w14:paraId="21C2EFC3">
      <w:pPr>
        <w:pStyle w:val="118"/>
      </w:pPr>
      <w:r>
        <w:rPr>
          <w:rFonts w:hint="eastAsia"/>
        </w:rPr>
        <w:t>表3.3-20  焦油储罐装卸过程挥发性有机物产排情况一览表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1"/>
        <w:gridCol w:w="1665"/>
        <w:gridCol w:w="1626"/>
        <w:gridCol w:w="1665"/>
        <w:gridCol w:w="2375"/>
      </w:tblGrid>
      <w:tr w14:paraId="3E9CAD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9" w:type="pct"/>
            <w:vAlign w:val="center"/>
          </w:tcPr>
          <w:p w14:paraId="4E74C742">
            <w:pPr>
              <w:pStyle w:val="133"/>
              <w:rPr>
                <w:b/>
                <w:bCs/>
              </w:rPr>
            </w:pPr>
            <w:r>
              <w:rPr>
                <w:rFonts w:hint="eastAsia"/>
                <w:b/>
                <w:bCs/>
              </w:rPr>
              <w:t>装卸区</w:t>
            </w:r>
          </w:p>
        </w:tc>
        <w:tc>
          <w:tcPr>
            <w:tcW w:w="977" w:type="pct"/>
            <w:vAlign w:val="center"/>
          </w:tcPr>
          <w:p w14:paraId="710D0A63">
            <w:pPr>
              <w:pStyle w:val="133"/>
              <w:rPr>
                <w:b/>
                <w:bCs/>
              </w:rPr>
            </w:pPr>
            <w:r>
              <w:rPr>
                <w:rFonts w:hint="eastAsia"/>
                <w:b/>
                <w:bCs/>
              </w:rPr>
              <w:t>产生量（t/a）</w:t>
            </w:r>
          </w:p>
        </w:tc>
        <w:tc>
          <w:tcPr>
            <w:tcW w:w="954" w:type="pct"/>
            <w:vAlign w:val="center"/>
          </w:tcPr>
          <w:p w14:paraId="1C5468E2">
            <w:pPr>
              <w:pStyle w:val="133"/>
              <w:rPr>
                <w:b/>
                <w:bCs/>
              </w:rPr>
            </w:pPr>
            <w:r>
              <w:rPr>
                <w:rFonts w:hint="eastAsia"/>
                <w:b/>
                <w:bCs/>
              </w:rPr>
              <w:t>收集率（%）</w:t>
            </w:r>
          </w:p>
        </w:tc>
        <w:tc>
          <w:tcPr>
            <w:tcW w:w="977" w:type="pct"/>
            <w:vAlign w:val="center"/>
          </w:tcPr>
          <w:p w14:paraId="6D4875BF">
            <w:pPr>
              <w:pStyle w:val="133"/>
              <w:rPr>
                <w:b/>
                <w:bCs/>
              </w:rPr>
            </w:pPr>
            <w:r>
              <w:rPr>
                <w:rFonts w:hint="eastAsia"/>
                <w:b/>
                <w:bCs/>
              </w:rPr>
              <w:t>收集量（t/a）</w:t>
            </w:r>
          </w:p>
        </w:tc>
        <w:tc>
          <w:tcPr>
            <w:tcW w:w="1394" w:type="pct"/>
            <w:vAlign w:val="center"/>
          </w:tcPr>
          <w:p w14:paraId="0FDA23D0">
            <w:pPr>
              <w:pStyle w:val="133"/>
              <w:rPr>
                <w:b/>
                <w:bCs/>
              </w:rPr>
            </w:pPr>
            <w:r>
              <w:rPr>
                <w:rFonts w:hint="eastAsia"/>
                <w:b/>
                <w:bCs/>
              </w:rPr>
              <w:t>无组织排放量（t/a）</w:t>
            </w:r>
          </w:p>
        </w:tc>
      </w:tr>
      <w:tr w14:paraId="0331D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99" w:type="pct"/>
            <w:vAlign w:val="center"/>
          </w:tcPr>
          <w:p w14:paraId="1BAA277A">
            <w:pPr>
              <w:pStyle w:val="133"/>
            </w:pPr>
            <w:r>
              <w:rPr>
                <w:rFonts w:hint="eastAsia"/>
              </w:rPr>
              <w:t>装卸废气</w:t>
            </w:r>
          </w:p>
        </w:tc>
        <w:tc>
          <w:tcPr>
            <w:tcW w:w="977" w:type="pct"/>
            <w:vAlign w:val="center"/>
          </w:tcPr>
          <w:p w14:paraId="69B9230C">
            <w:pPr>
              <w:pStyle w:val="133"/>
            </w:pPr>
            <w:r>
              <w:rPr>
                <w:rFonts w:hint="eastAsia" w:eastAsia="等线"/>
                <w:szCs w:val="21"/>
              </w:rPr>
              <w:t>1.973</w:t>
            </w:r>
          </w:p>
        </w:tc>
        <w:tc>
          <w:tcPr>
            <w:tcW w:w="954" w:type="pct"/>
            <w:vAlign w:val="center"/>
          </w:tcPr>
          <w:p w14:paraId="7E82783E">
            <w:pPr>
              <w:pStyle w:val="133"/>
            </w:pPr>
            <w:r>
              <w:rPr>
                <w:rFonts w:eastAsia="等线"/>
                <w:szCs w:val="21"/>
              </w:rPr>
              <w:t>90</w:t>
            </w:r>
          </w:p>
        </w:tc>
        <w:tc>
          <w:tcPr>
            <w:tcW w:w="977" w:type="pct"/>
            <w:vAlign w:val="center"/>
          </w:tcPr>
          <w:p w14:paraId="6E4BF083">
            <w:pPr>
              <w:pStyle w:val="133"/>
            </w:pPr>
            <w:r>
              <w:rPr>
                <w:rFonts w:hint="eastAsia" w:eastAsia="等线"/>
                <w:szCs w:val="21"/>
              </w:rPr>
              <w:t>1.7757</w:t>
            </w:r>
          </w:p>
        </w:tc>
        <w:tc>
          <w:tcPr>
            <w:tcW w:w="1394" w:type="pct"/>
            <w:vAlign w:val="center"/>
          </w:tcPr>
          <w:p w14:paraId="7256B385">
            <w:pPr>
              <w:pStyle w:val="133"/>
            </w:pPr>
            <w:r>
              <w:rPr>
                <w:rFonts w:hint="eastAsia" w:eastAsia="等线"/>
                <w:szCs w:val="21"/>
              </w:rPr>
              <w:t>0.1973</w:t>
            </w:r>
          </w:p>
        </w:tc>
      </w:tr>
    </w:tbl>
    <w:p w14:paraId="2B3AE861">
      <w:pPr>
        <w:pStyle w:val="480"/>
        <w:ind w:firstLine="400"/>
      </w:pPr>
    </w:p>
    <w:p w14:paraId="0DF1A46A">
      <w:pPr>
        <w:ind w:firstLine="480"/>
      </w:pPr>
      <w:r>
        <w:rPr>
          <w:rFonts w:ascii="Cambria Math" w:hAnsi="Cambria Math" w:cs="Cambria Math"/>
        </w:rPr>
        <w:t>③</w:t>
      </w:r>
      <w:r>
        <w:rPr>
          <w:rFonts w:hint="eastAsia"/>
        </w:rPr>
        <w:t>2</w:t>
      </w:r>
      <w:r>
        <w:t>#VOCs处理装置污染源强</w:t>
      </w:r>
    </w:p>
    <w:p w14:paraId="0A3D3274">
      <w:pPr>
        <w:ind w:firstLine="480"/>
      </w:pPr>
      <w:r>
        <w:rPr>
          <w:rFonts w:hint="eastAsia"/>
        </w:rPr>
        <w:t>焦油中间槽、焦油罐废气采用</w:t>
      </w:r>
      <w:r>
        <w:t>密闭储罐配套密闭管道收集，</w:t>
      </w:r>
      <w:r>
        <w:rPr>
          <w:rFonts w:hint="eastAsia"/>
        </w:rPr>
        <w:t>煤焦油装车鹤管装车废气采用</w:t>
      </w:r>
      <w:r>
        <w:t>密闭空间负压收集，以上废气经</w:t>
      </w:r>
      <w:r>
        <w:rPr>
          <w:rFonts w:hint="eastAsia"/>
        </w:rPr>
        <w:t>2</w:t>
      </w:r>
      <w:r>
        <w:t>#VOCs处理装置系统采用“酸洗+碱洗+活性炭吸附-脱附+催化燃烧工艺”处理，根据同类企业巴里坤天汇利能源有限公司</w:t>
      </w:r>
      <w:r>
        <w:rPr>
          <w:rFonts w:hint="eastAsia"/>
        </w:rPr>
        <w:t>例行监测数据（监测报告见附件）</w:t>
      </w:r>
      <w:r>
        <w:t>，采用“酸洗+碱洗+活性炭吸附-脱附+催化燃烧工艺”</w:t>
      </w:r>
      <w:r>
        <w:rPr>
          <w:rFonts w:hint="eastAsia"/>
        </w:rPr>
        <w:t>对</w:t>
      </w:r>
      <w:r>
        <w:t>VOCs去除效率</w:t>
      </w:r>
      <w:r>
        <w:rPr>
          <w:rFonts w:hint="eastAsia"/>
        </w:rPr>
        <w:t>可以达到</w:t>
      </w:r>
      <w:r>
        <w:t>97%，处理后的废气经25m排气筒排放，污染物排放执行《炼焦化学工业污染物</w:t>
      </w:r>
      <w:r>
        <w:rPr>
          <w:rFonts w:hint="eastAsia"/>
        </w:rPr>
        <w:t>大气</w:t>
      </w:r>
      <w:r>
        <w:t>排放标准》</w:t>
      </w:r>
      <w:r>
        <w:rPr>
          <w:rFonts w:hint="eastAsia"/>
        </w:rPr>
        <w:t>（</w:t>
      </w:r>
      <w:r>
        <w:t>GB 16171</w:t>
      </w:r>
      <w:r>
        <w:rPr>
          <w:rFonts w:hint="eastAsia"/>
        </w:rPr>
        <w:t>.1</w:t>
      </w:r>
      <w:r>
        <w:t>-20</w:t>
      </w:r>
      <w:r>
        <w:rPr>
          <w:rFonts w:hint="eastAsia"/>
        </w:rPr>
        <w:t>24）</w:t>
      </w:r>
      <w:r>
        <w:t>中表</w:t>
      </w:r>
      <w:r>
        <w:rPr>
          <w:rFonts w:hint="eastAsia"/>
        </w:rPr>
        <w:t>1 大气污染物排放限值</w:t>
      </w:r>
      <w:r>
        <w:t>。</w:t>
      </w:r>
    </w:p>
    <w:p w14:paraId="68C54B9A">
      <w:pPr>
        <w:ind w:firstLine="480"/>
      </w:pPr>
      <w:r>
        <w:t>根据工艺设计方案，</w:t>
      </w:r>
      <w:r>
        <w:rPr>
          <w:rFonts w:hint="eastAsia"/>
        </w:rPr>
        <w:t>2</w:t>
      </w:r>
      <w:r>
        <w:t>#VOCs处理装置的VOCs废气量</w:t>
      </w:r>
      <w:r>
        <w:rPr>
          <w:rFonts w:hint="eastAsia"/>
        </w:rPr>
        <w:t>1</w:t>
      </w:r>
      <w:r>
        <w:t>000m³/h。根据VOCs气体负压收集系统收集的各装置废气源强，核算VOCs处理系统各废气污染物初始源强，</w:t>
      </w:r>
      <w:r>
        <w:rPr>
          <w:rFonts w:hint="eastAsia"/>
        </w:rPr>
        <w:t>2</w:t>
      </w:r>
      <w:r>
        <w:t>#VOCs处理装置有机废气产生、收集与排放情况，见表</w:t>
      </w:r>
      <w:r>
        <w:rPr>
          <w:rFonts w:hint="eastAsia"/>
        </w:rPr>
        <w:t>3.3</w:t>
      </w:r>
      <w:r>
        <w:t>-</w:t>
      </w:r>
      <w:r>
        <w:rPr>
          <w:rFonts w:hint="eastAsia"/>
        </w:rPr>
        <w:t>21</w:t>
      </w:r>
      <w:r>
        <w:t>。</w:t>
      </w:r>
    </w:p>
    <w:p w14:paraId="73F24D60">
      <w:pPr>
        <w:pStyle w:val="118"/>
      </w:pPr>
      <w:bookmarkStart w:id="300" w:name="_Hlk177575528"/>
      <w:r>
        <w:rPr>
          <w:rFonts w:hint="eastAsia"/>
        </w:rPr>
        <w:t>表3.3-21  2#VOCs处理装置有机废气产生、收集与排放情况一览表</w:t>
      </w:r>
    </w:p>
    <w:bookmarkEnd w:id="300"/>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79"/>
        <w:gridCol w:w="902"/>
        <w:gridCol w:w="1404"/>
        <w:gridCol w:w="2105"/>
        <w:gridCol w:w="1832"/>
      </w:tblGrid>
      <w:tr w14:paraId="5E2D12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337" w:type="pct"/>
            <w:vAlign w:val="center"/>
          </w:tcPr>
          <w:p w14:paraId="318F5470">
            <w:pPr>
              <w:pStyle w:val="133"/>
              <w:rPr>
                <w:b/>
                <w:bCs/>
                <w:szCs w:val="21"/>
              </w:rPr>
            </w:pPr>
            <w:r>
              <w:rPr>
                <w:rFonts w:hint="eastAsia"/>
                <w:b/>
                <w:bCs/>
                <w:szCs w:val="21"/>
              </w:rPr>
              <w:t>污染工段</w:t>
            </w:r>
          </w:p>
        </w:tc>
        <w:tc>
          <w:tcPr>
            <w:tcW w:w="529" w:type="pct"/>
            <w:vAlign w:val="center"/>
          </w:tcPr>
          <w:p w14:paraId="62A70A34">
            <w:pPr>
              <w:pStyle w:val="133"/>
              <w:rPr>
                <w:b/>
                <w:bCs/>
                <w:szCs w:val="21"/>
              </w:rPr>
            </w:pPr>
            <w:r>
              <w:rPr>
                <w:rFonts w:hint="eastAsia"/>
                <w:b/>
                <w:bCs/>
                <w:szCs w:val="21"/>
              </w:rPr>
              <w:t>单位</w:t>
            </w:r>
          </w:p>
        </w:tc>
        <w:tc>
          <w:tcPr>
            <w:tcW w:w="824" w:type="pct"/>
            <w:vAlign w:val="center"/>
          </w:tcPr>
          <w:p w14:paraId="3D3F4B9A">
            <w:pPr>
              <w:pStyle w:val="133"/>
              <w:rPr>
                <w:b/>
                <w:bCs/>
                <w:szCs w:val="21"/>
              </w:rPr>
            </w:pPr>
            <w:r>
              <w:rPr>
                <w:rFonts w:hint="eastAsia"/>
                <w:b/>
                <w:bCs/>
                <w:szCs w:val="21"/>
              </w:rPr>
              <w:t>非甲烷总烃</w:t>
            </w:r>
          </w:p>
        </w:tc>
        <w:tc>
          <w:tcPr>
            <w:tcW w:w="1235" w:type="pct"/>
            <w:vAlign w:val="center"/>
          </w:tcPr>
          <w:p w14:paraId="40441D33">
            <w:pPr>
              <w:pStyle w:val="133"/>
              <w:rPr>
                <w:b/>
                <w:bCs/>
                <w:szCs w:val="21"/>
              </w:rPr>
            </w:pPr>
            <w:r>
              <w:rPr>
                <w:rFonts w:hint="eastAsia"/>
                <w:b/>
                <w:bCs/>
                <w:szCs w:val="21"/>
              </w:rPr>
              <w:t>密闭形式</w:t>
            </w:r>
          </w:p>
        </w:tc>
        <w:tc>
          <w:tcPr>
            <w:tcW w:w="1075" w:type="pct"/>
            <w:vAlign w:val="center"/>
          </w:tcPr>
          <w:p w14:paraId="10210798">
            <w:pPr>
              <w:pStyle w:val="133"/>
              <w:rPr>
                <w:b/>
                <w:bCs/>
                <w:szCs w:val="21"/>
              </w:rPr>
            </w:pPr>
            <w:r>
              <w:rPr>
                <w:rFonts w:hint="eastAsia"/>
                <w:b/>
                <w:bCs/>
                <w:szCs w:val="21"/>
              </w:rPr>
              <w:t>收集效率（%）</w:t>
            </w:r>
          </w:p>
        </w:tc>
      </w:tr>
      <w:tr w14:paraId="28D23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37" w:type="pct"/>
            <w:vAlign w:val="center"/>
          </w:tcPr>
          <w:p w14:paraId="0228F95B">
            <w:pPr>
              <w:pStyle w:val="133"/>
              <w:rPr>
                <w:szCs w:val="21"/>
              </w:rPr>
            </w:pPr>
            <w:r>
              <w:rPr>
                <w:rFonts w:hint="eastAsia"/>
                <w:szCs w:val="21"/>
              </w:rPr>
              <w:t>焦油罐区</w:t>
            </w:r>
          </w:p>
        </w:tc>
        <w:tc>
          <w:tcPr>
            <w:tcW w:w="529" w:type="pct"/>
            <w:vAlign w:val="center"/>
          </w:tcPr>
          <w:p w14:paraId="78F2C10B">
            <w:pPr>
              <w:pStyle w:val="133"/>
              <w:rPr>
                <w:szCs w:val="21"/>
              </w:rPr>
            </w:pPr>
            <w:r>
              <w:rPr>
                <w:szCs w:val="21"/>
              </w:rPr>
              <w:t>kg/h</w:t>
            </w:r>
          </w:p>
        </w:tc>
        <w:tc>
          <w:tcPr>
            <w:tcW w:w="824" w:type="pct"/>
            <w:vAlign w:val="center"/>
          </w:tcPr>
          <w:p w14:paraId="13E4AA8D">
            <w:pPr>
              <w:pStyle w:val="133"/>
              <w:rPr>
                <w:szCs w:val="21"/>
              </w:rPr>
            </w:pPr>
            <w:r>
              <w:rPr>
                <w:rFonts w:eastAsia="等线" w:cs="Times New Roman"/>
                <w:color w:val="000000"/>
                <w:szCs w:val="21"/>
              </w:rPr>
              <w:t>1.3025</w:t>
            </w:r>
          </w:p>
        </w:tc>
        <w:tc>
          <w:tcPr>
            <w:tcW w:w="1235" w:type="pct"/>
            <w:vAlign w:val="center"/>
          </w:tcPr>
          <w:p w14:paraId="466FAED3">
            <w:pPr>
              <w:pStyle w:val="133"/>
              <w:rPr>
                <w:szCs w:val="21"/>
              </w:rPr>
            </w:pPr>
            <w:r>
              <w:rPr>
                <w:rFonts w:hint="eastAsia"/>
                <w:szCs w:val="21"/>
              </w:rPr>
              <w:t>密闭管道收集</w:t>
            </w:r>
          </w:p>
        </w:tc>
        <w:tc>
          <w:tcPr>
            <w:tcW w:w="1075" w:type="pct"/>
            <w:vAlign w:val="center"/>
          </w:tcPr>
          <w:p w14:paraId="4592B90E">
            <w:pPr>
              <w:pStyle w:val="133"/>
              <w:rPr>
                <w:szCs w:val="21"/>
              </w:rPr>
            </w:pPr>
            <w:r>
              <w:rPr>
                <w:rFonts w:hint="eastAsia"/>
                <w:szCs w:val="21"/>
              </w:rPr>
              <w:t>95</w:t>
            </w:r>
          </w:p>
        </w:tc>
      </w:tr>
      <w:tr w14:paraId="17767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37" w:type="pct"/>
            <w:vAlign w:val="center"/>
          </w:tcPr>
          <w:p w14:paraId="239CE664">
            <w:pPr>
              <w:pStyle w:val="133"/>
              <w:rPr>
                <w:szCs w:val="21"/>
              </w:rPr>
            </w:pPr>
            <w:r>
              <w:rPr>
                <w:rFonts w:hint="eastAsia"/>
                <w:szCs w:val="21"/>
              </w:rPr>
              <w:t>装车站</w:t>
            </w:r>
          </w:p>
        </w:tc>
        <w:tc>
          <w:tcPr>
            <w:tcW w:w="529" w:type="pct"/>
            <w:vAlign w:val="center"/>
          </w:tcPr>
          <w:p w14:paraId="553F40A6">
            <w:pPr>
              <w:pStyle w:val="133"/>
              <w:rPr>
                <w:szCs w:val="21"/>
              </w:rPr>
            </w:pPr>
            <w:r>
              <w:rPr>
                <w:szCs w:val="21"/>
              </w:rPr>
              <w:t>kg/h</w:t>
            </w:r>
          </w:p>
        </w:tc>
        <w:tc>
          <w:tcPr>
            <w:tcW w:w="824" w:type="pct"/>
            <w:vAlign w:val="center"/>
          </w:tcPr>
          <w:p w14:paraId="76A01497">
            <w:pPr>
              <w:pStyle w:val="133"/>
              <w:rPr>
                <w:szCs w:val="21"/>
              </w:rPr>
            </w:pPr>
            <w:r>
              <w:rPr>
                <w:rFonts w:eastAsia="等线" w:cs="Times New Roman"/>
                <w:color w:val="000000"/>
                <w:szCs w:val="21"/>
              </w:rPr>
              <w:t>0.2242</w:t>
            </w:r>
          </w:p>
        </w:tc>
        <w:tc>
          <w:tcPr>
            <w:tcW w:w="1235" w:type="pct"/>
            <w:vAlign w:val="center"/>
          </w:tcPr>
          <w:p w14:paraId="7642E175">
            <w:pPr>
              <w:pStyle w:val="133"/>
              <w:rPr>
                <w:szCs w:val="21"/>
              </w:rPr>
            </w:pPr>
            <w:r>
              <w:rPr>
                <w:rFonts w:hint="eastAsia"/>
                <w:szCs w:val="21"/>
              </w:rPr>
              <w:t>密闭空间负压收集</w:t>
            </w:r>
          </w:p>
        </w:tc>
        <w:tc>
          <w:tcPr>
            <w:tcW w:w="1075" w:type="pct"/>
            <w:vAlign w:val="center"/>
          </w:tcPr>
          <w:p w14:paraId="7ED04866">
            <w:pPr>
              <w:pStyle w:val="133"/>
              <w:rPr>
                <w:szCs w:val="21"/>
              </w:rPr>
            </w:pPr>
            <w:r>
              <w:rPr>
                <w:rFonts w:hint="eastAsia"/>
                <w:szCs w:val="21"/>
              </w:rPr>
              <w:t>90</w:t>
            </w:r>
          </w:p>
        </w:tc>
      </w:tr>
      <w:tr w14:paraId="2FB81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37" w:type="pct"/>
            <w:vMerge w:val="restart"/>
            <w:vAlign w:val="center"/>
          </w:tcPr>
          <w:p w14:paraId="37C6ACFF">
            <w:pPr>
              <w:pStyle w:val="133"/>
              <w:rPr>
                <w:szCs w:val="21"/>
              </w:rPr>
            </w:pPr>
            <w:r>
              <w:rPr>
                <w:szCs w:val="21"/>
              </w:rPr>
              <w:t>VOCs</w:t>
            </w:r>
            <w:r>
              <w:rPr>
                <w:rFonts w:hint="eastAsia"/>
                <w:szCs w:val="21"/>
              </w:rPr>
              <w:t>处理系统</w:t>
            </w:r>
          </w:p>
        </w:tc>
        <w:tc>
          <w:tcPr>
            <w:tcW w:w="529" w:type="pct"/>
            <w:vAlign w:val="center"/>
          </w:tcPr>
          <w:p w14:paraId="5BE79132">
            <w:pPr>
              <w:pStyle w:val="133"/>
              <w:rPr>
                <w:szCs w:val="21"/>
              </w:rPr>
            </w:pPr>
            <w:r>
              <w:rPr>
                <w:szCs w:val="21"/>
              </w:rPr>
              <w:t>kg/h</w:t>
            </w:r>
          </w:p>
        </w:tc>
        <w:tc>
          <w:tcPr>
            <w:tcW w:w="824" w:type="pct"/>
            <w:vAlign w:val="center"/>
          </w:tcPr>
          <w:p w14:paraId="5DBA0DD8">
            <w:pPr>
              <w:pStyle w:val="133"/>
              <w:rPr>
                <w:szCs w:val="21"/>
              </w:rPr>
            </w:pPr>
            <w:r>
              <w:rPr>
                <w:rFonts w:eastAsia="等线" w:cs="Times New Roman"/>
                <w:color w:val="000000"/>
                <w:szCs w:val="21"/>
              </w:rPr>
              <w:t>1.53</w:t>
            </w:r>
          </w:p>
        </w:tc>
        <w:tc>
          <w:tcPr>
            <w:tcW w:w="1235" w:type="pct"/>
            <w:vAlign w:val="center"/>
          </w:tcPr>
          <w:p w14:paraId="45B1F9C6">
            <w:pPr>
              <w:pStyle w:val="133"/>
              <w:rPr>
                <w:szCs w:val="21"/>
              </w:rPr>
            </w:pPr>
          </w:p>
        </w:tc>
        <w:tc>
          <w:tcPr>
            <w:tcW w:w="1075" w:type="pct"/>
            <w:vAlign w:val="center"/>
          </w:tcPr>
          <w:p w14:paraId="57C806C2">
            <w:pPr>
              <w:pStyle w:val="133"/>
              <w:rPr>
                <w:szCs w:val="21"/>
              </w:rPr>
            </w:pPr>
          </w:p>
        </w:tc>
      </w:tr>
      <w:tr w14:paraId="1D069E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37" w:type="pct"/>
            <w:vMerge w:val="continue"/>
            <w:vAlign w:val="center"/>
          </w:tcPr>
          <w:p w14:paraId="43F9110E">
            <w:pPr>
              <w:pStyle w:val="133"/>
              <w:rPr>
                <w:szCs w:val="21"/>
              </w:rPr>
            </w:pPr>
          </w:p>
        </w:tc>
        <w:tc>
          <w:tcPr>
            <w:tcW w:w="529" w:type="pct"/>
            <w:vAlign w:val="center"/>
          </w:tcPr>
          <w:p w14:paraId="451029E4">
            <w:pPr>
              <w:pStyle w:val="133"/>
              <w:rPr>
                <w:szCs w:val="21"/>
              </w:rPr>
            </w:pPr>
            <w:r>
              <w:rPr>
                <w:szCs w:val="21"/>
              </w:rPr>
              <w:t>mg/m</w:t>
            </w:r>
            <w:r>
              <w:rPr>
                <w:rFonts w:hint="eastAsia"/>
                <w:szCs w:val="21"/>
              </w:rPr>
              <w:t>³</w:t>
            </w:r>
          </w:p>
        </w:tc>
        <w:tc>
          <w:tcPr>
            <w:tcW w:w="824" w:type="pct"/>
            <w:vAlign w:val="center"/>
          </w:tcPr>
          <w:p w14:paraId="1823E792">
            <w:pPr>
              <w:widowControl/>
              <w:spacing w:line="240" w:lineRule="auto"/>
              <w:ind w:firstLine="0" w:firstLineChars="0"/>
              <w:jc w:val="center"/>
              <w:rPr>
                <w:sz w:val="21"/>
                <w:szCs w:val="21"/>
              </w:rPr>
            </w:pPr>
            <w:r>
              <w:rPr>
                <w:rFonts w:eastAsia="等线"/>
                <w:color w:val="000000"/>
                <w:sz w:val="21"/>
                <w:szCs w:val="21"/>
              </w:rPr>
              <w:t>1526.71</w:t>
            </w:r>
          </w:p>
        </w:tc>
        <w:tc>
          <w:tcPr>
            <w:tcW w:w="1235" w:type="pct"/>
            <w:vAlign w:val="center"/>
          </w:tcPr>
          <w:p w14:paraId="34779A6A">
            <w:pPr>
              <w:pStyle w:val="133"/>
              <w:rPr>
                <w:szCs w:val="21"/>
              </w:rPr>
            </w:pPr>
          </w:p>
        </w:tc>
        <w:tc>
          <w:tcPr>
            <w:tcW w:w="1075" w:type="pct"/>
            <w:vAlign w:val="center"/>
          </w:tcPr>
          <w:p w14:paraId="6B6BAE32">
            <w:pPr>
              <w:pStyle w:val="133"/>
              <w:rPr>
                <w:szCs w:val="21"/>
              </w:rPr>
            </w:pPr>
          </w:p>
        </w:tc>
      </w:tr>
      <w:tr w14:paraId="3BF397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37" w:type="pct"/>
            <w:vMerge w:val="restart"/>
            <w:vAlign w:val="center"/>
          </w:tcPr>
          <w:p w14:paraId="21F251F9">
            <w:pPr>
              <w:pStyle w:val="133"/>
              <w:rPr>
                <w:szCs w:val="21"/>
              </w:rPr>
            </w:pPr>
            <w:r>
              <w:rPr>
                <w:szCs w:val="21"/>
              </w:rPr>
              <w:t>VOCs</w:t>
            </w:r>
            <w:r>
              <w:rPr>
                <w:rFonts w:hint="eastAsia"/>
                <w:szCs w:val="21"/>
              </w:rPr>
              <w:t>处理排放源强</w:t>
            </w:r>
          </w:p>
        </w:tc>
        <w:tc>
          <w:tcPr>
            <w:tcW w:w="529" w:type="pct"/>
            <w:vAlign w:val="center"/>
          </w:tcPr>
          <w:p w14:paraId="683F8AEE">
            <w:pPr>
              <w:pStyle w:val="133"/>
              <w:rPr>
                <w:szCs w:val="21"/>
              </w:rPr>
            </w:pPr>
            <w:r>
              <w:rPr>
                <w:szCs w:val="21"/>
              </w:rPr>
              <w:t>kg/h</w:t>
            </w:r>
          </w:p>
        </w:tc>
        <w:tc>
          <w:tcPr>
            <w:tcW w:w="824" w:type="pct"/>
            <w:vAlign w:val="center"/>
          </w:tcPr>
          <w:p w14:paraId="68C1C59E">
            <w:pPr>
              <w:pStyle w:val="133"/>
              <w:rPr>
                <w:szCs w:val="21"/>
              </w:rPr>
            </w:pPr>
            <w:r>
              <w:rPr>
                <w:rFonts w:eastAsia="等线" w:cs="Times New Roman"/>
                <w:color w:val="000000"/>
                <w:szCs w:val="21"/>
              </w:rPr>
              <w:t>0.05</w:t>
            </w:r>
          </w:p>
        </w:tc>
        <w:tc>
          <w:tcPr>
            <w:tcW w:w="1235" w:type="pct"/>
            <w:vAlign w:val="center"/>
          </w:tcPr>
          <w:p w14:paraId="6CC73395">
            <w:pPr>
              <w:pStyle w:val="133"/>
              <w:rPr>
                <w:szCs w:val="21"/>
              </w:rPr>
            </w:pPr>
          </w:p>
        </w:tc>
        <w:tc>
          <w:tcPr>
            <w:tcW w:w="1075" w:type="pct"/>
            <w:vAlign w:val="center"/>
          </w:tcPr>
          <w:p w14:paraId="3112DEA1">
            <w:pPr>
              <w:pStyle w:val="133"/>
              <w:rPr>
                <w:szCs w:val="21"/>
              </w:rPr>
            </w:pPr>
          </w:p>
        </w:tc>
      </w:tr>
      <w:tr w14:paraId="5B74B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37" w:type="pct"/>
            <w:vMerge w:val="continue"/>
            <w:vAlign w:val="center"/>
          </w:tcPr>
          <w:p w14:paraId="0B1896AD">
            <w:pPr>
              <w:pStyle w:val="133"/>
              <w:rPr>
                <w:szCs w:val="21"/>
              </w:rPr>
            </w:pPr>
          </w:p>
        </w:tc>
        <w:tc>
          <w:tcPr>
            <w:tcW w:w="529" w:type="pct"/>
            <w:vAlign w:val="center"/>
          </w:tcPr>
          <w:p w14:paraId="49591F13">
            <w:pPr>
              <w:pStyle w:val="133"/>
              <w:rPr>
                <w:szCs w:val="21"/>
              </w:rPr>
            </w:pPr>
            <w:r>
              <w:rPr>
                <w:szCs w:val="21"/>
              </w:rPr>
              <w:t>mg/m</w:t>
            </w:r>
            <w:r>
              <w:rPr>
                <w:rFonts w:hint="eastAsia"/>
                <w:szCs w:val="21"/>
              </w:rPr>
              <w:t>³</w:t>
            </w:r>
          </w:p>
        </w:tc>
        <w:tc>
          <w:tcPr>
            <w:tcW w:w="824" w:type="pct"/>
            <w:vAlign w:val="center"/>
          </w:tcPr>
          <w:p w14:paraId="7B09E687">
            <w:pPr>
              <w:pStyle w:val="133"/>
              <w:rPr>
                <w:szCs w:val="21"/>
              </w:rPr>
            </w:pPr>
            <w:r>
              <w:rPr>
                <w:rFonts w:hint="eastAsia" w:eastAsia="等线" w:cs="Times New Roman"/>
                <w:color w:val="000000"/>
                <w:szCs w:val="21"/>
              </w:rPr>
              <w:t>45.80</w:t>
            </w:r>
          </w:p>
        </w:tc>
        <w:tc>
          <w:tcPr>
            <w:tcW w:w="1235" w:type="pct"/>
            <w:vAlign w:val="center"/>
          </w:tcPr>
          <w:p w14:paraId="45DDC5F3">
            <w:pPr>
              <w:pStyle w:val="133"/>
              <w:rPr>
                <w:szCs w:val="21"/>
              </w:rPr>
            </w:pPr>
          </w:p>
        </w:tc>
        <w:tc>
          <w:tcPr>
            <w:tcW w:w="1075" w:type="pct"/>
            <w:vAlign w:val="center"/>
          </w:tcPr>
          <w:p w14:paraId="67FFCD52">
            <w:pPr>
              <w:pStyle w:val="133"/>
              <w:rPr>
                <w:szCs w:val="21"/>
              </w:rPr>
            </w:pPr>
          </w:p>
        </w:tc>
      </w:tr>
      <w:tr w14:paraId="21991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337" w:type="pct"/>
            <w:vAlign w:val="center"/>
          </w:tcPr>
          <w:p w14:paraId="28D102CD">
            <w:pPr>
              <w:pStyle w:val="133"/>
              <w:rPr>
                <w:szCs w:val="21"/>
              </w:rPr>
            </w:pPr>
            <w:r>
              <w:rPr>
                <w:rFonts w:hint="eastAsia"/>
                <w:szCs w:val="21"/>
              </w:rPr>
              <w:t>排放标准</w:t>
            </w:r>
          </w:p>
        </w:tc>
        <w:tc>
          <w:tcPr>
            <w:tcW w:w="529" w:type="pct"/>
            <w:vAlign w:val="center"/>
          </w:tcPr>
          <w:p w14:paraId="75654018">
            <w:pPr>
              <w:pStyle w:val="133"/>
              <w:rPr>
                <w:szCs w:val="21"/>
              </w:rPr>
            </w:pPr>
            <w:r>
              <w:rPr>
                <w:szCs w:val="21"/>
              </w:rPr>
              <w:t>mg/m</w:t>
            </w:r>
            <w:r>
              <w:rPr>
                <w:rFonts w:hint="eastAsia"/>
                <w:szCs w:val="21"/>
              </w:rPr>
              <w:t>³</w:t>
            </w:r>
          </w:p>
        </w:tc>
        <w:tc>
          <w:tcPr>
            <w:tcW w:w="824" w:type="pct"/>
            <w:vAlign w:val="center"/>
          </w:tcPr>
          <w:p w14:paraId="4858DFD0">
            <w:pPr>
              <w:pStyle w:val="133"/>
              <w:rPr>
                <w:szCs w:val="21"/>
              </w:rPr>
            </w:pPr>
            <w:r>
              <w:rPr>
                <w:rFonts w:hint="eastAsia" w:eastAsia="等线"/>
                <w:szCs w:val="21"/>
              </w:rPr>
              <w:t>50</w:t>
            </w:r>
          </w:p>
        </w:tc>
        <w:tc>
          <w:tcPr>
            <w:tcW w:w="1235" w:type="pct"/>
            <w:vAlign w:val="center"/>
          </w:tcPr>
          <w:p w14:paraId="148F1B96">
            <w:pPr>
              <w:pStyle w:val="133"/>
              <w:rPr>
                <w:rFonts w:eastAsia="等线"/>
                <w:szCs w:val="21"/>
              </w:rPr>
            </w:pPr>
          </w:p>
        </w:tc>
        <w:tc>
          <w:tcPr>
            <w:tcW w:w="1075" w:type="pct"/>
            <w:vAlign w:val="center"/>
          </w:tcPr>
          <w:p w14:paraId="512207FB">
            <w:pPr>
              <w:pStyle w:val="133"/>
              <w:rPr>
                <w:rFonts w:eastAsia="等线"/>
                <w:szCs w:val="21"/>
              </w:rPr>
            </w:pPr>
          </w:p>
        </w:tc>
      </w:tr>
    </w:tbl>
    <w:p w14:paraId="08BE1186">
      <w:pPr>
        <w:pStyle w:val="480"/>
        <w:ind w:firstLine="400"/>
        <w:rPr>
          <w:lang w:val="en-US"/>
        </w:rPr>
      </w:pPr>
    </w:p>
    <w:p w14:paraId="7EB2FA3F">
      <w:pPr>
        <w:ind w:firstLine="480"/>
      </w:pPr>
      <w:r>
        <w:rPr>
          <w:rFonts w:hint="eastAsia"/>
        </w:rPr>
        <w:t>兰炭生产线有组织废气污染源汇总，见表3.3-22。</w:t>
      </w:r>
    </w:p>
    <w:p w14:paraId="33374869">
      <w:pPr>
        <w:pStyle w:val="16"/>
        <w:ind w:firstLine="400"/>
        <w:sectPr>
          <w:pgSz w:w="11906" w:h="16838"/>
          <w:pgMar w:top="1440" w:right="1800" w:bottom="1440" w:left="1800" w:header="850" w:footer="850" w:gutter="0"/>
          <w:cols w:space="425" w:num="1"/>
          <w:docGrid w:type="lines" w:linePitch="326" w:charSpace="0"/>
        </w:sectPr>
      </w:pPr>
      <w:bookmarkStart w:id="301" w:name="_Hlk177587919"/>
    </w:p>
    <w:p w14:paraId="6AE1B1FE">
      <w:pPr>
        <w:pStyle w:val="118"/>
      </w:pPr>
      <w:r>
        <w:t>表</w:t>
      </w:r>
      <w:r>
        <w:rPr>
          <w:rFonts w:hint="eastAsia"/>
        </w:rPr>
        <w:t>3.3-22  本项目兰炭生产线</w:t>
      </w:r>
      <w:r>
        <w:t>有组织废气污染源汇总</w:t>
      </w:r>
      <w:r>
        <w:rPr>
          <w:rFonts w:hint="eastAsia"/>
        </w:rPr>
        <w:t>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4"/>
        <w:gridCol w:w="965"/>
        <w:gridCol w:w="916"/>
        <w:gridCol w:w="854"/>
        <w:gridCol w:w="1276"/>
        <w:gridCol w:w="1309"/>
        <w:gridCol w:w="957"/>
        <w:gridCol w:w="887"/>
        <w:gridCol w:w="1362"/>
        <w:gridCol w:w="863"/>
        <w:gridCol w:w="912"/>
        <w:gridCol w:w="1019"/>
        <w:gridCol w:w="455"/>
        <w:gridCol w:w="484"/>
        <w:gridCol w:w="444"/>
        <w:gridCol w:w="637"/>
      </w:tblGrid>
      <w:tr w14:paraId="219E36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96" w:type="pct"/>
            <w:vMerge w:val="restart"/>
            <w:vAlign w:val="center"/>
          </w:tcPr>
          <w:p w14:paraId="6F7652E9">
            <w:pPr>
              <w:pStyle w:val="133"/>
              <w:rPr>
                <w:b/>
                <w:bCs/>
              </w:rPr>
            </w:pPr>
            <w:r>
              <w:rPr>
                <w:b/>
                <w:bCs/>
              </w:rPr>
              <w:t>编号</w:t>
            </w:r>
          </w:p>
        </w:tc>
        <w:tc>
          <w:tcPr>
            <w:tcW w:w="342" w:type="pct"/>
            <w:vMerge w:val="restart"/>
            <w:vAlign w:val="center"/>
          </w:tcPr>
          <w:p w14:paraId="29579561">
            <w:pPr>
              <w:pStyle w:val="133"/>
              <w:rPr>
                <w:b/>
                <w:bCs/>
              </w:rPr>
            </w:pPr>
            <w:r>
              <w:rPr>
                <w:b/>
                <w:bCs/>
              </w:rPr>
              <w:t>装置</w:t>
            </w:r>
          </w:p>
          <w:p w14:paraId="200A70E6">
            <w:pPr>
              <w:pStyle w:val="133"/>
              <w:rPr>
                <w:b/>
                <w:bCs/>
              </w:rPr>
            </w:pPr>
            <w:r>
              <w:rPr>
                <w:b/>
                <w:bCs/>
              </w:rPr>
              <w:t>名称</w:t>
            </w:r>
          </w:p>
        </w:tc>
        <w:tc>
          <w:tcPr>
            <w:tcW w:w="325" w:type="pct"/>
            <w:vMerge w:val="restart"/>
            <w:vAlign w:val="center"/>
          </w:tcPr>
          <w:p w14:paraId="4B99E60B">
            <w:pPr>
              <w:pStyle w:val="133"/>
              <w:rPr>
                <w:b/>
                <w:bCs/>
              </w:rPr>
            </w:pPr>
            <w:r>
              <w:rPr>
                <w:b/>
                <w:bCs/>
              </w:rPr>
              <w:t>污染源</w:t>
            </w:r>
          </w:p>
        </w:tc>
        <w:tc>
          <w:tcPr>
            <w:tcW w:w="303" w:type="pct"/>
            <w:vMerge w:val="restart"/>
            <w:vAlign w:val="center"/>
          </w:tcPr>
          <w:p w14:paraId="6A1B2091">
            <w:pPr>
              <w:pStyle w:val="133"/>
              <w:rPr>
                <w:b/>
                <w:bCs/>
              </w:rPr>
            </w:pPr>
            <w:r>
              <w:rPr>
                <w:b/>
                <w:bCs/>
              </w:rPr>
              <w:t>废气量</w:t>
            </w:r>
          </w:p>
          <w:p w14:paraId="2DBD3C16">
            <w:pPr>
              <w:pStyle w:val="133"/>
              <w:rPr>
                <w:b/>
                <w:bCs/>
              </w:rPr>
            </w:pPr>
            <w:r>
              <w:rPr>
                <w:b/>
                <w:bCs/>
              </w:rPr>
              <w:t>N</w:t>
            </w:r>
            <w:r>
              <w:rPr>
                <w:rFonts w:hint="eastAsia"/>
                <w:b/>
                <w:bCs/>
              </w:rPr>
              <w:t>m³</w:t>
            </w:r>
            <w:r>
              <w:rPr>
                <w:b/>
                <w:bCs/>
              </w:rPr>
              <w:t>/h</w:t>
            </w:r>
          </w:p>
        </w:tc>
        <w:tc>
          <w:tcPr>
            <w:tcW w:w="452" w:type="pct"/>
            <w:vMerge w:val="restart"/>
            <w:vAlign w:val="center"/>
          </w:tcPr>
          <w:p w14:paraId="4FB6D090">
            <w:pPr>
              <w:pStyle w:val="133"/>
              <w:rPr>
                <w:b/>
                <w:bCs/>
              </w:rPr>
            </w:pPr>
            <w:r>
              <w:rPr>
                <w:b/>
                <w:bCs/>
              </w:rPr>
              <w:t>污染物</w:t>
            </w:r>
          </w:p>
        </w:tc>
        <w:tc>
          <w:tcPr>
            <w:tcW w:w="463" w:type="pct"/>
            <w:vMerge w:val="restart"/>
            <w:vAlign w:val="center"/>
          </w:tcPr>
          <w:p w14:paraId="336C0379">
            <w:pPr>
              <w:pStyle w:val="133"/>
              <w:rPr>
                <w:b/>
                <w:bCs/>
              </w:rPr>
            </w:pPr>
            <w:r>
              <w:rPr>
                <w:rFonts w:hint="eastAsia"/>
                <w:b/>
                <w:bCs/>
              </w:rPr>
              <w:t>核算</w:t>
            </w:r>
          </w:p>
          <w:p w14:paraId="51CE06A8">
            <w:pPr>
              <w:pStyle w:val="133"/>
              <w:rPr>
                <w:b/>
                <w:bCs/>
              </w:rPr>
            </w:pPr>
            <w:r>
              <w:rPr>
                <w:rFonts w:hint="eastAsia"/>
                <w:b/>
                <w:bCs/>
              </w:rPr>
              <w:t>方法</w:t>
            </w:r>
          </w:p>
        </w:tc>
        <w:tc>
          <w:tcPr>
            <w:tcW w:w="628" w:type="pct"/>
            <w:gridSpan w:val="2"/>
            <w:vAlign w:val="center"/>
          </w:tcPr>
          <w:p w14:paraId="67E242BB">
            <w:pPr>
              <w:pStyle w:val="133"/>
              <w:rPr>
                <w:b/>
                <w:bCs/>
              </w:rPr>
            </w:pPr>
            <w:r>
              <w:rPr>
                <w:rFonts w:hint="eastAsia"/>
                <w:b/>
                <w:bCs/>
              </w:rPr>
              <w:t>污染物产生</w:t>
            </w:r>
          </w:p>
        </w:tc>
        <w:tc>
          <w:tcPr>
            <w:tcW w:w="788" w:type="pct"/>
            <w:gridSpan w:val="2"/>
            <w:vMerge w:val="restart"/>
            <w:vAlign w:val="center"/>
          </w:tcPr>
          <w:p w14:paraId="6E26E8C1">
            <w:pPr>
              <w:pStyle w:val="133"/>
              <w:rPr>
                <w:b/>
                <w:bCs/>
              </w:rPr>
            </w:pPr>
            <w:r>
              <w:rPr>
                <w:b/>
                <w:bCs/>
              </w:rPr>
              <w:t>治理措施</w:t>
            </w:r>
          </w:p>
        </w:tc>
        <w:tc>
          <w:tcPr>
            <w:tcW w:w="684" w:type="pct"/>
            <w:gridSpan w:val="2"/>
            <w:vAlign w:val="center"/>
          </w:tcPr>
          <w:p w14:paraId="65BC38BC">
            <w:pPr>
              <w:pStyle w:val="133"/>
              <w:rPr>
                <w:b/>
                <w:bCs/>
              </w:rPr>
            </w:pPr>
            <w:r>
              <w:rPr>
                <w:rFonts w:hint="eastAsia"/>
                <w:b/>
                <w:bCs/>
              </w:rPr>
              <w:t>污染物排放</w:t>
            </w:r>
          </w:p>
        </w:tc>
        <w:tc>
          <w:tcPr>
            <w:tcW w:w="492" w:type="pct"/>
            <w:gridSpan w:val="3"/>
            <w:vAlign w:val="center"/>
          </w:tcPr>
          <w:p w14:paraId="00D9719F">
            <w:pPr>
              <w:pStyle w:val="133"/>
              <w:rPr>
                <w:b/>
                <w:bCs/>
              </w:rPr>
            </w:pPr>
            <w:r>
              <w:rPr>
                <w:b/>
                <w:bCs/>
              </w:rPr>
              <w:t>排放参数</w:t>
            </w:r>
          </w:p>
        </w:tc>
        <w:tc>
          <w:tcPr>
            <w:tcW w:w="228" w:type="pct"/>
            <w:vMerge w:val="restart"/>
            <w:vAlign w:val="center"/>
          </w:tcPr>
          <w:p w14:paraId="30E894C3">
            <w:pPr>
              <w:pStyle w:val="133"/>
              <w:rPr>
                <w:b/>
                <w:bCs/>
              </w:rPr>
            </w:pPr>
            <w:r>
              <w:rPr>
                <w:rFonts w:hint="eastAsia"/>
                <w:b/>
                <w:bCs/>
              </w:rPr>
              <w:t>排放</w:t>
            </w:r>
          </w:p>
          <w:p w14:paraId="659FD8ED">
            <w:pPr>
              <w:pStyle w:val="133"/>
              <w:rPr>
                <w:b/>
                <w:bCs/>
              </w:rPr>
            </w:pPr>
            <w:r>
              <w:rPr>
                <w:b/>
                <w:bCs/>
              </w:rPr>
              <w:t>时间</w:t>
            </w:r>
          </w:p>
          <w:p w14:paraId="4051EA81">
            <w:pPr>
              <w:pStyle w:val="133"/>
              <w:rPr>
                <w:b/>
                <w:bCs/>
              </w:rPr>
            </w:pPr>
            <w:r>
              <w:rPr>
                <w:b/>
                <w:bCs/>
              </w:rPr>
              <w:t>h</w:t>
            </w:r>
          </w:p>
        </w:tc>
      </w:tr>
      <w:tr w14:paraId="601EA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6" w:hRule="atLeast"/>
          <w:tblHeader/>
        </w:trPr>
        <w:tc>
          <w:tcPr>
            <w:tcW w:w="296" w:type="pct"/>
            <w:vMerge w:val="continue"/>
            <w:vAlign w:val="center"/>
          </w:tcPr>
          <w:p w14:paraId="4D96D15D">
            <w:pPr>
              <w:pStyle w:val="133"/>
            </w:pPr>
          </w:p>
        </w:tc>
        <w:tc>
          <w:tcPr>
            <w:tcW w:w="342" w:type="pct"/>
            <w:vMerge w:val="continue"/>
            <w:vAlign w:val="center"/>
          </w:tcPr>
          <w:p w14:paraId="2DEAB401">
            <w:pPr>
              <w:pStyle w:val="133"/>
            </w:pPr>
          </w:p>
        </w:tc>
        <w:tc>
          <w:tcPr>
            <w:tcW w:w="325" w:type="pct"/>
            <w:vMerge w:val="continue"/>
            <w:vAlign w:val="center"/>
          </w:tcPr>
          <w:p w14:paraId="20084E53">
            <w:pPr>
              <w:pStyle w:val="133"/>
            </w:pPr>
          </w:p>
        </w:tc>
        <w:tc>
          <w:tcPr>
            <w:tcW w:w="303" w:type="pct"/>
            <w:vMerge w:val="continue"/>
            <w:vAlign w:val="center"/>
          </w:tcPr>
          <w:p w14:paraId="79B19653">
            <w:pPr>
              <w:pStyle w:val="133"/>
            </w:pPr>
          </w:p>
        </w:tc>
        <w:tc>
          <w:tcPr>
            <w:tcW w:w="452" w:type="pct"/>
            <w:vMerge w:val="continue"/>
            <w:vAlign w:val="center"/>
          </w:tcPr>
          <w:p w14:paraId="2CE0D5A1">
            <w:pPr>
              <w:pStyle w:val="133"/>
            </w:pPr>
          </w:p>
        </w:tc>
        <w:tc>
          <w:tcPr>
            <w:tcW w:w="463" w:type="pct"/>
            <w:vMerge w:val="continue"/>
            <w:vAlign w:val="center"/>
          </w:tcPr>
          <w:p w14:paraId="4870557C">
            <w:pPr>
              <w:pStyle w:val="133"/>
            </w:pPr>
          </w:p>
        </w:tc>
        <w:tc>
          <w:tcPr>
            <w:tcW w:w="339" w:type="pct"/>
            <w:vMerge w:val="restart"/>
            <w:vAlign w:val="center"/>
          </w:tcPr>
          <w:p w14:paraId="188C4147">
            <w:pPr>
              <w:pStyle w:val="133"/>
              <w:rPr>
                <w:b/>
                <w:bCs/>
              </w:rPr>
            </w:pPr>
            <w:r>
              <w:rPr>
                <w:rFonts w:hint="eastAsia"/>
                <w:b/>
                <w:bCs/>
              </w:rPr>
              <w:t>浓度</w:t>
            </w:r>
          </w:p>
          <w:p w14:paraId="57B1025B">
            <w:pPr>
              <w:pStyle w:val="133"/>
              <w:rPr>
                <w:b/>
                <w:bCs/>
              </w:rPr>
            </w:pPr>
            <w:r>
              <w:rPr>
                <w:b/>
                <w:bCs/>
              </w:rPr>
              <w:t>mg/</w:t>
            </w:r>
            <w:r>
              <w:rPr>
                <w:rFonts w:hint="eastAsia"/>
                <w:b/>
                <w:bCs/>
              </w:rPr>
              <w:t>m³</w:t>
            </w:r>
          </w:p>
        </w:tc>
        <w:tc>
          <w:tcPr>
            <w:tcW w:w="290" w:type="pct"/>
            <w:vMerge w:val="restart"/>
            <w:vAlign w:val="center"/>
          </w:tcPr>
          <w:p w14:paraId="3CB4346D">
            <w:pPr>
              <w:pStyle w:val="133"/>
              <w:rPr>
                <w:b/>
                <w:bCs/>
              </w:rPr>
            </w:pPr>
            <w:r>
              <w:rPr>
                <w:rFonts w:hint="eastAsia"/>
                <w:b/>
                <w:bCs/>
              </w:rPr>
              <w:t>产生量</w:t>
            </w:r>
          </w:p>
          <w:p w14:paraId="684C0B7E">
            <w:pPr>
              <w:pStyle w:val="133"/>
              <w:rPr>
                <w:b/>
                <w:bCs/>
              </w:rPr>
            </w:pPr>
            <w:r>
              <w:rPr>
                <w:b/>
                <w:bCs/>
              </w:rPr>
              <w:t>kg/h</w:t>
            </w:r>
          </w:p>
        </w:tc>
        <w:tc>
          <w:tcPr>
            <w:tcW w:w="788" w:type="pct"/>
            <w:gridSpan w:val="2"/>
            <w:vMerge w:val="continue"/>
            <w:vAlign w:val="center"/>
          </w:tcPr>
          <w:p w14:paraId="4861CF11">
            <w:pPr>
              <w:pStyle w:val="133"/>
              <w:rPr>
                <w:b/>
                <w:bCs/>
              </w:rPr>
            </w:pPr>
          </w:p>
        </w:tc>
        <w:tc>
          <w:tcPr>
            <w:tcW w:w="323" w:type="pct"/>
            <w:vMerge w:val="restart"/>
            <w:vAlign w:val="center"/>
          </w:tcPr>
          <w:p w14:paraId="6B51A766">
            <w:pPr>
              <w:pStyle w:val="133"/>
              <w:rPr>
                <w:b/>
                <w:bCs/>
              </w:rPr>
            </w:pPr>
            <w:r>
              <w:rPr>
                <w:rFonts w:hint="eastAsia"/>
                <w:b/>
                <w:bCs/>
              </w:rPr>
              <w:t>浓度</w:t>
            </w:r>
          </w:p>
          <w:p w14:paraId="368FE74C">
            <w:pPr>
              <w:pStyle w:val="133"/>
              <w:rPr>
                <w:b/>
                <w:bCs/>
              </w:rPr>
            </w:pPr>
            <w:r>
              <w:rPr>
                <w:b/>
                <w:bCs/>
              </w:rPr>
              <w:t>mg/</w:t>
            </w:r>
            <w:r>
              <w:rPr>
                <w:rFonts w:hint="eastAsia"/>
                <w:b/>
                <w:bCs/>
              </w:rPr>
              <w:t>m³</w:t>
            </w:r>
          </w:p>
        </w:tc>
        <w:tc>
          <w:tcPr>
            <w:tcW w:w="361" w:type="pct"/>
            <w:vMerge w:val="restart"/>
            <w:vAlign w:val="center"/>
          </w:tcPr>
          <w:p w14:paraId="49A9102C">
            <w:pPr>
              <w:pStyle w:val="133"/>
              <w:rPr>
                <w:b/>
                <w:bCs/>
              </w:rPr>
            </w:pPr>
            <w:r>
              <w:rPr>
                <w:rFonts w:hint="eastAsia"/>
                <w:b/>
                <w:bCs/>
              </w:rPr>
              <w:t>排放量</w:t>
            </w:r>
          </w:p>
          <w:p w14:paraId="75DE3F59">
            <w:pPr>
              <w:pStyle w:val="133"/>
              <w:rPr>
                <w:b/>
                <w:bCs/>
              </w:rPr>
            </w:pPr>
            <w:r>
              <w:rPr>
                <w:b/>
                <w:bCs/>
              </w:rPr>
              <w:t>kg/h</w:t>
            </w:r>
          </w:p>
        </w:tc>
        <w:tc>
          <w:tcPr>
            <w:tcW w:w="162" w:type="pct"/>
            <w:vMerge w:val="restart"/>
            <w:vAlign w:val="center"/>
          </w:tcPr>
          <w:p w14:paraId="6A313197">
            <w:pPr>
              <w:pStyle w:val="133"/>
              <w:rPr>
                <w:b/>
                <w:bCs/>
              </w:rPr>
            </w:pPr>
            <w:r>
              <w:rPr>
                <w:b/>
                <w:bCs/>
              </w:rPr>
              <w:t>高度</w:t>
            </w:r>
          </w:p>
          <w:p w14:paraId="7C485C39">
            <w:pPr>
              <w:pStyle w:val="133"/>
              <w:rPr>
                <w:b/>
                <w:bCs/>
              </w:rPr>
            </w:pPr>
            <w:r>
              <w:rPr>
                <w:b/>
                <w:bCs/>
              </w:rPr>
              <w:t>m</w:t>
            </w:r>
          </w:p>
        </w:tc>
        <w:tc>
          <w:tcPr>
            <w:tcW w:w="172" w:type="pct"/>
            <w:vMerge w:val="restart"/>
            <w:vAlign w:val="center"/>
          </w:tcPr>
          <w:p w14:paraId="7F06E5E6">
            <w:pPr>
              <w:pStyle w:val="133"/>
              <w:rPr>
                <w:b/>
                <w:bCs/>
              </w:rPr>
            </w:pPr>
            <w:r>
              <w:rPr>
                <w:b/>
                <w:bCs/>
              </w:rPr>
              <w:t>内径</w:t>
            </w:r>
          </w:p>
          <w:p w14:paraId="46AE97AC">
            <w:pPr>
              <w:pStyle w:val="133"/>
              <w:rPr>
                <w:b/>
                <w:bCs/>
              </w:rPr>
            </w:pPr>
            <w:r>
              <w:rPr>
                <w:b/>
                <w:bCs/>
              </w:rPr>
              <w:t>m</w:t>
            </w:r>
          </w:p>
        </w:tc>
        <w:tc>
          <w:tcPr>
            <w:tcW w:w="158" w:type="pct"/>
            <w:vMerge w:val="restart"/>
            <w:vAlign w:val="center"/>
          </w:tcPr>
          <w:p w14:paraId="32FD89B6">
            <w:pPr>
              <w:pStyle w:val="133"/>
              <w:rPr>
                <w:b/>
                <w:bCs/>
              </w:rPr>
            </w:pPr>
            <w:r>
              <w:rPr>
                <w:b/>
                <w:bCs/>
              </w:rPr>
              <w:t>温度</w:t>
            </w:r>
          </w:p>
          <w:p w14:paraId="4398D7FE">
            <w:pPr>
              <w:pStyle w:val="133"/>
              <w:rPr>
                <w:b/>
                <w:bCs/>
              </w:rPr>
            </w:pPr>
            <w:r>
              <w:rPr>
                <w:b/>
                <w:bCs/>
              </w:rPr>
              <w:t>℃</w:t>
            </w:r>
          </w:p>
        </w:tc>
        <w:tc>
          <w:tcPr>
            <w:tcW w:w="228" w:type="pct"/>
            <w:vMerge w:val="continue"/>
            <w:vAlign w:val="center"/>
          </w:tcPr>
          <w:p w14:paraId="59A3130C">
            <w:pPr>
              <w:pStyle w:val="133"/>
            </w:pPr>
          </w:p>
        </w:tc>
      </w:tr>
      <w:tr w14:paraId="17541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96" w:type="pct"/>
            <w:vMerge w:val="continue"/>
            <w:vAlign w:val="center"/>
          </w:tcPr>
          <w:p w14:paraId="1265E94F">
            <w:pPr>
              <w:pStyle w:val="133"/>
            </w:pPr>
          </w:p>
        </w:tc>
        <w:tc>
          <w:tcPr>
            <w:tcW w:w="342" w:type="pct"/>
            <w:vMerge w:val="continue"/>
            <w:vAlign w:val="center"/>
          </w:tcPr>
          <w:p w14:paraId="6AB442E1">
            <w:pPr>
              <w:pStyle w:val="133"/>
            </w:pPr>
          </w:p>
        </w:tc>
        <w:tc>
          <w:tcPr>
            <w:tcW w:w="325" w:type="pct"/>
            <w:vMerge w:val="continue"/>
            <w:vAlign w:val="center"/>
          </w:tcPr>
          <w:p w14:paraId="2076A102">
            <w:pPr>
              <w:pStyle w:val="133"/>
            </w:pPr>
          </w:p>
        </w:tc>
        <w:tc>
          <w:tcPr>
            <w:tcW w:w="303" w:type="pct"/>
            <w:vMerge w:val="continue"/>
            <w:vAlign w:val="center"/>
          </w:tcPr>
          <w:p w14:paraId="020B9974">
            <w:pPr>
              <w:pStyle w:val="133"/>
            </w:pPr>
          </w:p>
        </w:tc>
        <w:tc>
          <w:tcPr>
            <w:tcW w:w="452" w:type="pct"/>
            <w:vMerge w:val="continue"/>
            <w:vAlign w:val="center"/>
          </w:tcPr>
          <w:p w14:paraId="120AB4CF">
            <w:pPr>
              <w:pStyle w:val="133"/>
            </w:pPr>
          </w:p>
        </w:tc>
        <w:tc>
          <w:tcPr>
            <w:tcW w:w="463" w:type="pct"/>
            <w:vMerge w:val="continue"/>
            <w:vAlign w:val="center"/>
          </w:tcPr>
          <w:p w14:paraId="3FC72F7C">
            <w:pPr>
              <w:pStyle w:val="133"/>
            </w:pPr>
          </w:p>
        </w:tc>
        <w:tc>
          <w:tcPr>
            <w:tcW w:w="339" w:type="pct"/>
            <w:vMerge w:val="continue"/>
            <w:vAlign w:val="center"/>
          </w:tcPr>
          <w:p w14:paraId="57758110">
            <w:pPr>
              <w:pStyle w:val="133"/>
            </w:pPr>
          </w:p>
        </w:tc>
        <w:tc>
          <w:tcPr>
            <w:tcW w:w="290" w:type="pct"/>
            <w:vMerge w:val="continue"/>
            <w:vAlign w:val="center"/>
          </w:tcPr>
          <w:p w14:paraId="51E5148F">
            <w:pPr>
              <w:pStyle w:val="133"/>
            </w:pPr>
          </w:p>
        </w:tc>
        <w:tc>
          <w:tcPr>
            <w:tcW w:w="482" w:type="pct"/>
            <w:vAlign w:val="center"/>
          </w:tcPr>
          <w:p w14:paraId="5C52924E">
            <w:pPr>
              <w:pStyle w:val="133"/>
              <w:rPr>
                <w:b/>
                <w:bCs/>
              </w:rPr>
            </w:pPr>
            <w:r>
              <w:rPr>
                <w:rFonts w:hint="eastAsia"/>
                <w:b/>
                <w:bCs/>
              </w:rPr>
              <w:t>工艺</w:t>
            </w:r>
          </w:p>
        </w:tc>
        <w:tc>
          <w:tcPr>
            <w:tcW w:w="306" w:type="pct"/>
            <w:vAlign w:val="center"/>
          </w:tcPr>
          <w:p w14:paraId="66C3AACD">
            <w:pPr>
              <w:pStyle w:val="133"/>
              <w:rPr>
                <w:b/>
                <w:bCs/>
              </w:rPr>
            </w:pPr>
            <w:r>
              <w:rPr>
                <w:rFonts w:hint="eastAsia"/>
                <w:b/>
                <w:bCs/>
              </w:rPr>
              <w:t>效率</w:t>
            </w:r>
          </w:p>
          <w:p w14:paraId="7B7C6CF6">
            <w:pPr>
              <w:pStyle w:val="133"/>
              <w:rPr>
                <w:b/>
                <w:bCs/>
              </w:rPr>
            </w:pPr>
            <w:r>
              <w:rPr>
                <w:b/>
                <w:bCs/>
              </w:rPr>
              <w:t>%</w:t>
            </w:r>
          </w:p>
        </w:tc>
        <w:tc>
          <w:tcPr>
            <w:tcW w:w="323" w:type="pct"/>
            <w:vMerge w:val="continue"/>
            <w:vAlign w:val="center"/>
          </w:tcPr>
          <w:p w14:paraId="6F6D082F">
            <w:pPr>
              <w:pStyle w:val="133"/>
            </w:pPr>
          </w:p>
        </w:tc>
        <w:tc>
          <w:tcPr>
            <w:tcW w:w="361" w:type="pct"/>
            <w:vMerge w:val="continue"/>
            <w:vAlign w:val="center"/>
          </w:tcPr>
          <w:p w14:paraId="44DFE5CA">
            <w:pPr>
              <w:pStyle w:val="133"/>
            </w:pPr>
          </w:p>
        </w:tc>
        <w:tc>
          <w:tcPr>
            <w:tcW w:w="162" w:type="pct"/>
            <w:vMerge w:val="continue"/>
            <w:vAlign w:val="center"/>
          </w:tcPr>
          <w:p w14:paraId="5C7F53D1">
            <w:pPr>
              <w:pStyle w:val="133"/>
            </w:pPr>
          </w:p>
        </w:tc>
        <w:tc>
          <w:tcPr>
            <w:tcW w:w="172" w:type="pct"/>
            <w:vMerge w:val="continue"/>
            <w:vAlign w:val="center"/>
          </w:tcPr>
          <w:p w14:paraId="1BBF662C">
            <w:pPr>
              <w:pStyle w:val="133"/>
            </w:pPr>
          </w:p>
        </w:tc>
        <w:tc>
          <w:tcPr>
            <w:tcW w:w="158" w:type="pct"/>
            <w:vMerge w:val="continue"/>
            <w:vAlign w:val="center"/>
          </w:tcPr>
          <w:p w14:paraId="18BF7962">
            <w:pPr>
              <w:pStyle w:val="133"/>
            </w:pPr>
          </w:p>
        </w:tc>
        <w:tc>
          <w:tcPr>
            <w:tcW w:w="228" w:type="pct"/>
            <w:vMerge w:val="continue"/>
            <w:vAlign w:val="center"/>
          </w:tcPr>
          <w:p w14:paraId="04A05E73">
            <w:pPr>
              <w:pStyle w:val="133"/>
            </w:pPr>
          </w:p>
        </w:tc>
      </w:tr>
      <w:tr w14:paraId="0E5F4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Align w:val="center"/>
          </w:tcPr>
          <w:p w14:paraId="110DA149">
            <w:pPr>
              <w:pStyle w:val="133"/>
            </w:pPr>
            <w:r>
              <w:rPr>
                <w:rFonts w:hint="eastAsia"/>
              </w:rPr>
              <w:t>G</w:t>
            </w:r>
            <w:r>
              <w:rPr>
                <w:rFonts w:hint="eastAsia"/>
                <w:vertAlign w:val="subscript"/>
              </w:rPr>
              <w:t>1-1</w:t>
            </w:r>
          </w:p>
        </w:tc>
        <w:tc>
          <w:tcPr>
            <w:tcW w:w="342" w:type="pct"/>
            <w:vAlign w:val="center"/>
          </w:tcPr>
          <w:p w14:paraId="52F1353A">
            <w:pPr>
              <w:pStyle w:val="133"/>
            </w:pPr>
            <w:r>
              <w:rPr>
                <w:rFonts w:hint="eastAsia"/>
              </w:rPr>
              <w:t>现有筛破间</w:t>
            </w:r>
          </w:p>
        </w:tc>
        <w:tc>
          <w:tcPr>
            <w:tcW w:w="325" w:type="pct"/>
            <w:vAlign w:val="center"/>
          </w:tcPr>
          <w:p w14:paraId="0A93C565">
            <w:pPr>
              <w:pStyle w:val="133"/>
            </w:pPr>
            <w:r>
              <w:rPr>
                <w:rFonts w:hint="eastAsia"/>
                <w:szCs w:val="21"/>
              </w:rPr>
              <w:t>备煤上料废气</w:t>
            </w:r>
          </w:p>
        </w:tc>
        <w:tc>
          <w:tcPr>
            <w:tcW w:w="303" w:type="pct"/>
            <w:vAlign w:val="center"/>
          </w:tcPr>
          <w:p w14:paraId="62086691">
            <w:pPr>
              <w:pStyle w:val="133"/>
            </w:pPr>
            <w:r>
              <w:rPr>
                <w:rFonts w:hint="eastAsia" w:eastAsia="等线" w:cs="Times New Roman"/>
                <w:szCs w:val="21"/>
              </w:rPr>
              <w:t>35000</w:t>
            </w:r>
          </w:p>
        </w:tc>
        <w:tc>
          <w:tcPr>
            <w:tcW w:w="452" w:type="pct"/>
            <w:vAlign w:val="center"/>
          </w:tcPr>
          <w:p w14:paraId="7753AF53">
            <w:pPr>
              <w:pStyle w:val="133"/>
            </w:pPr>
            <w:r>
              <w:rPr>
                <w:rFonts w:hint="eastAsia"/>
                <w:szCs w:val="21"/>
              </w:rPr>
              <w:t>颗粒物</w:t>
            </w:r>
          </w:p>
        </w:tc>
        <w:tc>
          <w:tcPr>
            <w:tcW w:w="463" w:type="pct"/>
            <w:vAlign w:val="center"/>
          </w:tcPr>
          <w:p w14:paraId="6079FD82">
            <w:pPr>
              <w:pStyle w:val="133"/>
            </w:pPr>
            <w:r>
              <w:rPr>
                <w:rFonts w:hint="eastAsia"/>
                <w:szCs w:val="21"/>
              </w:rPr>
              <w:t>类比法</w:t>
            </w:r>
          </w:p>
        </w:tc>
        <w:tc>
          <w:tcPr>
            <w:tcW w:w="339" w:type="pct"/>
            <w:vAlign w:val="center"/>
          </w:tcPr>
          <w:p w14:paraId="42FF55E5">
            <w:pPr>
              <w:pStyle w:val="133"/>
            </w:pPr>
            <w:r>
              <w:rPr>
                <w:rFonts w:hint="eastAsia" w:eastAsia="等线" w:cs="Times New Roman"/>
                <w:szCs w:val="21"/>
              </w:rPr>
              <w:t>1125.7</w:t>
            </w:r>
          </w:p>
        </w:tc>
        <w:tc>
          <w:tcPr>
            <w:tcW w:w="290" w:type="pct"/>
            <w:vAlign w:val="center"/>
          </w:tcPr>
          <w:p w14:paraId="588EFAB9">
            <w:pPr>
              <w:pStyle w:val="133"/>
            </w:pPr>
            <w:r>
              <w:rPr>
                <w:rFonts w:hint="eastAsia" w:eastAsia="等线" w:cs="Times New Roman"/>
                <w:szCs w:val="21"/>
              </w:rPr>
              <w:t>4.40</w:t>
            </w:r>
          </w:p>
        </w:tc>
        <w:tc>
          <w:tcPr>
            <w:tcW w:w="482" w:type="pct"/>
            <w:vAlign w:val="center"/>
          </w:tcPr>
          <w:p w14:paraId="00355E75">
            <w:pPr>
              <w:pStyle w:val="133"/>
            </w:pPr>
            <w:r>
              <w:rPr>
                <w:rFonts w:hint="eastAsia"/>
                <w:szCs w:val="21"/>
              </w:rPr>
              <w:t>布袋除尘器</w:t>
            </w:r>
          </w:p>
        </w:tc>
        <w:tc>
          <w:tcPr>
            <w:tcW w:w="306" w:type="pct"/>
            <w:vAlign w:val="center"/>
          </w:tcPr>
          <w:p w14:paraId="1A755A6A">
            <w:pPr>
              <w:pStyle w:val="133"/>
            </w:pPr>
            <w:r>
              <w:rPr>
                <w:rFonts w:eastAsia="等线" w:cs="Times New Roman"/>
                <w:szCs w:val="21"/>
              </w:rPr>
              <w:t>99</w:t>
            </w:r>
          </w:p>
        </w:tc>
        <w:tc>
          <w:tcPr>
            <w:tcW w:w="323" w:type="pct"/>
            <w:vAlign w:val="center"/>
          </w:tcPr>
          <w:p w14:paraId="231A58EC">
            <w:pPr>
              <w:pStyle w:val="133"/>
            </w:pPr>
            <w:r>
              <w:rPr>
                <w:rFonts w:hint="eastAsia" w:eastAsia="等线" w:cs="Times New Roman"/>
                <w:szCs w:val="21"/>
              </w:rPr>
              <w:t>1.3</w:t>
            </w:r>
          </w:p>
        </w:tc>
        <w:tc>
          <w:tcPr>
            <w:tcW w:w="361" w:type="pct"/>
            <w:vAlign w:val="center"/>
          </w:tcPr>
          <w:p w14:paraId="44D2115C">
            <w:pPr>
              <w:pStyle w:val="133"/>
            </w:pPr>
            <w:r>
              <w:rPr>
                <w:rFonts w:hint="eastAsia" w:eastAsia="等线" w:cs="Times New Roman"/>
                <w:szCs w:val="21"/>
              </w:rPr>
              <w:t>0.044</w:t>
            </w:r>
          </w:p>
        </w:tc>
        <w:tc>
          <w:tcPr>
            <w:tcW w:w="162" w:type="pct"/>
            <w:vAlign w:val="center"/>
          </w:tcPr>
          <w:p w14:paraId="49F0C83E">
            <w:pPr>
              <w:pStyle w:val="133"/>
            </w:pPr>
            <w:r>
              <w:rPr>
                <w:rFonts w:eastAsia="等线" w:cs="Times New Roman"/>
                <w:szCs w:val="21"/>
              </w:rPr>
              <w:t>30</w:t>
            </w:r>
          </w:p>
        </w:tc>
        <w:tc>
          <w:tcPr>
            <w:tcW w:w="172" w:type="pct"/>
            <w:vAlign w:val="center"/>
          </w:tcPr>
          <w:p w14:paraId="353ED9DA">
            <w:pPr>
              <w:pStyle w:val="133"/>
            </w:pPr>
            <w:r>
              <w:rPr>
                <w:rFonts w:eastAsia="等线" w:cs="Times New Roman"/>
                <w:szCs w:val="21"/>
              </w:rPr>
              <w:t>1.5</w:t>
            </w:r>
          </w:p>
        </w:tc>
        <w:tc>
          <w:tcPr>
            <w:tcW w:w="158" w:type="pct"/>
            <w:vAlign w:val="center"/>
          </w:tcPr>
          <w:p w14:paraId="4738462E">
            <w:pPr>
              <w:pStyle w:val="133"/>
            </w:pPr>
            <w:r>
              <w:rPr>
                <w:rFonts w:eastAsia="等线" w:cs="Times New Roman"/>
                <w:szCs w:val="21"/>
              </w:rPr>
              <w:t>25</w:t>
            </w:r>
          </w:p>
        </w:tc>
        <w:tc>
          <w:tcPr>
            <w:tcW w:w="228" w:type="pct"/>
            <w:vAlign w:val="center"/>
          </w:tcPr>
          <w:p w14:paraId="54E91F36">
            <w:pPr>
              <w:pStyle w:val="133"/>
            </w:pPr>
            <w:r>
              <w:rPr>
                <w:rFonts w:hint="eastAsia" w:eastAsia="等线" w:cs="Times New Roman"/>
                <w:szCs w:val="21"/>
              </w:rPr>
              <w:t>7920</w:t>
            </w:r>
          </w:p>
        </w:tc>
      </w:tr>
      <w:tr w14:paraId="56FAF7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Align w:val="center"/>
          </w:tcPr>
          <w:p w14:paraId="780A000A">
            <w:pPr>
              <w:pStyle w:val="133"/>
            </w:pPr>
            <w:r>
              <w:rPr>
                <w:rFonts w:hint="eastAsia"/>
              </w:rPr>
              <w:t>G</w:t>
            </w:r>
            <w:r>
              <w:rPr>
                <w:rFonts w:hint="eastAsia"/>
                <w:vertAlign w:val="subscript"/>
              </w:rPr>
              <w:t>1-2</w:t>
            </w:r>
          </w:p>
        </w:tc>
        <w:tc>
          <w:tcPr>
            <w:tcW w:w="342" w:type="pct"/>
            <w:vAlign w:val="center"/>
          </w:tcPr>
          <w:p w14:paraId="32B07E43">
            <w:pPr>
              <w:pStyle w:val="133"/>
            </w:pPr>
            <w:r>
              <w:rPr>
                <w:rFonts w:hint="eastAsia"/>
              </w:rPr>
              <w:t>新建筛破间</w:t>
            </w:r>
          </w:p>
        </w:tc>
        <w:tc>
          <w:tcPr>
            <w:tcW w:w="325" w:type="pct"/>
            <w:vAlign w:val="center"/>
          </w:tcPr>
          <w:p w14:paraId="37E8A948">
            <w:pPr>
              <w:pStyle w:val="133"/>
            </w:pPr>
            <w:r>
              <w:rPr>
                <w:rFonts w:hint="eastAsia"/>
                <w:szCs w:val="21"/>
              </w:rPr>
              <w:t>破碎筛分废气</w:t>
            </w:r>
          </w:p>
        </w:tc>
        <w:tc>
          <w:tcPr>
            <w:tcW w:w="303" w:type="pct"/>
            <w:vAlign w:val="center"/>
          </w:tcPr>
          <w:p w14:paraId="73B2F9EF">
            <w:pPr>
              <w:pStyle w:val="133"/>
            </w:pPr>
            <w:r>
              <w:rPr>
                <w:rFonts w:hint="eastAsia"/>
              </w:rPr>
              <w:t>50000</w:t>
            </w:r>
          </w:p>
        </w:tc>
        <w:tc>
          <w:tcPr>
            <w:tcW w:w="452" w:type="pct"/>
            <w:vAlign w:val="center"/>
          </w:tcPr>
          <w:p w14:paraId="342B2A4E">
            <w:pPr>
              <w:pStyle w:val="133"/>
            </w:pPr>
            <w:r>
              <w:rPr>
                <w:rFonts w:hint="eastAsia"/>
                <w:szCs w:val="21"/>
              </w:rPr>
              <w:t>颗粒物</w:t>
            </w:r>
          </w:p>
        </w:tc>
        <w:tc>
          <w:tcPr>
            <w:tcW w:w="463" w:type="pct"/>
            <w:vAlign w:val="center"/>
          </w:tcPr>
          <w:p w14:paraId="7702BC23">
            <w:pPr>
              <w:pStyle w:val="133"/>
            </w:pPr>
            <w:r>
              <w:rPr>
                <w:rFonts w:hint="eastAsia"/>
                <w:szCs w:val="21"/>
              </w:rPr>
              <w:t>类比法</w:t>
            </w:r>
          </w:p>
        </w:tc>
        <w:tc>
          <w:tcPr>
            <w:tcW w:w="339" w:type="pct"/>
            <w:vAlign w:val="center"/>
          </w:tcPr>
          <w:p w14:paraId="3EF887B2">
            <w:pPr>
              <w:pStyle w:val="133"/>
            </w:pPr>
            <w:r>
              <w:rPr>
                <w:rFonts w:hint="eastAsia" w:eastAsia="等线" w:cs="Times New Roman"/>
                <w:szCs w:val="21"/>
              </w:rPr>
              <w:t>88.0</w:t>
            </w:r>
          </w:p>
        </w:tc>
        <w:tc>
          <w:tcPr>
            <w:tcW w:w="290" w:type="pct"/>
            <w:vAlign w:val="center"/>
          </w:tcPr>
          <w:p w14:paraId="5F7A909A">
            <w:pPr>
              <w:pStyle w:val="133"/>
            </w:pPr>
            <w:r>
              <w:rPr>
                <w:rFonts w:hint="eastAsia" w:eastAsia="等线" w:cs="Times New Roman"/>
                <w:szCs w:val="21"/>
              </w:rPr>
              <w:t>4.40</w:t>
            </w:r>
          </w:p>
        </w:tc>
        <w:tc>
          <w:tcPr>
            <w:tcW w:w="482" w:type="pct"/>
            <w:vAlign w:val="center"/>
          </w:tcPr>
          <w:p w14:paraId="7C0A5515">
            <w:pPr>
              <w:pStyle w:val="133"/>
            </w:pPr>
            <w:r>
              <w:rPr>
                <w:rFonts w:hint="eastAsia"/>
                <w:szCs w:val="21"/>
              </w:rPr>
              <w:t>布袋除尘器</w:t>
            </w:r>
          </w:p>
        </w:tc>
        <w:tc>
          <w:tcPr>
            <w:tcW w:w="306" w:type="pct"/>
            <w:vAlign w:val="center"/>
          </w:tcPr>
          <w:p w14:paraId="336F1179">
            <w:pPr>
              <w:pStyle w:val="133"/>
            </w:pPr>
            <w:r>
              <w:rPr>
                <w:rFonts w:eastAsia="等线" w:cs="Times New Roman"/>
                <w:szCs w:val="21"/>
              </w:rPr>
              <w:t>99</w:t>
            </w:r>
          </w:p>
        </w:tc>
        <w:tc>
          <w:tcPr>
            <w:tcW w:w="323" w:type="pct"/>
            <w:vAlign w:val="center"/>
          </w:tcPr>
          <w:p w14:paraId="46FE18C3">
            <w:pPr>
              <w:pStyle w:val="133"/>
            </w:pPr>
            <w:r>
              <w:rPr>
                <w:rFonts w:hint="eastAsia" w:eastAsia="等线" w:cs="Times New Roman"/>
                <w:szCs w:val="21"/>
              </w:rPr>
              <w:t>0.9</w:t>
            </w:r>
          </w:p>
        </w:tc>
        <w:tc>
          <w:tcPr>
            <w:tcW w:w="361" w:type="pct"/>
            <w:vAlign w:val="center"/>
          </w:tcPr>
          <w:p w14:paraId="1D08C776">
            <w:pPr>
              <w:pStyle w:val="133"/>
            </w:pPr>
            <w:r>
              <w:rPr>
                <w:rFonts w:eastAsia="等线" w:cs="Times New Roman"/>
                <w:szCs w:val="21"/>
              </w:rPr>
              <w:t>0.0</w:t>
            </w:r>
            <w:r>
              <w:rPr>
                <w:rFonts w:hint="eastAsia" w:eastAsia="等线" w:cs="Times New Roman"/>
                <w:szCs w:val="21"/>
              </w:rPr>
              <w:t>44</w:t>
            </w:r>
          </w:p>
        </w:tc>
        <w:tc>
          <w:tcPr>
            <w:tcW w:w="162" w:type="pct"/>
            <w:vAlign w:val="center"/>
          </w:tcPr>
          <w:p w14:paraId="74D8AC71">
            <w:pPr>
              <w:pStyle w:val="133"/>
            </w:pPr>
            <w:r>
              <w:rPr>
                <w:rFonts w:eastAsia="等线" w:cs="Times New Roman"/>
                <w:szCs w:val="21"/>
              </w:rPr>
              <w:t>30</w:t>
            </w:r>
          </w:p>
        </w:tc>
        <w:tc>
          <w:tcPr>
            <w:tcW w:w="172" w:type="pct"/>
            <w:vAlign w:val="center"/>
          </w:tcPr>
          <w:p w14:paraId="375C5C32">
            <w:pPr>
              <w:pStyle w:val="133"/>
            </w:pPr>
            <w:r>
              <w:rPr>
                <w:rFonts w:eastAsia="等线" w:cs="Times New Roman"/>
                <w:szCs w:val="21"/>
              </w:rPr>
              <w:t>1.2</w:t>
            </w:r>
          </w:p>
        </w:tc>
        <w:tc>
          <w:tcPr>
            <w:tcW w:w="158" w:type="pct"/>
            <w:vAlign w:val="center"/>
          </w:tcPr>
          <w:p w14:paraId="6D49A86D">
            <w:pPr>
              <w:pStyle w:val="133"/>
            </w:pPr>
            <w:r>
              <w:rPr>
                <w:rFonts w:eastAsia="等线" w:cs="Times New Roman"/>
                <w:szCs w:val="21"/>
              </w:rPr>
              <w:t>25</w:t>
            </w:r>
          </w:p>
        </w:tc>
        <w:tc>
          <w:tcPr>
            <w:tcW w:w="228" w:type="pct"/>
            <w:vAlign w:val="center"/>
          </w:tcPr>
          <w:p w14:paraId="3DCF5BA1">
            <w:pPr>
              <w:pStyle w:val="133"/>
            </w:pPr>
            <w:r>
              <w:rPr>
                <w:rFonts w:hint="eastAsia" w:eastAsia="等线" w:cs="Times New Roman"/>
                <w:szCs w:val="21"/>
              </w:rPr>
              <w:t>7920</w:t>
            </w:r>
          </w:p>
        </w:tc>
      </w:tr>
      <w:tr w14:paraId="73963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restart"/>
            <w:vAlign w:val="center"/>
          </w:tcPr>
          <w:p w14:paraId="74E44CBD">
            <w:pPr>
              <w:pStyle w:val="133"/>
            </w:pPr>
            <w:r>
              <w:rPr>
                <w:rFonts w:hint="eastAsia"/>
              </w:rPr>
              <w:t>G</w:t>
            </w:r>
            <w:r>
              <w:rPr>
                <w:rFonts w:hint="eastAsia"/>
                <w:vertAlign w:val="subscript"/>
              </w:rPr>
              <w:t>1-3</w:t>
            </w:r>
          </w:p>
        </w:tc>
        <w:tc>
          <w:tcPr>
            <w:tcW w:w="342" w:type="pct"/>
            <w:vMerge w:val="restart"/>
            <w:vAlign w:val="center"/>
          </w:tcPr>
          <w:p w14:paraId="7560F681">
            <w:pPr>
              <w:pStyle w:val="133"/>
            </w:pPr>
            <w:r>
              <w:rPr>
                <w:rFonts w:hint="eastAsia"/>
              </w:rPr>
              <w:t>炭化炉</w:t>
            </w:r>
          </w:p>
        </w:tc>
        <w:tc>
          <w:tcPr>
            <w:tcW w:w="325" w:type="pct"/>
            <w:vMerge w:val="restart"/>
            <w:vAlign w:val="center"/>
          </w:tcPr>
          <w:p w14:paraId="23DD98D8">
            <w:pPr>
              <w:pStyle w:val="133"/>
            </w:pPr>
            <w:r>
              <w:rPr>
                <w:rFonts w:hint="eastAsia"/>
              </w:rPr>
              <w:t>炭化装煤废气</w:t>
            </w:r>
          </w:p>
        </w:tc>
        <w:tc>
          <w:tcPr>
            <w:tcW w:w="303" w:type="pct"/>
            <w:vMerge w:val="restart"/>
            <w:vAlign w:val="center"/>
          </w:tcPr>
          <w:p w14:paraId="073D5231">
            <w:pPr>
              <w:pStyle w:val="133"/>
            </w:pPr>
            <w:r>
              <w:rPr>
                <w:rFonts w:hint="eastAsia"/>
              </w:rPr>
              <w:t>35000</w:t>
            </w:r>
          </w:p>
        </w:tc>
        <w:tc>
          <w:tcPr>
            <w:tcW w:w="452" w:type="pct"/>
            <w:vAlign w:val="center"/>
          </w:tcPr>
          <w:p w14:paraId="5686CC5C">
            <w:pPr>
              <w:pStyle w:val="133"/>
            </w:pPr>
            <w:r>
              <w:rPr>
                <w:rFonts w:hint="eastAsia"/>
                <w:szCs w:val="21"/>
              </w:rPr>
              <w:t>颗粒物</w:t>
            </w:r>
          </w:p>
        </w:tc>
        <w:tc>
          <w:tcPr>
            <w:tcW w:w="463" w:type="pct"/>
            <w:vAlign w:val="center"/>
          </w:tcPr>
          <w:p w14:paraId="0C5AC5DC">
            <w:pPr>
              <w:pStyle w:val="133"/>
            </w:pPr>
            <w:r>
              <w:rPr>
                <w:rFonts w:hint="eastAsia"/>
                <w:szCs w:val="21"/>
              </w:rPr>
              <w:t>类比法</w:t>
            </w:r>
          </w:p>
        </w:tc>
        <w:tc>
          <w:tcPr>
            <w:tcW w:w="339" w:type="pct"/>
            <w:vAlign w:val="center"/>
          </w:tcPr>
          <w:p w14:paraId="116533A2">
            <w:pPr>
              <w:pStyle w:val="133"/>
            </w:pPr>
            <w:r>
              <w:rPr>
                <w:rFonts w:hint="eastAsia" w:eastAsia="等线" w:cs="Times New Roman"/>
                <w:szCs w:val="21"/>
              </w:rPr>
              <w:t>1160</w:t>
            </w:r>
          </w:p>
        </w:tc>
        <w:tc>
          <w:tcPr>
            <w:tcW w:w="290" w:type="pct"/>
            <w:vAlign w:val="center"/>
          </w:tcPr>
          <w:p w14:paraId="727A95DB">
            <w:pPr>
              <w:pStyle w:val="133"/>
            </w:pPr>
            <w:r>
              <w:rPr>
                <w:rFonts w:hint="eastAsia" w:eastAsia="等线" w:cs="Times New Roman"/>
                <w:szCs w:val="21"/>
              </w:rPr>
              <w:t>40.60</w:t>
            </w:r>
          </w:p>
        </w:tc>
        <w:tc>
          <w:tcPr>
            <w:tcW w:w="482" w:type="pct"/>
            <w:vAlign w:val="center"/>
          </w:tcPr>
          <w:p w14:paraId="63D3E1C0">
            <w:pPr>
              <w:pStyle w:val="133"/>
            </w:pPr>
            <w:r>
              <w:rPr>
                <w:rFonts w:hint="eastAsia"/>
                <w:szCs w:val="21"/>
              </w:rPr>
              <w:t>布袋除尘器</w:t>
            </w:r>
          </w:p>
        </w:tc>
        <w:tc>
          <w:tcPr>
            <w:tcW w:w="306" w:type="pct"/>
            <w:vAlign w:val="center"/>
          </w:tcPr>
          <w:p w14:paraId="528871DE">
            <w:pPr>
              <w:pStyle w:val="133"/>
            </w:pPr>
            <w:r>
              <w:rPr>
                <w:rFonts w:eastAsia="等线" w:cs="Times New Roman"/>
                <w:szCs w:val="21"/>
              </w:rPr>
              <w:t>99</w:t>
            </w:r>
            <w:r>
              <w:rPr>
                <w:rFonts w:hint="eastAsia" w:eastAsia="等线" w:cs="Times New Roman"/>
                <w:szCs w:val="21"/>
              </w:rPr>
              <w:t>.5</w:t>
            </w:r>
          </w:p>
        </w:tc>
        <w:tc>
          <w:tcPr>
            <w:tcW w:w="323" w:type="pct"/>
            <w:vAlign w:val="center"/>
          </w:tcPr>
          <w:p w14:paraId="578539CC">
            <w:pPr>
              <w:pStyle w:val="133"/>
            </w:pPr>
            <w:r>
              <w:rPr>
                <w:rFonts w:hint="eastAsia" w:eastAsia="等线" w:cs="Times New Roman"/>
                <w:szCs w:val="21"/>
              </w:rPr>
              <w:t>5.8</w:t>
            </w:r>
          </w:p>
        </w:tc>
        <w:tc>
          <w:tcPr>
            <w:tcW w:w="361" w:type="pct"/>
            <w:vAlign w:val="center"/>
          </w:tcPr>
          <w:p w14:paraId="2D073362">
            <w:pPr>
              <w:pStyle w:val="133"/>
            </w:pPr>
            <w:r>
              <w:rPr>
                <w:rFonts w:hint="eastAsia" w:eastAsia="等线" w:cs="Times New Roman"/>
                <w:szCs w:val="21"/>
              </w:rPr>
              <w:t>0.20</w:t>
            </w:r>
          </w:p>
        </w:tc>
        <w:tc>
          <w:tcPr>
            <w:tcW w:w="162" w:type="pct"/>
            <w:vMerge w:val="restart"/>
            <w:vAlign w:val="center"/>
          </w:tcPr>
          <w:p w14:paraId="084AFC24">
            <w:pPr>
              <w:pStyle w:val="133"/>
            </w:pPr>
            <w:r>
              <w:rPr>
                <w:rFonts w:hint="eastAsia"/>
              </w:rPr>
              <w:t>30</w:t>
            </w:r>
          </w:p>
        </w:tc>
        <w:tc>
          <w:tcPr>
            <w:tcW w:w="172" w:type="pct"/>
            <w:vMerge w:val="restart"/>
            <w:vAlign w:val="center"/>
          </w:tcPr>
          <w:p w14:paraId="3FB793C5">
            <w:pPr>
              <w:pStyle w:val="133"/>
            </w:pPr>
            <w:r>
              <w:rPr>
                <w:rFonts w:hint="eastAsia"/>
              </w:rPr>
              <w:t>1.6</w:t>
            </w:r>
          </w:p>
        </w:tc>
        <w:tc>
          <w:tcPr>
            <w:tcW w:w="158" w:type="pct"/>
            <w:vMerge w:val="restart"/>
            <w:vAlign w:val="center"/>
          </w:tcPr>
          <w:p w14:paraId="00ACCA3B">
            <w:pPr>
              <w:pStyle w:val="133"/>
            </w:pPr>
            <w:r>
              <w:rPr>
                <w:rFonts w:hint="eastAsia"/>
              </w:rPr>
              <w:t>30</w:t>
            </w:r>
          </w:p>
        </w:tc>
        <w:tc>
          <w:tcPr>
            <w:tcW w:w="228" w:type="pct"/>
            <w:vMerge w:val="restart"/>
            <w:vAlign w:val="center"/>
          </w:tcPr>
          <w:p w14:paraId="7FD6EEDB">
            <w:pPr>
              <w:pStyle w:val="133"/>
            </w:pPr>
            <w:r>
              <w:rPr>
                <w:rFonts w:hint="eastAsia" w:eastAsia="等线" w:cs="Times New Roman"/>
                <w:szCs w:val="21"/>
              </w:rPr>
              <w:t>4000</w:t>
            </w:r>
          </w:p>
        </w:tc>
      </w:tr>
      <w:tr w14:paraId="75FB0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647A6182">
            <w:pPr>
              <w:pStyle w:val="133"/>
            </w:pPr>
          </w:p>
        </w:tc>
        <w:tc>
          <w:tcPr>
            <w:tcW w:w="342" w:type="pct"/>
            <w:vMerge w:val="continue"/>
            <w:vAlign w:val="center"/>
          </w:tcPr>
          <w:p w14:paraId="45FBB595">
            <w:pPr>
              <w:pStyle w:val="133"/>
            </w:pPr>
          </w:p>
        </w:tc>
        <w:tc>
          <w:tcPr>
            <w:tcW w:w="325" w:type="pct"/>
            <w:vMerge w:val="continue"/>
            <w:vAlign w:val="center"/>
          </w:tcPr>
          <w:p w14:paraId="6471EA8C">
            <w:pPr>
              <w:pStyle w:val="133"/>
            </w:pPr>
          </w:p>
        </w:tc>
        <w:tc>
          <w:tcPr>
            <w:tcW w:w="303" w:type="pct"/>
            <w:vMerge w:val="continue"/>
            <w:vAlign w:val="center"/>
          </w:tcPr>
          <w:p w14:paraId="013FD966">
            <w:pPr>
              <w:pStyle w:val="133"/>
            </w:pPr>
          </w:p>
        </w:tc>
        <w:tc>
          <w:tcPr>
            <w:tcW w:w="452" w:type="pct"/>
            <w:vAlign w:val="center"/>
          </w:tcPr>
          <w:p w14:paraId="0983DE0C">
            <w:pPr>
              <w:pStyle w:val="133"/>
              <w:rPr>
                <w:szCs w:val="21"/>
              </w:rPr>
            </w:pPr>
            <w:r>
              <w:rPr>
                <w:rFonts w:hint="eastAsia"/>
              </w:rPr>
              <w:t>SO</w:t>
            </w:r>
            <w:r>
              <w:rPr>
                <w:rFonts w:hint="eastAsia"/>
                <w:vertAlign w:val="subscript"/>
              </w:rPr>
              <w:t>2</w:t>
            </w:r>
          </w:p>
        </w:tc>
        <w:tc>
          <w:tcPr>
            <w:tcW w:w="463" w:type="pct"/>
            <w:vAlign w:val="center"/>
          </w:tcPr>
          <w:p w14:paraId="22EA2A7C">
            <w:pPr>
              <w:pStyle w:val="133"/>
              <w:rPr>
                <w:szCs w:val="21"/>
              </w:rPr>
            </w:pPr>
            <w:r>
              <w:rPr>
                <w:rFonts w:hint="eastAsia"/>
              </w:rPr>
              <w:t>物料平衡法</w:t>
            </w:r>
          </w:p>
        </w:tc>
        <w:tc>
          <w:tcPr>
            <w:tcW w:w="339" w:type="pct"/>
            <w:vAlign w:val="center"/>
          </w:tcPr>
          <w:p w14:paraId="0C6C97E7">
            <w:pPr>
              <w:pStyle w:val="133"/>
              <w:rPr>
                <w:rFonts w:eastAsia="等线" w:cs="Times New Roman"/>
                <w:szCs w:val="21"/>
              </w:rPr>
            </w:pPr>
            <w:r>
              <w:rPr>
                <w:rFonts w:eastAsia="等线" w:cs="Times New Roman"/>
                <w:szCs w:val="21"/>
              </w:rPr>
              <w:t>1.</w:t>
            </w:r>
            <w:r>
              <w:rPr>
                <w:rFonts w:hint="eastAsia" w:eastAsia="等线" w:cs="Times New Roman"/>
                <w:szCs w:val="21"/>
              </w:rPr>
              <w:t>9</w:t>
            </w:r>
          </w:p>
        </w:tc>
        <w:tc>
          <w:tcPr>
            <w:tcW w:w="290" w:type="pct"/>
            <w:vAlign w:val="center"/>
          </w:tcPr>
          <w:p w14:paraId="3D0C2144">
            <w:pPr>
              <w:pStyle w:val="133"/>
              <w:rPr>
                <w:rFonts w:eastAsia="等线" w:cs="Times New Roman"/>
                <w:szCs w:val="21"/>
              </w:rPr>
            </w:pPr>
            <w:r>
              <w:rPr>
                <w:rFonts w:eastAsia="等线" w:cs="Times New Roman"/>
                <w:szCs w:val="21"/>
              </w:rPr>
              <w:t>0.</w:t>
            </w:r>
            <w:r>
              <w:rPr>
                <w:rFonts w:hint="eastAsia" w:eastAsia="等线" w:cs="Times New Roman"/>
                <w:szCs w:val="21"/>
              </w:rPr>
              <w:t>067</w:t>
            </w:r>
          </w:p>
        </w:tc>
        <w:tc>
          <w:tcPr>
            <w:tcW w:w="482" w:type="pct"/>
            <w:vAlign w:val="center"/>
          </w:tcPr>
          <w:p w14:paraId="15651392">
            <w:pPr>
              <w:pStyle w:val="133"/>
              <w:rPr>
                <w:szCs w:val="21"/>
              </w:rPr>
            </w:pPr>
            <w:r>
              <w:rPr>
                <w:rFonts w:eastAsia="等线" w:cs="Times New Roman"/>
                <w:szCs w:val="21"/>
              </w:rPr>
              <w:t>/</w:t>
            </w:r>
          </w:p>
        </w:tc>
        <w:tc>
          <w:tcPr>
            <w:tcW w:w="306" w:type="pct"/>
            <w:vAlign w:val="center"/>
          </w:tcPr>
          <w:p w14:paraId="61AC8C5F">
            <w:pPr>
              <w:pStyle w:val="133"/>
              <w:rPr>
                <w:rFonts w:eastAsia="等线" w:cs="Times New Roman"/>
                <w:szCs w:val="21"/>
              </w:rPr>
            </w:pPr>
            <w:r>
              <w:rPr>
                <w:rFonts w:eastAsia="等线" w:cs="Times New Roman"/>
                <w:szCs w:val="21"/>
              </w:rPr>
              <w:t>/</w:t>
            </w:r>
          </w:p>
        </w:tc>
        <w:tc>
          <w:tcPr>
            <w:tcW w:w="323" w:type="pct"/>
            <w:vAlign w:val="center"/>
          </w:tcPr>
          <w:p w14:paraId="33920B87">
            <w:pPr>
              <w:pStyle w:val="133"/>
              <w:rPr>
                <w:rFonts w:eastAsia="等线" w:cs="Times New Roman"/>
                <w:szCs w:val="21"/>
              </w:rPr>
            </w:pPr>
            <w:r>
              <w:rPr>
                <w:rFonts w:hint="eastAsia" w:eastAsia="等线" w:cs="Times New Roman"/>
                <w:szCs w:val="21"/>
              </w:rPr>
              <w:t>1.9</w:t>
            </w:r>
          </w:p>
        </w:tc>
        <w:tc>
          <w:tcPr>
            <w:tcW w:w="361" w:type="pct"/>
            <w:vAlign w:val="center"/>
          </w:tcPr>
          <w:p w14:paraId="04D10CEB">
            <w:pPr>
              <w:pStyle w:val="133"/>
              <w:rPr>
                <w:rFonts w:eastAsia="等线" w:cs="Times New Roman"/>
                <w:szCs w:val="21"/>
              </w:rPr>
            </w:pPr>
            <w:r>
              <w:rPr>
                <w:rFonts w:hint="eastAsia" w:eastAsia="等线" w:cs="Times New Roman"/>
                <w:szCs w:val="21"/>
              </w:rPr>
              <w:t>0.067</w:t>
            </w:r>
          </w:p>
        </w:tc>
        <w:tc>
          <w:tcPr>
            <w:tcW w:w="162" w:type="pct"/>
            <w:vMerge w:val="continue"/>
            <w:vAlign w:val="center"/>
          </w:tcPr>
          <w:p w14:paraId="62E942CD">
            <w:pPr>
              <w:pStyle w:val="133"/>
            </w:pPr>
          </w:p>
        </w:tc>
        <w:tc>
          <w:tcPr>
            <w:tcW w:w="172" w:type="pct"/>
            <w:vMerge w:val="continue"/>
            <w:vAlign w:val="center"/>
          </w:tcPr>
          <w:p w14:paraId="29B48B7D">
            <w:pPr>
              <w:pStyle w:val="133"/>
            </w:pPr>
          </w:p>
        </w:tc>
        <w:tc>
          <w:tcPr>
            <w:tcW w:w="158" w:type="pct"/>
            <w:vMerge w:val="continue"/>
            <w:vAlign w:val="center"/>
          </w:tcPr>
          <w:p w14:paraId="0E580C29">
            <w:pPr>
              <w:pStyle w:val="133"/>
            </w:pPr>
          </w:p>
        </w:tc>
        <w:tc>
          <w:tcPr>
            <w:tcW w:w="228" w:type="pct"/>
            <w:vMerge w:val="continue"/>
            <w:vAlign w:val="center"/>
          </w:tcPr>
          <w:p w14:paraId="62D73AE3">
            <w:pPr>
              <w:pStyle w:val="133"/>
              <w:rPr>
                <w:rFonts w:eastAsia="等线" w:cs="Times New Roman"/>
                <w:szCs w:val="21"/>
              </w:rPr>
            </w:pPr>
          </w:p>
        </w:tc>
      </w:tr>
      <w:tr w14:paraId="428C58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3A45CAF4">
            <w:pPr>
              <w:pStyle w:val="133"/>
            </w:pPr>
          </w:p>
        </w:tc>
        <w:tc>
          <w:tcPr>
            <w:tcW w:w="342" w:type="pct"/>
            <w:vMerge w:val="continue"/>
            <w:vAlign w:val="center"/>
          </w:tcPr>
          <w:p w14:paraId="2287BB19">
            <w:pPr>
              <w:pStyle w:val="133"/>
            </w:pPr>
          </w:p>
        </w:tc>
        <w:tc>
          <w:tcPr>
            <w:tcW w:w="325" w:type="pct"/>
            <w:vMerge w:val="continue"/>
            <w:vAlign w:val="center"/>
          </w:tcPr>
          <w:p w14:paraId="4C217A5C">
            <w:pPr>
              <w:pStyle w:val="133"/>
            </w:pPr>
          </w:p>
        </w:tc>
        <w:tc>
          <w:tcPr>
            <w:tcW w:w="303" w:type="pct"/>
            <w:vMerge w:val="continue"/>
            <w:vAlign w:val="center"/>
          </w:tcPr>
          <w:p w14:paraId="3B5FF1D1">
            <w:pPr>
              <w:pStyle w:val="133"/>
              <w:rPr>
                <w:rFonts w:eastAsia="等线" w:cs="Times New Roman"/>
                <w:szCs w:val="21"/>
              </w:rPr>
            </w:pPr>
          </w:p>
        </w:tc>
        <w:tc>
          <w:tcPr>
            <w:tcW w:w="452" w:type="pct"/>
            <w:vAlign w:val="center"/>
          </w:tcPr>
          <w:p w14:paraId="6ACCA2F5">
            <w:pPr>
              <w:pStyle w:val="133"/>
              <w:rPr>
                <w:szCs w:val="21"/>
              </w:rPr>
            </w:pPr>
            <w:r>
              <w:rPr>
                <w:rFonts w:hint="eastAsia"/>
              </w:rPr>
              <w:t>苯并芘</w:t>
            </w:r>
          </w:p>
        </w:tc>
        <w:tc>
          <w:tcPr>
            <w:tcW w:w="463" w:type="pct"/>
            <w:vAlign w:val="center"/>
          </w:tcPr>
          <w:p w14:paraId="47948E82">
            <w:pPr>
              <w:pStyle w:val="133"/>
              <w:rPr>
                <w:szCs w:val="21"/>
              </w:rPr>
            </w:pPr>
            <w:r>
              <w:rPr>
                <w:rFonts w:hint="eastAsia"/>
              </w:rPr>
              <w:t>类比法</w:t>
            </w:r>
          </w:p>
        </w:tc>
        <w:tc>
          <w:tcPr>
            <w:tcW w:w="339" w:type="pct"/>
            <w:vAlign w:val="center"/>
          </w:tcPr>
          <w:p w14:paraId="292BF4A8">
            <w:pPr>
              <w:pStyle w:val="133"/>
              <w:rPr>
                <w:rFonts w:eastAsia="等线" w:cs="Times New Roman"/>
                <w:szCs w:val="21"/>
              </w:rPr>
            </w:pPr>
            <w:r>
              <w:rPr>
                <w:rFonts w:eastAsia="等线" w:cs="Times New Roman"/>
                <w:szCs w:val="21"/>
              </w:rPr>
              <w:t>1.9E-06</w:t>
            </w:r>
          </w:p>
        </w:tc>
        <w:tc>
          <w:tcPr>
            <w:tcW w:w="290" w:type="pct"/>
            <w:vAlign w:val="center"/>
          </w:tcPr>
          <w:p w14:paraId="1655AC4C">
            <w:pPr>
              <w:pStyle w:val="133"/>
              <w:rPr>
                <w:rFonts w:eastAsia="等线" w:cs="Times New Roman"/>
                <w:szCs w:val="21"/>
              </w:rPr>
            </w:pPr>
            <w:r>
              <w:rPr>
                <w:rFonts w:eastAsia="等线" w:cs="Times New Roman"/>
                <w:szCs w:val="21"/>
              </w:rPr>
              <w:t>6.5E-08</w:t>
            </w:r>
          </w:p>
        </w:tc>
        <w:tc>
          <w:tcPr>
            <w:tcW w:w="482" w:type="pct"/>
            <w:vAlign w:val="center"/>
          </w:tcPr>
          <w:p w14:paraId="6FBF9C39">
            <w:pPr>
              <w:pStyle w:val="133"/>
              <w:rPr>
                <w:rFonts w:cs="Times New Roman"/>
                <w:szCs w:val="21"/>
              </w:rPr>
            </w:pPr>
            <w:r>
              <w:rPr>
                <w:rFonts w:eastAsia="等线" w:cs="Times New Roman"/>
                <w:szCs w:val="21"/>
              </w:rPr>
              <w:t>/</w:t>
            </w:r>
          </w:p>
        </w:tc>
        <w:tc>
          <w:tcPr>
            <w:tcW w:w="306" w:type="pct"/>
            <w:vAlign w:val="center"/>
          </w:tcPr>
          <w:p w14:paraId="24D934E3">
            <w:pPr>
              <w:pStyle w:val="133"/>
              <w:rPr>
                <w:rFonts w:eastAsia="等线" w:cs="Times New Roman"/>
                <w:szCs w:val="21"/>
              </w:rPr>
            </w:pPr>
            <w:r>
              <w:rPr>
                <w:rFonts w:eastAsia="等线" w:cs="Times New Roman"/>
                <w:szCs w:val="21"/>
              </w:rPr>
              <w:t>/</w:t>
            </w:r>
          </w:p>
        </w:tc>
        <w:tc>
          <w:tcPr>
            <w:tcW w:w="323" w:type="pct"/>
            <w:vAlign w:val="center"/>
          </w:tcPr>
          <w:p w14:paraId="3BCEBDCF">
            <w:pPr>
              <w:pStyle w:val="133"/>
              <w:rPr>
                <w:rFonts w:eastAsia="等线" w:cs="Times New Roman"/>
                <w:szCs w:val="21"/>
              </w:rPr>
            </w:pPr>
            <w:r>
              <w:rPr>
                <w:rFonts w:eastAsia="等线" w:cs="Times New Roman"/>
                <w:szCs w:val="21"/>
              </w:rPr>
              <w:t>1.9E-06</w:t>
            </w:r>
          </w:p>
        </w:tc>
        <w:tc>
          <w:tcPr>
            <w:tcW w:w="361" w:type="pct"/>
            <w:vAlign w:val="center"/>
          </w:tcPr>
          <w:p w14:paraId="055483C5">
            <w:pPr>
              <w:pStyle w:val="133"/>
              <w:rPr>
                <w:rFonts w:eastAsia="等线" w:cs="Times New Roman"/>
                <w:szCs w:val="21"/>
              </w:rPr>
            </w:pPr>
            <w:r>
              <w:rPr>
                <w:rFonts w:eastAsia="等线" w:cs="Times New Roman"/>
                <w:szCs w:val="21"/>
              </w:rPr>
              <w:t>6.5E-08</w:t>
            </w:r>
          </w:p>
        </w:tc>
        <w:tc>
          <w:tcPr>
            <w:tcW w:w="162" w:type="pct"/>
            <w:vMerge w:val="continue"/>
            <w:vAlign w:val="center"/>
          </w:tcPr>
          <w:p w14:paraId="164FE0AE">
            <w:pPr>
              <w:pStyle w:val="133"/>
              <w:rPr>
                <w:rFonts w:eastAsia="等线" w:cs="Times New Roman"/>
                <w:szCs w:val="21"/>
              </w:rPr>
            </w:pPr>
          </w:p>
        </w:tc>
        <w:tc>
          <w:tcPr>
            <w:tcW w:w="172" w:type="pct"/>
            <w:vMerge w:val="continue"/>
            <w:vAlign w:val="center"/>
          </w:tcPr>
          <w:p w14:paraId="116B2AF6">
            <w:pPr>
              <w:pStyle w:val="133"/>
              <w:rPr>
                <w:rFonts w:eastAsia="等线" w:cs="Times New Roman"/>
                <w:szCs w:val="21"/>
              </w:rPr>
            </w:pPr>
          </w:p>
        </w:tc>
        <w:tc>
          <w:tcPr>
            <w:tcW w:w="158" w:type="pct"/>
            <w:vMerge w:val="continue"/>
            <w:vAlign w:val="center"/>
          </w:tcPr>
          <w:p w14:paraId="575BD83D">
            <w:pPr>
              <w:pStyle w:val="133"/>
              <w:rPr>
                <w:rFonts w:eastAsia="等线" w:cs="Times New Roman"/>
                <w:szCs w:val="21"/>
              </w:rPr>
            </w:pPr>
          </w:p>
        </w:tc>
        <w:tc>
          <w:tcPr>
            <w:tcW w:w="228" w:type="pct"/>
            <w:vMerge w:val="continue"/>
            <w:vAlign w:val="center"/>
          </w:tcPr>
          <w:p w14:paraId="798370D3">
            <w:pPr>
              <w:pStyle w:val="133"/>
              <w:rPr>
                <w:rFonts w:eastAsia="等线" w:cs="Times New Roman"/>
                <w:szCs w:val="21"/>
              </w:rPr>
            </w:pPr>
          </w:p>
        </w:tc>
      </w:tr>
      <w:tr w14:paraId="532D5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Align w:val="center"/>
          </w:tcPr>
          <w:p w14:paraId="1D2FA87F">
            <w:pPr>
              <w:pStyle w:val="133"/>
            </w:pPr>
            <w:r>
              <w:rPr>
                <w:rFonts w:hint="eastAsia"/>
              </w:rPr>
              <w:t>G</w:t>
            </w:r>
            <w:r>
              <w:rPr>
                <w:rFonts w:hint="eastAsia"/>
                <w:vertAlign w:val="subscript"/>
              </w:rPr>
              <w:t>1-4</w:t>
            </w:r>
          </w:p>
        </w:tc>
        <w:tc>
          <w:tcPr>
            <w:tcW w:w="342" w:type="pct"/>
            <w:vAlign w:val="center"/>
          </w:tcPr>
          <w:p w14:paraId="485FCB7B">
            <w:pPr>
              <w:pStyle w:val="133"/>
            </w:pPr>
            <w:r>
              <w:rPr>
                <w:rFonts w:hint="eastAsia"/>
              </w:rPr>
              <w:t>筛焦楼</w:t>
            </w:r>
          </w:p>
        </w:tc>
        <w:tc>
          <w:tcPr>
            <w:tcW w:w="325" w:type="pct"/>
            <w:vAlign w:val="center"/>
          </w:tcPr>
          <w:p w14:paraId="1E0E0221">
            <w:pPr>
              <w:pStyle w:val="133"/>
            </w:pPr>
            <w:r>
              <w:rPr>
                <w:rFonts w:hint="eastAsia"/>
              </w:rPr>
              <w:t>筛焦废气</w:t>
            </w:r>
          </w:p>
        </w:tc>
        <w:tc>
          <w:tcPr>
            <w:tcW w:w="303" w:type="pct"/>
            <w:vAlign w:val="center"/>
          </w:tcPr>
          <w:p w14:paraId="1A747AAA">
            <w:pPr>
              <w:pStyle w:val="133"/>
            </w:pPr>
            <w:r>
              <w:rPr>
                <w:rFonts w:hint="eastAsia"/>
              </w:rPr>
              <w:t>20000</w:t>
            </w:r>
          </w:p>
        </w:tc>
        <w:tc>
          <w:tcPr>
            <w:tcW w:w="452" w:type="pct"/>
            <w:vAlign w:val="center"/>
          </w:tcPr>
          <w:p w14:paraId="01929AF6">
            <w:pPr>
              <w:pStyle w:val="133"/>
            </w:pPr>
            <w:r>
              <w:rPr>
                <w:rFonts w:hint="eastAsia"/>
                <w:szCs w:val="21"/>
              </w:rPr>
              <w:t>颗粒物</w:t>
            </w:r>
          </w:p>
        </w:tc>
        <w:tc>
          <w:tcPr>
            <w:tcW w:w="463" w:type="pct"/>
            <w:vAlign w:val="center"/>
          </w:tcPr>
          <w:p w14:paraId="704F829E">
            <w:pPr>
              <w:pStyle w:val="133"/>
            </w:pPr>
            <w:r>
              <w:rPr>
                <w:rFonts w:hint="eastAsia"/>
                <w:szCs w:val="21"/>
              </w:rPr>
              <w:t>类比法</w:t>
            </w:r>
          </w:p>
        </w:tc>
        <w:tc>
          <w:tcPr>
            <w:tcW w:w="339" w:type="pct"/>
            <w:vAlign w:val="center"/>
          </w:tcPr>
          <w:p w14:paraId="3552CA88">
            <w:pPr>
              <w:pStyle w:val="133"/>
            </w:pPr>
            <w:r>
              <w:rPr>
                <w:rFonts w:eastAsia="等线" w:cs="Times New Roman"/>
                <w:szCs w:val="21"/>
              </w:rPr>
              <w:t>310.0</w:t>
            </w:r>
          </w:p>
        </w:tc>
        <w:tc>
          <w:tcPr>
            <w:tcW w:w="290" w:type="pct"/>
            <w:vAlign w:val="center"/>
          </w:tcPr>
          <w:p w14:paraId="44308E69">
            <w:pPr>
              <w:pStyle w:val="133"/>
            </w:pPr>
            <w:r>
              <w:rPr>
                <w:rFonts w:eastAsia="等线" w:cs="Times New Roman"/>
                <w:szCs w:val="21"/>
              </w:rPr>
              <w:t>6.2</w:t>
            </w:r>
          </w:p>
        </w:tc>
        <w:tc>
          <w:tcPr>
            <w:tcW w:w="482" w:type="pct"/>
            <w:vAlign w:val="center"/>
          </w:tcPr>
          <w:p w14:paraId="15D4252B">
            <w:pPr>
              <w:pStyle w:val="133"/>
            </w:pPr>
            <w:r>
              <w:rPr>
                <w:rFonts w:hint="eastAsia"/>
                <w:szCs w:val="21"/>
              </w:rPr>
              <w:t>布袋除尘器</w:t>
            </w:r>
          </w:p>
        </w:tc>
        <w:tc>
          <w:tcPr>
            <w:tcW w:w="306" w:type="pct"/>
            <w:vAlign w:val="center"/>
          </w:tcPr>
          <w:p w14:paraId="06A29FFE">
            <w:pPr>
              <w:pStyle w:val="133"/>
            </w:pPr>
            <w:r>
              <w:rPr>
                <w:rFonts w:eastAsia="等线" w:cs="Times New Roman"/>
                <w:szCs w:val="21"/>
              </w:rPr>
              <w:t>99</w:t>
            </w:r>
          </w:p>
        </w:tc>
        <w:tc>
          <w:tcPr>
            <w:tcW w:w="323" w:type="pct"/>
            <w:vAlign w:val="center"/>
          </w:tcPr>
          <w:p w14:paraId="27E07DAF">
            <w:pPr>
              <w:pStyle w:val="133"/>
            </w:pPr>
            <w:r>
              <w:rPr>
                <w:rFonts w:eastAsia="等线" w:cs="Times New Roman"/>
                <w:szCs w:val="21"/>
              </w:rPr>
              <w:t>3.1</w:t>
            </w:r>
          </w:p>
        </w:tc>
        <w:tc>
          <w:tcPr>
            <w:tcW w:w="361" w:type="pct"/>
            <w:vAlign w:val="center"/>
          </w:tcPr>
          <w:p w14:paraId="6A427511">
            <w:pPr>
              <w:pStyle w:val="133"/>
            </w:pPr>
            <w:r>
              <w:rPr>
                <w:rFonts w:eastAsia="等线" w:cs="Times New Roman"/>
                <w:szCs w:val="21"/>
              </w:rPr>
              <w:t>0.06</w:t>
            </w:r>
          </w:p>
        </w:tc>
        <w:tc>
          <w:tcPr>
            <w:tcW w:w="162" w:type="pct"/>
            <w:vAlign w:val="center"/>
          </w:tcPr>
          <w:p w14:paraId="12920CDB">
            <w:pPr>
              <w:pStyle w:val="133"/>
            </w:pPr>
            <w:r>
              <w:rPr>
                <w:rFonts w:eastAsia="等线" w:cs="Times New Roman"/>
                <w:szCs w:val="21"/>
              </w:rPr>
              <w:t>15</w:t>
            </w:r>
          </w:p>
        </w:tc>
        <w:tc>
          <w:tcPr>
            <w:tcW w:w="172" w:type="pct"/>
            <w:vAlign w:val="center"/>
          </w:tcPr>
          <w:p w14:paraId="0803F4D2">
            <w:pPr>
              <w:pStyle w:val="133"/>
            </w:pPr>
            <w:r>
              <w:rPr>
                <w:rFonts w:eastAsia="等线" w:cs="Times New Roman"/>
                <w:szCs w:val="21"/>
              </w:rPr>
              <w:t>0.8</w:t>
            </w:r>
          </w:p>
        </w:tc>
        <w:tc>
          <w:tcPr>
            <w:tcW w:w="158" w:type="pct"/>
            <w:vAlign w:val="center"/>
          </w:tcPr>
          <w:p w14:paraId="1AD3C5CD">
            <w:pPr>
              <w:pStyle w:val="133"/>
            </w:pPr>
            <w:r>
              <w:rPr>
                <w:rFonts w:eastAsia="等线" w:cs="Times New Roman"/>
                <w:szCs w:val="21"/>
              </w:rPr>
              <w:t>30</w:t>
            </w:r>
          </w:p>
        </w:tc>
        <w:tc>
          <w:tcPr>
            <w:tcW w:w="228" w:type="pct"/>
            <w:vAlign w:val="center"/>
          </w:tcPr>
          <w:p w14:paraId="49581513">
            <w:pPr>
              <w:pStyle w:val="133"/>
            </w:pPr>
            <w:r>
              <w:rPr>
                <w:rFonts w:hint="eastAsia" w:eastAsia="等线" w:cs="Times New Roman"/>
                <w:szCs w:val="21"/>
              </w:rPr>
              <w:t>7920</w:t>
            </w:r>
          </w:p>
        </w:tc>
      </w:tr>
      <w:tr w14:paraId="244FBB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restart"/>
            <w:vAlign w:val="center"/>
          </w:tcPr>
          <w:p w14:paraId="0E87BF77">
            <w:pPr>
              <w:pStyle w:val="133"/>
            </w:pPr>
            <w:r>
              <w:rPr>
                <w:rFonts w:hint="eastAsia"/>
              </w:rPr>
              <w:t>G</w:t>
            </w:r>
            <w:r>
              <w:rPr>
                <w:rFonts w:hint="eastAsia"/>
                <w:vertAlign w:val="subscript"/>
              </w:rPr>
              <w:t>1-5</w:t>
            </w:r>
          </w:p>
        </w:tc>
        <w:tc>
          <w:tcPr>
            <w:tcW w:w="342" w:type="pct"/>
            <w:vMerge w:val="restart"/>
            <w:vAlign w:val="center"/>
          </w:tcPr>
          <w:p w14:paraId="08C8E5A4">
            <w:pPr>
              <w:pStyle w:val="133"/>
            </w:pPr>
            <w:r>
              <w:rPr>
                <w:rFonts w:hint="eastAsia"/>
              </w:rPr>
              <w:t>兰炭烘干窑</w:t>
            </w:r>
          </w:p>
        </w:tc>
        <w:tc>
          <w:tcPr>
            <w:tcW w:w="325" w:type="pct"/>
            <w:vMerge w:val="restart"/>
            <w:vAlign w:val="center"/>
          </w:tcPr>
          <w:p w14:paraId="1E1E7AE7">
            <w:pPr>
              <w:pStyle w:val="133"/>
            </w:pPr>
            <w:r>
              <w:rPr>
                <w:rFonts w:hint="eastAsia"/>
              </w:rPr>
              <w:t>兰炭烘干废气</w:t>
            </w:r>
          </w:p>
        </w:tc>
        <w:tc>
          <w:tcPr>
            <w:tcW w:w="303" w:type="pct"/>
            <w:vMerge w:val="restart"/>
            <w:vAlign w:val="center"/>
          </w:tcPr>
          <w:p w14:paraId="125DBDD9">
            <w:pPr>
              <w:pStyle w:val="133"/>
            </w:pPr>
            <w:r>
              <w:rPr>
                <w:rFonts w:hint="eastAsia"/>
              </w:rPr>
              <w:t>30637</w:t>
            </w:r>
          </w:p>
        </w:tc>
        <w:tc>
          <w:tcPr>
            <w:tcW w:w="452" w:type="pct"/>
            <w:vAlign w:val="center"/>
          </w:tcPr>
          <w:p w14:paraId="3148DDB6">
            <w:pPr>
              <w:pStyle w:val="133"/>
            </w:pPr>
            <w:r>
              <w:rPr>
                <w:rFonts w:hint="eastAsia"/>
                <w:szCs w:val="21"/>
              </w:rPr>
              <w:t>颗粒物</w:t>
            </w:r>
          </w:p>
        </w:tc>
        <w:tc>
          <w:tcPr>
            <w:tcW w:w="463" w:type="pct"/>
            <w:vAlign w:val="center"/>
          </w:tcPr>
          <w:p w14:paraId="536E6B94">
            <w:pPr>
              <w:pStyle w:val="133"/>
            </w:pPr>
            <w:r>
              <w:rPr>
                <w:rFonts w:hint="eastAsia"/>
                <w:szCs w:val="21"/>
              </w:rPr>
              <w:t>类比法</w:t>
            </w:r>
          </w:p>
        </w:tc>
        <w:tc>
          <w:tcPr>
            <w:tcW w:w="339" w:type="pct"/>
            <w:vAlign w:val="center"/>
          </w:tcPr>
          <w:p w14:paraId="4E21EC26">
            <w:pPr>
              <w:pStyle w:val="133"/>
            </w:pPr>
            <w:r>
              <w:rPr>
                <w:rFonts w:eastAsia="等线" w:cs="Times New Roman"/>
                <w:szCs w:val="21"/>
              </w:rPr>
              <w:t>127.3</w:t>
            </w:r>
          </w:p>
        </w:tc>
        <w:tc>
          <w:tcPr>
            <w:tcW w:w="290" w:type="pct"/>
            <w:vAlign w:val="center"/>
          </w:tcPr>
          <w:p w14:paraId="066D506A">
            <w:pPr>
              <w:pStyle w:val="133"/>
            </w:pPr>
            <w:r>
              <w:rPr>
                <w:rFonts w:eastAsia="等线" w:cs="Times New Roman"/>
                <w:szCs w:val="21"/>
              </w:rPr>
              <w:t>3.9</w:t>
            </w:r>
          </w:p>
        </w:tc>
        <w:tc>
          <w:tcPr>
            <w:tcW w:w="482" w:type="pct"/>
            <w:vAlign w:val="center"/>
          </w:tcPr>
          <w:p w14:paraId="2AB2A77C">
            <w:pPr>
              <w:pStyle w:val="133"/>
            </w:pPr>
            <w:r>
              <w:rPr>
                <w:rFonts w:hint="eastAsia"/>
                <w:szCs w:val="21"/>
              </w:rPr>
              <w:t>旋风除尘+碱洗+布袋除尘器</w:t>
            </w:r>
          </w:p>
        </w:tc>
        <w:tc>
          <w:tcPr>
            <w:tcW w:w="306" w:type="pct"/>
            <w:vAlign w:val="center"/>
          </w:tcPr>
          <w:p w14:paraId="22D003A2">
            <w:pPr>
              <w:pStyle w:val="133"/>
            </w:pPr>
            <w:r>
              <w:rPr>
                <w:rFonts w:eastAsia="等线" w:cs="Times New Roman"/>
                <w:szCs w:val="21"/>
              </w:rPr>
              <w:t>99</w:t>
            </w:r>
          </w:p>
        </w:tc>
        <w:tc>
          <w:tcPr>
            <w:tcW w:w="323" w:type="pct"/>
            <w:vAlign w:val="center"/>
          </w:tcPr>
          <w:p w14:paraId="2128318C">
            <w:pPr>
              <w:pStyle w:val="133"/>
            </w:pPr>
            <w:r>
              <w:rPr>
                <w:rFonts w:eastAsia="等线" w:cs="Times New Roman"/>
                <w:szCs w:val="21"/>
              </w:rPr>
              <w:t>1.3</w:t>
            </w:r>
          </w:p>
        </w:tc>
        <w:tc>
          <w:tcPr>
            <w:tcW w:w="361" w:type="pct"/>
            <w:vAlign w:val="center"/>
          </w:tcPr>
          <w:p w14:paraId="1E019D94">
            <w:pPr>
              <w:pStyle w:val="133"/>
            </w:pPr>
            <w:r>
              <w:rPr>
                <w:rFonts w:eastAsia="等线" w:cs="Times New Roman"/>
                <w:szCs w:val="21"/>
              </w:rPr>
              <w:t>0.04</w:t>
            </w:r>
          </w:p>
        </w:tc>
        <w:tc>
          <w:tcPr>
            <w:tcW w:w="162" w:type="pct"/>
            <w:vMerge w:val="restart"/>
            <w:vAlign w:val="center"/>
          </w:tcPr>
          <w:p w14:paraId="3F0708D0">
            <w:pPr>
              <w:pStyle w:val="133"/>
            </w:pPr>
            <w:r>
              <w:rPr>
                <w:rFonts w:hint="eastAsia"/>
              </w:rPr>
              <w:t>25</w:t>
            </w:r>
          </w:p>
        </w:tc>
        <w:tc>
          <w:tcPr>
            <w:tcW w:w="172" w:type="pct"/>
            <w:vMerge w:val="restart"/>
            <w:vAlign w:val="center"/>
          </w:tcPr>
          <w:p w14:paraId="0BE9E96F">
            <w:pPr>
              <w:pStyle w:val="133"/>
            </w:pPr>
            <w:r>
              <w:rPr>
                <w:rFonts w:hint="eastAsia"/>
              </w:rPr>
              <w:t>1.4</w:t>
            </w:r>
          </w:p>
        </w:tc>
        <w:tc>
          <w:tcPr>
            <w:tcW w:w="158" w:type="pct"/>
            <w:vMerge w:val="restart"/>
            <w:vAlign w:val="center"/>
          </w:tcPr>
          <w:p w14:paraId="27AD00F2">
            <w:pPr>
              <w:pStyle w:val="133"/>
            </w:pPr>
            <w:r>
              <w:rPr>
                <w:rFonts w:hint="eastAsia"/>
              </w:rPr>
              <w:t>70</w:t>
            </w:r>
          </w:p>
        </w:tc>
        <w:tc>
          <w:tcPr>
            <w:tcW w:w="228" w:type="pct"/>
            <w:vMerge w:val="restart"/>
            <w:vAlign w:val="center"/>
          </w:tcPr>
          <w:p w14:paraId="330A118A">
            <w:pPr>
              <w:pStyle w:val="133"/>
            </w:pPr>
            <w:r>
              <w:rPr>
                <w:rFonts w:hint="eastAsia" w:eastAsia="等线" w:cs="Times New Roman"/>
                <w:szCs w:val="21"/>
              </w:rPr>
              <w:t>7920</w:t>
            </w:r>
          </w:p>
        </w:tc>
      </w:tr>
      <w:tr w14:paraId="1C14BD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21E6FA3C">
            <w:pPr>
              <w:pStyle w:val="133"/>
            </w:pPr>
          </w:p>
        </w:tc>
        <w:tc>
          <w:tcPr>
            <w:tcW w:w="342" w:type="pct"/>
            <w:vMerge w:val="continue"/>
            <w:vAlign w:val="center"/>
          </w:tcPr>
          <w:p w14:paraId="351A8752">
            <w:pPr>
              <w:pStyle w:val="133"/>
            </w:pPr>
          </w:p>
        </w:tc>
        <w:tc>
          <w:tcPr>
            <w:tcW w:w="325" w:type="pct"/>
            <w:vMerge w:val="continue"/>
            <w:vAlign w:val="center"/>
          </w:tcPr>
          <w:p w14:paraId="55C61F1E">
            <w:pPr>
              <w:pStyle w:val="133"/>
            </w:pPr>
          </w:p>
        </w:tc>
        <w:tc>
          <w:tcPr>
            <w:tcW w:w="303" w:type="pct"/>
            <w:vMerge w:val="continue"/>
            <w:vAlign w:val="center"/>
          </w:tcPr>
          <w:p w14:paraId="2CA4A2EF">
            <w:pPr>
              <w:pStyle w:val="133"/>
              <w:rPr>
                <w:rFonts w:eastAsia="等线" w:cs="Times New Roman"/>
                <w:szCs w:val="21"/>
              </w:rPr>
            </w:pPr>
          </w:p>
        </w:tc>
        <w:tc>
          <w:tcPr>
            <w:tcW w:w="452" w:type="pct"/>
            <w:vAlign w:val="center"/>
          </w:tcPr>
          <w:p w14:paraId="430B66EB">
            <w:pPr>
              <w:pStyle w:val="133"/>
              <w:rPr>
                <w:szCs w:val="21"/>
              </w:rPr>
            </w:pPr>
            <w:r>
              <w:rPr>
                <w:rFonts w:hint="eastAsia"/>
              </w:rPr>
              <w:t>SO</w:t>
            </w:r>
            <w:r>
              <w:rPr>
                <w:rFonts w:hint="eastAsia"/>
                <w:vertAlign w:val="subscript"/>
              </w:rPr>
              <w:t>2</w:t>
            </w:r>
          </w:p>
        </w:tc>
        <w:tc>
          <w:tcPr>
            <w:tcW w:w="463" w:type="pct"/>
            <w:vAlign w:val="center"/>
          </w:tcPr>
          <w:p w14:paraId="277812C6">
            <w:pPr>
              <w:pStyle w:val="133"/>
              <w:rPr>
                <w:szCs w:val="21"/>
              </w:rPr>
            </w:pPr>
            <w:r>
              <w:rPr>
                <w:rFonts w:hint="eastAsia"/>
              </w:rPr>
              <w:t>物料平衡法</w:t>
            </w:r>
          </w:p>
        </w:tc>
        <w:tc>
          <w:tcPr>
            <w:tcW w:w="339" w:type="pct"/>
            <w:vAlign w:val="center"/>
          </w:tcPr>
          <w:p w14:paraId="447501C2">
            <w:pPr>
              <w:pStyle w:val="133"/>
              <w:rPr>
                <w:rFonts w:eastAsia="等线" w:cs="Times New Roman"/>
                <w:szCs w:val="21"/>
              </w:rPr>
            </w:pPr>
            <w:r>
              <w:rPr>
                <w:rFonts w:eastAsia="等线" w:cs="Times New Roman"/>
                <w:szCs w:val="21"/>
              </w:rPr>
              <w:t>71.8</w:t>
            </w:r>
          </w:p>
        </w:tc>
        <w:tc>
          <w:tcPr>
            <w:tcW w:w="290" w:type="pct"/>
            <w:vAlign w:val="center"/>
          </w:tcPr>
          <w:p w14:paraId="57D1426C">
            <w:pPr>
              <w:pStyle w:val="133"/>
              <w:rPr>
                <w:rFonts w:eastAsia="等线" w:cs="Times New Roman"/>
                <w:szCs w:val="21"/>
              </w:rPr>
            </w:pPr>
            <w:r>
              <w:rPr>
                <w:rFonts w:eastAsia="等线" w:cs="Times New Roman"/>
                <w:szCs w:val="21"/>
              </w:rPr>
              <w:t>2.20</w:t>
            </w:r>
          </w:p>
        </w:tc>
        <w:tc>
          <w:tcPr>
            <w:tcW w:w="482" w:type="pct"/>
            <w:vAlign w:val="center"/>
          </w:tcPr>
          <w:p w14:paraId="11EE0600">
            <w:pPr>
              <w:pStyle w:val="133"/>
              <w:rPr>
                <w:rFonts w:cs="Times New Roman"/>
                <w:szCs w:val="21"/>
              </w:rPr>
            </w:pPr>
            <w:r>
              <w:rPr>
                <w:rFonts w:hint="eastAsia"/>
                <w:szCs w:val="21"/>
              </w:rPr>
              <w:t>碱喷淋脱硫</w:t>
            </w:r>
          </w:p>
        </w:tc>
        <w:tc>
          <w:tcPr>
            <w:tcW w:w="306" w:type="pct"/>
            <w:vAlign w:val="center"/>
          </w:tcPr>
          <w:p w14:paraId="7368DC87">
            <w:pPr>
              <w:pStyle w:val="133"/>
              <w:rPr>
                <w:rFonts w:eastAsia="等线" w:cs="Times New Roman"/>
                <w:szCs w:val="21"/>
              </w:rPr>
            </w:pPr>
            <w:r>
              <w:rPr>
                <w:rFonts w:eastAsia="等线" w:cs="Times New Roman"/>
                <w:szCs w:val="21"/>
              </w:rPr>
              <w:t>85</w:t>
            </w:r>
          </w:p>
        </w:tc>
        <w:tc>
          <w:tcPr>
            <w:tcW w:w="323" w:type="pct"/>
            <w:vAlign w:val="center"/>
          </w:tcPr>
          <w:p w14:paraId="18E11F88">
            <w:pPr>
              <w:pStyle w:val="133"/>
              <w:rPr>
                <w:rFonts w:eastAsia="等线" w:cs="Times New Roman"/>
                <w:szCs w:val="21"/>
              </w:rPr>
            </w:pPr>
            <w:r>
              <w:rPr>
                <w:rFonts w:eastAsia="等线" w:cs="Times New Roman"/>
                <w:szCs w:val="21"/>
              </w:rPr>
              <w:t>10.8</w:t>
            </w:r>
          </w:p>
        </w:tc>
        <w:tc>
          <w:tcPr>
            <w:tcW w:w="361" w:type="pct"/>
            <w:vAlign w:val="center"/>
          </w:tcPr>
          <w:p w14:paraId="0F835AE2">
            <w:pPr>
              <w:pStyle w:val="133"/>
              <w:rPr>
                <w:rFonts w:eastAsia="等线" w:cs="Times New Roman"/>
                <w:szCs w:val="21"/>
              </w:rPr>
            </w:pPr>
            <w:r>
              <w:rPr>
                <w:rFonts w:eastAsia="等线" w:cs="Times New Roman"/>
                <w:szCs w:val="21"/>
              </w:rPr>
              <w:t>0.33</w:t>
            </w:r>
          </w:p>
        </w:tc>
        <w:tc>
          <w:tcPr>
            <w:tcW w:w="162" w:type="pct"/>
            <w:vMerge w:val="continue"/>
            <w:vAlign w:val="center"/>
          </w:tcPr>
          <w:p w14:paraId="3D42459A">
            <w:pPr>
              <w:pStyle w:val="133"/>
              <w:rPr>
                <w:rFonts w:eastAsia="等线" w:cs="Times New Roman"/>
                <w:szCs w:val="21"/>
              </w:rPr>
            </w:pPr>
          </w:p>
        </w:tc>
        <w:tc>
          <w:tcPr>
            <w:tcW w:w="172" w:type="pct"/>
            <w:vMerge w:val="continue"/>
            <w:vAlign w:val="center"/>
          </w:tcPr>
          <w:p w14:paraId="3274F2F2">
            <w:pPr>
              <w:pStyle w:val="133"/>
              <w:rPr>
                <w:rFonts w:eastAsia="等线" w:cs="Times New Roman"/>
                <w:szCs w:val="21"/>
              </w:rPr>
            </w:pPr>
          </w:p>
        </w:tc>
        <w:tc>
          <w:tcPr>
            <w:tcW w:w="158" w:type="pct"/>
            <w:vMerge w:val="continue"/>
            <w:vAlign w:val="center"/>
          </w:tcPr>
          <w:p w14:paraId="4B990B20">
            <w:pPr>
              <w:pStyle w:val="133"/>
              <w:rPr>
                <w:rFonts w:eastAsia="等线" w:cs="Times New Roman"/>
                <w:szCs w:val="21"/>
              </w:rPr>
            </w:pPr>
          </w:p>
        </w:tc>
        <w:tc>
          <w:tcPr>
            <w:tcW w:w="228" w:type="pct"/>
            <w:vMerge w:val="continue"/>
            <w:vAlign w:val="center"/>
          </w:tcPr>
          <w:p w14:paraId="494CA2F7">
            <w:pPr>
              <w:pStyle w:val="133"/>
              <w:rPr>
                <w:rFonts w:eastAsia="等线" w:cs="Times New Roman"/>
                <w:szCs w:val="21"/>
              </w:rPr>
            </w:pPr>
          </w:p>
        </w:tc>
      </w:tr>
      <w:tr w14:paraId="46285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62B6437E">
            <w:pPr>
              <w:pStyle w:val="133"/>
            </w:pPr>
          </w:p>
        </w:tc>
        <w:tc>
          <w:tcPr>
            <w:tcW w:w="342" w:type="pct"/>
            <w:vMerge w:val="continue"/>
            <w:vAlign w:val="center"/>
          </w:tcPr>
          <w:p w14:paraId="054825DF">
            <w:pPr>
              <w:pStyle w:val="133"/>
            </w:pPr>
          </w:p>
        </w:tc>
        <w:tc>
          <w:tcPr>
            <w:tcW w:w="325" w:type="pct"/>
            <w:vMerge w:val="continue"/>
            <w:vAlign w:val="center"/>
          </w:tcPr>
          <w:p w14:paraId="3BE1A179">
            <w:pPr>
              <w:pStyle w:val="133"/>
            </w:pPr>
          </w:p>
        </w:tc>
        <w:tc>
          <w:tcPr>
            <w:tcW w:w="303" w:type="pct"/>
            <w:vMerge w:val="continue"/>
            <w:vAlign w:val="center"/>
          </w:tcPr>
          <w:p w14:paraId="59FC610B">
            <w:pPr>
              <w:pStyle w:val="133"/>
              <w:rPr>
                <w:rFonts w:eastAsia="等线" w:cs="Times New Roman"/>
                <w:szCs w:val="21"/>
              </w:rPr>
            </w:pPr>
          </w:p>
        </w:tc>
        <w:tc>
          <w:tcPr>
            <w:tcW w:w="452" w:type="pct"/>
            <w:vAlign w:val="center"/>
          </w:tcPr>
          <w:p w14:paraId="4223C4C7">
            <w:pPr>
              <w:pStyle w:val="133"/>
              <w:rPr>
                <w:szCs w:val="21"/>
              </w:rPr>
            </w:pPr>
            <w:r>
              <w:rPr>
                <w:rFonts w:hint="eastAsia"/>
              </w:rPr>
              <w:t>NOx</w:t>
            </w:r>
          </w:p>
        </w:tc>
        <w:tc>
          <w:tcPr>
            <w:tcW w:w="463" w:type="pct"/>
            <w:vAlign w:val="center"/>
          </w:tcPr>
          <w:p w14:paraId="7140E1B4">
            <w:pPr>
              <w:pStyle w:val="133"/>
              <w:rPr>
                <w:szCs w:val="21"/>
              </w:rPr>
            </w:pPr>
            <w:r>
              <w:rPr>
                <w:rFonts w:hint="eastAsia"/>
              </w:rPr>
              <w:t>产污系数法</w:t>
            </w:r>
          </w:p>
        </w:tc>
        <w:tc>
          <w:tcPr>
            <w:tcW w:w="339" w:type="pct"/>
            <w:vAlign w:val="center"/>
          </w:tcPr>
          <w:p w14:paraId="611FA74E">
            <w:pPr>
              <w:pStyle w:val="133"/>
              <w:rPr>
                <w:rFonts w:eastAsia="等线" w:cs="Times New Roman"/>
                <w:szCs w:val="21"/>
              </w:rPr>
            </w:pPr>
            <w:r>
              <w:rPr>
                <w:rFonts w:eastAsia="等线" w:cs="Times New Roman"/>
                <w:szCs w:val="21"/>
              </w:rPr>
              <w:t>117.8</w:t>
            </w:r>
          </w:p>
        </w:tc>
        <w:tc>
          <w:tcPr>
            <w:tcW w:w="290" w:type="pct"/>
            <w:vAlign w:val="center"/>
          </w:tcPr>
          <w:p w14:paraId="1662515A">
            <w:pPr>
              <w:pStyle w:val="133"/>
              <w:rPr>
                <w:rFonts w:eastAsia="等线" w:cs="Times New Roman"/>
                <w:szCs w:val="21"/>
              </w:rPr>
            </w:pPr>
            <w:r>
              <w:rPr>
                <w:rFonts w:eastAsia="等线" w:cs="Times New Roman"/>
                <w:szCs w:val="21"/>
              </w:rPr>
              <w:t>3.61</w:t>
            </w:r>
          </w:p>
        </w:tc>
        <w:tc>
          <w:tcPr>
            <w:tcW w:w="482" w:type="pct"/>
            <w:vAlign w:val="center"/>
          </w:tcPr>
          <w:p w14:paraId="54D7A064">
            <w:pPr>
              <w:pStyle w:val="133"/>
              <w:rPr>
                <w:rFonts w:cs="Times New Roman"/>
                <w:szCs w:val="21"/>
              </w:rPr>
            </w:pPr>
            <w:r>
              <w:rPr>
                <w:rFonts w:hint="eastAsia"/>
                <w:szCs w:val="21"/>
              </w:rPr>
              <w:t>/</w:t>
            </w:r>
          </w:p>
        </w:tc>
        <w:tc>
          <w:tcPr>
            <w:tcW w:w="306" w:type="pct"/>
            <w:vAlign w:val="center"/>
          </w:tcPr>
          <w:p w14:paraId="6F310D18">
            <w:pPr>
              <w:pStyle w:val="133"/>
              <w:rPr>
                <w:rFonts w:eastAsia="等线" w:cs="Times New Roman"/>
                <w:szCs w:val="21"/>
              </w:rPr>
            </w:pPr>
            <w:r>
              <w:rPr>
                <w:rFonts w:hint="eastAsia"/>
                <w:szCs w:val="21"/>
              </w:rPr>
              <w:t>/</w:t>
            </w:r>
          </w:p>
        </w:tc>
        <w:tc>
          <w:tcPr>
            <w:tcW w:w="323" w:type="pct"/>
            <w:vAlign w:val="center"/>
          </w:tcPr>
          <w:p w14:paraId="47D039B8">
            <w:pPr>
              <w:pStyle w:val="133"/>
              <w:rPr>
                <w:rFonts w:eastAsia="等线" w:cs="Times New Roman"/>
                <w:szCs w:val="21"/>
              </w:rPr>
            </w:pPr>
            <w:r>
              <w:rPr>
                <w:rFonts w:eastAsia="等线" w:cs="Times New Roman"/>
                <w:szCs w:val="21"/>
              </w:rPr>
              <w:t>117.8</w:t>
            </w:r>
          </w:p>
        </w:tc>
        <w:tc>
          <w:tcPr>
            <w:tcW w:w="361" w:type="pct"/>
            <w:vAlign w:val="center"/>
          </w:tcPr>
          <w:p w14:paraId="1A43262E">
            <w:pPr>
              <w:pStyle w:val="133"/>
              <w:rPr>
                <w:rFonts w:eastAsia="等线" w:cs="Times New Roman"/>
                <w:szCs w:val="21"/>
              </w:rPr>
            </w:pPr>
            <w:r>
              <w:rPr>
                <w:rFonts w:eastAsia="等线" w:cs="Times New Roman"/>
                <w:szCs w:val="21"/>
              </w:rPr>
              <w:t>3.61</w:t>
            </w:r>
          </w:p>
        </w:tc>
        <w:tc>
          <w:tcPr>
            <w:tcW w:w="162" w:type="pct"/>
            <w:vMerge w:val="continue"/>
            <w:vAlign w:val="center"/>
          </w:tcPr>
          <w:p w14:paraId="1D1C807D">
            <w:pPr>
              <w:pStyle w:val="133"/>
              <w:rPr>
                <w:rFonts w:eastAsia="等线" w:cs="Times New Roman"/>
                <w:szCs w:val="21"/>
              </w:rPr>
            </w:pPr>
          </w:p>
        </w:tc>
        <w:tc>
          <w:tcPr>
            <w:tcW w:w="172" w:type="pct"/>
            <w:vMerge w:val="continue"/>
            <w:vAlign w:val="center"/>
          </w:tcPr>
          <w:p w14:paraId="697A03B7">
            <w:pPr>
              <w:pStyle w:val="133"/>
              <w:rPr>
                <w:rFonts w:eastAsia="等线" w:cs="Times New Roman"/>
                <w:szCs w:val="21"/>
              </w:rPr>
            </w:pPr>
          </w:p>
        </w:tc>
        <w:tc>
          <w:tcPr>
            <w:tcW w:w="158" w:type="pct"/>
            <w:vMerge w:val="continue"/>
            <w:vAlign w:val="center"/>
          </w:tcPr>
          <w:p w14:paraId="08ED6830">
            <w:pPr>
              <w:pStyle w:val="133"/>
              <w:rPr>
                <w:rFonts w:eastAsia="等线" w:cs="Times New Roman"/>
                <w:szCs w:val="21"/>
              </w:rPr>
            </w:pPr>
          </w:p>
        </w:tc>
        <w:tc>
          <w:tcPr>
            <w:tcW w:w="228" w:type="pct"/>
            <w:vMerge w:val="continue"/>
            <w:vAlign w:val="center"/>
          </w:tcPr>
          <w:p w14:paraId="16C2B1B6">
            <w:pPr>
              <w:pStyle w:val="133"/>
              <w:rPr>
                <w:rFonts w:eastAsia="等线" w:cs="Times New Roman"/>
                <w:szCs w:val="21"/>
              </w:rPr>
            </w:pPr>
          </w:p>
        </w:tc>
      </w:tr>
      <w:tr w14:paraId="003D30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Align w:val="center"/>
          </w:tcPr>
          <w:p w14:paraId="14878B9B">
            <w:pPr>
              <w:pStyle w:val="133"/>
            </w:pPr>
            <w:r>
              <w:rPr>
                <w:rFonts w:hint="eastAsia"/>
              </w:rPr>
              <w:t>G</w:t>
            </w:r>
            <w:r>
              <w:rPr>
                <w:rFonts w:hint="eastAsia"/>
                <w:vertAlign w:val="subscript"/>
              </w:rPr>
              <w:t>1-6</w:t>
            </w:r>
          </w:p>
        </w:tc>
        <w:tc>
          <w:tcPr>
            <w:tcW w:w="342" w:type="pct"/>
            <w:vAlign w:val="center"/>
          </w:tcPr>
          <w:p w14:paraId="2F037926">
            <w:pPr>
              <w:pStyle w:val="133"/>
            </w:pPr>
            <w:r>
              <w:rPr>
                <w:rFonts w:hint="eastAsia"/>
              </w:rPr>
              <w:t>兰炭筛分间</w:t>
            </w:r>
          </w:p>
        </w:tc>
        <w:tc>
          <w:tcPr>
            <w:tcW w:w="325" w:type="pct"/>
            <w:vAlign w:val="center"/>
          </w:tcPr>
          <w:p w14:paraId="334B775B">
            <w:pPr>
              <w:pStyle w:val="133"/>
            </w:pPr>
            <w:r>
              <w:rPr>
                <w:rFonts w:hint="eastAsia"/>
              </w:rPr>
              <w:t>兰炭筛分废气</w:t>
            </w:r>
          </w:p>
        </w:tc>
        <w:tc>
          <w:tcPr>
            <w:tcW w:w="303" w:type="pct"/>
            <w:vAlign w:val="center"/>
          </w:tcPr>
          <w:p w14:paraId="712E9BA6">
            <w:pPr>
              <w:pStyle w:val="133"/>
            </w:pPr>
            <w:r>
              <w:rPr>
                <w:rFonts w:hint="eastAsia" w:eastAsia="等线" w:cs="Times New Roman"/>
                <w:szCs w:val="21"/>
              </w:rPr>
              <w:t>18906</w:t>
            </w:r>
          </w:p>
        </w:tc>
        <w:tc>
          <w:tcPr>
            <w:tcW w:w="452" w:type="pct"/>
            <w:vAlign w:val="center"/>
          </w:tcPr>
          <w:p w14:paraId="241614FC">
            <w:pPr>
              <w:pStyle w:val="133"/>
            </w:pPr>
            <w:r>
              <w:rPr>
                <w:rFonts w:hint="eastAsia"/>
                <w:szCs w:val="21"/>
              </w:rPr>
              <w:t>颗粒物</w:t>
            </w:r>
          </w:p>
        </w:tc>
        <w:tc>
          <w:tcPr>
            <w:tcW w:w="463" w:type="pct"/>
            <w:vAlign w:val="center"/>
          </w:tcPr>
          <w:p w14:paraId="7E2FCDC0">
            <w:pPr>
              <w:pStyle w:val="133"/>
            </w:pPr>
            <w:r>
              <w:rPr>
                <w:rFonts w:hint="eastAsia"/>
                <w:szCs w:val="21"/>
              </w:rPr>
              <w:t>类比法</w:t>
            </w:r>
          </w:p>
        </w:tc>
        <w:tc>
          <w:tcPr>
            <w:tcW w:w="339" w:type="pct"/>
            <w:vAlign w:val="center"/>
          </w:tcPr>
          <w:p w14:paraId="0AF54686">
            <w:pPr>
              <w:pStyle w:val="133"/>
            </w:pPr>
            <w:r>
              <w:rPr>
                <w:rFonts w:hint="eastAsia" w:eastAsia="等线" w:cs="Times New Roman"/>
                <w:szCs w:val="21"/>
              </w:rPr>
              <w:t>1306.5</w:t>
            </w:r>
          </w:p>
        </w:tc>
        <w:tc>
          <w:tcPr>
            <w:tcW w:w="290" w:type="pct"/>
            <w:vAlign w:val="center"/>
          </w:tcPr>
          <w:p w14:paraId="7E9F3B3F">
            <w:pPr>
              <w:pStyle w:val="133"/>
            </w:pPr>
            <w:r>
              <w:rPr>
                <w:rFonts w:hint="eastAsia" w:eastAsia="等线" w:cs="Times New Roman"/>
                <w:szCs w:val="21"/>
              </w:rPr>
              <w:t>224.7</w:t>
            </w:r>
          </w:p>
        </w:tc>
        <w:tc>
          <w:tcPr>
            <w:tcW w:w="482" w:type="pct"/>
            <w:vAlign w:val="center"/>
          </w:tcPr>
          <w:p w14:paraId="3DB0E569">
            <w:pPr>
              <w:pStyle w:val="133"/>
            </w:pPr>
            <w:r>
              <w:rPr>
                <w:rFonts w:hint="eastAsia"/>
                <w:szCs w:val="21"/>
              </w:rPr>
              <w:t>布袋除尘器</w:t>
            </w:r>
          </w:p>
        </w:tc>
        <w:tc>
          <w:tcPr>
            <w:tcW w:w="306" w:type="pct"/>
            <w:vAlign w:val="center"/>
          </w:tcPr>
          <w:p w14:paraId="465DBAFF">
            <w:pPr>
              <w:pStyle w:val="133"/>
            </w:pPr>
            <w:r>
              <w:rPr>
                <w:rFonts w:eastAsia="等线" w:cs="Times New Roman"/>
                <w:szCs w:val="21"/>
              </w:rPr>
              <w:t>99</w:t>
            </w:r>
            <w:r>
              <w:rPr>
                <w:rFonts w:hint="eastAsia" w:eastAsia="等线" w:cs="Times New Roman"/>
                <w:szCs w:val="21"/>
              </w:rPr>
              <w:t>.5</w:t>
            </w:r>
          </w:p>
        </w:tc>
        <w:tc>
          <w:tcPr>
            <w:tcW w:w="323" w:type="pct"/>
            <w:vAlign w:val="center"/>
          </w:tcPr>
          <w:p w14:paraId="14DB97EA">
            <w:pPr>
              <w:pStyle w:val="133"/>
            </w:pPr>
            <w:r>
              <w:rPr>
                <w:rFonts w:eastAsia="等线" w:cs="Times New Roman"/>
                <w:szCs w:val="21"/>
              </w:rPr>
              <w:t>6.5</w:t>
            </w:r>
          </w:p>
        </w:tc>
        <w:tc>
          <w:tcPr>
            <w:tcW w:w="361" w:type="pct"/>
            <w:vAlign w:val="center"/>
          </w:tcPr>
          <w:p w14:paraId="475FA63A">
            <w:pPr>
              <w:pStyle w:val="133"/>
            </w:pPr>
            <w:r>
              <w:rPr>
                <w:rFonts w:eastAsia="等线" w:cs="Times New Roman"/>
                <w:szCs w:val="21"/>
              </w:rPr>
              <w:t>0.1235</w:t>
            </w:r>
          </w:p>
        </w:tc>
        <w:tc>
          <w:tcPr>
            <w:tcW w:w="162" w:type="pct"/>
            <w:vAlign w:val="center"/>
          </w:tcPr>
          <w:p w14:paraId="3B78DE14">
            <w:pPr>
              <w:pStyle w:val="133"/>
            </w:pPr>
            <w:r>
              <w:rPr>
                <w:rFonts w:hint="eastAsia"/>
              </w:rPr>
              <w:t>15</w:t>
            </w:r>
          </w:p>
        </w:tc>
        <w:tc>
          <w:tcPr>
            <w:tcW w:w="172" w:type="pct"/>
            <w:vAlign w:val="center"/>
          </w:tcPr>
          <w:p w14:paraId="26EC8B65">
            <w:pPr>
              <w:pStyle w:val="133"/>
            </w:pPr>
            <w:r>
              <w:rPr>
                <w:rFonts w:hint="eastAsia"/>
              </w:rPr>
              <w:t>0.8</w:t>
            </w:r>
          </w:p>
        </w:tc>
        <w:tc>
          <w:tcPr>
            <w:tcW w:w="158" w:type="pct"/>
            <w:vAlign w:val="center"/>
          </w:tcPr>
          <w:p w14:paraId="5BAC6B45">
            <w:pPr>
              <w:pStyle w:val="133"/>
            </w:pPr>
            <w:r>
              <w:rPr>
                <w:rFonts w:hint="eastAsia"/>
              </w:rPr>
              <w:t>40</w:t>
            </w:r>
          </w:p>
        </w:tc>
        <w:tc>
          <w:tcPr>
            <w:tcW w:w="228" w:type="pct"/>
            <w:vAlign w:val="center"/>
          </w:tcPr>
          <w:p w14:paraId="009C1E25">
            <w:pPr>
              <w:pStyle w:val="133"/>
            </w:pPr>
            <w:r>
              <w:rPr>
                <w:rFonts w:hint="eastAsia" w:eastAsia="等线" w:cs="Times New Roman"/>
                <w:szCs w:val="21"/>
              </w:rPr>
              <w:t>7920</w:t>
            </w:r>
          </w:p>
        </w:tc>
      </w:tr>
      <w:tr w14:paraId="0B608F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restart"/>
            <w:vAlign w:val="center"/>
          </w:tcPr>
          <w:p w14:paraId="4675E942">
            <w:pPr>
              <w:pStyle w:val="133"/>
            </w:pPr>
            <w:r>
              <w:rPr>
                <w:rFonts w:hint="eastAsia"/>
              </w:rPr>
              <w:t>G</w:t>
            </w:r>
            <w:r>
              <w:rPr>
                <w:rFonts w:hint="eastAsia"/>
                <w:vertAlign w:val="subscript"/>
              </w:rPr>
              <w:t>1-7</w:t>
            </w:r>
          </w:p>
        </w:tc>
        <w:tc>
          <w:tcPr>
            <w:tcW w:w="342" w:type="pct"/>
            <w:vMerge w:val="restart"/>
            <w:vAlign w:val="center"/>
          </w:tcPr>
          <w:p w14:paraId="34825D28">
            <w:pPr>
              <w:pStyle w:val="133"/>
            </w:pPr>
            <w:r>
              <w:rPr>
                <w:rFonts w:hint="eastAsia"/>
              </w:rPr>
              <w:t>废水焚烧炉（4台）</w:t>
            </w:r>
          </w:p>
        </w:tc>
        <w:tc>
          <w:tcPr>
            <w:tcW w:w="325" w:type="pct"/>
            <w:vMerge w:val="restart"/>
            <w:vAlign w:val="center"/>
          </w:tcPr>
          <w:p w14:paraId="083CA33F">
            <w:pPr>
              <w:pStyle w:val="133"/>
            </w:pPr>
            <w:r>
              <w:rPr>
                <w:rFonts w:hint="eastAsia"/>
              </w:rPr>
              <w:t>焚烧炉烟气</w:t>
            </w:r>
          </w:p>
        </w:tc>
        <w:tc>
          <w:tcPr>
            <w:tcW w:w="303" w:type="pct"/>
            <w:vMerge w:val="restart"/>
            <w:vAlign w:val="center"/>
          </w:tcPr>
          <w:p w14:paraId="194F67F4">
            <w:pPr>
              <w:pStyle w:val="133"/>
            </w:pPr>
            <w:r>
              <w:rPr>
                <w:rFonts w:hint="eastAsia"/>
              </w:rPr>
              <w:t>65057</w:t>
            </w:r>
          </w:p>
        </w:tc>
        <w:tc>
          <w:tcPr>
            <w:tcW w:w="452" w:type="pct"/>
            <w:vAlign w:val="center"/>
          </w:tcPr>
          <w:p w14:paraId="1653BABC">
            <w:pPr>
              <w:pStyle w:val="133"/>
            </w:pPr>
            <w:r>
              <w:rPr>
                <w:rFonts w:hint="eastAsia"/>
              </w:rPr>
              <w:t>烟尘</w:t>
            </w:r>
          </w:p>
        </w:tc>
        <w:tc>
          <w:tcPr>
            <w:tcW w:w="463" w:type="pct"/>
            <w:vAlign w:val="center"/>
          </w:tcPr>
          <w:p w14:paraId="252F6F87">
            <w:pPr>
              <w:pStyle w:val="133"/>
            </w:pPr>
            <w:r>
              <w:rPr>
                <w:rFonts w:hint="eastAsia"/>
              </w:rPr>
              <w:t>产污系数法</w:t>
            </w:r>
          </w:p>
        </w:tc>
        <w:tc>
          <w:tcPr>
            <w:tcW w:w="339" w:type="pct"/>
            <w:vAlign w:val="center"/>
          </w:tcPr>
          <w:p w14:paraId="27D64E7C">
            <w:pPr>
              <w:pStyle w:val="133"/>
            </w:pPr>
            <w:r>
              <w:rPr>
                <w:rFonts w:eastAsia="等线" w:cs="Times New Roman"/>
                <w:color w:val="000000"/>
                <w:szCs w:val="21"/>
              </w:rPr>
              <w:t>59</w:t>
            </w:r>
          </w:p>
        </w:tc>
        <w:tc>
          <w:tcPr>
            <w:tcW w:w="290" w:type="pct"/>
            <w:vAlign w:val="center"/>
          </w:tcPr>
          <w:p w14:paraId="638DA69D">
            <w:pPr>
              <w:pStyle w:val="133"/>
            </w:pPr>
            <w:r>
              <w:rPr>
                <w:rFonts w:eastAsia="等线" w:cs="Times New Roman"/>
                <w:color w:val="000000"/>
                <w:szCs w:val="21"/>
              </w:rPr>
              <w:t>3.81</w:t>
            </w:r>
          </w:p>
        </w:tc>
        <w:tc>
          <w:tcPr>
            <w:tcW w:w="482" w:type="pct"/>
            <w:vMerge w:val="restart"/>
            <w:vAlign w:val="center"/>
          </w:tcPr>
          <w:p w14:paraId="4C3DBE62">
            <w:pPr>
              <w:pStyle w:val="133"/>
            </w:pPr>
            <w:r>
              <w:rPr>
                <w:rFonts w:hint="eastAsia" w:cs="Times New Roman"/>
              </w:rPr>
              <w:t>SNCR+二级碱喷淋脱硫</w:t>
            </w:r>
          </w:p>
        </w:tc>
        <w:tc>
          <w:tcPr>
            <w:tcW w:w="306" w:type="pct"/>
            <w:vAlign w:val="center"/>
          </w:tcPr>
          <w:p w14:paraId="77BD9E46">
            <w:pPr>
              <w:pStyle w:val="133"/>
            </w:pPr>
            <w:r>
              <w:rPr>
                <w:rFonts w:eastAsia="等线" w:cs="Times New Roman"/>
                <w:color w:val="000000"/>
                <w:szCs w:val="21"/>
              </w:rPr>
              <w:t>87</w:t>
            </w:r>
          </w:p>
        </w:tc>
        <w:tc>
          <w:tcPr>
            <w:tcW w:w="323" w:type="pct"/>
            <w:vAlign w:val="center"/>
          </w:tcPr>
          <w:p w14:paraId="406DDA1E">
            <w:pPr>
              <w:pStyle w:val="133"/>
            </w:pPr>
            <w:r>
              <w:rPr>
                <w:rFonts w:hint="eastAsia"/>
                <w:color w:val="000000"/>
                <w:szCs w:val="21"/>
              </w:rPr>
              <w:t>7.6</w:t>
            </w:r>
          </w:p>
        </w:tc>
        <w:tc>
          <w:tcPr>
            <w:tcW w:w="361" w:type="pct"/>
            <w:vAlign w:val="center"/>
          </w:tcPr>
          <w:p w14:paraId="51557FF2">
            <w:pPr>
              <w:pStyle w:val="133"/>
            </w:pPr>
            <w:r>
              <w:rPr>
                <w:rFonts w:hint="eastAsia"/>
                <w:color w:val="000000"/>
                <w:szCs w:val="21"/>
              </w:rPr>
              <w:t>0.50</w:t>
            </w:r>
          </w:p>
        </w:tc>
        <w:tc>
          <w:tcPr>
            <w:tcW w:w="162" w:type="pct"/>
            <w:vMerge w:val="restart"/>
            <w:vAlign w:val="center"/>
          </w:tcPr>
          <w:p w14:paraId="581A58F4">
            <w:pPr>
              <w:pStyle w:val="133"/>
            </w:pPr>
            <w:r>
              <w:rPr>
                <w:rFonts w:hint="eastAsia"/>
              </w:rPr>
              <w:t>15</w:t>
            </w:r>
          </w:p>
        </w:tc>
        <w:tc>
          <w:tcPr>
            <w:tcW w:w="172" w:type="pct"/>
            <w:vMerge w:val="restart"/>
            <w:vAlign w:val="center"/>
          </w:tcPr>
          <w:p w14:paraId="05D37404">
            <w:pPr>
              <w:pStyle w:val="133"/>
            </w:pPr>
            <w:r>
              <w:rPr>
                <w:rFonts w:hint="eastAsia"/>
              </w:rPr>
              <w:t>1.2</w:t>
            </w:r>
          </w:p>
        </w:tc>
        <w:tc>
          <w:tcPr>
            <w:tcW w:w="158" w:type="pct"/>
            <w:vMerge w:val="restart"/>
            <w:vAlign w:val="center"/>
          </w:tcPr>
          <w:p w14:paraId="1C167C18">
            <w:pPr>
              <w:pStyle w:val="133"/>
            </w:pPr>
            <w:r>
              <w:rPr>
                <w:rFonts w:hint="eastAsia"/>
              </w:rPr>
              <w:t>70</w:t>
            </w:r>
          </w:p>
        </w:tc>
        <w:tc>
          <w:tcPr>
            <w:tcW w:w="228" w:type="pct"/>
            <w:vMerge w:val="restart"/>
            <w:vAlign w:val="center"/>
          </w:tcPr>
          <w:p w14:paraId="25A378DD">
            <w:pPr>
              <w:pStyle w:val="133"/>
            </w:pPr>
            <w:r>
              <w:rPr>
                <w:rFonts w:hint="eastAsia" w:eastAsia="等线" w:cs="Times New Roman"/>
                <w:szCs w:val="21"/>
              </w:rPr>
              <w:t>7920</w:t>
            </w:r>
          </w:p>
        </w:tc>
      </w:tr>
      <w:tr w14:paraId="0C39C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126C0E77">
            <w:pPr>
              <w:pStyle w:val="133"/>
            </w:pPr>
          </w:p>
        </w:tc>
        <w:tc>
          <w:tcPr>
            <w:tcW w:w="342" w:type="pct"/>
            <w:vMerge w:val="continue"/>
            <w:vAlign w:val="center"/>
          </w:tcPr>
          <w:p w14:paraId="56739CFB">
            <w:pPr>
              <w:pStyle w:val="133"/>
            </w:pPr>
          </w:p>
        </w:tc>
        <w:tc>
          <w:tcPr>
            <w:tcW w:w="325" w:type="pct"/>
            <w:vMerge w:val="continue"/>
            <w:vAlign w:val="center"/>
          </w:tcPr>
          <w:p w14:paraId="2C5A3A67">
            <w:pPr>
              <w:pStyle w:val="133"/>
            </w:pPr>
          </w:p>
        </w:tc>
        <w:tc>
          <w:tcPr>
            <w:tcW w:w="303" w:type="pct"/>
            <w:vMerge w:val="continue"/>
            <w:vAlign w:val="center"/>
          </w:tcPr>
          <w:p w14:paraId="1C7F4681">
            <w:pPr>
              <w:pStyle w:val="133"/>
            </w:pPr>
          </w:p>
        </w:tc>
        <w:tc>
          <w:tcPr>
            <w:tcW w:w="452" w:type="pct"/>
            <w:vAlign w:val="center"/>
          </w:tcPr>
          <w:p w14:paraId="59C08878">
            <w:pPr>
              <w:pStyle w:val="133"/>
            </w:pPr>
            <w:r>
              <w:rPr>
                <w:rFonts w:hint="eastAsia"/>
              </w:rPr>
              <w:t>SO</w:t>
            </w:r>
            <w:r>
              <w:rPr>
                <w:rFonts w:hint="eastAsia"/>
                <w:vertAlign w:val="subscript"/>
              </w:rPr>
              <w:t>2</w:t>
            </w:r>
          </w:p>
        </w:tc>
        <w:tc>
          <w:tcPr>
            <w:tcW w:w="463" w:type="pct"/>
            <w:vAlign w:val="center"/>
          </w:tcPr>
          <w:p w14:paraId="4A4059FB">
            <w:pPr>
              <w:pStyle w:val="133"/>
            </w:pPr>
            <w:r>
              <w:rPr>
                <w:rFonts w:hint="eastAsia"/>
              </w:rPr>
              <w:t>物料平衡法</w:t>
            </w:r>
          </w:p>
        </w:tc>
        <w:tc>
          <w:tcPr>
            <w:tcW w:w="339" w:type="pct"/>
            <w:vAlign w:val="center"/>
          </w:tcPr>
          <w:p w14:paraId="21C8CBBA">
            <w:pPr>
              <w:pStyle w:val="133"/>
            </w:pPr>
            <w:r>
              <w:rPr>
                <w:rFonts w:eastAsia="等线" w:cs="Times New Roman"/>
                <w:color w:val="000000"/>
                <w:szCs w:val="21"/>
              </w:rPr>
              <w:t>555</w:t>
            </w:r>
          </w:p>
        </w:tc>
        <w:tc>
          <w:tcPr>
            <w:tcW w:w="290" w:type="pct"/>
            <w:vAlign w:val="center"/>
          </w:tcPr>
          <w:p w14:paraId="2F3C545F">
            <w:pPr>
              <w:pStyle w:val="133"/>
            </w:pPr>
            <w:r>
              <w:rPr>
                <w:rFonts w:eastAsia="等线" w:cs="Times New Roman"/>
                <w:color w:val="000000"/>
                <w:szCs w:val="21"/>
              </w:rPr>
              <w:t>36.08</w:t>
            </w:r>
          </w:p>
        </w:tc>
        <w:tc>
          <w:tcPr>
            <w:tcW w:w="482" w:type="pct"/>
            <w:vMerge w:val="continue"/>
            <w:vAlign w:val="center"/>
          </w:tcPr>
          <w:p w14:paraId="387D8406">
            <w:pPr>
              <w:pStyle w:val="133"/>
            </w:pPr>
          </w:p>
        </w:tc>
        <w:tc>
          <w:tcPr>
            <w:tcW w:w="306" w:type="pct"/>
            <w:vAlign w:val="center"/>
          </w:tcPr>
          <w:p w14:paraId="423EA6E8">
            <w:pPr>
              <w:pStyle w:val="133"/>
            </w:pPr>
            <w:r>
              <w:rPr>
                <w:rFonts w:eastAsia="等线" w:cs="Times New Roman"/>
                <w:color w:val="000000"/>
                <w:szCs w:val="21"/>
              </w:rPr>
              <w:t>95</w:t>
            </w:r>
          </w:p>
        </w:tc>
        <w:tc>
          <w:tcPr>
            <w:tcW w:w="323" w:type="pct"/>
            <w:vAlign w:val="center"/>
          </w:tcPr>
          <w:p w14:paraId="7895EC1E">
            <w:pPr>
              <w:pStyle w:val="133"/>
            </w:pPr>
            <w:r>
              <w:rPr>
                <w:rFonts w:hint="eastAsia"/>
                <w:color w:val="000000"/>
                <w:szCs w:val="21"/>
              </w:rPr>
              <w:t>28</w:t>
            </w:r>
          </w:p>
        </w:tc>
        <w:tc>
          <w:tcPr>
            <w:tcW w:w="361" w:type="pct"/>
            <w:vAlign w:val="center"/>
          </w:tcPr>
          <w:p w14:paraId="2A9032EF">
            <w:pPr>
              <w:pStyle w:val="133"/>
            </w:pPr>
            <w:r>
              <w:rPr>
                <w:rFonts w:hint="eastAsia"/>
                <w:color w:val="000000"/>
                <w:szCs w:val="21"/>
              </w:rPr>
              <w:t>1.80</w:t>
            </w:r>
          </w:p>
        </w:tc>
        <w:tc>
          <w:tcPr>
            <w:tcW w:w="162" w:type="pct"/>
            <w:vMerge w:val="continue"/>
            <w:vAlign w:val="center"/>
          </w:tcPr>
          <w:p w14:paraId="78FED45C">
            <w:pPr>
              <w:pStyle w:val="133"/>
            </w:pPr>
          </w:p>
        </w:tc>
        <w:tc>
          <w:tcPr>
            <w:tcW w:w="172" w:type="pct"/>
            <w:vMerge w:val="continue"/>
            <w:vAlign w:val="center"/>
          </w:tcPr>
          <w:p w14:paraId="6325CFF2">
            <w:pPr>
              <w:pStyle w:val="133"/>
            </w:pPr>
          </w:p>
        </w:tc>
        <w:tc>
          <w:tcPr>
            <w:tcW w:w="158" w:type="pct"/>
            <w:vMerge w:val="continue"/>
            <w:vAlign w:val="center"/>
          </w:tcPr>
          <w:p w14:paraId="3CA760F0">
            <w:pPr>
              <w:pStyle w:val="133"/>
            </w:pPr>
          </w:p>
        </w:tc>
        <w:tc>
          <w:tcPr>
            <w:tcW w:w="228" w:type="pct"/>
            <w:vMerge w:val="continue"/>
            <w:vAlign w:val="center"/>
          </w:tcPr>
          <w:p w14:paraId="7C3EB1D9">
            <w:pPr>
              <w:pStyle w:val="133"/>
            </w:pPr>
          </w:p>
        </w:tc>
      </w:tr>
      <w:tr w14:paraId="065A2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1FFF433F">
            <w:pPr>
              <w:pStyle w:val="133"/>
            </w:pPr>
          </w:p>
        </w:tc>
        <w:tc>
          <w:tcPr>
            <w:tcW w:w="342" w:type="pct"/>
            <w:vMerge w:val="continue"/>
            <w:vAlign w:val="center"/>
          </w:tcPr>
          <w:p w14:paraId="1EC37AD7">
            <w:pPr>
              <w:pStyle w:val="133"/>
            </w:pPr>
          </w:p>
        </w:tc>
        <w:tc>
          <w:tcPr>
            <w:tcW w:w="325" w:type="pct"/>
            <w:vMerge w:val="continue"/>
            <w:vAlign w:val="center"/>
          </w:tcPr>
          <w:p w14:paraId="4C4C515D">
            <w:pPr>
              <w:pStyle w:val="133"/>
            </w:pPr>
          </w:p>
        </w:tc>
        <w:tc>
          <w:tcPr>
            <w:tcW w:w="303" w:type="pct"/>
            <w:vMerge w:val="continue"/>
            <w:vAlign w:val="center"/>
          </w:tcPr>
          <w:p w14:paraId="26DA2CA9">
            <w:pPr>
              <w:pStyle w:val="133"/>
            </w:pPr>
          </w:p>
        </w:tc>
        <w:tc>
          <w:tcPr>
            <w:tcW w:w="452" w:type="pct"/>
            <w:vAlign w:val="center"/>
          </w:tcPr>
          <w:p w14:paraId="1AF01B00">
            <w:pPr>
              <w:pStyle w:val="133"/>
            </w:pPr>
            <w:r>
              <w:rPr>
                <w:rFonts w:hint="eastAsia"/>
              </w:rPr>
              <w:t>NOx</w:t>
            </w:r>
          </w:p>
        </w:tc>
        <w:tc>
          <w:tcPr>
            <w:tcW w:w="463" w:type="pct"/>
            <w:vAlign w:val="center"/>
          </w:tcPr>
          <w:p w14:paraId="08488D0B">
            <w:pPr>
              <w:pStyle w:val="133"/>
            </w:pPr>
            <w:r>
              <w:rPr>
                <w:rFonts w:hint="eastAsia"/>
              </w:rPr>
              <w:t>产污系数法</w:t>
            </w:r>
          </w:p>
        </w:tc>
        <w:tc>
          <w:tcPr>
            <w:tcW w:w="339" w:type="pct"/>
            <w:vAlign w:val="center"/>
          </w:tcPr>
          <w:p w14:paraId="6257A1C1">
            <w:pPr>
              <w:pStyle w:val="133"/>
            </w:pPr>
            <w:r>
              <w:rPr>
                <w:rFonts w:eastAsia="等线" w:cs="Times New Roman"/>
                <w:color w:val="000000"/>
                <w:szCs w:val="21"/>
              </w:rPr>
              <w:t>300</w:t>
            </w:r>
          </w:p>
        </w:tc>
        <w:tc>
          <w:tcPr>
            <w:tcW w:w="290" w:type="pct"/>
            <w:vAlign w:val="center"/>
          </w:tcPr>
          <w:p w14:paraId="56E5633F">
            <w:pPr>
              <w:pStyle w:val="133"/>
            </w:pPr>
            <w:r>
              <w:rPr>
                <w:rFonts w:eastAsia="等线" w:cs="Times New Roman"/>
                <w:color w:val="000000"/>
                <w:szCs w:val="21"/>
              </w:rPr>
              <w:t>19.52</w:t>
            </w:r>
          </w:p>
        </w:tc>
        <w:tc>
          <w:tcPr>
            <w:tcW w:w="482" w:type="pct"/>
            <w:vMerge w:val="continue"/>
            <w:vAlign w:val="center"/>
          </w:tcPr>
          <w:p w14:paraId="391D4493">
            <w:pPr>
              <w:pStyle w:val="133"/>
            </w:pPr>
          </w:p>
        </w:tc>
        <w:tc>
          <w:tcPr>
            <w:tcW w:w="306" w:type="pct"/>
            <w:vAlign w:val="center"/>
          </w:tcPr>
          <w:p w14:paraId="32DC8954">
            <w:pPr>
              <w:pStyle w:val="133"/>
            </w:pPr>
            <w:r>
              <w:rPr>
                <w:rFonts w:eastAsia="等线" w:cs="Times New Roman"/>
                <w:color w:val="000000"/>
                <w:szCs w:val="21"/>
              </w:rPr>
              <w:t>50</w:t>
            </w:r>
          </w:p>
        </w:tc>
        <w:tc>
          <w:tcPr>
            <w:tcW w:w="323" w:type="pct"/>
            <w:vAlign w:val="center"/>
          </w:tcPr>
          <w:p w14:paraId="518D31C2">
            <w:pPr>
              <w:pStyle w:val="133"/>
            </w:pPr>
            <w:r>
              <w:rPr>
                <w:rFonts w:hint="eastAsia"/>
                <w:color w:val="000000"/>
                <w:szCs w:val="21"/>
              </w:rPr>
              <w:t>150</w:t>
            </w:r>
          </w:p>
        </w:tc>
        <w:tc>
          <w:tcPr>
            <w:tcW w:w="361" w:type="pct"/>
            <w:vAlign w:val="center"/>
          </w:tcPr>
          <w:p w14:paraId="30BABBF0">
            <w:pPr>
              <w:pStyle w:val="133"/>
            </w:pPr>
            <w:r>
              <w:rPr>
                <w:rFonts w:hint="eastAsia"/>
                <w:color w:val="000000"/>
                <w:szCs w:val="21"/>
              </w:rPr>
              <w:t>9.76</w:t>
            </w:r>
          </w:p>
        </w:tc>
        <w:tc>
          <w:tcPr>
            <w:tcW w:w="162" w:type="pct"/>
            <w:vMerge w:val="continue"/>
            <w:vAlign w:val="center"/>
          </w:tcPr>
          <w:p w14:paraId="06C8C593">
            <w:pPr>
              <w:pStyle w:val="133"/>
            </w:pPr>
          </w:p>
        </w:tc>
        <w:tc>
          <w:tcPr>
            <w:tcW w:w="172" w:type="pct"/>
            <w:vMerge w:val="continue"/>
            <w:vAlign w:val="center"/>
          </w:tcPr>
          <w:p w14:paraId="5F5054A5">
            <w:pPr>
              <w:pStyle w:val="133"/>
            </w:pPr>
          </w:p>
        </w:tc>
        <w:tc>
          <w:tcPr>
            <w:tcW w:w="158" w:type="pct"/>
            <w:vMerge w:val="continue"/>
            <w:vAlign w:val="center"/>
          </w:tcPr>
          <w:p w14:paraId="27CC1948">
            <w:pPr>
              <w:pStyle w:val="133"/>
            </w:pPr>
          </w:p>
        </w:tc>
        <w:tc>
          <w:tcPr>
            <w:tcW w:w="228" w:type="pct"/>
            <w:vMerge w:val="continue"/>
            <w:vAlign w:val="center"/>
          </w:tcPr>
          <w:p w14:paraId="5BF2A2BD">
            <w:pPr>
              <w:pStyle w:val="133"/>
            </w:pPr>
          </w:p>
        </w:tc>
      </w:tr>
      <w:tr w14:paraId="3CF38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restart"/>
            <w:vAlign w:val="center"/>
          </w:tcPr>
          <w:p w14:paraId="4B8C3690">
            <w:pPr>
              <w:pStyle w:val="133"/>
            </w:pPr>
            <w:r>
              <w:rPr>
                <w:rFonts w:hint="eastAsia"/>
              </w:rPr>
              <w:t>G</w:t>
            </w:r>
            <w:r>
              <w:rPr>
                <w:rFonts w:hint="eastAsia"/>
                <w:vertAlign w:val="subscript"/>
              </w:rPr>
              <w:t>1-8</w:t>
            </w:r>
          </w:p>
        </w:tc>
        <w:tc>
          <w:tcPr>
            <w:tcW w:w="342" w:type="pct"/>
            <w:vMerge w:val="restart"/>
            <w:vAlign w:val="center"/>
          </w:tcPr>
          <w:p w14:paraId="5D16045C">
            <w:pPr>
              <w:pStyle w:val="133"/>
            </w:pPr>
            <w:r>
              <w:rPr>
                <w:rFonts w:hint="eastAsia"/>
              </w:rPr>
              <w:t>1#VOCs处理装置</w:t>
            </w:r>
          </w:p>
        </w:tc>
        <w:tc>
          <w:tcPr>
            <w:tcW w:w="325" w:type="pct"/>
            <w:vMerge w:val="restart"/>
            <w:vAlign w:val="center"/>
          </w:tcPr>
          <w:p w14:paraId="30B2134A">
            <w:pPr>
              <w:pStyle w:val="133"/>
            </w:pPr>
            <w:r>
              <w:rPr>
                <w:rFonts w:hint="eastAsia"/>
              </w:rPr>
              <w:t>有机废气</w:t>
            </w:r>
          </w:p>
        </w:tc>
        <w:tc>
          <w:tcPr>
            <w:tcW w:w="303" w:type="pct"/>
            <w:vMerge w:val="restart"/>
            <w:vAlign w:val="center"/>
          </w:tcPr>
          <w:p w14:paraId="3A9ADDDE">
            <w:pPr>
              <w:pStyle w:val="133"/>
            </w:pPr>
            <w:r>
              <w:rPr>
                <w:rFonts w:hint="eastAsia"/>
              </w:rPr>
              <w:t>4</w:t>
            </w:r>
            <w:r>
              <w:t>0000</w:t>
            </w:r>
          </w:p>
        </w:tc>
        <w:tc>
          <w:tcPr>
            <w:tcW w:w="452" w:type="pct"/>
            <w:vAlign w:val="center"/>
          </w:tcPr>
          <w:p w14:paraId="623E5B46">
            <w:pPr>
              <w:pStyle w:val="133"/>
            </w:pPr>
            <w:r>
              <w:rPr>
                <w:rFonts w:hint="eastAsia"/>
              </w:rPr>
              <w:t>颗粒物</w:t>
            </w:r>
          </w:p>
        </w:tc>
        <w:tc>
          <w:tcPr>
            <w:tcW w:w="463" w:type="pct"/>
            <w:vMerge w:val="restart"/>
            <w:vAlign w:val="center"/>
          </w:tcPr>
          <w:p w14:paraId="0D406D2A">
            <w:pPr>
              <w:pStyle w:val="133"/>
            </w:pPr>
            <w:r>
              <w:rPr>
                <w:rFonts w:hint="eastAsia"/>
              </w:rPr>
              <w:t>类比法</w:t>
            </w:r>
          </w:p>
        </w:tc>
        <w:tc>
          <w:tcPr>
            <w:tcW w:w="339" w:type="pct"/>
            <w:vAlign w:val="center"/>
          </w:tcPr>
          <w:p w14:paraId="7BA8AAD6">
            <w:pPr>
              <w:pStyle w:val="133"/>
            </w:pPr>
            <w:r>
              <w:rPr>
                <w:rFonts w:eastAsia="等线" w:cs="Times New Roman"/>
                <w:color w:val="000000"/>
                <w:szCs w:val="21"/>
              </w:rPr>
              <w:t>25.77</w:t>
            </w:r>
          </w:p>
        </w:tc>
        <w:tc>
          <w:tcPr>
            <w:tcW w:w="290" w:type="pct"/>
            <w:vAlign w:val="center"/>
          </w:tcPr>
          <w:p w14:paraId="10AED7FE">
            <w:pPr>
              <w:pStyle w:val="133"/>
            </w:pPr>
            <w:r>
              <w:rPr>
                <w:rFonts w:eastAsia="等线" w:cs="Times New Roman"/>
                <w:color w:val="000000"/>
                <w:szCs w:val="21"/>
              </w:rPr>
              <w:t>1.03</w:t>
            </w:r>
          </w:p>
        </w:tc>
        <w:tc>
          <w:tcPr>
            <w:tcW w:w="482" w:type="pct"/>
            <w:vMerge w:val="restart"/>
            <w:vAlign w:val="center"/>
          </w:tcPr>
          <w:p w14:paraId="1EA0F5AE">
            <w:pPr>
              <w:pStyle w:val="133"/>
            </w:pPr>
            <w:r>
              <w:rPr>
                <w:rFonts w:hint="eastAsia"/>
              </w:rPr>
              <w:t>酸洗+碱洗+活性炭吸附-脱附+催化燃烧工艺</w:t>
            </w:r>
          </w:p>
        </w:tc>
        <w:tc>
          <w:tcPr>
            <w:tcW w:w="306" w:type="pct"/>
            <w:vAlign w:val="center"/>
          </w:tcPr>
          <w:p w14:paraId="1FFDD5DA">
            <w:pPr>
              <w:pStyle w:val="133"/>
            </w:pPr>
            <w:r>
              <w:t>9</w:t>
            </w:r>
            <w:r>
              <w:rPr>
                <w:rFonts w:hint="eastAsia"/>
              </w:rPr>
              <w:t>7</w:t>
            </w:r>
          </w:p>
        </w:tc>
        <w:tc>
          <w:tcPr>
            <w:tcW w:w="323" w:type="pct"/>
            <w:vAlign w:val="center"/>
          </w:tcPr>
          <w:p w14:paraId="6801C42A">
            <w:pPr>
              <w:pStyle w:val="133"/>
            </w:pPr>
            <w:r>
              <w:rPr>
                <w:rFonts w:eastAsia="等线" w:cs="Times New Roman"/>
                <w:color w:val="000000"/>
                <w:szCs w:val="21"/>
              </w:rPr>
              <w:t>0.77</w:t>
            </w:r>
          </w:p>
        </w:tc>
        <w:tc>
          <w:tcPr>
            <w:tcW w:w="361" w:type="pct"/>
            <w:vAlign w:val="center"/>
          </w:tcPr>
          <w:p w14:paraId="26CF7366">
            <w:pPr>
              <w:pStyle w:val="133"/>
            </w:pPr>
            <w:r>
              <w:rPr>
                <w:rFonts w:eastAsia="等线" w:cs="Times New Roman"/>
                <w:color w:val="000000"/>
                <w:szCs w:val="21"/>
              </w:rPr>
              <w:t>0.03</w:t>
            </w:r>
          </w:p>
        </w:tc>
        <w:tc>
          <w:tcPr>
            <w:tcW w:w="162" w:type="pct"/>
            <w:vMerge w:val="restart"/>
            <w:vAlign w:val="center"/>
          </w:tcPr>
          <w:p w14:paraId="7F8AD85B">
            <w:pPr>
              <w:pStyle w:val="133"/>
            </w:pPr>
            <w:r>
              <w:rPr>
                <w:rFonts w:hint="eastAsia"/>
              </w:rPr>
              <w:t>25</w:t>
            </w:r>
          </w:p>
        </w:tc>
        <w:tc>
          <w:tcPr>
            <w:tcW w:w="172" w:type="pct"/>
            <w:vMerge w:val="restart"/>
            <w:vAlign w:val="center"/>
          </w:tcPr>
          <w:p w14:paraId="0C9B2621">
            <w:pPr>
              <w:pStyle w:val="133"/>
            </w:pPr>
            <w:r>
              <w:rPr>
                <w:rFonts w:hint="eastAsia"/>
              </w:rPr>
              <w:t>1</w:t>
            </w:r>
          </w:p>
        </w:tc>
        <w:tc>
          <w:tcPr>
            <w:tcW w:w="158" w:type="pct"/>
            <w:vMerge w:val="restart"/>
            <w:vAlign w:val="center"/>
          </w:tcPr>
          <w:p w14:paraId="37127843">
            <w:pPr>
              <w:pStyle w:val="133"/>
            </w:pPr>
            <w:r>
              <w:rPr>
                <w:rFonts w:hint="eastAsia"/>
              </w:rPr>
              <w:t>70</w:t>
            </w:r>
          </w:p>
        </w:tc>
        <w:tc>
          <w:tcPr>
            <w:tcW w:w="228" w:type="pct"/>
            <w:vMerge w:val="restart"/>
            <w:vAlign w:val="center"/>
          </w:tcPr>
          <w:p w14:paraId="5A9C65A0">
            <w:pPr>
              <w:pStyle w:val="133"/>
            </w:pPr>
            <w:r>
              <w:rPr>
                <w:rFonts w:hint="eastAsia" w:eastAsia="等线" w:cs="Times New Roman"/>
                <w:szCs w:val="21"/>
              </w:rPr>
              <w:t>7920</w:t>
            </w:r>
          </w:p>
        </w:tc>
      </w:tr>
      <w:tr w14:paraId="75598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65E781E6">
            <w:pPr>
              <w:pStyle w:val="133"/>
            </w:pPr>
          </w:p>
        </w:tc>
        <w:tc>
          <w:tcPr>
            <w:tcW w:w="342" w:type="pct"/>
            <w:vMerge w:val="continue"/>
            <w:vAlign w:val="center"/>
          </w:tcPr>
          <w:p w14:paraId="7D6F4B76">
            <w:pPr>
              <w:pStyle w:val="133"/>
            </w:pPr>
          </w:p>
        </w:tc>
        <w:tc>
          <w:tcPr>
            <w:tcW w:w="325" w:type="pct"/>
            <w:vMerge w:val="continue"/>
            <w:vAlign w:val="center"/>
          </w:tcPr>
          <w:p w14:paraId="31AEF830">
            <w:pPr>
              <w:pStyle w:val="133"/>
            </w:pPr>
          </w:p>
        </w:tc>
        <w:tc>
          <w:tcPr>
            <w:tcW w:w="303" w:type="pct"/>
            <w:vMerge w:val="continue"/>
            <w:vAlign w:val="center"/>
          </w:tcPr>
          <w:p w14:paraId="207408E7">
            <w:pPr>
              <w:pStyle w:val="133"/>
            </w:pPr>
          </w:p>
        </w:tc>
        <w:tc>
          <w:tcPr>
            <w:tcW w:w="452" w:type="pct"/>
            <w:vAlign w:val="center"/>
          </w:tcPr>
          <w:p w14:paraId="1E8659FD">
            <w:pPr>
              <w:pStyle w:val="133"/>
            </w:pPr>
            <w:r>
              <w:t>BaP</w:t>
            </w:r>
          </w:p>
        </w:tc>
        <w:tc>
          <w:tcPr>
            <w:tcW w:w="463" w:type="pct"/>
            <w:vMerge w:val="continue"/>
            <w:vAlign w:val="center"/>
          </w:tcPr>
          <w:p w14:paraId="2337111C">
            <w:pPr>
              <w:pStyle w:val="133"/>
            </w:pPr>
          </w:p>
        </w:tc>
        <w:tc>
          <w:tcPr>
            <w:tcW w:w="339" w:type="pct"/>
            <w:vAlign w:val="center"/>
          </w:tcPr>
          <w:p w14:paraId="12981C9E">
            <w:pPr>
              <w:pStyle w:val="133"/>
            </w:pPr>
            <w:r>
              <w:rPr>
                <w:rFonts w:eastAsia="等线" w:cs="Times New Roman"/>
                <w:color w:val="000000"/>
                <w:szCs w:val="21"/>
              </w:rPr>
              <w:t>0.01</w:t>
            </w:r>
          </w:p>
        </w:tc>
        <w:tc>
          <w:tcPr>
            <w:tcW w:w="290" w:type="pct"/>
            <w:vAlign w:val="center"/>
          </w:tcPr>
          <w:p w14:paraId="708E8AC6">
            <w:pPr>
              <w:pStyle w:val="133"/>
            </w:pPr>
            <w:r>
              <w:rPr>
                <w:rFonts w:eastAsia="等线" w:cs="Times New Roman"/>
                <w:color w:val="000000"/>
                <w:szCs w:val="21"/>
              </w:rPr>
              <w:t>0.0003</w:t>
            </w:r>
          </w:p>
        </w:tc>
        <w:tc>
          <w:tcPr>
            <w:tcW w:w="482" w:type="pct"/>
            <w:vMerge w:val="continue"/>
            <w:vAlign w:val="center"/>
          </w:tcPr>
          <w:p w14:paraId="276EC2AB">
            <w:pPr>
              <w:pStyle w:val="133"/>
            </w:pPr>
          </w:p>
        </w:tc>
        <w:tc>
          <w:tcPr>
            <w:tcW w:w="306" w:type="pct"/>
          </w:tcPr>
          <w:p w14:paraId="5F2EF3F5">
            <w:pPr>
              <w:pStyle w:val="133"/>
            </w:pPr>
            <w:r>
              <w:t>9</w:t>
            </w:r>
            <w:r>
              <w:rPr>
                <w:rFonts w:hint="eastAsia"/>
              </w:rPr>
              <w:t>7</w:t>
            </w:r>
          </w:p>
        </w:tc>
        <w:tc>
          <w:tcPr>
            <w:tcW w:w="323" w:type="pct"/>
            <w:vAlign w:val="center"/>
          </w:tcPr>
          <w:p w14:paraId="2751F60A">
            <w:pPr>
              <w:pStyle w:val="133"/>
            </w:pPr>
            <w:r>
              <w:rPr>
                <w:rFonts w:eastAsia="等线" w:cs="Times New Roman"/>
                <w:color w:val="000000"/>
                <w:szCs w:val="21"/>
              </w:rPr>
              <w:t>0.0002</w:t>
            </w:r>
          </w:p>
        </w:tc>
        <w:tc>
          <w:tcPr>
            <w:tcW w:w="361" w:type="pct"/>
            <w:vAlign w:val="center"/>
          </w:tcPr>
          <w:p w14:paraId="0E58B707">
            <w:pPr>
              <w:pStyle w:val="133"/>
            </w:pPr>
            <w:r>
              <w:rPr>
                <w:rFonts w:eastAsia="等线" w:cs="Times New Roman"/>
                <w:color w:val="000000"/>
                <w:szCs w:val="21"/>
              </w:rPr>
              <w:t>0.0000</w:t>
            </w:r>
            <w:r>
              <w:rPr>
                <w:rFonts w:hint="eastAsia" w:eastAsia="等线" w:cs="Times New Roman"/>
                <w:color w:val="000000"/>
                <w:szCs w:val="21"/>
              </w:rPr>
              <w:t>08</w:t>
            </w:r>
          </w:p>
        </w:tc>
        <w:tc>
          <w:tcPr>
            <w:tcW w:w="162" w:type="pct"/>
            <w:vMerge w:val="continue"/>
            <w:vAlign w:val="center"/>
          </w:tcPr>
          <w:p w14:paraId="7C722F67">
            <w:pPr>
              <w:pStyle w:val="133"/>
            </w:pPr>
          </w:p>
        </w:tc>
        <w:tc>
          <w:tcPr>
            <w:tcW w:w="172" w:type="pct"/>
            <w:vMerge w:val="continue"/>
            <w:vAlign w:val="center"/>
          </w:tcPr>
          <w:p w14:paraId="43917489">
            <w:pPr>
              <w:pStyle w:val="133"/>
            </w:pPr>
          </w:p>
        </w:tc>
        <w:tc>
          <w:tcPr>
            <w:tcW w:w="158" w:type="pct"/>
            <w:vMerge w:val="continue"/>
            <w:vAlign w:val="center"/>
          </w:tcPr>
          <w:p w14:paraId="3E3077D2">
            <w:pPr>
              <w:pStyle w:val="133"/>
            </w:pPr>
          </w:p>
        </w:tc>
        <w:tc>
          <w:tcPr>
            <w:tcW w:w="228" w:type="pct"/>
            <w:vMerge w:val="continue"/>
            <w:vAlign w:val="center"/>
          </w:tcPr>
          <w:p w14:paraId="64719B23">
            <w:pPr>
              <w:pStyle w:val="133"/>
            </w:pPr>
          </w:p>
        </w:tc>
      </w:tr>
      <w:tr w14:paraId="58301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063C1258">
            <w:pPr>
              <w:pStyle w:val="133"/>
            </w:pPr>
          </w:p>
        </w:tc>
        <w:tc>
          <w:tcPr>
            <w:tcW w:w="342" w:type="pct"/>
            <w:vMerge w:val="continue"/>
            <w:vAlign w:val="center"/>
          </w:tcPr>
          <w:p w14:paraId="49985B29">
            <w:pPr>
              <w:pStyle w:val="133"/>
            </w:pPr>
          </w:p>
        </w:tc>
        <w:tc>
          <w:tcPr>
            <w:tcW w:w="325" w:type="pct"/>
            <w:vMerge w:val="continue"/>
            <w:vAlign w:val="center"/>
          </w:tcPr>
          <w:p w14:paraId="74EE1FA3">
            <w:pPr>
              <w:pStyle w:val="133"/>
            </w:pPr>
          </w:p>
        </w:tc>
        <w:tc>
          <w:tcPr>
            <w:tcW w:w="303" w:type="pct"/>
            <w:vMerge w:val="continue"/>
            <w:vAlign w:val="center"/>
          </w:tcPr>
          <w:p w14:paraId="6E40B80F">
            <w:pPr>
              <w:pStyle w:val="133"/>
            </w:pPr>
          </w:p>
        </w:tc>
        <w:tc>
          <w:tcPr>
            <w:tcW w:w="452" w:type="pct"/>
            <w:vAlign w:val="center"/>
          </w:tcPr>
          <w:p w14:paraId="43E1FD6D">
            <w:pPr>
              <w:pStyle w:val="133"/>
            </w:pPr>
            <w:r>
              <w:rPr>
                <w:rFonts w:hint="eastAsia"/>
              </w:rPr>
              <w:t>氰化氢</w:t>
            </w:r>
          </w:p>
        </w:tc>
        <w:tc>
          <w:tcPr>
            <w:tcW w:w="463" w:type="pct"/>
            <w:vMerge w:val="continue"/>
            <w:vAlign w:val="center"/>
          </w:tcPr>
          <w:p w14:paraId="4FC420AE">
            <w:pPr>
              <w:pStyle w:val="133"/>
            </w:pPr>
          </w:p>
        </w:tc>
        <w:tc>
          <w:tcPr>
            <w:tcW w:w="339" w:type="pct"/>
            <w:vAlign w:val="center"/>
          </w:tcPr>
          <w:p w14:paraId="32268422">
            <w:pPr>
              <w:pStyle w:val="133"/>
            </w:pPr>
            <w:r>
              <w:rPr>
                <w:rFonts w:eastAsia="等线" w:cs="Times New Roman"/>
                <w:color w:val="000000"/>
                <w:szCs w:val="21"/>
              </w:rPr>
              <w:t>0.002</w:t>
            </w:r>
          </w:p>
        </w:tc>
        <w:tc>
          <w:tcPr>
            <w:tcW w:w="290" w:type="pct"/>
            <w:vAlign w:val="center"/>
          </w:tcPr>
          <w:p w14:paraId="0AA7ECCA">
            <w:pPr>
              <w:pStyle w:val="133"/>
            </w:pPr>
            <w:r>
              <w:rPr>
                <w:rFonts w:eastAsia="等线" w:cs="Times New Roman"/>
                <w:color w:val="000000"/>
                <w:szCs w:val="21"/>
              </w:rPr>
              <w:t>0.0001</w:t>
            </w:r>
          </w:p>
        </w:tc>
        <w:tc>
          <w:tcPr>
            <w:tcW w:w="482" w:type="pct"/>
            <w:vMerge w:val="continue"/>
            <w:vAlign w:val="center"/>
          </w:tcPr>
          <w:p w14:paraId="6733AC17">
            <w:pPr>
              <w:pStyle w:val="133"/>
            </w:pPr>
          </w:p>
        </w:tc>
        <w:tc>
          <w:tcPr>
            <w:tcW w:w="306" w:type="pct"/>
          </w:tcPr>
          <w:p w14:paraId="445DDCBA">
            <w:pPr>
              <w:pStyle w:val="133"/>
            </w:pPr>
            <w:r>
              <w:t>9</w:t>
            </w:r>
            <w:r>
              <w:rPr>
                <w:rFonts w:hint="eastAsia"/>
              </w:rPr>
              <w:t>7</w:t>
            </w:r>
          </w:p>
        </w:tc>
        <w:tc>
          <w:tcPr>
            <w:tcW w:w="323" w:type="pct"/>
            <w:vAlign w:val="center"/>
          </w:tcPr>
          <w:p w14:paraId="5FE99466">
            <w:pPr>
              <w:pStyle w:val="133"/>
            </w:pPr>
            <w:r>
              <w:rPr>
                <w:rFonts w:eastAsia="等线" w:cs="Times New Roman"/>
                <w:color w:val="000000"/>
                <w:szCs w:val="21"/>
              </w:rPr>
              <w:t>0.00005</w:t>
            </w:r>
          </w:p>
        </w:tc>
        <w:tc>
          <w:tcPr>
            <w:tcW w:w="361" w:type="pct"/>
            <w:vAlign w:val="center"/>
          </w:tcPr>
          <w:p w14:paraId="1EEEFC2D">
            <w:pPr>
              <w:pStyle w:val="133"/>
            </w:pPr>
            <w:r>
              <w:rPr>
                <w:rFonts w:eastAsia="等线" w:cs="Times New Roman"/>
                <w:color w:val="000000"/>
                <w:szCs w:val="21"/>
              </w:rPr>
              <w:t>0.000002</w:t>
            </w:r>
          </w:p>
        </w:tc>
        <w:tc>
          <w:tcPr>
            <w:tcW w:w="162" w:type="pct"/>
            <w:vMerge w:val="continue"/>
            <w:vAlign w:val="center"/>
          </w:tcPr>
          <w:p w14:paraId="514D0C22">
            <w:pPr>
              <w:pStyle w:val="133"/>
            </w:pPr>
          </w:p>
        </w:tc>
        <w:tc>
          <w:tcPr>
            <w:tcW w:w="172" w:type="pct"/>
            <w:vMerge w:val="continue"/>
            <w:vAlign w:val="center"/>
          </w:tcPr>
          <w:p w14:paraId="13D760A0">
            <w:pPr>
              <w:pStyle w:val="133"/>
            </w:pPr>
          </w:p>
        </w:tc>
        <w:tc>
          <w:tcPr>
            <w:tcW w:w="158" w:type="pct"/>
            <w:vMerge w:val="continue"/>
            <w:vAlign w:val="center"/>
          </w:tcPr>
          <w:p w14:paraId="48A29FA9">
            <w:pPr>
              <w:pStyle w:val="133"/>
            </w:pPr>
          </w:p>
        </w:tc>
        <w:tc>
          <w:tcPr>
            <w:tcW w:w="228" w:type="pct"/>
            <w:vMerge w:val="continue"/>
            <w:vAlign w:val="center"/>
          </w:tcPr>
          <w:p w14:paraId="21D3DF74">
            <w:pPr>
              <w:pStyle w:val="133"/>
            </w:pPr>
          </w:p>
        </w:tc>
      </w:tr>
      <w:tr w14:paraId="4998F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48BFD079">
            <w:pPr>
              <w:pStyle w:val="133"/>
            </w:pPr>
          </w:p>
        </w:tc>
        <w:tc>
          <w:tcPr>
            <w:tcW w:w="342" w:type="pct"/>
            <w:vMerge w:val="continue"/>
            <w:vAlign w:val="center"/>
          </w:tcPr>
          <w:p w14:paraId="01AD9F5B">
            <w:pPr>
              <w:pStyle w:val="133"/>
            </w:pPr>
          </w:p>
        </w:tc>
        <w:tc>
          <w:tcPr>
            <w:tcW w:w="325" w:type="pct"/>
            <w:vMerge w:val="continue"/>
            <w:vAlign w:val="center"/>
          </w:tcPr>
          <w:p w14:paraId="7CC72106">
            <w:pPr>
              <w:pStyle w:val="133"/>
            </w:pPr>
          </w:p>
        </w:tc>
        <w:tc>
          <w:tcPr>
            <w:tcW w:w="303" w:type="pct"/>
            <w:vMerge w:val="continue"/>
            <w:vAlign w:val="center"/>
          </w:tcPr>
          <w:p w14:paraId="7E4AE182">
            <w:pPr>
              <w:pStyle w:val="133"/>
            </w:pPr>
          </w:p>
        </w:tc>
        <w:tc>
          <w:tcPr>
            <w:tcW w:w="452" w:type="pct"/>
            <w:vAlign w:val="center"/>
          </w:tcPr>
          <w:p w14:paraId="19BA3296">
            <w:pPr>
              <w:pStyle w:val="133"/>
            </w:pPr>
            <w:r>
              <w:rPr>
                <w:rFonts w:hint="eastAsia"/>
              </w:rPr>
              <w:t>酚类</w:t>
            </w:r>
          </w:p>
        </w:tc>
        <w:tc>
          <w:tcPr>
            <w:tcW w:w="463" w:type="pct"/>
            <w:vMerge w:val="continue"/>
            <w:vAlign w:val="center"/>
          </w:tcPr>
          <w:p w14:paraId="17336FCC">
            <w:pPr>
              <w:pStyle w:val="133"/>
            </w:pPr>
          </w:p>
        </w:tc>
        <w:tc>
          <w:tcPr>
            <w:tcW w:w="339" w:type="pct"/>
            <w:vAlign w:val="center"/>
          </w:tcPr>
          <w:p w14:paraId="2B54ADA4">
            <w:pPr>
              <w:pStyle w:val="133"/>
            </w:pPr>
            <w:r>
              <w:rPr>
                <w:rFonts w:eastAsia="等线" w:cs="Times New Roman"/>
                <w:color w:val="000000"/>
                <w:szCs w:val="21"/>
              </w:rPr>
              <w:t>0.36</w:t>
            </w:r>
          </w:p>
        </w:tc>
        <w:tc>
          <w:tcPr>
            <w:tcW w:w="290" w:type="pct"/>
            <w:vAlign w:val="center"/>
          </w:tcPr>
          <w:p w14:paraId="6A963FD2">
            <w:pPr>
              <w:pStyle w:val="133"/>
            </w:pPr>
            <w:r>
              <w:rPr>
                <w:rFonts w:eastAsia="等线" w:cs="Times New Roman"/>
                <w:color w:val="000000"/>
                <w:szCs w:val="21"/>
              </w:rPr>
              <w:t>0.01</w:t>
            </w:r>
          </w:p>
        </w:tc>
        <w:tc>
          <w:tcPr>
            <w:tcW w:w="482" w:type="pct"/>
            <w:vMerge w:val="continue"/>
            <w:vAlign w:val="center"/>
          </w:tcPr>
          <w:p w14:paraId="211B53ED">
            <w:pPr>
              <w:pStyle w:val="133"/>
            </w:pPr>
          </w:p>
        </w:tc>
        <w:tc>
          <w:tcPr>
            <w:tcW w:w="306" w:type="pct"/>
          </w:tcPr>
          <w:p w14:paraId="306F6F82">
            <w:pPr>
              <w:pStyle w:val="133"/>
            </w:pPr>
            <w:r>
              <w:t>9</w:t>
            </w:r>
            <w:r>
              <w:rPr>
                <w:rFonts w:hint="eastAsia"/>
              </w:rPr>
              <w:t>7</w:t>
            </w:r>
          </w:p>
        </w:tc>
        <w:tc>
          <w:tcPr>
            <w:tcW w:w="323" w:type="pct"/>
            <w:vAlign w:val="center"/>
          </w:tcPr>
          <w:p w14:paraId="3E15A1D9">
            <w:pPr>
              <w:pStyle w:val="133"/>
            </w:pPr>
            <w:r>
              <w:rPr>
                <w:rFonts w:eastAsia="等线" w:cs="Times New Roman"/>
                <w:color w:val="000000"/>
                <w:szCs w:val="21"/>
              </w:rPr>
              <w:t>0.01</w:t>
            </w:r>
          </w:p>
        </w:tc>
        <w:tc>
          <w:tcPr>
            <w:tcW w:w="361" w:type="pct"/>
            <w:vAlign w:val="center"/>
          </w:tcPr>
          <w:p w14:paraId="5EEED095">
            <w:pPr>
              <w:pStyle w:val="133"/>
            </w:pPr>
            <w:r>
              <w:rPr>
                <w:rFonts w:eastAsia="等线" w:cs="Times New Roman"/>
                <w:color w:val="000000"/>
                <w:szCs w:val="21"/>
              </w:rPr>
              <w:t>0.0004</w:t>
            </w:r>
          </w:p>
        </w:tc>
        <w:tc>
          <w:tcPr>
            <w:tcW w:w="162" w:type="pct"/>
            <w:vMerge w:val="continue"/>
            <w:vAlign w:val="center"/>
          </w:tcPr>
          <w:p w14:paraId="0AC4BA4D">
            <w:pPr>
              <w:pStyle w:val="133"/>
            </w:pPr>
          </w:p>
        </w:tc>
        <w:tc>
          <w:tcPr>
            <w:tcW w:w="172" w:type="pct"/>
            <w:vMerge w:val="continue"/>
            <w:vAlign w:val="center"/>
          </w:tcPr>
          <w:p w14:paraId="382BCB1A">
            <w:pPr>
              <w:pStyle w:val="133"/>
            </w:pPr>
          </w:p>
        </w:tc>
        <w:tc>
          <w:tcPr>
            <w:tcW w:w="158" w:type="pct"/>
            <w:vMerge w:val="continue"/>
            <w:vAlign w:val="center"/>
          </w:tcPr>
          <w:p w14:paraId="031B87F4">
            <w:pPr>
              <w:pStyle w:val="133"/>
            </w:pPr>
          </w:p>
        </w:tc>
        <w:tc>
          <w:tcPr>
            <w:tcW w:w="228" w:type="pct"/>
            <w:vMerge w:val="continue"/>
            <w:vAlign w:val="center"/>
          </w:tcPr>
          <w:p w14:paraId="523B5782">
            <w:pPr>
              <w:pStyle w:val="133"/>
            </w:pPr>
          </w:p>
        </w:tc>
      </w:tr>
      <w:tr w14:paraId="5433A0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0BFF3C30">
            <w:pPr>
              <w:pStyle w:val="133"/>
            </w:pPr>
          </w:p>
        </w:tc>
        <w:tc>
          <w:tcPr>
            <w:tcW w:w="342" w:type="pct"/>
            <w:vMerge w:val="continue"/>
            <w:vAlign w:val="center"/>
          </w:tcPr>
          <w:p w14:paraId="59B4C631">
            <w:pPr>
              <w:pStyle w:val="133"/>
            </w:pPr>
          </w:p>
        </w:tc>
        <w:tc>
          <w:tcPr>
            <w:tcW w:w="325" w:type="pct"/>
            <w:vMerge w:val="continue"/>
            <w:vAlign w:val="center"/>
          </w:tcPr>
          <w:p w14:paraId="07242DF4">
            <w:pPr>
              <w:pStyle w:val="133"/>
            </w:pPr>
          </w:p>
        </w:tc>
        <w:tc>
          <w:tcPr>
            <w:tcW w:w="303" w:type="pct"/>
            <w:vMerge w:val="continue"/>
            <w:vAlign w:val="center"/>
          </w:tcPr>
          <w:p w14:paraId="1203AF8D">
            <w:pPr>
              <w:pStyle w:val="133"/>
            </w:pPr>
          </w:p>
        </w:tc>
        <w:tc>
          <w:tcPr>
            <w:tcW w:w="452" w:type="pct"/>
            <w:vAlign w:val="center"/>
          </w:tcPr>
          <w:p w14:paraId="327279C2">
            <w:pPr>
              <w:pStyle w:val="133"/>
            </w:pPr>
            <w:r>
              <w:rPr>
                <w:rFonts w:hint="eastAsia"/>
              </w:rPr>
              <w:t>氨</w:t>
            </w:r>
          </w:p>
        </w:tc>
        <w:tc>
          <w:tcPr>
            <w:tcW w:w="463" w:type="pct"/>
            <w:vMerge w:val="continue"/>
            <w:vAlign w:val="center"/>
          </w:tcPr>
          <w:p w14:paraId="6CB5D087">
            <w:pPr>
              <w:pStyle w:val="133"/>
            </w:pPr>
          </w:p>
        </w:tc>
        <w:tc>
          <w:tcPr>
            <w:tcW w:w="339" w:type="pct"/>
            <w:vAlign w:val="center"/>
          </w:tcPr>
          <w:p w14:paraId="160DCF12">
            <w:pPr>
              <w:pStyle w:val="133"/>
            </w:pPr>
            <w:r>
              <w:rPr>
                <w:rFonts w:eastAsia="等线" w:cs="Times New Roman"/>
                <w:color w:val="000000"/>
                <w:szCs w:val="21"/>
              </w:rPr>
              <w:t>3.55</w:t>
            </w:r>
          </w:p>
        </w:tc>
        <w:tc>
          <w:tcPr>
            <w:tcW w:w="290" w:type="pct"/>
            <w:vAlign w:val="center"/>
          </w:tcPr>
          <w:p w14:paraId="2ACD9B1D">
            <w:pPr>
              <w:pStyle w:val="133"/>
            </w:pPr>
            <w:r>
              <w:rPr>
                <w:rFonts w:eastAsia="等线" w:cs="Times New Roman"/>
                <w:color w:val="000000"/>
                <w:szCs w:val="21"/>
              </w:rPr>
              <w:t>0.14</w:t>
            </w:r>
          </w:p>
        </w:tc>
        <w:tc>
          <w:tcPr>
            <w:tcW w:w="482" w:type="pct"/>
            <w:vMerge w:val="continue"/>
            <w:vAlign w:val="center"/>
          </w:tcPr>
          <w:p w14:paraId="2CC47C81">
            <w:pPr>
              <w:pStyle w:val="133"/>
            </w:pPr>
          </w:p>
        </w:tc>
        <w:tc>
          <w:tcPr>
            <w:tcW w:w="306" w:type="pct"/>
          </w:tcPr>
          <w:p w14:paraId="08E939F5">
            <w:pPr>
              <w:pStyle w:val="133"/>
            </w:pPr>
            <w:r>
              <w:t>9</w:t>
            </w:r>
            <w:r>
              <w:rPr>
                <w:rFonts w:hint="eastAsia"/>
              </w:rPr>
              <w:t>7</w:t>
            </w:r>
          </w:p>
        </w:tc>
        <w:tc>
          <w:tcPr>
            <w:tcW w:w="323" w:type="pct"/>
            <w:vAlign w:val="center"/>
          </w:tcPr>
          <w:p w14:paraId="76611E5A">
            <w:pPr>
              <w:pStyle w:val="133"/>
            </w:pPr>
            <w:r>
              <w:rPr>
                <w:rFonts w:eastAsia="等线" w:cs="Times New Roman"/>
                <w:color w:val="000000"/>
                <w:szCs w:val="21"/>
              </w:rPr>
              <w:t>0.11</w:t>
            </w:r>
          </w:p>
        </w:tc>
        <w:tc>
          <w:tcPr>
            <w:tcW w:w="361" w:type="pct"/>
            <w:vAlign w:val="center"/>
          </w:tcPr>
          <w:p w14:paraId="06D6654D">
            <w:pPr>
              <w:pStyle w:val="133"/>
            </w:pPr>
            <w:r>
              <w:rPr>
                <w:rFonts w:eastAsia="等线" w:cs="Times New Roman"/>
                <w:color w:val="000000"/>
                <w:szCs w:val="21"/>
              </w:rPr>
              <w:t>0.0043</w:t>
            </w:r>
          </w:p>
        </w:tc>
        <w:tc>
          <w:tcPr>
            <w:tcW w:w="162" w:type="pct"/>
            <w:vMerge w:val="continue"/>
            <w:vAlign w:val="center"/>
          </w:tcPr>
          <w:p w14:paraId="69F8DF29">
            <w:pPr>
              <w:pStyle w:val="133"/>
            </w:pPr>
          </w:p>
        </w:tc>
        <w:tc>
          <w:tcPr>
            <w:tcW w:w="172" w:type="pct"/>
            <w:vMerge w:val="continue"/>
            <w:vAlign w:val="center"/>
          </w:tcPr>
          <w:p w14:paraId="0B961DD6">
            <w:pPr>
              <w:pStyle w:val="133"/>
            </w:pPr>
          </w:p>
        </w:tc>
        <w:tc>
          <w:tcPr>
            <w:tcW w:w="158" w:type="pct"/>
            <w:vMerge w:val="continue"/>
            <w:vAlign w:val="center"/>
          </w:tcPr>
          <w:p w14:paraId="19034A79">
            <w:pPr>
              <w:pStyle w:val="133"/>
            </w:pPr>
          </w:p>
        </w:tc>
        <w:tc>
          <w:tcPr>
            <w:tcW w:w="228" w:type="pct"/>
            <w:vMerge w:val="continue"/>
            <w:vAlign w:val="center"/>
          </w:tcPr>
          <w:p w14:paraId="2E4CD27C">
            <w:pPr>
              <w:pStyle w:val="133"/>
            </w:pPr>
          </w:p>
        </w:tc>
      </w:tr>
      <w:tr w14:paraId="631FB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5B99D88E">
            <w:pPr>
              <w:pStyle w:val="133"/>
            </w:pPr>
          </w:p>
        </w:tc>
        <w:tc>
          <w:tcPr>
            <w:tcW w:w="342" w:type="pct"/>
            <w:vMerge w:val="continue"/>
            <w:vAlign w:val="center"/>
          </w:tcPr>
          <w:p w14:paraId="3815A1F8">
            <w:pPr>
              <w:pStyle w:val="133"/>
            </w:pPr>
          </w:p>
        </w:tc>
        <w:tc>
          <w:tcPr>
            <w:tcW w:w="325" w:type="pct"/>
            <w:vMerge w:val="continue"/>
            <w:vAlign w:val="center"/>
          </w:tcPr>
          <w:p w14:paraId="30F36D87">
            <w:pPr>
              <w:pStyle w:val="133"/>
            </w:pPr>
          </w:p>
        </w:tc>
        <w:tc>
          <w:tcPr>
            <w:tcW w:w="303" w:type="pct"/>
            <w:vMerge w:val="continue"/>
            <w:vAlign w:val="center"/>
          </w:tcPr>
          <w:p w14:paraId="05BDA3FF">
            <w:pPr>
              <w:pStyle w:val="133"/>
            </w:pPr>
          </w:p>
        </w:tc>
        <w:tc>
          <w:tcPr>
            <w:tcW w:w="452" w:type="pct"/>
            <w:vAlign w:val="center"/>
          </w:tcPr>
          <w:p w14:paraId="574919D8">
            <w:pPr>
              <w:pStyle w:val="133"/>
            </w:pPr>
            <w:r>
              <w:rPr>
                <w:rFonts w:hint="eastAsia"/>
              </w:rPr>
              <w:t>硫化氢</w:t>
            </w:r>
          </w:p>
        </w:tc>
        <w:tc>
          <w:tcPr>
            <w:tcW w:w="463" w:type="pct"/>
            <w:vMerge w:val="continue"/>
            <w:vAlign w:val="center"/>
          </w:tcPr>
          <w:p w14:paraId="2A7153C1">
            <w:pPr>
              <w:pStyle w:val="133"/>
            </w:pPr>
          </w:p>
        </w:tc>
        <w:tc>
          <w:tcPr>
            <w:tcW w:w="339" w:type="pct"/>
            <w:vAlign w:val="center"/>
          </w:tcPr>
          <w:p w14:paraId="58A6D63F">
            <w:pPr>
              <w:pStyle w:val="133"/>
            </w:pPr>
            <w:r>
              <w:rPr>
                <w:rFonts w:eastAsia="等线" w:cs="Times New Roman"/>
                <w:color w:val="000000"/>
                <w:szCs w:val="21"/>
              </w:rPr>
              <w:t>0.70</w:t>
            </w:r>
          </w:p>
        </w:tc>
        <w:tc>
          <w:tcPr>
            <w:tcW w:w="290" w:type="pct"/>
            <w:vAlign w:val="center"/>
          </w:tcPr>
          <w:p w14:paraId="13762580">
            <w:pPr>
              <w:pStyle w:val="133"/>
            </w:pPr>
            <w:r>
              <w:rPr>
                <w:rFonts w:eastAsia="等线" w:cs="Times New Roman"/>
                <w:color w:val="000000"/>
                <w:szCs w:val="21"/>
              </w:rPr>
              <w:t>0.03</w:t>
            </w:r>
          </w:p>
        </w:tc>
        <w:tc>
          <w:tcPr>
            <w:tcW w:w="482" w:type="pct"/>
            <w:vMerge w:val="continue"/>
            <w:vAlign w:val="center"/>
          </w:tcPr>
          <w:p w14:paraId="36896795">
            <w:pPr>
              <w:pStyle w:val="133"/>
            </w:pPr>
          </w:p>
        </w:tc>
        <w:tc>
          <w:tcPr>
            <w:tcW w:w="306" w:type="pct"/>
          </w:tcPr>
          <w:p w14:paraId="50578EED">
            <w:pPr>
              <w:pStyle w:val="133"/>
            </w:pPr>
            <w:r>
              <w:t>9</w:t>
            </w:r>
            <w:r>
              <w:rPr>
                <w:rFonts w:hint="eastAsia"/>
              </w:rPr>
              <w:t>7</w:t>
            </w:r>
          </w:p>
        </w:tc>
        <w:tc>
          <w:tcPr>
            <w:tcW w:w="323" w:type="pct"/>
            <w:vAlign w:val="center"/>
          </w:tcPr>
          <w:p w14:paraId="4A130518">
            <w:pPr>
              <w:pStyle w:val="133"/>
            </w:pPr>
            <w:r>
              <w:rPr>
                <w:rFonts w:eastAsia="等线" w:cs="Times New Roman"/>
                <w:color w:val="000000"/>
                <w:szCs w:val="21"/>
              </w:rPr>
              <w:t>0.02</w:t>
            </w:r>
          </w:p>
        </w:tc>
        <w:tc>
          <w:tcPr>
            <w:tcW w:w="361" w:type="pct"/>
            <w:vAlign w:val="center"/>
          </w:tcPr>
          <w:p w14:paraId="56B7523E">
            <w:pPr>
              <w:pStyle w:val="133"/>
            </w:pPr>
            <w:r>
              <w:rPr>
                <w:rFonts w:eastAsia="等线" w:cs="Times New Roman"/>
                <w:color w:val="000000"/>
                <w:szCs w:val="21"/>
              </w:rPr>
              <w:t>0.0008</w:t>
            </w:r>
          </w:p>
        </w:tc>
        <w:tc>
          <w:tcPr>
            <w:tcW w:w="162" w:type="pct"/>
            <w:vMerge w:val="continue"/>
            <w:vAlign w:val="center"/>
          </w:tcPr>
          <w:p w14:paraId="51DAFD46">
            <w:pPr>
              <w:pStyle w:val="133"/>
            </w:pPr>
          </w:p>
        </w:tc>
        <w:tc>
          <w:tcPr>
            <w:tcW w:w="172" w:type="pct"/>
            <w:vMerge w:val="continue"/>
            <w:vAlign w:val="center"/>
          </w:tcPr>
          <w:p w14:paraId="59333DB8">
            <w:pPr>
              <w:pStyle w:val="133"/>
            </w:pPr>
          </w:p>
        </w:tc>
        <w:tc>
          <w:tcPr>
            <w:tcW w:w="158" w:type="pct"/>
            <w:vMerge w:val="continue"/>
            <w:vAlign w:val="center"/>
          </w:tcPr>
          <w:p w14:paraId="1DD3AD23">
            <w:pPr>
              <w:pStyle w:val="133"/>
            </w:pPr>
          </w:p>
        </w:tc>
        <w:tc>
          <w:tcPr>
            <w:tcW w:w="228" w:type="pct"/>
            <w:vMerge w:val="continue"/>
            <w:vAlign w:val="center"/>
          </w:tcPr>
          <w:p w14:paraId="5CA5E3C4">
            <w:pPr>
              <w:pStyle w:val="133"/>
            </w:pPr>
          </w:p>
        </w:tc>
      </w:tr>
      <w:tr w14:paraId="26DA56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53CAEF7C">
            <w:pPr>
              <w:pStyle w:val="133"/>
            </w:pPr>
          </w:p>
        </w:tc>
        <w:tc>
          <w:tcPr>
            <w:tcW w:w="342" w:type="pct"/>
            <w:vMerge w:val="continue"/>
            <w:vAlign w:val="center"/>
          </w:tcPr>
          <w:p w14:paraId="2B523E11">
            <w:pPr>
              <w:pStyle w:val="133"/>
            </w:pPr>
          </w:p>
        </w:tc>
        <w:tc>
          <w:tcPr>
            <w:tcW w:w="325" w:type="pct"/>
            <w:vMerge w:val="continue"/>
            <w:vAlign w:val="center"/>
          </w:tcPr>
          <w:p w14:paraId="0D23D9BC">
            <w:pPr>
              <w:pStyle w:val="133"/>
            </w:pPr>
          </w:p>
        </w:tc>
        <w:tc>
          <w:tcPr>
            <w:tcW w:w="303" w:type="pct"/>
            <w:vMerge w:val="continue"/>
            <w:vAlign w:val="center"/>
          </w:tcPr>
          <w:p w14:paraId="3364C6AE">
            <w:pPr>
              <w:pStyle w:val="133"/>
            </w:pPr>
          </w:p>
        </w:tc>
        <w:tc>
          <w:tcPr>
            <w:tcW w:w="452" w:type="pct"/>
            <w:vAlign w:val="center"/>
          </w:tcPr>
          <w:p w14:paraId="3C26E2B1">
            <w:pPr>
              <w:pStyle w:val="133"/>
            </w:pPr>
            <w:r>
              <w:rPr>
                <w:rFonts w:hint="eastAsia"/>
              </w:rPr>
              <w:t>非甲烷总烃</w:t>
            </w:r>
          </w:p>
        </w:tc>
        <w:tc>
          <w:tcPr>
            <w:tcW w:w="463" w:type="pct"/>
            <w:vMerge w:val="continue"/>
            <w:vAlign w:val="center"/>
          </w:tcPr>
          <w:p w14:paraId="3AD38634">
            <w:pPr>
              <w:pStyle w:val="133"/>
            </w:pPr>
          </w:p>
        </w:tc>
        <w:tc>
          <w:tcPr>
            <w:tcW w:w="339" w:type="pct"/>
            <w:vAlign w:val="center"/>
          </w:tcPr>
          <w:p w14:paraId="5FD053ED">
            <w:pPr>
              <w:pStyle w:val="133"/>
              <w:rPr>
                <w:rFonts w:eastAsia="等线" w:cs="Times New Roman"/>
              </w:rPr>
            </w:pPr>
            <w:r>
              <w:rPr>
                <w:rFonts w:eastAsia="等线" w:cs="Times New Roman"/>
                <w:color w:val="000000"/>
                <w:szCs w:val="21"/>
              </w:rPr>
              <w:t>2.11</w:t>
            </w:r>
          </w:p>
        </w:tc>
        <w:tc>
          <w:tcPr>
            <w:tcW w:w="290" w:type="pct"/>
            <w:vAlign w:val="center"/>
          </w:tcPr>
          <w:p w14:paraId="56309F89">
            <w:pPr>
              <w:pStyle w:val="133"/>
              <w:rPr>
                <w:rFonts w:eastAsia="等线" w:cs="Times New Roman"/>
              </w:rPr>
            </w:pPr>
            <w:r>
              <w:rPr>
                <w:rFonts w:eastAsia="等线" w:cs="Times New Roman"/>
                <w:color w:val="000000"/>
                <w:szCs w:val="21"/>
              </w:rPr>
              <w:t>0.08</w:t>
            </w:r>
          </w:p>
        </w:tc>
        <w:tc>
          <w:tcPr>
            <w:tcW w:w="482" w:type="pct"/>
            <w:vMerge w:val="continue"/>
            <w:vAlign w:val="center"/>
          </w:tcPr>
          <w:p w14:paraId="22652EF3">
            <w:pPr>
              <w:pStyle w:val="133"/>
            </w:pPr>
          </w:p>
        </w:tc>
        <w:tc>
          <w:tcPr>
            <w:tcW w:w="306" w:type="pct"/>
          </w:tcPr>
          <w:p w14:paraId="1EC6F480">
            <w:pPr>
              <w:pStyle w:val="133"/>
            </w:pPr>
            <w:r>
              <w:t>9</w:t>
            </w:r>
            <w:r>
              <w:rPr>
                <w:rFonts w:hint="eastAsia"/>
              </w:rPr>
              <w:t>7</w:t>
            </w:r>
          </w:p>
        </w:tc>
        <w:tc>
          <w:tcPr>
            <w:tcW w:w="323" w:type="pct"/>
            <w:vAlign w:val="center"/>
          </w:tcPr>
          <w:p w14:paraId="519E8C45">
            <w:pPr>
              <w:pStyle w:val="133"/>
              <w:rPr>
                <w:rFonts w:eastAsia="等线" w:cs="Times New Roman"/>
              </w:rPr>
            </w:pPr>
            <w:r>
              <w:rPr>
                <w:rFonts w:eastAsia="等线" w:cs="Times New Roman"/>
                <w:color w:val="000000"/>
                <w:szCs w:val="21"/>
              </w:rPr>
              <w:t>0.06</w:t>
            </w:r>
          </w:p>
        </w:tc>
        <w:tc>
          <w:tcPr>
            <w:tcW w:w="361" w:type="pct"/>
            <w:vAlign w:val="center"/>
          </w:tcPr>
          <w:p w14:paraId="4A780EA1">
            <w:pPr>
              <w:pStyle w:val="133"/>
              <w:rPr>
                <w:rFonts w:eastAsia="等线" w:cs="Times New Roman"/>
              </w:rPr>
            </w:pPr>
            <w:r>
              <w:rPr>
                <w:rFonts w:eastAsia="等线" w:cs="Times New Roman"/>
                <w:color w:val="000000"/>
                <w:szCs w:val="21"/>
              </w:rPr>
              <w:t>0.0025</w:t>
            </w:r>
          </w:p>
        </w:tc>
        <w:tc>
          <w:tcPr>
            <w:tcW w:w="162" w:type="pct"/>
            <w:vMerge w:val="continue"/>
            <w:vAlign w:val="center"/>
          </w:tcPr>
          <w:p w14:paraId="7AD60EFA">
            <w:pPr>
              <w:pStyle w:val="133"/>
            </w:pPr>
          </w:p>
        </w:tc>
        <w:tc>
          <w:tcPr>
            <w:tcW w:w="172" w:type="pct"/>
            <w:vMerge w:val="continue"/>
            <w:vAlign w:val="center"/>
          </w:tcPr>
          <w:p w14:paraId="01097A85">
            <w:pPr>
              <w:pStyle w:val="133"/>
            </w:pPr>
          </w:p>
        </w:tc>
        <w:tc>
          <w:tcPr>
            <w:tcW w:w="158" w:type="pct"/>
            <w:vMerge w:val="continue"/>
            <w:vAlign w:val="center"/>
          </w:tcPr>
          <w:p w14:paraId="63ADF0CB">
            <w:pPr>
              <w:pStyle w:val="133"/>
            </w:pPr>
          </w:p>
        </w:tc>
        <w:tc>
          <w:tcPr>
            <w:tcW w:w="228" w:type="pct"/>
            <w:vMerge w:val="continue"/>
            <w:vAlign w:val="center"/>
          </w:tcPr>
          <w:p w14:paraId="22FB8998">
            <w:pPr>
              <w:pStyle w:val="133"/>
            </w:pPr>
          </w:p>
        </w:tc>
      </w:tr>
      <w:tr w14:paraId="468A98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Merge w:val="continue"/>
            <w:vAlign w:val="center"/>
          </w:tcPr>
          <w:p w14:paraId="2125DAAB">
            <w:pPr>
              <w:pStyle w:val="133"/>
            </w:pPr>
          </w:p>
        </w:tc>
        <w:tc>
          <w:tcPr>
            <w:tcW w:w="342" w:type="pct"/>
            <w:vMerge w:val="continue"/>
            <w:vAlign w:val="center"/>
          </w:tcPr>
          <w:p w14:paraId="4442A6F1">
            <w:pPr>
              <w:pStyle w:val="133"/>
            </w:pPr>
          </w:p>
        </w:tc>
        <w:tc>
          <w:tcPr>
            <w:tcW w:w="325" w:type="pct"/>
            <w:vMerge w:val="continue"/>
            <w:vAlign w:val="center"/>
          </w:tcPr>
          <w:p w14:paraId="4C0B36B4">
            <w:pPr>
              <w:pStyle w:val="133"/>
            </w:pPr>
          </w:p>
        </w:tc>
        <w:tc>
          <w:tcPr>
            <w:tcW w:w="303" w:type="pct"/>
            <w:vMerge w:val="continue"/>
            <w:vAlign w:val="center"/>
          </w:tcPr>
          <w:p w14:paraId="653E7859">
            <w:pPr>
              <w:pStyle w:val="133"/>
            </w:pPr>
          </w:p>
        </w:tc>
        <w:tc>
          <w:tcPr>
            <w:tcW w:w="452" w:type="pct"/>
            <w:vAlign w:val="center"/>
          </w:tcPr>
          <w:p w14:paraId="289BC9D2">
            <w:pPr>
              <w:pStyle w:val="133"/>
            </w:pPr>
            <w:r>
              <w:rPr>
                <w:rFonts w:hint="eastAsia"/>
              </w:rPr>
              <w:t>SO</w:t>
            </w:r>
            <w:r>
              <w:rPr>
                <w:rFonts w:hint="eastAsia"/>
                <w:vertAlign w:val="subscript"/>
              </w:rPr>
              <w:t>2</w:t>
            </w:r>
          </w:p>
        </w:tc>
        <w:tc>
          <w:tcPr>
            <w:tcW w:w="463" w:type="pct"/>
            <w:vMerge w:val="continue"/>
            <w:vAlign w:val="center"/>
          </w:tcPr>
          <w:p w14:paraId="7B9A4ECF">
            <w:pPr>
              <w:pStyle w:val="133"/>
            </w:pPr>
          </w:p>
        </w:tc>
        <w:tc>
          <w:tcPr>
            <w:tcW w:w="339" w:type="pct"/>
            <w:vAlign w:val="center"/>
          </w:tcPr>
          <w:p w14:paraId="69CE4D03">
            <w:pPr>
              <w:pStyle w:val="133"/>
            </w:pPr>
            <w:r>
              <w:rPr>
                <w:rFonts w:eastAsia="等线" w:cs="Times New Roman"/>
                <w:color w:val="000000"/>
                <w:szCs w:val="21"/>
              </w:rPr>
              <w:t>189.15</w:t>
            </w:r>
          </w:p>
        </w:tc>
        <w:tc>
          <w:tcPr>
            <w:tcW w:w="290" w:type="pct"/>
            <w:vAlign w:val="center"/>
          </w:tcPr>
          <w:p w14:paraId="2A6D68FF">
            <w:pPr>
              <w:pStyle w:val="133"/>
            </w:pPr>
            <w:r>
              <w:rPr>
                <w:rFonts w:eastAsia="等线" w:cs="Times New Roman"/>
                <w:color w:val="000000"/>
                <w:szCs w:val="21"/>
              </w:rPr>
              <w:t>7.57</w:t>
            </w:r>
          </w:p>
        </w:tc>
        <w:tc>
          <w:tcPr>
            <w:tcW w:w="482" w:type="pct"/>
            <w:vMerge w:val="continue"/>
            <w:vAlign w:val="center"/>
          </w:tcPr>
          <w:p w14:paraId="4261D09C">
            <w:pPr>
              <w:pStyle w:val="133"/>
            </w:pPr>
          </w:p>
        </w:tc>
        <w:tc>
          <w:tcPr>
            <w:tcW w:w="306" w:type="pct"/>
          </w:tcPr>
          <w:p w14:paraId="3D8CBF92">
            <w:pPr>
              <w:pStyle w:val="133"/>
            </w:pPr>
            <w:r>
              <w:t>9</w:t>
            </w:r>
            <w:r>
              <w:rPr>
                <w:rFonts w:hint="eastAsia"/>
              </w:rPr>
              <w:t>7</w:t>
            </w:r>
          </w:p>
        </w:tc>
        <w:tc>
          <w:tcPr>
            <w:tcW w:w="323" w:type="pct"/>
            <w:vAlign w:val="center"/>
          </w:tcPr>
          <w:p w14:paraId="5B9E2824">
            <w:pPr>
              <w:pStyle w:val="133"/>
            </w:pPr>
            <w:r>
              <w:rPr>
                <w:rFonts w:eastAsia="等线" w:cs="Times New Roman"/>
                <w:color w:val="000000"/>
                <w:szCs w:val="21"/>
              </w:rPr>
              <w:t>5.67</w:t>
            </w:r>
          </w:p>
        </w:tc>
        <w:tc>
          <w:tcPr>
            <w:tcW w:w="361" w:type="pct"/>
            <w:vAlign w:val="center"/>
          </w:tcPr>
          <w:p w14:paraId="5D76E0B1">
            <w:pPr>
              <w:pStyle w:val="133"/>
            </w:pPr>
            <w:r>
              <w:rPr>
                <w:rFonts w:eastAsia="等线" w:cs="Times New Roman"/>
                <w:color w:val="000000"/>
                <w:szCs w:val="21"/>
              </w:rPr>
              <w:t>0.23</w:t>
            </w:r>
          </w:p>
        </w:tc>
        <w:tc>
          <w:tcPr>
            <w:tcW w:w="162" w:type="pct"/>
            <w:vMerge w:val="continue"/>
            <w:vAlign w:val="center"/>
          </w:tcPr>
          <w:p w14:paraId="3496CA8E">
            <w:pPr>
              <w:pStyle w:val="133"/>
            </w:pPr>
          </w:p>
        </w:tc>
        <w:tc>
          <w:tcPr>
            <w:tcW w:w="172" w:type="pct"/>
            <w:vMerge w:val="continue"/>
            <w:vAlign w:val="center"/>
          </w:tcPr>
          <w:p w14:paraId="17E584C7">
            <w:pPr>
              <w:pStyle w:val="133"/>
            </w:pPr>
          </w:p>
        </w:tc>
        <w:tc>
          <w:tcPr>
            <w:tcW w:w="158" w:type="pct"/>
            <w:vMerge w:val="continue"/>
            <w:vAlign w:val="center"/>
          </w:tcPr>
          <w:p w14:paraId="5B237BF1">
            <w:pPr>
              <w:pStyle w:val="133"/>
            </w:pPr>
          </w:p>
        </w:tc>
        <w:tc>
          <w:tcPr>
            <w:tcW w:w="228" w:type="pct"/>
            <w:vMerge w:val="continue"/>
            <w:vAlign w:val="center"/>
          </w:tcPr>
          <w:p w14:paraId="7B56A87C">
            <w:pPr>
              <w:pStyle w:val="133"/>
            </w:pPr>
          </w:p>
        </w:tc>
      </w:tr>
      <w:tr w14:paraId="1622B2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96" w:type="pct"/>
            <w:vAlign w:val="center"/>
          </w:tcPr>
          <w:p w14:paraId="4E049A7A">
            <w:pPr>
              <w:pStyle w:val="133"/>
            </w:pPr>
            <w:r>
              <w:rPr>
                <w:rFonts w:hint="eastAsia"/>
              </w:rPr>
              <w:t>G</w:t>
            </w:r>
            <w:r>
              <w:rPr>
                <w:rFonts w:hint="eastAsia"/>
                <w:vertAlign w:val="subscript"/>
              </w:rPr>
              <w:t>1-9</w:t>
            </w:r>
          </w:p>
        </w:tc>
        <w:tc>
          <w:tcPr>
            <w:tcW w:w="342" w:type="pct"/>
            <w:vAlign w:val="center"/>
          </w:tcPr>
          <w:p w14:paraId="21A720F9">
            <w:pPr>
              <w:pStyle w:val="133"/>
            </w:pPr>
            <w:r>
              <w:rPr>
                <w:rFonts w:hint="eastAsia"/>
              </w:rPr>
              <w:t>2#VOCs处理装置</w:t>
            </w:r>
          </w:p>
        </w:tc>
        <w:tc>
          <w:tcPr>
            <w:tcW w:w="325" w:type="pct"/>
            <w:vAlign w:val="center"/>
          </w:tcPr>
          <w:p w14:paraId="23A8C474">
            <w:pPr>
              <w:pStyle w:val="133"/>
            </w:pPr>
            <w:r>
              <w:rPr>
                <w:rFonts w:hint="eastAsia"/>
              </w:rPr>
              <w:t>有机废气</w:t>
            </w:r>
          </w:p>
        </w:tc>
        <w:tc>
          <w:tcPr>
            <w:tcW w:w="303" w:type="pct"/>
            <w:vAlign w:val="center"/>
          </w:tcPr>
          <w:p w14:paraId="1C85615F">
            <w:pPr>
              <w:pStyle w:val="133"/>
            </w:pPr>
            <w:r>
              <w:rPr>
                <w:rFonts w:hint="eastAsia"/>
              </w:rPr>
              <w:t>1000</w:t>
            </w:r>
          </w:p>
        </w:tc>
        <w:tc>
          <w:tcPr>
            <w:tcW w:w="452" w:type="pct"/>
            <w:vAlign w:val="center"/>
          </w:tcPr>
          <w:p w14:paraId="43F53B13">
            <w:pPr>
              <w:pStyle w:val="133"/>
            </w:pPr>
            <w:r>
              <w:rPr>
                <w:rFonts w:hint="eastAsia"/>
              </w:rPr>
              <w:t>非甲烷总烃</w:t>
            </w:r>
          </w:p>
        </w:tc>
        <w:tc>
          <w:tcPr>
            <w:tcW w:w="463" w:type="pct"/>
            <w:vAlign w:val="center"/>
          </w:tcPr>
          <w:p w14:paraId="31E81F45">
            <w:pPr>
              <w:pStyle w:val="133"/>
            </w:pPr>
            <w:r>
              <w:rPr>
                <w:rFonts w:hint="eastAsia"/>
              </w:rPr>
              <w:t>类比法</w:t>
            </w:r>
          </w:p>
        </w:tc>
        <w:tc>
          <w:tcPr>
            <w:tcW w:w="339" w:type="pct"/>
            <w:vAlign w:val="center"/>
          </w:tcPr>
          <w:p w14:paraId="31046BF7">
            <w:pPr>
              <w:pStyle w:val="133"/>
            </w:pPr>
            <w:r>
              <w:rPr>
                <w:rFonts w:hint="eastAsia" w:eastAsia="等线" w:cs="Times New Roman"/>
                <w:color w:val="000000"/>
                <w:szCs w:val="21"/>
              </w:rPr>
              <w:t>1526.71</w:t>
            </w:r>
          </w:p>
        </w:tc>
        <w:tc>
          <w:tcPr>
            <w:tcW w:w="290" w:type="pct"/>
            <w:vAlign w:val="center"/>
          </w:tcPr>
          <w:p w14:paraId="11AEAAAA">
            <w:pPr>
              <w:pStyle w:val="133"/>
            </w:pPr>
            <w:r>
              <w:rPr>
                <w:rFonts w:hint="eastAsia" w:eastAsia="等线" w:cs="Times New Roman"/>
                <w:color w:val="000000"/>
                <w:szCs w:val="21"/>
              </w:rPr>
              <w:t>1.53</w:t>
            </w:r>
          </w:p>
        </w:tc>
        <w:tc>
          <w:tcPr>
            <w:tcW w:w="482" w:type="pct"/>
            <w:vAlign w:val="center"/>
          </w:tcPr>
          <w:p w14:paraId="74D5FD9E">
            <w:pPr>
              <w:pStyle w:val="133"/>
            </w:pPr>
            <w:r>
              <w:rPr>
                <w:rFonts w:hint="eastAsia"/>
              </w:rPr>
              <w:t>酸洗+碱洗+活性炭吸附-脱附+催化燃烧工艺</w:t>
            </w:r>
          </w:p>
        </w:tc>
        <w:tc>
          <w:tcPr>
            <w:tcW w:w="306" w:type="pct"/>
            <w:vAlign w:val="center"/>
          </w:tcPr>
          <w:p w14:paraId="506F89A3">
            <w:pPr>
              <w:pStyle w:val="133"/>
            </w:pPr>
            <w:r>
              <w:t>9</w:t>
            </w:r>
            <w:r>
              <w:rPr>
                <w:rFonts w:hint="eastAsia"/>
              </w:rPr>
              <w:t>7</w:t>
            </w:r>
          </w:p>
        </w:tc>
        <w:tc>
          <w:tcPr>
            <w:tcW w:w="323" w:type="pct"/>
            <w:vAlign w:val="center"/>
          </w:tcPr>
          <w:p w14:paraId="62001A23">
            <w:pPr>
              <w:pStyle w:val="133"/>
            </w:pPr>
            <w:r>
              <w:rPr>
                <w:rFonts w:hint="eastAsia" w:eastAsia="等线" w:cs="Times New Roman"/>
                <w:color w:val="000000"/>
                <w:szCs w:val="21"/>
              </w:rPr>
              <w:t>45.80</w:t>
            </w:r>
          </w:p>
        </w:tc>
        <w:tc>
          <w:tcPr>
            <w:tcW w:w="361" w:type="pct"/>
            <w:vAlign w:val="center"/>
          </w:tcPr>
          <w:p w14:paraId="38F7AE72">
            <w:pPr>
              <w:pStyle w:val="133"/>
            </w:pPr>
            <w:r>
              <w:rPr>
                <w:rFonts w:hint="eastAsia" w:eastAsia="等线" w:cs="Times New Roman"/>
                <w:color w:val="000000"/>
                <w:szCs w:val="21"/>
              </w:rPr>
              <w:t>0.046</w:t>
            </w:r>
          </w:p>
        </w:tc>
        <w:tc>
          <w:tcPr>
            <w:tcW w:w="162" w:type="pct"/>
            <w:vAlign w:val="center"/>
          </w:tcPr>
          <w:p w14:paraId="10EC1D50">
            <w:pPr>
              <w:pStyle w:val="133"/>
            </w:pPr>
            <w:r>
              <w:rPr>
                <w:rFonts w:hint="eastAsia"/>
              </w:rPr>
              <w:t>25</w:t>
            </w:r>
          </w:p>
        </w:tc>
        <w:tc>
          <w:tcPr>
            <w:tcW w:w="172" w:type="pct"/>
            <w:vAlign w:val="center"/>
          </w:tcPr>
          <w:p w14:paraId="4D2D4DFE">
            <w:pPr>
              <w:pStyle w:val="133"/>
            </w:pPr>
            <w:r>
              <w:rPr>
                <w:rFonts w:hint="eastAsia"/>
              </w:rPr>
              <w:t>0.4</w:t>
            </w:r>
          </w:p>
        </w:tc>
        <w:tc>
          <w:tcPr>
            <w:tcW w:w="158" w:type="pct"/>
            <w:vAlign w:val="center"/>
          </w:tcPr>
          <w:p w14:paraId="5E15F17F">
            <w:pPr>
              <w:pStyle w:val="133"/>
            </w:pPr>
            <w:r>
              <w:rPr>
                <w:rFonts w:hint="eastAsia"/>
              </w:rPr>
              <w:t>70</w:t>
            </w:r>
          </w:p>
        </w:tc>
        <w:tc>
          <w:tcPr>
            <w:tcW w:w="228" w:type="pct"/>
            <w:vAlign w:val="center"/>
          </w:tcPr>
          <w:p w14:paraId="0ADE8861">
            <w:pPr>
              <w:pStyle w:val="133"/>
            </w:pPr>
            <w:r>
              <w:rPr>
                <w:rFonts w:hint="eastAsia" w:eastAsia="等线" w:cs="Times New Roman"/>
                <w:szCs w:val="21"/>
              </w:rPr>
              <w:t>7920</w:t>
            </w:r>
          </w:p>
        </w:tc>
      </w:tr>
    </w:tbl>
    <w:p w14:paraId="4C2C7A19">
      <w:pPr>
        <w:ind w:firstLine="0" w:firstLineChars="0"/>
      </w:pPr>
    </w:p>
    <w:bookmarkEnd w:id="301"/>
    <w:p w14:paraId="6154EB38">
      <w:pPr>
        <w:ind w:firstLine="480"/>
        <w:sectPr>
          <w:pgSz w:w="16838" w:h="11906" w:orient="landscape"/>
          <w:pgMar w:top="1800" w:right="1440" w:bottom="1800" w:left="1440" w:header="850" w:footer="850" w:gutter="0"/>
          <w:cols w:space="425" w:num="1"/>
          <w:docGrid w:type="lines" w:linePitch="326" w:charSpace="0"/>
        </w:sectPr>
      </w:pPr>
    </w:p>
    <w:p w14:paraId="11D0B0E4">
      <w:pPr>
        <w:ind w:firstLine="480"/>
      </w:pPr>
      <w:r>
        <w:rPr>
          <w:rFonts w:hint="eastAsia"/>
        </w:rPr>
        <w:t>（2）无组织废气</w:t>
      </w:r>
    </w:p>
    <w:p w14:paraId="0E1EE3BD">
      <w:pPr>
        <w:ind w:firstLine="480"/>
      </w:pPr>
      <w:bookmarkStart w:id="302" w:name="_Hlk177575441"/>
      <w:r>
        <w:rPr>
          <w:rFonts w:hint="eastAsia"/>
        </w:rPr>
        <w:t>1）封闭料仓含尘废气（G1-1</w:t>
      </w:r>
      <w:r>
        <w:rPr>
          <w:rFonts w:hint="eastAsia" w:ascii="宋体" w:hAnsi="宋体"/>
        </w:rPr>
        <w:t>ˊ</w:t>
      </w:r>
      <w:r>
        <w:rPr>
          <w:rFonts w:hint="eastAsia"/>
        </w:rPr>
        <w:t>、G1-2</w:t>
      </w:r>
      <w:r>
        <w:rPr>
          <w:rFonts w:hint="eastAsia" w:ascii="宋体" w:hAnsi="宋体"/>
        </w:rPr>
        <w:t>ˊ</w:t>
      </w:r>
      <w:r>
        <w:rPr>
          <w:rFonts w:hint="eastAsia"/>
        </w:rPr>
        <w:t>）</w:t>
      </w:r>
    </w:p>
    <w:p w14:paraId="52137305">
      <w:pPr>
        <w:ind w:firstLine="480"/>
        <w:rPr>
          <w:rFonts w:hint="eastAsia" w:ascii="宋体" w:hAnsi="宋体"/>
        </w:rPr>
      </w:pPr>
      <w:r>
        <w:rPr>
          <w:rFonts w:hint="eastAsia"/>
        </w:rPr>
        <w:t>原料煤</w:t>
      </w:r>
      <w:r>
        <w:rPr>
          <w:rFonts w:hint="eastAsia" w:ascii="宋体" w:hAnsi="宋体"/>
        </w:rPr>
        <w:t>采用汽车运进厂后，在煤棚内经自卸汽车卸入卸煤沟，皮带转运至原煤破碎筛分，块煤送至煤棚块煤存储区贮存，</w:t>
      </w:r>
      <w:r>
        <w:rPr>
          <w:rFonts w:hint="eastAsia"/>
        </w:rPr>
        <w:t>沫煤</w:t>
      </w:r>
      <w:r>
        <w:rPr>
          <w:rFonts w:hint="eastAsia" w:ascii="宋体" w:hAnsi="宋体"/>
        </w:rPr>
        <w:t>送至煤棚沫煤存储区贮存</w:t>
      </w:r>
      <w:r>
        <w:rPr>
          <w:rFonts w:hint="eastAsia" w:ascii="宋体" w:hAnsi="宋体" w:cs="宋体"/>
          <w:szCs w:val="28"/>
        </w:rPr>
        <w:t>。炭化装置产出的兰炭经蒸汽熄焦后送焦棚存放。</w:t>
      </w:r>
      <w:r>
        <w:rPr>
          <w:rFonts w:hint="eastAsia" w:ascii="宋体" w:hAnsi="宋体"/>
        </w:rPr>
        <w:t>以上封闭料仓无组织排放颗粒物。卸煤破碎间采取高效布袋除尘，筛煤楼采取高效布袋除尘措施，煤炭及兰炭转输及落料点，煤棚及焦棚仓储存过程均采取粉尘及堆场控制措施，减少颗粒物排放。此外，厂内料仓进口处设车辆冲洗设施，减少颗粒物排放。</w:t>
      </w:r>
    </w:p>
    <w:p w14:paraId="4F306AD8">
      <w:pPr>
        <w:ind w:firstLine="480"/>
        <w:rPr>
          <w:rFonts w:hint="eastAsia" w:ascii="宋体" w:hAnsi="宋体"/>
        </w:rPr>
      </w:pPr>
      <w:r>
        <w:rPr>
          <w:rFonts w:hint="eastAsia"/>
        </w:rPr>
        <w:t>根据《排放源统计调查产排污核算方法和系数手册》的《工业源固体物料堆场颗粒物核算系数手册》中的颗粒物产生量与排放量核算方法，分别计算</w:t>
      </w:r>
      <w:r>
        <w:rPr>
          <w:rFonts w:hint="eastAsia" w:ascii="宋体" w:hAnsi="宋体"/>
        </w:rPr>
        <w:t>煤棚及焦棚</w:t>
      </w:r>
      <w:r>
        <w:rPr>
          <w:rFonts w:hint="eastAsia"/>
        </w:rPr>
        <w:t>的颗粒物源强。</w:t>
      </w:r>
    </w:p>
    <w:p w14:paraId="0F7FCD1E">
      <w:pPr>
        <w:ind w:firstLine="480"/>
      </w:pPr>
      <w:r>
        <w:rPr>
          <w:rFonts w:hint="eastAsia" w:ascii="宋体" w:hAnsi="宋体"/>
        </w:rPr>
        <w:t>①</w:t>
      </w:r>
      <w:r>
        <w:rPr>
          <w:rFonts w:hint="eastAsia"/>
        </w:rPr>
        <w:t>工业企业固体物料堆存颗粒物包括装卸扬尘和风蚀扬尘，颗粒物产生量核算公式如下：</w:t>
      </w:r>
    </w:p>
    <w:p w14:paraId="34ECB9E9">
      <w:pPr>
        <w:ind w:firstLine="480"/>
        <w:jc w:val="center"/>
      </w:pPr>
      <w:r>
        <w:rPr>
          <w:rFonts w:ascii="Cambria Math" w:hAnsi="Cambria Math" w:cs="Cambria Math"/>
        </w:rPr>
        <w:t>𝑃</w:t>
      </w:r>
      <w:r>
        <w:t>=</w:t>
      </w:r>
      <w:r>
        <w:rPr>
          <w:rFonts w:ascii="Cambria Math" w:hAnsi="Cambria Math" w:cs="Cambria Math"/>
        </w:rPr>
        <w:t>𝑍𝐶𝑦</w:t>
      </w:r>
      <w:r>
        <w:t>+</w:t>
      </w:r>
      <w:r>
        <w:rPr>
          <w:rFonts w:ascii="Cambria Math" w:hAnsi="Cambria Math" w:cs="Cambria Math"/>
        </w:rPr>
        <w:t>𝐹𝐶𝑦</w:t>
      </w:r>
      <w:r>
        <w:t>={</w:t>
      </w:r>
      <w:r>
        <w:rPr>
          <w:rFonts w:ascii="Cambria Math" w:hAnsi="Cambria Math" w:cs="Cambria Math"/>
        </w:rPr>
        <w:t>𝑁𝐶</w:t>
      </w:r>
      <w:r>
        <w:t>×</w:t>
      </w:r>
      <w:r>
        <w:rPr>
          <w:rFonts w:ascii="Cambria Math" w:hAnsi="Cambria Math" w:cs="Cambria Math"/>
        </w:rPr>
        <w:t>𝐷</w:t>
      </w:r>
      <w:r>
        <w:t>×（</w:t>
      </w:r>
      <w:r>
        <w:rPr>
          <w:rFonts w:ascii="Cambria Math" w:hAnsi="Cambria Math" w:cs="Cambria Math"/>
        </w:rPr>
        <w:t>𝑎𝑏</w:t>
      </w:r>
      <w:r>
        <w:rPr>
          <w:rFonts w:hint="eastAsia" w:ascii="微软雅黑" w:hAnsi="微软雅黑" w:eastAsia="微软雅黑" w:cs="微软雅黑"/>
        </w:rPr>
        <w:t>⁄</w:t>
      </w:r>
      <w:r>
        <w:t>）+2×E</w:t>
      </w:r>
      <w:r>
        <w:rPr>
          <w:rFonts w:ascii="Cambria Math" w:hAnsi="Cambria Math" w:cs="Cambria Math"/>
        </w:rPr>
        <w:t>𝑓</w:t>
      </w:r>
      <w:r>
        <w:t>×</w:t>
      </w:r>
      <w:r>
        <w:rPr>
          <w:rFonts w:ascii="Cambria Math" w:hAnsi="Cambria Math" w:cs="Cambria Math"/>
        </w:rPr>
        <w:t>𝑆</w:t>
      </w:r>
      <w:r>
        <w:t>}×10</w:t>
      </w:r>
      <w:r>
        <w:rPr>
          <w:rFonts w:hint="eastAsia" w:ascii="微软雅黑" w:hAnsi="微软雅黑" w:eastAsia="微软雅黑" w:cs="微软雅黑"/>
          <w:vertAlign w:val="superscript"/>
        </w:rPr>
        <w:t>−</w:t>
      </w:r>
      <w:r>
        <w:rPr>
          <w:vertAlign w:val="superscript"/>
        </w:rPr>
        <w:t>3</w:t>
      </w:r>
    </w:p>
    <w:p w14:paraId="78A4FA74">
      <w:pPr>
        <w:ind w:firstLine="480"/>
      </w:pPr>
      <w:r>
        <w:rPr>
          <w:rFonts w:hint="eastAsia"/>
        </w:rPr>
        <w:t>式中：</w:t>
      </w:r>
    </w:p>
    <w:p w14:paraId="6C293A09">
      <w:pPr>
        <w:ind w:firstLine="480"/>
      </w:pPr>
      <w:r>
        <w:t>P</w:t>
      </w:r>
      <w:r>
        <w:rPr>
          <w:rFonts w:hint="eastAsia"/>
        </w:rPr>
        <w:t>——颗粒物产生量（单位：吨）；</w:t>
      </w:r>
      <w:r>
        <w:t xml:space="preserve"> </w:t>
      </w:r>
    </w:p>
    <w:p w14:paraId="04A45BE4">
      <w:pPr>
        <w:ind w:firstLine="480"/>
      </w:pPr>
      <w:r>
        <w:t>Zcy</w:t>
      </w:r>
      <w:r>
        <w:rPr>
          <w:rFonts w:hint="eastAsia"/>
        </w:rPr>
        <w:t>——装卸扬尘产生量（单位：吨）；</w:t>
      </w:r>
      <w:r>
        <w:t xml:space="preserve"> </w:t>
      </w:r>
    </w:p>
    <w:p w14:paraId="3065ED9B">
      <w:pPr>
        <w:ind w:firstLine="480"/>
      </w:pPr>
      <w:r>
        <w:t>FCy</w:t>
      </w:r>
      <w:r>
        <w:rPr>
          <w:rFonts w:hint="eastAsia"/>
        </w:rPr>
        <w:t>——风蚀扬尘产生量（单位：吨）；</w:t>
      </w:r>
      <w:r>
        <w:t xml:space="preserve"> </w:t>
      </w:r>
    </w:p>
    <w:p w14:paraId="51591A7D">
      <w:pPr>
        <w:ind w:firstLine="480"/>
      </w:pPr>
      <w:r>
        <w:t>Nc</w:t>
      </w:r>
      <w:r>
        <w:rPr>
          <w:rFonts w:hint="eastAsia"/>
        </w:rPr>
        <w:t>——年物料运载车次（单位：车）；</w:t>
      </w:r>
      <w:r>
        <w:t xml:space="preserve"> </w:t>
      </w:r>
    </w:p>
    <w:p w14:paraId="625A1CAD">
      <w:pPr>
        <w:ind w:firstLine="480"/>
      </w:pPr>
      <w:r>
        <w:t>D</w:t>
      </w:r>
      <w:r>
        <w:rPr>
          <w:rFonts w:hint="eastAsia"/>
        </w:rPr>
        <w:t>——单车平均运载量（单位：吨</w:t>
      </w:r>
      <w:r>
        <w:t>/</w:t>
      </w:r>
      <w:r>
        <w:rPr>
          <w:rFonts w:hint="eastAsia"/>
        </w:rPr>
        <w:t>车）；</w:t>
      </w:r>
      <w:r>
        <w:t xml:space="preserve"> </w:t>
      </w:r>
    </w:p>
    <w:p w14:paraId="360B0EF0">
      <w:pPr>
        <w:ind w:firstLine="480"/>
      </w:pPr>
      <w:r>
        <w:t>（</w:t>
      </w:r>
      <w:r>
        <w:rPr>
          <w:rFonts w:ascii="Cambria Math" w:hAnsi="Cambria Math" w:cs="Cambria Math"/>
        </w:rPr>
        <w:t>𝑎𝑏</w:t>
      </w:r>
      <w:r>
        <w:t>⁄）</w:t>
      </w:r>
      <w:r>
        <w:rPr>
          <w:rFonts w:hint="eastAsia"/>
        </w:rPr>
        <w:t>——装卸扬尘概化系数（单位：千克</w:t>
      </w:r>
      <w:r>
        <w:t>/</w:t>
      </w:r>
      <w:r>
        <w:rPr>
          <w:rFonts w:hint="eastAsia"/>
        </w:rPr>
        <w:t>吨），</w:t>
      </w:r>
      <w:r>
        <w:t>a</w:t>
      </w:r>
      <w:r>
        <w:rPr>
          <w:rFonts w:hint="eastAsia"/>
        </w:rPr>
        <w:t>指各省风速概化系数，见附录</w:t>
      </w:r>
      <w:r>
        <w:t>1</w:t>
      </w:r>
      <w:r>
        <w:rPr>
          <w:rFonts w:hint="eastAsia"/>
        </w:rPr>
        <w:t>，</w:t>
      </w:r>
      <w:r>
        <w:t>b</w:t>
      </w:r>
      <w:r>
        <w:rPr>
          <w:rFonts w:hint="eastAsia"/>
        </w:rPr>
        <w:t>指物料含水率概化系数，见附录</w:t>
      </w:r>
      <w:r>
        <w:t>2</w:t>
      </w:r>
      <w:r>
        <w:rPr>
          <w:rFonts w:hint="eastAsia"/>
        </w:rPr>
        <w:t>；</w:t>
      </w:r>
      <w:r>
        <w:t xml:space="preserve"> </w:t>
      </w:r>
    </w:p>
    <w:p w14:paraId="6148CADA">
      <w:pPr>
        <w:ind w:firstLine="480"/>
      </w:pPr>
      <w:r>
        <w:t>Ef</w:t>
      </w:r>
      <w:r>
        <w:rPr>
          <w:rFonts w:hint="eastAsia"/>
        </w:rPr>
        <w:t>——堆场风蚀扬尘概化系数，见附录</w:t>
      </w:r>
      <w:r>
        <w:t>3</w:t>
      </w:r>
      <w:r>
        <w:rPr>
          <w:rFonts w:hint="eastAsia"/>
        </w:rPr>
        <w:t>（单位：千克</w:t>
      </w:r>
      <w:r>
        <w:t>/</w:t>
      </w:r>
      <w:r>
        <w:rPr>
          <w:rFonts w:hint="eastAsia"/>
        </w:rPr>
        <w:t>平方米）；</w:t>
      </w:r>
    </w:p>
    <w:p w14:paraId="409AF9D7">
      <w:pPr>
        <w:ind w:firstLine="480"/>
      </w:pPr>
      <w:r>
        <w:t>S</w:t>
      </w:r>
      <w:r>
        <w:rPr>
          <w:rFonts w:hint="eastAsia"/>
        </w:rPr>
        <w:t>——堆场占地面积（单位：平方米）。</w:t>
      </w:r>
    </w:p>
    <w:p w14:paraId="146F957C">
      <w:pPr>
        <w:ind w:firstLine="480"/>
      </w:pPr>
      <w:r>
        <w:rPr>
          <w:rFonts w:hint="eastAsia" w:ascii="宋体" w:hAnsi="宋体"/>
        </w:rPr>
        <w:t>②工业企业固体物料堆场颗粒物排放量核算公式如下：</w:t>
      </w:r>
    </w:p>
    <w:p w14:paraId="17C66A80">
      <w:pPr>
        <w:ind w:firstLine="480"/>
        <w:jc w:val="center"/>
      </w:pPr>
      <w:r>
        <w:rPr>
          <w:rFonts w:ascii="Cambria Math" w:hAnsi="Cambria Math" w:cs="Cambria Math"/>
        </w:rPr>
        <w:t>𝑈𝑐</w:t>
      </w:r>
      <w:r>
        <w:t>=</w:t>
      </w:r>
      <w:r>
        <w:rPr>
          <w:rFonts w:ascii="Cambria Math" w:hAnsi="Cambria Math" w:cs="Cambria Math"/>
        </w:rPr>
        <w:t>𝑃</w:t>
      </w:r>
      <w:r>
        <w:t>×（1−</w:t>
      </w:r>
      <w:r>
        <w:rPr>
          <w:rFonts w:ascii="Cambria Math" w:hAnsi="Cambria Math" w:cs="Cambria Math"/>
        </w:rPr>
        <w:t>𝐶𝑚</w:t>
      </w:r>
      <w:r>
        <w:t>）×（1−</w:t>
      </w:r>
      <w:r>
        <w:rPr>
          <w:rFonts w:ascii="Cambria Math" w:hAnsi="Cambria Math" w:cs="Cambria Math"/>
        </w:rPr>
        <w:t>𝑇𝑚</w:t>
      </w:r>
      <w:r>
        <w:t>）</w:t>
      </w:r>
    </w:p>
    <w:p w14:paraId="31F069AC">
      <w:pPr>
        <w:ind w:firstLine="480"/>
      </w:pPr>
      <w:r>
        <w:rPr>
          <w:rFonts w:hint="eastAsia"/>
        </w:rPr>
        <w:t>式中：</w:t>
      </w:r>
    </w:p>
    <w:p w14:paraId="6F12B5A9">
      <w:pPr>
        <w:ind w:firstLine="480"/>
      </w:pPr>
      <w:r>
        <w:t>P</w:t>
      </w:r>
      <w:r>
        <w:rPr>
          <w:rFonts w:hint="eastAsia"/>
        </w:rPr>
        <w:t>——颗粒物产生量（单位：吨）；</w:t>
      </w:r>
      <w:r>
        <w:t xml:space="preserve"> </w:t>
      </w:r>
    </w:p>
    <w:p w14:paraId="3BD00DDB">
      <w:pPr>
        <w:ind w:firstLine="480"/>
      </w:pPr>
      <w:r>
        <w:t>Uc</w:t>
      </w:r>
      <w:r>
        <w:rPr>
          <w:rFonts w:hint="eastAsia"/>
        </w:rPr>
        <w:t>——颗粒物排放量（单位：吨）；</w:t>
      </w:r>
      <w:r>
        <w:t xml:space="preserve"> </w:t>
      </w:r>
    </w:p>
    <w:p w14:paraId="37B04EF8">
      <w:pPr>
        <w:ind w:firstLine="480"/>
      </w:pPr>
      <w:r>
        <w:t>Cm</w:t>
      </w:r>
      <w:r>
        <w:rPr>
          <w:rFonts w:hint="eastAsia"/>
        </w:rPr>
        <w:t>——颗粒物控制措施控制效率（单位：</w:t>
      </w:r>
      <w:r>
        <w:t>%</w:t>
      </w:r>
      <w:r>
        <w:rPr>
          <w:rFonts w:hint="eastAsia"/>
        </w:rPr>
        <w:t>），见附录</w:t>
      </w:r>
      <w:r>
        <w:t>4</w:t>
      </w:r>
      <w:r>
        <w:rPr>
          <w:rFonts w:hint="eastAsia"/>
        </w:rPr>
        <w:t>；</w:t>
      </w:r>
      <w:r>
        <w:t xml:space="preserve"> </w:t>
      </w:r>
    </w:p>
    <w:p w14:paraId="01D253B8">
      <w:pPr>
        <w:ind w:firstLine="480"/>
      </w:pPr>
      <w:r>
        <w:t>Tm</w:t>
      </w:r>
      <w:r>
        <w:rPr>
          <w:rFonts w:hint="eastAsia"/>
        </w:rPr>
        <w:t>——堆场类型控制效率（单位：</w:t>
      </w:r>
      <w:r>
        <w:t>%</w:t>
      </w:r>
      <w:r>
        <w:rPr>
          <w:rFonts w:hint="eastAsia"/>
        </w:rPr>
        <w:t>），见附录</w:t>
      </w:r>
      <w:r>
        <w:t>5</w:t>
      </w:r>
      <w:r>
        <w:rPr>
          <w:rFonts w:hint="eastAsia"/>
        </w:rPr>
        <w:t>。</w:t>
      </w:r>
    </w:p>
    <w:p w14:paraId="7CE2623A">
      <w:pPr>
        <w:ind w:firstLine="480"/>
      </w:pPr>
      <w:r>
        <w:rPr>
          <w:rFonts w:hint="eastAsia"/>
        </w:rPr>
        <w:t>本项目采取的粉尘控制措施包括煤棚水雾抑尘（控制效率74%）及料场出入车辆冲洗（控制效率78%），堆场类型控制措施为密闭式储存（控制效率99%）。</w:t>
      </w:r>
    </w:p>
    <w:p w14:paraId="13DF479B">
      <w:pPr>
        <w:ind w:firstLine="480"/>
      </w:pPr>
      <w:bookmarkStart w:id="303" w:name="_Hlk177587949"/>
      <w:r>
        <w:rPr>
          <w:rFonts w:hint="eastAsia" w:ascii="宋体" w:hAnsi="宋体"/>
        </w:rPr>
        <w:t>煤棚及焦棚仓</w:t>
      </w:r>
      <w:r>
        <w:rPr>
          <w:rFonts w:hint="eastAsia"/>
        </w:rPr>
        <w:t>物料装卸及堆存过程损失计算参数及核算结果，见表3.3-23。</w:t>
      </w:r>
      <w:bookmarkEnd w:id="303"/>
    </w:p>
    <w:p w14:paraId="77CACB83">
      <w:pPr>
        <w:pStyle w:val="118"/>
      </w:pPr>
      <w:r>
        <w:t>表</w:t>
      </w:r>
      <w:r>
        <w:rPr>
          <w:rFonts w:hint="eastAsia"/>
        </w:rPr>
        <w:t>3.3-23  料棚颗粒物无组织排放核算参数及核算结果</w:t>
      </w:r>
      <w:r>
        <w:t>汇总</w:t>
      </w:r>
      <w:r>
        <w:rPr>
          <w:rFonts w:hint="eastAsia"/>
        </w:rPr>
        <w:t>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23"/>
        <w:gridCol w:w="1161"/>
        <w:gridCol w:w="1190"/>
        <w:gridCol w:w="980"/>
        <w:gridCol w:w="967"/>
        <w:gridCol w:w="1348"/>
        <w:gridCol w:w="1253"/>
      </w:tblGrid>
      <w:tr w14:paraId="33584C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52" w:type="pct"/>
            <w:noWrap/>
            <w:vAlign w:val="bottom"/>
          </w:tcPr>
          <w:p w14:paraId="39EE685C">
            <w:pPr>
              <w:pStyle w:val="133"/>
              <w:rPr>
                <w:b/>
                <w:bCs/>
              </w:rPr>
            </w:pPr>
            <w:r>
              <w:rPr>
                <w:rFonts w:hint="eastAsia"/>
                <w:b/>
                <w:bCs/>
              </w:rPr>
              <w:t>料仓名称</w:t>
            </w:r>
          </w:p>
        </w:tc>
        <w:tc>
          <w:tcPr>
            <w:tcW w:w="681" w:type="pct"/>
            <w:noWrap/>
            <w:vAlign w:val="bottom"/>
          </w:tcPr>
          <w:p w14:paraId="0A26705C">
            <w:pPr>
              <w:pStyle w:val="133"/>
              <w:rPr>
                <w:b/>
                <w:bCs/>
              </w:rPr>
            </w:pPr>
            <w:r>
              <w:rPr>
                <w:rFonts w:hint="eastAsia"/>
                <w:b/>
                <w:bCs/>
              </w:rPr>
              <w:t>Nc（车）</w:t>
            </w:r>
          </w:p>
        </w:tc>
        <w:tc>
          <w:tcPr>
            <w:tcW w:w="698" w:type="pct"/>
            <w:noWrap/>
            <w:vAlign w:val="bottom"/>
          </w:tcPr>
          <w:p w14:paraId="7FB13237">
            <w:pPr>
              <w:pStyle w:val="133"/>
              <w:rPr>
                <w:b/>
                <w:bCs/>
              </w:rPr>
            </w:pPr>
            <w:r>
              <w:rPr>
                <w:rFonts w:hint="eastAsia"/>
                <w:b/>
                <w:bCs/>
              </w:rPr>
              <w:t>D（t/车）</w:t>
            </w:r>
          </w:p>
        </w:tc>
        <w:tc>
          <w:tcPr>
            <w:tcW w:w="575" w:type="pct"/>
            <w:noWrap/>
            <w:vAlign w:val="bottom"/>
          </w:tcPr>
          <w:p w14:paraId="4BE05C0B">
            <w:pPr>
              <w:pStyle w:val="133"/>
              <w:rPr>
                <w:b/>
                <w:bCs/>
              </w:rPr>
            </w:pPr>
            <w:r>
              <w:rPr>
                <w:rFonts w:hint="eastAsia"/>
                <w:b/>
                <w:bCs/>
              </w:rPr>
              <w:t>a（kg）</w:t>
            </w:r>
          </w:p>
        </w:tc>
        <w:tc>
          <w:tcPr>
            <w:tcW w:w="567" w:type="pct"/>
            <w:noWrap/>
            <w:vAlign w:val="bottom"/>
          </w:tcPr>
          <w:p w14:paraId="7937F9C5">
            <w:pPr>
              <w:pStyle w:val="133"/>
              <w:rPr>
                <w:b/>
                <w:bCs/>
              </w:rPr>
            </w:pPr>
            <w:r>
              <w:rPr>
                <w:rFonts w:hint="eastAsia"/>
                <w:b/>
                <w:bCs/>
              </w:rPr>
              <w:t>b（t）</w:t>
            </w:r>
          </w:p>
        </w:tc>
        <w:tc>
          <w:tcPr>
            <w:tcW w:w="791" w:type="pct"/>
            <w:noWrap/>
            <w:vAlign w:val="bottom"/>
          </w:tcPr>
          <w:p w14:paraId="7375EA5B">
            <w:pPr>
              <w:pStyle w:val="133"/>
              <w:rPr>
                <w:b/>
                <w:bCs/>
              </w:rPr>
            </w:pPr>
            <w:r>
              <w:rPr>
                <w:rFonts w:hint="eastAsia"/>
                <w:b/>
                <w:bCs/>
              </w:rPr>
              <w:t>Ef（kg/㎡）</w:t>
            </w:r>
          </w:p>
        </w:tc>
        <w:tc>
          <w:tcPr>
            <w:tcW w:w="735" w:type="pct"/>
            <w:noWrap/>
            <w:vAlign w:val="bottom"/>
          </w:tcPr>
          <w:p w14:paraId="0DACA590">
            <w:pPr>
              <w:pStyle w:val="133"/>
              <w:rPr>
                <w:b/>
                <w:bCs/>
              </w:rPr>
            </w:pPr>
            <w:r>
              <w:rPr>
                <w:rFonts w:hint="eastAsia"/>
                <w:b/>
                <w:bCs/>
              </w:rPr>
              <w:t>S（㎡）</w:t>
            </w:r>
          </w:p>
        </w:tc>
      </w:tr>
      <w:tr w14:paraId="7FC43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52" w:type="pct"/>
            <w:noWrap/>
            <w:vAlign w:val="bottom"/>
          </w:tcPr>
          <w:p w14:paraId="5D7E4CE9">
            <w:pPr>
              <w:pStyle w:val="133"/>
            </w:pPr>
            <w:r>
              <w:rPr>
                <w:rFonts w:hint="eastAsia"/>
              </w:rPr>
              <w:t>煤棚</w:t>
            </w:r>
          </w:p>
        </w:tc>
        <w:tc>
          <w:tcPr>
            <w:tcW w:w="681" w:type="pct"/>
            <w:noWrap/>
            <w:vAlign w:val="bottom"/>
          </w:tcPr>
          <w:p w14:paraId="5159789C">
            <w:pPr>
              <w:pStyle w:val="133"/>
            </w:pPr>
            <w:r>
              <w:rPr>
                <w:rFonts w:hint="eastAsia"/>
              </w:rPr>
              <w:t>50000</w:t>
            </w:r>
          </w:p>
        </w:tc>
        <w:tc>
          <w:tcPr>
            <w:tcW w:w="698" w:type="pct"/>
            <w:noWrap/>
            <w:vAlign w:val="bottom"/>
          </w:tcPr>
          <w:p w14:paraId="7074DD13">
            <w:pPr>
              <w:pStyle w:val="133"/>
            </w:pPr>
            <w:r>
              <w:rPr>
                <w:rFonts w:hint="eastAsia"/>
              </w:rPr>
              <w:t>30</w:t>
            </w:r>
          </w:p>
        </w:tc>
        <w:tc>
          <w:tcPr>
            <w:tcW w:w="575" w:type="pct"/>
            <w:noWrap/>
            <w:vAlign w:val="bottom"/>
          </w:tcPr>
          <w:p w14:paraId="4E520B07">
            <w:pPr>
              <w:pStyle w:val="133"/>
            </w:pPr>
            <w:r>
              <w:rPr>
                <w:rFonts w:hint="eastAsia"/>
              </w:rPr>
              <w:t>0.0011</w:t>
            </w:r>
          </w:p>
        </w:tc>
        <w:tc>
          <w:tcPr>
            <w:tcW w:w="567" w:type="pct"/>
            <w:noWrap/>
            <w:vAlign w:val="bottom"/>
          </w:tcPr>
          <w:p w14:paraId="3C7DDF63">
            <w:pPr>
              <w:pStyle w:val="133"/>
            </w:pPr>
            <w:r>
              <w:rPr>
                <w:rFonts w:hint="eastAsia"/>
              </w:rPr>
              <w:t>0.0049</w:t>
            </w:r>
          </w:p>
        </w:tc>
        <w:tc>
          <w:tcPr>
            <w:tcW w:w="791" w:type="pct"/>
            <w:noWrap/>
            <w:vAlign w:val="bottom"/>
          </w:tcPr>
          <w:p w14:paraId="43EFBC9F">
            <w:pPr>
              <w:pStyle w:val="133"/>
            </w:pPr>
            <w:r>
              <w:rPr>
                <w:rFonts w:hint="eastAsia"/>
              </w:rPr>
              <w:t>30.6582</w:t>
            </w:r>
          </w:p>
        </w:tc>
        <w:tc>
          <w:tcPr>
            <w:tcW w:w="735" w:type="pct"/>
            <w:noWrap/>
            <w:vAlign w:val="bottom"/>
          </w:tcPr>
          <w:p w14:paraId="5F23E991">
            <w:pPr>
              <w:pStyle w:val="133"/>
            </w:pPr>
            <w:r>
              <w:rPr>
                <w:rFonts w:hint="eastAsia"/>
              </w:rPr>
              <w:t>25480</w:t>
            </w:r>
          </w:p>
        </w:tc>
      </w:tr>
      <w:tr w14:paraId="449A2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52" w:type="pct"/>
            <w:noWrap/>
            <w:vAlign w:val="bottom"/>
          </w:tcPr>
          <w:p w14:paraId="2563B430">
            <w:pPr>
              <w:pStyle w:val="133"/>
            </w:pPr>
            <w:r>
              <w:rPr>
                <w:rFonts w:hint="eastAsia"/>
              </w:rPr>
              <w:t>焦棚</w:t>
            </w:r>
          </w:p>
        </w:tc>
        <w:tc>
          <w:tcPr>
            <w:tcW w:w="681" w:type="pct"/>
            <w:noWrap/>
            <w:vAlign w:val="bottom"/>
          </w:tcPr>
          <w:p w14:paraId="7D04604A">
            <w:pPr>
              <w:pStyle w:val="133"/>
            </w:pPr>
            <w:r>
              <w:rPr>
                <w:rFonts w:hint="eastAsia"/>
              </w:rPr>
              <w:t>20000</w:t>
            </w:r>
          </w:p>
        </w:tc>
        <w:tc>
          <w:tcPr>
            <w:tcW w:w="698" w:type="pct"/>
            <w:noWrap/>
            <w:vAlign w:val="bottom"/>
          </w:tcPr>
          <w:p w14:paraId="2BEEE255">
            <w:pPr>
              <w:pStyle w:val="133"/>
            </w:pPr>
            <w:r>
              <w:rPr>
                <w:rFonts w:hint="eastAsia"/>
              </w:rPr>
              <w:t>30</w:t>
            </w:r>
          </w:p>
        </w:tc>
        <w:tc>
          <w:tcPr>
            <w:tcW w:w="575" w:type="pct"/>
            <w:noWrap/>
            <w:vAlign w:val="bottom"/>
          </w:tcPr>
          <w:p w14:paraId="066D9CA4">
            <w:pPr>
              <w:pStyle w:val="133"/>
            </w:pPr>
            <w:r>
              <w:rPr>
                <w:rFonts w:hint="eastAsia"/>
              </w:rPr>
              <w:t>0.0011</w:t>
            </w:r>
          </w:p>
        </w:tc>
        <w:tc>
          <w:tcPr>
            <w:tcW w:w="567" w:type="pct"/>
            <w:noWrap/>
            <w:vAlign w:val="bottom"/>
          </w:tcPr>
          <w:p w14:paraId="361EF72D">
            <w:pPr>
              <w:pStyle w:val="133"/>
            </w:pPr>
            <w:r>
              <w:rPr>
                <w:rFonts w:hint="eastAsia"/>
              </w:rPr>
              <w:t>0.0018</w:t>
            </w:r>
          </w:p>
        </w:tc>
        <w:tc>
          <w:tcPr>
            <w:tcW w:w="791" w:type="pct"/>
            <w:noWrap/>
            <w:vAlign w:val="bottom"/>
          </w:tcPr>
          <w:p w14:paraId="5CFD4AA5">
            <w:pPr>
              <w:pStyle w:val="133"/>
            </w:pPr>
            <w:r>
              <w:rPr>
                <w:rFonts w:hint="eastAsia"/>
              </w:rPr>
              <w:t>18.2208</w:t>
            </w:r>
          </w:p>
        </w:tc>
        <w:tc>
          <w:tcPr>
            <w:tcW w:w="735" w:type="pct"/>
            <w:noWrap/>
            <w:vAlign w:val="bottom"/>
          </w:tcPr>
          <w:p w14:paraId="7C2578D9">
            <w:pPr>
              <w:pStyle w:val="133"/>
            </w:pPr>
            <w:r>
              <w:rPr>
                <w:rFonts w:hint="eastAsia"/>
              </w:rPr>
              <w:t>21082</w:t>
            </w:r>
          </w:p>
        </w:tc>
      </w:tr>
      <w:tr w14:paraId="75B73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52" w:type="pct"/>
            <w:noWrap/>
            <w:vAlign w:val="bottom"/>
          </w:tcPr>
          <w:p w14:paraId="68B1A47F">
            <w:pPr>
              <w:pStyle w:val="133"/>
            </w:pPr>
            <w:r>
              <w:rPr>
                <w:rFonts w:hint="eastAsia"/>
              </w:rPr>
              <w:t>料仓名称</w:t>
            </w:r>
          </w:p>
        </w:tc>
        <w:tc>
          <w:tcPr>
            <w:tcW w:w="681" w:type="pct"/>
            <w:noWrap/>
            <w:vAlign w:val="bottom"/>
          </w:tcPr>
          <w:p w14:paraId="020080B2">
            <w:pPr>
              <w:pStyle w:val="133"/>
            </w:pPr>
            <w:r>
              <w:rPr>
                <w:rFonts w:hint="eastAsia"/>
              </w:rPr>
              <w:t>ZCy（t）</w:t>
            </w:r>
          </w:p>
        </w:tc>
        <w:tc>
          <w:tcPr>
            <w:tcW w:w="698" w:type="pct"/>
            <w:noWrap/>
            <w:vAlign w:val="bottom"/>
          </w:tcPr>
          <w:p w14:paraId="6855D6FF">
            <w:pPr>
              <w:pStyle w:val="133"/>
            </w:pPr>
            <w:r>
              <w:rPr>
                <w:rFonts w:hint="eastAsia"/>
              </w:rPr>
              <w:t>FCy（t）</w:t>
            </w:r>
          </w:p>
        </w:tc>
        <w:tc>
          <w:tcPr>
            <w:tcW w:w="575" w:type="pct"/>
            <w:noWrap/>
            <w:vAlign w:val="bottom"/>
          </w:tcPr>
          <w:p w14:paraId="4025E688">
            <w:pPr>
              <w:pStyle w:val="133"/>
            </w:pPr>
            <w:r>
              <w:rPr>
                <w:rFonts w:hint="eastAsia"/>
              </w:rPr>
              <w:t>P（t）</w:t>
            </w:r>
          </w:p>
        </w:tc>
        <w:tc>
          <w:tcPr>
            <w:tcW w:w="567" w:type="pct"/>
            <w:noWrap/>
            <w:vAlign w:val="bottom"/>
          </w:tcPr>
          <w:p w14:paraId="0909BD7C">
            <w:pPr>
              <w:pStyle w:val="133"/>
            </w:pPr>
            <w:r>
              <w:rPr>
                <w:rFonts w:hint="eastAsia"/>
              </w:rPr>
              <w:t>Uc（t）</w:t>
            </w:r>
          </w:p>
        </w:tc>
        <w:tc>
          <w:tcPr>
            <w:tcW w:w="791" w:type="pct"/>
            <w:noWrap/>
          </w:tcPr>
          <w:p w14:paraId="55B6FBDD">
            <w:pPr>
              <w:pStyle w:val="133"/>
            </w:pPr>
            <w:r>
              <w:rPr>
                <w:rFonts w:hint="eastAsia"/>
              </w:rPr>
              <w:t>面积（㎡）</w:t>
            </w:r>
          </w:p>
        </w:tc>
        <w:tc>
          <w:tcPr>
            <w:tcW w:w="735" w:type="pct"/>
            <w:noWrap/>
          </w:tcPr>
          <w:p w14:paraId="67E92181">
            <w:pPr>
              <w:pStyle w:val="133"/>
            </w:pPr>
            <w:r>
              <w:rPr>
                <w:rFonts w:hint="eastAsia"/>
              </w:rPr>
              <w:t>高度（m）</w:t>
            </w:r>
          </w:p>
        </w:tc>
      </w:tr>
      <w:tr w14:paraId="75560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52" w:type="pct"/>
            <w:noWrap/>
            <w:vAlign w:val="bottom"/>
          </w:tcPr>
          <w:p w14:paraId="1005DF34">
            <w:pPr>
              <w:pStyle w:val="133"/>
            </w:pPr>
            <w:bookmarkStart w:id="304" w:name="_Hlk190431362"/>
            <w:r>
              <w:rPr>
                <w:rFonts w:hint="eastAsia"/>
              </w:rPr>
              <w:t>煤棚</w:t>
            </w:r>
          </w:p>
        </w:tc>
        <w:tc>
          <w:tcPr>
            <w:tcW w:w="681" w:type="pct"/>
            <w:noWrap/>
            <w:vAlign w:val="bottom"/>
          </w:tcPr>
          <w:p w14:paraId="4C50802B">
            <w:pPr>
              <w:pStyle w:val="133"/>
            </w:pPr>
            <w:r>
              <w:rPr>
                <w:rFonts w:hint="eastAsia"/>
              </w:rPr>
              <w:t>336.73</w:t>
            </w:r>
          </w:p>
        </w:tc>
        <w:tc>
          <w:tcPr>
            <w:tcW w:w="698" w:type="pct"/>
            <w:noWrap/>
            <w:vAlign w:val="bottom"/>
          </w:tcPr>
          <w:p w14:paraId="4751C6E4">
            <w:pPr>
              <w:pStyle w:val="133"/>
            </w:pPr>
            <w:r>
              <w:rPr>
                <w:rFonts w:hint="eastAsia"/>
              </w:rPr>
              <w:t>1562.35</w:t>
            </w:r>
          </w:p>
        </w:tc>
        <w:tc>
          <w:tcPr>
            <w:tcW w:w="575" w:type="pct"/>
            <w:noWrap/>
            <w:vAlign w:val="bottom"/>
          </w:tcPr>
          <w:p w14:paraId="2747E76E">
            <w:pPr>
              <w:pStyle w:val="133"/>
            </w:pPr>
            <w:r>
              <w:rPr>
                <w:rFonts w:hint="eastAsia"/>
              </w:rPr>
              <w:t>1899.08</w:t>
            </w:r>
          </w:p>
        </w:tc>
        <w:tc>
          <w:tcPr>
            <w:tcW w:w="567" w:type="pct"/>
            <w:noWrap/>
            <w:vAlign w:val="bottom"/>
          </w:tcPr>
          <w:p w14:paraId="0C862F32">
            <w:pPr>
              <w:pStyle w:val="133"/>
            </w:pPr>
            <w:r>
              <w:rPr>
                <w:rFonts w:hint="eastAsia"/>
              </w:rPr>
              <w:t>1.09</w:t>
            </w:r>
          </w:p>
        </w:tc>
        <w:tc>
          <w:tcPr>
            <w:tcW w:w="791" w:type="pct"/>
            <w:noWrap/>
            <w:vAlign w:val="center"/>
          </w:tcPr>
          <w:p w14:paraId="12CD488A">
            <w:pPr>
              <w:pStyle w:val="133"/>
            </w:pPr>
            <w:r>
              <w:rPr>
                <w:rFonts w:hint="eastAsia"/>
              </w:rPr>
              <w:t>182×140</w:t>
            </w:r>
          </w:p>
        </w:tc>
        <w:tc>
          <w:tcPr>
            <w:tcW w:w="735" w:type="pct"/>
            <w:noWrap/>
          </w:tcPr>
          <w:p w14:paraId="68649286">
            <w:pPr>
              <w:pStyle w:val="133"/>
            </w:pPr>
            <w:r>
              <w:rPr>
                <w:rFonts w:hint="eastAsia"/>
              </w:rPr>
              <w:t>15</w:t>
            </w:r>
          </w:p>
        </w:tc>
      </w:tr>
      <w:tr w14:paraId="583B5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52" w:type="pct"/>
            <w:noWrap/>
            <w:vAlign w:val="bottom"/>
          </w:tcPr>
          <w:p w14:paraId="007BFD5A">
            <w:pPr>
              <w:pStyle w:val="133"/>
            </w:pPr>
            <w:r>
              <w:rPr>
                <w:rFonts w:hint="eastAsia"/>
              </w:rPr>
              <w:t>焦棚</w:t>
            </w:r>
          </w:p>
        </w:tc>
        <w:tc>
          <w:tcPr>
            <w:tcW w:w="681" w:type="pct"/>
            <w:noWrap/>
            <w:vAlign w:val="bottom"/>
          </w:tcPr>
          <w:p w14:paraId="2FB313C7">
            <w:pPr>
              <w:pStyle w:val="133"/>
            </w:pPr>
            <w:r>
              <w:rPr>
                <w:rFonts w:hint="eastAsia"/>
              </w:rPr>
              <w:t>366.67</w:t>
            </w:r>
          </w:p>
        </w:tc>
        <w:tc>
          <w:tcPr>
            <w:tcW w:w="698" w:type="pct"/>
            <w:noWrap/>
            <w:vAlign w:val="bottom"/>
          </w:tcPr>
          <w:p w14:paraId="040A87F9">
            <w:pPr>
              <w:pStyle w:val="133"/>
            </w:pPr>
            <w:r>
              <w:rPr>
                <w:rFonts w:hint="eastAsia"/>
              </w:rPr>
              <w:t>768.26</w:t>
            </w:r>
          </w:p>
        </w:tc>
        <w:tc>
          <w:tcPr>
            <w:tcW w:w="575" w:type="pct"/>
            <w:noWrap/>
            <w:vAlign w:val="bottom"/>
          </w:tcPr>
          <w:p w14:paraId="230F0FCC">
            <w:pPr>
              <w:pStyle w:val="133"/>
            </w:pPr>
            <w:r>
              <w:rPr>
                <w:rFonts w:hint="eastAsia"/>
              </w:rPr>
              <w:t>1134.93</w:t>
            </w:r>
          </w:p>
        </w:tc>
        <w:tc>
          <w:tcPr>
            <w:tcW w:w="567" w:type="pct"/>
            <w:noWrap/>
            <w:vAlign w:val="bottom"/>
          </w:tcPr>
          <w:p w14:paraId="13DDC703">
            <w:pPr>
              <w:pStyle w:val="133"/>
            </w:pPr>
            <w:r>
              <w:rPr>
                <w:rFonts w:hint="eastAsia"/>
              </w:rPr>
              <w:t>2.50</w:t>
            </w:r>
          </w:p>
        </w:tc>
        <w:tc>
          <w:tcPr>
            <w:tcW w:w="791" w:type="pct"/>
            <w:noWrap/>
            <w:vAlign w:val="center"/>
          </w:tcPr>
          <w:p w14:paraId="3E287B45">
            <w:pPr>
              <w:pStyle w:val="133"/>
            </w:pPr>
            <w:r>
              <w:t>127×166</w:t>
            </w:r>
          </w:p>
        </w:tc>
        <w:tc>
          <w:tcPr>
            <w:tcW w:w="735" w:type="pct"/>
            <w:noWrap/>
          </w:tcPr>
          <w:p w14:paraId="320DD89A">
            <w:pPr>
              <w:pStyle w:val="133"/>
            </w:pPr>
            <w:r>
              <w:rPr>
                <w:rFonts w:hint="eastAsia"/>
              </w:rPr>
              <w:t>15</w:t>
            </w:r>
          </w:p>
        </w:tc>
      </w:tr>
      <w:bookmarkEnd w:id="304"/>
      <w:tr w14:paraId="04081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06" w:type="pct"/>
            <w:gridSpan w:val="4"/>
            <w:noWrap/>
            <w:vAlign w:val="bottom"/>
          </w:tcPr>
          <w:p w14:paraId="774CDDC1">
            <w:pPr>
              <w:pStyle w:val="133"/>
            </w:pPr>
            <w:r>
              <w:rPr>
                <w:rFonts w:hint="eastAsia"/>
              </w:rPr>
              <w:t>合计</w:t>
            </w:r>
          </w:p>
        </w:tc>
        <w:tc>
          <w:tcPr>
            <w:tcW w:w="567" w:type="pct"/>
            <w:noWrap/>
            <w:vAlign w:val="bottom"/>
          </w:tcPr>
          <w:p w14:paraId="5AE41A6A">
            <w:pPr>
              <w:pStyle w:val="133"/>
            </w:pPr>
            <w:r>
              <w:rPr>
                <w:rFonts w:hint="eastAsia"/>
              </w:rPr>
              <w:t>3.58</w:t>
            </w:r>
          </w:p>
        </w:tc>
        <w:tc>
          <w:tcPr>
            <w:tcW w:w="791" w:type="pct"/>
            <w:noWrap/>
          </w:tcPr>
          <w:p w14:paraId="7BD64486">
            <w:pPr>
              <w:pStyle w:val="133"/>
            </w:pPr>
            <w:r>
              <w:rPr>
                <w:rFonts w:hint="eastAsia"/>
              </w:rPr>
              <w:t>/</w:t>
            </w:r>
          </w:p>
        </w:tc>
        <w:tc>
          <w:tcPr>
            <w:tcW w:w="735" w:type="pct"/>
            <w:noWrap/>
          </w:tcPr>
          <w:p w14:paraId="660FB7B9">
            <w:pPr>
              <w:pStyle w:val="133"/>
            </w:pPr>
            <w:r>
              <w:rPr>
                <w:rFonts w:hint="eastAsia"/>
              </w:rPr>
              <w:t>/</w:t>
            </w:r>
          </w:p>
        </w:tc>
      </w:tr>
    </w:tbl>
    <w:p w14:paraId="452F2719">
      <w:pPr>
        <w:pStyle w:val="133"/>
      </w:pPr>
    </w:p>
    <w:p w14:paraId="3CFBCD5D">
      <w:pPr>
        <w:ind w:firstLine="480"/>
      </w:pPr>
      <w:bookmarkStart w:id="305" w:name="_Hlk177587966"/>
      <w:r>
        <w:rPr>
          <w:rFonts w:hint="eastAsia"/>
        </w:rPr>
        <w:t>根据计算，本项目物料采用封闭料棚储存原煤、沫煤及兰炭等物料，颗粒物总排放量为3.58t</w:t>
      </w:r>
      <w:r>
        <w:t>/</w:t>
      </w:r>
      <w:r>
        <w:rPr>
          <w:rFonts w:hint="eastAsia"/>
        </w:rPr>
        <w:t>a。</w:t>
      </w:r>
      <w:bookmarkEnd w:id="302"/>
    </w:p>
    <w:bookmarkEnd w:id="305"/>
    <w:p w14:paraId="2302361D">
      <w:pPr>
        <w:ind w:firstLine="480"/>
      </w:pPr>
      <w:r>
        <w:rPr>
          <w:rFonts w:hint="eastAsia"/>
        </w:rPr>
        <w:t>2）生产装置有机废气（G1-3</w:t>
      </w:r>
      <w:r>
        <w:rPr>
          <w:rFonts w:hint="eastAsia" w:ascii="宋体" w:hAnsi="宋体"/>
        </w:rPr>
        <w:t>ˊ</w:t>
      </w:r>
      <w:r>
        <w:rPr>
          <w:rFonts w:hint="eastAsia"/>
        </w:rPr>
        <w:t>、G1-4</w:t>
      </w:r>
      <w:r>
        <w:rPr>
          <w:rFonts w:hint="eastAsia" w:ascii="宋体" w:hAnsi="宋体"/>
        </w:rPr>
        <w:t>ˊ</w:t>
      </w:r>
      <w:r>
        <w:rPr>
          <w:rFonts w:hint="eastAsia"/>
        </w:rPr>
        <w:t>、G1-5</w:t>
      </w:r>
      <w:r>
        <w:rPr>
          <w:rFonts w:hint="eastAsia" w:ascii="宋体" w:hAnsi="宋体"/>
        </w:rPr>
        <w:t>ˊ</w:t>
      </w:r>
      <w:r>
        <w:rPr>
          <w:rFonts w:hint="eastAsia"/>
        </w:rPr>
        <w:t>、G1-6</w:t>
      </w:r>
      <w:r>
        <w:rPr>
          <w:rFonts w:hint="eastAsia" w:ascii="宋体" w:hAnsi="宋体"/>
        </w:rPr>
        <w:t>ˊ</w:t>
      </w:r>
      <w:r>
        <w:rPr>
          <w:rFonts w:hint="eastAsia"/>
        </w:rPr>
        <w:t>）</w:t>
      </w:r>
    </w:p>
    <w:p w14:paraId="26E2BB65">
      <w:pPr>
        <w:ind w:firstLine="480"/>
      </w:pPr>
      <w:r>
        <w:rPr>
          <w:rFonts w:hint="eastAsia" w:ascii="宋体" w:hAnsi="宋体"/>
        </w:rPr>
        <w:t>①</w:t>
      </w:r>
      <w:r>
        <w:rPr>
          <w:rFonts w:hint="eastAsia"/>
        </w:rPr>
        <w:t>负压收集后的生产装置有机废气无组织排放情况</w:t>
      </w:r>
    </w:p>
    <w:p w14:paraId="633BE8C2">
      <w:pPr>
        <w:ind w:firstLine="480"/>
      </w:pPr>
      <w:r>
        <w:rPr>
          <w:rFonts w:hint="eastAsia"/>
        </w:rPr>
        <w:t>煤气净化工段、炭化工段、焦油罐区和焦油装车站均会产生有机废气，</w:t>
      </w:r>
      <w:r>
        <w:rPr>
          <w:kern w:val="1"/>
        </w:rPr>
        <w:t>主要在</w:t>
      </w:r>
      <w:r>
        <w:rPr>
          <w:rFonts w:hint="eastAsia"/>
          <w:kern w:val="1"/>
        </w:rPr>
        <w:t>氨水循环池、</w:t>
      </w:r>
      <w:r>
        <w:t>炭化炉出焦落料口、推焦刮板机、输焦地沟、输焦斜皮带</w:t>
      </w:r>
      <w:r>
        <w:rPr>
          <w:rFonts w:hint="eastAsia"/>
        </w:rPr>
        <w:t>、焦油中间槽、焦油罐、煤焦油装车鹤管</w:t>
      </w:r>
      <w:r>
        <w:rPr>
          <w:rFonts w:hint="eastAsia"/>
          <w:kern w:val="1"/>
        </w:rPr>
        <w:t>等</w:t>
      </w:r>
      <w:r>
        <w:t>会排放</w:t>
      </w:r>
      <w:r>
        <w:rPr>
          <w:kern w:val="1"/>
        </w:rPr>
        <w:t>会释放出</w:t>
      </w:r>
      <w:r>
        <w:rPr>
          <w:rFonts w:hint="eastAsia"/>
          <w:kern w:val="1"/>
        </w:rPr>
        <w:t>组分较复杂的</w:t>
      </w:r>
      <w:r>
        <w:rPr>
          <w:rFonts w:hint="eastAsia"/>
        </w:rPr>
        <w:t>有机废气</w:t>
      </w:r>
      <w:r>
        <w:rPr>
          <w:rFonts w:hint="eastAsia"/>
          <w:kern w:val="1"/>
        </w:rPr>
        <w:t>，</w:t>
      </w:r>
      <w:r>
        <w:rPr>
          <w:rFonts w:hint="eastAsia"/>
        </w:rPr>
        <w:t>采用密闭管道收集系统收集后，采用“酸洗+碱洗+活性炭吸附-脱附+催化燃烧工艺”工艺</w:t>
      </w:r>
      <w:r>
        <w:t>处理挥发性有机物</w:t>
      </w:r>
      <w:r>
        <w:rPr>
          <w:rFonts w:hint="eastAsia"/>
        </w:rPr>
        <w:t>。</w:t>
      </w:r>
    </w:p>
    <w:p w14:paraId="0C5D36DE">
      <w:pPr>
        <w:ind w:firstLine="480"/>
      </w:pPr>
      <w:bookmarkStart w:id="306" w:name="_Hlk172222028"/>
      <w:r>
        <w:rPr>
          <w:rFonts w:hint="eastAsia" w:ascii="宋体" w:hAnsi="宋体"/>
        </w:rPr>
        <w:t>②</w:t>
      </w:r>
      <w:r>
        <w:rPr>
          <w:rFonts w:hint="eastAsia"/>
        </w:rPr>
        <w:t>设备动静密封点泄漏</w:t>
      </w:r>
    </w:p>
    <w:p w14:paraId="6F0E94B3">
      <w:pPr>
        <w:ind w:firstLine="480"/>
        <w:rPr>
          <w:sz w:val="28"/>
          <w:szCs w:val="28"/>
        </w:rPr>
      </w:pPr>
      <w:r>
        <w:rPr>
          <w:rFonts w:hint="eastAsia"/>
        </w:rPr>
        <w:t>兰炭生产装置动静密封点泄漏无组织排放有机废气，主要污染物为VOCs，产生节点主要为压缩机、泵、阀门等设备和管件，产生VOCs排放量</w:t>
      </w:r>
      <w:r>
        <w:rPr>
          <w:rFonts w:hint="eastAsia" w:ascii="宋体" w:hAnsi="宋体" w:cs="宋体"/>
          <w:bCs/>
        </w:rPr>
        <w:t>依据</w:t>
      </w:r>
      <w:r>
        <w:t xml:space="preserve">《排污许可证申请与核发技术规范 </w:t>
      </w:r>
      <w:r>
        <w:rPr>
          <w:rFonts w:hint="eastAsia"/>
        </w:rPr>
        <w:t>石化</w:t>
      </w:r>
      <w:r>
        <w:t>工业》（HJ85</w:t>
      </w:r>
      <w:r>
        <w:rPr>
          <w:rFonts w:hint="eastAsia"/>
        </w:rPr>
        <w:t>3</w:t>
      </w:r>
      <w:r>
        <w:t>-2017）中许可排放量核算推荐方法，</w:t>
      </w:r>
      <w:r>
        <w:rPr>
          <w:rFonts w:hint="eastAsia"/>
        </w:rPr>
        <w:t>则</w:t>
      </w:r>
      <w:r>
        <w:t>计算公式</w:t>
      </w:r>
      <w:r>
        <w:rPr>
          <w:rFonts w:hint="eastAsia"/>
        </w:rPr>
        <w:t>如下</w:t>
      </w:r>
      <w:r>
        <w:t>：</w:t>
      </w:r>
    </w:p>
    <w:p w14:paraId="1D6B7DC2">
      <w:pPr>
        <w:ind w:firstLine="0" w:firstLineChars="0"/>
        <w:jc w:val="center"/>
        <w:rPr>
          <w:sz w:val="28"/>
          <w:szCs w:val="28"/>
        </w:rPr>
      </w:pPr>
      <w:r>
        <w:rPr>
          <w:rFonts w:hint="eastAsia"/>
          <w:position w:val="-32"/>
          <w:sz w:val="28"/>
          <w:szCs w:val="28"/>
        </w:rPr>
        <w:object>
          <v:shape id="_x0000_i1027" o:spt="75" type="#_x0000_t75" style="height:36pt;width:202.1pt;" o:ole="t" filled="f" o:preferrelative="t" stroked="f" coordsize="21600,21600">
            <v:path/>
            <v:fill on="f" focussize="0,0"/>
            <v:stroke on="f" joinstyle="miter"/>
            <v:imagedata r:id="rId47" embosscolor="#FFFFFF" o:title=""/>
            <o:lock v:ext="edit" aspectratio="t"/>
            <w10:wrap type="none"/>
            <w10:anchorlock/>
          </v:shape>
          <o:OLEObject Type="Embed" ProgID="Equation.KSEE3" ShapeID="_x0000_i1027" DrawAspect="Content" ObjectID="_1468075727" r:id="rId46">
            <o:LockedField>false</o:LockedField>
          </o:OLEObject>
        </w:object>
      </w:r>
    </w:p>
    <w:p w14:paraId="3FC43027">
      <w:pPr>
        <w:ind w:firstLine="708" w:firstLineChars="295"/>
      </w:pPr>
      <w:r>
        <w:t>式中：E</w:t>
      </w:r>
      <w:r>
        <w:rPr>
          <w:vertAlign w:val="subscript"/>
        </w:rPr>
        <w:t>设备</w:t>
      </w:r>
      <w:r>
        <w:t>——设备与管线组件密封点泄漏的挥发性有机物年许可排放量，kg/a；</w:t>
      </w:r>
    </w:p>
    <w:p w14:paraId="6478163E">
      <w:pPr>
        <w:spacing w:line="440" w:lineRule="exact"/>
        <w:ind w:firstLine="600" w:firstLineChars="250"/>
      </w:pPr>
      <w:r>
        <w:t>t</w:t>
      </w:r>
      <w:r>
        <w:rPr>
          <w:vertAlign w:val="subscript"/>
        </w:rPr>
        <w:t>i</w:t>
      </w:r>
      <w:r>
        <w:t>——密封点i 的年运行时间，h/a；</w:t>
      </w:r>
    </w:p>
    <w:p w14:paraId="6DFA2CB3">
      <w:pPr>
        <w:spacing w:line="440" w:lineRule="exact"/>
        <w:ind w:firstLine="600" w:firstLineChars="250"/>
      </w:pPr>
      <w:r>
        <w:t xml:space="preserve">e </w:t>
      </w:r>
      <w:r>
        <w:rPr>
          <w:vertAlign w:val="subscript"/>
        </w:rPr>
        <w:t>TOC, i</w:t>
      </w:r>
      <w:r>
        <w:t>——密封点i 的总有机碳（TOC）排放速率，kg/h；</w:t>
      </w:r>
    </w:p>
    <w:p w14:paraId="3191C99C">
      <w:pPr>
        <w:spacing w:line="440" w:lineRule="exact"/>
        <w:ind w:left="1560" w:leftChars="250" w:hanging="960" w:hangingChars="400"/>
        <w:rPr>
          <w:vertAlign w:val="subscript"/>
        </w:rPr>
      </w:pPr>
      <w:r>
        <w:t xml:space="preserve">WF </w:t>
      </w:r>
      <w:r>
        <w:rPr>
          <w:vertAlign w:val="subscript"/>
        </w:rPr>
        <w:t>VOCs, i</w:t>
      </w:r>
      <w:r>
        <w:t>——流经密封点i的物料中挥发性有机物平均质量分数，根据设计文件取值；</w:t>
      </w:r>
    </w:p>
    <w:p w14:paraId="40F045CE">
      <w:pPr>
        <w:spacing w:line="440" w:lineRule="exact"/>
        <w:ind w:left="600" w:leftChars="250" w:firstLine="0" w:firstLineChars="0"/>
      </w:pPr>
      <w:r>
        <w:t>WF</w:t>
      </w:r>
      <w:r>
        <w:rPr>
          <w:vertAlign w:val="subscript"/>
        </w:rPr>
        <w:t>TOC, i</w:t>
      </w:r>
      <w:r>
        <w:t>——流经密封点i的物料中总有机碳（TOC）平均质量分数，根据设计文件取值；</w:t>
      </w:r>
    </w:p>
    <w:p w14:paraId="5CB2CB66">
      <w:pPr>
        <w:spacing w:line="440" w:lineRule="exact"/>
        <w:ind w:firstLine="600" w:firstLineChars="250"/>
      </w:pPr>
      <w:r>
        <w:t>n—挥发性有机物流经的设备与管线组件密封点数；</w:t>
      </w:r>
    </w:p>
    <w:p w14:paraId="5231E08B">
      <w:pPr>
        <w:spacing w:line="440" w:lineRule="exact"/>
        <w:ind w:firstLine="600" w:firstLineChars="250"/>
      </w:pPr>
      <w:r>
        <w:rPr>
          <w:iCs/>
        </w:rPr>
        <w:t>t</w:t>
      </w:r>
      <w:r>
        <w:rPr>
          <w:sz w:val="16"/>
          <w:szCs w:val="16"/>
        </w:rPr>
        <w:t>i</w:t>
      </w:r>
      <w:r>
        <w:t>—核算时段内密封点i 的运行时间，取</w:t>
      </w:r>
      <w:r>
        <w:rPr>
          <w:rFonts w:hint="eastAsia"/>
        </w:rPr>
        <w:t>792</w:t>
      </w:r>
      <w:r>
        <w:t>0h。</w:t>
      </w:r>
    </w:p>
    <w:p w14:paraId="5E802231">
      <w:pPr>
        <w:ind w:firstLine="480"/>
      </w:pPr>
      <w:r>
        <w:t xml:space="preserve">动静密封设备数量由项目设计单位进行估算。WF </w:t>
      </w:r>
      <w:r>
        <w:rPr>
          <w:vertAlign w:val="subscript"/>
        </w:rPr>
        <w:t>VOCs, i</w:t>
      </w:r>
      <w:r>
        <w:t>/ WF</w:t>
      </w:r>
      <w:r>
        <w:rPr>
          <w:vertAlign w:val="subscript"/>
        </w:rPr>
        <w:t>TOC, i</w:t>
      </w:r>
      <w:r>
        <w:t>取1</w:t>
      </w:r>
      <w:r>
        <w:rPr>
          <w:rFonts w:hint="eastAsia"/>
        </w:rPr>
        <w:t>。</w:t>
      </w:r>
    </w:p>
    <w:p w14:paraId="74AC88A4">
      <w:pPr>
        <w:spacing w:line="440" w:lineRule="exact"/>
        <w:ind w:firstLine="600" w:firstLineChars="250"/>
      </w:pPr>
      <w:r>
        <w:rPr>
          <w:rFonts w:hint="eastAsia"/>
        </w:rPr>
        <w:t>项目装置区的设备动静密封点VOCs无组织排放情况，见表3.3-24。</w:t>
      </w:r>
    </w:p>
    <w:p w14:paraId="1A02E96D">
      <w:pPr>
        <w:pStyle w:val="118"/>
      </w:pPr>
      <w:r>
        <w:rPr>
          <w:rFonts w:hint="eastAsia"/>
        </w:rPr>
        <w:t>表 3.3-24  负压收集后的生产装置有机废气排放情况一览表    单位：t/a</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268"/>
        <w:gridCol w:w="931"/>
        <w:gridCol w:w="1917"/>
        <w:gridCol w:w="636"/>
        <w:gridCol w:w="1069"/>
        <w:gridCol w:w="1701"/>
      </w:tblGrid>
      <w:tr w14:paraId="2D4E3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Align w:val="center"/>
          </w:tcPr>
          <w:p w14:paraId="7CC1B929">
            <w:pPr>
              <w:pStyle w:val="133"/>
              <w:rPr>
                <w:b/>
                <w:bCs/>
                <w:szCs w:val="21"/>
              </w:rPr>
            </w:pPr>
            <w:bookmarkStart w:id="307" w:name="_Hlk174381936"/>
            <w:r>
              <w:rPr>
                <w:rFonts w:hint="eastAsia"/>
                <w:b/>
                <w:bCs/>
                <w:szCs w:val="21"/>
              </w:rPr>
              <w:t>污染物</w:t>
            </w:r>
          </w:p>
        </w:tc>
        <w:tc>
          <w:tcPr>
            <w:tcW w:w="546" w:type="pct"/>
            <w:vAlign w:val="center"/>
          </w:tcPr>
          <w:p w14:paraId="2EE94D6F">
            <w:pPr>
              <w:pStyle w:val="133"/>
              <w:rPr>
                <w:b/>
                <w:bCs/>
                <w:szCs w:val="21"/>
              </w:rPr>
            </w:pPr>
            <w:r>
              <w:rPr>
                <w:rFonts w:hint="eastAsia"/>
                <w:b/>
                <w:bCs/>
                <w:szCs w:val="21"/>
              </w:rPr>
              <w:t>介质</w:t>
            </w:r>
          </w:p>
        </w:tc>
        <w:tc>
          <w:tcPr>
            <w:tcW w:w="1125" w:type="pct"/>
            <w:vAlign w:val="center"/>
          </w:tcPr>
          <w:p w14:paraId="474C78C2">
            <w:pPr>
              <w:pStyle w:val="133"/>
              <w:rPr>
                <w:b/>
                <w:bCs/>
                <w:szCs w:val="21"/>
                <w:vertAlign w:val="subscript"/>
              </w:rPr>
            </w:pPr>
            <w:r>
              <w:rPr>
                <w:b/>
                <w:bCs/>
                <w:szCs w:val="21"/>
              </w:rPr>
              <w:t xml:space="preserve">e </w:t>
            </w:r>
            <w:r>
              <w:rPr>
                <w:b/>
                <w:bCs/>
                <w:szCs w:val="21"/>
                <w:vertAlign w:val="subscript"/>
              </w:rPr>
              <w:t>TOC, i</w:t>
            </w:r>
          </w:p>
          <w:p w14:paraId="5BC197B8">
            <w:pPr>
              <w:pStyle w:val="133"/>
              <w:rPr>
                <w:b/>
                <w:bCs/>
                <w:szCs w:val="21"/>
              </w:rPr>
            </w:pPr>
            <w:r>
              <w:rPr>
                <w:rFonts w:hint="eastAsia"/>
                <w:b/>
                <w:bCs/>
                <w:szCs w:val="21"/>
              </w:rPr>
              <w:t>（kg/h</w:t>
            </w:r>
            <w:r>
              <w:rPr>
                <w:rFonts w:hint="eastAsia" w:ascii="宋体" w:hAnsi="宋体"/>
                <w:b/>
                <w:bCs/>
                <w:szCs w:val="21"/>
              </w:rPr>
              <w:t>/排放源</w:t>
            </w:r>
            <w:r>
              <w:rPr>
                <w:rFonts w:hint="eastAsia"/>
                <w:b/>
                <w:bCs/>
                <w:szCs w:val="21"/>
              </w:rPr>
              <w:t>）</w:t>
            </w:r>
          </w:p>
        </w:tc>
        <w:tc>
          <w:tcPr>
            <w:tcW w:w="373" w:type="pct"/>
            <w:vAlign w:val="center"/>
          </w:tcPr>
          <w:p w14:paraId="2CE6679B">
            <w:pPr>
              <w:pStyle w:val="133"/>
              <w:rPr>
                <w:b/>
                <w:bCs/>
                <w:szCs w:val="21"/>
              </w:rPr>
            </w:pPr>
            <w:r>
              <w:rPr>
                <w:rFonts w:hint="eastAsia"/>
                <w:b/>
                <w:bCs/>
                <w:szCs w:val="21"/>
              </w:rPr>
              <w:t>N</w:t>
            </w:r>
          </w:p>
        </w:tc>
        <w:tc>
          <w:tcPr>
            <w:tcW w:w="627" w:type="pct"/>
            <w:vAlign w:val="center"/>
          </w:tcPr>
          <w:p w14:paraId="1E215F28">
            <w:pPr>
              <w:pStyle w:val="133"/>
              <w:rPr>
                <w:b/>
                <w:bCs/>
                <w:szCs w:val="21"/>
              </w:rPr>
            </w:pPr>
            <w:r>
              <w:rPr>
                <w:b/>
                <w:bCs/>
                <w:iCs/>
                <w:szCs w:val="21"/>
              </w:rPr>
              <w:t>T</w:t>
            </w:r>
            <w:r>
              <w:rPr>
                <w:b/>
                <w:bCs/>
                <w:szCs w:val="21"/>
              </w:rPr>
              <w:t>i</w:t>
            </w:r>
          </w:p>
          <w:p w14:paraId="014C3DB4">
            <w:pPr>
              <w:pStyle w:val="133"/>
              <w:rPr>
                <w:b/>
                <w:bCs/>
                <w:szCs w:val="21"/>
              </w:rPr>
            </w:pPr>
            <w:r>
              <w:rPr>
                <w:b/>
                <w:bCs/>
                <w:szCs w:val="21"/>
              </w:rPr>
              <w:t>（</w:t>
            </w:r>
            <w:r>
              <w:rPr>
                <w:rFonts w:hint="eastAsia"/>
                <w:b/>
                <w:bCs/>
                <w:szCs w:val="21"/>
              </w:rPr>
              <w:t>h/a</w:t>
            </w:r>
            <w:r>
              <w:rPr>
                <w:b/>
                <w:bCs/>
                <w:szCs w:val="21"/>
              </w:rPr>
              <w:t>）</w:t>
            </w:r>
          </w:p>
        </w:tc>
        <w:tc>
          <w:tcPr>
            <w:tcW w:w="998" w:type="pct"/>
            <w:vAlign w:val="center"/>
          </w:tcPr>
          <w:p w14:paraId="64E7D065">
            <w:pPr>
              <w:pStyle w:val="133"/>
              <w:rPr>
                <w:b/>
                <w:bCs/>
                <w:szCs w:val="21"/>
              </w:rPr>
            </w:pPr>
            <w:r>
              <w:rPr>
                <w:b/>
                <w:bCs/>
                <w:szCs w:val="21"/>
              </w:rPr>
              <w:t>VOCs排放量</w:t>
            </w:r>
          </w:p>
          <w:p w14:paraId="2C32A0C4">
            <w:pPr>
              <w:pStyle w:val="133"/>
              <w:rPr>
                <w:b/>
                <w:bCs/>
                <w:szCs w:val="21"/>
              </w:rPr>
            </w:pPr>
            <w:r>
              <w:rPr>
                <w:b/>
                <w:bCs/>
                <w:szCs w:val="21"/>
              </w:rPr>
              <w:t>（t</w:t>
            </w:r>
            <w:r>
              <w:rPr>
                <w:rFonts w:hint="eastAsia"/>
                <w:b/>
                <w:bCs/>
                <w:szCs w:val="21"/>
              </w:rPr>
              <w:t>/</w:t>
            </w:r>
            <w:r>
              <w:rPr>
                <w:b/>
                <w:bCs/>
                <w:szCs w:val="21"/>
              </w:rPr>
              <w:t>a）</w:t>
            </w:r>
          </w:p>
        </w:tc>
      </w:tr>
      <w:tr w14:paraId="42089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Merge w:val="restart"/>
            <w:vAlign w:val="center"/>
          </w:tcPr>
          <w:p w14:paraId="2CB8C659">
            <w:pPr>
              <w:pStyle w:val="133"/>
              <w:rPr>
                <w:szCs w:val="21"/>
              </w:rPr>
            </w:pPr>
            <w:bookmarkStart w:id="308" w:name="_Hlk171449005"/>
            <w:r>
              <w:rPr>
                <w:rFonts w:hint="eastAsia"/>
                <w:szCs w:val="21"/>
              </w:rPr>
              <w:t>阀门</w:t>
            </w:r>
          </w:p>
        </w:tc>
        <w:tc>
          <w:tcPr>
            <w:tcW w:w="546" w:type="pct"/>
            <w:vAlign w:val="center"/>
          </w:tcPr>
          <w:p w14:paraId="479E1A46">
            <w:pPr>
              <w:pStyle w:val="133"/>
              <w:rPr>
                <w:szCs w:val="21"/>
              </w:rPr>
            </w:pPr>
            <w:r>
              <w:rPr>
                <w:rFonts w:hint="eastAsia"/>
                <w:szCs w:val="21"/>
              </w:rPr>
              <w:t>气体</w:t>
            </w:r>
          </w:p>
        </w:tc>
        <w:tc>
          <w:tcPr>
            <w:tcW w:w="1125" w:type="pct"/>
            <w:vAlign w:val="center"/>
          </w:tcPr>
          <w:p w14:paraId="1762D662">
            <w:pPr>
              <w:pStyle w:val="133"/>
              <w:rPr>
                <w:szCs w:val="21"/>
              </w:rPr>
            </w:pPr>
            <w:r>
              <w:rPr>
                <w:rFonts w:eastAsia="等线" w:cs="Times New Roman"/>
                <w:color w:val="000000"/>
                <w:szCs w:val="21"/>
              </w:rPr>
              <w:t>0.024</w:t>
            </w:r>
          </w:p>
        </w:tc>
        <w:tc>
          <w:tcPr>
            <w:tcW w:w="373" w:type="pct"/>
            <w:vAlign w:val="center"/>
          </w:tcPr>
          <w:p w14:paraId="45C7371B">
            <w:pPr>
              <w:pStyle w:val="133"/>
              <w:rPr>
                <w:szCs w:val="21"/>
              </w:rPr>
            </w:pPr>
            <w:r>
              <w:rPr>
                <w:rFonts w:eastAsia="等线" w:cs="Times New Roman"/>
                <w:color w:val="000000"/>
                <w:szCs w:val="21"/>
              </w:rPr>
              <w:t>290</w:t>
            </w:r>
          </w:p>
        </w:tc>
        <w:tc>
          <w:tcPr>
            <w:tcW w:w="627" w:type="pct"/>
            <w:vAlign w:val="center"/>
          </w:tcPr>
          <w:p w14:paraId="0699E7EB">
            <w:pPr>
              <w:pStyle w:val="133"/>
              <w:rPr>
                <w:szCs w:val="21"/>
              </w:rPr>
            </w:pPr>
            <w:r>
              <w:rPr>
                <w:rFonts w:eastAsia="等线" w:cs="Times New Roman"/>
                <w:color w:val="000000"/>
                <w:szCs w:val="21"/>
              </w:rPr>
              <w:t>7920</w:t>
            </w:r>
          </w:p>
        </w:tc>
        <w:tc>
          <w:tcPr>
            <w:tcW w:w="998" w:type="pct"/>
            <w:vAlign w:val="center"/>
          </w:tcPr>
          <w:p w14:paraId="5962E56E">
            <w:pPr>
              <w:pStyle w:val="133"/>
              <w:rPr>
                <w:szCs w:val="21"/>
              </w:rPr>
            </w:pPr>
            <w:r>
              <w:rPr>
                <w:rFonts w:eastAsia="等线" w:cs="Times New Roman"/>
                <w:color w:val="000000"/>
                <w:szCs w:val="21"/>
              </w:rPr>
              <w:t>0.165</w:t>
            </w:r>
          </w:p>
        </w:tc>
      </w:tr>
      <w:tr w14:paraId="7490E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Merge w:val="continue"/>
            <w:vAlign w:val="center"/>
          </w:tcPr>
          <w:p w14:paraId="5F6CB282">
            <w:pPr>
              <w:pStyle w:val="133"/>
              <w:rPr>
                <w:szCs w:val="21"/>
              </w:rPr>
            </w:pPr>
          </w:p>
        </w:tc>
        <w:tc>
          <w:tcPr>
            <w:tcW w:w="546" w:type="pct"/>
            <w:vAlign w:val="center"/>
          </w:tcPr>
          <w:p w14:paraId="68091B03">
            <w:pPr>
              <w:pStyle w:val="133"/>
              <w:rPr>
                <w:szCs w:val="21"/>
              </w:rPr>
            </w:pPr>
            <w:r>
              <w:rPr>
                <w:rFonts w:hint="eastAsia"/>
                <w:szCs w:val="21"/>
              </w:rPr>
              <w:t>液体</w:t>
            </w:r>
          </w:p>
        </w:tc>
        <w:tc>
          <w:tcPr>
            <w:tcW w:w="1125" w:type="pct"/>
            <w:vAlign w:val="center"/>
          </w:tcPr>
          <w:p w14:paraId="405E309C">
            <w:pPr>
              <w:pStyle w:val="133"/>
              <w:rPr>
                <w:szCs w:val="21"/>
              </w:rPr>
            </w:pPr>
            <w:r>
              <w:rPr>
                <w:rFonts w:eastAsia="等线" w:cs="Times New Roman"/>
                <w:color w:val="000000"/>
                <w:szCs w:val="21"/>
              </w:rPr>
              <w:t>0.036</w:t>
            </w:r>
          </w:p>
        </w:tc>
        <w:tc>
          <w:tcPr>
            <w:tcW w:w="373" w:type="pct"/>
            <w:vAlign w:val="center"/>
          </w:tcPr>
          <w:p w14:paraId="787BA770">
            <w:pPr>
              <w:pStyle w:val="133"/>
              <w:rPr>
                <w:szCs w:val="21"/>
              </w:rPr>
            </w:pPr>
            <w:r>
              <w:rPr>
                <w:rFonts w:eastAsia="等线" w:cs="Times New Roman"/>
                <w:color w:val="000000"/>
                <w:szCs w:val="21"/>
              </w:rPr>
              <w:t>60</w:t>
            </w:r>
          </w:p>
        </w:tc>
        <w:tc>
          <w:tcPr>
            <w:tcW w:w="627" w:type="pct"/>
            <w:vAlign w:val="center"/>
          </w:tcPr>
          <w:p w14:paraId="3AD35A91">
            <w:pPr>
              <w:pStyle w:val="133"/>
              <w:rPr>
                <w:szCs w:val="21"/>
              </w:rPr>
            </w:pPr>
            <w:r>
              <w:rPr>
                <w:rFonts w:eastAsia="等线" w:cs="Times New Roman"/>
                <w:color w:val="000000"/>
                <w:szCs w:val="21"/>
              </w:rPr>
              <w:t>7920</w:t>
            </w:r>
          </w:p>
        </w:tc>
        <w:tc>
          <w:tcPr>
            <w:tcW w:w="998" w:type="pct"/>
            <w:vAlign w:val="center"/>
          </w:tcPr>
          <w:p w14:paraId="59462F49">
            <w:pPr>
              <w:pStyle w:val="133"/>
              <w:rPr>
                <w:szCs w:val="21"/>
              </w:rPr>
            </w:pPr>
            <w:r>
              <w:rPr>
                <w:rFonts w:eastAsia="等线" w:cs="Times New Roman"/>
                <w:color w:val="000000"/>
                <w:szCs w:val="21"/>
              </w:rPr>
              <w:t>0.051</w:t>
            </w:r>
          </w:p>
        </w:tc>
      </w:tr>
      <w:tr w14:paraId="2D2952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Align w:val="center"/>
          </w:tcPr>
          <w:p w14:paraId="77492468">
            <w:pPr>
              <w:pStyle w:val="133"/>
              <w:rPr>
                <w:szCs w:val="21"/>
              </w:rPr>
            </w:pPr>
            <w:r>
              <w:rPr>
                <w:rFonts w:hint="eastAsia"/>
                <w:szCs w:val="21"/>
              </w:rPr>
              <w:t>泵</w:t>
            </w:r>
          </w:p>
        </w:tc>
        <w:tc>
          <w:tcPr>
            <w:tcW w:w="546" w:type="pct"/>
            <w:vAlign w:val="center"/>
          </w:tcPr>
          <w:p w14:paraId="4C069D65">
            <w:pPr>
              <w:pStyle w:val="133"/>
              <w:rPr>
                <w:rFonts w:eastAsia="等线" w:cs="Times New Roman"/>
                <w:szCs w:val="21"/>
              </w:rPr>
            </w:pPr>
            <w:r>
              <w:rPr>
                <w:rFonts w:hint="eastAsia"/>
                <w:szCs w:val="21"/>
              </w:rPr>
              <w:t>液体</w:t>
            </w:r>
          </w:p>
        </w:tc>
        <w:tc>
          <w:tcPr>
            <w:tcW w:w="1125" w:type="pct"/>
            <w:vAlign w:val="center"/>
          </w:tcPr>
          <w:p w14:paraId="34D11005">
            <w:pPr>
              <w:pStyle w:val="133"/>
              <w:rPr>
                <w:rFonts w:eastAsia="等线" w:cs="Times New Roman"/>
                <w:szCs w:val="21"/>
              </w:rPr>
            </w:pPr>
            <w:r>
              <w:rPr>
                <w:rFonts w:eastAsia="等线" w:cs="Times New Roman"/>
                <w:color w:val="000000"/>
                <w:szCs w:val="21"/>
              </w:rPr>
              <w:t>0.14</w:t>
            </w:r>
          </w:p>
        </w:tc>
        <w:tc>
          <w:tcPr>
            <w:tcW w:w="373" w:type="pct"/>
            <w:vAlign w:val="center"/>
          </w:tcPr>
          <w:p w14:paraId="536071F9">
            <w:pPr>
              <w:pStyle w:val="133"/>
              <w:rPr>
                <w:rFonts w:eastAsia="等线" w:cs="Times New Roman"/>
                <w:szCs w:val="21"/>
              </w:rPr>
            </w:pPr>
            <w:r>
              <w:rPr>
                <w:rFonts w:eastAsia="等线" w:cs="Times New Roman"/>
                <w:color w:val="000000"/>
                <w:szCs w:val="21"/>
              </w:rPr>
              <w:t>23</w:t>
            </w:r>
          </w:p>
        </w:tc>
        <w:tc>
          <w:tcPr>
            <w:tcW w:w="627" w:type="pct"/>
            <w:vAlign w:val="center"/>
          </w:tcPr>
          <w:p w14:paraId="36013559">
            <w:pPr>
              <w:pStyle w:val="133"/>
              <w:rPr>
                <w:rFonts w:eastAsia="等线" w:cs="Times New Roman"/>
                <w:szCs w:val="21"/>
              </w:rPr>
            </w:pPr>
            <w:r>
              <w:rPr>
                <w:rFonts w:eastAsia="等线" w:cs="Times New Roman"/>
                <w:color w:val="000000"/>
                <w:szCs w:val="21"/>
              </w:rPr>
              <w:t>7920</w:t>
            </w:r>
          </w:p>
        </w:tc>
        <w:tc>
          <w:tcPr>
            <w:tcW w:w="998" w:type="pct"/>
            <w:vAlign w:val="center"/>
          </w:tcPr>
          <w:p w14:paraId="676873A4">
            <w:pPr>
              <w:pStyle w:val="133"/>
              <w:rPr>
                <w:rFonts w:eastAsia="等线" w:cs="Times New Roman"/>
                <w:szCs w:val="21"/>
              </w:rPr>
            </w:pPr>
            <w:r>
              <w:rPr>
                <w:rFonts w:eastAsia="等线" w:cs="Times New Roman"/>
                <w:color w:val="000000"/>
                <w:szCs w:val="21"/>
              </w:rPr>
              <w:t>0.077</w:t>
            </w:r>
          </w:p>
        </w:tc>
      </w:tr>
      <w:tr w14:paraId="667CB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Align w:val="center"/>
          </w:tcPr>
          <w:p w14:paraId="254A8AD1">
            <w:pPr>
              <w:pStyle w:val="133"/>
              <w:rPr>
                <w:szCs w:val="21"/>
              </w:rPr>
            </w:pPr>
            <w:r>
              <w:rPr>
                <w:rFonts w:hint="eastAsia"/>
                <w:szCs w:val="21"/>
              </w:rPr>
              <w:t>压缩机</w:t>
            </w:r>
          </w:p>
        </w:tc>
        <w:tc>
          <w:tcPr>
            <w:tcW w:w="546" w:type="pct"/>
            <w:vAlign w:val="center"/>
          </w:tcPr>
          <w:p w14:paraId="37BC2827">
            <w:pPr>
              <w:pStyle w:val="133"/>
              <w:rPr>
                <w:rFonts w:eastAsia="等线" w:cs="Times New Roman"/>
                <w:szCs w:val="21"/>
              </w:rPr>
            </w:pPr>
            <w:r>
              <w:rPr>
                <w:rFonts w:hint="eastAsia"/>
                <w:szCs w:val="21"/>
              </w:rPr>
              <w:t>气体</w:t>
            </w:r>
          </w:p>
        </w:tc>
        <w:tc>
          <w:tcPr>
            <w:tcW w:w="1125" w:type="pct"/>
            <w:vAlign w:val="center"/>
          </w:tcPr>
          <w:p w14:paraId="485D2ACC">
            <w:pPr>
              <w:pStyle w:val="133"/>
              <w:rPr>
                <w:rFonts w:eastAsia="等线" w:cs="Times New Roman"/>
                <w:szCs w:val="21"/>
              </w:rPr>
            </w:pPr>
            <w:r>
              <w:rPr>
                <w:rFonts w:eastAsia="等线" w:cs="Times New Roman"/>
                <w:color w:val="000000"/>
                <w:szCs w:val="21"/>
              </w:rPr>
              <w:t>0.14</w:t>
            </w:r>
          </w:p>
        </w:tc>
        <w:tc>
          <w:tcPr>
            <w:tcW w:w="373" w:type="pct"/>
            <w:vAlign w:val="center"/>
          </w:tcPr>
          <w:p w14:paraId="393FAAA7">
            <w:pPr>
              <w:pStyle w:val="133"/>
              <w:rPr>
                <w:rFonts w:eastAsia="等线" w:cs="Times New Roman"/>
                <w:szCs w:val="21"/>
              </w:rPr>
            </w:pPr>
            <w:r>
              <w:rPr>
                <w:rFonts w:eastAsia="等线" w:cs="Times New Roman"/>
                <w:color w:val="000000"/>
                <w:szCs w:val="21"/>
              </w:rPr>
              <w:t>5</w:t>
            </w:r>
          </w:p>
        </w:tc>
        <w:tc>
          <w:tcPr>
            <w:tcW w:w="627" w:type="pct"/>
            <w:vAlign w:val="center"/>
          </w:tcPr>
          <w:p w14:paraId="5A829AA3">
            <w:pPr>
              <w:pStyle w:val="133"/>
              <w:rPr>
                <w:rFonts w:eastAsia="等线" w:cs="Times New Roman"/>
                <w:szCs w:val="21"/>
              </w:rPr>
            </w:pPr>
            <w:r>
              <w:rPr>
                <w:rFonts w:eastAsia="等线" w:cs="Times New Roman"/>
                <w:color w:val="000000"/>
                <w:szCs w:val="21"/>
              </w:rPr>
              <w:t>7920</w:t>
            </w:r>
          </w:p>
        </w:tc>
        <w:tc>
          <w:tcPr>
            <w:tcW w:w="998" w:type="pct"/>
            <w:vAlign w:val="center"/>
          </w:tcPr>
          <w:p w14:paraId="5F73547A">
            <w:pPr>
              <w:pStyle w:val="133"/>
              <w:rPr>
                <w:rFonts w:eastAsia="等线" w:cs="Times New Roman"/>
                <w:szCs w:val="21"/>
              </w:rPr>
            </w:pPr>
            <w:r>
              <w:rPr>
                <w:rFonts w:eastAsia="等线" w:cs="Times New Roman"/>
                <w:color w:val="000000"/>
                <w:szCs w:val="21"/>
              </w:rPr>
              <w:t>0.017</w:t>
            </w:r>
          </w:p>
        </w:tc>
      </w:tr>
      <w:tr w14:paraId="0A540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Align w:val="center"/>
          </w:tcPr>
          <w:p w14:paraId="588912D9">
            <w:pPr>
              <w:pStyle w:val="133"/>
              <w:rPr>
                <w:szCs w:val="21"/>
              </w:rPr>
            </w:pPr>
            <w:r>
              <w:rPr>
                <w:rFonts w:hint="eastAsia"/>
                <w:szCs w:val="21"/>
              </w:rPr>
              <w:t>泄压设备</w:t>
            </w:r>
          </w:p>
        </w:tc>
        <w:tc>
          <w:tcPr>
            <w:tcW w:w="546" w:type="pct"/>
            <w:vAlign w:val="center"/>
          </w:tcPr>
          <w:p w14:paraId="1DA4F317">
            <w:pPr>
              <w:pStyle w:val="133"/>
              <w:rPr>
                <w:rFonts w:eastAsia="等线" w:cs="Times New Roman"/>
                <w:szCs w:val="21"/>
              </w:rPr>
            </w:pPr>
            <w:r>
              <w:rPr>
                <w:rFonts w:hint="eastAsia"/>
                <w:szCs w:val="21"/>
              </w:rPr>
              <w:t>气体</w:t>
            </w:r>
          </w:p>
        </w:tc>
        <w:tc>
          <w:tcPr>
            <w:tcW w:w="1125" w:type="pct"/>
            <w:vAlign w:val="center"/>
          </w:tcPr>
          <w:p w14:paraId="5C0E6E2E">
            <w:pPr>
              <w:pStyle w:val="133"/>
              <w:rPr>
                <w:rFonts w:eastAsia="等线" w:cs="Times New Roman"/>
                <w:szCs w:val="21"/>
              </w:rPr>
            </w:pPr>
            <w:r>
              <w:rPr>
                <w:rFonts w:eastAsia="等线" w:cs="Times New Roman"/>
                <w:color w:val="000000"/>
                <w:szCs w:val="21"/>
              </w:rPr>
              <w:t>0.14</w:t>
            </w:r>
          </w:p>
        </w:tc>
        <w:tc>
          <w:tcPr>
            <w:tcW w:w="373" w:type="pct"/>
            <w:vAlign w:val="center"/>
          </w:tcPr>
          <w:p w14:paraId="30A5B6B9">
            <w:pPr>
              <w:pStyle w:val="133"/>
              <w:rPr>
                <w:rFonts w:eastAsia="等线" w:cs="Times New Roman"/>
                <w:szCs w:val="21"/>
              </w:rPr>
            </w:pPr>
            <w:r>
              <w:rPr>
                <w:rFonts w:eastAsia="等线" w:cs="Times New Roman"/>
                <w:color w:val="000000"/>
                <w:szCs w:val="21"/>
              </w:rPr>
              <w:t>10</w:t>
            </w:r>
          </w:p>
        </w:tc>
        <w:tc>
          <w:tcPr>
            <w:tcW w:w="627" w:type="pct"/>
            <w:vAlign w:val="center"/>
          </w:tcPr>
          <w:p w14:paraId="605FB324">
            <w:pPr>
              <w:pStyle w:val="133"/>
              <w:rPr>
                <w:rFonts w:eastAsia="等线" w:cs="Times New Roman"/>
                <w:szCs w:val="21"/>
              </w:rPr>
            </w:pPr>
            <w:r>
              <w:rPr>
                <w:rFonts w:eastAsia="等线" w:cs="Times New Roman"/>
                <w:color w:val="000000"/>
                <w:szCs w:val="21"/>
              </w:rPr>
              <w:t>7920</w:t>
            </w:r>
          </w:p>
        </w:tc>
        <w:tc>
          <w:tcPr>
            <w:tcW w:w="998" w:type="pct"/>
            <w:vAlign w:val="center"/>
          </w:tcPr>
          <w:p w14:paraId="52686769">
            <w:pPr>
              <w:pStyle w:val="133"/>
              <w:rPr>
                <w:rFonts w:eastAsia="等线" w:cs="Times New Roman"/>
                <w:szCs w:val="21"/>
              </w:rPr>
            </w:pPr>
            <w:r>
              <w:rPr>
                <w:rFonts w:eastAsia="等线" w:cs="Times New Roman"/>
                <w:color w:val="000000"/>
                <w:szCs w:val="21"/>
              </w:rPr>
              <w:t>0.033</w:t>
            </w:r>
          </w:p>
        </w:tc>
      </w:tr>
      <w:tr w14:paraId="0A8544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Align w:val="center"/>
          </w:tcPr>
          <w:p w14:paraId="5399D683">
            <w:pPr>
              <w:pStyle w:val="133"/>
              <w:rPr>
                <w:szCs w:val="21"/>
              </w:rPr>
            </w:pPr>
            <w:r>
              <w:rPr>
                <w:rFonts w:hint="eastAsia"/>
                <w:szCs w:val="21"/>
              </w:rPr>
              <w:t>法兰、连接件</w:t>
            </w:r>
          </w:p>
        </w:tc>
        <w:tc>
          <w:tcPr>
            <w:tcW w:w="546" w:type="pct"/>
            <w:vAlign w:val="center"/>
          </w:tcPr>
          <w:p w14:paraId="4FC73BD3">
            <w:pPr>
              <w:pStyle w:val="133"/>
              <w:rPr>
                <w:szCs w:val="21"/>
              </w:rPr>
            </w:pPr>
            <w:r>
              <w:rPr>
                <w:rFonts w:hint="eastAsia"/>
                <w:szCs w:val="21"/>
              </w:rPr>
              <w:t>所有</w:t>
            </w:r>
          </w:p>
        </w:tc>
        <w:tc>
          <w:tcPr>
            <w:tcW w:w="1125" w:type="pct"/>
            <w:vAlign w:val="center"/>
          </w:tcPr>
          <w:p w14:paraId="294EFE7F">
            <w:pPr>
              <w:pStyle w:val="133"/>
              <w:rPr>
                <w:rFonts w:eastAsia="等线" w:cs="Times New Roman"/>
                <w:szCs w:val="21"/>
              </w:rPr>
            </w:pPr>
            <w:r>
              <w:rPr>
                <w:rFonts w:eastAsia="等线" w:cs="Times New Roman"/>
                <w:color w:val="000000"/>
                <w:szCs w:val="21"/>
              </w:rPr>
              <w:t>0.044</w:t>
            </w:r>
          </w:p>
        </w:tc>
        <w:tc>
          <w:tcPr>
            <w:tcW w:w="373" w:type="pct"/>
            <w:vAlign w:val="center"/>
          </w:tcPr>
          <w:p w14:paraId="568616BE">
            <w:pPr>
              <w:pStyle w:val="133"/>
              <w:rPr>
                <w:rFonts w:eastAsia="等线" w:cs="Times New Roman"/>
                <w:szCs w:val="21"/>
              </w:rPr>
            </w:pPr>
            <w:r>
              <w:rPr>
                <w:rFonts w:eastAsia="等线" w:cs="Times New Roman"/>
                <w:color w:val="000000"/>
                <w:szCs w:val="21"/>
              </w:rPr>
              <w:t>901</w:t>
            </w:r>
          </w:p>
        </w:tc>
        <w:tc>
          <w:tcPr>
            <w:tcW w:w="627" w:type="pct"/>
            <w:vAlign w:val="center"/>
          </w:tcPr>
          <w:p w14:paraId="7123513C">
            <w:pPr>
              <w:pStyle w:val="133"/>
              <w:rPr>
                <w:rFonts w:eastAsia="等线" w:cs="Times New Roman"/>
                <w:szCs w:val="21"/>
              </w:rPr>
            </w:pPr>
            <w:r>
              <w:rPr>
                <w:rFonts w:eastAsia="等线" w:cs="Times New Roman"/>
                <w:color w:val="000000"/>
                <w:szCs w:val="21"/>
              </w:rPr>
              <w:t>7920</w:t>
            </w:r>
          </w:p>
        </w:tc>
        <w:tc>
          <w:tcPr>
            <w:tcW w:w="998" w:type="pct"/>
            <w:vAlign w:val="center"/>
          </w:tcPr>
          <w:p w14:paraId="72F05F4F">
            <w:pPr>
              <w:pStyle w:val="133"/>
              <w:rPr>
                <w:rFonts w:eastAsia="等线" w:cs="Times New Roman"/>
                <w:szCs w:val="21"/>
              </w:rPr>
            </w:pPr>
            <w:r>
              <w:rPr>
                <w:rFonts w:eastAsia="等线" w:cs="Times New Roman"/>
                <w:color w:val="000000"/>
                <w:szCs w:val="21"/>
              </w:rPr>
              <w:t>0.942</w:t>
            </w:r>
          </w:p>
        </w:tc>
      </w:tr>
      <w:tr w14:paraId="32115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31" w:type="pct"/>
            <w:vAlign w:val="center"/>
          </w:tcPr>
          <w:p w14:paraId="35B1E8E0">
            <w:pPr>
              <w:pStyle w:val="133"/>
              <w:rPr>
                <w:szCs w:val="21"/>
              </w:rPr>
            </w:pPr>
            <w:r>
              <w:rPr>
                <w:rFonts w:hint="eastAsia"/>
                <w:szCs w:val="21"/>
              </w:rPr>
              <w:t>开口阀或开口管线</w:t>
            </w:r>
          </w:p>
        </w:tc>
        <w:tc>
          <w:tcPr>
            <w:tcW w:w="546" w:type="pct"/>
            <w:vAlign w:val="center"/>
          </w:tcPr>
          <w:p w14:paraId="053FBCBC">
            <w:pPr>
              <w:pStyle w:val="133"/>
              <w:rPr>
                <w:szCs w:val="21"/>
              </w:rPr>
            </w:pPr>
            <w:r>
              <w:rPr>
                <w:rFonts w:hint="eastAsia"/>
                <w:szCs w:val="21"/>
              </w:rPr>
              <w:t>所有</w:t>
            </w:r>
          </w:p>
        </w:tc>
        <w:tc>
          <w:tcPr>
            <w:tcW w:w="1125" w:type="pct"/>
            <w:vAlign w:val="center"/>
          </w:tcPr>
          <w:p w14:paraId="7938263A">
            <w:pPr>
              <w:pStyle w:val="133"/>
              <w:rPr>
                <w:rFonts w:eastAsia="等线" w:cs="Times New Roman"/>
                <w:szCs w:val="21"/>
              </w:rPr>
            </w:pPr>
            <w:r>
              <w:rPr>
                <w:rFonts w:eastAsia="等线" w:cs="Times New Roman"/>
                <w:color w:val="000000"/>
                <w:szCs w:val="21"/>
              </w:rPr>
              <w:t>0.03</w:t>
            </w:r>
          </w:p>
        </w:tc>
        <w:tc>
          <w:tcPr>
            <w:tcW w:w="373" w:type="pct"/>
            <w:vAlign w:val="center"/>
          </w:tcPr>
          <w:p w14:paraId="7A1F662B">
            <w:pPr>
              <w:pStyle w:val="133"/>
              <w:rPr>
                <w:rFonts w:eastAsia="等线" w:cs="Times New Roman"/>
                <w:szCs w:val="21"/>
              </w:rPr>
            </w:pPr>
            <w:r>
              <w:rPr>
                <w:rFonts w:eastAsia="等线" w:cs="Times New Roman"/>
                <w:color w:val="000000"/>
                <w:szCs w:val="21"/>
              </w:rPr>
              <w:t>10</w:t>
            </w:r>
          </w:p>
        </w:tc>
        <w:tc>
          <w:tcPr>
            <w:tcW w:w="627" w:type="pct"/>
            <w:vAlign w:val="center"/>
          </w:tcPr>
          <w:p w14:paraId="219F7D6E">
            <w:pPr>
              <w:pStyle w:val="133"/>
              <w:rPr>
                <w:rFonts w:eastAsia="等线" w:cs="Times New Roman"/>
                <w:szCs w:val="21"/>
              </w:rPr>
            </w:pPr>
            <w:r>
              <w:rPr>
                <w:rFonts w:eastAsia="等线" w:cs="Times New Roman"/>
                <w:color w:val="000000"/>
                <w:szCs w:val="21"/>
              </w:rPr>
              <w:t>7920</w:t>
            </w:r>
          </w:p>
        </w:tc>
        <w:tc>
          <w:tcPr>
            <w:tcW w:w="998" w:type="pct"/>
            <w:vAlign w:val="center"/>
          </w:tcPr>
          <w:p w14:paraId="7E9B9789">
            <w:pPr>
              <w:pStyle w:val="133"/>
              <w:rPr>
                <w:rFonts w:eastAsia="等线" w:cs="Times New Roman"/>
                <w:szCs w:val="21"/>
              </w:rPr>
            </w:pPr>
            <w:r>
              <w:rPr>
                <w:rFonts w:eastAsia="等线" w:cs="Times New Roman"/>
                <w:color w:val="000000"/>
                <w:szCs w:val="21"/>
              </w:rPr>
              <w:t>0.007</w:t>
            </w:r>
          </w:p>
        </w:tc>
      </w:tr>
      <w:bookmarkEnd w:id="308"/>
      <w:tr w14:paraId="6AB38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002" w:type="pct"/>
            <w:gridSpan w:val="5"/>
            <w:vAlign w:val="center"/>
          </w:tcPr>
          <w:p w14:paraId="5DCCF646">
            <w:pPr>
              <w:pStyle w:val="133"/>
              <w:rPr>
                <w:rFonts w:eastAsia="等线" w:cs="Times New Roman"/>
                <w:szCs w:val="21"/>
              </w:rPr>
            </w:pPr>
            <w:r>
              <w:rPr>
                <w:rFonts w:hint="eastAsia"/>
                <w:szCs w:val="21"/>
              </w:rPr>
              <w:t>合计</w:t>
            </w:r>
          </w:p>
        </w:tc>
        <w:tc>
          <w:tcPr>
            <w:tcW w:w="998" w:type="pct"/>
            <w:vAlign w:val="center"/>
          </w:tcPr>
          <w:p w14:paraId="1B10B319">
            <w:pPr>
              <w:pStyle w:val="133"/>
              <w:rPr>
                <w:rFonts w:eastAsia="等线" w:cs="Times New Roman"/>
                <w:szCs w:val="21"/>
              </w:rPr>
            </w:pPr>
            <w:r>
              <w:rPr>
                <w:rFonts w:hint="eastAsia" w:eastAsia="等线" w:cs="Times New Roman"/>
                <w:szCs w:val="21"/>
              </w:rPr>
              <w:t>1.292</w:t>
            </w:r>
          </w:p>
        </w:tc>
      </w:tr>
      <w:bookmarkEnd w:id="307"/>
    </w:tbl>
    <w:p w14:paraId="0547D239">
      <w:pPr>
        <w:pStyle w:val="125"/>
        <w:ind w:firstLine="420"/>
        <w:rPr>
          <w:szCs w:val="21"/>
        </w:rPr>
      </w:pPr>
    </w:p>
    <w:bookmarkEnd w:id="306"/>
    <w:p w14:paraId="2F589812">
      <w:pPr>
        <w:ind w:firstLine="480"/>
      </w:pPr>
      <w:r>
        <w:t>根据</w:t>
      </w:r>
      <w:r>
        <w:rPr>
          <w:rFonts w:hint="eastAsia"/>
        </w:rPr>
        <w:t>现有工程</w:t>
      </w:r>
      <w:r>
        <w:t>无组织排放验收监测</w:t>
      </w:r>
      <w:r>
        <w:rPr>
          <w:rFonts w:hint="eastAsia"/>
        </w:rPr>
        <w:t>数据</w:t>
      </w:r>
      <w:r>
        <w:t>，通过在车间周边及厂区内种植绿化能有效减少无组织废气排放，采取措施后，</w:t>
      </w:r>
      <w:r>
        <w:rPr>
          <w:rFonts w:hint="eastAsia"/>
        </w:rPr>
        <w:t>厂界废气无组织排放达到</w:t>
      </w:r>
      <w:r>
        <w:t>《炼焦化学工业污染物</w:t>
      </w:r>
      <w:r>
        <w:rPr>
          <w:rFonts w:hint="eastAsia"/>
        </w:rPr>
        <w:t>大气</w:t>
      </w:r>
      <w:r>
        <w:t>排放标准》</w:t>
      </w:r>
      <w:r>
        <w:rPr>
          <w:rFonts w:hint="eastAsia"/>
        </w:rPr>
        <w:t>（</w:t>
      </w:r>
      <w:r>
        <w:t>GB 16171</w:t>
      </w:r>
      <w:r>
        <w:rPr>
          <w:rFonts w:hint="eastAsia"/>
        </w:rPr>
        <w:t>.1</w:t>
      </w:r>
      <w:r>
        <w:t>-20</w:t>
      </w:r>
      <w:r>
        <w:rPr>
          <w:rFonts w:hint="eastAsia"/>
        </w:rPr>
        <w:t>24）表4</w:t>
      </w:r>
      <w:r>
        <w:t>、</w:t>
      </w:r>
      <w:r>
        <w:rPr>
          <w:rFonts w:hint="eastAsia"/>
        </w:rPr>
        <w:t>厂界</w:t>
      </w:r>
      <w:r>
        <w:t>非甲烷总烃污染物浓度</w:t>
      </w:r>
      <w:r>
        <w:rPr>
          <w:rFonts w:hint="eastAsia"/>
        </w:rPr>
        <w:t>达到</w:t>
      </w:r>
      <w:r>
        <w:t>《大气污染物综合排放标准》（GB16297-1996）无组织排放监控浓度限值。</w:t>
      </w:r>
      <w:r>
        <w:rPr>
          <w:rFonts w:hint="eastAsia"/>
        </w:rPr>
        <w:t>厂内挥发性有机物无组织排放执行</w:t>
      </w:r>
      <w:r>
        <w:t>《挥发性有机物无组织排放控制标准》（GB37822-2019）</w:t>
      </w:r>
      <w:r>
        <w:rPr>
          <w:rFonts w:hint="eastAsia"/>
        </w:rPr>
        <w:t>表A.1 厂区内VOCs无组织排放限值。</w:t>
      </w:r>
    </w:p>
    <w:p w14:paraId="74CEA953">
      <w:pPr>
        <w:ind w:firstLine="480"/>
      </w:pPr>
      <w:r>
        <w:rPr>
          <w:rFonts w:hint="eastAsia"/>
        </w:rPr>
        <w:t>3）废水焚烧系统（G1-7</w:t>
      </w:r>
      <w:r>
        <w:rPr>
          <w:rFonts w:hint="eastAsia" w:ascii="宋体" w:hAnsi="宋体"/>
        </w:rPr>
        <w:t>ˊ</w:t>
      </w:r>
      <w:r>
        <w:rPr>
          <w:rFonts w:hint="eastAsia"/>
        </w:rPr>
        <w:t>）</w:t>
      </w:r>
    </w:p>
    <w:p w14:paraId="3742DD99">
      <w:pPr>
        <w:ind w:firstLine="480"/>
      </w:pPr>
      <w:r>
        <w:rPr>
          <w:rFonts w:hint="eastAsia"/>
        </w:rPr>
        <w:t>污水预处理装置采取封闭措施，经负压收集各构筑物产生的无组织废气。采用《石化行业VOCs污染源排查工作指南》中“四、废水集输、储存、处理处置过程逸散”的排放系数法计算剩余氨水处理设施的VOCs排放量，剩余氨水量为20m³/h，污水处理排放系数为0.005kg/t污水，则剩余氨水处理设施VOCs产生总量为0.792t/a。污水储存、处理设施废气采用密闭管道收集系统，有机废气经密闭管道收集作为焚烧炉补风，送焚烧炉焚烧处理。</w:t>
      </w:r>
    </w:p>
    <w:p w14:paraId="1B3C0795">
      <w:pPr>
        <w:ind w:firstLine="480"/>
        <w:rPr>
          <w:rFonts w:hint="eastAsia" w:hAnsi="宋体"/>
        </w:rPr>
      </w:pPr>
      <w:r>
        <w:rPr>
          <w:rFonts w:hint="eastAsia"/>
        </w:rPr>
        <w:t>本项目采用密闭管道收集。</w:t>
      </w:r>
      <w:r>
        <w:rPr>
          <w:rFonts w:hint="eastAsia" w:hAnsi="宋体"/>
        </w:rPr>
        <w:t>根据《主要污染物总量减排核算技术指南（2</w:t>
      </w:r>
      <w:r>
        <w:rPr>
          <w:rFonts w:hAnsi="宋体"/>
        </w:rPr>
        <w:t>022</w:t>
      </w:r>
      <w:r>
        <w:rPr>
          <w:rFonts w:hint="eastAsia" w:hAnsi="宋体"/>
        </w:rPr>
        <w:t>年修订）》表2</w:t>
      </w:r>
      <w:r>
        <w:rPr>
          <w:rFonts w:hAnsi="宋体"/>
        </w:rPr>
        <w:t>-3VOC</w:t>
      </w:r>
      <w:r>
        <w:rPr>
          <w:rFonts w:hint="eastAsia" w:hAnsi="宋体"/>
        </w:rPr>
        <w:t>s废气收集和治理设施去除率通用系数，密闭管道收集的废气收集率为95</w:t>
      </w:r>
      <w:r>
        <w:rPr>
          <w:rFonts w:hAnsi="宋体"/>
        </w:rPr>
        <w:t>%</w:t>
      </w:r>
      <w:r>
        <w:rPr>
          <w:rFonts w:hint="eastAsia" w:hAnsi="宋体"/>
        </w:rPr>
        <w:t>。</w:t>
      </w:r>
    </w:p>
    <w:p w14:paraId="68FBA02A">
      <w:pPr>
        <w:ind w:firstLine="480"/>
      </w:pPr>
      <w:r>
        <w:rPr>
          <w:rFonts w:hint="eastAsia"/>
        </w:rPr>
        <w:t>污水预处理装置挥发性有机物产生及收集情况，见表3.3-25。</w:t>
      </w:r>
    </w:p>
    <w:p w14:paraId="183C5E93">
      <w:pPr>
        <w:pStyle w:val="118"/>
      </w:pPr>
      <w:r>
        <w:rPr>
          <w:rFonts w:hint="eastAsia"/>
        </w:rPr>
        <w:t>表3.3-25  污水预处理装置挥发性有机物收集情况一览表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1"/>
        <w:gridCol w:w="1357"/>
        <w:gridCol w:w="1778"/>
        <w:gridCol w:w="871"/>
        <w:gridCol w:w="844"/>
        <w:gridCol w:w="871"/>
        <w:gridCol w:w="1400"/>
      </w:tblGrid>
      <w:tr w14:paraId="77E6D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2" w:type="pct"/>
            <w:vAlign w:val="center"/>
          </w:tcPr>
          <w:p w14:paraId="5F04F5C8">
            <w:pPr>
              <w:pStyle w:val="133"/>
              <w:rPr>
                <w:rFonts w:cs="Times New Roman"/>
                <w:b/>
                <w:bCs/>
                <w:color w:val="000000"/>
                <w:szCs w:val="21"/>
              </w:rPr>
            </w:pPr>
            <w:r>
              <w:rPr>
                <w:rFonts w:hint="eastAsia"/>
                <w:b/>
                <w:bCs/>
              </w:rPr>
              <w:t>污水预处理装置</w:t>
            </w:r>
          </w:p>
        </w:tc>
        <w:tc>
          <w:tcPr>
            <w:tcW w:w="796" w:type="pct"/>
            <w:vAlign w:val="center"/>
          </w:tcPr>
          <w:p w14:paraId="5C55E554">
            <w:pPr>
              <w:pStyle w:val="133"/>
              <w:rPr>
                <w:rFonts w:cs="Times New Roman"/>
                <w:b/>
                <w:bCs/>
                <w:color w:val="000000"/>
                <w:szCs w:val="21"/>
              </w:rPr>
            </w:pPr>
            <w:r>
              <w:rPr>
                <w:rFonts w:cs="Times New Roman"/>
                <w:b/>
                <w:bCs/>
                <w:color w:val="000000"/>
                <w:szCs w:val="21"/>
              </w:rPr>
              <w:t>处理规模</w:t>
            </w:r>
          </w:p>
          <w:p w14:paraId="664BA207">
            <w:pPr>
              <w:pStyle w:val="133"/>
              <w:rPr>
                <w:rFonts w:cs="Times New Roman"/>
                <w:b/>
                <w:bCs/>
                <w:color w:val="000000"/>
                <w:szCs w:val="21"/>
              </w:rPr>
            </w:pPr>
            <w:r>
              <w:rPr>
                <w:rFonts w:cs="Times New Roman"/>
                <w:b/>
                <w:bCs/>
                <w:color w:val="000000"/>
                <w:szCs w:val="21"/>
              </w:rPr>
              <w:t>（m³/h）</w:t>
            </w:r>
          </w:p>
        </w:tc>
        <w:tc>
          <w:tcPr>
            <w:tcW w:w="1043" w:type="pct"/>
            <w:vAlign w:val="center"/>
          </w:tcPr>
          <w:p w14:paraId="7E93D090">
            <w:pPr>
              <w:pStyle w:val="133"/>
              <w:rPr>
                <w:rFonts w:cs="Times New Roman"/>
                <w:b/>
                <w:bCs/>
                <w:color w:val="000000"/>
                <w:szCs w:val="21"/>
              </w:rPr>
            </w:pPr>
            <w:r>
              <w:rPr>
                <w:rFonts w:cs="Times New Roman"/>
                <w:b/>
                <w:bCs/>
                <w:color w:val="000000"/>
                <w:szCs w:val="21"/>
              </w:rPr>
              <w:t>处理工艺</w:t>
            </w:r>
          </w:p>
        </w:tc>
        <w:tc>
          <w:tcPr>
            <w:tcW w:w="511" w:type="pct"/>
            <w:vAlign w:val="center"/>
          </w:tcPr>
          <w:p w14:paraId="07B52558">
            <w:pPr>
              <w:pStyle w:val="133"/>
              <w:rPr>
                <w:rFonts w:cs="Times New Roman"/>
                <w:b/>
                <w:bCs/>
                <w:color w:val="000000"/>
                <w:szCs w:val="21"/>
              </w:rPr>
            </w:pPr>
            <w:r>
              <w:rPr>
                <w:rFonts w:cs="Times New Roman"/>
                <w:b/>
                <w:bCs/>
                <w:color w:val="000000"/>
                <w:szCs w:val="21"/>
              </w:rPr>
              <w:t>产生量</w:t>
            </w:r>
          </w:p>
          <w:p w14:paraId="4B664C5A">
            <w:pPr>
              <w:pStyle w:val="133"/>
              <w:rPr>
                <w:rFonts w:cs="Times New Roman"/>
                <w:b/>
                <w:bCs/>
                <w:color w:val="000000"/>
                <w:szCs w:val="21"/>
              </w:rPr>
            </w:pPr>
            <w:r>
              <w:rPr>
                <w:rFonts w:cs="Times New Roman"/>
                <w:b/>
                <w:bCs/>
                <w:color w:val="000000"/>
                <w:szCs w:val="21"/>
              </w:rPr>
              <w:t>（t/a）</w:t>
            </w:r>
          </w:p>
        </w:tc>
        <w:tc>
          <w:tcPr>
            <w:tcW w:w="495" w:type="pct"/>
            <w:vAlign w:val="center"/>
          </w:tcPr>
          <w:p w14:paraId="2E8BF90E">
            <w:pPr>
              <w:pStyle w:val="133"/>
              <w:rPr>
                <w:rFonts w:cs="Times New Roman"/>
                <w:b/>
                <w:bCs/>
                <w:color w:val="000000"/>
                <w:szCs w:val="21"/>
              </w:rPr>
            </w:pPr>
            <w:r>
              <w:rPr>
                <w:rFonts w:cs="Times New Roman"/>
                <w:b/>
                <w:bCs/>
                <w:color w:val="000000"/>
                <w:szCs w:val="21"/>
              </w:rPr>
              <w:t>收集率</w:t>
            </w:r>
          </w:p>
        </w:tc>
        <w:tc>
          <w:tcPr>
            <w:tcW w:w="511" w:type="pct"/>
            <w:vAlign w:val="center"/>
          </w:tcPr>
          <w:p w14:paraId="4ADE5831">
            <w:pPr>
              <w:pStyle w:val="133"/>
              <w:rPr>
                <w:rFonts w:cs="Times New Roman"/>
                <w:b/>
                <w:bCs/>
                <w:color w:val="000000"/>
                <w:szCs w:val="21"/>
              </w:rPr>
            </w:pPr>
            <w:r>
              <w:rPr>
                <w:rFonts w:cs="Times New Roman"/>
                <w:b/>
                <w:bCs/>
                <w:color w:val="000000"/>
                <w:szCs w:val="21"/>
              </w:rPr>
              <w:t>收集量</w:t>
            </w:r>
          </w:p>
          <w:p w14:paraId="4EEA1BED">
            <w:pPr>
              <w:pStyle w:val="133"/>
              <w:rPr>
                <w:rFonts w:cs="Times New Roman"/>
                <w:b/>
                <w:bCs/>
                <w:color w:val="000000"/>
                <w:szCs w:val="21"/>
              </w:rPr>
            </w:pPr>
            <w:r>
              <w:rPr>
                <w:rFonts w:cs="Times New Roman"/>
                <w:b/>
                <w:bCs/>
                <w:color w:val="000000"/>
                <w:szCs w:val="21"/>
              </w:rPr>
              <w:t>（t/a）</w:t>
            </w:r>
          </w:p>
        </w:tc>
        <w:tc>
          <w:tcPr>
            <w:tcW w:w="821" w:type="pct"/>
            <w:vAlign w:val="center"/>
          </w:tcPr>
          <w:p w14:paraId="063E41EC">
            <w:pPr>
              <w:pStyle w:val="133"/>
              <w:rPr>
                <w:rFonts w:cs="Times New Roman"/>
                <w:b/>
                <w:bCs/>
                <w:color w:val="000000"/>
                <w:szCs w:val="21"/>
              </w:rPr>
            </w:pPr>
            <w:r>
              <w:rPr>
                <w:rFonts w:cs="Times New Roman"/>
                <w:b/>
                <w:bCs/>
                <w:color w:val="000000"/>
                <w:szCs w:val="21"/>
              </w:rPr>
              <w:t>无组织排放</w:t>
            </w:r>
          </w:p>
          <w:p w14:paraId="1D73A0A7">
            <w:pPr>
              <w:pStyle w:val="133"/>
              <w:rPr>
                <w:rFonts w:cs="Times New Roman"/>
                <w:b/>
                <w:bCs/>
                <w:color w:val="000000"/>
                <w:szCs w:val="21"/>
              </w:rPr>
            </w:pPr>
            <w:r>
              <w:rPr>
                <w:rFonts w:cs="Times New Roman"/>
                <w:b/>
                <w:bCs/>
                <w:color w:val="000000"/>
                <w:szCs w:val="21"/>
              </w:rPr>
              <w:t>量（t/a）</w:t>
            </w:r>
          </w:p>
        </w:tc>
      </w:tr>
      <w:tr w14:paraId="5E798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2" w:type="pct"/>
            <w:vAlign w:val="center"/>
          </w:tcPr>
          <w:p w14:paraId="6DC7550F">
            <w:pPr>
              <w:pStyle w:val="133"/>
              <w:rPr>
                <w:rFonts w:cs="Times New Roman"/>
                <w:color w:val="000000"/>
                <w:szCs w:val="21"/>
              </w:rPr>
            </w:pPr>
            <w:r>
              <w:rPr>
                <w:rFonts w:cs="Times New Roman"/>
                <w:color w:val="000000"/>
                <w:szCs w:val="21"/>
              </w:rPr>
              <w:t>现有</w:t>
            </w:r>
          </w:p>
        </w:tc>
        <w:tc>
          <w:tcPr>
            <w:tcW w:w="796" w:type="pct"/>
            <w:vAlign w:val="center"/>
          </w:tcPr>
          <w:p w14:paraId="13171DF5">
            <w:pPr>
              <w:pStyle w:val="133"/>
              <w:rPr>
                <w:rFonts w:cs="Times New Roman"/>
                <w:color w:val="000000"/>
                <w:szCs w:val="21"/>
              </w:rPr>
            </w:pPr>
            <w:r>
              <w:rPr>
                <w:rFonts w:cs="Times New Roman"/>
                <w:color w:val="000000"/>
                <w:szCs w:val="21"/>
              </w:rPr>
              <w:t>5</w:t>
            </w:r>
          </w:p>
        </w:tc>
        <w:tc>
          <w:tcPr>
            <w:tcW w:w="1043" w:type="pct"/>
            <w:vAlign w:val="center"/>
          </w:tcPr>
          <w:p w14:paraId="78E4FD11">
            <w:pPr>
              <w:pStyle w:val="133"/>
              <w:rPr>
                <w:rFonts w:cs="Times New Roman"/>
                <w:color w:val="000000"/>
                <w:szCs w:val="21"/>
              </w:rPr>
            </w:pPr>
            <w:r>
              <w:rPr>
                <w:rFonts w:hint="eastAsia"/>
              </w:rPr>
              <w:t>三级除油+高效复合脱氮</w:t>
            </w:r>
          </w:p>
        </w:tc>
        <w:tc>
          <w:tcPr>
            <w:tcW w:w="511" w:type="pct"/>
            <w:vAlign w:val="center"/>
          </w:tcPr>
          <w:p w14:paraId="03CD76CE">
            <w:pPr>
              <w:pStyle w:val="133"/>
              <w:rPr>
                <w:rFonts w:cs="Times New Roman"/>
                <w:color w:val="000000"/>
                <w:szCs w:val="21"/>
              </w:rPr>
            </w:pPr>
            <w:r>
              <w:rPr>
                <w:rFonts w:cs="Times New Roman"/>
                <w:color w:val="000000"/>
                <w:szCs w:val="21"/>
              </w:rPr>
              <w:t>0.</w:t>
            </w:r>
            <w:r>
              <w:rPr>
                <w:rFonts w:hint="eastAsia" w:cs="Times New Roman"/>
                <w:color w:val="000000"/>
                <w:szCs w:val="21"/>
              </w:rPr>
              <w:t>198</w:t>
            </w:r>
          </w:p>
        </w:tc>
        <w:tc>
          <w:tcPr>
            <w:tcW w:w="495" w:type="pct"/>
            <w:vAlign w:val="center"/>
          </w:tcPr>
          <w:p w14:paraId="7C537999">
            <w:pPr>
              <w:pStyle w:val="133"/>
              <w:rPr>
                <w:rFonts w:cs="Times New Roman"/>
                <w:color w:val="000000"/>
                <w:szCs w:val="21"/>
              </w:rPr>
            </w:pPr>
            <w:r>
              <w:rPr>
                <w:rFonts w:cs="Times New Roman"/>
                <w:color w:val="000000"/>
                <w:szCs w:val="21"/>
              </w:rPr>
              <w:t>95%</w:t>
            </w:r>
          </w:p>
        </w:tc>
        <w:tc>
          <w:tcPr>
            <w:tcW w:w="511" w:type="pct"/>
            <w:vAlign w:val="center"/>
          </w:tcPr>
          <w:p w14:paraId="296CEEB3">
            <w:pPr>
              <w:pStyle w:val="133"/>
              <w:rPr>
                <w:rFonts w:cs="Times New Roman"/>
                <w:color w:val="000000"/>
                <w:szCs w:val="21"/>
              </w:rPr>
            </w:pPr>
            <w:r>
              <w:rPr>
                <w:rFonts w:cs="Times New Roman"/>
                <w:color w:val="000000"/>
                <w:szCs w:val="21"/>
              </w:rPr>
              <w:t>0.</w:t>
            </w:r>
            <w:r>
              <w:rPr>
                <w:rFonts w:hint="eastAsia" w:cs="Times New Roman"/>
                <w:color w:val="000000"/>
                <w:szCs w:val="21"/>
              </w:rPr>
              <w:t>188</w:t>
            </w:r>
          </w:p>
        </w:tc>
        <w:tc>
          <w:tcPr>
            <w:tcW w:w="821" w:type="pct"/>
            <w:vAlign w:val="center"/>
          </w:tcPr>
          <w:p w14:paraId="530E1647">
            <w:pPr>
              <w:pStyle w:val="133"/>
              <w:rPr>
                <w:rFonts w:cs="Times New Roman"/>
                <w:color w:val="000000"/>
                <w:szCs w:val="21"/>
              </w:rPr>
            </w:pPr>
            <w:r>
              <w:rPr>
                <w:rFonts w:cs="Times New Roman"/>
                <w:color w:val="000000"/>
                <w:szCs w:val="21"/>
              </w:rPr>
              <w:t>0.01</w:t>
            </w:r>
          </w:p>
        </w:tc>
      </w:tr>
      <w:tr w14:paraId="3325D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2" w:type="pct"/>
            <w:vAlign w:val="center"/>
          </w:tcPr>
          <w:p w14:paraId="7718558B">
            <w:pPr>
              <w:pStyle w:val="133"/>
              <w:rPr>
                <w:rFonts w:cs="Times New Roman"/>
                <w:color w:val="000000"/>
                <w:szCs w:val="21"/>
              </w:rPr>
            </w:pPr>
            <w:r>
              <w:rPr>
                <w:rFonts w:cs="Times New Roman"/>
                <w:color w:val="000000"/>
                <w:szCs w:val="21"/>
              </w:rPr>
              <w:t>新建</w:t>
            </w:r>
          </w:p>
        </w:tc>
        <w:tc>
          <w:tcPr>
            <w:tcW w:w="796" w:type="pct"/>
            <w:vAlign w:val="center"/>
          </w:tcPr>
          <w:p w14:paraId="7B96B7DE">
            <w:pPr>
              <w:pStyle w:val="133"/>
              <w:rPr>
                <w:rFonts w:cs="Times New Roman"/>
                <w:color w:val="000000"/>
                <w:szCs w:val="21"/>
              </w:rPr>
            </w:pPr>
            <w:r>
              <w:rPr>
                <w:rFonts w:hint="eastAsia" w:cs="Times New Roman"/>
                <w:color w:val="000000"/>
                <w:szCs w:val="21"/>
              </w:rPr>
              <w:t>1</w:t>
            </w:r>
            <w:r>
              <w:rPr>
                <w:rFonts w:cs="Times New Roman"/>
                <w:color w:val="000000"/>
                <w:szCs w:val="21"/>
              </w:rPr>
              <w:t>5</w:t>
            </w:r>
          </w:p>
        </w:tc>
        <w:tc>
          <w:tcPr>
            <w:tcW w:w="1043" w:type="pct"/>
            <w:vAlign w:val="center"/>
          </w:tcPr>
          <w:p w14:paraId="6018C1F2">
            <w:pPr>
              <w:pStyle w:val="133"/>
              <w:rPr>
                <w:rFonts w:cs="Times New Roman"/>
                <w:color w:val="000000"/>
                <w:szCs w:val="21"/>
              </w:rPr>
            </w:pPr>
            <w:r>
              <w:rPr>
                <w:rFonts w:hint="eastAsia"/>
              </w:rPr>
              <w:t>三级除油+高效复合脱氮</w:t>
            </w:r>
          </w:p>
        </w:tc>
        <w:tc>
          <w:tcPr>
            <w:tcW w:w="511" w:type="pct"/>
            <w:vAlign w:val="center"/>
          </w:tcPr>
          <w:p w14:paraId="30D55C52">
            <w:pPr>
              <w:pStyle w:val="133"/>
              <w:rPr>
                <w:rFonts w:cs="Times New Roman"/>
                <w:color w:val="000000"/>
                <w:szCs w:val="21"/>
              </w:rPr>
            </w:pPr>
            <w:r>
              <w:rPr>
                <w:rFonts w:cs="Times New Roman"/>
                <w:color w:val="000000"/>
                <w:szCs w:val="21"/>
              </w:rPr>
              <w:t>0.</w:t>
            </w:r>
            <w:r>
              <w:rPr>
                <w:rFonts w:hint="eastAsia" w:cs="Times New Roman"/>
                <w:color w:val="000000"/>
                <w:szCs w:val="21"/>
              </w:rPr>
              <w:t>594</w:t>
            </w:r>
          </w:p>
        </w:tc>
        <w:tc>
          <w:tcPr>
            <w:tcW w:w="495" w:type="pct"/>
            <w:vAlign w:val="center"/>
          </w:tcPr>
          <w:p w14:paraId="044395DA">
            <w:pPr>
              <w:pStyle w:val="133"/>
              <w:rPr>
                <w:rFonts w:cs="Times New Roman"/>
                <w:color w:val="000000"/>
                <w:szCs w:val="21"/>
              </w:rPr>
            </w:pPr>
            <w:r>
              <w:rPr>
                <w:rFonts w:cs="Times New Roman"/>
                <w:color w:val="000000"/>
                <w:szCs w:val="21"/>
              </w:rPr>
              <w:t>95%</w:t>
            </w:r>
          </w:p>
        </w:tc>
        <w:tc>
          <w:tcPr>
            <w:tcW w:w="511" w:type="pct"/>
            <w:vAlign w:val="center"/>
          </w:tcPr>
          <w:p w14:paraId="2FD87A6D">
            <w:pPr>
              <w:pStyle w:val="133"/>
              <w:rPr>
                <w:rFonts w:cs="Times New Roman"/>
                <w:color w:val="000000"/>
                <w:szCs w:val="21"/>
              </w:rPr>
            </w:pPr>
            <w:r>
              <w:rPr>
                <w:rFonts w:cs="Times New Roman"/>
                <w:color w:val="000000"/>
                <w:szCs w:val="21"/>
              </w:rPr>
              <w:t>0.</w:t>
            </w:r>
            <w:r>
              <w:rPr>
                <w:rFonts w:hint="eastAsia" w:cs="Times New Roman"/>
                <w:color w:val="000000"/>
                <w:szCs w:val="21"/>
              </w:rPr>
              <w:t>564</w:t>
            </w:r>
          </w:p>
        </w:tc>
        <w:tc>
          <w:tcPr>
            <w:tcW w:w="821" w:type="pct"/>
            <w:vAlign w:val="center"/>
          </w:tcPr>
          <w:p w14:paraId="1EDD8436">
            <w:pPr>
              <w:pStyle w:val="133"/>
              <w:rPr>
                <w:rFonts w:cs="Times New Roman"/>
                <w:color w:val="000000"/>
                <w:szCs w:val="21"/>
              </w:rPr>
            </w:pPr>
            <w:r>
              <w:rPr>
                <w:rFonts w:cs="Times New Roman"/>
                <w:color w:val="000000"/>
                <w:szCs w:val="21"/>
              </w:rPr>
              <w:t>0.0</w:t>
            </w:r>
            <w:r>
              <w:rPr>
                <w:rFonts w:hint="eastAsia" w:cs="Times New Roman"/>
                <w:color w:val="000000"/>
                <w:szCs w:val="21"/>
              </w:rPr>
              <w:t>3</w:t>
            </w:r>
          </w:p>
        </w:tc>
      </w:tr>
      <w:tr w14:paraId="644549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22" w:type="pct"/>
            <w:vAlign w:val="center"/>
          </w:tcPr>
          <w:p w14:paraId="4D0C2BC4">
            <w:pPr>
              <w:pStyle w:val="133"/>
              <w:rPr>
                <w:rFonts w:cs="Times New Roman"/>
                <w:color w:val="000000"/>
                <w:szCs w:val="21"/>
              </w:rPr>
            </w:pPr>
            <w:r>
              <w:rPr>
                <w:rFonts w:hint="eastAsia" w:cs="Times New Roman"/>
                <w:color w:val="000000"/>
                <w:szCs w:val="21"/>
              </w:rPr>
              <w:t>合计</w:t>
            </w:r>
          </w:p>
        </w:tc>
        <w:tc>
          <w:tcPr>
            <w:tcW w:w="796" w:type="pct"/>
            <w:vAlign w:val="center"/>
          </w:tcPr>
          <w:p w14:paraId="66F7DA4A">
            <w:pPr>
              <w:pStyle w:val="133"/>
              <w:rPr>
                <w:rFonts w:cs="Times New Roman"/>
                <w:color w:val="000000"/>
                <w:szCs w:val="21"/>
              </w:rPr>
            </w:pPr>
            <w:r>
              <w:rPr>
                <w:rFonts w:hint="eastAsia" w:cs="Times New Roman"/>
                <w:color w:val="000000"/>
                <w:szCs w:val="21"/>
              </w:rPr>
              <w:t>20</w:t>
            </w:r>
          </w:p>
        </w:tc>
        <w:tc>
          <w:tcPr>
            <w:tcW w:w="1043" w:type="pct"/>
            <w:vAlign w:val="center"/>
          </w:tcPr>
          <w:p w14:paraId="4D7E2BCA">
            <w:pPr>
              <w:pStyle w:val="133"/>
              <w:rPr>
                <w:rFonts w:cs="Times New Roman"/>
                <w:color w:val="000000"/>
                <w:szCs w:val="21"/>
              </w:rPr>
            </w:pPr>
          </w:p>
        </w:tc>
        <w:tc>
          <w:tcPr>
            <w:tcW w:w="511" w:type="pct"/>
            <w:vAlign w:val="center"/>
          </w:tcPr>
          <w:p w14:paraId="7C62B53A">
            <w:pPr>
              <w:pStyle w:val="133"/>
              <w:rPr>
                <w:rFonts w:cs="Times New Roman"/>
                <w:color w:val="000000"/>
                <w:szCs w:val="21"/>
              </w:rPr>
            </w:pPr>
            <w:r>
              <w:rPr>
                <w:rFonts w:hint="eastAsia" w:cs="Times New Roman"/>
                <w:color w:val="000000"/>
                <w:szCs w:val="21"/>
              </w:rPr>
              <w:t>0.792</w:t>
            </w:r>
          </w:p>
        </w:tc>
        <w:tc>
          <w:tcPr>
            <w:tcW w:w="495" w:type="pct"/>
            <w:vAlign w:val="center"/>
          </w:tcPr>
          <w:p w14:paraId="71CF71E5">
            <w:pPr>
              <w:pStyle w:val="133"/>
              <w:rPr>
                <w:rFonts w:cs="Times New Roman"/>
                <w:color w:val="000000"/>
                <w:szCs w:val="21"/>
              </w:rPr>
            </w:pPr>
            <w:r>
              <w:rPr>
                <w:rFonts w:hint="eastAsia" w:cs="Times New Roman"/>
                <w:color w:val="000000"/>
                <w:szCs w:val="21"/>
              </w:rPr>
              <w:t>/</w:t>
            </w:r>
          </w:p>
        </w:tc>
        <w:tc>
          <w:tcPr>
            <w:tcW w:w="511" w:type="pct"/>
            <w:vAlign w:val="center"/>
          </w:tcPr>
          <w:p w14:paraId="3E5159E6">
            <w:pPr>
              <w:pStyle w:val="133"/>
              <w:rPr>
                <w:rFonts w:cs="Times New Roman"/>
                <w:color w:val="000000"/>
                <w:szCs w:val="21"/>
              </w:rPr>
            </w:pPr>
            <w:r>
              <w:rPr>
                <w:rFonts w:hint="eastAsia" w:cs="Times New Roman"/>
                <w:color w:val="000000"/>
                <w:szCs w:val="21"/>
              </w:rPr>
              <w:t>0.752</w:t>
            </w:r>
          </w:p>
        </w:tc>
        <w:tc>
          <w:tcPr>
            <w:tcW w:w="821" w:type="pct"/>
            <w:vAlign w:val="center"/>
          </w:tcPr>
          <w:p w14:paraId="51F2A232">
            <w:pPr>
              <w:pStyle w:val="133"/>
              <w:rPr>
                <w:rFonts w:cs="Times New Roman"/>
                <w:color w:val="000000"/>
                <w:szCs w:val="21"/>
              </w:rPr>
            </w:pPr>
            <w:r>
              <w:rPr>
                <w:rFonts w:hint="eastAsia" w:cs="Times New Roman"/>
                <w:color w:val="000000"/>
                <w:szCs w:val="21"/>
              </w:rPr>
              <w:t>0.04</w:t>
            </w:r>
          </w:p>
        </w:tc>
      </w:tr>
    </w:tbl>
    <w:p w14:paraId="5125994C">
      <w:pPr>
        <w:ind w:firstLine="480"/>
      </w:pPr>
    </w:p>
    <w:p w14:paraId="2A76D838">
      <w:pPr>
        <w:ind w:firstLine="480"/>
      </w:pPr>
      <w:bookmarkStart w:id="309" w:name="_Hlk177587980"/>
      <w:r>
        <w:rPr>
          <w:rFonts w:hint="eastAsia"/>
        </w:rPr>
        <w:t>经废气收集系统收集后，各装置区有机废气无组织排放情况，见表3.3-26。</w:t>
      </w:r>
      <w:bookmarkEnd w:id="309"/>
    </w:p>
    <w:p w14:paraId="2C51AD7E">
      <w:pPr>
        <w:ind w:firstLine="480"/>
        <w:sectPr>
          <w:pgSz w:w="11906" w:h="16838"/>
          <w:pgMar w:top="1440" w:right="1800" w:bottom="1440" w:left="1800" w:header="850" w:footer="850" w:gutter="0"/>
          <w:cols w:space="425" w:num="1"/>
          <w:docGrid w:type="lines" w:linePitch="326" w:charSpace="0"/>
        </w:sectPr>
      </w:pPr>
    </w:p>
    <w:p w14:paraId="547989BF">
      <w:pPr>
        <w:pStyle w:val="118"/>
      </w:pPr>
      <w:bookmarkStart w:id="310" w:name="_Hlk177587992"/>
      <w:r>
        <w:rPr>
          <w:rFonts w:hint="eastAsia"/>
        </w:rPr>
        <w:t>表3.3-26  厂内有机废气无组织排放情况一览表    单位：t/a</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51"/>
        <w:gridCol w:w="1060"/>
        <w:gridCol w:w="1259"/>
        <w:gridCol w:w="1060"/>
        <w:gridCol w:w="995"/>
        <w:gridCol w:w="865"/>
        <w:gridCol w:w="1060"/>
        <w:gridCol w:w="1587"/>
        <w:gridCol w:w="1324"/>
        <w:gridCol w:w="1587"/>
        <w:gridCol w:w="1526"/>
      </w:tblGrid>
      <w:tr w14:paraId="38C068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3" w:type="pct"/>
            <w:vAlign w:val="center"/>
          </w:tcPr>
          <w:p w14:paraId="55A64F75">
            <w:pPr>
              <w:pStyle w:val="133"/>
              <w:rPr>
                <w:b/>
                <w:bCs/>
              </w:rPr>
            </w:pPr>
            <w:r>
              <w:rPr>
                <w:rFonts w:hint="eastAsia"/>
                <w:b/>
                <w:bCs/>
              </w:rPr>
              <w:t>装置区</w:t>
            </w:r>
          </w:p>
        </w:tc>
        <w:tc>
          <w:tcPr>
            <w:tcW w:w="374" w:type="pct"/>
            <w:vAlign w:val="center"/>
          </w:tcPr>
          <w:p w14:paraId="68432AFF">
            <w:pPr>
              <w:pStyle w:val="133"/>
              <w:rPr>
                <w:b/>
                <w:bCs/>
              </w:rPr>
            </w:pPr>
            <w:r>
              <w:rPr>
                <w:rFonts w:hint="eastAsia"/>
                <w:b/>
                <w:bCs/>
              </w:rPr>
              <w:t>颗粒物</w:t>
            </w:r>
          </w:p>
        </w:tc>
        <w:tc>
          <w:tcPr>
            <w:tcW w:w="444" w:type="pct"/>
            <w:vAlign w:val="center"/>
          </w:tcPr>
          <w:p w14:paraId="73D55D43">
            <w:pPr>
              <w:pStyle w:val="133"/>
              <w:rPr>
                <w:b/>
                <w:bCs/>
              </w:rPr>
            </w:pPr>
            <w:r>
              <w:rPr>
                <w:b/>
                <w:bCs/>
              </w:rPr>
              <w:t>BaP</w:t>
            </w:r>
          </w:p>
        </w:tc>
        <w:tc>
          <w:tcPr>
            <w:tcW w:w="374" w:type="pct"/>
            <w:vAlign w:val="center"/>
          </w:tcPr>
          <w:p w14:paraId="5B67D15E">
            <w:pPr>
              <w:pStyle w:val="133"/>
              <w:rPr>
                <w:b/>
                <w:bCs/>
              </w:rPr>
            </w:pPr>
            <w:r>
              <w:rPr>
                <w:rFonts w:hint="eastAsia"/>
                <w:b/>
                <w:bCs/>
              </w:rPr>
              <w:t>氰化氢</w:t>
            </w:r>
          </w:p>
        </w:tc>
        <w:tc>
          <w:tcPr>
            <w:tcW w:w="351" w:type="pct"/>
            <w:vAlign w:val="center"/>
          </w:tcPr>
          <w:p w14:paraId="38D7F112">
            <w:pPr>
              <w:pStyle w:val="133"/>
              <w:rPr>
                <w:b/>
                <w:bCs/>
              </w:rPr>
            </w:pPr>
            <w:r>
              <w:rPr>
                <w:rFonts w:hint="eastAsia"/>
                <w:b/>
                <w:bCs/>
              </w:rPr>
              <w:t>酚类</w:t>
            </w:r>
          </w:p>
        </w:tc>
        <w:tc>
          <w:tcPr>
            <w:tcW w:w="305" w:type="pct"/>
            <w:vAlign w:val="center"/>
          </w:tcPr>
          <w:p w14:paraId="4F4804EC">
            <w:pPr>
              <w:pStyle w:val="133"/>
              <w:rPr>
                <w:b/>
                <w:bCs/>
              </w:rPr>
            </w:pPr>
            <w:r>
              <w:rPr>
                <w:rFonts w:hint="eastAsia"/>
                <w:b/>
                <w:bCs/>
              </w:rPr>
              <w:t>氨</w:t>
            </w:r>
          </w:p>
        </w:tc>
        <w:tc>
          <w:tcPr>
            <w:tcW w:w="374" w:type="pct"/>
            <w:vAlign w:val="center"/>
          </w:tcPr>
          <w:p w14:paraId="18F1B338">
            <w:pPr>
              <w:pStyle w:val="133"/>
              <w:rPr>
                <w:b/>
                <w:bCs/>
              </w:rPr>
            </w:pPr>
            <w:r>
              <w:rPr>
                <w:rFonts w:hint="eastAsia"/>
                <w:b/>
                <w:bCs/>
              </w:rPr>
              <w:t>硫化氢</w:t>
            </w:r>
          </w:p>
        </w:tc>
        <w:tc>
          <w:tcPr>
            <w:tcW w:w="560" w:type="pct"/>
            <w:vAlign w:val="center"/>
          </w:tcPr>
          <w:p w14:paraId="0B752AE3">
            <w:pPr>
              <w:pStyle w:val="133"/>
              <w:rPr>
                <w:b/>
                <w:bCs/>
              </w:rPr>
            </w:pPr>
            <w:r>
              <w:rPr>
                <w:rFonts w:hint="eastAsia"/>
                <w:b/>
                <w:bCs/>
              </w:rPr>
              <w:t>非甲烷总烃</w:t>
            </w:r>
          </w:p>
        </w:tc>
        <w:tc>
          <w:tcPr>
            <w:tcW w:w="467" w:type="pct"/>
            <w:vAlign w:val="center"/>
          </w:tcPr>
          <w:p w14:paraId="28FAFB24">
            <w:pPr>
              <w:pStyle w:val="133"/>
              <w:rPr>
                <w:b/>
                <w:bCs/>
              </w:rPr>
            </w:pPr>
            <w:r>
              <w:rPr>
                <w:rFonts w:hint="eastAsia"/>
                <w:b/>
                <w:bCs/>
              </w:rPr>
              <w:t>二氧化硫</w:t>
            </w:r>
          </w:p>
        </w:tc>
        <w:tc>
          <w:tcPr>
            <w:tcW w:w="560" w:type="pct"/>
            <w:vAlign w:val="center"/>
          </w:tcPr>
          <w:p w14:paraId="3F816227">
            <w:pPr>
              <w:pStyle w:val="133"/>
              <w:rPr>
                <w:b/>
                <w:bCs/>
              </w:rPr>
            </w:pPr>
            <w:r>
              <w:rPr>
                <w:rFonts w:hint="eastAsia"/>
                <w:b/>
                <w:bCs/>
              </w:rPr>
              <w:t>面积（㎡）</w:t>
            </w:r>
          </w:p>
        </w:tc>
        <w:tc>
          <w:tcPr>
            <w:tcW w:w="538" w:type="pct"/>
            <w:vAlign w:val="center"/>
          </w:tcPr>
          <w:p w14:paraId="619F5658">
            <w:pPr>
              <w:pStyle w:val="133"/>
              <w:rPr>
                <w:b/>
                <w:bCs/>
              </w:rPr>
            </w:pPr>
            <w:r>
              <w:rPr>
                <w:rFonts w:hint="eastAsia"/>
                <w:b/>
                <w:bCs/>
              </w:rPr>
              <w:t>高度（m）</w:t>
            </w:r>
          </w:p>
        </w:tc>
      </w:tr>
      <w:tr w14:paraId="54FBA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3" w:type="pct"/>
            <w:vAlign w:val="center"/>
          </w:tcPr>
          <w:p w14:paraId="4877C95B">
            <w:pPr>
              <w:pStyle w:val="133"/>
            </w:pPr>
            <w:r>
              <w:rPr>
                <w:rFonts w:hint="eastAsia"/>
                <w:color w:val="000000"/>
                <w:szCs w:val="21"/>
              </w:rPr>
              <w:t>炭化炉区</w:t>
            </w:r>
          </w:p>
        </w:tc>
        <w:tc>
          <w:tcPr>
            <w:tcW w:w="374" w:type="pct"/>
            <w:vAlign w:val="center"/>
          </w:tcPr>
          <w:p w14:paraId="3674839F">
            <w:pPr>
              <w:pStyle w:val="133"/>
              <w:rPr>
                <w:rFonts w:eastAsia="等线" w:cs="Times New Roman"/>
                <w:color w:val="000000"/>
                <w:szCs w:val="21"/>
              </w:rPr>
            </w:pPr>
            <w:r>
              <w:rPr>
                <w:rFonts w:eastAsia="等线" w:cs="Times New Roman"/>
                <w:color w:val="000000"/>
                <w:szCs w:val="21"/>
              </w:rPr>
              <w:t>0.907</w:t>
            </w:r>
          </w:p>
        </w:tc>
        <w:tc>
          <w:tcPr>
            <w:tcW w:w="444" w:type="pct"/>
            <w:vAlign w:val="center"/>
          </w:tcPr>
          <w:p w14:paraId="2EEA4341">
            <w:pPr>
              <w:pStyle w:val="133"/>
              <w:rPr>
                <w:rFonts w:eastAsia="等线" w:cs="Times New Roman"/>
                <w:color w:val="000000"/>
                <w:szCs w:val="21"/>
              </w:rPr>
            </w:pPr>
            <w:r>
              <w:rPr>
                <w:rFonts w:eastAsia="等线" w:cs="Times New Roman"/>
                <w:color w:val="000000"/>
                <w:szCs w:val="21"/>
              </w:rPr>
              <w:t>0.000001</w:t>
            </w:r>
          </w:p>
        </w:tc>
        <w:tc>
          <w:tcPr>
            <w:tcW w:w="374" w:type="pct"/>
            <w:vAlign w:val="center"/>
          </w:tcPr>
          <w:p w14:paraId="6C22DBF1">
            <w:pPr>
              <w:pStyle w:val="133"/>
              <w:rPr>
                <w:rFonts w:eastAsia="等线" w:cs="Times New Roman"/>
                <w:color w:val="000000"/>
                <w:szCs w:val="21"/>
              </w:rPr>
            </w:pPr>
          </w:p>
        </w:tc>
        <w:tc>
          <w:tcPr>
            <w:tcW w:w="351" w:type="pct"/>
            <w:vAlign w:val="center"/>
          </w:tcPr>
          <w:p w14:paraId="105CA9C2">
            <w:pPr>
              <w:pStyle w:val="133"/>
              <w:rPr>
                <w:rFonts w:eastAsia="等线" w:cs="Times New Roman"/>
                <w:color w:val="000000"/>
                <w:szCs w:val="21"/>
              </w:rPr>
            </w:pPr>
            <w:r>
              <w:rPr>
                <w:rFonts w:eastAsia="等线" w:cs="Times New Roman"/>
                <w:color w:val="000000"/>
                <w:szCs w:val="21"/>
              </w:rPr>
              <w:t>0.0029</w:t>
            </w:r>
          </w:p>
        </w:tc>
        <w:tc>
          <w:tcPr>
            <w:tcW w:w="305" w:type="pct"/>
            <w:vAlign w:val="center"/>
          </w:tcPr>
          <w:p w14:paraId="4DE93F08">
            <w:pPr>
              <w:pStyle w:val="133"/>
              <w:rPr>
                <w:rFonts w:eastAsia="等线" w:cs="Times New Roman"/>
                <w:color w:val="000000"/>
                <w:szCs w:val="21"/>
              </w:rPr>
            </w:pPr>
            <w:r>
              <w:rPr>
                <w:rFonts w:eastAsia="等线" w:cs="Times New Roman"/>
                <w:color w:val="000000"/>
                <w:szCs w:val="21"/>
              </w:rPr>
              <w:t>0.076</w:t>
            </w:r>
          </w:p>
        </w:tc>
        <w:tc>
          <w:tcPr>
            <w:tcW w:w="374" w:type="pct"/>
            <w:vAlign w:val="center"/>
          </w:tcPr>
          <w:p w14:paraId="082401A8">
            <w:pPr>
              <w:pStyle w:val="133"/>
              <w:rPr>
                <w:rFonts w:eastAsia="等线" w:cs="Times New Roman"/>
                <w:color w:val="000000"/>
                <w:szCs w:val="21"/>
              </w:rPr>
            </w:pPr>
            <w:r>
              <w:rPr>
                <w:rFonts w:eastAsia="等线" w:cs="Times New Roman"/>
                <w:color w:val="000000"/>
                <w:szCs w:val="21"/>
              </w:rPr>
              <w:t>0.02</w:t>
            </w:r>
          </w:p>
        </w:tc>
        <w:tc>
          <w:tcPr>
            <w:tcW w:w="560" w:type="pct"/>
            <w:vAlign w:val="center"/>
          </w:tcPr>
          <w:p w14:paraId="68604526">
            <w:pPr>
              <w:pStyle w:val="133"/>
              <w:rPr>
                <w:rFonts w:eastAsia="等线" w:cs="Times New Roman"/>
                <w:color w:val="000000"/>
                <w:szCs w:val="21"/>
              </w:rPr>
            </w:pPr>
          </w:p>
        </w:tc>
        <w:tc>
          <w:tcPr>
            <w:tcW w:w="467" w:type="pct"/>
            <w:vAlign w:val="center"/>
          </w:tcPr>
          <w:p w14:paraId="5049A8B5">
            <w:pPr>
              <w:pStyle w:val="133"/>
              <w:rPr>
                <w:rFonts w:eastAsia="等线" w:cs="Times New Roman"/>
                <w:color w:val="000000"/>
                <w:szCs w:val="21"/>
              </w:rPr>
            </w:pPr>
            <w:r>
              <w:rPr>
                <w:rFonts w:hint="eastAsia" w:eastAsia="等线" w:cs="Times New Roman"/>
                <w:color w:val="000000"/>
                <w:szCs w:val="21"/>
              </w:rPr>
              <w:t>6.658</w:t>
            </w:r>
          </w:p>
        </w:tc>
        <w:tc>
          <w:tcPr>
            <w:tcW w:w="560" w:type="pct"/>
            <w:noWrap/>
            <w:vAlign w:val="center"/>
          </w:tcPr>
          <w:p w14:paraId="34DA02CB">
            <w:pPr>
              <w:pStyle w:val="133"/>
            </w:pPr>
            <w:r>
              <w:rPr>
                <w:rFonts w:eastAsia="等线" w:cs="Times New Roman"/>
                <w:color w:val="000000"/>
                <w:szCs w:val="21"/>
              </w:rPr>
              <w:t>60×40</w:t>
            </w:r>
          </w:p>
        </w:tc>
        <w:tc>
          <w:tcPr>
            <w:tcW w:w="538" w:type="pct"/>
            <w:noWrap/>
            <w:vAlign w:val="center"/>
          </w:tcPr>
          <w:p w14:paraId="2AA9F3D3">
            <w:pPr>
              <w:pStyle w:val="133"/>
            </w:pPr>
            <w:r>
              <w:rPr>
                <w:rFonts w:eastAsia="等线" w:cs="Times New Roman"/>
                <w:color w:val="000000"/>
                <w:szCs w:val="21"/>
              </w:rPr>
              <w:t>10</w:t>
            </w:r>
          </w:p>
        </w:tc>
      </w:tr>
      <w:tr w14:paraId="19ED5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3" w:type="pct"/>
            <w:vAlign w:val="center"/>
          </w:tcPr>
          <w:p w14:paraId="54BB06D0">
            <w:pPr>
              <w:pStyle w:val="133"/>
            </w:pPr>
            <w:r>
              <w:rPr>
                <w:rFonts w:hint="eastAsia"/>
                <w:color w:val="000000"/>
                <w:szCs w:val="21"/>
              </w:rPr>
              <w:t>煤气净化工段</w:t>
            </w:r>
          </w:p>
        </w:tc>
        <w:tc>
          <w:tcPr>
            <w:tcW w:w="374" w:type="pct"/>
            <w:vAlign w:val="center"/>
          </w:tcPr>
          <w:p w14:paraId="260139B3">
            <w:pPr>
              <w:pStyle w:val="133"/>
              <w:rPr>
                <w:rFonts w:eastAsia="等线" w:cs="Times New Roman"/>
                <w:color w:val="000000"/>
                <w:szCs w:val="21"/>
              </w:rPr>
            </w:pPr>
          </w:p>
        </w:tc>
        <w:tc>
          <w:tcPr>
            <w:tcW w:w="444" w:type="pct"/>
            <w:vAlign w:val="center"/>
          </w:tcPr>
          <w:p w14:paraId="180F3D3B">
            <w:pPr>
              <w:pStyle w:val="133"/>
              <w:rPr>
                <w:rFonts w:eastAsia="等线" w:cs="Times New Roman"/>
                <w:color w:val="000000"/>
                <w:szCs w:val="21"/>
              </w:rPr>
            </w:pPr>
            <w:r>
              <w:rPr>
                <w:rFonts w:eastAsia="等线" w:cs="Times New Roman"/>
                <w:color w:val="000000"/>
                <w:szCs w:val="21"/>
              </w:rPr>
              <w:t>0.00012</w:t>
            </w:r>
          </w:p>
        </w:tc>
        <w:tc>
          <w:tcPr>
            <w:tcW w:w="374" w:type="pct"/>
            <w:vAlign w:val="center"/>
          </w:tcPr>
          <w:p w14:paraId="1BACB290">
            <w:pPr>
              <w:pStyle w:val="133"/>
              <w:rPr>
                <w:rFonts w:eastAsia="等线" w:cs="Times New Roman"/>
                <w:color w:val="000000"/>
                <w:szCs w:val="21"/>
              </w:rPr>
            </w:pPr>
            <w:r>
              <w:rPr>
                <w:rFonts w:eastAsia="等线" w:cs="Times New Roman"/>
                <w:color w:val="000000"/>
                <w:szCs w:val="21"/>
              </w:rPr>
              <w:t>0.00094</w:t>
            </w:r>
          </w:p>
        </w:tc>
        <w:tc>
          <w:tcPr>
            <w:tcW w:w="351" w:type="pct"/>
            <w:vAlign w:val="center"/>
          </w:tcPr>
          <w:p w14:paraId="4B4B05A5">
            <w:pPr>
              <w:pStyle w:val="133"/>
              <w:rPr>
                <w:rFonts w:eastAsia="等线" w:cs="Times New Roman"/>
                <w:color w:val="000000"/>
                <w:szCs w:val="21"/>
              </w:rPr>
            </w:pPr>
            <w:r>
              <w:rPr>
                <w:rFonts w:eastAsia="等线" w:cs="Times New Roman"/>
                <w:color w:val="000000"/>
                <w:szCs w:val="21"/>
              </w:rPr>
              <w:t>0.00468</w:t>
            </w:r>
          </w:p>
        </w:tc>
        <w:tc>
          <w:tcPr>
            <w:tcW w:w="305" w:type="pct"/>
            <w:vAlign w:val="center"/>
          </w:tcPr>
          <w:p w14:paraId="182461C9">
            <w:pPr>
              <w:pStyle w:val="133"/>
              <w:rPr>
                <w:rFonts w:eastAsia="等线" w:cs="Times New Roman"/>
                <w:color w:val="000000"/>
                <w:szCs w:val="21"/>
              </w:rPr>
            </w:pPr>
            <w:r>
              <w:rPr>
                <w:rFonts w:eastAsia="等线" w:cs="Times New Roman"/>
                <w:color w:val="000000"/>
                <w:szCs w:val="21"/>
              </w:rPr>
              <w:t>0.023</w:t>
            </w:r>
          </w:p>
        </w:tc>
        <w:tc>
          <w:tcPr>
            <w:tcW w:w="374" w:type="pct"/>
            <w:vAlign w:val="center"/>
          </w:tcPr>
          <w:p w14:paraId="46C82380">
            <w:pPr>
              <w:pStyle w:val="133"/>
              <w:rPr>
                <w:rFonts w:eastAsia="等线" w:cs="Times New Roman"/>
                <w:color w:val="000000"/>
                <w:szCs w:val="21"/>
              </w:rPr>
            </w:pPr>
            <w:r>
              <w:rPr>
                <w:rFonts w:eastAsia="等线" w:cs="Times New Roman"/>
                <w:color w:val="000000"/>
                <w:szCs w:val="21"/>
              </w:rPr>
              <w:t>0.00141</w:t>
            </w:r>
          </w:p>
        </w:tc>
        <w:tc>
          <w:tcPr>
            <w:tcW w:w="560" w:type="pct"/>
            <w:vAlign w:val="center"/>
          </w:tcPr>
          <w:p w14:paraId="0706CA48">
            <w:pPr>
              <w:pStyle w:val="133"/>
              <w:rPr>
                <w:rFonts w:eastAsia="等线" w:cs="Times New Roman"/>
                <w:color w:val="000000"/>
                <w:szCs w:val="21"/>
              </w:rPr>
            </w:pPr>
            <w:r>
              <w:rPr>
                <w:rFonts w:eastAsia="等线" w:cs="Times New Roman"/>
                <w:color w:val="000000"/>
                <w:szCs w:val="21"/>
              </w:rPr>
              <w:t>0.035</w:t>
            </w:r>
          </w:p>
        </w:tc>
        <w:tc>
          <w:tcPr>
            <w:tcW w:w="467" w:type="pct"/>
            <w:vAlign w:val="center"/>
          </w:tcPr>
          <w:p w14:paraId="2A8AEB66">
            <w:pPr>
              <w:pStyle w:val="133"/>
              <w:rPr>
                <w:rFonts w:eastAsia="等线" w:cs="Times New Roman"/>
                <w:color w:val="000000"/>
                <w:szCs w:val="21"/>
              </w:rPr>
            </w:pPr>
          </w:p>
        </w:tc>
        <w:tc>
          <w:tcPr>
            <w:tcW w:w="560" w:type="pct"/>
            <w:noWrap/>
            <w:vAlign w:val="center"/>
          </w:tcPr>
          <w:p w14:paraId="2E756738">
            <w:pPr>
              <w:pStyle w:val="133"/>
            </w:pPr>
            <w:r>
              <w:rPr>
                <w:rFonts w:eastAsia="等线" w:cs="Times New Roman"/>
                <w:color w:val="000000"/>
                <w:szCs w:val="21"/>
              </w:rPr>
              <w:t>85×80</w:t>
            </w:r>
          </w:p>
        </w:tc>
        <w:tc>
          <w:tcPr>
            <w:tcW w:w="538" w:type="pct"/>
            <w:noWrap/>
            <w:vAlign w:val="center"/>
          </w:tcPr>
          <w:p w14:paraId="6905ADE7">
            <w:pPr>
              <w:pStyle w:val="133"/>
            </w:pPr>
            <w:r>
              <w:rPr>
                <w:rFonts w:eastAsia="等线" w:cs="Times New Roman"/>
                <w:color w:val="000000"/>
                <w:szCs w:val="21"/>
              </w:rPr>
              <w:t>10</w:t>
            </w:r>
          </w:p>
        </w:tc>
      </w:tr>
      <w:tr w14:paraId="421CC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3" w:type="pct"/>
            <w:vAlign w:val="center"/>
          </w:tcPr>
          <w:p w14:paraId="419324E3">
            <w:pPr>
              <w:pStyle w:val="133"/>
            </w:pPr>
            <w:r>
              <w:rPr>
                <w:rFonts w:hint="eastAsia"/>
                <w:color w:val="000000"/>
                <w:szCs w:val="21"/>
              </w:rPr>
              <w:t>焦油罐区</w:t>
            </w:r>
          </w:p>
        </w:tc>
        <w:tc>
          <w:tcPr>
            <w:tcW w:w="374" w:type="pct"/>
            <w:vAlign w:val="center"/>
          </w:tcPr>
          <w:p w14:paraId="44FAFE4B">
            <w:pPr>
              <w:pStyle w:val="133"/>
              <w:rPr>
                <w:rFonts w:eastAsia="等线" w:cs="Times New Roman"/>
                <w:color w:val="000000"/>
                <w:szCs w:val="21"/>
              </w:rPr>
            </w:pPr>
          </w:p>
        </w:tc>
        <w:tc>
          <w:tcPr>
            <w:tcW w:w="444" w:type="pct"/>
            <w:vAlign w:val="center"/>
          </w:tcPr>
          <w:p w14:paraId="6BFA5750">
            <w:pPr>
              <w:pStyle w:val="133"/>
              <w:rPr>
                <w:rFonts w:eastAsia="等线" w:cs="Times New Roman"/>
                <w:color w:val="000000"/>
                <w:szCs w:val="21"/>
              </w:rPr>
            </w:pPr>
          </w:p>
        </w:tc>
        <w:tc>
          <w:tcPr>
            <w:tcW w:w="374" w:type="pct"/>
            <w:vAlign w:val="center"/>
          </w:tcPr>
          <w:p w14:paraId="7DF4909E">
            <w:pPr>
              <w:pStyle w:val="133"/>
              <w:rPr>
                <w:rFonts w:eastAsia="等线" w:cs="Times New Roman"/>
                <w:color w:val="000000"/>
                <w:szCs w:val="21"/>
              </w:rPr>
            </w:pPr>
          </w:p>
        </w:tc>
        <w:tc>
          <w:tcPr>
            <w:tcW w:w="351" w:type="pct"/>
            <w:vAlign w:val="center"/>
          </w:tcPr>
          <w:p w14:paraId="2A5D07A5">
            <w:pPr>
              <w:pStyle w:val="133"/>
              <w:rPr>
                <w:rFonts w:eastAsia="等线" w:cs="Times New Roman"/>
                <w:color w:val="000000"/>
                <w:szCs w:val="21"/>
              </w:rPr>
            </w:pPr>
          </w:p>
        </w:tc>
        <w:tc>
          <w:tcPr>
            <w:tcW w:w="305" w:type="pct"/>
            <w:vAlign w:val="center"/>
          </w:tcPr>
          <w:p w14:paraId="4DFAFD5D">
            <w:pPr>
              <w:pStyle w:val="133"/>
              <w:rPr>
                <w:rFonts w:eastAsia="等线" w:cs="Times New Roman"/>
                <w:color w:val="000000"/>
                <w:szCs w:val="21"/>
              </w:rPr>
            </w:pPr>
          </w:p>
        </w:tc>
        <w:tc>
          <w:tcPr>
            <w:tcW w:w="374" w:type="pct"/>
            <w:vAlign w:val="center"/>
          </w:tcPr>
          <w:p w14:paraId="30D6AA02">
            <w:pPr>
              <w:pStyle w:val="133"/>
              <w:rPr>
                <w:rFonts w:eastAsia="等线" w:cs="Times New Roman"/>
                <w:color w:val="000000"/>
                <w:szCs w:val="21"/>
              </w:rPr>
            </w:pPr>
          </w:p>
        </w:tc>
        <w:tc>
          <w:tcPr>
            <w:tcW w:w="560" w:type="pct"/>
            <w:vAlign w:val="center"/>
          </w:tcPr>
          <w:p w14:paraId="3644E4AC">
            <w:pPr>
              <w:pStyle w:val="133"/>
              <w:rPr>
                <w:rFonts w:eastAsia="等线" w:cs="Times New Roman"/>
                <w:color w:val="000000"/>
                <w:szCs w:val="21"/>
              </w:rPr>
            </w:pPr>
            <w:r>
              <w:rPr>
                <w:rFonts w:eastAsia="等线" w:cs="Times New Roman"/>
                <w:color w:val="000000"/>
                <w:szCs w:val="21"/>
              </w:rPr>
              <w:t>0.</w:t>
            </w:r>
            <w:r>
              <w:rPr>
                <w:rFonts w:hint="eastAsia" w:eastAsia="等线" w:cs="Times New Roman"/>
                <w:color w:val="000000"/>
                <w:szCs w:val="21"/>
              </w:rPr>
              <w:t>715</w:t>
            </w:r>
          </w:p>
        </w:tc>
        <w:tc>
          <w:tcPr>
            <w:tcW w:w="467" w:type="pct"/>
            <w:vAlign w:val="center"/>
          </w:tcPr>
          <w:p w14:paraId="0C055B13">
            <w:pPr>
              <w:pStyle w:val="133"/>
              <w:rPr>
                <w:rFonts w:eastAsia="等线" w:cs="Times New Roman"/>
                <w:color w:val="000000"/>
                <w:szCs w:val="21"/>
              </w:rPr>
            </w:pPr>
          </w:p>
        </w:tc>
        <w:tc>
          <w:tcPr>
            <w:tcW w:w="560" w:type="pct"/>
            <w:noWrap/>
            <w:vAlign w:val="center"/>
          </w:tcPr>
          <w:p w14:paraId="4483B168">
            <w:pPr>
              <w:pStyle w:val="133"/>
            </w:pPr>
            <w:r>
              <w:rPr>
                <w:rFonts w:eastAsia="等线" w:cs="Times New Roman"/>
                <w:color w:val="000000"/>
                <w:szCs w:val="21"/>
              </w:rPr>
              <w:t>40×145</w:t>
            </w:r>
          </w:p>
        </w:tc>
        <w:tc>
          <w:tcPr>
            <w:tcW w:w="538" w:type="pct"/>
            <w:noWrap/>
            <w:vAlign w:val="center"/>
          </w:tcPr>
          <w:p w14:paraId="0B39C3E4">
            <w:pPr>
              <w:pStyle w:val="133"/>
            </w:pPr>
            <w:r>
              <w:rPr>
                <w:rFonts w:eastAsia="等线" w:cs="Times New Roman"/>
                <w:color w:val="000000"/>
                <w:szCs w:val="21"/>
              </w:rPr>
              <w:t>15</w:t>
            </w:r>
          </w:p>
        </w:tc>
      </w:tr>
      <w:tr w14:paraId="0F48A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3" w:type="pct"/>
            <w:vAlign w:val="center"/>
          </w:tcPr>
          <w:p w14:paraId="64BA281B">
            <w:pPr>
              <w:pStyle w:val="133"/>
            </w:pPr>
            <w:r>
              <w:rPr>
                <w:rFonts w:hint="eastAsia"/>
                <w:color w:val="000000"/>
                <w:szCs w:val="21"/>
              </w:rPr>
              <w:t>装车站</w:t>
            </w:r>
          </w:p>
        </w:tc>
        <w:tc>
          <w:tcPr>
            <w:tcW w:w="374" w:type="pct"/>
            <w:vAlign w:val="center"/>
          </w:tcPr>
          <w:p w14:paraId="54A1865F">
            <w:pPr>
              <w:pStyle w:val="133"/>
              <w:rPr>
                <w:rFonts w:eastAsia="等线" w:cs="Times New Roman"/>
                <w:color w:val="000000"/>
                <w:szCs w:val="21"/>
              </w:rPr>
            </w:pPr>
          </w:p>
        </w:tc>
        <w:tc>
          <w:tcPr>
            <w:tcW w:w="444" w:type="pct"/>
            <w:vAlign w:val="center"/>
          </w:tcPr>
          <w:p w14:paraId="53ACE04C">
            <w:pPr>
              <w:pStyle w:val="133"/>
              <w:rPr>
                <w:rFonts w:eastAsia="等线" w:cs="Times New Roman"/>
                <w:color w:val="000000"/>
                <w:szCs w:val="21"/>
              </w:rPr>
            </w:pPr>
          </w:p>
        </w:tc>
        <w:tc>
          <w:tcPr>
            <w:tcW w:w="374" w:type="pct"/>
            <w:vAlign w:val="center"/>
          </w:tcPr>
          <w:p w14:paraId="2A25B221">
            <w:pPr>
              <w:pStyle w:val="133"/>
              <w:rPr>
                <w:rFonts w:eastAsia="等线" w:cs="Times New Roman"/>
                <w:color w:val="000000"/>
                <w:szCs w:val="21"/>
              </w:rPr>
            </w:pPr>
          </w:p>
        </w:tc>
        <w:tc>
          <w:tcPr>
            <w:tcW w:w="351" w:type="pct"/>
            <w:vAlign w:val="center"/>
          </w:tcPr>
          <w:p w14:paraId="032F72C2">
            <w:pPr>
              <w:pStyle w:val="133"/>
              <w:rPr>
                <w:rFonts w:eastAsia="等线" w:cs="Times New Roman"/>
                <w:color w:val="000000"/>
                <w:szCs w:val="21"/>
              </w:rPr>
            </w:pPr>
          </w:p>
        </w:tc>
        <w:tc>
          <w:tcPr>
            <w:tcW w:w="305" w:type="pct"/>
            <w:vAlign w:val="center"/>
          </w:tcPr>
          <w:p w14:paraId="4E523CFD">
            <w:pPr>
              <w:pStyle w:val="133"/>
              <w:rPr>
                <w:rFonts w:eastAsia="等线" w:cs="Times New Roman"/>
                <w:color w:val="000000"/>
                <w:szCs w:val="21"/>
              </w:rPr>
            </w:pPr>
          </w:p>
        </w:tc>
        <w:tc>
          <w:tcPr>
            <w:tcW w:w="374" w:type="pct"/>
            <w:vAlign w:val="center"/>
          </w:tcPr>
          <w:p w14:paraId="43FA9ED0">
            <w:pPr>
              <w:pStyle w:val="133"/>
              <w:rPr>
                <w:rFonts w:eastAsia="等线" w:cs="Times New Roman"/>
                <w:color w:val="000000"/>
                <w:szCs w:val="21"/>
              </w:rPr>
            </w:pPr>
          </w:p>
        </w:tc>
        <w:tc>
          <w:tcPr>
            <w:tcW w:w="560" w:type="pct"/>
            <w:vAlign w:val="center"/>
          </w:tcPr>
          <w:p w14:paraId="00AB676F">
            <w:pPr>
              <w:pStyle w:val="133"/>
              <w:rPr>
                <w:rFonts w:eastAsia="等线" w:cs="Times New Roman"/>
                <w:color w:val="000000"/>
                <w:szCs w:val="21"/>
              </w:rPr>
            </w:pPr>
            <w:r>
              <w:rPr>
                <w:rFonts w:eastAsia="等线" w:cs="Times New Roman"/>
                <w:color w:val="000000"/>
                <w:szCs w:val="21"/>
              </w:rPr>
              <w:t>0.</w:t>
            </w:r>
            <w:r>
              <w:rPr>
                <w:rFonts w:hint="eastAsia" w:eastAsia="等线" w:cs="Times New Roman"/>
                <w:color w:val="000000"/>
                <w:szCs w:val="21"/>
              </w:rPr>
              <w:t>305</w:t>
            </w:r>
          </w:p>
        </w:tc>
        <w:tc>
          <w:tcPr>
            <w:tcW w:w="467" w:type="pct"/>
            <w:vAlign w:val="center"/>
          </w:tcPr>
          <w:p w14:paraId="4AABC6F2">
            <w:pPr>
              <w:pStyle w:val="133"/>
              <w:rPr>
                <w:rFonts w:eastAsia="等线" w:cs="Times New Roman"/>
                <w:color w:val="000000"/>
                <w:szCs w:val="21"/>
              </w:rPr>
            </w:pPr>
          </w:p>
        </w:tc>
        <w:tc>
          <w:tcPr>
            <w:tcW w:w="560" w:type="pct"/>
            <w:noWrap/>
            <w:vAlign w:val="center"/>
          </w:tcPr>
          <w:p w14:paraId="3AFBFF8B">
            <w:pPr>
              <w:pStyle w:val="133"/>
            </w:pPr>
            <w:r>
              <w:rPr>
                <w:rFonts w:eastAsia="等线" w:cs="Times New Roman"/>
                <w:color w:val="000000"/>
                <w:szCs w:val="21"/>
              </w:rPr>
              <w:t>5×18</w:t>
            </w:r>
          </w:p>
        </w:tc>
        <w:tc>
          <w:tcPr>
            <w:tcW w:w="538" w:type="pct"/>
            <w:noWrap/>
            <w:vAlign w:val="center"/>
          </w:tcPr>
          <w:p w14:paraId="70873D54">
            <w:pPr>
              <w:pStyle w:val="133"/>
            </w:pPr>
            <w:r>
              <w:rPr>
                <w:rFonts w:eastAsia="等线" w:cs="Times New Roman"/>
                <w:color w:val="000000"/>
                <w:szCs w:val="21"/>
              </w:rPr>
              <w:t>5</w:t>
            </w:r>
          </w:p>
        </w:tc>
      </w:tr>
      <w:tr w14:paraId="5AF6C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3" w:type="pct"/>
            <w:vAlign w:val="center"/>
          </w:tcPr>
          <w:p w14:paraId="70D976AA">
            <w:pPr>
              <w:pStyle w:val="133"/>
              <w:rPr>
                <w:color w:val="000000"/>
                <w:szCs w:val="21"/>
              </w:rPr>
            </w:pPr>
            <w:r>
              <w:rPr>
                <w:rFonts w:hint="eastAsia"/>
              </w:rPr>
              <w:t>污水预处理装置</w:t>
            </w:r>
          </w:p>
        </w:tc>
        <w:tc>
          <w:tcPr>
            <w:tcW w:w="374" w:type="pct"/>
            <w:vAlign w:val="center"/>
          </w:tcPr>
          <w:p w14:paraId="61AA3C03">
            <w:pPr>
              <w:pStyle w:val="133"/>
              <w:rPr>
                <w:rFonts w:eastAsia="等线" w:cs="Times New Roman"/>
                <w:color w:val="000000"/>
                <w:szCs w:val="21"/>
              </w:rPr>
            </w:pPr>
          </w:p>
        </w:tc>
        <w:tc>
          <w:tcPr>
            <w:tcW w:w="444" w:type="pct"/>
            <w:vAlign w:val="center"/>
          </w:tcPr>
          <w:p w14:paraId="5ACD1A6D">
            <w:pPr>
              <w:pStyle w:val="133"/>
              <w:rPr>
                <w:rFonts w:eastAsia="等线" w:cs="Times New Roman"/>
                <w:color w:val="000000"/>
                <w:szCs w:val="21"/>
              </w:rPr>
            </w:pPr>
          </w:p>
        </w:tc>
        <w:tc>
          <w:tcPr>
            <w:tcW w:w="374" w:type="pct"/>
            <w:vAlign w:val="center"/>
          </w:tcPr>
          <w:p w14:paraId="097BB18D">
            <w:pPr>
              <w:pStyle w:val="133"/>
              <w:rPr>
                <w:rFonts w:eastAsia="等线" w:cs="Times New Roman"/>
                <w:color w:val="000000"/>
                <w:szCs w:val="21"/>
              </w:rPr>
            </w:pPr>
          </w:p>
        </w:tc>
        <w:tc>
          <w:tcPr>
            <w:tcW w:w="351" w:type="pct"/>
            <w:vAlign w:val="center"/>
          </w:tcPr>
          <w:p w14:paraId="69571B8D">
            <w:pPr>
              <w:pStyle w:val="133"/>
              <w:rPr>
                <w:rFonts w:eastAsia="等线" w:cs="Times New Roman"/>
                <w:color w:val="000000"/>
                <w:szCs w:val="21"/>
              </w:rPr>
            </w:pPr>
          </w:p>
        </w:tc>
        <w:tc>
          <w:tcPr>
            <w:tcW w:w="305" w:type="pct"/>
            <w:vAlign w:val="center"/>
          </w:tcPr>
          <w:p w14:paraId="4DC8EC4E">
            <w:pPr>
              <w:pStyle w:val="133"/>
              <w:rPr>
                <w:rFonts w:eastAsia="等线" w:cs="Times New Roman"/>
                <w:color w:val="000000"/>
                <w:szCs w:val="21"/>
              </w:rPr>
            </w:pPr>
          </w:p>
        </w:tc>
        <w:tc>
          <w:tcPr>
            <w:tcW w:w="374" w:type="pct"/>
            <w:vAlign w:val="center"/>
          </w:tcPr>
          <w:p w14:paraId="301E3E62">
            <w:pPr>
              <w:pStyle w:val="133"/>
              <w:rPr>
                <w:rFonts w:eastAsia="等线" w:cs="Times New Roman"/>
                <w:color w:val="000000"/>
                <w:szCs w:val="21"/>
              </w:rPr>
            </w:pPr>
          </w:p>
        </w:tc>
        <w:tc>
          <w:tcPr>
            <w:tcW w:w="560" w:type="pct"/>
            <w:vAlign w:val="center"/>
          </w:tcPr>
          <w:p w14:paraId="134C0B79">
            <w:pPr>
              <w:pStyle w:val="133"/>
              <w:rPr>
                <w:rFonts w:eastAsia="等线" w:cs="Times New Roman"/>
                <w:color w:val="000000"/>
                <w:szCs w:val="21"/>
              </w:rPr>
            </w:pPr>
            <w:r>
              <w:rPr>
                <w:rFonts w:eastAsia="等线" w:cs="Times New Roman"/>
                <w:color w:val="000000"/>
                <w:szCs w:val="21"/>
              </w:rPr>
              <w:t>0.036</w:t>
            </w:r>
          </w:p>
        </w:tc>
        <w:tc>
          <w:tcPr>
            <w:tcW w:w="467" w:type="pct"/>
            <w:vAlign w:val="center"/>
          </w:tcPr>
          <w:p w14:paraId="6760DA93">
            <w:pPr>
              <w:pStyle w:val="133"/>
              <w:rPr>
                <w:rFonts w:eastAsia="等线" w:cs="Times New Roman"/>
                <w:color w:val="000000"/>
                <w:szCs w:val="21"/>
              </w:rPr>
            </w:pPr>
          </w:p>
        </w:tc>
        <w:tc>
          <w:tcPr>
            <w:tcW w:w="560" w:type="pct"/>
            <w:noWrap/>
            <w:vAlign w:val="center"/>
          </w:tcPr>
          <w:p w14:paraId="09AE2D65">
            <w:pPr>
              <w:pStyle w:val="133"/>
              <w:rPr>
                <w:rFonts w:eastAsia="等线" w:cs="Times New Roman"/>
                <w:color w:val="000000"/>
                <w:szCs w:val="21"/>
              </w:rPr>
            </w:pPr>
            <w:r>
              <w:rPr>
                <w:rFonts w:hint="eastAsia" w:eastAsia="等线" w:cs="Times New Roman"/>
                <w:color w:val="000000"/>
                <w:szCs w:val="21"/>
              </w:rPr>
              <w:t>18</w:t>
            </w:r>
            <w:r>
              <w:rPr>
                <w:rFonts w:eastAsia="等线" w:cs="Times New Roman"/>
                <w:color w:val="000000"/>
                <w:szCs w:val="21"/>
              </w:rPr>
              <w:t>×</w:t>
            </w:r>
            <w:r>
              <w:rPr>
                <w:rFonts w:hint="eastAsia" w:eastAsia="等线" w:cs="Times New Roman"/>
                <w:color w:val="000000"/>
                <w:szCs w:val="21"/>
              </w:rPr>
              <w:t>42</w:t>
            </w:r>
          </w:p>
        </w:tc>
        <w:tc>
          <w:tcPr>
            <w:tcW w:w="538" w:type="pct"/>
            <w:noWrap/>
            <w:vAlign w:val="center"/>
          </w:tcPr>
          <w:p w14:paraId="7A10360F">
            <w:pPr>
              <w:pStyle w:val="133"/>
              <w:rPr>
                <w:rFonts w:eastAsia="等线" w:cs="Times New Roman"/>
                <w:color w:val="000000"/>
                <w:szCs w:val="21"/>
              </w:rPr>
            </w:pPr>
            <w:r>
              <w:rPr>
                <w:rFonts w:eastAsia="等线" w:cs="Times New Roman"/>
                <w:color w:val="000000"/>
                <w:szCs w:val="21"/>
              </w:rPr>
              <w:t>5</w:t>
            </w:r>
          </w:p>
        </w:tc>
      </w:tr>
      <w:tr w14:paraId="14A3C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3" w:type="pct"/>
            <w:vAlign w:val="center"/>
          </w:tcPr>
          <w:p w14:paraId="48BF62BA">
            <w:pPr>
              <w:pStyle w:val="133"/>
            </w:pPr>
            <w:r>
              <w:rPr>
                <w:rFonts w:hint="eastAsia"/>
              </w:rPr>
              <w:t>合计</w:t>
            </w:r>
          </w:p>
        </w:tc>
        <w:tc>
          <w:tcPr>
            <w:tcW w:w="374" w:type="pct"/>
            <w:vAlign w:val="center"/>
          </w:tcPr>
          <w:p w14:paraId="713B51D5">
            <w:pPr>
              <w:pStyle w:val="133"/>
              <w:rPr>
                <w:rFonts w:eastAsia="等线" w:cs="Times New Roman"/>
                <w:color w:val="000000"/>
                <w:szCs w:val="21"/>
              </w:rPr>
            </w:pPr>
            <w:r>
              <w:rPr>
                <w:rFonts w:eastAsia="等线" w:cs="Times New Roman"/>
                <w:color w:val="000000"/>
                <w:szCs w:val="21"/>
              </w:rPr>
              <w:t>0.907</w:t>
            </w:r>
          </w:p>
        </w:tc>
        <w:tc>
          <w:tcPr>
            <w:tcW w:w="444" w:type="pct"/>
            <w:vAlign w:val="center"/>
          </w:tcPr>
          <w:p w14:paraId="0BBF5789">
            <w:pPr>
              <w:pStyle w:val="133"/>
              <w:rPr>
                <w:rFonts w:eastAsia="等线" w:cs="Times New Roman"/>
                <w:color w:val="000000"/>
                <w:szCs w:val="21"/>
              </w:rPr>
            </w:pPr>
            <w:r>
              <w:rPr>
                <w:rFonts w:eastAsia="等线" w:cs="Times New Roman"/>
                <w:color w:val="000000"/>
                <w:szCs w:val="21"/>
              </w:rPr>
              <w:t>0.0001</w:t>
            </w:r>
          </w:p>
        </w:tc>
        <w:tc>
          <w:tcPr>
            <w:tcW w:w="374" w:type="pct"/>
            <w:vAlign w:val="center"/>
          </w:tcPr>
          <w:p w14:paraId="468DDFB0">
            <w:pPr>
              <w:pStyle w:val="133"/>
              <w:rPr>
                <w:rFonts w:eastAsia="等线" w:cs="Times New Roman"/>
                <w:color w:val="000000"/>
                <w:szCs w:val="21"/>
              </w:rPr>
            </w:pPr>
            <w:r>
              <w:rPr>
                <w:rFonts w:eastAsia="等线" w:cs="Times New Roman"/>
                <w:color w:val="000000"/>
                <w:szCs w:val="21"/>
              </w:rPr>
              <w:t>0.0009</w:t>
            </w:r>
          </w:p>
        </w:tc>
        <w:tc>
          <w:tcPr>
            <w:tcW w:w="351" w:type="pct"/>
            <w:vAlign w:val="center"/>
          </w:tcPr>
          <w:p w14:paraId="4BCB3043">
            <w:pPr>
              <w:pStyle w:val="133"/>
              <w:rPr>
                <w:rFonts w:eastAsia="等线" w:cs="Times New Roman"/>
                <w:color w:val="000000"/>
                <w:szCs w:val="21"/>
              </w:rPr>
            </w:pPr>
            <w:r>
              <w:rPr>
                <w:rFonts w:eastAsia="等线" w:cs="Times New Roman"/>
                <w:color w:val="000000"/>
                <w:szCs w:val="21"/>
              </w:rPr>
              <w:t>0.008</w:t>
            </w:r>
          </w:p>
        </w:tc>
        <w:tc>
          <w:tcPr>
            <w:tcW w:w="305" w:type="pct"/>
            <w:vAlign w:val="center"/>
          </w:tcPr>
          <w:p w14:paraId="4D076590">
            <w:pPr>
              <w:pStyle w:val="133"/>
              <w:rPr>
                <w:rFonts w:eastAsia="等线" w:cs="Times New Roman"/>
                <w:color w:val="000000"/>
                <w:szCs w:val="21"/>
              </w:rPr>
            </w:pPr>
            <w:r>
              <w:rPr>
                <w:rFonts w:eastAsia="等线" w:cs="Times New Roman"/>
                <w:color w:val="000000"/>
                <w:szCs w:val="21"/>
              </w:rPr>
              <w:t>0.099</w:t>
            </w:r>
          </w:p>
        </w:tc>
        <w:tc>
          <w:tcPr>
            <w:tcW w:w="374" w:type="pct"/>
            <w:vAlign w:val="center"/>
          </w:tcPr>
          <w:p w14:paraId="2FD01C61">
            <w:pPr>
              <w:pStyle w:val="133"/>
              <w:rPr>
                <w:rFonts w:eastAsia="等线" w:cs="Times New Roman"/>
                <w:color w:val="000000"/>
                <w:szCs w:val="21"/>
              </w:rPr>
            </w:pPr>
            <w:r>
              <w:rPr>
                <w:rFonts w:eastAsia="等线" w:cs="Times New Roman"/>
                <w:color w:val="000000"/>
                <w:szCs w:val="21"/>
              </w:rPr>
              <w:t>0.023</w:t>
            </w:r>
          </w:p>
        </w:tc>
        <w:tc>
          <w:tcPr>
            <w:tcW w:w="560" w:type="pct"/>
            <w:vAlign w:val="center"/>
          </w:tcPr>
          <w:p w14:paraId="5DDD91A0">
            <w:pPr>
              <w:pStyle w:val="133"/>
              <w:rPr>
                <w:rFonts w:eastAsia="等线" w:cs="Times New Roman"/>
                <w:color w:val="000000"/>
                <w:szCs w:val="21"/>
              </w:rPr>
            </w:pPr>
            <w:r>
              <w:rPr>
                <w:rFonts w:eastAsia="等线" w:cs="Times New Roman"/>
                <w:color w:val="000000"/>
                <w:szCs w:val="21"/>
              </w:rPr>
              <w:t>0.811</w:t>
            </w:r>
          </w:p>
        </w:tc>
        <w:tc>
          <w:tcPr>
            <w:tcW w:w="467" w:type="pct"/>
            <w:vAlign w:val="center"/>
          </w:tcPr>
          <w:p w14:paraId="18287F8B">
            <w:pPr>
              <w:pStyle w:val="133"/>
              <w:rPr>
                <w:rFonts w:eastAsia="等线" w:cs="Times New Roman"/>
                <w:color w:val="000000"/>
                <w:szCs w:val="21"/>
              </w:rPr>
            </w:pPr>
            <w:r>
              <w:rPr>
                <w:rFonts w:eastAsia="等线" w:cs="Times New Roman"/>
                <w:color w:val="000000"/>
                <w:szCs w:val="21"/>
              </w:rPr>
              <w:t>6.658</w:t>
            </w:r>
          </w:p>
        </w:tc>
        <w:tc>
          <w:tcPr>
            <w:tcW w:w="560" w:type="pct"/>
            <w:noWrap/>
            <w:vAlign w:val="center"/>
          </w:tcPr>
          <w:p w14:paraId="64B1B7DC">
            <w:pPr>
              <w:pStyle w:val="133"/>
            </w:pPr>
            <w:r>
              <w:rPr>
                <w:rFonts w:hint="eastAsia"/>
              </w:rPr>
              <w:t>/</w:t>
            </w:r>
          </w:p>
        </w:tc>
        <w:tc>
          <w:tcPr>
            <w:tcW w:w="538" w:type="pct"/>
            <w:noWrap/>
            <w:vAlign w:val="center"/>
          </w:tcPr>
          <w:p w14:paraId="10E74DE3">
            <w:pPr>
              <w:pStyle w:val="133"/>
            </w:pPr>
            <w:r>
              <w:rPr>
                <w:rFonts w:hint="eastAsia"/>
              </w:rPr>
              <w:t>/</w:t>
            </w:r>
          </w:p>
        </w:tc>
      </w:tr>
    </w:tbl>
    <w:p w14:paraId="69B8FD56">
      <w:pPr>
        <w:pStyle w:val="133"/>
      </w:pPr>
    </w:p>
    <w:bookmarkEnd w:id="310"/>
    <w:p w14:paraId="78DBC672">
      <w:pPr>
        <w:ind w:firstLine="480"/>
        <w:sectPr>
          <w:pgSz w:w="16838" w:h="11906" w:orient="landscape"/>
          <w:pgMar w:top="1800" w:right="1440" w:bottom="1800" w:left="1440" w:header="850" w:footer="850" w:gutter="0"/>
          <w:cols w:space="425" w:num="1"/>
          <w:docGrid w:type="lines" w:linePitch="326" w:charSpace="0"/>
        </w:sectPr>
      </w:pPr>
    </w:p>
    <w:p w14:paraId="22590D6F">
      <w:pPr>
        <w:ind w:firstLine="480"/>
      </w:pPr>
      <w:bookmarkStart w:id="311" w:name="_Hlk177588217"/>
      <w:r>
        <w:rPr>
          <w:rFonts w:hint="eastAsia"/>
        </w:rPr>
        <w:t>（3）替代污染源的源强</w:t>
      </w:r>
      <w:bookmarkEnd w:id="311"/>
      <w:r>
        <w:rPr>
          <w:rFonts w:hint="eastAsia"/>
        </w:rPr>
        <w:t>核算</w:t>
      </w:r>
    </w:p>
    <w:p w14:paraId="4D652547">
      <w:pPr>
        <w:ind w:firstLine="480"/>
      </w:pPr>
      <w:bookmarkStart w:id="312" w:name="_Hlk177588229"/>
      <w:r>
        <w:rPr>
          <w:rFonts w:hint="eastAsia"/>
        </w:rPr>
        <w:t>1）</w:t>
      </w:r>
      <w:bookmarkStart w:id="313" w:name="_Hlk178072371"/>
      <w:r>
        <w:rPr>
          <w:rFonts w:hint="eastAsia"/>
        </w:rPr>
        <w:t>替代颗粒物有组织排放</w:t>
      </w:r>
      <w:bookmarkEnd w:id="313"/>
    </w:p>
    <w:p w14:paraId="3C53F959">
      <w:pPr>
        <w:ind w:firstLine="480"/>
      </w:pPr>
      <w:bookmarkStart w:id="314" w:name="_Hlk178072378"/>
      <w:r>
        <w:rPr>
          <w:rFonts w:hint="eastAsia"/>
        </w:rPr>
        <w:t>现有工程的备煤上料废气、炭化炉装煤废气、筛焦楼筛焦废气、兰炭烘干废气、兰炭筛分废气将被本项目污染源替代，作为本项目有组织废气排放替代污染源。</w:t>
      </w:r>
    </w:p>
    <w:p w14:paraId="7C919C07">
      <w:pPr>
        <w:ind w:firstLine="480"/>
      </w:pPr>
      <w:r>
        <w:rPr>
          <w:rFonts w:hint="eastAsia"/>
        </w:rPr>
        <w:t>在建30万t/a兰炭生产线配套的破碎筛分间备煤上料废气、炭化炉装煤废气、筛焦楼筛焦废气将被本项目污染源替代，作为本项目有组织废气排放替代污染源。</w:t>
      </w:r>
    </w:p>
    <w:p w14:paraId="791BAA6E">
      <w:pPr>
        <w:ind w:firstLine="480"/>
      </w:pPr>
      <w:r>
        <w:rPr>
          <w:rFonts w:hint="eastAsia"/>
        </w:rPr>
        <w:t>在建废水预处理装置的酸化除油装置废气和脱氮塔废气收集送焚烧炉焚烧，不再排放。焚烧炉烟气处理后与本次新建的15t/h废水预处理装置配套的3套5t/h废水焚烧炉处理后的烟气合并排放。因此，在建废水预处理及焚烧装置的焚烧烟气、酸化除油装置废气和脱氮塔废气均作为本项目有组织废气排放替代污染源。</w:t>
      </w:r>
    </w:p>
    <w:p w14:paraId="356641C3">
      <w:pPr>
        <w:ind w:firstLine="480"/>
      </w:pPr>
      <w:r>
        <w:rPr>
          <w:rFonts w:hint="eastAsia"/>
        </w:rPr>
        <w:t>现有兰炭生产线备煤上料废气、炭化炉装煤废气、筛焦楼筛焦废气、兰炭烘干废气、兰炭筛分废气污染源源强均来自现有工程污染物排放例行检测中的污染物最大小时排放速率。在建兰炭生产线的备煤上料废气、炭化炉装煤废气、筛焦楼筛焦废气参照现有工程污染源源强。在建废水预处理及焚烧装置的焚烧烟气、</w:t>
      </w:r>
      <w:bookmarkStart w:id="315" w:name="OLE_LINK44"/>
      <w:r>
        <w:rPr>
          <w:rFonts w:hint="eastAsia"/>
        </w:rPr>
        <w:t>酸化除油装置废气和脱氮塔废气</w:t>
      </w:r>
      <w:bookmarkEnd w:id="315"/>
      <w:r>
        <w:rPr>
          <w:rFonts w:hint="eastAsia"/>
        </w:rPr>
        <w:t>污染源源强来自《新疆金盛镁业有限公司兰炭废水焚烧项目环境影响报告表》。</w:t>
      </w:r>
    </w:p>
    <w:p w14:paraId="2EF59CCC">
      <w:pPr>
        <w:ind w:firstLine="480"/>
      </w:pPr>
      <w:r>
        <w:rPr>
          <w:rFonts w:hint="eastAsia"/>
        </w:rPr>
        <w:t xml:space="preserve">替代有组织废气排放情况，见表3.3-27。 </w:t>
      </w:r>
    </w:p>
    <w:p w14:paraId="1F8D187A">
      <w:pPr>
        <w:pStyle w:val="118"/>
      </w:pPr>
      <w:r>
        <w:t>表</w:t>
      </w:r>
      <w:r>
        <w:rPr>
          <w:rFonts w:hint="eastAsia"/>
        </w:rPr>
        <w:t>3.3-27   替代有组织废气污染源排放清单</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700"/>
        <w:gridCol w:w="685"/>
        <w:gridCol w:w="436"/>
        <w:gridCol w:w="1046"/>
        <w:gridCol w:w="1019"/>
        <w:gridCol w:w="945"/>
        <w:gridCol w:w="738"/>
        <w:gridCol w:w="652"/>
        <w:gridCol w:w="652"/>
        <w:gridCol w:w="676"/>
        <w:gridCol w:w="787"/>
      </w:tblGrid>
      <w:tr w14:paraId="51E59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02F0B60C">
            <w:pPr>
              <w:pStyle w:val="133"/>
              <w:rPr>
                <w:b/>
                <w:bCs/>
              </w:rPr>
            </w:pPr>
            <w:r>
              <w:rPr>
                <w:rFonts w:hint="eastAsia"/>
                <w:b/>
                <w:bCs/>
              </w:rPr>
              <w:t>排气筒编号</w:t>
            </w:r>
          </w:p>
        </w:tc>
        <w:tc>
          <w:tcPr>
            <w:tcW w:w="431" w:type="pct"/>
            <w:vAlign w:val="center"/>
          </w:tcPr>
          <w:p w14:paraId="6784A6E6">
            <w:pPr>
              <w:pStyle w:val="133"/>
              <w:rPr>
                <w:b/>
                <w:bCs/>
              </w:rPr>
            </w:pPr>
            <w:r>
              <w:rPr>
                <w:rFonts w:hint="eastAsia"/>
                <w:b/>
                <w:bCs/>
              </w:rPr>
              <w:t>排放源</w:t>
            </w:r>
          </w:p>
        </w:tc>
        <w:tc>
          <w:tcPr>
            <w:tcW w:w="282" w:type="pct"/>
            <w:vAlign w:val="center"/>
          </w:tcPr>
          <w:p w14:paraId="6703BCC4">
            <w:pPr>
              <w:pStyle w:val="133"/>
              <w:rPr>
                <w:b/>
                <w:bCs/>
              </w:rPr>
            </w:pPr>
            <w:r>
              <w:rPr>
                <w:rFonts w:hint="eastAsia"/>
                <w:b/>
                <w:bCs/>
              </w:rPr>
              <w:t>污染物</w:t>
            </w:r>
          </w:p>
        </w:tc>
        <w:tc>
          <w:tcPr>
            <w:tcW w:w="456" w:type="pct"/>
            <w:vAlign w:val="center"/>
          </w:tcPr>
          <w:p w14:paraId="156D9BAC">
            <w:pPr>
              <w:pStyle w:val="133"/>
              <w:rPr>
                <w:b/>
                <w:bCs/>
              </w:rPr>
            </w:pPr>
            <w:r>
              <w:rPr>
                <w:rFonts w:hint="eastAsia"/>
                <w:b/>
                <w:bCs/>
              </w:rPr>
              <w:t>废气量（Nm³/h）</w:t>
            </w:r>
          </w:p>
        </w:tc>
        <w:tc>
          <w:tcPr>
            <w:tcW w:w="602" w:type="pct"/>
            <w:vAlign w:val="center"/>
          </w:tcPr>
          <w:p w14:paraId="28F9E19D">
            <w:pPr>
              <w:pStyle w:val="133"/>
              <w:rPr>
                <w:b/>
                <w:bCs/>
              </w:rPr>
            </w:pPr>
            <w:r>
              <w:rPr>
                <w:rFonts w:hint="eastAsia"/>
                <w:b/>
                <w:bCs/>
              </w:rPr>
              <w:t>排放浓度</w:t>
            </w:r>
          </w:p>
          <w:p w14:paraId="15510C7E">
            <w:pPr>
              <w:pStyle w:val="133"/>
              <w:rPr>
                <w:b/>
                <w:bCs/>
              </w:rPr>
            </w:pPr>
            <w:r>
              <w:rPr>
                <w:rFonts w:hint="eastAsia"/>
                <w:b/>
                <w:bCs/>
              </w:rPr>
              <w:t>（mg/m</w:t>
            </w:r>
            <w:r>
              <w:rPr>
                <w:rFonts w:hint="eastAsia"/>
                <w:b/>
                <w:bCs/>
                <w:vertAlign w:val="superscript"/>
              </w:rPr>
              <w:t>3</w:t>
            </w:r>
            <w:r>
              <w:rPr>
                <w:rFonts w:hint="eastAsia"/>
                <w:b/>
                <w:bCs/>
              </w:rPr>
              <w:t>）</w:t>
            </w:r>
          </w:p>
        </w:tc>
        <w:tc>
          <w:tcPr>
            <w:tcW w:w="587" w:type="pct"/>
            <w:vAlign w:val="center"/>
          </w:tcPr>
          <w:p w14:paraId="61590A0C">
            <w:pPr>
              <w:pStyle w:val="133"/>
              <w:rPr>
                <w:b/>
                <w:bCs/>
              </w:rPr>
            </w:pPr>
            <w:r>
              <w:rPr>
                <w:rFonts w:hint="eastAsia"/>
                <w:b/>
                <w:bCs/>
              </w:rPr>
              <w:t>排放速率（kg/h）</w:t>
            </w:r>
          </w:p>
        </w:tc>
        <w:tc>
          <w:tcPr>
            <w:tcW w:w="463" w:type="pct"/>
            <w:vAlign w:val="center"/>
          </w:tcPr>
          <w:p w14:paraId="2FE36B1E">
            <w:pPr>
              <w:pStyle w:val="133"/>
              <w:rPr>
                <w:b/>
                <w:bCs/>
              </w:rPr>
            </w:pPr>
            <w:r>
              <w:rPr>
                <w:rFonts w:hint="eastAsia"/>
                <w:b/>
                <w:bCs/>
              </w:rPr>
              <w:t>排放量（t/a）</w:t>
            </w:r>
          </w:p>
        </w:tc>
        <w:tc>
          <w:tcPr>
            <w:tcW w:w="411" w:type="pct"/>
            <w:vAlign w:val="center"/>
          </w:tcPr>
          <w:p w14:paraId="429121EF">
            <w:pPr>
              <w:pStyle w:val="133"/>
              <w:rPr>
                <w:b/>
                <w:bCs/>
              </w:rPr>
            </w:pPr>
            <w:r>
              <w:rPr>
                <w:rFonts w:hint="eastAsia"/>
                <w:b/>
                <w:bCs/>
              </w:rPr>
              <w:t>排气筒</w:t>
            </w:r>
          </w:p>
          <w:p w14:paraId="54CFA4F7">
            <w:pPr>
              <w:pStyle w:val="133"/>
              <w:rPr>
                <w:b/>
                <w:bCs/>
              </w:rPr>
            </w:pPr>
            <w:r>
              <w:rPr>
                <w:rFonts w:hint="eastAsia"/>
                <w:b/>
                <w:bCs/>
              </w:rPr>
              <w:t>高度（m）</w:t>
            </w:r>
          </w:p>
        </w:tc>
        <w:tc>
          <w:tcPr>
            <w:tcW w:w="411" w:type="pct"/>
            <w:vAlign w:val="center"/>
          </w:tcPr>
          <w:p w14:paraId="3CF87B16">
            <w:pPr>
              <w:pStyle w:val="133"/>
              <w:rPr>
                <w:b/>
                <w:bCs/>
              </w:rPr>
            </w:pPr>
            <w:r>
              <w:rPr>
                <w:rFonts w:hint="eastAsia"/>
                <w:b/>
                <w:bCs/>
              </w:rPr>
              <w:t>排气筒</w:t>
            </w:r>
          </w:p>
          <w:p w14:paraId="2396CF4A">
            <w:pPr>
              <w:pStyle w:val="133"/>
              <w:rPr>
                <w:b/>
                <w:bCs/>
              </w:rPr>
            </w:pPr>
            <w:r>
              <w:rPr>
                <w:rFonts w:hint="eastAsia"/>
                <w:b/>
                <w:bCs/>
              </w:rPr>
              <w:t>内径（m）</w:t>
            </w:r>
          </w:p>
        </w:tc>
        <w:tc>
          <w:tcPr>
            <w:tcW w:w="425" w:type="pct"/>
            <w:vAlign w:val="center"/>
          </w:tcPr>
          <w:p w14:paraId="6B9B0A9E">
            <w:pPr>
              <w:pStyle w:val="133"/>
              <w:rPr>
                <w:b/>
                <w:bCs/>
              </w:rPr>
            </w:pPr>
            <w:r>
              <w:rPr>
                <w:rFonts w:hint="eastAsia"/>
                <w:b/>
                <w:bCs/>
              </w:rPr>
              <w:t>排放时长（h）</w:t>
            </w:r>
          </w:p>
        </w:tc>
        <w:tc>
          <w:tcPr>
            <w:tcW w:w="493" w:type="pct"/>
            <w:vAlign w:val="center"/>
          </w:tcPr>
          <w:p w14:paraId="35F34D34">
            <w:pPr>
              <w:pStyle w:val="133"/>
              <w:rPr>
                <w:b/>
                <w:bCs/>
              </w:rPr>
            </w:pPr>
            <w:r>
              <w:rPr>
                <w:rFonts w:hint="eastAsia"/>
                <w:b/>
                <w:bCs/>
              </w:rPr>
              <w:t>排气温度（</w:t>
            </w:r>
            <w:r>
              <w:rPr>
                <w:rFonts w:hint="eastAsia" w:ascii="宋体" w:hAnsi="宋体"/>
                <w:b/>
                <w:bCs/>
              </w:rPr>
              <w:t>℃</w:t>
            </w:r>
            <w:r>
              <w:rPr>
                <w:rFonts w:hint="eastAsia"/>
                <w:b/>
                <w:bCs/>
              </w:rPr>
              <w:t>）</w:t>
            </w:r>
          </w:p>
        </w:tc>
      </w:tr>
      <w:tr w14:paraId="4FCA6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70BE6228">
            <w:pPr>
              <w:pStyle w:val="133"/>
            </w:pPr>
            <w:r>
              <w:rPr>
                <w:rFonts w:hint="eastAsia"/>
              </w:rPr>
              <w:t>DA001</w:t>
            </w:r>
          </w:p>
        </w:tc>
        <w:tc>
          <w:tcPr>
            <w:tcW w:w="431" w:type="pct"/>
            <w:vAlign w:val="center"/>
          </w:tcPr>
          <w:p w14:paraId="52C87D02">
            <w:pPr>
              <w:pStyle w:val="133"/>
            </w:pPr>
            <w:r>
              <w:rPr>
                <w:rFonts w:hint="eastAsia"/>
              </w:rPr>
              <w:t>备煤上料废气</w:t>
            </w:r>
          </w:p>
        </w:tc>
        <w:tc>
          <w:tcPr>
            <w:tcW w:w="282" w:type="pct"/>
            <w:vAlign w:val="center"/>
          </w:tcPr>
          <w:p w14:paraId="7070A5E4">
            <w:pPr>
              <w:pStyle w:val="133"/>
            </w:pPr>
            <w:r>
              <w:rPr>
                <w:rFonts w:hint="eastAsia"/>
                <w:color w:val="000000"/>
                <w:szCs w:val="21"/>
              </w:rPr>
              <w:t>颗粒物</w:t>
            </w:r>
          </w:p>
        </w:tc>
        <w:tc>
          <w:tcPr>
            <w:tcW w:w="456" w:type="pct"/>
            <w:vAlign w:val="center"/>
          </w:tcPr>
          <w:p w14:paraId="2C9918CF">
            <w:pPr>
              <w:pStyle w:val="133"/>
              <w:rPr>
                <w:rFonts w:eastAsia="等线" w:cs="Times New Roman"/>
              </w:rPr>
            </w:pPr>
            <w:r>
              <w:rPr>
                <w:rFonts w:eastAsia="等线" w:cs="Times New Roman"/>
                <w:color w:val="000000"/>
                <w:szCs w:val="21"/>
              </w:rPr>
              <w:t>21756</w:t>
            </w:r>
          </w:p>
        </w:tc>
        <w:tc>
          <w:tcPr>
            <w:tcW w:w="602" w:type="pct"/>
            <w:vAlign w:val="center"/>
          </w:tcPr>
          <w:p w14:paraId="08599625">
            <w:pPr>
              <w:pStyle w:val="133"/>
              <w:rPr>
                <w:rFonts w:eastAsia="等线" w:cs="Times New Roman"/>
                <w:color w:val="000000"/>
                <w:szCs w:val="21"/>
              </w:rPr>
            </w:pPr>
            <w:r>
              <w:rPr>
                <w:rFonts w:eastAsia="等线" w:cs="Times New Roman"/>
                <w:color w:val="000000"/>
                <w:szCs w:val="21"/>
              </w:rPr>
              <w:t>1.0</w:t>
            </w:r>
          </w:p>
        </w:tc>
        <w:tc>
          <w:tcPr>
            <w:tcW w:w="587" w:type="pct"/>
            <w:vAlign w:val="center"/>
          </w:tcPr>
          <w:p w14:paraId="6FE1ADDB">
            <w:pPr>
              <w:pStyle w:val="133"/>
              <w:rPr>
                <w:rFonts w:eastAsia="等线" w:cs="Times New Roman"/>
              </w:rPr>
            </w:pPr>
            <w:r>
              <w:rPr>
                <w:rFonts w:eastAsia="等线" w:cs="Times New Roman"/>
                <w:color w:val="000000"/>
                <w:szCs w:val="21"/>
              </w:rPr>
              <w:t>0.02</w:t>
            </w:r>
            <w:r>
              <w:rPr>
                <w:rFonts w:hint="eastAsia" w:eastAsia="等线" w:cs="Times New Roman"/>
                <w:color w:val="000000"/>
                <w:szCs w:val="21"/>
              </w:rPr>
              <w:t>2</w:t>
            </w:r>
          </w:p>
        </w:tc>
        <w:tc>
          <w:tcPr>
            <w:tcW w:w="463" w:type="pct"/>
            <w:vAlign w:val="center"/>
          </w:tcPr>
          <w:p w14:paraId="3FD78F0A">
            <w:pPr>
              <w:pStyle w:val="133"/>
              <w:rPr>
                <w:rFonts w:eastAsia="等线" w:cs="Times New Roman"/>
                <w:color w:val="000000"/>
                <w:szCs w:val="21"/>
              </w:rPr>
            </w:pPr>
            <w:r>
              <w:rPr>
                <w:rFonts w:hint="eastAsia" w:eastAsia="等线" w:cs="Times New Roman"/>
                <w:color w:val="000000"/>
                <w:szCs w:val="21"/>
              </w:rPr>
              <w:t>0.17</w:t>
            </w:r>
          </w:p>
        </w:tc>
        <w:tc>
          <w:tcPr>
            <w:tcW w:w="411" w:type="pct"/>
            <w:vAlign w:val="center"/>
          </w:tcPr>
          <w:p w14:paraId="4B973C70">
            <w:pPr>
              <w:pStyle w:val="133"/>
              <w:rPr>
                <w:rFonts w:eastAsia="等线" w:cs="Times New Roman"/>
              </w:rPr>
            </w:pPr>
            <w:r>
              <w:rPr>
                <w:rFonts w:hint="eastAsia" w:eastAsia="等线" w:cs="Times New Roman"/>
              </w:rPr>
              <w:t>30</w:t>
            </w:r>
          </w:p>
        </w:tc>
        <w:tc>
          <w:tcPr>
            <w:tcW w:w="411" w:type="pct"/>
            <w:vAlign w:val="center"/>
          </w:tcPr>
          <w:p w14:paraId="03F66B4F">
            <w:pPr>
              <w:pStyle w:val="133"/>
              <w:rPr>
                <w:rFonts w:eastAsia="等线" w:cs="Times New Roman"/>
              </w:rPr>
            </w:pPr>
            <w:r>
              <w:rPr>
                <w:rFonts w:hint="eastAsia" w:eastAsia="等线" w:cs="Times New Roman"/>
              </w:rPr>
              <w:t>1.5</w:t>
            </w:r>
          </w:p>
        </w:tc>
        <w:tc>
          <w:tcPr>
            <w:tcW w:w="425" w:type="pct"/>
            <w:vAlign w:val="center"/>
          </w:tcPr>
          <w:p w14:paraId="1F7F6847">
            <w:pPr>
              <w:pStyle w:val="133"/>
              <w:rPr>
                <w:rFonts w:eastAsia="等线" w:cs="Times New Roman"/>
              </w:rPr>
            </w:pPr>
            <w:r>
              <w:rPr>
                <w:rFonts w:hint="eastAsia" w:eastAsia="等线" w:cs="Times New Roman"/>
              </w:rPr>
              <w:t>7920</w:t>
            </w:r>
          </w:p>
        </w:tc>
        <w:tc>
          <w:tcPr>
            <w:tcW w:w="493" w:type="pct"/>
            <w:vAlign w:val="center"/>
          </w:tcPr>
          <w:p w14:paraId="75D03692">
            <w:pPr>
              <w:pStyle w:val="133"/>
              <w:rPr>
                <w:rFonts w:eastAsia="等线" w:cs="Times New Roman"/>
              </w:rPr>
            </w:pPr>
            <w:r>
              <w:rPr>
                <w:rFonts w:hint="eastAsia" w:eastAsia="等线" w:cs="Times New Roman"/>
              </w:rPr>
              <w:t>25</w:t>
            </w:r>
          </w:p>
        </w:tc>
      </w:tr>
      <w:tr w14:paraId="3FBD1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restart"/>
            <w:vAlign w:val="center"/>
          </w:tcPr>
          <w:p w14:paraId="2258AF1F">
            <w:pPr>
              <w:pStyle w:val="133"/>
            </w:pPr>
            <w:r>
              <w:rPr>
                <w:rFonts w:hint="eastAsia"/>
              </w:rPr>
              <w:t>DA002</w:t>
            </w:r>
          </w:p>
        </w:tc>
        <w:tc>
          <w:tcPr>
            <w:tcW w:w="431" w:type="pct"/>
            <w:vMerge w:val="restart"/>
            <w:vAlign w:val="center"/>
          </w:tcPr>
          <w:p w14:paraId="3F430EE1">
            <w:pPr>
              <w:pStyle w:val="133"/>
            </w:pPr>
            <w:r>
              <w:rPr>
                <w:rFonts w:hint="eastAsia"/>
              </w:rPr>
              <w:t>炭化炉装煤废气</w:t>
            </w:r>
          </w:p>
        </w:tc>
        <w:tc>
          <w:tcPr>
            <w:tcW w:w="282" w:type="pct"/>
            <w:vAlign w:val="center"/>
          </w:tcPr>
          <w:p w14:paraId="0A9EA6AF">
            <w:pPr>
              <w:pStyle w:val="133"/>
            </w:pPr>
            <w:r>
              <w:rPr>
                <w:rFonts w:hint="eastAsia"/>
                <w:color w:val="000000"/>
                <w:szCs w:val="21"/>
              </w:rPr>
              <w:t>颗粒物</w:t>
            </w:r>
          </w:p>
        </w:tc>
        <w:tc>
          <w:tcPr>
            <w:tcW w:w="456" w:type="pct"/>
            <w:vMerge w:val="restart"/>
            <w:vAlign w:val="center"/>
          </w:tcPr>
          <w:p w14:paraId="036D2BFE">
            <w:pPr>
              <w:pStyle w:val="133"/>
              <w:rPr>
                <w:rFonts w:eastAsia="等线" w:cs="Times New Roman"/>
              </w:rPr>
            </w:pPr>
            <w:r>
              <w:rPr>
                <w:rFonts w:hint="eastAsia" w:eastAsia="等线" w:cs="Times New Roman"/>
                <w:color w:val="000000"/>
                <w:szCs w:val="21"/>
              </w:rPr>
              <w:t>33335</w:t>
            </w:r>
          </w:p>
        </w:tc>
        <w:tc>
          <w:tcPr>
            <w:tcW w:w="602" w:type="pct"/>
            <w:vAlign w:val="center"/>
          </w:tcPr>
          <w:p w14:paraId="0E3D6D64">
            <w:pPr>
              <w:pStyle w:val="133"/>
              <w:rPr>
                <w:rFonts w:eastAsia="等线" w:cs="Times New Roman"/>
                <w:color w:val="000000"/>
                <w:szCs w:val="21"/>
              </w:rPr>
            </w:pPr>
            <w:r>
              <w:rPr>
                <w:rFonts w:hint="eastAsia" w:eastAsia="等线" w:cs="Times New Roman"/>
                <w:color w:val="000000"/>
                <w:szCs w:val="21"/>
              </w:rPr>
              <w:t>12.2</w:t>
            </w:r>
          </w:p>
        </w:tc>
        <w:tc>
          <w:tcPr>
            <w:tcW w:w="587" w:type="pct"/>
            <w:vAlign w:val="center"/>
          </w:tcPr>
          <w:p w14:paraId="659A5F0E">
            <w:pPr>
              <w:pStyle w:val="133"/>
              <w:rPr>
                <w:rFonts w:eastAsia="等线" w:cs="Times New Roman"/>
              </w:rPr>
            </w:pPr>
            <w:r>
              <w:rPr>
                <w:rFonts w:eastAsia="等线" w:cs="Times New Roman"/>
                <w:color w:val="000000"/>
                <w:szCs w:val="21"/>
              </w:rPr>
              <w:t>0.4</w:t>
            </w:r>
            <w:r>
              <w:rPr>
                <w:rFonts w:hint="eastAsia" w:eastAsia="等线" w:cs="Times New Roman"/>
                <w:color w:val="000000"/>
                <w:szCs w:val="21"/>
              </w:rPr>
              <w:t>06</w:t>
            </w:r>
          </w:p>
        </w:tc>
        <w:tc>
          <w:tcPr>
            <w:tcW w:w="463" w:type="pct"/>
            <w:vAlign w:val="center"/>
          </w:tcPr>
          <w:p w14:paraId="6E3D9218">
            <w:pPr>
              <w:pStyle w:val="133"/>
              <w:rPr>
                <w:rFonts w:eastAsia="等线" w:cs="Times New Roman"/>
                <w:color w:val="000000"/>
                <w:szCs w:val="21"/>
              </w:rPr>
            </w:pPr>
            <w:r>
              <w:rPr>
                <w:rFonts w:hint="eastAsia" w:eastAsia="等线" w:cs="Times New Roman"/>
                <w:color w:val="000000"/>
                <w:szCs w:val="21"/>
              </w:rPr>
              <w:t>0.81</w:t>
            </w:r>
          </w:p>
        </w:tc>
        <w:tc>
          <w:tcPr>
            <w:tcW w:w="411" w:type="pct"/>
            <w:vMerge w:val="restart"/>
            <w:vAlign w:val="center"/>
          </w:tcPr>
          <w:p w14:paraId="4B1AA625">
            <w:pPr>
              <w:pStyle w:val="133"/>
              <w:rPr>
                <w:rFonts w:eastAsia="等线" w:cs="Times New Roman"/>
              </w:rPr>
            </w:pPr>
            <w:r>
              <w:rPr>
                <w:rFonts w:hint="eastAsia" w:eastAsia="等线" w:cs="Times New Roman"/>
              </w:rPr>
              <w:t>30</w:t>
            </w:r>
          </w:p>
        </w:tc>
        <w:tc>
          <w:tcPr>
            <w:tcW w:w="411" w:type="pct"/>
            <w:vMerge w:val="restart"/>
            <w:vAlign w:val="center"/>
          </w:tcPr>
          <w:p w14:paraId="5864A3FE">
            <w:pPr>
              <w:pStyle w:val="133"/>
              <w:rPr>
                <w:rFonts w:eastAsia="等线" w:cs="Times New Roman"/>
              </w:rPr>
            </w:pPr>
            <w:r>
              <w:rPr>
                <w:rFonts w:hint="eastAsia" w:eastAsia="等线" w:cs="Times New Roman"/>
              </w:rPr>
              <w:t>1.6</w:t>
            </w:r>
          </w:p>
        </w:tc>
        <w:tc>
          <w:tcPr>
            <w:tcW w:w="425" w:type="pct"/>
            <w:vAlign w:val="center"/>
          </w:tcPr>
          <w:p w14:paraId="27F43D36">
            <w:pPr>
              <w:pStyle w:val="133"/>
              <w:rPr>
                <w:rFonts w:eastAsia="等线" w:cs="Times New Roman"/>
              </w:rPr>
            </w:pPr>
            <w:r>
              <w:rPr>
                <w:rFonts w:hint="eastAsia" w:eastAsia="等线" w:cs="Times New Roman"/>
              </w:rPr>
              <w:t>2000</w:t>
            </w:r>
          </w:p>
        </w:tc>
        <w:tc>
          <w:tcPr>
            <w:tcW w:w="493" w:type="pct"/>
            <w:vMerge w:val="restart"/>
            <w:vAlign w:val="center"/>
          </w:tcPr>
          <w:p w14:paraId="5FDD16B5">
            <w:pPr>
              <w:pStyle w:val="133"/>
              <w:rPr>
                <w:rFonts w:eastAsia="等线" w:cs="Times New Roman"/>
              </w:rPr>
            </w:pPr>
            <w:r>
              <w:rPr>
                <w:rFonts w:hint="eastAsia" w:eastAsia="等线" w:cs="Times New Roman"/>
              </w:rPr>
              <w:t>30</w:t>
            </w:r>
          </w:p>
        </w:tc>
      </w:tr>
      <w:tr w14:paraId="7DAB49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53810534">
            <w:pPr>
              <w:pStyle w:val="133"/>
            </w:pPr>
          </w:p>
        </w:tc>
        <w:tc>
          <w:tcPr>
            <w:tcW w:w="431" w:type="pct"/>
            <w:vMerge w:val="continue"/>
            <w:vAlign w:val="center"/>
          </w:tcPr>
          <w:p w14:paraId="17B17DC0">
            <w:pPr>
              <w:pStyle w:val="133"/>
            </w:pPr>
          </w:p>
        </w:tc>
        <w:tc>
          <w:tcPr>
            <w:tcW w:w="282" w:type="pct"/>
            <w:vAlign w:val="center"/>
          </w:tcPr>
          <w:p w14:paraId="0F31EAC5">
            <w:pPr>
              <w:pStyle w:val="133"/>
              <w:rPr>
                <w:color w:val="000000"/>
                <w:szCs w:val="21"/>
              </w:rPr>
            </w:pPr>
            <w:r>
              <w:rPr>
                <w:rFonts w:hint="eastAsia"/>
                <w:color w:val="000000"/>
                <w:szCs w:val="21"/>
              </w:rPr>
              <w:t>SO</w:t>
            </w:r>
            <w:r>
              <w:rPr>
                <w:rFonts w:hint="eastAsia"/>
                <w:color w:val="000000"/>
                <w:szCs w:val="21"/>
                <w:vertAlign w:val="subscript"/>
              </w:rPr>
              <w:t>2</w:t>
            </w:r>
          </w:p>
        </w:tc>
        <w:tc>
          <w:tcPr>
            <w:tcW w:w="456" w:type="pct"/>
            <w:vMerge w:val="continue"/>
            <w:vAlign w:val="center"/>
          </w:tcPr>
          <w:p w14:paraId="09084E01">
            <w:pPr>
              <w:pStyle w:val="133"/>
              <w:rPr>
                <w:rFonts w:eastAsia="等线" w:cs="Times New Roman"/>
                <w:color w:val="000000"/>
                <w:szCs w:val="21"/>
              </w:rPr>
            </w:pPr>
          </w:p>
        </w:tc>
        <w:tc>
          <w:tcPr>
            <w:tcW w:w="602" w:type="pct"/>
            <w:vAlign w:val="center"/>
          </w:tcPr>
          <w:p w14:paraId="1EA525F3">
            <w:pPr>
              <w:pStyle w:val="133"/>
              <w:rPr>
                <w:rFonts w:eastAsia="等线" w:cs="Times New Roman"/>
                <w:color w:val="000000"/>
                <w:szCs w:val="21"/>
              </w:rPr>
            </w:pPr>
            <w:r>
              <w:rPr>
                <w:rFonts w:hint="eastAsia" w:eastAsia="等线" w:cs="Times New Roman"/>
                <w:color w:val="000000"/>
                <w:szCs w:val="21"/>
              </w:rPr>
              <w:t>2.0</w:t>
            </w:r>
          </w:p>
        </w:tc>
        <w:tc>
          <w:tcPr>
            <w:tcW w:w="587" w:type="pct"/>
            <w:vAlign w:val="center"/>
          </w:tcPr>
          <w:p w14:paraId="40ADADD9">
            <w:pPr>
              <w:pStyle w:val="133"/>
              <w:rPr>
                <w:rFonts w:eastAsia="等线" w:cs="Times New Roman"/>
                <w:color w:val="000000"/>
                <w:szCs w:val="21"/>
              </w:rPr>
            </w:pPr>
            <w:r>
              <w:rPr>
                <w:rFonts w:eastAsia="等线" w:cs="Times New Roman"/>
                <w:color w:val="000000"/>
                <w:szCs w:val="21"/>
              </w:rPr>
              <w:t>0.0</w:t>
            </w:r>
            <w:r>
              <w:rPr>
                <w:rFonts w:hint="eastAsia" w:eastAsia="等线" w:cs="Times New Roman"/>
                <w:color w:val="000000"/>
                <w:szCs w:val="21"/>
              </w:rPr>
              <w:t>67</w:t>
            </w:r>
          </w:p>
        </w:tc>
        <w:tc>
          <w:tcPr>
            <w:tcW w:w="463" w:type="pct"/>
            <w:vAlign w:val="center"/>
          </w:tcPr>
          <w:p w14:paraId="61F33E1D">
            <w:pPr>
              <w:pStyle w:val="133"/>
              <w:rPr>
                <w:rFonts w:eastAsia="等线" w:cs="Times New Roman"/>
                <w:color w:val="000000"/>
                <w:szCs w:val="21"/>
              </w:rPr>
            </w:pPr>
            <w:r>
              <w:rPr>
                <w:rFonts w:hint="eastAsia" w:eastAsia="等线" w:cs="Times New Roman"/>
                <w:color w:val="000000"/>
                <w:szCs w:val="21"/>
              </w:rPr>
              <w:t>0.13</w:t>
            </w:r>
          </w:p>
        </w:tc>
        <w:tc>
          <w:tcPr>
            <w:tcW w:w="411" w:type="pct"/>
            <w:vMerge w:val="continue"/>
            <w:vAlign w:val="center"/>
          </w:tcPr>
          <w:p w14:paraId="4BA2C809">
            <w:pPr>
              <w:pStyle w:val="133"/>
              <w:rPr>
                <w:rFonts w:eastAsia="等线" w:cs="Times New Roman"/>
              </w:rPr>
            </w:pPr>
          </w:p>
        </w:tc>
        <w:tc>
          <w:tcPr>
            <w:tcW w:w="411" w:type="pct"/>
            <w:vMerge w:val="continue"/>
            <w:vAlign w:val="center"/>
          </w:tcPr>
          <w:p w14:paraId="3EE0D185">
            <w:pPr>
              <w:pStyle w:val="133"/>
              <w:rPr>
                <w:rFonts w:eastAsia="等线" w:cs="Times New Roman"/>
              </w:rPr>
            </w:pPr>
          </w:p>
        </w:tc>
        <w:tc>
          <w:tcPr>
            <w:tcW w:w="425" w:type="pct"/>
            <w:vAlign w:val="center"/>
          </w:tcPr>
          <w:p w14:paraId="51D2A366">
            <w:pPr>
              <w:pStyle w:val="133"/>
              <w:rPr>
                <w:rFonts w:eastAsia="等线" w:cs="Times New Roman"/>
              </w:rPr>
            </w:pPr>
            <w:r>
              <w:rPr>
                <w:rFonts w:hint="eastAsia" w:eastAsia="等线" w:cs="Times New Roman"/>
              </w:rPr>
              <w:t>2000</w:t>
            </w:r>
          </w:p>
        </w:tc>
        <w:tc>
          <w:tcPr>
            <w:tcW w:w="493" w:type="pct"/>
            <w:vMerge w:val="continue"/>
            <w:vAlign w:val="center"/>
          </w:tcPr>
          <w:p w14:paraId="18D34FDB">
            <w:pPr>
              <w:pStyle w:val="133"/>
              <w:rPr>
                <w:rFonts w:eastAsia="等线" w:cs="Times New Roman"/>
              </w:rPr>
            </w:pPr>
          </w:p>
        </w:tc>
      </w:tr>
      <w:tr w14:paraId="5EE88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2F23C554">
            <w:pPr>
              <w:pStyle w:val="133"/>
            </w:pPr>
          </w:p>
        </w:tc>
        <w:tc>
          <w:tcPr>
            <w:tcW w:w="431" w:type="pct"/>
            <w:vMerge w:val="continue"/>
            <w:vAlign w:val="center"/>
          </w:tcPr>
          <w:p w14:paraId="0A55E9FB">
            <w:pPr>
              <w:pStyle w:val="133"/>
            </w:pPr>
          </w:p>
        </w:tc>
        <w:tc>
          <w:tcPr>
            <w:tcW w:w="282" w:type="pct"/>
            <w:vAlign w:val="center"/>
          </w:tcPr>
          <w:p w14:paraId="1CFDFA15">
            <w:pPr>
              <w:pStyle w:val="133"/>
            </w:pPr>
            <w:r>
              <w:rPr>
                <w:rFonts w:hint="eastAsia"/>
              </w:rPr>
              <w:t>苯并芘</w:t>
            </w:r>
          </w:p>
        </w:tc>
        <w:tc>
          <w:tcPr>
            <w:tcW w:w="456" w:type="pct"/>
            <w:vMerge w:val="continue"/>
            <w:vAlign w:val="center"/>
          </w:tcPr>
          <w:p w14:paraId="566FBE6F">
            <w:pPr>
              <w:pStyle w:val="133"/>
              <w:rPr>
                <w:rFonts w:eastAsia="等线" w:cs="Times New Roman"/>
              </w:rPr>
            </w:pPr>
          </w:p>
        </w:tc>
        <w:tc>
          <w:tcPr>
            <w:tcW w:w="602" w:type="pct"/>
            <w:vAlign w:val="center"/>
          </w:tcPr>
          <w:p w14:paraId="17E99B1E">
            <w:pPr>
              <w:widowControl/>
              <w:spacing w:line="240" w:lineRule="auto"/>
              <w:ind w:firstLine="0" w:firstLineChars="0"/>
              <w:jc w:val="center"/>
              <w:rPr>
                <w:rFonts w:eastAsia="等线"/>
                <w:sz w:val="21"/>
                <w:szCs w:val="21"/>
              </w:rPr>
            </w:pPr>
            <w:r>
              <w:rPr>
                <w:rFonts w:hint="eastAsia" w:eastAsia="等线"/>
                <w:sz w:val="21"/>
                <w:szCs w:val="21"/>
              </w:rPr>
              <w:t>2.0</w:t>
            </w:r>
            <w:r>
              <w:rPr>
                <w:rFonts w:eastAsia="等线"/>
                <w:sz w:val="21"/>
                <w:szCs w:val="21"/>
              </w:rPr>
              <w:t>E-06</w:t>
            </w:r>
          </w:p>
        </w:tc>
        <w:tc>
          <w:tcPr>
            <w:tcW w:w="587" w:type="pct"/>
            <w:vAlign w:val="center"/>
          </w:tcPr>
          <w:p w14:paraId="77F08BDC">
            <w:pPr>
              <w:widowControl/>
              <w:spacing w:line="240" w:lineRule="auto"/>
              <w:ind w:firstLine="0" w:firstLineChars="0"/>
              <w:jc w:val="center"/>
              <w:rPr>
                <w:rFonts w:eastAsia="等线"/>
              </w:rPr>
            </w:pPr>
            <w:r>
              <w:rPr>
                <w:rFonts w:eastAsia="等线"/>
                <w:sz w:val="21"/>
                <w:szCs w:val="21"/>
              </w:rPr>
              <w:t>6.5E-08</w:t>
            </w:r>
          </w:p>
        </w:tc>
        <w:tc>
          <w:tcPr>
            <w:tcW w:w="463" w:type="pct"/>
            <w:vAlign w:val="center"/>
          </w:tcPr>
          <w:p w14:paraId="62327F71">
            <w:pPr>
              <w:widowControl/>
              <w:spacing w:line="240" w:lineRule="auto"/>
              <w:ind w:firstLine="0" w:firstLineChars="0"/>
              <w:jc w:val="center"/>
              <w:rPr>
                <w:rFonts w:eastAsia="等线"/>
                <w:color w:val="000000"/>
                <w:szCs w:val="21"/>
              </w:rPr>
            </w:pPr>
            <w:r>
              <w:rPr>
                <w:rFonts w:hint="eastAsia" w:eastAsia="等线"/>
                <w:color w:val="000000"/>
                <w:sz w:val="21"/>
                <w:szCs w:val="21"/>
              </w:rPr>
              <w:t>1.3</w:t>
            </w:r>
            <w:r>
              <w:rPr>
                <w:rFonts w:eastAsia="等线"/>
                <w:color w:val="000000"/>
                <w:sz w:val="21"/>
                <w:szCs w:val="21"/>
              </w:rPr>
              <w:t>E-0</w:t>
            </w:r>
            <w:r>
              <w:rPr>
                <w:rFonts w:hint="eastAsia" w:eastAsia="等线"/>
                <w:color w:val="000000"/>
                <w:sz w:val="21"/>
                <w:szCs w:val="21"/>
              </w:rPr>
              <w:t>7</w:t>
            </w:r>
          </w:p>
        </w:tc>
        <w:tc>
          <w:tcPr>
            <w:tcW w:w="411" w:type="pct"/>
            <w:vMerge w:val="continue"/>
            <w:vAlign w:val="center"/>
          </w:tcPr>
          <w:p w14:paraId="464FEA17">
            <w:pPr>
              <w:pStyle w:val="133"/>
              <w:rPr>
                <w:rFonts w:eastAsia="等线" w:cs="Times New Roman"/>
              </w:rPr>
            </w:pPr>
          </w:p>
        </w:tc>
        <w:tc>
          <w:tcPr>
            <w:tcW w:w="411" w:type="pct"/>
            <w:vMerge w:val="continue"/>
            <w:vAlign w:val="center"/>
          </w:tcPr>
          <w:p w14:paraId="02D45E9C">
            <w:pPr>
              <w:pStyle w:val="133"/>
              <w:rPr>
                <w:rFonts w:eastAsia="等线" w:cs="Times New Roman"/>
              </w:rPr>
            </w:pPr>
          </w:p>
        </w:tc>
        <w:tc>
          <w:tcPr>
            <w:tcW w:w="425" w:type="pct"/>
            <w:vAlign w:val="center"/>
          </w:tcPr>
          <w:p w14:paraId="283E2984">
            <w:pPr>
              <w:pStyle w:val="133"/>
              <w:rPr>
                <w:rFonts w:eastAsia="等线" w:cs="Times New Roman"/>
              </w:rPr>
            </w:pPr>
            <w:r>
              <w:rPr>
                <w:rFonts w:hint="eastAsia" w:eastAsia="等线" w:cs="Times New Roman"/>
              </w:rPr>
              <w:t>2000</w:t>
            </w:r>
          </w:p>
        </w:tc>
        <w:tc>
          <w:tcPr>
            <w:tcW w:w="493" w:type="pct"/>
            <w:vMerge w:val="continue"/>
            <w:vAlign w:val="center"/>
          </w:tcPr>
          <w:p w14:paraId="73CB7230">
            <w:pPr>
              <w:pStyle w:val="133"/>
              <w:rPr>
                <w:rFonts w:eastAsia="等线" w:cs="Times New Roman"/>
              </w:rPr>
            </w:pPr>
          </w:p>
        </w:tc>
      </w:tr>
      <w:tr w14:paraId="55319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1968F9C7">
            <w:pPr>
              <w:pStyle w:val="133"/>
            </w:pPr>
            <w:r>
              <w:rPr>
                <w:rFonts w:hint="eastAsia"/>
              </w:rPr>
              <w:t>DA005</w:t>
            </w:r>
          </w:p>
        </w:tc>
        <w:tc>
          <w:tcPr>
            <w:tcW w:w="431" w:type="pct"/>
            <w:vAlign w:val="center"/>
          </w:tcPr>
          <w:p w14:paraId="6B4309FA">
            <w:pPr>
              <w:pStyle w:val="133"/>
            </w:pPr>
            <w:r>
              <w:rPr>
                <w:rFonts w:hint="eastAsia"/>
              </w:rPr>
              <w:t>筛焦楼筛焦废气</w:t>
            </w:r>
          </w:p>
        </w:tc>
        <w:tc>
          <w:tcPr>
            <w:tcW w:w="282" w:type="pct"/>
            <w:vAlign w:val="center"/>
          </w:tcPr>
          <w:p w14:paraId="05E2AEFD">
            <w:pPr>
              <w:pStyle w:val="133"/>
            </w:pPr>
            <w:r>
              <w:rPr>
                <w:rFonts w:hint="eastAsia"/>
                <w:color w:val="000000"/>
                <w:szCs w:val="21"/>
              </w:rPr>
              <w:t>颗粒物</w:t>
            </w:r>
          </w:p>
        </w:tc>
        <w:tc>
          <w:tcPr>
            <w:tcW w:w="456" w:type="pct"/>
            <w:vAlign w:val="center"/>
          </w:tcPr>
          <w:p w14:paraId="645FDA6D">
            <w:pPr>
              <w:pStyle w:val="133"/>
              <w:rPr>
                <w:rFonts w:eastAsia="等线" w:cs="Times New Roman"/>
              </w:rPr>
            </w:pPr>
            <w:r>
              <w:rPr>
                <w:rFonts w:eastAsia="等线" w:cs="Times New Roman"/>
                <w:color w:val="000000"/>
                <w:szCs w:val="21"/>
              </w:rPr>
              <w:t>20000</w:t>
            </w:r>
          </w:p>
        </w:tc>
        <w:tc>
          <w:tcPr>
            <w:tcW w:w="602" w:type="pct"/>
            <w:vAlign w:val="center"/>
          </w:tcPr>
          <w:p w14:paraId="4C4B827B">
            <w:pPr>
              <w:pStyle w:val="133"/>
              <w:rPr>
                <w:rFonts w:eastAsia="等线" w:cs="Times New Roman"/>
                <w:color w:val="000000"/>
                <w:szCs w:val="21"/>
              </w:rPr>
            </w:pPr>
            <w:r>
              <w:rPr>
                <w:rFonts w:eastAsia="等线" w:cs="Times New Roman"/>
                <w:color w:val="000000"/>
                <w:szCs w:val="21"/>
              </w:rPr>
              <w:t>1.6</w:t>
            </w:r>
          </w:p>
        </w:tc>
        <w:tc>
          <w:tcPr>
            <w:tcW w:w="587" w:type="pct"/>
            <w:vAlign w:val="center"/>
          </w:tcPr>
          <w:p w14:paraId="07D97E55">
            <w:pPr>
              <w:pStyle w:val="133"/>
              <w:rPr>
                <w:rFonts w:eastAsia="等线" w:cs="Times New Roman"/>
              </w:rPr>
            </w:pPr>
            <w:r>
              <w:rPr>
                <w:rFonts w:eastAsia="等线" w:cs="Times New Roman"/>
                <w:color w:val="000000"/>
                <w:szCs w:val="21"/>
              </w:rPr>
              <w:t>0.031</w:t>
            </w:r>
          </w:p>
        </w:tc>
        <w:tc>
          <w:tcPr>
            <w:tcW w:w="463" w:type="pct"/>
            <w:vAlign w:val="center"/>
          </w:tcPr>
          <w:p w14:paraId="3DD02798">
            <w:pPr>
              <w:pStyle w:val="133"/>
              <w:rPr>
                <w:rFonts w:eastAsia="等线" w:cs="Times New Roman"/>
                <w:color w:val="000000"/>
                <w:szCs w:val="21"/>
              </w:rPr>
            </w:pPr>
            <w:r>
              <w:rPr>
                <w:rFonts w:hint="eastAsia" w:eastAsia="等线" w:cs="Times New Roman"/>
                <w:color w:val="000000"/>
                <w:szCs w:val="21"/>
              </w:rPr>
              <w:t>0.25</w:t>
            </w:r>
          </w:p>
        </w:tc>
        <w:tc>
          <w:tcPr>
            <w:tcW w:w="411" w:type="pct"/>
            <w:vAlign w:val="center"/>
          </w:tcPr>
          <w:p w14:paraId="758BCC34">
            <w:pPr>
              <w:pStyle w:val="133"/>
              <w:rPr>
                <w:rFonts w:eastAsia="等线" w:cs="Times New Roman"/>
              </w:rPr>
            </w:pPr>
            <w:r>
              <w:rPr>
                <w:rFonts w:hint="eastAsia" w:eastAsia="等线" w:cs="Times New Roman"/>
              </w:rPr>
              <w:t>15</w:t>
            </w:r>
          </w:p>
        </w:tc>
        <w:tc>
          <w:tcPr>
            <w:tcW w:w="411" w:type="pct"/>
            <w:vAlign w:val="center"/>
          </w:tcPr>
          <w:p w14:paraId="0F25ECDE">
            <w:pPr>
              <w:pStyle w:val="133"/>
              <w:rPr>
                <w:rFonts w:eastAsia="等线" w:cs="Times New Roman"/>
              </w:rPr>
            </w:pPr>
            <w:r>
              <w:rPr>
                <w:rFonts w:hint="eastAsia" w:eastAsia="等线" w:cs="Times New Roman"/>
              </w:rPr>
              <w:t>0.8</w:t>
            </w:r>
          </w:p>
        </w:tc>
        <w:tc>
          <w:tcPr>
            <w:tcW w:w="425" w:type="pct"/>
            <w:vAlign w:val="center"/>
          </w:tcPr>
          <w:p w14:paraId="3CFCAB6F">
            <w:pPr>
              <w:pStyle w:val="133"/>
              <w:rPr>
                <w:rFonts w:eastAsia="等线" w:cs="Times New Roman"/>
              </w:rPr>
            </w:pPr>
            <w:r>
              <w:rPr>
                <w:rFonts w:hint="eastAsia" w:eastAsia="等线" w:cs="Times New Roman"/>
              </w:rPr>
              <w:t>7920</w:t>
            </w:r>
          </w:p>
        </w:tc>
        <w:tc>
          <w:tcPr>
            <w:tcW w:w="493" w:type="pct"/>
            <w:vAlign w:val="center"/>
          </w:tcPr>
          <w:p w14:paraId="4449904C">
            <w:pPr>
              <w:pStyle w:val="133"/>
              <w:rPr>
                <w:rFonts w:eastAsia="等线" w:cs="Times New Roman"/>
              </w:rPr>
            </w:pPr>
            <w:r>
              <w:rPr>
                <w:rFonts w:hint="eastAsia" w:eastAsia="等线" w:cs="Times New Roman"/>
              </w:rPr>
              <w:t>30</w:t>
            </w:r>
          </w:p>
        </w:tc>
      </w:tr>
      <w:tr w14:paraId="5F6CA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restart"/>
            <w:vAlign w:val="center"/>
          </w:tcPr>
          <w:p w14:paraId="6BA168B4">
            <w:pPr>
              <w:pStyle w:val="133"/>
            </w:pPr>
            <w:r>
              <w:rPr>
                <w:rFonts w:hint="eastAsia"/>
              </w:rPr>
              <w:t>DA004</w:t>
            </w:r>
          </w:p>
        </w:tc>
        <w:tc>
          <w:tcPr>
            <w:tcW w:w="431" w:type="pct"/>
            <w:vMerge w:val="restart"/>
            <w:vAlign w:val="center"/>
          </w:tcPr>
          <w:p w14:paraId="2A3AA605">
            <w:pPr>
              <w:pStyle w:val="133"/>
            </w:pPr>
            <w:r>
              <w:rPr>
                <w:rFonts w:hint="eastAsia"/>
              </w:rPr>
              <w:t>兰炭烘干废气</w:t>
            </w:r>
          </w:p>
        </w:tc>
        <w:tc>
          <w:tcPr>
            <w:tcW w:w="282" w:type="pct"/>
            <w:vAlign w:val="center"/>
          </w:tcPr>
          <w:p w14:paraId="26FFE58F">
            <w:pPr>
              <w:pStyle w:val="133"/>
            </w:pPr>
            <w:r>
              <w:rPr>
                <w:rFonts w:hint="eastAsia"/>
                <w:color w:val="000000"/>
                <w:szCs w:val="21"/>
              </w:rPr>
              <w:t>颗粒物</w:t>
            </w:r>
          </w:p>
        </w:tc>
        <w:tc>
          <w:tcPr>
            <w:tcW w:w="456" w:type="pct"/>
            <w:vMerge w:val="restart"/>
            <w:vAlign w:val="center"/>
          </w:tcPr>
          <w:p w14:paraId="42166D53">
            <w:pPr>
              <w:pStyle w:val="133"/>
              <w:rPr>
                <w:rFonts w:eastAsia="等线" w:cs="Times New Roman"/>
              </w:rPr>
            </w:pPr>
            <w:r>
              <w:rPr>
                <w:rFonts w:eastAsia="等线" w:cs="Times New Roman"/>
                <w:color w:val="000000"/>
                <w:szCs w:val="21"/>
              </w:rPr>
              <w:t>30637</w:t>
            </w:r>
          </w:p>
        </w:tc>
        <w:tc>
          <w:tcPr>
            <w:tcW w:w="602" w:type="pct"/>
            <w:vAlign w:val="center"/>
          </w:tcPr>
          <w:p w14:paraId="716CE2D7">
            <w:pPr>
              <w:pStyle w:val="133"/>
              <w:rPr>
                <w:rFonts w:eastAsia="等线" w:cs="Times New Roman"/>
                <w:color w:val="000000"/>
                <w:szCs w:val="21"/>
              </w:rPr>
            </w:pPr>
            <w:r>
              <w:rPr>
                <w:rFonts w:eastAsia="等线" w:cs="Times New Roman"/>
                <w:color w:val="000000"/>
                <w:szCs w:val="21"/>
              </w:rPr>
              <w:t>1.3</w:t>
            </w:r>
          </w:p>
        </w:tc>
        <w:tc>
          <w:tcPr>
            <w:tcW w:w="587" w:type="pct"/>
            <w:vAlign w:val="center"/>
          </w:tcPr>
          <w:p w14:paraId="79473C33">
            <w:pPr>
              <w:pStyle w:val="133"/>
              <w:rPr>
                <w:rFonts w:eastAsia="等线" w:cs="Times New Roman"/>
              </w:rPr>
            </w:pPr>
            <w:r>
              <w:rPr>
                <w:rFonts w:eastAsia="等线" w:cs="Times New Roman"/>
                <w:color w:val="000000"/>
                <w:szCs w:val="21"/>
              </w:rPr>
              <w:t>0.0</w:t>
            </w:r>
            <w:r>
              <w:rPr>
                <w:rFonts w:hint="eastAsia" w:eastAsia="等线" w:cs="Times New Roman"/>
                <w:color w:val="000000"/>
                <w:szCs w:val="21"/>
              </w:rPr>
              <w:t>39</w:t>
            </w:r>
          </w:p>
        </w:tc>
        <w:tc>
          <w:tcPr>
            <w:tcW w:w="463" w:type="pct"/>
            <w:vAlign w:val="center"/>
          </w:tcPr>
          <w:p w14:paraId="3CDD7886">
            <w:pPr>
              <w:pStyle w:val="133"/>
              <w:rPr>
                <w:rFonts w:eastAsia="等线" w:cs="Times New Roman"/>
                <w:color w:val="000000"/>
                <w:szCs w:val="21"/>
              </w:rPr>
            </w:pPr>
            <w:r>
              <w:rPr>
                <w:rFonts w:hint="eastAsia" w:eastAsia="等线" w:cs="Times New Roman"/>
                <w:color w:val="000000"/>
                <w:szCs w:val="21"/>
              </w:rPr>
              <w:t>0.31</w:t>
            </w:r>
          </w:p>
        </w:tc>
        <w:tc>
          <w:tcPr>
            <w:tcW w:w="411" w:type="pct"/>
            <w:vMerge w:val="restart"/>
            <w:vAlign w:val="center"/>
          </w:tcPr>
          <w:p w14:paraId="17657A3C">
            <w:pPr>
              <w:pStyle w:val="133"/>
              <w:rPr>
                <w:rFonts w:eastAsia="等线" w:cs="Times New Roman"/>
              </w:rPr>
            </w:pPr>
            <w:r>
              <w:rPr>
                <w:rFonts w:hint="eastAsia" w:eastAsia="等线" w:cs="Times New Roman"/>
              </w:rPr>
              <w:t>25</w:t>
            </w:r>
          </w:p>
        </w:tc>
        <w:tc>
          <w:tcPr>
            <w:tcW w:w="411" w:type="pct"/>
            <w:vMerge w:val="restart"/>
            <w:vAlign w:val="center"/>
          </w:tcPr>
          <w:p w14:paraId="2B0F0333">
            <w:pPr>
              <w:pStyle w:val="133"/>
              <w:rPr>
                <w:rFonts w:eastAsia="等线" w:cs="Times New Roman"/>
              </w:rPr>
            </w:pPr>
            <w:r>
              <w:rPr>
                <w:rFonts w:hint="eastAsia" w:eastAsia="等线" w:cs="Times New Roman"/>
              </w:rPr>
              <w:t>1.4</w:t>
            </w:r>
          </w:p>
        </w:tc>
        <w:tc>
          <w:tcPr>
            <w:tcW w:w="425" w:type="pct"/>
            <w:vAlign w:val="center"/>
          </w:tcPr>
          <w:p w14:paraId="79FA863A">
            <w:pPr>
              <w:pStyle w:val="133"/>
              <w:rPr>
                <w:rFonts w:eastAsia="等线" w:cs="Times New Roman"/>
              </w:rPr>
            </w:pPr>
            <w:r>
              <w:rPr>
                <w:rFonts w:hint="eastAsia" w:eastAsia="等线" w:cs="Times New Roman"/>
              </w:rPr>
              <w:t>7920</w:t>
            </w:r>
          </w:p>
        </w:tc>
        <w:tc>
          <w:tcPr>
            <w:tcW w:w="493" w:type="pct"/>
            <w:vMerge w:val="restart"/>
            <w:vAlign w:val="center"/>
          </w:tcPr>
          <w:p w14:paraId="1AFC62F2">
            <w:pPr>
              <w:pStyle w:val="133"/>
              <w:rPr>
                <w:rFonts w:eastAsia="等线" w:cs="Times New Roman"/>
              </w:rPr>
            </w:pPr>
            <w:r>
              <w:rPr>
                <w:rFonts w:hint="eastAsia" w:eastAsia="等线" w:cs="Times New Roman"/>
              </w:rPr>
              <w:t>70</w:t>
            </w:r>
          </w:p>
        </w:tc>
      </w:tr>
      <w:tr w14:paraId="6A0AA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67064D7A">
            <w:pPr>
              <w:pStyle w:val="133"/>
            </w:pPr>
          </w:p>
        </w:tc>
        <w:tc>
          <w:tcPr>
            <w:tcW w:w="431" w:type="pct"/>
            <w:vMerge w:val="continue"/>
            <w:vAlign w:val="center"/>
          </w:tcPr>
          <w:p w14:paraId="77D721E6">
            <w:pPr>
              <w:pStyle w:val="133"/>
            </w:pPr>
          </w:p>
        </w:tc>
        <w:tc>
          <w:tcPr>
            <w:tcW w:w="282" w:type="pct"/>
            <w:vAlign w:val="center"/>
          </w:tcPr>
          <w:p w14:paraId="133C79EE">
            <w:pPr>
              <w:pStyle w:val="133"/>
            </w:pPr>
            <w:r>
              <w:rPr>
                <w:rFonts w:hint="eastAsia"/>
                <w:color w:val="000000"/>
                <w:szCs w:val="21"/>
              </w:rPr>
              <w:t>SO</w:t>
            </w:r>
            <w:r>
              <w:rPr>
                <w:rFonts w:hint="eastAsia"/>
                <w:color w:val="000000"/>
                <w:szCs w:val="21"/>
                <w:vertAlign w:val="subscript"/>
              </w:rPr>
              <w:t>2</w:t>
            </w:r>
          </w:p>
        </w:tc>
        <w:tc>
          <w:tcPr>
            <w:tcW w:w="456" w:type="pct"/>
            <w:vMerge w:val="continue"/>
            <w:vAlign w:val="center"/>
          </w:tcPr>
          <w:p w14:paraId="121E5F3A">
            <w:pPr>
              <w:pStyle w:val="133"/>
              <w:rPr>
                <w:rFonts w:eastAsia="等线" w:cs="Times New Roman"/>
              </w:rPr>
            </w:pPr>
          </w:p>
        </w:tc>
        <w:tc>
          <w:tcPr>
            <w:tcW w:w="602" w:type="pct"/>
            <w:vAlign w:val="center"/>
          </w:tcPr>
          <w:p w14:paraId="3237FDA7">
            <w:pPr>
              <w:pStyle w:val="133"/>
              <w:rPr>
                <w:rFonts w:eastAsia="等线" w:cs="Times New Roman"/>
                <w:color w:val="000000"/>
                <w:szCs w:val="21"/>
              </w:rPr>
            </w:pPr>
            <w:r>
              <w:rPr>
                <w:rFonts w:eastAsia="等线" w:cs="Times New Roman"/>
                <w:color w:val="000000"/>
                <w:szCs w:val="21"/>
              </w:rPr>
              <w:t>2.0</w:t>
            </w:r>
          </w:p>
        </w:tc>
        <w:tc>
          <w:tcPr>
            <w:tcW w:w="587" w:type="pct"/>
            <w:vAlign w:val="center"/>
          </w:tcPr>
          <w:p w14:paraId="290AB162">
            <w:pPr>
              <w:pStyle w:val="133"/>
              <w:rPr>
                <w:rFonts w:eastAsia="等线" w:cs="Times New Roman"/>
              </w:rPr>
            </w:pPr>
            <w:r>
              <w:rPr>
                <w:rFonts w:eastAsia="等线" w:cs="Times New Roman"/>
                <w:color w:val="000000"/>
                <w:szCs w:val="21"/>
              </w:rPr>
              <w:t>0.061</w:t>
            </w:r>
          </w:p>
        </w:tc>
        <w:tc>
          <w:tcPr>
            <w:tcW w:w="463" w:type="pct"/>
            <w:vAlign w:val="center"/>
          </w:tcPr>
          <w:p w14:paraId="1A43BB8B">
            <w:pPr>
              <w:pStyle w:val="133"/>
              <w:rPr>
                <w:rFonts w:eastAsia="等线" w:cs="Times New Roman"/>
                <w:color w:val="000000"/>
                <w:szCs w:val="21"/>
              </w:rPr>
            </w:pPr>
            <w:r>
              <w:rPr>
                <w:rFonts w:hint="eastAsia" w:eastAsia="等线" w:cs="Times New Roman"/>
                <w:color w:val="000000"/>
                <w:szCs w:val="21"/>
              </w:rPr>
              <w:t>0.48</w:t>
            </w:r>
          </w:p>
        </w:tc>
        <w:tc>
          <w:tcPr>
            <w:tcW w:w="411" w:type="pct"/>
            <w:vMerge w:val="continue"/>
            <w:vAlign w:val="center"/>
          </w:tcPr>
          <w:p w14:paraId="337E8D27">
            <w:pPr>
              <w:pStyle w:val="133"/>
              <w:rPr>
                <w:rFonts w:eastAsia="等线" w:cs="Times New Roman"/>
              </w:rPr>
            </w:pPr>
          </w:p>
        </w:tc>
        <w:tc>
          <w:tcPr>
            <w:tcW w:w="411" w:type="pct"/>
            <w:vMerge w:val="continue"/>
            <w:vAlign w:val="center"/>
          </w:tcPr>
          <w:p w14:paraId="18F9D9DA">
            <w:pPr>
              <w:pStyle w:val="133"/>
              <w:rPr>
                <w:rFonts w:eastAsia="等线" w:cs="Times New Roman"/>
              </w:rPr>
            </w:pPr>
          </w:p>
        </w:tc>
        <w:tc>
          <w:tcPr>
            <w:tcW w:w="425" w:type="pct"/>
            <w:vAlign w:val="center"/>
          </w:tcPr>
          <w:p w14:paraId="44273B04">
            <w:pPr>
              <w:pStyle w:val="133"/>
              <w:rPr>
                <w:rFonts w:eastAsia="等线" w:cs="Times New Roman"/>
              </w:rPr>
            </w:pPr>
            <w:r>
              <w:rPr>
                <w:rFonts w:hint="eastAsia" w:eastAsia="等线" w:cs="Times New Roman"/>
              </w:rPr>
              <w:t>7920</w:t>
            </w:r>
          </w:p>
        </w:tc>
        <w:tc>
          <w:tcPr>
            <w:tcW w:w="493" w:type="pct"/>
            <w:vMerge w:val="continue"/>
            <w:vAlign w:val="center"/>
          </w:tcPr>
          <w:p w14:paraId="300FD27C">
            <w:pPr>
              <w:pStyle w:val="133"/>
              <w:rPr>
                <w:rFonts w:eastAsia="等线" w:cs="Times New Roman"/>
              </w:rPr>
            </w:pPr>
          </w:p>
        </w:tc>
      </w:tr>
      <w:tr w14:paraId="0BD66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354A51D5">
            <w:pPr>
              <w:pStyle w:val="133"/>
            </w:pPr>
          </w:p>
        </w:tc>
        <w:tc>
          <w:tcPr>
            <w:tcW w:w="431" w:type="pct"/>
            <w:vMerge w:val="continue"/>
            <w:vAlign w:val="center"/>
          </w:tcPr>
          <w:p w14:paraId="7F322447">
            <w:pPr>
              <w:pStyle w:val="133"/>
            </w:pPr>
          </w:p>
        </w:tc>
        <w:tc>
          <w:tcPr>
            <w:tcW w:w="282" w:type="pct"/>
            <w:vAlign w:val="center"/>
          </w:tcPr>
          <w:p w14:paraId="41A6B812">
            <w:pPr>
              <w:pStyle w:val="133"/>
            </w:pPr>
            <w:r>
              <w:rPr>
                <w:rFonts w:hint="eastAsia"/>
                <w:color w:val="000000"/>
                <w:szCs w:val="21"/>
              </w:rPr>
              <w:t>NOx</w:t>
            </w:r>
          </w:p>
        </w:tc>
        <w:tc>
          <w:tcPr>
            <w:tcW w:w="456" w:type="pct"/>
            <w:vMerge w:val="continue"/>
            <w:vAlign w:val="center"/>
          </w:tcPr>
          <w:p w14:paraId="33F0632E">
            <w:pPr>
              <w:pStyle w:val="133"/>
              <w:rPr>
                <w:rFonts w:eastAsia="等线" w:cs="Times New Roman"/>
              </w:rPr>
            </w:pPr>
          </w:p>
        </w:tc>
        <w:tc>
          <w:tcPr>
            <w:tcW w:w="602" w:type="pct"/>
            <w:vAlign w:val="center"/>
          </w:tcPr>
          <w:p w14:paraId="2819B0FB">
            <w:pPr>
              <w:pStyle w:val="133"/>
              <w:rPr>
                <w:rFonts w:eastAsia="等线" w:cs="Times New Roman"/>
                <w:color w:val="000000"/>
                <w:szCs w:val="21"/>
              </w:rPr>
            </w:pPr>
            <w:r>
              <w:rPr>
                <w:rFonts w:eastAsia="等线" w:cs="Times New Roman"/>
                <w:color w:val="000000"/>
                <w:szCs w:val="21"/>
              </w:rPr>
              <w:t>117.8</w:t>
            </w:r>
          </w:p>
        </w:tc>
        <w:tc>
          <w:tcPr>
            <w:tcW w:w="587" w:type="pct"/>
            <w:vAlign w:val="center"/>
          </w:tcPr>
          <w:p w14:paraId="7CA75BC8">
            <w:pPr>
              <w:pStyle w:val="133"/>
              <w:rPr>
                <w:rFonts w:eastAsia="等线" w:cs="Times New Roman"/>
              </w:rPr>
            </w:pPr>
            <w:r>
              <w:rPr>
                <w:rFonts w:eastAsia="等线" w:cs="Times New Roman"/>
                <w:color w:val="000000"/>
                <w:szCs w:val="21"/>
              </w:rPr>
              <w:t>3.61</w:t>
            </w:r>
          </w:p>
        </w:tc>
        <w:tc>
          <w:tcPr>
            <w:tcW w:w="463" w:type="pct"/>
            <w:vAlign w:val="center"/>
          </w:tcPr>
          <w:p w14:paraId="3B78F640">
            <w:pPr>
              <w:pStyle w:val="133"/>
              <w:rPr>
                <w:rFonts w:eastAsia="等线" w:cs="Times New Roman"/>
                <w:color w:val="000000"/>
                <w:szCs w:val="21"/>
              </w:rPr>
            </w:pPr>
            <w:r>
              <w:rPr>
                <w:rFonts w:hint="eastAsia" w:eastAsia="等线" w:cs="Times New Roman"/>
                <w:color w:val="000000"/>
                <w:szCs w:val="21"/>
              </w:rPr>
              <w:t>28.59</w:t>
            </w:r>
          </w:p>
        </w:tc>
        <w:tc>
          <w:tcPr>
            <w:tcW w:w="411" w:type="pct"/>
            <w:vMerge w:val="continue"/>
            <w:vAlign w:val="center"/>
          </w:tcPr>
          <w:p w14:paraId="2A8BD2FD">
            <w:pPr>
              <w:pStyle w:val="133"/>
              <w:rPr>
                <w:rFonts w:eastAsia="等线" w:cs="Times New Roman"/>
              </w:rPr>
            </w:pPr>
          </w:p>
        </w:tc>
        <w:tc>
          <w:tcPr>
            <w:tcW w:w="411" w:type="pct"/>
            <w:vMerge w:val="continue"/>
            <w:vAlign w:val="center"/>
          </w:tcPr>
          <w:p w14:paraId="5129F04D">
            <w:pPr>
              <w:pStyle w:val="133"/>
              <w:rPr>
                <w:rFonts w:eastAsia="等线" w:cs="Times New Roman"/>
              </w:rPr>
            </w:pPr>
          </w:p>
        </w:tc>
        <w:tc>
          <w:tcPr>
            <w:tcW w:w="425" w:type="pct"/>
            <w:vAlign w:val="center"/>
          </w:tcPr>
          <w:p w14:paraId="50F4A33F">
            <w:pPr>
              <w:pStyle w:val="133"/>
              <w:rPr>
                <w:rFonts w:eastAsia="等线" w:cs="Times New Roman"/>
              </w:rPr>
            </w:pPr>
            <w:r>
              <w:rPr>
                <w:rFonts w:hint="eastAsia" w:eastAsia="等线" w:cs="Times New Roman"/>
              </w:rPr>
              <w:t>7920</w:t>
            </w:r>
          </w:p>
        </w:tc>
        <w:tc>
          <w:tcPr>
            <w:tcW w:w="493" w:type="pct"/>
            <w:vMerge w:val="continue"/>
            <w:vAlign w:val="center"/>
          </w:tcPr>
          <w:p w14:paraId="54278998">
            <w:pPr>
              <w:pStyle w:val="133"/>
              <w:rPr>
                <w:rFonts w:eastAsia="等线" w:cs="Times New Roman"/>
              </w:rPr>
            </w:pPr>
          </w:p>
        </w:tc>
      </w:tr>
      <w:tr w14:paraId="55E1E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3A47286F">
            <w:pPr>
              <w:pStyle w:val="133"/>
            </w:pPr>
            <w:r>
              <w:rPr>
                <w:rFonts w:hint="eastAsia"/>
              </w:rPr>
              <w:t>DA003</w:t>
            </w:r>
          </w:p>
        </w:tc>
        <w:tc>
          <w:tcPr>
            <w:tcW w:w="431" w:type="pct"/>
            <w:vAlign w:val="center"/>
          </w:tcPr>
          <w:p w14:paraId="56E6F986">
            <w:pPr>
              <w:pStyle w:val="133"/>
            </w:pPr>
            <w:r>
              <w:rPr>
                <w:rFonts w:hint="eastAsia"/>
              </w:rPr>
              <w:t>兰炭筛分废气</w:t>
            </w:r>
          </w:p>
        </w:tc>
        <w:tc>
          <w:tcPr>
            <w:tcW w:w="282" w:type="pct"/>
            <w:vAlign w:val="center"/>
          </w:tcPr>
          <w:p w14:paraId="75FF634A">
            <w:pPr>
              <w:pStyle w:val="133"/>
            </w:pPr>
            <w:r>
              <w:rPr>
                <w:rFonts w:hint="eastAsia"/>
                <w:color w:val="000000"/>
                <w:szCs w:val="21"/>
              </w:rPr>
              <w:t>颗粒物</w:t>
            </w:r>
          </w:p>
        </w:tc>
        <w:tc>
          <w:tcPr>
            <w:tcW w:w="456" w:type="pct"/>
            <w:vAlign w:val="center"/>
          </w:tcPr>
          <w:p w14:paraId="61911760">
            <w:pPr>
              <w:pStyle w:val="133"/>
              <w:rPr>
                <w:rFonts w:eastAsia="等线" w:cs="Times New Roman"/>
              </w:rPr>
            </w:pPr>
            <w:r>
              <w:rPr>
                <w:rFonts w:eastAsia="等线" w:cs="Times New Roman"/>
                <w:color w:val="000000"/>
                <w:szCs w:val="21"/>
              </w:rPr>
              <w:t>18906</w:t>
            </w:r>
          </w:p>
        </w:tc>
        <w:tc>
          <w:tcPr>
            <w:tcW w:w="602" w:type="pct"/>
            <w:vAlign w:val="center"/>
          </w:tcPr>
          <w:p w14:paraId="163AA3B5">
            <w:pPr>
              <w:pStyle w:val="133"/>
              <w:rPr>
                <w:rFonts w:eastAsia="等线" w:cs="Times New Roman"/>
                <w:color w:val="000000"/>
                <w:szCs w:val="21"/>
              </w:rPr>
            </w:pPr>
            <w:r>
              <w:rPr>
                <w:rFonts w:eastAsia="等线" w:cs="Times New Roman"/>
                <w:color w:val="000000"/>
                <w:szCs w:val="21"/>
              </w:rPr>
              <w:t>13.1</w:t>
            </w:r>
          </w:p>
        </w:tc>
        <w:tc>
          <w:tcPr>
            <w:tcW w:w="587" w:type="pct"/>
            <w:vAlign w:val="center"/>
          </w:tcPr>
          <w:p w14:paraId="62A70475">
            <w:pPr>
              <w:pStyle w:val="133"/>
              <w:rPr>
                <w:rFonts w:eastAsia="等线" w:cs="Times New Roman"/>
              </w:rPr>
            </w:pPr>
            <w:r>
              <w:rPr>
                <w:rFonts w:eastAsia="等线" w:cs="Times New Roman"/>
                <w:color w:val="000000"/>
                <w:szCs w:val="21"/>
              </w:rPr>
              <w:t>0.247</w:t>
            </w:r>
          </w:p>
        </w:tc>
        <w:tc>
          <w:tcPr>
            <w:tcW w:w="463" w:type="pct"/>
            <w:vAlign w:val="center"/>
          </w:tcPr>
          <w:p w14:paraId="3C62F510">
            <w:pPr>
              <w:pStyle w:val="133"/>
              <w:rPr>
                <w:rFonts w:eastAsia="等线" w:cs="Times New Roman"/>
                <w:color w:val="000000"/>
                <w:szCs w:val="21"/>
              </w:rPr>
            </w:pPr>
            <w:r>
              <w:rPr>
                <w:rFonts w:hint="eastAsia" w:eastAsia="等线" w:cs="Times New Roman"/>
                <w:color w:val="000000"/>
                <w:szCs w:val="21"/>
              </w:rPr>
              <w:t>1.96</w:t>
            </w:r>
          </w:p>
        </w:tc>
        <w:tc>
          <w:tcPr>
            <w:tcW w:w="411" w:type="pct"/>
            <w:vAlign w:val="center"/>
          </w:tcPr>
          <w:p w14:paraId="3B604A9E">
            <w:pPr>
              <w:pStyle w:val="133"/>
              <w:rPr>
                <w:rFonts w:eastAsia="等线" w:cs="Times New Roman"/>
              </w:rPr>
            </w:pPr>
            <w:r>
              <w:rPr>
                <w:rFonts w:hint="eastAsia" w:eastAsia="等线" w:cs="Times New Roman"/>
              </w:rPr>
              <w:t>15</w:t>
            </w:r>
          </w:p>
        </w:tc>
        <w:tc>
          <w:tcPr>
            <w:tcW w:w="411" w:type="pct"/>
            <w:vAlign w:val="center"/>
          </w:tcPr>
          <w:p w14:paraId="781B6723">
            <w:pPr>
              <w:pStyle w:val="133"/>
              <w:rPr>
                <w:rFonts w:eastAsia="等线" w:cs="Times New Roman"/>
              </w:rPr>
            </w:pPr>
            <w:r>
              <w:rPr>
                <w:rFonts w:hint="eastAsia" w:eastAsia="等线" w:cs="Times New Roman"/>
              </w:rPr>
              <w:t>0.8</w:t>
            </w:r>
          </w:p>
        </w:tc>
        <w:tc>
          <w:tcPr>
            <w:tcW w:w="425" w:type="pct"/>
            <w:vAlign w:val="center"/>
          </w:tcPr>
          <w:p w14:paraId="4E509E74">
            <w:pPr>
              <w:pStyle w:val="133"/>
              <w:rPr>
                <w:rFonts w:eastAsia="等线" w:cs="Times New Roman"/>
              </w:rPr>
            </w:pPr>
            <w:r>
              <w:rPr>
                <w:rFonts w:hint="eastAsia" w:eastAsia="等线" w:cs="Times New Roman"/>
              </w:rPr>
              <w:t>7920</w:t>
            </w:r>
          </w:p>
        </w:tc>
        <w:tc>
          <w:tcPr>
            <w:tcW w:w="493" w:type="pct"/>
            <w:vAlign w:val="center"/>
          </w:tcPr>
          <w:p w14:paraId="05DBA1FC">
            <w:pPr>
              <w:pStyle w:val="133"/>
              <w:rPr>
                <w:rFonts w:eastAsia="等线" w:cs="Times New Roman"/>
              </w:rPr>
            </w:pPr>
            <w:r>
              <w:rPr>
                <w:rFonts w:hint="eastAsia" w:eastAsia="等线" w:cs="Times New Roman"/>
              </w:rPr>
              <w:t>40</w:t>
            </w:r>
          </w:p>
        </w:tc>
      </w:tr>
      <w:tr w14:paraId="2F401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572209F2">
            <w:pPr>
              <w:pStyle w:val="133"/>
            </w:pPr>
            <w:r>
              <w:rPr>
                <w:rFonts w:hint="eastAsia"/>
              </w:rPr>
              <w:t>/</w:t>
            </w:r>
          </w:p>
        </w:tc>
        <w:tc>
          <w:tcPr>
            <w:tcW w:w="431" w:type="pct"/>
            <w:vAlign w:val="center"/>
          </w:tcPr>
          <w:p w14:paraId="4FE47D80">
            <w:pPr>
              <w:pStyle w:val="133"/>
            </w:pPr>
            <w:r>
              <w:rPr>
                <w:rFonts w:hint="eastAsia"/>
              </w:rPr>
              <w:t>在建筛分间备煤上料废气</w:t>
            </w:r>
          </w:p>
        </w:tc>
        <w:tc>
          <w:tcPr>
            <w:tcW w:w="282" w:type="pct"/>
            <w:vAlign w:val="center"/>
          </w:tcPr>
          <w:p w14:paraId="0BAF899F">
            <w:pPr>
              <w:pStyle w:val="133"/>
              <w:rPr>
                <w:color w:val="000000"/>
                <w:szCs w:val="21"/>
              </w:rPr>
            </w:pPr>
            <w:r>
              <w:rPr>
                <w:rFonts w:hint="eastAsia"/>
                <w:color w:val="000000"/>
                <w:szCs w:val="21"/>
              </w:rPr>
              <w:t>颗粒物</w:t>
            </w:r>
          </w:p>
        </w:tc>
        <w:tc>
          <w:tcPr>
            <w:tcW w:w="456" w:type="pct"/>
            <w:vAlign w:val="center"/>
          </w:tcPr>
          <w:p w14:paraId="683F3E60">
            <w:pPr>
              <w:pStyle w:val="133"/>
              <w:rPr>
                <w:rFonts w:eastAsia="等线" w:cs="Times New Roman"/>
                <w:color w:val="000000"/>
                <w:szCs w:val="21"/>
              </w:rPr>
            </w:pPr>
            <w:r>
              <w:rPr>
                <w:rFonts w:eastAsia="等线" w:cs="Times New Roman"/>
                <w:color w:val="000000"/>
                <w:szCs w:val="21"/>
              </w:rPr>
              <w:t>21756</w:t>
            </w:r>
          </w:p>
        </w:tc>
        <w:tc>
          <w:tcPr>
            <w:tcW w:w="602" w:type="pct"/>
            <w:vAlign w:val="center"/>
          </w:tcPr>
          <w:p w14:paraId="5D48C9C1">
            <w:pPr>
              <w:pStyle w:val="133"/>
              <w:rPr>
                <w:rFonts w:eastAsia="等线" w:cs="Times New Roman"/>
                <w:color w:val="000000"/>
                <w:szCs w:val="21"/>
              </w:rPr>
            </w:pPr>
            <w:r>
              <w:rPr>
                <w:rFonts w:eastAsia="等线" w:cs="Times New Roman"/>
                <w:color w:val="000000"/>
                <w:szCs w:val="21"/>
              </w:rPr>
              <w:t>1.0</w:t>
            </w:r>
          </w:p>
        </w:tc>
        <w:tc>
          <w:tcPr>
            <w:tcW w:w="587" w:type="pct"/>
            <w:vAlign w:val="center"/>
          </w:tcPr>
          <w:p w14:paraId="4C70EBFF">
            <w:pPr>
              <w:pStyle w:val="133"/>
              <w:rPr>
                <w:rFonts w:eastAsia="等线" w:cs="Times New Roman"/>
                <w:color w:val="000000"/>
                <w:szCs w:val="21"/>
              </w:rPr>
            </w:pPr>
            <w:r>
              <w:rPr>
                <w:rFonts w:eastAsia="等线" w:cs="Times New Roman"/>
                <w:color w:val="000000"/>
                <w:szCs w:val="21"/>
              </w:rPr>
              <w:t>0.02</w:t>
            </w:r>
            <w:r>
              <w:rPr>
                <w:rFonts w:hint="eastAsia" w:eastAsia="等线" w:cs="Times New Roman"/>
                <w:color w:val="000000"/>
                <w:szCs w:val="21"/>
              </w:rPr>
              <w:t>2</w:t>
            </w:r>
          </w:p>
        </w:tc>
        <w:tc>
          <w:tcPr>
            <w:tcW w:w="463" w:type="pct"/>
            <w:vAlign w:val="center"/>
          </w:tcPr>
          <w:p w14:paraId="231A6B48">
            <w:pPr>
              <w:pStyle w:val="133"/>
              <w:rPr>
                <w:rFonts w:eastAsia="等线" w:cs="Times New Roman"/>
                <w:color w:val="000000"/>
                <w:szCs w:val="21"/>
              </w:rPr>
            </w:pPr>
            <w:r>
              <w:rPr>
                <w:rFonts w:hint="eastAsia" w:eastAsia="等线" w:cs="Times New Roman"/>
                <w:color w:val="000000"/>
                <w:szCs w:val="21"/>
              </w:rPr>
              <w:t>0.17</w:t>
            </w:r>
          </w:p>
        </w:tc>
        <w:tc>
          <w:tcPr>
            <w:tcW w:w="411" w:type="pct"/>
            <w:vAlign w:val="center"/>
          </w:tcPr>
          <w:p w14:paraId="4792743C">
            <w:pPr>
              <w:pStyle w:val="133"/>
              <w:rPr>
                <w:rFonts w:eastAsia="等线" w:cs="Times New Roman"/>
              </w:rPr>
            </w:pPr>
            <w:r>
              <w:rPr>
                <w:rFonts w:hint="eastAsia" w:eastAsia="等线" w:cs="Times New Roman"/>
              </w:rPr>
              <w:t>30</w:t>
            </w:r>
          </w:p>
        </w:tc>
        <w:tc>
          <w:tcPr>
            <w:tcW w:w="411" w:type="pct"/>
            <w:vAlign w:val="center"/>
          </w:tcPr>
          <w:p w14:paraId="5881FBC9">
            <w:pPr>
              <w:pStyle w:val="133"/>
              <w:rPr>
                <w:rFonts w:eastAsia="等线" w:cs="Times New Roman"/>
              </w:rPr>
            </w:pPr>
            <w:r>
              <w:rPr>
                <w:rFonts w:hint="eastAsia" w:eastAsia="等线" w:cs="Times New Roman"/>
              </w:rPr>
              <w:t>1.5</w:t>
            </w:r>
          </w:p>
        </w:tc>
        <w:tc>
          <w:tcPr>
            <w:tcW w:w="425" w:type="pct"/>
            <w:vAlign w:val="center"/>
          </w:tcPr>
          <w:p w14:paraId="0DA52DA2">
            <w:pPr>
              <w:pStyle w:val="133"/>
              <w:rPr>
                <w:rFonts w:eastAsia="等线" w:cs="Times New Roman"/>
              </w:rPr>
            </w:pPr>
            <w:r>
              <w:rPr>
                <w:rFonts w:hint="eastAsia" w:eastAsia="等线" w:cs="Times New Roman"/>
              </w:rPr>
              <w:t>7920</w:t>
            </w:r>
          </w:p>
        </w:tc>
        <w:tc>
          <w:tcPr>
            <w:tcW w:w="493" w:type="pct"/>
            <w:vAlign w:val="center"/>
          </w:tcPr>
          <w:p w14:paraId="14D44AA3">
            <w:pPr>
              <w:pStyle w:val="133"/>
              <w:rPr>
                <w:rFonts w:eastAsia="等线" w:cs="Times New Roman"/>
              </w:rPr>
            </w:pPr>
            <w:r>
              <w:rPr>
                <w:rFonts w:hint="eastAsia" w:eastAsia="等线" w:cs="Times New Roman"/>
              </w:rPr>
              <w:t>25</w:t>
            </w:r>
          </w:p>
        </w:tc>
      </w:tr>
      <w:tr w14:paraId="3A1C86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restart"/>
            <w:vAlign w:val="center"/>
          </w:tcPr>
          <w:p w14:paraId="49D30282">
            <w:pPr>
              <w:pStyle w:val="133"/>
            </w:pPr>
            <w:r>
              <w:rPr>
                <w:rFonts w:hint="eastAsia"/>
              </w:rPr>
              <w:t>/</w:t>
            </w:r>
          </w:p>
        </w:tc>
        <w:tc>
          <w:tcPr>
            <w:tcW w:w="431" w:type="pct"/>
            <w:vMerge w:val="restart"/>
            <w:vAlign w:val="center"/>
          </w:tcPr>
          <w:p w14:paraId="3F1424B8">
            <w:pPr>
              <w:pStyle w:val="133"/>
            </w:pPr>
            <w:r>
              <w:rPr>
                <w:rFonts w:hint="eastAsia"/>
              </w:rPr>
              <w:t>在建炭化炉装煤废气</w:t>
            </w:r>
          </w:p>
        </w:tc>
        <w:tc>
          <w:tcPr>
            <w:tcW w:w="282" w:type="pct"/>
            <w:vAlign w:val="center"/>
          </w:tcPr>
          <w:p w14:paraId="02D18B7A">
            <w:pPr>
              <w:pStyle w:val="133"/>
              <w:rPr>
                <w:color w:val="000000"/>
                <w:szCs w:val="21"/>
              </w:rPr>
            </w:pPr>
            <w:r>
              <w:rPr>
                <w:rFonts w:hint="eastAsia"/>
                <w:color w:val="000000"/>
                <w:szCs w:val="21"/>
              </w:rPr>
              <w:t>颗粒物</w:t>
            </w:r>
          </w:p>
        </w:tc>
        <w:tc>
          <w:tcPr>
            <w:tcW w:w="456" w:type="pct"/>
            <w:vMerge w:val="restart"/>
            <w:vAlign w:val="center"/>
          </w:tcPr>
          <w:p w14:paraId="3BE078A0">
            <w:pPr>
              <w:pStyle w:val="133"/>
              <w:rPr>
                <w:rFonts w:eastAsia="等线" w:cs="Times New Roman"/>
                <w:color w:val="000000"/>
                <w:szCs w:val="21"/>
              </w:rPr>
            </w:pPr>
            <w:r>
              <w:rPr>
                <w:rFonts w:hint="eastAsia" w:eastAsia="等线" w:cs="Times New Roman"/>
                <w:color w:val="000000"/>
                <w:szCs w:val="21"/>
              </w:rPr>
              <w:t>33335</w:t>
            </w:r>
          </w:p>
        </w:tc>
        <w:tc>
          <w:tcPr>
            <w:tcW w:w="602" w:type="pct"/>
            <w:vAlign w:val="center"/>
          </w:tcPr>
          <w:p w14:paraId="2D805989">
            <w:pPr>
              <w:pStyle w:val="133"/>
              <w:rPr>
                <w:rFonts w:eastAsia="等线" w:cs="Times New Roman"/>
                <w:color w:val="000000"/>
                <w:szCs w:val="21"/>
              </w:rPr>
            </w:pPr>
            <w:r>
              <w:rPr>
                <w:rFonts w:hint="eastAsia" w:eastAsia="等线" w:cs="Times New Roman"/>
                <w:color w:val="000000"/>
                <w:szCs w:val="21"/>
              </w:rPr>
              <w:t>12.2</w:t>
            </w:r>
          </w:p>
        </w:tc>
        <w:tc>
          <w:tcPr>
            <w:tcW w:w="587" w:type="pct"/>
            <w:vAlign w:val="center"/>
          </w:tcPr>
          <w:p w14:paraId="2FF7AB39">
            <w:pPr>
              <w:pStyle w:val="133"/>
              <w:rPr>
                <w:rFonts w:eastAsia="等线" w:cs="Times New Roman"/>
                <w:color w:val="000000"/>
                <w:szCs w:val="21"/>
              </w:rPr>
            </w:pPr>
            <w:r>
              <w:rPr>
                <w:rFonts w:eastAsia="等线" w:cs="Times New Roman"/>
                <w:color w:val="000000"/>
                <w:szCs w:val="21"/>
              </w:rPr>
              <w:t>0.4</w:t>
            </w:r>
            <w:r>
              <w:rPr>
                <w:rFonts w:hint="eastAsia" w:eastAsia="等线" w:cs="Times New Roman"/>
                <w:color w:val="000000"/>
                <w:szCs w:val="21"/>
              </w:rPr>
              <w:t>06</w:t>
            </w:r>
          </w:p>
        </w:tc>
        <w:tc>
          <w:tcPr>
            <w:tcW w:w="463" w:type="pct"/>
            <w:vAlign w:val="center"/>
          </w:tcPr>
          <w:p w14:paraId="4B706400">
            <w:pPr>
              <w:pStyle w:val="133"/>
              <w:rPr>
                <w:rFonts w:eastAsia="等线" w:cs="Times New Roman"/>
                <w:color w:val="000000"/>
                <w:szCs w:val="21"/>
              </w:rPr>
            </w:pPr>
            <w:r>
              <w:rPr>
                <w:rFonts w:hint="eastAsia" w:eastAsia="等线" w:cs="Times New Roman"/>
                <w:color w:val="000000"/>
                <w:szCs w:val="21"/>
              </w:rPr>
              <w:t>0.81</w:t>
            </w:r>
          </w:p>
        </w:tc>
        <w:tc>
          <w:tcPr>
            <w:tcW w:w="411" w:type="pct"/>
            <w:vMerge w:val="restart"/>
            <w:vAlign w:val="center"/>
          </w:tcPr>
          <w:p w14:paraId="31B939FB">
            <w:pPr>
              <w:pStyle w:val="133"/>
              <w:rPr>
                <w:rFonts w:eastAsia="等线" w:cs="Times New Roman"/>
              </w:rPr>
            </w:pPr>
            <w:r>
              <w:rPr>
                <w:rFonts w:hint="eastAsia" w:eastAsia="等线" w:cs="Times New Roman"/>
              </w:rPr>
              <w:t>30</w:t>
            </w:r>
          </w:p>
        </w:tc>
        <w:tc>
          <w:tcPr>
            <w:tcW w:w="411" w:type="pct"/>
            <w:vMerge w:val="restart"/>
            <w:vAlign w:val="center"/>
          </w:tcPr>
          <w:p w14:paraId="29F20DD4">
            <w:pPr>
              <w:pStyle w:val="133"/>
              <w:rPr>
                <w:rFonts w:eastAsia="等线" w:cs="Times New Roman"/>
              </w:rPr>
            </w:pPr>
            <w:r>
              <w:rPr>
                <w:rFonts w:hint="eastAsia" w:eastAsia="等线" w:cs="Times New Roman"/>
              </w:rPr>
              <w:t>1.6</w:t>
            </w:r>
          </w:p>
        </w:tc>
        <w:tc>
          <w:tcPr>
            <w:tcW w:w="425" w:type="pct"/>
            <w:vAlign w:val="center"/>
          </w:tcPr>
          <w:p w14:paraId="460947F8">
            <w:pPr>
              <w:pStyle w:val="133"/>
              <w:rPr>
                <w:rFonts w:eastAsia="等线" w:cs="Times New Roman"/>
              </w:rPr>
            </w:pPr>
            <w:r>
              <w:rPr>
                <w:rFonts w:hint="eastAsia" w:eastAsia="等线" w:cs="Times New Roman"/>
              </w:rPr>
              <w:t>2000</w:t>
            </w:r>
          </w:p>
        </w:tc>
        <w:tc>
          <w:tcPr>
            <w:tcW w:w="493" w:type="pct"/>
            <w:vMerge w:val="restart"/>
            <w:vAlign w:val="center"/>
          </w:tcPr>
          <w:p w14:paraId="6D1AD9A5">
            <w:pPr>
              <w:pStyle w:val="133"/>
              <w:rPr>
                <w:rFonts w:eastAsia="等线" w:cs="Times New Roman"/>
              </w:rPr>
            </w:pPr>
            <w:r>
              <w:rPr>
                <w:rFonts w:hint="eastAsia" w:eastAsia="等线" w:cs="Times New Roman"/>
              </w:rPr>
              <w:t>30</w:t>
            </w:r>
          </w:p>
        </w:tc>
      </w:tr>
      <w:tr w14:paraId="002D8E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734D9FF7">
            <w:pPr>
              <w:pStyle w:val="133"/>
            </w:pPr>
          </w:p>
        </w:tc>
        <w:tc>
          <w:tcPr>
            <w:tcW w:w="431" w:type="pct"/>
            <w:vMerge w:val="continue"/>
            <w:vAlign w:val="center"/>
          </w:tcPr>
          <w:p w14:paraId="03FEAB23">
            <w:pPr>
              <w:pStyle w:val="133"/>
            </w:pPr>
          </w:p>
        </w:tc>
        <w:tc>
          <w:tcPr>
            <w:tcW w:w="282" w:type="pct"/>
            <w:vAlign w:val="center"/>
          </w:tcPr>
          <w:p w14:paraId="5BF82079">
            <w:pPr>
              <w:pStyle w:val="133"/>
              <w:rPr>
                <w:color w:val="000000"/>
                <w:szCs w:val="21"/>
              </w:rPr>
            </w:pPr>
            <w:r>
              <w:rPr>
                <w:rFonts w:hint="eastAsia"/>
                <w:color w:val="000000"/>
                <w:szCs w:val="21"/>
              </w:rPr>
              <w:t>SO</w:t>
            </w:r>
            <w:r>
              <w:rPr>
                <w:rFonts w:hint="eastAsia"/>
                <w:color w:val="000000"/>
                <w:szCs w:val="21"/>
                <w:vertAlign w:val="subscript"/>
              </w:rPr>
              <w:t>2</w:t>
            </w:r>
          </w:p>
        </w:tc>
        <w:tc>
          <w:tcPr>
            <w:tcW w:w="456" w:type="pct"/>
            <w:vMerge w:val="continue"/>
            <w:vAlign w:val="center"/>
          </w:tcPr>
          <w:p w14:paraId="5902BC17">
            <w:pPr>
              <w:pStyle w:val="133"/>
              <w:rPr>
                <w:rFonts w:eastAsia="等线" w:cs="Times New Roman"/>
                <w:color w:val="000000"/>
                <w:szCs w:val="21"/>
              </w:rPr>
            </w:pPr>
          </w:p>
        </w:tc>
        <w:tc>
          <w:tcPr>
            <w:tcW w:w="602" w:type="pct"/>
            <w:vAlign w:val="center"/>
          </w:tcPr>
          <w:p w14:paraId="58F69B0A">
            <w:pPr>
              <w:pStyle w:val="133"/>
              <w:rPr>
                <w:rFonts w:eastAsia="等线" w:cs="Times New Roman"/>
                <w:color w:val="000000"/>
                <w:szCs w:val="21"/>
              </w:rPr>
            </w:pPr>
            <w:r>
              <w:rPr>
                <w:rFonts w:hint="eastAsia" w:eastAsia="等线" w:cs="Times New Roman"/>
                <w:color w:val="000000"/>
                <w:szCs w:val="21"/>
              </w:rPr>
              <w:t>2.0</w:t>
            </w:r>
          </w:p>
        </w:tc>
        <w:tc>
          <w:tcPr>
            <w:tcW w:w="587" w:type="pct"/>
            <w:vAlign w:val="center"/>
          </w:tcPr>
          <w:p w14:paraId="07A6C2ED">
            <w:pPr>
              <w:pStyle w:val="133"/>
              <w:rPr>
                <w:rFonts w:eastAsia="等线" w:cs="Times New Roman"/>
                <w:color w:val="000000"/>
                <w:szCs w:val="21"/>
              </w:rPr>
            </w:pPr>
            <w:r>
              <w:rPr>
                <w:rFonts w:eastAsia="等线" w:cs="Times New Roman"/>
                <w:color w:val="000000"/>
                <w:szCs w:val="21"/>
              </w:rPr>
              <w:t>0.0</w:t>
            </w:r>
            <w:r>
              <w:rPr>
                <w:rFonts w:hint="eastAsia" w:eastAsia="等线" w:cs="Times New Roman"/>
                <w:color w:val="000000"/>
                <w:szCs w:val="21"/>
              </w:rPr>
              <w:t>67</w:t>
            </w:r>
          </w:p>
        </w:tc>
        <w:tc>
          <w:tcPr>
            <w:tcW w:w="463" w:type="pct"/>
            <w:vAlign w:val="center"/>
          </w:tcPr>
          <w:p w14:paraId="2390ADFB">
            <w:pPr>
              <w:pStyle w:val="133"/>
              <w:rPr>
                <w:rFonts w:eastAsia="等线" w:cs="Times New Roman"/>
                <w:color w:val="000000"/>
                <w:szCs w:val="21"/>
              </w:rPr>
            </w:pPr>
            <w:r>
              <w:rPr>
                <w:rFonts w:hint="eastAsia" w:eastAsia="等线" w:cs="Times New Roman"/>
                <w:color w:val="000000"/>
                <w:szCs w:val="21"/>
              </w:rPr>
              <w:t>0.27</w:t>
            </w:r>
          </w:p>
        </w:tc>
        <w:tc>
          <w:tcPr>
            <w:tcW w:w="411" w:type="pct"/>
            <w:vMerge w:val="continue"/>
            <w:vAlign w:val="center"/>
          </w:tcPr>
          <w:p w14:paraId="006F2C49">
            <w:pPr>
              <w:pStyle w:val="133"/>
              <w:rPr>
                <w:rFonts w:eastAsia="等线" w:cs="Times New Roman"/>
              </w:rPr>
            </w:pPr>
          </w:p>
        </w:tc>
        <w:tc>
          <w:tcPr>
            <w:tcW w:w="411" w:type="pct"/>
            <w:vMerge w:val="continue"/>
            <w:vAlign w:val="center"/>
          </w:tcPr>
          <w:p w14:paraId="4402A58A">
            <w:pPr>
              <w:pStyle w:val="133"/>
              <w:rPr>
                <w:rFonts w:eastAsia="等线" w:cs="Times New Roman"/>
              </w:rPr>
            </w:pPr>
          </w:p>
        </w:tc>
        <w:tc>
          <w:tcPr>
            <w:tcW w:w="425" w:type="pct"/>
            <w:vAlign w:val="center"/>
          </w:tcPr>
          <w:p w14:paraId="349581BE">
            <w:pPr>
              <w:pStyle w:val="133"/>
              <w:rPr>
                <w:rFonts w:eastAsia="等线" w:cs="Times New Roman"/>
              </w:rPr>
            </w:pPr>
            <w:r>
              <w:rPr>
                <w:rFonts w:hint="eastAsia" w:eastAsia="等线" w:cs="Times New Roman"/>
              </w:rPr>
              <w:t>2000</w:t>
            </w:r>
          </w:p>
        </w:tc>
        <w:tc>
          <w:tcPr>
            <w:tcW w:w="493" w:type="pct"/>
            <w:vMerge w:val="continue"/>
            <w:vAlign w:val="center"/>
          </w:tcPr>
          <w:p w14:paraId="669F1676">
            <w:pPr>
              <w:pStyle w:val="133"/>
              <w:rPr>
                <w:rFonts w:eastAsia="等线" w:cs="Times New Roman"/>
              </w:rPr>
            </w:pPr>
          </w:p>
        </w:tc>
      </w:tr>
      <w:tr w14:paraId="33D09C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6ECC1175">
            <w:pPr>
              <w:pStyle w:val="133"/>
            </w:pPr>
          </w:p>
        </w:tc>
        <w:tc>
          <w:tcPr>
            <w:tcW w:w="431" w:type="pct"/>
            <w:vMerge w:val="continue"/>
            <w:vAlign w:val="center"/>
          </w:tcPr>
          <w:p w14:paraId="25C69E2F">
            <w:pPr>
              <w:pStyle w:val="133"/>
            </w:pPr>
          </w:p>
        </w:tc>
        <w:tc>
          <w:tcPr>
            <w:tcW w:w="282" w:type="pct"/>
            <w:vAlign w:val="center"/>
          </w:tcPr>
          <w:p w14:paraId="4FAF297F">
            <w:pPr>
              <w:pStyle w:val="133"/>
              <w:rPr>
                <w:color w:val="000000"/>
                <w:szCs w:val="21"/>
              </w:rPr>
            </w:pPr>
            <w:r>
              <w:rPr>
                <w:rFonts w:hint="eastAsia"/>
              </w:rPr>
              <w:t>苯并芘</w:t>
            </w:r>
          </w:p>
        </w:tc>
        <w:tc>
          <w:tcPr>
            <w:tcW w:w="456" w:type="pct"/>
            <w:vMerge w:val="continue"/>
            <w:vAlign w:val="center"/>
          </w:tcPr>
          <w:p w14:paraId="0DD7BE5D">
            <w:pPr>
              <w:pStyle w:val="133"/>
              <w:rPr>
                <w:rFonts w:eastAsia="等线" w:cs="Times New Roman"/>
                <w:color w:val="000000"/>
                <w:szCs w:val="21"/>
              </w:rPr>
            </w:pPr>
          </w:p>
        </w:tc>
        <w:tc>
          <w:tcPr>
            <w:tcW w:w="602" w:type="pct"/>
            <w:vAlign w:val="center"/>
          </w:tcPr>
          <w:p w14:paraId="28AEA55E">
            <w:pPr>
              <w:pStyle w:val="133"/>
              <w:rPr>
                <w:rFonts w:eastAsia="等线"/>
                <w:szCs w:val="21"/>
              </w:rPr>
            </w:pPr>
            <w:r>
              <w:rPr>
                <w:rFonts w:hint="eastAsia" w:eastAsia="等线"/>
                <w:szCs w:val="21"/>
              </w:rPr>
              <w:t>2.0</w:t>
            </w:r>
            <w:r>
              <w:rPr>
                <w:rFonts w:eastAsia="等线"/>
                <w:szCs w:val="21"/>
              </w:rPr>
              <w:t>E-06</w:t>
            </w:r>
          </w:p>
        </w:tc>
        <w:tc>
          <w:tcPr>
            <w:tcW w:w="587" w:type="pct"/>
            <w:vAlign w:val="center"/>
          </w:tcPr>
          <w:p w14:paraId="4F0AC7BC">
            <w:pPr>
              <w:pStyle w:val="133"/>
              <w:rPr>
                <w:rFonts w:eastAsia="等线" w:cs="Times New Roman"/>
                <w:color w:val="000000"/>
                <w:szCs w:val="21"/>
              </w:rPr>
            </w:pPr>
            <w:r>
              <w:rPr>
                <w:rFonts w:eastAsia="等线"/>
                <w:szCs w:val="21"/>
              </w:rPr>
              <w:t>6.5E-08</w:t>
            </w:r>
          </w:p>
        </w:tc>
        <w:tc>
          <w:tcPr>
            <w:tcW w:w="463" w:type="pct"/>
            <w:vAlign w:val="center"/>
          </w:tcPr>
          <w:p w14:paraId="6B9D672A">
            <w:pPr>
              <w:pStyle w:val="133"/>
              <w:rPr>
                <w:rFonts w:eastAsia="等线" w:cs="Times New Roman"/>
                <w:color w:val="000000"/>
                <w:szCs w:val="21"/>
              </w:rPr>
            </w:pPr>
            <w:r>
              <w:rPr>
                <w:rFonts w:hint="eastAsia" w:eastAsia="等线"/>
                <w:color w:val="000000"/>
                <w:szCs w:val="21"/>
              </w:rPr>
              <w:t>1.3</w:t>
            </w:r>
            <w:r>
              <w:rPr>
                <w:rFonts w:eastAsia="等线"/>
                <w:color w:val="000000"/>
                <w:szCs w:val="21"/>
              </w:rPr>
              <w:t>E-0</w:t>
            </w:r>
            <w:r>
              <w:rPr>
                <w:rFonts w:hint="eastAsia" w:eastAsia="等线"/>
                <w:color w:val="000000"/>
                <w:szCs w:val="21"/>
              </w:rPr>
              <w:t>7</w:t>
            </w:r>
          </w:p>
        </w:tc>
        <w:tc>
          <w:tcPr>
            <w:tcW w:w="411" w:type="pct"/>
            <w:vMerge w:val="continue"/>
            <w:vAlign w:val="center"/>
          </w:tcPr>
          <w:p w14:paraId="108B975E">
            <w:pPr>
              <w:pStyle w:val="133"/>
              <w:rPr>
                <w:rFonts w:eastAsia="等线" w:cs="Times New Roman"/>
              </w:rPr>
            </w:pPr>
          </w:p>
        </w:tc>
        <w:tc>
          <w:tcPr>
            <w:tcW w:w="411" w:type="pct"/>
            <w:vMerge w:val="continue"/>
            <w:vAlign w:val="center"/>
          </w:tcPr>
          <w:p w14:paraId="563AB435">
            <w:pPr>
              <w:pStyle w:val="133"/>
              <w:rPr>
                <w:rFonts w:eastAsia="等线" w:cs="Times New Roman"/>
              </w:rPr>
            </w:pPr>
          </w:p>
        </w:tc>
        <w:tc>
          <w:tcPr>
            <w:tcW w:w="425" w:type="pct"/>
            <w:vAlign w:val="center"/>
          </w:tcPr>
          <w:p w14:paraId="252044E6">
            <w:pPr>
              <w:pStyle w:val="133"/>
              <w:rPr>
                <w:rFonts w:eastAsia="等线" w:cs="Times New Roman"/>
              </w:rPr>
            </w:pPr>
            <w:r>
              <w:rPr>
                <w:rFonts w:hint="eastAsia" w:eastAsia="等线" w:cs="Times New Roman"/>
              </w:rPr>
              <w:t>2000</w:t>
            </w:r>
          </w:p>
        </w:tc>
        <w:tc>
          <w:tcPr>
            <w:tcW w:w="493" w:type="pct"/>
            <w:vMerge w:val="continue"/>
            <w:vAlign w:val="center"/>
          </w:tcPr>
          <w:p w14:paraId="61FFF7C1">
            <w:pPr>
              <w:pStyle w:val="133"/>
              <w:rPr>
                <w:rFonts w:eastAsia="等线" w:cs="Times New Roman"/>
              </w:rPr>
            </w:pPr>
          </w:p>
        </w:tc>
      </w:tr>
      <w:tr w14:paraId="05420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65201212">
            <w:pPr>
              <w:pStyle w:val="133"/>
            </w:pPr>
            <w:r>
              <w:rPr>
                <w:rFonts w:hint="eastAsia"/>
              </w:rPr>
              <w:t>/</w:t>
            </w:r>
          </w:p>
        </w:tc>
        <w:tc>
          <w:tcPr>
            <w:tcW w:w="431" w:type="pct"/>
            <w:vAlign w:val="center"/>
          </w:tcPr>
          <w:p w14:paraId="1A6239AC">
            <w:pPr>
              <w:pStyle w:val="133"/>
            </w:pPr>
            <w:r>
              <w:rPr>
                <w:rFonts w:hint="eastAsia"/>
              </w:rPr>
              <w:t>在建筛焦楼筛焦废气</w:t>
            </w:r>
          </w:p>
        </w:tc>
        <w:tc>
          <w:tcPr>
            <w:tcW w:w="282" w:type="pct"/>
            <w:vAlign w:val="center"/>
          </w:tcPr>
          <w:p w14:paraId="454B3BFF">
            <w:pPr>
              <w:pStyle w:val="133"/>
              <w:rPr>
                <w:color w:val="000000"/>
                <w:szCs w:val="21"/>
              </w:rPr>
            </w:pPr>
            <w:r>
              <w:rPr>
                <w:rFonts w:hint="eastAsia"/>
                <w:color w:val="000000"/>
                <w:szCs w:val="21"/>
              </w:rPr>
              <w:t>颗粒物</w:t>
            </w:r>
          </w:p>
        </w:tc>
        <w:tc>
          <w:tcPr>
            <w:tcW w:w="456" w:type="pct"/>
            <w:vAlign w:val="center"/>
          </w:tcPr>
          <w:p w14:paraId="72498E89">
            <w:pPr>
              <w:pStyle w:val="133"/>
              <w:rPr>
                <w:rFonts w:eastAsia="等线" w:cs="Times New Roman"/>
                <w:color w:val="000000"/>
                <w:szCs w:val="21"/>
              </w:rPr>
            </w:pPr>
            <w:r>
              <w:rPr>
                <w:rFonts w:eastAsia="等线" w:cs="Times New Roman"/>
                <w:color w:val="000000"/>
                <w:szCs w:val="21"/>
              </w:rPr>
              <w:t>20000</w:t>
            </w:r>
          </w:p>
        </w:tc>
        <w:tc>
          <w:tcPr>
            <w:tcW w:w="602" w:type="pct"/>
            <w:vAlign w:val="center"/>
          </w:tcPr>
          <w:p w14:paraId="0AEE0300">
            <w:pPr>
              <w:pStyle w:val="133"/>
              <w:rPr>
                <w:rFonts w:eastAsia="等线" w:cs="Times New Roman"/>
                <w:color w:val="000000"/>
                <w:szCs w:val="21"/>
              </w:rPr>
            </w:pPr>
            <w:r>
              <w:rPr>
                <w:rFonts w:eastAsia="等线" w:cs="Times New Roman"/>
                <w:color w:val="000000"/>
                <w:szCs w:val="21"/>
              </w:rPr>
              <w:t>1.6</w:t>
            </w:r>
          </w:p>
        </w:tc>
        <w:tc>
          <w:tcPr>
            <w:tcW w:w="587" w:type="pct"/>
            <w:vAlign w:val="center"/>
          </w:tcPr>
          <w:p w14:paraId="67F5D9C2">
            <w:pPr>
              <w:pStyle w:val="133"/>
              <w:rPr>
                <w:rFonts w:eastAsia="等线" w:cs="Times New Roman"/>
                <w:color w:val="000000"/>
                <w:szCs w:val="21"/>
              </w:rPr>
            </w:pPr>
            <w:r>
              <w:rPr>
                <w:rFonts w:eastAsia="等线" w:cs="Times New Roman"/>
                <w:color w:val="000000"/>
                <w:szCs w:val="21"/>
              </w:rPr>
              <w:t>0.031</w:t>
            </w:r>
          </w:p>
        </w:tc>
        <w:tc>
          <w:tcPr>
            <w:tcW w:w="463" w:type="pct"/>
            <w:vAlign w:val="center"/>
          </w:tcPr>
          <w:p w14:paraId="5DAFE19C">
            <w:pPr>
              <w:pStyle w:val="133"/>
              <w:rPr>
                <w:rFonts w:eastAsia="等线" w:cs="Times New Roman"/>
                <w:color w:val="000000"/>
                <w:szCs w:val="21"/>
              </w:rPr>
            </w:pPr>
            <w:r>
              <w:rPr>
                <w:rFonts w:hint="eastAsia" w:eastAsia="等线" w:cs="Times New Roman"/>
                <w:color w:val="000000"/>
                <w:szCs w:val="21"/>
              </w:rPr>
              <w:t>0.25</w:t>
            </w:r>
          </w:p>
        </w:tc>
        <w:tc>
          <w:tcPr>
            <w:tcW w:w="411" w:type="pct"/>
            <w:vAlign w:val="center"/>
          </w:tcPr>
          <w:p w14:paraId="3F6EFA5C">
            <w:pPr>
              <w:pStyle w:val="133"/>
              <w:rPr>
                <w:rFonts w:eastAsia="等线" w:cs="Times New Roman"/>
              </w:rPr>
            </w:pPr>
            <w:r>
              <w:rPr>
                <w:rFonts w:hint="eastAsia" w:eastAsia="等线" w:cs="Times New Roman"/>
              </w:rPr>
              <w:t>15</w:t>
            </w:r>
          </w:p>
        </w:tc>
        <w:tc>
          <w:tcPr>
            <w:tcW w:w="411" w:type="pct"/>
            <w:vAlign w:val="center"/>
          </w:tcPr>
          <w:p w14:paraId="1F876959">
            <w:pPr>
              <w:pStyle w:val="133"/>
              <w:rPr>
                <w:rFonts w:eastAsia="等线" w:cs="Times New Roman"/>
              </w:rPr>
            </w:pPr>
            <w:r>
              <w:rPr>
                <w:rFonts w:hint="eastAsia" w:eastAsia="等线" w:cs="Times New Roman"/>
              </w:rPr>
              <w:t>0.8</w:t>
            </w:r>
          </w:p>
        </w:tc>
        <w:tc>
          <w:tcPr>
            <w:tcW w:w="425" w:type="pct"/>
            <w:vAlign w:val="center"/>
          </w:tcPr>
          <w:p w14:paraId="28E15194">
            <w:pPr>
              <w:pStyle w:val="133"/>
              <w:rPr>
                <w:rFonts w:eastAsia="等线" w:cs="Times New Roman"/>
              </w:rPr>
            </w:pPr>
            <w:r>
              <w:rPr>
                <w:rFonts w:hint="eastAsia" w:eastAsia="等线" w:cs="Times New Roman"/>
              </w:rPr>
              <w:t>7920</w:t>
            </w:r>
          </w:p>
        </w:tc>
        <w:tc>
          <w:tcPr>
            <w:tcW w:w="493" w:type="pct"/>
            <w:vAlign w:val="center"/>
          </w:tcPr>
          <w:p w14:paraId="670350DD">
            <w:pPr>
              <w:pStyle w:val="133"/>
              <w:rPr>
                <w:rFonts w:eastAsia="等线" w:cs="Times New Roman"/>
              </w:rPr>
            </w:pPr>
            <w:r>
              <w:rPr>
                <w:rFonts w:hint="eastAsia" w:eastAsia="等线" w:cs="Times New Roman"/>
              </w:rPr>
              <w:t>30</w:t>
            </w:r>
          </w:p>
        </w:tc>
      </w:tr>
      <w:tr w14:paraId="7A297D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restart"/>
            <w:vAlign w:val="center"/>
          </w:tcPr>
          <w:p w14:paraId="52133BBA">
            <w:pPr>
              <w:pStyle w:val="133"/>
            </w:pPr>
            <w:r>
              <w:rPr>
                <w:rFonts w:hint="eastAsia"/>
              </w:rPr>
              <w:t>/</w:t>
            </w:r>
          </w:p>
        </w:tc>
        <w:tc>
          <w:tcPr>
            <w:tcW w:w="431" w:type="pct"/>
            <w:vMerge w:val="restart"/>
            <w:vAlign w:val="center"/>
          </w:tcPr>
          <w:p w14:paraId="46E729E8">
            <w:pPr>
              <w:pStyle w:val="133"/>
            </w:pPr>
            <w:r>
              <w:rPr>
                <w:rFonts w:hint="eastAsia"/>
              </w:rPr>
              <w:t>在建废水焚烧炉烟气</w:t>
            </w:r>
          </w:p>
        </w:tc>
        <w:tc>
          <w:tcPr>
            <w:tcW w:w="282" w:type="pct"/>
            <w:vAlign w:val="center"/>
          </w:tcPr>
          <w:p w14:paraId="2D3F933B">
            <w:pPr>
              <w:pStyle w:val="133"/>
            </w:pPr>
            <w:r>
              <w:rPr>
                <w:rFonts w:hint="eastAsia"/>
                <w:color w:val="000000"/>
                <w:szCs w:val="21"/>
              </w:rPr>
              <w:t>颗粒物</w:t>
            </w:r>
          </w:p>
        </w:tc>
        <w:tc>
          <w:tcPr>
            <w:tcW w:w="456" w:type="pct"/>
            <w:vMerge w:val="restart"/>
            <w:vAlign w:val="center"/>
          </w:tcPr>
          <w:p w14:paraId="7B001220">
            <w:pPr>
              <w:pStyle w:val="133"/>
              <w:rPr>
                <w:rFonts w:eastAsia="等线" w:cs="Times New Roman"/>
              </w:rPr>
            </w:pPr>
            <w:r>
              <w:rPr>
                <w:rFonts w:eastAsia="等线" w:cs="Times New Roman"/>
                <w:color w:val="000000"/>
                <w:szCs w:val="21"/>
              </w:rPr>
              <w:t>16264</w:t>
            </w:r>
          </w:p>
        </w:tc>
        <w:tc>
          <w:tcPr>
            <w:tcW w:w="602" w:type="pct"/>
            <w:vAlign w:val="center"/>
          </w:tcPr>
          <w:p w14:paraId="4CC451B5">
            <w:pPr>
              <w:pStyle w:val="133"/>
              <w:rPr>
                <w:rFonts w:eastAsia="等线" w:cs="Times New Roman"/>
                <w:color w:val="000000"/>
                <w:szCs w:val="21"/>
              </w:rPr>
            </w:pPr>
            <w:r>
              <w:rPr>
                <w:rFonts w:eastAsia="等线" w:cs="Times New Roman"/>
                <w:color w:val="000000"/>
                <w:szCs w:val="21"/>
              </w:rPr>
              <w:t>23.4</w:t>
            </w:r>
          </w:p>
        </w:tc>
        <w:tc>
          <w:tcPr>
            <w:tcW w:w="587" w:type="pct"/>
            <w:vAlign w:val="center"/>
          </w:tcPr>
          <w:p w14:paraId="227F5ECD">
            <w:pPr>
              <w:pStyle w:val="133"/>
              <w:rPr>
                <w:rFonts w:eastAsia="等线" w:cs="Times New Roman"/>
              </w:rPr>
            </w:pPr>
            <w:r>
              <w:rPr>
                <w:rFonts w:eastAsia="等线" w:cs="Times New Roman"/>
                <w:color w:val="000000"/>
                <w:szCs w:val="21"/>
              </w:rPr>
              <w:t>0.38</w:t>
            </w:r>
          </w:p>
        </w:tc>
        <w:tc>
          <w:tcPr>
            <w:tcW w:w="463" w:type="pct"/>
            <w:vAlign w:val="center"/>
          </w:tcPr>
          <w:p w14:paraId="0B64B458">
            <w:pPr>
              <w:pStyle w:val="133"/>
              <w:rPr>
                <w:rFonts w:eastAsia="等线" w:cs="Times New Roman"/>
                <w:color w:val="000000"/>
                <w:szCs w:val="21"/>
              </w:rPr>
            </w:pPr>
            <w:r>
              <w:rPr>
                <w:rFonts w:hint="eastAsia" w:eastAsia="等线" w:cs="Times New Roman"/>
                <w:color w:val="000000"/>
                <w:szCs w:val="21"/>
              </w:rPr>
              <w:t>3.01</w:t>
            </w:r>
          </w:p>
        </w:tc>
        <w:tc>
          <w:tcPr>
            <w:tcW w:w="411" w:type="pct"/>
            <w:vMerge w:val="restart"/>
            <w:vAlign w:val="center"/>
          </w:tcPr>
          <w:p w14:paraId="31674D97">
            <w:pPr>
              <w:pStyle w:val="133"/>
              <w:rPr>
                <w:rFonts w:eastAsia="等线" w:cs="Times New Roman"/>
              </w:rPr>
            </w:pPr>
            <w:r>
              <w:rPr>
                <w:rFonts w:hint="eastAsia" w:eastAsia="等线" w:cs="Times New Roman"/>
              </w:rPr>
              <w:t>15</w:t>
            </w:r>
          </w:p>
        </w:tc>
        <w:tc>
          <w:tcPr>
            <w:tcW w:w="411" w:type="pct"/>
            <w:vMerge w:val="restart"/>
            <w:vAlign w:val="center"/>
          </w:tcPr>
          <w:p w14:paraId="6318677B">
            <w:pPr>
              <w:pStyle w:val="133"/>
              <w:rPr>
                <w:rFonts w:eastAsia="等线" w:cs="Times New Roman"/>
              </w:rPr>
            </w:pPr>
            <w:r>
              <w:rPr>
                <w:rFonts w:hint="eastAsia" w:eastAsia="等线" w:cs="Times New Roman"/>
              </w:rPr>
              <w:t>0.5</w:t>
            </w:r>
          </w:p>
        </w:tc>
        <w:tc>
          <w:tcPr>
            <w:tcW w:w="425" w:type="pct"/>
            <w:vAlign w:val="center"/>
          </w:tcPr>
          <w:p w14:paraId="3A46BA6B">
            <w:pPr>
              <w:pStyle w:val="133"/>
              <w:rPr>
                <w:rFonts w:eastAsia="等线" w:cs="Times New Roman"/>
              </w:rPr>
            </w:pPr>
            <w:r>
              <w:rPr>
                <w:rFonts w:hint="eastAsia" w:eastAsia="等线" w:cs="Times New Roman"/>
              </w:rPr>
              <w:t>7920</w:t>
            </w:r>
          </w:p>
        </w:tc>
        <w:tc>
          <w:tcPr>
            <w:tcW w:w="493" w:type="pct"/>
            <w:vMerge w:val="restart"/>
            <w:vAlign w:val="center"/>
          </w:tcPr>
          <w:p w14:paraId="466A6174">
            <w:pPr>
              <w:pStyle w:val="133"/>
              <w:rPr>
                <w:rFonts w:eastAsia="等线" w:cs="Times New Roman"/>
              </w:rPr>
            </w:pPr>
            <w:r>
              <w:rPr>
                <w:rFonts w:hint="eastAsia" w:eastAsia="等线" w:cs="Times New Roman"/>
              </w:rPr>
              <w:t>70</w:t>
            </w:r>
          </w:p>
        </w:tc>
      </w:tr>
      <w:tr w14:paraId="7E95F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24AE3FE0">
            <w:pPr>
              <w:pStyle w:val="133"/>
            </w:pPr>
          </w:p>
        </w:tc>
        <w:tc>
          <w:tcPr>
            <w:tcW w:w="431" w:type="pct"/>
            <w:vMerge w:val="continue"/>
            <w:vAlign w:val="center"/>
          </w:tcPr>
          <w:p w14:paraId="4BD52F0B">
            <w:pPr>
              <w:pStyle w:val="133"/>
            </w:pPr>
          </w:p>
        </w:tc>
        <w:tc>
          <w:tcPr>
            <w:tcW w:w="282" w:type="pct"/>
            <w:vAlign w:val="center"/>
          </w:tcPr>
          <w:p w14:paraId="4C7A9B74">
            <w:pPr>
              <w:pStyle w:val="133"/>
            </w:pPr>
            <w:r>
              <w:rPr>
                <w:rFonts w:hint="eastAsia"/>
                <w:color w:val="000000"/>
                <w:szCs w:val="21"/>
              </w:rPr>
              <w:t>SO</w:t>
            </w:r>
            <w:r>
              <w:rPr>
                <w:rFonts w:hint="eastAsia"/>
                <w:color w:val="000000"/>
                <w:szCs w:val="21"/>
                <w:vertAlign w:val="subscript"/>
              </w:rPr>
              <w:t>2</w:t>
            </w:r>
          </w:p>
        </w:tc>
        <w:tc>
          <w:tcPr>
            <w:tcW w:w="456" w:type="pct"/>
            <w:vMerge w:val="continue"/>
            <w:vAlign w:val="center"/>
          </w:tcPr>
          <w:p w14:paraId="16AA7E8B">
            <w:pPr>
              <w:pStyle w:val="133"/>
              <w:rPr>
                <w:rFonts w:eastAsia="等线" w:cs="Times New Roman"/>
              </w:rPr>
            </w:pPr>
          </w:p>
        </w:tc>
        <w:tc>
          <w:tcPr>
            <w:tcW w:w="602" w:type="pct"/>
            <w:vAlign w:val="center"/>
          </w:tcPr>
          <w:p w14:paraId="25C56653">
            <w:pPr>
              <w:pStyle w:val="133"/>
              <w:rPr>
                <w:rFonts w:eastAsia="等线" w:cs="Times New Roman"/>
                <w:color w:val="000000"/>
                <w:szCs w:val="21"/>
              </w:rPr>
            </w:pPr>
            <w:r>
              <w:rPr>
                <w:rFonts w:eastAsia="等线" w:cs="Times New Roman"/>
                <w:color w:val="000000"/>
                <w:szCs w:val="21"/>
              </w:rPr>
              <w:t>0.3</w:t>
            </w:r>
          </w:p>
        </w:tc>
        <w:tc>
          <w:tcPr>
            <w:tcW w:w="587" w:type="pct"/>
            <w:vAlign w:val="center"/>
          </w:tcPr>
          <w:p w14:paraId="20F3511A">
            <w:pPr>
              <w:pStyle w:val="133"/>
              <w:rPr>
                <w:rFonts w:eastAsia="等线" w:cs="Times New Roman"/>
              </w:rPr>
            </w:pPr>
            <w:r>
              <w:rPr>
                <w:rFonts w:eastAsia="等线" w:cs="Times New Roman"/>
                <w:color w:val="000000"/>
                <w:szCs w:val="21"/>
              </w:rPr>
              <w:t>0.005</w:t>
            </w:r>
          </w:p>
        </w:tc>
        <w:tc>
          <w:tcPr>
            <w:tcW w:w="463" w:type="pct"/>
            <w:vAlign w:val="center"/>
          </w:tcPr>
          <w:p w14:paraId="317B08D8">
            <w:pPr>
              <w:pStyle w:val="133"/>
              <w:rPr>
                <w:rFonts w:eastAsia="等线" w:cs="Times New Roman"/>
                <w:color w:val="000000"/>
                <w:szCs w:val="21"/>
              </w:rPr>
            </w:pPr>
            <w:r>
              <w:rPr>
                <w:rFonts w:hint="eastAsia" w:eastAsia="等线" w:cs="Times New Roman"/>
                <w:color w:val="000000"/>
                <w:szCs w:val="21"/>
              </w:rPr>
              <w:t>0.04</w:t>
            </w:r>
          </w:p>
        </w:tc>
        <w:tc>
          <w:tcPr>
            <w:tcW w:w="411" w:type="pct"/>
            <w:vMerge w:val="continue"/>
            <w:vAlign w:val="center"/>
          </w:tcPr>
          <w:p w14:paraId="580F1B5D">
            <w:pPr>
              <w:pStyle w:val="133"/>
              <w:rPr>
                <w:rFonts w:eastAsia="等线" w:cs="Times New Roman"/>
              </w:rPr>
            </w:pPr>
          </w:p>
        </w:tc>
        <w:tc>
          <w:tcPr>
            <w:tcW w:w="411" w:type="pct"/>
            <w:vMerge w:val="continue"/>
            <w:vAlign w:val="center"/>
          </w:tcPr>
          <w:p w14:paraId="569990E8">
            <w:pPr>
              <w:pStyle w:val="133"/>
              <w:rPr>
                <w:rFonts w:eastAsia="等线" w:cs="Times New Roman"/>
              </w:rPr>
            </w:pPr>
          </w:p>
        </w:tc>
        <w:tc>
          <w:tcPr>
            <w:tcW w:w="425" w:type="pct"/>
            <w:vAlign w:val="center"/>
          </w:tcPr>
          <w:p w14:paraId="5C58F11E">
            <w:pPr>
              <w:pStyle w:val="133"/>
              <w:rPr>
                <w:rFonts w:eastAsia="等线" w:cs="Times New Roman"/>
              </w:rPr>
            </w:pPr>
            <w:r>
              <w:rPr>
                <w:rFonts w:hint="eastAsia" w:eastAsia="等线" w:cs="Times New Roman"/>
              </w:rPr>
              <w:t>7920</w:t>
            </w:r>
          </w:p>
        </w:tc>
        <w:tc>
          <w:tcPr>
            <w:tcW w:w="493" w:type="pct"/>
            <w:vMerge w:val="continue"/>
            <w:vAlign w:val="center"/>
          </w:tcPr>
          <w:p w14:paraId="5B26E7C2">
            <w:pPr>
              <w:pStyle w:val="133"/>
              <w:rPr>
                <w:rFonts w:eastAsia="等线" w:cs="Times New Roman"/>
              </w:rPr>
            </w:pPr>
          </w:p>
        </w:tc>
      </w:tr>
      <w:tr w14:paraId="721C2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Merge w:val="continue"/>
            <w:vAlign w:val="center"/>
          </w:tcPr>
          <w:p w14:paraId="596BA251">
            <w:pPr>
              <w:pStyle w:val="133"/>
            </w:pPr>
          </w:p>
        </w:tc>
        <w:tc>
          <w:tcPr>
            <w:tcW w:w="431" w:type="pct"/>
            <w:vMerge w:val="continue"/>
            <w:vAlign w:val="center"/>
          </w:tcPr>
          <w:p w14:paraId="113ED5C5">
            <w:pPr>
              <w:pStyle w:val="133"/>
            </w:pPr>
          </w:p>
        </w:tc>
        <w:tc>
          <w:tcPr>
            <w:tcW w:w="282" w:type="pct"/>
            <w:vAlign w:val="center"/>
          </w:tcPr>
          <w:p w14:paraId="329B9FF6">
            <w:pPr>
              <w:pStyle w:val="133"/>
            </w:pPr>
            <w:r>
              <w:rPr>
                <w:rFonts w:hint="eastAsia"/>
                <w:color w:val="000000"/>
                <w:szCs w:val="21"/>
              </w:rPr>
              <w:t>NOx</w:t>
            </w:r>
          </w:p>
        </w:tc>
        <w:tc>
          <w:tcPr>
            <w:tcW w:w="456" w:type="pct"/>
            <w:vMerge w:val="continue"/>
            <w:vAlign w:val="center"/>
          </w:tcPr>
          <w:p w14:paraId="17547F74">
            <w:pPr>
              <w:pStyle w:val="133"/>
              <w:rPr>
                <w:rFonts w:eastAsia="等线" w:cs="Times New Roman"/>
              </w:rPr>
            </w:pPr>
          </w:p>
        </w:tc>
        <w:tc>
          <w:tcPr>
            <w:tcW w:w="602" w:type="pct"/>
            <w:vAlign w:val="center"/>
          </w:tcPr>
          <w:p w14:paraId="1FAA4BE0">
            <w:pPr>
              <w:pStyle w:val="133"/>
              <w:rPr>
                <w:rFonts w:eastAsia="等线" w:cs="Times New Roman"/>
                <w:color w:val="000000"/>
                <w:szCs w:val="21"/>
              </w:rPr>
            </w:pPr>
            <w:r>
              <w:rPr>
                <w:rFonts w:eastAsia="等线" w:cs="Times New Roman"/>
                <w:color w:val="000000"/>
                <w:szCs w:val="21"/>
              </w:rPr>
              <w:t>70.1</w:t>
            </w:r>
          </w:p>
        </w:tc>
        <w:tc>
          <w:tcPr>
            <w:tcW w:w="587" w:type="pct"/>
            <w:vAlign w:val="center"/>
          </w:tcPr>
          <w:p w14:paraId="632D95D5">
            <w:pPr>
              <w:pStyle w:val="133"/>
              <w:rPr>
                <w:rFonts w:eastAsia="等线" w:cs="Times New Roman"/>
              </w:rPr>
            </w:pPr>
            <w:r>
              <w:rPr>
                <w:rFonts w:eastAsia="等线" w:cs="Times New Roman"/>
                <w:color w:val="000000"/>
                <w:szCs w:val="21"/>
              </w:rPr>
              <w:t>1.14</w:t>
            </w:r>
          </w:p>
        </w:tc>
        <w:tc>
          <w:tcPr>
            <w:tcW w:w="463" w:type="pct"/>
            <w:vAlign w:val="center"/>
          </w:tcPr>
          <w:p w14:paraId="66D9F4D4">
            <w:pPr>
              <w:pStyle w:val="133"/>
              <w:rPr>
                <w:rFonts w:eastAsia="等线" w:cs="Times New Roman"/>
                <w:color w:val="000000"/>
                <w:szCs w:val="21"/>
              </w:rPr>
            </w:pPr>
            <w:r>
              <w:rPr>
                <w:rFonts w:hint="eastAsia" w:eastAsia="等线" w:cs="Times New Roman"/>
                <w:color w:val="000000"/>
                <w:szCs w:val="21"/>
              </w:rPr>
              <w:t>9.03</w:t>
            </w:r>
          </w:p>
        </w:tc>
        <w:tc>
          <w:tcPr>
            <w:tcW w:w="411" w:type="pct"/>
            <w:vMerge w:val="continue"/>
            <w:vAlign w:val="center"/>
          </w:tcPr>
          <w:p w14:paraId="52924ACC">
            <w:pPr>
              <w:pStyle w:val="133"/>
              <w:rPr>
                <w:rFonts w:eastAsia="等线" w:cs="Times New Roman"/>
              </w:rPr>
            </w:pPr>
          </w:p>
        </w:tc>
        <w:tc>
          <w:tcPr>
            <w:tcW w:w="411" w:type="pct"/>
            <w:vMerge w:val="continue"/>
            <w:vAlign w:val="center"/>
          </w:tcPr>
          <w:p w14:paraId="514C4F85">
            <w:pPr>
              <w:pStyle w:val="133"/>
              <w:rPr>
                <w:rFonts w:eastAsia="等线" w:cs="Times New Roman"/>
              </w:rPr>
            </w:pPr>
          </w:p>
        </w:tc>
        <w:tc>
          <w:tcPr>
            <w:tcW w:w="425" w:type="pct"/>
            <w:vAlign w:val="center"/>
          </w:tcPr>
          <w:p w14:paraId="7793923B">
            <w:pPr>
              <w:pStyle w:val="133"/>
              <w:rPr>
                <w:rFonts w:eastAsia="等线" w:cs="Times New Roman"/>
              </w:rPr>
            </w:pPr>
            <w:r>
              <w:rPr>
                <w:rFonts w:hint="eastAsia" w:eastAsia="等线" w:cs="Times New Roman"/>
              </w:rPr>
              <w:t>7920</w:t>
            </w:r>
          </w:p>
        </w:tc>
        <w:tc>
          <w:tcPr>
            <w:tcW w:w="493" w:type="pct"/>
            <w:vMerge w:val="continue"/>
            <w:vAlign w:val="center"/>
          </w:tcPr>
          <w:p w14:paraId="735DD75E">
            <w:pPr>
              <w:pStyle w:val="133"/>
              <w:rPr>
                <w:rFonts w:eastAsia="等线" w:cs="Times New Roman"/>
              </w:rPr>
            </w:pPr>
          </w:p>
        </w:tc>
      </w:tr>
      <w:tr w14:paraId="28C6D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3E1421A6">
            <w:pPr>
              <w:pStyle w:val="133"/>
            </w:pPr>
            <w:r>
              <w:rPr>
                <w:rFonts w:hint="eastAsia"/>
              </w:rPr>
              <w:t>/</w:t>
            </w:r>
          </w:p>
        </w:tc>
        <w:tc>
          <w:tcPr>
            <w:tcW w:w="431" w:type="pct"/>
            <w:vAlign w:val="center"/>
          </w:tcPr>
          <w:p w14:paraId="255BC3BC">
            <w:pPr>
              <w:pStyle w:val="133"/>
            </w:pPr>
            <w:r>
              <w:rPr>
                <w:rFonts w:hint="eastAsia"/>
              </w:rPr>
              <w:t>在建</w:t>
            </w:r>
            <w:r>
              <w:rPr>
                <w:rFonts w:hint="eastAsia"/>
                <w:color w:val="000000"/>
                <w:szCs w:val="21"/>
              </w:rPr>
              <w:t>废水酸化除油装置废气</w:t>
            </w:r>
          </w:p>
        </w:tc>
        <w:tc>
          <w:tcPr>
            <w:tcW w:w="282" w:type="pct"/>
            <w:vAlign w:val="center"/>
          </w:tcPr>
          <w:p w14:paraId="4C70C263">
            <w:pPr>
              <w:pStyle w:val="133"/>
            </w:pPr>
            <w:r>
              <w:rPr>
                <w:rFonts w:hint="eastAsia"/>
                <w:color w:val="000000"/>
                <w:szCs w:val="21"/>
              </w:rPr>
              <w:t>H</w:t>
            </w:r>
            <w:r>
              <w:rPr>
                <w:rFonts w:hint="eastAsia"/>
                <w:color w:val="000000"/>
                <w:szCs w:val="21"/>
                <w:vertAlign w:val="subscript"/>
              </w:rPr>
              <w:t>2</w:t>
            </w:r>
            <w:r>
              <w:rPr>
                <w:rFonts w:hint="eastAsia"/>
                <w:color w:val="000000"/>
                <w:szCs w:val="21"/>
              </w:rPr>
              <w:t>S</w:t>
            </w:r>
          </w:p>
        </w:tc>
        <w:tc>
          <w:tcPr>
            <w:tcW w:w="456" w:type="pct"/>
            <w:vAlign w:val="center"/>
          </w:tcPr>
          <w:p w14:paraId="1CDE278F">
            <w:pPr>
              <w:pStyle w:val="133"/>
              <w:rPr>
                <w:rFonts w:eastAsia="等线" w:cs="Times New Roman"/>
              </w:rPr>
            </w:pPr>
            <w:r>
              <w:rPr>
                <w:rFonts w:eastAsia="等线" w:cs="Times New Roman"/>
                <w:color w:val="000000"/>
                <w:szCs w:val="21"/>
              </w:rPr>
              <w:t>2000</w:t>
            </w:r>
          </w:p>
        </w:tc>
        <w:tc>
          <w:tcPr>
            <w:tcW w:w="602" w:type="pct"/>
            <w:vAlign w:val="center"/>
          </w:tcPr>
          <w:p w14:paraId="11A05964">
            <w:pPr>
              <w:pStyle w:val="133"/>
              <w:rPr>
                <w:rFonts w:eastAsia="等线" w:cs="Times New Roman"/>
                <w:color w:val="000000"/>
                <w:szCs w:val="21"/>
              </w:rPr>
            </w:pPr>
            <w:r>
              <w:rPr>
                <w:rFonts w:eastAsia="等线" w:cs="Times New Roman"/>
                <w:color w:val="000000"/>
                <w:szCs w:val="21"/>
              </w:rPr>
              <w:t>10.0</w:t>
            </w:r>
          </w:p>
        </w:tc>
        <w:tc>
          <w:tcPr>
            <w:tcW w:w="587" w:type="pct"/>
            <w:vAlign w:val="center"/>
          </w:tcPr>
          <w:p w14:paraId="4F920CE5">
            <w:pPr>
              <w:pStyle w:val="133"/>
              <w:rPr>
                <w:rFonts w:eastAsia="等线" w:cs="Times New Roman"/>
              </w:rPr>
            </w:pPr>
            <w:r>
              <w:rPr>
                <w:rFonts w:eastAsia="等线" w:cs="Times New Roman"/>
                <w:color w:val="000000"/>
                <w:szCs w:val="21"/>
              </w:rPr>
              <w:t>0.02</w:t>
            </w:r>
          </w:p>
        </w:tc>
        <w:tc>
          <w:tcPr>
            <w:tcW w:w="463" w:type="pct"/>
            <w:vAlign w:val="center"/>
          </w:tcPr>
          <w:p w14:paraId="3105968B">
            <w:pPr>
              <w:pStyle w:val="133"/>
              <w:rPr>
                <w:rFonts w:eastAsia="等线" w:cs="Times New Roman"/>
                <w:color w:val="000000"/>
                <w:szCs w:val="21"/>
              </w:rPr>
            </w:pPr>
            <w:r>
              <w:rPr>
                <w:rFonts w:hint="eastAsia" w:eastAsia="等线" w:cs="Times New Roman"/>
                <w:color w:val="000000"/>
                <w:szCs w:val="21"/>
              </w:rPr>
              <w:t>0.16</w:t>
            </w:r>
          </w:p>
        </w:tc>
        <w:tc>
          <w:tcPr>
            <w:tcW w:w="411" w:type="pct"/>
            <w:vAlign w:val="center"/>
          </w:tcPr>
          <w:p w14:paraId="3E6D14CF">
            <w:pPr>
              <w:pStyle w:val="133"/>
              <w:rPr>
                <w:rFonts w:eastAsia="等线" w:cs="Times New Roman"/>
              </w:rPr>
            </w:pPr>
            <w:r>
              <w:rPr>
                <w:rFonts w:eastAsia="等线" w:cs="Times New Roman"/>
                <w:color w:val="000000"/>
                <w:szCs w:val="21"/>
              </w:rPr>
              <w:t>15</w:t>
            </w:r>
          </w:p>
        </w:tc>
        <w:tc>
          <w:tcPr>
            <w:tcW w:w="411" w:type="pct"/>
            <w:vAlign w:val="center"/>
          </w:tcPr>
          <w:p w14:paraId="79C41985">
            <w:pPr>
              <w:pStyle w:val="133"/>
              <w:rPr>
                <w:rFonts w:eastAsia="等线" w:cs="Times New Roman"/>
              </w:rPr>
            </w:pPr>
            <w:r>
              <w:rPr>
                <w:rFonts w:eastAsia="等线" w:cs="Times New Roman"/>
                <w:color w:val="000000"/>
                <w:szCs w:val="21"/>
              </w:rPr>
              <w:t>0.2</w:t>
            </w:r>
          </w:p>
        </w:tc>
        <w:tc>
          <w:tcPr>
            <w:tcW w:w="425" w:type="pct"/>
            <w:vAlign w:val="center"/>
          </w:tcPr>
          <w:p w14:paraId="7313F8BA">
            <w:pPr>
              <w:pStyle w:val="133"/>
              <w:rPr>
                <w:rFonts w:eastAsia="等线" w:cs="Times New Roman"/>
                <w:color w:val="000000"/>
                <w:szCs w:val="21"/>
              </w:rPr>
            </w:pPr>
            <w:r>
              <w:rPr>
                <w:rFonts w:hint="eastAsia" w:eastAsia="等线" w:cs="Times New Roman"/>
              </w:rPr>
              <w:t>7920</w:t>
            </w:r>
          </w:p>
        </w:tc>
        <w:tc>
          <w:tcPr>
            <w:tcW w:w="493" w:type="pct"/>
            <w:vAlign w:val="center"/>
          </w:tcPr>
          <w:p w14:paraId="6039E9AF">
            <w:pPr>
              <w:pStyle w:val="133"/>
              <w:rPr>
                <w:rFonts w:eastAsia="等线" w:cs="Times New Roman"/>
              </w:rPr>
            </w:pPr>
            <w:r>
              <w:rPr>
                <w:rFonts w:eastAsia="等线" w:cs="Times New Roman"/>
                <w:color w:val="000000"/>
                <w:szCs w:val="21"/>
              </w:rPr>
              <w:t>25</w:t>
            </w:r>
          </w:p>
        </w:tc>
      </w:tr>
      <w:tr w14:paraId="07210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40" w:type="pct"/>
            <w:vAlign w:val="center"/>
          </w:tcPr>
          <w:p w14:paraId="6E4C61C2">
            <w:pPr>
              <w:pStyle w:val="133"/>
            </w:pPr>
            <w:r>
              <w:rPr>
                <w:rFonts w:hint="eastAsia"/>
              </w:rPr>
              <w:t>/</w:t>
            </w:r>
          </w:p>
        </w:tc>
        <w:tc>
          <w:tcPr>
            <w:tcW w:w="431" w:type="pct"/>
            <w:vAlign w:val="center"/>
          </w:tcPr>
          <w:p w14:paraId="034F463E">
            <w:pPr>
              <w:pStyle w:val="133"/>
            </w:pPr>
            <w:r>
              <w:rPr>
                <w:rFonts w:hint="eastAsia"/>
              </w:rPr>
              <w:t>在建</w:t>
            </w:r>
            <w:r>
              <w:rPr>
                <w:rFonts w:hint="eastAsia"/>
                <w:color w:val="000000"/>
                <w:szCs w:val="21"/>
              </w:rPr>
              <w:t>废水脱氮塔废气</w:t>
            </w:r>
          </w:p>
        </w:tc>
        <w:tc>
          <w:tcPr>
            <w:tcW w:w="282" w:type="pct"/>
            <w:vAlign w:val="center"/>
          </w:tcPr>
          <w:p w14:paraId="13466841">
            <w:pPr>
              <w:pStyle w:val="133"/>
            </w:pPr>
            <w:r>
              <w:rPr>
                <w:rFonts w:hint="eastAsia"/>
                <w:color w:val="000000"/>
                <w:szCs w:val="21"/>
              </w:rPr>
              <w:t>NH</w:t>
            </w:r>
            <w:r>
              <w:rPr>
                <w:rFonts w:hint="eastAsia"/>
                <w:color w:val="000000"/>
                <w:szCs w:val="21"/>
                <w:vertAlign w:val="subscript"/>
              </w:rPr>
              <w:t>3</w:t>
            </w:r>
          </w:p>
        </w:tc>
        <w:tc>
          <w:tcPr>
            <w:tcW w:w="456" w:type="pct"/>
            <w:vAlign w:val="center"/>
          </w:tcPr>
          <w:p w14:paraId="0F1A5425">
            <w:pPr>
              <w:pStyle w:val="133"/>
              <w:rPr>
                <w:rFonts w:eastAsia="等线" w:cs="Times New Roman"/>
              </w:rPr>
            </w:pPr>
            <w:r>
              <w:rPr>
                <w:rFonts w:eastAsia="等线" w:cs="Times New Roman"/>
                <w:color w:val="000000"/>
                <w:szCs w:val="21"/>
              </w:rPr>
              <w:t>30000</w:t>
            </w:r>
          </w:p>
        </w:tc>
        <w:tc>
          <w:tcPr>
            <w:tcW w:w="602" w:type="pct"/>
            <w:vAlign w:val="center"/>
          </w:tcPr>
          <w:p w14:paraId="001AC159">
            <w:pPr>
              <w:pStyle w:val="133"/>
              <w:rPr>
                <w:rFonts w:eastAsia="等线" w:cs="Times New Roman"/>
                <w:color w:val="000000"/>
                <w:szCs w:val="21"/>
              </w:rPr>
            </w:pPr>
            <w:r>
              <w:rPr>
                <w:rFonts w:eastAsia="等线" w:cs="Times New Roman"/>
                <w:color w:val="000000"/>
                <w:szCs w:val="21"/>
              </w:rPr>
              <w:t>5.0</w:t>
            </w:r>
          </w:p>
        </w:tc>
        <w:tc>
          <w:tcPr>
            <w:tcW w:w="587" w:type="pct"/>
            <w:vAlign w:val="center"/>
          </w:tcPr>
          <w:p w14:paraId="1D7825C3">
            <w:pPr>
              <w:pStyle w:val="133"/>
              <w:rPr>
                <w:rFonts w:eastAsia="等线" w:cs="Times New Roman"/>
              </w:rPr>
            </w:pPr>
            <w:r>
              <w:rPr>
                <w:rFonts w:eastAsia="等线" w:cs="Times New Roman"/>
                <w:color w:val="000000"/>
                <w:szCs w:val="21"/>
              </w:rPr>
              <w:t>0.15</w:t>
            </w:r>
          </w:p>
        </w:tc>
        <w:tc>
          <w:tcPr>
            <w:tcW w:w="463" w:type="pct"/>
            <w:vAlign w:val="center"/>
          </w:tcPr>
          <w:p w14:paraId="254D66AF">
            <w:pPr>
              <w:pStyle w:val="133"/>
              <w:rPr>
                <w:rFonts w:eastAsia="等线" w:cs="Times New Roman"/>
                <w:color w:val="000000"/>
                <w:szCs w:val="21"/>
              </w:rPr>
            </w:pPr>
            <w:r>
              <w:rPr>
                <w:rFonts w:hint="eastAsia" w:eastAsia="等线" w:cs="Times New Roman"/>
                <w:color w:val="000000"/>
                <w:szCs w:val="21"/>
              </w:rPr>
              <w:t>1.19</w:t>
            </w:r>
          </w:p>
        </w:tc>
        <w:tc>
          <w:tcPr>
            <w:tcW w:w="411" w:type="pct"/>
            <w:vAlign w:val="center"/>
          </w:tcPr>
          <w:p w14:paraId="25691C52">
            <w:pPr>
              <w:pStyle w:val="133"/>
              <w:rPr>
                <w:rFonts w:eastAsia="等线" w:cs="Times New Roman"/>
              </w:rPr>
            </w:pPr>
            <w:r>
              <w:rPr>
                <w:rFonts w:eastAsia="等线" w:cs="Times New Roman"/>
                <w:color w:val="000000"/>
                <w:szCs w:val="21"/>
              </w:rPr>
              <w:t>15</w:t>
            </w:r>
          </w:p>
        </w:tc>
        <w:tc>
          <w:tcPr>
            <w:tcW w:w="411" w:type="pct"/>
            <w:vAlign w:val="center"/>
          </w:tcPr>
          <w:p w14:paraId="4C7039F9">
            <w:pPr>
              <w:pStyle w:val="133"/>
              <w:rPr>
                <w:rFonts w:eastAsia="等线" w:cs="Times New Roman"/>
              </w:rPr>
            </w:pPr>
            <w:r>
              <w:rPr>
                <w:rFonts w:eastAsia="等线" w:cs="Times New Roman"/>
                <w:color w:val="000000"/>
                <w:szCs w:val="21"/>
              </w:rPr>
              <w:t>1</w:t>
            </w:r>
          </w:p>
        </w:tc>
        <w:tc>
          <w:tcPr>
            <w:tcW w:w="425" w:type="pct"/>
            <w:vAlign w:val="center"/>
          </w:tcPr>
          <w:p w14:paraId="086CEA8A">
            <w:pPr>
              <w:pStyle w:val="133"/>
              <w:rPr>
                <w:rFonts w:eastAsia="等线" w:cs="Times New Roman"/>
                <w:color w:val="000000"/>
                <w:szCs w:val="21"/>
              </w:rPr>
            </w:pPr>
            <w:r>
              <w:rPr>
                <w:rFonts w:hint="eastAsia" w:eastAsia="等线" w:cs="Times New Roman"/>
              </w:rPr>
              <w:t>7920</w:t>
            </w:r>
          </w:p>
        </w:tc>
        <w:tc>
          <w:tcPr>
            <w:tcW w:w="493" w:type="pct"/>
            <w:vAlign w:val="center"/>
          </w:tcPr>
          <w:p w14:paraId="556E64E2">
            <w:pPr>
              <w:pStyle w:val="133"/>
              <w:rPr>
                <w:rFonts w:eastAsia="等线" w:cs="Times New Roman"/>
              </w:rPr>
            </w:pPr>
            <w:r>
              <w:rPr>
                <w:rFonts w:eastAsia="等线" w:cs="Times New Roman"/>
                <w:color w:val="000000"/>
                <w:szCs w:val="21"/>
              </w:rPr>
              <w:t>50</w:t>
            </w:r>
          </w:p>
        </w:tc>
      </w:tr>
      <w:bookmarkEnd w:id="314"/>
    </w:tbl>
    <w:p w14:paraId="191BF681">
      <w:pPr>
        <w:pStyle w:val="171"/>
      </w:pPr>
    </w:p>
    <w:p w14:paraId="60CC6118">
      <w:pPr>
        <w:ind w:firstLine="480"/>
      </w:pPr>
      <w:r>
        <w:rPr>
          <w:rFonts w:hint="eastAsia"/>
        </w:rPr>
        <w:t>2）替代颗粒物无组织排放</w:t>
      </w:r>
    </w:p>
    <w:p w14:paraId="1BB5B255">
      <w:pPr>
        <w:ind w:firstLine="480"/>
      </w:pPr>
      <w:r>
        <w:rPr>
          <w:rFonts w:hint="eastAsia"/>
        </w:rPr>
        <w:t>改造完成后，原煤棚和兰炭棚的现有及在建生产线产生的颗粒物无组织排放量作为兰炭生产线替代颗粒物无组织排放污染源。</w:t>
      </w:r>
    </w:p>
    <w:p w14:paraId="24872DD7">
      <w:pPr>
        <w:ind w:firstLine="480"/>
      </w:pPr>
      <w:r>
        <w:rPr>
          <w:rFonts w:hint="eastAsia"/>
        </w:rPr>
        <w:t>根据《排放源统计调查产排污核算方法和系数手册》的《工业源固体物料堆场颗粒物核算系数手册》，依据《附表2工业源固体物料堆场颗粒物产排污核算系数手册》中的颗粒物产生量与排放量核算方法，分别计算原煤棚和兰炭棚现有及在建生产线的颗粒物源强。</w:t>
      </w:r>
    </w:p>
    <w:p w14:paraId="70F6451A">
      <w:pPr>
        <w:ind w:firstLine="480"/>
      </w:pPr>
      <w:r>
        <w:rPr>
          <w:rFonts w:hint="eastAsia"/>
        </w:rPr>
        <w:t>采取的粉尘控制措施为水雾抑尘（控制效率74%），堆场类型控制措施为密闭式储存（控制效率99%）。</w:t>
      </w:r>
    </w:p>
    <w:p w14:paraId="32C5F8E6">
      <w:pPr>
        <w:ind w:firstLine="480"/>
      </w:pPr>
      <w:r>
        <w:rPr>
          <w:rFonts w:hint="eastAsia"/>
        </w:rPr>
        <w:t>原煤仓、兰炭仓及沫煤仓物料装卸及堆存过程损失计算参数及核算结果，见表3.3-28。</w:t>
      </w:r>
    </w:p>
    <w:p w14:paraId="6FEA4C2B">
      <w:pPr>
        <w:pStyle w:val="118"/>
      </w:pPr>
      <w:r>
        <w:t>表</w:t>
      </w:r>
      <w:r>
        <w:rPr>
          <w:rFonts w:hint="eastAsia"/>
        </w:rPr>
        <w:t>3.3-28  替代现有及在建工程料仓颗粒物无组织排放核算参数及结果</w:t>
      </w:r>
      <w:r>
        <w:t>汇总</w:t>
      </w:r>
      <w:r>
        <w:rPr>
          <w:rFonts w:hint="eastAsia"/>
        </w:rPr>
        <w:t>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2"/>
        <w:gridCol w:w="1137"/>
        <w:gridCol w:w="1168"/>
        <w:gridCol w:w="967"/>
        <w:gridCol w:w="967"/>
        <w:gridCol w:w="1348"/>
        <w:gridCol w:w="1253"/>
      </w:tblGrid>
      <w:tr w14:paraId="5AFB2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0A790BCE">
            <w:pPr>
              <w:pStyle w:val="133"/>
              <w:rPr>
                <w:b/>
                <w:bCs/>
              </w:rPr>
            </w:pPr>
            <w:r>
              <w:rPr>
                <w:rFonts w:hint="eastAsia"/>
                <w:b/>
                <w:bCs/>
              </w:rPr>
              <w:t>料仓名称</w:t>
            </w:r>
          </w:p>
        </w:tc>
        <w:tc>
          <w:tcPr>
            <w:tcW w:w="667" w:type="pct"/>
            <w:noWrap/>
            <w:vAlign w:val="bottom"/>
          </w:tcPr>
          <w:p w14:paraId="60C68CD0">
            <w:pPr>
              <w:pStyle w:val="133"/>
              <w:rPr>
                <w:b/>
                <w:bCs/>
              </w:rPr>
            </w:pPr>
            <w:r>
              <w:rPr>
                <w:rFonts w:hint="eastAsia"/>
                <w:b/>
                <w:bCs/>
              </w:rPr>
              <w:t>Nc（车）</w:t>
            </w:r>
          </w:p>
        </w:tc>
        <w:tc>
          <w:tcPr>
            <w:tcW w:w="685" w:type="pct"/>
            <w:noWrap/>
            <w:vAlign w:val="bottom"/>
          </w:tcPr>
          <w:p w14:paraId="3C15037F">
            <w:pPr>
              <w:pStyle w:val="133"/>
              <w:rPr>
                <w:b/>
                <w:bCs/>
              </w:rPr>
            </w:pPr>
            <w:r>
              <w:rPr>
                <w:rFonts w:hint="eastAsia"/>
                <w:b/>
                <w:bCs/>
              </w:rPr>
              <w:t>D（t/车）</w:t>
            </w:r>
          </w:p>
        </w:tc>
        <w:tc>
          <w:tcPr>
            <w:tcW w:w="567" w:type="pct"/>
            <w:noWrap/>
            <w:vAlign w:val="bottom"/>
          </w:tcPr>
          <w:p w14:paraId="0D33E340">
            <w:pPr>
              <w:pStyle w:val="133"/>
              <w:rPr>
                <w:b/>
                <w:bCs/>
              </w:rPr>
            </w:pPr>
            <w:r>
              <w:rPr>
                <w:rFonts w:hint="eastAsia"/>
                <w:b/>
                <w:bCs/>
              </w:rPr>
              <w:t>a（kg）</w:t>
            </w:r>
          </w:p>
        </w:tc>
        <w:tc>
          <w:tcPr>
            <w:tcW w:w="567" w:type="pct"/>
            <w:noWrap/>
            <w:vAlign w:val="bottom"/>
          </w:tcPr>
          <w:p w14:paraId="1AA1C600">
            <w:pPr>
              <w:pStyle w:val="133"/>
              <w:rPr>
                <w:b/>
                <w:bCs/>
              </w:rPr>
            </w:pPr>
            <w:r>
              <w:rPr>
                <w:rFonts w:hint="eastAsia"/>
                <w:b/>
                <w:bCs/>
              </w:rPr>
              <w:t>b（t）</w:t>
            </w:r>
          </w:p>
        </w:tc>
        <w:tc>
          <w:tcPr>
            <w:tcW w:w="791" w:type="pct"/>
            <w:noWrap/>
            <w:vAlign w:val="bottom"/>
          </w:tcPr>
          <w:p w14:paraId="4B35A6DF">
            <w:pPr>
              <w:pStyle w:val="133"/>
              <w:rPr>
                <w:b/>
                <w:bCs/>
              </w:rPr>
            </w:pPr>
            <w:r>
              <w:rPr>
                <w:rFonts w:hint="eastAsia"/>
                <w:b/>
                <w:bCs/>
              </w:rPr>
              <w:t>Ef（kg/㎡）</w:t>
            </w:r>
          </w:p>
        </w:tc>
        <w:tc>
          <w:tcPr>
            <w:tcW w:w="735" w:type="pct"/>
            <w:noWrap/>
            <w:vAlign w:val="bottom"/>
          </w:tcPr>
          <w:p w14:paraId="644F8DAE">
            <w:pPr>
              <w:pStyle w:val="133"/>
              <w:rPr>
                <w:b/>
                <w:bCs/>
              </w:rPr>
            </w:pPr>
            <w:r>
              <w:rPr>
                <w:rFonts w:hint="eastAsia"/>
                <w:b/>
                <w:bCs/>
              </w:rPr>
              <w:t>S（㎡）</w:t>
            </w:r>
          </w:p>
        </w:tc>
      </w:tr>
      <w:tr w14:paraId="09C93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71654194">
            <w:pPr>
              <w:pStyle w:val="133"/>
            </w:pPr>
            <w:r>
              <w:rPr>
                <w:rFonts w:hint="eastAsia"/>
              </w:rPr>
              <w:t>原煤棚</w:t>
            </w:r>
          </w:p>
        </w:tc>
        <w:tc>
          <w:tcPr>
            <w:tcW w:w="667" w:type="pct"/>
            <w:noWrap/>
            <w:vAlign w:val="bottom"/>
          </w:tcPr>
          <w:p w14:paraId="5491CBDE">
            <w:pPr>
              <w:pStyle w:val="133"/>
            </w:pPr>
            <w:r>
              <w:rPr>
                <w:rFonts w:hint="eastAsia"/>
              </w:rPr>
              <w:t>50000</w:t>
            </w:r>
          </w:p>
        </w:tc>
        <w:tc>
          <w:tcPr>
            <w:tcW w:w="685" w:type="pct"/>
            <w:noWrap/>
            <w:vAlign w:val="bottom"/>
          </w:tcPr>
          <w:p w14:paraId="7846DC49">
            <w:pPr>
              <w:pStyle w:val="133"/>
            </w:pPr>
            <w:r>
              <w:rPr>
                <w:rFonts w:hint="eastAsia"/>
              </w:rPr>
              <w:t>30</w:t>
            </w:r>
          </w:p>
        </w:tc>
        <w:tc>
          <w:tcPr>
            <w:tcW w:w="567" w:type="pct"/>
            <w:noWrap/>
            <w:vAlign w:val="bottom"/>
          </w:tcPr>
          <w:p w14:paraId="517DD827">
            <w:pPr>
              <w:pStyle w:val="133"/>
            </w:pPr>
            <w:r>
              <w:rPr>
                <w:rFonts w:hint="eastAsia"/>
              </w:rPr>
              <w:t>0.0011</w:t>
            </w:r>
          </w:p>
        </w:tc>
        <w:tc>
          <w:tcPr>
            <w:tcW w:w="567" w:type="pct"/>
            <w:noWrap/>
            <w:vAlign w:val="bottom"/>
          </w:tcPr>
          <w:p w14:paraId="63DA1EEA">
            <w:pPr>
              <w:pStyle w:val="133"/>
            </w:pPr>
            <w:r>
              <w:rPr>
                <w:rFonts w:hint="eastAsia"/>
              </w:rPr>
              <w:t>0.0049</w:t>
            </w:r>
          </w:p>
        </w:tc>
        <w:tc>
          <w:tcPr>
            <w:tcW w:w="791" w:type="pct"/>
            <w:noWrap/>
            <w:vAlign w:val="bottom"/>
          </w:tcPr>
          <w:p w14:paraId="41E0F38A">
            <w:pPr>
              <w:pStyle w:val="133"/>
            </w:pPr>
            <w:r>
              <w:rPr>
                <w:rFonts w:hint="eastAsia"/>
              </w:rPr>
              <w:t>30.6582</w:t>
            </w:r>
          </w:p>
        </w:tc>
        <w:tc>
          <w:tcPr>
            <w:tcW w:w="735" w:type="pct"/>
            <w:noWrap/>
            <w:vAlign w:val="bottom"/>
          </w:tcPr>
          <w:p w14:paraId="6DEBCAA0">
            <w:pPr>
              <w:pStyle w:val="133"/>
            </w:pPr>
            <w:r>
              <w:rPr>
                <w:rFonts w:hint="eastAsia"/>
              </w:rPr>
              <w:t>25480</w:t>
            </w:r>
          </w:p>
        </w:tc>
      </w:tr>
      <w:tr w14:paraId="4DCCE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089AE5B9">
            <w:pPr>
              <w:pStyle w:val="133"/>
            </w:pPr>
            <w:r>
              <w:rPr>
                <w:rFonts w:hint="eastAsia"/>
              </w:rPr>
              <w:t>兰炭棚</w:t>
            </w:r>
          </w:p>
        </w:tc>
        <w:tc>
          <w:tcPr>
            <w:tcW w:w="667" w:type="pct"/>
            <w:noWrap/>
            <w:vAlign w:val="bottom"/>
          </w:tcPr>
          <w:p w14:paraId="396BA2B4">
            <w:pPr>
              <w:pStyle w:val="133"/>
            </w:pPr>
            <w:r>
              <w:rPr>
                <w:rFonts w:hint="eastAsia"/>
              </w:rPr>
              <w:t>20000</w:t>
            </w:r>
          </w:p>
        </w:tc>
        <w:tc>
          <w:tcPr>
            <w:tcW w:w="685" w:type="pct"/>
            <w:noWrap/>
            <w:vAlign w:val="bottom"/>
          </w:tcPr>
          <w:p w14:paraId="714DAB94">
            <w:pPr>
              <w:pStyle w:val="133"/>
            </w:pPr>
            <w:r>
              <w:rPr>
                <w:rFonts w:hint="eastAsia"/>
              </w:rPr>
              <w:t>30</w:t>
            </w:r>
          </w:p>
        </w:tc>
        <w:tc>
          <w:tcPr>
            <w:tcW w:w="567" w:type="pct"/>
            <w:noWrap/>
            <w:vAlign w:val="bottom"/>
          </w:tcPr>
          <w:p w14:paraId="4BBC44F3">
            <w:pPr>
              <w:pStyle w:val="133"/>
            </w:pPr>
            <w:r>
              <w:rPr>
                <w:rFonts w:hint="eastAsia"/>
              </w:rPr>
              <w:t>0.0011</w:t>
            </w:r>
          </w:p>
        </w:tc>
        <w:tc>
          <w:tcPr>
            <w:tcW w:w="567" w:type="pct"/>
            <w:noWrap/>
            <w:vAlign w:val="bottom"/>
          </w:tcPr>
          <w:p w14:paraId="10AE059B">
            <w:pPr>
              <w:pStyle w:val="133"/>
            </w:pPr>
            <w:r>
              <w:rPr>
                <w:rFonts w:hint="eastAsia"/>
              </w:rPr>
              <w:t>0.0018</w:t>
            </w:r>
          </w:p>
        </w:tc>
        <w:tc>
          <w:tcPr>
            <w:tcW w:w="791" w:type="pct"/>
            <w:noWrap/>
            <w:vAlign w:val="bottom"/>
          </w:tcPr>
          <w:p w14:paraId="7F19D14A">
            <w:pPr>
              <w:pStyle w:val="133"/>
            </w:pPr>
            <w:r>
              <w:rPr>
                <w:rFonts w:hint="eastAsia"/>
              </w:rPr>
              <w:t>18.2208</w:t>
            </w:r>
          </w:p>
        </w:tc>
        <w:tc>
          <w:tcPr>
            <w:tcW w:w="735" w:type="pct"/>
            <w:noWrap/>
            <w:vAlign w:val="bottom"/>
          </w:tcPr>
          <w:p w14:paraId="1C7EF6C0">
            <w:pPr>
              <w:pStyle w:val="133"/>
            </w:pPr>
            <w:r>
              <w:rPr>
                <w:rFonts w:hint="eastAsia"/>
              </w:rPr>
              <w:t>21082</w:t>
            </w:r>
          </w:p>
        </w:tc>
      </w:tr>
      <w:tr w14:paraId="4F8B3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490A3F7B">
            <w:pPr>
              <w:pStyle w:val="133"/>
            </w:pPr>
            <w:r>
              <w:rPr>
                <w:rFonts w:hint="eastAsia"/>
              </w:rPr>
              <w:t>料仓名称</w:t>
            </w:r>
          </w:p>
        </w:tc>
        <w:tc>
          <w:tcPr>
            <w:tcW w:w="667" w:type="pct"/>
            <w:noWrap/>
            <w:vAlign w:val="center"/>
          </w:tcPr>
          <w:p w14:paraId="293225D4">
            <w:pPr>
              <w:pStyle w:val="133"/>
            </w:pPr>
            <w:r>
              <w:rPr>
                <w:rFonts w:hint="eastAsia"/>
              </w:rPr>
              <w:t>ZCy（t）</w:t>
            </w:r>
          </w:p>
        </w:tc>
        <w:tc>
          <w:tcPr>
            <w:tcW w:w="685" w:type="pct"/>
            <w:noWrap/>
            <w:vAlign w:val="center"/>
          </w:tcPr>
          <w:p w14:paraId="03E20F2F">
            <w:pPr>
              <w:pStyle w:val="133"/>
            </w:pPr>
            <w:r>
              <w:rPr>
                <w:rFonts w:hint="eastAsia"/>
              </w:rPr>
              <w:t>FCy（t）</w:t>
            </w:r>
          </w:p>
        </w:tc>
        <w:tc>
          <w:tcPr>
            <w:tcW w:w="567" w:type="pct"/>
            <w:noWrap/>
            <w:vAlign w:val="center"/>
          </w:tcPr>
          <w:p w14:paraId="126D3766">
            <w:pPr>
              <w:pStyle w:val="133"/>
            </w:pPr>
            <w:r>
              <w:rPr>
                <w:rFonts w:hint="eastAsia"/>
              </w:rPr>
              <w:t>P（t）</w:t>
            </w:r>
          </w:p>
        </w:tc>
        <w:tc>
          <w:tcPr>
            <w:tcW w:w="567" w:type="pct"/>
            <w:noWrap/>
            <w:vAlign w:val="center"/>
          </w:tcPr>
          <w:p w14:paraId="02F2F5D0">
            <w:pPr>
              <w:pStyle w:val="133"/>
            </w:pPr>
            <w:r>
              <w:rPr>
                <w:rFonts w:hint="eastAsia"/>
              </w:rPr>
              <w:t>Uc（t）</w:t>
            </w:r>
          </w:p>
        </w:tc>
        <w:tc>
          <w:tcPr>
            <w:tcW w:w="791" w:type="pct"/>
            <w:noWrap/>
            <w:vAlign w:val="center"/>
          </w:tcPr>
          <w:p w14:paraId="3DCCD10E">
            <w:pPr>
              <w:pStyle w:val="133"/>
            </w:pPr>
            <w:r>
              <w:rPr>
                <w:rFonts w:hint="eastAsia"/>
              </w:rPr>
              <w:t>面积（㎡）</w:t>
            </w:r>
          </w:p>
        </w:tc>
        <w:tc>
          <w:tcPr>
            <w:tcW w:w="735" w:type="pct"/>
            <w:noWrap/>
            <w:vAlign w:val="center"/>
          </w:tcPr>
          <w:p w14:paraId="757CCB2B">
            <w:pPr>
              <w:pStyle w:val="133"/>
            </w:pPr>
            <w:r>
              <w:rPr>
                <w:rFonts w:hint="eastAsia"/>
              </w:rPr>
              <w:t>高度（m）</w:t>
            </w:r>
          </w:p>
        </w:tc>
      </w:tr>
      <w:tr w14:paraId="71947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2A473B8A">
            <w:pPr>
              <w:pStyle w:val="133"/>
            </w:pPr>
            <w:r>
              <w:rPr>
                <w:rFonts w:hint="eastAsia"/>
              </w:rPr>
              <w:t>原煤棚</w:t>
            </w:r>
          </w:p>
        </w:tc>
        <w:tc>
          <w:tcPr>
            <w:tcW w:w="667" w:type="pct"/>
            <w:noWrap/>
            <w:vAlign w:val="bottom"/>
          </w:tcPr>
          <w:p w14:paraId="09C3F780">
            <w:pPr>
              <w:pStyle w:val="133"/>
            </w:pPr>
            <w:r>
              <w:rPr>
                <w:rFonts w:hint="eastAsia"/>
              </w:rPr>
              <w:t>336.73</w:t>
            </w:r>
          </w:p>
        </w:tc>
        <w:tc>
          <w:tcPr>
            <w:tcW w:w="685" w:type="pct"/>
            <w:noWrap/>
            <w:vAlign w:val="bottom"/>
          </w:tcPr>
          <w:p w14:paraId="3DFA9F39">
            <w:pPr>
              <w:pStyle w:val="133"/>
            </w:pPr>
            <w:r>
              <w:rPr>
                <w:rFonts w:hint="eastAsia"/>
              </w:rPr>
              <w:t>1562.34</w:t>
            </w:r>
          </w:p>
        </w:tc>
        <w:tc>
          <w:tcPr>
            <w:tcW w:w="567" w:type="pct"/>
            <w:noWrap/>
            <w:vAlign w:val="bottom"/>
          </w:tcPr>
          <w:p w14:paraId="52BB309D">
            <w:pPr>
              <w:pStyle w:val="133"/>
            </w:pPr>
            <w:r>
              <w:rPr>
                <w:rFonts w:hint="eastAsia"/>
              </w:rPr>
              <w:t>1899.08</w:t>
            </w:r>
          </w:p>
        </w:tc>
        <w:tc>
          <w:tcPr>
            <w:tcW w:w="567" w:type="pct"/>
            <w:noWrap/>
            <w:vAlign w:val="bottom"/>
          </w:tcPr>
          <w:p w14:paraId="7244C7E1">
            <w:pPr>
              <w:pStyle w:val="133"/>
            </w:pPr>
            <w:r>
              <w:rPr>
                <w:rFonts w:hint="eastAsia"/>
              </w:rPr>
              <w:t>4.94</w:t>
            </w:r>
          </w:p>
        </w:tc>
        <w:tc>
          <w:tcPr>
            <w:tcW w:w="791" w:type="pct"/>
            <w:noWrap/>
            <w:vAlign w:val="center"/>
          </w:tcPr>
          <w:p w14:paraId="53B50291">
            <w:pPr>
              <w:pStyle w:val="133"/>
            </w:pPr>
            <w:r>
              <w:rPr>
                <w:rFonts w:hint="eastAsia"/>
              </w:rPr>
              <w:t>182×140</w:t>
            </w:r>
          </w:p>
        </w:tc>
        <w:tc>
          <w:tcPr>
            <w:tcW w:w="735" w:type="pct"/>
            <w:noWrap/>
          </w:tcPr>
          <w:p w14:paraId="62304A04">
            <w:pPr>
              <w:pStyle w:val="133"/>
            </w:pPr>
            <w:r>
              <w:rPr>
                <w:rFonts w:hint="eastAsia"/>
              </w:rPr>
              <w:t>15</w:t>
            </w:r>
          </w:p>
        </w:tc>
      </w:tr>
      <w:tr w14:paraId="088FD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67B4D513">
            <w:pPr>
              <w:pStyle w:val="133"/>
            </w:pPr>
            <w:r>
              <w:rPr>
                <w:rFonts w:hint="eastAsia"/>
              </w:rPr>
              <w:t>兰炭棚</w:t>
            </w:r>
          </w:p>
        </w:tc>
        <w:tc>
          <w:tcPr>
            <w:tcW w:w="667" w:type="pct"/>
            <w:noWrap/>
            <w:vAlign w:val="bottom"/>
          </w:tcPr>
          <w:p w14:paraId="1F5F1817">
            <w:pPr>
              <w:pStyle w:val="133"/>
            </w:pPr>
            <w:r>
              <w:rPr>
                <w:rFonts w:hint="eastAsia"/>
              </w:rPr>
              <w:t>366.67</w:t>
            </w:r>
          </w:p>
        </w:tc>
        <w:tc>
          <w:tcPr>
            <w:tcW w:w="685" w:type="pct"/>
            <w:noWrap/>
            <w:vAlign w:val="bottom"/>
          </w:tcPr>
          <w:p w14:paraId="1E2BEA32">
            <w:pPr>
              <w:pStyle w:val="133"/>
            </w:pPr>
            <w:r>
              <w:rPr>
                <w:rFonts w:hint="eastAsia"/>
              </w:rPr>
              <w:t>768.26</w:t>
            </w:r>
          </w:p>
        </w:tc>
        <w:tc>
          <w:tcPr>
            <w:tcW w:w="567" w:type="pct"/>
            <w:noWrap/>
            <w:vAlign w:val="bottom"/>
          </w:tcPr>
          <w:p w14:paraId="15C450B7">
            <w:pPr>
              <w:pStyle w:val="133"/>
            </w:pPr>
            <w:r>
              <w:rPr>
                <w:rFonts w:hint="eastAsia"/>
              </w:rPr>
              <w:t>1134.93</w:t>
            </w:r>
          </w:p>
        </w:tc>
        <w:tc>
          <w:tcPr>
            <w:tcW w:w="567" w:type="pct"/>
            <w:noWrap/>
            <w:vAlign w:val="bottom"/>
          </w:tcPr>
          <w:p w14:paraId="27593A13">
            <w:pPr>
              <w:pStyle w:val="133"/>
            </w:pPr>
            <w:r>
              <w:rPr>
                <w:rFonts w:hint="eastAsia"/>
              </w:rPr>
              <w:t>11.35</w:t>
            </w:r>
          </w:p>
        </w:tc>
        <w:tc>
          <w:tcPr>
            <w:tcW w:w="791" w:type="pct"/>
            <w:noWrap/>
            <w:vAlign w:val="center"/>
          </w:tcPr>
          <w:p w14:paraId="2515AA38">
            <w:pPr>
              <w:pStyle w:val="133"/>
            </w:pPr>
            <w:r>
              <w:t>127×166</w:t>
            </w:r>
          </w:p>
        </w:tc>
        <w:tc>
          <w:tcPr>
            <w:tcW w:w="735" w:type="pct"/>
            <w:noWrap/>
          </w:tcPr>
          <w:p w14:paraId="4B2FEC7A">
            <w:pPr>
              <w:pStyle w:val="133"/>
            </w:pPr>
            <w:r>
              <w:rPr>
                <w:rFonts w:hint="eastAsia"/>
              </w:rPr>
              <w:t>15</w:t>
            </w:r>
          </w:p>
        </w:tc>
      </w:tr>
      <w:tr w14:paraId="1DC2D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06" w:type="pct"/>
            <w:gridSpan w:val="4"/>
            <w:noWrap/>
            <w:vAlign w:val="bottom"/>
          </w:tcPr>
          <w:p w14:paraId="12619B89">
            <w:pPr>
              <w:pStyle w:val="133"/>
            </w:pPr>
            <w:r>
              <w:rPr>
                <w:rFonts w:hint="eastAsia"/>
              </w:rPr>
              <w:t>合计</w:t>
            </w:r>
          </w:p>
        </w:tc>
        <w:tc>
          <w:tcPr>
            <w:tcW w:w="567" w:type="pct"/>
            <w:noWrap/>
            <w:vAlign w:val="bottom"/>
          </w:tcPr>
          <w:p w14:paraId="45988F31">
            <w:pPr>
              <w:pStyle w:val="133"/>
            </w:pPr>
            <w:r>
              <w:rPr>
                <w:rFonts w:hint="eastAsia"/>
              </w:rPr>
              <w:t>16.29</w:t>
            </w:r>
          </w:p>
        </w:tc>
        <w:tc>
          <w:tcPr>
            <w:tcW w:w="791" w:type="pct"/>
            <w:noWrap/>
          </w:tcPr>
          <w:p w14:paraId="08BA1C07">
            <w:pPr>
              <w:pStyle w:val="133"/>
            </w:pPr>
            <w:r>
              <w:rPr>
                <w:rFonts w:hint="eastAsia"/>
              </w:rPr>
              <w:t>/</w:t>
            </w:r>
          </w:p>
        </w:tc>
        <w:tc>
          <w:tcPr>
            <w:tcW w:w="735" w:type="pct"/>
            <w:noWrap/>
          </w:tcPr>
          <w:p w14:paraId="66D1E81F">
            <w:pPr>
              <w:pStyle w:val="133"/>
            </w:pPr>
            <w:r>
              <w:rPr>
                <w:rFonts w:hint="eastAsia"/>
              </w:rPr>
              <w:t>/</w:t>
            </w:r>
          </w:p>
        </w:tc>
      </w:tr>
    </w:tbl>
    <w:p w14:paraId="56540B7C">
      <w:pPr>
        <w:pStyle w:val="133"/>
      </w:pPr>
    </w:p>
    <w:p w14:paraId="71497527">
      <w:pPr>
        <w:ind w:firstLine="480"/>
      </w:pPr>
      <w:r>
        <w:rPr>
          <w:rFonts w:hint="eastAsia"/>
        </w:rPr>
        <w:t>3）替代VOCs废气无组织排放</w:t>
      </w:r>
    </w:p>
    <w:p w14:paraId="2A204298">
      <w:pPr>
        <w:ind w:firstLine="480"/>
      </w:pPr>
      <w:r>
        <w:rPr>
          <w:rFonts w:hint="eastAsia"/>
        </w:rPr>
        <w:t>厂内生产装置及公辅工程的煤气净化工段、炭化工段、焦油罐区和焦油装车站均会产生有机废气，</w:t>
      </w:r>
      <w:r>
        <w:rPr>
          <w:kern w:val="1"/>
        </w:rPr>
        <w:t>主要在焦油成品罐、焦油中间罐、焦油沉降罐、集油罐、焦油沉降分离槽、</w:t>
      </w:r>
      <w:r>
        <w:t>炭化炉出焦落料口、推焦刮板机、输焦地沟、输焦斜皮带</w:t>
      </w:r>
      <w:r>
        <w:rPr>
          <w:rFonts w:hint="eastAsia"/>
          <w:kern w:val="1"/>
        </w:rPr>
        <w:t>、煤焦油装卸鹤管等</w:t>
      </w:r>
      <w:r>
        <w:t>会排放</w:t>
      </w:r>
      <w:r>
        <w:rPr>
          <w:kern w:val="1"/>
        </w:rPr>
        <w:t>会释放出挥发性有机物。</w:t>
      </w:r>
      <w:r>
        <w:rPr>
          <w:rFonts w:hint="eastAsia"/>
          <w:kern w:val="1"/>
        </w:rPr>
        <w:t>现有及在建工程均未对厂内</w:t>
      </w:r>
      <w:r>
        <w:rPr>
          <w:rFonts w:hint="eastAsia"/>
        </w:rPr>
        <w:t>VOCs废气进行收集处理，作为VOCs废气无组织排放替代污染源。</w:t>
      </w:r>
    </w:p>
    <w:p w14:paraId="32A78A93">
      <w:pPr>
        <w:ind w:firstLine="480"/>
      </w:pPr>
      <w:r>
        <w:rPr>
          <w:rFonts w:hint="eastAsia"/>
        </w:rPr>
        <w:t>生产装置区的VOCs废气产生、收集与排放情况，主要采用类比法核算。蒸汽熄焦设施二氧化硫源强采用《污染源源强核算技术指南 炼焦化学工业》（HJ 981-2018）的计算公式核算。辅助工程包括油罐区、装车站及废水焚烧系统采取《污染物源强核算指南 炼焦化学工业》（HJ 981-2018）、《污染源源强核算技术指南 石油炼制工业》</w:t>
      </w:r>
      <w:r>
        <w:t>（HJ 982-2018）</w:t>
      </w:r>
      <w:r>
        <w:rPr>
          <w:rFonts w:hint="eastAsia"/>
        </w:rPr>
        <w:t>、《石化行业VOCs污染源排査工作指南》等提出的核算方法，主要采用系数法核算。</w:t>
      </w:r>
    </w:p>
    <w:p w14:paraId="607BFC92">
      <w:pPr>
        <w:ind w:firstLine="480"/>
      </w:pPr>
      <w:r>
        <w:rPr>
          <w:rFonts w:hint="eastAsia"/>
        </w:rPr>
        <w:t>在采取厂内现有无组织排放控制措施的情况下，替代VOCs废气无组织排放计算结果，见表3.3-29。</w:t>
      </w:r>
    </w:p>
    <w:p w14:paraId="0F955EB5">
      <w:pPr>
        <w:ind w:firstLine="480"/>
        <w:sectPr>
          <w:pgSz w:w="11906" w:h="16838"/>
          <w:pgMar w:top="1440" w:right="1800" w:bottom="1440" w:left="1800" w:header="850" w:footer="850" w:gutter="0"/>
          <w:cols w:space="425" w:num="1"/>
          <w:docGrid w:type="lines" w:linePitch="326" w:charSpace="0"/>
        </w:sectPr>
      </w:pPr>
    </w:p>
    <w:p w14:paraId="705F0E48">
      <w:pPr>
        <w:pStyle w:val="118"/>
      </w:pPr>
      <w:r>
        <w:rPr>
          <w:rFonts w:hint="eastAsia"/>
        </w:rPr>
        <w:t>表3.3-29</w:t>
      </w:r>
      <w:r>
        <w:t xml:space="preserve">  </w:t>
      </w:r>
      <w:r>
        <w:rPr>
          <w:rFonts w:hint="eastAsia"/>
        </w:rPr>
        <w:t>兰炭生产线替代现有的有机废气无组织排放情况一览表</w:t>
      </w:r>
      <w:r>
        <w:t xml:space="preserve">    </w:t>
      </w:r>
      <w:r>
        <w:rPr>
          <w:rFonts w:hint="eastAsia"/>
        </w:rPr>
        <w:t>单位：</w:t>
      </w:r>
      <w:r>
        <w:t>t/a</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6"/>
        <w:gridCol w:w="1650"/>
        <w:gridCol w:w="825"/>
        <w:gridCol w:w="1128"/>
        <w:gridCol w:w="913"/>
        <w:gridCol w:w="808"/>
        <w:gridCol w:w="700"/>
        <w:gridCol w:w="839"/>
        <w:gridCol w:w="1227"/>
        <w:gridCol w:w="1012"/>
        <w:gridCol w:w="1247"/>
        <w:gridCol w:w="1188"/>
        <w:gridCol w:w="1931"/>
      </w:tblGrid>
      <w:tr w14:paraId="279277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1" w:type="pct"/>
            <w:gridSpan w:val="2"/>
            <w:vAlign w:val="center"/>
          </w:tcPr>
          <w:p w14:paraId="09B3D9C5">
            <w:pPr>
              <w:pStyle w:val="133"/>
              <w:rPr>
                <w:b/>
                <w:bCs/>
              </w:rPr>
            </w:pPr>
            <w:r>
              <w:rPr>
                <w:rFonts w:hint="eastAsia"/>
                <w:b/>
                <w:bCs/>
              </w:rPr>
              <w:t>污染物</w:t>
            </w:r>
          </w:p>
        </w:tc>
        <w:tc>
          <w:tcPr>
            <w:tcW w:w="291" w:type="pct"/>
            <w:vAlign w:val="center"/>
          </w:tcPr>
          <w:p w14:paraId="53B6068C">
            <w:pPr>
              <w:pStyle w:val="133"/>
              <w:rPr>
                <w:b/>
                <w:bCs/>
              </w:rPr>
            </w:pPr>
            <w:r>
              <w:rPr>
                <w:rFonts w:hint="eastAsia"/>
                <w:b/>
                <w:bCs/>
              </w:rPr>
              <w:t>颗粒物</w:t>
            </w:r>
          </w:p>
        </w:tc>
        <w:tc>
          <w:tcPr>
            <w:tcW w:w="398" w:type="pct"/>
            <w:vAlign w:val="center"/>
          </w:tcPr>
          <w:p w14:paraId="09261A9B">
            <w:pPr>
              <w:pStyle w:val="133"/>
              <w:rPr>
                <w:b/>
                <w:bCs/>
              </w:rPr>
            </w:pPr>
            <w:r>
              <w:rPr>
                <w:b/>
                <w:bCs/>
              </w:rPr>
              <w:t>BaP</w:t>
            </w:r>
          </w:p>
        </w:tc>
        <w:tc>
          <w:tcPr>
            <w:tcW w:w="322" w:type="pct"/>
            <w:vAlign w:val="center"/>
          </w:tcPr>
          <w:p w14:paraId="15D75572">
            <w:pPr>
              <w:pStyle w:val="133"/>
              <w:rPr>
                <w:b/>
                <w:bCs/>
              </w:rPr>
            </w:pPr>
            <w:r>
              <w:rPr>
                <w:rFonts w:hint="eastAsia"/>
                <w:b/>
                <w:bCs/>
              </w:rPr>
              <w:t>氰化氢</w:t>
            </w:r>
          </w:p>
        </w:tc>
        <w:tc>
          <w:tcPr>
            <w:tcW w:w="285" w:type="pct"/>
            <w:vAlign w:val="center"/>
          </w:tcPr>
          <w:p w14:paraId="00F5C58B">
            <w:pPr>
              <w:pStyle w:val="133"/>
              <w:rPr>
                <w:b/>
                <w:bCs/>
              </w:rPr>
            </w:pPr>
            <w:r>
              <w:rPr>
                <w:rFonts w:hint="eastAsia"/>
                <w:b/>
                <w:bCs/>
              </w:rPr>
              <w:t>酚类</w:t>
            </w:r>
          </w:p>
        </w:tc>
        <w:tc>
          <w:tcPr>
            <w:tcW w:w="247" w:type="pct"/>
            <w:vAlign w:val="center"/>
          </w:tcPr>
          <w:p w14:paraId="6FA811C7">
            <w:pPr>
              <w:pStyle w:val="133"/>
              <w:rPr>
                <w:b/>
                <w:bCs/>
              </w:rPr>
            </w:pPr>
            <w:r>
              <w:rPr>
                <w:rFonts w:hint="eastAsia"/>
                <w:b/>
                <w:bCs/>
              </w:rPr>
              <w:t>氨</w:t>
            </w:r>
          </w:p>
        </w:tc>
        <w:tc>
          <w:tcPr>
            <w:tcW w:w="296" w:type="pct"/>
            <w:vAlign w:val="center"/>
          </w:tcPr>
          <w:p w14:paraId="1DBEE68C">
            <w:pPr>
              <w:pStyle w:val="133"/>
              <w:rPr>
                <w:b/>
                <w:bCs/>
              </w:rPr>
            </w:pPr>
            <w:r>
              <w:rPr>
                <w:rFonts w:hint="eastAsia"/>
                <w:b/>
                <w:bCs/>
              </w:rPr>
              <w:t>硫化氢</w:t>
            </w:r>
          </w:p>
        </w:tc>
        <w:tc>
          <w:tcPr>
            <w:tcW w:w="433" w:type="pct"/>
            <w:vAlign w:val="center"/>
          </w:tcPr>
          <w:p w14:paraId="3F9F536A">
            <w:pPr>
              <w:pStyle w:val="133"/>
              <w:rPr>
                <w:b/>
                <w:bCs/>
              </w:rPr>
            </w:pPr>
            <w:r>
              <w:rPr>
                <w:rFonts w:hint="eastAsia"/>
                <w:b/>
                <w:bCs/>
              </w:rPr>
              <w:t>非甲烷总烃</w:t>
            </w:r>
          </w:p>
        </w:tc>
        <w:tc>
          <w:tcPr>
            <w:tcW w:w="357" w:type="pct"/>
          </w:tcPr>
          <w:p w14:paraId="5E4FD915">
            <w:pPr>
              <w:pStyle w:val="133"/>
              <w:rPr>
                <w:b/>
                <w:bCs/>
              </w:rPr>
            </w:pPr>
            <w:r>
              <w:rPr>
                <w:rFonts w:hint="eastAsia"/>
                <w:b/>
                <w:bCs/>
              </w:rPr>
              <w:t>二氧化硫</w:t>
            </w:r>
          </w:p>
        </w:tc>
        <w:tc>
          <w:tcPr>
            <w:tcW w:w="440" w:type="pct"/>
            <w:vAlign w:val="center"/>
          </w:tcPr>
          <w:p w14:paraId="3847D0B9">
            <w:pPr>
              <w:pStyle w:val="133"/>
              <w:rPr>
                <w:b/>
                <w:bCs/>
              </w:rPr>
            </w:pPr>
            <w:r>
              <w:rPr>
                <w:rFonts w:hint="eastAsia"/>
                <w:b/>
                <w:bCs/>
              </w:rPr>
              <w:t>面积（㎡）</w:t>
            </w:r>
          </w:p>
        </w:tc>
        <w:tc>
          <w:tcPr>
            <w:tcW w:w="419" w:type="pct"/>
            <w:vAlign w:val="center"/>
          </w:tcPr>
          <w:p w14:paraId="361F17BC">
            <w:pPr>
              <w:pStyle w:val="133"/>
              <w:rPr>
                <w:b/>
                <w:bCs/>
              </w:rPr>
            </w:pPr>
            <w:r>
              <w:rPr>
                <w:rFonts w:hint="eastAsia"/>
                <w:b/>
                <w:bCs/>
              </w:rPr>
              <w:t>高度（m）</w:t>
            </w:r>
          </w:p>
        </w:tc>
        <w:tc>
          <w:tcPr>
            <w:tcW w:w="681" w:type="pct"/>
            <w:noWrap/>
            <w:vAlign w:val="center"/>
          </w:tcPr>
          <w:p w14:paraId="61DE488F">
            <w:pPr>
              <w:pStyle w:val="133"/>
              <w:rPr>
                <w:b/>
                <w:bCs/>
              </w:rPr>
            </w:pPr>
            <w:r>
              <w:rPr>
                <w:rFonts w:hint="eastAsia"/>
                <w:b/>
                <w:bCs/>
              </w:rPr>
              <w:t>现有污染控制措施</w:t>
            </w:r>
          </w:p>
        </w:tc>
      </w:tr>
      <w:tr w14:paraId="4DFB0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49" w:type="pct"/>
            <w:vMerge w:val="restart"/>
            <w:vAlign w:val="center"/>
          </w:tcPr>
          <w:p w14:paraId="390AFC38">
            <w:pPr>
              <w:pStyle w:val="133"/>
            </w:pPr>
            <w:r>
              <w:rPr>
                <w:rFonts w:hint="eastAsia"/>
              </w:rPr>
              <w:t>现有及在建兰炭生产线</w:t>
            </w:r>
          </w:p>
        </w:tc>
        <w:tc>
          <w:tcPr>
            <w:tcW w:w="582" w:type="pct"/>
            <w:vAlign w:val="center"/>
          </w:tcPr>
          <w:p w14:paraId="757AB6C6">
            <w:pPr>
              <w:pStyle w:val="133"/>
            </w:pPr>
            <w:r>
              <w:rPr>
                <w:rFonts w:hint="eastAsia"/>
              </w:rPr>
              <w:t>煤气净化工段</w:t>
            </w:r>
          </w:p>
        </w:tc>
        <w:tc>
          <w:tcPr>
            <w:tcW w:w="291" w:type="pct"/>
            <w:vAlign w:val="center"/>
          </w:tcPr>
          <w:p w14:paraId="7FC2C03D">
            <w:pPr>
              <w:pStyle w:val="133"/>
            </w:pPr>
          </w:p>
        </w:tc>
        <w:tc>
          <w:tcPr>
            <w:tcW w:w="398" w:type="pct"/>
            <w:vAlign w:val="center"/>
          </w:tcPr>
          <w:p w14:paraId="6D55DD2B">
            <w:pPr>
              <w:pStyle w:val="133"/>
            </w:pPr>
            <w:r>
              <w:rPr>
                <w:rFonts w:eastAsia="等线" w:cs="Times New Roman"/>
                <w:color w:val="000000"/>
                <w:szCs w:val="21"/>
              </w:rPr>
              <w:t>0.00</w:t>
            </w:r>
            <w:r>
              <w:rPr>
                <w:rFonts w:hint="eastAsia" w:eastAsia="等线" w:cs="Times New Roman"/>
                <w:color w:val="000000"/>
                <w:szCs w:val="21"/>
              </w:rPr>
              <w:t>23</w:t>
            </w:r>
          </w:p>
        </w:tc>
        <w:tc>
          <w:tcPr>
            <w:tcW w:w="322" w:type="pct"/>
            <w:vAlign w:val="center"/>
          </w:tcPr>
          <w:p w14:paraId="1212A1F3">
            <w:pPr>
              <w:pStyle w:val="133"/>
            </w:pPr>
            <w:r>
              <w:rPr>
                <w:rFonts w:eastAsia="等线" w:cs="Times New Roman"/>
                <w:color w:val="000000"/>
                <w:szCs w:val="21"/>
              </w:rPr>
              <w:t>0.0</w:t>
            </w:r>
            <w:r>
              <w:rPr>
                <w:rFonts w:hint="eastAsia" w:eastAsia="等线" w:cs="Times New Roman"/>
                <w:color w:val="000000"/>
                <w:szCs w:val="21"/>
              </w:rPr>
              <w:t>187</w:t>
            </w:r>
          </w:p>
        </w:tc>
        <w:tc>
          <w:tcPr>
            <w:tcW w:w="285" w:type="pct"/>
            <w:vAlign w:val="center"/>
          </w:tcPr>
          <w:p w14:paraId="6FDBAD55">
            <w:pPr>
              <w:pStyle w:val="133"/>
            </w:pPr>
            <w:r>
              <w:rPr>
                <w:rFonts w:hint="eastAsia" w:eastAsia="等线" w:cs="Times New Roman"/>
                <w:color w:val="000000"/>
                <w:szCs w:val="21"/>
              </w:rPr>
              <w:t>0.0936</w:t>
            </w:r>
          </w:p>
        </w:tc>
        <w:tc>
          <w:tcPr>
            <w:tcW w:w="247" w:type="pct"/>
            <w:vAlign w:val="center"/>
          </w:tcPr>
          <w:p w14:paraId="59958FB6">
            <w:pPr>
              <w:pStyle w:val="133"/>
            </w:pPr>
            <w:r>
              <w:rPr>
                <w:rFonts w:hint="eastAsia" w:eastAsia="等线" w:cs="Times New Roman"/>
                <w:color w:val="000000"/>
                <w:szCs w:val="21"/>
              </w:rPr>
              <w:t>0.468</w:t>
            </w:r>
          </w:p>
        </w:tc>
        <w:tc>
          <w:tcPr>
            <w:tcW w:w="296" w:type="pct"/>
            <w:vAlign w:val="center"/>
          </w:tcPr>
          <w:p w14:paraId="59B72071">
            <w:pPr>
              <w:pStyle w:val="133"/>
            </w:pPr>
            <w:r>
              <w:rPr>
                <w:rFonts w:hint="eastAsia" w:eastAsia="等线" w:cs="Times New Roman"/>
                <w:color w:val="000000"/>
                <w:szCs w:val="21"/>
              </w:rPr>
              <w:t>0.0281</w:t>
            </w:r>
          </w:p>
        </w:tc>
        <w:tc>
          <w:tcPr>
            <w:tcW w:w="433" w:type="pct"/>
            <w:vAlign w:val="center"/>
          </w:tcPr>
          <w:p w14:paraId="61647B65">
            <w:pPr>
              <w:pStyle w:val="133"/>
              <w:rPr>
                <w:rFonts w:eastAsia="等线" w:cs="Times New Roman"/>
                <w:color w:val="000000"/>
                <w:szCs w:val="21"/>
              </w:rPr>
            </w:pPr>
            <w:r>
              <w:rPr>
                <w:rFonts w:hint="eastAsia" w:eastAsia="等线" w:cs="Times New Roman"/>
                <w:color w:val="000000"/>
                <w:szCs w:val="21"/>
              </w:rPr>
              <w:t>0.702</w:t>
            </w:r>
          </w:p>
        </w:tc>
        <w:tc>
          <w:tcPr>
            <w:tcW w:w="357" w:type="pct"/>
            <w:vAlign w:val="center"/>
          </w:tcPr>
          <w:p w14:paraId="66DEC48E">
            <w:pPr>
              <w:pStyle w:val="133"/>
              <w:rPr>
                <w:rFonts w:eastAsia="等线" w:cs="Times New Roman"/>
                <w:color w:val="000000"/>
                <w:szCs w:val="21"/>
              </w:rPr>
            </w:pPr>
          </w:p>
        </w:tc>
        <w:tc>
          <w:tcPr>
            <w:tcW w:w="440" w:type="pct"/>
            <w:noWrap/>
            <w:vAlign w:val="center"/>
          </w:tcPr>
          <w:p w14:paraId="0B2766E3">
            <w:pPr>
              <w:pStyle w:val="133"/>
            </w:pPr>
            <w:r>
              <w:rPr>
                <w:rFonts w:eastAsia="等线" w:cs="Times New Roman"/>
                <w:color w:val="000000"/>
                <w:szCs w:val="21"/>
              </w:rPr>
              <w:t>85×80</w:t>
            </w:r>
          </w:p>
        </w:tc>
        <w:tc>
          <w:tcPr>
            <w:tcW w:w="419" w:type="pct"/>
            <w:noWrap/>
            <w:vAlign w:val="center"/>
          </w:tcPr>
          <w:p w14:paraId="01A2CA24">
            <w:pPr>
              <w:pStyle w:val="133"/>
            </w:pPr>
            <w:r>
              <w:rPr>
                <w:rFonts w:eastAsia="等线" w:cs="Times New Roman"/>
                <w:color w:val="000000"/>
                <w:szCs w:val="21"/>
              </w:rPr>
              <w:t>10</w:t>
            </w:r>
          </w:p>
        </w:tc>
        <w:tc>
          <w:tcPr>
            <w:tcW w:w="681" w:type="pct"/>
            <w:noWrap/>
          </w:tcPr>
          <w:p w14:paraId="5D3178FB">
            <w:pPr>
              <w:pStyle w:val="133"/>
            </w:pPr>
            <w:r>
              <w:rPr>
                <w:rFonts w:hint="eastAsia"/>
              </w:rPr>
              <w:t>未收集</w:t>
            </w:r>
          </w:p>
        </w:tc>
      </w:tr>
      <w:tr w14:paraId="544DB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49" w:type="pct"/>
            <w:vMerge w:val="continue"/>
            <w:vAlign w:val="center"/>
          </w:tcPr>
          <w:p w14:paraId="3353F821">
            <w:pPr>
              <w:pStyle w:val="133"/>
            </w:pPr>
          </w:p>
        </w:tc>
        <w:tc>
          <w:tcPr>
            <w:tcW w:w="582" w:type="pct"/>
            <w:vAlign w:val="center"/>
          </w:tcPr>
          <w:p w14:paraId="3762C854">
            <w:pPr>
              <w:pStyle w:val="133"/>
            </w:pPr>
            <w:r>
              <w:rPr>
                <w:rFonts w:hint="eastAsia"/>
              </w:rPr>
              <w:t>炭化炉区</w:t>
            </w:r>
          </w:p>
        </w:tc>
        <w:tc>
          <w:tcPr>
            <w:tcW w:w="291" w:type="pct"/>
            <w:vAlign w:val="center"/>
          </w:tcPr>
          <w:p w14:paraId="63AC1D26">
            <w:pPr>
              <w:pStyle w:val="133"/>
            </w:pPr>
            <w:r>
              <w:rPr>
                <w:rFonts w:hint="eastAsia" w:eastAsia="等线" w:cs="Times New Roman"/>
                <w:color w:val="000000"/>
                <w:szCs w:val="21"/>
              </w:rPr>
              <w:t>9.072</w:t>
            </w:r>
          </w:p>
        </w:tc>
        <w:tc>
          <w:tcPr>
            <w:tcW w:w="398" w:type="pct"/>
            <w:vAlign w:val="center"/>
          </w:tcPr>
          <w:p w14:paraId="5CE72474">
            <w:pPr>
              <w:pStyle w:val="133"/>
            </w:pPr>
            <w:r>
              <w:rPr>
                <w:rFonts w:eastAsia="等线" w:cs="Times New Roman"/>
                <w:color w:val="000000"/>
                <w:szCs w:val="21"/>
              </w:rPr>
              <w:t>0.0000</w:t>
            </w:r>
            <w:r>
              <w:rPr>
                <w:rFonts w:hint="eastAsia" w:eastAsia="等线" w:cs="Times New Roman"/>
                <w:color w:val="000000"/>
                <w:szCs w:val="21"/>
              </w:rPr>
              <w:t>11</w:t>
            </w:r>
          </w:p>
        </w:tc>
        <w:tc>
          <w:tcPr>
            <w:tcW w:w="322" w:type="pct"/>
            <w:vAlign w:val="center"/>
          </w:tcPr>
          <w:p w14:paraId="2A6E5454">
            <w:pPr>
              <w:pStyle w:val="133"/>
            </w:pPr>
          </w:p>
        </w:tc>
        <w:tc>
          <w:tcPr>
            <w:tcW w:w="285" w:type="pct"/>
            <w:vAlign w:val="center"/>
          </w:tcPr>
          <w:p w14:paraId="65A5DA5A">
            <w:pPr>
              <w:pStyle w:val="133"/>
            </w:pPr>
            <w:r>
              <w:rPr>
                <w:rFonts w:eastAsia="等线" w:cs="Times New Roman"/>
                <w:color w:val="000000"/>
                <w:szCs w:val="21"/>
              </w:rPr>
              <w:t>0.0</w:t>
            </w:r>
            <w:r>
              <w:rPr>
                <w:rFonts w:hint="eastAsia" w:eastAsia="等线" w:cs="Times New Roman"/>
                <w:color w:val="000000"/>
                <w:szCs w:val="21"/>
              </w:rPr>
              <w:t>29</w:t>
            </w:r>
          </w:p>
        </w:tc>
        <w:tc>
          <w:tcPr>
            <w:tcW w:w="247" w:type="pct"/>
            <w:vAlign w:val="center"/>
          </w:tcPr>
          <w:p w14:paraId="26B6A59C">
            <w:pPr>
              <w:pStyle w:val="133"/>
            </w:pPr>
            <w:r>
              <w:rPr>
                <w:rFonts w:eastAsia="等线" w:cs="Times New Roman"/>
                <w:color w:val="000000"/>
                <w:szCs w:val="21"/>
              </w:rPr>
              <w:t>0.</w:t>
            </w:r>
            <w:r>
              <w:rPr>
                <w:rFonts w:hint="eastAsia" w:eastAsia="等线" w:cs="Times New Roman"/>
                <w:color w:val="000000"/>
                <w:szCs w:val="21"/>
              </w:rPr>
              <w:t>756</w:t>
            </w:r>
          </w:p>
        </w:tc>
        <w:tc>
          <w:tcPr>
            <w:tcW w:w="296" w:type="pct"/>
            <w:vAlign w:val="center"/>
          </w:tcPr>
          <w:p w14:paraId="47FC0F43">
            <w:pPr>
              <w:pStyle w:val="133"/>
            </w:pPr>
            <w:r>
              <w:rPr>
                <w:rFonts w:eastAsia="等线" w:cs="Times New Roman"/>
                <w:color w:val="000000"/>
                <w:szCs w:val="21"/>
              </w:rPr>
              <w:t>0.</w:t>
            </w:r>
            <w:r>
              <w:rPr>
                <w:rFonts w:hint="eastAsia" w:eastAsia="等线" w:cs="Times New Roman"/>
                <w:color w:val="000000"/>
                <w:szCs w:val="21"/>
              </w:rPr>
              <w:t>216</w:t>
            </w:r>
          </w:p>
        </w:tc>
        <w:tc>
          <w:tcPr>
            <w:tcW w:w="433" w:type="pct"/>
            <w:vAlign w:val="center"/>
          </w:tcPr>
          <w:p w14:paraId="2BE26305">
            <w:pPr>
              <w:pStyle w:val="133"/>
              <w:rPr>
                <w:rFonts w:eastAsia="等线" w:cs="Times New Roman"/>
                <w:color w:val="000000"/>
                <w:szCs w:val="21"/>
              </w:rPr>
            </w:pPr>
          </w:p>
        </w:tc>
        <w:tc>
          <w:tcPr>
            <w:tcW w:w="357" w:type="pct"/>
            <w:vAlign w:val="center"/>
          </w:tcPr>
          <w:p w14:paraId="26FD7CF3">
            <w:pPr>
              <w:pStyle w:val="133"/>
              <w:rPr>
                <w:rFonts w:eastAsia="等线" w:cs="Times New Roman"/>
                <w:color w:val="000000"/>
                <w:szCs w:val="21"/>
              </w:rPr>
            </w:pPr>
            <w:r>
              <w:rPr>
                <w:rFonts w:hint="eastAsia" w:eastAsia="等线" w:cs="Times New Roman"/>
                <w:color w:val="000000"/>
                <w:szCs w:val="21"/>
              </w:rPr>
              <w:t>66.582</w:t>
            </w:r>
          </w:p>
        </w:tc>
        <w:tc>
          <w:tcPr>
            <w:tcW w:w="440" w:type="pct"/>
            <w:noWrap/>
            <w:vAlign w:val="center"/>
          </w:tcPr>
          <w:p w14:paraId="65AF50B7">
            <w:pPr>
              <w:pStyle w:val="133"/>
            </w:pPr>
            <w:r>
              <w:rPr>
                <w:rFonts w:eastAsia="等线" w:cs="Times New Roman"/>
                <w:color w:val="000000"/>
                <w:szCs w:val="21"/>
              </w:rPr>
              <w:t>60×40</w:t>
            </w:r>
          </w:p>
        </w:tc>
        <w:tc>
          <w:tcPr>
            <w:tcW w:w="419" w:type="pct"/>
            <w:noWrap/>
            <w:vAlign w:val="center"/>
          </w:tcPr>
          <w:p w14:paraId="11B85F8A">
            <w:pPr>
              <w:pStyle w:val="133"/>
            </w:pPr>
            <w:r>
              <w:rPr>
                <w:rFonts w:eastAsia="等线" w:cs="Times New Roman"/>
                <w:color w:val="000000"/>
                <w:szCs w:val="21"/>
              </w:rPr>
              <w:t>10</w:t>
            </w:r>
          </w:p>
        </w:tc>
        <w:tc>
          <w:tcPr>
            <w:tcW w:w="681" w:type="pct"/>
            <w:noWrap/>
            <w:vAlign w:val="center"/>
          </w:tcPr>
          <w:p w14:paraId="6935E98D">
            <w:pPr>
              <w:pStyle w:val="133"/>
            </w:pPr>
            <w:bookmarkStart w:id="316" w:name="OLE_LINK33"/>
            <w:r>
              <w:rPr>
                <w:rFonts w:hint="eastAsia"/>
              </w:rPr>
              <w:t>未收集</w:t>
            </w:r>
            <w:bookmarkEnd w:id="316"/>
          </w:p>
        </w:tc>
      </w:tr>
      <w:tr w14:paraId="351B04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49" w:type="pct"/>
            <w:vMerge w:val="continue"/>
            <w:vAlign w:val="center"/>
          </w:tcPr>
          <w:p w14:paraId="45778424">
            <w:pPr>
              <w:pStyle w:val="133"/>
            </w:pPr>
          </w:p>
        </w:tc>
        <w:tc>
          <w:tcPr>
            <w:tcW w:w="582" w:type="pct"/>
            <w:vAlign w:val="center"/>
          </w:tcPr>
          <w:p w14:paraId="15154008">
            <w:pPr>
              <w:pStyle w:val="133"/>
            </w:pPr>
            <w:r>
              <w:rPr>
                <w:rFonts w:hint="eastAsia"/>
              </w:rPr>
              <w:t>焦油罐区</w:t>
            </w:r>
          </w:p>
        </w:tc>
        <w:tc>
          <w:tcPr>
            <w:tcW w:w="291" w:type="pct"/>
            <w:vAlign w:val="center"/>
          </w:tcPr>
          <w:p w14:paraId="6B463C69">
            <w:pPr>
              <w:pStyle w:val="133"/>
            </w:pPr>
          </w:p>
        </w:tc>
        <w:tc>
          <w:tcPr>
            <w:tcW w:w="398" w:type="pct"/>
            <w:vAlign w:val="center"/>
          </w:tcPr>
          <w:p w14:paraId="00886941">
            <w:pPr>
              <w:pStyle w:val="133"/>
            </w:pPr>
          </w:p>
        </w:tc>
        <w:tc>
          <w:tcPr>
            <w:tcW w:w="322" w:type="pct"/>
            <w:vAlign w:val="center"/>
          </w:tcPr>
          <w:p w14:paraId="0C3AA5AD">
            <w:pPr>
              <w:pStyle w:val="133"/>
            </w:pPr>
          </w:p>
        </w:tc>
        <w:tc>
          <w:tcPr>
            <w:tcW w:w="285" w:type="pct"/>
            <w:vAlign w:val="center"/>
          </w:tcPr>
          <w:p w14:paraId="40F2A721">
            <w:pPr>
              <w:pStyle w:val="133"/>
            </w:pPr>
          </w:p>
        </w:tc>
        <w:tc>
          <w:tcPr>
            <w:tcW w:w="247" w:type="pct"/>
            <w:vAlign w:val="center"/>
          </w:tcPr>
          <w:p w14:paraId="380274B1">
            <w:pPr>
              <w:pStyle w:val="133"/>
            </w:pPr>
          </w:p>
        </w:tc>
        <w:tc>
          <w:tcPr>
            <w:tcW w:w="296" w:type="pct"/>
            <w:vAlign w:val="center"/>
          </w:tcPr>
          <w:p w14:paraId="51438869">
            <w:pPr>
              <w:pStyle w:val="133"/>
            </w:pPr>
          </w:p>
        </w:tc>
        <w:tc>
          <w:tcPr>
            <w:tcW w:w="433" w:type="pct"/>
            <w:vAlign w:val="center"/>
          </w:tcPr>
          <w:p w14:paraId="26D50361">
            <w:pPr>
              <w:pStyle w:val="133"/>
              <w:rPr>
                <w:rFonts w:eastAsia="等线" w:cs="Times New Roman"/>
                <w:color w:val="000000"/>
                <w:szCs w:val="21"/>
              </w:rPr>
            </w:pPr>
            <w:r>
              <w:rPr>
                <w:rFonts w:hint="eastAsia" w:eastAsia="等线" w:cs="Times New Roman"/>
                <w:color w:val="000000"/>
                <w:szCs w:val="21"/>
              </w:rPr>
              <w:t>9.194</w:t>
            </w:r>
          </w:p>
        </w:tc>
        <w:tc>
          <w:tcPr>
            <w:tcW w:w="357" w:type="pct"/>
            <w:vAlign w:val="center"/>
          </w:tcPr>
          <w:p w14:paraId="54EF74E8">
            <w:pPr>
              <w:pStyle w:val="133"/>
              <w:rPr>
                <w:rFonts w:eastAsia="等线" w:cs="Times New Roman"/>
                <w:color w:val="000000"/>
                <w:szCs w:val="21"/>
              </w:rPr>
            </w:pPr>
          </w:p>
        </w:tc>
        <w:tc>
          <w:tcPr>
            <w:tcW w:w="440" w:type="pct"/>
            <w:noWrap/>
            <w:vAlign w:val="center"/>
          </w:tcPr>
          <w:p w14:paraId="0164CBDD">
            <w:pPr>
              <w:pStyle w:val="133"/>
            </w:pPr>
            <w:r>
              <w:rPr>
                <w:rFonts w:hint="eastAsia" w:eastAsia="等线" w:cs="Times New Roman"/>
                <w:color w:val="000000"/>
                <w:szCs w:val="21"/>
              </w:rPr>
              <w:t>38</w:t>
            </w:r>
            <w:r>
              <w:rPr>
                <w:rFonts w:eastAsia="等线" w:cs="Times New Roman"/>
                <w:color w:val="000000"/>
                <w:szCs w:val="21"/>
              </w:rPr>
              <w:t>×</w:t>
            </w:r>
            <w:r>
              <w:rPr>
                <w:rFonts w:hint="eastAsia" w:eastAsia="等线" w:cs="Times New Roman"/>
                <w:color w:val="000000"/>
                <w:szCs w:val="21"/>
              </w:rPr>
              <w:t>55</w:t>
            </w:r>
          </w:p>
        </w:tc>
        <w:tc>
          <w:tcPr>
            <w:tcW w:w="419" w:type="pct"/>
            <w:noWrap/>
            <w:vAlign w:val="center"/>
          </w:tcPr>
          <w:p w14:paraId="12EDA020">
            <w:pPr>
              <w:pStyle w:val="133"/>
            </w:pPr>
            <w:r>
              <w:rPr>
                <w:rFonts w:eastAsia="等线" w:cs="Times New Roman"/>
                <w:color w:val="000000"/>
                <w:szCs w:val="21"/>
              </w:rPr>
              <w:t>15</w:t>
            </w:r>
          </w:p>
        </w:tc>
        <w:tc>
          <w:tcPr>
            <w:tcW w:w="681" w:type="pct"/>
            <w:noWrap/>
          </w:tcPr>
          <w:p w14:paraId="4124A000">
            <w:pPr>
              <w:pStyle w:val="133"/>
            </w:pPr>
            <w:r>
              <w:rPr>
                <w:rFonts w:hint="eastAsia"/>
              </w:rPr>
              <w:t>未收集</w:t>
            </w:r>
          </w:p>
        </w:tc>
      </w:tr>
      <w:tr w14:paraId="74DB5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249" w:type="pct"/>
            <w:vMerge w:val="continue"/>
            <w:vAlign w:val="center"/>
          </w:tcPr>
          <w:p w14:paraId="6877DD16">
            <w:pPr>
              <w:pStyle w:val="133"/>
            </w:pPr>
          </w:p>
        </w:tc>
        <w:tc>
          <w:tcPr>
            <w:tcW w:w="582" w:type="pct"/>
            <w:vAlign w:val="center"/>
          </w:tcPr>
          <w:p w14:paraId="596977D2">
            <w:pPr>
              <w:pStyle w:val="133"/>
            </w:pPr>
            <w:r>
              <w:rPr>
                <w:rFonts w:hint="eastAsia"/>
              </w:rPr>
              <w:t>装车站</w:t>
            </w:r>
          </w:p>
        </w:tc>
        <w:tc>
          <w:tcPr>
            <w:tcW w:w="291" w:type="pct"/>
            <w:vAlign w:val="center"/>
          </w:tcPr>
          <w:p w14:paraId="3E26A388">
            <w:pPr>
              <w:pStyle w:val="133"/>
            </w:pPr>
          </w:p>
        </w:tc>
        <w:tc>
          <w:tcPr>
            <w:tcW w:w="398" w:type="pct"/>
            <w:vAlign w:val="center"/>
          </w:tcPr>
          <w:p w14:paraId="6B5C75FD">
            <w:pPr>
              <w:pStyle w:val="133"/>
            </w:pPr>
          </w:p>
        </w:tc>
        <w:tc>
          <w:tcPr>
            <w:tcW w:w="322" w:type="pct"/>
            <w:vAlign w:val="center"/>
          </w:tcPr>
          <w:p w14:paraId="55276617">
            <w:pPr>
              <w:pStyle w:val="133"/>
            </w:pPr>
          </w:p>
        </w:tc>
        <w:tc>
          <w:tcPr>
            <w:tcW w:w="285" w:type="pct"/>
            <w:vAlign w:val="center"/>
          </w:tcPr>
          <w:p w14:paraId="638471DF">
            <w:pPr>
              <w:pStyle w:val="133"/>
            </w:pPr>
          </w:p>
        </w:tc>
        <w:tc>
          <w:tcPr>
            <w:tcW w:w="247" w:type="pct"/>
            <w:vAlign w:val="center"/>
          </w:tcPr>
          <w:p w14:paraId="6B1158F7">
            <w:pPr>
              <w:pStyle w:val="133"/>
            </w:pPr>
          </w:p>
        </w:tc>
        <w:tc>
          <w:tcPr>
            <w:tcW w:w="296" w:type="pct"/>
            <w:vAlign w:val="center"/>
          </w:tcPr>
          <w:p w14:paraId="138EFD96">
            <w:pPr>
              <w:pStyle w:val="133"/>
            </w:pPr>
          </w:p>
        </w:tc>
        <w:tc>
          <w:tcPr>
            <w:tcW w:w="433" w:type="pct"/>
            <w:vAlign w:val="center"/>
          </w:tcPr>
          <w:p w14:paraId="6FA30EB9">
            <w:pPr>
              <w:pStyle w:val="133"/>
              <w:rPr>
                <w:rFonts w:eastAsia="等线" w:cs="Times New Roman"/>
                <w:color w:val="000000"/>
                <w:szCs w:val="21"/>
              </w:rPr>
            </w:pPr>
            <w:r>
              <w:rPr>
                <w:rFonts w:hint="eastAsia" w:eastAsia="等线" w:cs="Times New Roman"/>
                <w:color w:val="000000"/>
                <w:szCs w:val="21"/>
              </w:rPr>
              <w:t>1.973</w:t>
            </w:r>
          </w:p>
        </w:tc>
        <w:tc>
          <w:tcPr>
            <w:tcW w:w="357" w:type="pct"/>
            <w:vAlign w:val="center"/>
          </w:tcPr>
          <w:p w14:paraId="5D78C7FD">
            <w:pPr>
              <w:pStyle w:val="133"/>
              <w:rPr>
                <w:rFonts w:eastAsia="等线" w:cs="Times New Roman"/>
                <w:color w:val="000000"/>
                <w:szCs w:val="21"/>
              </w:rPr>
            </w:pPr>
          </w:p>
        </w:tc>
        <w:tc>
          <w:tcPr>
            <w:tcW w:w="440" w:type="pct"/>
            <w:noWrap/>
            <w:vAlign w:val="center"/>
          </w:tcPr>
          <w:p w14:paraId="7D9D2D9E">
            <w:pPr>
              <w:pStyle w:val="133"/>
            </w:pPr>
            <w:r>
              <w:rPr>
                <w:rFonts w:eastAsia="等线" w:cs="Times New Roman"/>
                <w:color w:val="000000"/>
                <w:szCs w:val="21"/>
              </w:rPr>
              <w:t>5×18</w:t>
            </w:r>
          </w:p>
        </w:tc>
        <w:tc>
          <w:tcPr>
            <w:tcW w:w="419" w:type="pct"/>
            <w:noWrap/>
            <w:vAlign w:val="center"/>
          </w:tcPr>
          <w:p w14:paraId="11EBF825">
            <w:pPr>
              <w:pStyle w:val="133"/>
            </w:pPr>
            <w:r>
              <w:rPr>
                <w:rFonts w:eastAsia="等线" w:cs="Times New Roman"/>
                <w:color w:val="000000"/>
                <w:szCs w:val="21"/>
              </w:rPr>
              <w:t>5</w:t>
            </w:r>
          </w:p>
        </w:tc>
        <w:tc>
          <w:tcPr>
            <w:tcW w:w="681" w:type="pct"/>
            <w:noWrap/>
          </w:tcPr>
          <w:p w14:paraId="249B4CBB">
            <w:pPr>
              <w:pStyle w:val="133"/>
            </w:pPr>
            <w:r>
              <w:rPr>
                <w:rFonts w:hint="eastAsia"/>
              </w:rPr>
              <w:t>未收集</w:t>
            </w:r>
          </w:p>
        </w:tc>
      </w:tr>
      <w:tr w14:paraId="7FFF97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249" w:type="pct"/>
            <w:vMerge w:val="continue"/>
            <w:vAlign w:val="center"/>
          </w:tcPr>
          <w:p w14:paraId="1DE40942">
            <w:pPr>
              <w:pStyle w:val="133"/>
            </w:pPr>
          </w:p>
        </w:tc>
        <w:tc>
          <w:tcPr>
            <w:tcW w:w="582" w:type="pct"/>
            <w:vAlign w:val="center"/>
          </w:tcPr>
          <w:p w14:paraId="5043EAB0">
            <w:pPr>
              <w:pStyle w:val="133"/>
            </w:pPr>
            <w:r>
              <w:rPr>
                <w:rFonts w:hint="eastAsia"/>
              </w:rPr>
              <w:t>废水焚烧系统</w:t>
            </w:r>
          </w:p>
        </w:tc>
        <w:tc>
          <w:tcPr>
            <w:tcW w:w="291" w:type="pct"/>
            <w:vAlign w:val="center"/>
          </w:tcPr>
          <w:p w14:paraId="588F473D">
            <w:pPr>
              <w:pStyle w:val="133"/>
            </w:pPr>
          </w:p>
        </w:tc>
        <w:tc>
          <w:tcPr>
            <w:tcW w:w="398" w:type="pct"/>
            <w:vAlign w:val="center"/>
          </w:tcPr>
          <w:p w14:paraId="0BACDF2E">
            <w:pPr>
              <w:pStyle w:val="133"/>
            </w:pPr>
          </w:p>
        </w:tc>
        <w:tc>
          <w:tcPr>
            <w:tcW w:w="322" w:type="pct"/>
            <w:vAlign w:val="center"/>
          </w:tcPr>
          <w:p w14:paraId="01FAB065">
            <w:pPr>
              <w:pStyle w:val="133"/>
            </w:pPr>
          </w:p>
        </w:tc>
        <w:tc>
          <w:tcPr>
            <w:tcW w:w="285" w:type="pct"/>
            <w:vAlign w:val="center"/>
          </w:tcPr>
          <w:p w14:paraId="094DCD84">
            <w:pPr>
              <w:pStyle w:val="133"/>
            </w:pPr>
          </w:p>
        </w:tc>
        <w:tc>
          <w:tcPr>
            <w:tcW w:w="247" w:type="pct"/>
            <w:vAlign w:val="center"/>
          </w:tcPr>
          <w:p w14:paraId="08D1E4A0">
            <w:pPr>
              <w:pStyle w:val="133"/>
            </w:pPr>
          </w:p>
        </w:tc>
        <w:tc>
          <w:tcPr>
            <w:tcW w:w="296" w:type="pct"/>
            <w:vAlign w:val="center"/>
          </w:tcPr>
          <w:p w14:paraId="773C83E9">
            <w:pPr>
              <w:pStyle w:val="133"/>
            </w:pPr>
          </w:p>
        </w:tc>
        <w:tc>
          <w:tcPr>
            <w:tcW w:w="433" w:type="pct"/>
            <w:vAlign w:val="center"/>
          </w:tcPr>
          <w:p w14:paraId="679D829F">
            <w:pPr>
              <w:pStyle w:val="133"/>
              <w:rPr>
                <w:rFonts w:eastAsia="等线" w:cs="Times New Roman"/>
                <w:color w:val="000000"/>
                <w:szCs w:val="21"/>
              </w:rPr>
            </w:pPr>
            <w:r>
              <w:rPr>
                <w:rFonts w:hint="eastAsia" w:eastAsia="等线" w:cs="Times New Roman"/>
                <w:color w:val="000000"/>
                <w:szCs w:val="21"/>
              </w:rPr>
              <w:t>0.792</w:t>
            </w:r>
          </w:p>
        </w:tc>
        <w:tc>
          <w:tcPr>
            <w:tcW w:w="357" w:type="pct"/>
            <w:vAlign w:val="center"/>
          </w:tcPr>
          <w:p w14:paraId="20A9062C">
            <w:pPr>
              <w:pStyle w:val="133"/>
              <w:rPr>
                <w:rFonts w:eastAsia="等线" w:cs="Times New Roman"/>
                <w:color w:val="000000"/>
                <w:szCs w:val="21"/>
              </w:rPr>
            </w:pPr>
          </w:p>
        </w:tc>
        <w:tc>
          <w:tcPr>
            <w:tcW w:w="440" w:type="pct"/>
            <w:noWrap/>
            <w:vAlign w:val="center"/>
          </w:tcPr>
          <w:p w14:paraId="0F5E9BDB">
            <w:pPr>
              <w:pStyle w:val="133"/>
            </w:pPr>
            <w:r>
              <w:rPr>
                <w:rFonts w:hint="eastAsia" w:eastAsia="等线" w:cs="Times New Roman"/>
                <w:color w:val="000000"/>
                <w:szCs w:val="21"/>
              </w:rPr>
              <w:t>18</w:t>
            </w:r>
            <w:r>
              <w:rPr>
                <w:rFonts w:eastAsia="等线" w:cs="Times New Roman"/>
                <w:color w:val="000000"/>
                <w:szCs w:val="21"/>
              </w:rPr>
              <w:t>×</w:t>
            </w:r>
            <w:r>
              <w:rPr>
                <w:rFonts w:hint="eastAsia" w:eastAsia="等线" w:cs="Times New Roman"/>
                <w:color w:val="000000"/>
                <w:szCs w:val="21"/>
              </w:rPr>
              <w:t>42</w:t>
            </w:r>
          </w:p>
        </w:tc>
        <w:tc>
          <w:tcPr>
            <w:tcW w:w="419" w:type="pct"/>
            <w:noWrap/>
            <w:vAlign w:val="center"/>
          </w:tcPr>
          <w:p w14:paraId="3B8DDA2E">
            <w:pPr>
              <w:pStyle w:val="133"/>
            </w:pPr>
            <w:r>
              <w:rPr>
                <w:rFonts w:eastAsia="等线" w:cs="Times New Roman"/>
                <w:color w:val="000000"/>
                <w:szCs w:val="21"/>
              </w:rPr>
              <w:t>5</w:t>
            </w:r>
          </w:p>
        </w:tc>
        <w:tc>
          <w:tcPr>
            <w:tcW w:w="681" w:type="pct"/>
            <w:noWrap/>
            <w:vAlign w:val="center"/>
          </w:tcPr>
          <w:p w14:paraId="4BF7E456">
            <w:pPr>
              <w:pStyle w:val="133"/>
            </w:pPr>
            <w:r>
              <w:rPr>
                <w:rFonts w:hint="eastAsia"/>
              </w:rPr>
              <w:t>未收集</w:t>
            </w:r>
          </w:p>
        </w:tc>
      </w:tr>
      <w:tr w14:paraId="46199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831" w:type="pct"/>
            <w:gridSpan w:val="2"/>
            <w:vAlign w:val="center"/>
          </w:tcPr>
          <w:p w14:paraId="0B761868">
            <w:pPr>
              <w:pStyle w:val="133"/>
            </w:pPr>
            <w:r>
              <w:rPr>
                <w:rFonts w:hint="eastAsia"/>
              </w:rPr>
              <w:t>合计</w:t>
            </w:r>
          </w:p>
        </w:tc>
        <w:tc>
          <w:tcPr>
            <w:tcW w:w="291" w:type="pct"/>
            <w:vAlign w:val="center"/>
          </w:tcPr>
          <w:p w14:paraId="4C930574">
            <w:pPr>
              <w:pStyle w:val="133"/>
            </w:pPr>
            <w:r>
              <w:rPr>
                <w:rFonts w:hint="eastAsia" w:eastAsia="等线" w:cs="Times New Roman"/>
                <w:color w:val="000000"/>
                <w:szCs w:val="21"/>
              </w:rPr>
              <w:t>9.072</w:t>
            </w:r>
          </w:p>
        </w:tc>
        <w:tc>
          <w:tcPr>
            <w:tcW w:w="398" w:type="pct"/>
            <w:vAlign w:val="center"/>
          </w:tcPr>
          <w:p w14:paraId="3F450B68">
            <w:pPr>
              <w:pStyle w:val="133"/>
            </w:pPr>
            <w:r>
              <w:rPr>
                <w:rFonts w:eastAsia="等线" w:cs="Times New Roman"/>
                <w:color w:val="000000"/>
                <w:szCs w:val="21"/>
              </w:rPr>
              <w:t>0.00</w:t>
            </w:r>
            <w:r>
              <w:rPr>
                <w:rFonts w:hint="eastAsia" w:eastAsia="等线" w:cs="Times New Roman"/>
                <w:color w:val="000000"/>
                <w:szCs w:val="21"/>
              </w:rPr>
              <w:t>24</w:t>
            </w:r>
          </w:p>
        </w:tc>
        <w:tc>
          <w:tcPr>
            <w:tcW w:w="322" w:type="pct"/>
            <w:vAlign w:val="center"/>
          </w:tcPr>
          <w:p w14:paraId="56D36D92">
            <w:pPr>
              <w:pStyle w:val="133"/>
            </w:pPr>
            <w:r>
              <w:rPr>
                <w:rFonts w:eastAsia="等线" w:cs="Times New Roman"/>
                <w:color w:val="000000"/>
                <w:szCs w:val="21"/>
              </w:rPr>
              <w:t>0.0</w:t>
            </w:r>
            <w:r>
              <w:rPr>
                <w:rFonts w:hint="eastAsia" w:eastAsia="等线" w:cs="Times New Roman"/>
                <w:color w:val="000000"/>
                <w:szCs w:val="21"/>
              </w:rPr>
              <w:t>187</w:t>
            </w:r>
          </w:p>
        </w:tc>
        <w:tc>
          <w:tcPr>
            <w:tcW w:w="285" w:type="pct"/>
            <w:vAlign w:val="center"/>
          </w:tcPr>
          <w:p w14:paraId="081F5D3F">
            <w:pPr>
              <w:pStyle w:val="133"/>
            </w:pPr>
            <w:r>
              <w:rPr>
                <w:rFonts w:eastAsia="等线" w:cs="Times New Roman"/>
                <w:color w:val="000000"/>
                <w:szCs w:val="21"/>
              </w:rPr>
              <w:t>0.</w:t>
            </w:r>
            <w:r>
              <w:rPr>
                <w:rFonts w:hint="eastAsia" w:eastAsia="等线" w:cs="Times New Roman"/>
                <w:color w:val="000000"/>
                <w:szCs w:val="21"/>
              </w:rPr>
              <w:t>12</w:t>
            </w:r>
          </w:p>
        </w:tc>
        <w:tc>
          <w:tcPr>
            <w:tcW w:w="247" w:type="pct"/>
            <w:vAlign w:val="center"/>
          </w:tcPr>
          <w:p w14:paraId="3649003F">
            <w:pPr>
              <w:pStyle w:val="133"/>
            </w:pPr>
            <w:r>
              <w:rPr>
                <w:rFonts w:hint="eastAsia" w:eastAsia="等线" w:cs="Times New Roman"/>
                <w:color w:val="000000"/>
                <w:szCs w:val="21"/>
              </w:rPr>
              <w:t>1.22</w:t>
            </w:r>
          </w:p>
        </w:tc>
        <w:tc>
          <w:tcPr>
            <w:tcW w:w="296" w:type="pct"/>
            <w:vAlign w:val="center"/>
          </w:tcPr>
          <w:p w14:paraId="299B39DE">
            <w:pPr>
              <w:pStyle w:val="133"/>
            </w:pPr>
            <w:r>
              <w:rPr>
                <w:rFonts w:eastAsia="等线" w:cs="Times New Roman"/>
                <w:color w:val="000000"/>
                <w:szCs w:val="21"/>
              </w:rPr>
              <w:t>0</w:t>
            </w:r>
            <w:r>
              <w:rPr>
                <w:rFonts w:hint="eastAsia" w:eastAsia="等线" w:cs="Times New Roman"/>
                <w:color w:val="000000"/>
                <w:szCs w:val="21"/>
              </w:rPr>
              <w:t>.24</w:t>
            </w:r>
          </w:p>
        </w:tc>
        <w:tc>
          <w:tcPr>
            <w:tcW w:w="433" w:type="pct"/>
            <w:vAlign w:val="center"/>
          </w:tcPr>
          <w:p w14:paraId="4307D057">
            <w:pPr>
              <w:pStyle w:val="133"/>
              <w:rPr>
                <w:rFonts w:eastAsia="等线" w:cs="Times New Roman"/>
                <w:color w:val="000000"/>
                <w:szCs w:val="21"/>
              </w:rPr>
            </w:pPr>
            <w:r>
              <w:rPr>
                <w:rFonts w:hint="eastAsia" w:eastAsia="等线" w:cs="Times New Roman"/>
                <w:color w:val="000000"/>
                <w:szCs w:val="21"/>
              </w:rPr>
              <w:t>12.66</w:t>
            </w:r>
          </w:p>
        </w:tc>
        <w:tc>
          <w:tcPr>
            <w:tcW w:w="357" w:type="pct"/>
            <w:vAlign w:val="center"/>
          </w:tcPr>
          <w:p w14:paraId="1DD07984">
            <w:pPr>
              <w:pStyle w:val="133"/>
              <w:rPr>
                <w:rFonts w:eastAsia="等线" w:cs="Times New Roman"/>
                <w:color w:val="000000"/>
                <w:szCs w:val="21"/>
              </w:rPr>
            </w:pPr>
            <w:r>
              <w:rPr>
                <w:rFonts w:hint="eastAsia" w:eastAsia="等线" w:cs="Times New Roman"/>
                <w:color w:val="000000"/>
                <w:szCs w:val="21"/>
              </w:rPr>
              <w:t>66.582</w:t>
            </w:r>
          </w:p>
        </w:tc>
        <w:tc>
          <w:tcPr>
            <w:tcW w:w="440" w:type="pct"/>
            <w:noWrap/>
            <w:vAlign w:val="center"/>
          </w:tcPr>
          <w:p w14:paraId="61D2839C">
            <w:pPr>
              <w:pStyle w:val="133"/>
            </w:pPr>
            <w:r>
              <w:rPr>
                <w:rFonts w:hint="eastAsia"/>
              </w:rPr>
              <w:t>/</w:t>
            </w:r>
          </w:p>
        </w:tc>
        <w:tc>
          <w:tcPr>
            <w:tcW w:w="419" w:type="pct"/>
            <w:noWrap/>
            <w:vAlign w:val="center"/>
          </w:tcPr>
          <w:p w14:paraId="640FDC86">
            <w:pPr>
              <w:pStyle w:val="133"/>
            </w:pPr>
            <w:r>
              <w:rPr>
                <w:rFonts w:hint="eastAsia"/>
              </w:rPr>
              <w:t>/</w:t>
            </w:r>
          </w:p>
        </w:tc>
        <w:tc>
          <w:tcPr>
            <w:tcW w:w="681" w:type="pct"/>
            <w:noWrap/>
            <w:vAlign w:val="center"/>
          </w:tcPr>
          <w:p w14:paraId="4F8BED40">
            <w:pPr>
              <w:pStyle w:val="133"/>
            </w:pPr>
            <w:r>
              <w:rPr>
                <w:rFonts w:hint="eastAsia"/>
              </w:rPr>
              <w:t>/</w:t>
            </w:r>
          </w:p>
        </w:tc>
      </w:tr>
    </w:tbl>
    <w:p w14:paraId="5DF5B8F7">
      <w:pPr>
        <w:ind w:firstLine="480"/>
      </w:pPr>
    </w:p>
    <w:p w14:paraId="36C5BAE4">
      <w:pPr>
        <w:ind w:firstLine="480"/>
      </w:pPr>
    </w:p>
    <w:bookmarkEnd w:id="312"/>
    <w:p w14:paraId="5A9F8A87">
      <w:pPr>
        <w:ind w:firstLine="480"/>
        <w:sectPr>
          <w:pgSz w:w="16838" w:h="11906" w:orient="landscape"/>
          <w:pgMar w:top="1800" w:right="1440" w:bottom="1800" w:left="1440" w:header="850" w:footer="850" w:gutter="0"/>
          <w:cols w:space="425" w:num="1"/>
          <w:docGrid w:type="lines" w:linePitch="326" w:charSpace="0"/>
        </w:sectPr>
      </w:pPr>
    </w:p>
    <w:p w14:paraId="359244BF">
      <w:pPr>
        <w:pStyle w:val="1185"/>
        <w:rPr>
          <w:rFonts w:hint="eastAsia"/>
        </w:rPr>
      </w:pPr>
      <w:r>
        <w:rPr>
          <w:rFonts w:hint="eastAsia"/>
        </w:rPr>
        <w:t>废水污染物源强核算</w:t>
      </w:r>
    </w:p>
    <w:p w14:paraId="476415D9">
      <w:pPr>
        <w:ind w:firstLine="480"/>
      </w:pPr>
      <w:r>
        <w:rPr>
          <w:rFonts w:hint="eastAsia"/>
        </w:rPr>
        <w:t>（1）</w:t>
      </w:r>
      <w:bookmarkStart w:id="317" w:name="_Hlk193788843"/>
      <w:r>
        <w:rPr>
          <w:rFonts w:hint="eastAsia"/>
        </w:rPr>
        <w:t>剩余氨水</w:t>
      </w:r>
      <w:bookmarkEnd w:id="317"/>
      <w:r>
        <w:rPr>
          <w:rFonts w:hint="eastAsia"/>
        </w:rPr>
        <w:t>（W1-1）</w:t>
      </w:r>
    </w:p>
    <w:p w14:paraId="65A70417">
      <w:pPr>
        <w:ind w:firstLine="480"/>
      </w:pPr>
      <w:r>
        <w:rPr>
          <w:rFonts w:hint="eastAsia"/>
        </w:rPr>
        <w:t>兰炭装置产生的废水主要为剩余氨水，根据煤质分析报告及设计指标，原料煤含水约18.8%，经煤仓存储及备煤工段，进入生产系统的120万t/a入炉煤含水约17.86%，经炭化炉荒煤气带入煤气净化系统。根据水平衡分析，剩余氨水产生量约为19.85t/h。</w:t>
      </w:r>
    </w:p>
    <w:p w14:paraId="5354D386">
      <w:pPr>
        <w:ind w:firstLine="480"/>
      </w:pPr>
      <w:r>
        <w:rPr>
          <w:rFonts w:hint="eastAsia"/>
        </w:rPr>
        <w:t>依据厂内现有生产装置产生的剩余氨水水质成分，</w:t>
      </w:r>
      <w:bookmarkStart w:id="318" w:name="OLE_LINK23"/>
      <w:r>
        <w:rPr>
          <w:rFonts w:hint="eastAsia"/>
        </w:rPr>
        <w:t>废水中主要污染物浓度分别为COD5500mg/L、石油类640mg/L、氨氮620mg/L、挥发酚1200mg/L、氰化物1.74mg/L、硫化物400mg/L。</w:t>
      </w:r>
      <w:bookmarkEnd w:id="318"/>
      <w:r>
        <w:rPr>
          <w:rFonts w:hint="eastAsia"/>
        </w:rPr>
        <w:t>改造工程的剩余氨水分别进行预处理+焚烧处理。其中现有5t/h废水预处理设施与本次新建15t/h废水预处理设施均采用“</w:t>
      </w:r>
      <w:r>
        <w:t>絮凝除油+气浮除油+酸化除油池+高效复合脱氮塔</w:t>
      </w:r>
      <w:r>
        <w:rPr>
          <w:rFonts w:hint="eastAsia"/>
        </w:rPr>
        <w:t>”</w:t>
      </w:r>
      <w:r>
        <w:t>组合工艺</w:t>
      </w:r>
      <w:r>
        <w:rPr>
          <w:rFonts w:hint="eastAsia"/>
        </w:rPr>
        <w:t>处理。预处理后的废水中主要污染物浓度分别为COD9000mg/L、石油类15mg/L、氨氮30mg/L、挥发酚60mg/L、氰化物0.6mg/L、硫化物400mg/L。</w:t>
      </w:r>
    </w:p>
    <w:p w14:paraId="7843AE77">
      <w:pPr>
        <w:ind w:firstLine="480"/>
      </w:pPr>
      <w:r>
        <w:rPr>
          <w:rFonts w:hint="eastAsia"/>
        </w:rPr>
        <w:t>（2）</w:t>
      </w:r>
      <w:bookmarkStart w:id="319" w:name="_Hlk193788849"/>
      <w:r>
        <w:rPr>
          <w:rFonts w:hint="eastAsia"/>
        </w:rPr>
        <w:t>焚烧炉烟气脱硫废水</w:t>
      </w:r>
      <w:bookmarkEnd w:id="319"/>
      <w:r>
        <w:rPr>
          <w:rFonts w:hint="eastAsia"/>
        </w:rPr>
        <w:t>（W1-2）</w:t>
      </w:r>
    </w:p>
    <w:p w14:paraId="578915EC">
      <w:pPr>
        <w:ind w:firstLine="480"/>
      </w:pPr>
      <w:r>
        <w:rPr>
          <w:rFonts w:hint="eastAsia"/>
        </w:rPr>
        <w:t>兰炭生产废水焚烧炉烟气采用“</w:t>
      </w:r>
      <w:r>
        <w:t>SNCR+</w:t>
      </w:r>
      <w:r>
        <w:rPr>
          <w:rFonts w:hint="eastAsia"/>
        </w:rPr>
        <w:t>二级碱喷淋”处理，产生脱硫废水约0.01m³/h，为硫酸钠盐水，送焚烧炉焚烧处理。</w:t>
      </w:r>
    </w:p>
    <w:p w14:paraId="411AE0F7">
      <w:pPr>
        <w:ind w:firstLine="480"/>
      </w:pPr>
      <w:r>
        <w:rPr>
          <w:rFonts w:hint="eastAsia"/>
        </w:rPr>
        <w:t>（3）</w:t>
      </w:r>
      <w:bookmarkStart w:id="320" w:name="_Hlk193788888"/>
      <w:r>
        <w:rPr>
          <w:rFonts w:hint="eastAsia"/>
        </w:rPr>
        <w:t>VOCs处理喷淋废水</w:t>
      </w:r>
      <w:bookmarkEnd w:id="320"/>
      <w:r>
        <w:rPr>
          <w:rFonts w:hint="eastAsia"/>
        </w:rPr>
        <w:t>（W1-3）</w:t>
      </w:r>
    </w:p>
    <w:p w14:paraId="3F354297">
      <w:pPr>
        <w:ind w:firstLine="480"/>
      </w:pPr>
      <w:r>
        <w:rPr>
          <w:rFonts w:hint="eastAsia"/>
        </w:rPr>
        <w:t>厂内分别设1#VOCs废气处理系统和2#VOCs废气处理系统，均采用“酸洗+碱洗+活性炭吸附-脱附+催化燃烧工艺”处理，产生酸洗与碱洗喷淋废水约0.04m³/h，为含盐废水，送焚烧炉焚烧处理。</w:t>
      </w:r>
    </w:p>
    <w:p w14:paraId="7948730B">
      <w:pPr>
        <w:ind w:firstLine="480"/>
        <w:sectPr>
          <w:pgSz w:w="11906" w:h="16838"/>
          <w:pgMar w:top="1440" w:right="1800" w:bottom="1440" w:left="1800" w:header="850" w:footer="850" w:gutter="0"/>
          <w:cols w:space="425" w:num="1"/>
          <w:docGrid w:type="lines" w:linePitch="326" w:charSpace="0"/>
        </w:sectPr>
      </w:pPr>
      <w:r>
        <w:rPr>
          <w:rFonts w:hint="eastAsia"/>
        </w:rPr>
        <w:t>兰炭生产线废水污染源产排情况，见表3.3-30。</w:t>
      </w:r>
    </w:p>
    <w:p w14:paraId="6B72652E">
      <w:pPr>
        <w:pStyle w:val="118"/>
        <w:rPr>
          <w:snapToGrid w:val="0"/>
        </w:rPr>
      </w:pPr>
      <w:r>
        <w:rPr>
          <w:rFonts w:hint="eastAsia"/>
        </w:rPr>
        <w:t>表3.3-30</w:t>
      </w:r>
      <w:r>
        <w:t xml:space="preserve">  </w:t>
      </w:r>
      <w:r>
        <w:rPr>
          <w:rFonts w:hint="eastAsia"/>
        </w:rPr>
        <w:t>兰炭生产线废水污染源产排情况一览表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8"/>
        <w:gridCol w:w="2298"/>
        <w:gridCol w:w="1094"/>
        <w:gridCol w:w="666"/>
        <w:gridCol w:w="870"/>
        <w:gridCol w:w="838"/>
        <w:gridCol w:w="546"/>
        <w:gridCol w:w="875"/>
        <w:gridCol w:w="876"/>
        <w:gridCol w:w="876"/>
        <w:gridCol w:w="882"/>
        <w:gridCol w:w="3515"/>
      </w:tblGrid>
      <w:tr w14:paraId="275EDB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0" w:type="pct"/>
            <w:vMerge w:val="restart"/>
            <w:vAlign w:val="center"/>
          </w:tcPr>
          <w:p w14:paraId="1EA07D0A">
            <w:pPr>
              <w:pStyle w:val="133"/>
              <w:rPr>
                <w:b/>
                <w:bCs/>
              </w:rPr>
            </w:pPr>
            <w:r>
              <w:rPr>
                <w:rFonts w:hint="eastAsia"/>
                <w:b/>
                <w:bCs/>
              </w:rPr>
              <w:t>序号</w:t>
            </w:r>
          </w:p>
        </w:tc>
        <w:tc>
          <w:tcPr>
            <w:tcW w:w="815" w:type="pct"/>
            <w:vMerge w:val="restart"/>
            <w:vAlign w:val="center"/>
          </w:tcPr>
          <w:p w14:paraId="0DE9AEB2">
            <w:pPr>
              <w:pStyle w:val="133"/>
              <w:rPr>
                <w:b/>
                <w:bCs/>
              </w:rPr>
            </w:pPr>
            <w:r>
              <w:rPr>
                <w:rFonts w:hint="eastAsia"/>
                <w:b/>
                <w:bCs/>
              </w:rPr>
              <w:t>废水来源</w:t>
            </w:r>
          </w:p>
        </w:tc>
        <w:tc>
          <w:tcPr>
            <w:tcW w:w="346" w:type="pct"/>
            <w:vMerge w:val="restart"/>
            <w:vAlign w:val="center"/>
          </w:tcPr>
          <w:p w14:paraId="58DF8FC5">
            <w:pPr>
              <w:pStyle w:val="133"/>
              <w:rPr>
                <w:b/>
                <w:bCs/>
              </w:rPr>
            </w:pPr>
            <w:r>
              <w:rPr>
                <w:rFonts w:hint="eastAsia"/>
                <w:b/>
                <w:bCs/>
              </w:rPr>
              <w:t>水量</w:t>
            </w:r>
          </w:p>
          <w:p w14:paraId="139B5FBF">
            <w:pPr>
              <w:pStyle w:val="133"/>
              <w:rPr>
                <w:b/>
                <w:bCs/>
              </w:rPr>
            </w:pPr>
            <w:r>
              <w:rPr>
                <w:b/>
                <w:bCs/>
              </w:rPr>
              <w:t>（m</w:t>
            </w:r>
            <w:r>
              <w:rPr>
                <w:rFonts w:hint="eastAsia"/>
                <w:b/>
                <w:bCs/>
              </w:rPr>
              <w:t>³</w:t>
            </w:r>
            <w:r>
              <w:rPr>
                <w:b/>
                <w:bCs/>
              </w:rPr>
              <w:t>/h）</w:t>
            </w:r>
          </w:p>
        </w:tc>
        <w:tc>
          <w:tcPr>
            <w:tcW w:w="2295" w:type="pct"/>
            <w:gridSpan w:val="8"/>
            <w:vAlign w:val="center"/>
          </w:tcPr>
          <w:p w14:paraId="4AB4DA6F">
            <w:pPr>
              <w:pStyle w:val="133"/>
              <w:rPr>
                <w:b/>
                <w:bCs/>
              </w:rPr>
            </w:pPr>
            <w:r>
              <w:rPr>
                <w:rFonts w:hint="eastAsia"/>
                <w:b/>
                <w:bCs/>
              </w:rPr>
              <w:t>污染物浓度（</w:t>
            </w:r>
            <w:r>
              <w:rPr>
                <w:b/>
                <w:bCs/>
              </w:rPr>
              <w:t>mg/L</w:t>
            </w:r>
            <w:r>
              <w:rPr>
                <w:rFonts w:hint="eastAsia"/>
                <w:b/>
                <w:bCs/>
              </w:rPr>
              <w:t>，</w:t>
            </w:r>
            <w:r>
              <w:rPr>
                <w:b/>
                <w:bCs/>
              </w:rPr>
              <w:t>pH</w:t>
            </w:r>
            <w:r>
              <w:rPr>
                <w:rFonts w:hint="eastAsia"/>
                <w:b/>
                <w:bCs/>
              </w:rPr>
              <w:t>无量纲）</w:t>
            </w:r>
          </w:p>
        </w:tc>
        <w:tc>
          <w:tcPr>
            <w:tcW w:w="1244" w:type="pct"/>
            <w:vMerge w:val="restart"/>
            <w:vAlign w:val="center"/>
          </w:tcPr>
          <w:p w14:paraId="172CA912">
            <w:pPr>
              <w:pStyle w:val="133"/>
              <w:rPr>
                <w:b/>
                <w:bCs/>
              </w:rPr>
            </w:pPr>
            <w:r>
              <w:rPr>
                <w:rFonts w:hint="eastAsia"/>
                <w:b/>
                <w:bCs/>
              </w:rPr>
              <w:t>处理措施/排放去向</w:t>
            </w:r>
          </w:p>
        </w:tc>
      </w:tr>
      <w:tr w14:paraId="0FCB1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00" w:type="pct"/>
            <w:vMerge w:val="continue"/>
            <w:vAlign w:val="center"/>
          </w:tcPr>
          <w:p w14:paraId="7D202D48">
            <w:pPr>
              <w:pStyle w:val="133"/>
              <w:rPr>
                <w:b/>
                <w:bCs/>
              </w:rPr>
            </w:pPr>
          </w:p>
        </w:tc>
        <w:tc>
          <w:tcPr>
            <w:tcW w:w="815" w:type="pct"/>
            <w:vMerge w:val="continue"/>
            <w:vAlign w:val="center"/>
          </w:tcPr>
          <w:p w14:paraId="567624A2">
            <w:pPr>
              <w:pStyle w:val="133"/>
              <w:rPr>
                <w:b/>
                <w:bCs/>
              </w:rPr>
            </w:pPr>
          </w:p>
        </w:tc>
        <w:tc>
          <w:tcPr>
            <w:tcW w:w="346" w:type="pct"/>
            <w:vMerge w:val="continue"/>
            <w:vAlign w:val="center"/>
          </w:tcPr>
          <w:p w14:paraId="0D682FE6">
            <w:pPr>
              <w:pStyle w:val="133"/>
              <w:rPr>
                <w:b/>
                <w:bCs/>
              </w:rPr>
            </w:pPr>
          </w:p>
        </w:tc>
        <w:tc>
          <w:tcPr>
            <w:tcW w:w="239" w:type="pct"/>
            <w:vAlign w:val="center"/>
          </w:tcPr>
          <w:p w14:paraId="7102443F">
            <w:pPr>
              <w:pStyle w:val="133"/>
              <w:rPr>
                <w:b/>
                <w:bCs/>
              </w:rPr>
            </w:pPr>
            <w:r>
              <w:rPr>
                <w:b/>
                <w:bCs/>
              </w:rPr>
              <w:t>pH</w:t>
            </w:r>
          </w:p>
        </w:tc>
        <w:tc>
          <w:tcPr>
            <w:tcW w:w="305" w:type="pct"/>
            <w:vAlign w:val="center"/>
          </w:tcPr>
          <w:p w14:paraId="7F011FD7">
            <w:pPr>
              <w:pStyle w:val="133"/>
              <w:rPr>
                <w:b/>
                <w:bCs/>
              </w:rPr>
            </w:pPr>
            <w:r>
              <w:rPr>
                <w:b/>
                <w:bCs/>
              </w:rPr>
              <w:t>CODcr</w:t>
            </w:r>
          </w:p>
        </w:tc>
        <w:tc>
          <w:tcPr>
            <w:tcW w:w="300" w:type="pct"/>
            <w:vAlign w:val="center"/>
          </w:tcPr>
          <w:p w14:paraId="692F7E27">
            <w:pPr>
              <w:pStyle w:val="133"/>
              <w:rPr>
                <w:b/>
                <w:bCs/>
              </w:rPr>
            </w:pPr>
            <w:r>
              <w:rPr>
                <w:b/>
                <w:bCs/>
              </w:rPr>
              <w:t>NH</w:t>
            </w:r>
            <w:r>
              <w:rPr>
                <w:b/>
                <w:bCs/>
                <w:vertAlign w:val="subscript"/>
              </w:rPr>
              <w:t>3</w:t>
            </w:r>
            <w:r>
              <w:rPr>
                <w:b/>
                <w:bCs/>
              </w:rPr>
              <w:t>-N</w:t>
            </w:r>
          </w:p>
        </w:tc>
        <w:tc>
          <w:tcPr>
            <w:tcW w:w="197" w:type="pct"/>
            <w:vAlign w:val="center"/>
          </w:tcPr>
          <w:p w14:paraId="5E079288">
            <w:pPr>
              <w:pStyle w:val="133"/>
              <w:rPr>
                <w:b/>
                <w:bCs/>
              </w:rPr>
            </w:pPr>
            <w:r>
              <w:rPr>
                <w:b/>
                <w:bCs/>
              </w:rPr>
              <w:t>SS</w:t>
            </w:r>
          </w:p>
        </w:tc>
        <w:tc>
          <w:tcPr>
            <w:tcW w:w="313" w:type="pct"/>
            <w:vAlign w:val="center"/>
          </w:tcPr>
          <w:p w14:paraId="638D489D">
            <w:pPr>
              <w:pStyle w:val="133"/>
              <w:rPr>
                <w:b/>
                <w:bCs/>
              </w:rPr>
            </w:pPr>
            <w:r>
              <w:rPr>
                <w:rFonts w:hint="eastAsia"/>
                <w:b/>
                <w:bCs/>
              </w:rPr>
              <w:t>石油类</w:t>
            </w:r>
          </w:p>
        </w:tc>
        <w:tc>
          <w:tcPr>
            <w:tcW w:w="313" w:type="pct"/>
            <w:vAlign w:val="center"/>
          </w:tcPr>
          <w:p w14:paraId="3E27ADBD">
            <w:pPr>
              <w:pStyle w:val="133"/>
              <w:rPr>
                <w:b/>
                <w:bCs/>
              </w:rPr>
            </w:pPr>
            <w:r>
              <w:rPr>
                <w:rFonts w:hint="eastAsia"/>
                <w:b/>
                <w:bCs/>
              </w:rPr>
              <w:t>硫化物</w:t>
            </w:r>
          </w:p>
        </w:tc>
        <w:tc>
          <w:tcPr>
            <w:tcW w:w="313" w:type="pct"/>
            <w:vAlign w:val="center"/>
          </w:tcPr>
          <w:p w14:paraId="13410B6C">
            <w:pPr>
              <w:pStyle w:val="133"/>
              <w:rPr>
                <w:b/>
                <w:bCs/>
              </w:rPr>
            </w:pPr>
            <w:r>
              <w:rPr>
                <w:rFonts w:hint="eastAsia"/>
                <w:b/>
                <w:bCs/>
              </w:rPr>
              <w:t>挥发酚</w:t>
            </w:r>
          </w:p>
        </w:tc>
        <w:tc>
          <w:tcPr>
            <w:tcW w:w="315" w:type="pct"/>
            <w:vAlign w:val="center"/>
          </w:tcPr>
          <w:p w14:paraId="415FE6F5">
            <w:pPr>
              <w:pStyle w:val="133"/>
              <w:rPr>
                <w:b/>
                <w:bCs/>
              </w:rPr>
            </w:pPr>
            <w:r>
              <w:rPr>
                <w:rFonts w:hint="eastAsia"/>
                <w:b/>
                <w:bCs/>
              </w:rPr>
              <w:t>氰化物</w:t>
            </w:r>
          </w:p>
        </w:tc>
        <w:tc>
          <w:tcPr>
            <w:tcW w:w="1244" w:type="pct"/>
            <w:vMerge w:val="continue"/>
            <w:vAlign w:val="center"/>
          </w:tcPr>
          <w:p w14:paraId="172C0BBD">
            <w:pPr>
              <w:pStyle w:val="133"/>
            </w:pPr>
          </w:p>
        </w:tc>
      </w:tr>
      <w:tr w14:paraId="27997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0" w:type="pct"/>
            <w:vAlign w:val="center"/>
          </w:tcPr>
          <w:p w14:paraId="7D42C258">
            <w:pPr>
              <w:pStyle w:val="133"/>
            </w:pPr>
            <w:r>
              <w:rPr>
                <w:rFonts w:hint="eastAsia"/>
              </w:rPr>
              <w:t>W</w:t>
            </w:r>
            <w:r>
              <w:t>1</w:t>
            </w:r>
            <w:r>
              <w:rPr>
                <w:rFonts w:hint="eastAsia"/>
              </w:rPr>
              <w:t>-1</w:t>
            </w:r>
          </w:p>
        </w:tc>
        <w:tc>
          <w:tcPr>
            <w:tcW w:w="815" w:type="pct"/>
            <w:vAlign w:val="center"/>
          </w:tcPr>
          <w:p w14:paraId="0526B21E">
            <w:pPr>
              <w:pStyle w:val="133"/>
            </w:pPr>
            <w:r>
              <w:rPr>
                <w:rFonts w:hint="eastAsia"/>
              </w:rPr>
              <w:t>剩余氨水</w:t>
            </w:r>
          </w:p>
        </w:tc>
        <w:tc>
          <w:tcPr>
            <w:tcW w:w="346" w:type="pct"/>
            <w:vAlign w:val="center"/>
          </w:tcPr>
          <w:p w14:paraId="388BDE06">
            <w:pPr>
              <w:pStyle w:val="133"/>
            </w:pPr>
            <w:r>
              <w:rPr>
                <w:rFonts w:eastAsia="等线" w:cs="Times New Roman"/>
                <w:color w:val="000000"/>
                <w:szCs w:val="21"/>
              </w:rPr>
              <w:t>19.85</w:t>
            </w:r>
          </w:p>
        </w:tc>
        <w:tc>
          <w:tcPr>
            <w:tcW w:w="239" w:type="pct"/>
            <w:vAlign w:val="center"/>
          </w:tcPr>
          <w:p w14:paraId="68D15DB3">
            <w:pPr>
              <w:pStyle w:val="133"/>
            </w:pPr>
            <w:r>
              <w:t>8~10</w:t>
            </w:r>
          </w:p>
        </w:tc>
        <w:tc>
          <w:tcPr>
            <w:tcW w:w="305" w:type="pct"/>
            <w:vAlign w:val="center"/>
          </w:tcPr>
          <w:p w14:paraId="43048DD8">
            <w:pPr>
              <w:pStyle w:val="133"/>
            </w:pPr>
            <w:r>
              <w:rPr>
                <w:rFonts w:hint="eastAsia"/>
              </w:rPr>
              <w:t>5500</w:t>
            </w:r>
          </w:p>
        </w:tc>
        <w:tc>
          <w:tcPr>
            <w:tcW w:w="300" w:type="pct"/>
            <w:vAlign w:val="center"/>
          </w:tcPr>
          <w:p w14:paraId="20C26DF0">
            <w:pPr>
              <w:pStyle w:val="133"/>
            </w:pPr>
            <w:r>
              <w:rPr>
                <w:rFonts w:hint="eastAsia"/>
              </w:rPr>
              <w:t>620</w:t>
            </w:r>
          </w:p>
        </w:tc>
        <w:tc>
          <w:tcPr>
            <w:tcW w:w="197" w:type="pct"/>
            <w:vAlign w:val="center"/>
          </w:tcPr>
          <w:p w14:paraId="5E005B30">
            <w:pPr>
              <w:pStyle w:val="133"/>
            </w:pPr>
            <w:r>
              <w:rPr>
                <w:rFonts w:hint="eastAsia"/>
              </w:rPr>
              <w:t>650</w:t>
            </w:r>
          </w:p>
        </w:tc>
        <w:tc>
          <w:tcPr>
            <w:tcW w:w="313" w:type="pct"/>
          </w:tcPr>
          <w:p w14:paraId="4EB739D2">
            <w:pPr>
              <w:pStyle w:val="133"/>
            </w:pPr>
            <w:r>
              <w:rPr>
                <w:rFonts w:hint="eastAsia"/>
              </w:rPr>
              <w:t>640</w:t>
            </w:r>
          </w:p>
        </w:tc>
        <w:tc>
          <w:tcPr>
            <w:tcW w:w="313" w:type="pct"/>
          </w:tcPr>
          <w:p w14:paraId="66321104">
            <w:pPr>
              <w:pStyle w:val="133"/>
            </w:pPr>
            <w:r>
              <w:rPr>
                <w:rFonts w:hint="eastAsia"/>
              </w:rPr>
              <w:t>400</w:t>
            </w:r>
          </w:p>
        </w:tc>
        <w:tc>
          <w:tcPr>
            <w:tcW w:w="313" w:type="pct"/>
          </w:tcPr>
          <w:p w14:paraId="29C3BD97">
            <w:pPr>
              <w:pStyle w:val="133"/>
            </w:pPr>
            <w:r>
              <w:rPr>
                <w:rFonts w:hint="eastAsia"/>
              </w:rPr>
              <w:t>1200</w:t>
            </w:r>
          </w:p>
        </w:tc>
        <w:tc>
          <w:tcPr>
            <w:tcW w:w="315" w:type="pct"/>
            <w:vAlign w:val="center"/>
          </w:tcPr>
          <w:p w14:paraId="554D1C5A">
            <w:pPr>
              <w:pStyle w:val="133"/>
            </w:pPr>
            <w:r>
              <w:rPr>
                <w:rFonts w:hint="eastAsia"/>
              </w:rPr>
              <w:t>1.74</w:t>
            </w:r>
          </w:p>
        </w:tc>
        <w:tc>
          <w:tcPr>
            <w:tcW w:w="1244" w:type="pct"/>
            <w:vAlign w:val="center"/>
          </w:tcPr>
          <w:p w14:paraId="0A458203">
            <w:pPr>
              <w:pStyle w:val="133"/>
            </w:pPr>
            <w:bookmarkStart w:id="321" w:name="OLE_LINK37"/>
            <w:r>
              <w:rPr>
                <w:rFonts w:hint="eastAsia"/>
              </w:rPr>
              <w:t>预处理后+焚烧处理</w:t>
            </w:r>
            <w:bookmarkEnd w:id="321"/>
          </w:p>
        </w:tc>
      </w:tr>
      <w:tr w14:paraId="47F70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0" w:type="pct"/>
            <w:vAlign w:val="center"/>
          </w:tcPr>
          <w:p w14:paraId="45114A35">
            <w:pPr>
              <w:pStyle w:val="133"/>
            </w:pPr>
            <w:r>
              <w:rPr>
                <w:rFonts w:hint="eastAsia"/>
              </w:rPr>
              <w:t>W1-2</w:t>
            </w:r>
          </w:p>
        </w:tc>
        <w:tc>
          <w:tcPr>
            <w:tcW w:w="815" w:type="pct"/>
            <w:vAlign w:val="center"/>
          </w:tcPr>
          <w:p w14:paraId="43589EDB">
            <w:pPr>
              <w:pStyle w:val="133"/>
            </w:pPr>
            <w:r>
              <w:rPr>
                <w:rFonts w:hint="eastAsia"/>
              </w:rPr>
              <w:t>焚烧炉烟气脱硫废水</w:t>
            </w:r>
          </w:p>
        </w:tc>
        <w:tc>
          <w:tcPr>
            <w:tcW w:w="346" w:type="pct"/>
            <w:vAlign w:val="center"/>
          </w:tcPr>
          <w:p w14:paraId="39D31BF7">
            <w:pPr>
              <w:pStyle w:val="133"/>
            </w:pPr>
            <w:r>
              <w:rPr>
                <w:rFonts w:eastAsia="等线" w:cs="Times New Roman"/>
                <w:color w:val="000000"/>
                <w:szCs w:val="21"/>
              </w:rPr>
              <w:t>0.01</w:t>
            </w:r>
          </w:p>
        </w:tc>
        <w:tc>
          <w:tcPr>
            <w:tcW w:w="239" w:type="pct"/>
            <w:vAlign w:val="center"/>
          </w:tcPr>
          <w:p w14:paraId="72E4957D">
            <w:pPr>
              <w:pStyle w:val="133"/>
            </w:pPr>
            <w:r>
              <w:rPr>
                <w:rFonts w:hint="eastAsia"/>
              </w:rPr>
              <w:t>6-9</w:t>
            </w:r>
          </w:p>
        </w:tc>
        <w:tc>
          <w:tcPr>
            <w:tcW w:w="305" w:type="pct"/>
            <w:vAlign w:val="center"/>
          </w:tcPr>
          <w:p w14:paraId="4647D68B">
            <w:pPr>
              <w:pStyle w:val="133"/>
            </w:pPr>
            <w:r>
              <w:rPr>
                <w:rFonts w:hint="eastAsia"/>
              </w:rPr>
              <w:t>100</w:t>
            </w:r>
          </w:p>
        </w:tc>
        <w:tc>
          <w:tcPr>
            <w:tcW w:w="300" w:type="pct"/>
            <w:vAlign w:val="center"/>
          </w:tcPr>
          <w:p w14:paraId="4CFE6F55">
            <w:pPr>
              <w:pStyle w:val="133"/>
            </w:pPr>
            <w:r>
              <w:rPr>
                <w:rFonts w:hint="eastAsia"/>
              </w:rPr>
              <w:t>20</w:t>
            </w:r>
          </w:p>
        </w:tc>
        <w:tc>
          <w:tcPr>
            <w:tcW w:w="197" w:type="pct"/>
            <w:vAlign w:val="center"/>
          </w:tcPr>
          <w:p w14:paraId="5801EBBD">
            <w:pPr>
              <w:pStyle w:val="133"/>
            </w:pPr>
            <w:r>
              <w:rPr>
                <w:rFonts w:hint="eastAsia"/>
              </w:rPr>
              <w:t>500</w:t>
            </w:r>
          </w:p>
        </w:tc>
        <w:tc>
          <w:tcPr>
            <w:tcW w:w="313" w:type="pct"/>
          </w:tcPr>
          <w:p w14:paraId="5CBDA606">
            <w:pPr>
              <w:pStyle w:val="133"/>
            </w:pPr>
          </w:p>
        </w:tc>
        <w:tc>
          <w:tcPr>
            <w:tcW w:w="313" w:type="pct"/>
          </w:tcPr>
          <w:p w14:paraId="72971163">
            <w:pPr>
              <w:pStyle w:val="133"/>
            </w:pPr>
            <w:r>
              <w:rPr>
                <w:rFonts w:hint="eastAsia"/>
              </w:rPr>
              <w:t>400</w:t>
            </w:r>
          </w:p>
        </w:tc>
        <w:tc>
          <w:tcPr>
            <w:tcW w:w="313" w:type="pct"/>
            <w:vAlign w:val="center"/>
          </w:tcPr>
          <w:p w14:paraId="288301AC">
            <w:pPr>
              <w:pStyle w:val="133"/>
            </w:pPr>
          </w:p>
        </w:tc>
        <w:tc>
          <w:tcPr>
            <w:tcW w:w="315" w:type="pct"/>
          </w:tcPr>
          <w:p w14:paraId="44E3DCF4">
            <w:pPr>
              <w:pStyle w:val="133"/>
            </w:pPr>
          </w:p>
        </w:tc>
        <w:tc>
          <w:tcPr>
            <w:tcW w:w="1244" w:type="pct"/>
            <w:vAlign w:val="center"/>
          </w:tcPr>
          <w:p w14:paraId="74A062B1">
            <w:pPr>
              <w:pStyle w:val="133"/>
            </w:pPr>
            <w:r>
              <w:rPr>
                <w:rFonts w:hint="eastAsia"/>
              </w:rPr>
              <w:t>预处理后+焚烧处理</w:t>
            </w:r>
          </w:p>
        </w:tc>
      </w:tr>
      <w:tr w14:paraId="04930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00" w:type="pct"/>
            <w:vAlign w:val="center"/>
          </w:tcPr>
          <w:p w14:paraId="6B2BAEB3">
            <w:pPr>
              <w:pStyle w:val="133"/>
            </w:pPr>
            <w:r>
              <w:rPr>
                <w:rFonts w:hint="eastAsia"/>
              </w:rPr>
              <w:t>W1-3</w:t>
            </w:r>
          </w:p>
        </w:tc>
        <w:tc>
          <w:tcPr>
            <w:tcW w:w="815" w:type="pct"/>
            <w:vAlign w:val="center"/>
          </w:tcPr>
          <w:p w14:paraId="05D9F4EE">
            <w:pPr>
              <w:pStyle w:val="133"/>
            </w:pPr>
            <w:r>
              <w:rPr>
                <w:rFonts w:hint="eastAsia"/>
              </w:rPr>
              <w:t>VOCs处理喷淋废水</w:t>
            </w:r>
          </w:p>
        </w:tc>
        <w:tc>
          <w:tcPr>
            <w:tcW w:w="346" w:type="pct"/>
            <w:vAlign w:val="center"/>
          </w:tcPr>
          <w:p w14:paraId="1595F128">
            <w:pPr>
              <w:pStyle w:val="133"/>
            </w:pPr>
            <w:r>
              <w:rPr>
                <w:rFonts w:eastAsia="等线" w:cs="Times New Roman"/>
                <w:color w:val="000000"/>
                <w:szCs w:val="21"/>
              </w:rPr>
              <w:t>0.04</w:t>
            </w:r>
          </w:p>
        </w:tc>
        <w:tc>
          <w:tcPr>
            <w:tcW w:w="239" w:type="pct"/>
            <w:vAlign w:val="center"/>
          </w:tcPr>
          <w:p w14:paraId="345142D4">
            <w:pPr>
              <w:pStyle w:val="133"/>
            </w:pPr>
            <w:r>
              <w:rPr>
                <w:rFonts w:hint="eastAsia"/>
              </w:rPr>
              <w:t>6-9</w:t>
            </w:r>
          </w:p>
        </w:tc>
        <w:tc>
          <w:tcPr>
            <w:tcW w:w="305" w:type="pct"/>
            <w:vAlign w:val="center"/>
          </w:tcPr>
          <w:p w14:paraId="2C7D9ACE">
            <w:pPr>
              <w:pStyle w:val="133"/>
            </w:pPr>
            <w:r>
              <w:rPr>
                <w:rFonts w:hint="eastAsia"/>
              </w:rPr>
              <w:t>200</w:t>
            </w:r>
          </w:p>
        </w:tc>
        <w:tc>
          <w:tcPr>
            <w:tcW w:w="300" w:type="pct"/>
            <w:vAlign w:val="center"/>
          </w:tcPr>
          <w:p w14:paraId="69A897DE">
            <w:pPr>
              <w:pStyle w:val="133"/>
            </w:pPr>
            <w:r>
              <w:rPr>
                <w:rFonts w:hint="eastAsia"/>
              </w:rPr>
              <w:t>50</w:t>
            </w:r>
          </w:p>
        </w:tc>
        <w:tc>
          <w:tcPr>
            <w:tcW w:w="197" w:type="pct"/>
            <w:vAlign w:val="center"/>
          </w:tcPr>
          <w:p w14:paraId="03D700FC">
            <w:pPr>
              <w:pStyle w:val="133"/>
            </w:pPr>
            <w:r>
              <w:rPr>
                <w:rFonts w:hint="eastAsia"/>
              </w:rPr>
              <w:t>300</w:t>
            </w:r>
          </w:p>
        </w:tc>
        <w:tc>
          <w:tcPr>
            <w:tcW w:w="313" w:type="pct"/>
          </w:tcPr>
          <w:p w14:paraId="6A4D7526">
            <w:pPr>
              <w:pStyle w:val="133"/>
            </w:pPr>
            <w:r>
              <w:rPr>
                <w:rFonts w:hint="eastAsia"/>
              </w:rPr>
              <w:t>100</w:t>
            </w:r>
          </w:p>
        </w:tc>
        <w:tc>
          <w:tcPr>
            <w:tcW w:w="313" w:type="pct"/>
          </w:tcPr>
          <w:p w14:paraId="38941616">
            <w:pPr>
              <w:pStyle w:val="133"/>
            </w:pPr>
            <w:r>
              <w:rPr>
                <w:rFonts w:hint="eastAsia"/>
              </w:rPr>
              <w:t>400</w:t>
            </w:r>
          </w:p>
        </w:tc>
        <w:tc>
          <w:tcPr>
            <w:tcW w:w="313" w:type="pct"/>
            <w:vAlign w:val="center"/>
          </w:tcPr>
          <w:p w14:paraId="24201752">
            <w:pPr>
              <w:pStyle w:val="133"/>
            </w:pPr>
          </w:p>
        </w:tc>
        <w:tc>
          <w:tcPr>
            <w:tcW w:w="315" w:type="pct"/>
          </w:tcPr>
          <w:p w14:paraId="7E2B69A5">
            <w:pPr>
              <w:pStyle w:val="133"/>
            </w:pPr>
          </w:p>
        </w:tc>
        <w:tc>
          <w:tcPr>
            <w:tcW w:w="1244" w:type="pct"/>
            <w:vAlign w:val="center"/>
          </w:tcPr>
          <w:p w14:paraId="6280DC5F">
            <w:pPr>
              <w:pStyle w:val="133"/>
            </w:pPr>
            <w:r>
              <w:rPr>
                <w:rFonts w:hint="eastAsia"/>
              </w:rPr>
              <w:t>预处理后+焚烧处理</w:t>
            </w:r>
          </w:p>
        </w:tc>
      </w:tr>
    </w:tbl>
    <w:p w14:paraId="173583B7">
      <w:pPr>
        <w:ind w:firstLine="480"/>
      </w:pPr>
    </w:p>
    <w:p w14:paraId="7B0ABB99">
      <w:pPr>
        <w:ind w:firstLine="480"/>
        <w:sectPr>
          <w:pgSz w:w="16838" w:h="11906" w:orient="landscape"/>
          <w:pgMar w:top="1800" w:right="1440" w:bottom="1800" w:left="1440" w:header="850" w:footer="850" w:gutter="0"/>
          <w:cols w:space="425" w:num="1"/>
          <w:docGrid w:type="lines" w:linePitch="326" w:charSpace="0"/>
        </w:sectPr>
      </w:pPr>
    </w:p>
    <w:p w14:paraId="65CBDEA8">
      <w:pPr>
        <w:pStyle w:val="5"/>
      </w:pPr>
      <w:r>
        <w:rPr>
          <w:rFonts w:hint="eastAsia"/>
        </w:rPr>
        <w:t>固体废物源强核算</w:t>
      </w:r>
    </w:p>
    <w:p w14:paraId="5929B975">
      <w:pPr>
        <w:ind w:firstLine="480"/>
      </w:pPr>
      <w:bookmarkStart w:id="322" w:name="_Hlk177575557"/>
      <w:r>
        <w:rPr>
          <w:rFonts w:hint="eastAsia"/>
        </w:rPr>
        <w:t>（1）煤尘（S1-1）</w:t>
      </w:r>
    </w:p>
    <w:p w14:paraId="30BCA2F5">
      <w:pPr>
        <w:ind w:firstLine="480"/>
      </w:pPr>
      <w:r>
        <w:rPr>
          <w:rFonts w:hint="eastAsia"/>
          <w:szCs w:val="21"/>
        </w:rPr>
        <w:t>备煤工段在料仓内的原煤破碎筛分废气</w:t>
      </w:r>
      <w:r>
        <w:rPr>
          <w:szCs w:val="21"/>
        </w:rPr>
        <w:t>、</w:t>
      </w:r>
      <w:r>
        <w:rPr>
          <w:rFonts w:hint="eastAsia"/>
          <w:szCs w:val="21"/>
        </w:rPr>
        <w:t>备煤上料废气及炭化炉装煤废气等配套布袋除尘器，收集的煤尘根据</w:t>
      </w:r>
      <w:r>
        <w:rPr>
          <w:szCs w:val="21"/>
        </w:rPr>
        <w:t>废气颗粒物产生源强、布袋除尘器除尘效率等核算情况，采用物料平衡法核算原料系统</w:t>
      </w:r>
      <w:r>
        <w:rPr>
          <w:rFonts w:hint="eastAsia"/>
          <w:szCs w:val="21"/>
        </w:rPr>
        <w:t>煤尘</w:t>
      </w:r>
      <w:r>
        <w:rPr>
          <w:szCs w:val="21"/>
        </w:rPr>
        <w:t>的产量为</w:t>
      </w:r>
      <w:r>
        <w:rPr>
          <w:rFonts w:hint="eastAsia"/>
          <w:szCs w:val="21"/>
        </w:rPr>
        <w:t>678</w:t>
      </w:r>
      <w:r>
        <w:rPr>
          <w:szCs w:val="21"/>
        </w:rPr>
        <w:t>t/a。</w:t>
      </w:r>
      <w:r>
        <w:rPr>
          <w:rFonts w:hint="eastAsia"/>
        </w:rPr>
        <w:t>煤尘</w:t>
      </w:r>
      <w:r>
        <w:rPr>
          <w:szCs w:val="21"/>
        </w:rPr>
        <w:t>的主要组分为</w:t>
      </w:r>
      <w:r>
        <w:rPr>
          <w:rFonts w:hint="eastAsia"/>
        </w:rPr>
        <w:t>粉煤</w:t>
      </w:r>
      <w:r>
        <w:t>。根据《固体废物分类与代码目录》（2024年第4号），</w:t>
      </w:r>
      <w:r>
        <w:rPr>
          <w:rFonts w:hint="eastAsia"/>
        </w:rPr>
        <w:t>煤尘</w:t>
      </w:r>
      <w:r>
        <w:t>属于工业固体废物，是</w:t>
      </w:r>
      <w:r>
        <w:rPr>
          <w:rFonts w:hint="eastAsia"/>
        </w:rPr>
        <w:t>煤炭加工</w:t>
      </w:r>
      <w:r>
        <w:t>行业生产过程中产生的废收尘灰，废物种类为</w:t>
      </w:r>
      <w:bookmarkStart w:id="323" w:name="OLE_LINK34"/>
      <w:r>
        <w:t>SW59</w:t>
      </w:r>
      <w:bookmarkEnd w:id="323"/>
      <w:r>
        <w:t>其他工业固体废物，类别代码为</w:t>
      </w:r>
      <w:r>
        <w:rPr>
          <w:rFonts w:hint="eastAsia"/>
        </w:rPr>
        <w:t>252</w:t>
      </w:r>
      <w:r>
        <w:t>-099-S59，经布袋除尘器落料口采用吨袋密闭运输，</w:t>
      </w:r>
      <w:r>
        <w:rPr>
          <w:rFonts w:hint="eastAsia"/>
        </w:rPr>
        <w:t>送原煤棚沫煤存放区暂存，出厂外售</w:t>
      </w:r>
      <w:r>
        <w:t>。</w:t>
      </w:r>
    </w:p>
    <w:p w14:paraId="4FC46898">
      <w:pPr>
        <w:pStyle w:val="117"/>
        <w:ind w:firstLine="480"/>
        <w:rPr>
          <w:rFonts w:cs="Times New Roman"/>
          <w:szCs w:val="21"/>
        </w:rPr>
      </w:pPr>
      <w:r>
        <w:rPr>
          <w:rFonts w:cs="Times New Roman"/>
          <w:szCs w:val="21"/>
        </w:rPr>
        <w:t>（</w:t>
      </w:r>
      <w:r>
        <w:rPr>
          <w:rFonts w:hint="eastAsia" w:cs="Times New Roman"/>
          <w:szCs w:val="21"/>
        </w:rPr>
        <w:t>2</w:t>
      </w:r>
      <w:r>
        <w:rPr>
          <w:rFonts w:cs="Times New Roman"/>
          <w:szCs w:val="21"/>
        </w:rPr>
        <w:t>）</w:t>
      </w:r>
      <w:r>
        <w:rPr>
          <w:rFonts w:hint="eastAsia" w:cs="Times New Roman"/>
          <w:szCs w:val="21"/>
        </w:rPr>
        <w:t>焦粉</w:t>
      </w:r>
      <w:r>
        <w:rPr>
          <w:rFonts w:cs="Times New Roman"/>
        </w:rPr>
        <w:t>（S</w:t>
      </w:r>
      <w:r>
        <w:rPr>
          <w:rFonts w:hint="eastAsia" w:cs="Times New Roman"/>
        </w:rPr>
        <w:t>1-2</w:t>
      </w:r>
      <w:r>
        <w:rPr>
          <w:rFonts w:cs="Times New Roman"/>
        </w:rPr>
        <w:t>）</w:t>
      </w:r>
    </w:p>
    <w:p w14:paraId="3CED7605">
      <w:pPr>
        <w:pStyle w:val="117"/>
        <w:ind w:firstLine="480"/>
        <w:rPr>
          <w:rFonts w:cs="Times New Roman"/>
          <w:szCs w:val="21"/>
        </w:rPr>
      </w:pPr>
      <w:r>
        <w:rPr>
          <w:rFonts w:hint="eastAsia" w:cs="Times New Roman"/>
          <w:szCs w:val="21"/>
        </w:rPr>
        <w:t>炭化工段筛焦废气、兰炭烘干废气、兰炭筛分废气均</w:t>
      </w:r>
      <w:r>
        <w:rPr>
          <w:rFonts w:hint="eastAsia"/>
          <w:szCs w:val="21"/>
        </w:rPr>
        <w:t>配套布袋除尘器，收集的煤尘根据</w:t>
      </w:r>
      <w:r>
        <w:rPr>
          <w:szCs w:val="21"/>
        </w:rPr>
        <w:t>废气颗粒物产生源强、布袋除尘器除尘效率等核算情况，采用物料平衡法核算原料系统</w:t>
      </w:r>
      <w:r>
        <w:rPr>
          <w:rFonts w:hint="eastAsia"/>
          <w:szCs w:val="21"/>
        </w:rPr>
        <w:t>煤尘</w:t>
      </w:r>
      <w:r>
        <w:rPr>
          <w:szCs w:val="21"/>
        </w:rPr>
        <w:t>的产量为</w:t>
      </w:r>
      <w:r>
        <w:rPr>
          <w:rFonts w:hint="eastAsia"/>
          <w:szCs w:val="21"/>
        </w:rPr>
        <w:t>178</w:t>
      </w:r>
      <w:r>
        <w:rPr>
          <w:szCs w:val="21"/>
        </w:rPr>
        <w:t>t/a。</w:t>
      </w:r>
      <w:r>
        <w:rPr>
          <w:rFonts w:hint="eastAsia"/>
        </w:rPr>
        <w:t>焦粉</w:t>
      </w:r>
      <w:r>
        <w:rPr>
          <w:szCs w:val="21"/>
        </w:rPr>
        <w:t>的主要组分为</w:t>
      </w:r>
      <w:bookmarkStart w:id="324" w:name="OLE_LINK32"/>
      <w:r>
        <w:rPr>
          <w:rFonts w:hint="eastAsia"/>
        </w:rPr>
        <w:t>粉焦</w:t>
      </w:r>
      <w:bookmarkEnd w:id="324"/>
      <w:r>
        <w:t>。根据《固体废物分类与代码目录》（2024年第4号），</w:t>
      </w:r>
      <w:r>
        <w:rPr>
          <w:rFonts w:hint="eastAsia"/>
        </w:rPr>
        <w:t>焦粉</w:t>
      </w:r>
      <w:r>
        <w:t>属于工业固体废物，是</w:t>
      </w:r>
      <w:r>
        <w:rPr>
          <w:rFonts w:hint="eastAsia"/>
        </w:rPr>
        <w:t>煤炭加工</w:t>
      </w:r>
      <w:r>
        <w:t>行业生产过程中产生的废收尘灰，废物种类为SW59其他工业固体废物，类别代码为</w:t>
      </w:r>
      <w:r>
        <w:rPr>
          <w:rFonts w:hint="eastAsia"/>
        </w:rPr>
        <w:t>252</w:t>
      </w:r>
      <w:r>
        <w:t>-099-S59，经布袋除尘器落料口采用吨袋密闭运输，</w:t>
      </w:r>
      <w:r>
        <w:rPr>
          <w:rFonts w:hint="eastAsia"/>
        </w:rPr>
        <w:t>送兰炭棚存放区暂存，出厂外售</w:t>
      </w:r>
      <w:r>
        <w:t>。</w:t>
      </w:r>
    </w:p>
    <w:p w14:paraId="7CD57FBF">
      <w:pPr>
        <w:ind w:firstLine="480"/>
      </w:pPr>
      <w:r>
        <w:rPr>
          <w:rFonts w:hint="eastAsia"/>
        </w:rPr>
        <w:t>（3）硫酸钠滤饼（S1-3）</w:t>
      </w:r>
    </w:p>
    <w:p w14:paraId="2592ABBD">
      <w:pPr>
        <w:ind w:firstLine="480"/>
      </w:pPr>
      <w:r>
        <w:rPr>
          <w:rFonts w:hint="eastAsia"/>
        </w:rPr>
        <w:t>兰炭干燥烟气采用“旋风除尘+碱喷淋+布袋除尘”，废水焚烧炉烟气采用“</w:t>
      </w:r>
      <w:r>
        <w:t>SNCR</w:t>
      </w:r>
      <w:r>
        <w:rPr>
          <w:rFonts w:hint="eastAsia"/>
        </w:rPr>
        <w:t>+二级碱喷淋脱硫”处理。碱喷淋脱硫过程</w:t>
      </w:r>
      <w:r>
        <w:rPr>
          <w:rFonts w:hint="eastAsia"/>
          <w:color w:val="000000"/>
        </w:rPr>
        <w:t>脱硫废水经循环沉淀池沉淀脱硫废渣主要是硫酸钠滤饼。根据焚烧废水的组成及烟气处理措施进行物料衡算，硫酸钠滤饼产生量约为2320t/a，含水约30%。硫酸钠滤饼</w:t>
      </w:r>
      <w:r>
        <w:rPr>
          <w:rFonts w:hint="eastAsia"/>
        </w:rPr>
        <w:t>为焚烧烟气处理过程中产生的含盐废渣。根据《固体废物分类与代码目录》（2024年第4号），</w:t>
      </w:r>
      <w:r>
        <w:rPr>
          <w:rFonts w:hint="eastAsia"/>
          <w:color w:val="000000"/>
        </w:rPr>
        <w:t>硫酸钠滤饼</w:t>
      </w:r>
      <w:r>
        <w:rPr>
          <w:rFonts w:hint="eastAsia"/>
        </w:rPr>
        <w:t>属于工业固体废物，是煤炭加工行业</w:t>
      </w:r>
      <w:r>
        <w:t>生产过程中产生的</w:t>
      </w:r>
      <w:r>
        <w:rPr>
          <w:rFonts w:hint="eastAsia"/>
        </w:rPr>
        <w:t>废盐，废物种类为SW16化工废物，</w:t>
      </w:r>
      <w:r>
        <w:t>类别代码为</w:t>
      </w:r>
      <w:r>
        <w:rPr>
          <w:rFonts w:hint="eastAsia"/>
        </w:rPr>
        <w:t>252-005-S16，</w:t>
      </w:r>
      <w:r>
        <w:rPr>
          <w:rFonts w:hint="eastAsia"/>
          <w:color w:val="000000"/>
        </w:rPr>
        <w:t>送厂外综合利用</w:t>
      </w:r>
      <w:r>
        <w:rPr>
          <w:color w:val="000000"/>
        </w:rPr>
        <w:t>。</w:t>
      </w:r>
    </w:p>
    <w:p w14:paraId="06D33420">
      <w:pPr>
        <w:ind w:firstLine="480"/>
      </w:pPr>
      <w:r>
        <w:rPr>
          <w:rFonts w:hint="eastAsia"/>
        </w:rPr>
        <w:t>（4）煤焦油（S1-4）</w:t>
      </w:r>
    </w:p>
    <w:p w14:paraId="6F836785">
      <w:pPr>
        <w:ind w:firstLine="480"/>
        <w:rPr>
          <w:snapToGrid w:val="0"/>
        </w:rPr>
      </w:pPr>
      <w:r>
        <w:rPr>
          <w:rFonts w:hint="eastAsia"/>
        </w:rPr>
        <w:t>兰炭生产中</w:t>
      </w:r>
      <w:bookmarkStart w:id="325" w:name="_Hlk176201092"/>
      <w:r>
        <w:rPr>
          <w:rFonts w:hint="eastAsia"/>
        </w:rPr>
        <w:t>荒煤气净化单元油水分离器回收中低温煤焦油</w:t>
      </w:r>
      <w:bookmarkEnd w:id="325"/>
      <w:r>
        <w:rPr>
          <w:rFonts w:hint="eastAsia"/>
        </w:rPr>
        <w:t>，根据煤质组分与物料平衡计算，煤焦油约9.7万t/a，主要组分为矿物油，</w:t>
      </w:r>
      <w:bookmarkStart w:id="326" w:name="_Hlk176201143"/>
      <w:r>
        <w:rPr>
          <w:rFonts w:hint="eastAsia"/>
        </w:rPr>
        <w:t>属于危险废物</w:t>
      </w:r>
      <w:r>
        <w:rPr>
          <w:rFonts w:hint="eastAsia"/>
          <w:snapToGrid w:val="0"/>
        </w:rPr>
        <w:t>，</w:t>
      </w:r>
      <w:r>
        <w:rPr>
          <w:snapToGrid w:val="0"/>
        </w:rPr>
        <w:t>是</w:t>
      </w:r>
      <w:r>
        <w:rPr>
          <w:rFonts w:hint="eastAsia"/>
          <w:snapToGrid w:val="0"/>
        </w:rPr>
        <w:t>煤气净化过程氨水分离设施底部的废焦油，废物类别</w:t>
      </w:r>
      <w:r>
        <w:rPr>
          <w:snapToGrid w:val="0"/>
        </w:rPr>
        <w:t>为HW</w:t>
      </w:r>
      <w:r>
        <w:rPr>
          <w:rFonts w:hint="eastAsia"/>
          <w:snapToGrid w:val="0"/>
        </w:rPr>
        <w:t>11</w:t>
      </w:r>
      <w:r>
        <w:rPr>
          <w:snapToGrid w:val="0"/>
        </w:rPr>
        <w:t>，</w:t>
      </w:r>
      <w:r>
        <w:rPr>
          <w:rFonts w:hint="eastAsia"/>
          <w:snapToGrid w:val="0"/>
        </w:rPr>
        <w:t>废物代码</w:t>
      </w:r>
      <w:r>
        <w:rPr>
          <w:snapToGrid w:val="0"/>
        </w:rPr>
        <w:t>25</w:t>
      </w:r>
      <w:r>
        <w:rPr>
          <w:rFonts w:hint="eastAsia"/>
          <w:snapToGrid w:val="0"/>
        </w:rPr>
        <w:t>2</w:t>
      </w:r>
      <w:r>
        <w:rPr>
          <w:snapToGrid w:val="0"/>
        </w:rPr>
        <w:t>-</w:t>
      </w:r>
      <w:r>
        <w:rPr>
          <w:rFonts w:hint="eastAsia"/>
          <w:snapToGrid w:val="0"/>
        </w:rPr>
        <w:t>002-11，在焦油罐区储存。煤焦油达到</w:t>
      </w:r>
      <w:r>
        <w:rPr>
          <w:lang w:val="zh-CN"/>
        </w:rPr>
        <w:t>《中低温煤焦油》（DB61/T995-2015）</w:t>
      </w:r>
      <w:r>
        <w:rPr>
          <w:rFonts w:hint="eastAsia"/>
          <w:lang w:val="zh-CN"/>
        </w:rPr>
        <w:t>一级标准</w:t>
      </w:r>
      <w:r>
        <w:rPr>
          <w:lang w:val="zh-CN"/>
        </w:rPr>
        <w:t>要求</w:t>
      </w:r>
      <w:r>
        <w:rPr>
          <w:rFonts w:hint="eastAsia"/>
          <w:lang w:val="zh-CN"/>
        </w:rPr>
        <w:t>，</w:t>
      </w:r>
      <w:r>
        <w:rPr>
          <w:rFonts w:hint="eastAsia"/>
          <w:snapToGrid w:val="0"/>
        </w:rPr>
        <w:t>作为副产品出售给具有危险废物处置资质的生产单位综合利用。</w:t>
      </w:r>
    </w:p>
    <w:p w14:paraId="1F27467D">
      <w:pPr>
        <w:ind w:firstLine="480"/>
        <w:rPr>
          <w:snapToGrid w:val="0"/>
        </w:rPr>
      </w:pPr>
      <w:r>
        <w:rPr>
          <w:rFonts w:hint="eastAsia"/>
          <w:snapToGrid w:val="0"/>
        </w:rPr>
        <w:t>煤炭焦化、气化及生产燃气过程中产生的中低温煤焦油属于列入《国家危险废物名录（2025年版）》附录《危险废物免管理清单》中的炼焦危险废物，当满足《危险废物豁免管理清单》中列出的豁免条件时，在所列的豁免环节可不按照危险废物管理，在其他情况下仍按照危险废物管理。因此，本项目煤焦油收集、贮存、转移、运输环节应按危险废物环境管理要求进行严格管理。</w:t>
      </w:r>
      <w:bookmarkEnd w:id="326"/>
    </w:p>
    <w:p w14:paraId="40C7F5EA">
      <w:pPr>
        <w:ind w:firstLine="480"/>
      </w:pPr>
      <w:r>
        <w:rPr>
          <w:rFonts w:hint="eastAsia"/>
        </w:rPr>
        <w:t>（5）煤气净化工段焦油渣（S1-5）</w:t>
      </w:r>
    </w:p>
    <w:p w14:paraId="5231D6F1">
      <w:pPr>
        <w:ind w:firstLine="480"/>
      </w:pPr>
      <w:r>
        <w:rPr>
          <w:rFonts w:hint="eastAsia"/>
        </w:rPr>
        <w:t>从焦炉逸出的荒煤气在集气槽和冷却器冷却的条件下、高沸点的有机化合物被冷凝形成煤焦油，与此同时煤气中夹带的煤粉和灰分液混杂在焦油中，形成大小不等的团块，即焦油渣，主要从焦油氨水分离罐和焦油罐中分离出来。</w:t>
      </w:r>
    </w:p>
    <w:p w14:paraId="5D0FB996">
      <w:pPr>
        <w:ind w:firstLine="480"/>
      </w:pPr>
      <w:r>
        <w:rPr>
          <w:rFonts w:hint="eastAsia"/>
        </w:rPr>
        <w:t>根据《炼焦化学工业污染防治可行技术指南》（HJ2306-2018）“5.4.1除尘灰、焦油渣、酸焦油、蒸氨残渣、再生渣、废水处理污泥、废矿物油与含矿物油废物、废活性炭等可通过厂内掺煤炼焦进行无害化处置”。</w:t>
      </w:r>
    </w:p>
    <w:p w14:paraId="3F4F87C2">
      <w:pPr>
        <w:ind w:firstLine="480"/>
      </w:pPr>
      <w:r>
        <w:rPr>
          <w:rFonts w:hint="eastAsia"/>
        </w:rPr>
        <w:t>本项目兰炭生产中荒煤气净化单元油水分离器产生焦油渣，根据现有工程煤气净化工段焦油渣管理台账估算，煤气净化工段焦油渣约360t/a，属于危险废物</w:t>
      </w:r>
      <w:r>
        <w:rPr>
          <w:rFonts w:hint="eastAsia"/>
          <w:snapToGrid w:val="0"/>
        </w:rPr>
        <w:t>，</w:t>
      </w:r>
      <w:r>
        <w:rPr>
          <w:snapToGrid w:val="0"/>
        </w:rPr>
        <w:t>是</w:t>
      </w:r>
      <w:r>
        <w:rPr>
          <w:rFonts w:hint="eastAsia"/>
          <w:snapToGrid w:val="0"/>
        </w:rPr>
        <w:t>煤气净化过程氨水分离设施底部的焦油渣，废物类别</w:t>
      </w:r>
      <w:r>
        <w:rPr>
          <w:snapToGrid w:val="0"/>
        </w:rPr>
        <w:t>为HW</w:t>
      </w:r>
      <w:r>
        <w:rPr>
          <w:rFonts w:hint="eastAsia"/>
          <w:snapToGrid w:val="0"/>
        </w:rPr>
        <w:t>11</w:t>
      </w:r>
      <w:r>
        <w:rPr>
          <w:snapToGrid w:val="0"/>
        </w:rPr>
        <w:t>，</w:t>
      </w:r>
      <w:r>
        <w:rPr>
          <w:rFonts w:hint="eastAsia"/>
          <w:snapToGrid w:val="0"/>
        </w:rPr>
        <w:t>废物代码</w:t>
      </w:r>
      <w:r>
        <w:rPr>
          <w:snapToGrid w:val="0"/>
        </w:rPr>
        <w:t>25</w:t>
      </w:r>
      <w:r>
        <w:rPr>
          <w:rFonts w:hint="eastAsia"/>
          <w:snapToGrid w:val="0"/>
        </w:rPr>
        <w:t>2</w:t>
      </w:r>
      <w:r>
        <w:rPr>
          <w:snapToGrid w:val="0"/>
        </w:rPr>
        <w:t>-</w:t>
      </w:r>
      <w:r>
        <w:rPr>
          <w:rFonts w:hint="eastAsia"/>
          <w:snapToGrid w:val="0"/>
        </w:rPr>
        <w:t>002-11。</w:t>
      </w:r>
      <w:r>
        <w:rPr>
          <w:rFonts w:hint="eastAsia"/>
        </w:rPr>
        <w:t>焦油渣经密闭小槽车送备煤工段掺烧，不进行暂存。</w:t>
      </w:r>
    </w:p>
    <w:p w14:paraId="6917F644">
      <w:pPr>
        <w:ind w:firstLine="480"/>
      </w:pPr>
      <w:r>
        <w:rPr>
          <w:rFonts w:hint="eastAsia"/>
        </w:rPr>
        <w:t>（6）焦油罐区焦油渣（S1-6）</w:t>
      </w:r>
    </w:p>
    <w:p w14:paraId="574F71E8">
      <w:pPr>
        <w:ind w:firstLine="480"/>
      </w:pPr>
      <w:r>
        <w:rPr>
          <w:rFonts w:hint="eastAsia"/>
        </w:rPr>
        <w:t>焦油储罐定期清理煤焦油储存过程产生的焦油渣，根据现有工程焦油储罐清理的焦油渣管理台账估算，焦油罐区产出的焦油渣约240t/a，属于危险废物</w:t>
      </w:r>
      <w:r>
        <w:rPr>
          <w:rFonts w:hint="eastAsia"/>
          <w:snapToGrid w:val="0"/>
        </w:rPr>
        <w:t>，</w:t>
      </w:r>
      <w:r>
        <w:rPr>
          <w:snapToGrid w:val="0"/>
        </w:rPr>
        <w:t>是</w:t>
      </w:r>
      <w:r>
        <w:rPr>
          <w:rFonts w:hint="eastAsia"/>
          <w:snapToGrid w:val="0"/>
        </w:rPr>
        <w:t>炼焦过程中焦油储存设施中的焦油渣，废物类别</w:t>
      </w:r>
      <w:r>
        <w:rPr>
          <w:snapToGrid w:val="0"/>
        </w:rPr>
        <w:t>为HW</w:t>
      </w:r>
      <w:r>
        <w:rPr>
          <w:rFonts w:hint="eastAsia"/>
          <w:snapToGrid w:val="0"/>
        </w:rPr>
        <w:t>11</w:t>
      </w:r>
      <w:r>
        <w:rPr>
          <w:snapToGrid w:val="0"/>
        </w:rPr>
        <w:t>，</w:t>
      </w:r>
      <w:r>
        <w:rPr>
          <w:rFonts w:hint="eastAsia"/>
          <w:snapToGrid w:val="0"/>
        </w:rPr>
        <w:t>废物代码</w:t>
      </w:r>
      <w:r>
        <w:rPr>
          <w:snapToGrid w:val="0"/>
        </w:rPr>
        <w:t>25</w:t>
      </w:r>
      <w:r>
        <w:rPr>
          <w:rFonts w:hint="eastAsia"/>
          <w:snapToGrid w:val="0"/>
        </w:rPr>
        <w:t>2</w:t>
      </w:r>
      <w:r>
        <w:rPr>
          <w:snapToGrid w:val="0"/>
        </w:rPr>
        <w:t>-</w:t>
      </w:r>
      <w:r>
        <w:rPr>
          <w:rFonts w:hint="eastAsia"/>
          <w:snapToGrid w:val="0"/>
        </w:rPr>
        <w:t>004-11，</w:t>
      </w:r>
      <w:r>
        <w:rPr>
          <w:rFonts w:hint="eastAsia"/>
        </w:rPr>
        <w:t>焦油渣经密闭小槽车送备煤工段掺烧，不进行暂存。</w:t>
      </w:r>
    </w:p>
    <w:p w14:paraId="1DD1BE01">
      <w:pPr>
        <w:ind w:firstLine="480"/>
      </w:pPr>
      <w:r>
        <w:rPr>
          <w:rFonts w:hint="eastAsia"/>
        </w:rPr>
        <w:t>（7）废活性炭（S1-7）</w:t>
      </w:r>
    </w:p>
    <w:p w14:paraId="1272F559">
      <w:pPr>
        <w:ind w:firstLine="480"/>
      </w:pPr>
      <w:r>
        <w:rPr>
          <w:rFonts w:hint="eastAsia" w:cs="华文仿宋"/>
        </w:rPr>
        <w:t>VOCs废气处理装置采用活性炭进行干燥脱水及吸附处理，定期产生废活性炭，参照《</w:t>
      </w:r>
      <w:r>
        <w:rPr>
          <w:rFonts w:hint="eastAsia"/>
        </w:rPr>
        <w:t>有机废气治理 活性炭吸附装置技术规范</w:t>
      </w:r>
      <w:r>
        <w:rPr>
          <w:rFonts w:hint="eastAsia" w:cs="华文仿宋"/>
        </w:rPr>
        <w:t>》</w:t>
      </w:r>
      <w:r>
        <w:rPr>
          <w:rFonts w:hint="eastAsia"/>
        </w:rPr>
        <w:t>（TZSESS 010-2024）计算，废活性炭</w:t>
      </w:r>
      <w:r>
        <w:rPr>
          <w:rFonts w:cs="华文仿宋"/>
        </w:rPr>
        <w:t>产生量为</w:t>
      </w:r>
      <w:r>
        <w:rPr>
          <w:rFonts w:hint="eastAsia" w:cs="华文仿宋"/>
        </w:rPr>
        <w:t>4</w:t>
      </w:r>
      <w:r>
        <w:rPr>
          <w:rFonts w:cs="华文仿宋"/>
        </w:rPr>
        <w:t>t/a，属于</w:t>
      </w:r>
      <w:r>
        <w:rPr>
          <w:rFonts w:hint="eastAsia" w:cs="华文仿宋"/>
        </w:rPr>
        <w:t>危险废物</w:t>
      </w:r>
      <w:r>
        <w:rPr>
          <w:rFonts w:cs="华文仿宋"/>
        </w:rPr>
        <w:t>，是</w:t>
      </w:r>
      <w:r>
        <w:rPr>
          <w:rFonts w:hint="eastAsia" w:cs="华文仿宋"/>
        </w:rPr>
        <w:t>非</w:t>
      </w:r>
      <w:r>
        <w:rPr>
          <w:rFonts w:cs="华文仿宋"/>
        </w:rPr>
        <w:t>特定行业</w:t>
      </w:r>
      <w:r>
        <w:rPr>
          <w:rFonts w:hint="eastAsia" w:cs="华文仿宋"/>
        </w:rPr>
        <w:t>VOCs治理</w:t>
      </w:r>
      <w:r>
        <w:rPr>
          <w:rFonts w:cs="华文仿宋"/>
        </w:rPr>
        <w:t>过程中化学原料和化学制品脱色</w:t>
      </w:r>
      <w:r>
        <w:rPr>
          <w:rFonts w:hint="eastAsia" w:cs="华文仿宋"/>
        </w:rPr>
        <w:t>、</w:t>
      </w:r>
      <w:r>
        <w:rPr>
          <w:rFonts w:cs="华文仿宋"/>
        </w:rPr>
        <w:t>除杂</w:t>
      </w:r>
      <w:r>
        <w:rPr>
          <w:rFonts w:hint="eastAsia" w:cs="华文仿宋"/>
        </w:rPr>
        <w:t>、净化</w:t>
      </w:r>
      <w:r>
        <w:rPr>
          <w:rFonts w:cs="华文仿宋"/>
        </w:rPr>
        <w:t>过程产生的废</w:t>
      </w:r>
      <w:r>
        <w:rPr>
          <w:rFonts w:hint="eastAsia" w:cs="华文仿宋"/>
        </w:rPr>
        <w:t>活性炭，废物类别</w:t>
      </w:r>
      <w:r>
        <w:rPr>
          <w:rFonts w:cs="华文仿宋"/>
        </w:rPr>
        <w:t>为HW</w:t>
      </w:r>
      <w:r>
        <w:rPr>
          <w:rFonts w:hint="eastAsia" w:cs="华文仿宋"/>
        </w:rPr>
        <w:t>49</w:t>
      </w:r>
      <w:r>
        <w:rPr>
          <w:rFonts w:cs="华文仿宋"/>
        </w:rPr>
        <w:t>，</w:t>
      </w:r>
      <w:r>
        <w:rPr>
          <w:rFonts w:hint="eastAsia" w:cs="华文仿宋"/>
        </w:rPr>
        <w:t>废物代码900-039-49，废活性炭</w:t>
      </w:r>
      <w:r>
        <w:rPr>
          <w:rFonts w:hint="eastAsia"/>
        </w:rPr>
        <w:t>产生后直接送备煤工段掺烧，不进行暂存。</w:t>
      </w:r>
    </w:p>
    <w:p w14:paraId="5F3B07A9">
      <w:pPr>
        <w:ind w:firstLine="480"/>
      </w:pPr>
      <w:r>
        <w:rPr>
          <w:rFonts w:hint="eastAsia"/>
        </w:rPr>
        <w:t>（8）废催化剂（S1-8）</w:t>
      </w:r>
    </w:p>
    <w:p w14:paraId="76A1BE4D">
      <w:pPr>
        <w:ind w:firstLine="480"/>
      </w:pPr>
      <w:r>
        <w:rPr>
          <w:rFonts w:hint="eastAsia"/>
        </w:rPr>
        <w:t>VOCs处理设施采用催化燃烧设备处理</w:t>
      </w:r>
      <w:r>
        <w:rPr>
          <w:szCs w:val="32"/>
        </w:rPr>
        <w:t>VOCs</w:t>
      </w:r>
      <w:r>
        <w:rPr>
          <w:rFonts w:hint="eastAsia"/>
          <w:szCs w:val="32"/>
        </w:rPr>
        <w:t>，定期排放废催化剂，产生量约为3t/a，主要组分为</w:t>
      </w:r>
      <w:r>
        <w:t>贵金属</w:t>
      </w:r>
      <w:r>
        <w:rPr>
          <w:rFonts w:hint="eastAsia"/>
          <w:szCs w:val="32"/>
        </w:rPr>
        <w:t>铂。</w:t>
      </w:r>
      <w:r>
        <w:rPr>
          <w:rFonts w:hint="eastAsia"/>
        </w:rPr>
        <w:t>根据《固体废物分类与代码目录》（2024年第4号），废催化剂属于工业固体废物，是煤炭加工行业</w:t>
      </w:r>
      <w:r>
        <w:t>生产过程中产生的</w:t>
      </w:r>
      <w:r>
        <w:rPr>
          <w:rFonts w:hint="eastAsia"/>
        </w:rPr>
        <w:t>废催化剂，废物种类为SW59其他工业固体废物，</w:t>
      </w:r>
      <w:r>
        <w:t>类别代码为</w:t>
      </w:r>
      <w:r>
        <w:rPr>
          <w:rFonts w:hint="eastAsia"/>
        </w:rPr>
        <w:t>252-004-S59，由催化剂厂家回收</w:t>
      </w:r>
      <w:r>
        <w:t>。</w:t>
      </w:r>
    </w:p>
    <w:p w14:paraId="360E7CFF">
      <w:pPr>
        <w:ind w:firstLine="480"/>
      </w:pPr>
      <w:r>
        <w:rPr>
          <w:rFonts w:hint="eastAsia"/>
        </w:rPr>
        <w:t>（9）废水处理</w:t>
      </w:r>
      <w:bookmarkStart w:id="327" w:name="OLE_LINK39"/>
      <w:r>
        <w:rPr>
          <w:rFonts w:hint="eastAsia"/>
        </w:rPr>
        <w:t>硫酸铵</w:t>
      </w:r>
      <w:bookmarkEnd w:id="327"/>
      <w:r>
        <w:rPr>
          <w:rFonts w:hint="eastAsia"/>
        </w:rPr>
        <w:t>溶液（S1-9）</w:t>
      </w:r>
    </w:p>
    <w:p w14:paraId="64DE0133">
      <w:pPr>
        <w:ind w:firstLine="720" w:firstLineChars="300"/>
      </w:pPr>
      <w:bookmarkStart w:id="328" w:name="_Hlk176200966"/>
      <w:r>
        <w:rPr>
          <w:rFonts w:hint="eastAsia"/>
        </w:rPr>
        <w:t>废水脱氮过程利用鼓风机吹脱氨气，氨气通过引风机引入氨气吸收塔，在母液冷凝槽中的液体进行充分吸收氨气，当母液冷凝槽的浓度达到一定值时，形成硫酸铵溶液。</w:t>
      </w:r>
      <w:r>
        <w:t>硫酸铵饱和溶液</w:t>
      </w:r>
      <w:r>
        <w:rPr>
          <w:rFonts w:hint="eastAsia"/>
        </w:rPr>
        <w:t>产生量约2128t/a</w:t>
      </w:r>
      <w:r>
        <w:t>。</w:t>
      </w:r>
      <w:r>
        <w:rPr>
          <w:rFonts w:hint="eastAsia"/>
        </w:rPr>
        <w:t>硫酸铵溶液为含氨废气处理过程中产生的含盐溶液，根据</w:t>
      </w:r>
      <w:r>
        <w:rPr>
          <w:rFonts w:hint="eastAsia"/>
          <w:snapToGrid w:val="0"/>
        </w:rPr>
        <w:t>《国家危险废物名录（2025年版）》，</w:t>
      </w:r>
      <w:r>
        <w:rPr>
          <w:rFonts w:hint="eastAsia"/>
        </w:rPr>
        <w:t>硫酸铵溶液不属于危险废物。根据《固体废物分类与代码目录》（2024年第4号），硫酸铵溶液属于工业固体废物，是煤炭加工行业</w:t>
      </w:r>
      <w:r>
        <w:t>生产过程中产生的</w:t>
      </w:r>
      <w:r>
        <w:rPr>
          <w:rFonts w:hint="eastAsia"/>
        </w:rPr>
        <w:t>废盐，废物种类为SW16化工废物，</w:t>
      </w:r>
      <w:r>
        <w:t>类别代码为</w:t>
      </w:r>
      <w:r>
        <w:rPr>
          <w:rFonts w:hint="eastAsia"/>
        </w:rPr>
        <w:t>252-005-S16，送肥料生产企业综合利用。</w:t>
      </w:r>
      <w:bookmarkEnd w:id="328"/>
    </w:p>
    <w:p w14:paraId="33E0F511">
      <w:pPr>
        <w:pStyle w:val="117"/>
        <w:ind w:firstLine="480"/>
        <w:rPr>
          <w:rFonts w:cs="Times New Roman"/>
          <w:szCs w:val="21"/>
        </w:rPr>
      </w:pPr>
      <w:r>
        <w:rPr>
          <w:rFonts w:cs="Times New Roman"/>
          <w:szCs w:val="21"/>
        </w:rPr>
        <w:t>（1</w:t>
      </w:r>
      <w:r>
        <w:rPr>
          <w:rFonts w:hint="eastAsia" w:cs="Times New Roman"/>
          <w:szCs w:val="21"/>
        </w:rPr>
        <w:t>0</w:t>
      </w:r>
      <w:r>
        <w:rPr>
          <w:rFonts w:cs="Times New Roman"/>
          <w:szCs w:val="21"/>
        </w:rPr>
        <w:t>）车辆冲洗</w:t>
      </w:r>
      <w:r>
        <w:rPr>
          <w:rFonts w:hint="eastAsia" w:cs="Times New Roman"/>
          <w:szCs w:val="21"/>
        </w:rPr>
        <w:t>煤泥</w:t>
      </w:r>
      <w:r>
        <w:rPr>
          <w:rFonts w:cs="Times New Roman"/>
        </w:rPr>
        <w:t>（S1</w:t>
      </w:r>
      <w:r>
        <w:rPr>
          <w:rFonts w:hint="eastAsia" w:cs="Times New Roman"/>
        </w:rPr>
        <w:t>-10</w:t>
      </w:r>
      <w:r>
        <w:rPr>
          <w:rFonts w:cs="Times New Roman"/>
        </w:rPr>
        <w:t>）</w:t>
      </w:r>
    </w:p>
    <w:p w14:paraId="58266A76">
      <w:pPr>
        <w:ind w:firstLine="480"/>
      </w:pPr>
      <w:r>
        <w:rPr>
          <w:rFonts w:hint="eastAsia"/>
        </w:rPr>
        <w:t>原煤仓及兰炭料仓</w:t>
      </w:r>
      <w:r>
        <w:t>出入口配车辆高压冲洗装置，洗车废水在沉淀池沉淀后回用，定期清理</w:t>
      </w:r>
      <w:r>
        <w:rPr>
          <w:rFonts w:hint="eastAsia"/>
          <w:szCs w:val="21"/>
        </w:rPr>
        <w:t>煤泥</w:t>
      </w:r>
      <w:r>
        <w:t>。</w:t>
      </w:r>
      <w:r>
        <w:rPr>
          <w:szCs w:val="21"/>
        </w:rPr>
        <w:t>根据粉尘控制效率，采用物料平衡法核算车辆冲洗</w:t>
      </w:r>
      <w:r>
        <w:rPr>
          <w:rFonts w:hint="eastAsia"/>
          <w:szCs w:val="21"/>
        </w:rPr>
        <w:t>煤泥</w:t>
      </w:r>
      <w:r>
        <w:rPr>
          <w:szCs w:val="21"/>
        </w:rPr>
        <w:t>的产量为</w:t>
      </w:r>
      <w:r>
        <w:rPr>
          <w:rFonts w:hint="eastAsia"/>
          <w:szCs w:val="21"/>
        </w:rPr>
        <w:t>991</w:t>
      </w:r>
      <w:r>
        <w:rPr>
          <w:szCs w:val="21"/>
        </w:rPr>
        <w:t>t/a。</w:t>
      </w:r>
      <w:r>
        <w:rPr>
          <w:rFonts w:hint="eastAsia"/>
          <w:szCs w:val="21"/>
        </w:rPr>
        <w:t>煤泥</w:t>
      </w:r>
      <w:r>
        <w:rPr>
          <w:szCs w:val="21"/>
        </w:rPr>
        <w:t>的主要组分为</w:t>
      </w:r>
      <w:r>
        <w:rPr>
          <w:rFonts w:hint="eastAsia"/>
        </w:rPr>
        <w:t>煤粉、焦粉等</w:t>
      </w:r>
      <w:r>
        <w:t>，</w:t>
      </w:r>
      <w:r>
        <w:rPr>
          <w:rFonts w:hint="eastAsia"/>
        </w:rPr>
        <w:t>压滤后</w:t>
      </w:r>
      <w:r>
        <w:t>含水约</w:t>
      </w:r>
      <w:r>
        <w:rPr>
          <w:rFonts w:hint="eastAsia"/>
        </w:rPr>
        <w:t>3</w:t>
      </w:r>
      <w:r>
        <w:t>0%。根据《固体废物分类与代码目录》（2024年第4号），</w:t>
      </w:r>
      <w:r>
        <w:rPr>
          <w:rFonts w:hint="eastAsia"/>
          <w:szCs w:val="21"/>
        </w:rPr>
        <w:t>煤泥</w:t>
      </w:r>
      <w:r>
        <w:t>属于工业固体废物，是</w:t>
      </w:r>
      <w:r>
        <w:rPr>
          <w:rFonts w:hint="eastAsia"/>
        </w:rPr>
        <w:t>煤炭加工</w:t>
      </w:r>
      <w:r>
        <w:t>行业生产过程中产生的废料，废物种类为SW59其他工业固体废物，类别代码为</w:t>
      </w:r>
      <w:r>
        <w:rPr>
          <w:rFonts w:hint="eastAsia"/>
        </w:rPr>
        <w:t>252</w:t>
      </w:r>
      <w:r>
        <w:t>-099-S59，沉淀池</w:t>
      </w:r>
      <w:r>
        <w:rPr>
          <w:szCs w:val="21"/>
        </w:rPr>
        <w:t>定期清理</w:t>
      </w:r>
      <w:r>
        <w:rPr>
          <w:rFonts w:hint="eastAsia"/>
        </w:rPr>
        <w:t>，送备煤工段掺烧，不进行暂存。</w:t>
      </w:r>
    </w:p>
    <w:p w14:paraId="54CF102D">
      <w:pPr>
        <w:ind w:firstLine="480"/>
      </w:pPr>
      <w:r>
        <w:rPr>
          <w:rFonts w:hint="eastAsia"/>
        </w:rPr>
        <w:t>兰炭生产线固体废物产生情况，见表3.3-31。</w:t>
      </w:r>
    </w:p>
    <w:p w14:paraId="26AC69FD">
      <w:pPr>
        <w:ind w:firstLine="480"/>
        <w:sectPr>
          <w:pgSz w:w="11906" w:h="16838"/>
          <w:pgMar w:top="1440" w:right="1800" w:bottom="1440" w:left="1800" w:header="850" w:footer="850" w:gutter="0"/>
          <w:cols w:space="425" w:num="1"/>
          <w:docGrid w:type="lines" w:linePitch="326" w:charSpace="0"/>
        </w:sectPr>
      </w:pPr>
    </w:p>
    <w:p w14:paraId="3F6AC802">
      <w:pPr>
        <w:pStyle w:val="118"/>
      </w:pPr>
      <w:bookmarkStart w:id="329" w:name="_Hlk177588301"/>
      <w:r>
        <w:t>表</w:t>
      </w:r>
      <w:r>
        <w:rPr>
          <w:rFonts w:hint="eastAsia"/>
        </w:rPr>
        <w:t>3.3-31    技改项目完成后兰炭生产线固体废物产生情况汇总表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1891"/>
        <w:gridCol w:w="1951"/>
        <w:gridCol w:w="1384"/>
        <w:gridCol w:w="2438"/>
        <w:gridCol w:w="1222"/>
        <w:gridCol w:w="1384"/>
        <w:gridCol w:w="3167"/>
      </w:tblGrid>
      <w:tr w14:paraId="398FE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7E87B7EF">
            <w:pPr>
              <w:pStyle w:val="133"/>
              <w:rPr>
                <w:b/>
                <w:bCs/>
                <w:szCs w:val="21"/>
              </w:rPr>
            </w:pPr>
            <w:r>
              <w:rPr>
                <w:b/>
                <w:bCs/>
                <w:szCs w:val="21"/>
              </w:rPr>
              <w:t>编号</w:t>
            </w:r>
          </w:p>
        </w:tc>
        <w:tc>
          <w:tcPr>
            <w:tcW w:w="667" w:type="pct"/>
            <w:vAlign w:val="center"/>
          </w:tcPr>
          <w:p w14:paraId="37A84968">
            <w:pPr>
              <w:pStyle w:val="133"/>
              <w:rPr>
                <w:b/>
                <w:bCs/>
                <w:szCs w:val="21"/>
              </w:rPr>
            </w:pPr>
            <w:r>
              <w:rPr>
                <w:b/>
                <w:bCs/>
                <w:szCs w:val="21"/>
              </w:rPr>
              <w:t>装置</w:t>
            </w:r>
          </w:p>
        </w:tc>
        <w:tc>
          <w:tcPr>
            <w:tcW w:w="688" w:type="pct"/>
            <w:vAlign w:val="center"/>
          </w:tcPr>
          <w:p w14:paraId="4E14DEBE">
            <w:pPr>
              <w:pStyle w:val="133"/>
              <w:rPr>
                <w:b/>
                <w:bCs/>
                <w:szCs w:val="21"/>
              </w:rPr>
            </w:pPr>
            <w:r>
              <w:rPr>
                <w:b/>
                <w:bCs/>
                <w:szCs w:val="21"/>
              </w:rPr>
              <w:t>名称</w:t>
            </w:r>
          </w:p>
        </w:tc>
        <w:tc>
          <w:tcPr>
            <w:tcW w:w="488" w:type="pct"/>
            <w:vAlign w:val="center"/>
          </w:tcPr>
          <w:p w14:paraId="11B1EF33">
            <w:pPr>
              <w:pStyle w:val="133"/>
              <w:rPr>
                <w:b/>
                <w:bCs/>
                <w:szCs w:val="21"/>
              </w:rPr>
            </w:pPr>
            <w:r>
              <w:rPr>
                <w:b/>
                <w:bCs/>
                <w:szCs w:val="21"/>
              </w:rPr>
              <w:t>产生量（t/a）</w:t>
            </w:r>
          </w:p>
        </w:tc>
        <w:tc>
          <w:tcPr>
            <w:tcW w:w="860" w:type="pct"/>
            <w:vAlign w:val="center"/>
          </w:tcPr>
          <w:p w14:paraId="723238A3">
            <w:pPr>
              <w:pStyle w:val="133"/>
              <w:rPr>
                <w:b/>
                <w:bCs/>
                <w:szCs w:val="21"/>
              </w:rPr>
            </w:pPr>
            <w:r>
              <w:rPr>
                <w:b/>
                <w:bCs/>
                <w:szCs w:val="21"/>
              </w:rPr>
              <w:t>主要组成</w:t>
            </w:r>
          </w:p>
        </w:tc>
        <w:tc>
          <w:tcPr>
            <w:tcW w:w="431" w:type="pct"/>
            <w:vAlign w:val="center"/>
          </w:tcPr>
          <w:p w14:paraId="0BB3BF80">
            <w:pPr>
              <w:pStyle w:val="133"/>
              <w:rPr>
                <w:b/>
                <w:bCs/>
                <w:szCs w:val="21"/>
              </w:rPr>
            </w:pPr>
            <w:r>
              <w:rPr>
                <w:b/>
                <w:bCs/>
                <w:szCs w:val="21"/>
              </w:rPr>
              <w:t>废物类别</w:t>
            </w:r>
          </w:p>
        </w:tc>
        <w:tc>
          <w:tcPr>
            <w:tcW w:w="488" w:type="pct"/>
            <w:vAlign w:val="center"/>
          </w:tcPr>
          <w:p w14:paraId="09C655C3">
            <w:pPr>
              <w:pStyle w:val="133"/>
              <w:rPr>
                <w:b/>
                <w:bCs/>
                <w:szCs w:val="21"/>
              </w:rPr>
            </w:pPr>
            <w:r>
              <w:rPr>
                <w:b/>
                <w:bCs/>
                <w:szCs w:val="21"/>
              </w:rPr>
              <w:t>废物代码</w:t>
            </w:r>
          </w:p>
        </w:tc>
        <w:tc>
          <w:tcPr>
            <w:tcW w:w="1117" w:type="pct"/>
            <w:vAlign w:val="center"/>
          </w:tcPr>
          <w:p w14:paraId="18D4DF87">
            <w:pPr>
              <w:pStyle w:val="133"/>
              <w:rPr>
                <w:b/>
                <w:bCs/>
                <w:szCs w:val="21"/>
              </w:rPr>
            </w:pPr>
            <w:r>
              <w:rPr>
                <w:b/>
                <w:bCs/>
                <w:szCs w:val="21"/>
              </w:rPr>
              <w:t>措施及去向</w:t>
            </w:r>
          </w:p>
        </w:tc>
      </w:tr>
      <w:tr w14:paraId="0FAAA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61C411E7">
            <w:pPr>
              <w:pStyle w:val="133"/>
              <w:rPr>
                <w:szCs w:val="21"/>
              </w:rPr>
            </w:pPr>
            <w:bookmarkStart w:id="330" w:name="_Hlk190703493"/>
            <w:r>
              <w:rPr>
                <w:szCs w:val="21"/>
              </w:rPr>
              <w:t>S</w:t>
            </w:r>
            <w:r>
              <w:rPr>
                <w:rFonts w:hint="eastAsia"/>
                <w:szCs w:val="21"/>
              </w:rPr>
              <w:t>1-</w:t>
            </w:r>
            <w:r>
              <w:rPr>
                <w:szCs w:val="21"/>
              </w:rPr>
              <w:t>1</w:t>
            </w:r>
          </w:p>
        </w:tc>
        <w:tc>
          <w:tcPr>
            <w:tcW w:w="667" w:type="pct"/>
            <w:vAlign w:val="center"/>
          </w:tcPr>
          <w:p w14:paraId="39EFA775">
            <w:pPr>
              <w:pStyle w:val="133"/>
              <w:rPr>
                <w:szCs w:val="21"/>
              </w:rPr>
            </w:pPr>
            <w:r>
              <w:rPr>
                <w:rFonts w:hint="eastAsia"/>
                <w:szCs w:val="21"/>
              </w:rPr>
              <w:t>备煤系统</w:t>
            </w:r>
          </w:p>
        </w:tc>
        <w:tc>
          <w:tcPr>
            <w:tcW w:w="688" w:type="pct"/>
            <w:vAlign w:val="center"/>
          </w:tcPr>
          <w:p w14:paraId="39F7F37E">
            <w:pPr>
              <w:pStyle w:val="133"/>
              <w:rPr>
                <w:szCs w:val="21"/>
              </w:rPr>
            </w:pPr>
            <w:r>
              <w:rPr>
                <w:rFonts w:hint="eastAsia"/>
                <w:szCs w:val="21"/>
              </w:rPr>
              <w:t>煤尘</w:t>
            </w:r>
          </w:p>
        </w:tc>
        <w:tc>
          <w:tcPr>
            <w:tcW w:w="488" w:type="pct"/>
            <w:vAlign w:val="center"/>
          </w:tcPr>
          <w:p w14:paraId="78450741">
            <w:pPr>
              <w:pStyle w:val="133"/>
              <w:rPr>
                <w:szCs w:val="21"/>
              </w:rPr>
            </w:pPr>
            <w:r>
              <w:rPr>
                <w:rFonts w:hint="eastAsia"/>
                <w:szCs w:val="21"/>
              </w:rPr>
              <w:t>678</w:t>
            </w:r>
          </w:p>
        </w:tc>
        <w:tc>
          <w:tcPr>
            <w:tcW w:w="860" w:type="pct"/>
            <w:vAlign w:val="center"/>
          </w:tcPr>
          <w:p w14:paraId="0B344AB1">
            <w:pPr>
              <w:pStyle w:val="133"/>
              <w:rPr>
                <w:szCs w:val="21"/>
              </w:rPr>
            </w:pPr>
            <w:r>
              <w:rPr>
                <w:rFonts w:hint="eastAsia"/>
                <w:szCs w:val="21"/>
              </w:rPr>
              <w:t>粉煤</w:t>
            </w:r>
          </w:p>
        </w:tc>
        <w:tc>
          <w:tcPr>
            <w:tcW w:w="431" w:type="pct"/>
            <w:vAlign w:val="center"/>
          </w:tcPr>
          <w:p w14:paraId="7022285D">
            <w:pPr>
              <w:pStyle w:val="133"/>
              <w:rPr>
                <w:szCs w:val="21"/>
              </w:rPr>
            </w:pPr>
            <w:r>
              <w:rPr>
                <w:szCs w:val="21"/>
              </w:rPr>
              <w:t>SW59</w:t>
            </w:r>
          </w:p>
        </w:tc>
        <w:tc>
          <w:tcPr>
            <w:tcW w:w="488" w:type="pct"/>
            <w:vAlign w:val="center"/>
          </w:tcPr>
          <w:p w14:paraId="69735D3C">
            <w:pPr>
              <w:pStyle w:val="133"/>
              <w:rPr>
                <w:szCs w:val="21"/>
              </w:rPr>
            </w:pPr>
            <w:r>
              <w:rPr>
                <w:rFonts w:hint="eastAsia"/>
                <w:szCs w:val="21"/>
              </w:rPr>
              <w:t>252</w:t>
            </w:r>
            <w:r>
              <w:rPr>
                <w:szCs w:val="21"/>
              </w:rPr>
              <w:t>-099-S59</w:t>
            </w:r>
          </w:p>
        </w:tc>
        <w:tc>
          <w:tcPr>
            <w:tcW w:w="1117" w:type="pct"/>
            <w:vAlign w:val="center"/>
          </w:tcPr>
          <w:p w14:paraId="09CCC4E8">
            <w:pPr>
              <w:pStyle w:val="133"/>
              <w:rPr>
                <w:szCs w:val="21"/>
              </w:rPr>
            </w:pPr>
            <w:r>
              <w:rPr>
                <w:rFonts w:hint="eastAsia"/>
                <w:szCs w:val="21"/>
              </w:rPr>
              <w:t>沫煤外售</w:t>
            </w:r>
          </w:p>
        </w:tc>
      </w:tr>
      <w:bookmarkEnd w:id="330"/>
      <w:tr w14:paraId="20E82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1FD436F0">
            <w:pPr>
              <w:pStyle w:val="133"/>
              <w:rPr>
                <w:szCs w:val="21"/>
              </w:rPr>
            </w:pPr>
            <w:r>
              <w:rPr>
                <w:szCs w:val="21"/>
              </w:rPr>
              <w:t>S</w:t>
            </w:r>
            <w:r>
              <w:rPr>
                <w:rFonts w:hint="eastAsia"/>
                <w:szCs w:val="21"/>
              </w:rPr>
              <w:t>1-</w:t>
            </w:r>
            <w:r>
              <w:rPr>
                <w:szCs w:val="21"/>
              </w:rPr>
              <w:t>2</w:t>
            </w:r>
          </w:p>
        </w:tc>
        <w:tc>
          <w:tcPr>
            <w:tcW w:w="667" w:type="pct"/>
            <w:vAlign w:val="center"/>
          </w:tcPr>
          <w:p w14:paraId="2B4C58ED">
            <w:pPr>
              <w:pStyle w:val="133"/>
              <w:rPr>
                <w:szCs w:val="21"/>
              </w:rPr>
            </w:pPr>
            <w:r>
              <w:rPr>
                <w:rFonts w:hint="eastAsia"/>
                <w:szCs w:val="21"/>
              </w:rPr>
              <w:t>兰炭处置系统</w:t>
            </w:r>
          </w:p>
        </w:tc>
        <w:tc>
          <w:tcPr>
            <w:tcW w:w="688" w:type="pct"/>
            <w:vAlign w:val="center"/>
          </w:tcPr>
          <w:p w14:paraId="2AFC375E">
            <w:pPr>
              <w:pStyle w:val="133"/>
              <w:rPr>
                <w:szCs w:val="21"/>
              </w:rPr>
            </w:pPr>
            <w:r>
              <w:rPr>
                <w:rFonts w:hint="eastAsia"/>
                <w:szCs w:val="21"/>
              </w:rPr>
              <w:t>焦粉</w:t>
            </w:r>
          </w:p>
        </w:tc>
        <w:tc>
          <w:tcPr>
            <w:tcW w:w="488" w:type="pct"/>
            <w:vAlign w:val="center"/>
          </w:tcPr>
          <w:p w14:paraId="28E4DEA0">
            <w:pPr>
              <w:pStyle w:val="133"/>
              <w:rPr>
                <w:szCs w:val="21"/>
              </w:rPr>
            </w:pPr>
            <w:r>
              <w:rPr>
                <w:rFonts w:hint="eastAsia"/>
                <w:szCs w:val="21"/>
              </w:rPr>
              <w:t>178</w:t>
            </w:r>
          </w:p>
        </w:tc>
        <w:tc>
          <w:tcPr>
            <w:tcW w:w="860" w:type="pct"/>
            <w:vAlign w:val="center"/>
          </w:tcPr>
          <w:p w14:paraId="6F3D72EB">
            <w:pPr>
              <w:pStyle w:val="133"/>
              <w:rPr>
                <w:szCs w:val="21"/>
              </w:rPr>
            </w:pPr>
            <w:r>
              <w:rPr>
                <w:rFonts w:hint="eastAsia"/>
                <w:szCs w:val="21"/>
              </w:rPr>
              <w:t>粉焦</w:t>
            </w:r>
          </w:p>
        </w:tc>
        <w:tc>
          <w:tcPr>
            <w:tcW w:w="431" w:type="pct"/>
            <w:vAlign w:val="center"/>
          </w:tcPr>
          <w:p w14:paraId="236E9690">
            <w:pPr>
              <w:pStyle w:val="133"/>
              <w:rPr>
                <w:szCs w:val="21"/>
              </w:rPr>
            </w:pPr>
            <w:r>
              <w:rPr>
                <w:szCs w:val="21"/>
              </w:rPr>
              <w:t>SW59</w:t>
            </w:r>
          </w:p>
        </w:tc>
        <w:tc>
          <w:tcPr>
            <w:tcW w:w="488" w:type="pct"/>
            <w:vAlign w:val="center"/>
          </w:tcPr>
          <w:p w14:paraId="6492C915">
            <w:pPr>
              <w:pStyle w:val="133"/>
              <w:rPr>
                <w:szCs w:val="21"/>
              </w:rPr>
            </w:pPr>
            <w:r>
              <w:rPr>
                <w:rFonts w:hint="eastAsia"/>
                <w:szCs w:val="21"/>
              </w:rPr>
              <w:t>252</w:t>
            </w:r>
            <w:r>
              <w:rPr>
                <w:szCs w:val="21"/>
              </w:rPr>
              <w:t>-099-S59</w:t>
            </w:r>
          </w:p>
        </w:tc>
        <w:tc>
          <w:tcPr>
            <w:tcW w:w="1117" w:type="pct"/>
            <w:vAlign w:val="center"/>
          </w:tcPr>
          <w:p w14:paraId="6E39225D">
            <w:pPr>
              <w:pStyle w:val="133"/>
              <w:rPr>
                <w:szCs w:val="21"/>
              </w:rPr>
            </w:pPr>
            <w:r>
              <w:rPr>
                <w:rFonts w:hint="eastAsia"/>
                <w:szCs w:val="21"/>
              </w:rPr>
              <w:t>焦粉外售</w:t>
            </w:r>
          </w:p>
        </w:tc>
      </w:tr>
      <w:tr w14:paraId="1A4EE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062CB18C">
            <w:pPr>
              <w:pStyle w:val="133"/>
              <w:rPr>
                <w:szCs w:val="21"/>
              </w:rPr>
            </w:pPr>
            <w:r>
              <w:rPr>
                <w:szCs w:val="21"/>
              </w:rPr>
              <w:t>S</w:t>
            </w:r>
            <w:r>
              <w:rPr>
                <w:rFonts w:hint="eastAsia"/>
                <w:szCs w:val="21"/>
              </w:rPr>
              <w:t>1-</w:t>
            </w:r>
            <w:r>
              <w:rPr>
                <w:szCs w:val="21"/>
              </w:rPr>
              <w:t>3</w:t>
            </w:r>
          </w:p>
        </w:tc>
        <w:tc>
          <w:tcPr>
            <w:tcW w:w="667" w:type="pct"/>
            <w:vAlign w:val="center"/>
          </w:tcPr>
          <w:p w14:paraId="7BA3F2B7">
            <w:pPr>
              <w:pStyle w:val="133"/>
              <w:rPr>
                <w:szCs w:val="21"/>
              </w:rPr>
            </w:pPr>
            <w:r>
              <w:rPr>
                <w:rFonts w:hint="eastAsia"/>
                <w:szCs w:val="21"/>
              </w:rPr>
              <w:t>废水焚烧炉及兰炭烘干窑</w:t>
            </w:r>
          </w:p>
        </w:tc>
        <w:tc>
          <w:tcPr>
            <w:tcW w:w="688" w:type="pct"/>
            <w:vAlign w:val="center"/>
          </w:tcPr>
          <w:p w14:paraId="5BA352C9">
            <w:pPr>
              <w:pStyle w:val="133"/>
              <w:rPr>
                <w:szCs w:val="21"/>
              </w:rPr>
            </w:pPr>
            <w:r>
              <w:rPr>
                <w:rFonts w:hint="eastAsia"/>
                <w:szCs w:val="21"/>
              </w:rPr>
              <w:t>硫酸钠滤饼</w:t>
            </w:r>
          </w:p>
        </w:tc>
        <w:tc>
          <w:tcPr>
            <w:tcW w:w="488" w:type="pct"/>
            <w:vAlign w:val="center"/>
          </w:tcPr>
          <w:p w14:paraId="23ABD00C">
            <w:pPr>
              <w:pStyle w:val="133"/>
              <w:rPr>
                <w:szCs w:val="21"/>
              </w:rPr>
            </w:pPr>
            <w:r>
              <w:rPr>
                <w:rFonts w:hint="eastAsia"/>
                <w:szCs w:val="21"/>
              </w:rPr>
              <w:t>2320</w:t>
            </w:r>
          </w:p>
        </w:tc>
        <w:tc>
          <w:tcPr>
            <w:tcW w:w="860" w:type="pct"/>
            <w:vAlign w:val="center"/>
          </w:tcPr>
          <w:p w14:paraId="11592CD6">
            <w:pPr>
              <w:pStyle w:val="133"/>
              <w:rPr>
                <w:szCs w:val="21"/>
              </w:rPr>
            </w:pPr>
            <w:r>
              <w:rPr>
                <w:rFonts w:hint="eastAsia"/>
                <w:szCs w:val="21"/>
              </w:rPr>
              <w:t>硫酸钠盐、水30%</w:t>
            </w:r>
          </w:p>
        </w:tc>
        <w:tc>
          <w:tcPr>
            <w:tcW w:w="431" w:type="pct"/>
            <w:vAlign w:val="center"/>
          </w:tcPr>
          <w:p w14:paraId="2519C45E">
            <w:pPr>
              <w:pStyle w:val="133"/>
              <w:rPr>
                <w:szCs w:val="21"/>
              </w:rPr>
            </w:pPr>
            <w:r>
              <w:rPr>
                <w:rFonts w:hint="eastAsia"/>
                <w:szCs w:val="21"/>
              </w:rPr>
              <w:t>SW16</w:t>
            </w:r>
          </w:p>
        </w:tc>
        <w:tc>
          <w:tcPr>
            <w:tcW w:w="488" w:type="pct"/>
            <w:vAlign w:val="center"/>
          </w:tcPr>
          <w:p w14:paraId="688F0D95">
            <w:pPr>
              <w:pStyle w:val="133"/>
              <w:rPr>
                <w:szCs w:val="21"/>
              </w:rPr>
            </w:pPr>
            <w:r>
              <w:rPr>
                <w:rFonts w:hint="eastAsia"/>
                <w:szCs w:val="21"/>
              </w:rPr>
              <w:t>252-005-S16</w:t>
            </w:r>
          </w:p>
        </w:tc>
        <w:tc>
          <w:tcPr>
            <w:tcW w:w="1117" w:type="pct"/>
            <w:vAlign w:val="center"/>
          </w:tcPr>
          <w:p w14:paraId="5308F940">
            <w:pPr>
              <w:pStyle w:val="133"/>
              <w:rPr>
                <w:szCs w:val="21"/>
              </w:rPr>
            </w:pPr>
            <w:r>
              <w:rPr>
                <w:rFonts w:hint="eastAsia"/>
                <w:szCs w:val="21"/>
              </w:rPr>
              <w:t>厂外综合利用</w:t>
            </w:r>
          </w:p>
        </w:tc>
      </w:tr>
      <w:tr w14:paraId="1086C6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607BEAEA">
            <w:pPr>
              <w:pStyle w:val="133"/>
              <w:rPr>
                <w:szCs w:val="21"/>
              </w:rPr>
            </w:pPr>
            <w:r>
              <w:rPr>
                <w:szCs w:val="21"/>
              </w:rPr>
              <w:t>S</w:t>
            </w:r>
            <w:r>
              <w:rPr>
                <w:rFonts w:hint="eastAsia"/>
                <w:szCs w:val="21"/>
              </w:rPr>
              <w:t>1-4</w:t>
            </w:r>
          </w:p>
        </w:tc>
        <w:tc>
          <w:tcPr>
            <w:tcW w:w="667" w:type="pct"/>
            <w:vAlign w:val="center"/>
          </w:tcPr>
          <w:p w14:paraId="0CEFEFEC">
            <w:pPr>
              <w:pStyle w:val="133"/>
              <w:rPr>
                <w:szCs w:val="21"/>
              </w:rPr>
            </w:pPr>
            <w:r>
              <w:rPr>
                <w:rFonts w:hint="eastAsia"/>
                <w:szCs w:val="21"/>
              </w:rPr>
              <w:t>油水分离器</w:t>
            </w:r>
          </w:p>
        </w:tc>
        <w:tc>
          <w:tcPr>
            <w:tcW w:w="688" w:type="pct"/>
            <w:vAlign w:val="center"/>
          </w:tcPr>
          <w:p w14:paraId="6BD3ED33">
            <w:pPr>
              <w:pStyle w:val="133"/>
              <w:rPr>
                <w:szCs w:val="21"/>
              </w:rPr>
            </w:pPr>
            <w:r>
              <w:rPr>
                <w:rFonts w:hint="eastAsia"/>
                <w:szCs w:val="21"/>
              </w:rPr>
              <w:t>煤焦油</w:t>
            </w:r>
          </w:p>
        </w:tc>
        <w:tc>
          <w:tcPr>
            <w:tcW w:w="488" w:type="pct"/>
            <w:vAlign w:val="center"/>
          </w:tcPr>
          <w:p w14:paraId="3C3FADC5">
            <w:pPr>
              <w:pStyle w:val="133"/>
              <w:rPr>
                <w:szCs w:val="21"/>
              </w:rPr>
            </w:pPr>
            <w:r>
              <w:rPr>
                <w:rFonts w:hint="eastAsia"/>
                <w:szCs w:val="21"/>
              </w:rPr>
              <w:t>97000</w:t>
            </w:r>
          </w:p>
        </w:tc>
        <w:tc>
          <w:tcPr>
            <w:tcW w:w="860" w:type="pct"/>
            <w:vAlign w:val="center"/>
          </w:tcPr>
          <w:p w14:paraId="71FA3C4D">
            <w:pPr>
              <w:pStyle w:val="133"/>
              <w:rPr>
                <w:szCs w:val="21"/>
              </w:rPr>
            </w:pPr>
            <w:r>
              <w:rPr>
                <w:rFonts w:hint="eastAsia"/>
                <w:szCs w:val="21"/>
              </w:rPr>
              <w:t>矿物油</w:t>
            </w:r>
          </w:p>
        </w:tc>
        <w:tc>
          <w:tcPr>
            <w:tcW w:w="431" w:type="pct"/>
            <w:vAlign w:val="center"/>
          </w:tcPr>
          <w:p w14:paraId="27E838BB">
            <w:pPr>
              <w:pStyle w:val="133"/>
              <w:rPr>
                <w:szCs w:val="21"/>
              </w:rPr>
            </w:pPr>
            <w:r>
              <w:rPr>
                <w:szCs w:val="21"/>
              </w:rPr>
              <w:t>HW</w:t>
            </w:r>
            <w:r>
              <w:rPr>
                <w:rFonts w:hint="eastAsia"/>
                <w:szCs w:val="21"/>
              </w:rPr>
              <w:t>11</w:t>
            </w:r>
          </w:p>
        </w:tc>
        <w:tc>
          <w:tcPr>
            <w:tcW w:w="488" w:type="pct"/>
            <w:vAlign w:val="center"/>
          </w:tcPr>
          <w:p w14:paraId="12D520FF">
            <w:pPr>
              <w:pStyle w:val="133"/>
              <w:rPr>
                <w:szCs w:val="21"/>
              </w:rPr>
            </w:pPr>
            <w:r>
              <w:rPr>
                <w:snapToGrid w:val="0"/>
                <w:szCs w:val="21"/>
              </w:rPr>
              <w:t>25</w:t>
            </w:r>
            <w:r>
              <w:rPr>
                <w:rFonts w:hint="eastAsia"/>
                <w:snapToGrid w:val="0"/>
                <w:szCs w:val="21"/>
              </w:rPr>
              <w:t>2</w:t>
            </w:r>
            <w:r>
              <w:rPr>
                <w:snapToGrid w:val="0"/>
                <w:szCs w:val="21"/>
              </w:rPr>
              <w:t>-</w:t>
            </w:r>
            <w:r>
              <w:rPr>
                <w:rFonts w:hint="eastAsia"/>
                <w:snapToGrid w:val="0"/>
                <w:szCs w:val="21"/>
              </w:rPr>
              <w:t>002-11</w:t>
            </w:r>
          </w:p>
        </w:tc>
        <w:tc>
          <w:tcPr>
            <w:tcW w:w="1117" w:type="pct"/>
            <w:vAlign w:val="center"/>
          </w:tcPr>
          <w:p w14:paraId="155F9FEB">
            <w:pPr>
              <w:pStyle w:val="133"/>
              <w:rPr>
                <w:szCs w:val="21"/>
              </w:rPr>
            </w:pPr>
            <w:r>
              <w:rPr>
                <w:rFonts w:hint="eastAsia"/>
                <w:szCs w:val="21"/>
              </w:rPr>
              <w:t>危险废物处置单位综合利用</w:t>
            </w:r>
          </w:p>
        </w:tc>
      </w:tr>
      <w:tr w14:paraId="1C82A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1D7CC4D4">
            <w:pPr>
              <w:pStyle w:val="133"/>
              <w:rPr>
                <w:szCs w:val="21"/>
              </w:rPr>
            </w:pPr>
            <w:r>
              <w:rPr>
                <w:szCs w:val="21"/>
              </w:rPr>
              <w:t>S</w:t>
            </w:r>
            <w:r>
              <w:rPr>
                <w:rFonts w:hint="eastAsia"/>
                <w:szCs w:val="21"/>
              </w:rPr>
              <w:t>1-5</w:t>
            </w:r>
          </w:p>
        </w:tc>
        <w:tc>
          <w:tcPr>
            <w:tcW w:w="667" w:type="pct"/>
            <w:vAlign w:val="center"/>
          </w:tcPr>
          <w:p w14:paraId="5697C12C">
            <w:pPr>
              <w:pStyle w:val="133"/>
              <w:rPr>
                <w:szCs w:val="21"/>
              </w:rPr>
            </w:pPr>
            <w:r>
              <w:rPr>
                <w:rFonts w:hint="eastAsia"/>
                <w:szCs w:val="21"/>
              </w:rPr>
              <w:t>油水分离器</w:t>
            </w:r>
          </w:p>
        </w:tc>
        <w:tc>
          <w:tcPr>
            <w:tcW w:w="688" w:type="pct"/>
            <w:vAlign w:val="center"/>
          </w:tcPr>
          <w:p w14:paraId="16DA8BC1">
            <w:pPr>
              <w:pStyle w:val="133"/>
              <w:rPr>
                <w:szCs w:val="21"/>
              </w:rPr>
            </w:pPr>
            <w:r>
              <w:rPr>
                <w:rFonts w:hint="eastAsia"/>
                <w:szCs w:val="21"/>
              </w:rPr>
              <w:t>焦油渣</w:t>
            </w:r>
          </w:p>
        </w:tc>
        <w:tc>
          <w:tcPr>
            <w:tcW w:w="488" w:type="pct"/>
            <w:vAlign w:val="center"/>
          </w:tcPr>
          <w:p w14:paraId="59302BA0">
            <w:pPr>
              <w:pStyle w:val="133"/>
              <w:rPr>
                <w:szCs w:val="21"/>
              </w:rPr>
            </w:pPr>
            <w:r>
              <w:rPr>
                <w:rFonts w:hint="eastAsia"/>
                <w:szCs w:val="21"/>
              </w:rPr>
              <w:t>360</w:t>
            </w:r>
          </w:p>
        </w:tc>
        <w:tc>
          <w:tcPr>
            <w:tcW w:w="860" w:type="pct"/>
          </w:tcPr>
          <w:p w14:paraId="28068207">
            <w:pPr>
              <w:pStyle w:val="133"/>
              <w:rPr>
                <w:szCs w:val="21"/>
              </w:rPr>
            </w:pPr>
            <w:r>
              <w:rPr>
                <w:rFonts w:hint="eastAsia"/>
                <w:szCs w:val="21"/>
              </w:rPr>
              <w:t>矿物油</w:t>
            </w:r>
          </w:p>
        </w:tc>
        <w:tc>
          <w:tcPr>
            <w:tcW w:w="431" w:type="pct"/>
            <w:vAlign w:val="center"/>
          </w:tcPr>
          <w:p w14:paraId="1CB70569">
            <w:pPr>
              <w:pStyle w:val="133"/>
              <w:rPr>
                <w:szCs w:val="21"/>
              </w:rPr>
            </w:pPr>
            <w:r>
              <w:rPr>
                <w:szCs w:val="21"/>
              </w:rPr>
              <w:t>HW</w:t>
            </w:r>
            <w:r>
              <w:rPr>
                <w:rFonts w:hint="eastAsia"/>
                <w:szCs w:val="21"/>
              </w:rPr>
              <w:t>11</w:t>
            </w:r>
          </w:p>
        </w:tc>
        <w:tc>
          <w:tcPr>
            <w:tcW w:w="488" w:type="pct"/>
            <w:vAlign w:val="center"/>
          </w:tcPr>
          <w:p w14:paraId="34574FD5">
            <w:pPr>
              <w:pStyle w:val="133"/>
              <w:rPr>
                <w:szCs w:val="21"/>
              </w:rPr>
            </w:pPr>
            <w:r>
              <w:rPr>
                <w:snapToGrid w:val="0"/>
                <w:szCs w:val="21"/>
              </w:rPr>
              <w:t>25</w:t>
            </w:r>
            <w:r>
              <w:rPr>
                <w:rFonts w:hint="eastAsia"/>
                <w:snapToGrid w:val="0"/>
                <w:szCs w:val="21"/>
              </w:rPr>
              <w:t>2</w:t>
            </w:r>
            <w:r>
              <w:rPr>
                <w:snapToGrid w:val="0"/>
                <w:szCs w:val="21"/>
              </w:rPr>
              <w:t>-</w:t>
            </w:r>
            <w:r>
              <w:rPr>
                <w:rFonts w:hint="eastAsia"/>
                <w:snapToGrid w:val="0"/>
                <w:szCs w:val="21"/>
              </w:rPr>
              <w:t>002-11</w:t>
            </w:r>
          </w:p>
        </w:tc>
        <w:tc>
          <w:tcPr>
            <w:tcW w:w="1117" w:type="pct"/>
            <w:vMerge w:val="restart"/>
            <w:vAlign w:val="center"/>
          </w:tcPr>
          <w:p w14:paraId="149E6B2F">
            <w:pPr>
              <w:pStyle w:val="133"/>
              <w:rPr>
                <w:szCs w:val="21"/>
              </w:rPr>
            </w:pPr>
            <w:r>
              <w:rPr>
                <w:rFonts w:hint="eastAsia"/>
                <w:szCs w:val="21"/>
              </w:rPr>
              <w:t>备煤工段掺烧</w:t>
            </w:r>
          </w:p>
        </w:tc>
      </w:tr>
      <w:tr w14:paraId="02194E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5AEE4FDE">
            <w:pPr>
              <w:pStyle w:val="133"/>
              <w:rPr>
                <w:szCs w:val="21"/>
              </w:rPr>
            </w:pPr>
            <w:r>
              <w:rPr>
                <w:szCs w:val="21"/>
              </w:rPr>
              <w:t>S</w:t>
            </w:r>
            <w:r>
              <w:rPr>
                <w:rFonts w:hint="eastAsia"/>
                <w:szCs w:val="21"/>
              </w:rPr>
              <w:t>1-6</w:t>
            </w:r>
          </w:p>
        </w:tc>
        <w:tc>
          <w:tcPr>
            <w:tcW w:w="667" w:type="pct"/>
            <w:vAlign w:val="center"/>
          </w:tcPr>
          <w:p w14:paraId="037AD16B">
            <w:pPr>
              <w:pStyle w:val="133"/>
              <w:rPr>
                <w:szCs w:val="21"/>
              </w:rPr>
            </w:pPr>
            <w:r>
              <w:rPr>
                <w:rFonts w:hint="eastAsia"/>
                <w:szCs w:val="21"/>
              </w:rPr>
              <w:t>焦油储罐</w:t>
            </w:r>
          </w:p>
        </w:tc>
        <w:tc>
          <w:tcPr>
            <w:tcW w:w="688" w:type="pct"/>
            <w:vAlign w:val="center"/>
          </w:tcPr>
          <w:p w14:paraId="19C09A37">
            <w:pPr>
              <w:pStyle w:val="133"/>
              <w:rPr>
                <w:szCs w:val="21"/>
              </w:rPr>
            </w:pPr>
            <w:r>
              <w:rPr>
                <w:rFonts w:hint="eastAsia"/>
                <w:szCs w:val="21"/>
              </w:rPr>
              <w:t>焦油渣</w:t>
            </w:r>
          </w:p>
        </w:tc>
        <w:tc>
          <w:tcPr>
            <w:tcW w:w="488" w:type="pct"/>
            <w:vAlign w:val="center"/>
          </w:tcPr>
          <w:p w14:paraId="0CE8E722">
            <w:pPr>
              <w:pStyle w:val="133"/>
              <w:rPr>
                <w:szCs w:val="21"/>
              </w:rPr>
            </w:pPr>
            <w:r>
              <w:rPr>
                <w:rFonts w:hint="eastAsia"/>
                <w:szCs w:val="21"/>
              </w:rPr>
              <w:t>240</w:t>
            </w:r>
          </w:p>
        </w:tc>
        <w:tc>
          <w:tcPr>
            <w:tcW w:w="860" w:type="pct"/>
          </w:tcPr>
          <w:p w14:paraId="5DF7AAD6">
            <w:pPr>
              <w:pStyle w:val="133"/>
              <w:rPr>
                <w:szCs w:val="21"/>
              </w:rPr>
            </w:pPr>
            <w:r>
              <w:rPr>
                <w:rFonts w:hint="eastAsia"/>
                <w:szCs w:val="21"/>
              </w:rPr>
              <w:t>矿物油</w:t>
            </w:r>
          </w:p>
        </w:tc>
        <w:tc>
          <w:tcPr>
            <w:tcW w:w="431" w:type="pct"/>
            <w:vAlign w:val="center"/>
          </w:tcPr>
          <w:p w14:paraId="0161C962">
            <w:pPr>
              <w:pStyle w:val="133"/>
              <w:rPr>
                <w:szCs w:val="21"/>
              </w:rPr>
            </w:pPr>
            <w:r>
              <w:rPr>
                <w:szCs w:val="21"/>
              </w:rPr>
              <w:t>HW</w:t>
            </w:r>
            <w:r>
              <w:rPr>
                <w:rFonts w:hint="eastAsia"/>
                <w:szCs w:val="21"/>
              </w:rPr>
              <w:t>11</w:t>
            </w:r>
          </w:p>
        </w:tc>
        <w:tc>
          <w:tcPr>
            <w:tcW w:w="488" w:type="pct"/>
            <w:vAlign w:val="center"/>
          </w:tcPr>
          <w:p w14:paraId="1F776ED3">
            <w:pPr>
              <w:pStyle w:val="133"/>
              <w:rPr>
                <w:szCs w:val="21"/>
              </w:rPr>
            </w:pPr>
            <w:r>
              <w:rPr>
                <w:snapToGrid w:val="0"/>
                <w:szCs w:val="21"/>
              </w:rPr>
              <w:t>25</w:t>
            </w:r>
            <w:r>
              <w:rPr>
                <w:rFonts w:hint="eastAsia"/>
                <w:snapToGrid w:val="0"/>
                <w:szCs w:val="21"/>
              </w:rPr>
              <w:t>2</w:t>
            </w:r>
            <w:r>
              <w:rPr>
                <w:snapToGrid w:val="0"/>
                <w:szCs w:val="21"/>
              </w:rPr>
              <w:t>-</w:t>
            </w:r>
            <w:r>
              <w:rPr>
                <w:rFonts w:hint="eastAsia"/>
                <w:snapToGrid w:val="0"/>
                <w:szCs w:val="21"/>
              </w:rPr>
              <w:t>004-11</w:t>
            </w:r>
          </w:p>
        </w:tc>
        <w:tc>
          <w:tcPr>
            <w:tcW w:w="1117" w:type="pct"/>
            <w:vMerge w:val="continue"/>
            <w:vAlign w:val="center"/>
          </w:tcPr>
          <w:p w14:paraId="43E34D4D">
            <w:pPr>
              <w:pStyle w:val="133"/>
              <w:rPr>
                <w:szCs w:val="21"/>
              </w:rPr>
            </w:pPr>
          </w:p>
        </w:tc>
      </w:tr>
      <w:tr w14:paraId="541E2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1FDB526E">
            <w:pPr>
              <w:pStyle w:val="133"/>
              <w:rPr>
                <w:szCs w:val="21"/>
              </w:rPr>
            </w:pPr>
            <w:r>
              <w:rPr>
                <w:szCs w:val="21"/>
              </w:rPr>
              <w:t>S</w:t>
            </w:r>
            <w:r>
              <w:rPr>
                <w:rFonts w:hint="eastAsia"/>
                <w:szCs w:val="21"/>
              </w:rPr>
              <w:t>1-7</w:t>
            </w:r>
          </w:p>
        </w:tc>
        <w:tc>
          <w:tcPr>
            <w:tcW w:w="667" w:type="pct"/>
            <w:vAlign w:val="center"/>
          </w:tcPr>
          <w:p w14:paraId="3BF5F864">
            <w:pPr>
              <w:pStyle w:val="133"/>
              <w:rPr>
                <w:szCs w:val="21"/>
              </w:rPr>
            </w:pPr>
            <w:r>
              <w:rPr>
                <w:rFonts w:hint="eastAsia"/>
                <w:szCs w:val="21"/>
              </w:rPr>
              <w:t>VOCs处理装置</w:t>
            </w:r>
          </w:p>
        </w:tc>
        <w:tc>
          <w:tcPr>
            <w:tcW w:w="688" w:type="pct"/>
            <w:vAlign w:val="center"/>
          </w:tcPr>
          <w:p w14:paraId="6646E82C">
            <w:pPr>
              <w:pStyle w:val="133"/>
              <w:rPr>
                <w:szCs w:val="21"/>
              </w:rPr>
            </w:pPr>
            <w:r>
              <w:rPr>
                <w:szCs w:val="21"/>
              </w:rPr>
              <w:t>废活性炭</w:t>
            </w:r>
          </w:p>
        </w:tc>
        <w:tc>
          <w:tcPr>
            <w:tcW w:w="488" w:type="pct"/>
            <w:vAlign w:val="center"/>
          </w:tcPr>
          <w:p w14:paraId="4945C3A4">
            <w:pPr>
              <w:pStyle w:val="133"/>
              <w:rPr>
                <w:szCs w:val="21"/>
              </w:rPr>
            </w:pPr>
            <w:r>
              <w:rPr>
                <w:rFonts w:hint="eastAsia"/>
                <w:szCs w:val="21"/>
              </w:rPr>
              <w:t>4</w:t>
            </w:r>
          </w:p>
        </w:tc>
        <w:tc>
          <w:tcPr>
            <w:tcW w:w="860" w:type="pct"/>
            <w:vAlign w:val="center"/>
          </w:tcPr>
          <w:p w14:paraId="146F3463">
            <w:pPr>
              <w:pStyle w:val="133"/>
              <w:rPr>
                <w:szCs w:val="21"/>
              </w:rPr>
            </w:pPr>
            <w:r>
              <w:rPr>
                <w:szCs w:val="21"/>
              </w:rPr>
              <w:t>活性炭</w:t>
            </w:r>
          </w:p>
        </w:tc>
        <w:tc>
          <w:tcPr>
            <w:tcW w:w="431" w:type="pct"/>
            <w:vAlign w:val="center"/>
          </w:tcPr>
          <w:p w14:paraId="09396A39">
            <w:pPr>
              <w:pStyle w:val="133"/>
              <w:rPr>
                <w:szCs w:val="21"/>
              </w:rPr>
            </w:pPr>
            <w:r>
              <w:rPr>
                <w:szCs w:val="21"/>
              </w:rPr>
              <w:t>HW49</w:t>
            </w:r>
          </w:p>
        </w:tc>
        <w:tc>
          <w:tcPr>
            <w:tcW w:w="488" w:type="pct"/>
            <w:vAlign w:val="center"/>
          </w:tcPr>
          <w:p w14:paraId="7AACBF48">
            <w:pPr>
              <w:pStyle w:val="133"/>
              <w:rPr>
                <w:szCs w:val="21"/>
              </w:rPr>
            </w:pPr>
            <w:r>
              <w:rPr>
                <w:szCs w:val="21"/>
              </w:rPr>
              <w:t>900-039-49</w:t>
            </w:r>
          </w:p>
        </w:tc>
        <w:tc>
          <w:tcPr>
            <w:tcW w:w="1117" w:type="pct"/>
            <w:vAlign w:val="center"/>
          </w:tcPr>
          <w:p w14:paraId="50331E4C">
            <w:pPr>
              <w:pStyle w:val="133"/>
              <w:rPr>
                <w:szCs w:val="21"/>
              </w:rPr>
            </w:pPr>
            <w:r>
              <w:rPr>
                <w:rFonts w:hint="eastAsia"/>
                <w:szCs w:val="21"/>
              </w:rPr>
              <w:t>备煤工段掺烧</w:t>
            </w:r>
          </w:p>
        </w:tc>
      </w:tr>
      <w:tr w14:paraId="0F56C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24E0B1D4">
            <w:pPr>
              <w:pStyle w:val="133"/>
              <w:rPr>
                <w:szCs w:val="21"/>
              </w:rPr>
            </w:pPr>
            <w:r>
              <w:rPr>
                <w:szCs w:val="21"/>
              </w:rPr>
              <w:t>S</w:t>
            </w:r>
            <w:r>
              <w:rPr>
                <w:rFonts w:hint="eastAsia"/>
                <w:szCs w:val="21"/>
              </w:rPr>
              <w:t>1-8</w:t>
            </w:r>
          </w:p>
        </w:tc>
        <w:tc>
          <w:tcPr>
            <w:tcW w:w="667" w:type="pct"/>
            <w:vAlign w:val="center"/>
          </w:tcPr>
          <w:p w14:paraId="5B12D96C">
            <w:pPr>
              <w:pStyle w:val="133"/>
              <w:rPr>
                <w:szCs w:val="21"/>
              </w:rPr>
            </w:pPr>
            <w:r>
              <w:rPr>
                <w:rFonts w:hint="eastAsia"/>
                <w:szCs w:val="21"/>
              </w:rPr>
              <w:t>VOCs处理装置</w:t>
            </w:r>
          </w:p>
        </w:tc>
        <w:tc>
          <w:tcPr>
            <w:tcW w:w="688" w:type="pct"/>
            <w:vAlign w:val="center"/>
          </w:tcPr>
          <w:p w14:paraId="7D2BE20B">
            <w:pPr>
              <w:pStyle w:val="133"/>
              <w:rPr>
                <w:szCs w:val="21"/>
              </w:rPr>
            </w:pPr>
            <w:r>
              <w:rPr>
                <w:rFonts w:hint="eastAsia"/>
                <w:szCs w:val="21"/>
              </w:rPr>
              <w:t>废催化剂</w:t>
            </w:r>
          </w:p>
        </w:tc>
        <w:tc>
          <w:tcPr>
            <w:tcW w:w="488" w:type="pct"/>
            <w:vAlign w:val="center"/>
          </w:tcPr>
          <w:p w14:paraId="178BA9B9">
            <w:pPr>
              <w:pStyle w:val="133"/>
              <w:rPr>
                <w:szCs w:val="21"/>
              </w:rPr>
            </w:pPr>
            <w:r>
              <w:rPr>
                <w:rFonts w:hint="eastAsia"/>
                <w:szCs w:val="21"/>
              </w:rPr>
              <w:t>3</w:t>
            </w:r>
          </w:p>
        </w:tc>
        <w:tc>
          <w:tcPr>
            <w:tcW w:w="860" w:type="pct"/>
            <w:vAlign w:val="center"/>
          </w:tcPr>
          <w:p w14:paraId="63FADD12">
            <w:pPr>
              <w:pStyle w:val="133"/>
              <w:rPr>
                <w:szCs w:val="21"/>
              </w:rPr>
            </w:pPr>
            <w:r>
              <w:rPr>
                <w:rFonts w:cs="Times New Roman"/>
                <w:szCs w:val="21"/>
              </w:rPr>
              <w:t>贵金属</w:t>
            </w:r>
            <w:r>
              <w:rPr>
                <w:rFonts w:hint="eastAsia"/>
                <w:szCs w:val="21"/>
              </w:rPr>
              <w:t>铂</w:t>
            </w:r>
          </w:p>
        </w:tc>
        <w:tc>
          <w:tcPr>
            <w:tcW w:w="431" w:type="pct"/>
            <w:vAlign w:val="center"/>
          </w:tcPr>
          <w:p w14:paraId="29FFE497">
            <w:pPr>
              <w:pStyle w:val="133"/>
              <w:rPr>
                <w:szCs w:val="21"/>
              </w:rPr>
            </w:pPr>
            <w:r>
              <w:rPr>
                <w:rFonts w:hint="eastAsia"/>
                <w:szCs w:val="21"/>
              </w:rPr>
              <w:t>SW59</w:t>
            </w:r>
          </w:p>
        </w:tc>
        <w:tc>
          <w:tcPr>
            <w:tcW w:w="488" w:type="pct"/>
            <w:vAlign w:val="center"/>
          </w:tcPr>
          <w:p w14:paraId="58F141A8">
            <w:pPr>
              <w:pStyle w:val="133"/>
              <w:rPr>
                <w:szCs w:val="21"/>
              </w:rPr>
            </w:pPr>
            <w:r>
              <w:rPr>
                <w:rFonts w:hint="eastAsia"/>
                <w:szCs w:val="21"/>
              </w:rPr>
              <w:t>252-004-S59</w:t>
            </w:r>
          </w:p>
        </w:tc>
        <w:tc>
          <w:tcPr>
            <w:tcW w:w="1117" w:type="pct"/>
            <w:vAlign w:val="center"/>
          </w:tcPr>
          <w:p w14:paraId="3A70AAD7">
            <w:pPr>
              <w:pStyle w:val="133"/>
              <w:rPr>
                <w:szCs w:val="21"/>
              </w:rPr>
            </w:pPr>
            <w:r>
              <w:rPr>
                <w:rFonts w:hint="eastAsia"/>
                <w:szCs w:val="21"/>
              </w:rPr>
              <w:t>厂家回收</w:t>
            </w:r>
          </w:p>
        </w:tc>
      </w:tr>
      <w:tr w14:paraId="28518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0F3651CC">
            <w:pPr>
              <w:pStyle w:val="133"/>
              <w:rPr>
                <w:szCs w:val="21"/>
              </w:rPr>
            </w:pPr>
            <w:r>
              <w:rPr>
                <w:szCs w:val="21"/>
              </w:rPr>
              <w:t>S</w:t>
            </w:r>
            <w:r>
              <w:rPr>
                <w:rFonts w:hint="eastAsia"/>
                <w:szCs w:val="21"/>
              </w:rPr>
              <w:t>1-9</w:t>
            </w:r>
          </w:p>
        </w:tc>
        <w:tc>
          <w:tcPr>
            <w:tcW w:w="667" w:type="pct"/>
            <w:vAlign w:val="center"/>
          </w:tcPr>
          <w:p w14:paraId="31ECC9D0">
            <w:pPr>
              <w:pStyle w:val="133"/>
              <w:rPr>
                <w:szCs w:val="21"/>
              </w:rPr>
            </w:pPr>
            <w:r>
              <w:rPr>
                <w:rFonts w:hint="eastAsia"/>
                <w:szCs w:val="21"/>
              </w:rPr>
              <w:t>废水焚烧系统</w:t>
            </w:r>
          </w:p>
        </w:tc>
        <w:tc>
          <w:tcPr>
            <w:tcW w:w="688" w:type="pct"/>
            <w:vAlign w:val="center"/>
          </w:tcPr>
          <w:p w14:paraId="64070E12">
            <w:pPr>
              <w:pStyle w:val="133"/>
              <w:rPr>
                <w:szCs w:val="21"/>
              </w:rPr>
            </w:pPr>
            <w:r>
              <w:rPr>
                <w:rFonts w:hint="eastAsia"/>
                <w:szCs w:val="21"/>
              </w:rPr>
              <w:t>硫酸铵溶液</w:t>
            </w:r>
          </w:p>
        </w:tc>
        <w:tc>
          <w:tcPr>
            <w:tcW w:w="488" w:type="pct"/>
            <w:vAlign w:val="center"/>
          </w:tcPr>
          <w:p w14:paraId="7DB3BCC0">
            <w:pPr>
              <w:pStyle w:val="133"/>
              <w:rPr>
                <w:szCs w:val="21"/>
              </w:rPr>
            </w:pPr>
            <w:r>
              <w:rPr>
                <w:rFonts w:hint="eastAsia"/>
                <w:szCs w:val="21"/>
              </w:rPr>
              <w:t>2128</w:t>
            </w:r>
          </w:p>
        </w:tc>
        <w:tc>
          <w:tcPr>
            <w:tcW w:w="860" w:type="pct"/>
            <w:vAlign w:val="center"/>
          </w:tcPr>
          <w:p w14:paraId="735D0762">
            <w:pPr>
              <w:pStyle w:val="133"/>
              <w:rPr>
                <w:szCs w:val="21"/>
              </w:rPr>
            </w:pPr>
            <w:r>
              <w:rPr>
                <w:rFonts w:hint="eastAsia"/>
                <w:szCs w:val="21"/>
              </w:rPr>
              <w:t>硫酸铵</w:t>
            </w:r>
          </w:p>
        </w:tc>
        <w:tc>
          <w:tcPr>
            <w:tcW w:w="431" w:type="pct"/>
            <w:vAlign w:val="center"/>
          </w:tcPr>
          <w:p w14:paraId="52F141B2">
            <w:pPr>
              <w:pStyle w:val="133"/>
              <w:rPr>
                <w:szCs w:val="21"/>
              </w:rPr>
            </w:pPr>
            <w:r>
              <w:rPr>
                <w:rFonts w:hint="eastAsia"/>
                <w:szCs w:val="21"/>
              </w:rPr>
              <w:t>SW16</w:t>
            </w:r>
          </w:p>
        </w:tc>
        <w:tc>
          <w:tcPr>
            <w:tcW w:w="488" w:type="pct"/>
            <w:vAlign w:val="center"/>
          </w:tcPr>
          <w:p w14:paraId="0C7236B0">
            <w:pPr>
              <w:pStyle w:val="133"/>
              <w:rPr>
                <w:szCs w:val="21"/>
              </w:rPr>
            </w:pPr>
            <w:r>
              <w:rPr>
                <w:rFonts w:hint="eastAsia"/>
                <w:szCs w:val="21"/>
              </w:rPr>
              <w:t>252-005-S16</w:t>
            </w:r>
          </w:p>
        </w:tc>
        <w:tc>
          <w:tcPr>
            <w:tcW w:w="1117" w:type="pct"/>
            <w:vAlign w:val="center"/>
          </w:tcPr>
          <w:p w14:paraId="14A8BC6E">
            <w:pPr>
              <w:pStyle w:val="133"/>
              <w:rPr>
                <w:szCs w:val="21"/>
              </w:rPr>
            </w:pPr>
            <w:r>
              <w:rPr>
                <w:rFonts w:hint="eastAsia"/>
                <w:szCs w:val="21"/>
              </w:rPr>
              <w:t>肥料生产企业综合利用</w:t>
            </w:r>
          </w:p>
        </w:tc>
      </w:tr>
      <w:tr w14:paraId="1F94F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5BC7E907">
            <w:pPr>
              <w:pStyle w:val="133"/>
              <w:rPr>
                <w:szCs w:val="21"/>
              </w:rPr>
            </w:pPr>
            <w:r>
              <w:rPr>
                <w:szCs w:val="21"/>
              </w:rPr>
              <w:t>S</w:t>
            </w:r>
            <w:r>
              <w:rPr>
                <w:rFonts w:hint="eastAsia"/>
                <w:szCs w:val="21"/>
              </w:rPr>
              <w:t>1-10</w:t>
            </w:r>
          </w:p>
        </w:tc>
        <w:tc>
          <w:tcPr>
            <w:tcW w:w="667" w:type="pct"/>
            <w:vAlign w:val="center"/>
          </w:tcPr>
          <w:p w14:paraId="1F43907B">
            <w:pPr>
              <w:pStyle w:val="133"/>
              <w:rPr>
                <w:szCs w:val="21"/>
              </w:rPr>
            </w:pPr>
            <w:r>
              <w:rPr>
                <w:rFonts w:hint="eastAsia"/>
                <w:szCs w:val="21"/>
              </w:rPr>
              <w:t>车辆冲洗装置</w:t>
            </w:r>
          </w:p>
        </w:tc>
        <w:tc>
          <w:tcPr>
            <w:tcW w:w="688" w:type="pct"/>
            <w:vAlign w:val="center"/>
          </w:tcPr>
          <w:p w14:paraId="7E0A777A">
            <w:pPr>
              <w:pStyle w:val="133"/>
              <w:rPr>
                <w:szCs w:val="21"/>
              </w:rPr>
            </w:pPr>
            <w:r>
              <w:rPr>
                <w:rFonts w:hint="eastAsia"/>
                <w:szCs w:val="21"/>
              </w:rPr>
              <w:t>煤泥</w:t>
            </w:r>
          </w:p>
        </w:tc>
        <w:tc>
          <w:tcPr>
            <w:tcW w:w="488" w:type="pct"/>
            <w:vAlign w:val="center"/>
          </w:tcPr>
          <w:p w14:paraId="72967762">
            <w:pPr>
              <w:pStyle w:val="133"/>
              <w:rPr>
                <w:szCs w:val="21"/>
              </w:rPr>
            </w:pPr>
            <w:r>
              <w:rPr>
                <w:rFonts w:hint="eastAsia"/>
                <w:szCs w:val="21"/>
              </w:rPr>
              <w:t>991</w:t>
            </w:r>
          </w:p>
        </w:tc>
        <w:tc>
          <w:tcPr>
            <w:tcW w:w="860" w:type="pct"/>
            <w:vAlign w:val="center"/>
          </w:tcPr>
          <w:p w14:paraId="116ED261">
            <w:pPr>
              <w:pStyle w:val="133"/>
              <w:rPr>
                <w:szCs w:val="21"/>
              </w:rPr>
            </w:pPr>
            <w:r>
              <w:rPr>
                <w:rFonts w:hint="eastAsia"/>
                <w:szCs w:val="21"/>
              </w:rPr>
              <w:t>煤粉、焦粉等</w:t>
            </w:r>
            <w:r>
              <w:rPr>
                <w:rFonts w:cs="Times New Roman"/>
                <w:szCs w:val="21"/>
              </w:rPr>
              <w:t>，含水约</w:t>
            </w:r>
            <w:r>
              <w:rPr>
                <w:rFonts w:hint="eastAsia" w:cs="Times New Roman"/>
                <w:szCs w:val="21"/>
              </w:rPr>
              <w:t>3</w:t>
            </w:r>
            <w:r>
              <w:rPr>
                <w:rFonts w:cs="Times New Roman"/>
                <w:szCs w:val="21"/>
              </w:rPr>
              <w:t>0%</w:t>
            </w:r>
          </w:p>
        </w:tc>
        <w:tc>
          <w:tcPr>
            <w:tcW w:w="431" w:type="pct"/>
            <w:vAlign w:val="center"/>
          </w:tcPr>
          <w:p w14:paraId="63899CBE">
            <w:pPr>
              <w:pStyle w:val="133"/>
              <w:rPr>
                <w:szCs w:val="21"/>
              </w:rPr>
            </w:pPr>
            <w:r>
              <w:rPr>
                <w:szCs w:val="21"/>
              </w:rPr>
              <w:t>SW59</w:t>
            </w:r>
          </w:p>
        </w:tc>
        <w:tc>
          <w:tcPr>
            <w:tcW w:w="488" w:type="pct"/>
            <w:vAlign w:val="center"/>
          </w:tcPr>
          <w:p w14:paraId="314F0622">
            <w:pPr>
              <w:pStyle w:val="133"/>
              <w:rPr>
                <w:szCs w:val="21"/>
              </w:rPr>
            </w:pPr>
            <w:r>
              <w:rPr>
                <w:rFonts w:hint="eastAsia"/>
                <w:szCs w:val="21"/>
              </w:rPr>
              <w:t>252</w:t>
            </w:r>
            <w:r>
              <w:rPr>
                <w:rFonts w:cs="Times New Roman"/>
                <w:szCs w:val="21"/>
              </w:rPr>
              <w:t>-099-S59</w:t>
            </w:r>
          </w:p>
        </w:tc>
        <w:tc>
          <w:tcPr>
            <w:tcW w:w="1117" w:type="pct"/>
            <w:vAlign w:val="center"/>
          </w:tcPr>
          <w:p w14:paraId="3FAB096A">
            <w:pPr>
              <w:pStyle w:val="133"/>
              <w:rPr>
                <w:rFonts w:cs="华文仿宋"/>
                <w:szCs w:val="21"/>
              </w:rPr>
            </w:pPr>
            <w:r>
              <w:rPr>
                <w:rFonts w:hint="eastAsia"/>
                <w:szCs w:val="21"/>
              </w:rPr>
              <w:t>备煤工段掺烧</w:t>
            </w:r>
          </w:p>
        </w:tc>
      </w:tr>
      <w:bookmarkEnd w:id="329"/>
    </w:tbl>
    <w:p w14:paraId="2FE64196">
      <w:pPr>
        <w:ind w:firstLine="480"/>
        <w:rPr>
          <w:rFonts w:ascii="Arial" w:hAnsi="Arial" w:cs="Arial"/>
        </w:rPr>
        <w:sectPr>
          <w:pgSz w:w="16838" w:h="11906" w:orient="landscape"/>
          <w:pgMar w:top="1800" w:right="1440" w:bottom="1800" w:left="1440" w:header="850" w:footer="850" w:gutter="0"/>
          <w:cols w:space="425" w:num="1"/>
          <w:docGrid w:type="lines" w:linePitch="326" w:charSpace="0"/>
        </w:sectPr>
      </w:pPr>
    </w:p>
    <w:bookmarkEnd w:id="322"/>
    <w:p w14:paraId="2F6EE6EB">
      <w:pPr>
        <w:pStyle w:val="5"/>
      </w:pPr>
      <w:r>
        <w:rPr>
          <w:rFonts w:hint="eastAsia"/>
        </w:rPr>
        <w:t>噪声源强核算</w:t>
      </w:r>
    </w:p>
    <w:p w14:paraId="4C9D8D87">
      <w:pPr>
        <w:ind w:firstLine="480"/>
      </w:pPr>
      <w:r>
        <w:rPr>
          <w:rFonts w:hint="eastAsia"/>
        </w:rPr>
        <w:t>本工程产生的噪声主要为机械性噪声和空气动力性噪声，主要噪声源于煤气风机、空气风机、振动筛、各类泵类等产生的机械噪声。根据《污染源源强核算技术指南 炼焦化学工业》（HJ 981-2018）附录D统计主要噪声源及采取的措施。</w:t>
      </w:r>
    </w:p>
    <w:p w14:paraId="534B4ACF">
      <w:pPr>
        <w:ind w:firstLine="480"/>
      </w:pPr>
      <w:r>
        <w:rPr>
          <w:rFonts w:hint="eastAsia"/>
        </w:rPr>
        <w:t>兰炭生产线</w:t>
      </w:r>
      <w:r>
        <w:t>相关</w:t>
      </w:r>
      <w:r>
        <w:rPr>
          <w:rFonts w:hint="eastAsia"/>
        </w:rPr>
        <w:t>生产</w:t>
      </w:r>
      <w:r>
        <w:t>设备噪声源声压级及</w:t>
      </w:r>
      <w:r>
        <w:rPr>
          <w:rFonts w:hint="eastAsia"/>
        </w:rPr>
        <w:t>典型</w:t>
      </w:r>
      <w:r>
        <w:t>降噪措施</w:t>
      </w:r>
      <w:r>
        <w:rPr>
          <w:rFonts w:hint="eastAsia"/>
        </w:rPr>
        <w:t>及降噪效果</w:t>
      </w:r>
      <w:r>
        <w:t>，见表</w:t>
      </w:r>
      <w:r>
        <w:rPr>
          <w:rFonts w:hint="eastAsia"/>
        </w:rPr>
        <w:t>3.3-32。</w:t>
      </w:r>
    </w:p>
    <w:p w14:paraId="0A81CE14">
      <w:pPr>
        <w:pStyle w:val="118"/>
      </w:pPr>
      <w:r>
        <w:t>表</w:t>
      </w:r>
      <w:r>
        <w:rPr>
          <w:rFonts w:hint="eastAsia"/>
        </w:rPr>
        <w:t>3.3-32</w:t>
      </w:r>
      <w:r>
        <w:t xml:space="preserve">   </w:t>
      </w:r>
      <w:r>
        <w:rPr>
          <w:rFonts w:hint="eastAsia"/>
        </w:rPr>
        <w:t>兰炭生产线</w:t>
      </w:r>
      <w:r>
        <w:t>主要设备噪声源情况</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2"/>
        <w:gridCol w:w="711"/>
        <w:gridCol w:w="1374"/>
        <w:gridCol w:w="903"/>
        <w:gridCol w:w="1127"/>
        <w:gridCol w:w="1273"/>
        <w:gridCol w:w="1181"/>
        <w:gridCol w:w="1421"/>
      </w:tblGrid>
      <w:tr w14:paraId="532C5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30CB97CE">
            <w:pPr>
              <w:pStyle w:val="133"/>
              <w:rPr>
                <w:b/>
                <w:bCs/>
              </w:rPr>
            </w:pPr>
            <w:r>
              <w:rPr>
                <w:b/>
                <w:bCs/>
              </w:rPr>
              <w:t>序号</w:t>
            </w:r>
          </w:p>
        </w:tc>
        <w:tc>
          <w:tcPr>
            <w:tcW w:w="417" w:type="pct"/>
            <w:vAlign w:val="center"/>
          </w:tcPr>
          <w:p w14:paraId="0D8B78B4">
            <w:pPr>
              <w:pStyle w:val="133"/>
              <w:rPr>
                <w:b/>
                <w:bCs/>
              </w:rPr>
            </w:pPr>
            <w:r>
              <w:rPr>
                <w:rFonts w:hint="eastAsia"/>
                <w:b/>
                <w:bCs/>
              </w:rPr>
              <w:t>装置区</w:t>
            </w:r>
          </w:p>
        </w:tc>
        <w:tc>
          <w:tcPr>
            <w:tcW w:w="806" w:type="pct"/>
            <w:vAlign w:val="center"/>
          </w:tcPr>
          <w:p w14:paraId="3AA25414">
            <w:pPr>
              <w:pStyle w:val="133"/>
              <w:rPr>
                <w:b/>
                <w:bCs/>
              </w:rPr>
            </w:pPr>
            <w:r>
              <w:rPr>
                <w:b/>
                <w:bCs/>
              </w:rPr>
              <w:t>设备名称</w:t>
            </w:r>
          </w:p>
        </w:tc>
        <w:tc>
          <w:tcPr>
            <w:tcW w:w="530" w:type="pct"/>
            <w:vAlign w:val="center"/>
          </w:tcPr>
          <w:p w14:paraId="00805012">
            <w:pPr>
              <w:pStyle w:val="133"/>
              <w:rPr>
                <w:b/>
                <w:bCs/>
              </w:rPr>
            </w:pPr>
            <w:r>
              <w:rPr>
                <w:b/>
                <w:bCs/>
              </w:rPr>
              <w:t>设备数量（台）</w:t>
            </w:r>
          </w:p>
        </w:tc>
        <w:tc>
          <w:tcPr>
            <w:tcW w:w="661" w:type="pct"/>
            <w:vAlign w:val="center"/>
          </w:tcPr>
          <w:p w14:paraId="558C7CFB">
            <w:pPr>
              <w:pStyle w:val="133"/>
              <w:rPr>
                <w:b/>
                <w:bCs/>
              </w:rPr>
            </w:pPr>
            <w:r>
              <w:rPr>
                <w:b/>
                <w:bCs/>
              </w:rPr>
              <w:t>初始声压级dB（A）</w:t>
            </w:r>
          </w:p>
        </w:tc>
        <w:tc>
          <w:tcPr>
            <w:tcW w:w="747" w:type="pct"/>
            <w:vAlign w:val="center"/>
          </w:tcPr>
          <w:p w14:paraId="09A39D1A">
            <w:pPr>
              <w:pStyle w:val="133"/>
              <w:rPr>
                <w:b/>
                <w:bCs/>
              </w:rPr>
            </w:pPr>
            <w:r>
              <w:rPr>
                <w:b/>
                <w:bCs/>
              </w:rPr>
              <w:t>采取的</w:t>
            </w:r>
          </w:p>
          <w:p w14:paraId="64CEAD4F">
            <w:pPr>
              <w:pStyle w:val="133"/>
              <w:rPr>
                <w:b/>
                <w:bCs/>
              </w:rPr>
            </w:pPr>
            <w:r>
              <w:rPr>
                <w:b/>
                <w:bCs/>
              </w:rPr>
              <w:t>隔声措施</w:t>
            </w:r>
          </w:p>
        </w:tc>
        <w:tc>
          <w:tcPr>
            <w:tcW w:w="693" w:type="pct"/>
            <w:vAlign w:val="center"/>
          </w:tcPr>
          <w:p w14:paraId="67DB98BF">
            <w:pPr>
              <w:pStyle w:val="133"/>
              <w:rPr>
                <w:b/>
                <w:bCs/>
              </w:rPr>
            </w:pPr>
            <w:r>
              <w:rPr>
                <w:rFonts w:hint="eastAsia"/>
                <w:b/>
                <w:bCs/>
              </w:rPr>
              <w:t>降噪效果</w:t>
            </w:r>
          </w:p>
          <w:p w14:paraId="6E7FCA8D">
            <w:pPr>
              <w:pStyle w:val="133"/>
              <w:rPr>
                <w:b/>
                <w:bCs/>
              </w:rPr>
            </w:pPr>
            <w:r>
              <w:rPr>
                <w:b/>
                <w:bCs/>
              </w:rPr>
              <w:t>dB（A）</w:t>
            </w:r>
          </w:p>
        </w:tc>
        <w:tc>
          <w:tcPr>
            <w:tcW w:w="834" w:type="pct"/>
            <w:vAlign w:val="center"/>
          </w:tcPr>
          <w:p w14:paraId="378A6408">
            <w:pPr>
              <w:pStyle w:val="133"/>
              <w:rPr>
                <w:b/>
                <w:bCs/>
              </w:rPr>
            </w:pPr>
            <w:r>
              <w:rPr>
                <w:b/>
                <w:bCs/>
              </w:rPr>
              <w:t>降噪后声压级dB（A）</w:t>
            </w:r>
          </w:p>
        </w:tc>
      </w:tr>
      <w:tr w14:paraId="2854D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66B0E644">
            <w:pPr>
              <w:pStyle w:val="133"/>
            </w:pPr>
            <w:r>
              <w:t>1</w:t>
            </w:r>
          </w:p>
        </w:tc>
        <w:tc>
          <w:tcPr>
            <w:tcW w:w="417" w:type="pct"/>
            <w:vMerge w:val="restart"/>
            <w:vAlign w:val="center"/>
          </w:tcPr>
          <w:p w14:paraId="2B7EAFC6">
            <w:pPr>
              <w:pStyle w:val="133"/>
            </w:pPr>
            <w:r>
              <w:rPr>
                <w:rFonts w:hint="eastAsia"/>
              </w:rPr>
              <w:t>兰炭装置区</w:t>
            </w:r>
          </w:p>
        </w:tc>
        <w:tc>
          <w:tcPr>
            <w:tcW w:w="806" w:type="pct"/>
            <w:vAlign w:val="center"/>
          </w:tcPr>
          <w:p w14:paraId="3629F614">
            <w:pPr>
              <w:pStyle w:val="133"/>
            </w:pPr>
            <w:r>
              <w:rPr>
                <w:rFonts w:hint="eastAsia"/>
              </w:rPr>
              <w:t>振动筛</w:t>
            </w:r>
          </w:p>
        </w:tc>
        <w:tc>
          <w:tcPr>
            <w:tcW w:w="530" w:type="pct"/>
            <w:vAlign w:val="center"/>
          </w:tcPr>
          <w:p w14:paraId="02D22B1F">
            <w:pPr>
              <w:pStyle w:val="133"/>
            </w:pPr>
            <w:r>
              <w:rPr>
                <w:rFonts w:hint="eastAsia"/>
              </w:rPr>
              <w:t>3</w:t>
            </w:r>
          </w:p>
        </w:tc>
        <w:tc>
          <w:tcPr>
            <w:tcW w:w="661" w:type="pct"/>
            <w:vAlign w:val="center"/>
          </w:tcPr>
          <w:p w14:paraId="53CCED2C">
            <w:pPr>
              <w:pStyle w:val="133"/>
            </w:pPr>
            <w:r>
              <w:t>95～100</w:t>
            </w:r>
          </w:p>
        </w:tc>
        <w:tc>
          <w:tcPr>
            <w:tcW w:w="747" w:type="pct"/>
            <w:vMerge w:val="restart"/>
            <w:vAlign w:val="center"/>
          </w:tcPr>
          <w:p w14:paraId="77B39191">
            <w:pPr>
              <w:pStyle w:val="133"/>
            </w:pPr>
            <w:r>
              <w:rPr>
                <w:rFonts w:hint="eastAsia"/>
              </w:rPr>
              <w:t>厂房吸声+隔声罩+减振基础+弹性件连接</w:t>
            </w:r>
          </w:p>
        </w:tc>
        <w:tc>
          <w:tcPr>
            <w:tcW w:w="693" w:type="pct"/>
            <w:vAlign w:val="center"/>
          </w:tcPr>
          <w:p w14:paraId="3EE45DB0">
            <w:pPr>
              <w:pStyle w:val="133"/>
            </w:pPr>
            <w:r>
              <w:t>20</w:t>
            </w:r>
            <w:r>
              <w:rPr>
                <w:rFonts w:hint="eastAsia"/>
              </w:rPr>
              <w:t>~</w:t>
            </w:r>
            <w:r>
              <w:t>35</w:t>
            </w:r>
          </w:p>
        </w:tc>
        <w:tc>
          <w:tcPr>
            <w:tcW w:w="834" w:type="pct"/>
            <w:vAlign w:val="center"/>
          </w:tcPr>
          <w:p w14:paraId="59EB0612">
            <w:pPr>
              <w:pStyle w:val="133"/>
            </w:pPr>
            <w:r>
              <w:rPr>
                <w:rFonts w:hint="eastAsia"/>
              </w:rPr>
              <w:t>85</w:t>
            </w:r>
          </w:p>
        </w:tc>
      </w:tr>
      <w:tr w14:paraId="75A59F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59F9D94F">
            <w:pPr>
              <w:pStyle w:val="133"/>
            </w:pPr>
            <w:r>
              <w:t>2</w:t>
            </w:r>
          </w:p>
        </w:tc>
        <w:tc>
          <w:tcPr>
            <w:tcW w:w="417" w:type="pct"/>
            <w:vMerge w:val="continue"/>
            <w:vAlign w:val="center"/>
          </w:tcPr>
          <w:p w14:paraId="61128A68">
            <w:pPr>
              <w:pStyle w:val="133"/>
            </w:pPr>
          </w:p>
        </w:tc>
        <w:tc>
          <w:tcPr>
            <w:tcW w:w="806" w:type="pct"/>
            <w:vAlign w:val="center"/>
          </w:tcPr>
          <w:p w14:paraId="1F54A867">
            <w:pPr>
              <w:pStyle w:val="133"/>
            </w:pPr>
            <w:r>
              <w:rPr>
                <w:rFonts w:hint="eastAsia"/>
              </w:rPr>
              <w:t>装载机</w:t>
            </w:r>
          </w:p>
        </w:tc>
        <w:tc>
          <w:tcPr>
            <w:tcW w:w="530" w:type="pct"/>
            <w:vAlign w:val="center"/>
          </w:tcPr>
          <w:p w14:paraId="0DCD2B1F">
            <w:pPr>
              <w:pStyle w:val="133"/>
            </w:pPr>
            <w:r>
              <w:rPr>
                <w:rFonts w:hint="eastAsia"/>
              </w:rPr>
              <w:t>8</w:t>
            </w:r>
          </w:p>
        </w:tc>
        <w:tc>
          <w:tcPr>
            <w:tcW w:w="661" w:type="pct"/>
            <w:vAlign w:val="center"/>
          </w:tcPr>
          <w:p w14:paraId="12FC047A">
            <w:pPr>
              <w:pStyle w:val="133"/>
            </w:pPr>
            <w:r>
              <w:rPr>
                <w:rFonts w:hint="eastAsia"/>
              </w:rPr>
              <w:t>85~100</w:t>
            </w:r>
          </w:p>
        </w:tc>
        <w:tc>
          <w:tcPr>
            <w:tcW w:w="747" w:type="pct"/>
            <w:vMerge w:val="continue"/>
            <w:vAlign w:val="center"/>
          </w:tcPr>
          <w:p w14:paraId="69448958">
            <w:pPr>
              <w:pStyle w:val="133"/>
            </w:pPr>
          </w:p>
        </w:tc>
        <w:tc>
          <w:tcPr>
            <w:tcW w:w="693" w:type="pct"/>
            <w:vAlign w:val="center"/>
          </w:tcPr>
          <w:p w14:paraId="0555EAAF">
            <w:pPr>
              <w:pStyle w:val="133"/>
            </w:pPr>
            <w:r>
              <w:t>20</w:t>
            </w:r>
            <w:r>
              <w:rPr>
                <w:rFonts w:hint="eastAsia"/>
              </w:rPr>
              <w:t>~</w:t>
            </w:r>
            <w:r>
              <w:t>35</w:t>
            </w:r>
          </w:p>
        </w:tc>
        <w:tc>
          <w:tcPr>
            <w:tcW w:w="834" w:type="pct"/>
            <w:vAlign w:val="center"/>
          </w:tcPr>
          <w:p w14:paraId="4C18FCC3">
            <w:pPr>
              <w:pStyle w:val="133"/>
            </w:pPr>
            <w:r>
              <w:rPr>
                <w:rFonts w:hint="eastAsia"/>
              </w:rPr>
              <w:t>80</w:t>
            </w:r>
          </w:p>
        </w:tc>
      </w:tr>
      <w:tr w14:paraId="79480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6DED8912">
            <w:pPr>
              <w:pStyle w:val="133"/>
            </w:pPr>
            <w:r>
              <w:t>3</w:t>
            </w:r>
          </w:p>
        </w:tc>
        <w:tc>
          <w:tcPr>
            <w:tcW w:w="417" w:type="pct"/>
            <w:vMerge w:val="continue"/>
            <w:vAlign w:val="center"/>
          </w:tcPr>
          <w:p w14:paraId="4CB063F6">
            <w:pPr>
              <w:pStyle w:val="133"/>
            </w:pPr>
          </w:p>
        </w:tc>
        <w:tc>
          <w:tcPr>
            <w:tcW w:w="806" w:type="pct"/>
            <w:vAlign w:val="center"/>
          </w:tcPr>
          <w:p w14:paraId="25F7A7EA">
            <w:pPr>
              <w:pStyle w:val="133"/>
            </w:pPr>
            <w:r>
              <w:rPr>
                <w:rFonts w:hint="eastAsia"/>
              </w:rPr>
              <w:t>破碎机</w:t>
            </w:r>
          </w:p>
        </w:tc>
        <w:tc>
          <w:tcPr>
            <w:tcW w:w="530" w:type="pct"/>
            <w:vAlign w:val="center"/>
          </w:tcPr>
          <w:p w14:paraId="28F183CA">
            <w:pPr>
              <w:pStyle w:val="133"/>
            </w:pPr>
            <w:r>
              <w:rPr>
                <w:rFonts w:hint="eastAsia"/>
              </w:rPr>
              <w:t>1</w:t>
            </w:r>
          </w:p>
        </w:tc>
        <w:tc>
          <w:tcPr>
            <w:tcW w:w="661" w:type="pct"/>
            <w:vAlign w:val="center"/>
          </w:tcPr>
          <w:p w14:paraId="5459B6AC">
            <w:pPr>
              <w:pStyle w:val="133"/>
            </w:pPr>
            <w:r>
              <w:t>8</w:t>
            </w:r>
            <w:r>
              <w:rPr>
                <w:rFonts w:hint="eastAsia"/>
              </w:rPr>
              <w:t>0~90</w:t>
            </w:r>
          </w:p>
        </w:tc>
        <w:tc>
          <w:tcPr>
            <w:tcW w:w="747" w:type="pct"/>
            <w:vMerge w:val="continue"/>
            <w:vAlign w:val="center"/>
          </w:tcPr>
          <w:p w14:paraId="10C1B99B">
            <w:pPr>
              <w:pStyle w:val="133"/>
            </w:pPr>
          </w:p>
        </w:tc>
        <w:tc>
          <w:tcPr>
            <w:tcW w:w="693" w:type="pct"/>
            <w:vAlign w:val="center"/>
          </w:tcPr>
          <w:p w14:paraId="72FA2FF8">
            <w:pPr>
              <w:pStyle w:val="133"/>
            </w:pPr>
            <w:r>
              <w:t>20</w:t>
            </w:r>
            <w:r>
              <w:rPr>
                <w:rFonts w:hint="eastAsia"/>
              </w:rPr>
              <w:t>~</w:t>
            </w:r>
            <w:r>
              <w:t>35</w:t>
            </w:r>
          </w:p>
        </w:tc>
        <w:tc>
          <w:tcPr>
            <w:tcW w:w="834" w:type="pct"/>
            <w:vAlign w:val="center"/>
          </w:tcPr>
          <w:p w14:paraId="030F33EF">
            <w:pPr>
              <w:pStyle w:val="133"/>
            </w:pPr>
            <w:r>
              <w:rPr>
                <w:rFonts w:hint="eastAsia"/>
              </w:rPr>
              <w:t>65</w:t>
            </w:r>
          </w:p>
        </w:tc>
      </w:tr>
      <w:tr w14:paraId="47549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5C64D4F5">
            <w:pPr>
              <w:pStyle w:val="133"/>
            </w:pPr>
            <w:r>
              <w:t>4</w:t>
            </w:r>
          </w:p>
        </w:tc>
        <w:tc>
          <w:tcPr>
            <w:tcW w:w="417" w:type="pct"/>
            <w:vMerge w:val="continue"/>
            <w:vAlign w:val="center"/>
          </w:tcPr>
          <w:p w14:paraId="234A8F9A">
            <w:pPr>
              <w:pStyle w:val="133"/>
            </w:pPr>
          </w:p>
        </w:tc>
        <w:tc>
          <w:tcPr>
            <w:tcW w:w="806" w:type="pct"/>
            <w:vAlign w:val="center"/>
          </w:tcPr>
          <w:p w14:paraId="7E73BD31">
            <w:pPr>
              <w:pStyle w:val="133"/>
            </w:pPr>
            <w:r>
              <w:rPr>
                <w:rFonts w:hint="eastAsia"/>
              </w:rPr>
              <w:t>泵类</w:t>
            </w:r>
          </w:p>
        </w:tc>
        <w:tc>
          <w:tcPr>
            <w:tcW w:w="530" w:type="pct"/>
            <w:vAlign w:val="center"/>
          </w:tcPr>
          <w:p w14:paraId="392DEE1F">
            <w:pPr>
              <w:pStyle w:val="133"/>
            </w:pPr>
            <w:r>
              <w:rPr>
                <w:rFonts w:hint="eastAsia"/>
              </w:rPr>
              <w:t>34</w:t>
            </w:r>
          </w:p>
        </w:tc>
        <w:tc>
          <w:tcPr>
            <w:tcW w:w="661" w:type="pct"/>
            <w:vAlign w:val="center"/>
          </w:tcPr>
          <w:p w14:paraId="3214F5B4">
            <w:pPr>
              <w:pStyle w:val="133"/>
            </w:pPr>
            <w:r>
              <w:rPr>
                <w:rFonts w:hint="eastAsia"/>
              </w:rPr>
              <w:t>8</w:t>
            </w:r>
            <w:r>
              <w:t>0</w:t>
            </w:r>
            <w:r>
              <w:rPr>
                <w:rFonts w:hint="eastAsia"/>
              </w:rPr>
              <w:t>~9</w:t>
            </w:r>
            <w:r>
              <w:t>5</w:t>
            </w:r>
          </w:p>
        </w:tc>
        <w:tc>
          <w:tcPr>
            <w:tcW w:w="747" w:type="pct"/>
            <w:vMerge w:val="continue"/>
            <w:vAlign w:val="center"/>
          </w:tcPr>
          <w:p w14:paraId="6922B715">
            <w:pPr>
              <w:pStyle w:val="133"/>
            </w:pPr>
          </w:p>
        </w:tc>
        <w:tc>
          <w:tcPr>
            <w:tcW w:w="693" w:type="pct"/>
            <w:vAlign w:val="center"/>
          </w:tcPr>
          <w:p w14:paraId="73D67F69">
            <w:pPr>
              <w:pStyle w:val="133"/>
            </w:pPr>
            <w:r>
              <w:t>20</w:t>
            </w:r>
            <w:r>
              <w:rPr>
                <w:rFonts w:hint="eastAsia"/>
              </w:rPr>
              <w:t>~</w:t>
            </w:r>
            <w:r>
              <w:t>35</w:t>
            </w:r>
          </w:p>
        </w:tc>
        <w:tc>
          <w:tcPr>
            <w:tcW w:w="834" w:type="pct"/>
            <w:vAlign w:val="center"/>
          </w:tcPr>
          <w:p w14:paraId="06E2D6BC">
            <w:pPr>
              <w:pStyle w:val="133"/>
            </w:pPr>
            <w:r>
              <w:t>6</w:t>
            </w:r>
            <w:r>
              <w:rPr>
                <w:rFonts w:hint="eastAsia"/>
              </w:rPr>
              <w:t>5</w:t>
            </w:r>
          </w:p>
        </w:tc>
      </w:tr>
      <w:tr w14:paraId="301A3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13A00D54">
            <w:pPr>
              <w:pStyle w:val="133"/>
            </w:pPr>
            <w:r>
              <w:t>5</w:t>
            </w:r>
          </w:p>
        </w:tc>
        <w:tc>
          <w:tcPr>
            <w:tcW w:w="417" w:type="pct"/>
            <w:vMerge w:val="continue"/>
            <w:vAlign w:val="center"/>
          </w:tcPr>
          <w:p w14:paraId="7E2C1904">
            <w:pPr>
              <w:pStyle w:val="133"/>
            </w:pPr>
          </w:p>
        </w:tc>
        <w:tc>
          <w:tcPr>
            <w:tcW w:w="806" w:type="pct"/>
            <w:vAlign w:val="center"/>
          </w:tcPr>
          <w:p w14:paraId="7CC8B5EC">
            <w:pPr>
              <w:pStyle w:val="133"/>
            </w:pPr>
            <w:r>
              <w:rPr>
                <w:rFonts w:hint="eastAsia"/>
              </w:rPr>
              <w:t>刮板机</w:t>
            </w:r>
          </w:p>
        </w:tc>
        <w:tc>
          <w:tcPr>
            <w:tcW w:w="530" w:type="pct"/>
            <w:vAlign w:val="center"/>
          </w:tcPr>
          <w:p w14:paraId="3AF80829">
            <w:pPr>
              <w:pStyle w:val="133"/>
            </w:pPr>
            <w:r>
              <w:rPr>
                <w:rFonts w:hint="eastAsia"/>
              </w:rPr>
              <w:t>8</w:t>
            </w:r>
          </w:p>
        </w:tc>
        <w:tc>
          <w:tcPr>
            <w:tcW w:w="661" w:type="pct"/>
            <w:vAlign w:val="center"/>
          </w:tcPr>
          <w:p w14:paraId="585DD640">
            <w:pPr>
              <w:pStyle w:val="133"/>
            </w:pPr>
            <w:r>
              <w:rPr>
                <w:rFonts w:hint="eastAsia"/>
              </w:rPr>
              <w:t>9</w:t>
            </w:r>
            <w:r>
              <w:t>0</w:t>
            </w:r>
            <w:r>
              <w:rPr>
                <w:rFonts w:hint="eastAsia"/>
              </w:rPr>
              <w:t>~1</w:t>
            </w:r>
            <w:r>
              <w:t>00</w:t>
            </w:r>
          </w:p>
        </w:tc>
        <w:tc>
          <w:tcPr>
            <w:tcW w:w="747" w:type="pct"/>
            <w:vMerge w:val="continue"/>
            <w:vAlign w:val="center"/>
          </w:tcPr>
          <w:p w14:paraId="22F1286C">
            <w:pPr>
              <w:pStyle w:val="133"/>
            </w:pPr>
          </w:p>
        </w:tc>
        <w:tc>
          <w:tcPr>
            <w:tcW w:w="693" w:type="pct"/>
            <w:vAlign w:val="center"/>
          </w:tcPr>
          <w:p w14:paraId="18A8828A">
            <w:pPr>
              <w:pStyle w:val="133"/>
            </w:pPr>
            <w:r>
              <w:rPr>
                <w:rFonts w:hint="eastAsia"/>
              </w:rPr>
              <w:t>1</w:t>
            </w:r>
            <w:r>
              <w:t>2</w:t>
            </w:r>
            <w:r>
              <w:rPr>
                <w:rFonts w:hint="eastAsia"/>
              </w:rPr>
              <w:t>~2</w:t>
            </w:r>
            <w:r>
              <w:t>5</w:t>
            </w:r>
          </w:p>
        </w:tc>
        <w:tc>
          <w:tcPr>
            <w:tcW w:w="834" w:type="pct"/>
            <w:vAlign w:val="center"/>
          </w:tcPr>
          <w:p w14:paraId="13A4B0AB">
            <w:pPr>
              <w:pStyle w:val="133"/>
            </w:pPr>
            <w:r>
              <w:rPr>
                <w:rFonts w:hint="eastAsia"/>
              </w:rPr>
              <w:t>85</w:t>
            </w:r>
          </w:p>
        </w:tc>
      </w:tr>
      <w:tr w14:paraId="36BF3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79A321A2">
            <w:pPr>
              <w:pStyle w:val="133"/>
            </w:pPr>
            <w:r>
              <w:t>6</w:t>
            </w:r>
          </w:p>
        </w:tc>
        <w:tc>
          <w:tcPr>
            <w:tcW w:w="417" w:type="pct"/>
            <w:vMerge w:val="continue"/>
            <w:vAlign w:val="center"/>
          </w:tcPr>
          <w:p w14:paraId="024E2EA1">
            <w:pPr>
              <w:pStyle w:val="133"/>
            </w:pPr>
          </w:p>
        </w:tc>
        <w:tc>
          <w:tcPr>
            <w:tcW w:w="806" w:type="pct"/>
            <w:vAlign w:val="center"/>
          </w:tcPr>
          <w:p w14:paraId="0C5F83D3">
            <w:pPr>
              <w:pStyle w:val="133"/>
            </w:pPr>
            <w:r>
              <w:rPr>
                <w:rFonts w:hint="eastAsia"/>
              </w:rPr>
              <w:t>空气风机</w:t>
            </w:r>
          </w:p>
        </w:tc>
        <w:tc>
          <w:tcPr>
            <w:tcW w:w="530" w:type="pct"/>
            <w:vAlign w:val="center"/>
          </w:tcPr>
          <w:p w14:paraId="4750E502">
            <w:pPr>
              <w:pStyle w:val="133"/>
            </w:pPr>
            <w:r>
              <w:rPr>
                <w:rFonts w:hint="eastAsia"/>
              </w:rPr>
              <w:t>3</w:t>
            </w:r>
          </w:p>
        </w:tc>
        <w:tc>
          <w:tcPr>
            <w:tcW w:w="661" w:type="pct"/>
            <w:vAlign w:val="center"/>
          </w:tcPr>
          <w:p w14:paraId="056E66C5">
            <w:pPr>
              <w:pStyle w:val="133"/>
            </w:pPr>
            <w:r>
              <w:rPr>
                <w:rFonts w:hint="eastAsia"/>
              </w:rPr>
              <w:t>8</w:t>
            </w:r>
            <w:r>
              <w:t>0</w:t>
            </w:r>
            <w:r>
              <w:rPr>
                <w:rFonts w:hint="eastAsia"/>
              </w:rPr>
              <w:t>~1</w:t>
            </w:r>
            <w:r>
              <w:t>10</w:t>
            </w:r>
          </w:p>
        </w:tc>
        <w:tc>
          <w:tcPr>
            <w:tcW w:w="747" w:type="pct"/>
            <w:vMerge w:val="continue"/>
            <w:vAlign w:val="center"/>
          </w:tcPr>
          <w:p w14:paraId="77695114">
            <w:pPr>
              <w:pStyle w:val="133"/>
            </w:pPr>
          </w:p>
        </w:tc>
        <w:tc>
          <w:tcPr>
            <w:tcW w:w="693" w:type="pct"/>
            <w:vAlign w:val="center"/>
          </w:tcPr>
          <w:p w14:paraId="1E587157">
            <w:pPr>
              <w:pStyle w:val="133"/>
            </w:pPr>
            <w:r>
              <w:rPr>
                <w:rFonts w:hint="eastAsia"/>
              </w:rPr>
              <w:t>1</w:t>
            </w:r>
            <w:r>
              <w:t>2</w:t>
            </w:r>
            <w:r>
              <w:rPr>
                <w:rFonts w:hint="eastAsia"/>
              </w:rPr>
              <w:t>~2</w:t>
            </w:r>
            <w:r>
              <w:t>5</w:t>
            </w:r>
          </w:p>
        </w:tc>
        <w:tc>
          <w:tcPr>
            <w:tcW w:w="834" w:type="pct"/>
            <w:vAlign w:val="center"/>
          </w:tcPr>
          <w:p w14:paraId="4200E0DC">
            <w:pPr>
              <w:pStyle w:val="133"/>
            </w:pPr>
            <w:r>
              <w:rPr>
                <w:rFonts w:hint="eastAsia"/>
              </w:rPr>
              <w:t>65</w:t>
            </w:r>
          </w:p>
        </w:tc>
      </w:tr>
      <w:tr w14:paraId="487B7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5FED771F">
            <w:pPr>
              <w:pStyle w:val="133"/>
            </w:pPr>
            <w:r>
              <w:rPr>
                <w:rFonts w:hint="eastAsia"/>
              </w:rPr>
              <w:t>7</w:t>
            </w:r>
          </w:p>
        </w:tc>
        <w:tc>
          <w:tcPr>
            <w:tcW w:w="417" w:type="pct"/>
            <w:vMerge w:val="continue"/>
            <w:vAlign w:val="center"/>
          </w:tcPr>
          <w:p w14:paraId="33FFD3A7">
            <w:pPr>
              <w:pStyle w:val="133"/>
            </w:pPr>
          </w:p>
        </w:tc>
        <w:tc>
          <w:tcPr>
            <w:tcW w:w="806" w:type="pct"/>
            <w:vAlign w:val="center"/>
          </w:tcPr>
          <w:p w14:paraId="78677D04">
            <w:pPr>
              <w:pStyle w:val="133"/>
            </w:pPr>
            <w:r>
              <w:rPr>
                <w:rFonts w:hint="eastAsia"/>
              </w:rPr>
              <w:t>煤气风机</w:t>
            </w:r>
          </w:p>
        </w:tc>
        <w:tc>
          <w:tcPr>
            <w:tcW w:w="530" w:type="pct"/>
            <w:vAlign w:val="center"/>
          </w:tcPr>
          <w:p w14:paraId="3533EA01">
            <w:pPr>
              <w:pStyle w:val="133"/>
            </w:pPr>
            <w:r>
              <w:rPr>
                <w:rFonts w:hint="eastAsia"/>
              </w:rPr>
              <w:t>3</w:t>
            </w:r>
          </w:p>
        </w:tc>
        <w:tc>
          <w:tcPr>
            <w:tcW w:w="661" w:type="pct"/>
            <w:vAlign w:val="center"/>
          </w:tcPr>
          <w:p w14:paraId="23A50367">
            <w:pPr>
              <w:pStyle w:val="133"/>
            </w:pPr>
            <w:r>
              <w:rPr>
                <w:rFonts w:hint="eastAsia"/>
              </w:rPr>
              <w:t>8</w:t>
            </w:r>
            <w:r>
              <w:t>0</w:t>
            </w:r>
            <w:r>
              <w:rPr>
                <w:rFonts w:hint="eastAsia"/>
              </w:rPr>
              <w:t>~1</w:t>
            </w:r>
            <w:r>
              <w:t>10</w:t>
            </w:r>
          </w:p>
        </w:tc>
        <w:tc>
          <w:tcPr>
            <w:tcW w:w="747" w:type="pct"/>
            <w:vMerge w:val="continue"/>
            <w:vAlign w:val="center"/>
          </w:tcPr>
          <w:p w14:paraId="0C80547F">
            <w:pPr>
              <w:pStyle w:val="133"/>
            </w:pPr>
          </w:p>
        </w:tc>
        <w:tc>
          <w:tcPr>
            <w:tcW w:w="693" w:type="pct"/>
            <w:vAlign w:val="center"/>
          </w:tcPr>
          <w:p w14:paraId="323649F4">
            <w:pPr>
              <w:pStyle w:val="133"/>
            </w:pPr>
            <w:r>
              <w:rPr>
                <w:rFonts w:hint="eastAsia"/>
              </w:rPr>
              <w:t>1</w:t>
            </w:r>
            <w:r>
              <w:t>2</w:t>
            </w:r>
            <w:r>
              <w:rPr>
                <w:rFonts w:hint="eastAsia"/>
              </w:rPr>
              <w:t>~2</w:t>
            </w:r>
            <w:r>
              <w:t>5</w:t>
            </w:r>
          </w:p>
        </w:tc>
        <w:tc>
          <w:tcPr>
            <w:tcW w:w="834" w:type="pct"/>
            <w:vAlign w:val="center"/>
          </w:tcPr>
          <w:p w14:paraId="67BFE9DC">
            <w:pPr>
              <w:pStyle w:val="133"/>
            </w:pPr>
            <w:r>
              <w:rPr>
                <w:rFonts w:hint="eastAsia"/>
              </w:rPr>
              <w:t>65</w:t>
            </w:r>
          </w:p>
        </w:tc>
      </w:tr>
      <w:tr w14:paraId="3CAB31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12" w:type="pct"/>
            <w:vAlign w:val="center"/>
          </w:tcPr>
          <w:p w14:paraId="44795DA6">
            <w:pPr>
              <w:pStyle w:val="133"/>
            </w:pPr>
            <w:r>
              <w:rPr>
                <w:rFonts w:hint="eastAsia"/>
              </w:rPr>
              <w:t>8</w:t>
            </w:r>
          </w:p>
        </w:tc>
        <w:tc>
          <w:tcPr>
            <w:tcW w:w="417" w:type="pct"/>
            <w:vMerge w:val="continue"/>
            <w:vAlign w:val="center"/>
          </w:tcPr>
          <w:p w14:paraId="7F0A81CB">
            <w:pPr>
              <w:pStyle w:val="133"/>
            </w:pPr>
          </w:p>
        </w:tc>
        <w:tc>
          <w:tcPr>
            <w:tcW w:w="806" w:type="pct"/>
            <w:vAlign w:val="center"/>
          </w:tcPr>
          <w:p w14:paraId="51223671">
            <w:pPr>
              <w:pStyle w:val="133"/>
            </w:pPr>
            <w:r>
              <w:rPr>
                <w:rFonts w:hint="eastAsia"/>
              </w:rPr>
              <w:t>电捕焦油器</w:t>
            </w:r>
          </w:p>
        </w:tc>
        <w:tc>
          <w:tcPr>
            <w:tcW w:w="530" w:type="pct"/>
            <w:vAlign w:val="center"/>
          </w:tcPr>
          <w:p w14:paraId="288F63E5">
            <w:pPr>
              <w:pStyle w:val="133"/>
            </w:pPr>
            <w:r>
              <w:rPr>
                <w:rFonts w:hint="eastAsia"/>
              </w:rPr>
              <w:t>6</w:t>
            </w:r>
          </w:p>
        </w:tc>
        <w:tc>
          <w:tcPr>
            <w:tcW w:w="661" w:type="pct"/>
            <w:vAlign w:val="center"/>
          </w:tcPr>
          <w:p w14:paraId="1FF80FAD">
            <w:pPr>
              <w:pStyle w:val="133"/>
            </w:pPr>
            <w:r>
              <w:rPr>
                <w:rFonts w:hint="eastAsia"/>
              </w:rPr>
              <w:t>90~10</w:t>
            </w:r>
            <w:r>
              <w:t>0</w:t>
            </w:r>
          </w:p>
        </w:tc>
        <w:tc>
          <w:tcPr>
            <w:tcW w:w="747" w:type="pct"/>
            <w:vMerge w:val="continue"/>
            <w:vAlign w:val="center"/>
          </w:tcPr>
          <w:p w14:paraId="0A7E1E44">
            <w:pPr>
              <w:pStyle w:val="133"/>
            </w:pPr>
          </w:p>
        </w:tc>
        <w:tc>
          <w:tcPr>
            <w:tcW w:w="693" w:type="pct"/>
            <w:vAlign w:val="center"/>
          </w:tcPr>
          <w:p w14:paraId="235BD5F2">
            <w:pPr>
              <w:pStyle w:val="133"/>
            </w:pPr>
            <w:r>
              <w:rPr>
                <w:rFonts w:hint="eastAsia"/>
              </w:rPr>
              <w:t>1</w:t>
            </w:r>
            <w:r>
              <w:t>0</w:t>
            </w:r>
            <w:r>
              <w:rPr>
                <w:rFonts w:hint="eastAsia"/>
              </w:rPr>
              <w:t>~1</w:t>
            </w:r>
            <w:r>
              <w:t>5</w:t>
            </w:r>
          </w:p>
        </w:tc>
        <w:tc>
          <w:tcPr>
            <w:tcW w:w="834" w:type="pct"/>
            <w:vAlign w:val="center"/>
          </w:tcPr>
          <w:p w14:paraId="152B6415">
            <w:pPr>
              <w:pStyle w:val="133"/>
            </w:pPr>
            <w:r>
              <w:rPr>
                <w:rFonts w:hint="eastAsia"/>
              </w:rPr>
              <w:t>80</w:t>
            </w:r>
          </w:p>
        </w:tc>
      </w:tr>
    </w:tbl>
    <w:p w14:paraId="0EA34E56">
      <w:pPr>
        <w:pStyle w:val="410"/>
        <w:ind w:firstLine="360"/>
      </w:pPr>
    </w:p>
    <w:p w14:paraId="2A00F530">
      <w:pPr>
        <w:ind w:firstLine="480"/>
        <w:rPr>
          <w:rFonts w:ascii="Arial" w:hAnsi="Arial" w:cs="Arial"/>
        </w:rPr>
      </w:pPr>
      <w:r>
        <w:t>根据《工业企业噪声控制设计规范》（GB/T 50087-2013），采取降噪措施后的</w:t>
      </w:r>
      <w:r>
        <w:rPr>
          <w:rFonts w:hint="eastAsia"/>
        </w:rPr>
        <w:t>设备</w:t>
      </w:r>
      <w:r>
        <w:t>声压级可达到控制要求。</w:t>
      </w:r>
    </w:p>
    <w:p w14:paraId="01CAF1E8">
      <w:pPr>
        <w:pStyle w:val="5"/>
      </w:pPr>
      <w:r>
        <w:rPr>
          <w:rFonts w:hint="eastAsia"/>
        </w:rPr>
        <w:t>非正常工况源强核算</w:t>
      </w:r>
    </w:p>
    <w:p w14:paraId="61AEFEFC">
      <w:pPr>
        <w:ind w:firstLine="480"/>
      </w:pPr>
      <w:r>
        <w:rPr>
          <w:rFonts w:hint="eastAsia"/>
        </w:rPr>
        <w:t>炭化炉煤气净化工段出来的煤气一部分回到炭化炉作为燃料燃烧，其他向装置外输送煤气至兰炭烘干、燃气锅炉、废水焚烧炉，其他供应镁基新材料及制品生产线。</w:t>
      </w:r>
    </w:p>
    <w:p w14:paraId="1179021D">
      <w:pPr>
        <w:ind w:firstLine="480"/>
      </w:pPr>
      <w:r>
        <w:rPr>
          <w:rFonts w:hint="eastAsia"/>
        </w:rPr>
        <w:t>非正常状态下，煤气输气系统出现故障，外输煤气不能送出则通过管道送厂内煤气放散系统，通过自动点火装置燃烧后排放，主要污染物为颗粒物、SO</w:t>
      </w:r>
      <w:r>
        <w:rPr>
          <w:rFonts w:hint="eastAsia"/>
          <w:vertAlign w:val="subscript"/>
        </w:rPr>
        <w:t>2</w:t>
      </w:r>
      <w:r>
        <w:rPr>
          <w:rFonts w:hint="eastAsia"/>
        </w:rPr>
        <w:t>、NOx。其中厂区西侧设一套煤气放散系统，排放气</w:t>
      </w:r>
      <w:r>
        <w:t>进入燃烧塔分级燃烧</w:t>
      </w:r>
      <w:r>
        <w:rPr>
          <w:rFonts w:hint="eastAsia"/>
        </w:rPr>
        <w:t>后，经3个煤气</w:t>
      </w:r>
      <w:bookmarkStart w:id="331" w:name="OLE_LINK42"/>
      <w:r>
        <w:rPr>
          <w:rFonts w:hint="eastAsia"/>
        </w:rPr>
        <w:t>放散口</w:t>
      </w:r>
      <w:bookmarkEnd w:id="331"/>
      <w:r>
        <w:rPr>
          <w:rFonts w:hint="eastAsia"/>
        </w:rPr>
        <w:t>排放，放散口内径0.9m，高30m。净化煤气事故放散污染物排放量，见表3.3-33。</w:t>
      </w:r>
    </w:p>
    <w:p w14:paraId="1DD814E8">
      <w:pPr>
        <w:ind w:firstLine="480"/>
      </w:pPr>
    </w:p>
    <w:p w14:paraId="682D56C4">
      <w:pPr>
        <w:ind w:firstLine="480"/>
      </w:pPr>
    </w:p>
    <w:p w14:paraId="31ABB0B7">
      <w:pPr>
        <w:ind w:firstLine="480"/>
      </w:pPr>
    </w:p>
    <w:p w14:paraId="6A52C09D">
      <w:pPr>
        <w:pStyle w:val="118"/>
      </w:pPr>
      <w:r>
        <w:rPr>
          <w:rFonts w:hint="eastAsia"/>
        </w:rPr>
        <w:t>表 3.3-33  非正常工况净化煤气事故放散废气产生与收集情况一览表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44"/>
        <w:gridCol w:w="860"/>
        <w:gridCol w:w="613"/>
        <w:gridCol w:w="1144"/>
        <w:gridCol w:w="1144"/>
        <w:gridCol w:w="1144"/>
        <w:gridCol w:w="1144"/>
        <w:gridCol w:w="1143"/>
      </w:tblGrid>
      <w:tr w14:paraId="683699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restart"/>
            <w:vAlign w:val="center"/>
          </w:tcPr>
          <w:p w14:paraId="03B43C14">
            <w:pPr>
              <w:pStyle w:val="133"/>
              <w:rPr>
                <w:b/>
                <w:bCs/>
              </w:rPr>
            </w:pPr>
            <w:r>
              <w:rPr>
                <w:b/>
                <w:bCs/>
              </w:rPr>
              <w:t>系统名称</w:t>
            </w:r>
          </w:p>
        </w:tc>
        <w:tc>
          <w:tcPr>
            <w:tcW w:w="2244" w:type="pct"/>
            <w:gridSpan w:val="4"/>
            <w:vAlign w:val="center"/>
          </w:tcPr>
          <w:p w14:paraId="3471741A">
            <w:pPr>
              <w:pStyle w:val="133"/>
              <w:rPr>
                <w:b/>
                <w:bCs/>
              </w:rPr>
            </w:pPr>
            <w:r>
              <w:rPr>
                <w:b/>
                <w:bCs/>
              </w:rPr>
              <w:t>排气筒参数</w:t>
            </w:r>
          </w:p>
        </w:tc>
        <w:tc>
          <w:tcPr>
            <w:tcW w:w="2066" w:type="pct"/>
            <w:gridSpan w:val="3"/>
            <w:vAlign w:val="center"/>
          </w:tcPr>
          <w:p w14:paraId="7F7FE30E">
            <w:pPr>
              <w:pStyle w:val="133"/>
              <w:rPr>
                <w:b/>
                <w:bCs/>
              </w:rPr>
            </w:pPr>
            <w:r>
              <w:rPr>
                <w:b/>
                <w:bCs/>
              </w:rPr>
              <w:t>污染物</w:t>
            </w:r>
            <w:r>
              <w:rPr>
                <w:rFonts w:hint="eastAsia"/>
                <w:b/>
                <w:bCs/>
              </w:rPr>
              <w:t>排放</w:t>
            </w:r>
            <w:r>
              <w:rPr>
                <w:b/>
                <w:bCs/>
              </w:rPr>
              <w:t>参数</w:t>
            </w:r>
          </w:p>
        </w:tc>
      </w:tr>
      <w:tr w14:paraId="7FD120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continue"/>
            <w:vAlign w:val="center"/>
          </w:tcPr>
          <w:p w14:paraId="11AEA899">
            <w:pPr>
              <w:pStyle w:val="133"/>
              <w:rPr>
                <w:b/>
                <w:bCs/>
              </w:rPr>
            </w:pPr>
          </w:p>
        </w:tc>
        <w:tc>
          <w:tcPr>
            <w:tcW w:w="519" w:type="pct"/>
            <w:vAlign w:val="center"/>
          </w:tcPr>
          <w:p w14:paraId="7486A349">
            <w:pPr>
              <w:pStyle w:val="133"/>
              <w:rPr>
                <w:b/>
                <w:bCs/>
              </w:rPr>
            </w:pPr>
            <w:r>
              <w:rPr>
                <w:b/>
                <w:bCs/>
              </w:rPr>
              <w:t>排气量</w:t>
            </w:r>
          </w:p>
          <w:p w14:paraId="6C332014">
            <w:pPr>
              <w:pStyle w:val="133"/>
              <w:rPr>
                <w:b/>
                <w:bCs/>
              </w:rPr>
            </w:pPr>
            <w:r>
              <w:rPr>
                <w:rFonts w:hint="eastAsia"/>
                <w:b/>
                <w:bCs/>
              </w:rPr>
              <w:t>(m³</w:t>
            </w:r>
            <w:r>
              <w:rPr>
                <w:b/>
                <w:bCs/>
              </w:rPr>
              <w:t>/h）</w:t>
            </w:r>
          </w:p>
        </w:tc>
        <w:tc>
          <w:tcPr>
            <w:tcW w:w="348" w:type="pct"/>
            <w:vAlign w:val="center"/>
          </w:tcPr>
          <w:p w14:paraId="00628326">
            <w:pPr>
              <w:pStyle w:val="133"/>
              <w:rPr>
                <w:b/>
                <w:bCs/>
              </w:rPr>
            </w:pPr>
            <w:r>
              <w:rPr>
                <w:b/>
                <w:bCs/>
              </w:rPr>
              <w:t>高度</w:t>
            </w:r>
          </w:p>
          <w:p w14:paraId="5E4E0139">
            <w:pPr>
              <w:pStyle w:val="133"/>
              <w:rPr>
                <w:b/>
                <w:bCs/>
              </w:rPr>
            </w:pPr>
            <w:r>
              <w:rPr>
                <w:b/>
                <w:bCs/>
              </w:rPr>
              <w:t>（m）</w:t>
            </w:r>
          </w:p>
        </w:tc>
        <w:tc>
          <w:tcPr>
            <w:tcW w:w="689" w:type="pct"/>
            <w:vAlign w:val="center"/>
          </w:tcPr>
          <w:p w14:paraId="7191DF4B">
            <w:pPr>
              <w:pStyle w:val="133"/>
              <w:rPr>
                <w:b/>
                <w:bCs/>
              </w:rPr>
            </w:pPr>
            <w:r>
              <w:rPr>
                <w:b/>
                <w:bCs/>
              </w:rPr>
              <w:t>出口内径</w:t>
            </w:r>
          </w:p>
          <w:p w14:paraId="04302494">
            <w:pPr>
              <w:pStyle w:val="133"/>
              <w:rPr>
                <w:b/>
                <w:bCs/>
              </w:rPr>
            </w:pPr>
            <w:r>
              <w:rPr>
                <w:b/>
                <w:bCs/>
              </w:rPr>
              <w:t>（m）</w:t>
            </w:r>
          </w:p>
        </w:tc>
        <w:tc>
          <w:tcPr>
            <w:tcW w:w="689" w:type="pct"/>
            <w:vAlign w:val="center"/>
          </w:tcPr>
          <w:p w14:paraId="45F7FDA2">
            <w:pPr>
              <w:pStyle w:val="133"/>
              <w:rPr>
                <w:b/>
                <w:bCs/>
              </w:rPr>
            </w:pPr>
            <w:r>
              <w:rPr>
                <w:b/>
                <w:bCs/>
              </w:rPr>
              <w:t>出口温度</w:t>
            </w:r>
          </w:p>
          <w:p w14:paraId="55CA0EB6">
            <w:pPr>
              <w:pStyle w:val="133"/>
              <w:rPr>
                <w:b/>
                <w:bCs/>
              </w:rPr>
            </w:pPr>
            <w:r>
              <w:rPr>
                <w:b/>
                <w:bCs/>
              </w:rPr>
              <w:t>（℃）</w:t>
            </w:r>
          </w:p>
        </w:tc>
        <w:tc>
          <w:tcPr>
            <w:tcW w:w="689" w:type="pct"/>
            <w:vAlign w:val="center"/>
          </w:tcPr>
          <w:p w14:paraId="43A3344F">
            <w:pPr>
              <w:pStyle w:val="133"/>
              <w:rPr>
                <w:b/>
                <w:bCs/>
              </w:rPr>
            </w:pPr>
            <w:r>
              <w:rPr>
                <w:b/>
                <w:bCs/>
              </w:rPr>
              <w:t>名称</w:t>
            </w:r>
          </w:p>
        </w:tc>
        <w:tc>
          <w:tcPr>
            <w:tcW w:w="689" w:type="pct"/>
            <w:vAlign w:val="center"/>
          </w:tcPr>
          <w:p w14:paraId="671A8C85">
            <w:pPr>
              <w:pStyle w:val="133"/>
              <w:rPr>
                <w:b/>
                <w:bCs/>
              </w:rPr>
            </w:pPr>
            <w:r>
              <w:rPr>
                <w:b/>
                <w:bCs/>
              </w:rPr>
              <w:t>排放浓度</w:t>
            </w:r>
          </w:p>
          <w:p w14:paraId="008DB1A6">
            <w:pPr>
              <w:pStyle w:val="133"/>
              <w:rPr>
                <w:b/>
                <w:bCs/>
              </w:rPr>
            </w:pPr>
            <w:r>
              <w:rPr>
                <w:b/>
                <w:bCs/>
              </w:rPr>
              <w:t>（mg/</w:t>
            </w:r>
            <w:r>
              <w:rPr>
                <w:rFonts w:hint="eastAsia"/>
                <w:b/>
                <w:bCs/>
              </w:rPr>
              <w:t>m³</w:t>
            </w:r>
            <w:r>
              <w:rPr>
                <w:b/>
                <w:bCs/>
              </w:rPr>
              <w:t>）</w:t>
            </w:r>
          </w:p>
        </w:tc>
        <w:tc>
          <w:tcPr>
            <w:tcW w:w="688" w:type="pct"/>
            <w:vAlign w:val="center"/>
          </w:tcPr>
          <w:p w14:paraId="56E4CCEC">
            <w:pPr>
              <w:pStyle w:val="133"/>
              <w:rPr>
                <w:b/>
                <w:bCs/>
              </w:rPr>
            </w:pPr>
            <w:r>
              <w:rPr>
                <w:b/>
                <w:bCs/>
              </w:rPr>
              <w:t>排放速率</w:t>
            </w:r>
          </w:p>
          <w:p w14:paraId="22966C9A">
            <w:pPr>
              <w:pStyle w:val="133"/>
              <w:rPr>
                <w:b/>
                <w:bCs/>
              </w:rPr>
            </w:pPr>
            <w:r>
              <w:rPr>
                <w:b/>
                <w:bCs/>
              </w:rPr>
              <w:t>（kg/h）</w:t>
            </w:r>
          </w:p>
        </w:tc>
      </w:tr>
      <w:tr w14:paraId="1CB0C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restart"/>
            <w:vAlign w:val="center"/>
          </w:tcPr>
          <w:p w14:paraId="14D2A5FD">
            <w:pPr>
              <w:pStyle w:val="133"/>
            </w:pPr>
            <w:r>
              <w:rPr>
                <w:rFonts w:hint="eastAsia"/>
              </w:rPr>
              <w:t>1#放散口</w:t>
            </w:r>
          </w:p>
        </w:tc>
        <w:tc>
          <w:tcPr>
            <w:tcW w:w="519" w:type="pct"/>
            <w:vMerge w:val="restart"/>
            <w:vAlign w:val="center"/>
          </w:tcPr>
          <w:p w14:paraId="7036A277">
            <w:pPr>
              <w:pStyle w:val="133"/>
            </w:pPr>
            <w:bookmarkStart w:id="332" w:name="OLE_LINK43"/>
            <w:r>
              <w:rPr>
                <w:rFonts w:hint="eastAsia"/>
              </w:rPr>
              <w:t>152727</w:t>
            </w:r>
            <w:bookmarkEnd w:id="332"/>
          </w:p>
        </w:tc>
        <w:tc>
          <w:tcPr>
            <w:tcW w:w="348" w:type="pct"/>
            <w:vMerge w:val="restart"/>
            <w:vAlign w:val="center"/>
          </w:tcPr>
          <w:p w14:paraId="7B039AF9">
            <w:pPr>
              <w:pStyle w:val="133"/>
            </w:pPr>
            <w:r>
              <w:rPr>
                <w:rFonts w:hint="eastAsia"/>
              </w:rPr>
              <w:t>30</w:t>
            </w:r>
          </w:p>
        </w:tc>
        <w:tc>
          <w:tcPr>
            <w:tcW w:w="689" w:type="pct"/>
            <w:vMerge w:val="restart"/>
            <w:vAlign w:val="center"/>
          </w:tcPr>
          <w:p w14:paraId="545D4A73">
            <w:pPr>
              <w:pStyle w:val="133"/>
            </w:pPr>
            <w:r>
              <w:rPr>
                <w:rFonts w:hint="eastAsia"/>
              </w:rPr>
              <w:t>0.9</w:t>
            </w:r>
          </w:p>
        </w:tc>
        <w:tc>
          <w:tcPr>
            <w:tcW w:w="689" w:type="pct"/>
            <w:vMerge w:val="restart"/>
            <w:vAlign w:val="center"/>
          </w:tcPr>
          <w:p w14:paraId="19FE11B2">
            <w:pPr>
              <w:pStyle w:val="133"/>
            </w:pPr>
            <w:r>
              <w:rPr>
                <w:rFonts w:hint="eastAsia"/>
              </w:rPr>
              <w:t>700</w:t>
            </w:r>
          </w:p>
        </w:tc>
        <w:tc>
          <w:tcPr>
            <w:tcW w:w="689" w:type="pct"/>
            <w:vAlign w:val="center"/>
          </w:tcPr>
          <w:p w14:paraId="42F98D11">
            <w:pPr>
              <w:pStyle w:val="133"/>
            </w:pPr>
            <w:r>
              <w:rPr>
                <w:rFonts w:hint="eastAsia"/>
              </w:rPr>
              <w:t>颗粒物</w:t>
            </w:r>
          </w:p>
        </w:tc>
        <w:tc>
          <w:tcPr>
            <w:tcW w:w="689" w:type="pct"/>
            <w:vAlign w:val="center"/>
          </w:tcPr>
          <w:p w14:paraId="7AA58FE0">
            <w:pPr>
              <w:pStyle w:val="133"/>
            </w:pPr>
            <w:r>
              <w:rPr>
                <w:rFonts w:hint="eastAsia"/>
              </w:rPr>
              <w:t>59</w:t>
            </w:r>
          </w:p>
        </w:tc>
        <w:tc>
          <w:tcPr>
            <w:tcW w:w="688" w:type="pct"/>
            <w:vAlign w:val="center"/>
          </w:tcPr>
          <w:p w14:paraId="3C8D8840">
            <w:pPr>
              <w:pStyle w:val="133"/>
            </w:pPr>
            <w:r>
              <w:rPr>
                <w:rFonts w:hint="eastAsia"/>
              </w:rPr>
              <w:t>8.95</w:t>
            </w:r>
          </w:p>
        </w:tc>
      </w:tr>
      <w:tr w14:paraId="6163F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continue"/>
            <w:vAlign w:val="center"/>
          </w:tcPr>
          <w:p w14:paraId="45B92DB8">
            <w:pPr>
              <w:pStyle w:val="133"/>
            </w:pPr>
          </w:p>
        </w:tc>
        <w:tc>
          <w:tcPr>
            <w:tcW w:w="519" w:type="pct"/>
            <w:vMerge w:val="continue"/>
            <w:vAlign w:val="center"/>
          </w:tcPr>
          <w:p w14:paraId="6C1BCC6D">
            <w:pPr>
              <w:pStyle w:val="133"/>
            </w:pPr>
          </w:p>
        </w:tc>
        <w:tc>
          <w:tcPr>
            <w:tcW w:w="348" w:type="pct"/>
            <w:vMerge w:val="continue"/>
            <w:vAlign w:val="center"/>
          </w:tcPr>
          <w:p w14:paraId="017E509C">
            <w:pPr>
              <w:pStyle w:val="133"/>
            </w:pPr>
          </w:p>
        </w:tc>
        <w:tc>
          <w:tcPr>
            <w:tcW w:w="689" w:type="pct"/>
            <w:vMerge w:val="continue"/>
            <w:vAlign w:val="center"/>
          </w:tcPr>
          <w:p w14:paraId="65E7306F">
            <w:pPr>
              <w:pStyle w:val="133"/>
            </w:pPr>
          </w:p>
        </w:tc>
        <w:tc>
          <w:tcPr>
            <w:tcW w:w="689" w:type="pct"/>
            <w:vMerge w:val="continue"/>
            <w:vAlign w:val="center"/>
          </w:tcPr>
          <w:p w14:paraId="713A0244">
            <w:pPr>
              <w:pStyle w:val="133"/>
            </w:pPr>
          </w:p>
        </w:tc>
        <w:tc>
          <w:tcPr>
            <w:tcW w:w="689" w:type="pct"/>
            <w:vAlign w:val="center"/>
          </w:tcPr>
          <w:p w14:paraId="5975DE3E">
            <w:pPr>
              <w:pStyle w:val="133"/>
            </w:pPr>
            <w:r>
              <w:rPr>
                <w:rFonts w:hint="eastAsia"/>
              </w:rPr>
              <w:t>二氧化硫</w:t>
            </w:r>
          </w:p>
        </w:tc>
        <w:tc>
          <w:tcPr>
            <w:tcW w:w="689" w:type="pct"/>
            <w:vAlign w:val="center"/>
          </w:tcPr>
          <w:p w14:paraId="19DBCDF6">
            <w:pPr>
              <w:pStyle w:val="133"/>
            </w:pPr>
            <w:r>
              <w:rPr>
                <w:rFonts w:hint="eastAsia"/>
              </w:rPr>
              <w:t>309</w:t>
            </w:r>
          </w:p>
        </w:tc>
        <w:tc>
          <w:tcPr>
            <w:tcW w:w="688" w:type="pct"/>
            <w:vAlign w:val="center"/>
          </w:tcPr>
          <w:p w14:paraId="20791D40">
            <w:pPr>
              <w:pStyle w:val="133"/>
            </w:pPr>
            <w:r>
              <w:rPr>
                <w:rFonts w:hint="eastAsia"/>
              </w:rPr>
              <w:t>47.14</w:t>
            </w:r>
          </w:p>
        </w:tc>
      </w:tr>
      <w:tr w14:paraId="02744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continue"/>
            <w:vAlign w:val="center"/>
          </w:tcPr>
          <w:p w14:paraId="5286E126">
            <w:pPr>
              <w:pStyle w:val="133"/>
            </w:pPr>
          </w:p>
        </w:tc>
        <w:tc>
          <w:tcPr>
            <w:tcW w:w="519" w:type="pct"/>
            <w:vMerge w:val="continue"/>
            <w:vAlign w:val="center"/>
          </w:tcPr>
          <w:p w14:paraId="1B785157">
            <w:pPr>
              <w:pStyle w:val="133"/>
            </w:pPr>
          </w:p>
        </w:tc>
        <w:tc>
          <w:tcPr>
            <w:tcW w:w="348" w:type="pct"/>
            <w:vMerge w:val="continue"/>
            <w:vAlign w:val="center"/>
          </w:tcPr>
          <w:p w14:paraId="71D5249C">
            <w:pPr>
              <w:pStyle w:val="133"/>
            </w:pPr>
          </w:p>
        </w:tc>
        <w:tc>
          <w:tcPr>
            <w:tcW w:w="689" w:type="pct"/>
            <w:vMerge w:val="continue"/>
            <w:vAlign w:val="center"/>
          </w:tcPr>
          <w:p w14:paraId="18EA62BF">
            <w:pPr>
              <w:pStyle w:val="133"/>
            </w:pPr>
          </w:p>
        </w:tc>
        <w:tc>
          <w:tcPr>
            <w:tcW w:w="689" w:type="pct"/>
            <w:vMerge w:val="continue"/>
            <w:vAlign w:val="center"/>
          </w:tcPr>
          <w:p w14:paraId="72DAE66A">
            <w:pPr>
              <w:pStyle w:val="133"/>
            </w:pPr>
          </w:p>
        </w:tc>
        <w:tc>
          <w:tcPr>
            <w:tcW w:w="689" w:type="pct"/>
            <w:vAlign w:val="center"/>
          </w:tcPr>
          <w:p w14:paraId="52C67714">
            <w:pPr>
              <w:pStyle w:val="133"/>
            </w:pPr>
            <w:r>
              <w:rPr>
                <w:rFonts w:hint="eastAsia"/>
              </w:rPr>
              <w:t>氮氧化物</w:t>
            </w:r>
          </w:p>
        </w:tc>
        <w:tc>
          <w:tcPr>
            <w:tcW w:w="689" w:type="pct"/>
            <w:vAlign w:val="center"/>
          </w:tcPr>
          <w:p w14:paraId="22D31CCC">
            <w:pPr>
              <w:pStyle w:val="133"/>
            </w:pPr>
            <w:r>
              <w:rPr>
                <w:rFonts w:hint="eastAsia"/>
              </w:rPr>
              <w:t>347</w:t>
            </w:r>
          </w:p>
        </w:tc>
        <w:tc>
          <w:tcPr>
            <w:tcW w:w="688" w:type="pct"/>
            <w:vAlign w:val="center"/>
          </w:tcPr>
          <w:p w14:paraId="1804927B">
            <w:pPr>
              <w:pStyle w:val="133"/>
            </w:pPr>
            <w:r>
              <w:rPr>
                <w:rFonts w:hint="eastAsia"/>
              </w:rPr>
              <w:t>53.02</w:t>
            </w:r>
          </w:p>
        </w:tc>
      </w:tr>
      <w:tr w14:paraId="48D428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restart"/>
            <w:vAlign w:val="center"/>
          </w:tcPr>
          <w:p w14:paraId="40D70FA6">
            <w:pPr>
              <w:pStyle w:val="133"/>
            </w:pPr>
            <w:r>
              <w:rPr>
                <w:rFonts w:hint="eastAsia"/>
              </w:rPr>
              <w:t>2#放散口</w:t>
            </w:r>
          </w:p>
        </w:tc>
        <w:tc>
          <w:tcPr>
            <w:tcW w:w="519" w:type="pct"/>
            <w:vMerge w:val="restart"/>
            <w:vAlign w:val="center"/>
          </w:tcPr>
          <w:p w14:paraId="15802C8D">
            <w:pPr>
              <w:pStyle w:val="133"/>
            </w:pPr>
            <w:r>
              <w:rPr>
                <w:rFonts w:hint="eastAsia"/>
              </w:rPr>
              <w:t>152727</w:t>
            </w:r>
          </w:p>
        </w:tc>
        <w:tc>
          <w:tcPr>
            <w:tcW w:w="348" w:type="pct"/>
            <w:vMerge w:val="restart"/>
            <w:vAlign w:val="center"/>
          </w:tcPr>
          <w:p w14:paraId="7139CE26">
            <w:pPr>
              <w:pStyle w:val="133"/>
            </w:pPr>
            <w:r>
              <w:rPr>
                <w:rFonts w:hint="eastAsia"/>
              </w:rPr>
              <w:t>50</w:t>
            </w:r>
          </w:p>
        </w:tc>
        <w:tc>
          <w:tcPr>
            <w:tcW w:w="689" w:type="pct"/>
            <w:vMerge w:val="restart"/>
            <w:vAlign w:val="center"/>
          </w:tcPr>
          <w:p w14:paraId="51A67918">
            <w:pPr>
              <w:pStyle w:val="133"/>
            </w:pPr>
            <w:r>
              <w:rPr>
                <w:rFonts w:hint="eastAsia"/>
              </w:rPr>
              <w:t>1.8</w:t>
            </w:r>
          </w:p>
        </w:tc>
        <w:tc>
          <w:tcPr>
            <w:tcW w:w="689" w:type="pct"/>
            <w:vMerge w:val="restart"/>
            <w:vAlign w:val="center"/>
          </w:tcPr>
          <w:p w14:paraId="7A808022">
            <w:pPr>
              <w:pStyle w:val="133"/>
            </w:pPr>
            <w:r>
              <w:rPr>
                <w:rFonts w:hint="eastAsia"/>
              </w:rPr>
              <w:t>700</w:t>
            </w:r>
          </w:p>
        </w:tc>
        <w:tc>
          <w:tcPr>
            <w:tcW w:w="689" w:type="pct"/>
            <w:vAlign w:val="center"/>
          </w:tcPr>
          <w:p w14:paraId="2EC08034">
            <w:pPr>
              <w:pStyle w:val="133"/>
            </w:pPr>
            <w:r>
              <w:rPr>
                <w:rFonts w:hint="eastAsia"/>
              </w:rPr>
              <w:t>颗粒物</w:t>
            </w:r>
          </w:p>
        </w:tc>
        <w:tc>
          <w:tcPr>
            <w:tcW w:w="689" w:type="pct"/>
            <w:vAlign w:val="center"/>
          </w:tcPr>
          <w:p w14:paraId="2A031B71">
            <w:pPr>
              <w:pStyle w:val="133"/>
            </w:pPr>
            <w:r>
              <w:rPr>
                <w:rFonts w:hint="eastAsia"/>
              </w:rPr>
              <w:t>59</w:t>
            </w:r>
          </w:p>
        </w:tc>
        <w:tc>
          <w:tcPr>
            <w:tcW w:w="688" w:type="pct"/>
            <w:vAlign w:val="center"/>
          </w:tcPr>
          <w:p w14:paraId="54407BA4">
            <w:pPr>
              <w:pStyle w:val="133"/>
            </w:pPr>
            <w:r>
              <w:rPr>
                <w:rFonts w:hint="eastAsia"/>
              </w:rPr>
              <w:t>8.95</w:t>
            </w:r>
          </w:p>
        </w:tc>
      </w:tr>
      <w:tr w14:paraId="43812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continue"/>
            <w:vAlign w:val="center"/>
          </w:tcPr>
          <w:p w14:paraId="0E19321D">
            <w:pPr>
              <w:pStyle w:val="133"/>
            </w:pPr>
          </w:p>
        </w:tc>
        <w:tc>
          <w:tcPr>
            <w:tcW w:w="519" w:type="pct"/>
            <w:vMerge w:val="continue"/>
            <w:vAlign w:val="center"/>
          </w:tcPr>
          <w:p w14:paraId="77A4369B">
            <w:pPr>
              <w:pStyle w:val="133"/>
            </w:pPr>
          </w:p>
        </w:tc>
        <w:tc>
          <w:tcPr>
            <w:tcW w:w="348" w:type="pct"/>
            <w:vMerge w:val="continue"/>
            <w:vAlign w:val="center"/>
          </w:tcPr>
          <w:p w14:paraId="71CFE1B9">
            <w:pPr>
              <w:pStyle w:val="133"/>
            </w:pPr>
          </w:p>
        </w:tc>
        <w:tc>
          <w:tcPr>
            <w:tcW w:w="689" w:type="pct"/>
            <w:vMerge w:val="continue"/>
            <w:vAlign w:val="center"/>
          </w:tcPr>
          <w:p w14:paraId="4F137B81">
            <w:pPr>
              <w:pStyle w:val="133"/>
            </w:pPr>
          </w:p>
        </w:tc>
        <w:tc>
          <w:tcPr>
            <w:tcW w:w="689" w:type="pct"/>
            <w:vMerge w:val="continue"/>
            <w:vAlign w:val="center"/>
          </w:tcPr>
          <w:p w14:paraId="3975E319">
            <w:pPr>
              <w:pStyle w:val="133"/>
            </w:pPr>
          </w:p>
        </w:tc>
        <w:tc>
          <w:tcPr>
            <w:tcW w:w="689" w:type="pct"/>
            <w:vAlign w:val="center"/>
          </w:tcPr>
          <w:p w14:paraId="7A960ABF">
            <w:pPr>
              <w:pStyle w:val="133"/>
            </w:pPr>
            <w:r>
              <w:rPr>
                <w:rFonts w:hint="eastAsia"/>
              </w:rPr>
              <w:t>二氧化硫</w:t>
            </w:r>
          </w:p>
        </w:tc>
        <w:tc>
          <w:tcPr>
            <w:tcW w:w="689" w:type="pct"/>
            <w:vAlign w:val="center"/>
          </w:tcPr>
          <w:p w14:paraId="69274B54">
            <w:pPr>
              <w:pStyle w:val="133"/>
            </w:pPr>
            <w:r>
              <w:rPr>
                <w:rFonts w:hint="eastAsia"/>
              </w:rPr>
              <w:t>309</w:t>
            </w:r>
          </w:p>
        </w:tc>
        <w:tc>
          <w:tcPr>
            <w:tcW w:w="688" w:type="pct"/>
            <w:vAlign w:val="center"/>
          </w:tcPr>
          <w:p w14:paraId="2381BECB">
            <w:pPr>
              <w:pStyle w:val="133"/>
            </w:pPr>
            <w:r>
              <w:rPr>
                <w:rFonts w:hint="eastAsia"/>
              </w:rPr>
              <w:t>47.14</w:t>
            </w:r>
          </w:p>
        </w:tc>
      </w:tr>
      <w:tr w14:paraId="3CA417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continue"/>
            <w:vAlign w:val="center"/>
          </w:tcPr>
          <w:p w14:paraId="4DAB9FCD">
            <w:pPr>
              <w:pStyle w:val="133"/>
            </w:pPr>
          </w:p>
        </w:tc>
        <w:tc>
          <w:tcPr>
            <w:tcW w:w="519" w:type="pct"/>
            <w:vMerge w:val="continue"/>
            <w:vAlign w:val="center"/>
          </w:tcPr>
          <w:p w14:paraId="4C1E4A26">
            <w:pPr>
              <w:pStyle w:val="133"/>
            </w:pPr>
          </w:p>
        </w:tc>
        <w:tc>
          <w:tcPr>
            <w:tcW w:w="348" w:type="pct"/>
            <w:vMerge w:val="continue"/>
            <w:vAlign w:val="center"/>
          </w:tcPr>
          <w:p w14:paraId="410F6301">
            <w:pPr>
              <w:pStyle w:val="133"/>
            </w:pPr>
          </w:p>
        </w:tc>
        <w:tc>
          <w:tcPr>
            <w:tcW w:w="689" w:type="pct"/>
            <w:vMerge w:val="continue"/>
            <w:vAlign w:val="center"/>
          </w:tcPr>
          <w:p w14:paraId="0655F6FB">
            <w:pPr>
              <w:pStyle w:val="133"/>
            </w:pPr>
          </w:p>
        </w:tc>
        <w:tc>
          <w:tcPr>
            <w:tcW w:w="689" w:type="pct"/>
            <w:vMerge w:val="continue"/>
            <w:vAlign w:val="center"/>
          </w:tcPr>
          <w:p w14:paraId="2AF0B7F4">
            <w:pPr>
              <w:pStyle w:val="133"/>
            </w:pPr>
          </w:p>
        </w:tc>
        <w:tc>
          <w:tcPr>
            <w:tcW w:w="689" w:type="pct"/>
            <w:vAlign w:val="center"/>
          </w:tcPr>
          <w:p w14:paraId="6FCDCB07">
            <w:pPr>
              <w:pStyle w:val="133"/>
            </w:pPr>
            <w:r>
              <w:rPr>
                <w:rFonts w:hint="eastAsia"/>
              </w:rPr>
              <w:t>氮氧化物</w:t>
            </w:r>
          </w:p>
        </w:tc>
        <w:tc>
          <w:tcPr>
            <w:tcW w:w="689" w:type="pct"/>
            <w:vAlign w:val="center"/>
          </w:tcPr>
          <w:p w14:paraId="44F2BF02">
            <w:pPr>
              <w:pStyle w:val="133"/>
            </w:pPr>
            <w:r>
              <w:rPr>
                <w:rFonts w:hint="eastAsia"/>
              </w:rPr>
              <w:t>347</w:t>
            </w:r>
          </w:p>
        </w:tc>
        <w:tc>
          <w:tcPr>
            <w:tcW w:w="688" w:type="pct"/>
            <w:vAlign w:val="center"/>
          </w:tcPr>
          <w:p w14:paraId="2F96861F">
            <w:pPr>
              <w:pStyle w:val="133"/>
            </w:pPr>
            <w:r>
              <w:rPr>
                <w:rFonts w:hint="eastAsia"/>
              </w:rPr>
              <w:t>53.02</w:t>
            </w:r>
          </w:p>
        </w:tc>
      </w:tr>
      <w:tr w14:paraId="5504F6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restart"/>
            <w:vAlign w:val="center"/>
          </w:tcPr>
          <w:p w14:paraId="7E1E95BF">
            <w:pPr>
              <w:pStyle w:val="133"/>
            </w:pPr>
            <w:r>
              <w:rPr>
                <w:rFonts w:hint="eastAsia"/>
              </w:rPr>
              <w:t>3#放散口</w:t>
            </w:r>
          </w:p>
        </w:tc>
        <w:tc>
          <w:tcPr>
            <w:tcW w:w="519" w:type="pct"/>
            <w:vMerge w:val="restart"/>
            <w:vAlign w:val="center"/>
          </w:tcPr>
          <w:p w14:paraId="7663CA1A">
            <w:pPr>
              <w:pStyle w:val="133"/>
            </w:pPr>
            <w:r>
              <w:rPr>
                <w:rFonts w:hint="eastAsia"/>
              </w:rPr>
              <w:t>152727</w:t>
            </w:r>
          </w:p>
        </w:tc>
        <w:tc>
          <w:tcPr>
            <w:tcW w:w="348" w:type="pct"/>
            <w:vMerge w:val="restart"/>
            <w:vAlign w:val="center"/>
          </w:tcPr>
          <w:p w14:paraId="6D4D4240">
            <w:pPr>
              <w:pStyle w:val="133"/>
            </w:pPr>
            <w:r>
              <w:rPr>
                <w:rFonts w:hint="eastAsia"/>
              </w:rPr>
              <w:t>50</w:t>
            </w:r>
          </w:p>
        </w:tc>
        <w:tc>
          <w:tcPr>
            <w:tcW w:w="689" w:type="pct"/>
            <w:vMerge w:val="restart"/>
            <w:vAlign w:val="center"/>
          </w:tcPr>
          <w:p w14:paraId="47F3865D">
            <w:pPr>
              <w:pStyle w:val="133"/>
            </w:pPr>
            <w:r>
              <w:rPr>
                <w:rFonts w:hint="eastAsia"/>
              </w:rPr>
              <w:t>1.8</w:t>
            </w:r>
          </w:p>
        </w:tc>
        <w:tc>
          <w:tcPr>
            <w:tcW w:w="689" w:type="pct"/>
            <w:vMerge w:val="restart"/>
            <w:vAlign w:val="center"/>
          </w:tcPr>
          <w:p w14:paraId="64767407">
            <w:pPr>
              <w:pStyle w:val="133"/>
            </w:pPr>
            <w:r>
              <w:rPr>
                <w:rFonts w:hint="eastAsia"/>
              </w:rPr>
              <w:t>700</w:t>
            </w:r>
          </w:p>
        </w:tc>
        <w:tc>
          <w:tcPr>
            <w:tcW w:w="689" w:type="pct"/>
            <w:vAlign w:val="center"/>
          </w:tcPr>
          <w:p w14:paraId="2F4E0D01">
            <w:pPr>
              <w:pStyle w:val="133"/>
            </w:pPr>
            <w:r>
              <w:rPr>
                <w:rFonts w:hint="eastAsia"/>
              </w:rPr>
              <w:t>颗粒物</w:t>
            </w:r>
          </w:p>
        </w:tc>
        <w:tc>
          <w:tcPr>
            <w:tcW w:w="689" w:type="pct"/>
            <w:vAlign w:val="center"/>
          </w:tcPr>
          <w:p w14:paraId="6055BEBF">
            <w:pPr>
              <w:pStyle w:val="133"/>
            </w:pPr>
            <w:r>
              <w:rPr>
                <w:rFonts w:hint="eastAsia"/>
              </w:rPr>
              <w:t>59</w:t>
            </w:r>
          </w:p>
        </w:tc>
        <w:tc>
          <w:tcPr>
            <w:tcW w:w="688" w:type="pct"/>
            <w:vAlign w:val="center"/>
          </w:tcPr>
          <w:p w14:paraId="548387FE">
            <w:pPr>
              <w:pStyle w:val="133"/>
            </w:pPr>
            <w:r>
              <w:rPr>
                <w:rFonts w:hint="eastAsia"/>
              </w:rPr>
              <w:t>8.95</w:t>
            </w:r>
          </w:p>
        </w:tc>
      </w:tr>
      <w:tr w14:paraId="49D6D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continue"/>
            <w:vAlign w:val="center"/>
          </w:tcPr>
          <w:p w14:paraId="3A75A89F">
            <w:pPr>
              <w:pStyle w:val="133"/>
            </w:pPr>
          </w:p>
        </w:tc>
        <w:tc>
          <w:tcPr>
            <w:tcW w:w="519" w:type="pct"/>
            <w:vMerge w:val="continue"/>
            <w:vAlign w:val="center"/>
          </w:tcPr>
          <w:p w14:paraId="4ED2AF75">
            <w:pPr>
              <w:pStyle w:val="133"/>
            </w:pPr>
          </w:p>
        </w:tc>
        <w:tc>
          <w:tcPr>
            <w:tcW w:w="348" w:type="pct"/>
            <w:vMerge w:val="continue"/>
            <w:vAlign w:val="center"/>
          </w:tcPr>
          <w:p w14:paraId="03A1F13A">
            <w:pPr>
              <w:pStyle w:val="133"/>
            </w:pPr>
          </w:p>
        </w:tc>
        <w:tc>
          <w:tcPr>
            <w:tcW w:w="689" w:type="pct"/>
            <w:vMerge w:val="continue"/>
            <w:vAlign w:val="center"/>
          </w:tcPr>
          <w:p w14:paraId="76AFE9C0">
            <w:pPr>
              <w:pStyle w:val="133"/>
            </w:pPr>
          </w:p>
        </w:tc>
        <w:tc>
          <w:tcPr>
            <w:tcW w:w="689" w:type="pct"/>
            <w:vMerge w:val="continue"/>
            <w:vAlign w:val="center"/>
          </w:tcPr>
          <w:p w14:paraId="55A766FB">
            <w:pPr>
              <w:pStyle w:val="133"/>
            </w:pPr>
          </w:p>
        </w:tc>
        <w:tc>
          <w:tcPr>
            <w:tcW w:w="689" w:type="pct"/>
            <w:vAlign w:val="center"/>
          </w:tcPr>
          <w:p w14:paraId="12268B52">
            <w:pPr>
              <w:pStyle w:val="133"/>
            </w:pPr>
            <w:r>
              <w:rPr>
                <w:rFonts w:hint="eastAsia"/>
              </w:rPr>
              <w:t>二氧化硫</w:t>
            </w:r>
          </w:p>
        </w:tc>
        <w:tc>
          <w:tcPr>
            <w:tcW w:w="689" w:type="pct"/>
            <w:vAlign w:val="center"/>
          </w:tcPr>
          <w:p w14:paraId="6BBB7DFC">
            <w:pPr>
              <w:pStyle w:val="133"/>
            </w:pPr>
            <w:r>
              <w:rPr>
                <w:rFonts w:hint="eastAsia"/>
              </w:rPr>
              <w:t>309</w:t>
            </w:r>
          </w:p>
        </w:tc>
        <w:tc>
          <w:tcPr>
            <w:tcW w:w="688" w:type="pct"/>
            <w:vAlign w:val="center"/>
          </w:tcPr>
          <w:p w14:paraId="12DD2B67">
            <w:pPr>
              <w:pStyle w:val="133"/>
            </w:pPr>
            <w:r>
              <w:rPr>
                <w:rFonts w:hint="eastAsia"/>
              </w:rPr>
              <w:t>47.14</w:t>
            </w:r>
          </w:p>
        </w:tc>
      </w:tr>
      <w:tr w14:paraId="3F1A2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9" w:type="pct"/>
            <w:vMerge w:val="continue"/>
            <w:vAlign w:val="center"/>
          </w:tcPr>
          <w:p w14:paraId="51D5DD76">
            <w:pPr>
              <w:pStyle w:val="133"/>
            </w:pPr>
          </w:p>
        </w:tc>
        <w:tc>
          <w:tcPr>
            <w:tcW w:w="519" w:type="pct"/>
            <w:vMerge w:val="continue"/>
            <w:vAlign w:val="center"/>
          </w:tcPr>
          <w:p w14:paraId="149DE198">
            <w:pPr>
              <w:pStyle w:val="133"/>
            </w:pPr>
          </w:p>
        </w:tc>
        <w:tc>
          <w:tcPr>
            <w:tcW w:w="348" w:type="pct"/>
            <w:vMerge w:val="continue"/>
            <w:vAlign w:val="center"/>
          </w:tcPr>
          <w:p w14:paraId="07E44303">
            <w:pPr>
              <w:pStyle w:val="133"/>
            </w:pPr>
          </w:p>
        </w:tc>
        <w:tc>
          <w:tcPr>
            <w:tcW w:w="689" w:type="pct"/>
            <w:vMerge w:val="continue"/>
            <w:vAlign w:val="center"/>
          </w:tcPr>
          <w:p w14:paraId="5AEB85CE">
            <w:pPr>
              <w:pStyle w:val="133"/>
            </w:pPr>
          </w:p>
        </w:tc>
        <w:tc>
          <w:tcPr>
            <w:tcW w:w="689" w:type="pct"/>
            <w:vMerge w:val="continue"/>
            <w:vAlign w:val="center"/>
          </w:tcPr>
          <w:p w14:paraId="18792720">
            <w:pPr>
              <w:pStyle w:val="133"/>
            </w:pPr>
          </w:p>
        </w:tc>
        <w:tc>
          <w:tcPr>
            <w:tcW w:w="689" w:type="pct"/>
            <w:vAlign w:val="center"/>
          </w:tcPr>
          <w:p w14:paraId="7ADEB0B1">
            <w:pPr>
              <w:pStyle w:val="133"/>
            </w:pPr>
            <w:r>
              <w:rPr>
                <w:rFonts w:hint="eastAsia"/>
              </w:rPr>
              <w:t>氮氧化物</w:t>
            </w:r>
          </w:p>
        </w:tc>
        <w:tc>
          <w:tcPr>
            <w:tcW w:w="689" w:type="pct"/>
            <w:vAlign w:val="center"/>
          </w:tcPr>
          <w:p w14:paraId="4C2D6DBC">
            <w:pPr>
              <w:pStyle w:val="133"/>
            </w:pPr>
            <w:r>
              <w:rPr>
                <w:rFonts w:hint="eastAsia"/>
              </w:rPr>
              <w:t>347</w:t>
            </w:r>
          </w:p>
        </w:tc>
        <w:tc>
          <w:tcPr>
            <w:tcW w:w="688" w:type="pct"/>
            <w:vAlign w:val="center"/>
          </w:tcPr>
          <w:p w14:paraId="05D7B3D2">
            <w:pPr>
              <w:pStyle w:val="133"/>
            </w:pPr>
            <w:r>
              <w:rPr>
                <w:rFonts w:hint="eastAsia"/>
              </w:rPr>
              <w:t>53.02</w:t>
            </w:r>
          </w:p>
        </w:tc>
      </w:tr>
    </w:tbl>
    <w:p w14:paraId="6AA4802D">
      <w:pPr>
        <w:pStyle w:val="133"/>
      </w:pPr>
    </w:p>
    <w:p w14:paraId="43D6273F">
      <w:pPr>
        <w:pStyle w:val="5"/>
      </w:pPr>
      <w:bookmarkStart w:id="333" w:name="_Toc175154655"/>
      <w:bookmarkStart w:id="334" w:name="_Toc175155738"/>
      <w:r>
        <w:rPr>
          <w:rFonts w:hint="eastAsia"/>
        </w:rPr>
        <w:t>污染物</w:t>
      </w:r>
      <w:bookmarkEnd w:id="333"/>
      <w:bookmarkEnd w:id="334"/>
      <w:r>
        <w:rPr>
          <w:rFonts w:hint="eastAsia"/>
        </w:rPr>
        <w:t>产排分析汇总</w:t>
      </w:r>
    </w:p>
    <w:p w14:paraId="09AC811E">
      <w:pPr>
        <w:ind w:firstLine="480"/>
      </w:pPr>
      <w:r>
        <w:rPr>
          <w:rFonts w:hint="eastAsia"/>
        </w:rPr>
        <w:t>（1）兰炭生产线污染物产排分析</w:t>
      </w:r>
    </w:p>
    <w:p w14:paraId="39E21E96">
      <w:pPr>
        <w:ind w:firstLine="480"/>
      </w:pPr>
      <w:bookmarkStart w:id="335" w:name="_Hlk158135465"/>
      <w:r>
        <w:rPr>
          <w:rFonts w:hint="eastAsia"/>
        </w:rPr>
        <w:t>技改项目</w:t>
      </w:r>
      <w:r>
        <w:t>污染物排放统计</w:t>
      </w:r>
      <w:r>
        <w:rPr>
          <w:rFonts w:hint="eastAsia"/>
        </w:rPr>
        <w:t>，</w:t>
      </w:r>
      <w:r>
        <w:t>见表</w:t>
      </w:r>
      <w:r>
        <w:rPr>
          <w:rFonts w:hint="eastAsia"/>
        </w:rPr>
        <w:t>3.3-34</w:t>
      </w:r>
      <w:r>
        <w:t>。</w:t>
      </w:r>
    </w:p>
    <w:p w14:paraId="32BC2D4B">
      <w:pPr>
        <w:pStyle w:val="118"/>
      </w:pPr>
      <w:r>
        <w:t>表</w:t>
      </w:r>
      <w:r>
        <w:rPr>
          <w:rFonts w:hint="eastAsia"/>
        </w:rPr>
        <w:t>3.3-34  兰炭生产线</w:t>
      </w:r>
      <w:r>
        <w:t>污染物排放统计表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8"/>
        <w:gridCol w:w="1283"/>
        <w:gridCol w:w="1917"/>
        <w:gridCol w:w="943"/>
        <w:gridCol w:w="1164"/>
        <w:gridCol w:w="943"/>
        <w:gridCol w:w="1164"/>
      </w:tblGrid>
      <w:tr w14:paraId="74F47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blHeader/>
        </w:trPr>
        <w:tc>
          <w:tcPr>
            <w:tcW w:w="2528" w:type="pct"/>
            <w:gridSpan w:val="3"/>
            <w:vAlign w:val="center"/>
          </w:tcPr>
          <w:p w14:paraId="7822770D">
            <w:pPr>
              <w:widowControl/>
              <w:spacing w:line="240" w:lineRule="auto"/>
              <w:ind w:firstLine="0" w:firstLineChars="0"/>
              <w:jc w:val="center"/>
              <w:rPr>
                <w:rFonts w:hint="eastAsia" w:ascii="宋体" w:hAnsi="宋体" w:cs="宋体"/>
                <w:b/>
                <w:bCs/>
                <w:color w:val="000000"/>
                <w:sz w:val="21"/>
                <w:szCs w:val="21"/>
              </w:rPr>
            </w:pPr>
            <w:bookmarkStart w:id="336" w:name="RANGE!B3"/>
            <w:r>
              <w:rPr>
                <w:rFonts w:hint="eastAsia" w:ascii="宋体" w:hAnsi="宋体" w:cs="宋体"/>
                <w:b/>
                <w:bCs/>
                <w:color w:val="000000"/>
                <w:sz w:val="21"/>
                <w:szCs w:val="21"/>
              </w:rPr>
              <w:t>污染物</w:t>
            </w:r>
            <w:bookmarkEnd w:id="336"/>
          </w:p>
        </w:tc>
        <w:tc>
          <w:tcPr>
            <w:tcW w:w="553" w:type="pct"/>
            <w:vAlign w:val="center"/>
          </w:tcPr>
          <w:p w14:paraId="5D3E21A3">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单位</w:t>
            </w:r>
          </w:p>
        </w:tc>
        <w:tc>
          <w:tcPr>
            <w:tcW w:w="683" w:type="pct"/>
            <w:vAlign w:val="center"/>
          </w:tcPr>
          <w:p w14:paraId="339D440E">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产生量</w:t>
            </w:r>
          </w:p>
        </w:tc>
        <w:tc>
          <w:tcPr>
            <w:tcW w:w="553" w:type="pct"/>
            <w:vAlign w:val="center"/>
          </w:tcPr>
          <w:p w14:paraId="33489EC2">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削减量</w:t>
            </w:r>
          </w:p>
        </w:tc>
        <w:tc>
          <w:tcPr>
            <w:tcW w:w="683" w:type="pct"/>
            <w:vAlign w:val="center"/>
          </w:tcPr>
          <w:p w14:paraId="03FF51DF">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排放量</w:t>
            </w:r>
          </w:p>
        </w:tc>
      </w:tr>
      <w:tr w14:paraId="0AC42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restart"/>
            <w:vAlign w:val="center"/>
          </w:tcPr>
          <w:p w14:paraId="62DA8020">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废气</w:t>
            </w:r>
          </w:p>
        </w:tc>
        <w:tc>
          <w:tcPr>
            <w:tcW w:w="1878" w:type="pct"/>
            <w:gridSpan w:val="2"/>
            <w:vAlign w:val="center"/>
          </w:tcPr>
          <w:p w14:paraId="73723E0A">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废气量</w:t>
            </w:r>
          </w:p>
        </w:tc>
        <w:tc>
          <w:tcPr>
            <w:tcW w:w="553" w:type="pct"/>
            <w:vAlign w:val="center"/>
          </w:tcPr>
          <w:p w14:paraId="00C2ED7D">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万</w:t>
            </w:r>
            <w:r>
              <w:rPr>
                <w:color w:val="000000"/>
                <w:sz w:val="21"/>
                <w:szCs w:val="21"/>
              </w:rPr>
              <w:t>m</w:t>
            </w:r>
            <w:r>
              <w:rPr>
                <w:rFonts w:hint="eastAsia" w:ascii="宋体" w:hAnsi="宋体" w:cs="宋体"/>
                <w:color w:val="000000"/>
                <w:sz w:val="21"/>
                <w:szCs w:val="21"/>
              </w:rPr>
              <w:t>³</w:t>
            </w:r>
            <w:r>
              <w:rPr>
                <w:color w:val="000000"/>
                <w:sz w:val="21"/>
                <w:szCs w:val="21"/>
              </w:rPr>
              <w:t>/a</w:t>
            </w:r>
          </w:p>
        </w:tc>
        <w:tc>
          <w:tcPr>
            <w:tcW w:w="683" w:type="pct"/>
            <w:vAlign w:val="center"/>
          </w:tcPr>
          <w:p w14:paraId="511D7E98">
            <w:pPr>
              <w:widowControl/>
              <w:spacing w:line="240" w:lineRule="auto"/>
              <w:ind w:firstLine="0" w:firstLineChars="0"/>
              <w:jc w:val="center"/>
              <w:rPr>
                <w:rFonts w:eastAsia="等线"/>
                <w:color w:val="000000"/>
                <w:sz w:val="21"/>
                <w:szCs w:val="21"/>
              </w:rPr>
            </w:pPr>
            <w:r>
              <w:rPr>
                <w:rFonts w:hint="eastAsia" w:eastAsia="等线"/>
                <w:color w:val="000000"/>
                <w:sz w:val="21"/>
                <w:szCs w:val="21"/>
              </w:rPr>
              <w:t>223095.46</w:t>
            </w:r>
          </w:p>
        </w:tc>
        <w:tc>
          <w:tcPr>
            <w:tcW w:w="553" w:type="pct"/>
            <w:vAlign w:val="center"/>
          </w:tcPr>
          <w:p w14:paraId="738E712C">
            <w:pPr>
              <w:widowControl/>
              <w:spacing w:line="240" w:lineRule="auto"/>
              <w:ind w:firstLine="0" w:firstLineChars="0"/>
              <w:jc w:val="center"/>
              <w:rPr>
                <w:rFonts w:eastAsia="等线"/>
                <w:color w:val="000000"/>
                <w:sz w:val="21"/>
                <w:szCs w:val="21"/>
              </w:rPr>
            </w:pPr>
            <w:r>
              <w:rPr>
                <w:rFonts w:eastAsia="等线"/>
                <w:color w:val="000000"/>
                <w:sz w:val="21"/>
                <w:szCs w:val="21"/>
              </w:rPr>
              <w:t>0</w:t>
            </w:r>
          </w:p>
        </w:tc>
        <w:tc>
          <w:tcPr>
            <w:tcW w:w="683" w:type="pct"/>
            <w:vAlign w:val="center"/>
          </w:tcPr>
          <w:p w14:paraId="3A989620">
            <w:pPr>
              <w:widowControl/>
              <w:spacing w:line="240" w:lineRule="auto"/>
              <w:ind w:firstLine="0" w:firstLineChars="0"/>
              <w:jc w:val="center"/>
              <w:rPr>
                <w:rFonts w:eastAsia="等线"/>
                <w:color w:val="000000"/>
                <w:sz w:val="21"/>
                <w:szCs w:val="21"/>
              </w:rPr>
            </w:pPr>
            <w:r>
              <w:rPr>
                <w:rFonts w:hint="eastAsia" w:eastAsia="等线"/>
                <w:color w:val="000000"/>
                <w:sz w:val="21"/>
                <w:szCs w:val="21"/>
              </w:rPr>
              <w:t>223095.46</w:t>
            </w:r>
          </w:p>
        </w:tc>
      </w:tr>
      <w:tr w14:paraId="34907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232F4B48">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6867D090">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烟</w:t>
            </w:r>
            <w:r>
              <w:rPr>
                <w:color w:val="000000"/>
                <w:sz w:val="21"/>
                <w:szCs w:val="21"/>
              </w:rPr>
              <w:t>（</w:t>
            </w:r>
            <w:r>
              <w:rPr>
                <w:rFonts w:hint="eastAsia" w:ascii="宋体" w:hAnsi="宋体" w:cs="宋体"/>
                <w:color w:val="000000"/>
                <w:sz w:val="21"/>
                <w:szCs w:val="21"/>
              </w:rPr>
              <w:t>粉</w:t>
            </w:r>
            <w:r>
              <w:rPr>
                <w:color w:val="000000"/>
                <w:sz w:val="21"/>
                <w:szCs w:val="21"/>
              </w:rPr>
              <w:t>）</w:t>
            </w:r>
            <w:r>
              <w:rPr>
                <w:rFonts w:hint="eastAsia" w:ascii="宋体" w:hAnsi="宋体" w:cs="宋体"/>
                <w:color w:val="000000"/>
                <w:sz w:val="21"/>
                <w:szCs w:val="21"/>
              </w:rPr>
              <w:t>尘</w:t>
            </w:r>
          </w:p>
        </w:tc>
        <w:tc>
          <w:tcPr>
            <w:tcW w:w="553" w:type="pct"/>
            <w:vAlign w:val="center"/>
          </w:tcPr>
          <w:p w14:paraId="71B9021F">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619348FC">
            <w:pPr>
              <w:widowControl/>
              <w:spacing w:line="240" w:lineRule="auto"/>
              <w:ind w:firstLine="0" w:firstLineChars="0"/>
              <w:jc w:val="center"/>
              <w:rPr>
                <w:rFonts w:eastAsia="等线"/>
                <w:color w:val="000000"/>
                <w:sz w:val="21"/>
                <w:szCs w:val="21"/>
              </w:rPr>
            </w:pPr>
            <w:r>
              <w:rPr>
                <w:rFonts w:hint="eastAsia" w:eastAsia="等线"/>
                <w:color w:val="000000"/>
                <w:sz w:val="21"/>
                <w:szCs w:val="21"/>
              </w:rPr>
              <w:t>595.18</w:t>
            </w:r>
          </w:p>
        </w:tc>
        <w:tc>
          <w:tcPr>
            <w:tcW w:w="553" w:type="pct"/>
            <w:vAlign w:val="center"/>
          </w:tcPr>
          <w:p w14:paraId="6A63D0C6">
            <w:pPr>
              <w:widowControl/>
              <w:spacing w:line="240" w:lineRule="auto"/>
              <w:ind w:firstLine="0" w:firstLineChars="0"/>
              <w:jc w:val="center"/>
              <w:rPr>
                <w:rFonts w:eastAsia="等线"/>
                <w:color w:val="000000"/>
                <w:sz w:val="21"/>
                <w:szCs w:val="21"/>
              </w:rPr>
            </w:pPr>
            <w:r>
              <w:rPr>
                <w:rFonts w:hint="eastAsia" w:eastAsia="等线"/>
                <w:color w:val="000000"/>
                <w:sz w:val="21"/>
                <w:szCs w:val="21"/>
              </w:rPr>
              <w:t>587.72</w:t>
            </w:r>
          </w:p>
        </w:tc>
        <w:tc>
          <w:tcPr>
            <w:tcW w:w="683" w:type="pct"/>
            <w:vAlign w:val="center"/>
          </w:tcPr>
          <w:p w14:paraId="124D24FB">
            <w:pPr>
              <w:widowControl/>
              <w:spacing w:line="240" w:lineRule="auto"/>
              <w:ind w:firstLine="0" w:firstLineChars="0"/>
              <w:jc w:val="center"/>
              <w:rPr>
                <w:rFonts w:eastAsia="等线"/>
                <w:color w:val="000000"/>
                <w:sz w:val="21"/>
                <w:szCs w:val="21"/>
              </w:rPr>
            </w:pPr>
            <w:r>
              <w:rPr>
                <w:rFonts w:hint="eastAsia" w:eastAsia="等线"/>
                <w:color w:val="000000"/>
                <w:sz w:val="21"/>
                <w:szCs w:val="21"/>
              </w:rPr>
              <w:t>7.46</w:t>
            </w:r>
          </w:p>
        </w:tc>
      </w:tr>
      <w:tr w14:paraId="390AE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263E0D5B">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3593299C">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二氧化硫</w:t>
            </w:r>
          </w:p>
        </w:tc>
        <w:tc>
          <w:tcPr>
            <w:tcW w:w="553" w:type="pct"/>
            <w:vAlign w:val="center"/>
          </w:tcPr>
          <w:p w14:paraId="69B01F6F">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24B2D665">
            <w:pPr>
              <w:widowControl/>
              <w:spacing w:line="240" w:lineRule="auto"/>
              <w:ind w:firstLine="0" w:firstLineChars="0"/>
              <w:jc w:val="center"/>
              <w:rPr>
                <w:rFonts w:eastAsia="等线"/>
                <w:color w:val="000000"/>
                <w:sz w:val="21"/>
                <w:szCs w:val="21"/>
              </w:rPr>
            </w:pPr>
            <w:r>
              <w:rPr>
                <w:rFonts w:hint="eastAsia" w:eastAsia="等线"/>
                <w:color w:val="000000"/>
                <w:sz w:val="21"/>
                <w:szCs w:val="21"/>
              </w:rPr>
              <w:t>363.36</w:t>
            </w:r>
          </w:p>
        </w:tc>
        <w:tc>
          <w:tcPr>
            <w:tcW w:w="553" w:type="pct"/>
            <w:vAlign w:val="center"/>
          </w:tcPr>
          <w:p w14:paraId="7BD797D6">
            <w:pPr>
              <w:widowControl/>
              <w:spacing w:line="240" w:lineRule="auto"/>
              <w:ind w:firstLine="0" w:firstLineChars="0"/>
              <w:jc w:val="center"/>
              <w:rPr>
                <w:rFonts w:eastAsia="等线"/>
                <w:color w:val="000000"/>
                <w:sz w:val="21"/>
                <w:szCs w:val="21"/>
              </w:rPr>
            </w:pPr>
            <w:r>
              <w:rPr>
                <w:rFonts w:hint="eastAsia" w:eastAsia="等线"/>
                <w:color w:val="000000"/>
                <w:sz w:val="21"/>
                <w:szCs w:val="21"/>
              </w:rPr>
              <w:t>344.39</w:t>
            </w:r>
          </w:p>
        </w:tc>
        <w:tc>
          <w:tcPr>
            <w:tcW w:w="683" w:type="pct"/>
            <w:vAlign w:val="center"/>
          </w:tcPr>
          <w:p w14:paraId="18E8E0F5">
            <w:pPr>
              <w:widowControl/>
              <w:spacing w:line="240" w:lineRule="auto"/>
              <w:ind w:firstLine="0" w:firstLineChars="0"/>
              <w:jc w:val="center"/>
              <w:rPr>
                <w:rFonts w:eastAsia="等线"/>
                <w:color w:val="000000"/>
                <w:sz w:val="21"/>
                <w:szCs w:val="21"/>
              </w:rPr>
            </w:pPr>
            <w:r>
              <w:rPr>
                <w:rFonts w:hint="eastAsia" w:eastAsia="等线"/>
                <w:color w:val="000000"/>
                <w:sz w:val="21"/>
                <w:szCs w:val="21"/>
              </w:rPr>
              <w:t>18.97</w:t>
            </w:r>
          </w:p>
        </w:tc>
      </w:tr>
      <w:tr w14:paraId="6636D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7233F23E">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4DE135C6">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氮氧化物</w:t>
            </w:r>
          </w:p>
        </w:tc>
        <w:tc>
          <w:tcPr>
            <w:tcW w:w="553" w:type="pct"/>
            <w:vAlign w:val="center"/>
          </w:tcPr>
          <w:p w14:paraId="53D8D381">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4036EF41">
            <w:pPr>
              <w:widowControl/>
              <w:spacing w:line="240" w:lineRule="auto"/>
              <w:ind w:firstLine="0" w:firstLineChars="0"/>
              <w:jc w:val="center"/>
              <w:rPr>
                <w:rFonts w:eastAsia="等线"/>
                <w:color w:val="000000"/>
                <w:sz w:val="21"/>
                <w:szCs w:val="21"/>
              </w:rPr>
            </w:pPr>
            <w:r>
              <w:rPr>
                <w:rFonts w:eastAsia="等线"/>
                <w:color w:val="000000"/>
                <w:sz w:val="21"/>
                <w:szCs w:val="21"/>
              </w:rPr>
              <w:t>183.17</w:t>
            </w:r>
          </w:p>
        </w:tc>
        <w:tc>
          <w:tcPr>
            <w:tcW w:w="553" w:type="pct"/>
            <w:vAlign w:val="center"/>
          </w:tcPr>
          <w:p w14:paraId="16855FF7">
            <w:pPr>
              <w:widowControl/>
              <w:spacing w:line="240" w:lineRule="auto"/>
              <w:ind w:firstLine="0" w:firstLineChars="0"/>
              <w:jc w:val="center"/>
              <w:rPr>
                <w:rFonts w:eastAsia="等线"/>
                <w:color w:val="000000"/>
                <w:sz w:val="21"/>
                <w:szCs w:val="21"/>
              </w:rPr>
            </w:pPr>
            <w:r>
              <w:rPr>
                <w:rFonts w:eastAsia="等线"/>
                <w:color w:val="000000"/>
                <w:sz w:val="21"/>
                <w:szCs w:val="21"/>
              </w:rPr>
              <w:t>77.29</w:t>
            </w:r>
          </w:p>
        </w:tc>
        <w:tc>
          <w:tcPr>
            <w:tcW w:w="683" w:type="pct"/>
            <w:vAlign w:val="center"/>
          </w:tcPr>
          <w:p w14:paraId="15BF47EC">
            <w:pPr>
              <w:widowControl/>
              <w:spacing w:line="240" w:lineRule="auto"/>
              <w:ind w:firstLine="0" w:firstLineChars="0"/>
              <w:jc w:val="center"/>
              <w:rPr>
                <w:rFonts w:eastAsia="等线"/>
                <w:color w:val="000000"/>
                <w:sz w:val="21"/>
                <w:szCs w:val="21"/>
              </w:rPr>
            </w:pPr>
            <w:r>
              <w:rPr>
                <w:rFonts w:eastAsia="等线"/>
                <w:color w:val="000000"/>
                <w:sz w:val="21"/>
                <w:szCs w:val="21"/>
              </w:rPr>
              <w:t>105.88</w:t>
            </w:r>
          </w:p>
        </w:tc>
      </w:tr>
      <w:tr w14:paraId="0CD8F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61D3137A">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799F1BBD">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苯并芘</w:t>
            </w:r>
          </w:p>
        </w:tc>
        <w:tc>
          <w:tcPr>
            <w:tcW w:w="553" w:type="pct"/>
            <w:vAlign w:val="center"/>
          </w:tcPr>
          <w:p w14:paraId="67F81B7E">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3443981A">
            <w:pPr>
              <w:widowControl/>
              <w:spacing w:line="240" w:lineRule="auto"/>
              <w:ind w:firstLine="0" w:firstLineChars="0"/>
              <w:jc w:val="center"/>
              <w:rPr>
                <w:rFonts w:eastAsia="等线"/>
                <w:color w:val="000000"/>
                <w:sz w:val="21"/>
                <w:szCs w:val="21"/>
              </w:rPr>
            </w:pPr>
            <w:r>
              <w:rPr>
                <w:rFonts w:eastAsia="等线"/>
                <w:color w:val="000000"/>
                <w:sz w:val="21"/>
                <w:szCs w:val="21"/>
              </w:rPr>
              <w:t>0.002</w:t>
            </w:r>
          </w:p>
        </w:tc>
        <w:tc>
          <w:tcPr>
            <w:tcW w:w="553" w:type="pct"/>
            <w:vAlign w:val="center"/>
          </w:tcPr>
          <w:p w14:paraId="202EE36E">
            <w:pPr>
              <w:widowControl/>
              <w:spacing w:line="240" w:lineRule="auto"/>
              <w:ind w:firstLine="0" w:firstLineChars="0"/>
              <w:jc w:val="center"/>
              <w:rPr>
                <w:rFonts w:eastAsia="等线"/>
                <w:color w:val="000000"/>
                <w:sz w:val="21"/>
                <w:szCs w:val="21"/>
              </w:rPr>
            </w:pPr>
            <w:r>
              <w:rPr>
                <w:rFonts w:eastAsia="等线"/>
                <w:color w:val="000000"/>
                <w:sz w:val="21"/>
                <w:szCs w:val="21"/>
              </w:rPr>
              <w:t>0.002</w:t>
            </w:r>
          </w:p>
        </w:tc>
        <w:tc>
          <w:tcPr>
            <w:tcW w:w="683" w:type="pct"/>
            <w:vAlign w:val="center"/>
          </w:tcPr>
          <w:p w14:paraId="41D7BF77">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0.00007 </w:t>
            </w:r>
          </w:p>
        </w:tc>
      </w:tr>
      <w:tr w14:paraId="0E7E7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7B75124A">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554B9F83">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氰化氢</w:t>
            </w:r>
          </w:p>
        </w:tc>
        <w:tc>
          <w:tcPr>
            <w:tcW w:w="553" w:type="pct"/>
            <w:vAlign w:val="center"/>
          </w:tcPr>
          <w:p w14:paraId="51333D87">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35CC5530">
            <w:pPr>
              <w:widowControl/>
              <w:spacing w:line="240" w:lineRule="auto"/>
              <w:ind w:firstLine="0" w:firstLineChars="0"/>
              <w:jc w:val="center"/>
              <w:rPr>
                <w:rFonts w:eastAsia="等线"/>
                <w:color w:val="000000"/>
                <w:sz w:val="21"/>
                <w:szCs w:val="21"/>
              </w:rPr>
            </w:pPr>
            <w:r>
              <w:rPr>
                <w:rFonts w:eastAsia="等线"/>
                <w:color w:val="000000"/>
                <w:sz w:val="21"/>
                <w:szCs w:val="21"/>
              </w:rPr>
              <w:t>0.00</w:t>
            </w:r>
            <w:r>
              <w:rPr>
                <w:rFonts w:hint="eastAsia" w:eastAsia="等线"/>
                <w:color w:val="000000"/>
                <w:sz w:val="21"/>
                <w:szCs w:val="21"/>
              </w:rPr>
              <w:t>05</w:t>
            </w:r>
          </w:p>
        </w:tc>
        <w:tc>
          <w:tcPr>
            <w:tcW w:w="553" w:type="pct"/>
            <w:vAlign w:val="center"/>
          </w:tcPr>
          <w:p w14:paraId="7AECD08D">
            <w:pPr>
              <w:widowControl/>
              <w:spacing w:line="240" w:lineRule="auto"/>
              <w:ind w:firstLine="0" w:firstLineChars="0"/>
              <w:jc w:val="center"/>
              <w:rPr>
                <w:rFonts w:eastAsia="等线"/>
                <w:color w:val="000000"/>
                <w:sz w:val="21"/>
                <w:szCs w:val="21"/>
              </w:rPr>
            </w:pPr>
            <w:r>
              <w:rPr>
                <w:rFonts w:eastAsia="等线"/>
                <w:color w:val="000000"/>
                <w:sz w:val="21"/>
                <w:szCs w:val="21"/>
              </w:rPr>
              <w:t>0.00</w:t>
            </w:r>
            <w:r>
              <w:rPr>
                <w:rFonts w:hint="eastAsia" w:eastAsia="等线"/>
                <w:color w:val="000000"/>
                <w:sz w:val="21"/>
                <w:szCs w:val="21"/>
              </w:rPr>
              <w:t>05</w:t>
            </w:r>
          </w:p>
        </w:tc>
        <w:tc>
          <w:tcPr>
            <w:tcW w:w="683" w:type="pct"/>
            <w:vAlign w:val="center"/>
          </w:tcPr>
          <w:p w14:paraId="6A09A150">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0.00002 </w:t>
            </w:r>
          </w:p>
        </w:tc>
      </w:tr>
      <w:tr w14:paraId="37B75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239E65F7">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0EBA7F23">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酚类</w:t>
            </w:r>
          </w:p>
        </w:tc>
        <w:tc>
          <w:tcPr>
            <w:tcW w:w="553" w:type="pct"/>
            <w:vAlign w:val="center"/>
          </w:tcPr>
          <w:p w14:paraId="23AC235B">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1DD51208">
            <w:pPr>
              <w:widowControl/>
              <w:spacing w:line="240" w:lineRule="auto"/>
              <w:ind w:firstLine="0" w:firstLineChars="0"/>
              <w:jc w:val="center"/>
              <w:rPr>
                <w:rFonts w:eastAsia="等线"/>
                <w:color w:val="000000"/>
                <w:sz w:val="21"/>
                <w:szCs w:val="21"/>
              </w:rPr>
            </w:pPr>
            <w:r>
              <w:rPr>
                <w:rFonts w:eastAsia="等线"/>
                <w:color w:val="000000"/>
                <w:sz w:val="21"/>
                <w:szCs w:val="21"/>
              </w:rPr>
              <w:t>0.11</w:t>
            </w:r>
          </w:p>
        </w:tc>
        <w:tc>
          <w:tcPr>
            <w:tcW w:w="553" w:type="pct"/>
            <w:vAlign w:val="center"/>
          </w:tcPr>
          <w:p w14:paraId="12218AAF">
            <w:pPr>
              <w:widowControl/>
              <w:spacing w:line="240" w:lineRule="auto"/>
              <w:ind w:firstLine="0" w:firstLineChars="0"/>
              <w:jc w:val="center"/>
              <w:rPr>
                <w:rFonts w:eastAsia="等线"/>
                <w:color w:val="000000"/>
                <w:sz w:val="21"/>
                <w:szCs w:val="21"/>
              </w:rPr>
            </w:pPr>
            <w:r>
              <w:rPr>
                <w:rFonts w:eastAsia="等线"/>
                <w:color w:val="000000"/>
                <w:sz w:val="21"/>
                <w:szCs w:val="21"/>
              </w:rPr>
              <w:t>0.11</w:t>
            </w:r>
          </w:p>
        </w:tc>
        <w:tc>
          <w:tcPr>
            <w:tcW w:w="683" w:type="pct"/>
            <w:vAlign w:val="center"/>
          </w:tcPr>
          <w:p w14:paraId="2BD223E2">
            <w:pPr>
              <w:widowControl/>
              <w:spacing w:line="240" w:lineRule="auto"/>
              <w:ind w:firstLine="0" w:firstLineChars="0"/>
              <w:jc w:val="center"/>
              <w:rPr>
                <w:rFonts w:eastAsia="等线"/>
                <w:color w:val="000000"/>
                <w:sz w:val="21"/>
                <w:szCs w:val="21"/>
              </w:rPr>
            </w:pPr>
            <w:r>
              <w:rPr>
                <w:rFonts w:eastAsia="等线"/>
                <w:color w:val="000000"/>
                <w:sz w:val="21"/>
                <w:szCs w:val="21"/>
              </w:rPr>
              <w:t>0.003</w:t>
            </w:r>
          </w:p>
        </w:tc>
      </w:tr>
      <w:tr w14:paraId="7D3FBF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0F08F4B0">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659FC739">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氨</w:t>
            </w:r>
          </w:p>
        </w:tc>
        <w:tc>
          <w:tcPr>
            <w:tcW w:w="553" w:type="pct"/>
            <w:vAlign w:val="center"/>
          </w:tcPr>
          <w:p w14:paraId="3DAAB3E4">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58C41807">
            <w:pPr>
              <w:widowControl/>
              <w:spacing w:line="240" w:lineRule="auto"/>
              <w:ind w:firstLine="0" w:firstLineChars="0"/>
              <w:jc w:val="center"/>
              <w:rPr>
                <w:rFonts w:eastAsia="等线"/>
                <w:color w:val="000000"/>
                <w:sz w:val="21"/>
                <w:szCs w:val="21"/>
              </w:rPr>
            </w:pPr>
            <w:r>
              <w:rPr>
                <w:rFonts w:eastAsia="等线"/>
                <w:color w:val="000000"/>
                <w:sz w:val="21"/>
                <w:szCs w:val="21"/>
              </w:rPr>
              <w:t>1.13</w:t>
            </w:r>
          </w:p>
        </w:tc>
        <w:tc>
          <w:tcPr>
            <w:tcW w:w="553" w:type="pct"/>
            <w:vAlign w:val="center"/>
          </w:tcPr>
          <w:p w14:paraId="75DABB74">
            <w:pPr>
              <w:widowControl/>
              <w:spacing w:line="240" w:lineRule="auto"/>
              <w:ind w:firstLine="0" w:firstLineChars="0"/>
              <w:jc w:val="center"/>
              <w:rPr>
                <w:rFonts w:eastAsia="等线"/>
                <w:color w:val="000000"/>
                <w:sz w:val="21"/>
                <w:szCs w:val="21"/>
              </w:rPr>
            </w:pPr>
            <w:r>
              <w:rPr>
                <w:rFonts w:eastAsia="等线"/>
                <w:color w:val="000000"/>
                <w:sz w:val="21"/>
                <w:szCs w:val="21"/>
              </w:rPr>
              <w:t>1.09</w:t>
            </w:r>
          </w:p>
        </w:tc>
        <w:tc>
          <w:tcPr>
            <w:tcW w:w="683" w:type="pct"/>
            <w:vAlign w:val="center"/>
          </w:tcPr>
          <w:p w14:paraId="63563518">
            <w:pPr>
              <w:widowControl/>
              <w:spacing w:line="240" w:lineRule="auto"/>
              <w:ind w:firstLine="0" w:firstLineChars="0"/>
              <w:jc w:val="center"/>
              <w:rPr>
                <w:rFonts w:eastAsia="等线"/>
                <w:color w:val="000000"/>
                <w:sz w:val="21"/>
                <w:szCs w:val="21"/>
              </w:rPr>
            </w:pPr>
            <w:r>
              <w:rPr>
                <w:rFonts w:eastAsia="等线"/>
                <w:color w:val="000000"/>
                <w:sz w:val="21"/>
                <w:szCs w:val="21"/>
              </w:rPr>
              <w:t>0.03</w:t>
            </w:r>
          </w:p>
        </w:tc>
      </w:tr>
      <w:tr w14:paraId="71ABA2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11A431EF">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631C49CE">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硫化氢</w:t>
            </w:r>
          </w:p>
        </w:tc>
        <w:tc>
          <w:tcPr>
            <w:tcW w:w="553" w:type="pct"/>
            <w:vAlign w:val="center"/>
          </w:tcPr>
          <w:p w14:paraId="4F485594">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2507DE44">
            <w:pPr>
              <w:widowControl/>
              <w:spacing w:line="240" w:lineRule="auto"/>
              <w:ind w:firstLine="0" w:firstLineChars="0"/>
              <w:jc w:val="center"/>
              <w:rPr>
                <w:rFonts w:eastAsia="等线"/>
                <w:color w:val="000000"/>
                <w:sz w:val="21"/>
                <w:szCs w:val="21"/>
              </w:rPr>
            </w:pPr>
            <w:r>
              <w:rPr>
                <w:rFonts w:eastAsia="等线"/>
                <w:color w:val="000000"/>
                <w:sz w:val="21"/>
                <w:szCs w:val="21"/>
              </w:rPr>
              <w:t>0.22</w:t>
            </w:r>
          </w:p>
        </w:tc>
        <w:tc>
          <w:tcPr>
            <w:tcW w:w="553" w:type="pct"/>
            <w:vAlign w:val="center"/>
          </w:tcPr>
          <w:p w14:paraId="39E6A5D4">
            <w:pPr>
              <w:widowControl/>
              <w:spacing w:line="240" w:lineRule="auto"/>
              <w:ind w:firstLine="0" w:firstLineChars="0"/>
              <w:jc w:val="center"/>
              <w:rPr>
                <w:rFonts w:eastAsia="等线"/>
                <w:color w:val="000000"/>
                <w:sz w:val="21"/>
                <w:szCs w:val="21"/>
              </w:rPr>
            </w:pPr>
            <w:r>
              <w:rPr>
                <w:rFonts w:eastAsia="等线"/>
                <w:color w:val="000000"/>
                <w:sz w:val="21"/>
                <w:szCs w:val="21"/>
              </w:rPr>
              <w:t>0.21</w:t>
            </w:r>
          </w:p>
        </w:tc>
        <w:tc>
          <w:tcPr>
            <w:tcW w:w="683" w:type="pct"/>
            <w:vAlign w:val="center"/>
          </w:tcPr>
          <w:p w14:paraId="607488A9">
            <w:pPr>
              <w:widowControl/>
              <w:spacing w:line="240" w:lineRule="auto"/>
              <w:ind w:firstLine="0" w:firstLineChars="0"/>
              <w:jc w:val="center"/>
              <w:rPr>
                <w:rFonts w:eastAsia="等线"/>
                <w:color w:val="000000"/>
                <w:sz w:val="21"/>
                <w:szCs w:val="21"/>
              </w:rPr>
            </w:pPr>
            <w:r>
              <w:rPr>
                <w:rFonts w:eastAsia="等线"/>
                <w:color w:val="000000"/>
                <w:sz w:val="21"/>
                <w:szCs w:val="21"/>
              </w:rPr>
              <w:t>0.007</w:t>
            </w:r>
          </w:p>
        </w:tc>
      </w:tr>
      <w:tr w14:paraId="1E72D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608B7951">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61BA0F7C">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非甲烷总烃（有组织）</w:t>
            </w:r>
          </w:p>
        </w:tc>
        <w:tc>
          <w:tcPr>
            <w:tcW w:w="553" w:type="pct"/>
            <w:vAlign w:val="center"/>
          </w:tcPr>
          <w:p w14:paraId="39F0F9F0">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6CB1499F">
            <w:pPr>
              <w:widowControl/>
              <w:spacing w:line="240" w:lineRule="auto"/>
              <w:ind w:firstLine="0" w:firstLineChars="0"/>
              <w:jc w:val="center"/>
              <w:rPr>
                <w:rFonts w:eastAsia="等线"/>
                <w:color w:val="000000"/>
                <w:sz w:val="21"/>
                <w:szCs w:val="21"/>
              </w:rPr>
            </w:pPr>
            <w:r>
              <w:rPr>
                <w:rFonts w:hint="eastAsia" w:eastAsia="等线"/>
                <w:color w:val="000000"/>
                <w:sz w:val="21"/>
                <w:szCs w:val="21"/>
              </w:rPr>
              <w:t>12.76</w:t>
            </w:r>
          </w:p>
        </w:tc>
        <w:tc>
          <w:tcPr>
            <w:tcW w:w="553" w:type="pct"/>
            <w:vAlign w:val="center"/>
          </w:tcPr>
          <w:p w14:paraId="68624601">
            <w:pPr>
              <w:widowControl/>
              <w:spacing w:line="240" w:lineRule="auto"/>
              <w:ind w:firstLine="0" w:firstLineChars="0"/>
              <w:jc w:val="center"/>
              <w:rPr>
                <w:rFonts w:eastAsia="等线"/>
                <w:color w:val="000000"/>
                <w:sz w:val="21"/>
                <w:szCs w:val="21"/>
              </w:rPr>
            </w:pPr>
            <w:r>
              <w:rPr>
                <w:rFonts w:hint="eastAsia" w:eastAsia="等线"/>
                <w:color w:val="000000"/>
                <w:sz w:val="21"/>
                <w:szCs w:val="21"/>
              </w:rPr>
              <w:t>12.38</w:t>
            </w:r>
          </w:p>
        </w:tc>
        <w:tc>
          <w:tcPr>
            <w:tcW w:w="683" w:type="pct"/>
            <w:vAlign w:val="center"/>
          </w:tcPr>
          <w:p w14:paraId="1D248E46">
            <w:pPr>
              <w:widowControl/>
              <w:spacing w:line="240" w:lineRule="auto"/>
              <w:ind w:firstLine="0" w:firstLineChars="0"/>
              <w:jc w:val="center"/>
              <w:rPr>
                <w:rFonts w:eastAsia="等线"/>
                <w:color w:val="000000"/>
                <w:sz w:val="21"/>
                <w:szCs w:val="21"/>
              </w:rPr>
            </w:pPr>
            <w:r>
              <w:rPr>
                <w:rFonts w:hint="eastAsia" w:eastAsia="等线"/>
                <w:color w:val="000000"/>
                <w:sz w:val="21"/>
                <w:szCs w:val="21"/>
              </w:rPr>
              <w:t>0.38</w:t>
            </w:r>
          </w:p>
        </w:tc>
      </w:tr>
      <w:tr w14:paraId="750CD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375080E8">
            <w:pPr>
              <w:widowControl/>
              <w:spacing w:line="240" w:lineRule="auto"/>
              <w:ind w:firstLine="0" w:firstLineChars="0"/>
              <w:jc w:val="left"/>
              <w:rPr>
                <w:rFonts w:hint="eastAsia" w:ascii="宋体" w:hAnsi="宋体" w:cs="宋体"/>
                <w:color w:val="000000"/>
                <w:sz w:val="21"/>
                <w:szCs w:val="21"/>
              </w:rPr>
            </w:pPr>
          </w:p>
        </w:tc>
        <w:tc>
          <w:tcPr>
            <w:tcW w:w="753" w:type="pct"/>
            <w:vMerge w:val="restart"/>
            <w:vAlign w:val="center"/>
          </w:tcPr>
          <w:p w14:paraId="266E1967">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无组织</w:t>
            </w:r>
          </w:p>
        </w:tc>
        <w:tc>
          <w:tcPr>
            <w:tcW w:w="1125" w:type="pct"/>
            <w:vAlign w:val="center"/>
          </w:tcPr>
          <w:p w14:paraId="68D14514">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颗粒物</w:t>
            </w:r>
          </w:p>
        </w:tc>
        <w:tc>
          <w:tcPr>
            <w:tcW w:w="553" w:type="pct"/>
            <w:vAlign w:val="center"/>
          </w:tcPr>
          <w:p w14:paraId="3F54071A">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15A14D6F">
            <w:pPr>
              <w:widowControl/>
              <w:spacing w:line="240" w:lineRule="auto"/>
              <w:ind w:firstLine="0" w:firstLineChars="0"/>
              <w:jc w:val="center"/>
              <w:rPr>
                <w:rFonts w:eastAsia="等线"/>
                <w:color w:val="000000"/>
                <w:sz w:val="21"/>
                <w:szCs w:val="21"/>
              </w:rPr>
            </w:pPr>
            <w:r>
              <w:rPr>
                <w:rFonts w:eastAsia="等线"/>
                <w:color w:val="000000"/>
                <w:sz w:val="21"/>
                <w:szCs w:val="21"/>
              </w:rPr>
              <w:t>9.07</w:t>
            </w:r>
          </w:p>
        </w:tc>
        <w:tc>
          <w:tcPr>
            <w:tcW w:w="553" w:type="pct"/>
            <w:vAlign w:val="center"/>
          </w:tcPr>
          <w:p w14:paraId="68245EC2">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8.16 </w:t>
            </w:r>
          </w:p>
        </w:tc>
        <w:tc>
          <w:tcPr>
            <w:tcW w:w="683" w:type="pct"/>
            <w:vAlign w:val="center"/>
          </w:tcPr>
          <w:p w14:paraId="56542499">
            <w:pPr>
              <w:widowControl/>
              <w:spacing w:line="240" w:lineRule="auto"/>
              <w:ind w:firstLine="0" w:firstLineChars="0"/>
              <w:jc w:val="center"/>
              <w:rPr>
                <w:rFonts w:eastAsia="等线"/>
                <w:color w:val="000000"/>
                <w:sz w:val="21"/>
                <w:szCs w:val="21"/>
              </w:rPr>
            </w:pPr>
            <w:r>
              <w:rPr>
                <w:rFonts w:eastAsia="等线"/>
                <w:color w:val="000000"/>
                <w:sz w:val="21"/>
                <w:szCs w:val="21"/>
              </w:rPr>
              <w:t>0.91</w:t>
            </w:r>
          </w:p>
        </w:tc>
      </w:tr>
      <w:tr w14:paraId="5466D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09E8A8CC">
            <w:pPr>
              <w:widowControl/>
              <w:spacing w:line="240" w:lineRule="auto"/>
              <w:ind w:firstLine="0" w:firstLineChars="0"/>
              <w:jc w:val="left"/>
              <w:rPr>
                <w:rFonts w:hint="eastAsia" w:ascii="宋体" w:hAnsi="宋体" w:cs="宋体"/>
                <w:color w:val="000000"/>
                <w:sz w:val="21"/>
                <w:szCs w:val="21"/>
              </w:rPr>
            </w:pPr>
          </w:p>
        </w:tc>
        <w:tc>
          <w:tcPr>
            <w:tcW w:w="753" w:type="pct"/>
            <w:vMerge w:val="continue"/>
            <w:vAlign w:val="center"/>
          </w:tcPr>
          <w:p w14:paraId="3DA050BC">
            <w:pPr>
              <w:widowControl/>
              <w:spacing w:line="240" w:lineRule="auto"/>
              <w:ind w:firstLine="0" w:firstLineChars="0"/>
              <w:jc w:val="left"/>
              <w:rPr>
                <w:rFonts w:hint="eastAsia" w:ascii="宋体" w:hAnsi="宋体" w:cs="宋体"/>
                <w:color w:val="000000"/>
                <w:sz w:val="21"/>
                <w:szCs w:val="21"/>
              </w:rPr>
            </w:pPr>
          </w:p>
        </w:tc>
        <w:tc>
          <w:tcPr>
            <w:tcW w:w="1125" w:type="pct"/>
            <w:vAlign w:val="center"/>
          </w:tcPr>
          <w:p w14:paraId="4A45FFBB">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苯并芘</w:t>
            </w:r>
          </w:p>
        </w:tc>
        <w:tc>
          <w:tcPr>
            <w:tcW w:w="553" w:type="pct"/>
            <w:vAlign w:val="center"/>
          </w:tcPr>
          <w:p w14:paraId="7A70950D">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4C13180C">
            <w:pPr>
              <w:widowControl/>
              <w:spacing w:line="240" w:lineRule="auto"/>
              <w:ind w:firstLine="0" w:firstLineChars="0"/>
              <w:jc w:val="center"/>
              <w:rPr>
                <w:rFonts w:eastAsia="等线"/>
                <w:color w:val="000000"/>
                <w:sz w:val="21"/>
                <w:szCs w:val="21"/>
              </w:rPr>
            </w:pPr>
            <w:r>
              <w:rPr>
                <w:rFonts w:eastAsia="等线"/>
                <w:color w:val="000000"/>
                <w:sz w:val="21"/>
                <w:szCs w:val="21"/>
              </w:rPr>
              <w:t>0.002</w:t>
            </w:r>
          </w:p>
        </w:tc>
        <w:tc>
          <w:tcPr>
            <w:tcW w:w="553" w:type="pct"/>
            <w:vAlign w:val="center"/>
          </w:tcPr>
          <w:p w14:paraId="138E55CF">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0.002 </w:t>
            </w:r>
          </w:p>
        </w:tc>
        <w:tc>
          <w:tcPr>
            <w:tcW w:w="683" w:type="pct"/>
            <w:vAlign w:val="center"/>
          </w:tcPr>
          <w:p w14:paraId="567EAAAF">
            <w:pPr>
              <w:widowControl/>
              <w:spacing w:line="240" w:lineRule="auto"/>
              <w:ind w:firstLine="0" w:firstLineChars="0"/>
              <w:jc w:val="center"/>
              <w:rPr>
                <w:rFonts w:eastAsia="等线"/>
                <w:color w:val="000000"/>
                <w:sz w:val="21"/>
                <w:szCs w:val="21"/>
              </w:rPr>
            </w:pPr>
            <w:r>
              <w:rPr>
                <w:rFonts w:eastAsia="等线"/>
                <w:color w:val="000000"/>
                <w:sz w:val="21"/>
                <w:szCs w:val="21"/>
              </w:rPr>
              <w:t>0.0001</w:t>
            </w:r>
          </w:p>
        </w:tc>
      </w:tr>
      <w:tr w14:paraId="42436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0832D3E4">
            <w:pPr>
              <w:widowControl/>
              <w:spacing w:line="240" w:lineRule="auto"/>
              <w:ind w:firstLine="0" w:firstLineChars="0"/>
              <w:jc w:val="left"/>
              <w:rPr>
                <w:rFonts w:hint="eastAsia" w:ascii="宋体" w:hAnsi="宋体" w:cs="宋体"/>
                <w:color w:val="000000"/>
                <w:sz w:val="21"/>
                <w:szCs w:val="21"/>
              </w:rPr>
            </w:pPr>
          </w:p>
        </w:tc>
        <w:tc>
          <w:tcPr>
            <w:tcW w:w="753" w:type="pct"/>
            <w:vMerge w:val="continue"/>
            <w:vAlign w:val="center"/>
          </w:tcPr>
          <w:p w14:paraId="20F78202">
            <w:pPr>
              <w:widowControl/>
              <w:spacing w:line="240" w:lineRule="auto"/>
              <w:ind w:firstLine="0" w:firstLineChars="0"/>
              <w:jc w:val="left"/>
              <w:rPr>
                <w:rFonts w:hint="eastAsia" w:ascii="宋体" w:hAnsi="宋体" w:cs="宋体"/>
                <w:color w:val="000000"/>
                <w:sz w:val="21"/>
                <w:szCs w:val="21"/>
              </w:rPr>
            </w:pPr>
          </w:p>
        </w:tc>
        <w:tc>
          <w:tcPr>
            <w:tcW w:w="1125" w:type="pct"/>
            <w:vAlign w:val="center"/>
          </w:tcPr>
          <w:p w14:paraId="524358B3">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氰化氢</w:t>
            </w:r>
          </w:p>
        </w:tc>
        <w:tc>
          <w:tcPr>
            <w:tcW w:w="553" w:type="pct"/>
            <w:vAlign w:val="center"/>
          </w:tcPr>
          <w:p w14:paraId="7CAE99EC">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5153FD33">
            <w:pPr>
              <w:widowControl/>
              <w:spacing w:line="240" w:lineRule="auto"/>
              <w:ind w:firstLine="0" w:firstLineChars="0"/>
              <w:jc w:val="center"/>
              <w:rPr>
                <w:rFonts w:eastAsia="等线"/>
                <w:color w:val="000000"/>
                <w:sz w:val="21"/>
                <w:szCs w:val="21"/>
              </w:rPr>
            </w:pPr>
            <w:r>
              <w:rPr>
                <w:rFonts w:eastAsia="等线"/>
                <w:color w:val="000000"/>
                <w:sz w:val="21"/>
                <w:szCs w:val="21"/>
              </w:rPr>
              <w:t>0.02</w:t>
            </w:r>
          </w:p>
        </w:tc>
        <w:tc>
          <w:tcPr>
            <w:tcW w:w="553" w:type="pct"/>
            <w:vAlign w:val="center"/>
          </w:tcPr>
          <w:p w14:paraId="1E258125">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0.02 </w:t>
            </w:r>
          </w:p>
        </w:tc>
        <w:tc>
          <w:tcPr>
            <w:tcW w:w="683" w:type="pct"/>
            <w:vAlign w:val="center"/>
          </w:tcPr>
          <w:p w14:paraId="1FD82656">
            <w:pPr>
              <w:widowControl/>
              <w:spacing w:line="240" w:lineRule="auto"/>
              <w:ind w:firstLine="0" w:firstLineChars="0"/>
              <w:jc w:val="center"/>
              <w:rPr>
                <w:rFonts w:eastAsia="等线"/>
                <w:color w:val="000000"/>
                <w:sz w:val="21"/>
                <w:szCs w:val="21"/>
              </w:rPr>
            </w:pPr>
            <w:r>
              <w:rPr>
                <w:rFonts w:eastAsia="等线"/>
                <w:color w:val="000000"/>
                <w:sz w:val="21"/>
                <w:szCs w:val="21"/>
              </w:rPr>
              <w:t>0.001</w:t>
            </w:r>
          </w:p>
        </w:tc>
      </w:tr>
      <w:tr w14:paraId="7BA61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2EAF7630">
            <w:pPr>
              <w:widowControl/>
              <w:spacing w:line="240" w:lineRule="auto"/>
              <w:ind w:firstLine="0" w:firstLineChars="0"/>
              <w:jc w:val="left"/>
              <w:rPr>
                <w:rFonts w:hint="eastAsia" w:ascii="宋体" w:hAnsi="宋体" w:cs="宋体"/>
                <w:color w:val="000000"/>
                <w:sz w:val="21"/>
                <w:szCs w:val="21"/>
              </w:rPr>
            </w:pPr>
          </w:p>
        </w:tc>
        <w:tc>
          <w:tcPr>
            <w:tcW w:w="753" w:type="pct"/>
            <w:vMerge w:val="continue"/>
            <w:vAlign w:val="center"/>
          </w:tcPr>
          <w:p w14:paraId="1C55EB61">
            <w:pPr>
              <w:widowControl/>
              <w:spacing w:line="240" w:lineRule="auto"/>
              <w:ind w:firstLine="0" w:firstLineChars="0"/>
              <w:jc w:val="left"/>
              <w:rPr>
                <w:rFonts w:hint="eastAsia" w:ascii="宋体" w:hAnsi="宋体" w:cs="宋体"/>
                <w:color w:val="000000"/>
                <w:sz w:val="21"/>
                <w:szCs w:val="21"/>
              </w:rPr>
            </w:pPr>
          </w:p>
        </w:tc>
        <w:tc>
          <w:tcPr>
            <w:tcW w:w="1125" w:type="pct"/>
            <w:vAlign w:val="center"/>
          </w:tcPr>
          <w:p w14:paraId="273396D8">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酚类</w:t>
            </w:r>
          </w:p>
        </w:tc>
        <w:tc>
          <w:tcPr>
            <w:tcW w:w="553" w:type="pct"/>
            <w:vAlign w:val="center"/>
          </w:tcPr>
          <w:p w14:paraId="012EB590">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77F807A9">
            <w:pPr>
              <w:widowControl/>
              <w:spacing w:line="240" w:lineRule="auto"/>
              <w:ind w:firstLine="0" w:firstLineChars="0"/>
              <w:jc w:val="center"/>
              <w:rPr>
                <w:rFonts w:eastAsia="等线"/>
                <w:color w:val="000000"/>
                <w:sz w:val="21"/>
                <w:szCs w:val="21"/>
              </w:rPr>
            </w:pPr>
            <w:r>
              <w:rPr>
                <w:rFonts w:eastAsia="等线"/>
                <w:color w:val="000000"/>
                <w:sz w:val="21"/>
                <w:szCs w:val="21"/>
              </w:rPr>
              <w:t>0.12</w:t>
            </w:r>
          </w:p>
        </w:tc>
        <w:tc>
          <w:tcPr>
            <w:tcW w:w="553" w:type="pct"/>
            <w:vAlign w:val="center"/>
          </w:tcPr>
          <w:p w14:paraId="014AE100">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0.11 </w:t>
            </w:r>
          </w:p>
        </w:tc>
        <w:tc>
          <w:tcPr>
            <w:tcW w:w="683" w:type="pct"/>
            <w:vAlign w:val="center"/>
          </w:tcPr>
          <w:p w14:paraId="30A66CBB">
            <w:pPr>
              <w:widowControl/>
              <w:spacing w:line="240" w:lineRule="auto"/>
              <w:ind w:firstLine="0" w:firstLineChars="0"/>
              <w:jc w:val="center"/>
              <w:rPr>
                <w:rFonts w:eastAsia="等线"/>
                <w:color w:val="000000"/>
                <w:sz w:val="21"/>
                <w:szCs w:val="21"/>
              </w:rPr>
            </w:pPr>
            <w:r>
              <w:rPr>
                <w:rFonts w:eastAsia="等线"/>
                <w:color w:val="000000"/>
                <w:sz w:val="21"/>
                <w:szCs w:val="21"/>
              </w:rPr>
              <w:t>0.01</w:t>
            </w:r>
          </w:p>
        </w:tc>
      </w:tr>
      <w:tr w14:paraId="16812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2CD24BA2">
            <w:pPr>
              <w:widowControl/>
              <w:spacing w:line="240" w:lineRule="auto"/>
              <w:ind w:firstLine="0" w:firstLineChars="0"/>
              <w:jc w:val="left"/>
              <w:rPr>
                <w:rFonts w:hint="eastAsia" w:ascii="宋体" w:hAnsi="宋体" w:cs="宋体"/>
                <w:color w:val="000000"/>
                <w:sz w:val="21"/>
                <w:szCs w:val="21"/>
              </w:rPr>
            </w:pPr>
          </w:p>
        </w:tc>
        <w:tc>
          <w:tcPr>
            <w:tcW w:w="753" w:type="pct"/>
            <w:vMerge w:val="continue"/>
            <w:vAlign w:val="center"/>
          </w:tcPr>
          <w:p w14:paraId="1AAC501C">
            <w:pPr>
              <w:widowControl/>
              <w:spacing w:line="240" w:lineRule="auto"/>
              <w:ind w:firstLine="0" w:firstLineChars="0"/>
              <w:jc w:val="left"/>
              <w:rPr>
                <w:rFonts w:hint="eastAsia" w:ascii="宋体" w:hAnsi="宋体" w:cs="宋体"/>
                <w:color w:val="000000"/>
                <w:sz w:val="21"/>
                <w:szCs w:val="21"/>
              </w:rPr>
            </w:pPr>
          </w:p>
        </w:tc>
        <w:tc>
          <w:tcPr>
            <w:tcW w:w="1125" w:type="pct"/>
            <w:vAlign w:val="center"/>
          </w:tcPr>
          <w:p w14:paraId="5F89F5DF">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氨</w:t>
            </w:r>
          </w:p>
        </w:tc>
        <w:tc>
          <w:tcPr>
            <w:tcW w:w="553" w:type="pct"/>
            <w:vAlign w:val="center"/>
          </w:tcPr>
          <w:p w14:paraId="4AAA5297">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032F37E3">
            <w:pPr>
              <w:widowControl/>
              <w:spacing w:line="240" w:lineRule="auto"/>
              <w:ind w:firstLine="0" w:firstLineChars="0"/>
              <w:jc w:val="center"/>
              <w:rPr>
                <w:rFonts w:eastAsia="等线"/>
                <w:color w:val="000000"/>
                <w:sz w:val="21"/>
                <w:szCs w:val="21"/>
              </w:rPr>
            </w:pPr>
            <w:r>
              <w:rPr>
                <w:rFonts w:eastAsia="等线"/>
                <w:color w:val="000000"/>
                <w:sz w:val="21"/>
                <w:szCs w:val="21"/>
              </w:rPr>
              <w:t>1.22</w:t>
            </w:r>
          </w:p>
        </w:tc>
        <w:tc>
          <w:tcPr>
            <w:tcW w:w="553" w:type="pct"/>
            <w:vAlign w:val="center"/>
          </w:tcPr>
          <w:p w14:paraId="457FA873">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1.13 </w:t>
            </w:r>
          </w:p>
        </w:tc>
        <w:tc>
          <w:tcPr>
            <w:tcW w:w="683" w:type="pct"/>
            <w:vAlign w:val="center"/>
          </w:tcPr>
          <w:p w14:paraId="4D6E2B55">
            <w:pPr>
              <w:widowControl/>
              <w:spacing w:line="240" w:lineRule="auto"/>
              <w:ind w:firstLine="0" w:firstLineChars="0"/>
              <w:jc w:val="center"/>
              <w:rPr>
                <w:rFonts w:eastAsia="等线"/>
                <w:color w:val="000000"/>
                <w:sz w:val="21"/>
                <w:szCs w:val="21"/>
              </w:rPr>
            </w:pPr>
            <w:r>
              <w:rPr>
                <w:rFonts w:eastAsia="等线"/>
                <w:color w:val="000000"/>
                <w:sz w:val="21"/>
                <w:szCs w:val="21"/>
              </w:rPr>
              <w:t>0.10</w:t>
            </w:r>
          </w:p>
        </w:tc>
      </w:tr>
      <w:tr w14:paraId="7315D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73D19E37">
            <w:pPr>
              <w:widowControl/>
              <w:spacing w:line="240" w:lineRule="auto"/>
              <w:ind w:firstLine="0" w:firstLineChars="0"/>
              <w:jc w:val="left"/>
              <w:rPr>
                <w:rFonts w:hint="eastAsia" w:ascii="宋体" w:hAnsi="宋体" w:cs="宋体"/>
                <w:color w:val="000000"/>
                <w:sz w:val="21"/>
                <w:szCs w:val="21"/>
              </w:rPr>
            </w:pPr>
          </w:p>
        </w:tc>
        <w:tc>
          <w:tcPr>
            <w:tcW w:w="753" w:type="pct"/>
            <w:vMerge w:val="continue"/>
            <w:vAlign w:val="center"/>
          </w:tcPr>
          <w:p w14:paraId="4BAF913A">
            <w:pPr>
              <w:widowControl/>
              <w:spacing w:line="240" w:lineRule="auto"/>
              <w:ind w:firstLine="0" w:firstLineChars="0"/>
              <w:jc w:val="left"/>
              <w:rPr>
                <w:rFonts w:hint="eastAsia" w:ascii="宋体" w:hAnsi="宋体" w:cs="宋体"/>
                <w:color w:val="000000"/>
                <w:sz w:val="21"/>
                <w:szCs w:val="21"/>
              </w:rPr>
            </w:pPr>
          </w:p>
        </w:tc>
        <w:tc>
          <w:tcPr>
            <w:tcW w:w="1125" w:type="pct"/>
            <w:vAlign w:val="center"/>
          </w:tcPr>
          <w:p w14:paraId="2963319E">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硫化氢</w:t>
            </w:r>
          </w:p>
        </w:tc>
        <w:tc>
          <w:tcPr>
            <w:tcW w:w="553" w:type="pct"/>
            <w:vAlign w:val="center"/>
          </w:tcPr>
          <w:p w14:paraId="5D73422E">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29BEB900">
            <w:pPr>
              <w:widowControl/>
              <w:spacing w:line="240" w:lineRule="auto"/>
              <w:ind w:firstLine="0" w:firstLineChars="0"/>
              <w:jc w:val="center"/>
              <w:rPr>
                <w:rFonts w:eastAsia="等线"/>
                <w:color w:val="000000"/>
                <w:sz w:val="21"/>
                <w:szCs w:val="21"/>
              </w:rPr>
            </w:pPr>
            <w:r>
              <w:rPr>
                <w:rFonts w:eastAsia="等线"/>
                <w:color w:val="000000"/>
                <w:sz w:val="21"/>
                <w:szCs w:val="21"/>
              </w:rPr>
              <w:t>0.24</w:t>
            </w:r>
          </w:p>
        </w:tc>
        <w:tc>
          <w:tcPr>
            <w:tcW w:w="553" w:type="pct"/>
            <w:vAlign w:val="center"/>
          </w:tcPr>
          <w:p w14:paraId="14CC0A1F">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0.22 </w:t>
            </w:r>
          </w:p>
        </w:tc>
        <w:tc>
          <w:tcPr>
            <w:tcW w:w="683" w:type="pct"/>
            <w:vAlign w:val="center"/>
          </w:tcPr>
          <w:p w14:paraId="72AD07EC">
            <w:pPr>
              <w:widowControl/>
              <w:spacing w:line="240" w:lineRule="auto"/>
              <w:ind w:firstLine="0" w:firstLineChars="0"/>
              <w:jc w:val="center"/>
              <w:rPr>
                <w:rFonts w:eastAsia="等线"/>
                <w:color w:val="000000"/>
                <w:sz w:val="21"/>
                <w:szCs w:val="21"/>
              </w:rPr>
            </w:pPr>
            <w:r>
              <w:rPr>
                <w:rFonts w:eastAsia="等线"/>
                <w:color w:val="000000"/>
                <w:sz w:val="21"/>
                <w:szCs w:val="21"/>
              </w:rPr>
              <w:t>0.02</w:t>
            </w:r>
          </w:p>
        </w:tc>
      </w:tr>
      <w:tr w14:paraId="772E9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292EC12D">
            <w:pPr>
              <w:widowControl/>
              <w:spacing w:line="240" w:lineRule="auto"/>
              <w:ind w:firstLine="0" w:firstLineChars="0"/>
              <w:jc w:val="left"/>
              <w:rPr>
                <w:rFonts w:hint="eastAsia" w:ascii="宋体" w:hAnsi="宋体" w:cs="宋体"/>
                <w:color w:val="000000"/>
                <w:sz w:val="21"/>
                <w:szCs w:val="21"/>
              </w:rPr>
            </w:pPr>
          </w:p>
        </w:tc>
        <w:tc>
          <w:tcPr>
            <w:tcW w:w="753" w:type="pct"/>
            <w:vMerge w:val="continue"/>
            <w:vAlign w:val="center"/>
          </w:tcPr>
          <w:p w14:paraId="01B5ACCD">
            <w:pPr>
              <w:widowControl/>
              <w:spacing w:line="240" w:lineRule="auto"/>
              <w:ind w:firstLine="0" w:firstLineChars="0"/>
              <w:jc w:val="left"/>
              <w:rPr>
                <w:rFonts w:hint="eastAsia" w:ascii="宋体" w:hAnsi="宋体" w:cs="宋体"/>
                <w:color w:val="000000"/>
                <w:sz w:val="21"/>
                <w:szCs w:val="21"/>
              </w:rPr>
            </w:pPr>
          </w:p>
        </w:tc>
        <w:tc>
          <w:tcPr>
            <w:tcW w:w="1125" w:type="pct"/>
            <w:vAlign w:val="center"/>
          </w:tcPr>
          <w:p w14:paraId="31B2D298">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非甲烷总烃</w:t>
            </w:r>
          </w:p>
        </w:tc>
        <w:tc>
          <w:tcPr>
            <w:tcW w:w="553" w:type="pct"/>
            <w:vAlign w:val="center"/>
          </w:tcPr>
          <w:p w14:paraId="3445EBCF">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797445D4">
            <w:pPr>
              <w:widowControl/>
              <w:spacing w:line="240" w:lineRule="auto"/>
              <w:ind w:firstLine="0" w:firstLineChars="0"/>
              <w:jc w:val="center"/>
              <w:rPr>
                <w:rFonts w:eastAsia="等线"/>
                <w:color w:val="000000"/>
                <w:sz w:val="21"/>
                <w:szCs w:val="21"/>
              </w:rPr>
            </w:pPr>
            <w:r>
              <w:rPr>
                <w:rFonts w:hint="eastAsia" w:eastAsia="等线"/>
                <w:color w:val="000000"/>
                <w:sz w:val="21"/>
                <w:szCs w:val="21"/>
              </w:rPr>
              <w:t>14.25</w:t>
            </w:r>
          </w:p>
        </w:tc>
        <w:tc>
          <w:tcPr>
            <w:tcW w:w="553" w:type="pct"/>
            <w:vAlign w:val="center"/>
          </w:tcPr>
          <w:p w14:paraId="7CA7C9DA">
            <w:pPr>
              <w:widowControl/>
              <w:spacing w:line="240" w:lineRule="auto"/>
              <w:ind w:firstLine="0" w:firstLineChars="0"/>
              <w:jc w:val="center"/>
              <w:rPr>
                <w:rFonts w:eastAsia="等线"/>
                <w:color w:val="000000"/>
                <w:sz w:val="21"/>
                <w:szCs w:val="21"/>
              </w:rPr>
            </w:pPr>
            <w:r>
              <w:rPr>
                <w:rFonts w:hint="eastAsia" w:eastAsia="等线"/>
                <w:color w:val="000000"/>
                <w:sz w:val="21"/>
                <w:szCs w:val="21"/>
              </w:rPr>
              <w:t>13.44</w:t>
            </w:r>
          </w:p>
        </w:tc>
        <w:tc>
          <w:tcPr>
            <w:tcW w:w="683" w:type="pct"/>
            <w:vAlign w:val="center"/>
          </w:tcPr>
          <w:p w14:paraId="4BF7A981">
            <w:pPr>
              <w:widowControl/>
              <w:spacing w:line="240" w:lineRule="auto"/>
              <w:ind w:firstLine="0" w:firstLineChars="0"/>
              <w:jc w:val="center"/>
              <w:rPr>
                <w:rFonts w:eastAsia="等线"/>
                <w:color w:val="000000"/>
                <w:sz w:val="21"/>
                <w:szCs w:val="21"/>
              </w:rPr>
            </w:pPr>
            <w:r>
              <w:rPr>
                <w:rFonts w:hint="eastAsia" w:eastAsia="等线"/>
                <w:color w:val="000000"/>
                <w:sz w:val="21"/>
                <w:szCs w:val="21"/>
              </w:rPr>
              <w:t>0.81</w:t>
            </w:r>
          </w:p>
        </w:tc>
      </w:tr>
      <w:tr w14:paraId="1936F0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51582CE4">
            <w:pPr>
              <w:widowControl/>
              <w:spacing w:line="240" w:lineRule="auto"/>
              <w:ind w:firstLine="0" w:firstLineChars="0"/>
              <w:jc w:val="left"/>
              <w:rPr>
                <w:rFonts w:hint="eastAsia" w:ascii="宋体" w:hAnsi="宋体" w:cs="宋体"/>
                <w:color w:val="000000"/>
                <w:sz w:val="21"/>
                <w:szCs w:val="21"/>
              </w:rPr>
            </w:pPr>
          </w:p>
        </w:tc>
        <w:tc>
          <w:tcPr>
            <w:tcW w:w="753" w:type="pct"/>
            <w:vMerge w:val="continue"/>
            <w:vAlign w:val="center"/>
          </w:tcPr>
          <w:p w14:paraId="3EBEF4FB">
            <w:pPr>
              <w:widowControl/>
              <w:spacing w:line="240" w:lineRule="auto"/>
              <w:ind w:firstLine="0" w:firstLineChars="0"/>
              <w:jc w:val="left"/>
              <w:rPr>
                <w:rFonts w:hint="eastAsia" w:ascii="宋体" w:hAnsi="宋体" w:cs="宋体"/>
                <w:color w:val="000000"/>
                <w:sz w:val="21"/>
                <w:szCs w:val="21"/>
              </w:rPr>
            </w:pPr>
          </w:p>
        </w:tc>
        <w:tc>
          <w:tcPr>
            <w:tcW w:w="1125" w:type="pct"/>
            <w:vAlign w:val="center"/>
          </w:tcPr>
          <w:p w14:paraId="3EC905F8">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二氧化硫</w:t>
            </w:r>
          </w:p>
        </w:tc>
        <w:tc>
          <w:tcPr>
            <w:tcW w:w="553" w:type="pct"/>
            <w:vAlign w:val="center"/>
          </w:tcPr>
          <w:p w14:paraId="40F6CB31">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56DDF74F">
            <w:pPr>
              <w:widowControl/>
              <w:spacing w:line="240" w:lineRule="auto"/>
              <w:ind w:firstLine="0" w:firstLineChars="0"/>
              <w:jc w:val="center"/>
              <w:rPr>
                <w:rFonts w:eastAsia="等线"/>
                <w:color w:val="000000"/>
                <w:sz w:val="21"/>
                <w:szCs w:val="21"/>
              </w:rPr>
            </w:pPr>
            <w:r>
              <w:rPr>
                <w:rFonts w:eastAsia="等线"/>
                <w:color w:val="000000"/>
                <w:sz w:val="21"/>
                <w:szCs w:val="21"/>
              </w:rPr>
              <w:t>66.58</w:t>
            </w:r>
          </w:p>
        </w:tc>
        <w:tc>
          <w:tcPr>
            <w:tcW w:w="553" w:type="pct"/>
            <w:vAlign w:val="center"/>
          </w:tcPr>
          <w:p w14:paraId="1C6569BE">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59.92 </w:t>
            </w:r>
          </w:p>
        </w:tc>
        <w:tc>
          <w:tcPr>
            <w:tcW w:w="683" w:type="pct"/>
            <w:vAlign w:val="center"/>
          </w:tcPr>
          <w:p w14:paraId="799661E8">
            <w:pPr>
              <w:widowControl/>
              <w:spacing w:line="240" w:lineRule="auto"/>
              <w:ind w:firstLine="0" w:firstLineChars="0"/>
              <w:jc w:val="center"/>
              <w:rPr>
                <w:rFonts w:eastAsia="等线"/>
                <w:color w:val="000000"/>
                <w:sz w:val="21"/>
                <w:szCs w:val="21"/>
              </w:rPr>
            </w:pPr>
            <w:r>
              <w:rPr>
                <w:rFonts w:eastAsia="等线"/>
                <w:color w:val="000000"/>
                <w:sz w:val="21"/>
                <w:szCs w:val="21"/>
              </w:rPr>
              <w:t>6.66</w:t>
            </w:r>
          </w:p>
        </w:tc>
      </w:tr>
      <w:tr w14:paraId="62655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6BC2A080">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24944F61">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非甲烷总烃（有组织+无组织）</w:t>
            </w:r>
          </w:p>
        </w:tc>
        <w:tc>
          <w:tcPr>
            <w:tcW w:w="553" w:type="pct"/>
            <w:vAlign w:val="center"/>
          </w:tcPr>
          <w:p w14:paraId="68B5FFE5">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2926F538">
            <w:pPr>
              <w:widowControl/>
              <w:spacing w:line="240" w:lineRule="auto"/>
              <w:ind w:firstLine="0" w:firstLineChars="0"/>
              <w:jc w:val="center"/>
              <w:rPr>
                <w:rFonts w:eastAsia="等线"/>
                <w:color w:val="000000"/>
                <w:sz w:val="21"/>
                <w:szCs w:val="21"/>
              </w:rPr>
            </w:pPr>
            <w:r>
              <w:rPr>
                <w:rFonts w:eastAsia="等线"/>
                <w:color w:val="000000"/>
                <w:sz w:val="21"/>
                <w:szCs w:val="21"/>
              </w:rPr>
              <w:t>27.0</w:t>
            </w:r>
            <w:r>
              <w:rPr>
                <w:rFonts w:hint="eastAsia" w:eastAsia="等线"/>
                <w:color w:val="000000"/>
                <w:sz w:val="21"/>
                <w:szCs w:val="21"/>
              </w:rPr>
              <w:t>1</w:t>
            </w:r>
          </w:p>
        </w:tc>
        <w:tc>
          <w:tcPr>
            <w:tcW w:w="553" w:type="pct"/>
            <w:vAlign w:val="center"/>
          </w:tcPr>
          <w:p w14:paraId="569A36F1">
            <w:pPr>
              <w:widowControl/>
              <w:spacing w:line="240" w:lineRule="auto"/>
              <w:ind w:firstLine="0" w:firstLineChars="0"/>
              <w:jc w:val="center"/>
              <w:rPr>
                <w:rFonts w:eastAsia="等线"/>
                <w:color w:val="000000"/>
                <w:sz w:val="21"/>
                <w:szCs w:val="21"/>
              </w:rPr>
            </w:pPr>
            <w:r>
              <w:rPr>
                <w:rFonts w:eastAsia="等线"/>
                <w:color w:val="000000"/>
                <w:sz w:val="21"/>
                <w:szCs w:val="21"/>
              </w:rPr>
              <w:t>25.8</w:t>
            </w:r>
            <w:r>
              <w:rPr>
                <w:rFonts w:hint="eastAsia" w:eastAsia="等线"/>
                <w:color w:val="000000"/>
                <w:sz w:val="21"/>
                <w:szCs w:val="21"/>
              </w:rPr>
              <w:t>2</w:t>
            </w:r>
          </w:p>
        </w:tc>
        <w:tc>
          <w:tcPr>
            <w:tcW w:w="683" w:type="pct"/>
            <w:vAlign w:val="center"/>
          </w:tcPr>
          <w:p w14:paraId="753A8DF8">
            <w:pPr>
              <w:widowControl/>
              <w:spacing w:line="240" w:lineRule="auto"/>
              <w:ind w:firstLine="0" w:firstLineChars="0"/>
              <w:jc w:val="center"/>
              <w:rPr>
                <w:rFonts w:eastAsia="等线"/>
                <w:color w:val="000000"/>
                <w:sz w:val="21"/>
                <w:szCs w:val="21"/>
              </w:rPr>
            </w:pPr>
            <w:r>
              <w:rPr>
                <w:rFonts w:eastAsia="等线"/>
                <w:color w:val="000000"/>
                <w:sz w:val="21"/>
                <w:szCs w:val="21"/>
              </w:rPr>
              <w:t>1.</w:t>
            </w:r>
            <w:r>
              <w:rPr>
                <w:rFonts w:hint="eastAsia" w:eastAsia="等线"/>
                <w:color w:val="000000"/>
                <w:sz w:val="21"/>
                <w:szCs w:val="21"/>
              </w:rPr>
              <w:t>19</w:t>
            </w:r>
          </w:p>
        </w:tc>
      </w:tr>
      <w:tr w14:paraId="34274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restart"/>
            <w:vAlign w:val="center"/>
          </w:tcPr>
          <w:p w14:paraId="657FB949">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废水</w:t>
            </w:r>
          </w:p>
        </w:tc>
        <w:tc>
          <w:tcPr>
            <w:tcW w:w="1878" w:type="pct"/>
            <w:gridSpan w:val="2"/>
            <w:vAlign w:val="center"/>
          </w:tcPr>
          <w:p w14:paraId="6FF42259">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废水量</w:t>
            </w:r>
          </w:p>
        </w:tc>
        <w:tc>
          <w:tcPr>
            <w:tcW w:w="553" w:type="pct"/>
            <w:vAlign w:val="center"/>
          </w:tcPr>
          <w:p w14:paraId="03D6A1B4">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万</w:t>
            </w:r>
            <w:r>
              <w:rPr>
                <w:color w:val="000000"/>
                <w:sz w:val="21"/>
                <w:szCs w:val="21"/>
              </w:rPr>
              <w:t>t/a</w:t>
            </w:r>
          </w:p>
        </w:tc>
        <w:tc>
          <w:tcPr>
            <w:tcW w:w="683" w:type="pct"/>
            <w:vAlign w:val="center"/>
          </w:tcPr>
          <w:p w14:paraId="5C06231F">
            <w:pPr>
              <w:widowControl/>
              <w:spacing w:line="240" w:lineRule="auto"/>
              <w:ind w:firstLine="0" w:firstLineChars="0"/>
              <w:jc w:val="center"/>
              <w:rPr>
                <w:rFonts w:eastAsia="等线"/>
                <w:color w:val="000000"/>
                <w:sz w:val="21"/>
                <w:szCs w:val="21"/>
              </w:rPr>
            </w:pPr>
            <w:r>
              <w:rPr>
                <w:rFonts w:eastAsia="等线"/>
                <w:color w:val="000000"/>
                <w:sz w:val="21"/>
                <w:szCs w:val="21"/>
              </w:rPr>
              <w:t>19.</w:t>
            </w:r>
            <w:r>
              <w:rPr>
                <w:rFonts w:hint="eastAsia" w:eastAsia="等线"/>
                <w:color w:val="000000"/>
                <w:sz w:val="21"/>
                <w:szCs w:val="21"/>
              </w:rPr>
              <w:t>2</w:t>
            </w:r>
            <w:r>
              <w:rPr>
                <w:rFonts w:eastAsia="等线"/>
                <w:color w:val="000000"/>
                <w:sz w:val="21"/>
                <w:szCs w:val="21"/>
              </w:rPr>
              <w:t>3</w:t>
            </w:r>
          </w:p>
        </w:tc>
        <w:tc>
          <w:tcPr>
            <w:tcW w:w="553" w:type="pct"/>
            <w:vAlign w:val="center"/>
          </w:tcPr>
          <w:p w14:paraId="727E46F5">
            <w:pPr>
              <w:widowControl/>
              <w:spacing w:line="240" w:lineRule="auto"/>
              <w:ind w:firstLine="0" w:firstLineChars="0"/>
              <w:jc w:val="center"/>
              <w:rPr>
                <w:rFonts w:eastAsia="等线"/>
                <w:color w:val="000000"/>
                <w:sz w:val="21"/>
                <w:szCs w:val="21"/>
              </w:rPr>
            </w:pPr>
            <w:r>
              <w:rPr>
                <w:rFonts w:eastAsia="等线"/>
                <w:color w:val="000000"/>
                <w:sz w:val="21"/>
                <w:szCs w:val="21"/>
              </w:rPr>
              <w:t>19.</w:t>
            </w:r>
            <w:r>
              <w:rPr>
                <w:rFonts w:hint="eastAsia" w:eastAsia="等线"/>
                <w:color w:val="000000"/>
                <w:sz w:val="21"/>
                <w:szCs w:val="21"/>
              </w:rPr>
              <w:t>2</w:t>
            </w:r>
            <w:r>
              <w:rPr>
                <w:rFonts w:eastAsia="等线"/>
                <w:color w:val="000000"/>
                <w:sz w:val="21"/>
                <w:szCs w:val="21"/>
              </w:rPr>
              <w:t xml:space="preserve">3 </w:t>
            </w:r>
          </w:p>
        </w:tc>
        <w:tc>
          <w:tcPr>
            <w:tcW w:w="683" w:type="pct"/>
            <w:vAlign w:val="center"/>
          </w:tcPr>
          <w:p w14:paraId="71751804">
            <w:pPr>
              <w:widowControl/>
              <w:spacing w:line="240" w:lineRule="auto"/>
              <w:ind w:firstLine="0" w:firstLineChars="0"/>
              <w:jc w:val="center"/>
              <w:rPr>
                <w:rFonts w:eastAsia="等线"/>
                <w:color w:val="000000"/>
                <w:sz w:val="21"/>
                <w:szCs w:val="21"/>
              </w:rPr>
            </w:pPr>
            <w:r>
              <w:rPr>
                <w:rFonts w:eastAsia="等线"/>
                <w:color w:val="000000"/>
                <w:sz w:val="21"/>
                <w:szCs w:val="21"/>
              </w:rPr>
              <w:t>0</w:t>
            </w:r>
          </w:p>
        </w:tc>
      </w:tr>
      <w:tr w14:paraId="00D23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626BF7AD">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630983B5">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化学需氧量</w:t>
            </w:r>
          </w:p>
        </w:tc>
        <w:tc>
          <w:tcPr>
            <w:tcW w:w="553" w:type="pct"/>
            <w:vAlign w:val="center"/>
          </w:tcPr>
          <w:p w14:paraId="7F0EAB1D">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70C77B1B">
            <w:pPr>
              <w:widowControl/>
              <w:spacing w:line="240" w:lineRule="auto"/>
              <w:ind w:firstLine="0" w:firstLineChars="0"/>
              <w:jc w:val="center"/>
              <w:rPr>
                <w:rFonts w:eastAsia="等线"/>
                <w:color w:val="000000"/>
                <w:sz w:val="21"/>
                <w:szCs w:val="21"/>
              </w:rPr>
            </w:pPr>
            <w:r>
              <w:rPr>
                <w:rFonts w:eastAsia="等线"/>
                <w:color w:val="000000"/>
                <w:sz w:val="21"/>
                <w:szCs w:val="21"/>
              </w:rPr>
              <w:t>25</w:t>
            </w:r>
            <w:r>
              <w:rPr>
                <w:rFonts w:hint="eastAsia" w:eastAsia="等线"/>
                <w:color w:val="000000"/>
                <w:sz w:val="21"/>
                <w:szCs w:val="21"/>
              </w:rPr>
              <w:t>17.20</w:t>
            </w:r>
          </w:p>
        </w:tc>
        <w:tc>
          <w:tcPr>
            <w:tcW w:w="553" w:type="pct"/>
            <w:vAlign w:val="center"/>
          </w:tcPr>
          <w:p w14:paraId="2FCAB983">
            <w:pPr>
              <w:widowControl/>
              <w:spacing w:line="240" w:lineRule="auto"/>
              <w:ind w:firstLine="0" w:firstLineChars="0"/>
              <w:jc w:val="center"/>
              <w:rPr>
                <w:rFonts w:eastAsia="等线"/>
                <w:color w:val="000000"/>
                <w:sz w:val="21"/>
                <w:szCs w:val="21"/>
              </w:rPr>
            </w:pPr>
            <w:r>
              <w:rPr>
                <w:rFonts w:eastAsia="等线"/>
                <w:color w:val="000000"/>
                <w:sz w:val="21"/>
                <w:szCs w:val="21"/>
              </w:rPr>
              <w:t>25</w:t>
            </w:r>
            <w:r>
              <w:rPr>
                <w:rFonts w:hint="eastAsia" w:eastAsia="等线"/>
                <w:color w:val="000000"/>
                <w:sz w:val="21"/>
                <w:szCs w:val="21"/>
              </w:rPr>
              <w:t>17.20</w:t>
            </w:r>
          </w:p>
        </w:tc>
        <w:tc>
          <w:tcPr>
            <w:tcW w:w="683" w:type="pct"/>
            <w:vAlign w:val="center"/>
          </w:tcPr>
          <w:p w14:paraId="0F3BB66D">
            <w:pPr>
              <w:widowControl/>
              <w:spacing w:line="240" w:lineRule="auto"/>
              <w:ind w:firstLine="0" w:firstLineChars="0"/>
              <w:jc w:val="center"/>
              <w:rPr>
                <w:rFonts w:eastAsia="等线"/>
                <w:color w:val="000000"/>
                <w:sz w:val="21"/>
                <w:szCs w:val="21"/>
              </w:rPr>
            </w:pPr>
            <w:r>
              <w:rPr>
                <w:rFonts w:eastAsia="等线"/>
                <w:color w:val="000000"/>
                <w:sz w:val="21"/>
                <w:szCs w:val="21"/>
              </w:rPr>
              <w:t>0</w:t>
            </w:r>
          </w:p>
        </w:tc>
      </w:tr>
      <w:tr w14:paraId="5FCEA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1B06607F">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5EB0ADF8">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氨氮</w:t>
            </w:r>
          </w:p>
        </w:tc>
        <w:tc>
          <w:tcPr>
            <w:tcW w:w="553" w:type="pct"/>
            <w:vAlign w:val="center"/>
          </w:tcPr>
          <w:p w14:paraId="3B0EF386">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47A1378B">
            <w:pPr>
              <w:widowControl/>
              <w:spacing w:line="240" w:lineRule="auto"/>
              <w:ind w:firstLine="0" w:firstLineChars="0"/>
              <w:jc w:val="center"/>
              <w:rPr>
                <w:rFonts w:eastAsia="等线"/>
                <w:color w:val="000000"/>
                <w:sz w:val="21"/>
                <w:szCs w:val="21"/>
              </w:rPr>
            </w:pPr>
            <w:r>
              <w:rPr>
                <w:rFonts w:eastAsia="等线"/>
                <w:color w:val="000000"/>
                <w:sz w:val="21"/>
                <w:szCs w:val="21"/>
              </w:rPr>
              <w:t>28</w:t>
            </w:r>
            <w:r>
              <w:rPr>
                <w:rFonts w:hint="eastAsia" w:eastAsia="等线"/>
                <w:color w:val="000000"/>
                <w:sz w:val="21"/>
                <w:szCs w:val="21"/>
              </w:rPr>
              <w:t>3.17</w:t>
            </w:r>
          </w:p>
        </w:tc>
        <w:tc>
          <w:tcPr>
            <w:tcW w:w="553" w:type="pct"/>
            <w:vAlign w:val="center"/>
          </w:tcPr>
          <w:p w14:paraId="0EDC9D80">
            <w:pPr>
              <w:widowControl/>
              <w:spacing w:line="240" w:lineRule="auto"/>
              <w:ind w:firstLine="0" w:firstLineChars="0"/>
              <w:jc w:val="center"/>
              <w:rPr>
                <w:rFonts w:eastAsia="等线"/>
                <w:color w:val="000000"/>
                <w:sz w:val="21"/>
                <w:szCs w:val="21"/>
              </w:rPr>
            </w:pPr>
            <w:r>
              <w:rPr>
                <w:rFonts w:eastAsia="等线"/>
                <w:color w:val="000000"/>
                <w:sz w:val="21"/>
                <w:szCs w:val="21"/>
              </w:rPr>
              <w:t>28</w:t>
            </w:r>
            <w:r>
              <w:rPr>
                <w:rFonts w:hint="eastAsia" w:eastAsia="等线"/>
                <w:color w:val="000000"/>
                <w:sz w:val="21"/>
                <w:szCs w:val="21"/>
              </w:rPr>
              <w:t>3.17</w:t>
            </w:r>
          </w:p>
        </w:tc>
        <w:tc>
          <w:tcPr>
            <w:tcW w:w="683" w:type="pct"/>
            <w:vAlign w:val="center"/>
          </w:tcPr>
          <w:p w14:paraId="4092EE59">
            <w:pPr>
              <w:widowControl/>
              <w:spacing w:line="240" w:lineRule="auto"/>
              <w:ind w:firstLine="0" w:firstLineChars="0"/>
              <w:jc w:val="center"/>
              <w:rPr>
                <w:rFonts w:eastAsia="等线"/>
                <w:color w:val="000000"/>
                <w:sz w:val="21"/>
                <w:szCs w:val="21"/>
              </w:rPr>
            </w:pPr>
            <w:r>
              <w:rPr>
                <w:rFonts w:eastAsia="等线"/>
                <w:color w:val="000000"/>
                <w:sz w:val="21"/>
                <w:szCs w:val="21"/>
              </w:rPr>
              <w:t>0</w:t>
            </w:r>
          </w:p>
        </w:tc>
      </w:tr>
      <w:tr w14:paraId="2E3B2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restart"/>
            <w:vAlign w:val="center"/>
          </w:tcPr>
          <w:p w14:paraId="15903A3F">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固体废物</w:t>
            </w:r>
          </w:p>
        </w:tc>
        <w:tc>
          <w:tcPr>
            <w:tcW w:w="1878" w:type="pct"/>
            <w:gridSpan w:val="2"/>
            <w:vAlign w:val="center"/>
          </w:tcPr>
          <w:p w14:paraId="59173B9B">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一般固废</w:t>
            </w:r>
          </w:p>
        </w:tc>
        <w:tc>
          <w:tcPr>
            <w:tcW w:w="553" w:type="pct"/>
            <w:vAlign w:val="center"/>
          </w:tcPr>
          <w:p w14:paraId="6B569667">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73D4D93D">
            <w:pPr>
              <w:widowControl/>
              <w:spacing w:line="240" w:lineRule="auto"/>
              <w:ind w:firstLine="0" w:firstLineChars="0"/>
              <w:jc w:val="center"/>
              <w:rPr>
                <w:rFonts w:eastAsia="等线"/>
                <w:color w:val="000000"/>
                <w:sz w:val="21"/>
                <w:szCs w:val="21"/>
              </w:rPr>
            </w:pPr>
            <w:r>
              <w:rPr>
                <w:rFonts w:eastAsia="等线"/>
                <w:color w:val="000000"/>
                <w:sz w:val="21"/>
                <w:szCs w:val="21"/>
              </w:rPr>
              <w:t>6460</w:t>
            </w:r>
          </w:p>
        </w:tc>
        <w:tc>
          <w:tcPr>
            <w:tcW w:w="553" w:type="pct"/>
            <w:vAlign w:val="center"/>
          </w:tcPr>
          <w:p w14:paraId="479EE1AF">
            <w:pPr>
              <w:widowControl/>
              <w:spacing w:line="240" w:lineRule="auto"/>
              <w:ind w:firstLine="0" w:firstLineChars="0"/>
              <w:jc w:val="center"/>
              <w:rPr>
                <w:rFonts w:eastAsia="等线"/>
                <w:color w:val="000000"/>
                <w:sz w:val="21"/>
                <w:szCs w:val="21"/>
              </w:rPr>
            </w:pPr>
            <w:r>
              <w:rPr>
                <w:rFonts w:eastAsia="等线"/>
                <w:color w:val="000000"/>
                <w:sz w:val="21"/>
                <w:szCs w:val="21"/>
              </w:rPr>
              <w:t xml:space="preserve">6460 </w:t>
            </w:r>
          </w:p>
        </w:tc>
        <w:tc>
          <w:tcPr>
            <w:tcW w:w="683" w:type="pct"/>
            <w:vAlign w:val="center"/>
          </w:tcPr>
          <w:p w14:paraId="3544DF66">
            <w:pPr>
              <w:widowControl/>
              <w:spacing w:line="240" w:lineRule="auto"/>
              <w:ind w:firstLine="0" w:firstLineChars="0"/>
              <w:jc w:val="center"/>
              <w:rPr>
                <w:rFonts w:eastAsia="等线"/>
                <w:color w:val="000000"/>
                <w:sz w:val="21"/>
                <w:szCs w:val="21"/>
              </w:rPr>
            </w:pPr>
            <w:r>
              <w:rPr>
                <w:rFonts w:eastAsia="等线"/>
                <w:color w:val="000000"/>
                <w:sz w:val="21"/>
                <w:szCs w:val="21"/>
              </w:rPr>
              <w:t>0</w:t>
            </w:r>
          </w:p>
        </w:tc>
      </w:tr>
      <w:tr w14:paraId="54E51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50" w:type="pct"/>
            <w:vMerge w:val="continue"/>
            <w:vAlign w:val="center"/>
          </w:tcPr>
          <w:p w14:paraId="2ED32C3C">
            <w:pPr>
              <w:widowControl/>
              <w:spacing w:line="240" w:lineRule="auto"/>
              <w:ind w:firstLine="0" w:firstLineChars="0"/>
              <w:jc w:val="left"/>
              <w:rPr>
                <w:rFonts w:hint="eastAsia" w:ascii="宋体" w:hAnsi="宋体" w:cs="宋体"/>
                <w:color w:val="000000"/>
                <w:sz w:val="21"/>
                <w:szCs w:val="21"/>
              </w:rPr>
            </w:pPr>
          </w:p>
        </w:tc>
        <w:tc>
          <w:tcPr>
            <w:tcW w:w="1878" w:type="pct"/>
            <w:gridSpan w:val="2"/>
            <w:vAlign w:val="center"/>
          </w:tcPr>
          <w:p w14:paraId="7654C639">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危险废物</w:t>
            </w:r>
          </w:p>
        </w:tc>
        <w:tc>
          <w:tcPr>
            <w:tcW w:w="553" w:type="pct"/>
            <w:vAlign w:val="center"/>
          </w:tcPr>
          <w:p w14:paraId="2D455D0A">
            <w:pPr>
              <w:widowControl/>
              <w:spacing w:line="240" w:lineRule="auto"/>
              <w:ind w:firstLine="0" w:firstLineChars="0"/>
              <w:jc w:val="center"/>
              <w:rPr>
                <w:rFonts w:eastAsia="等线"/>
                <w:color w:val="000000"/>
                <w:sz w:val="21"/>
                <w:szCs w:val="21"/>
              </w:rPr>
            </w:pPr>
            <w:r>
              <w:rPr>
                <w:rFonts w:eastAsia="等线"/>
                <w:color w:val="000000"/>
                <w:sz w:val="21"/>
                <w:szCs w:val="21"/>
              </w:rPr>
              <w:t>t/a</w:t>
            </w:r>
          </w:p>
        </w:tc>
        <w:tc>
          <w:tcPr>
            <w:tcW w:w="683" w:type="pct"/>
            <w:vAlign w:val="center"/>
          </w:tcPr>
          <w:p w14:paraId="590F0480">
            <w:pPr>
              <w:widowControl/>
              <w:spacing w:line="240" w:lineRule="auto"/>
              <w:ind w:firstLine="0" w:firstLineChars="0"/>
              <w:jc w:val="center"/>
              <w:rPr>
                <w:rFonts w:eastAsia="等线"/>
                <w:color w:val="000000"/>
                <w:sz w:val="21"/>
                <w:szCs w:val="21"/>
              </w:rPr>
            </w:pPr>
            <w:r>
              <w:rPr>
                <w:rFonts w:hint="eastAsia" w:eastAsia="等线"/>
                <w:color w:val="000000"/>
                <w:sz w:val="21"/>
                <w:szCs w:val="21"/>
              </w:rPr>
              <w:t>97609</w:t>
            </w:r>
          </w:p>
        </w:tc>
        <w:tc>
          <w:tcPr>
            <w:tcW w:w="553" w:type="pct"/>
            <w:vAlign w:val="center"/>
          </w:tcPr>
          <w:p w14:paraId="302C815C">
            <w:pPr>
              <w:widowControl/>
              <w:spacing w:line="240" w:lineRule="auto"/>
              <w:ind w:firstLine="0" w:firstLineChars="0"/>
              <w:jc w:val="center"/>
              <w:rPr>
                <w:rFonts w:eastAsia="等线"/>
                <w:color w:val="000000"/>
                <w:sz w:val="21"/>
                <w:szCs w:val="21"/>
              </w:rPr>
            </w:pPr>
            <w:r>
              <w:rPr>
                <w:rFonts w:hint="eastAsia" w:eastAsia="等线"/>
                <w:color w:val="000000"/>
                <w:sz w:val="21"/>
                <w:szCs w:val="21"/>
              </w:rPr>
              <w:t>97609</w:t>
            </w:r>
          </w:p>
        </w:tc>
        <w:tc>
          <w:tcPr>
            <w:tcW w:w="683" w:type="pct"/>
            <w:vAlign w:val="center"/>
          </w:tcPr>
          <w:p w14:paraId="366B7E9D">
            <w:pPr>
              <w:widowControl/>
              <w:spacing w:line="240" w:lineRule="auto"/>
              <w:ind w:firstLine="0" w:firstLineChars="0"/>
              <w:jc w:val="center"/>
              <w:rPr>
                <w:rFonts w:eastAsia="等线"/>
                <w:color w:val="000000"/>
                <w:sz w:val="21"/>
                <w:szCs w:val="21"/>
              </w:rPr>
            </w:pPr>
            <w:r>
              <w:rPr>
                <w:rFonts w:hint="eastAsia" w:eastAsia="等线"/>
                <w:color w:val="000000"/>
                <w:sz w:val="21"/>
                <w:szCs w:val="21"/>
              </w:rPr>
              <w:t>0</w:t>
            </w:r>
          </w:p>
        </w:tc>
      </w:tr>
      <w:bookmarkEnd w:id="335"/>
    </w:tbl>
    <w:p w14:paraId="74DD9EE2">
      <w:pPr>
        <w:ind w:firstLine="480"/>
      </w:pPr>
      <w:r>
        <w:rPr>
          <w:rFonts w:hint="eastAsia"/>
        </w:rPr>
        <w:t>根据工程分析，技改项目完成后厂内各污染源的废气污染物均能达标排放。兰炭生产线排放主要污染物为颗粒物7.46t</w:t>
      </w:r>
      <w:r>
        <w:t>/</w:t>
      </w:r>
      <w:r>
        <w:rPr>
          <w:rFonts w:hint="eastAsia"/>
        </w:rPr>
        <w:t>a、二氧化硫18.97t</w:t>
      </w:r>
      <w:r>
        <w:t>/</w:t>
      </w:r>
      <w:r>
        <w:rPr>
          <w:rFonts w:hint="eastAsia"/>
        </w:rPr>
        <w:t>a、氮氧化物105.88t</w:t>
      </w:r>
      <w:r>
        <w:t>/</w:t>
      </w:r>
      <w:r>
        <w:rPr>
          <w:rFonts w:hint="eastAsia"/>
        </w:rPr>
        <w:t>a、非甲烷总烃（含无组织排放）1.19t/a。</w:t>
      </w:r>
    </w:p>
    <w:p w14:paraId="75253072">
      <w:pPr>
        <w:ind w:firstLine="480"/>
      </w:pPr>
      <w:bookmarkStart w:id="337" w:name="OLE_LINK55"/>
      <w:r>
        <w:rPr>
          <w:rFonts w:hint="eastAsia"/>
        </w:rPr>
        <w:t>（2）技改前后兰炭生产线</w:t>
      </w:r>
      <w:r>
        <w:t>污染物</w:t>
      </w:r>
      <w:r>
        <w:rPr>
          <w:rFonts w:hint="eastAsia"/>
        </w:rPr>
        <w:t>产排</w:t>
      </w:r>
      <w:r>
        <w:t>分析</w:t>
      </w:r>
    </w:p>
    <w:p w14:paraId="2EC0786E">
      <w:pPr>
        <w:ind w:firstLine="480"/>
      </w:pPr>
      <w:r>
        <w:rPr>
          <w:rFonts w:hint="eastAsia"/>
        </w:rPr>
        <w:t>厂内现有工程指现有30万t/a兰炭生产线，在建工程包括在建30万t/a兰炭生产线及在建5t/h废水预处理及焚烧炉项目。改造完成后现有工程及在建工程均作为本项目的替代削减源。</w:t>
      </w:r>
    </w:p>
    <w:p w14:paraId="28D8E6E9">
      <w:pPr>
        <w:ind w:firstLine="480"/>
      </w:pPr>
      <w:r>
        <w:rPr>
          <w:rFonts w:hint="eastAsia"/>
        </w:rPr>
        <w:t>本项目</w:t>
      </w:r>
      <w:r>
        <w:t>建成后</w:t>
      </w:r>
      <w:r>
        <w:rPr>
          <w:rFonts w:hint="eastAsia"/>
        </w:rPr>
        <w:t>，兰炭生产线</w:t>
      </w:r>
      <w:r>
        <w:t>污染物</w:t>
      </w:r>
      <w:r>
        <w:rPr>
          <w:rFonts w:hint="eastAsia"/>
        </w:rPr>
        <w:t>“三本账”</w:t>
      </w:r>
      <w:r>
        <w:t>情况</w:t>
      </w:r>
      <w:r>
        <w:rPr>
          <w:rFonts w:hint="eastAsia"/>
        </w:rPr>
        <w:t>，</w:t>
      </w:r>
      <w:r>
        <w:t>见表</w:t>
      </w:r>
      <w:r>
        <w:rPr>
          <w:rFonts w:hint="eastAsia"/>
        </w:rPr>
        <w:t>3.3-35。</w:t>
      </w:r>
    </w:p>
    <w:p w14:paraId="241F2F0B">
      <w:pPr>
        <w:pStyle w:val="118"/>
      </w:pPr>
      <w:r>
        <w:t>表</w:t>
      </w:r>
      <w:r>
        <w:rPr>
          <w:rFonts w:hint="eastAsia"/>
        </w:rPr>
        <w:t>3.3-35  兰炭生产线污染物排放“三本账”</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481"/>
        <w:gridCol w:w="1060"/>
        <w:gridCol w:w="690"/>
        <w:gridCol w:w="1142"/>
        <w:gridCol w:w="1161"/>
        <w:gridCol w:w="1142"/>
        <w:gridCol w:w="1164"/>
        <w:gridCol w:w="1038"/>
      </w:tblGrid>
      <w:tr w14:paraId="2D9A6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378" w:type="pct"/>
            <w:vAlign w:val="center"/>
          </w:tcPr>
          <w:p w14:paraId="5B5C8DE3">
            <w:pPr>
              <w:pStyle w:val="133"/>
              <w:rPr>
                <w:b/>
                <w:bCs/>
              </w:rPr>
            </w:pPr>
            <w:bookmarkStart w:id="338" w:name="_Hlk162520866"/>
            <w:r>
              <w:rPr>
                <w:rFonts w:hint="eastAsia"/>
                <w:b/>
                <w:bCs/>
              </w:rPr>
              <w:t>污染因素</w:t>
            </w:r>
          </w:p>
        </w:tc>
        <w:tc>
          <w:tcPr>
            <w:tcW w:w="904" w:type="pct"/>
            <w:gridSpan w:val="2"/>
            <w:vAlign w:val="center"/>
          </w:tcPr>
          <w:p w14:paraId="08BC35F4">
            <w:pPr>
              <w:pStyle w:val="133"/>
              <w:rPr>
                <w:b/>
                <w:bCs/>
              </w:rPr>
            </w:pPr>
            <w:r>
              <w:rPr>
                <w:rFonts w:hint="eastAsia"/>
                <w:b/>
                <w:bCs/>
              </w:rPr>
              <w:t>污染物名称</w:t>
            </w:r>
          </w:p>
        </w:tc>
        <w:tc>
          <w:tcPr>
            <w:tcW w:w="405" w:type="pct"/>
            <w:vAlign w:val="center"/>
          </w:tcPr>
          <w:p w14:paraId="376E881D">
            <w:pPr>
              <w:pStyle w:val="133"/>
              <w:rPr>
                <w:b/>
                <w:bCs/>
              </w:rPr>
            </w:pPr>
            <w:r>
              <w:rPr>
                <w:rFonts w:hint="eastAsia"/>
                <w:b/>
                <w:bCs/>
              </w:rPr>
              <w:t>单位</w:t>
            </w:r>
          </w:p>
        </w:tc>
        <w:tc>
          <w:tcPr>
            <w:tcW w:w="670" w:type="pct"/>
            <w:vAlign w:val="center"/>
          </w:tcPr>
          <w:p w14:paraId="26689C66">
            <w:pPr>
              <w:pStyle w:val="133"/>
              <w:rPr>
                <w:b/>
                <w:bCs/>
              </w:rPr>
            </w:pPr>
            <w:r>
              <w:rPr>
                <w:rFonts w:hint="eastAsia"/>
                <w:b/>
                <w:bCs/>
              </w:rPr>
              <w:t>现有工程+在建工程排放量</w:t>
            </w:r>
          </w:p>
        </w:tc>
        <w:tc>
          <w:tcPr>
            <w:tcW w:w="681" w:type="pct"/>
            <w:vAlign w:val="center"/>
          </w:tcPr>
          <w:p w14:paraId="1644C30F">
            <w:pPr>
              <w:pStyle w:val="133"/>
              <w:rPr>
                <w:b/>
                <w:bCs/>
              </w:rPr>
            </w:pPr>
            <w:r>
              <w:rPr>
                <w:rFonts w:hint="eastAsia"/>
                <w:b/>
                <w:bCs/>
              </w:rPr>
              <w:t>本项目兰炭生产线排放量</w:t>
            </w:r>
          </w:p>
        </w:tc>
        <w:tc>
          <w:tcPr>
            <w:tcW w:w="670" w:type="pct"/>
            <w:vAlign w:val="center"/>
          </w:tcPr>
          <w:p w14:paraId="66FBCD4B">
            <w:pPr>
              <w:pStyle w:val="133"/>
              <w:rPr>
                <w:b/>
                <w:bCs/>
              </w:rPr>
            </w:pPr>
            <w:r>
              <w:rPr>
                <w:rFonts w:hint="eastAsia"/>
                <w:b/>
                <w:bCs/>
              </w:rPr>
              <w:t>替代削减量</w:t>
            </w:r>
          </w:p>
        </w:tc>
        <w:tc>
          <w:tcPr>
            <w:tcW w:w="683" w:type="pct"/>
            <w:vAlign w:val="center"/>
          </w:tcPr>
          <w:p w14:paraId="64FFB4F3">
            <w:pPr>
              <w:pStyle w:val="133"/>
              <w:rPr>
                <w:b/>
                <w:bCs/>
              </w:rPr>
            </w:pPr>
            <w:r>
              <w:rPr>
                <w:rFonts w:hint="eastAsia"/>
                <w:b/>
                <w:bCs/>
              </w:rPr>
              <w:t>生产线总排放量</w:t>
            </w:r>
          </w:p>
        </w:tc>
        <w:tc>
          <w:tcPr>
            <w:tcW w:w="609" w:type="pct"/>
            <w:vAlign w:val="center"/>
          </w:tcPr>
          <w:p w14:paraId="40CDAE09">
            <w:pPr>
              <w:pStyle w:val="133"/>
              <w:rPr>
                <w:b/>
                <w:bCs/>
              </w:rPr>
            </w:pPr>
            <w:r>
              <w:rPr>
                <w:rFonts w:hint="eastAsia"/>
                <w:b/>
                <w:bCs/>
              </w:rPr>
              <w:t>排放增减量</w:t>
            </w:r>
          </w:p>
        </w:tc>
      </w:tr>
      <w:tr w14:paraId="043A3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restart"/>
            <w:vAlign w:val="center"/>
          </w:tcPr>
          <w:p w14:paraId="18885FCB">
            <w:pPr>
              <w:pStyle w:val="133"/>
            </w:pPr>
            <w:r>
              <w:t>废气</w:t>
            </w:r>
          </w:p>
        </w:tc>
        <w:tc>
          <w:tcPr>
            <w:tcW w:w="904" w:type="pct"/>
            <w:gridSpan w:val="2"/>
            <w:vAlign w:val="center"/>
          </w:tcPr>
          <w:p w14:paraId="42CFB434">
            <w:pPr>
              <w:pStyle w:val="133"/>
            </w:pPr>
            <w:r>
              <w:t>废气</w:t>
            </w:r>
          </w:p>
        </w:tc>
        <w:tc>
          <w:tcPr>
            <w:tcW w:w="405" w:type="pct"/>
            <w:vAlign w:val="center"/>
          </w:tcPr>
          <w:p w14:paraId="35411757">
            <w:pPr>
              <w:pStyle w:val="133"/>
            </w:pPr>
            <w:r>
              <w:t>万m³/a</w:t>
            </w:r>
          </w:p>
        </w:tc>
        <w:tc>
          <w:tcPr>
            <w:tcW w:w="670" w:type="pct"/>
            <w:vAlign w:val="center"/>
          </w:tcPr>
          <w:p w14:paraId="1D294664">
            <w:pPr>
              <w:pStyle w:val="133"/>
            </w:pPr>
            <w:r>
              <w:rPr>
                <w:rFonts w:eastAsia="等线" w:cs="Times New Roman"/>
                <w:szCs w:val="21"/>
              </w:rPr>
              <w:t>196407.29</w:t>
            </w:r>
          </w:p>
        </w:tc>
        <w:tc>
          <w:tcPr>
            <w:tcW w:w="681" w:type="pct"/>
            <w:vAlign w:val="center"/>
          </w:tcPr>
          <w:p w14:paraId="537E1F60">
            <w:pPr>
              <w:pStyle w:val="133"/>
            </w:pPr>
            <w:r>
              <w:rPr>
                <w:rFonts w:hint="eastAsia" w:eastAsia="等线" w:cs="Times New Roman"/>
                <w:szCs w:val="21"/>
              </w:rPr>
              <w:t>220359.46</w:t>
            </w:r>
          </w:p>
        </w:tc>
        <w:tc>
          <w:tcPr>
            <w:tcW w:w="670" w:type="pct"/>
            <w:vAlign w:val="center"/>
          </w:tcPr>
          <w:p w14:paraId="288696CB">
            <w:pPr>
              <w:pStyle w:val="133"/>
            </w:pPr>
            <w:r>
              <w:rPr>
                <w:rFonts w:eastAsia="等线" w:cs="Times New Roman"/>
                <w:szCs w:val="21"/>
              </w:rPr>
              <w:t>196407.29</w:t>
            </w:r>
          </w:p>
        </w:tc>
        <w:tc>
          <w:tcPr>
            <w:tcW w:w="683" w:type="pct"/>
            <w:vAlign w:val="center"/>
          </w:tcPr>
          <w:p w14:paraId="4E53B952">
            <w:pPr>
              <w:pStyle w:val="133"/>
            </w:pPr>
            <w:r>
              <w:rPr>
                <w:rFonts w:hint="eastAsia" w:eastAsia="等线" w:cs="Times New Roman"/>
                <w:szCs w:val="21"/>
              </w:rPr>
              <w:t>220359.46</w:t>
            </w:r>
          </w:p>
        </w:tc>
        <w:tc>
          <w:tcPr>
            <w:tcW w:w="609" w:type="pct"/>
            <w:vAlign w:val="center"/>
          </w:tcPr>
          <w:p w14:paraId="7CF954E1">
            <w:pPr>
              <w:pStyle w:val="133"/>
            </w:pPr>
            <w:r>
              <w:rPr>
                <w:rFonts w:eastAsia="等线" w:cs="Times New Roman"/>
                <w:szCs w:val="21"/>
              </w:rPr>
              <w:t xml:space="preserve">23988.18 </w:t>
            </w:r>
          </w:p>
        </w:tc>
      </w:tr>
      <w:tr w14:paraId="5C9CF5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476851C0">
            <w:pPr>
              <w:pStyle w:val="133"/>
            </w:pPr>
          </w:p>
        </w:tc>
        <w:tc>
          <w:tcPr>
            <w:tcW w:w="904" w:type="pct"/>
            <w:gridSpan w:val="2"/>
            <w:vAlign w:val="center"/>
          </w:tcPr>
          <w:p w14:paraId="0815149C">
            <w:pPr>
              <w:pStyle w:val="133"/>
            </w:pPr>
            <w:r>
              <w:t>烟（粉）尘</w:t>
            </w:r>
          </w:p>
        </w:tc>
        <w:tc>
          <w:tcPr>
            <w:tcW w:w="405" w:type="pct"/>
            <w:vAlign w:val="center"/>
          </w:tcPr>
          <w:p w14:paraId="2BC460B1">
            <w:pPr>
              <w:pStyle w:val="133"/>
            </w:pPr>
            <w:r>
              <w:t>t/a</w:t>
            </w:r>
          </w:p>
        </w:tc>
        <w:tc>
          <w:tcPr>
            <w:tcW w:w="670" w:type="pct"/>
            <w:vAlign w:val="center"/>
          </w:tcPr>
          <w:p w14:paraId="27BE2CBC">
            <w:pPr>
              <w:pStyle w:val="133"/>
            </w:pPr>
            <w:r>
              <w:rPr>
                <w:rFonts w:hint="eastAsia" w:eastAsia="等线" w:cs="Times New Roman"/>
                <w:szCs w:val="21"/>
              </w:rPr>
              <w:t>7.74</w:t>
            </w:r>
          </w:p>
        </w:tc>
        <w:tc>
          <w:tcPr>
            <w:tcW w:w="681" w:type="pct"/>
            <w:vAlign w:val="center"/>
          </w:tcPr>
          <w:p w14:paraId="45C6F83F">
            <w:pPr>
              <w:pStyle w:val="133"/>
            </w:pPr>
            <w:r>
              <w:rPr>
                <w:rFonts w:hint="eastAsia" w:eastAsia="等线" w:cs="Times New Roman"/>
                <w:szCs w:val="21"/>
              </w:rPr>
              <w:t>7.46</w:t>
            </w:r>
          </w:p>
        </w:tc>
        <w:tc>
          <w:tcPr>
            <w:tcW w:w="670" w:type="pct"/>
            <w:vAlign w:val="center"/>
          </w:tcPr>
          <w:p w14:paraId="7D2E5B74">
            <w:pPr>
              <w:pStyle w:val="133"/>
            </w:pPr>
            <w:r>
              <w:rPr>
                <w:rFonts w:hint="eastAsia" w:eastAsia="等线" w:cs="Times New Roman"/>
                <w:szCs w:val="21"/>
              </w:rPr>
              <w:t>9.36</w:t>
            </w:r>
          </w:p>
        </w:tc>
        <w:tc>
          <w:tcPr>
            <w:tcW w:w="683" w:type="pct"/>
            <w:vAlign w:val="center"/>
          </w:tcPr>
          <w:p w14:paraId="767777C9">
            <w:pPr>
              <w:pStyle w:val="133"/>
            </w:pPr>
            <w:r>
              <w:rPr>
                <w:rFonts w:hint="eastAsia" w:eastAsia="等线" w:cs="Times New Roman"/>
                <w:szCs w:val="21"/>
              </w:rPr>
              <w:t>7.46</w:t>
            </w:r>
          </w:p>
        </w:tc>
        <w:tc>
          <w:tcPr>
            <w:tcW w:w="609" w:type="pct"/>
            <w:vAlign w:val="center"/>
          </w:tcPr>
          <w:p w14:paraId="603B4398">
            <w:pPr>
              <w:pStyle w:val="133"/>
            </w:pPr>
            <w:r>
              <w:rPr>
                <w:rFonts w:eastAsia="等线" w:cs="Times New Roman"/>
                <w:szCs w:val="21"/>
              </w:rPr>
              <w:t>-</w:t>
            </w:r>
            <w:r>
              <w:rPr>
                <w:rFonts w:hint="eastAsia" w:eastAsia="等线" w:cs="Times New Roman"/>
                <w:szCs w:val="21"/>
              </w:rPr>
              <w:t>0.28</w:t>
            </w:r>
          </w:p>
        </w:tc>
      </w:tr>
      <w:tr w14:paraId="6BAD5B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0C836D86">
            <w:pPr>
              <w:pStyle w:val="133"/>
            </w:pPr>
          </w:p>
        </w:tc>
        <w:tc>
          <w:tcPr>
            <w:tcW w:w="904" w:type="pct"/>
            <w:gridSpan w:val="2"/>
            <w:vAlign w:val="center"/>
          </w:tcPr>
          <w:p w14:paraId="290D535F">
            <w:pPr>
              <w:pStyle w:val="133"/>
            </w:pPr>
            <w:r>
              <w:t>二氧化硫</w:t>
            </w:r>
          </w:p>
        </w:tc>
        <w:tc>
          <w:tcPr>
            <w:tcW w:w="405" w:type="pct"/>
            <w:vAlign w:val="center"/>
          </w:tcPr>
          <w:p w14:paraId="7F4424FF">
            <w:pPr>
              <w:pStyle w:val="133"/>
            </w:pPr>
            <w:r>
              <w:t>t/a</w:t>
            </w:r>
          </w:p>
        </w:tc>
        <w:tc>
          <w:tcPr>
            <w:tcW w:w="670" w:type="pct"/>
            <w:vAlign w:val="center"/>
          </w:tcPr>
          <w:p w14:paraId="744C4165">
            <w:pPr>
              <w:pStyle w:val="133"/>
            </w:pPr>
            <w:r>
              <w:rPr>
                <w:rFonts w:hint="eastAsia" w:eastAsia="等线" w:cs="Times New Roman"/>
                <w:szCs w:val="21"/>
              </w:rPr>
              <w:t>0.79</w:t>
            </w:r>
          </w:p>
        </w:tc>
        <w:tc>
          <w:tcPr>
            <w:tcW w:w="681" w:type="pct"/>
            <w:vAlign w:val="center"/>
          </w:tcPr>
          <w:p w14:paraId="2C75BC26">
            <w:pPr>
              <w:pStyle w:val="133"/>
            </w:pPr>
            <w:r>
              <w:rPr>
                <w:rFonts w:hint="eastAsia" w:eastAsia="等线" w:cs="Times New Roman"/>
                <w:szCs w:val="21"/>
              </w:rPr>
              <w:t>18.97</w:t>
            </w:r>
          </w:p>
        </w:tc>
        <w:tc>
          <w:tcPr>
            <w:tcW w:w="670" w:type="pct"/>
            <w:vAlign w:val="center"/>
          </w:tcPr>
          <w:p w14:paraId="3BBFCC68">
            <w:pPr>
              <w:pStyle w:val="133"/>
            </w:pPr>
            <w:r>
              <w:rPr>
                <w:rFonts w:hint="eastAsia" w:eastAsia="等线" w:cs="Times New Roman"/>
                <w:szCs w:val="21"/>
              </w:rPr>
              <w:t>1.06</w:t>
            </w:r>
          </w:p>
        </w:tc>
        <w:tc>
          <w:tcPr>
            <w:tcW w:w="683" w:type="pct"/>
            <w:vAlign w:val="center"/>
          </w:tcPr>
          <w:p w14:paraId="48117A03">
            <w:pPr>
              <w:pStyle w:val="133"/>
            </w:pPr>
            <w:r>
              <w:rPr>
                <w:rFonts w:hint="eastAsia" w:eastAsia="等线" w:cs="Times New Roman"/>
                <w:szCs w:val="21"/>
              </w:rPr>
              <w:t>18.97</w:t>
            </w:r>
          </w:p>
        </w:tc>
        <w:tc>
          <w:tcPr>
            <w:tcW w:w="609" w:type="pct"/>
            <w:vAlign w:val="center"/>
          </w:tcPr>
          <w:p w14:paraId="6182A2D3">
            <w:pPr>
              <w:pStyle w:val="133"/>
            </w:pPr>
            <w:r>
              <w:rPr>
                <w:rFonts w:hint="eastAsia" w:eastAsia="等线" w:cs="Times New Roman"/>
                <w:szCs w:val="21"/>
              </w:rPr>
              <w:t>18.18</w:t>
            </w:r>
          </w:p>
        </w:tc>
      </w:tr>
      <w:tr w14:paraId="7081B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74988E0D">
            <w:pPr>
              <w:pStyle w:val="133"/>
            </w:pPr>
          </w:p>
        </w:tc>
        <w:tc>
          <w:tcPr>
            <w:tcW w:w="904" w:type="pct"/>
            <w:gridSpan w:val="2"/>
            <w:vAlign w:val="center"/>
          </w:tcPr>
          <w:p w14:paraId="1B8E90DF">
            <w:pPr>
              <w:pStyle w:val="133"/>
            </w:pPr>
            <w:r>
              <w:t>氮氧化物</w:t>
            </w:r>
          </w:p>
        </w:tc>
        <w:tc>
          <w:tcPr>
            <w:tcW w:w="405" w:type="pct"/>
            <w:vAlign w:val="center"/>
          </w:tcPr>
          <w:p w14:paraId="47587023">
            <w:pPr>
              <w:pStyle w:val="133"/>
            </w:pPr>
            <w:r>
              <w:t>t/a</w:t>
            </w:r>
          </w:p>
        </w:tc>
        <w:tc>
          <w:tcPr>
            <w:tcW w:w="670" w:type="pct"/>
            <w:vAlign w:val="center"/>
          </w:tcPr>
          <w:p w14:paraId="26D2C03D">
            <w:pPr>
              <w:pStyle w:val="133"/>
            </w:pPr>
            <w:r>
              <w:rPr>
                <w:rFonts w:eastAsia="等线" w:cs="Times New Roman"/>
                <w:szCs w:val="21"/>
              </w:rPr>
              <w:t>37.62</w:t>
            </w:r>
          </w:p>
        </w:tc>
        <w:tc>
          <w:tcPr>
            <w:tcW w:w="681" w:type="pct"/>
            <w:vAlign w:val="center"/>
          </w:tcPr>
          <w:p w14:paraId="7E25AF9C">
            <w:pPr>
              <w:pStyle w:val="133"/>
            </w:pPr>
            <w:r>
              <w:rPr>
                <w:rFonts w:eastAsia="等线" w:cs="Times New Roman"/>
                <w:szCs w:val="21"/>
              </w:rPr>
              <w:t>105.88</w:t>
            </w:r>
          </w:p>
        </w:tc>
        <w:tc>
          <w:tcPr>
            <w:tcW w:w="670" w:type="pct"/>
            <w:vAlign w:val="center"/>
          </w:tcPr>
          <w:p w14:paraId="06CEF082">
            <w:pPr>
              <w:pStyle w:val="133"/>
            </w:pPr>
            <w:r>
              <w:rPr>
                <w:rFonts w:eastAsia="等线" w:cs="Times New Roman"/>
                <w:szCs w:val="21"/>
              </w:rPr>
              <w:t>37.62</w:t>
            </w:r>
          </w:p>
        </w:tc>
        <w:tc>
          <w:tcPr>
            <w:tcW w:w="683" w:type="pct"/>
            <w:vAlign w:val="center"/>
          </w:tcPr>
          <w:p w14:paraId="4BED5004">
            <w:pPr>
              <w:pStyle w:val="133"/>
            </w:pPr>
            <w:r>
              <w:rPr>
                <w:rFonts w:eastAsia="等线" w:cs="Times New Roman"/>
                <w:szCs w:val="21"/>
              </w:rPr>
              <w:t>105.88</w:t>
            </w:r>
          </w:p>
        </w:tc>
        <w:tc>
          <w:tcPr>
            <w:tcW w:w="609" w:type="pct"/>
            <w:vAlign w:val="center"/>
          </w:tcPr>
          <w:p w14:paraId="6A238A68">
            <w:pPr>
              <w:pStyle w:val="133"/>
            </w:pPr>
            <w:r>
              <w:rPr>
                <w:rFonts w:eastAsia="等线" w:cs="Times New Roman"/>
                <w:szCs w:val="21"/>
              </w:rPr>
              <w:t>68.26</w:t>
            </w:r>
          </w:p>
        </w:tc>
      </w:tr>
      <w:tr w14:paraId="386A5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3BBB4D60">
            <w:pPr>
              <w:pStyle w:val="133"/>
            </w:pPr>
          </w:p>
        </w:tc>
        <w:tc>
          <w:tcPr>
            <w:tcW w:w="904" w:type="pct"/>
            <w:gridSpan w:val="2"/>
            <w:vAlign w:val="center"/>
          </w:tcPr>
          <w:p w14:paraId="1B942755">
            <w:pPr>
              <w:pStyle w:val="133"/>
            </w:pPr>
            <w:r>
              <w:rPr>
                <w:rFonts w:hint="eastAsia"/>
              </w:rPr>
              <w:t>苯并芘</w:t>
            </w:r>
          </w:p>
        </w:tc>
        <w:tc>
          <w:tcPr>
            <w:tcW w:w="405" w:type="pct"/>
            <w:vAlign w:val="center"/>
          </w:tcPr>
          <w:p w14:paraId="1DB597FC">
            <w:pPr>
              <w:pStyle w:val="133"/>
            </w:pPr>
            <w:r>
              <w:t>t/a</w:t>
            </w:r>
          </w:p>
        </w:tc>
        <w:tc>
          <w:tcPr>
            <w:tcW w:w="670" w:type="pct"/>
            <w:vAlign w:val="center"/>
          </w:tcPr>
          <w:p w14:paraId="5A94698C">
            <w:pPr>
              <w:pStyle w:val="133"/>
            </w:pPr>
            <w:r>
              <w:rPr>
                <w:rFonts w:eastAsia="等线" w:cs="Times New Roman"/>
                <w:szCs w:val="21"/>
              </w:rPr>
              <w:t>0</w:t>
            </w:r>
          </w:p>
        </w:tc>
        <w:tc>
          <w:tcPr>
            <w:tcW w:w="681" w:type="pct"/>
            <w:vAlign w:val="center"/>
          </w:tcPr>
          <w:p w14:paraId="0AA2193F">
            <w:pPr>
              <w:pStyle w:val="133"/>
            </w:pPr>
            <w:r>
              <w:rPr>
                <w:rFonts w:eastAsia="等线" w:cs="Times New Roman"/>
                <w:szCs w:val="21"/>
              </w:rPr>
              <w:t>0.00007</w:t>
            </w:r>
          </w:p>
        </w:tc>
        <w:tc>
          <w:tcPr>
            <w:tcW w:w="670" w:type="pct"/>
            <w:vAlign w:val="center"/>
          </w:tcPr>
          <w:p w14:paraId="07AF4342">
            <w:pPr>
              <w:pStyle w:val="133"/>
            </w:pPr>
            <w:r>
              <w:rPr>
                <w:rFonts w:eastAsia="等线" w:cs="Times New Roman"/>
                <w:szCs w:val="21"/>
              </w:rPr>
              <w:t>0</w:t>
            </w:r>
          </w:p>
        </w:tc>
        <w:tc>
          <w:tcPr>
            <w:tcW w:w="683" w:type="pct"/>
            <w:vAlign w:val="center"/>
          </w:tcPr>
          <w:p w14:paraId="69B3E562">
            <w:pPr>
              <w:pStyle w:val="133"/>
            </w:pPr>
            <w:r>
              <w:rPr>
                <w:rFonts w:eastAsia="等线" w:cs="Times New Roman"/>
                <w:szCs w:val="21"/>
              </w:rPr>
              <w:t>0.000</w:t>
            </w:r>
            <w:r>
              <w:rPr>
                <w:rFonts w:hint="eastAsia" w:eastAsia="等线" w:cs="Times New Roman"/>
                <w:szCs w:val="21"/>
              </w:rPr>
              <w:t>07</w:t>
            </w:r>
          </w:p>
        </w:tc>
        <w:tc>
          <w:tcPr>
            <w:tcW w:w="609" w:type="pct"/>
            <w:vAlign w:val="center"/>
          </w:tcPr>
          <w:p w14:paraId="3573D976">
            <w:pPr>
              <w:pStyle w:val="133"/>
            </w:pPr>
            <w:r>
              <w:rPr>
                <w:rFonts w:eastAsia="等线" w:cs="Times New Roman"/>
                <w:szCs w:val="21"/>
              </w:rPr>
              <w:t>0.00007</w:t>
            </w:r>
          </w:p>
        </w:tc>
      </w:tr>
      <w:tr w14:paraId="0235F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63859B54">
            <w:pPr>
              <w:pStyle w:val="133"/>
            </w:pPr>
          </w:p>
        </w:tc>
        <w:tc>
          <w:tcPr>
            <w:tcW w:w="904" w:type="pct"/>
            <w:gridSpan w:val="2"/>
            <w:vAlign w:val="center"/>
          </w:tcPr>
          <w:p w14:paraId="17A4DBC1">
            <w:pPr>
              <w:pStyle w:val="133"/>
            </w:pPr>
            <w:r>
              <w:rPr>
                <w:rFonts w:hint="eastAsia"/>
                <w:szCs w:val="21"/>
              </w:rPr>
              <w:t>氰化氢</w:t>
            </w:r>
          </w:p>
        </w:tc>
        <w:tc>
          <w:tcPr>
            <w:tcW w:w="405" w:type="pct"/>
            <w:vAlign w:val="center"/>
          </w:tcPr>
          <w:p w14:paraId="2A8F46B8">
            <w:pPr>
              <w:pStyle w:val="133"/>
            </w:pPr>
            <w:r>
              <w:t>t/a</w:t>
            </w:r>
          </w:p>
        </w:tc>
        <w:tc>
          <w:tcPr>
            <w:tcW w:w="670" w:type="pct"/>
            <w:vAlign w:val="center"/>
          </w:tcPr>
          <w:p w14:paraId="5598BEE2">
            <w:pPr>
              <w:pStyle w:val="133"/>
            </w:pPr>
            <w:r>
              <w:rPr>
                <w:rFonts w:eastAsia="等线" w:cs="Times New Roman"/>
                <w:szCs w:val="21"/>
              </w:rPr>
              <w:t>0</w:t>
            </w:r>
          </w:p>
        </w:tc>
        <w:tc>
          <w:tcPr>
            <w:tcW w:w="681" w:type="pct"/>
            <w:vAlign w:val="center"/>
          </w:tcPr>
          <w:p w14:paraId="5FDFCD39">
            <w:pPr>
              <w:pStyle w:val="133"/>
            </w:pPr>
            <w:r>
              <w:rPr>
                <w:rFonts w:eastAsia="等线" w:cs="Times New Roman"/>
                <w:szCs w:val="21"/>
              </w:rPr>
              <w:t>0.00002</w:t>
            </w:r>
          </w:p>
        </w:tc>
        <w:tc>
          <w:tcPr>
            <w:tcW w:w="670" w:type="pct"/>
            <w:vAlign w:val="center"/>
          </w:tcPr>
          <w:p w14:paraId="27D0FDD8">
            <w:pPr>
              <w:pStyle w:val="133"/>
            </w:pPr>
            <w:r>
              <w:rPr>
                <w:rFonts w:eastAsia="等线" w:cs="Times New Roman"/>
                <w:szCs w:val="21"/>
              </w:rPr>
              <w:t>0</w:t>
            </w:r>
          </w:p>
        </w:tc>
        <w:tc>
          <w:tcPr>
            <w:tcW w:w="683" w:type="pct"/>
            <w:vAlign w:val="center"/>
          </w:tcPr>
          <w:p w14:paraId="17A6FDCB">
            <w:pPr>
              <w:pStyle w:val="133"/>
            </w:pPr>
            <w:r>
              <w:rPr>
                <w:rFonts w:eastAsia="等线" w:cs="Times New Roman"/>
                <w:szCs w:val="21"/>
              </w:rPr>
              <w:t>0.000</w:t>
            </w:r>
            <w:r>
              <w:rPr>
                <w:rFonts w:hint="eastAsia" w:eastAsia="等线" w:cs="Times New Roman"/>
                <w:szCs w:val="21"/>
              </w:rPr>
              <w:t>02</w:t>
            </w:r>
          </w:p>
        </w:tc>
        <w:tc>
          <w:tcPr>
            <w:tcW w:w="609" w:type="pct"/>
            <w:vAlign w:val="center"/>
          </w:tcPr>
          <w:p w14:paraId="7C6322AB">
            <w:pPr>
              <w:pStyle w:val="133"/>
            </w:pPr>
            <w:r>
              <w:rPr>
                <w:rFonts w:eastAsia="等线" w:cs="Times New Roman"/>
                <w:szCs w:val="21"/>
              </w:rPr>
              <w:t>0.00002</w:t>
            </w:r>
          </w:p>
        </w:tc>
      </w:tr>
      <w:tr w14:paraId="3E099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6B471A1B">
            <w:pPr>
              <w:pStyle w:val="133"/>
            </w:pPr>
          </w:p>
        </w:tc>
        <w:tc>
          <w:tcPr>
            <w:tcW w:w="904" w:type="pct"/>
            <w:gridSpan w:val="2"/>
            <w:vAlign w:val="center"/>
          </w:tcPr>
          <w:p w14:paraId="21C1642A">
            <w:pPr>
              <w:pStyle w:val="133"/>
            </w:pPr>
            <w:r>
              <w:rPr>
                <w:rFonts w:hint="eastAsia"/>
                <w:szCs w:val="21"/>
              </w:rPr>
              <w:t>酚类</w:t>
            </w:r>
          </w:p>
        </w:tc>
        <w:tc>
          <w:tcPr>
            <w:tcW w:w="405" w:type="pct"/>
            <w:vAlign w:val="center"/>
          </w:tcPr>
          <w:p w14:paraId="132C6E76">
            <w:pPr>
              <w:pStyle w:val="133"/>
            </w:pPr>
            <w:r>
              <w:t>t/a</w:t>
            </w:r>
          </w:p>
        </w:tc>
        <w:tc>
          <w:tcPr>
            <w:tcW w:w="670" w:type="pct"/>
            <w:vAlign w:val="center"/>
          </w:tcPr>
          <w:p w14:paraId="2A96581F">
            <w:pPr>
              <w:pStyle w:val="133"/>
            </w:pPr>
            <w:r>
              <w:rPr>
                <w:rFonts w:eastAsia="等线" w:cs="Times New Roman"/>
                <w:szCs w:val="21"/>
              </w:rPr>
              <w:t>0</w:t>
            </w:r>
          </w:p>
        </w:tc>
        <w:tc>
          <w:tcPr>
            <w:tcW w:w="681" w:type="pct"/>
            <w:vAlign w:val="center"/>
          </w:tcPr>
          <w:p w14:paraId="64BF5A07">
            <w:pPr>
              <w:pStyle w:val="133"/>
            </w:pPr>
            <w:r>
              <w:rPr>
                <w:rFonts w:eastAsia="等线" w:cs="Times New Roman"/>
                <w:szCs w:val="21"/>
              </w:rPr>
              <w:t>0.003</w:t>
            </w:r>
          </w:p>
        </w:tc>
        <w:tc>
          <w:tcPr>
            <w:tcW w:w="670" w:type="pct"/>
            <w:vAlign w:val="center"/>
          </w:tcPr>
          <w:p w14:paraId="1BEDA44C">
            <w:pPr>
              <w:pStyle w:val="133"/>
            </w:pPr>
            <w:r>
              <w:rPr>
                <w:rFonts w:eastAsia="等线" w:cs="Times New Roman"/>
                <w:szCs w:val="21"/>
              </w:rPr>
              <w:t>0</w:t>
            </w:r>
          </w:p>
        </w:tc>
        <w:tc>
          <w:tcPr>
            <w:tcW w:w="683" w:type="pct"/>
            <w:vAlign w:val="center"/>
          </w:tcPr>
          <w:p w14:paraId="06C4C4B7">
            <w:pPr>
              <w:pStyle w:val="133"/>
            </w:pPr>
            <w:r>
              <w:rPr>
                <w:rFonts w:eastAsia="等线" w:cs="Times New Roman"/>
                <w:szCs w:val="21"/>
              </w:rPr>
              <w:t>0.003</w:t>
            </w:r>
          </w:p>
        </w:tc>
        <w:tc>
          <w:tcPr>
            <w:tcW w:w="609" w:type="pct"/>
            <w:vAlign w:val="center"/>
          </w:tcPr>
          <w:p w14:paraId="45BB506F">
            <w:pPr>
              <w:pStyle w:val="133"/>
            </w:pPr>
            <w:r>
              <w:rPr>
                <w:rFonts w:eastAsia="等线" w:cs="Times New Roman"/>
                <w:szCs w:val="21"/>
              </w:rPr>
              <w:t>0.003</w:t>
            </w:r>
          </w:p>
        </w:tc>
      </w:tr>
      <w:tr w14:paraId="0613F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10C2E861">
            <w:pPr>
              <w:pStyle w:val="133"/>
            </w:pPr>
          </w:p>
        </w:tc>
        <w:tc>
          <w:tcPr>
            <w:tcW w:w="904" w:type="pct"/>
            <w:gridSpan w:val="2"/>
            <w:vAlign w:val="center"/>
          </w:tcPr>
          <w:p w14:paraId="20598DDC">
            <w:pPr>
              <w:pStyle w:val="133"/>
            </w:pPr>
            <w:r>
              <w:rPr>
                <w:rFonts w:hint="eastAsia"/>
                <w:szCs w:val="21"/>
              </w:rPr>
              <w:t>氨</w:t>
            </w:r>
          </w:p>
        </w:tc>
        <w:tc>
          <w:tcPr>
            <w:tcW w:w="405" w:type="pct"/>
            <w:vAlign w:val="center"/>
          </w:tcPr>
          <w:p w14:paraId="26A3E260">
            <w:pPr>
              <w:pStyle w:val="133"/>
            </w:pPr>
            <w:r>
              <w:t>t/a</w:t>
            </w:r>
          </w:p>
        </w:tc>
        <w:tc>
          <w:tcPr>
            <w:tcW w:w="670" w:type="pct"/>
            <w:vAlign w:val="center"/>
          </w:tcPr>
          <w:p w14:paraId="78305237">
            <w:pPr>
              <w:pStyle w:val="133"/>
            </w:pPr>
            <w:r>
              <w:rPr>
                <w:rFonts w:eastAsia="等线" w:cs="Times New Roman"/>
                <w:szCs w:val="21"/>
              </w:rPr>
              <w:t>1.19</w:t>
            </w:r>
          </w:p>
        </w:tc>
        <w:tc>
          <w:tcPr>
            <w:tcW w:w="681" w:type="pct"/>
            <w:vAlign w:val="center"/>
          </w:tcPr>
          <w:p w14:paraId="70CF03E9">
            <w:pPr>
              <w:pStyle w:val="133"/>
            </w:pPr>
            <w:r>
              <w:rPr>
                <w:rFonts w:eastAsia="等线" w:cs="Times New Roman"/>
                <w:szCs w:val="21"/>
              </w:rPr>
              <w:t>0.03</w:t>
            </w:r>
          </w:p>
        </w:tc>
        <w:tc>
          <w:tcPr>
            <w:tcW w:w="670" w:type="pct"/>
            <w:vAlign w:val="center"/>
          </w:tcPr>
          <w:p w14:paraId="50D5EC44">
            <w:pPr>
              <w:pStyle w:val="133"/>
            </w:pPr>
            <w:r>
              <w:rPr>
                <w:rFonts w:eastAsia="等线" w:cs="Times New Roman"/>
                <w:szCs w:val="21"/>
              </w:rPr>
              <w:t>1.19</w:t>
            </w:r>
          </w:p>
        </w:tc>
        <w:tc>
          <w:tcPr>
            <w:tcW w:w="683" w:type="pct"/>
            <w:vAlign w:val="center"/>
          </w:tcPr>
          <w:p w14:paraId="39D5D8D3">
            <w:pPr>
              <w:pStyle w:val="133"/>
            </w:pPr>
            <w:r>
              <w:rPr>
                <w:rFonts w:eastAsia="等线" w:cs="Times New Roman"/>
                <w:szCs w:val="21"/>
              </w:rPr>
              <w:t>0.03</w:t>
            </w:r>
          </w:p>
        </w:tc>
        <w:tc>
          <w:tcPr>
            <w:tcW w:w="609" w:type="pct"/>
            <w:vAlign w:val="center"/>
          </w:tcPr>
          <w:p w14:paraId="5BEBF49C">
            <w:pPr>
              <w:pStyle w:val="133"/>
            </w:pPr>
            <w:r>
              <w:rPr>
                <w:rFonts w:eastAsia="等线" w:cs="Times New Roman"/>
                <w:szCs w:val="21"/>
              </w:rPr>
              <w:t>-1.15</w:t>
            </w:r>
          </w:p>
        </w:tc>
      </w:tr>
      <w:tr w14:paraId="4E88A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47C425CA">
            <w:pPr>
              <w:pStyle w:val="133"/>
            </w:pPr>
          </w:p>
        </w:tc>
        <w:tc>
          <w:tcPr>
            <w:tcW w:w="904" w:type="pct"/>
            <w:gridSpan w:val="2"/>
            <w:vAlign w:val="center"/>
          </w:tcPr>
          <w:p w14:paraId="4AEA9936">
            <w:pPr>
              <w:pStyle w:val="133"/>
            </w:pPr>
            <w:r>
              <w:rPr>
                <w:rFonts w:hint="eastAsia"/>
                <w:szCs w:val="21"/>
              </w:rPr>
              <w:t>硫化氢</w:t>
            </w:r>
          </w:p>
        </w:tc>
        <w:tc>
          <w:tcPr>
            <w:tcW w:w="405" w:type="pct"/>
            <w:vAlign w:val="center"/>
          </w:tcPr>
          <w:p w14:paraId="25049CDD">
            <w:pPr>
              <w:pStyle w:val="133"/>
            </w:pPr>
            <w:r>
              <w:t>t/a</w:t>
            </w:r>
          </w:p>
        </w:tc>
        <w:tc>
          <w:tcPr>
            <w:tcW w:w="670" w:type="pct"/>
            <w:vAlign w:val="center"/>
          </w:tcPr>
          <w:p w14:paraId="3D028182">
            <w:pPr>
              <w:pStyle w:val="133"/>
            </w:pPr>
            <w:r>
              <w:rPr>
                <w:rFonts w:eastAsia="等线" w:cs="Times New Roman"/>
                <w:szCs w:val="21"/>
              </w:rPr>
              <w:t>0.16</w:t>
            </w:r>
          </w:p>
        </w:tc>
        <w:tc>
          <w:tcPr>
            <w:tcW w:w="681" w:type="pct"/>
            <w:vAlign w:val="center"/>
          </w:tcPr>
          <w:p w14:paraId="242F2D0C">
            <w:pPr>
              <w:pStyle w:val="133"/>
            </w:pPr>
            <w:r>
              <w:rPr>
                <w:rFonts w:eastAsia="等线" w:cs="Times New Roman"/>
                <w:szCs w:val="21"/>
              </w:rPr>
              <w:t>0.007</w:t>
            </w:r>
          </w:p>
        </w:tc>
        <w:tc>
          <w:tcPr>
            <w:tcW w:w="670" w:type="pct"/>
            <w:vAlign w:val="center"/>
          </w:tcPr>
          <w:p w14:paraId="40DFF083">
            <w:pPr>
              <w:pStyle w:val="133"/>
            </w:pPr>
            <w:r>
              <w:rPr>
                <w:rFonts w:eastAsia="等线" w:cs="Times New Roman"/>
                <w:szCs w:val="21"/>
              </w:rPr>
              <w:t>0.16</w:t>
            </w:r>
          </w:p>
        </w:tc>
        <w:tc>
          <w:tcPr>
            <w:tcW w:w="683" w:type="pct"/>
            <w:vAlign w:val="center"/>
          </w:tcPr>
          <w:p w14:paraId="6A1AB28B">
            <w:pPr>
              <w:pStyle w:val="133"/>
            </w:pPr>
            <w:r>
              <w:rPr>
                <w:rFonts w:eastAsia="等线" w:cs="Times New Roman"/>
                <w:szCs w:val="21"/>
              </w:rPr>
              <w:t>0.01</w:t>
            </w:r>
          </w:p>
        </w:tc>
        <w:tc>
          <w:tcPr>
            <w:tcW w:w="609" w:type="pct"/>
            <w:vAlign w:val="center"/>
          </w:tcPr>
          <w:p w14:paraId="1D408059">
            <w:pPr>
              <w:pStyle w:val="133"/>
            </w:pPr>
            <w:r>
              <w:rPr>
                <w:rFonts w:eastAsia="等线" w:cs="Times New Roman"/>
                <w:szCs w:val="21"/>
              </w:rPr>
              <w:t>-0.15</w:t>
            </w:r>
          </w:p>
        </w:tc>
      </w:tr>
      <w:tr w14:paraId="25780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6B9C4802">
            <w:pPr>
              <w:pStyle w:val="133"/>
            </w:pPr>
          </w:p>
        </w:tc>
        <w:tc>
          <w:tcPr>
            <w:tcW w:w="904" w:type="pct"/>
            <w:gridSpan w:val="2"/>
            <w:vAlign w:val="center"/>
          </w:tcPr>
          <w:p w14:paraId="6583718E">
            <w:pPr>
              <w:pStyle w:val="133"/>
            </w:pPr>
            <w:r>
              <w:rPr>
                <w:rFonts w:hint="eastAsia"/>
                <w:szCs w:val="21"/>
              </w:rPr>
              <w:t>非甲烷总烃（有组织）</w:t>
            </w:r>
          </w:p>
        </w:tc>
        <w:tc>
          <w:tcPr>
            <w:tcW w:w="405" w:type="pct"/>
            <w:vAlign w:val="center"/>
          </w:tcPr>
          <w:p w14:paraId="7EA84619">
            <w:pPr>
              <w:pStyle w:val="133"/>
            </w:pPr>
            <w:r>
              <w:t>t/a</w:t>
            </w:r>
          </w:p>
        </w:tc>
        <w:tc>
          <w:tcPr>
            <w:tcW w:w="670" w:type="pct"/>
            <w:vAlign w:val="center"/>
          </w:tcPr>
          <w:p w14:paraId="18963468">
            <w:pPr>
              <w:pStyle w:val="133"/>
            </w:pPr>
            <w:r>
              <w:rPr>
                <w:rFonts w:eastAsia="等线" w:cs="Times New Roman"/>
                <w:szCs w:val="21"/>
              </w:rPr>
              <w:t>0</w:t>
            </w:r>
          </w:p>
        </w:tc>
        <w:tc>
          <w:tcPr>
            <w:tcW w:w="681" w:type="pct"/>
            <w:vAlign w:val="center"/>
          </w:tcPr>
          <w:p w14:paraId="55652F0E">
            <w:pPr>
              <w:pStyle w:val="133"/>
            </w:pPr>
            <w:r>
              <w:rPr>
                <w:rFonts w:eastAsia="等线" w:cs="Times New Roman"/>
                <w:szCs w:val="21"/>
              </w:rPr>
              <w:t>0.</w:t>
            </w:r>
            <w:r>
              <w:rPr>
                <w:rFonts w:hint="eastAsia" w:eastAsia="等线" w:cs="Times New Roman"/>
                <w:szCs w:val="21"/>
              </w:rPr>
              <w:t>38</w:t>
            </w:r>
          </w:p>
        </w:tc>
        <w:tc>
          <w:tcPr>
            <w:tcW w:w="670" w:type="pct"/>
            <w:vAlign w:val="center"/>
          </w:tcPr>
          <w:p w14:paraId="25CB0B8C">
            <w:pPr>
              <w:pStyle w:val="133"/>
            </w:pPr>
            <w:r>
              <w:rPr>
                <w:rFonts w:eastAsia="等线" w:cs="Times New Roman"/>
                <w:szCs w:val="21"/>
              </w:rPr>
              <w:t>0</w:t>
            </w:r>
          </w:p>
        </w:tc>
        <w:tc>
          <w:tcPr>
            <w:tcW w:w="683" w:type="pct"/>
            <w:vAlign w:val="center"/>
          </w:tcPr>
          <w:p w14:paraId="7986BD11">
            <w:pPr>
              <w:pStyle w:val="133"/>
            </w:pPr>
            <w:r>
              <w:rPr>
                <w:rFonts w:eastAsia="等线" w:cs="Times New Roman"/>
                <w:szCs w:val="21"/>
              </w:rPr>
              <w:t>0.</w:t>
            </w:r>
            <w:r>
              <w:rPr>
                <w:rFonts w:hint="eastAsia" w:eastAsia="等线" w:cs="Times New Roman"/>
                <w:szCs w:val="21"/>
              </w:rPr>
              <w:t>38</w:t>
            </w:r>
          </w:p>
        </w:tc>
        <w:tc>
          <w:tcPr>
            <w:tcW w:w="609" w:type="pct"/>
            <w:vAlign w:val="center"/>
          </w:tcPr>
          <w:p w14:paraId="411032C1">
            <w:pPr>
              <w:pStyle w:val="133"/>
            </w:pPr>
            <w:r>
              <w:rPr>
                <w:rFonts w:eastAsia="等线" w:cs="Times New Roman"/>
                <w:szCs w:val="21"/>
              </w:rPr>
              <w:t>0.38</w:t>
            </w:r>
          </w:p>
        </w:tc>
      </w:tr>
      <w:tr w14:paraId="289CAF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07B598DD">
            <w:pPr>
              <w:pStyle w:val="133"/>
            </w:pPr>
          </w:p>
        </w:tc>
        <w:tc>
          <w:tcPr>
            <w:tcW w:w="282" w:type="pct"/>
            <w:vMerge w:val="restart"/>
            <w:vAlign w:val="center"/>
          </w:tcPr>
          <w:p w14:paraId="5CB61765">
            <w:pPr>
              <w:pStyle w:val="133"/>
            </w:pPr>
            <w:r>
              <w:rPr>
                <w:rFonts w:hint="eastAsia"/>
              </w:rPr>
              <w:t>无组织</w:t>
            </w:r>
          </w:p>
        </w:tc>
        <w:tc>
          <w:tcPr>
            <w:tcW w:w="622" w:type="pct"/>
            <w:vAlign w:val="center"/>
          </w:tcPr>
          <w:p w14:paraId="50AC77F9">
            <w:pPr>
              <w:pStyle w:val="133"/>
            </w:pPr>
            <w:r>
              <w:rPr>
                <w:rFonts w:hint="eastAsia"/>
              </w:rPr>
              <w:t>苯并芘</w:t>
            </w:r>
          </w:p>
        </w:tc>
        <w:tc>
          <w:tcPr>
            <w:tcW w:w="405" w:type="pct"/>
            <w:vAlign w:val="center"/>
          </w:tcPr>
          <w:p w14:paraId="03837616">
            <w:pPr>
              <w:pStyle w:val="133"/>
            </w:pPr>
            <w:r>
              <w:t>t/a</w:t>
            </w:r>
          </w:p>
        </w:tc>
        <w:tc>
          <w:tcPr>
            <w:tcW w:w="670" w:type="pct"/>
            <w:vAlign w:val="center"/>
          </w:tcPr>
          <w:p w14:paraId="6555C94F">
            <w:pPr>
              <w:pStyle w:val="133"/>
            </w:pPr>
            <w:r>
              <w:rPr>
                <w:rFonts w:eastAsia="等线" w:cs="Times New Roman"/>
                <w:szCs w:val="21"/>
              </w:rPr>
              <w:t>0.002</w:t>
            </w:r>
          </w:p>
        </w:tc>
        <w:tc>
          <w:tcPr>
            <w:tcW w:w="681" w:type="pct"/>
            <w:vAlign w:val="center"/>
          </w:tcPr>
          <w:p w14:paraId="2718D90E">
            <w:pPr>
              <w:pStyle w:val="133"/>
            </w:pPr>
            <w:r>
              <w:rPr>
                <w:rFonts w:eastAsia="等线" w:cs="Times New Roman"/>
                <w:szCs w:val="21"/>
              </w:rPr>
              <w:t>0.0001</w:t>
            </w:r>
          </w:p>
        </w:tc>
        <w:tc>
          <w:tcPr>
            <w:tcW w:w="670" w:type="pct"/>
            <w:vAlign w:val="center"/>
          </w:tcPr>
          <w:p w14:paraId="7F4BC380">
            <w:pPr>
              <w:pStyle w:val="133"/>
            </w:pPr>
            <w:r>
              <w:rPr>
                <w:rFonts w:eastAsia="等线" w:cs="Times New Roman"/>
                <w:szCs w:val="21"/>
              </w:rPr>
              <w:t>0.002</w:t>
            </w:r>
          </w:p>
        </w:tc>
        <w:tc>
          <w:tcPr>
            <w:tcW w:w="683" w:type="pct"/>
            <w:vAlign w:val="center"/>
          </w:tcPr>
          <w:p w14:paraId="18980867">
            <w:pPr>
              <w:pStyle w:val="133"/>
            </w:pPr>
            <w:r>
              <w:rPr>
                <w:rFonts w:eastAsia="等线" w:cs="Times New Roman"/>
                <w:szCs w:val="21"/>
              </w:rPr>
              <w:t>0.0001</w:t>
            </w:r>
          </w:p>
        </w:tc>
        <w:tc>
          <w:tcPr>
            <w:tcW w:w="609" w:type="pct"/>
            <w:vAlign w:val="center"/>
          </w:tcPr>
          <w:p w14:paraId="1B87177C">
            <w:pPr>
              <w:pStyle w:val="133"/>
            </w:pPr>
            <w:r>
              <w:rPr>
                <w:rFonts w:eastAsia="等线" w:cs="Times New Roman"/>
                <w:szCs w:val="21"/>
              </w:rPr>
              <w:t>-0.002</w:t>
            </w:r>
          </w:p>
        </w:tc>
      </w:tr>
      <w:tr w14:paraId="51C17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1DF7A94F">
            <w:pPr>
              <w:pStyle w:val="133"/>
            </w:pPr>
          </w:p>
        </w:tc>
        <w:tc>
          <w:tcPr>
            <w:tcW w:w="282" w:type="pct"/>
            <w:vMerge w:val="continue"/>
            <w:vAlign w:val="center"/>
          </w:tcPr>
          <w:p w14:paraId="4126FC23">
            <w:pPr>
              <w:pStyle w:val="133"/>
            </w:pPr>
          </w:p>
        </w:tc>
        <w:tc>
          <w:tcPr>
            <w:tcW w:w="622" w:type="pct"/>
            <w:vAlign w:val="center"/>
          </w:tcPr>
          <w:p w14:paraId="0FA3ACA6">
            <w:pPr>
              <w:pStyle w:val="133"/>
            </w:pPr>
            <w:r>
              <w:rPr>
                <w:rFonts w:hint="eastAsia"/>
                <w:szCs w:val="21"/>
              </w:rPr>
              <w:t>氰化氢</w:t>
            </w:r>
          </w:p>
        </w:tc>
        <w:tc>
          <w:tcPr>
            <w:tcW w:w="405" w:type="pct"/>
            <w:vAlign w:val="center"/>
          </w:tcPr>
          <w:p w14:paraId="15231F4B">
            <w:pPr>
              <w:pStyle w:val="133"/>
            </w:pPr>
            <w:r>
              <w:t>t/a</w:t>
            </w:r>
          </w:p>
        </w:tc>
        <w:tc>
          <w:tcPr>
            <w:tcW w:w="670" w:type="pct"/>
            <w:vAlign w:val="center"/>
          </w:tcPr>
          <w:p w14:paraId="7F74428E">
            <w:pPr>
              <w:pStyle w:val="133"/>
            </w:pPr>
            <w:r>
              <w:rPr>
                <w:rFonts w:eastAsia="等线" w:cs="Times New Roman"/>
                <w:szCs w:val="21"/>
              </w:rPr>
              <w:t>0.019</w:t>
            </w:r>
          </w:p>
        </w:tc>
        <w:tc>
          <w:tcPr>
            <w:tcW w:w="681" w:type="pct"/>
            <w:vAlign w:val="center"/>
          </w:tcPr>
          <w:p w14:paraId="2A2A3846">
            <w:pPr>
              <w:pStyle w:val="133"/>
            </w:pPr>
            <w:r>
              <w:rPr>
                <w:rFonts w:eastAsia="等线" w:cs="Times New Roman"/>
                <w:szCs w:val="21"/>
              </w:rPr>
              <w:t>0.001</w:t>
            </w:r>
          </w:p>
        </w:tc>
        <w:tc>
          <w:tcPr>
            <w:tcW w:w="670" w:type="pct"/>
            <w:vAlign w:val="center"/>
          </w:tcPr>
          <w:p w14:paraId="30BDA47B">
            <w:pPr>
              <w:pStyle w:val="133"/>
            </w:pPr>
            <w:r>
              <w:rPr>
                <w:rFonts w:eastAsia="等线" w:cs="Times New Roman"/>
                <w:szCs w:val="21"/>
              </w:rPr>
              <w:t>0.019</w:t>
            </w:r>
          </w:p>
        </w:tc>
        <w:tc>
          <w:tcPr>
            <w:tcW w:w="683" w:type="pct"/>
            <w:vAlign w:val="center"/>
          </w:tcPr>
          <w:p w14:paraId="765BCE5C">
            <w:pPr>
              <w:pStyle w:val="133"/>
            </w:pPr>
            <w:r>
              <w:rPr>
                <w:rFonts w:eastAsia="等线" w:cs="Times New Roman"/>
                <w:szCs w:val="21"/>
              </w:rPr>
              <w:t>0.001</w:t>
            </w:r>
          </w:p>
        </w:tc>
        <w:tc>
          <w:tcPr>
            <w:tcW w:w="609" w:type="pct"/>
            <w:vAlign w:val="center"/>
          </w:tcPr>
          <w:p w14:paraId="3B088ACB">
            <w:pPr>
              <w:pStyle w:val="133"/>
            </w:pPr>
            <w:r>
              <w:rPr>
                <w:rFonts w:eastAsia="等线" w:cs="Times New Roman"/>
                <w:szCs w:val="21"/>
              </w:rPr>
              <w:t>-0.018</w:t>
            </w:r>
          </w:p>
        </w:tc>
      </w:tr>
      <w:tr w14:paraId="30BCA0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055EE3C5">
            <w:pPr>
              <w:pStyle w:val="133"/>
            </w:pPr>
          </w:p>
        </w:tc>
        <w:tc>
          <w:tcPr>
            <w:tcW w:w="282" w:type="pct"/>
            <w:vMerge w:val="continue"/>
            <w:vAlign w:val="center"/>
          </w:tcPr>
          <w:p w14:paraId="2454AB40">
            <w:pPr>
              <w:pStyle w:val="133"/>
            </w:pPr>
          </w:p>
        </w:tc>
        <w:tc>
          <w:tcPr>
            <w:tcW w:w="622" w:type="pct"/>
            <w:vAlign w:val="center"/>
          </w:tcPr>
          <w:p w14:paraId="5F3A6FF1">
            <w:pPr>
              <w:pStyle w:val="133"/>
            </w:pPr>
            <w:r>
              <w:rPr>
                <w:rFonts w:hint="eastAsia"/>
                <w:szCs w:val="21"/>
              </w:rPr>
              <w:t>酚类</w:t>
            </w:r>
          </w:p>
        </w:tc>
        <w:tc>
          <w:tcPr>
            <w:tcW w:w="405" w:type="pct"/>
            <w:vAlign w:val="center"/>
          </w:tcPr>
          <w:p w14:paraId="5FE56B82">
            <w:pPr>
              <w:pStyle w:val="133"/>
            </w:pPr>
            <w:r>
              <w:t>t/a</w:t>
            </w:r>
          </w:p>
        </w:tc>
        <w:tc>
          <w:tcPr>
            <w:tcW w:w="670" w:type="pct"/>
            <w:vAlign w:val="center"/>
          </w:tcPr>
          <w:p w14:paraId="7F5A36D6">
            <w:pPr>
              <w:pStyle w:val="133"/>
            </w:pPr>
            <w:r>
              <w:rPr>
                <w:rFonts w:eastAsia="等线" w:cs="Times New Roman"/>
                <w:szCs w:val="21"/>
              </w:rPr>
              <w:t>0.122</w:t>
            </w:r>
          </w:p>
        </w:tc>
        <w:tc>
          <w:tcPr>
            <w:tcW w:w="681" w:type="pct"/>
            <w:vAlign w:val="center"/>
          </w:tcPr>
          <w:p w14:paraId="42F69D10">
            <w:pPr>
              <w:pStyle w:val="133"/>
            </w:pPr>
            <w:r>
              <w:rPr>
                <w:rFonts w:eastAsia="等线" w:cs="Times New Roman"/>
                <w:szCs w:val="21"/>
              </w:rPr>
              <w:t>0.008</w:t>
            </w:r>
          </w:p>
        </w:tc>
        <w:tc>
          <w:tcPr>
            <w:tcW w:w="670" w:type="pct"/>
            <w:vAlign w:val="center"/>
          </w:tcPr>
          <w:p w14:paraId="09F44941">
            <w:pPr>
              <w:pStyle w:val="133"/>
            </w:pPr>
            <w:r>
              <w:rPr>
                <w:rFonts w:eastAsia="等线" w:cs="Times New Roman"/>
                <w:szCs w:val="21"/>
              </w:rPr>
              <w:t>0.122</w:t>
            </w:r>
          </w:p>
        </w:tc>
        <w:tc>
          <w:tcPr>
            <w:tcW w:w="683" w:type="pct"/>
            <w:vAlign w:val="center"/>
          </w:tcPr>
          <w:p w14:paraId="7BAAFF4D">
            <w:pPr>
              <w:pStyle w:val="133"/>
            </w:pPr>
            <w:r>
              <w:rPr>
                <w:rFonts w:eastAsia="等线" w:cs="Times New Roman"/>
                <w:szCs w:val="21"/>
              </w:rPr>
              <w:t>0.008</w:t>
            </w:r>
          </w:p>
        </w:tc>
        <w:tc>
          <w:tcPr>
            <w:tcW w:w="609" w:type="pct"/>
            <w:vAlign w:val="center"/>
          </w:tcPr>
          <w:p w14:paraId="6A11321E">
            <w:pPr>
              <w:pStyle w:val="133"/>
            </w:pPr>
            <w:r>
              <w:rPr>
                <w:rFonts w:eastAsia="等线" w:cs="Times New Roman"/>
                <w:szCs w:val="21"/>
              </w:rPr>
              <w:t>-0.115</w:t>
            </w:r>
          </w:p>
        </w:tc>
      </w:tr>
      <w:tr w14:paraId="7A85E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4F686ADC">
            <w:pPr>
              <w:pStyle w:val="133"/>
            </w:pPr>
          </w:p>
        </w:tc>
        <w:tc>
          <w:tcPr>
            <w:tcW w:w="282" w:type="pct"/>
            <w:vMerge w:val="continue"/>
            <w:vAlign w:val="center"/>
          </w:tcPr>
          <w:p w14:paraId="73D85CC0">
            <w:pPr>
              <w:pStyle w:val="133"/>
            </w:pPr>
          </w:p>
        </w:tc>
        <w:tc>
          <w:tcPr>
            <w:tcW w:w="622" w:type="pct"/>
            <w:vAlign w:val="center"/>
          </w:tcPr>
          <w:p w14:paraId="4E6B21FE">
            <w:pPr>
              <w:pStyle w:val="133"/>
            </w:pPr>
            <w:r>
              <w:rPr>
                <w:rFonts w:hint="eastAsia"/>
                <w:szCs w:val="21"/>
              </w:rPr>
              <w:t>氨</w:t>
            </w:r>
          </w:p>
        </w:tc>
        <w:tc>
          <w:tcPr>
            <w:tcW w:w="405" w:type="pct"/>
            <w:vAlign w:val="center"/>
          </w:tcPr>
          <w:p w14:paraId="7F03EB01">
            <w:pPr>
              <w:pStyle w:val="133"/>
            </w:pPr>
            <w:r>
              <w:t>t/a</w:t>
            </w:r>
          </w:p>
        </w:tc>
        <w:tc>
          <w:tcPr>
            <w:tcW w:w="670" w:type="pct"/>
            <w:vAlign w:val="center"/>
          </w:tcPr>
          <w:p w14:paraId="545B8E7B">
            <w:pPr>
              <w:pStyle w:val="133"/>
            </w:pPr>
            <w:r>
              <w:rPr>
                <w:rFonts w:eastAsia="等线" w:cs="Times New Roman"/>
                <w:szCs w:val="21"/>
              </w:rPr>
              <w:t>1.22</w:t>
            </w:r>
          </w:p>
        </w:tc>
        <w:tc>
          <w:tcPr>
            <w:tcW w:w="681" w:type="pct"/>
            <w:vAlign w:val="center"/>
          </w:tcPr>
          <w:p w14:paraId="5775EE1B">
            <w:pPr>
              <w:pStyle w:val="133"/>
            </w:pPr>
            <w:r>
              <w:rPr>
                <w:rFonts w:eastAsia="等线" w:cs="Times New Roman"/>
                <w:szCs w:val="21"/>
              </w:rPr>
              <w:t>0.10</w:t>
            </w:r>
          </w:p>
        </w:tc>
        <w:tc>
          <w:tcPr>
            <w:tcW w:w="670" w:type="pct"/>
            <w:vAlign w:val="center"/>
          </w:tcPr>
          <w:p w14:paraId="623C7173">
            <w:pPr>
              <w:pStyle w:val="133"/>
            </w:pPr>
            <w:r>
              <w:rPr>
                <w:rFonts w:eastAsia="等线" w:cs="Times New Roman"/>
                <w:szCs w:val="21"/>
              </w:rPr>
              <w:t>1.22</w:t>
            </w:r>
          </w:p>
        </w:tc>
        <w:tc>
          <w:tcPr>
            <w:tcW w:w="683" w:type="pct"/>
            <w:vAlign w:val="center"/>
          </w:tcPr>
          <w:p w14:paraId="43D93B58">
            <w:pPr>
              <w:pStyle w:val="133"/>
            </w:pPr>
            <w:r>
              <w:rPr>
                <w:rFonts w:eastAsia="等线" w:cs="Times New Roman"/>
                <w:szCs w:val="21"/>
              </w:rPr>
              <w:t>0.10</w:t>
            </w:r>
          </w:p>
        </w:tc>
        <w:tc>
          <w:tcPr>
            <w:tcW w:w="609" w:type="pct"/>
            <w:vAlign w:val="center"/>
          </w:tcPr>
          <w:p w14:paraId="7FC66E64">
            <w:pPr>
              <w:pStyle w:val="133"/>
            </w:pPr>
            <w:r>
              <w:rPr>
                <w:rFonts w:eastAsia="等线" w:cs="Times New Roman"/>
                <w:szCs w:val="21"/>
              </w:rPr>
              <w:t>-1.13</w:t>
            </w:r>
          </w:p>
        </w:tc>
      </w:tr>
      <w:tr w14:paraId="5F7D2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7D0FBBAC">
            <w:pPr>
              <w:pStyle w:val="133"/>
            </w:pPr>
          </w:p>
        </w:tc>
        <w:tc>
          <w:tcPr>
            <w:tcW w:w="282" w:type="pct"/>
            <w:vMerge w:val="continue"/>
            <w:vAlign w:val="center"/>
          </w:tcPr>
          <w:p w14:paraId="5F9FA367">
            <w:pPr>
              <w:pStyle w:val="133"/>
            </w:pPr>
          </w:p>
        </w:tc>
        <w:tc>
          <w:tcPr>
            <w:tcW w:w="622" w:type="pct"/>
            <w:vAlign w:val="center"/>
          </w:tcPr>
          <w:p w14:paraId="0A4C923E">
            <w:pPr>
              <w:pStyle w:val="133"/>
            </w:pPr>
            <w:r>
              <w:rPr>
                <w:rFonts w:hint="eastAsia"/>
                <w:szCs w:val="21"/>
              </w:rPr>
              <w:t>硫化氢</w:t>
            </w:r>
          </w:p>
        </w:tc>
        <w:tc>
          <w:tcPr>
            <w:tcW w:w="405" w:type="pct"/>
            <w:vAlign w:val="center"/>
          </w:tcPr>
          <w:p w14:paraId="3693169C">
            <w:pPr>
              <w:pStyle w:val="133"/>
            </w:pPr>
            <w:r>
              <w:t>t/a</w:t>
            </w:r>
          </w:p>
        </w:tc>
        <w:tc>
          <w:tcPr>
            <w:tcW w:w="670" w:type="pct"/>
            <w:vAlign w:val="center"/>
          </w:tcPr>
          <w:p w14:paraId="43D74074">
            <w:pPr>
              <w:pStyle w:val="133"/>
            </w:pPr>
            <w:r>
              <w:rPr>
                <w:rFonts w:eastAsia="等线" w:cs="Times New Roman"/>
                <w:szCs w:val="21"/>
              </w:rPr>
              <w:t>0.24</w:t>
            </w:r>
          </w:p>
        </w:tc>
        <w:tc>
          <w:tcPr>
            <w:tcW w:w="681" w:type="pct"/>
            <w:vAlign w:val="center"/>
          </w:tcPr>
          <w:p w14:paraId="33D07D8E">
            <w:pPr>
              <w:pStyle w:val="133"/>
            </w:pPr>
            <w:r>
              <w:rPr>
                <w:rFonts w:eastAsia="等线" w:cs="Times New Roman"/>
                <w:szCs w:val="21"/>
              </w:rPr>
              <w:t>0.02</w:t>
            </w:r>
          </w:p>
        </w:tc>
        <w:tc>
          <w:tcPr>
            <w:tcW w:w="670" w:type="pct"/>
            <w:vAlign w:val="center"/>
          </w:tcPr>
          <w:p w14:paraId="606D7B23">
            <w:pPr>
              <w:pStyle w:val="133"/>
            </w:pPr>
            <w:r>
              <w:rPr>
                <w:rFonts w:eastAsia="等线" w:cs="Times New Roman"/>
                <w:szCs w:val="21"/>
              </w:rPr>
              <w:t>0.24</w:t>
            </w:r>
          </w:p>
        </w:tc>
        <w:tc>
          <w:tcPr>
            <w:tcW w:w="683" w:type="pct"/>
            <w:vAlign w:val="center"/>
          </w:tcPr>
          <w:p w14:paraId="6319E3A6">
            <w:pPr>
              <w:pStyle w:val="133"/>
            </w:pPr>
            <w:r>
              <w:rPr>
                <w:rFonts w:eastAsia="等线" w:cs="Times New Roman"/>
                <w:szCs w:val="21"/>
              </w:rPr>
              <w:t>0.02</w:t>
            </w:r>
          </w:p>
        </w:tc>
        <w:tc>
          <w:tcPr>
            <w:tcW w:w="609" w:type="pct"/>
            <w:vAlign w:val="center"/>
          </w:tcPr>
          <w:p w14:paraId="733F53C2">
            <w:pPr>
              <w:pStyle w:val="133"/>
            </w:pPr>
            <w:r>
              <w:rPr>
                <w:rFonts w:eastAsia="等线" w:cs="Times New Roman"/>
                <w:szCs w:val="21"/>
              </w:rPr>
              <w:t>-0.22</w:t>
            </w:r>
          </w:p>
        </w:tc>
      </w:tr>
      <w:tr w14:paraId="6D677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60688D69">
            <w:pPr>
              <w:pStyle w:val="133"/>
            </w:pPr>
          </w:p>
        </w:tc>
        <w:tc>
          <w:tcPr>
            <w:tcW w:w="282" w:type="pct"/>
            <w:vMerge w:val="continue"/>
            <w:vAlign w:val="center"/>
          </w:tcPr>
          <w:p w14:paraId="2605D701">
            <w:pPr>
              <w:pStyle w:val="133"/>
            </w:pPr>
          </w:p>
        </w:tc>
        <w:tc>
          <w:tcPr>
            <w:tcW w:w="622" w:type="pct"/>
            <w:vAlign w:val="center"/>
          </w:tcPr>
          <w:p w14:paraId="4915FD61">
            <w:pPr>
              <w:pStyle w:val="133"/>
              <w:rPr>
                <w:szCs w:val="21"/>
              </w:rPr>
            </w:pPr>
            <w:r>
              <w:rPr>
                <w:rFonts w:hint="eastAsia"/>
                <w:szCs w:val="21"/>
              </w:rPr>
              <w:t>非甲烷总烃</w:t>
            </w:r>
          </w:p>
        </w:tc>
        <w:tc>
          <w:tcPr>
            <w:tcW w:w="405" w:type="pct"/>
            <w:vAlign w:val="center"/>
          </w:tcPr>
          <w:p w14:paraId="6BA65F08">
            <w:pPr>
              <w:pStyle w:val="133"/>
            </w:pPr>
            <w:r>
              <w:t>t/a</w:t>
            </w:r>
          </w:p>
        </w:tc>
        <w:tc>
          <w:tcPr>
            <w:tcW w:w="670" w:type="pct"/>
            <w:vAlign w:val="center"/>
          </w:tcPr>
          <w:p w14:paraId="6898AC37">
            <w:pPr>
              <w:pStyle w:val="133"/>
            </w:pPr>
            <w:r>
              <w:rPr>
                <w:rFonts w:eastAsia="等线" w:cs="Times New Roman"/>
                <w:szCs w:val="21"/>
              </w:rPr>
              <w:t>12.66</w:t>
            </w:r>
          </w:p>
        </w:tc>
        <w:tc>
          <w:tcPr>
            <w:tcW w:w="681" w:type="pct"/>
            <w:vAlign w:val="center"/>
          </w:tcPr>
          <w:p w14:paraId="4413B2FD">
            <w:pPr>
              <w:pStyle w:val="133"/>
            </w:pPr>
            <w:r>
              <w:rPr>
                <w:rFonts w:hint="eastAsia" w:eastAsia="等线" w:cs="Times New Roman"/>
                <w:szCs w:val="21"/>
              </w:rPr>
              <w:t>2.89</w:t>
            </w:r>
          </w:p>
        </w:tc>
        <w:tc>
          <w:tcPr>
            <w:tcW w:w="670" w:type="pct"/>
            <w:vAlign w:val="center"/>
          </w:tcPr>
          <w:p w14:paraId="42C67B29">
            <w:pPr>
              <w:pStyle w:val="133"/>
            </w:pPr>
            <w:r>
              <w:rPr>
                <w:rFonts w:eastAsia="等线" w:cs="Times New Roman"/>
                <w:szCs w:val="21"/>
              </w:rPr>
              <w:t>12.66</w:t>
            </w:r>
          </w:p>
        </w:tc>
        <w:tc>
          <w:tcPr>
            <w:tcW w:w="683" w:type="pct"/>
            <w:vAlign w:val="center"/>
          </w:tcPr>
          <w:p w14:paraId="536FB946">
            <w:pPr>
              <w:pStyle w:val="133"/>
              <w:rPr>
                <w:rFonts w:eastAsia="等线" w:cs="Times New Roman"/>
                <w:szCs w:val="21"/>
              </w:rPr>
            </w:pPr>
            <w:r>
              <w:rPr>
                <w:rFonts w:hint="eastAsia" w:eastAsia="等线" w:cs="Times New Roman"/>
                <w:szCs w:val="21"/>
              </w:rPr>
              <w:t>2.89</w:t>
            </w:r>
          </w:p>
        </w:tc>
        <w:tc>
          <w:tcPr>
            <w:tcW w:w="609" w:type="pct"/>
            <w:vAlign w:val="center"/>
          </w:tcPr>
          <w:p w14:paraId="0023830F">
            <w:pPr>
              <w:pStyle w:val="133"/>
              <w:rPr>
                <w:rFonts w:eastAsia="等线" w:cs="Times New Roman"/>
                <w:szCs w:val="21"/>
              </w:rPr>
            </w:pPr>
            <w:r>
              <w:rPr>
                <w:rFonts w:eastAsia="等线" w:cs="Times New Roman"/>
                <w:szCs w:val="21"/>
              </w:rPr>
              <w:t>-9.77</w:t>
            </w:r>
          </w:p>
        </w:tc>
      </w:tr>
      <w:tr w14:paraId="00DB90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34F2BF80">
            <w:pPr>
              <w:pStyle w:val="133"/>
            </w:pPr>
          </w:p>
        </w:tc>
        <w:tc>
          <w:tcPr>
            <w:tcW w:w="282" w:type="pct"/>
            <w:vMerge w:val="continue"/>
            <w:vAlign w:val="center"/>
          </w:tcPr>
          <w:p w14:paraId="5FA96664">
            <w:pPr>
              <w:pStyle w:val="133"/>
            </w:pPr>
          </w:p>
        </w:tc>
        <w:tc>
          <w:tcPr>
            <w:tcW w:w="622" w:type="pct"/>
            <w:vAlign w:val="center"/>
          </w:tcPr>
          <w:p w14:paraId="00CA02D1">
            <w:pPr>
              <w:pStyle w:val="133"/>
              <w:rPr>
                <w:szCs w:val="21"/>
              </w:rPr>
            </w:pPr>
            <w:r>
              <w:rPr>
                <w:rFonts w:hint="eastAsia"/>
                <w:szCs w:val="21"/>
              </w:rPr>
              <w:t>二氧化硫</w:t>
            </w:r>
          </w:p>
        </w:tc>
        <w:tc>
          <w:tcPr>
            <w:tcW w:w="405" w:type="pct"/>
            <w:vAlign w:val="center"/>
          </w:tcPr>
          <w:p w14:paraId="60DAC266">
            <w:pPr>
              <w:pStyle w:val="133"/>
            </w:pPr>
            <w:r>
              <w:t>t/a</w:t>
            </w:r>
          </w:p>
        </w:tc>
        <w:tc>
          <w:tcPr>
            <w:tcW w:w="670" w:type="pct"/>
            <w:vAlign w:val="center"/>
          </w:tcPr>
          <w:p w14:paraId="43609EEB">
            <w:pPr>
              <w:pStyle w:val="133"/>
            </w:pPr>
            <w:r>
              <w:rPr>
                <w:rFonts w:eastAsia="等线" w:cs="Times New Roman"/>
                <w:szCs w:val="21"/>
              </w:rPr>
              <w:t>66.58</w:t>
            </w:r>
          </w:p>
        </w:tc>
        <w:tc>
          <w:tcPr>
            <w:tcW w:w="681" w:type="pct"/>
            <w:vAlign w:val="center"/>
          </w:tcPr>
          <w:p w14:paraId="6CBD76D5">
            <w:pPr>
              <w:pStyle w:val="133"/>
            </w:pPr>
            <w:r>
              <w:rPr>
                <w:rFonts w:eastAsia="等线" w:cs="Times New Roman"/>
                <w:szCs w:val="21"/>
              </w:rPr>
              <w:t>6.66</w:t>
            </w:r>
          </w:p>
        </w:tc>
        <w:tc>
          <w:tcPr>
            <w:tcW w:w="670" w:type="pct"/>
            <w:vAlign w:val="center"/>
          </w:tcPr>
          <w:p w14:paraId="3B84C4F0">
            <w:pPr>
              <w:pStyle w:val="133"/>
            </w:pPr>
            <w:r>
              <w:rPr>
                <w:rFonts w:eastAsia="等线" w:cs="Times New Roman"/>
                <w:szCs w:val="21"/>
              </w:rPr>
              <w:t>66.58</w:t>
            </w:r>
          </w:p>
        </w:tc>
        <w:tc>
          <w:tcPr>
            <w:tcW w:w="683" w:type="pct"/>
            <w:vAlign w:val="center"/>
          </w:tcPr>
          <w:p w14:paraId="6F83F2E4">
            <w:pPr>
              <w:pStyle w:val="133"/>
              <w:rPr>
                <w:rFonts w:eastAsia="等线" w:cs="Times New Roman"/>
                <w:szCs w:val="21"/>
              </w:rPr>
            </w:pPr>
            <w:r>
              <w:rPr>
                <w:rFonts w:eastAsia="等线" w:cs="Times New Roman"/>
                <w:szCs w:val="21"/>
              </w:rPr>
              <w:t>6.66</w:t>
            </w:r>
          </w:p>
        </w:tc>
        <w:tc>
          <w:tcPr>
            <w:tcW w:w="609" w:type="pct"/>
            <w:vAlign w:val="center"/>
          </w:tcPr>
          <w:p w14:paraId="340A0E83">
            <w:pPr>
              <w:widowControl/>
              <w:spacing w:line="240" w:lineRule="auto"/>
              <w:ind w:firstLine="0" w:firstLineChars="0"/>
              <w:jc w:val="center"/>
              <w:rPr>
                <w:rFonts w:eastAsia="等线"/>
                <w:szCs w:val="21"/>
              </w:rPr>
            </w:pPr>
            <w:r>
              <w:rPr>
                <w:rFonts w:eastAsia="等线"/>
                <w:sz w:val="21"/>
                <w:szCs w:val="21"/>
              </w:rPr>
              <w:t>-59.92</w:t>
            </w:r>
          </w:p>
        </w:tc>
      </w:tr>
      <w:tr w14:paraId="478B6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024FFBAC">
            <w:pPr>
              <w:pStyle w:val="133"/>
            </w:pPr>
          </w:p>
        </w:tc>
        <w:tc>
          <w:tcPr>
            <w:tcW w:w="904" w:type="pct"/>
            <w:gridSpan w:val="2"/>
            <w:vAlign w:val="center"/>
          </w:tcPr>
          <w:p w14:paraId="5176A31E">
            <w:pPr>
              <w:pStyle w:val="133"/>
              <w:rPr>
                <w:szCs w:val="21"/>
              </w:rPr>
            </w:pPr>
            <w:r>
              <w:rPr>
                <w:rFonts w:hint="eastAsia" w:ascii="宋体" w:hAnsi="宋体"/>
                <w:szCs w:val="21"/>
              </w:rPr>
              <w:t>非甲烷总烃（有组织+无组织）</w:t>
            </w:r>
          </w:p>
        </w:tc>
        <w:tc>
          <w:tcPr>
            <w:tcW w:w="405" w:type="pct"/>
            <w:vAlign w:val="center"/>
          </w:tcPr>
          <w:p w14:paraId="4F5C8CA0">
            <w:pPr>
              <w:pStyle w:val="133"/>
            </w:pPr>
            <w:r>
              <w:t>t/a</w:t>
            </w:r>
          </w:p>
        </w:tc>
        <w:tc>
          <w:tcPr>
            <w:tcW w:w="670" w:type="pct"/>
            <w:vAlign w:val="center"/>
          </w:tcPr>
          <w:p w14:paraId="2C8BB5BC">
            <w:pPr>
              <w:widowControl/>
              <w:spacing w:line="240" w:lineRule="auto"/>
              <w:ind w:firstLine="0" w:firstLineChars="0"/>
              <w:jc w:val="center"/>
              <w:rPr>
                <w:rFonts w:eastAsia="等线"/>
                <w:szCs w:val="21"/>
              </w:rPr>
            </w:pPr>
            <w:r>
              <w:rPr>
                <w:rFonts w:eastAsia="等线"/>
                <w:sz w:val="21"/>
                <w:szCs w:val="21"/>
              </w:rPr>
              <w:t>12.66</w:t>
            </w:r>
          </w:p>
        </w:tc>
        <w:tc>
          <w:tcPr>
            <w:tcW w:w="681" w:type="pct"/>
            <w:vAlign w:val="center"/>
          </w:tcPr>
          <w:p w14:paraId="06C7BE73">
            <w:pPr>
              <w:pStyle w:val="133"/>
              <w:rPr>
                <w:rFonts w:eastAsia="等线" w:cs="Times New Roman"/>
                <w:szCs w:val="21"/>
              </w:rPr>
            </w:pPr>
            <w:r>
              <w:rPr>
                <w:rFonts w:eastAsia="等线" w:cs="Times New Roman"/>
                <w:szCs w:val="21"/>
              </w:rPr>
              <w:t>3.</w:t>
            </w:r>
            <w:r>
              <w:rPr>
                <w:rFonts w:hint="eastAsia" w:eastAsia="等线" w:cs="Times New Roman"/>
                <w:szCs w:val="21"/>
              </w:rPr>
              <w:t>27</w:t>
            </w:r>
          </w:p>
        </w:tc>
        <w:tc>
          <w:tcPr>
            <w:tcW w:w="670" w:type="pct"/>
            <w:vAlign w:val="center"/>
          </w:tcPr>
          <w:p w14:paraId="37E1EA64">
            <w:pPr>
              <w:pStyle w:val="133"/>
              <w:rPr>
                <w:rFonts w:eastAsia="等线" w:cs="Times New Roman"/>
                <w:szCs w:val="21"/>
              </w:rPr>
            </w:pPr>
            <w:r>
              <w:rPr>
                <w:rFonts w:eastAsia="等线" w:cs="Times New Roman"/>
                <w:szCs w:val="21"/>
              </w:rPr>
              <w:t>12.66</w:t>
            </w:r>
          </w:p>
        </w:tc>
        <w:tc>
          <w:tcPr>
            <w:tcW w:w="683" w:type="pct"/>
            <w:vAlign w:val="center"/>
          </w:tcPr>
          <w:p w14:paraId="70E9C309">
            <w:pPr>
              <w:widowControl/>
              <w:spacing w:line="240" w:lineRule="auto"/>
              <w:ind w:firstLine="0" w:firstLineChars="0"/>
              <w:jc w:val="center"/>
              <w:rPr>
                <w:rFonts w:eastAsia="等线"/>
                <w:szCs w:val="21"/>
              </w:rPr>
            </w:pPr>
            <w:r>
              <w:rPr>
                <w:rFonts w:eastAsia="等线"/>
                <w:szCs w:val="21"/>
              </w:rPr>
              <w:t>3.</w:t>
            </w:r>
            <w:r>
              <w:rPr>
                <w:rFonts w:hint="eastAsia" w:eastAsia="等线"/>
                <w:szCs w:val="21"/>
              </w:rPr>
              <w:t>27</w:t>
            </w:r>
          </w:p>
        </w:tc>
        <w:tc>
          <w:tcPr>
            <w:tcW w:w="609" w:type="pct"/>
            <w:vAlign w:val="center"/>
          </w:tcPr>
          <w:p w14:paraId="52EC1FC3">
            <w:pPr>
              <w:pStyle w:val="133"/>
              <w:rPr>
                <w:rFonts w:eastAsia="等线" w:cs="Times New Roman"/>
                <w:szCs w:val="21"/>
              </w:rPr>
            </w:pPr>
            <w:r>
              <w:rPr>
                <w:rFonts w:hint="eastAsia" w:eastAsia="等线" w:cs="Times New Roman"/>
                <w:szCs w:val="21"/>
              </w:rPr>
              <w:t>-9.39</w:t>
            </w:r>
          </w:p>
        </w:tc>
      </w:tr>
      <w:tr w14:paraId="32A37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restart"/>
            <w:vAlign w:val="center"/>
          </w:tcPr>
          <w:p w14:paraId="4900B342">
            <w:pPr>
              <w:pStyle w:val="133"/>
            </w:pPr>
            <w:r>
              <w:t>废水</w:t>
            </w:r>
          </w:p>
        </w:tc>
        <w:tc>
          <w:tcPr>
            <w:tcW w:w="904" w:type="pct"/>
            <w:gridSpan w:val="2"/>
            <w:vAlign w:val="center"/>
          </w:tcPr>
          <w:p w14:paraId="3AE9D8BF">
            <w:pPr>
              <w:pStyle w:val="133"/>
            </w:pPr>
            <w:r>
              <w:t>废水</w:t>
            </w:r>
          </w:p>
        </w:tc>
        <w:tc>
          <w:tcPr>
            <w:tcW w:w="405" w:type="pct"/>
            <w:vAlign w:val="center"/>
          </w:tcPr>
          <w:p w14:paraId="382CF533">
            <w:pPr>
              <w:pStyle w:val="133"/>
            </w:pPr>
            <w:r>
              <w:t>万m³/a</w:t>
            </w:r>
          </w:p>
        </w:tc>
        <w:tc>
          <w:tcPr>
            <w:tcW w:w="670" w:type="pct"/>
            <w:vAlign w:val="center"/>
          </w:tcPr>
          <w:p w14:paraId="2FC768E4">
            <w:pPr>
              <w:pStyle w:val="133"/>
            </w:pPr>
            <w:r>
              <w:rPr>
                <w:rFonts w:eastAsia="等线"/>
                <w:color w:val="000000"/>
                <w:szCs w:val="21"/>
              </w:rPr>
              <w:t>0</w:t>
            </w:r>
          </w:p>
        </w:tc>
        <w:tc>
          <w:tcPr>
            <w:tcW w:w="681" w:type="pct"/>
            <w:vAlign w:val="center"/>
          </w:tcPr>
          <w:p w14:paraId="100FB19F">
            <w:pPr>
              <w:pStyle w:val="133"/>
            </w:pPr>
            <w:r>
              <w:rPr>
                <w:rFonts w:eastAsia="等线"/>
                <w:color w:val="000000"/>
                <w:szCs w:val="21"/>
              </w:rPr>
              <w:t>0</w:t>
            </w:r>
          </w:p>
        </w:tc>
        <w:tc>
          <w:tcPr>
            <w:tcW w:w="670" w:type="pct"/>
            <w:vAlign w:val="center"/>
          </w:tcPr>
          <w:p w14:paraId="451DDC7B">
            <w:pPr>
              <w:pStyle w:val="133"/>
            </w:pPr>
            <w:r>
              <w:rPr>
                <w:rFonts w:eastAsia="等线"/>
                <w:color w:val="000000"/>
                <w:szCs w:val="21"/>
              </w:rPr>
              <w:t>0</w:t>
            </w:r>
          </w:p>
        </w:tc>
        <w:tc>
          <w:tcPr>
            <w:tcW w:w="683" w:type="pct"/>
            <w:vAlign w:val="center"/>
          </w:tcPr>
          <w:p w14:paraId="25A02B9C">
            <w:pPr>
              <w:pStyle w:val="133"/>
            </w:pPr>
            <w:r>
              <w:rPr>
                <w:rFonts w:eastAsia="等线"/>
                <w:color w:val="000000"/>
                <w:szCs w:val="21"/>
              </w:rPr>
              <w:t>0</w:t>
            </w:r>
          </w:p>
        </w:tc>
        <w:tc>
          <w:tcPr>
            <w:tcW w:w="609" w:type="pct"/>
            <w:vAlign w:val="center"/>
          </w:tcPr>
          <w:p w14:paraId="0CB5B9BF">
            <w:pPr>
              <w:pStyle w:val="133"/>
            </w:pPr>
            <w:r>
              <w:rPr>
                <w:rFonts w:eastAsia="等线"/>
                <w:color w:val="000000"/>
                <w:szCs w:val="21"/>
              </w:rPr>
              <w:t>0</w:t>
            </w:r>
          </w:p>
        </w:tc>
      </w:tr>
      <w:tr w14:paraId="1BB1F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454FAA17">
            <w:pPr>
              <w:pStyle w:val="133"/>
            </w:pPr>
          </w:p>
        </w:tc>
        <w:tc>
          <w:tcPr>
            <w:tcW w:w="904" w:type="pct"/>
            <w:gridSpan w:val="2"/>
            <w:vAlign w:val="center"/>
          </w:tcPr>
          <w:p w14:paraId="1C3CFD30">
            <w:pPr>
              <w:pStyle w:val="133"/>
            </w:pPr>
            <w:r>
              <w:t>COD</w:t>
            </w:r>
          </w:p>
        </w:tc>
        <w:tc>
          <w:tcPr>
            <w:tcW w:w="405" w:type="pct"/>
            <w:vAlign w:val="center"/>
          </w:tcPr>
          <w:p w14:paraId="6AC9E331">
            <w:pPr>
              <w:pStyle w:val="133"/>
            </w:pPr>
            <w:r>
              <w:t>t/a</w:t>
            </w:r>
          </w:p>
        </w:tc>
        <w:tc>
          <w:tcPr>
            <w:tcW w:w="670" w:type="pct"/>
            <w:vAlign w:val="center"/>
          </w:tcPr>
          <w:p w14:paraId="5E1DB6F3">
            <w:pPr>
              <w:pStyle w:val="133"/>
            </w:pPr>
            <w:r>
              <w:rPr>
                <w:rFonts w:eastAsia="等线"/>
                <w:color w:val="000000"/>
                <w:szCs w:val="21"/>
              </w:rPr>
              <w:t>0</w:t>
            </w:r>
          </w:p>
        </w:tc>
        <w:tc>
          <w:tcPr>
            <w:tcW w:w="681" w:type="pct"/>
            <w:vAlign w:val="center"/>
          </w:tcPr>
          <w:p w14:paraId="350074B3">
            <w:pPr>
              <w:pStyle w:val="133"/>
            </w:pPr>
            <w:r>
              <w:rPr>
                <w:rFonts w:eastAsia="等线"/>
                <w:color w:val="000000"/>
                <w:szCs w:val="21"/>
              </w:rPr>
              <w:t>0</w:t>
            </w:r>
          </w:p>
        </w:tc>
        <w:tc>
          <w:tcPr>
            <w:tcW w:w="670" w:type="pct"/>
            <w:vAlign w:val="center"/>
          </w:tcPr>
          <w:p w14:paraId="6D89CA7F">
            <w:pPr>
              <w:pStyle w:val="133"/>
            </w:pPr>
            <w:r>
              <w:rPr>
                <w:rFonts w:eastAsia="等线"/>
                <w:color w:val="000000"/>
                <w:szCs w:val="21"/>
              </w:rPr>
              <w:t>0</w:t>
            </w:r>
          </w:p>
        </w:tc>
        <w:tc>
          <w:tcPr>
            <w:tcW w:w="683" w:type="pct"/>
            <w:vAlign w:val="center"/>
          </w:tcPr>
          <w:p w14:paraId="5A2A5150">
            <w:pPr>
              <w:pStyle w:val="133"/>
            </w:pPr>
            <w:r>
              <w:rPr>
                <w:rFonts w:eastAsia="等线"/>
                <w:color w:val="000000"/>
                <w:szCs w:val="21"/>
              </w:rPr>
              <w:t>0</w:t>
            </w:r>
          </w:p>
        </w:tc>
        <w:tc>
          <w:tcPr>
            <w:tcW w:w="609" w:type="pct"/>
            <w:vAlign w:val="center"/>
          </w:tcPr>
          <w:p w14:paraId="247E488D">
            <w:pPr>
              <w:pStyle w:val="133"/>
            </w:pPr>
            <w:r>
              <w:rPr>
                <w:rFonts w:eastAsia="等线"/>
                <w:color w:val="000000"/>
                <w:szCs w:val="21"/>
              </w:rPr>
              <w:t>0</w:t>
            </w:r>
          </w:p>
        </w:tc>
      </w:tr>
      <w:tr w14:paraId="7C08A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16800D78">
            <w:pPr>
              <w:pStyle w:val="133"/>
            </w:pPr>
          </w:p>
        </w:tc>
        <w:tc>
          <w:tcPr>
            <w:tcW w:w="904" w:type="pct"/>
            <w:gridSpan w:val="2"/>
            <w:vAlign w:val="center"/>
          </w:tcPr>
          <w:p w14:paraId="499173AF">
            <w:pPr>
              <w:pStyle w:val="133"/>
            </w:pPr>
            <w:r>
              <w:t>氨氮</w:t>
            </w:r>
          </w:p>
        </w:tc>
        <w:tc>
          <w:tcPr>
            <w:tcW w:w="405" w:type="pct"/>
            <w:vAlign w:val="center"/>
          </w:tcPr>
          <w:p w14:paraId="6C0FD82A">
            <w:pPr>
              <w:pStyle w:val="133"/>
            </w:pPr>
            <w:r>
              <w:t>t/a</w:t>
            </w:r>
          </w:p>
        </w:tc>
        <w:tc>
          <w:tcPr>
            <w:tcW w:w="670" w:type="pct"/>
            <w:vAlign w:val="center"/>
          </w:tcPr>
          <w:p w14:paraId="36E4AA0F">
            <w:pPr>
              <w:pStyle w:val="133"/>
            </w:pPr>
            <w:r>
              <w:rPr>
                <w:rFonts w:eastAsia="等线"/>
                <w:color w:val="000000"/>
                <w:szCs w:val="21"/>
              </w:rPr>
              <w:t>0</w:t>
            </w:r>
          </w:p>
        </w:tc>
        <w:tc>
          <w:tcPr>
            <w:tcW w:w="681" w:type="pct"/>
            <w:vAlign w:val="center"/>
          </w:tcPr>
          <w:p w14:paraId="7D5CE361">
            <w:pPr>
              <w:pStyle w:val="133"/>
            </w:pPr>
            <w:r>
              <w:rPr>
                <w:rFonts w:eastAsia="等线"/>
                <w:color w:val="000000"/>
                <w:szCs w:val="21"/>
              </w:rPr>
              <w:t>0</w:t>
            </w:r>
          </w:p>
        </w:tc>
        <w:tc>
          <w:tcPr>
            <w:tcW w:w="670" w:type="pct"/>
            <w:vAlign w:val="center"/>
          </w:tcPr>
          <w:p w14:paraId="6F8BE996">
            <w:pPr>
              <w:pStyle w:val="133"/>
            </w:pPr>
            <w:r>
              <w:rPr>
                <w:rFonts w:eastAsia="等线"/>
                <w:color w:val="000000"/>
                <w:szCs w:val="21"/>
              </w:rPr>
              <w:t>0</w:t>
            </w:r>
          </w:p>
        </w:tc>
        <w:tc>
          <w:tcPr>
            <w:tcW w:w="683" w:type="pct"/>
            <w:vAlign w:val="center"/>
          </w:tcPr>
          <w:p w14:paraId="658D0851">
            <w:pPr>
              <w:pStyle w:val="133"/>
            </w:pPr>
            <w:r>
              <w:rPr>
                <w:rFonts w:eastAsia="等线"/>
                <w:color w:val="000000"/>
                <w:szCs w:val="21"/>
              </w:rPr>
              <w:t>0</w:t>
            </w:r>
          </w:p>
        </w:tc>
        <w:tc>
          <w:tcPr>
            <w:tcW w:w="609" w:type="pct"/>
            <w:vAlign w:val="center"/>
          </w:tcPr>
          <w:p w14:paraId="6E84E9C2">
            <w:pPr>
              <w:pStyle w:val="133"/>
            </w:pPr>
            <w:r>
              <w:rPr>
                <w:rFonts w:eastAsia="等线"/>
                <w:color w:val="000000"/>
                <w:szCs w:val="21"/>
              </w:rPr>
              <w:t>0</w:t>
            </w:r>
          </w:p>
        </w:tc>
      </w:tr>
      <w:tr w14:paraId="3A0BF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restart"/>
            <w:vAlign w:val="center"/>
          </w:tcPr>
          <w:p w14:paraId="73AC94DA">
            <w:pPr>
              <w:pStyle w:val="133"/>
            </w:pPr>
            <w:r>
              <w:t>固废</w:t>
            </w:r>
          </w:p>
        </w:tc>
        <w:tc>
          <w:tcPr>
            <w:tcW w:w="904" w:type="pct"/>
            <w:gridSpan w:val="2"/>
            <w:vAlign w:val="center"/>
          </w:tcPr>
          <w:p w14:paraId="3ED761E9">
            <w:pPr>
              <w:pStyle w:val="133"/>
            </w:pPr>
            <w:r>
              <w:t>一般固废</w:t>
            </w:r>
          </w:p>
        </w:tc>
        <w:tc>
          <w:tcPr>
            <w:tcW w:w="405" w:type="pct"/>
            <w:vAlign w:val="center"/>
          </w:tcPr>
          <w:p w14:paraId="67D40514">
            <w:pPr>
              <w:pStyle w:val="133"/>
            </w:pPr>
            <w:r>
              <w:t>t/a</w:t>
            </w:r>
          </w:p>
        </w:tc>
        <w:tc>
          <w:tcPr>
            <w:tcW w:w="670" w:type="pct"/>
            <w:vAlign w:val="center"/>
          </w:tcPr>
          <w:p w14:paraId="4BD3BD83">
            <w:pPr>
              <w:pStyle w:val="133"/>
            </w:pPr>
            <w:r>
              <w:rPr>
                <w:rFonts w:eastAsia="等线" w:cs="Times New Roman"/>
                <w:szCs w:val="21"/>
              </w:rPr>
              <w:t>0</w:t>
            </w:r>
          </w:p>
        </w:tc>
        <w:tc>
          <w:tcPr>
            <w:tcW w:w="681" w:type="pct"/>
            <w:vAlign w:val="center"/>
          </w:tcPr>
          <w:p w14:paraId="151A1DFD">
            <w:pPr>
              <w:pStyle w:val="133"/>
            </w:pPr>
            <w:r>
              <w:rPr>
                <w:rFonts w:eastAsia="等线" w:cs="Times New Roman"/>
                <w:szCs w:val="21"/>
              </w:rPr>
              <w:t>0</w:t>
            </w:r>
          </w:p>
        </w:tc>
        <w:tc>
          <w:tcPr>
            <w:tcW w:w="670" w:type="pct"/>
            <w:vAlign w:val="center"/>
          </w:tcPr>
          <w:p w14:paraId="25FD2CC2">
            <w:pPr>
              <w:pStyle w:val="133"/>
            </w:pPr>
            <w:r>
              <w:rPr>
                <w:rFonts w:eastAsia="等线" w:cs="Times New Roman"/>
                <w:szCs w:val="21"/>
              </w:rPr>
              <w:t>0</w:t>
            </w:r>
          </w:p>
        </w:tc>
        <w:tc>
          <w:tcPr>
            <w:tcW w:w="683" w:type="pct"/>
            <w:vAlign w:val="center"/>
          </w:tcPr>
          <w:p w14:paraId="7CAACAA4">
            <w:pPr>
              <w:pStyle w:val="133"/>
            </w:pPr>
            <w:r>
              <w:rPr>
                <w:rFonts w:eastAsia="等线" w:cs="Times New Roman"/>
                <w:szCs w:val="21"/>
              </w:rPr>
              <w:t>0</w:t>
            </w:r>
          </w:p>
        </w:tc>
        <w:tc>
          <w:tcPr>
            <w:tcW w:w="609" w:type="pct"/>
            <w:vAlign w:val="center"/>
          </w:tcPr>
          <w:p w14:paraId="3F2CF050">
            <w:pPr>
              <w:pStyle w:val="133"/>
            </w:pPr>
            <w:r>
              <w:rPr>
                <w:rFonts w:eastAsia="等线" w:cs="Times New Roman"/>
                <w:szCs w:val="21"/>
              </w:rPr>
              <w:t>0</w:t>
            </w:r>
          </w:p>
        </w:tc>
      </w:tr>
      <w:tr w14:paraId="6F48E9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8" w:type="pct"/>
            <w:vMerge w:val="continue"/>
            <w:vAlign w:val="center"/>
          </w:tcPr>
          <w:p w14:paraId="77BFBCA0">
            <w:pPr>
              <w:pStyle w:val="133"/>
            </w:pPr>
          </w:p>
        </w:tc>
        <w:tc>
          <w:tcPr>
            <w:tcW w:w="904" w:type="pct"/>
            <w:gridSpan w:val="2"/>
            <w:vAlign w:val="center"/>
          </w:tcPr>
          <w:p w14:paraId="11B43D7D">
            <w:pPr>
              <w:pStyle w:val="133"/>
            </w:pPr>
            <w:r>
              <w:t>危险废物</w:t>
            </w:r>
          </w:p>
        </w:tc>
        <w:tc>
          <w:tcPr>
            <w:tcW w:w="405" w:type="pct"/>
            <w:vAlign w:val="center"/>
          </w:tcPr>
          <w:p w14:paraId="4AA7A586">
            <w:pPr>
              <w:pStyle w:val="133"/>
            </w:pPr>
            <w:r>
              <w:t>t/a</w:t>
            </w:r>
          </w:p>
        </w:tc>
        <w:tc>
          <w:tcPr>
            <w:tcW w:w="670" w:type="pct"/>
            <w:vAlign w:val="center"/>
          </w:tcPr>
          <w:p w14:paraId="1C85D99A">
            <w:pPr>
              <w:pStyle w:val="133"/>
            </w:pPr>
            <w:r>
              <w:rPr>
                <w:rFonts w:eastAsia="等线" w:cs="Times New Roman"/>
                <w:szCs w:val="21"/>
              </w:rPr>
              <w:t>0</w:t>
            </w:r>
          </w:p>
        </w:tc>
        <w:tc>
          <w:tcPr>
            <w:tcW w:w="681" w:type="pct"/>
            <w:vAlign w:val="center"/>
          </w:tcPr>
          <w:p w14:paraId="55F9AD34">
            <w:pPr>
              <w:pStyle w:val="133"/>
            </w:pPr>
            <w:r>
              <w:rPr>
                <w:rFonts w:eastAsia="等线" w:cs="Times New Roman"/>
                <w:szCs w:val="21"/>
              </w:rPr>
              <w:t>0</w:t>
            </w:r>
          </w:p>
        </w:tc>
        <w:tc>
          <w:tcPr>
            <w:tcW w:w="670" w:type="pct"/>
            <w:vAlign w:val="center"/>
          </w:tcPr>
          <w:p w14:paraId="66768FEF">
            <w:pPr>
              <w:pStyle w:val="133"/>
            </w:pPr>
            <w:r>
              <w:rPr>
                <w:rFonts w:eastAsia="等线" w:cs="Times New Roman"/>
                <w:szCs w:val="21"/>
              </w:rPr>
              <w:t>0</w:t>
            </w:r>
          </w:p>
        </w:tc>
        <w:tc>
          <w:tcPr>
            <w:tcW w:w="683" w:type="pct"/>
            <w:vAlign w:val="center"/>
          </w:tcPr>
          <w:p w14:paraId="6D7CC12D">
            <w:pPr>
              <w:pStyle w:val="133"/>
            </w:pPr>
            <w:r>
              <w:rPr>
                <w:rFonts w:eastAsia="等线" w:cs="Times New Roman"/>
                <w:szCs w:val="21"/>
              </w:rPr>
              <w:t>0</w:t>
            </w:r>
          </w:p>
        </w:tc>
        <w:tc>
          <w:tcPr>
            <w:tcW w:w="609" w:type="pct"/>
            <w:vAlign w:val="center"/>
          </w:tcPr>
          <w:p w14:paraId="660BD721">
            <w:pPr>
              <w:pStyle w:val="133"/>
            </w:pPr>
            <w:r>
              <w:rPr>
                <w:rFonts w:eastAsia="等线" w:cs="Times New Roman"/>
                <w:szCs w:val="21"/>
              </w:rPr>
              <w:t>0</w:t>
            </w:r>
          </w:p>
        </w:tc>
      </w:tr>
      <w:bookmarkEnd w:id="337"/>
      <w:bookmarkEnd w:id="338"/>
    </w:tbl>
    <w:p w14:paraId="5B33A008">
      <w:pPr>
        <w:pStyle w:val="133"/>
      </w:pPr>
    </w:p>
    <w:p w14:paraId="668F318A">
      <w:pPr>
        <w:pStyle w:val="3"/>
      </w:pPr>
      <w:bookmarkStart w:id="339" w:name="_Toc205291380"/>
      <w:r>
        <w:rPr>
          <w:rFonts w:hint="eastAsia"/>
        </w:rPr>
        <w:t>硅铁合金生产线</w:t>
      </w:r>
      <w:bookmarkEnd w:id="339"/>
    </w:p>
    <w:p w14:paraId="1E6C64C9">
      <w:pPr>
        <w:pStyle w:val="117"/>
        <w:ind w:firstLine="480"/>
      </w:pPr>
      <w:r>
        <w:rPr>
          <w:rFonts w:hint="eastAsia"/>
        </w:rPr>
        <w:t>硅铁合金生产线对现有的</w:t>
      </w:r>
      <w:r>
        <w:t>2</w:t>
      </w:r>
      <w:r>
        <w:rPr>
          <w:rFonts w:hint="eastAsia"/>
        </w:rPr>
        <w:t>×</w:t>
      </w:r>
      <w:r>
        <w:t>25500kVA</w:t>
      </w:r>
      <w:r>
        <w:rPr>
          <w:rFonts w:hint="eastAsia"/>
        </w:rPr>
        <w:t>硅铁炉进行技术改造，升级为</w:t>
      </w:r>
      <w:r>
        <w:t>2</w:t>
      </w:r>
      <w:r>
        <w:rPr>
          <w:rFonts w:hint="eastAsia"/>
        </w:rPr>
        <w:t>×</w:t>
      </w:r>
      <w:r>
        <w:t>33000kVA</w:t>
      </w:r>
      <w:r>
        <w:rPr>
          <w:rFonts w:hint="eastAsia"/>
        </w:rPr>
        <w:t>硅铁炉，硅铁产能达到</w:t>
      </w:r>
      <w:r>
        <w:t>5</w:t>
      </w:r>
      <w:r>
        <w:rPr>
          <w:rFonts w:hint="eastAsia"/>
        </w:rPr>
        <w:t>.6万吨</w:t>
      </w:r>
      <w:r>
        <w:t>/</w:t>
      </w:r>
      <w:r>
        <w:rPr>
          <w:rFonts w:hint="eastAsia"/>
        </w:rPr>
        <w:t>年。</w:t>
      </w:r>
    </w:p>
    <w:p w14:paraId="3F632AD7">
      <w:pPr>
        <w:pStyle w:val="117"/>
        <w:ind w:firstLine="480"/>
      </w:pPr>
      <w:r>
        <w:rPr>
          <w:rFonts w:hint="eastAsia"/>
        </w:rPr>
        <w:t>改造主要围绕炉缸主体、供电短网、电极把持、下料布料、烟罩、液压、抱闸系统等主要设备，更新低压无功补偿，引进机械化程度较高的辅助操作设备（开堵炉眼机），同时实现能耗指标达到行业先进水平并且满足镁合金的硅铁消耗需求。产能从现有4.3万t/a硅铁，新增1.3万t/a硅铁，最终达到</w:t>
      </w:r>
      <w:r>
        <w:t>5</w:t>
      </w:r>
      <w:r>
        <w:rPr>
          <w:rFonts w:hint="eastAsia"/>
        </w:rPr>
        <w:t>.6万t/a硅铁。</w:t>
      </w:r>
    </w:p>
    <w:p w14:paraId="5A6F604E">
      <w:pPr>
        <w:ind w:firstLine="480"/>
      </w:pPr>
      <w:r>
        <w:rPr>
          <w:rFonts w:hint="eastAsia"/>
        </w:rPr>
        <w:t>硅铁合金生产线产出硅铁合金5.6万t/a，其中5.2万t/a</w:t>
      </w:r>
      <w:r>
        <w:t>FeSi75硅铁</w:t>
      </w:r>
      <w:r>
        <w:rPr>
          <w:rFonts w:hint="eastAsia"/>
        </w:rPr>
        <w:t>用于厂内镁基新材料及制品生产线，另有4000t/a</w:t>
      </w:r>
      <w:r>
        <w:t>FeSi7</w:t>
      </w:r>
      <w:r>
        <w:rPr>
          <w:rFonts w:hint="eastAsia"/>
        </w:rPr>
        <w:t>2</w:t>
      </w:r>
      <w:r>
        <w:t>硅铁</w:t>
      </w:r>
      <w:r>
        <w:rPr>
          <w:rFonts w:hint="eastAsia"/>
        </w:rPr>
        <w:t>外售；副产7310t/a微硅粉外售。</w:t>
      </w:r>
    </w:p>
    <w:p w14:paraId="7DCE873E">
      <w:pPr>
        <w:pStyle w:val="138"/>
        <w:rPr>
          <w:rFonts w:hint="eastAsia"/>
        </w:rPr>
      </w:pPr>
      <w:r>
        <w:rPr>
          <w:rFonts w:hint="eastAsia"/>
        </w:rPr>
        <w:t>工艺流程及产污环节</w:t>
      </w:r>
    </w:p>
    <w:p w14:paraId="77275FD7">
      <w:pPr>
        <w:pStyle w:val="117"/>
        <w:ind w:firstLine="480"/>
      </w:pPr>
      <w:r>
        <w:rPr>
          <w:rFonts w:hint="eastAsia"/>
        </w:rPr>
        <w:t>硅铁的生产以硅石、兰炭（或焦炭）和铁元素（铁矿球团）为主要原料，按照计算机设定的比例进行配料，把配好的料经过给料机皮输送带机送往五层楼面间的料仓和二层矿热炉操作面。原料主要以机械加料为主，五层料仓中的混合料由加料管直接加入炉内，配以二层操作面的人工精细调节进行加料。炉内电极糊（或使用炭电极）在电极筒中通过电加热焙烧成电极，大电流通过水冷电缆、组合把持器导入电极，放出电弧热、电阻热，使炉温达到</w:t>
      </w:r>
      <w:r>
        <w:t>1500℃</w:t>
      </w:r>
      <w:r>
        <w:rPr>
          <w:rFonts w:hint="eastAsia"/>
        </w:rPr>
        <w:t>以上熔融原料，提供冶炼反应所需的热量，碳在此环境中夺取氧化物中的氧原子，生产出硅铁。化学反应式为：</w:t>
      </w:r>
    </w:p>
    <w:p w14:paraId="3C94A0EF">
      <w:pPr>
        <w:pStyle w:val="133"/>
        <w:rPr>
          <w:sz w:val="24"/>
        </w:rPr>
      </w:pPr>
      <w:r>
        <w:rPr>
          <w:rFonts w:hint="eastAsia"/>
          <w:sz w:val="24"/>
        </w:rPr>
        <w:t>SiO</w:t>
      </w:r>
      <w:r>
        <w:rPr>
          <w:rFonts w:hint="eastAsia"/>
          <w:sz w:val="24"/>
          <w:vertAlign w:val="subscript"/>
        </w:rPr>
        <w:t>2</w:t>
      </w:r>
      <w:r>
        <w:rPr>
          <w:rFonts w:hint="eastAsia"/>
          <w:sz w:val="24"/>
        </w:rPr>
        <w:t>+Fe+2C=FeSi+2CO-Q</w:t>
      </w:r>
    </w:p>
    <w:p w14:paraId="2CEEC4F8">
      <w:pPr>
        <w:pStyle w:val="944"/>
      </w:pPr>
      <w:r>
        <w:rPr>
          <w:rFonts w:hint="eastAsia"/>
        </w:rPr>
        <w:t>工艺流程</w:t>
      </w:r>
    </w:p>
    <w:p w14:paraId="5F073742">
      <w:pPr>
        <w:pStyle w:val="117"/>
        <w:ind w:firstLine="480"/>
      </w:pPr>
      <w:r>
        <w:rPr>
          <w:rFonts w:hint="eastAsia"/>
        </w:rPr>
        <w:t>硅铁冶炼主要工序：</w:t>
      </w:r>
    </w:p>
    <w:p w14:paraId="32DFBEA9">
      <w:pPr>
        <w:pStyle w:val="117"/>
        <w:ind w:firstLine="480"/>
      </w:pPr>
      <w:r>
        <w:rPr>
          <w:rFonts w:hint="eastAsia"/>
        </w:rPr>
        <w:t>（1）原料工序</w:t>
      </w:r>
    </w:p>
    <w:p w14:paraId="4CA23182">
      <w:pPr>
        <w:pStyle w:val="117"/>
        <w:ind w:firstLine="480"/>
      </w:pPr>
      <w:r>
        <w:rPr>
          <w:rFonts w:hint="eastAsia"/>
        </w:rPr>
        <w:t>1）原料准备</w:t>
      </w:r>
    </w:p>
    <w:p w14:paraId="05523972">
      <w:pPr>
        <w:pStyle w:val="117"/>
        <w:ind w:firstLine="480"/>
      </w:pPr>
      <w:r>
        <w:rPr>
          <w:rFonts w:hint="eastAsia"/>
        </w:rPr>
        <w:t>硅铁冶炼主要原料有硅石、还原剂（兰炭）、含铁原料（铁矿球团或氧化铁皮）。硅石等原料由汽车经地磅运进厂区，入厂原料硅石满足粒度要求，堆放在厂内硅铁生产区内的原料堆场，堆场周边有防风抑尘网，配有洒水降尘设施。兰炭生产线粒度达到8～20mm的兰炭颗粒存放在兰炭料仓内备用。铁矿球团由市场购进，要求粒度小于100mm，堆放原料堆场。</w:t>
      </w:r>
    </w:p>
    <w:p w14:paraId="3E728F80">
      <w:pPr>
        <w:pStyle w:val="117"/>
        <w:ind w:firstLine="480"/>
      </w:pPr>
      <w:r>
        <w:rPr>
          <w:rFonts w:hint="eastAsia"/>
        </w:rPr>
        <w:t>2）配料</w:t>
      </w:r>
    </w:p>
    <w:p w14:paraId="4BF7E71C">
      <w:pPr>
        <w:pStyle w:val="117"/>
        <w:ind w:firstLine="480"/>
      </w:pPr>
      <w:r>
        <w:rPr>
          <w:rFonts w:hint="eastAsia"/>
        </w:rPr>
        <w:t>硅石与铁矿球团由装载机送至地下收料坑，经皮带输送转运入配料间中间料斗，兰炭经皮带输送转运入中间料斗内，各种原料在中间料斗内经料斗下方的电磁振动给料机根据不同重量的要求，把炉料送入称量斗内，实现全自动配料。实际生产中可以根据生产情况进行微调，从而降低原料及冶炼电耗，增加产量等以使生产优化。</w:t>
      </w:r>
    </w:p>
    <w:p w14:paraId="0069ED33">
      <w:pPr>
        <w:pStyle w:val="117"/>
        <w:ind w:firstLine="480"/>
      </w:pPr>
      <w:r>
        <w:rPr>
          <w:rFonts w:hint="eastAsia"/>
        </w:rPr>
        <w:t>把从称量斗内称准的炉料，由提升机加入斜角料斗中，斜角料斗沿轨道提升到加料平台，将炉料倒入加料平台的混料斗内。合格粒度的硅石、兰炭、铁矿球团在料仓按比例配料，再由布料皮带将混合料卸至炉顶料仓，炉料经料管间断加入炉内。</w:t>
      </w:r>
    </w:p>
    <w:p w14:paraId="7ABD70B3">
      <w:pPr>
        <w:pStyle w:val="117"/>
        <w:ind w:firstLine="480"/>
      </w:pPr>
      <w:r>
        <w:rPr>
          <w:rFonts w:hint="eastAsia"/>
        </w:rPr>
        <w:t>（2）冶炼工序</w:t>
      </w:r>
    </w:p>
    <w:p w14:paraId="5099858E">
      <w:pPr>
        <w:pStyle w:val="117"/>
        <w:ind w:firstLine="480"/>
      </w:pPr>
      <w:r>
        <w:t>1</w:t>
      </w:r>
      <w:r>
        <w:rPr>
          <w:rFonts w:hint="eastAsia"/>
        </w:rPr>
        <w:t>）电炉冶炼</w:t>
      </w:r>
    </w:p>
    <w:p w14:paraId="2CA56A7C">
      <w:pPr>
        <w:pStyle w:val="117"/>
        <w:ind w:firstLine="480"/>
      </w:pPr>
      <w:r>
        <w:rPr>
          <w:rFonts w:hint="eastAsia"/>
        </w:rPr>
        <w:t>矮烟罩半封闭式电炉采用全液压控制，其电极柱采用吊缸升降、压力环式把持器、液压机械双抱闸等近年来国内铁合金行业较为普遍采用的先进装备技术；三台单相变压器、水冷导电铜管、水冷电缆和锻造瓦组成的水电合一的大电流馈电母线向电炉供电，项目选用变压器型号为</w:t>
      </w:r>
      <w:r>
        <w:t>HTDSPZ-11000kVA/110kV</w:t>
      </w:r>
      <w:r>
        <w:rPr>
          <w:rFonts w:hint="eastAsia"/>
        </w:rPr>
        <w:t>；本项目采用</w:t>
      </w:r>
      <w:r>
        <w:t>110kV</w:t>
      </w:r>
      <w:r>
        <w:rPr>
          <w:rFonts w:hint="eastAsia"/>
        </w:rPr>
        <w:t>高压补偿并设置在</w:t>
      </w:r>
      <w:r>
        <w:t>110kV</w:t>
      </w:r>
      <w:r>
        <w:rPr>
          <w:rFonts w:hint="eastAsia"/>
        </w:rPr>
        <w:t>变电站内，对变压器高压端进行单相补偿并采用固定和动态补偿，补偿后功率因数可达到</w:t>
      </w:r>
      <w:r>
        <w:t>0.92</w:t>
      </w:r>
      <w:r>
        <w:rPr>
          <w:rFonts w:hint="eastAsia"/>
        </w:rPr>
        <w:t>以上，满足炉况工艺要求；通过低压补偿装置可以有效提高大型矿热电阻式电弧炉的功率因数，并且可以全面解决大型矿热电阻式电弧炉自然功率因数低所引发的入炉功率不足所造成的矿热炉综合热效率低、经济效益得不到充分发挥等一系列问题。</w:t>
      </w:r>
    </w:p>
    <w:p w14:paraId="60F2DEFA">
      <w:pPr>
        <w:pStyle w:val="117"/>
        <w:ind w:firstLine="480"/>
      </w:pPr>
      <w:r>
        <w:rPr>
          <w:rFonts w:hint="eastAsia"/>
        </w:rPr>
        <w:t>高压补偿优点是投资小，故障率低，矿热炉运行操作相比更稳定。缺点是变压器容量选择大。</w:t>
      </w:r>
    </w:p>
    <w:p w14:paraId="6061050B">
      <w:pPr>
        <w:pStyle w:val="117"/>
        <w:ind w:firstLine="480"/>
      </w:pPr>
      <w:r>
        <w:rPr>
          <w:rFonts w:hint="eastAsia"/>
        </w:rPr>
        <w:t>低压补偿缺点是投资大、故障率高、对矿热炉运行参数有影响，无法准确判断矿热炉负荷大小，不利于生产操作；优点是可以降低电炉变的容量。</w:t>
      </w:r>
    </w:p>
    <w:p w14:paraId="050B6A3D">
      <w:pPr>
        <w:pStyle w:val="117"/>
        <w:ind w:firstLine="480"/>
      </w:pPr>
      <w:r>
        <w:rPr>
          <w:rFonts w:hint="eastAsia"/>
        </w:rPr>
        <w:t>项目采用全自动低压补偿装置。</w:t>
      </w:r>
    </w:p>
    <w:p w14:paraId="21F76793">
      <w:pPr>
        <w:pStyle w:val="117"/>
        <w:ind w:firstLine="480"/>
      </w:pPr>
      <w:r>
        <w:rPr>
          <w:rFonts w:hint="eastAsia"/>
        </w:rPr>
        <w:t>斜桥料车上料，炉顶送料车送料，经过转运皮带送入电炉楼顶上的缓冲料仓，再经环形布料小车送入炉顶料仓，采用全自动上料、加料；用全自动开炉眼机或烧穿器打开出铁口，铁水入铁水包，卷扬机牵引铁水包车至浇铸跨，天车吊包，锭模浇铸、平板车运铁锭至成品间整粒、包装；炉口机械排烟，以及电炉控制采用继电器、接触器程序和手动两种控制方式等。</w:t>
      </w:r>
    </w:p>
    <w:p w14:paraId="2B4D3BD5">
      <w:pPr>
        <w:pStyle w:val="117"/>
        <w:ind w:firstLine="480"/>
      </w:pPr>
      <w:r>
        <w:rPr>
          <w:rFonts w:hint="eastAsia"/>
        </w:rPr>
        <w:t>炉内还原生成的硅铁水存到一定的程度时，用开堵眼机打开炉眼，放出硅铁水后，然后再堵上炉眼。电炉按两小时出炉一次，一台330</w:t>
      </w:r>
      <w:r>
        <w:t>00kVA</w:t>
      </w:r>
      <w:r>
        <w:rPr>
          <w:rFonts w:hint="eastAsia"/>
        </w:rPr>
        <w:t>的硅铁炉每班出铁</w:t>
      </w:r>
      <w:r>
        <w:t>3</w:t>
      </w:r>
      <w:r>
        <w:rPr>
          <w:rFonts w:hint="eastAsia"/>
        </w:rPr>
        <w:t>～</w:t>
      </w:r>
      <w:r>
        <w:t>4</w:t>
      </w:r>
      <w:r>
        <w:rPr>
          <w:rFonts w:hint="eastAsia"/>
        </w:rPr>
        <w:t>次，每天</w:t>
      </w:r>
      <w:r>
        <w:t>3</w:t>
      </w:r>
      <w:r>
        <w:rPr>
          <w:rFonts w:hint="eastAsia"/>
        </w:rPr>
        <w:t>班，每次出铁分析一次试样，每次试样分析均要求在一小时内将结果提供炉前。</w:t>
      </w:r>
    </w:p>
    <w:p w14:paraId="4CFD3484">
      <w:pPr>
        <w:pStyle w:val="117"/>
        <w:ind w:firstLine="480"/>
      </w:pPr>
      <w:r>
        <w:rPr>
          <w:rFonts w:hint="eastAsia"/>
        </w:rPr>
        <w:t>冶炼烟气经引风机引入余热锅炉回收余热后送除尘工序除尘后达标排放。</w:t>
      </w:r>
    </w:p>
    <w:p w14:paraId="28D49980">
      <w:pPr>
        <w:pStyle w:val="117"/>
        <w:ind w:firstLine="480"/>
      </w:pPr>
      <w:r>
        <w:t>2</w:t>
      </w:r>
      <w:r>
        <w:rPr>
          <w:rFonts w:hint="eastAsia"/>
        </w:rPr>
        <w:t>）冷却浇铸</w:t>
      </w:r>
    </w:p>
    <w:p w14:paraId="7F118C67">
      <w:pPr>
        <w:pStyle w:val="117"/>
        <w:ind w:firstLine="480"/>
      </w:pPr>
      <w:r>
        <w:rPr>
          <w:rFonts w:cs="Times New Roman"/>
          <w:szCs w:val="28"/>
        </w:rPr>
        <w:t>熔化的金属和熔渣集聚在炉底，通过出铁口定时出铁出渣。炉内还原生成的硅铁水存到一定的程度时，用开堵眼机打开炉眼，放出硅铁合金，注入事先准备好的开口吊包内，然后再堵上炉眼。吊包内的硅铁合金稍冷却后撬起，用天车吊到锭模内，浇铸成锭。</w:t>
      </w:r>
      <w:r>
        <w:rPr>
          <w:rFonts w:hint="eastAsia"/>
        </w:rPr>
        <w:t>75#硅铁浇铸厚度不能超过100mm。</w:t>
      </w:r>
    </w:p>
    <w:p w14:paraId="5F444181">
      <w:pPr>
        <w:pStyle w:val="117"/>
        <w:ind w:firstLine="480"/>
      </w:pPr>
      <w:r>
        <w:rPr>
          <w:rFonts w:hint="eastAsia"/>
        </w:rPr>
        <w:t>（3）成品破碎及包装工序</w:t>
      </w:r>
    </w:p>
    <w:p w14:paraId="5891D5E4">
      <w:pPr>
        <w:pStyle w:val="117"/>
        <w:ind w:firstLine="480"/>
      </w:pPr>
      <w:r>
        <w:rPr>
          <w:rFonts w:hint="eastAsia"/>
        </w:rPr>
        <w:t>硅铁锭稍冷却后撬起，用天车吊到盛铁箱内。冷却、破碎后，用平板车或装载机运往成品库。其中75#硅铁破碎至10mm以下，送至镁基新材料及制品生产线原料库，72#硅铁按照《铁合金验收、包装、储运、标志和质量证书的一般规定》（GB3650-2008）进行包装存放出厂。</w:t>
      </w:r>
    </w:p>
    <w:p w14:paraId="6DC77879">
      <w:pPr>
        <w:pStyle w:val="117"/>
        <w:ind w:firstLine="480"/>
      </w:pPr>
      <w:r>
        <w:rPr>
          <w:rFonts w:hint="eastAsia"/>
        </w:rPr>
        <w:t>（4）除尘工序</w:t>
      </w:r>
    </w:p>
    <w:p w14:paraId="1865A256">
      <w:pPr>
        <w:pStyle w:val="117"/>
        <w:ind w:firstLine="480"/>
        <w:rPr>
          <w:rFonts w:cs="Times New Roman"/>
          <w:szCs w:val="28"/>
        </w:rPr>
      </w:pPr>
      <w:r>
        <w:rPr>
          <w:rFonts w:hint="eastAsia"/>
        </w:rPr>
        <w:t>原料转运、配料及上料系统设集气系统，采用布袋除尘器处理后排放。电炉出铁口和浇铸台设置局部烟气除尘风机，烟气经高效布袋除尘后达标排放。烟尘治理采用高效干法除尘系统，除尘效率达到99％。出矿热炉烟气经余热锅炉回收余热后温度降至200℃以下，经高效布袋除尘器除尘，除尘灰与出铁浇筑废气布袋除尘器收集的除尘灰合并。</w:t>
      </w:r>
      <w:bookmarkStart w:id="340" w:name="OLE_LINK16"/>
      <w:r>
        <w:rPr>
          <w:rFonts w:cs="Times New Roman"/>
          <w:szCs w:val="28"/>
        </w:rPr>
        <w:t>矿热炉烟气除尘系统</w:t>
      </w:r>
      <w:bookmarkEnd w:id="340"/>
      <w:r>
        <w:rPr>
          <w:rFonts w:cs="Times New Roman"/>
          <w:szCs w:val="28"/>
        </w:rPr>
        <w:t>收尘灰为微硅粉，堆积密度约为0.12～0.15t/m³</w:t>
      </w:r>
      <w:r>
        <w:rPr>
          <w:rFonts w:hint="eastAsia" w:cs="Times New Roman"/>
          <w:szCs w:val="28"/>
        </w:rPr>
        <w:t>。</w:t>
      </w:r>
      <w:r>
        <w:rPr>
          <w:rFonts w:hint="eastAsia"/>
        </w:rPr>
        <w:t>采用气力加密技术对微硅粉进行</w:t>
      </w:r>
      <w:r>
        <w:rPr>
          <w:rFonts w:cs="Times New Roman"/>
          <w:szCs w:val="28"/>
        </w:rPr>
        <w:t>加密使堆积密度达到0.6t/m³，便于储存及运输。</w:t>
      </w:r>
    </w:p>
    <w:p w14:paraId="0E1171C5">
      <w:pPr>
        <w:pStyle w:val="117"/>
        <w:ind w:firstLine="480"/>
        <w:rPr>
          <w:rFonts w:cs="Times New Roman"/>
          <w:szCs w:val="28"/>
        </w:rPr>
      </w:pPr>
      <w:r>
        <w:rPr>
          <w:rFonts w:hint="eastAsia" w:cs="Times New Roman"/>
          <w:szCs w:val="28"/>
        </w:rPr>
        <w:t>硅铁合金生产线工艺流程及产污环节，见图3.4-1。</w:t>
      </w:r>
    </w:p>
    <w:p w14:paraId="72689208">
      <w:pPr>
        <w:pStyle w:val="117"/>
        <w:ind w:firstLine="480"/>
      </w:pPr>
    </w:p>
    <w:p w14:paraId="30B7243C">
      <w:pPr>
        <w:pStyle w:val="944"/>
      </w:pPr>
      <w:r>
        <w:rPr>
          <w:rFonts w:hint="eastAsia"/>
        </w:rPr>
        <w:t>产污环节汇总</w:t>
      </w:r>
    </w:p>
    <w:p w14:paraId="7CF5D7DA">
      <w:pPr>
        <w:ind w:firstLine="480"/>
      </w:pPr>
      <w:r>
        <w:rPr>
          <w:rFonts w:hint="eastAsia"/>
        </w:rPr>
        <w:t>硅铁合金单元产污环节</w:t>
      </w:r>
      <w:r>
        <w:t>见表</w:t>
      </w:r>
      <w:r>
        <w:rPr>
          <w:rFonts w:hint="eastAsia"/>
        </w:rPr>
        <w:t>3.4-1</w:t>
      </w:r>
      <w:r>
        <w:t>。</w:t>
      </w:r>
    </w:p>
    <w:p w14:paraId="7E66C006">
      <w:pPr>
        <w:pStyle w:val="118"/>
      </w:pPr>
      <w:r>
        <w:t>表</w:t>
      </w:r>
      <w:r>
        <w:rPr>
          <w:rFonts w:hint="eastAsia"/>
        </w:rPr>
        <w:t>3.4-1</w:t>
      </w:r>
      <w:r>
        <w:t xml:space="preserve">    </w:t>
      </w:r>
      <w:r>
        <w:rPr>
          <w:rFonts w:hint="eastAsia"/>
        </w:rPr>
        <w:t>硅铁合金单元产污环节一览表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8"/>
        <w:gridCol w:w="764"/>
        <w:gridCol w:w="2028"/>
        <w:gridCol w:w="2067"/>
        <w:gridCol w:w="864"/>
        <w:gridCol w:w="2221"/>
      </w:tblGrid>
      <w:tr w14:paraId="4AF34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Align w:val="center"/>
          </w:tcPr>
          <w:p w14:paraId="46E1B3DE">
            <w:pPr>
              <w:pStyle w:val="133"/>
              <w:rPr>
                <w:b/>
                <w:bCs/>
              </w:rPr>
            </w:pPr>
            <w:r>
              <w:rPr>
                <w:rFonts w:hint="eastAsia"/>
                <w:b/>
                <w:bCs/>
              </w:rPr>
              <w:t>污染物</w:t>
            </w:r>
          </w:p>
        </w:tc>
        <w:tc>
          <w:tcPr>
            <w:tcW w:w="448" w:type="pct"/>
            <w:vAlign w:val="center"/>
          </w:tcPr>
          <w:p w14:paraId="5BBE3811">
            <w:pPr>
              <w:pStyle w:val="133"/>
              <w:rPr>
                <w:b/>
                <w:bCs/>
              </w:rPr>
            </w:pPr>
            <w:r>
              <w:rPr>
                <w:b/>
                <w:bCs/>
              </w:rPr>
              <w:t>序号</w:t>
            </w:r>
          </w:p>
        </w:tc>
        <w:tc>
          <w:tcPr>
            <w:tcW w:w="1190" w:type="pct"/>
            <w:vAlign w:val="center"/>
          </w:tcPr>
          <w:p w14:paraId="2B79DE03">
            <w:pPr>
              <w:pStyle w:val="133"/>
              <w:rPr>
                <w:b/>
                <w:bCs/>
              </w:rPr>
            </w:pPr>
            <w:r>
              <w:rPr>
                <w:b/>
                <w:bCs/>
              </w:rPr>
              <w:t>产污环节</w:t>
            </w:r>
          </w:p>
        </w:tc>
        <w:tc>
          <w:tcPr>
            <w:tcW w:w="1213" w:type="pct"/>
            <w:vAlign w:val="center"/>
          </w:tcPr>
          <w:p w14:paraId="7D46D9E6">
            <w:pPr>
              <w:pStyle w:val="133"/>
              <w:rPr>
                <w:b/>
                <w:bCs/>
              </w:rPr>
            </w:pPr>
            <w:r>
              <w:rPr>
                <w:b/>
                <w:bCs/>
              </w:rPr>
              <w:t>主要污染因子</w:t>
            </w:r>
          </w:p>
        </w:tc>
        <w:tc>
          <w:tcPr>
            <w:tcW w:w="507" w:type="pct"/>
            <w:vAlign w:val="center"/>
          </w:tcPr>
          <w:p w14:paraId="22225154">
            <w:pPr>
              <w:pStyle w:val="133"/>
              <w:rPr>
                <w:b/>
                <w:bCs/>
              </w:rPr>
            </w:pPr>
            <w:r>
              <w:rPr>
                <w:b/>
                <w:bCs/>
              </w:rPr>
              <w:t>排放特征</w:t>
            </w:r>
          </w:p>
        </w:tc>
        <w:tc>
          <w:tcPr>
            <w:tcW w:w="1303" w:type="pct"/>
            <w:vAlign w:val="center"/>
          </w:tcPr>
          <w:p w14:paraId="1996D843">
            <w:pPr>
              <w:pStyle w:val="133"/>
              <w:rPr>
                <w:b/>
                <w:bCs/>
              </w:rPr>
            </w:pPr>
            <w:r>
              <w:rPr>
                <w:b/>
                <w:bCs/>
              </w:rPr>
              <w:t>处理措施</w:t>
            </w:r>
          </w:p>
        </w:tc>
      </w:tr>
      <w:tr w14:paraId="51A6B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restart"/>
            <w:vAlign w:val="center"/>
          </w:tcPr>
          <w:p w14:paraId="71E567C1">
            <w:pPr>
              <w:pStyle w:val="133"/>
            </w:pPr>
            <w:r>
              <w:t>废气</w:t>
            </w:r>
          </w:p>
        </w:tc>
        <w:tc>
          <w:tcPr>
            <w:tcW w:w="448" w:type="pct"/>
            <w:vAlign w:val="center"/>
          </w:tcPr>
          <w:p w14:paraId="08CA5898">
            <w:pPr>
              <w:pStyle w:val="133"/>
            </w:pPr>
            <w:r>
              <w:t>G</w:t>
            </w:r>
            <w:r>
              <w:rPr>
                <w:rFonts w:hint="eastAsia"/>
                <w:vertAlign w:val="subscript"/>
              </w:rPr>
              <w:t>2</w:t>
            </w:r>
            <w:r>
              <w:rPr>
                <w:vertAlign w:val="subscript"/>
              </w:rPr>
              <w:t>-</w:t>
            </w:r>
            <w:r>
              <w:rPr>
                <w:rFonts w:hint="eastAsia"/>
                <w:vertAlign w:val="subscript"/>
              </w:rPr>
              <w:t>1</w:t>
            </w:r>
          </w:p>
        </w:tc>
        <w:tc>
          <w:tcPr>
            <w:tcW w:w="1190" w:type="pct"/>
            <w:vAlign w:val="center"/>
          </w:tcPr>
          <w:p w14:paraId="55B56DE6">
            <w:pPr>
              <w:pStyle w:val="133"/>
            </w:pPr>
            <w:r>
              <w:rPr>
                <w:rFonts w:hint="eastAsia" w:ascii="宋体" w:hAnsi="宋体"/>
                <w:szCs w:val="21"/>
              </w:rPr>
              <w:t>硅铁上料</w:t>
            </w:r>
            <w:r>
              <w:rPr>
                <w:rFonts w:hint="eastAsia" w:cs="Times New Roman"/>
                <w:szCs w:val="21"/>
              </w:rPr>
              <w:t>废气</w:t>
            </w:r>
          </w:p>
        </w:tc>
        <w:tc>
          <w:tcPr>
            <w:tcW w:w="1213" w:type="pct"/>
            <w:vAlign w:val="center"/>
          </w:tcPr>
          <w:p w14:paraId="2C45F09D">
            <w:pPr>
              <w:pStyle w:val="133"/>
            </w:pPr>
            <w:r>
              <w:rPr>
                <w:rFonts w:hint="eastAsia"/>
              </w:rPr>
              <w:t>颗粒物</w:t>
            </w:r>
          </w:p>
        </w:tc>
        <w:tc>
          <w:tcPr>
            <w:tcW w:w="507" w:type="pct"/>
            <w:vAlign w:val="center"/>
          </w:tcPr>
          <w:p w14:paraId="122C8BA2">
            <w:pPr>
              <w:pStyle w:val="133"/>
            </w:pPr>
            <w:r>
              <w:rPr>
                <w:rFonts w:cs="Times New Roman"/>
                <w:szCs w:val="21"/>
              </w:rPr>
              <w:t>间歇</w:t>
            </w:r>
          </w:p>
        </w:tc>
        <w:tc>
          <w:tcPr>
            <w:tcW w:w="1303" w:type="pct"/>
            <w:vAlign w:val="center"/>
          </w:tcPr>
          <w:p w14:paraId="51F57C19">
            <w:pPr>
              <w:pStyle w:val="133"/>
            </w:pPr>
            <w:r>
              <w:rPr>
                <w:rFonts w:hint="eastAsia" w:cs="Times New Roman"/>
                <w:szCs w:val="21"/>
              </w:rPr>
              <w:t>集气罩+</w:t>
            </w:r>
            <w:r>
              <w:rPr>
                <w:rFonts w:cs="Times New Roman"/>
                <w:szCs w:val="21"/>
              </w:rPr>
              <w:t>布袋除尘器</w:t>
            </w:r>
          </w:p>
        </w:tc>
      </w:tr>
      <w:tr w14:paraId="65B292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03FD21C9">
            <w:pPr>
              <w:pStyle w:val="133"/>
            </w:pPr>
          </w:p>
        </w:tc>
        <w:tc>
          <w:tcPr>
            <w:tcW w:w="448" w:type="pct"/>
            <w:vAlign w:val="center"/>
          </w:tcPr>
          <w:p w14:paraId="2105D1BF">
            <w:pPr>
              <w:pStyle w:val="133"/>
            </w:pPr>
            <w:r>
              <w:t>G</w:t>
            </w:r>
            <w:r>
              <w:rPr>
                <w:rFonts w:hint="eastAsia"/>
                <w:vertAlign w:val="subscript"/>
              </w:rPr>
              <w:t>2-2</w:t>
            </w:r>
          </w:p>
        </w:tc>
        <w:tc>
          <w:tcPr>
            <w:tcW w:w="1190" w:type="pct"/>
            <w:vAlign w:val="center"/>
          </w:tcPr>
          <w:p w14:paraId="774C48ED">
            <w:pPr>
              <w:pStyle w:val="133"/>
              <w:rPr>
                <w:rFonts w:hint="eastAsia" w:ascii="宋体" w:hAnsi="宋体"/>
                <w:szCs w:val="21"/>
              </w:rPr>
            </w:pPr>
            <w:r>
              <w:rPr>
                <w:rFonts w:hint="eastAsia" w:ascii="宋体" w:hAnsi="宋体"/>
                <w:szCs w:val="21"/>
              </w:rPr>
              <w:t>硅铁矿热炉烟气</w:t>
            </w:r>
          </w:p>
        </w:tc>
        <w:tc>
          <w:tcPr>
            <w:tcW w:w="1213" w:type="pct"/>
            <w:vAlign w:val="center"/>
          </w:tcPr>
          <w:p w14:paraId="4496A34F">
            <w:pPr>
              <w:pStyle w:val="133"/>
            </w:pPr>
            <w:r>
              <w:rPr>
                <w:rFonts w:hint="eastAsia"/>
              </w:rPr>
              <w:t>颗粒物、二氧化硫、氮氧化物</w:t>
            </w:r>
          </w:p>
        </w:tc>
        <w:tc>
          <w:tcPr>
            <w:tcW w:w="507" w:type="pct"/>
            <w:vAlign w:val="center"/>
          </w:tcPr>
          <w:p w14:paraId="6203E73D">
            <w:pPr>
              <w:pStyle w:val="133"/>
            </w:pPr>
            <w:r>
              <w:rPr>
                <w:rFonts w:hint="eastAsia"/>
              </w:rPr>
              <w:t>连续</w:t>
            </w:r>
          </w:p>
        </w:tc>
        <w:tc>
          <w:tcPr>
            <w:tcW w:w="1303" w:type="pct"/>
            <w:vAlign w:val="center"/>
          </w:tcPr>
          <w:p w14:paraId="4ACAEB52">
            <w:pPr>
              <w:pStyle w:val="133"/>
              <w:rPr>
                <w:rFonts w:cs="Times New Roman"/>
                <w:szCs w:val="21"/>
              </w:rPr>
            </w:pPr>
            <w:r>
              <w:rPr>
                <w:rFonts w:hint="eastAsia" w:cs="Times New Roman"/>
                <w:szCs w:val="21"/>
              </w:rPr>
              <w:t>集气罩+</w:t>
            </w:r>
            <w:r>
              <w:rPr>
                <w:rFonts w:cs="Times New Roman"/>
                <w:szCs w:val="21"/>
              </w:rPr>
              <w:t>布袋除尘器</w:t>
            </w:r>
          </w:p>
        </w:tc>
      </w:tr>
      <w:tr w14:paraId="207F2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0EB1507D">
            <w:pPr>
              <w:pStyle w:val="133"/>
            </w:pPr>
          </w:p>
        </w:tc>
        <w:tc>
          <w:tcPr>
            <w:tcW w:w="448" w:type="pct"/>
            <w:vAlign w:val="center"/>
          </w:tcPr>
          <w:p w14:paraId="43697EE3">
            <w:pPr>
              <w:pStyle w:val="133"/>
            </w:pPr>
            <w:r>
              <w:t>G</w:t>
            </w:r>
            <w:r>
              <w:rPr>
                <w:rFonts w:hint="eastAsia"/>
                <w:vertAlign w:val="subscript"/>
              </w:rPr>
              <w:t>2-</w:t>
            </w:r>
            <w:r>
              <w:rPr>
                <w:vertAlign w:val="subscript"/>
              </w:rPr>
              <w:t>3</w:t>
            </w:r>
          </w:p>
        </w:tc>
        <w:tc>
          <w:tcPr>
            <w:tcW w:w="1190" w:type="pct"/>
            <w:vAlign w:val="center"/>
          </w:tcPr>
          <w:p w14:paraId="41359C23">
            <w:pPr>
              <w:pStyle w:val="133"/>
            </w:pPr>
            <w:r>
              <w:rPr>
                <w:rFonts w:hint="eastAsia"/>
                <w:szCs w:val="21"/>
              </w:rPr>
              <w:t>硅铁出铁浇铸</w:t>
            </w:r>
            <w:r>
              <w:rPr>
                <w:rFonts w:hint="eastAsia" w:cs="Times New Roman"/>
                <w:szCs w:val="21"/>
              </w:rPr>
              <w:t>废气</w:t>
            </w:r>
          </w:p>
        </w:tc>
        <w:tc>
          <w:tcPr>
            <w:tcW w:w="1213" w:type="pct"/>
            <w:vAlign w:val="center"/>
          </w:tcPr>
          <w:p w14:paraId="40B3C41B">
            <w:pPr>
              <w:pStyle w:val="133"/>
            </w:pPr>
            <w:r>
              <w:rPr>
                <w:rFonts w:hint="eastAsia"/>
              </w:rPr>
              <w:t>颗粒物</w:t>
            </w:r>
          </w:p>
        </w:tc>
        <w:tc>
          <w:tcPr>
            <w:tcW w:w="507" w:type="pct"/>
            <w:vAlign w:val="center"/>
          </w:tcPr>
          <w:p w14:paraId="4B770E09">
            <w:pPr>
              <w:pStyle w:val="133"/>
            </w:pPr>
            <w:r>
              <w:rPr>
                <w:rFonts w:cs="Times New Roman"/>
                <w:szCs w:val="21"/>
              </w:rPr>
              <w:t>间歇</w:t>
            </w:r>
          </w:p>
        </w:tc>
        <w:tc>
          <w:tcPr>
            <w:tcW w:w="1303" w:type="pct"/>
            <w:vAlign w:val="center"/>
          </w:tcPr>
          <w:p w14:paraId="31623B06">
            <w:pPr>
              <w:pStyle w:val="133"/>
            </w:pPr>
            <w:r>
              <w:rPr>
                <w:rFonts w:hint="eastAsia" w:cs="Times New Roman"/>
                <w:szCs w:val="21"/>
              </w:rPr>
              <w:t>集气罩+</w:t>
            </w:r>
            <w:r>
              <w:rPr>
                <w:rFonts w:cs="Times New Roman"/>
                <w:szCs w:val="21"/>
              </w:rPr>
              <w:t>布袋除尘器</w:t>
            </w:r>
          </w:p>
        </w:tc>
      </w:tr>
      <w:tr w14:paraId="319A7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4827DC6A">
            <w:pPr>
              <w:pStyle w:val="133"/>
            </w:pPr>
          </w:p>
        </w:tc>
        <w:tc>
          <w:tcPr>
            <w:tcW w:w="448" w:type="pct"/>
            <w:vAlign w:val="center"/>
          </w:tcPr>
          <w:p w14:paraId="3C3FA307">
            <w:pPr>
              <w:pStyle w:val="133"/>
            </w:pPr>
            <w:r>
              <w:t>G</w:t>
            </w:r>
            <w:r>
              <w:rPr>
                <w:rFonts w:hint="eastAsia"/>
                <w:vertAlign w:val="subscript"/>
              </w:rPr>
              <w:t>2-</w:t>
            </w:r>
            <w:r>
              <w:rPr>
                <w:vertAlign w:val="subscript"/>
              </w:rPr>
              <w:t>4</w:t>
            </w:r>
          </w:p>
        </w:tc>
        <w:tc>
          <w:tcPr>
            <w:tcW w:w="1190" w:type="pct"/>
            <w:vAlign w:val="center"/>
          </w:tcPr>
          <w:p w14:paraId="705E192F">
            <w:pPr>
              <w:pStyle w:val="133"/>
              <w:rPr>
                <w:rFonts w:hint="eastAsia" w:ascii="宋体" w:hAnsi="宋体"/>
                <w:szCs w:val="21"/>
              </w:rPr>
            </w:pPr>
            <w:r>
              <w:rPr>
                <w:rFonts w:hint="eastAsia" w:ascii="宋体" w:hAnsi="宋体"/>
                <w:szCs w:val="21"/>
              </w:rPr>
              <w:t>硅铁成品破碎</w:t>
            </w:r>
            <w:r>
              <w:rPr>
                <w:rFonts w:hint="eastAsia" w:cs="Times New Roman"/>
                <w:szCs w:val="21"/>
              </w:rPr>
              <w:t>废气</w:t>
            </w:r>
          </w:p>
        </w:tc>
        <w:tc>
          <w:tcPr>
            <w:tcW w:w="1213" w:type="pct"/>
            <w:vAlign w:val="center"/>
          </w:tcPr>
          <w:p w14:paraId="64F91184">
            <w:pPr>
              <w:pStyle w:val="133"/>
            </w:pPr>
            <w:r>
              <w:rPr>
                <w:rFonts w:hint="eastAsia"/>
              </w:rPr>
              <w:t>颗粒物</w:t>
            </w:r>
          </w:p>
        </w:tc>
        <w:tc>
          <w:tcPr>
            <w:tcW w:w="507" w:type="pct"/>
            <w:vAlign w:val="center"/>
          </w:tcPr>
          <w:p w14:paraId="4221CF18">
            <w:pPr>
              <w:pStyle w:val="133"/>
            </w:pPr>
            <w:r>
              <w:rPr>
                <w:rFonts w:cs="Times New Roman"/>
                <w:szCs w:val="21"/>
              </w:rPr>
              <w:t>间歇</w:t>
            </w:r>
          </w:p>
        </w:tc>
        <w:tc>
          <w:tcPr>
            <w:tcW w:w="1303" w:type="pct"/>
            <w:vAlign w:val="center"/>
          </w:tcPr>
          <w:p w14:paraId="261292E7">
            <w:pPr>
              <w:pStyle w:val="133"/>
              <w:rPr>
                <w:rFonts w:cs="Times New Roman"/>
                <w:szCs w:val="21"/>
              </w:rPr>
            </w:pPr>
            <w:r>
              <w:rPr>
                <w:rFonts w:hint="eastAsia" w:cs="Times New Roman"/>
                <w:szCs w:val="21"/>
              </w:rPr>
              <w:t>集气罩+</w:t>
            </w:r>
            <w:r>
              <w:rPr>
                <w:rFonts w:cs="Times New Roman"/>
                <w:szCs w:val="21"/>
              </w:rPr>
              <w:t>布袋除尘器</w:t>
            </w:r>
          </w:p>
        </w:tc>
      </w:tr>
      <w:tr w14:paraId="48D107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0CE71E61">
            <w:pPr>
              <w:pStyle w:val="133"/>
            </w:pPr>
          </w:p>
        </w:tc>
        <w:tc>
          <w:tcPr>
            <w:tcW w:w="448" w:type="pct"/>
            <w:vAlign w:val="center"/>
          </w:tcPr>
          <w:p w14:paraId="19852CE8">
            <w:pPr>
              <w:pStyle w:val="133"/>
            </w:pPr>
            <w:r>
              <w:t>G</w:t>
            </w:r>
            <w:r>
              <w:rPr>
                <w:rFonts w:hint="eastAsia"/>
                <w:vertAlign w:val="subscript"/>
              </w:rPr>
              <w:t>2-1</w:t>
            </w:r>
            <w:r>
              <w:rPr>
                <w:rFonts w:hint="eastAsia" w:ascii="宋体" w:hAnsi="宋体"/>
                <w:vertAlign w:val="subscript"/>
              </w:rPr>
              <w:t>ˊ</w:t>
            </w:r>
          </w:p>
        </w:tc>
        <w:tc>
          <w:tcPr>
            <w:tcW w:w="1190" w:type="pct"/>
            <w:vAlign w:val="center"/>
          </w:tcPr>
          <w:p w14:paraId="25188691">
            <w:pPr>
              <w:pStyle w:val="133"/>
              <w:rPr>
                <w:rFonts w:hint="eastAsia" w:ascii="宋体" w:hAnsi="宋体"/>
                <w:szCs w:val="21"/>
              </w:rPr>
            </w:pPr>
            <w:r>
              <w:rPr>
                <w:rFonts w:hint="eastAsia" w:ascii="宋体" w:hAnsi="宋体"/>
                <w:szCs w:val="21"/>
              </w:rPr>
              <w:t>原料堆场无组织废气</w:t>
            </w:r>
          </w:p>
        </w:tc>
        <w:tc>
          <w:tcPr>
            <w:tcW w:w="1213" w:type="pct"/>
            <w:vAlign w:val="center"/>
          </w:tcPr>
          <w:p w14:paraId="38EF2AB0">
            <w:pPr>
              <w:pStyle w:val="133"/>
            </w:pPr>
            <w:r>
              <w:rPr>
                <w:rFonts w:hint="eastAsia"/>
              </w:rPr>
              <w:t>颗粒物</w:t>
            </w:r>
          </w:p>
        </w:tc>
        <w:tc>
          <w:tcPr>
            <w:tcW w:w="507" w:type="pct"/>
            <w:vAlign w:val="center"/>
          </w:tcPr>
          <w:p w14:paraId="4A457CC0">
            <w:pPr>
              <w:pStyle w:val="133"/>
            </w:pPr>
            <w:r>
              <w:rPr>
                <w:rFonts w:cs="Times New Roman"/>
                <w:szCs w:val="21"/>
              </w:rPr>
              <w:t>间歇</w:t>
            </w:r>
          </w:p>
        </w:tc>
        <w:tc>
          <w:tcPr>
            <w:tcW w:w="1303" w:type="pct"/>
            <w:vAlign w:val="center"/>
          </w:tcPr>
          <w:p w14:paraId="66CFB148">
            <w:pPr>
              <w:pStyle w:val="133"/>
              <w:rPr>
                <w:rFonts w:cs="Times New Roman"/>
                <w:szCs w:val="21"/>
              </w:rPr>
            </w:pPr>
            <w:r>
              <w:rPr>
                <w:rFonts w:hint="eastAsia" w:cs="Times New Roman"/>
                <w:szCs w:val="21"/>
              </w:rPr>
              <w:t>防风抑尘网+洒水降尘</w:t>
            </w:r>
          </w:p>
        </w:tc>
      </w:tr>
      <w:tr w14:paraId="580D22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16213120">
            <w:pPr>
              <w:pStyle w:val="133"/>
            </w:pPr>
          </w:p>
        </w:tc>
        <w:tc>
          <w:tcPr>
            <w:tcW w:w="448" w:type="pct"/>
            <w:vAlign w:val="center"/>
          </w:tcPr>
          <w:p w14:paraId="12665CF6">
            <w:pPr>
              <w:pStyle w:val="133"/>
            </w:pPr>
            <w:r>
              <w:t>G</w:t>
            </w:r>
            <w:r>
              <w:rPr>
                <w:rFonts w:hint="eastAsia"/>
                <w:vertAlign w:val="subscript"/>
              </w:rPr>
              <w:t>2-2</w:t>
            </w:r>
            <w:r>
              <w:rPr>
                <w:rFonts w:hint="eastAsia" w:ascii="宋体" w:hAnsi="宋体"/>
                <w:vertAlign w:val="subscript"/>
              </w:rPr>
              <w:t>ˊ</w:t>
            </w:r>
          </w:p>
        </w:tc>
        <w:tc>
          <w:tcPr>
            <w:tcW w:w="1190" w:type="pct"/>
            <w:vAlign w:val="center"/>
          </w:tcPr>
          <w:p w14:paraId="7C091604">
            <w:pPr>
              <w:pStyle w:val="133"/>
              <w:rPr>
                <w:rFonts w:hint="eastAsia" w:ascii="宋体" w:hAnsi="宋体"/>
                <w:szCs w:val="21"/>
              </w:rPr>
            </w:pPr>
            <w:r>
              <w:rPr>
                <w:rFonts w:hint="eastAsia" w:ascii="宋体" w:hAnsi="宋体"/>
                <w:szCs w:val="21"/>
              </w:rPr>
              <w:t>兰炭棚无组织废气</w:t>
            </w:r>
          </w:p>
        </w:tc>
        <w:tc>
          <w:tcPr>
            <w:tcW w:w="1213" w:type="pct"/>
            <w:vAlign w:val="center"/>
          </w:tcPr>
          <w:p w14:paraId="039E90B1">
            <w:pPr>
              <w:pStyle w:val="133"/>
            </w:pPr>
            <w:r>
              <w:rPr>
                <w:rFonts w:hint="eastAsia"/>
              </w:rPr>
              <w:t>颗粒物</w:t>
            </w:r>
          </w:p>
        </w:tc>
        <w:tc>
          <w:tcPr>
            <w:tcW w:w="507" w:type="pct"/>
            <w:vAlign w:val="center"/>
          </w:tcPr>
          <w:p w14:paraId="752185E1">
            <w:pPr>
              <w:pStyle w:val="133"/>
            </w:pPr>
            <w:r>
              <w:rPr>
                <w:rFonts w:hint="eastAsia"/>
              </w:rPr>
              <w:t>连续</w:t>
            </w:r>
          </w:p>
        </w:tc>
        <w:tc>
          <w:tcPr>
            <w:tcW w:w="1303" w:type="pct"/>
            <w:vAlign w:val="center"/>
          </w:tcPr>
          <w:p w14:paraId="2219EFB1">
            <w:pPr>
              <w:pStyle w:val="133"/>
              <w:rPr>
                <w:rFonts w:cs="Times New Roman"/>
                <w:szCs w:val="21"/>
              </w:rPr>
            </w:pPr>
            <w:r>
              <w:rPr>
                <w:rFonts w:hint="eastAsia" w:cs="Times New Roman"/>
                <w:szCs w:val="21"/>
              </w:rPr>
              <w:t>全封闭焦棚</w:t>
            </w:r>
          </w:p>
        </w:tc>
      </w:tr>
      <w:tr w14:paraId="14D9FD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0B02D9B0">
            <w:pPr>
              <w:pStyle w:val="133"/>
            </w:pPr>
          </w:p>
        </w:tc>
        <w:tc>
          <w:tcPr>
            <w:tcW w:w="448" w:type="pct"/>
            <w:vAlign w:val="center"/>
          </w:tcPr>
          <w:p w14:paraId="0765EFC3">
            <w:pPr>
              <w:pStyle w:val="133"/>
            </w:pPr>
            <w:r>
              <w:t>G</w:t>
            </w:r>
            <w:r>
              <w:rPr>
                <w:rFonts w:hint="eastAsia"/>
                <w:vertAlign w:val="subscript"/>
              </w:rPr>
              <w:t>2-3</w:t>
            </w:r>
            <w:r>
              <w:rPr>
                <w:rFonts w:hint="eastAsia" w:ascii="宋体" w:hAnsi="宋体"/>
                <w:vertAlign w:val="subscript"/>
              </w:rPr>
              <w:t>ˊ</w:t>
            </w:r>
          </w:p>
        </w:tc>
        <w:tc>
          <w:tcPr>
            <w:tcW w:w="1190" w:type="pct"/>
            <w:vAlign w:val="center"/>
          </w:tcPr>
          <w:p w14:paraId="6CABAF81">
            <w:pPr>
              <w:pStyle w:val="133"/>
              <w:rPr>
                <w:rFonts w:hint="eastAsia" w:ascii="宋体" w:hAnsi="宋体"/>
                <w:szCs w:val="21"/>
              </w:rPr>
            </w:pPr>
            <w:r>
              <w:rPr>
                <w:rFonts w:hint="eastAsia" w:ascii="宋体" w:hAnsi="宋体"/>
                <w:szCs w:val="21"/>
              </w:rPr>
              <w:t>硅铁上料无组织废气</w:t>
            </w:r>
          </w:p>
        </w:tc>
        <w:tc>
          <w:tcPr>
            <w:tcW w:w="1213" w:type="pct"/>
            <w:vAlign w:val="center"/>
          </w:tcPr>
          <w:p w14:paraId="1178D363">
            <w:pPr>
              <w:pStyle w:val="133"/>
            </w:pPr>
            <w:r>
              <w:rPr>
                <w:rFonts w:hint="eastAsia"/>
              </w:rPr>
              <w:t>颗粒物</w:t>
            </w:r>
          </w:p>
        </w:tc>
        <w:tc>
          <w:tcPr>
            <w:tcW w:w="507" w:type="pct"/>
            <w:vAlign w:val="center"/>
          </w:tcPr>
          <w:p w14:paraId="6352499D">
            <w:pPr>
              <w:pStyle w:val="133"/>
            </w:pPr>
            <w:r>
              <w:rPr>
                <w:rFonts w:cs="Times New Roman"/>
                <w:szCs w:val="21"/>
              </w:rPr>
              <w:t>间歇</w:t>
            </w:r>
          </w:p>
        </w:tc>
        <w:tc>
          <w:tcPr>
            <w:tcW w:w="1303" w:type="pct"/>
            <w:vAlign w:val="center"/>
          </w:tcPr>
          <w:p w14:paraId="66DF0544">
            <w:pPr>
              <w:pStyle w:val="133"/>
              <w:rPr>
                <w:rFonts w:cs="Times New Roman"/>
                <w:szCs w:val="21"/>
              </w:rPr>
            </w:pPr>
            <w:r>
              <w:rPr>
                <w:rFonts w:hint="eastAsia" w:cs="Times New Roman"/>
                <w:szCs w:val="21"/>
              </w:rPr>
              <w:t>/</w:t>
            </w:r>
          </w:p>
        </w:tc>
      </w:tr>
      <w:tr w14:paraId="1D1A7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09ECB9F1">
            <w:pPr>
              <w:pStyle w:val="133"/>
            </w:pPr>
          </w:p>
        </w:tc>
        <w:tc>
          <w:tcPr>
            <w:tcW w:w="448" w:type="pct"/>
            <w:vAlign w:val="center"/>
          </w:tcPr>
          <w:p w14:paraId="59A5FDEF">
            <w:pPr>
              <w:pStyle w:val="133"/>
            </w:pPr>
            <w:r>
              <w:t>G</w:t>
            </w:r>
            <w:r>
              <w:rPr>
                <w:rFonts w:hint="eastAsia"/>
                <w:vertAlign w:val="subscript"/>
              </w:rPr>
              <w:t>2-4</w:t>
            </w:r>
            <w:r>
              <w:rPr>
                <w:rFonts w:hint="eastAsia" w:ascii="宋体" w:hAnsi="宋体"/>
                <w:vertAlign w:val="subscript"/>
              </w:rPr>
              <w:t>ˊ</w:t>
            </w:r>
          </w:p>
        </w:tc>
        <w:tc>
          <w:tcPr>
            <w:tcW w:w="1190" w:type="pct"/>
            <w:vAlign w:val="center"/>
          </w:tcPr>
          <w:p w14:paraId="500B9A2E">
            <w:pPr>
              <w:pStyle w:val="133"/>
              <w:rPr>
                <w:rFonts w:hint="eastAsia" w:ascii="宋体" w:hAnsi="宋体"/>
                <w:szCs w:val="21"/>
              </w:rPr>
            </w:pPr>
            <w:bookmarkStart w:id="341" w:name="OLE_LINK45"/>
            <w:r>
              <w:rPr>
                <w:rFonts w:hint="eastAsia" w:ascii="宋体" w:hAnsi="宋体"/>
                <w:szCs w:val="21"/>
              </w:rPr>
              <w:t>矿热炉无组织废气</w:t>
            </w:r>
            <w:bookmarkEnd w:id="341"/>
          </w:p>
        </w:tc>
        <w:tc>
          <w:tcPr>
            <w:tcW w:w="1213" w:type="pct"/>
            <w:vAlign w:val="center"/>
          </w:tcPr>
          <w:p w14:paraId="6826C72D">
            <w:pPr>
              <w:pStyle w:val="133"/>
            </w:pPr>
            <w:r>
              <w:rPr>
                <w:rFonts w:hint="eastAsia"/>
              </w:rPr>
              <w:t>颗粒物</w:t>
            </w:r>
          </w:p>
        </w:tc>
        <w:tc>
          <w:tcPr>
            <w:tcW w:w="507" w:type="pct"/>
            <w:vAlign w:val="center"/>
          </w:tcPr>
          <w:p w14:paraId="32B3FBD7">
            <w:pPr>
              <w:pStyle w:val="133"/>
            </w:pPr>
            <w:r>
              <w:rPr>
                <w:rFonts w:hint="eastAsia"/>
              </w:rPr>
              <w:t>连续</w:t>
            </w:r>
          </w:p>
        </w:tc>
        <w:tc>
          <w:tcPr>
            <w:tcW w:w="1303" w:type="pct"/>
            <w:vAlign w:val="center"/>
          </w:tcPr>
          <w:p w14:paraId="3DD12F90">
            <w:pPr>
              <w:pStyle w:val="133"/>
              <w:rPr>
                <w:rFonts w:cs="Times New Roman"/>
                <w:szCs w:val="21"/>
              </w:rPr>
            </w:pPr>
            <w:r>
              <w:rPr>
                <w:rFonts w:hint="eastAsia" w:cs="Times New Roman"/>
                <w:szCs w:val="21"/>
              </w:rPr>
              <w:t>/</w:t>
            </w:r>
          </w:p>
        </w:tc>
      </w:tr>
      <w:tr w14:paraId="2B628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1AD13E40">
            <w:pPr>
              <w:pStyle w:val="133"/>
            </w:pPr>
          </w:p>
        </w:tc>
        <w:tc>
          <w:tcPr>
            <w:tcW w:w="448" w:type="pct"/>
            <w:vAlign w:val="center"/>
          </w:tcPr>
          <w:p w14:paraId="684DE148">
            <w:pPr>
              <w:pStyle w:val="133"/>
            </w:pPr>
            <w:r>
              <w:t>G</w:t>
            </w:r>
            <w:r>
              <w:rPr>
                <w:rFonts w:hint="eastAsia"/>
                <w:vertAlign w:val="subscript"/>
              </w:rPr>
              <w:t>2-5</w:t>
            </w:r>
            <w:r>
              <w:rPr>
                <w:rFonts w:hint="eastAsia" w:ascii="宋体" w:hAnsi="宋体"/>
                <w:vertAlign w:val="subscript"/>
              </w:rPr>
              <w:t>ˊ</w:t>
            </w:r>
          </w:p>
        </w:tc>
        <w:tc>
          <w:tcPr>
            <w:tcW w:w="1190" w:type="pct"/>
            <w:vAlign w:val="center"/>
          </w:tcPr>
          <w:p w14:paraId="0EC884AA">
            <w:pPr>
              <w:pStyle w:val="133"/>
              <w:rPr>
                <w:rFonts w:hint="eastAsia" w:ascii="宋体" w:hAnsi="宋体"/>
                <w:szCs w:val="21"/>
              </w:rPr>
            </w:pPr>
            <w:r>
              <w:rPr>
                <w:rFonts w:hint="eastAsia" w:ascii="宋体" w:hAnsi="宋体"/>
                <w:szCs w:val="21"/>
              </w:rPr>
              <w:t>出铁浇铸无组织废气</w:t>
            </w:r>
          </w:p>
        </w:tc>
        <w:tc>
          <w:tcPr>
            <w:tcW w:w="1213" w:type="pct"/>
            <w:vAlign w:val="center"/>
          </w:tcPr>
          <w:p w14:paraId="3D962AC0">
            <w:pPr>
              <w:pStyle w:val="133"/>
            </w:pPr>
            <w:r>
              <w:rPr>
                <w:rFonts w:hint="eastAsia"/>
              </w:rPr>
              <w:t>颗粒物</w:t>
            </w:r>
          </w:p>
        </w:tc>
        <w:tc>
          <w:tcPr>
            <w:tcW w:w="507" w:type="pct"/>
            <w:vAlign w:val="center"/>
          </w:tcPr>
          <w:p w14:paraId="44F2DC0B">
            <w:pPr>
              <w:pStyle w:val="133"/>
            </w:pPr>
            <w:r>
              <w:rPr>
                <w:rFonts w:hint="eastAsia"/>
              </w:rPr>
              <w:t>连续</w:t>
            </w:r>
          </w:p>
        </w:tc>
        <w:tc>
          <w:tcPr>
            <w:tcW w:w="1303" w:type="pct"/>
            <w:vAlign w:val="center"/>
          </w:tcPr>
          <w:p w14:paraId="33F07919">
            <w:pPr>
              <w:pStyle w:val="133"/>
              <w:rPr>
                <w:rFonts w:cs="Times New Roman"/>
                <w:szCs w:val="21"/>
              </w:rPr>
            </w:pPr>
            <w:r>
              <w:rPr>
                <w:rFonts w:hint="eastAsia" w:cs="Times New Roman"/>
                <w:szCs w:val="21"/>
              </w:rPr>
              <w:t>/</w:t>
            </w:r>
          </w:p>
        </w:tc>
      </w:tr>
      <w:tr w14:paraId="397CD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7E8F6C8B">
            <w:pPr>
              <w:pStyle w:val="133"/>
            </w:pPr>
          </w:p>
        </w:tc>
        <w:tc>
          <w:tcPr>
            <w:tcW w:w="448" w:type="pct"/>
            <w:vAlign w:val="center"/>
          </w:tcPr>
          <w:p w14:paraId="5F43FAAB">
            <w:pPr>
              <w:pStyle w:val="133"/>
            </w:pPr>
            <w:r>
              <w:t>G</w:t>
            </w:r>
            <w:r>
              <w:rPr>
                <w:rFonts w:hint="eastAsia"/>
                <w:vertAlign w:val="subscript"/>
              </w:rPr>
              <w:t>2-6</w:t>
            </w:r>
            <w:r>
              <w:rPr>
                <w:rFonts w:hint="eastAsia" w:ascii="宋体" w:hAnsi="宋体"/>
                <w:vertAlign w:val="subscript"/>
              </w:rPr>
              <w:t>ˊ</w:t>
            </w:r>
          </w:p>
        </w:tc>
        <w:tc>
          <w:tcPr>
            <w:tcW w:w="1190" w:type="pct"/>
            <w:vAlign w:val="center"/>
          </w:tcPr>
          <w:p w14:paraId="4DF45ACC">
            <w:pPr>
              <w:pStyle w:val="133"/>
              <w:rPr>
                <w:rFonts w:hint="eastAsia" w:ascii="宋体" w:hAnsi="宋体"/>
                <w:szCs w:val="21"/>
              </w:rPr>
            </w:pPr>
            <w:r>
              <w:rPr>
                <w:rFonts w:hint="eastAsia" w:ascii="宋体" w:hAnsi="宋体"/>
                <w:szCs w:val="21"/>
              </w:rPr>
              <w:t>成品破碎无组织废气</w:t>
            </w:r>
          </w:p>
        </w:tc>
        <w:tc>
          <w:tcPr>
            <w:tcW w:w="1213" w:type="pct"/>
            <w:vAlign w:val="center"/>
          </w:tcPr>
          <w:p w14:paraId="324C146F">
            <w:pPr>
              <w:pStyle w:val="133"/>
            </w:pPr>
            <w:r>
              <w:rPr>
                <w:rFonts w:hint="eastAsia"/>
              </w:rPr>
              <w:t>颗粒物</w:t>
            </w:r>
          </w:p>
        </w:tc>
        <w:tc>
          <w:tcPr>
            <w:tcW w:w="507" w:type="pct"/>
            <w:vAlign w:val="center"/>
          </w:tcPr>
          <w:p w14:paraId="2BB8B560">
            <w:pPr>
              <w:pStyle w:val="133"/>
            </w:pPr>
            <w:r>
              <w:rPr>
                <w:rFonts w:cs="Times New Roman"/>
                <w:szCs w:val="21"/>
              </w:rPr>
              <w:t>间歇</w:t>
            </w:r>
          </w:p>
        </w:tc>
        <w:tc>
          <w:tcPr>
            <w:tcW w:w="1303" w:type="pct"/>
            <w:vAlign w:val="center"/>
          </w:tcPr>
          <w:p w14:paraId="6812EF8D">
            <w:pPr>
              <w:pStyle w:val="133"/>
              <w:rPr>
                <w:rFonts w:cs="Times New Roman"/>
                <w:szCs w:val="21"/>
              </w:rPr>
            </w:pPr>
            <w:r>
              <w:rPr>
                <w:rFonts w:hint="eastAsia" w:cs="Times New Roman"/>
                <w:szCs w:val="21"/>
              </w:rPr>
              <w:t>/</w:t>
            </w:r>
          </w:p>
        </w:tc>
      </w:tr>
      <w:tr w14:paraId="4FB0B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restart"/>
            <w:vAlign w:val="center"/>
          </w:tcPr>
          <w:p w14:paraId="069AAF3A">
            <w:pPr>
              <w:pStyle w:val="133"/>
            </w:pPr>
            <w:r>
              <w:rPr>
                <w:rFonts w:hint="eastAsia"/>
              </w:rPr>
              <w:t>废水</w:t>
            </w:r>
          </w:p>
        </w:tc>
        <w:tc>
          <w:tcPr>
            <w:tcW w:w="448" w:type="pct"/>
            <w:vAlign w:val="center"/>
          </w:tcPr>
          <w:p w14:paraId="7740F1D9">
            <w:pPr>
              <w:pStyle w:val="133"/>
            </w:pPr>
            <w:r>
              <w:rPr>
                <w:rFonts w:hint="eastAsia"/>
              </w:rPr>
              <w:t>W</w:t>
            </w:r>
            <w:r>
              <w:rPr>
                <w:rFonts w:hint="eastAsia"/>
                <w:vertAlign w:val="subscript"/>
              </w:rPr>
              <w:t>2-1</w:t>
            </w:r>
          </w:p>
        </w:tc>
        <w:tc>
          <w:tcPr>
            <w:tcW w:w="1190" w:type="pct"/>
            <w:vAlign w:val="center"/>
          </w:tcPr>
          <w:p w14:paraId="118B115D">
            <w:pPr>
              <w:pStyle w:val="133"/>
            </w:pPr>
            <w:r>
              <w:rPr>
                <w:rFonts w:hint="eastAsia"/>
              </w:rPr>
              <w:t>脱盐水系统排水</w:t>
            </w:r>
          </w:p>
        </w:tc>
        <w:tc>
          <w:tcPr>
            <w:tcW w:w="1213" w:type="pct"/>
            <w:vAlign w:val="center"/>
          </w:tcPr>
          <w:p w14:paraId="1F25D642">
            <w:pPr>
              <w:pStyle w:val="133"/>
            </w:pPr>
            <w:r>
              <w:rPr>
                <w:rFonts w:hint="eastAsia"/>
              </w:rPr>
              <w:t>COD、SS</w:t>
            </w:r>
            <w:r>
              <w:rPr>
                <w:rFonts w:cs="Times New Roman"/>
                <w:szCs w:val="21"/>
              </w:rPr>
              <w:t>、TDI</w:t>
            </w:r>
          </w:p>
        </w:tc>
        <w:tc>
          <w:tcPr>
            <w:tcW w:w="507" w:type="pct"/>
            <w:vAlign w:val="center"/>
          </w:tcPr>
          <w:p w14:paraId="099961AB">
            <w:pPr>
              <w:pStyle w:val="133"/>
            </w:pPr>
            <w:r>
              <w:rPr>
                <w:rFonts w:hint="eastAsia"/>
              </w:rPr>
              <w:t>连续</w:t>
            </w:r>
          </w:p>
        </w:tc>
        <w:tc>
          <w:tcPr>
            <w:tcW w:w="1303" w:type="pct"/>
            <w:vMerge w:val="restart"/>
            <w:vAlign w:val="center"/>
          </w:tcPr>
          <w:p w14:paraId="5C449FBB">
            <w:pPr>
              <w:pStyle w:val="133"/>
            </w:pPr>
            <w:r>
              <w:rPr>
                <w:rFonts w:hint="eastAsia" w:cs="Times New Roman"/>
              </w:rPr>
              <w:t>排入厂内废水排水管网</w:t>
            </w:r>
          </w:p>
        </w:tc>
      </w:tr>
      <w:tr w14:paraId="54A91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492197EB">
            <w:pPr>
              <w:pStyle w:val="133"/>
            </w:pPr>
          </w:p>
        </w:tc>
        <w:tc>
          <w:tcPr>
            <w:tcW w:w="448" w:type="pct"/>
            <w:vAlign w:val="center"/>
          </w:tcPr>
          <w:p w14:paraId="28CDDF8D">
            <w:pPr>
              <w:pStyle w:val="133"/>
            </w:pPr>
            <w:r>
              <w:rPr>
                <w:rFonts w:hint="eastAsia"/>
              </w:rPr>
              <w:t>W</w:t>
            </w:r>
            <w:r>
              <w:rPr>
                <w:rFonts w:hint="eastAsia"/>
                <w:vertAlign w:val="subscript"/>
              </w:rPr>
              <w:t>2-2</w:t>
            </w:r>
          </w:p>
        </w:tc>
        <w:tc>
          <w:tcPr>
            <w:tcW w:w="1190" w:type="pct"/>
            <w:vAlign w:val="center"/>
          </w:tcPr>
          <w:p w14:paraId="7D05DB24">
            <w:pPr>
              <w:pStyle w:val="133"/>
            </w:pPr>
            <w:r>
              <w:rPr>
                <w:rFonts w:cs="Times New Roman"/>
                <w:szCs w:val="21"/>
              </w:rPr>
              <w:t>余热发电系统排水</w:t>
            </w:r>
          </w:p>
        </w:tc>
        <w:tc>
          <w:tcPr>
            <w:tcW w:w="1213" w:type="pct"/>
            <w:vAlign w:val="center"/>
          </w:tcPr>
          <w:p w14:paraId="64B4F9C0">
            <w:pPr>
              <w:pStyle w:val="133"/>
            </w:pPr>
            <w:r>
              <w:rPr>
                <w:rFonts w:cs="Times New Roman"/>
                <w:szCs w:val="21"/>
              </w:rPr>
              <w:t>COD、SS、TDI</w:t>
            </w:r>
          </w:p>
        </w:tc>
        <w:tc>
          <w:tcPr>
            <w:tcW w:w="507" w:type="pct"/>
            <w:vAlign w:val="center"/>
          </w:tcPr>
          <w:p w14:paraId="0DDE1664">
            <w:pPr>
              <w:pStyle w:val="133"/>
            </w:pPr>
            <w:r>
              <w:rPr>
                <w:rFonts w:cs="Times New Roman"/>
                <w:szCs w:val="21"/>
              </w:rPr>
              <w:t>间歇</w:t>
            </w:r>
          </w:p>
        </w:tc>
        <w:tc>
          <w:tcPr>
            <w:tcW w:w="1303" w:type="pct"/>
            <w:vMerge w:val="continue"/>
            <w:vAlign w:val="center"/>
          </w:tcPr>
          <w:p w14:paraId="1C0DB36D">
            <w:pPr>
              <w:pStyle w:val="133"/>
            </w:pPr>
          </w:p>
        </w:tc>
      </w:tr>
      <w:tr w14:paraId="290D5D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restart"/>
            <w:vAlign w:val="center"/>
          </w:tcPr>
          <w:p w14:paraId="77361F6A">
            <w:pPr>
              <w:pStyle w:val="133"/>
            </w:pPr>
            <w:r>
              <w:t>固废</w:t>
            </w:r>
          </w:p>
        </w:tc>
        <w:tc>
          <w:tcPr>
            <w:tcW w:w="448" w:type="pct"/>
            <w:vAlign w:val="center"/>
          </w:tcPr>
          <w:p w14:paraId="72600FD4">
            <w:pPr>
              <w:pStyle w:val="133"/>
            </w:pPr>
            <w:r>
              <w:t>S</w:t>
            </w:r>
            <w:r>
              <w:rPr>
                <w:rFonts w:hint="eastAsia"/>
                <w:vertAlign w:val="subscript"/>
              </w:rPr>
              <w:t>2</w:t>
            </w:r>
            <w:r>
              <w:rPr>
                <w:vertAlign w:val="subscript"/>
              </w:rPr>
              <w:t>-</w:t>
            </w:r>
            <w:r>
              <w:rPr>
                <w:rFonts w:hint="eastAsia"/>
                <w:vertAlign w:val="subscript"/>
              </w:rPr>
              <w:t>1</w:t>
            </w:r>
          </w:p>
        </w:tc>
        <w:tc>
          <w:tcPr>
            <w:tcW w:w="1190" w:type="pct"/>
            <w:vAlign w:val="center"/>
          </w:tcPr>
          <w:p w14:paraId="6A4C2EA0">
            <w:pPr>
              <w:pStyle w:val="133"/>
            </w:pPr>
            <w:r>
              <w:rPr>
                <w:rFonts w:cs="Times New Roman"/>
                <w:szCs w:val="21"/>
              </w:rPr>
              <w:t>原料系统收尘灰</w:t>
            </w:r>
          </w:p>
        </w:tc>
        <w:tc>
          <w:tcPr>
            <w:tcW w:w="1213" w:type="pct"/>
            <w:vAlign w:val="center"/>
          </w:tcPr>
          <w:p w14:paraId="07A59EA6">
            <w:pPr>
              <w:pStyle w:val="133"/>
            </w:pPr>
            <w:r>
              <w:rPr>
                <w:rFonts w:hint="eastAsia" w:ascii="宋体" w:hAnsi="宋体"/>
                <w:szCs w:val="21"/>
              </w:rPr>
              <w:t>硅石、兰炭、球团</w:t>
            </w:r>
          </w:p>
        </w:tc>
        <w:tc>
          <w:tcPr>
            <w:tcW w:w="507" w:type="pct"/>
            <w:vAlign w:val="center"/>
          </w:tcPr>
          <w:p w14:paraId="77C3F6B5">
            <w:pPr>
              <w:pStyle w:val="133"/>
            </w:pPr>
            <w:r>
              <w:rPr>
                <w:rFonts w:cs="Times New Roman"/>
                <w:szCs w:val="21"/>
              </w:rPr>
              <w:t>间歇</w:t>
            </w:r>
          </w:p>
        </w:tc>
        <w:tc>
          <w:tcPr>
            <w:tcW w:w="1303" w:type="pct"/>
            <w:vAlign w:val="center"/>
          </w:tcPr>
          <w:p w14:paraId="33DC64A2">
            <w:pPr>
              <w:pStyle w:val="133"/>
            </w:pPr>
            <w:r>
              <w:rPr>
                <w:rFonts w:cs="Times New Roman"/>
                <w:szCs w:val="21"/>
              </w:rPr>
              <w:t>回用于矿热炉</w:t>
            </w:r>
          </w:p>
        </w:tc>
      </w:tr>
      <w:tr w14:paraId="277A37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00C76411">
            <w:pPr>
              <w:pStyle w:val="133"/>
            </w:pPr>
          </w:p>
        </w:tc>
        <w:tc>
          <w:tcPr>
            <w:tcW w:w="448" w:type="pct"/>
            <w:vAlign w:val="center"/>
          </w:tcPr>
          <w:p w14:paraId="7C569EBD">
            <w:pPr>
              <w:pStyle w:val="133"/>
            </w:pPr>
            <w:r>
              <w:rPr>
                <w:rFonts w:hint="eastAsia"/>
              </w:rPr>
              <w:t>S</w:t>
            </w:r>
            <w:r>
              <w:rPr>
                <w:rFonts w:hint="eastAsia"/>
                <w:vertAlign w:val="subscript"/>
              </w:rPr>
              <w:t>2</w:t>
            </w:r>
            <w:r>
              <w:rPr>
                <w:vertAlign w:val="subscript"/>
              </w:rPr>
              <w:t>-2</w:t>
            </w:r>
          </w:p>
        </w:tc>
        <w:tc>
          <w:tcPr>
            <w:tcW w:w="1190" w:type="pct"/>
            <w:vAlign w:val="center"/>
          </w:tcPr>
          <w:p w14:paraId="2214AC34">
            <w:pPr>
              <w:pStyle w:val="133"/>
              <w:rPr>
                <w:rFonts w:hint="eastAsia" w:ascii="宋体" w:hAnsi="宋体"/>
                <w:szCs w:val="21"/>
              </w:rPr>
            </w:pPr>
            <w:r>
              <w:rPr>
                <w:rFonts w:cs="Times New Roman"/>
                <w:szCs w:val="21"/>
              </w:rPr>
              <w:t>车间落料</w:t>
            </w:r>
          </w:p>
        </w:tc>
        <w:tc>
          <w:tcPr>
            <w:tcW w:w="1213" w:type="pct"/>
            <w:vAlign w:val="center"/>
          </w:tcPr>
          <w:p w14:paraId="0E1F095B">
            <w:pPr>
              <w:pStyle w:val="133"/>
              <w:rPr>
                <w:rFonts w:hint="eastAsia" w:ascii="宋体" w:hAnsi="宋体"/>
                <w:szCs w:val="21"/>
              </w:rPr>
            </w:pPr>
            <w:r>
              <w:rPr>
                <w:rFonts w:cs="Times New Roman"/>
                <w:szCs w:val="21"/>
              </w:rPr>
              <w:t>硅石、兰炭、球团</w:t>
            </w:r>
          </w:p>
        </w:tc>
        <w:tc>
          <w:tcPr>
            <w:tcW w:w="507" w:type="pct"/>
            <w:vAlign w:val="center"/>
          </w:tcPr>
          <w:p w14:paraId="57B69FF4">
            <w:pPr>
              <w:pStyle w:val="133"/>
            </w:pPr>
            <w:r>
              <w:rPr>
                <w:rFonts w:cs="Times New Roman"/>
                <w:szCs w:val="21"/>
              </w:rPr>
              <w:t>间歇</w:t>
            </w:r>
          </w:p>
        </w:tc>
        <w:tc>
          <w:tcPr>
            <w:tcW w:w="1303" w:type="pct"/>
            <w:vAlign w:val="center"/>
          </w:tcPr>
          <w:p w14:paraId="142340D0">
            <w:pPr>
              <w:pStyle w:val="133"/>
            </w:pPr>
            <w:r>
              <w:rPr>
                <w:rFonts w:cs="Times New Roman"/>
                <w:szCs w:val="21"/>
              </w:rPr>
              <w:t>回用于矿热炉</w:t>
            </w:r>
          </w:p>
        </w:tc>
      </w:tr>
      <w:tr w14:paraId="08EF9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16C2C93E">
            <w:pPr>
              <w:pStyle w:val="133"/>
            </w:pPr>
          </w:p>
        </w:tc>
        <w:tc>
          <w:tcPr>
            <w:tcW w:w="448" w:type="pct"/>
            <w:vAlign w:val="center"/>
          </w:tcPr>
          <w:p w14:paraId="49AF0B51">
            <w:pPr>
              <w:pStyle w:val="133"/>
            </w:pPr>
            <w:r>
              <w:rPr>
                <w:rFonts w:hint="eastAsia"/>
              </w:rPr>
              <w:t>S</w:t>
            </w:r>
            <w:r>
              <w:rPr>
                <w:rFonts w:hint="eastAsia"/>
                <w:vertAlign w:val="subscript"/>
              </w:rPr>
              <w:t>2</w:t>
            </w:r>
            <w:r>
              <w:rPr>
                <w:vertAlign w:val="subscript"/>
              </w:rPr>
              <w:t>-3</w:t>
            </w:r>
          </w:p>
        </w:tc>
        <w:tc>
          <w:tcPr>
            <w:tcW w:w="1190" w:type="pct"/>
            <w:vAlign w:val="center"/>
          </w:tcPr>
          <w:p w14:paraId="5B51FA51">
            <w:pPr>
              <w:pStyle w:val="133"/>
            </w:pPr>
            <w:r>
              <w:rPr>
                <w:rFonts w:cs="Times New Roman"/>
                <w:szCs w:val="21"/>
              </w:rPr>
              <w:t>矿热炉硅渣</w:t>
            </w:r>
          </w:p>
        </w:tc>
        <w:tc>
          <w:tcPr>
            <w:tcW w:w="1213" w:type="pct"/>
            <w:vAlign w:val="center"/>
          </w:tcPr>
          <w:p w14:paraId="72FCD1BC">
            <w:pPr>
              <w:pStyle w:val="133"/>
            </w:pPr>
            <w:r>
              <w:rPr>
                <w:rFonts w:cs="Times New Roman"/>
                <w:szCs w:val="21"/>
              </w:rPr>
              <w:t>Si、Al、Fe</w:t>
            </w:r>
            <w:r>
              <w:rPr>
                <w:rFonts w:hint="eastAsia" w:cs="Times New Roman"/>
                <w:szCs w:val="21"/>
              </w:rPr>
              <w:t>等</w:t>
            </w:r>
          </w:p>
        </w:tc>
        <w:tc>
          <w:tcPr>
            <w:tcW w:w="507" w:type="pct"/>
            <w:vAlign w:val="center"/>
          </w:tcPr>
          <w:p w14:paraId="6807111B">
            <w:pPr>
              <w:pStyle w:val="133"/>
            </w:pPr>
            <w:r>
              <w:rPr>
                <w:rFonts w:cs="Times New Roman"/>
                <w:szCs w:val="21"/>
              </w:rPr>
              <w:t>间歇</w:t>
            </w:r>
          </w:p>
        </w:tc>
        <w:tc>
          <w:tcPr>
            <w:tcW w:w="1303" w:type="pct"/>
            <w:vAlign w:val="center"/>
          </w:tcPr>
          <w:p w14:paraId="722823BB">
            <w:pPr>
              <w:pStyle w:val="133"/>
            </w:pPr>
            <w:r>
              <w:rPr>
                <w:rFonts w:hint="eastAsia" w:cs="Times New Roman"/>
              </w:rPr>
              <w:t>厂外</w:t>
            </w:r>
            <w:r>
              <w:rPr>
                <w:rFonts w:cs="Times New Roman"/>
              </w:rPr>
              <w:t>综合利用</w:t>
            </w:r>
          </w:p>
        </w:tc>
      </w:tr>
      <w:tr w14:paraId="466B2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6BA00E6E">
            <w:pPr>
              <w:pStyle w:val="133"/>
            </w:pPr>
          </w:p>
        </w:tc>
        <w:tc>
          <w:tcPr>
            <w:tcW w:w="448" w:type="pct"/>
            <w:vAlign w:val="center"/>
          </w:tcPr>
          <w:p w14:paraId="765676D0">
            <w:pPr>
              <w:pStyle w:val="133"/>
            </w:pPr>
            <w:r>
              <w:rPr>
                <w:rFonts w:hint="eastAsia"/>
              </w:rPr>
              <w:t>S</w:t>
            </w:r>
            <w:r>
              <w:rPr>
                <w:rFonts w:hint="eastAsia"/>
                <w:vertAlign w:val="subscript"/>
              </w:rPr>
              <w:t>2</w:t>
            </w:r>
            <w:r>
              <w:rPr>
                <w:vertAlign w:val="subscript"/>
              </w:rPr>
              <w:t>-4</w:t>
            </w:r>
          </w:p>
        </w:tc>
        <w:tc>
          <w:tcPr>
            <w:tcW w:w="1190" w:type="pct"/>
            <w:vAlign w:val="center"/>
          </w:tcPr>
          <w:p w14:paraId="6E18F648">
            <w:pPr>
              <w:pStyle w:val="133"/>
            </w:pPr>
            <w:r>
              <w:rPr>
                <w:rFonts w:cs="Times New Roman"/>
                <w:szCs w:val="21"/>
              </w:rPr>
              <w:t>废耐火材料</w:t>
            </w:r>
          </w:p>
        </w:tc>
        <w:tc>
          <w:tcPr>
            <w:tcW w:w="1213" w:type="pct"/>
            <w:vAlign w:val="center"/>
          </w:tcPr>
          <w:p w14:paraId="4EAD1793">
            <w:pPr>
              <w:pStyle w:val="133"/>
            </w:pPr>
            <w:r>
              <w:rPr>
                <w:rFonts w:cs="Times New Roman"/>
                <w:szCs w:val="21"/>
              </w:rPr>
              <w:t>SiO</w:t>
            </w:r>
            <w:r>
              <w:rPr>
                <w:rFonts w:cs="Times New Roman"/>
                <w:szCs w:val="21"/>
                <w:vertAlign w:val="subscript"/>
              </w:rPr>
              <w:t>2</w:t>
            </w:r>
          </w:p>
        </w:tc>
        <w:tc>
          <w:tcPr>
            <w:tcW w:w="507" w:type="pct"/>
            <w:vAlign w:val="center"/>
          </w:tcPr>
          <w:p w14:paraId="616E4023">
            <w:pPr>
              <w:pStyle w:val="133"/>
            </w:pPr>
            <w:r>
              <w:rPr>
                <w:rFonts w:cs="Times New Roman"/>
                <w:szCs w:val="21"/>
              </w:rPr>
              <w:t>间歇</w:t>
            </w:r>
          </w:p>
        </w:tc>
        <w:tc>
          <w:tcPr>
            <w:tcW w:w="1303" w:type="pct"/>
            <w:vAlign w:val="center"/>
          </w:tcPr>
          <w:p w14:paraId="5D9F6178">
            <w:pPr>
              <w:pStyle w:val="133"/>
            </w:pPr>
            <w:r>
              <w:rPr>
                <w:rFonts w:hint="eastAsia" w:cs="Times New Roman"/>
              </w:rPr>
              <w:t>厂外</w:t>
            </w:r>
            <w:r>
              <w:rPr>
                <w:rFonts w:cs="Times New Roman"/>
              </w:rPr>
              <w:t>综合利用</w:t>
            </w:r>
          </w:p>
        </w:tc>
      </w:tr>
      <w:tr w14:paraId="10861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16FF235C">
            <w:pPr>
              <w:pStyle w:val="133"/>
            </w:pPr>
          </w:p>
        </w:tc>
        <w:tc>
          <w:tcPr>
            <w:tcW w:w="448" w:type="pct"/>
            <w:vAlign w:val="center"/>
          </w:tcPr>
          <w:p w14:paraId="54FC2E80">
            <w:pPr>
              <w:pStyle w:val="133"/>
            </w:pPr>
            <w:r>
              <w:rPr>
                <w:rFonts w:hint="eastAsia"/>
              </w:rPr>
              <w:t>S</w:t>
            </w:r>
            <w:r>
              <w:rPr>
                <w:rFonts w:hint="eastAsia"/>
                <w:vertAlign w:val="subscript"/>
              </w:rPr>
              <w:t>2</w:t>
            </w:r>
            <w:r>
              <w:rPr>
                <w:vertAlign w:val="subscript"/>
              </w:rPr>
              <w:t>-5</w:t>
            </w:r>
          </w:p>
        </w:tc>
        <w:tc>
          <w:tcPr>
            <w:tcW w:w="1190" w:type="pct"/>
            <w:vAlign w:val="center"/>
          </w:tcPr>
          <w:p w14:paraId="6990D989">
            <w:pPr>
              <w:pStyle w:val="133"/>
            </w:pPr>
            <w:r>
              <w:rPr>
                <w:rFonts w:cs="Times New Roman"/>
                <w:szCs w:val="21"/>
              </w:rPr>
              <w:t>废锭模</w:t>
            </w:r>
          </w:p>
        </w:tc>
        <w:tc>
          <w:tcPr>
            <w:tcW w:w="1213" w:type="pct"/>
            <w:vAlign w:val="center"/>
          </w:tcPr>
          <w:p w14:paraId="74F65254">
            <w:pPr>
              <w:pStyle w:val="133"/>
            </w:pPr>
            <w:r>
              <w:rPr>
                <w:rFonts w:cs="Times New Roman"/>
                <w:szCs w:val="21"/>
              </w:rPr>
              <w:t>铸铁</w:t>
            </w:r>
          </w:p>
        </w:tc>
        <w:tc>
          <w:tcPr>
            <w:tcW w:w="507" w:type="pct"/>
            <w:vAlign w:val="center"/>
          </w:tcPr>
          <w:p w14:paraId="28C1607F">
            <w:pPr>
              <w:pStyle w:val="133"/>
            </w:pPr>
            <w:r>
              <w:rPr>
                <w:rFonts w:cs="Times New Roman"/>
                <w:szCs w:val="21"/>
              </w:rPr>
              <w:t>间歇</w:t>
            </w:r>
          </w:p>
        </w:tc>
        <w:tc>
          <w:tcPr>
            <w:tcW w:w="1303" w:type="pct"/>
            <w:vAlign w:val="center"/>
          </w:tcPr>
          <w:p w14:paraId="1D9FA4E8">
            <w:pPr>
              <w:pStyle w:val="133"/>
            </w:pPr>
            <w:r>
              <w:rPr>
                <w:rFonts w:cs="Times New Roman"/>
                <w:szCs w:val="21"/>
              </w:rPr>
              <w:t>外售</w:t>
            </w:r>
          </w:p>
        </w:tc>
      </w:tr>
      <w:tr w14:paraId="18D09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0346EE97">
            <w:pPr>
              <w:pStyle w:val="133"/>
            </w:pPr>
          </w:p>
        </w:tc>
        <w:tc>
          <w:tcPr>
            <w:tcW w:w="448" w:type="pct"/>
            <w:vAlign w:val="center"/>
          </w:tcPr>
          <w:p w14:paraId="533BC6CF">
            <w:pPr>
              <w:pStyle w:val="133"/>
            </w:pPr>
            <w:r>
              <w:rPr>
                <w:rFonts w:hint="eastAsia"/>
              </w:rPr>
              <w:t>S</w:t>
            </w:r>
            <w:r>
              <w:rPr>
                <w:rFonts w:hint="eastAsia"/>
                <w:vertAlign w:val="subscript"/>
              </w:rPr>
              <w:t>2</w:t>
            </w:r>
            <w:r>
              <w:rPr>
                <w:vertAlign w:val="subscript"/>
              </w:rPr>
              <w:t>-6</w:t>
            </w:r>
          </w:p>
        </w:tc>
        <w:tc>
          <w:tcPr>
            <w:tcW w:w="1190" w:type="pct"/>
            <w:vAlign w:val="center"/>
          </w:tcPr>
          <w:p w14:paraId="3746D6A2">
            <w:pPr>
              <w:pStyle w:val="133"/>
            </w:pPr>
            <w:r>
              <w:rPr>
                <w:rFonts w:cs="Times New Roman"/>
                <w:szCs w:val="21"/>
              </w:rPr>
              <w:t>废布袋</w:t>
            </w:r>
          </w:p>
        </w:tc>
        <w:tc>
          <w:tcPr>
            <w:tcW w:w="1213" w:type="pct"/>
            <w:vAlign w:val="center"/>
          </w:tcPr>
          <w:p w14:paraId="33A4D0C1">
            <w:pPr>
              <w:pStyle w:val="133"/>
            </w:pPr>
            <w:r>
              <w:rPr>
                <w:rFonts w:cs="Times New Roman"/>
                <w:szCs w:val="21"/>
              </w:rPr>
              <w:t>涤纶、玻璃纤维</w:t>
            </w:r>
          </w:p>
        </w:tc>
        <w:tc>
          <w:tcPr>
            <w:tcW w:w="507" w:type="pct"/>
            <w:vAlign w:val="center"/>
          </w:tcPr>
          <w:p w14:paraId="54E95607">
            <w:pPr>
              <w:pStyle w:val="133"/>
            </w:pPr>
            <w:r>
              <w:rPr>
                <w:rFonts w:cs="Times New Roman"/>
                <w:szCs w:val="21"/>
              </w:rPr>
              <w:t>间歇</w:t>
            </w:r>
          </w:p>
        </w:tc>
        <w:tc>
          <w:tcPr>
            <w:tcW w:w="1303" w:type="pct"/>
            <w:vAlign w:val="center"/>
          </w:tcPr>
          <w:p w14:paraId="16962330">
            <w:pPr>
              <w:pStyle w:val="133"/>
            </w:pPr>
            <w:r>
              <w:rPr>
                <w:rFonts w:hint="eastAsia"/>
                <w:kern w:val="2"/>
                <w:szCs w:val="21"/>
              </w:rPr>
              <w:t>园区一般固废填埋场</w:t>
            </w:r>
          </w:p>
        </w:tc>
      </w:tr>
      <w:tr w14:paraId="4100B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154AD992">
            <w:pPr>
              <w:pStyle w:val="133"/>
            </w:pPr>
          </w:p>
        </w:tc>
        <w:tc>
          <w:tcPr>
            <w:tcW w:w="448" w:type="pct"/>
            <w:vAlign w:val="center"/>
          </w:tcPr>
          <w:p w14:paraId="73897E44">
            <w:pPr>
              <w:pStyle w:val="133"/>
            </w:pPr>
            <w:r>
              <w:rPr>
                <w:rFonts w:hint="eastAsia"/>
              </w:rPr>
              <w:t>S</w:t>
            </w:r>
            <w:r>
              <w:rPr>
                <w:rFonts w:hint="eastAsia"/>
                <w:vertAlign w:val="subscript"/>
              </w:rPr>
              <w:t>2</w:t>
            </w:r>
            <w:r>
              <w:rPr>
                <w:vertAlign w:val="subscript"/>
              </w:rPr>
              <w:t>-</w:t>
            </w:r>
            <w:r>
              <w:rPr>
                <w:rFonts w:hint="eastAsia"/>
                <w:vertAlign w:val="subscript"/>
              </w:rPr>
              <w:t>7</w:t>
            </w:r>
          </w:p>
        </w:tc>
        <w:tc>
          <w:tcPr>
            <w:tcW w:w="1190" w:type="pct"/>
            <w:vAlign w:val="center"/>
          </w:tcPr>
          <w:p w14:paraId="7CBDFACC">
            <w:pPr>
              <w:pStyle w:val="133"/>
            </w:pPr>
            <w:r>
              <w:rPr>
                <w:rFonts w:cs="Times New Roman"/>
                <w:szCs w:val="21"/>
              </w:rPr>
              <w:t>废</w:t>
            </w:r>
            <w:r>
              <w:rPr>
                <w:rFonts w:hint="eastAsia" w:cs="Times New Roman"/>
                <w:szCs w:val="21"/>
              </w:rPr>
              <w:t>树脂</w:t>
            </w:r>
          </w:p>
        </w:tc>
        <w:tc>
          <w:tcPr>
            <w:tcW w:w="1213" w:type="pct"/>
            <w:vAlign w:val="center"/>
          </w:tcPr>
          <w:p w14:paraId="1F4B6D4E">
            <w:pPr>
              <w:pStyle w:val="133"/>
            </w:pPr>
            <w:r>
              <w:rPr>
                <w:rFonts w:cs="Times New Roman"/>
                <w:szCs w:val="21"/>
              </w:rPr>
              <w:t>树脂材料</w:t>
            </w:r>
          </w:p>
        </w:tc>
        <w:tc>
          <w:tcPr>
            <w:tcW w:w="507" w:type="pct"/>
            <w:vAlign w:val="center"/>
          </w:tcPr>
          <w:p w14:paraId="2BAD134B">
            <w:pPr>
              <w:pStyle w:val="133"/>
            </w:pPr>
            <w:r>
              <w:rPr>
                <w:rFonts w:cs="Times New Roman"/>
                <w:szCs w:val="21"/>
              </w:rPr>
              <w:t>间歇</w:t>
            </w:r>
          </w:p>
        </w:tc>
        <w:tc>
          <w:tcPr>
            <w:tcW w:w="1303" w:type="pct"/>
            <w:vAlign w:val="center"/>
          </w:tcPr>
          <w:p w14:paraId="29C9E270">
            <w:pPr>
              <w:pStyle w:val="133"/>
            </w:pPr>
            <w:r>
              <w:rPr>
                <w:rFonts w:cs="Times New Roman"/>
                <w:szCs w:val="21"/>
              </w:rPr>
              <w:t>厂家回收</w:t>
            </w:r>
          </w:p>
        </w:tc>
      </w:tr>
      <w:tr w14:paraId="0634E4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52EEA87E">
            <w:pPr>
              <w:pStyle w:val="133"/>
            </w:pPr>
          </w:p>
        </w:tc>
        <w:tc>
          <w:tcPr>
            <w:tcW w:w="448" w:type="pct"/>
            <w:vAlign w:val="center"/>
          </w:tcPr>
          <w:p w14:paraId="28C2C736">
            <w:pPr>
              <w:pStyle w:val="133"/>
            </w:pPr>
            <w:r>
              <w:rPr>
                <w:rFonts w:hint="eastAsia"/>
              </w:rPr>
              <w:t>S</w:t>
            </w:r>
            <w:r>
              <w:rPr>
                <w:rFonts w:hint="eastAsia"/>
                <w:vertAlign w:val="subscript"/>
              </w:rPr>
              <w:t>2</w:t>
            </w:r>
            <w:r>
              <w:rPr>
                <w:vertAlign w:val="subscript"/>
              </w:rPr>
              <w:t>-</w:t>
            </w:r>
            <w:r>
              <w:rPr>
                <w:rFonts w:hint="eastAsia"/>
                <w:vertAlign w:val="subscript"/>
              </w:rPr>
              <w:t>8</w:t>
            </w:r>
          </w:p>
        </w:tc>
        <w:tc>
          <w:tcPr>
            <w:tcW w:w="1190" w:type="pct"/>
            <w:vAlign w:val="center"/>
          </w:tcPr>
          <w:p w14:paraId="53612980">
            <w:pPr>
              <w:pStyle w:val="133"/>
              <w:rPr>
                <w:rFonts w:hint="eastAsia" w:ascii="宋体" w:hAnsi="宋体"/>
                <w:szCs w:val="21"/>
              </w:rPr>
            </w:pPr>
            <w:r>
              <w:rPr>
                <w:rFonts w:cs="Times New Roman"/>
                <w:szCs w:val="21"/>
              </w:rPr>
              <w:t>废润滑油</w:t>
            </w:r>
          </w:p>
        </w:tc>
        <w:tc>
          <w:tcPr>
            <w:tcW w:w="1213" w:type="pct"/>
            <w:vAlign w:val="center"/>
          </w:tcPr>
          <w:p w14:paraId="5181E6E5">
            <w:pPr>
              <w:pStyle w:val="133"/>
              <w:rPr>
                <w:rFonts w:hint="eastAsia" w:ascii="宋体" w:hAnsi="宋体"/>
                <w:szCs w:val="21"/>
              </w:rPr>
            </w:pPr>
            <w:r>
              <w:rPr>
                <w:rFonts w:cs="Times New Roman"/>
                <w:szCs w:val="21"/>
              </w:rPr>
              <w:t>润滑油</w:t>
            </w:r>
          </w:p>
        </w:tc>
        <w:tc>
          <w:tcPr>
            <w:tcW w:w="507" w:type="pct"/>
            <w:vAlign w:val="center"/>
          </w:tcPr>
          <w:p w14:paraId="7F83BF65">
            <w:pPr>
              <w:pStyle w:val="133"/>
            </w:pPr>
            <w:r>
              <w:rPr>
                <w:rFonts w:cs="Times New Roman"/>
                <w:szCs w:val="21"/>
              </w:rPr>
              <w:t>间歇</w:t>
            </w:r>
          </w:p>
        </w:tc>
        <w:tc>
          <w:tcPr>
            <w:tcW w:w="1303" w:type="pct"/>
            <w:vAlign w:val="center"/>
          </w:tcPr>
          <w:p w14:paraId="7C528E95">
            <w:pPr>
              <w:pStyle w:val="133"/>
            </w:pPr>
            <w:r>
              <w:rPr>
                <w:rFonts w:hint="eastAsia" w:cs="Times New Roman"/>
                <w:szCs w:val="21"/>
              </w:rPr>
              <w:t>资质单位处置</w:t>
            </w:r>
          </w:p>
        </w:tc>
      </w:tr>
      <w:tr w14:paraId="56C3B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Merge w:val="continue"/>
            <w:vAlign w:val="center"/>
          </w:tcPr>
          <w:p w14:paraId="363F99F0">
            <w:pPr>
              <w:pStyle w:val="133"/>
            </w:pPr>
          </w:p>
        </w:tc>
        <w:tc>
          <w:tcPr>
            <w:tcW w:w="448" w:type="pct"/>
            <w:vAlign w:val="center"/>
          </w:tcPr>
          <w:p w14:paraId="4101625B">
            <w:pPr>
              <w:pStyle w:val="133"/>
            </w:pPr>
            <w:r>
              <w:rPr>
                <w:rFonts w:hint="eastAsia"/>
              </w:rPr>
              <w:t>S</w:t>
            </w:r>
            <w:r>
              <w:rPr>
                <w:rFonts w:hint="eastAsia"/>
                <w:vertAlign w:val="subscript"/>
              </w:rPr>
              <w:t>2</w:t>
            </w:r>
            <w:r>
              <w:rPr>
                <w:vertAlign w:val="subscript"/>
              </w:rPr>
              <w:t>-</w:t>
            </w:r>
            <w:r>
              <w:rPr>
                <w:rFonts w:hint="eastAsia"/>
                <w:vertAlign w:val="subscript"/>
              </w:rPr>
              <w:t>9</w:t>
            </w:r>
          </w:p>
        </w:tc>
        <w:tc>
          <w:tcPr>
            <w:tcW w:w="1190" w:type="pct"/>
            <w:vAlign w:val="center"/>
          </w:tcPr>
          <w:p w14:paraId="6D27128D">
            <w:pPr>
              <w:pStyle w:val="133"/>
              <w:rPr>
                <w:rFonts w:cs="Times New Roman"/>
                <w:szCs w:val="21"/>
              </w:rPr>
            </w:pPr>
            <w:r>
              <w:rPr>
                <w:rFonts w:cs="Times New Roman"/>
                <w:szCs w:val="21"/>
              </w:rPr>
              <w:t>废油桶</w:t>
            </w:r>
          </w:p>
        </w:tc>
        <w:tc>
          <w:tcPr>
            <w:tcW w:w="1213" w:type="pct"/>
            <w:vAlign w:val="center"/>
          </w:tcPr>
          <w:p w14:paraId="0EFF8EBB">
            <w:pPr>
              <w:pStyle w:val="133"/>
              <w:rPr>
                <w:rFonts w:cs="Times New Roman"/>
                <w:szCs w:val="21"/>
              </w:rPr>
            </w:pPr>
            <w:r>
              <w:rPr>
                <w:rFonts w:cs="Times New Roman"/>
                <w:szCs w:val="21"/>
              </w:rPr>
              <w:t>铁桶</w:t>
            </w:r>
          </w:p>
        </w:tc>
        <w:tc>
          <w:tcPr>
            <w:tcW w:w="507" w:type="pct"/>
            <w:vAlign w:val="center"/>
          </w:tcPr>
          <w:p w14:paraId="7D1357CC">
            <w:pPr>
              <w:pStyle w:val="133"/>
              <w:rPr>
                <w:rFonts w:cs="Times New Roman"/>
                <w:szCs w:val="21"/>
              </w:rPr>
            </w:pPr>
            <w:r>
              <w:rPr>
                <w:rFonts w:cs="Times New Roman"/>
                <w:szCs w:val="21"/>
              </w:rPr>
              <w:t>间歇</w:t>
            </w:r>
          </w:p>
        </w:tc>
        <w:tc>
          <w:tcPr>
            <w:tcW w:w="1303" w:type="pct"/>
            <w:vAlign w:val="center"/>
          </w:tcPr>
          <w:p w14:paraId="6A1C3254">
            <w:pPr>
              <w:pStyle w:val="133"/>
              <w:rPr>
                <w:rFonts w:cs="Times New Roman"/>
                <w:szCs w:val="21"/>
              </w:rPr>
            </w:pPr>
            <w:r>
              <w:rPr>
                <w:rFonts w:cs="Times New Roman"/>
                <w:szCs w:val="21"/>
              </w:rPr>
              <w:t>资质单位处置</w:t>
            </w:r>
          </w:p>
        </w:tc>
      </w:tr>
      <w:tr w14:paraId="573E42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39" w:type="pct"/>
            <w:vAlign w:val="center"/>
          </w:tcPr>
          <w:p w14:paraId="2E8BA71A">
            <w:pPr>
              <w:pStyle w:val="133"/>
            </w:pPr>
            <w:r>
              <w:t>噪声</w:t>
            </w:r>
          </w:p>
        </w:tc>
        <w:tc>
          <w:tcPr>
            <w:tcW w:w="448" w:type="pct"/>
            <w:vAlign w:val="center"/>
          </w:tcPr>
          <w:p w14:paraId="3E966F88">
            <w:pPr>
              <w:pStyle w:val="133"/>
            </w:pPr>
            <w:r>
              <w:t>N</w:t>
            </w:r>
            <w:r>
              <w:rPr>
                <w:rFonts w:hint="eastAsia"/>
                <w:vertAlign w:val="subscript"/>
              </w:rPr>
              <w:t>2</w:t>
            </w:r>
            <w:r>
              <w:rPr>
                <w:vertAlign w:val="subscript"/>
              </w:rPr>
              <w:t>-</w:t>
            </w:r>
            <w:r>
              <w:rPr>
                <w:rFonts w:hint="eastAsia"/>
                <w:vertAlign w:val="subscript"/>
              </w:rPr>
              <w:t>1</w:t>
            </w:r>
          </w:p>
        </w:tc>
        <w:tc>
          <w:tcPr>
            <w:tcW w:w="1190" w:type="pct"/>
            <w:vAlign w:val="center"/>
          </w:tcPr>
          <w:p w14:paraId="2C417B24">
            <w:pPr>
              <w:pStyle w:val="133"/>
            </w:pPr>
            <w:r>
              <w:rPr>
                <w:rFonts w:hint="eastAsia"/>
              </w:rPr>
              <w:t>破碎机</w:t>
            </w:r>
            <w:r>
              <w:t>、风机</w:t>
            </w:r>
            <w:r>
              <w:rPr>
                <w:rFonts w:hint="eastAsia"/>
              </w:rPr>
              <w:t>、机泵</w:t>
            </w:r>
            <w:r>
              <w:t>等</w:t>
            </w:r>
          </w:p>
        </w:tc>
        <w:tc>
          <w:tcPr>
            <w:tcW w:w="1213" w:type="pct"/>
            <w:vAlign w:val="center"/>
          </w:tcPr>
          <w:p w14:paraId="671DD989">
            <w:pPr>
              <w:pStyle w:val="133"/>
            </w:pPr>
            <w:r>
              <w:t>噪声级75～90dB</w:t>
            </w:r>
          </w:p>
        </w:tc>
        <w:tc>
          <w:tcPr>
            <w:tcW w:w="507" w:type="pct"/>
            <w:vAlign w:val="center"/>
          </w:tcPr>
          <w:p w14:paraId="7F2F4537">
            <w:pPr>
              <w:pStyle w:val="133"/>
            </w:pPr>
            <w:r>
              <w:t>连续</w:t>
            </w:r>
          </w:p>
        </w:tc>
        <w:tc>
          <w:tcPr>
            <w:tcW w:w="1303" w:type="pct"/>
            <w:vAlign w:val="center"/>
          </w:tcPr>
          <w:p w14:paraId="537F5720">
            <w:pPr>
              <w:pStyle w:val="133"/>
            </w:pPr>
            <w:r>
              <w:t>减震、隔声措施</w:t>
            </w:r>
          </w:p>
        </w:tc>
      </w:tr>
    </w:tbl>
    <w:p w14:paraId="0A7B2410">
      <w:pPr>
        <w:pStyle w:val="117"/>
        <w:ind w:firstLine="480"/>
      </w:pPr>
    </w:p>
    <w:p w14:paraId="31231EE7">
      <w:pPr>
        <w:pStyle w:val="138"/>
        <w:rPr>
          <w:rFonts w:hint="eastAsia"/>
        </w:rPr>
      </w:pPr>
      <w:r>
        <w:rPr>
          <w:rFonts w:hint="eastAsia"/>
        </w:rPr>
        <w:t>原辅材料及资源能源消耗</w:t>
      </w:r>
    </w:p>
    <w:p w14:paraId="2B655A63">
      <w:pPr>
        <w:pStyle w:val="944"/>
      </w:pPr>
      <w:r>
        <w:rPr>
          <w:rFonts w:hint="eastAsia"/>
        </w:rPr>
        <w:t>原辅材料及公用工程消耗</w:t>
      </w:r>
    </w:p>
    <w:p w14:paraId="6A4952F7">
      <w:pPr>
        <w:pStyle w:val="117"/>
        <w:ind w:firstLine="480"/>
      </w:pPr>
      <w:r>
        <w:t>本装置硅铁</w:t>
      </w:r>
      <w:r>
        <w:rPr>
          <w:rFonts w:hint="eastAsia"/>
        </w:rPr>
        <w:t>合金产量为5.6万t/a，原料及公用工程消耗见表3.4-2</w:t>
      </w:r>
      <w:r>
        <w:rPr>
          <w:spacing w:val="-3"/>
        </w:rPr>
        <w:t>。</w:t>
      </w:r>
    </w:p>
    <w:p w14:paraId="1A00C71E">
      <w:pPr>
        <w:pStyle w:val="118"/>
      </w:pPr>
      <w:r>
        <w:t>表</w:t>
      </w:r>
      <w:r>
        <w:rPr>
          <w:rFonts w:hint="eastAsia"/>
        </w:rPr>
        <w:t>3.4-2</w:t>
      </w:r>
      <w:r>
        <w:t xml:space="preserve">    硅铁生产原材料及动力消耗</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40"/>
        <w:gridCol w:w="1493"/>
        <w:gridCol w:w="750"/>
        <w:gridCol w:w="1432"/>
        <w:gridCol w:w="1554"/>
        <w:gridCol w:w="1553"/>
      </w:tblGrid>
      <w:tr w14:paraId="72713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restart"/>
            <w:vAlign w:val="center"/>
          </w:tcPr>
          <w:p w14:paraId="2AE38744">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序号</w:t>
            </w:r>
          </w:p>
        </w:tc>
        <w:tc>
          <w:tcPr>
            <w:tcW w:w="876" w:type="pct"/>
            <w:vMerge w:val="restart"/>
            <w:vAlign w:val="center"/>
          </w:tcPr>
          <w:p w14:paraId="75C90C79">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名称及规格</w:t>
            </w:r>
          </w:p>
        </w:tc>
        <w:tc>
          <w:tcPr>
            <w:tcW w:w="440" w:type="pct"/>
            <w:vMerge w:val="restart"/>
            <w:vAlign w:val="center"/>
          </w:tcPr>
          <w:p w14:paraId="3CF076D1">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单位</w:t>
            </w:r>
          </w:p>
        </w:tc>
        <w:tc>
          <w:tcPr>
            <w:tcW w:w="2664" w:type="pct"/>
            <w:gridSpan w:val="3"/>
            <w:vAlign w:val="center"/>
          </w:tcPr>
          <w:p w14:paraId="700B0950">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消耗量</w:t>
            </w:r>
          </w:p>
        </w:tc>
      </w:tr>
      <w:tr w14:paraId="13370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7C4A706B">
            <w:pPr>
              <w:widowControl/>
              <w:spacing w:line="240" w:lineRule="auto"/>
              <w:ind w:firstLine="0" w:firstLineChars="0"/>
              <w:jc w:val="left"/>
              <w:rPr>
                <w:rFonts w:hint="eastAsia" w:ascii="宋体" w:hAnsi="宋体" w:cs="宋体"/>
                <w:b/>
                <w:bCs/>
                <w:color w:val="000000"/>
                <w:sz w:val="21"/>
                <w:szCs w:val="21"/>
              </w:rPr>
            </w:pPr>
          </w:p>
        </w:tc>
        <w:tc>
          <w:tcPr>
            <w:tcW w:w="876" w:type="pct"/>
            <w:vMerge w:val="continue"/>
            <w:vAlign w:val="center"/>
          </w:tcPr>
          <w:p w14:paraId="4EC7AB49">
            <w:pPr>
              <w:widowControl/>
              <w:spacing w:line="240" w:lineRule="auto"/>
              <w:ind w:firstLine="0" w:firstLineChars="0"/>
              <w:jc w:val="left"/>
              <w:rPr>
                <w:rFonts w:hint="eastAsia" w:ascii="宋体" w:hAnsi="宋体" w:cs="宋体"/>
                <w:b/>
                <w:bCs/>
                <w:color w:val="000000"/>
                <w:sz w:val="21"/>
                <w:szCs w:val="21"/>
              </w:rPr>
            </w:pPr>
          </w:p>
        </w:tc>
        <w:tc>
          <w:tcPr>
            <w:tcW w:w="440" w:type="pct"/>
            <w:vMerge w:val="continue"/>
            <w:vAlign w:val="center"/>
          </w:tcPr>
          <w:p w14:paraId="5D02F772">
            <w:pPr>
              <w:widowControl/>
              <w:spacing w:line="240" w:lineRule="auto"/>
              <w:ind w:firstLine="0" w:firstLineChars="0"/>
              <w:jc w:val="left"/>
              <w:rPr>
                <w:rFonts w:hint="eastAsia" w:ascii="宋体" w:hAnsi="宋体" w:cs="宋体"/>
                <w:b/>
                <w:bCs/>
                <w:color w:val="000000"/>
                <w:sz w:val="21"/>
                <w:szCs w:val="21"/>
              </w:rPr>
            </w:pPr>
          </w:p>
        </w:tc>
        <w:tc>
          <w:tcPr>
            <w:tcW w:w="840" w:type="pct"/>
            <w:vAlign w:val="center"/>
          </w:tcPr>
          <w:p w14:paraId="55DBA7C8">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吨耗</w:t>
            </w:r>
          </w:p>
        </w:tc>
        <w:tc>
          <w:tcPr>
            <w:tcW w:w="912" w:type="pct"/>
            <w:vAlign w:val="center"/>
          </w:tcPr>
          <w:p w14:paraId="66C0758D">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时耗</w:t>
            </w:r>
          </w:p>
        </w:tc>
        <w:tc>
          <w:tcPr>
            <w:tcW w:w="912" w:type="pct"/>
            <w:vAlign w:val="center"/>
          </w:tcPr>
          <w:p w14:paraId="006A9085">
            <w:pPr>
              <w:widowControl/>
              <w:spacing w:line="240" w:lineRule="auto"/>
              <w:ind w:firstLine="0" w:firstLineChars="0"/>
              <w:jc w:val="center"/>
              <w:rPr>
                <w:rFonts w:hint="eastAsia" w:ascii="宋体" w:hAnsi="宋体" w:cs="宋体"/>
                <w:b/>
                <w:bCs/>
                <w:color w:val="000000"/>
                <w:sz w:val="21"/>
                <w:szCs w:val="21"/>
              </w:rPr>
            </w:pPr>
            <w:r>
              <w:rPr>
                <w:rFonts w:hint="eastAsia" w:ascii="宋体" w:hAnsi="宋体" w:cs="宋体"/>
                <w:b/>
                <w:bCs/>
                <w:color w:val="000000"/>
                <w:sz w:val="21"/>
                <w:szCs w:val="21"/>
              </w:rPr>
              <w:t>年耗</w:t>
            </w:r>
          </w:p>
        </w:tc>
      </w:tr>
      <w:tr w14:paraId="71394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restart"/>
            <w:vAlign w:val="center"/>
          </w:tcPr>
          <w:p w14:paraId="400EB197">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原辅材料</w:t>
            </w:r>
          </w:p>
        </w:tc>
        <w:tc>
          <w:tcPr>
            <w:tcW w:w="876" w:type="pct"/>
            <w:vAlign w:val="center"/>
          </w:tcPr>
          <w:p w14:paraId="0EBFBAC6">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硅石</w:t>
            </w:r>
          </w:p>
        </w:tc>
        <w:tc>
          <w:tcPr>
            <w:tcW w:w="440" w:type="pct"/>
            <w:vAlign w:val="center"/>
          </w:tcPr>
          <w:p w14:paraId="6C6CEFAE">
            <w:pPr>
              <w:widowControl/>
              <w:spacing w:line="240" w:lineRule="auto"/>
              <w:ind w:firstLine="0" w:firstLineChars="0"/>
              <w:jc w:val="center"/>
              <w:rPr>
                <w:rFonts w:eastAsia="等线"/>
                <w:color w:val="000000"/>
                <w:sz w:val="21"/>
                <w:szCs w:val="21"/>
              </w:rPr>
            </w:pPr>
            <w:r>
              <w:rPr>
                <w:rFonts w:eastAsia="等线"/>
                <w:color w:val="000000"/>
                <w:sz w:val="21"/>
                <w:szCs w:val="21"/>
              </w:rPr>
              <w:t>t</w:t>
            </w:r>
          </w:p>
        </w:tc>
        <w:tc>
          <w:tcPr>
            <w:tcW w:w="840" w:type="pct"/>
            <w:vAlign w:val="center"/>
          </w:tcPr>
          <w:p w14:paraId="2A33D76E">
            <w:pPr>
              <w:widowControl/>
              <w:spacing w:line="240" w:lineRule="auto"/>
              <w:ind w:firstLine="0" w:firstLineChars="0"/>
              <w:jc w:val="center"/>
              <w:rPr>
                <w:rFonts w:eastAsia="等线"/>
                <w:color w:val="000000"/>
                <w:sz w:val="21"/>
                <w:szCs w:val="21"/>
              </w:rPr>
            </w:pPr>
            <w:r>
              <w:rPr>
                <w:rFonts w:eastAsia="等线"/>
                <w:color w:val="000000"/>
                <w:sz w:val="21"/>
                <w:szCs w:val="21"/>
              </w:rPr>
              <w:t>1800.07</w:t>
            </w:r>
          </w:p>
        </w:tc>
        <w:tc>
          <w:tcPr>
            <w:tcW w:w="912" w:type="pct"/>
            <w:vAlign w:val="center"/>
          </w:tcPr>
          <w:p w14:paraId="21DC5C1F">
            <w:pPr>
              <w:widowControl/>
              <w:spacing w:line="240" w:lineRule="auto"/>
              <w:ind w:firstLine="0" w:firstLineChars="0"/>
              <w:jc w:val="center"/>
              <w:rPr>
                <w:rFonts w:eastAsia="等线"/>
                <w:color w:val="000000"/>
                <w:sz w:val="21"/>
                <w:szCs w:val="21"/>
              </w:rPr>
            </w:pPr>
            <w:r>
              <w:rPr>
                <w:rFonts w:eastAsia="等线"/>
                <w:color w:val="000000"/>
                <w:sz w:val="21"/>
                <w:szCs w:val="21"/>
              </w:rPr>
              <w:t>12.4475</w:t>
            </w:r>
          </w:p>
        </w:tc>
        <w:tc>
          <w:tcPr>
            <w:tcW w:w="912" w:type="pct"/>
            <w:vAlign w:val="center"/>
          </w:tcPr>
          <w:p w14:paraId="1DC6DDD7">
            <w:pPr>
              <w:widowControl/>
              <w:spacing w:line="240" w:lineRule="auto"/>
              <w:ind w:firstLine="0" w:firstLineChars="0"/>
              <w:jc w:val="center"/>
              <w:rPr>
                <w:rFonts w:eastAsia="等线"/>
                <w:color w:val="000000"/>
                <w:sz w:val="21"/>
                <w:szCs w:val="21"/>
              </w:rPr>
            </w:pPr>
            <w:r>
              <w:rPr>
                <w:rFonts w:eastAsia="等线"/>
                <w:color w:val="000000"/>
                <w:sz w:val="21"/>
                <w:szCs w:val="21"/>
              </w:rPr>
              <w:t>99580</w:t>
            </w:r>
          </w:p>
        </w:tc>
      </w:tr>
      <w:tr w14:paraId="0851AD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3E4C1FA4">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0966AF39">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兰炭</w:t>
            </w:r>
          </w:p>
        </w:tc>
        <w:tc>
          <w:tcPr>
            <w:tcW w:w="440" w:type="pct"/>
            <w:vAlign w:val="center"/>
          </w:tcPr>
          <w:p w14:paraId="435CCC9D">
            <w:pPr>
              <w:widowControl/>
              <w:spacing w:line="240" w:lineRule="auto"/>
              <w:ind w:firstLine="0" w:firstLineChars="0"/>
              <w:jc w:val="center"/>
              <w:rPr>
                <w:rFonts w:eastAsia="等线"/>
                <w:color w:val="000000"/>
                <w:sz w:val="21"/>
                <w:szCs w:val="21"/>
              </w:rPr>
            </w:pPr>
            <w:r>
              <w:rPr>
                <w:rFonts w:eastAsia="等线"/>
                <w:color w:val="000000"/>
                <w:sz w:val="21"/>
                <w:szCs w:val="21"/>
              </w:rPr>
              <w:t>t</w:t>
            </w:r>
          </w:p>
        </w:tc>
        <w:tc>
          <w:tcPr>
            <w:tcW w:w="840" w:type="pct"/>
            <w:vAlign w:val="center"/>
          </w:tcPr>
          <w:p w14:paraId="5A2271A2">
            <w:pPr>
              <w:widowControl/>
              <w:spacing w:line="240" w:lineRule="auto"/>
              <w:ind w:firstLine="0" w:firstLineChars="0"/>
              <w:jc w:val="center"/>
              <w:rPr>
                <w:rFonts w:eastAsia="等线"/>
                <w:color w:val="000000"/>
                <w:sz w:val="21"/>
                <w:szCs w:val="21"/>
              </w:rPr>
            </w:pPr>
            <w:r>
              <w:rPr>
                <w:rFonts w:eastAsia="等线"/>
                <w:color w:val="000000"/>
                <w:sz w:val="21"/>
                <w:szCs w:val="21"/>
              </w:rPr>
              <w:t>1012.29</w:t>
            </w:r>
          </w:p>
        </w:tc>
        <w:tc>
          <w:tcPr>
            <w:tcW w:w="912" w:type="pct"/>
            <w:vAlign w:val="center"/>
          </w:tcPr>
          <w:p w14:paraId="766E4271">
            <w:pPr>
              <w:widowControl/>
              <w:spacing w:line="240" w:lineRule="auto"/>
              <w:ind w:firstLine="0" w:firstLineChars="0"/>
              <w:jc w:val="center"/>
              <w:rPr>
                <w:rFonts w:eastAsia="等线"/>
                <w:color w:val="000000"/>
                <w:sz w:val="21"/>
                <w:szCs w:val="21"/>
              </w:rPr>
            </w:pPr>
            <w:r>
              <w:rPr>
                <w:rFonts w:eastAsia="等线"/>
                <w:color w:val="000000"/>
                <w:sz w:val="21"/>
                <w:szCs w:val="21"/>
              </w:rPr>
              <w:t>7</w:t>
            </w:r>
          </w:p>
        </w:tc>
        <w:tc>
          <w:tcPr>
            <w:tcW w:w="912" w:type="pct"/>
            <w:vAlign w:val="center"/>
          </w:tcPr>
          <w:p w14:paraId="7EF7ED25">
            <w:pPr>
              <w:widowControl/>
              <w:spacing w:line="240" w:lineRule="auto"/>
              <w:ind w:firstLine="0" w:firstLineChars="0"/>
              <w:jc w:val="center"/>
              <w:rPr>
                <w:rFonts w:eastAsia="等线"/>
                <w:color w:val="000000"/>
                <w:sz w:val="21"/>
                <w:szCs w:val="21"/>
              </w:rPr>
            </w:pPr>
            <w:r>
              <w:rPr>
                <w:rFonts w:eastAsia="等线"/>
                <w:color w:val="000000"/>
                <w:sz w:val="21"/>
                <w:szCs w:val="21"/>
              </w:rPr>
              <w:t>56000</w:t>
            </w:r>
          </w:p>
        </w:tc>
      </w:tr>
      <w:tr w14:paraId="245F6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407F102B">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659C262C">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铁矿球团</w:t>
            </w:r>
          </w:p>
        </w:tc>
        <w:tc>
          <w:tcPr>
            <w:tcW w:w="440" w:type="pct"/>
            <w:vAlign w:val="center"/>
          </w:tcPr>
          <w:p w14:paraId="32715D0C">
            <w:pPr>
              <w:widowControl/>
              <w:spacing w:line="240" w:lineRule="auto"/>
              <w:ind w:firstLine="0" w:firstLineChars="0"/>
              <w:jc w:val="center"/>
              <w:rPr>
                <w:rFonts w:eastAsia="等线"/>
                <w:color w:val="000000"/>
                <w:sz w:val="21"/>
                <w:szCs w:val="21"/>
              </w:rPr>
            </w:pPr>
            <w:r>
              <w:rPr>
                <w:rFonts w:eastAsia="等线"/>
                <w:color w:val="000000"/>
                <w:sz w:val="21"/>
                <w:szCs w:val="21"/>
              </w:rPr>
              <w:t>t</w:t>
            </w:r>
          </w:p>
        </w:tc>
        <w:tc>
          <w:tcPr>
            <w:tcW w:w="840" w:type="pct"/>
            <w:vAlign w:val="center"/>
          </w:tcPr>
          <w:p w14:paraId="420B60E3">
            <w:pPr>
              <w:widowControl/>
              <w:spacing w:line="240" w:lineRule="auto"/>
              <w:ind w:firstLine="0" w:firstLineChars="0"/>
              <w:jc w:val="center"/>
              <w:rPr>
                <w:rFonts w:eastAsia="等线"/>
                <w:color w:val="000000"/>
                <w:sz w:val="21"/>
                <w:szCs w:val="21"/>
              </w:rPr>
            </w:pPr>
            <w:r>
              <w:rPr>
                <w:rFonts w:eastAsia="等线"/>
                <w:color w:val="000000"/>
                <w:sz w:val="21"/>
                <w:szCs w:val="21"/>
              </w:rPr>
              <w:t>349.96</w:t>
            </w:r>
          </w:p>
        </w:tc>
        <w:tc>
          <w:tcPr>
            <w:tcW w:w="912" w:type="pct"/>
            <w:vAlign w:val="center"/>
          </w:tcPr>
          <w:p w14:paraId="4990C1E6">
            <w:pPr>
              <w:widowControl/>
              <w:spacing w:line="240" w:lineRule="auto"/>
              <w:ind w:firstLine="0" w:firstLineChars="0"/>
              <w:jc w:val="center"/>
              <w:rPr>
                <w:rFonts w:eastAsia="等线"/>
                <w:color w:val="000000"/>
                <w:sz w:val="21"/>
                <w:szCs w:val="21"/>
              </w:rPr>
            </w:pPr>
            <w:r>
              <w:rPr>
                <w:rFonts w:eastAsia="等线"/>
                <w:color w:val="000000"/>
                <w:sz w:val="21"/>
                <w:szCs w:val="21"/>
              </w:rPr>
              <w:t>2.42</w:t>
            </w:r>
          </w:p>
        </w:tc>
        <w:tc>
          <w:tcPr>
            <w:tcW w:w="912" w:type="pct"/>
            <w:vAlign w:val="center"/>
          </w:tcPr>
          <w:p w14:paraId="516B81CD">
            <w:pPr>
              <w:widowControl/>
              <w:spacing w:line="240" w:lineRule="auto"/>
              <w:ind w:firstLine="0" w:firstLineChars="0"/>
              <w:jc w:val="center"/>
              <w:rPr>
                <w:rFonts w:eastAsia="等线"/>
                <w:color w:val="000000"/>
                <w:sz w:val="21"/>
                <w:szCs w:val="21"/>
              </w:rPr>
            </w:pPr>
            <w:r>
              <w:rPr>
                <w:rFonts w:eastAsia="等线"/>
                <w:color w:val="000000"/>
                <w:sz w:val="21"/>
                <w:szCs w:val="21"/>
              </w:rPr>
              <w:t>19360</w:t>
            </w:r>
          </w:p>
        </w:tc>
      </w:tr>
      <w:tr w14:paraId="020D7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7B46ECDA">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6AF97016">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电极糊</w:t>
            </w:r>
          </w:p>
        </w:tc>
        <w:tc>
          <w:tcPr>
            <w:tcW w:w="440" w:type="pct"/>
            <w:vAlign w:val="center"/>
          </w:tcPr>
          <w:p w14:paraId="7E4DF6CC">
            <w:pPr>
              <w:widowControl/>
              <w:spacing w:line="240" w:lineRule="auto"/>
              <w:ind w:firstLine="0" w:firstLineChars="0"/>
              <w:jc w:val="center"/>
              <w:rPr>
                <w:rFonts w:eastAsia="等线"/>
                <w:color w:val="000000"/>
                <w:sz w:val="21"/>
                <w:szCs w:val="21"/>
              </w:rPr>
            </w:pPr>
            <w:r>
              <w:rPr>
                <w:rFonts w:eastAsia="等线"/>
                <w:color w:val="000000"/>
                <w:sz w:val="21"/>
                <w:szCs w:val="21"/>
              </w:rPr>
              <w:t>t</w:t>
            </w:r>
          </w:p>
        </w:tc>
        <w:tc>
          <w:tcPr>
            <w:tcW w:w="840" w:type="pct"/>
            <w:vAlign w:val="center"/>
          </w:tcPr>
          <w:p w14:paraId="1001E53A">
            <w:pPr>
              <w:widowControl/>
              <w:spacing w:line="240" w:lineRule="auto"/>
              <w:ind w:firstLine="0" w:firstLineChars="0"/>
              <w:jc w:val="center"/>
              <w:rPr>
                <w:rFonts w:eastAsia="等线"/>
                <w:color w:val="000000"/>
                <w:sz w:val="21"/>
                <w:szCs w:val="21"/>
              </w:rPr>
            </w:pPr>
            <w:r>
              <w:rPr>
                <w:rFonts w:eastAsia="等线"/>
                <w:color w:val="000000"/>
                <w:sz w:val="21"/>
                <w:szCs w:val="21"/>
              </w:rPr>
              <w:t>50.61</w:t>
            </w:r>
          </w:p>
        </w:tc>
        <w:tc>
          <w:tcPr>
            <w:tcW w:w="912" w:type="pct"/>
            <w:vAlign w:val="center"/>
          </w:tcPr>
          <w:p w14:paraId="33C391F3">
            <w:pPr>
              <w:widowControl/>
              <w:spacing w:line="240" w:lineRule="auto"/>
              <w:ind w:firstLine="0" w:firstLineChars="0"/>
              <w:jc w:val="center"/>
              <w:rPr>
                <w:rFonts w:eastAsia="等线"/>
                <w:color w:val="000000"/>
                <w:sz w:val="21"/>
                <w:szCs w:val="21"/>
              </w:rPr>
            </w:pPr>
            <w:r>
              <w:rPr>
                <w:rFonts w:eastAsia="等线"/>
                <w:color w:val="000000"/>
                <w:sz w:val="21"/>
                <w:szCs w:val="21"/>
              </w:rPr>
              <w:t>0.35</w:t>
            </w:r>
          </w:p>
        </w:tc>
        <w:tc>
          <w:tcPr>
            <w:tcW w:w="912" w:type="pct"/>
            <w:vAlign w:val="center"/>
          </w:tcPr>
          <w:p w14:paraId="70C2F3BC">
            <w:pPr>
              <w:widowControl/>
              <w:spacing w:line="240" w:lineRule="auto"/>
              <w:ind w:firstLine="0" w:firstLineChars="0"/>
              <w:jc w:val="center"/>
              <w:rPr>
                <w:rFonts w:eastAsia="等线"/>
                <w:color w:val="000000"/>
                <w:sz w:val="21"/>
                <w:szCs w:val="21"/>
              </w:rPr>
            </w:pPr>
            <w:r>
              <w:rPr>
                <w:rFonts w:eastAsia="等线"/>
                <w:color w:val="000000"/>
                <w:sz w:val="21"/>
                <w:szCs w:val="21"/>
              </w:rPr>
              <w:t>2800</w:t>
            </w:r>
          </w:p>
        </w:tc>
      </w:tr>
      <w:tr w14:paraId="010D3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59E97DAD">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6D873827">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电极壳</w:t>
            </w:r>
          </w:p>
        </w:tc>
        <w:tc>
          <w:tcPr>
            <w:tcW w:w="440" w:type="pct"/>
            <w:vAlign w:val="center"/>
          </w:tcPr>
          <w:p w14:paraId="77822CFF">
            <w:pPr>
              <w:widowControl/>
              <w:spacing w:line="240" w:lineRule="auto"/>
              <w:ind w:firstLine="0" w:firstLineChars="0"/>
              <w:jc w:val="center"/>
              <w:rPr>
                <w:rFonts w:eastAsia="等线"/>
                <w:color w:val="000000"/>
                <w:sz w:val="21"/>
                <w:szCs w:val="21"/>
              </w:rPr>
            </w:pPr>
            <w:r>
              <w:rPr>
                <w:rFonts w:eastAsia="等线"/>
                <w:color w:val="000000"/>
                <w:sz w:val="21"/>
                <w:szCs w:val="21"/>
              </w:rPr>
              <w:t>t</w:t>
            </w:r>
          </w:p>
        </w:tc>
        <w:tc>
          <w:tcPr>
            <w:tcW w:w="840" w:type="pct"/>
            <w:vAlign w:val="center"/>
          </w:tcPr>
          <w:p w14:paraId="58052427">
            <w:pPr>
              <w:widowControl/>
              <w:spacing w:line="240" w:lineRule="auto"/>
              <w:ind w:firstLine="0" w:firstLineChars="0"/>
              <w:jc w:val="center"/>
              <w:rPr>
                <w:rFonts w:eastAsia="等线"/>
                <w:color w:val="000000"/>
                <w:sz w:val="21"/>
                <w:szCs w:val="21"/>
              </w:rPr>
            </w:pPr>
            <w:r>
              <w:rPr>
                <w:rFonts w:eastAsia="等线"/>
                <w:color w:val="000000"/>
                <w:sz w:val="21"/>
                <w:szCs w:val="21"/>
              </w:rPr>
              <w:t>2.0246</w:t>
            </w:r>
          </w:p>
        </w:tc>
        <w:tc>
          <w:tcPr>
            <w:tcW w:w="912" w:type="pct"/>
            <w:vAlign w:val="center"/>
          </w:tcPr>
          <w:p w14:paraId="5848CD33">
            <w:pPr>
              <w:widowControl/>
              <w:spacing w:line="240" w:lineRule="auto"/>
              <w:ind w:firstLine="0" w:firstLineChars="0"/>
              <w:jc w:val="center"/>
              <w:rPr>
                <w:rFonts w:eastAsia="等线"/>
                <w:color w:val="000000"/>
                <w:sz w:val="21"/>
                <w:szCs w:val="21"/>
              </w:rPr>
            </w:pPr>
            <w:r>
              <w:rPr>
                <w:rFonts w:eastAsia="等线"/>
                <w:color w:val="000000"/>
                <w:sz w:val="21"/>
                <w:szCs w:val="21"/>
              </w:rPr>
              <w:t>0.014</w:t>
            </w:r>
          </w:p>
        </w:tc>
        <w:tc>
          <w:tcPr>
            <w:tcW w:w="912" w:type="pct"/>
            <w:vAlign w:val="center"/>
          </w:tcPr>
          <w:p w14:paraId="7BF4FFFB">
            <w:pPr>
              <w:widowControl/>
              <w:spacing w:line="240" w:lineRule="auto"/>
              <w:ind w:firstLine="0" w:firstLineChars="0"/>
              <w:jc w:val="center"/>
              <w:rPr>
                <w:rFonts w:eastAsia="等线"/>
                <w:color w:val="000000"/>
                <w:sz w:val="21"/>
                <w:szCs w:val="21"/>
              </w:rPr>
            </w:pPr>
            <w:r>
              <w:rPr>
                <w:rFonts w:eastAsia="等线"/>
                <w:color w:val="000000"/>
                <w:sz w:val="21"/>
                <w:szCs w:val="21"/>
              </w:rPr>
              <w:t>112</w:t>
            </w:r>
          </w:p>
        </w:tc>
      </w:tr>
      <w:tr w14:paraId="5F113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restart"/>
            <w:vAlign w:val="center"/>
          </w:tcPr>
          <w:p w14:paraId="728EBD2D">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公用工程消耗</w:t>
            </w:r>
          </w:p>
        </w:tc>
        <w:tc>
          <w:tcPr>
            <w:tcW w:w="876" w:type="pct"/>
            <w:vAlign w:val="center"/>
          </w:tcPr>
          <w:p w14:paraId="68FC67A0">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总电耗</w:t>
            </w:r>
          </w:p>
        </w:tc>
        <w:tc>
          <w:tcPr>
            <w:tcW w:w="440" w:type="pct"/>
            <w:vAlign w:val="center"/>
          </w:tcPr>
          <w:p w14:paraId="3620494E">
            <w:pPr>
              <w:widowControl/>
              <w:spacing w:line="240" w:lineRule="auto"/>
              <w:ind w:firstLine="0" w:firstLineChars="0"/>
              <w:jc w:val="center"/>
              <w:rPr>
                <w:rFonts w:eastAsia="等线"/>
                <w:color w:val="000000"/>
                <w:sz w:val="21"/>
                <w:szCs w:val="21"/>
              </w:rPr>
            </w:pPr>
            <w:r>
              <w:rPr>
                <w:rFonts w:eastAsia="等线"/>
                <w:color w:val="000000"/>
                <w:sz w:val="21"/>
                <w:szCs w:val="21"/>
              </w:rPr>
              <w:t>kWh</w:t>
            </w:r>
          </w:p>
        </w:tc>
        <w:tc>
          <w:tcPr>
            <w:tcW w:w="840" w:type="pct"/>
            <w:vAlign w:val="center"/>
          </w:tcPr>
          <w:p w14:paraId="0FA9098F">
            <w:pPr>
              <w:widowControl/>
              <w:spacing w:line="240" w:lineRule="auto"/>
              <w:ind w:firstLine="0" w:firstLineChars="0"/>
              <w:jc w:val="center"/>
              <w:rPr>
                <w:rFonts w:eastAsia="等线"/>
                <w:color w:val="000000"/>
                <w:sz w:val="21"/>
                <w:szCs w:val="21"/>
              </w:rPr>
            </w:pPr>
            <w:r>
              <w:rPr>
                <w:rFonts w:eastAsia="等线"/>
                <w:color w:val="000000"/>
                <w:sz w:val="21"/>
                <w:szCs w:val="21"/>
              </w:rPr>
              <w:t>8150.00</w:t>
            </w:r>
          </w:p>
        </w:tc>
        <w:tc>
          <w:tcPr>
            <w:tcW w:w="912" w:type="pct"/>
            <w:vAlign w:val="center"/>
          </w:tcPr>
          <w:p w14:paraId="62E06CB8">
            <w:pPr>
              <w:widowControl/>
              <w:spacing w:line="240" w:lineRule="auto"/>
              <w:ind w:firstLine="0" w:firstLineChars="0"/>
              <w:jc w:val="center"/>
              <w:rPr>
                <w:rFonts w:eastAsia="等线"/>
                <w:color w:val="000000"/>
                <w:sz w:val="21"/>
                <w:szCs w:val="21"/>
              </w:rPr>
            </w:pPr>
            <w:r>
              <w:rPr>
                <w:rFonts w:eastAsia="等线"/>
                <w:color w:val="000000"/>
                <w:sz w:val="21"/>
                <w:szCs w:val="21"/>
              </w:rPr>
              <w:t>57050</w:t>
            </w:r>
          </w:p>
        </w:tc>
        <w:tc>
          <w:tcPr>
            <w:tcW w:w="912" w:type="pct"/>
            <w:vAlign w:val="center"/>
          </w:tcPr>
          <w:p w14:paraId="56B7AA68">
            <w:pPr>
              <w:widowControl/>
              <w:spacing w:line="240" w:lineRule="auto"/>
              <w:ind w:firstLine="0" w:firstLineChars="0"/>
              <w:jc w:val="center"/>
              <w:rPr>
                <w:rFonts w:eastAsia="等线"/>
                <w:color w:val="000000"/>
                <w:sz w:val="21"/>
                <w:szCs w:val="21"/>
              </w:rPr>
            </w:pPr>
            <w:r>
              <w:rPr>
                <w:rFonts w:eastAsia="等线"/>
                <w:color w:val="000000"/>
                <w:sz w:val="21"/>
                <w:szCs w:val="21"/>
              </w:rPr>
              <w:t>456400000</w:t>
            </w:r>
          </w:p>
        </w:tc>
      </w:tr>
      <w:tr w14:paraId="740F2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3175B4C3">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0BA473AF">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余热发电</w:t>
            </w:r>
          </w:p>
        </w:tc>
        <w:tc>
          <w:tcPr>
            <w:tcW w:w="440" w:type="pct"/>
            <w:vAlign w:val="center"/>
          </w:tcPr>
          <w:p w14:paraId="3EF6C80E">
            <w:pPr>
              <w:widowControl/>
              <w:spacing w:line="240" w:lineRule="auto"/>
              <w:ind w:firstLine="0" w:firstLineChars="0"/>
              <w:jc w:val="center"/>
              <w:rPr>
                <w:rFonts w:eastAsia="等线"/>
                <w:color w:val="000000"/>
                <w:sz w:val="21"/>
                <w:szCs w:val="21"/>
              </w:rPr>
            </w:pPr>
            <w:r>
              <w:rPr>
                <w:rFonts w:eastAsia="等线"/>
                <w:color w:val="000000"/>
                <w:sz w:val="21"/>
                <w:szCs w:val="21"/>
              </w:rPr>
              <w:t>kWh</w:t>
            </w:r>
          </w:p>
        </w:tc>
        <w:tc>
          <w:tcPr>
            <w:tcW w:w="840" w:type="pct"/>
            <w:vAlign w:val="center"/>
          </w:tcPr>
          <w:p w14:paraId="1C65A5DE">
            <w:pPr>
              <w:widowControl/>
              <w:spacing w:line="240" w:lineRule="auto"/>
              <w:ind w:firstLine="0" w:firstLineChars="0"/>
              <w:jc w:val="center"/>
              <w:rPr>
                <w:rFonts w:eastAsia="等线"/>
                <w:color w:val="000000"/>
                <w:sz w:val="21"/>
                <w:szCs w:val="21"/>
              </w:rPr>
            </w:pPr>
            <w:r>
              <w:rPr>
                <w:rFonts w:eastAsia="等线"/>
                <w:color w:val="000000"/>
                <w:sz w:val="21"/>
                <w:szCs w:val="21"/>
              </w:rPr>
              <w:t>1116.28</w:t>
            </w:r>
          </w:p>
        </w:tc>
        <w:tc>
          <w:tcPr>
            <w:tcW w:w="912" w:type="pct"/>
            <w:vAlign w:val="center"/>
          </w:tcPr>
          <w:p w14:paraId="0298F4E4">
            <w:pPr>
              <w:widowControl/>
              <w:spacing w:line="240" w:lineRule="auto"/>
              <w:ind w:firstLine="0" w:firstLineChars="0"/>
              <w:jc w:val="center"/>
              <w:rPr>
                <w:rFonts w:eastAsia="等线"/>
                <w:color w:val="000000"/>
                <w:sz w:val="21"/>
                <w:szCs w:val="21"/>
              </w:rPr>
            </w:pPr>
            <w:r>
              <w:rPr>
                <w:rFonts w:eastAsia="等线"/>
                <w:color w:val="000000"/>
                <w:sz w:val="21"/>
                <w:szCs w:val="21"/>
              </w:rPr>
              <w:t>7813.953488</w:t>
            </w:r>
          </w:p>
        </w:tc>
        <w:tc>
          <w:tcPr>
            <w:tcW w:w="912" w:type="pct"/>
            <w:vAlign w:val="center"/>
          </w:tcPr>
          <w:p w14:paraId="40F78DFE">
            <w:pPr>
              <w:widowControl/>
              <w:spacing w:line="240" w:lineRule="auto"/>
              <w:ind w:firstLine="0" w:firstLineChars="0"/>
              <w:jc w:val="center"/>
              <w:rPr>
                <w:rFonts w:eastAsia="等线"/>
                <w:color w:val="000000"/>
                <w:sz w:val="21"/>
                <w:szCs w:val="21"/>
              </w:rPr>
            </w:pPr>
            <w:r>
              <w:rPr>
                <w:rFonts w:eastAsia="等线"/>
                <w:color w:val="000000"/>
                <w:sz w:val="21"/>
                <w:szCs w:val="21"/>
              </w:rPr>
              <w:t>62511627.91</w:t>
            </w:r>
          </w:p>
        </w:tc>
      </w:tr>
      <w:tr w14:paraId="5141F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04781011">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0D0D0F0E">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净电耗</w:t>
            </w:r>
          </w:p>
        </w:tc>
        <w:tc>
          <w:tcPr>
            <w:tcW w:w="440" w:type="pct"/>
            <w:vAlign w:val="center"/>
          </w:tcPr>
          <w:p w14:paraId="49074C60">
            <w:pPr>
              <w:widowControl/>
              <w:spacing w:line="240" w:lineRule="auto"/>
              <w:ind w:firstLine="0" w:firstLineChars="0"/>
              <w:jc w:val="center"/>
              <w:rPr>
                <w:rFonts w:eastAsia="等线"/>
                <w:color w:val="000000"/>
                <w:sz w:val="21"/>
                <w:szCs w:val="21"/>
              </w:rPr>
            </w:pPr>
            <w:r>
              <w:rPr>
                <w:rFonts w:eastAsia="等线"/>
                <w:color w:val="000000"/>
                <w:sz w:val="21"/>
                <w:szCs w:val="21"/>
              </w:rPr>
              <w:t>kWh</w:t>
            </w:r>
          </w:p>
        </w:tc>
        <w:tc>
          <w:tcPr>
            <w:tcW w:w="840" w:type="pct"/>
            <w:vAlign w:val="center"/>
          </w:tcPr>
          <w:p w14:paraId="3809D2DF">
            <w:pPr>
              <w:widowControl/>
              <w:spacing w:line="240" w:lineRule="auto"/>
              <w:ind w:firstLine="0" w:firstLineChars="0"/>
              <w:jc w:val="center"/>
              <w:rPr>
                <w:rFonts w:eastAsia="等线"/>
                <w:color w:val="000000"/>
                <w:sz w:val="21"/>
                <w:szCs w:val="21"/>
              </w:rPr>
            </w:pPr>
            <w:r>
              <w:rPr>
                <w:rFonts w:eastAsia="等线"/>
                <w:color w:val="000000"/>
                <w:sz w:val="21"/>
                <w:szCs w:val="21"/>
              </w:rPr>
              <w:t>7120180.26</w:t>
            </w:r>
          </w:p>
        </w:tc>
        <w:tc>
          <w:tcPr>
            <w:tcW w:w="912" w:type="pct"/>
            <w:vAlign w:val="center"/>
          </w:tcPr>
          <w:p w14:paraId="6BEB803D">
            <w:pPr>
              <w:widowControl/>
              <w:spacing w:line="240" w:lineRule="auto"/>
              <w:ind w:firstLine="0" w:firstLineChars="0"/>
              <w:jc w:val="center"/>
              <w:rPr>
                <w:rFonts w:eastAsia="等线"/>
                <w:color w:val="000000"/>
                <w:sz w:val="21"/>
                <w:szCs w:val="21"/>
              </w:rPr>
            </w:pPr>
            <w:r>
              <w:rPr>
                <w:rFonts w:eastAsia="等线"/>
                <w:color w:val="000000"/>
                <w:sz w:val="21"/>
                <w:szCs w:val="21"/>
              </w:rPr>
              <w:t>49236.04651</w:t>
            </w:r>
          </w:p>
        </w:tc>
        <w:tc>
          <w:tcPr>
            <w:tcW w:w="912" w:type="pct"/>
            <w:vAlign w:val="center"/>
          </w:tcPr>
          <w:p w14:paraId="44A38C16">
            <w:pPr>
              <w:widowControl/>
              <w:spacing w:line="240" w:lineRule="auto"/>
              <w:ind w:firstLine="0" w:firstLineChars="0"/>
              <w:jc w:val="center"/>
              <w:rPr>
                <w:rFonts w:eastAsia="等线"/>
                <w:color w:val="000000"/>
                <w:sz w:val="21"/>
                <w:szCs w:val="21"/>
              </w:rPr>
            </w:pPr>
            <w:r>
              <w:rPr>
                <w:rFonts w:eastAsia="等线"/>
                <w:color w:val="000000"/>
                <w:sz w:val="21"/>
                <w:szCs w:val="21"/>
              </w:rPr>
              <w:t>393888372.1</w:t>
            </w:r>
          </w:p>
        </w:tc>
      </w:tr>
      <w:tr w14:paraId="0F1648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6BF11E30">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1C20019D">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柴油</w:t>
            </w:r>
          </w:p>
        </w:tc>
        <w:tc>
          <w:tcPr>
            <w:tcW w:w="440" w:type="pct"/>
            <w:vAlign w:val="center"/>
          </w:tcPr>
          <w:p w14:paraId="12EAA65A">
            <w:pPr>
              <w:widowControl/>
              <w:spacing w:line="240" w:lineRule="auto"/>
              <w:ind w:firstLine="0" w:firstLineChars="0"/>
              <w:jc w:val="center"/>
              <w:rPr>
                <w:rFonts w:eastAsia="等线"/>
                <w:color w:val="000000"/>
                <w:sz w:val="21"/>
                <w:szCs w:val="21"/>
              </w:rPr>
            </w:pPr>
            <w:r>
              <w:rPr>
                <w:rFonts w:eastAsia="等线"/>
                <w:color w:val="000000"/>
                <w:sz w:val="21"/>
                <w:szCs w:val="21"/>
              </w:rPr>
              <w:t>kg</w:t>
            </w:r>
          </w:p>
        </w:tc>
        <w:tc>
          <w:tcPr>
            <w:tcW w:w="840" w:type="pct"/>
            <w:vAlign w:val="center"/>
          </w:tcPr>
          <w:p w14:paraId="4EFC74A8">
            <w:pPr>
              <w:widowControl/>
              <w:spacing w:line="240" w:lineRule="auto"/>
              <w:ind w:firstLine="0" w:firstLineChars="0"/>
              <w:jc w:val="center"/>
              <w:rPr>
                <w:rFonts w:eastAsia="等线"/>
                <w:color w:val="000000"/>
                <w:sz w:val="21"/>
                <w:szCs w:val="21"/>
              </w:rPr>
            </w:pPr>
            <w:r>
              <w:rPr>
                <w:rFonts w:eastAsia="等线"/>
                <w:color w:val="000000"/>
                <w:sz w:val="21"/>
                <w:szCs w:val="21"/>
              </w:rPr>
              <w:t>0.4158</w:t>
            </w:r>
          </w:p>
        </w:tc>
        <w:tc>
          <w:tcPr>
            <w:tcW w:w="912" w:type="pct"/>
            <w:vAlign w:val="center"/>
          </w:tcPr>
          <w:p w14:paraId="46142015">
            <w:pPr>
              <w:widowControl/>
              <w:spacing w:line="240" w:lineRule="auto"/>
              <w:ind w:firstLine="0" w:firstLineChars="0"/>
              <w:jc w:val="center"/>
              <w:rPr>
                <w:rFonts w:eastAsia="等线"/>
                <w:color w:val="000000"/>
                <w:sz w:val="21"/>
                <w:szCs w:val="21"/>
              </w:rPr>
            </w:pPr>
            <w:r>
              <w:rPr>
                <w:rFonts w:eastAsia="等线"/>
                <w:color w:val="000000"/>
                <w:sz w:val="21"/>
                <w:szCs w:val="21"/>
              </w:rPr>
              <w:t>0.002875</w:t>
            </w:r>
          </w:p>
        </w:tc>
        <w:tc>
          <w:tcPr>
            <w:tcW w:w="912" w:type="pct"/>
            <w:vAlign w:val="center"/>
          </w:tcPr>
          <w:p w14:paraId="0D1F914F">
            <w:pPr>
              <w:widowControl/>
              <w:spacing w:line="240" w:lineRule="auto"/>
              <w:ind w:firstLine="0" w:firstLineChars="0"/>
              <w:jc w:val="center"/>
              <w:rPr>
                <w:rFonts w:eastAsia="等线"/>
                <w:color w:val="000000"/>
                <w:sz w:val="21"/>
                <w:szCs w:val="21"/>
              </w:rPr>
            </w:pPr>
            <w:r>
              <w:rPr>
                <w:rFonts w:eastAsia="等线"/>
                <w:color w:val="000000"/>
                <w:sz w:val="21"/>
                <w:szCs w:val="21"/>
              </w:rPr>
              <w:t>23</w:t>
            </w:r>
          </w:p>
        </w:tc>
      </w:tr>
      <w:tr w14:paraId="603647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64F02CC1">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6CF1E29E">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循环水</w:t>
            </w:r>
          </w:p>
        </w:tc>
        <w:tc>
          <w:tcPr>
            <w:tcW w:w="440" w:type="pct"/>
            <w:vAlign w:val="center"/>
          </w:tcPr>
          <w:p w14:paraId="168FC6EE">
            <w:pPr>
              <w:widowControl/>
              <w:spacing w:line="240" w:lineRule="auto"/>
              <w:ind w:firstLine="0" w:firstLineChars="0"/>
              <w:jc w:val="center"/>
              <w:rPr>
                <w:rFonts w:eastAsia="等线"/>
                <w:color w:val="000000"/>
                <w:sz w:val="21"/>
                <w:szCs w:val="21"/>
              </w:rPr>
            </w:pPr>
            <w:r>
              <w:rPr>
                <w:rFonts w:eastAsia="等线"/>
                <w:color w:val="000000"/>
                <w:sz w:val="21"/>
                <w:szCs w:val="21"/>
              </w:rPr>
              <w:t>m³</w:t>
            </w:r>
          </w:p>
        </w:tc>
        <w:tc>
          <w:tcPr>
            <w:tcW w:w="840" w:type="pct"/>
            <w:vAlign w:val="center"/>
          </w:tcPr>
          <w:p w14:paraId="24CF51EF">
            <w:pPr>
              <w:widowControl/>
              <w:spacing w:line="240" w:lineRule="auto"/>
              <w:ind w:firstLine="0" w:firstLineChars="0"/>
              <w:jc w:val="center"/>
              <w:rPr>
                <w:rFonts w:eastAsia="等线"/>
                <w:color w:val="000000"/>
                <w:sz w:val="21"/>
                <w:szCs w:val="21"/>
              </w:rPr>
            </w:pPr>
            <w:r>
              <w:rPr>
                <w:rFonts w:eastAsia="等线"/>
                <w:color w:val="000000"/>
                <w:sz w:val="21"/>
                <w:szCs w:val="21"/>
              </w:rPr>
              <w:t>42.53</w:t>
            </w:r>
          </w:p>
        </w:tc>
        <w:tc>
          <w:tcPr>
            <w:tcW w:w="912" w:type="pct"/>
            <w:vAlign w:val="center"/>
          </w:tcPr>
          <w:p w14:paraId="4086FD83">
            <w:pPr>
              <w:widowControl/>
              <w:spacing w:line="240" w:lineRule="auto"/>
              <w:ind w:firstLine="0" w:firstLineChars="0"/>
              <w:jc w:val="center"/>
              <w:rPr>
                <w:rFonts w:eastAsia="等线"/>
                <w:color w:val="000000"/>
                <w:sz w:val="21"/>
                <w:szCs w:val="21"/>
              </w:rPr>
            </w:pPr>
            <w:r>
              <w:rPr>
                <w:rFonts w:eastAsia="等线"/>
                <w:color w:val="000000"/>
                <w:sz w:val="21"/>
                <w:szCs w:val="21"/>
              </w:rPr>
              <w:t>0.294125</w:t>
            </w:r>
          </w:p>
        </w:tc>
        <w:tc>
          <w:tcPr>
            <w:tcW w:w="912" w:type="pct"/>
            <w:vAlign w:val="center"/>
          </w:tcPr>
          <w:p w14:paraId="15B87391">
            <w:pPr>
              <w:widowControl/>
              <w:spacing w:line="240" w:lineRule="auto"/>
              <w:ind w:firstLine="0" w:firstLineChars="0"/>
              <w:jc w:val="center"/>
              <w:rPr>
                <w:rFonts w:eastAsia="等线"/>
                <w:color w:val="000000"/>
                <w:sz w:val="21"/>
                <w:szCs w:val="21"/>
              </w:rPr>
            </w:pPr>
            <w:r>
              <w:rPr>
                <w:rFonts w:eastAsia="等线"/>
                <w:color w:val="000000"/>
                <w:sz w:val="21"/>
                <w:szCs w:val="21"/>
              </w:rPr>
              <w:t>2353</w:t>
            </w:r>
          </w:p>
        </w:tc>
      </w:tr>
      <w:tr w14:paraId="214A1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1D622B28">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5A1E6AB5">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压缩空气</w:t>
            </w:r>
          </w:p>
        </w:tc>
        <w:tc>
          <w:tcPr>
            <w:tcW w:w="440" w:type="pct"/>
            <w:vAlign w:val="center"/>
          </w:tcPr>
          <w:p w14:paraId="5BF07F0A">
            <w:pPr>
              <w:widowControl/>
              <w:spacing w:line="240" w:lineRule="auto"/>
              <w:ind w:firstLine="0" w:firstLineChars="0"/>
              <w:jc w:val="center"/>
              <w:rPr>
                <w:rFonts w:eastAsia="等线"/>
                <w:color w:val="000000"/>
                <w:sz w:val="21"/>
                <w:szCs w:val="21"/>
              </w:rPr>
            </w:pPr>
            <w:r>
              <w:rPr>
                <w:rFonts w:eastAsia="等线"/>
                <w:color w:val="000000"/>
                <w:sz w:val="21"/>
                <w:szCs w:val="21"/>
              </w:rPr>
              <w:t>Nm³</w:t>
            </w:r>
          </w:p>
        </w:tc>
        <w:tc>
          <w:tcPr>
            <w:tcW w:w="840" w:type="pct"/>
            <w:vAlign w:val="center"/>
          </w:tcPr>
          <w:p w14:paraId="344681F1">
            <w:pPr>
              <w:widowControl/>
              <w:spacing w:line="240" w:lineRule="auto"/>
              <w:ind w:firstLine="0" w:firstLineChars="0"/>
              <w:jc w:val="center"/>
              <w:rPr>
                <w:rFonts w:eastAsia="等线"/>
                <w:color w:val="000000"/>
                <w:sz w:val="21"/>
                <w:szCs w:val="21"/>
              </w:rPr>
            </w:pPr>
            <w:r>
              <w:rPr>
                <w:rFonts w:eastAsia="等线"/>
                <w:color w:val="000000"/>
                <w:sz w:val="21"/>
                <w:szCs w:val="21"/>
              </w:rPr>
              <w:t>7.23</w:t>
            </w:r>
          </w:p>
        </w:tc>
        <w:tc>
          <w:tcPr>
            <w:tcW w:w="912" w:type="pct"/>
            <w:vAlign w:val="center"/>
          </w:tcPr>
          <w:p w14:paraId="0FF3D631">
            <w:pPr>
              <w:widowControl/>
              <w:spacing w:line="240" w:lineRule="auto"/>
              <w:ind w:firstLine="0" w:firstLineChars="0"/>
              <w:jc w:val="center"/>
              <w:rPr>
                <w:rFonts w:eastAsia="等线"/>
                <w:color w:val="000000"/>
                <w:sz w:val="21"/>
                <w:szCs w:val="21"/>
              </w:rPr>
            </w:pPr>
            <w:r>
              <w:rPr>
                <w:rFonts w:eastAsia="等线"/>
                <w:color w:val="000000"/>
                <w:sz w:val="21"/>
                <w:szCs w:val="21"/>
              </w:rPr>
              <w:t>0.05</w:t>
            </w:r>
          </w:p>
        </w:tc>
        <w:tc>
          <w:tcPr>
            <w:tcW w:w="912" w:type="pct"/>
            <w:vAlign w:val="center"/>
          </w:tcPr>
          <w:p w14:paraId="186CCEE6">
            <w:pPr>
              <w:widowControl/>
              <w:spacing w:line="240" w:lineRule="auto"/>
              <w:ind w:firstLine="0" w:firstLineChars="0"/>
              <w:jc w:val="center"/>
              <w:rPr>
                <w:rFonts w:eastAsia="等线"/>
                <w:color w:val="000000"/>
                <w:sz w:val="21"/>
                <w:szCs w:val="21"/>
              </w:rPr>
            </w:pPr>
            <w:r>
              <w:rPr>
                <w:rFonts w:eastAsia="等线"/>
                <w:color w:val="000000"/>
                <w:sz w:val="21"/>
                <w:szCs w:val="21"/>
              </w:rPr>
              <w:t>400</w:t>
            </w:r>
          </w:p>
        </w:tc>
      </w:tr>
      <w:tr w14:paraId="50C835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021" w:type="pct"/>
            <w:vMerge w:val="continue"/>
            <w:vAlign w:val="center"/>
          </w:tcPr>
          <w:p w14:paraId="3172066C">
            <w:pPr>
              <w:widowControl/>
              <w:spacing w:line="240" w:lineRule="auto"/>
              <w:ind w:firstLine="0" w:firstLineChars="0"/>
              <w:jc w:val="left"/>
              <w:rPr>
                <w:rFonts w:hint="eastAsia" w:ascii="宋体" w:hAnsi="宋体" w:cs="宋体"/>
                <w:color w:val="000000"/>
                <w:sz w:val="21"/>
                <w:szCs w:val="21"/>
              </w:rPr>
            </w:pPr>
          </w:p>
        </w:tc>
        <w:tc>
          <w:tcPr>
            <w:tcW w:w="876" w:type="pct"/>
            <w:vAlign w:val="center"/>
          </w:tcPr>
          <w:p w14:paraId="7E6D2131">
            <w:pPr>
              <w:widowControl/>
              <w:spacing w:line="24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新鲜水</w:t>
            </w:r>
          </w:p>
        </w:tc>
        <w:tc>
          <w:tcPr>
            <w:tcW w:w="440" w:type="pct"/>
            <w:vAlign w:val="center"/>
          </w:tcPr>
          <w:p w14:paraId="3B9F4B57">
            <w:pPr>
              <w:widowControl/>
              <w:spacing w:line="240" w:lineRule="auto"/>
              <w:ind w:firstLine="0" w:firstLineChars="0"/>
              <w:jc w:val="center"/>
              <w:rPr>
                <w:rFonts w:eastAsia="等线"/>
                <w:color w:val="000000"/>
                <w:sz w:val="21"/>
                <w:szCs w:val="21"/>
              </w:rPr>
            </w:pPr>
            <w:r>
              <w:rPr>
                <w:rFonts w:eastAsia="等线"/>
                <w:color w:val="000000"/>
                <w:sz w:val="21"/>
                <w:szCs w:val="21"/>
              </w:rPr>
              <w:t>t</w:t>
            </w:r>
          </w:p>
        </w:tc>
        <w:tc>
          <w:tcPr>
            <w:tcW w:w="840" w:type="pct"/>
            <w:vAlign w:val="center"/>
          </w:tcPr>
          <w:p w14:paraId="691A09DE">
            <w:pPr>
              <w:widowControl/>
              <w:spacing w:line="240" w:lineRule="auto"/>
              <w:ind w:firstLine="0" w:firstLineChars="0"/>
              <w:jc w:val="center"/>
              <w:rPr>
                <w:rFonts w:eastAsia="等线"/>
                <w:color w:val="000000"/>
                <w:sz w:val="21"/>
                <w:szCs w:val="21"/>
              </w:rPr>
            </w:pPr>
            <w:r>
              <w:rPr>
                <w:rFonts w:eastAsia="等线"/>
                <w:color w:val="000000"/>
                <w:sz w:val="21"/>
                <w:szCs w:val="21"/>
              </w:rPr>
              <w:t>5639.91</w:t>
            </w:r>
          </w:p>
        </w:tc>
        <w:tc>
          <w:tcPr>
            <w:tcW w:w="912" w:type="pct"/>
            <w:vAlign w:val="center"/>
          </w:tcPr>
          <w:p w14:paraId="26F96B82">
            <w:pPr>
              <w:widowControl/>
              <w:spacing w:line="240" w:lineRule="auto"/>
              <w:ind w:firstLine="0" w:firstLineChars="0"/>
              <w:jc w:val="center"/>
              <w:rPr>
                <w:rFonts w:eastAsia="等线"/>
                <w:color w:val="000000"/>
                <w:sz w:val="21"/>
                <w:szCs w:val="21"/>
              </w:rPr>
            </w:pPr>
            <w:r>
              <w:rPr>
                <w:rFonts w:eastAsia="等线"/>
                <w:color w:val="000000"/>
                <w:sz w:val="21"/>
                <w:szCs w:val="21"/>
              </w:rPr>
              <w:t>39</w:t>
            </w:r>
          </w:p>
        </w:tc>
        <w:tc>
          <w:tcPr>
            <w:tcW w:w="912" w:type="pct"/>
            <w:vAlign w:val="center"/>
          </w:tcPr>
          <w:p w14:paraId="499E163E">
            <w:pPr>
              <w:widowControl/>
              <w:spacing w:line="240" w:lineRule="auto"/>
              <w:ind w:firstLine="0" w:firstLineChars="0"/>
              <w:jc w:val="center"/>
              <w:rPr>
                <w:rFonts w:eastAsia="等线"/>
                <w:color w:val="000000"/>
                <w:sz w:val="21"/>
                <w:szCs w:val="21"/>
              </w:rPr>
            </w:pPr>
            <w:r>
              <w:rPr>
                <w:rFonts w:eastAsia="等线"/>
                <w:color w:val="000000"/>
                <w:sz w:val="21"/>
                <w:szCs w:val="21"/>
              </w:rPr>
              <w:t>312000</w:t>
            </w:r>
          </w:p>
        </w:tc>
      </w:tr>
    </w:tbl>
    <w:p w14:paraId="2BB25ABD">
      <w:pPr>
        <w:pStyle w:val="38"/>
        <w:ind w:firstLine="480"/>
      </w:pPr>
    </w:p>
    <w:p w14:paraId="744FD73A">
      <w:pPr>
        <w:pStyle w:val="944"/>
      </w:pPr>
      <w:r>
        <w:rPr>
          <w:rFonts w:hint="eastAsia"/>
        </w:rPr>
        <w:t>综合能耗</w:t>
      </w:r>
    </w:p>
    <w:p w14:paraId="3600D2B8">
      <w:pPr>
        <w:pStyle w:val="117"/>
        <w:ind w:firstLine="480"/>
        <w:rPr>
          <w:rFonts w:cs="Times New Roman"/>
        </w:rPr>
      </w:pPr>
      <w:r>
        <w:rPr>
          <w:rFonts w:cs="Times New Roman"/>
          <w:szCs w:val="28"/>
        </w:rPr>
        <w:t>各折算标煤系数参照《</w:t>
      </w:r>
      <w:r>
        <w:rPr>
          <w:rFonts w:cs="Times New Roman"/>
        </w:rPr>
        <w:t>铁合金单位产品能源消耗限额</w:t>
      </w:r>
      <w:r>
        <w:rPr>
          <w:rFonts w:cs="Times New Roman"/>
          <w:szCs w:val="28"/>
        </w:rPr>
        <w:t>》（</w:t>
      </w:r>
      <w:r>
        <w:rPr>
          <w:rFonts w:cs="Times New Roman"/>
        </w:rPr>
        <w:t>GB 21341-2022</w:t>
      </w:r>
      <w:r>
        <w:rPr>
          <w:rFonts w:cs="Times New Roman"/>
          <w:szCs w:val="28"/>
        </w:rPr>
        <w:t>）各类能源折标准煤参考系数计算。</w:t>
      </w:r>
      <w:r>
        <w:rPr>
          <w:rFonts w:hint="eastAsia"/>
        </w:rPr>
        <w:t>硅铁合金生产线</w:t>
      </w:r>
      <w:r>
        <w:rPr>
          <w:rFonts w:cs="Times New Roman"/>
          <w:szCs w:val="28"/>
        </w:rPr>
        <w:t>能耗统计，见表</w:t>
      </w:r>
      <w:r>
        <w:rPr>
          <w:rFonts w:hint="eastAsia" w:cs="Times New Roman"/>
          <w:szCs w:val="28"/>
        </w:rPr>
        <w:t>3.4-3</w:t>
      </w:r>
      <w:r>
        <w:rPr>
          <w:rFonts w:cs="Times New Roman"/>
          <w:szCs w:val="28"/>
        </w:rPr>
        <w:t>。</w:t>
      </w:r>
    </w:p>
    <w:p w14:paraId="58A0A00E">
      <w:pPr>
        <w:pStyle w:val="118"/>
      </w:pPr>
      <w:r>
        <w:t>表</w:t>
      </w:r>
      <w:r>
        <w:rPr>
          <w:rFonts w:hint="eastAsia"/>
        </w:rPr>
        <w:t>3.4-3</w:t>
      </w:r>
      <w:r>
        <w:t xml:space="preserve">  </w:t>
      </w:r>
      <w:r>
        <w:rPr>
          <w:rFonts w:hint="eastAsia"/>
        </w:rPr>
        <w:t>硅铁合金生产线</w:t>
      </w:r>
      <w:r>
        <w:t>能耗统计表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64"/>
        <w:gridCol w:w="1152"/>
        <w:gridCol w:w="1723"/>
        <w:gridCol w:w="2615"/>
        <w:gridCol w:w="2168"/>
      </w:tblGrid>
      <w:tr w14:paraId="12637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7" w:type="pct"/>
            <w:vAlign w:val="center"/>
          </w:tcPr>
          <w:p w14:paraId="2529104E">
            <w:pPr>
              <w:pStyle w:val="133"/>
              <w:rPr>
                <w:rStyle w:val="984"/>
                <w:b/>
                <w:bCs/>
              </w:rPr>
            </w:pPr>
            <w:r>
              <w:rPr>
                <w:rStyle w:val="984"/>
                <w:b/>
                <w:bCs/>
              </w:rPr>
              <w:t>能源</w:t>
            </w:r>
          </w:p>
        </w:tc>
        <w:tc>
          <w:tcPr>
            <w:tcW w:w="676" w:type="pct"/>
            <w:vAlign w:val="center"/>
          </w:tcPr>
          <w:p w14:paraId="3363444C">
            <w:pPr>
              <w:pStyle w:val="133"/>
              <w:rPr>
                <w:rStyle w:val="984"/>
                <w:b/>
                <w:bCs/>
              </w:rPr>
            </w:pPr>
            <w:r>
              <w:rPr>
                <w:rStyle w:val="984"/>
                <w:b/>
                <w:bCs/>
              </w:rPr>
              <w:t>年耗量</w:t>
            </w:r>
          </w:p>
        </w:tc>
        <w:tc>
          <w:tcPr>
            <w:tcW w:w="1011" w:type="pct"/>
            <w:vAlign w:val="center"/>
          </w:tcPr>
          <w:p w14:paraId="023FE7C9">
            <w:pPr>
              <w:pStyle w:val="133"/>
              <w:rPr>
                <w:rStyle w:val="984"/>
                <w:b/>
                <w:bCs/>
              </w:rPr>
            </w:pPr>
            <w:r>
              <w:rPr>
                <w:rStyle w:val="984"/>
                <w:b/>
                <w:bCs/>
              </w:rPr>
              <w:t>单位</w:t>
            </w:r>
          </w:p>
        </w:tc>
        <w:tc>
          <w:tcPr>
            <w:tcW w:w="1534" w:type="pct"/>
            <w:vAlign w:val="center"/>
          </w:tcPr>
          <w:p w14:paraId="68ABCB21">
            <w:pPr>
              <w:pStyle w:val="133"/>
              <w:rPr>
                <w:rStyle w:val="984"/>
                <w:b/>
                <w:bCs/>
              </w:rPr>
            </w:pPr>
            <w:r>
              <w:rPr>
                <w:rStyle w:val="984"/>
                <w:b/>
                <w:bCs/>
              </w:rPr>
              <w:t>折算系数</w:t>
            </w:r>
          </w:p>
        </w:tc>
        <w:tc>
          <w:tcPr>
            <w:tcW w:w="1272" w:type="pct"/>
            <w:vAlign w:val="center"/>
          </w:tcPr>
          <w:p w14:paraId="219CAB47">
            <w:pPr>
              <w:pStyle w:val="133"/>
              <w:rPr>
                <w:rStyle w:val="984"/>
                <w:b/>
                <w:bCs/>
              </w:rPr>
            </w:pPr>
            <w:r>
              <w:rPr>
                <w:rStyle w:val="984"/>
                <w:b/>
                <w:bCs/>
              </w:rPr>
              <w:t>折标煤数（tce/a）</w:t>
            </w:r>
          </w:p>
        </w:tc>
      </w:tr>
      <w:tr w14:paraId="464B51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7" w:type="pct"/>
            <w:vAlign w:val="center"/>
          </w:tcPr>
          <w:p w14:paraId="0CF3A449">
            <w:pPr>
              <w:pStyle w:val="133"/>
              <w:rPr>
                <w:rStyle w:val="984"/>
              </w:rPr>
            </w:pPr>
            <w:r>
              <w:rPr>
                <w:rStyle w:val="984"/>
              </w:rPr>
              <w:t>电</w:t>
            </w:r>
          </w:p>
        </w:tc>
        <w:tc>
          <w:tcPr>
            <w:tcW w:w="676" w:type="pct"/>
            <w:vAlign w:val="center"/>
          </w:tcPr>
          <w:p w14:paraId="79F235F8">
            <w:pPr>
              <w:pStyle w:val="133"/>
              <w:rPr>
                <w:rStyle w:val="984"/>
              </w:rPr>
            </w:pPr>
            <w:r>
              <w:rPr>
                <w:rFonts w:eastAsia="等线" w:cs="Times New Roman"/>
                <w:color w:val="000000"/>
                <w:szCs w:val="21"/>
              </w:rPr>
              <w:t>45640</w:t>
            </w:r>
          </w:p>
        </w:tc>
        <w:tc>
          <w:tcPr>
            <w:tcW w:w="1011" w:type="pct"/>
            <w:vAlign w:val="center"/>
          </w:tcPr>
          <w:p w14:paraId="5C0D66CD">
            <w:pPr>
              <w:pStyle w:val="133"/>
              <w:rPr>
                <w:rStyle w:val="984"/>
              </w:rPr>
            </w:pPr>
            <w:r>
              <w:rPr>
                <w:rStyle w:val="984"/>
              </w:rPr>
              <w:t>10</w:t>
            </w:r>
            <w:r>
              <w:rPr>
                <w:rStyle w:val="984"/>
                <w:vertAlign w:val="superscript"/>
              </w:rPr>
              <w:t>4</w:t>
            </w:r>
            <w:r>
              <w:rPr>
                <w:rStyle w:val="984"/>
              </w:rPr>
              <w:t>kW·h/a</w:t>
            </w:r>
          </w:p>
        </w:tc>
        <w:tc>
          <w:tcPr>
            <w:tcW w:w="1534" w:type="pct"/>
            <w:vAlign w:val="center"/>
          </w:tcPr>
          <w:p w14:paraId="092D9C1F">
            <w:pPr>
              <w:pStyle w:val="133"/>
              <w:rPr>
                <w:rStyle w:val="984"/>
              </w:rPr>
            </w:pPr>
            <w:r>
              <w:rPr>
                <w:rStyle w:val="984"/>
              </w:rPr>
              <w:t>0.1229 kgce/kW·h</w:t>
            </w:r>
          </w:p>
        </w:tc>
        <w:tc>
          <w:tcPr>
            <w:tcW w:w="1272" w:type="pct"/>
            <w:vAlign w:val="center"/>
          </w:tcPr>
          <w:p w14:paraId="35CAF5FA">
            <w:pPr>
              <w:pStyle w:val="133"/>
              <w:rPr>
                <w:rStyle w:val="984"/>
              </w:rPr>
            </w:pPr>
            <w:r>
              <w:rPr>
                <w:rFonts w:eastAsia="等线" w:cs="Times New Roman"/>
                <w:color w:val="000000"/>
                <w:szCs w:val="21"/>
              </w:rPr>
              <w:t>56091.56</w:t>
            </w:r>
          </w:p>
        </w:tc>
      </w:tr>
      <w:tr w14:paraId="4A7DD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7" w:type="pct"/>
            <w:vAlign w:val="center"/>
          </w:tcPr>
          <w:p w14:paraId="528E51CF">
            <w:pPr>
              <w:pStyle w:val="133"/>
              <w:rPr>
                <w:rStyle w:val="984"/>
              </w:rPr>
            </w:pPr>
            <w:r>
              <w:rPr>
                <w:rStyle w:val="984"/>
              </w:rPr>
              <w:t>兰炭</w:t>
            </w:r>
          </w:p>
        </w:tc>
        <w:tc>
          <w:tcPr>
            <w:tcW w:w="676" w:type="pct"/>
            <w:vAlign w:val="center"/>
          </w:tcPr>
          <w:p w14:paraId="38E54359">
            <w:pPr>
              <w:pStyle w:val="133"/>
              <w:rPr>
                <w:rStyle w:val="984"/>
              </w:rPr>
            </w:pPr>
            <w:r>
              <w:rPr>
                <w:rFonts w:eastAsia="等线" w:cs="Times New Roman"/>
                <w:color w:val="000000"/>
                <w:szCs w:val="21"/>
              </w:rPr>
              <w:t>56000</w:t>
            </w:r>
          </w:p>
        </w:tc>
        <w:tc>
          <w:tcPr>
            <w:tcW w:w="1011" w:type="pct"/>
            <w:vAlign w:val="center"/>
          </w:tcPr>
          <w:p w14:paraId="4E557C4E">
            <w:pPr>
              <w:pStyle w:val="133"/>
              <w:rPr>
                <w:rStyle w:val="984"/>
              </w:rPr>
            </w:pPr>
            <w:r>
              <w:rPr>
                <w:rStyle w:val="984"/>
              </w:rPr>
              <w:t>t/a</w:t>
            </w:r>
          </w:p>
        </w:tc>
        <w:tc>
          <w:tcPr>
            <w:tcW w:w="1534" w:type="pct"/>
            <w:vAlign w:val="center"/>
          </w:tcPr>
          <w:p w14:paraId="408EA769">
            <w:pPr>
              <w:pStyle w:val="133"/>
              <w:rPr>
                <w:rStyle w:val="984"/>
              </w:rPr>
            </w:pPr>
            <w:r>
              <w:rPr>
                <w:rStyle w:val="984"/>
              </w:rPr>
              <w:t>0.72855kgce/kg</w:t>
            </w:r>
          </w:p>
        </w:tc>
        <w:tc>
          <w:tcPr>
            <w:tcW w:w="1272" w:type="pct"/>
            <w:vAlign w:val="center"/>
          </w:tcPr>
          <w:p w14:paraId="3BB93046">
            <w:pPr>
              <w:pStyle w:val="133"/>
              <w:rPr>
                <w:rStyle w:val="984"/>
              </w:rPr>
            </w:pPr>
            <w:r>
              <w:rPr>
                <w:rFonts w:eastAsia="等线" w:cs="Times New Roman"/>
                <w:color w:val="000000"/>
                <w:szCs w:val="21"/>
              </w:rPr>
              <w:t>40798.8</w:t>
            </w:r>
          </w:p>
        </w:tc>
      </w:tr>
      <w:tr w14:paraId="6288A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7" w:type="pct"/>
            <w:vAlign w:val="center"/>
          </w:tcPr>
          <w:p w14:paraId="57F0611D">
            <w:pPr>
              <w:pStyle w:val="133"/>
              <w:rPr>
                <w:rStyle w:val="984"/>
              </w:rPr>
            </w:pPr>
            <w:r>
              <w:rPr>
                <w:rStyle w:val="984"/>
                <w:rFonts w:hint="eastAsia"/>
              </w:rPr>
              <w:t>新水</w:t>
            </w:r>
          </w:p>
        </w:tc>
        <w:tc>
          <w:tcPr>
            <w:tcW w:w="676" w:type="pct"/>
            <w:vAlign w:val="center"/>
          </w:tcPr>
          <w:p w14:paraId="3BCA834E">
            <w:pPr>
              <w:pStyle w:val="133"/>
              <w:rPr>
                <w:rStyle w:val="984"/>
              </w:rPr>
            </w:pPr>
            <w:r>
              <w:rPr>
                <w:rFonts w:eastAsia="等线" w:cs="Times New Roman"/>
                <w:color w:val="000000"/>
                <w:szCs w:val="21"/>
              </w:rPr>
              <w:t>312000</w:t>
            </w:r>
          </w:p>
        </w:tc>
        <w:tc>
          <w:tcPr>
            <w:tcW w:w="1011" w:type="pct"/>
            <w:vAlign w:val="center"/>
          </w:tcPr>
          <w:p w14:paraId="631C2525">
            <w:pPr>
              <w:pStyle w:val="133"/>
              <w:rPr>
                <w:rStyle w:val="984"/>
              </w:rPr>
            </w:pPr>
            <w:r>
              <w:rPr>
                <w:rStyle w:val="984"/>
                <w:rFonts w:hint="eastAsia"/>
              </w:rPr>
              <w:t>t/a</w:t>
            </w:r>
          </w:p>
        </w:tc>
        <w:tc>
          <w:tcPr>
            <w:tcW w:w="1534" w:type="pct"/>
            <w:vAlign w:val="center"/>
          </w:tcPr>
          <w:p w14:paraId="49C9E62A">
            <w:pPr>
              <w:pStyle w:val="133"/>
              <w:rPr>
                <w:rStyle w:val="984"/>
              </w:rPr>
            </w:pPr>
            <w:r>
              <w:rPr>
                <w:rStyle w:val="984"/>
                <w:rFonts w:hint="eastAsia"/>
              </w:rPr>
              <w:t>0.2571</w:t>
            </w:r>
            <w:r>
              <w:rPr>
                <w:rStyle w:val="984"/>
              </w:rPr>
              <w:t xml:space="preserve"> kgce/kg</w:t>
            </w:r>
          </w:p>
        </w:tc>
        <w:tc>
          <w:tcPr>
            <w:tcW w:w="1272" w:type="pct"/>
            <w:vAlign w:val="center"/>
          </w:tcPr>
          <w:p w14:paraId="618FBE69">
            <w:pPr>
              <w:pStyle w:val="133"/>
              <w:rPr>
                <w:rStyle w:val="984"/>
              </w:rPr>
            </w:pPr>
            <w:r>
              <w:rPr>
                <w:rFonts w:eastAsia="等线" w:cs="Times New Roman"/>
                <w:color w:val="000000"/>
                <w:szCs w:val="21"/>
              </w:rPr>
              <w:t>80.2152</w:t>
            </w:r>
          </w:p>
        </w:tc>
      </w:tr>
      <w:tr w14:paraId="06BD9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7" w:type="pct"/>
            <w:vAlign w:val="center"/>
          </w:tcPr>
          <w:p w14:paraId="2F1115FF">
            <w:pPr>
              <w:pStyle w:val="133"/>
              <w:rPr>
                <w:rStyle w:val="984"/>
              </w:rPr>
            </w:pPr>
            <w:r>
              <w:rPr>
                <w:rStyle w:val="984"/>
                <w:rFonts w:hint="eastAsia"/>
              </w:rPr>
              <w:t>柴油</w:t>
            </w:r>
          </w:p>
        </w:tc>
        <w:tc>
          <w:tcPr>
            <w:tcW w:w="676" w:type="pct"/>
            <w:vAlign w:val="center"/>
          </w:tcPr>
          <w:p w14:paraId="3D8591B5">
            <w:pPr>
              <w:pStyle w:val="133"/>
              <w:rPr>
                <w:rStyle w:val="984"/>
              </w:rPr>
            </w:pPr>
            <w:r>
              <w:rPr>
                <w:rFonts w:eastAsia="等线" w:cs="Times New Roman"/>
                <w:color w:val="000000"/>
                <w:szCs w:val="21"/>
              </w:rPr>
              <w:t>23</w:t>
            </w:r>
          </w:p>
        </w:tc>
        <w:tc>
          <w:tcPr>
            <w:tcW w:w="1011" w:type="pct"/>
            <w:vAlign w:val="center"/>
          </w:tcPr>
          <w:p w14:paraId="48339DD3">
            <w:pPr>
              <w:pStyle w:val="133"/>
              <w:rPr>
                <w:rStyle w:val="984"/>
              </w:rPr>
            </w:pPr>
            <w:r>
              <w:rPr>
                <w:rStyle w:val="984"/>
              </w:rPr>
              <w:t>t/a</w:t>
            </w:r>
          </w:p>
        </w:tc>
        <w:tc>
          <w:tcPr>
            <w:tcW w:w="1534" w:type="pct"/>
            <w:vAlign w:val="center"/>
          </w:tcPr>
          <w:p w14:paraId="7F3A9605">
            <w:pPr>
              <w:pStyle w:val="133"/>
              <w:rPr>
                <w:rStyle w:val="984"/>
              </w:rPr>
            </w:pPr>
            <w:r>
              <w:rPr>
                <w:rStyle w:val="984"/>
                <w:rFonts w:hint="eastAsia"/>
              </w:rPr>
              <w:t>1.4571</w:t>
            </w:r>
            <w:r>
              <w:rPr>
                <w:rStyle w:val="984"/>
              </w:rPr>
              <w:t>kgce/kg</w:t>
            </w:r>
          </w:p>
        </w:tc>
        <w:tc>
          <w:tcPr>
            <w:tcW w:w="1272" w:type="pct"/>
            <w:vAlign w:val="center"/>
          </w:tcPr>
          <w:p w14:paraId="059A2D04">
            <w:pPr>
              <w:pStyle w:val="133"/>
              <w:rPr>
                <w:rStyle w:val="984"/>
              </w:rPr>
            </w:pPr>
            <w:r>
              <w:rPr>
                <w:rFonts w:eastAsia="等线" w:cs="Times New Roman"/>
                <w:color w:val="000000"/>
                <w:szCs w:val="21"/>
              </w:rPr>
              <w:t>33.5133</w:t>
            </w:r>
          </w:p>
        </w:tc>
      </w:tr>
      <w:tr w14:paraId="1CB5F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728" w:type="pct"/>
            <w:gridSpan w:val="4"/>
            <w:vAlign w:val="center"/>
          </w:tcPr>
          <w:p w14:paraId="32040A9F">
            <w:pPr>
              <w:pStyle w:val="133"/>
              <w:rPr>
                <w:rStyle w:val="984"/>
              </w:rPr>
            </w:pPr>
            <w:r>
              <w:rPr>
                <w:rStyle w:val="984"/>
              </w:rPr>
              <w:t>小计</w:t>
            </w:r>
          </w:p>
        </w:tc>
        <w:tc>
          <w:tcPr>
            <w:tcW w:w="1272" w:type="pct"/>
            <w:vAlign w:val="center"/>
          </w:tcPr>
          <w:p w14:paraId="60183BAB">
            <w:pPr>
              <w:pStyle w:val="133"/>
              <w:rPr>
                <w:rStyle w:val="984"/>
              </w:rPr>
            </w:pPr>
            <w:r>
              <w:rPr>
                <w:rStyle w:val="984"/>
                <w:rFonts w:hint="eastAsia"/>
              </w:rPr>
              <w:t>97004.09</w:t>
            </w:r>
          </w:p>
        </w:tc>
      </w:tr>
    </w:tbl>
    <w:p w14:paraId="0C6BB7E0">
      <w:pPr>
        <w:pStyle w:val="117"/>
        <w:ind w:firstLine="480"/>
        <w:rPr>
          <w:rFonts w:cs="Times New Roman"/>
        </w:rPr>
      </w:pPr>
    </w:p>
    <w:p w14:paraId="1B79C3AD">
      <w:pPr>
        <w:pStyle w:val="117"/>
        <w:ind w:firstLine="480"/>
      </w:pPr>
      <w:r>
        <w:rPr>
          <w:rFonts w:cs="Times New Roman"/>
        </w:rPr>
        <w:t>硅石组分为SiO</w:t>
      </w:r>
      <w:r>
        <w:rPr>
          <w:rFonts w:cs="Times New Roman"/>
          <w:vertAlign w:val="subscript"/>
        </w:rPr>
        <w:t>2</w:t>
      </w:r>
      <w:r>
        <w:rPr>
          <w:rFonts w:cs="Times New Roman"/>
        </w:rPr>
        <w:t>98%，达到入炉矿基准</w:t>
      </w:r>
      <w:r>
        <w:rPr>
          <w:rFonts w:hint="eastAsia" w:cs="Times New Roman"/>
        </w:rPr>
        <w:t>品位</w:t>
      </w:r>
      <w:r>
        <w:rPr>
          <w:rFonts w:cs="Times New Roman"/>
        </w:rPr>
        <w:t>。单位产品冶炼电耗</w:t>
      </w:r>
      <w:r>
        <w:rPr>
          <w:rFonts w:hint="eastAsia" w:cs="Times New Roman"/>
        </w:rPr>
        <w:t>8150</w:t>
      </w:r>
      <w:r>
        <w:rPr>
          <w:rFonts w:cs="Times New Roman"/>
        </w:rPr>
        <w:t>kW·h/t硅铁，单位产品综合能耗</w:t>
      </w:r>
      <w:r>
        <w:rPr>
          <w:rFonts w:hint="eastAsia" w:cs="Times New Roman"/>
        </w:rPr>
        <w:t>1732.22</w:t>
      </w:r>
      <w:r>
        <w:rPr>
          <w:rFonts w:cs="Times New Roman"/>
        </w:rPr>
        <w:t>kgce/t硅铁，达到《铁合金单位产品能源消耗限额》（GB 21341-2022）</w:t>
      </w:r>
      <w:r>
        <w:rPr>
          <w:rFonts w:hint="eastAsia" w:cs="Times New Roman"/>
        </w:rPr>
        <w:t>2</w:t>
      </w:r>
      <w:r>
        <w:rPr>
          <w:rFonts w:cs="Times New Roman"/>
        </w:rPr>
        <w:t>级能耗水平，同时可达到《工业重点领域能效标杆水平和基准水平（2023年版）》中铁合金冶炼行业硅铁领域的标杆水平（1770kgce/t硅铁）。</w:t>
      </w:r>
    </w:p>
    <w:p w14:paraId="29547946">
      <w:pPr>
        <w:pStyle w:val="138"/>
        <w:rPr>
          <w:rFonts w:hint="eastAsia"/>
        </w:rPr>
      </w:pPr>
      <w:r>
        <w:rPr>
          <w:rFonts w:hint="eastAsia"/>
        </w:rPr>
        <w:t>主</w:t>
      </w:r>
      <w:r>
        <w:t>要设备</w:t>
      </w:r>
    </w:p>
    <w:p w14:paraId="28BD3977">
      <w:pPr>
        <w:pStyle w:val="117"/>
        <w:ind w:firstLine="480"/>
      </w:pPr>
      <w:r>
        <w:rPr>
          <w:rFonts w:hint="eastAsia"/>
        </w:rPr>
        <w:t>电炉设备改造内容包括：加料系统、把持系统、短网系统、烟罩系统、排烟系统、液压系统、循环水系统、空气注入系统、炉壳系统、炉衬系统。</w:t>
      </w:r>
    </w:p>
    <w:p w14:paraId="7E524532">
      <w:pPr>
        <w:pStyle w:val="117"/>
        <w:ind w:firstLine="480"/>
      </w:pPr>
      <w:r>
        <w:rPr>
          <w:rFonts w:hint="eastAsia"/>
        </w:rPr>
        <w:t>（1）电炉主要参数</w:t>
      </w:r>
    </w:p>
    <w:p w14:paraId="35358D7F">
      <w:pPr>
        <w:pStyle w:val="117"/>
        <w:ind w:firstLine="480"/>
      </w:pPr>
      <w:r>
        <w:rPr>
          <w:rFonts w:hint="eastAsia"/>
        </w:rPr>
        <w:t>硅铁装置电炉主要参数，见表3.4-4。</w:t>
      </w:r>
    </w:p>
    <w:p w14:paraId="6281FE34">
      <w:pPr>
        <w:pStyle w:val="118"/>
      </w:pPr>
      <w:r>
        <w:rPr>
          <w:rFonts w:hint="eastAsia"/>
        </w:rPr>
        <w:t>表3.4-4  硅铁装置电路主要参数表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7"/>
        <w:gridCol w:w="1875"/>
        <w:gridCol w:w="758"/>
        <w:gridCol w:w="1408"/>
        <w:gridCol w:w="1408"/>
        <w:gridCol w:w="2366"/>
      </w:tblGrid>
      <w:tr w14:paraId="046C27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3001EC28">
            <w:pPr>
              <w:pStyle w:val="133"/>
              <w:rPr>
                <w:rFonts w:cs="Times New Roman"/>
                <w:b/>
                <w:bCs/>
              </w:rPr>
            </w:pPr>
            <w:r>
              <w:rPr>
                <w:rFonts w:cs="Times New Roman"/>
                <w:b/>
                <w:bCs/>
              </w:rPr>
              <w:t>序号</w:t>
            </w:r>
          </w:p>
        </w:tc>
        <w:tc>
          <w:tcPr>
            <w:tcW w:w="1100" w:type="pct"/>
            <w:vAlign w:val="center"/>
          </w:tcPr>
          <w:p w14:paraId="54CD7726">
            <w:pPr>
              <w:pStyle w:val="133"/>
              <w:rPr>
                <w:rFonts w:cs="Times New Roman"/>
                <w:b/>
                <w:bCs/>
              </w:rPr>
            </w:pPr>
            <w:r>
              <w:rPr>
                <w:rFonts w:cs="Times New Roman"/>
                <w:b/>
                <w:bCs/>
              </w:rPr>
              <w:t>名称</w:t>
            </w:r>
          </w:p>
        </w:tc>
        <w:tc>
          <w:tcPr>
            <w:tcW w:w="445" w:type="pct"/>
            <w:vAlign w:val="center"/>
          </w:tcPr>
          <w:p w14:paraId="6960C49E">
            <w:pPr>
              <w:pStyle w:val="133"/>
              <w:rPr>
                <w:rFonts w:cs="Times New Roman"/>
                <w:b/>
                <w:bCs/>
              </w:rPr>
            </w:pPr>
            <w:r>
              <w:rPr>
                <w:rFonts w:cs="Times New Roman"/>
                <w:b/>
                <w:bCs/>
              </w:rPr>
              <w:t>单位</w:t>
            </w:r>
          </w:p>
        </w:tc>
        <w:tc>
          <w:tcPr>
            <w:tcW w:w="826" w:type="pct"/>
            <w:vAlign w:val="center"/>
          </w:tcPr>
          <w:p w14:paraId="4063DD1B">
            <w:pPr>
              <w:pStyle w:val="133"/>
              <w:rPr>
                <w:rFonts w:cs="Times New Roman"/>
                <w:b/>
                <w:bCs/>
              </w:rPr>
            </w:pPr>
            <w:r>
              <w:rPr>
                <w:rFonts w:cs="Times New Roman"/>
                <w:b/>
                <w:bCs/>
              </w:rPr>
              <w:t>改造前参数</w:t>
            </w:r>
          </w:p>
        </w:tc>
        <w:tc>
          <w:tcPr>
            <w:tcW w:w="826" w:type="pct"/>
            <w:vAlign w:val="center"/>
          </w:tcPr>
          <w:p w14:paraId="52262A60">
            <w:pPr>
              <w:pStyle w:val="133"/>
              <w:rPr>
                <w:rFonts w:cs="Times New Roman"/>
                <w:b/>
                <w:bCs/>
              </w:rPr>
            </w:pPr>
            <w:r>
              <w:rPr>
                <w:rFonts w:cs="Times New Roman"/>
                <w:b/>
                <w:bCs/>
              </w:rPr>
              <w:t>改造后参数</w:t>
            </w:r>
          </w:p>
        </w:tc>
        <w:tc>
          <w:tcPr>
            <w:tcW w:w="1389" w:type="pct"/>
            <w:vAlign w:val="center"/>
          </w:tcPr>
          <w:p w14:paraId="1D348F5A">
            <w:pPr>
              <w:pStyle w:val="133"/>
              <w:rPr>
                <w:rFonts w:cs="Times New Roman"/>
                <w:b/>
                <w:bCs/>
              </w:rPr>
            </w:pPr>
            <w:r>
              <w:rPr>
                <w:rFonts w:cs="Times New Roman"/>
                <w:b/>
                <w:bCs/>
              </w:rPr>
              <w:t>备注</w:t>
            </w:r>
          </w:p>
        </w:tc>
      </w:tr>
      <w:tr w14:paraId="6E272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4431F949">
            <w:pPr>
              <w:pStyle w:val="133"/>
              <w:numPr>
                <w:ilvl w:val="0"/>
                <w:numId w:val="23"/>
              </w:numPr>
              <w:rPr>
                <w:rFonts w:cs="Times New Roman"/>
              </w:rPr>
            </w:pPr>
          </w:p>
        </w:tc>
        <w:tc>
          <w:tcPr>
            <w:tcW w:w="1100" w:type="pct"/>
            <w:vAlign w:val="center"/>
          </w:tcPr>
          <w:p w14:paraId="4C353A30">
            <w:pPr>
              <w:pStyle w:val="133"/>
              <w:rPr>
                <w:rFonts w:cs="Times New Roman"/>
              </w:rPr>
            </w:pPr>
            <w:r>
              <w:rPr>
                <w:rFonts w:cs="Times New Roman"/>
              </w:rPr>
              <w:t>炉壳直径</w:t>
            </w:r>
          </w:p>
        </w:tc>
        <w:tc>
          <w:tcPr>
            <w:tcW w:w="445" w:type="pct"/>
            <w:vAlign w:val="center"/>
          </w:tcPr>
          <w:p w14:paraId="31062705">
            <w:pPr>
              <w:pStyle w:val="133"/>
              <w:rPr>
                <w:rFonts w:cs="Times New Roman"/>
              </w:rPr>
            </w:pPr>
            <w:r>
              <w:rPr>
                <w:rFonts w:cs="Times New Roman"/>
              </w:rPr>
              <w:t>mm</w:t>
            </w:r>
          </w:p>
        </w:tc>
        <w:tc>
          <w:tcPr>
            <w:tcW w:w="826" w:type="pct"/>
            <w:vAlign w:val="center"/>
          </w:tcPr>
          <w:p w14:paraId="5413ADA7">
            <w:pPr>
              <w:pStyle w:val="133"/>
              <w:rPr>
                <w:rFonts w:cs="Times New Roman"/>
              </w:rPr>
            </w:pPr>
            <w:r>
              <w:rPr>
                <w:rFonts w:cs="Times New Roman"/>
              </w:rPr>
              <w:t>Φ10300</w:t>
            </w:r>
          </w:p>
        </w:tc>
        <w:tc>
          <w:tcPr>
            <w:tcW w:w="826" w:type="pct"/>
            <w:vAlign w:val="center"/>
          </w:tcPr>
          <w:p w14:paraId="11F9BA69">
            <w:pPr>
              <w:pStyle w:val="133"/>
              <w:rPr>
                <w:rFonts w:cs="Times New Roman"/>
              </w:rPr>
            </w:pPr>
            <w:r>
              <w:rPr>
                <w:rFonts w:cs="Times New Roman"/>
              </w:rPr>
              <w:t>Φ10600</w:t>
            </w:r>
          </w:p>
        </w:tc>
        <w:tc>
          <w:tcPr>
            <w:tcW w:w="1389" w:type="pct"/>
            <w:vAlign w:val="center"/>
          </w:tcPr>
          <w:p w14:paraId="34710059">
            <w:pPr>
              <w:pStyle w:val="133"/>
              <w:rPr>
                <w:rFonts w:cs="Times New Roman"/>
              </w:rPr>
            </w:pPr>
            <w:r>
              <w:rPr>
                <w:rFonts w:cs="Times New Roman"/>
              </w:rPr>
              <w:t>调整</w:t>
            </w:r>
          </w:p>
        </w:tc>
      </w:tr>
      <w:tr w14:paraId="7C3786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6EB52D92">
            <w:pPr>
              <w:pStyle w:val="133"/>
              <w:numPr>
                <w:ilvl w:val="0"/>
                <w:numId w:val="23"/>
              </w:numPr>
              <w:rPr>
                <w:rFonts w:cs="Times New Roman"/>
              </w:rPr>
            </w:pPr>
          </w:p>
        </w:tc>
        <w:tc>
          <w:tcPr>
            <w:tcW w:w="1100" w:type="pct"/>
            <w:vAlign w:val="center"/>
          </w:tcPr>
          <w:p w14:paraId="37A22842">
            <w:pPr>
              <w:pStyle w:val="133"/>
              <w:rPr>
                <w:rFonts w:cs="Times New Roman"/>
              </w:rPr>
            </w:pPr>
            <w:r>
              <w:rPr>
                <w:rFonts w:cs="Times New Roman"/>
              </w:rPr>
              <w:t>炉壳高度</w:t>
            </w:r>
          </w:p>
        </w:tc>
        <w:tc>
          <w:tcPr>
            <w:tcW w:w="445" w:type="pct"/>
            <w:vAlign w:val="center"/>
          </w:tcPr>
          <w:p w14:paraId="62EF4D4E">
            <w:pPr>
              <w:pStyle w:val="133"/>
              <w:rPr>
                <w:rFonts w:cs="Times New Roman"/>
              </w:rPr>
            </w:pPr>
            <w:r>
              <w:rPr>
                <w:rFonts w:cs="Times New Roman"/>
              </w:rPr>
              <w:t>mm</w:t>
            </w:r>
          </w:p>
        </w:tc>
        <w:tc>
          <w:tcPr>
            <w:tcW w:w="826" w:type="pct"/>
            <w:vAlign w:val="center"/>
          </w:tcPr>
          <w:p w14:paraId="1175A7AB">
            <w:pPr>
              <w:pStyle w:val="133"/>
              <w:rPr>
                <w:rFonts w:cs="Times New Roman"/>
              </w:rPr>
            </w:pPr>
            <w:r>
              <w:rPr>
                <w:rFonts w:cs="Times New Roman"/>
              </w:rPr>
              <w:t>5600</w:t>
            </w:r>
          </w:p>
        </w:tc>
        <w:tc>
          <w:tcPr>
            <w:tcW w:w="826" w:type="pct"/>
            <w:vAlign w:val="center"/>
          </w:tcPr>
          <w:p w14:paraId="69AE0809">
            <w:pPr>
              <w:pStyle w:val="133"/>
              <w:rPr>
                <w:rFonts w:cs="Times New Roman"/>
              </w:rPr>
            </w:pPr>
            <w:r>
              <w:rPr>
                <w:rFonts w:cs="Times New Roman"/>
              </w:rPr>
              <w:t>5600</w:t>
            </w:r>
          </w:p>
        </w:tc>
        <w:tc>
          <w:tcPr>
            <w:tcW w:w="1389" w:type="pct"/>
            <w:vAlign w:val="center"/>
          </w:tcPr>
          <w:p w14:paraId="547734F5">
            <w:pPr>
              <w:pStyle w:val="133"/>
              <w:rPr>
                <w:rFonts w:cs="Times New Roman"/>
              </w:rPr>
            </w:pPr>
            <w:r>
              <w:rPr>
                <w:rFonts w:cs="Times New Roman"/>
              </w:rPr>
              <w:t>不变</w:t>
            </w:r>
          </w:p>
        </w:tc>
      </w:tr>
      <w:tr w14:paraId="4C9FF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79253622">
            <w:pPr>
              <w:pStyle w:val="133"/>
              <w:numPr>
                <w:ilvl w:val="0"/>
                <w:numId w:val="23"/>
              </w:numPr>
              <w:rPr>
                <w:rFonts w:cs="Times New Roman"/>
              </w:rPr>
            </w:pPr>
          </w:p>
        </w:tc>
        <w:tc>
          <w:tcPr>
            <w:tcW w:w="1100" w:type="pct"/>
            <w:vAlign w:val="center"/>
          </w:tcPr>
          <w:p w14:paraId="239AB941">
            <w:pPr>
              <w:pStyle w:val="133"/>
              <w:rPr>
                <w:rFonts w:cs="Times New Roman"/>
              </w:rPr>
            </w:pPr>
            <w:r>
              <w:rPr>
                <w:rFonts w:cs="Times New Roman"/>
              </w:rPr>
              <w:t>炉膛直径</w:t>
            </w:r>
          </w:p>
        </w:tc>
        <w:tc>
          <w:tcPr>
            <w:tcW w:w="445" w:type="pct"/>
            <w:vAlign w:val="center"/>
          </w:tcPr>
          <w:p w14:paraId="01C1B2AE">
            <w:pPr>
              <w:pStyle w:val="133"/>
              <w:rPr>
                <w:rFonts w:cs="Times New Roman"/>
              </w:rPr>
            </w:pPr>
            <w:r>
              <w:rPr>
                <w:rFonts w:cs="Times New Roman"/>
              </w:rPr>
              <w:t>mm</w:t>
            </w:r>
          </w:p>
        </w:tc>
        <w:tc>
          <w:tcPr>
            <w:tcW w:w="826" w:type="pct"/>
            <w:vAlign w:val="center"/>
          </w:tcPr>
          <w:p w14:paraId="7EF07C4C">
            <w:pPr>
              <w:pStyle w:val="133"/>
              <w:rPr>
                <w:rFonts w:cs="Times New Roman"/>
              </w:rPr>
            </w:pPr>
            <w:r>
              <w:rPr>
                <w:rFonts w:cs="Times New Roman"/>
              </w:rPr>
              <w:t>Φ8100</w:t>
            </w:r>
          </w:p>
        </w:tc>
        <w:tc>
          <w:tcPr>
            <w:tcW w:w="826" w:type="pct"/>
            <w:vAlign w:val="center"/>
          </w:tcPr>
          <w:p w14:paraId="6ADD6D90">
            <w:pPr>
              <w:pStyle w:val="133"/>
              <w:rPr>
                <w:rFonts w:cs="Times New Roman"/>
              </w:rPr>
            </w:pPr>
            <w:r>
              <w:rPr>
                <w:rFonts w:cs="Times New Roman"/>
              </w:rPr>
              <w:t>Φ8400</w:t>
            </w:r>
          </w:p>
        </w:tc>
        <w:tc>
          <w:tcPr>
            <w:tcW w:w="1389" w:type="pct"/>
            <w:vAlign w:val="center"/>
          </w:tcPr>
          <w:p w14:paraId="4BC12B1E">
            <w:pPr>
              <w:pStyle w:val="133"/>
              <w:rPr>
                <w:rFonts w:cs="Times New Roman"/>
              </w:rPr>
            </w:pPr>
            <w:r>
              <w:rPr>
                <w:rFonts w:cs="Times New Roman"/>
              </w:rPr>
              <w:t>调整</w:t>
            </w:r>
          </w:p>
        </w:tc>
      </w:tr>
      <w:tr w14:paraId="1F46B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2FCD60E3">
            <w:pPr>
              <w:pStyle w:val="133"/>
              <w:numPr>
                <w:ilvl w:val="0"/>
                <w:numId w:val="23"/>
              </w:numPr>
              <w:rPr>
                <w:rFonts w:cs="Times New Roman"/>
              </w:rPr>
            </w:pPr>
          </w:p>
        </w:tc>
        <w:tc>
          <w:tcPr>
            <w:tcW w:w="1100" w:type="pct"/>
            <w:vAlign w:val="center"/>
          </w:tcPr>
          <w:p w14:paraId="750AA294">
            <w:pPr>
              <w:pStyle w:val="133"/>
              <w:rPr>
                <w:rFonts w:cs="Times New Roman"/>
              </w:rPr>
            </w:pPr>
            <w:r>
              <w:rPr>
                <w:rFonts w:cs="Times New Roman"/>
              </w:rPr>
              <w:t>炉膛深度</w:t>
            </w:r>
          </w:p>
        </w:tc>
        <w:tc>
          <w:tcPr>
            <w:tcW w:w="445" w:type="pct"/>
            <w:vAlign w:val="center"/>
          </w:tcPr>
          <w:p w14:paraId="340BF7DC">
            <w:pPr>
              <w:pStyle w:val="133"/>
              <w:rPr>
                <w:rFonts w:cs="Times New Roman"/>
              </w:rPr>
            </w:pPr>
            <w:r>
              <w:rPr>
                <w:rFonts w:cs="Times New Roman"/>
              </w:rPr>
              <w:t>mm</w:t>
            </w:r>
          </w:p>
        </w:tc>
        <w:tc>
          <w:tcPr>
            <w:tcW w:w="826" w:type="pct"/>
            <w:vAlign w:val="center"/>
          </w:tcPr>
          <w:p w14:paraId="4A308292">
            <w:pPr>
              <w:pStyle w:val="133"/>
              <w:rPr>
                <w:rFonts w:cs="Times New Roman"/>
              </w:rPr>
            </w:pPr>
            <w:r>
              <w:rPr>
                <w:rFonts w:cs="Times New Roman"/>
              </w:rPr>
              <w:t>3000</w:t>
            </w:r>
          </w:p>
        </w:tc>
        <w:tc>
          <w:tcPr>
            <w:tcW w:w="826" w:type="pct"/>
            <w:vAlign w:val="center"/>
          </w:tcPr>
          <w:p w14:paraId="420DF81A">
            <w:pPr>
              <w:pStyle w:val="133"/>
              <w:rPr>
                <w:rFonts w:cs="Times New Roman"/>
              </w:rPr>
            </w:pPr>
            <w:r>
              <w:rPr>
                <w:rFonts w:cs="Times New Roman"/>
              </w:rPr>
              <w:t>3400</w:t>
            </w:r>
          </w:p>
        </w:tc>
        <w:tc>
          <w:tcPr>
            <w:tcW w:w="1389" w:type="pct"/>
            <w:vAlign w:val="center"/>
          </w:tcPr>
          <w:p w14:paraId="2CF3C7DA">
            <w:pPr>
              <w:pStyle w:val="133"/>
              <w:rPr>
                <w:rFonts w:cs="Times New Roman"/>
              </w:rPr>
            </w:pPr>
            <w:r>
              <w:rPr>
                <w:rFonts w:cs="Times New Roman"/>
              </w:rPr>
              <w:t>调整</w:t>
            </w:r>
          </w:p>
        </w:tc>
      </w:tr>
      <w:tr w14:paraId="047F3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770744B6">
            <w:pPr>
              <w:pStyle w:val="133"/>
              <w:numPr>
                <w:ilvl w:val="0"/>
                <w:numId w:val="23"/>
              </w:numPr>
              <w:rPr>
                <w:rFonts w:cs="Times New Roman"/>
              </w:rPr>
            </w:pPr>
          </w:p>
        </w:tc>
        <w:tc>
          <w:tcPr>
            <w:tcW w:w="1100" w:type="pct"/>
            <w:vAlign w:val="center"/>
          </w:tcPr>
          <w:p w14:paraId="6CE3EE41">
            <w:pPr>
              <w:pStyle w:val="133"/>
              <w:rPr>
                <w:rFonts w:cs="Times New Roman"/>
              </w:rPr>
            </w:pPr>
            <w:r>
              <w:rPr>
                <w:rFonts w:cs="Times New Roman"/>
              </w:rPr>
              <w:t>电极直径</w:t>
            </w:r>
          </w:p>
        </w:tc>
        <w:tc>
          <w:tcPr>
            <w:tcW w:w="445" w:type="pct"/>
            <w:vAlign w:val="center"/>
          </w:tcPr>
          <w:p w14:paraId="7F38226E">
            <w:pPr>
              <w:pStyle w:val="133"/>
              <w:rPr>
                <w:rFonts w:cs="Times New Roman"/>
              </w:rPr>
            </w:pPr>
            <w:r>
              <w:rPr>
                <w:rFonts w:cs="Times New Roman"/>
              </w:rPr>
              <w:t>mm</w:t>
            </w:r>
          </w:p>
        </w:tc>
        <w:tc>
          <w:tcPr>
            <w:tcW w:w="826" w:type="pct"/>
            <w:vAlign w:val="center"/>
          </w:tcPr>
          <w:p w14:paraId="278DC8AE">
            <w:pPr>
              <w:pStyle w:val="133"/>
              <w:rPr>
                <w:rFonts w:cs="Times New Roman"/>
              </w:rPr>
            </w:pPr>
            <w:r>
              <w:rPr>
                <w:rFonts w:cs="Times New Roman"/>
              </w:rPr>
              <w:t>Φ1350</w:t>
            </w:r>
          </w:p>
        </w:tc>
        <w:tc>
          <w:tcPr>
            <w:tcW w:w="826" w:type="pct"/>
            <w:vAlign w:val="center"/>
          </w:tcPr>
          <w:p w14:paraId="0558724A">
            <w:pPr>
              <w:pStyle w:val="133"/>
              <w:rPr>
                <w:rFonts w:cs="Times New Roman"/>
              </w:rPr>
            </w:pPr>
            <w:r>
              <w:rPr>
                <w:rFonts w:cs="Times New Roman"/>
              </w:rPr>
              <w:t>Φ1350</w:t>
            </w:r>
          </w:p>
        </w:tc>
        <w:tc>
          <w:tcPr>
            <w:tcW w:w="1389" w:type="pct"/>
            <w:vAlign w:val="center"/>
          </w:tcPr>
          <w:p w14:paraId="2D252167">
            <w:pPr>
              <w:pStyle w:val="133"/>
              <w:rPr>
                <w:rFonts w:cs="Times New Roman"/>
              </w:rPr>
            </w:pPr>
            <w:r>
              <w:rPr>
                <w:rFonts w:cs="Times New Roman"/>
              </w:rPr>
              <w:t>不变</w:t>
            </w:r>
          </w:p>
        </w:tc>
      </w:tr>
      <w:tr w14:paraId="0163D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20BFEEC6">
            <w:pPr>
              <w:pStyle w:val="133"/>
              <w:numPr>
                <w:ilvl w:val="0"/>
                <w:numId w:val="23"/>
              </w:numPr>
              <w:rPr>
                <w:rFonts w:cs="Times New Roman"/>
              </w:rPr>
            </w:pPr>
          </w:p>
        </w:tc>
        <w:tc>
          <w:tcPr>
            <w:tcW w:w="1100" w:type="pct"/>
            <w:vAlign w:val="center"/>
          </w:tcPr>
          <w:p w14:paraId="7E37DE18">
            <w:pPr>
              <w:pStyle w:val="133"/>
              <w:rPr>
                <w:rFonts w:cs="Times New Roman"/>
              </w:rPr>
            </w:pPr>
            <w:r>
              <w:rPr>
                <w:rFonts w:cs="Times New Roman"/>
              </w:rPr>
              <w:t>电极极心圆直径</w:t>
            </w:r>
          </w:p>
        </w:tc>
        <w:tc>
          <w:tcPr>
            <w:tcW w:w="445" w:type="pct"/>
            <w:vAlign w:val="center"/>
          </w:tcPr>
          <w:p w14:paraId="40503974">
            <w:pPr>
              <w:pStyle w:val="133"/>
              <w:rPr>
                <w:rFonts w:cs="Times New Roman"/>
              </w:rPr>
            </w:pPr>
            <w:r>
              <w:rPr>
                <w:rFonts w:cs="Times New Roman"/>
              </w:rPr>
              <w:t>mm</w:t>
            </w:r>
          </w:p>
        </w:tc>
        <w:tc>
          <w:tcPr>
            <w:tcW w:w="826" w:type="pct"/>
            <w:vAlign w:val="center"/>
          </w:tcPr>
          <w:p w14:paraId="60B8DEFF">
            <w:pPr>
              <w:pStyle w:val="133"/>
              <w:rPr>
                <w:rFonts w:cs="Times New Roman"/>
              </w:rPr>
            </w:pPr>
            <w:r>
              <w:rPr>
                <w:rFonts w:cs="Times New Roman"/>
              </w:rPr>
              <w:t>Φ3600</w:t>
            </w:r>
          </w:p>
        </w:tc>
        <w:tc>
          <w:tcPr>
            <w:tcW w:w="826" w:type="pct"/>
            <w:vAlign w:val="center"/>
          </w:tcPr>
          <w:p w14:paraId="2F4FBDE5">
            <w:pPr>
              <w:pStyle w:val="133"/>
              <w:rPr>
                <w:rFonts w:cs="Times New Roman"/>
              </w:rPr>
            </w:pPr>
            <w:r>
              <w:rPr>
                <w:rFonts w:cs="Times New Roman"/>
              </w:rPr>
              <w:t>Φ3450</w:t>
            </w:r>
          </w:p>
        </w:tc>
        <w:tc>
          <w:tcPr>
            <w:tcW w:w="1389" w:type="pct"/>
            <w:vAlign w:val="center"/>
          </w:tcPr>
          <w:p w14:paraId="2134CB31">
            <w:pPr>
              <w:pStyle w:val="133"/>
              <w:rPr>
                <w:rFonts w:cs="Times New Roman"/>
              </w:rPr>
            </w:pPr>
            <w:r>
              <w:rPr>
                <w:rFonts w:cs="Times New Roman"/>
              </w:rPr>
              <w:t>±150可调</w:t>
            </w:r>
          </w:p>
        </w:tc>
      </w:tr>
      <w:tr w14:paraId="53E280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6E5C200E">
            <w:pPr>
              <w:pStyle w:val="133"/>
              <w:numPr>
                <w:ilvl w:val="0"/>
                <w:numId w:val="23"/>
              </w:numPr>
              <w:rPr>
                <w:rFonts w:cs="Times New Roman"/>
              </w:rPr>
            </w:pPr>
          </w:p>
        </w:tc>
        <w:tc>
          <w:tcPr>
            <w:tcW w:w="1100" w:type="pct"/>
            <w:vAlign w:val="center"/>
          </w:tcPr>
          <w:p w14:paraId="5F46A7D4">
            <w:pPr>
              <w:pStyle w:val="133"/>
              <w:rPr>
                <w:rFonts w:cs="Times New Roman"/>
              </w:rPr>
            </w:pPr>
            <w:r>
              <w:rPr>
                <w:rFonts w:cs="Times New Roman"/>
              </w:rPr>
              <w:t>电极工作行程</w:t>
            </w:r>
          </w:p>
        </w:tc>
        <w:tc>
          <w:tcPr>
            <w:tcW w:w="445" w:type="pct"/>
            <w:vAlign w:val="center"/>
          </w:tcPr>
          <w:p w14:paraId="34A1673A">
            <w:pPr>
              <w:pStyle w:val="133"/>
              <w:rPr>
                <w:rFonts w:cs="Times New Roman"/>
              </w:rPr>
            </w:pPr>
            <w:r>
              <w:rPr>
                <w:rFonts w:cs="Times New Roman"/>
              </w:rPr>
              <w:t>mm</w:t>
            </w:r>
          </w:p>
        </w:tc>
        <w:tc>
          <w:tcPr>
            <w:tcW w:w="826" w:type="pct"/>
            <w:vAlign w:val="center"/>
          </w:tcPr>
          <w:p w14:paraId="2F01F589">
            <w:pPr>
              <w:pStyle w:val="133"/>
              <w:rPr>
                <w:rFonts w:cs="Times New Roman"/>
              </w:rPr>
            </w:pPr>
            <w:r>
              <w:rPr>
                <w:rFonts w:cs="Times New Roman"/>
              </w:rPr>
              <w:t>2000</w:t>
            </w:r>
          </w:p>
        </w:tc>
        <w:tc>
          <w:tcPr>
            <w:tcW w:w="826" w:type="pct"/>
            <w:vAlign w:val="center"/>
          </w:tcPr>
          <w:p w14:paraId="79355DF6">
            <w:pPr>
              <w:pStyle w:val="133"/>
              <w:rPr>
                <w:rFonts w:cs="Times New Roman"/>
              </w:rPr>
            </w:pPr>
            <w:r>
              <w:rPr>
                <w:rFonts w:cs="Times New Roman"/>
              </w:rPr>
              <w:t>1500</w:t>
            </w:r>
          </w:p>
        </w:tc>
        <w:tc>
          <w:tcPr>
            <w:tcW w:w="1389" w:type="pct"/>
            <w:vAlign w:val="center"/>
          </w:tcPr>
          <w:p w14:paraId="0F62945D">
            <w:pPr>
              <w:pStyle w:val="133"/>
              <w:rPr>
                <w:rFonts w:cs="Times New Roman"/>
              </w:rPr>
            </w:pPr>
            <w:r>
              <w:rPr>
                <w:rFonts w:cs="Times New Roman"/>
              </w:rPr>
              <w:t>调整</w:t>
            </w:r>
          </w:p>
        </w:tc>
      </w:tr>
      <w:tr w14:paraId="4E3495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335A9C14">
            <w:pPr>
              <w:pStyle w:val="133"/>
              <w:numPr>
                <w:ilvl w:val="0"/>
                <w:numId w:val="23"/>
              </w:numPr>
              <w:rPr>
                <w:rFonts w:cs="Times New Roman"/>
              </w:rPr>
            </w:pPr>
          </w:p>
        </w:tc>
        <w:tc>
          <w:tcPr>
            <w:tcW w:w="1100" w:type="pct"/>
            <w:vAlign w:val="center"/>
          </w:tcPr>
          <w:p w14:paraId="36226B2E">
            <w:pPr>
              <w:pStyle w:val="133"/>
              <w:rPr>
                <w:rFonts w:cs="Times New Roman"/>
              </w:rPr>
            </w:pPr>
            <w:r>
              <w:rPr>
                <w:rFonts w:cs="Times New Roman"/>
              </w:rPr>
              <w:t>烟罩高度</w:t>
            </w:r>
          </w:p>
        </w:tc>
        <w:tc>
          <w:tcPr>
            <w:tcW w:w="445" w:type="pct"/>
            <w:vAlign w:val="center"/>
          </w:tcPr>
          <w:p w14:paraId="61769B3A">
            <w:pPr>
              <w:pStyle w:val="133"/>
              <w:rPr>
                <w:rFonts w:cs="Times New Roman"/>
              </w:rPr>
            </w:pPr>
            <w:r>
              <w:rPr>
                <w:rFonts w:cs="Times New Roman"/>
              </w:rPr>
              <w:t>mm</w:t>
            </w:r>
          </w:p>
        </w:tc>
        <w:tc>
          <w:tcPr>
            <w:tcW w:w="826" w:type="pct"/>
            <w:vAlign w:val="center"/>
          </w:tcPr>
          <w:p w14:paraId="1E2DDFE8">
            <w:pPr>
              <w:pStyle w:val="133"/>
              <w:rPr>
                <w:rFonts w:cs="Times New Roman"/>
              </w:rPr>
            </w:pPr>
            <w:r>
              <w:rPr>
                <w:rFonts w:cs="Times New Roman"/>
              </w:rPr>
              <w:t>2600</w:t>
            </w:r>
          </w:p>
        </w:tc>
        <w:tc>
          <w:tcPr>
            <w:tcW w:w="826" w:type="pct"/>
            <w:vAlign w:val="center"/>
          </w:tcPr>
          <w:p w14:paraId="60F386F8">
            <w:pPr>
              <w:pStyle w:val="133"/>
              <w:rPr>
                <w:rFonts w:cs="Times New Roman"/>
              </w:rPr>
            </w:pPr>
            <w:r>
              <w:rPr>
                <w:rFonts w:cs="Times New Roman"/>
              </w:rPr>
              <w:t>2850</w:t>
            </w:r>
          </w:p>
        </w:tc>
        <w:tc>
          <w:tcPr>
            <w:tcW w:w="1389" w:type="pct"/>
            <w:vAlign w:val="center"/>
          </w:tcPr>
          <w:p w14:paraId="798DC111">
            <w:pPr>
              <w:pStyle w:val="133"/>
              <w:rPr>
                <w:rFonts w:cs="Times New Roman"/>
              </w:rPr>
            </w:pPr>
            <w:r>
              <w:rPr>
                <w:rFonts w:cs="Times New Roman"/>
              </w:rPr>
              <w:t>调整</w:t>
            </w:r>
          </w:p>
        </w:tc>
      </w:tr>
      <w:tr w14:paraId="74ADA6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52534270">
            <w:pPr>
              <w:pStyle w:val="133"/>
              <w:numPr>
                <w:ilvl w:val="0"/>
                <w:numId w:val="23"/>
              </w:numPr>
              <w:rPr>
                <w:rFonts w:cs="Times New Roman"/>
              </w:rPr>
            </w:pPr>
          </w:p>
        </w:tc>
        <w:tc>
          <w:tcPr>
            <w:tcW w:w="1100" w:type="pct"/>
            <w:vAlign w:val="center"/>
          </w:tcPr>
          <w:p w14:paraId="5F28B63A">
            <w:pPr>
              <w:pStyle w:val="133"/>
              <w:rPr>
                <w:rFonts w:cs="Times New Roman"/>
              </w:rPr>
            </w:pPr>
            <w:r>
              <w:rPr>
                <w:rFonts w:cs="Times New Roman"/>
              </w:rPr>
              <w:t>主烟管</w:t>
            </w:r>
          </w:p>
        </w:tc>
        <w:tc>
          <w:tcPr>
            <w:tcW w:w="445" w:type="pct"/>
            <w:vAlign w:val="center"/>
          </w:tcPr>
          <w:p w14:paraId="37E3AC5B">
            <w:pPr>
              <w:pStyle w:val="133"/>
              <w:rPr>
                <w:rFonts w:cs="Times New Roman"/>
              </w:rPr>
            </w:pPr>
            <w:r>
              <w:rPr>
                <w:rFonts w:cs="Times New Roman"/>
              </w:rPr>
              <w:t>根</w:t>
            </w:r>
          </w:p>
        </w:tc>
        <w:tc>
          <w:tcPr>
            <w:tcW w:w="826" w:type="pct"/>
            <w:vAlign w:val="center"/>
          </w:tcPr>
          <w:p w14:paraId="3457FE5E">
            <w:pPr>
              <w:pStyle w:val="133"/>
              <w:rPr>
                <w:rFonts w:cs="Times New Roman"/>
              </w:rPr>
            </w:pPr>
            <w:r>
              <w:rPr>
                <w:rFonts w:cs="Times New Roman"/>
              </w:rPr>
              <w:t>2×Φ2920</w:t>
            </w:r>
          </w:p>
        </w:tc>
        <w:tc>
          <w:tcPr>
            <w:tcW w:w="826" w:type="pct"/>
            <w:vAlign w:val="center"/>
          </w:tcPr>
          <w:p w14:paraId="2EC637CA">
            <w:pPr>
              <w:pStyle w:val="133"/>
              <w:rPr>
                <w:rFonts w:cs="Times New Roman"/>
              </w:rPr>
            </w:pPr>
            <w:r>
              <w:rPr>
                <w:rFonts w:cs="Times New Roman"/>
              </w:rPr>
              <w:t>2×Φ2920</w:t>
            </w:r>
          </w:p>
        </w:tc>
        <w:tc>
          <w:tcPr>
            <w:tcW w:w="1389" w:type="pct"/>
            <w:vAlign w:val="center"/>
          </w:tcPr>
          <w:p w14:paraId="0556F97B">
            <w:pPr>
              <w:pStyle w:val="133"/>
              <w:rPr>
                <w:rFonts w:cs="Times New Roman"/>
              </w:rPr>
            </w:pPr>
            <w:r>
              <w:rPr>
                <w:rFonts w:cs="Times New Roman"/>
              </w:rPr>
              <w:t>不变</w:t>
            </w:r>
          </w:p>
        </w:tc>
      </w:tr>
      <w:tr w14:paraId="24785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44E87668">
            <w:pPr>
              <w:pStyle w:val="133"/>
              <w:numPr>
                <w:ilvl w:val="0"/>
                <w:numId w:val="23"/>
              </w:numPr>
              <w:rPr>
                <w:rFonts w:cs="Times New Roman"/>
              </w:rPr>
            </w:pPr>
          </w:p>
        </w:tc>
        <w:tc>
          <w:tcPr>
            <w:tcW w:w="1100" w:type="pct"/>
            <w:vAlign w:val="center"/>
          </w:tcPr>
          <w:p w14:paraId="25135E1B">
            <w:pPr>
              <w:pStyle w:val="133"/>
              <w:rPr>
                <w:rFonts w:cs="Times New Roman"/>
              </w:rPr>
            </w:pPr>
            <w:r>
              <w:rPr>
                <w:rFonts w:cs="Times New Roman"/>
              </w:rPr>
              <w:t>短网铜管直径</w:t>
            </w:r>
          </w:p>
        </w:tc>
        <w:tc>
          <w:tcPr>
            <w:tcW w:w="445" w:type="pct"/>
            <w:vAlign w:val="center"/>
          </w:tcPr>
          <w:p w14:paraId="730E01FB">
            <w:pPr>
              <w:pStyle w:val="133"/>
              <w:rPr>
                <w:rFonts w:cs="Times New Roman"/>
              </w:rPr>
            </w:pPr>
            <w:r>
              <w:rPr>
                <w:rFonts w:cs="Times New Roman"/>
              </w:rPr>
              <w:t>mm</w:t>
            </w:r>
          </w:p>
        </w:tc>
        <w:tc>
          <w:tcPr>
            <w:tcW w:w="826" w:type="pct"/>
            <w:vAlign w:val="center"/>
          </w:tcPr>
          <w:p w14:paraId="7B6EE1A8">
            <w:pPr>
              <w:pStyle w:val="133"/>
              <w:rPr>
                <w:rFonts w:cs="Times New Roman"/>
              </w:rPr>
            </w:pPr>
            <w:r>
              <w:rPr>
                <w:rFonts w:cs="Times New Roman"/>
              </w:rPr>
              <w:t>Φ70×12.5</w:t>
            </w:r>
          </w:p>
        </w:tc>
        <w:tc>
          <w:tcPr>
            <w:tcW w:w="826" w:type="pct"/>
            <w:vAlign w:val="center"/>
          </w:tcPr>
          <w:p w14:paraId="67D3E463">
            <w:pPr>
              <w:pStyle w:val="133"/>
              <w:rPr>
                <w:rFonts w:cs="Times New Roman"/>
              </w:rPr>
            </w:pPr>
            <w:r>
              <w:rPr>
                <w:rFonts w:cs="Times New Roman"/>
              </w:rPr>
              <w:t>Φ70×15</w:t>
            </w:r>
          </w:p>
        </w:tc>
        <w:tc>
          <w:tcPr>
            <w:tcW w:w="1389" w:type="pct"/>
            <w:vAlign w:val="center"/>
          </w:tcPr>
          <w:p w14:paraId="46ED9BA2">
            <w:pPr>
              <w:pStyle w:val="133"/>
              <w:rPr>
                <w:rFonts w:cs="Times New Roman"/>
              </w:rPr>
            </w:pPr>
            <w:r>
              <w:rPr>
                <w:rFonts w:cs="Times New Roman"/>
              </w:rPr>
              <w:t>调整</w:t>
            </w:r>
          </w:p>
        </w:tc>
      </w:tr>
      <w:tr w14:paraId="78A3EC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38C9A8D9">
            <w:pPr>
              <w:pStyle w:val="133"/>
              <w:numPr>
                <w:ilvl w:val="0"/>
                <w:numId w:val="23"/>
              </w:numPr>
              <w:rPr>
                <w:rFonts w:cs="Times New Roman"/>
              </w:rPr>
            </w:pPr>
          </w:p>
        </w:tc>
        <w:tc>
          <w:tcPr>
            <w:tcW w:w="1100" w:type="pct"/>
            <w:vAlign w:val="center"/>
          </w:tcPr>
          <w:p w14:paraId="2B5F5F1B">
            <w:pPr>
              <w:pStyle w:val="133"/>
              <w:rPr>
                <w:rFonts w:cs="Times New Roman"/>
              </w:rPr>
            </w:pPr>
            <w:r>
              <w:rPr>
                <w:rFonts w:cs="Times New Roman"/>
              </w:rPr>
              <w:t>铜瓦数量</w:t>
            </w:r>
          </w:p>
        </w:tc>
        <w:tc>
          <w:tcPr>
            <w:tcW w:w="445" w:type="pct"/>
            <w:vAlign w:val="center"/>
          </w:tcPr>
          <w:p w14:paraId="04D05339">
            <w:pPr>
              <w:pStyle w:val="133"/>
              <w:rPr>
                <w:rFonts w:cs="Times New Roman"/>
              </w:rPr>
            </w:pPr>
            <w:r>
              <w:rPr>
                <w:rFonts w:cs="Times New Roman"/>
              </w:rPr>
              <w:t>块</w:t>
            </w:r>
          </w:p>
        </w:tc>
        <w:tc>
          <w:tcPr>
            <w:tcW w:w="826" w:type="pct"/>
            <w:vAlign w:val="center"/>
          </w:tcPr>
          <w:p w14:paraId="47155EF7">
            <w:pPr>
              <w:pStyle w:val="133"/>
              <w:rPr>
                <w:rFonts w:cs="Times New Roman"/>
              </w:rPr>
            </w:pPr>
            <w:r>
              <w:rPr>
                <w:rFonts w:cs="Times New Roman"/>
              </w:rPr>
              <w:t>30</w:t>
            </w:r>
          </w:p>
        </w:tc>
        <w:tc>
          <w:tcPr>
            <w:tcW w:w="826" w:type="pct"/>
            <w:vAlign w:val="center"/>
          </w:tcPr>
          <w:p w14:paraId="19E8F87C">
            <w:pPr>
              <w:pStyle w:val="133"/>
              <w:rPr>
                <w:rFonts w:cs="Times New Roman"/>
              </w:rPr>
            </w:pPr>
            <w:r>
              <w:rPr>
                <w:rFonts w:cs="Times New Roman"/>
              </w:rPr>
              <w:t>30</w:t>
            </w:r>
          </w:p>
        </w:tc>
        <w:tc>
          <w:tcPr>
            <w:tcW w:w="1389" w:type="pct"/>
            <w:vAlign w:val="center"/>
          </w:tcPr>
          <w:p w14:paraId="19915CDB">
            <w:pPr>
              <w:pStyle w:val="133"/>
              <w:rPr>
                <w:rFonts w:cs="Times New Roman"/>
              </w:rPr>
            </w:pPr>
            <w:r>
              <w:rPr>
                <w:rFonts w:cs="Times New Roman"/>
              </w:rPr>
              <w:t>厚85mm，高860mm</w:t>
            </w:r>
          </w:p>
        </w:tc>
      </w:tr>
      <w:tr w14:paraId="4AB78C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43BBFF71">
            <w:pPr>
              <w:pStyle w:val="133"/>
              <w:numPr>
                <w:ilvl w:val="0"/>
                <w:numId w:val="23"/>
              </w:numPr>
              <w:rPr>
                <w:rFonts w:cs="Times New Roman"/>
              </w:rPr>
            </w:pPr>
          </w:p>
        </w:tc>
        <w:tc>
          <w:tcPr>
            <w:tcW w:w="1100" w:type="pct"/>
            <w:vAlign w:val="center"/>
          </w:tcPr>
          <w:p w14:paraId="1E437449">
            <w:pPr>
              <w:pStyle w:val="133"/>
              <w:rPr>
                <w:rFonts w:cs="Times New Roman"/>
              </w:rPr>
            </w:pPr>
            <w:r>
              <w:rPr>
                <w:rFonts w:cs="Times New Roman"/>
              </w:rPr>
              <w:t>水冷电缆截面</w:t>
            </w:r>
          </w:p>
        </w:tc>
        <w:tc>
          <w:tcPr>
            <w:tcW w:w="445" w:type="pct"/>
            <w:vAlign w:val="center"/>
          </w:tcPr>
          <w:p w14:paraId="1CD0CD05">
            <w:pPr>
              <w:pStyle w:val="133"/>
              <w:rPr>
                <w:rFonts w:cs="Times New Roman"/>
              </w:rPr>
            </w:pPr>
            <w:r>
              <w:rPr>
                <w:rFonts w:cs="Times New Roman"/>
              </w:rPr>
              <w:t>mm</w:t>
            </w:r>
            <w:r>
              <w:rPr>
                <w:rFonts w:cs="Times New Roman"/>
                <w:vertAlign w:val="superscript"/>
              </w:rPr>
              <w:t>2</w:t>
            </w:r>
          </w:p>
        </w:tc>
        <w:tc>
          <w:tcPr>
            <w:tcW w:w="826" w:type="pct"/>
            <w:vAlign w:val="center"/>
          </w:tcPr>
          <w:p w14:paraId="1155EAA6">
            <w:pPr>
              <w:pStyle w:val="133"/>
              <w:rPr>
                <w:rFonts w:cs="Times New Roman"/>
              </w:rPr>
            </w:pPr>
            <w:r>
              <w:rPr>
                <w:rFonts w:cs="Times New Roman"/>
              </w:rPr>
              <w:t>2400</w:t>
            </w:r>
          </w:p>
        </w:tc>
        <w:tc>
          <w:tcPr>
            <w:tcW w:w="826" w:type="pct"/>
            <w:vAlign w:val="center"/>
          </w:tcPr>
          <w:p w14:paraId="28178DC4">
            <w:pPr>
              <w:pStyle w:val="133"/>
              <w:rPr>
                <w:rFonts w:cs="Times New Roman"/>
              </w:rPr>
            </w:pPr>
            <w:r>
              <w:rPr>
                <w:rFonts w:cs="Times New Roman"/>
              </w:rPr>
              <w:t>2600</w:t>
            </w:r>
          </w:p>
        </w:tc>
        <w:tc>
          <w:tcPr>
            <w:tcW w:w="1389" w:type="pct"/>
            <w:vAlign w:val="center"/>
          </w:tcPr>
          <w:p w14:paraId="2AA6592B">
            <w:pPr>
              <w:pStyle w:val="133"/>
              <w:rPr>
                <w:rFonts w:cs="Times New Roman"/>
              </w:rPr>
            </w:pPr>
          </w:p>
        </w:tc>
      </w:tr>
      <w:tr w14:paraId="169CD0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7E99E2CF">
            <w:pPr>
              <w:pStyle w:val="133"/>
              <w:numPr>
                <w:ilvl w:val="0"/>
                <w:numId w:val="23"/>
              </w:numPr>
              <w:rPr>
                <w:rFonts w:cs="Times New Roman"/>
              </w:rPr>
            </w:pPr>
          </w:p>
        </w:tc>
        <w:tc>
          <w:tcPr>
            <w:tcW w:w="1100" w:type="pct"/>
            <w:vAlign w:val="center"/>
          </w:tcPr>
          <w:p w14:paraId="709F0A7E">
            <w:pPr>
              <w:pStyle w:val="133"/>
              <w:rPr>
                <w:rFonts w:cs="Times New Roman"/>
              </w:rPr>
            </w:pPr>
            <w:r>
              <w:rPr>
                <w:rFonts w:cs="Times New Roman"/>
              </w:rPr>
              <w:t>出炉口个数</w:t>
            </w:r>
          </w:p>
        </w:tc>
        <w:tc>
          <w:tcPr>
            <w:tcW w:w="445" w:type="pct"/>
            <w:vAlign w:val="center"/>
          </w:tcPr>
          <w:p w14:paraId="2062882D">
            <w:pPr>
              <w:pStyle w:val="133"/>
              <w:rPr>
                <w:rFonts w:cs="Times New Roman"/>
              </w:rPr>
            </w:pPr>
            <w:r>
              <w:rPr>
                <w:rFonts w:cs="Times New Roman"/>
              </w:rPr>
              <w:t>个</w:t>
            </w:r>
          </w:p>
        </w:tc>
        <w:tc>
          <w:tcPr>
            <w:tcW w:w="826" w:type="pct"/>
            <w:vAlign w:val="center"/>
          </w:tcPr>
          <w:p w14:paraId="7F0ED852">
            <w:pPr>
              <w:pStyle w:val="133"/>
              <w:rPr>
                <w:rFonts w:cs="Times New Roman"/>
              </w:rPr>
            </w:pPr>
            <w:r>
              <w:rPr>
                <w:rFonts w:cs="Times New Roman"/>
              </w:rPr>
              <w:t>3</w:t>
            </w:r>
          </w:p>
        </w:tc>
        <w:tc>
          <w:tcPr>
            <w:tcW w:w="826" w:type="pct"/>
            <w:vAlign w:val="center"/>
          </w:tcPr>
          <w:p w14:paraId="778DC7E8">
            <w:pPr>
              <w:pStyle w:val="133"/>
              <w:rPr>
                <w:rFonts w:cs="Times New Roman"/>
              </w:rPr>
            </w:pPr>
            <w:r>
              <w:rPr>
                <w:rFonts w:cs="Times New Roman"/>
              </w:rPr>
              <w:t>3</w:t>
            </w:r>
          </w:p>
        </w:tc>
        <w:tc>
          <w:tcPr>
            <w:tcW w:w="1389" w:type="pct"/>
            <w:vAlign w:val="center"/>
          </w:tcPr>
          <w:p w14:paraId="153B14E2">
            <w:pPr>
              <w:pStyle w:val="133"/>
              <w:rPr>
                <w:rFonts w:cs="Times New Roman"/>
              </w:rPr>
            </w:pPr>
            <w:r>
              <w:rPr>
                <w:rFonts w:cs="Times New Roman"/>
              </w:rPr>
              <w:t>不变</w:t>
            </w:r>
          </w:p>
        </w:tc>
      </w:tr>
      <w:tr w14:paraId="288C6F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18F6E93C">
            <w:pPr>
              <w:pStyle w:val="133"/>
              <w:numPr>
                <w:ilvl w:val="0"/>
                <w:numId w:val="23"/>
              </w:numPr>
              <w:rPr>
                <w:rFonts w:cs="Times New Roman"/>
              </w:rPr>
            </w:pPr>
          </w:p>
        </w:tc>
        <w:tc>
          <w:tcPr>
            <w:tcW w:w="1100" w:type="pct"/>
            <w:vAlign w:val="center"/>
          </w:tcPr>
          <w:p w14:paraId="535E6183">
            <w:pPr>
              <w:pStyle w:val="133"/>
              <w:rPr>
                <w:rFonts w:cs="Times New Roman"/>
              </w:rPr>
            </w:pPr>
            <w:r>
              <w:rPr>
                <w:rFonts w:cs="Times New Roman"/>
              </w:rPr>
              <w:t>电极升降速度</w:t>
            </w:r>
          </w:p>
        </w:tc>
        <w:tc>
          <w:tcPr>
            <w:tcW w:w="445" w:type="pct"/>
            <w:vAlign w:val="center"/>
          </w:tcPr>
          <w:p w14:paraId="66CFB9B3">
            <w:pPr>
              <w:pStyle w:val="133"/>
              <w:rPr>
                <w:rFonts w:cs="Times New Roman"/>
              </w:rPr>
            </w:pPr>
            <w:r>
              <w:rPr>
                <w:rFonts w:cs="Times New Roman"/>
              </w:rPr>
              <w:t>mm/s</w:t>
            </w:r>
          </w:p>
        </w:tc>
        <w:tc>
          <w:tcPr>
            <w:tcW w:w="826" w:type="pct"/>
            <w:vAlign w:val="center"/>
          </w:tcPr>
          <w:p w14:paraId="4A14036F">
            <w:pPr>
              <w:pStyle w:val="133"/>
              <w:rPr>
                <w:rFonts w:cs="Times New Roman"/>
              </w:rPr>
            </w:pPr>
          </w:p>
        </w:tc>
        <w:tc>
          <w:tcPr>
            <w:tcW w:w="826" w:type="pct"/>
            <w:vAlign w:val="center"/>
          </w:tcPr>
          <w:p w14:paraId="7CD49961">
            <w:pPr>
              <w:pStyle w:val="133"/>
              <w:rPr>
                <w:rFonts w:cs="Times New Roman"/>
              </w:rPr>
            </w:pPr>
            <w:r>
              <w:rPr>
                <w:rFonts w:cs="Times New Roman"/>
              </w:rPr>
              <w:t>6-10</w:t>
            </w:r>
          </w:p>
        </w:tc>
        <w:tc>
          <w:tcPr>
            <w:tcW w:w="1389" w:type="pct"/>
            <w:vAlign w:val="center"/>
          </w:tcPr>
          <w:p w14:paraId="030D1933">
            <w:pPr>
              <w:pStyle w:val="133"/>
              <w:rPr>
                <w:rFonts w:cs="Times New Roman"/>
              </w:rPr>
            </w:pPr>
          </w:p>
        </w:tc>
      </w:tr>
      <w:tr w14:paraId="238E54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415" w:type="pct"/>
            <w:vAlign w:val="center"/>
          </w:tcPr>
          <w:p w14:paraId="2EABCC20">
            <w:pPr>
              <w:pStyle w:val="133"/>
              <w:numPr>
                <w:ilvl w:val="0"/>
                <w:numId w:val="23"/>
              </w:numPr>
              <w:rPr>
                <w:rFonts w:cs="Times New Roman"/>
              </w:rPr>
            </w:pPr>
          </w:p>
        </w:tc>
        <w:tc>
          <w:tcPr>
            <w:tcW w:w="1100" w:type="pct"/>
            <w:vAlign w:val="center"/>
          </w:tcPr>
          <w:p w14:paraId="0FC2AE83">
            <w:pPr>
              <w:pStyle w:val="133"/>
              <w:rPr>
                <w:rFonts w:cs="Times New Roman"/>
              </w:rPr>
            </w:pPr>
            <w:r>
              <w:rPr>
                <w:rFonts w:cs="Times New Roman"/>
              </w:rPr>
              <w:t>升降油缸行程</w:t>
            </w:r>
          </w:p>
        </w:tc>
        <w:tc>
          <w:tcPr>
            <w:tcW w:w="445" w:type="pct"/>
            <w:vAlign w:val="center"/>
          </w:tcPr>
          <w:p w14:paraId="3AAD849F">
            <w:pPr>
              <w:pStyle w:val="133"/>
              <w:rPr>
                <w:rFonts w:cs="Times New Roman"/>
              </w:rPr>
            </w:pPr>
            <w:r>
              <w:rPr>
                <w:rFonts w:cs="Times New Roman"/>
              </w:rPr>
              <w:t>mm</w:t>
            </w:r>
          </w:p>
        </w:tc>
        <w:tc>
          <w:tcPr>
            <w:tcW w:w="826" w:type="pct"/>
            <w:vAlign w:val="center"/>
          </w:tcPr>
          <w:p w14:paraId="2DC5A7F9">
            <w:pPr>
              <w:pStyle w:val="133"/>
              <w:rPr>
                <w:rFonts w:cs="Times New Roman"/>
              </w:rPr>
            </w:pPr>
            <w:r>
              <w:rPr>
                <w:rFonts w:cs="Times New Roman"/>
              </w:rPr>
              <w:t>2000</w:t>
            </w:r>
          </w:p>
        </w:tc>
        <w:tc>
          <w:tcPr>
            <w:tcW w:w="826" w:type="pct"/>
            <w:vAlign w:val="center"/>
          </w:tcPr>
          <w:p w14:paraId="12C9B7A1">
            <w:pPr>
              <w:pStyle w:val="133"/>
              <w:rPr>
                <w:rFonts w:cs="Times New Roman"/>
              </w:rPr>
            </w:pPr>
            <w:r>
              <w:rPr>
                <w:rFonts w:cs="Times New Roman"/>
              </w:rPr>
              <w:t>1500</w:t>
            </w:r>
          </w:p>
        </w:tc>
        <w:tc>
          <w:tcPr>
            <w:tcW w:w="1389" w:type="pct"/>
            <w:vAlign w:val="center"/>
          </w:tcPr>
          <w:p w14:paraId="5F96497E">
            <w:pPr>
              <w:pStyle w:val="133"/>
              <w:rPr>
                <w:rFonts w:cs="Times New Roman"/>
              </w:rPr>
            </w:pPr>
            <w:r>
              <w:rPr>
                <w:rFonts w:cs="Times New Roman"/>
              </w:rPr>
              <w:t>吊缸</w:t>
            </w:r>
          </w:p>
        </w:tc>
      </w:tr>
    </w:tbl>
    <w:p w14:paraId="2659B5CA">
      <w:pPr>
        <w:pStyle w:val="117"/>
        <w:ind w:firstLine="480"/>
      </w:pPr>
    </w:p>
    <w:p w14:paraId="5A9FDF9F">
      <w:pPr>
        <w:pStyle w:val="117"/>
        <w:ind w:firstLine="480"/>
      </w:pPr>
      <w:r>
        <w:rPr>
          <w:rFonts w:hint="eastAsia"/>
        </w:rPr>
        <w:t>（2）加料系统</w:t>
      </w:r>
    </w:p>
    <w:p w14:paraId="4252BD6A">
      <w:pPr>
        <w:pStyle w:val="117"/>
        <w:ind w:firstLine="480"/>
      </w:pPr>
      <w:r>
        <w:rPr>
          <w:rFonts w:hint="eastAsia"/>
        </w:rPr>
        <w:t>加料系统按照炉内旋转布料设计，炉顶料仓重新制作及安装，设计</w:t>
      </w:r>
      <w:r>
        <w:t>8</w:t>
      </w:r>
      <w:r>
        <w:rPr>
          <w:rFonts w:hint="eastAsia"/>
        </w:rPr>
        <w:t>个料仓（其中</w:t>
      </w:r>
      <w:r>
        <w:t>1</w:t>
      </w:r>
      <w:r>
        <w:rPr>
          <w:rFonts w:hint="eastAsia"/>
        </w:rPr>
        <w:t>个中心料仓，</w:t>
      </w:r>
      <w:r>
        <w:t>1</w:t>
      </w:r>
      <w:r>
        <w:rPr>
          <w:rFonts w:hint="eastAsia"/>
        </w:rPr>
        <w:t>个炉外校正料仓），位于</w:t>
      </w:r>
      <w:r>
        <w:t>+25.0m</w:t>
      </w:r>
      <w:r>
        <w:rPr>
          <w:rFonts w:hint="eastAsia"/>
        </w:rPr>
        <w:t>平台上，每个容积</w:t>
      </w:r>
      <w:r>
        <w:t>12</w:t>
      </w:r>
      <w:r>
        <w:rPr>
          <w:rFonts w:hint="eastAsia"/>
        </w:rPr>
        <w:t>m³，炉顶料仓储料时间大于</w:t>
      </w:r>
      <w:r>
        <w:t>5</w:t>
      </w:r>
      <w:r>
        <w:rPr>
          <w:rFonts w:hint="eastAsia"/>
        </w:rPr>
        <w:t>小时，每个料仓设有</w:t>
      </w:r>
      <w:r>
        <w:t>3</w:t>
      </w:r>
      <w:r>
        <w:rPr>
          <w:rFonts w:hint="eastAsia"/>
        </w:rPr>
        <w:t>个称重传感器，用以实现上下料位的报警。</w:t>
      </w:r>
    </w:p>
    <w:p w14:paraId="7B395F80">
      <w:pPr>
        <w:pStyle w:val="117"/>
        <w:ind w:firstLine="480"/>
      </w:pPr>
      <w:r>
        <w:rPr>
          <w:rFonts w:hint="eastAsia"/>
        </w:rPr>
        <w:t>（3）电极把持系统</w:t>
      </w:r>
    </w:p>
    <w:p w14:paraId="6311A317">
      <w:pPr>
        <w:pStyle w:val="117"/>
        <w:ind w:firstLine="480"/>
      </w:pPr>
      <w:r>
        <w:rPr>
          <w:rFonts w:hint="eastAsia"/>
        </w:rPr>
        <w:t>压力环采用内置式波纹管压力环，内置式波纹管压力环结构紧凑，受热面积及涡流损耗都较小，铜瓦压紧电极是通过波纹膨胀管充压力油而实现的。利用波纹膨胀管的优点是，可实现一对一的径向顶紧铜瓦，而不受电极倾斜和表面质量的影响，使铜瓦与电极之间压力均匀，不易产生偏流，提高铜瓦的使用寿命，更有效地维护和防止电极事故的发生。波纹膨胀管另一个特点是，充油的压力可在</w:t>
      </w:r>
      <w:r>
        <w:t>0</w:t>
      </w:r>
      <w:r>
        <w:rPr>
          <w:rFonts w:hint="eastAsia"/>
        </w:rPr>
        <w:t>～</w:t>
      </w:r>
      <w:r>
        <w:t xml:space="preserve">5MPa </w:t>
      </w:r>
      <w:r>
        <w:rPr>
          <w:rFonts w:hint="eastAsia"/>
        </w:rPr>
        <w:t>之间调节、这就满足了铜瓦与电极之间不同压力的要求，有利于实现带电状况下电极的程序压放和倒拔。</w:t>
      </w:r>
    </w:p>
    <w:p w14:paraId="36AA9148">
      <w:pPr>
        <w:pStyle w:val="117"/>
        <w:ind w:firstLine="480"/>
      </w:pPr>
      <w:r>
        <w:rPr>
          <w:rFonts w:hint="eastAsia"/>
        </w:rPr>
        <w:t>（4）短网系统</w:t>
      </w:r>
    </w:p>
    <w:p w14:paraId="48944E86">
      <w:pPr>
        <w:pStyle w:val="117"/>
        <w:ind w:firstLine="480"/>
      </w:pPr>
      <w:r>
        <w:rPr>
          <w:rFonts w:hint="eastAsia"/>
        </w:rPr>
        <w:t>电炉采用三台额定容量为</w:t>
      </w:r>
      <w:r>
        <w:t xml:space="preserve">11000kVA </w:t>
      </w:r>
      <w:r>
        <w:rPr>
          <w:rFonts w:hint="eastAsia"/>
        </w:rPr>
        <w:t>单相变压器供电，原变压器位置向前移动</w:t>
      </w:r>
      <w:r>
        <w:t>800</w:t>
      </w:r>
      <w:r>
        <w:rPr>
          <w:rFonts w:hint="eastAsia"/>
        </w:rPr>
        <w:t>～</w:t>
      </w:r>
      <w:r>
        <w:t>1000mm</w:t>
      </w:r>
      <w:r>
        <w:rPr>
          <w:rFonts w:hint="eastAsia"/>
        </w:rPr>
        <w:t>，缩短短网的长度</w:t>
      </w:r>
      <w:r>
        <w:t>800</w:t>
      </w:r>
      <w:r>
        <w:rPr>
          <w:rFonts w:hint="eastAsia"/>
        </w:rPr>
        <w:t>～</w:t>
      </w:r>
      <w:r>
        <w:t>1000mm</w:t>
      </w:r>
      <w:r>
        <w:rPr>
          <w:rFonts w:hint="eastAsia"/>
        </w:rPr>
        <w:t>，同时做好变压器出线端及短网与炉体烟罩之间的隔热措施。短网为管式短网，材质为</w:t>
      </w:r>
      <w:r>
        <w:t>Tu1</w:t>
      </w:r>
      <w:r>
        <w:rPr>
          <w:rFonts w:hint="eastAsia"/>
        </w:rPr>
        <w:t>，铜管选用ø</w:t>
      </w:r>
      <w:r>
        <w:t xml:space="preserve"> 70</w:t>
      </w:r>
      <w:r>
        <w:rPr>
          <w:rFonts w:hint="eastAsia"/>
        </w:rPr>
        <w:t>×</w:t>
      </w:r>
      <w:r>
        <w:t>15mm</w:t>
      </w:r>
      <w:r>
        <w:rPr>
          <w:rFonts w:hint="eastAsia"/>
        </w:rPr>
        <w:t>，每相</w:t>
      </w:r>
      <w:r>
        <w:t xml:space="preserve">20 </w:t>
      </w:r>
      <w:r>
        <w:rPr>
          <w:rFonts w:hint="eastAsia"/>
        </w:rPr>
        <w:t>根；变压器二次出线端与短网首部的连接采用哈弗套结构，变压器出线端两列铜管收缩间距并向前至电极最佳位置，经过合理的相间补偿在末端跳线后通过水冷电缆与炉内铜管连接，短网设计时每个线圈的头尾所对应的铜瓦按强弱分布，减少电流的横向波动，水冷电缆采用双箍双导电环结构，导电环表面做镀银处理。水冷电缆采用骨架式多股铜绞线结构，铜绞线线径选用</w:t>
      </w:r>
      <w:r>
        <w:t>0.3mm</w:t>
      </w:r>
      <w:r>
        <w:rPr>
          <w:rFonts w:hint="eastAsia"/>
        </w:rPr>
        <w:t>，材质</w:t>
      </w:r>
      <w:r>
        <w:t>TU0</w:t>
      </w:r>
      <w:r>
        <w:rPr>
          <w:rFonts w:hint="eastAsia"/>
        </w:rPr>
        <w:t>。水冷电缆截面：</w:t>
      </w:r>
      <w:r>
        <w:t>400mm2</w:t>
      </w:r>
      <w:r>
        <w:rPr>
          <w:rFonts w:hint="eastAsia"/>
        </w:rPr>
        <w:t>×</w:t>
      </w:r>
      <w:r>
        <w:t>4</w:t>
      </w:r>
      <w:r>
        <w:rPr>
          <w:rFonts w:hint="eastAsia"/>
        </w:rPr>
        <w:t>根</w:t>
      </w:r>
      <w:r>
        <w:t>+250mm2</w:t>
      </w:r>
      <w:r>
        <w:rPr>
          <w:rFonts w:hint="eastAsia"/>
        </w:rPr>
        <w:t>×</w:t>
      </w:r>
      <w:r>
        <w:t>4</w:t>
      </w:r>
      <w:r>
        <w:rPr>
          <w:rFonts w:hint="eastAsia"/>
        </w:rPr>
        <w:t>根</w:t>
      </w:r>
      <w:r>
        <w:t>=2600mm</w:t>
      </w:r>
      <w:r>
        <w:rPr>
          <w:vertAlign w:val="superscript"/>
        </w:rPr>
        <w:t>2</w:t>
      </w:r>
      <w:r>
        <w:rPr>
          <w:rFonts w:hint="eastAsia"/>
        </w:rPr>
        <w:t>电流密度取向≤</w:t>
      </w:r>
      <w:r>
        <w:t>3.2A/mm</w:t>
      </w:r>
      <w:r>
        <w:rPr>
          <w:vertAlign w:val="superscript"/>
        </w:rPr>
        <w:t>2</w:t>
      </w:r>
      <w:r>
        <w:rPr>
          <w:rFonts w:hint="eastAsia"/>
        </w:rPr>
        <w:t>。</w:t>
      </w:r>
    </w:p>
    <w:p w14:paraId="7C953C93">
      <w:pPr>
        <w:pStyle w:val="117"/>
        <w:ind w:firstLine="480"/>
      </w:pPr>
      <w:r>
        <w:rPr>
          <w:rFonts w:hint="eastAsia"/>
        </w:rPr>
        <w:t>在炉内铜管悬臂吊架处安装汇流排，为低压补偿水冷电缆接入预留铜管接口（低压补偿的接口在把持器炉内铜管汇合处），低压补偿铜管及水冷电缆材质为</w:t>
      </w:r>
      <w:r>
        <w:t>TU0</w:t>
      </w:r>
      <w:r>
        <w:rPr>
          <w:rFonts w:hint="eastAsia"/>
        </w:rPr>
        <w:t>，水冷电缆铜绞线线径选用</w:t>
      </w:r>
      <w:r>
        <w:t>0.3mm</w:t>
      </w:r>
      <w:r>
        <w:rPr>
          <w:rFonts w:hint="eastAsia"/>
        </w:rPr>
        <w:t>，电流密度取向≤</w:t>
      </w:r>
      <w:r>
        <w:t>4.5A/mm</w:t>
      </w:r>
      <w:r>
        <w:rPr>
          <w:vertAlign w:val="superscript"/>
        </w:rPr>
        <w:t>2</w:t>
      </w:r>
      <w:r>
        <w:rPr>
          <w:rFonts w:hint="eastAsia"/>
        </w:rPr>
        <w:t>。汇流排可增加每块铜瓦的电流分布均匀性，延长铜瓦的使用寿命。</w:t>
      </w:r>
    </w:p>
    <w:p w14:paraId="0441C1B3">
      <w:pPr>
        <w:pStyle w:val="117"/>
        <w:ind w:firstLine="480"/>
      </w:pPr>
      <w:r>
        <w:rPr>
          <w:rFonts w:hint="eastAsia"/>
        </w:rPr>
        <w:t>以上汇流排设计乙方需提供低压无功补偿水冷电缆接入口，并提供相应低压无功补偿水冷电缆规格尺寸长度。</w:t>
      </w:r>
    </w:p>
    <w:p w14:paraId="69B0B1E3">
      <w:pPr>
        <w:pStyle w:val="117"/>
        <w:ind w:firstLine="480"/>
      </w:pPr>
      <w:r>
        <w:rPr>
          <w:rFonts w:hint="eastAsia"/>
        </w:rPr>
        <w:t>以上短网布局达到科学合理，减少压降，减少电阻电抗，提高炉体自然功率因数。</w:t>
      </w:r>
    </w:p>
    <w:p w14:paraId="3AA544B5">
      <w:pPr>
        <w:pStyle w:val="117"/>
        <w:ind w:firstLine="480"/>
      </w:pPr>
      <w:r>
        <w:rPr>
          <w:rFonts w:hint="eastAsia"/>
        </w:rPr>
        <w:t>（5）烟罩系统</w:t>
      </w:r>
    </w:p>
    <w:p w14:paraId="7149952A">
      <w:pPr>
        <w:pStyle w:val="117"/>
        <w:ind w:firstLine="480"/>
      </w:pPr>
      <w:r>
        <w:rPr>
          <w:rFonts w:hint="eastAsia"/>
        </w:rPr>
        <w:t>1）烟罩部分材质全部为不锈钢，通水件采用</w:t>
      </w:r>
      <w:r>
        <w:t xml:space="preserve">321 </w:t>
      </w:r>
      <w:r>
        <w:rPr>
          <w:rFonts w:hint="eastAsia"/>
        </w:rPr>
        <w:t>制作，包括侧壁、立柱、烟罩门、炉门和所有铆钉全部采用不锈钢材质。烟罩做成六边形，高</w:t>
      </w:r>
      <w:r>
        <w:t>2850mm</w:t>
      </w:r>
      <w:r>
        <w:rPr>
          <w:rFonts w:hint="eastAsia"/>
        </w:rPr>
        <w:t>，设置三个大门，烟罩大门为液压控制开闭，其中炉门升降装置（炉门升降油缸及导向轮）利旧，烟罩顶盖底部采用抗热抗震性耐磨防爆浇铸料，烟罩侧壁内侧捣制抗磨防爆打结料。顶盖底板采用δ</w:t>
      </w:r>
      <w:r>
        <w:t>=8mm</w:t>
      </w:r>
      <w:r>
        <w:rPr>
          <w:rFonts w:hint="eastAsia"/>
        </w:rPr>
        <w:t>不锈钢</w:t>
      </w:r>
      <w:r>
        <w:t>321</w:t>
      </w:r>
      <w:r>
        <w:rPr>
          <w:rFonts w:hint="eastAsia"/>
        </w:rPr>
        <w:t>钢板制作，扣板采用δ</w:t>
      </w:r>
      <w:r>
        <w:t>=6mm</w:t>
      </w:r>
      <w:r>
        <w:rPr>
          <w:rFonts w:hint="eastAsia"/>
        </w:rPr>
        <w:t>不锈钢</w:t>
      </w:r>
      <w:r>
        <w:t>321</w:t>
      </w:r>
      <w:r>
        <w:rPr>
          <w:rFonts w:hint="eastAsia"/>
        </w:rPr>
        <w:t>钢板制作。</w:t>
      </w:r>
    </w:p>
    <w:p w14:paraId="2EEC5C0D">
      <w:pPr>
        <w:pStyle w:val="117"/>
        <w:ind w:firstLine="480"/>
      </w:pPr>
      <w:r>
        <w:rPr>
          <w:rFonts w:hint="eastAsia"/>
        </w:rPr>
        <w:t>2）烟罩炉门、保护套与烟罩盖板之间部分，增设空气密封系统。</w:t>
      </w:r>
    </w:p>
    <w:p w14:paraId="3C9438DD">
      <w:pPr>
        <w:pStyle w:val="117"/>
        <w:ind w:firstLine="480"/>
      </w:pPr>
      <w:r>
        <w:rPr>
          <w:rFonts w:hint="eastAsia"/>
        </w:rPr>
        <w:t>3）烟罩部分通过六个立柱吊挂及九个烟罩吊挂整体吊挂在</w:t>
      </w:r>
      <w:r>
        <w:t xml:space="preserve">17.5 </w:t>
      </w:r>
      <w:r>
        <w:rPr>
          <w:rFonts w:hint="eastAsia"/>
        </w:rPr>
        <w:t>米平台下，在</w:t>
      </w:r>
      <w:r>
        <w:t xml:space="preserve">7.0 </w:t>
      </w:r>
      <w:r>
        <w:rPr>
          <w:rFonts w:hint="eastAsia"/>
        </w:rPr>
        <w:t>米平台上对立柱支座做绝缘处理。</w:t>
      </w:r>
    </w:p>
    <w:p w14:paraId="1D563D78">
      <w:pPr>
        <w:pStyle w:val="117"/>
        <w:ind w:firstLine="480"/>
      </w:pPr>
      <w:r>
        <w:rPr>
          <w:rFonts w:hint="eastAsia"/>
        </w:rPr>
        <w:t>4）保护套密封套采用水冷结构，加设空气封，密封采用铜合金密封环，每相不小于</w:t>
      </w:r>
      <w:r>
        <w:t>10</w:t>
      </w:r>
      <w:r>
        <w:rPr>
          <w:rFonts w:hint="eastAsia"/>
        </w:rPr>
        <w:t>个导向装置，滑块材质采用铝青铜，导向装置必须与顶盖绝缘。</w:t>
      </w:r>
    </w:p>
    <w:p w14:paraId="1080ED81">
      <w:pPr>
        <w:pStyle w:val="117"/>
        <w:ind w:firstLine="480"/>
      </w:pPr>
      <w:r>
        <w:rPr>
          <w:rFonts w:hint="eastAsia"/>
        </w:rPr>
        <w:t>5）烟罩水冷部件焊后进行水压试验，试验压力为</w:t>
      </w:r>
      <w:r>
        <w:t>0.5Mpa</w:t>
      </w:r>
      <w:r>
        <w:rPr>
          <w:rFonts w:hint="eastAsia"/>
        </w:rPr>
        <w:t>，保压</w:t>
      </w:r>
      <w:r>
        <w:t xml:space="preserve">10 </w:t>
      </w:r>
      <w:r>
        <w:rPr>
          <w:rFonts w:hint="eastAsia"/>
        </w:rPr>
        <w:t>分钟，各焊接处不许有渗漏，焊缝质量应符合</w:t>
      </w:r>
      <w:r>
        <w:t>JB/1152-81</w:t>
      </w:r>
      <w:r>
        <w:rPr>
          <w:rFonts w:hint="eastAsia"/>
        </w:rPr>
        <w:t>Ⅱ级规定。</w:t>
      </w:r>
    </w:p>
    <w:p w14:paraId="3D241739">
      <w:pPr>
        <w:pStyle w:val="117"/>
        <w:ind w:firstLine="480"/>
      </w:pPr>
      <w:r>
        <w:rPr>
          <w:rFonts w:hint="eastAsia"/>
        </w:rPr>
        <w:t>（6）排烟系统</w:t>
      </w:r>
    </w:p>
    <w:p w14:paraId="2C9BC9BD">
      <w:pPr>
        <w:pStyle w:val="117"/>
        <w:ind w:firstLine="480"/>
      </w:pPr>
      <w:r>
        <w:rPr>
          <w:rFonts w:hint="eastAsia"/>
        </w:rPr>
        <w:t>烟罩设置两根烟气导出管，直径为φ</w:t>
      </w:r>
      <w:r>
        <w:t>2920mm</w:t>
      </w:r>
      <w:r>
        <w:rPr>
          <w:rFonts w:hint="eastAsia"/>
        </w:rPr>
        <w:t>，烟囱上段利旧。烟道斜口、天圆地方、支撑段烟道</w:t>
      </w:r>
      <w:r>
        <w:t>S</w:t>
      </w:r>
      <w:r>
        <w:rPr>
          <w:rFonts w:hint="eastAsia"/>
        </w:rPr>
        <w:t>弯，以及</w:t>
      </w:r>
      <w:r>
        <w:t>17.50m</w:t>
      </w:r>
      <w:r>
        <w:rPr>
          <w:rFonts w:hint="eastAsia"/>
        </w:rPr>
        <w:t>平台以下</w:t>
      </w:r>
      <w:r>
        <w:t xml:space="preserve">1m </w:t>
      </w:r>
      <w:r>
        <w:rPr>
          <w:rFonts w:hint="eastAsia"/>
        </w:rPr>
        <w:t>部分全部更换，材质全部选用不锈钢</w:t>
      </w:r>
      <w:r>
        <w:t>304</w:t>
      </w:r>
      <w:r>
        <w:rPr>
          <w:rFonts w:hint="eastAsia"/>
        </w:rPr>
        <w:t>。考虑到余热发电热效率，自烟罩部分至烟道阀全部按余热发电规范作内保温设计。铆钉材质与本体相同，铆钉高度</w:t>
      </w:r>
      <w:r>
        <w:t>150mm</w:t>
      </w:r>
      <w:r>
        <w:rPr>
          <w:rFonts w:hint="eastAsia"/>
        </w:rPr>
        <w:t>，保温层铺两层</w:t>
      </w:r>
      <w:r>
        <w:t xml:space="preserve">50mm </w:t>
      </w:r>
      <w:r>
        <w:rPr>
          <w:rFonts w:hint="eastAsia"/>
        </w:rPr>
        <w:t>硅酸铝纤维毡，耐热层为</w:t>
      </w:r>
      <w:r>
        <w:t xml:space="preserve">70mm </w:t>
      </w:r>
      <w:r>
        <w:rPr>
          <w:rFonts w:hint="eastAsia"/>
        </w:rPr>
        <w:t>轻质高强度打结料，总厚度</w:t>
      </w:r>
      <w:r>
        <w:t>170mm</w:t>
      </w:r>
      <w:r>
        <w:rPr>
          <w:rFonts w:hint="eastAsia"/>
        </w:rPr>
        <w:t>。</w:t>
      </w:r>
    </w:p>
    <w:p w14:paraId="6F971DF1">
      <w:pPr>
        <w:pStyle w:val="117"/>
        <w:ind w:firstLine="480"/>
      </w:pPr>
      <w:r>
        <w:rPr>
          <w:rFonts w:hint="eastAsia"/>
        </w:rPr>
        <w:t>（7）液压系统</w:t>
      </w:r>
    </w:p>
    <w:p w14:paraId="13648EEE">
      <w:pPr>
        <w:pStyle w:val="117"/>
        <w:ind w:firstLine="480"/>
      </w:pPr>
      <w:r>
        <w:rPr>
          <w:rFonts w:hint="eastAsia"/>
        </w:rPr>
        <w:t>液压系统是电极升降、电极压放、电极把持等液压执行器的压力源。</w:t>
      </w:r>
    </w:p>
    <w:p w14:paraId="13CBF4FD">
      <w:pPr>
        <w:pStyle w:val="117"/>
        <w:ind w:firstLine="480"/>
      </w:pPr>
      <w:r>
        <w:rPr>
          <w:rFonts w:hint="eastAsia"/>
        </w:rPr>
        <w:t>单台炉设主系统液压站、压力环液压站共</w:t>
      </w:r>
      <w:r>
        <w:t>2</w:t>
      </w:r>
      <w:r>
        <w:rPr>
          <w:rFonts w:hint="eastAsia"/>
        </w:rPr>
        <w:t>个液压系统、各</w:t>
      </w:r>
      <w:r>
        <w:t>1</w:t>
      </w:r>
      <w:r>
        <w:rPr>
          <w:rFonts w:hint="eastAsia"/>
        </w:rPr>
        <w:t>个油箱、</w:t>
      </w:r>
      <w:r>
        <w:t>2</w:t>
      </w:r>
      <w:r>
        <w:rPr>
          <w:rFonts w:hint="eastAsia"/>
        </w:rPr>
        <w:t>套泵装置（</w:t>
      </w:r>
      <w:r>
        <w:t>1</w:t>
      </w:r>
      <w:r>
        <w:rPr>
          <w:rFonts w:hint="eastAsia"/>
        </w:rPr>
        <w:t>套工作、</w:t>
      </w:r>
      <w:r>
        <w:t>1</w:t>
      </w:r>
      <w:r>
        <w:rPr>
          <w:rFonts w:hint="eastAsia"/>
        </w:rPr>
        <w:t>套备用、采用回油过滤）、液压阀组、蓄能器组及其他辅助设备组成。控制系统采集信号由开关量和模拟量两种，可实现自动打压和强制打压，以及加热报警等多种功能；压力环液压系统需设置保压阀块，实现带电压放时液压系统压力值可调，防止带电压放时铜瓦打弧。</w:t>
      </w:r>
    </w:p>
    <w:p w14:paraId="12824E0D">
      <w:pPr>
        <w:pStyle w:val="117"/>
        <w:ind w:firstLine="480"/>
      </w:pPr>
      <w:r>
        <w:rPr>
          <w:rFonts w:hint="eastAsia"/>
        </w:rPr>
        <w:t>液压系统工艺及参数性能：</w:t>
      </w:r>
    </w:p>
    <w:p w14:paraId="2BF90EC8">
      <w:pPr>
        <w:pStyle w:val="117"/>
        <w:ind w:firstLine="480"/>
      </w:pPr>
      <w:r>
        <w:t>1</w:t>
      </w:r>
      <w:r>
        <w:rPr>
          <w:rFonts w:hint="eastAsia"/>
        </w:rPr>
        <w:t>）系统压力：</w:t>
      </w:r>
      <w:r>
        <w:t>12Mpa</w:t>
      </w:r>
      <w:r>
        <w:rPr>
          <w:rFonts w:hint="eastAsia"/>
        </w:rPr>
        <w:t>；</w:t>
      </w:r>
    </w:p>
    <w:p w14:paraId="0CB8E221">
      <w:pPr>
        <w:pStyle w:val="117"/>
        <w:ind w:firstLine="480"/>
      </w:pPr>
      <w:r>
        <w:t>2</w:t>
      </w:r>
      <w:r>
        <w:rPr>
          <w:rFonts w:hint="eastAsia"/>
        </w:rPr>
        <w:t>）液压油油品：水乙二醇抗燃液压油；</w:t>
      </w:r>
    </w:p>
    <w:p w14:paraId="2BC7CCCE">
      <w:pPr>
        <w:pStyle w:val="117"/>
        <w:ind w:firstLine="480"/>
      </w:pPr>
      <w:r>
        <w:t>3</w:t>
      </w:r>
      <w:r>
        <w:rPr>
          <w:rFonts w:hint="eastAsia"/>
        </w:rPr>
        <w:t>）液压油清洁度等级：</w:t>
      </w:r>
      <w:r>
        <w:t xml:space="preserve">NAS9 </w:t>
      </w:r>
      <w:r>
        <w:rPr>
          <w:rFonts w:hint="eastAsia"/>
        </w:rPr>
        <w:t>级。</w:t>
      </w:r>
    </w:p>
    <w:p w14:paraId="2B08B2E2">
      <w:pPr>
        <w:pStyle w:val="117"/>
        <w:ind w:firstLine="480"/>
      </w:pPr>
      <w:r>
        <w:rPr>
          <w:rFonts w:hint="eastAsia"/>
        </w:rPr>
        <w:t>液压油箱需喷塑处理，油箱容积</w:t>
      </w:r>
      <w:r>
        <w:t>2000L</w:t>
      </w:r>
      <w:r>
        <w:rPr>
          <w:rFonts w:hint="eastAsia"/>
        </w:rPr>
        <w:t>，设单独的油水冷却系统（须有余量，夏季当地温度较高），油泵采用柱塞泵，蓄能器采用</w:t>
      </w:r>
      <w:r>
        <w:t xml:space="preserve">63L（10 </w:t>
      </w:r>
      <w:r>
        <w:rPr>
          <w:rFonts w:hint="eastAsia"/>
        </w:rPr>
        <w:t>组</w:t>
      </w:r>
      <w:r>
        <w:t>）</w:t>
      </w:r>
      <w:r>
        <w:rPr>
          <w:rFonts w:hint="eastAsia"/>
        </w:rPr>
        <w:t>，管线采用不锈钢无缝钢管与电极连接采用高压绝缘胶管，阀站与油管也设有绝缘。</w:t>
      </w:r>
    </w:p>
    <w:p w14:paraId="07C35CD9">
      <w:pPr>
        <w:pStyle w:val="117"/>
        <w:ind w:firstLine="480"/>
      </w:pPr>
      <w:r>
        <w:rPr>
          <w:rFonts w:hint="eastAsia"/>
        </w:rPr>
        <w:t>设备安装前，需对管道进行清洗。安装完毕后，需用压缩空气对管道进行吹扫清理，以保障整套系统的清洁度要求。</w:t>
      </w:r>
    </w:p>
    <w:p w14:paraId="6CCDB504">
      <w:pPr>
        <w:pStyle w:val="117"/>
        <w:ind w:firstLine="480"/>
      </w:pPr>
      <w:r>
        <w:rPr>
          <w:rFonts w:hint="eastAsia"/>
        </w:rPr>
        <w:t>电极升降、抱紧阀组设有压力变送器，设置在流量控制阀上游，用来监视升降压力管路中的压力，测定可能出现的严重泄漏（如管路疏松、软管破裂等），当出现这种异常低压的情况时，压力继电器发出信号并在控制室报警。每个站的主系统、升降回路、上下抱闸回路、压力环回路均配装液晶远传压力变送器。</w:t>
      </w:r>
    </w:p>
    <w:p w14:paraId="2AA63F88">
      <w:pPr>
        <w:pStyle w:val="117"/>
        <w:ind w:firstLine="480"/>
      </w:pPr>
      <w:r>
        <w:rPr>
          <w:rFonts w:hint="eastAsia"/>
        </w:rPr>
        <w:t>（8）循环水系统</w:t>
      </w:r>
    </w:p>
    <w:p w14:paraId="46E01F98">
      <w:pPr>
        <w:pStyle w:val="117"/>
        <w:ind w:firstLine="480"/>
      </w:pPr>
      <w:r>
        <w:rPr>
          <w:rFonts w:hint="eastAsia"/>
        </w:rPr>
        <w:t>用于将变压器、烟罩、电极系统、加料系统、短网系统、烟道、液压系统等矿热炉部件进行水冷的装置，为闭路循环水系统。</w:t>
      </w:r>
    </w:p>
    <w:p w14:paraId="1F28E63C">
      <w:pPr>
        <w:pStyle w:val="117"/>
        <w:ind w:firstLine="480"/>
      </w:pPr>
      <w:r>
        <w:rPr>
          <w:rFonts w:hint="eastAsia"/>
        </w:rPr>
        <w:t>矿热炉水冷系统由水冷分配器、回水槽、温度计、流量计、压力检测计及水冷管道、球阀、</w:t>
      </w:r>
      <w:r>
        <w:t xml:space="preserve">Y </w:t>
      </w:r>
      <w:r>
        <w:rPr>
          <w:rFonts w:hint="eastAsia"/>
        </w:rPr>
        <w:t>型过滤器等组成。</w:t>
      </w:r>
    </w:p>
    <w:p w14:paraId="7F15415E">
      <w:pPr>
        <w:pStyle w:val="117"/>
        <w:ind w:firstLine="480"/>
      </w:pPr>
      <w:r>
        <w:rPr>
          <w:rFonts w:hint="eastAsia"/>
        </w:rPr>
        <w:t>（9）空气注入系统</w:t>
      </w:r>
    </w:p>
    <w:p w14:paraId="6D79AE7A">
      <w:pPr>
        <w:pStyle w:val="117"/>
        <w:ind w:firstLine="480"/>
      </w:pPr>
      <w:r>
        <w:rPr>
          <w:rFonts w:hint="eastAsia"/>
        </w:rPr>
        <w:t>空气注入系统由系统烟管、气量调节阀、空气注入系统风机（包括电机、变频器柜）和耐高温软管等组成。</w:t>
      </w:r>
    </w:p>
    <w:p w14:paraId="70277DEC">
      <w:pPr>
        <w:pStyle w:val="117"/>
        <w:ind w:firstLine="480"/>
      </w:pPr>
      <w:r>
        <w:rPr>
          <w:rFonts w:hint="eastAsia"/>
        </w:rPr>
        <w:t>主要技术参数：</w:t>
      </w:r>
    </w:p>
    <w:p w14:paraId="3616AD76">
      <w:pPr>
        <w:pStyle w:val="117"/>
        <w:ind w:firstLine="480"/>
      </w:pPr>
      <w:r>
        <w:rPr>
          <w:rFonts w:hint="eastAsia"/>
        </w:rPr>
        <w:t>单台电炉设</w:t>
      </w:r>
      <w:r>
        <w:t>2</w:t>
      </w:r>
      <w:r>
        <w:rPr>
          <w:rFonts w:hint="eastAsia"/>
        </w:rPr>
        <w:t>台风机，一台风机（利旧）配套功率为</w:t>
      </w:r>
      <w:r>
        <w:t>55</w:t>
      </w:r>
      <w:r>
        <w:rPr>
          <w:rFonts w:hint="eastAsia"/>
        </w:rPr>
        <w:t>kW</w:t>
      </w:r>
      <w:r>
        <w:t xml:space="preserve"> </w:t>
      </w:r>
      <w:r>
        <w:rPr>
          <w:rFonts w:hint="eastAsia"/>
        </w:rPr>
        <w:t>的电动机（更换带变频器），</w:t>
      </w:r>
      <w:r>
        <w:t>Q</w:t>
      </w:r>
      <w:r>
        <w:rPr>
          <w:rFonts w:hint="eastAsia"/>
        </w:rPr>
        <w:t>＝</w:t>
      </w:r>
      <w:r>
        <w:t>35000m</w:t>
      </w:r>
      <w:r>
        <w:rPr>
          <w:rFonts w:hint="eastAsia"/>
        </w:rPr>
        <w:t>³</w:t>
      </w:r>
      <w:r>
        <w:t>/h</w:t>
      </w:r>
      <w:r>
        <w:rPr>
          <w:rFonts w:hint="eastAsia"/>
        </w:rPr>
        <w:t>，</w:t>
      </w:r>
      <w:r>
        <w:t>P=3800Pa</w:t>
      </w:r>
      <w:r>
        <w:rPr>
          <w:rFonts w:hint="eastAsia"/>
        </w:rPr>
        <w:t>风机用于炉门、料管；另外新上一台风机配套功率为</w:t>
      </w:r>
      <w:r>
        <w:t xml:space="preserve">37kW </w:t>
      </w:r>
      <w:r>
        <w:rPr>
          <w:rFonts w:hint="eastAsia"/>
        </w:rPr>
        <w:t>的电动机（带变频器），用于保护套密封套、旋转筒。两台风机均带就地控制箱，实现就地</w:t>
      </w:r>
      <w:r>
        <w:t>/</w:t>
      </w:r>
      <w:r>
        <w:rPr>
          <w:rFonts w:hint="eastAsia"/>
        </w:rPr>
        <w:t>远方控制，主管路材质</w:t>
      </w:r>
      <w:r>
        <w:t>Q235-A</w:t>
      </w:r>
      <w:r>
        <w:rPr>
          <w:rFonts w:hint="eastAsia"/>
        </w:rPr>
        <w:t>，</w:t>
      </w:r>
      <w:r>
        <w:t>17.5m</w:t>
      </w:r>
      <w:r>
        <w:rPr>
          <w:rFonts w:hint="eastAsia"/>
        </w:rPr>
        <w:t>平台以下</w:t>
      </w:r>
      <w:r>
        <w:t>2.5m</w:t>
      </w:r>
      <w:r>
        <w:rPr>
          <w:rFonts w:hint="eastAsia"/>
        </w:rPr>
        <w:t>处全部采用不锈钢材质，每个支路配气量调节阀及耐温软管。</w:t>
      </w:r>
    </w:p>
    <w:p w14:paraId="1F0962E8">
      <w:pPr>
        <w:pStyle w:val="117"/>
        <w:ind w:firstLine="480"/>
      </w:pPr>
      <w:r>
        <w:rPr>
          <w:rFonts w:hint="eastAsia"/>
        </w:rPr>
        <w:t>（9）炉壳</w:t>
      </w:r>
    </w:p>
    <w:p w14:paraId="46242C5B">
      <w:pPr>
        <w:pStyle w:val="117"/>
        <w:ind w:firstLine="480"/>
      </w:pPr>
      <w:r>
        <w:rPr>
          <w:rFonts w:hint="eastAsia"/>
        </w:rPr>
        <w:t>炉壳主要由筒体、炉底板、出炉嘴、散热片及出炉嘴护板等部分组成。</w:t>
      </w:r>
    </w:p>
    <w:p w14:paraId="74C6833C">
      <w:pPr>
        <w:pStyle w:val="117"/>
        <w:ind w:firstLine="480"/>
      </w:pPr>
      <w:r>
        <w:rPr>
          <w:rFonts w:hint="eastAsia"/>
        </w:rPr>
        <w:t>炉壳直径φ</w:t>
      </w:r>
      <w:r>
        <w:t>10600mm</w:t>
      </w:r>
      <w:r>
        <w:rPr>
          <w:rFonts w:hint="eastAsia"/>
        </w:rPr>
        <w:t>，炉壳高度</w:t>
      </w:r>
      <w:r>
        <w:t>5600mm</w:t>
      </w:r>
      <w:r>
        <w:rPr>
          <w:rFonts w:hint="eastAsia"/>
        </w:rPr>
        <w:t>，材质选用</w:t>
      </w:r>
      <w:r>
        <w:t>20g</w:t>
      </w:r>
      <w:r>
        <w:rPr>
          <w:rFonts w:hint="eastAsia"/>
        </w:rPr>
        <w:t>，筒体采用δ</w:t>
      </w:r>
      <w:r>
        <w:t>=22mm</w:t>
      </w:r>
      <w:r>
        <w:rPr>
          <w:rFonts w:hint="eastAsia"/>
        </w:rPr>
        <w:t>钢板制作，炉底板采用δ</w:t>
      </w:r>
      <w:r>
        <w:t xml:space="preserve">=25mm </w:t>
      </w:r>
      <w:r>
        <w:rPr>
          <w:rFonts w:hint="eastAsia"/>
        </w:rPr>
        <w:t>钢板制作。</w:t>
      </w:r>
    </w:p>
    <w:p w14:paraId="7EA58F60">
      <w:pPr>
        <w:pStyle w:val="117"/>
        <w:ind w:firstLine="480"/>
      </w:pPr>
      <w:r>
        <w:rPr>
          <w:rFonts w:hint="eastAsia"/>
        </w:rPr>
        <w:t>（10）矿热炉炉衬</w:t>
      </w:r>
    </w:p>
    <w:p w14:paraId="307A5C5F">
      <w:pPr>
        <w:pStyle w:val="117"/>
        <w:ind w:firstLine="480"/>
      </w:pPr>
      <w:r>
        <w:rPr>
          <w:rFonts w:hint="eastAsia"/>
        </w:rPr>
        <w:t>炉衬采用：炉墙炉底采用炭砖</w:t>
      </w:r>
      <w:r>
        <w:t xml:space="preserve">+CCS </w:t>
      </w:r>
      <w:r>
        <w:rPr>
          <w:rFonts w:hint="eastAsia"/>
        </w:rPr>
        <w:t>糊形式，矿热炉炉衬是硅铁矿热炉生产硅铁时的反应场所。本炉衬采用保温炉衬，主要由</w:t>
      </w:r>
      <w:r>
        <w:t xml:space="preserve">K </w:t>
      </w:r>
      <w:r>
        <w:rPr>
          <w:rFonts w:hint="eastAsia"/>
        </w:rPr>
        <w:t>型冷捣糊、</w:t>
      </w:r>
      <w:r>
        <w:t xml:space="preserve">CCS </w:t>
      </w:r>
      <w:r>
        <w:rPr>
          <w:rFonts w:hint="eastAsia"/>
        </w:rPr>
        <w:t>特种糊（炉墙与炉底）、超微孔炭砖（炉眼）、半石墨碳化硅砖（炉眼部位）、炭砖、高铝浇铸料、刚玉砖、高铝砖以及粘土砖等耐火材料组成。</w:t>
      </w:r>
    </w:p>
    <w:p w14:paraId="61368426">
      <w:pPr>
        <w:pStyle w:val="138"/>
        <w:rPr>
          <w:rFonts w:hint="eastAsia"/>
        </w:rPr>
      </w:pPr>
      <w:r>
        <w:rPr>
          <w:rFonts w:hint="eastAsia"/>
        </w:rPr>
        <w:t>平衡核算</w:t>
      </w:r>
    </w:p>
    <w:p w14:paraId="03788544">
      <w:pPr>
        <w:pStyle w:val="5"/>
      </w:pPr>
      <w:r>
        <w:rPr>
          <w:rFonts w:hint="eastAsia"/>
        </w:rPr>
        <w:t>物料平衡</w:t>
      </w:r>
    </w:p>
    <w:p w14:paraId="49699C39">
      <w:pPr>
        <w:pStyle w:val="117"/>
        <w:ind w:firstLine="480"/>
      </w:pPr>
      <w:r>
        <w:rPr>
          <w:rFonts w:hint="eastAsia"/>
        </w:rPr>
        <w:t>硅铁合金生产线物料平衡见表3.4-5。</w:t>
      </w:r>
    </w:p>
    <w:p w14:paraId="739B2107">
      <w:pPr>
        <w:pStyle w:val="118"/>
      </w:pPr>
      <w:r>
        <w:rPr>
          <w:rFonts w:hint="eastAsia"/>
        </w:rPr>
        <w:t>表3.4-5    硅铁合金生产线物料平衡表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1"/>
        <w:gridCol w:w="1185"/>
        <w:gridCol w:w="2923"/>
        <w:gridCol w:w="1297"/>
        <w:gridCol w:w="1316"/>
      </w:tblGrid>
      <w:tr w14:paraId="46209A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51" w:type="pct"/>
            <w:gridSpan w:val="2"/>
            <w:vAlign w:val="center"/>
          </w:tcPr>
          <w:p w14:paraId="214F0015">
            <w:pPr>
              <w:pStyle w:val="133"/>
              <w:rPr>
                <w:rFonts w:cs="Times New Roman"/>
                <w:b/>
                <w:bCs/>
              </w:rPr>
            </w:pPr>
            <w:r>
              <w:rPr>
                <w:rFonts w:cs="Times New Roman"/>
                <w:b/>
                <w:bCs/>
              </w:rPr>
              <w:t>投入</w:t>
            </w:r>
          </w:p>
        </w:tc>
        <w:tc>
          <w:tcPr>
            <w:tcW w:w="3249" w:type="pct"/>
            <w:gridSpan w:val="3"/>
            <w:vAlign w:val="center"/>
          </w:tcPr>
          <w:p w14:paraId="6EC2E6E4">
            <w:pPr>
              <w:pStyle w:val="133"/>
              <w:rPr>
                <w:rFonts w:cs="Times New Roman"/>
                <w:b/>
                <w:bCs/>
              </w:rPr>
            </w:pPr>
            <w:r>
              <w:rPr>
                <w:rFonts w:cs="Times New Roman"/>
                <w:b/>
                <w:bCs/>
              </w:rPr>
              <w:t>产出</w:t>
            </w:r>
          </w:p>
        </w:tc>
      </w:tr>
      <w:tr w14:paraId="7C14C1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6BDB0E1A">
            <w:pPr>
              <w:pStyle w:val="133"/>
              <w:rPr>
                <w:rFonts w:cs="Times New Roman"/>
              </w:rPr>
            </w:pPr>
            <w:r>
              <w:rPr>
                <w:rFonts w:cs="Times New Roman"/>
              </w:rPr>
              <w:t>项 目</w:t>
            </w:r>
          </w:p>
        </w:tc>
        <w:tc>
          <w:tcPr>
            <w:tcW w:w="695" w:type="pct"/>
            <w:vAlign w:val="center"/>
          </w:tcPr>
          <w:p w14:paraId="4DB8F62D">
            <w:pPr>
              <w:pStyle w:val="133"/>
              <w:rPr>
                <w:rFonts w:cs="Times New Roman"/>
              </w:rPr>
            </w:pPr>
            <w:r>
              <w:rPr>
                <w:rFonts w:hint="eastAsia" w:cs="Times New Roman"/>
              </w:rPr>
              <w:t>物料量</w:t>
            </w:r>
            <w:r>
              <w:rPr>
                <w:rFonts w:cs="Times New Roman"/>
              </w:rPr>
              <w:t>t/a</w:t>
            </w:r>
          </w:p>
        </w:tc>
        <w:tc>
          <w:tcPr>
            <w:tcW w:w="1715" w:type="pct"/>
            <w:vAlign w:val="center"/>
          </w:tcPr>
          <w:p w14:paraId="4BC90A91">
            <w:pPr>
              <w:pStyle w:val="133"/>
              <w:rPr>
                <w:rFonts w:cs="Times New Roman"/>
              </w:rPr>
            </w:pPr>
            <w:r>
              <w:rPr>
                <w:rFonts w:cs="Times New Roman"/>
              </w:rPr>
              <w:t>项 目</w:t>
            </w:r>
          </w:p>
        </w:tc>
        <w:tc>
          <w:tcPr>
            <w:tcW w:w="761" w:type="pct"/>
            <w:vAlign w:val="center"/>
          </w:tcPr>
          <w:p w14:paraId="7AA73DEE">
            <w:pPr>
              <w:pStyle w:val="133"/>
              <w:rPr>
                <w:rFonts w:cs="Times New Roman"/>
              </w:rPr>
            </w:pPr>
            <w:r>
              <w:rPr>
                <w:rFonts w:hint="eastAsia" w:cs="Times New Roman"/>
              </w:rPr>
              <w:t>物料量</w:t>
            </w:r>
            <w:r>
              <w:rPr>
                <w:rFonts w:cs="Times New Roman"/>
              </w:rPr>
              <w:t>t/a</w:t>
            </w:r>
          </w:p>
        </w:tc>
        <w:tc>
          <w:tcPr>
            <w:tcW w:w="772" w:type="pct"/>
            <w:vAlign w:val="center"/>
          </w:tcPr>
          <w:p w14:paraId="7CFFCAD1">
            <w:pPr>
              <w:pStyle w:val="133"/>
              <w:rPr>
                <w:rFonts w:cs="Times New Roman"/>
              </w:rPr>
            </w:pPr>
            <w:r>
              <w:rPr>
                <w:rFonts w:hint="eastAsia" w:cs="Times New Roman"/>
              </w:rPr>
              <w:t>比例（%）</w:t>
            </w:r>
          </w:p>
        </w:tc>
      </w:tr>
      <w:tr w14:paraId="4D2025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435A5033">
            <w:pPr>
              <w:pStyle w:val="133"/>
              <w:rPr>
                <w:rFonts w:cs="Times New Roman"/>
              </w:rPr>
            </w:pPr>
            <w:r>
              <w:rPr>
                <w:rFonts w:cs="Times New Roman"/>
              </w:rPr>
              <w:t>硅石</w:t>
            </w:r>
          </w:p>
        </w:tc>
        <w:tc>
          <w:tcPr>
            <w:tcW w:w="695" w:type="pct"/>
            <w:vAlign w:val="center"/>
          </w:tcPr>
          <w:p w14:paraId="7AC37FD4">
            <w:pPr>
              <w:pStyle w:val="133"/>
              <w:rPr>
                <w:rFonts w:cs="Times New Roman"/>
              </w:rPr>
            </w:pPr>
            <w:r>
              <w:rPr>
                <w:rFonts w:cs="Times New Roman"/>
              </w:rPr>
              <w:t>99580</w:t>
            </w:r>
          </w:p>
        </w:tc>
        <w:tc>
          <w:tcPr>
            <w:tcW w:w="1715" w:type="pct"/>
            <w:vAlign w:val="center"/>
          </w:tcPr>
          <w:p w14:paraId="390BD6E9">
            <w:pPr>
              <w:pStyle w:val="133"/>
              <w:rPr>
                <w:rFonts w:cs="Times New Roman"/>
              </w:rPr>
            </w:pPr>
            <w:r>
              <w:rPr>
                <w:rFonts w:cs="Times New Roman"/>
              </w:rPr>
              <w:t>硅铁产品（含成品除尘灰）</w:t>
            </w:r>
          </w:p>
        </w:tc>
        <w:tc>
          <w:tcPr>
            <w:tcW w:w="761" w:type="pct"/>
            <w:vAlign w:val="center"/>
          </w:tcPr>
          <w:p w14:paraId="16407BE5">
            <w:pPr>
              <w:pStyle w:val="133"/>
              <w:rPr>
                <w:rFonts w:cs="Times New Roman"/>
              </w:rPr>
            </w:pPr>
            <w:r>
              <w:rPr>
                <w:rFonts w:cs="Times New Roman"/>
              </w:rPr>
              <w:t>56006.19</w:t>
            </w:r>
          </w:p>
        </w:tc>
        <w:tc>
          <w:tcPr>
            <w:tcW w:w="772" w:type="pct"/>
            <w:vAlign w:val="center"/>
          </w:tcPr>
          <w:p w14:paraId="42DDAC19">
            <w:pPr>
              <w:pStyle w:val="133"/>
              <w:rPr>
                <w:rFonts w:cs="Times New Roman"/>
              </w:rPr>
            </w:pPr>
            <w:r>
              <w:rPr>
                <w:rFonts w:hint="eastAsia" w:cs="Times New Roman"/>
              </w:rPr>
              <w:t>13.78</w:t>
            </w:r>
          </w:p>
        </w:tc>
      </w:tr>
      <w:tr w14:paraId="5BE276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bottom"/>
          </w:tcPr>
          <w:p w14:paraId="6559162D">
            <w:pPr>
              <w:pStyle w:val="133"/>
              <w:rPr>
                <w:rFonts w:cs="Times New Roman"/>
              </w:rPr>
            </w:pPr>
            <w:r>
              <w:rPr>
                <w:rFonts w:cs="Times New Roman"/>
              </w:rPr>
              <w:t>球团</w:t>
            </w:r>
          </w:p>
        </w:tc>
        <w:tc>
          <w:tcPr>
            <w:tcW w:w="695" w:type="pct"/>
            <w:vAlign w:val="center"/>
          </w:tcPr>
          <w:p w14:paraId="25B4B176">
            <w:pPr>
              <w:pStyle w:val="133"/>
              <w:rPr>
                <w:rFonts w:cs="Times New Roman"/>
              </w:rPr>
            </w:pPr>
            <w:r>
              <w:rPr>
                <w:rFonts w:cs="Times New Roman"/>
              </w:rPr>
              <w:t>19360</w:t>
            </w:r>
          </w:p>
        </w:tc>
        <w:tc>
          <w:tcPr>
            <w:tcW w:w="1715" w:type="pct"/>
            <w:vAlign w:val="center"/>
          </w:tcPr>
          <w:p w14:paraId="2008D209">
            <w:pPr>
              <w:pStyle w:val="133"/>
              <w:rPr>
                <w:rFonts w:cs="Times New Roman"/>
              </w:rPr>
            </w:pPr>
            <w:r>
              <w:rPr>
                <w:rFonts w:cs="Times New Roman"/>
              </w:rPr>
              <w:t>硅渣</w:t>
            </w:r>
          </w:p>
        </w:tc>
        <w:tc>
          <w:tcPr>
            <w:tcW w:w="761" w:type="pct"/>
            <w:vAlign w:val="center"/>
          </w:tcPr>
          <w:p w14:paraId="0D6E78C4">
            <w:pPr>
              <w:pStyle w:val="133"/>
              <w:rPr>
                <w:rFonts w:cs="Times New Roman"/>
              </w:rPr>
            </w:pPr>
            <w:r>
              <w:rPr>
                <w:rFonts w:cs="Times New Roman"/>
              </w:rPr>
              <w:t>3360</w:t>
            </w:r>
          </w:p>
        </w:tc>
        <w:tc>
          <w:tcPr>
            <w:tcW w:w="772" w:type="pct"/>
            <w:noWrap/>
            <w:vAlign w:val="center"/>
          </w:tcPr>
          <w:p w14:paraId="621BB458">
            <w:pPr>
              <w:pStyle w:val="133"/>
              <w:rPr>
                <w:rFonts w:cs="Times New Roman"/>
              </w:rPr>
            </w:pPr>
            <w:r>
              <w:rPr>
                <w:rFonts w:hint="eastAsia" w:cs="Times New Roman"/>
              </w:rPr>
              <w:t>0.83</w:t>
            </w:r>
          </w:p>
        </w:tc>
      </w:tr>
      <w:tr w14:paraId="77C702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bottom"/>
          </w:tcPr>
          <w:p w14:paraId="19DD6164">
            <w:pPr>
              <w:pStyle w:val="133"/>
              <w:rPr>
                <w:rFonts w:cs="Times New Roman"/>
              </w:rPr>
            </w:pPr>
            <w:r>
              <w:rPr>
                <w:rFonts w:cs="Times New Roman"/>
              </w:rPr>
              <w:t>兰炭</w:t>
            </w:r>
          </w:p>
        </w:tc>
        <w:tc>
          <w:tcPr>
            <w:tcW w:w="695" w:type="pct"/>
            <w:vAlign w:val="center"/>
          </w:tcPr>
          <w:p w14:paraId="5CEDEB27">
            <w:pPr>
              <w:pStyle w:val="133"/>
              <w:rPr>
                <w:rFonts w:cs="Times New Roman"/>
              </w:rPr>
            </w:pPr>
            <w:r>
              <w:rPr>
                <w:rFonts w:cs="Times New Roman"/>
              </w:rPr>
              <w:t>56000</w:t>
            </w:r>
          </w:p>
        </w:tc>
        <w:tc>
          <w:tcPr>
            <w:tcW w:w="1715" w:type="pct"/>
            <w:vAlign w:val="center"/>
          </w:tcPr>
          <w:p w14:paraId="2E632F5B">
            <w:pPr>
              <w:pStyle w:val="133"/>
              <w:rPr>
                <w:rFonts w:cs="Times New Roman"/>
              </w:rPr>
            </w:pPr>
            <w:r>
              <w:rPr>
                <w:rFonts w:cs="Times New Roman"/>
              </w:rPr>
              <w:t>微硅粉</w:t>
            </w:r>
          </w:p>
        </w:tc>
        <w:tc>
          <w:tcPr>
            <w:tcW w:w="761" w:type="pct"/>
            <w:vAlign w:val="center"/>
          </w:tcPr>
          <w:p w14:paraId="2E1C7706">
            <w:pPr>
              <w:pStyle w:val="133"/>
              <w:rPr>
                <w:rFonts w:cs="Times New Roman"/>
              </w:rPr>
            </w:pPr>
            <w:r>
              <w:rPr>
                <w:rFonts w:cs="Times New Roman"/>
              </w:rPr>
              <w:t>73</w:t>
            </w:r>
            <w:r>
              <w:rPr>
                <w:rFonts w:hint="eastAsia" w:cs="Times New Roman"/>
              </w:rPr>
              <w:t>09.28</w:t>
            </w:r>
          </w:p>
        </w:tc>
        <w:tc>
          <w:tcPr>
            <w:tcW w:w="772" w:type="pct"/>
            <w:vAlign w:val="center"/>
          </w:tcPr>
          <w:p w14:paraId="150EE72A">
            <w:pPr>
              <w:pStyle w:val="133"/>
              <w:rPr>
                <w:rFonts w:cs="Times New Roman"/>
              </w:rPr>
            </w:pPr>
            <w:r>
              <w:rPr>
                <w:rFonts w:hint="eastAsia" w:cs="Times New Roman"/>
              </w:rPr>
              <w:t>1.80</w:t>
            </w:r>
          </w:p>
        </w:tc>
      </w:tr>
      <w:tr w14:paraId="4FE74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28C1B7C7">
            <w:pPr>
              <w:pStyle w:val="133"/>
              <w:rPr>
                <w:rFonts w:cs="Times New Roman"/>
              </w:rPr>
            </w:pPr>
            <w:r>
              <w:rPr>
                <w:rFonts w:cs="Times New Roman"/>
              </w:rPr>
              <w:t>电极糊</w:t>
            </w:r>
          </w:p>
        </w:tc>
        <w:tc>
          <w:tcPr>
            <w:tcW w:w="695" w:type="pct"/>
            <w:vAlign w:val="center"/>
          </w:tcPr>
          <w:p w14:paraId="2AB404F7">
            <w:pPr>
              <w:pStyle w:val="133"/>
              <w:rPr>
                <w:rFonts w:cs="Times New Roman"/>
              </w:rPr>
            </w:pPr>
            <w:r>
              <w:rPr>
                <w:rFonts w:cs="Times New Roman"/>
              </w:rPr>
              <w:t>2800</w:t>
            </w:r>
          </w:p>
        </w:tc>
        <w:tc>
          <w:tcPr>
            <w:tcW w:w="1715" w:type="pct"/>
            <w:vAlign w:val="center"/>
          </w:tcPr>
          <w:p w14:paraId="572F4FFF">
            <w:pPr>
              <w:pStyle w:val="133"/>
              <w:rPr>
                <w:rFonts w:cs="Times New Roman"/>
              </w:rPr>
            </w:pPr>
            <w:r>
              <w:rPr>
                <w:rFonts w:cs="Times New Roman"/>
              </w:rPr>
              <w:t>原料除尘灰（返料）</w:t>
            </w:r>
          </w:p>
        </w:tc>
        <w:tc>
          <w:tcPr>
            <w:tcW w:w="761" w:type="pct"/>
            <w:vAlign w:val="center"/>
          </w:tcPr>
          <w:p w14:paraId="4D1CC26D">
            <w:pPr>
              <w:pStyle w:val="133"/>
              <w:rPr>
                <w:rFonts w:cs="Times New Roman"/>
              </w:rPr>
            </w:pPr>
            <w:r>
              <w:rPr>
                <w:rFonts w:hint="eastAsia" w:cs="Times New Roman"/>
              </w:rPr>
              <w:t>36.10</w:t>
            </w:r>
          </w:p>
        </w:tc>
        <w:tc>
          <w:tcPr>
            <w:tcW w:w="772" w:type="pct"/>
            <w:vAlign w:val="center"/>
          </w:tcPr>
          <w:p w14:paraId="635BB2CD">
            <w:pPr>
              <w:pStyle w:val="133"/>
              <w:rPr>
                <w:rFonts w:cs="Times New Roman"/>
              </w:rPr>
            </w:pPr>
            <w:r>
              <w:rPr>
                <w:rFonts w:hint="eastAsia" w:cs="Times New Roman"/>
              </w:rPr>
              <w:t>0.01</w:t>
            </w:r>
          </w:p>
        </w:tc>
      </w:tr>
      <w:tr w14:paraId="1BB263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77D5FA24">
            <w:pPr>
              <w:pStyle w:val="133"/>
              <w:rPr>
                <w:rFonts w:cs="Times New Roman"/>
              </w:rPr>
            </w:pPr>
            <w:r>
              <w:rPr>
                <w:rFonts w:cs="Times New Roman"/>
              </w:rPr>
              <w:t>电极壳</w:t>
            </w:r>
          </w:p>
        </w:tc>
        <w:tc>
          <w:tcPr>
            <w:tcW w:w="695" w:type="pct"/>
            <w:vAlign w:val="center"/>
          </w:tcPr>
          <w:p w14:paraId="66EA3422">
            <w:pPr>
              <w:pStyle w:val="133"/>
              <w:rPr>
                <w:rFonts w:cs="Times New Roman"/>
              </w:rPr>
            </w:pPr>
            <w:r>
              <w:rPr>
                <w:rFonts w:cs="Times New Roman"/>
              </w:rPr>
              <w:t>112</w:t>
            </w:r>
          </w:p>
        </w:tc>
        <w:tc>
          <w:tcPr>
            <w:tcW w:w="1715" w:type="pct"/>
            <w:vAlign w:val="center"/>
          </w:tcPr>
          <w:p w14:paraId="41DEDC56">
            <w:pPr>
              <w:pStyle w:val="133"/>
              <w:rPr>
                <w:rFonts w:cs="Times New Roman"/>
              </w:rPr>
            </w:pPr>
            <w:r>
              <w:rPr>
                <w:rFonts w:cs="Times New Roman"/>
              </w:rPr>
              <w:t>原料落料（返料）</w:t>
            </w:r>
          </w:p>
        </w:tc>
        <w:tc>
          <w:tcPr>
            <w:tcW w:w="761" w:type="pct"/>
            <w:vAlign w:val="center"/>
          </w:tcPr>
          <w:p w14:paraId="1DB79CDF">
            <w:pPr>
              <w:pStyle w:val="133"/>
              <w:rPr>
                <w:rFonts w:cs="Times New Roman"/>
              </w:rPr>
            </w:pPr>
            <w:r>
              <w:rPr>
                <w:rFonts w:hint="eastAsia" w:cs="Times New Roman"/>
              </w:rPr>
              <w:t>74.93</w:t>
            </w:r>
            <w:r>
              <w:rPr>
                <w:rFonts w:cs="Times New Roman"/>
              </w:rPr>
              <w:t xml:space="preserve"> </w:t>
            </w:r>
          </w:p>
        </w:tc>
        <w:tc>
          <w:tcPr>
            <w:tcW w:w="772" w:type="pct"/>
            <w:vAlign w:val="center"/>
          </w:tcPr>
          <w:p w14:paraId="2809D162">
            <w:pPr>
              <w:pStyle w:val="133"/>
              <w:rPr>
                <w:rFonts w:cs="Times New Roman"/>
              </w:rPr>
            </w:pPr>
            <w:r>
              <w:rPr>
                <w:rFonts w:hint="eastAsia" w:cs="Times New Roman"/>
              </w:rPr>
              <w:t>0.02</w:t>
            </w:r>
          </w:p>
        </w:tc>
      </w:tr>
      <w:tr w14:paraId="655C8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2593DFF6">
            <w:pPr>
              <w:pStyle w:val="133"/>
              <w:rPr>
                <w:rFonts w:cs="Times New Roman"/>
              </w:rPr>
            </w:pPr>
            <w:r>
              <w:rPr>
                <w:rFonts w:cs="Times New Roman"/>
              </w:rPr>
              <w:t>除尘灰（返料）</w:t>
            </w:r>
          </w:p>
        </w:tc>
        <w:tc>
          <w:tcPr>
            <w:tcW w:w="695" w:type="pct"/>
            <w:vAlign w:val="center"/>
          </w:tcPr>
          <w:p w14:paraId="3503AAB2">
            <w:pPr>
              <w:pStyle w:val="133"/>
              <w:rPr>
                <w:rFonts w:cs="Times New Roman"/>
              </w:rPr>
            </w:pPr>
            <w:r>
              <w:rPr>
                <w:rFonts w:hint="eastAsia" w:cs="Times New Roman"/>
              </w:rPr>
              <w:t>36.1</w:t>
            </w:r>
          </w:p>
        </w:tc>
        <w:tc>
          <w:tcPr>
            <w:tcW w:w="1715" w:type="pct"/>
            <w:vAlign w:val="center"/>
          </w:tcPr>
          <w:p w14:paraId="68B84FB2">
            <w:pPr>
              <w:pStyle w:val="133"/>
              <w:rPr>
                <w:rFonts w:cs="Times New Roman"/>
              </w:rPr>
            </w:pPr>
            <w:r>
              <w:rPr>
                <w:rFonts w:cs="Times New Roman"/>
              </w:rPr>
              <w:t>产品落料</w:t>
            </w:r>
          </w:p>
        </w:tc>
        <w:tc>
          <w:tcPr>
            <w:tcW w:w="761" w:type="pct"/>
            <w:vAlign w:val="center"/>
          </w:tcPr>
          <w:p w14:paraId="01D64220">
            <w:pPr>
              <w:pStyle w:val="133"/>
              <w:rPr>
                <w:rFonts w:cs="Times New Roman"/>
              </w:rPr>
            </w:pPr>
            <w:r>
              <w:rPr>
                <w:rFonts w:cs="Times New Roman"/>
              </w:rPr>
              <w:t>4.5</w:t>
            </w:r>
            <w:r>
              <w:rPr>
                <w:rFonts w:hint="eastAsia" w:cs="Times New Roman"/>
              </w:rPr>
              <w:t>2</w:t>
            </w:r>
          </w:p>
        </w:tc>
        <w:tc>
          <w:tcPr>
            <w:tcW w:w="772" w:type="pct"/>
            <w:vAlign w:val="center"/>
          </w:tcPr>
          <w:p w14:paraId="13B36CAA">
            <w:pPr>
              <w:pStyle w:val="133"/>
              <w:rPr>
                <w:rFonts w:cs="Times New Roman"/>
              </w:rPr>
            </w:pPr>
            <w:r>
              <w:rPr>
                <w:rFonts w:hint="eastAsia" w:cs="Times New Roman"/>
              </w:rPr>
              <w:t>0.00</w:t>
            </w:r>
          </w:p>
        </w:tc>
      </w:tr>
      <w:tr w14:paraId="37831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28E44171">
            <w:pPr>
              <w:pStyle w:val="133"/>
              <w:rPr>
                <w:rFonts w:cs="Times New Roman"/>
              </w:rPr>
            </w:pPr>
            <w:r>
              <w:rPr>
                <w:rFonts w:cs="Times New Roman"/>
              </w:rPr>
              <w:t>原料落料（返料）</w:t>
            </w:r>
          </w:p>
        </w:tc>
        <w:tc>
          <w:tcPr>
            <w:tcW w:w="695" w:type="pct"/>
            <w:vAlign w:val="center"/>
          </w:tcPr>
          <w:p w14:paraId="57AF5FBF">
            <w:pPr>
              <w:pStyle w:val="133"/>
              <w:rPr>
                <w:rFonts w:cs="Times New Roman"/>
              </w:rPr>
            </w:pPr>
            <w:r>
              <w:rPr>
                <w:rFonts w:hint="eastAsia" w:cs="Times New Roman"/>
              </w:rPr>
              <w:t>74.93</w:t>
            </w:r>
          </w:p>
        </w:tc>
        <w:tc>
          <w:tcPr>
            <w:tcW w:w="1715" w:type="pct"/>
            <w:vAlign w:val="center"/>
          </w:tcPr>
          <w:p w14:paraId="7DF8F81A">
            <w:pPr>
              <w:pStyle w:val="133"/>
              <w:rPr>
                <w:rFonts w:cs="Times New Roman"/>
              </w:rPr>
            </w:pPr>
            <w:r>
              <w:rPr>
                <w:rFonts w:cs="Times New Roman"/>
              </w:rPr>
              <w:t>原料废气排放</w:t>
            </w:r>
          </w:p>
        </w:tc>
        <w:tc>
          <w:tcPr>
            <w:tcW w:w="761" w:type="pct"/>
            <w:vAlign w:val="center"/>
          </w:tcPr>
          <w:p w14:paraId="5352F5DB">
            <w:pPr>
              <w:pStyle w:val="133"/>
              <w:rPr>
                <w:rFonts w:cs="Times New Roman"/>
              </w:rPr>
            </w:pPr>
            <w:r>
              <w:rPr>
                <w:rFonts w:hint="eastAsia" w:cs="Times New Roman"/>
              </w:rPr>
              <w:t>0.36</w:t>
            </w:r>
          </w:p>
        </w:tc>
        <w:tc>
          <w:tcPr>
            <w:tcW w:w="772" w:type="pct"/>
            <w:vAlign w:val="center"/>
          </w:tcPr>
          <w:p w14:paraId="30AEA881">
            <w:pPr>
              <w:pStyle w:val="133"/>
              <w:rPr>
                <w:rFonts w:cs="Times New Roman"/>
              </w:rPr>
            </w:pPr>
            <w:r>
              <w:rPr>
                <w:rFonts w:hint="eastAsia" w:cs="Times New Roman"/>
              </w:rPr>
              <w:t>0.00</w:t>
            </w:r>
          </w:p>
        </w:tc>
      </w:tr>
      <w:tr w14:paraId="778F15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3C0DB4A5">
            <w:pPr>
              <w:pStyle w:val="133"/>
              <w:rPr>
                <w:rFonts w:cs="Times New Roman"/>
              </w:rPr>
            </w:pPr>
            <w:r>
              <w:rPr>
                <w:rFonts w:cs="Times New Roman"/>
              </w:rPr>
              <w:t>空气</w:t>
            </w:r>
          </w:p>
        </w:tc>
        <w:tc>
          <w:tcPr>
            <w:tcW w:w="695" w:type="pct"/>
            <w:vAlign w:val="center"/>
          </w:tcPr>
          <w:p w14:paraId="74D7FF0C">
            <w:pPr>
              <w:pStyle w:val="133"/>
              <w:rPr>
                <w:rFonts w:cs="Times New Roman"/>
              </w:rPr>
            </w:pPr>
            <w:r>
              <w:rPr>
                <w:rFonts w:cs="Times New Roman"/>
              </w:rPr>
              <w:t>22865</w:t>
            </w:r>
            <w:r>
              <w:rPr>
                <w:rFonts w:hint="eastAsia" w:cs="Times New Roman"/>
              </w:rPr>
              <w:t>3.5</w:t>
            </w:r>
          </w:p>
        </w:tc>
        <w:tc>
          <w:tcPr>
            <w:tcW w:w="1715" w:type="pct"/>
            <w:vAlign w:val="center"/>
          </w:tcPr>
          <w:p w14:paraId="1D6058C9">
            <w:pPr>
              <w:pStyle w:val="133"/>
              <w:rPr>
                <w:rFonts w:cs="Times New Roman"/>
              </w:rPr>
            </w:pPr>
            <w:r>
              <w:rPr>
                <w:rFonts w:cs="Times New Roman"/>
              </w:rPr>
              <w:t>产品废气带出</w:t>
            </w:r>
          </w:p>
        </w:tc>
        <w:tc>
          <w:tcPr>
            <w:tcW w:w="761" w:type="pct"/>
            <w:vAlign w:val="center"/>
          </w:tcPr>
          <w:p w14:paraId="143AE061">
            <w:pPr>
              <w:pStyle w:val="133"/>
              <w:rPr>
                <w:rFonts w:cs="Times New Roman"/>
              </w:rPr>
            </w:pPr>
            <w:r>
              <w:rPr>
                <w:rFonts w:cs="Times New Roman"/>
              </w:rPr>
              <w:t>73.</w:t>
            </w:r>
            <w:r>
              <w:rPr>
                <w:rFonts w:hint="eastAsia" w:cs="Times New Roman"/>
              </w:rPr>
              <w:t>89</w:t>
            </w:r>
          </w:p>
        </w:tc>
        <w:tc>
          <w:tcPr>
            <w:tcW w:w="772" w:type="pct"/>
            <w:vAlign w:val="center"/>
          </w:tcPr>
          <w:p w14:paraId="31BE960C">
            <w:pPr>
              <w:pStyle w:val="133"/>
              <w:rPr>
                <w:rFonts w:cs="Times New Roman"/>
              </w:rPr>
            </w:pPr>
            <w:r>
              <w:rPr>
                <w:rFonts w:hint="eastAsia" w:cs="Times New Roman"/>
              </w:rPr>
              <w:t>0.02</w:t>
            </w:r>
          </w:p>
        </w:tc>
      </w:tr>
      <w:tr w14:paraId="52FC6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473EE34A">
            <w:pPr>
              <w:pStyle w:val="133"/>
              <w:rPr>
                <w:rFonts w:cs="Times New Roman"/>
              </w:rPr>
            </w:pPr>
          </w:p>
        </w:tc>
        <w:tc>
          <w:tcPr>
            <w:tcW w:w="695" w:type="pct"/>
            <w:vAlign w:val="center"/>
          </w:tcPr>
          <w:p w14:paraId="52A26121">
            <w:pPr>
              <w:pStyle w:val="133"/>
              <w:rPr>
                <w:rFonts w:cs="Times New Roman"/>
              </w:rPr>
            </w:pPr>
          </w:p>
        </w:tc>
        <w:tc>
          <w:tcPr>
            <w:tcW w:w="1715" w:type="pct"/>
            <w:vAlign w:val="center"/>
          </w:tcPr>
          <w:p w14:paraId="3A750143">
            <w:pPr>
              <w:pStyle w:val="133"/>
              <w:rPr>
                <w:rFonts w:cs="Times New Roman"/>
              </w:rPr>
            </w:pPr>
            <w:r>
              <w:rPr>
                <w:rFonts w:cs="Times New Roman"/>
              </w:rPr>
              <w:t>烟气带出及烧失量</w:t>
            </w:r>
          </w:p>
        </w:tc>
        <w:tc>
          <w:tcPr>
            <w:tcW w:w="761" w:type="pct"/>
            <w:vAlign w:val="center"/>
          </w:tcPr>
          <w:p w14:paraId="35BE2BC0">
            <w:pPr>
              <w:pStyle w:val="133"/>
              <w:rPr>
                <w:rFonts w:cs="Times New Roman"/>
              </w:rPr>
            </w:pPr>
            <w:r>
              <w:rPr>
                <w:rFonts w:cs="Times New Roman"/>
              </w:rPr>
              <w:t>339</w:t>
            </w:r>
            <w:r>
              <w:rPr>
                <w:rFonts w:hint="eastAsia" w:cs="Times New Roman"/>
              </w:rPr>
              <w:t>736.45</w:t>
            </w:r>
          </w:p>
        </w:tc>
        <w:tc>
          <w:tcPr>
            <w:tcW w:w="772" w:type="pct"/>
            <w:vAlign w:val="center"/>
          </w:tcPr>
          <w:p w14:paraId="5BA1385E">
            <w:pPr>
              <w:pStyle w:val="133"/>
              <w:rPr>
                <w:rFonts w:cs="Times New Roman"/>
              </w:rPr>
            </w:pPr>
            <w:r>
              <w:rPr>
                <w:rFonts w:hint="eastAsia" w:cs="Times New Roman"/>
              </w:rPr>
              <w:t>83.57</w:t>
            </w:r>
          </w:p>
        </w:tc>
      </w:tr>
      <w:tr w14:paraId="44E8B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3778D782">
            <w:pPr>
              <w:pStyle w:val="133"/>
              <w:rPr>
                <w:rFonts w:cs="Times New Roman"/>
              </w:rPr>
            </w:pPr>
          </w:p>
        </w:tc>
        <w:tc>
          <w:tcPr>
            <w:tcW w:w="695" w:type="pct"/>
            <w:vAlign w:val="center"/>
          </w:tcPr>
          <w:p w14:paraId="31F06BB9">
            <w:pPr>
              <w:pStyle w:val="133"/>
              <w:rPr>
                <w:rFonts w:cs="Times New Roman"/>
              </w:rPr>
            </w:pPr>
          </w:p>
        </w:tc>
        <w:tc>
          <w:tcPr>
            <w:tcW w:w="1715" w:type="pct"/>
            <w:vAlign w:val="center"/>
          </w:tcPr>
          <w:p w14:paraId="6F615559">
            <w:pPr>
              <w:pStyle w:val="133"/>
              <w:rPr>
                <w:rFonts w:cs="Times New Roman"/>
              </w:rPr>
            </w:pPr>
            <w:r>
              <w:rPr>
                <w:rFonts w:hint="eastAsia" w:cs="Times New Roman"/>
              </w:rPr>
              <w:t>无组织排放</w:t>
            </w:r>
          </w:p>
        </w:tc>
        <w:tc>
          <w:tcPr>
            <w:tcW w:w="761" w:type="pct"/>
            <w:vAlign w:val="center"/>
          </w:tcPr>
          <w:p w14:paraId="04141991">
            <w:pPr>
              <w:pStyle w:val="133"/>
              <w:rPr>
                <w:rFonts w:cs="Times New Roman"/>
              </w:rPr>
            </w:pPr>
            <w:r>
              <w:rPr>
                <w:rFonts w:hint="eastAsia" w:cs="Times New Roman"/>
              </w:rPr>
              <w:t>14.81</w:t>
            </w:r>
          </w:p>
        </w:tc>
        <w:tc>
          <w:tcPr>
            <w:tcW w:w="772" w:type="pct"/>
            <w:vAlign w:val="center"/>
          </w:tcPr>
          <w:p w14:paraId="12258840">
            <w:pPr>
              <w:pStyle w:val="133"/>
              <w:rPr>
                <w:rFonts w:cs="Times New Roman"/>
              </w:rPr>
            </w:pPr>
            <w:r>
              <w:rPr>
                <w:rFonts w:hint="eastAsia" w:cs="Times New Roman"/>
              </w:rPr>
              <w:t>0.00</w:t>
            </w:r>
          </w:p>
        </w:tc>
      </w:tr>
      <w:tr w14:paraId="2D2CA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7" w:type="pct"/>
            <w:vAlign w:val="center"/>
          </w:tcPr>
          <w:p w14:paraId="2EE97210">
            <w:pPr>
              <w:pStyle w:val="133"/>
              <w:rPr>
                <w:rFonts w:eastAsia="等线" w:cs="Times New Roman"/>
              </w:rPr>
            </w:pPr>
            <w:r>
              <w:rPr>
                <w:rFonts w:cs="Times New Roman"/>
              </w:rPr>
              <w:t>合计</w:t>
            </w:r>
          </w:p>
        </w:tc>
        <w:tc>
          <w:tcPr>
            <w:tcW w:w="695" w:type="pct"/>
            <w:vAlign w:val="center"/>
          </w:tcPr>
          <w:p w14:paraId="4CC99126">
            <w:pPr>
              <w:pStyle w:val="133"/>
              <w:rPr>
                <w:rFonts w:eastAsia="等线" w:cs="Times New Roman"/>
              </w:rPr>
            </w:pPr>
            <w:r>
              <w:rPr>
                <w:rFonts w:hint="eastAsia" w:eastAsia="等线" w:cs="Times New Roman"/>
              </w:rPr>
              <w:t>406617</w:t>
            </w:r>
          </w:p>
        </w:tc>
        <w:tc>
          <w:tcPr>
            <w:tcW w:w="1715" w:type="pct"/>
            <w:vAlign w:val="center"/>
          </w:tcPr>
          <w:p w14:paraId="6BD247A1">
            <w:pPr>
              <w:pStyle w:val="133"/>
              <w:rPr>
                <w:rFonts w:cs="Times New Roman"/>
              </w:rPr>
            </w:pPr>
            <w:r>
              <w:rPr>
                <w:rFonts w:cs="Times New Roman"/>
              </w:rPr>
              <w:t>合 计</w:t>
            </w:r>
          </w:p>
        </w:tc>
        <w:tc>
          <w:tcPr>
            <w:tcW w:w="761" w:type="pct"/>
            <w:vAlign w:val="center"/>
          </w:tcPr>
          <w:p w14:paraId="7D12C9BF">
            <w:pPr>
              <w:pStyle w:val="133"/>
              <w:rPr>
                <w:rFonts w:eastAsia="等线" w:cs="Times New Roman"/>
              </w:rPr>
            </w:pPr>
            <w:r>
              <w:rPr>
                <w:rFonts w:hint="eastAsia" w:eastAsia="等线" w:cs="Times New Roman"/>
              </w:rPr>
              <w:t>406617</w:t>
            </w:r>
          </w:p>
        </w:tc>
        <w:tc>
          <w:tcPr>
            <w:tcW w:w="772" w:type="pct"/>
            <w:vAlign w:val="center"/>
          </w:tcPr>
          <w:p w14:paraId="54D291B5">
            <w:pPr>
              <w:pStyle w:val="133"/>
              <w:rPr>
                <w:rFonts w:cs="Times New Roman"/>
              </w:rPr>
            </w:pPr>
            <w:r>
              <w:rPr>
                <w:rFonts w:hint="eastAsia" w:cs="Times New Roman"/>
              </w:rPr>
              <w:t>100.00</w:t>
            </w:r>
          </w:p>
        </w:tc>
      </w:tr>
    </w:tbl>
    <w:p w14:paraId="2516E5DC">
      <w:pPr>
        <w:pStyle w:val="38"/>
        <w:ind w:firstLine="480"/>
      </w:pPr>
    </w:p>
    <w:p w14:paraId="7A7CE157">
      <w:pPr>
        <w:pStyle w:val="5"/>
      </w:pPr>
      <w:r>
        <w:rPr>
          <w:rFonts w:hint="eastAsia"/>
        </w:rPr>
        <w:t>硅平衡</w:t>
      </w:r>
    </w:p>
    <w:p w14:paraId="23DDBE31">
      <w:pPr>
        <w:ind w:firstLine="480"/>
      </w:pPr>
      <w:r>
        <w:t>硅</w:t>
      </w:r>
      <w:r>
        <w:rPr>
          <w:rFonts w:hint="eastAsia"/>
        </w:rPr>
        <w:t>主要</w:t>
      </w:r>
      <w:r>
        <w:t>来自原料硅石，</w:t>
      </w:r>
      <w:r>
        <w:rPr>
          <w:rFonts w:hint="eastAsia"/>
        </w:rPr>
        <w:t>大部分</w:t>
      </w:r>
      <w:r>
        <w:t>进入到产品</w:t>
      </w:r>
      <w:r>
        <w:rPr>
          <w:rFonts w:eastAsia="Times New Roman"/>
          <w:spacing w:val="4"/>
        </w:rPr>
        <w:t>75#</w:t>
      </w:r>
      <w:r>
        <w:rPr>
          <w:spacing w:val="4"/>
        </w:rPr>
        <w:t>硅铁</w:t>
      </w:r>
      <w:r>
        <w:t>中，</w:t>
      </w:r>
      <w:r>
        <w:rPr>
          <w:rFonts w:hint="eastAsia"/>
        </w:rPr>
        <w:t>少量</w:t>
      </w:r>
      <w:r>
        <w:t>进入</w:t>
      </w:r>
      <w:r>
        <w:rPr>
          <w:rFonts w:hint="eastAsia"/>
        </w:rPr>
        <w:t>72#硅铁及</w:t>
      </w:r>
      <w:r>
        <w:t>副产品微硅粉中，少部分</w:t>
      </w:r>
      <w:r>
        <w:rPr>
          <w:rFonts w:hint="eastAsia"/>
        </w:rPr>
        <w:t>进入</w:t>
      </w:r>
      <w:r>
        <w:t>硅渣、</w:t>
      </w:r>
      <w:r>
        <w:rPr>
          <w:rFonts w:hint="eastAsia"/>
        </w:rPr>
        <w:t>落料</w:t>
      </w:r>
      <w:r>
        <w:t>、废气中。硅元素平衡见表</w:t>
      </w:r>
      <w:r>
        <w:rPr>
          <w:rFonts w:hint="eastAsia"/>
        </w:rPr>
        <w:t>3.4-6</w:t>
      </w:r>
      <w:r>
        <w:rPr>
          <w:lang w:val="zh-CN"/>
        </w:rPr>
        <w:t>。</w:t>
      </w:r>
    </w:p>
    <w:p w14:paraId="0CD633BF">
      <w:pPr>
        <w:pStyle w:val="118"/>
        <w:rPr>
          <w:b w:val="0"/>
          <w:bCs/>
        </w:rPr>
      </w:pPr>
      <w:r>
        <w:rPr>
          <w:rFonts w:hint="eastAsia"/>
        </w:rPr>
        <w:t>表3.4-6    硅铁合金生产线硅平衡表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44"/>
        <w:gridCol w:w="858"/>
        <w:gridCol w:w="1000"/>
        <w:gridCol w:w="980"/>
        <w:gridCol w:w="1527"/>
        <w:gridCol w:w="980"/>
        <w:gridCol w:w="1000"/>
        <w:gridCol w:w="973"/>
      </w:tblGrid>
      <w:tr w14:paraId="52802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2320" w:type="pct"/>
            <w:gridSpan w:val="4"/>
            <w:vAlign w:val="center"/>
          </w:tcPr>
          <w:p w14:paraId="108BE6FA">
            <w:pPr>
              <w:pStyle w:val="1080"/>
              <w:spacing w:line="360" w:lineRule="exact"/>
              <w:rPr>
                <w:rFonts w:cs="Times New Roman"/>
                <w:b/>
                <w:bCs w:val="0"/>
              </w:rPr>
            </w:pPr>
            <w:r>
              <w:rPr>
                <w:rFonts w:cs="Times New Roman"/>
                <w:b/>
                <w:bCs w:val="0"/>
              </w:rPr>
              <w:t>进料</w:t>
            </w:r>
          </w:p>
        </w:tc>
        <w:tc>
          <w:tcPr>
            <w:tcW w:w="2680" w:type="pct"/>
            <w:gridSpan w:val="4"/>
            <w:vAlign w:val="center"/>
          </w:tcPr>
          <w:p w14:paraId="6228CE53">
            <w:pPr>
              <w:pStyle w:val="1080"/>
              <w:spacing w:line="360" w:lineRule="exact"/>
              <w:rPr>
                <w:rFonts w:cs="Times New Roman"/>
                <w:b/>
                <w:bCs w:val="0"/>
              </w:rPr>
            </w:pPr>
            <w:r>
              <w:rPr>
                <w:rFonts w:cs="Times New Roman"/>
                <w:b/>
                <w:bCs w:val="0"/>
              </w:rPr>
              <w:t>出料</w:t>
            </w:r>
          </w:p>
        </w:tc>
      </w:tr>
      <w:tr w14:paraId="0E1CC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196EF867">
            <w:pPr>
              <w:pStyle w:val="1080"/>
              <w:spacing w:line="360" w:lineRule="exact"/>
              <w:rPr>
                <w:rFonts w:cs="Times New Roman"/>
                <w:color w:val="000000"/>
              </w:rPr>
            </w:pPr>
            <w:r>
              <w:rPr>
                <w:rFonts w:cs="Times New Roman"/>
                <w:color w:val="000000"/>
              </w:rPr>
              <w:t>物料名称</w:t>
            </w:r>
          </w:p>
        </w:tc>
        <w:tc>
          <w:tcPr>
            <w:tcW w:w="513" w:type="pct"/>
            <w:vAlign w:val="center"/>
          </w:tcPr>
          <w:p w14:paraId="513C50B2">
            <w:pPr>
              <w:pStyle w:val="1080"/>
              <w:spacing w:line="360" w:lineRule="exact"/>
              <w:rPr>
                <w:rFonts w:cs="Times New Roman"/>
                <w:color w:val="000000"/>
              </w:rPr>
            </w:pPr>
            <w:r>
              <w:rPr>
                <w:rFonts w:cs="Times New Roman"/>
                <w:color w:val="000000"/>
              </w:rPr>
              <w:t>数量t/a</w:t>
            </w:r>
          </w:p>
        </w:tc>
        <w:tc>
          <w:tcPr>
            <w:tcW w:w="598" w:type="pct"/>
            <w:vAlign w:val="center"/>
          </w:tcPr>
          <w:p w14:paraId="11F0AF3C">
            <w:pPr>
              <w:pStyle w:val="1080"/>
              <w:spacing w:line="360" w:lineRule="exact"/>
              <w:rPr>
                <w:rFonts w:cs="Times New Roman"/>
                <w:color w:val="000000"/>
              </w:rPr>
            </w:pPr>
            <w:r>
              <w:rPr>
                <w:rFonts w:cs="Times New Roman"/>
                <w:color w:val="000000"/>
              </w:rPr>
              <w:t>含硅率%</w:t>
            </w:r>
          </w:p>
        </w:tc>
        <w:tc>
          <w:tcPr>
            <w:tcW w:w="586" w:type="pct"/>
            <w:vAlign w:val="center"/>
          </w:tcPr>
          <w:p w14:paraId="597F39DB">
            <w:pPr>
              <w:pStyle w:val="1080"/>
              <w:spacing w:line="360" w:lineRule="exact"/>
              <w:rPr>
                <w:rFonts w:cs="Times New Roman"/>
                <w:color w:val="000000"/>
              </w:rPr>
            </w:pPr>
            <w:r>
              <w:rPr>
                <w:rFonts w:cs="Times New Roman"/>
                <w:color w:val="000000"/>
              </w:rPr>
              <w:t>硅量t/a</w:t>
            </w:r>
          </w:p>
        </w:tc>
        <w:tc>
          <w:tcPr>
            <w:tcW w:w="913" w:type="pct"/>
            <w:vAlign w:val="center"/>
          </w:tcPr>
          <w:p w14:paraId="00DB7515">
            <w:pPr>
              <w:pStyle w:val="1080"/>
              <w:spacing w:line="360" w:lineRule="exact"/>
              <w:rPr>
                <w:rFonts w:cs="Times New Roman"/>
                <w:color w:val="000000"/>
              </w:rPr>
            </w:pPr>
            <w:r>
              <w:rPr>
                <w:rFonts w:cs="Times New Roman"/>
                <w:color w:val="000000"/>
              </w:rPr>
              <w:t>物料名称</w:t>
            </w:r>
          </w:p>
        </w:tc>
        <w:tc>
          <w:tcPr>
            <w:tcW w:w="586" w:type="pct"/>
            <w:vAlign w:val="center"/>
          </w:tcPr>
          <w:p w14:paraId="7E275707">
            <w:pPr>
              <w:pStyle w:val="1080"/>
              <w:spacing w:line="360" w:lineRule="exact"/>
              <w:rPr>
                <w:rFonts w:cs="Times New Roman"/>
                <w:color w:val="000000"/>
              </w:rPr>
            </w:pPr>
            <w:r>
              <w:rPr>
                <w:rFonts w:cs="Times New Roman"/>
                <w:color w:val="000000"/>
              </w:rPr>
              <w:t>数量t/a</w:t>
            </w:r>
          </w:p>
        </w:tc>
        <w:tc>
          <w:tcPr>
            <w:tcW w:w="598" w:type="pct"/>
            <w:vAlign w:val="center"/>
          </w:tcPr>
          <w:p w14:paraId="4642B4C9">
            <w:pPr>
              <w:pStyle w:val="1080"/>
              <w:spacing w:line="360" w:lineRule="exact"/>
              <w:rPr>
                <w:rFonts w:cs="Times New Roman"/>
                <w:color w:val="000000"/>
              </w:rPr>
            </w:pPr>
            <w:r>
              <w:rPr>
                <w:rFonts w:cs="Times New Roman"/>
                <w:color w:val="000000"/>
              </w:rPr>
              <w:t>含硅率%</w:t>
            </w:r>
          </w:p>
        </w:tc>
        <w:tc>
          <w:tcPr>
            <w:tcW w:w="583" w:type="pct"/>
            <w:noWrap/>
            <w:vAlign w:val="center"/>
          </w:tcPr>
          <w:p w14:paraId="081E512C">
            <w:pPr>
              <w:pStyle w:val="1080"/>
              <w:spacing w:line="360" w:lineRule="exact"/>
              <w:rPr>
                <w:rFonts w:cs="Times New Roman"/>
                <w:color w:val="000000"/>
              </w:rPr>
            </w:pPr>
            <w:r>
              <w:rPr>
                <w:rFonts w:cs="Times New Roman"/>
                <w:color w:val="000000"/>
              </w:rPr>
              <w:t>硅量t/a</w:t>
            </w:r>
          </w:p>
        </w:tc>
      </w:tr>
      <w:tr w14:paraId="6FE76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0" w:hRule="atLeast"/>
        </w:trPr>
        <w:tc>
          <w:tcPr>
            <w:tcW w:w="624" w:type="pct"/>
            <w:vAlign w:val="center"/>
          </w:tcPr>
          <w:p w14:paraId="01755AAB">
            <w:pPr>
              <w:pStyle w:val="1080"/>
              <w:spacing w:line="360" w:lineRule="exact"/>
              <w:rPr>
                <w:rFonts w:cs="Times New Roman"/>
                <w:color w:val="000000"/>
              </w:rPr>
            </w:pPr>
            <w:r>
              <w:rPr>
                <w:rFonts w:hint="eastAsia" w:cs="Times New Roman"/>
                <w:color w:val="000000"/>
              </w:rPr>
              <w:t>硅石</w:t>
            </w:r>
          </w:p>
        </w:tc>
        <w:tc>
          <w:tcPr>
            <w:tcW w:w="513" w:type="pct"/>
            <w:noWrap/>
            <w:vAlign w:val="center"/>
          </w:tcPr>
          <w:p w14:paraId="0E240C45">
            <w:pPr>
              <w:pStyle w:val="1080"/>
              <w:spacing w:line="360" w:lineRule="exact"/>
              <w:rPr>
                <w:rFonts w:cs="Times New Roman"/>
                <w:color w:val="000000"/>
              </w:rPr>
            </w:pPr>
            <w:r>
              <w:rPr>
                <w:rFonts w:hint="eastAsia" w:cs="Times New Roman"/>
                <w:color w:val="000000"/>
              </w:rPr>
              <w:t>99580</w:t>
            </w:r>
          </w:p>
        </w:tc>
        <w:tc>
          <w:tcPr>
            <w:tcW w:w="598" w:type="pct"/>
            <w:vAlign w:val="center"/>
          </w:tcPr>
          <w:p w14:paraId="17F764BF">
            <w:pPr>
              <w:pStyle w:val="1080"/>
              <w:spacing w:line="360" w:lineRule="exact"/>
              <w:rPr>
                <w:rFonts w:cs="Times New Roman"/>
                <w:color w:val="000000"/>
              </w:rPr>
            </w:pPr>
            <w:r>
              <w:rPr>
                <w:rFonts w:hint="eastAsia" w:cs="Times New Roman"/>
                <w:color w:val="000000"/>
              </w:rPr>
              <w:t>45.73</w:t>
            </w:r>
          </w:p>
        </w:tc>
        <w:tc>
          <w:tcPr>
            <w:tcW w:w="586" w:type="pct"/>
            <w:vAlign w:val="center"/>
          </w:tcPr>
          <w:p w14:paraId="08E0C2C7">
            <w:pPr>
              <w:pStyle w:val="1080"/>
              <w:spacing w:line="360" w:lineRule="exact"/>
              <w:rPr>
                <w:rFonts w:cs="Times New Roman"/>
                <w:color w:val="000000"/>
              </w:rPr>
            </w:pPr>
            <w:r>
              <w:rPr>
                <w:rFonts w:hint="eastAsia" w:cs="Times New Roman"/>
                <w:color w:val="000000"/>
              </w:rPr>
              <w:t>45541.25</w:t>
            </w:r>
          </w:p>
        </w:tc>
        <w:tc>
          <w:tcPr>
            <w:tcW w:w="913" w:type="pct"/>
            <w:vAlign w:val="center"/>
          </w:tcPr>
          <w:p w14:paraId="319CFDC9">
            <w:pPr>
              <w:pStyle w:val="1080"/>
              <w:spacing w:line="360" w:lineRule="exact"/>
              <w:rPr>
                <w:rFonts w:cs="Times New Roman"/>
                <w:color w:val="000000"/>
              </w:rPr>
            </w:pPr>
            <w:r>
              <w:rPr>
                <w:rFonts w:hint="eastAsia" w:cs="Times New Roman"/>
                <w:color w:val="000000"/>
              </w:rPr>
              <w:t>硅铁产品</w:t>
            </w:r>
          </w:p>
        </w:tc>
        <w:tc>
          <w:tcPr>
            <w:tcW w:w="586" w:type="pct"/>
            <w:vAlign w:val="center"/>
          </w:tcPr>
          <w:p w14:paraId="6EC0CDAA">
            <w:pPr>
              <w:pStyle w:val="1080"/>
              <w:spacing w:line="360" w:lineRule="exact"/>
              <w:rPr>
                <w:rFonts w:cs="Times New Roman"/>
                <w:color w:val="000000"/>
              </w:rPr>
            </w:pPr>
            <w:r>
              <w:rPr>
                <w:rFonts w:hint="eastAsia" w:cs="Times New Roman"/>
                <w:color w:val="000000"/>
              </w:rPr>
              <w:t xml:space="preserve">52006.19 </w:t>
            </w:r>
          </w:p>
        </w:tc>
        <w:tc>
          <w:tcPr>
            <w:tcW w:w="598" w:type="pct"/>
            <w:vAlign w:val="center"/>
          </w:tcPr>
          <w:p w14:paraId="759ED972">
            <w:pPr>
              <w:pStyle w:val="1080"/>
              <w:spacing w:line="360" w:lineRule="exact"/>
              <w:rPr>
                <w:rFonts w:cs="Times New Roman"/>
                <w:color w:val="000000"/>
              </w:rPr>
            </w:pPr>
            <w:r>
              <w:rPr>
                <w:rFonts w:hint="eastAsia" w:cs="Times New Roman"/>
                <w:color w:val="000000"/>
              </w:rPr>
              <w:t>75.00</w:t>
            </w:r>
          </w:p>
        </w:tc>
        <w:tc>
          <w:tcPr>
            <w:tcW w:w="583" w:type="pct"/>
            <w:noWrap/>
            <w:vAlign w:val="center"/>
          </w:tcPr>
          <w:p w14:paraId="6A08D52F">
            <w:pPr>
              <w:pStyle w:val="1080"/>
              <w:spacing w:line="360" w:lineRule="exact"/>
              <w:rPr>
                <w:rFonts w:cs="Times New Roman"/>
                <w:color w:val="000000"/>
              </w:rPr>
            </w:pPr>
            <w:r>
              <w:rPr>
                <w:rFonts w:hint="eastAsia" w:cs="Times New Roman"/>
                <w:color w:val="000000"/>
              </w:rPr>
              <w:t xml:space="preserve">39004.64 </w:t>
            </w:r>
          </w:p>
        </w:tc>
      </w:tr>
      <w:tr w14:paraId="694DD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bottom"/>
          </w:tcPr>
          <w:p w14:paraId="1B45FC12">
            <w:pPr>
              <w:pStyle w:val="1080"/>
              <w:spacing w:line="360" w:lineRule="exact"/>
              <w:rPr>
                <w:rFonts w:cs="Times New Roman"/>
                <w:color w:val="000000"/>
              </w:rPr>
            </w:pPr>
            <w:r>
              <w:rPr>
                <w:rFonts w:hint="eastAsia" w:cs="Times New Roman"/>
                <w:color w:val="000000"/>
              </w:rPr>
              <w:t>球团</w:t>
            </w:r>
          </w:p>
        </w:tc>
        <w:tc>
          <w:tcPr>
            <w:tcW w:w="513" w:type="pct"/>
            <w:noWrap/>
            <w:vAlign w:val="center"/>
          </w:tcPr>
          <w:p w14:paraId="66E41095">
            <w:pPr>
              <w:pStyle w:val="1080"/>
              <w:spacing w:line="360" w:lineRule="exact"/>
              <w:rPr>
                <w:rFonts w:cs="Times New Roman"/>
                <w:color w:val="000000"/>
              </w:rPr>
            </w:pPr>
            <w:r>
              <w:rPr>
                <w:rFonts w:hint="eastAsia" w:cs="Times New Roman"/>
                <w:color w:val="000000"/>
              </w:rPr>
              <w:t>19360</w:t>
            </w:r>
          </w:p>
        </w:tc>
        <w:tc>
          <w:tcPr>
            <w:tcW w:w="598" w:type="pct"/>
            <w:vAlign w:val="center"/>
          </w:tcPr>
          <w:p w14:paraId="565D205C">
            <w:pPr>
              <w:pStyle w:val="1080"/>
              <w:spacing w:line="360" w:lineRule="exact"/>
              <w:rPr>
                <w:rFonts w:cs="Times New Roman"/>
                <w:color w:val="000000"/>
              </w:rPr>
            </w:pPr>
            <w:r>
              <w:rPr>
                <w:rFonts w:hint="eastAsia" w:cs="Times New Roman"/>
                <w:color w:val="000000"/>
              </w:rPr>
              <w:t>0.98</w:t>
            </w:r>
          </w:p>
        </w:tc>
        <w:tc>
          <w:tcPr>
            <w:tcW w:w="586" w:type="pct"/>
            <w:vAlign w:val="center"/>
          </w:tcPr>
          <w:p w14:paraId="4DAF4968">
            <w:pPr>
              <w:pStyle w:val="1080"/>
              <w:spacing w:line="360" w:lineRule="exact"/>
              <w:rPr>
                <w:rFonts w:cs="Times New Roman"/>
                <w:color w:val="000000"/>
              </w:rPr>
            </w:pPr>
            <w:r>
              <w:rPr>
                <w:rFonts w:hint="eastAsia" w:cs="Times New Roman"/>
                <w:color w:val="000000"/>
              </w:rPr>
              <w:t>189.73</w:t>
            </w:r>
          </w:p>
        </w:tc>
        <w:tc>
          <w:tcPr>
            <w:tcW w:w="913" w:type="pct"/>
            <w:vAlign w:val="center"/>
          </w:tcPr>
          <w:p w14:paraId="589FE868">
            <w:pPr>
              <w:pStyle w:val="1080"/>
              <w:spacing w:line="360" w:lineRule="exact"/>
              <w:rPr>
                <w:rFonts w:cs="Times New Roman"/>
                <w:color w:val="000000"/>
              </w:rPr>
            </w:pPr>
            <w:r>
              <w:rPr>
                <w:rFonts w:hint="eastAsia" w:cs="Times New Roman"/>
                <w:color w:val="000000"/>
              </w:rPr>
              <w:t>硅铁副产品</w:t>
            </w:r>
          </w:p>
        </w:tc>
        <w:tc>
          <w:tcPr>
            <w:tcW w:w="586" w:type="pct"/>
            <w:vAlign w:val="center"/>
          </w:tcPr>
          <w:p w14:paraId="09A3BE84">
            <w:pPr>
              <w:pStyle w:val="1080"/>
              <w:spacing w:line="360" w:lineRule="exact"/>
              <w:rPr>
                <w:rFonts w:cs="Times New Roman"/>
                <w:color w:val="000000"/>
              </w:rPr>
            </w:pPr>
            <w:r>
              <w:rPr>
                <w:rFonts w:hint="eastAsia" w:cs="Times New Roman"/>
                <w:color w:val="000000"/>
              </w:rPr>
              <w:t xml:space="preserve">4000 </w:t>
            </w:r>
          </w:p>
        </w:tc>
        <w:tc>
          <w:tcPr>
            <w:tcW w:w="598" w:type="pct"/>
            <w:vAlign w:val="center"/>
          </w:tcPr>
          <w:p w14:paraId="69D09489">
            <w:pPr>
              <w:pStyle w:val="1080"/>
              <w:spacing w:line="360" w:lineRule="exact"/>
              <w:rPr>
                <w:rFonts w:cs="Times New Roman"/>
                <w:color w:val="000000"/>
              </w:rPr>
            </w:pPr>
            <w:r>
              <w:rPr>
                <w:rFonts w:hint="eastAsia" w:cs="Times New Roman"/>
                <w:color w:val="000000"/>
              </w:rPr>
              <w:t>72.00</w:t>
            </w:r>
          </w:p>
        </w:tc>
        <w:tc>
          <w:tcPr>
            <w:tcW w:w="583" w:type="pct"/>
            <w:noWrap/>
            <w:vAlign w:val="center"/>
          </w:tcPr>
          <w:p w14:paraId="01DF29A9">
            <w:pPr>
              <w:pStyle w:val="1080"/>
              <w:spacing w:line="360" w:lineRule="exact"/>
              <w:rPr>
                <w:rFonts w:cs="Times New Roman"/>
                <w:color w:val="000000"/>
              </w:rPr>
            </w:pPr>
            <w:r>
              <w:rPr>
                <w:rFonts w:hint="eastAsia" w:cs="Times New Roman"/>
                <w:color w:val="000000"/>
              </w:rPr>
              <w:t xml:space="preserve">2880 </w:t>
            </w:r>
          </w:p>
        </w:tc>
      </w:tr>
      <w:tr w14:paraId="0E3591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6B0B9674">
            <w:pPr>
              <w:pStyle w:val="1080"/>
              <w:spacing w:line="360" w:lineRule="exact"/>
              <w:rPr>
                <w:rFonts w:cs="Times New Roman"/>
                <w:color w:val="000000"/>
              </w:rPr>
            </w:pPr>
          </w:p>
        </w:tc>
        <w:tc>
          <w:tcPr>
            <w:tcW w:w="513" w:type="pct"/>
            <w:noWrap/>
            <w:vAlign w:val="center"/>
          </w:tcPr>
          <w:p w14:paraId="3697D99A">
            <w:pPr>
              <w:pStyle w:val="1080"/>
              <w:spacing w:line="360" w:lineRule="exact"/>
              <w:rPr>
                <w:rFonts w:cs="Times New Roman"/>
                <w:color w:val="000000"/>
              </w:rPr>
            </w:pPr>
          </w:p>
        </w:tc>
        <w:tc>
          <w:tcPr>
            <w:tcW w:w="598" w:type="pct"/>
            <w:vAlign w:val="center"/>
          </w:tcPr>
          <w:p w14:paraId="7A83AD5A">
            <w:pPr>
              <w:pStyle w:val="1080"/>
              <w:spacing w:line="360" w:lineRule="exact"/>
              <w:rPr>
                <w:rFonts w:cs="Times New Roman"/>
                <w:color w:val="000000"/>
              </w:rPr>
            </w:pPr>
          </w:p>
        </w:tc>
        <w:tc>
          <w:tcPr>
            <w:tcW w:w="586" w:type="pct"/>
            <w:vAlign w:val="center"/>
          </w:tcPr>
          <w:p w14:paraId="289E4FAE">
            <w:pPr>
              <w:pStyle w:val="1080"/>
              <w:spacing w:line="360" w:lineRule="exact"/>
              <w:rPr>
                <w:rFonts w:cs="Times New Roman"/>
                <w:color w:val="000000"/>
              </w:rPr>
            </w:pPr>
          </w:p>
        </w:tc>
        <w:tc>
          <w:tcPr>
            <w:tcW w:w="913" w:type="pct"/>
            <w:vAlign w:val="center"/>
          </w:tcPr>
          <w:p w14:paraId="5C6394F6">
            <w:pPr>
              <w:pStyle w:val="1080"/>
              <w:spacing w:line="360" w:lineRule="exact"/>
              <w:rPr>
                <w:rFonts w:cs="Times New Roman"/>
                <w:color w:val="000000"/>
              </w:rPr>
            </w:pPr>
            <w:r>
              <w:rPr>
                <w:rFonts w:hint="eastAsia" w:cs="Times New Roman"/>
                <w:color w:val="000000"/>
              </w:rPr>
              <w:t>硅渣</w:t>
            </w:r>
          </w:p>
        </w:tc>
        <w:tc>
          <w:tcPr>
            <w:tcW w:w="586" w:type="pct"/>
            <w:vAlign w:val="center"/>
          </w:tcPr>
          <w:p w14:paraId="73567788">
            <w:pPr>
              <w:pStyle w:val="1080"/>
              <w:spacing w:line="360" w:lineRule="exact"/>
              <w:rPr>
                <w:rFonts w:cs="Times New Roman"/>
                <w:color w:val="000000"/>
              </w:rPr>
            </w:pPr>
            <w:r>
              <w:rPr>
                <w:rFonts w:hint="eastAsia" w:cs="Times New Roman"/>
                <w:color w:val="000000"/>
              </w:rPr>
              <w:t>3360</w:t>
            </w:r>
          </w:p>
        </w:tc>
        <w:tc>
          <w:tcPr>
            <w:tcW w:w="598" w:type="pct"/>
            <w:vAlign w:val="center"/>
          </w:tcPr>
          <w:p w14:paraId="57349843">
            <w:pPr>
              <w:pStyle w:val="1080"/>
              <w:spacing w:line="360" w:lineRule="exact"/>
              <w:rPr>
                <w:rFonts w:cs="Times New Roman"/>
                <w:color w:val="000000"/>
              </w:rPr>
            </w:pPr>
            <w:r>
              <w:rPr>
                <w:rFonts w:hint="eastAsia" w:cs="Times New Roman"/>
                <w:color w:val="000000"/>
              </w:rPr>
              <w:t>20.38</w:t>
            </w:r>
          </w:p>
        </w:tc>
        <w:tc>
          <w:tcPr>
            <w:tcW w:w="583" w:type="pct"/>
            <w:noWrap/>
            <w:vAlign w:val="center"/>
          </w:tcPr>
          <w:p w14:paraId="17C225EC">
            <w:pPr>
              <w:pStyle w:val="1080"/>
              <w:spacing w:line="360" w:lineRule="exact"/>
              <w:rPr>
                <w:rFonts w:cs="Times New Roman"/>
                <w:color w:val="000000"/>
              </w:rPr>
            </w:pPr>
            <w:r>
              <w:rPr>
                <w:rFonts w:hint="eastAsia" w:cs="Times New Roman"/>
                <w:color w:val="000000"/>
              </w:rPr>
              <w:t>684.81</w:t>
            </w:r>
          </w:p>
        </w:tc>
      </w:tr>
      <w:tr w14:paraId="0D58AD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381E68C7">
            <w:pPr>
              <w:pStyle w:val="1080"/>
              <w:spacing w:line="360" w:lineRule="exact"/>
              <w:rPr>
                <w:rFonts w:cs="Times New Roman"/>
                <w:color w:val="000000"/>
              </w:rPr>
            </w:pPr>
          </w:p>
        </w:tc>
        <w:tc>
          <w:tcPr>
            <w:tcW w:w="513" w:type="pct"/>
            <w:noWrap/>
            <w:vAlign w:val="center"/>
          </w:tcPr>
          <w:p w14:paraId="01A672DD">
            <w:pPr>
              <w:pStyle w:val="1080"/>
              <w:spacing w:line="360" w:lineRule="exact"/>
              <w:rPr>
                <w:rFonts w:cs="Times New Roman"/>
                <w:color w:val="000000"/>
              </w:rPr>
            </w:pPr>
          </w:p>
        </w:tc>
        <w:tc>
          <w:tcPr>
            <w:tcW w:w="598" w:type="pct"/>
            <w:vAlign w:val="center"/>
          </w:tcPr>
          <w:p w14:paraId="69913038">
            <w:pPr>
              <w:pStyle w:val="1080"/>
              <w:spacing w:line="360" w:lineRule="exact"/>
              <w:rPr>
                <w:rFonts w:cs="Times New Roman"/>
                <w:color w:val="000000"/>
              </w:rPr>
            </w:pPr>
          </w:p>
        </w:tc>
        <w:tc>
          <w:tcPr>
            <w:tcW w:w="586" w:type="pct"/>
            <w:vAlign w:val="center"/>
          </w:tcPr>
          <w:p w14:paraId="01F3CD6F">
            <w:pPr>
              <w:pStyle w:val="1080"/>
              <w:spacing w:line="360" w:lineRule="exact"/>
              <w:rPr>
                <w:rFonts w:cs="Times New Roman"/>
                <w:color w:val="000000"/>
              </w:rPr>
            </w:pPr>
          </w:p>
        </w:tc>
        <w:tc>
          <w:tcPr>
            <w:tcW w:w="913" w:type="pct"/>
            <w:vAlign w:val="center"/>
          </w:tcPr>
          <w:p w14:paraId="011CC849">
            <w:pPr>
              <w:pStyle w:val="1080"/>
              <w:spacing w:line="360" w:lineRule="exact"/>
              <w:rPr>
                <w:rFonts w:cs="Times New Roman"/>
                <w:color w:val="000000"/>
              </w:rPr>
            </w:pPr>
            <w:r>
              <w:rPr>
                <w:rFonts w:hint="eastAsia" w:cs="Times New Roman"/>
                <w:color w:val="000000"/>
              </w:rPr>
              <w:t>微硅粉</w:t>
            </w:r>
          </w:p>
        </w:tc>
        <w:tc>
          <w:tcPr>
            <w:tcW w:w="586" w:type="pct"/>
            <w:vAlign w:val="center"/>
          </w:tcPr>
          <w:p w14:paraId="483C4B66">
            <w:pPr>
              <w:pStyle w:val="1080"/>
              <w:spacing w:line="360" w:lineRule="exact"/>
              <w:rPr>
                <w:rFonts w:cs="Times New Roman"/>
                <w:color w:val="000000"/>
              </w:rPr>
            </w:pPr>
            <w:r>
              <w:rPr>
                <w:rFonts w:hint="eastAsia" w:cs="Times New Roman"/>
                <w:color w:val="000000"/>
              </w:rPr>
              <w:t>7309.28</w:t>
            </w:r>
          </w:p>
        </w:tc>
        <w:tc>
          <w:tcPr>
            <w:tcW w:w="598" w:type="pct"/>
            <w:vAlign w:val="center"/>
          </w:tcPr>
          <w:p w14:paraId="4C255F57">
            <w:pPr>
              <w:pStyle w:val="1080"/>
              <w:spacing w:line="360" w:lineRule="exact"/>
              <w:rPr>
                <w:rFonts w:cs="Times New Roman"/>
                <w:color w:val="000000"/>
              </w:rPr>
            </w:pPr>
            <w:r>
              <w:rPr>
                <w:rFonts w:hint="eastAsia" w:cs="Times New Roman"/>
                <w:color w:val="000000"/>
              </w:rPr>
              <w:t>42.00</w:t>
            </w:r>
          </w:p>
        </w:tc>
        <w:tc>
          <w:tcPr>
            <w:tcW w:w="583" w:type="pct"/>
            <w:noWrap/>
            <w:vAlign w:val="center"/>
          </w:tcPr>
          <w:p w14:paraId="50C76ACA">
            <w:pPr>
              <w:pStyle w:val="1080"/>
              <w:spacing w:line="360" w:lineRule="exact"/>
              <w:rPr>
                <w:rFonts w:cs="Times New Roman"/>
                <w:color w:val="000000"/>
              </w:rPr>
            </w:pPr>
            <w:r>
              <w:rPr>
                <w:rFonts w:hint="eastAsia" w:cs="Times New Roman"/>
                <w:color w:val="000000"/>
              </w:rPr>
              <w:t>3069.90</w:t>
            </w:r>
          </w:p>
        </w:tc>
      </w:tr>
      <w:tr w14:paraId="77FF8F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1E08240B">
            <w:pPr>
              <w:pStyle w:val="1080"/>
              <w:spacing w:line="360" w:lineRule="exact"/>
              <w:rPr>
                <w:rFonts w:cs="Times New Roman"/>
                <w:color w:val="000000"/>
              </w:rPr>
            </w:pPr>
          </w:p>
        </w:tc>
        <w:tc>
          <w:tcPr>
            <w:tcW w:w="513" w:type="pct"/>
            <w:noWrap/>
            <w:vAlign w:val="center"/>
          </w:tcPr>
          <w:p w14:paraId="395B7796">
            <w:pPr>
              <w:pStyle w:val="1080"/>
              <w:spacing w:line="360" w:lineRule="exact"/>
              <w:rPr>
                <w:rFonts w:cs="Times New Roman"/>
                <w:color w:val="000000"/>
              </w:rPr>
            </w:pPr>
          </w:p>
        </w:tc>
        <w:tc>
          <w:tcPr>
            <w:tcW w:w="598" w:type="pct"/>
            <w:vAlign w:val="center"/>
          </w:tcPr>
          <w:p w14:paraId="05079B2C">
            <w:pPr>
              <w:pStyle w:val="1080"/>
              <w:spacing w:line="360" w:lineRule="exact"/>
              <w:rPr>
                <w:rFonts w:cs="Times New Roman"/>
                <w:color w:val="000000"/>
              </w:rPr>
            </w:pPr>
          </w:p>
        </w:tc>
        <w:tc>
          <w:tcPr>
            <w:tcW w:w="586" w:type="pct"/>
            <w:vAlign w:val="center"/>
          </w:tcPr>
          <w:p w14:paraId="0FD8AD1F">
            <w:pPr>
              <w:pStyle w:val="1080"/>
              <w:spacing w:line="360" w:lineRule="exact"/>
              <w:rPr>
                <w:rFonts w:cs="Times New Roman"/>
                <w:color w:val="000000"/>
              </w:rPr>
            </w:pPr>
          </w:p>
        </w:tc>
        <w:tc>
          <w:tcPr>
            <w:tcW w:w="913" w:type="pct"/>
            <w:vAlign w:val="center"/>
          </w:tcPr>
          <w:p w14:paraId="06763257">
            <w:pPr>
              <w:pStyle w:val="1080"/>
              <w:spacing w:line="360" w:lineRule="exact"/>
              <w:rPr>
                <w:rFonts w:cs="Times New Roman"/>
                <w:color w:val="000000"/>
              </w:rPr>
            </w:pPr>
            <w:r>
              <w:rPr>
                <w:rFonts w:hint="eastAsia" w:cs="Times New Roman"/>
                <w:color w:val="000000"/>
              </w:rPr>
              <w:t>除尘灰</w:t>
            </w:r>
          </w:p>
        </w:tc>
        <w:tc>
          <w:tcPr>
            <w:tcW w:w="586" w:type="pct"/>
            <w:vAlign w:val="center"/>
          </w:tcPr>
          <w:p w14:paraId="7F75F04B">
            <w:pPr>
              <w:pStyle w:val="1080"/>
              <w:spacing w:line="360" w:lineRule="exact"/>
              <w:rPr>
                <w:rFonts w:cs="Times New Roman"/>
                <w:color w:val="000000"/>
              </w:rPr>
            </w:pPr>
            <w:r>
              <w:rPr>
                <w:rFonts w:hint="eastAsia" w:cs="Times New Roman"/>
                <w:color w:val="000000"/>
              </w:rPr>
              <w:t>36.1</w:t>
            </w:r>
          </w:p>
        </w:tc>
        <w:tc>
          <w:tcPr>
            <w:tcW w:w="598" w:type="pct"/>
            <w:vAlign w:val="center"/>
          </w:tcPr>
          <w:p w14:paraId="6A907264">
            <w:pPr>
              <w:pStyle w:val="1080"/>
              <w:spacing w:line="360" w:lineRule="exact"/>
              <w:rPr>
                <w:rFonts w:cs="Times New Roman"/>
                <w:color w:val="000000"/>
              </w:rPr>
            </w:pPr>
            <w:r>
              <w:rPr>
                <w:rFonts w:hint="eastAsia" w:cs="Times New Roman"/>
                <w:color w:val="000000"/>
              </w:rPr>
              <w:t>26.14</w:t>
            </w:r>
          </w:p>
        </w:tc>
        <w:tc>
          <w:tcPr>
            <w:tcW w:w="583" w:type="pct"/>
            <w:noWrap/>
            <w:vAlign w:val="center"/>
          </w:tcPr>
          <w:p w14:paraId="42815DFD">
            <w:pPr>
              <w:pStyle w:val="1080"/>
              <w:spacing w:line="360" w:lineRule="exact"/>
              <w:rPr>
                <w:rFonts w:cs="Times New Roman"/>
                <w:color w:val="000000"/>
              </w:rPr>
            </w:pPr>
            <w:r>
              <w:rPr>
                <w:rFonts w:hint="eastAsia" w:cs="Times New Roman"/>
                <w:color w:val="000000"/>
              </w:rPr>
              <w:t>9.44</w:t>
            </w:r>
          </w:p>
        </w:tc>
      </w:tr>
      <w:tr w14:paraId="66FB7A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223D4E1F">
            <w:pPr>
              <w:pStyle w:val="1080"/>
              <w:spacing w:line="360" w:lineRule="exact"/>
              <w:rPr>
                <w:rFonts w:cs="Times New Roman"/>
                <w:color w:val="000000"/>
              </w:rPr>
            </w:pPr>
          </w:p>
        </w:tc>
        <w:tc>
          <w:tcPr>
            <w:tcW w:w="513" w:type="pct"/>
            <w:noWrap/>
            <w:vAlign w:val="center"/>
          </w:tcPr>
          <w:p w14:paraId="24EAC538">
            <w:pPr>
              <w:pStyle w:val="1080"/>
              <w:spacing w:line="360" w:lineRule="exact"/>
              <w:rPr>
                <w:rFonts w:cs="Times New Roman"/>
                <w:color w:val="000000"/>
              </w:rPr>
            </w:pPr>
          </w:p>
        </w:tc>
        <w:tc>
          <w:tcPr>
            <w:tcW w:w="598" w:type="pct"/>
            <w:vAlign w:val="center"/>
          </w:tcPr>
          <w:p w14:paraId="5D9CB388">
            <w:pPr>
              <w:pStyle w:val="1080"/>
              <w:spacing w:line="360" w:lineRule="exact"/>
              <w:rPr>
                <w:rFonts w:cs="Times New Roman"/>
                <w:color w:val="000000"/>
              </w:rPr>
            </w:pPr>
          </w:p>
        </w:tc>
        <w:tc>
          <w:tcPr>
            <w:tcW w:w="586" w:type="pct"/>
            <w:vAlign w:val="center"/>
          </w:tcPr>
          <w:p w14:paraId="5FA05F77">
            <w:pPr>
              <w:pStyle w:val="1080"/>
              <w:spacing w:line="360" w:lineRule="exact"/>
              <w:rPr>
                <w:rFonts w:cs="Times New Roman"/>
                <w:color w:val="000000"/>
              </w:rPr>
            </w:pPr>
          </w:p>
        </w:tc>
        <w:tc>
          <w:tcPr>
            <w:tcW w:w="913" w:type="pct"/>
            <w:vAlign w:val="center"/>
          </w:tcPr>
          <w:p w14:paraId="267B4A20">
            <w:pPr>
              <w:pStyle w:val="1080"/>
              <w:spacing w:line="360" w:lineRule="exact"/>
              <w:rPr>
                <w:rFonts w:cs="Times New Roman"/>
                <w:color w:val="000000"/>
              </w:rPr>
            </w:pPr>
            <w:r>
              <w:rPr>
                <w:rFonts w:hint="eastAsia" w:cs="Times New Roman"/>
                <w:color w:val="000000"/>
              </w:rPr>
              <w:t>原料落料</w:t>
            </w:r>
          </w:p>
        </w:tc>
        <w:tc>
          <w:tcPr>
            <w:tcW w:w="586" w:type="pct"/>
            <w:vAlign w:val="center"/>
          </w:tcPr>
          <w:p w14:paraId="62D764B2">
            <w:pPr>
              <w:pStyle w:val="1080"/>
              <w:spacing w:line="360" w:lineRule="exact"/>
              <w:rPr>
                <w:rFonts w:cs="Times New Roman"/>
                <w:color w:val="000000"/>
              </w:rPr>
            </w:pPr>
            <w:r>
              <w:rPr>
                <w:rFonts w:hint="eastAsia" w:cs="Times New Roman"/>
                <w:color w:val="000000"/>
              </w:rPr>
              <w:t>74.93</w:t>
            </w:r>
          </w:p>
        </w:tc>
        <w:tc>
          <w:tcPr>
            <w:tcW w:w="598" w:type="pct"/>
            <w:vAlign w:val="center"/>
          </w:tcPr>
          <w:p w14:paraId="7C3EEDE8">
            <w:pPr>
              <w:pStyle w:val="1080"/>
              <w:spacing w:line="360" w:lineRule="exact"/>
              <w:rPr>
                <w:rFonts w:cs="Times New Roman"/>
                <w:color w:val="000000"/>
              </w:rPr>
            </w:pPr>
            <w:r>
              <w:rPr>
                <w:rFonts w:hint="eastAsia" w:cs="Times New Roman"/>
                <w:color w:val="000000"/>
              </w:rPr>
              <w:t>26.14</w:t>
            </w:r>
          </w:p>
        </w:tc>
        <w:tc>
          <w:tcPr>
            <w:tcW w:w="583" w:type="pct"/>
            <w:noWrap/>
            <w:vAlign w:val="center"/>
          </w:tcPr>
          <w:p w14:paraId="1539D70B">
            <w:pPr>
              <w:pStyle w:val="1080"/>
              <w:spacing w:line="360" w:lineRule="exact"/>
              <w:rPr>
                <w:rFonts w:cs="Times New Roman"/>
                <w:color w:val="000000"/>
              </w:rPr>
            </w:pPr>
            <w:r>
              <w:rPr>
                <w:rFonts w:hint="eastAsia" w:cs="Times New Roman"/>
                <w:color w:val="000000"/>
              </w:rPr>
              <w:t>19.59</w:t>
            </w:r>
          </w:p>
        </w:tc>
      </w:tr>
      <w:tr w14:paraId="1CD7BC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58A74C81">
            <w:pPr>
              <w:pStyle w:val="1080"/>
              <w:spacing w:line="360" w:lineRule="exact"/>
              <w:rPr>
                <w:rFonts w:cs="Times New Roman"/>
                <w:color w:val="000000"/>
              </w:rPr>
            </w:pPr>
          </w:p>
        </w:tc>
        <w:tc>
          <w:tcPr>
            <w:tcW w:w="513" w:type="pct"/>
            <w:noWrap/>
            <w:vAlign w:val="center"/>
          </w:tcPr>
          <w:p w14:paraId="252EE77A">
            <w:pPr>
              <w:pStyle w:val="1080"/>
              <w:spacing w:line="360" w:lineRule="exact"/>
              <w:rPr>
                <w:rFonts w:cs="Times New Roman"/>
                <w:color w:val="000000"/>
              </w:rPr>
            </w:pPr>
          </w:p>
        </w:tc>
        <w:tc>
          <w:tcPr>
            <w:tcW w:w="598" w:type="pct"/>
            <w:vAlign w:val="center"/>
          </w:tcPr>
          <w:p w14:paraId="1372FB68">
            <w:pPr>
              <w:pStyle w:val="1080"/>
              <w:spacing w:line="360" w:lineRule="exact"/>
              <w:rPr>
                <w:rFonts w:cs="Times New Roman"/>
                <w:color w:val="000000"/>
              </w:rPr>
            </w:pPr>
          </w:p>
        </w:tc>
        <w:tc>
          <w:tcPr>
            <w:tcW w:w="586" w:type="pct"/>
            <w:vAlign w:val="center"/>
          </w:tcPr>
          <w:p w14:paraId="3D236E38">
            <w:pPr>
              <w:pStyle w:val="1080"/>
              <w:spacing w:line="360" w:lineRule="exact"/>
              <w:rPr>
                <w:rFonts w:cs="Times New Roman"/>
                <w:color w:val="000000"/>
              </w:rPr>
            </w:pPr>
          </w:p>
        </w:tc>
        <w:tc>
          <w:tcPr>
            <w:tcW w:w="913" w:type="pct"/>
            <w:vAlign w:val="center"/>
          </w:tcPr>
          <w:p w14:paraId="13481EFB">
            <w:pPr>
              <w:pStyle w:val="1080"/>
              <w:spacing w:line="360" w:lineRule="exact"/>
              <w:rPr>
                <w:rFonts w:cs="Times New Roman"/>
                <w:color w:val="000000"/>
              </w:rPr>
            </w:pPr>
            <w:r>
              <w:rPr>
                <w:rFonts w:hint="eastAsia" w:cs="Times New Roman"/>
                <w:color w:val="000000"/>
              </w:rPr>
              <w:t>产品落料</w:t>
            </w:r>
          </w:p>
        </w:tc>
        <w:tc>
          <w:tcPr>
            <w:tcW w:w="586" w:type="pct"/>
            <w:vAlign w:val="center"/>
          </w:tcPr>
          <w:p w14:paraId="50D94558">
            <w:pPr>
              <w:pStyle w:val="1080"/>
              <w:spacing w:line="360" w:lineRule="exact"/>
              <w:rPr>
                <w:rFonts w:cs="Times New Roman"/>
                <w:color w:val="000000"/>
              </w:rPr>
            </w:pPr>
            <w:r>
              <w:rPr>
                <w:rFonts w:hint="eastAsia" w:cs="Times New Roman"/>
                <w:color w:val="000000"/>
              </w:rPr>
              <w:t>4.52</w:t>
            </w:r>
          </w:p>
        </w:tc>
        <w:tc>
          <w:tcPr>
            <w:tcW w:w="598" w:type="pct"/>
            <w:vAlign w:val="center"/>
          </w:tcPr>
          <w:p w14:paraId="3A4629B8">
            <w:pPr>
              <w:pStyle w:val="1080"/>
              <w:spacing w:line="360" w:lineRule="exact"/>
              <w:rPr>
                <w:rFonts w:cs="Times New Roman"/>
                <w:color w:val="000000"/>
              </w:rPr>
            </w:pPr>
            <w:r>
              <w:rPr>
                <w:rFonts w:hint="eastAsia" w:cs="Times New Roman"/>
                <w:color w:val="000000"/>
              </w:rPr>
              <w:t>74.79</w:t>
            </w:r>
          </w:p>
        </w:tc>
        <w:tc>
          <w:tcPr>
            <w:tcW w:w="583" w:type="pct"/>
            <w:noWrap/>
            <w:vAlign w:val="center"/>
          </w:tcPr>
          <w:p w14:paraId="30BB4F23">
            <w:pPr>
              <w:pStyle w:val="1080"/>
              <w:spacing w:line="360" w:lineRule="exact"/>
              <w:rPr>
                <w:rFonts w:cs="Times New Roman"/>
                <w:color w:val="000000"/>
              </w:rPr>
            </w:pPr>
            <w:r>
              <w:rPr>
                <w:rFonts w:hint="eastAsia" w:cs="Times New Roman"/>
                <w:color w:val="000000"/>
              </w:rPr>
              <w:t>3.38</w:t>
            </w:r>
          </w:p>
        </w:tc>
      </w:tr>
      <w:tr w14:paraId="0C171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1B6CD1FF">
            <w:pPr>
              <w:pStyle w:val="1080"/>
              <w:spacing w:line="360" w:lineRule="exact"/>
              <w:rPr>
                <w:rFonts w:cs="Times New Roman"/>
                <w:color w:val="000000"/>
              </w:rPr>
            </w:pPr>
          </w:p>
        </w:tc>
        <w:tc>
          <w:tcPr>
            <w:tcW w:w="513" w:type="pct"/>
            <w:noWrap/>
            <w:vAlign w:val="center"/>
          </w:tcPr>
          <w:p w14:paraId="38C0E520">
            <w:pPr>
              <w:pStyle w:val="1080"/>
              <w:spacing w:line="360" w:lineRule="exact"/>
              <w:rPr>
                <w:rFonts w:cs="Times New Roman"/>
                <w:color w:val="000000"/>
              </w:rPr>
            </w:pPr>
          </w:p>
        </w:tc>
        <w:tc>
          <w:tcPr>
            <w:tcW w:w="598" w:type="pct"/>
            <w:vAlign w:val="center"/>
          </w:tcPr>
          <w:p w14:paraId="5B22CD06">
            <w:pPr>
              <w:pStyle w:val="1080"/>
              <w:spacing w:line="360" w:lineRule="exact"/>
              <w:rPr>
                <w:rFonts w:cs="Times New Roman"/>
                <w:color w:val="000000"/>
              </w:rPr>
            </w:pPr>
          </w:p>
        </w:tc>
        <w:tc>
          <w:tcPr>
            <w:tcW w:w="586" w:type="pct"/>
            <w:vAlign w:val="center"/>
          </w:tcPr>
          <w:p w14:paraId="61203532">
            <w:pPr>
              <w:pStyle w:val="1080"/>
              <w:spacing w:line="360" w:lineRule="exact"/>
              <w:rPr>
                <w:rFonts w:cs="Times New Roman"/>
                <w:color w:val="000000"/>
              </w:rPr>
            </w:pPr>
          </w:p>
        </w:tc>
        <w:tc>
          <w:tcPr>
            <w:tcW w:w="913" w:type="pct"/>
            <w:vAlign w:val="center"/>
          </w:tcPr>
          <w:p w14:paraId="2BA5AD16">
            <w:pPr>
              <w:pStyle w:val="1080"/>
              <w:spacing w:line="360" w:lineRule="exact"/>
              <w:rPr>
                <w:rFonts w:cs="Times New Roman"/>
                <w:color w:val="000000"/>
              </w:rPr>
            </w:pPr>
            <w:r>
              <w:rPr>
                <w:rFonts w:hint="eastAsia" w:cs="Times New Roman"/>
                <w:color w:val="000000"/>
              </w:rPr>
              <w:t>原料废气排放</w:t>
            </w:r>
          </w:p>
        </w:tc>
        <w:tc>
          <w:tcPr>
            <w:tcW w:w="586" w:type="pct"/>
            <w:vAlign w:val="center"/>
          </w:tcPr>
          <w:p w14:paraId="0DEDEA61">
            <w:pPr>
              <w:pStyle w:val="1080"/>
              <w:spacing w:line="360" w:lineRule="exact"/>
              <w:rPr>
                <w:rFonts w:cs="Times New Roman"/>
                <w:color w:val="000000"/>
              </w:rPr>
            </w:pPr>
            <w:r>
              <w:rPr>
                <w:rFonts w:hint="eastAsia" w:cs="Times New Roman"/>
                <w:color w:val="000000"/>
              </w:rPr>
              <w:t>0.36</w:t>
            </w:r>
          </w:p>
        </w:tc>
        <w:tc>
          <w:tcPr>
            <w:tcW w:w="598" w:type="pct"/>
            <w:vAlign w:val="center"/>
          </w:tcPr>
          <w:p w14:paraId="7B45465A">
            <w:pPr>
              <w:pStyle w:val="1080"/>
              <w:spacing w:line="360" w:lineRule="exact"/>
              <w:rPr>
                <w:rFonts w:cs="Times New Roman"/>
                <w:color w:val="000000"/>
              </w:rPr>
            </w:pPr>
            <w:r>
              <w:rPr>
                <w:rFonts w:hint="eastAsia" w:cs="Times New Roman"/>
                <w:color w:val="000000"/>
              </w:rPr>
              <w:t>26.14</w:t>
            </w:r>
          </w:p>
        </w:tc>
        <w:tc>
          <w:tcPr>
            <w:tcW w:w="583" w:type="pct"/>
            <w:noWrap/>
            <w:vAlign w:val="center"/>
          </w:tcPr>
          <w:p w14:paraId="2BA8F6F6">
            <w:pPr>
              <w:pStyle w:val="1080"/>
              <w:spacing w:line="360" w:lineRule="exact"/>
              <w:rPr>
                <w:rFonts w:cs="Times New Roman"/>
                <w:color w:val="000000"/>
              </w:rPr>
            </w:pPr>
            <w:r>
              <w:rPr>
                <w:rFonts w:hint="eastAsia" w:cs="Times New Roman"/>
                <w:color w:val="000000"/>
              </w:rPr>
              <w:t>0.1</w:t>
            </w:r>
          </w:p>
        </w:tc>
      </w:tr>
      <w:tr w14:paraId="241FF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6CC361DB">
            <w:pPr>
              <w:pStyle w:val="1080"/>
              <w:spacing w:line="360" w:lineRule="exact"/>
              <w:rPr>
                <w:rFonts w:cs="Times New Roman"/>
                <w:color w:val="000000"/>
              </w:rPr>
            </w:pPr>
          </w:p>
        </w:tc>
        <w:tc>
          <w:tcPr>
            <w:tcW w:w="513" w:type="pct"/>
            <w:noWrap/>
            <w:vAlign w:val="center"/>
          </w:tcPr>
          <w:p w14:paraId="1E8DF2BD">
            <w:pPr>
              <w:pStyle w:val="1080"/>
              <w:spacing w:line="360" w:lineRule="exact"/>
              <w:rPr>
                <w:rFonts w:cs="Times New Roman"/>
                <w:color w:val="000000"/>
              </w:rPr>
            </w:pPr>
          </w:p>
        </w:tc>
        <w:tc>
          <w:tcPr>
            <w:tcW w:w="598" w:type="pct"/>
            <w:vAlign w:val="center"/>
          </w:tcPr>
          <w:p w14:paraId="46A610F4">
            <w:pPr>
              <w:pStyle w:val="1080"/>
              <w:spacing w:line="360" w:lineRule="exact"/>
              <w:rPr>
                <w:rFonts w:cs="Times New Roman"/>
                <w:color w:val="000000"/>
              </w:rPr>
            </w:pPr>
          </w:p>
        </w:tc>
        <w:tc>
          <w:tcPr>
            <w:tcW w:w="586" w:type="pct"/>
            <w:vAlign w:val="center"/>
          </w:tcPr>
          <w:p w14:paraId="6BE547BD">
            <w:pPr>
              <w:pStyle w:val="1080"/>
              <w:spacing w:line="360" w:lineRule="exact"/>
              <w:rPr>
                <w:rFonts w:cs="Times New Roman"/>
                <w:color w:val="000000"/>
              </w:rPr>
            </w:pPr>
          </w:p>
        </w:tc>
        <w:tc>
          <w:tcPr>
            <w:tcW w:w="913" w:type="pct"/>
            <w:vAlign w:val="center"/>
          </w:tcPr>
          <w:p w14:paraId="55FE1B77">
            <w:pPr>
              <w:pStyle w:val="1080"/>
              <w:spacing w:line="360" w:lineRule="exact"/>
              <w:rPr>
                <w:rFonts w:cs="Times New Roman"/>
                <w:color w:val="000000"/>
              </w:rPr>
            </w:pPr>
            <w:r>
              <w:rPr>
                <w:rFonts w:hint="eastAsia" w:cs="Times New Roman"/>
                <w:color w:val="000000"/>
              </w:rPr>
              <w:t>产品废气带出</w:t>
            </w:r>
          </w:p>
        </w:tc>
        <w:tc>
          <w:tcPr>
            <w:tcW w:w="586" w:type="pct"/>
            <w:vAlign w:val="center"/>
          </w:tcPr>
          <w:p w14:paraId="10707D2C">
            <w:pPr>
              <w:pStyle w:val="1080"/>
              <w:spacing w:line="360" w:lineRule="exact"/>
              <w:rPr>
                <w:rFonts w:cs="Times New Roman"/>
                <w:color w:val="000000"/>
              </w:rPr>
            </w:pPr>
            <w:r>
              <w:rPr>
                <w:rFonts w:hint="eastAsia" w:cs="Times New Roman"/>
                <w:color w:val="000000"/>
              </w:rPr>
              <w:t>73.89</w:t>
            </w:r>
          </w:p>
        </w:tc>
        <w:tc>
          <w:tcPr>
            <w:tcW w:w="598" w:type="pct"/>
            <w:vAlign w:val="center"/>
          </w:tcPr>
          <w:p w14:paraId="467ECBC3">
            <w:pPr>
              <w:pStyle w:val="1080"/>
              <w:spacing w:line="360" w:lineRule="exact"/>
              <w:rPr>
                <w:rFonts w:cs="Times New Roman"/>
                <w:color w:val="000000"/>
              </w:rPr>
            </w:pPr>
            <w:r>
              <w:rPr>
                <w:rFonts w:hint="eastAsia" w:cs="Times New Roman"/>
                <w:color w:val="000000"/>
              </w:rPr>
              <w:t>74.79</w:t>
            </w:r>
          </w:p>
        </w:tc>
        <w:tc>
          <w:tcPr>
            <w:tcW w:w="583" w:type="pct"/>
            <w:noWrap/>
            <w:vAlign w:val="center"/>
          </w:tcPr>
          <w:p w14:paraId="095BDC53">
            <w:pPr>
              <w:pStyle w:val="1080"/>
              <w:spacing w:line="360" w:lineRule="exact"/>
              <w:rPr>
                <w:rFonts w:cs="Times New Roman"/>
                <w:color w:val="000000"/>
              </w:rPr>
            </w:pPr>
            <w:r>
              <w:rPr>
                <w:rFonts w:hint="eastAsia" w:cs="Times New Roman"/>
                <w:color w:val="000000"/>
              </w:rPr>
              <w:t xml:space="preserve">55.26 </w:t>
            </w:r>
          </w:p>
        </w:tc>
      </w:tr>
      <w:tr w14:paraId="714954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624" w:type="pct"/>
            <w:vAlign w:val="center"/>
          </w:tcPr>
          <w:p w14:paraId="7A9A60F6">
            <w:pPr>
              <w:pStyle w:val="1080"/>
              <w:spacing w:line="360" w:lineRule="exact"/>
              <w:rPr>
                <w:rFonts w:cs="Times New Roman"/>
                <w:color w:val="000000"/>
              </w:rPr>
            </w:pPr>
          </w:p>
        </w:tc>
        <w:tc>
          <w:tcPr>
            <w:tcW w:w="513" w:type="pct"/>
            <w:noWrap/>
            <w:vAlign w:val="center"/>
          </w:tcPr>
          <w:p w14:paraId="0F86C0CB">
            <w:pPr>
              <w:pStyle w:val="1080"/>
              <w:spacing w:line="360" w:lineRule="exact"/>
              <w:rPr>
                <w:rFonts w:cs="Times New Roman"/>
                <w:color w:val="000000"/>
              </w:rPr>
            </w:pPr>
          </w:p>
        </w:tc>
        <w:tc>
          <w:tcPr>
            <w:tcW w:w="598" w:type="pct"/>
            <w:vAlign w:val="center"/>
          </w:tcPr>
          <w:p w14:paraId="3F9EF64D">
            <w:pPr>
              <w:pStyle w:val="1080"/>
              <w:spacing w:line="360" w:lineRule="exact"/>
              <w:rPr>
                <w:rFonts w:cs="Times New Roman"/>
                <w:color w:val="000000"/>
              </w:rPr>
            </w:pPr>
          </w:p>
        </w:tc>
        <w:tc>
          <w:tcPr>
            <w:tcW w:w="586" w:type="pct"/>
            <w:vAlign w:val="center"/>
          </w:tcPr>
          <w:p w14:paraId="505BB78C">
            <w:pPr>
              <w:pStyle w:val="1080"/>
              <w:spacing w:line="360" w:lineRule="exact"/>
              <w:rPr>
                <w:rFonts w:cs="Times New Roman"/>
                <w:color w:val="000000"/>
              </w:rPr>
            </w:pPr>
          </w:p>
        </w:tc>
        <w:tc>
          <w:tcPr>
            <w:tcW w:w="913" w:type="pct"/>
            <w:vAlign w:val="center"/>
          </w:tcPr>
          <w:p w14:paraId="699D4BF3">
            <w:pPr>
              <w:pStyle w:val="1080"/>
              <w:spacing w:line="360" w:lineRule="exact"/>
              <w:rPr>
                <w:rFonts w:cs="Times New Roman"/>
                <w:color w:val="000000"/>
              </w:rPr>
            </w:pPr>
            <w:r>
              <w:rPr>
                <w:rFonts w:hint="eastAsia" w:cs="Times New Roman"/>
              </w:rPr>
              <w:t>无组织排放</w:t>
            </w:r>
          </w:p>
        </w:tc>
        <w:tc>
          <w:tcPr>
            <w:tcW w:w="586" w:type="pct"/>
            <w:vAlign w:val="center"/>
          </w:tcPr>
          <w:p w14:paraId="52779E2A">
            <w:pPr>
              <w:pStyle w:val="1080"/>
              <w:spacing w:line="360" w:lineRule="exact"/>
              <w:rPr>
                <w:rFonts w:cs="Times New Roman"/>
                <w:color w:val="000000"/>
              </w:rPr>
            </w:pPr>
            <w:r>
              <w:rPr>
                <w:rFonts w:hint="eastAsia" w:cs="Times New Roman"/>
              </w:rPr>
              <w:t>14.81</w:t>
            </w:r>
          </w:p>
        </w:tc>
        <w:tc>
          <w:tcPr>
            <w:tcW w:w="598" w:type="pct"/>
            <w:vAlign w:val="center"/>
          </w:tcPr>
          <w:p w14:paraId="51FB98E2">
            <w:pPr>
              <w:pStyle w:val="1080"/>
              <w:spacing w:line="360" w:lineRule="exact"/>
              <w:rPr>
                <w:rFonts w:cs="Times New Roman"/>
                <w:color w:val="000000"/>
              </w:rPr>
            </w:pPr>
            <w:r>
              <w:rPr>
                <w:rFonts w:hint="eastAsia" w:cs="Times New Roman"/>
                <w:color w:val="000000"/>
              </w:rPr>
              <w:t>26.14</w:t>
            </w:r>
          </w:p>
        </w:tc>
        <w:tc>
          <w:tcPr>
            <w:tcW w:w="583" w:type="pct"/>
            <w:noWrap/>
            <w:vAlign w:val="center"/>
          </w:tcPr>
          <w:p w14:paraId="3C24F7F5">
            <w:pPr>
              <w:pStyle w:val="1080"/>
              <w:spacing w:line="360" w:lineRule="exact"/>
              <w:rPr>
                <w:rFonts w:cs="Times New Roman"/>
                <w:color w:val="000000"/>
              </w:rPr>
            </w:pPr>
            <w:r>
              <w:rPr>
                <w:rFonts w:hint="eastAsia" w:cs="Times New Roman"/>
                <w:color w:val="000000"/>
              </w:rPr>
              <w:t xml:space="preserve">3.87 </w:t>
            </w:r>
          </w:p>
        </w:tc>
      </w:tr>
      <w:tr w14:paraId="34439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1735" w:type="pct"/>
            <w:gridSpan w:val="3"/>
            <w:noWrap/>
            <w:vAlign w:val="center"/>
          </w:tcPr>
          <w:p w14:paraId="25372066">
            <w:pPr>
              <w:pStyle w:val="1080"/>
              <w:spacing w:line="360" w:lineRule="exact"/>
              <w:rPr>
                <w:rFonts w:cs="Times New Roman"/>
              </w:rPr>
            </w:pPr>
            <w:r>
              <w:rPr>
                <w:rFonts w:cs="Times New Roman"/>
              </w:rPr>
              <w:t>合计</w:t>
            </w:r>
          </w:p>
        </w:tc>
        <w:tc>
          <w:tcPr>
            <w:tcW w:w="586" w:type="pct"/>
            <w:vAlign w:val="center"/>
          </w:tcPr>
          <w:p w14:paraId="4EE2B901">
            <w:pPr>
              <w:pStyle w:val="1080"/>
              <w:spacing w:line="360" w:lineRule="exact"/>
              <w:rPr>
                <w:rFonts w:cs="Times New Roman"/>
              </w:rPr>
            </w:pPr>
            <w:r>
              <w:rPr>
                <w:rFonts w:hint="eastAsia" w:cs="Times New Roman"/>
              </w:rPr>
              <w:t>45730.98</w:t>
            </w:r>
          </w:p>
        </w:tc>
        <w:tc>
          <w:tcPr>
            <w:tcW w:w="2097" w:type="pct"/>
            <w:gridSpan w:val="3"/>
            <w:noWrap/>
            <w:vAlign w:val="center"/>
          </w:tcPr>
          <w:p w14:paraId="6AE02DEF">
            <w:pPr>
              <w:pStyle w:val="1080"/>
              <w:spacing w:line="360" w:lineRule="exact"/>
              <w:rPr>
                <w:rFonts w:cs="Times New Roman"/>
              </w:rPr>
            </w:pPr>
            <w:r>
              <w:rPr>
                <w:rFonts w:cs="Times New Roman"/>
              </w:rPr>
              <w:t>合计</w:t>
            </w:r>
          </w:p>
        </w:tc>
        <w:tc>
          <w:tcPr>
            <w:tcW w:w="583" w:type="pct"/>
            <w:noWrap/>
            <w:vAlign w:val="center"/>
          </w:tcPr>
          <w:p w14:paraId="354F0A1C">
            <w:pPr>
              <w:pStyle w:val="1080"/>
              <w:spacing w:line="360" w:lineRule="exact"/>
              <w:rPr>
                <w:rFonts w:cs="Times New Roman"/>
                <w:color w:val="000000"/>
              </w:rPr>
            </w:pPr>
            <w:r>
              <w:rPr>
                <w:rFonts w:hint="eastAsia" w:cs="Times New Roman"/>
                <w:color w:val="000000"/>
              </w:rPr>
              <w:t>45730.98</w:t>
            </w:r>
          </w:p>
        </w:tc>
      </w:tr>
    </w:tbl>
    <w:p w14:paraId="201361D2">
      <w:pPr>
        <w:pStyle w:val="117"/>
        <w:ind w:firstLine="480"/>
      </w:pPr>
    </w:p>
    <w:p w14:paraId="229C7940">
      <w:pPr>
        <w:pStyle w:val="5"/>
      </w:pPr>
      <w:r>
        <w:rPr>
          <w:rFonts w:hint="eastAsia"/>
        </w:rPr>
        <w:t>硫平衡</w:t>
      </w:r>
    </w:p>
    <w:p w14:paraId="67E45C6C">
      <w:pPr>
        <w:ind w:firstLine="480"/>
        <w:rPr>
          <w:lang w:val="zh-CN"/>
        </w:rPr>
      </w:pPr>
      <w:r>
        <w:rPr>
          <w:lang w:val="zh-CN"/>
        </w:rPr>
        <w:t>生产过程带入硫</w:t>
      </w:r>
      <w:r>
        <w:rPr>
          <w:rFonts w:hint="eastAsia"/>
          <w:lang w:val="zh-CN"/>
        </w:rPr>
        <w:t>主要</w:t>
      </w:r>
      <w:r>
        <w:rPr>
          <w:lang w:val="zh-CN"/>
        </w:rPr>
        <w:t>来自</w:t>
      </w:r>
      <w:r>
        <w:rPr>
          <w:rFonts w:hint="eastAsia"/>
          <w:lang w:val="zh-CN"/>
        </w:rPr>
        <w:t>兰炭</w:t>
      </w:r>
      <w:r>
        <w:rPr>
          <w:lang w:val="zh-CN"/>
        </w:rPr>
        <w:t>，</w:t>
      </w:r>
      <w:r>
        <w:rPr>
          <w:rFonts w:hint="eastAsia"/>
          <w:lang w:val="zh-CN"/>
        </w:rPr>
        <w:t>其余为硅石、球团及电极糊含有的少量硫元素</w:t>
      </w:r>
      <w:r>
        <w:rPr>
          <w:lang w:val="zh-CN"/>
        </w:rPr>
        <w:t>。</w:t>
      </w:r>
      <w:r>
        <w:rPr>
          <w:rFonts w:hint="eastAsia"/>
          <w:lang w:val="zh-CN"/>
        </w:rPr>
        <w:t>兰炭来自厂内兰炭生产线，</w:t>
      </w:r>
      <w:r>
        <w:rPr>
          <w:lang w:val="zh-CN"/>
        </w:rPr>
        <w:t>含硫量</w:t>
      </w:r>
      <w:r>
        <w:rPr>
          <w:rFonts w:hint="eastAsia"/>
          <w:lang w:val="zh-CN"/>
        </w:rPr>
        <w:t>0.72</w:t>
      </w:r>
      <w:r>
        <w:rPr>
          <w:lang w:val="zh-CN"/>
        </w:rPr>
        <w:t>%。原辅料带入硫大部分转化成SO</w:t>
      </w:r>
      <w:r>
        <w:rPr>
          <w:vertAlign w:val="subscript"/>
          <w:lang w:val="zh-CN"/>
        </w:rPr>
        <w:t>2</w:t>
      </w:r>
      <w:r>
        <w:rPr>
          <w:spacing w:val="6"/>
        </w:rPr>
        <w:t>随矿热炉烟气排空，</w:t>
      </w:r>
      <w:r>
        <w:rPr>
          <w:rFonts w:hint="eastAsia"/>
          <w:spacing w:val="6"/>
        </w:rPr>
        <w:t>少量</w:t>
      </w:r>
      <w:r>
        <w:rPr>
          <w:lang w:val="zh-CN"/>
        </w:rPr>
        <w:t>进入产品、副产品及</w:t>
      </w:r>
      <w:r>
        <w:t>硅渣</w:t>
      </w:r>
      <w:r>
        <w:rPr>
          <w:lang w:val="zh-CN"/>
        </w:rPr>
        <w:t>中。</w:t>
      </w:r>
      <w:r>
        <w:rPr>
          <w:rFonts w:hint="eastAsia"/>
        </w:rPr>
        <w:t>硅铁合金生产线</w:t>
      </w:r>
      <w:r>
        <w:rPr>
          <w:lang w:val="zh-CN"/>
        </w:rPr>
        <w:t>硫平衡见</w:t>
      </w:r>
      <w:r>
        <w:rPr>
          <w:rFonts w:hint="eastAsia"/>
        </w:rPr>
        <w:t>表3.4-7</w:t>
      </w:r>
      <w:r>
        <w:rPr>
          <w:lang w:val="zh-CN"/>
        </w:rPr>
        <w:t>。</w:t>
      </w:r>
    </w:p>
    <w:p w14:paraId="3EBA82B6">
      <w:pPr>
        <w:pStyle w:val="118"/>
        <w:rPr>
          <w:bCs/>
          <w:lang w:val="zh-CN"/>
        </w:rPr>
      </w:pPr>
      <w:r>
        <w:rPr>
          <w:rFonts w:hint="eastAsia"/>
        </w:rPr>
        <w:t>表3.4-7</w:t>
      </w:r>
      <w:r>
        <w:t xml:space="preserve">    </w:t>
      </w:r>
      <w:r>
        <w:rPr>
          <w:rFonts w:hint="eastAsia"/>
        </w:rPr>
        <w:t>硅铁合金生产线</w:t>
      </w:r>
      <w:r>
        <w:t>硫元素平衡</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9"/>
        <w:gridCol w:w="950"/>
        <w:gridCol w:w="913"/>
        <w:gridCol w:w="783"/>
        <w:gridCol w:w="1395"/>
        <w:gridCol w:w="1340"/>
        <w:gridCol w:w="913"/>
        <w:gridCol w:w="1119"/>
      </w:tblGrid>
      <w:tr w14:paraId="76326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2150" w:type="pct"/>
            <w:gridSpan w:val="4"/>
            <w:vAlign w:val="center"/>
          </w:tcPr>
          <w:p w14:paraId="1435540A">
            <w:pPr>
              <w:pStyle w:val="1080"/>
              <w:spacing w:line="320" w:lineRule="exact"/>
              <w:rPr>
                <w:rFonts w:cs="Times New Roman"/>
                <w:b/>
                <w:bCs w:val="0"/>
              </w:rPr>
            </w:pPr>
            <w:r>
              <w:rPr>
                <w:rFonts w:cs="Times New Roman"/>
                <w:b/>
                <w:bCs w:val="0"/>
              </w:rPr>
              <w:t>进料</w:t>
            </w:r>
          </w:p>
        </w:tc>
        <w:tc>
          <w:tcPr>
            <w:tcW w:w="2850" w:type="pct"/>
            <w:gridSpan w:val="4"/>
            <w:vAlign w:val="center"/>
          </w:tcPr>
          <w:p w14:paraId="5CE5C7E4">
            <w:pPr>
              <w:pStyle w:val="1080"/>
              <w:spacing w:line="320" w:lineRule="exact"/>
              <w:rPr>
                <w:rFonts w:cs="Times New Roman"/>
                <w:b/>
                <w:bCs w:val="0"/>
              </w:rPr>
            </w:pPr>
            <w:r>
              <w:rPr>
                <w:rFonts w:cs="Times New Roman"/>
                <w:b/>
                <w:bCs w:val="0"/>
              </w:rPr>
              <w:t>出料</w:t>
            </w:r>
          </w:p>
        </w:tc>
      </w:tr>
      <w:tr w14:paraId="58488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05E1A55F">
            <w:pPr>
              <w:pStyle w:val="1080"/>
              <w:spacing w:line="360" w:lineRule="exact"/>
              <w:rPr>
                <w:rFonts w:cs="Times New Roman"/>
                <w:color w:val="000000"/>
              </w:rPr>
            </w:pPr>
            <w:r>
              <w:rPr>
                <w:rFonts w:cs="Times New Roman"/>
                <w:color w:val="000000"/>
              </w:rPr>
              <w:t>物料名称</w:t>
            </w:r>
          </w:p>
        </w:tc>
        <w:tc>
          <w:tcPr>
            <w:tcW w:w="568" w:type="pct"/>
            <w:vAlign w:val="center"/>
          </w:tcPr>
          <w:p w14:paraId="3C91DCA4">
            <w:pPr>
              <w:pStyle w:val="1080"/>
              <w:spacing w:line="360" w:lineRule="exact"/>
              <w:rPr>
                <w:rFonts w:cs="Times New Roman"/>
                <w:color w:val="000000"/>
              </w:rPr>
            </w:pPr>
            <w:r>
              <w:rPr>
                <w:rFonts w:cs="Times New Roman"/>
                <w:color w:val="000000"/>
              </w:rPr>
              <w:t>数量，t/a</w:t>
            </w:r>
          </w:p>
        </w:tc>
        <w:tc>
          <w:tcPr>
            <w:tcW w:w="546" w:type="pct"/>
            <w:vAlign w:val="center"/>
          </w:tcPr>
          <w:p w14:paraId="42CA6315">
            <w:pPr>
              <w:pStyle w:val="1080"/>
              <w:spacing w:line="360" w:lineRule="exact"/>
              <w:rPr>
                <w:rFonts w:cs="Times New Roman"/>
                <w:color w:val="000000"/>
              </w:rPr>
            </w:pPr>
            <w:r>
              <w:rPr>
                <w:rFonts w:cs="Times New Roman"/>
                <w:color w:val="000000"/>
              </w:rPr>
              <w:t>含硫率%</w:t>
            </w:r>
          </w:p>
        </w:tc>
        <w:tc>
          <w:tcPr>
            <w:tcW w:w="468" w:type="pct"/>
            <w:vAlign w:val="center"/>
          </w:tcPr>
          <w:p w14:paraId="6947FEDC">
            <w:pPr>
              <w:pStyle w:val="1080"/>
              <w:spacing w:line="360" w:lineRule="exact"/>
              <w:rPr>
                <w:rFonts w:cs="Times New Roman"/>
                <w:color w:val="000000"/>
              </w:rPr>
            </w:pPr>
            <w:r>
              <w:rPr>
                <w:rFonts w:cs="Times New Roman"/>
                <w:color w:val="000000"/>
              </w:rPr>
              <w:t>硫量t/a</w:t>
            </w:r>
          </w:p>
        </w:tc>
        <w:tc>
          <w:tcPr>
            <w:tcW w:w="834" w:type="pct"/>
            <w:vAlign w:val="center"/>
          </w:tcPr>
          <w:p w14:paraId="0A091CC9">
            <w:pPr>
              <w:pStyle w:val="1080"/>
              <w:spacing w:line="360" w:lineRule="exact"/>
              <w:rPr>
                <w:rFonts w:cs="Times New Roman"/>
                <w:color w:val="000000"/>
              </w:rPr>
            </w:pPr>
            <w:r>
              <w:rPr>
                <w:rFonts w:cs="Times New Roman"/>
                <w:color w:val="000000"/>
              </w:rPr>
              <w:t>物料名称</w:t>
            </w:r>
          </w:p>
        </w:tc>
        <w:tc>
          <w:tcPr>
            <w:tcW w:w="801" w:type="pct"/>
            <w:vAlign w:val="center"/>
          </w:tcPr>
          <w:p w14:paraId="1AA1FCD9">
            <w:pPr>
              <w:pStyle w:val="1080"/>
              <w:spacing w:line="360" w:lineRule="exact"/>
              <w:rPr>
                <w:rFonts w:cs="Times New Roman"/>
                <w:color w:val="000000"/>
              </w:rPr>
            </w:pPr>
            <w:r>
              <w:rPr>
                <w:rFonts w:cs="Times New Roman"/>
                <w:color w:val="000000"/>
              </w:rPr>
              <w:t>数量，t/a</w:t>
            </w:r>
          </w:p>
        </w:tc>
        <w:tc>
          <w:tcPr>
            <w:tcW w:w="546" w:type="pct"/>
            <w:vAlign w:val="center"/>
          </w:tcPr>
          <w:p w14:paraId="536DE2A7">
            <w:pPr>
              <w:pStyle w:val="1080"/>
              <w:spacing w:line="360" w:lineRule="exact"/>
              <w:rPr>
                <w:rFonts w:cs="Times New Roman"/>
                <w:color w:val="000000"/>
              </w:rPr>
            </w:pPr>
            <w:r>
              <w:rPr>
                <w:rFonts w:cs="Times New Roman"/>
                <w:color w:val="000000"/>
              </w:rPr>
              <w:t>含硫率%</w:t>
            </w:r>
          </w:p>
        </w:tc>
        <w:tc>
          <w:tcPr>
            <w:tcW w:w="669" w:type="pct"/>
            <w:noWrap/>
            <w:vAlign w:val="center"/>
          </w:tcPr>
          <w:p w14:paraId="399D07FF">
            <w:pPr>
              <w:pStyle w:val="1080"/>
              <w:spacing w:line="360" w:lineRule="exact"/>
              <w:rPr>
                <w:rFonts w:cs="Times New Roman"/>
                <w:color w:val="000000"/>
              </w:rPr>
            </w:pPr>
            <w:r>
              <w:rPr>
                <w:rFonts w:cs="Times New Roman"/>
                <w:color w:val="000000"/>
              </w:rPr>
              <w:t>硫量t/a</w:t>
            </w:r>
          </w:p>
        </w:tc>
      </w:tr>
      <w:tr w14:paraId="03804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0" w:hRule="atLeast"/>
        </w:trPr>
        <w:tc>
          <w:tcPr>
            <w:tcW w:w="568" w:type="pct"/>
            <w:vAlign w:val="center"/>
          </w:tcPr>
          <w:p w14:paraId="7187AB43">
            <w:pPr>
              <w:pStyle w:val="1080"/>
              <w:spacing w:line="360" w:lineRule="exact"/>
              <w:rPr>
                <w:rFonts w:cs="Times New Roman"/>
                <w:color w:val="000000"/>
              </w:rPr>
            </w:pPr>
            <w:r>
              <w:rPr>
                <w:rFonts w:cs="Times New Roman"/>
                <w:color w:val="000000"/>
              </w:rPr>
              <w:t>硅石</w:t>
            </w:r>
          </w:p>
        </w:tc>
        <w:tc>
          <w:tcPr>
            <w:tcW w:w="568" w:type="pct"/>
            <w:noWrap/>
            <w:vAlign w:val="center"/>
          </w:tcPr>
          <w:p w14:paraId="7CC214A2">
            <w:pPr>
              <w:pStyle w:val="1080"/>
              <w:spacing w:line="360" w:lineRule="exact"/>
              <w:rPr>
                <w:rFonts w:cs="Times New Roman"/>
                <w:color w:val="000000"/>
              </w:rPr>
            </w:pPr>
            <w:r>
              <w:rPr>
                <w:rFonts w:cs="Times New Roman"/>
                <w:color w:val="000000"/>
              </w:rPr>
              <w:t>99580</w:t>
            </w:r>
          </w:p>
        </w:tc>
        <w:tc>
          <w:tcPr>
            <w:tcW w:w="546" w:type="pct"/>
            <w:vAlign w:val="center"/>
          </w:tcPr>
          <w:p w14:paraId="3C9E8F40">
            <w:pPr>
              <w:pStyle w:val="1080"/>
              <w:spacing w:line="360" w:lineRule="exact"/>
              <w:rPr>
                <w:rFonts w:cs="Times New Roman"/>
                <w:color w:val="000000"/>
              </w:rPr>
            </w:pPr>
            <w:r>
              <w:rPr>
                <w:rFonts w:cs="Times New Roman"/>
                <w:color w:val="000000"/>
              </w:rPr>
              <w:t>0.005</w:t>
            </w:r>
          </w:p>
        </w:tc>
        <w:tc>
          <w:tcPr>
            <w:tcW w:w="468" w:type="pct"/>
            <w:vAlign w:val="center"/>
          </w:tcPr>
          <w:p w14:paraId="29EA6298">
            <w:pPr>
              <w:pStyle w:val="1080"/>
              <w:spacing w:line="360" w:lineRule="exact"/>
              <w:rPr>
                <w:rFonts w:cs="Times New Roman"/>
                <w:color w:val="000000"/>
              </w:rPr>
            </w:pPr>
            <w:r>
              <w:rPr>
                <w:rFonts w:cs="Times New Roman"/>
                <w:color w:val="000000"/>
              </w:rPr>
              <w:t>4.98</w:t>
            </w:r>
          </w:p>
        </w:tc>
        <w:tc>
          <w:tcPr>
            <w:tcW w:w="834" w:type="pct"/>
            <w:vAlign w:val="center"/>
          </w:tcPr>
          <w:p w14:paraId="1FD51A9E">
            <w:pPr>
              <w:pStyle w:val="1080"/>
              <w:spacing w:line="360" w:lineRule="exact"/>
              <w:rPr>
                <w:rFonts w:cs="Times New Roman"/>
                <w:color w:val="000000"/>
              </w:rPr>
            </w:pPr>
            <w:r>
              <w:rPr>
                <w:rFonts w:cs="Times New Roman"/>
                <w:color w:val="000000"/>
              </w:rPr>
              <w:t>硅铁产品</w:t>
            </w:r>
          </w:p>
        </w:tc>
        <w:tc>
          <w:tcPr>
            <w:tcW w:w="801" w:type="pct"/>
            <w:vAlign w:val="center"/>
          </w:tcPr>
          <w:p w14:paraId="4D6AD81E">
            <w:pPr>
              <w:pStyle w:val="1080"/>
              <w:spacing w:line="360" w:lineRule="exact"/>
              <w:rPr>
                <w:rFonts w:cs="Times New Roman"/>
                <w:color w:val="000000"/>
              </w:rPr>
            </w:pPr>
            <w:r>
              <w:rPr>
                <w:rFonts w:cs="Times New Roman"/>
                <w:color w:val="000000"/>
              </w:rPr>
              <w:t>56006.19</w:t>
            </w:r>
          </w:p>
        </w:tc>
        <w:tc>
          <w:tcPr>
            <w:tcW w:w="546" w:type="pct"/>
            <w:vAlign w:val="center"/>
          </w:tcPr>
          <w:p w14:paraId="16F1E3FF">
            <w:pPr>
              <w:pStyle w:val="1080"/>
              <w:spacing w:line="360" w:lineRule="exact"/>
              <w:rPr>
                <w:rFonts w:cs="Times New Roman"/>
                <w:color w:val="000000"/>
              </w:rPr>
            </w:pPr>
            <w:r>
              <w:rPr>
                <w:rFonts w:cs="Times New Roman"/>
                <w:color w:val="000000"/>
              </w:rPr>
              <w:t>0.02</w:t>
            </w:r>
          </w:p>
        </w:tc>
        <w:tc>
          <w:tcPr>
            <w:tcW w:w="669" w:type="pct"/>
            <w:noWrap/>
            <w:vAlign w:val="center"/>
          </w:tcPr>
          <w:p w14:paraId="58C47318">
            <w:pPr>
              <w:pStyle w:val="1080"/>
              <w:spacing w:line="360" w:lineRule="exact"/>
              <w:rPr>
                <w:rFonts w:cs="Times New Roman"/>
                <w:color w:val="000000"/>
              </w:rPr>
            </w:pPr>
            <w:r>
              <w:rPr>
                <w:rFonts w:hint="eastAsia" w:cs="Times New Roman"/>
                <w:color w:val="000000"/>
              </w:rPr>
              <w:t>11.20</w:t>
            </w:r>
          </w:p>
        </w:tc>
      </w:tr>
      <w:tr w14:paraId="0234A4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0" w:hRule="atLeast"/>
        </w:trPr>
        <w:tc>
          <w:tcPr>
            <w:tcW w:w="568" w:type="pct"/>
            <w:vAlign w:val="center"/>
          </w:tcPr>
          <w:p w14:paraId="6B5D7B66">
            <w:pPr>
              <w:pStyle w:val="1080"/>
              <w:spacing w:line="360" w:lineRule="exact"/>
              <w:rPr>
                <w:rFonts w:cs="Times New Roman"/>
                <w:color w:val="000000"/>
              </w:rPr>
            </w:pPr>
            <w:r>
              <w:rPr>
                <w:rFonts w:cs="Times New Roman"/>
                <w:color w:val="000000"/>
              </w:rPr>
              <w:t>球团</w:t>
            </w:r>
          </w:p>
        </w:tc>
        <w:tc>
          <w:tcPr>
            <w:tcW w:w="568" w:type="pct"/>
            <w:noWrap/>
            <w:vAlign w:val="center"/>
          </w:tcPr>
          <w:p w14:paraId="7C53F9D4">
            <w:pPr>
              <w:pStyle w:val="1080"/>
              <w:spacing w:line="360" w:lineRule="exact"/>
              <w:rPr>
                <w:rFonts w:cs="Times New Roman"/>
                <w:color w:val="000000"/>
              </w:rPr>
            </w:pPr>
            <w:r>
              <w:rPr>
                <w:rFonts w:cs="Times New Roman"/>
                <w:color w:val="000000"/>
              </w:rPr>
              <w:t>19360</w:t>
            </w:r>
          </w:p>
        </w:tc>
        <w:tc>
          <w:tcPr>
            <w:tcW w:w="546" w:type="pct"/>
            <w:vAlign w:val="center"/>
          </w:tcPr>
          <w:p w14:paraId="3CA42AEF">
            <w:pPr>
              <w:pStyle w:val="1080"/>
              <w:spacing w:line="360" w:lineRule="exact"/>
              <w:rPr>
                <w:rFonts w:cs="Times New Roman"/>
                <w:color w:val="000000"/>
              </w:rPr>
            </w:pPr>
            <w:r>
              <w:rPr>
                <w:rFonts w:cs="Times New Roman"/>
                <w:color w:val="000000"/>
              </w:rPr>
              <w:t>0.03</w:t>
            </w:r>
          </w:p>
        </w:tc>
        <w:tc>
          <w:tcPr>
            <w:tcW w:w="468" w:type="pct"/>
            <w:vAlign w:val="center"/>
          </w:tcPr>
          <w:p w14:paraId="010FE27A">
            <w:pPr>
              <w:pStyle w:val="1080"/>
              <w:spacing w:line="360" w:lineRule="exact"/>
              <w:rPr>
                <w:rFonts w:cs="Times New Roman"/>
                <w:color w:val="000000"/>
              </w:rPr>
            </w:pPr>
            <w:r>
              <w:rPr>
                <w:rFonts w:cs="Times New Roman"/>
                <w:color w:val="000000"/>
              </w:rPr>
              <w:t>5.81</w:t>
            </w:r>
          </w:p>
        </w:tc>
        <w:tc>
          <w:tcPr>
            <w:tcW w:w="834" w:type="pct"/>
            <w:vAlign w:val="center"/>
          </w:tcPr>
          <w:p w14:paraId="59701904">
            <w:pPr>
              <w:pStyle w:val="1080"/>
              <w:spacing w:line="360" w:lineRule="exact"/>
              <w:rPr>
                <w:rFonts w:cs="Times New Roman"/>
                <w:color w:val="000000"/>
              </w:rPr>
            </w:pPr>
            <w:r>
              <w:rPr>
                <w:rFonts w:cs="Times New Roman"/>
                <w:color w:val="000000"/>
              </w:rPr>
              <w:t>硅渣</w:t>
            </w:r>
          </w:p>
        </w:tc>
        <w:tc>
          <w:tcPr>
            <w:tcW w:w="801" w:type="pct"/>
            <w:vAlign w:val="center"/>
          </w:tcPr>
          <w:p w14:paraId="3C7C9F39">
            <w:pPr>
              <w:pStyle w:val="1080"/>
              <w:spacing w:line="360" w:lineRule="exact"/>
              <w:rPr>
                <w:rFonts w:cs="Times New Roman"/>
                <w:color w:val="000000"/>
              </w:rPr>
            </w:pPr>
            <w:r>
              <w:rPr>
                <w:rFonts w:cs="Times New Roman"/>
                <w:color w:val="000000"/>
              </w:rPr>
              <w:t>3360</w:t>
            </w:r>
          </w:p>
        </w:tc>
        <w:tc>
          <w:tcPr>
            <w:tcW w:w="546" w:type="pct"/>
            <w:vAlign w:val="center"/>
          </w:tcPr>
          <w:p w14:paraId="13F51AD0">
            <w:pPr>
              <w:pStyle w:val="1080"/>
              <w:spacing w:line="360" w:lineRule="exact"/>
              <w:rPr>
                <w:rFonts w:cs="Times New Roman"/>
                <w:color w:val="000000"/>
              </w:rPr>
            </w:pPr>
            <w:r>
              <w:rPr>
                <w:rFonts w:cs="Times New Roman"/>
                <w:color w:val="000000"/>
              </w:rPr>
              <w:t>0.</w:t>
            </w:r>
            <w:r>
              <w:rPr>
                <w:rFonts w:hint="eastAsia" w:cs="Times New Roman"/>
                <w:color w:val="000000"/>
              </w:rPr>
              <w:t>3</w:t>
            </w:r>
          </w:p>
        </w:tc>
        <w:tc>
          <w:tcPr>
            <w:tcW w:w="669" w:type="pct"/>
            <w:noWrap/>
            <w:vAlign w:val="center"/>
          </w:tcPr>
          <w:p w14:paraId="3D124D84">
            <w:pPr>
              <w:pStyle w:val="1080"/>
              <w:spacing w:line="360" w:lineRule="exact"/>
              <w:rPr>
                <w:rFonts w:cs="Times New Roman"/>
                <w:color w:val="000000"/>
              </w:rPr>
            </w:pPr>
            <w:r>
              <w:rPr>
                <w:rFonts w:hint="eastAsia" w:cs="Times New Roman"/>
                <w:color w:val="000000"/>
              </w:rPr>
              <w:t>10.08</w:t>
            </w:r>
          </w:p>
        </w:tc>
      </w:tr>
      <w:tr w14:paraId="3FDE6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38931EDD">
            <w:pPr>
              <w:pStyle w:val="1080"/>
              <w:spacing w:line="360" w:lineRule="exact"/>
              <w:rPr>
                <w:rFonts w:cs="Times New Roman"/>
                <w:color w:val="000000"/>
              </w:rPr>
            </w:pPr>
            <w:r>
              <w:rPr>
                <w:rFonts w:cs="Times New Roman"/>
                <w:color w:val="000000"/>
              </w:rPr>
              <w:t>兰炭</w:t>
            </w:r>
          </w:p>
        </w:tc>
        <w:tc>
          <w:tcPr>
            <w:tcW w:w="568" w:type="pct"/>
            <w:noWrap/>
            <w:vAlign w:val="center"/>
          </w:tcPr>
          <w:p w14:paraId="7F13E744">
            <w:pPr>
              <w:pStyle w:val="1080"/>
              <w:spacing w:line="360" w:lineRule="exact"/>
              <w:rPr>
                <w:rFonts w:cs="Times New Roman"/>
                <w:color w:val="000000"/>
              </w:rPr>
            </w:pPr>
            <w:r>
              <w:rPr>
                <w:rFonts w:cs="Times New Roman"/>
                <w:color w:val="000000"/>
              </w:rPr>
              <w:t>56000</w:t>
            </w:r>
          </w:p>
        </w:tc>
        <w:tc>
          <w:tcPr>
            <w:tcW w:w="546" w:type="pct"/>
            <w:vAlign w:val="center"/>
          </w:tcPr>
          <w:p w14:paraId="399C0A86">
            <w:pPr>
              <w:pStyle w:val="1080"/>
              <w:spacing w:line="360" w:lineRule="exact"/>
              <w:rPr>
                <w:rFonts w:cs="Times New Roman"/>
                <w:color w:val="000000"/>
              </w:rPr>
            </w:pPr>
            <w:r>
              <w:rPr>
                <w:rFonts w:cs="Times New Roman"/>
                <w:color w:val="000000"/>
              </w:rPr>
              <w:t>0.</w:t>
            </w:r>
            <w:r>
              <w:rPr>
                <w:rFonts w:hint="eastAsia" w:cs="Times New Roman"/>
                <w:color w:val="000000"/>
              </w:rPr>
              <w:t>72</w:t>
            </w:r>
          </w:p>
        </w:tc>
        <w:tc>
          <w:tcPr>
            <w:tcW w:w="468" w:type="pct"/>
            <w:vAlign w:val="center"/>
          </w:tcPr>
          <w:p w14:paraId="324C8308">
            <w:pPr>
              <w:pStyle w:val="1080"/>
              <w:spacing w:line="360" w:lineRule="exact"/>
              <w:rPr>
                <w:rFonts w:cs="Times New Roman"/>
                <w:color w:val="000000"/>
              </w:rPr>
            </w:pPr>
            <w:r>
              <w:rPr>
                <w:rFonts w:hint="eastAsia" w:cs="Times New Roman"/>
                <w:color w:val="000000"/>
              </w:rPr>
              <w:t>400.68</w:t>
            </w:r>
          </w:p>
        </w:tc>
        <w:tc>
          <w:tcPr>
            <w:tcW w:w="834" w:type="pct"/>
            <w:vAlign w:val="center"/>
          </w:tcPr>
          <w:p w14:paraId="3C4BA744">
            <w:pPr>
              <w:pStyle w:val="1080"/>
              <w:spacing w:line="360" w:lineRule="exact"/>
              <w:rPr>
                <w:rFonts w:cs="Times New Roman"/>
                <w:color w:val="000000"/>
              </w:rPr>
            </w:pPr>
            <w:r>
              <w:rPr>
                <w:rFonts w:cs="Times New Roman"/>
                <w:color w:val="000000"/>
              </w:rPr>
              <w:t>微硅粉</w:t>
            </w:r>
          </w:p>
        </w:tc>
        <w:tc>
          <w:tcPr>
            <w:tcW w:w="801" w:type="pct"/>
            <w:vAlign w:val="center"/>
          </w:tcPr>
          <w:p w14:paraId="3D5CC1FB">
            <w:pPr>
              <w:pStyle w:val="1080"/>
              <w:spacing w:line="360" w:lineRule="exact"/>
              <w:rPr>
                <w:rFonts w:cs="Times New Roman"/>
                <w:color w:val="000000"/>
              </w:rPr>
            </w:pPr>
            <w:r>
              <w:rPr>
                <w:rFonts w:cs="Times New Roman"/>
                <w:color w:val="000000"/>
              </w:rPr>
              <w:t>7309.</w:t>
            </w:r>
            <w:r>
              <w:rPr>
                <w:rFonts w:hint="eastAsia" w:cs="Times New Roman"/>
                <w:color w:val="000000"/>
              </w:rPr>
              <w:t>28</w:t>
            </w:r>
          </w:p>
        </w:tc>
        <w:tc>
          <w:tcPr>
            <w:tcW w:w="546" w:type="pct"/>
            <w:vAlign w:val="center"/>
          </w:tcPr>
          <w:p w14:paraId="2A8A91B4">
            <w:pPr>
              <w:pStyle w:val="1080"/>
              <w:spacing w:line="360" w:lineRule="exact"/>
              <w:rPr>
                <w:rFonts w:cs="Times New Roman"/>
                <w:color w:val="000000"/>
              </w:rPr>
            </w:pPr>
            <w:r>
              <w:rPr>
                <w:rFonts w:cs="Times New Roman"/>
                <w:color w:val="000000"/>
              </w:rPr>
              <w:t>0.02</w:t>
            </w:r>
          </w:p>
        </w:tc>
        <w:tc>
          <w:tcPr>
            <w:tcW w:w="669" w:type="pct"/>
            <w:noWrap/>
            <w:vAlign w:val="center"/>
          </w:tcPr>
          <w:p w14:paraId="21045FDD">
            <w:pPr>
              <w:pStyle w:val="1080"/>
              <w:spacing w:line="360" w:lineRule="exact"/>
              <w:rPr>
                <w:rFonts w:cs="Times New Roman"/>
                <w:color w:val="000000"/>
              </w:rPr>
            </w:pPr>
            <w:r>
              <w:rPr>
                <w:rFonts w:hint="eastAsia" w:cs="Times New Roman"/>
                <w:color w:val="000000"/>
              </w:rPr>
              <w:t>1.46</w:t>
            </w:r>
          </w:p>
        </w:tc>
      </w:tr>
      <w:tr w14:paraId="5695B1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513B196E">
            <w:pPr>
              <w:pStyle w:val="1080"/>
              <w:spacing w:line="360" w:lineRule="exact"/>
              <w:rPr>
                <w:rFonts w:cs="Times New Roman"/>
                <w:color w:val="000000"/>
              </w:rPr>
            </w:pPr>
            <w:r>
              <w:rPr>
                <w:rFonts w:cs="Times New Roman"/>
                <w:color w:val="000000"/>
              </w:rPr>
              <w:t>电极糊</w:t>
            </w:r>
          </w:p>
        </w:tc>
        <w:tc>
          <w:tcPr>
            <w:tcW w:w="568" w:type="pct"/>
            <w:noWrap/>
            <w:vAlign w:val="center"/>
          </w:tcPr>
          <w:p w14:paraId="634B7D28">
            <w:pPr>
              <w:pStyle w:val="1080"/>
              <w:spacing w:line="360" w:lineRule="exact"/>
              <w:rPr>
                <w:rFonts w:cs="Times New Roman"/>
                <w:color w:val="000000"/>
              </w:rPr>
            </w:pPr>
            <w:r>
              <w:rPr>
                <w:rFonts w:cs="Times New Roman"/>
                <w:color w:val="000000"/>
              </w:rPr>
              <w:t>2800</w:t>
            </w:r>
          </w:p>
        </w:tc>
        <w:tc>
          <w:tcPr>
            <w:tcW w:w="546" w:type="pct"/>
            <w:vAlign w:val="center"/>
          </w:tcPr>
          <w:p w14:paraId="620D4C75">
            <w:pPr>
              <w:pStyle w:val="1080"/>
              <w:spacing w:line="360" w:lineRule="exact"/>
              <w:rPr>
                <w:rFonts w:cs="Times New Roman"/>
                <w:color w:val="000000"/>
              </w:rPr>
            </w:pPr>
            <w:r>
              <w:rPr>
                <w:rFonts w:cs="Times New Roman"/>
                <w:color w:val="000000"/>
              </w:rPr>
              <w:t>0.25</w:t>
            </w:r>
          </w:p>
        </w:tc>
        <w:tc>
          <w:tcPr>
            <w:tcW w:w="468" w:type="pct"/>
            <w:vAlign w:val="center"/>
          </w:tcPr>
          <w:p w14:paraId="333B180B">
            <w:pPr>
              <w:pStyle w:val="1080"/>
              <w:spacing w:line="360" w:lineRule="exact"/>
              <w:rPr>
                <w:rFonts w:cs="Times New Roman"/>
                <w:color w:val="000000"/>
              </w:rPr>
            </w:pPr>
            <w:r>
              <w:rPr>
                <w:rFonts w:cs="Times New Roman"/>
                <w:color w:val="000000"/>
              </w:rPr>
              <w:t>7.00</w:t>
            </w:r>
          </w:p>
        </w:tc>
        <w:tc>
          <w:tcPr>
            <w:tcW w:w="834" w:type="pct"/>
            <w:vAlign w:val="center"/>
          </w:tcPr>
          <w:p w14:paraId="7D163B47">
            <w:pPr>
              <w:pStyle w:val="1080"/>
              <w:spacing w:line="360" w:lineRule="exact"/>
              <w:rPr>
                <w:rFonts w:cs="Times New Roman"/>
                <w:color w:val="000000"/>
              </w:rPr>
            </w:pPr>
            <w:r>
              <w:rPr>
                <w:rFonts w:cs="Times New Roman"/>
                <w:color w:val="000000"/>
              </w:rPr>
              <w:t>除尘灰</w:t>
            </w:r>
          </w:p>
        </w:tc>
        <w:tc>
          <w:tcPr>
            <w:tcW w:w="801" w:type="pct"/>
            <w:vAlign w:val="center"/>
          </w:tcPr>
          <w:p w14:paraId="58ED1877">
            <w:pPr>
              <w:pStyle w:val="1080"/>
              <w:spacing w:line="360" w:lineRule="exact"/>
              <w:rPr>
                <w:rFonts w:cs="Times New Roman"/>
                <w:color w:val="000000"/>
              </w:rPr>
            </w:pPr>
            <w:r>
              <w:rPr>
                <w:rFonts w:hint="eastAsia" w:cs="Times New Roman"/>
                <w:color w:val="000000"/>
              </w:rPr>
              <w:t>36.1</w:t>
            </w:r>
          </w:p>
        </w:tc>
        <w:tc>
          <w:tcPr>
            <w:tcW w:w="546" w:type="pct"/>
            <w:vAlign w:val="center"/>
          </w:tcPr>
          <w:p w14:paraId="1AD068DF">
            <w:pPr>
              <w:pStyle w:val="1080"/>
              <w:spacing w:line="360" w:lineRule="exact"/>
              <w:rPr>
                <w:rFonts w:cs="Times New Roman"/>
                <w:color w:val="000000"/>
              </w:rPr>
            </w:pPr>
            <w:r>
              <w:rPr>
                <w:rFonts w:cs="Times New Roman"/>
                <w:color w:val="000000"/>
              </w:rPr>
              <w:t>0.</w:t>
            </w:r>
            <w:r>
              <w:rPr>
                <w:rFonts w:hint="eastAsia" w:cs="Times New Roman"/>
                <w:color w:val="000000"/>
              </w:rPr>
              <w:t>24</w:t>
            </w:r>
          </w:p>
        </w:tc>
        <w:tc>
          <w:tcPr>
            <w:tcW w:w="669" w:type="pct"/>
            <w:noWrap/>
            <w:vAlign w:val="center"/>
          </w:tcPr>
          <w:p w14:paraId="4853EC1B">
            <w:pPr>
              <w:pStyle w:val="1080"/>
              <w:spacing w:line="360" w:lineRule="exact"/>
              <w:rPr>
                <w:rFonts w:cs="Times New Roman"/>
                <w:color w:val="000000"/>
              </w:rPr>
            </w:pPr>
            <w:r>
              <w:rPr>
                <w:rFonts w:hint="eastAsia" w:cs="Times New Roman"/>
                <w:color w:val="000000"/>
              </w:rPr>
              <w:t>0.08</w:t>
            </w:r>
          </w:p>
        </w:tc>
      </w:tr>
      <w:tr w14:paraId="5C1E4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47C2D3D1">
            <w:pPr>
              <w:pStyle w:val="1080"/>
              <w:spacing w:line="360" w:lineRule="exact"/>
              <w:rPr>
                <w:rFonts w:cs="Times New Roman"/>
                <w:color w:val="000000"/>
              </w:rPr>
            </w:pPr>
          </w:p>
        </w:tc>
        <w:tc>
          <w:tcPr>
            <w:tcW w:w="568" w:type="pct"/>
            <w:noWrap/>
            <w:vAlign w:val="center"/>
          </w:tcPr>
          <w:p w14:paraId="1844E340">
            <w:pPr>
              <w:pStyle w:val="1080"/>
              <w:spacing w:line="360" w:lineRule="exact"/>
              <w:rPr>
                <w:rFonts w:cs="Times New Roman"/>
                <w:color w:val="000000"/>
              </w:rPr>
            </w:pPr>
          </w:p>
        </w:tc>
        <w:tc>
          <w:tcPr>
            <w:tcW w:w="546" w:type="pct"/>
            <w:vAlign w:val="center"/>
          </w:tcPr>
          <w:p w14:paraId="25CEDE6D">
            <w:pPr>
              <w:pStyle w:val="1080"/>
              <w:spacing w:line="360" w:lineRule="exact"/>
              <w:rPr>
                <w:rFonts w:cs="Times New Roman"/>
                <w:color w:val="000000"/>
              </w:rPr>
            </w:pPr>
          </w:p>
        </w:tc>
        <w:tc>
          <w:tcPr>
            <w:tcW w:w="468" w:type="pct"/>
            <w:vAlign w:val="center"/>
          </w:tcPr>
          <w:p w14:paraId="0C37BCB7">
            <w:pPr>
              <w:pStyle w:val="1080"/>
              <w:spacing w:line="360" w:lineRule="exact"/>
              <w:rPr>
                <w:rFonts w:cs="Times New Roman"/>
                <w:color w:val="000000"/>
              </w:rPr>
            </w:pPr>
          </w:p>
        </w:tc>
        <w:tc>
          <w:tcPr>
            <w:tcW w:w="834" w:type="pct"/>
            <w:vAlign w:val="center"/>
          </w:tcPr>
          <w:p w14:paraId="514F6609">
            <w:pPr>
              <w:pStyle w:val="1080"/>
              <w:spacing w:line="360" w:lineRule="exact"/>
              <w:rPr>
                <w:rFonts w:cs="Times New Roman"/>
                <w:color w:val="000000"/>
              </w:rPr>
            </w:pPr>
            <w:r>
              <w:rPr>
                <w:rFonts w:cs="Times New Roman"/>
                <w:color w:val="000000"/>
              </w:rPr>
              <w:t>原料落料</w:t>
            </w:r>
          </w:p>
        </w:tc>
        <w:tc>
          <w:tcPr>
            <w:tcW w:w="801" w:type="pct"/>
            <w:vAlign w:val="center"/>
          </w:tcPr>
          <w:p w14:paraId="6E0A51E4">
            <w:pPr>
              <w:pStyle w:val="1080"/>
              <w:spacing w:line="360" w:lineRule="exact"/>
              <w:rPr>
                <w:rFonts w:cs="Times New Roman"/>
                <w:color w:val="000000"/>
              </w:rPr>
            </w:pPr>
            <w:r>
              <w:rPr>
                <w:rFonts w:hint="eastAsia" w:cs="Times New Roman"/>
                <w:color w:val="000000"/>
              </w:rPr>
              <w:t>74.93</w:t>
            </w:r>
          </w:p>
        </w:tc>
        <w:tc>
          <w:tcPr>
            <w:tcW w:w="546" w:type="pct"/>
            <w:vAlign w:val="center"/>
          </w:tcPr>
          <w:p w14:paraId="1CF483E1">
            <w:pPr>
              <w:pStyle w:val="1080"/>
              <w:spacing w:line="360" w:lineRule="exact"/>
              <w:rPr>
                <w:rFonts w:cs="Times New Roman"/>
                <w:color w:val="000000"/>
              </w:rPr>
            </w:pPr>
            <w:r>
              <w:rPr>
                <w:rFonts w:cs="Times New Roman"/>
                <w:color w:val="000000"/>
              </w:rPr>
              <w:t>0.</w:t>
            </w:r>
            <w:r>
              <w:rPr>
                <w:rFonts w:hint="eastAsia" w:cs="Times New Roman"/>
                <w:color w:val="000000"/>
              </w:rPr>
              <w:t>24</w:t>
            </w:r>
          </w:p>
        </w:tc>
        <w:tc>
          <w:tcPr>
            <w:tcW w:w="669" w:type="pct"/>
            <w:noWrap/>
            <w:vAlign w:val="center"/>
          </w:tcPr>
          <w:p w14:paraId="6B73FF84">
            <w:pPr>
              <w:pStyle w:val="1080"/>
              <w:spacing w:line="360" w:lineRule="exact"/>
              <w:rPr>
                <w:rFonts w:cs="Times New Roman"/>
                <w:color w:val="000000"/>
              </w:rPr>
            </w:pPr>
            <w:r>
              <w:rPr>
                <w:rFonts w:hint="eastAsia" w:cs="Times New Roman"/>
                <w:color w:val="000000"/>
              </w:rPr>
              <w:t>0.18</w:t>
            </w:r>
          </w:p>
        </w:tc>
      </w:tr>
      <w:tr w14:paraId="55FECD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11AF0126">
            <w:pPr>
              <w:pStyle w:val="1080"/>
              <w:spacing w:line="360" w:lineRule="exact"/>
              <w:rPr>
                <w:rFonts w:cs="Times New Roman"/>
                <w:color w:val="000000"/>
              </w:rPr>
            </w:pPr>
          </w:p>
        </w:tc>
        <w:tc>
          <w:tcPr>
            <w:tcW w:w="568" w:type="pct"/>
            <w:noWrap/>
            <w:vAlign w:val="center"/>
          </w:tcPr>
          <w:p w14:paraId="01CBB71F">
            <w:pPr>
              <w:pStyle w:val="1080"/>
              <w:spacing w:line="360" w:lineRule="exact"/>
              <w:rPr>
                <w:rFonts w:cs="Times New Roman"/>
                <w:color w:val="000000"/>
              </w:rPr>
            </w:pPr>
          </w:p>
        </w:tc>
        <w:tc>
          <w:tcPr>
            <w:tcW w:w="546" w:type="pct"/>
            <w:vAlign w:val="center"/>
          </w:tcPr>
          <w:p w14:paraId="7F3CC918">
            <w:pPr>
              <w:pStyle w:val="1080"/>
              <w:spacing w:line="360" w:lineRule="exact"/>
              <w:rPr>
                <w:rFonts w:cs="Times New Roman"/>
                <w:color w:val="000000"/>
              </w:rPr>
            </w:pPr>
          </w:p>
        </w:tc>
        <w:tc>
          <w:tcPr>
            <w:tcW w:w="468" w:type="pct"/>
            <w:vAlign w:val="center"/>
          </w:tcPr>
          <w:p w14:paraId="59FB9DB3">
            <w:pPr>
              <w:pStyle w:val="1080"/>
              <w:spacing w:line="360" w:lineRule="exact"/>
              <w:rPr>
                <w:rFonts w:cs="Times New Roman"/>
                <w:color w:val="000000"/>
              </w:rPr>
            </w:pPr>
          </w:p>
        </w:tc>
        <w:tc>
          <w:tcPr>
            <w:tcW w:w="834" w:type="pct"/>
            <w:vAlign w:val="center"/>
          </w:tcPr>
          <w:p w14:paraId="24DDAFE0">
            <w:pPr>
              <w:pStyle w:val="1080"/>
              <w:spacing w:line="360" w:lineRule="exact"/>
              <w:rPr>
                <w:rFonts w:cs="Times New Roman"/>
                <w:color w:val="000000"/>
              </w:rPr>
            </w:pPr>
            <w:r>
              <w:rPr>
                <w:rFonts w:cs="Times New Roman"/>
                <w:color w:val="000000"/>
              </w:rPr>
              <w:t>产品落料</w:t>
            </w:r>
          </w:p>
        </w:tc>
        <w:tc>
          <w:tcPr>
            <w:tcW w:w="801" w:type="pct"/>
            <w:vAlign w:val="center"/>
          </w:tcPr>
          <w:p w14:paraId="67B0E1AA">
            <w:pPr>
              <w:pStyle w:val="1080"/>
              <w:spacing w:line="360" w:lineRule="exact"/>
              <w:rPr>
                <w:rFonts w:cs="Times New Roman"/>
                <w:color w:val="000000"/>
              </w:rPr>
            </w:pPr>
            <w:r>
              <w:rPr>
                <w:rFonts w:cs="Times New Roman"/>
                <w:color w:val="000000"/>
              </w:rPr>
              <w:t>4.5</w:t>
            </w:r>
            <w:r>
              <w:rPr>
                <w:rFonts w:hint="eastAsia" w:cs="Times New Roman"/>
                <w:color w:val="000000"/>
              </w:rPr>
              <w:t>2</w:t>
            </w:r>
          </w:p>
        </w:tc>
        <w:tc>
          <w:tcPr>
            <w:tcW w:w="546" w:type="pct"/>
            <w:vAlign w:val="center"/>
          </w:tcPr>
          <w:p w14:paraId="07CE26EE">
            <w:pPr>
              <w:pStyle w:val="1080"/>
              <w:spacing w:line="360" w:lineRule="exact"/>
              <w:rPr>
                <w:rFonts w:cs="Times New Roman"/>
                <w:color w:val="000000"/>
              </w:rPr>
            </w:pPr>
            <w:r>
              <w:rPr>
                <w:rFonts w:cs="Times New Roman"/>
                <w:color w:val="000000"/>
              </w:rPr>
              <w:t>0.02</w:t>
            </w:r>
          </w:p>
        </w:tc>
        <w:tc>
          <w:tcPr>
            <w:tcW w:w="669" w:type="pct"/>
            <w:noWrap/>
            <w:vAlign w:val="center"/>
          </w:tcPr>
          <w:p w14:paraId="0AB828B8">
            <w:pPr>
              <w:pStyle w:val="1080"/>
              <w:spacing w:line="360" w:lineRule="exact"/>
              <w:rPr>
                <w:rFonts w:cs="Times New Roman"/>
                <w:color w:val="000000"/>
              </w:rPr>
            </w:pPr>
            <w:r>
              <w:rPr>
                <w:rFonts w:hint="eastAsia" w:cs="Times New Roman"/>
                <w:color w:val="000000"/>
              </w:rPr>
              <w:t>0.001</w:t>
            </w:r>
          </w:p>
        </w:tc>
      </w:tr>
      <w:tr w14:paraId="24C22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2B1B7304">
            <w:pPr>
              <w:pStyle w:val="1080"/>
              <w:spacing w:line="360" w:lineRule="exact"/>
              <w:rPr>
                <w:rFonts w:cs="Times New Roman"/>
                <w:color w:val="000000"/>
              </w:rPr>
            </w:pPr>
          </w:p>
        </w:tc>
        <w:tc>
          <w:tcPr>
            <w:tcW w:w="568" w:type="pct"/>
            <w:noWrap/>
            <w:vAlign w:val="center"/>
          </w:tcPr>
          <w:p w14:paraId="57181E91">
            <w:pPr>
              <w:pStyle w:val="1080"/>
              <w:spacing w:line="360" w:lineRule="exact"/>
              <w:rPr>
                <w:rFonts w:cs="Times New Roman"/>
                <w:color w:val="000000"/>
              </w:rPr>
            </w:pPr>
          </w:p>
        </w:tc>
        <w:tc>
          <w:tcPr>
            <w:tcW w:w="546" w:type="pct"/>
            <w:vAlign w:val="center"/>
          </w:tcPr>
          <w:p w14:paraId="535990C5">
            <w:pPr>
              <w:pStyle w:val="1080"/>
              <w:spacing w:line="360" w:lineRule="exact"/>
              <w:rPr>
                <w:rFonts w:cs="Times New Roman"/>
                <w:color w:val="000000"/>
              </w:rPr>
            </w:pPr>
          </w:p>
        </w:tc>
        <w:tc>
          <w:tcPr>
            <w:tcW w:w="468" w:type="pct"/>
            <w:vAlign w:val="center"/>
          </w:tcPr>
          <w:p w14:paraId="2E13A537">
            <w:pPr>
              <w:pStyle w:val="1080"/>
              <w:spacing w:line="360" w:lineRule="exact"/>
              <w:rPr>
                <w:rFonts w:cs="Times New Roman"/>
                <w:color w:val="000000"/>
              </w:rPr>
            </w:pPr>
          </w:p>
        </w:tc>
        <w:tc>
          <w:tcPr>
            <w:tcW w:w="834" w:type="pct"/>
            <w:vAlign w:val="center"/>
          </w:tcPr>
          <w:p w14:paraId="42B60C0B">
            <w:pPr>
              <w:pStyle w:val="1080"/>
              <w:spacing w:line="360" w:lineRule="exact"/>
              <w:rPr>
                <w:rFonts w:cs="Times New Roman"/>
                <w:color w:val="000000"/>
              </w:rPr>
            </w:pPr>
            <w:r>
              <w:rPr>
                <w:rFonts w:cs="Times New Roman"/>
                <w:color w:val="000000"/>
              </w:rPr>
              <w:t>原料废气排放</w:t>
            </w:r>
          </w:p>
        </w:tc>
        <w:tc>
          <w:tcPr>
            <w:tcW w:w="801" w:type="pct"/>
            <w:vAlign w:val="center"/>
          </w:tcPr>
          <w:p w14:paraId="5CF8CC66">
            <w:pPr>
              <w:pStyle w:val="1080"/>
              <w:spacing w:line="360" w:lineRule="exact"/>
              <w:rPr>
                <w:rFonts w:cs="Times New Roman"/>
                <w:color w:val="000000"/>
              </w:rPr>
            </w:pPr>
            <w:r>
              <w:rPr>
                <w:rFonts w:hint="eastAsia" w:cs="Times New Roman"/>
                <w:color w:val="000000"/>
              </w:rPr>
              <w:t>0.36</w:t>
            </w:r>
          </w:p>
        </w:tc>
        <w:tc>
          <w:tcPr>
            <w:tcW w:w="546" w:type="pct"/>
            <w:vAlign w:val="center"/>
          </w:tcPr>
          <w:p w14:paraId="4FC64D0E">
            <w:pPr>
              <w:pStyle w:val="1080"/>
              <w:spacing w:line="360" w:lineRule="exact"/>
              <w:rPr>
                <w:rFonts w:cs="Times New Roman"/>
                <w:color w:val="000000"/>
              </w:rPr>
            </w:pPr>
            <w:r>
              <w:rPr>
                <w:rFonts w:cs="Times New Roman"/>
                <w:color w:val="000000"/>
              </w:rPr>
              <w:t>0.</w:t>
            </w:r>
            <w:r>
              <w:rPr>
                <w:rFonts w:hint="eastAsia" w:cs="Times New Roman"/>
                <w:color w:val="000000"/>
              </w:rPr>
              <w:t>24</w:t>
            </w:r>
          </w:p>
        </w:tc>
        <w:tc>
          <w:tcPr>
            <w:tcW w:w="669" w:type="pct"/>
            <w:noWrap/>
            <w:vAlign w:val="center"/>
          </w:tcPr>
          <w:p w14:paraId="0586F06D">
            <w:pPr>
              <w:pStyle w:val="1080"/>
              <w:spacing w:line="360" w:lineRule="exact"/>
              <w:rPr>
                <w:rFonts w:cs="Times New Roman"/>
                <w:color w:val="000000"/>
              </w:rPr>
            </w:pPr>
            <w:r>
              <w:rPr>
                <w:rFonts w:hint="eastAsia" w:cs="Times New Roman"/>
                <w:color w:val="000000"/>
              </w:rPr>
              <w:t>0.001</w:t>
            </w:r>
          </w:p>
        </w:tc>
      </w:tr>
      <w:tr w14:paraId="62AFC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48459465">
            <w:pPr>
              <w:pStyle w:val="1080"/>
              <w:spacing w:line="360" w:lineRule="exact"/>
              <w:rPr>
                <w:rFonts w:cs="Times New Roman"/>
                <w:color w:val="000000"/>
              </w:rPr>
            </w:pPr>
          </w:p>
        </w:tc>
        <w:tc>
          <w:tcPr>
            <w:tcW w:w="568" w:type="pct"/>
            <w:noWrap/>
            <w:vAlign w:val="center"/>
          </w:tcPr>
          <w:p w14:paraId="305ACB65">
            <w:pPr>
              <w:pStyle w:val="1080"/>
              <w:spacing w:line="360" w:lineRule="exact"/>
              <w:rPr>
                <w:rFonts w:cs="Times New Roman"/>
                <w:color w:val="000000"/>
              </w:rPr>
            </w:pPr>
          </w:p>
        </w:tc>
        <w:tc>
          <w:tcPr>
            <w:tcW w:w="546" w:type="pct"/>
            <w:vAlign w:val="center"/>
          </w:tcPr>
          <w:p w14:paraId="2639C054">
            <w:pPr>
              <w:pStyle w:val="1080"/>
              <w:spacing w:line="360" w:lineRule="exact"/>
              <w:rPr>
                <w:rFonts w:cs="Times New Roman"/>
                <w:color w:val="000000"/>
              </w:rPr>
            </w:pPr>
          </w:p>
        </w:tc>
        <w:tc>
          <w:tcPr>
            <w:tcW w:w="468" w:type="pct"/>
            <w:vAlign w:val="center"/>
          </w:tcPr>
          <w:p w14:paraId="109419CE">
            <w:pPr>
              <w:pStyle w:val="1080"/>
              <w:spacing w:line="360" w:lineRule="exact"/>
              <w:rPr>
                <w:rFonts w:cs="Times New Roman"/>
                <w:color w:val="000000"/>
              </w:rPr>
            </w:pPr>
          </w:p>
        </w:tc>
        <w:tc>
          <w:tcPr>
            <w:tcW w:w="834" w:type="pct"/>
            <w:vAlign w:val="center"/>
          </w:tcPr>
          <w:p w14:paraId="1CAEABA9">
            <w:pPr>
              <w:pStyle w:val="1080"/>
              <w:spacing w:line="360" w:lineRule="exact"/>
              <w:rPr>
                <w:rFonts w:cs="Times New Roman"/>
                <w:color w:val="000000"/>
              </w:rPr>
            </w:pPr>
            <w:r>
              <w:rPr>
                <w:rFonts w:hint="eastAsia" w:cs="Times New Roman"/>
                <w:color w:val="000000"/>
              </w:rPr>
              <w:t>烟气排放</w:t>
            </w:r>
          </w:p>
        </w:tc>
        <w:tc>
          <w:tcPr>
            <w:tcW w:w="801" w:type="pct"/>
            <w:vAlign w:val="center"/>
          </w:tcPr>
          <w:p w14:paraId="73FC323B">
            <w:pPr>
              <w:pStyle w:val="1080"/>
              <w:spacing w:line="360" w:lineRule="exact"/>
              <w:rPr>
                <w:rFonts w:cs="Times New Roman"/>
                <w:color w:val="000000"/>
              </w:rPr>
            </w:pPr>
            <w:r>
              <w:rPr>
                <w:rFonts w:cs="Times New Roman"/>
                <w:szCs w:val="24"/>
              </w:rPr>
              <w:t>3396</w:t>
            </w:r>
            <w:r>
              <w:rPr>
                <w:rFonts w:hint="eastAsia" w:cs="Times New Roman"/>
              </w:rPr>
              <w:t>61.52</w:t>
            </w:r>
          </w:p>
        </w:tc>
        <w:tc>
          <w:tcPr>
            <w:tcW w:w="546" w:type="pct"/>
            <w:vAlign w:val="center"/>
          </w:tcPr>
          <w:p w14:paraId="2D1FF859">
            <w:pPr>
              <w:pStyle w:val="1080"/>
              <w:spacing w:line="360" w:lineRule="exact"/>
              <w:rPr>
                <w:rFonts w:cs="Times New Roman"/>
                <w:color w:val="000000"/>
              </w:rPr>
            </w:pPr>
          </w:p>
        </w:tc>
        <w:tc>
          <w:tcPr>
            <w:tcW w:w="669" w:type="pct"/>
            <w:noWrap/>
            <w:vAlign w:val="center"/>
          </w:tcPr>
          <w:p w14:paraId="3E872C00">
            <w:pPr>
              <w:pStyle w:val="1080"/>
              <w:spacing w:line="360" w:lineRule="exact"/>
              <w:rPr>
                <w:rFonts w:cs="Times New Roman"/>
                <w:color w:val="000000"/>
              </w:rPr>
            </w:pPr>
            <w:r>
              <w:rPr>
                <w:rFonts w:hint="eastAsia" w:cs="Times New Roman"/>
                <w:color w:val="000000"/>
              </w:rPr>
              <w:t>387.70</w:t>
            </w:r>
          </w:p>
        </w:tc>
      </w:tr>
      <w:tr w14:paraId="639C3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568" w:type="pct"/>
            <w:vAlign w:val="center"/>
          </w:tcPr>
          <w:p w14:paraId="0BBD2C89">
            <w:pPr>
              <w:pStyle w:val="1080"/>
              <w:spacing w:line="360" w:lineRule="exact"/>
              <w:rPr>
                <w:rFonts w:cs="Times New Roman"/>
                <w:color w:val="000000"/>
              </w:rPr>
            </w:pPr>
          </w:p>
        </w:tc>
        <w:tc>
          <w:tcPr>
            <w:tcW w:w="568" w:type="pct"/>
            <w:noWrap/>
            <w:vAlign w:val="center"/>
          </w:tcPr>
          <w:p w14:paraId="73623837">
            <w:pPr>
              <w:pStyle w:val="1080"/>
              <w:spacing w:line="360" w:lineRule="exact"/>
              <w:rPr>
                <w:rFonts w:cs="Times New Roman"/>
                <w:color w:val="000000"/>
              </w:rPr>
            </w:pPr>
          </w:p>
        </w:tc>
        <w:tc>
          <w:tcPr>
            <w:tcW w:w="546" w:type="pct"/>
            <w:vAlign w:val="center"/>
          </w:tcPr>
          <w:p w14:paraId="1A139BE1">
            <w:pPr>
              <w:pStyle w:val="1080"/>
              <w:spacing w:line="360" w:lineRule="exact"/>
              <w:rPr>
                <w:rFonts w:cs="Times New Roman"/>
                <w:color w:val="000000"/>
              </w:rPr>
            </w:pPr>
          </w:p>
        </w:tc>
        <w:tc>
          <w:tcPr>
            <w:tcW w:w="468" w:type="pct"/>
            <w:vAlign w:val="center"/>
          </w:tcPr>
          <w:p w14:paraId="7D4FD0FD">
            <w:pPr>
              <w:pStyle w:val="1080"/>
              <w:spacing w:line="360" w:lineRule="exact"/>
              <w:rPr>
                <w:rFonts w:cs="Times New Roman"/>
                <w:color w:val="000000"/>
              </w:rPr>
            </w:pPr>
          </w:p>
        </w:tc>
        <w:tc>
          <w:tcPr>
            <w:tcW w:w="834" w:type="pct"/>
            <w:vAlign w:val="center"/>
          </w:tcPr>
          <w:p w14:paraId="7A117A56">
            <w:pPr>
              <w:pStyle w:val="1080"/>
              <w:spacing w:line="360" w:lineRule="exact"/>
              <w:rPr>
                <w:rFonts w:cs="Times New Roman"/>
                <w:color w:val="000000"/>
              </w:rPr>
            </w:pPr>
            <w:r>
              <w:rPr>
                <w:rFonts w:hint="eastAsia" w:cs="Times New Roman"/>
              </w:rPr>
              <w:t>无组织排放</w:t>
            </w:r>
          </w:p>
        </w:tc>
        <w:tc>
          <w:tcPr>
            <w:tcW w:w="801" w:type="pct"/>
            <w:vAlign w:val="center"/>
          </w:tcPr>
          <w:p w14:paraId="0B8F1BF9">
            <w:pPr>
              <w:pStyle w:val="1080"/>
              <w:spacing w:line="360" w:lineRule="exact"/>
              <w:rPr>
                <w:rFonts w:cs="Times New Roman"/>
                <w:color w:val="000000"/>
              </w:rPr>
            </w:pPr>
            <w:r>
              <w:rPr>
                <w:rFonts w:hint="eastAsia" w:cs="Times New Roman"/>
              </w:rPr>
              <w:t>9.75</w:t>
            </w:r>
          </w:p>
        </w:tc>
        <w:tc>
          <w:tcPr>
            <w:tcW w:w="546" w:type="pct"/>
            <w:vAlign w:val="center"/>
          </w:tcPr>
          <w:p w14:paraId="0C30D423">
            <w:pPr>
              <w:pStyle w:val="1080"/>
              <w:spacing w:line="360" w:lineRule="exact"/>
              <w:rPr>
                <w:rFonts w:cs="Times New Roman"/>
                <w:color w:val="000000"/>
              </w:rPr>
            </w:pPr>
          </w:p>
        </w:tc>
        <w:tc>
          <w:tcPr>
            <w:tcW w:w="669" w:type="pct"/>
            <w:noWrap/>
            <w:vAlign w:val="center"/>
          </w:tcPr>
          <w:p w14:paraId="4846EA6D">
            <w:pPr>
              <w:pStyle w:val="1080"/>
              <w:spacing w:line="360" w:lineRule="exact"/>
              <w:rPr>
                <w:rFonts w:cs="Times New Roman"/>
                <w:color w:val="000000"/>
              </w:rPr>
            </w:pPr>
            <w:r>
              <w:rPr>
                <w:rFonts w:hint="eastAsia" w:cs="Times New Roman"/>
                <w:color w:val="000000"/>
              </w:rPr>
              <w:t>7.75</w:t>
            </w:r>
          </w:p>
        </w:tc>
      </w:tr>
      <w:tr w14:paraId="48CA7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0" w:hRule="atLeast"/>
        </w:trPr>
        <w:tc>
          <w:tcPr>
            <w:tcW w:w="1682" w:type="pct"/>
            <w:gridSpan w:val="3"/>
            <w:noWrap/>
            <w:vAlign w:val="center"/>
          </w:tcPr>
          <w:p w14:paraId="7BAE1582">
            <w:pPr>
              <w:pStyle w:val="1080"/>
              <w:spacing w:line="320" w:lineRule="exact"/>
              <w:rPr>
                <w:rFonts w:cs="Times New Roman"/>
              </w:rPr>
            </w:pPr>
            <w:r>
              <w:rPr>
                <w:rFonts w:cs="Times New Roman"/>
              </w:rPr>
              <w:t>合计</w:t>
            </w:r>
          </w:p>
        </w:tc>
        <w:tc>
          <w:tcPr>
            <w:tcW w:w="468" w:type="pct"/>
            <w:vAlign w:val="center"/>
          </w:tcPr>
          <w:p w14:paraId="607C22B9">
            <w:pPr>
              <w:pStyle w:val="1080"/>
              <w:spacing w:line="320" w:lineRule="exact"/>
              <w:rPr>
                <w:rFonts w:cs="Times New Roman"/>
              </w:rPr>
            </w:pPr>
            <w:bookmarkStart w:id="342" w:name="OLE_LINK46"/>
            <w:r>
              <w:rPr>
                <w:rFonts w:hint="eastAsia" w:cs="Times New Roman"/>
              </w:rPr>
              <w:t>418.46</w:t>
            </w:r>
            <w:bookmarkEnd w:id="342"/>
          </w:p>
        </w:tc>
        <w:tc>
          <w:tcPr>
            <w:tcW w:w="2181" w:type="pct"/>
            <w:gridSpan w:val="3"/>
            <w:noWrap/>
            <w:vAlign w:val="center"/>
          </w:tcPr>
          <w:p w14:paraId="154CEED9">
            <w:pPr>
              <w:pStyle w:val="1080"/>
              <w:spacing w:line="320" w:lineRule="exact"/>
              <w:rPr>
                <w:rFonts w:cs="Times New Roman"/>
              </w:rPr>
            </w:pPr>
            <w:r>
              <w:rPr>
                <w:rFonts w:cs="Times New Roman"/>
              </w:rPr>
              <w:t>合计</w:t>
            </w:r>
          </w:p>
        </w:tc>
        <w:tc>
          <w:tcPr>
            <w:tcW w:w="669" w:type="pct"/>
            <w:noWrap/>
            <w:vAlign w:val="center"/>
          </w:tcPr>
          <w:p w14:paraId="4373B3ED">
            <w:pPr>
              <w:pStyle w:val="1080"/>
              <w:spacing w:line="360" w:lineRule="exact"/>
              <w:rPr>
                <w:rFonts w:cs="Times New Roman"/>
                <w:color w:val="000000"/>
              </w:rPr>
            </w:pPr>
            <w:r>
              <w:rPr>
                <w:rFonts w:hint="eastAsia" w:cs="Times New Roman"/>
              </w:rPr>
              <w:t>418.46</w:t>
            </w:r>
          </w:p>
        </w:tc>
      </w:tr>
    </w:tbl>
    <w:p w14:paraId="19EAC1B4">
      <w:pPr>
        <w:pStyle w:val="138"/>
        <w:rPr>
          <w:rFonts w:hint="eastAsia"/>
        </w:rPr>
      </w:pPr>
      <w:r>
        <w:rPr>
          <w:rFonts w:hint="eastAsia"/>
        </w:rPr>
        <w:t>污染源源强核算</w:t>
      </w:r>
    </w:p>
    <w:p w14:paraId="5E15DA59">
      <w:pPr>
        <w:pStyle w:val="944"/>
      </w:pPr>
      <w:r>
        <w:t>废气</w:t>
      </w:r>
    </w:p>
    <w:p w14:paraId="07667EDF">
      <w:pPr>
        <w:ind w:firstLine="480"/>
      </w:pPr>
      <w:r>
        <w:rPr>
          <w:rFonts w:hint="eastAsia"/>
        </w:rPr>
        <w:t>（1）</w:t>
      </w:r>
      <w:r>
        <w:t>有组织废气</w:t>
      </w:r>
    </w:p>
    <w:p w14:paraId="021DF221">
      <w:pPr>
        <w:pStyle w:val="117"/>
        <w:ind w:firstLine="480"/>
      </w:pPr>
      <w:r>
        <w:t>本次废气污染源强参考《污染源源强核算技术指南准则》（HJ884-2018）中核算方法的确定原则核算</w:t>
      </w:r>
      <w:r>
        <w:rPr>
          <w:rFonts w:hint="eastAsia"/>
        </w:rPr>
        <w:t>硅铁合金生产线</w:t>
      </w:r>
      <w:r>
        <w:t>的污染物，根据该指南明确提出“新（改、扩）建工程污染源源强的核算方法，应依据污染源和污染物特性确定核算方法的优先级别，不断提高产污系数法、排污系数法的适用性和准确性”和“污染源源强核算可采用实测法、物料衡算法、产污系数法、排污系数法、类比法和实验法等方法”，同时根据《排污许可证申请与核发技术规范铁合金、电解锰工业》（HJ1117-2020）提出</w:t>
      </w:r>
      <w:r>
        <w:rPr>
          <w:rFonts w:hint="eastAsia"/>
        </w:rPr>
        <w:t>的</w:t>
      </w:r>
      <w:r>
        <w:t>合规判定方法“铁合金排污单位各废气排放口和无组织排放污染物的排放浓度合规是指任一小时浓度均值均满足许可排放浓度要求，各项废气污染物小时浓度均值根据排污单位自行监测（包括自动监测和手工监测）、执法监测进行确定”判定依据</w:t>
      </w:r>
      <w:r>
        <w:rPr>
          <w:rFonts w:hint="eastAsia"/>
        </w:rPr>
        <w:t>。环评</w:t>
      </w:r>
      <w:r>
        <w:t>在参考上述准则的原则基础上结合</w:t>
      </w:r>
      <w:r>
        <w:rPr>
          <w:rFonts w:hint="eastAsia"/>
        </w:rPr>
        <w:t>硅铁合金生产线</w:t>
      </w:r>
      <w:r>
        <w:t>特点</w:t>
      </w:r>
      <w:r>
        <w:rPr>
          <w:rFonts w:hint="eastAsia"/>
        </w:rPr>
        <w:t>及现有工程污染物排放情况</w:t>
      </w:r>
      <w:r>
        <w:t>，主要采取</w:t>
      </w:r>
      <w:r>
        <w:rPr>
          <w:rFonts w:hint="eastAsia"/>
        </w:rPr>
        <w:t>类比法</w:t>
      </w:r>
      <w:r>
        <w:t>确定废气污染物的源强。</w:t>
      </w:r>
    </w:p>
    <w:p w14:paraId="51DE898B">
      <w:pPr>
        <w:ind w:firstLine="480"/>
      </w:pPr>
      <w:r>
        <w:rPr>
          <w:rFonts w:hint="eastAsia"/>
        </w:rPr>
        <w:t>现有工程</w:t>
      </w:r>
      <w:r>
        <w:t>生产硅铁合金</w:t>
      </w:r>
      <w:r>
        <w:rPr>
          <w:rFonts w:hint="eastAsia"/>
        </w:rPr>
        <w:t>4.3</w:t>
      </w:r>
      <w:r>
        <w:t>万t/a，</w:t>
      </w:r>
      <w:r>
        <w:rPr>
          <w:rFonts w:hint="eastAsia"/>
        </w:rPr>
        <w:t>本项目将现有22500kVA电炉改造为33000kVA电炉，其他生产设施及环保设施不发生变化，技改完成后</w:t>
      </w:r>
      <w:r>
        <w:t>生产硅铁合金</w:t>
      </w:r>
      <w:r>
        <w:rPr>
          <w:rFonts w:hint="eastAsia"/>
        </w:rPr>
        <w:t>5.6</w:t>
      </w:r>
      <w:r>
        <w:t>万t/a</w:t>
      </w:r>
      <w:r>
        <w:rPr>
          <w:rFonts w:hint="eastAsia"/>
        </w:rPr>
        <w:t>，新增1.3万t/a硅铁合金产能，产能提高约30%</w:t>
      </w:r>
      <w:r>
        <w:t>。</w:t>
      </w:r>
      <w:r>
        <w:rPr>
          <w:rFonts w:hint="eastAsia"/>
        </w:rPr>
        <w:t>本装置有组织及无组织废气排放污染物源强均类比企业现有装置2023年上半年及下半年污染物排放例行监测数据或2023年全年在线监测数据。</w:t>
      </w:r>
    </w:p>
    <w:p w14:paraId="614F841F">
      <w:pPr>
        <w:ind w:firstLine="480"/>
      </w:pPr>
      <w:r>
        <w:rPr>
          <w:rFonts w:hint="eastAsia"/>
        </w:rPr>
        <w:t>（1）硅铁上料废气（G</w:t>
      </w:r>
      <w:r>
        <w:rPr>
          <w:rFonts w:hint="eastAsia"/>
          <w:vertAlign w:val="subscript"/>
        </w:rPr>
        <w:t>2-1</w:t>
      </w:r>
      <w:r>
        <w:rPr>
          <w:rFonts w:hint="eastAsia"/>
        </w:rPr>
        <w:t>）</w:t>
      </w:r>
    </w:p>
    <w:p w14:paraId="428C75F3">
      <w:pPr>
        <w:pStyle w:val="38"/>
        <w:spacing w:line="360" w:lineRule="auto"/>
        <w:ind w:firstLine="480"/>
      </w:pPr>
      <w:r>
        <w:t>硅石、球团</w:t>
      </w:r>
      <w:r>
        <w:rPr>
          <w:rFonts w:hint="eastAsia"/>
        </w:rPr>
        <w:t>、</w:t>
      </w:r>
      <w:r>
        <w:t>兰炭</w:t>
      </w:r>
      <w:r>
        <w:rPr>
          <w:rFonts w:hint="eastAsia"/>
        </w:rPr>
        <w:t>等原料经皮带廊道输送至</w:t>
      </w:r>
      <w:r>
        <w:t>密闭配料间</w:t>
      </w:r>
      <w:r>
        <w:rPr>
          <w:rFonts w:hint="eastAsia"/>
        </w:rPr>
        <w:t>，</w:t>
      </w:r>
      <w:r>
        <w:t>按照配比进行配料</w:t>
      </w:r>
      <w:r>
        <w:rPr>
          <w:rFonts w:hint="eastAsia"/>
        </w:rPr>
        <w:t>后上料至电炉</w:t>
      </w:r>
      <w:r>
        <w:t>。在</w:t>
      </w:r>
      <w:r>
        <w:rPr>
          <w:rFonts w:hint="eastAsia"/>
        </w:rPr>
        <w:t>皮带输送廊道、</w:t>
      </w:r>
      <w:r>
        <w:t>振动筛</w:t>
      </w:r>
      <w:r>
        <w:rPr>
          <w:rFonts w:hint="eastAsia"/>
        </w:rPr>
        <w:t>及上料平台等</w:t>
      </w:r>
      <w:r>
        <w:t>产尘点设置集气装置，</w:t>
      </w:r>
      <w:r>
        <w:rPr>
          <w:rFonts w:hint="eastAsia"/>
        </w:rPr>
        <w:t>收集的含尘废气</w:t>
      </w:r>
      <w:r>
        <w:t>通过布袋除尘器处理后外排。</w:t>
      </w:r>
      <w:r>
        <w:rPr>
          <w:spacing w:val="-2"/>
        </w:rPr>
        <w:t>粉尘收集率参考《袋式除尘工程通用技术规范》（HJ2020-2012）中6.2.8半密闭集尘罩粉尘收集效率不低于95%</w:t>
      </w:r>
      <w:r>
        <w:rPr>
          <w:rFonts w:hint="eastAsia"/>
          <w:spacing w:val="-2"/>
        </w:rPr>
        <w:t>。</w:t>
      </w:r>
    </w:p>
    <w:p w14:paraId="2195B934">
      <w:pPr>
        <w:pStyle w:val="117"/>
        <w:ind w:firstLine="480"/>
      </w:pPr>
      <w:r>
        <w:rPr>
          <w:rFonts w:hint="eastAsia"/>
        </w:rPr>
        <w:t>现有工程的硅铁上料废气颗粒物最大排放速率为0.07kg/h，技改完成后颗粒物最大排放速率为0.09kg/h，年排放时长约4000h。上料废气采用布袋除尘器处理，除尘效率按99%计，则硅铁上料废气颗粒物收集量为36.47t/a。上料废气集气罩的集气效率95%，则硅铁上料废气颗粒物产生量为38.38t/a，未收集到的5%颗粒物约1.92t/a，密闭式生产车间的粉尘控制效率按99%计，则车间无组织排放颗粒物0.02t/a、其他颗粒物沉降在熔炼车间内。</w:t>
      </w:r>
    </w:p>
    <w:p w14:paraId="07EED623">
      <w:pPr>
        <w:pStyle w:val="117"/>
        <w:ind w:firstLine="480"/>
        <w:rPr>
          <w:rFonts w:cs="Times New Roman"/>
        </w:rPr>
      </w:pPr>
      <w:r>
        <w:t>根据</w:t>
      </w:r>
      <w:r>
        <w:rPr>
          <w:rFonts w:hint="eastAsia"/>
        </w:rPr>
        <w:t>硅铁上料废气</w:t>
      </w:r>
      <w:r>
        <w:t>颗粒物产生量及收集效率计算，</w:t>
      </w:r>
      <w:r>
        <w:rPr>
          <w:rFonts w:hint="eastAsia"/>
        </w:rPr>
        <w:t>硅铁上料废气中颗粒物产生速率为9.12kg/h，上料</w:t>
      </w:r>
      <w:r>
        <w:t>废气集气风机的风量为</w:t>
      </w:r>
      <w:r>
        <w:rPr>
          <w:rFonts w:hint="eastAsia"/>
        </w:rPr>
        <w:t>25500</w:t>
      </w:r>
      <w:r>
        <w:t>m³/h</w:t>
      </w:r>
      <w:r>
        <w:rPr>
          <w:rFonts w:hint="eastAsia"/>
        </w:rPr>
        <w:t>，</w:t>
      </w:r>
      <w:r>
        <w:t>颗粒物产生浓度为</w:t>
      </w:r>
      <w:r>
        <w:rPr>
          <w:rFonts w:hint="eastAsia"/>
        </w:rPr>
        <w:t>357.5</w:t>
      </w:r>
      <w:r>
        <w:t>mg/m³，废气送布袋除尘器处理，除尘效率按9</w:t>
      </w:r>
      <w:r>
        <w:rPr>
          <w:rFonts w:hint="eastAsia"/>
        </w:rPr>
        <w:t>9</w:t>
      </w:r>
      <w:r>
        <w:t>%计，颗粒物排放浓度</w:t>
      </w:r>
      <w:r>
        <w:rPr>
          <w:rFonts w:hint="eastAsia"/>
        </w:rPr>
        <w:t>3.6</w:t>
      </w:r>
      <w:r>
        <w:t>mg/m³，</w:t>
      </w:r>
      <w:r>
        <w:rPr>
          <w:rFonts w:hint="eastAsia"/>
        </w:rPr>
        <w:t>废气</w:t>
      </w:r>
      <w:r>
        <w:t>经20m排气筒排放</w:t>
      </w:r>
      <w:r>
        <w:rPr>
          <w:rFonts w:hint="eastAsia"/>
        </w:rPr>
        <w:t>可</w:t>
      </w:r>
      <w:r>
        <w:t>达到《铁合金工业污染物排放标准》（GB28666-2012）中表5排放浓度限值。</w:t>
      </w:r>
    </w:p>
    <w:p w14:paraId="7099B2CF">
      <w:pPr>
        <w:pStyle w:val="117"/>
        <w:ind w:firstLine="480"/>
        <w:rPr>
          <w:rFonts w:cs="Times New Roman"/>
          <w:lang w:val="zh-CN"/>
        </w:rPr>
      </w:pPr>
      <w:r>
        <w:rPr>
          <w:rFonts w:cs="Times New Roman"/>
        </w:rPr>
        <w:t>（</w:t>
      </w:r>
      <w:r>
        <w:rPr>
          <w:rFonts w:hint="eastAsia" w:cs="Times New Roman"/>
        </w:rPr>
        <w:t>2</w:t>
      </w:r>
      <w:r>
        <w:rPr>
          <w:rFonts w:cs="Times New Roman"/>
        </w:rPr>
        <w:t>）</w:t>
      </w:r>
      <w:r>
        <w:rPr>
          <w:rFonts w:hint="eastAsia" w:cs="Times New Roman"/>
        </w:rPr>
        <w:t>硅铁</w:t>
      </w:r>
      <w:r>
        <w:rPr>
          <w:rFonts w:cs="Times New Roman"/>
        </w:rPr>
        <w:t>矿热炉烟气（</w:t>
      </w:r>
      <w:r>
        <w:rPr>
          <w:rFonts w:hint="eastAsia" w:cs="Times New Roman"/>
          <w:szCs w:val="28"/>
        </w:rPr>
        <w:t>G</w:t>
      </w:r>
      <w:r>
        <w:rPr>
          <w:rFonts w:hint="eastAsia" w:cs="Times New Roman"/>
          <w:szCs w:val="28"/>
          <w:vertAlign w:val="subscript"/>
        </w:rPr>
        <w:t>2-2</w:t>
      </w:r>
      <w:r>
        <w:rPr>
          <w:rFonts w:cs="Times New Roman"/>
        </w:rPr>
        <w:t>）</w:t>
      </w:r>
    </w:p>
    <w:p w14:paraId="536DB4F2">
      <w:pPr>
        <w:pStyle w:val="117"/>
        <w:ind w:firstLine="480"/>
      </w:pPr>
      <w:r>
        <w:rPr>
          <w:rFonts w:cs="Times New Roman"/>
        </w:rPr>
        <w:t>矿热炉冶炼的废气主要有颗粒物、氮氧化物及二氧化硫。</w:t>
      </w:r>
      <w:r>
        <w:rPr>
          <w:rFonts w:hint="eastAsia" w:cs="Times New Roman"/>
        </w:rPr>
        <w:t>根据《新疆金盛镁业有限公司镁合金产业循环经济建设项目环境影响报告书》及《关于新疆金盛镁业有限公司镁合金产业循环经济建设项目环境影响报告书的批复》（新环评价函〔2012〕1185号），本装置矿热炉烟气中颗粒物执行</w:t>
      </w:r>
      <w:r>
        <w:t>《铁合金工业污染物排放标准》（GB</w:t>
      </w:r>
      <w:r>
        <w:rPr>
          <w:rFonts w:hint="eastAsia"/>
        </w:rPr>
        <w:t xml:space="preserve"> </w:t>
      </w:r>
      <w:r>
        <w:t>28666-2012）</w:t>
      </w:r>
      <w:r>
        <w:rPr>
          <w:rFonts w:hint="eastAsia"/>
        </w:rPr>
        <w:t>表5标准。</w:t>
      </w:r>
    </w:p>
    <w:p w14:paraId="32C38A99">
      <w:pPr>
        <w:pStyle w:val="117"/>
        <w:ind w:firstLine="480"/>
        <w:rPr>
          <w:rFonts w:cs="Times New Roman"/>
        </w:rPr>
      </w:pPr>
      <w:r>
        <w:rPr>
          <w:rFonts w:cs="Times New Roman"/>
        </w:rPr>
        <w:t>本项目采用半封闭矮烟罩矿热炉，炉体为负压状态。矿热炉产生的烟气经低矮烟罩收集，烟罩内吸风负压操作，收集的高温烟气经排烟管道引出</w:t>
      </w:r>
      <w:r>
        <w:rPr>
          <w:rFonts w:hint="eastAsia" w:cs="Times New Roman"/>
        </w:rPr>
        <w:t>，</w:t>
      </w:r>
      <w:r>
        <w:rPr>
          <w:rFonts w:cs="Times New Roman"/>
        </w:rPr>
        <w:t>进入布袋除尘器处理后排放。</w:t>
      </w:r>
    </w:p>
    <w:p w14:paraId="12A8CB87">
      <w:pPr>
        <w:pStyle w:val="117"/>
        <w:ind w:firstLine="480"/>
        <w:rPr>
          <w:rFonts w:cs="Times New Roman"/>
        </w:rPr>
      </w:pPr>
      <w:r>
        <w:rPr>
          <w:rFonts w:hint="eastAsia"/>
        </w:rPr>
        <w:t>硅铁合金生产线</w:t>
      </w:r>
      <w:r>
        <w:rPr>
          <w:rFonts w:cs="Times New Roman"/>
        </w:rPr>
        <w:t>设</w:t>
      </w:r>
      <w:r>
        <w:rPr>
          <w:rFonts w:hint="eastAsia" w:cs="Times New Roman"/>
        </w:rPr>
        <w:t>2</w:t>
      </w:r>
      <w:r>
        <w:rPr>
          <w:rFonts w:cs="Times New Roman"/>
        </w:rPr>
        <w:t>台</w:t>
      </w:r>
      <w:r>
        <w:rPr>
          <w:rFonts w:hint="eastAsia"/>
        </w:rPr>
        <w:t>33000kVA</w:t>
      </w:r>
      <w:r>
        <w:rPr>
          <w:rFonts w:cs="Times New Roman"/>
        </w:rPr>
        <w:t>硅铁矿热炉，每台矿热炉</w:t>
      </w:r>
      <w:r>
        <w:rPr>
          <w:rFonts w:hint="eastAsia" w:cs="Times New Roman"/>
        </w:rPr>
        <w:t>烟气处理</w:t>
      </w:r>
      <w:r>
        <w:rPr>
          <w:rFonts w:cs="Times New Roman"/>
        </w:rPr>
        <w:t>设1套除尘系统</w:t>
      </w:r>
      <w:r>
        <w:rPr>
          <w:rFonts w:hint="eastAsia" w:cs="Times New Roman"/>
        </w:rPr>
        <w:t>，两套除尘系统</w:t>
      </w:r>
      <w:r>
        <w:rPr>
          <w:rFonts w:cs="Times New Roman"/>
        </w:rPr>
        <w:t>合用1个排气筒。矿热炉采用大风机负压抽风，每个大炉门处设置一个气封机构，气封机构设置在大炉门和侧壁间，有利于烟气捕集，捕集率达99%以上。</w:t>
      </w:r>
      <w:r>
        <w:rPr>
          <w:rFonts w:hint="eastAsia" w:cs="Times New Roman"/>
        </w:rPr>
        <w:t>环评按</w:t>
      </w:r>
      <w:r>
        <w:rPr>
          <w:rFonts w:cs="Times New Roman"/>
        </w:rPr>
        <w:t>集气效率99%计，未被集气罩收集的</w:t>
      </w:r>
      <w:r>
        <w:rPr>
          <w:rFonts w:hint="eastAsia" w:cs="Times New Roman"/>
        </w:rPr>
        <w:t>污染物</w:t>
      </w:r>
      <w:r>
        <w:rPr>
          <w:rFonts w:cs="Times New Roman"/>
        </w:rPr>
        <w:t>无组织排放，粉尘部分沉降在熔炼车间，部分无组织排放。每座矿热炉烟气净化系统集气风机的风量均为28</w:t>
      </w:r>
      <w:r>
        <w:rPr>
          <w:rFonts w:hint="eastAsia" w:cs="Times New Roman"/>
        </w:rPr>
        <w:t>万</w:t>
      </w:r>
      <w:r>
        <w:rPr>
          <w:rFonts w:cs="Times New Roman"/>
        </w:rPr>
        <w:t>m³/h，2台炉合用1个排气筒的烟气排放量56</w:t>
      </w:r>
      <w:r>
        <w:rPr>
          <w:rFonts w:hint="eastAsia" w:cs="Times New Roman"/>
        </w:rPr>
        <w:t>万</w:t>
      </w:r>
      <w:r>
        <w:rPr>
          <w:rFonts w:cs="Times New Roman"/>
        </w:rPr>
        <w:t>m³/h。</w:t>
      </w:r>
    </w:p>
    <w:p w14:paraId="7094B981">
      <w:pPr>
        <w:pStyle w:val="117"/>
        <w:ind w:firstLine="480"/>
      </w:pPr>
      <w:r>
        <w:rPr>
          <w:rFonts w:hint="eastAsia"/>
        </w:rPr>
        <w:t>根据2023年在线监测统计数据及物料平衡核算，矿热炉烟气全年排放56.074t/a颗粒物。类比现有工程颗粒物产生源强，本项目矿热炉烟气颗粒物产生量为7376.42t/a，考虑到</w:t>
      </w:r>
      <w:r>
        <w:rPr>
          <w:rFonts w:cs="Times New Roman"/>
        </w:rPr>
        <w:t>矿热炉</w:t>
      </w:r>
      <w:r>
        <w:rPr>
          <w:rFonts w:hint="eastAsia" w:cs="Times New Roman"/>
        </w:rPr>
        <w:t>烟气捕集效率按99%计</w:t>
      </w:r>
      <w:r>
        <w:rPr>
          <w:rFonts w:hint="eastAsia"/>
        </w:rPr>
        <w:t>，矿热炉收集到的颗粒物7302.66t/a，未收集到的1%颗粒物约73.03t/a，密闭式生产车间的粉尘控制效率按99%计，则车间无组织排放颗粒物0.74t/a、其他颗粒物沉降在熔炼车间内。综上分析，技改完成后矿热炉烟气中颗粒物产生速率922.05kg/h，产生</w:t>
      </w:r>
      <w:r>
        <w:t>浓度</w:t>
      </w:r>
      <w:r>
        <w:rPr>
          <w:rFonts w:hint="eastAsia"/>
        </w:rPr>
        <w:t>1646.5</w:t>
      </w:r>
      <w:r>
        <w:t>mg/m³</w:t>
      </w:r>
      <w:r>
        <w:rPr>
          <w:rFonts w:hint="eastAsia"/>
        </w:rPr>
        <w:t>。</w:t>
      </w:r>
      <w:r>
        <w:t>废气送布袋除尘器处理，除尘效率按9</w:t>
      </w:r>
      <w:r>
        <w:rPr>
          <w:rFonts w:hint="eastAsia"/>
        </w:rPr>
        <w:t>9</w:t>
      </w:r>
      <w:r>
        <w:t>%计，颗粒物排放浓度</w:t>
      </w:r>
      <w:r>
        <w:rPr>
          <w:rFonts w:hint="eastAsia"/>
        </w:rPr>
        <w:t>16.5</w:t>
      </w:r>
      <w:r>
        <w:t>mg/m³</w:t>
      </w:r>
      <w:r>
        <w:rPr>
          <w:rFonts w:hint="eastAsia"/>
        </w:rPr>
        <w:t>。废气</w:t>
      </w:r>
      <w:r>
        <w:t>经</w:t>
      </w:r>
      <w:r>
        <w:rPr>
          <w:rFonts w:hint="eastAsia"/>
        </w:rPr>
        <w:t>6</w:t>
      </w:r>
      <w:r>
        <w:t>0m排气筒排放</w:t>
      </w:r>
      <w:r>
        <w:rPr>
          <w:rFonts w:hint="eastAsia"/>
        </w:rPr>
        <w:t>，颗粒物排放可</w:t>
      </w:r>
      <w:r>
        <w:t>达到《铁合金工业污染物排放标准》（GB28666-2012）中表5排放浓度限值</w:t>
      </w:r>
      <w:r>
        <w:rPr>
          <w:rFonts w:hint="eastAsia"/>
        </w:rPr>
        <w:t>。</w:t>
      </w:r>
    </w:p>
    <w:p w14:paraId="149D844D">
      <w:pPr>
        <w:pStyle w:val="117"/>
        <w:ind w:firstLine="480"/>
      </w:pPr>
      <w:r>
        <w:rPr>
          <w:rFonts w:hint="eastAsia"/>
        </w:rPr>
        <w:t>根据出入炉物料的硫元素含量经物料平衡核算，矿热炉烟气全年产生的二氧化硫775.4t/a。考虑到</w:t>
      </w:r>
      <w:r>
        <w:rPr>
          <w:rFonts w:cs="Times New Roman"/>
        </w:rPr>
        <w:t>矿热炉</w:t>
      </w:r>
      <w:r>
        <w:rPr>
          <w:rFonts w:hint="eastAsia" w:cs="Times New Roman"/>
        </w:rPr>
        <w:t>烟气捕集效率按99%计</w:t>
      </w:r>
      <w:r>
        <w:rPr>
          <w:rFonts w:hint="eastAsia"/>
        </w:rPr>
        <w:t>，矿热炉收集到的二氧化硫767.65t/a，未收集到的1%二氧化硫约7.75t/a在车间无组织排放。综上分析，矿热炉烟气中二氧化硫产生速率96.93kg/h。则二氧化硫</w:t>
      </w:r>
      <w:r>
        <w:t>排放浓度</w:t>
      </w:r>
      <w:r>
        <w:rPr>
          <w:rFonts w:hint="eastAsia"/>
        </w:rPr>
        <w:t>173.1</w:t>
      </w:r>
      <w:r>
        <w:t>mg/m³</w:t>
      </w:r>
      <w:r>
        <w:rPr>
          <w:rFonts w:hint="eastAsia"/>
        </w:rPr>
        <w:t>。</w:t>
      </w:r>
    </w:p>
    <w:p w14:paraId="79E929F4">
      <w:pPr>
        <w:pStyle w:val="117"/>
        <w:ind w:firstLine="480"/>
      </w:pPr>
      <w:r>
        <w:rPr>
          <w:rFonts w:hint="eastAsia"/>
        </w:rPr>
        <w:t>根据2023年在线监测统计数据核算，矿热炉烟气全年排放118.4t/a氮氧化物。类比现有工程颗粒物产生源强，本项目矿热炉烟气氮氧化物产生量为155.75t/a，考虑到</w:t>
      </w:r>
      <w:r>
        <w:rPr>
          <w:rFonts w:cs="Times New Roman"/>
        </w:rPr>
        <w:t>矿热炉</w:t>
      </w:r>
      <w:r>
        <w:rPr>
          <w:rFonts w:hint="eastAsia" w:cs="Times New Roman"/>
        </w:rPr>
        <w:t>烟气捕集效率按99%计</w:t>
      </w:r>
      <w:r>
        <w:rPr>
          <w:rFonts w:hint="eastAsia"/>
        </w:rPr>
        <w:t>，矿热炉收集到的氮氧化物154.20t/a，未收集到的1%氮氧化物约1.56t/a在车间无组织排放。</w:t>
      </w:r>
    </w:p>
    <w:p w14:paraId="00FB6763">
      <w:pPr>
        <w:ind w:firstLine="480"/>
        <w:rPr>
          <w:lang w:val="zh-CN"/>
        </w:rPr>
      </w:pPr>
      <w:r>
        <w:t>（</w:t>
      </w:r>
      <w:r>
        <w:rPr>
          <w:rFonts w:hint="eastAsia"/>
        </w:rPr>
        <w:t>3</w:t>
      </w:r>
      <w:r>
        <w:t>）</w:t>
      </w:r>
      <w:r>
        <w:rPr>
          <w:rFonts w:hint="eastAsia"/>
        </w:rPr>
        <w:t>硅铁</w:t>
      </w:r>
      <w:r>
        <w:rPr>
          <w:szCs w:val="21"/>
        </w:rPr>
        <w:t>出铁</w:t>
      </w:r>
      <w:r>
        <w:t>浇铸</w:t>
      </w:r>
      <w:r>
        <w:rPr>
          <w:szCs w:val="21"/>
        </w:rPr>
        <w:t>废气</w:t>
      </w:r>
      <w:r>
        <w:t>（</w:t>
      </w:r>
      <w:r>
        <w:rPr>
          <w:rFonts w:hint="eastAsia"/>
          <w:szCs w:val="28"/>
        </w:rPr>
        <w:t>G</w:t>
      </w:r>
      <w:r>
        <w:rPr>
          <w:rFonts w:hint="eastAsia"/>
          <w:szCs w:val="28"/>
          <w:vertAlign w:val="subscript"/>
        </w:rPr>
        <w:t>2-3</w:t>
      </w:r>
      <w:r>
        <w:t>）</w:t>
      </w:r>
    </w:p>
    <w:p w14:paraId="47B9EA40">
      <w:pPr>
        <w:pStyle w:val="117"/>
        <w:ind w:firstLine="480"/>
      </w:pPr>
      <w:r>
        <w:rPr>
          <w:rFonts w:hint="eastAsia"/>
        </w:rPr>
        <w:t>现有工程的出铁口废气采用集气罩收集矿热炉出铁废气，本次技改增加浇铸废气产尘点集气装置，浇铸废气经集气罩收集后并入现有出铁废气合并处理，采用布袋除尘器合并处理后排放。</w:t>
      </w:r>
      <w:r>
        <w:rPr>
          <w:spacing w:val="-2"/>
        </w:rPr>
        <w:t>粉尘收集率参考《袋式除尘工程通用技术规范》（HJ2020-2012）中6.2.8半密闭集尘罩粉尘收集效率不低于95%</w:t>
      </w:r>
      <w:r>
        <w:rPr>
          <w:rFonts w:hint="eastAsia"/>
          <w:spacing w:val="-2"/>
        </w:rPr>
        <w:t>，</w:t>
      </w:r>
      <w:r>
        <w:rPr>
          <w:rFonts w:hint="eastAsia"/>
        </w:rPr>
        <w:t>矿热炉出铁及浇铸废气集气罩的集气效率按95%计。</w:t>
      </w:r>
    </w:p>
    <w:p w14:paraId="425C7650">
      <w:pPr>
        <w:pStyle w:val="117"/>
        <w:ind w:firstLine="480"/>
      </w:pPr>
      <w:r>
        <w:rPr>
          <w:rFonts w:hint="eastAsia"/>
        </w:rPr>
        <w:t>根据</w:t>
      </w:r>
      <w:r>
        <w:t>《逸散性工业粉尘控制技术》中“第十四章 铁合金厂中表14-1铁合金生产的逸散尘排放因子”，冶炼炉出料及浇铸过程颗粒物产污系数分别为6.0kg/t出料及1.2kg/t铸件。</w:t>
      </w:r>
      <w:r>
        <w:rPr>
          <w:rFonts w:hint="eastAsia"/>
        </w:rPr>
        <w:t>即浇铸废气并入出料废气处理后，颗粒物产生量增加约20%。现有工程的硅铁出料废气颗粒物最大排放速率为0.065kg/h，技改完成后颗粒物最大排放速率为0.10kg/h。</w:t>
      </w:r>
      <w:r>
        <w:rPr>
          <w:szCs w:val="21"/>
        </w:rPr>
        <w:t>出铁</w:t>
      </w:r>
      <w:r>
        <w:t>浇铸</w:t>
      </w:r>
      <w:r>
        <w:rPr>
          <w:rFonts w:hint="eastAsia"/>
        </w:rPr>
        <w:t>废气采用布袋除尘器处理，除尘效率按99%计，则</w:t>
      </w:r>
      <w:r>
        <w:rPr>
          <w:szCs w:val="21"/>
        </w:rPr>
        <w:t>出铁</w:t>
      </w:r>
      <w:r>
        <w:t>浇铸</w:t>
      </w:r>
      <w:r>
        <w:rPr>
          <w:rFonts w:hint="eastAsia"/>
        </w:rPr>
        <w:t>废气颗粒物收集量为80.45t/a。上料废气集气罩的集气效率95%，则硅铁上料废气颗粒物产生量为84.69t/a，未收集到的5%颗粒物约4.23t/a，密闭式生产车间的粉尘控制效率按99%计，则车间无组织排放颗粒物0.04t/a、其他颗粒物沉降在熔炼车间内。</w:t>
      </w:r>
    </w:p>
    <w:p w14:paraId="7033B0ED">
      <w:pPr>
        <w:pStyle w:val="117"/>
        <w:ind w:firstLine="480"/>
      </w:pPr>
      <w:r>
        <w:t>根据</w:t>
      </w:r>
      <w:r>
        <w:rPr>
          <w:szCs w:val="21"/>
        </w:rPr>
        <w:t>出铁</w:t>
      </w:r>
      <w:r>
        <w:t>浇铸过程颗粒物产生量及收集效率计算，废气颗粒物产生</w:t>
      </w:r>
      <w:r>
        <w:rPr>
          <w:rFonts w:hint="eastAsia"/>
        </w:rPr>
        <w:t>速率为10.16kg/h，</w:t>
      </w:r>
      <w:r>
        <w:rPr>
          <w:szCs w:val="21"/>
        </w:rPr>
        <w:t>出铁</w:t>
      </w:r>
      <w:r>
        <w:t>浇铸废气集气风机的风量为</w:t>
      </w:r>
      <w:r>
        <w:rPr>
          <w:rFonts w:hint="eastAsia"/>
        </w:rPr>
        <w:t>65500</w:t>
      </w:r>
      <w:r>
        <w:t>m³/h</w:t>
      </w:r>
      <w:r>
        <w:rPr>
          <w:rFonts w:hint="eastAsia"/>
        </w:rPr>
        <w:t>，</w:t>
      </w:r>
      <w:r>
        <w:t>颗粒物</w:t>
      </w:r>
      <w:r>
        <w:rPr>
          <w:rFonts w:hint="eastAsia"/>
        </w:rPr>
        <w:t>产生</w:t>
      </w:r>
      <w:r>
        <w:t>浓度为</w:t>
      </w:r>
      <w:r>
        <w:rPr>
          <w:rFonts w:hint="eastAsia"/>
        </w:rPr>
        <w:t>155.1</w:t>
      </w:r>
      <w:r>
        <w:t>mg/m³，废气送布袋除尘器处理，除尘效率按9</w:t>
      </w:r>
      <w:r>
        <w:rPr>
          <w:rFonts w:hint="eastAsia"/>
        </w:rPr>
        <w:t>9</w:t>
      </w:r>
      <w:r>
        <w:t>%计，颗粒物排放浓度</w:t>
      </w:r>
      <w:r>
        <w:rPr>
          <w:rFonts w:hint="eastAsia"/>
        </w:rPr>
        <w:t>1.6</w:t>
      </w:r>
      <w:r>
        <w:t>mg/m³，</w:t>
      </w:r>
      <w:r>
        <w:rPr>
          <w:rFonts w:hint="eastAsia"/>
        </w:rPr>
        <w:t>废气</w:t>
      </w:r>
      <w:r>
        <w:t>经20m排气筒排放</w:t>
      </w:r>
      <w:r>
        <w:rPr>
          <w:rFonts w:hint="eastAsia"/>
        </w:rPr>
        <w:t>可</w:t>
      </w:r>
      <w:r>
        <w:t>达到《铁合金工业污染物排放标准》（GB28666-2012）中表5排放浓度限值。</w:t>
      </w:r>
    </w:p>
    <w:p w14:paraId="0A177A73">
      <w:pPr>
        <w:ind w:firstLine="480"/>
        <w:rPr>
          <w:szCs w:val="22"/>
        </w:rPr>
      </w:pPr>
      <w:r>
        <w:rPr>
          <w:szCs w:val="22"/>
        </w:rPr>
        <w:t>（</w:t>
      </w:r>
      <w:r>
        <w:rPr>
          <w:rFonts w:hint="eastAsia"/>
          <w:szCs w:val="22"/>
        </w:rPr>
        <w:t>4</w:t>
      </w:r>
      <w:r>
        <w:rPr>
          <w:szCs w:val="22"/>
        </w:rPr>
        <w:t>）</w:t>
      </w:r>
      <w:r>
        <w:rPr>
          <w:rFonts w:hint="eastAsia"/>
          <w:szCs w:val="22"/>
        </w:rPr>
        <w:t>硅铁</w:t>
      </w:r>
      <w:r>
        <w:rPr>
          <w:szCs w:val="22"/>
        </w:rPr>
        <w:t>成品破碎废气</w:t>
      </w:r>
      <w:r>
        <w:t>（</w:t>
      </w:r>
      <w:r>
        <w:rPr>
          <w:rFonts w:hint="eastAsia"/>
          <w:szCs w:val="28"/>
        </w:rPr>
        <w:t>G</w:t>
      </w:r>
      <w:r>
        <w:rPr>
          <w:rFonts w:hint="eastAsia"/>
          <w:szCs w:val="28"/>
          <w:vertAlign w:val="subscript"/>
        </w:rPr>
        <w:t>2-4</w:t>
      </w:r>
      <w:r>
        <w:t>）</w:t>
      </w:r>
    </w:p>
    <w:p w14:paraId="41C1351D">
      <w:pPr>
        <w:pStyle w:val="117"/>
        <w:ind w:firstLine="480"/>
        <w:rPr>
          <w:rFonts w:cs="Times New Roman"/>
          <w:spacing w:val="-2"/>
        </w:rPr>
      </w:pPr>
      <w:r>
        <w:rPr>
          <w:rFonts w:cs="Times New Roman"/>
        </w:rPr>
        <w:t>硅铁产品</w:t>
      </w:r>
      <w:r>
        <w:rPr>
          <w:rFonts w:cs="Times New Roman"/>
          <w:szCs w:val="22"/>
        </w:rPr>
        <w:t>破碎</w:t>
      </w:r>
      <w:r>
        <w:rPr>
          <w:rFonts w:cs="Times New Roman"/>
          <w:szCs w:val="21"/>
        </w:rPr>
        <w:t>过程</w:t>
      </w:r>
      <w:r>
        <w:rPr>
          <w:rFonts w:cs="Times New Roman"/>
        </w:rPr>
        <w:t>存在一定量的粉尘逸散，破碎机</w:t>
      </w:r>
      <w:r>
        <w:rPr>
          <w:rFonts w:cs="Times New Roman"/>
          <w:spacing w:val="-2"/>
        </w:rPr>
        <w:t>上方设半封闭集气罩，并安装引风机形成负压，</w:t>
      </w:r>
      <w:r>
        <w:rPr>
          <w:rFonts w:cs="Times New Roman"/>
          <w:szCs w:val="22"/>
        </w:rPr>
        <w:t>成品破碎</w:t>
      </w:r>
      <w:r>
        <w:rPr>
          <w:rFonts w:cs="Times New Roman"/>
          <w:spacing w:val="-2"/>
        </w:rPr>
        <w:t>产生的颗粒物通过布袋除尘器处理后外排。</w:t>
      </w:r>
    </w:p>
    <w:p w14:paraId="2C1F813D">
      <w:pPr>
        <w:pStyle w:val="117"/>
        <w:ind w:firstLine="480"/>
      </w:pPr>
      <w:r>
        <w:rPr>
          <w:rFonts w:hint="eastAsia"/>
        </w:rPr>
        <w:t>现有工程的</w:t>
      </w:r>
      <w:r>
        <w:rPr>
          <w:szCs w:val="22"/>
        </w:rPr>
        <w:t>成品破碎</w:t>
      </w:r>
      <w:r>
        <w:rPr>
          <w:rFonts w:hint="eastAsia"/>
        </w:rPr>
        <w:t>废气颗粒物最大排放速率0.012kg/h，技改完成后颗粒物最大排放速率0.02kg/h。</w:t>
      </w:r>
      <w:r>
        <w:rPr>
          <w:szCs w:val="22"/>
        </w:rPr>
        <w:t>成品破碎</w:t>
      </w:r>
      <w:r>
        <w:rPr>
          <w:rFonts w:hint="eastAsia"/>
        </w:rPr>
        <w:t>废气采用布袋除尘器处理，除尘效率按99%计，则</w:t>
      </w:r>
      <w:r>
        <w:rPr>
          <w:szCs w:val="22"/>
        </w:rPr>
        <w:t>成品破碎</w:t>
      </w:r>
      <w:r>
        <w:rPr>
          <w:rFonts w:hint="eastAsia"/>
        </w:rPr>
        <w:t>废气颗粒物收集量为6.25t/a。上料废气集气罩的集气效率95%，则</w:t>
      </w:r>
      <w:r>
        <w:rPr>
          <w:szCs w:val="22"/>
        </w:rPr>
        <w:t>成品破碎</w:t>
      </w:r>
      <w:r>
        <w:rPr>
          <w:rFonts w:hint="eastAsia"/>
        </w:rPr>
        <w:t>废气颗粒物产生量为6.58t/a，未收集到的5%颗粒物约0.33t/a，密闭式生产车间的粉尘控制效率按99%计，则车间无组织排放颗粒物0.003t/a、其他颗粒物沉降在熔炼车间内。</w:t>
      </w:r>
    </w:p>
    <w:p w14:paraId="4FADC39F">
      <w:pPr>
        <w:pStyle w:val="117"/>
        <w:ind w:firstLine="480"/>
        <w:rPr>
          <w:rFonts w:cs="Times New Roman"/>
          <w:spacing w:val="-2"/>
        </w:rPr>
      </w:pPr>
      <w:r>
        <w:t>根据</w:t>
      </w:r>
      <w:r>
        <w:rPr>
          <w:szCs w:val="22"/>
        </w:rPr>
        <w:t>成品破碎</w:t>
      </w:r>
      <w:r>
        <w:t>颗粒物产生量及收集效率计算，废气颗粒物产生</w:t>
      </w:r>
      <w:r>
        <w:rPr>
          <w:rFonts w:hint="eastAsia"/>
        </w:rPr>
        <w:t>速率为1.56kg/h，</w:t>
      </w:r>
      <w:r>
        <w:t>集气风量为</w:t>
      </w:r>
      <w:r>
        <w:rPr>
          <w:rFonts w:hint="eastAsia"/>
        </w:rPr>
        <w:t>7800</w:t>
      </w:r>
      <w:r>
        <w:t>m³/h</w:t>
      </w:r>
      <w:r>
        <w:rPr>
          <w:rFonts w:hint="eastAsia"/>
        </w:rPr>
        <w:t>，</w:t>
      </w:r>
      <w:r>
        <w:t>颗粒物产生浓度</w:t>
      </w:r>
      <w:r>
        <w:rPr>
          <w:rFonts w:hint="eastAsia"/>
        </w:rPr>
        <w:t>200.4</w:t>
      </w:r>
      <w:r>
        <w:t>mg/m³，废气送布袋除尘器处理，除尘效率按9</w:t>
      </w:r>
      <w:r>
        <w:rPr>
          <w:rFonts w:hint="eastAsia"/>
        </w:rPr>
        <w:t>9</w:t>
      </w:r>
      <w:r>
        <w:t>%计，颗粒物排放浓度</w:t>
      </w:r>
      <w:r>
        <w:rPr>
          <w:rFonts w:hint="eastAsia"/>
        </w:rPr>
        <w:t>2.0</w:t>
      </w:r>
      <w:r>
        <w:t>mg/m³，</w:t>
      </w:r>
      <w:r>
        <w:rPr>
          <w:rFonts w:hint="eastAsia"/>
        </w:rPr>
        <w:t>废气</w:t>
      </w:r>
      <w:r>
        <w:t>经</w:t>
      </w:r>
      <w:r>
        <w:rPr>
          <w:rFonts w:hint="eastAsia"/>
        </w:rPr>
        <w:t>15</w:t>
      </w:r>
      <w:r>
        <w:t>m排气筒排放达到《铁合金工业污染物排放标准》（GB28666-2012）中表5排放浓度限值。</w:t>
      </w:r>
    </w:p>
    <w:p w14:paraId="58368905">
      <w:pPr>
        <w:pStyle w:val="257"/>
        <w:ind w:firstLine="480"/>
        <w:rPr>
          <w:rFonts w:eastAsia="宋体"/>
        </w:rPr>
      </w:pPr>
      <w:r>
        <w:rPr>
          <w:rFonts w:eastAsia="宋体"/>
        </w:rPr>
        <w:t>综上，</w:t>
      </w:r>
      <w:r>
        <w:rPr>
          <w:rFonts w:hint="eastAsia"/>
        </w:rPr>
        <w:t>硅铁合金生产线</w:t>
      </w:r>
      <w:r>
        <w:rPr>
          <w:rFonts w:eastAsia="宋体"/>
        </w:rPr>
        <w:t>有组织废气产排情况见表</w:t>
      </w:r>
      <w:r>
        <w:rPr>
          <w:rFonts w:hint="eastAsia" w:eastAsia="宋体"/>
        </w:rPr>
        <w:t>3.4-8</w:t>
      </w:r>
      <w:r>
        <w:rPr>
          <w:rFonts w:eastAsia="宋体"/>
        </w:rPr>
        <w:t>。</w:t>
      </w:r>
    </w:p>
    <w:p w14:paraId="3F3371FD">
      <w:pPr>
        <w:pStyle w:val="117"/>
        <w:ind w:firstLine="480"/>
        <w:rPr>
          <w:rFonts w:cs="Times New Roman"/>
          <w:lang w:val="zh-CN"/>
        </w:rPr>
        <w:sectPr>
          <w:pgSz w:w="11906" w:h="16838"/>
          <w:pgMar w:top="1440" w:right="1800" w:bottom="1440" w:left="1800" w:header="851" w:footer="992" w:gutter="0"/>
          <w:cols w:space="425" w:num="1"/>
          <w:docGrid w:type="lines" w:linePitch="312" w:charSpace="0"/>
        </w:sectPr>
      </w:pPr>
    </w:p>
    <w:p w14:paraId="33A8C357">
      <w:pPr>
        <w:pStyle w:val="118"/>
      </w:pPr>
      <w:r>
        <w:t>表</w:t>
      </w:r>
      <w:r>
        <w:rPr>
          <w:rFonts w:hint="eastAsia"/>
        </w:rPr>
        <w:t>3.4-8</w:t>
      </w:r>
      <w:r>
        <w:t xml:space="preserve">  </w:t>
      </w:r>
      <w:r>
        <w:rPr>
          <w:rFonts w:hint="eastAsia"/>
        </w:rPr>
        <w:t>硅铁合金生产线</w:t>
      </w:r>
      <w:r>
        <w:t>有组织废气产排情况一览表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4"/>
        <w:gridCol w:w="1108"/>
        <w:gridCol w:w="689"/>
        <w:gridCol w:w="717"/>
        <w:gridCol w:w="663"/>
        <w:gridCol w:w="1089"/>
        <w:gridCol w:w="947"/>
        <w:gridCol w:w="1177"/>
        <w:gridCol w:w="777"/>
        <w:gridCol w:w="771"/>
        <w:gridCol w:w="1089"/>
        <w:gridCol w:w="834"/>
        <w:gridCol w:w="950"/>
        <w:gridCol w:w="434"/>
        <w:gridCol w:w="593"/>
        <w:gridCol w:w="542"/>
        <w:gridCol w:w="434"/>
        <w:gridCol w:w="646"/>
      </w:tblGrid>
      <w:tr w14:paraId="061B9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52" w:type="pct"/>
            <w:vMerge w:val="restart"/>
            <w:vAlign w:val="center"/>
          </w:tcPr>
          <w:p w14:paraId="6C5A9E92">
            <w:pPr>
              <w:pStyle w:val="133"/>
              <w:rPr>
                <w:rFonts w:cs="Times New Roman"/>
                <w:b/>
                <w:bCs/>
              </w:rPr>
            </w:pPr>
            <w:r>
              <w:rPr>
                <w:rFonts w:cs="Times New Roman"/>
                <w:b/>
                <w:bCs/>
              </w:rPr>
              <w:t>编号</w:t>
            </w:r>
          </w:p>
        </w:tc>
        <w:tc>
          <w:tcPr>
            <w:tcW w:w="391" w:type="pct"/>
            <w:vMerge w:val="restart"/>
            <w:vAlign w:val="center"/>
          </w:tcPr>
          <w:p w14:paraId="6B822931">
            <w:pPr>
              <w:pStyle w:val="133"/>
              <w:rPr>
                <w:rFonts w:cs="Times New Roman"/>
                <w:b/>
                <w:bCs/>
              </w:rPr>
            </w:pPr>
            <w:r>
              <w:rPr>
                <w:rFonts w:cs="Times New Roman"/>
                <w:b/>
                <w:bCs/>
              </w:rPr>
              <w:t>装置名称</w:t>
            </w:r>
          </w:p>
        </w:tc>
        <w:tc>
          <w:tcPr>
            <w:tcW w:w="243" w:type="pct"/>
            <w:vMerge w:val="restart"/>
            <w:vAlign w:val="center"/>
          </w:tcPr>
          <w:p w14:paraId="7B733B34">
            <w:pPr>
              <w:pStyle w:val="133"/>
              <w:rPr>
                <w:rFonts w:cs="Times New Roman"/>
                <w:b/>
                <w:bCs/>
              </w:rPr>
            </w:pPr>
            <w:r>
              <w:rPr>
                <w:rFonts w:cs="Times New Roman"/>
                <w:b/>
                <w:bCs/>
              </w:rPr>
              <w:t>污染源</w:t>
            </w:r>
          </w:p>
        </w:tc>
        <w:tc>
          <w:tcPr>
            <w:tcW w:w="253" w:type="pct"/>
            <w:vMerge w:val="restart"/>
            <w:vAlign w:val="center"/>
          </w:tcPr>
          <w:p w14:paraId="0EB32438">
            <w:pPr>
              <w:pStyle w:val="133"/>
              <w:rPr>
                <w:rFonts w:cs="Times New Roman"/>
                <w:b/>
                <w:bCs/>
              </w:rPr>
            </w:pPr>
            <w:r>
              <w:rPr>
                <w:rFonts w:cs="Times New Roman"/>
                <w:b/>
                <w:bCs/>
              </w:rPr>
              <w:t>污染物</w:t>
            </w:r>
          </w:p>
        </w:tc>
        <w:tc>
          <w:tcPr>
            <w:tcW w:w="234" w:type="pct"/>
            <w:vMerge w:val="restart"/>
            <w:vAlign w:val="center"/>
          </w:tcPr>
          <w:p w14:paraId="0981223B">
            <w:pPr>
              <w:pStyle w:val="133"/>
              <w:rPr>
                <w:rFonts w:cs="Times New Roman"/>
                <w:b/>
                <w:bCs/>
              </w:rPr>
            </w:pPr>
            <w:r>
              <w:rPr>
                <w:rFonts w:cs="Times New Roman"/>
                <w:b/>
                <w:bCs/>
              </w:rPr>
              <w:t>核算方法</w:t>
            </w:r>
          </w:p>
        </w:tc>
        <w:tc>
          <w:tcPr>
            <w:tcW w:w="1133" w:type="pct"/>
            <w:gridSpan w:val="3"/>
            <w:vAlign w:val="center"/>
          </w:tcPr>
          <w:p w14:paraId="3A0AF984">
            <w:pPr>
              <w:pStyle w:val="133"/>
              <w:rPr>
                <w:rFonts w:cs="Times New Roman"/>
                <w:b/>
                <w:bCs/>
              </w:rPr>
            </w:pPr>
            <w:r>
              <w:rPr>
                <w:rFonts w:cs="Times New Roman"/>
                <w:b/>
                <w:bCs/>
              </w:rPr>
              <w:t>污染物产生</w:t>
            </w:r>
          </w:p>
        </w:tc>
        <w:tc>
          <w:tcPr>
            <w:tcW w:w="546" w:type="pct"/>
            <w:gridSpan w:val="2"/>
            <w:vAlign w:val="center"/>
          </w:tcPr>
          <w:p w14:paraId="52130CC0">
            <w:pPr>
              <w:pStyle w:val="133"/>
              <w:rPr>
                <w:rFonts w:cs="Times New Roman"/>
                <w:b/>
                <w:bCs/>
              </w:rPr>
            </w:pPr>
            <w:r>
              <w:rPr>
                <w:rFonts w:cs="Times New Roman"/>
                <w:b/>
                <w:bCs/>
              </w:rPr>
              <w:t>治理措施</w:t>
            </w:r>
          </w:p>
        </w:tc>
        <w:tc>
          <w:tcPr>
            <w:tcW w:w="1013" w:type="pct"/>
            <w:gridSpan w:val="3"/>
            <w:vAlign w:val="center"/>
          </w:tcPr>
          <w:p w14:paraId="3FDD0CBF">
            <w:pPr>
              <w:pStyle w:val="133"/>
              <w:rPr>
                <w:rFonts w:cs="Times New Roman"/>
                <w:b/>
                <w:bCs/>
              </w:rPr>
            </w:pPr>
            <w:r>
              <w:rPr>
                <w:rFonts w:cs="Times New Roman"/>
                <w:b/>
                <w:bCs/>
              </w:rPr>
              <w:t>污染物排放</w:t>
            </w:r>
          </w:p>
        </w:tc>
        <w:tc>
          <w:tcPr>
            <w:tcW w:w="553" w:type="pct"/>
            <w:gridSpan w:val="3"/>
            <w:vAlign w:val="center"/>
          </w:tcPr>
          <w:p w14:paraId="1E3EE3EA">
            <w:pPr>
              <w:pStyle w:val="133"/>
              <w:rPr>
                <w:rFonts w:cs="Times New Roman"/>
                <w:b/>
                <w:bCs/>
              </w:rPr>
            </w:pPr>
            <w:r>
              <w:rPr>
                <w:rFonts w:cs="Times New Roman"/>
                <w:b/>
                <w:bCs/>
              </w:rPr>
              <w:t>排放参数</w:t>
            </w:r>
          </w:p>
        </w:tc>
        <w:tc>
          <w:tcPr>
            <w:tcW w:w="153" w:type="pct"/>
            <w:vMerge w:val="restart"/>
            <w:vAlign w:val="center"/>
          </w:tcPr>
          <w:p w14:paraId="6DBA4A64">
            <w:pPr>
              <w:pStyle w:val="133"/>
              <w:rPr>
                <w:rFonts w:cs="Times New Roman"/>
                <w:b/>
                <w:bCs/>
              </w:rPr>
            </w:pPr>
            <w:r>
              <w:rPr>
                <w:rFonts w:cs="Times New Roman"/>
                <w:b/>
                <w:bCs/>
              </w:rPr>
              <w:t>排放方式</w:t>
            </w:r>
          </w:p>
        </w:tc>
        <w:tc>
          <w:tcPr>
            <w:tcW w:w="228" w:type="pct"/>
            <w:vMerge w:val="restart"/>
            <w:vAlign w:val="center"/>
          </w:tcPr>
          <w:p w14:paraId="1EC4DBFC">
            <w:pPr>
              <w:pStyle w:val="133"/>
              <w:rPr>
                <w:rFonts w:cs="Times New Roman"/>
                <w:b/>
                <w:bCs/>
              </w:rPr>
            </w:pPr>
            <w:r>
              <w:rPr>
                <w:rFonts w:cs="Times New Roman"/>
                <w:b/>
                <w:bCs/>
              </w:rPr>
              <w:t>工作</w:t>
            </w:r>
          </w:p>
          <w:p w14:paraId="01381D8E">
            <w:pPr>
              <w:pStyle w:val="133"/>
              <w:rPr>
                <w:rFonts w:cs="Times New Roman"/>
                <w:b/>
                <w:bCs/>
              </w:rPr>
            </w:pPr>
            <w:r>
              <w:rPr>
                <w:rFonts w:cs="Times New Roman"/>
                <w:b/>
                <w:bCs/>
              </w:rPr>
              <w:t>时间</w:t>
            </w:r>
          </w:p>
          <w:p w14:paraId="60D27D3E">
            <w:pPr>
              <w:pStyle w:val="133"/>
              <w:rPr>
                <w:rFonts w:cs="Times New Roman"/>
                <w:b/>
                <w:bCs/>
              </w:rPr>
            </w:pPr>
            <w:r>
              <w:rPr>
                <w:rFonts w:cs="Times New Roman"/>
                <w:b/>
                <w:bCs/>
              </w:rPr>
              <w:t>h</w:t>
            </w:r>
          </w:p>
        </w:tc>
      </w:tr>
      <w:tr w14:paraId="6D8C2F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252" w:type="pct"/>
            <w:vMerge w:val="continue"/>
            <w:vAlign w:val="center"/>
          </w:tcPr>
          <w:p w14:paraId="6B8674D9">
            <w:pPr>
              <w:pStyle w:val="133"/>
              <w:rPr>
                <w:rFonts w:cs="Times New Roman"/>
              </w:rPr>
            </w:pPr>
          </w:p>
        </w:tc>
        <w:tc>
          <w:tcPr>
            <w:tcW w:w="391" w:type="pct"/>
            <w:vMerge w:val="continue"/>
            <w:vAlign w:val="center"/>
          </w:tcPr>
          <w:p w14:paraId="203D99AD">
            <w:pPr>
              <w:pStyle w:val="133"/>
              <w:rPr>
                <w:rFonts w:cs="Times New Roman"/>
              </w:rPr>
            </w:pPr>
          </w:p>
        </w:tc>
        <w:tc>
          <w:tcPr>
            <w:tcW w:w="243" w:type="pct"/>
            <w:vMerge w:val="continue"/>
            <w:vAlign w:val="center"/>
          </w:tcPr>
          <w:p w14:paraId="763D4A9A">
            <w:pPr>
              <w:pStyle w:val="133"/>
              <w:rPr>
                <w:rFonts w:cs="Times New Roman"/>
              </w:rPr>
            </w:pPr>
          </w:p>
        </w:tc>
        <w:tc>
          <w:tcPr>
            <w:tcW w:w="253" w:type="pct"/>
            <w:vMerge w:val="continue"/>
            <w:vAlign w:val="center"/>
          </w:tcPr>
          <w:p w14:paraId="2863DE19">
            <w:pPr>
              <w:pStyle w:val="133"/>
              <w:rPr>
                <w:rFonts w:cs="Times New Roman"/>
              </w:rPr>
            </w:pPr>
          </w:p>
        </w:tc>
        <w:tc>
          <w:tcPr>
            <w:tcW w:w="234" w:type="pct"/>
            <w:vMerge w:val="continue"/>
            <w:vAlign w:val="center"/>
          </w:tcPr>
          <w:p w14:paraId="1A4C2B25">
            <w:pPr>
              <w:pStyle w:val="133"/>
              <w:rPr>
                <w:rFonts w:cs="Times New Roman"/>
              </w:rPr>
            </w:pPr>
          </w:p>
        </w:tc>
        <w:tc>
          <w:tcPr>
            <w:tcW w:w="384" w:type="pct"/>
            <w:vAlign w:val="center"/>
          </w:tcPr>
          <w:p w14:paraId="771FD78C">
            <w:pPr>
              <w:pStyle w:val="133"/>
              <w:rPr>
                <w:rFonts w:cs="Times New Roman"/>
                <w:b/>
                <w:bCs/>
              </w:rPr>
            </w:pPr>
            <w:r>
              <w:rPr>
                <w:rFonts w:cs="Times New Roman"/>
                <w:b/>
                <w:bCs/>
              </w:rPr>
              <w:t>废气产生量</w:t>
            </w:r>
          </w:p>
          <w:p w14:paraId="1B9CFD0A">
            <w:pPr>
              <w:pStyle w:val="133"/>
              <w:rPr>
                <w:rFonts w:cs="Times New Roman"/>
                <w:b/>
                <w:bCs/>
              </w:rPr>
            </w:pPr>
            <w:r>
              <w:rPr>
                <w:rFonts w:cs="Times New Roman"/>
                <w:b/>
                <w:bCs/>
              </w:rPr>
              <w:t>Nm</w:t>
            </w:r>
            <w:r>
              <w:rPr>
                <w:rFonts w:cs="Times New Roman"/>
                <w:b/>
                <w:bCs/>
                <w:vertAlign w:val="superscript"/>
              </w:rPr>
              <w:t>3</w:t>
            </w:r>
            <w:r>
              <w:rPr>
                <w:rFonts w:cs="Times New Roman"/>
                <w:b/>
                <w:bCs/>
              </w:rPr>
              <w:t>/h</w:t>
            </w:r>
          </w:p>
        </w:tc>
        <w:tc>
          <w:tcPr>
            <w:tcW w:w="334" w:type="pct"/>
            <w:vAlign w:val="center"/>
          </w:tcPr>
          <w:p w14:paraId="70A420C0">
            <w:pPr>
              <w:pStyle w:val="133"/>
              <w:rPr>
                <w:rFonts w:cs="Times New Roman"/>
                <w:b/>
                <w:bCs/>
              </w:rPr>
            </w:pPr>
            <w:r>
              <w:rPr>
                <w:rFonts w:cs="Times New Roman"/>
                <w:b/>
                <w:bCs/>
              </w:rPr>
              <w:t>产生浓度</w:t>
            </w:r>
          </w:p>
          <w:p w14:paraId="638967D3">
            <w:pPr>
              <w:pStyle w:val="133"/>
              <w:rPr>
                <w:rFonts w:cs="Times New Roman"/>
                <w:b/>
                <w:bCs/>
              </w:rPr>
            </w:pPr>
            <w:r>
              <w:rPr>
                <w:rFonts w:cs="Times New Roman"/>
                <w:b/>
                <w:bCs/>
              </w:rPr>
              <w:t>mg/m</w:t>
            </w:r>
            <w:r>
              <w:rPr>
                <w:rFonts w:cs="Times New Roman"/>
                <w:b/>
                <w:bCs/>
                <w:vertAlign w:val="superscript"/>
              </w:rPr>
              <w:t>3</w:t>
            </w:r>
          </w:p>
        </w:tc>
        <w:tc>
          <w:tcPr>
            <w:tcW w:w="415" w:type="pct"/>
            <w:vAlign w:val="center"/>
          </w:tcPr>
          <w:p w14:paraId="2960F015">
            <w:pPr>
              <w:pStyle w:val="133"/>
              <w:rPr>
                <w:rFonts w:cs="Times New Roman"/>
                <w:b/>
                <w:bCs/>
              </w:rPr>
            </w:pPr>
            <w:r>
              <w:rPr>
                <w:rFonts w:cs="Times New Roman"/>
                <w:b/>
                <w:bCs/>
              </w:rPr>
              <w:t>产生量</w:t>
            </w:r>
          </w:p>
          <w:p w14:paraId="06E714B9">
            <w:pPr>
              <w:pStyle w:val="133"/>
              <w:rPr>
                <w:rFonts w:cs="Times New Roman"/>
                <w:b/>
                <w:bCs/>
              </w:rPr>
            </w:pPr>
            <w:r>
              <w:rPr>
                <w:rFonts w:cs="Times New Roman"/>
                <w:b/>
                <w:bCs/>
              </w:rPr>
              <w:t>kg/h</w:t>
            </w:r>
          </w:p>
        </w:tc>
        <w:tc>
          <w:tcPr>
            <w:tcW w:w="274" w:type="pct"/>
            <w:vAlign w:val="center"/>
          </w:tcPr>
          <w:p w14:paraId="6A12AE6F">
            <w:pPr>
              <w:pStyle w:val="133"/>
              <w:rPr>
                <w:rFonts w:cs="Times New Roman"/>
                <w:b/>
                <w:bCs/>
              </w:rPr>
            </w:pPr>
            <w:r>
              <w:rPr>
                <w:rFonts w:cs="Times New Roman"/>
                <w:b/>
                <w:bCs/>
              </w:rPr>
              <w:t>工艺</w:t>
            </w:r>
          </w:p>
        </w:tc>
        <w:tc>
          <w:tcPr>
            <w:tcW w:w="272" w:type="pct"/>
            <w:vAlign w:val="center"/>
          </w:tcPr>
          <w:p w14:paraId="69BABF20">
            <w:pPr>
              <w:pStyle w:val="133"/>
              <w:rPr>
                <w:rFonts w:cs="Times New Roman"/>
                <w:b/>
                <w:bCs/>
              </w:rPr>
            </w:pPr>
            <w:r>
              <w:rPr>
                <w:rFonts w:cs="Times New Roman"/>
                <w:b/>
                <w:bCs/>
              </w:rPr>
              <w:t>效率</w:t>
            </w:r>
          </w:p>
        </w:tc>
        <w:tc>
          <w:tcPr>
            <w:tcW w:w="384" w:type="pct"/>
            <w:vAlign w:val="center"/>
          </w:tcPr>
          <w:p w14:paraId="3C43108F">
            <w:pPr>
              <w:pStyle w:val="133"/>
              <w:rPr>
                <w:rFonts w:cs="Times New Roman"/>
                <w:b/>
                <w:bCs/>
              </w:rPr>
            </w:pPr>
            <w:r>
              <w:rPr>
                <w:rFonts w:cs="Times New Roman"/>
                <w:b/>
                <w:bCs/>
              </w:rPr>
              <w:t>废气排放量</w:t>
            </w:r>
          </w:p>
          <w:p w14:paraId="73DF00EF">
            <w:pPr>
              <w:pStyle w:val="133"/>
              <w:rPr>
                <w:rFonts w:cs="Times New Roman"/>
                <w:b/>
                <w:bCs/>
              </w:rPr>
            </w:pPr>
            <w:r>
              <w:rPr>
                <w:rFonts w:cs="Times New Roman"/>
                <w:b/>
                <w:bCs/>
              </w:rPr>
              <w:t>Nm</w:t>
            </w:r>
            <w:r>
              <w:rPr>
                <w:rFonts w:cs="Times New Roman"/>
                <w:b/>
                <w:bCs/>
                <w:vertAlign w:val="superscript"/>
              </w:rPr>
              <w:t>3</w:t>
            </w:r>
            <w:r>
              <w:rPr>
                <w:rFonts w:cs="Times New Roman"/>
                <w:b/>
                <w:bCs/>
              </w:rPr>
              <w:t>/h</w:t>
            </w:r>
          </w:p>
        </w:tc>
        <w:tc>
          <w:tcPr>
            <w:tcW w:w="294" w:type="pct"/>
            <w:vAlign w:val="center"/>
          </w:tcPr>
          <w:p w14:paraId="4D33B980">
            <w:pPr>
              <w:pStyle w:val="133"/>
              <w:rPr>
                <w:rFonts w:cs="Times New Roman"/>
                <w:b/>
                <w:bCs/>
              </w:rPr>
            </w:pPr>
            <w:r>
              <w:rPr>
                <w:rFonts w:cs="Times New Roman"/>
                <w:b/>
                <w:bCs/>
              </w:rPr>
              <w:t>排放</w:t>
            </w:r>
          </w:p>
          <w:p w14:paraId="546033E6">
            <w:pPr>
              <w:pStyle w:val="133"/>
              <w:rPr>
                <w:rFonts w:cs="Times New Roman"/>
                <w:b/>
                <w:bCs/>
              </w:rPr>
            </w:pPr>
            <w:r>
              <w:rPr>
                <w:rFonts w:cs="Times New Roman"/>
                <w:b/>
                <w:bCs/>
              </w:rPr>
              <w:t>浓度mg/m</w:t>
            </w:r>
            <w:r>
              <w:rPr>
                <w:rFonts w:cs="Times New Roman"/>
                <w:b/>
                <w:bCs/>
                <w:vertAlign w:val="superscript"/>
              </w:rPr>
              <w:t>3</w:t>
            </w:r>
          </w:p>
        </w:tc>
        <w:tc>
          <w:tcPr>
            <w:tcW w:w="335" w:type="pct"/>
            <w:vAlign w:val="center"/>
          </w:tcPr>
          <w:p w14:paraId="09B3D493">
            <w:pPr>
              <w:pStyle w:val="133"/>
              <w:rPr>
                <w:rFonts w:cs="Times New Roman"/>
                <w:b/>
                <w:bCs/>
              </w:rPr>
            </w:pPr>
            <w:r>
              <w:rPr>
                <w:rFonts w:cs="Times New Roman"/>
                <w:b/>
                <w:bCs/>
              </w:rPr>
              <w:t>排放量</w:t>
            </w:r>
          </w:p>
          <w:p w14:paraId="52EED2F5">
            <w:pPr>
              <w:pStyle w:val="133"/>
              <w:rPr>
                <w:rFonts w:cs="Times New Roman"/>
                <w:b/>
                <w:bCs/>
              </w:rPr>
            </w:pPr>
            <w:r>
              <w:rPr>
                <w:rFonts w:cs="Times New Roman"/>
                <w:b/>
                <w:bCs/>
              </w:rPr>
              <w:t>kg/h</w:t>
            </w:r>
          </w:p>
        </w:tc>
        <w:tc>
          <w:tcPr>
            <w:tcW w:w="153" w:type="pct"/>
            <w:vAlign w:val="center"/>
          </w:tcPr>
          <w:p w14:paraId="2F1FECC1">
            <w:pPr>
              <w:pStyle w:val="133"/>
              <w:rPr>
                <w:rFonts w:cs="Times New Roman"/>
                <w:b/>
                <w:bCs/>
              </w:rPr>
            </w:pPr>
            <w:r>
              <w:rPr>
                <w:rFonts w:cs="Times New Roman"/>
                <w:b/>
                <w:bCs/>
              </w:rPr>
              <w:t>高度</w:t>
            </w:r>
          </w:p>
          <w:p w14:paraId="76CA633B">
            <w:pPr>
              <w:pStyle w:val="133"/>
              <w:rPr>
                <w:rFonts w:cs="Times New Roman"/>
                <w:b/>
                <w:bCs/>
              </w:rPr>
            </w:pPr>
            <w:r>
              <w:rPr>
                <w:rFonts w:cs="Times New Roman"/>
                <w:b/>
                <w:bCs/>
              </w:rPr>
              <w:t>m</w:t>
            </w:r>
          </w:p>
        </w:tc>
        <w:tc>
          <w:tcPr>
            <w:tcW w:w="209" w:type="pct"/>
            <w:vAlign w:val="center"/>
          </w:tcPr>
          <w:p w14:paraId="4D4DB456">
            <w:pPr>
              <w:pStyle w:val="133"/>
              <w:rPr>
                <w:rFonts w:cs="Times New Roman"/>
                <w:b/>
                <w:bCs/>
              </w:rPr>
            </w:pPr>
            <w:r>
              <w:rPr>
                <w:rFonts w:cs="Times New Roman"/>
                <w:b/>
                <w:bCs/>
              </w:rPr>
              <w:t>内径</w:t>
            </w:r>
          </w:p>
          <w:p w14:paraId="390C2248">
            <w:pPr>
              <w:pStyle w:val="133"/>
              <w:rPr>
                <w:rFonts w:cs="Times New Roman"/>
                <w:b/>
                <w:bCs/>
              </w:rPr>
            </w:pPr>
            <w:r>
              <w:rPr>
                <w:rFonts w:cs="Times New Roman"/>
                <w:b/>
                <w:bCs/>
              </w:rPr>
              <w:t>m</w:t>
            </w:r>
          </w:p>
        </w:tc>
        <w:tc>
          <w:tcPr>
            <w:tcW w:w="191" w:type="pct"/>
            <w:vAlign w:val="center"/>
          </w:tcPr>
          <w:p w14:paraId="218BF23C">
            <w:pPr>
              <w:pStyle w:val="133"/>
              <w:rPr>
                <w:rFonts w:cs="Times New Roman"/>
                <w:b/>
                <w:bCs/>
              </w:rPr>
            </w:pPr>
            <w:r>
              <w:rPr>
                <w:rFonts w:cs="Times New Roman"/>
                <w:b/>
                <w:bCs/>
              </w:rPr>
              <w:t>温度</w:t>
            </w:r>
          </w:p>
          <w:p w14:paraId="10D8A59E">
            <w:pPr>
              <w:pStyle w:val="133"/>
              <w:rPr>
                <w:rFonts w:cs="Times New Roman"/>
                <w:b/>
                <w:bCs/>
              </w:rPr>
            </w:pPr>
            <w:r>
              <w:rPr>
                <w:rFonts w:cs="Times New Roman"/>
                <w:b/>
                <w:bCs/>
              </w:rPr>
              <w:t>℃</w:t>
            </w:r>
          </w:p>
        </w:tc>
        <w:tc>
          <w:tcPr>
            <w:tcW w:w="153" w:type="pct"/>
            <w:vMerge w:val="continue"/>
            <w:vAlign w:val="center"/>
          </w:tcPr>
          <w:p w14:paraId="62564C41">
            <w:pPr>
              <w:pStyle w:val="133"/>
              <w:rPr>
                <w:rFonts w:cs="Times New Roman"/>
                <w:b/>
                <w:bCs/>
              </w:rPr>
            </w:pPr>
          </w:p>
        </w:tc>
        <w:tc>
          <w:tcPr>
            <w:tcW w:w="228" w:type="pct"/>
            <w:vMerge w:val="continue"/>
            <w:vAlign w:val="center"/>
          </w:tcPr>
          <w:p w14:paraId="23B839C0">
            <w:pPr>
              <w:pStyle w:val="133"/>
              <w:rPr>
                <w:rFonts w:cs="Times New Roman"/>
                <w:b/>
                <w:bCs/>
              </w:rPr>
            </w:pPr>
          </w:p>
        </w:tc>
      </w:tr>
      <w:tr w14:paraId="32229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2" w:type="pct"/>
            <w:vAlign w:val="center"/>
          </w:tcPr>
          <w:p w14:paraId="361855C5">
            <w:pPr>
              <w:pStyle w:val="133"/>
              <w:rPr>
                <w:rFonts w:cs="Times New Roman"/>
              </w:rPr>
            </w:pPr>
            <w:r>
              <w:rPr>
                <w:rFonts w:hint="eastAsia" w:cs="Times New Roman"/>
              </w:rPr>
              <w:t>G</w:t>
            </w:r>
            <w:r>
              <w:rPr>
                <w:rFonts w:hint="eastAsia" w:cs="Times New Roman"/>
                <w:vertAlign w:val="subscript"/>
              </w:rPr>
              <w:t>2-1</w:t>
            </w:r>
          </w:p>
        </w:tc>
        <w:tc>
          <w:tcPr>
            <w:tcW w:w="391" w:type="pct"/>
            <w:vAlign w:val="center"/>
          </w:tcPr>
          <w:p w14:paraId="5E9F2DF9">
            <w:pPr>
              <w:pStyle w:val="133"/>
              <w:rPr>
                <w:rFonts w:cs="Times New Roman"/>
              </w:rPr>
            </w:pPr>
            <w:r>
              <w:rPr>
                <w:rFonts w:hint="eastAsia" w:cs="Times New Roman"/>
              </w:rPr>
              <w:t>配料间</w:t>
            </w:r>
          </w:p>
        </w:tc>
        <w:tc>
          <w:tcPr>
            <w:tcW w:w="243" w:type="pct"/>
            <w:vAlign w:val="center"/>
          </w:tcPr>
          <w:p w14:paraId="1BB38745">
            <w:pPr>
              <w:pStyle w:val="133"/>
              <w:rPr>
                <w:rFonts w:cs="Times New Roman"/>
              </w:rPr>
            </w:pPr>
            <w:r>
              <w:rPr>
                <w:rFonts w:hint="eastAsia" w:cs="Times New Roman"/>
              </w:rPr>
              <w:t>上料</w:t>
            </w:r>
            <w:r>
              <w:rPr>
                <w:rFonts w:cs="Times New Roman"/>
              </w:rPr>
              <w:t>废气</w:t>
            </w:r>
          </w:p>
        </w:tc>
        <w:tc>
          <w:tcPr>
            <w:tcW w:w="253" w:type="pct"/>
            <w:vAlign w:val="center"/>
          </w:tcPr>
          <w:p w14:paraId="5159256D">
            <w:pPr>
              <w:pStyle w:val="133"/>
              <w:rPr>
                <w:rFonts w:cs="Times New Roman"/>
              </w:rPr>
            </w:pPr>
            <w:r>
              <w:rPr>
                <w:rFonts w:cs="Times New Roman"/>
              </w:rPr>
              <w:t>颗粒物</w:t>
            </w:r>
          </w:p>
        </w:tc>
        <w:tc>
          <w:tcPr>
            <w:tcW w:w="234" w:type="pct"/>
            <w:vAlign w:val="center"/>
          </w:tcPr>
          <w:p w14:paraId="63FDABC0">
            <w:pPr>
              <w:pStyle w:val="133"/>
              <w:rPr>
                <w:rFonts w:cs="Times New Roman"/>
              </w:rPr>
            </w:pPr>
            <w:r>
              <w:rPr>
                <w:rFonts w:hint="eastAsia" w:cs="Times New Roman"/>
              </w:rPr>
              <w:t>类比法</w:t>
            </w:r>
          </w:p>
        </w:tc>
        <w:tc>
          <w:tcPr>
            <w:tcW w:w="384" w:type="pct"/>
            <w:vAlign w:val="center"/>
          </w:tcPr>
          <w:p w14:paraId="15B2C6D6">
            <w:pPr>
              <w:pStyle w:val="133"/>
              <w:rPr>
                <w:rFonts w:cs="Times New Roman"/>
              </w:rPr>
            </w:pPr>
            <w:r>
              <w:rPr>
                <w:rFonts w:hint="eastAsia" w:cs="Times New Roman"/>
              </w:rPr>
              <w:t>25500</w:t>
            </w:r>
          </w:p>
        </w:tc>
        <w:tc>
          <w:tcPr>
            <w:tcW w:w="334" w:type="pct"/>
            <w:vAlign w:val="center"/>
          </w:tcPr>
          <w:p w14:paraId="0682AA4E">
            <w:pPr>
              <w:pStyle w:val="133"/>
              <w:rPr>
                <w:rFonts w:cs="Times New Roman"/>
              </w:rPr>
            </w:pPr>
            <w:r>
              <w:rPr>
                <w:rFonts w:hint="eastAsia" w:cs="Times New Roman"/>
              </w:rPr>
              <w:t>357.5</w:t>
            </w:r>
          </w:p>
        </w:tc>
        <w:tc>
          <w:tcPr>
            <w:tcW w:w="415" w:type="pct"/>
            <w:vAlign w:val="center"/>
          </w:tcPr>
          <w:p w14:paraId="5DCC2C67">
            <w:pPr>
              <w:pStyle w:val="133"/>
              <w:rPr>
                <w:rFonts w:cs="Times New Roman"/>
              </w:rPr>
            </w:pPr>
            <w:r>
              <w:rPr>
                <w:rFonts w:hint="eastAsia" w:cs="Times New Roman"/>
              </w:rPr>
              <w:t>9.12</w:t>
            </w:r>
          </w:p>
        </w:tc>
        <w:tc>
          <w:tcPr>
            <w:tcW w:w="274" w:type="pct"/>
            <w:vAlign w:val="center"/>
          </w:tcPr>
          <w:p w14:paraId="7CD062DA">
            <w:pPr>
              <w:pStyle w:val="133"/>
              <w:rPr>
                <w:rFonts w:cs="Times New Roman"/>
              </w:rPr>
            </w:pPr>
            <w:r>
              <w:rPr>
                <w:rFonts w:cs="Times New Roman"/>
              </w:rPr>
              <w:t>布袋除尘</w:t>
            </w:r>
          </w:p>
        </w:tc>
        <w:tc>
          <w:tcPr>
            <w:tcW w:w="272" w:type="pct"/>
            <w:vAlign w:val="center"/>
          </w:tcPr>
          <w:p w14:paraId="616D3390">
            <w:pPr>
              <w:pStyle w:val="133"/>
              <w:rPr>
                <w:rFonts w:cs="Times New Roman"/>
              </w:rPr>
            </w:pPr>
            <w:r>
              <w:rPr>
                <w:rFonts w:cs="Times New Roman"/>
              </w:rPr>
              <w:t>9</w:t>
            </w:r>
            <w:r>
              <w:rPr>
                <w:rFonts w:hint="eastAsia" w:cs="Times New Roman"/>
              </w:rPr>
              <w:t>9</w:t>
            </w:r>
            <w:r>
              <w:rPr>
                <w:rFonts w:cs="Times New Roman"/>
              </w:rPr>
              <w:t>%</w:t>
            </w:r>
          </w:p>
        </w:tc>
        <w:tc>
          <w:tcPr>
            <w:tcW w:w="384" w:type="pct"/>
            <w:vAlign w:val="center"/>
          </w:tcPr>
          <w:p w14:paraId="35600A95">
            <w:pPr>
              <w:pStyle w:val="133"/>
              <w:rPr>
                <w:rFonts w:cs="Times New Roman"/>
              </w:rPr>
            </w:pPr>
            <w:r>
              <w:rPr>
                <w:rFonts w:hint="eastAsia" w:cs="Times New Roman"/>
              </w:rPr>
              <w:t>25500</w:t>
            </w:r>
          </w:p>
        </w:tc>
        <w:tc>
          <w:tcPr>
            <w:tcW w:w="294" w:type="pct"/>
            <w:vAlign w:val="center"/>
          </w:tcPr>
          <w:p w14:paraId="4082C5DA">
            <w:pPr>
              <w:pStyle w:val="133"/>
              <w:rPr>
                <w:rFonts w:cs="Times New Roman"/>
              </w:rPr>
            </w:pPr>
            <w:r>
              <w:rPr>
                <w:rFonts w:hint="eastAsia" w:cs="Times New Roman"/>
              </w:rPr>
              <w:t>3.6</w:t>
            </w:r>
          </w:p>
        </w:tc>
        <w:tc>
          <w:tcPr>
            <w:tcW w:w="335" w:type="pct"/>
            <w:vAlign w:val="center"/>
          </w:tcPr>
          <w:p w14:paraId="73ED2039">
            <w:pPr>
              <w:pStyle w:val="133"/>
              <w:rPr>
                <w:rFonts w:cs="Times New Roman"/>
              </w:rPr>
            </w:pPr>
            <w:r>
              <w:rPr>
                <w:rFonts w:hint="eastAsia" w:cs="Times New Roman"/>
              </w:rPr>
              <w:t>0.09</w:t>
            </w:r>
          </w:p>
        </w:tc>
        <w:tc>
          <w:tcPr>
            <w:tcW w:w="153" w:type="pct"/>
            <w:vAlign w:val="center"/>
          </w:tcPr>
          <w:p w14:paraId="6AFA175A">
            <w:pPr>
              <w:pStyle w:val="133"/>
              <w:rPr>
                <w:rFonts w:cs="Times New Roman"/>
              </w:rPr>
            </w:pPr>
            <w:r>
              <w:rPr>
                <w:rFonts w:hint="eastAsia" w:cs="Times New Roman"/>
              </w:rPr>
              <w:t>20</w:t>
            </w:r>
          </w:p>
        </w:tc>
        <w:tc>
          <w:tcPr>
            <w:tcW w:w="209" w:type="pct"/>
            <w:vAlign w:val="center"/>
          </w:tcPr>
          <w:p w14:paraId="175EC039">
            <w:pPr>
              <w:pStyle w:val="133"/>
              <w:rPr>
                <w:rFonts w:cs="Times New Roman"/>
              </w:rPr>
            </w:pPr>
            <w:r>
              <w:rPr>
                <w:rFonts w:hint="eastAsia" w:cs="Times New Roman"/>
              </w:rPr>
              <w:t>1.4</w:t>
            </w:r>
          </w:p>
        </w:tc>
        <w:tc>
          <w:tcPr>
            <w:tcW w:w="191" w:type="pct"/>
            <w:vAlign w:val="center"/>
          </w:tcPr>
          <w:p w14:paraId="29010D2C">
            <w:pPr>
              <w:pStyle w:val="133"/>
              <w:rPr>
                <w:rFonts w:cs="Times New Roman"/>
              </w:rPr>
            </w:pPr>
            <w:r>
              <w:rPr>
                <w:rFonts w:hint="eastAsia" w:cs="Times New Roman"/>
              </w:rPr>
              <w:t>25</w:t>
            </w:r>
          </w:p>
        </w:tc>
        <w:tc>
          <w:tcPr>
            <w:tcW w:w="153" w:type="pct"/>
            <w:vAlign w:val="center"/>
          </w:tcPr>
          <w:p w14:paraId="286308E2">
            <w:pPr>
              <w:pStyle w:val="133"/>
              <w:rPr>
                <w:rFonts w:cs="Times New Roman"/>
              </w:rPr>
            </w:pPr>
            <w:r>
              <w:rPr>
                <w:rFonts w:cs="Times New Roman"/>
              </w:rPr>
              <w:t>间歇</w:t>
            </w:r>
          </w:p>
        </w:tc>
        <w:tc>
          <w:tcPr>
            <w:tcW w:w="228" w:type="pct"/>
            <w:vAlign w:val="center"/>
          </w:tcPr>
          <w:p w14:paraId="7A588CE8">
            <w:pPr>
              <w:pStyle w:val="133"/>
              <w:rPr>
                <w:rFonts w:cs="Times New Roman"/>
              </w:rPr>
            </w:pPr>
            <w:r>
              <w:rPr>
                <w:rFonts w:hint="eastAsia" w:cs="Times New Roman"/>
              </w:rPr>
              <w:t>4</w:t>
            </w:r>
            <w:r>
              <w:rPr>
                <w:rFonts w:cs="Times New Roman"/>
              </w:rPr>
              <w:t>000</w:t>
            </w:r>
          </w:p>
        </w:tc>
      </w:tr>
      <w:tr w14:paraId="0D17A5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2" w:type="pct"/>
            <w:vMerge w:val="restart"/>
            <w:vAlign w:val="center"/>
          </w:tcPr>
          <w:p w14:paraId="7370FDDD">
            <w:pPr>
              <w:pStyle w:val="133"/>
              <w:rPr>
                <w:rFonts w:cs="Times New Roman"/>
              </w:rPr>
            </w:pPr>
            <w:r>
              <w:rPr>
                <w:rFonts w:hint="eastAsia" w:cs="Times New Roman"/>
              </w:rPr>
              <w:t>G</w:t>
            </w:r>
            <w:r>
              <w:rPr>
                <w:rFonts w:hint="eastAsia" w:cs="Times New Roman"/>
                <w:vertAlign w:val="subscript"/>
              </w:rPr>
              <w:t>2-2</w:t>
            </w:r>
          </w:p>
        </w:tc>
        <w:tc>
          <w:tcPr>
            <w:tcW w:w="391" w:type="pct"/>
            <w:vMerge w:val="restart"/>
            <w:vAlign w:val="center"/>
          </w:tcPr>
          <w:p w14:paraId="50C80FCE">
            <w:pPr>
              <w:pStyle w:val="133"/>
              <w:rPr>
                <w:rFonts w:cs="Times New Roman"/>
              </w:rPr>
            </w:pPr>
            <w:r>
              <w:rPr>
                <w:rFonts w:cs="Times New Roman"/>
              </w:rPr>
              <w:t>矿热炉</w:t>
            </w:r>
          </w:p>
        </w:tc>
        <w:tc>
          <w:tcPr>
            <w:tcW w:w="243" w:type="pct"/>
            <w:vMerge w:val="restart"/>
            <w:vAlign w:val="center"/>
          </w:tcPr>
          <w:p w14:paraId="261329E1">
            <w:pPr>
              <w:pStyle w:val="133"/>
              <w:rPr>
                <w:rFonts w:cs="Times New Roman"/>
              </w:rPr>
            </w:pPr>
            <w:r>
              <w:rPr>
                <w:rFonts w:cs="Times New Roman"/>
              </w:rPr>
              <w:t>烟气</w:t>
            </w:r>
          </w:p>
        </w:tc>
        <w:tc>
          <w:tcPr>
            <w:tcW w:w="253" w:type="pct"/>
            <w:vAlign w:val="center"/>
          </w:tcPr>
          <w:p w14:paraId="483A60A0">
            <w:pPr>
              <w:pStyle w:val="133"/>
              <w:rPr>
                <w:rFonts w:cs="Times New Roman"/>
              </w:rPr>
            </w:pPr>
            <w:r>
              <w:rPr>
                <w:rFonts w:cs="Times New Roman"/>
              </w:rPr>
              <w:t>颗粒物</w:t>
            </w:r>
          </w:p>
        </w:tc>
        <w:tc>
          <w:tcPr>
            <w:tcW w:w="234" w:type="pct"/>
            <w:vAlign w:val="center"/>
          </w:tcPr>
          <w:p w14:paraId="0299A356">
            <w:pPr>
              <w:pStyle w:val="133"/>
              <w:rPr>
                <w:rFonts w:cs="Times New Roman"/>
              </w:rPr>
            </w:pPr>
            <w:r>
              <w:rPr>
                <w:rFonts w:hint="eastAsia" w:cs="Times New Roman"/>
              </w:rPr>
              <w:t>类比法</w:t>
            </w:r>
          </w:p>
        </w:tc>
        <w:tc>
          <w:tcPr>
            <w:tcW w:w="384" w:type="pct"/>
            <w:vMerge w:val="restart"/>
            <w:vAlign w:val="center"/>
          </w:tcPr>
          <w:p w14:paraId="5B1BB91C">
            <w:pPr>
              <w:pStyle w:val="133"/>
              <w:rPr>
                <w:rFonts w:cs="Times New Roman"/>
              </w:rPr>
            </w:pPr>
            <w:r>
              <w:rPr>
                <w:rFonts w:hint="eastAsia" w:cs="Times New Roman"/>
              </w:rPr>
              <w:t>560000</w:t>
            </w:r>
          </w:p>
        </w:tc>
        <w:tc>
          <w:tcPr>
            <w:tcW w:w="334" w:type="pct"/>
            <w:vAlign w:val="center"/>
          </w:tcPr>
          <w:p w14:paraId="51996115">
            <w:pPr>
              <w:pStyle w:val="133"/>
              <w:rPr>
                <w:rFonts w:cs="Times New Roman"/>
              </w:rPr>
            </w:pPr>
            <w:r>
              <w:rPr>
                <w:rFonts w:hint="eastAsia" w:cs="Times New Roman"/>
              </w:rPr>
              <w:t>1646.5</w:t>
            </w:r>
          </w:p>
        </w:tc>
        <w:tc>
          <w:tcPr>
            <w:tcW w:w="415" w:type="pct"/>
            <w:vAlign w:val="center"/>
          </w:tcPr>
          <w:p w14:paraId="042E416B">
            <w:pPr>
              <w:pStyle w:val="133"/>
              <w:rPr>
                <w:rFonts w:cs="Times New Roman"/>
              </w:rPr>
            </w:pPr>
            <w:r>
              <w:rPr>
                <w:rFonts w:hint="eastAsia" w:cs="Times New Roman"/>
              </w:rPr>
              <w:t>922.05</w:t>
            </w:r>
          </w:p>
        </w:tc>
        <w:tc>
          <w:tcPr>
            <w:tcW w:w="274" w:type="pct"/>
            <w:vAlign w:val="center"/>
          </w:tcPr>
          <w:p w14:paraId="7D9050BA">
            <w:pPr>
              <w:pStyle w:val="133"/>
              <w:rPr>
                <w:rFonts w:cs="Times New Roman"/>
              </w:rPr>
            </w:pPr>
            <w:r>
              <w:rPr>
                <w:rFonts w:cs="Times New Roman"/>
              </w:rPr>
              <w:t>布袋除尘</w:t>
            </w:r>
          </w:p>
        </w:tc>
        <w:tc>
          <w:tcPr>
            <w:tcW w:w="272" w:type="pct"/>
            <w:vAlign w:val="center"/>
          </w:tcPr>
          <w:p w14:paraId="2475EBE1">
            <w:pPr>
              <w:pStyle w:val="133"/>
              <w:rPr>
                <w:rFonts w:cs="Times New Roman"/>
              </w:rPr>
            </w:pPr>
            <w:r>
              <w:rPr>
                <w:rFonts w:cs="Times New Roman"/>
              </w:rPr>
              <w:t>9</w:t>
            </w:r>
            <w:r>
              <w:rPr>
                <w:rFonts w:hint="eastAsia" w:cs="Times New Roman"/>
              </w:rPr>
              <w:t>9</w:t>
            </w:r>
            <w:r>
              <w:rPr>
                <w:rFonts w:cs="Times New Roman"/>
              </w:rPr>
              <w:t>%</w:t>
            </w:r>
          </w:p>
        </w:tc>
        <w:tc>
          <w:tcPr>
            <w:tcW w:w="384" w:type="pct"/>
            <w:vMerge w:val="restart"/>
            <w:vAlign w:val="center"/>
          </w:tcPr>
          <w:p w14:paraId="5AE6D766">
            <w:pPr>
              <w:pStyle w:val="133"/>
              <w:rPr>
                <w:rFonts w:cs="Times New Roman"/>
              </w:rPr>
            </w:pPr>
            <w:r>
              <w:rPr>
                <w:rFonts w:hint="eastAsia" w:cs="Times New Roman"/>
              </w:rPr>
              <w:t>560000</w:t>
            </w:r>
          </w:p>
        </w:tc>
        <w:tc>
          <w:tcPr>
            <w:tcW w:w="294" w:type="pct"/>
            <w:vAlign w:val="center"/>
          </w:tcPr>
          <w:p w14:paraId="64E25AE4">
            <w:pPr>
              <w:pStyle w:val="133"/>
              <w:rPr>
                <w:rFonts w:cs="Times New Roman"/>
              </w:rPr>
            </w:pPr>
            <w:r>
              <w:rPr>
                <w:rFonts w:hint="eastAsia" w:cs="Times New Roman"/>
              </w:rPr>
              <w:t>16.5</w:t>
            </w:r>
          </w:p>
        </w:tc>
        <w:tc>
          <w:tcPr>
            <w:tcW w:w="335" w:type="pct"/>
            <w:vAlign w:val="center"/>
          </w:tcPr>
          <w:p w14:paraId="5AC5B9D0">
            <w:pPr>
              <w:pStyle w:val="133"/>
              <w:rPr>
                <w:rFonts w:cs="Times New Roman"/>
              </w:rPr>
            </w:pPr>
            <w:r>
              <w:rPr>
                <w:rFonts w:hint="eastAsia" w:cs="Times New Roman"/>
              </w:rPr>
              <w:t>9.22</w:t>
            </w:r>
          </w:p>
        </w:tc>
        <w:tc>
          <w:tcPr>
            <w:tcW w:w="153" w:type="pct"/>
            <w:vMerge w:val="restart"/>
            <w:vAlign w:val="center"/>
          </w:tcPr>
          <w:p w14:paraId="6E764A5C">
            <w:pPr>
              <w:pStyle w:val="133"/>
              <w:rPr>
                <w:rFonts w:cs="Times New Roman"/>
              </w:rPr>
            </w:pPr>
            <w:r>
              <w:rPr>
                <w:rFonts w:hint="eastAsia" w:cs="Times New Roman"/>
              </w:rPr>
              <w:t>60</w:t>
            </w:r>
          </w:p>
        </w:tc>
        <w:tc>
          <w:tcPr>
            <w:tcW w:w="209" w:type="pct"/>
            <w:vMerge w:val="restart"/>
            <w:vAlign w:val="center"/>
          </w:tcPr>
          <w:p w14:paraId="4B0F978B">
            <w:pPr>
              <w:pStyle w:val="133"/>
              <w:rPr>
                <w:rFonts w:cs="Times New Roman"/>
              </w:rPr>
            </w:pPr>
            <w:r>
              <w:rPr>
                <w:rFonts w:hint="eastAsia" w:cs="Times New Roman"/>
              </w:rPr>
              <w:t>5.1</w:t>
            </w:r>
          </w:p>
        </w:tc>
        <w:tc>
          <w:tcPr>
            <w:tcW w:w="191" w:type="pct"/>
            <w:vMerge w:val="restart"/>
            <w:vAlign w:val="center"/>
          </w:tcPr>
          <w:p w14:paraId="30358D88">
            <w:pPr>
              <w:pStyle w:val="133"/>
              <w:rPr>
                <w:rFonts w:cs="Times New Roman"/>
              </w:rPr>
            </w:pPr>
            <w:r>
              <w:rPr>
                <w:rFonts w:hint="eastAsia" w:cs="Times New Roman"/>
              </w:rPr>
              <w:t>150</w:t>
            </w:r>
          </w:p>
        </w:tc>
        <w:tc>
          <w:tcPr>
            <w:tcW w:w="153" w:type="pct"/>
            <w:vMerge w:val="restart"/>
            <w:vAlign w:val="center"/>
          </w:tcPr>
          <w:p w14:paraId="118372AD">
            <w:pPr>
              <w:pStyle w:val="133"/>
              <w:rPr>
                <w:rFonts w:cs="Times New Roman"/>
              </w:rPr>
            </w:pPr>
            <w:r>
              <w:rPr>
                <w:rFonts w:cs="Times New Roman"/>
              </w:rPr>
              <w:t>连续</w:t>
            </w:r>
          </w:p>
        </w:tc>
        <w:tc>
          <w:tcPr>
            <w:tcW w:w="228" w:type="pct"/>
            <w:vMerge w:val="restart"/>
            <w:vAlign w:val="center"/>
          </w:tcPr>
          <w:p w14:paraId="7AD30945">
            <w:pPr>
              <w:pStyle w:val="133"/>
              <w:rPr>
                <w:rFonts w:cs="Times New Roman"/>
              </w:rPr>
            </w:pPr>
            <w:r>
              <w:rPr>
                <w:rFonts w:hint="eastAsia" w:cs="Times New Roman"/>
              </w:rPr>
              <w:t>792</w:t>
            </w:r>
            <w:r>
              <w:rPr>
                <w:rFonts w:cs="Times New Roman"/>
              </w:rPr>
              <w:t>0</w:t>
            </w:r>
          </w:p>
        </w:tc>
      </w:tr>
      <w:tr w14:paraId="0F244D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2" w:type="pct"/>
            <w:vMerge w:val="continue"/>
            <w:vAlign w:val="center"/>
          </w:tcPr>
          <w:p w14:paraId="5F3A2492">
            <w:pPr>
              <w:pStyle w:val="133"/>
              <w:rPr>
                <w:rFonts w:cs="Times New Roman"/>
              </w:rPr>
            </w:pPr>
          </w:p>
        </w:tc>
        <w:tc>
          <w:tcPr>
            <w:tcW w:w="391" w:type="pct"/>
            <w:vMerge w:val="continue"/>
            <w:vAlign w:val="center"/>
          </w:tcPr>
          <w:p w14:paraId="5499E462">
            <w:pPr>
              <w:pStyle w:val="133"/>
              <w:rPr>
                <w:rFonts w:cs="Times New Roman"/>
              </w:rPr>
            </w:pPr>
          </w:p>
        </w:tc>
        <w:tc>
          <w:tcPr>
            <w:tcW w:w="243" w:type="pct"/>
            <w:vMerge w:val="continue"/>
            <w:vAlign w:val="center"/>
          </w:tcPr>
          <w:p w14:paraId="2EDB5A4C">
            <w:pPr>
              <w:pStyle w:val="133"/>
              <w:rPr>
                <w:rFonts w:cs="Times New Roman"/>
              </w:rPr>
            </w:pPr>
          </w:p>
        </w:tc>
        <w:tc>
          <w:tcPr>
            <w:tcW w:w="253" w:type="pct"/>
            <w:vAlign w:val="center"/>
          </w:tcPr>
          <w:p w14:paraId="3023CF28">
            <w:pPr>
              <w:pStyle w:val="133"/>
              <w:rPr>
                <w:rFonts w:cs="Times New Roman"/>
              </w:rPr>
            </w:pPr>
            <w:r>
              <w:rPr>
                <w:rFonts w:cs="Times New Roman"/>
              </w:rPr>
              <w:t>二氧化硫</w:t>
            </w:r>
          </w:p>
        </w:tc>
        <w:tc>
          <w:tcPr>
            <w:tcW w:w="234" w:type="pct"/>
            <w:vAlign w:val="center"/>
          </w:tcPr>
          <w:p w14:paraId="68CEF830">
            <w:pPr>
              <w:pStyle w:val="133"/>
              <w:rPr>
                <w:rFonts w:cs="Times New Roman"/>
              </w:rPr>
            </w:pPr>
            <w:r>
              <w:rPr>
                <w:rFonts w:cs="Times New Roman"/>
              </w:rPr>
              <w:t>物料平衡法</w:t>
            </w:r>
          </w:p>
        </w:tc>
        <w:tc>
          <w:tcPr>
            <w:tcW w:w="384" w:type="pct"/>
            <w:vMerge w:val="continue"/>
            <w:vAlign w:val="center"/>
          </w:tcPr>
          <w:p w14:paraId="67142E4A">
            <w:pPr>
              <w:pStyle w:val="133"/>
              <w:rPr>
                <w:rFonts w:cs="Times New Roman"/>
              </w:rPr>
            </w:pPr>
          </w:p>
        </w:tc>
        <w:tc>
          <w:tcPr>
            <w:tcW w:w="334" w:type="pct"/>
            <w:vAlign w:val="center"/>
          </w:tcPr>
          <w:p w14:paraId="0C40B975">
            <w:pPr>
              <w:pStyle w:val="133"/>
              <w:rPr>
                <w:rFonts w:cs="Times New Roman"/>
              </w:rPr>
            </w:pPr>
            <w:r>
              <w:rPr>
                <w:rFonts w:hint="eastAsia" w:cs="Times New Roman"/>
              </w:rPr>
              <w:t>173.1</w:t>
            </w:r>
          </w:p>
        </w:tc>
        <w:tc>
          <w:tcPr>
            <w:tcW w:w="415" w:type="pct"/>
            <w:vAlign w:val="center"/>
          </w:tcPr>
          <w:p w14:paraId="2A17788D">
            <w:pPr>
              <w:pStyle w:val="133"/>
              <w:rPr>
                <w:rFonts w:cs="Times New Roman"/>
              </w:rPr>
            </w:pPr>
            <w:r>
              <w:rPr>
                <w:rFonts w:hint="eastAsia" w:cs="Times New Roman"/>
              </w:rPr>
              <w:t>96.93</w:t>
            </w:r>
          </w:p>
        </w:tc>
        <w:tc>
          <w:tcPr>
            <w:tcW w:w="274" w:type="pct"/>
            <w:vAlign w:val="center"/>
          </w:tcPr>
          <w:p w14:paraId="617871CB">
            <w:pPr>
              <w:pStyle w:val="133"/>
              <w:rPr>
                <w:rFonts w:cs="Times New Roman"/>
              </w:rPr>
            </w:pPr>
            <w:r>
              <w:rPr>
                <w:rFonts w:hint="eastAsia" w:cs="Times New Roman"/>
              </w:rPr>
              <w:t>/</w:t>
            </w:r>
          </w:p>
        </w:tc>
        <w:tc>
          <w:tcPr>
            <w:tcW w:w="272" w:type="pct"/>
            <w:vAlign w:val="center"/>
          </w:tcPr>
          <w:p w14:paraId="64B257E7">
            <w:pPr>
              <w:pStyle w:val="133"/>
              <w:rPr>
                <w:rFonts w:cs="Times New Roman"/>
              </w:rPr>
            </w:pPr>
            <w:r>
              <w:rPr>
                <w:rFonts w:hint="eastAsia" w:cs="Times New Roman"/>
              </w:rPr>
              <w:t>/</w:t>
            </w:r>
          </w:p>
        </w:tc>
        <w:tc>
          <w:tcPr>
            <w:tcW w:w="384" w:type="pct"/>
            <w:vMerge w:val="continue"/>
            <w:vAlign w:val="center"/>
          </w:tcPr>
          <w:p w14:paraId="28E32CFC">
            <w:pPr>
              <w:pStyle w:val="133"/>
              <w:rPr>
                <w:rFonts w:cs="Times New Roman"/>
              </w:rPr>
            </w:pPr>
          </w:p>
        </w:tc>
        <w:tc>
          <w:tcPr>
            <w:tcW w:w="294" w:type="pct"/>
            <w:vAlign w:val="center"/>
          </w:tcPr>
          <w:p w14:paraId="2E4180E3">
            <w:pPr>
              <w:pStyle w:val="133"/>
              <w:rPr>
                <w:rFonts w:cs="Times New Roman"/>
              </w:rPr>
            </w:pPr>
            <w:r>
              <w:rPr>
                <w:rFonts w:hint="eastAsia" w:cs="Times New Roman"/>
              </w:rPr>
              <w:t>173.1</w:t>
            </w:r>
          </w:p>
        </w:tc>
        <w:tc>
          <w:tcPr>
            <w:tcW w:w="335" w:type="pct"/>
            <w:vAlign w:val="center"/>
          </w:tcPr>
          <w:p w14:paraId="21FA46EE">
            <w:pPr>
              <w:pStyle w:val="133"/>
              <w:rPr>
                <w:rFonts w:cs="Times New Roman"/>
              </w:rPr>
            </w:pPr>
            <w:r>
              <w:rPr>
                <w:rFonts w:hint="eastAsia" w:cs="Times New Roman"/>
              </w:rPr>
              <w:t>96.93</w:t>
            </w:r>
          </w:p>
        </w:tc>
        <w:tc>
          <w:tcPr>
            <w:tcW w:w="153" w:type="pct"/>
            <w:vMerge w:val="continue"/>
            <w:vAlign w:val="center"/>
          </w:tcPr>
          <w:p w14:paraId="197FD05C">
            <w:pPr>
              <w:pStyle w:val="133"/>
              <w:rPr>
                <w:rFonts w:cs="Times New Roman"/>
              </w:rPr>
            </w:pPr>
          </w:p>
        </w:tc>
        <w:tc>
          <w:tcPr>
            <w:tcW w:w="209" w:type="pct"/>
            <w:vMerge w:val="continue"/>
            <w:vAlign w:val="center"/>
          </w:tcPr>
          <w:p w14:paraId="5769203A">
            <w:pPr>
              <w:pStyle w:val="133"/>
              <w:rPr>
                <w:rFonts w:cs="Times New Roman"/>
              </w:rPr>
            </w:pPr>
          </w:p>
        </w:tc>
        <w:tc>
          <w:tcPr>
            <w:tcW w:w="191" w:type="pct"/>
            <w:vMerge w:val="continue"/>
            <w:vAlign w:val="center"/>
          </w:tcPr>
          <w:p w14:paraId="770643DB">
            <w:pPr>
              <w:pStyle w:val="133"/>
              <w:rPr>
                <w:rFonts w:cs="Times New Roman"/>
              </w:rPr>
            </w:pPr>
          </w:p>
        </w:tc>
        <w:tc>
          <w:tcPr>
            <w:tcW w:w="153" w:type="pct"/>
            <w:vMerge w:val="continue"/>
            <w:vAlign w:val="center"/>
          </w:tcPr>
          <w:p w14:paraId="46663340">
            <w:pPr>
              <w:pStyle w:val="133"/>
              <w:rPr>
                <w:rFonts w:cs="Times New Roman"/>
              </w:rPr>
            </w:pPr>
          </w:p>
        </w:tc>
        <w:tc>
          <w:tcPr>
            <w:tcW w:w="228" w:type="pct"/>
            <w:vMerge w:val="continue"/>
            <w:vAlign w:val="center"/>
          </w:tcPr>
          <w:p w14:paraId="59C9007B">
            <w:pPr>
              <w:pStyle w:val="133"/>
              <w:rPr>
                <w:rFonts w:cs="Times New Roman"/>
              </w:rPr>
            </w:pPr>
          </w:p>
        </w:tc>
      </w:tr>
      <w:tr w14:paraId="4D9DB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2" w:type="pct"/>
            <w:vMerge w:val="continue"/>
            <w:vAlign w:val="center"/>
          </w:tcPr>
          <w:p w14:paraId="7EBFA5AF">
            <w:pPr>
              <w:pStyle w:val="133"/>
              <w:rPr>
                <w:rFonts w:cs="Times New Roman"/>
              </w:rPr>
            </w:pPr>
          </w:p>
        </w:tc>
        <w:tc>
          <w:tcPr>
            <w:tcW w:w="391" w:type="pct"/>
            <w:vMerge w:val="continue"/>
            <w:vAlign w:val="center"/>
          </w:tcPr>
          <w:p w14:paraId="194422C3">
            <w:pPr>
              <w:pStyle w:val="133"/>
              <w:rPr>
                <w:rFonts w:cs="Times New Roman"/>
              </w:rPr>
            </w:pPr>
          </w:p>
        </w:tc>
        <w:tc>
          <w:tcPr>
            <w:tcW w:w="243" w:type="pct"/>
            <w:vMerge w:val="continue"/>
            <w:vAlign w:val="center"/>
          </w:tcPr>
          <w:p w14:paraId="65F653CD">
            <w:pPr>
              <w:pStyle w:val="133"/>
              <w:rPr>
                <w:rFonts w:cs="Times New Roman"/>
              </w:rPr>
            </w:pPr>
          </w:p>
        </w:tc>
        <w:tc>
          <w:tcPr>
            <w:tcW w:w="253" w:type="pct"/>
            <w:vAlign w:val="center"/>
          </w:tcPr>
          <w:p w14:paraId="35F9CBD2">
            <w:pPr>
              <w:pStyle w:val="133"/>
              <w:rPr>
                <w:rFonts w:cs="Times New Roman"/>
              </w:rPr>
            </w:pPr>
            <w:r>
              <w:rPr>
                <w:rFonts w:hint="eastAsia" w:cs="Times New Roman"/>
              </w:rPr>
              <w:t>氮氧化物</w:t>
            </w:r>
          </w:p>
        </w:tc>
        <w:tc>
          <w:tcPr>
            <w:tcW w:w="234" w:type="pct"/>
            <w:vAlign w:val="center"/>
          </w:tcPr>
          <w:p w14:paraId="4B0D03CA">
            <w:pPr>
              <w:pStyle w:val="133"/>
              <w:rPr>
                <w:rFonts w:cs="Times New Roman"/>
              </w:rPr>
            </w:pPr>
            <w:r>
              <w:rPr>
                <w:rFonts w:hint="eastAsia" w:cs="Times New Roman"/>
              </w:rPr>
              <w:t>类比法</w:t>
            </w:r>
          </w:p>
        </w:tc>
        <w:tc>
          <w:tcPr>
            <w:tcW w:w="384" w:type="pct"/>
            <w:vMerge w:val="continue"/>
            <w:vAlign w:val="center"/>
          </w:tcPr>
          <w:p w14:paraId="4D5747AE">
            <w:pPr>
              <w:pStyle w:val="133"/>
              <w:rPr>
                <w:rFonts w:cs="Times New Roman"/>
              </w:rPr>
            </w:pPr>
          </w:p>
        </w:tc>
        <w:tc>
          <w:tcPr>
            <w:tcW w:w="334" w:type="pct"/>
            <w:vAlign w:val="center"/>
          </w:tcPr>
          <w:p w14:paraId="2865BC3F">
            <w:pPr>
              <w:pStyle w:val="133"/>
              <w:rPr>
                <w:rFonts w:cs="Times New Roman"/>
              </w:rPr>
            </w:pPr>
            <w:r>
              <w:rPr>
                <w:rFonts w:hint="eastAsia" w:cs="Times New Roman"/>
              </w:rPr>
              <w:t>34.8</w:t>
            </w:r>
          </w:p>
        </w:tc>
        <w:tc>
          <w:tcPr>
            <w:tcW w:w="415" w:type="pct"/>
            <w:vAlign w:val="center"/>
          </w:tcPr>
          <w:p w14:paraId="61F39527">
            <w:pPr>
              <w:pStyle w:val="133"/>
              <w:rPr>
                <w:rFonts w:cs="Times New Roman"/>
              </w:rPr>
            </w:pPr>
            <w:r>
              <w:rPr>
                <w:rFonts w:hint="eastAsia" w:cs="Times New Roman"/>
              </w:rPr>
              <w:t>19.47</w:t>
            </w:r>
          </w:p>
        </w:tc>
        <w:tc>
          <w:tcPr>
            <w:tcW w:w="274" w:type="pct"/>
            <w:vAlign w:val="center"/>
          </w:tcPr>
          <w:p w14:paraId="58ADD1F5">
            <w:pPr>
              <w:pStyle w:val="133"/>
              <w:rPr>
                <w:rFonts w:cs="Times New Roman"/>
              </w:rPr>
            </w:pPr>
            <w:r>
              <w:rPr>
                <w:rFonts w:hint="eastAsia" w:cs="Times New Roman"/>
              </w:rPr>
              <w:t>/</w:t>
            </w:r>
          </w:p>
        </w:tc>
        <w:tc>
          <w:tcPr>
            <w:tcW w:w="272" w:type="pct"/>
            <w:vAlign w:val="center"/>
          </w:tcPr>
          <w:p w14:paraId="1F5C8736">
            <w:pPr>
              <w:pStyle w:val="133"/>
              <w:rPr>
                <w:rFonts w:cs="Times New Roman"/>
              </w:rPr>
            </w:pPr>
            <w:r>
              <w:rPr>
                <w:rFonts w:hint="eastAsia" w:cs="Times New Roman"/>
              </w:rPr>
              <w:t>/</w:t>
            </w:r>
          </w:p>
        </w:tc>
        <w:tc>
          <w:tcPr>
            <w:tcW w:w="384" w:type="pct"/>
            <w:vMerge w:val="continue"/>
            <w:vAlign w:val="center"/>
          </w:tcPr>
          <w:p w14:paraId="3BBBE8FA">
            <w:pPr>
              <w:pStyle w:val="133"/>
              <w:rPr>
                <w:rFonts w:cs="Times New Roman"/>
              </w:rPr>
            </w:pPr>
          </w:p>
        </w:tc>
        <w:tc>
          <w:tcPr>
            <w:tcW w:w="294" w:type="pct"/>
            <w:vAlign w:val="center"/>
          </w:tcPr>
          <w:p w14:paraId="32E587CD">
            <w:pPr>
              <w:pStyle w:val="133"/>
              <w:rPr>
                <w:rFonts w:cs="Times New Roman"/>
              </w:rPr>
            </w:pPr>
            <w:r>
              <w:rPr>
                <w:rFonts w:hint="eastAsia" w:cs="Times New Roman"/>
              </w:rPr>
              <w:t>34.8</w:t>
            </w:r>
          </w:p>
        </w:tc>
        <w:tc>
          <w:tcPr>
            <w:tcW w:w="335" w:type="pct"/>
            <w:vAlign w:val="center"/>
          </w:tcPr>
          <w:p w14:paraId="2A979A2B">
            <w:pPr>
              <w:pStyle w:val="133"/>
              <w:rPr>
                <w:rFonts w:cs="Times New Roman"/>
              </w:rPr>
            </w:pPr>
            <w:r>
              <w:rPr>
                <w:rFonts w:hint="eastAsia" w:cs="Times New Roman"/>
              </w:rPr>
              <w:t>19.47</w:t>
            </w:r>
          </w:p>
        </w:tc>
        <w:tc>
          <w:tcPr>
            <w:tcW w:w="153" w:type="pct"/>
            <w:vMerge w:val="continue"/>
            <w:vAlign w:val="center"/>
          </w:tcPr>
          <w:p w14:paraId="15021D2B">
            <w:pPr>
              <w:pStyle w:val="133"/>
              <w:rPr>
                <w:rFonts w:cs="Times New Roman"/>
              </w:rPr>
            </w:pPr>
          </w:p>
        </w:tc>
        <w:tc>
          <w:tcPr>
            <w:tcW w:w="209" w:type="pct"/>
            <w:vMerge w:val="continue"/>
            <w:vAlign w:val="center"/>
          </w:tcPr>
          <w:p w14:paraId="0D25C148">
            <w:pPr>
              <w:pStyle w:val="133"/>
              <w:rPr>
                <w:rFonts w:cs="Times New Roman"/>
              </w:rPr>
            </w:pPr>
          </w:p>
        </w:tc>
        <w:tc>
          <w:tcPr>
            <w:tcW w:w="191" w:type="pct"/>
            <w:vMerge w:val="continue"/>
            <w:vAlign w:val="center"/>
          </w:tcPr>
          <w:p w14:paraId="7C74A5A5">
            <w:pPr>
              <w:pStyle w:val="133"/>
              <w:rPr>
                <w:rFonts w:cs="Times New Roman"/>
              </w:rPr>
            </w:pPr>
          </w:p>
        </w:tc>
        <w:tc>
          <w:tcPr>
            <w:tcW w:w="153" w:type="pct"/>
            <w:vMerge w:val="continue"/>
            <w:vAlign w:val="center"/>
          </w:tcPr>
          <w:p w14:paraId="22039784">
            <w:pPr>
              <w:pStyle w:val="133"/>
              <w:rPr>
                <w:rFonts w:cs="Times New Roman"/>
              </w:rPr>
            </w:pPr>
          </w:p>
        </w:tc>
        <w:tc>
          <w:tcPr>
            <w:tcW w:w="228" w:type="pct"/>
            <w:vMerge w:val="continue"/>
            <w:vAlign w:val="center"/>
          </w:tcPr>
          <w:p w14:paraId="7ED85E11">
            <w:pPr>
              <w:pStyle w:val="133"/>
              <w:rPr>
                <w:rFonts w:cs="Times New Roman"/>
              </w:rPr>
            </w:pPr>
          </w:p>
        </w:tc>
      </w:tr>
      <w:tr w14:paraId="3E831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2" w:type="pct"/>
            <w:vAlign w:val="center"/>
          </w:tcPr>
          <w:p w14:paraId="379FD017">
            <w:pPr>
              <w:pStyle w:val="133"/>
              <w:rPr>
                <w:rFonts w:cs="Times New Roman"/>
              </w:rPr>
            </w:pPr>
            <w:r>
              <w:rPr>
                <w:rFonts w:hint="eastAsia" w:cs="Times New Roman"/>
              </w:rPr>
              <w:t>G</w:t>
            </w:r>
            <w:r>
              <w:rPr>
                <w:rFonts w:hint="eastAsia" w:cs="Times New Roman"/>
                <w:vertAlign w:val="subscript"/>
              </w:rPr>
              <w:t>2-3</w:t>
            </w:r>
          </w:p>
        </w:tc>
        <w:tc>
          <w:tcPr>
            <w:tcW w:w="391" w:type="pct"/>
            <w:vAlign w:val="center"/>
          </w:tcPr>
          <w:p w14:paraId="08FED06F">
            <w:pPr>
              <w:pStyle w:val="133"/>
              <w:rPr>
                <w:rFonts w:cs="Times New Roman"/>
              </w:rPr>
            </w:pPr>
            <w:r>
              <w:rPr>
                <w:rFonts w:cs="Times New Roman"/>
              </w:rPr>
              <w:t>矿热炉及浇铸机</w:t>
            </w:r>
          </w:p>
        </w:tc>
        <w:tc>
          <w:tcPr>
            <w:tcW w:w="243" w:type="pct"/>
            <w:vAlign w:val="center"/>
          </w:tcPr>
          <w:p w14:paraId="328EF024">
            <w:pPr>
              <w:pStyle w:val="133"/>
              <w:rPr>
                <w:rFonts w:cs="Times New Roman"/>
              </w:rPr>
            </w:pPr>
            <w:r>
              <w:rPr>
                <w:rFonts w:cs="Times New Roman"/>
              </w:rPr>
              <w:t>出铁浇铸废气</w:t>
            </w:r>
          </w:p>
        </w:tc>
        <w:tc>
          <w:tcPr>
            <w:tcW w:w="253" w:type="pct"/>
            <w:vAlign w:val="center"/>
          </w:tcPr>
          <w:p w14:paraId="309F694C">
            <w:pPr>
              <w:pStyle w:val="133"/>
              <w:rPr>
                <w:rFonts w:cs="Times New Roman"/>
              </w:rPr>
            </w:pPr>
            <w:r>
              <w:rPr>
                <w:rFonts w:cs="Times New Roman"/>
              </w:rPr>
              <w:t>颗粒物</w:t>
            </w:r>
          </w:p>
        </w:tc>
        <w:tc>
          <w:tcPr>
            <w:tcW w:w="234" w:type="pct"/>
            <w:vAlign w:val="center"/>
          </w:tcPr>
          <w:p w14:paraId="6E9768BD">
            <w:pPr>
              <w:pStyle w:val="133"/>
              <w:rPr>
                <w:rFonts w:cs="Times New Roman"/>
              </w:rPr>
            </w:pPr>
            <w:r>
              <w:rPr>
                <w:rFonts w:hint="eastAsia" w:cs="Times New Roman"/>
              </w:rPr>
              <w:t>类比法</w:t>
            </w:r>
          </w:p>
        </w:tc>
        <w:tc>
          <w:tcPr>
            <w:tcW w:w="384" w:type="pct"/>
            <w:vAlign w:val="center"/>
          </w:tcPr>
          <w:p w14:paraId="419A1C96">
            <w:pPr>
              <w:pStyle w:val="133"/>
              <w:rPr>
                <w:rFonts w:cs="Times New Roman"/>
              </w:rPr>
            </w:pPr>
            <w:r>
              <w:rPr>
                <w:rFonts w:hint="eastAsia" w:cs="Times New Roman"/>
              </w:rPr>
              <w:t>65500</w:t>
            </w:r>
          </w:p>
        </w:tc>
        <w:tc>
          <w:tcPr>
            <w:tcW w:w="334" w:type="pct"/>
            <w:vAlign w:val="center"/>
          </w:tcPr>
          <w:p w14:paraId="50477F22">
            <w:pPr>
              <w:pStyle w:val="133"/>
              <w:rPr>
                <w:rFonts w:cs="Times New Roman"/>
              </w:rPr>
            </w:pPr>
            <w:r>
              <w:rPr>
                <w:rFonts w:hint="eastAsia" w:cs="Times New Roman"/>
              </w:rPr>
              <w:t>155.1</w:t>
            </w:r>
          </w:p>
        </w:tc>
        <w:tc>
          <w:tcPr>
            <w:tcW w:w="415" w:type="pct"/>
            <w:vAlign w:val="center"/>
          </w:tcPr>
          <w:p w14:paraId="61E5109E">
            <w:pPr>
              <w:pStyle w:val="133"/>
              <w:rPr>
                <w:rFonts w:cs="Times New Roman"/>
              </w:rPr>
            </w:pPr>
            <w:r>
              <w:rPr>
                <w:rFonts w:hint="eastAsia" w:cs="Times New Roman"/>
              </w:rPr>
              <w:t>10.16</w:t>
            </w:r>
          </w:p>
        </w:tc>
        <w:tc>
          <w:tcPr>
            <w:tcW w:w="274" w:type="pct"/>
            <w:vAlign w:val="center"/>
          </w:tcPr>
          <w:p w14:paraId="2BBB725D">
            <w:pPr>
              <w:pStyle w:val="133"/>
              <w:rPr>
                <w:rFonts w:cs="Times New Roman"/>
              </w:rPr>
            </w:pPr>
            <w:r>
              <w:rPr>
                <w:rFonts w:cs="Times New Roman"/>
              </w:rPr>
              <w:t>布袋除尘</w:t>
            </w:r>
          </w:p>
        </w:tc>
        <w:tc>
          <w:tcPr>
            <w:tcW w:w="272" w:type="pct"/>
            <w:vAlign w:val="center"/>
          </w:tcPr>
          <w:p w14:paraId="511F2204">
            <w:pPr>
              <w:pStyle w:val="133"/>
              <w:rPr>
                <w:rFonts w:cs="Times New Roman"/>
              </w:rPr>
            </w:pPr>
            <w:r>
              <w:rPr>
                <w:rFonts w:cs="Times New Roman"/>
              </w:rPr>
              <w:t>9</w:t>
            </w:r>
            <w:r>
              <w:rPr>
                <w:rFonts w:hint="eastAsia" w:cs="Times New Roman"/>
              </w:rPr>
              <w:t>9</w:t>
            </w:r>
            <w:r>
              <w:rPr>
                <w:rFonts w:cs="Times New Roman"/>
              </w:rPr>
              <w:t>%</w:t>
            </w:r>
          </w:p>
        </w:tc>
        <w:tc>
          <w:tcPr>
            <w:tcW w:w="384" w:type="pct"/>
            <w:vAlign w:val="center"/>
          </w:tcPr>
          <w:p w14:paraId="3268D131">
            <w:pPr>
              <w:pStyle w:val="133"/>
              <w:rPr>
                <w:rFonts w:cs="Times New Roman"/>
              </w:rPr>
            </w:pPr>
            <w:r>
              <w:rPr>
                <w:rFonts w:hint="eastAsia" w:cs="Times New Roman"/>
              </w:rPr>
              <w:t>65500</w:t>
            </w:r>
          </w:p>
        </w:tc>
        <w:tc>
          <w:tcPr>
            <w:tcW w:w="294" w:type="pct"/>
            <w:vAlign w:val="center"/>
          </w:tcPr>
          <w:p w14:paraId="7A2E0131">
            <w:pPr>
              <w:pStyle w:val="133"/>
              <w:rPr>
                <w:rFonts w:cs="Times New Roman"/>
              </w:rPr>
            </w:pPr>
            <w:r>
              <w:rPr>
                <w:rFonts w:hint="eastAsia" w:cs="Times New Roman"/>
              </w:rPr>
              <w:t>1.6</w:t>
            </w:r>
          </w:p>
        </w:tc>
        <w:tc>
          <w:tcPr>
            <w:tcW w:w="335" w:type="pct"/>
            <w:vAlign w:val="center"/>
          </w:tcPr>
          <w:p w14:paraId="51F09E13">
            <w:pPr>
              <w:pStyle w:val="133"/>
              <w:rPr>
                <w:rFonts w:cs="Times New Roman"/>
              </w:rPr>
            </w:pPr>
            <w:r>
              <w:rPr>
                <w:rFonts w:hint="eastAsia" w:cs="Times New Roman"/>
              </w:rPr>
              <w:t>0.10</w:t>
            </w:r>
          </w:p>
        </w:tc>
        <w:tc>
          <w:tcPr>
            <w:tcW w:w="153" w:type="pct"/>
            <w:vAlign w:val="center"/>
          </w:tcPr>
          <w:p w14:paraId="16ED20B0">
            <w:pPr>
              <w:pStyle w:val="133"/>
              <w:rPr>
                <w:rFonts w:cs="Times New Roman"/>
              </w:rPr>
            </w:pPr>
            <w:r>
              <w:rPr>
                <w:rFonts w:hint="eastAsia" w:cs="Times New Roman"/>
              </w:rPr>
              <w:t>20</w:t>
            </w:r>
          </w:p>
        </w:tc>
        <w:tc>
          <w:tcPr>
            <w:tcW w:w="209" w:type="pct"/>
            <w:vAlign w:val="center"/>
          </w:tcPr>
          <w:p w14:paraId="220BB4FD">
            <w:pPr>
              <w:pStyle w:val="133"/>
              <w:rPr>
                <w:rFonts w:cs="Times New Roman"/>
              </w:rPr>
            </w:pPr>
            <w:r>
              <w:rPr>
                <w:rFonts w:hint="eastAsia" w:cs="Times New Roman"/>
              </w:rPr>
              <w:t>1.9</w:t>
            </w:r>
          </w:p>
        </w:tc>
        <w:tc>
          <w:tcPr>
            <w:tcW w:w="191" w:type="pct"/>
            <w:vAlign w:val="center"/>
          </w:tcPr>
          <w:p w14:paraId="362B1877">
            <w:pPr>
              <w:pStyle w:val="133"/>
              <w:rPr>
                <w:rFonts w:cs="Times New Roman"/>
              </w:rPr>
            </w:pPr>
            <w:r>
              <w:rPr>
                <w:rFonts w:hint="eastAsia" w:cs="Times New Roman"/>
              </w:rPr>
              <w:t>25</w:t>
            </w:r>
          </w:p>
        </w:tc>
        <w:tc>
          <w:tcPr>
            <w:tcW w:w="153" w:type="pct"/>
            <w:vAlign w:val="center"/>
          </w:tcPr>
          <w:p w14:paraId="2E565CCE">
            <w:pPr>
              <w:pStyle w:val="133"/>
              <w:rPr>
                <w:rFonts w:cs="Times New Roman"/>
              </w:rPr>
            </w:pPr>
            <w:r>
              <w:rPr>
                <w:rFonts w:cs="Times New Roman"/>
              </w:rPr>
              <w:t>连续</w:t>
            </w:r>
          </w:p>
        </w:tc>
        <w:tc>
          <w:tcPr>
            <w:tcW w:w="228" w:type="pct"/>
            <w:vAlign w:val="center"/>
          </w:tcPr>
          <w:p w14:paraId="423320EE">
            <w:pPr>
              <w:pStyle w:val="133"/>
              <w:rPr>
                <w:rFonts w:cs="Times New Roman"/>
              </w:rPr>
            </w:pPr>
            <w:r>
              <w:rPr>
                <w:rFonts w:hint="eastAsia" w:cs="Times New Roman"/>
              </w:rPr>
              <w:t>792</w:t>
            </w:r>
            <w:r>
              <w:rPr>
                <w:rFonts w:cs="Times New Roman"/>
              </w:rPr>
              <w:t>0</w:t>
            </w:r>
          </w:p>
        </w:tc>
      </w:tr>
      <w:tr w14:paraId="76C07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2" w:type="pct"/>
            <w:vAlign w:val="center"/>
          </w:tcPr>
          <w:p w14:paraId="4662632C">
            <w:pPr>
              <w:pStyle w:val="133"/>
              <w:rPr>
                <w:rFonts w:cs="Times New Roman"/>
              </w:rPr>
            </w:pPr>
            <w:r>
              <w:rPr>
                <w:rFonts w:hint="eastAsia" w:cs="Times New Roman"/>
              </w:rPr>
              <w:t>G</w:t>
            </w:r>
            <w:r>
              <w:rPr>
                <w:rFonts w:hint="eastAsia" w:cs="Times New Roman"/>
                <w:vertAlign w:val="subscript"/>
              </w:rPr>
              <w:t>2-4</w:t>
            </w:r>
          </w:p>
        </w:tc>
        <w:tc>
          <w:tcPr>
            <w:tcW w:w="391" w:type="pct"/>
            <w:vAlign w:val="center"/>
          </w:tcPr>
          <w:p w14:paraId="478370D7">
            <w:pPr>
              <w:pStyle w:val="133"/>
              <w:rPr>
                <w:rFonts w:cs="Times New Roman"/>
              </w:rPr>
            </w:pPr>
            <w:r>
              <w:rPr>
                <w:rFonts w:cs="Times New Roman"/>
              </w:rPr>
              <w:t>成品破碎机</w:t>
            </w:r>
          </w:p>
        </w:tc>
        <w:tc>
          <w:tcPr>
            <w:tcW w:w="243" w:type="pct"/>
            <w:vAlign w:val="center"/>
          </w:tcPr>
          <w:p w14:paraId="188CCA7D">
            <w:pPr>
              <w:pStyle w:val="133"/>
              <w:rPr>
                <w:rFonts w:cs="Times New Roman"/>
              </w:rPr>
            </w:pPr>
            <w:r>
              <w:rPr>
                <w:rFonts w:cs="Times New Roman"/>
              </w:rPr>
              <w:t>破碎废气</w:t>
            </w:r>
          </w:p>
        </w:tc>
        <w:tc>
          <w:tcPr>
            <w:tcW w:w="253" w:type="pct"/>
            <w:vAlign w:val="center"/>
          </w:tcPr>
          <w:p w14:paraId="6C40E3D7">
            <w:pPr>
              <w:pStyle w:val="133"/>
              <w:rPr>
                <w:rFonts w:cs="Times New Roman"/>
              </w:rPr>
            </w:pPr>
            <w:r>
              <w:rPr>
                <w:rFonts w:cs="Times New Roman"/>
              </w:rPr>
              <w:t>颗粒物</w:t>
            </w:r>
          </w:p>
        </w:tc>
        <w:tc>
          <w:tcPr>
            <w:tcW w:w="234" w:type="pct"/>
            <w:vAlign w:val="center"/>
          </w:tcPr>
          <w:p w14:paraId="1071A56C">
            <w:pPr>
              <w:pStyle w:val="133"/>
              <w:rPr>
                <w:rFonts w:cs="Times New Roman"/>
              </w:rPr>
            </w:pPr>
            <w:r>
              <w:rPr>
                <w:rFonts w:hint="eastAsia" w:cs="Times New Roman"/>
              </w:rPr>
              <w:t>类比法</w:t>
            </w:r>
          </w:p>
        </w:tc>
        <w:tc>
          <w:tcPr>
            <w:tcW w:w="384" w:type="pct"/>
            <w:vAlign w:val="center"/>
          </w:tcPr>
          <w:p w14:paraId="72E3CC84">
            <w:pPr>
              <w:pStyle w:val="133"/>
              <w:rPr>
                <w:rFonts w:cs="Times New Roman"/>
              </w:rPr>
            </w:pPr>
            <w:r>
              <w:rPr>
                <w:rFonts w:hint="eastAsia" w:cs="Times New Roman"/>
              </w:rPr>
              <w:t>7800</w:t>
            </w:r>
          </w:p>
        </w:tc>
        <w:tc>
          <w:tcPr>
            <w:tcW w:w="334" w:type="pct"/>
            <w:vAlign w:val="center"/>
          </w:tcPr>
          <w:p w14:paraId="2829CB35">
            <w:pPr>
              <w:pStyle w:val="133"/>
              <w:rPr>
                <w:rFonts w:cs="Times New Roman"/>
              </w:rPr>
            </w:pPr>
            <w:r>
              <w:rPr>
                <w:rFonts w:hint="eastAsia" w:cs="Times New Roman"/>
              </w:rPr>
              <w:t>200.4</w:t>
            </w:r>
          </w:p>
        </w:tc>
        <w:tc>
          <w:tcPr>
            <w:tcW w:w="415" w:type="pct"/>
            <w:vAlign w:val="center"/>
          </w:tcPr>
          <w:p w14:paraId="66656F6B">
            <w:pPr>
              <w:pStyle w:val="133"/>
              <w:rPr>
                <w:rFonts w:cs="Times New Roman"/>
              </w:rPr>
            </w:pPr>
            <w:r>
              <w:rPr>
                <w:rFonts w:hint="eastAsia" w:cs="Times New Roman"/>
              </w:rPr>
              <w:t>1.56</w:t>
            </w:r>
          </w:p>
        </w:tc>
        <w:tc>
          <w:tcPr>
            <w:tcW w:w="274" w:type="pct"/>
            <w:vAlign w:val="center"/>
          </w:tcPr>
          <w:p w14:paraId="5C703A6E">
            <w:pPr>
              <w:pStyle w:val="133"/>
              <w:rPr>
                <w:rFonts w:cs="Times New Roman"/>
              </w:rPr>
            </w:pPr>
            <w:r>
              <w:rPr>
                <w:rFonts w:cs="Times New Roman"/>
              </w:rPr>
              <w:t>布袋除尘</w:t>
            </w:r>
          </w:p>
        </w:tc>
        <w:tc>
          <w:tcPr>
            <w:tcW w:w="272" w:type="pct"/>
            <w:vAlign w:val="center"/>
          </w:tcPr>
          <w:p w14:paraId="587E70A4">
            <w:pPr>
              <w:pStyle w:val="133"/>
              <w:rPr>
                <w:rFonts w:cs="Times New Roman"/>
              </w:rPr>
            </w:pPr>
            <w:r>
              <w:rPr>
                <w:rFonts w:cs="Times New Roman"/>
              </w:rPr>
              <w:t>9</w:t>
            </w:r>
            <w:r>
              <w:rPr>
                <w:rFonts w:hint="eastAsia" w:cs="Times New Roman"/>
              </w:rPr>
              <w:t>9</w:t>
            </w:r>
            <w:r>
              <w:rPr>
                <w:rFonts w:cs="Times New Roman"/>
              </w:rPr>
              <w:t>%</w:t>
            </w:r>
          </w:p>
        </w:tc>
        <w:tc>
          <w:tcPr>
            <w:tcW w:w="384" w:type="pct"/>
            <w:vAlign w:val="center"/>
          </w:tcPr>
          <w:p w14:paraId="05B425E3">
            <w:pPr>
              <w:pStyle w:val="133"/>
              <w:rPr>
                <w:rFonts w:cs="Times New Roman"/>
              </w:rPr>
            </w:pPr>
            <w:r>
              <w:rPr>
                <w:rFonts w:hint="eastAsia" w:cs="Times New Roman"/>
              </w:rPr>
              <w:t>7800</w:t>
            </w:r>
          </w:p>
        </w:tc>
        <w:tc>
          <w:tcPr>
            <w:tcW w:w="294" w:type="pct"/>
            <w:vAlign w:val="center"/>
          </w:tcPr>
          <w:p w14:paraId="6B1E34ED">
            <w:pPr>
              <w:pStyle w:val="133"/>
              <w:rPr>
                <w:rFonts w:cs="Times New Roman"/>
              </w:rPr>
            </w:pPr>
            <w:r>
              <w:rPr>
                <w:rFonts w:hint="eastAsia" w:cs="Times New Roman"/>
              </w:rPr>
              <w:t>2.0</w:t>
            </w:r>
          </w:p>
        </w:tc>
        <w:tc>
          <w:tcPr>
            <w:tcW w:w="335" w:type="pct"/>
            <w:vAlign w:val="center"/>
          </w:tcPr>
          <w:p w14:paraId="00E16289">
            <w:pPr>
              <w:pStyle w:val="133"/>
              <w:rPr>
                <w:rFonts w:cs="Times New Roman"/>
              </w:rPr>
            </w:pPr>
            <w:r>
              <w:rPr>
                <w:rFonts w:hint="eastAsia" w:cs="Times New Roman"/>
              </w:rPr>
              <w:t>0.02</w:t>
            </w:r>
          </w:p>
        </w:tc>
        <w:tc>
          <w:tcPr>
            <w:tcW w:w="153" w:type="pct"/>
            <w:vAlign w:val="center"/>
          </w:tcPr>
          <w:p w14:paraId="618DCDC0">
            <w:pPr>
              <w:pStyle w:val="133"/>
              <w:rPr>
                <w:rFonts w:cs="Times New Roman"/>
              </w:rPr>
            </w:pPr>
            <w:r>
              <w:rPr>
                <w:rFonts w:hint="eastAsia" w:cs="Times New Roman"/>
              </w:rPr>
              <w:t>15</w:t>
            </w:r>
          </w:p>
        </w:tc>
        <w:tc>
          <w:tcPr>
            <w:tcW w:w="209" w:type="pct"/>
            <w:vAlign w:val="center"/>
          </w:tcPr>
          <w:p w14:paraId="181B307F">
            <w:pPr>
              <w:pStyle w:val="133"/>
              <w:rPr>
                <w:rFonts w:cs="Times New Roman"/>
              </w:rPr>
            </w:pPr>
            <w:r>
              <w:rPr>
                <w:rFonts w:hint="eastAsia" w:cs="Times New Roman"/>
              </w:rPr>
              <w:t>0.85</w:t>
            </w:r>
          </w:p>
        </w:tc>
        <w:tc>
          <w:tcPr>
            <w:tcW w:w="191" w:type="pct"/>
            <w:vAlign w:val="center"/>
          </w:tcPr>
          <w:p w14:paraId="66202CBC">
            <w:pPr>
              <w:pStyle w:val="133"/>
              <w:rPr>
                <w:rFonts w:cs="Times New Roman"/>
              </w:rPr>
            </w:pPr>
            <w:r>
              <w:rPr>
                <w:rFonts w:hint="eastAsia" w:cs="Times New Roman"/>
              </w:rPr>
              <w:t>25</w:t>
            </w:r>
          </w:p>
        </w:tc>
        <w:tc>
          <w:tcPr>
            <w:tcW w:w="153" w:type="pct"/>
            <w:vAlign w:val="center"/>
          </w:tcPr>
          <w:p w14:paraId="7B6115C4">
            <w:pPr>
              <w:pStyle w:val="133"/>
              <w:rPr>
                <w:rFonts w:cs="Times New Roman"/>
              </w:rPr>
            </w:pPr>
            <w:r>
              <w:rPr>
                <w:rFonts w:cs="Times New Roman"/>
              </w:rPr>
              <w:t>间歇</w:t>
            </w:r>
          </w:p>
        </w:tc>
        <w:tc>
          <w:tcPr>
            <w:tcW w:w="228" w:type="pct"/>
            <w:vAlign w:val="center"/>
          </w:tcPr>
          <w:p w14:paraId="568CE881">
            <w:pPr>
              <w:pStyle w:val="133"/>
              <w:rPr>
                <w:rFonts w:cs="Times New Roman"/>
              </w:rPr>
            </w:pPr>
            <w:r>
              <w:rPr>
                <w:rFonts w:cs="Times New Roman"/>
              </w:rPr>
              <w:t>4000</w:t>
            </w:r>
          </w:p>
        </w:tc>
      </w:tr>
    </w:tbl>
    <w:p w14:paraId="4FB0B368">
      <w:pPr>
        <w:pStyle w:val="38"/>
        <w:ind w:firstLine="480"/>
      </w:pPr>
    </w:p>
    <w:p w14:paraId="48DF8D19">
      <w:pPr>
        <w:pStyle w:val="38"/>
        <w:ind w:firstLine="480"/>
      </w:pPr>
    </w:p>
    <w:p w14:paraId="4334DCA3">
      <w:pPr>
        <w:pStyle w:val="117"/>
        <w:ind w:firstLine="480"/>
        <w:rPr>
          <w:rFonts w:cs="Times New Roman"/>
          <w:lang w:val="zh-CN"/>
        </w:rPr>
        <w:sectPr>
          <w:pgSz w:w="16838" w:h="11906" w:orient="landscape"/>
          <w:pgMar w:top="1800" w:right="1440" w:bottom="1800" w:left="1440" w:header="851" w:footer="992" w:gutter="0"/>
          <w:cols w:space="425" w:num="1"/>
          <w:docGrid w:type="lines" w:linePitch="326" w:charSpace="0"/>
        </w:sectPr>
      </w:pPr>
    </w:p>
    <w:p w14:paraId="5E0129E9">
      <w:pPr>
        <w:ind w:firstLine="480"/>
      </w:pPr>
      <w:r>
        <w:rPr>
          <w:rFonts w:hint="eastAsia"/>
        </w:rPr>
        <w:t>（2）</w:t>
      </w:r>
      <w:r>
        <w:t>无组织废气</w:t>
      </w:r>
    </w:p>
    <w:p w14:paraId="6DB1C188">
      <w:pPr>
        <w:ind w:firstLine="480"/>
      </w:pPr>
      <w:r>
        <w:t>1）</w:t>
      </w:r>
      <w:r>
        <w:rPr>
          <w:rFonts w:hint="eastAsia"/>
        </w:rPr>
        <w:t>原料堆场及兰炭棚无组织</w:t>
      </w:r>
      <w:r>
        <w:t>废气</w:t>
      </w:r>
      <w:r>
        <w:rPr>
          <w:rFonts w:hint="eastAsia"/>
        </w:rPr>
        <w:t>（G</w:t>
      </w:r>
      <w:r>
        <w:rPr>
          <w:rFonts w:hint="eastAsia"/>
          <w:vertAlign w:val="subscript"/>
        </w:rPr>
        <w:t>2-1</w:t>
      </w:r>
      <w:r>
        <w:rPr>
          <w:rFonts w:hint="eastAsia" w:ascii="宋体" w:hAnsi="宋体"/>
          <w:vertAlign w:val="subscript"/>
        </w:rPr>
        <w:t>ˊ</w:t>
      </w:r>
      <w:r>
        <w:rPr>
          <w:rFonts w:hint="eastAsia"/>
        </w:rPr>
        <w:t>、G</w:t>
      </w:r>
      <w:r>
        <w:rPr>
          <w:rFonts w:hint="eastAsia"/>
          <w:vertAlign w:val="subscript"/>
        </w:rPr>
        <w:t>2-2</w:t>
      </w:r>
      <w:r>
        <w:rPr>
          <w:rFonts w:hint="eastAsia" w:ascii="宋体" w:hAnsi="宋体"/>
          <w:vertAlign w:val="subscript"/>
        </w:rPr>
        <w:t>ˊ</w:t>
      </w:r>
      <w:r>
        <w:rPr>
          <w:rFonts w:hint="eastAsia"/>
        </w:rPr>
        <w:t>）</w:t>
      </w:r>
    </w:p>
    <w:p w14:paraId="575A8234">
      <w:pPr>
        <w:pStyle w:val="117"/>
        <w:ind w:firstLine="480"/>
        <w:rPr>
          <w:rFonts w:cs="Times New Roman"/>
          <w:highlight w:val="green"/>
        </w:rPr>
      </w:pPr>
      <w:r>
        <w:rPr>
          <w:rFonts w:cs="Times New Roman"/>
        </w:rPr>
        <w:t>硅石、球团及兰炭在卸料</w:t>
      </w:r>
      <w:r>
        <w:rPr>
          <w:rFonts w:hint="eastAsia" w:cs="Times New Roman"/>
        </w:rPr>
        <w:t>及</w:t>
      </w:r>
      <w:r>
        <w:rPr>
          <w:rFonts w:hint="eastAsia"/>
        </w:rPr>
        <w:t>堆存</w:t>
      </w:r>
      <w:r>
        <w:rPr>
          <w:rFonts w:cs="Times New Roman"/>
        </w:rPr>
        <w:t>过程存在一定量的粉尘逸散。</w:t>
      </w:r>
    </w:p>
    <w:p w14:paraId="4641F236">
      <w:pPr>
        <w:ind w:firstLine="480"/>
      </w:pPr>
      <w:r>
        <w:t>根据《排放源统计调查产排污核算方法和系数手册》的《工业源固体物料堆场颗粒物核算系数手册》颗粒物产生量与排放量核算方法，分别计算硅石球团</w:t>
      </w:r>
      <w:r>
        <w:rPr>
          <w:rFonts w:hint="eastAsia"/>
        </w:rPr>
        <w:t>卸料及料场堆存</w:t>
      </w:r>
      <w:r>
        <w:t>过程</w:t>
      </w:r>
      <w:r>
        <w:rPr>
          <w:rFonts w:hint="eastAsia"/>
        </w:rPr>
        <w:t>、</w:t>
      </w:r>
      <w:r>
        <w:t>兰炭卸料</w:t>
      </w:r>
      <w:r>
        <w:rPr>
          <w:rFonts w:hint="eastAsia"/>
        </w:rPr>
        <w:t>及料仓堆存</w:t>
      </w:r>
      <w:r>
        <w:t>过程产生</w:t>
      </w:r>
      <w:r>
        <w:rPr>
          <w:rFonts w:hint="eastAsia"/>
        </w:rPr>
        <w:t>与排放</w:t>
      </w:r>
      <w:r>
        <w:t>的颗粒物源强。</w:t>
      </w:r>
    </w:p>
    <w:p w14:paraId="6AF5DBFA">
      <w:pPr>
        <w:ind w:firstLine="480"/>
      </w:pPr>
      <w:r>
        <w:rPr>
          <w:rFonts w:hint="eastAsia" w:ascii="宋体" w:hAnsi="宋体"/>
        </w:rPr>
        <w:t>①</w:t>
      </w:r>
      <w:r>
        <w:t>工业企业固体物料堆存颗粒物包括装卸</w:t>
      </w:r>
      <w:r>
        <w:rPr>
          <w:rFonts w:hint="eastAsia"/>
        </w:rPr>
        <w:t>扬</w:t>
      </w:r>
      <w:r>
        <w:t>尘和风蚀扬尘，颗粒物产生量核算公式如下：</w:t>
      </w:r>
    </w:p>
    <w:p w14:paraId="75050844">
      <w:pPr>
        <w:ind w:firstLine="480"/>
        <w:jc w:val="center"/>
      </w:pPr>
      <w:r>
        <w:rPr>
          <w:rFonts w:ascii="Cambria Math" w:hAnsi="Cambria Math" w:cs="Cambria Math"/>
        </w:rPr>
        <w:t>𝑃</w:t>
      </w:r>
      <w:r>
        <w:t>=</w:t>
      </w:r>
      <w:r>
        <w:rPr>
          <w:rFonts w:ascii="Cambria Math" w:hAnsi="Cambria Math" w:cs="Cambria Math"/>
        </w:rPr>
        <w:t>𝑍𝐶𝑦</w:t>
      </w:r>
      <w:r>
        <w:t>+</w:t>
      </w:r>
      <w:r>
        <w:rPr>
          <w:rFonts w:ascii="Cambria Math" w:hAnsi="Cambria Math" w:cs="Cambria Math"/>
        </w:rPr>
        <w:t>𝐹𝐶𝑦</w:t>
      </w:r>
      <w:r>
        <w:t>={</w:t>
      </w:r>
      <w:r>
        <w:rPr>
          <w:rFonts w:ascii="Cambria Math" w:hAnsi="Cambria Math" w:cs="Cambria Math"/>
        </w:rPr>
        <w:t>𝑁𝐶</w:t>
      </w:r>
      <w:r>
        <w:t>×</w:t>
      </w:r>
      <w:r>
        <w:rPr>
          <w:rFonts w:ascii="Cambria Math" w:hAnsi="Cambria Math" w:cs="Cambria Math"/>
        </w:rPr>
        <w:t>𝐷</w:t>
      </w:r>
      <w:r>
        <w:t>×（</w:t>
      </w:r>
      <w:r>
        <w:rPr>
          <w:rFonts w:ascii="Cambria Math" w:hAnsi="Cambria Math" w:cs="Cambria Math"/>
        </w:rPr>
        <w:t>𝑎𝑏</w:t>
      </w:r>
      <w:r>
        <w:rPr>
          <w:rFonts w:eastAsia="微软雅黑"/>
        </w:rPr>
        <w:t>⁄</w:t>
      </w:r>
      <w:r>
        <w:t>）+2×E</w:t>
      </w:r>
      <w:r>
        <w:rPr>
          <w:rFonts w:ascii="Cambria Math" w:hAnsi="Cambria Math" w:cs="Cambria Math"/>
        </w:rPr>
        <w:t>𝑓</w:t>
      </w:r>
      <w:r>
        <w:t>×</w:t>
      </w:r>
      <w:r>
        <w:rPr>
          <w:rFonts w:ascii="Cambria Math" w:hAnsi="Cambria Math" w:cs="Cambria Math"/>
        </w:rPr>
        <w:t>𝑆</w:t>
      </w:r>
      <w:r>
        <w:t>}×10</w:t>
      </w:r>
      <w:r>
        <w:rPr>
          <w:rFonts w:eastAsia="微软雅黑"/>
          <w:vertAlign w:val="superscript"/>
        </w:rPr>
        <w:t>−</w:t>
      </w:r>
      <w:r>
        <w:rPr>
          <w:vertAlign w:val="superscript"/>
        </w:rPr>
        <w:t>3</w:t>
      </w:r>
    </w:p>
    <w:p w14:paraId="5D1B220C">
      <w:pPr>
        <w:ind w:firstLine="480"/>
      </w:pPr>
      <w:r>
        <w:t>式中：</w:t>
      </w:r>
    </w:p>
    <w:p w14:paraId="74F5FE3F">
      <w:pPr>
        <w:ind w:firstLine="480"/>
      </w:pPr>
      <w:r>
        <w:t xml:space="preserve">P——颗粒物产生量（单位：吨）； </w:t>
      </w:r>
    </w:p>
    <w:p w14:paraId="1C27B990">
      <w:pPr>
        <w:ind w:firstLine="480"/>
      </w:pPr>
      <w:r>
        <w:t xml:space="preserve">Zcy——装卸扬尘产生量（单位：吨）； </w:t>
      </w:r>
    </w:p>
    <w:p w14:paraId="3B069AC3">
      <w:pPr>
        <w:ind w:firstLine="480"/>
      </w:pPr>
      <w:r>
        <w:t xml:space="preserve">FCy——风蚀扬尘产生量（单位：吨）； </w:t>
      </w:r>
    </w:p>
    <w:p w14:paraId="076BEF54">
      <w:pPr>
        <w:ind w:firstLine="480"/>
      </w:pPr>
      <w:r>
        <w:t xml:space="preserve">Nc——年物料运载车次（单位：车）； </w:t>
      </w:r>
    </w:p>
    <w:p w14:paraId="52C91DBD">
      <w:pPr>
        <w:ind w:firstLine="480"/>
      </w:pPr>
      <w:r>
        <w:t xml:space="preserve">D——单车平均运载量（单位：吨/车）； </w:t>
      </w:r>
    </w:p>
    <w:p w14:paraId="0886CCA8">
      <w:pPr>
        <w:ind w:firstLine="480"/>
      </w:pPr>
      <w:r>
        <w:t>（</w:t>
      </w:r>
      <w:r>
        <w:rPr>
          <w:rFonts w:ascii="Cambria Math" w:hAnsi="Cambria Math" w:cs="Cambria Math"/>
        </w:rPr>
        <w:t>𝑎𝑏</w:t>
      </w:r>
      <w:r>
        <w:t xml:space="preserve">⁄）——装卸扬尘概化系数（单位：千克/吨），a指各省风速概化系数，见附录1，b指物料含水率概化系数，见附录2； </w:t>
      </w:r>
    </w:p>
    <w:p w14:paraId="3665F936">
      <w:pPr>
        <w:ind w:firstLine="480"/>
      </w:pPr>
      <w:r>
        <w:t xml:space="preserve">Ef——堆场风蚀扬尘概化系数，见附录3（单位：千克/平方米）； </w:t>
      </w:r>
    </w:p>
    <w:p w14:paraId="01165E98">
      <w:pPr>
        <w:ind w:firstLine="480"/>
      </w:pPr>
      <w:r>
        <w:t>S——堆场占地面积（单位：平方米）。</w:t>
      </w:r>
    </w:p>
    <w:p w14:paraId="523795C1">
      <w:pPr>
        <w:ind w:firstLine="480"/>
        <w:rPr>
          <w:highlight w:val="yellow"/>
        </w:rPr>
      </w:pPr>
      <w:r>
        <w:rPr>
          <w:rFonts w:hint="eastAsia"/>
        </w:rPr>
        <w:t>堆场卸料及堆存</w:t>
      </w:r>
      <w:r>
        <w:t>废气存过程损失计算参数及计算结果，见表3.</w:t>
      </w:r>
      <w:r>
        <w:rPr>
          <w:rFonts w:hint="eastAsia"/>
        </w:rPr>
        <w:t>4-9</w:t>
      </w:r>
      <w:r>
        <w:t>。</w:t>
      </w:r>
    </w:p>
    <w:p w14:paraId="3978F138">
      <w:pPr>
        <w:pStyle w:val="118"/>
        <w:rPr>
          <w:rStyle w:val="421"/>
          <w:highlight w:val="yellow"/>
        </w:rPr>
      </w:pPr>
      <w:r>
        <w:t>表3.</w:t>
      </w:r>
      <w:r>
        <w:rPr>
          <w:rFonts w:hint="eastAsia"/>
        </w:rPr>
        <w:t>4-9</w:t>
      </w:r>
      <w:r>
        <w:t xml:space="preserve">  颗粒物产生量核算参数及计算结果汇总表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6"/>
        <w:gridCol w:w="849"/>
        <w:gridCol w:w="977"/>
        <w:gridCol w:w="860"/>
        <w:gridCol w:w="794"/>
        <w:gridCol w:w="1129"/>
        <w:gridCol w:w="849"/>
        <w:gridCol w:w="794"/>
        <w:gridCol w:w="794"/>
      </w:tblGrid>
      <w:tr w14:paraId="24C394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869" w:type="pct"/>
            <w:noWrap/>
            <w:vAlign w:val="center"/>
          </w:tcPr>
          <w:p w14:paraId="6FCACA0E">
            <w:pPr>
              <w:pStyle w:val="133"/>
              <w:rPr>
                <w:rFonts w:cs="Times New Roman"/>
                <w:b/>
                <w:bCs/>
              </w:rPr>
            </w:pPr>
            <w:r>
              <w:rPr>
                <w:rFonts w:cs="Times New Roman"/>
                <w:b/>
                <w:bCs/>
              </w:rPr>
              <w:t>物料作业</w:t>
            </w:r>
          </w:p>
        </w:tc>
        <w:tc>
          <w:tcPr>
            <w:tcW w:w="500" w:type="pct"/>
            <w:noWrap/>
            <w:vAlign w:val="center"/>
          </w:tcPr>
          <w:p w14:paraId="51B67DAF">
            <w:pPr>
              <w:pStyle w:val="133"/>
              <w:rPr>
                <w:rFonts w:cs="Times New Roman"/>
                <w:b/>
                <w:bCs/>
              </w:rPr>
            </w:pPr>
            <w:r>
              <w:rPr>
                <w:rFonts w:cs="Times New Roman"/>
                <w:b/>
                <w:bCs/>
              </w:rPr>
              <w:t>Nc</w:t>
            </w:r>
          </w:p>
          <w:p w14:paraId="6100937D">
            <w:pPr>
              <w:pStyle w:val="133"/>
              <w:jc w:val="both"/>
              <w:rPr>
                <w:rFonts w:cs="Times New Roman"/>
                <w:b/>
                <w:bCs/>
              </w:rPr>
            </w:pPr>
            <w:r>
              <w:rPr>
                <w:rFonts w:cs="Times New Roman"/>
                <w:b/>
                <w:bCs/>
              </w:rPr>
              <w:t>（车）</w:t>
            </w:r>
          </w:p>
        </w:tc>
        <w:tc>
          <w:tcPr>
            <w:tcW w:w="568" w:type="pct"/>
            <w:noWrap/>
            <w:vAlign w:val="center"/>
          </w:tcPr>
          <w:p w14:paraId="6E271858">
            <w:pPr>
              <w:pStyle w:val="133"/>
              <w:rPr>
                <w:rFonts w:cs="Times New Roman"/>
                <w:b/>
                <w:bCs/>
              </w:rPr>
            </w:pPr>
            <w:r>
              <w:rPr>
                <w:rFonts w:cs="Times New Roman"/>
                <w:b/>
                <w:bCs/>
              </w:rPr>
              <w:t>D</w:t>
            </w:r>
          </w:p>
          <w:p w14:paraId="6CDDE46C">
            <w:pPr>
              <w:pStyle w:val="133"/>
              <w:jc w:val="both"/>
              <w:rPr>
                <w:rFonts w:cs="Times New Roman"/>
                <w:b/>
                <w:bCs/>
              </w:rPr>
            </w:pPr>
            <w:r>
              <w:rPr>
                <w:rFonts w:cs="Times New Roman"/>
                <w:b/>
                <w:bCs/>
              </w:rPr>
              <w:t>（t/车）</w:t>
            </w:r>
          </w:p>
        </w:tc>
        <w:tc>
          <w:tcPr>
            <w:tcW w:w="500" w:type="pct"/>
            <w:noWrap/>
            <w:vAlign w:val="center"/>
          </w:tcPr>
          <w:p w14:paraId="1790F833">
            <w:pPr>
              <w:pStyle w:val="133"/>
              <w:rPr>
                <w:rFonts w:cs="Times New Roman"/>
                <w:b/>
                <w:bCs/>
              </w:rPr>
            </w:pPr>
            <w:r>
              <w:rPr>
                <w:rFonts w:hint="eastAsia" w:cs="Times New Roman"/>
                <w:b/>
                <w:bCs/>
              </w:rPr>
              <w:t>a</w:t>
            </w:r>
          </w:p>
          <w:p w14:paraId="2F8E84D6">
            <w:pPr>
              <w:pStyle w:val="133"/>
              <w:jc w:val="both"/>
              <w:rPr>
                <w:rFonts w:cs="Times New Roman"/>
                <w:b/>
                <w:bCs/>
              </w:rPr>
            </w:pPr>
            <w:r>
              <w:rPr>
                <w:rFonts w:cs="Times New Roman"/>
                <w:b/>
                <w:bCs/>
              </w:rPr>
              <w:t>（kg）</w:t>
            </w:r>
          </w:p>
        </w:tc>
        <w:tc>
          <w:tcPr>
            <w:tcW w:w="469" w:type="pct"/>
            <w:noWrap/>
            <w:vAlign w:val="center"/>
          </w:tcPr>
          <w:p w14:paraId="098AC416">
            <w:pPr>
              <w:pStyle w:val="133"/>
              <w:rPr>
                <w:rFonts w:cs="Times New Roman"/>
                <w:b/>
                <w:bCs/>
              </w:rPr>
            </w:pPr>
            <w:r>
              <w:rPr>
                <w:rFonts w:hint="eastAsia" w:cs="Times New Roman"/>
                <w:b/>
                <w:bCs/>
              </w:rPr>
              <w:t>b</w:t>
            </w:r>
          </w:p>
          <w:p w14:paraId="2B913844">
            <w:pPr>
              <w:pStyle w:val="133"/>
              <w:rPr>
                <w:rFonts w:cs="Times New Roman"/>
                <w:b/>
                <w:bCs/>
              </w:rPr>
            </w:pPr>
            <w:r>
              <w:rPr>
                <w:rFonts w:cs="Times New Roman"/>
                <w:b/>
                <w:bCs/>
              </w:rPr>
              <w:t>（t）</w:t>
            </w:r>
          </w:p>
        </w:tc>
        <w:tc>
          <w:tcPr>
            <w:tcW w:w="657" w:type="pct"/>
            <w:noWrap/>
            <w:vAlign w:val="center"/>
          </w:tcPr>
          <w:p w14:paraId="7D284BFC">
            <w:pPr>
              <w:pStyle w:val="133"/>
              <w:rPr>
                <w:rFonts w:cs="Times New Roman"/>
                <w:b/>
                <w:bCs/>
              </w:rPr>
            </w:pPr>
            <w:r>
              <w:rPr>
                <w:rFonts w:cs="Times New Roman"/>
                <w:b/>
                <w:bCs/>
              </w:rPr>
              <w:t>Ef</w:t>
            </w:r>
          </w:p>
          <w:p w14:paraId="0DF80719">
            <w:pPr>
              <w:pStyle w:val="133"/>
              <w:jc w:val="both"/>
              <w:rPr>
                <w:rFonts w:cs="Times New Roman"/>
                <w:b/>
                <w:bCs/>
              </w:rPr>
            </w:pPr>
            <w:r>
              <w:rPr>
                <w:rFonts w:cs="Times New Roman"/>
                <w:b/>
                <w:bCs/>
              </w:rPr>
              <w:t>（kg/㎡）</w:t>
            </w:r>
          </w:p>
        </w:tc>
        <w:tc>
          <w:tcPr>
            <w:tcW w:w="500" w:type="pct"/>
            <w:vAlign w:val="center"/>
          </w:tcPr>
          <w:p w14:paraId="7F3509FE">
            <w:pPr>
              <w:pStyle w:val="133"/>
              <w:rPr>
                <w:rFonts w:cs="Times New Roman"/>
                <w:b/>
                <w:bCs/>
              </w:rPr>
            </w:pPr>
            <w:r>
              <w:rPr>
                <w:rFonts w:cs="Times New Roman"/>
                <w:b/>
                <w:bCs/>
              </w:rPr>
              <w:t>S</w:t>
            </w:r>
          </w:p>
          <w:p w14:paraId="30CD5327">
            <w:pPr>
              <w:pStyle w:val="133"/>
              <w:jc w:val="both"/>
              <w:rPr>
                <w:rFonts w:cs="Times New Roman"/>
                <w:b/>
                <w:bCs/>
              </w:rPr>
            </w:pPr>
            <w:r>
              <w:rPr>
                <w:rFonts w:cs="Times New Roman"/>
                <w:b/>
                <w:bCs/>
              </w:rPr>
              <w:t>（㎡）</w:t>
            </w:r>
          </w:p>
        </w:tc>
        <w:tc>
          <w:tcPr>
            <w:tcW w:w="469" w:type="pct"/>
            <w:vAlign w:val="center"/>
          </w:tcPr>
          <w:p w14:paraId="4FFBDF00">
            <w:pPr>
              <w:pStyle w:val="133"/>
              <w:rPr>
                <w:rFonts w:cs="Times New Roman"/>
                <w:b/>
                <w:bCs/>
              </w:rPr>
            </w:pPr>
            <w:r>
              <w:rPr>
                <w:rFonts w:cs="Times New Roman"/>
                <w:b/>
                <w:bCs/>
              </w:rPr>
              <w:t>ZCy</w:t>
            </w:r>
          </w:p>
          <w:p w14:paraId="0CA6E90E">
            <w:pPr>
              <w:pStyle w:val="133"/>
              <w:jc w:val="both"/>
              <w:rPr>
                <w:rFonts w:cs="Times New Roman"/>
                <w:b/>
                <w:bCs/>
              </w:rPr>
            </w:pPr>
            <w:r>
              <w:rPr>
                <w:rFonts w:cs="Times New Roman"/>
                <w:b/>
                <w:bCs/>
              </w:rPr>
              <w:t>（t）</w:t>
            </w:r>
          </w:p>
        </w:tc>
        <w:tc>
          <w:tcPr>
            <w:tcW w:w="469" w:type="pct"/>
            <w:noWrap/>
            <w:vAlign w:val="center"/>
          </w:tcPr>
          <w:p w14:paraId="7A4780B2">
            <w:pPr>
              <w:pStyle w:val="133"/>
              <w:rPr>
                <w:rFonts w:cs="Times New Roman"/>
                <w:b/>
                <w:bCs/>
              </w:rPr>
            </w:pPr>
            <w:r>
              <w:rPr>
                <w:rFonts w:cs="Times New Roman"/>
                <w:b/>
                <w:bCs/>
              </w:rPr>
              <w:t>FCy</w:t>
            </w:r>
          </w:p>
          <w:p w14:paraId="242118DD">
            <w:pPr>
              <w:pStyle w:val="133"/>
              <w:rPr>
                <w:rFonts w:cs="Times New Roman"/>
                <w:b/>
                <w:bCs/>
              </w:rPr>
            </w:pPr>
            <w:r>
              <w:rPr>
                <w:rFonts w:cs="Times New Roman"/>
                <w:b/>
                <w:bCs/>
              </w:rPr>
              <w:t>（t）</w:t>
            </w:r>
          </w:p>
        </w:tc>
      </w:tr>
      <w:tr w14:paraId="38BAA7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869" w:type="pct"/>
            <w:noWrap/>
            <w:vAlign w:val="center"/>
          </w:tcPr>
          <w:p w14:paraId="7E323C5E">
            <w:pPr>
              <w:pStyle w:val="133"/>
              <w:rPr>
                <w:rFonts w:cs="Times New Roman"/>
              </w:rPr>
            </w:pPr>
            <w:bookmarkStart w:id="343" w:name="_Hlk190777379"/>
            <w:r>
              <w:rPr>
                <w:rFonts w:hint="eastAsia" w:cs="Times New Roman"/>
              </w:rPr>
              <w:t>硅石卸料堆存</w:t>
            </w:r>
          </w:p>
        </w:tc>
        <w:tc>
          <w:tcPr>
            <w:tcW w:w="500" w:type="pct"/>
            <w:noWrap/>
            <w:vAlign w:val="center"/>
          </w:tcPr>
          <w:p w14:paraId="6842E5CC">
            <w:pPr>
              <w:pStyle w:val="133"/>
              <w:rPr>
                <w:rFonts w:cs="Times New Roman"/>
              </w:rPr>
            </w:pPr>
            <w:r>
              <w:rPr>
                <w:rFonts w:cs="Times New Roman"/>
              </w:rPr>
              <w:t>3319</w:t>
            </w:r>
          </w:p>
        </w:tc>
        <w:tc>
          <w:tcPr>
            <w:tcW w:w="568" w:type="pct"/>
            <w:noWrap/>
            <w:vAlign w:val="center"/>
          </w:tcPr>
          <w:p w14:paraId="6976A27E">
            <w:pPr>
              <w:pStyle w:val="133"/>
              <w:rPr>
                <w:rFonts w:cs="Times New Roman"/>
              </w:rPr>
            </w:pPr>
            <w:r>
              <w:rPr>
                <w:rFonts w:cs="Times New Roman"/>
              </w:rPr>
              <w:t>30</w:t>
            </w:r>
          </w:p>
        </w:tc>
        <w:tc>
          <w:tcPr>
            <w:tcW w:w="500" w:type="pct"/>
            <w:noWrap/>
            <w:vAlign w:val="center"/>
          </w:tcPr>
          <w:p w14:paraId="07449E62">
            <w:pPr>
              <w:pStyle w:val="133"/>
              <w:rPr>
                <w:rFonts w:cs="Times New Roman"/>
              </w:rPr>
            </w:pPr>
            <w:r>
              <w:rPr>
                <w:rFonts w:cs="Times New Roman"/>
              </w:rPr>
              <w:t>0.0011</w:t>
            </w:r>
          </w:p>
        </w:tc>
        <w:tc>
          <w:tcPr>
            <w:tcW w:w="469" w:type="pct"/>
            <w:noWrap/>
            <w:vAlign w:val="center"/>
          </w:tcPr>
          <w:p w14:paraId="6E7CCA93">
            <w:pPr>
              <w:pStyle w:val="133"/>
              <w:rPr>
                <w:rFonts w:cs="Times New Roman"/>
              </w:rPr>
            </w:pPr>
            <w:r>
              <w:rPr>
                <w:rFonts w:cs="Times New Roman"/>
              </w:rPr>
              <w:t>0.0064</w:t>
            </w:r>
          </w:p>
        </w:tc>
        <w:tc>
          <w:tcPr>
            <w:tcW w:w="657" w:type="pct"/>
            <w:noWrap/>
            <w:vAlign w:val="center"/>
          </w:tcPr>
          <w:p w14:paraId="4474535A">
            <w:pPr>
              <w:pStyle w:val="133"/>
              <w:rPr>
                <w:rFonts w:cs="Times New Roman"/>
              </w:rPr>
            </w:pPr>
            <w:r>
              <w:rPr>
                <w:rFonts w:hint="eastAsia" w:cs="Times New Roman"/>
              </w:rPr>
              <w:t>0</w:t>
            </w:r>
          </w:p>
        </w:tc>
        <w:tc>
          <w:tcPr>
            <w:tcW w:w="500" w:type="pct"/>
            <w:vAlign w:val="center"/>
          </w:tcPr>
          <w:p w14:paraId="3DAE778A">
            <w:pPr>
              <w:pStyle w:val="133"/>
              <w:rPr>
                <w:rFonts w:cs="Times New Roman"/>
              </w:rPr>
            </w:pPr>
            <w:r>
              <w:rPr>
                <w:rFonts w:hint="eastAsia" w:cs="Times New Roman"/>
              </w:rPr>
              <w:t>3600</w:t>
            </w:r>
          </w:p>
        </w:tc>
        <w:tc>
          <w:tcPr>
            <w:tcW w:w="469" w:type="pct"/>
            <w:vAlign w:val="center"/>
          </w:tcPr>
          <w:p w14:paraId="692CCCC9">
            <w:pPr>
              <w:pStyle w:val="133"/>
              <w:rPr>
                <w:rFonts w:cs="Times New Roman"/>
              </w:rPr>
            </w:pPr>
            <w:r>
              <w:rPr>
                <w:rFonts w:hint="eastAsia" w:cs="Times New Roman"/>
              </w:rPr>
              <w:t>17.12</w:t>
            </w:r>
          </w:p>
        </w:tc>
        <w:tc>
          <w:tcPr>
            <w:tcW w:w="469" w:type="pct"/>
            <w:noWrap/>
            <w:vAlign w:val="center"/>
          </w:tcPr>
          <w:p w14:paraId="76B92B2F">
            <w:pPr>
              <w:pStyle w:val="133"/>
              <w:rPr>
                <w:rFonts w:cs="Times New Roman"/>
              </w:rPr>
            </w:pPr>
            <w:r>
              <w:rPr>
                <w:rFonts w:hint="eastAsia" w:cs="Times New Roman"/>
              </w:rPr>
              <w:t>0</w:t>
            </w:r>
          </w:p>
        </w:tc>
      </w:tr>
      <w:tr w14:paraId="244C6B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869" w:type="pct"/>
            <w:noWrap/>
            <w:vAlign w:val="center"/>
          </w:tcPr>
          <w:p w14:paraId="6BA79D06">
            <w:pPr>
              <w:pStyle w:val="133"/>
              <w:rPr>
                <w:rFonts w:cs="Times New Roman"/>
              </w:rPr>
            </w:pPr>
            <w:r>
              <w:rPr>
                <w:rFonts w:cs="Times New Roman"/>
              </w:rPr>
              <w:t>球团</w:t>
            </w:r>
            <w:r>
              <w:rPr>
                <w:rFonts w:hint="eastAsia" w:cs="Times New Roman"/>
              </w:rPr>
              <w:t>卸料堆存</w:t>
            </w:r>
          </w:p>
        </w:tc>
        <w:tc>
          <w:tcPr>
            <w:tcW w:w="500" w:type="pct"/>
            <w:noWrap/>
            <w:vAlign w:val="center"/>
          </w:tcPr>
          <w:p w14:paraId="183FE053">
            <w:pPr>
              <w:pStyle w:val="133"/>
              <w:rPr>
                <w:rFonts w:cs="Times New Roman"/>
              </w:rPr>
            </w:pPr>
            <w:r>
              <w:rPr>
                <w:rFonts w:cs="Times New Roman"/>
              </w:rPr>
              <w:t>645</w:t>
            </w:r>
          </w:p>
        </w:tc>
        <w:tc>
          <w:tcPr>
            <w:tcW w:w="568" w:type="pct"/>
            <w:noWrap/>
            <w:vAlign w:val="center"/>
          </w:tcPr>
          <w:p w14:paraId="658D8E6A">
            <w:pPr>
              <w:pStyle w:val="133"/>
              <w:rPr>
                <w:rFonts w:cs="Times New Roman"/>
              </w:rPr>
            </w:pPr>
            <w:r>
              <w:rPr>
                <w:rFonts w:cs="Times New Roman"/>
              </w:rPr>
              <w:t>30</w:t>
            </w:r>
          </w:p>
        </w:tc>
        <w:tc>
          <w:tcPr>
            <w:tcW w:w="500" w:type="pct"/>
            <w:noWrap/>
            <w:vAlign w:val="center"/>
          </w:tcPr>
          <w:p w14:paraId="029D768B">
            <w:pPr>
              <w:pStyle w:val="133"/>
              <w:rPr>
                <w:rFonts w:cs="Times New Roman"/>
              </w:rPr>
            </w:pPr>
            <w:r>
              <w:rPr>
                <w:rFonts w:cs="Times New Roman"/>
              </w:rPr>
              <w:t>0.0011</w:t>
            </w:r>
          </w:p>
        </w:tc>
        <w:tc>
          <w:tcPr>
            <w:tcW w:w="469" w:type="pct"/>
            <w:noWrap/>
            <w:vAlign w:val="center"/>
          </w:tcPr>
          <w:p w14:paraId="6DD95389">
            <w:pPr>
              <w:pStyle w:val="133"/>
              <w:rPr>
                <w:rFonts w:cs="Times New Roman"/>
              </w:rPr>
            </w:pPr>
            <w:r>
              <w:rPr>
                <w:rFonts w:cs="Times New Roman"/>
              </w:rPr>
              <w:t>0.0018</w:t>
            </w:r>
          </w:p>
        </w:tc>
        <w:tc>
          <w:tcPr>
            <w:tcW w:w="657" w:type="pct"/>
            <w:noWrap/>
            <w:vAlign w:val="center"/>
          </w:tcPr>
          <w:p w14:paraId="4566B2F2">
            <w:pPr>
              <w:pStyle w:val="133"/>
              <w:rPr>
                <w:rFonts w:cs="Times New Roman"/>
              </w:rPr>
            </w:pPr>
            <w:r>
              <w:rPr>
                <w:rFonts w:hint="eastAsia" w:cs="Times New Roman"/>
              </w:rPr>
              <w:t>0</w:t>
            </w:r>
          </w:p>
        </w:tc>
        <w:tc>
          <w:tcPr>
            <w:tcW w:w="500" w:type="pct"/>
            <w:vAlign w:val="center"/>
          </w:tcPr>
          <w:p w14:paraId="0FEBC85B">
            <w:pPr>
              <w:pStyle w:val="133"/>
              <w:rPr>
                <w:rFonts w:cs="Times New Roman"/>
              </w:rPr>
            </w:pPr>
            <w:r>
              <w:rPr>
                <w:rFonts w:hint="eastAsia" w:cs="Times New Roman"/>
              </w:rPr>
              <w:t>3600</w:t>
            </w:r>
          </w:p>
        </w:tc>
        <w:tc>
          <w:tcPr>
            <w:tcW w:w="469" w:type="pct"/>
            <w:vAlign w:val="center"/>
          </w:tcPr>
          <w:p w14:paraId="637207C0">
            <w:pPr>
              <w:pStyle w:val="133"/>
              <w:rPr>
                <w:rFonts w:cs="Times New Roman"/>
              </w:rPr>
            </w:pPr>
            <w:r>
              <w:rPr>
                <w:rFonts w:hint="eastAsia" w:cs="Times New Roman"/>
              </w:rPr>
              <w:t>11.83</w:t>
            </w:r>
          </w:p>
        </w:tc>
        <w:tc>
          <w:tcPr>
            <w:tcW w:w="469" w:type="pct"/>
            <w:noWrap/>
            <w:vAlign w:val="center"/>
          </w:tcPr>
          <w:p w14:paraId="28A02F89">
            <w:pPr>
              <w:pStyle w:val="133"/>
              <w:rPr>
                <w:rFonts w:cs="Times New Roman"/>
              </w:rPr>
            </w:pPr>
            <w:r>
              <w:rPr>
                <w:rFonts w:hint="eastAsia" w:cs="Times New Roman"/>
              </w:rPr>
              <w:t>0</w:t>
            </w:r>
          </w:p>
        </w:tc>
      </w:tr>
      <w:tr w14:paraId="6C2021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869" w:type="pct"/>
            <w:noWrap/>
            <w:vAlign w:val="center"/>
          </w:tcPr>
          <w:p w14:paraId="22D7C538">
            <w:pPr>
              <w:pStyle w:val="133"/>
              <w:rPr>
                <w:rFonts w:cs="Times New Roman"/>
              </w:rPr>
            </w:pPr>
            <w:r>
              <w:rPr>
                <w:rFonts w:cs="Times New Roman"/>
              </w:rPr>
              <w:t>兰炭棚</w:t>
            </w:r>
          </w:p>
        </w:tc>
        <w:tc>
          <w:tcPr>
            <w:tcW w:w="500" w:type="pct"/>
            <w:noWrap/>
            <w:vAlign w:val="center"/>
          </w:tcPr>
          <w:p w14:paraId="4AB5B5EE">
            <w:pPr>
              <w:pStyle w:val="133"/>
              <w:rPr>
                <w:rFonts w:cs="Times New Roman"/>
              </w:rPr>
            </w:pPr>
            <w:r>
              <w:rPr>
                <w:rFonts w:hint="eastAsia" w:cs="Times New Roman"/>
              </w:rPr>
              <w:t>1867</w:t>
            </w:r>
          </w:p>
        </w:tc>
        <w:tc>
          <w:tcPr>
            <w:tcW w:w="568" w:type="pct"/>
            <w:noWrap/>
            <w:vAlign w:val="center"/>
          </w:tcPr>
          <w:p w14:paraId="38115B54">
            <w:pPr>
              <w:pStyle w:val="133"/>
              <w:rPr>
                <w:rFonts w:cs="Times New Roman"/>
              </w:rPr>
            </w:pPr>
            <w:r>
              <w:rPr>
                <w:rFonts w:hint="eastAsia" w:cs="Times New Roman"/>
              </w:rPr>
              <w:t>30</w:t>
            </w:r>
          </w:p>
        </w:tc>
        <w:tc>
          <w:tcPr>
            <w:tcW w:w="500" w:type="pct"/>
            <w:noWrap/>
            <w:vAlign w:val="center"/>
          </w:tcPr>
          <w:p w14:paraId="0CE986A0">
            <w:pPr>
              <w:pStyle w:val="133"/>
              <w:rPr>
                <w:rFonts w:cs="Times New Roman"/>
              </w:rPr>
            </w:pPr>
            <w:r>
              <w:rPr>
                <w:rFonts w:cs="Times New Roman"/>
              </w:rPr>
              <w:t>0.0011</w:t>
            </w:r>
          </w:p>
        </w:tc>
        <w:tc>
          <w:tcPr>
            <w:tcW w:w="469" w:type="pct"/>
            <w:noWrap/>
            <w:vAlign w:val="center"/>
          </w:tcPr>
          <w:p w14:paraId="75DE6B2F">
            <w:pPr>
              <w:pStyle w:val="133"/>
              <w:rPr>
                <w:rFonts w:cs="Times New Roman"/>
              </w:rPr>
            </w:pPr>
            <w:r>
              <w:rPr>
                <w:rFonts w:cs="Times New Roman"/>
              </w:rPr>
              <w:t>0.0018</w:t>
            </w:r>
          </w:p>
        </w:tc>
        <w:tc>
          <w:tcPr>
            <w:tcW w:w="657" w:type="pct"/>
            <w:noWrap/>
            <w:vAlign w:val="center"/>
          </w:tcPr>
          <w:p w14:paraId="70C2D9B7">
            <w:pPr>
              <w:pStyle w:val="133"/>
              <w:rPr>
                <w:rFonts w:cs="Times New Roman"/>
              </w:rPr>
            </w:pPr>
            <w:r>
              <w:rPr>
                <w:rFonts w:cs="Times New Roman"/>
              </w:rPr>
              <w:t>18.22</w:t>
            </w:r>
            <w:r>
              <w:rPr>
                <w:rFonts w:hint="eastAsia" w:cs="Times New Roman"/>
              </w:rPr>
              <w:t>08</w:t>
            </w:r>
          </w:p>
        </w:tc>
        <w:tc>
          <w:tcPr>
            <w:tcW w:w="500" w:type="pct"/>
            <w:vAlign w:val="center"/>
          </w:tcPr>
          <w:p w14:paraId="7E273431">
            <w:pPr>
              <w:pStyle w:val="133"/>
              <w:rPr>
                <w:rFonts w:cs="Times New Roman"/>
              </w:rPr>
            </w:pPr>
            <w:r>
              <w:rPr>
                <w:rFonts w:hint="eastAsia" w:cs="Times New Roman"/>
              </w:rPr>
              <w:t>7954</w:t>
            </w:r>
          </w:p>
        </w:tc>
        <w:tc>
          <w:tcPr>
            <w:tcW w:w="469" w:type="pct"/>
            <w:vAlign w:val="center"/>
          </w:tcPr>
          <w:p w14:paraId="410A3F9A">
            <w:pPr>
              <w:pStyle w:val="133"/>
              <w:rPr>
                <w:rFonts w:cs="Times New Roman"/>
              </w:rPr>
            </w:pPr>
            <w:r>
              <w:rPr>
                <w:rFonts w:hint="eastAsia" w:cs="Times New Roman"/>
              </w:rPr>
              <w:t>34.22</w:t>
            </w:r>
          </w:p>
        </w:tc>
        <w:tc>
          <w:tcPr>
            <w:tcW w:w="469" w:type="pct"/>
            <w:noWrap/>
            <w:vAlign w:val="center"/>
          </w:tcPr>
          <w:p w14:paraId="4136BDE7">
            <w:pPr>
              <w:pStyle w:val="133"/>
              <w:rPr>
                <w:rFonts w:cs="Times New Roman"/>
              </w:rPr>
            </w:pPr>
            <w:r>
              <w:rPr>
                <w:rFonts w:hint="eastAsia" w:cs="Times New Roman"/>
              </w:rPr>
              <w:t>289.86</w:t>
            </w:r>
          </w:p>
        </w:tc>
      </w:tr>
      <w:bookmarkEnd w:id="343"/>
    </w:tbl>
    <w:p w14:paraId="27A9A33F">
      <w:pPr>
        <w:ind w:firstLine="480"/>
      </w:pPr>
    </w:p>
    <w:p w14:paraId="31E86481">
      <w:pPr>
        <w:ind w:firstLine="480"/>
      </w:pPr>
      <w:r>
        <w:t>根据计算</w:t>
      </w:r>
      <w:r>
        <w:rPr>
          <w:rFonts w:hint="eastAsia"/>
        </w:rPr>
        <w:t>，</w:t>
      </w:r>
      <w:r>
        <w:t>本项目硅石球团</w:t>
      </w:r>
      <w:r>
        <w:rPr>
          <w:rFonts w:hint="eastAsia"/>
        </w:rPr>
        <w:t>卸料及料场堆存</w:t>
      </w:r>
      <w:r>
        <w:t>过程产生的颗粒物源强为</w:t>
      </w:r>
      <w:r>
        <w:rPr>
          <w:rFonts w:hint="eastAsia"/>
        </w:rPr>
        <w:t>28.95</w:t>
      </w:r>
      <w:r>
        <w:t>t/a。兰炭卸料</w:t>
      </w:r>
      <w:r>
        <w:rPr>
          <w:rFonts w:hint="eastAsia"/>
        </w:rPr>
        <w:t>及料棚堆存</w:t>
      </w:r>
      <w:r>
        <w:t>过程产生的颗粒物源强为</w:t>
      </w:r>
      <w:r>
        <w:rPr>
          <w:rFonts w:hint="eastAsia"/>
        </w:rPr>
        <w:t>324.08</w:t>
      </w:r>
      <w:r>
        <w:t>t/a。</w:t>
      </w:r>
    </w:p>
    <w:p w14:paraId="3B6480AE">
      <w:pPr>
        <w:ind w:firstLine="480"/>
      </w:pPr>
      <w:r>
        <w:rPr>
          <w:rFonts w:hint="eastAsia" w:ascii="宋体" w:hAnsi="宋体"/>
        </w:rPr>
        <w:t>②</w:t>
      </w:r>
      <w:r>
        <w:t>工业企业固体物料堆场颗粒物排放量核算公式如下：</w:t>
      </w:r>
    </w:p>
    <w:p w14:paraId="19A9688F">
      <w:pPr>
        <w:ind w:firstLine="480"/>
        <w:jc w:val="center"/>
      </w:pPr>
      <w:r>
        <w:rPr>
          <w:rFonts w:ascii="Cambria Math" w:hAnsi="Cambria Math" w:cs="Cambria Math"/>
        </w:rPr>
        <w:t>𝑈𝑐</w:t>
      </w:r>
      <w:r>
        <w:t>=</w:t>
      </w:r>
      <w:r>
        <w:rPr>
          <w:rFonts w:ascii="Cambria Math" w:hAnsi="Cambria Math" w:cs="Cambria Math"/>
        </w:rPr>
        <w:t>𝑃</w:t>
      </w:r>
      <w:r>
        <w:t>×（1−</w:t>
      </w:r>
      <w:r>
        <w:rPr>
          <w:rFonts w:ascii="Cambria Math" w:hAnsi="Cambria Math" w:cs="Cambria Math"/>
        </w:rPr>
        <w:t>𝐶𝑚</w:t>
      </w:r>
      <w:r>
        <w:t>）×（1−</w:t>
      </w:r>
      <w:r>
        <w:rPr>
          <w:rFonts w:ascii="Cambria Math" w:hAnsi="Cambria Math" w:cs="Cambria Math"/>
        </w:rPr>
        <w:t>𝑇𝑚</w:t>
      </w:r>
      <w:r>
        <w:t>）</w:t>
      </w:r>
    </w:p>
    <w:p w14:paraId="131CE528">
      <w:pPr>
        <w:ind w:firstLine="480"/>
      </w:pPr>
      <w:r>
        <w:t>式中：</w:t>
      </w:r>
    </w:p>
    <w:p w14:paraId="568FF3A4">
      <w:pPr>
        <w:ind w:firstLine="480"/>
      </w:pPr>
      <w:r>
        <w:t xml:space="preserve">P——颗粒物产生量（单位：吨）； </w:t>
      </w:r>
    </w:p>
    <w:p w14:paraId="6B82B8B0">
      <w:pPr>
        <w:ind w:firstLine="480"/>
      </w:pPr>
      <w:r>
        <w:t xml:space="preserve">Uc——颗粒物排放量（单位：吨）； </w:t>
      </w:r>
    </w:p>
    <w:p w14:paraId="10F4172D">
      <w:pPr>
        <w:ind w:firstLine="480"/>
      </w:pPr>
      <w:r>
        <w:t xml:space="preserve">Cm——颗粒物控制措施控制效率（单位：%），见附录4； </w:t>
      </w:r>
    </w:p>
    <w:p w14:paraId="7F29C7BA">
      <w:pPr>
        <w:ind w:firstLine="480"/>
      </w:pPr>
      <w:r>
        <w:t>Tm——堆场类型控制效率（单位：%），见附录5。</w:t>
      </w:r>
    </w:p>
    <w:p w14:paraId="00E0151F">
      <w:pPr>
        <w:ind w:firstLine="480"/>
      </w:pPr>
      <w:r>
        <w:rPr>
          <w:rFonts w:hint="eastAsia"/>
        </w:rPr>
        <w:t>厂内目前已</w:t>
      </w:r>
      <w:r>
        <w:t>采取的粉尘控制措施包括</w:t>
      </w:r>
      <w:r>
        <w:rPr>
          <w:rFonts w:hint="eastAsia"/>
        </w:rPr>
        <w:t>硅石及球团料场安装防风抑尘网并进行洒水降尘。</w:t>
      </w:r>
      <w:r>
        <w:t>堆场类型控制措施为兰炭棚密闭式料仓储存。</w:t>
      </w:r>
    </w:p>
    <w:p w14:paraId="2F970521">
      <w:pPr>
        <w:ind w:firstLine="480"/>
      </w:pPr>
      <w:r>
        <w:t>参考《工业源固体物料堆场颗粒物核算系数手册》</w:t>
      </w:r>
      <w:r>
        <w:rPr>
          <w:rFonts w:hint="eastAsia"/>
        </w:rPr>
        <w:t>附录4及</w:t>
      </w:r>
      <w:r>
        <w:t>附录5，</w:t>
      </w:r>
      <w:r>
        <w:rPr>
          <w:rFonts w:hint="eastAsia"/>
        </w:rPr>
        <w:t>粉尘控制措施采用围挡控制效率60%、洒水控制效率74%，密闭式兰炭棚的</w:t>
      </w:r>
      <w:r>
        <w:t>控制效率为99%</w:t>
      </w:r>
      <w:r>
        <w:rPr>
          <w:rFonts w:hint="eastAsia"/>
        </w:rPr>
        <w:t>。采取措施后，</w:t>
      </w:r>
      <w:r>
        <w:t>硅石球团</w:t>
      </w:r>
      <w:r>
        <w:rPr>
          <w:rFonts w:hint="eastAsia"/>
        </w:rPr>
        <w:t>卸料及料场堆存</w:t>
      </w:r>
      <w:r>
        <w:t>过程</w:t>
      </w:r>
      <w:r>
        <w:rPr>
          <w:rFonts w:hint="eastAsia"/>
        </w:rPr>
        <w:t>排放</w:t>
      </w:r>
      <w:r>
        <w:t>的颗粒物源强为</w:t>
      </w:r>
      <w:r>
        <w:rPr>
          <w:rFonts w:hint="eastAsia"/>
        </w:rPr>
        <w:t>3.01</w:t>
      </w:r>
      <w:r>
        <w:t>t/a。兰炭卸料</w:t>
      </w:r>
      <w:r>
        <w:rPr>
          <w:rFonts w:hint="eastAsia"/>
        </w:rPr>
        <w:t>及料棚堆存</w:t>
      </w:r>
      <w:r>
        <w:t>过程</w:t>
      </w:r>
      <w:r>
        <w:rPr>
          <w:rFonts w:hint="eastAsia"/>
        </w:rPr>
        <w:t>排放</w:t>
      </w:r>
      <w:r>
        <w:t>的颗粒物源强为</w:t>
      </w:r>
      <w:r>
        <w:rPr>
          <w:rFonts w:hint="eastAsia"/>
        </w:rPr>
        <w:t>3.24</w:t>
      </w:r>
      <w:r>
        <w:t>t/a。</w:t>
      </w:r>
    </w:p>
    <w:p w14:paraId="4FAC85AD">
      <w:pPr>
        <w:ind w:firstLine="480"/>
      </w:pPr>
      <w:r>
        <w:rPr>
          <w:rFonts w:hint="eastAsia"/>
        </w:rPr>
        <w:t>2）生产环节无组织废气</w:t>
      </w:r>
    </w:p>
    <w:p w14:paraId="28911627">
      <w:pPr>
        <w:pStyle w:val="117"/>
        <w:ind w:firstLine="480"/>
        <w:rPr>
          <w:rFonts w:cs="Times New Roman"/>
        </w:rPr>
      </w:pPr>
      <w:r>
        <w:rPr>
          <w:rFonts w:hint="eastAsia" w:ascii="宋体" w:hAnsi="宋体" w:cs="Times New Roman"/>
        </w:rPr>
        <w:t>①硅铁上料无组织废气</w:t>
      </w:r>
      <w:r>
        <w:rPr>
          <w:rFonts w:hint="eastAsia"/>
        </w:rPr>
        <w:t>（G</w:t>
      </w:r>
      <w:r>
        <w:rPr>
          <w:rFonts w:hint="eastAsia"/>
          <w:vertAlign w:val="subscript"/>
        </w:rPr>
        <w:t>2-3</w:t>
      </w:r>
      <w:r>
        <w:rPr>
          <w:rFonts w:hint="eastAsia" w:ascii="宋体" w:hAnsi="宋体"/>
          <w:vertAlign w:val="subscript"/>
        </w:rPr>
        <w:t>ˊ</w:t>
      </w:r>
      <w:r>
        <w:rPr>
          <w:rFonts w:hint="eastAsia"/>
        </w:rPr>
        <w:t>）</w:t>
      </w:r>
    </w:p>
    <w:p w14:paraId="610B9F4C">
      <w:pPr>
        <w:pStyle w:val="117"/>
        <w:ind w:firstLine="480"/>
        <w:rPr>
          <w:rFonts w:cs="Times New Roman"/>
        </w:rPr>
      </w:pPr>
      <w:r>
        <w:rPr>
          <w:rFonts w:cs="Times New Roman"/>
        </w:rPr>
        <w:t>硅石、球团及兰炭在转运</w:t>
      </w:r>
      <w:r>
        <w:rPr>
          <w:rFonts w:hint="eastAsia"/>
        </w:rPr>
        <w:t>、配料、上料</w:t>
      </w:r>
      <w:r>
        <w:rPr>
          <w:rFonts w:cs="Times New Roman"/>
        </w:rPr>
        <w:t>过程存在一定量的粉尘逸散。转运落料点</w:t>
      </w:r>
      <w:r>
        <w:rPr>
          <w:rFonts w:cs="Times New Roman"/>
          <w:spacing w:val="-2"/>
        </w:rPr>
        <w:t>上方设半封闭集气罩，</w:t>
      </w:r>
      <w:r>
        <w:rPr>
          <w:spacing w:val="-2"/>
        </w:rPr>
        <w:t>粉尘收集率参考《袋式除尘工程通用技术规范》（HJ2020-2012）中6.2.8半密闭集尘罩粉尘收集效率不低于95%</w:t>
      </w:r>
      <w:r>
        <w:rPr>
          <w:rFonts w:hint="eastAsia"/>
          <w:spacing w:val="-2"/>
        </w:rPr>
        <w:t>，本项目采用</w:t>
      </w:r>
      <w:r>
        <w:rPr>
          <w:spacing w:val="-2"/>
        </w:rPr>
        <w:t>半密闭集尘罩</w:t>
      </w:r>
      <w:r>
        <w:rPr>
          <w:rFonts w:hint="eastAsia"/>
          <w:spacing w:val="-2"/>
        </w:rPr>
        <w:t>的</w:t>
      </w:r>
      <w:r>
        <w:rPr>
          <w:rFonts w:cs="Times New Roman"/>
          <w:spacing w:val="-2"/>
        </w:rPr>
        <w:t>集气效率按95%计，未被集气罩收集的粉尘部分沉降在</w:t>
      </w:r>
      <w:r>
        <w:rPr>
          <w:rFonts w:cs="Times New Roman"/>
        </w:rPr>
        <w:t>转运站</w:t>
      </w:r>
      <w:r>
        <w:rPr>
          <w:rFonts w:cs="Times New Roman"/>
          <w:spacing w:val="-2"/>
        </w:rPr>
        <w:t>，部分无组织排放。</w:t>
      </w:r>
    </w:p>
    <w:p w14:paraId="15EB0B3E">
      <w:pPr>
        <w:pStyle w:val="117"/>
        <w:ind w:firstLine="480"/>
        <w:rPr>
          <w:rFonts w:cs="Times New Roman"/>
          <w:highlight w:val="green"/>
        </w:rPr>
      </w:pPr>
      <w:r>
        <w:rPr>
          <w:rFonts w:cs="Times New Roman"/>
        </w:rPr>
        <w:t>根据</w:t>
      </w:r>
      <w:r>
        <w:rPr>
          <w:rFonts w:hint="eastAsia" w:ascii="宋体" w:hAnsi="宋体" w:cs="Times New Roman"/>
        </w:rPr>
        <w:t>配料上料</w:t>
      </w:r>
      <w:r>
        <w:rPr>
          <w:rFonts w:cs="Times New Roman"/>
        </w:rPr>
        <w:t>过程颗粒物产生量及收集效率计算，</w:t>
      </w:r>
      <w:r>
        <w:rPr>
          <w:rFonts w:hint="eastAsia" w:ascii="宋体" w:hAnsi="宋体" w:cs="Times New Roman"/>
        </w:rPr>
        <w:t>配料上料间</w:t>
      </w:r>
      <w:r>
        <w:rPr>
          <w:rFonts w:cs="Times New Roman"/>
        </w:rPr>
        <w:t>外排无组织颗粒物</w:t>
      </w:r>
      <w:r>
        <w:rPr>
          <w:rFonts w:hint="eastAsia" w:cs="Times New Roman"/>
        </w:rPr>
        <w:t>0.02</w:t>
      </w:r>
      <w:r>
        <w:rPr>
          <w:rFonts w:cs="Times New Roman"/>
        </w:rPr>
        <w:t>t/a。</w:t>
      </w:r>
    </w:p>
    <w:p w14:paraId="751AFAD3">
      <w:pPr>
        <w:ind w:firstLine="480"/>
      </w:pPr>
      <w:r>
        <w:rPr>
          <w:rFonts w:hint="eastAsia" w:ascii="宋体" w:hAnsi="宋体"/>
        </w:rPr>
        <w:t>②</w:t>
      </w:r>
      <w:r>
        <w:rPr>
          <w:rFonts w:hint="eastAsia"/>
        </w:rPr>
        <w:t>矿热炉无组织废气（G</w:t>
      </w:r>
      <w:r>
        <w:rPr>
          <w:rFonts w:hint="eastAsia"/>
          <w:vertAlign w:val="subscript"/>
        </w:rPr>
        <w:t>2-4</w:t>
      </w:r>
      <w:r>
        <w:rPr>
          <w:rFonts w:hint="eastAsia" w:ascii="宋体" w:hAnsi="宋体"/>
          <w:vertAlign w:val="subscript"/>
        </w:rPr>
        <w:t>ˊ</w:t>
      </w:r>
      <w:r>
        <w:rPr>
          <w:rFonts w:hint="eastAsia"/>
        </w:rPr>
        <w:t>）</w:t>
      </w:r>
    </w:p>
    <w:p w14:paraId="27155E6D">
      <w:pPr>
        <w:pStyle w:val="117"/>
        <w:ind w:firstLine="480"/>
      </w:pPr>
      <w:r>
        <w:rPr>
          <w:rFonts w:hint="eastAsia" w:cs="Times New Roman"/>
        </w:rPr>
        <w:t>熔炼车间矿热炉运行</w:t>
      </w:r>
      <w:r>
        <w:rPr>
          <w:rFonts w:cs="Times New Roman"/>
        </w:rPr>
        <w:t>存在一定量的粉尘逸散。</w:t>
      </w:r>
      <w:r>
        <w:t>矿热炉采用大风机负压抽风，每个大炉门处设置一个气封机构，气封机构设置在大炉门和侧壁间，有利于烟气捕集，捕集率达99%以上，集气效率按99%计，未被集气罩收集的二氧化硫和氮氧化物无组织排放，粉尘部分沉降在熔炼车间，部分无组织排放。</w:t>
      </w:r>
    </w:p>
    <w:p w14:paraId="79D4331E">
      <w:pPr>
        <w:ind w:firstLine="480"/>
      </w:pPr>
      <w:r>
        <w:t>根据</w:t>
      </w:r>
      <w:r>
        <w:rPr>
          <w:rFonts w:hint="eastAsia"/>
        </w:rPr>
        <w:t>矿热炉烟气污染物</w:t>
      </w:r>
      <w:r>
        <w:t>产生量及收集效率计算，</w:t>
      </w:r>
      <w:r>
        <w:rPr>
          <w:rFonts w:hint="eastAsia"/>
        </w:rPr>
        <w:t>熔炼车间</w:t>
      </w:r>
      <w:r>
        <w:t>外排无组织颗粒物</w:t>
      </w:r>
      <w:r>
        <w:rPr>
          <w:rFonts w:hint="eastAsia"/>
        </w:rPr>
        <w:t>0.78</w:t>
      </w:r>
      <w:r>
        <w:t>t/a</w:t>
      </w:r>
      <w:r>
        <w:rPr>
          <w:rFonts w:hint="eastAsia"/>
        </w:rPr>
        <w:t>、二氧化硫7.75t/a、氮氧化物1.56t/a</w:t>
      </w:r>
      <w:r>
        <w:t>。</w:t>
      </w:r>
    </w:p>
    <w:p w14:paraId="5CB9F697">
      <w:pPr>
        <w:ind w:firstLine="480"/>
      </w:pPr>
      <w:r>
        <w:rPr>
          <w:rFonts w:hint="eastAsia" w:ascii="宋体" w:hAnsi="宋体"/>
        </w:rPr>
        <w:t>③出铁浇注无组织废气</w:t>
      </w:r>
      <w:r>
        <w:rPr>
          <w:rFonts w:hint="eastAsia"/>
        </w:rPr>
        <w:t>（G</w:t>
      </w:r>
      <w:r>
        <w:rPr>
          <w:rFonts w:hint="eastAsia"/>
          <w:vertAlign w:val="subscript"/>
        </w:rPr>
        <w:t>2-5</w:t>
      </w:r>
      <w:r>
        <w:rPr>
          <w:rFonts w:hint="eastAsia" w:ascii="宋体" w:hAnsi="宋体"/>
          <w:vertAlign w:val="subscript"/>
        </w:rPr>
        <w:t>ˊ</w:t>
      </w:r>
      <w:r>
        <w:rPr>
          <w:rFonts w:hint="eastAsia"/>
        </w:rPr>
        <w:t>）</w:t>
      </w:r>
    </w:p>
    <w:p w14:paraId="6535DFE3">
      <w:pPr>
        <w:pStyle w:val="117"/>
        <w:ind w:firstLine="480"/>
        <w:rPr>
          <w:rFonts w:cs="Times New Roman"/>
        </w:rPr>
      </w:pPr>
      <w:r>
        <w:rPr>
          <w:rFonts w:hint="eastAsia" w:ascii="宋体" w:hAnsi="宋体"/>
        </w:rPr>
        <w:t>铸造</w:t>
      </w:r>
      <w:r>
        <w:t>车间废气无组织排放包括出铁口、浇铸机运行中的颗粒物排放及矿热炉</w:t>
      </w:r>
      <w:r>
        <w:rPr>
          <w:rFonts w:cs="Times New Roman"/>
        </w:rPr>
        <w:t>低矮烟罩</w:t>
      </w:r>
      <w:r>
        <w:rPr>
          <w:rFonts w:hint="eastAsia" w:cs="Times New Roman"/>
        </w:rPr>
        <w:t>负压操作</w:t>
      </w:r>
      <w:r>
        <w:rPr>
          <w:rFonts w:hint="eastAsia"/>
        </w:rPr>
        <w:t>未收集到的颗粒物</w:t>
      </w:r>
      <w:r>
        <w:t>。</w:t>
      </w:r>
    </w:p>
    <w:p w14:paraId="5EDAE9EB">
      <w:pPr>
        <w:pStyle w:val="117"/>
        <w:ind w:firstLine="480"/>
        <w:rPr>
          <w:rFonts w:cs="Times New Roman"/>
        </w:rPr>
      </w:pPr>
      <w:r>
        <w:t>出铁口、浇铸机</w:t>
      </w:r>
      <w:r>
        <w:rPr>
          <w:spacing w:val="-2"/>
        </w:rPr>
        <w:t>上方分别设半封闭集气罩，集气效率按95%计，未被集气罩收集的粉尘部分沉降在熔炼车间，部分无组织排放。</w:t>
      </w:r>
    </w:p>
    <w:p w14:paraId="0F4CD023">
      <w:pPr>
        <w:pStyle w:val="117"/>
        <w:ind w:firstLine="480"/>
        <w:rPr>
          <w:rFonts w:cs="Times New Roman"/>
        </w:rPr>
      </w:pPr>
      <w:r>
        <w:rPr>
          <w:rFonts w:cs="Times New Roman"/>
        </w:rPr>
        <w:t>根据</w:t>
      </w:r>
      <w:r>
        <w:rPr>
          <w:rFonts w:hint="eastAsia" w:cs="Times New Roman"/>
        </w:rPr>
        <w:t>出铁及铸造废气污染物</w:t>
      </w:r>
      <w:r>
        <w:rPr>
          <w:rFonts w:cs="Times New Roman"/>
        </w:rPr>
        <w:t>产生量及收集效率计算，</w:t>
      </w:r>
      <w:r>
        <w:rPr>
          <w:rFonts w:hint="eastAsia" w:ascii="宋体" w:hAnsi="宋体"/>
        </w:rPr>
        <w:t>铸造</w:t>
      </w:r>
      <w:r>
        <w:rPr>
          <w:rFonts w:hint="eastAsia"/>
        </w:rPr>
        <w:t>车间</w:t>
      </w:r>
      <w:r>
        <w:rPr>
          <w:rFonts w:cs="Times New Roman"/>
        </w:rPr>
        <w:t>外排无组织颗粒物</w:t>
      </w:r>
      <w:r>
        <w:rPr>
          <w:rFonts w:hint="eastAsia"/>
        </w:rPr>
        <w:t>0.04</w:t>
      </w:r>
      <w:r>
        <w:rPr>
          <w:rFonts w:cs="Times New Roman"/>
        </w:rPr>
        <w:t>t/a。</w:t>
      </w:r>
    </w:p>
    <w:p w14:paraId="10D99A8C">
      <w:pPr>
        <w:ind w:firstLine="480"/>
      </w:pPr>
      <w:r>
        <w:rPr>
          <w:rFonts w:hint="eastAsia" w:ascii="宋体" w:hAnsi="宋体"/>
        </w:rPr>
        <w:t>④硅铁</w:t>
      </w:r>
      <w:r>
        <w:t>成品破碎</w:t>
      </w:r>
      <w:r>
        <w:rPr>
          <w:rFonts w:hint="eastAsia"/>
        </w:rPr>
        <w:t>无组织废气（G</w:t>
      </w:r>
      <w:r>
        <w:rPr>
          <w:rFonts w:hint="eastAsia"/>
          <w:vertAlign w:val="subscript"/>
        </w:rPr>
        <w:t>2-6</w:t>
      </w:r>
      <w:r>
        <w:rPr>
          <w:rFonts w:hint="eastAsia" w:ascii="宋体" w:hAnsi="宋体"/>
          <w:vertAlign w:val="subscript"/>
        </w:rPr>
        <w:t>ˊ</w:t>
      </w:r>
      <w:r>
        <w:rPr>
          <w:rFonts w:hint="eastAsia"/>
        </w:rPr>
        <w:t>）</w:t>
      </w:r>
    </w:p>
    <w:p w14:paraId="070A9972">
      <w:pPr>
        <w:ind w:firstLine="480"/>
        <w:rPr>
          <w:spacing w:val="-2"/>
        </w:rPr>
      </w:pPr>
      <w:r>
        <w:t>成品破碎设施</w:t>
      </w:r>
      <w:r>
        <w:rPr>
          <w:rFonts w:hint="eastAsia"/>
        </w:rPr>
        <w:t>的</w:t>
      </w:r>
      <w:r>
        <w:t>硅铁产品破碎过程存在一定量的粉尘逸散。成品破碎设施在破碎机上方</w:t>
      </w:r>
      <w:r>
        <w:rPr>
          <w:spacing w:val="-2"/>
        </w:rPr>
        <w:t>设半封闭集气罩，集气效率按95%计，未被集气罩收集的粉尘部分沉降在</w:t>
      </w:r>
      <w:r>
        <w:t>配料间</w:t>
      </w:r>
      <w:r>
        <w:rPr>
          <w:spacing w:val="-2"/>
        </w:rPr>
        <w:t>，部分无组织排放。</w:t>
      </w:r>
    </w:p>
    <w:p w14:paraId="3CAD60D0">
      <w:pPr>
        <w:ind w:firstLine="480"/>
      </w:pPr>
      <w:r>
        <w:t>根据</w:t>
      </w:r>
      <w:r>
        <w:rPr>
          <w:rFonts w:hint="eastAsia"/>
        </w:rPr>
        <w:t>破碎废气污染物</w:t>
      </w:r>
      <w:r>
        <w:t>产生量及收集效率计算，成品破碎设施外排无组织颗粒物</w:t>
      </w:r>
      <w:r>
        <w:rPr>
          <w:rFonts w:hint="eastAsia"/>
        </w:rPr>
        <w:t>0.003</w:t>
      </w:r>
      <w:r>
        <w:t>t/a。</w:t>
      </w:r>
    </w:p>
    <w:p w14:paraId="6267E074">
      <w:pPr>
        <w:ind w:firstLine="480"/>
        <w:rPr>
          <w:highlight w:val="yellow"/>
        </w:rPr>
      </w:pPr>
      <w:bookmarkStart w:id="344" w:name="OLE_LINK28"/>
      <w:r>
        <w:t>厂内污染物无组织排放源强核算结果汇总，见表3.</w:t>
      </w:r>
      <w:r>
        <w:rPr>
          <w:rFonts w:hint="eastAsia"/>
        </w:rPr>
        <w:t>4-10</w:t>
      </w:r>
      <w:r>
        <w:t>。</w:t>
      </w:r>
    </w:p>
    <w:p w14:paraId="461ABAA0">
      <w:pPr>
        <w:pStyle w:val="118"/>
        <w:rPr>
          <w:rStyle w:val="802"/>
          <w:rFonts w:ascii="Times New Roman" w:hAnsi="Times New Roman"/>
          <w:b/>
          <w:bCs/>
        </w:rPr>
      </w:pPr>
      <w:bookmarkStart w:id="345" w:name="OLE_LINK53"/>
      <w:r>
        <w:t>表3.</w:t>
      </w:r>
      <w:r>
        <w:rPr>
          <w:rFonts w:hint="eastAsia"/>
        </w:rPr>
        <w:t>4-10</w:t>
      </w:r>
      <w:r>
        <w:t xml:space="preserve">  厂内无组织排放污染物核算结果汇总表</w:t>
      </w:r>
    </w:p>
    <w:bookmarkEnd w:id="344"/>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5"/>
        <w:gridCol w:w="1514"/>
        <w:gridCol w:w="871"/>
        <w:gridCol w:w="1082"/>
        <w:gridCol w:w="1082"/>
        <w:gridCol w:w="1115"/>
        <w:gridCol w:w="1087"/>
        <w:gridCol w:w="1086"/>
      </w:tblGrid>
      <w:tr w14:paraId="578055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402" w:type="pct"/>
            <w:noWrap/>
            <w:vAlign w:val="center"/>
          </w:tcPr>
          <w:p w14:paraId="0A7668F7">
            <w:pPr>
              <w:pStyle w:val="133"/>
              <w:rPr>
                <w:rFonts w:cs="Times New Roman"/>
                <w:b/>
                <w:bCs/>
              </w:rPr>
            </w:pPr>
            <w:r>
              <w:rPr>
                <w:rFonts w:hint="eastAsia" w:cs="Times New Roman"/>
                <w:b/>
                <w:bCs/>
              </w:rPr>
              <w:t>编号</w:t>
            </w:r>
          </w:p>
        </w:tc>
        <w:tc>
          <w:tcPr>
            <w:tcW w:w="888" w:type="pct"/>
            <w:vAlign w:val="center"/>
          </w:tcPr>
          <w:p w14:paraId="7BA5813A">
            <w:pPr>
              <w:pStyle w:val="133"/>
              <w:rPr>
                <w:rFonts w:cs="Times New Roman"/>
                <w:b/>
                <w:bCs/>
              </w:rPr>
            </w:pPr>
            <w:r>
              <w:rPr>
                <w:rFonts w:hint="eastAsia" w:cs="Times New Roman"/>
                <w:b/>
                <w:bCs/>
              </w:rPr>
              <w:t>料场/装置区</w:t>
            </w:r>
          </w:p>
        </w:tc>
        <w:tc>
          <w:tcPr>
            <w:tcW w:w="511" w:type="pct"/>
            <w:noWrap/>
            <w:vAlign w:val="center"/>
          </w:tcPr>
          <w:p w14:paraId="175B8270">
            <w:pPr>
              <w:pStyle w:val="133"/>
              <w:rPr>
                <w:rFonts w:cs="Times New Roman"/>
                <w:b/>
                <w:bCs/>
              </w:rPr>
            </w:pPr>
            <w:r>
              <w:rPr>
                <w:rFonts w:cs="Times New Roman"/>
                <w:b/>
                <w:bCs/>
              </w:rPr>
              <w:t>颗粒物</w:t>
            </w:r>
          </w:p>
          <w:p w14:paraId="2CA7B99D">
            <w:pPr>
              <w:pStyle w:val="133"/>
              <w:rPr>
                <w:rFonts w:cs="Times New Roman"/>
                <w:b/>
                <w:bCs/>
              </w:rPr>
            </w:pPr>
            <w:r>
              <w:rPr>
                <w:rFonts w:cs="Times New Roman"/>
                <w:b/>
                <w:bCs/>
              </w:rPr>
              <w:t>（t/a）</w:t>
            </w:r>
          </w:p>
        </w:tc>
        <w:tc>
          <w:tcPr>
            <w:tcW w:w="635" w:type="pct"/>
            <w:vAlign w:val="center"/>
          </w:tcPr>
          <w:p w14:paraId="398874FB">
            <w:pPr>
              <w:pStyle w:val="133"/>
              <w:rPr>
                <w:rFonts w:cs="Times New Roman"/>
                <w:b/>
                <w:bCs/>
              </w:rPr>
            </w:pPr>
            <w:r>
              <w:rPr>
                <w:rFonts w:cs="Times New Roman"/>
                <w:b/>
                <w:bCs/>
              </w:rPr>
              <w:t>二氧化硫</w:t>
            </w:r>
          </w:p>
          <w:p w14:paraId="42FC9CD2">
            <w:pPr>
              <w:pStyle w:val="133"/>
              <w:rPr>
                <w:rFonts w:cs="Times New Roman"/>
                <w:b/>
                <w:bCs/>
              </w:rPr>
            </w:pPr>
            <w:r>
              <w:rPr>
                <w:rFonts w:cs="Times New Roman"/>
                <w:b/>
                <w:bCs/>
              </w:rPr>
              <w:t>（t/a）</w:t>
            </w:r>
          </w:p>
        </w:tc>
        <w:tc>
          <w:tcPr>
            <w:tcW w:w="635" w:type="pct"/>
          </w:tcPr>
          <w:p w14:paraId="701903BF">
            <w:pPr>
              <w:pStyle w:val="133"/>
              <w:rPr>
                <w:rFonts w:cs="Times New Roman"/>
                <w:b/>
                <w:bCs/>
              </w:rPr>
            </w:pPr>
            <w:r>
              <w:rPr>
                <w:rFonts w:hint="eastAsia" w:cs="Times New Roman"/>
                <w:b/>
                <w:bCs/>
              </w:rPr>
              <w:t>氮氧化物</w:t>
            </w:r>
          </w:p>
          <w:p w14:paraId="0AB19FF7">
            <w:pPr>
              <w:pStyle w:val="133"/>
              <w:rPr>
                <w:rFonts w:cs="Times New Roman"/>
                <w:b/>
                <w:bCs/>
              </w:rPr>
            </w:pPr>
            <w:r>
              <w:rPr>
                <w:rFonts w:cs="Times New Roman"/>
                <w:b/>
                <w:bCs/>
              </w:rPr>
              <w:t>（t/a）</w:t>
            </w:r>
          </w:p>
        </w:tc>
        <w:tc>
          <w:tcPr>
            <w:tcW w:w="654" w:type="pct"/>
            <w:noWrap/>
            <w:vAlign w:val="center"/>
          </w:tcPr>
          <w:p w14:paraId="5B5277A8">
            <w:pPr>
              <w:pStyle w:val="133"/>
              <w:rPr>
                <w:rFonts w:cs="Times New Roman"/>
                <w:b/>
                <w:bCs/>
              </w:rPr>
            </w:pPr>
            <w:r>
              <w:rPr>
                <w:rFonts w:cs="Times New Roman"/>
                <w:b/>
                <w:bCs/>
              </w:rPr>
              <w:t>面源面积</w:t>
            </w:r>
          </w:p>
          <w:p w14:paraId="05C55954">
            <w:pPr>
              <w:pStyle w:val="133"/>
              <w:rPr>
                <w:rFonts w:cs="Times New Roman"/>
                <w:b/>
                <w:bCs/>
              </w:rPr>
            </w:pPr>
            <w:r>
              <w:rPr>
                <w:rFonts w:cs="Times New Roman"/>
                <w:b/>
                <w:bCs/>
              </w:rPr>
              <w:t>（m×m）</w:t>
            </w:r>
          </w:p>
        </w:tc>
        <w:tc>
          <w:tcPr>
            <w:tcW w:w="638" w:type="pct"/>
            <w:noWrap/>
            <w:vAlign w:val="center"/>
          </w:tcPr>
          <w:p w14:paraId="7F009133">
            <w:pPr>
              <w:pStyle w:val="133"/>
              <w:rPr>
                <w:rFonts w:cs="Times New Roman"/>
                <w:b/>
                <w:bCs/>
              </w:rPr>
            </w:pPr>
            <w:r>
              <w:rPr>
                <w:rFonts w:cs="Times New Roman"/>
                <w:b/>
                <w:bCs/>
              </w:rPr>
              <w:t>面源高度</w:t>
            </w:r>
          </w:p>
          <w:p w14:paraId="53CF5FBE">
            <w:pPr>
              <w:pStyle w:val="133"/>
              <w:rPr>
                <w:rFonts w:cs="Times New Roman"/>
                <w:b/>
                <w:bCs/>
              </w:rPr>
            </w:pPr>
            <w:r>
              <w:rPr>
                <w:rFonts w:cs="Times New Roman"/>
                <w:b/>
                <w:bCs/>
              </w:rPr>
              <w:t>（m）</w:t>
            </w:r>
          </w:p>
        </w:tc>
        <w:tc>
          <w:tcPr>
            <w:tcW w:w="638" w:type="pct"/>
            <w:noWrap/>
            <w:vAlign w:val="center"/>
          </w:tcPr>
          <w:p w14:paraId="5598CC92">
            <w:pPr>
              <w:pStyle w:val="133"/>
              <w:rPr>
                <w:rFonts w:cs="Times New Roman"/>
                <w:b/>
                <w:bCs/>
              </w:rPr>
            </w:pPr>
            <w:r>
              <w:rPr>
                <w:rFonts w:cs="Times New Roman"/>
                <w:b/>
                <w:bCs/>
              </w:rPr>
              <w:t>排放时间</w:t>
            </w:r>
          </w:p>
          <w:p w14:paraId="61ECE0FE">
            <w:pPr>
              <w:pStyle w:val="133"/>
              <w:rPr>
                <w:rFonts w:cs="Times New Roman"/>
                <w:b/>
                <w:bCs/>
              </w:rPr>
            </w:pPr>
            <w:r>
              <w:rPr>
                <w:rFonts w:cs="Times New Roman"/>
                <w:b/>
                <w:bCs/>
              </w:rPr>
              <w:t>（h）</w:t>
            </w:r>
          </w:p>
        </w:tc>
      </w:tr>
      <w:tr w14:paraId="6A7FB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402" w:type="pct"/>
            <w:noWrap/>
            <w:vAlign w:val="center"/>
          </w:tcPr>
          <w:p w14:paraId="716E37C5">
            <w:pPr>
              <w:pStyle w:val="133"/>
              <w:rPr>
                <w:rFonts w:cs="Times New Roman"/>
              </w:rPr>
            </w:pPr>
            <w:r>
              <w:rPr>
                <w:rFonts w:hint="eastAsia"/>
              </w:rPr>
              <w:t>G</w:t>
            </w:r>
            <w:r>
              <w:rPr>
                <w:rFonts w:hint="eastAsia"/>
                <w:vertAlign w:val="subscript"/>
              </w:rPr>
              <w:t>2-1</w:t>
            </w:r>
            <w:r>
              <w:rPr>
                <w:rFonts w:hint="eastAsia" w:ascii="宋体" w:hAnsi="宋体"/>
                <w:vertAlign w:val="subscript"/>
              </w:rPr>
              <w:t>ˊ</w:t>
            </w:r>
          </w:p>
        </w:tc>
        <w:tc>
          <w:tcPr>
            <w:tcW w:w="888" w:type="pct"/>
            <w:vAlign w:val="center"/>
          </w:tcPr>
          <w:p w14:paraId="2C5E815F">
            <w:pPr>
              <w:pStyle w:val="133"/>
              <w:rPr>
                <w:rFonts w:cs="Times New Roman"/>
              </w:rPr>
            </w:pPr>
            <w:r>
              <w:rPr>
                <w:rFonts w:hint="eastAsia" w:ascii="宋体" w:hAnsi="宋体"/>
                <w:szCs w:val="21"/>
              </w:rPr>
              <w:t>原料堆场</w:t>
            </w:r>
          </w:p>
        </w:tc>
        <w:tc>
          <w:tcPr>
            <w:tcW w:w="511" w:type="pct"/>
            <w:noWrap/>
            <w:vAlign w:val="center"/>
          </w:tcPr>
          <w:p w14:paraId="4095D647">
            <w:pPr>
              <w:pStyle w:val="133"/>
              <w:rPr>
                <w:rFonts w:cs="Times New Roman"/>
              </w:rPr>
            </w:pPr>
            <w:r>
              <w:rPr>
                <w:rFonts w:hint="eastAsia" w:cs="Times New Roman"/>
              </w:rPr>
              <w:t>3.01</w:t>
            </w:r>
          </w:p>
        </w:tc>
        <w:tc>
          <w:tcPr>
            <w:tcW w:w="635" w:type="pct"/>
          </w:tcPr>
          <w:p w14:paraId="4F4A478C">
            <w:pPr>
              <w:pStyle w:val="133"/>
              <w:rPr>
                <w:rFonts w:cs="Times New Roman"/>
              </w:rPr>
            </w:pPr>
          </w:p>
        </w:tc>
        <w:tc>
          <w:tcPr>
            <w:tcW w:w="635" w:type="pct"/>
          </w:tcPr>
          <w:p w14:paraId="6FA792F5">
            <w:pPr>
              <w:pStyle w:val="133"/>
              <w:rPr>
                <w:rFonts w:cs="Times New Roman"/>
              </w:rPr>
            </w:pPr>
          </w:p>
        </w:tc>
        <w:tc>
          <w:tcPr>
            <w:tcW w:w="654" w:type="pct"/>
            <w:noWrap/>
            <w:vAlign w:val="center"/>
          </w:tcPr>
          <w:p w14:paraId="0ABDBDB0">
            <w:pPr>
              <w:pStyle w:val="133"/>
              <w:rPr>
                <w:rFonts w:cs="Times New Roman"/>
              </w:rPr>
            </w:pPr>
            <w:r>
              <w:rPr>
                <w:rFonts w:hint="eastAsia" w:cs="Times New Roman"/>
              </w:rPr>
              <w:t>120×60</w:t>
            </w:r>
          </w:p>
        </w:tc>
        <w:tc>
          <w:tcPr>
            <w:tcW w:w="638" w:type="pct"/>
            <w:noWrap/>
            <w:vAlign w:val="center"/>
          </w:tcPr>
          <w:p w14:paraId="2C22C601">
            <w:pPr>
              <w:pStyle w:val="133"/>
              <w:rPr>
                <w:rFonts w:cs="Times New Roman"/>
              </w:rPr>
            </w:pPr>
            <w:r>
              <w:rPr>
                <w:rFonts w:hint="eastAsia" w:cs="Times New Roman"/>
              </w:rPr>
              <w:t>10</w:t>
            </w:r>
          </w:p>
        </w:tc>
        <w:tc>
          <w:tcPr>
            <w:tcW w:w="638" w:type="pct"/>
            <w:noWrap/>
            <w:vAlign w:val="center"/>
          </w:tcPr>
          <w:p w14:paraId="4D12EFA0">
            <w:pPr>
              <w:pStyle w:val="133"/>
              <w:rPr>
                <w:rFonts w:cs="Times New Roman"/>
              </w:rPr>
            </w:pPr>
            <w:r>
              <w:rPr>
                <w:rFonts w:hint="eastAsia" w:cs="Times New Roman"/>
              </w:rPr>
              <w:t>7920</w:t>
            </w:r>
          </w:p>
        </w:tc>
      </w:tr>
      <w:tr w14:paraId="7531F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02" w:type="pct"/>
            <w:noWrap/>
            <w:vAlign w:val="center"/>
          </w:tcPr>
          <w:p w14:paraId="3F93D3A0">
            <w:pPr>
              <w:pStyle w:val="133"/>
              <w:rPr>
                <w:rFonts w:cs="Times New Roman"/>
              </w:rPr>
            </w:pPr>
            <w:r>
              <w:rPr>
                <w:rFonts w:hint="eastAsia"/>
              </w:rPr>
              <w:t>G</w:t>
            </w:r>
            <w:r>
              <w:rPr>
                <w:rFonts w:hint="eastAsia"/>
                <w:vertAlign w:val="subscript"/>
              </w:rPr>
              <w:t>2-2</w:t>
            </w:r>
            <w:r>
              <w:rPr>
                <w:rFonts w:hint="eastAsia" w:ascii="宋体" w:hAnsi="宋体"/>
                <w:vertAlign w:val="subscript"/>
              </w:rPr>
              <w:t>ˊ</w:t>
            </w:r>
          </w:p>
        </w:tc>
        <w:tc>
          <w:tcPr>
            <w:tcW w:w="888" w:type="pct"/>
            <w:vAlign w:val="center"/>
          </w:tcPr>
          <w:p w14:paraId="252A7678">
            <w:pPr>
              <w:pStyle w:val="133"/>
              <w:rPr>
                <w:rFonts w:cs="Times New Roman"/>
              </w:rPr>
            </w:pPr>
            <w:r>
              <w:rPr>
                <w:rFonts w:hint="eastAsia" w:ascii="宋体" w:hAnsi="宋体"/>
                <w:szCs w:val="21"/>
              </w:rPr>
              <w:t>兰炭棚</w:t>
            </w:r>
          </w:p>
        </w:tc>
        <w:tc>
          <w:tcPr>
            <w:tcW w:w="511" w:type="pct"/>
            <w:noWrap/>
            <w:vAlign w:val="center"/>
          </w:tcPr>
          <w:p w14:paraId="690FAF29">
            <w:pPr>
              <w:pStyle w:val="133"/>
              <w:rPr>
                <w:rFonts w:cs="Times New Roman"/>
              </w:rPr>
            </w:pPr>
            <w:r>
              <w:rPr>
                <w:rFonts w:hint="eastAsia" w:cs="Times New Roman"/>
              </w:rPr>
              <w:t>3.24</w:t>
            </w:r>
          </w:p>
        </w:tc>
        <w:tc>
          <w:tcPr>
            <w:tcW w:w="635" w:type="pct"/>
          </w:tcPr>
          <w:p w14:paraId="19BFA25F">
            <w:pPr>
              <w:pStyle w:val="133"/>
              <w:rPr>
                <w:rFonts w:cs="Times New Roman"/>
              </w:rPr>
            </w:pPr>
          </w:p>
        </w:tc>
        <w:tc>
          <w:tcPr>
            <w:tcW w:w="635" w:type="pct"/>
          </w:tcPr>
          <w:p w14:paraId="67C4CE42">
            <w:pPr>
              <w:pStyle w:val="133"/>
              <w:rPr>
                <w:rFonts w:cs="Times New Roman"/>
              </w:rPr>
            </w:pPr>
          </w:p>
        </w:tc>
        <w:tc>
          <w:tcPr>
            <w:tcW w:w="654" w:type="pct"/>
            <w:noWrap/>
            <w:vAlign w:val="center"/>
          </w:tcPr>
          <w:p w14:paraId="04299937">
            <w:pPr>
              <w:pStyle w:val="133"/>
              <w:rPr>
                <w:rFonts w:cs="Times New Roman"/>
              </w:rPr>
            </w:pPr>
            <w:r>
              <w:rPr>
                <w:rFonts w:cs="Times New Roman"/>
              </w:rPr>
              <w:t>82×98</w:t>
            </w:r>
          </w:p>
        </w:tc>
        <w:tc>
          <w:tcPr>
            <w:tcW w:w="638" w:type="pct"/>
            <w:noWrap/>
            <w:vAlign w:val="center"/>
          </w:tcPr>
          <w:p w14:paraId="4AE78149">
            <w:pPr>
              <w:pStyle w:val="133"/>
              <w:rPr>
                <w:rFonts w:cs="Times New Roman"/>
              </w:rPr>
            </w:pPr>
            <w:r>
              <w:rPr>
                <w:rFonts w:hint="eastAsia" w:cs="Times New Roman"/>
              </w:rPr>
              <w:t>10</w:t>
            </w:r>
          </w:p>
        </w:tc>
        <w:tc>
          <w:tcPr>
            <w:tcW w:w="638" w:type="pct"/>
            <w:noWrap/>
            <w:vAlign w:val="center"/>
          </w:tcPr>
          <w:p w14:paraId="2E57B11A">
            <w:pPr>
              <w:pStyle w:val="133"/>
              <w:rPr>
                <w:rFonts w:cs="Times New Roman"/>
              </w:rPr>
            </w:pPr>
            <w:r>
              <w:rPr>
                <w:rFonts w:hint="eastAsia" w:cs="Times New Roman"/>
              </w:rPr>
              <w:t>7920</w:t>
            </w:r>
          </w:p>
        </w:tc>
      </w:tr>
      <w:tr w14:paraId="68362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02" w:type="pct"/>
            <w:noWrap/>
            <w:vAlign w:val="center"/>
          </w:tcPr>
          <w:p w14:paraId="189BA5E6">
            <w:pPr>
              <w:pStyle w:val="133"/>
              <w:rPr>
                <w:rFonts w:cs="Times New Roman"/>
              </w:rPr>
            </w:pPr>
            <w:r>
              <w:rPr>
                <w:rFonts w:hint="eastAsia"/>
              </w:rPr>
              <w:t>G</w:t>
            </w:r>
            <w:r>
              <w:rPr>
                <w:rFonts w:hint="eastAsia"/>
                <w:vertAlign w:val="subscript"/>
              </w:rPr>
              <w:t>2-3</w:t>
            </w:r>
            <w:r>
              <w:rPr>
                <w:rFonts w:hint="eastAsia" w:ascii="宋体" w:hAnsi="宋体"/>
                <w:vertAlign w:val="subscript"/>
              </w:rPr>
              <w:t>ˊ</w:t>
            </w:r>
          </w:p>
        </w:tc>
        <w:tc>
          <w:tcPr>
            <w:tcW w:w="888" w:type="pct"/>
            <w:vAlign w:val="center"/>
          </w:tcPr>
          <w:p w14:paraId="26381AD5">
            <w:pPr>
              <w:pStyle w:val="133"/>
              <w:rPr>
                <w:rFonts w:cs="Times New Roman"/>
              </w:rPr>
            </w:pPr>
            <w:r>
              <w:rPr>
                <w:rFonts w:hint="eastAsia" w:ascii="宋体" w:hAnsi="宋体"/>
                <w:szCs w:val="21"/>
              </w:rPr>
              <w:t>硅铁上料</w:t>
            </w:r>
          </w:p>
        </w:tc>
        <w:tc>
          <w:tcPr>
            <w:tcW w:w="511" w:type="pct"/>
            <w:noWrap/>
            <w:vAlign w:val="center"/>
          </w:tcPr>
          <w:p w14:paraId="516A32A6">
            <w:pPr>
              <w:pStyle w:val="133"/>
              <w:rPr>
                <w:rFonts w:cs="Times New Roman"/>
              </w:rPr>
            </w:pPr>
            <w:r>
              <w:rPr>
                <w:rFonts w:hint="eastAsia" w:cs="Times New Roman"/>
              </w:rPr>
              <w:t>0.02</w:t>
            </w:r>
          </w:p>
        </w:tc>
        <w:tc>
          <w:tcPr>
            <w:tcW w:w="635" w:type="pct"/>
          </w:tcPr>
          <w:p w14:paraId="7225D8E7">
            <w:pPr>
              <w:pStyle w:val="133"/>
              <w:rPr>
                <w:rFonts w:cs="Times New Roman"/>
              </w:rPr>
            </w:pPr>
          </w:p>
        </w:tc>
        <w:tc>
          <w:tcPr>
            <w:tcW w:w="635" w:type="pct"/>
          </w:tcPr>
          <w:p w14:paraId="30FF0483">
            <w:pPr>
              <w:pStyle w:val="133"/>
              <w:rPr>
                <w:rFonts w:cs="Times New Roman"/>
              </w:rPr>
            </w:pPr>
          </w:p>
        </w:tc>
        <w:tc>
          <w:tcPr>
            <w:tcW w:w="654" w:type="pct"/>
            <w:noWrap/>
            <w:vAlign w:val="center"/>
          </w:tcPr>
          <w:p w14:paraId="425CF353">
            <w:pPr>
              <w:pStyle w:val="133"/>
              <w:rPr>
                <w:rFonts w:cs="Times New Roman"/>
              </w:rPr>
            </w:pPr>
            <w:r>
              <w:rPr>
                <w:rFonts w:cs="Times New Roman"/>
              </w:rPr>
              <w:t>35</w:t>
            </w:r>
            <w:r>
              <w:rPr>
                <w:rFonts w:hint="eastAsia" w:cs="Times New Roman"/>
              </w:rPr>
              <w:t>×</w:t>
            </w:r>
            <w:r>
              <w:rPr>
                <w:rFonts w:cs="Times New Roman"/>
              </w:rPr>
              <w:t>10</w:t>
            </w:r>
          </w:p>
        </w:tc>
        <w:tc>
          <w:tcPr>
            <w:tcW w:w="638" w:type="pct"/>
            <w:noWrap/>
            <w:vAlign w:val="center"/>
          </w:tcPr>
          <w:p w14:paraId="02EF99E9">
            <w:pPr>
              <w:pStyle w:val="133"/>
              <w:rPr>
                <w:rFonts w:cs="Times New Roman"/>
              </w:rPr>
            </w:pPr>
            <w:r>
              <w:rPr>
                <w:rFonts w:hint="eastAsia" w:cs="Times New Roman"/>
              </w:rPr>
              <w:t>10</w:t>
            </w:r>
          </w:p>
        </w:tc>
        <w:tc>
          <w:tcPr>
            <w:tcW w:w="638" w:type="pct"/>
            <w:noWrap/>
            <w:vAlign w:val="center"/>
          </w:tcPr>
          <w:p w14:paraId="3CF0428E">
            <w:pPr>
              <w:pStyle w:val="133"/>
              <w:rPr>
                <w:rFonts w:cs="Times New Roman"/>
              </w:rPr>
            </w:pPr>
            <w:r>
              <w:rPr>
                <w:rFonts w:hint="eastAsia" w:cs="Times New Roman"/>
              </w:rPr>
              <w:t>4000</w:t>
            </w:r>
          </w:p>
        </w:tc>
      </w:tr>
      <w:tr w14:paraId="18A32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02" w:type="pct"/>
            <w:noWrap/>
            <w:vAlign w:val="center"/>
          </w:tcPr>
          <w:p w14:paraId="7FF4DFB1">
            <w:pPr>
              <w:pStyle w:val="133"/>
              <w:rPr>
                <w:rFonts w:cs="Times New Roman"/>
              </w:rPr>
            </w:pPr>
            <w:r>
              <w:rPr>
                <w:rFonts w:hint="eastAsia"/>
              </w:rPr>
              <w:t>G</w:t>
            </w:r>
            <w:r>
              <w:rPr>
                <w:rFonts w:hint="eastAsia"/>
                <w:vertAlign w:val="subscript"/>
              </w:rPr>
              <w:t>2-4</w:t>
            </w:r>
            <w:r>
              <w:rPr>
                <w:rFonts w:hint="eastAsia" w:ascii="宋体" w:hAnsi="宋体"/>
                <w:vertAlign w:val="subscript"/>
              </w:rPr>
              <w:t>ˊ</w:t>
            </w:r>
          </w:p>
        </w:tc>
        <w:tc>
          <w:tcPr>
            <w:tcW w:w="888" w:type="pct"/>
            <w:vAlign w:val="center"/>
          </w:tcPr>
          <w:p w14:paraId="70367545">
            <w:pPr>
              <w:pStyle w:val="133"/>
              <w:rPr>
                <w:rFonts w:cs="Times New Roman"/>
              </w:rPr>
            </w:pPr>
            <w:r>
              <w:rPr>
                <w:rFonts w:hint="eastAsia" w:ascii="宋体" w:hAnsi="宋体"/>
                <w:szCs w:val="21"/>
              </w:rPr>
              <w:t>矿热炉</w:t>
            </w:r>
          </w:p>
        </w:tc>
        <w:tc>
          <w:tcPr>
            <w:tcW w:w="511" w:type="pct"/>
            <w:noWrap/>
            <w:vAlign w:val="center"/>
          </w:tcPr>
          <w:p w14:paraId="743DCE86">
            <w:pPr>
              <w:pStyle w:val="133"/>
              <w:rPr>
                <w:rFonts w:cs="Times New Roman"/>
              </w:rPr>
            </w:pPr>
            <w:r>
              <w:rPr>
                <w:rFonts w:hint="eastAsia" w:cs="Times New Roman"/>
              </w:rPr>
              <w:t>0.78</w:t>
            </w:r>
          </w:p>
        </w:tc>
        <w:tc>
          <w:tcPr>
            <w:tcW w:w="635" w:type="pct"/>
          </w:tcPr>
          <w:p w14:paraId="0228F1A1">
            <w:pPr>
              <w:pStyle w:val="133"/>
              <w:rPr>
                <w:rFonts w:cs="Times New Roman"/>
              </w:rPr>
            </w:pPr>
            <w:r>
              <w:rPr>
                <w:rFonts w:hint="eastAsia" w:cs="Times New Roman"/>
              </w:rPr>
              <w:t>7.75</w:t>
            </w:r>
          </w:p>
        </w:tc>
        <w:tc>
          <w:tcPr>
            <w:tcW w:w="635" w:type="pct"/>
          </w:tcPr>
          <w:p w14:paraId="77CA6635">
            <w:pPr>
              <w:pStyle w:val="133"/>
              <w:rPr>
                <w:rFonts w:cs="Times New Roman"/>
              </w:rPr>
            </w:pPr>
            <w:r>
              <w:rPr>
                <w:rFonts w:hint="eastAsia" w:cs="Times New Roman"/>
              </w:rPr>
              <w:t>1.56</w:t>
            </w:r>
          </w:p>
        </w:tc>
        <w:tc>
          <w:tcPr>
            <w:tcW w:w="654" w:type="pct"/>
            <w:noWrap/>
            <w:vAlign w:val="center"/>
          </w:tcPr>
          <w:p w14:paraId="2ABFEC5A">
            <w:pPr>
              <w:pStyle w:val="133"/>
              <w:rPr>
                <w:rFonts w:cs="Times New Roman"/>
              </w:rPr>
            </w:pPr>
            <w:r>
              <w:rPr>
                <w:rFonts w:cs="Times New Roman"/>
              </w:rPr>
              <w:t>37</w:t>
            </w:r>
            <w:r>
              <w:rPr>
                <w:rFonts w:hint="eastAsia" w:cs="Times New Roman"/>
              </w:rPr>
              <w:t>×</w:t>
            </w:r>
            <w:r>
              <w:rPr>
                <w:rFonts w:cs="Times New Roman"/>
              </w:rPr>
              <w:t>80</w:t>
            </w:r>
          </w:p>
        </w:tc>
        <w:tc>
          <w:tcPr>
            <w:tcW w:w="638" w:type="pct"/>
            <w:noWrap/>
            <w:vAlign w:val="center"/>
          </w:tcPr>
          <w:p w14:paraId="1FDB153C">
            <w:pPr>
              <w:pStyle w:val="133"/>
              <w:rPr>
                <w:rFonts w:cs="Times New Roman"/>
              </w:rPr>
            </w:pPr>
            <w:r>
              <w:rPr>
                <w:rFonts w:hint="eastAsia" w:cs="Times New Roman"/>
              </w:rPr>
              <w:t>10</w:t>
            </w:r>
          </w:p>
        </w:tc>
        <w:tc>
          <w:tcPr>
            <w:tcW w:w="638" w:type="pct"/>
            <w:noWrap/>
            <w:vAlign w:val="center"/>
          </w:tcPr>
          <w:p w14:paraId="32CA5EC9">
            <w:pPr>
              <w:pStyle w:val="133"/>
              <w:rPr>
                <w:rFonts w:cs="Times New Roman"/>
              </w:rPr>
            </w:pPr>
            <w:r>
              <w:rPr>
                <w:rFonts w:hint="eastAsia" w:cs="Times New Roman"/>
              </w:rPr>
              <w:t>7920</w:t>
            </w:r>
          </w:p>
        </w:tc>
      </w:tr>
      <w:tr w14:paraId="33C68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02" w:type="pct"/>
            <w:noWrap/>
            <w:vAlign w:val="center"/>
          </w:tcPr>
          <w:p w14:paraId="4595E793">
            <w:pPr>
              <w:pStyle w:val="133"/>
              <w:rPr>
                <w:rFonts w:cs="Times New Roman"/>
              </w:rPr>
            </w:pPr>
            <w:r>
              <w:rPr>
                <w:rFonts w:hint="eastAsia"/>
              </w:rPr>
              <w:t>G</w:t>
            </w:r>
            <w:r>
              <w:rPr>
                <w:rFonts w:hint="eastAsia"/>
                <w:vertAlign w:val="subscript"/>
              </w:rPr>
              <w:t>2-5</w:t>
            </w:r>
            <w:r>
              <w:rPr>
                <w:rFonts w:hint="eastAsia" w:ascii="宋体" w:hAnsi="宋体"/>
                <w:vertAlign w:val="subscript"/>
              </w:rPr>
              <w:t>ˊ</w:t>
            </w:r>
          </w:p>
        </w:tc>
        <w:tc>
          <w:tcPr>
            <w:tcW w:w="888" w:type="pct"/>
            <w:vAlign w:val="center"/>
          </w:tcPr>
          <w:p w14:paraId="22E1D8D5">
            <w:pPr>
              <w:pStyle w:val="133"/>
              <w:rPr>
                <w:rFonts w:cs="Times New Roman"/>
              </w:rPr>
            </w:pPr>
            <w:r>
              <w:rPr>
                <w:rFonts w:hint="eastAsia" w:ascii="宋体" w:hAnsi="宋体"/>
                <w:szCs w:val="21"/>
              </w:rPr>
              <w:t>出铁浇铸</w:t>
            </w:r>
          </w:p>
        </w:tc>
        <w:tc>
          <w:tcPr>
            <w:tcW w:w="511" w:type="pct"/>
            <w:noWrap/>
            <w:vAlign w:val="center"/>
          </w:tcPr>
          <w:p w14:paraId="4D482278">
            <w:pPr>
              <w:pStyle w:val="133"/>
              <w:rPr>
                <w:rFonts w:cs="Times New Roman"/>
              </w:rPr>
            </w:pPr>
            <w:r>
              <w:rPr>
                <w:rFonts w:hint="eastAsia" w:cs="Times New Roman"/>
              </w:rPr>
              <w:t xml:space="preserve">0.04 </w:t>
            </w:r>
          </w:p>
        </w:tc>
        <w:tc>
          <w:tcPr>
            <w:tcW w:w="635" w:type="pct"/>
          </w:tcPr>
          <w:p w14:paraId="635F2D2F">
            <w:pPr>
              <w:pStyle w:val="133"/>
              <w:rPr>
                <w:rFonts w:cs="Times New Roman"/>
              </w:rPr>
            </w:pPr>
          </w:p>
        </w:tc>
        <w:tc>
          <w:tcPr>
            <w:tcW w:w="635" w:type="pct"/>
          </w:tcPr>
          <w:p w14:paraId="55554AE0">
            <w:pPr>
              <w:pStyle w:val="133"/>
              <w:rPr>
                <w:rFonts w:cs="Times New Roman"/>
              </w:rPr>
            </w:pPr>
          </w:p>
        </w:tc>
        <w:tc>
          <w:tcPr>
            <w:tcW w:w="654" w:type="pct"/>
            <w:noWrap/>
            <w:vAlign w:val="center"/>
          </w:tcPr>
          <w:p w14:paraId="4426554E">
            <w:pPr>
              <w:pStyle w:val="133"/>
              <w:rPr>
                <w:rFonts w:cs="Times New Roman"/>
              </w:rPr>
            </w:pPr>
            <w:r>
              <w:rPr>
                <w:rFonts w:cs="Times New Roman"/>
              </w:rPr>
              <w:t>80</w:t>
            </w:r>
            <w:r>
              <w:rPr>
                <w:rFonts w:hint="eastAsia" w:cs="Times New Roman"/>
              </w:rPr>
              <w:t>×</w:t>
            </w:r>
            <w:r>
              <w:rPr>
                <w:rFonts w:cs="Times New Roman"/>
              </w:rPr>
              <w:t>57</w:t>
            </w:r>
          </w:p>
        </w:tc>
        <w:tc>
          <w:tcPr>
            <w:tcW w:w="638" w:type="pct"/>
            <w:noWrap/>
            <w:vAlign w:val="center"/>
          </w:tcPr>
          <w:p w14:paraId="0DA37AB0">
            <w:pPr>
              <w:pStyle w:val="133"/>
              <w:rPr>
                <w:rFonts w:cs="Times New Roman"/>
              </w:rPr>
            </w:pPr>
            <w:r>
              <w:rPr>
                <w:rFonts w:hint="eastAsia" w:cs="Times New Roman"/>
              </w:rPr>
              <w:t>10</w:t>
            </w:r>
          </w:p>
        </w:tc>
        <w:tc>
          <w:tcPr>
            <w:tcW w:w="638" w:type="pct"/>
            <w:noWrap/>
            <w:vAlign w:val="center"/>
          </w:tcPr>
          <w:p w14:paraId="53A67440">
            <w:pPr>
              <w:pStyle w:val="133"/>
              <w:rPr>
                <w:rFonts w:cs="Times New Roman"/>
              </w:rPr>
            </w:pPr>
            <w:r>
              <w:rPr>
                <w:rFonts w:hint="eastAsia" w:cs="Times New Roman"/>
              </w:rPr>
              <w:t>7920</w:t>
            </w:r>
          </w:p>
        </w:tc>
      </w:tr>
      <w:tr w14:paraId="6CCD5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02" w:type="pct"/>
            <w:noWrap/>
            <w:vAlign w:val="center"/>
          </w:tcPr>
          <w:p w14:paraId="62E55573">
            <w:pPr>
              <w:pStyle w:val="133"/>
              <w:rPr>
                <w:rFonts w:cs="Times New Roman"/>
              </w:rPr>
            </w:pPr>
            <w:r>
              <w:rPr>
                <w:rFonts w:hint="eastAsia"/>
              </w:rPr>
              <w:t>G</w:t>
            </w:r>
            <w:r>
              <w:rPr>
                <w:rFonts w:hint="eastAsia"/>
                <w:vertAlign w:val="subscript"/>
              </w:rPr>
              <w:t>2-6</w:t>
            </w:r>
            <w:r>
              <w:rPr>
                <w:rFonts w:hint="eastAsia" w:ascii="宋体" w:hAnsi="宋体"/>
                <w:vertAlign w:val="subscript"/>
              </w:rPr>
              <w:t>ˊ</w:t>
            </w:r>
          </w:p>
        </w:tc>
        <w:tc>
          <w:tcPr>
            <w:tcW w:w="888" w:type="pct"/>
            <w:vAlign w:val="center"/>
          </w:tcPr>
          <w:p w14:paraId="130C0ED2">
            <w:pPr>
              <w:pStyle w:val="133"/>
              <w:rPr>
                <w:rFonts w:cs="Times New Roman"/>
              </w:rPr>
            </w:pPr>
            <w:r>
              <w:rPr>
                <w:rFonts w:hint="eastAsia" w:ascii="宋体" w:hAnsi="宋体"/>
                <w:szCs w:val="21"/>
              </w:rPr>
              <w:t>成品破碎</w:t>
            </w:r>
          </w:p>
        </w:tc>
        <w:tc>
          <w:tcPr>
            <w:tcW w:w="511" w:type="pct"/>
            <w:noWrap/>
            <w:vAlign w:val="center"/>
          </w:tcPr>
          <w:p w14:paraId="50A1534C">
            <w:pPr>
              <w:pStyle w:val="133"/>
              <w:rPr>
                <w:rFonts w:cs="Times New Roman"/>
              </w:rPr>
            </w:pPr>
            <w:r>
              <w:rPr>
                <w:rFonts w:hint="eastAsia" w:cs="Times New Roman"/>
              </w:rPr>
              <w:t xml:space="preserve">0.003 </w:t>
            </w:r>
          </w:p>
        </w:tc>
        <w:tc>
          <w:tcPr>
            <w:tcW w:w="635" w:type="pct"/>
          </w:tcPr>
          <w:p w14:paraId="58056F9D">
            <w:pPr>
              <w:pStyle w:val="133"/>
              <w:rPr>
                <w:rFonts w:cs="Times New Roman"/>
              </w:rPr>
            </w:pPr>
          </w:p>
        </w:tc>
        <w:tc>
          <w:tcPr>
            <w:tcW w:w="635" w:type="pct"/>
          </w:tcPr>
          <w:p w14:paraId="6397AE2E">
            <w:pPr>
              <w:pStyle w:val="133"/>
              <w:rPr>
                <w:rFonts w:cs="Times New Roman"/>
              </w:rPr>
            </w:pPr>
          </w:p>
        </w:tc>
        <w:tc>
          <w:tcPr>
            <w:tcW w:w="654" w:type="pct"/>
            <w:noWrap/>
            <w:vAlign w:val="center"/>
          </w:tcPr>
          <w:p w14:paraId="4D01F3E0">
            <w:pPr>
              <w:pStyle w:val="133"/>
              <w:rPr>
                <w:rFonts w:cs="Times New Roman"/>
              </w:rPr>
            </w:pPr>
            <w:r>
              <w:rPr>
                <w:rFonts w:cs="Times New Roman"/>
              </w:rPr>
              <w:t>20</w:t>
            </w:r>
            <w:r>
              <w:rPr>
                <w:rFonts w:hint="eastAsia" w:cs="Times New Roman"/>
              </w:rPr>
              <w:t>×</w:t>
            </w:r>
            <w:r>
              <w:rPr>
                <w:rFonts w:cs="Times New Roman"/>
              </w:rPr>
              <w:t>25</w:t>
            </w:r>
          </w:p>
        </w:tc>
        <w:tc>
          <w:tcPr>
            <w:tcW w:w="638" w:type="pct"/>
            <w:noWrap/>
            <w:vAlign w:val="center"/>
          </w:tcPr>
          <w:p w14:paraId="5EF5B80F">
            <w:pPr>
              <w:pStyle w:val="133"/>
              <w:rPr>
                <w:rFonts w:cs="Times New Roman"/>
              </w:rPr>
            </w:pPr>
            <w:r>
              <w:rPr>
                <w:rFonts w:hint="eastAsia" w:cs="Times New Roman"/>
              </w:rPr>
              <w:t>10</w:t>
            </w:r>
          </w:p>
        </w:tc>
        <w:tc>
          <w:tcPr>
            <w:tcW w:w="638" w:type="pct"/>
            <w:noWrap/>
            <w:vAlign w:val="center"/>
          </w:tcPr>
          <w:p w14:paraId="13A2EF91">
            <w:pPr>
              <w:pStyle w:val="133"/>
              <w:rPr>
                <w:rFonts w:cs="Times New Roman"/>
              </w:rPr>
            </w:pPr>
            <w:r>
              <w:rPr>
                <w:rFonts w:hint="eastAsia" w:cs="Times New Roman"/>
              </w:rPr>
              <w:t>4000</w:t>
            </w:r>
          </w:p>
        </w:tc>
      </w:tr>
      <w:tr w14:paraId="4FF3D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402" w:type="pct"/>
            <w:noWrap/>
            <w:vAlign w:val="center"/>
          </w:tcPr>
          <w:p w14:paraId="1CCA1E7E">
            <w:pPr>
              <w:pStyle w:val="133"/>
              <w:rPr>
                <w:rFonts w:cs="Times New Roman"/>
              </w:rPr>
            </w:pPr>
          </w:p>
        </w:tc>
        <w:tc>
          <w:tcPr>
            <w:tcW w:w="888" w:type="pct"/>
          </w:tcPr>
          <w:p w14:paraId="11008D89">
            <w:pPr>
              <w:pStyle w:val="133"/>
              <w:rPr>
                <w:rFonts w:cs="Times New Roman"/>
              </w:rPr>
            </w:pPr>
            <w:r>
              <w:rPr>
                <w:rFonts w:hint="eastAsia" w:cs="Times New Roman"/>
              </w:rPr>
              <w:t>合计</w:t>
            </w:r>
          </w:p>
        </w:tc>
        <w:tc>
          <w:tcPr>
            <w:tcW w:w="511" w:type="pct"/>
            <w:noWrap/>
            <w:vAlign w:val="center"/>
          </w:tcPr>
          <w:p w14:paraId="5D42785D">
            <w:pPr>
              <w:pStyle w:val="133"/>
              <w:rPr>
                <w:rFonts w:cs="Times New Roman"/>
              </w:rPr>
            </w:pPr>
            <w:r>
              <w:rPr>
                <w:rFonts w:hint="eastAsia" w:cs="Times New Roman"/>
              </w:rPr>
              <w:t>7.10</w:t>
            </w:r>
          </w:p>
        </w:tc>
        <w:tc>
          <w:tcPr>
            <w:tcW w:w="635" w:type="pct"/>
          </w:tcPr>
          <w:p w14:paraId="5A107F72">
            <w:pPr>
              <w:pStyle w:val="133"/>
              <w:rPr>
                <w:rFonts w:cs="Times New Roman"/>
              </w:rPr>
            </w:pPr>
            <w:r>
              <w:rPr>
                <w:rFonts w:hint="eastAsia" w:cs="Times New Roman"/>
              </w:rPr>
              <w:t>7.75</w:t>
            </w:r>
          </w:p>
        </w:tc>
        <w:tc>
          <w:tcPr>
            <w:tcW w:w="635" w:type="pct"/>
          </w:tcPr>
          <w:p w14:paraId="45F61553">
            <w:pPr>
              <w:pStyle w:val="133"/>
              <w:rPr>
                <w:rFonts w:cs="Times New Roman"/>
              </w:rPr>
            </w:pPr>
            <w:r>
              <w:rPr>
                <w:rFonts w:hint="eastAsia" w:cs="Times New Roman"/>
              </w:rPr>
              <w:t>1.56</w:t>
            </w:r>
          </w:p>
        </w:tc>
        <w:tc>
          <w:tcPr>
            <w:tcW w:w="654" w:type="pct"/>
            <w:noWrap/>
            <w:vAlign w:val="center"/>
          </w:tcPr>
          <w:p w14:paraId="0C9CF3FC">
            <w:pPr>
              <w:pStyle w:val="133"/>
              <w:rPr>
                <w:rFonts w:cs="Times New Roman"/>
              </w:rPr>
            </w:pPr>
          </w:p>
        </w:tc>
        <w:tc>
          <w:tcPr>
            <w:tcW w:w="638" w:type="pct"/>
            <w:noWrap/>
            <w:vAlign w:val="center"/>
          </w:tcPr>
          <w:p w14:paraId="7C48D46C">
            <w:pPr>
              <w:pStyle w:val="133"/>
              <w:rPr>
                <w:rFonts w:cs="Times New Roman"/>
              </w:rPr>
            </w:pPr>
          </w:p>
        </w:tc>
        <w:tc>
          <w:tcPr>
            <w:tcW w:w="638" w:type="pct"/>
            <w:noWrap/>
            <w:vAlign w:val="center"/>
          </w:tcPr>
          <w:p w14:paraId="110A3730">
            <w:pPr>
              <w:pStyle w:val="133"/>
              <w:rPr>
                <w:rFonts w:cs="Times New Roman"/>
              </w:rPr>
            </w:pPr>
          </w:p>
        </w:tc>
      </w:tr>
      <w:bookmarkEnd w:id="345"/>
    </w:tbl>
    <w:p w14:paraId="59242E37">
      <w:pPr>
        <w:ind w:firstLine="480"/>
        <w:rPr>
          <w:highlight w:val="magenta"/>
        </w:rPr>
      </w:pPr>
    </w:p>
    <w:p w14:paraId="5C0DD0D1">
      <w:pPr>
        <w:ind w:firstLine="480"/>
      </w:pPr>
      <w:r>
        <w:rPr>
          <w:rFonts w:hint="eastAsia"/>
        </w:rPr>
        <w:t>（3）替代污染源的源强核算</w:t>
      </w:r>
    </w:p>
    <w:p w14:paraId="1910BDCA">
      <w:pPr>
        <w:ind w:firstLine="480"/>
      </w:pPr>
      <w:r>
        <w:rPr>
          <w:rFonts w:hint="eastAsia"/>
        </w:rPr>
        <w:t>1）替代颗粒物有组织排放</w:t>
      </w:r>
    </w:p>
    <w:p w14:paraId="324DBC62">
      <w:pPr>
        <w:ind w:firstLine="480"/>
      </w:pPr>
      <w:r>
        <w:rPr>
          <w:rFonts w:hint="eastAsia"/>
        </w:rPr>
        <w:t>改造项目完成后，现有硅铁上料废气、矿热炉烟气、出铁废气及成品破碎废气源强均发生变化，现有污染源强均作为厂内硅铁合金生产线有组织废气排放</w:t>
      </w:r>
      <w:bookmarkStart w:id="346" w:name="OLE_LINK48"/>
      <w:r>
        <w:rPr>
          <w:rFonts w:hint="eastAsia"/>
        </w:rPr>
        <w:t>替代污染源</w:t>
      </w:r>
      <w:bookmarkEnd w:id="346"/>
      <w:r>
        <w:rPr>
          <w:rFonts w:hint="eastAsia"/>
        </w:rPr>
        <w:t>。替代污染源的源强来自现有工程污染物排放例行监测情况。</w:t>
      </w:r>
    </w:p>
    <w:p w14:paraId="6B40D8CF">
      <w:pPr>
        <w:ind w:firstLine="480"/>
      </w:pPr>
      <w:r>
        <w:rPr>
          <w:rFonts w:hint="eastAsia"/>
        </w:rPr>
        <w:t>替代有组织废气排放情况，见表3.4-11。</w:t>
      </w:r>
    </w:p>
    <w:p w14:paraId="764BE3ED">
      <w:pPr>
        <w:pStyle w:val="118"/>
      </w:pPr>
    </w:p>
    <w:p w14:paraId="706BF988">
      <w:pPr>
        <w:pStyle w:val="118"/>
      </w:pPr>
    </w:p>
    <w:p w14:paraId="31CA7BE7">
      <w:pPr>
        <w:pStyle w:val="118"/>
      </w:pPr>
      <w:r>
        <w:t>表</w:t>
      </w:r>
      <w:r>
        <w:rPr>
          <w:rFonts w:hint="eastAsia"/>
        </w:rPr>
        <w:t>3.4-11   替代有组织废气污染源排放清单</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680"/>
        <w:gridCol w:w="898"/>
        <w:gridCol w:w="863"/>
        <w:gridCol w:w="1046"/>
        <w:gridCol w:w="856"/>
        <w:gridCol w:w="796"/>
        <w:gridCol w:w="1019"/>
        <w:gridCol w:w="698"/>
        <w:gridCol w:w="751"/>
        <w:gridCol w:w="729"/>
      </w:tblGrid>
      <w:tr w14:paraId="434F64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412" w:type="pct"/>
            <w:vAlign w:val="center"/>
          </w:tcPr>
          <w:p w14:paraId="40002CC0">
            <w:pPr>
              <w:pStyle w:val="133"/>
              <w:rPr>
                <w:b/>
                <w:bCs/>
              </w:rPr>
            </w:pPr>
            <w:r>
              <w:rPr>
                <w:rFonts w:hint="eastAsia"/>
                <w:b/>
                <w:bCs/>
              </w:rPr>
              <w:t>排气筒编号</w:t>
            </w:r>
          </w:p>
        </w:tc>
        <w:tc>
          <w:tcPr>
            <w:tcW w:w="543" w:type="pct"/>
            <w:vAlign w:val="center"/>
          </w:tcPr>
          <w:p w14:paraId="61C1A7CD">
            <w:pPr>
              <w:pStyle w:val="133"/>
              <w:rPr>
                <w:b/>
                <w:bCs/>
              </w:rPr>
            </w:pPr>
            <w:r>
              <w:rPr>
                <w:rFonts w:hint="eastAsia"/>
                <w:b/>
                <w:bCs/>
              </w:rPr>
              <w:t>排放源</w:t>
            </w:r>
          </w:p>
        </w:tc>
        <w:tc>
          <w:tcPr>
            <w:tcW w:w="521" w:type="pct"/>
            <w:vAlign w:val="center"/>
          </w:tcPr>
          <w:p w14:paraId="5D4F4C72">
            <w:pPr>
              <w:pStyle w:val="133"/>
              <w:rPr>
                <w:b/>
                <w:bCs/>
              </w:rPr>
            </w:pPr>
            <w:r>
              <w:rPr>
                <w:rFonts w:hint="eastAsia"/>
                <w:b/>
                <w:bCs/>
              </w:rPr>
              <w:t>污染物</w:t>
            </w:r>
          </w:p>
        </w:tc>
        <w:tc>
          <w:tcPr>
            <w:tcW w:w="612" w:type="pct"/>
          </w:tcPr>
          <w:p w14:paraId="46349D9C">
            <w:pPr>
              <w:pStyle w:val="133"/>
              <w:rPr>
                <w:b/>
                <w:bCs/>
              </w:rPr>
            </w:pPr>
            <w:r>
              <w:rPr>
                <w:rFonts w:hint="eastAsia"/>
                <w:b/>
                <w:bCs/>
              </w:rPr>
              <w:t>废气量（Nm³/h）</w:t>
            </w:r>
          </w:p>
        </w:tc>
        <w:tc>
          <w:tcPr>
            <w:tcW w:w="517" w:type="pct"/>
          </w:tcPr>
          <w:p w14:paraId="6B8F4E99">
            <w:pPr>
              <w:pStyle w:val="133"/>
              <w:rPr>
                <w:b/>
                <w:bCs/>
              </w:rPr>
            </w:pPr>
            <w:r>
              <w:rPr>
                <w:rFonts w:hint="eastAsia"/>
                <w:b/>
                <w:bCs/>
              </w:rPr>
              <w:t>排放速率（kg/h）</w:t>
            </w:r>
          </w:p>
        </w:tc>
        <w:tc>
          <w:tcPr>
            <w:tcW w:w="481" w:type="pct"/>
          </w:tcPr>
          <w:p w14:paraId="73C7371E">
            <w:pPr>
              <w:pStyle w:val="133"/>
              <w:rPr>
                <w:b/>
                <w:bCs/>
              </w:rPr>
            </w:pPr>
            <w:r>
              <w:rPr>
                <w:rFonts w:hint="eastAsia"/>
                <w:b/>
                <w:bCs/>
              </w:rPr>
              <w:t>排放量（t/a）</w:t>
            </w:r>
          </w:p>
        </w:tc>
        <w:tc>
          <w:tcPr>
            <w:tcW w:w="597" w:type="pct"/>
            <w:vAlign w:val="center"/>
          </w:tcPr>
          <w:p w14:paraId="3C9A7DB3">
            <w:pPr>
              <w:pStyle w:val="133"/>
              <w:rPr>
                <w:b/>
                <w:bCs/>
              </w:rPr>
            </w:pPr>
            <w:r>
              <w:rPr>
                <w:rFonts w:hint="eastAsia"/>
                <w:b/>
                <w:bCs/>
              </w:rPr>
              <w:t>排放浓度</w:t>
            </w:r>
          </w:p>
          <w:p w14:paraId="0DD502FD">
            <w:pPr>
              <w:pStyle w:val="133"/>
              <w:rPr>
                <w:b/>
                <w:bCs/>
              </w:rPr>
            </w:pPr>
            <w:r>
              <w:rPr>
                <w:rFonts w:hint="eastAsia"/>
                <w:b/>
                <w:bCs/>
              </w:rPr>
              <w:t>（mg/m</w:t>
            </w:r>
            <w:r>
              <w:rPr>
                <w:rFonts w:hint="eastAsia"/>
                <w:b/>
                <w:bCs/>
                <w:vertAlign w:val="superscript"/>
              </w:rPr>
              <w:t>3</w:t>
            </w:r>
            <w:r>
              <w:rPr>
                <w:rFonts w:hint="eastAsia"/>
                <w:b/>
                <w:bCs/>
              </w:rPr>
              <w:t>）</w:t>
            </w:r>
          </w:p>
        </w:tc>
        <w:tc>
          <w:tcPr>
            <w:tcW w:w="422" w:type="pct"/>
            <w:vAlign w:val="center"/>
          </w:tcPr>
          <w:p w14:paraId="3FE057E9">
            <w:pPr>
              <w:pStyle w:val="133"/>
              <w:rPr>
                <w:b/>
                <w:bCs/>
              </w:rPr>
            </w:pPr>
            <w:r>
              <w:rPr>
                <w:rFonts w:hint="eastAsia"/>
                <w:b/>
                <w:bCs/>
              </w:rPr>
              <w:t>排气筒</w:t>
            </w:r>
          </w:p>
          <w:p w14:paraId="1C9961BC">
            <w:pPr>
              <w:pStyle w:val="133"/>
              <w:rPr>
                <w:b/>
                <w:bCs/>
              </w:rPr>
            </w:pPr>
            <w:r>
              <w:rPr>
                <w:rFonts w:hint="eastAsia"/>
                <w:b/>
                <w:bCs/>
              </w:rPr>
              <w:t>高度（m）</w:t>
            </w:r>
          </w:p>
        </w:tc>
        <w:tc>
          <w:tcPr>
            <w:tcW w:w="454" w:type="pct"/>
            <w:vAlign w:val="center"/>
          </w:tcPr>
          <w:p w14:paraId="434725D7">
            <w:pPr>
              <w:pStyle w:val="133"/>
              <w:rPr>
                <w:b/>
                <w:bCs/>
              </w:rPr>
            </w:pPr>
            <w:r>
              <w:rPr>
                <w:rFonts w:hint="eastAsia"/>
                <w:b/>
                <w:bCs/>
              </w:rPr>
              <w:t>排气筒</w:t>
            </w:r>
          </w:p>
          <w:p w14:paraId="1B8379F5">
            <w:pPr>
              <w:pStyle w:val="133"/>
              <w:rPr>
                <w:b/>
                <w:bCs/>
              </w:rPr>
            </w:pPr>
            <w:r>
              <w:rPr>
                <w:rFonts w:hint="eastAsia"/>
                <w:b/>
                <w:bCs/>
              </w:rPr>
              <w:t>内径（m）</w:t>
            </w:r>
          </w:p>
        </w:tc>
        <w:tc>
          <w:tcPr>
            <w:tcW w:w="441" w:type="pct"/>
            <w:vAlign w:val="center"/>
          </w:tcPr>
          <w:p w14:paraId="1DEA5F1B">
            <w:pPr>
              <w:pStyle w:val="133"/>
              <w:rPr>
                <w:b/>
                <w:bCs/>
              </w:rPr>
            </w:pPr>
            <w:r>
              <w:rPr>
                <w:rFonts w:hint="eastAsia"/>
                <w:b/>
                <w:bCs/>
              </w:rPr>
              <w:t>排气温度（</w:t>
            </w:r>
            <w:r>
              <w:rPr>
                <w:rFonts w:hint="eastAsia" w:ascii="宋体" w:hAnsi="宋体"/>
                <w:b/>
                <w:bCs/>
              </w:rPr>
              <w:t>℃</w:t>
            </w:r>
            <w:r>
              <w:rPr>
                <w:rFonts w:hint="eastAsia"/>
                <w:b/>
                <w:bCs/>
              </w:rPr>
              <w:t>）</w:t>
            </w:r>
          </w:p>
        </w:tc>
      </w:tr>
      <w:tr w14:paraId="26721D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12" w:type="pct"/>
            <w:vAlign w:val="center"/>
          </w:tcPr>
          <w:p w14:paraId="57BC41FE">
            <w:pPr>
              <w:pStyle w:val="133"/>
            </w:pPr>
            <w:r>
              <w:rPr>
                <w:rFonts w:hint="eastAsia"/>
              </w:rPr>
              <w:t>DA025</w:t>
            </w:r>
          </w:p>
        </w:tc>
        <w:tc>
          <w:tcPr>
            <w:tcW w:w="543" w:type="pct"/>
            <w:vAlign w:val="center"/>
          </w:tcPr>
          <w:p w14:paraId="6C3C9FFC">
            <w:pPr>
              <w:pStyle w:val="133"/>
            </w:pPr>
            <w:r>
              <w:rPr>
                <w:rFonts w:hint="eastAsia"/>
              </w:rPr>
              <w:t>硅铁上料废气</w:t>
            </w:r>
          </w:p>
        </w:tc>
        <w:tc>
          <w:tcPr>
            <w:tcW w:w="521" w:type="pct"/>
            <w:vAlign w:val="center"/>
          </w:tcPr>
          <w:p w14:paraId="6CD28A45">
            <w:pPr>
              <w:pStyle w:val="133"/>
            </w:pPr>
            <w:r>
              <w:rPr>
                <w:rFonts w:hint="eastAsia"/>
                <w:color w:val="000000"/>
                <w:szCs w:val="21"/>
              </w:rPr>
              <w:t>颗粒物</w:t>
            </w:r>
          </w:p>
        </w:tc>
        <w:tc>
          <w:tcPr>
            <w:tcW w:w="612" w:type="pct"/>
            <w:vAlign w:val="center"/>
          </w:tcPr>
          <w:p w14:paraId="640F5F7E">
            <w:pPr>
              <w:pStyle w:val="133"/>
              <w:rPr>
                <w:rFonts w:eastAsia="等线" w:cs="Times New Roman"/>
              </w:rPr>
            </w:pPr>
            <w:r>
              <w:rPr>
                <w:rFonts w:hint="eastAsia" w:eastAsia="等线" w:cs="Times New Roman"/>
              </w:rPr>
              <w:t>25500</w:t>
            </w:r>
          </w:p>
        </w:tc>
        <w:tc>
          <w:tcPr>
            <w:tcW w:w="517" w:type="pct"/>
            <w:vAlign w:val="center"/>
          </w:tcPr>
          <w:p w14:paraId="3CCF4A4D">
            <w:pPr>
              <w:pStyle w:val="133"/>
              <w:rPr>
                <w:rFonts w:eastAsia="等线" w:cs="Times New Roman"/>
              </w:rPr>
            </w:pPr>
            <w:r>
              <w:rPr>
                <w:rFonts w:hint="eastAsia" w:eastAsia="等线" w:cs="Times New Roman"/>
              </w:rPr>
              <w:t>0.07</w:t>
            </w:r>
          </w:p>
        </w:tc>
        <w:tc>
          <w:tcPr>
            <w:tcW w:w="481" w:type="pct"/>
            <w:vAlign w:val="center"/>
          </w:tcPr>
          <w:p w14:paraId="77624A87">
            <w:pPr>
              <w:pStyle w:val="133"/>
              <w:rPr>
                <w:rFonts w:eastAsia="等线" w:cs="Times New Roman"/>
                <w:color w:val="000000"/>
                <w:szCs w:val="21"/>
              </w:rPr>
            </w:pPr>
            <w:r>
              <w:rPr>
                <w:rFonts w:hint="eastAsia" w:eastAsia="等线" w:cs="Times New Roman"/>
                <w:color w:val="000000"/>
                <w:szCs w:val="21"/>
              </w:rPr>
              <w:t>0.28</w:t>
            </w:r>
          </w:p>
        </w:tc>
        <w:tc>
          <w:tcPr>
            <w:tcW w:w="597" w:type="pct"/>
            <w:vAlign w:val="center"/>
          </w:tcPr>
          <w:p w14:paraId="10D22617">
            <w:pPr>
              <w:pStyle w:val="133"/>
              <w:rPr>
                <w:rFonts w:eastAsia="等线" w:cs="Times New Roman"/>
                <w:color w:val="000000"/>
                <w:szCs w:val="21"/>
              </w:rPr>
            </w:pPr>
            <w:r>
              <w:rPr>
                <w:rFonts w:hint="eastAsia" w:eastAsia="等线" w:cs="Times New Roman"/>
                <w:color w:val="000000"/>
                <w:szCs w:val="21"/>
              </w:rPr>
              <w:t>2.7</w:t>
            </w:r>
          </w:p>
        </w:tc>
        <w:tc>
          <w:tcPr>
            <w:tcW w:w="422" w:type="pct"/>
            <w:vAlign w:val="center"/>
          </w:tcPr>
          <w:p w14:paraId="690BFC5F">
            <w:pPr>
              <w:pStyle w:val="133"/>
              <w:rPr>
                <w:rFonts w:eastAsia="等线" w:cs="Times New Roman"/>
              </w:rPr>
            </w:pPr>
            <w:r>
              <w:rPr>
                <w:rFonts w:hint="eastAsia" w:eastAsia="等线" w:cs="Times New Roman"/>
              </w:rPr>
              <w:t>20</w:t>
            </w:r>
          </w:p>
        </w:tc>
        <w:tc>
          <w:tcPr>
            <w:tcW w:w="454" w:type="pct"/>
            <w:vAlign w:val="center"/>
          </w:tcPr>
          <w:p w14:paraId="0BDDB550">
            <w:pPr>
              <w:pStyle w:val="133"/>
              <w:rPr>
                <w:rFonts w:eastAsia="等线" w:cs="Times New Roman"/>
              </w:rPr>
            </w:pPr>
            <w:r>
              <w:rPr>
                <w:rFonts w:hint="eastAsia" w:eastAsia="等线" w:cs="Times New Roman"/>
              </w:rPr>
              <w:t>1.4</w:t>
            </w:r>
          </w:p>
        </w:tc>
        <w:tc>
          <w:tcPr>
            <w:tcW w:w="441" w:type="pct"/>
            <w:vAlign w:val="center"/>
          </w:tcPr>
          <w:p w14:paraId="538167A6">
            <w:pPr>
              <w:pStyle w:val="133"/>
              <w:rPr>
                <w:rFonts w:eastAsia="等线" w:cs="Times New Roman"/>
              </w:rPr>
            </w:pPr>
            <w:r>
              <w:rPr>
                <w:rFonts w:hint="eastAsia" w:eastAsia="等线" w:cs="Times New Roman"/>
              </w:rPr>
              <w:t>25</w:t>
            </w:r>
          </w:p>
        </w:tc>
      </w:tr>
      <w:tr w14:paraId="3B613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12" w:type="pct"/>
            <w:vMerge w:val="restart"/>
            <w:vAlign w:val="center"/>
          </w:tcPr>
          <w:p w14:paraId="02F0FAA9">
            <w:pPr>
              <w:pStyle w:val="133"/>
            </w:pPr>
            <w:r>
              <w:rPr>
                <w:rFonts w:hint="eastAsia"/>
              </w:rPr>
              <w:t>DA026</w:t>
            </w:r>
          </w:p>
        </w:tc>
        <w:tc>
          <w:tcPr>
            <w:tcW w:w="543" w:type="pct"/>
            <w:vMerge w:val="restart"/>
            <w:vAlign w:val="center"/>
          </w:tcPr>
          <w:p w14:paraId="71CCE887">
            <w:pPr>
              <w:pStyle w:val="133"/>
            </w:pPr>
            <w:r>
              <w:rPr>
                <w:rFonts w:hint="eastAsia"/>
              </w:rPr>
              <w:t>矿热炉烟气</w:t>
            </w:r>
          </w:p>
        </w:tc>
        <w:tc>
          <w:tcPr>
            <w:tcW w:w="521" w:type="pct"/>
            <w:vAlign w:val="center"/>
          </w:tcPr>
          <w:p w14:paraId="5D0179A8">
            <w:pPr>
              <w:pStyle w:val="133"/>
            </w:pPr>
            <w:r>
              <w:rPr>
                <w:rFonts w:hint="eastAsia"/>
                <w:color w:val="000000"/>
                <w:szCs w:val="21"/>
              </w:rPr>
              <w:t>颗粒物</w:t>
            </w:r>
          </w:p>
        </w:tc>
        <w:tc>
          <w:tcPr>
            <w:tcW w:w="612" w:type="pct"/>
            <w:vMerge w:val="restart"/>
            <w:vAlign w:val="center"/>
          </w:tcPr>
          <w:p w14:paraId="1CA5011E">
            <w:pPr>
              <w:pStyle w:val="133"/>
              <w:rPr>
                <w:rFonts w:eastAsia="等线" w:cs="Times New Roman"/>
              </w:rPr>
            </w:pPr>
            <w:r>
              <w:rPr>
                <w:rFonts w:hint="eastAsia" w:eastAsia="等线" w:cs="Times New Roman"/>
              </w:rPr>
              <w:t>560000</w:t>
            </w:r>
          </w:p>
        </w:tc>
        <w:tc>
          <w:tcPr>
            <w:tcW w:w="517" w:type="pct"/>
            <w:vAlign w:val="center"/>
          </w:tcPr>
          <w:p w14:paraId="0128A2A3">
            <w:pPr>
              <w:pStyle w:val="133"/>
              <w:rPr>
                <w:rFonts w:eastAsia="等线" w:cs="Times New Roman"/>
              </w:rPr>
            </w:pPr>
            <w:r>
              <w:rPr>
                <w:rFonts w:hint="eastAsia" w:eastAsia="等线" w:cs="Times New Roman"/>
              </w:rPr>
              <w:t>7.08</w:t>
            </w:r>
          </w:p>
        </w:tc>
        <w:tc>
          <w:tcPr>
            <w:tcW w:w="481" w:type="pct"/>
            <w:vAlign w:val="center"/>
          </w:tcPr>
          <w:p w14:paraId="0EF3E650">
            <w:pPr>
              <w:pStyle w:val="133"/>
              <w:rPr>
                <w:rFonts w:eastAsia="等线" w:cs="Times New Roman"/>
                <w:color w:val="000000"/>
                <w:szCs w:val="21"/>
              </w:rPr>
            </w:pPr>
            <w:r>
              <w:rPr>
                <w:rFonts w:hint="eastAsia" w:eastAsia="等线" w:cs="Times New Roman"/>
                <w:color w:val="000000"/>
                <w:szCs w:val="21"/>
              </w:rPr>
              <w:t>56.07</w:t>
            </w:r>
          </w:p>
        </w:tc>
        <w:tc>
          <w:tcPr>
            <w:tcW w:w="597" w:type="pct"/>
            <w:vAlign w:val="center"/>
          </w:tcPr>
          <w:p w14:paraId="3DD74D27">
            <w:pPr>
              <w:pStyle w:val="133"/>
              <w:rPr>
                <w:rFonts w:eastAsia="等线" w:cs="Times New Roman"/>
                <w:color w:val="000000"/>
                <w:szCs w:val="21"/>
              </w:rPr>
            </w:pPr>
            <w:r>
              <w:rPr>
                <w:rFonts w:hint="eastAsia" w:eastAsia="等线" w:cs="Times New Roman"/>
                <w:color w:val="000000"/>
                <w:szCs w:val="21"/>
              </w:rPr>
              <w:t>12.6</w:t>
            </w:r>
          </w:p>
        </w:tc>
        <w:tc>
          <w:tcPr>
            <w:tcW w:w="422" w:type="pct"/>
            <w:vMerge w:val="restart"/>
            <w:vAlign w:val="center"/>
          </w:tcPr>
          <w:p w14:paraId="07B79817">
            <w:pPr>
              <w:pStyle w:val="133"/>
              <w:rPr>
                <w:rFonts w:eastAsia="等线" w:cs="Times New Roman"/>
              </w:rPr>
            </w:pPr>
            <w:r>
              <w:rPr>
                <w:rFonts w:hint="eastAsia" w:eastAsia="等线" w:cs="Times New Roman"/>
              </w:rPr>
              <w:t>60</w:t>
            </w:r>
          </w:p>
        </w:tc>
        <w:tc>
          <w:tcPr>
            <w:tcW w:w="454" w:type="pct"/>
            <w:vMerge w:val="restart"/>
            <w:vAlign w:val="center"/>
          </w:tcPr>
          <w:p w14:paraId="29526E18">
            <w:pPr>
              <w:pStyle w:val="133"/>
              <w:rPr>
                <w:rFonts w:eastAsia="等线" w:cs="Times New Roman"/>
              </w:rPr>
            </w:pPr>
            <w:r>
              <w:rPr>
                <w:rFonts w:hint="eastAsia" w:eastAsia="等线" w:cs="Times New Roman"/>
              </w:rPr>
              <w:t>5.1</w:t>
            </w:r>
          </w:p>
        </w:tc>
        <w:tc>
          <w:tcPr>
            <w:tcW w:w="441" w:type="pct"/>
            <w:vMerge w:val="restart"/>
            <w:vAlign w:val="center"/>
          </w:tcPr>
          <w:p w14:paraId="5A5649FC">
            <w:pPr>
              <w:pStyle w:val="133"/>
              <w:rPr>
                <w:rFonts w:eastAsia="等线" w:cs="Times New Roman"/>
              </w:rPr>
            </w:pPr>
            <w:r>
              <w:rPr>
                <w:rFonts w:hint="eastAsia" w:eastAsia="等线" w:cs="Times New Roman"/>
              </w:rPr>
              <w:t>150</w:t>
            </w:r>
          </w:p>
        </w:tc>
      </w:tr>
      <w:tr w14:paraId="29C29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12" w:type="pct"/>
            <w:vMerge w:val="continue"/>
            <w:vAlign w:val="center"/>
          </w:tcPr>
          <w:p w14:paraId="1C5674C3">
            <w:pPr>
              <w:pStyle w:val="133"/>
            </w:pPr>
          </w:p>
        </w:tc>
        <w:tc>
          <w:tcPr>
            <w:tcW w:w="543" w:type="pct"/>
            <w:vMerge w:val="continue"/>
            <w:vAlign w:val="center"/>
          </w:tcPr>
          <w:p w14:paraId="3BCA2BAA">
            <w:pPr>
              <w:pStyle w:val="133"/>
            </w:pPr>
          </w:p>
        </w:tc>
        <w:tc>
          <w:tcPr>
            <w:tcW w:w="521" w:type="pct"/>
            <w:vAlign w:val="center"/>
          </w:tcPr>
          <w:p w14:paraId="55F9F5E5">
            <w:pPr>
              <w:pStyle w:val="133"/>
              <w:rPr>
                <w:color w:val="000000"/>
                <w:szCs w:val="21"/>
              </w:rPr>
            </w:pPr>
            <w:r>
              <w:rPr>
                <w:rFonts w:hint="eastAsia"/>
                <w:color w:val="000000"/>
                <w:szCs w:val="21"/>
              </w:rPr>
              <w:t>SO</w:t>
            </w:r>
            <w:r>
              <w:rPr>
                <w:rFonts w:hint="eastAsia"/>
                <w:color w:val="000000"/>
                <w:szCs w:val="21"/>
                <w:vertAlign w:val="subscript"/>
              </w:rPr>
              <w:t>2</w:t>
            </w:r>
          </w:p>
        </w:tc>
        <w:tc>
          <w:tcPr>
            <w:tcW w:w="612" w:type="pct"/>
            <w:vMerge w:val="continue"/>
            <w:vAlign w:val="center"/>
          </w:tcPr>
          <w:p w14:paraId="715B2390">
            <w:pPr>
              <w:pStyle w:val="133"/>
              <w:rPr>
                <w:rFonts w:eastAsia="等线" w:cs="Times New Roman"/>
              </w:rPr>
            </w:pPr>
          </w:p>
        </w:tc>
        <w:tc>
          <w:tcPr>
            <w:tcW w:w="517" w:type="pct"/>
            <w:vAlign w:val="center"/>
          </w:tcPr>
          <w:p w14:paraId="50702F31">
            <w:pPr>
              <w:pStyle w:val="133"/>
              <w:rPr>
                <w:rFonts w:eastAsia="等线" w:cs="Times New Roman"/>
              </w:rPr>
            </w:pPr>
            <w:r>
              <w:rPr>
                <w:rFonts w:hint="eastAsia" w:eastAsia="等线" w:cs="Times New Roman"/>
              </w:rPr>
              <w:t>25.86</w:t>
            </w:r>
          </w:p>
        </w:tc>
        <w:tc>
          <w:tcPr>
            <w:tcW w:w="481" w:type="pct"/>
            <w:vAlign w:val="center"/>
          </w:tcPr>
          <w:p w14:paraId="7ACF4995">
            <w:pPr>
              <w:pStyle w:val="133"/>
              <w:rPr>
                <w:rFonts w:eastAsia="等线" w:cs="Times New Roman"/>
                <w:color w:val="000000"/>
                <w:szCs w:val="21"/>
              </w:rPr>
            </w:pPr>
            <w:r>
              <w:rPr>
                <w:rFonts w:hint="eastAsia" w:eastAsia="等线" w:cs="Times New Roman"/>
                <w:color w:val="000000"/>
                <w:szCs w:val="21"/>
              </w:rPr>
              <w:t>204.78</w:t>
            </w:r>
          </w:p>
        </w:tc>
        <w:tc>
          <w:tcPr>
            <w:tcW w:w="597" w:type="pct"/>
            <w:vAlign w:val="center"/>
          </w:tcPr>
          <w:p w14:paraId="7D46D0B6">
            <w:pPr>
              <w:pStyle w:val="133"/>
              <w:rPr>
                <w:rFonts w:eastAsia="等线" w:cs="Times New Roman"/>
                <w:color w:val="000000"/>
                <w:szCs w:val="21"/>
              </w:rPr>
            </w:pPr>
            <w:r>
              <w:rPr>
                <w:rFonts w:hint="eastAsia" w:eastAsia="等线" w:cs="Times New Roman"/>
                <w:color w:val="000000"/>
                <w:szCs w:val="21"/>
              </w:rPr>
              <w:t>46.2</w:t>
            </w:r>
          </w:p>
        </w:tc>
        <w:tc>
          <w:tcPr>
            <w:tcW w:w="422" w:type="pct"/>
            <w:vMerge w:val="continue"/>
            <w:vAlign w:val="center"/>
          </w:tcPr>
          <w:p w14:paraId="20C1D26D">
            <w:pPr>
              <w:pStyle w:val="133"/>
              <w:rPr>
                <w:rFonts w:eastAsia="等线" w:cs="Times New Roman"/>
              </w:rPr>
            </w:pPr>
          </w:p>
        </w:tc>
        <w:tc>
          <w:tcPr>
            <w:tcW w:w="454" w:type="pct"/>
            <w:vMerge w:val="continue"/>
            <w:vAlign w:val="center"/>
          </w:tcPr>
          <w:p w14:paraId="46B26043">
            <w:pPr>
              <w:pStyle w:val="133"/>
              <w:rPr>
                <w:rFonts w:eastAsia="等线" w:cs="Times New Roman"/>
              </w:rPr>
            </w:pPr>
          </w:p>
        </w:tc>
        <w:tc>
          <w:tcPr>
            <w:tcW w:w="441" w:type="pct"/>
            <w:vMerge w:val="continue"/>
            <w:vAlign w:val="center"/>
          </w:tcPr>
          <w:p w14:paraId="4423BAD0">
            <w:pPr>
              <w:pStyle w:val="133"/>
              <w:rPr>
                <w:rFonts w:eastAsia="等线" w:cs="Times New Roman"/>
              </w:rPr>
            </w:pPr>
          </w:p>
        </w:tc>
      </w:tr>
      <w:tr w14:paraId="5C58C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12" w:type="pct"/>
            <w:vMerge w:val="continue"/>
            <w:vAlign w:val="center"/>
          </w:tcPr>
          <w:p w14:paraId="29AFD6A9">
            <w:pPr>
              <w:pStyle w:val="133"/>
            </w:pPr>
          </w:p>
        </w:tc>
        <w:tc>
          <w:tcPr>
            <w:tcW w:w="543" w:type="pct"/>
            <w:vMerge w:val="continue"/>
            <w:vAlign w:val="center"/>
          </w:tcPr>
          <w:p w14:paraId="59CAD727">
            <w:pPr>
              <w:pStyle w:val="133"/>
            </w:pPr>
          </w:p>
        </w:tc>
        <w:tc>
          <w:tcPr>
            <w:tcW w:w="521" w:type="pct"/>
            <w:vAlign w:val="center"/>
          </w:tcPr>
          <w:p w14:paraId="55ACD121">
            <w:pPr>
              <w:pStyle w:val="133"/>
            </w:pPr>
            <w:r>
              <w:rPr>
                <w:rFonts w:hint="eastAsia"/>
              </w:rPr>
              <w:t>氮氧化物</w:t>
            </w:r>
          </w:p>
        </w:tc>
        <w:tc>
          <w:tcPr>
            <w:tcW w:w="612" w:type="pct"/>
            <w:vMerge w:val="continue"/>
            <w:vAlign w:val="center"/>
          </w:tcPr>
          <w:p w14:paraId="61DFB049">
            <w:pPr>
              <w:pStyle w:val="133"/>
              <w:rPr>
                <w:rFonts w:eastAsia="等线" w:cs="Times New Roman"/>
              </w:rPr>
            </w:pPr>
          </w:p>
        </w:tc>
        <w:tc>
          <w:tcPr>
            <w:tcW w:w="517" w:type="pct"/>
            <w:vAlign w:val="center"/>
          </w:tcPr>
          <w:p w14:paraId="5D7ABD6E">
            <w:pPr>
              <w:pStyle w:val="133"/>
              <w:rPr>
                <w:rFonts w:eastAsia="等线" w:cs="Times New Roman"/>
              </w:rPr>
            </w:pPr>
            <w:r>
              <w:rPr>
                <w:rFonts w:hint="eastAsia" w:eastAsia="等线" w:cs="Times New Roman"/>
              </w:rPr>
              <w:t>14.95</w:t>
            </w:r>
          </w:p>
        </w:tc>
        <w:tc>
          <w:tcPr>
            <w:tcW w:w="481" w:type="pct"/>
            <w:vAlign w:val="center"/>
          </w:tcPr>
          <w:p w14:paraId="48C207CB">
            <w:pPr>
              <w:pStyle w:val="133"/>
              <w:rPr>
                <w:rFonts w:eastAsia="等线" w:cs="Times New Roman"/>
                <w:color w:val="000000"/>
                <w:szCs w:val="21"/>
              </w:rPr>
            </w:pPr>
            <w:r>
              <w:rPr>
                <w:rFonts w:hint="eastAsia" w:eastAsia="等线" w:cs="Times New Roman"/>
                <w:color w:val="000000"/>
                <w:szCs w:val="21"/>
              </w:rPr>
              <w:t>118.4</w:t>
            </w:r>
          </w:p>
        </w:tc>
        <w:tc>
          <w:tcPr>
            <w:tcW w:w="597" w:type="pct"/>
            <w:vAlign w:val="center"/>
          </w:tcPr>
          <w:p w14:paraId="56B1C0A0">
            <w:pPr>
              <w:pStyle w:val="133"/>
              <w:rPr>
                <w:rFonts w:eastAsia="等线" w:cs="Times New Roman"/>
                <w:color w:val="000000"/>
                <w:szCs w:val="21"/>
              </w:rPr>
            </w:pPr>
            <w:r>
              <w:rPr>
                <w:rFonts w:hint="eastAsia" w:eastAsia="等线" w:cs="Times New Roman"/>
                <w:color w:val="000000"/>
                <w:szCs w:val="21"/>
              </w:rPr>
              <w:t>26.7</w:t>
            </w:r>
          </w:p>
        </w:tc>
        <w:tc>
          <w:tcPr>
            <w:tcW w:w="422" w:type="pct"/>
            <w:vMerge w:val="continue"/>
            <w:vAlign w:val="center"/>
          </w:tcPr>
          <w:p w14:paraId="7C3797B5">
            <w:pPr>
              <w:pStyle w:val="133"/>
              <w:rPr>
                <w:rFonts w:eastAsia="等线" w:cs="Times New Roman"/>
              </w:rPr>
            </w:pPr>
          </w:p>
        </w:tc>
        <w:tc>
          <w:tcPr>
            <w:tcW w:w="454" w:type="pct"/>
            <w:vMerge w:val="continue"/>
            <w:vAlign w:val="center"/>
          </w:tcPr>
          <w:p w14:paraId="7BC3F5EF">
            <w:pPr>
              <w:pStyle w:val="133"/>
              <w:rPr>
                <w:rFonts w:eastAsia="等线" w:cs="Times New Roman"/>
              </w:rPr>
            </w:pPr>
          </w:p>
        </w:tc>
        <w:tc>
          <w:tcPr>
            <w:tcW w:w="441" w:type="pct"/>
            <w:vMerge w:val="continue"/>
            <w:vAlign w:val="center"/>
          </w:tcPr>
          <w:p w14:paraId="27BEC358">
            <w:pPr>
              <w:pStyle w:val="133"/>
              <w:rPr>
                <w:rFonts w:eastAsia="等线" w:cs="Times New Roman"/>
              </w:rPr>
            </w:pPr>
          </w:p>
        </w:tc>
      </w:tr>
      <w:tr w14:paraId="43ED69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12" w:type="pct"/>
            <w:vAlign w:val="center"/>
          </w:tcPr>
          <w:p w14:paraId="54096CAB">
            <w:pPr>
              <w:pStyle w:val="133"/>
            </w:pPr>
            <w:r>
              <w:rPr>
                <w:rFonts w:hint="eastAsia"/>
              </w:rPr>
              <w:t>DA027</w:t>
            </w:r>
          </w:p>
        </w:tc>
        <w:tc>
          <w:tcPr>
            <w:tcW w:w="543" w:type="pct"/>
            <w:vAlign w:val="center"/>
          </w:tcPr>
          <w:p w14:paraId="089ACFE4">
            <w:pPr>
              <w:pStyle w:val="133"/>
            </w:pPr>
            <w:r>
              <w:rPr>
                <w:rFonts w:hint="eastAsia"/>
              </w:rPr>
              <w:t>出铁口废气</w:t>
            </w:r>
          </w:p>
        </w:tc>
        <w:tc>
          <w:tcPr>
            <w:tcW w:w="521" w:type="pct"/>
            <w:vAlign w:val="center"/>
          </w:tcPr>
          <w:p w14:paraId="3626034B">
            <w:pPr>
              <w:pStyle w:val="133"/>
            </w:pPr>
            <w:r>
              <w:rPr>
                <w:rFonts w:hint="eastAsia"/>
                <w:color w:val="000000"/>
                <w:szCs w:val="21"/>
              </w:rPr>
              <w:t>颗粒物</w:t>
            </w:r>
          </w:p>
        </w:tc>
        <w:tc>
          <w:tcPr>
            <w:tcW w:w="612" w:type="pct"/>
            <w:vAlign w:val="center"/>
          </w:tcPr>
          <w:p w14:paraId="6B592730">
            <w:pPr>
              <w:pStyle w:val="133"/>
              <w:rPr>
                <w:rFonts w:eastAsia="等线" w:cs="Times New Roman"/>
              </w:rPr>
            </w:pPr>
            <w:r>
              <w:rPr>
                <w:rFonts w:hint="eastAsia" w:eastAsia="等线" w:cs="Times New Roman"/>
              </w:rPr>
              <w:t>65500</w:t>
            </w:r>
          </w:p>
        </w:tc>
        <w:tc>
          <w:tcPr>
            <w:tcW w:w="517" w:type="pct"/>
            <w:vAlign w:val="center"/>
          </w:tcPr>
          <w:p w14:paraId="56415F90">
            <w:pPr>
              <w:pStyle w:val="133"/>
              <w:rPr>
                <w:rFonts w:eastAsia="等线" w:cs="Times New Roman"/>
              </w:rPr>
            </w:pPr>
            <w:r>
              <w:rPr>
                <w:rFonts w:hint="eastAsia" w:eastAsia="等线" w:cs="Times New Roman"/>
              </w:rPr>
              <w:t>0.07</w:t>
            </w:r>
          </w:p>
        </w:tc>
        <w:tc>
          <w:tcPr>
            <w:tcW w:w="481" w:type="pct"/>
            <w:vAlign w:val="center"/>
          </w:tcPr>
          <w:p w14:paraId="24FBEC5C">
            <w:pPr>
              <w:pStyle w:val="133"/>
              <w:rPr>
                <w:rFonts w:eastAsia="等线" w:cs="Times New Roman"/>
                <w:color w:val="000000"/>
                <w:szCs w:val="21"/>
              </w:rPr>
            </w:pPr>
            <w:r>
              <w:rPr>
                <w:rFonts w:hint="eastAsia" w:eastAsia="等线" w:cs="Times New Roman"/>
                <w:color w:val="000000"/>
                <w:szCs w:val="21"/>
              </w:rPr>
              <w:t>0.51</w:t>
            </w:r>
          </w:p>
        </w:tc>
        <w:tc>
          <w:tcPr>
            <w:tcW w:w="597" w:type="pct"/>
            <w:vAlign w:val="center"/>
          </w:tcPr>
          <w:p w14:paraId="6FA73F1D">
            <w:pPr>
              <w:pStyle w:val="133"/>
              <w:rPr>
                <w:rFonts w:eastAsia="等线" w:cs="Times New Roman"/>
                <w:color w:val="000000"/>
                <w:szCs w:val="21"/>
              </w:rPr>
            </w:pPr>
            <w:r>
              <w:rPr>
                <w:rFonts w:hint="eastAsia" w:eastAsia="等线" w:cs="Times New Roman"/>
                <w:color w:val="000000"/>
                <w:szCs w:val="21"/>
              </w:rPr>
              <w:t>1.0</w:t>
            </w:r>
          </w:p>
        </w:tc>
        <w:tc>
          <w:tcPr>
            <w:tcW w:w="422" w:type="pct"/>
            <w:vAlign w:val="center"/>
          </w:tcPr>
          <w:p w14:paraId="7E2D367D">
            <w:pPr>
              <w:pStyle w:val="133"/>
              <w:rPr>
                <w:rFonts w:eastAsia="等线" w:cs="Times New Roman"/>
              </w:rPr>
            </w:pPr>
            <w:r>
              <w:rPr>
                <w:rFonts w:hint="eastAsia" w:eastAsia="等线" w:cs="Times New Roman"/>
              </w:rPr>
              <w:t>20</w:t>
            </w:r>
          </w:p>
        </w:tc>
        <w:tc>
          <w:tcPr>
            <w:tcW w:w="454" w:type="pct"/>
            <w:vAlign w:val="center"/>
          </w:tcPr>
          <w:p w14:paraId="27905C76">
            <w:pPr>
              <w:pStyle w:val="133"/>
              <w:rPr>
                <w:rFonts w:eastAsia="等线" w:cs="Times New Roman"/>
              </w:rPr>
            </w:pPr>
            <w:r>
              <w:rPr>
                <w:rFonts w:hint="eastAsia" w:eastAsia="等线" w:cs="Times New Roman"/>
              </w:rPr>
              <w:t>1.9</w:t>
            </w:r>
          </w:p>
        </w:tc>
        <w:tc>
          <w:tcPr>
            <w:tcW w:w="441" w:type="pct"/>
            <w:vAlign w:val="center"/>
          </w:tcPr>
          <w:p w14:paraId="6837E8DE">
            <w:pPr>
              <w:pStyle w:val="133"/>
              <w:rPr>
                <w:rFonts w:eastAsia="等线" w:cs="Times New Roman"/>
              </w:rPr>
            </w:pPr>
            <w:r>
              <w:rPr>
                <w:rFonts w:hint="eastAsia" w:eastAsia="等线" w:cs="Times New Roman"/>
              </w:rPr>
              <w:t>25</w:t>
            </w:r>
          </w:p>
        </w:tc>
      </w:tr>
      <w:tr w14:paraId="7CDAB1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412" w:type="pct"/>
            <w:vAlign w:val="center"/>
          </w:tcPr>
          <w:p w14:paraId="0602F544">
            <w:pPr>
              <w:pStyle w:val="133"/>
            </w:pPr>
            <w:r>
              <w:rPr>
                <w:rFonts w:hint="eastAsia"/>
              </w:rPr>
              <w:t>DA028</w:t>
            </w:r>
          </w:p>
        </w:tc>
        <w:tc>
          <w:tcPr>
            <w:tcW w:w="543" w:type="pct"/>
            <w:vAlign w:val="center"/>
          </w:tcPr>
          <w:p w14:paraId="3A87EB19">
            <w:pPr>
              <w:pStyle w:val="133"/>
            </w:pPr>
            <w:r>
              <w:rPr>
                <w:rFonts w:hint="eastAsia"/>
              </w:rPr>
              <w:t>成品破碎废气</w:t>
            </w:r>
          </w:p>
        </w:tc>
        <w:tc>
          <w:tcPr>
            <w:tcW w:w="521" w:type="pct"/>
            <w:vAlign w:val="center"/>
          </w:tcPr>
          <w:p w14:paraId="0B52FD2B">
            <w:pPr>
              <w:pStyle w:val="133"/>
            </w:pPr>
            <w:r>
              <w:rPr>
                <w:rFonts w:hint="eastAsia"/>
                <w:color w:val="000000"/>
                <w:szCs w:val="21"/>
              </w:rPr>
              <w:t>颗粒物</w:t>
            </w:r>
          </w:p>
        </w:tc>
        <w:tc>
          <w:tcPr>
            <w:tcW w:w="612" w:type="pct"/>
            <w:vAlign w:val="center"/>
          </w:tcPr>
          <w:p w14:paraId="09C7215B">
            <w:pPr>
              <w:pStyle w:val="133"/>
              <w:rPr>
                <w:rFonts w:eastAsia="等线" w:cs="Times New Roman"/>
              </w:rPr>
            </w:pPr>
            <w:r>
              <w:rPr>
                <w:rFonts w:hint="eastAsia" w:eastAsia="等线" w:cs="Times New Roman"/>
              </w:rPr>
              <w:t>7800</w:t>
            </w:r>
          </w:p>
        </w:tc>
        <w:tc>
          <w:tcPr>
            <w:tcW w:w="517" w:type="pct"/>
            <w:vAlign w:val="center"/>
          </w:tcPr>
          <w:p w14:paraId="37576585">
            <w:pPr>
              <w:pStyle w:val="133"/>
              <w:rPr>
                <w:rFonts w:eastAsia="等线" w:cs="Times New Roman"/>
              </w:rPr>
            </w:pPr>
            <w:r>
              <w:rPr>
                <w:rFonts w:hint="eastAsia" w:eastAsia="等线" w:cs="Times New Roman"/>
              </w:rPr>
              <w:t>0.01</w:t>
            </w:r>
          </w:p>
        </w:tc>
        <w:tc>
          <w:tcPr>
            <w:tcW w:w="481" w:type="pct"/>
            <w:vAlign w:val="center"/>
          </w:tcPr>
          <w:p w14:paraId="2EDE6168">
            <w:pPr>
              <w:pStyle w:val="133"/>
              <w:rPr>
                <w:rFonts w:eastAsia="等线" w:cs="Times New Roman"/>
                <w:color w:val="000000"/>
                <w:szCs w:val="21"/>
              </w:rPr>
            </w:pPr>
            <w:r>
              <w:rPr>
                <w:rFonts w:hint="eastAsia" w:eastAsia="等线" w:cs="Times New Roman"/>
                <w:color w:val="000000"/>
                <w:szCs w:val="21"/>
              </w:rPr>
              <w:t>0.05</w:t>
            </w:r>
          </w:p>
        </w:tc>
        <w:tc>
          <w:tcPr>
            <w:tcW w:w="597" w:type="pct"/>
            <w:vAlign w:val="center"/>
          </w:tcPr>
          <w:p w14:paraId="244B8E34">
            <w:pPr>
              <w:pStyle w:val="133"/>
              <w:rPr>
                <w:rFonts w:eastAsia="等线" w:cs="Times New Roman"/>
                <w:color w:val="000000"/>
                <w:szCs w:val="21"/>
              </w:rPr>
            </w:pPr>
            <w:r>
              <w:rPr>
                <w:rFonts w:hint="eastAsia" w:eastAsia="等线" w:cs="Times New Roman"/>
                <w:color w:val="000000"/>
                <w:szCs w:val="21"/>
              </w:rPr>
              <w:t>1.5</w:t>
            </w:r>
          </w:p>
        </w:tc>
        <w:tc>
          <w:tcPr>
            <w:tcW w:w="422" w:type="pct"/>
            <w:vAlign w:val="center"/>
          </w:tcPr>
          <w:p w14:paraId="019B15F2">
            <w:pPr>
              <w:pStyle w:val="133"/>
              <w:rPr>
                <w:rFonts w:eastAsia="等线" w:cs="Times New Roman"/>
              </w:rPr>
            </w:pPr>
            <w:r>
              <w:rPr>
                <w:rFonts w:hint="eastAsia" w:eastAsia="等线" w:cs="Times New Roman"/>
              </w:rPr>
              <w:t>15</w:t>
            </w:r>
          </w:p>
        </w:tc>
        <w:tc>
          <w:tcPr>
            <w:tcW w:w="454" w:type="pct"/>
            <w:vAlign w:val="center"/>
          </w:tcPr>
          <w:p w14:paraId="35A5891B">
            <w:pPr>
              <w:pStyle w:val="133"/>
              <w:rPr>
                <w:rFonts w:eastAsia="等线" w:cs="Times New Roman"/>
              </w:rPr>
            </w:pPr>
            <w:r>
              <w:rPr>
                <w:rFonts w:hint="eastAsia" w:eastAsia="等线" w:cs="Times New Roman"/>
              </w:rPr>
              <w:t>0.85</w:t>
            </w:r>
          </w:p>
        </w:tc>
        <w:tc>
          <w:tcPr>
            <w:tcW w:w="441" w:type="pct"/>
            <w:vAlign w:val="center"/>
          </w:tcPr>
          <w:p w14:paraId="2A89A063">
            <w:pPr>
              <w:pStyle w:val="133"/>
              <w:rPr>
                <w:rFonts w:eastAsia="等线" w:cs="Times New Roman"/>
              </w:rPr>
            </w:pPr>
            <w:r>
              <w:rPr>
                <w:rFonts w:hint="eastAsia" w:eastAsia="等线" w:cs="Times New Roman"/>
              </w:rPr>
              <w:t>25</w:t>
            </w:r>
          </w:p>
        </w:tc>
      </w:tr>
    </w:tbl>
    <w:p w14:paraId="6CCB3866">
      <w:pPr>
        <w:pStyle w:val="171"/>
      </w:pPr>
    </w:p>
    <w:p w14:paraId="4B3F9E69">
      <w:pPr>
        <w:ind w:firstLine="480"/>
      </w:pPr>
      <w:r>
        <w:rPr>
          <w:rFonts w:hint="eastAsia"/>
        </w:rPr>
        <w:t>2）替代无组织排放</w:t>
      </w:r>
    </w:p>
    <w:p w14:paraId="62ACF7A3">
      <w:pPr>
        <w:ind w:firstLine="480"/>
      </w:pPr>
      <w:bookmarkStart w:id="347" w:name="OLE_LINK51"/>
      <w:r>
        <w:rPr>
          <w:rFonts w:hint="eastAsia" w:ascii="宋体" w:hAnsi="宋体"/>
        </w:rPr>
        <w:t>①</w:t>
      </w:r>
      <w:r>
        <w:rPr>
          <w:rFonts w:hint="eastAsia"/>
        </w:rPr>
        <w:t>堆场及料仓颗粒物无组织排放源</w:t>
      </w:r>
    </w:p>
    <w:p w14:paraId="20A50BB9">
      <w:pPr>
        <w:ind w:firstLine="480"/>
      </w:pPr>
      <w:r>
        <w:rPr>
          <w:rFonts w:hint="eastAsia"/>
        </w:rPr>
        <w:t>改造完成后，现有硅石及球团料堆、兰炭棚的颗粒物无组织排放量作为硅铁合金生产线替代颗粒物无组织排放污染源。</w:t>
      </w:r>
    </w:p>
    <w:p w14:paraId="76BF7412">
      <w:pPr>
        <w:ind w:firstLine="480"/>
      </w:pPr>
      <w:r>
        <w:rPr>
          <w:rFonts w:hint="eastAsia"/>
        </w:rPr>
        <w:t>根据《排放源统计调查产排污核算方法和系数手册》的《工业源固体物料堆场颗粒物核算系数手册》，依据《附表2工业源固体物料堆场颗粒物产排污核算系数手册》中的颗粒物产生量与排放量核算方法，分别计算现有工程堆场及兰炭棚的颗粒物源强。</w:t>
      </w:r>
    </w:p>
    <w:p w14:paraId="29D4DBC3">
      <w:pPr>
        <w:ind w:firstLine="480"/>
        <w:rPr>
          <w:rFonts w:hint="eastAsia" w:ascii="宋体" w:hAnsi="宋体"/>
        </w:rPr>
      </w:pPr>
      <w:r>
        <w:rPr>
          <w:rFonts w:hint="eastAsia"/>
        </w:rPr>
        <w:t>现有工程采取的粉尘控制措施为洒水抑尘，堆场类型控制措施为密闭式储存。</w:t>
      </w:r>
    </w:p>
    <w:p w14:paraId="65FFA02E">
      <w:pPr>
        <w:ind w:firstLine="480"/>
      </w:pPr>
      <w:r>
        <w:rPr>
          <w:rFonts w:hint="eastAsia"/>
        </w:rPr>
        <w:t>现有工程原煤仓、兰炭仓及沫煤仓物料装卸及堆存过程损失计算参数及核算结果，见表3.4-12。</w:t>
      </w:r>
      <w:bookmarkEnd w:id="347"/>
    </w:p>
    <w:p w14:paraId="1AB0E479">
      <w:pPr>
        <w:pStyle w:val="118"/>
      </w:pPr>
      <w:r>
        <w:t>表</w:t>
      </w:r>
      <w:r>
        <w:rPr>
          <w:rFonts w:hint="eastAsia"/>
        </w:rPr>
        <w:t>3.4-12  替代料场及料仓颗粒物无组织排放核算参数及核算结果</w:t>
      </w:r>
      <w:r>
        <w:t>汇总</w:t>
      </w:r>
      <w:r>
        <w:rPr>
          <w:rFonts w:hint="eastAsia"/>
        </w:rPr>
        <w:t>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82"/>
        <w:gridCol w:w="1137"/>
        <w:gridCol w:w="1168"/>
        <w:gridCol w:w="967"/>
        <w:gridCol w:w="967"/>
        <w:gridCol w:w="1348"/>
        <w:gridCol w:w="1253"/>
      </w:tblGrid>
      <w:tr w14:paraId="580407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0F39AEAE">
            <w:pPr>
              <w:pStyle w:val="133"/>
              <w:rPr>
                <w:b/>
                <w:bCs/>
              </w:rPr>
            </w:pPr>
            <w:r>
              <w:rPr>
                <w:rFonts w:hint="eastAsia"/>
                <w:b/>
                <w:bCs/>
              </w:rPr>
              <w:t>料仓名称</w:t>
            </w:r>
          </w:p>
        </w:tc>
        <w:tc>
          <w:tcPr>
            <w:tcW w:w="667" w:type="pct"/>
            <w:noWrap/>
            <w:vAlign w:val="bottom"/>
          </w:tcPr>
          <w:p w14:paraId="32EF0FF2">
            <w:pPr>
              <w:pStyle w:val="133"/>
              <w:rPr>
                <w:b/>
                <w:bCs/>
              </w:rPr>
            </w:pPr>
            <w:r>
              <w:rPr>
                <w:rFonts w:hint="eastAsia"/>
                <w:b/>
                <w:bCs/>
              </w:rPr>
              <w:t>Nc（车）</w:t>
            </w:r>
          </w:p>
        </w:tc>
        <w:tc>
          <w:tcPr>
            <w:tcW w:w="685" w:type="pct"/>
            <w:noWrap/>
            <w:vAlign w:val="bottom"/>
          </w:tcPr>
          <w:p w14:paraId="18437C60">
            <w:pPr>
              <w:pStyle w:val="133"/>
              <w:rPr>
                <w:b/>
                <w:bCs/>
              </w:rPr>
            </w:pPr>
            <w:r>
              <w:rPr>
                <w:rFonts w:hint="eastAsia"/>
                <w:b/>
                <w:bCs/>
              </w:rPr>
              <w:t>D（t/车）</w:t>
            </w:r>
          </w:p>
        </w:tc>
        <w:tc>
          <w:tcPr>
            <w:tcW w:w="567" w:type="pct"/>
            <w:noWrap/>
            <w:vAlign w:val="bottom"/>
          </w:tcPr>
          <w:p w14:paraId="700730F6">
            <w:pPr>
              <w:pStyle w:val="133"/>
              <w:rPr>
                <w:b/>
                <w:bCs/>
              </w:rPr>
            </w:pPr>
            <w:r>
              <w:rPr>
                <w:rFonts w:hint="eastAsia"/>
                <w:b/>
                <w:bCs/>
              </w:rPr>
              <w:t>a（kg）</w:t>
            </w:r>
          </w:p>
        </w:tc>
        <w:tc>
          <w:tcPr>
            <w:tcW w:w="567" w:type="pct"/>
            <w:noWrap/>
            <w:vAlign w:val="bottom"/>
          </w:tcPr>
          <w:p w14:paraId="5EEE2F26">
            <w:pPr>
              <w:pStyle w:val="133"/>
              <w:rPr>
                <w:b/>
                <w:bCs/>
              </w:rPr>
            </w:pPr>
            <w:r>
              <w:rPr>
                <w:rFonts w:hint="eastAsia"/>
                <w:b/>
                <w:bCs/>
              </w:rPr>
              <w:t>b（t）</w:t>
            </w:r>
          </w:p>
        </w:tc>
        <w:tc>
          <w:tcPr>
            <w:tcW w:w="791" w:type="pct"/>
            <w:noWrap/>
            <w:vAlign w:val="bottom"/>
          </w:tcPr>
          <w:p w14:paraId="7293A04A">
            <w:pPr>
              <w:pStyle w:val="133"/>
              <w:rPr>
                <w:b/>
                <w:bCs/>
              </w:rPr>
            </w:pPr>
            <w:r>
              <w:rPr>
                <w:rFonts w:hint="eastAsia"/>
                <w:b/>
                <w:bCs/>
              </w:rPr>
              <w:t>Ef（kg/㎡）</w:t>
            </w:r>
          </w:p>
        </w:tc>
        <w:tc>
          <w:tcPr>
            <w:tcW w:w="735" w:type="pct"/>
            <w:noWrap/>
            <w:vAlign w:val="bottom"/>
          </w:tcPr>
          <w:p w14:paraId="24792EC5">
            <w:pPr>
              <w:pStyle w:val="133"/>
              <w:rPr>
                <w:b/>
                <w:bCs/>
              </w:rPr>
            </w:pPr>
            <w:r>
              <w:rPr>
                <w:rFonts w:hint="eastAsia"/>
                <w:b/>
                <w:bCs/>
              </w:rPr>
              <w:t>S（㎡）</w:t>
            </w:r>
          </w:p>
        </w:tc>
      </w:tr>
      <w:tr w14:paraId="7E27AD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center"/>
          </w:tcPr>
          <w:p w14:paraId="2D8E2149">
            <w:pPr>
              <w:pStyle w:val="133"/>
            </w:pPr>
            <w:r>
              <w:rPr>
                <w:rFonts w:hint="eastAsia" w:cs="Times New Roman"/>
              </w:rPr>
              <w:t>硅石卸料堆存</w:t>
            </w:r>
          </w:p>
        </w:tc>
        <w:tc>
          <w:tcPr>
            <w:tcW w:w="667" w:type="pct"/>
            <w:noWrap/>
            <w:vAlign w:val="bottom"/>
          </w:tcPr>
          <w:p w14:paraId="409FB886">
            <w:pPr>
              <w:pStyle w:val="133"/>
            </w:pPr>
            <w:r>
              <w:rPr>
                <w:rFonts w:hint="eastAsia"/>
              </w:rPr>
              <w:t>2549</w:t>
            </w:r>
          </w:p>
        </w:tc>
        <w:tc>
          <w:tcPr>
            <w:tcW w:w="685" w:type="pct"/>
            <w:noWrap/>
            <w:vAlign w:val="bottom"/>
          </w:tcPr>
          <w:p w14:paraId="4A76BFB3">
            <w:pPr>
              <w:pStyle w:val="133"/>
            </w:pPr>
            <w:r>
              <w:rPr>
                <w:rFonts w:hint="eastAsia"/>
              </w:rPr>
              <w:t>30</w:t>
            </w:r>
          </w:p>
        </w:tc>
        <w:tc>
          <w:tcPr>
            <w:tcW w:w="567" w:type="pct"/>
            <w:noWrap/>
            <w:vAlign w:val="bottom"/>
          </w:tcPr>
          <w:p w14:paraId="48A519C2">
            <w:pPr>
              <w:pStyle w:val="133"/>
            </w:pPr>
            <w:r>
              <w:rPr>
                <w:rFonts w:hint="eastAsia"/>
              </w:rPr>
              <w:t>0.0011</w:t>
            </w:r>
          </w:p>
        </w:tc>
        <w:tc>
          <w:tcPr>
            <w:tcW w:w="567" w:type="pct"/>
            <w:noWrap/>
            <w:vAlign w:val="bottom"/>
          </w:tcPr>
          <w:p w14:paraId="00D9F841">
            <w:pPr>
              <w:pStyle w:val="133"/>
            </w:pPr>
            <w:r>
              <w:rPr>
                <w:rFonts w:hint="eastAsia"/>
              </w:rPr>
              <w:t>0.0064</w:t>
            </w:r>
          </w:p>
        </w:tc>
        <w:tc>
          <w:tcPr>
            <w:tcW w:w="791" w:type="pct"/>
            <w:noWrap/>
            <w:vAlign w:val="bottom"/>
          </w:tcPr>
          <w:p w14:paraId="451581BF">
            <w:pPr>
              <w:pStyle w:val="133"/>
            </w:pPr>
            <w:r>
              <w:rPr>
                <w:rFonts w:hint="eastAsia"/>
              </w:rPr>
              <w:t>0</w:t>
            </w:r>
          </w:p>
        </w:tc>
        <w:tc>
          <w:tcPr>
            <w:tcW w:w="735" w:type="pct"/>
            <w:noWrap/>
            <w:vAlign w:val="bottom"/>
          </w:tcPr>
          <w:p w14:paraId="651F55B3">
            <w:pPr>
              <w:pStyle w:val="133"/>
            </w:pPr>
            <w:r>
              <w:rPr>
                <w:rFonts w:hint="eastAsia"/>
              </w:rPr>
              <w:t>3600</w:t>
            </w:r>
          </w:p>
        </w:tc>
      </w:tr>
      <w:tr w14:paraId="03363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center"/>
          </w:tcPr>
          <w:p w14:paraId="5328F964">
            <w:pPr>
              <w:pStyle w:val="133"/>
            </w:pPr>
            <w:r>
              <w:rPr>
                <w:rFonts w:cs="Times New Roman"/>
              </w:rPr>
              <w:t>球团</w:t>
            </w:r>
            <w:r>
              <w:rPr>
                <w:rFonts w:hint="eastAsia" w:cs="Times New Roman"/>
              </w:rPr>
              <w:t>卸料堆存</w:t>
            </w:r>
          </w:p>
        </w:tc>
        <w:tc>
          <w:tcPr>
            <w:tcW w:w="667" w:type="pct"/>
            <w:noWrap/>
            <w:vAlign w:val="bottom"/>
          </w:tcPr>
          <w:p w14:paraId="65F452A8">
            <w:pPr>
              <w:pStyle w:val="133"/>
            </w:pPr>
            <w:r>
              <w:rPr>
                <w:rFonts w:hint="eastAsia"/>
              </w:rPr>
              <w:t>496</w:t>
            </w:r>
          </w:p>
        </w:tc>
        <w:tc>
          <w:tcPr>
            <w:tcW w:w="685" w:type="pct"/>
            <w:noWrap/>
            <w:vAlign w:val="bottom"/>
          </w:tcPr>
          <w:p w14:paraId="6913F55C">
            <w:pPr>
              <w:pStyle w:val="133"/>
            </w:pPr>
            <w:r>
              <w:rPr>
                <w:rFonts w:hint="eastAsia"/>
              </w:rPr>
              <w:t>30</w:t>
            </w:r>
          </w:p>
        </w:tc>
        <w:tc>
          <w:tcPr>
            <w:tcW w:w="567" w:type="pct"/>
            <w:noWrap/>
            <w:vAlign w:val="bottom"/>
          </w:tcPr>
          <w:p w14:paraId="3DB8ADB4">
            <w:pPr>
              <w:pStyle w:val="133"/>
            </w:pPr>
            <w:r>
              <w:rPr>
                <w:rFonts w:hint="eastAsia"/>
              </w:rPr>
              <w:t>0.0011</w:t>
            </w:r>
          </w:p>
        </w:tc>
        <w:tc>
          <w:tcPr>
            <w:tcW w:w="567" w:type="pct"/>
            <w:noWrap/>
            <w:vAlign w:val="bottom"/>
          </w:tcPr>
          <w:p w14:paraId="70EC9FB7">
            <w:pPr>
              <w:pStyle w:val="133"/>
            </w:pPr>
            <w:r>
              <w:rPr>
                <w:rFonts w:hint="eastAsia"/>
              </w:rPr>
              <w:t>0.0018</w:t>
            </w:r>
          </w:p>
        </w:tc>
        <w:tc>
          <w:tcPr>
            <w:tcW w:w="791" w:type="pct"/>
            <w:noWrap/>
            <w:vAlign w:val="bottom"/>
          </w:tcPr>
          <w:p w14:paraId="40B81AB4">
            <w:pPr>
              <w:pStyle w:val="133"/>
            </w:pPr>
            <w:r>
              <w:rPr>
                <w:rFonts w:hint="eastAsia"/>
              </w:rPr>
              <w:t>0</w:t>
            </w:r>
          </w:p>
        </w:tc>
        <w:tc>
          <w:tcPr>
            <w:tcW w:w="735" w:type="pct"/>
            <w:noWrap/>
            <w:vAlign w:val="bottom"/>
          </w:tcPr>
          <w:p w14:paraId="71E54288">
            <w:pPr>
              <w:pStyle w:val="133"/>
            </w:pPr>
            <w:r>
              <w:rPr>
                <w:rFonts w:hint="eastAsia"/>
              </w:rPr>
              <w:t>3600</w:t>
            </w:r>
          </w:p>
        </w:tc>
      </w:tr>
      <w:tr w14:paraId="52CDF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center"/>
          </w:tcPr>
          <w:p w14:paraId="53129348">
            <w:pPr>
              <w:pStyle w:val="133"/>
            </w:pPr>
            <w:r>
              <w:rPr>
                <w:rFonts w:cs="Times New Roman"/>
              </w:rPr>
              <w:t>兰炭棚</w:t>
            </w:r>
          </w:p>
        </w:tc>
        <w:tc>
          <w:tcPr>
            <w:tcW w:w="667" w:type="pct"/>
            <w:noWrap/>
            <w:vAlign w:val="bottom"/>
          </w:tcPr>
          <w:p w14:paraId="0AA92633">
            <w:pPr>
              <w:pStyle w:val="133"/>
            </w:pPr>
            <w:r>
              <w:rPr>
                <w:rFonts w:hint="eastAsia"/>
              </w:rPr>
              <w:t>1433</w:t>
            </w:r>
          </w:p>
        </w:tc>
        <w:tc>
          <w:tcPr>
            <w:tcW w:w="685" w:type="pct"/>
            <w:noWrap/>
            <w:vAlign w:val="bottom"/>
          </w:tcPr>
          <w:p w14:paraId="162B325E">
            <w:pPr>
              <w:pStyle w:val="133"/>
            </w:pPr>
            <w:r>
              <w:rPr>
                <w:rFonts w:hint="eastAsia"/>
              </w:rPr>
              <w:t>30</w:t>
            </w:r>
          </w:p>
        </w:tc>
        <w:tc>
          <w:tcPr>
            <w:tcW w:w="567" w:type="pct"/>
            <w:noWrap/>
            <w:vAlign w:val="bottom"/>
          </w:tcPr>
          <w:p w14:paraId="123810B3">
            <w:pPr>
              <w:pStyle w:val="133"/>
            </w:pPr>
            <w:r>
              <w:rPr>
                <w:rFonts w:hint="eastAsia"/>
              </w:rPr>
              <w:t>0.0011</w:t>
            </w:r>
          </w:p>
        </w:tc>
        <w:tc>
          <w:tcPr>
            <w:tcW w:w="567" w:type="pct"/>
            <w:noWrap/>
            <w:vAlign w:val="bottom"/>
          </w:tcPr>
          <w:p w14:paraId="0BE5609F">
            <w:pPr>
              <w:pStyle w:val="133"/>
            </w:pPr>
            <w:r>
              <w:rPr>
                <w:rFonts w:hint="eastAsia"/>
              </w:rPr>
              <w:t>0.0018</w:t>
            </w:r>
          </w:p>
        </w:tc>
        <w:tc>
          <w:tcPr>
            <w:tcW w:w="791" w:type="pct"/>
            <w:noWrap/>
            <w:vAlign w:val="bottom"/>
          </w:tcPr>
          <w:p w14:paraId="79B87313">
            <w:pPr>
              <w:pStyle w:val="133"/>
            </w:pPr>
            <w:r>
              <w:rPr>
                <w:rFonts w:hint="eastAsia"/>
              </w:rPr>
              <w:t>18.2208</w:t>
            </w:r>
          </w:p>
        </w:tc>
        <w:tc>
          <w:tcPr>
            <w:tcW w:w="735" w:type="pct"/>
            <w:noWrap/>
            <w:vAlign w:val="bottom"/>
          </w:tcPr>
          <w:p w14:paraId="34238C66">
            <w:pPr>
              <w:pStyle w:val="133"/>
            </w:pPr>
            <w:r>
              <w:rPr>
                <w:rFonts w:hint="eastAsia"/>
              </w:rPr>
              <w:t>7200</w:t>
            </w:r>
          </w:p>
        </w:tc>
      </w:tr>
      <w:tr w14:paraId="6C305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bottom"/>
          </w:tcPr>
          <w:p w14:paraId="43CF67D4">
            <w:pPr>
              <w:pStyle w:val="133"/>
            </w:pPr>
            <w:r>
              <w:rPr>
                <w:rFonts w:hint="eastAsia"/>
              </w:rPr>
              <w:t>料仓名称</w:t>
            </w:r>
          </w:p>
        </w:tc>
        <w:tc>
          <w:tcPr>
            <w:tcW w:w="667" w:type="pct"/>
            <w:noWrap/>
            <w:vAlign w:val="center"/>
          </w:tcPr>
          <w:p w14:paraId="06CF0ECE">
            <w:pPr>
              <w:pStyle w:val="133"/>
            </w:pPr>
            <w:r>
              <w:rPr>
                <w:rFonts w:hint="eastAsia"/>
              </w:rPr>
              <w:t>ZCy（t）</w:t>
            </w:r>
          </w:p>
        </w:tc>
        <w:tc>
          <w:tcPr>
            <w:tcW w:w="685" w:type="pct"/>
            <w:noWrap/>
            <w:vAlign w:val="center"/>
          </w:tcPr>
          <w:p w14:paraId="50779FB2">
            <w:pPr>
              <w:pStyle w:val="133"/>
            </w:pPr>
            <w:r>
              <w:rPr>
                <w:rFonts w:hint="eastAsia"/>
              </w:rPr>
              <w:t>FCy（t）</w:t>
            </w:r>
          </w:p>
        </w:tc>
        <w:tc>
          <w:tcPr>
            <w:tcW w:w="567" w:type="pct"/>
            <w:noWrap/>
            <w:vAlign w:val="center"/>
          </w:tcPr>
          <w:p w14:paraId="1836459C">
            <w:pPr>
              <w:pStyle w:val="133"/>
            </w:pPr>
            <w:r>
              <w:rPr>
                <w:rFonts w:hint="eastAsia"/>
              </w:rPr>
              <w:t>P（t）</w:t>
            </w:r>
          </w:p>
        </w:tc>
        <w:tc>
          <w:tcPr>
            <w:tcW w:w="567" w:type="pct"/>
            <w:noWrap/>
            <w:vAlign w:val="center"/>
          </w:tcPr>
          <w:p w14:paraId="75193242">
            <w:pPr>
              <w:pStyle w:val="133"/>
            </w:pPr>
            <w:r>
              <w:rPr>
                <w:rFonts w:hint="eastAsia"/>
              </w:rPr>
              <w:t>Uc（t）</w:t>
            </w:r>
          </w:p>
        </w:tc>
        <w:tc>
          <w:tcPr>
            <w:tcW w:w="791" w:type="pct"/>
            <w:noWrap/>
            <w:vAlign w:val="center"/>
          </w:tcPr>
          <w:p w14:paraId="62A9FDD8">
            <w:pPr>
              <w:pStyle w:val="133"/>
            </w:pPr>
            <w:r>
              <w:rPr>
                <w:rFonts w:hint="eastAsia"/>
              </w:rPr>
              <w:t>面积（㎡）</w:t>
            </w:r>
          </w:p>
        </w:tc>
        <w:tc>
          <w:tcPr>
            <w:tcW w:w="735" w:type="pct"/>
            <w:noWrap/>
            <w:vAlign w:val="center"/>
          </w:tcPr>
          <w:p w14:paraId="2E7C28A7">
            <w:pPr>
              <w:pStyle w:val="133"/>
            </w:pPr>
            <w:r>
              <w:rPr>
                <w:rFonts w:hint="eastAsia"/>
              </w:rPr>
              <w:t>高度（m）</w:t>
            </w:r>
          </w:p>
        </w:tc>
      </w:tr>
      <w:tr w14:paraId="4A626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center"/>
          </w:tcPr>
          <w:p w14:paraId="15C79030">
            <w:pPr>
              <w:pStyle w:val="133"/>
            </w:pPr>
            <w:r>
              <w:rPr>
                <w:rFonts w:hint="eastAsia" w:cs="Times New Roman"/>
              </w:rPr>
              <w:t>硅石卸料堆存</w:t>
            </w:r>
          </w:p>
        </w:tc>
        <w:tc>
          <w:tcPr>
            <w:tcW w:w="667" w:type="pct"/>
            <w:noWrap/>
            <w:vAlign w:val="bottom"/>
          </w:tcPr>
          <w:p w14:paraId="23F34E17">
            <w:pPr>
              <w:pStyle w:val="133"/>
            </w:pPr>
            <w:r>
              <w:rPr>
                <w:rFonts w:hint="eastAsia"/>
              </w:rPr>
              <w:t>13.14</w:t>
            </w:r>
          </w:p>
        </w:tc>
        <w:tc>
          <w:tcPr>
            <w:tcW w:w="685" w:type="pct"/>
            <w:noWrap/>
            <w:vAlign w:val="bottom"/>
          </w:tcPr>
          <w:p w14:paraId="48079B3A">
            <w:pPr>
              <w:pStyle w:val="133"/>
            </w:pPr>
            <w:r>
              <w:rPr>
                <w:rFonts w:hint="eastAsia"/>
              </w:rPr>
              <w:t>0</w:t>
            </w:r>
          </w:p>
        </w:tc>
        <w:tc>
          <w:tcPr>
            <w:tcW w:w="567" w:type="pct"/>
            <w:noWrap/>
            <w:vAlign w:val="bottom"/>
          </w:tcPr>
          <w:p w14:paraId="66DAD5DC">
            <w:pPr>
              <w:pStyle w:val="133"/>
            </w:pPr>
            <w:r>
              <w:rPr>
                <w:rFonts w:hint="eastAsia"/>
              </w:rPr>
              <w:t>13.14</w:t>
            </w:r>
          </w:p>
        </w:tc>
        <w:tc>
          <w:tcPr>
            <w:tcW w:w="567" w:type="pct"/>
            <w:noWrap/>
            <w:vAlign w:val="bottom"/>
          </w:tcPr>
          <w:p w14:paraId="744B584C">
            <w:pPr>
              <w:pStyle w:val="133"/>
            </w:pPr>
            <w:r>
              <w:rPr>
                <w:rFonts w:hint="eastAsia"/>
              </w:rPr>
              <w:t>1.37</w:t>
            </w:r>
          </w:p>
        </w:tc>
        <w:tc>
          <w:tcPr>
            <w:tcW w:w="791" w:type="pct"/>
            <w:noWrap/>
            <w:vAlign w:val="center"/>
          </w:tcPr>
          <w:p w14:paraId="098753B9">
            <w:pPr>
              <w:pStyle w:val="133"/>
            </w:pPr>
            <w:r>
              <w:rPr>
                <w:rFonts w:hint="eastAsia"/>
              </w:rPr>
              <w:t>60×60</w:t>
            </w:r>
          </w:p>
        </w:tc>
        <w:tc>
          <w:tcPr>
            <w:tcW w:w="735" w:type="pct"/>
            <w:noWrap/>
          </w:tcPr>
          <w:p w14:paraId="27A39A47">
            <w:pPr>
              <w:pStyle w:val="133"/>
            </w:pPr>
            <w:r>
              <w:rPr>
                <w:rFonts w:hint="eastAsia"/>
              </w:rPr>
              <w:t>10</w:t>
            </w:r>
          </w:p>
        </w:tc>
      </w:tr>
      <w:tr w14:paraId="15A45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center"/>
          </w:tcPr>
          <w:p w14:paraId="3C111AA8">
            <w:pPr>
              <w:pStyle w:val="133"/>
            </w:pPr>
            <w:r>
              <w:rPr>
                <w:rFonts w:cs="Times New Roman"/>
              </w:rPr>
              <w:t>球团</w:t>
            </w:r>
            <w:r>
              <w:rPr>
                <w:rFonts w:hint="eastAsia" w:cs="Times New Roman"/>
              </w:rPr>
              <w:t>卸料堆存</w:t>
            </w:r>
          </w:p>
        </w:tc>
        <w:tc>
          <w:tcPr>
            <w:tcW w:w="667" w:type="pct"/>
            <w:noWrap/>
            <w:vAlign w:val="bottom"/>
          </w:tcPr>
          <w:p w14:paraId="773867DC">
            <w:pPr>
              <w:pStyle w:val="133"/>
            </w:pPr>
            <w:r>
              <w:rPr>
                <w:rFonts w:hint="eastAsia"/>
              </w:rPr>
              <w:t>9.08</w:t>
            </w:r>
          </w:p>
        </w:tc>
        <w:tc>
          <w:tcPr>
            <w:tcW w:w="685" w:type="pct"/>
            <w:noWrap/>
            <w:vAlign w:val="bottom"/>
          </w:tcPr>
          <w:p w14:paraId="49F5520A">
            <w:pPr>
              <w:pStyle w:val="133"/>
            </w:pPr>
            <w:r>
              <w:rPr>
                <w:rFonts w:hint="eastAsia"/>
              </w:rPr>
              <w:t>0</w:t>
            </w:r>
          </w:p>
        </w:tc>
        <w:tc>
          <w:tcPr>
            <w:tcW w:w="567" w:type="pct"/>
            <w:noWrap/>
            <w:vAlign w:val="bottom"/>
          </w:tcPr>
          <w:p w14:paraId="635931DB">
            <w:pPr>
              <w:pStyle w:val="133"/>
            </w:pPr>
            <w:r>
              <w:rPr>
                <w:rFonts w:hint="eastAsia"/>
              </w:rPr>
              <w:t>9.08</w:t>
            </w:r>
          </w:p>
        </w:tc>
        <w:tc>
          <w:tcPr>
            <w:tcW w:w="567" w:type="pct"/>
            <w:noWrap/>
            <w:vAlign w:val="bottom"/>
          </w:tcPr>
          <w:p w14:paraId="6FDA91CC">
            <w:pPr>
              <w:pStyle w:val="133"/>
            </w:pPr>
            <w:r>
              <w:rPr>
                <w:rFonts w:hint="eastAsia"/>
              </w:rPr>
              <w:t>0.94</w:t>
            </w:r>
          </w:p>
        </w:tc>
        <w:tc>
          <w:tcPr>
            <w:tcW w:w="791" w:type="pct"/>
            <w:noWrap/>
            <w:vAlign w:val="center"/>
          </w:tcPr>
          <w:p w14:paraId="2F1826E3">
            <w:pPr>
              <w:pStyle w:val="133"/>
            </w:pPr>
            <w:r>
              <w:rPr>
                <w:rFonts w:hint="eastAsia"/>
              </w:rPr>
              <w:t>60×60</w:t>
            </w:r>
          </w:p>
        </w:tc>
        <w:tc>
          <w:tcPr>
            <w:tcW w:w="735" w:type="pct"/>
            <w:noWrap/>
          </w:tcPr>
          <w:p w14:paraId="4C989BF8">
            <w:pPr>
              <w:pStyle w:val="133"/>
            </w:pPr>
            <w:r>
              <w:rPr>
                <w:rFonts w:hint="eastAsia"/>
              </w:rPr>
              <w:t>10</w:t>
            </w:r>
          </w:p>
        </w:tc>
      </w:tr>
      <w:tr w14:paraId="3B93C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987" w:type="pct"/>
            <w:noWrap/>
            <w:vAlign w:val="center"/>
          </w:tcPr>
          <w:p w14:paraId="5D253FF3">
            <w:pPr>
              <w:pStyle w:val="133"/>
            </w:pPr>
            <w:r>
              <w:rPr>
                <w:rFonts w:cs="Times New Roman"/>
              </w:rPr>
              <w:t>兰炭棚</w:t>
            </w:r>
          </w:p>
        </w:tc>
        <w:tc>
          <w:tcPr>
            <w:tcW w:w="667" w:type="pct"/>
            <w:noWrap/>
            <w:vAlign w:val="bottom"/>
          </w:tcPr>
          <w:p w14:paraId="79133CEB">
            <w:pPr>
              <w:pStyle w:val="133"/>
            </w:pPr>
            <w:r>
              <w:rPr>
                <w:rFonts w:hint="eastAsia"/>
              </w:rPr>
              <w:t>26.28</w:t>
            </w:r>
          </w:p>
        </w:tc>
        <w:tc>
          <w:tcPr>
            <w:tcW w:w="685" w:type="pct"/>
            <w:noWrap/>
            <w:vAlign w:val="bottom"/>
          </w:tcPr>
          <w:p w14:paraId="7214F5EF">
            <w:pPr>
              <w:pStyle w:val="133"/>
            </w:pPr>
            <w:r>
              <w:rPr>
                <w:rFonts w:hint="eastAsia"/>
              </w:rPr>
              <w:t>289.86</w:t>
            </w:r>
          </w:p>
        </w:tc>
        <w:tc>
          <w:tcPr>
            <w:tcW w:w="567" w:type="pct"/>
            <w:noWrap/>
            <w:vAlign w:val="bottom"/>
          </w:tcPr>
          <w:p w14:paraId="292BC7B0">
            <w:pPr>
              <w:pStyle w:val="133"/>
            </w:pPr>
            <w:r>
              <w:rPr>
                <w:rFonts w:hint="eastAsia"/>
              </w:rPr>
              <w:t>316.13</w:t>
            </w:r>
          </w:p>
        </w:tc>
        <w:tc>
          <w:tcPr>
            <w:tcW w:w="567" w:type="pct"/>
            <w:noWrap/>
            <w:vAlign w:val="bottom"/>
          </w:tcPr>
          <w:p w14:paraId="0F987A24">
            <w:pPr>
              <w:pStyle w:val="133"/>
            </w:pPr>
            <w:r>
              <w:rPr>
                <w:rFonts w:hint="eastAsia"/>
              </w:rPr>
              <w:t>3.16</w:t>
            </w:r>
          </w:p>
        </w:tc>
        <w:tc>
          <w:tcPr>
            <w:tcW w:w="791" w:type="pct"/>
            <w:noWrap/>
            <w:vAlign w:val="center"/>
          </w:tcPr>
          <w:p w14:paraId="67926A54">
            <w:pPr>
              <w:pStyle w:val="133"/>
            </w:pPr>
            <w:r>
              <w:rPr>
                <w:rFonts w:hint="eastAsia"/>
              </w:rPr>
              <w:t>82</w:t>
            </w:r>
            <w:r>
              <w:t>×</w:t>
            </w:r>
            <w:r>
              <w:rPr>
                <w:rFonts w:hint="eastAsia"/>
              </w:rPr>
              <w:t>98</w:t>
            </w:r>
          </w:p>
        </w:tc>
        <w:tc>
          <w:tcPr>
            <w:tcW w:w="735" w:type="pct"/>
            <w:noWrap/>
          </w:tcPr>
          <w:p w14:paraId="7705FBA5">
            <w:pPr>
              <w:pStyle w:val="133"/>
            </w:pPr>
            <w:r>
              <w:rPr>
                <w:rFonts w:hint="eastAsia"/>
              </w:rPr>
              <w:t>10</w:t>
            </w:r>
          </w:p>
        </w:tc>
      </w:tr>
      <w:tr w14:paraId="38EA4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2906" w:type="pct"/>
            <w:gridSpan w:val="4"/>
            <w:noWrap/>
            <w:vAlign w:val="bottom"/>
          </w:tcPr>
          <w:p w14:paraId="306D4FEB">
            <w:pPr>
              <w:pStyle w:val="133"/>
            </w:pPr>
            <w:r>
              <w:rPr>
                <w:rFonts w:hint="eastAsia"/>
              </w:rPr>
              <w:t>合计</w:t>
            </w:r>
          </w:p>
        </w:tc>
        <w:tc>
          <w:tcPr>
            <w:tcW w:w="567" w:type="pct"/>
            <w:noWrap/>
            <w:vAlign w:val="bottom"/>
          </w:tcPr>
          <w:p w14:paraId="6C9FA842">
            <w:pPr>
              <w:pStyle w:val="133"/>
            </w:pPr>
            <w:r>
              <w:rPr>
                <w:rFonts w:hint="eastAsia"/>
              </w:rPr>
              <w:t>5.47</w:t>
            </w:r>
          </w:p>
        </w:tc>
        <w:tc>
          <w:tcPr>
            <w:tcW w:w="791" w:type="pct"/>
            <w:noWrap/>
          </w:tcPr>
          <w:p w14:paraId="4406ED87">
            <w:pPr>
              <w:pStyle w:val="133"/>
            </w:pPr>
            <w:r>
              <w:rPr>
                <w:rFonts w:hint="eastAsia"/>
              </w:rPr>
              <w:t>/</w:t>
            </w:r>
          </w:p>
        </w:tc>
        <w:tc>
          <w:tcPr>
            <w:tcW w:w="735" w:type="pct"/>
            <w:noWrap/>
          </w:tcPr>
          <w:p w14:paraId="58D33021">
            <w:pPr>
              <w:pStyle w:val="133"/>
            </w:pPr>
            <w:r>
              <w:rPr>
                <w:rFonts w:hint="eastAsia"/>
              </w:rPr>
              <w:t>/</w:t>
            </w:r>
          </w:p>
        </w:tc>
      </w:tr>
    </w:tbl>
    <w:p w14:paraId="0E61D60B">
      <w:pPr>
        <w:pStyle w:val="133"/>
      </w:pPr>
    </w:p>
    <w:p w14:paraId="5A5D1719">
      <w:pPr>
        <w:ind w:firstLine="480"/>
      </w:pPr>
      <w:r>
        <w:rPr>
          <w:rFonts w:hint="eastAsia" w:ascii="宋体" w:hAnsi="宋体"/>
        </w:rPr>
        <w:t>②</w:t>
      </w:r>
      <w:r>
        <w:rPr>
          <w:rFonts w:hint="eastAsia"/>
        </w:rPr>
        <w:t>生产车间污染物无组织排放源</w:t>
      </w:r>
    </w:p>
    <w:p w14:paraId="404BEF47">
      <w:pPr>
        <w:ind w:firstLine="480"/>
      </w:pPr>
      <w:r>
        <w:rPr>
          <w:rFonts w:hint="eastAsia"/>
        </w:rPr>
        <w:t>改造完成后，硅铁合金生产线现有配料上料间、熔炼车间、铸造车间及成品破碎车间的无组织排放量作为硅铁合金生产线替代污染物无组织排放污染源。</w:t>
      </w:r>
    </w:p>
    <w:p w14:paraId="3C273E6D">
      <w:pPr>
        <w:ind w:firstLine="480"/>
      </w:pPr>
      <w:r>
        <w:rPr>
          <w:rFonts w:hint="eastAsia"/>
        </w:rPr>
        <w:t>源强核算类比现有工程污染物排放例行检测情况，综合集气罩集气效率与密闭车间降尘效果</w:t>
      </w:r>
      <w:r>
        <w:t>。</w:t>
      </w:r>
      <w:r>
        <w:rPr>
          <w:rFonts w:hint="eastAsia"/>
        </w:rPr>
        <w:t>硅铁合金生产线现有工程生产车间污染物无组织排放源强核算结果，见表3.4-13。</w:t>
      </w:r>
    </w:p>
    <w:p w14:paraId="4892A7F3">
      <w:pPr>
        <w:pStyle w:val="118"/>
        <w:rPr>
          <w:rStyle w:val="802"/>
          <w:rFonts w:ascii="Times New Roman" w:hAnsi="Times New Roman"/>
          <w:b/>
          <w:bCs/>
        </w:rPr>
      </w:pPr>
      <w:r>
        <w:t>表</w:t>
      </w:r>
      <w:r>
        <w:rPr>
          <w:rFonts w:hint="eastAsia"/>
        </w:rPr>
        <w:t>3.4-13</w:t>
      </w:r>
      <w:r>
        <w:t xml:space="preserve">  </w:t>
      </w:r>
      <w:r>
        <w:rPr>
          <w:rFonts w:hint="eastAsia"/>
        </w:rPr>
        <w:t>替代车间</w:t>
      </w:r>
      <w:r>
        <w:t>无组织排放污染物核算结果汇总表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6"/>
        <w:gridCol w:w="1522"/>
        <w:gridCol w:w="873"/>
        <w:gridCol w:w="1089"/>
        <w:gridCol w:w="1089"/>
        <w:gridCol w:w="1116"/>
        <w:gridCol w:w="1089"/>
        <w:gridCol w:w="1088"/>
      </w:tblGrid>
      <w:tr w14:paraId="67FFB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385" w:type="pct"/>
            <w:noWrap/>
            <w:vAlign w:val="center"/>
          </w:tcPr>
          <w:p w14:paraId="3D41F2A3">
            <w:pPr>
              <w:pStyle w:val="133"/>
              <w:rPr>
                <w:rFonts w:cs="Times New Roman"/>
                <w:b/>
                <w:bCs/>
              </w:rPr>
            </w:pPr>
            <w:r>
              <w:rPr>
                <w:rFonts w:hint="eastAsia" w:cs="Times New Roman"/>
                <w:b/>
                <w:bCs/>
              </w:rPr>
              <w:t>编号</w:t>
            </w:r>
          </w:p>
        </w:tc>
        <w:tc>
          <w:tcPr>
            <w:tcW w:w="893" w:type="pct"/>
            <w:vAlign w:val="center"/>
          </w:tcPr>
          <w:p w14:paraId="26063D7E">
            <w:pPr>
              <w:pStyle w:val="133"/>
              <w:rPr>
                <w:rFonts w:cs="Times New Roman"/>
                <w:b/>
                <w:bCs/>
              </w:rPr>
            </w:pPr>
            <w:r>
              <w:rPr>
                <w:rFonts w:cs="Times New Roman"/>
                <w:b/>
                <w:bCs/>
              </w:rPr>
              <w:t>车间</w:t>
            </w:r>
            <w:r>
              <w:rPr>
                <w:rFonts w:hint="eastAsia" w:cs="Times New Roman"/>
                <w:b/>
                <w:bCs/>
              </w:rPr>
              <w:t>/装置区</w:t>
            </w:r>
          </w:p>
        </w:tc>
        <w:tc>
          <w:tcPr>
            <w:tcW w:w="512" w:type="pct"/>
            <w:noWrap/>
            <w:vAlign w:val="center"/>
          </w:tcPr>
          <w:p w14:paraId="5871E24A">
            <w:pPr>
              <w:pStyle w:val="133"/>
              <w:rPr>
                <w:rFonts w:cs="Times New Roman"/>
                <w:b/>
                <w:bCs/>
              </w:rPr>
            </w:pPr>
            <w:r>
              <w:rPr>
                <w:rFonts w:cs="Times New Roman"/>
                <w:b/>
                <w:bCs/>
              </w:rPr>
              <w:t>颗粒物</w:t>
            </w:r>
          </w:p>
          <w:p w14:paraId="240310B8">
            <w:pPr>
              <w:pStyle w:val="133"/>
              <w:rPr>
                <w:rFonts w:cs="Times New Roman"/>
                <w:b/>
                <w:bCs/>
              </w:rPr>
            </w:pPr>
            <w:r>
              <w:rPr>
                <w:rFonts w:cs="Times New Roman"/>
                <w:b/>
                <w:bCs/>
              </w:rPr>
              <w:t>（t/a）</w:t>
            </w:r>
          </w:p>
        </w:tc>
        <w:tc>
          <w:tcPr>
            <w:tcW w:w="639" w:type="pct"/>
            <w:vAlign w:val="center"/>
          </w:tcPr>
          <w:p w14:paraId="24A52289">
            <w:pPr>
              <w:pStyle w:val="133"/>
              <w:rPr>
                <w:rFonts w:cs="Times New Roman"/>
                <w:b/>
                <w:bCs/>
              </w:rPr>
            </w:pPr>
            <w:r>
              <w:rPr>
                <w:rFonts w:cs="Times New Roman"/>
                <w:b/>
                <w:bCs/>
              </w:rPr>
              <w:t>二氧化硫</w:t>
            </w:r>
          </w:p>
          <w:p w14:paraId="6E2AA461">
            <w:pPr>
              <w:pStyle w:val="133"/>
              <w:rPr>
                <w:rFonts w:cs="Times New Roman"/>
                <w:b/>
                <w:bCs/>
              </w:rPr>
            </w:pPr>
            <w:r>
              <w:rPr>
                <w:rFonts w:cs="Times New Roman"/>
                <w:b/>
                <w:bCs/>
              </w:rPr>
              <w:t>（t/a）</w:t>
            </w:r>
          </w:p>
        </w:tc>
        <w:tc>
          <w:tcPr>
            <w:tcW w:w="639" w:type="pct"/>
          </w:tcPr>
          <w:p w14:paraId="74F1096F">
            <w:pPr>
              <w:pStyle w:val="133"/>
              <w:rPr>
                <w:rFonts w:cs="Times New Roman"/>
                <w:b/>
                <w:bCs/>
              </w:rPr>
            </w:pPr>
            <w:r>
              <w:rPr>
                <w:rFonts w:hint="eastAsia" w:cs="Times New Roman"/>
                <w:b/>
                <w:bCs/>
              </w:rPr>
              <w:t>氮氧化物</w:t>
            </w:r>
          </w:p>
          <w:p w14:paraId="5E03CC40">
            <w:pPr>
              <w:pStyle w:val="133"/>
              <w:rPr>
                <w:rFonts w:cs="Times New Roman"/>
                <w:b/>
                <w:bCs/>
              </w:rPr>
            </w:pPr>
            <w:r>
              <w:rPr>
                <w:rFonts w:cs="Times New Roman"/>
                <w:b/>
                <w:bCs/>
              </w:rPr>
              <w:t>（t/a）</w:t>
            </w:r>
          </w:p>
        </w:tc>
        <w:tc>
          <w:tcPr>
            <w:tcW w:w="655" w:type="pct"/>
            <w:noWrap/>
            <w:vAlign w:val="center"/>
          </w:tcPr>
          <w:p w14:paraId="52BFA6DD">
            <w:pPr>
              <w:pStyle w:val="133"/>
              <w:rPr>
                <w:rFonts w:cs="Times New Roman"/>
                <w:b/>
                <w:bCs/>
              </w:rPr>
            </w:pPr>
            <w:r>
              <w:rPr>
                <w:rFonts w:cs="Times New Roman"/>
                <w:b/>
                <w:bCs/>
              </w:rPr>
              <w:t>面源面积</w:t>
            </w:r>
          </w:p>
          <w:p w14:paraId="1D71508B">
            <w:pPr>
              <w:pStyle w:val="133"/>
              <w:rPr>
                <w:rFonts w:cs="Times New Roman"/>
                <w:b/>
                <w:bCs/>
              </w:rPr>
            </w:pPr>
            <w:r>
              <w:rPr>
                <w:rFonts w:cs="Times New Roman"/>
                <w:b/>
                <w:bCs/>
              </w:rPr>
              <w:t>（m×m）</w:t>
            </w:r>
          </w:p>
        </w:tc>
        <w:tc>
          <w:tcPr>
            <w:tcW w:w="639" w:type="pct"/>
            <w:noWrap/>
            <w:vAlign w:val="center"/>
          </w:tcPr>
          <w:p w14:paraId="1F2B9953">
            <w:pPr>
              <w:pStyle w:val="133"/>
              <w:rPr>
                <w:rFonts w:cs="Times New Roman"/>
                <w:b/>
                <w:bCs/>
              </w:rPr>
            </w:pPr>
            <w:r>
              <w:rPr>
                <w:rFonts w:cs="Times New Roman"/>
                <w:b/>
                <w:bCs/>
              </w:rPr>
              <w:t>面源高度</w:t>
            </w:r>
          </w:p>
          <w:p w14:paraId="66A5BACD">
            <w:pPr>
              <w:pStyle w:val="133"/>
              <w:rPr>
                <w:rFonts w:cs="Times New Roman"/>
                <w:b/>
                <w:bCs/>
              </w:rPr>
            </w:pPr>
            <w:r>
              <w:rPr>
                <w:rFonts w:cs="Times New Roman"/>
                <w:b/>
                <w:bCs/>
              </w:rPr>
              <w:t>（m）</w:t>
            </w:r>
          </w:p>
        </w:tc>
        <w:tc>
          <w:tcPr>
            <w:tcW w:w="638" w:type="pct"/>
            <w:noWrap/>
            <w:vAlign w:val="center"/>
          </w:tcPr>
          <w:p w14:paraId="7EFC2668">
            <w:pPr>
              <w:pStyle w:val="133"/>
              <w:rPr>
                <w:rFonts w:cs="Times New Roman"/>
                <w:b/>
                <w:bCs/>
              </w:rPr>
            </w:pPr>
            <w:r>
              <w:rPr>
                <w:rFonts w:cs="Times New Roman"/>
                <w:b/>
                <w:bCs/>
              </w:rPr>
              <w:t>排放时间</w:t>
            </w:r>
          </w:p>
          <w:p w14:paraId="2A5A5F1D">
            <w:pPr>
              <w:pStyle w:val="133"/>
              <w:rPr>
                <w:rFonts w:cs="Times New Roman"/>
                <w:b/>
                <w:bCs/>
              </w:rPr>
            </w:pPr>
            <w:r>
              <w:rPr>
                <w:rFonts w:cs="Times New Roman"/>
                <w:b/>
                <w:bCs/>
              </w:rPr>
              <w:t>（h）</w:t>
            </w:r>
          </w:p>
        </w:tc>
      </w:tr>
      <w:tr w14:paraId="5DEC8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noWrap/>
            <w:vAlign w:val="center"/>
          </w:tcPr>
          <w:p w14:paraId="57C6F695">
            <w:pPr>
              <w:pStyle w:val="133"/>
              <w:rPr>
                <w:rFonts w:cs="Times New Roman"/>
              </w:rPr>
            </w:pPr>
            <w:r>
              <w:rPr>
                <w:rFonts w:hint="eastAsia"/>
              </w:rPr>
              <w:t>1</w:t>
            </w:r>
          </w:p>
        </w:tc>
        <w:tc>
          <w:tcPr>
            <w:tcW w:w="893" w:type="pct"/>
            <w:vAlign w:val="center"/>
          </w:tcPr>
          <w:p w14:paraId="06EE8621">
            <w:pPr>
              <w:pStyle w:val="133"/>
              <w:rPr>
                <w:rFonts w:cs="Times New Roman"/>
              </w:rPr>
            </w:pPr>
            <w:r>
              <w:rPr>
                <w:rFonts w:hint="eastAsia" w:ascii="宋体" w:hAnsi="宋体"/>
                <w:szCs w:val="21"/>
              </w:rPr>
              <w:t>硅铁上料</w:t>
            </w:r>
          </w:p>
        </w:tc>
        <w:tc>
          <w:tcPr>
            <w:tcW w:w="512" w:type="pct"/>
            <w:noWrap/>
            <w:vAlign w:val="center"/>
          </w:tcPr>
          <w:p w14:paraId="079C44DB">
            <w:pPr>
              <w:pStyle w:val="133"/>
              <w:rPr>
                <w:rFonts w:cs="Times New Roman"/>
              </w:rPr>
            </w:pPr>
            <w:r>
              <w:rPr>
                <w:rFonts w:hint="eastAsia" w:cs="Times New Roman"/>
              </w:rPr>
              <w:t>0.01</w:t>
            </w:r>
          </w:p>
        </w:tc>
        <w:tc>
          <w:tcPr>
            <w:tcW w:w="639" w:type="pct"/>
          </w:tcPr>
          <w:p w14:paraId="110A4720">
            <w:pPr>
              <w:pStyle w:val="133"/>
              <w:rPr>
                <w:rFonts w:cs="Times New Roman"/>
              </w:rPr>
            </w:pPr>
          </w:p>
        </w:tc>
        <w:tc>
          <w:tcPr>
            <w:tcW w:w="639" w:type="pct"/>
          </w:tcPr>
          <w:p w14:paraId="525747A1">
            <w:pPr>
              <w:pStyle w:val="133"/>
              <w:rPr>
                <w:rFonts w:cs="Times New Roman"/>
              </w:rPr>
            </w:pPr>
          </w:p>
        </w:tc>
        <w:tc>
          <w:tcPr>
            <w:tcW w:w="655" w:type="pct"/>
            <w:noWrap/>
            <w:vAlign w:val="center"/>
          </w:tcPr>
          <w:p w14:paraId="7963BD62">
            <w:pPr>
              <w:pStyle w:val="133"/>
              <w:rPr>
                <w:rFonts w:cs="Times New Roman"/>
              </w:rPr>
            </w:pPr>
            <w:r>
              <w:rPr>
                <w:rFonts w:cs="Times New Roman"/>
              </w:rPr>
              <w:t>35</w:t>
            </w:r>
            <w:r>
              <w:rPr>
                <w:rFonts w:hint="eastAsia" w:cs="Times New Roman"/>
              </w:rPr>
              <w:t>×</w:t>
            </w:r>
            <w:r>
              <w:rPr>
                <w:rFonts w:cs="Times New Roman"/>
              </w:rPr>
              <w:t>10</w:t>
            </w:r>
          </w:p>
        </w:tc>
        <w:tc>
          <w:tcPr>
            <w:tcW w:w="639" w:type="pct"/>
            <w:noWrap/>
            <w:vAlign w:val="center"/>
          </w:tcPr>
          <w:p w14:paraId="026546E6">
            <w:pPr>
              <w:pStyle w:val="133"/>
              <w:rPr>
                <w:rFonts w:cs="Times New Roman"/>
              </w:rPr>
            </w:pPr>
            <w:r>
              <w:rPr>
                <w:rFonts w:hint="eastAsia" w:cs="Times New Roman"/>
              </w:rPr>
              <w:t>10</w:t>
            </w:r>
          </w:p>
        </w:tc>
        <w:tc>
          <w:tcPr>
            <w:tcW w:w="638" w:type="pct"/>
            <w:noWrap/>
            <w:vAlign w:val="center"/>
          </w:tcPr>
          <w:p w14:paraId="025DA76C">
            <w:pPr>
              <w:pStyle w:val="133"/>
              <w:rPr>
                <w:rFonts w:cs="Times New Roman"/>
              </w:rPr>
            </w:pPr>
            <w:r>
              <w:rPr>
                <w:rFonts w:hint="eastAsia" w:cs="Times New Roman"/>
              </w:rPr>
              <w:t>4000</w:t>
            </w:r>
          </w:p>
        </w:tc>
      </w:tr>
      <w:tr w14:paraId="585B3D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noWrap/>
            <w:vAlign w:val="center"/>
          </w:tcPr>
          <w:p w14:paraId="55141E29">
            <w:pPr>
              <w:pStyle w:val="133"/>
              <w:rPr>
                <w:rFonts w:cs="Times New Roman"/>
              </w:rPr>
            </w:pPr>
            <w:r>
              <w:rPr>
                <w:rFonts w:hint="eastAsia"/>
              </w:rPr>
              <w:t>2</w:t>
            </w:r>
          </w:p>
        </w:tc>
        <w:tc>
          <w:tcPr>
            <w:tcW w:w="893" w:type="pct"/>
            <w:vAlign w:val="center"/>
          </w:tcPr>
          <w:p w14:paraId="7FD5E9FA">
            <w:pPr>
              <w:pStyle w:val="133"/>
              <w:rPr>
                <w:rFonts w:cs="Times New Roman"/>
              </w:rPr>
            </w:pPr>
            <w:r>
              <w:rPr>
                <w:rFonts w:hint="eastAsia" w:ascii="宋体" w:hAnsi="宋体"/>
                <w:szCs w:val="21"/>
              </w:rPr>
              <w:t>矿热炉</w:t>
            </w:r>
          </w:p>
        </w:tc>
        <w:tc>
          <w:tcPr>
            <w:tcW w:w="512" w:type="pct"/>
            <w:noWrap/>
            <w:vAlign w:val="center"/>
          </w:tcPr>
          <w:p w14:paraId="4C7E08EA">
            <w:pPr>
              <w:pStyle w:val="133"/>
              <w:rPr>
                <w:rFonts w:cs="Times New Roman"/>
              </w:rPr>
            </w:pPr>
            <w:r>
              <w:rPr>
                <w:rFonts w:hint="eastAsia" w:cs="Times New Roman"/>
              </w:rPr>
              <w:t>0.57</w:t>
            </w:r>
          </w:p>
        </w:tc>
        <w:tc>
          <w:tcPr>
            <w:tcW w:w="639" w:type="pct"/>
          </w:tcPr>
          <w:p w14:paraId="1A28E4D5">
            <w:pPr>
              <w:pStyle w:val="133"/>
              <w:rPr>
                <w:rFonts w:cs="Times New Roman"/>
              </w:rPr>
            </w:pPr>
            <w:r>
              <w:rPr>
                <w:rFonts w:hint="eastAsia" w:cs="Times New Roman"/>
              </w:rPr>
              <w:t>2.07</w:t>
            </w:r>
          </w:p>
        </w:tc>
        <w:tc>
          <w:tcPr>
            <w:tcW w:w="639" w:type="pct"/>
          </w:tcPr>
          <w:p w14:paraId="2DDF8178">
            <w:pPr>
              <w:pStyle w:val="133"/>
              <w:rPr>
                <w:rFonts w:cs="Times New Roman"/>
              </w:rPr>
            </w:pPr>
            <w:r>
              <w:rPr>
                <w:rFonts w:hint="eastAsia" w:cs="Times New Roman"/>
              </w:rPr>
              <w:t>1.20</w:t>
            </w:r>
          </w:p>
        </w:tc>
        <w:tc>
          <w:tcPr>
            <w:tcW w:w="655" w:type="pct"/>
            <w:noWrap/>
            <w:vAlign w:val="center"/>
          </w:tcPr>
          <w:p w14:paraId="72769402">
            <w:pPr>
              <w:pStyle w:val="133"/>
              <w:rPr>
                <w:rFonts w:cs="Times New Roman"/>
              </w:rPr>
            </w:pPr>
            <w:r>
              <w:rPr>
                <w:rFonts w:cs="Times New Roman"/>
              </w:rPr>
              <w:t>37</w:t>
            </w:r>
            <w:r>
              <w:rPr>
                <w:rFonts w:hint="eastAsia" w:cs="Times New Roman"/>
              </w:rPr>
              <w:t>×</w:t>
            </w:r>
            <w:r>
              <w:rPr>
                <w:rFonts w:cs="Times New Roman"/>
              </w:rPr>
              <w:t>80</w:t>
            </w:r>
          </w:p>
        </w:tc>
        <w:tc>
          <w:tcPr>
            <w:tcW w:w="639" w:type="pct"/>
            <w:noWrap/>
            <w:vAlign w:val="center"/>
          </w:tcPr>
          <w:p w14:paraId="4A191281">
            <w:pPr>
              <w:pStyle w:val="133"/>
              <w:rPr>
                <w:rFonts w:cs="Times New Roman"/>
              </w:rPr>
            </w:pPr>
            <w:r>
              <w:rPr>
                <w:rFonts w:hint="eastAsia" w:cs="Times New Roman"/>
              </w:rPr>
              <w:t>10</w:t>
            </w:r>
          </w:p>
        </w:tc>
        <w:tc>
          <w:tcPr>
            <w:tcW w:w="638" w:type="pct"/>
            <w:noWrap/>
            <w:vAlign w:val="center"/>
          </w:tcPr>
          <w:p w14:paraId="3EE7A96B">
            <w:pPr>
              <w:pStyle w:val="133"/>
              <w:rPr>
                <w:rFonts w:cs="Times New Roman"/>
              </w:rPr>
            </w:pPr>
            <w:r>
              <w:rPr>
                <w:rFonts w:hint="eastAsia" w:cs="Times New Roman"/>
              </w:rPr>
              <w:t>7920</w:t>
            </w:r>
          </w:p>
        </w:tc>
      </w:tr>
      <w:tr w14:paraId="37F5F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noWrap/>
            <w:vAlign w:val="center"/>
          </w:tcPr>
          <w:p w14:paraId="3F511482">
            <w:pPr>
              <w:pStyle w:val="133"/>
              <w:rPr>
                <w:rFonts w:cs="Times New Roman"/>
              </w:rPr>
            </w:pPr>
            <w:r>
              <w:rPr>
                <w:rFonts w:hint="eastAsia"/>
              </w:rPr>
              <w:t>3</w:t>
            </w:r>
          </w:p>
        </w:tc>
        <w:tc>
          <w:tcPr>
            <w:tcW w:w="893" w:type="pct"/>
            <w:vAlign w:val="center"/>
          </w:tcPr>
          <w:p w14:paraId="248C8DC1">
            <w:pPr>
              <w:pStyle w:val="133"/>
              <w:rPr>
                <w:rFonts w:cs="Times New Roman"/>
              </w:rPr>
            </w:pPr>
            <w:r>
              <w:rPr>
                <w:rFonts w:hint="eastAsia" w:ascii="宋体" w:hAnsi="宋体"/>
                <w:szCs w:val="21"/>
              </w:rPr>
              <w:t>出铁浇铸</w:t>
            </w:r>
          </w:p>
        </w:tc>
        <w:tc>
          <w:tcPr>
            <w:tcW w:w="512" w:type="pct"/>
            <w:noWrap/>
            <w:vAlign w:val="center"/>
          </w:tcPr>
          <w:p w14:paraId="3F26E660">
            <w:pPr>
              <w:pStyle w:val="133"/>
              <w:rPr>
                <w:rFonts w:cs="Times New Roman"/>
              </w:rPr>
            </w:pPr>
            <w:r>
              <w:rPr>
                <w:rFonts w:hint="eastAsia" w:cs="Times New Roman"/>
              </w:rPr>
              <w:t>0.11</w:t>
            </w:r>
          </w:p>
        </w:tc>
        <w:tc>
          <w:tcPr>
            <w:tcW w:w="639" w:type="pct"/>
          </w:tcPr>
          <w:p w14:paraId="5260D2BB">
            <w:pPr>
              <w:pStyle w:val="133"/>
              <w:rPr>
                <w:rFonts w:cs="Times New Roman"/>
              </w:rPr>
            </w:pPr>
          </w:p>
        </w:tc>
        <w:tc>
          <w:tcPr>
            <w:tcW w:w="639" w:type="pct"/>
          </w:tcPr>
          <w:p w14:paraId="67813250">
            <w:pPr>
              <w:pStyle w:val="133"/>
              <w:rPr>
                <w:rFonts w:cs="Times New Roman"/>
              </w:rPr>
            </w:pPr>
          </w:p>
        </w:tc>
        <w:tc>
          <w:tcPr>
            <w:tcW w:w="655" w:type="pct"/>
            <w:noWrap/>
            <w:vAlign w:val="center"/>
          </w:tcPr>
          <w:p w14:paraId="627413DB">
            <w:pPr>
              <w:pStyle w:val="133"/>
              <w:rPr>
                <w:rFonts w:cs="Times New Roman"/>
              </w:rPr>
            </w:pPr>
            <w:r>
              <w:rPr>
                <w:rFonts w:cs="Times New Roman"/>
              </w:rPr>
              <w:t>80</w:t>
            </w:r>
            <w:r>
              <w:rPr>
                <w:rFonts w:hint="eastAsia" w:cs="Times New Roman"/>
              </w:rPr>
              <w:t>×</w:t>
            </w:r>
            <w:r>
              <w:rPr>
                <w:rFonts w:cs="Times New Roman"/>
              </w:rPr>
              <w:t>57</w:t>
            </w:r>
          </w:p>
        </w:tc>
        <w:tc>
          <w:tcPr>
            <w:tcW w:w="639" w:type="pct"/>
            <w:noWrap/>
            <w:vAlign w:val="center"/>
          </w:tcPr>
          <w:p w14:paraId="1A2AAEDF">
            <w:pPr>
              <w:pStyle w:val="133"/>
              <w:rPr>
                <w:rFonts w:cs="Times New Roman"/>
              </w:rPr>
            </w:pPr>
            <w:r>
              <w:rPr>
                <w:rFonts w:hint="eastAsia" w:cs="Times New Roman"/>
              </w:rPr>
              <w:t>10</w:t>
            </w:r>
          </w:p>
        </w:tc>
        <w:tc>
          <w:tcPr>
            <w:tcW w:w="638" w:type="pct"/>
            <w:noWrap/>
            <w:vAlign w:val="center"/>
          </w:tcPr>
          <w:p w14:paraId="72837394">
            <w:pPr>
              <w:pStyle w:val="133"/>
              <w:rPr>
                <w:rFonts w:cs="Times New Roman"/>
              </w:rPr>
            </w:pPr>
            <w:r>
              <w:rPr>
                <w:rFonts w:hint="eastAsia" w:cs="Times New Roman"/>
              </w:rPr>
              <w:t>7920</w:t>
            </w:r>
          </w:p>
        </w:tc>
      </w:tr>
      <w:tr w14:paraId="2785D6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noWrap/>
            <w:vAlign w:val="center"/>
          </w:tcPr>
          <w:p w14:paraId="72BAD4B7">
            <w:pPr>
              <w:pStyle w:val="133"/>
              <w:rPr>
                <w:rFonts w:cs="Times New Roman"/>
              </w:rPr>
            </w:pPr>
            <w:r>
              <w:rPr>
                <w:rFonts w:hint="eastAsia"/>
              </w:rPr>
              <w:t>4</w:t>
            </w:r>
          </w:p>
        </w:tc>
        <w:tc>
          <w:tcPr>
            <w:tcW w:w="893" w:type="pct"/>
            <w:vAlign w:val="center"/>
          </w:tcPr>
          <w:p w14:paraId="047F6E10">
            <w:pPr>
              <w:pStyle w:val="133"/>
              <w:rPr>
                <w:rFonts w:cs="Times New Roman"/>
              </w:rPr>
            </w:pPr>
            <w:r>
              <w:rPr>
                <w:rFonts w:hint="eastAsia" w:ascii="宋体" w:hAnsi="宋体"/>
                <w:szCs w:val="21"/>
              </w:rPr>
              <w:t>成品破碎</w:t>
            </w:r>
          </w:p>
        </w:tc>
        <w:tc>
          <w:tcPr>
            <w:tcW w:w="512" w:type="pct"/>
            <w:noWrap/>
            <w:vAlign w:val="center"/>
          </w:tcPr>
          <w:p w14:paraId="27AE1FC6">
            <w:pPr>
              <w:pStyle w:val="133"/>
              <w:rPr>
                <w:rFonts w:cs="Times New Roman"/>
              </w:rPr>
            </w:pPr>
            <w:r>
              <w:rPr>
                <w:rFonts w:hint="eastAsia" w:cs="Times New Roman"/>
              </w:rPr>
              <w:t>0.003</w:t>
            </w:r>
          </w:p>
        </w:tc>
        <w:tc>
          <w:tcPr>
            <w:tcW w:w="639" w:type="pct"/>
          </w:tcPr>
          <w:p w14:paraId="5E05BF1A">
            <w:pPr>
              <w:pStyle w:val="133"/>
              <w:rPr>
                <w:rFonts w:cs="Times New Roman"/>
              </w:rPr>
            </w:pPr>
          </w:p>
        </w:tc>
        <w:tc>
          <w:tcPr>
            <w:tcW w:w="639" w:type="pct"/>
          </w:tcPr>
          <w:p w14:paraId="1D812FEC">
            <w:pPr>
              <w:pStyle w:val="133"/>
              <w:rPr>
                <w:rFonts w:cs="Times New Roman"/>
              </w:rPr>
            </w:pPr>
          </w:p>
        </w:tc>
        <w:tc>
          <w:tcPr>
            <w:tcW w:w="655" w:type="pct"/>
            <w:noWrap/>
            <w:vAlign w:val="center"/>
          </w:tcPr>
          <w:p w14:paraId="001844A9">
            <w:pPr>
              <w:pStyle w:val="133"/>
              <w:rPr>
                <w:rFonts w:cs="Times New Roman"/>
              </w:rPr>
            </w:pPr>
            <w:r>
              <w:rPr>
                <w:rFonts w:cs="Times New Roman"/>
              </w:rPr>
              <w:t>20</w:t>
            </w:r>
            <w:r>
              <w:rPr>
                <w:rFonts w:hint="eastAsia" w:cs="Times New Roman"/>
              </w:rPr>
              <w:t>×</w:t>
            </w:r>
            <w:r>
              <w:rPr>
                <w:rFonts w:cs="Times New Roman"/>
              </w:rPr>
              <w:t>25</w:t>
            </w:r>
          </w:p>
        </w:tc>
        <w:tc>
          <w:tcPr>
            <w:tcW w:w="639" w:type="pct"/>
            <w:noWrap/>
            <w:vAlign w:val="center"/>
          </w:tcPr>
          <w:p w14:paraId="3E0EA54B">
            <w:pPr>
              <w:pStyle w:val="133"/>
              <w:rPr>
                <w:rFonts w:cs="Times New Roman"/>
              </w:rPr>
            </w:pPr>
            <w:r>
              <w:rPr>
                <w:rFonts w:hint="eastAsia" w:cs="Times New Roman"/>
              </w:rPr>
              <w:t>10</w:t>
            </w:r>
          </w:p>
        </w:tc>
        <w:tc>
          <w:tcPr>
            <w:tcW w:w="638" w:type="pct"/>
            <w:noWrap/>
            <w:vAlign w:val="center"/>
          </w:tcPr>
          <w:p w14:paraId="52E7F3EE">
            <w:pPr>
              <w:pStyle w:val="133"/>
              <w:rPr>
                <w:rFonts w:cs="Times New Roman"/>
              </w:rPr>
            </w:pPr>
            <w:r>
              <w:rPr>
                <w:rFonts w:hint="eastAsia" w:cs="Times New Roman"/>
              </w:rPr>
              <w:t>4000</w:t>
            </w:r>
          </w:p>
        </w:tc>
      </w:tr>
      <w:tr w14:paraId="71DA55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385" w:type="pct"/>
            <w:noWrap/>
            <w:vAlign w:val="center"/>
          </w:tcPr>
          <w:p w14:paraId="54730805">
            <w:pPr>
              <w:pStyle w:val="133"/>
              <w:rPr>
                <w:rFonts w:cs="Times New Roman"/>
              </w:rPr>
            </w:pPr>
          </w:p>
        </w:tc>
        <w:tc>
          <w:tcPr>
            <w:tcW w:w="893" w:type="pct"/>
          </w:tcPr>
          <w:p w14:paraId="5C079596">
            <w:pPr>
              <w:pStyle w:val="133"/>
              <w:rPr>
                <w:rFonts w:cs="Times New Roman"/>
              </w:rPr>
            </w:pPr>
            <w:r>
              <w:rPr>
                <w:rFonts w:hint="eastAsia" w:cs="Times New Roman"/>
              </w:rPr>
              <w:t>合计</w:t>
            </w:r>
          </w:p>
        </w:tc>
        <w:tc>
          <w:tcPr>
            <w:tcW w:w="512" w:type="pct"/>
            <w:noWrap/>
            <w:vAlign w:val="center"/>
          </w:tcPr>
          <w:p w14:paraId="2A02794E">
            <w:pPr>
              <w:pStyle w:val="133"/>
              <w:rPr>
                <w:rFonts w:cs="Times New Roman"/>
              </w:rPr>
            </w:pPr>
            <w:r>
              <w:rPr>
                <w:rFonts w:hint="eastAsia" w:cs="Times New Roman"/>
              </w:rPr>
              <w:t>0.69</w:t>
            </w:r>
          </w:p>
        </w:tc>
        <w:tc>
          <w:tcPr>
            <w:tcW w:w="639" w:type="pct"/>
          </w:tcPr>
          <w:p w14:paraId="3BF468B2">
            <w:pPr>
              <w:pStyle w:val="133"/>
              <w:rPr>
                <w:rFonts w:cs="Times New Roman"/>
              </w:rPr>
            </w:pPr>
            <w:r>
              <w:rPr>
                <w:rFonts w:hint="eastAsia" w:cs="Times New Roman"/>
              </w:rPr>
              <w:t>2.07</w:t>
            </w:r>
          </w:p>
        </w:tc>
        <w:tc>
          <w:tcPr>
            <w:tcW w:w="639" w:type="pct"/>
          </w:tcPr>
          <w:p w14:paraId="2A6159D2">
            <w:pPr>
              <w:pStyle w:val="133"/>
              <w:rPr>
                <w:rFonts w:cs="Times New Roman"/>
              </w:rPr>
            </w:pPr>
            <w:r>
              <w:rPr>
                <w:rFonts w:hint="eastAsia" w:cs="Times New Roman"/>
              </w:rPr>
              <w:t>1.20</w:t>
            </w:r>
          </w:p>
        </w:tc>
        <w:tc>
          <w:tcPr>
            <w:tcW w:w="655" w:type="pct"/>
            <w:noWrap/>
            <w:vAlign w:val="center"/>
          </w:tcPr>
          <w:p w14:paraId="73BF8901">
            <w:pPr>
              <w:pStyle w:val="133"/>
              <w:rPr>
                <w:rFonts w:cs="Times New Roman"/>
              </w:rPr>
            </w:pPr>
            <w:r>
              <w:rPr>
                <w:rFonts w:hint="eastAsia" w:cs="Times New Roman"/>
              </w:rPr>
              <w:t>/</w:t>
            </w:r>
          </w:p>
        </w:tc>
        <w:tc>
          <w:tcPr>
            <w:tcW w:w="639" w:type="pct"/>
            <w:noWrap/>
            <w:vAlign w:val="center"/>
          </w:tcPr>
          <w:p w14:paraId="15F7E2A7">
            <w:pPr>
              <w:pStyle w:val="133"/>
              <w:rPr>
                <w:rFonts w:cs="Times New Roman"/>
              </w:rPr>
            </w:pPr>
            <w:r>
              <w:rPr>
                <w:rFonts w:hint="eastAsia" w:cs="Times New Roman"/>
              </w:rPr>
              <w:t>/</w:t>
            </w:r>
          </w:p>
        </w:tc>
        <w:tc>
          <w:tcPr>
            <w:tcW w:w="638" w:type="pct"/>
            <w:noWrap/>
            <w:vAlign w:val="center"/>
          </w:tcPr>
          <w:p w14:paraId="61BEDABC">
            <w:pPr>
              <w:pStyle w:val="133"/>
              <w:rPr>
                <w:rFonts w:cs="Times New Roman"/>
              </w:rPr>
            </w:pPr>
            <w:r>
              <w:rPr>
                <w:rFonts w:hint="eastAsia" w:cs="Times New Roman"/>
              </w:rPr>
              <w:t>/</w:t>
            </w:r>
          </w:p>
        </w:tc>
      </w:tr>
    </w:tbl>
    <w:p w14:paraId="6017D54D">
      <w:pPr>
        <w:pStyle w:val="133"/>
      </w:pPr>
    </w:p>
    <w:p w14:paraId="0D5EDA3F">
      <w:pPr>
        <w:pStyle w:val="944"/>
      </w:pPr>
      <w:r>
        <w:t>废水</w:t>
      </w:r>
    </w:p>
    <w:p w14:paraId="0AE74C40">
      <w:pPr>
        <w:ind w:firstLine="480"/>
      </w:pPr>
      <w:bookmarkStart w:id="348" w:name="_Hlk193788913"/>
      <w:r>
        <w:t>余热发电系统排</w:t>
      </w:r>
      <w:bookmarkEnd w:id="348"/>
      <w:r>
        <w:t>水（W</w:t>
      </w:r>
      <w:r>
        <w:rPr>
          <w:rFonts w:hint="eastAsia"/>
        </w:rPr>
        <w:t>2-1</w:t>
      </w:r>
      <w:r>
        <w:t>）</w:t>
      </w:r>
    </w:p>
    <w:p w14:paraId="6664F0EA">
      <w:pPr>
        <w:ind w:firstLine="480"/>
      </w:pPr>
      <w:r>
        <w:t>余热发电系统排水主要余热锅炉排水，锅炉排污水约</w:t>
      </w:r>
      <w:r>
        <w:rPr>
          <w:rFonts w:hint="eastAsia"/>
        </w:rPr>
        <w:t>1</w:t>
      </w:r>
      <w:r>
        <w:t>m³/</w:t>
      </w:r>
      <w:r>
        <w:rPr>
          <w:rFonts w:hint="eastAsia"/>
        </w:rPr>
        <w:t>h</w:t>
      </w:r>
      <w:r>
        <w:t>，主要污染物为COD、SS和TDI，清净水</w:t>
      </w:r>
      <w:r>
        <w:rPr>
          <w:rFonts w:hint="eastAsia"/>
        </w:rPr>
        <w:t>排入厂区废水排水管网。本次技改不新增</w:t>
      </w:r>
      <w:r>
        <w:t>余热发电系统排水</w:t>
      </w:r>
      <w:r>
        <w:rPr>
          <w:rFonts w:hint="eastAsia"/>
        </w:rPr>
        <w:t>。</w:t>
      </w:r>
    </w:p>
    <w:p w14:paraId="497B2DA7">
      <w:pPr>
        <w:pStyle w:val="944"/>
      </w:pPr>
      <w:r>
        <w:t>噪声</w:t>
      </w:r>
    </w:p>
    <w:p w14:paraId="1593480C">
      <w:pPr>
        <w:pStyle w:val="117"/>
        <w:ind w:firstLine="480"/>
        <w:rPr>
          <w:rFonts w:cs="Times New Roman"/>
        </w:rPr>
      </w:pPr>
      <w:r>
        <w:rPr>
          <w:rFonts w:cs="Times New Roman"/>
        </w:rPr>
        <w:t>主要噪声源为各类破碎机、振动筛、机泵、风机等，噪声源强</w:t>
      </w:r>
      <w:r>
        <w:rPr>
          <w:rFonts w:cs="Times New Roman"/>
          <w:u w:color="000000"/>
        </w:rPr>
        <w:t>一般在85～110dB之间，为连续噪声源。主要噪声源及治理情况，见表3.</w:t>
      </w:r>
      <w:r>
        <w:rPr>
          <w:rFonts w:hint="eastAsia" w:cs="Times New Roman"/>
          <w:u w:color="000000"/>
        </w:rPr>
        <w:t>4-14</w:t>
      </w:r>
      <w:r>
        <w:rPr>
          <w:rFonts w:cs="Times New Roman"/>
          <w:u w:color="000000"/>
        </w:rPr>
        <w:t>。</w:t>
      </w:r>
    </w:p>
    <w:p w14:paraId="4E3FA8CF">
      <w:pPr>
        <w:pStyle w:val="118"/>
      </w:pPr>
      <w:r>
        <w:t>表3.</w:t>
      </w:r>
      <w:r>
        <w:rPr>
          <w:rFonts w:hint="eastAsia"/>
        </w:rPr>
        <w:t>4-14</w:t>
      </w:r>
      <w:r>
        <w:t xml:space="preserve">    硅铁合金生产线噪声产生情况一览表</w:t>
      </w:r>
      <w:r>
        <w:rPr>
          <w:rFonts w:hint="eastAsia"/>
        </w:rPr>
        <w:t xml:space="preserve"> </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63"/>
        <w:gridCol w:w="1173"/>
        <w:gridCol w:w="1304"/>
        <w:gridCol w:w="871"/>
        <w:gridCol w:w="1132"/>
        <w:gridCol w:w="2550"/>
        <w:gridCol w:w="929"/>
      </w:tblGrid>
      <w:tr w14:paraId="38E4C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331" w:type="pct"/>
            <w:vAlign w:val="center"/>
          </w:tcPr>
          <w:p w14:paraId="7B3BECBB">
            <w:pPr>
              <w:pStyle w:val="133"/>
              <w:rPr>
                <w:b/>
                <w:bCs/>
              </w:rPr>
            </w:pPr>
            <w:r>
              <w:rPr>
                <w:b/>
                <w:bCs/>
              </w:rPr>
              <w:t>序号</w:t>
            </w:r>
          </w:p>
        </w:tc>
        <w:tc>
          <w:tcPr>
            <w:tcW w:w="688" w:type="pct"/>
            <w:vAlign w:val="center"/>
          </w:tcPr>
          <w:p w14:paraId="44F5B27A">
            <w:pPr>
              <w:pStyle w:val="133"/>
              <w:rPr>
                <w:b/>
                <w:bCs/>
              </w:rPr>
            </w:pPr>
            <w:r>
              <w:rPr>
                <w:b/>
                <w:bCs/>
              </w:rPr>
              <w:t>装置区</w:t>
            </w:r>
          </w:p>
        </w:tc>
        <w:tc>
          <w:tcPr>
            <w:tcW w:w="765" w:type="pct"/>
            <w:vAlign w:val="center"/>
          </w:tcPr>
          <w:p w14:paraId="20CCC591">
            <w:pPr>
              <w:pStyle w:val="133"/>
              <w:rPr>
                <w:b/>
                <w:bCs/>
              </w:rPr>
            </w:pPr>
            <w:r>
              <w:rPr>
                <w:b/>
                <w:bCs/>
              </w:rPr>
              <w:t>设备名称</w:t>
            </w:r>
          </w:p>
        </w:tc>
        <w:tc>
          <w:tcPr>
            <w:tcW w:w="511" w:type="pct"/>
            <w:vAlign w:val="center"/>
          </w:tcPr>
          <w:p w14:paraId="6AC41DF2">
            <w:pPr>
              <w:pStyle w:val="133"/>
              <w:rPr>
                <w:b/>
                <w:bCs/>
              </w:rPr>
            </w:pPr>
            <w:r>
              <w:rPr>
                <w:b/>
                <w:bCs/>
              </w:rPr>
              <w:t>设备数量（台）</w:t>
            </w:r>
          </w:p>
        </w:tc>
        <w:tc>
          <w:tcPr>
            <w:tcW w:w="664" w:type="pct"/>
            <w:vAlign w:val="center"/>
          </w:tcPr>
          <w:p w14:paraId="00BDB7B1">
            <w:pPr>
              <w:pStyle w:val="133"/>
              <w:rPr>
                <w:b/>
                <w:bCs/>
              </w:rPr>
            </w:pPr>
            <w:r>
              <w:rPr>
                <w:b/>
                <w:bCs/>
              </w:rPr>
              <w:t>初始声压级dB（A）</w:t>
            </w:r>
          </w:p>
        </w:tc>
        <w:tc>
          <w:tcPr>
            <w:tcW w:w="1496" w:type="pct"/>
            <w:vAlign w:val="center"/>
          </w:tcPr>
          <w:p w14:paraId="093CAEA3">
            <w:pPr>
              <w:pStyle w:val="133"/>
              <w:rPr>
                <w:b/>
                <w:bCs/>
              </w:rPr>
            </w:pPr>
            <w:r>
              <w:rPr>
                <w:b/>
                <w:bCs/>
              </w:rPr>
              <w:t>采取的</w:t>
            </w:r>
          </w:p>
          <w:p w14:paraId="78045291">
            <w:pPr>
              <w:pStyle w:val="133"/>
              <w:rPr>
                <w:b/>
                <w:bCs/>
              </w:rPr>
            </w:pPr>
            <w:r>
              <w:rPr>
                <w:b/>
                <w:bCs/>
              </w:rPr>
              <w:t>隔声措施</w:t>
            </w:r>
          </w:p>
        </w:tc>
        <w:tc>
          <w:tcPr>
            <w:tcW w:w="545" w:type="pct"/>
            <w:vAlign w:val="center"/>
          </w:tcPr>
          <w:p w14:paraId="58E08896">
            <w:pPr>
              <w:pStyle w:val="133"/>
              <w:rPr>
                <w:b/>
                <w:bCs/>
              </w:rPr>
            </w:pPr>
            <w:r>
              <w:rPr>
                <w:b/>
                <w:bCs/>
              </w:rPr>
              <w:t>降噪后声压级dB（A）</w:t>
            </w:r>
          </w:p>
        </w:tc>
      </w:tr>
      <w:tr w14:paraId="310DA9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3BB7C7EE">
            <w:pPr>
              <w:pStyle w:val="133"/>
            </w:pPr>
            <w:r>
              <w:rPr>
                <w:rFonts w:hint="eastAsia"/>
              </w:rPr>
              <w:t>1</w:t>
            </w:r>
          </w:p>
        </w:tc>
        <w:tc>
          <w:tcPr>
            <w:tcW w:w="688" w:type="pct"/>
            <w:vMerge w:val="restart"/>
            <w:vAlign w:val="center"/>
          </w:tcPr>
          <w:p w14:paraId="147DBCDF">
            <w:pPr>
              <w:pStyle w:val="133"/>
            </w:pPr>
            <w:r>
              <w:t>配料间</w:t>
            </w:r>
          </w:p>
        </w:tc>
        <w:tc>
          <w:tcPr>
            <w:tcW w:w="765" w:type="pct"/>
            <w:vAlign w:val="center"/>
          </w:tcPr>
          <w:p w14:paraId="36C36E76">
            <w:pPr>
              <w:pStyle w:val="133"/>
            </w:pPr>
            <w:r>
              <w:t>振动筛</w:t>
            </w:r>
          </w:p>
        </w:tc>
        <w:tc>
          <w:tcPr>
            <w:tcW w:w="511" w:type="pct"/>
            <w:vAlign w:val="center"/>
          </w:tcPr>
          <w:p w14:paraId="0271683B">
            <w:pPr>
              <w:pStyle w:val="133"/>
            </w:pPr>
            <w:r>
              <w:t>3</w:t>
            </w:r>
          </w:p>
        </w:tc>
        <w:tc>
          <w:tcPr>
            <w:tcW w:w="664" w:type="pct"/>
            <w:vAlign w:val="center"/>
          </w:tcPr>
          <w:p w14:paraId="53B85E39">
            <w:pPr>
              <w:pStyle w:val="133"/>
            </w:pPr>
            <w:r>
              <w:t>90</w:t>
            </w:r>
          </w:p>
        </w:tc>
        <w:tc>
          <w:tcPr>
            <w:tcW w:w="1496" w:type="pct"/>
            <w:vAlign w:val="center"/>
          </w:tcPr>
          <w:p w14:paraId="630392CA">
            <w:pPr>
              <w:pStyle w:val="133"/>
            </w:pPr>
            <w:r>
              <w:t>基础减震+厂房隔声</w:t>
            </w:r>
          </w:p>
        </w:tc>
        <w:tc>
          <w:tcPr>
            <w:tcW w:w="545" w:type="pct"/>
            <w:vAlign w:val="center"/>
          </w:tcPr>
          <w:p w14:paraId="1B233750">
            <w:pPr>
              <w:pStyle w:val="133"/>
            </w:pPr>
            <w:r>
              <w:t>70</w:t>
            </w:r>
          </w:p>
        </w:tc>
      </w:tr>
      <w:tr w14:paraId="73A6E0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741BC312">
            <w:pPr>
              <w:pStyle w:val="133"/>
            </w:pPr>
            <w:r>
              <w:rPr>
                <w:rFonts w:hint="eastAsia"/>
              </w:rPr>
              <w:t>2</w:t>
            </w:r>
          </w:p>
        </w:tc>
        <w:tc>
          <w:tcPr>
            <w:tcW w:w="688" w:type="pct"/>
            <w:vMerge w:val="continue"/>
            <w:vAlign w:val="center"/>
          </w:tcPr>
          <w:p w14:paraId="681777D5">
            <w:pPr>
              <w:pStyle w:val="133"/>
            </w:pPr>
          </w:p>
        </w:tc>
        <w:tc>
          <w:tcPr>
            <w:tcW w:w="765" w:type="pct"/>
            <w:vAlign w:val="center"/>
          </w:tcPr>
          <w:p w14:paraId="675D0E9A">
            <w:pPr>
              <w:pStyle w:val="133"/>
            </w:pPr>
            <w:r>
              <w:t>除尘风机</w:t>
            </w:r>
          </w:p>
        </w:tc>
        <w:tc>
          <w:tcPr>
            <w:tcW w:w="511" w:type="pct"/>
            <w:vAlign w:val="center"/>
          </w:tcPr>
          <w:p w14:paraId="78061D2F">
            <w:pPr>
              <w:pStyle w:val="133"/>
            </w:pPr>
            <w:r>
              <w:rPr>
                <w:rFonts w:hint="eastAsia"/>
              </w:rPr>
              <w:t>1</w:t>
            </w:r>
          </w:p>
        </w:tc>
        <w:tc>
          <w:tcPr>
            <w:tcW w:w="664" w:type="pct"/>
            <w:vAlign w:val="center"/>
          </w:tcPr>
          <w:p w14:paraId="1D9A7BDA">
            <w:pPr>
              <w:pStyle w:val="133"/>
            </w:pPr>
            <w:r>
              <w:t>88</w:t>
            </w:r>
          </w:p>
        </w:tc>
        <w:tc>
          <w:tcPr>
            <w:tcW w:w="1496" w:type="pct"/>
            <w:vAlign w:val="center"/>
          </w:tcPr>
          <w:p w14:paraId="4A8E23B3">
            <w:pPr>
              <w:pStyle w:val="133"/>
            </w:pPr>
            <w:r>
              <w:t>基础减震+进风口消声器</w:t>
            </w:r>
          </w:p>
        </w:tc>
        <w:tc>
          <w:tcPr>
            <w:tcW w:w="545" w:type="pct"/>
            <w:vAlign w:val="center"/>
          </w:tcPr>
          <w:p w14:paraId="49FC6B22">
            <w:pPr>
              <w:pStyle w:val="133"/>
            </w:pPr>
            <w:r>
              <w:t>60</w:t>
            </w:r>
          </w:p>
        </w:tc>
      </w:tr>
      <w:tr w14:paraId="626491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6409FB92">
            <w:pPr>
              <w:pStyle w:val="133"/>
            </w:pPr>
            <w:r>
              <w:rPr>
                <w:rFonts w:hint="eastAsia"/>
              </w:rPr>
              <w:t>3</w:t>
            </w:r>
          </w:p>
        </w:tc>
        <w:tc>
          <w:tcPr>
            <w:tcW w:w="688" w:type="pct"/>
            <w:vMerge w:val="restart"/>
            <w:vAlign w:val="center"/>
          </w:tcPr>
          <w:p w14:paraId="6E0502C0">
            <w:pPr>
              <w:pStyle w:val="133"/>
            </w:pPr>
            <w:r>
              <w:t>熔炼车间</w:t>
            </w:r>
          </w:p>
        </w:tc>
        <w:tc>
          <w:tcPr>
            <w:tcW w:w="765" w:type="pct"/>
            <w:vAlign w:val="center"/>
          </w:tcPr>
          <w:p w14:paraId="51478379">
            <w:pPr>
              <w:pStyle w:val="133"/>
            </w:pPr>
            <w:r>
              <w:t>炉前卷扬机</w:t>
            </w:r>
          </w:p>
        </w:tc>
        <w:tc>
          <w:tcPr>
            <w:tcW w:w="511" w:type="pct"/>
            <w:vAlign w:val="center"/>
          </w:tcPr>
          <w:p w14:paraId="3F8B9F62">
            <w:pPr>
              <w:pStyle w:val="133"/>
            </w:pPr>
            <w:r>
              <w:t>12</w:t>
            </w:r>
          </w:p>
        </w:tc>
        <w:tc>
          <w:tcPr>
            <w:tcW w:w="664" w:type="pct"/>
            <w:vAlign w:val="center"/>
          </w:tcPr>
          <w:p w14:paraId="6A6E580D">
            <w:pPr>
              <w:pStyle w:val="133"/>
            </w:pPr>
            <w:r>
              <w:t>90</w:t>
            </w:r>
          </w:p>
        </w:tc>
        <w:tc>
          <w:tcPr>
            <w:tcW w:w="1496" w:type="pct"/>
            <w:vAlign w:val="center"/>
          </w:tcPr>
          <w:p w14:paraId="2634E8AE">
            <w:pPr>
              <w:pStyle w:val="133"/>
            </w:pPr>
            <w:r>
              <w:t>基础减震+厂房隔声</w:t>
            </w:r>
          </w:p>
        </w:tc>
        <w:tc>
          <w:tcPr>
            <w:tcW w:w="545" w:type="pct"/>
            <w:vAlign w:val="center"/>
          </w:tcPr>
          <w:p w14:paraId="56CF1BA6">
            <w:pPr>
              <w:pStyle w:val="133"/>
            </w:pPr>
            <w:r>
              <w:t>65</w:t>
            </w:r>
          </w:p>
        </w:tc>
      </w:tr>
      <w:tr w14:paraId="165C3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47249425">
            <w:pPr>
              <w:pStyle w:val="133"/>
            </w:pPr>
            <w:r>
              <w:rPr>
                <w:rFonts w:hint="eastAsia"/>
              </w:rPr>
              <w:t>4</w:t>
            </w:r>
          </w:p>
        </w:tc>
        <w:tc>
          <w:tcPr>
            <w:tcW w:w="688" w:type="pct"/>
            <w:vMerge w:val="continue"/>
            <w:vAlign w:val="center"/>
          </w:tcPr>
          <w:p w14:paraId="6154381D">
            <w:pPr>
              <w:pStyle w:val="133"/>
            </w:pPr>
          </w:p>
        </w:tc>
        <w:tc>
          <w:tcPr>
            <w:tcW w:w="765" w:type="pct"/>
            <w:vAlign w:val="center"/>
          </w:tcPr>
          <w:p w14:paraId="76F9A738">
            <w:pPr>
              <w:pStyle w:val="133"/>
            </w:pPr>
            <w:r>
              <w:t>除尘风机</w:t>
            </w:r>
          </w:p>
        </w:tc>
        <w:tc>
          <w:tcPr>
            <w:tcW w:w="511" w:type="pct"/>
            <w:vAlign w:val="center"/>
          </w:tcPr>
          <w:p w14:paraId="629104C1">
            <w:pPr>
              <w:pStyle w:val="133"/>
            </w:pPr>
            <w:r>
              <w:rPr>
                <w:rFonts w:hint="eastAsia"/>
              </w:rPr>
              <w:t>1</w:t>
            </w:r>
          </w:p>
        </w:tc>
        <w:tc>
          <w:tcPr>
            <w:tcW w:w="664" w:type="pct"/>
            <w:vAlign w:val="center"/>
          </w:tcPr>
          <w:p w14:paraId="7070523A">
            <w:pPr>
              <w:pStyle w:val="133"/>
            </w:pPr>
            <w:r>
              <w:t>88</w:t>
            </w:r>
          </w:p>
        </w:tc>
        <w:tc>
          <w:tcPr>
            <w:tcW w:w="1496" w:type="pct"/>
            <w:vAlign w:val="center"/>
          </w:tcPr>
          <w:p w14:paraId="200F6D6A">
            <w:pPr>
              <w:pStyle w:val="133"/>
            </w:pPr>
            <w:r>
              <w:t>基础减震+进风口消声器</w:t>
            </w:r>
          </w:p>
        </w:tc>
        <w:tc>
          <w:tcPr>
            <w:tcW w:w="545" w:type="pct"/>
            <w:vAlign w:val="center"/>
          </w:tcPr>
          <w:p w14:paraId="0AE5362E">
            <w:pPr>
              <w:pStyle w:val="133"/>
            </w:pPr>
            <w:r>
              <w:t>60</w:t>
            </w:r>
          </w:p>
        </w:tc>
      </w:tr>
      <w:tr w14:paraId="642C93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6BE2323C">
            <w:pPr>
              <w:pStyle w:val="133"/>
            </w:pPr>
            <w:r>
              <w:rPr>
                <w:rFonts w:hint="eastAsia"/>
              </w:rPr>
              <w:t>5</w:t>
            </w:r>
          </w:p>
        </w:tc>
        <w:tc>
          <w:tcPr>
            <w:tcW w:w="688" w:type="pct"/>
            <w:vMerge w:val="restart"/>
            <w:vAlign w:val="center"/>
          </w:tcPr>
          <w:p w14:paraId="5FAE19FC">
            <w:pPr>
              <w:pStyle w:val="133"/>
            </w:pPr>
            <w:r>
              <w:t>烟气处理系统</w:t>
            </w:r>
          </w:p>
        </w:tc>
        <w:tc>
          <w:tcPr>
            <w:tcW w:w="765" w:type="pct"/>
            <w:vAlign w:val="center"/>
          </w:tcPr>
          <w:p w14:paraId="3527D1DB">
            <w:pPr>
              <w:pStyle w:val="133"/>
            </w:pPr>
            <w:r>
              <w:t>除尘风机</w:t>
            </w:r>
          </w:p>
        </w:tc>
        <w:tc>
          <w:tcPr>
            <w:tcW w:w="511" w:type="pct"/>
            <w:vAlign w:val="center"/>
          </w:tcPr>
          <w:p w14:paraId="53AA9B52">
            <w:pPr>
              <w:pStyle w:val="133"/>
            </w:pPr>
            <w:r>
              <w:rPr>
                <w:rFonts w:hint="eastAsia"/>
              </w:rPr>
              <w:t>2</w:t>
            </w:r>
          </w:p>
        </w:tc>
        <w:tc>
          <w:tcPr>
            <w:tcW w:w="664" w:type="pct"/>
            <w:vAlign w:val="center"/>
          </w:tcPr>
          <w:p w14:paraId="53156DAF">
            <w:pPr>
              <w:pStyle w:val="133"/>
            </w:pPr>
            <w:r>
              <w:t>88</w:t>
            </w:r>
          </w:p>
        </w:tc>
        <w:tc>
          <w:tcPr>
            <w:tcW w:w="1496" w:type="pct"/>
            <w:vAlign w:val="center"/>
          </w:tcPr>
          <w:p w14:paraId="781DA4B1">
            <w:pPr>
              <w:pStyle w:val="133"/>
            </w:pPr>
            <w:r>
              <w:t>基础减震+进风口消声器</w:t>
            </w:r>
          </w:p>
        </w:tc>
        <w:tc>
          <w:tcPr>
            <w:tcW w:w="545" w:type="pct"/>
            <w:vAlign w:val="center"/>
          </w:tcPr>
          <w:p w14:paraId="24441D81">
            <w:pPr>
              <w:pStyle w:val="133"/>
            </w:pPr>
            <w:r>
              <w:t>60</w:t>
            </w:r>
          </w:p>
        </w:tc>
      </w:tr>
      <w:tr w14:paraId="431BB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1D2104A9">
            <w:pPr>
              <w:pStyle w:val="133"/>
            </w:pPr>
            <w:r>
              <w:rPr>
                <w:rFonts w:hint="eastAsia"/>
              </w:rPr>
              <w:t>6</w:t>
            </w:r>
          </w:p>
        </w:tc>
        <w:tc>
          <w:tcPr>
            <w:tcW w:w="688" w:type="pct"/>
            <w:vMerge w:val="continue"/>
            <w:vAlign w:val="center"/>
          </w:tcPr>
          <w:p w14:paraId="16BC7A20">
            <w:pPr>
              <w:pStyle w:val="133"/>
            </w:pPr>
          </w:p>
        </w:tc>
        <w:tc>
          <w:tcPr>
            <w:tcW w:w="765" w:type="pct"/>
            <w:vAlign w:val="center"/>
          </w:tcPr>
          <w:p w14:paraId="57A5CFFA">
            <w:pPr>
              <w:pStyle w:val="133"/>
            </w:pPr>
            <w:r>
              <w:t>加密风机</w:t>
            </w:r>
          </w:p>
        </w:tc>
        <w:tc>
          <w:tcPr>
            <w:tcW w:w="511" w:type="pct"/>
            <w:vAlign w:val="center"/>
          </w:tcPr>
          <w:p w14:paraId="0F28860F">
            <w:pPr>
              <w:pStyle w:val="133"/>
            </w:pPr>
            <w:r>
              <w:rPr>
                <w:rFonts w:hint="eastAsia"/>
              </w:rPr>
              <w:t>1</w:t>
            </w:r>
          </w:p>
        </w:tc>
        <w:tc>
          <w:tcPr>
            <w:tcW w:w="664" w:type="pct"/>
            <w:vAlign w:val="center"/>
          </w:tcPr>
          <w:p w14:paraId="20ABB7EE">
            <w:pPr>
              <w:pStyle w:val="133"/>
            </w:pPr>
            <w:r>
              <w:t>88</w:t>
            </w:r>
          </w:p>
        </w:tc>
        <w:tc>
          <w:tcPr>
            <w:tcW w:w="1496" w:type="pct"/>
            <w:vAlign w:val="center"/>
          </w:tcPr>
          <w:p w14:paraId="76BBEE10">
            <w:pPr>
              <w:pStyle w:val="133"/>
            </w:pPr>
            <w:r>
              <w:t>基础减震+进风口消声器</w:t>
            </w:r>
          </w:p>
        </w:tc>
        <w:tc>
          <w:tcPr>
            <w:tcW w:w="545" w:type="pct"/>
            <w:vAlign w:val="center"/>
          </w:tcPr>
          <w:p w14:paraId="22A8DC64">
            <w:pPr>
              <w:pStyle w:val="133"/>
            </w:pPr>
            <w:r>
              <w:t>60</w:t>
            </w:r>
          </w:p>
        </w:tc>
      </w:tr>
      <w:tr w14:paraId="4837F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19345178">
            <w:pPr>
              <w:pStyle w:val="133"/>
            </w:pPr>
            <w:r>
              <w:rPr>
                <w:rFonts w:hint="eastAsia"/>
              </w:rPr>
              <w:t>7</w:t>
            </w:r>
          </w:p>
        </w:tc>
        <w:tc>
          <w:tcPr>
            <w:tcW w:w="688" w:type="pct"/>
            <w:vMerge w:val="restart"/>
            <w:vAlign w:val="center"/>
          </w:tcPr>
          <w:p w14:paraId="072638B2">
            <w:pPr>
              <w:pStyle w:val="133"/>
            </w:pPr>
            <w:r>
              <w:t>成品破碎设施</w:t>
            </w:r>
          </w:p>
        </w:tc>
        <w:tc>
          <w:tcPr>
            <w:tcW w:w="765" w:type="pct"/>
            <w:vAlign w:val="center"/>
          </w:tcPr>
          <w:p w14:paraId="6059BECF">
            <w:pPr>
              <w:pStyle w:val="133"/>
            </w:pPr>
            <w:r>
              <w:t>破碎机</w:t>
            </w:r>
          </w:p>
        </w:tc>
        <w:tc>
          <w:tcPr>
            <w:tcW w:w="511" w:type="pct"/>
            <w:vAlign w:val="center"/>
          </w:tcPr>
          <w:p w14:paraId="6DF9E33D">
            <w:pPr>
              <w:pStyle w:val="133"/>
            </w:pPr>
            <w:r>
              <w:t>1</w:t>
            </w:r>
          </w:p>
        </w:tc>
        <w:tc>
          <w:tcPr>
            <w:tcW w:w="664" w:type="pct"/>
            <w:vAlign w:val="center"/>
          </w:tcPr>
          <w:p w14:paraId="268F8569">
            <w:pPr>
              <w:pStyle w:val="133"/>
            </w:pPr>
            <w:r>
              <w:t>95</w:t>
            </w:r>
          </w:p>
        </w:tc>
        <w:tc>
          <w:tcPr>
            <w:tcW w:w="1496" w:type="pct"/>
            <w:vAlign w:val="center"/>
          </w:tcPr>
          <w:p w14:paraId="6AFDD67F">
            <w:pPr>
              <w:pStyle w:val="133"/>
            </w:pPr>
            <w:r>
              <w:t>基础减震+厂房隔声</w:t>
            </w:r>
          </w:p>
        </w:tc>
        <w:tc>
          <w:tcPr>
            <w:tcW w:w="545" w:type="pct"/>
            <w:vAlign w:val="center"/>
          </w:tcPr>
          <w:p w14:paraId="271ABFAC">
            <w:pPr>
              <w:pStyle w:val="133"/>
            </w:pPr>
            <w:r>
              <w:t>70</w:t>
            </w:r>
          </w:p>
        </w:tc>
      </w:tr>
      <w:tr w14:paraId="0EB40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25BC71A8">
            <w:pPr>
              <w:pStyle w:val="133"/>
            </w:pPr>
            <w:r>
              <w:rPr>
                <w:rFonts w:hint="eastAsia"/>
              </w:rPr>
              <w:t>8</w:t>
            </w:r>
          </w:p>
        </w:tc>
        <w:tc>
          <w:tcPr>
            <w:tcW w:w="688" w:type="pct"/>
            <w:vMerge w:val="continue"/>
            <w:vAlign w:val="center"/>
          </w:tcPr>
          <w:p w14:paraId="49610509">
            <w:pPr>
              <w:pStyle w:val="133"/>
            </w:pPr>
          </w:p>
        </w:tc>
        <w:tc>
          <w:tcPr>
            <w:tcW w:w="765" w:type="pct"/>
            <w:vAlign w:val="center"/>
          </w:tcPr>
          <w:p w14:paraId="2A0AFD4B">
            <w:pPr>
              <w:pStyle w:val="133"/>
            </w:pPr>
            <w:r>
              <w:t>除尘风机</w:t>
            </w:r>
          </w:p>
        </w:tc>
        <w:tc>
          <w:tcPr>
            <w:tcW w:w="511" w:type="pct"/>
            <w:vAlign w:val="center"/>
          </w:tcPr>
          <w:p w14:paraId="02A3E39E">
            <w:pPr>
              <w:pStyle w:val="133"/>
            </w:pPr>
            <w:r>
              <w:t>1</w:t>
            </w:r>
          </w:p>
        </w:tc>
        <w:tc>
          <w:tcPr>
            <w:tcW w:w="664" w:type="pct"/>
            <w:vAlign w:val="center"/>
          </w:tcPr>
          <w:p w14:paraId="645FCECE">
            <w:pPr>
              <w:pStyle w:val="133"/>
            </w:pPr>
            <w:r>
              <w:t>88</w:t>
            </w:r>
          </w:p>
        </w:tc>
        <w:tc>
          <w:tcPr>
            <w:tcW w:w="1496" w:type="pct"/>
            <w:vAlign w:val="center"/>
          </w:tcPr>
          <w:p w14:paraId="4A8DADB3">
            <w:pPr>
              <w:pStyle w:val="133"/>
            </w:pPr>
            <w:r>
              <w:t>基础减震+进风口消声器</w:t>
            </w:r>
          </w:p>
        </w:tc>
        <w:tc>
          <w:tcPr>
            <w:tcW w:w="545" w:type="pct"/>
            <w:vAlign w:val="center"/>
          </w:tcPr>
          <w:p w14:paraId="384D75FB">
            <w:pPr>
              <w:pStyle w:val="133"/>
            </w:pPr>
            <w:r>
              <w:t>60</w:t>
            </w:r>
          </w:p>
        </w:tc>
      </w:tr>
      <w:tr w14:paraId="0AFD5B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2AD9DD5C">
            <w:pPr>
              <w:pStyle w:val="133"/>
            </w:pPr>
            <w:r>
              <w:rPr>
                <w:rFonts w:hint="eastAsia"/>
              </w:rPr>
              <w:t>9</w:t>
            </w:r>
          </w:p>
        </w:tc>
        <w:tc>
          <w:tcPr>
            <w:tcW w:w="688" w:type="pct"/>
            <w:vAlign w:val="center"/>
          </w:tcPr>
          <w:p w14:paraId="030DDDF4">
            <w:pPr>
              <w:pStyle w:val="133"/>
            </w:pPr>
            <w:r>
              <w:t>循环系统</w:t>
            </w:r>
          </w:p>
        </w:tc>
        <w:tc>
          <w:tcPr>
            <w:tcW w:w="765" w:type="pct"/>
            <w:vAlign w:val="center"/>
          </w:tcPr>
          <w:p w14:paraId="460890B6">
            <w:pPr>
              <w:pStyle w:val="133"/>
            </w:pPr>
            <w:r>
              <w:t>复合型闭式冷却塔</w:t>
            </w:r>
          </w:p>
        </w:tc>
        <w:tc>
          <w:tcPr>
            <w:tcW w:w="511" w:type="pct"/>
            <w:vAlign w:val="center"/>
          </w:tcPr>
          <w:p w14:paraId="51A4835D">
            <w:pPr>
              <w:pStyle w:val="133"/>
            </w:pPr>
            <w:r>
              <w:rPr>
                <w:rFonts w:hint="eastAsia"/>
              </w:rPr>
              <w:t>2</w:t>
            </w:r>
          </w:p>
        </w:tc>
        <w:tc>
          <w:tcPr>
            <w:tcW w:w="664" w:type="pct"/>
            <w:vAlign w:val="center"/>
          </w:tcPr>
          <w:p w14:paraId="2F50712F">
            <w:pPr>
              <w:pStyle w:val="133"/>
            </w:pPr>
            <w:r>
              <w:t>85</w:t>
            </w:r>
          </w:p>
        </w:tc>
        <w:tc>
          <w:tcPr>
            <w:tcW w:w="1496" w:type="pct"/>
            <w:vAlign w:val="center"/>
          </w:tcPr>
          <w:p w14:paraId="3C12EF37">
            <w:pPr>
              <w:pStyle w:val="133"/>
            </w:pPr>
            <w:r>
              <w:t>消声百叶窗、导流消声片、消声垫</w:t>
            </w:r>
          </w:p>
        </w:tc>
        <w:tc>
          <w:tcPr>
            <w:tcW w:w="545" w:type="pct"/>
            <w:vAlign w:val="center"/>
          </w:tcPr>
          <w:p w14:paraId="3D6FF456">
            <w:pPr>
              <w:pStyle w:val="133"/>
            </w:pPr>
            <w:r>
              <w:t>60</w:t>
            </w:r>
          </w:p>
        </w:tc>
      </w:tr>
      <w:tr w14:paraId="6F02D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31" w:type="pct"/>
            <w:vAlign w:val="center"/>
          </w:tcPr>
          <w:p w14:paraId="34AD7DDF">
            <w:pPr>
              <w:pStyle w:val="133"/>
            </w:pPr>
            <w:r>
              <w:rPr>
                <w:rFonts w:hint="eastAsia"/>
              </w:rPr>
              <w:t>10</w:t>
            </w:r>
          </w:p>
        </w:tc>
        <w:tc>
          <w:tcPr>
            <w:tcW w:w="688" w:type="pct"/>
            <w:vAlign w:val="center"/>
          </w:tcPr>
          <w:p w14:paraId="7EC2AB73">
            <w:pPr>
              <w:pStyle w:val="133"/>
            </w:pPr>
            <w:r>
              <w:t>空压站</w:t>
            </w:r>
          </w:p>
        </w:tc>
        <w:tc>
          <w:tcPr>
            <w:tcW w:w="765" w:type="pct"/>
            <w:vAlign w:val="center"/>
          </w:tcPr>
          <w:p w14:paraId="0D385A02">
            <w:pPr>
              <w:pStyle w:val="133"/>
            </w:pPr>
            <w:r>
              <w:t>空压机</w:t>
            </w:r>
          </w:p>
        </w:tc>
        <w:tc>
          <w:tcPr>
            <w:tcW w:w="511" w:type="pct"/>
            <w:vAlign w:val="center"/>
          </w:tcPr>
          <w:p w14:paraId="45E1C2B0">
            <w:pPr>
              <w:pStyle w:val="133"/>
            </w:pPr>
            <w:r>
              <w:rPr>
                <w:rFonts w:hint="eastAsia"/>
              </w:rPr>
              <w:t>1</w:t>
            </w:r>
          </w:p>
        </w:tc>
        <w:tc>
          <w:tcPr>
            <w:tcW w:w="664" w:type="pct"/>
            <w:vAlign w:val="center"/>
          </w:tcPr>
          <w:p w14:paraId="00F6AA1D">
            <w:pPr>
              <w:pStyle w:val="133"/>
            </w:pPr>
            <w:r>
              <w:t>105</w:t>
            </w:r>
          </w:p>
        </w:tc>
        <w:tc>
          <w:tcPr>
            <w:tcW w:w="1496" w:type="pct"/>
            <w:vAlign w:val="center"/>
          </w:tcPr>
          <w:p w14:paraId="11E8DBA7">
            <w:pPr>
              <w:pStyle w:val="133"/>
            </w:pPr>
            <w:r>
              <w:t>基础减震+厂房隔声+进风口消声器</w:t>
            </w:r>
          </w:p>
        </w:tc>
        <w:tc>
          <w:tcPr>
            <w:tcW w:w="545" w:type="pct"/>
            <w:vAlign w:val="center"/>
          </w:tcPr>
          <w:p w14:paraId="2D3F433A">
            <w:pPr>
              <w:pStyle w:val="133"/>
            </w:pPr>
            <w:r>
              <w:t>80</w:t>
            </w:r>
          </w:p>
        </w:tc>
      </w:tr>
    </w:tbl>
    <w:p w14:paraId="5B1EDAB6">
      <w:pPr>
        <w:pStyle w:val="133"/>
      </w:pPr>
    </w:p>
    <w:p w14:paraId="49B94F8F">
      <w:pPr>
        <w:pStyle w:val="944"/>
      </w:pPr>
      <w:r>
        <w:t>固体废物</w:t>
      </w:r>
    </w:p>
    <w:p w14:paraId="652DF9D0">
      <w:pPr>
        <w:pStyle w:val="117"/>
        <w:ind w:firstLine="480"/>
        <w:rPr>
          <w:rFonts w:cs="Times New Roman"/>
          <w:szCs w:val="21"/>
        </w:rPr>
      </w:pPr>
      <w:r>
        <w:rPr>
          <w:rFonts w:cs="Times New Roman"/>
        </w:rPr>
        <w:t>硅铁生产线</w:t>
      </w:r>
      <w:r>
        <w:rPr>
          <w:rFonts w:cs="Times New Roman"/>
          <w:u w:color="000000"/>
        </w:rPr>
        <w:t>固废主要为除尘器收尘灰、车间落料灰、矿热炉硅渣</w:t>
      </w:r>
      <w:r>
        <w:rPr>
          <w:rFonts w:cs="Times New Roman"/>
          <w:szCs w:val="21"/>
        </w:rPr>
        <w:t>等，依据《污染物源强核算技术指南 准则》（HJ884 20182018）的相关核算方法，固体废物采用物料衡算法核算。</w:t>
      </w:r>
    </w:p>
    <w:p w14:paraId="2FD58ABD">
      <w:pPr>
        <w:pStyle w:val="117"/>
        <w:ind w:firstLine="480"/>
        <w:rPr>
          <w:rFonts w:cs="Times New Roman"/>
          <w:szCs w:val="21"/>
        </w:rPr>
      </w:pPr>
      <w:r>
        <w:rPr>
          <w:rFonts w:cs="Times New Roman"/>
          <w:szCs w:val="21"/>
        </w:rPr>
        <w:t>（1）原料系统收尘灰</w:t>
      </w:r>
      <w:r>
        <w:rPr>
          <w:rFonts w:cs="Times New Roman"/>
        </w:rPr>
        <w:t>（S</w:t>
      </w:r>
      <w:r>
        <w:rPr>
          <w:rFonts w:hint="eastAsia" w:cs="Times New Roman"/>
          <w:vertAlign w:val="subscript"/>
        </w:rPr>
        <w:t>2-</w:t>
      </w:r>
      <w:r>
        <w:rPr>
          <w:rFonts w:cs="Times New Roman"/>
          <w:vertAlign w:val="subscript"/>
        </w:rPr>
        <w:t>1</w:t>
      </w:r>
      <w:r>
        <w:rPr>
          <w:rFonts w:cs="Times New Roman"/>
        </w:rPr>
        <w:t>）</w:t>
      </w:r>
    </w:p>
    <w:p w14:paraId="2E3836E6">
      <w:pPr>
        <w:ind w:firstLine="480"/>
      </w:pPr>
      <w:r>
        <w:rPr>
          <w:rFonts w:hint="eastAsia"/>
          <w:szCs w:val="21"/>
        </w:rPr>
        <w:t>根据原料转运、</w:t>
      </w:r>
      <w:r>
        <w:rPr>
          <w:szCs w:val="21"/>
        </w:rPr>
        <w:t>配料</w:t>
      </w:r>
      <w:r>
        <w:rPr>
          <w:rFonts w:hint="eastAsia"/>
          <w:szCs w:val="21"/>
        </w:rPr>
        <w:t>及上料系统</w:t>
      </w:r>
      <w:r>
        <w:rPr>
          <w:szCs w:val="21"/>
        </w:rPr>
        <w:t>废气集气罩集气效率、布袋除尘器除尘效率等核算情况，采用物料平衡法核算原料系统收尘灰的产量为</w:t>
      </w:r>
      <w:r>
        <w:rPr>
          <w:rFonts w:hint="eastAsia"/>
          <w:szCs w:val="21"/>
        </w:rPr>
        <w:t>36.10</w:t>
      </w:r>
      <w:r>
        <w:rPr>
          <w:szCs w:val="21"/>
        </w:rPr>
        <w:t>t/a。收尘灰的主要组分为</w:t>
      </w:r>
      <w:r>
        <w:t>硅石、球团及兰炭。根据《固体废物分类与代码目录》（2024年第4号），收尘灰属于工业固体废物，是铁合金冶炼行业生产过程中产生的废收尘灰，废物种类为SW59其他工业固体废物，类别代码为314-099-S59，经布袋除尘器落料口采用吨袋密闭运输，返回矿热炉加料口回用。</w:t>
      </w:r>
    </w:p>
    <w:p w14:paraId="3D9EDEE9">
      <w:pPr>
        <w:ind w:firstLine="480"/>
      </w:pPr>
      <w:r>
        <w:rPr>
          <w:szCs w:val="21"/>
        </w:rPr>
        <w:t>（2）车间落料</w:t>
      </w:r>
      <w:r>
        <w:t>（S</w:t>
      </w:r>
      <w:r>
        <w:rPr>
          <w:rFonts w:hint="eastAsia"/>
          <w:vertAlign w:val="subscript"/>
        </w:rPr>
        <w:t>2-</w:t>
      </w:r>
      <w:r>
        <w:rPr>
          <w:vertAlign w:val="subscript"/>
        </w:rPr>
        <w:t>2</w:t>
      </w:r>
      <w:r>
        <w:t>）</w:t>
      </w:r>
    </w:p>
    <w:p w14:paraId="12DA63D1">
      <w:pPr>
        <w:ind w:firstLine="480"/>
      </w:pPr>
      <w:r>
        <w:rPr>
          <w:szCs w:val="21"/>
        </w:rPr>
        <w:t>车间落料包括原料系统、熔炼车间</w:t>
      </w:r>
      <w:r>
        <w:rPr>
          <w:rFonts w:hint="eastAsia"/>
          <w:szCs w:val="21"/>
        </w:rPr>
        <w:t>、铸造车间</w:t>
      </w:r>
      <w:r>
        <w:rPr>
          <w:szCs w:val="21"/>
        </w:rPr>
        <w:t>及成品加工等环节的车间落料。其中原料系统包括</w:t>
      </w:r>
      <w:r>
        <w:rPr>
          <w:rFonts w:hint="eastAsia"/>
          <w:szCs w:val="21"/>
        </w:rPr>
        <w:t>转运站、</w:t>
      </w:r>
      <w:r>
        <w:rPr>
          <w:szCs w:val="21"/>
        </w:rPr>
        <w:t>配料间</w:t>
      </w:r>
      <w:r>
        <w:rPr>
          <w:rFonts w:hint="eastAsia"/>
          <w:szCs w:val="21"/>
        </w:rPr>
        <w:t>及上料间落料，熔炼车间</w:t>
      </w:r>
      <w:r>
        <w:rPr>
          <w:szCs w:val="21"/>
        </w:rPr>
        <w:t>矿热炉烟气</w:t>
      </w:r>
      <w:r>
        <w:rPr>
          <w:rFonts w:hint="eastAsia"/>
          <w:szCs w:val="21"/>
        </w:rPr>
        <w:t>、铸造车间的</w:t>
      </w:r>
      <w:r>
        <w:rPr>
          <w:szCs w:val="21"/>
        </w:rPr>
        <w:t>出铁口及浇铸机浇铸废气，成品破碎设施破碎废气。根据各环节车间颗粒物产生源强、集气罩集气效率及密闭车间粉尘控制效率等核算情况，采用物料平衡法核算厂内车间落料的产量为</w:t>
      </w:r>
      <w:r>
        <w:rPr>
          <w:rFonts w:hint="eastAsia"/>
          <w:szCs w:val="21"/>
        </w:rPr>
        <w:t>79.44</w:t>
      </w:r>
      <w:r>
        <w:rPr>
          <w:szCs w:val="21"/>
        </w:rPr>
        <w:t>t/a。落料的主要组分为</w:t>
      </w:r>
      <w:r>
        <w:t>硅石、球团、兰炭及硅铁。根据《固体废物分类与代码目录》（2024年第4号），</w:t>
      </w:r>
      <w:r>
        <w:rPr>
          <w:szCs w:val="21"/>
        </w:rPr>
        <w:t>落料</w:t>
      </w:r>
      <w:r>
        <w:t>属于工业固体废物，是铁合金冶炼行业生产过程中产生的废料，废物种类为SW59其他工业固体废物，类别代码为314-099-S59，车间</w:t>
      </w:r>
      <w:r>
        <w:rPr>
          <w:szCs w:val="21"/>
        </w:rPr>
        <w:t>定期清理</w:t>
      </w:r>
      <w:r>
        <w:t>，返回矿热炉加料口回用。</w:t>
      </w:r>
    </w:p>
    <w:p w14:paraId="5F34143A">
      <w:pPr>
        <w:ind w:left="480" w:firstLine="0" w:firstLineChars="0"/>
      </w:pPr>
      <w:r>
        <w:t>（</w:t>
      </w:r>
      <w:r>
        <w:rPr>
          <w:rFonts w:hint="eastAsia"/>
        </w:rPr>
        <w:t>3</w:t>
      </w:r>
      <w:r>
        <w:t>）矿热炉硅渣（S</w:t>
      </w:r>
      <w:r>
        <w:rPr>
          <w:rFonts w:hint="eastAsia"/>
          <w:vertAlign w:val="subscript"/>
        </w:rPr>
        <w:t>2-3</w:t>
      </w:r>
      <w:r>
        <w:t>）</w:t>
      </w:r>
    </w:p>
    <w:p w14:paraId="6BF8E3F6">
      <w:pPr>
        <w:pStyle w:val="117"/>
        <w:ind w:firstLine="480"/>
        <w:rPr>
          <w:rFonts w:cs="Times New Roman"/>
        </w:rPr>
      </w:pPr>
      <w:r>
        <w:rPr>
          <w:rFonts w:cs="Times New Roman"/>
          <w:szCs w:val="21"/>
        </w:rPr>
        <w:t>根据《排放源统计调查产排污核算方法和系数手册》中《3140 铁合金行业系数手册》，硅渣产生量为0.06t/t硅铁，则硅渣产生量为</w:t>
      </w:r>
      <w:r>
        <w:rPr>
          <w:rFonts w:hint="eastAsia" w:cs="Times New Roman"/>
          <w:szCs w:val="21"/>
        </w:rPr>
        <w:t>3360</w:t>
      </w:r>
      <w:r>
        <w:rPr>
          <w:rFonts w:cs="Times New Roman"/>
          <w:szCs w:val="21"/>
        </w:rPr>
        <w:t>t/a。硅渣中主要含Si、Al、SiO</w:t>
      </w:r>
      <w:r>
        <w:rPr>
          <w:rFonts w:cs="Times New Roman"/>
          <w:szCs w:val="21"/>
          <w:vertAlign w:val="subscript"/>
        </w:rPr>
        <w:t>2</w:t>
      </w:r>
      <w:r>
        <w:rPr>
          <w:rFonts w:cs="Times New Roman"/>
          <w:szCs w:val="21"/>
        </w:rPr>
        <w:t>、SiC、</w:t>
      </w:r>
      <w:r>
        <w:rPr>
          <w:rFonts w:cs="Times New Roman"/>
        </w:rPr>
        <w:t>FeSi、</w:t>
      </w:r>
      <w:r>
        <w:rPr>
          <w:rFonts w:cs="Times New Roman"/>
          <w:szCs w:val="21"/>
        </w:rPr>
        <w:t>Fe</w:t>
      </w:r>
      <w:r>
        <w:rPr>
          <w:rFonts w:cs="Times New Roman"/>
          <w:szCs w:val="21"/>
          <w:vertAlign w:val="subscript"/>
        </w:rPr>
        <w:t>2</w:t>
      </w:r>
      <w:r>
        <w:rPr>
          <w:rFonts w:cs="Times New Roman"/>
          <w:szCs w:val="21"/>
        </w:rPr>
        <w:t>O</w:t>
      </w:r>
      <w:r>
        <w:rPr>
          <w:rFonts w:cs="Times New Roman"/>
          <w:szCs w:val="21"/>
          <w:vertAlign w:val="subscript"/>
        </w:rPr>
        <w:t>3</w:t>
      </w:r>
      <w:r>
        <w:rPr>
          <w:rFonts w:cs="Times New Roman"/>
        </w:rPr>
        <w:t>、</w:t>
      </w:r>
      <w:r>
        <w:rPr>
          <w:rFonts w:cs="Times New Roman"/>
          <w:szCs w:val="21"/>
        </w:rPr>
        <w:t>CaO</w:t>
      </w:r>
      <w:r>
        <w:rPr>
          <w:rFonts w:cs="Times New Roman"/>
        </w:rPr>
        <w:t>等成分。根据《固体废物分类与代码目录》（2024年第4号），硅渣属于工业固体废物，是铁合金冶炼行业生产过程中产生的冶炼废渣，废物种类为SW01冶炼废渣，类别代码为314-001-S01。硅渣</w:t>
      </w:r>
      <w:r>
        <w:rPr>
          <w:rFonts w:cs="Times New Roman"/>
          <w:szCs w:val="21"/>
        </w:rPr>
        <w:t>出售给</w:t>
      </w:r>
      <w:r>
        <w:rPr>
          <w:rFonts w:hint="eastAsia" w:cs="Times New Roman"/>
          <w:szCs w:val="21"/>
        </w:rPr>
        <w:t>其他生产企业</w:t>
      </w:r>
      <w:r>
        <w:rPr>
          <w:rFonts w:cs="Times New Roman"/>
        </w:rPr>
        <w:t>综合利用。</w:t>
      </w:r>
    </w:p>
    <w:p w14:paraId="464E4DFA">
      <w:pPr>
        <w:pStyle w:val="117"/>
        <w:ind w:firstLine="480"/>
        <w:rPr>
          <w:rFonts w:cs="Times New Roman"/>
        </w:rPr>
      </w:pPr>
      <w:r>
        <w:rPr>
          <w:rFonts w:cs="Times New Roman"/>
        </w:rPr>
        <w:t>（</w:t>
      </w:r>
      <w:r>
        <w:rPr>
          <w:rFonts w:hint="eastAsia" w:cs="Times New Roman"/>
        </w:rPr>
        <w:t>4</w:t>
      </w:r>
      <w:r>
        <w:rPr>
          <w:rFonts w:cs="Times New Roman"/>
        </w:rPr>
        <w:t>）废耐火材料（S</w:t>
      </w:r>
      <w:r>
        <w:rPr>
          <w:rFonts w:hint="eastAsia"/>
          <w:vertAlign w:val="subscript"/>
        </w:rPr>
        <w:t>2-</w:t>
      </w:r>
      <w:r>
        <w:rPr>
          <w:rFonts w:hint="eastAsia" w:cs="Times New Roman"/>
          <w:vertAlign w:val="subscript"/>
        </w:rPr>
        <w:t>4</w:t>
      </w:r>
      <w:r>
        <w:rPr>
          <w:rFonts w:cs="Times New Roman"/>
        </w:rPr>
        <w:t>）</w:t>
      </w:r>
    </w:p>
    <w:p w14:paraId="4512422B">
      <w:pPr>
        <w:pStyle w:val="117"/>
        <w:ind w:firstLine="480"/>
        <w:rPr>
          <w:rFonts w:cs="Times New Roman"/>
        </w:rPr>
      </w:pPr>
      <w:r>
        <w:rPr>
          <w:rFonts w:cs="Times New Roman"/>
        </w:rPr>
        <w:t>矿热炉及铁水包使用的耐火材料主要为碳砖、高铝砖、黏土砖。碳砖：碳砖是以碳质材料为原料，加入结合剂经高温</w:t>
      </w:r>
      <w:r>
        <w:rPr>
          <w:rFonts w:hint="eastAsia" w:cs="Times New Roman"/>
        </w:rPr>
        <w:t>烧制</w:t>
      </w:r>
      <w:r>
        <w:rPr>
          <w:rFonts w:cs="Times New Roman"/>
        </w:rPr>
        <w:t>而成；高铝砖是由矾土或其他氧化铝含量较高的原料经成型和煅烧而成；黏土砖其主要成分为：氧化铝和二氧化硅，无腐蚀性、毒性成分。废耐火砖产生量约为160t/a。根据《固体废物分类与代码目录》（2024年第4号），废耐火材料属于工业固体废物，是铁合金冶炼行业生产过程中产生的其他工业固体废物，废物种类为SW59其他工业固体废物，类别代码为314-003-S59。废耐火材料</w:t>
      </w:r>
      <w:r>
        <w:rPr>
          <w:rFonts w:cs="Times New Roman"/>
          <w:szCs w:val="21"/>
        </w:rPr>
        <w:t>委托建材厂或耐火材料厂</w:t>
      </w:r>
      <w:r>
        <w:rPr>
          <w:rFonts w:hint="eastAsia" w:cs="Times New Roman"/>
          <w:szCs w:val="21"/>
        </w:rPr>
        <w:t>综合利用</w:t>
      </w:r>
      <w:r>
        <w:rPr>
          <w:rFonts w:cs="Times New Roman"/>
          <w:szCs w:val="21"/>
        </w:rPr>
        <w:t>。</w:t>
      </w:r>
    </w:p>
    <w:p w14:paraId="688136FF">
      <w:pPr>
        <w:pStyle w:val="117"/>
        <w:ind w:firstLine="480"/>
        <w:rPr>
          <w:rFonts w:cs="Times New Roman"/>
        </w:rPr>
      </w:pPr>
      <w:r>
        <w:rPr>
          <w:rFonts w:cs="Times New Roman"/>
        </w:rPr>
        <w:t>（</w:t>
      </w:r>
      <w:r>
        <w:rPr>
          <w:rFonts w:hint="eastAsia" w:cs="Times New Roman"/>
        </w:rPr>
        <w:t>5</w:t>
      </w:r>
      <w:r>
        <w:rPr>
          <w:rFonts w:cs="Times New Roman"/>
        </w:rPr>
        <w:t>）废锭模（S</w:t>
      </w:r>
      <w:r>
        <w:rPr>
          <w:rFonts w:hint="eastAsia"/>
          <w:vertAlign w:val="subscript"/>
        </w:rPr>
        <w:t>2-</w:t>
      </w:r>
      <w:r>
        <w:rPr>
          <w:rFonts w:hint="eastAsia" w:cs="Times New Roman"/>
          <w:vertAlign w:val="subscript"/>
        </w:rPr>
        <w:t>5</w:t>
      </w:r>
      <w:r>
        <w:rPr>
          <w:rFonts w:cs="Times New Roman"/>
        </w:rPr>
        <w:t>）</w:t>
      </w:r>
    </w:p>
    <w:p w14:paraId="4027CA80">
      <w:pPr>
        <w:pStyle w:val="117"/>
        <w:ind w:firstLine="480"/>
        <w:rPr>
          <w:rFonts w:cs="Times New Roman"/>
        </w:rPr>
      </w:pPr>
      <w:r>
        <w:rPr>
          <w:rFonts w:cs="Times New Roman"/>
        </w:rPr>
        <w:t>铁水包的合金采用铸铁材料锭模。这种浅锭模能使合金迅速凝固，防止化学成分偏析；还可使韧性合金增加脆性。废锭模损坏出现</w:t>
      </w:r>
      <w:r>
        <w:rPr>
          <w:rFonts w:hint="eastAsia" w:cs="Times New Roman"/>
        </w:rPr>
        <w:t>表面</w:t>
      </w:r>
      <w:r>
        <w:rPr>
          <w:rFonts w:cs="Times New Roman"/>
        </w:rPr>
        <w:t>严重</w:t>
      </w:r>
      <w:r>
        <w:rPr>
          <w:rFonts w:hint="eastAsia" w:cs="Times New Roman"/>
        </w:rPr>
        <w:t>皲裂</w:t>
      </w:r>
      <w:r>
        <w:rPr>
          <w:rFonts w:cs="Times New Roman"/>
        </w:rPr>
        <w:t>、冲刷侵蚀成深坑以至于造成脱模困难和锭模炸裂等。根据建设单位提供资料，废锭模产生量约为280t/a，主要铸铁材料。根据《固体废物分类与代码目录》（2024年第4号），废锭模属于工业固体废物，是铁合金冶炼行业生产过程中产生的废铸铁材料，废物种类为SW59其他工业固体废物，类别代码为314-099-S59，废锭模</w:t>
      </w:r>
      <w:r>
        <w:rPr>
          <w:rFonts w:cs="Times New Roman"/>
          <w:szCs w:val="21"/>
        </w:rPr>
        <w:t>外售综合利用</w:t>
      </w:r>
      <w:r>
        <w:rPr>
          <w:rFonts w:cs="Times New Roman"/>
        </w:rPr>
        <w:t>。</w:t>
      </w:r>
    </w:p>
    <w:p w14:paraId="51905FA0">
      <w:pPr>
        <w:pStyle w:val="117"/>
        <w:ind w:firstLine="480"/>
        <w:rPr>
          <w:rFonts w:cs="Times New Roman"/>
          <w:szCs w:val="21"/>
        </w:rPr>
        <w:sectPr>
          <w:pgSz w:w="11906" w:h="16838"/>
          <w:pgMar w:top="1440" w:right="1800" w:bottom="1440" w:left="1800" w:header="851" w:footer="992" w:gutter="0"/>
          <w:cols w:space="425" w:num="1"/>
          <w:docGrid w:type="lines" w:linePitch="312" w:charSpace="0"/>
        </w:sectPr>
      </w:pPr>
      <w:r>
        <w:rPr>
          <w:rFonts w:hint="eastAsia"/>
        </w:rPr>
        <w:t>硅铁合金生产线</w:t>
      </w:r>
      <w:r>
        <w:rPr>
          <w:rFonts w:cs="Times New Roman"/>
          <w:szCs w:val="21"/>
        </w:rPr>
        <w:t>固体废物产排情况见表3.</w:t>
      </w:r>
      <w:r>
        <w:rPr>
          <w:rFonts w:hint="eastAsia" w:cs="Times New Roman"/>
          <w:szCs w:val="21"/>
        </w:rPr>
        <w:t>4-15</w:t>
      </w:r>
      <w:r>
        <w:rPr>
          <w:rFonts w:cs="Times New Roman"/>
          <w:szCs w:val="21"/>
        </w:rPr>
        <w:t>。</w:t>
      </w:r>
    </w:p>
    <w:p w14:paraId="2AB14FC6">
      <w:pPr>
        <w:pStyle w:val="118"/>
        <w:rPr>
          <w:u w:color="000000"/>
        </w:rPr>
      </w:pPr>
      <w:r>
        <w:t>表3.</w:t>
      </w:r>
      <w:r>
        <w:rPr>
          <w:rFonts w:hint="eastAsia"/>
        </w:rPr>
        <w:t>4-15</w:t>
      </w:r>
      <w:r>
        <w:t xml:space="preserve">     硅铁合金生产线固体废物污染源源强核算表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7"/>
        <w:gridCol w:w="1891"/>
        <w:gridCol w:w="1951"/>
        <w:gridCol w:w="1384"/>
        <w:gridCol w:w="2438"/>
        <w:gridCol w:w="1222"/>
        <w:gridCol w:w="1384"/>
        <w:gridCol w:w="3167"/>
      </w:tblGrid>
      <w:tr w14:paraId="4FDD8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6F4E1FD1">
            <w:pPr>
              <w:pStyle w:val="133"/>
              <w:rPr>
                <w:rFonts w:cs="Times New Roman"/>
                <w:b/>
                <w:bCs/>
              </w:rPr>
            </w:pPr>
            <w:r>
              <w:rPr>
                <w:rFonts w:cs="Times New Roman"/>
                <w:b/>
                <w:bCs/>
              </w:rPr>
              <w:t>编号</w:t>
            </w:r>
          </w:p>
        </w:tc>
        <w:tc>
          <w:tcPr>
            <w:tcW w:w="667" w:type="pct"/>
            <w:vAlign w:val="center"/>
          </w:tcPr>
          <w:p w14:paraId="23277A4E">
            <w:pPr>
              <w:pStyle w:val="133"/>
              <w:rPr>
                <w:rFonts w:cs="Times New Roman"/>
                <w:b/>
                <w:bCs/>
              </w:rPr>
            </w:pPr>
            <w:r>
              <w:rPr>
                <w:rFonts w:cs="Times New Roman"/>
                <w:b/>
                <w:bCs/>
              </w:rPr>
              <w:t>装置</w:t>
            </w:r>
          </w:p>
        </w:tc>
        <w:tc>
          <w:tcPr>
            <w:tcW w:w="688" w:type="pct"/>
            <w:vAlign w:val="center"/>
          </w:tcPr>
          <w:p w14:paraId="3C8BD309">
            <w:pPr>
              <w:pStyle w:val="133"/>
              <w:rPr>
                <w:rFonts w:cs="Times New Roman"/>
                <w:b/>
                <w:bCs/>
              </w:rPr>
            </w:pPr>
            <w:r>
              <w:rPr>
                <w:rFonts w:cs="Times New Roman"/>
                <w:b/>
                <w:bCs/>
              </w:rPr>
              <w:t>名称</w:t>
            </w:r>
          </w:p>
        </w:tc>
        <w:tc>
          <w:tcPr>
            <w:tcW w:w="488" w:type="pct"/>
            <w:vAlign w:val="center"/>
          </w:tcPr>
          <w:p w14:paraId="5B2BCBCC">
            <w:pPr>
              <w:pStyle w:val="133"/>
              <w:rPr>
                <w:rFonts w:cs="Times New Roman"/>
                <w:b/>
                <w:bCs/>
              </w:rPr>
            </w:pPr>
            <w:r>
              <w:rPr>
                <w:rFonts w:cs="Times New Roman"/>
                <w:b/>
                <w:bCs/>
              </w:rPr>
              <w:t>产生量（t/a）</w:t>
            </w:r>
          </w:p>
        </w:tc>
        <w:tc>
          <w:tcPr>
            <w:tcW w:w="860" w:type="pct"/>
            <w:vAlign w:val="center"/>
          </w:tcPr>
          <w:p w14:paraId="3A362E8C">
            <w:pPr>
              <w:pStyle w:val="133"/>
              <w:rPr>
                <w:rFonts w:cs="Times New Roman"/>
                <w:b/>
                <w:bCs/>
              </w:rPr>
            </w:pPr>
            <w:r>
              <w:rPr>
                <w:rFonts w:cs="Times New Roman"/>
                <w:b/>
                <w:bCs/>
              </w:rPr>
              <w:t>主要组成</w:t>
            </w:r>
          </w:p>
        </w:tc>
        <w:tc>
          <w:tcPr>
            <w:tcW w:w="431" w:type="pct"/>
            <w:vAlign w:val="center"/>
          </w:tcPr>
          <w:p w14:paraId="4BA477BE">
            <w:pPr>
              <w:pStyle w:val="133"/>
              <w:rPr>
                <w:rFonts w:cs="Times New Roman"/>
                <w:b/>
                <w:bCs/>
              </w:rPr>
            </w:pPr>
            <w:r>
              <w:rPr>
                <w:rFonts w:cs="Times New Roman"/>
                <w:b/>
                <w:bCs/>
              </w:rPr>
              <w:t>废物类别</w:t>
            </w:r>
          </w:p>
        </w:tc>
        <w:tc>
          <w:tcPr>
            <w:tcW w:w="488" w:type="pct"/>
            <w:vAlign w:val="center"/>
          </w:tcPr>
          <w:p w14:paraId="7F92876A">
            <w:pPr>
              <w:pStyle w:val="133"/>
              <w:rPr>
                <w:rFonts w:cs="Times New Roman"/>
                <w:b/>
                <w:bCs/>
              </w:rPr>
            </w:pPr>
            <w:r>
              <w:rPr>
                <w:rFonts w:cs="Times New Roman"/>
                <w:b/>
                <w:bCs/>
              </w:rPr>
              <w:t>废物代码</w:t>
            </w:r>
          </w:p>
        </w:tc>
        <w:tc>
          <w:tcPr>
            <w:tcW w:w="1117" w:type="pct"/>
            <w:vAlign w:val="center"/>
          </w:tcPr>
          <w:p w14:paraId="3361F415">
            <w:pPr>
              <w:pStyle w:val="133"/>
              <w:rPr>
                <w:rFonts w:cs="Times New Roman"/>
                <w:b/>
                <w:bCs/>
              </w:rPr>
            </w:pPr>
            <w:r>
              <w:rPr>
                <w:rFonts w:cs="Times New Roman"/>
                <w:b/>
                <w:bCs/>
              </w:rPr>
              <w:t>措施及去向</w:t>
            </w:r>
          </w:p>
        </w:tc>
      </w:tr>
      <w:tr w14:paraId="73404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0062B77C">
            <w:pPr>
              <w:pStyle w:val="133"/>
              <w:rPr>
                <w:rFonts w:cs="Times New Roman"/>
              </w:rPr>
            </w:pPr>
            <w:bookmarkStart w:id="349" w:name="_Hlk184310699"/>
            <w:r>
              <w:rPr>
                <w:rFonts w:cs="Times New Roman"/>
              </w:rPr>
              <w:t>S</w:t>
            </w:r>
            <w:r>
              <w:rPr>
                <w:rFonts w:hint="eastAsia"/>
              </w:rPr>
              <w:t>2-</w:t>
            </w:r>
            <w:r>
              <w:rPr>
                <w:rFonts w:cs="Times New Roman"/>
              </w:rPr>
              <w:t>1</w:t>
            </w:r>
          </w:p>
        </w:tc>
        <w:tc>
          <w:tcPr>
            <w:tcW w:w="667" w:type="pct"/>
            <w:vAlign w:val="center"/>
          </w:tcPr>
          <w:p w14:paraId="6625B163">
            <w:pPr>
              <w:pStyle w:val="133"/>
              <w:rPr>
                <w:rFonts w:cs="Times New Roman"/>
              </w:rPr>
            </w:pPr>
            <w:r>
              <w:rPr>
                <w:rFonts w:cs="Times New Roman"/>
              </w:rPr>
              <w:t>原料系统布袋除尘器</w:t>
            </w:r>
          </w:p>
        </w:tc>
        <w:tc>
          <w:tcPr>
            <w:tcW w:w="688" w:type="pct"/>
            <w:vAlign w:val="center"/>
          </w:tcPr>
          <w:p w14:paraId="4F131CA6">
            <w:pPr>
              <w:pStyle w:val="133"/>
              <w:rPr>
                <w:rFonts w:cs="Times New Roman"/>
              </w:rPr>
            </w:pPr>
            <w:r>
              <w:rPr>
                <w:rFonts w:cs="Times New Roman"/>
              </w:rPr>
              <w:t>原料系统收尘灰</w:t>
            </w:r>
          </w:p>
        </w:tc>
        <w:tc>
          <w:tcPr>
            <w:tcW w:w="488" w:type="pct"/>
            <w:vAlign w:val="center"/>
          </w:tcPr>
          <w:p w14:paraId="2B3EF3EF">
            <w:pPr>
              <w:pStyle w:val="133"/>
              <w:rPr>
                <w:rFonts w:cs="Times New Roman"/>
              </w:rPr>
            </w:pPr>
            <w:r>
              <w:rPr>
                <w:rFonts w:eastAsia="等线" w:cs="Times New Roman"/>
                <w:color w:val="000000"/>
                <w:szCs w:val="21"/>
              </w:rPr>
              <w:t xml:space="preserve">36.10 </w:t>
            </w:r>
          </w:p>
        </w:tc>
        <w:tc>
          <w:tcPr>
            <w:tcW w:w="860" w:type="pct"/>
            <w:vAlign w:val="center"/>
          </w:tcPr>
          <w:p w14:paraId="2920D352">
            <w:pPr>
              <w:pStyle w:val="133"/>
              <w:rPr>
                <w:rFonts w:cs="Times New Roman"/>
              </w:rPr>
            </w:pPr>
            <w:r>
              <w:rPr>
                <w:rFonts w:cs="Times New Roman"/>
              </w:rPr>
              <w:t>硅石、兰炭、球团</w:t>
            </w:r>
          </w:p>
        </w:tc>
        <w:tc>
          <w:tcPr>
            <w:tcW w:w="431" w:type="pct"/>
            <w:vAlign w:val="center"/>
          </w:tcPr>
          <w:p w14:paraId="6B57ACCE">
            <w:pPr>
              <w:pStyle w:val="133"/>
              <w:rPr>
                <w:rFonts w:cs="Times New Roman"/>
              </w:rPr>
            </w:pPr>
            <w:r>
              <w:rPr>
                <w:rFonts w:cs="Times New Roman"/>
              </w:rPr>
              <w:t>SW59</w:t>
            </w:r>
          </w:p>
        </w:tc>
        <w:tc>
          <w:tcPr>
            <w:tcW w:w="488" w:type="pct"/>
            <w:vAlign w:val="center"/>
          </w:tcPr>
          <w:p w14:paraId="1D8D47A2">
            <w:pPr>
              <w:pStyle w:val="133"/>
              <w:rPr>
                <w:rFonts w:cs="Times New Roman"/>
              </w:rPr>
            </w:pPr>
            <w:r>
              <w:rPr>
                <w:rFonts w:cs="Times New Roman"/>
              </w:rPr>
              <w:t>314-099-S59</w:t>
            </w:r>
          </w:p>
        </w:tc>
        <w:tc>
          <w:tcPr>
            <w:tcW w:w="1117" w:type="pct"/>
            <w:vAlign w:val="center"/>
          </w:tcPr>
          <w:p w14:paraId="5001E1CD">
            <w:pPr>
              <w:pStyle w:val="133"/>
              <w:rPr>
                <w:rFonts w:cs="Times New Roman"/>
              </w:rPr>
            </w:pPr>
            <w:r>
              <w:rPr>
                <w:rFonts w:cs="Times New Roman"/>
              </w:rPr>
              <w:t>回用于矿热炉</w:t>
            </w:r>
          </w:p>
        </w:tc>
      </w:tr>
      <w:tr w14:paraId="0CD3C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0418AE48">
            <w:pPr>
              <w:pStyle w:val="133"/>
              <w:rPr>
                <w:rFonts w:cs="Times New Roman"/>
              </w:rPr>
            </w:pPr>
            <w:r>
              <w:rPr>
                <w:rFonts w:cs="Times New Roman"/>
              </w:rPr>
              <w:t>S</w:t>
            </w:r>
            <w:r>
              <w:rPr>
                <w:rFonts w:hint="eastAsia"/>
              </w:rPr>
              <w:t>2-</w:t>
            </w:r>
            <w:r>
              <w:rPr>
                <w:rFonts w:cs="Times New Roman"/>
              </w:rPr>
              <w:t>2</w:t>
            </w:r>
          </w:p>
        </w:tc>
        <w:tc>
          <w:tcPr>
            <w:tcW w:w="667" w:type="pct"/>
            <w:vAlign w:val="center"/>
          </w:tcPr>
          <w:p w14:paraId="41E2C35E">
            <w:pPr>
              <w:pStyle w:val="133"/>
              <w:rPr>
                <w:rFonts w:cs="Times New Roman"/>
              </w:rPr>
            </w:pPr>
            <w:r>
              <w:rPr>
                <w:rFonts w:cs="Times New Roman"/>
              </w:rPr>
              <w:t>全厂生产车间</w:t>
            </w:r>
          </w:p>
        </w:tc>
        <w:tc>
          <w:tcPr>
            <w:tcW w:w="688" w:type="pct"/>
            <w:vAlign w:val="center"/>
          </w:tcPr>
          <w:p w14:paraId="336DC45E">
            <w:pPr>
              <w:pStyle w:val="133"/>
              <w:rPr>
                <w:rFonts w:cs="Times New Roman"/>
              </w:rPr>
            </w:pPr>
            <w:r>
              <w:rPr>
                <w:rFonts w:cs="Times New Roman"/>
              </w:rPr>
              <w:t>车间落料</w:t>
            </w:r>
          </w:p>
        </w:tc>
        <w:tc>
          <w:tcPr>
            <w:tcW w:w="488" w:type="pct"/>
            <w:vAlign w:val="center"/>
          </w:tcPr>
          <w:p w14:paraId="15130E1D">
            <w:pPr>
              <w:pStyle w:val="133"/>
              <w:rPr>
                <w:rFonts w:cs="Times New Roman"/>
              </w:rPr>
            </w:pPr>
            <w:r>
              <w:rPr>
                <w:rFonts w:eastAsia="等线" w:cs="Times New Roman"/>
                <w:color w:val="000000"/>
                <w:szCs w:val="21"/>
              </w:rPr>
              <w:t>79.4</w:t>
            </w:r>
            <w:r>
              <w:rPr>
                <w:rFonts w:hint="eastAsia" w:eastAsia="等线" w:cs="Times New Roman"/>
                <w:color w:val="000000"/>
                <w:szCs w:val="21"/>
              </w:rPr>
              <w:t>4</w:t>
            </w:r>
          </w:p>
        </w:tc>
        <w:tc>
          <w:tcPr>
            <w:tcW w:w="860" w:type="pct"/>
            <w:vAlign w:val="center"/>
          </w:tcPr>
          <w:p w14:paraId="17111859">
            <w:pPr>
              <w:pStyle w:val="133"/>
              <w:rPr>
                <w:rFonts w:cs="Times New Roman"/>
              </w:rPr>
            </w:pPr>
            <w:r>
              <w:rPr>
                <w:rFonts w:cs="Times New Roman"/>
              </w:rPr>
              <w:t>硅石、兰炭、球团、硅铁</w:t>
            </w:r>
          </w:p>
        </w:tc>
        <w:tc>
          <w:tcPr>
            <w:tcW w:w="431" w:type="pct"/>
            <w:vAlign w:val="center"/>
          </w:tcPr>
          <w:p w14:paraId="05DFCF73">
            <w:pPr>
              <w:pStyle w:val="133"/>
              <w:rPr>
                <w:rFonts w:cs="Times New Roman"/>
              </w:rPr>
            </w:pPr>
            <w:r>
              <w:rPr>
                <w:rFonts w:cs="Times New Roman"/>
              </w:rPr>
              <w:t>SW59</w:t>
            </w:r>
          </w:p>
        </w:tc>
        <w:tc>
          <w:tcPr>
            <w:tcW w:w="488" w:type="pct"/>
            <w:vAlign w:val="center"/>
          </w:tcPr>
          <w:p w14:paraId="76261C55">
            <w:pPr>
              <w:pStyle w:val="133"/>
              <w:rPr>
                <w:rFonts w:cs="Times New Roman"/>
              </w:rPr>
            </w:pPr>
            <w:r>
              <w:rPr>
                <w:rFonts w:cs="Times New Roman"/>
              </w:rPr>
              <w:t>314-099-S59</w:t>
            </w:r>
          </w:p>
        </w:tc>
        <w:tc>
          <w:tcPr>
            <w:tcW w:w="1117" w:type="pct"/>
            <w:vAlign w:val="center"/>
          </w:tcPr>
          <w:p w14:paraId="2F19D381">
            <w:pPr>
              <w:pStyle w:val="133"/>
              <w:rPr>
                <w:rFonts w:cs="Times New Roman"/>
              </w:rPr>
            </w:pPr>
            <w:r>
              <w:rPr>
                <w:rFonts w:cs="Times New Roman"/>
              </w:rPr>
              <w:t>回用于矿热炉</w:t>
            </w:r>
          </w:p>
        </w:tc>
      </w:tr>
      <w:tr w14:paraId="2658E8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32B7CEB9">
            <w:pPr>
              <w:pStyle w:val="133"/>
              <w:rPr>
                <w:rFonts w:cs="Times New Roman"/>
              </w:rPr>
            </w:pPr>
            <w:r>
              <w:rPr>
                <w:rFonts w:cs="Times New Roman"/>
              </w:rPr>
              <w:t>S</w:t>
            </w:r>
            <w:r>
              <w:rPr>
                <w:rFonts w:hint="eastAsia"/>
              </w:rPr>
              <w:t>2-</w:t>
            </w:r>
            <w:r>
              <w:rPr>
                <w:rFonts w:cs="Times New Roman"/>
              </w:rPr>
              <w:t>3</w:t>
            </w:r>
          </w:p>
        </w:tc>
        <w:tc>
          <w:tcPr>
            <w:tcW w:w="667" w:type="pct"/>
            <w:vAlign w:val="center"/>
          </w:tcPr>
          <w:p w14:paraId="50826081">
            <w:pPr>
              <w:pStyle w:val="133"/>
              <w:rPr>
                <w:rFonts w:cs="Times New Roman"/>
              </w:rPr>
            </w:pPr>
            <w:r>
              <w:rPr>
                <w:rFonts w:cs="Times New Roman"/>
              </w:rPr>
              <w:t>矿热炉</w:t>
            </w:r>
          </w:p>
        </w:tc>
        <w:tc>
          <w:tcPr>
            <w:tcW w:w="688" w:type="pct"/>
            <w:vAlign w:val="center"/>
          </w:tcPr>
          <w:p w14:paraId="34BD11C6">
            <w:pPr>
              <w:pStyle w:val="133"/>
              <w:rPr>
                <w:rFonts w:cs="Times New Roman"/>
              </w:rPr>
            </w:pPr>
            <w:r>
              <w:rPr>
                <w:rFonts w:cs="Times New Roman"/>
              </w:rPr>
              <w:t>矿热炉硅渣</w:t>
            </w:r>
          </w:p>
        </w:tc>
        <w:tc>
          <w:tcPr>
            <w:tcW w:w="488" w:type="pct"/>
            <w:vAlign w:val="center"/>
          </w:tcPr>
          <w:p w14:paraId="545FBBC2">
            <w:pPr>
              <w:pStyle w:val="133"/>
              <w:rPr>
                <w:rFonts w:cs="Times New Roman"/>
              </w:rPr>
            </w:pPr>
            <w:r>
              <w:rPr>
                <w:rFonts w:eastAsia="等线" w:cs="Times New Roman"/>
                <w:color w:val="000000"/>
                <w:szCs w:val="21"/>
              </w:rPr>
              <w:t>3360</w:t>
            </w:r>
          </w:p>
        </w:tc>
        <w:tc>
          <w:tcPr>
            <w:tcW w:w="860" w:type="pct"/>
            <w:vAlign w:val="center"/>
          </w:tcPr>
          <w:p w14:paraId="77B2F1B7">
            <w:pPr>
              <w:pStyle w:val="133"/>
              <w:rPr>
                <w:rFonts w:cs="Times New Roman"/>
              </w:rPr>
            </w:pPr>
            <w:r>
              <w:rPr>
                <w:rFonts w:cs="Times New Roman"/>
              </w:rPr>
              <w:t>Si、Al、SiO</w:t>
            </w:r>
            <w:r>
              <w:rPr>
                <w:rFonts w:cs="Times New Roman"/>
                <w:vertAlign w:val="subscript"/>
              </w:rPr>
              <w:t>2</w:t>
            </w:r>
            <w:r>
              <w:rPr>
                <w:rFonts w:cs="Times New Roman"/>
              </w:rPr>
              <w:t>、SiC、FeSi、Fe</w:t>
            </w:r>
            <w:r>
              <w:rPr>
                <w:rFonts w:cs="Times New Roman"/>
                <w:vertAlign w:val="subscript"/>
              </w:rPr>
              <w:t>2</w:t>
            </w:r>
            <w:r>
              <w:rPr>
                <w:rFonts w:cs="Times New Roman"/>
              </w:rPr>
              <w:t>O</w:t>
            </w:r>
            <w:r>
              <w:rPr>
                <w:rFonts w:cs="Times New Roman"/>
                <w:vertAlign w:val="subscript"/>
              </w:rPr>
              <w:t>3</w:t>
            </w:r>
            <w:r>
              <w:rPr>
                <w:rFonts w:cs="Times New Roman"/>
              </w:rPr>
              <w:t>、CaO</w:t>
            </w:r>
          </w:p>
        </w:tc>
        <w:tc>
          <w:tcPr>
            <w:tcW w:w="431" w:type="pct"/>
            <w:vAlign w:val="center"/>
          </w:tcPr>
          <w:p w14:paraId="26EFFD6E">
            <w:pPr>
              <w:pStyle w:val="133"/>
              <w:rPr>
                <w:rFonts w:cs="Times New Roman"/>
              </w:rPr>
            </w:pPr>
            <w:r>
              <w:rPr>
                <w:rFonts w:cs="Times New Roman"/>
              </w:rPr>
              <w:t>SW01</w:t>
            </w:r>
          </w:p>
        </w:tc>
        <w:tc>
          <w:tcPr>
            <w:tcW w:w="488" w:type="pct"/>
            <w:vAlign w:val="center"/>
          </w:tcPr>
          <w:p w14:paraId="5FDA39DA">
            <w:pPr>
              <w:pStyle w:val="133"/>
              <w:rPr>
                <w:rFonts w:cs="Times New Roman"/>
              </w:rPr>
            </w:pPr>
            <w:r>
              <w:rPr>
                <w:rFonts w:cs="Times New Roman"/>
              </w:rPr>
              <w:t>314-001-S01</w:t>
            </w:r>
          </w:p>
        </w:tc>
        <w:tc>
          <w:tcPr>
            <w:tcW w:w="1117" w:type="pct"/>
            <w:vAlign w:val="center"/>
          </w:tcPr>
          <w:p w14:paraId="51EA58AE">
            <w:pPr>
              <w:pStyle w:val="133"/>
              <w:rPr>
                <w:rFonts w:cs="Times New Roman"/>
              </w:rPr>
            </w:pPr>
            <w:r>
              <w:rPr>
                <w:rFonts w:hint="eastAsia" w:cs="Times New Roman"/>
              </w:rPr>
              <w:t>厂外</w:t>
            </w:r>
            <w:r>
              <w:rPr>
                <w:rFonts w:cs="Times New Roman"/>
              </w:rPr>
              <w:t>综合利用</w:t>
            </w:r>
          </w:p>
        </w:tc>
      </w:tr>
      <w:tr w14:paraId="335A8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3BCAF039">
            <w:pPr>
              <w:pStyle w:val="133"/>
              <w:rPr>
                <w:rFonts w:cs="Times New Roman"/>
              </w:rPr>
            </w:pPr>
            <w:r>
              <w:rPr>
                <w:rFonts w:cs="Times New Roman"/>
              </w:rPr>
              <w:t>S</w:t>
            </w:r>
            <w:r>
              <w:rPr>
                <w:rFonts w:hint="eastAsia"/>
              </w:rPr>
              <w:t>2-</w:t>
            </w:r>
            <w:r>
              <w:rPr>
                <w:rFonts w:cs="Times New Roman"/>
              </w:rPr>
              <w:t>4</w:t>
            </w:r>
          </w:p>
        </w:tc>
        <w:tc>
          <w:tcPr>
            <w:tcW w:w="667" w:type="pct"/>
            <w:vAlign w:val="center"/>
          </w:tcPr>
          <w:p w14:paraId="736E88B4">
            <w:pPr>
              <w:pStyle w:val="133"/>
              <w:rPr>
                <w:rFonts w:cs="Times New Roman"/>
              </w:rPr>
            </w:pPr>
            <w:r>
              <w:rPr>
                <w:rFonts w:cs="Times New Roman"/>
              </w:rPr>
              <w:t>矿热炉</w:t>
            </w:r>
          </w:p>
        </w:tc>
        <w:tc>
          <w:tcPr>
            <w:tcW w:w="688" w:type="pct"/>
            <w:vAlign w:val="center"/>
          </w:tcPr>
          <w:p w14:paraId="727F64F6">
            <w:pPr>
              <w:pStyle w:val="133"/>
              <w:rPr>
                <w:rFonts w:cs="Times New Roman"/>
              </w:rPr>
            </w:pPr>
            <w:r>
              <w:rPr>
                <w:rFonts w:cs="Times New Roman"/>
              </w:rPr>
              <w:t>废耐火材料</w:t>
            </w:r>
          </w:p>
        </w:tc>
        <w:tc>
          <w:tcPr>
            <w:tcW w:w="488" w:type="pct"/>
            <w:vAlign w:val="center"/>
          </w:tcPr>
          <w:p w14:paraId="1C513013">
            <w:pPr>
              <w:pStyle w:val="133"/>
              <w:rPr>
                <w:rFonts w:cs="Times New Roman"/>
              </w:rPr>
            </w:pPr>
            <w:r>
              <w:rPr>
                <w:rFonts w:eastAsia="等线" w:cs="Times New Roman"/>
                <w:color w:val="000000"/>
                <w:szCs w:val="21"/>
              </w:rPr>
              <w:t>160</w:t>
            </w:r>
          </w:p>
        </w:tc>
        <w:tc>
          <w:tcPr>
            <w:tcW w:w="860" w:type="pct"/>
            <w:vAlign w:val="center"/>
          </w:tcPr>
          <w:p w14:paraId="71AE025F">
            <w:pPr>
              <w:pStyle w:val="133"/>
              <w:rPr>
                <w:rFonts w:cs="Times New Roman"/>
              </w:rPr>
            </w:pPr>
            <w:r>
              <w:rPr>
                <w:rFonts w:cs="Times New Roman"/>
              </w:rPr>
              <w:t>SiO</w:t>
            </w:r>
            <w:r>
              <w:rPr>
                <w:rFonts w:cs="Times New Roman"/>
                <w:vertAlign w:val="subscript"/>
              </w:rPr>
              <w:t>2</w:t>
            </w:r>
          </w:p>
        </w:tc>
        <w:tc>
          <w:tcPr>
            <w:tcW w:w="431" w:type="pct"/>
            <w:vAlign w:val="center"/>
          </w:tcPr>
          <w:p w14:paraId="3B9DDC91">
            <w:pPr>
              <w:pStyle w:val="133"/>
              <w:rPr>
                <w:rFonts w:cs="Times New Roman"/>
              </w:rPr>
            </w:pPr>
            <w:r>
              <w:rPr>
                <w:rFonts w:cs="Times New Roman"/>
              </w:rPr>
              <w:t>SW59</w:t>
            </w:r>
          </w:p>
        </w:tc>
        <w:tc>
          <w:tcPr>
            <w:tcW w:w="488" w:type="pct"/>
            <w:vAlign w:val="center"/>
          </w:tcPr>
          <w:p w14:paraId="32236970">
            <w:pPr>
              <w:pStyle w:val="133"/>
              <w:rPr>
                <w:rFonts w:cs="Times New Roman"/>
              </w:rPr>
            </w:pPr>
            <w:r>
              <w:rPr>
                <w:rFonts w:cs="Times New Roman"/>
              </w:rPr>
              <w:t>314-003-S59</w:t>
            </w:r>
          </w:p>
        </w:tc>
        <w:tc>
          <w:tcPr>
            <w:tcW w:w="1117" w:type="pct"/>
            <w:vAlign w:val="center"/>
          </w:tcPr>
          <w:p w14:paraId="1390C176">
            <w:pPr>
              <w:pStyle w:val="133"/>
              <w:rPr>
                <w:rFonts w:cs="Times New Roman"/>
              </w:rPr>
            </w:pPr>
            <w:r>
              <w:rPr>
                <w:rFonts w:hint="eastAsia" w:cs="Times New Roman"/>
              </w:rPr>
              <w:t>厂外综合利用</w:t>
            </w:r>
          </w:p>
        </w:tc>
      </w:tr>
      <w:tr w14:paraId="65C59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60" w:type="pct"/>
            <w:vAlign w:val="center"/>
          </w:tcPr>
          <w:p w14:paraId="32415FBA">
            <w:pPr>
              <w:pStyle w:val="133"/>
              <w:rPr>
                <w:rFonts w:cs="Times New Roman"/>
              </w:rPr>
            </w:pPr>
            <w:r>
              <w:rPr>
                <w:rFonts w:cs="Times New Roman"/>
              </w:rPr>
              <w:t>S</w:t>
            </w:r>
            <w:r>
              <w:rPr>
                <w:rFonts w:hint="eastAsia"/>
              </w:rPr>
              <w:t>2-</w:t>
            </w:r>
            <w:r>
              <w:rPr>
                <w:rFonts w:cs="Times New Roman"/>
              </w:rPr>
              <w:t>5</w:t>
            </w:r>
          </w:p>
        </w:tc>
        <w:tc>
          <w:tcPr>
            <w:tcW w:w="667" w:type="pct"/>
            <w:vAlign w:val="center"/>
          </w:tcPr>
          <w:p w14:paraId="110238D1">
            <w:pPr>
              <w:pStyle w:val="133"/>
              <w:rPr>
                <w:rFonts w:cs="Times New Roman"/>
              </w:rPr>
            </w:pPr>
            <w:r>
              <w:rPr>
                <w:rFonts w:cs="Times New Roman"/>
              </w:rPr>
              <w:t>浇铸机</w:t>
            </w:r>
          </w:p>
        </w:tc>
        <w:tc>
          <w:tcPr>
            <w:tcW w:w="688" w:type="pct"/>
            <w:vAlign w:val="center"/>
          </w:tcPr>
          <w:p w14:paraId="1D4A6007">
            <w:pPr>
              <w:pStyle w:val="133"/>
              <w:rPr>
                <w:rFonts w:cs="Times New Roman"/>
              </w:rPr>
            </w:pPr>
            <w:r>
              <w:rPr>
                <w:rFonts w:cs="Times New Roman"/>
              </w:rPr>
              <w:t>废锭模</w:t>
            </w:r>
          </w:p>
        </w:tc>
        <w:tc>
          <w:tcPr>
            <w:tcW w:w="488" w:type="pct"/>
            <w:vAlign w:val="center"/>
          </w:tcPr>
          <w:p w14:paraId="4952A590">
            <w:pPr>
              <w:pStyle w:val="133"/>
              <w:rPr>
                <w:rFonts w:cs="Times New Roman"/>
              </w:rPr>
            </w:pPr>
            <w:r>
              <w:rPr>
                <w:rFonts w:eastAsia="等线" w:cs="Times New Roman"/>
                <w:color w:val="000000"/>
                <w:szCs w:val="21"/>
              </w:rPr>
              <w:t>280</w:t>
            </w:r>
          </w:p>
        </w:tc>
        <w:tc>
          <w:tcPr>
            <w:tcW w:w="860" w:type="pct"/>
            <w:vAlign w:val="center"/>
          </w:tcPr>
          <w:p w14:paraId="02A667EC">
            <w:pPr>
              <w:pStyle w:val="133"/>
              <w:rPr>
                <w:rFonts w:cs="Times New Roman"/>
              </w:rPr>
            </w:pPr>
            <w:r>
              <w:rPr>
                <w:rFonts w:cs="Times New Roman"/>
              </w:rPr>
              <w:t>铸铁</w:t>
            </w:r>
          </w:p>
        </w:tc>
        <w:tc>
          <w:tcPr>
            <w:tcW w:w="431" w:type="pct"/>
            <w:vAlign w:val="center"/>
          </w:tcPr>
          <w:p w14:paraId="44ED7DB5">
            <w:pPr>
              <w:pStyle w:val="133"/>
              <w:rPr>
                <w:rFonts w:cs="Times New Roman"/>
              </w:rPr>
            </w:pPr>
            <w:r>
              <w:rPr>
                <w:rFonts w:cs="Times New Roman"/>
              </w:rPr>
              <w:t>SW59</w:t>
            </w:r>
          </w:p>
        </w:tc>
        <w:tc>
          <w:tcPr>
            <w:tcW w:w="488" w:type="pct"/>
            <w:vAlign w:val="center"/>
          </w:tcPr>
          <w:p w14:paraId="65FC72B4">
            <w:pPr>
              <w:pStyle w:val="133"/>
              <w:rPr>
                <w:rFonts w:cs="Times New Roman"/>
              </w:rPr>
            </w:pPr>
            <w:r>
              <w:rPr>
                <w:rFonts w:cs="Times New Roman"/>
              </w:rPr>
              <w:t>314-099-S59</w:t>
            </w:r>
          </w:p>
        </w:tc>
        <w:tc>
          <w:tcPr>
            <w:tcW w:w="1117" w:type="pct"/>
            <w:vAlign w:val="center"/>
          </w:tcPr>
          <w:p w14:paraId="20C94E17">
            <w:pPr>
              <w:pStyle w:val="133"/>
              <w:rPr>
                <w:rFonts w:cs="Times New Roman"/>
              </w:rPr>
            </w:pPr>
            <w:r>
              <w:rPr>
                <w:rFonts w:cs="Times New Roman"/>
              </w:rPr>
              <w:t>外售</w:t>
            </w:r>
          </w:p>
        </w:tc>
      </w:tr>
      <w:bookmarkEnd w:id="349"/>
    </w:tbl>
    <w:p w14:paraId="67F24098">
      <w:pPr>
        <w:pStyle w:val="38"/>
        <w:ind w:firstLine="480"/>
      </w:pPr>
    </w:p>
    <w:p w14:paraId="53A50360">
      <w:pPr>
        <w:pStyle w:val="38"/>
        <w:ind w:firstLine="480"/>
        <w:sectPr>
          <w:pgSz w:w="16838" w:h="11906" w:orient="landscape"/>
          <w:pgMar w:top="1800" w:right="1440" w:bottom="1800" w:left="1440" w:header="851" w:footer="992" w:gutter="0"/>
          <w:cols w:space="425" w:num="1"/>
          <w:docGrid w:type="lines" w:linePitch="326" w:charSpace="0"/>
        </w:sectPr>
      </w:pPr>
    </w:p>
    <w:p w14:paraId="7C7F52E3">
      <w:pPr>
        <w:pStyle w:val="944"/>
      </w:pPr>
      <w:r>
        <w:t>非正常工况</w:t>
      </w:r>
    </w:p>
    <w:p w14:paraId="3B9BC693">
      <w:pPr>
        <w:pStyle w:val="117"/>
        <w:ind w:firstLine="480"/>
        <w:rPr>
          <w:rFonts w:cs="Times New Roman"/>
        </w:rPr>
      </w:pPr>
      <w:r>
        <w:rPr>
          <w:rFonts w:hint="eastAsia"/>
        </w:rPr>
        <w:t>硅铁合金生产线</w:t>
      </w:r>
      <w:r>
        <w:rPr>
          <w:rFonts w:cs="Times New Roman"/>
        </w:rPr>
        <w:t>污染源主要是矿热炉烟气及各类含尘废气等。在完善的管理制度下，多套除尘系统同时出现事故排放的概率极小。矿热炉烟气净化系统污染物产生量最大，一旦出现事故，对环境危害程度较大。</w:t>
      </w:r>
      <w:r>
        <w:rPr>
          <w:rFonts w:hint="eastAsia" w:cs="Times New Roman"/>
        </w:rPr>
        <w:t>2台电炉的除尘系统</w:t>
      </w:r>
      <w:r>
        <w:rPr>
          <w:rFonts w:cs="Times New Roman"/>
        </w:rPr>
        <w:t>共用1个排气筒</w:t>
      </w:r>
      <w:r>
        <w:rPr>
          <w:rFonts w:hint="eastAsia" w:cs="Times New Roman"/>
        </w:rPr>
        <w:t>，考虑</w:t>
      </w:r>
      <w:r>
        <w:rPr>
          <w:rFonts w:cs="Times New Roman"/>
        </w:rPr>
        <w:t>2套</w:t>
      </w:r>
      <w:r>
        <w:rPr>
          <w:rFonts w:hint="eastAsia" w:cs="Times New Roman"/>
        </w:rPr>
        <w:t>除尘系统</w:t>
      </w:r>
      <w:r>
        <w:rPr>
          <w:rFonts w:cs="Times New Roman"/>
        </w:rPr>
        <w:t>中的1套</w:t>
      </w:r>
      <w:r>
        <w:rPr>
          <w:rFonts w:hint="eastAsia" w:cs="Times New Roman"/>
        </w:rPr>
        <w:t>布袋除尘器</w:t>
      </w:r>
      <w:r>
        <w:rPr>
          <w:rFonts w:cs="Times New Roman"/>
        </w:rPr>
        <w:t>发生故障情况下，可能出现除尘效率下降至50%的非正常工况，另1套</w:t>
      </w:r>
      <w:r>
        <w:rPr>
          <w:rFonts w:hint="eastAsia" w:cs="Times New Roman"/>
        </w:rPr>
        <w:t>除尘系统</w:t>
      </w:r>
      <w:r>
        <w:rPr>
          <w:rFonts w:cs="Times New Roman"/>
        </w:rPr>
        <w:t>正常运行。</w:t>
      </w:r>
    </w:p>
    <w:p w14:paraId="621DD5D5">
      <w:pPr>
        <w:pStyle w:val="117"/>
        <w:ind w:firstLine="480"/>
        <w:rPr>
          <w:rFonts w:cs="Times New Roman"/>
        </w:rPr>
      </w:pPr>
      <w:r>
        <w:rPr>
          <w:rFonts w:cs="Times New Roman"/>
        </w:rPr>
        <w:t>非正常工况下的矿热炉烟气污染物排放情况，见表3.</w:t>
      </w:r>
      <w:r>
        <w:rPr>
          <w:rFonts w:hint="eastAsia" w:cs="Times New Roman"/>
        </w:rPr>
        <w:t>4-16</w:t>
      </w:r>
      <w:r>
        <w:rPr>
          <w:rFonts w:cs="Times New Roman"/>
        </w:rPr>
        <w:t>。</w:t>
      </w:r>
    </w:p>
    <w:p w14:paraId="2DA143D1">
      <w:pPr>
        <w:pStyle w:val="118"/>
        <w:rPr>
          <w:rStyle w:val="872"/>
          <w:sz w:val="24"/>
        </w:rPr>
      </w:pPr>
      <w:r>
        <w:t>表3.</w:t>
      </w:r>
      <w:r>
        <w:rPr>
          <w:rFonts w:hint="eastAsia"/>
        </w:rPr>
        <w:t>4-16</w:t>
      </w:r>
      <w:r>
        <w:t xml:space="preserve">  非正常工况净化煤气事故放散废气产生与收集情况一览表</w:t>
      </w:r>
    </w:p>
    <w:tbl>
      <w:tblPr>
        <w:tblStyle w:val="67"/>
        <w:tblW w:w="4804"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77"/>
        <w:gridCol w:w="851"/>
        <w:gridCol w:w="613"/>
        <w:gridCol w:w="684"/>
        <w:gridCol w:w="701"/>
        <w:gridCol w:w="1167"/>
        <w:gridCol w:w="985"/>
        <w:gridCol w:w="1014"/>
        <w:gridCol w:w="917"/>
      </w:tblGrid>
      <w:tr w14:paraId="5B76B2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2" w:type="pct"/>
            <w:vMerge w:val="restart"/>
            <w:vAlign w:val="center"/>
          </w:tcPr>
          <w:p w14:paraId="1EB370EF">
            <w:pPr>
              <w:pStyle w:val="133"/>
              <w:rPr>
                <w:rFonts w:cs="Times New Roman"/>
                <w:b/>
                <w:bCs/>
              </w:rPr>
            </w:pPr>
            <w:r>
              <w:rPr>
                <w:rFonts w:cs="Times New Roman"/>
                <w:b/>
                <w:bCs/>
              </w:rPr>
              <w:t>污染源</w:t>
            </w:r>
          </w:p>
        </w:tc>
        <w:tc>
          <w:tcPr>
            <w:tcW w:w="1780" w:type="pct"/>
            <w:gridSpan w:val="4"/>
            <w:vAlign w:val="center"/>
          </w:tcPr>
          <w:p w14:paraId="650049A7">
            <w:pPr>
              <w:pStyle w:val="133"/>
              <w:rPr>
                <w:rFonts w:cs="Times New Roman"/>
                <w:b/>
                <w:bCs/>
              </w:rPr>
            </w:pPr>
            <w:r>
              <w:rPr>
                <w:rFonts w:cs="Times New Roman"/>
                <w:b/>
                <w:bCs/>
              </w:rPr>
              <w:t>排气筒参数</w:t>
            </w:r>
          </w:p>
        </w:tc>
        <w:tc>
          <w:tcPr>
            <w:tcW w:w="738" w:type="pct"/>
            <w:vMerge w:val="restart"/>
            <w:vAlign w:val="center"/>
          </w:tcPr>
          <w:p w14:paraId="57167AC9">
            <w:pPr>
              <w:pStyle w:val="133"/>
              <w:rPr>
                <w:rFonts w:cs="Times New Roman"/>
                <w:b/>
                <w:bCs/>
              </w:rPr>
            </w:pPr>
            <w:r>
              <w:rPr>
                <w:rFonts w:cs="Times New Roman"/>
                <w:b/>
                <w:bCs/>
              </w:rPr>
              <w:t>污染防治措施故障情况</w:t>
            </w:r>
          </w:p>
        </w:tc>
        <w:tc>
          <w:tcPr>
            <w:tcW w:w="1801" w:type="pct"/>
            <w:gridSpan w:val="3"/>
            <w:vAlign w:val="center"/>
          </w:tcPr>
          <w:p w14:paraId="1471592C">
            <w:pPr>
              <w:pStyle w:val="133"/>
              <w:rPr>
                <w:rFonts w:cs="Times New Roman"/>
                <w:b/>
                <w:bCs/>
              </w:rPr>
            </w:pPr>
            <w:r>
              <w:rPr>
                <w:rFonts w:cs="Times New Roman"/>
                <w:b/>
                <w:bCs/>
              </w:rPr>
              <w:t>污染物排放参数</w:t>
            </w:r>
          </w:p>
        </w:tc>
      </w:tr>
      <w:tr w14:paraId="0279C7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2" w:type="pct"/>
            <w:vMerge w:val="continue"/>
            <w:vAlign w:val="center"/>
          </w:tcPr>
          <w:p w14:paraId="73B9C0B9">
            <w:pPr>
              <w:pStyle w:val="133"/>
              <w:rPr>
                <w:rFonts w:cs="Times New Roman"/>
                <w:b/>
                <w:bCs/>
              </w:rPr>
            </w:pPr>
          </w:p>
        </w:tc>
        <w:tc>
          <w:tcPr>
            <w:tcW w:w="533" w:type="pct"/>
            <w:vAlign w:val="center"/>
          </w:tcPr>
          <w:p w14:paraId="382368A0">
            <w:pPr>
              <w:pStyle w:val="133"/>
              <w:rPr>
                <w:rFonts w:cs="Times New Roman"/>
                <w:b/>
                <w:bCs/>
              </w:rPr>
            </w:pPr>
            <w:r>
              <w:rPr>
                <w:rFonts w:cs="Times New Roman"/>
                <w:b/>
                <w:bCs/>
              </w:rPr>
              <w:t>排气量</w:t>
            </w:r>
          </w:p>
          <w:p w14:paraId="41719FDC">
            <w:pPr>
              <w:pStyle w:val="133"/>
              <w:rPr>
                <w:rFonts w:cs="Times New Roman"/>
                <w:b/>
                <w:bCs/>
              </w:rPr>
            </w:pPr>
            <w:r>
              <w:rPr>
                <w:rFonts w:cs="Times New Roman"/>
                <w:b/>
                <w:bCs/>
              </w:rPr>
              <w:t>（m³/h）</w:t>
            </w:r>
          </w:p>
        </w:tc>
        <w:tc>
          <w:tcPr>
            <w:tcW w:w="356" w:type="pct"/>
            <w:vAlign w:val="center"/>
          </w:tcPr>
          <w:p w14:paraId="3F0E9DAE">
            <w:pPr>
              <w:pStyle w:val="133"/>
              <w:rPr>
                <w:rFonts w:cs="Times New Roman"/>
                <w:b/>
                <w:bCs/>
              </w:rPr>
            </w:pPr>
            <w:r>
              <w:rPr>
                <w:rFonts w:cs="Times New Roman"/>
                <w:b/>
                <w:bCs/>
              </w:rPr>
              <w:t>高度</w:t>
            </w:r>
          </w:p>
          <w:p w14:paraId="2EC3DF20">
            <w:pPr>
              <w:pStyle w:val="133"/>
              <w:rPr>
                <w:rFonts w:cs="Times New Roman"/>
                <w:b/>
                <w:bCs/>
              </w:rPr>
            </w:pPr>
            <w:r>
              <w:rPr>
                <w:rFonts w:cs="Times New Roman"/>
                <w:b/>
                <w:bCs/>
              </w:rPr>
              <w:t>（m）</w:t>
            </w:r>
          </w:p>
        </w:tc>
        <w:tc>
          <w:tcPr>
            <w:tcW w:w="444" w:type="pct"/>
            <w:vAlign w:val="center"/>
          </w:tcPr>
          <w:p w14:paraId="2B5389F8">
            <w:pPr>
              <w:pStyle w:val="133"/>
              <w:rPr>
                <w:rFonts w:cs="Times New Roman"/>
                <w:b/>
                <w:bCs/>
              </w:rPr>
            </w:pPr>
            <w:r>
              <w:rPr>
                <w:rFonts w:cs="Times New Roman"/>
                <w:b/>
                <w:bCs/>
              </w:rPr>
              <w:t>出口内径（m）</w:t>
            </w:r>
          </w:p>
        </w:tc>
        <w:tc>
          <w:tcPr>
            <w:tcW w:w="447" w:type="pct"/>
            <w:vAlign w:val="center"/>
          </w:tcPr>
          <w:p w14:paraId="3EE0C38A">
            <w:pPr>
              <w:pStyle w:val="133"/>
              <w:rPr>
                <w:rFonts w:cs="Times New Roman"/>
                <w:b/>
                <w:bCs/>
              </w:rPr>
            </w:pPr>
            <w:r>
              <w:rPr>
                <w:rFonts w:cs="Times New Roman"/>
                <w:b/>
                <w:bCs/>
              </w:rPr>
              <w:t>出口温度（℃）</w:t>
            </w:r>
          </w:p>
        </w:tc>
        <w:tc>
          <w:tcPr>
            <w:tcW w:w="738" w:type="pct"/>
            <w:vMerge w:val="continue"/>
            <w:vAlign w:val="center"/>
          </w:tcPr>
          <w:p w14:paraId="4FBA53CF">
            <w:pPr>
              <w:pStyle w:val="133"/>
              <w:rPr>
                <w:rFonts w:cs="Times New Roman"/>
                <w:b/>
                <w:bCs/>
              </w:rPr>
            </w:pPr>
          </w:p>
        </w:tc>
        <w:tc>
          <w:tcPr>
            <w:tcW w:w="624" w:type="pct"/>
            <w:vAlign w:val="center"/>
          </w:tcPr>
          <w:p w14:paraId="3A2DFB66">
            <w:pPr>
              <w:pStyle w:val="133"/>
              <w:rPr>
                <w:rFonts w:cs="Times New Roman"/>
                <w:b/>
                <w:bCs/>
              </w:rPr>
            </w:pPr>
            <w:r>
              <w:rPr>
                <w:rFonts w:cs="Times New Roman"/>
                <w:b/>
                <w:bCs/>
              </w:rPr>
              <w:t>名称</w:t>
            </w:r>
          </w:p>
        </w:tc>
        <w:tc>
          <w:tcPr>
            <w:tcW w:w="594" w:type="pct"/>
            <w:vAlign w:val="center"/>
          </w:tcPr>
          <w:p w14:paraId="111251AC">
            <w:pPr>
              <w:pStyle w:val="133"/>
              <w:rPr>
                <w:rFonts w:cs="Times New Roman"/>
                <w:b/>
                <w:bCs/>
              </w:rPr>
            </w:pPr>
            <w:r>
              <w:rPr>
                <w:rFonts w:cs="Times New Roman"/>
                <w:b/>
                <w:bCs/>
              </w:rPr>
              <w:t>排放浓度</w:t>
            </w:r>
          </w:p>
          <w:p w14:paraId="06D3F041">
            <w:pPr>
              <w:pStyle w:val="133"/>
              <w:rPr>
                <w:rFonts w:cs="Times New Roman"/>
                <w:b/>
                <w:bCs/>
              </w:rPr>
            </w:pPr>
            <w:r>
              <w:rPr>
                <w:rFonts w:cs="Times New Roman"/>
                <w:b/>
                <w:bCs/>
              </w:rPr>
              <w:t>（mg/m³）</w:t>
            </w:r>
          </w:p>
        </w:tc>
        <w:tc>
          <w:tcPr>
            <w:tcW w:w="582" w:type="pct"/>
            <w:vAlign w:val="center"/>
          </w:tcPr>
          <w:p w14:paraId="0BB4AD02">
            <w:pPr>
              <w:pStyle w:val="133"/>
              <w:rPr>
                <w:rFonts w:cs="Times New Roman"/>
                <w:b/>
                <w:bCs/>
              </w:rPr>
            </w:pPr>
            <w:r>
              <w:rPr>
                <w:rFonts w:cs="Times New Roman"/>
                <w:b/>
                <w:bCs/>
              </w:rPr>
              <w:t>排放速率</w:t>
            </w:r>
          </w:p>
          <w:p w14:paraId="2D5DCC77">
            <w:pPr>
              <w:pStyle w:val="133"/>
              <w:rPr>
                <w:rFonts w:cs="Times New Roman"/>
                <w:b/>
                <w:bCs/>
              </w:rPr>
            </w:pPr>
            <w:r>
              <w:rPr>
                <w:rFonts w:cs="Times New Roman"/>
                <w:b/>
                <w:bCs/>
              </w:rPr>
              <w:t>（kg/h）</w:t>
            </w:r>
          </w:p>
        </w:tc>
      </w:tr>
      <w:tr w14:paraId="3E68B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2" w:type="pct"/>
            <w:vMerge w:val="restart"/>
            <w:vAlign w:val="center"/>
          </w:tcPr>
          <w:p w14:paraId="14E9294B">
            <w:pPr>
              <w:pStyle w:val="133"/>
              <w:rPr>
                <w:rFonts w:cs="Times New Roman"/>
              </w:rPr>
            </w:pPr>
            <w:r>
              <w:rPr>
                <w:rFonts w:cs="Times New Roman"/>
              </w:rPr>
              <w:t>矿热炉烟气（单套除尘故障）</w:t>
            </w:r>
          </w:p>
        </w:tc>
        <w:tc>
          <w:tcPr>
            <w:tcW w:w="533" w:type="pct"/>
            <w:vMerge w:val="restart"/>
            <w:vAlign w:val="center"/>
          </w:tcPr>
          <w:p w14:paraId="4FE1D726">
            <w:pPr>
              <w:pStyle w:val="133"/>
              <w:rPr>
                <w:rFonts w:cs="Times New Roman"/>
              </w:rPr>
            </w:pPr>
            <w:r>
              <w:rPr>
                <w:rFonts w:cs="Times New Roman"/>
              </w:rPr>
              <w:t>560000</w:t>
            </w:r>
          </w:p>
        </w:tc>
        <w:tc>
          <w:tcPr>
            <w:tcW w:w="356" w:type="pct"/>
            <w:vMerge w:val="restart"/>
            <w:vAlign w:val="center"/>
          </w:tcPr>
          <w:p w14:paraId="2607A06D">
            <w:pPr>
              <w:pStyle w:val="133"/>
              <w:rPr>
                <w:rFonts w:cs="Times New Roman"/>
              </w:rPr>
            </w:pPr>
            <w:r>
              <w:rPr>
                <w:rFonts w:hint="eastAsia" w:cs="Times New Roman"/>
              </w:rPr>
              <w:t>60</w:t>
            </w:r>
          </w:p>
        </w:tc>
        <w:tc>
          <w:tcPr>
            <w:tcW w:w="444" w:type="pct"/>
            <w:vMerge w:val="restart"/>
            <w:vAlign w:val="center"/>
          </w:tcPr>
          <w:p w14:paraId="0DA2445A">
            <w:pPr>
              <w:pStyle w:val="133"/>
              <w:rPr>
                <w:rFonts w:cs="Times New Roman"/>
              </w:rPr>
            </w:pPr>
            <w:r>
              <w:rPr>
                <w:rFonts w:cs="Times New Roman"/>
              </w:rPr>
              <w:t>5.</w:t>
            </w:r>
            <w:r>
              <w:rPr>
                <w:rFonts w:hint="eastAsia" w:cs="Times New Roman"/>
              </w:rPr>
              <w:t>1</w:t>
            </w:r>
          </w:p>
        </w:tc>
        <w:tc>
          <w:tcPr>
            <w:tcW w:w="447" w:type="pct"/>
            <w:vMerge w:val="restart"/>
            <w:vAlign w:val="center"/>
          </w:tcPr>
          <w:p w14:paraId="2524E080">
            <w:pPr>
              <w:pStyle w:val="133"/>
              <w:rPr>
                <w:rFonts w:cs="Times New Roman"/>
              </w:rPr>
            </w:pPr>
            <w:r>
              <w:rPr>
                <w:rFonts w:cs="Times New Roman"/>
              </w:rPr>
              <w:t>150</w:t>
            </w:r>
          </w:p>
        </w:tc>
        <w:tc>
          <w:tcPr>
            <w:tcW w:w="738" w:type="pct"/>
            <w:vMerge w:val="restart"/>
            <w:vAlign w:val="center"/>
          </w:tcPr>
          <w:p w14:paraId="12C563FF">
            <w:pPr>
              <w:pStyle w:val="133"/>
              <w:rPr>
                <w:rFonts w:cs="Times New Roman"/>
              </w:rPr>
            </w:pPr>
            <w:r>
              <w:rPr>
                <w:rFonts w:cs="Times New Roman"/>
              </w:rPr>
              <w:t>单套除尘器效率降低至50%</w:t>
            </w:r>
          </w:p>
        </w:tc>
        <w:tc>
          <w:tcPr>
            <w:tcW w:w="624" w:type="pct"/>
            <w:vAlign w:val="center"/>
          </w:tcPr>
          <w:p w14:paraId="3999EAC7">
            <w:pPr>
              <w:pStyle w:val="133"/>
              <w:rPr>
                <w:rFonts w:cs="Times New Roman"/>
              </w:rPr>
            </w:pPr>
            <w:r>
              <w:rPr>
                <w:rFonts w:cs="Times New Roman"/>
              </w:rPr>
              <w:t>颗粒物</w:t>
            </w:r>
          </w:p>
        </w:tc>
        <w:tc>
          <w:tcPr>
            <w:tcW w:w="594" w:type="pct"/>
            <w:vAlign w:val="center"/>
          </w:tcPr>
          <w:p w14:paraId="60D0B686">
            <w:pPr>
              <w:pStyle w:val="133"/>
              <w:rPr>
                <w:rFonts w:cs="Times New Roman"/>
              </w:rPr>
            </w:pPr>
            <w:r>
              <w:rPr>
                <w:rFonts w:hint="eastAsia" w:cs="Times New Roman"/>
              </w:rPr>
              <w:t>415.66</w:t>
            </w:r>
          </w:p>
        </w:tc>
        <w:tc>
          <w:tcPr>
            <w:tcW w:w="582" w:type="pct"/>
            <w:vAlign w:val="center"/>
          </w:tcPr>
          <w:p w14:paraId="41F7118A">
            <w:pPr>
              <w:pStyle w:val="133"/>
              <w:rPr>
                <w:rFonts w:cs="Times New Roman"/>
              </w:rPr>
            </w:pPr>
            <w:r>
              <w:rPr>
                <w:rFonts w:hint="eastAsia" w:cs="Times New Roman"/>
              </w:rPr>
              <w:t>232.77</w:t>
            </w:r>
          </w:p>
        </w:tc>
      </w:tr>
      <w:tr w14:paraId="6DCC39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2" w:type="pct"/>
            <w:vMerge w:val="continue"/>
            <w:vAlign w:val="center"/>
          </w:tcPr>
          <w:p w14:paraId="51B448F9">
            <w:pPr>
              <w:pStyle w:val="133"/>
              <w:rPr>
                <w:rFonts w:cs="Times New Roman"/>
              </w:rPr>
            </w:pPr>
          </w:p>
        </w:tc>
        <w:tc>
          <w:tcPr>
            <w:tcW w:w="533" w:type="pct"/>
            <w:vMerge w:val="continue"/>
            <w:vAlign w:val="center"/>
          </w:tcPr>
          <w:p w14:paraId="0C605FC9">
            <w:pPr>
              <w:pStyle w:val="133"/>
              <w:rPr>
                <w:rFonts w:cs="Times New Roman"/>
              </w:rPr>
            </w:pPr>
          </w:p>
        </w:tc>
        <w:tc>
          <w:tcPr>
            <w:tcW w:w="356" w:type="pct"/>
            <w:vMerge w:val="continue"/>
            <w:vAlign w:val="center"/>
          </w:tcPr>
          <w:p w14:paraId="68476800">
            <w:pPr>
              <w:pStyle w:val="133"/>
              <w:rPr>
                <w:rFonts w:cs="Times New Roman"/>
              </w:rPr>
            </w:pPr>
          </w:p>
        </w:tc>
        <w:tc>
          <w:tcPr>
            <w:tcW w:w="444" w:type="pct"/>
            <w:vMerge w:val="continue"/>
            <w:vAlign w:val="center"/>
          </w:tcPr>
          <w:p w14:paraId="166DBADE">
            <w:pPr>
              <w:pStyle w:val="133"/>
              <w:rPr>
                <w:rFonts w:cs="Times New Roman"/>
              </w:rPr>
            </w:pPr>
          </w:p>
        </w:tc>
        <w:tc>
          <w:tcPr>
            <w:tcW w:w="447" w:type="pct"/>
            <w:vMerge w:val="continue"/>
            <w:vAlign w:val="center"/>
          </w:tcPr>
          <w:p w14:paraId="0AA69B96">
            <w:pPr>
              <w:pStyle w:val="133"/>
              <w:rPr>
                <w:rFonts w:cs="Times New Roman"/>
              </w:rPr>
            </w:pPr>
          </w:p>
        </w:tc>
        <w:tc>
          <w:tcPr>
            <w:tcW w:w="738" w:type="pct"/>
            <w:vMerge w:val="continue"/>
            <w:vAlign w:val="center"/>
          </w:tcPr>
          <w:p w14:paraId="34AB812A">
            <w:pPr>
              <w:pStyle w:val="133"/>
              <w:rPr>
                <w:rFonts w:cs="Times New Roman"/>
              </w:rPr>
            </w:pPr>
          </w:p>
        </w:tc>
        <w:tc>
          <w:tcPr>
            <w:tcW w:w="624" w:type="pct"/>
            <w:vAlign w:val="center"/>
          </w:tcPr>
          <w:p w14:paraId="32870086">
            <w:pPr>
              <w:pStyle w:val="133"/>
              <w:rPr>
                <w:rFonts w:cs="Times New Roman"/>
              </w:rPr>
            </w:pPr>
            <w:r>
              <w:rPr>
                <w:rFonts w:hint="eastAsia" w:cs="Times New Roman"/>
              </w:rPr>
              <w:t>二氧化硫</w:t>
            </w:r>
          </w:p>
        </w:tc>
        <w:tc>
          <w:tcPr>
            <w:tcW w:w="594" w:type="pct"/>
            <w:vAlign w:val="center"/>
          </w:tcPr>
          <w:p w14:paraId="002BED79">
            <w:pPr>
              <w:pStyle w:val="133"/>
              <w:rPr>
                <w:rFonts w:cs="Times New Roman"/>
              </w:rPr>
            </w:pPr>
            <w:r>
              <w:rPr>
                <w:rFonts w:hint="eastAsia" w:cs="Times New Roman"/>
              </w:rPr>
              <w:t xml:space="preserve">173.08 </w:t>
            </w:r>
          </w:p>
        </w:tc>
        <w:tc>
          <w:tcPr>
            <w:tcW w:w="582" w:type="pct"/>
            <w:vAlign w:val="center"/>
          </w:tcPr>
          <w:p w14:paraId="3041F7CD">
            <w:pPr>
              <w:pStyle w:val="133"/>
              <w:rPr>
                <w:rFonts w:cs="Times New Roman"/>
              </w:rPr>
            </w:pPr>
            <w:r>
              <w:rPr>
                <w:rFonts w:hint="eastAsia" w:cs="Times New Roman"/>
              </w:rPr>
              <w:t xml:space="preserve">96.93 </w:t>
            </w:r>
          </w:p>
        </w:tc>
      </w:tr>
      <w:tr w14:paraId="782AB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82" w:type="pct"/>
            <w:vMerge w:val="continue"/>
            <w:vAlign w:val="center"/>
          </w:tcPr>
          <w:p w14:paraId="4ED377BF">
            <w:pPr>
              <w:pStyle w:val="133"/>
              <w:rPr>
                <w:rFonts w:cs="Times New Roman"/>
              </w:rPr>
            </w:pPr>
          </w:p>
        </w:tc>
        <w:tc>
          <w:tcPr>
            <w:tcW w:w="533" w:type="pct"/>
            <w:vMerge w:val="continue"/>
            <w:vAlign w:val="center"/>
          </w:tcPr>
          <w:p w14:paraId="21A5AC6F">
            <w:pPr>
              <w:pStyle w:val="133"/>
              <w:rPr>
                <w:rFonts w:cs="Times New Roman"/>
              </w:rPr>
            </w:pPr>
          </w:p>
        </w:tc>
        <w:tc>
          <w:tcPr>
            <w:tcW w:w="356" w:type="pct"/>
            <w:vMerge w:val="continue"/>
            <w:vAlign w:val="center"/>
          </w:tcPr>
          <w:p w14:paraId="6BD4F431">
            <w:pPr>
              <w:pStyle w:val="133"/>
              <w:rPr>
                <w:rFonts w:cs="Times New Roman"/>
              </w:rPr>
            </w:pPr>
          </w:p>
        </w:tc>
        <w:tc>
          <w:tcPr>
            <w:tcW w:w="444" w:type="pct"/>
            <w:vMerge w:val="continue"/>
            <w:vAlign w:val="center"/>
          </w:tcPr>
          <w:p w14:paraId="63A8DBC8">
            <w:pPr>
              <w:pStyle w:val="133"/>
              <w:rPr>
                <w:rFonts w:cs="Times New Roman"/>
              </w:rPr>
            </w:pPr>
          </w:p>
        </w:tc>
        <w:tc>
          <w:tcPr>
            <w:tcW w:w="447" w:type="pct"/>
            <w:vMerge w:val="continue"/>
            <w:vAlign w:val="center"/>
          </w:tcPr>
          <w:p w14:paraId="60047BB8">
            <w:pPr>
              <w:pStyle w:val="133"/>
              <w:rPr>
                <w:rFonts w:cs="Times New Roman"/>
              </w:rPr>
            </w:pPr>
          </w:p>
        </w:tc>
        <w:tc>
          <w:tcPr>
            <w:tcW w:w="738" w:type="pct"/>
            <w:vMerge w:val="continue"/>
            <w:vAlign w:val="center"/>
          </w:tcPr>
          <w:p w14:paraId="270B298C">
            <w:pPr>
              <w:pStyle w:val="133"/>
              <w:rPr>
                <w:rFonts w:cs="Times New Roman"/>
              </w:rPr>
            </w:pPr>
          </w:p>
        </w:tc>
        <w:tc>
          <w:tcPr>
            <w:tcW w:w="624" w:type="pct"/>
            <w:vAlign w:val="center"/>
          </w:tcPr>
          <w:p w14:paraId="7245A251">
            <w:pPr>
              <w:pStyle w:val="133"/>
              <w:rPr>
                <w:rFonts w:cs="Times New Roman"/>
              </w:rPr>
            </w:pPr>
            <w:r>
              <w:rPr>
                <w:rFonts w:hint="eastAsia" w:cs="Times New Roman"/>
              </w:rPr>
              <w:t>氮氧化物</w:t>
            </w:r>
          </w:p>
        </w:tc>
        <w:tc>
          <w:tcPr>
            <w:tcW w:w="594" w:type="pct"/>
            <w:vAlign w:val="center"/>
          </w:tcPr>
          <w:p w14:paraId="7471020C">
            <w:pPr>
              <w:pStyle w:val="133"/>
              <w:rPr>
                <w:rFonts w:cs="Times New Roman"/>
              </w:rPr>
            </w:pPr>
            <w:r>
              <w:rPr>
                <w:rFonts w:hint="eastAsia" w:cs="Times New Roman"/>
              </w:rPr>
              <w:t>34.77</w:t>
            </w:r>
          </w:p>
        </w:tc>
        <w:tc>
          <w:tcPr>
            <w:tcW w:w="582" w:type="pct"/>
            <w:vAlign w:val="center"/>
          </w:tcPr>
          <w:p w14:paraId="2E6873AE">
            <w:pPr>
              <w:pStyle w:val="133"/>
              <w:rPr>
                <w:rFonts w:cs="Times New Roman"/>
              </w:rPr>
            </w:pPr>
            <w:r>
              <w:rPr>
                <w:rFonts w:hint="eastAsia" w:cs="Times New Roman"/>
              </w:rPr>
              <w:t>19.47</w:t>
            </w:r>
          </w:p>
        </w:tc>
      </w:tr>
    </w:tbl>
    <w:p w14:paraId="1961275D">
      <w:pPr>
        <w:pStyle w:val="133"/>
        <w:rPr>
          <w:rFonts w:cs="Times New Roman"/>
        </w:rPr>
      </w:pPr>
    </w:p>
    <w:p w14:paraId="3F2FD35B">
      <w:pPr>
        <w:pStyle w:val="944"/>
      </w:pPr>
      <w:bookmarkStart w:id="350" w:name="_Toc181616602"/>
      <w:r>
        <w:t>污染物</w:t>
      </w:r>
      <w:bookmarkEnd w:id="350"/>
      <w:r>
        <w:rPr>
          <w:rFonts w:hint="eastAsia"/>
        </w:rPr>
        <w:t>产排分析汇总</w:t>
      </w:r>
    </w:p>
    <w:p w14:paraId="28CC2938">
      <w:pPr>
        <w:ind w:firstLine="480"/>
      </w:pPr>
      <w:r>
        <w:rPr>
          <w:rFonts w:hint="eastAsia"/>
        </w:rPr>
        <w:t>（1）硅铁装置</w:t>
      </w:r>
      <w:r>
        <w:t>污染物产排分析</w:t>
      </w:r>
    </w:p>
    <w:p w14:paraId="3B56170C">
      <w:pPr>
        <w:ind w:firstLine="480"/>
        <w:rPr>
          <w:color w:val="000000"/>
        </w:rPr>
      </w:pPr>
      <w:r>
        <w:rPr>
          <w:rFonts w:hint="eastAsia"/>
        </w:rPr>
        <w:t>硅铁合金生产线</w:t>
      </w:r>
      <w:r>
        <w:t>污染物排放情况汇总，见表3.</w:t>
      </w:r>
      <w:r>
        <w:rPr>
          <w:rFonts w:hint="eastAsia"/>
        </w:rPr>
        <w:t>4-17</w:t>
      </w:r>
      <w:r>
        <w:t>。</w:t>
      </w:r>
    </w:p>
    <w:p w14:paraId="70BEE8B2">
      <w:pPr>
        <w:pStyle w:val="118"/>
        <w:rPr>
          <w:b w:val="0"/>
        </w:rPr>
      </w:pPr>
      <w:r>
        <w:t>表3.</w:t>
      </w:r>
      <w:r>
        <w:rPr>
          <w:rFonts w:hint="eastAsia"/>
        </w:rPr>
        <w:t>4-17</w:t>
      </w:r>
      <w:r>
        <w:t xml:space="preserve">    </w:t>
      </w:r>
      <w:r>
        <w:rPr>
          <w:rFonts w:hint="eastAsia"/>
        </w:rPr>
        <w:t>硅铁合金生产线</w:t>
      </w:r>
      <w:r>
        <w:t>污染物排放情况汇总表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3"/>
        <w:gridCol w:w="2898"/>
        <w:gridCol w:w="1444"/>
        <w:gridCol w:w="1139"/>
        <w:gridCol w:w="1139"/>
        <w:gridCol w:w="1139"/>
      </w:tblGrid>
      <w:tr w14:paraId="2520C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blHeader/>
          <w:jc w:val="center"/>
        </w:trPr>
        <w:tc>
          <w:tcPr>
            <w:tcW w:w="448" w:type="pct"/>
            <w:vAlign w:val="center"/>
          </w:tcPr>
          <w:p w14:paraId="66F1DD7D">
            <w:pPr>
              <w:pStyle w:val="133"/>
              <w:rPr>
                <w:rFonts w:cs="Times New Roman"/>
                <w:b/>
                <w:bCs/>
              </w:rPr>
            </w:pPr>
            <w:bookmarkStart w:id="351" w:name="_Toc437213528"/>
            <w:r>
              <w:rPr>
                <w:rFonts w:cs="Times New Roman"/>
                <w:b/>
                <w:bCs/>
              </w:rPr>
              <w:t>类型</w:t>
            </w:r>
          </w:p>
        </w:tc>
        <w:tc>
          <w:tcPr>
            <w:tcW w:w="1701" w:type="pct"/>
            <w:vAlign w:val="center"/>
          </w:tcPr>
          <w:p w14:paraId="67CAE2BE">
            <w:pPr>
              <w:pStyle w:val="133"/>
              <w:rPr>
                <w:rFonts w:cs="Times New Roman"/>
                <w:b/>
                <w:bCs/>
              </w:rPr>
            </w:pPr>
            <w:r>
              <w:rPr>
                <w:rFonts w:cs="Times New Roman"/>
                <w:b/>
                <w:bCs/>
              </w:rPr>
              <w:t>污染物名称</w:t>
            </w:r>
          </w:p>
        </w:tc>
        <w:tc>
          <w:tcPr>
            <w:tcW w:w="847" w:type="pct"/>
            <w:vAlign w:val="center"/>
          </w:tcPr>
          <w:p w14:paraId="6D698729">
            <w:pPr>
              <w:pStyle w:val="133"/>
              <w:rPr>
                <w:rFonts w:cs="Times New Roman"/>
                <w:b/>
                <w:bCs/>
              </w:rPr>
            </w:pPr>
            <w:r>
              <w:rPr>
                <w:rFonts w:cs="Times New Roman"/>
                <w:b/>
                <w:bCs/>
              </w:rPr>
              <w:t>单位</w:t>
            </w:r>
          </w:p>
        </w:tc>
        <w:tc>
          <w:tcPr>
            <w:tcW w:w="668" w:type="pct"/>
            <w:vAlign w:val="center"/>
          </w:tcPr>
          <w:p w14:paraId="04731E91">
            <w:pPr>
              <w:pStyle w:val="133"/>
              <w:rPr>
                <w:rFonts w:cs="Times New Roman"/>
                <w:b/>
                <w:bCs/>
              </w:rPr>
            </w:pPr>
            <w:r>
              <w:rPr>
                <w:rFonts w:cs="Times New Roman"/>
                <w:b/>
                <w:bCs/>
              </w:rPr>
              <w:t>产生量</w:t>
            </w:r>
          </w:p>
        </w:tc>
        <w:tc>
          <w:tcPr>
            <w:tcW w:w="668" w:type="pct"/>
            <w:vAlign w:val="center"/>
          </w:tcPr>
          <w:p w14:paraId="4F685F17">
            <w:pPr>
              <w:pStyle w:val="133"/>
              <w:rPr>
                <w:rFonts w:cs="Times New Roman"/>
                <w:b/>
                <w:bCs/>
              </w:rPr>
            </w:pPr>
            <w:r>
              <w:rPr>
                <w:rFonts w:cs="Times New Roman"/>
                <w:b/>
                <w:bCs/>
              </w:rPr>
              <w:t>削减量</w:t>
            </w:r>
          </w:p>
        </w:tc>
        <w:tc>
          <w:tcPr>
            <w:tcW w:w="668" w:type="pct"/>
            <w:vAlign w:val="center"/>
          </w:tcPr>
          <w:p w14:paraId="7214DAF5">
            <w:pPr>
              <w:pStyle w:val="133"/>
              <w:rPr>
                <w:rFonts w:cs="Times New Roman"/>
                <w:b/>
                <w:bCs/>
              </w:rPr>
            </w:pPr>
            <w:r>
              <w:rPr>
                <w:rFonts w:cs="Times New Roman"/>
                <w:b/>
                <w:bCs/>
              </w:rPr>
              <w:t>排放量</w:t>
            </w:r>
          </w:p>
        </w:tc>
      </w:tr>
      <w:tr w14:paraId="4EF0F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restart"/>
            <w:vAlign w:val="center"/>
          </w:tcPr>
          <w:p w14:paraId="76A0160A">
            <w:pPr>
              <w:pStyle w:val="133"/>
              <w:rPr>
                <w:rFonts w:cs="Times New Roman"/>
              </w:rPr>
            </w:pPr>
            <w:r>
              <w:rPr>
                <w:rFonts w:cs="Times New Roman"/>
              </w:rPr>
              <w:t>废气</w:t>
            </w:r>
          </w:p>
        </w:tc>
        <w:tc>
          <w:tcPr>
            <w:tcW w:w="1701" w:type="pct"/>
            <w:vAlign w:val="center"/>
          </w:tcPr>
          <w:p w14:paraId="767A6747">
            <w:pPr>
              <w:pStyle w:val="133"/>
              <w:rPr>
                <w:rFonts w:cs="Times New Roman"/>
              </w:rPr>
            </w:pPr>
            <w:r>
              <w:rPr>
                <w:rFonts w:cs="Times New Roman"/>
              </w:rPr>
              <w:t>废气量</w:t>
            </w:r>
          </w:p>
        </w:tc>
        <w:tc>
          <w:tcPr>
            <w:tcW w:w="847" w:type="pct"/>
            <w:vAlign w:val="center"/>
          </w:tcPr>
          <w:p w14:paraId="50D9137E">
            <w:pPr>
              <w:pStyle w:val="133"/>
              <w:rPr>
                <w:rFonts w:cs="Times New Roman"/>
              </w:rPr>
            </w:pPr>
            <w:r>
              <w:rPr>
                <w:rFonts w:cs="Times New Roman"/>
              </w:rPr>
              <w:t>万m³/a</w:t>
            </w:r>
          </w:p>
        </w:tc>
        <w:tc>
          <w:tcPr>
            <w:tcW w:w="668" w:type="pct"/>
            <w:vAlign w:val="center"/>
          </w:tcPr>
          <w:p w14:paraId="32CD96A0">
            <w:pPr>
              <w:pStyle w:val="133"/>
              <w:rPr>
                <w:rFonts w:cs="Times New Roman"/>
              </w:rPr>
            </w:pPr>
            <w:r>
              <w:rPr>
                <w:rFonts w:hint="eastAsia" w:cs="Times New Roman"/>
              </w:rPr>
              <w:t>508716</w:t>
            </w:r>
          </w:p>
        </w:tc>
        <w:tc>
          <w:tcPr>
            <w:tcW w:w="668" w:type="pct"/>
            <w:vAlign w:val="center"/>
          </w:tcPr>
          <w:p w14:paraId="14184767">
            <w:pPr>
              <w:pStyle w:val="133"/>
              <w:rPr>
                <w:rFonts w:cs="Times New Roman"/>
              </w:rPr>
            </w:pPr>
            <w:r>
              <w:rPr>
                <w:rFonts w:cs="Times New Roman"/>
              </w:rPr>
              <w:t>0</w:t>
            </w:r>
          </w:p>
        </w:tc>
        <w:tc>
          <w:tcPr>
            <w:tcW w:w="668" w:type="pct"/>
            <w:vAlign w:val="center"/>
          </w:tcPr>
          <w:p w14:paraId="0277F4A4">
            <w:pPr>
              <w:pStyle w:val="133"/>
              <w:rPr>
                <w:rFonts w:cs="Times New Roman"/>
              </w:rPr>
            </w:pPr>
            <w:r>
              <w:rPr>
                <w:rFonts w:hint="eastAsia" w:cs="Times New Roman"/>
              </w:rPr>
              <w:t>508716</w:t>
            </w:r>
          </w:p>
        </w:tc>
      </w:tr>
      <w:tr w14:paraId="7F189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continue"/>
            <w:vAlign w:val="center"/>
          </w:tcPr>
          <w:p w14:paraId="0C3CA0D7">
            <w:pPr>
              <w:pStyle w:val="133"/>
              <w:rPr>
                <w:rFonts w:cs="Times New Roman"/>
              </w:rPr>
            </w:pPr>
          </w:p>
        </w:tc>
        <w:tc>
          <w:tcPr>
            <w:tcW w:w="1701" w:type="pct"/>
            <w:vAlign w:val="center"/>
          </w:tcPr>
          <w:p w14:paraId="0CF31254">
            <w:pPr>
              <w:pStyle w:val="133"/>
              <w:rPr>
                <w:rFonts w:cs="Times New Roman"/>
              </w:rPr>
            </w:pPr>
            <w:r>
              <w:rPr>
                <w:rFonts w:cs="Times New Roman"/>
              </w:rPr>
              <w:t>颗粒物</w:t>
            </w:r>
          </w:p>
        </w:tc>
        <w:tc>
          <w:tcPr>
            <w:tcW w:w="847" w:type="pct"/>
            <w:vAlign w:val="center"/>
          </w:tcPr>
          <w:p w14:paraId="6412D929">
            <w:pPr>
              <w:pStyle w:val="133"/>
              <w:rPr>
                <w:rFonts w:cs="Times New Roman"/>
              </w:rPr>
            </w:pPr>
            <w:r>
              <w:rPr>
                <w:rFonts w:cs="Times New Roman"/>
              </w:rPr>
              <w:t>t/a</w:t>
            </w:r>
          </w:p>
        </w:tc>
        <w:tc>
          <w:tcPr>
            <w:tcW w:w="668" w:type="pct"/>
            <w:vAlign w:val="center"/>
          </w:tcPr>
          <w:p w14:paraId="4221E006">
            <w:pPr>
              <w:pStyle w:val="133"/>
              <w:rPr>
                <w:rFonts w:cs="Times New Roman"/>
              </w:rPr>
            </w:pPr>
            <w:r>
              <w:rPr>
                <w:rFonts w:hint="eastAsia" w:cs="Times New Roman"/>
              </w:rPr>
              <w:t>7425.83</w:t>
            </w:r>
          </w:p>
        </w:tc>
        <w:tc>
          <w:tcPr>
            <w:tcW w:w="668" w:type="pct"/>
            <w:vAlign w:val="center"/>
          </w:tcPr>
          <w:p w14:paraId="289C0FC3">
            <w:pPr>
              <w:pStyle w:val="133"/>
              <w:rPr>
                <w:rFonts w:cs="Times New Roman"/>
              </w:rPr>
            </w:pPr>
            <w:r>
              <w:rPr>
                <w:rFonts w:hint="eastAsia" w:cs="Times New Roman"/>
              </w:rPr>
              <w:t>7351.57</w:t>
            </w:r>
          </w:p>
        </w:tc>
        <w:tc>
          <w:tcPr>
            <w:tcW w:w="668" w:type="pct"/>
            <w:vAlign w:val="center"/>
          </w:tcPr>
          <w:p w14:paraId="06156D8E">
            <w:pPr>
              <w:pStyle w:val="133"/>
              <w:rPr>
                <w:rFonts w:cs="Times New Roman"/>
              </w:rPr>
            </w:pPr>
            <w:r>
              <w:rPr>
                <w:rFonts w:hint="eastAsia" w:cs="Times New Roman"/>
              </w:rPr>
              <w:t>74.26</w:t>
            </w:r>
          </w:p>
        </w:tc>
      </w:tr>
      <w:tr w14:paraId="23570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continue"/>
            <w:vAlign w:val="center"/>
          </w:tcPr>
          <w:p w14:paraId="6EACC7B2">
            <w:pPr>
              <w:pStyle w:val="133"/>
              <w:rPr>
                <w:rFonts w:cs="Times New Roman"/>
              </w:rPr>
            </w:pPr>
          </w:p>
        </w:tc>
        <w:tc>
          <w:tcPr>
            <w:tcW w:w="1701" w:type="pct"/>
            <w:vAlign w:val="center"/>
          </w:tcPr>
          <w:p w14:paraId="7575E6C8">
            <w:pPr>
              <w:pStyle w:val="133"/>
              <w:rPr>
                <w:rFonts w:cs="Times New Roman"/>
              </w:rPr>
            </w:pPr>
            <w:r>
              <w:rPr>
                <w:rFonts w:cs="Times New Roman"/>
              </w:rPr>
              <w:t>二氧化硫</w:t>
            </w:r>
          </w:p>
        </w:tc>
        <w:tc>
          <w:tcPr>
            <w:tcW w:w="847" w:type="pct"/>
            <w:vAlign w:val="center"/>
          </w:tcPr>
          <w:p w14:paraId="47236EE2">
            <w:pPr>
              <w:pStyle w:val="133"/>
              <w:rPr>
                <w:rFonts w:cs="Times New Roman"/>
              </w:rPr>
            </w:pPr>
            <w:r>
              <w:rPr>
                <w:rFonts w:cs="Times New Roman"/>
              </w:rPr>
              <w:t>t/a</w:t>
            </w:r>
          </w:p>
        </w:tc>
        <w:tc>
          <w:tcPr>
            <w:tcW w:w="668" w:type="pct"/>
            <w:vAlign w:val="center"/>
          </w:tcPr>
          <w:p w14:paraId="3561A10E">
            <w:pPr>
              <w:pStyle w:val="133"/>
              <w:rPr>
                <w:rFonts w:cs="Times New Roman"/>
              </w:rPr>
            </w:pPr>
            <w:r>
              <w:rPr>
                <w:rFonts w:hint="eastAsia" w:cs="Times New Roman"/>
              </w:rPr>
              <w:t>767.65</w:t>
            </w:r>
          </w:p>
        </w:tc>
        <w:tc>
          <w:tcPr>
            <w:tcW w:w="668" w:type="pct"/>
            <w:vAlign w:val="center"/>
          </w:tcPr>
          <w:p w14:paraId="7D6C5E77">
            <w:pPr>
              <w:pStyle w:val="133"/>
              <w:rPr>
                <w:rFonts w:cs="Times New Roman"/>
              </w:rPr>
            </w:pPr>
            <w:r>
              <w:rPr>
                <w:rFonts w:hint="eastAsia" w:cs="Times New Roman"/>
              </w:rPr>
              <w:t>0</w:t>
            </w:r>
          </w:p>
        </w:tc>
        <w:tc>
          <w:tcPr>
            <w:tcW w:w="668" w:type="pct"/>
            <w:vAlign w:val="center"/>
          </w:tcPr>
          <w:p w14:paraId="4170E6E7">
            <w:pPr>
              <w:pStyle w:val="133"/>
              <w:rPr>
                <w:rFonts w:cs="Times New Roman"/>
              </w:rPr>
            </w:pPr>
            <w:r>
              <w:rPr>
                <w:rFonts w:hint="eastAsia" w:cs="Times New Roman"/>
              </w:rPr>
              <w:t>767.65</w:t>
            </w:r>
          </w:p>
        </w:tc>
      </w:tr>
      <w:tr w14:paraId="6ABDAF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continue"/>
            <w:vAlign w:val="center"/>
          </w:tcPr>
          <w:p w14:paraId="5CA173DB">
            <w:pPr>
              <w:pStyle w:val="133"/>
              <w:rPr>
                <w:rFonts w:cs="Times New Roman"/>
              </w:rPr>
            </w:pPr>
          </w:p>
        </w:tc>
        <w:tc>
          <w:tcPr>
            <w:tcW w:w="1701" w:type="pct"/>
            <w:vAlign w:val="center"/>
          </w:tcPr>
          <w:p w14:paraId="38E66F1A">
            <w:pPr>
              <w:pStyle w:val="133"/>
              <w:rPr>
                <w:rFonts w:cs="Times New Roman"/>
              </w:rPr>
            </w:pPr>
            <w:r>
              <w:rPr>
                <w:rFonts w:hint="eastAsia" w:cs="Times New Roman"/>
              </w:rPr>
              <w:t>氮氧化物</w:t>
            </w:r>
          </w:p>
        </w:tc>
        <w:tc>
          <w:tcPr>
            <w:tcW w:w="847" w:type="pct"/>
            <w:vAlign w:val="center"/>
          </w:tcPr>
          <w:p w14:paraId="7B410A6A">
            <w:pPr>
              <w:pStyle w:val="133"/>
              <w:rPr>
                <w:rFonts w:cs="Times New Roman"/>
              </w:rPr>
            </w:pPr>
            <w:r>
              <w:rPr>
                <w:rFonts w:cs="Times New Roman"/>
              </w:rPr>
              <w:t>t/a</w:t>
            </w:r>
          </w:p>
        </w:tc>
        <w:tc>
          <w:tcPr>
            <w:tcW w:w="668" w:type="pct"/>
            <w:vAlign w:val="center"/>
          </w:tcPr>
          <w:p w14:paraId="093979C6">
            <w:pPr>
              <w:pStyle w:val="133"/>
              <w:rPr>
                <w:rFonts w:cs="Times New Roman"/>
              </w:rPr>
            </w:pPr>
            <w:r>
              <w:rPr>
                <w:rFonts w:hint="eastAsia" w:cs="Times New Roman"/>
              </w:rPr>
              <w:t>154.20</w:t>
            </w:r>
          </w:p>
        </w:tc>
        <w:tc>
          <w:tcPr>
            <w:tcW w:w="668" w:type="pct"/>
            <w:vAlign w:val="center"/>
          </w:tcPr>
          <w:p w14:paraId="7D015EBE">
            <w:pPr>
              <w:pStyle w:val="133"/>
              <w:rPr>
                <w:rFonts w:cs="Times New Roman"/>
              </w:rPr>
            </w:pPr>
            <w:r>
              <w:rPr>
                <w:rFonts w:hint="eastAsia" w:cs="Times New Roman"/>
              </w:rPr>
              <w:t>0</w:t>
            </w:r>
          </w:p>
        </w:tc>
        <w:tc>
          <w:tcPr>
            <w:tcW w:w="668" w:type="pct"/>
            <w:vAlign w:val="center"/>
          </w:tcPr>
          <w:p w14:paraId="389C999B">
            <w:pPr>
              <w:pStyle w:val="133"/>
              <w:rPr>
                <w:rFonts w:cs="Times New Roman"/>
              </w:rPr>
            </w:pPr>
            <w:r>
              <w:rPr>
                <w:rFonts w:hint="eastAsia" w:cs="Times New Roman"/>
              </w:rPr>
              <w:t>154.20</w:t>
            </w:r>
          </w:p>
        </w:tc>
      </w:tr>
      <w:tr w14:paraId="6CD68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restart"/>
            <w:vAlign w:val="center"/>
          </w:tcPr>
          <w:p w14:paraId="0A005D9E">
            <w:pPr>
              <w:pStyle w:val="133"/>
              <w:rPr>
                <w:rFonts w:cs="Times New Roman"/>
              </w:rPr>
            </w:pPr>
            <w:r>
              <w:rPr>
                <w:rFonts w:cs="Times New Roman"/>
              </w:rPr>
              <w:t>废水</w:t>
            </w:r>
          </w:p>
        </w:tc>
        <w:tc>
          <w:tcPr>
            <w:tcW w:w="1701" w:type="pct"/>
            <w:vAlign w:val="center"/>
          </w:tcPr>
          <w:p w14:paraId="4B142886">
            <w:pPr>
              <w:pStyle w:val="133"/>
              <w:rPr>
                <w:rFonts w:cs="Times New Roman"/>
              </w:rPr>
            </w:pPr>
            <w:r>
              <w:rPr>
                <w:rFonts w:cs="Times New Roman"/>
              </w:rPr>
              <w:t>废水量</w:t>
            </w:r>
          </w:p>
        </w:tc>
        <w:tc>
          <w:tcPr>
            <w:tcW w:w="847" w:type="pct"/>
            <w:vAlign w:val="center"/>
          </w:tcPr>
          <w:p w14:paraId="5F638A60">
            <w:pPr>
              <w:pStyle w:val="133"/>
              <w:rPr>
                <w:rFonts w:cs="Times New Roman"/>
              </w:rPr>
            </w:pPr>
            <w:r>
              <w:rPr>
                <w:rFonts w:cs="Times New Roman"/>
              </w:rPr>
              <w:t>万t/a</w:t>
            </w:r>
          </w:p>
        </w:tc>
        <w:tc>
          <w:tcPr>
            <w:tcW w:w="668" w:type="pct"/>
            <w:vAlign w:val="center"/>
          </w:tcPr>
          <w:p w14:paraId="08C05BB8">
            <w:pPr>
              <w:pStyle w:val="133"/>
              <w:rPr>
                <w:rFonts w:cs="Times New Roman"/>
              </w:rPr>
            </w:pPr>
            <w:r>
              <w:rPr>
                <w:rFonts w:hint="eastAsia" w:cs="Times New Roman"/>
              </w:rPr>
              <w:t>0</w:t>
            </w:r>
          </w:p>
        </w:tc>
        <w:tc>
          <w:tcPr>
            <w:tcW w:w="668" w:type="pct"/>
            <w:vAlign w:val="center"/>
          </w:tcPr>
          <w:p w14:paraId="568B6953">
            <w:pPr>
              <w:pStyle w:val="133"/>
              <w:rPr>
                <w:rFonts w:cs="Times New Roman"/>
              </w:rPr>
            </w:pPr>
            <w:r>
              <w:rPr>
                <w:rFonts w:hint="eastAsia" w:cs="Times New Roman"/>
              </w:rPr>
              <w:t>0</w:t>
            </w:r>
          </w:p>
        </w:tc>
        <w:tc>
          <w:tcPr>
            <w:tcW w:w="668" w:type="pct"/>
            <w:vAlign w:val="center"/>
          </w:tcPr>
          <w:p w14:paraId="3D5479EE">
            <w:pPr>
              <w:pStyle w:val="133"/>
              <w:rPr>
                <w:rFonts w:cs="Times New Roman"/>
              </w:rPr>
            </w:pPr>
            <w:r>
              <w:rPr>
                <w:rFonts w:hint="eastAsia" w:cs="Times New Roman"/>
              </w:rPr>
              <w:t>0</w:t>
            </w:r>
          </w:p>
        </w:tc>
      </w:tr>
      <w:tr w14:paraId="4A1B0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continue"/>
            <w:vAlign w:val="center"/>
          </w:tcPr>
          <w:p w14:paraId="7CBB9C56">
            <w:pPr>
              <w:pStyle w:val="133"/>
              <w:rPr>
                <w:rFonts w:cs="Times New Roman"/>
              </w:rPr>
            </w:pPr>
          </w:p>
        </w:tc>
        <w:tc>
          <w:tcPr>
            <w:tcW w:w="1701" w:type="pct"/>
            <w:vAlign w:val="center"/>
          </w:tcPr>
          <w:p w14:paraId="4469943D">
            <w:pPr>
              <w:pStyle w:val="133"/>
              <w:rPr>
                <w:rFonts w:cs="Times New Roman"/>
              </w:rPr>
            </w:pPr>
            <w:r>
              <w:rPr>
                <w:rFonts w:cs="Times New Roman"/>
              </w:rPr>
              <w:t>化学需氧量</w:t>
            </w:r>
          </w:p>
        </w:tc>
        <w:tc>
          <w:tcPr>
            <w:tcW w:w="847" w:type="pct"/>
            <w:vAlign w:val="center"/>
          </w:tcPr>
          <w:p w14:paraId="2168D1E3">
            <w:pPr>
              <w:pStyle w:val="133"/>
              <w:rPr>
                <w:rFonts w:cs="Times New Roman"/>
              </w:rPr>
            </w:pPr>
            <w:r>
              <w:rPr>
                <w:rFonts w:cs="Times New Roman"/>
              </w:rPr>
              <w:t>t/a</w:t>
            </w:r>
          </w:p>
        </w:tc>
        <w:tc>
          <w:tcPr>
            <w:tcW w:w="668" w:type="pct"/>
            <w:vAlign w:val="center"/>
          </w:tcPr>
          <w:p w14:paraId="4D48B041">
            <w:pPr>
              <w:pStyle w:val="133"/>
              <w:rPr>
                <w:rFonts w:cs="Times New Roman"/>
              </w:rPr>
            </w:pPr>
            <w:r>
              <w:rPr>
                <w:rFonts w:hint="eastAsia" w:cs="Times New Roman"/>
              </w:rPr>
              <w:t>0</w:t>
            </w:r>
          </w:p>
        </w:tc>
        <w:tc>
          <w:tcPr>
            <w:tcW w:w="668" w:type="pct"/>
            <w:vAlign w:val="center"/>
          </w:tcPr>
          <w:p w14:paraId="789E8FB1">
            <w:pPr>
              <w:pStyle w:val="133"/>
              <w:rPr>
                <w:rFonts w:cs="Times New Roman"/>
              </w:rPr>
            </w:pPr>
            <w:r>
              <w:rPr>
                <w:rFonts w:hint="eastAsia" w:cs="Times New Roman"/>
              </w:rPr>
              <w:t>0</w:t>
            </w:r>
          </w:p>
        </w:tc>
        <w:tc>
          <w:tcPr>
            <w:tcW w:w="668" w:type="pct"/>
            <w:vAlign w:val="center"/>
          </w:tcPr>
          <w:p w14:paraId="75FB7095">
            <w:pPr>
              <w:pStyle w:val="133"/>
              <w:rPr>
                <w:rFonts w:cs="Times New Roman"/>
              </w:rPr>
            </w:pPr>
            <w:r>
              <w:rPr>
                <w:rFonts w:hint="eastAsia" w:cs="Times New Roman"/>
              </w:rPr>
              <w:t>0</w:t>
            </w:r>
          </w:p>
        </w:tc>
      </w:tr>
      <w:tr w14:paraId="57E86D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continue"/>
            <w:vAlign w:val="center"/>
          </w:tcPr>
          <w:p w14:paraId="0A7EF740">
            <w:pPr>
              <w:pStyle w:val="133"/>
              <w:rPr>
                <w:rFonts w:cs="Times New Roman"/>
              </w:rPr>
            </w:pPr>
          </w:p>
        </w:tc>
        <w:tc>
          <w:tcPr>
            <w:tcW w:w="1701" w:type="pct"/>
            <w:vAlign w:val="center"/>
          </w:tcPr>
          <w:p w14:paraId="43DFFADC">
            <w:pPr>
              <w:pStyle w:val="133"/>
              <w:rPr>
                <w:rFonts w:cs="Times New Roman"/>
              </w:rPr>
            </w:pPr>
            <w:r>
              <w:rPr>
                <w:rFonts w:cs="Times New Roman"/>
              </w:rPr>
              <w:t>氨氮</w:t>
            </w:r>
          </w:p>
        </w:tc>
        <w:tc>
          <w:tcPr>
            <w:tcW w:w="847" w:type="pct"/>
            <w:vAlign w:val="center"/>
          </w:tcPr>
          <w:p w14:paraId="02A7B500">
            <w:pPr>
              <w:pStyle w:val="133"/>
              <w:rPr>
                <w:rFonts w:cs="Times New Roman"/>
              </w:rPr>
            </w:pPr>
            <w:r>
              <w:rPr>
                <w:rFonts w:cs="Times New Roman"/>
              </w:rPr>
              <w:t>t/a</w:t>
            </w:r>
          </w:p>
        </w:tc>
        <w:tc>
          <w:tcPr>
            <w:tcW w:w="668" w:type="pct"/>
            <w:vAlign w:val="center"/>
          </w:tcPr>
          <w:p w14:paraId="76D763C4">
            <w:pPr>
              <w:pStyle w:val="133"/>
              <w:rPr>
                <w:rFonts w:cs="Times New Roman"/>
              </w:rPr>
            </w:pPr>
            <w:r>
              <w:rPr>
                <w:rFonts w:hint="eastAsia" w:cs="Times New Roman"/>
              </w:rPr>
              <w:t>0</w:t>
            </w:r>
          </w:p>
        </w:tc>
        <w:tc>
          <w:tcPr>
            <w:tcW w:w="668" w:type="pct"/>
            <w:vAlign w:val="center"/>
          </w:tcPr>
          <w:p w14:paraId="401B3AD6">
            <w:pPr>
              <w:pStyle w:val="133"/>
              <w:rPr>
                <w:rFonts w:cs="Times New Roman"/>
              </w:rPr>
            </w:pPr>
            <w:r>
              <w:rPr>
                <w:rFonts w:hint="eastAsia" w:cs="Times New Roman"/>
              </w:rPr>
              <w:t>0</w:t>
            </w:r>
          </w:p>
        </w:tc>
        <w:tc>
          <w:tcPr>
            <w:tcW w:w="668" w:type="pct"/>
            <w:vAlign w:val="center"/>
          </w:tcPr>
          <w:p w14:paraId="6FACEC0C">
            <w:pPr>
              <w:pStyle w:val="133"/>
              <w:rPr>
                <w:rFonts w:cs="Times New Roman"/>
              </w:rPr>
            </w:pPr>
            <w:r>
              <w:rPr>
                <w:rFonts w:hint="eastAsia" w:cs="Times New Roman"/>
              </w:rPr>
              <w:t>0</w:t>
            </w:r>
          </w:p>
        </w:tc>
      </w:tr>
      <w:tr w14:paraId="0EAEE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restart"/>
            <w:vAlign w:val="center"/>
          </w:tcPr>
          <w:p w14:paraId="0AACDD73">
            <w:pPr>
              <w:pStyle w:val="133"/>
              <w:rPr>
                <w:rFonts w:cs="Times New Roman"/>
              </w:rPr>
            </w:pPr>
            <w:r>
              <w:rPr>
                <w:rFonts w:cs="Times New Roman"/>
              </w:rPr>
              <w:t>固体废物</w:t>
            </w:r>
          </w:p>
        </w:tc>
        <w:tc>
          <w:tcPr>
            <w:tcW w:w="1701" w:type="pct"/>
            <w:vAlign w:val="center"/>
          </w:tcPr>
          <w:p w14:paraId="24B84811">
            <w:pPr>
              <w:pStyle w:val="133"/>
              <w:rPr>
                <w:rFonts w:cs="Times New Roman"/>
              </w:rPr>
            </w:pPr>
            <w:r>
              <w:rPr>
                <w:rFonts w:cs="Times New Roman"/>
              </w:rPr>
              <w:t>一般固废</w:t>
            </w:r>
          </w:p>
        </w:tc>
        <w:tc>
          <w:tcPr>
            <w:tcW w:w="847" w:type="pct"/>
            <w:vAlign w:val="center"/>
          </w:tcPr>
          <w:p w14:paraId="4CB16BFF">
            <w:pPr>
              <w:pStyle w:val="133"/>
              <w:rPr>
                <w:rFonts w:cs="Times New Roman"/>
              </w:rPr>
            </w:pPr>
            <w:r>
              <w:rPr>
                <w:rFonts w:cs="Times New Roman"/>
              </w:rPr>
              <w:t>t/a</w:t>
            </w:r>
          </w:p>
        </w:tc>
        <w:tc>
          <w:tcPr>
            <w:tcW w:w="668" w:type="pct"/>
            <w:vAlign w:val="center"/>
          </w:tcPr>
          <w:p w14:paraId="4D88FBD7">
            <w:pPr>
              <w:pStyle w:val="133"/>
              <w:rPr>
                <w:rFonts w:cs="Times New Roman"/>
              </w:rPr>
            </w:pPr>
            <w:r>
              <w:rPr>
                <w:rFonts w:hint="eastAsia" w:cs="Times New Roman"/>
              </w:rPr>
              <w:t>3923.54</w:t>
            </w:r>
          </w:p>
        </w:tc>
        <w:tc>
          <w:tcPr>
            <w:tcW w:w="668" w:type="pct"/>
            <w:vAlign w:val="center"/>
          </w:tcPr>
          <w:p w14:paraId="1B3237A8">
            <w:pPr>
              <w:pStyle w:val="133"/>
              <w:rPr>
                <w:rFonts w:cs="Times New Roman"/>
              </w:rPr>
            </w:pPr>
            <w:r>
              <w:rPr>
                <w:rFonts w:hint="eastAsia" w:cs="Times New Roman"/>
              </w:rPr>
              <w:t>3923.54</w:t>
            </w:r>
          </w:p>
        </w:tc>
        <w:tc>
          <w:tcPr>
            <w:tcW w:w="668" w:type="pct"/>
            <w:vAlign w:val="center"/>
          </w:tcPr>
          <w:p w14:paraId="708DE59F">
            <w:pPr>
              <w:pStyle w:val="133"/>
              <w:rPr>
                <w:rFonts w:cs="Times New Roman"/>
              </w:rPr>
            </w:pPr>
            <w:r>
              <w:rPr>
                <w:rFonts w:cs="Times New Roman"/>
              </w:rPr>
              <w:t>0</w:t>
            </w:r>
          </w:p>
        </w:tc>
      </w:tr>
      <w:tr w14:paraId="4ABB7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448" w:type="pct"/>
            <w:vMerge w:val="continue"/>
            <w:vAlign w:val="center"/>
          </w:tcPr>
          <w:p w14:paraId="6764B742">
            <w:pPr>
              <w:pStyle w:val="133"/>
              <w:rPr>
                <w:rFonts w:cs="Times New Roman"/>
              </w:rPr>
            </w:pPr>
          </w:p>
        </w:tc>
        <w:tc>
          <w:tcPr>
            <w:tcW w:w="1701" w:type="pct"/>
            <w:vAlign w:val="center"/>
          </w:tcPr>
          <w:p w14:paraId="1DD74063">
            <w:pPr>
              <w:pStyle w:val="133"/>
              <w:rPr>
                <w:rFonts w:cs="Times New Roman"/>
              </w:rPr>
            </w:pPr>
            <w:r>
              <w:rPr>
                <w:rFonts w:cs="Times New Roman"/>
              </w:rPr>
              <w:t>危险废物</w:t>
            </w:r>
          </w:p>
        </w:tc>
        <w:tc>
          <w:tcPr>
            <w:tcW w:w="847" w:type="pct"/>
            <w:vAlign w:val="center"/>
          </w:tcPr>
          <w:p w14:paraId="65CDCE89">
            <w:pPr>
              <w:pStyle w:val="133"/>
              <w:rPr>
                <w:rFonts w:cs="Times New Roman"/>
              </w:rPr>
            </w:pPr>
            <w:r>
              <w:rPr>
                <w:rFonts w:cs="Times New Roman"/>
              </w:rPr>
              <w:t>t/a</w:t>
            </w:r>
          </w:p>
        </w:tc>
        <w:tc>
          <w:tcPr>
            <w:tcW w:w="668" w:type="pct"/>
            <w:vAlign w:val="center"/>
          </w:tcPr>
          <w:p w14:paraId="23793CEE">
            <w:pPr>
              <w:pStyle w:val="133"/>
              <w:rPr>
                <w:rFonts w:cs="Times New Roman"/>
              </w:rPr>
            </w:pPr>
            <w:r>
              <w:rPr>
                <w:rFonts w:hint="eastAsia" w:cs="Times New Roman"/>
              </w:rPr>
              <w:t>2.1</w:t>
            </w:r>
          </w:p>
        </w:tc>
        <w:tc>
          <w:tcPr>
            <w:tcW w:w="668" w:type="pct"/>
            <w:vAlign w:val="center"/>
          </w:tcPr>
          <w:p w14:paraId="7D234428">
            <w:pPr>
              <w:pStyle w:val="133"/>
              <w:rPr>
                <w:rFonts w:cs="Times New Roman"/>
              </w:rPr>
            </w:pPr>
            <w:r>
              <w:rPr>
                <w:rFonts w:hint="eastAsia" w:cs="Times New Roman"/>
              </w:rPr>
              <w:t>2.1</w:t>
            </w:r>
          </w:p>
        </w:tc>
        <w:tc>
          <w:tcPr>
            <w:tcW w:w="668" w:type="pct"/>
            <w:vAlign w:val="center"/>
          </w:tcPr>
          <w:p w14:paraId="4CFAC098">
            <w:pPr>
              <w:pStyle w:val="133"/>
              <w:rPr>
                <w:rFonts w:cs="Times New Roman"/>
              </w:rPr>
            </w:pPr>
            <w:r>
              <w:rPr>
                <w:rFonts w:cs="Times New Roman"/>
              </w:rPr>
              <w:t>0</w:t>
            </w:r>
          </w:p>
        </w:tc>
      </w:tr>
      <w:bookmarkEnd w:id="351"/>
    </w:tbl>
    <w:p w14:paraId="13C63442">
      <w:pPr>
        <w:pStyle w:val="117"/>
        <w:ind w:firstLine="480"/>
      </w:pPr>
    </w:p>
    <w:p w14:paraId="35CF8EC9">
      <w:pPr>
        <w:ind w:firstLine="480"/>
      </w:pPr>
      <w:r>
        <w:rPr>
          <w:rFonts w:hint="eastAsia"/>
        </w:rPr>
        <w:t>（2）技改前后硅铁合金生产线</w:t>
      </w:r>
      <w:r>
        <w:t>污染物</w:t>
      </w:r>
      <w:r>
        <w:rPr>
          <w:rFonts w:hint="eastAsia"/>
        </w:rPr>
        <w:t>产排</w:t>
      </w:r>
      <w:r>
        <w:t>分析</w:t>
      </w:r>
    </w:p>
    <w:p w14:paraId="76A58172">
      <w:pPr>
        <w:ind w:firstLine="480"/>
      </w:pPr>
      <w:r>
        <w:rPr>
          <w:rFonts w:hint="eastAsia"/>
        </w:rPr>
        <w:t>本项目</w:t>
      </w:r>
      <w:r>
        <w:t>建成后</w:t>
      </w:r>
      <w:r>
        <w:rPr>
          <w:rFonts w:hint="eastAsia"/>
        </w:rPr>
        <w:t>，硅铁合金生产线</w:t>
      </w:r>
      <w:r>
        <w:t>污染物</w:t>
      </w:r>
      <w:r>
        <w:rPr>
          <w:rFonts w:hint="eastAsia"/>
        </w:rPr>
        <w:t>“三本账”</w:t>
      </w:r>
      <w:r>
        <w:t>情况</w:t>
      </w:r>
      <w:r>
        <w:rPr>
          <w:rFonts w:hint="eastAsia"/>
        </w:rPr>
        <w:t>，</w:t>
      </w:r>
      <w:r>
        <w:t>见表</w:t>
      </w:r>
      <w:r>
        <w:rPr>
          <w:rFonts w:hint="eastAsia"/>
        </w:rPr>
        <w:t>3</w:t>
      </w:r>
      <w:r>
        <w:t>.</w:t>
      </w:r>
      <w:r>
        <w:rPr>
          <w:rFonts w:hint="eastAsia"/>
        </w:rPr>
        <w:t>4-18。</w:t>
      </w:r>
    </w:p>
    <w:p w14:paraId="4663D6BE">
      <w:pPr>
        <w:widowControl/>
        <w:spacing w:line="240" w:lineRule="auto"/>
        <w:ind w:firstLine="0" w:firstLineChars="0"/>
        <w:jc w:val="left"/>
        <w:rPr>
          <w:b/>
          <w:color w:val="000000"/>
          <w:szCs w:val="28"/>
        </w:rPr>
      </w:pPr>
      <w:bookmarkStart w:id="352" w:name="OLE_LINK56"/>
      <w:r>
        <w:br w:type="page"/>
      </w:r>
    </w:p>
    <w:p w14:paraId="7F321940">
      <w:pPr>
        <w:pStyle w:val="118"/>
      </w:pPr>
      <w:r>
        <w:t>表</w:t>
      </w:r>
      <w:r>
        <w:rPr>
          <w:rFonts w:hint="eastAsia"/>
        </w:rPr>
        <w:t>3.4-18  硅铁合金生产线污染物排放“三本账”</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1164"/>
        <w:gridCol w:w="994"/>
        <w:gridCol w:w="1139"/>
        <w:gridCol w:w="1162"/>
        <w:gridCol w:w="1139"/>
        <w:gridCol w:w="1164"/>
        <w:gridCol w:w="1038"/>
      </w:tblGrid>
      <w:tr w14:paraId="63999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Align w:val="center"/>
          </w:tcPr>
          <w:p w14:paraId="3FFFB179">
            <w:pPr>
              <w:pStyle w:val="133"/>
              <w:rPr>
                <w:rFonts w:cs="Times New Roman"/>
                <w:b/>
                <w:bCs/>
              </w:rPr>
            </w:pPr>
            <w:r>
              <w:rPr>
                <w:rFonts w:hint="eastAsia" w:cs="Times New Roman"/>
                <w:b/>
                <w:bCs/>
              </w:rPr>
              <w:t>污染因素</w:t>
            </w:r>
          </w:p>
        </w:tc>
        <w:tc>
          <w:tcPr>
            <w:tcW w:w="683" w:type="pct"/>
            <w:vAlign w:val="center"/>
          </w:tcPr>
          <w:p w14:paraId="4F48474C">
            <w:pPr>
              <w:pStyle w:val="133"/>
              <w:rPr>
                <w:rFonts w:cs="Times New Roman"/>
                <w:b/>
                <w:bCs/>
              </w:rPr>
            </w:pPr>
            <w:r>
              <w:rPr>
                <w:rFonts w:hint="eastAsia" w:cs="Times New Roman"/>
                <w:b/>
                <w:bCs/>
              </w:rPr>
              <w:t>污染物</w:t>
            </w:r>
          </w:p>
          <w:p w14:paraId="22E40E5F">
            <w:pPr>
              <w:pStyle w:val="133"/>
              <w:rPr>
                <w:rFonts w:cs="Times New Roman"/>
                <w:b/>
                <w:bCs/>
              </w:rPr>
            </w:pPr>
            <w:r>
              <w:rPr>
                <w:rFonts w:hint="eastAsia" w:cs="Times New Roman"/>
                <w:b/>
                <w:bCs/>
              </w:rPr>
              <w:t>名称</w:t>
            </w:r>
          </w:p>
        </w:tc>
        <w:tc>
          <w:tcPr>
            <w:tcW w:w="583" w:type="pct"/>
            <w:vAlign w:val="center"/>
          </w:tcPr>
          <w:p w14:paraId="22080B3C">
            <w:pPr>
              <w:pStyle w:val="133"/>
              <w:rPr>
                <w:rFonts w:cs="Times New Roman"/>
                <w:b/>
                <w:bCs/>
              </w:rPr>
            </w:pPr>
            <w:r>
              <w:rPr>
                <w:rFonts w:hint="eastAsia" w:cs="Times New Roman"/>
                <w:b/>
                <w:bCs/>
              </w:rPr>
              <w:t>单位</w:t>
            </w:r>
          </w:p>
        </w:tc>
        <w:tc>
          <w:tcPr>
            <w:tcW w:w="668" w:type="pct"/>
            <w:vAlign w:val="center"/>
          </w:tcPr>
          <w:p w14:paraId="29A3C388">
            <w:pPr>
              <w:pStyle w:val="133"/>
              <w:rPr>
                <w:rFonts w:cs="Times New Roman"/>
                <w:b/>
                <w:bCs/>
              </w:rPr>
            </w:pPr>
            <w:r>
              <w:rPr>
                <w:rFonts w:hint="eastAsia" w:cs="Times New Roman"/>
                <w:b/>
                <w:bCs/>
              </w:rPr>
              <w:t>现有工程排放量</w:t>
            </w:r>
          </w:p>
        </w:tc>
        <w:tc>
          <w:tcPr>
            <w:tcW w:w="682" w:type="pct"/>
            <w:vAlign w:val="center"/>
          </w:tcPr>
          <w:p w14:paraId="0A90FDDE">
            <w:pPr>
              <w:pStyle w:val="133"/>
              <w:rPr>
                <w:rFonts w:cs="Times New Roman"/>
                <w:b/>
                <w:bCs/>
              </w:rPr>
            </w:pPr>
            <w:r>
              <w:rPr>
                <w:rFonts w:hint="eastAsia" w:cs="Times New Roman"/>
                <w:b/>
                <w:bCs/>
              </w:rPr>
              <w:t>本项目</w:t>
            </w:r>
            <w:r>
              <w:rPr>
                <w:rFonts w:hint="eastAsia"/>
                <w:b/>
                <w:bCs/>
              </w:rPr>
              <w:t>硅铁合金生产线</w:t>
            </w:r>
            <w:r>
              <w:rPr>
                <w:rFonts w:hint="eastAsia" w:cs="Times New Roman"/>
                <w:b/>
                <w:bCs/>
              </w:rPr>
              <w:t>排放量</w:t>
            </w:r>
          </w:p>
        </w:tc>
        <w:tc>
          <w:tcPr>
            <w:tcW w:w="668" w:type="pct"/>
            <w:vAlign w:val="center"/>
          </w:tcPr>
          <w:p w14:paraId="7767EFBB">
            <w:pPr>
              <w:pStyle w:val="133"/>
              <w:rPr>
                <w:rFonts w:cs="Times New Roman"/>
                <w:b/>
                <w:bCs/>
              </w:rPr>
            </w:pPr>
            <w:r>
              <w:rPr>
                <w:rFonts w:hint="eastAsia" w:cs="Times New Roman"/>
                <w:b/>
                <w:bCs/>
              </w:rPr>
              <w:t>替代削减量</w:t>
            </w:r>
          </w:p>
        </w:tc>
        <w:tc>
          <w:tcPr>
            <w:tcW w:w="683" w:type="pct"/>
            <w:vAlign w:val="center"/>
          </w:tcPr>
          <w:p w14:paraId="6964E113">
            <w:pPr>
              <w:pStyle w:val="133"/>
              <w:rPr>
                <w:rFonts w:cs="Times New Roman"/>
                <w:b/>
                <w:bCs/>
              </w:rPr>
            </w:pPr>
            <w:r>
              <w:rPr>
                <w:rFonts w:hint="eastAsia" w:cs="Times New Roman"/>
                <w:b/>
                <w:bCs/>
              </w:rPr>
              <w:t>生产线总排放量</w:t>
            </w:r>
          </w:p>
        </w:tc>
        <w:tc>
          <w:tcPr>
            <w:tcW w:w="609" w:type="pct"/>
            <w:vAlign w:val="center"/>
          </w:tcPr>
          <w:p w14:paraId="5E1B97C0">
            <w:pPr>
              <w:pStyle w:val="133"/>
              <w:rPr>
                <w:rFonts w:cs="Times New Roman"/>
                <w:b/>
                <w:bCs/>
              </w:rPr>
            </w:pPr>
            <w:r>
              <w:rPr>
                <w:rFonts w:hint="eastAsia" w:cs="Times New Roman"/>
                <w:b/>
                <w:bCs/>
              </w:rPr>
              <w:t>排放增减量</w:t>
            </w:r>
          </w:p>
        </w:tc>
      </w:tr>
      <w:tr w14:paraId="3FE83D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restart"/>
            <w:vAlign w:val="center"/>
          </w:tcPr>
          <w:p w14:paraId="168170AC">
            <w:pPr>
              <w:pStyle w:val="133"/>
              <w:rPr>
                <w:rFonts w:cs="Times New Roman"/>
              </w:rPr>
            </w:pPr>
            <w:r>
              <w:rPr>
                <w:rFonts w:cs="Times New Roman"/>
              </w:rPr>
              <w:t>废气</w:t>
            </w:r>
          </w:p>
        </w:tc>
        <w:tc>
          <w:tcPr>
            <w:tcW w:w="683" w:type="pct"/>
            <w:vAlign w:val="center"/>
          </w:tcPr>
          <w:p w14:paraId="7ECC2696">
            <w:pPr>
              <w:pStyle w:val="133"/>
              <w:rPr>
                <w:rFonts w:cs="Times New Roman"/>
              </w:rPr>
            </w:pPr>
            <w:r>
              <w:rPr>
                <w:rFonts w:cs="Times New Roman"/>
              </w:rPr>
              <w:t>废气</w:t>
            </w:r>
          </w:p>
        </w:tc>
        <w:tc>
          <w:tcPr>
            <w:tcW w:w="583" w:type="pct"/>
            <w:vAlign w:val="center"/>
          </w:tcPr>
          <w:p w14:paraId="78F139DB">
            <w:pPr>
              <w:pStyle w:val="133"/>
              <w:rPr>
                <w:rFonts w:cs="Times New Roman"/>
              </w:rPr>
            </w:pPr>
            <w:r>
              <w:rPr>
                <w:rFonts w:cs="Times New Roman"/>
              </w:rPr>
              <w:t>万m³/a</w:t>
            </w:r>
          </w:p>
        </w:tc>
        <w:tc>
          <w:tcPr>
            <w:tcW w:w="668" w:type="pct"/>
            <w:vAlign w:val="center"/>
          </w:tcPr>
          <w:p w14:paraId="59458004">
            <w:pPr>
              <w:pStyle w:val="133"/>
              <w:rPr>
                <w:rFonts w:cs="Times New Roman"/>
              </w:rPr>
            </w:pPr>
            <w:r>
              <w:rPr>
                <w:rFonts w:eastAsia="等线" w:cs="Times New Roman"/>
                <w:color w:val="000000"/>
                <w:szCs w:val="21"/>
              </w:rPr>
              <w:t>508716</w:t>
            </w:r>
          </w:p>
        </w:tc>
        <w:tc>
          <w:tcPr>
            <w:tcW w:w="682" w:type="pct"/>
            <w:vAlign w:val="center"/>
          </w:tcPr>
          <w:p w14:paraId="5A4D043A">
            <w:pPr>
              <w:pStyle w:val="133"/>
              <w:rPr>
                <w:rFonts w:cs="Times New Roman"/>
              </w:rPr>
            </w:pPr>
            <w:r>
              <w:rPr>
                <w:rFonts w:eastAsia="等线" w:cs="Times New Roman"/>
                <w:color w:val="000000"/>
                <w:szCs w:val="21"/>
              </w:rPr>
              <w:t>508716</w:t>
            </w:r>
          </w:p>
        </w:tc>
        <w:tc>
          <w:tcPr>
            <w:tcW w:w="668" w:type="pct"/>
            <w:vAlign w:val="center"/>
          </w:tcPr>
          <w:p w14:paraId="57A7F8B0">
            <w:pPr>
              <w:pStyle w:val="133"/>
              <w:rPr>
                <w:rFonts w:cs="Times New Roman"/>
              </w:rPr>
            </w:pPr>
            <w:r>
              <w:rPr>
                <w:rFonts w:eastAsia="等线" w:cs="Times New Roman"/>
                <w:color w:val="000000"/>
                <w:szCs w:val="21"/>
              </w:rPr>
              <w:t>508716</w:t>
            </w:r>
          </w:p>
        </w:tc>
        <w:tc>
          <w:tcPr>
            <w:tcW w:w="683" w:type="pct"/>
            <w:vAlign w:val="center"/>
          </w:tcPr>
          <w:p w14:paraId="61FC6D0C">
            <w:pPr>
              <w:pStyle w:val="133"/>
              <w:rPr>
                <w:rFonts w:cs="Times New Roman"/>
              </w:rPr>
            </w:pPr>
            <w:r>
              <w:rPr>
                <w:rFonts w:eastAsia="等线" w:cs="Times New Roman"/>
                <w:color w:val="000000"/>
                <w:szCs w:val="21"/>
              </w:rPr>
              <w:t>508716</w:t>
            </w:r>
          </w:p>
        </w:tc>
        <w:tc>
          <w:tcPr>
            <w:tcW w:w="609" w:type="pct"/>
            <w:vAlign w:val="center"/>
          </w:tcPr>
          <w:p w14:paraId="2BF061E4">
            <w:pPr>
              <w:pStyle w:val="133"/>
              <w:rPr>
                <w:rFonts w:cs="Times New Roman"/>
              </w:rPr>
            </w:pPr>
            <w:r>
              <w:rPr>
                <w:rFonts w:eastAsia="等线" w:cs="Times New Roman"/>
                <w:color w:val="000000"/>
                <w:szCs w:val="21"/>
              </w:rPr>
              <w:t>0</w:t>
            </w:r>
          </w:p>
        </w:tc>
      </w:tr>
      <w:tr w14:paraId="55F170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continue"/>
            <w:vAlign w:val="center"/>
          </w:tcPr>
          <w:p w14:paraId="4B85564B">
            <w:pPr>
              <w:pStyle w:val="133"/>
              <w:rPr>
                <w:rFonts w:cs="Times New Roman"/>
              </w:rPr>
            </w:pPr>
          </w:p>
        </w:tc>
        <w:tc>
          <w:tcPr>
            <w:tcW w:w="683" w:type="pct"/>
            <w:vAlign w:val="center"/>
          </w:tcPr>
          <w:p w14:paraId="554C5D7A">
            <w:pPr>
              <w:pStyle w:val="133"/>
              <w:rPr>
                <w:rFonts w:cs="Times New Roman"/>
              </w:rPr>
            </w:pPr>
            <w:r>
              <w:rPr>
                <w:rFonts w:cs="Times New Roman"/>
              </w:rPr>
              <w:t>烟（粉）尘</w:t>
            </w:r>
          </w:p>
        </w:tc>
        <w:tc>
          <w:tcPr>
            <w:tcW w:w="583" w:type="pct"/>
            <w:vAlign w:val="center"/>
          </w:tcPr>
          <w:p w14:paraId="6DAAF02D">
            <w:pPr>
              <w:pStyle w:val="133"/>
              <w:rPr>
                <w:rFonts w:cs="Times New Roman"/>
              </w:rPr>
            </w:pPr>
            <w:r>
              <w:rPr>
                <w:rFonts w:cs="Times New Roman"/>
              </w:rPr>
              <w:t>t/a</w:t>
            </w:r>
          </w:p>
        </w:tc>
        <w:tc>
          <w:tcPr>
            <w:tcW w:w="668" w:type="pct"/>
            <w:vAlign w:val="center"/>
          </w:tcPr>
          <w:p w14:paraId="51CCECE7">
            <w:pPr>
              <w:pStyle w:val="133"/>
              <w:rPr>
                <w:rFonts w:cs="Times New Roman"/>
              </w:rPr>
            </w:pPr>
            <w:r>
              <w:rPr>
                <w:rFonts w:eastAsia="等线" w:cs="Times New Roman"/>
                <w:color w:val="000000"/>
                <w:szCs w:val="21"/>
              </w:rPr>
              <w:t>56.92</w:t>
            </w:r>
          </w:p>
        </w:tc>
        <w:tc>
          <w:tcPr>
            <w:tcW w:w="682" w:type="pct"/>
            <w:vAlign w:val="center"/>
          </w:tcPr>
          <w:p w14:paraId="3DA92BD1">
            <w:pPr>
              <w:pStyle w:val="133"/>
              <w:rPr>
                <w:rFonts w:cs="Times New Roman"/>
              </w:rPr>
            </w:pPr>
            <w:r>
              <w:rPr>
                <w:rFonts w:eastAsia="等线" w:cs="Times New Roman"/>
                <w:color w:val="000000"/>
                <w:szCs w:val="21"/>
              </w:rPr>
              <w:t>74.26</w:t>
            </w:r>
          </w:p>
        </w:tc>
        <w:tc>
          <w:tcPr>
            <w:tcW w:w="668" w:type="pct"/>
            <w:vAlign w:val="center"/>
          </w:tcPr>
          <w:p w14:paraId="1E02B8DC">
            <w:pPr>
              <w:pStyle w:val="133"/>
              <w:rPr>
                <w:rFonts w:cs="Times New Roman"/>
              </w:rPr>
            </w:pPr>
            <w:r>
              <w:rPr>
                <w:rFonts w:eastAsia="等线" w:cs="Times New Roman"/>
                <w:color w:val="000000"/>
                <w:szCs w:val="21"/>
              </w:rPr>
              <w:t>56.92</w:t>
            </w:r>
          </w:p>
        </w:tc>
        <w:tc>
          <w:tcPr>
            <w:tcW w:w="683" w:type="pct"/>
            <w:vAlign w:val="center"/>
          </w:tcPr>
          <w:p w14:paraId="697A91C8">
            <w:pPr>
              <w:pStyle w:val="133"/>
              <w:rPr>
                <w:rFonts w:cs="Times New Roman"/>
              </w:rPr>
            </w:pPr>
            <w:r>
              <w:rPr>
                <w:rFonts w:eastAsia="等线" w:cs="Times New Roman"/>
                <w:color w:val="000000"/>
                <w:szCs w:val="21"/>
              </w:rPr>
              <w:t>74.26</w:t>
            </w:r>
          </w:p>
        </w:tc>
        <w:tc>
          <w:tcPr>
            <w:tcW w:w="609" w:type="pct"/>
            <w:vAlign w:val="center"/>
          </w:tcPr>
          <w:p w14:paraId="1E3798E6">
            <w:pPr>
              <w:pStyle w:val="133"/>
              <w:rPr>
                <w:rFonts w:cs="Times New Roman"/>
              </w:rPr>
            </w:pPr>
            <w:r>
              <w:rPr>
                <w:rFonts w:eastAsia="等线" w:cs="Times New Roman"/>
                <w:color w:val="000000"/>
                <w:szCs w:val="21"/>
              </w:rPr>
              <w:t>17.34</w:t>
            </w:r>
          </w:p>
        </w:tc>
      </w:tr>
      <w:tr w14:paraId="5B76B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continue"/>
            <w:vAlign w:val="center"/>
          </w:tcPr>
          <w:p w14:paraId="2A87A386">
            <w:pPr>
              <w:pStyle w:val="133"/>
              <w:rPr>
                <w:rFonts w:cs="Times New Roman"/>
              </w:rPr>
            </w:pPr>
          </w:p>
        </w:tc>
        <w:tc>
          <w:tcPr>
            <w:tcW w:w="683" w:type="pct"/>
            <w:vAlign w:val="center"/>
          </w:tcPr>
          <w:p w14:paraId="309925D2">
            <w:pPr>
              <w:pStyle w:val="133"/>
              <w:rPr>
                <w:rFonts w:cs="Times New Roman"/>
              </w:rPr>
            </w:pPr>
            <w:r>
              <w:rPr>
                <w:rFonts w:cs="Times New Roman"/>
              </w:rPr>
              <w:t>二氧化硫</w:t>
            </w:r>
          </w:p>
        </w:tc>
        <w:tc>
          <w:tcPr>
            <w:tcW w:w="583" w:type="pct"/>
            <w:vAlign w:val="center"/>
          </w:tcPr>
          <w:p w14:paraId="7E4CB078">
            <w:pPr>
              <w:pStyle w:val="133"/>
              <w:rPr>
                <w:rFonts w:cs="Times New Roman"/>
              </w:rPr>
            </w:pPr>
            <w:r>
              <w:rPr>
                <w:rFonts w:cs="Times New Roman"/>
              </w:rPr>
              <w:t>t/a</w:t>
            </w:r>
          </w:p>
        </w:tc>
        <w:tc>
          <w:tcPr>
            <w:tcW w:w="668" w:type="pct"/>
            <w:vAlign w:val="center"/>
          </w:tcPr>
          <w:p w14:paraId="5F1ADADC">
            <w:pPr>
              <w:pStyle w:val="133"/>
              <w:rPr>
                <w:rFonts w:eastAsia="等线" w:cs="Times New Roman"/>
                <w:color w:val="000000"/>
                <w:szCs w:val="21"/>
              </w:rPr>
            </w:pPr>
            <w:r>
              <w:rPr>
                <w:rFonts w:eastAsia="等线" w:cs="Times New Roman"/>
                <w:color w:val="000000"/>
                <w:szCs w:val="21"/>
              </w:rPr>
              <w:t>204.78</w:t>
            </w:r>
          </w:p>
        </w:tc>
        <w:tc>
          <w:tcPr>
            <w:tcW w:w="682" w:type="pct"/>
            <w:vAlign w:val="center"/>
          </w:tcPr>
          <w:p w14:paraId="244B2016">
            <w:pPr>
              <w:pStyle w:val="133"/>
              <w:rPr>
                <w:rFonts w:eastAsia="等线" w:cs="Times New Roman"/>
                <w:color w:val="000000"/>
                <w:szCs w:val="21"/>
              </w:rPr>
            </w:pPr>
            <w:r>
              <w:rPr>
                <w:rFonts w:eastAsia="等线" w:cs="Times New Roman"/>
                <w:color w:val="000000"/>
                <w:szCs w:val="21"/>
              </w:rPr>
              <w:t>767.65</w:t>
            </w:r>
          </w:p>
        </w:tc>
        <w:tc>
          <w:tcPr>
            <w:tcW w:w="668" w:type="pct"/>
            <w:vAlign w:val="center"/>
          </w:tcPr>
          <w:p w14:paraId="711AB0A0">
            <w:pPr>
              <w:pStyle w:val="133"/>
              <w:rPr>
                <w:rFonts w:eastAsia="等线" w:cs="Times New Roman"/>
                <w:color w:val="000000"/>
                <w:szCs w:val="21"/>
              </w:rPr>
            </w:pPr>
            <w:r>
              <w:rPr>
                <w:rFonts w:eastAsia="等线" w:cs="Times New Roman"/>
                <w:color w:val="000000"/>
                <w:szCs w:val="21"/>
              </w:rPr>
              <w:t>204.78</w:t>
            </w:r>
          </w:p>
        </w:tc>
        <w:tc>
          <w:tcPr>
            <w:tcW w:w="683" w:type="pct"/>
            <w:vAlign w:val="center"/>
          </w:tcPr>
          <w:p w14:paraId="27F6D2A7">
            <w:pPr>
              <w:pStyle w:val="133"/>
              <w:rPr>
                <w:rFonts w:eastAsia="等线" w:cs="Times New Roman"/>
                <w:color w:val="000000"/>
                <w:szCs w:val="21"/>
              </w:rPr>
            </w:pPr>
            <w:r>
              <w:rPr>
                <w:rFonts w:eastAsia="等线" w:cs="Times New Roman"/>
                <w:color w:val="000000"/>
                <w:szCs w:val="21"/>
              </w:rPr>
              <w:t>767.65</w:t>
            </w:r>
          </w:p>
        </w:tc>
        <w:tc>
          <w:tcPr>
            <w:tcW w:w="609" w:type="pct"/>
            <w:vAlign w:val="center"/>
          </w:tcPr>
          <w:p w14:paraId="42FC1321">
            <w:pPr>
              <w:pStyle w:val="133"/>
              <w:rPr>
                <w:rFonts w:eastAsia="等线" w:cs="Times New Roman"/>
                <w:color w:val="000000"/>
                <w:szCs w:val="21"/>
              </w:rPr>
            </w:pPr>
            <w:r>
              <w:rPr>
                <w:rFonts w:eastAsia="等线" w:cs="Times New Roman"/>
                <w:color w:val="000000"/>
                <w:szCs w:val="21"/>
              </w:rPr>
              <w:t>562.87</w:t>
            </w:r>
          </w:p>
        </w:tc>
      </w:tr>
      <w:tr w14:paraId="24475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continue"/>
            <w:vAlign w:val="center"/>
          </w:tcPr>
          <w:p w14:paraId="7460D90E">
            <w:pPr>
              <w:pStyle w:val="133"/>
              <w:rPr>
                <w:rFonts w:cs="Times New Roman"/>
              </w:rPr>
            </w:pPr>
          </w:p>
        </w:tc>
        <w:tc>
          <w:tcPr>
            <w:tcW w:w="683" w:type="pct"/>
            <w:vAlign w:val="center"/>
          </w:tcPr>
          <w:p w14:paraId="4273E0E0">
            <w:pPr>
              <w:pStyle w:val="133"/>
              <w:rPr>
                <w:rFonts w:cs="Times New Roman"/>
              </w:rPr>
            </w:pPr>
            <w:r>
              <w:rPr>
                <w:rFonts w:hint="eastAsia" w:cs="Times New Roman"/>
              </w:rPr>
              <w:t>氮氧化物</w:t>
            </w:r>
          </w:p>
        </w:tc>
        <w:tc>
          <w:tcPr>
            <w:tcW w:w="583" w:type="pct"/>
            <w:vAlign w:val="center"/>
          </w:tcPr>
          <w:p w14:paraId="7286D5B4">
            <w:pPr>
              <w:pStyle w:val="133"/>
              <w:rPr>
                <w:rFonts w:cs="Times New Roman"/>
              </w:rPr>
            </w:pPr>
            <w:r>
              <w:rPr>
                <w:rFonts w:cs="Times New Roman"/>
              </w:rPr>
              <w:t>t/a</w:t>
            </w:r>
          </w:p>
        </w:tc>
        <w:tc>
          <w:tcPr>
            <w:tcW w:w="668" w:type="pct"/>
            <w:vAlign w:val="center"/>
          </w:tcPr>
          <w:p w14:paraId="39C13C8C">
            <w:pPr>
              <w:pStyle w:val="133"/>
              <w:rPr>
                <w:rFonts w:cs="Times New Roman"/>
              </w:rPr>
            </w:pPr>
            <w:r>
              <w:rPr>
                <w:rFonts w:eastAsia="等线" w:cs="Times New Roman"/>
                <w:color w:val="000000"/>
                <w:szCs w:val="21"/>
              </w:rPr>
              <w:t>118.40</w:t>
            </w:r>
          </w:p>
        </w:tc>
        <w:tc>
          <w:tcPr>
            <w:tcW w:w="682" w:type="pct"/>
            <w:vAlign w:val="center"/>
          </w:tcPr>
          <w:p w14:paraId="453C9EE6">
            <w:pPr>
              <w:pStyle w:val="133"/>
              <w:rPr>
                <w:rFonts w:cs="Times New Roman"/>
              </w:rPr>
            </w:pPr>
            <w:r>
              <w:rPr>
                <w:rFonts w:eastAsia="等线" w:cs="Times New Roman"/>
                <w:color w:val="000000"/>
                <w:szCs w:val="21"/>
              </w:rPr>
              <w:t>154.20</w:t>
            </w:r>
          </w:p>
        </w:tc>
        <w:tc>
          <w:tcPr>
            <w:tcW w:w="668" w:type="pct"/>
            <w:vAlign w:val="center"/>
          </w:tcPr>
          <w:p w14:paraId="41A8C7CE">
            <w:pPr>
              <w:pStyle w:val="133"/>
              <w:rPr>
                <w:rFonts w:cs="Times New Roman"/>
              </w:rPr>
            </w:pPr>
            <w:r>
              <w:rPr>
                <w:rFonts w:eastAsia="等线" w:cs="Times New Roman"/>
                <w:color w:val="000000"/>
                <w:szCs w:val="21"/>
              </w:rPr>
              <w:t>118.40</w:t>
            </w:r>
          </w:p>
        </w:tc>
        <w:tc>
          <w:tcPr>
            <w:tcW w:w="683" w:type="pct"/>
            <w:vAlign w:val="center"/>
          </w:tcPr>
          <w:p w14:paraId="0305F30C">
            <w:pPr>
              <w:pStyle w:val="133"/>
              <w:rPr>
                <w:rFonts w:cs="Times New Roman"/>
              </w:rPr>
            </w:pPr>
            <w:r>
              <w:rPr>
                <w:rFonts w:eastAsia="等线" w:cs="Times New Roman"/>
                <w:color w:val="000000"/>
                <w:szCs w:val="21"/>
              </w:rPr>
              <w:t>154.20</w:t>
            </w:r>
          </w:p>
        </w:tc>
        <w:tc>
          <w:tcPr>
            <w:tcW w:w="609" w:type="pct"/>
            <w:vAlign w:val="center"/>
          </w:tcPr>
          <w:p w14:paraId="1649B23C">
            <w:pPr>
              <w:pStyle w:val="133"/>
              <w:rPr>
                <w:rFonts w:cs="Times New Roman"/>
              </w:rPr>
            </w:pPr>
            <w:r>
              <w:rPr>
                <w:rFonts w:eastAsia="等线" w:cs="Times New Roman"/>
                <w:color w:val="000000"/>
                <w:szCs w:val="21"/>
              </w:rPr>
              <w:t>35.80</w:t>
            </w:r>
          </w:p>
        </w:tc>
      </w:tr>
      <w:tr w14:paraId="3A33A0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restart"/>
            <w:vAlign w:val="center"/>
          </w:tcPr>
          <w:p w14:paraId="5F93FFF7">
            <w:pPr>
              <w:pStyle w:val="133"/>
              <w:rPr>
                <w:rFonts w:cs="Times New Roman"/>
              </w:rPr>
            </w:pPr>
            <w:r>
              <w:rPr>
                <w:rFonts w:cs="Times New Roman"/>
              </w:rPr>
              <w:t>废水</w:t>
            </w:r>
          </w:p>
        </w:tc>
        <w:tc>
          <w:tcPr>
            <w:tcW w:w="683" w:type="pct"/>
            <w:vAlign w:val="center"/>
          </w:tcPr>
          <w:p w14:paraId="4BCF9E51">
            <w:pPr>
              <w:pStyle w:val="133"/>
              <w:rPr>
                <w:rFonts w:cs="Times New Roman"/>
              </w:rPr>
            </w:pPr>
            <w:r>
              <w:rPr>
                <w:rFonts w:cs="Times New Roman"/>
              </w:rPr>
              <w:t>废水</w:t>
            </w:r>
          </w:p>
        </w:tc>
        <w:tc>
          <w:tcPr>
            <w:tcW w:w="583" w:type="pct"/>
            <w:vAlign w:val="center"/>
          </w:tcPr>
          <w:p w14:paraId="76F95F5E">
            <w:pPr>
              <w:pStyle w:val="133"/>
              <w:rPr>
                <w:rFonts w:cs="Times New Roman"/>
              </w:rPr>
            </w:pPr>
            <w:r>
              <w:rPr>
                <w:rFonts w:cs="Times New Roman"/>
              </w:rPr>
              <w:t>万m³/a</w:t>
            </w:r>
          </w:p>
        </w:tc>
        <w:tc>
          <w:tcPr>
            <w:tcW w:w="668" w:type="pct"/>
            <w:vAlign w:val="center"/>
          </w:tcPr>
          <w:p w14:paraId="57CC8019">
            <w:pPr>
              <w:pStyle w:val="133"/>
              <w:rPr>
                <w:rFonts w:cs="Times New Roman"/>
              </w:rPr>
            </w:pPr>
            <w:r>
              <w:rPr>
                <w:rFonts w:eastAsia="等线" w:cs="Times New Roman"/>
                <w:color w:val="000000"/>
                <w:szCs w:val="21"/>
              </w:rPr>
              <w:t>1.6</w:t>
            </w:r>
          </w:p>
        </w:tc>
        <w:tc>
          <w:tcPr>
            <w:tcW w:w="682" w:type="pct"/>
            <w:vAlign w:val="center"/>
          </w:tcPr>
          <w:p w14:paraId="5B5B2F19">
            <w:pPr>
              <w:pStyle w:val="133"/>
              <w:rPr>
                <w:rFonts w:cs="Times New Roman"/>
              </w:rPr>
            </w:pPr>
            <w:r>
              <w:rPr>
                <w:rFonts w:eastAsia="等线" w:cs="Times New Roman"/>
                <w:color w:val="000000"/>
                <w:szCs w:val="21"/>
              </w:rPr>
              <w:t>0</w:t>
            </w:r>
          </w:p>
        </w:tc>
        <w:tc>
          <w:tcPr>
            <w:tcW w:w="668" w:type="pct"/>
            <w:vAlign w:val="center"/>
          </w:tcPr>
          <w:p w14:paraId="542AC120">
            <w:pPr>
              <w:pStyle w:val="133"/>
              <w:rPr>
                <w:rFonts w:cs="Times New Roman"/>
              </w:rPr>
            </w:pPr>
            <w:r>
              <w:rPr>
                <w:rFonts w:eastAsia="等线" w:cs="Times New Roman"/>
                <w:color w:val="000000"/>
                <w:szCs w:val="21"/>
              </w:rPr>
              <w:t>0</w:t>
            </w:r>
          </w:p>
        </w:tc>
        <w:tc>
          <w:tcPr>
            <w:tcW w:w="683" w:type="pct"/>
            <w:vAlign w:val="center"/>
          </w:tcPr>
          <w:p w14:paraId="073FC9D0">
            <w:pPr>
              <w:pStyle w:val="133"/>
              <w:rPr>
                <w:rFonts w:cs="Times New Roman"/>
              </w:rPr>
            </w:pPr>
            <w:r>
              <w:rPr>
                <w:rFonts w:eastAsia="等线" w:cs="Times New Roman"/>
                <w:color w:val="000000"/>
                <w:szCs w:val="21"/>
              </w:rPr>
              <w:t>1.60</w:t>
            </w:r>
          </w:p>
        </w:tc>
        <w:tc>
          <w:tcPr>
            <w:tcW w:w="609" w:type="pct"/>
            <w:vAlign w:val="center"/>
          </w:tcPr>
          <w:p w14:paraId="352DD43B">
            <w:pPr>
              <w:pStyle w:val="133"/>
              <w:rPr>
                <w:rFonts w:cs="Times New Roman"/>
              </w:rPr>
            </w:pPr>
            <w:r>
              <w:rPr>
                <w:rFonts w:eastAsia="等线" w:cs="Times New Roman"/>
                <w:color w:val="000000"/>
                <w:szCs w:val="21"/>
              </w:rPr>
              <w:t>0.00</w:t>
            </w:r>
          </w:p>
        </w:tc>
      </w:tr>
      <w:tr w14:paraId="32CB0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continue"/>
            <w:vAlign w:val="center"/>
          </w:tcPr>
          <w:p w14:paraId="69A4B3CB">
            <w:pPr>
              <w:pStyle w:val="133"/>
              <w:rPr>
                <w:rFonts w:cs="Times New Roman"/>
              </w:rPr>
            </w:pPr>
          </w:p>
        </w:tc>
        <w:tc>
          <w:tcPr>
            <w:tcW w:w="683" w:type="pct"/>
            <w:vAlign w:val="center"/>
          </w:tcPr>
          <w:p w14:paraId="6E926502">
            <w:pPr>
              <w:pStyle w:val="133"/>
              <w:rPr>
                <w:rFonts w:cs="Times New Roman"/>
              </w:rPr>
            </w:pPr>
            <w:r>
              <w:rPr>
                <w:rFonts w:cs="Times New Roman"/>
              </w:rPr>
              <w:t>COD</w:t>
            </w:r>
          </w:p>
        </w:tc>
        <w:tc>
          <w:tcPr>
            <w:tcW w:w="583" w:type="pct"/>
            <w:vAlign w:val="center"/>
          </w:tcPr>
          <w:p w14:paraId="0139FE02">
            <w:pPr>
              <w:pStyle w:val="133"/>
              <w:rPr>
                <w:rFonts w:cs="Times New Roman"/>
              </w:rPr>
            </w:pPr>
            <w:r>
              <w:rPr>
                <w:rFonts w:cs="Times New Roman"/>
              </w:rPr>
              <w:t>t/a</w:t>
            </w:r>
          </w:p>
        </w:tc>
        <w:tc>
          <w:tcPr>
            <w:tcW w:w="668" w:type="pct"/>
            <w:vAlign w:val="center"/>
          </w:tcPr>
          <w:p w14:paraId="28D24501">
            <w:pPr>
              <w:pStyle w:val="133"/>
              <w:rPr>
                <w:rFonts w:cs="Times New Roman"/>
              </w:rPr>
            </w:pPr>
            <w:r>
              <w:rPr>
                <w:rFonts w:eastAsia="等线" w:cs="Times New Roman"/>
                <w:color w:val="000000"/>
                <w:szCs w:val="21"/>
              </w:rPr>
              <w:t>0.02</w:t>
            </w:r>
          </w:p>
        </w:tc>
        <w:tc>
          <w:tcPr>
            <w:tcW w:w="682" w:type="pct"/>
            <w:vAlign w:val="center"/>
          </w:tcPr>
          <w:p w14:paraId="25AE0CA3">
            <w:pPr>
              <w:pStyle w:val="133"/>
              <w:rPr>
                <w:rFonts w:cs="Times New Roman"/>
              </w:rPr>
            </w:pPr>
            <w:r>
              <w:rPr>
                <w:rFonts w:eastAsia="等线" w:cs="Times New Roman"/>
                <w:color w:val="000000"/>
                <w:szCs w:val="21"/>
              </w:rPr>
              <w:t>0</w:t>
            </w:r>
          </w:p>
        </w:tc>
        <w:tc>
          <w:tcPr>
            <w:tcW w:w="668" w:type="pct"/>
            <w:vAlign w:val="center"/>
          </w:tcPr>
          <w:p w14:paraId="21277CF4">
            <w:pPr>
              <w:pStyle w:val="133"/>
              <w:rPr>
                <w:rFonts w:cs="Times New Roman"/>
              </w:rPr>
            </w:pPr>
            <w:r>
              <w:rPr>
                <w:rFonts w:eastAsia="等线" w:cs="Times New Roman"/>
                <w:color w:val="000000"/>
                <w:szCs w:val="21"/>
              </w:rPr>
              <w:t>0</w:t>
            </w:r>
          </w:p>
        </w:tc>
        <w:tc>
          <w:tcPr>
            <w:tcW w:w="683" w:type="pct"/>
            <w:vAlign w:val="center"/>
          </w:tcPr>
          <w:p w14:paraId="02F17386">
            <w:pPr>
              <w:pStyle w:val="133"/>
              <w:rPr>
                <w:rFonts w:cs="Times New Roman"/>
              </w:rPr>
            </w:pPr>
            <w:r>
              <w:rPr>
                <w:rFonts w:eastAsia="等线" w:cs="Times New Roman"/>
                <w:color w:val="000000"/>
                <w:szCs w:val="21"/>
              </w:rPr>
              <w:t>0.02</w:t>
            </w:r>
          </w:p>
        </w:tc>
        <w:tc>
          <w:tcPr>
            <w:tcW w:w="609" w:type="pct"/>
            <w:vAlign w:val="center"/>
          </w:tcPr>
          <w:p w14:paraId="03E99378">
            <w:pPr>
              <w:pStyle w:val="133"/>
              <w:rPr>
                <w:rFonts w:cs="Times New Roman"/>
              </w:rPr>
            </w:pPr>
            <w:r>
              <w:rPr>
                <w:rFonts w:eastAsia="等线" w:cs="Times New Roman"/>
                <w:color w:val="000000"/>
                <w:szCs w:val="21"/>
              </w:rPr>
              <w:t>0.00</w:t>
            </w:r>
          </w:p>
        </w:tc>
      </w:tr>
      <w:tr w14:paraId="1DD86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continue"/>
            <w:vAlign w:val="center"/>
          </w:tcPr>
          <w:p w14:paraId="328F5AFD">
            <w:pPr>
              <w:pStyle w:val="133"/>
              <w:rPr>
                <w:rFonts w:cs="Times New Roman"/>
              </w:rPr>
            </w:pPr>
          </w:p>
        </w:tc>
        <w:tc>
          <w:tcPr>
            <w:tcW w:w="683" w:type="pct"/>
            <w:vAlign w:val="center"/>
          </w:tcPr>
          <w:p w14:paraId="40A2675D">
            <w:pPr>
              <w:pStyle w:val="133"/>
              <w:rPr>
                <w:rFonts w:cs="Times New Roman"/>
              </w:rPr>
            </w:pPr>
            <w:r>
              <w:rPr>
                <w:rFonts w:cs="Times New Roman"/>
              </w:rPr>
              <w:t>氨氮</w:t>
            </w:r>
          </w:p>
        </w:tc>
        <w:tc>
          <w:tcPr>
            <w:tcW w:w="583" w:type="pct"/>
            <w:vAlign w:val="center"/>
          </w:tcPr>
          <w:p w14:paraId="31643141">
            <w:pPr>
              <w:pStyle w:val="133"/>
              <w:rPr>
                <w:rFonts w:cs="Times New Roman"/>
              </w:rPr>
            </w:pPr>
            <w:r>
              <w:rPr>
                <w:rFonts w:cs="Times New Roman"/>
              </w:rPr>
              <w:t>t/a</w:t>
            </w:r>
          </w:p>
        </w:tc>
        <w:tc>
          <w:tcPr>
            <w:tcW w:w="668" w:type="pct"/>
            <w:vAlign w:val="center"/>
          </w:tcPr>
          <w:p w14:paraId="6BC2559D">
            <w:pPr>
              <w:pStyle w:val="133"/>
              <w:rPr>
                <w:rFonts w:cs="Times New Roman"/>
              </w:rPr>
            </w:pPr>
            <w:r>
              <w:rPr>
                <w:rFonts w:eastAsia="等线" w:cs="Times New Roman"/>
                <w:color w:val="000000"/>
                <w:szCs w:val="21"/>
              </w:rPr>
              <w:t>0</w:t>
            </w:r>
          </w:p>
        </w:tc>
        <w:tc>
          <w:tcPr>
            <w:tcW w:w="682" w:type="pct"/>
            <w:vAlign w:val="center"/>
          </w:tcPr>
          <w:p w14:paraId="195B616C">
            <w:pPr>
              <w:pStyle w:val="133"/>
              <w:rPr>
                <w:rFonts w:cs="Times New Roman"/>
              </w:rPr>
            </w:pPr>
            <w:r>
              <w:rPr>
                <w:rFonts w:hint="eastAsia" w:eastAsia="等线" w:cs="Times New Roman"/>
                <w:color w:val="000000"/>
                <w:szCs w:val="21"/>
              </w:rPr>
              <w:t>0</w:t>
            </w:r>
          </w:p>
        </w:tc>
        <w:tc>
          <w:tcPr>
            <w:tcW w:w="668" w:type="pct"/>
            <w:vAlign w:val="center"/>
          </w:tcPr>
          <w:p w14:paraId="61B52999">
            <w:pPr>
              <w:pStyle w:val="133"/>
              <w:rPr>
                <w:rFonts w:cs="Times New Roman"/>
              </w:rPr>
            </w:pPr>
            <w:r>
              <w:rPr>
                <w:rFonts w:hint="eastAsia" w:eastAsia="等线" w:cs="Times New Roman"/>
                <w:color w:val="000000"/>
                <w:szCs w:val="21"/>
              </w:rPr>
              <w:t>0</w:t>
            </w:r>
          </w:p>
        </w:tc>
        <w:tc>
          <w:tcPr>
            <w:tcW w:w="683" w:type="pct"/>
            <w:vAlign w:val="center"/>
          </w:tcPr>
          <w:p w14:paraId="7E09C9B7">
            <w:pPr>
              <w:pStyle w:val="133"/>
              <w:rPr>
                <w:rFonts w:cs="Times New Roman"/>
              </w:rPr>
            </w:pPr>
            <w:r>
              <w:rPr>
                <w:rFonts w:eastAsia="等线" w:cs="Times New Roman"/>
                <w:color w:val="000000"/>
                <w:szCs w:val="21"/>
              </w:rPr>
              <w:t>0</w:t>
            </w:r>
          </w:p>
        </w:tc>
        <w:tc>
          <w:tcPr>
            <w:tcW w:w="609" w:type="pct"/>
            <w:vAlign w:val="center"/>
          </w:tcPr>
          <w:p w14:paraId="588C6A57">
            <w:pPr>
              <w:pStyle w:val="133"/>
              <w:rPr>
                <w:rFonts w:cs="Times New Roman"/>
              </w:rPr>
            </w:pPr>
            <w:r>
              <w:rPr>
                <w:rFonts w:eastAsia="等线" w:cs="Times New Roman"/>
                <w:color w:val="000000"/>
                <w:szCs w:val="21"/>
              </w:rPr>
              <w:t>0</w:t>
            </w:r>
          </w:p>
        </w:tc>
      </w:tr>
      <w:tr w14:paraId="3942C2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restart"/>
            <w:vAlign w:val="center"/>
          </w:tcPr>
          <w:p w14:paraId="11A758DD">
            <w:pPr>
              <w:pStyle w:val="133"/>
              <w:rPr>
                <w:rFonts w:cs="Times New Roman"/>
              </w:rPr>
            </w:pPr>
            <w:r>
              <w:rPr>
                <w:rFonts w:cs="Times New Roman"/>
              </w:rPr>
              <w:t>固废</w:t>
            </w:r>
          </w:p>
        </w:tc>
        <w:tc>
          <w:tcPr>
            <w:tcW w:w="683" w:type="pct"/>
            <w:vAlign w:val="center"/>
          </w:tcPr>
          <w:p w14:paraId="5C08E209">
            <w:pPr>
              <w:pStyle w:val="133"/>
              <w:rPr>
                <w:rFonts w:cs="Times New Roman"/>
              </w:rPr>
            </w:pPr>
            <w:r>
              <w:rPr>
                <w:rFonts w:cs="Times New Roman"/>
              </w:rPr>
              <w:t>一般固废</w:t>
            </w:r>
          </w:p>
        </w:tc>
        <w:tc>
          <w:tcPr>
            <w:tcW w:w="583" w:type="pct"/>
            <w:vAlign w:val="center"/>
          </w:tcPr>
          <w:p w14:paraId="5BD4659C">
            <w:pPr>
              <w:pStyle w:val="133"/>
              <w:rPr>
                <w:rFonts w:cs="Times New Roman"/>
              </w:rPr>
            </w:pPr>
            <w:r>
              <w:rPr>
                <w:rFonts w:cs="Times New Roman"/>
              </w:rPr>
              <w:t>t/a</w:t>
            </w:r>
          </w:p>
        </w:tc>
        <w:tc>
          <w:tcPr>
            <w:tcW w:w="668" w:type="pct"/>
            <w:vAlign w:val="center"/>
          </w:tcPr>
          <w:p w14:paraId="7E4AF28D">
            <w:pPr>
              <w:pStyle w:val="133"/>
              <w:rPr>
                <w:rFonts w:cs="Times New Roman"/>
              </w:rPr>
            </w:pPr>
            <w:r>
              <w:rPr>
                <w:rFonts w:eastAsia="等线" w:cs="Times New Roman"/>
                <w:color w:val="000000"/>
                <w:szCs w:val="21"/>
              </w:rPr>
              <w:t>0</w:t>
            </w:r>
          </w:p>
        </w:tc>
        <w:tc>
          <w:tcPr>
            <w:tcW w:w="682" w:type="pct"/>
            <w:vAlign w:val="center"/>
          </w:tcPr>
          <w:p w14:paraId="1C48061C">
            <w:pPr>
              <w:pStyle w:val="133"/>
              <w:rPr>
                <w:rFonts w:cs="Times New Roman"/>
              </w:rPr>
            </w:pPr>
            <w:r>
              <w:rPr>
                <w:rFonts w:eastAsia="等线" w:cs="Times New Roman"/>
                <w:color w:val="000000"/>
                <w:szCs w:val="21"/>
              </w:rPr>
              <w:t>0</w:t>
            </w:r>
          </w:p>
        </w:tc>
        <w:tc>
          <w:tcPr>
            <w:tcW w:w="668" w:type="pct"/>
            <w:vAlign w:val="center"/>
          </w:tcPr>
          <w:p w14:paraId="121F0F74">
            <w:pPr>
              <w:pStyle w:val="133"/>
              <w:rPr>
                <w:rFonts w:cs="Times New Roman"/>
              </w:rPr>
            </w:pPr>
            <w:r>
              <w:rPr>
                <w:rFonts w:eastAsia="等线" w:cs="Times New Roman"/>
                <w:color w:val="000000"/>
                <w:szCs w:val="21"/>
              </w:rPr>
              <w:t>0</w:t>
            </w:r>
          </w:p>
        </w:tc>
        <w:tc>
          <w:tcPr>
            <w:tcW w:w="683" w:type="pct"/>
            <w:vAlign w:val="center"/>
          </w:tcPr>
          <w:p w14:paraId="4CA0A038">
            <w:pPr>
              <w:pStyle w:val="133"/>
              <w:rPr>
                <w:rFonts w:cs="Times New Roman"/>
              </w:rPr>
            </w:pPr>
            <w:r>
              <w:rPr>
                <w:rFonts w:eastAsia="等线" w:cs="Times New Roman"/>
                <w:color w:val="000000"/>
                <w:szCs w:val="21"/>
              </w:rPr>
              <w:t>0</w:t>
            </w:r>
          </w:p>
        </w:tc>
        <w:tc>
          <w:tcPr>
            <w:tcW w:w="609" w:type="pct"/>
            <w:vAlign w:val="center"/>
          </w:tcPr>
          <w:p w14:paraId="492F5E55">
            <w:pPr>
              <w:pStyle w:val="133"/>
              <w:rPr>
                <w:rFonts w:cs="Times New Roman"/>
              </w:rPr>
            </w:pPr>
            <w:r>
              <w:rPr>
                <w:rFonts w:eastAsia="等线" w:cs="Times New Roman"/>
                <w:color w:val="000000"/>
                <w:szCs w:val="21"/>
              </w:rPr>
              <w:t>0</w:t>
            </w:r>
          </w:p>
        </w:tc>
      </w:tr>
      <w:tr w14:paraId="2E128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24" w:type="pct"/>
            <w:vMerge w:val="continue"/>
            <w:vAlign w:val="center"/>
          </w:tcPr>
          <w:p w14:paraId="512C068F">
            <w:pPr>
              <w:pStyle w:val="133"/>
              <w:rPr>
                <w:rFonts w:cs="Times New Roman"/>
              </w:rPr>
            </w:pPr>
          </w:p>
        </w:tc>
        <w:tc>
          <w:tcPr>
            <w:tcW w:w="683" w:type="pct"/>
            <w:vAlign w:val="center"/>
          </w:tcPr>
          <w:p w14:paraId="21046AED">
            <w:pPr>
              <w:pStyle w:val="133"/>
              <w:rPr>
                <w:rFonts w:cs="Times New Roman"/>
              </w:rPr>
            </w:pPr>
            <w:r>
              <w:rPr>
                <w:rFonts w:cs="Times New Roman"/>
              </w:rPr>
              <w:t>危险废物</w:t>
            </w:r>
          </w:p>
        </w:tc>
        <w:tc>
          <w:tcPr>
            <w:tcW w:w="583" w:type="pct"/>
            <w:vAlign w:val="center"/>
          </w:tcPr>
          <w:p w14:paraId="4186CACF">
            <w:pPr>
              <w:pStyle w:val="133"/>
              <w:rPr>
                <w:rFonts w:cs="Times New Roman"/>
              </w:rPr>
            </w:pPr>
            <w:r>
              <w:rPr>
                <w:rFonts w:cs="Times New Roman"/>
              </w:rPr>
              <w:t>t/a</w:t>
            </w:r>
          </w:p>
        </w:tc>
        <w:tc>
          <w:tcPr>
            <w:tcW w:w="668" w:type="pct"/>
            <w:vAlign w:val="center"/>
          </w:tcPr>
          <w:p w14:paraId="6B1F3054">
            <w:pPr>
              <w:pStyle w:val="133"/>
              <w:rPr>
                <w:rFonts w:cs="Times New Roman"/>
              </w:rPr>
            </w:pPr>
            <w:r>
              <w:rPr>
                <w:rFonts w:eastAsia="等线" w:cs="Times New Roman"/>
                <w:color w:val="000000"/>
                <w:szCs w:val="21"/>
              </w:rPr>
              <w:t>0</w:t>
            </w:r>
          </w:p>
        </w:tc>
        <w:tc>
          <w:tcPr>
            <w:tcW w:w="682" w:type="pct"/>
            <w:vAlign w:val="center"/>
          </w:tcPr>
          <w:p w14:paraId="268DEB25">
            <w:pPr>
              <w:pStyle w:val="133"/>
              <w:rPr>
                <w:rFonts w:cs="Times New Roman"/>
              </w:rPr>
            </w:pPr>
            <w:r>
              <w:rPr>
                <w:rFonts w:eastAsia="等线" w:cs="Times New Roman"/>
                <w:color w:val="000000"/>
                <w:szCs w:val="21"/>
              </w:rPr>
              <w:t>0</w:t>
            </w:r>
          </w:p>
        </w:tc>
        <w:tc>
          <w:tcPr>
            <w:tcW w:w="668" w:type="pct"/>
            <w:vAlign w:val="center"/>
          </w:tcPr>
          <w:p w14:paraId="2D82C22F">
            <w:pPr>
              <w:pStyle w:val="133"/>
              <w:rPr>
                <w:rFonts w:cs="Times New Roman"/>
              </w:rPr>
            </w:pPr>
            <w:r>
              <w:rPr>
                <w:rFonts w:eastAsia="等线" w:cs="Times New Roman"/>
                <w:color w:val="000000"/>
                <w:szCs w:val="21"/>
              </w:rPr>
              <w:t>0</w:t>
            </w:r>
          </w:p>
        </w:tc>
        <w:tc>
          <w:tcPr>
            <w:tcW w:w="683" w:type="pct"/>
            <w:vAlign w:val="center"/>
          </w:tcPr>
          <w:p w14:paraId="0C605374">
            <w:pPr>
              <w:pStyle w:val="133"/>
              <w:rPr>
                <w:rFonts w:cs="Times New Roman"/>
              </w:rPr>
            </w:pPr>
            <w:r>
              <w:rPr>
                <w:rFonts w:eastAsia="等线" w:cs="Times New Roman"/>
                <w:color w:val="000000"/>
                <w:szCs w:val="21"/>
              </w:rPr>
              <w:t>0</w:t>
            </w:r>
          </w:p>
        </w:tc>
        <w:tc>
          <w:tcPr>
            <w:tcW w:w="609" w:type="pct"/>
            <w:vAlign w:val="center"/>
          </w:tcPr>
          <w:p w14:paraId="666E3C77">
            <w:pPr>
              <w:pStyle w:val="133"/>
              <w:rPr>
                <w:rFonts w:cs="Times New Roman"/>
              </w:rPr>
            </w:pPr>
            <w:r>
              <w:rPr>
                <w:rFonts w:eastAsia="等线" w:cs="Times New Roman"/>
                <w:color w:val="000000"/>
                <w:szCs w:val="21"/>
              </w:rPr>
              <w:t>0</w:t>
            </w:r>
          </w:p>
        </w:tc>
      </w:tr>
      <w:bookmarkEnd w:id="352"/>
    </w:tbl>
    <w:p w14:paraId="1877F726">
      <w:pPr>
        <w:pStyle w:val="133"/>
      </w:pPr>
    </w:p>
    <w:bookmarkEnd w:id="270"/>
    <w:p w14:paraId="4D513A48">
      <w:pPr>
        <w:pStyle w:val="3"/>
      </w:pPr>
      <w:bookmarkStart w:id="353" w:name="_Toc205291381"/>
      <w:r>
        <w:rPr>
          <w:rFonts w:hint="eastAsia"/>
        </w:rPr>
        <w:t>公辅工程</w:t>
      </w:r>
      <w:bookmarkEnd w:id="353"/>
    </w:p>
    <w:p w14:paraId="4035AEF4">
      <w:pPr>
        <w:pStyle w:val="138"/>
        <w:rPr>
          <w:rFonts w:hint="eastAsia"/>
        </w:rPr>
      </w:pPr>
      <w:r>
        <w:rPr>
          <w:rFonts w:hint="eastAsia"/>
        </w:rPr>
        <w:t>工艺流程及产污环节</w:t>
      </w:r>
    </w:p>
    <w:p w14:paraId="66859577">
      <w:pPr>
        <w:pStyle w:val="944"/>
      </w:pPr>
      <w:r>
        <w:rPr>
          <w:rFonts w:hint="eastAsia"/>
        </w:rPr>
        <w:t>软水站</w:t>
      </w:r>
    </w:p>
    <w:p w14:paraId="2DC3D35E">
      <w:pPr>
        <w:pStyle w:val="117"/>
        <w:ind w:firstLine="480"/>
      </w:pPr>
      <w:r>
        <w:rPr>
          <w:rFonts w:hint="eastAsia"/>
        </w:rPr>
        <w:t>技改后循环水系统、余热锅炉新增软水用量由新建软水站提供。</w:t>
      </w:r>
    </w:p>
    <w:p w14:paraId="4C908E85">
      <w:pPr>
        <w:pStyle w:val="117"/>
        <w:ind w:firstLine="480"/>
        <w:rPr>
          <w:snapToGrid w:val="0"/>
        </w:rPr>
      </w:pPr>
      <w:r>
        <w:rPr>
          <w:rFonts w:hint="eastAsia"/>
        </w:rPr>
        <w:t>新建软水站</w:t>
      </w:r>
      <w:r>
        <w:rPr>
          <w:snapToGrid w:val="0"/>
        </w:rPr>
        <w:t>采用</w:t>
      </w:r>
      <w:r>
        <w:rPr>
          <w:rFonts w:hint="eastAsia"/>
          <w:snapToGrid w:val="0"/>
        </w:rPr>
        <w:t>全自动软水器制备软水，水处理工艺为离子交换，</w:t>
      </w:r>
      <w:r>
        <w:rPr>
          <w:rFonts w:hint="eastAsia"/>
        </w:rPr>
        <w:t>过程中产生软水</w:t>
      </w:r>
      <w:r>
        <w:t>制备浓水</w:t>
      </w:r>
      <w:r>
        <w:rPr>
          <w:rFonts w:hint="eastAsia"/>
        </w:rPr>
        <w:t>（W4</w:t>
      </w:r>
      <w:r>
        <w:t>-</w:t>
      </w:r>
      <w:r>
        <w:rPr>
          <w:rFonts w:hint="eastAsia"/>
        </w:rPr>
        <w:t>1）</w:t>
      </w:r>
      <w:r>
        <w:rPr>
          <w:rFonts w:hint="eastAsia"/>
          <w:snapToGrid w:val="0"/>
        </w:rPr>
        <w:t>，</w:t>
      </w:r>
      <w:r>
        <w:rPr>
          <w:rFonts w:hint="eastAsia"/>
        </w:rPr>
        <w:t>废水量约占产水量的10</w:t>
      </w:r>
      <w:r>
        <w:t>%，</w:t>
      </w:r>
      <w:r>
        <w:rPr>
          <w:rFonts w:hint="eastAsia"/>
        </w:rPr>
        <w:t>其中污染物主要为悬浮物、盐类等，采用石英砂过滤器处理后作为厂区绿化用水</w:t>
      </w:r>
      <w:r>
        <w:t>。</w:t>
      </w:r>
      <w:bookmarkStart w:id="354" w:name="_Hlk131173913"/>
      <w:r>
        <w:rPr>
          <w:rFonts w:hint="eastAsia"/>
          <w:snapToGrid w:val="0"/>
        </w:rPr>
        <w:t>全自动软水器须定期更换离子交换树脂，产生废离子交换树脂（S4</w:t>
      </w:r>
      <w:r>
        <w:rPr>
          <w:snapToGrid w:val="0"/>
        </w:rPr>
        <w:t>-</w:t>
      </w:r>
      <w:r>
        <w:rPr>
          <w:rFonts w:hint="eastAsia"/>
          <w:snapToGrid w:val="0"/>
        </w:rPr>
        <w:t>1），</w:t>
      </w:r>
      <w:r>
        <w:rPr>
          <w:rFonts w:hint="eastAsia"/>
        </w:rPr>
        <w:t>石英砂过滤器定期更换滤芯，产生废滤芯（S4-2）</w:t>
      </w:r>
      <w:r>
        <w:rPr>
          <w:rFonts w:hint="eastAsia"/>
          <w:snapToGrid w:val="0"/>
        </w:rPr>
        <w:t>。</w:t>
      </w:r>
      <w:bookmarkEnd w:id="354"/>
    </w:p>
    <w:p w14:paraId="60B86832">
      <w:pPr>
        <w:pStyle w:val="944"/>
      </w:pPr>
      <w:r>
        <w:t>循环</w:t>
      </w:r>
      <w:r>
        <w:rPr>
          <w:rFonts w:hint="eastAsia"/>
        </w:rPr>
        <w:t>冷却</w:t>
      </w:r>
      <w:r>
        <w:t>水系统</w:t>
      </w:r>
    </w:p>
    <w:p w14:paraId="1D8224E0">
      <w:pPr>
        <w:pStyle w:val="117"/>
        <w:ind w:firstLine="480"/>
      </w:pPr>
      <w:r>
        <w:rPr>
          <w:rFonts w:hint="eastAsia"/>
        </w:rPr>
        <w:t>循环冷却水系统</w:t>
      </w:r>
      <w:r>
        <w:t>主要供给</w:t>
      </w:r>
      <w:r>
        <w:rPr>
          <w:rFonts w:hint="eastAsia"/>
        </w:rPr>
        <w:t>煅烧、还原、机修、铸锭、立式铸造、冷渣机、兰炭、硅铁等工艺</w:t>
      </w:r>
      <w:r>
        <w:t>设备冷却用水，采用机械通风冷却塔冷却方式，根据主工艺系统划分及布置情况，分别单独设置循环冷却水系统</w:t>
      </w:r>
      <w:bookmarkStart w:id="355" w:name="_Hlk159260235"/>
      <w:r>
        <w:t>，以保障系统更安全有效运行</w:t>
      </w:r>
      <w:bookmarkEnd w:id="355"/>
      <w:r>
        <w:t>。</w:t>
      </w:r>
    </w:p>
    <w:p w14:paraId="24CD6FA2">
      <w:pPr>
        <w:pStyle w:val="117"/>
        <w:ind w:firstLine="480"/>
      </w:pPr>
      <w:bookmarkStart w:id="356" w:name="_Hlk159260257"/>
      <w:r>
        <w:t>循环冷却水系统</w:t>
      </w:r>
      <w:r>
        <w:rPr>
          <w:rFonts w:hint="eastAsia"/>
        </w:rPr>
        <w:t>将产生一定量的排污水（W4</w:t>
      </w:r>
      <w:r>
        <w:t>-</w:t>
      </w:r>
      <w:r>
        <w:rPr>
          <w:rFonts w:hint="eastAsia"/>
        </w:rPr>
        <w:t>2），采用石英砂过滤器处理后作为厂区绿化用水</w:t>
      </w:r>
      <w:r>
        <w:t>。</w:t>
      </w:r>
      <w:bookmarkEnd w:id="356"/>
    </w:p>
    <w:p w14:paraId="78404D8D">
      <w:pPr>
        <w:pStyle w:val="944"/>
      </w:pPr>
      <w:r>
        <w:rPr>
          <w:rFonts w:hint="eastAsia"/>
        </w:rPr>
        <w:t>设备维护</w:t>
      </w:r>
    </w:p>
    <w:p w14:paraId="55EC00CC">
      <w:pPr>
        <w:pStyle w:val="117"/>
        <w:ind w:firstLine="480"/>
      </w:pPr>
      <w:bookmarkStart w:id="357" w:name="_Hlk159261229"/>
      <w:r>
        <w:rPr>
          <w:rFonts w:hint="eastAsia"/>
        </w:rPr>
        <w:t>为保证生产装置中各机械设备运转正常，须定期对设备进行检修和维护，在此过程中将产生废润滑油（S4</w:t>
      </w:r>
      <w:r>
        <w:t>-</w:t>
      </w:r>
      <w:r>
        <w:rPr>
          <w:rFonts w:hint="eastAsia"/>
        </w:rPr>
        <w:t>3）。</w:t>
      </w:r>
    </w:p>
    <w:bookmarkEnd w:id="357"/>
    <w:p w14:paraId="59E78593">
      <w:pPr>
        <w:pStyle w:val="117"/>
        <w:ind w:firstLine="480"/>
      </w:pPr>
      <w:r>
        <w:rPr>
          <w:rFonts w:hint="eastAsia"/>
        </w:rPr>
        <w:t>各生产工序废气除尘采用布袋除尘器，</w:t>
      </w:r>
      <w:r>
        <w:t>布袋</w:t>
      </w:r>
      <w:r>
        <w:rPr>
          <w:rFonts w:hint="eastAsia"/>
        </w:rPr>
        <w:t>一般</w:t>
      </w:r>
      <w:r>
        <w:t>需</w:t>
      </w:r>
      <w:r>
        <w:rPr>
          <w:rFonts w:hint="eastAsia"/>
        </w:rPr>
        <w:t>2年</w:t>
      </w:r>
      <w:r>
        <w:t>更换</w:t>
      </w:r>
      <w:r>
        <w:rPr>
          <w:rFonts w:hint="eastAsia"/>
        </w:rPr>
        <w:t>一次</w:t>
      </w:r>
      <w:r>
        <w:t>以保证去除效率，</w:t>
      </w:r>
      <w:r>
        <w:rPr>
          <w:rFonts w:hint="eastAsia"/>
        </w:rPr>
        <w:t>更换后产生废布袋（S4</w:t>
      </w:r>
      <w:r>
        <w:t>-</w:t>
      </w:r>
      <w:r>
        <w:rPr>
          <w:rFonts w:hint="eastAsia"/>
        </w:rPr>
        <w:t>4）。</w:t>
      </w:r>
    </w:p>
    <w:p w14:paraId="21FC2EB9">
      <w:pPr>
        <w:pStyle w:val="138"/>
        <w:rPr>
          <w:rFonts w:hint="eastAsia"/>
        </w:rPr>
      </w:pPr>
      <w:r>
        <w:rPr>
          <w:rFonts w:hint="eastAsia"/>
        </w:rPr>
        <w:t>污染源源强核算</w:t>
      </w:r>
    </w:p>
    <w:p w14:paraId="62992C46">
      <w:pPr>
        <w:pStyle w:val="944"/>
      </w:pPr>
      <w:r>
        <w:rPr>
          <w:rFonts w:hint="eastAsia"/>
        </w:rPr>
        <w:t>废气污染源强分析及防治措施</w:t>
      </w:r>
    </w:p>
    <w:p w14:paraId="294454B2">
      <w:pPr>
        <w:pStyle w:val="117"/>
        <w:ind w:firstLine="480"/>
      </w:pPr>
      <w:r>
        <w:rPr>
          <w:rFonts w:hint="eastAsia"/>
        </w:rPr>
        <w:t>公辅工程无新增、改造的废气污染源。</w:t>
      </w:r>
    </w:p>
    <w:p w14:paraId="3D71ED48">
      <w:pPr>
        <w:pStyle w:val="944"/>
      </w:pPr>
      <w:r>
        <w:rPr>
          <w:rFonts w:hint="eastAsia"/>
        </w:rPr>
        <w:t>废水污染源强分析及防治措施</w:t>
      </w:r>
    </w:p>
    <w:p w14:paraId="56A8BAF9">
      <w:pPr>
        <w:pStyle w:val="390"/>
        <w:ind w:firstLine="480"/>
      </w:pPr>
      <w:r>
        <w:rPr>
          <w:rFonts w:hint="eastAsia"/>
          <w:lang w:val="en-US"/>
        </w:rPr>
        <w:t>公辅工程废水污染源主要为：</w:t>
      </w:r>
      <w:bookmarkStart w:id="358" w:name="_Hlk193788922"/>
      <w:r>
        <w:rPr>
          <w:rFonts w:hint="eastAsia"/>
        </w:rPr>
        <w:t>软水</w:t>
      </w:r>
      <w:r>
        <w:t>制备浓水</w:t>
      </w:r>
      <w:r>
        <w:rPr>
          <w:rFonts w:hint="eastAsia"/>
        </w:rPr>
        <w:t>（W4</w:t>
      </w:r>
      <w:r>
        <w:t>-</w:t>
      </w:r>
      <w:r>
        <w:rPr>
          <w:rFonts w:hint="eastAsia"/>
        </w:rPr>
        <w:t>1）、冷却水系统排污水（W4</w:t>
      </w:r>
      <w:r>
        <w:t>-</w:t>
      </w:r>
      <w:r>
        <w:rPr>
          <w:rFonts w:hint="eastAsia"/>
        </w:rPr>
        <w:t>2）</w:t>
      </w:r>
      <w:bookmarkEnd w:id="358"/>
      <w:r>
        <w:rPr>
          <w:rFonts w:hint="eastAsia"/>
        </w:rPr>
        <w:t>。</w:t>
      </w:r>
    </w:p>
    <w:p w14:paraId="2219B7CD">
      <w:pPr>
        <w:ind w:firstLine="480"/>
      </w:pPr>
      <w:bookmarkStart w:id="359" w:name="_Hlk159410252"/>
      <w:r>
        <w:rPr>
          <w:rFonts w:hint="eastAsia"/>
        </w:rPr>
        <w:t>（1）软水制备浓水（W4</w:t>
      </w:r>
      <w:r>
        <w:t>-</w:t>
      </w:r>
      <w:r>
        <w:rPr>
          <w:rFonts w:hint="eastAsia"/>
        </w:rPr>
        <w:t>1）</w:t>
      </w:r>
    </w:p>
    <w:p w14:paraId="4FAD090A">
      <w:pPr>
        <w:pStyle w:val="117"/>
        <w:ind w:firstLine="480"/>
        <w:rPr>
          <w:rFonts w:hint="eastAsia" w:hAnsi="宋体"/>
        </w:rPr>
      </w:pPr>
      <w:r>
        <w:rPr>
          <w:rFonts w:hint="eastAsia"/>
        </w:rPr>
        <w:t>软水系统产水量为405</w:t>
      </w:r>
      <w:r>
        <w:rPr>
          <w:rFonts w:hint="eastAsia" w:hAnsi="宋体"/>
        </w:rPr>
        <w:t>m³</w:t>
      </w:r>
      <w:r>
        <w:rPr>
          <w:rFonts w:hAnsi="宋体"/>
        </w:rPr>
        <w:t>/</w:t>
      </w:r>
      <w:r>
        <w:rPr>
          <w:rFonts w:hint="eastAsia" w:hAnsi="宋体"/>
        </w:rPr>
        <w:t>d</w:t>
      </w:r>
      <w:r>
        <w:rPr>
          <w:rFonts w:hint="eastAsia"/>
        </w:rPr>
        <w:t>，软化水制备过程再生废水按10%计，则排放浓水40.5</w:t>
      </w:r>
      <w:r>
        <w:rPr>
          <w:rFonts w:hint="eastAsia" w:hAnsi="宋体"/>
        </w:rPr>
        <w:t>m³</w:t>
      </w:r>
      <w:r>
        <w:rPr>
          <w:rFonts w:hAnsi="宋体"/>
        </w:rPr>
        <w:t>/</w:t>
      </w:r>
      <w:r>
        <w:rPr>
          <w:rFonts w:hint="eastAsia" w:hAnsi="宋体"/>
        </w:rPr>
        <w:t>d</w:t>
      </w:r>
      <w:r>
        <w:rPr>
          <w:rFonts w:hint="eastAsia"/>
        </w:rPr>
        <w:t>，主要污染因子为SS、COD，</w:t>
      </w:r>
      <w:r>
        <w:rPr>
          <w:rFonts w:hint="eastAsia" w:ascii="宋体" w:hAnsi="宋体"/>
          <w:spacing w:val="-4"/>
        </w:rPr>
        <w:t>采用石英砂过滤器过滤后，用于厂区绿化，冬季排至园区污水处理厂。</w:t>
      </w:r>
    </w:p>
    <w:bookmarkEnd w:id="359"/>
    <w:p w14:paraId="3C40AF1B">
      <w:pPr>
        <w:ind w:firstLine="480"/>
      </w:pPr>
      <w:bookmarkStart w:id="360" w:name="_Hlk159410299"/>
      <w:r>
        <w:rPr>
          <w:rFonts w:hint="eastAsia"/>
        </w:rPr>
        <w:t>（2）冷却水系统排污水（W4</w:t>
      </w:r>
      <w:r>
        <w:t>-</w:t>
      </w:r>
      <w:r>
        <w:rPr>
          <w:rFonts w:hint="eastAsia"/>
        </w:rPr>
        <w:t>2）</w:t>
      </w:r>
    </w:p>
    <w:p w14:paraId="188A7CEC">
      <w:pPr>
        <w:pStyle w:val="117"/>
        <w:ind w:firstLine="480"/>
        <w:rPr>
          <w:rFonts w:hint="eastAsia" w:hAnsi="宋体"/>
        </w:rPr>
      </w:pPr>
      <w:r>
        <w:rPr>
          <w:rFonts w:hint="eastAsia" w:hAnsi="宋体"/>
        </w:rPr>
        <w:t>新增</w:t>
      </w:r>
      <w:r>
        <w:rPr>
          <w:rFonts w:hAnsi="宋体"/>
        </w:rPr>
        <w:t>循环冷却水系统包括</w:t>
      </w:r>
      <w:r>
        <w:rPr>
          <w:rFonts w:hint="eastAsia" w:hAnsi="宋体"/>
        </w:rPr>
        <w:t>：</w:t>
      </w:r>
      <w:r>
        <w:rPr>
          <w:rFonts w:hAnsi="宋体"/>
        </w:rPr>
        <w:t>1#</w:t>
      </w:r>
      <w:r>
        <w:rPr>
          <w:rFonts w:hint="eastAsia" w:hAnsi="宋体"/>
        </w:rPr>
        <w:t>循环水系统，为回转窑及风机、球磨机、立式磨煤机、机械真空泵、离心浇铸机、压铸机及挤压机等合用循环冷却系统，循环水总量为500</w:t>
      </w:r>
      <w:r>
        <w:rPr>
          <w:rFonts w:hAnsi="宋体"/>
        </w:rPr>
        <w:t>m</w:t>
      </w:r>
      <w:r>
        <w:rPr>
          <w:rFonts w:hint="eastAsia" w:hAnsi="宋体"/>
        </w:rPr>
        <w:t>³</w:t>
      </w:r>
      <w:r>
        <w:rPr>
          <w:rFonts w:hAnsi="宋体"/>
        </w:rPr>
        <w:t>/h</w:t>
      </w:r>
      <w:r>
        <w:rPr>
          <w:rFonts w:hint="eastAsia" w:hAnsi="宋体"/>
        </w:rPr>
        <w:t>；</w:t>
      </w:r>
      <w:r>
        <w:rPr>
          <w:rFonts w:hAnsi="宋体"/>
        </w:rPr>
        <w:t>2#</w:t>
      </w:r>
      <w:r>
        <w:rPr>
          <w:rFonts w:hint="eastAsia" w:hAnsi="宋体"/>
        </w:rPr>
        <w:t>循环水系统，为还原炉用循环冷却系统，循环水总量为40</w:t>
      </w:r>
      <w:r>
        <w:rPr>
          <w:rFonts w:hAnsi="宋体"/>
        </w:rPr>
        <w:t>00m</w:t>
      </w:r>
      <w:r>
        <w:rPr>
          <w:rFonts w:hint="eastAsia" w:hAnsi="宋体"/>
        </w:rPr>
        <w:t>³</w:t>
      </w:r>
      <w:r>
        <w:rPr>
          <w:rFonts w:hAnsi="宋体"/>
        </w:rPr>
        <w:t>/h</w:t>
      </w:r>
      <w:r>
        <w:rPr>
          <w:rFonts w:hint="eastAsia" w:hAnsi="宋体"/>
        </w:rPr>
        <w:t>；</w:t>
      </w:r>
      <w:r>
        <w:rPr>
          <w:rFonts w:hAnsi="宋体"/>
        </w:rPr>
        <w:t>3#</w:t>
      </w:r>
      <w:r>
        <w:rPr>
          <w:rFonts w:hint="eastAsia" w:hAnsi="宋体"/>
        </w:rPr>
        <w:t>循环水系统，为射流真空泵用循环冷却系统，循环水总量为</w:t>
      </w:r>
      <w:r>
        <w:rPr>
          <w:rFonts w:hAnsi="宋体"/>
        </w:rPr>
        <w:t>600m</w:t>
      </w:r>
      <w:r>
        <w:rPr>
          <w:rFonts w:hint="eastAsia" w:hAnsi="宋体"/>
          <w:vertAlign w:val="superscript"/>
        </w:rPr>
        <w:t>3</w:t>
      </w:r>
      <w:r>
        <w:rPr>
          <w:rFonts w:hAnsi="宋体"/>
        </w:rPr>
        <w:t>/h</w:t>
      </w:r>
      <w:r>
        <w:rPr>
          <w:rFonts w:hint="eastAsia" w:hAnsi="宋体"/>
        </w:rPr>
        <w:t>；4#循环水系统，为冷渣机用循环冷却系统，循环水总量为150</w:t>
      </w:r>
      <w:r>
        <w:rPr>
          <w:rFonts w:hAnsi="宋体"/>
        </w:rPr>
        <w:t>m</w:t>
      </w:r>
      <w:r>
        <w:rPr>
          <w:rFonts w:hint="eastAsia" w:hAnsi="宋体"/>
        </w:rPr>
        <w:t>³</w:t>
      </w:r>
      <w:r>
        <w:rPr>
          <w:rFonts w:hAnsi="宋体"/>
        </w:rPr>
        <w:t>/h</w:t>
      </w:r>
      <w:r>
        <w:rPr>
          <w:rFonts w:hint="eastAsia" w:hAnsi="宋体"/>
        </w:rPr>
        <w:t>；兰炭循环水系统，一段循环水系统的循环水量为</w:t>
      </w:r>
      <w:r>
        <w:rPr>
          <w:rFonts w:hAnsi="宋体"/>
        </w:rPr>
        <w:t>2000m</w:t>
      </w:r>
      <w:r>
        <w:rPr>
          <w:rFonts w:hAnsi="宋体"/>
          <w:vertAlign w:val="superscript"/>
        </w:rPr>
        <w:t>3</w:t>
      </w:r>
      <w:r>
        <w:rPr>
          <w:rFonts w:hAnsi="宋体"/>
        </w:rPr>
        <w:t>/h</w:t>
      </w:r>
      <w:r>
        <w:rPr>
          <w:rFonts w:hint="eastAsia" w:hAnsi="宋体"/>
        </w:rPr>
        <w:t>，二段循环水系统的循环水量为</w:t>
      </w:r>
      <w:r>
        <w:rPr>
          <w:rFonts w:hAnsi="宋体"/>
        </w:rPr>
        <w:t>1000m</w:t>
      </w:r>
      <w:r>
        <w:rPr>
          <w:rFonts w:hAnsi="宋体"/>
          <w:vertAlign w:val="superscript"/>
        </w:rPr>
        <w:t>3</w:t>
      </w:r>
      <w:r>
        <w:rPr>
          <w:rFonts w:hAnsi="宋体"/>
        </w:rPr>
        <w:t>/h</w:t>
      </w:r>
      <w:r>
        <w:rPr>
          <w:rFonts w:hint="eastAsia" w:hAnsi="宋体"/>
        </w:rPr>
        <w:t>。</w:t>
      </w:r>
    </w:p>
    <w:p w14:paraId="13E7229C">
      <w:pPr>
        <w:pStyle w:val="117"/>
        <w:ind w:firstLine="480"/>
        <w:rPr>
          <w:rFonts w:hint="eastAsia" w:hAnsi="宋体"/>
        </w:rPr>
      </w:pPr>
      <w:r>
        <w:rPr>
          <w:rFonts w:hAnsi="宋体"/>
        </w:rPr>
        <w:t>循环冷却水系统循环水量共计为</w:t>
      </w:r>
      <w:r>
        <w:rPr>
          <w:rFonts w:hint="eastAsia" w:hAnsi="宋体"/>
        </w:rPr>
        <w:t>8250m³</w:t>
      </w:r>
      <w:r>
        <w:rPr>
          <w:rFonts w:hAnsi="宋体"/>
        </w:rPr>
        <w:t>/h（</w:t>
      </w:r>
      <w:r>
        <w:rPr>
          <w:rFonts w:hint="eastAsia" w:hAnsi="宋体"/>
        </w:rPr>
        <w:t>198000m³</w:t>
      </w:r>
      <w:r>
        <w:rPr>
          <w:rFonts w:hAnsi="宋体"/>
        </w:rPr>
        <w:t>/d）</w:t>
      </w:r>
      <w:r>
        <w:rPr>
          <w:rFonts w:hint="eastAsia" w:hAnsi="宋体"/>
        </w:rPr>
        <w:t>，</w:t>
      </w:r>
      <w:r>
        <w:rPr>
          <w:rFonts w:hAnsi="宋体"/>
        </w:rPr>
        <w:t>排污</w:t>
      </w:r>
      <w:r>
        <w:rPr>
          <w:rFonts w:hint="eastAsia" w:hAnsi="宋体"/>
        </w:rPr>
        <w:t>量</w:t>
      </w:r>
      <w:r>
        <w:rPr>
          <w:rFonts w:hAnsi="宋体"/>
        </w:rPr>
        <w:t>按</w:t>
      </w:r>
      <w:r>
        <w:rPr>
          <w:rFonts w:hint="eastAsia" w:hAnsi="宋体"/>
        </w:rPr>
        <w:t>0.</w:t>
      </w:r>
      <w:r>
        <w:rPr>
          <w:rFonts w:hAnsi="宋体"/>
        </w:rPr>
        <w:t>2%计</w:t>
      </w:r>
      <w:r>
        <w:rPr>
          <w:rFonts w:hint="eastAsia" w:hAnsi="宋体"/>
        </w:rPr>
        <w:t>，即为16.5m³</w:t>
      </w:r>
      <w:r>
        <w:rPr>
          <w:rFonts w:hAnsi="宋体"/>
        </w:rPr>
        <w:t>/</w:t>
      </w:r>
      <w:r>
        <w:rPr>
          <w:rFonts w:hint="eastAsia" w:hAnsi="宋体"/>
        </w:rPr>
        <w:t>h</w:t>
      </w:r>
      <w:r>
        <w:rPr>
          <w:rFonts w:hAnsi="宋体"/>
        </w:rPr>
        <w:t>（</w:t>
      </w:r>
      <w:r>
        <w:rPr>
          <w:rFonts w:hint="eastAsia" w:hAnsi="宋体"/>
        </w:rPr>
        <w:t>396m³</w:t>
      </w:r>
      <w:r>
        <w:rPr>
          <w:rFonts w:hAnsi="宋体"/>
        </w:rPr>
        <w:t>/</w:t>
      </w:r>
      <w:r>
        <w:rPr>
          <w:rFonts w:hint="eastAsia" w:hAnsi="宋体"/>
        </w:rPr>
        <w:t>d</w:t>
      </w:r>
      <w:r>
        <w:rPr>
          <w:rFonts w:hAnsi="宋体"/>
        </w:rPr>
        <w:t>）</w:t>
      </w:r>
      <w:r>
        <w:rPr>
          <w:rFonts w:hint="eastAsia"/>
        </w:rPr>
        <w:t>，主要污染因子为SS、COD，</w:t>
      </w:r>
      <w:r>
        <w:rPr>
          <w:rFonts w:hint="eastAsia" w:ascii="宋体" w:hAnsi="宋体"/>
          <w:spacing w:val="-4"/>
        </w:rPr>
        <w:t>采用石英砂过滤器过滤后，用于厂区绿化，冬季排至园区污水处理厂。</w:t>
      </w:r>
    </w:p>
    <w:bookmarkEnd w:id="360"/>
    <w:p w14:paraId="252768FB">
      <w:pPr>
        <w:pStyle w:val="117"/>
        <w:ind w:firstLine="480"/>
      </w:pPr>
    </w:p>
    <w:p w14:paraId="73F32266">
      <w:pPr>
        <w:pStyle w:val="117"/>
        <w:ind w:firstLine="480"/>
        <w:sectPr>
          <w:pgSz w:w="11906" w:h="16838"/>
          <w:pgMar w:top="1440" w:right="1800" w:bottom="1440" w:left="1800" w:header="851" w:footer="992" w:gutter="0"/>
          <w:cols w:space="425" w:num="1"/>
          <w:docGrid w:type="lines" w:linePitch="312" w:charSpace="0"/>
        </w:sectPr>
      </w:pPr>
    </w:p>
    <w:p w14:paraId="517B8C41">
      <w:pPr>
        <w:pStyle w:val="118"/>
        <w:rPr>
          <w:color w:val="auto"/>
        </w:rPr>
      </w:pPr>
      <w:r>
        <w:rPr>
          <w:rFonts w:hint="eastAsia"/>
          <w:color w:val="auto"/>
        </w:rPr>
        <w:t>表3.6-2</w:t>
      </w:r>
      <w:r>
        <w:rPr>
          <w:color w:val="auto"/>
        </w:rPr>
        <w:t xml:space="preserve"> </w:t>
      </w:r>
      <w:r>
        <w:rPr>
          <w:rFonts w:hint="eastAsia"/>
          <w:color w:val="auto"/>
        </w:rPr>
        <w:t xml:space="preserve"> 公辅工程废水产生与排放情况</w:t>
      </w:r>
    </w:p>
    <w:tbl>
      <w:tblPr>
        <w:tblStyle w:val="17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62"/>
        <w:gridCol w:w="1263"/>
        <w:gridCol w:w="2164"/>
        <w:gridCol w:w="1610"/>
        <w:gridCol w:w="1715"/>
        <w:gridCol w:w="1875"/>
        <w:gridCol w:w="1799"/>
        <w:gridCol w:w="2286"/>
      </w:tblGrid>
      <w:tr w14:paraId="3DD8B2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1438" w:type="dxa"/>
            <w:vMerge w:val="restart"/>
            <w:vAlign w:val="center"/>
          </w:tcPr>
          <w:p w14:paraId="0BC0745B">
            <w:pPr>
              <w:pStyle w:val="133"/>
              <w:rPr>
                <w:b/>
                <w:bCs/>
              </w:rPr>
            </w:pPr>
            <w:r>
              <w:rPr>
                <w:rFonts w:hint="eastAsia"/>
                <w:b/>
                <w:bCs/>
              </w:rPr>
              <w:t>生产线</w:t>
            </w:r>
          </w:p>
        </w:tc>
        <w:tc>
          <w:tcPr>
            <w:tcW w:w="1241" w:type="dxa"/>
            <w:vMerge w:val="restart"/>
            <w:vAlign w:val="center"/>
          </w:tcPr>
          <w:p w14:paraId="713C7942">
            <w:pPr>
              <w:pStyle w:val="133"/>
              <w:rPr>
                <w:b/>
                <w:bCs/>
              </w:rPr>
            </w:pPr>
            <w:r>
              <w:rPr>
                <w:rFonts w:hint="eastAsia"/>
                <w:b/>
                <w:bCs/>
              </w:rPr>
              <w:t>编号</w:t>
            </w:r>
          </w:p>
        </w:tc>
        <w:tc>
          <w:tcPr>
            <w:tcW w:w="2126" w:type="dxa"/>
            <w:vMerge w:val="restart"/>
            <w:vAlign w:val="center"/>
          </w:tcPr>
          <w:p w14:paraId="3804CDA4">
            <w:pPr>
              <w:pStyle w:val="133"/>
              <w:rPr>
                <w:b/>
                <w:bCs/>
              </w:rPr>
            </w:pPr>
            <w:r>
              <w:rPr>
                <w:rFonts w:hint="eastAsia"/>
                <w:b/>
                <w:bCs/>
              </w:rPr>
              <w:t>污染源</w:t>
            </w:r>
          </w:p>
        </w:tc>
        <w:tc>
          <w:tcPr>
            <w:tcW w:w="1582" w:type="dxa"/>
            <w:vMerge w:val="restart"/>
            <w:vAlign w:val="center"/>
          </w:tcPr>
          <w:p w14:paraId="2B51DF60">
            <w:pPr>
              <w:pStyle w:val="133"/>
              <w:rPr>
                <w:b/>
                <w:bCs/>
              </w:rPr>
            </w:pPr>
            <w:r>
              <w:rPr>
                <w:b/>
                <w:bCs/>
              </w:rPr>
              <w:t>污染物</w:t>
            </w:r>
          </w:p>
        </w:tc>
        <w:tc>
          <w:tcPr>
            <w:tcW w:w="1685" w:type="dxa"/>
            <w:vMerge w:val="restart"/>
            <w:vAlign w:val="center"/>
          </w:tcPr>
          <w:p w14:paraId="7EF334B2">
            <w:pPr>
              <w:pStyle w:val="133"/>
              <w:rPr>
                <w:b/>
                <w:bCs/>
              </w:rPr>
            </w:pPr>
            <w:r>
              <w:rPr>
                <w:rFonts w:hint="eastAsia"/>
                <w:b/>
                <w:bCs/>
              </w:rPr>
              <w:t>废水量</w:t>
            </w:r>
          </w:p>
          <w:p w14:paraId="5339942A">
            <w:pPr>
              <w:pStyle w:val="133"/>
              <w:rPr>
                <w:b/>
                <w:bCs/>
              </w:rPr>
            </w:pPr>
            <w:r>
              <w:rPr>
                <w:b/>
                <w:bCs/>
              </w:rPr>
              <w:t>（m</w:t>
            </w:r>
            <w:r>
              <w:rPr>
                <w:b/>
                <w:bCs/>
                <w:vertAlign w:val="superscript"/>
              </w:rPr>
              <w:t>3</w:t>
            </w:r>
            <w:r>
              <w:rPr>
                <w:b/>
                <w:bCs/>
              </w:rPr>
              <w:t>/</w:t>
            </w:r>
            <w:r>
              <w:rPr>
                <w:rFonts w:hint="eastAsia"/>
                <w:b/>
                <w:bCs/>
              </w:rPr>
              <w:t>a</w:t>
            </w:r>
            <w:r>
              <w:rPr>
                <w:b/>
                <w:bCs/>
              </w:rPr>
              <w:t>）</w:t>
            </w:r>
          </w:p>
        </w:tc>
        <w:tc>
          <w:tcPr>
            <w:tcW w:w="3610" w:type="dxa"/>
            <w:gridSpan w:val="2"/>
            <w:vAlign w:val="center"/>
          </w:tcPr>
          <w:p w14:paraId="62F5E0B4">
            <w:pPr>
              <w:pStyle w:val="133"/>
              <w:rPr>
                <w:b/>
                <w:bCs/>
              </w:rPr>
            </w:pPr>
            <w:r>
              <w:rPr>
                <w:rFonts w:hint="eastAsia"/>
                <w:b/>
                <w:bCs/>
              </w:rPr>
              <w:t>产生情况</w:t>
            </w:r>
          </w:p>
        </w:tc>
        <w:tc>
          <w:tcPr>
            <w:tcW w:w="2246" w:type="dxa"/>
            <w:vMerge w:val="restart"/>
            <w:vAlign w:val="center"/>
          </w:tcPr>
          <w:p w14:paraId="0DBA443E">
            <w:pPr>
              <w:pStyle w:val="133"/>
              <w:rPr>
                <w:b/>
                <w:bCs/>
              </w:rPr>
            </w:pPr>
            <w:r>
              <w:rPr>
                <w:rFonts w:hint="eastAsia"/>
                <w:b/>
                <w:bCs/>
              </w:rPr>
              <w:t>处理设施</w:t>
            </w:r>
          </w:p>
        </w:tc>
      </w:tr>
      <w:tr w14:paraId="19A547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2" w:hRule="atLeast"/>
          <w:jc w:val="center"/>
        </w:trPr>
        <w:tc>
          <w:tcPr>
            <w:tcW w:w="1438" w:type="dxa"/>
            <w:vMerge w:val="continue"/>
            <w:vAlign w:val="center"/>
          </w:tcPr>
          <w:p w14:paraId="3D4E3A61">
            <w:pPr>
              <w:pStyle w:val="133"/>
              <w:rPr>
                <w:b/>
                <w:bCs/>
              </w:rPr>
            </w:pPr>
          </w:p>
        </w:tc>
        <w:tc>
          <w:tcPr>
            <w:tcW w:w="1241" w:type="dxa"/>
            <w:vMerge w:val="continue"/>
            <w:vAlign w:val="center"/>
          </w:tcPr>
          <w:p w14:paraId="7D2271C7">
            <w:pPr>
              <w:pStyle w:val="133"/>
              <w:rPr>
                <w:b/>
                <w:bCs/>
              </w:rPr>
            </w:pPr>
          </w:p>
        </w:tc>
        <w:tc>
          <w:tcPr>
            <w:tcW w:w="2126" w:type="dxa"/>
            <w:vMerge w:val="continue"/>
            <w:vAlign w:val="center"/>
          </w:tcPr>
          <w:p w14:paraId="2D73D7A1">
            <w:pPr>
              <w:pStyle w:val="133"/>
              <w:rPr>
                <w:b/>
                <w:bCs/>
              </w:rPr>
            </w:pPr>
          </w:p>
        </w:tc>
        <w:tc>
          <w:tcPr>
            <w:tcW w:w="1582" w:type="dxa"/>
            <w:vMerge w:val="continue"/>
            <w:vAlign w:val="center"/>
          </w:tcPr>
          <w:p w14:paraId="50240A89">
            <w:pPr>
              <w:pStyle w:val="133"/>
              <w:rPr>
                <w:b/>
                <w:bCs/>
              </w:rPr>
            </w:pPr>
          </w:p>
        </w:tc>
        <w:tc>
          <w:tcPr>
            <w:tcW w:w="1685" w:type="dxa"/>
            <w:vMerge w:val="continue"/>
            <w:vAlign w:val="center"/>
          </w:tcPr>
          <w:p w14:paraId="11B51BD0">
            <w:pPr>
              <w:pStyle w:val="133"/>
              <w:rPr>
                <w:b/>
                <w:bCs/>
              </w:rPr>
            </w:pPr>
          </w:p>
        </w:tc>
        <w:tc>
          <w:tcPr>
            <w:tcW w:w="1842" w:type="dxa"/>
            <w:vAlign w:val="center"/>
          </w:tcPr>
          <w:p w14:paraId="6BF8BF92">
            <w:pPr>
              <w:pStyle w:val="133"/>
              <w:rPr>
                <w:b/>
                <w:bCs/>
              </w:rPr>
            </w:pPr>
            <w:r>
              <w:rPr>
                <w:b/>
                <w:bCs/>
              </w:rPr>
              <w:t>产生浓度（mg/L）</w:t>
            </w:r>
          </w:p>
        </w:tc>
        <w:tc>
          <w:tcPr>
            <w:tcW w:w="1768" w:type="dxa"/>
            <w:vAlign w:val="center"/>
          </w:tcPr>
          <w:p w14:paraId="40DA290B">
            <w:pPr>
              <w:pStyle w:val="133"/>
              <w:rPr>
                <w:b/>
                <w:bCs/>
              </w:rPr>
            </w:pPr>
            <w:r>
              <w:rPr>
                <w:b/>
                <w:bCs/>
              </w:rPr>
              <w:t>产生量</w:t>
            </w:r>
          </w:p>
          <w:p w14:paraId="0C655F25">
            <w:pPr>
              <w:pStyle w:val="133"/>
              <w:rPr>
                <w:b/>
                <w:bCs/>
              </w:rPr>
            </w:pPr>
            <w:r>
              <w:rPr>
                <w:b/>
                <w:bCs/>
              </w:rPr>
              <w:t>（t/a）</w:t>
            </w:r>
          </w:p>
        </w:tc>
        <w:tc>
          <w:tcPr>
            <w:tcW w:w="2246" w:type="dxa"/>
            <w:vMerge w:val="continue"/>
            <w:vAlign w:val="center"/>
          </w:tcPr>
          <w:p w14:paraId="27FFC13F">
            <w:pPr>
              <w:pStyle w:val="133"/>
            </w:pPr>
          </w:p>
        </w:tc>
      </w:tr>
      <w:tr w14:paraId="446A84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38" w:type="dxa"/>
            <w:vMerge w:val="restart"/>
            <w:vAlign w:val="center"/>
          </w:tcPr>
          <w:p w14:paraId="74A9945E">
            <w:pPr>
              <w:pStyle w:val="133"/>
            </w:pPr>
            <w:r>
              <w:t>公辅工程</w:t>
            </w:r>
          </w:p>
        </w:tc>
        <w:tc>
          <w:tcPr>
            <w:tcW w:w="1241" w:type="dxa"/>
            <w:vMerge w:val="restart"/>
            <w:vAlign w:val="center"/>
          </w:tcPr>
          <w:p w14:paraId="28ADCB5E">
            <w:pPr>
              <w:pStyle w:val="133"/>
            </w:pPr>
            <w:r>
              <w:rPr>
                <w:rFonts w:hint="eastAsia"/>
              </w:rPr>
              <w:t>W4</w:t>
            </w:r>
            <w:r>
              <w:t>-1</w:t>
            </w:r>
          </w:p>
        </w:tc>
        <w:tc>
          <w:tcPr>
            <w:tcW w:w="2126" w:type="dxa"/>
            <w:vMerge w:val="restart"/>
            <w:vAlign w:val="center"/>
          </w:tcPr>
          <w:p w14:paraId="2E5F9A4F">
            <w:pPr>
              <w:pStyle w:val="133"/>
            </w:pPr>
            <w:r>
              <w:rPr>
                <w:rFonts w:hint="eastAsia"/>
              </w:rPr>
              <w:t>软水制备浓水</w:t>
            </w:r>
          </w:p>
        </w:tc>
        <w:tc>
          <w:tcPr>
            <w:tcW w:w="1582" w:type="dxa"/>
            <w:vAlign w:val="center"/>
          </w:tcPr>
          <w:p w14:paraId="24AF9547">
            <w:pPr>
              <w:pStyle w:val="133"/>
            </w:pPr>
            <w:r>
              <w:rPr>
                <w:rFonts w:hint="eastAsia"/>
              </w:rPr>
              <w:t>C</w:t>
            </w:r>
            <w:r>
              <w:t>OD</w:t>
            </w:r>
          </w:p>
        </w:tc>
        <w:tc>
          <w:tcPr>
            <w:tcW w:w="1685" w:type="dxa"/>
            <w:vMerge w:val="restart"/>
            <w:vAlign w:val="center"/>
          </w:tcPr>
          <w:p w14:paraId="7EFE90B1">
            <w:pPr>
              <w:pStyle w:val="133"/>
            </w:pPr>
            <w:r>
              <w:rPr>
                <w:rFonts w:hint="eastAsia"/>
              </w:rPr>
              <w:t>13365</w:t>
            </w:r>
          </w:p>
        </w:tc>
        <w:tc>
          <w:tcPr>
            <w:tcW w:w="1842" w:type="dxa"/>
            <w:vAlign w:val="center"/>
          </w:tcPr>
          <w:p w14:paraId="0701D695">
            <w:pPr>
              <w:pStyle w:val="133"/>
            </w:pPr>
            <w:r>
              <w:rPr>
                <w:rFonts w:hint="eastAsia"/>
              </w:rPr>
              <w:t>2</w:t>
            </w:r>
            <w:r>
              <w:t>00</w:t>
            </w:r>
          </w:p>
        </w:tc>
        <w:tc>
          <w:tcPr>
            <w:tcW w:w="1768" w:type="dxa"/>
            <w:vAlign w:val="center"/>
          </w:tcPr>
          <w:p w14:paraId="6C91C467">
            <w:pPr>
              <w:pStyle w:val="133"/>
            </w:pPr>
            <w:r>
              <w:rPr>
                <w:rFonts w:eastAsia="等线" w:cs="Times New Roman"/>
                <w:color w:val="000000"/>
                <w:szCs w:val="21"/>
              </w:rPr>
              <w:t>2.673</w:t>
            </w:r>
          </w:p>
        </w:tc>
        <w:tc>
          <w:tcPr>
            <w:tcW w:w="2246" w:type="dxa"/>
            <w:vMerge w:val="restart"/>
            <w:vAlign w:val="center"/>
          </w:tcPr>
          <w:p w14:paraId="2F289F0D">
            <w:pPr>
              <w:pStyle w:val="133"/>
            </w:pPr>
            <w:r>
              <w:rPr>
                <w:rFonts w:hint="eastAsia" w:ascii="宋体" w:hAnsi="宋体"/>
                <w:spacing w:val="-4"/>
              </w:rPr>
              <w:t>采用石英砂过滤器过滤后，用于厂区绿化，冬季排至园区污水处理厂</w:t>
            </w:r>
          </w:p>
        </w:tc>
      </w:tr>
      <w:tr w14:paraId="0781B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38" w:type="dxa"/>
            <w:vMerge w:val="continue"/>
            <w:vAlign w:val="center"/>
          </w:tcPr>
          <w:p w14:paraId="4568EC20">
            <w:pPr>
              <w:pStyle w:val="133"/>
            </w:pPr>
          </w:p>
        </w:tc>
        <w:tc>
          <w:tcPr>
            <w:tcW w:w="1241" w:type="dxa"/>
            <w:vMerge w:val="continue"/>
            <w:vAlign w:val="center"/>
          </w:tcPr>
          <w:p w14:paraId="65375D1E">
            <w:pPr>
              <w:pStyle w:val="133"/>
            </w:pPr>
          </w:p>
        </w:tc>
        <w:tc>
          <w:tcPr>
            <w:tcW w:w="2126" w:type="dxa"/>
            <w:vMerge w:val="continue"/>
            <w:vAlign w:val="center"/>
          </w:tcPr>
          <w:p w14:paraId="17FC2B68">
            <w:pPr>
              <w:pStyle w:val="133"/>
            </w:pPr>
          </w:p>
        </w:tc>
        <w:tc>
          <w:tcPr>
            <w:tcW w:w="1582" w:type="dxa"/>
            <w:vAlign w:val="center"/>
          </w:tcPr>
          <w:p w14:paraId="4019F0A6">
            <w:pPr>
              <w:pStyle w:val="133"/>
            </w:pPr>
            <w:r>
              <w:rPr>
                <w:rFonts w:hint="eastAsia"/>
              </w:rPr>
              <w:t>S</w:t>
            </w:r>
            <w:r>
              <w:t>S</w:t>
            </w:r>
          </w:p>
        </w:tc>
        <w:tc>
          <w:tcPr>
            <w:tcW w:w="1685" w:type="dxa"/>
            <w:vMerge w:val="continue"/>
            <w:vAlign w:val="center"/>
          </w:tcPr>
          <w:p w14:paraId="3E31EF2A">
            <w:pPr>
              <w:pStyle w:val="133"/>
            </w:pPr>
          </w:p>
        </w:tc>
        <w:tc>
          <w:tcPr>
            <w:tcW w:w="1842" w:type="dxa"/>
            <w:vAlign w:val="center"/>
          </w:tcPr>
          <w:p w14:paraId="1CB0F673">
            <w:pPr>
              <w:pStyle w:val="133"/>
            </w:pPr>
            <w:r>
              <w:rPr>
                <w:rFonts w:hint="eastAsia"/>
              </w:rPr>
              <w:t>1</w:t>
            </w:r>
            <w:r>
              <w:t>00</w:t>
            </w:r>
          </w:p>
        </w:tc>
        <w:tc>
          <w:tcPr>
            <w:tcW w:w="1768" w:type="dxa"/>
            <w:vAlign w:val="center"/>
          </w:tcPr>
          <w:p w14:paraId="4BEB6B99">
            <w:pPr>
              <w:pStyle w:val="133"/>
            </w:pPr>
            <w:r>
              <w:rPr>
                <w:rFonts w:eastAsia="等线" w:cs="Times New Roman"/>
                <w:color w:val="000000"/>
                <w:szCs w:val="21"/>
              </w:rPr>
              <w:t>1.337</w:t>
            </w:r>
          </w:p>
        </w:tc>
        <w:tc>
          <w:tcPr>
            <w:tcW w:w="2246" w:type="dxa"/>
            <w:vMerge w:val="continue"/>
            <w:vAlign w:val="center"/>
          </w:tcPr>
          <w:p w14:paraId="218BB3E9">
            <w:pPr>
              <w:pStyle w:val="133"/>
            </w:pPr>
          </w:p>
        </w:tc>
      </w:tr>
      <w:tr w14:paraId="40F4E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38" w:type="dxa"/>
            <w:vMerge w:val="continue"/>
            <w:vAlign w:val="center"/>
          </w:tcPr>
          <w:p w14:paraId="166E67FE">
            <w:pPr>
              <w:pStyle w:val="133"/>
            </w:pPr>
          </w:p>
        </w:tc>
        <w:tc>
          <w:tcPr>
            <w:tcW w:w="1241" w:type="dxa"/>
            <w:vMerge w:val="restart"/>
            <w:vAlign w:val="center"/>
          </w:tcPr>
          <w:p w14:paraId="24984036">
            <w:pPr>
              <w:pStyle w:val="133"/>
            </w:pPr>
            <w:r>
              <w:rPr>
                <w:rFonts w:hint="eastAsia"/>
              </w:rPr>
              <w:t>W4</w:t>
            </w:r>
            <w:r>
              <w:t>-2</w:t>
            </w:r>
          </w:p>
        </w:tc>
        <w:tc>
          <w:tcPr>
            <w:tcW w:w="2126" w:type="dxa"/>
            <w:vMerge w:val="restart"/>
            <w:vAlign w:val="center"/>
          </w:tcPr>
          <w:p w14:paraId="7FE40F49">
            <w:pPr>
              <w:pStyle w:val="133"/>
            </w:pPr>
            <w:r>
              <w:rPr>
                <w:rFonts w:hint="eastAsia"/>
              </w:rPr>
              <w:t>冷却水系统</w:t>
            </w:r>
            <w:r>
              <w:t>排污水</w:t>
            </w:r>
          </w:p>
        </w:tc>
        <w:tc>
          <w:tcPr>
            <w:tcW w:w="1582" w:type="dxa"/>
            <w:vAlign w:val="center"/>
          </w:tcPr>
          <w:p w14:paraId="6B2B6225">
            <w:pPr>
              <w:pStyle w:val="133"/>
            </w:pPr>
            <w:r>
              <w:rPr>
                <w:rFonts w:hint="eastAsia"/>
              </w:rPr>
              <w:t>C</w:t>
            </w:r>
            <w:r>
              <w:t>OD</w:t>
            </w:r>
          </w:p>
        </w:tc>
        <w:tc>
          <w:tcPr>
            <w:tcW w:w="1685" w:type="dxa"/>
            <w:vMerge w:val="restart"/>
            <w:vAlign w:val="center"/>
          </w:tcPr>
          <w:p w14:paraId="7A6124BE">
            <w:pPr>
              <w:pStyle w:val="133"/>
            </w:pPr>
            <w:r>
              <w:rPr>
                <w:rFonts w:hint="eastAsia"/>
              </w:rPr>
              <w:t>130680</w:t>
            </w:r>
          </w:p>
        </w:tc>
        <w:tc>
          <w:tcPr>
            <w:tcW w:w="1842" w:type="dxa"/>
            <w:vAlign w:val="center"/>
          </w:tcPr>
          <w:p w14:paraId="7BCB7E3D">
            <w:pPr>
              <w:pStyle w:val="133"/>
            </w:pPr>
            <w:r>
              <w:rPr>
                <w:rFonts w:hint="eastAsia"/>
              </w:rPr>
              <w:t>2</w:t>
            </w:r>
            <w:r>
              <w:t>00</w:t>
            </w:r>
          </w:p>
        </w:tc>
        <w:tc>
          <w:tcPr>
            <w:tcW w:w="1768" w:type="dxa"/>
            <w:vAlign w:val="center"/>
          </w:tcPr>
          <w:p w14:paraId="48B6D5AF">
            <w:pPr>
              <w:pStyle w:val="133"/>
            </w:pPr>
            <w:r>
              <w:rPr>
                <w:rFonts w:eastAsia="等线" w:cs="Times New Roman"/>
                <w:color w:val="000000"/>
                <w:szCs w:val="21"/>
              </w:rPr>
              <w:t>26.136</w:t>
            </w:r>
          </w:p>
        </w:tc>
        <w:tc>
          <w:tcPr>
            <w:tcW w:w="2246" w:type="dxa"/>
            <w:vMerge w:val="continue"/>
            <w:vAlign w:val="center"/>
          </w:tcPr>
          <w:p w14:paraId="2930673A">
            <w:pPr>
              <w:pStyle w:val="133"/>
            </w:pPr>
          </w:p>
        </w:tc>
      </w:tr>
      <w:tr w14:paraId="31A677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38" w:type="dxa"/>
            <w:vMerge w:val="continue"/>
            <w:vAlign w:val="center"/>
          </w:tcPr>
          <w:p w14:paraId="0F7F6959">
            <w:pPr>
              <w:pStyle w:val="133"/>
            </w:pPr>
          </w:p>
        </w:tc>
        <w:tc>
          <w:tcPr>
            <w:tcW w:w="1241" w:type="dxa"/>
            <w:vMerge w:val="continue"/>
            <w:vAlign w:val="center"/>
          </w:tcPr>
          <w:p w14:paraId="25F92DFC">
            <w:pPr>
              <w:pStyle w:val="133"/>
            </w:pPr>
          </w:p>
        </w:tc>
        <w:tc>
          <w:tcPr>
            <w:tcW w:w="2126" w:type="dxa"/>
            <w:vMerge w:val="continue"/>
            <w:vAlign w:val="center"/>
          </w:tcPr>
          <w:p w14:paraId="6365EE4B">
            <w:pPr>
              <w:pStyle w:val="133"/>
            </w:pPr>
          </w:p>
        </w:tc>
        <w:tc>
          <w:tcPr>
            <w:tcW w:w="1582" w:type="dxa"/>
            <w:vAlign w:val="center"/>
          </w:tcPr>
          <w:p w14:paraId="5873939A">
            <w:pPr>
              <w:pStyle w:val="133"/>
            </w:pPr>
            <w:r>
              <w:rPr>
                <w:rFonts w:hint="eastAsia"/>
              </w:rPr>
              <w:t>S</w:t>
            </w:r>
            <w:r>
              <w:t>S</w:t>
            </w:r>
          </w:p>
        </w:tc>
        <w:tc>
          <w:tcPr>
            <w:tcW w:w="1685" w:type="dxa"/>
            <w:vMerge w:val="continue"/>
            <w:vAlign w:val="center"/>
          </w:tcPr>
          <w:p w14:paraId="64F26B69">
            <w:pPr>
              <w:pStyle w:val="133"/>
            </w:pPr>
          </w:p>
        </w:tc>
        <w:tc>
          <w:tcPr>
            <w:tcW w:w="1842" w:type="dxa"/>
            <w:vAlign w:val="center"/>
          </w:tcPr>
          <w:p w14:paraId="430F8DA3">
            <w:pPr>
              <w:pStyle w:val="133"/>
            </w:pPr>
            <w:r>
              <w:rPr>
                <w:rFonts w:hint="eastAsia"/>
              </w:rPr>
              <w:t>1</w:t>
            </w:r>
            <w:r>
              <w:t>00</w:t>
            </w:r>
          </w:p>
        </w:tc>
        <w:tc>
          <w:tcPr>
            <w:tcW w:w="1768" w:type="dxa"/>
            <w:vAlign w:val="center"/>
          </w:tcPr>
          <w:p w14:paraId="46B96EAC">
            <w:pPr>
              <w:pStyle w:val="133"/>
            </w:pPr>
            <w:r>
              <w:rPr>
                <w:rFonts w:eastAsia="等线" w:cs="Times New Roman"/>
                <w:color w:val="000000"/>
                <w:szCs w:val="21"/>
              </w:rPr>
              <w:t>13.068</w:t>
            </w:r>
          </w:p>
        </w:tc>
        <w:tc>
          <w:tcPr>
            <w:tcW w:w="2246" w:type="dxa"/>
            <w:vMerge w:val="continue"/>
            <w:vAlign w:val="center"/>
          </w:tcPr>
          <w:p w14:paraId="52D788C3">
            <w:pPr>
              <w:pStyle w:val="133"/>
            </w:pPr>
          </w:p>
        </w:tc>
      </w:tr>
    </w:tbl>
    <w:p w14:paraId="5A38FCD5">
      <w:pPr>
        <w:pStyle w:val="133"/>
      </w:pPr>
    </w:p>
    <w:p w14:paraId="57484E85">
      <w:pPr>
        <w:pStyle w:val="117"/>
        <w:ind w:firstLine="480"/>
        <w:sectPr>
          <w:pgSz w:w="16838" w:h="11906" w:orient="landscape"/>
          <w:pgMar w:top="1800" w:right="1440" w:bottom="1800" w:left="1440" w:header="851" w:footer="992" w:gutter="0"/>
          <w:cols w:space="425" w:num="1"/>
          <w:docGrid w:type="lines" w:linePitch="326" w:charSpace="0"/>
        </w:sectPr>
      </w:pPr>
    </w:p>
    <w:p w14:paraId="0BF927AD">
      <w:pPr>
        <w:pStyle w:val="944"/>
      </w:pPr>
      <w:r>
        <w:rPr>
          <w:rFonts w:hint="eastAsia"/>
        </w:rPr>
        <w:t>噪声污染源强分析及防治措施</w:t>
      </w:r>
    </w:p>
    <w:p w14:paraId="7073C5C7">
      <w:pPr>
        <w:pStyle w:val="117"/>
        <w:ind w:firstLine="480"/>
      </w:pPr>
      <w:r>
        <w:rPr>
          <w:rFonts w:hint="eastAsia"/>
        </w:rPr>
        <w:t>公辅工程主要噪声源为制氮机、空压机等，其噪声级大致在80～90dB（A）之间。采取以下措施对噪声污染源进行治理：选用低噪声设备，同时加大高噪声设备的治理力度，对其采用隔声、减振降噪处理。</w:t>
      </w:r>
    </w:p>
    <w:p w14:paraId="24774A65">
      <w:pPr>
        <w:pStyle w:val="117"/>
        <w:ind w:firstLine="480"/>
      </w:pPr>
      <w:r>
        <w:rPr>
          <w:rFonts w:hint="eastAsia"/>
        </w:rPr>
        <w:t>主要设备噪声源及治理情况见表3.6-3。</w:t>
      </w:r>
    </w:p>
    <w:p w14:paraId="0F6DDC23">
      <w:pPr>
        <w:pStyle w:val="118"/>
        <w:rPr>
          <w:color w:val="auto"/>
        </w:rPr>
      </w:pPr>
      <w:r>
        <w:rPr>
          <w:rFonts w:hint="eastAsia"/>
          <w:color w:val="auto"/>
        </w:rPr>
        <w:t>表3.6-3  公辅工程单元声源及治理情况</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21"/>
        <w:gridCol w:w="2920"/>
        <w:gridCol w:w="873"/>
        <w:gridCol w:w="852"/>
        <w:gridCol w:w="1096"/>
        <w:gridCol w:w="1075"/>
        <w:gridCol w:w="1185"/>
      </w:tblGrid>
      <w:tr w14:paraId="569AA2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04A2DD38">
            <w:pPr>
              <w:pStyle w:val="133"/>
              <w:rPr>
                <w:b/>
                <w:bCs/>
              </w:rPr>
            </w:pPr>
            <w:bookmarkStart w:id="361" w:name="_Hlk151389655"/>
            <w:r>
              <w:rPr>
                <w:rFonts w:hint="eastAsia"/>
                <w:b/>
                <w:bCs/>
              </w:rPr>
              <w:t>序号</w:t>
            </w:r>
          </w:p>
        </w:tc>
        <w:tc>
          <w:tcPr>
            <w:tcW w:w="1713" w:type="pct"/>
            <w:vAlign w:val="center"/>
          </w:tcPr>
          <w:p w14:paraId="770D7127">
            <w:pPr>
              <w:pStyle w:val="133"/>
              <w:rPr>
                <w:b/>
                <w:bCs/>
              </w:rPr>
            </w:pPr>
            <w:r>
              <w:rPr>
                <w:rFonts w:hint="eastAsia"/>
                <w:b/>
                <w:bCs/>
              </w:rPr>
              <w:t>噪声源</w:t>
            </w:r>
          </w:p>
        </w:tc>
        <w:tc>
          <w:tcPr>
            <w:tcW w:w="512" w:type="pct"/>
            <w:vAlign w:val="center"/>
          </w:tcPr>
          <w:p w14:paraId="59BACDC4">
            <w:pPr>
              <w:pStyle w:val="133"/>
              <w:rPr>
                <w:b/>
                <w:bCs/>
              </w:rPr>
            </w:pPr>
            <w:r>
              <w:rPr>
                <w:rFonts w:hint="eastAsia"/>
                <w:b/>
                <w:bCs/>
              </w:rPr>
              <w:t>数量</w:t>
            </w:r>
          </w:p>
          <w:p w14:paraId="6E74C7EB">
            <w:pPr>
              <w:pStyle w:val="133"/>
              <w:rPr>
                <w:b/>
                <w:bCs/>
              </w:rPr>
            </w:pPr>
            <w:r>
              <w:rPr>
                <w:rFonts w:hint="eastAsia"/>
                <w:b/>
                <w:bCs/>
              </w:rPr>
              <w:t>（台）</w:t>
            </w:r>
          </w:p>
        </w:tc>
        <w:tc>
          <w:tcPr>
            <w:tcW w:w="500" w:type="pct"/>
            <w:vAlign w:val="center"/>
          </w:tcPr>
          <w:p w14:paraId="11267BE8">
            <w:pPr>
              <w:pStyle w:val="133"/>
              <w:rPr>
                <w:b/>
                <w:bCs/>
              </w:rPr>
            </w:pPr>
            <w:r>
              <w:rPr>
                <w:rFonts w:hint="eastAsia"/>
                <w:b/>
                <w:bCs/>
              </w:rPr>
              <w:t>声源</w:t>
            </w:r>
          </w:p>
          <w:p w14:paraId="0C6C3EBD">
            <w:pPr>
              <w:pStyle w:val="133"/>
              <w:rPr>
                <w:b/>
                <w:bCs/>
              </w:rPr>
            </w:pPr>
            <w:r>
              <w:rPr>
                <w:rFonts w:hint="eastAsia"/>
                <w:b/>
                <w:bCs/>
              </w:rPr>
              <w:t>类型</w:t>
            </w:r>
          </w:p>
        </w:tc>
        <w:tc>
          <w:tcPr>
            <w:tcW w:w="643" w:type="pct"/>
            <w:vAlign w:val="center"/>
          </w:tcPr>
          <w:p w14:paraId="2FAF88C4">
            <w:pPr>
              <w:pStyle w:val="133"/>
              <w:rPr>
                <w:b/>
                <w:bCs/>
              </w:rPr>
            </w:pPr>
            <w:r>
              <w:rPr>
                <w:rFonts w:hint="eastAsia"/>
                <w:b/>
                <w:bCs/>
              </w:rPr>
              <w:t>产生源强</w:t>
            </w:r>
          </w:p>
          <w:p w14:paraId="7C1E9234">
            <w:pPr>
              <w:pStyle w:val="133"/>
              <w:rPr>
                <w:b/>
                <w:bCs/>
              </w:rPr>
            </w:pPr>
            <w:r>
              <w:rPr>
                <w:rFonts w:hint="eastAsia"/>
                <w:b/>
                <w:bCs/>
              </w:rPr>
              <w:t>d</w:t>
            </w:r>
            <w:r>
              <w:rPr>
                <w:b/>
                <w:bCs/>
              </w:rPr>
              <w:t>B</w:t>
            </w:r>
            <w:r>
              <w:rPr>
                <w:rFonts w:hint="eastAsia"/>
                <w:b/>
                <w:bCs/>
              </w:rPr>
              <w:t>（A）</w:t>
            </w:r>
          </w:p>
        </w:tc>
        <w:tc>
          <w:tcPr>
            <w:tcW w:w="631" w:type="pct"/>
            <w:vAlign w:val="center"/>
          </w:tcPr>
          <w:p w14:paraId="3BDBCE46">
            <w:pPr>
              <w:pStyle w:val="133"/>
              <w:rPr>
                <w:b/>
                <w:bCs/>
              </w:rPr>
            </w:pPr>
            <w:r>
              <w:rPr>
                <w:rFonts w:hint="eastAsia"/>
                <w:b/>
                <w:bCs/>
              </w:rPr>
              <w:t>治理措施</w:t>
            </w:r>
          </w:p>
        </w:tc>
        <w:tc>
          <w:tcPr>
            <w:tcW w:w="695" w:type="pct"/>
            <w:vAlign w:val="center"/>
          </w:tcPr>
          <w:p w14:paraId="7A853728">
            <w:pPr>
              <w:pStyle w:val="133"/>
              <w:rPr>
                <w:b/>
                <w:bCs/>
              </w:rPr>
            </w:pPr>
            <w:r>
              <w:rPr>
                <w:rFonts w:hint="eastAsia"/>
                <w:b/>
                <w:bCs/>
              </w:rPr>
              <w:t>排放源强</w:t>
            </w:r>
          </w:p>
          <w:p w14:paraId="63A1F0AA">
            <w:pPr>
              <w:pStyle w:val="133"/>
              <w:rPr>
                <w:b/>
                <w:bCs/>
              </w:rPr>
            </w:pPr>
            <w:r>
              <w:rPr>
                <w:rFonts w:hint="eastAsia"/>
                <w:b/>
                <w:bCs/>
              </w:rPr>
              <w:t>d</w:t>
            </w:r>
            <w:r>
              <w:rPr>
                <w:b/>
                <w:bCs/>
              </w:rPr>
              <w:t>B</w:t>
            </w:r>
            <w:r>
              <w:rPr>
                <w:rFonts w:hint="eastAsia"/>
                <w:b/>
                <w:bCs/>
              </w:rPr>
              <w:t>（A）</w:t>
            </w:r>
          </w:p>
        </w:tc>
      </w:tr>
      <w:tr w14:paraId="2269EB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05632075">
            <w:pPr>
              <w:pStyle w:val="133"/>
            </w:pPr>
            <w:r>
              <w:t>1</w:t>
            </w:r>
          </w:p>
        </w:tc>
        <w:tc>
          <w:tcPr>
            <w:tcW w:w="1713" w:type="pct"/>
            <w:vAlign w:val="center"/>
          </w:tcPr>
          <w:p w14:paraId="46E0E785">
            <w:pPr>
              <w:pStyle w:val="133"/>
            </w:pPr>
            <w:r>
              <w:rPr>
                <w:rFonts w:hint="eastAsia"/>
              </w:rPr>
              <w:t>冷却塔</w:t>
            </w:r>
          </w:p>
        </w:tc>
        <w:tc>
          <w:tcPr>
            <w:tcW w:w="512" w:type="pct"/>
            <w:vAlign w:val="center"/>
          </w:tcPr>
          <w:p w14:paraId="3D1EA9F1">
            <w:pPr>
              <w:pStyle w:val="133"/>
            </w:pPr>
            <w:r>
              <w:rPr>
                <w:rFonts w:hint="eastAsia"/>
              </w:rPr>
              <w:t>7</w:t>
            </w:r>
          </w:p>
        </w:tc>
        <w:tc>
          <w:tcPr>
            <w:tcW w:w="500" w:type="pct"/>
            <w:vAlign w:val="center"/>
          </w:tcPr>
          <w:p w14:paraId="5C6A471C">
            <w:pPr>
              <w:pStyle w:val="133"/>
            </w:pPr>
            <w:r>
              <w:rPr>
                <w:rFonts w:hint="eastAsia"/>
              </w:rPr>
              <w:t>频发</w:t>
            </w:r>
          </w:p>
        </w:tc>
        <w:tc>
          <w:tcPr>
            <w:tcW w:w="643" w:type="pct"/>
            <w:vAlign w:val="center"/>
          </w:tcPr>
          <w:p w14:paraId="7436DEBA">
            <w:pPr>
              <w:pStyle w:val="133"/>
            </w:pPr>
            <w:r>
              <w:rPr>
                <w:rFonts w:hint="eastAsia"/>
              </w:rPr>
              <w:t>8</w:t>
            </w:r>
            <w:r>
              <w:t>5</w:t>
            </w:r>
          </w:p>
        </w:tc>
        <w:tc>
          <w:tcPr>
            <w:tcW w:w="631" w:type="pct"/>
            <w:vMerge w:val="restart"/>
            <w:vAlign w:val="center"/>
          </w:tcPr>
          <w:p w14:paraId="780B7270">
            <w:pPr>
              <w:pStyle w:val="133"/>
            </w:pPr>
            <w:r>
              <w:rPr>
                <w:rFonts w:hint="eastAsia"/>
              </w:rPr>
              <w:t>优先选择低噪声设备、厂房隔声、设备加装减振垫</w:t>
            </w:r>
          </w:p>
        </w:tc>
        <w:tc>
          <w:tcPr>
            <w:tcW w:w="695" w:type="pct"/>
            <w:vAlign w:val="center"/>
          </w:tcPr>
          <w:p w14:paraId="6A32300A">
            <w:pPr>
              <w:pStyle w:val="133"/>
            </w:pPr>
            <w:r>
              <w:rPr>
                <w:rFonts w:hint="eastAsia"/>
              </w:rPr>
              <w:t>70</w:t>
            </w:r>
          </w:p>
        </w:tc>
      </w:tr>
      <w:tr w14:paraId="3B63F9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547BFDEA">
            <w:pPr>
              <w:pStyle w:val="133"/>
            </w:pPr>
            <w:r>
              <w:rPr>
                <w:rFonts w:hint="eastAsia"/>
              </w:rPr>
              <w:t>2</w:t>
            </w:r>
          </w:p>
        </w:tc>
        <w:tc>
          <w:tcPr>
            <w:tcW w:w="1713" w:type="pct"/>
            <w:vAlign w:val="center"/>
          </w:tcPr>
          <w:p w14:paraId="33C8DC3D">
            <w:pPr>
              <w:pStyle w:val="133"/>
            </w:pPr>
            <w:r>
              <w:rPr>
                <w:rFonts w:hint="eastAsia"/>
              </w:rPr>
              <w:t>循环水泵</w:t>
            </w:r>
          </w:p>
        </w:tc>
        <w:tc>
          <w:tcPr>
            <w:tcW w:w="512" w:type="pct"/>
            <w:vAlign w:val="center"/>
          </w:tcPr>
          <w:p w14:paraId="3BB5EF05">
            <w:pPr>
              <w:pStyle w:val="133"/>
            </w:pPr>
            <w:r>
              <w:rPr>
                <w:rFonts w:hint="eastAsia"/>
              </w:rPr>
              <w:t>10</w:t>
            </w:r>
          </w:p>
        </w:tc>
        <w:tc>
          <w:tcPr>
            <w:tcW w:w="500" w:type="pct"/>
            <w:vAlign w:val="center"/>
          </w:tcPr>
          <w:p w14:paraId="4D9F6B02">
            <w:pPr>
              <w:pStyle w:val="133"/>
            </w:pPr>
            <w:r>
              <w:rPr>
                <w:rFonts w:hint="eastAsia"/>
              </w:rPr>
              <w:t>频发</w:t>
            </w:r>
          </w:p>
        </w:tc>
        <w:tc>
          <w:tcPr>
            <w:tcW w:w="643" w:type="pct"/>
            <w:vAlign w:val="center"/>
          </w:tcPr>
          <w:p w14:paraId="77D8FD8C">
            <w:pPr>
              <w:pStyle w:val="133"/>
            </w:pPr>
            <w:r>
              <w:t>85</w:t>
            </w:r>
          </w:p>
        </w:tc>
        <w:tc>
          <w:tcPr>
            <w:tcW w:w="631" w:type="pct"/>
            <w:vMerge w:val="continue"/>
            <w:vAlign w:val="center"/>
          </w:tcPr>
          <w:p w14:paraId="5A83CB2F">
            <w:pPr>
              <w:pStyle w:val="133"/>
            </w:pPr>
          </w:p>
        </w:tc>
        <w:tc>
          <w:tcPr>
            <w:tcW w:w="695" w:type="pct"/>
            <w:vAlign w:val="center"/>
          </w:tcPr>
          <w:p w14:paraId="0D16B680">
            <w:pPr>
              <w:pStyle w:val="133"/>
            </w:pPr>
            <w:r>
              <w:rPr>
                <w:rFonts w:hint="eastAsia"/>
              </w:rPr>
              <w:t>60</w:t>
            </w:r>
          </w:p>
        </w:tc>
      </w:tr>
      <w:tr w14:paraId="54FB63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056B967D">
            <w:pPr>
              <w:pStyle w:val="133"/>
            </w:pPr>
            <w:r>
              <w:rPr>
                <w:rFonts w:hint="eastAsia"/>
              </w:rPr>
              <w:t>3</w:t>
            </w:r>
          </w:p>
        </w:tc>
        <w:tc>
          <w:tcPr>
            <w:tcW w:w="1713" w:type="pct"/>
            <w:vAlign w:val="center"/>
          </w:tcPr>
          <w:p w14:paraId="0B78F176">
            <w:pPr>
              <w:pStyle w:val="133"/>
            </w:pPr>
            <w:r>
              <w:rPr>
                <w:rFonts w:hint="eastAsia"/>
              </w:rPr>
              <w:t>定压补水装置</w:t>
            </w:r>
          </w:p>
        </w:tc>
        <w:tc>
          <w:tcPr>
            <w:tcW w:w="512" w:type="pct"/>
            <w:vAlign w:val="center"/>
          </w:tcPr>
          <w:p w14:paraId="39D3EA40">
            <w:pPr>
              <w:pStyle w:val="133"/>
            </w:pPr>
            <w:r>
              <w:rPr>
                <w:rFonts w:hint="eastAsia"/>
              </w:rPr>
              <w:t>8</w:t>
            </w:r>
          </w:p>
        </w:tc>
        <w:tc>
          <w:tcPr>
            <w:tcW w:w="500" w:type="pct"/>
            <w:vAlign w:val="center"/>
          </w:tcPr>
          <w:p w14:paraId="11CE5D70">
            <w:pPr>
              <w:pStyle w:val="133"/>
            </w:pPr>
            <w:r>
              <w:rPr>
                <w:rFonts w:hint="eastAsia"/>
              </w:rPr>
              <w:t>频发</w:t>
            </w:r>
          </w:p>
        </w:tc>
        <w:tc>
          <w:tcPr>
            <w:tcW w:w="643" w:type="pct"/>
            <w:vAlign w:val="center"/>
          </w:tcPr>
          <w:p w14:paraId="34E35067">
            <w:pPr>
              <w:pStyle w:val="133"/>
            </w:pPr>
            <w:r>
              <w:t>85</w:t>
            </w:r>
          </w:p>
        </w:tc>
        <w:tc>
          <w:tcPr>
            <w:tcW w:w="631" w:type="pct"/>
            <w:vMerge w:val="continue"/>
            <w:vAlign w:val="center"/>
          </w:tcPr>
          <w:p w14:paraId="0F905A89">
            <w:pPr>
              <w:pStyle w:val="133"/>
            </w:pPr>
          </w:p>
        </w:tc>
        <w:tc>
          <w:tcPr>
            <w:tcW w:w="695" w:type="pct"/>
            <w:vAlign w:val="center"/>
          </w:tcPr>
          <w:p w14:paraId="2FEDE873">
            <w:pPr>
              <w:pStyle w:val="133"/>
            </w:pPr>
            <w:r>
              <w:rPr>
                <w:rFonts w:hint="eastAsia"/>
              </w:rPr>
              <w:t>60</w:t>
            </w:r>
          </w:p>
        </w:tc>
      </w:tr>
      <w:tr w14:paraId="499B72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4B31DD56">
            <w:pPr>
              <w:pStyle w:val="133"/>
            </w:pPr>
            <w:r>
              <w:rPr>
                <w:rFonts w:hint="eastAsia"/>
              </w:rPr>
              <w:t>4</w:t>
            </w:r>
          </w:p>
        </w:tc>
        <w:tc>
          <w:tcPr>
            <w:tcW w:w="1713" w:type="pct"/>
            <w:vAlign w:val="center"/>
          </w:tcPr>
          <w:p w14:paraId="530508DA">
            <w:pPr>
              <w:pStyle w:val="133"/>
            </w:pPr>
            <w:r>
              <w:rPr>
                <w:rFonts w:hint="eastAsia"/>
              </w:rPr>
              <w:t>全自动软水器</w:t>
            </w:r>
          </w:p>
        </w:tc>
        <w:tc>
          <w:tcPr>
            <w:tcW w:w="512" w:type="pct"/>
            <w:vAlign w:val="center"/>
          </w:tcPr>
          <w:p w14:paraId="03318085">
            <w:pPr>
              <w:pStyle w:val="133"/>
            </w:pPr>
            <w:r>
              <w:rPr>
                <w:rFonts w:hint="eastAsia"/>
              </w:rPr>
              <w:t>1</w:t>
            </w:r>
          </w:p>
        </w:tc>
        <w:tc>
          <w:tcPr>
            <w:tcW w:w="500" w:type="pct"/>
            <w:vAlign w:val="center"/>
          </w:tcPr>
          <w:p w14:paraId="1D1C2252">
            <w:pPr>
              <w:pStyle w:val="133"/>
            </w:pPr>
            <w:r>
              <w:rPr>
                <w:rFonts w:hint="eastAsia"/>
              </w:rPr>
              <w:t>频发</w:t>
            </w:r>
          </w:p>
        </w:tc>
        <w:tc>
          <w:tcPr>
            <w:tcW w:w="643" w:type="pct"/>
            <w:vAlign w:val="center"/>
          </w:tcPr>
          <w:p w14:paraId="5B5D5983">
            <w:pPr>
              <w:pStyle w:val="133"/>
            </w:pPr>
            <w:r>
              <w:rPr>
                <w:rFonts w:hint="eastAsia"/>
              </w:rPr>
              <w:t>80</w:t>
            </w:r>
          </w:p>
        </w:tc>
        <w:tc>
          <w:tcPr>
            <w:tcW w:w="631" w:type="pct"/>
            <w:vMerge w:val="continue"/>
            <w:vAlign w:val="center"/>
          </w:tcPr>
          <w:p w14:paraId="273FF080">
            <w:pPr>
              <w:pStyle w:val="133"/>
            </w:pPr>
          </w:p>
        </w:tc>
        <w:tc>
          <w:tcPr>
            <w:tcW w:w="695" w:type="pct"/>
            <w:vAlign w:val="center"/>
          </w:tcPr>
          <w:p w14:paraId="5AFA2648">
            <w:pPr>
              <w:pStyle w:val="133"/>
            </w:pPr>
            <w:r>
              <w:rPr>
                <w:rFonts w:hint="eastAsia"/>
              </w:rPr>
              <w:t>55</w:t>
            </w:r>
          </w:p>
        </w:tc>
      </w:tr>
      <w:tr w14:paraId="32BB71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6B825488">
            <w:pPr>
              <w:pStyle w:val="133"/>
            </w:pPr>
            <w:r>
              <w:rPr>
                <w:rFonts w:hint="eastAsia"/>
              </w:rPr>
              <w:t>5</w:t>
            </w:r>
          </w:p>
        </w:tc>
        <w:tc>
          <w:tcPr>
            <w:tcW w:w="1713" w:type="pct"/>
            <w:vAlign w:val="center"/>
          </w:tcPr>
          <w:p w14:paraId="01F1CC70">
            <w:pPr>
              <w:pStyle w:val="133"/>
            </w:pPr>
            <w:r>
              <w:rPr>
                <w:rFonts w:hint="eastAsia"/>
              </w:rPr>
              <w:t>软化水加压泵</w:t>
            </w:r>
          </w:p>
        </w:tc>
        <w:tc>
          <w:tcPr>
            <w:tcW w:w="512" w:type="pct"/>
            <w:vAlign w:val="center"/>
          </w:tcPr>
          <w:p w14:paraId="343C8EE0">
            <w:pPr>
              <w:pStyle w:val="133"/>
            </w:pPr>
            <w:r>
              <w:rPr>
                <w:rFonts w:hint="eastAsia"/>
              </w:rPr>
              <w:t>1</w:t>
            </w:r>
          </w:p>
        </w:tc>
        <w:tc>
          <w:tcPr>
            <w:tcW w:w="500" w:type="pct"/>
            <w:vAlign w:val="center"/>
          </w:tcPr>
          <w:p w14:paraId="1241E4F9">
            <w:pPr>
              <w:pStyle w:val="133"/>
            </w:pPr>
            <w:r>
              <w:rPr>
                <w:rFonts w:hint="eastAsia"/>
              </w:rPr>
              <w:t>频发</w:t>
            </w:r>
          </w:p>
        </w:tc>
        <w:tc>
          <w:tcPr>
            <w:tcW w:w="643" w:type="pct"/>
            <w:vAlign w:val="center"/>
          </w:tcPr>
          <w:p w14:paraId="04F9D46A">
            <w:pPr>
              <w:pStyle w:val="133"/>
            </w:pPr>
            <w:r>
              <w:t>85</w:t>
            </w:r>
          </w:p>
        </w:tc>
        <w:tc>
          <w:tcPr>
            <w:tcW w:w="631" w:type="pct"/>
            <w:vMerge w:val="continue"/>
            <w:vAlign w:val="center"/>
          </w:tcPr>
          <w:p w14:paraId="7F56A392">
            <w:pPr>
              <w:pStyle w:val="133"/>
            </w:pPr>
          </w:p>
        </w:tc>
        <w:tc>
          <w:tcPr>
            <w:tcW w:w="695" w:type="pct"/>
            <w:vAlign w:val="center"/>
          </w:tcPr>
          <w:p w14:paraId="39CE19AA">
            <w:pPr>
              <w:pStyle w:val="133"/>
            </w:pPr>
            <w:r>
              <w:rPr>
                <w:rFonts w:hint="eastAsia"/>
              </w:rPr>
              <w:t>65</w:t>
            </w:r>
          </w:p>
        </w:tc>
      </w:tr>
      <w:tr w14:paraId="275BD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5C0CF737">
            <w:pPr>
              <w:pStyle w:val="133"/>
            </w:pPr>
            <w:r>
              <w:rPr>
                <w:rFonts w:hint="eastAsia"/>
              </w:rPr>
              <w:t>6</w:t>
            </w:r>
          </w:p>
        </w:tc>
        <w:tc>
          <w:tcPr>
            <w:tcW w:w="1713" w:type="pct"/>
            <w:vAlign w:val="center"/>
          </w:tcPr>
          <w:p w14:paraId="7874EC71">
            <w:pPr>
              <w:pStyle w:val="133"/>
            </w:pPr>
            <w:r>
              <w:rPr>
                <w:rFonts w:hint="eastAsia"/>
              </w:rPr>
              <w:t>离心式空气压缩机</w:t>
            </w:r>
          </w:p>
        </w:tc>
        <w:tc>
          <w:tcPr>
            <w:tcW w:w="512" w:type="pct"/>
            <w:vAlign w:val="center"/>
          </w:tcPr>
          <w:p w14:paraId="389FA7BB">
            <w:pPr>
              <w:pStyle w:val="133"/>
            </w:pPr>
            <w:r>
              <w:t>3</w:t>
            </w:r>
          </w:p>
        </w:tc>
        <w:tc>
          <w:tcPr>
            <w:tcW w:w="500" w:type="pct"/>
            <w:vAlign w:val="center"/>
          </w:tcPr>
          <w:p w14:paraId="5FF2945D">
            <w:pPr>
              <w:pStyle w:val="133"/>
            </w:pPr>
            <w:r>
              <w:rPr>
                <w:rFonts w:hint="eastAsia"/>
              </w:rPr>
              <w:t>频发</w:t>
            </w:r>
          </w:p>
        </w:tc>
        <w:tc>
          <w:tcPr>
            <w:tcW w:w="643" w:type="pct"/>
            <w:vAlign w:val="center"/>
          </w:tcPr>
          <w:p w14:paraId="78328F0B">
            <w:pPr>
              <w:pStyle w:val="133"/>
            </w:pPr>
            <w:r>
              <w:rPr>
                <w:rFonts w:hint="eastAsia"/>
              </w:rPr>
              <w:t>90</w:t>
            </w:r>
          </w:p>
        </w:tc>
        <w:tc>
          <w:tcPr>
            <w:tcW w:w="631" w:type="pct"/>
            <w:vMerge w:val="continue"/>
            <w:vAlign w:val="center"/>
          </w:tcPr>
          <w:p w14:paraId="46A6A257">
            <w:pPr>
              <w:pStyle w:val="133"/>
            </w:pPr>
          </w:p>
        </w:tc>
        <w:tc>
          <w:tcPr>
            <w:tcW w:w="695" w:type="pct"/>
            <w:vAlign w:val="center"/>
          </w:tcPr>
          <w:p w14:paraId="01AEBB80">
            <w:pPr>
              <w:pStyle w:val="133"/>
            </w:pPr>
            <w:r>
              <w:rPr>
                <w:rFonts w:hint="eastAsia"/>
              </w:rPr>
              <w:t>65</w:t>
            </w:r>
          </w:p>
        </w:tc>
      </w:tr>
      <w:tr w14:paraId="51E230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08CBB43B">
            <w:pPr>
              <w:pStyle w:val="133"/>
            </w:pPr>
            <w:r>
              <w:rPr>
                <w:rFonts w:hint="eastAsia"/>
              </w:rPr>
              <w:t>7</w:t>
            </w:r>
          </w:p>
        </w:tc>
        <w:tc>
          <w:tcPr>
            <w:tcW w:w="1713" w:type="pct"/>
            <w:vAlign w:val="center"/>
          </w:tcPr>
          <w:p w14:paraId="09CDF090">
            <w:pPr>
              <w:pStyle w:val="133"/>
            </w:pPr>
            <w:r>
              <w:rPr>
                <w:rFonts w:hint="eastAsia"/>
              </w:rPr>
              <w:t>制氮机</w:t>
            </w:r>
          </w:p>
        </w:tc>
        <w:tc>
          <w:tcPr>
            <w:tcW w:w="512" w:type="pct"/>
            <w:vAlign w:val="center"/>
          </w:tcPr>
          <w:p w14:paraId="3C926F79">
            <w:pPr>
              <w:pStyle w:val="133"/>
            </w:pPr>
            <w:r>
              <w:rPr>
                <w:rFonts w:hint="eastAsia"/>
              </w:rPr>
              <w:t>2</w:t>
            </w:r>
          </w:p>
        </w:tc>
        <w:tc>
          <w:tcPr>
            <w:tcW w:w="500" w:type="pct"/>
            <w:vAlign w:val="center"/>
          </w:tcPr>
          <w:p w14:paraId="58CB4069">
            <w:pPr>
              <w:pStyle w:val="133"/>
            </w:pPr>
            <w:r>
              <w:rPr>
                <w:rFonts w:hint="eastAsia"/>
              </w:rPr>
              <w:t>频发</w:t>
            </w:r>
          </w:p>
        </w:tc>
        <w:tc>
          <w:tcPr>
            <w:tcW w:w="643" w:type="pct"/>
            <w:vAlign w:val="center"/>
          </w:tcPr>
          <w:p w14:paraId="0872D29E">
            <w:pPr>
              <w:pStyle w:val="133"/>
            </w:pPr>
            <w:r>
              <w:rPr>
                <w:rFonts w:hint="eastAsia"/>
              </w:rPr>
              <w:t>9</w:t>
            </w:r>
            <w:r>
              <w:t>0</w:t>
            </w:r>
          </w:p>
        </w:tc>
        <w:tc>
          <w:tcPr>
            <w:tcW w:w="631" w:type="pct"/>
            <w:vMerge w:val="continue"/>
            <w:vAlign w:val="center"/>
          </w:tcPr>
          <w:p w14:paraId="38069C0A">
            <w:pPr>
              <w:pStyle w:val="133"/>
            </w:pPr>
          </w:p>
        </w:tc>
        <w:tc>
          <w:tcPr>
            <w:tcW w:w="695" w:type="pct"/>
            <w:vAlign w:val="center"/>
          </w:tcPr>
          <w:p w14:paraId="709CFEA7">
            <w:pPr>
              <w:pStyle w:val="133"/>
            </w:pPr>
            <w:r>
              <w:rPr>
                <w:rFonts w:hint="eastAsia"/>
              </w:rPr>
              <w:t>55</w:t>
            </w:r>
          </w:p>
        </w:tc>
      </w:tr>
      <w:tr w14:paraId="4AB75C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6" w:type="pct"/>
            <w:vAlign w:val="center"/>
          </w:tcPr>
          <w:p w14:paraId="6D6789E6">
            <w:pPr>
              <w:pStyle w:val="133"/>
            </w:pPr>
            <w:r>
              <w:rPr>
                <w:rFonts w:hint="eastAsia"/>
              </w:rPr>
              <w:t>8</w:t>
            </w:r>
          </w:p>
        </w:tc>
        <w:tc>
          <w:tcPr>
            <w:tcW w:w="1713" w:type="pct"/>
            <w:vAlign w:val="center"/>
          </w:tcPr>
          <w:p w14:paraId="38223C62">
            <w:pPr>
              <w:pStyle w:val="133"/>
            </w:pPr>
            <w:r>
              <w:rPr>
                <w:rFonts w:hint="eastAsia"/>
              </w:rPr>
              <w:t>螺杆空压机</w:t>
            </w:r>
          </w:p>
        </w:tc>
        <w:tc>
          <w:tcPr>
            <w:tcW w:w="512" w:type="pct"/>
            <w:vAlign w:val="center"/>
          </w:tcPr>
          <w:p w14:paraId="147350F3">
            <w:pPr>
              <w:pStyle w:val="133"/>
            </w:pPr>
            <w:r>
              <w:rPr>
                <w:rFonts w:hint="eastAsia"/>
              </w:rPr>
              <w:t>5</w:t>
            </w:r>
          </w:p>
        </w:tc>
        <w:tc>
          <w:tcPr>
            <w:tcW w:w="500" w:type="pct"/>
            <w:vAlign w:val="center"/>
          </w:tcPr>
          <w:p w14:paraId="26F5297C">
            <w:pPr>
              <w:pStyle w:val="133"/>
            </w:pPr>
            <w:r>
              <w:rPr>
                <w:rFonts w:hint="eastAsia"/>
              </w:rPr>
              <w:t>频发</w:t>
            </w:r>
          </w:p>
        </w:tc>
        <w:tc>
          <w:tcPr>
            <w:tcW w:w="643" w:type="pct"/>
            <w:vAlign w:val="center"/>
          </w:tcPr>
          <w:p w14:paraId="26453E29">
            <w:pPr>
              <w:pStyle w:val="133"/>
            </w:pPr>
            <w:r>
              <w:rPr>
                <w:rFonts w:hint="eastAsia"/>
              </w:rPr>
              <w:t>9</w:t>
            </w:r>
            <w:r>
              <w:t>0</w:t>
            </w:r>
          </w:p>
        </w:tc>
        <w:tc>
          <w:tcPr>
            <w:tcW w:w="631" w:type="pct"/>
            <w:vMerge w:val="continue"/>
            <w:vAlign w:val="center"/>
          </w:tcPr>
          <w:p w14:paraId="496E62A4">
            <w:pPr>
              <w:pStyle w:val="133"/>
            </w:pPr>
          </w:p>
        </w:tc>
        <w:tc>
          <w:tcPr>
            <w:tcW w:w="695" w:type="pct"/>
            <w:vAlign w:val="center"/>
          </w:tcPr>
          <w:p w14:paraId="2ACB0CD0">
            <w:pPr>
              <w:pStyle w:val="133"/>
            </w:pPr>
            <w:r>
              <w:rPr>
                <w:rFonts w:hint="eastAsia"/>
              </w:rPr>
              <w:t>55</w:t>
            </w:r>
          </w:p>
        </w:tc>
      </w:tr>
      <w:bookmarkEnd w:id="361"/>
    </w:tbl>
    <w:p w14:paraId="775A2703">
      <w:pPr>
        <w:pStyle w:val="133"/>
      </w:pPr>
    </w:p>
    <w:p w14:paraId="5897874A">
      <w:pPr>
        <w:pStyle w:val="944"/>
      </w:pPr>
      <w:r>
        <w:rPr>
          <w:rFonts w:hint="eastAsia"/>
        </w:rPr>
        <w:t>固废产生情况分析及防治措施</w:t>
      </w:r>
    </w:p>
    <w:p w14:paraId="482DFC9F">
      <w:pPr>
        <w:pStyle w:val="117"/>
        <w:ind w:firstLine="480"/>
      </w:pPr>
      <w:r>
        <w:rPr>
          <w:rFonts w:hint="eastAsia"/>
        </w:rPr>
        <w:t>公辅工程单元产生的固体废物包括：废离子交换树脂（S4-1）、</w:t>
      </w:r>
      <w:r>
        <w:rPr>
          <w:rFonts w:hint="eastAsia"/>
          <w:snapToGrid w:val="0"/>
        </w:rPr>
        <w:t>废滤芯（S4</w:t>
      </w:r>
      <w:r>
        <w:rPr>
          <w:snapToGrid w:val="0"/>
        </w:rPr>
        <w:t>-</w:t>
      </w:r>
      <w:r>
        <w:rPr>
          <w:rFonts w:hint="eastAsia"/>
          <w:snapToGrid w:val="0"/>
        </w:rPr>
        <w:t>2）、</w:t>
      </w:r>
      <w:r>
        <w:rPr>
          <w:rFonts w:hint="eastAsia"/>
        </w:rPr>
        <w:t>废润滑油（S4-3）、废布袋（S4-4）。</w:t>
      </w:r>
    </w:p>
    <w:p w14:paraId="27413854">
      <w:pPr>
        <w:pStyle w:val="117"/>
        <w:ind w:firstLine="480"/>
      </w:pPr>
      <w:r>
        <w:rPr>
          <w:rFonts w:hint="eastAsia"/>
        </w:rPr>
        <w:t>（1）废离子交换树脂（S4-1）</w:t>
      </w:r>
    </w:p>
    <w:p w14:paraId="0C1ABCD2">
      <w:pPr>
        <w:pStyle w:val="117"/>
        <w:ind w:firstLine="480"/>
      </w:pPr>
      <w:r>
        <w:rPr>
          <w:rFonts w:hint="eastAsia"/>
        </w:rPr>
        <w:t>全自动软水器中</w:t>
      </w:r>
      <w:r>
        <w:t>的离子交换树脂需定期更换，一般2-3年更换一次，本评价按2年更换一次计，每次更换量约</w:t>
      </w:r>
      <w:r>
        <w:rPr>
          <w:rFonts w:hint="eastAsia"/>
        </w:rPr>
        <w:t>0.5</w:t>
      </w:r>
      <w:r>
        <w:t>t，</w:t>
      </w:r>
      <w:r>
        <w:rPr>
          <w:rFonts w:hint="eastAsia"/>
        </w:rPr>
        <w:t>则软水制备</w:t>
      </w:r>
      <w:r>
        <w:t>废交换树脂年产生量为</w:t>
      </w:r>
      <w:r>
        <w:rPr>
          <w:rFonts w:hint="eastAsia"/>
        </w:rPr>
        <w:t>0.25</w:t>
      </w:r>
      <w:r>
        <w:t>t/a</w:t>
      </w:r>
      <w:r>
        <w:rPr>
          <w:rFonts w:hint="eastAsia"/>
        </w:rPr>
        <w:t>，为一般工业固体废物，代码为9</w:t>
      </w:r>
      <w:r>
        <w:t>00-</w:t>
      </w:r>
      <w:r>
        <w:rPr>
          <w:rFonts w:hint="eastAsia"/>
        </w:rPr>
        <w:t>008</w:t>
      </w:r>
      <w:r>
        <w:t>-</w:t>
      </w:r>
      <w:r>
        <w:rPr>
          <w:rFonts w:hint="eastAsia"/>
        </w:rPr>
        <w:t>S5</w:t>
      </w:r>
      <w:r>
        <w:t>9</w:t>
      </w:r>
      <w:r>
        <w:rPr>
          <w:rFonts w:hint="eastAsia"/>
        </w:rPr>
        <w:t>，收集后由生产厂家回收。</w:t>
      </w:r>
    </w:p>
    <w:p w14:paraId="78CA70A5">
      <w:pPr>
        <w:pStyle w:val="117"/>
        <w:ind w:firstLine="480"/>
        <w:rPr>
          <w:snapToGrid w:val="0"/>
        </w:rPr>
      </w:pPr>
      <w:r>
        <w:rPr>
          <w:rFonts w:hint="eastAsia"/>
          <w:snapToGrid w:val="0"/>
        </w:rPr>
        <w:t>（2）废滤芯（</w:t>
      </w:r>
      <w:r>
        <w:rPr>
          <w:rFonts w:hint="eastAsia"/>
        </w:rPr>
        <w:t>S4-2</w:t>
      </w:r>
      <w:r>
        <w:rPr>
          <w:rFonts w:hint="eastAsia"/>
          <w:snapToGrid w:val="0"/>
        </w:rPr>
        <w:t>）</w:t>
      </w:r>
    </w:p>
    <w:p w14:paraId="0950582A">
      <w:pPr>
        <w:pStyle w:val="117"/>
        <w:ind w:firstLine="480"/>
      </w:pPr>
      <w:r>
        <w:rPr>
          <w:rFonts w:hint="eastAsia"/>
        </w:rPr>
        <w:t>使用石英砂过滤器对清净废水进行过滤</w:t>
      </w:r>
      <w:r>
        <w:t>，</w:t>
      </w:r>
      <w:r>
        <w:rPr>
          <w:rFonts w:hint="eastAsia"/>
        </w:rPr>
        <w:t>滤芯</w:t>
      </w:r>
      <w:r>
        <w:t>一般1</w:t>
      </w:r>
      <w:r>
        <w:rPr>
          <w:rFonts w:hint="eastAsia"/>
        </w:rPr>
        <w:t>～</w:t>
      </w:r>
      <w:r>
        <w:t>2年</w:t>
      </w:r>
      <w:r>
        <w:rPr>
          <w:rFonts w:hint="eastAsia"/>
        </w:rPr>
        <w:t>需</w:t>
      </w:r>
      <w:r>
        <w:t>更换一次，本评价按1年更换一次计，每次更换量约</w:t>
      </w:r>
      <w:r>
        <w:rPr>
          <w:rFonts w:hint="eastAsia"/>
        </w:rPr>
        <w:t>1</w:t>
      </w:r>
      <w:r>
        <w:t>t，</w:t>
      </w:r>
      <w:r>
        <w:rPr>
          <w:rFonts w:hint="eastAsia"/>
        </w:rPr>
        <w:t>则</w:t>
      </w:r>
      <w:r>
        <w:t>废</w:t>
      </w:r>
      <w:r>
        <w:rPr>
          <w:rFonts w:hint="eastAsia"/>
        </w:rPr>
        <w:t>滤芯</w:t>
      </w:r>
      <w:r>
        <w:t>年产生量为</w:t>
      </w:r>
      <w:r>
        <w:rPr>
          <w:rFonts w:hint="eastAsia"/>
        </w:rPr>
        <w:t>1</w:t>
      </w:r>
      <w:r>
        <w:t>t/a</w:t>
      </w:r>
      <w:r>
        <w:rPr>
          <w:rFonts w:hint="eastAsia"/>
        </w:rPr>
        <w:t>，为一般工业固体废物，代码为9</w:t>
      </w:r>
      <w:r>
        <w:t>00-</w:t>
      </w:r>
      <w:r>
        <w:rPr>
          <w:rFonts w:hint="eastAsia"/>
        </w:rPr>
        <w:t>009</w:t>
      </w:r>
      <w:r>
        <w:t>-</w:t>
      </w:r>
      <w:r>
        <w:rPr>
          <w:rFonts w:hint="eastAsia"/>
        </w:rPr>
        <w:t>S5</w:t>
      </w:r>
      <w:r>
        <w:t>9</w:t>
      </w:r>
      <w:r>
        <w:rPr>
          <w:rFonts w:hint="eastAsia"/>
        </w:rPr>
        <w:t>，收集后由生产厂家回收。</w:t>
      </w:r>
    </w:p>
    <w:p w14:paraId="6A52FE39">
      <w:pPr>
        <w:pStyle w:val="117"/>
        <w:ind w:firstLine="480"/>
      </w:pPr>
      <w:r>
        <w:rPr>
          <w:rFonts w:hint="eastAsia"/>
        </w:rPr>
        <w:t>（3）废润滑油（S4-3）</w:t>
      </w:r>
    </w:p>
    <w:p w14:paraId="0CEFCF0A">
      <w:pPr>
        <w:pStyle w:val="117"/>
        <w:ind w:firstLine="480"/>
      </w:pPr>
      <w:r>
        <w:rPr>
          <w:rFonts w:hint="eastAsia"/>
        </w:rPr>
        <w:t>本项目新增设备</w:t>
      </w:r>
      <w:r>
        <w:t>定期机修</w:t>
      </w:r>
      <w:r>
        <w:rPr>
          <w:rFonts w:hint="eastAsia"/>
        </w:rPr>
        <w:t>、</w:t>
      </w:r>
      <w:r>
        <w:t>维修等过程会产生一定的废</w:t>
      </w:r>
      <w:r>
        <w:rPr>
          <w:rFonts w:hint="eastAsia"/>
        </w:rPr>
        <w:t>润滑</w:t>
      </w:r>
      <w:r>
        <w:t>油，属于HW08类别，每年产生量约2t/a，为危险废物，</w:t>
      </w:r>
      <w:r>
        <w:rPr>
          <w:rFonts w:hint="eastAsia"/>
        </w:rPr>
        <w:t>代码为9</w:t>
      </w:r>
      <w:r>
        <w:t>00-217-08</w:t>
      </w:r>
      <w:r>
        <w:rPr>
          <w:rFonts w:hint="eastAsia"/>
        </w:rPr>
        <w:t>（使用工业齿轮油进行机械设备润滑过程中产生的废润滑油），收集后暂存于危险废物暂存间，委托有资质的单位定期拉运处置。</w:t>
      </w:r>
    </w:p>
    <w:p w14:paraId="66E66F8C">
      <w:pPr>
        <w:pStyle w:val="117"/>
        <w:tabs>
          <w:tab w:val="left" w:pos="1576"/>
        </w:tabs>
        <w:ind w:firstLine="480"/>
      </w:pPr>
      <w:r>
        <w:rPr>
          <w:rFonts w:hint="eastAsia"/>
        </w:rPr>
        <w:t>（4）废布袋（S4-4）</w:t>
      </w:r>
    </w:p>
    <w:p w14:paraId="3152418D">
      <w:pPr>
        <w:pStyle w:val="117"/>
        <w:ind w:firstLine="480"/>
      </w:pPr>
      <w:r>
        <w:t>本项目</w:t>
      </w:r>
      <w:r>
        <w:rPr>
          <w:rFonts w:hint="eastAsia"/>
        </w:rPr>
        <w:t>各工段除尘均</w:t>
      </w:r>
      <w:r>
        <w:t>采用布袋除尘器处理，布袋需定期更换以保证去除效率，更换频率为2年一次。项目布袋使用量</w:t>
      </w:r>
      <w:r>
        <w:rPr>
          <w:rFonts w:hint="eastAsia"/>
        </w:rPr>
        <w:t>约</w:t>
      </w:r>
      <w:r>
        <w:t>为</w:t>
      </w:r>
      <w:r>
        <w:rPr>
          <w:rFonts w:hint="eastAsia"/>
        </w:rPr>
        <w:t>6</w:t>
      </w:r>
      <w:r>
        <w:t>t，平均每年产生废布袋约</w:t>
      </w:r>
      <w:r>
        <w:rPr>
          <w:rFonts w:hint="eastAsia"/>
        </w:rPr>
        <w:t>3</w:t>
      </w:r>
      <w:r>
        <w:t>t</w:t>
      </w:r>
      <w:r>
        <w:rPr>
          <w:rFonts w:hint="eastAsia"/>
        </w:rPr>
        <w:t>，为一般工业固体废物，代码为9</w:t>
      </w:r>
      <w:r>
        <w:t>00-</w:t>
      </w:r>
      <w:r>
        <w:rPr>
          <w:rFonts w:hint="eastAsia"/>
        </w:rPr>
        <w:t>009</w:t>
      </w:r>
      <w:r>
        <w:t>-</w:t>
      </w:r>
      <w:r>
        <w:rPr>
          <w:rFonts w:hint="eastAsia"/>
        </w:rPr>
        <w:t>S5</w:t>
      </w:r>
      <w:r>
        <w:t>9</w:t>
      </w:r>
      <w:r>
        <w:rPr>
          <w:rFonts w:hint="eastAsia"/>
        </w:rPr>
        <w:t>，更换时由运维公司回收。</w:t>
      </w:r>
    </w:p>
    <w:p w14:paraId="3BA98315">
      <w:pPr>
        <w:pStyle w:val="117"/>
        <w:ind w:firstLine="480"/>
      </w:pPr>
      <w:r>
        <w:rPr>
          <w:rFonts w:hint="eastAsia"/>
        </w:rPr>
        <w:t>公辅工程固体废物产生及排放情况见表3.6-9。</w:t>
      </w:r>
    </w:p>
    <w:p w14:paraId="711693B1">
      <w:pPr>
        <w:pStyle w:val="118"/>
        <w:ind w:firstLine="480"/>
        <w:rPr>
          <w:color w:val="auto"/>
        </w:rPr>
      </w:pPr>
      <w:r>
        <w:rPr>
          <w:rFonts w:hint="eastAsia"/>
          <w:color w:val="auto"/>
        </w:rPr>
        <w:t>表3.6-9  公辅工程单元固体废物产生、排放情况</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60"/>
        <w:gridCol w:w="1819"/>
        <w:gridCol w:w="925"/>
        <w:gridCol w:w="1130"/>
        <w:gridCol w:w="1381"/>
        <w:gridCol w:w="2407"/>
      </w:tblGrid>
      <w:tr w14:paraId="69970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5" w:type="pct"/>
            <w:vAlign w:val="center"/>
          </w:tcPr>
          <w:p w14:paraId="0A2CF00E">
            <w:pPr>
              <w:pStyle w:val="133"/>
              <w:rPr>
                <w:b/>
                <w:bCs/>
              </w:rPr>
            </w:pPr>
            <w:bookmarkStart w:id="362" w:name="_Hlk151394561"/>
            <w:r>
              <w:rPr>
                <w:rFonts w:hint="eastAsia"/>
                <w:b/>
                <w:bCs/>
              </w:rPr>
              <w:t>编号</w:t>
            </w:r>
          </w:p>
        </w:tc>
        <w:tc>
          <w:tcPr>
            <w:tcW w:w="1067" w:type="pct"/>
            <w:vAlign w:val="center"/>
          </w:tcPr>
          <w:p w14:paraId="7901FB36">
            <w:pPr>
              <w:pStyle w:val="133"/>
              <w:rPr>
                <w:b/>
                <w:bCs/>
              </w:rPr>
            </w:pPr>
            <w:r>
              <w:rPr>
                <w:rFonts w:hint="eastAsia"/>
                <w:b/>
                <w:bCs/>
              </w:rPr>
              <w:t>固体废物名称</w:t>
            </w:r>
          </w:p>
        </w:tc>
        <w:tc>
          <w:tcPr>
            <w:tcW w:w="543" w:type="pct"/>
            <w:vAlign w:val="center"/>
          </w:tcPr>
          <w:p w14:paraId="5C0F3450">
            <w:pPr>
              <w:pStyle w:val="133"/>
              <w:rPr>
                <w:b/>
                <w:bCs/>
              </w:rPr>
            </w:pPr>
            <w:r>
              <w:rPr>
                <w:rFonts w:hint="eastAsia"/>
                <w:b/>
                <w:bCs/>
              </w:rPr>
              <w:t>产生量</w:t>
            </w:r>
          </w:p>
          <w:p w14:paraId="4E56B7E7">
            <w:pPr>
              <w:pStyle w:val="133"/>
              <w:rPr>
                <w:b/>
                <w:bCs/>
              </w:rPr>
            </w:pPr>
            <w:r>
              <w:rPr>
                <w:rFonts w:hint="eastAsia"/>
                <w:b/>
                <w:bCs/>
              </w:rPr>
              <w:t>（t/a）</w:t>
            </w:r>
          </w:p>
        </w:tc>
        <w:tc>
          <w:tcPr>
            <w:tcW w:w="663" w:type="pct"/>
            <w:vAlign w:val="center"/>
          </w:tcPr>
          <w:p w14:paraId="6FDA06C3">
            <w:pPr>
              <w:pStyle w:val="133"/>
              <w:rPr>
                <w:b/>
                <w:bCs/>
              </w:rPr>
            </w:pPr>
            <w:r>
              <w:rPr>
                <w:rFonts w:hint="eastAsia"/>
                <w:b/>
                <w:bCs/>
              </w:rPr>
              <w:t>固废类别</w:t>
            </w:r>
          </w:p>
        </w:tc>
        <w:tc>
          <w:tcPr>
            <w:tcW w:w="810" w:type="pct"/>
            <w:vAlign w:val="center"/>
          </w:tcPr>
          <w:p w14:paraId="1A424B9F">
            <w:pPr>
              <w:pStyle w:val="133"/>
              <w:rPr>
                <w:b/>
                <w:bCs/>
              </w:rPr>
            </w:pPr>
            <w:r>
              <w:rPr>
                <w:rFonts w:hint="eastAsia"/>
                <w:b/>
                <w:bCs/>
              </w:rPr>
              <w:t>代码</w:t>
            </w:r>
          </w:p>
        </w:tc>
        <w:tc>
          <w:tcPr>
            <w:tcW w:w="1412" w:type="pct"/>
            <w:vAlign w:val="center"/>
          </w:tcPr>
          <w:p w14:paraId="7C5BD213">
            <w:pPr>
              <w:pStyle w:val="133"/>
              <w:rPr>
                <w:b/>
                <w:bCs/>
              </w:rPr>
            </w:pPr>
            <w:r>
              <w:rPr>
                <w:rFonts w:hint="eastAsia"/>
                <w:b/>
                <w:bCs/>
              </w:rPr>
              <w:t>处理措施</w:t>
            </w:r>
          </w:p>
        </w:tc>
      </w:tr>
      <w:tr w14:paraId="6A90B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5" w:type="pct"/>
            <w:vAlign w:val="center"/>
          </w:tcPr>
          <w:p w14:paraId="6336967E">
            <w:pPr>
              <w:pStyle w:val="133"/>
            </w:pPr>
            <w:r>
              <w:rPr>
                <w:rFonts w:hint="eastAsia"/>
              </w:rPr>
              <w:t>S4-</w:t>
            </w:r>
            <w:r>
              <w:t>1</w:t>
            </w:r>
          </w:p>
        </w:tc>
        <w:tc>
          <w:tcPr>
            <w:tcW w:w="1067" w:type="pct"/>
            <w:vAlign w:val="center"/>
          </w:tcPr>
          <w:p w14:paraId="403842D4">
            <w:pPr>
              <w:pStyle w:val="133"/>
            </w:pPr>
            <w:r>
              <w:rPr>
                <w:rFonts w:hint="eastAsia"/>
              </w:rPr>
              <w:t>废离子交换树脂</w:t>
            </w:r>
          </w:p>
        </w:tc>
        <w:tc>
          <w:tcPr>
            <w:tcW w:w="543" w:type="pct"/>
            <w:vAlign w:val="center"/>
          </w:tcPr>
          <w:p w14:paraId="49689DCD">
            <w:pPr>
              <w:pStyle w:val="133"/>
            </w:pPr>
            <w:r>
              <w:rPr>
                <w:rFonts w:hint="eastAsia"/>
              </w:rPr>
              <w:t>0.25</w:t>
            </w:r>
          </w:p>
        </w:tc>
        <w:tc>
          <w:tcPr>
            <w:tcW w:w="663" w:type="pct"/>
            <w:vAlign w:val="center"/>
          </w:tcPr>
          <w:p w14:paraId="4D7A92B2">
            <w:pPr>
              <w:pStyle w:val="133"/>
            </w:pPr>
            <w:r>
              <w:rPr>
                <w:rFonts w:hint="eastAsia"/>
              </w:rPr>
              <w:t>一般固废</w:t>
            </w:r>
          </w:p>
        </w:tc>
        <w:tc>
          <w:tcPr>
            <w:tcW w:w="810" w:type="pct"/>
            <w:vAlign w:val="center"/>
          </w:tcPr>
          <w:p w14:paraId="725A8C9B">
            <w:pPr>
              <w:pStyle w:val="133"/>
            </w:pPr>
            <w:r>
              <w:rPr>
                <w:rFonts w:hint="eastAsia"/>
              </w:rPr>
              <w:t>9</w:t>
            </w:r>
            <w:r>
              <w:t>00-</w:t>
            </w:r>
            <w:r>
              <w:rPr>
                <w:rFonts w:hint="eastAsia"/>
              </w:rPr>
              <w:t>008</w:t>
            </w:r>
            <w:r>
              <w:t>-</w:t>
            </w:r>
            <w:r>
              <w:rPr>
                <w:rFonts w:hint="eastAsia"/>
              </w:rPr>
              <w:t>S5</w:t>
            </w:r>
            <w:r>
              <w:t>9</w:t>
            </w:r>
          </w:p>
        </w:tc>
        <w:tc>
          <w:tcPr>
            <w:tcW w:w="1412" w:type="pct"/>
            <w:vAlign w:val="center"/>
          </w:tcPr>
          <w:p w14:paraId="16D0FD43">
            <w:pPr>
              <w:pStyle w:val="133"/>
            </w:pPr>
            <w:r>
              <w:rPr>
                <w:rFonts w:hint="eastAsia"/>
              </w:rPr>
              <w:t>由厂家回收</w:t>
            </w:r>
          </w:p>
        </w:tc>
      </w:tr>
      <w:tr w14:paraId="66E84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5" w:type="pct"/>
            <w:vAlign w:val="center"/>
          </w:tcPr>
          <w:p w14:paraId="4DAF4B51">
            <w:pPr>
              <w:pStyle w:val="133"/>
            </w:pPr>
            <w:r>
              <w:rPr>
                <w:rFonts w:hint="eastAsia"/>
              </w:rPr>
              <w:t>S4-</w:t>
            </w:r>
            <w:r>
              <w:t>2</w:t>
            </w:r>
          </w:p>
        </w:tc>
        <w:tc>
          <w:tcPr>
            <w:tcW w:w="1067" w:type="pct"/>
            <w:vAlign w:val="center"/>
          </w:tcPr>
          <w:p w14:paraId="58E9439B">
            <w:pPr>
              <w:pStyle w:val="133"/>
            </w:pPr>
            <w:r>
              <w:rPr>
                <w:rFonts w:hint="eastAsia"/>
              </w:rPr>
              <w:t>废滤芯</w:t>
            </w:r>
          </w:p>
        </w:tc>
        <w:tc>
          <w:tcPr>
            <w:tcW w:w="543" w:type="pct"/>
            <w:vAlign w:val="center"/>
          </w:tcPr>
          <w:p w14:paraId="07D381B4">
            <w:pPr>
              <w:pStyle w:val="133"/>
            </w:pPr>
            <w:r>
              <w:t>1</w:t>
            </w:r>
          </w:p>
        </w:tc>
        <w:tc>
          <w:tcPr>
            <w:tcW w:w="663" w:type="pct"/>
            <w:vAlign w:val="center"/>
          </w:tcPr>
          <w:p w14:paraId="58239B8C">
            <w:pPr>
              <w:pStyle w:val="133"/>
            </w:pPr>
            <w:r>
              <w:rPr>
                <w:rFonts w:hint="eastAsia"/>
              </w:rPr>
              <w:t>一般固废</w:t>
            </w:r>
          </w:p>
        </w:tc>
        <w:tc>
          <w:tcPr>
            <w:tcW w:w="810" w:type="pct"/>
            <w:vAlign w:val="center"/>
          </w:tcPr>
          <w:p w14:paraId="69133CCC">
            <w:pPr>
              <w:pStyle w:val="133"/>
            </w:pPr>
            <w:r>
              <w:rPr>
                <w:rFonts w:hint="eastAsia"/>
              </w:rPr>
              <w:t>9</w:t>
            </w:r>
            <w:r>
              <w:t>00-</w:t>
            </w:r>
            <w:r>
              <w:rPr>
                <w:rFonts w:hint="eastAsia"/>
              </w:rPr>
              <w:t>009</w:t>
            </w:r>
            <w:r>
              <w:t>-</w:t>
            </w:r>
            <w:r>
              <w:rPr>
                <w:rFonts w:hint="eastAsia"/>
              </w:rPr>
              <w:t>S5</w:t>
            </w:r>
            <w:r>
              <w:t>9</w:t>
            </w:r>
          </w:p>
        </w:tc>
        <w:tc>
          <w:tcPr>
            <w:tcW w:w="1412" w:type="pct"/>
            <w:vAlign w:val="center"/>
          </w:tcPr>
          <w:p w14:paraId="22105061">
            <w:pPr>
              <w:pStyle w:val="133"/>
            </w:pPr>
            <w:r>
              <w:rPr>
                <w:rFonts w:hint="eastAsia"/>
              </w:rPr>
              <w:t>由厂家回收</w:t>
            </w:r>
          </w:p>
        </w:tc>
      </w:tr>
      <w:tr w14:paraId="7D7C4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5" w:type="pct"/>
            <w:vAlign w:val="center"/>
          </w:tcPr>
          <w:p w14:paraId="78D6BA05">
            <w:pPr>
              <w:pStyle w:val="133"/>
            </w:pPr>
            <w:r>
              <w:rPr>
                <w:rFonts w:hint="eastAsia"/>
              </w:rPr>
              <w:t>S4-</w:t>
            </w:r>
            <w:r>
              <w:t>3</w:t>
            </w:r>
          </w:p>
        </w:tc>
        <w:tc>
          <w:tcPr>
            <w:tcW w:w="1067" w:type="pct"/>
            <w:vAlign w:val="center"/>
          </w:tcPr>
          <w:p w14:paraId="60AB4D72">
            <w:pPr>
              <w:pStyle w:val="133"/>
            </w:pPr>
            <w:r>
              <w:rPr>
                <w:rFonts w:hint="eastAsia"/>
              </w:rPr>
              <w:t>废润滑油</w:t>
            </w:r>
          </w:p>
        </w:tc>
        <w:tc>
          <w:tcPr>
            <w:tcW w:w="543" w:type="pct"/>
            <w:vAlign w:val="center"/>
          </w:tcPr>
          <w:p w14:paraId="26C70387">
            <w:pPr>
              <w:pStyle w:val="133"/>
            </w:pPr>
            <w:r>
              <w:rPr>
                <w:rFonts w:hint="eastAsia"/>
              </w:rPr>
              <w:t>2</w:t>
            </w:r>
          </w:p>
        </w:tc>
        <w:tc>
          <w:tcPr>
            <w:tcW w:w="663" w:type="pct"/>
            <w:vAlign w:val="center"/>
          </w:tcPr>
          <w:p w14:paraId="3BDF2836">
            <w:pPr>
              <w:pStyle w:val="133"/>
            </w:pPr>
            <w:r>
              <w:rPr>
                <w:rFonts w:hint="eastAsia"/>
              </w:rPr>
              <w:t>危险废物</w:t>
            </w:r>
          </w:p>
        </w:tc>
        <w:tc>
          <w:tcPr>
            <w:tcW w:w="810" w:type="pct"/>
            <w:vAlign w:val="center"/>
          </w:tcPr>
          <w:p w14:paraId="7B16751B">
            <w:pPr>
              <w:pStyle w:val="133"/>
            </w:pPr>
            <w:r>
              <w:rPr>
                <w:rFonts w:hint="eastAsia"/>
              </w:rPr>
              <w:t>9</w:t>
            </w:r>
            <w:r>
              <w:t>00-217-08</w:t>
            </w:r>
          </w:p>
        </w:tc>
        <w:tc>
          <w:tcPr>
            <w:tcW w:w="1412" w:type="pct"/>
            <w:vAlign w:val="center"/>
          </w:tcPr>
          <w:p w14:paraId="279796AE">
            <w:pPr>
              <w:pStyle w:val="133"/>
            </w:pPr>
            <w:r>
              <w:rPr>
                <w:rFonts w:hint="eastAsia"/>
              </w:rPr>
              <w:t>收集后暂存于危险废物暂存间，委托有资质的单位定期拉运走处置</w:t>
            </w:r>
          </w:p>
        </w:tc>
      </w:tr>
      <w:tr w14:paraId="6DFC4D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5" w:type="pct"/>
            <w:vAlign w:val="center"/>
          </w:tcPr>
          <w:p w14:paraId="24A5D720">
            <w:pPr>
              <w:pStyle w:val="133"/>
            </w:pPr>
            <w:r>
              <w:rPr>
                <w:rFonts w:hint="eastAsia"/>
              </w:rPr>
              <w:t>S4-</w:t>
            </w:r>
            <w:r>
              <w:t>4</w:t>
            </w:r>
          </w:p>
        </w:tc>
        <w:tc>
          <w:tcPr>
            <w:tcW w:w="1067" w:type="pct"/>
            <w:vAlign w:val="center"/>
          </w:tcPr>
          <w:p w14:paraId="093ABEF8">
            <w:pPr>
              <w:pStyle w:val="133"/>
            </w:pPr>
            <w:r>
              <w:rPr>
                <w:rFonts w:hint="eastAsia"/>
              </w:rPr>
              <w:t>废布袋</w:t>
            </w:r>
          </w:p>
        </w:tc>
        <w:tc>
          <w:tcPr>
            <w:tcW w:w="543" w:type="pct"/>
            <w:vAlign w:val="center"/>
          </w:tcPr>
          <w:p w14:paraId="2DBCE97E">
            <w:pPr>
              <w:pStyle w:val="133"/>
            </w:pPr>
            <w:r>
              <w:rPr>
                <w:rFonts w:hint="eastAsia"/>
              </w:rPr>
              <w:t>3</w:t>
            </w:r>
          </w:p>
        </w:tc>
        <w:tc>
          <w:tcPr>
            <w:tcW w:w="663" w:type="pct"/>
            <w:vAlign w:val="center"/>
          </w:tcPr>
          <w:p w14:paraId="43563F7F">
            <w:pPr>
              <w:pStyle w:val="133"/>
            </w:pPr>
            <w:r>
              <w:rPr>
                <w:rFonts w:hint="eastAsia"/>
              </w:rPr>
              <w:t>一般固废</w:t>
            </w:r>
          </w:p>
        </w:tc>
        <w:tc>
          <w:tcPr>
            <w:tcW w:w="810" w:type="pct"/>
            <w:vAlign w:val="center"/>
          </w:tcPr>
          <w:p w14:paraId="5ECEB1DE">
            <w:pPr>
              <w:pStyle w:val="133"/>
            </w:pPr>
            <w:r>
              <w:rPr>
                <w:rFonts w:hint="eastAsia"/>
              </w:rPr>
              <w:t>9</w:t>
            </w:r>
            <w:r>
              <w:t>00-</w:t>
            </w:r>
            <w:r>
              <w:rPr>
                <w:rFonts w:hint="eastAsia"/>
              </w:rPr>
              <w:t>009</w:t>
            </w:r>
            <w:r>
              <w:t>-</w:t>
            </w:r>
            <w:r>
              <w:rPr>
                <w:rFonts w:hint="eastAsia"/>
              </w:rPr>
              <w:t>S5</w:t>
            </w:r>
            <w:r>
              <w:t>9</w:t>
            </w:r>
          </w:p>
        </w:tc>
        <w:tc>
          <w:tcPr>
            <w:tcW w:w="1412" w:type="pct"/>
            <w:vAlign w:val="center"/>
          </w:tcPr>
          <w:p w14:paraId="3A8A7D79">
            <w:pPr>
              <w:pStyle w:val="133"/>
            </w:pPr>
            <w:r>
              <w:rPr>
                <w:rFonts w:hint="eastAsia"/>
              </w:rPr>
              <w:t>由运维公司回收</w:t>
            </w:r>
          </w:p>
        </w:tc>
      </w:tr>
      <w:bookmarkEnd w:id="362"/>
    </w:tbl>
    <w:p w14:paraId="032480C8">
      <w:pPr>
        <w:pStyle w:val="133"/>
        <w:ind w:firstLine="480"/>
      </w:pPr>
    </w:p>
    <w:p w14:paraId="2A6D2DC8">
      <w:pPr>
        <w:pStyle w:val="3"/>
      </w:pPr>
      <w:bookmarkStart w:id="363" w:name="_Toc205291382"/>
      <w:r>
        <w:rPr>
          <w:rFonts w:hint="eastAsia"/>
        </w:rPr>
        <w:t>施工期污染源源强核算</w:t>
      </w:r>
      <w:bookmarkEnd w:id="363"/>
    </w:p>
    <w:p w14:paraId="3982232E">
      <w:pPr>
        <w:pStyle w:val="138"/>
        <w:rPr>
          <w:rFonts w:hint="eastAsia"/>
        </w:rPr>
      </w:pPr>
      <w:r>
        <w:rPr>
          <w:rFonts w:hint="eastAsia"/>
        </w:rPr>
        <w:t>施工概况</w:t>
      </w:r>
    </w:p>
    <w:p w14:paraId="508C7E2B">
      <w:pPr>
        <w:pStyle w:val="117"/>
        <w:ind w:firstLine="480"/>
      </w:pPr>
      <w:r>
        <w:rPr>
          <w:rFonts w:hint="eastAsia"/>
        </w:rPr>
        <w:t>本项目</w:t>
      </w:r>
      <w:r>
        <w:t>建设施工期计划为</w:t>
      </w:r>
      <w:r>
        <w:rPr>
          <w:rFonts w:hint="eastAsia"/>
        </w:rPr>
        <w:t>24</w:t>
      </w:r>
      <w:r>
        <w:t>个月。</w:t>
      </w:r>
    </w:p>
    <w:p w14:paraId="38D10506">
      <w:pPr>
        <w:pStyle w:val="117"/>
        <w:ind w:firstLine="480"/>
      </w:pPr>
      <w:r>
        <w:rPr>
          <w:rFonts w:hint="eastAsia"/>
        </w:rPr>
        <w:t>施工期环境影响</w:t>
      </w:r>
      <w:r>
        <w:t>主要包括废气、废水</w:t>
      </w:r>
      <w:r>
        <w:rPr>
          <w:rFonts w:hint="eastAsia"/>
        </w:rPr>
        <w:t>、</w:t>
      </w:r>
      <w:r>
        <w:t>噪声、固体废物等对周围环境的影响。</w:t>
      </w:r>
    </w:p>
    <w:p w14:paraId="45BA8302">
      <w:pPr>
        <w:pStyle w:val="138"/>
        <w:rPr>
          <w:rFonts w:hint="eastAsia"/>
        </w:rPr>
      </w:pPr>
      <w:r>
        <w:rPr>
          <w:rFonts w:hint="eastAsia"/>
        </w:rPr>
        <w:t>施工期环境影响特征</w:t>
      </w:r>
    </w:p>
    <w:p w14:paraId="1F40B6AD">
      <w:pPr>
        <w:pStyle w:val="117"/>
        <w:ind w:firstLine="480"/>
      </w:pPr>
      <w:r>
        <w:t>本项目用地为</w:t>
      </w:r>
      <w:r>
        <w:rPr>
          <w:rFonts w:hint="eastAsia"/>
        </w:rPr>
        <w:t>哈密高新技术产业开发区</w:t>
      </w:r>
      <w:r>
        <w:t>建设用地，</w:t>
      </w:r>
      <w:r>
        <w:rPr>
          <w:rFonts w:hint="eastAsia"/>
        </w:rPr>
        <w:t>排水管网铺设等</w:t>
      </w:r>
      <w:r>
        <w:t>建设将会进行少量的地表开挖等基础施工。项目施工对环境污染影响特征见下表</w:t>
      </w:r>
      <w:r>
        <w:rPr>
          <w:rFonts w:hint="eastAsia"/>
        </w:rPr>
        <w:t>2.</w:t>
      </w:r>
      <w:r>
        <w:t>6</w:t>
      </w:r>
      <w:r>
        <w:rPr>
          <w:rFonts w:hint="eastAsia"/>
        </w:rPr>
        <w:t>-1</w:t>
      </w:r>
      <w:r>
        <w:t>。</w:t>
      </w:r>
    </w:p>
    <w:p w14:paraId="2EC4A08E">
      <w:pPr>
        <w:pStyle w:val="118"/>
        <w:rPr>
          <w:color w:val="auto"/>
        </w:rPr>
      </w:pPr>
    </w:p>
    <w:p w14:paraId="4A0782FA">
      <w:pPr>
        <w:pStyle w:val="118"/>
        <w:rPr>
          <w:color w:val="auto"/>
        </w:rPr>
      </w:pPr>
    </w:p>
    <w:p w14:paraId="1CADCCC2">
      <w:pPr>
        <w:pStyle w:val="118"/>
        <w:rPr>
          <w:color w:val="auto"/>
        </w:rPr>
      </w:pPr>
    </w:p>
    <w:p w14:paraId="10ACC140">
      <w:pPr>
        <w:pStyle w:val="118"/>
        <w:rPr>
          <w:color w:val="auto"/>
        </w:rPr>
      </w:pPr>
      <w:r>
        <w:rPr>
          <w:color w:val="auto"/>
        </w:rPr>
        <w:t>表</w:t>
      </w:r>
      <w:r>
        <w:rPr>
          <w:rFonts w:hint="eastAsia"/>
          <w:color w:val="auto"/>
        </w:rPr>
        <w:t>2.</w:t>
      </w:r>
      <w:r>
        <w:rPr>
          <w:color w:val="auto"/>
        </w:rPr>
        <w:t>6</w:t>
      </w:r>
      <w:r>
        <w:rPr>
          <w:rFonts w:hint="eastAsia"/>
          <w:color w:val="auto"/>
        </w:rPr>
        <w:t xml:space="preserve">-1  </w:t>
      </w:r>
      <w:r>
        <w:rPr>
          <w:color w:val="auto"/>
        </w:rPr>
        <w:t>施工期环境影响特征表</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15"/>
        <w:gridCol w:w="6974"/>
      </w:tblGrid>
      <w:tr w14:paraId="614703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Align w:val="center"/>
          </w:tcPr>
          <w:p w14:paraId="4E7E62C8">
            <w:pPr>
              <w:pStyle w:val="133"/>
              <w:rPr>
                <w:b/>
                <w:bCs/>
              </w:rPr>
            </w:pPr>
            <w:r>
              <w:rPr>
                <w:b/>
                <w:bCs/>
              </w:rPr>
              <w:t>施工期主要活动</w:t>
            </w:r>
          </w:p>
        </w:tc>
        <w:tc>
          <w:tcPr>
            <w:tcW w:w="6974" w:type="dxa"/>
            <w:vAlign w:val="center"/>
          </w:tcPr>
          <w:p w14:paraId="61A064C7">
            <w:pPr>
              <w:pStyle w:val="133"/>
              <w:rPr>
                <w:b/>
                <w:bCs/>
              </w:rPr>
            </w:pPr>
            <w:r>
              <w:rPr>
                <w:b/>
                <w:bCs/>
              </w:rPr>
              <w:t>施工期环境影响特征说明</w:t>
            </w:r>
          </w:p>
        </w:tc>
      </w:tr>
      <w:tr w14:paraId="6ABD9F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restart"/>
            <w:vAlign w:val="center"/>
          </w:tcPr>
          <w:p w14:paraId="7C4FE4D9">
            <w:pPr>
              <w:pStyle w:val="133"/>
            </w:pPr>
            <w:r>
              <w:t>地表开挖及建构筑物施工</w:t>
            </w:r>
          </w:p>
        </w:tc>
        <w:tc>
          <w:tcPr>
            <w:tcW w:w="6974" w:type="dxa"/>
            <w:vAlign w:val="center"/>
          </w:tcPr>
          <w:p w14:paraId="200B4D33">
            <w:pPr>
              <w:pStyle w:val="133"/>
              <w:jc w:val="left"/>
            </w:pPr>
            <w:r>
              <w:t>废气：挖掘机械排放废气及运输汽车产生尾气</w:t>
            </w:r>
          </w:p>
          <w:p w14:paraId="6C9D5473">
            <w:pPr>
              <w:pStyle w:val="133"/>
              <w:jc w:val="left"/>
            </w:pPr>
            <w:r>
              <w:t>粉尘：运输产生地面扬尘，物料堆扬尘以及地基开挖及土建施工中的建材装卸、搅拌和道路建设等过程中</w:t>
            </w:r>
          </w:p>
        </w:tc>
      </w:tr>
      <w:tr w14:paraId="01E18A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continue"/>
            <w:vAlign w:val="center"/>
          </w:tcPr>
          <w:p w14:paraId="078CEAA2">
            <w:pPr>
              <w:pStyle w:val="133"/>
            </w:pPr>
          </w:p>
        </w:tc>
        <w:tc>
          <w:tcPr>
            <w:tcW w:w="6974" w:type="dxa"/>
            <w:vAlign w:val="center"/>
          </w:tcPr>
          <w:p w14:paraId="441201F2">
            <w:pPr>
              <w:pStyle w:val="133"/>
              <w:jc w:val="left"/>
            </w:pPr>
            <w:r>
              <w:t>噪声：机械噪声、运输车辆及交通运输噪声等</w:t>
            </w:r>
          </w:p>
        </w:tc>
      </w:tr>
      <w:tr w14:paraId="75284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continue"/>
            <w:vAlign w:val="center"/>
          </w:tcPr>
          <w:p w14:paraId="448AB4A0">
            <w:pPr>
              <w:pStyle w:val="133"/>
            </w:pPr>
          </w:p>
        </w:tc>
        <w:tc>
          <w:tcPr>
            <w:tcW w:w="6974" w:type="dxa"/>
            <w:vAlign w:val="center"/>
          </w:tcPr>
          <w:p w14:paraId="18404874">
            <w:pPr>
              <w:pStyle w:val="133"/>
              <w:jc w:val="left"/>
            </w:pPr>
            <w:r>
              <w:t>弃渣：施工建筑垃圾、土石方</w:t>
            </w:r>
          </w:p>
        </w:tc>
      </w:tr>
      <w:tr w14:paraId="0C63A3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continue"/>
            <w:vAlign w:val="center"/>
          </w:tcPr>
          <w:p w14:paraId="25D0510D">
            <w:pPr>
              <w:pStyle w:val="133"/>
            </w:pPr>
          </w:p>
        </w:tc>
        <w:tc>
          <w:tcPr>
            <w:tcW w:w="6974" w:type="dxa"/>
            <w:vAlign w:val="center"/>
          </w:tcPr>
          <w:p w14:paraId="43C23477">
            <w:pPr>
              <w:pStyle w:val="133"/>
              <w:jc w:val="left"/>
            </w:pPr>
            <w:r>
              <w:t>废水：主要为施工工具清洗废水、</w:t>
            </w:r>
            <w:r>
              <w:rPr>
                <w:rFonts w:hint="eastAsia"/>
              </w:rPr>
              <w:t>施工</w:t>
            </w:r>
            <w:r>
              <w:t>人员产生的</w:t>
            </w:r>
            <w:r>
              <w:rPr>
                <w:rFonts w:hint="eastAsia"/>
              </w:rPr>
              <w:t>生活污水</w:t>
            </w:r>
            <w:r>
              <w:t>等</w:t>
            </w:r>
          </w:p>
        </w:tc>
      </w:tr>
      <w:tr w14:paraId="4E5508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continue"/>
            <w:vAlign w:val="center"/>
          </w:tcPr>
          <w:p w14:paraId="658EEE5F">
            <w:pPr>
              <w:pStyle w:val="133"/>
            </w:pPr>
          </w:p>
        </w:tc>
        <w:tc>
          <w:tcPr>
            <w:tcW w:w="6974" w:type="dxa"/>
            <w:vAlign w:val="center"/>
          </w:tcPr>
          <w:p w14:paraId="375B8DA0">
            <w:pPr>
              <w:pStyle w:val="133"/>
              <w:jc w:val="left"/>
            </w:pPr>
            <w:r>
              <w:t>生态：开挖活动对生态环境有一定的影响，加剧水土流失</w:t>
            </w:r>
          </w:p>
        </w:tc>
      </w:tr>
      <w:tr w14:paraId="407867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restart"/>
            <w:vAlign w:val="center"/>
          </w:tcPr>
          <w:p w14:paraId="2F2739AE">
            <w:pPr>
              <w:pStyle w:val="133"/>
            </w:pPr>
            <w:r>
              <w:t>工程安装施工</w:t>
            </w:r>
          </w:p>
        </w:tc>
        <w:tc>
          <w:tcPr>
            <w:tcW w:w="6974" w:type="dxa"/>
            <w:vAlign w:val="center"/>
          </w:tcPr>
          <w:p w14:paraId="0EDC9CCF">
            <w:pPr>
              <w:pStyle w:val="133"/>
              <w:jc w:val="left"/>
            </w:pPr>
            <w:r>
              <w:t>废气：汽车运输产生尾气和地面扬尘，主要污染物有粉尘、NO</w:t>
            </w:r>
            <w:r>
              <w:rPr>
                <w:vertAlign w:val="subscript"/>
              </w:rPr>
              <w:t>2</w:t>
            </w:r>
            <w:r>
              <w:t>、CO等；安装产生的电焊烟雾</w:t>
            </w:r>
          </w:p>
        </w:tc>
      </w:tr>
      <w:tr w14:paraId="37CCF2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continue"/>
            <w:vAlign w:val="center"/>
          </w:tcPr>
          <w:p w14:paraId="66256DBC">
            <w:pPr>
              <w:pStyle w:val="133"/>
            </w:pPr>
          </w:p>
        </w:tc>
        <w:tc>
          <w:tcPr>
            <w:tcW w:w="6974" w:type="dxa"/>
            <w:vAlign w:val="center"/>
          </w:tcPr>
          <w:p w14:paraId="44EF9FA9">
            <w:pPr>
              <w:pStyle w:val="133"/>
              <w:jc w:val="left"/>
            </w:pPr>
            <w:r>
              <w:t>噪声：电焊机、电钻等机械噪声、交通运输噪声、人员活动噪声等</w:t>
            </w:r>
          </w:p>
        </w:tc>
      </w:tr>
      <w:tr w14:paraId="3D4232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continue"/>
            <w:vAlign w:val="center"/>
          </w:tcPr>
          <w:p w14:paraId="4C7F3B97">
            <w:pPr>
              <w:pStyle w:val="133"/>
            </w:pPr>
          </w:p>
        </w:tc>
        <w:tc>
          <w:tcPr>
            <w:tcW w:w="6974" w:type="dxa"/>
            <w:vAlign w:val="center"/>
          </w:tcPr>
          <w:p w14:paraId="481DE0B4">
            <w:pPr>
              <w:pStyle w:val="133"/>
              <w:jc w:val="left"/>
            </w:pPr>
            <w:r>
              <w:t>弃渣：建筑垃圾</w:t>
            </w:r>
          </w:p>
        </w:tc>
      </w:tr>
      <w:tr w14:paraId="2DA1C2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15" w:type="dxa"/>
            <w:vMerge w:val="continue"/>
            <w:vAlign w:val="center"/>
          </w:tcPr>
          <w:p w14:paraId="2FA5D0C1">
            <w:pPr>
              <w:pStyle w:val="133"/>
            </w:pPr>
          </w:p>
        </w:tc>
        <w:tc>
          <w:tcPr>
            <w:tcW w:w="6974" w:type="dxa"/>
            <w:vAlign w:val="center"/>
          </w:tcPr>
          <w:p w14:paraId="074643C0">
            <w:pPr>
              <w:pStyle w:val="133"/>
              <w:jc w:val="left"/>
            </w:pPr>
            <w:r>
              <w:t>废水：主要为施工工具清洗废水、管理人员产生的生活废水</w:t>
            </w:r>
          </w:p>
        </w:tc>
      </w:tr>
    </w:tbl>
    <w:p w14:paraId="31B8AA06">
      <w:pPr>
        <w:pStyle w:val="133"/>
      </w:pPr>
    </w:p>
    <w:p w14:paraId="145F6819">
      <w:pPr>
        <w:pStyle w:val="138"/>
        <w:rPr>
          <w:rFonts w:hint="eastAsia"/>
        </w:rPr>
      </w:pPr>
      <w:r>
        <w:rPr>
          <w:rFonts w:hint="eastAsia"/>
        </w:rPr>
        <w:t>废气</w:t>
      </w:r>
    </w:p>
    <w:p w14:paraId="2B29383D">
      <w:pPr>
        <w:pStyle w:val="117"/>
        <w:ind w:firstLine="480"/>
      </w:pPr>
      <w:r>
        <w:rPr>
          <w:rFonts w:hint="eastAsia"/>
        </w:rPr>
        <w:t>拟建项目施工期产生的大气污染物主要是粉尘和燃油废气。</w:t>
      </w:r>
    </w:p>
    <w:p w14:paraId="675F35A1">
      <w:pPr>
        <w:pStyle w:val="117"/>
        <w:ind w:firstLine="480"/>
      </w:pPr>
      <w:r>
        <w:rPr>
          <w:rFonts w:hint="eastAsia"/>
        </w:rPr>
        <w:t>（1）粉尘</w:t>
      </w:r>
    </w:p>
    <w:p w14:paraId="4A99478A">
      <w:pPr>
        <w:pStyle w:val="117"/>
        <w:ind w:firstLine="480"/>
      </w:pPr>
      <w:r>
        <w:rPr>
          <w:rFonts w:hint="eastAsia"/>
        </w:rPr>
        <w:t>拟建项目施工期的主要起尘环节如下：</w:t>
      </w:r>
    </w:p>
    <w:p w14:paraId="755A621B">
      <w:pPr>
        <w:pStyle w:val="117"/>
        <w:ind w:firstLine="480"/>
      </w:pPr>
      <w:r>
        <w:rPr>
          <w:rFonts w:hint="eastAsia"/>
        </w:rPr>
        <w:t>①推土机、翻斗机、混凝土搅拌机等机械作业处产生的扬尘；</w:t>
      </w:r>
    </w:p>
    <w:p w14:paraId="27729202">
      <w:pPr>
        <w:pStyle w:val="117"/>
        <w:ind w:firstLine="480"/>
      </w:pPr>
      <w:r>
        <w:rPr>
          <w:rFonts w:hint="eastAsia"/>
        </w:rPr>
        <w:t>②材料堆场在空气动力作用下起尘；</w:t>
      </w:r>
    </w:p>
    <w:p w14:paraId="7158154A">
      <w:pPr>
        <w:pStyle w:val="117"/>
        <w:ind w:firstLine="480"/>
      </w:pPr>
      <w:r>
        <w:rPr>
          <w:rFonts w:hint="eastAsia"/>
        </w:rPr>
        <w:t>③汽车在运送砂石料过程中，由于振动或风力等因素引起的物料洒落起尘或路面二次扬尘。</w:t>
      </w:r>
    </w:p>
    <w:p w14:paraId="5B35AB6C">
      <w:pPr>
        <w:pStyle w:val="117"/>
        <w:ind w:firstLine="480"/>
      </w:pPr>
      <w:r>
        <w:rPr>
          <w:rFonts w:hint="eastAsia"/>
        </w:rPr>
        <w:t>作业区施工一般为多点施工，点源与面源共同对空气环境产生影响。根据类似项目施工现场起尘规律的研究资料，在砂石料堆存过程中的风蚀起尘、卡车卸料时产生的粉尘污染、道路二次扬尘、水泥拆包的粉尘污染、场地扬尘等共同作用下，未采取环保措施时，施工现场污染源强为</w:t>
      </w:r>
      <w:r>
        <w:t>539kg/s</w:t>
      </w:r>
      <w:r>
        <w:rPr>
          <w:rFonts w:cs="Times New Roman"/>
        </w:rPr>
        <w:t>·</w:t>
      </w:r>
      <w:r>
        <w:t>km</w:t>
      </w:r>
      <w:r>
        <w:rPr>
          <w:vertAlign w:val="superscript"/>
        </w:rPr>
        <w:t>2</w:t>
      </w:r>
      <w:r>
        <w:rPr>
          <w:rFonts w:hint="eastAsia"/>
        </w:rPr>
        <w:t>。采取环保措施时，施工现场污染源强为</w:t>
      </w:r>
      <w:r>
        <w:t>140kg/s</w:t>
      </w:r>
      <w:r>
        <w:rPr>
          <w:rFonts w:cs="Times New Roman"/>
        </w:rPr>
        <w:t>·</w:t>
      </w:r>
      <w:r>
        <w:t>km</w:t>
      </w:r>
      <w:r>
        <w:rPr>
          <w:vertAlign w:val="superscript"/>
        </w:rPr>
        <w:t>2</w:t>
      </w:r>
      <w:r>
        <w:rPr>
          <w:rFonts w:hint="eastAsia"/>
        </w:rPr>
        <w:t>。</w:t>
      </w:r>
    </w:p>
    <w:p w14:paraId="34FE2BAC">
      <w:pPr>
        <w:pStyle w:val="117"/>
        <w:ind w:firstLine="480"/>
      </w:pPr>
      <w:r>
        <w:rPr>
          <w:rFonts w:hint="eastAsia"/>
        </w:rPr>
        <w:t>（2）燃油废气</w:t>
      </w:r>
    </w:p>
    <w:p w14:paraId="15DE2C5F">
      <w:pPr>
        <w:pStyle w:val="117"/>
        <w:ind w:firstLine="480"/>
      </w:pPr>
      <w:r>
        <w:rPr>
          <w:rFonts w:hint="eastAsia"/>
        </w:rPr>
        <w:t>在项目施工过程中各类燃油动力机械在挖方、填筑、清理、平整、运输等过程中将排放燃油废气，其主要污染物为</w:t>
      </w:r>
      <w:r>
        <w:t>SO</w:t>
      </w:r>
      <w:r>
        <w:rPr>
          <w:vertAlign w:val="subscript"/>
        </w:rPr>
        <w:t>2</w:t>
      </w:r>
      <w:r>
        <w:rPr>
          <w:rFonts w:hint="eastAsia"/>
        </w:rPr>
        <w:t>、</w:t>
      </w:r>
      <w:r>
        <w:t>NO</w:t>
      </w:r>
      <w:r>
        <w:rPr>
          <w:vertAlign w:val="subscript"/>
        </w:rPr>
        <w:t>2</w:t>
      </w:r>
      <w:r>
        <w:rPr>
          <w:rFonts w:hint="eastAsia"/>
        </w:rPr>
        <w:t>和</w:t>
      </w:r>
      <w:r>
        <w:t>CO</w:t>
      </w:r>
      <w:r>
        <w:rPr>
          <w:rFonts w:hint="eastAsia"/>
        </w:rPr>
        <w:t>。施工期耗柴油约1000</w:t>
      </w:r>
      <w:r>
        <w:t>t</w:t>
      </w:r>
      <w:r>
        <w:rPr>
          <w:rFonts w:hint="eastAsia"/>
        </w:rPr>
        <w:t>，</w:t>
      </w:r>
      <w:r>
        <w:t>SO</w:t>
      </w:r>
      <w:r>
        <w:rPr>
          <w:vertAlign w:val="subscript"/>
        </w:rPr>
        <w:t>2</w:t>
      </w:r>
      <w:r>
        <w:rPr>
          <w:rFonts w:hint="eastAsia"/>
        </w:rPr>
        <w:t>、</w:t>
      </w:r>
      <w:r>
        <w:t>NO</w:t>
      </w:r>
      <w:r>
        <w:rPr>
          <w:vertAlign w:val="subscript"/>
        </w:rPr>
        <w:t>X</w:t>
      </w:r>
      <w:r>
        <w:rPr>
          <w:rFonts w:hint="eastAsia"/>
        </w:rPr>
        <w:t>、</w:t>
      </w:r>
      <w:r>
        <w:t>CO</w:t>
      </w:r>
      <w:r>
        <w:rPr>
          <w:rFonts w:hint="eastAsia"/>
        </w:rPr>
        <w:t>排放量有限，排放方式为间断散排。</w:t>
      </w:r>
    </w:p>
    <w:p w14:paraId="0758E58C">
      <w:pPr>
        <w:pStyle w:val="138"/>
        <w:rPr>
          <w:rFonts w:hint="eastAsia"/>
        </w:rPr>
      </w:pPr>
      <w:r>
        <w:rPr>
          <w:rFonts w:hint="eastAsia"/>
        </w:rPr>
        <w:t>废水</w:t>
      </w:r>
    </w:p>
    <w:p w14:paraId="786AE5B3">
      <w:pPr>
        <w:pStyle w:val="117"/>
        <w:ind w:firstLine="480"/>
      </w:pPr>
      <w:r>
        <w:rPr>
          <w:rFonts w:hint="eastAsia"/>
        </w:rPr>
        <w:t>施工期废水主要为施工过程中产生的施工废水和施工人员产生的生活污水。</w:t>
      </w:r>
    </w:p>
    <w:p w14:paraId="37FB0CEC">
      <w:pPr>
        <w:pStyle w:val="117"/>
        <w:ind w:firstLine="480"/>
      </w:pPr>
      <w:r>
        <w:rPr>
          <w:rFonts w:hint="eastAsia"/>
        </w:rPr>
        <w:t>（1）施工废水</w:t>
      </w:r>
    </w:p>
    <w:p w14:paraId="352B8E2E">
      <w:pPr>
        <w:pStyle w:val="117"/>
        <w:ind w:firstLine="480"/>
      </w:pPr>
      <w:r>
        <w:rPr>
          <w:rFonts w:hint="eastAsia"/>
        </w:rPr>
        <w:t>施工过程中产生的废水主要为冲洗车辆、冲洗模板等产生的废水，其产生量较小且较为分散，因此可以通过加强施工管理，修建临时处理设施来减轻其不利影响，其环境影响是局部的、短期的、可逆的。</w:t>
      </w:r>
    </w:p>
    <w:p w14:paraId="62FA4962">
      <w:pPr>
        <w:pStyle w:val="117"/>
        <w:ind w:firstLine="480"/>
      </w:pPr>
      <w:r>
        <w:rPr>
          <w:rFonts w:hint="eastAsia"/>
        </w:rPr>
        <w:t>（2）生活污水</w:t>
      </w:r>
    </w:p>
    <w:p w14:paraId="36DE2A2A">
      <w:pPr>
        <w:pStyle w:val="117"/>
        <w:ind w:firstLine="480"/>
      </w:pPr>
      <w:r>
        <w:rPr>
          <w:rFonts w:hint="eastAsia"/>
        </w:rPr>
        <w:t>施工期施工人员以200人计，</w:t>
      </w:r>
      <w:r>
        <w:t>在施工场地食宿。</w:t>
      </w:r>
      <w:r>
        <w:rPr>
          <w:rFonts w:hint="eastAsia"/>
        </w:rPr>
        <w:t>有效施工期按16个月计，按人均每天用水量0.1m</w:t>
      </w:r>
      <w:r>
        <w:rPr>
          <w:rFonts w:hint="eastAsia"/>
          <w:vertAlign w:val="superscript"/>
        </w:rPr>
        <w:t>3</w:t>
      </w:r>
      <w:r>
        <w:rPr>
          <w:rFonts w:hint="eastAsia"/>
        </w:rPr>
        <w:t>，排水系数按80％计，总生活污水量约20m</w:t>
      </w:r>
      <w:r>
        <w:rPr>
          <w:rFonts w:hint="eastAsia"/>
          <w:vertAlign w:val="superscript"/>
        </w:rPr>
        <w:t>3</w:t>
      </w:r>
      <w:r>
        <w:rPr>
          <w:rFonts w:hint="eastAsia"/>
        </w:rPr>
        <w:t>/d（施工期合计9600m</w:t>
      </w:r>
      <w:r>
        <w:rPr>
          <w:rFonts w:hint="eastAsia"/>
          <w:vertAlign w:val="superscript"/>
        </w:rPr>
        <w:t>3</w:t>
      </w:r>
      <w:r>
        <w:rPr>
          <w:rFonts w:hint="eastAsia"/>
        </w:rPr>
        <w:t>）。生活污水中主要污染因子为CODcr、BOD</w:t>
      </w:r>
      <w:r>
        <w:rPr>
          <w:rFonts w:hint="eastAsia"/>
          <w:vertAlign w:val="subscript"/>
        </w:rPr>
        <w:t>5</w:t>
      </w:r>
      <w:r>
        <w:rPr>
          <w:rFonts w:hint="eastAsia"/>
        </w:rPr>
        <w:t>、SS和氨氮，按照典型城市生活污水水质进行类比，确定其污染物浓度分别为：CODcr</w:t>
      </w:r>
      <w:r>
        <w:t xml:space="preserve"> 500</w:t>
      </w:r>
      <w:r>
        <w:rPr>
          <w:rFonts w:hint="eastAsia"/>
        </w:rPr>
        <w:t>mg/L、BOD</w:t>
      </w:r>
      <w:r>
        <w:rPr>
          <w:rFonts w:hint="eastAsia"/>
          <w:vertAlign w:val="subscript"/>
        </w:rPr>
        <w:t>5</w:t>
      </w:r>
      <w:r>
        <w:t xml:space="preserve"> 3</w:t>
      </w:r>
      <w:r>
        <w:rPr>
          <w:rFonts w:hint="eastAsia"/>
        </w:rPr>
        <w:t>00mg/L、SS</w:t>
      </w:r>
      <w:r>
        <w:t xml:space="preserve"> 4</w:t>
      </w:r>
      <w:r>
        <w:rPr>
          <w:rFonts w:hint="eastAsia"/>
        </w:rPr>
        <w:t>00mg/L，氨氮</w:t>
      </w:r>
      <w:r>
        <w:t>30</w:t>
      </w:r>
      <w:r>
        <w:rPr>
          <w:rFonts w:hint="eastAsia"/>
        </w:rPr>
        <w:t>mg/L，则施工期污染物的产生量为CODcr 4.8t、BOD</w:t>
      </w:r>
      <w:r>
        <w:rPr>
          <w:rFonts w:hint="eastAsia"/>
          <w:vertAlign w:val="subscript"/>
        </w:rPr>
        <w:t>5</w:t>
      </w:r>
      <w:r>
        <w:t xml:space="preserve"> </w:t>
      </w:r>
      <w:r>
        <w:rPr>
          <w:rFonts w:hint="eastAsia"/>
        </w:rPr>
        <w:t>2.88t、SS</w:t>
      </w:r>
      <w:r>
        <w:t xml:space="preserve"> </w:t>
      </w:r>
      <w:r>
        <w:rPr>
          <w:rFonts w:hint="eastAsia"/>
        </w:rPr>
        <w:t>3.84t，氨氮0.29t。施工人员的生活污水依托现有工程污水处理设施处理，基本不会对周围环境造成明显不利影响。</w:t>
      </w:r>
    </w:p>
    <w:p w14:paraId="040466E0">
      <w:pPr>
        <w:pStyle w:val="138"/>
        <w:rPr>
          <w:rFonts w:hint="eastAsia"/>
        </w:rPr>
      </w:pPr>
      <w:r>
        <w:rPr>
          <w:rFonts w:hint="eastAsia"/>
        </w:rPr>
        <w:t>噪声</w:t>
      </w:r>
    </w:p>
    <w:p w14:paraId="37EB5C25">
      <w:pPr>
        <w:pStyle w:val="117"/>
        <w:ind w:firstLine="480"/>
      </w:pPr>
      <w:r>
        <w:rPr>
          <w:rFonts w:hint="eastAsia"/>
        </w:rPr>
        <w:t>项目施工期噪声主要是打桩噪声，搅拌机、电锯等机械噪声以及推土机、挖掘机、装载机等半流动性施工机械噪声以及运输卡车等。这些噪声具有无规则、不连续、高强度等特点，其典型噪声源强见表2.</w:t>
      </w:r>
      <w:r>
        <w:t>6</w:t>
      </w:r>
      <w:r>
        <w:rPr>
          <w:rFonts w:hint="eastAsia"/>
        </w:rPr>
        <w:t>-2。</w:t>
      </w:r>
    </w:p>
    <w:p w14:paraId="5B3AB6D4">
      <w:pPr>
        <w:pStyle w:val="118"/>
        <w:rPr>
          <w:color w:val="auto"/>
        </w:rPr>
      </w:pPr>
      <w:r>
        <w:rPr>
          <w:rFonts w:hint="eastAsia"/>
          <w:color w:val="auto"/>
        </w:rPr>
        <w:t>表2.</w:t>
      </w:r>
      <w:r>
        <w:rPr>
          <w:color w:val="auto"/>
        </w:rPr>
        <w:t>6</w:t>
      </w:r>
      <w:r>
        <w:rPr>
          <w:rFonts w:hint="eastAsia"/>
          <w:color w:val="auto"/>
        </w:rPr>
        <w:t>-2  施工机械噪声源强（距离设备</w:t>
      </w:r>
      <w:r>
        <w:rPr>
          <w:color w:val="auto"/>
        </w:rPr>
        <w:t>5m</w:t>
      </w:r>
      <w:r>
        <w:rPr>
          <w:rFonts w:hint="eastAsia"/>
          <w:color w:val="auto"/>
        </w:rPr>
        <w:t>处）</w:t>
      </w:r>
      <w:r>
        <w:rPr>
          <w:color w:val="auto"/>
        </w:rPr>
        <w:t>[dB（A）]</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97"/>
        <w:gridCol w:w="1498"/>
        <w:gridCol w:w="1497"/>
        <w:gridCol w:w="1498"/>
        <w:gridCol w:w="1497"/>
        <w:gridCol w:w="1302"/>
      </w:tblGrid>
      <w:tr w14:paraId="27BB1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Align w:val="center"/>
          </w:tcPr>
          <w:p w14:paraId="7684D67A">
            <w:pPr>
              <w:pStyle w:val="133"/>
              <w:rPr>
                <w:b/>
                <w:bCs/>
              </w:rPr>
            </w:pPr>
            <w:r>
              <w:rPr>
                <w:rFonts w:hint="eastAsia"/>
                <w:b/>
                <w:bCs/>
              </w:rPr>
              <w:t>机械类型</w:t>
            </w:r>
          </w:p>
        </w:tc>
        <w:tc>
          <w:tcPr>
            <w:tcW w:w="1418" w:type="dxa"/>
            <w:vAlign w:val="center"/>
          </w:tcPr>
          <w:p w14:paraId="61250300">
            <w:pPr>
              <w:pStyle w:val="133"/>
              <w:rPr>
                <w:b/>
                <w:bCs/>
              </w:rPr>
            </w:pPr>
            <w:r>
              <w:rPr>
                <w:rFonts w:hint="eastAsia"/>
                <w:b/>
                <w:bCs/>
              </w:rPr>
              <w:t>噪声源强</w:t>
            </w:r>
          </w:p>
        </w:tc>
        <w:tc>
          <w:tcPr>
            <w:tcW w:w="1417" w:type="dxa"/>
            <w:vAlign w:val="center"/>
          </w:tcPr>
          <w:p w14:paraId="63F0FA6E">
            <w:pPr>
              <w:pStyle w:val="133"/>
              <w:rPr>
                <w:b/>
                <w:bCs/>
              </w:rPr>
            </w:pPr>
            <w:r>
              <w:rPr>
                <w:rFonts w:hint="eastAsia"/>
                <w:b/>
                <w:bCs/>
              </w:rPr>
              <w:t>机械类型</w:t>
            </w:r>
          </w:p>
        </w:tc>
        <w:tc>
          <w:tcPr>
            <w:tcW w:w="1418" w:type="dxa"/>
            <w:vAlign w:val="center"/>
          </w:tcPr>
          <w:p w14:paraId="2EC4293A">
            <w:pPr>
              <w:pStyle w:val="133"/>
              <w:rPr>
                <w:b/>
                <w:bCs/>
              </w:rPr>
            </w:pPr>
            <w:r>
              <w:rPr>
                <w:rFonts w:hint="eastAsia"/>
                <w:b/>
                <w:bCs/>
              </w:rPr>
              <w:t>噪声源强</w:t>
            </w:r>
          </w:p>
        </w:tc>
        <w:tc>
          <w:tcPr>
            <w:tcW w:w="1417" w:type="dxa"/>
            <w:vAlign w:val="center"/>
          </w:tcPr>
          <w:p w14:paraId="366E52B0">
            <w:pPr>
              <w:pStyle w:val="133"/>
              <w:rPr>
                <w:b/>
                <w:bCs/>
              </w:rPr>
            </w:pPr>
            <w:r>
              <w:rPr>
                <w:rFonts w:hint="eastAsia"/>
                <w:b/>
                <w:bCs/>
              </w:rPr>
              <w:t>机械类型</w:t>
            </w:r>
          </w:p>
        </w:tc>
        <w:tc>
          <w:tcPr>
            <w:tcW w:w="1232" w:type="dxa"/>
            <w:vAlign w:val="center"/>
          </w:tcPr>
          <w:p w14:paraId="416701C1">
            <w:pPr>
              <w:pStyle w:val="133"/>
              <w:rPr>
                <w:b/>
                <w:bCs/>
              </w:rPr>
            </w:pPr>
            <w:r>
              <w:rPr>
                <w:rFonts w:hint="eastAsia"/>
                <w:b/>
                <w:bCs/>
              </w:rPr>
              <w:t>噪声源强</w:t>
            </w:r>
          </w:p>
        </w:tc>
      </w:tr>
      <w:tr w14:paraId="5266D0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Align w:val="center"/>
          </w:tcPr>
          <w:p w14:paraId="508C4412">
            <w:pPr>
              <w:pStyle w:val="133"/>
            </w:pPr>
            <w:r>
              <w:rPr>
                <w:rFonts w:hint="eastAsia"/>
              </w:rPr>
              <w:t>挖掘机</w:t>
            </w:r>
          </w:p>
        </w:tc>
        <w:tc>
          <w:tcPr>
            <w:tcW w:w="1418" w:type="dxa"/>
            <w:vAlign w:val="center"/>
          </w:tcPr>
          <w:p w14:paraId="301C5103">
            <w:pPr>
              <w:pStyle w:val="133"/>
            </w:pPr>
            <w:r>
              <w:rPr>
                <w:rFonts w:hint="eastAsia"/>
              </w:rPr>
              <w:t>84</w:t>
            </w:r>
          </w:p>
        </w:tc>
        <w:tc>
          <w:tcPr>
            <w:tcW w:w="1417" w:type="dxa"/>
            <w:vAlign w:val="center"/>
          </w:tcPr>
          <w:p w14:paraId="495CBE33">
            <w:pPr>
              <w:pStyle w:val="133"/>
            </w:pPr>
            <w:r>
              <w:rPr>
                <w:rFonts w:hint="eastAsia"/>
              </w:rPr>
              <w:t>混凝土搅拌机</w:t>
            </w:r>
          </w:p>
        </w:tc>
        <w:tc>
          <w:tcPr>
            <w:tcW w:w="1418" w:type="dxa"/>
            <w:vAlign w:val="center"/>
          </w:tcPr>
          <w:p w14:paraId="05F989C4">
            <w:pPr>
              <w:pStyle w:val="133"/>
            </w:pPr>
            <w:r>
              <w:rPr>
                <w:rFonts w:hint="eastAsia"/>
              </w:rPr>
              <w:t>82</w:t>
            </w:r>
          </w:p>
        </w:tc>
        <w:tc>
          <w:tcPr>
            <w:tcW w:w="1417" w:type="dxa"/>
            <w:vAlign w:val="center"/>
          </w:tcPr>
          <w:p w14:paraId="5126D282">
            <w:pPr>
              <w:pStyle w:val="133"/>
            </w:pPr>
            <w:r>
              <w:rPr>
                <w:rFonts w:hint="eastAsia"/>
              </w:rPr>
              <w:t>轮式装载机</w:t>
            </w:r>
          </w:p>
        </w:tc>
        <w:tc>
          <w:tcPr>
            <w:tcW w:w="1232" w:type="dxa"/>
            <w:vAlign w:val="center"/>
          </w:tcPr>
          <w:p w14:paraId="5966A8CE">
            <w:pPr>
              <w:pStyle w:val="133"/>
            </w:pPr>
            <w:r>
              <w:rPr>
                <w:rFonts w:hint="eastAsia"/>
              </w:rPr>
              <w:t>90</w:t>
            </w:r>
          </w:p>
        </w:tc>
      </w:tr>
      <w:tr w14:paraId="78E0D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Align w:val="center"/>
          </w:tcPr>
          <w:p w14:paraId="4D47C402">
            <w:pPr>
              <w:pStyle w:val="133"/>
            </w:pPr>
            <w:r>
              <w:rPr>
                <w:rFonts w:hint="eastAsia"/>
              </w:rPr>
              <w:t>推土机</w:t>
            </w:r>
          </w:p>
        </w:tc>
        <w:tc>
          <w:tcPr>
            <w:tcW w:w="1418" w:type="dxa"/>
            <w:vAlign w:val="center"/>
          </w:tcPr>
          <w:p w14:paraId="5537594A">
            <w:pPr>
              <w:pStyle w:val="133"/>
            </w:pPr>
            <w:r>
              <w:rPr>
                <w:rFonts w:hint="eastAsia"/>
              </w:rPr>
              <w:t>84</w:t>
            </w:r>
          </w:p>
        </w:tc>
        <w:tc>
          <w:tcPr>
            <w:tcW w:w="1417" w:type="dxa"/>
            <w:vAlign w:val="center"/>
          </w:tcPr>
          <w:p w14:paraId="4769608C">
            <w:pPr>
              <w:pStyle w:val="133"/>
            </w:pPr>
            <w:r>
              <w:rPr>
                <w:rFonts w:hint="eastAsia"/>
              </w:rPr>
              <w:t>重型载重汽车</w:t>
            </w:r>
          </w:p>
        </w:tc>
        <w:tc>
          <w:tcPr>
            <w:tcW w:w="1418" w:type="dxa"/>
            <w:vAlign w:val="center"/>
          </w:tcPr>
          <w:p w14:paraId="30A9AD95">
            <w:pPr>
              <w:pStyle w:val="133"/>
            </w:pPr>
            <w:r>
              <w:rPr>
                <w:rFonts w:hint="eastAsia"/>
              </w:rPr>
              <w:t>82</w:t>
            </w:r>
          </w:p>
        </w:tc>
        <w:tc>
          <w:tcPr>
            <w:tcW w:w="1417" w:type="dxa"/>
            <w:vAlign w:val="center"/>
          </w:tcPr>
          <w:p w14:paraId="7874F4FB">
            <w:pPr>
              <w:pStyle w:val="133"/>
            </w:pPr>
            <w:r>
              <w:rPr>
                <w:rFonts w:hint="eastAsia"/>
              </w:rPr>
              <w:t>混凝土泵</w:t>
            </w:r>
          </w:p>
        </w:tc>
        <w:tc>
          <w:tcPr>
            <w:tcW w:w="1232" w:type="dxa"/>
            <w:vAlign w:val="center"/>
          </w:tcPr>
          <w:p w14:paraId="39E748CE">
            <w:pPr>
              <w:pStyle w:val="133"/>
            </w:pPr>
            <w:r>
              <w:rPr>
                <w:rFonts w:hint="eastAsia"/>
              </w:rPr>
              <w:t>85</w:t>
            </w:r>
          </w:p>
        </w:tc>
      </w:tr>
      <w:tr w14:paraId="42EA29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 w:type="dxa"/>
            <w:vAlign w:val="center"/>
          </w:tcPr>
          <w:p w14:paraId="64CAAD85">
            <w:pPr>
              <w:pStyle w:val="133"/>
            </w:pPr>
            <w:r>
              <w:rPr>
                <w:rFonts w:hint="eastAsia"/>
              </w:rPr>
              <w:t>重型碾压机</w:t>
            </w:r>
          </w:p>
        </w:tc>
        <w:tc>
          <w:tcPr>
            <w:tcW w:w="1418" w:type="dxa"/>
            <w:vAlign w:val="center"/>
          </w:tcPr>
          <w:p w14:paraId="4E6FB28A">
            <w:pPr>
              <w:pStyle w:val="133"/>
            </w:pPr>
            <w:r>
              <w:rPr>
                <w:rFonts w:hint="eastAsia"/>
              </w:rPr>
              <w:t>86</w:t>
            </w:r>
          </w:p>
        </w:tc>
        <w:tc>
          <w:tcPr>
            <w:tcW w:w="1417" w:type="dxa"/>
            <w:vAlign w:val="center"/>
          </w:tcPr>
          <w:p w14:paraId="2E212F33">
            <w:pPr>
              <w:pStyle w:val="133"/>
            </w:pPr>
            <w:r>
              <w:rPr>
                <w:rFonts w:hint="eastAsia"/>
              </w:rPr>
              <w:t>打桩机</w:t>
            </w:r>
          </w:p>
        </w:tc>
        <w:tc>
          <w:tcPr>
            <w:tcW w:w="1418" w:type="dxa"/>
            <w:vAlign w:val="center"/>
          </w:tcPr>
          <w:p w14:paraId="4A1C93EA">
            <w:pPr>
              <w:pStyle w:val="133"/>
            </w:pPr>
            <w:r>
              <w:rPr>
                <w:rFonts w:hint="eastAsia"/>
              </w:rPr>
              <w:t>102</w:t>
            </w:r>
          </w:p>
        </w:tc>
        <w:tc>
          <w:tcPr>
            <w:tcW w:w="1417" w:type="dxa"/>
            <w:vAlign w:val="center"/>
          </w:tcPr>
          <w:p w14:paraId="4563506C">
            <w:pPr>
              <w:pStyle w:val="133"/>
            </w:pPr>
            <w:r>
              <w:rPr>
                <w:rFonts w:hint="eastAsia"/>
              </w:rPr>
              <w:t>电锯</w:t>
            </w:r>
          </w:p>
        </w:tc>
        <w:tc>
          <w:tcPr>
            <w:tcW w:w="1232" w:type="dxa"/>
            <w:vAlign w:val="center"/>
          </w:tcPr>
          <w:p w14:paraId="0E1125F7">
            <w:pPr>
              <w:pStyle w:val="133"/>
            </w:pPr>
            <w:r>
              <w:rPr>
                <w:rFonts w:hint="eastAsia"/>
              </w:rPr>
              <w:t>100</w:t>
            </w:r>
          </w:p>
        </w:tc>
      </w:tr>
    </w:tbl>
    <w:p w14:paraId="2C4068FD">
      <w:pPr>
        <w:pStyle w:val="133"/>
      </w:pPr>
    </w:p>
    <w:p w14:paraId="3E0873D9">
      <w:pPr>
        <w:pStyle w:val="138"/>
        <w:rPr>
          <w:rFonts w:hint="eastAsia"/>
        </w:rPr>
      </w:pPr>
      <w:r>
        <w:rPr>
          <w:rFonts w:hint="eastAsia"/>
        </w:rPr>
        <w:t>固体废物</w:t>
      </w:r>
    </w:p>
    <w:p w14:paraId="65511FAD">
      <w:pPr>
        <w:pStyle w:val="117"/>
        <w:ind w:firstLine="480"/>
      </w:pPr>
      <w:r>
        <w:t>建设期</w:t>
      </w:r>
      <w:r>
        <w:rPr>
          <w:rFonts w:hint="eastAsia"/>
        </w:rPr>
        <w:t>产生的固体废物</w:t>
      </w:r>
      <w:r>
        <w:t>主要为建筑垃圾、生活垃圾。在</w:t>
      </w:r>
      <w:r>
        <w:rPr>
          <w:rFonts w:hint="eastAsia"/>
        </w:rPr>
        <w:t>废气治理设施和排水管网铺设</w:t>
      </w:r>
      <w:r>
        <w:t>过程中产生的建筑垃圾，</w:t>
      </w:r>
      <w:r>
        <w:rPr>
          <w:rFonts w:hint="eastAsia"/>
        </w:rPr>
        <w:t>主要成分</w:t>
      </w:r>
      <w:r>
        <w:t>以废混凝土、废木料、废钢材等惰性材料为主。根据相关资料，建造过程中建筑垃圾产生量通常在20～50kg/m</w:t>
      </w:r>
      <w:r>
        <w:rPr>
          <w:vertAlign w:val="superscript"/>
        </w:rPr>
        <w:t>2</w:t>
      </w:r>
      <w:r>
        <w:t>之间，具体产生量与设计方案、工人素质和建筑材料使用管理水平有关。</w:t>
      </w:r>
      <w:r>
        <w:rPr>
          <w:rFonts w:hint="eastAsia"/>
        </w:rPr>
        <w:t>本项目建筑面积约10.1万m</w:t>
      </w:r>
      <w:r>
        <w:rPr>
          <w:rFonts w:hint="eastAsia"/>
          <w:vertAlign w:val="superscript"/>
        </w:rPr>
        <w:t>2</w:t>
      </w:r>
      <w:r>
        <w:rPr>
          <w:rFonts w:hint="eastAsia"/>
        </w:rPr>
        <w:t>，</w:t>
      </w:r>
      <w:r>
        <w:t>建筑垃圾产生量按35kg/m</w:t>
      </w:r>
      <w:r>
        <w:rPr>
          <w:vertAlign w:val="superscript"/>
        </w:rPr>
        <w:t>2</w:t>
      </w:r>
      <w:r>
        <w:t>进行计算，则产生量约为</w:t>
      </w:r>
      <w:r>
        <w:rPr>
          <w:rFonts w:hint="eastAsia"/>
        </w:rPr>
        <w:t>3535</w:t>
      </w:r>
      <w:r>
        <w:t>t。建筑垃圾通过分类集中堆存、回收利用，可回收利用部分的材料回收处理，剩余部分统一收集后清运至</w:t>
      </w:r>
      <w:r>
        <w:rPr>
          <w:rFonts w:hint="eastAsia"/>
        </w:rPr>
        <w:t>哈密市</w:t>
      </w:r>
      <w:r>
        <w:t>建筑垃圾填埋场处置。</w:t>
      </w:r>
    </w:p>
    <w:p w14:paraId="74391380">
      <w:pPr>
        <w:pStyle w:val="117"/>
        <w:ind w:firstLine="480"/>
      </w:pPr>
      <w:r>
        <w:t>项目施工期间施工人员约</w:t>
      </w:r>
      <w:r>
        <w:rPr>
          <w:rFonts w:hint="eastAsia"/>
        </w:rPr>
        <w:t>200</w:t>
      </w:r>
      <w:r>
        <w:t>人，</w:t>
      </w:r>
      <w:r>
        <w:rPr>
          <w:rFonts w:hint="eastAsia"/>
        </w:rPr>
        <w:t>平均</w:t>
      </w:r>
      <w:r>
        <w:t>每人每天产生垃圾量按1kg计算，施工人员产生的生活垃圾约为</w:t>
      </w:r>
      <w:r>
        <w:rPr>
          <w:rFonts w:hint="eastAsia"/>
        </w:rPr>
        <w:t>200</w:t>
      </w:r>
      <w:r>
        <w:t>kg/d，</w:t>
      </w:r>
      <w:r>
        <w:rPr>
          <w:rFonts w:hint="eastAsia"/>
        </w:rPr>
        <w:t>有效</w:t>
      </w:r>
      <w:r>
        <w:t>施工期约</w:t>
      </w:r>
      <w:r>
        <w:rPr>
          <w:rFonts w:hint="eastAsia"/>
        </w:rPr>
        <w:t>16</w:t>
      </w:r>
      <w:r>
        <w:t>个月</w:t>
      </w:r>
      <w:r>
        <w:rPr>
          <w:rFonts w:hint="eastAsia"/>
        </w:rPr>
        <w:t>，480</w:t>
      </w:r>
      <w:r>
        <w:t>天，生活垃圾总产生量为</w:t>
      </w:r>
      <w:r>
        <w:rPr>
          <w:rFonts w:hint="eastAsia"/>
        </w:rPr>
        <w:t>96</w:t>
      </w:r>
      <w:r>
        <w:t>t。生活垃圾分类后，能利用的利用，不能利用的收集于垃圾桶内，委托</w:t>
      </w:r>
      <w:r>
        <w:rPr>
          <w:rFonts w:hint="eastAsia"/>
        </w:rPr>
        <w:t>园区</w:t>
      </w:r>
      <w:r>
        <w:t>环卫部门清运处理。</w:t>
      </w:r>
    </w:p>
    <w:bookmarkEnd w:id="271"/>
    <w:p w14:paraId="4CAE05AB">
      <w:pPr>
        <w:pStyle w:val="3"/>
      </w:pPr>
      <w:bookmarkStart w:id="364" w:name="_Toc138688452"/>
      <w:bookmarkStart w:id="365" w:name="_Toc205291383"/>
      <w:bookmarkStart w:id="366" w:name="_Toc138688454"/>
      <w:r>
        <w:rPr>
          <w:rFonts w:hint="eastAsia"/>
        </w:rPr>
        <w:t>碳排放分析</w:t>
      </w:r>
      <w:bookmarkEnd w:id="364"/>
      <w:bookmarkEnd w:id="365"/>
    </w:p>
    <w:p w14:paraId="4B1C47D0">
      <w:pPr>
        <w:pStyle w:val="138"/>
        <w:rPr>
          <w:rFonts w:hint="eastAsia"/>
        </w:rPr>
      </w:pPr>
      <w:r>
        <w:rPr>
          <w:rFonts w:hint="eastAsia"/>
        </w:rPr>
        <w:t>碳排放核算</w:t>
      </w:r>
    </w:p>
    <w:p w14:paraId="16FBD679">
      <w:pPr>
        <w:pStyle w:val="117"/>
        <w:ind w:firstLine="480"/>
      </w:pPr>
      <w:r>
        <w:rPr>
          <w:rFonts w:hint="eastAsia"/>
        </w:rPr>
        <w:t>本项目碳排放核算参照《温室气体排放核算与报告要求 第3部分：镁冶炼企业》（</w:t>
      </w:r>
      <w:r>
        <w:t>GB/T32151.</w:t>
      </w:r>
      <w:r>
        <w:rPr>
          <w:rFonts w:hint="eastAsia"/>
        </w:rPr>
        <w:t>3</w:t>
      </w:r>
      <w:r>
        <w:t>-2015</w:t>
      </w:r>
      <w:r>
        <w:rPr>
          <w:rFonts w:hint="eastAsia"/>
        </w:rPr>
        <w:t>）。</w:t>
      </w:r>
    </w:p>
    <w:p w14:paraId="565FA69D">
      <w:pPr>
        <w:pStyle w:val="117"/>
        <w:ind w:firstLine="480"/>
      </w:pPr>
      <w:r>
        <w:rPr>
          <w:rFonts w:hint="eastAsia"/>
        </w:rPr>
        <w:t>镁冶炼企业的温室气体排放总量等于企业边界内所有生产系统的化石燃料燃烧排放量、能源作为原材料用途的排放量、过程排放量，以及企业购入的电力、热力消费的排放量之和，同时扣除输出的电力、热力所对应的排放量。</w:t>
      </w:r>
    </w:p>
    <w:p w14:paraId="2E87B9E4">
      <w:pPr>
        <w:pStyle w:val="117"/>
        <w:ind w:firstLine="480"/>
        <w:rPr>
          <w:lang w:val="en-GB"/>
        </w:rPr>
      </w:pPr>
      <w:r>
        <w:rPr>
          <w:rFonts w:hint="eastAsia"/>
          <w:lang w:val="en-GB"/>
        </w:rPr>
        <w:t>（1）</w:t>
      </w:r>
      <w:r>
        <w:rPr>
          <w:kern w:val="2"/>
          <w:szCs w:val="20"/>
        </w:rPr>
        <w:t>燃料燃烧二氧化碳</w:t>
      </w:r>
      <w:r>
        <w:rPr>
          <w:rFonts w:hint="eastAsia"/>
          <w:kern w:val="2"/>
          <w:szCs w:val="20"/>
        </w:rPr>
        <w:t>（</w:t>
      </w:r>
      <w:r>
        <w:rPr>
          <w:kern w:val="2"/>
          <w:szCs w:val="20"/>
        </w:rPr>
        <w:t>CO</w:t>
      </w:r>
      <w:r>
        <w:rPr>
          <w:kern w:val="2"/>
          <w:szCs w:val="20"/>
          <w:vertAlign w:val="subscript"/>
        </w:rPr>
        <w:t>2</w:t>
      </w:r>
      <w:r>
        <w:rPr>
          <w:rFonts w:hint="eastAsia"/>
          <w:kern w:val="2"/>
          <w:szCs w:val="20"/>
        </w:rPr>
        <w:t>）</w:t>
      </w:r>
      <w:r>
        <w:rPr>
          <w:kern w:val="2"/>
          <w:szCs w:val="20"/>
        </w:rPr>
        <w:t>排放</w:t>
      </w:r>
    </w:p>
    <w:p w14:paraId="27F3260A">
      <w:pPr>
        <w:pStyle w:val="117"/>
        <w:ind w:firstLine="480"/>
        <w:rPr>
          <w:lang w:val="en-GB"/>
        </w:rPr>
      </w:pPr>
      <w:r>
        <w:rPr>
          <w:rFonts w:hint="eastAsia"/>
          <w:lang w:val="en-GB"/>
        </w:rPr>
        <w:t>燃料燃烧导致的二氧化碳排放量是企业核算和报告年度内各种燃料燃烧产生的二氧化碳排放量的加总，按下式计算：</w:t>
      </w:r>
    </w:p>
    <w:p w14:paraId="360708AD">
      <w:pPr>
        <w:pStyle w:val="117"/>
        <w:ind w:firstLine="480"/>
        <w:rPr>
          <w:iCs/>
        </w:rPr>
      </w:pPr>
      <m:oMathPara>
        <m:oMath>
          <m:sSub>
            <m:sSubPr>
              <m:ctrlPr>
                <w:rPr>
                  <w:rFonts w:ascii="Cambria Math" w:hAnsi="Cambria Math"/>
                  <w:iCs/>
                </w:rPr>
              </m:ctrlPr>
            </m:sSubPr>
            <m:e>
              <m:r>
                <m:rPr>
                  <m:sty m:val="p"/>
                </m:rPr>
                <w:rPr>
                  <w:rFonts w:ascii="Cambria Math" w:hAnsi="Cambria Math"/>
                </w:rPr>
                <m:t>E</m:t>
              </m:r>
              <m:ctrlPr>
                <w:rPr>
                  <w:rFonts w:ascii="Cambria Math" w:hAnsi="Cambria Math"/>
                  <w:iCs/>
                </w:rPr>
              </m:ctrlPr>
            </m:e>
            <m:sub>
              <m:r>
                <m:rPr>
                  <m:sty m:val="p"/>
                </m:rPr>
                <w:rPr>
                  <w:rFonts w:ascii="Cambria Math" w:hAnsi="Cambria Math"/>
                </w:rPr>
                <m:t>燃烧</m:t>
              </m:r>
              <m:ctrlPr>
                <w:rPr>
                  <w:rFonts w:ascii="Cambria Math" w:hAnsi="Cambria Math"/>
                  <w:iCs/>
                </w:rPr>
              </m:ctrlPr>
            </m:sub>
          </m:sSub>
          <m:r>
            <m:rPr>
              <m:sty m:val="p"/>
            </m:rPr>
            <w:rPr>
              <w:rFonts w:ascii="Cambria Math" w:hAnsi="Cambria Math"/>
            </w:rPr>
            <m:t>=</m:t>
          </m:r>
          <m:nary>
            <m:naryPr>
              <m:chr m:val="∑"/>
              <m:limLoc m:val="undOvr"/>
              <m:ctrlPr>
                <w:rPr>
                  <w:rFonts w:ascii="Cambria Math" w:hAnsi="Cambria Math"/>
                  <w:iCs/>
                </w:rPr>
              </m:ctrlPr>
            </m:naryPr>
            <m:sub>
              <m:r>
                <m:rPr>
                  <m:sty m:val="p"/>
                </m:rPr>
                <w:rPr>
                  <w:rFonts w:hint="eastAsia" w:ascii="Cambria Math" w:hAnsi="Cambria Math"/>
                </w:rPr>
                <m:t>i</m:t>
              </m:r>
              <m:r>
                <m:rPr>
                  <m:sty m:val="p"/>
                </m:rPr>
                <w:rPr>
                  <w:rFonts w:ascii="Cambria Math" w:hAnsi="Cambria Math"/>
                </w:rPr>
                <m:t>=1</m:t>
              </m:r>
              <m:ctrlPr>
                <w:rPr>
                  <w:rFonts w:ascii="Cambria Math" w:hAnsi="Cambria Math"/>
                  <w:iCs/>
                </w:rPr>
              </m:ctrlPr>
            </m:sub>
            <m:sup>
              <m:r>
                <m:rPr>
                  <m:sty m:val="p"/>
                </m:rPr>
                <w:rPr>
                  <w:rFonts w:hint="eastAsia" w:ascii="Cambria Math" w:hAnsi="Cambria Math"/>
                </w:rPr>
                <m:t>n</m:t>
              </m:r>
              <m:ctrlPr>
                <w:rPr>
                  <w:rFonts w:ascii="Cambria Math" w:hAnsi="Cambria Math"/>
                  <w:iCs/>
                </w:rPr>
              </m:ctrlPr>
            </m:sup>
            <m:e>
              <m:r>
                <m:rPr>
                  <m:sty m:val="p"/>
                </m:rPr>
                <w:rPr>
                  <w:rFonts w:hint="eastAsia" w:ascii="Cambria Math" w:hAnsi="Cambria Math"/>
                </w:rPr>
                <m:t>（</m:t>
              </m:r>
              <m:r>
                <m:rPr>
                  <m:sty m:val="p"/>
                </m:rPr>
                <w:rPr>
                  <w:rFonts w:ascii="Cambria Math" w:hAnsi="Cambria Math"/>
                </w:rPr>
                <m:t>AD</m:t>
              </m:r>
              <m:r>
                <m:rPr>
                  <m:sty m:val="p"/>
                </m:rPr>
                <w:rPr>
                  <w:rFonts w:hint="eastAsia" w:ascii="Cambria Math" w:hAnsi="Cambria Math"/>
                  <w:vertAlign w:val="subscript"/>
                </w:rPr>
                <m:t>i</m:t>
              </m:r>
              <m:r>
                <m:rPr>
                  <m:sty m:val="p"/>
                </m:rPr>
                <w:rPr>
                  <w:rFonts w:hint="eastAsia" w:ascii="Cambria Math" w:hAnsi="Cambria Math"/>
                </w:rPr>
                <m:t>×</m:t>
              </m:r>
              <m:r>
                <m:rPr>
                  <m:sty m:val="p"/>
                </m:rPr>
                <w:rPr>
                  <w:rFonts w:ascii="Cambria Math" w:hAnsi="Cambria Math"/>
                </w:rPr>
                <m:t>EF</m:t>
              </m:r>
              <m:r>
                <m:rPr>
                  <m:sty m:val="p"/>
                </m:rPr>
                <w:rPr>
                  <w:rFonts w:hint="eastAsia" w:ascii="Cambria Math" w:hAnsi="Cambria Math"/>
                  <w:vertAlign w:val="subscript"/>
                </w:rPr>
                <m:t>i</m:t>
              </m:r>
              <m:r>
                <m:rPr>
                  <m:sty m:val="p"/>
                </m:rPr>
                <w:rPr>
                  <w:rFonts w:hint="eastAsia" w:ascii="Cambria Math" w:hAnsi="Cambria Math"/>
                </w:rPr>
                <m:t>）</m:t>
              </m:r>
              <m:ctrlPr>
                <w:rPr>
                  <w:rFonts w:ascii="Cambria Math" w:hAnsi="Cambria Math"/>
                  <w:iCs/>
                </w:rPr>
              </m:ctrlPr>
            </m:e>
          </m:nary>
        </m:oMath>
      </m:oMathPara>
    </w:p>
    <w:p w14:paraId="46E4B3C8">
      <w:pPr>
        <w:pStyle w:val="117"/>
        <w:ind w:firstLine="0" w:firstLineChars="0"/>
      </w:pPr>
      <w:r>
        <w:rPr>
          <w:rFonts w:hint="eastAsia"/>
        </w:rPr>
        <w:t>式中：</w:t>
      </w:r>
    </w:p>
    <w:p w14:paraId="4ED1DED1">
      <w:pPr>
        <w:pStyle w:val="117"/>
        <w:ind w:firstLine="480"/>
      </w:pPr>
      <w:r>
        <w:rPr>
          <w:rFonts w:hint="eastAsia"/>
        </w:rPr>
        <w:t>E－燃烧核算和报告年度内化石燃料燃烧产生的二氧化碳排放量，单位为吨二氧化碳（tC</w:t>
      </w:r>
      <w:r>
        <w:t>O</w:t>
      </w:r>
      <w:r>
        <w:rPr>
          <w:rFonts w:hint="eastAsia"/>
          <w:vertAlign w:val="subscript"/>
        </w:rPr>
        <w:t>2</w:t>
      </w:r>
      <w:r>
        <w:rPr>
          <w:rFonts w:hint="eastAsia"/>
        </w:rPr>
        <w:t>）；</w:t>
      </w:r>
    </w:p>
    <w:p w14:paraId="645DC5A0">
      <w:pPr>
        <w:pStyle w:val="117"/>
        <w:ind w:firstLine="480"/>
      </w:pPr>
      <w:r>
        <w:rPr>
          <w:rFonts w:hint="eastAsia"/>
        </w:rPr>
        <w:t>A</w:t>
      </w:r>
      <w:r>
        <w:t>D</w:t>
      </w:r>
      <w:r>
        <w:rPr>
          <w:rFonts w:hint="eastAsia"/>
          <w:vertAlign w:val="subscript"/>
        </w:rPr>
        <w:t>i</w:t>
      </w:r>
      <w:r>
        <w:t>-</w:t>
      </w:r>
      <w:r>
        <w:rPr>
          <w:rFonts w:hint="eastAsia"/>
        </w:rPr>
        <w:t>核算和报告年度内第t种化石燃料的活动数据，单位为吉焦（GJ）；</w:t>
      </w:r>
    </w:p>
    <w:p w14:paraId="7C7372D3">
      <w:pPr>
        <w:pStyle w:val="117"/>
        <w:ind w:firstLine="480"/>
        <w:rPr>
          <w:rFonts w:cs="Times New Roman"/>
        </w:rPr>
      </w:pPr>
      <w:r>
        <w:rPr>
          <w:rFonts w:hint="eastAsia"/>
        </w:rPr>
        <w:t>EF</w:t>
      </w:r>
      <w:r>
        <w:rPr>
          <w:rFonts w:hint="eastAsia"/>
          <w:vertAlign w:val="subscript"/>
        </w:rPr>
        <w:t>i</w:t>
      </w:r>
      <w:r>
        <w:t>-</w:t>
      </w:r>
      <w:r>
        <w:rPr>
          <w:rFonts w:hint="eastAsia"/>
        </w:rPr>
        <w:t>第i种化石燃料的二氧化碳排放因子，单位为吨二氧化碳每吉焦</w:t>
      </w:r>
      <w:r>
        <w:rPr>
          <w:rFonts w:cs="Times New Roman"/>
        </w:rPr>
        <w:t>（tCO</w:t>
      </w:r>
      <w:r>
        <w:rPr>
          <w:rFonts w:cs="Times New Roman"/>
          <w:vertAlign w:val="subscript"/>
        </w:rPr>
        <w:t>2</w:t>
      </w:r>
      <w:r>
        <w:rPr>
          <w:rFonts w:cs="Times New Roman"/>
        </w:rPr>
        <w:t>/GJ）；</w:t>
      </w:r>
    </w:p>
    <w:p w14:paraId="7408F179">
      <w:pPr>
        <w:pStyle w:val="117"/>
        <w:ind w:firstLine="480"/>
      </w:pPr>
      <w:r>
        <w:rPr>
          <w:rFonts w:hint="eastAsia"/>
        </w:rPr>
        <w:t>i</w:t>
      </w:r>
      <w:r>
        <w:t>-</w:t>
      </w:r>
      <w:r>
        <w:rPr>
          <w:rFonts w:hint="eastAsia"/>
        </w:rPr>
        <w:t>化石燃料类型代号。</w:t>
      </w:r>
    </w:p>
    <w:p w14:paraId="1624B3A8">
      <w:pPr>
        <w:pStyle w:val="117"/>
        <w:ind w:firstLine="480"/>
        <w:rPr>
          <w:lang w:val="en-GB"/>
        </w:rPr>
      </w:pPr>
      <w:r>
        <w:rPr>
          <w:rFonts w:hint="eastAsia"/>
          <w:lang w:val="en-GB"/>
        </w:rPr>
        <w:t>其中，燃料燃烧的二氧化碳排放因子按下式计算：</w:t>
      </w:r>
    </w:p>
    <w:p w14:paraId="190D01E2">
      <w:pPr>
        <w:pStyle w:val="117"/>
        <w:ind w:firstLine="480"/>
        <w:rPr>
          <w:rFonts w:cs="Times New Roman"/>
          <w:lang w:val="en-GB"/>
        </w:rPr>
      </w:pPr>
      <w:r>
        <w:rPr>
          <w:rFonts w:cs="Times New Roman"/>
          <w:lang w:val="en-GB"/>
        </w:rPr>
        <w:t>EFi=CC</w:t>
      </w:r>
      <w:r>
        <w:rPr>
          <w:rFonts w:cs="Times New Roman"/>
          <w:vertAlign w:val="subscript"/>
          <w:lang w:val="en-GB"/>
        </w:rPr>
        <w:t>i</w:t>
      </w:r>
      <w:r>
        <w:rPr>
          <w:rFonts w:cs="Times New Roman"/>
          <w:lang w:val="en-GB"/>
        </w:rPr>
        <w:t>×OF</w:t>
      </w:r>
      <w:r>
        <w:rPr>
          <w:rFonts w:cs="Times New Roman"/>
          <w:vertAlign w:val="subscript"/>
          <w:lang w:val="en-GB"/>
        </w:rPr>
        <w:t>i</w:t>
      </w:r>
      <w:r>
        <w:rPr>
          <w:rFonts w:cs="Times New Roman"/>
          <w:lang w:val="en-GB"/>
        </w:rPr>
        <w:t>×</w:t>
      </w:r>
      <m:oMath>
        <m:f>
          <m:fPr>
            <m:ctrlPr>
              <w:rPr>
                <w:rFonts w:ascii="Cambria Math" w:hAnsi="Cambria Math" w:cs="Times New Roman"/>
                <w:i/>
                <w:lang w:val="en-GB"/>
              </w:rPr>
            </m:ctrlPr>
          </m:fPr>
          <m:num>
            <m:r>
              <m:rPr/>
              <w:rPr>
                <w:rFonts w:ascii="Cambria Math" w:hAnsi="Cambria Math" w:cs="Times New Roman"/>
                <w:lang w:val="en-GB"/>
              </w:rPr>
              <m:t>44</m:t>
            </m:r>
            <m:ctrlPr>
              <w:rPr>
                <w:rFonts w:ascii="Cambria Math" w:hAnsi="Cambria Math" w:cs="Times New Roman"/>
                <w:i/>
                <w:lang w:val="en-GB"/>
              </w:rPr>
            </m:ctrlPr>
          </m:num>
          <m:den>
            <m:r>
              <m:rPr/>
              <w:rPr>
                <w:rFonts w:ascii="Cambria Math" w:hAnsi="Cambria Math" w:cs="Times New Roman"/>
                <w:lang w:val="en-GB"/>
              </w:rPr>
              <m:t>12</m:t>
            </m:r>
            <m:ctrlPr>
              <w:rPr>
                <w:rFonts w:ascii="Cambria Math" w:hAnsi="Cambria Math" w:cs="Times New Roman"/>
                <w:i/>
                <w:lang w:val="en-GB"/>
              </w:rPr>
            </m:ctrlPr>
          </m:den>
        </m:f>
      </m:oMath>
    </w:p>
    <w:p w14:paraId="230E0A61">
      <w:pPr>
        <w:pStyle w:val="117"/>
        <w:ind w:firstLine="0" w:firstLineChars="0"/>
        <w:rPr>
          <w:lang w:val="en-GB"/>
        </w:rPr>
      </w:pPr>
      <w:r>
        <w:rPr>
          <w:rFonts w:hint="eastAsia"/>
          <w:lang w:val="en-GB"/>
        </w:rPr>
        <w:t>式中：</w:t>
      </w:r>
    </w:p>
    <w:p w14:paraId="6CB0E575">
      <w:pPr>
        <w:pStyle w:val="117"/>
        <w:ind w:firstLine="480"/>
        <w:rPr>
          <w:lang w:val="en-GB"/>
        </w:rPr>
      </w:pPr>
      <w:r>
        <w:rPr>
          <w:rFonts w:hint="eastAsia"/>
          <w:lang w:val="en-GB"/>
        </w:rPr>
        <w:t>EF</w:t>
      </w:r>
      <w:r>
        <w:rPr>
          <w:rFonts w:hint="eastAsia"/>
          <w:vertAlign w:val="subscript"/>
          <w:lang w:val="en-GB"/>
        </w:rPr>
        <w:t>i</w:t>
      </w:r>
      <w:r>
        <w:rPr>
          <w:lang w:val="en-GB"/>
        </w:rPr>
        <w:t>-</w:t>
      </w:r>
      <w:r>
        <w:rPr>
          <w:rFonts w:hint="eastAsia"/>
          <w:lang w:val="en-GB"/>
        </w:rPr>
        <w:t>第i种燃料的二氧化碳排放因子，单位为吨二氧化碳每吉焦</w:t>
      </w:r>
      <w:r>
        <w:rPr>
          <w:rFonts w:cs="Times New Roman"/>
        </w:rPr>
        <w:t>（tCO</w:t>
      </w:r>
      <w:r>
        <w:rPr>
          <w:rFonts w:cs="Times New Roman"/>
          <w:vertAlign w:val="subscript"/>
        </w:rPr>
        <w:t>2</w:t>
      </w:r>
      <w:r>
        <w:rPr>
          <w:rFonts w:cs="Times New Roman"/>
        </w:rPr>
        <w:t>/GJ）；</w:t>
      </w:r>
    </w:p>
    <w:p w14:paraId="595F9883">
      <w:pPr>
        <w:pStyle w:val="117"/>
        <w:ind w:firstLine="480"/>
        <w:rPr>
          <w:lang w:val="en-GB"/>
        </w:rPr>
      </w:pPr>
      <w:r>
        <w:rPr>
          <w:rFonts w:hint="eastAsia"/>
          <w:lang w:val="en-GB"/>
        </w:rPr>
        <w:t>CC</w:t>
      </w:r>
      <w:r>
        <w:rPr>
          <w:rFonts w:hint="eastAsia"/>
          <w:vertAlign w:val="subscript"/>
          <w:lang w:val="en-GB"/>
        </w:rPr>
        <w:t>i</w:t>
      </w:r>
      <w:r>
        <w:rPr>
          <w:lang w:val="en-GB"/>
        </w:rPr>
        <w:t>-</w:t>
      </w:r>
      <w:r>
        <w:rPr>
          <w:rFonts w:hint="eastAsia"/>
          <w:lang w:val="en-GB"/>
        </w:rPr>
        <w:t>第i种燃料的单位热值含碳量，单位为吨碳每吉焦（tC/GJ），荒煤气取13.58×</w:t>
      </w:r>
      <w:r>
        <w:rPr>
          <w:lang w:val="en-GB"/>
        </w:rPr>
        <w:t>10</w:t>
      </w:r>
      <w:r>
        <w:rPr>
          <w:vertAlign w:val="superscript"/>
          <w:lang w:val="en-GB"/>
        </w:rPr>
        <w:t>-3</w:t>
      </w:r>
      <w:r>
        <w:rPr>
          <w:rFonts w:hint="eastAsia"/>
          <w:lang w:val="en-GB"/>
        </w:rPr>
        <w:t>、煤粉（褐煤）取28.0×</w:t>
      </w:r>
      <w:r>
        <w:rPr>
          <w:lang w:val="en-GB"/>
        </w:rPr>
        <w:t>10</w:t>
      </w:r>
      <w:r>
        <w:rPr>
          <w:vertAlign w:val="superscript"/>
          <w:lang w:val="en-GB"/>
        </w:rPr>
        <w:t>-3</w:t>
      </w:r>
      <w:r>
        <w:rPr>
          <w:rFonts w:hint="eastAsia"/>
          <w:lang w:val="en-GB"/>
        </w:rPr>
        <w:t>；</w:t>
      </w:r>
    </w:p>
    <w:p w14:paraId="436ABFB8">
      <w:pPr>
        <w:pStyle w:val="117"/>
        <w:ind w:firstLine="480"/>
        <w:rPr>
          <w:lang w:val="en-GB"/>
        </w:rPr>
      </w:pPr>
      <w:r>
        <w:rPr>
          <w:rFonts w:hint="eastAsia"/>
          <w:lang w:val="en-GB"/>
        </w:rPr>
        <w:t>OF</w:t>
      </w:r>
      <w:r>
        <w:rPr>
          <w:rFonts w:hint="eastAsia"/>
          <w:vertAlign w:val="subscript"/>
          <w:lang w:val="en-GB"/>
        </w:rPr>
        <w:t>i</w:t>
      </w:r>
      <w:r>
        <w:rPr>
          <w:lang w:val="en-GB"/>
        </w:rPr>
        <w:t>-</w:t>
      </w:r>
      <w:r>
        <w:rPr>
          <w:rFonts w:hint="eastAsia"/>
          <w:lang w:val="en-GB"/>
        </w:rPr>
        <w:t>第i种化石燃料的碳氧化率，荒煤气取99%、煤粉（褐煤）取96</w:t>
      </w:r>
      <w:r>
        <w:rPr>
          <w:lang w:val="en-GB"/>
        </w:rPr>
        <w:t>%</w:t>
      </w:r>
      <w:r>
        <w:rPr>
          <w:rFonts w:hint="eastAsia"/>
          <w:lang w:val="en-GB"/>
        </w:rPr>
        <w:t>；</w:t>
      </w:r>
    </w:p>
    <w:p w14:paraId="7149BF6C">
      <w:pPr>
        <w:pStyle w:val="117"/>
        <w:ind w:firstLine="480"/>
        <w:rPr>
          <w:lang w:val="en-GB"/>
        </w:rPr>
      </w:pPr>
      <m:oMath>
        <m:f>
          <m:fPr>
            <m:ctrlPr>
              <w:rPr>
                <w:rFonts w:ascii="Cambria Math" w:hAnsi="Cambria Math" w:cs="Times New Roman"/>
                <w:i/>
                <w:lang w:val="en-GB"/>
              </w:rPr>
            </m:ctrlPr>
          </m:fPr>
          <m:num>
            <m:r>
              <m:rPr/>
              <w:rPr>
                <w:rFonts w:ascii="Cambria Math" w:hAnsi="Cambria Math" w:cs="Times New Roman"/>
                <w:lang w:val="en-GB"/>
              </w:rPr>
              <m:t>44</m:t>
            </m:r>
            <m:ctrlPr>
              <w:rPr>
                <w:rFonts w:ascii="Cambria Math" w:hAnsi="Cambria Math" w:cs="Times New Roman"/>
                <w:i/>
                <w:lang w:val="en-GB"/>
              </w:rPr>
            </m:ctrlPr>
          </m:num>
          <m:den>
            <m:r>
              <m:rPr/>
              <w:rPr>
                <w:rFonts w:ascii="Cambria Math" w:hAnsi="Cambria Math" w:cs="Times New Roman"/>
                <w:lang w:val="en-GB"/>
              </w:rPr>
              <m:t>12</m:t>
            </m:r>
            <m:ctrlPr>
              <w:rPr>
                <w:rFonts w:ascii="Cambria Math" w:hAnsi="Cambria Math" w:cs="Times New Roman"/>
                <w:i/>
                <w:lang w:val="en-GB"/>
              </w:rPr>
            </m:ctrlPr>
          </m:den>
        </m:f>
      </m:oMath>
      <w:r>
        <w:rPr>
          <w:rFonts w:hint="eastAsia" w:hAnsi="Cambria Math" w:cs="Times New Roman"/>
          <w:lang w:val="en-GB"/>
        </w:rPr>
        <w:t>－</w:t>
      </w:r>
      <w:r>
        <w:rPr>
          <w:rFonts w:hint="eastAsia"/>
          <w:lang w:val="en-GB"/>
        </w:rPr>
        <w:t>二氧化碳与碳的相对分子质量之比。</w:t>
      </w:r>
    </w:p>
    <w:p w14:paraId="35417A50">
      <w:pPr>
        <w:pStyle w:val="117"/>
        <w:ind w:firstLine="480"/>
        <w:rPr>
          <w:lang w:val="en-GB"/>
        </w:rPr>
      </w:pPr>
      <w:r>
        <w:rPr>
          <w:rFonts w:hint="eastAsia"/>
          <w:lang w:val="en-GB"/>
        </w:rPr>
        <w:t>本项目燃料主要为荒煤气。兰炭生产线煤气消耗量为3.18亿Nm</w:t>
      </w:r>
      <w:r>
        <w:rPr>
          <w:rFonts w:hint="eastAsia"/>
          <w:vertAlign w:val="superscript"/>
          <w:lang w:val="en-GB"/>
        </w:rPr>
        <w:t>3</w:t>
      </w:r>
      <w:r>
        <w:rPr>
          <w:rFonts w:hint="eastAsia"/>
          <w:lang w:val="en-GB"/>
        </w:rPr>
        <w:t>/a，</w:t>
      </w:r>
      <w:r>
        <w:rPr>
          <w:lang w:val="en-GB"/>
        </w:rPr>
        <w:t>根据上</w:t>
      </w:r>
      <w:r>
        <w:rPr>
          <w:rFonts w:hint="eastAsia"/>
          <w:lang w:val="en-GB"/>
        </w:rPr>
        <w:t>述公</w:t>
      </w:r>
      <w:r>
        <w:rPr>
          <w:lang w:val="en-GB"/>
        </w:rPr>
        <w:t>式计算，</w:t>
      </w:r>
      <w:r>
        <w:rPr>
          <w:rFonts w:hint="eastAsia"/>
          <w:lang w:val="en-GB"/>
        </w:rPr>
        <w:t>荒煤气</w:t>
      </w:r>
      <w:r>
        <w:rPr>
          <w:lang w:val="en-GB"/>
        </w:rPr>
        <w:t>燃烧二氧化碳排放量为</w:t>
      </w:r>
      <w:r>
        <w:rPr>
          <w:rFonts w:hint="eastAsia"/>
          <w:lang w:val="en-GB"/>
        </w:rPr>
        <w:t>111499.8</w:t>
      </w:r>
      <w:r>
        <w:rPr>
          <w:lang w:val="en-GB"/>
        </w:rPr>
        <w:t>t/a。</w:t>
      </w:r>
    </w:p>
    <w:p w14:paraId="2BFE0E14">
      <w:pPr>
        <w:pStyle w:val="117"/>
        <w:ind w:firstLine="480"/>
      </w:pPr>
      <w:r>
        <w:rPr>
          <w:rFonts w:hint="eastAsia"/>
        </w:rPr>
        <w:t>（2）能源作为原材料用途的C</w:t>
      </w:r>
      <w:r>
        <w:t>O</w:t>
      </w:r>
      <w:r>
        <w:rPr>
          <w:rFonts w:hint="eastAsia"/>
          <w:vertAlign w:val="subscript"/>
        </w:rPr>
        <w:t>2</w:t>
      </w:r>
      <w:r>
        <w:rPr>
          <w:rFonts w:hint="eastAsia"/>
        </w:rPr>
        <w:t>排放</w:t>
      </w:r>
    </w:p>
    <w:p w14:paraId="4C6EE5E3">
      <w:pPr>
        <w:pStyle w:val="117"/>
        <w:ind w:firstLine="480"/>
        <w:rPr>
          <w:lang w:val="en-GB"/>
        </w:rPr>
      </w:pPr>
      <w:r>
        <w:rPr>
          <w:rFonts w:hint="eastAsia"/>
          <w:lang w:val="en-GB"/>
        </w:rPr>
        <w:t>镁冶炼企业所涉及的能源作为原材料用途的排放主要是厂界内的自有硅铁生产工序消耗兰炭还原剂所导致的二氧化碳排放。</w:t>
      </w:r>
    </w:p>
    <w:p w14:paraId="55762063">
      <w:pPr>
        <w:pStyle w:val="117"/>
        <w:ind w:firstLine="480"/>
        <w:rPr>
          <w:lang w:val="en-GB"/>
        </w:rPr>
      </w:pPr>
      <w:r>
        <w:rPr>
          <w:rFonts w:hint="eastAsia"/>
          <w:lang w:val="en-GB"/>
        </w:rPr>
        <w:t>E</w:t>
      </w:r>
      <w:r>
        <w:rPr>
          <w:rFonts w:hint="eastAsia"/>
          <w:vertAlign w:val="subscript"/>
          <w:lang w:val="en-GB"/>
        </w:rPr>
        <w:t>原材料</w:t>
      </w:r>
      <w:r>
        <w:rPr>
          <w:rFonts w:hint="eastAsia"/>
          <w:lang w:val="en-GB"/>
        </w:rPr>
        <w:t>＝S×EF</w:t>
      </w:r>
      <w:r>
        <w:rPr>
          <w:rFonts w:hint="eastAsia"/>
          <w:vertAlign w:val="subscript"/>
          <w:lang w:val="en-GB"/>
        </w:rPr>
        <w:t>硅铁</w:t>
      </w:r>
    </w:p>
    <w:p w14:paraId="2FC55786">
      <w:pPr>
        <w:pStyle w:val="117"/>
        <w:ind w:firstLine="480"/>
        <w:rPr>
          <w:lang w:val="en-GB"/>
        </w:rPr>
      </w:pPr>
      <w:r>
        <w:rPr>
          <w:rFonts w:hint="eastAsia"/>
          <w:lang w:val="en-GB"/>
        </w:rPr>
        <w:t>E</w:t>
      </w:r>
      <w:r>
        <w:rPr>
          <w:rFonts w:hint="eastAsia"/>
          <w:vertAlign w:val="subscript"/>
          <w:lang w:val="en-GB"/>
        </w:rPr>
        <w:t>原材料－</w:t>
      </w:r>
      <w:r>
        <w:rPr>
          <w:rFonts w:hint="eastAsia"/>
          <w:lang w:val="en-GB"/>
        </w:rPr>
        <w:t>核算和报告年度内，报告主体自有硅铁生产工序消耗兰炭还原剂所导致的二氧化碳排放量，单位为吨二氧化碳（tCO</w:t>
      </w:r>
      <w:r>
        <w:rPr>
          <w:rFonts w:hint="eastAsia"/>
          <w:vertAlign w:val="subscript"/>
          <w:lang w:val="en-GB"/>
        </w:rPr>
        <w:t>2</w:t>
      </w:r>
      <w:r>
        <w:rPr>
          <w:rFonts w:hint="eastAsia"/>
          <w:lang w:val="en-GB"/>
        </w:rPr>
        <w:t>）；</w:t>
      </w:r>
    </w:p>
    <w:p w14:paraId="40BB7630">
      <w:pPr>
        <w:pStyle w:val="117"/>
        <w:ind w:firstLine="480"/>
        <w:rPr>
          <w:lang w:val="en-GB"/>
        </w:rPr>
      </w:pPr>
      <w:r>
        <w:rPr>
          <w:rFonts w:hint="eastAsia"/>
          <w:lang w:val="en-GB"/>
        </w:rPr>
        <w:t>EF</w:t>
      </w:r>
      <w:r>
        <w:rPr>
          <w:rFonts w:hint="eastAsia"/>
          <w:vertAlign w:val="subscript"/>
          <w:lang w:val="en-GB"/>
        </w:rPr>
        <w:t>硅铁</w:t>
      </w:r>
      <w:r>
        <w:rPr>
          <w:rFonts w:hint="eastAsia"/>
          <w:lang w:val="en-GB"/>
        </w:rPr>
        <w:t>-硅铁生产消耗兰炭的二氧化碳排放因子，单位为吨二氧化碳每吨硅铁（tCO</w:t>
      </w:r>
      <w:r>
        <w:rPr>
          <w:rFonts w:hint="eastAsia"/>
          <w:vertAlign w:val="subscript"/>
          <w:lang w:val="en-GB"/>
        </w:rPr>
        <w:t>2</w:t>
      </w:r>
      <w:r>
        <w:rPr>
          <w:rFonts w:hint="eastAsia"/>
          <w:lang w:val="en-GB"/>
        </w:rPr>
        <w:t>/tFeSi），取2.79；</w:t>
      </w:r>
    </w:p>
    <w:p w14:paraId="72B1E65A">
      <w:pPr>
        <w:pStyle w:val="117"/>
        <w:ind w:firstLine="480"/>
        <w:rPr>
          <w:lang w:val="en-GB"/>
        </w:rPr>
      </w:pPr>
      <w:r>
        <w:rPr>
          <w:rFonts w:hint="eastAsia"/>
          <w:lang w:val="en-GB"/>
        </w:rPr>
        <w:t>S-核算和报告年度内报告主体自产的硅铁产量，单位为吨硅铁（tFeSi），产量为5.6万t/a。</w:t>
      </w:r>
    </w:p>
    <w:p w14:paraId="2DDEFF83">
      <w:pPr>
        <w:pStyle w:val="117"/>
        <w:ind w:firstLine="480"/>
        <w:rPr>
          <w:lang w:val="en-GB"/>
        </w:rPr>
      </w:pPr>
      <w:r>
        <w:rPr>
          <w:lang w:val="en-GB"/>
        </w:rPr>
        <w:t>根据上</w:t>
      </w:r>
      <w:r>
        <w:rPr>
          <w:rFonts w:hint="eastAsia"/>
          <w:lang w:val="en-GB"/>
        </w:rPr>
        <w:t>述公</w:t>
      </w:r>
      <w:r>
        <w:rPr>
          <w:lang w:val="en-GB"/>
        </w:rPr>
        <w:t>式计算，</w:t>
      </w:r>
      <w:r>
        <w:rPr>
          <w:rFonts w:hint="eastAsia"/>
        </w:rPr>
        <w:t>能源作为原材料用途的C</w:t>
      </w:r>
      <w:r>
        <w:t>O</w:t>
      </w:r>
      <w:r>
        <w:rPr>
          <w:rFonts w:hint="eastAsia"/>
          <w:vertAlign w:val="subscript"/>
        </w:rPr>
        <w:t>2</w:t>
      </w:r>
      <w:r>
        <w:rPr>
          <w:rFonts w:hint="eastAsia"/>
        </w:rPr>
        <w:t>排放量为156256.7t/a。</w:t>
      </w:r>
    </w:p>
    <w:p w14:paraId="5EFCFEF5">
      <w:pPr>
        <w:pStyle w:val="117"/>
        <w:ind w:firstLine="480"/>
      </w:pPr>
      <w:r>
        <w:rPr>
          <w:rFonts w:hint="eastAsia"/>
        </w:rPr>
        <w:t>（</w:t>
      </w:r>
      <w:r>
        <w:t>3</w:t>
      </w:r>
      <w:r>
        <w:rPr>
          <w:rFonts w:hint="eastAsia"/>
        </w:rPr>
        <w:t>）过程C</w:t>
      </w:r>
      <w:r>
        <w:t>O</w:t>
      </w:r>
      <w:r>
        <w:rPr>
          <w:vertAlign w:val="subscript"/>
        </w:rPr>
        <w:t>2</w:t>
      </w:r>
      <w:r>
        <w:rPr>
          <w:rFonts w:hint="eastAsia"/>
        </w:rPr>
        <w:t>排放</w:t>
      </w:r>
    </w:p>
    <w:p w14:paraId="2ACDE9F4">
      <w:pPr>
        <w:pStyle w:val="117"/>
        <w:ind w:firstLine="480"/>
      </w:pPr>
      <w:r>
        <w:rPr>
          <w:rFonts w:hint="eastAsia"/>
        </w:rPr>
        <w:t>镁冶炼企业所涉及的过程排放主要是白云石焙烧分解所导致的二氧化碳排放。本项目技改不涉及镁合金生产线，本次核算不考虑过程C</w:t>
      </w:r>
      <w:r>
        <w:t>O</w:t>
      </w:r>
      <w:r>
        <w:rPr>
          <w:vertAlign w:val="subscript"/>
        </w:rPr>
        <w:t>2</w:t>
      </w:r>
      <w:r>
        <w:rPr>
          <w:rFonts w:hint="eastAsia"/>
        </w:rPr>
        <w:t>排放。</w:t>
      </w:r>
    </w:p>
    <w:p w14:paraId="3894ED2A">
      <w:pPr>
        <w:pStyle w:val="117"/>
        <w:ind w:firstLine="480"/>
      </w:pPr>
      <w:r>
        <w:rPr>
          <w:rFonts w:hint="eastAsia"/>
        </w:rPr>
        <w:t>（</w:t>
      </w:r>
      <w:r>
        <w:t>4</w:t>
      </w:r>
      <w:r>
        <w:rPr>
          <w:rFonts w:hint="eastAsia"/>
        </w:rPr>
        <w:t>）</w:t>
      </w:r>
      <w:r>
        <w:t>购入电力</w:t>
      </w:r>
      <w:r>
        <w:rPr>
          <w:rFonts w:hint="eastAsia"/>
        </w:rPr>
        <w:t>消费对应的电力生产环境</w:t>
      </w:r>
      <w:r>
        <w:t>的CO</w:t>
      </w:r>
      <w:r>
        <w:rPr>
          <w:vertAlign w:val="subscript"/>
        </w:rPr>
        <w:t>2</w:t>
      </w:r>
      <w:r>
        <w:t>排放</w:t>
      </w:r>
      <w:r>
        <w:rPr>
          <w:rFonts w:hint="eastAsia"/>
        </w:rPr>
        <w:t>量</w:t>
      </w:r>
    </w:p>
    <w:p w14:paraId="445B2E96">
      <w:pPr>
        <w:pStyle w:val="117"/>
        <w:ind w:firstLine="480"/>
      </w:pPr>
      <w:r>
        <w:rPr>
          <w:rFonts w:hint="eastAsia"/>
        </w:rPr>
        <w:t>本项目电力由园区电网提供，购入电力的二氧化碳排放量按照以下公式计算</w:t>
      </w:r>
    </w:p>
    <w:p w14:paraId="79171185">
      <w:pPr>
        <w:pStyle w:val="117"/>
        <w:ind w:firstLine="480"/>
        <w:rPr>
          <w:iCs/>
        </w:rPr>
      </w:pPr>
      <m:oMathPara>
        <m:oMath>
          <m:sSub>
            <m:sSubPr>
              <m:ctrlPr>
                <w:rPr>
                  <w:rFonts w:ascii="Cambria Math" w:hAnsi="Cambria Math"/>
                  <w:iCs/>
                </w:rPr>
              </m:ctrlPr>
            </m:sSubPr>
            <m:e>
              <m:r>
                <m:rPr>
                  <m:sty m:val="p"/>
                </m:rPr>
                <w:rPr>
                  <w:rFonts w:ascii="Cambria Math" w:hAnsi="Cambria Math"/>
                </w:rPr>
                <m:t>E</m:t>
              </m:r>
              <m:ctrlPr>
                <w:rPr>
                  <w:rFonts w:ascii="Cambria Math" w:hAnsi="Cambria Math"/>
                  <w:iCs/>
                </w:rPr>
              </m:ctrlPr>
            </m:e>
            <m:sub>
              <m:r>
                <m:rPr>
                  <m:sty m:val="p"/>
                </m:rPr>
                <w:rPr>
                  <w:rFonts w:hint="eastAsia" w:ascii="Cambria Math" w:hAnsi="Cambria Math"/>
                </w:rPr>
                <m:t>购入电力，i</m:t>
              </m:r>
              <m:r>
                <m:rPr>
                  <m:sty m:val="p"/>
                </m:rPr>
                <w:rPr>
                  <w:rFonts w:ascii="Cambria Math" w:hAnsi="Cambria Math"/>
                </w:rPr>
                <m:t>=</m:t>
              </m:r>
              <m:ctrlPr>
                <w:rPr>
                  <w:rFonts w:ascii="Cambria Math" w:hAnsi="Cambria Math"/>
                  <w:iCs/>
                </w:rPr>
              </m:ctrlPr>
            </m:sub>
          </m:sSub>
          <m:sSub>
            <m:sSubPr>
              <m:ctrlPr>
                <w:rPr>
                  <w:rFonts w:ascii="Cambria Math" w:hAnsi="Cambria Math"/>
                  <w:iCs/>
                </w:rPr>
              </m:ctrlPr>
            </m:sSubPr>
            <m:e>
              <m:r>
                <m:rPr>
                  <m:sty m:val="p"/>
                </m:rPr>
                <w:rPr>
                  <w:rFonts w:ascii="Cambria Math" w:hAnsi="Cambria Math"/>
                </w:rPr>
                <m:t>AD</m:t>
              </m:r>
              <m:ctrlPr>
                <w:rPr>
                  <w:rFonts w:ascii="Cambria Math" w:hAnsi="Cambria Math"/>
                  <w:iCs/>
                </w:rPr>
              </m:ctrlPr>
            </m:e>
            <m:sub>
              <m:r>
                <m:rPr>
                  <m:sty m:val="p"/>
                </m:rPr>
                <w:rPr>
                  <w:rFonts w:hint="eastAsia" w:ascii="Cambria Math" w:hAnsi="Cambria Math"/>
                </w:rPr>
                <m:t>购入电，i</m:t>
              </m:r>
              <m:ctrlPr>
                <w:rPr>
                  <w:rFonts w:ascii="Cambria Math" w:hAnsi="Cambria Math"/>
                  <w:iCs/>
                </w:rPr>
              </m:ctrlP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EF</m:t>
              </m:r>
              <m:ctrlPr>
                <w:rPr>
                  <w:rFonts w:ascii="Cambria Math" w:hAnsi="Cambria Math"/>
                  <w:iCs/>
                </w:rPr>
              </m:ctrlPr>
            </m:e>
            <m:sub>
              <m:r>
                <m:rPr>
                  <m:sty m:val="p"/>
                </m:rPr>
                <w:rPr>
                  <w:rFonts w:hint="eastAsia" w:ascii="Cambria Math" w:hAnsi="Cambria Math"/>
                </w:rPr>
                <m:t>电</m:t>
              </m:r>
              <m:ctrlPr>
                <w:rPr>
                  <w:rFonts w:ascii="Cambria Math" w:hAnsi="Cambria Math"/>
                  <w:iCs/>
                </w:rPr>
              </m:ctrlPr>
            </m:sub>
          </m:sSub>
        </m:oMath>
      </m:oMathPara>
    </w:p>
    <w:p w14:paraId="05082424">
      <w:pPr>
        <w:pStyle w:val="117"/>
        <w:ind w:firstLine="480"/>
      </w:pPr>
      <w:r>
        <w:t>式中：</w:t>
      </w:r>
    </w:p>
    <w:p w14:paraId="245F2045">
      <w:pPr>
        <w:pStyle w:val="117"/>
        <w:ind w:firstLine="480"/>
      </w:pPr>
      <w:r>
        <w:t>E</w:t>
      </w:r>
      <w:r>
        <w:rPr>
          <w:vertAlign w:val="subscript"/>
        </w:rPr>
        <w:t>购入电</w:t>
      </w:r>
      <w:r>
        <w:rPr>
          <w:rFonts w:hint="eastAsia"/>
          <w:vertAlign w:val="subscript"/>
        </w:rPr>
        <w:t>力</w:t>
      </w:r>
      <w:r>
        <w:rPr>
          <w:vertAlign w:val="subscript"/>
        </w:rPr>
        <w:t>，i</w:t>
      </w:r>
      <w:r>
        <w:t>——核算单元i购入电力所产生的二氧化碳排放量，单位为吨二氧化碳（tCO</w:t>
      </w:r>
      <w:r>
        <w:rPr>
          <w:vertAlign w:val="subscript"/>
        </w:rPr>
        <w:t>2</w:t>
      </w:r>
      <w:r>
        <w:t>）；</w:t>
      </w:r>
    </w:p>
    <w:p w14:paraId="7065AA77">
      <w:pPr>
        <w:pStyle w:val="117"/>
        <w:ind w:firstLine="480"/>
      </w:pPr>
      <w:r>
        <w:t>AD</w:t>
      </w:r>
      <w:r>
        <w:rPr>
          <w:vertAlign w:val="subscript"/>
        </w:rPr>
        <w:t>购入电，i</w:t>
      </w:r>
      <w:r>
        <w:t>—— 核算期内核算单元i购入电力，单位为兆瓦时</w:t>
      </w:r>
      <w:r>
        <w:rPr>
          <w:rFonts w:hint="eastAsia"/>
        </w:rPr>
        <w:t>（</w:t>
      </w:r>
      <w:r>
        <w:t>MWh</w:t>
      </w:r>
      <w:r>
        <w:rPr>
          <w:rFonts w:hint="eastAsia"/>
        </w:rPr>
        <w:t>）</w:t>
      </w:r>
      <w:r>
        <w:t>，</w:t>
      </w:r>
      <w:r>
        <w:rPr>
          <w:rFonts w:hint="eastAsia"/>
        </w:rPr>
        <w:t>项目新增</w:t>
      </w:r>
      <w:r>
        <w:t>总用电量约为</w:t>
      </w:r>
      <w:r>
        <w:rPr>
          <w:rFonts w:hint="eastAsia"/>
        </w:rPr>
        <w:t>63283</w:t>
      </w:r>
      <w:r>
        <w:t>MWh</w:t>
      </w:r>
      <w:r>
        <w:rPr>
          <w:rFonts w:hint="eastAsia"/>
        </w:rPr>
        <w:t>，扣除绿电用量31641.5</w:t>
      </w:r>
      <w:r>
        <w:t>MWh</w:t>
      </w:r>
      <w:r>
        <w:rPr>
          <w:rFonts w:hint="eastAsia"/>
        </w:rPr>
        <w:t>后为31641.5</w:t>
      </w:r>
      <w:r>
        <w:t>MWh；</w:t>
      </w:r>
    </w:p>
    <w:p w14:paraId="0749884D">
      <w:pPr>
        <w:pStyle w:val="117"/>
        <w:ind w:firstLine="480"/>
      </w:pPr>
      <w:r>
        <w:t>EF</w:t>
      </w:r>
      <w:r>
        <w:rPr>
          <w:vertAlign w:val="subscript"/>
        </w:rPr>
        <w:t>电</w:t>
      </w:r>
      <w:r>
        <w:t>——区域电网年平均供电排放因子，单位为吨二氧化碳每兆瓦时（tCO</w:t>
      </w:r>
      <w:r>
        <w:rPr>
          <w:vertAlign w:val="subscript"/>
        </w:rPr>
        <w:t>2</w:t>
      </w:r>
      <w:r>
        <w:t>/MWh），根据《工业企业污染治理设施污染物去除协同控制温室气体核算技术指南（试行）》（环办科技</w:t>
      </w:r>
      <w:r>
        <w:rPr>
          <w:rFonts w:hint="eastAsia"/>
        </w:rPr>
        <w:t>〔2017〕73号</w:t>
      </w:r>
      <w:r>
        <w:t>）西北电网取值0.6671。</w:t>
      </w:r>
    </w:p>
    <w:p w14:paraId="2AFEA932">
      <w:pPr>
        <w:pStyle w:val="117"/>
        <w:ind w:firstLine="480"/>
      </w:pPr>
      <w:r>
        <w:t>根据</w:t>
      </w:r>
      <w:r>
        <w:rPr>
          <w:rFonts w:hint="eastAsia"/>
        </w:rPr>
        <w:t>上述</w:t>
      </w:r>
      <w:r>
        <w:t>公式，</w:t>
      </w:r>
      <w:r>
        <w:rPr>
          <w:rFonts w:hint="eastAsia"/>
        </w:rPr>
        <w:t>本项</w:t>
      </w:r>
      <w:r>
        <w:t>目购入电力排放的二氧化碳</w:t>
      </w:r>
      <w:r>
        <w:rPr>
          <w:rFonts w:hint="eastAsia"/>
        </w:rPr>
        <w:t>为21108.0</w:t>
      </w:r>
      <w:r>
        <w:t>t/a</w:t>
      </w:r>
      <w:r>
        <w:rPr>
          <w:rFonts w:hint="eastAsia"/>
        </w:rPr>
        <w:t>。</w:t>
      </w:r>
    </w:p>
    <w:p w14:paraId="06ADB7FD">
      <w:pPr>
        <w:pStyle w:val="138"/>
        <w:rPr>
          <w:rFonts w:hint="eastAsia"/>
        </w:rPr>
      </w:pPr>
      <w:r>
        <w:rPr>
          <w:rFonts w:hint="eastAsia"/>
        </w:rPr>
        <w:t>碳排放核算汇总</w:t>
      </w:r>
    </w:p>
    <w:p w14:paraId="517809B3">
      <w:pPr>
        <w:pStyle w:val="117"/>
        <w:ind w:firstLine="480"/>
      </w:pPr>
      <w:r>
        <w:t>本项目碳排放量汇总见表</w:t>
      </w:r>
      <w:r>
        <w:rPr>
          <w:rFonts w:hint="eastAsia"/>
        </w:rPr>
        <w:t>3</w:t>
      </w:r>
      <w:r>
        <w:t>.8-1。</w:t>
      </w:r>
    </w:p>
    <w:p w14:paraId="0518F8FD">
      <w:pPr>
        <w:pStyle w:val="118"/>
      </w:pPr>
      <w:bookmarkStart w:id="367" w:name="_Ref89426228"/>
      <w:r>
        <w:rPr>
          <w:rFonts w:hint="eastAsia"/>
        </w:rPr>
        <w:t>表</w:t>
      </w:r>
      <w:bookmarkEnd w:id="367"/>
      <w:r>
        <w:rPr>
          <w:rFonts w:hint="eastAsia"/>
        </w:rPr>
        <w:t>3</w:t>
      </w:r>
      <w:r>
        <w:t>.8-1</w:t>
      </w:r>
      <w:r>
        <w:rPr>
          <w:rFonts w:hint="eastAsia"/>
        </w:rPr>
        <w:t xml:space="preserve">  本项目二氧化碳排放量汇总表 </w:t>
      </w:r>
      <w:r>
        <w:t xml:space="preserve">  </w:t>
      </w:r>
      <w:r>
        <w:rPr>
          <w:rFonts w:hint="eastAsia"/>
        </w:rPr>
        <w:t>（单位：t/a）</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3"/>
        <w:gridCol w:w="2215"/>
        <w:gridCol w:w="4184"/>
      </w:tblGrid>
      <w:tr w14:paraId="67EB2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3" w:type="dxa"/>
            <w:gridSpan w:val="2"/>
            <w:vAlign w:val="center"/>
          </w:tcPr>
          <w:p w14:paraId="2A14B709">
            <w:pPr>
              <w:pStyle w:val="133"/>
              <w:rPr>
                <w:b/>
                <w:bCs/>
              </w:rPr>
            </w:pPr>
            <w:r>
              <w:rPr>
                <w:b/>
                <w:bCs/>
              </w:rPr>
              <w:t>排放源类别</w:t>
            </w:r>
          </w:p>
        </w:tc>
        <w:tc>
          <w:tcPr>
            <w:tcW w:w="4063" w:type="dxa"/>
            <w:vAlign w:val="center"/>
          </w:tcPr>
          <w:p w14:paraId="77BEA5CA">
            <w:pPr>
              <w:pStyle w:val="133"/>
              <w:rPr>
                <w:b/>
                <w:bCs/>
              </w:rPr>
            </w:pPr>
            <w:r>
              <w:rPr>
                <w:b/>
                <w:bCs/>
              </w:rPr>
              <w:t>CO</w:t>
            </w:r>
            <w:r>
              <w:rPr>
                <w:b/>
                <w:bCs/>
                <w:vertAlign w:val="subscript"/>
              </w:rPr>
              <w:t>2</w:t>
            </w:r>
            <w:r>
              <w:rPr>
                <w:b/>
                <w:bCs/>
              </w:rPr>
              <w:t>排放量</w:t>
            </w:r>
          </w:p>
        </w:tc>
      </w:tr>
      <w:tr w14:paraId="52BD0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2" w:type="dxa"/>
            <w:vAlign w:val="center"/>
          </w:tcPr>
          <w:p w14:paraId="43720312">
            <w:pPr>
              <w:pStyle w:val="133"/>
            </w:pPr>
            <w:r>
              <w:t>燃料燃烧排放</w:t>
            </w:r>
          </w:p>
        </w:tc>
        <w:tc>
          <w:tcPr>
            <w:tcW w:w="2151" w:type="dxa"/>
            <w:vAlign w:val="center"/>
          </w:tcPr>
          <w:p w14:paraId="07EC9B84">
            <w:pPr>
              <w:pStyle w:val="133"/>
            </w:pPr>
            <w:r>
              <w:t>荒煤气</w:t>
            </w:r>
          </w:p>
        </w:tc>
        <w:tc>
          <w:tcPr>
            <w:tcW w:w="4063" w:type="dxa"/>
            <w:vAlign w:val="center"/>
          </w:tcPr>
          <w:p w14:paraId="1B16BF7E">
            <w:pPr>
              <w:pStyle w:val="133"/>
            </w:pPr>
            <w:r>
              <w:rPr>
                <w:rFonts w:hint="eastAsia"/>
              </w:rPr>
              <w:t>111499.8</w:t>
            </w:r>
          </w:p>
        </w:tc>
      </w:tr>
      <w:tr w14:paraId="76670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3" w:type="dxa"/>
            <w:gridSpan w:val="2"/>
            <w:vAlign w:val="center"/>
          </w:tcPr>
          <w:p w14:paraId="38164F34">
            <w:pPr>
              <w:pStyle w:val="133"/>
            </w:pPr>
            <w:r>
              <w:rPr>
                <w:rFonts w:hint="eastAsia"/>
              </w:rPr>
              <w:t>能源作为原材料用途排放</w:t>
            </w:r>
          </w:p>
        </w:tc>
        <w:tc>
          <w:tcPr>
            <w:tcW w:w="4063" w:type="dxa"/>
            <w:vAlign w:val="center"/>
          </w:tcPr>
          <w:p w14:paraId="4AE96225">
            <w:pPr>
              <w:pStyle w:val="133"/>
            </w:pPr>
            <w:r>
              <w:t>156256.7</w:t>
            </w:r>
          </w:p>
        </w:tc>
      </w:tr>
      <w:tr w14:paraId="21561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3" w:type="dxa"/>
            <w:gridSpan w:val="2"/>
            <w:vAlign w:val="center"/>
          </w:tcPr>
          <w:p w14:paraId="688FFC80">
            <w:pPr>
              <w:pStyle w:val="133"/>
            </w:pPr>
            <w:r>
              <w:rPr>
                <w:rFonts w:hint="eastAsia"/>
              </w:rPr>
              <w:t>生产过程排放</w:t>
            </w:r>
          </w:p>
        </w:tc>
        <w:tc>
          <w:tcPr>
            <w:tcW w:w="4063" w:type="dxa"/>
            <w:vAlign w:val="center"/>
          </w:tcPr>
          <w:p w14:paraId="76D6966F">
            <w:pPr>
              <w:pStyle w:val="133"/>
            </w:pPr>
            <w:r>
              <w:rPr>
                <w:rFonts w:hint="eastAsia"/>
              </w:rPr>
              <w:t>0</w:t>
            </w:r>
          </w:p>
        </w:tc>
      </w:tr>
      <w:tr w14:paraId="6FB6C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3" w:type="dxa"/>
            <w:gridSpan w:val="2"/>
            <w:vAlign w:val="center"/>
          </w:tcPr>
          <w:p w14:paraId="7F6FD544">
            <w:pPr>
              <w:pStyle w:val="133"/>
            </w:pPr>
            <w:r>
              <w:t>二氧化碳回收利用</w:t>
            </w:r>
          </w:p>
        </w:tc>
        <w:tc>
          <w:tcPr>
            <w:tcW w:w="4063" w:type="dxa"/>
            <w:vAlign w:val="center"/>
          </w:tcPr>
          <w:p w14:paraId="00559EB9">
            <w:pPr>
              <w:pStyle w:val="133"/>
            </w:pPr>
            <w:r>
              <w:t>0</w:t>
            </w:r>
          </w:p>
        </w:tc>
      </w:tr>
      <w:tr w14:paraId="3B152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3" w:type="dxa"/>
            <w:gridSpan w:val="2"/>
            <w:vAlign w:val="center"/>
          </w:tcPr>
          <w:p w14:paraId="52E2DF13">
            <w:pPr>
              <w:pStyle w:val="133"/>
            </w:pPr>
            <w:r>
              <w:t>购入电力排放</w:t>
            </w:r>
          </w:p>
        </w:tc>
        <w:tc>
          <w:tcPr>
            <w:tcW w:w="4063" w:type="dxa"/>
            <w:vAlign w:val="center"/>
          </w:tcPr>
          <w:p w14:paraId="6494C9F8">
            <w:pPr>
              <w:pStyle w:val="133"/>
            </w:pPr>
            <w:r>
              <w:t>21108.0</w:t>
            </w:r>
          </w:p>
        </w:tc>
      </w:tr>
      <w:tr w14:paraId="773F46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3" w:type="dxa"/>
            <w:gridSpan w:val="2"/>
            <w:vAlign w:val="center"/>
          </w:tcPr>
          <w:p w14:paraId="35CA3389">
            <w:pPr>
              <w:pStyle w:val="133"/>
            </w:pPr>
            <w:r>
              <w:t>购入</w:t>
            </w:r>
            <w:r>
              <w:rPr>
                <w:rFonts w:hint="eastAsia"/>
              </w:rPr>
              <w:t>热</w:t>
            </w:r>
            <w:r>
              <w:t>力排放</w:t>
            </w:r>
          </w:p>
        </w:tc>
        <w:tc>
          <w:tcPr>
            <w:tcW w:w="4063" w:type="dxa"/>
            <w:vAlign w:val="center"/>
          </w:tcPr>
          <w:p w14:paraId="2927CF0F">
            <w:pPr>
              <w:pStyle w:val="133"/>
            </w:pPr>
            <w:r>
              <w:t>0</w:t>
            </w:r>
          </w:p>
        </w:tc>
      </w:tr>
      <w:tr w14:paraId="75C11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13" w:type="dxa"/>
            <w:gridSpan w:val="2"/>
            <w:vAlign w:val="center"/>
          </w:tcPr>
          <w:p w14:paraId="517E4EA4">
            <w:pPr>
              <w:pStyle w:val="133"/>
            </w:pPr>
            <w:r>
              <w:t>合计</w:t>
            </w:r>
          </w:p>
        </w:tc>
        <w:tc>
          <w:tcPr>
            <w:tcW w:w="4063" w:type="dxa"/>
            <w:vAlign w:val="center"/>
          </w:tcPr>
          <w:p w14:paraId="759BD180">
            <w:pPr>
              <w:pStyle w:val="133"/>
            </w:pPr>
            <w:r>
              <w:rPr>
                <w:rFonts w:hint="eastAsia"/>
              </w:rPr>
              <w:t>288864.6</w:t>
            </w:r>
          </w:p>
        </w:tc>
      </w:tr>
    </w:tbl>
    <w:p w14:paraId="0BF1BE7C">
      <w:pPr>
        <w:pStyle w:val="133"/>
      </w:pPr>
    </w:p>
    <w:p w14:paraId="54254AA0">
      <w:pPr>
        <w:pStyle w:val="117"/>
        <w:ind w:firstLine="480"/>
      </w:pPr>
      <w:r>
        <w:t>如表</w:t>
      </w:r>
      <w:r>
        <w:rPr>
          <w:rFonts w:hint="eastAsia"/>
        </w:rPr>
        <w:t>3.8-1</w:t>
      </w:r>
      <w:r>
        <w:t>所示，本项目</w:t>
      </w:r>
      <w:r>
        <w:rPr>
          <w:rFonts w:hint="eastAsia"/>
        </w:rPr>
        <w:t>二氧化</w:t>
      </w:r>
      <w:r>
        <w:t>碳排放</w:t>
      </w:r>
      <w:r>
        <w:rPr>
          <w:rFonts w:hint="eastAsia"/>
        </w:rPr>
        <w:t>总量为288864.6t</w:t>
      </w:r>
      <w:r>
        <w:t>/a。</w:t>
      </w:r>
    </w:p>
    <w:p w14:paraId="35ACC314">
      <w:pPr>
        <w:pStyle w:val="3"/>
      </w:pPr>
      <w:bookmarkStart w:id="368" w:name="_Toc205291384"/>
      <w:r>
        <w:rPr>
          <w:rFonts w:hint="eastAsia"/>
        </w:rPr>
        <w:t>清洁生产分析</w:t>
      </w:r>
      <w:bookmarkEnd w:id="368"/>
    </w:p>
    <w:p w14:paraId="3FC49FC5">
      <w:pPr>
        <w:pStyle w:val="138"/>
        <w:rPr>
          <w:rFonts w:hint="eastAsia"/>
        </w:rPr>
      </w:pPr>
      <w:r>
        <w:rPr>
          <w:rFonts w:hint="eastAsia"/>
        </w:rPr>
        <w:t>兰炭生产线</w:t>
      </w:r>
    </w:p>
    <w:p w14:paraId="753229AC">
      <w:pPr>
        <w:pStyle w:val="117"/>
        <w:ind w:firstLine="480"/>
      </w:pPr>
      <w:r>
        <w:rPr>
          <w:rFonts w:hint="eastAsia"/>
        </w:rPr>
        <w:t>本次参照《清洁生产标准-半焦行业》（DB65/T 3210-2020）对兰炭生产线进行清洁生产分析，包括半焦生产工艺与装备指标、资（源）能源消耗和副产品综合利用指标、产品指标、污染物产生指标、废物回收利用指标和环境管理指标等6项指标。</w:t>
      </w:r>
    </w:p>
    <w:p w14:paraId="207594E9">
      <w:pPr>
        <w:pStyle w:val="117"/>
        <w:ind w:firstLine="480"/>
      </w:pPr>
      <w:r>
        <w:rPr>
          <w:rFonts w:hint="eastAsia"/>
        </w:rPr>
        <w:t>（1）工艺与装备指标</w:t>
      </w:r>
    </w:p>
    <w:p w14:paraId="59DE7800">
      <w:pPr>
        <w:pStyle w:val="117"/>
        <w:ind w:firstLine="480"/>
      </w:pPr>
      <w:r>
        <w:rPr>
          <w:rFonts w:hint="eastAsia"/>
        </w:rPr>
        <w:t>本项目与半焦生产工艺与装备指标分析，见表3.9-1。</w:t>
      </w:r>
    </w:p>
    <w:p w14:paraId="46AE6B2C">
      <w:pPr>
        <w:pStyle w:val="117"/>
        <w:ind w:firstLine="480"/>
      </w:pPr>
      <w:r>
        <w:rPr>
          <w:rFonts w:hint="eastAsia"/>
        </w:rPr>
        <w:t>（2）资（源）能源消耗和副产品综合利用指标</w:t>
      </w:r>
    </w:p>
    <w:p w14:paraId="2C52424A">
      <w:pPr>
        <w:pStyle w:val="117"/>
        <w:ind w:firstLine="480"/>
      </w:pPr>
      <w:r>
        <w:rPr>
          <w:rFonts w:hint="eastAsia"/>
        </w:rPr>
        <w:t>本项目与半焦生产工艺与装备指标分析，见表3.9-2。</w:t>
      </w:r>
    </w:p>
    <w:p w14:paraId="6AC5D969">
      <w:pPr>
        <w:pStyle w:val="117"/>
        <w:ind w:firstLine="480"/>
      </w:pPr>
      <w:r>
        <w:rPr>
          <w:rFonts w:hint="eastAsia"/>
        </w:rPr>
        <w:t>此外，本项目综合能耗水平已达到《煤炭清洁高效利用重点领域标杆水平和基准水平（2022年版）》的兰炭行业标杆水平（190千克标准煤</w:t>
      </w:r>
      <w:r>
        <w:t>/</w:t>
      </w:r>
      <w:r>
        <w:rPr>
          <w:rFonts w:hint="eastAsia"/>
        </w:rPr>
        <w:t>吨兰炭），同时达到《煤基活性炭和兰炭单位产品能源消耗限额》（GB29995-2024）兰炭单位产品能耗等级2级水平（≤180千克标准煤</w:t>
      </w:r>
      <w:r>
        <w:t>/</w:t>
      </w:r>
      <w:r>
        <w:rPr>
          <w:rFonts w:hint="eastAsia"/>
        </w:rPr>
        <w:t>吨兰炭）。</w:t>
      </w:r>
    </w:p>
    <w:p w14:paraId="43328AC1">
      <w:pPr>
        <w:pStyle w:val="117"/>
        <w:ind w:firstLine="480"/>
      </w:pPr>
      <w:r>
        <w:rPr>
          <w:rFonts w:hint="eastAsia"/>
        </w:rPr>
        <w:t>（3）产品指标</w:t>
      </w:r>
    </w:p>
    <w:p w14:paraId="0501E077">
      <w:pPr>
        <w:pStyle w:val="117"/>
        <w:ind w:firstLine="480"/>
      </w:pPr>
      <w:r>
        <w:rPr>
          <w:rFonts w:hint="eastAsia"/>
        </w:rPr>
        <w:t>本项目与半焦生产工艺与装备指标分析，见表3.9-3。</w:t>
      </w:r>
    </w:p>
    <w:p w14:paraId="340CDA3F">
      <w:pPr>
        <w:pStyle w:val="117"/>
        <w:ind w:firstLine="480"/>
      </w:pPr>
      <w:r>
        <w:rPr>
          <w:rFonts w:hint="eastAsia"/>
        </w:rPr>
        <w:t>（4）污染物产生指标</w:t>
      </w:r>
    </w:p>
    <w:p w14:paraId="6C1D7262">
      <w:pPr>
        <w:pStyle w:val="117"/>
        <w:ind w:firstLine="480"/>
      </w:pPr>
      <w:r>
        <w:rPr>
          <w:rFonts w:hint="eastAsia"/>
        </w:rPr>
        <w:t>本项目与半焦生产工艺与装备指标分析，见表3.9-4。</w:t>
      </w:r>
    </w:p>
    <w:p w14:paraId="40BA0F17">
      <w:pPr>
        <w:pStyle w:val="117"/>
        <w:ind w:firstLine="480"/>
      </w:pPr>
      <w:r>
        <w:rPr>
          <w:rFonts w:hint="eastAsia"/>
        </w:rPr>
        <w:t>（5）废物回收利用指标</w:t>
      </w:r>
    </w:p>
    <w:p w14:paraId="3CE1B800">
      <w:pPr>
        <w:pStyle w:val="117"/>
        <w:ind w:firstLine="480"/>
      </w:pPr>
      <w:r>
        <w:rPr>
          <w:rFonts w:hint="eastAsia"/>
        </w:rPr>
        <w:t>本项目与半焦生产工艺与装备指标分析，见表3.9-5。</w:t>
      </w:r>
    </w:p>
    <w:p w14:paraId="3A5CBF40">
      <w:pPr>
        <w:pStyle w:val="117"/>
        <w:ind w:firstLine="480"/>
      </w:pPr>
      <w:r>
        <w:rPr>
          <w:rFonts w:hint="eastAsia"/>
        </w:rPr>
        <w:t>（6）环境管理指标</w:t>
      </w:r>
    </w:p>
    <w:p w14:paraId="1321DFA2">
      <w:pPr>
        <w:pStyle w:val="117"/>
        <w:ind w:firstLine="480"/>
      </w:pPr>
      <w:r>
        <w:rPr>
          <w:rFonts w:hint="eastAsia"/>
        </w:rPr>
        <w:t>本项目与半焦生产工艺与装备指标分析，见表3.9-6。</w:t>
      </w:r>
    </w:p>
    <w:p w14:paraId="158CF41D">
      <w:pPr>
        <w:ind w:firstLine="480"/>
        <w:sectPr>
          <w:pgSz w:w="11906" w:h="16838"/>
          <w:pgMar w:top="1440" w:right="1800" w:bottom="1440" w:left="1800" w:header="850" w:footer="850" w:gutter="0"/>
          <w:cols w:space="425" w:num="1"/>
          <w:docGrid w:type="lines" w:linePitch="326" w:charSpace="0"/>
        </w:sectPr>
      </w:pPr>
    </w:p>
    <w:p w14:paraId="5B7DC118">
      <w:pPr>
        <w:pStyle w:val="118"/>
      </w:pPr>
      <w:r>
        <w:rPr>
          <w:rFonts w:hint="eastAsia"/>
        </w:rPr>
        <w:t>表3.9-1  本项目与半焦生产工艺与装备指标对比分析表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79"/>
        <w:gridCol w:w="2543"/>
        <w:gridCol w:w="1984"/>
        <w:gridCol w:w="2554"/>
        <w:gridCol w:w="1984"/>
        <w:gridCol w:w="632"/>
        <w:gridCol w:w="2123"/>
        <w:gridCol w:w="537"/>
      </w:tblGrid>
      <w:tr w14:paraId="55FF7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1" w:type="pct"/>
            <w:gridSpan w:val="2"/>
            <w:vMerge w:val="restart"/>
            <w:vAlign w:val="center"/>
          </w:tcPr>
          <w:p w14:paraId="3E949401">
            <w:pPr>
              <w:pStyle w:val="133"/>
              <w:rPr>
                <w:b/>
                <w:bCs/>
              </w:rPr>
            </w:pPr>
            <w:r>
              <w:rPr>
                <w:rFonts w:hint="eastAsia"/>
                <w:b/>
                <w:bCs/>
              </w:rPr>
              <w:t>指标</w:t>
            </w:r>
          </w:p>
        </w:tc>
        <w:tc>
          <w:tcPr>
            <w:tcW w:w="897" w:type="pct"/>
            <w:vMerge w:val="restart"/>
            <w:vAlign w:val="center"/>
          </w:tcPr>
          <w:p w14:paraId="64FEB0F2">
            <w:pPr>
              <w:pStyle w:val="133"/>
              <w:rPr>
                <w:b/>
                <w:bCs/>
              </w:rPr>
            </w:pPr>
            <w:r>
              <w:rPr>
                <w:rFonts w:hint="eastAsia"/>
                <w:b/>
                <w:bCs/>
              </w:rPr>
              <w:t>一级</w:t>
            </w:r>
          </w:p>
        </w:tc>
        <w:tc>
          <w:tcPr>
            <w:tcW w:w="700" w:type="pct"/>
            <w:vMerge w:val="restart"/>
            <w:vAlign w:val="center"/>
          </w:tcPr>
          <w:p w14:paraId="19D711CD">
            <w:pPr>
              <w:pStyle w:val="133"/>
              <w:rPr>
                <w:b/>
                <w:bCs/>
              </w:rPr>
            </w:pPr>
            <w:r>
              <w:rPr>
                <w:rFonts w:hint="eastAsia"/>
                <w:b/>
                <w:bCs/>
              </w:rPr>
              <w:t>二级</w:t>
            </w:r>
          </w:p>
        </w:tc>
        <w:tc>
          <w:tcPr>
            <w:tcW w:w="901" w:type="pct"/>
            <w:vMerge w:val="restart"/>
            <w:vAlign w:val="center"/>
          </w:tcPr>
          <w:p w14:paraId="6AD2AFCD">
            <w:pPr>
              <w:pStyle w:val="133"/>
              <w:rPr>
                <w:b/>
                <w:bCs/>
              </w:rPr>
            </w:pPr>
            <w:r>
              <w:rPr>
                <w:rFonts w:hint="eastAsia"/>
                <w:b/>
                <w:bCs/>
              </w:rPr>
              <w:t>三级</w:t>
            </w:r>
          </w:p>
        </w:tc>
        <w:tc>
          <w:tcPr>
            <w:tcW w:w="923" w:type="pct"/>
            <w:gridSpan w:val="2"/>
            <w:vAlign w:val="center"/>
          </w:tcPr>
          <w:p w14:paraId="1D111DEB">
            <w:pPr>
              <w:pStyle w:val="133"/>
              <w:rPr>
                <w:b/>
                <w:bCs/>
              </w:rPr>
            </w:pPr>
            <w:r>
              <w:rPr>
                <w:rFonts w:hint="eastAsia"/>
                <w:b/>
                <w:bCs/>
              </w:rPr>
              <w:t>技改前</w:t>
            </w:r>
          </w:p>
        </w:tc>
        <w:tc>
          <w:tcPr>
            <w:tcW w:w="938" w:type="pct"/>
            <w:gridSpan w:val="2"/>
            <w:vAlign w:val="center"/>
          </w:tcPr>
          <w:p w14:paraId="6E4B3364">
            <w:pPr>
              <w:pStyle w:val="133"/>
              <w:rPr>
                <w:b/>
                <w:bCs/>
              </w:rPr>
            </w:pPr>
            <w:r>
              <w:rPr>
                <w:rFonts w:hint="eastAsia"/>
                <w:b/>
                <w:bCs/>
              </w:rPr>
              <w:t>技改后</w:t>
            </w:r>
          </w:p>
        </w:tc>
      </w:tr>
      <w:tr w14:paraId="4C178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1" w:type="pct"/>
            <w:gridSpan w:val="2"/>
            <w:vMerge w:val="continue"/>
            <w:vAlign w:val="center"/>
          </w:tcPr>
          <w:p w14:paraId="02659748">
            <w:pPr>
              <w:pStyle w:val="133"/>
              <w:rPr>
                <w:b/>
                <w:bCs/>
              </w:rPr>
            </w:pPr>
          </w:p>
        </w:tc>
        <w:tc>
          <w:tcPr>
            <w:tcW w:w="897" w:type="pct"/>
            <w:vMerge w:val="continue"/>
            <w:vAlign w:val="center"/>
          </w:tcPr>
          <w:p w14:paraId="0E69454E">
            <w:pPr>
              <w:pStyle w:val="133"/>
              <w:rPr>
                <w:b/>
                <w:bCs/>
              </w:rPr>
            </w:pPr>
          </w:p>
        </w:tc>
        <w:tc>
          <w:tcPr>
            <w:tcW w:w="700" w:type="pct"/>
            <w:vMerge w:val="continue"/>
            <w:vAlign w:val="center"/>
          </w:tcPr>
          <w:p w14:paraId="779471E4">
            <w:pPr>
              <w:pStyle w:val="133"/>
              <w:rPr>
                <w:b/>
                <w:bCs/>
              </w:rPr>
            </w:pPr>
          </w:p>
        </w:tc>
        <w:tc>
          <w:tcPr>
            <w:tcW w:w="901" w:type="pct"/>
            <w:vMerge w:val="continue"/>
            <w:vAlign w:val="center"/>
          </w:tcPr>
          <w:p w14:paraId="14E21D49">
            <w:pPr>
              <w:pStyle w:val="133"/>
              <w:rPr>
                <w:b/>
                <w:bCs/>
              </w:rPr>
            </w:pPr>
          </w:p>
        </w:tc>
        <w:tc>
          <w:tcPr>
            <w:tcW w:w="700" w:type="pct"/>
            <w:vAlign w:val="center"/>
          </w:tcPr>
          <w:p w14:paraId="4C9D109C">
            <w:pPr>
              <w:pStyle w:val="133"/>
              <w:rPr>
                <w:b/>
                <w:bCs/>
              </w:rPr>
            </w:pPr>
            <w:r>
              <w:rPr>
                <w:rFonts w:hint="eastAsia"/>
                <w:b/>
                <w:bCs/>
              </w:rPr>
              <w:t>项目情况</w:t>
            </w:r>
          </w:p>
        </w:tc>
        <w:tc>
          <w:tcPr>
            <w:tcW w:w="223" w:type="pct"/>
            <w:vAlign w:val="center"/>
          </w:tcPr>
          <w:p w14:paraId="33ADD507">
            <w:pPr>
              <w:pStyle w:val="133"/>
              <w:rPr>
                <w:b/>
                <w:bCs/>
              </w:rPr>
            </w:pPr>
            <w:r>
              <w:rPr>
                <w:rFonts w:hint="eastAsia"/>
                <w:b/>
                <w:bCs/>
              </w:rPr>
              <w:t>对比情况</w:t>
            </w:r>
          </w:p>
        </w:tc>
        <w:tc>
          <w:tcPr>
            <w:tcW w:w="749" w:type="pct"/>
            <w:vAlign w:val="center"/>
          </w:tcPr>
          <w:p w14:paraId="418A2AE6">
            <w:pPr>
              <w:pStyle w:val="133"/>
              <w:rPr>
                <w:b/>
                <w:bCs/>
              </w:rPr>
            </w:pPr>
            <w:r>
              <w:rPr>
                <w:rFonts w:hint="eastAsia"/>
                <w:b/>
                <w:bCs/>
              </w:rPr>
              <w:t>本项目情况</w:t>
            </w:r>
          </w:p>
        </w:tc>
        <w:tc>
          <w:tcPr>
            <w:tcW w:w="189" w:type="pct"/>
            <w:vAlign w:val="center"/>
          </w:tcPr>
          <w:p w14:paraId="6C9C87ED">
            <w:pPr>
              <w:pStyle w:val="133"/>
              <w:rPr>
                <w:b/>
                <w:bCs/>
              </w:rPr>
            </w:pPr>
            <w:r>
              <w:rPr>
                <w:rFonts w:hint="eastAsia"/>
                <w:b/>
                <w:bCs/>
              </w:rPr>
              <w:t>对比情况</w:t>
            </w:r>
          </w:p>
        </w:tc>
      </w:tr>
      <w:tr w14:paraId="5FCC5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restart"/>
            <w:vAlign w:val="center"/>
          </w:tcPr>
          <w:p w14:paraId="3EDB8EFA">
            <w:pPr>
              <w:pStyle w:val="133"/>
            </w:pPr>
            <w:r>
              <w:rPr>
                <w:rFonts w:hint="eastAsia"/>
              </w:rPr>
              <w:t>备煤工艺与装备</w:t>
            </w:r>
          </w:p>
        </w:tc>
        <w:tc>
          <w:tcPr>
            <w:tcW w:w="416" w:type="pct"/>
            <w:vAlign w:val="center"/>
          </w:tcPr>
          <w:p w14:paraId="0808F56D">
            <w:pPr>
              <w:pStyle w:val="133"/>
            </w:pPr>
            <w:r>
              <w:rPr>
                <w:rFonts w:hint="eastAsia"/>
              </w:rPr>
              <w:t>原煤贮存</w:t>
            </w:r>
          </w:p>
        </w:tc>
        <w:tc>
          <w:tcPr>
            <w:tcW w:w="2498" w:type="pct"/>
            <w:gridSpan w:val="3"/>
            <w:vAlign w:val="center"/>
          </w:tcPr>
          <w:p w14:paraId="5ABBF996">
            <w:pPr>
              <w:pStyle w:val="133"/>
            </w:pPr>
            <w:r>
              <w:rPr>
                <w:rFonts w:hint="eastAsia"/>
              </w:rPr>
              <w:t>采用全封闭设计</w:t>
            </w:r>
          </w:p>
        </w:tc>
        <w:tc>
          <w:tcPr>
            <w:tcW w:w="700" w:type="pct"/>
            <w:vAlign w:val="center"/>
          </w:tcPr>
          <w:p w14:paraId="6714F215">
            <w:pPr>
              <w:pStyle w:val="133"/>
            </w:pPr>
            <w:r>
              <w:rPr>
                <w:rFonts w:hint="eastAsia"/>
              </w:rPr>
              <w:t>全封闭煤仓</w:t>
            </w:r>
          </w:p>
        </w:tc>
        <w:tc>
          <w:tcPr>
            <w:tcW w:w="223" w:type="pct"/>
            <w:vAlign w:val="center"/>
          </w:tcPr>
          <w:p w14:paraId="5063164E">
            <w:pPr>
              <w:pStyle w:val="133"/>
            </w:pPr>
            <w:r>
              <w:rPr>
                <w:rFonts w:hint="eastAsia"/>
              </w:rPr>
              <w:t>一级</w:t>
            </w:r>
          </w:p>
        </w:tc>
        <w:tc>
          <w:tcPr>
            <w:tcW w:w="749" w:type="pct"/>
            <w:vAlign w:val="center"/>
          </w:tcPr>
          <w:p w14:paraId="7862E906">
            <w:pPr>
              <w:pStyle w:val="133"/>
            </w:pPr>
            <w:r>
              <w:rPr>
                <w:rFonts w:hint="eastAsia"/>
              </w:rPr>
              <w:t>全封闭煤仓</w:t>
            </w:r>
          </w:p>
        </w:tc>
        <w:tc>
          <w:tcPr>
            <w:tcW w:w="189" w:type="pct"/>
            <w:vAlign w:val="center"/>
          </w:tcPr>
          <w:p w14:paraId="05927CDA">
            <w:pPr>
              <w:pStyle w:val="133"/>
            </w:pPr>
            <w:r>
              <w:rPr>
                <w:rFonts w:hint="eastAsia"/>
              </w:rPr>
              <w:t>一级</w:t>
            </w:r>
          </w:p>
        </w:tc>
      </w:tr>
      <w:tr w14:paraId="2AD3E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3D8FF7E7">
            <w:pPr>
              <w:pStyle w:val="133"/>
            </w:pPr>
          </w:p>
        </w:tc>
        <w:tc>
          <w:tcPr>
            <w:tcW w:w="416" w:type="pct"/>
            <w:vAlign w:val="center"/>
          </w:tcPr>
          <w:p w14:paraId="57262711">
            <w:pPr>
              <w:pStyle w:val="133"/>
            </w:pPr>
            <w:r>
              <w:rPr>
                <w:rFonts w:hint="eastAsia"/>
              </w:rPr>
              <w:t>原煤输送、筛分</w:t>
            </w:r>
          </w:p>
        </w:tc>
        <w:tc>
          <w:tcPr>
            <w:tcW w:w="897" w:type="pct"/>
            <w:vAlign w:val="center"/>
          </w:tcPr>
          <w:p w14:paraId="6DB5A252">
            <w:pPr>
              <w:pStyle w:val="133"/>
            </w:pPr>
            <w:r>
              <w:rPr>
                <w:rFonts w:hint="eastAsia"/>
              </w:rPr>
              <w:t>满足二三级要求，同时采取</w:t>
            </w:r>
            <w:r>
              <w:t>PLC</w:t>
            </w:r>
            <w:r>
              <w:rPr>
                <w:rFonts w:hint="eastAsia"/>
              </w:rPr>
              <w:t>控制。</w:t>
            </w:r>
          </w:p>
        </w:tc>
        <w:tc>
          <w:tcPr>
            <w:tcW w:w="1601" w:type="pct"/>
            <w:gridSpan w:val="2"/>
            <w:vAlign w:val="center"/>
          </w:tcPr>
          <w:p w14:paraId="6C211A40">
            <w:pPr>
              <w:pStyle w:val="133"/>
            </w:pPr>
            <w:r>
              <w:rPr>
                <w:rFonts w:hint="eastAsia"/>
              </w:rPr>
              <w:t>机械输送、密闭输煤通廊。破碎、筛煤室封闭，配自然通风和除尘设施</w:t>
            </w:r>
          </w:p>
        </w:tc>
        <w:tc>
          <w:tcPr>
            <w:tcW w:w="700" w:type="pct"/>
            <w:vAlign w:val="center"/>
          </w:tcPr>
          <w:p w14:paraId="4850FF50">
            <w:pPr>
              <w:pStyle w:val="133"/>
            </w:pPr>
            <w:r>
              <w:rPr>
                <w:rFonts w:hint="eastAsia"/>
              </w:rPr>
              <w:t>机械输送、密闭输煤通廊。破碎、筛煤室封闭，配自然通风和除尘设施</w:t>
            </w:r>
          </w:p>
        </w:tc>
        <w:tc>
          <w:tcPr>
            <w:tcW w:w="223" w:type="pct"/>
            <w:vAlign w:val="center"/>
          </w:tcPr>
          <w:p w14:paraId="45F15E9D">
            <w:pPr>
              <w:pStyle w:val="133"/>
            </w:pPr>
            <w:r>
              <w:rPr>
                <w:rFonts w:hint="eastAsia"/>
              </w:rPr>
              <w:t>二级</w:t>
            </w:r>
          </w:p>
        </w:tc>
        <w:tc>
          <w:tcPr>
            <w:tcW w:w="749" w:type="pct"/>
            <w:vAlign w:val="center"/>
          </w:tcPr>
          <w:p w14:paraId="4CF8E9D5">
            <w:pPr>
              <w:pStyle w:val="133"/>
            </w:pPr>
            <w:r>
              <w:rPr>
                <w:rFonts w:hint="eastAsia"/>
              </w:rPr>
              <w:t>机械输送、密闭输煤通廊。破碎、筛煤室封闭，配自然通风和除尘设施</w:t>
            </w:r>
          </w:p>
        </w:tc>
        <w:tc>
          <w:tcPr>
            <w:tcW w:w="189" w:type="pct"/>
            <w:vAlign w:val="center"/>
          </w:tcPr>
          <w:p w14:paraId="042F6F78">
            <w:pPr>
              <w:pStyle w:val="133"/>
            </w:pPr>
            <w:r>
              <w:rPr>
                <w:rFonts w:hint="eastAsia"/>
              </w:rPr>
              <w:t>二级</w:t>
            </w:r>
          </w:p>
        </w:tc>
      </w:tr>
      <w:tr w14:paraId="6DE47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1F833F31">
            <w:pPr>
              <w:pStyle w:val="133"/>
            </w:pPr>
          </w:p>
        </w:tc>
        <w:tc>
          <w:tcPr>
            <w:tcW w:w="416" w:type="pct"/>
            <w:vAlign w:val="center"/>
          </w:tcPr>
          <w:p w14:paraId="091BFCE4">
            <w:pPr>
              <w:pStyle w:val="133"/>
            </w:pPr>
            <w:r>
              <w:rPr>
                <w:rFonts w:hint="eastAsia"/>
              </w:rPr>
              <w:t>煤末储存方式</w:t>
            </w:r>
          </w:p>
        </w:tc>
        <w:tc>
          <w:tcPr>
            <w:tcW w:w="2498" w:type="pct"/>
            <w:gridSpan w:val="3"/>
            <w:vAlign w:val="center"/>
          </w:tcPr>
          <w:p w14:paraId="11C17240">
            <w:pPr>
              <w:pStyle w:val="133"/>
            </w:pPr>
            <w:r>
              <w:rPr>
                <w:rFonts w:hint="eastAsia"/>
              </w:rPr>
              <w:t>采用全封闭设计</w:t>
            </w:r>
          </w:p>
        </w:tc>
        <w:tc>
          <w:tcPr>
            <w:tcW w:w="700" w:type="pct"/>
            <w:vAlign w:val="center"/>
          </w:tcPr>
          <w:p w14:paraId="75E5FAD5">
            <w:pPr>
              <w:pStyle w:val="133"/>
            </w:pPr>
            <w:r>
              <w:rPr>
                <w:rFonts w:hint="eastAsia"/>
              </w:rPr>
              <w:t>全封闭沫煤仓</w:t>
            </w:r>
          </w:p>
        </w:tc>
        <w:tc>
          <w:tcPr>
            <w:tcW w:w="223" w:type="pct"/>
            <w:vAlign w:val="center"/>
          </w:tcPr>
          <w:p w14:paraId="1F3D1224">
            <w:pPr>
              <w:pStyle w:val="133"/>
            </w:pPr>
            <w:r>
              <w:rPr>
                <w:rFonts w:hint="eastAsia"/>
              </w:rPr>
              <w:t>一级</w:t>
            </w:r>
          </w:p>
        </w:tc>
        <w:tc>
          <w:tcPr>
            <w:tcW w:w="749" w:type="pct"/>
            <w:vAlign w:val="center"/>
          </w:tcPr>
          <w:p w14:paraId="4548B64D">
            <w:pPr>
              <w:pStyle w:val="133"/>
            </w:pPr>
            <w:r>
              <w:rPr>
                <w:rFonts w:hint="eastAsia"/>
              </w:rPr>
              <w:t>全封闭沫煤仓</w:t>
            </w:r>
          </w:p>
        </w:tc>
        <w:tc>
          <w:tcPr>
            <w:tcW w:w="189" w:type="pct"/>
            <w:vAlign w:val="center"/>
          </w:tcPr>
          <w:p w14:paraId="11867288">
            <w:pPr>
              <w:pStyle w:val="133"/>
            </w:pPr>
            <w:r>
              <w:rPr>
                <w:rFonts w:hint="eastAsia"/>
              </w:rPr>
              <w:t>一级</w:t>
            </w:r>
          </w:p>
        </w:tc>
      </w:tr>
      <w:tr w14:paraId="2779E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restart"/>
            <w:vAlign w:val="center"/>
          </w:tcPr>
          <w:p w14:paraId="705AA77D">
            <w:pPr>
              <w:pStyle w:val="133"/>
            </w:pPr>
            <w:r>
              <w:rPr>
                <w:rFonts w:hint="eastAsia"/>
              </w:rPr>
              <w:t>干馏工艺与装备</w:t>
            </w:r>
          </w:p>
        </w:tc>
        <w:tc>
          <w:tcPr>
            <w:tcW w:w="416" w:type="pct"/>
            <w:vAlign w:val="center"/>
          </w:tcPr>
          <w:p w14:paraId="60D85B5F">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半焦生产能力</w:t>
            </w:r>
          </w:p>
        </w:tc>
        <w:tc>
          <w:tcPr>
            <w:tcW w:w="1597" w:type="pct"/>
            <w:gridSpan w:val="2"/>
            <w:vAlign w:val="center"/>
          </w:tcPr>
          <w:p w14:paraId="67363A2E">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新（改、扩）建企业≥</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万吨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年</w:t>
            </w:r>
          </w:p>
        </w:tc>
        <w:tc>
          <w:tcPr>
            <w:tcW w:w="901" w:type="pct"/>
            <w:vAlign w:val="center"/>
          </w:tcPr>
          <w:p w14:paraId="2662DB6B">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现有企业≥</w:t>
            </w:r>
            <w:r>
              <w:rPr>
                <w:color w:val="000000" w:themeColor="text1"/>
                <w14:textFill>
                  <w14:solidFill>
                    <w14:schemeClr w14:val="tx1"/>
                  </w14:solidFill>
                </w14:textFill>
              </w:rPr>
              <w:t>60</w:t>
            </w:r>
            <w:r>
              <w:rPr>
                <w:rFonts w:hint="eastAsia"/>
                <w:color w:val="000000" w:themeColor="text1"/>
                <w14:textFill>
                  <w14:solidFill>
                    <w14:schemeClr w14:val="tx1"/>
                  </w14:solidFill>
                </w14:textFill>
              </w:rPr>
              <w:t>万吨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年</w:t>
            </w:r>
          </w:p>
        </w:tc>
        <w:tc>
          <w:tcPr>
            <w:tcW w:w="700" w:type="pct"/>
            <w:vAlign w:val="center"/>
          </w:tcPr>
          <w:p w14:paraId="03663251">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60万t/a</w:t>
            </w:r>
          </w:p>
        </w:tc>
        <w:tc>
          <w:tcPr>
            <w:tcW w:w="223" w:type="pct"/>
            <w:vAlign w:val="center"/>
          </w:tcPr>
          <w:p w14:paraId="2D50BE70">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c>
          <w:tcPr>
            <w:tcW w:w="749" w:type="pct"/>
            <w:vAlign w:val="center"/>
          </w:tcPr>
          <w:p w14:paraId="39885025">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60万t/a</w:t>
            </w:r>
          </w:p>
        </w:tc>
        <w:tc>
          <w:tcPr>
            <w:tcW w:w="189" w:type="pct"/>
            <w:vAlign w:val="center"/>
          </w:tcPr>
          <w:p w14:paraId="3D775EBA">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三级</w:t>
            </w:r>
          </w:p>
        </w:tc>
      </w:tr>
      <w:tr w14:paraId="39EE1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0A234952">
            <w:pPr>
              <w:pStyle w:val="133"/>
            </w:pPr>
          </w:p>
        </w:tc>
        <w:tc>
          <w:tcPr>
            <w:tcW w:w="416" w:type="pct"/>
            <w:vAlign w:val="center"/>
          </w:tcPr>
          <w:p w14:paraId="06C078FA">
            <w:pPr>
              <w:pStyle w:val="133"/>
            </w:pPr>
            <w:r>
              <w:rPr>
                <w:rFonts w:hint="eastAsia"/>
              </w:rPr>
              <w:t>单炉生产能力</w:t>
            </w:r>
          </w:p>
        </w:tc>
        <w:tc>
          <w:tcPr>
            <w:tcW w:w="1597" w:type="pct"/>
            <w:gridSpan w:val="2"/>
            <w:vAlign w:val="center"/>
          </w:tcPr>
          <w:p w14:paraId="20EDCC6A">
            <w:pPr>
              <w:pStyle w:val="133"/>
            </w:pPr>
            <w:r>
              <w:rPr>
                <w:rFonts w:hint="eastAsia"/>
              </w:rPr>
              <w:t>新（改、扩）建企业≥</w:t>
            </w:r>
            <w:r>
              <w:t>10</w:t>
            </w:r>
            <w:r>
              <w:rPr>
                <w:rFonts w:hint="eastAsia"/>
              </w:rPr>
              <w:t>万吨</w:t>
            </w:r>
            <w:r>
              <w:t>/</w:t>
            </w:r>
            <w:r>
              <w:rPr>
                <w:rFonts w:hint="eastAsia"/>
              </w:rPr>
              <w:t>年</w:t>
            </w:r>
          </w:p>
        </w:tc>
        <w:tc>
          <w:tcPr>
            <w:tcW w:w="901" w:type="pct"/>
            <w:vAlign w:val="center"/>
          </w:tcPr>
          <w:p w14:paraId="5DC7BDD2">
            <w:pPr>
              <w:pStyle w:val="133"/>
            </w:pPr>
            <w:r>
              <w:rPr>
                <w:rFonts w:hint="eastAsia"/>
              </w:rPr>
              <w:t>现有企业≥7.5万吨</w:t>
            </w:r>
            <w:r>
              <w:t>/</w:t>
            </w:r>
            <w:r>
              <w:rPr>
                <w:rFonts w:hint="eastAsia"/>
              </w:rPr>
              <w:t>年</w:t>
            </w:r>
          </w:p>
        </w:tc>
        <w:tc>
          <w:tcPr>
            <w:tcW w:w="700" w:type="pct"/>
            <w:vAlign w:val="center"/>
          </w:tcPr>
          <w:p w14:paraId="0CD8E9D9">
            <w:pPr>
              <w:pStyle w:val="133"/>
            </w:pPr>
            <w:r>
              <w:rPr>
                <w:rFonts w:hint="eastAsia"/>
              </w:rPr>
              <w:t>单炉15万t/a</w:t>
            </w:r>
          </w:p>
        </w:tc>
        <w:tc>
          <w:tcPr>
            <w:tcW w:w="223" w:type="pct"/>
            <w:vAlign w:val="center"/>
          </w:tcPr>
          <w:p w14:paraId="4BD8C905">
            <w:pPr>
              <w:pStyle w:val="133"/>
            </w:pPr>
            <w:r>
              <w:rPr>
                <w:rFonts w:hint="eastAsia"/>
              </w:rPr>
              <w:t>一级</w:t>
            </w:r>
          </w:p>
        </w:tc>
        <w:tc>
          <w:tcPr>
            <w:tcW w:w="749" w:type="pct"/>
            <w:vAlign w:val="center"/>
          </w:tcPr>
          <w:p w14:paraId="52CA0DC9">
            <w:pPr>
              <w:pStyle w:val="133"/>
            </w:pPr>
            <w:r>
              <w:rPr>
                <w:rFonts w:hint="eastAsia"/>
              </w:rPr>
              <w:t>单炉15万t/a</w:t>
            </w:r>
          </w:p>
        </w:tc>
        <w:tc>
          <w:tcPr>
            <w:tcW w:w="189" w:type="pct"/>
            <w:vAlign w:val="center"/>
          </w:tcPr>
          <w:p w14:paraId="2C7FB276">
            <w:pPr>
              <w:pStyle w:val="133"/>
            </w:pPr>
            <w:r>
              <w:rPr>
                <w:rFonts w:hint="eastAsia"/>
              </w:rPr>
              <w:t>一级</w:t>
            </w:r>
          </w:p>
        </w:tc>
      </w:tr>
      <w:tr w14:paraId="681ABE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7DBDEDBB">
            <w:pPr>
              <w:pStyle w:val="133"/>
            </w:pPr>
          </w:p>
        </w:tc>
        <w:tc>
          <w:tcPr>
            <w:tcW w:w="416" w:type="pct"/>
            <w:vAlign w:val="center"/>
          </w:tcPr>
          <w:p w14:paraId="7A561684">
            <w:pPr>
              <w:pStyle w:val="133"/>
            </w:pPr>
            <w:r>
              <w:rPr>
                <w:rFonts w:hint="eastAsia"/>
              </w:rPr>
              <w:t>加煤系统控制</w:t>
            </w:r>
          </w:p>
        </w:tc>
        <w:tc>
          <w:tcPr>
            <w:tcW w:w="897" w:type="pct"/>
            <w:vAlign w:val="center"/>
          </w:tcPr>
          <w:p w14:paraId="53AAC242">
            <w:pPr>
              <w:pStyle w:val="133"/>
            </w:pPr>
            <w:r>
              <w:rPr>
                <w:rFonts w:hint="eastAsia"/>
              </w:rPr>
              <w:t>满足二三级要求，同时采取自动连续加煤、微负压操作。</w:t>
            </w:r>
          </w:p>
        </w:tc>
        <w:tc>
          <w:tcPr>
            <w:tcW w:w="1601" w:type="pct"/>
            <w:gridSpan w:val="2"/>
            <w:vAlign w:val="center"/>
          </w:tcPr>
          <w:p w14:paraId="58EB4500">
            <w:pPr>
              <w:pStyle w:val="133"/>
            </w:pPr>
            <w:r>
              <w:rPr>
                <w:rFonts w:hint="eastAsia"/>
              </w:rPr>
              <w:t>采用双室双闸给料器，同时炉顶布料系统设袋式除尘器。</w:t>
            </w:r>
          </w:p>
        </w:tc>
        <w:tc>
          <w:tcPr>
            <w:tcW w:w="700" w:type="pct"/>
            <w:vAlign w:val="center"/>
          </w:tcPr>
          <w:p w14:paraId="40FC35F2">
            <w:pPr>
              <w:pStyle w:val="133"/>
            </w:pPr>
            <w:r>
              <w:rPr>
                <w:rFonts w:hint="eastAsia"/>
              </w:rPr>
              <w:t>采用双室双闸给料器，自动连续加煤、微负压操作。同时炉顶布料系统密闭收集返回炭化炉。</w:t>
            </w:r>
          </w:p>
        </w:tc>
        <w:tc>
          <w:tcPr>
            <w:tcW w:w="223" w:type="pct"/>
            <w:vAlign w:val="center"/>
          </w:tcPr>
          <w:p w14:paraId="038FCE68">
            <w:pPr>
              <w:pStyle w:val="133"/>
            </w:pPr>
            <w:r>
              <w:rPr>
                <w:rFonts w:hint="eastAsia"/>
              </w:rPr>
              <w:t>一级</w:t>
            </w:r>
          </w:p>
        </w:tc>
        <w:tc>
          <w:tcPr>
            <w:tcW w:w="749" w:type="pct"/>
            <w:vAlign w:val="center"/>
          </w:tcPr>
          <w:p w14:paraId="54C307D6">
            <w:pPr>
              <w:pStyle w:val="133"/>
            </w:pPr>
            <w:r>
              <w:rPr>
                <w:rFonts w:hint="eastAsia"/>
              </w:rPr>
              <w:t>采用双室双闸给料器，自动连续加煤、微负压操作。同时炉顶布料系统密闭收集返回炭化炉。</w:t>
            </w:r>
          </w:p>
        </w:tc>
        <w:tc>
          <w:tcPr>
            <w:tcW w:w="189" w:type="pct"/>
            <w:vAlign w:val="center"/>
          </w:tcPr>
          <w:p w14:paraId="591079BA">
            <w:pPr>
              <w:pStyle w:val="133"/>
            </w:pPr>
            <w:r>
              <w:rPr>
                <w:rFonts w:hint="eastAsia"/>
              </w:rPr>
              <w:t>一级</w:t>
            </w:r>
          </w:p>
        </w:tc>
      </w:tr>
      <w:tr w14:paraId="197DC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65060845">
            <w:pPr>
              <w:pStyle w:val="133"/>
            </w:pPr>
          </w:p>
        </w:tc>
        <w:tc>
          <w:tcPr>
            <w:tcW w:w="416" w:type="pct"/>
            <w:vAlign w:val="center"/>
          </w:tcPr>
          <w:p w14:paraId="33781D07">
            <w:pPr>
              <w:pStyle w:val="133"/>
            </w:pPr>
            <w:r>
              <w:rPr>
                <w:rFonts w:hint="eastAsia"/>
              </w:rPr>
              <w:t>加热系统控制</w:t>
            </w:r>
          </w:p>
        </w:tc>
        <w:tc>
          <w:tcPr>
            <w:tcW w:w="897" w:type="pct"/>
            <w:vAlign w:val="center"/>
          </w:tcPr>
          <w:p w14:paraId="21FE66D8">
            <w:pPr>
              <w:pStyle w:val="133"/>
            </w:pPr>
            <w:r>
              <w:rPr>
                <w:rFonts w:hint="eastAsia"/>
              </w:rPr>
              <w:t>总管煤气压力、流量调节采用自动控制。炉顶温度、压力、炉底温度、压力、炉顶荒煤气采用自控监测。</w:t>
            </w:r>
          </w:p>
        </w:tc>
        <w:tc>
          <w:tcPr>
            <w:tcW w:w="1601" w:type="pct"/>
            <w:gridSpan w:val="2"/>
            <w:vAlign w:val="center"/>
          </w:tcPr>
          <w:p w14:paraId="37BC2304">
            <w:pPr>
              <w:pStyle w:val="133"/>
            </w:pPr>
            <w:r>
              <w:rPr>
                <w:rFonts w:hint="eastAsia"/>
              </w:rPr>
              <w:t>总管煤气压力、流量调节采用手动仪表控制。炉顶温度、压力、炉底温度、压力、炉顶荒煤气采用仪表监测。</w:t>
            </w:r>
          </w:p>
        </w:tc>
        <w:tc>
          <w:tcPr>
            <w:tcW w:w="700" w:type="pct"/>
            <w:vAlign w:val="center"/>
          </w:tcPr>
          <w:p w14:paraId="085F3BD8">
            <w:pPr>
              <w:pStyle w:val="133"/>
            </w:pPr>
            <w:r>
              <w:rPr>
                <w:rFonts w:hint="eastAsia"/>
              </w:rPr>
              <w:t>炭化生产系统及煤气净化系统均采用仪表监测</w:t>
            </w:r>
          </w:p>
        </w:tc>
        <w:tc>
          <w:tcPr>
            <w:tcW w:w="223" w:type="pct"/>
            <w:vAlign w:val="center"/>
          </w:tcPr>
          <w:p w14:paraId="507415AC">
            <w:pPr>
              <w:pStyle w:val="133"/>
            </w:pPr>
            <w:r>
              <w:rPr>
                <w:rFonts w:hint="eastAsia"/>
              </w:rPr>
              <w:t>二级</w:t>
            </w:r>
          </w:p>
        </w:tc>
        <w:tc>
          <w:tcPr>
            <w:tcW w:w="749" w:type="pct"/>
            <w:vAlign w:val="center"/>
          </w:tcPr>
          <w:p w14:paraId="47983349">
            <w:pPr>
              <w:pStyle w:val="133"/>
            </w:pPr>
            <w:r>
              <w:rPr>
                <w:rFonts w:hint="eastAsia"/>
              </w:rPr>
              <w:t>炭化生产系统及煤气净化系统均采用自控监测与自动控制。</w:t>
            </w:r>
          </w:p>
        </w:tc>
        <w:tc>
          <w:tcPr>
            <w:tcW w:w="189" w:type="pct"/>
            <w:vAlign w:val="center"/>
          </w:tcPr>
          <w:p w14:paraId="34F44166">
            <w:pPr>
              <w:pStyle w:val="133"/>
            </w:pPr>
            <w:r>
              <w:rPr>
                <w:rFonts w:hint="eastAsia"/>
              </w:rPr>
              <w:t>一级</w:t>
            </w:r>
          </w:p>
        </w:tc>
      </w:tr>
      <w:tr w14:paraId="0D0B5D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08C73F67">
            <w:pPr>
              <w:pStyle w:val="133"/>
            </w:pPr>
          </w:p>
        </w:tc>
        <w:tc>
          <w:tcPr>
            <w:tcW w:w="416" w:type="pct"/>
            <w:vAlign w:val="center"/>
          </w:tcPr>
          <w:p w14:paraId="5ED7F735">
            <w:pPr>
              <w:pStyle w:val="133"/>
            </w:pPr>
            <w:r>
              <w:rPr>
                <w:rFonts w:hint="eastAsia"/>
              </w:rPr>
              <w:t>荒煤气放散</w:t>
            </w:r>
          </w:p>
        </w:tc>
        <w:tc>
          <w:tcPr>
            <w:tcW w:w="2498" w:type="pct"/>
            <w:gridSpan w:val="3"/>
            <w:vAlign w:val="center"/>
          </w:tcPr>
          <w:p w14:paraId="1E338D37">
            <w:pPr>
              <w:pStyle w:val="133"/>
            </w:pPr>
            <w:r>
              <w:rPr>
                <w:rFonts w:hint="eastAsia"/>
              </w:rPr>
              <w:t>煤气事故放散设有自动点火装置</w:t>
            </w:r>
          </w:p>
        </w:tc>
        <w:tc>
          <w:tcPr>
            <w:tcW w:w="700" w:type="pct"/>
            <w:vAlign w:val="center"/>
          </w:tcPr>
          <w:p w14:paraId="113C97A9">
            <w:pPr>
              <w:pStyle w:val="133"/>
            </w:pPr>
            <w:r>
              <w:rPr>
                <w:rFonts w:hint="eastAsia"/>
              </w:rPr>
              <w:t>煤气事故放散设有自动点火装置</w:t>
            </w:r>
          </w:p>
        </w:tc>
        <w:tc>
          <w:tcPr>
            <w:tcW w:w="223" w:type="pct"/>
            <w:vAlign w:val="center"/>
          </w:tcPr>
          <w:p w14:paraId="40809C8E">
            <w:pPr>
              <w:pStyle w:val="133"/>
            </w:pPr>
            <w:r>
              <w:rPr>
                <w:rFonts w:hint="eastAsia"/>
              </w:rPr>
              <w:t>一级</w:t>
            </w:r>
          </w:p>
        </w:tc>
        <w:tc>
          <w:tcPr>
            <w:tcW w:w="749" w:type="pct"/>
            <w:vAlign w:val="center"/>
          </w:tcPr>
          <w:p w14:paraId="3ABD2C1B">
            <w:pPr>
              <w:pStyle w:val="133"/>
            </w:pPr>
            <w:r>
              <w:rPr>
                <w:rFonts w:hint="eastAsia"/>
              </w:rPr>
              <w:t>煤气事故放散设有自动点火装置</w:t>
            </w:r>
          </w:p>
        </w:tc>
        <w:tc>
          <w:tcPr>
            <w:tcW w:w="189" w:type="pct"/>
            <w:vAlign w:val="center"/>
          </w:tcPr>
          <w:p w14:paraId="0651D956">
            <w:pPr>
              <w:pStyle w:val="133"/>
            </w:pPr>
            <w:r>
              <w:rPr>
                <w:rFonts w:hint="eastAsia"/>
              </w:rPr>
              <w:t>一级</w:t>
            </w:r>
          </w:p>
        </w:tc>
      </w:tr>
      <w:tr w14:paraId="2BFE0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08085C5A">
            <w:pPr>
              <w:pStyle w:val="133"/>
            </w:pPr>
          </w:p>
        </w:tc>
        <w:tc>
          <w:tcPr>
            <w:tcW w:w="416" w:type="pct"/>
            <w:vAlign w:val="center"/>
          </w:tcPr>
          <w:p w14:paraId="43CB8D56">
            <w:pPr>
              <w:pStyle w:val="133"/>
            </w:pPr>
            <w:r>
              <w:rPr>
                <w:rFonts w:hint="eastAsia"/>
              </w:rPr>
              <w:t>熄焦与出焦</w:t>
            </w:r>
          </w:p>
        </w:tc>
        <w:tc>
          <w:tcPr>
            <w:tcW w:w="897" w:type="pct"/>
            <w:vAlign w:val="center"/>
          </w:tcPr>
          <w:p w14:paraId="72F9EF43">
            <w:pPr>
              <w:pStyle w:val="133"/>
            </w:pPr>
            <w:r>
              <w:rPr>
                <w:rFonts w:hint="eastAsia"/>
              </w:rPr>
              <w:t>干法密闭熄焦、连续出焦</w:t>
            </w:r>
          </w:p>
        </w:tc>
        <w:tc>
          <w:tcPr>
            <w:tcW w:w="700" w:type="pct"/>
            <w:vAlign w:val="center"/>
          </w:tcPr>
          <w:p w14:paraId="795CC111">
            <w:pPr>
              <w:pStyle w:val="133"/>
            </w:pPr>
            <w:r>
              <w:rPr>
                <w:rFonts w:hint="eastAsia"/>
              </w:rPr>
              <w:t>新型湿法密闭熄焦、连续出焦</w:t>
            </w:r>
          </w:p>
        </w:tc>
        <w:tc>
          <w:tcPr>
            <w:tcW w:w="901" w:type="pct"/>
            <w:vAlign w:val="center"/>
          </w:tcPr>
          <w:p w14:paraId="7667A062">
            <w:pPr>
              <w:pStyle w:val="133"/>
            </w:pPr>
            <w:r>
              <w:rPr>
                <w:rFonts w:hint="eastAsia"/>
              </w:rPr>
              <w:t>湿法熄焦、水封连续出焦</w:t>
            </w:r>
          </w:p>
        </w:tc>
        <w:tc>
          <w:tcPr>
            <w:tcW w:w="700" w:type="pct"/>
            <w:vAlign w:val="center"/>
          </w:tcPr>
          <w:p w14:paraId="0840CD16">
            <w:pPr>
              <w:pStyle w:val="133"/>
            </w:pPr>
            <w:r>
              <w:rPr>
                <w:rFonts w:hint="eastAsia"/>
              </w:rPr>
              <w:t>湿法熄焦</w:t>
            </w:r>
          </w:p>
        </w:tc>
        <w:tc>
          <w:tcPr>
            <w:tcW w:w="223" w:type="pct"/>
            <w:vAlign w:val="center"/>
          </w:tcPr>
          <w:p w14:paraId="00CF5FF5">
            <w:pPr>
              <w:pStyle w:val="133"/>
            </w:pPr>
            <w:r>
              <w:rPr>
                <w:rFonts w:hint="eastAsia"/>
              </w:rPr>
              <w:t>三级</w:t>
            </w:r>
          </w:p>
        </w:tc>
        <w:tc>
          <w:tcPr>
            <w:tcW w:w="749" w:type="pct"/>
            <w:vAlign w:val="center"/>
          </w:tcPr>
          <w:p w14:paraId="0080CF82">
            <w:pPr>
              <w:pStyle w:val="133"/>
            </w:pPr>
            <w:r>
              <w:rPr>
                <w:rFonts w:hint="eastAsia"/>
              </w:rPr>
              <w:t>水冷壁蒸汽熄焦、连续出焦。</w:t>
            </w:r>
          </w:p>
        </w:tc>
        <w:tc>
          <w:tcPr>
            <w:tcW w:w="189" w:type="pct"/>
            <w:vAlign w:val="center"/>
          </w:tcPr>
          <w:p w14:paraId="68A56419">
            <w:pPr>
              <w:pStyle w:val="133"/>
            </w:pPr>
            <w:r>
              <w:rPr>
                <w:rFonts w:hint="eastAsia"/>
              </w:rPr>
              <w:t>一级</w:t>
            </w:r>
          </w:p>
        </w:tc>
      </w:tr>
      <w:tr w14:paraId="2714A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4AE96F2B">
            <w:pPr>
              <w:pStyle w:val="133"/>
            </w:pPr>
          </w:p>
        </w:tc>
        <w:tc>
          <w:tcPr>
            <w:tcW w:w="416" w:type="pct"/>
            <w:vAlign w:val="center"/>
          </w:tcPr>
          <w:p w14:paraId="785A96D0">
            <w:pPr>
              <w:pStyle w:val="133"/>
            </w:pPr>
            <w:r>
              <w:rPr>
                <w:rFonts w:hint="eastAsia"/>
              </w:rPr>
              <w:t>半焦筛分、转运</w:t>
            </w:r>
          </w:p>
        </w:tc>
        <w:tc>
          <w:tcPr>
            <w:tcW w:w="897" w:type="pct"/>
            <w:vAlign w:val="center"/>
          </w:tcPr>
          <w:p w14:paraId="4658B3BB">
            <w:pPr>
              <w:pStyle w:val="133"/>
            </w:pPr>
            <w:r>
              <w:rPr>
                <w:rFonts w:hint="eastAsia"/>
              </w:rPr>
              <w:t>配备除尘设施，出口达标排放，半焦储存、转运采用全封闭设计。</w:t>
            </w:r>
          </w:p>
        </w:tc>
        <w:tc>
          <w:tcPr>
            <w:tcW w:w="1601" w:type="pct"/>
            <w:gridSpan w:val="2"/>
            <w:vAlign w:val="center"/>
          </w:tcPr>
          <w:p w14:paraId="53F3E4AC">
            <w:pPr>
              <w:pStyle w:val="133"/>
            </w:pPr>
            <w:r>
              <w:rPr>
                <w:rFonts w:hint="eastAsia"/>
              </w:rPr>
              <w:t>配备除尘设施，出口达标排放，半焦储存采用半封闭设计，转运采用封闭设计。</w:t>
            </w:r>
          </w:p>
        </w:tc>
        <w:tc>
          <w:tcPr>
            <w:tcW w:w="700" w:type="pct"/>
            <w:vAlign w:val="center"/>
          </w:tcPr>
          <w:p w14:paraId="1597DE8B">
            <w:pPr>
              <w:pStyle w:val="133"/>
            </w:pPr>
            <w:r>
              <w:rPr>
                <w:rFonts w:hint="eastAsia"/>
              </w:rPr>
              <w:t>配备除尘设施，出口达标排放，半焦储存、转运采用全封闭设计。</w:t>
            </w:r>
          </w:p>
        </w:tc>
        <w:tc>
          <w:tcPr>
            <w:tcW w:w="223" w:type="pct"/>
            <w:vAlign w:val="center"/>
          </w:tcPr>
          <w:p w14:paraId="7086A50D">
            <w:pPr>
              <w:pStyle w:val="133"/>
            </w:pPr>
            <w:r>
              <w:rPr>
                <w:rFonts w:hint="eastAsia"/>
              </w:rPr>
              <w:t>一级</w:t>
            </w:r>
          </w:p>
        </w:tc>
        <w:tc>
          <w:tcPr>
            <w:tcW w:w="749" w:type="pct"/>
            <w:vAlign w:val="center"/>
          </w:tcPr>
          <w:p w14:paraId="4E988F39">
            <w:pPr>
              <w:pStyle w:val="133"/>
            </w:pPr>
            <w:r>
              <w:rPr>
                <w:rFonts w:hint="eastAsia"/>
              </w:rPr>
              <w:t>配备除尘设施，出口达标排放，半焦储存、转运采用全封闭设计。</w:t>
            </w:r>
          </w:p>
        </w:tc>
        <w:tc>
          <w:tcPr>
            <w:tcW w:w="189" w:type="pct"/>
            <w:vAlign w:val="center"/>
          </w:tcPr>
          <w:p w14:paraId="4DBB5765">
            <w:pPr>
              <w:pStyle w:val="133"/>
            </w:pPr>
            <w:r>
              <w:rPr>
                <w:rFonts w:hint="eastAsia"/>
              </w:rPr>
              <w:t>一级</w:t>
            </w:r>
          </w:p>
        </w:tc>
      </w:tr>
      <w:tr w14:paraId="26333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restart"/>
            <w:vAlign w:val="center"/>
          </w:tcPr>
          <w:p w14:paraId="5E75D203">
            <w:pPr>
              <w:pStyle w:val="133"/>
            </w:pPr>
            <w:r>
              <w:rPr>
                <w:rFonts w:hint="eastAsia"/>
              </w:rPr>
              <w:t>煤气净化和污水处理装置</w:t>
            </w:r>
          </w:p>
        </w:tc>
        <w:tc>
          <w:tcPr>
            <w:tcW w:w="416" w:type="pct"/>
            <w:vAlign w:val="center"/>
          </w:tcPr>
          <w:p w14:paraId="6906B0ED">
            <w:pPr>
              <w:pStyle w:val="133"/>
            </w:pPr>
            <w:r>
              <w:rPr>
                <w:rFonts w:hint="eastAsia"/>
              </w:rPr>
              <w:t>工序要求</w:t>
            </w:r>
          </w:p>
        </w:tc>
        <w:tc>
          <w:tcPr>
            <w:tcW w:w="2498" w:type="pct"/>
            <w:gridSpan w:val="3"/>
            <w:vAlign w:val="center"/>
          </w:tcPr>
          <w:p w14:paraId="40BE6D42">
            <w:pPr>
              <w:pStyle w:val="133"/>
            </w:pPr>
            <w:r>
              <w:rPr>
                <w:rFonts w:hint="eastAsia"/>
              </w:rPr>
              <w:t>配套建设煤气净化（含脱硫、脱氨）设施</w:t>
            </w:r>
          </w:p>
        </w:tc>
        <w:tc>
          <w:tcPr>
            <w:tcW w:w="700" w:type="pct"/>
            <w:vAlign w:val="center"/>
          </w:tcPr>
          <w:p w14:paraId="27DDA07D">
            <w:pPr>
              <w:pStyle w:val="133"/>
            </w:pPr>
            <w:r>
              <w:rPr>
                <w:rFonts w:hint="eastAsia"/>
              </w:rPr>
              <w:t>煤气净化工段</w:t>
            </w:r>
          </w:p>
        </w:tc>
        <w:tc>
          <w:tcPr>
            <w:tcW w:w="223" w:type="pct"/>
            <w:vAlign w:val="center"/>
          </w:tcPr>
          <w:p w14:paraId="00C16307">
            <w:pPr>
              <w:pStyle w:val="133"/>
            </w:pPr>
            <w:r>
              <w:rPr>
                <w:rFonts w:hint="eastAsia"/>
              </w:rPr>
              <w:t>一级</w:t>
            </w:r>
          </w:p>
        </w:tc>
        <w:tc>
          <w:tcPr>
            <w:tcW w:w="749" w:type="pct"/>
            <w:vAlign w:val="center"/>
          </w:tcPr>
          <w:p w14:paraId="64724BCD">
            <w:pPr>
              <w:pStyle w:val="133"/>
            </w:pPr>
            <w:r>
              <w:rPr>
                <w:rFonts w:hint="eastAsia"/>
              </w:rPr>
              <w:t>煤气净化工段</w:t>
            </w:r>
          </w:p>
        </w:tc>
        <w:tc>
          <w:tcPr>
            <w:tcW w:w="189" w:type="pct"/>
            <w:vAlign w:val="center"/>
          </w:tcPr>
          <w:p w14:paraId="0FD2D49D">
            <w:pPr>
              <w:pStyle w:val="133"/>
            </w:pPr>
            <w:r>
              <w:rPr>
                <w:rFonts w:hint="eastAsia"/>
              </w:rPr>
              <w:t>一级</w:t>
            </w:r>
          </w:p>
        </w:tc>
      </w:tr>
      <w:tr w14:paraId="67036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15AD27E1">
            <w:pPr>
              <w:pStyle w:val="133"/>
            </w:pPr>
          </w:p>
        </w:tc>
        <w:tc>
          <w:tcPr>
            <w:tcW w:w="416" w:type="pct"/>
            <w:vAlign w:val="center"/>
          </w:tcPr>
          <w:p w14:paraId="2EDF9B16">
            <w:pPr>
              <w:pStyle w:val="133"/>
            </w:pPr>
            <w:r>
              <w:rPr>
                <w:rFonts w:hint="eastAsia"/>
              </w:rPr>
              <w:t>氨水循环池焦油分离池</w:t>
            </w:r>
          </w:p>
        </w:tc>
        <w:tc>
          <w:tcPr>
            <w:tcW w:w="1597" w:type="pct"/>
            <w:gridSpan w:val="2"/>
            <w:vAlign w:val="center"/>
          </w:tcPr>
          <w:p w14:paraId="534D653F">
            <w:pPr>
              <w:pStyle w:val="133"/>
            </w:pPr>
            <w:r>
              <w:rPr>
                <w:rFonts w:hint="eastAsia"/>
              </w:rPr>
              <w:t>新建企业配套建设于地面以上</w:t>
            </w:r>
          </w:p>
        </w:tc>
        <w:tc>
          <w:tcPr>
            <w:tcW w:w="901" w:type="pct"/>
            <w:vAlign w:val="center"/>
          </w:tcPr>
          <w:p w14:paraId="5B31FBF3">
            <w:pPr>
              <w:pStyle w:val="133"/>
            </w:pPr>
            <w:r>
              <w:rPr>
                <w:rFonts w:hint="eastAsia"/>
              </w:rPr>
              <w:t>现有企业已建地下氨水循环池和焦油分离池，配套完善的地下池防渗措施，并在地下池内按照设计规范建设钢罐。</w:t>
            </w:r>
          </w:p>
        </w:tc>
        <w:tc>
          <w:tcPr>
            <w:tcW w:w="700" w:type="pct"/>
            <w:vAlign w:val="center"/>
          </w:tcPr>
          <w:p w14:paraId="7101333B">
            <w:pPr>
              <w:pStyle w:val="133"/>
            </w:pPr>
            <w:r>
              <w:rPr>
                <w:rFonts w:hint="eastAsia"/>
              </w:rPr>
              <w:t>氨水分离槽、循环水罐和焦油分离罐均位于地面以上</w:t>
            </w:r>
          </w:p>
        </w:tc>
        <w:tc>
          <w:tcPr>
            <w:tcW w:w="223" w:type="pct"/>
            <w:vAlign w:val="center"/>
          </w:tcPr>
          <w:p w14:paraId="33775821">
            <w:pPr>
              <w:pStyle w:val="133"/>
            </w:pPr>
            <w:r>
              <w:rPr>
                <w:rFonts w:hint="eastAsia"/>
              </w:rPr>
              <w:t>一级</w:t>
            </w:r>
          </w:p>
        </w:tc>
        <w:tc>
          <w:tcPr>
            <w:tcW w:w="749" w:type="pct"/>
            <w:vAlign w:val="center"/>
          </w:tcPr>
          <w:p w14:paraId="279B7FDB">
            <w:pPr>
              <w:pStyle w:val="133"/>
            </w:pPr>
            <w:r>
              <w:rPr>
                <w:rFonts w:hint="eastAsia"/>
              </w:rPr>
              <w:t>氨水分离槽、循环水罐和焦油分离罐均位于地面以上</w:t>
            </w:r>
          </w:p>
        </w:tc>
        <w:tc>
          <w:tcPr>
            <w:tcW w:w="189" w:type="pct"/>
            <w:vAlign w:val="center"/>
          </w:tcPr>
          <w:p w14:paraId="1384C197">
            <w:pPr>
              <w:pStyle w:val="133"/>
            </w:pPr>
            <w:r>
              <w:rPr>
                <w:rFonts w:hint="eastAsia"/>
              </w:rPr>
              <w:t>一级</w:t>
            </w:r>
          </w:p>
        </w:tc>
      </w:tr>
      <w:tr w14:paraId="181F2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088D2DA9">
            <w:pPr>
              <w:pStyle w:val="133"/>
            </w:pPr>
          </w:p>
        </w:tc>
        <w:tc>
          <w:tcPr>
            <w:tcW w:w="416" w:type="pct"/>
            <w:vAlign w:val="center"/>
          </w:tcPr>
          <w:p w14:paraId="2B1D60EC">
            <w:pPr>
              <w:pStyle w:val="133"/>
            </w:pPr>
            <w:r>
              <w:rPr>
                <w:rFonts w:hint="eastAsia"/>
              </w:rPr>
              <w:t>各工段储槽放散管排出的气体</w:t>
            </w:r>
          </w:p>
        </w:tc>
        <w:tc>
          <w:tcPr>
            <w:tcW w:w="897" w:type="pct"/>
            <w:vAlign w:val="center"/>
          </w:tcPr>
          <w:p w14:paraId="211BFDE0">
            <w:pPr>
              <w:pStyle w:val="133"/>
            </w:pPr>
            <w:r>
              <w:rPr>
                <w:rFonts w:hint="eastAsia"/>
              </w:rPr>
              <w:t>采用压力平衡或排气洗净塔等系统，将废气回收净化利用。</w:t>
            </w:r>
          </w:p>
        </w:tc>
        <w:tc>
          <w:tcPr>
            <w:tcW w:w="1601" w:type="pct"/>
            <w:gridSpan w:val="2"/>
            <w:vAlign w:val="center"/>
          </w:tcPr>
          <w:p w14:paraId="49E7406F">
            <w:pPr>
              <w:pStyle w:val="133"/>
            </w:pPr>
            <w:r>
              <w:rPr>
                <w:rFonts w:hint="eastAsia"/>
              </w:rPr>
              <w:t>配套废气收集系统，送入炭化炉焚烧。</w:t>
            </w:r>
          </w:p>
        </w:tc>
        <w:tc>
          <w:tcPr>
            <w:tcW w:w="700" w:type="pct"/>
            <w:vAlign w:val="center"/>
          </w:tcPr>
          <w:p w14:paraId="5803F711">
            <w:pPr>
              <w:pStyle w:val="133"/>
            </w:pPr>
            <w:r>
              <w:rPr>
                <w:rFonts w:hint="eastAsia"/>
              </w:rPr>
              <w:t>配套废气收集系统与净化系统</w:t>
            </w:r>
          </w:p>
        </w:tc>
        <w:tc>
          <w:tcPr>
            <w:tcW w:w="223" w:type="pct"/>
            <w:vAlign w:val="center"/>
          </w:tcPr>
          <w:p w14:paraId="4130C099">
            <w:pPr>
              <w:pStyle w:val="133"/>
            </w:pPr>
            <w:r>
              <w:rPr>
                <w:rFonts w:hint="eastAsia"/>
              </w:rPr>
              <w:t>二级</w:t>
            </w:r>
          </w:p>
        </w:tc>
        <w:tc>
          <w:tcPr>
            <w:tcW w:w="749" w:type="pct"/>
            <w:vAlign w:val="center"/>
          </w:tcPr>
          <w:p w14:paraId="479FB5CB">
            <w:pPr>
              <w:pStyle w:val="133"/>
            </w:pPr>
            <w:r>
              <w:rPr>
                <w:rFonts w:hint="eastAsia"/>
              </w:rPr>
              <w:t>配套废气收集系统与净化系统</w:t>
            </w:r>
          </w:p>
        </w:tc>
        <w:tc>
          <w:tcPr>
            <w:tcW w:w="189" w:type="pct"/>
            <w:vAlign w:val="center"/>
          </w:tcPr>
          <w:p w14:paraId="550E13EC">
            <w:pPr>
              <w:pStyle w:val="133"/>
            </w:pPr>
            <w:r>
              <w:rPr>
                <w:rFonts w:hint="eastAsia"/>
              </w:rPr>
              <w:t>二级</w:t>
            </w:r>
          </w:p>
        </w:tc>
      </w:tr>
      <w:tr w14:paraId="30A39E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7D94172F">
            <w:pPr>
              <w:pStyle w:val="133"/>
            </w:pPr>
          </w:p>
        </w:tc>
        <w:tc>
          <w:tcPr>
            <w:tcW w:w="416" w:type="pct"/>
            <w:vAlign w:val="center"/>
          </w:tcPr>
          <w:p w14:paraId="354A50A0">
            <w:pPr>
              <w:pStyle w:val="133"/>
            </w:pPr>
            <w:r>
              <w:rPr>
                <w:rFonts w:hint="eastAsia"/>
              </w:rPr>
              <w:t>煤气回收利用装置</w:t>
            </w:r>
          </w:p>
        </w:tc>
        <w:tc>
          <w:tcPr>
            <w:tcW w:w="2498" w:type="pct"/>
            <w:gridSpan w:val="3"/>
            <w:vAlign w:val="center"/>
          </w:tcPr>
          <w:p w14:paraId="7F03C8FC">
            <w:pPr>
              <w:pStyle w:val="133"/>
            </w:pPr>
            <w:r>
              <w:rPr>
                <w:rFonts w:hint="eastAsia"/>
              </w:rPr>
              <w:t>同步配套建设</w:t>
            </w:r>
          </w:p>
        </w:tc>
        <w:tc>
          <w:tcPr>
            <w:tcW w:w="700" w:type="pct"/>
            <w:vAlign w:val="center"/>
          </w:tcPr>
          <w:p w14:paraId="0B74FA4A">
            <w:pPr>
              <w:pStyle w:val="133"/>
            </w:pPr>
            <w:r>
              <w:rPr>
                <w:rFonts w:hint="eastAsia"/>
              </w:rPr>
              <w:t>配套镁冶炼生产线对煤气进行回收利用</w:t>
            </w:r>
          </w:p>
        </w:tc>
        <w:tc>
          <w:tcPr>
            <w:tcW w:w="223" w:type="pct"/>
            <w:vAlign w:val="center"/>
          </w:tcPr>
          <w:p w14:paraId="3321A238">
            <w:pPr>
              <w:pStyle w:val="133"/>
            </w:pPr>
            <w:r>
              <w:rPr>
                <w:rFonts w:hint="eastAsia"/>
              </w:rPr>
              <w:t>一级</w:t>
            </w:r>
          </w:p>
        </w:tc>
        <w:tc>
          <w:tcPr>
            <w:tcW w:w="749" w:type="pct"/>
            <w:vAlign w:val="center"/>
          </w:tcPr>
          <w:p w14:paraId="4F427AF6">
            <w:pPr>
              <w:pStyle w:val="133"/>
            </w:pPr>
            <w:r>
              <w:rPr>
                <w:rFonts w:hint="eastAsia"/>
              </w:rPr>
              <w:t>配套镁冶炼生产线对煤气进行回收利用</w:t>
            </w:r>
          </w:p>
        </w:tc>
        <w:tc>
          <w:tcPr>
            <w:tcW w:w="189" w:type="pct"/>
            <w:vAlign w:val="center"/>
          </w:tcPr>
          <w:p w14:paraId="4473FC52">
            <w:pPr>
              <w:pStyle w:val="133"/>
            </w:pPr>
            <w:r>
              <w:rPr>
                <w:rFonts w:hint="eastAsia"/>
              </w:rPr>
              <w:t>一级</w:t>
            </w:r>
          </w:p>
        </w:tc>
      </w:tr>
      <w:tr w14:paraId="7F58B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5" w:type="pct"/>
            <w:vMerge w:val="continue"/>
            <w:vAlign w:val="center"/>
          </w:tcPr>
          <w:p w14:paraId="0FF7C34C">
            <w:pPr>
              <w:pStyle w:val="133"/>
            </w:pPr>
          </w:p>
        </w:tc>
        <w:tc>
          <w:tcPr>
            <w:tcW w:w="416" w:type="pct"/>
            <w:vAlign w:val="center"/>
          </w:tcPr>
          <w:p w14:paraId="2F0BEEC3">
            <w:pPr>
              <w:pStyle w:val="133"/>
            </w:pPr>
            <w:r>
              <w:rPr>
                <w:rFonts w:hint="eastAsia"/>
              </w:rPr>
              <w:t>生产废水处理装置</w:t>
            </w:r>
          </w:p>
        </w:tc>
        <w:tc>
          <w:tcPr>
            <w:tcW w:w="897" w:type="pct"/>
            <w:vAlign w:val="center"/>
          </w:tcPr>
          <w:p w14:paraId="77D3727F">
            <w:pPr>
              <w:pStyle w:val="133"/>
            </w:pPr>
            <w:r>
              <w:rPr>
                <w:rFonts w:hint="eastAsia"/>
              </w:rPr>
              <w:t>建设废水焚烧处理设施，并按照设计规范配套建设事故储槽（池）及初期雨水收集装置。</w:t>
            </w:r>
          </w:p>
        </w:tc>
        <w:tc>
          <w:tcPr>
            <w:tcW w:w="1601" w:type="pct"/>
            <w:gridSpan w:val="2"/>
            <w:vAlign w:val="center"/>
          </w:tcPr>
          <w:p w14:paraId="05DC732B">
            <w:pPr>
              <w:pStyle w:val="133"/>
            </w:pPr>
            <w:r>
              <w:rPr>
                <w:rFonts w:hint="eastAsia"/>
              </w:rPr>
              <w:t>其他有效废水处理装置，并按照设计规范配套建设事故储槽（池）及初期雨水收集装置。</w:t>
            </w:r>
          </w:p>
        </w:tc>
        <w:tc>
          <w:tcPr>
            <w:tcW w:w="700" w:type="pct"/>
            <w:vAlign w:val="center"/>
          </w:tcPr>
          <w:p w14:paraId="5EFC865F">
            <w:pPr>
              <w:pStyle w:val="133"/>
            </w:pPr>
            <w:r>
              <w:rPr>
                <w:rFonts w:hint="eastAsia"/>
              </w:rPr>
              <w:t>建设废水预处理设施与废水焚烧炉，配套事故池及事故水罐。</w:t>
            </w:r>
          </w:p>
        </w:tc>
        <w:tc>
          <w:tcPr>
            <w:tcW w:w="223" w:type="pct"/>
            <w:vAlign w:val="center"/>
          </w:tcPr>
          <w:p w14:paraId="6CEB43D1">
            <w:pPr>
              <w:pStyle w:val="133"/>
            </w:pPr>
            <w:r>
              <w:rPr>
                <w:rFonts w:hint="eastAsia"/>
              </w:rPr>
              <w:t>一级</w:t>
            </w:r>
          </w:p>
        </w:tc>
        <w:tc>
          <w:tcPr>
            <w:tcW w:w="749" w:type="pct"/>
            <w:vAlign w:val="center"/>
          </w:tcPr>
          <w:p w14:paraId="753AE400">
            <w:pPr>
              <w:pStyle w:val="133"/>
            </w:pPr>
            <w:r>
              <w:rPr>
                <w:rFonts w:hint="eastAsia"/>
              </w:rPr>
              <w:t>建设废水预处理设施与废水焚烧炉，配套事故池及事故水罐。</w:t>
            </w:r>
          </w:p>
        </w:tc>
        <w:tc>
          <w:tcPr>
            <w:tcW w:w="189" w:type="pct"/>
            <w:vAlign w:val="center"/>
          </w:tcPr>
          <w:p w14:paraId="6F49DAB8">
            <w:pPr>
              <w:pStyle w:val="133"/>
            </w:pPr>
            <w:r>
              <w:rPr>
                <w:rFonts w:hint="eastAsia"/>
              </w:rPr>
              <w:t>一级</w:t>
            </w:r>
          </w:p>
        </w:tc>
      </w:tr>
    </w:tbl>
    <w:p w14:paraId="09364A02">
      <w:pPr>
        <w:pStyle w:val="133"/>
      </w:pPr>
    </w:p>
    <w:p w14:paraId="0F02EAE6">
      <w:pPr>
        <w:pStyle w:val="118"/>
      </w:pPr>
    </w:p>
    <w:p w14:paraId="0483FC37">
      <w:pPr>
        <w:pStyle w:val="118"/>
      </w:pPr>
    </w:p>
    <w:p w14:paraId="0FBF3113">
      <w:pPr>
        <w:pStyle w:val="118"/>
      </w:pPr>
    </w:p>
    <w:p w14:paraId="5188F346">
      <w:pPr>
        <w:pStyle w:val="118"/>
      </w:pPr>
    </w:p>
    <w:p w14:paraId="02C1F5FD">
      <w:pPr>
        <w:pStyle w:val="118"/>
      </w:pPr>
      <w:r>
        <w:rPr>
          <w:rFonts w:hint="eastAsia"/>
        </w:rPr>
        <w:t>表3.9-2  技改前、技改后项目与资（源）能源消耗和副产品综合利用指标对比分析表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52"/>
        <w:gridCol w:w="1514"/>
        <w:gridCol w:w="1633"/>
        <w:gridCol w:w="1517"/>
        <w:gridCol w:w="1576"/>
        <w:gridCol w:w="1576"/>
        <w:gridCol w:w="1576"/>
        <w:gridCol w:w="930"/>
      </w:tblGrid>
      <w:tr w14:paraId="1B166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9" w:type="pct"/>
            <w:vMerge w:val="restart"/>
            <w:vAlign w:val="center"/>
          </w:tcPr>
          <w:p w14:paraId="426F6BC5">
            <w:pPr>
              <w:pStyle w:val="133"/>
              <w:rPr>
                <w:b/>
                <w:bCs/>
              </w:rPr>
            </w:pPr>
            <w:r>
              <w:rPr>
                <w:b/>
                <w:bCs/>
              </w:rPr>
              <w:t>指标</w:t>
            </w:r>
          </w:p>
        </w:tc>
        <w:tc>
          <w:tcPr>
            <w:tcW w:w="534" w:type="pct"/>
            <w:vMerge w:val="restart"/>
            <w:vAlign w:val="center"/>
          </w:tcPr>
          <w:p w14:paraId="4786345D">
            <w:pPr>
              <w:pStyle w:val="133"/>
              <w:rPr>
                <w:b/>
                <w:bCs/>
              </w:rPr>
            </w:pPr>
            <w:r>
              <w:rPr>
                <w:b/>
                <w:bCs/>
              </w:rPr>
              <w:t>一级</w:t>
            </w:r>
          </w:p>
        </w:tc>
        <w:tc>
          <w:tcPr>
            <w:tcW w:w="576" w:type="pct"/>
            <w:vMerge w:val="restart"/>
            <w:vAlign w:val="center"/>
          </w:tcPr>
          <w:p w14:paraId="0293BEC9">
            <w:pPr>
              <w:pStyle w:val="133"/>
              <w:rPr>
                <w:b/>
                <w:bCs/>
              </w:rPr>
            </w:pPr>
            <w:r>
              <w:rPr>
                <w:b/>
                <w:bCs/>
              </w:rPr>
              <w:t>二级</w:t>
            </w:r>
          </w:p>
        </w:tc>
        <w:tc>
          <w:tcPr>
            <w:tcW w:w="535" w:type="pct"/>
            <w:vMerge w:val="restart"/>
            <w:vAlign w:val="center"/>
          </w:tcPr>
          <w:p w14:paraId="790AE72E">
            <w:pPr>
              <w:pStyle w:val="133"/>
              <w:rPr>
                <w:b/>
                <w:bCs/>
              </w:rPr>
            </w:pPr>
            <w:r>
              <w:rPr>
                <w:b/>
                <w:bCs/>
              </w:rPr>
              <w:t>三级</w:t>
            </w:r>
          </w:p>
        </w:tc>
        <w:tc>
          <w:tcPr>
            <w:tcW w:w="1112" w:type="pct"/>
            <w:gridSpan w:val="2"/>
            <w:vAlign w:val="center"/>
          </w:tcPr>
          <w:p w14:paraId="45C353FD">
            <w:pPr>
              <w:pStyle w:val="133"/>
              <w:rPr>
                <w:b/>
                <w:bCs/>
              </w:rPr>
            </w:pPr>
            <w:r>
              <w:rPr>
                <w:rFonts w:hint="eastAsia"/>
                <w:b/>
                <w:bCs/>
              </w:rPr>
              <w:t>技改前</w:t>
            </w:r>
          </w:p>
        </w:tc>
        <w:tc>
          <w:tcPr>
            <w:tcW w:w="884" w:type="pct"/>
            <w:gridSpan w:val="2"/>
            <w:vAlign w:val="center"/>
          </w:tcPr>
          <w:p w14:paraId="50D8753C">
            <w:pPr>
              <w:pStyle w:val="133"/>
              <w:rPr>
                <w:b/>
                <w:bCs/>
              </w:rPr>
            </w:pPr>
            <w:r>
              <w:rPr>
                <w:rFonts w:hint="eastAsia"/>
                <w:b/>
                <w:bCs/>
              </w:rPr>
              <w:t>技改后</w:t>
            </w:r>
          </w:p>
        </w:tc>
      </w:tr>
      <w:tr w14:paraId="31B54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59" w:type="pct"/>
            <w:vMerge w:val="continue"/>
            <w:vAlign w:val="center"/>
          </w:tcPr>
          <w:p w14:paraId="6606946B">
            <w:pPr>
              <w:pStyle w:val="133"/>
              <w:rPr>
                <w:b/>
                <w:bCs/>
              </w:rPr>
            </w:pPr>
          </w:p>
        </w:tc>
        <w:tc>
          <w:tcPr>
            <w:tcW w:w="534" w:type="pct"/>
            <w:vMerge w:val="continue"/>
            <w:vAlign w:val="center"/>
          </w:tcPr>
          <w:p w14:paraId="2578BED7">
            <w:pPr>
              <w:pStyle w:val="133"/>
              <w:rPr>
                <w:b/>
                <w:bCs/>
              </w:rPr>
            </w:pPr>
          </w:p>
        </w:tc>
        <w:tc>
          <w:tcPr>
            <w:tcW w:w="576" w:type="pct"/>
            <w:vMerge w:val="continue"/>
            <w:vAlign w:val="center"/>
          </w:tcPr>
          <w:p w14:paraId="243E1327">
            <w:pPr>
              <w:pStyle w:val="133"/>
              <w:rPr>
                <w:b/>
                <w:bCs/>
              </w:rPr>
            </w:pPr>
          </w:p>
        </w:tc>
        <w:tc>
          <w:tcPr>
            <w:tcW w:w="535" w:type="pct"/>
            <w:vMerge w:val="continue"/>
            <w:vAlign w:val="center"/>
          </w:tcPr>
          <w:p w14:paraId="7C7178DC">
            <w:pPr>
              <w:pStyle w:val="133"/>
              <w:rPr>
                <w:b/>
                <w:bCs/>
              </w:rPr>
            </w:pPr>
          </w:p>
        </w:tc>
        <w:tc>
          <w:tcPr>
            <w:tcW w:w="556" w:type="pct"/>
            <w:vAlign w:val="center"/>
          </w:tcPr>
          <w:p w14:paraId="4D318BE4">
            <w:pPr>
              <w:pStyle w:val="133"/>
              <w:rPr>
                <w:b/>
                <w:bCs/>
              </w:rPr>
            </w:pPr>
            <w:r>
              <w:rPr>
                <w:rFonts w:hint="eastAsia"/>
                <w:b/>
                <w:bCs/>
              </w:rPr>
              <w:t>项目情况</w:t>
            </w:r>
          </w:p>
        </w:tc>
        <w:tc>
          <w:tcPr>
            <w:tcW w:w="556" w:type="pct"/>
            <w:vAlign w:val="center"/>
          </w:tcPr>
          <w:p w14:paraId="6E8E49A4">
            <w:pPr>
              <w:pStyle w:val="133"/>
              <w:rPr>
                <w:b/>
                <w:bCs/>
              </w:rPr>
            </w:pPr>
            <w:r>
              <w:rPr>
                <w:rFonts w:hint="eastAsia"/>
                <w:b/>
                <w:bCs/>
              </w:rPr>
              <w:t>对比情况</w:t>
            </w:r>
          </w:p>
        </w:tc>
        <w:tc>
          <w:tcPr>
            <w:tcW w:w="556" w:type="pct"/>
            <w:vAlign w:val="center"/>
          </w:tcPr>
          <w:p w14:paraId="28368AE2">
            <w:pPr>
              <w:pStyle w:val="133"/>
              <w:rPr>
                <w:b/>
                <w:bCs/>
              </w:rPr>
            </w:pPr>
            <w:r>
              <w:rPr>
                <w:b/>
                <w:bCs/>
              </w:rPr>
              <w:t>项目</w:t>
            </w:r>
            <w:r>
              <w:rPr>
                <w:rFonts w:hint="eastAsia"/>
                <w:b/>
                <w:bCs/>
              </w:rPr>
              <w:t>情况</w:t>
            </w:r>
          </w:p>
        </w:tc>
        <w:tc>
          <w:tcPr>
            <w:tcW w:w="328" w:type="pct"/>
            <w:vAlign w:val="center"/>
          </w:tcPr>
          <w:p w14:paraId="4F7AB66D">
            <w:pPr>
              <w:pStyle w:val="133"/>
              <w:rPr>
                <w:b/>
                <w:bCs/>
              </w:rPr>
            </w:pPr>
            <w:r>
              <w:rPr>
                <w:b/>
                <w:bCs/>
              </w:rPr>
              <w:t>对比情况</w:t>
            </w:r>
          </w:p>
        </w:tc>
      </w:tr>
      <w:tr w14:paraId="69FB90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pct"/>
            <w:vAlign w:val="center"/>
          </w:tcPr>
          <w:p w14:paraId="119F87ED">
            <w:pPr>
              <w:pStyle w:val="133"/>
            </w:pPr>
            <w:r>
              <w:rPr>
                <w:rFonts w:hint="eastAsia"/>
              </w:rPr>
              <w:t>工序能耗（千克标准煤</w:t>
            </w:r>
            <w:r>
              <w:t>/</w:t>
            </w:r>
            <w:r>
              <w:rPr>
                <w:rFonts w:hint="eastAsia"/>
              </w:rPr>
              <w:t>吨焦）</w:t>
            </w:r>
          </w:p>
        </w:tc>
        <w:tc>
          <w:tcPr>
            <w:tcW w:w="534" w:type="pct"/>
            <w:vAlign w:val="center"/>
          </w:tcPr>
          <w:p w14:paraId="302E4532">
            <w:pPr>
              <w:pStyle w:val="133"/>
            </w:pPr>
            <w:r>
              <w:rPr>
                <w:rFonts w:hint="eastAsia"/>
              </w:rPr>
              <w:t>≤160</w:t>
            </w:r>
          </w:p>
        </w:tc>
        <w:tc>
          <w:tcPr>
            <w:tcW w:w="576" w:type="pct"/>
            <w:vAlign w:val="center"/>
          </w:tcPr>
          <w:p w14:paraId="7A216E8B">
            <w:pPr>
              <w:pStyle w:val="133"/>
            </w:pPr>
            <w:r>
              <w:rPr>
                <w:rFonts w:hint="eastAsia"/>
              </w:rPr>
              <w:t>≤180</w:t>
            </w:r>
          </w:p>
        </w:tc>
        <w:tc>
          <w:tcPr>
            <w:tcW w:w="535" w:type="pct"/>
            <w:vAlign w:val="center"/>
          </w:tcPr>
          <w:p w14:paraId="6F9AD376">
            <w:pPr>
              <w:pStyle w:val="133"/>
            </w:pPr>
            <w:r>
              <w:rPr>
                <w:rFonts w:hint="eastAsia"/>
              </w:rPr>
              <w:t>≤200</w:t>
            </w:r>
          </w:p>
        </w:tc>
        <w:tc>
          <w:tcPr>
            <w:tcW w:w="556" w:type="pct"/>
            <w:vAlign w:val="center"/>
          </w:tcPr>
          <w:p w14:paraId="5A73579A">
            <w:pPr>
              <w:pStyle w:val="133"/>
            </w:pPr>
            <w:r>
              <w:rPr>
                <w:rFonts w:hint="eastAsia"/>
              </w:rPr>
              <w:t>190</w:t>
            </w:r>
          </w:p>
        </w:tc>
        <w:tc>
          <w:tcPr>
            <w:tcW w:w="556" w:type="pct"/>
            <w:vAlign w:val="center"/>
          </w:tcPr>
          <w:p w14:paraId="5B930A29">
            <w:pPr>
              <w:pStyle w:val="133"/>
            </w:pPr>
            <w:r>
              <w:rPr>
                <w:rFonts w:hint="eastAsia"/>
              </w:rPr>
              <w:t>三级</w:t>
            </w:r>
          </w:p>
        </w:tc>
        <w:tc>
          <w:tcPr>
            <w:tcW w:w="556" w:type="pct"/>
            <w:vAlign w:val="center"/>
          </w:tcPr>
          <w:p w14:paraId="21AF5792">
            <w:pPr>
              <w:pStyle w:val="133"/>
            </w:pPr>
            <w:r>
              <w:rPr>
                <w:rFonts w:hint="eastAsia"/>
              </w:rPr>
              <w:t>175</w:t>
            </w:r>
          </w:p>
        </w:tc>
        <w:tc>
          <w:tcPr>
            <w:tcW w:w="328" w:type="pct"/>
            <w:vAlign w:val="center"/>
          </w:tcPr>
          <w:p w14:paraId="5EBF3FB3">
            <w:pPr>
              <w:pStyle w:val="133"/>
            </w:pPr>
            <w:r>
              <w:t>二级</w:t>
            </w:r>
          </w:p>
        </w:tc>
      </w:tr>
      <w:tr w14:paraId="63A4E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pct"/>
            <w:vAlign w:val="center"/>
          </w:tcPr>
          <w:p w14:paraId="72EAA7E5">
            <w:pPr>
              <w:pStyle w:val="133"/>
            </w:pPr>
            <w:r>
              <w:rPr>
                <w:rFonts w:hint="eastAsia"/>
              </w:rPr>
              <w:t>吨焦耗新鲜水量（立方米</w:t>
            </w:r>
            <w:r>
              <w:t>/</w:t>
            </w:r>
            <w:r>
              <w:rPr>
                <w:rFonts w:hint="eastAsia"/>
              </w:rPr>
              <w:t>吨）</w:t>
            </w:r>
            <w:r>
              <w:t xml:space="preserve"> </w:t>
            </w:r>
          </w:p>
        </w:tc>
        <w:tc>
          <w:tcPr>
            <w:tcW w:w="534" w:type="pct"/>
            <w:vAlign w:val="center"/>
          </w:tcPr>
          <w:p w14:paraId="2F37F4FA">
            <w:pPr>
              <w:pStyle w:val="133"/>
            </w:pPr>
            <w:r>
              <w:rPr>
                <w:rFonts w:hint="eastAsia"/>
              </w:rPr>
              <w:t>≤0.5</w:t>
            </w:r>
          </w:p>
        </w:tc>
        <w:tc>
          <w:tcPr>
            <w:tcW w:w="576" w:type="pct"/>
            <w:vAlign w:val="center"/>
          </w:tcPr>
          <w:p w14:paraId="10BDED2B">
            <w:pPr>
              <w:pStyle w:val="133"/>
            </w:pPr>
            <w:r>
              <w:rPr>
                <w:rFonts w:hint="eastAsia"/>
              </w:rPr>
              <w:t>≤1.2</w:t>
            </w:r>
          </w:p>
        </w:tc>
        <w:tc>
          <w:tcPr>
            <w:tcW w:w="535" w:type="pct"/>
            <w:vAlign w:val="center"/>
          </w:tcPr>
          <w:p w14:paraId="614055FF">
            <w:pPr>
              <w:pStyle w:val="133"/>
            </w:pPr>
            <w:r>
              <w:rPr>
                <w:rFonts w:hint="eastAsia"/>
              </w:rPr>
              <w:t>≤2.4</w:t>
            </w:r>
          </w:p>
        </w:tc>
        <w:tc>
          <w:tcPr>
            <w:tcW w:w="556" w:type="pct"/>
            <w:vAlign w:val="center"/>
          </w:tcPr>
          <w:p w14:paraId="6186A046">
            <w:pPr>
              <w:pStyle w:val="133"/>
            </w:pPr>
            <w:r>
              <w:rPr>
                <w:rFonts w:hint="eastAsia"/>
              </w:rPr>
              <w:t>0.62</w:t>
            </w:r>
          </w:p>
        </w:tc>
        <w:tc>
          <w:tcPr>
            <w:tcW w:w="556" w:type="pct"/>
            <w:vAlign w:val="center"/>
          </w:tcPr>
          <w:p w14:paraId="3121953B">
            <w:pPr>
              <w:pStyle w:val="133"/>
            </w:pPr>
            <w:r>
              <w:rPr>
                <w:rFonts w:hint="eastAsia"/>
              </w:rPr>
              <w:t>二级</w:t>
            </w:r>
          </w:p>
        </w:tc>
        <w:tc>
          <w:tcPr>
            <w:tcW w:w="556" w:type="pct"/>
            <w:vAlign w:val="center"/>
          </w:tcPr>
          <w:p w14:paraId="7C300D7F">
            <w:pPr>
              <w:pStyle w:val="133"/>
            </w:pPr>
            <w:r>
              <w:rPr>
                <w:rFonts w:hint="eastAsia"/>
              </w:rPr>
              <w:t>0.25</w:t>
            </w:r>
          </w:p>
        </w:tc>
        <w:tc>
          <w:tcPr>
            <w:tcW w:w="328" w:type="pct"/>
            <w:vAlign w:val="center"/>
          </w:tcPr>
          <w:p w14:paraId="5A82B69F">
            <w:pPr>
              <w:pStyle w:val="133"/>
            </w:pPr>
            <w:r>
              <w:t>一级</w:t>
            </w:r>
          </w:p>
        </w:tc>
      </w:tr>
      <w:tr w14:paraId="4008D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pct"/>
            <w:vAlign w:val="center"/>
          </w:tcPr>
          <w:p w14:paraId="48CF6ED1">
            <w:pPr>
              <w:pStyle w:val="133"/>
            </w:pPr>
            <w:r>
              <w:rPr>
                <w:rFonts w:hint="eastAsia"/>
              </w:rPr>
              <w:t>煤焦油收率（</w:t>
            </w:r>
            <w:r>
              <w:t>%</w:t>
            </w:r>
            <w:r>
              <w:rPr>
                <w:rFonts w:hint="eastAsia"/>
              </w:rPr>
              <w:t>）</w:t>
            </w:r>
          </w:p>
        </w:tc>
        <w:tc>
          <w:tcPr>
            <w:tcW w:w="534" w:type="pct"/>
            <w:vAlign w:val="center"/>
          </w:tcPr>
          <w:p w14:paraId="58DB2D4D">
            <w:pPr>
              <w:pStyle w:val="133"/>
            </w:pPr>
            <w:r>
              <w:rPr>
                <w:rFonts w:hint="eastAsia"/>
              </w:rPr>
              <w:t>≥90</w:t>
            </w:r>
          </w:p>
        </w:tc>
        <w:tc>
          <w:tcPr>
            <w:tcW w:w="576" w:type="pct"/>
            <w:vAlign w:val="center"/>
          </w:tcPr>
          <w:p w14:paraId="6B65D9F5">
            <w:pPr>
              <w:pStyle w:val="133"/>
            </w:pPr>
            <w:r>
              <w:rPr>
                <w:rFonts w:hint="eastAsia"/>
              </w:rPr>
              <w:t>≥85</w:t>
            </w:r>
          </w:p>
        </w:tc>
        <w:tc>
          <w:tcPr>
            <w:tcW w:w="535" w:type="pct"/>
            <w:vAlign w:val="center"/>
          </w:tcPr>
          <w:p w14:paraId="3D6776ED">
            <w:pPr>
              <w:pStyle w:val="133"/>
            </w:pPr>
            <w:r>
              <w:rPr>
                <w:rFonts w:hint="eastAsia"/>
              </w:rPr>
              <w:t>≥75</w:t>
            </w:r>
          </w:p>
        </w:tc>
        <w:tc>
          <w:tcPr>
            <w:tcW w:w="556" w:type="pct"/>
            <w:vAlign w:val="center"/>
          </w:tcPr>
          <w:p w14:paraId="43829EE1">
            <w:pPr>
              <w:pStyle w:val="133"/>
            </w:pPr>
            <w:r>
              <w:rPr>
                <w:rFonts w:hint="eastAsia"/>
              </w:rPr>
              <w:t>95</w:t>
            </w:r>
          </w:p>
        </w:tc>
        <w:tc>
          <w:tcPr>
            <w:tcW w:w="556" w:type="pct"/>
            <w:vAlign w:val="center"/>
          </w:tcPr>
          <w:p w14:paraId="347AEF25">
            <w:pPr>
              <w:pStyle w:val="133"/>
            </w:pPr>
            <w:r>
              <w:rPr>
                <w:rFonts w:hint="eastAsia"/>
              </w:rPr>
              <w:t>二级</w:t>
            </w:r>
          </w:p>
        </w:tc>
        <w:tc>
          <w:tcPr>
            <w:tcW w:w="556" w:type="pct"/>
            <w:vAlign w:val="center"/>
          </w:tcPr>
          <w:p w14:paraId="454A43BB">
            <w:pPr>
              <w:pStyle w:val="133"/>
            </w:pPr>
            <w:r>
              <w:rPr>
                <w:rFonts w:hint="eastAsia"/>
              </w:rPr>
              <w:t>90</w:t>
            </w:r>
          </w:p>
        </w:tc>
        <w:tc>
          <w:tcPr>
            <w:tcW w:w="328" w:type="pct"/>
            <w:vAlign w:val="center"/>
          </w:tcPr>
          <w:p w14:paraId="4D152A69">
            <w:pPr>
              <w:pStyle w:val="133"/>
            </w:pPr>
            <w:r>
              <w:t>一级</w:t>
            </w:r>
          </w:p>
        </w:tc>
      </w:tr>
      <w:tr w14:paraId="1F8F2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pct"/>
            <w:vAlign w:val="center"/>
          </w:tcPr>
          <w:p w14:paraId="2D447C60">
            <w:pPr>
              <w:pStyle w:val="133"/>
            </w:pPr>
            <w:r>
              <w:rPr>
                <w:rFonts w:hint="eastAsia"/>
              </w:rPr>
              <w:t>末煤利用率（</w:t>
            </w:r>
            <w:r>
              <w:t>%</w:t>
            </w:r>
            <w:r>
              <w:rPr>
                <w:rFonts w:hint="eastAsia"/>
              </w:rPr>
              <w:t>）</w:t>
            </w:r>
          </w:p>
        </w:tc>
        <w:tc>
          <w:tcPr>
            <w:tcW w:w="534" w:type="pct"/>
            <w:vAlign w:val="center"/>
          </w:tcPr>
          <w:p w14:paraId="37644C03">
            <w:pPr>
              <w:pStyle w:val="133"/>
            </w:pPr>
            <w:r>
              <w:rPr>
                <w:rFonts w:hint="eastAsia"/>
              </w:rPr>
              <w:t>100</w:t>
            </w:r>
          </w:p>
        </w:tc>
        <w:tc>
          <w:tcPr>
            <w:tcW w:w="576" w:type="pct"/>
            <w:vAlign w:val="center"/>
          </w:tcPr>
          <w:p w14:paraId="1DC4E077">
            <w:pPr>
              <w:pStyle w:val="133"/>
            </w:pPr>
            <w:r>
              <w:rPr>
                <w:rFonts w:hint="eastAsia"/>
              </w:rPr>
              <w:t>98</w:t>
            </w:r>
          </w:p>
        </w:tc>
        <w:tc>
          <w:tcPr>
            <w:tcW w:w="535" w:type="pct"/>
            <w:vAlign w:val="center"/>
          </w:tcPr>
          <w:p w14:paraId="24E3F2C0">
            <w:pPr>
              <w:pStyle w:val="133"/>
            </w:pPr>
            <w:r>
              <w:rPr>
                <w:rFonts w:hint="eastAsia"/>
              </w:rPr>
              <w:t>95</w:t>
            </w:r>
          </w:p>
        </w:tc>
        <w:tc>
          <w:tcPr>
            <w:tcW w:w="556" w:type="pct"/>
            <w:vAlign w:val="center"/>
          </w:tcPr>
          <w:p w14:paraId="38ECC1BD">
            <w:pPr>
              <w:pStyle w:val="133"/>
            </w:pPr>
            <w:r>
              <w:rPr>
                <w:rFonts w:hint="eastAsia"/>
              </w:rPr>
              <w:t>100</w:t>
            </w:r>
          </w:p>
        </w:tc>
        <w:tc>
          <w:tcPr>
            <w:tcW w:w="556" w:type="pct"/>
            <w:vAlign w:val="center"/>
          </w:tcPr>
          <w:p w14:paraId="721F0673">
            <w:pPr>
              <w:pStyle w:val="133"/>
            </w:pPr>
            <w:r>
              <w:t>一级</w:t>
            </w:r>
          </w:p>
        </w:tc>
        <w:tc>
          <w:tcPr>
            <w:tcW w:w="556" w:type="pct"/>
            <w:vAlign w:val="center"/>
          </w:tcPr>
          <w:p w14:paraId="57E46818">
            <w:pPr>
              <w:pStyle w:val="133"/>
            </w:pPr>
            <w:r>
              <w:rPr>
                <w:rFonts w:hint="eastAsia"/>
              </w:rPr>
              <w:t>100</w:t>
            </w:r>
          </w:p>
        </w:tc>
        <w:tc>
          <w:tcPr>
            <w:tcW w:w="328" w:type="pct"/>
            <w:vAlign w:val="center"/>
          </w:tcPr>
          <w:p w14:paraId="707A5155">
            <w:pPr>
              <w:pStyle w:val="133"/>
            </w:pPr>
            <w:r>
              <w:t>一级</w:t>
            </w:r>
          </w:p>
        </w:tc>
      </w:tr>
      <w:tr w14:paraId="2DF2FA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pct"/>
            <w:vAlign w:val="center"/>
          </w:tcPr>
          <w:p w14:paraId="5256D910">
            <w:pPr>
              <w:pStyle w:val="133"/>
            </w:pPr>
            <w:r>
              <w:rPr>
                <w:rFonts w:hint="eastAsia"/>
              </w:rPr>
              <w:t>炭化炉煤气利用率（</w:t>
            </w:r>
            <w:r>
              <w:t>%</w:t>
            </w:r>
            <w:r>
              <w:rPr>
                <w:rFonts w:hint="eastAsia"/>
              </w:rPr>
              <w:t>）</w:t>
            </w:r>
          </w:p>
        </w:tc>
        <w:tc>
          <w:tcPr>
            <w:tcW w:w="1110" w:type="pct"/>
            <w:gridSpan w:val="2"/>
            <w:vAlign w:val="center"/>
          </w:tcPr>
          <w:p w14:paraId="68D215C6">
            <w:pPr>
              <w:pStyle w:val="133"/>
            </w:pPr>
            <w:r>
              <w:rPr>
                <w:rFonts w:hint="eastAsia"/>
              </w:rPr>
              <w:t>100</w:t>
            </w:r>
          </w:p>
        </w:tc>
        <w:tc>
          <w:tcPr>
            <w:tcW w:w="535" w:type="pct"/>
            <w:vAlign w:val="center"/>
          </w:tcPr>
          <w:p w14:paraId="5E9A3A66">
            <w:pPr>
              <w:pStyle w:val="133"/>
            </w:pPr>
            <w:r>
              <w:rPr>
                <w:rFonts w:hint="eastAsia"/>
              </w:rPr>
              <w:t>98</w:t>
            </w:r>
          </w:p>
        </w:tc>
        <w:tc>
          <w:tcPr>
            <w:tcW w:w="556" w:type="pct"/>
            <w:vAlign w:val="center"/>
          </w:tcPr>
          <w:p w14:paraId="0DF28839">
            <w:pPr>
              <w:pStyle w:val="133"/>
            </w:pPr>
            <w:r>
              <w:rPr>
                <w:rFonts w:hint="eastAsia"/>
              </w:rPr>
              <w:t>100</w:t>
            </w:r>
          </w:p>
        </w:tc>
        <w:tc>
          <w:tcPr>
            <w:tcW w:w="556" w:type="pct"/>
            <w:vAlign w:val="center"/>
          </w:tcPr>
          <w:p w14:paraId="6AA0379F">
            <w:pPr>
              <w:pStyle w:val="133"/>
            </w:pPr>
            <w:r>
              <w:t>一级</w:t>
            </w:r>
          </w:p>
        </w:tc>
        <w:tc>
          <w:tcPr>
            <w:tcW w:w="556" w:type="pct"/>
            <w:vAlign w:val="center"/>
          </w:tcPr>
          <w:p w14:paraId="5DBF435A">
            <w:pPr>
              <w:pStyle w:val="133"/>
            </w:pPr>
            <w:r>
              <w:rPr>
                <w:rFonts w:hint="eastAsia"/>
              </w:rPr>
              <w:t>100</w:t>
            </w:r>
          </w:p>
        </w:tc>
        <w:tc>
          <w:tcPr>
            <w:tcW w:w="328" w:type="pct"/>
            <w:vAlign w:val="center"/>
          </w:tcPr>
          <w:p w14:paraId="0D87CDE8">
            <w:pPr>
              <w:pStyle w:val="133"/>
            </w:pPr>
            <w:r>
              <w:t>一级</w:t>
            </w:r>
          </w:p>
        </w:tc>
      </w:tr>
      <w:tr w14:paraId="06EA7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pct"/>
            <w:vAlign w:val="center"/>
          </w:tcPr>
          <w:p w14:paraId="5D83A335">
            <w:pPr>
              <w:pStyle w:val="133"/>
            </w:pPr>
            <w:r>
              <w:rPr>
                <w:rFonts w:hint="eastAsia"/>
              </w:rPr>
              <w:t>单位产品综合能耗</w:t>
            </w:r>
            <w:r>
              <w:t>（</w:t>
            </w:r>
            <w:r>
              <w:rPr>
                <w:rFonts w:hint="eastAsia"/>
              </w:rPr>
              <w:t>千克标准煤</w:t>
            </w:r>
            <w:r>
              <w:t>/</w:t>
            </w:r>
            <w:r>
              <w:rPr>
                <w:rFonts w:hint="eastAsia"/>
              </w:rPr>
              <w:t>吨焦）</w:t>
            </w:r>
          </w:p>
        </w:tc>
        <w:tc>
          <w:tcPr>
            <w:tcW w:w="534" w:type="pct"/>
            <w:vAlign w:val="center"/>
          </w:tcPr>
          <w:p w14:paraId="1E18FEE0">
            <w:pPr>
              <w:pStyle w:val="133"/>
            </w:pPr>
            <w:r>
              <w:rPr>
                <w:rFonts w:hint="eastAsia"/>
              </w:rPr>
              <w:t>≤</w:t>
            </w:r>
            <w:r>
              <w:t>190</w:t>
            </w:r>
            <w:r>
              <w:rPr>
                <w:rFonts w:hint="eastAsia"/>
              </w:rPr>
              <w:t>（内热）</w:t>
            </w:r>
          </w:p>
          <w:p w14:paraId="3FF689F4">
            <w:pPr>
              <w:pStyle w:val="133"/>
            </w:pPr>
            <w:r>
              <w:rPr>
                <w:rFonts w:hint="eastAsia"/>
              </w:rPr>
              <w:t>≤</w:t>
            </w:r>
            <w:r>
              <w:t>180</w:t>
            </w:r>
            <w:r>
              <w:rPr>
                <w:rFonts w:hint="eastAsia"/>
              </w:rPr>
              <w:t>（外热）</w:t>
            </w:r>
          </w:p>
        </w:tc>
        <w:tc>
          <w:tcPr>
            <w:tcW w:w="576" w:type="pct"/>
            <w:vAlign w:val="center"/>
          </w:tcPr>
          <w:p w14:paraId="7017206B">
            <w:pPr>
              <w:pStyle w:val="133"/>
            </w:pPr>
            <w:r>
              <w:rPr>
                <w:rFonts w:hint="eastAsia"/>
              </w:rPr>
              <w:t>≤21</w:t>
            </w:r>
            <w:r>
              <w:t>0</w:t>
            </w:r>
            <w:r>
              <w:rPr>
                <w:rFonts w:hint="eastAsia"/>
              </w:rPr>
              <w:t>（内热）</w:t>
            </w:r>
          </w:p>
          <w:p w14:paraId="42438D5A">
            <w:pPr>
              <w:pStyle w:val="133"/>
            </w:pPr>
            <w:r>
              <w:rPr>
                <w:rFonts w:hint="eastAsia"/>
              </w:rPr>
              <w:t>≤200</w:t>
            </w:r>
            <w:r>
              <w:t>0</w:t>
            </w:r>
            <w:r>
              <w:rPr>
                <w:rFonts w:hint="eastAsia"/>
              </w:rPr>
              <w:t>（外热）</w:t>
            </w:r>
          </w:p>
        </w:tc>
        <w:tc>
          <w:tcPr>
            <w:tcW w:w="535" w:type="pct"/>
            <w:vAlign w:val="center"/>
          </w:tcPr>
          <w:p w14:paraId="34927F80">
            <w:pPr>
              <w:pStyle w:val="133"/>
            </w:pPr>
            <w:r>
              <w:rPr>
                <w:rFonts w:hint="eastAsia"/>
              </w:rPr>
              <w:t>≤24</w:t>
            </w:r>
            <w:r>
              <w:t>0</w:t>
            </w:r>
            <w:r>
              <w:rPr>
                <w:rFonts w:hint="eastAsia"/>
              </w:rPr>
              <w:t>（内热）</w:t>
            </w:r>
          </w:p>
          <w:p w14:paraId="7332281D">
            <w:pPr>
              <w:pStyle w:val="133"/>
            </w:pPr>
            <w:r>
              <w:rPr>
                <w:rFonts w:hint="eastAsia"/>
              </w:rPr>
              <w:t>≤23</w:t>
            </w:r>
            <w:r>
              <w:t>0</w:t>
            </w:r>
            <w:r>
              <w:rPr>
                <w:rFonts w:hint="eastAsia"/>
              </w:rPr>
              <w:t>（外热）</w:t>
            </w:r>
          </w:p>
        </w:tc>
        <w:tc>
          <w:tcPr>
            <w:tcW w:w="556" w:type="pct"/>
            <w:vAlign w:val="center"/>
          </w:tcPr>
          <w:p w14:paraId="1369A406">
            <w:pPr>
              <w:pStyle w:val="133"/>
            </w:pPr>
            <w:r>
              <w:rPr>
                <w:rFonts w:hint="eastAsia"/>
              </w:rPr>
              <w:t>190（内热）</w:t>
            </w:r>
          </w:p>
        </w:tc>
        <w:tc>
          <w:tcPr>
            <w:tcW w:w="556" w:type="pct"/>
            <w:vAlign w:val="center"/>
          </w:tcPr>
          <w:p w14:paraId="773F576D">
            <w:pPr>
              <w:pStyle w:val="133"/>
            </w:pPr>
            <w:r>
              <w:rPr>
                <w:rFonts w:hint="eastAsia"/>
              </w:rPr>
              <w:t>一级</w:t>
            </w:r>
          </w:p>
        </w:tc>
        <w:tc>
          <w:tcPr>
            <w:tcW w:w="556" w:type="pct"/>
            <w:vAlign w:val="center"/>
          </w:tcPr>
          <w:p w14:paraId="6639DFD6">
            <w:pPr>
              <w:pStyle w:val="133"/>
            </w:pPr>
            <w:r>
              <w:rPr>
                <w:rFonts w:hint="eastAsia"/>
              </w:rPr>
              <w:t>175（内热）</w:t>
            </w:r>
          </w:p>
        </w:tc>
        <w:tc>
          <w:tcPr>
            <w:tcW w:w="328" w:type="pct"/>
            <w:vAlign w:val="center"/>
          </w:tcPr>
          <w:p w14:paraId="554D05F5">
            <w:pPr>
              <w:pStyle w:val="133"/>
            </w:pPr>
            <w:r>
              <w:t>一级</w:t>
            </w:r>
          </w:p>
        </w:tc>
      </w:tr>
      <w:tr w14:paraId="32E29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9" w:type="pct"/>
            <w:vAlign w:val="center"/>
          </w:tcPr>
          <w:p w14:paraId="6B5BEEBF">
            <w:pPr>
              <w:pStyle w:val="133"/>
            </w:pPr>
            <w:r>
              <w:rPr>
                <w:rFonts w:hint="eastAsia"/>
              </w:rPr>
              <w:t>水循环利用率（</w:t>
            </w:r>
            <w:r>
              <w:t>%</w:t>
            </w:r>
            <w:r>
              <w:rPr>
                <w:rFonts w:hint="eastAsia"/>
              </w:rPr>
              <w:t>）</w:t>
            </w:r>
          </w:p>
        </w:tc>
        <w:tc>
          <w:tcPr>
            <w:tcW w:w="1645" w:type="pct"/>
            <w:gridSpan w:val="3"/>
            <w:vAlign w:val="center"/>
          </w:tcPr>
          <w:p w14:paraId="40E30BC6">
            <w:pPr>
              <w:pStyle w:val="133"/>
            </w:pPr>
            <w:r>
              <w:rPr>
                <w:rFonts w:hint="eastAsia"/>
              </w:rPr>
              <w:t>100</w:t>
            </w:r>
          </w:p>
        </w:tc>
        <w:tc>
          <w:tcPr>
            <w:tcW w:w="556" w:type="pct"/>
            <w:vAlign w:val="center"/>
          </w:tcPr>
          <w:p w14:paraId="0E227D11">
            <w:pPr>
              <w:pStyle w:val="133"/>
            </w:pPr>
            <w:r>
              <w:rPr>
                <w:rFonts w:hint="eastAsia"/>
              </w:rPr>
              <w:t>100</w:t>
            </w:r>
          </w:p>
        </w:tc>
        <w:tc>
          <w:tcPr>
            <w:tcW w:w="556" w:type="pct"/>
            <w:vAlign w:val="center"/>
          </w:tcPr>
          <w:p w14:paraId="1C481B92">
            <w:pPr>
              <w:pStyle w:val="133"/>
            </w:pPr>
            <w:r>
              <w:t>一级</w:t>
            </w:r>
          </w:p>
        </w:tc>
        <w:tc>
          <w:tcPr>
            <w:tcW w:w="556" w:type="pct"/>
            <w:vAlign w:val="center"/>
          </w:tcPr>
          <w:p w14:paraId="61478478">
            <w:pPr>
              <w:pStyle w:val="133"/>
            </w:pPr>
            <w:r>
              <w:rPr>
                <w:rFonts w:hint="eastAsia"/>
              </w:rPr>
              <w:t>100</w:t>
            </w:r>
          </w:p>
        </w:tc>
        <w:tc>
          <w:tcPr>
            <w:tcW w:w="328" w:type="pct"/>
            <w:vAlign w:val="center"/>
          </w:tcPr>
          <w:p w14:paraId="0FB1CBC2">
            <w:pPr>
              <w:pStyle w:val="133"/>
            </w:pPr>
            <w:r>
              <w:t>一级</w:t>
            </w:r>
          </w:p>
        </w:tc>
      </w:tr>
    </w:tbl>
    <w:p w14:paraId="397A7AA3">
      <w:pPr>
        <w:pStyle w:val="133"/>
      </w:pPr>
    </w:p>
    <w:p w14:paraId="2ABF990E">
      <w:pPr>
        <w:pStyle w:val="118"/>
      </w:pPr>
      <w:r>
        <w:rPr>
          <w:rFonts w:hint="eastAsia"/>
        </w:rPr>
        <w:t>表3.9-3  本项目与产品指标对比分析表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488"/>
        <w:gridCol w:w="2410"/>
        <w:gridCol w:w="2268"/>
        <w:gridCol w:w="2696"/>
        <w:gridCol w:w="550"/>
        <w:gridCol w:w="2257"/>
        <w:gridCol w:w="624"/>
      </w:tblGrid>
      <w:tr w14:paraId="37D01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11" w:type="pct"/>
            <w:vMerge w:val="restart"/>
            <w:vAlign w:val="center"/>
          </w:tcPr>
          <w:p w14:paraId="422B6ED3">
            <w:pPr>
              <w:pStyle w:val="133"/>
              <w:rPr>
                <w:b/>
                <w:bCs/>
              </w:rPr>
            </w:pPr>
            <w:r>
              <w:rPr>
                <w:rFonts w:hint="eastAsia"/>
                <w:b/>
                <w:bCs/>
              </w:rPr>
              <w:t>指标</w:t>
            </w:r>
          </w:p>
        </w:tc>
        <w:tc>
          <w:tcPr>
            <w:tcW w:w="878" w:type="pct"/>
            <w:vMerge w:val="restart"/>
            <w:vAlign w:val="center"/>
          </w:tcPr>
          <w:p w14:paraId="17475B16">
            <w:pPr>
              <w:pStyle w:val="133"/>
              <w:rPr>
                <w:b/>
                <w:bCs/>
              </w:rPr>
            </w:pPr>
            <w:r>
              <w:rPr>
                <w:rFonts w:hint="eastAsia"/>
                <w:b/>
                <w:bCs/>
              </w:rPr>
              <w:t>一级</w:t>
            </w:r>
          </w:p>
        </w:tc>
        <w:tc>
          <w:tcPr>
            <w:tcW w:w="850" w:type="pct"/>
            <w:vMerge w:val="restart"/>
            <w:vAlign w:val="center"/>
          </w:tcPr>
          <w:p w14:paraId="277E2AF1">
            <w:pPr>
              <w:pStyle w:val="133"/>
              <w:rPr>
                <w:b/>
                <w:bCs/>
              </w:rPr>
            </w:pPr>
            <w:r>
              <w:rPr>
                <w:rFonts w:hint="eastAsia"/>
                <w:b/>
                <w:bCs/>
              </w:rPr>
              <w:t>二级</w:t>
            </w:r>
          </w:p>
        </w:tc>
        <w:tc>
          <w:tcPr>
            <w:tcW w:w="800" w:type="pct"/>
            <w:vMerge w:val="restart"/>
            <w:vAlign w:val="center"/>
          </w:tcPr>
          <w:p w14:paraId="2E423220">
            <w:pPr>
              <w:pStyle w:val="133"/>
              <w:rPr>
                <w:b/>
                <w:bCs/>
              </w:rPr>
            </w:pPr>
            <w:r>
              <w:rPr>
                <w:rFonts w:hint="eastAsia"/>
                <w:b/>
                <w:bCs/>
              </w:rPr>
              <w:t>三级</w:t>
            </w:r>
          </w:p>
        </w:tc>
        <w:tc>
          <w:tcPr>
            <w:tcW w:w="1145" w:type="pct"/>
            <w:gridSpan w:val="2"/>
            <w:vAlign w:val="center"/>
          </w:tcPr>
          <w:p w14:paraId="7930CCFD">
            <w:pPr>
              <w:pStyle w:val="133"/>
              <w:rPr>
                <w:b/>
                <w:bCs/>
              </w:rPr>
            </w:pPr>
            <w:r>
              <w:rPr>
                <w:rFonts w:hint="eastAsia"/>
                <w:b/>
                <w:bCs/>
              </w:rPr>
              <w:t>技改前</w:t>
            </w:r>
          </w:p>
        </w:tc>
        <w:tc>
          <w:tcPr>
            <w:tcW w:w="1016" w:type="pct"/>
            <w:gridSpan w:val="2"/>
            <w:vAlign w:val="center"/>
          </w:tcPr>
          <w:p w14:paraId="09205100">
            <w:pPr>
              <w:pStyle w:val="133"/>
              <w:rPr>
                <w:b/>
                <w:bCs/>
              </w:rPr>
            </w:pPr>
            <w:r>
              <w:rPr>
                <w:rFonts w:hint="eastAsia"/>
                <w:b/>
                <w:bCs/>
              </w:rPr>
              <w:t>技改后</w:t>
            </w:r>
          </w:p>
        </w:tc>
      </w:tr>
      <w:tr w14:paraId="40E30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11" w:type="pct"/>
            <w:vMerge w:val="continue"/>
            <w:vAlign w:val="center"/>
          </w:tcPr>
          <w:p w14:paraId="135F7FC3">
            <w:pPr>
              <w:pStyle w:val="133"/>
              <w:rPr>
                <w:b/>
                <w:bCs/>
              </w:rPr>
            </w:pPr>
          </w:p>
        </w:tc>
        <w:tc>
          <w:tcPr>
            <w:tcW w:w="878" w:type="pct"/>
            <w:vMerge w:val="continue"/>
            <w:vAlign w:val="center"/>
          </w:tcPr>
          <w:p w14:paraId="51B50EDE">
            <w:pPr>
              <w:pStyle w:val="133"/>
              <w:rPr>
                <w:b/>
                <w:bCs/>
              </w:rPr>
            </w:pPr>
          </w:p>
        </w:tc>
        <w:tc>
          <w:tcPr>
            <w:tcW w:w="850" w:type="pct"/>
            <w:vMerge w:val="continue"/>
            <w:vAlign w:val="center"/>
          </w:tcPr>
          <w:p w14:paraId="2A0828E0">
            <w:pPr>
              <w:pStyle w:val="133"/>
              <w:rPr>
                <w:b/>
                <w:bCs/>
              </w:rPr>
            </w:pPr>
          </w:p>
        </w:tc>
        <w:tc>
          <w:tcPr>
            <w:tcW w:w="800" w:type="pct"/>
            <w:vMerge w:val="continue"/>
            <w:vAlign w:val="center"/>
          </w:tcPr>
          <w:p w14:paraId="1614E521">
            <w:pPr>
              <w:pStyle w:val="133"/>
              <w:rPr>
                <w:b/>
                <w:bCs/>
              </w:rPr>
            </w:pPr>
          </w:p>
        </w:tc>
        <w:tc>
          <w:tcPr>
            <w:tcW w:w="951" w:type="pct"/>
            <w:vAlign w:val="center"/>
          </w:tcPr>
          <w:p w14:paraId="4731F0FD">
            <w:pPr>
              <w:pStyle w:val="133"/>
              <w:rPr>
                <w:b/>
                <w:bCs/>
              </w:rPr>
            </w:pPr>
            <w:r>
              <w:rPr>
                <w:rFonts w:hint="eastAsia"/>
                <w:b/>
                <w:bCs/>
              </w:rPr>
              <w:t>本项目</w:t>
            </w:r>
          </w:p>
        </w:tc>
        <w:tc>
          <w:tcPr>
            <w:tcW w:w="194" w:type="pct"/>
            <w:vAlign w:val="center"/>
          </w:tcPr>
          <w:p w14:paraId="6E520B9B">
            <w:pPr>
              <w:pStyle w:val="133"/>
              <w:rPr>
                <w:b/>
                <w:bCs/>
              </w:rPr>
            </w:pPr>
            <w:r>
              <w:rPr>
                <w:rFonts w:hint="eastAsia"/>
                <w:b/>
                <w:bCs/>
              </w:rPr>
              <w:t>对比情况</w:t>
            </w:r>
          </w:p>
        </w:tc>
        <w:tc>
          <w:tcPr>
            <w:tcW w:w="796" w:type="pct"/>
            <w:vAlign w:val="center"/>
          </w:tcPr>
          <w:p w14:paraId="3AA6EEF7">
            <w:pPr>
              <w:pStyle w:val="133"/>
              <w:rPr>
                <w:b/>
                <w:bCs/>
              </w:rPr>
            </w:pPr>
            <w:r>
              <w:rPr>
                <w:rFonts w:hint="eastAsia"/>
                <w:b/>
                <w:bCs/>
              </w:rPr>
              <w:t>本项目</w:t>
            </w:r>
          </w:p>
        </w:tc>
        <w:tc>
          <w:tcPr>
            <w:tcW w:w="220" w:type="pct"/>
            <w:vAlign w:val="center"/>
          </w:tcPr>
          <w:p w14:paraId="312A5A9D">
            <w:pPr>
              <w:pStyle w:val="133"/>
              <w:rPr>
                <w:b/>
                <w:bCs/>
              </w:rPr>
            </w:pPr>
            <w:r>
              <w:rPr>
                <w:rFonts w:hint="eastAsia"/>
                <w:b/>
                <w:bCs/>
              </w:rPr>
              <w:t>对比情况</w:t>
            </w:r>
          </w:p>
        </w:tc>
      </w:tr>
      <w:tr w14:paraId="325E4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Align w:val="center"/>
          </w:tcPr>
          <w:p w14:paraId="618BD63A">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半焦</w:t>
            </w:r>
          </w:p>
        </w:tc>
        <w:tc>
          <w:tcPr>
            <w:tcW w:w="878" w:type="pct"/>
            <w:vAlign w:val="center"/>
          </w:tcPr>
          <w:p w14:paraId="4CA66083">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挥发分</w:t>
            </w:r>
            <w:r>
              <w:rPr>
                <w:color w:val="000000" w:themeColor="text1"/>
                <w14:textFill>
                  <w14:solidFill>
                    <w14:schemeClr w14:val="tx1"/>
                  </w14:solidFill>
                </w14:textFill>
              </w:rPr>
              <w:t>V1</w:t>
            </w:r>
          </w:p>
          <w:p w14:paraId="25D15B95">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灰分</w:t>
            </w:r>
            <w:r>
              <w:rPr>
                <w:color w:val="000000" w:themeColor="text1"/>
                <w14:textFill>
                  <w14:solidFill>
                    <w14:schemeClr w14:val="tx1"/>
                  </w14:solidFill>
                </w14:textFill>
              </w:rPr>
              <w:t>A1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A4</w:t>
            </w:r>
          </w:p>
          <w:p w14:paraId="6BB31C5F">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硫分</w:t>
            </w:r>
            <w:r>
              <w:rPr>
                <w:color w:val="000000" w:themeColor="text1"/>
                <w14:textFill>
                  <w14:solidFill>
                    <w14:schemeClr w14:val="tx1"/>
                  </w14:solidFill>
                </w14:textFill>
              </w:rPr>
              <w:t>S1</w:t>
            </w:r>
          </w:p>
          <w:p w14:paraId="51546006">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固定碳</w:t>
            </w:r>
            <w:r>
              <w:rPr>
                <w:color w:val="000000" w:themeColor="text1"/>
                <w14:textFill>
                  <w14:solidFill>
                    <w14:schemeClr w14:val="tx1"/>
                  </w14:solidFill>
                </w14:textFill>
              </w:rPr>
              <w:t>FC1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FC2</w:t>
            </w:r>
          </w:p>
        </w:tc>
        <w:tc>
          <w:tcPr>
            <w:tcW w:w="850" w:type="pct"/>
            <w:vAlign w:val="center"/>
          </w:tcPr>
          <w:p w14:paraId="2CF4953B">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挥发分</w:t>
            </w:r>
            <w:r>
              <w:rPr>
                <w:color w:val="000000" w:themeColor="text1"/>
                <w14:textFill>
                  <w14:solidFill>
                    <w14:schemeClr w14:val="tx1"/>
                  </w14:solidFill>
                </w14:textFill>
              </w:rPr>
              <w:t>V2</w:t>
            </w:r>
          </w:p>
          <w:p w14:paraId="3E0DC41D">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灰分</w:t>
            </w:r>
            <w:r>
              <w:rPr>
                <w:color w:val="000000" w:themeColor="text1"/>
                <w14:textFill>
                  <w14:solidFill>
                    <w14:schemeClr w14:val="tx1"/>
                  </w14:solidFill>
                </w14:textFill>
              </w:rPr>
              <w:t>A5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A8</w:t>
            </w:r>
          </w:p>
          <w:p w14:paraId="3129518C">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硫分</w:t>
            </w:r>
            <w:r>
              <w:rPr>
                <w:color w:val="000000" w:themeColor="text1"/>
                <w14:textFill>
                  <w14:solidFill>
                    <w14:schemeClr w14:val="tx1"/>
                  </w14:solidFill>
                </w14:textFill>
              </w:rPr>
              <w:t>S1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S3</w:t>
            </w:r>
          </w:p>
          <w:p w14:paraId="192A2681">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固定碳</w:t>
            </w:r>
            <w:r>
              <w:rPr>
                <w:color w:val="000000" w:themeColor="text1"/>
                <w14:textFill>
                  <w14:solidFill>
                    <w14:schemeClr w14:val="tx1"/>
                  </w14:solidFill>
                </w14:textFill>
              </w:rPr>
              <w:t>FC3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FC4</w:t>
            </w:r>
          </w:p>
        </w:tc>
        <w:tc>
          <w:tcPr>
            <w:tcW w:w="800" w:type="pct"/>
            <w:vAlign w:val="center"/>
          </w:tcPr>
          <w:p w14:paraId="0113D0A6">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挥发分</w:t>
            </w:r>
            <w:r>
              <w:rPr>
                <w:color w:val="000000" w:themeColor="text1"/>
                <w14:textFill>
                  <w14:solidFill>
                    <w14:schemeClr w14:val="tx1"/>
                  </w14:solidFill>
                </w14:textFill>
              </w:rPr>
              <w:t>V3</w:t>
            </w:r>
          </w:p>
          <w:p w14:paraId="7038231A">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灰分</w:t>
            </w:r>
            <w:r>
              <w:rPr>
                <w:color w:val="000000" w:themeColor="text1"/>
                <w14:textFill>
                  <w14:solidFill>
                    <w14:schemeClr w14:val="tx1"/>
                  </w14:solidFill>
                </w14:textFill>
              </w:rPr>
              <w:t>A9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A12</w:t>
            </w:r>
          </w:p>
          <w:p w14:paraId="34A7A27F">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硫分</w:t>
            </w:r>
            <w:r>
              <w:rPr>
                <w:color w:val="000000" w:themeColor="text1"/>
                <w14:textFill>
                  <w14:solidFill>
                    <w14:schemeClr w14:val="tx1"/>
                  </w14:solidFill>
                </w14:textFill>
              </w:rPr>
              <w:t>S4</w:t>
            </w:r>
          </w:p>
          <w:p w14:paraId="1E119F81">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固定碳</w:t>
            </w:r>
            <w:r>
              <w:rPr>
                <w:color w:val="000000" w:themeColor="text1"/>
                <w14:textFill>
                  <w14:solidFill>
                    <w14:schemeClr w14:val="tx1"/>
                  </w14:solidFill>
                </w14:textFill>
              </w:rPr>
              <w:t>FC5</w:t>
            </w:r>
          </w:p>
        </w:tc>
        <w:tc>
          <w:tcPr>
            <w:tcW w:w="951" w:type="pct"/>
            <w:vAlign w:val="center"/>
          </w:tcPr>
          <w:p w14:paraId="0DB017FB">
            <w:pPr>
              <w:pStyle w:val="133"/>
            </w:pPr>
            <w:r>
              <w:rPr>
                <w:rFonts w:hint="eastAsia"/>
              </w:rPr>
              <w:t>挥发分</w:t>
            </w:r>
            <w:r>
              <w:t>V3</w:t>
            </w:r>
          </w:p>
          <w:p w14:paraId="3794A930">
            <w:pPr>
              <w:pStyle w:val="133"/>
            </w:pPr>
            <w:r>
              <w:rPr>
                <w:rFonts w:hint="eastAsia"/>
              </w:rPr>
              <w:t>灰分</w:t>
            </w:r>
            <w:r>
              <w:t>A9</w:t>
            </w:r>
            <w:r>
              <w:rPr>
                <w:rFonts w:hint="eastAsia"/>
              </w:rPr>
              <w:t>～</w:t>
            </w:r>
            <w:r>
              <w:t>A12</w:t>
            </w:r>
          </w:p>
          <w:p w14:paraId="5D2B6855">
            <w:pPr>
              <w:pStyle w:val="133"/>
            </w:pPr>
            <w:r>
              <w:rPr>
                <w:rFonts w:hint="eastAsia"/>
              </w:rPr>
              <w:t>硫分</w:t>
            </w:r>
            <w:r>
              <w:t>S4</w:t>
            </w:r>
          </w:p>
          <w:p w14:paraId="597923DA">
            <w:pPr>
              <w:pStyle w:val="133"/>
              <w:rPr>
                <w:color w:val="000000" w:themeColor="text1"/>
                <w14:textFill>
                  <w14:solidFill>
                    <w14:schemeClr w14:val="tx1"/>
                  </w14:solidFill>
                </w14:textFill>
              </w:rPr>
            </w:pPr>
            <w:r>
              <w:rPr>
                <w:rFonts w:hint="eastAsia"/>
              </w:rPr>
              <w:t>固定碳</w:t>
            </w:r>
            <w:r>
              <w:t>FC5</w:t>
            </w:r>
          </w:p>
        </w:tc>
        <w:tc>
          <w:tcPr>
            <w:tcW w:w="194" w:type="pct"/>
            <w:vAlign w:val="center"/>
          </w:tcPr>
          <w:p w14:paraId="3B611FEE">
            <w:pPr>
              <w:pStyle w:val="133"/>
              <w:rPr>
                <w:color w:val="000000" w:themeColor="text1"/>
                <w14:textFill>
                  <w14:solidFill>
                    <w14:schemeClr w14:val="tx1"/>
                  </w14:solidFill>
                </w14:textFill>
              </w:rPr>
            </w:pPr>
            <w:r>
              <w:rPr>
                <w:rFonts w:hint="eastAsia"/>
              </w:rPr>
              <w:t>三级</w:t>
            </w:r>
          </w:p>
        </w:tc>
        <w:tc>
          <w:tcPr>
            <w:tcW w:w="796" w:type="pct"/>
            <w:vAlign w:val="center"/>
          </w:tcPr>
          <w:p w14:paraId="2520E8A3">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挥发分</w:t>
            </w:r>
            <w:r>
              <w:rPr>
                <w:color w:val="000000" w:themeColor="text1"/>
                <w14:textFill>
                  <w14:solidFill>
                    <w14:schemeClr w14:val="tx1"/>
                  </w14:solidFill>
                </w14:textFill>
              </w:rPr>
              <w:t>V2</w:t>
            </w:r>
          </w:p>
          <w:p w14:paraId="7A8987B5">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灰分</w:t>
            </w:r>
            <w:r>
              <w:rPr>
                <w:color w:val="000000" w:themeColor="text1"/>
                <w14:textFill>
                  <w14:solidFill>
                    <w14:schemeClr w14:val="tx1"/>
                  </w14:solidFill>
                </w14:textFill>
              </w:rPr>
              <w:t>A5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A8</w:t>
            </w:r>
          </w:p>
          <w:p w14:paraId="09282A6F">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硫分</w:t>
            </w:r>
            <w:r>
              <w:rPr>
                <w:color w:val="000000" w:themeColor="text1"/>
                <w14:textFill>
                  <w14:solidFill>
                    <w14:schemeClr w14:val="tx1"/>
                  </w14:solidFill>
                </w14:textFill>
              </w:rPr>
              <w:t>S1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S3</w:t>
            </w:r>
          </w:p>
          <w:p w14:paraId="64F0AB94">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固定碳</w:t>
            </w:r>
            <w:r>
              <w:rPr>
                <w:color w:val="000000" w:themeColor="text1"/>
                <w14:textFill>
                  <w14:solidFill>
                    <w14:schemeClr w14:val="tx1"/>
                  </w14:solidFill>
                </w14:textFill>
              </w:rPr>
              <w:t>FC3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FC4</w:t>
            </w:r>
          </w:p>
        </w:tc>
        <w:tc>
          <w:tcPr>
            <w:tcW w:w="220" w:type="pct"/>
            <w:vAlign w:val="center"/>
          </w:tcPr>
          <w:p w14:paraId="7FF34300">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0AD00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Align w:val="center"/>
          </w:tcPr>
          <w:p w14:paraId="66221035">
            <w:pPr>
              <w:pStyle w:val="133"/>
            </w:pPr>
            <w:r>
              <w:rPr>
                <w:rFonts w:hint="eastAsia"/>
              </w:rPr>
              <w:t>炭化炉煤气</w:t>
            </w:r>
          </w:p>
        </w:tc>
        <w:tc>
          <w:tcPr>
            <w:tcW w:w="2528" w:type="pct"/>
            <w:gridSpan w:val="3"/>
            <w:vAlign w:val="center"/>
          </w:tcPr>
          <w:p w14:paraId="43D4B159">
            <w:pPr>
              <w:pStyle w:val="133"/>
            </w:pPr>
            <w:r>
              <w:rPr>
                <w:rFonts w:hint="eastAsia"/>
              </w:rPr>
              <w:t>执行</w:t>
            </w:r>
            <w:r>
              <w:t>GB/T 13612</w:t>
            </w:r>
            <w:r>
              <w:rPr>
                <w:rFonts w:hint="eastAsia"/>
              </w:rPr>
              <w:t>：</w:t>
            </w:r>
            <w:r>
              <w:t>H</w:t>
            </w:r>
            <w:r>
              <w:rPr>
                <w:vertAlign w:val="subscript"/>
              </w:rPr>
              <w:t>2</w:t>
            </w:r>
            <w:r>
              <w:t>S</w:t>
            </w:r>
            <w:r>
              <w:rPr>
                <w:rFonts w:hint="eastAsia"/>
              </w:rPr>
              <w:t>≤</w:t>
            </w:r>
            <w:r>
              <w:t>20</w:t>
            </w:r>
            <w:r>
              <w:rPr>
                <w:rFonts w:hint="eastAsia"/>
              </w:rPr>
              <w:t>毫克</w:t>
            </w:r>
            <w:r>
              <w:t>/</w:t>
            </w:r>
            <w:r>
              <w:rPr>
                <w:rFonts w:hint="eastAsia"/>
              </w:rPr>
              <w:t>立方米、</w:t>
            </w:r>
            <w:r>
              <w:t>NH</w:t>
            </w:r>
            <w:r>
              <w:rPr>
                <w:vertAlign w:val="subscript"/>
              </w:rPr>
              <w:t>3</w:t>
            </w:r>
            <w:r>
              <w:rPr>
                <w:rFonts w:hint="eastAsia"/>
              </w:rPr>
              <w:t>≤</w:t>
            </w:r>
            <w:r>
              <w:t>50</w:t>
            </w:r>
            <w:r>
              <w:rPr>
                <w:rFonts w:hint="eastAsia"/>
              </w:rPr>
              <w:t>毫克</w:t>
            </w:r>
            <w:r>
              <w:t>/</w:t>
            </w:r>
            <w:r>
              <w:rPr>
                <w:rFonts w:hint="eastAsia"/>
              </w:rPr>
              <w:t>立方米、萘≤</w:t>
            </w:r>
            <w:r>
              <w:t>50</w:t>
            </w:r>
            <w:r>
              <w:rPr>
                <w:rFonts w:hint="eastAsia"/>
              </w:rPr>
              <w:t>毫克</w:t>
            </w:r>
            <w:r>
              <w:t>/</w:t>
            </w:r>
            <w:r>
              <w:rPr>
                <w:rFonts w:hint="eastAsia"/>
              </w:rPr>
              <w:t>立方米（冬）、萘≤</w:t>
            </w:r>
            <w:r>
              <w:t>100</w:t>
            </w:r>
            <w:r>
              <w:rPr>
                <w:rFonts w:hint="eastAsia"/>
              </w:rPr>
              <w:t>毫克</w:t>
            </w:r>
            <w:r>
              <w:t>/</w:t>
            </w:r>
            <w:r>
              <w:rPr>
                <w:rFonts w:hint="eastAsia"/>
              </w:rPr>
              <w:t>立方米（夏）</w:t>
            </w:r>
          </w:p>
        </w:tc>
        <w:tc>
          <w:tcPr>
            <w:tcW w:w="951" w:type="pct"/>
            <w:vAlign w:val="center"/>
          </w:tcPr>
          <w:p w14:paraId="0B28D5D6">
            <w:pPr>
              <w:pStyle w:val="133"/>
            </w:pPr>
            <w:r>
              <w:rPr>
                <w:rFonts w:hint="eastAsia"/>
              </w:rPr>
              <w:t>内部使用</w:t>
            </w:r>
          </w:p>
        </w:tc>
        <w:tc>
          <w:tcPr>
            <w:tcW w:w="194" w:type="pct"/>
            <w:vAlign w:val="center"/>
          </w:tcPr>
          <w:p w14:paraId="216C5E0E">
            <w:pPr>
              <w:pStyle w:val="133"/>
            </w:pPr>
            <w:r>
              <w:rPr>
                <w:rFonts w:hint="eastAsia"/>
              </w:rPr>
              <w:t>/</w:t>
            </w:r>
          </w:p>
        </w:tc>
        <w:tc>
          <w:tcPr>
            <w:tcW w:w="796" w:type="pct"/>
            <w:vAlign w:val="center"/>
          </w:tcPr>
          <w:p w14:paraId="51A472FB">
            <w:pPr>
              <w:pStyle w:val="133"/>
            </w:pPr>
            <w:r>
              <w:rPr>
                <w:rFonts w:hint="eastAsia"/>
              </w:rPr>
              <w:t>内部使用</w:t>
            </w:r>
          </w:p>
        </w:tc>
        <w:tc>
          <w:tcPr>
            <w:tcW w:w="220" w:type="pct"/>
            <w:vAlign w:val="center"/>
          </w:tcPr>
          <w:p w14:paraId="2CDBE43F">
            <w:pPr>
              <w:pStyle w:val="133"/>
            </w:pPr>
            <w:r>
              <w:rPr>
                <w:rFonts w:hint="eastAsia"/>
              </w:rPr>
              <w:t>/</w:t>
            </w:r>
          </w:p>
        </w:tc>
      </w:tr>
      <w:tr w14:paraId="7A58D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 w:type="pct"/>
            <w:vAlign w:val="center"/>
          </w:tcPr>
          <w:p w14:paraId="6AE771E2">
            <w:pPr>
              <w:pStyle w:val="133"/>
            </w:pPr>
            <w:r>
              <w:rPr>
                <w:rFonts w:hint="eastAsia"/>
              </w:rPr>
              <w:t>煤焦</w:t>
            </w:r>
          </w:p>
        </w:tc>
        <w:tc>
          <w:tcPr>
            <w:tcW w:w="878" w:type="pct"/>
            <w:vAlign w:val="center"/>
          </w:tcPr>
          <w:p w14:paraId="4C08C970">
            <w:pPr>
              <w:pStyle w:val="133"/>
            </w:pPr>
            <w:r>
              <w:rPr>
                <w:rFonts w:hint="eastAsia"/>
              </w:rPr>
              <w:t>配套煤焦油化产利用</w:t>
            </w:r>
          </w:p>
        </w:tc>
        <w:tc>
          <w:tcPr>
            <w:tcW w:w="1650" w:type="pct"/>
            <w:gridSpan w:val="2"/>
            <w:vAlign w:val="center"/>
          </w:tcPr>
          <w:p w14:paraId="08249B8B">
            <w:pPr>
              <w:pStyle w:val="133"/>
            </w:pPr>
            <w:r>
              <w:rPr>
                <w:rFonts w:hint="eastAsia"/>
              </w:rPr>
              <w:t>使用合格焦油罐、配脱水、脱渣装置，进行机械化清渣；储存、输送的装置和管道采用防渗漏材质，油库区四周设置围堰，罐车密闭运输。</w:t>
            </w:r>
          </w:p>
        </w:tc>
        <w:tc>
          <w:tcPr>
            <w:tcW w:w="951" w:type="pct"/>
            <w:vAlign w:val="center"/>
          </w:tcPr>
          <w:p w14:paraId="75B5A3AE">
            <w:pPr>
              <w:pStyle w:val="133"/>
            </w:pPr>
            <w:r>
              <w:rPr>
                <w:rFonts w:hint="eastAsia"/>
              </w:rPr>
              <w:t>使用合格焦油罐、配脱水、脱渣装置，进行机械化清渣；储存、输送的装置和管道采用防渗漏材质，油库区四周设置围堰，罐车密闭运输</w:t>
            </w:r>
          </w:p>
        </w:tc>
        <w:tc>
          <w:tcPr>
            <w:tcW w:w="194" w:type="pct"/>
            <w:vAlign w:val="center"/>
          </w:tcPr>
          <w:p w14:paraId="05C19368">
            <w:pPr>
              <w:pStyle w:val="133"/>
            </w:pPr>
            <w:r>
              <w:rPr>
                <w:rFonts w:hint="eastAsia"/>
              </w:rPr>
              <w:t>二级</w:t>
            </w:r>
          </w:p>
        </w:tc>
        <w:tc>
          <w:tcPr>
            <w:tcW w:w="796" w:type="pct"/>
            <w:vAlign w:val="center"/>
          </w:tcPr>
          <w:p w14:paraId="7F6FCC67">
            <w:pPr>
              <w:pStyle w:val="133"/>
            </w:pPr>
            <w:r>
              <w:rPr>
                <w:rFonts w:hint="eastAsia"/>
              </w:rPr>
              <w:t>使用合格焦油罐、配脱水、脱渣装置，进行机械化清渣；储存、输送的装置和管道采用防渗漏材质，油库区四周设置围堰，罐车密闭运输</w:t>
            </w:r>
          </w:p>
        </w:tc>
        <w:tc>
          <w:tcPr>
            <w:tcW w:w="220" w:type="pct"/>
            <w:vAlign w:val="center"/>
          </w:tcPr>
          <w:p w14:paraId="7F01925C">
            <w:pPr>
              <w:pStyle w:val="133"/>
            </w:pPr>
            <w:r>
              <w:rPr>
                <w:rFonts w:hint="eastAsia"/>
              </w:rPr>
              <w:t>二级</w:t>
            </w:r>
          </w:p>
        </w:tc>
      </w:tr>
    </w:tbl>
    <w:p w14:paraId="3D84A9D2">
      <w:pPr>
        <w:pStyle w:val="133"/>
      </w:pPr>
    </w:p>
    <w:p w14:paraId="2573A9CB">
      <w:pPr>
        <w:pStyle w:val="118"/>
      </w:pPr>
      <w:r>
        <w:rPr>
          <w:rFonts w:hint="eastAsia"/>
        </w:rPr>
        <w:t>表3.9-4  本项目与污染物产生指标对比分析表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316"/>
        <w:gridCol w:w="1627"/>
        <w:gridCol w:w="1505"/>
        <w:gridCol w:w="1157"/>
        <w:gridCol w:w="1043"/>
        <w:gridCol w:w="1389"/>
        <w:gridCol w:w="1389"/>
        <w:gridCol w:w="1389"/>
        <w:gridCol w:w="1435"/>
      </w:tblGrid>
      <w:tr w14:paraId="6524F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17" w:type="pct"/>
            <w:gridSpan w:val="3"/>
            <w:vMerge w:val="restart"/>
            <w:vAlign w:val="center"/>
          </w:tcPr>
          <w:p w14:paraId="5D6A59EB">
            <w:pPr>
              <w:pStyle w:val="133"/>
              <w:rPr>
                <w:b/>
                <w:bCs/>
              </w:rPr>
            </w:pPr>
            <w:r>
              <w:rPr>
                <w:rFonts w:hint="eastAsia"/>
                <w:b/>
                <w:bCs/>
              </w:rPr>
              <w:t>指标</w:t>
            </w:r>
          </w:p>
        </w:tc>
        <w:tc>
          <w:tcPr>
            <w:tcW w:w="531" w:type="pct"/>
            <w:vMerge w:val="restart"/>
            <w:vAlign w:val="center"/>
          </w:tcPr>
          <w:p w14:paraId="54087BA4">
            <w:pPr>
              <w:pStyle w:val="133"/>
              <w:rPr>
                <w:b/>
                <w:bCs/>
              </w:rPr>
            </w:pPr>
            <w:r>
              <w:rPr>
                <w:rFonts w:hint="eastAsia"/>
                <w:b/>
                <w:bCs/>
              </w:rPr>
              <w:t>一级</w:t>
            </w:r>
          </w:p>
        </w:tc>
        <w:tc>
          <w:tcPr>
            <w:tcW w:w="408" w:type="pct"/>
            <w:vMerge w:val="restart"/>
            <w:vAlign w:val="center"/>
          </w:tcPr>
          <w:p w14:paraId="647C124D">
            <w:pPr>
              <w:pStyle w:val="133"/>
              <w:rPr>
                <w:b/>
                <w:bCs/>
              </w:rPr>
            </w:pPr>
            <w:r>
              <w:rPr>
                <w:rFonts w:hint="eastAsia"/>
                <w:b/>
                <w:bCs/>
              </w:rPr>
              <w:t>二级</w:t>
            </w:r>
          </w:p>
        </w:tc>
        <w:tc>
          <w:tcPr>
            <w:tcW w:w="368" w:type="pct"/>
            <w:vMerge w:val="restart"/>
            <w:vAlign w:val="center"/>
          </w:tcPr>
          <w:p w14:paraId="06D6F801">
            <w:pPr>
              <w:pStyle w:val="133"/>
              <w:rPr>
                <w:b/>
                <w:bCs/>
              </w:rPr>
            </w:pPr>
            <w:r>
              <w:rPr>
                <w:rFonts w:hint="eastAsia"/>
                <w:b/>
                <w:bCs/>
              </w:rPr>
              <w:t>三级</w:t>
            </w:r>
          </w:p>
        </w:tc>
        <w:tc>
          <w:tcPr>
            <w:tcW w:w="980" w:type="pct"/>
            <w:gridSpan w:val="2"/>
            <w:vAlign w:val="center"/>
          </w:tcPr>
          <w:p w14:paraId="4F57FF19">
            <w:pPr>
              <w:pStyle w:val="133"/>
              <w:rPr>
                <w:b/>
                <w:bCs/>
              </w:rPr>
            </w:pPr>
            <w:r>
              <w:rPr>
                <w:rFonts w:hint="eastAsia"/>
                <w:b/>
                <w:bCs/>
              </w:rPr>
              <w:t>技改前</w:t>
            </w:r>
          </w:p>
        </w:tc>
        <w:tc>
          <w:tcPr>
            <w:tcW w:w="996" w:type="pct"/>
            <w:gridSpan w:val="2"/>
            <w:vAlign w:val="center"/>
          </w:tcPr>
          <w:p w14:paraId="75C01650">
            <w:pPr>
              <w:pStyle w:val="133"/>
              <w:rPr>
                <w:b/>
                <w:bCs/>
              </w:rPr>
            </w:pPr>
            <w:r>
              <w:rPr>
                <w:rFonts w:hint="eastAsia"/>
                <w:b/>
                <w:bCs/>
              </w:rPr>
              <w:t>技改后</w:t>
            </w:r>
          </w:p>
        </w:tc>
      </w:tr>
      <w:tr w14:paraId="4A8B2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717" w:type="pct"/>
            <w:gridSpan w:val="3"/>
            <w:vMerge w:val="continue"/>
            <w:vAlign w:val="center"/>
          </w:tcPr>
          <w:p w14:paraId="614595AE">
            <w:pPr>
              <w:pStyle w:val="133"/>
              <w:rPr>
                <w:b/>
                <w:bCs/>
              </w:rPr>
            </w:pPr>
          </w:p>
        </w:tc>
        <w:tc>
          <w:tcPr>
            <w:tcW w:w="531" w:type="pct"/>
            <w:vMerge w:val="continue"/>
            <w:vAlign w:val="center"/>
          </w:tcPr>
          <w:p w14:paraId="458C123F">
            <w:pPr>
              <w:pStyle w:val="133"/>
              <w:rPr>
                <w:b/>
                <w:bCs/>
              </w:rPr>
            </w:pPr>
          </w:p>
        </w:tc>
        <w:tc>
          <w:tcPr>
            <w:tcW w:w="408" w:type="pct"/>
            <w:vMerge w:val="continue"/>
            <w:vAlign w:val="center"/>
          </w:tcPr>
          <w:p w14:paraId="29A4D327">
            <w:pPr>
              <w:pStyle w:val="133"/>
              <w:rPr>
                <w:b/>
                <w:bCs/>
              </w:rPr>
            </w:pPr>
          </w:p>
        </w:tc>
        <w:tc>
          <w:tcPr>
            <w:tcW w:w="368" w:type="pct"/>
            <w:vMerge w:val="continue"/>
            <w:vAlign w:val="center"/>
          </w:tcPr>
          <w:p w14:paraId="334557F6">
            <w:pPr>
              <w:pStyle w:val="133"/>
              <w:rPr>
                <w:b/>
                <w:bCs/>
              </w:rPr>
            </w:pPr>
          </w:p>
        </w:tc>
        <w:tc>
          <w:tcPr>
            <w:tcW w:w="490" w:type="pct"/>
            <w:vAlign w:val="center"/>
          </w:tcPr>
          <w:p w14:paraId="74203D1A">
            <w:pPr>
              <w:pStyle w:val="133"/>
              <w:rPr>
                <w:b/>
                <w:bCs/>
              </w:rPr>
            </w:pPr>
            <w:r>
              <w:rPr>
                <w:rFonts w:hint="eastAsia"/>
                <w:b/>
                <w:bCs/>
              </w:rPr>
              <w:t>项目情况</w:t>
            </w:r>
          </w:p>
        </w:tc>
        <w:tc>
          <w:tcPr>
            <w:tcW w:w="490" w:type="pct"/>
            <w:vAlign w:val="center"/>
          </w:tcPr>
          <w:p w14:paraId="6D0D284A">
            <w:pPr>
              <w:pStyle w:val="133"/>
              <w:rPr>
                <w:b/>
                <w:bCs/>
              </w:rPr>
            </w:pPr>
            <w:r>
              <w:rPr>
                <w:rFonts w:hint="eastAsia"/>
                <w:b/>
                <w:bCs/>
              </w:rPr>
              <w:t>对比情况</w:t>
            </w:r>
          </w:p>
        </w:tc>
        <w:tc>
          <w:tcPr>
            <w:tcW w:w="490" w:type="pct"/>
            <w:vAlign w:val="center"/>
          </w:tcPr>
          <w:p w14:paraId="064C3536">
            <w:pPr>
              <w:pStyle w:val="133"/>
              <w:rPr>
                <w:b/>
                <w:bCs/>
              </w:rPr>
            </w:pPr>
            <w:r>
              <w:rPr>
                <w:rFonts w:hint="eastAsia"/>
                <w:b/>
                <w:bCs/>
              </w:rPr>
              <w:t>本项目</w:t>
            </w:r>
          </w:p>
        </w:tc>
        <w:tc>
          <w:tcPr>
            <w:tcW w:w="506" w:type="pct"/>
            <w:vAlign w:val="center"/>
          </w:tcPr>
          <w:p w14:paraId="34A21EFA">
            <w:pPr>
              <w:pStyle w:val="133"/>
              <w:rPr>
                <w:b/>
                <w:bCs/>
              </w:rPr>
            </w:pPr>
            <w:r>
              <w:rPr>
                <w:rFonts w:hint="eastAsia"/>
                <w:b/>
                <w:bCs/>
              </w:rPr>
              <w:t>对比情况</w:t>
            </w:r>
          </w:p>
        </w:tc>
      </w:tr>
      <w:tr w14:paraId="59F2D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restart"/>
            <w:vAlign w:val="center"/>
          </w:tcPr>
          <w:p w14:paraId="5736002A">
            <w:pPr>
              <w:pStyle w:val="133"/>
            </w:pPr>
            <w:r>
              <w:rPr>
                <w:rFonts w:hint="eastAsia"/>
              </w:rPr>
              <w:t>水污染物</w:t>
            </w:r>
          </w:p>
        </w:tc>
        <w:tc>
          <w:tcPr>
            <w:tcW w:w="1391" w:type="pct"/>
            <w:gridSpan w:val="2"/>
            <w:vAlign w:val="center"/>
          </w:tcPr>
          <w:p w14:paraId="4DB12B2A">
            <w:pPr>
              <w:pStyle w:val="133"/>
            </w:pPr>
            <w:r>
              <w:rPr>
                <w:rFonts w:hint="eastAsia"/>
              </w:rPr>
              <w:t>工业废水量（吨</w:t>
            </w:r>
            <w:r>
              <w:t>/</w:t>
            </w:r>
            <w:r>
              <w:rPr>
                <w:rFonts w:hint="eastAsia"/>
              </w:rPr>
              <w:t>吨焦）</w:t>
            </w:r>
          </w:p>
        </w:tc>
        <w:tc>
          <w:tcPr>
            <w:tcW w:w="531" w:type="pct"/>
            <w:vAlign w:val="center"/>
          </w:tcPr>
          <w:p w14:paraId="20D1D748">
            <w:pPr>
              <w:pStyle w:val="133"/>
            </w:pPr>
            <w:r>
              <w:rPr>
                <w:rFonts w:hint="eastAsia"/>
              </w:rPr>
              <w:t>0.48</w:t>
            </w:r>
          </w:p>
        </w:tc>
        <w:tc>
          <w:tcPr>
            <w:tcW w:w="776" w:type="pct"/>
            <w:gridSpan w:val="2"/>
            <w:vAlign w:val="center"/>
          </w:tcPr>
          <w:p w14:paraId="2D3CA3A6">
            <w:pPr>
              <w:pStyle w:val="133"/>
            </w:pPr>
            <w:r>
              <w:rPr>
                <w:rFonts w:hint="eastAsia"/>
              </w:rPr>
              <w:t>0.68</w:t>
            </w:r>
          </w:p>
        </w:tc>
        <w:tc>
          <w:tcPr>
            <w:tcW w:w="490" w:type="pct"/>
            <w:vAlign w:val="center"/>
          </w:tcPr>
          <w:p w14:paraId="6EFECF4B">
            <w:pPr>
              <w:pStyle w:val="133"/>
            </w:pPr>
          </w:p>
        </w:tc>
        <w:tc>
          <w:tcPr>
            <w:tcW w:w="490" w:type="pct"/>
            <w:vAlign w:val="center"/>
          </w:tcPr>
          <w:p w14:paraId="31E939D4">
            <w:pPr>
              <w:pStyle w:val="133"/>
            </w:pPr>
          </w:p>
        </w:tc>
        <w:tc>
          <w:tcPr>
            <w:tcW w:w="490" w:type="pct"/>
            <w:vAlign w:val="center"/>
          </w:tcPr>
          <w:p w14:paraId="0A5EDD84">
            <w:pPr>
              <w:pStyle w:val="133"/>
            </w:pPr>
            <w:r>
              <w:rPr>
                <w:rFonts w:hint="eastAsia"/>
              </w:rPr>
              <w:t>0.26</w:t>
            </w:r>
          </w:p>
        </w:tc>
        <w:tc>
          <w:tcPr>
            <w:tcW w:w="506" w:type="pct"/>
            <w:vAlign w:val="center"/>
          </w:tcPr>
          <w:p w14:paraId="7464CBFE">
            <w:pPr>
              <w:pStyle w:val="133"/>
            </w:pPr>
            <w:r>
              <w:rPr>
                <w:rFonts w:hint="eastAsia"/>
              </w:rPr>
              <w:t>一级</w:t>
            </w:r>
          </w:p>
        </w:tc>
      </w:tr>
      <w:tr w14:paraId="5B208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53D1C446">
            <w:pPr>
              <w:pStyle w:val="133"/>
            </w:pPr>
          </w:p>
        </w:tc>
        <w:tc>
          <w:tcPr>
            <w:tcW w:w="1391" w:type="pct"/>
            <w:gridSpan w:val="2"/>
            <w:vAlign w:val="center"/>
          </w:tcPr>
          <w:p w14:paraId="3163861A">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化学需氧量（克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吨焦）</w:t>
            </w:r>
          </w:p>
        </w:tc>
        <w:tc>
          <w:tcPr>
            <w:tcW w:w="531" w:type="pct"/>
            <w:vAlign w:val="center"/>
          </w:tcPr>
          <w:p w14:paraId="521C50A9">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730.2</w:t>
            </w:r>
          </w:p>
        </w:tc>
        <w:tc>
          <w:tcPr>
            <w:tcW w:w="776" w:type="pct"/>
            <w:gridSpan w:val="2"/>
            <w:vAlign w:val="center"/>
          </w:tcPr>
          <w:p w14:paraId="234F4C99">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1435.1</w:t>
            </w:r>
          </w:p>
        </w:tc>
        <w:tc>
          <w:tcPr>
            <w:tcW w:w="490" w:type="pct"/>
            <w:vAlign w:val="center"/>
          </w:tcPr>
          <w:p w14:paraId="3D2F1387">
            <w:pPr>
              <w:pStyle w:val="133"/>
              <w:rPr>
                <w:color w:val="000000" w:themeColor="text1"/>
                <w14:textFill>
                  <w14:solidFill>
                    <w14:schemeClr w14:val="tx1"/>
                  </w14:solidFill>
                </w14:textFill>
              </w:rPr>
            </w:pPr>
            <w:r>
              <w:rPr>
                <w:rFonts w:hint="eastAsia"/>
              </w:rPr>
              <w:t>4192.4</w:t>
            </w:r>
          </w:p>
        </w:tc>
        <w:tc>
          <w:tcPr>
            <w:tcW w:w="490" w:type="pct"/>
            <w:vAlign w:val="center"/>
          </w:tcPr>
          <w:p w14:paraId="00182997">
            <w:pPr>
              <w:pStyle w:val="133"/>
              <w:rPr>
                <w:color w:val="000000" w:themeColor="text1"/>
                <w14:textFill>
                  <w14:solidFill>
                    <w14:schemeClr w14:val="tx1"/>
                  </w14:solidFill>
                </w14:textFill>
              </w:rPr>
            </w:pPr>
            <w:r>
              <w:rPr>
                <w:rFonts w:hint="eastAsia"/>
              </w:rPr>
              <w:t>三级</w:t>
            </w:r>
          </w:p>
        </w:tc>
        <w:tc>
          <w:tcPr>
            <w:tcW w:w="490" w:type="pct"/>
            <w:vAlign w:val="center"/>
          </w:tcPr>
          <w:p w14:paraId="343A3DF5">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1441.11</w:t>
            </w:r>
          </w:p>
        </w:tc>
        <w:tc>
          <w:tcPr>
            <w:tcW w:w="506" w:type="pct"/>
            <w:vAlign w:val="center"/>
          </w:tcPr>
          <w:p w14:paraId="3967B892">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3301A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09F4E754">
            <w:pPr>
              <w:pStyle w:val="133"/>
            </w:pPr>
          </w:p>
        </w:tc>
        <w:tc>
          <w:tcPr>
            <w:tcW w:w="1391" w:type="pct"/>
            <w:gridSpan w:val="2"/>
            <w:vAlign w:val="center"/>
          </w:tcPr>
          <w:p w14:paraId="135B4960">
            <w:pPr>
              <w:pStyle w:val="133"/>
            </w:pPr>
            <w:r>
              <w:rPr>
                <w:rFonts w:hint="eastAsia"/>
              </w:rPr>
              <w:t>五日生化需氧量（克</w:t>
            </w:r>
            <w:r>
              <w:t>/</w:t>
            </w:r>
            <w:r>
              <w:rPr>
                <w:rFonts w:hint="eastAsia"/>
              </w:rPr>
              <w:t>吨焦）</w:t>
            </w:r>
          </w:p>
        </w:tc>
        <w:tc>
          <w:tcPr>
            <w:tcW w:w="531" w:type="pct"/>
            <w:vAlign w:val="center"/>
          </w:tcPr>
          <w:p w14:paraId="301AA2C5">
            <w:pPr>
              <w:pStyle w:val="133"/>
            </w:pPr>
            <w:r>
              <w:rPr>
                <w:rFonts w:hint="eastAsia"/>
              </w:rPr>
              <w:t>256.8</w:t>
            </w:r>
          </w:p>
        </w:tc>
        <w:tc>
          <w:tcPr>
            <w:tcW w:w="776" w:type="pct"/>
            <w:gridSpan w:val="2"/>
            <w:vAlign w:val="center"/>
          </w:tcPr>
          <w:p w14:paraId="08E33091">
            <w:pPr>
              <w:pStyle w:val="133"/>
            </w:pPr>
            <w:r>
              <w:rPr>
                <w:rFonts w:hint="eastAsia"/>
              </w:rPr>
              <w:t>419.4</w:t>
            </w:r>
          </w:p>
        </w:tc>
        <w:tc>
          <w:tcPr>
            <w:tcW w:w="490" w:type="pct"/>
            <w:vAlign w:val="center"/>
          </w:tcPr>
          <w:p w14:paraId="57FF7513">
            <w:pPr>
              <w:pStyle w:val="133"/>
            </w:pPr>
            <w:r>
              <w:rPr>
                <w:rFonts w:hint="eastAsia"/>
              </w:rPr>
              <w:t>-</w:t>
            </w:r>
          </w:p>
        </w:tc>
        <w:tc>
          <w:tcPr>
            <w:tcW w:w="490" w:type="pct"/>
            <w:vAlign w:val="center"/>
          </w:tcPr>
          <w:p w14:paraId="327C87E5">
            <w:pPr>
              <w:pStyle w:val="133"/>
            </w:pPr>
            <w:r>
              <w:rPr>
                <w:rFonts w:hint="eastAsia"/>
              </w:rPr>
              <w:t>一级</w:t>
            </w:r>
          </w:p>
        </w:tc>
        <w:tc>
          <w:tcPr>
            <w:tcW w:w="490" w:type="pct"/>
            <w:vAlign w:val="center"/>
          </w:tcPr>
          <w:p w14:paraId="0ECAEBB8">
            <w:pPr>
              <w:pStyle w:val="133"/>
            </w:pPr>
            <w:r>
              <w:rPr>
                <w:rFonts w:hint="eastAsia"/>
              </w:rPr>
              <w:t>-</w:t>
            </w:r>
          </w:p>
        </w:tc>
        <w:tc>
          <w:tcPr>
            <w:tcW w:w="506" w:type="pct"/>
            <w:vAlign w:val="center"/>
          </w:tcPr>
          <w:p w14:paraId="19C1986F">
            <w:pPr>
              <w:pStyle w:val="133"/>
            </w:pPr>
            <w:r>
              <w:rPr>
                <w:rFonts w:hint="eastAsia"/>
              </w:rPr>
              <w:t>一级</w:t>
            </w:r>
          </w:p>
        </w:tc>
      </w:tr>
      <w:tr w14:paraId="0D6B6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60CBBF10">
            <w:pPr>
              <w:pStyle w:val="133"/>
            </w:pPr>
          </w:p>
        </w:tc>
        <w:tc>
          <w:tcPr>
            <w:tcW w:w="1391" w:type="pct"/>
            <w:gridSpan w:val="2"/>
            <w:vAlign w:val="center"/>
          </w:tcPr>
          <w:p w14:paraId="036DA354">
            <w:pPr>
              <w:pStyle w:val="133"/>
            </w:pPr>
            <w:r>
              <w:rPr>
                <w:rFonts w:hint="eastAsia"/>
              </w:rPr>
              <w:t>氨氮（克</w:t>
            </w:r>
            <w:r>
              <w:t>/</w:t>
            </w:r>
            <w:r>
              <w:rPr>
                <w:rFonts w:hint="eastAsia"/>
              </w:rPr>
              <w:t>吨焦）</w:t>
            </w:r>
          </w:p>
        </w:tc>
        <w:tc>
          <w:tcPr>
            <w:tcW w:w="531" w:type="pct"/>
            <w:vAlign w:val="center"/>
          </w:tcPr>
          <w:p w14:paraId="201F912E">
            <w:pPr>
              <w:pStyle w:val="133"/>
            </w:pPr>
            <w:r>
              <w:rPr>
                <w:rFonts w:hint="eastAsia"/>
              </w:rPr>
              <w:t>93.5</w:t>
            </w:r>
          </w:p>
        </w:tc>
        <w:tc>
          <w:tcPr>
            <w:tcW w:w="776" w:type="pct"/>
            <w:gridSpan w:val="2"/>
            <w:vAlign w:val="center"/>
          </w:tcPr>
          <w:p w14:paraId="76114602">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162.8</w:t>
            </w:r>
          </w:p>
        </w:tc>
        <w:tc>
          <w:tcPr>
            <w:tcW w:w="490" w:type="pct"/>
            <w:vAlign w:val="center"/>
          </w:tcPr>
          <w:p w14:paraId="3FD83639">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162.44</w:t>
            </w:r>
          </w:p>
        </w:tc>
        <w:tc>
          <w:tcPr>
            <w:tcW w:w="490" w:type="pct"/>
            <w:vAlign w:val="center"/>
          </w:tcPr>
          <w:p w14:paraId="454EE1BF">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c>
          <w:tcPr>
            <w:tcW w:w="490" w:type="pct"/>
            <w:vAlign w:val="center"/>
          </w:tcPr>
          <w:p w14:paraId="0FB7B2B1">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162.44</w:t>
            </w:r>
          </w:p>
        </w:tc>
        <w:tc>
          <w:tcPr>
            <w:tcW w:w="506" w:type="pct"/>
            <w:vAlign w:val="center"/>
          </w:tcPr>
          <w:p w14:paraId="154EDC70">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67B8A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6C73C5D5">
            <w:pPr>
              <w:pStyle w:val="133"/>
            </w:pPr>
          </w:p>
        </w:tc>
        <w:tc>
          <w:tcPr>
            <w:tcW w:w="1391" w:type="pct"/>
            <w:gridSpan w:val="2"/>
            <w:vAlign w:val="center"/>
          </w:tcPr>
          <w:p w14:paraId="3079729E">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石油类（克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吨焦）</w:t>
            </w:r>
          </w:p>
        </w:tc>
        <w:tc>
          <w:tcPr>
            <w:tcW w:w="531" w:type="pct"/>
            <w:vAlign w:val="center"/>
          </w:tcPr>
          <w:p w14:paraId="3E2EE327">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93.1</w:t>
            </w:r>
          </w:p>
        </w:tc>
        <w:tc>
          <w:tcPr>
            <w:tcW w:w="776" w:type="pct"/>
            <w:gridSpan w:val="2"/>
            <w:vAlign w:val="center"/>
          </w:tcPr>
          <w:p w14:paraId="27CD1B26">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168.5</w:t>
            </w:r>
          </w:p>
        </w:tc>
        <w:tc>
          <w:tcPr>
            <w:tcW w:w="490" w:type="pct"/>
            <w:vAlign w:val="center"/>
          </w:tcPr>
          <w:p w14:paraId="27EF9716">
            <w:pPr>
              <w:pStyle w:val="133"/>
              <w:rPr>
                <w:color w:val="000000" w:themeColor="text1"/>
                <w14:textFill>
                  <w14:solidFill>
                    <w14:schemeClr w14:val="tx1"/>
                  </w14:solidFill>
                </w14:textFill>
              </w:rPr>
            </w:pPr>
            <w:r>
              <w:rPr>
                <w:rFonts w:hint="eastAsia"/>
              </w:rPr>
              <w:t>235.8</w:t>
            </w:r>
          </w:p>
        </w:tc>
        <w:tc>
          <w:tcPr>
            <w:tcW w:w="490" w:type="pct"/>
            <w:vAlign w:val="center"/>
          </w:tcPr>
          <w:p w14:paraId="2675E8C3">
            <w:pPr>
              <w:pStyle w:val="133"/>
              <w:rPr>
                <w:color w:val="000000" w:themeColor="text1"/>
                <w14:textFill>
                  <w14:solidFill>
                    <w14:schemeClr w14:val="tx1"/>
                  </w14:solidFill>
                </w14:textFill>
              </w:rPr>
            </w:pPr>
            <w:r>
              <w:rPr>
                <w:rFonts w:hint="eastAsia"/>
              </w:rPr>
              <w:t>三级</w:t>
            </w:r>
          </w:p>
        </w:tc>
        <w:tc>
          <w:tcPr>
            <w:tcW w:w="490" w:type="pct"/>
            <w:vAlign w:val="center"/>
          </w:tcPr>
          <w:p w14:paraId="02973B54">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167.69</w:t>
            </w:r>
          </w:p>
        </w:tc>
        <w:tc>
          <w:tcPr>
            <w:tcW w:w="506" w:type="pct"/>
            <w:vAlign w:val="center"/>
          </w:tcPr>
          <w:p w14:paraId="7ECBB3AB">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6C42B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31570B12">
            <w:pPr>
              <w:pStyle w:val="133"/>
            </w:pPr>
          </w:p>
        </w:tc>
        <w:tc>
          <w:tcPr>
            <w:tcW w:w="1391" w:type="pct"/>
            <w:gridSpan w:val="2"/>
            <w:vAlign w:val="center"/>
          </w:tcPr>
          <w:p w14:paraId="73508275">
            <w:pPr>
              <w:pStyle w:val="133"/>
            </w:pPr>
            <w:r>
              <w:rPr>
                <w:rFonts w:hint="eastAsia"/>
              </w:rPr>
              <w:t>挥发酚（克</w:t>
            </w:r>
            <w:r>
              <w:t>/</w:t>
            </w:r>
            <w:r>
              <w:rPr>
                <w:rFonts w:hint="eastAsia"/>
              </w:rPr>
              <w:t>吨焦）</w:t>
            </w:r>
          </w:p>
        </w:tc>
        <w:tc>
          <w:tcPr>
            <w:tcW w:w="531" w:type="pct"/>
            <w:vAlign w:val="center"/>
          </w:tcPr>
          <w:p w14:paraId="72A9C94C">
            <w:pPr>
              <w:pStyle w:val="133"/>
            </w:pPr>
            <w:r>
              <w:rPr>
                <w:rFonts w:hint="eastAsia"/>
              </w:rPr>
              <w:t>186.7</w:t>
            </w:r>
          </w:p>
        </w:tc>
        <w:tc>
          <w:tcPr>
            <w:tcW w:w="776" w:type="pct"/>
            <w:gridSpan w:val="2"/>
            <w:vAlign w:val="center"/>
          </w:tcPr>
          <w:p w14:paraId="769C601E">
            <w:pPr>
              <w:pStyle w:val="133"/>
            </w:pPr>
            <w:r>
              <w:rPr>
                <w:rFonts w:hint="eastAsia"/>
              </w:rPr>
              <w:t>371.3</w:t>
            </w:r>
          </w:p>
        </w:tc>
        <w:tc>
          <w:tcPr>
            <w:tcW w:w="490" w:type="pct"/>
            <w:vAlign w:val="center"/>
          </w:tcPr>
          <w:p w14:paraId="3A9F8E62">
            <w:pPr>
              <w:pStyle w:val="133"/>
            </w:pPr>
            <w:r>
              <w:rPr>
                <w:rFonts w:hint="eastAsia"/>
              </w:rPr>
              <w:t>314.4</w:t>
            </w:r>
          </w:p>
        </w:tc>
        <w:tc>
          <w:tcPr>
            <w:tcW w:w="490" w:type="pct"/>
            <w:vAlign w:val="center"/>
          </w:tcPr>
          <w:p w14:paraId="0CF12E2A">
            <w:pPr>
              <w:pStyle w:val="133"/>
            </w:pPr>
            <w:r>
              <w:rPr>
                <w:rFonts w:hint="eastAsia"/>
              </w:rPr>
              <w:t>二级</w:t>
            </w:r>
          </w:p>
        </w:tc>
        <w:tc>
          <w:tcPr>
            <w:tcW w:w="490" w:type="pct"/>
            <w:vAlign w:val="center"/>
          </w:tcPr>
          <w:p w14:paraId="6820544F">
            <w:pPr>
              <w:pStyle w:val="133"/>
            </w:pPr>
            <w:r>
              <w:rPr>
                <w:rFonts w:hint="eastAsia"/>
              </w:rPr>
              <w:t>314.4</w:t>
            </w:r>
          </w:p>
        </w:tc>
        <w:tc>
          <w:tcPr>
            <w:tcW w:w="506" w:type="pct"/>
            <w:vAlign w:val="center"/>
          </w:tcPr>
          <w:p w14:paraId="3B4F4CD1">
            <w:pPr>
              <w:pStyle w:val="133"/>
            </w:pPr>
            <w:r>
              <w:rPr>
                <w:rFonts w:hint="eastAsia"/>
              </w:rPr>
              <w:t>二级</w:t>
            </w:r>
          </w:p>
        </w:tc>
      </w:tr>
      <w:tr w14:paraId="272258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56E2B3CD">
            <w:pPr>
              <w:pStyle w:val="133"/>
            </w:pPr>
          </w:p>
        </w:tc>
        <w:tc>
          <w:tcPr>
            <w:tcW w:w="1391" w:type="pct"/>
            <w:gridSpan w:val="2"/>
            <w:vAlign w:val="center"/>
          </w:tcPr>
          <w:p w14:paraId="52189411">
            <w:pPr>
              <w:pStyle w:val="133"/>
            </w:pPr>
            <w:r>
              <w:rPr>
                <w:rFonts w:hint="eastAsia"/>
              </w:rPr>
              <w:t>氰化物（克</w:t>
            </w:r>
            <w:r>
              <w:t>/</w:t>
            </w:r>
            <w:r>
              <w:rPr>
                <w:rFonts w:hint="eastAsia"/>
              </w:rPr>
              <w:t>吨焦）</w:t>
            </w:r>
          </w:p>
        </w:tc>
        <w:tc>
          <w:tcPr>
            <w:tcW w:w="531" w:type="pct"/>
            <w:vAlign w:val="center"/>
          </w:tcPr>
          <w:p w14:paraId="13F52CCA">
            <w:pPr>
              <w:pStyle w:val="133"/>
            </w:pPr>
            <w:r>
              <w:rPr>
                <w:rFonts w:hint="eastAsia"/>
              </w:rPr>
              <w:t>3.9</w:t>
            </w:r>
          </w:p>
        </w:tc>
        <w:tc>
          <w:tcPr>
            <w:tcW w:w="776" w:type="pct"/>
            <w:gridSpan w:val="2"/>
            <w:vAlign w:val="center"/>
          </w:tcPr>
          <w:p w14:paraId="3FC40857">
            <w:pPr>
              <w:pStyle w:val="133"/>
            </w:pPr>
            <w:r>
              <w:rPr>
                <w:rFonts w:hint="eastAsia"/>
              </w:rPr>
              <w:t>6.5</w:t>
            </w:r>
          </w:p>
        </w:tc>
        <w:tc>
          <w:tcPr>
            <w:tcW w:w="490" w:type="pct"/>
            <w:vAlign w:val="center"/>
          </w:tcPr>
          <w:p w14:paraId="4C04AC97">
            <w:pPr>
              <w:pStyle w:val="133"/>
            </w:pPr>
            <w:r>
              <w:rPr>
                <w:rFonts w:hint="eastAsia"/>
              </w:rPr>
              <w:t>0.46</w:t>
            </w:r>
          </w:p>
        </w:tc>
        <w:tc>
          <w:tcPr>
            <w:tcW w:w="490" w:type="pct"/>
            <w:vAlign w:val="center"/>
          </w:tcPr>
          <w:p w14:paraId="4EF38C80">
            <w:pPr>
              <w:pStyle w:val="133"/>
            </w:pPr>
            <w:r>
              <w:rPr>
                <w:rFonts w:hint="eastAsia"/>
              </w:rPr>
              <w:t>一级</w:t>
            </w:r>
          </w:p>
        </w:tc>
        <w:tc>
          <w:tcPr>
            <w:tcW w:w="490" w:type="pct"/>
            <w:vAlign w:val="center"/>
          </w:tcPr>
          <w:p w14:paraId="5E80CBF8">
            <w:pPr>
              <w:pStyle w:val="133"/>
            </w:pPr>
            <w:r>
              <w:rPr>
                <w:rFonts w:hint="eastAsia"/>
              </w:rPr>
              <w:t>0.46</w:t>
            </w:r>
          </w:p>
        </w:tc>
        <w:tc>
          <w:tcPr>
            <w:tcW w:w="506" w:type="pct"/>
            <w:vAlign w:val="center"/>
          </w:tcPr>
          <w:p w14:paraId="0E1DC52F">
            <w:pPr>
              <w:pStyle w:val="133"/>
            </w:pPr>
            <w:r>
              <w:rPr>
                <w:rFonts w:hint="eastAsia"/>
              </w:rPr>
              <w:t>一级</w:t>
            </w:r>
          </w:p>
        </w:tc>
      </w:tr>
      <w:tr w14:paraId="3BBE5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restart"/>
            <w:vAlign w:val="center"/>
          </w:tcPr>
          <w:p w14:paraId="6BAE763E">
            <w:pPr>
              <w:pStyle w:val="133"/>
            </w:pPr>
            <w:r>
              <w:rPr>
                <w:rFonts w:hint="eastAsia"/>
              </w:rPr>
              <w:t>气污染物</w:t>
            </w:r>
          </w:p>
        </w:tc>
        <w:tc>
          <w:tcPr>
            <w:tcW w:w="817" w:type="pct"/>
            <w:vMerge w:val="restart"/>
            <w:vAlign w:val="center"/>
          </w:tcPr>
          <w:p w14:paraId="1EFB285A">
            <w:pPr>
              <w:pStyle w:val="133"/>
            </w:pPr>
            <w:r>
              <w:rPr>
                <w:rFonts w:hint="eastAsia"/>
              </w:rPr>
              <w:t>工业废气量（标立方米</w:t>
            </w:r>
            <w:r>
              <w:t>/</w:t>
            </w:r>
            <w:r>
              <w:rPr>
                <w:rFonts w:hint="eastAsia"/>
              </w:rPr>
              <w:t>吨焦）</w:t>
            </w:r>
          </w:p>
        </w:tc>
        <w:tc>
          <w:tcPr>
            <w:tcW w:w="574" w:type="pct"/>
            <w:vAlign w:val="center"/>
          </w:tcPr>
          <w:p w14:paraId="2447DA0A">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备煤筛焦转运</w:t>
            </w:r>
          </w:p>
        </w:tc>
        <w:tc>
          <w:tcPr>
            <w:tcW w:w="531" w:type="pct"/>
            <w:vAlign w:val="center"/>
          </w:tcPr>
          <w:p w14:paraId="73848733">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623</w:t>
            </w:r>
          </w:p>
        </w:tc>
        <w:tc>
          <w:tcPr>
            <w:tcW w:w="776" w:type="pct"/>
            <w:gridSpan w:val="2"/>
            <w:vAlign w:val="center"/>
          </w:tcPr>
          <w:p w14:paraId="3E439A00">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641</w:t>
            </w:r>
          </w:p>
        </w:tc>
        <w:tc>
          <w:tcPr>
            <w:tcW w:w="490" w:type="pct"/>
            <w:vAlign w:val="center"/>
          </w:tcPr>
          <w:p w14:paraId="316C20BC">
            <w:pPr>
              <w:pStyle w:val="133"/>
              <w:rPr>
                <w:color w:val="000000" w:themeColor="text1"/>
                <w14:textFill>
                  <w14:solidFill>
                    <w14:schemeClr w14:val="tx1"/>
                  </w14:solidFill>
                </w14:textFill>
              </w:rPr>
            </w:pPr>
            <w:r>
              <w:rPr>
                <w:rFonts w:hint="eastAsia"/>
              </w:rPr>
              <w:t>665</w:t>
            </w:r>
          </w:p>
        </w:tc>
        <w:tc>
          <w:tcPr>
            <w:tcW w:w="490" w:type="pct"/>
            <w:vAlign w:val="center"/>
          </w:tcPr>
          <w:p w14:paraId="7767A4EE">
            <w:pPr>
              <w:pStyle w:val="133"/>
              <w:rPr>
                <w:color w:val="000000" w:themeColor="text1"/>
                <w14:textFill>
                  <w14:solidFill>
                    <w14:schemeClr w14:val="tx1"/>
                  </w14:solidFill>
                </w14:textFill>
              </w:rPr>
            </w:pPr>
            <w:r>
              <w:rPr>
                <w:rFonts w:hint="eastAsia"/>
              </w:rPr>
              <w:t>三级</w:t>
            </w:r>
          </w:p>
        </w:tc>
        <w:tc>
          <w:tcPr>
            <w:tcW w:w="490" w:type="pct"/>
            <w:vAlign w:val="center"/>
          </w:tcPr>
          <w:p w14:paraId="4277D02F">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640</w:t>
            </w:r>
          </w:p>
        </w:tc>
        <w:tc>
          <w:tcPr>
            <w:tcW w:w="506" w:type="pct"/>
            <w:vAlign w:val="center"/>
          </w:tcPr>
          <w:p w14:paraId="097A8148">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708D2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0F435A90">
            <w:pPr>
              <w:pStyle w:val="133"/>
            </w:pPr>
          </w:p>
        </w:tc>
        <w:tc>
          <w:tcPr>
            <w:tcW w:w="817" w:type="pct"/>
            <w:vMerge w:val="continue"/>
            <w:vAlign w:val="center"/>
          </w:tcPr>
          <w:p w14:paraId="25F605A1">
            <w:pPr>
              <w:pStyle w:val="133"/>
            </w:pPr>
          </w:p>
        </w:tc>
        <w:tc>
          <w:tcPr>
            <w:tcW w:w="574" w:type="pct"/>
            <w:vAlign w:val="center"/>
          </w:tcPr>
          <w:p w14:paraId="6A42B79E">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装煤</w:t>
            </w:r>
          </w:p>
        </w:tc>
        <w:tc>
          <w:tcPr>
            <w:tcW w:w="531" w:type="pct"/>
            <w:vAlign w:val="center"/>
          </w:tcPr>
          <w:p w14:paraId="1C8B2934">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326</w:t>
            </w:r>
          </w:p>
        </w:tc>
        <w:tc>
          <w:tcPr>
            <w:tcW w:w="776" w:type="pct"/>
            <w:gridSpan w:val="2"/>
            <w:vAlign w:val="center"/>
          </w:tcPr>
          <w:p w14:paraId="21B86C96">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352</w:t>
            </w:r>
          </w:p>
        </w:tc>
        <w:tc>
          <w:tcPr>
            <w:tcW w:w="490" w:type="pct"/>
            <w:vAlign w:val="center"/>
          </w:tcPr>
          <w:p w14:paraId="0F517630">
            <w:pPr>
              <w:pStyle w:val="133"/>
              <w:rPr>
                <w:color w:val="000000" w:themeColor="text1"/>
                <w14:textFill>
                  <w14:solidFill>
                    <w14:schemeClr w14:val="tx1"/>
                  </w14:solidFill>
                </w14:textFill>
              </w:rPr>
            </w:pPr>
            <w:r>
              <w:rPr>
                <w:rFonts w:hint="eastAsia"/>
              </w:rPr>
              <w:t>423</w:t>
            </w:r>
          </w:p>
        </w:tc>
        <w:tc>
          <w:tcPr>
            <w:tcW w:w="490" w:type="pct"/>
            <w:vAlign w:val="center"/>
          </w:tcPr>
          <w:p w14:paraId="520E7956">
            <w:pPr>
              <w:pStyle w:val="133"/>
              <w:rPr>
                <w:color w:val="000000" w:themeColor="text1"/>
                <w14:textFill>
                  <w14:solidFill>
                    <w14:schemeClr w14:val="tx1"/>
                  </w14:solidFill>
                </w14:textFill>
              </w:rPr>
            </w:pPr>
            <w:r>
              <w:rPr>
                <w:rFonts w:hint="eastAsia"/>
              </w:rPr>
              <w:t>三级</w:t>
            </w:r>
          </w:p>
        </w:tc>
        <w:tc>
          <w:tcPr>
            <w:tcW w:w="490" w:type="pct"/>
            <w:vAlign w:val="center"/>
          </w:tcPr>
          <w:p w14:paraId="3B2A6EEA">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349</w:t>
            </w:r>
          </w:p>
        </w:tc>
        <w:tc>
          <w:tcPr>
            <w:tcW w:w="506" w:type="pct"/>
            <w:vAlign w:val="center"/>
          </w:tcPr>
          <w:p w14:paraId="65EDD83A">
            <w:pPr>
              <w:pStyle w:val="133"/>
              <w:rPr>
                <w:color w:val="000000" w:themeColor="text1"/>
                <w14:textFill>
                  <w14:solidFill>
                    <w14:schemeClr w14:val="tx1"/>
                  </w14:solidFill>
                </w14:textFill>
              </w:rPr>
            </w:pPr>
            <w:r>
              <w:rPr>
                <w:rFonts w:hint="eastAsia"/>
                <w:color w:val="000000" w:themeColor="text1"/>
                <w14:textFill>
                  <w14:solidFill>
                    <w14:schemeClr w14:val="tx1"/>
                  </w14:solidFill>
                </w14:textFill>
              </w:rPr>
              <w:t>二级</w:t>
            </w:r>
          </w:p>
        </w:tc>
      </w:tr>
      <w:tr w14:paraId="77447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71DFBAD3">
            <w:pPr>
              <w:pStyle w:val="133"/>
            </w:pPr>
          </w:p>
        </w:tc>
        <w:tc>
          <w:tcPr>
            <w:tcW w:w="817" w:type="pct"/>
            <w:vMerge w:val="continue"/>
            <w:vAlign w:val="center"/>
          </w:tcPr>
          <w:p w14:paraId="2F0F20AC">
            <w:pPr>
              <w:pStyle w:val="133"/>
            </w:pPr>
          </w:p>
        </w:tc>
        <w:tc>
          <w:tcPr>
            <w:tcW w:w="574" w:type="pct"/>
            <w:vAlign w:val="center"/>
          </w:tcPr>
          <w:p w14:paraId="72652F3D">
            <w:pPr>
              <w:pStyle w:val="133"/>
            </w:pPr>
            <w:r>
              <w:rPr>
                <w:rFonts w:hint="eastAsia"/>
              </w:rPr>
              <w:t>出焦</w:t>
            </w:r>
          </w:p>
        </w:tc>
        <w:tc>
          <w:tcPr>
            <w:tcW w:w="531" w:type="pct"/>
            <w:vAlign w:val="center"/>
          </w:tcPr>
          <w:p w14:paraId="2ED21F50">
            <w:pPr>
              <w:pStyle w:val="133"/>
            </w:pPr>
            <w:r>
              <w:rPr>
                <w:rFonts w:hint="eastAsia"/>
              </w:rPr>
              <w:t>647</w:t>
            </w:r>
          </w:p>
        </w:tc>
        <w:tc>
          <w:tcPr>
            <w:tcW w:w="776" w:type="pct"/>
            <w:gridSpan w:val="2"/>
            <w:vAlign w:val="center"/>
          </w:tcPr>
          <w:p w14:paraId="4E08061F">
            <w:pPr>
              <w:pStyle w:val="133"/>
            </w:pPr>
            <w:r>
              <w:rPr>
                <w:rFonts w:hint="eastAsia"/>
              </w:rPr>
              <w:t>665</w:t>
            </w:r>
          </w:p>
        </w:tc>
        <w:tc>
          <w:tcPr>
            <w:tcW w:w="490" w:type="pct"/>
            <w:vAlign w:val="center"/>
          </w:tcPr>
          <w:p w14:paraId="18EB2CFA">
            <w:pPr>
              <w:pStyle w:val="133"/>
            </w:pPr>
            <w:r>
              <w:rPr>
                <w:rFonts w:hint="eastAsia"/>
              </w:rPr>
              <w:t>/</w:t>
            </w:r>
          </w:p>
        </w:tc>
        <w:tc>
          <w:tcPr>
            <w:tcW w:w="490" w:type="pct"/>
            <w:vAlign w:val="center"/>
          </w:tcPr>
          <w:p w14:paraId="2AA2305C">
            <w:pPr>
              <w:pStyle w:val="133"/>
            </w:pPr>
            <w:r>
              <w:rPr>
                <w:rFonts w:hint="eastAsia"/>
              </w:rPr>
              <w:t>/</w:t>
            </w:r>
          </w:p>
        </w:tc>
        <w:tc>
          <w:tcPr>
            <w:tcW w:w="490" w:type="pct"/>
            <w:vAlign w:val="center"/>
          </w:tcPr>
          <w:p w14:paraId="24DFA6BC">
            <w:pPr>
              <w:pStyle w:val="133"/>
            </w:pPr>
            <w:r>
              <w:rPr>
                <w:rFonts w:hint="eastAsia"/>
              </w:rPr>
              <w:t>/</w:t>
            </w:r>
          </w:p>
        </w:tc>
        <w:tc>
          <w:tcPr>
            <w:tcW w:w="506" w:type="pct"/>
            <w:vAlign w:val="center"/>
          </w:tcPr>
          <w:p w14:paraId="330C3B1C">
            <w:pPr>
              <w:pStyle w:val="133"/>
            </w:pPr>
            <w:r>
              <w:rPr>
                <w:rFonts w:hint="eastAsia"/>
              </w:rPr>
              <w:t>/</w:t>
            </w:r>
          </w:p>
        </w:tc>
      </w:tr>
      <w:tr w14:paraId="25757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19DF4BE0">
            <w:pPr>
              <w:pStyle w:val="133"/>
            </w:pPr>
          </w:p>
        </w:tc>
        <w:tc>
          <w:tcPr>
            <w:tcW w:w="817" w:type="pct"/>
            <w:vMerge w:val="restart"/>
            <w:vAlign w:val="center"/>
          </w:tcPr>
          <w:p w14:paraId="266E94A3">
            <w:pPr>
              <w:pStyle w:val="133"/>
            </w:pPr>
            <w:r>
              <w:rPr>
                <w:rFonts w:hint="eastAsia"/>
              </w:rPr>
              <w:t>颗粒物（千克</w:t>
            </w:r>
            <w:r>
              <w:t>/</w:t>
            </w:r>
            <w:r>
              <w:rPr>
                <w:rFonts w:hint="eastAsia"/>
              </w:rPr>
              <w:t>吨焦）</w:t>
            </w:r>
          </w:p>
        </w:tc>
        <w:tc>
          <w:tcPr>
            <w:tcW w:w="574" w:type="pct"/>
            <w:vAlign w:val="center"/>
          </w:tcPr>
          <w:p w14:paraId="7B48F6E5">
            <w:pPr>
              <w:pStyle w:val="133"/>
            </w:pPr>
            <w:r>
              <w:rPr>
                <w:rFonts w:hint="eastAsia"/>
              </w:rPr>
              <w:t>备煤筛焦转运</w:t>
            </w:r>
          </w:p>
        </w:tc>
        <w:tc>
          <w:tcPr>
            <w:tcW w:w="531" w:type="pct"/>
            <w:vAlign w:val="center"/>
          </w:tcPr>
          <w:p w14:paraId="3934AC8C">
            <w:pPr>
              <w:pStyle w:val="133"/>
            </w:pPr>
            <w:r>
              <w:rPr>
                <w:rFonts w:hint="eastAsia"/>
              </w:rPr>
              <w:t>1.968</w:t>
            </w:r>
          </w:p>
        </w:tc>
        <w:tc>
          <w:tcPr>
            <w:tcW w:w="776" w:type="pct"/>
            <w:gridSpan w:val="2"/>
            <w:vAlign w:val="center"/>
          </w:tcPr>
          <w:p w14:paraId="34CC4C5B">
            <w:pPr>
              <w:pStyle w:val="133"/>
            </w:pPr>
            <w:r>
              <w:rPr>
                <w:rFonts w:hint="eastAsia"/>
              </w:rPr>
              <w:t>2.165</w:t>
            </w:r>
          </w:p>
        </w:tc>
        <w:tc>
          <w:tcPr>
            <w:tcW w:w="490" w:type="pct"/>
            <w:vAlign w:val="center"/>
          </w:tcPr>
          <w:p w14:paraId="75B1609E">
            <w:pPr>
              <w:pStyle w:val="133"/>
            </w:pPr>
            <w:r>
              <w:rPr>
                <w:rFonts w:hint="eastAsia"/>
              </w:rPr>
              <w:t>0.11</w:t>
            </w:r>
          </w:p>
        </w:tc>
        <w:tc>
          <w:tcPr>
            <w:tcW w:w="490" w:type="pct"/>
            <w:vAlign w:val="center"/>
          </w:tcPr>
          <w:p w14:paraId="6E422892">
            <w:pPr>
              <w:pStyle w:val="133"/>
            </w:pPr>
            <w:r>
              <w:rPr>
                <w:rFonts w:hint="eastAsia"/>
              </w:rPr>
              <w:t>一级</w:t>
            </w:r>
          </w:p>
        </w:tc>
        <w:tc>
          <w:tcPr>
            <w:tcW w:w="490" w:type="pct"/>
            <w:vAlign w:val="center"/>
          </w:tcPr>
          <w:p w14:paraId="1C99FC34">
            <w:pPr>
              <w:pStyle w:val="133"/>
            </w:pPr>
            <w:r>
              <w:rPr>
                <w:rFonts w:hint="eastAsia"/>
              </w:rPr>
              <w:t>0.11</w:t>
            </w:r>
          </w:p>
        </w:tc>
        <w:tc>
          <w:tcPr>
            <w:tcW w:w="506" w:type="pct"/>
            <w:vAlign w:val="center"/>
          </w:tcPr>
          <w:p w14:paraId="5A6D12C2">
            <w:pPr>
              <w:pStyle w:val="133"/>
            </w:pPr>
            <w:r>
              <w:rPr>
                <w:rFonts w:hint="eastAsia"/>
              </w:rPr>
              <w:t>一级</w:t>
            </w:r>
          </w:p>
        </w:tc>
      </w:tr>
      <w:tr w14:paraId="6A37A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27096A6F">
            <w:pPr>
              <w:pStyle w:val="133"/>
            </w:pPr>
          </w:p>
        </w:tc>
        <w:tc>
          <w:tcPr>
            <w:tcW w:w="817" w:type="pct"/>
            <w:vMerge w:val="continue"/>
            <w:vAlign w:val="center"/>
          </w:tcPr>
          <w:p w14:paraId="2F44F626">
            <w:pPr>
              <w:pStyle w:val="133"/>
            </w:pPr>
          </w:p>
        </w:tc>
        <w:tc>
          <w:tcPr>
            <w:tcW w:w="574" w:type="pct"/>
            <w:vAlign w:val="center"/>
          </w:tcPr>
          <w:p w14:paraId="03A3D0C6">
            <w:pPr>
              <w:pStyle w:val="133"/>
            </w:pPr>
            <w:r>
              <w:rPr>
                <w:rFonts w:hint="eastAsia"/>
              </w:rPr>
              <w:t>装煤</w:t>
            </w:r>
          </w:p>
        </w:tc>
        <w:tc>
          <w:tcPr>
            <w:tcW w:w="531" w:type="pct"/>
            <w:vAlign w:val="center"/>
          </w:tcPr>
          <w:p w14:paraId="3E8CDB8D">
            <w:pPr>
              <w:pStyle w:val="133"/>
            </w:pPr>
            <w:r>
              <w:rPr>
                <w:rFonts w:hint="eastAsia"/>
              </w:rPr>
              <w:t>2.543</w:t>
            </w:r>
          </w:p>
        </w:tc>
        <w:tc>
          <w:tcPr>
            <w:tcW w:w="776" w:type="pct"/>
            <w:gridSpan w:val="2"/>
            <w:vAlign w:val="center"/>
          </w:tcPr>
          <w:p w14:paraId="3CCF7CBA">
            <w:pPr>
              <w:pStyle w:val="133"/>
            </w:pPr>
            <w:r>
              <w:rPr>
                <w:rFonts w:hint="eastAsia"/>
              </w:rPr>
              <w:t>2.794</w:t>
            </w:r>
          </w:p>
        </w:tc>
        <w:tc>
          <w:tcPr>
            <w:tcW w:w="490" w:type="pct"/>
            <w:vAlign w:val="center"/>
          </w:tcPr>
          <w:p w14:paraId="666E5180">
            <w:pPr>
              <w:pStyle w:val="133"/>
            </w:pPr>
            <w:r>
              <w:rPr>
                <w:rFonts w:hint="eastAsia"/>
              </w:rPr>
              <w:t>0.27</w:t>
            </w:r>
          </w:p>
        </w:tc>
        <w:tc>
          <w:tcPr>
            <w:tcW w:w="490" w:type="pct"/>
            <w:vAlign w:val="center"/>
          </w:tcPr>
          <w:p w14:paraId="635F7B56">
            <w:pPr>
              <w:pStyle w:val="133"/>
            </w:pPr>
            <w:r>
              <w:rPr>
                <w:rFonts w:hint="eastAsia"/>
              </w:rPr>
              <w:t>一级</w:t>
            </w:r>
          </w:p>
        </w:tc>
        <w:tc>
          <w:tcPr>
            <w:tcW w:w="490" w:type="pct"/>
            <w:vAlign w:val="center"/>
          </w:tcPr>
          <w:p w14:paraId="7EF0B080">
            <w:pPr>
              <w:pStyle w:val="133"/>
            </w:pPr>
            <w:r>
              <w:rPr>
                <w:rFonts w:hint="eastAsia"/>
              </w:rPr>
              <w:t>0.27</w:t>
            </w:r>
          </w:p>
        </w:tc>
        <w:tc>
          <w:tcPr>
            <w:tcW w:w="506" w:type="pct"/>
            <w:vAlign w:val="center"/>
          </w:tcPr>
          <w:p w14:paraId="72B022E5">
            <w:pPr>
              <w:pStyle w:val="133"/>
            </w:pPr>
            <w:r>
              <w:rPr>
                <w:rFonts w:hint="eastAsia"/>
              </w:rPr>
              <w:t>一级</w:t>
            </w:r>
          </w:p>
        </w:tc>
      </w:tr>
      <w:tr w14:paraId="796205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Merge w:val="continue"/>
            <w:vAlign w:val="center"/>
          </w:tcPr>
          <w:p w14:paraId="747D9606">
            <w:pPr>
              <w:pStyle w:val="133"/>
            </w:pPr>
          </w:p>
        </w:tc>
        <w:tc>
          <w:tcPr>
            <w:tcW w:w="817" w:type="pct"/>
            <w:vMerge w:val="continue"/>
            <w:vAlign w:val="center"/>
          </w:tcPr>
          <w:p w14:paraId="10F14A3C">
            <w:pPr>
              <w:pStyle w:val="133"/>
            </w:pPr>
          </w:p>
        </w:tc>
        <w:tc>
          <w:tcPr>
            <w:tcW w:w="574" w:type="pct"/>
            <w:vAlign w:val="center"/>
          </w:tcPr>
          <w:p w14:paraId="13B9A290">
            <w:pPr>
              <w:pStyle w:val="133"/>
            </w:pPr>
            <w:r>
              <w:rPr>
                <w:rFonts w:hint="eastAsia"/>
              </w:rPr>
              <w:t>出焦</w:t>
            </w:r>
          </w:p>
        </w:tc>
        <w:tc>
          <w:tcPr>
            <w:tcW w:w="531" w:type="pct"/>
            <w:vAlign w:val="center"/>
          </w:tcPr>
          <w:p w14:paraId="539E1BB8">
            <w:pPr>
              <w:pStyle w:val="133"/>
            </w:pPr>
            <w:r>
              <w:rPr>
                <w:rFonts w:hint="eastAsia"/>
              </w:rPr>
              <w:t>2.658</w:t>
            </w:r>
          </w:p>
        </w:tc>
        <w:tc>
          <w:tcPr>
            <w:tcW w:w="776" w:type="pct"/>
            <w:gridSpan w:val="2"/>
            <w:vAlign w:val="center"/>
          </w:tcPr>
          <w:p w14:paraId="739A3E87">
            <w:pPr>
              <w:pStyle w:val="133"/>
            </w:pPr>
            <w:r>
              <w:rPr>
                <w:rFonts w:hint="eastAsia"/>
              </w:rPr>
              <w:t>2.807</w:t>
            </w:r>
          </w:p>
        </w:tc>
        <w:tc>
          <w:tcPr>
            <w:tcW w:w="490" w:type="pct"/>
            <w:vAlign w:val="center"/>
          </w:tcPr>
          <w:p w14:paraId="0590AE2F">
            <w:pPr>
              <w:pStyle w:val="133"/>
            </w:pPr>
            <w:r>
              <w:rPr>
                <w:rFonts w:hint="eastAsia"/>
              </w:rPr>
              <w:t>/</w:t>
            </w:r>
          </w:p>
        </w:tc>
        <w:tc>
          <w:tcPr>
            <w:tcW w:w="490" w:type="pct"/>
            <w:vAlign w:val="center"/>
          </w:tcPr>
          <w:p w14:paraId="13AD74B6">
            <w:pPr>
              <w:pStyle w:val="133"/>
            </w:pPr>
            <w:r>
              <w:rPr>
                <w:rFonts w:hint="eastAsia"/>
              </w:rPr>
              <w:t>/</w:t>
            </w:r>
          </w:p>
        </w:tc>
        <w:tc>
          <w:tcPr>
            <w:tcW w:w="490" w:type="pct"/>
            <w:vAlign w:val="center"/>
          </w:tcPr>
          <w:p w14:paraId="7F5DB554">
            <w:pPr>
              <w:pStyle w:val="133"/>
            </w:pPr>
            <w:r>
              <w:rPr>
                <w:rFonts w:hint="eastAsia"/>
              </w:rPr>
              <w:t>/</w:t>
            </w:r>
          </w:p>
        </w:tc>
        <w:tc>
          <w:tcPr>
            <w:tcW w:w="506" w:type="pct"/>
            <w:vAlign w:val="center"/>
          </w:tcPr>
          <w:p w14:paraId="4902541F">
            <w:pPr>
              <w:pStyle w:val="133"/>
            </w:pPr>
            <w:r>
              <w:rPr>
                <w:rFonts w:hint="eastAsia"/>
              </w:rPr>
              <w:t>/</w:t>
            </w:r>
          </w:p>
        </w:tc>
      </w:tr>
      <w:tr w14:paraId="63F04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 w:type="pct"/>
            <w:vAlign w:val="center"/>
          </w:tcPr>
          <w:p w14:paraId="40854976">
            <w:pPr>
              <w:pStyle w:val="133"/>
            </w:pPr>
            <w:r>
              <w:rPr>
                <w:rFonts w:hint="eastAsia"/>
              </w:rPr>
              <w:t>固体废物</w:t>
            </w:r>
          </w:p>
        </w:tc>
        <w:tc>
          <w:tcPr>
            <w:tcW w:w="1391" w:type="pct"/>
            <w:gridSpan w:val="2"/>
            <w:vAlign w:val="center"/>
          </w:tcPr>
          <w:p w14:paraId="54601280">
            <w:pPr>
              <w:pStyle w:val="133"/>
            </w:pPr>
            <w:r>
              <w:rPr>
                <w:rFonts w:hint="eastAsia"/>
              </w:rPr>
              <w:t>焦油渣（千克</w:t>
            </w:r>
            <w:r>
              <w:t>/</w:t>
            </w:r>
            <w:r>
              <w:rPr>
                <w:rFonts w:hint="eastAsia"/>
              </w:rPr>
              <w:t>吨焦）</w:t>
            </w:r>
          </w:p>
        </w:tc>
        <w:tc>
          <w:tcPr>
            <w:tcW w:w="531" w:type="pct"/>
            <w:vAlign w:val="center"/>
          </w:tcPr>
          <w:p w14:paraId="04B2A227">
            <w:pPr>
              <w:pStyle w:val="133"/>
            </w:pPr>
            <w:r>
              <w:rPr>
                <w:rFonts w:hint="eastAsia"/>
              </w:rPr>
              <w:t>0.4</w:t>
            </w:r>
          </w:p>
        </w:tc>
        <w:tc>
          <w:tcPr>
            <w:tcW w:w="776" w:type="pct"/>
            <w:gridSpan w:val="2"/>
            <w:vAlign w:val="center"/>
          </w:tcPr>
          <w:p w14:paraId="540369FD">
            <w:pPr>
              <w:pStyle w:val="133"/>
            </w:pPr>
            <w:r>
              <w:rPr>
                <w:rFonts w:hint="eastAsia"/>
              </w:rPr>
              <w:t>1.7</w:t>
            </w:r>
          </w:p>
        </w:tc>
        <w:tc>
          <w:tcPr>
            <w:tcW w:w="490" w:type="pct"/>
            <w:vAlign w:val="center"/>
          </w:tcPr>
          <w:p w14:paraId="622BA466">
            <w:pPr>
              <w:pStyle w:val="133"/>
            </w:pPr>
            <w:r>
              <w:rPr>
                <w:rFonts w:hint="eastAsia"/>
              </w:rPr>
              <w:t>0.6</w:t>
            </w:r>
          </w:p>
        </w:tc>
        <w:tc>
          <w:tcPr>
            <w:tcW w:w="490" w:type="pct"/>
            <w:vAlign w:val="center"/>
          </w:tcPr>
          <w:p w14:paraId="756D6225">
            <w:pPr>
              <w:pStyle w:val="133"/>
            </w:pPr>
            <w:r>
              <w:rPr>
                <w:rFonts w:hint="eastAsia"/>
              </w:rPr>
              <w:t>二级</w:t>
            </w:r>
          </w:p>
        </w:tc>
        <w:tc>
          <w:tcPr>
            <w:tcW w:w="490" w:type="pct"/>
            <w:vAlign w:val="center"/>
          </w:tcPr>
          <w:p w14:paraId="2205F51D">
            <w:pPr>
              <w:pStyle w:val="133"/>
            </w:pPr>
            <w:r>
              <w:rPr>
                <w:rFonts w:hint="eastAsia"/>
              </w:rPr>
              <w:t>0.6</w:t>
            </w:r>
          </w:p>
        </w:tc>
        <w:tc>
          <w:tcPr>
            <w:tcW w:w="506" w:type="pct"/>
            <w:vAlign w:val="center"/>
          </w:tcPr>
          <w:p w14:paraId="59992A15">
            <w:pPr>
              <w:pStyle w:val="133"/>
            </w:pPr>
            <w:r>
              <w:rPr>
                <w:rFonts w:hint="eastAsia"/>
              </w:rPr>
              <w:t>二级</w:t>
            </w:r>
          </w:p>
        </w:tc>
      </w:tr>
    </w:tbl>
    <w:p w14:paraId="149078CF">
      <w:pPr>
        <w:pStyle w:val="133"/>
      </w:pPr>
    </w:p>
    <w:p w14:paraId="05776356">
      <w:pPr>
        <w:widowControl/>
        <w:spacing w:line="240" w:lineRule="auto"/>
        <w:ind w:firstLine="0" w:firstLineChars="0"/>
        <w:jc w:val="left"/>
        <w:rPr>
          <w:b/>
          <w:color w:val="000000"/>
          <w:szCs w:val="28"/>
        </w:rPr>
      </w:pPr>
      <w:r>
        <w:br w:type="page"/>
      </w:r>
    </w:p>
    <w:p w14:paraId="502A8E51">
      <w:pPr>
        <w:pStyle w:val="118"/>
      </w:pPr>
      <w:r>
        <w:rPr>
          <w:rFonts w:hint="eastAsia"/>
        </w:rPr>
        <w:t>表3.9-5  本项目与废物回收利用指标对比分析表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2435"/>
        <w:gridCol w:w="2699"/>
        <w:gridCol w:w="1216"/>
        <w:gridCol w:w="1222"/>
        <w:gridCol w:w="1709"/>
        <w:gridCol w:w="1709"/>
        <w:gridCol w:w="1709"/>
        <w:gridCol w:w="979"/>
      </w:tblGrid>
      <w:tr w14:paraId="256D5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4" w:type="pct"/>
            <w:gridSpan w:val="2"/>
            <w:vMerge w:val="restart"/>
            <w:vAlign w:val="center"/>
          </w:tcPr>
          <w:p w14:paraId="253FE0C0">
            <w:pPr>
              <w:pStyle w:val="133"/>
              <w:rPr>
                <w:b/>
                <w:bCs/>
              </w:rPr>
            </w:pPr>
            <w:r>
              <w:rPr>
                <w:rFonts w:hint="eastAsia"/>
                <w:b/>
                <w:bCs/>
              </w:rPr>
              <w:t>指标</w:t>
            </w:r>
          </w:p>
        </w:tc>
        <w:tc>
          <w:tcPr>
            <w:tcW w:w="952" w:type="pct"/>
            <w:vMerge w:val="restart"/>
            <w:vAlign w:val="center"/>
          </w:tcPr>
          <w:p w14:paraId="1E9DF6AD">
            <w:pPr>
              <w:pStyle w:val="133"/>
              <w:rPr>
                <w:b/>
                <w:bCs/>
              </w:rPr>
            </w:pPr>
            <w:r>
              <w:rPr>
                <w:rFonts w:hint="eastAsia"/>
                <w:b/>
                <w:bCs/>
              </w:rPr>
              <w:t>一级</w:t>
            </w:r>
          </w:p>
        </w:tc>
        <w:tc>
          <w:tcPr>
            <w:tcW w:w="429" w:type="pct"/>
            <w:vMerge w:val="restart"/>
            <w:vAlign w:val="center"/>
          </w:tcPr>
          <w:p w14:paraId="2D0D04EB">
            <w:pPr>
              <w:pStyle w:val="133"/>
              <w:rPr>
                <w:b/>
                <w:bCs/>
              </w:rPr>
            </w:pPr>
            <w:r>
              <w:rPr>
                <w:rFonts w:hint="eastAsia"/>
                <w:b/>
                <w:bCs/>
              </w:rPr>
              <w:t>二级</w:t>
            </w:r>
          </w:p>
        </w:tc>
        <w:tc>
          <w:tcPr>
            <w:tcW w:w="431" w:type="pct"/>
            <w:vMerge w:val="restart"/>
            <w:vAlign w:val="center"/>
          </w:tcPr>
          <w:p w14:paraId="67827C71">
            <w:pPr>
              <w:pStyle w:val="133"/>
              <w:rPr>
                <w:b/>
                <w:bCs/>
              </w:rPr>
            </w:pPr>
            <w:r>
              <w:rPr>
                <w:rFonts w:hint="eastAsia"/>
                <w:b/>
                <w:bCs/>
              </w:rPr>
              <w:t>三级</w:t>
            </w:r>
          </w:p>
        </w:tc>
        <w:tc>
          <w:tcPr>
            <w:tcW w:w="1206" w:type="pct"/>
            <w:gridSpan w:val="2"/>
            <w:vAlign w:val="center"/>
          </w:tcPr>
          <w:p w14:paraId="54EF78C0">
            <w:pPr>
              <w:pStyle w:val="133"/>
              <w:rPr>
                <w:b/>
                <w:bCs/>
              </w:rPr>
            </w:pPr>
            <w:r>
              <w:rPr>
                <w:rFonts w:hint="eastAsia"/>
                <w:b/>
                <w:bCs/>
              </w:rPr>
              <w:t>技改前</w:t>
            </w:r>
          </w:p>
        </w:tc>
        <w:tc>
          <w:tcPr>
            <w:tcW w:w="948" w:type="pct"/>
            <w:gridSpan w:val="2"/>
            <w:vAlign w:val="center"/>
          </w:tcPr>
          <w:p w14:paraId="02C39D12">
            <w:pPr>
              <w:pStyle w:val="133"/>
              <w:rPr>
                <w:b/>
                <w:bCs/>
              </w:rPr>
            </w:pPr>
            <w:r>
              <w:rPr>
                <w:rFonts w:hint="eastAsia"/>
                <w:b/>
                <w:bCs/>
              </w:rPr>
              <w:t>技改后</w:t>
            </w:r>
          </w:p>
        </w:tc>
      </w:tr>
      <w:tr w14:paraId="3BA6F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4" w:type="pct"/>
            <w:gridSpan w:val="2"/>
            <w:vMerge w:val="continue"/>
            <w:vAlign w:val="center"/>
          </w:tcPr>
          <w:p w14:paraId="0BA29C7C">
            <w:pPr>
              <w:pStyle w:val="133"/>
              <w:rPr>
                <w:b/>
                <w:bCs/>
              </w:rPr>
            </w:pPr>
          </w:p>
        </w:tc>
        <w:tc>
          <w:tcPr>
            <w:tcW w:w="952" w:type="pct"/>
            <w:vMerge w:val="continue"/>
            <w:vAlign w:val="center"/>
          </w:tcPr>
          <w:p w14:paraId="7859F977">
            <w:pPr>
              <w:pStyle w:val="133"/>
              <w:rPr>
                <w:b/>
                <w:bCs/>
              </w:rPr>
            </w:pPr>
          </w:p>
        </w:tc>
        <w:tc>
          <w:tcPr>
            <w:tcW w:w="429" w:type="pct"/>
            <w:vMerge w:val="continue"/>
            <w:vAlign w:val="center"/>
          </w:tcPr>
          <w:p w14:paraId="2EC441D1">
            <w:pPr>
              <w:pStyle w:val="133"/>
              <w:rPr>
                <w:b/>
                <w:bCs/>
              </w:rPr>
            </w:pPr>
          </w:p>
        </w:tc>
        <w:tc>
          <w:tcPr>
            <w:tcW w:w="431" w:type="pct"/>
            <w:vMerge w:val="continue"/>
            <w:vAlign w:val="center"/>
          </w:tcPr>
          <w:p w14:paraId="3A1DC4DF">
            <w:pPr>
              <w:pStyle w:val="133"/>
              <w:rPr>
                <w:b/>
                <w:bCs/>
              </w:rPr>
            </w:pPr>
          </w:p>
        </w:tc>
        <w:tc>
          <w:tcPr>
            <w:tcW w:w="603" w:type="pct"/>
            <w:vAlign w:val="center"/>
          </w:tcPr>
          <w:p w14:paraId="5671CFDC">
            <w:pPr>
              <w:pStyle w:val="133"/>
              <w:rPr>
                <w:b/>
                <w:bCs/>
              </w:rPr>
            </w:pPr>
            <w:r>
              <w:rPr>
                <w:rFonts w:hint="eastAsia"/>
                <w:b/>
                <w:bCs/>
              </w:rPr>
              <w:t>项目情况</w:t>
            </w:r>
          </w:p>
        </w:tc>
        <w:tc>
          <w:tcPr>
            <w:tcW w:w="603" w:type="pct"/>
            <w:vAlign w:val="center"/>
          </w:tcPr>
          <w:p w14:paraId="2BD53DE1">
            <w:pPr>
              <w:pStyle w:val="133"/>
              <w:rPr>
                <w:b/>
                <w:bCs/>
              </w:rPr>
            </w:pPr>
            <w:r>
              <w:rPr>
                <w:rFonts w:hint="eastAsia"/>
                <w:b/>
                <w:bCs/>
              </w:rPr>
              <w:t>对比情况</w:t>
            </w:r>
          </w:p>
        </w:tc>
        <w:tc>
          <w:tcPr>
            <w:tcW w:w="603" w:type="pct"/>
            <w:vAlign w:val="center"/>
          </w:tcPr>
          <w:p w14:paraId="23165F9A">
            <w:pPr>
              <w:pStyle w:val="133"/>
              <w:rPr>
                <w:b/>
                <w:bCs/>
              </w:rPr>
            </w:pPr>
            <w:r>
              <w:rPr>
                <w:rFonts w:hint="eastAsia"/>
                <w:b/>
                <w:bCs/>
              </w:rPr>
              <w:t>项目情况</w:t>
            </w:r>
          </w:p>
        </w:tc>
        <w:tc>
          <w:tcPr>
            <w:tcW w:w="345" w:type="pct"/>
            <w:vAlign w:val="center"/>
          </w:tcPr>
          <w:p w14:paraId="2C5E6074">
            <w:pPr>
              <w:pStyle w:val="133"/>
              <w:rPr>
                <w:b/>
                <w:bCs/>
              </w:rPr>
            </w:pPr>
            <w:r>
              <w:rPr>
                <w:rFonts w:hint="eastAsia"/>
                <w:b/>
                <w:bCs/>
              </w:rPr>
              <w:t>对比情况</w:t>
            </w:r>
          </w:p>
        </w:tc>
      </w:tr>
      <w:tr w14:paraId="4CA43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restart"/>
            <w:vAlign w:val="center"/>
          </w:tcPr>
          <w:p w14:paraId="10405387">
            <w:pPr>
              <w:pStyle w:val="133"/>
            </w:pPr>
            <w:r>
              <w:rPr>
                <w:rFonts w:hint="eastAsia"/>
              </w:rPr>
              <w:t>废水</w:t>
            </w:r>
          </w:p>
        </w:tc>
        <w:tc>
          <w:tcPr>
            <w:tcW w:w="859" w:type="pct"/>
            <w:vAlign w:val="center"/>
          </w:tcPr>
          <w:p w14:paraId="0ED12B53">
            <w:pPr>
              <w:pStyle w:val="133"/>
            </w:pPr>
            <w:r>
              <w:rPr>
                <w:rFonts w:hint="eastAsia"/>
              </w:rPr>
              <w:t>煤气净化废水</w:t>
            </w:r>
          </w:p>
        </w:tc>
        <w:tc>
          <w:tcPr>
            <w:tcW w:w="1812" w:type="pct"/>
            <w:gridSpan w:val="3"/>
            <w:vAlign w:val="center"/>
          </w:tcPr>
          <w:p w14:paraId="0977DB5C">
            <w:pPr>
              <w:pStyle w:val="133"/>
            </w:pPr>
            <w:r>
              <w:rPr>
                <w:rFonts w:hint="eastAsia"/>
              </w:rPr>
              <w:t>处理后的废水全部回用，均不外排。</w:t>
            </w:r>
          </w:p>
        </w:tc>
        <w:tc>
          <w:tcPr>
            <w:tcW w:w="603" w:type="pct"/>
            <w:vAlign w:val="center"/>
          </w:tcPr>
          <w:p w14:paraId="1F622EBC">
            <w:pPr>
              <w:pStyle w:val="133"/>
            </w:pPr>
            <w:r>
              <w:rPr>
                <w:rFonts w:hint="eastAsia"/>
              </w:rPr>
              <w:t>全部焚烧处理</w:t>
            </w:r>
          </w:p>
        </w:tc>
        <w:tc>
          <w:tcPr>
            <w:tcW w:w="603" w:type="pct"/>
            <w:vAlign w:val="center"/>
          </w:tcPr>
          <w:p w14:paraId="3FFB4916">
            <w:pPr>
              <w:pStyle w:val="133"/>
            </w:pPr>
            <w:r>
              <w:rPr>
                <w:rFonts w:hint="eastAsia"/>
              </w:rPr>
              <w:t>一级</w:t>
            </w:r>
          </w:p>
        </w:tc>
        <w:tc>
          <w:tcPr>
            <w:tcW w:w="603" w:type="pct"/>
            <w:vAlign w:val="center"/>
          </w:tcPr>
          <w:p w14:paraId="5627017B">
            <w:pPr>
              <w:pStyle w:val="133"/>
            </w:pPr>
            <w:r>
              <w:rPr>
                <w:rFonts w:hint="eastAsia"/>
              </w:rPr>
              <w:t>全部焚烧处理</w:t>
            </w:r>
          </w:p>
        </w:tc>
        <w:tc>
          <w:tcPr>
            <w:tcW w:w="345" w:type="pct"/>
            <w:vAlign w:val="center"/>
          </w:tcPr>
          <w:p w14:paraId="3170BA34">
            <w:pPr>
              <w:pStyle w:val="133"/>
            </w:pPr>
            <w:r>
              <w:rPr>
                <w:rFonts w:hint="eastAsia"/>
              </w:rPr>
              <w:t>一级</w:t>
            </w:r>
          </w:p>
        </w:tc>
      </w:tr>
      <w:tr w14:paraId="512E4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vAlign w:val="center"/>
          </w:tcPr>
          <w:p w14:paraId="525E9AE8">
            <w:pPr>
              <w:pStyle w:val="133"/>
            </w:pPr>
          </w:p>
        </w:tc>
        <w:tc>
          <w:tcPr>
            <w:tcW w:w="859" w:type="pct"/>
            <w:vAlign w:val="center"/>
          </w:tcPr>
          <w:p w14:paraId="12699F2F">
            <w:pPr>
              <w:pStyle w:val="133"/>
            </w:pPr>
            <w:r>
              <w:rPr>
                <w:rFonts w:hint="eastAsia"/>
              </w:rPr>
              <w:t>熄焦废水</w:t>
            </w:r>
          </w:p>
        </w:tc>
        <w:tc>
          <w:tcPr>
            <w:tcW w:w="1812" w:type="pct"/>
            <w:gridSpan w:val="3"/>
            <w:vAlign w:val="center"/>
          </w:tcPr>
          <w:p w14:paraId="790C8CF0">
            <w:pPr>
              <w:pStyle w:val="133"/>
            </w:pPr>
            <w:r>
              <w:rPr>
                <w:rFonts w:hint="eastAsia"/>
              </w:rPr>
              <w:t>熄焦水闭路循环，均不外排。</w:t>
            </w:r>
          </w:p>
        </w:tc>
        <w:tc>
          <w:tcPr>
            <w:tcW w:w="603" w:type="pct"/>
            <w:vAlign w:val="center"/>
          </w:tcPr>
          <w:p w14:paraId="013CE427">
            <w:pPr>
              <w:pStyle w:val="133"/>
            </w:pPr>
            <w:r>
              <w:rPr>
                <w:rFonts w:hint="eastAsia"/>
              </w:rPr>
              <w:t>熄焦水闭路循环，均不外排</w:t>
            </w:r>
          </w:p>
        </w:tc>
        <w:tc>
          <w:tcPr>
            <w:tcW w:w="603" w:type="pct"/>
            <w:vAlign w:val="center"/>
          </w:tcPr>
          <w:p w14:paraId="0F62EBEA">
            <w:pPr>
              <w:pStyle w:val="133"/>
            </w:pPr>
            <w:r>
              <w:rPr>
                <w:rFonts w:hint="eastAsia"/>
              </w:rPr>
              <w:t>一级</w:t>
            </w:r>
          </w:p>
        </w:tc>
        <w:tc>
          <w:tcPr>
            <w:tcW w:w="603" w:type="pct"/>
            <w:vAlign w:val="center"/>
          </w:tcPr>
          <w:p w14:paraId="7187BC3C">
            <w:pPr>
              <w:pStyle w:val="133"/>
            </w:pPr>
            <w:r>
              <w:rPr>
                <w:rFonts w:hint="eastAsia"/>
              </w:rPr>
              <w:t>蒸汽熄焦</w:t>
            </w:r>
          </w:p>
        </w:tc>
        <w:tc>
          <w:tcPr>
            <w:tcW w:w="345" w:type="pct"/>
            <w:vAlign w:val="center"/>
          </w:tcPr>
          <w:p w14:paraId="7F4D3D1C">
            <w:pPr>
              <w:pStyle w:val="133"/>
            </w:pPr>
            <w:r>
              <w:rPr>
                <w:rFonts w:hint="eastAsia"/>
              </w:rPr>
              <w:t>一级</w:t>
            </w:r>
          </w:p>
        </w:tc>
      </w:tr>
      <w:tr w14:paraId="00A8B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restart"/>
            <w:vAlign w:val="center"/>
          </w:tcPr>
          <w:p w14:paraId="77D9619F">
            <w:pPr>
              <w:pStyle w:val="133"/>
            </w:pPr>
            <w:r>
              <w:rPr>
                <w:rFonts w:hint="eastAsia"/>
              </w:rPr>
              <w:t>废渣</w:t>
            </w:r>
          </w:p>
        </w:tc>
        <w:tc>
          <w:tcPr>
            <w:tcW w:w="859" w:type="pct"/>
            <w:vAlign w:val="center"/>
          </w:tcPr>
          <w:p w14:paraId="6983147C">
            <w:pPr>
              <w:pStyle w:val="133"/>
            </w:pPr>
            <w:r>
              <w:rPr>
                <w:rFonts w:hint="eastAsia"/>
              </w:rPr>
              <w:t>备煤工段收尘器煤尘</w:t>
            </w:r>
          </w:p>
        </w:tc>
        <w:tc>
          <w:tcPr>
            <w:tcW w:w="1812" w:type="pct"/>
            <w:gridSpan w:val="3"/>
            <w:vAlign w:val="center"/>
          </w:tcPr>
          <w:p w14:paraId="64B5BF79">
            <w:pPr>
              <w:pStyle w:val="133"/>
            </w:pPr>
            <w:r>
              <w:rPr>
                <w:rFonts w:hint="eastAsia"/>
              </w:rPr>
              <w:t>全部回收利用或外售</w:t>
            </w:r>
          </w:p>
        </w:tc>
        <w:tc>
          <w:tcPr>
            <w:tcW w:w="603" w:type="pct"/>
            <w:vAlign w:val="center"/>
          </w:tcPr>
          <w:p w14:paraId="3765741F">
            <w:pPr>
              <w:pStyle w:val="133"/>
            </w:pPr>
            <w:r>
              <w:rPr>
                <w:rFonts w:hint="eastAsia"/>
              </w:rPr>
              <w:t>/</w:t>
            </w:r>
          </w:p>
        </w:tc>
        <w:tc>
          <w:tcPr>
            <w:tcW w:w="603" w:type="pct"/>
            <w:vAlign w:val="center"/>
          </w:tcPr>
          <w:p w14:paraId="043F57C6">
            <w:pPr>
              <w:pStyle w:val="133"/>
            </w:pPr>
            <w:r>
              <w:rPr>
                <w:rFonts w:hint="eastAsia"/>
              </w:rPr>
              <w:t>/</w:t>
            </w:r>
          </w:p>
        </w:tc>
        <w:tc>
          <w:tcPr>
            <w:tcW w:w="603" w:type="pct"/>
            <w:vAlign w:val="center"/>
          </w:tcPr>
          <w:p w14:paraId="2B7F6A69">
            <w:pPr>
              <w:pStyle w:val="133"/>
            </w:pPr>
            <w:r>
              <w:rPr>
                <w:rFonts w:hint="eastAsia"/>
              </w:rPr>
              <w:t>/</w:t>
            </w:r>
          </w:p>
        </w:tc>
        <w:tc>
          <w:tcPr>
            <w:tcW w:w="345" w:type="pct"/>
            <w:vAlign w:val="center"/>
          </w:tcPr>
          <w:p w14:paraId="522215BC">
            <w:pPr>
              <w:pStyle w:val="133"/>
            </w:pPr>
            <w:r>
              <w:rPr>
                <w:rFonts w:hint="eastAsia"/>
              </w:rPr>
              <w:t>/</w:t>
            </w:r>
          </w:p>
        </w:tc>
      </w:tr>
      <w:tr w14:paraId="22E89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vAlign w:val="center"/>
          </w:tcPr>
          <w:p w14:paraId="63120503">
            <w:pPr>
              <w:pStyle w:val="133"/>
            </w:pPr>
          </w:p>
        </w:tc>
        <w:tc>
          <w:tcPr>
            <w:tcW w:w="859" w:type="pct"/>
            <w:vAlign w:val="center"/>
          </w:tcPr>
          <w:p w14:paraId="45572D71">
            <w:pPr>
              <w:pStyle w:val="133"/>
            </w:pPr>
            <w:r>
              <w:rPr>
                <w:rFonts w:hint="eastAsia"/>
              </w:rPr>
              <w:t>熄焦、筛焦系统粉尘</w:t>
            </w:r>
          </w:p>
        </w:tc>
        <w:tc>
          <w:tcPr>
            <w:tcW w:w="1812" w:type="pct"/>
            <w:gridSpan w:val="3"/>
            <w:vAlign w:val="center"/>
          </w:tcPr>
          <w:p w14:paraId="3C7715D4">
            <w:pPr>
              <w:pStyle w:val="133"/>
            </w:pPr>
            <w:r>
              <w:rPr>
                <w:rFonts w:hint="eastAsia"/>
              </w:rPr>
              <w:t>全部回收利用或外售</w:t>
            </w:r>
          </w:p>
        </w:tc>
        <w:tc>
          <w:tcPr>
            <w:tcW w:w="603" w:type="pct"/>
            <w:vAlign w:val="center"/>
          </w:tcPr>
          <w:p w14:paraId="775A6334">
            <w:pPr>
              <w:pStyle w:val="133"/>
            </w:pPr>
            <w:r>
              <w:rPr>
                <w:rFonts w:hint="eastAsia"/>
              </w:rPr>
              <w:t>外售</w:t>
            </w:r>
          </w:p>
        </w:tc>
        <w:tc>
          <w:tcPr>
            <w:tcW w:w="603" w:type="pct"/>
            <w:vAlign w:val="center"/>
          </w:tcPr>
          <w:p w14:paraId="45D63659">
            <w:pPr>
              <w:pStyle w:val="133"/>
            </w:pPr>
            <w:r>
              <w:rPr>
                <w:rFonts w:hint="eastAsia"/>
              </w:rPr>
              <w:t>一级</w:t>
            </w:r>
          </w:p>
        </w:tc>
        <w:tc>
          <w:tcPr>
            <w:tcW w:w="603" w:type="pct"/>
            <w:vAlign w:val="center"/>
          </w:tcPr>
          <w:p w14:paraId="3F8D2E52">
            <w:pPr>
              <w:pStyle w:val="133"/>
            </w:pPr>
            <w:r>
              <w:rPr>
                <w:rFonts w:hint="eastAsia"/>
              </w:rPr>
              <w:t>外售</w:t>
            </w:r>
          </w:p>
        </w:tc>
        <w:tc>
          <w:tcPr>
            <w:tcW w:w="345" w:type="pct"/>
            <w:vAlign w:val="center"/>
          </w:tcPr>
          <w:p w14:paraId="2636E47F">
            <w:pPr>
              <w:pStyle w:val="133"/>
            </w:pPr>
            <w:r>
              <w:rPr>
                <w:rFonts w:hint="eastAsia"/>
              </w:rPr>
              <w:t>一级</w:t>
            </w:r>
          </w:p>
        </w:tc>
      </w:tr>
      <w:tr w14:paraId="32C0A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vAlign w:val="center"/>
          </w:tcPr>
          <w:p w14:paraId="4F92436E">
            <w:pPr>
              <w:pStyle w:val="133"/>
            </w:pPr>
          </w:p>
        </w:tc>
        <w:tc>
          <w:tcPr>
            <w:tcW w:w="859" w:type="pct"/>
            <w:vAlign w:val="center"/>
          </w:tcPr>
          <w:p w14:paraId="3931B126">
            <w:pPr>
              <w:pStyle w:val="133"/>
            </w:pPr>
            <w:r>
              <w:rPr>
                <w:rFonts w:hint="eastAsia"/>
              </w:rPr>
              <w:t>焦油渣（含焦油罐渣）</w:t>
            </w:r>
          </w:p>
        </w:tc>
        <w:tc>
          <w:tcPr>
            <w:tcW w:w="952" w:type="pct"/>
            <w:vAlign w:val="center"/>
          </w:tcPr>
          <w:p w14:paraId="4265BEA5">
            <w:pPr>
              <w:pStyle w:val="133"/>
            </w:pPr>
            <w:r>
              <w:rPr>
                <w:rFonts w:hint="eastAsia"/>
              </w:rPr>
              <w:t>全部不落地，综合利用</w:t>
            </w:r>
          </w:p>
        </w:tc>
        <w:tc>
          <w:tcPr>
            <w:tcW w:w="860" w:type="pct"/>
            <w:gridSpan w:val="2"/>
            <w:vAlign w:val="center"/>
          </w:tcPr>
          <w:p w14:paraId="544F907D">
            <w:pPr>
              <w:pStyle w:val="133"/>
            </w:pPr>
            <w:r>
              <w:rPr>
                <w:rFonts w:hint="eastAsia"/>
              </w:rPr>
              <w:t>委托有资质的单位处置</w:t>
            </w:r>
          </w:p>
        </w:tc>
        <w:tc>
          <w:tcPr>
            <w:tcW w:w="603" w:type="pct"/>
            <w:vAlign w:val="center"/>
          </w:tcPr>
          <w:p w14:paraId="54FA2E09">
            <w:pPr>
              <w:pStyle w:val="133"/>
            </w:pPr>
            <w:r>
              <w:rPr>
                <w:rFonts w:hint="eastAsia"/>
              </w:rPr>
              <w:t>全部配煤综合利用</w:t>
            </w:r>
          </w:p>
        </w:tc>
        <w:tc>
          <w:tcPr>
            <w:tcW w:w="603" w:type="pct"/>
            <w:vAlign w:val="center"/>
          </w:tcPr>
          <w:p w14:paraId="1E20E480">
            <w:pPr>
              <w:pStyle w:val="133"/>
            </w:pPr>
            <w:r>
              <w:rPr>
                <w:rFonts w:hint="eastAsia"/>
              </w:rPr>
              <w:t>一级</w:t>
            </w:r>
          </w:p>
        </w:tc>
        <w:tc>
          <w:tcPr>
            <w:tcW w:w="603" w:type="pct"/>
            <w:vAlign w:val="center"/>
          </w:tcPr>
          <w:p w14:paraId="0B66EF5E">
            <w:pPr>
              <w:pStyle w:val="133"/>
            </w:pPr>
            <w:r>
              <w:rPr>
                <w:rFonts w:hint="eastAsia"/>
              </w:rPr>
              <w:t>全部配煤综合利用</w:t>
            </w:r>
          </w:p>
        </w:tc>
        <w:tc>
          <w:tcPr>
            <w:tcW w:w="345" w:type="pct"/>
            <w:vAlign w:val="center"/>
          </w:tcPr>
          <w:p w14:paraId="06F9A877">
            <w:pPr>
              <w:pStyle w:val="133"/>
            </w:pPr>
            <w:r>
              <w:rPr>
                <w:rFonts w:hint="eastAsia"/>
              </w:rPr>
              <w:t>一级</w:t>
            </w:r>
          </w:p>
        </w:tc>
      </w:tr>
      <w:tr w14:paraId="4A231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 w:type="pct"/>
            <w:vMerge w:val="continue"/>
            <w:vAlign w:val="center"/>
          </w:tcPr>
          <w:p w14:paraId="2348013A">
            <w:pPr>
              <w:pStyle w:val="133"/>
            </w:pPr>
          </w:p>
        </w:tc>
        <w:tc>
          <w:tcPr>
            <w:tcW w:w="859" w:type="pct"/>
            <w:vAlign w:val="center"/>
          </w:tcPr>
          <w:p w14:paraId="1C63CAC4">
            <w:pPr>
              <w:pStyle w:val="133"/>
            </w:pPr>
            <w:r>
              <w:rPr>
                <w:rFonts w:hint="eastAsia"/>
              </w:rPr>
              <w:t>脱硫废液</w:t>
            </w:r>
          </w:p>
        </w:tc>
        <w:tc>
          <w:tcPr>
            <w:tcW w:w="952" w:type="pct"/>
            <w:vAlign w:val="center"/>
          </w:tcPr>
          <w:p w14:paraId="3B6679A0">
            <w:pPr>
              <w:pStyle w:val="133"/>
            </w:pPr>
            <w:r>
              <w:rPr>
                <w:rFonts w:hint="eastAsia"/>
              </w:rPr>
              <w:t>全部综合利用</w:t>
            </w:r>
          </w:p>
        </w:tc>
        <w:tc>
          <w:tcPr>
            <w:tcW w:w="860" w:type="pct"/>
            <w:gridSpan w:val="2"/>
            <w:vAlign w:val="center"/>
          </w:tcPr>
          <w:p w14:paraId="6554C058">
            <w:pPr>
              <w:pStyle w:val="133"/>
            </w:pPr>
            <w:r>
              <w:rPr>
                <w:rFonts w:hint="eastAsia"/>
              </w:rPr>
              <w:t>委托有资质的单位处置</w:t>
            </w:r>
          </w:p>
        </w:tc>
        <w:tc>
          <w:tcPr>
            <w:tcW w:w="603" w:type="pct"/>
            <w:vAlign w:val="center"/>
          </w:tcPr>
          <w:p w14:paraId="49DF00F4">
            <w:pPr>
              <w:pStyle w:val="133"/>
            </w:pPr>
            <w:r>
              <w:rPr>
                <w:rFonts w:hint="eastAsia"/>
              </w:rPr>
              <w:t>/</w:t>
            </w:r>
          </w:p>
        </w:tc>
        <w:tc>
          <w:tcPr>
            <w:tcW w:w="603" w:type="pct"/>
            <w:vAlign w:val="center"/>
          </w:tcPr>
          <w:p w14:paraId="3FCC6D0A">
            <w:pPr>
              <w:pStyle w:val="133"/>
            </w:pPr>
            <w:r>
              <w:rPr>
                <w:rFonts w:hint="eastAsia"/>
              </w:rPr>
              <w:t>/</w:t>
            </w:r>
          </w:p>
        </w:tc>
        <w:tc>
          <w:tcPr>
            <w:tcW w:w="603" w:type="pct"/>
            <w:vAlign w:val="center"/>
          </w:tcPr>
          <w:p w14:paraId="7F63EC45">
            <w:pPr>
              <w:pStyle w:val="133"/>
            </w:pPr>
            <w:r>
              <w:rPr>
                <w:rFonts w:hint="eastAsia"/>
              </w:rPr>
              <w:t>/</w:t>
            </w:r>
          </w:p>
        </w:tc>
        <w:tc>
          <w:tcPr>
            <w:tcW w:w="345" w:type="pct"/>
            <w:vAlign w:val="center"/>
          </w:tcPr>
          <w:p w14:paraId="376C2062">
            <w:pPr>
              <w:pStyle w:val="133"/>
            </w:pPr>
            <w:r>
              <w:rPr>
                <w:rFonts w:hint="eastAsia"/>
              </w:rPr>
              <w:t>/</w:t>
            </w:r>
          </w:p>
        </w:tc>
      </w:tr>
    </w:tbl>
    <w:p w14:paraId="3F8CC1A8">
      <w:pPr>
        <w:pStyle w:val="133"/>
      </w:pPr>
    </w:p>
    <w:p w14:paraId="15EE2B37">
      <w:pPr>
        <w:pStyle w:val="118"/>
      </w:pPr>
      <w:r>
        <w:rPr>
          <w:rFonts w:hint="eastAsia"/>
        </w:rPr>
        <w:t>表3.9-6  本项目与环境管理指标对比分析表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37"/>
        <w:gridCol w:w="2140"/>
        <w:gridCol w:w="2339"/>
        <w:gridCol w:w="1902"/>
        <w:gridCol w:w="2061"/>
        <w:gridCol w:w="2064"/>
        <w:gridCol w:w="2064"/>
        <w:gridCol w:w="541"/>
      </w:tblGrid>
      <w:tr w14:paraId="2E8D3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pct"/>
            <w:gridSpan w:val="2"/>
            <w:vMerge w:val="restart"/>
            <w:vAlign w:val="center"/>
          </w:tcPr>
          <w:p w14:paraId="5FAA9780">
            <w:pPr>
              <w:pStyle w:val="133"/>
              <w:rPr>
                <w:b/>
                <w:bCs/>
              </w:rPr>
            </w:pPr>
            <w:r>
              <w:rPr>
                <w:rFonts w:hint="eastAsia"/>
                <w:b/>
                <w:bCs/>
              </w:rPr>
              <w:t>指标</w:t>
            </w:r>
          </w:p>
        </w:tc>
        <w:tc>
          <w:tcPr>
            <w:tcW w:w="755" w:type="pct"/>
            <w:vMerge w:val="restart"/>
            <w:vAlign w:val="center"/>
          </w:tcPr>
          <w:p w14:paraId="2E82F6F9">
            <w:pPr>
              <w:pStyle w:val="133"/>
              <w:rPr>
                <w:b/>
                <w:bCs/>
              </w:rPr>
            </w:pPr>
            <w:r>
              <w:rPr>
                <w:rFonts w:hint="eastAsia"/>
                <w:b/>
                <w:bCs/>
              </w:rPr>
              <w:t>一级</w:t>
            </w:r>
          </w:p>
        </w:tc>
        <w:tc>
          <w:tcPr>
            <w:tcW w:w="825" w:type="pct"/>
            <w:vMerge w:val="restart"/>
            <w:vAlign w:val="center"/>
          </w:tcPr>
          <w:p w14:paraId="71497064">
            <w:pPr>
              <w:pStyle w:val="133"/>
              <w:rPr>
                <w:b/>
                <w:bCs/>
              </w:rPr>
            </w:pPr>
            <w:r>
              <w:rPr>
                <w:rFonts w:hint="eastAsia"/>
                <w:b/>
                <w:bCs/>
              </w:rPr>
              <w:t>二级</w:t>
            </w:r>
          </w:p>
        </w:tc>
        <w:tc>
          <w:tcPr>
            <w:tcW w:w="671" w:type="pct"/>
            <w:vMerge w:val="restart"/>
            <w:vAlign w:val="center"/>
          </w:tcPr>
          <w:p w14:paraId="2969A68A">
            <w:pPr>
              <w:pStyle w:val="133"/>
              <w:rPr>
                <w:b/>
                <w:bCs/>
              </w:rPr>
            </w:pPr>
            <w:r>
              <w:rPr>
                <w:rFonts w:hint="eastAsia"/>
                <w:b/>
                <w:bCs/>
              </w:rPr>
              <w:t>三级</w:t>
            </w:r>
          </w:p>
        </w:tc>
        <w:tc>
          <w:tcPr>
            <w:tcW w:w="1455" w:type="pct"/>
            <w:gridSpan w:val="2"/>
            <w:vAlign w:val="center"/>
          </w:tcPr>
          <w:p w14:paraId="7E24F3CF">
            <w:pPr>
              <w:pStyle w:val="133"/>
              <w:rPr>
                <w:b/>
                <w:bCs/>
              </w:rPr>
            </w:pPr>
            <w:r>
              <w:rPr>
                <w:rFonts w:hint="eastAsia"/>
                <w:b/>
                <w:bCs/>
              </w:rPr>
              <w:t>技改前</w:t>
            </w:r>
          </w:p>
        </w:tc>
        <w:tc>
          <w:tcPr>
            <w:tcW w:w="919" w:type="pct"/>
            <w:gridSpan w:val="2"/>
            <w:vAlign w:val="center"/>
          </w:tcPr>
          <w:p w14:paraId="49A73446">
            <w:pPr>
              <w:pStyle w:val="133"/>
              <w:rPr>
                <w:b/>
                <w:bCs/>
              </w:rPr>
            </w:pPr>
            <w:r>
              <w:rPr>
                <w:rFonts w:hint="eastAsia"/>
                <w:b/>
                <w:bCs/>
              </w:rPr>
              <w:t>技改后</w:t>
            </w:r>
          </w:p>
        </w:tc>
      </w:tr>
      <w:tr w14:paraId="0CABF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5" w:type="pct"/>
            <w:gridSpan w:val="2"/>
            <w:vMerge w:val="continue"/>
            <w:vAlign w:val="center"/>
          </w:tcPr>
          <w:p w14:paraId="6CFCA702">
            <w:pPr>
              <w:pStyle w:val="133"/>
              <w:rPr>
                <w:b/>
                <w:bCs/>
              </w:rPr>
            </w:pPr>
          </w:p>
        </w:tc>
        <w:tc>
          <w:tcPr>
            <w:tcW w:w="755" w:type="pct"/>
            <w:vMerge w:val="continue"/>
            <w:vAlign w:val="center"/>
          </w:tcPr>
          <w:p w14:paraId="339FE340">
            <w:pPr>
              <w:pStyle w:val="133"/>
              <w:rPr>
                <w:b/>
                <w:bCs/>
              </w:rPr>
            </w:pPr>
          </w:p>
        </w:tc>
        <w:tc>
          <w:tcPr>
            <w:tcW w:w="825" w:type="pct"/>
            <w:vMerge w:val="continue"/>
            <w:vAlign w:val="center"/>
          </w:tcPr>
          <w:p w14:paraId="17DDDAE8">
            <w:pPr>
              <w:pStyle w:val="133"/>
              <w:rPr>
                <w:b/>
                <w:bCs/>
              </w:rPr>
            </w:pPr>
          </w:p>
        </w:tc>
        <w:tc>
          <w:tcPr>
            <w:tcW w:w="671" w:type="pct"/>
            <w:vMerge w:val="continue"/>
            <w:vAlign w:val="center"/>
          </w:tcPr>
          <w:p w14:paraId="3523A2CA">
            <w:pPr>
              <w:pStyle w:val="133"/>
              <w:rPr>
                <w:b/>
                <w:bCs/>
              </w:rPr>
            </w:pPr>
          </w:p>
        </w:tc>
        <w:tc>
          <w:tcPr>
            <w:tcW w:w="727" w:type="pct"/>
            <w:vAlign w:val="center"/>
          </w:tcPr>
          <w:p w14:paraId="228D1F4D">
            <w:pPr>
              <w:pStyle w:val="133"/>
              <w:rPr>
                <w:b/>
                <w:bCs/>
              </w:rPr>
            </w:pPr>
            <w:r>
              <w:rPr>
                <w:rFonts w:hint="eastAsia"/>
                <w:b/>
                <w:bCs/>
              </w:rPr>
              <w:t>项目情况</w:t>
            </w:r>
          </w:p>
        </w:tc>
        <w:tc>
          <w:tcPr>
            <w:tcW w:w="728" w:type="pct"/>
            <w:vAlign w:val="center"/>
          </w:tcPr>
          <w:p w14:paraId="218705A6">
            <w:pPr>
              <w:pStyle w:val="133"/>
              <w:rPr>
                <w:b/>
                <w:bCs/>
              </w:rPr>
            </w:pPr>
            <w:r>
              <w:rPr>
                <w:rFonts w:hint="eastAsia"/>
                <w:b/>
                <w:bCs/>
              </w:rPr>
              <w:t>对比情况</w:t>
            </w:r>
          </w:p>
        </w:tc>
        <w:tc>
          <w:tcPr>
            <w:tcW w:w="728" w:type="pct"/>
            <w:vAlign w:val="center"/>
          </w:tcPr>
          <w:p w14:paraId="3328F52D">
            <w:pPr>
              <w:pStyle w:val="133"/>
              <w:rPr>
                <w:b/>
                <w:bCs/>
              </w:rPr>
            </w:pPr>
            <w:r>
              <w:rPr>
                <w:rFonts w:hint="eastAsia"/>
                <w:b/>
                <w:bCs/>
              </w:rPr>
              <w:t>项目情况</w:t>
            </w:r>
          </w:p>
        </w:tc>
        <w:tc>
          <w:tcPr>
            <w:tcW w:w="191" w:type="pct"/>
            <w:vAlign w:val="center"/>
          </w:tcPr>
          <w:p w14:paraId="4552985D">
            <w:pPr>
              <w:pStyle w:val="133"/>
              <w:rPr>
                <w:b/>
                <w:bCs/>
              </w:rPr>
            </w:pPr>
            <w:r>
              <w:rPr>
                <w:rFonts w:hint="eastAsia"/>
                <w:b/>
                <w:bCs/>
              </w:rPr>
              <w:t>对比情况</w:t>
            </w:r>
          </w:p>
        </w:tc>
      </w:tr>
      <w:tr w14:paraId="1966B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gridSpan w:val="2"/>
            <w:vAlign w:val="center"/>
          </w:tcPr>
          <w:p w14:paraId="3C90B6C4">
            <w:pPr>
              <w:pStyle w:val="133"/>
            </w:pPr>
            <w:r>
              <w:rPr>
                <w:rFonts w:hint="eastAsia"/>
              </w:rPr>
              <w:t>环境法律法规标准</w:t>
            </w:r>
          </w:p>
        </w:tc>
        <w:tc>
          <w:tcPr>
            <w:tcW w:w="2251" w:type="pct"/>
            <w:gridSpan w:val="3"/>
            <w:vAlign w:val="center"/>
          </w:tcPr>
          <w:p w14:paraId="16C0474F">
            <w:pPr>
              <w:pStyle w:val="133"/>
            </w:pPr>
            <w:r>
              <w:rPr>
                <w:rFonts w:hint="eastAsia"/>
              </w:rPr>
              <w:t>符合国家和自治区有关环境法律、法规，污染物排放达到国家和地方环境标准、总量控制和排污许可证管理要求。</w:t>
            </w:r>
          </w:p>
        </w:tc>
        <w:tc>
          <w:tcPr>
            <w:tcW w:w="727" w:type="pct"/>
            <w:vAlign w:val="center"/>
          </w:tcPr>
          <w:p w14:paraId="01174602">
            <w:pPr>
              <w:pStyle w:val="133"/>
            </w:pPr>
            <w:r>
              <w:rPr>
                <w:rFonts w:hint="eastAsia"/>
              </w:rPr>
              <w:t>符合</w:t>
            </w:r>
          </w:p>
        </w:tc>
        <w:tc>
          <w:tcPr>
            <w:tcW w:w="728" w:type="pct"/>
            <w:vAlign w:val="center"/>
          </w:tcPr>
          <w:p w14:paraId="4A42A837">
            <w:pPr>
              <w:pStyle w:val="133"/>
            </w:pPr>
            <w:r>
              <w:rPr>
                <w:rFonts w:hint="eastAsia"/>
              </w:rPr>
              <w:t>一级</w:t>
            </w:r>
          </w:p>
        </w:tc>
        <w:tc>
          <w:tcPr>
            <w:tcW w:w="728" w:type="pct"/>
            <w:vAlign w:val="center"/>
          </w:tcPr>
          <w:p w14:paraId="697C6DD3">
            <w:pPr>
              <w:pStyle w:val="133"/>
            </w:pPr>
            <w:r>
              <w:rPr>
                <w:rFonts w:hint="eastAsia"/>
              </w:rPr>
              <w:t>符合</w:t>
            </w:r>
          </w:p>
        </w:tc>
        <w:tc>
          <w:tcPr>
            <w:tcW w:w="191" w:type="pct"/>
            <w:vAlign w:val="center"/>
          </w:tcPr>
          <w:p w14:paraId="658E2678">
            <w:pPr>
              <w:pStyle w:val="133"/>
            </w:pPr>
            <w:r>
              <w:rPr>
                <w:rFonts w:hint="eastAsia"/>
              </w:rPr>
              <w:t>一级</w:t>
            </w:r>
          </w:p>
        </w:tc>
      </w:tr>
      <w:tr w14:paraId="22114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gridSpan w:val="2"/>
            <w:vAlign w:val="center"/>
          </w:tcPr>
          <w:p w14:paraId="15502031">
            <w:pPr>
              <w:pStyle w:val="133"/>
            </w:pPr>
            <w:r>
              <w:rPr>
                <w:rFonts w:hint="eastAsia"/>
              </w:rPr>
              <w:t>组织机构</w:t>
            </w:r>
          </w:p>
        </w:tc>
        <w:tc>
          <w:tcPr>
            <w:tcW w:w="2251" w:type="pct"/>
            <w:gridSpan w:val="3"/>
            <w:vAlign w:val="center"/>
          </w:tcPr>
          <w:p w14:paraId="3DEFBBD6">
            <w:pPr>
              <w:pStyle w:val="133"/>
            </w:pPr>
            <w:r>
              <w:rPr>
                <w:rFonts w:hint="eastAsia"/>
              </w:rPr>
              <w:t>设专门环境管理机构和专职管理人员</w:t>
            </w:r>
          </w:p>
        </w:tc>
        <w:tc>
          <w:tcPr>
            <w:tcW w:w="727" w:type="pct"/>
            <w:vAlign w:val="center"/>
          </w:tcPr>
          <w:p w14:paraId="220C23B1">
            <w:pPr>
              <w:pStyle w:val="133"/>
            </w:pPr>
            <w:r>
              <w:rPr>
                <w:rFonts w:hint="eastAsia"/>
              </w:rPr>
              <w:t>符合</w:t>
            </w:r>
          </w:p>
        </w:tc>
        <w:tc>
          <w:tcPr>
            <w:tcW w:w="728" w:type="pct"/>
            <w:vAlign w:val="center"/>
          </w:tcPr>
          <w:p w14:paraId="6D6D062D">
            <w:pPr>
              <w:pStyle w:val="133"/>
            </w:pPr>
            <w:r>
              <w:rPr>
                <w:rFonts w:hint="eastAsia"/>
              </w:rPr>
              <w:t>一级</w:t>
            </w:r>
          </w:p>
        </w:tc>
        <w:tc>
          <w:tcPr>
            <w:tcW w:w="728" w:type="pct"/>
            <w:vAlign w:val="center"/>
          </w:tcPr>
          <w:p w14:paraId="3105D7E3">
            <w:pPr>
              <w:pStyle w:val="133"/>
            </w:pPr>
            <w:r>
              <w:rPr>
                <w:rFonts w:hint="eastAsia"/>
              </w:rPr>
              <w:t>符合</w:t>
            </w:r>
          </w:p>
        </w:tc>
        <w:tc>
          <w:tcPr>
            <w:tcW w:w="191" w:type="pct"/>
            <w:vAlign w:val="center"/>
          </w:tcPr>
          <w:p w14:paraId="4837DC75">
            <w:pPr>
              <w:pStyle w:val="133"/>
            </w:pPr>
            <w:r>
              <w:rPr>
                <w:rFonts w:hint="eastAsia"/>
              </w:rPr>
              <w:t>一级</w:t>
            </w:r>
          </w:p>
        </w:tc>
      </w:tr>
      <w:tr w14:paraId="4EC4D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gridSpan w:val="2"/>
            <w:vAlign w:val="center"/>
          </w:tcPr>
          <w:p w14:paraId="0C22A137">
            <w:pPr>
              <w:pStyle w:val="133"/>
            </w:pPr>
            <w:r>
              <w:rPr>
                <w:rFonts w:hint="eastAsia"/>
              </w:rPr>
              <w:t>环境管理审核</w:t>
            </w:r>
          </w:p>
        </w:tc>
        <w:tc>
          <w:tcPr>
            <w:tcW w:w="755" w:type="pct"/>
            <w:vAlign w:val="center"/>
          </w:tcPr>
          <w:p w14:paraId="278F6C0F">
            <w:pPr>
              <w:pStyle w:val="133"/>
            </w:pPr>
            <w:r>
              <w:rPr>
                <w:rFonts w:hint="eastAsia"/>
              </w:rPr>
              <w:t>通过</w:t>
            </w:r>
            <w:r>
              <w:t>GB/T 24001</w:t>
            </w:r>
            <w:r>
              <w:rPr>
                <w:rFonts w:hint="eastAsia"/>
              </w:rPr>
              <w:t>环境管理体系认证。</w:t>
            </w:r>
          </w:p>
        </w:tc>
        <w:tc>
          <w:tcPr>
            <w:tcW w:w="825" w:type="pct"/>
            <w:vAlign w:val="center"/>
          </w:tcPr>
          <w:p w14:paraId="44315450">
            <w:pPr>
              <w:pStyle w:val="133"/>
            </w:pPr>
            <w:r>
              <w:rPr>
                <w:rFonts w:hint="eastAsia"/>
              </w:rPr>
              <w:t>按照</w:t>
            </w:r>
            <w:r>
              <w:t>GB/T 24001</w:t>
            </w:r>
            <w:r>
              <w:rPr>
                <w:rFonts w:hint="eastAsia"/>
              </w:rPr>
              <w:t>建立并运行环境管理体系，环境管理手册、程序文件及作业文件齐全。</w:t>
            </w:r>
          </w:p>
        </w:tc>
        <w:tc>
          <w:tcPr>
            <w:tcW w:w="671" w:type="pct"/>
            <w:vAlign w:val="center"/>
          </w:tcPr>
          <w:p w14:paraId="337C6B3D">
            <w:pPr>
              <w:pStyle w:val="133"/>
            </w:pPr>
            <w:r>
              <w:rPr>
                <w:rFonts w:hint="eastAsia"/>
              </w:rPr>
              <w:t>环境管理制度健全，</w:t>
            </w:r>
          </w:p>
          <w:p w14:paraId="472AC566">
            <w:pPr>
              <w:pStyle w:val="133"/>
            </w:pPr>
            <w:r>
              <w:rPr>
                <w:rFonts w:hint="eastAsia"/>
              </w:rPr>
              <w:t>原始记录及统计数据齐全、真实。</w:t>
            </w:r>
          </w:p>
        </w:tc>
        <w:tc>
          <w:tcPr>
            <w:tcW w:w="727" w:type="pct"/>
            <w:vAlign w:val="center"/>
          </w:tcPr>
          <w:p w14:paraId="1EA295E4">
            <w:pPr>
              <w:pStyle w:val="133"/>
            </w:pPr>
            <w:r>
              <w:rPr>
                <w:rFonts w:hint="eastAsia"/>
              </w:rPr>
              <w:t>按照</w:t>
            </w:r>
            <w:r>
              <w:t>GB/T 24001</w:t>
            </w:r>
            <w:r>
              <w:rPr>
                <w:rFonts w:hint="eastAsia"/>
              </w:rPr>
              <w:t>建立并运行环境管理体系，环境管理手册、程序文件及作业文件齐全。</w:t>
            </w:r>
          </w:p>
        </w:tc>
        <w:tc>
          <w:tcPr>
            <w:tcW w:w="728" w:type="pct"/>
            <w:vAlign w:val="center"/>
          </w:tcPr>
          <w:p w14:paraId="412DB31C">
            <w:pPr>
              <w:pStyle w:val="133"/>
            </w:pPr>
            <w:r>
              <w:rPr>
                <w:rFonts w:hint="eastAsia"/>
              </w:rPr>
              <w:t>二级</w:t>
            </w:r>
          </w:p>
        </w:tc>
        <w:tc>
          <w:tcPr>
            <w:tcW w:w="728" w:type="pct"/>
            <w:vAlign w:val="center"/>
          </w:tcPr>
          <w:p w14:paraId="4EE3A369">
            <w:pPr>
              <w:pStyle w:val="133"/>
            </w:pPr>
            <w:r>
              <w:rPr>
                <w:rFonts w:hint="eastAsia"/>
              </w:rPr>
              <w:t>按照</w:t>
            </w:r>
            <w:r>
              <w:t>GB/T 24001</w:t>
            </w:r>
            <w:r>
              <w:rPr>
                <w:rFonts w:hint="eastAsia"/>
              </w:rPr>
              <w:t>建立并运行环境管理体系，环境管理手册、程序文件及作业文件齐全。</w:t>
            </w:r>
          </w:p>
        </w:tc>
        <w:tc>
          <w:tcPr>
            <w:tcW w:w="191" w:type="pct"/>
            <w:vAlign w:val="center"/>
          </w:tcPr>
          <w:p w14:paraId="0E00C651">
            <w:pPr>
              <w:pStyle w:val="133"/>
            </w:pPr>
            <w:r>
              <w:rPr>
                <w:rFonts w:hint="eastAsia"/>
              </w:rPr>
              <w:t>二级</w:t>
            </w:r>
          </w:p>
        </w:tc>
      </w:tr>
      <w:tr w14:paraId="77083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 w:type="pct"/>
            <w:vMerge w:val="restart"/>
            <w:vAlign w:val="center"/>
          </w:tcPr>
          <w:p w14:paraId="7154BA76">
            <w:pPr>
              <w:pStyle w:val="133"/>
            </w:pPr>
            <w:r>
              <w:rPr>
                <w:rFonts w:hint="eastAsia"/>
              </w:rPr>
              <w:t>生产过程管理</w:t>
            </w:r>
          </w:p>
        </w:tc>
        <w:tc>
          <w:tcPr>
            <w:tcW w:w="225" w:type="pct"/>
            <w:vAlign w:val="center"/>
          </w:tcPr>
          <w:p w14:paraId="5A823A79">
            <w:pPr>
              <w:pStyle w:val="133"/>
            </w:pPr>
            <w:r>
              <w:rPr>
                <w:rFonts w:hint="eastAsia"/>
              </w:rPr>
              <w:t>生产设备管理</w:t>
            </w:r>
          </w:p>
        </w:tc>
        <w:tc>
          <w:tcPr>
            <w:tcW w:w="755" w:type="pct"/>
            <w:vAlign w:val="center"/>
          </w:tcPr>
          <w:p w14:paraId="510A2CAA">
            <w:pPr>
              <w:pStyle w:val="133"/>
            </w:pPr>
            <w:r>
              <w:rPr>
                <w:rFonts w:hint="eastAsia"/>
              </w:rPr>
              <w:t>有完善的管理制度，并严格执行，设备完好率达</w:t>
            </w:r>
            <w:r>
              <w:t>100%</w:t>
            </w:r>
            <w:r>
              <w:rPr>
                <w:rFonts w:hint="eastAsia"/>
              </w:rPr>
              <w:t>。</w:t>
            </w:r>
          </w:p>
        </w:tc>
        <w:tc>
          <w:tcPr>
            <w:tcW w:w="825" w:type="pct"/>
            <w:vAlign w:val="center"/>
          </w:tcPr>
          <w:p w14:paraId="0E606781">
            <w:pPr>
              <w:pStyle w:val="133"/>
            </w:pPr>
            <w:r>
              <w:rPr>
                <w:rFonts w:hint="eastAsia"/>
              </w:rPr>
              <w:t>对主要设备有具体的管理制度，并严格执行，设备完好率达</w:t>
            </w:r>
            <w:r>
              <w:t>98%</w:t>
            </w:r>
            <w:r>
              <w:rPr>
                <w:rFonts w:hint="eastAsia"/>
              </w:rPr>
              <w:t>。</w:t>
            </w:r>
          </w:p>
        </w:tc>
        <w:tc>
          <w:tcPr>
            <w:tcW w:w="671" w:type="pct"/>
            <w:vAlign w:val="center"/>
          </w:tcPr>
          <w:p w14:paraId="236F6900">
            <w:pPr>
              <w:pStyle w:val="133"/>
            </w:pPr>
            <w:r>
              <w:rPr>
                <w:rFonts w:hint="eastAsia"/>
              </w:rPr>
              <w:t>对主要设备有基本的管理制度，设备完好率达</w:t>
            </w:r>
            <w:r>
              <w:t>95%</w:t>
            </w:r>
            <w:r>
              <w:rPr>
                <w:rFonts w:hint="eastAsia"/>
              </w:rPr>
              <w:t>。</w:t>
            </w:r>
          </w:p>
        </w:tc>
        <w:tc>
          <w:tcPr>
            <w:tcW w:w="727" w:type="pct"/>
            <w:vAlign w:val="center"/>
          </w:tcPr>
          <w:p w14:paraId="332DC8D1">
            <w:pPr>
              <w:pStyle w:val="133"/>
            </w:pPr>
            <w:r>
              <w:rPr>
                <w:rFonts w:hint="eastAsia"/>
              </w:rPr>
              <w:t>有完善的管理制度，并严格执行，设备完好率达</w:t>
            </w:r>
            <w:r>
              <w:t>100%</w:t>
            </w:r>
            <w:r>
              <w:rPr>
                <w:rFonts w:hint="eastAsia"/>
              </w:rPr>
              <w:t>。</w:t>
            </w:r>
          </w:p>
        </w:tc>
        <w:tc>
          <w:tcPr>
            <w:tcW w:w="728" w:type="pct"/>
            <w:vAlign w:val="center"/>
          </w:tcPr>
          <w:p w14:paraId="6CCD65C1">
            <w:pPr>
              <w:pStyle w:val="133"/>
            </w:pPr>
            <w:r>
              <w:rPr>
                <w:rFonts w:hint="eastAsia"/>
              </w:rPr>
              <w:t>一级</w:t>
            </w:r>
          </w:p>
        </w:tc>
        <w:tc>
          <w:tcPr>
            <w:tcW w:w="728" w:type="pct"/>
            <w:vAlign w:val="center"/>
          </w:tcPr>
          <w:p w14:paraId="041BF421">
            <w:pPr>
              <w:pStyle w:val="133"/>
            </w:pPr>
            <w:r>
              <w:rPr>
                <w:rFonts w:hint="eastAsia"/>
              </w:rPr>
              <w:t>有完善的管理制度，并严格执行，设备完好率达</w:t>
            </w:r>
            <w:r>
              <w:t>100%</w:t>
            </w:r>
            <w:r>
              <w:rPr>
                <w:rFonts w:hint="eastAsia"/>
              </w:rPr>
              <w:t>。</w:t>
            </w:r>
          </w:p>
        </w:tc>
        <w:tc>
          <w:tcPr>
            <w:tcW w:w="191" w:type="pct"/>
            <w:vAlign w:val="center"/>
          </w:tcPr>
          <w:p w14:paraId="3F714245">
            <w:pPr>
              <w:pStyle w:val="133"/>
            </w:pPr>
            <w:r>
              <w:rPr>
                <w:rFonts w:hint="eastAsia"/>
              </w:rPr>
              <w:t>一级</w:t>
            </w:r>
          </w:p>
        </w:tc>
      </w:tr>
      <w:tr w14:paraId="3512E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 w:type="pct"/>
            <w:vMerge w:val="continue"/>
            <w:vAlign w:val="center"/>
          </w:tcPr>
          <w:p w14:paraId="116560CF">
            <w:pPr>
              <w:pStyle w:val="133"/>
            </w:pPr>
          </w:p>
        </w:tc>
        <w:tc>
          <w:tcPr>
            <w:tcW w:w="225" w:type="pct"/>
            <w:vAlign w:val="center"/>
          </w:tcPr>
          <w:p w14:paraId="793F8F88">
            <w:pPr>
              <w:pStyle w:val="133"/>
            </w:pPr>
            <w:r>
              <w:rPr>
                <w:rFonts w:hint="eastAsia"/>
              </w:rPr>
              <w:t>生产物料使用管理</w:t>
            </w:r>
          </w:p>
        </w:tc>
        <w:tc>
          <w:tcPr>
            <w:tcW w:w="755" w:type="pct"/>
            <w:vAlign w:val="center"/>
          </w:tcPr>
          <w:p w14:paraId="1672464D">
            <w:pPr>
              <w:pStyle w:val="133"/>
            </w:pPr>
            <w:r>
              <w:rPr>
                <w:rFonts w:hint="eastAsia"/>
              </w:rPr>
              <w:t>所有环节安装计量仪表进行计量，并制定严格定量考核机制。</w:t>
            </w:r>
          </w:p>
        </w:tc>
        <w:tc>
          <w:tcPr>
            <w:tcW w:w="825" w:type="pct"/>
            <w:vAlign w:val="center"/>
          </w:tcPr>
          <w:p w14:paraId="38FFAF0C">
            <w:pPr>
              <w:pStyle w:val="133"/>
            </w:pPr>
            <w:r>
              <w:rPr>
                <w:rFonts w:hint="eastAsia"/>
              </w:rPr>
              <w:t>对主要环节安装计量仪表进行计量，并制定定量考核机制。</w:t>
            </w:r>
          </w:p>
        </w:tc>
        <w:tc>
          <w:tcPr>
            <w:tcW w:w="671" w:type="pct"/>
            <w:vAlign w:val="center"/>
          </w:tcPr>
          <w:p w14:paraId="43EB263E">
            <w:pPr>
              <w:pStyle w:val="133"/>
            </w:pPr>
            <w:r>
              <w:rPr>
                <w:rFonts w:hint="eastAsia"/>
              </w:rPr>
              <w:t>对主要环节安装计量仪表进行计量。</w:t>
            </w:r>
          </w:p>
        </w:tc>
        <w:tc>
          <w:tcPr>
            <w:tcW w:w="727" w:type="pct"/>
            <w:vAlign w:val="center"/>
          </w:tcPr>
          <w:p w14:paraId="39B97454">
            <w:pPr>
              <w:pStyle w:val="133"/>
            </w:pPr>
            <w:r>
              <w:rPr>
                <w:rFonts w:hint="eastAsia"/>
              </w:rPr>
              <w:t>对主要环节安装计量仪表进行计量，并制定定量考核机制。</w:t>
            </w:r>
          </w:p>
        </w:tc>
        <w:tc>
          <w:tcPr>
            <w:tcW w:w="728" w:type="pct"/>
            <w:vAlign w:val="center"/>
          </w:tcPr>
          <w:p w14:paraId="1BC6F9E8">
            <w:pPr>
              <w:pStyle w:val="133"/>
            </w:pPr>
            <w:r>
              <w:rPr>
                <w:rFonts w:hint="eastAsia"/>
              </w:rPr>
              <w:t>二级</w:t>
            </w:r>
          </w:p>
        </w:tc>
        <w:tc>
          <w:tcPr>
            <w:tcW w:w="728" w:type="pct"/>
            <w:vAlign w:val="center"/>
          </w:tcPr>
          <w:p w14:paraId="2F26EBEC">
            <w:pPr>
              <w:pStyle w:val="133"/>
            </w:pPr>
            <w:r>
              <w:rPr>
                <w:rFonts w:hint="eastAsia"/>
              </w:rPr>
              <w:t>所有环节安装计量仪表进行计量，并制定严格定量考核机制。</w:t>
            </w:r>
          </w:p>
        </w:tc>
        <w:tc>
          <w:tcPr>
            <w:tcW w:w="191" w:type="pct"/>
            <w:vAlign w:val="center"/>
          </w:tcPr>
          <w:p w14:paraId="03357695">
            <w:pPr>
              <w:pStyle w:val="133"/>
            </w:pPr>
            <w:r>
              <w:rPr>
                <w:rFonts w:hint="eastAsia"/>
              </w:rPr>
              <w:t>一级</w:t>
            </w:r>
          </w:p>
        </w:tc>
      </w:tr>
      <w:tr w14:paraId="7C858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 w:type="pct"/>
            <w:vMerge w:val="continue"/>
            <w:vAlign w:val="center"/>
          </w:tcPr>
          <w:p w14:paraId="324CADFB">
            <w:pPr>
              <w:pStyle w:val="133"/>
            </w:pPr>
          </w:p>
        </w:tc>
        <w:tc>
          <w:tcPr>
            <w:tcW w:w="225" w:type="pct"/>
            <w:vAlign w:val="center"/>
          </w:tcPr>
          <w:p w14:paraId="42BB54E5">
            <w:pPr>
              <w:pStyle w:val="133"/>
            </w:pPr>
            <w:r>
              <w:rPr>
                <w:rFonts w:hint="eastAsia"/>
              </w:rPr>
              <w:t>环保设施管理</w:t>
            </w:r>
          </w:p>
        </w:tc>
        <w:tc>
          <w:tcPr>
            <w:tcW w:w="755" w:type="pct"/>
            <w:vAlign w:val="center"/>
          </w:tcPr>
          <w:p w14:paraId="27B49F72">
            <w:pPr>
              <w:pStyle w:val="133"/>
            </w:pPr>
            <w:r>
              <w:rPr>
                <w:rFonts w:hint="eastAsia"/>
              </w:rPr>
              <w:t>满足二级要求，通过互联网等方式公开环保设施运行记录，公众可查询。</w:t>
            </w:r>
          </w:p>
        </w:tc>
        <w:tc>
          <w:tcPr>
            <w:tcW w:w="825" w:type="pct"/>
            <w:vAlign w:val="center"/>
          </w:tcPr>
          <w:p w14:paraId="5755B27A">
            <w:pPr>
              <w:pStyle w:val="133"/>
            </w:pPr>
            <w:r>
              <w:rPr>
                <w:rFonts w:hint="eastAsia"/>
              </w:rPr>
              <w:t>满足三级要求，建立电子档案。</w:t>
            </w:r>
          </w:p>
        </w:tc>
        <w:tc>
          <w:tcPr>
            <w:tcW w:w="671" w:type="pct"/>
            <w:vAlign w:val="center"/>
          </w:tcPr>
          <w:p w14:paraId="0DACD8E7">
            <w:pPr>
              <w:pStyle w:val="133"/>
            </w:pPr>
            <w:r>
              <w:rPr>
                <w:rFonts w:hint="eastAsia"/>
              </w:rPr>
              <w:t>设施运行记录完整并建立纸质档案</w:t>
            </w:r>
          </w:p>
        </w:tc>
        <w:tc>
          <w:tcPr>
            <w:tcW w:w="727" w:type="pct"/>
            <w:vAlign w:val="center"/>
          </w:tcPr>
          <w:p w14:paraId="01105191">
            <w:pPr>
              <w:pStyle w:val="133"/>
            </w:pPr>
            <w:r>
              <w:rPr>
                <w:rFonts w:hint="eastAsia"/>
              </w:rPr>
              <w:t>满足二级要求，通过互联网等方式公开环保设施运行记录，公众可查询。</w:t>
            </w:r>
          </w:p>
        </w:tc>
        <w:tc>
          <w:tcPr>
            <w:tcW w:w="728" w:type="pct"/>
            <w:vAlign w:val="center"/>
          </w:tcPr>
          <w:p w14:paraId="039C3A97">
            <w:pPr>
              <w:pStyle w:val="133"/>
            </w:pPr>
            <w:r>
              <w:rPr>
                <w:rFonts w:hint="eastAsia"/>
              </w:rPr>
              <w:t>一级</w:t>
            </w:r>
          </w:p>
        </w:tc>
        <w:tc>
          <w:tcPr>
            <w:tcW w:w="728" w:type="pct"/>
            <w:vAlign w:val="center"/>
          </w:tcPr>
          <w:p w14:paraId="3B09BC95">
            <w:pPr>
              <w:pStyle w:val="133"/>
            </w:pPr>
            <w:r>
              <w:rPr>
                <w:rFonts w:hint="eastAsia"/>
              </w:rPr>
              <w:t>满足二级要求，通过互联网等方式公开环保设施运行记录，公众可查询。</w:t>
            </w:r>
          </w:p>
        </w:tc>
        <w:tc>
          <w:tcPr>
            <w:tcW w:w="191" w:type="pct"/>
            <w:vAlign w:val="center"/>
          </w:tcPr>
          <w:p w14:paraId="7F946F79">
            <w:pPr>
              <w:pStyle w:val="133"/>
            </w:pPr>
            <w:r>
              <w:rPr>
                <w:rFonts w:hint="eastAsia"/>
              </w:rPr>
              <w:t>一级</w:t>
            </w:r>
          </w:p>
        </w:tc>
      </w:tr>
      <w:tr w14:paraId="62B76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 w:type="pct"/>
            <w:vMerge w:val="continue"/>
            <w:vAlign w:val="center"/>
          </w:tcPr>
          <w:p w14:paraId="28FA800D">
            <w:pPr>
              <w:pStyle w:val="133"/>
            </w:pPr>
          </w:p>
        </w:tc>
        <w:tc>
          <w:tcPr>
            <w:tcW w:w="225" w:type="pct"/>
            <w:vAlign w:val="center"/>
          </w:tcPr>
          <w:p w14:paraId="2D0F40E0">
            <w:pPr>
              <w:pStyle w:val="133"/>
            </w:pPr>
            <w:r>
              <w:rPr>
                <w:rFonts w:hint="eastAsia"/>
              </w:rPr>
              <w:t>环保监测、监控</w:t>
            </w:r>
          </w:p>
        </w:tc>
        <w:tc>
          <w:tcPr>
            <w:tcW w:w="755" w:type="pct"/>
            <w:vAlign w:val="center"/>
          </w:tcPr>
          <w:p w14:paraId="3D389629">
            <w:pPr>
              <w:pStyle w:val="133"/>
            </w:pPr>
            <w:r>
              <w:rPr>
                <w:rFonts w:hint="eastAsia"/>
              </w:rPr>
              <w:t>满足二级要求，在生态环境主管部门组建平台、互联网等方式公开自行监测信息，公众可查询。</w:t>
            </w:r>
          </w:p>
        </w:tc>
        <w:tc>
          <w:tcPr>
            <w:tcW w:w="825" w:type="pct"/>
            <w:vAlign w:val="center"/>
          </w:tcPr>
          <w:p w14:paraId="3EE572FE">
            <w:pPr>
              <w:pStyle w:val="133"/>
            </w:pPr>
            <w:r>
              <w:rPr>
                <w:rFonts w:hint="eastAsia"/>
              </w:rPr>
              <w:t>满足三级要求，建立企业自行监测制度，按照</w:t>
            </w:r>
            <w:r>
              <w:t>HJ 878</w:t>
            </w:r>
            <w:r>
              <w:rPr>
                <w:rFonts w:hint="eastAsia"/>
              </w:rPr>
              <w:t>制定自</w:t>
            </w:r>
          </w:p>
          <w:p w14:paraId="03795AC9">
            <w:pPr>
              <w:pStyle w:val="133"/>
            </w:pPr>
            <w:r>
              <w:rPr>
                <w:rFonts w:hint="eastAsia"/>
              </w:rPr>
              <w:t>行监测方案，定期形成监测报告，并向生态环境主管部门备案。</w:t>
            </w:r>
          </w:p>
        </w:tc>
        <w:tc>
          <w:tcPr>
            <w:tcW w:w="671" w:type="pct"/>
            <w:vAlign w:val="center"/>
          </w:tcPr>
          <w:p w14:paraId="619C82B2">
            <w:pPr>
              <w:pStyle w:val="133"/>
            </w:pPr>
            <w:r>
              <w:rPr>
                <w:rFonts w:hint="eastAsia"/>
              </w:rPr>
              <w:t>规范建设排污口，按</w:t>
            </w:r>
          </w:p>
          <w:p w14:paraId="4C4ED0E9">
            <w:pPr>
              <w:pStyle w:val="133"/>
            </w:pPr>
            <w:r>
              <w:rPr>
                <w:rFonts w:hint="eastAsia"/>
              </w:rPr>
              <w:t>规定设置污染物排放在线监测、监控装置，并与生态环境主管部门联网。</w:t>
            </w:r>
          </w:p>
        </w:tc>
        <w:tc>
          <w:tcPr>
            <w:tcW w:w="727" w:type="pct"/>
            <w:vAlign w:val="center"/>
          </w:tcPr>
          <w:p w14:paraId="614C1272">
            <w:pPr>
              <w:pStyle w:val="133"/>
            </w:pPr>
            <w:r>
              <w:rPr>
                <w:rFonts w:hint="eastAsia"/>
              </w:rPr>
              <w:t>满足二级要求，在生态环境主管部门组建平台、互联网等方式公开自行监测信息，公众可查询。</w:t>
            </w:r>
          </w:p>
        </w:tc>
        <w:tc>
          <w:tcPr>
            <w:tcW w:w="728" w:type="pct"/>
            <w:vAlign w:val="center"/>
          </w:tcPr>
          <w:p w14:paraId="2A01E41C">
            <w:pPr>
              <w:pStyle w:val="133"/>
            </w:pPr>
            <w:r>
              <w:rPr>
                <w:rFonts w:hint="eastAsia"/>
              </w:rPr>
              <w:t>一级</w:t>
            </w:r>
          </w:p>
        </w:tc>
        <w:tc>
          <w:tcPr>
            <w:tcW w:w="728" w:type="pct"/>
            <w:vAlign w:val="center"/>
          </w:tcPr>
          <w:p w14:paraId="06B16A37">
            <w:pPr>
              <w:pStyle w:val="133"/>
            </w:pPr>
            <w:r>
              <w:rPr>
                <w:rFonts w:hint="eastAsia"/>
              </w:rPr>
              <w:t>满足二级要求，在生态环境主管部门组建平台、互联网等方式公开自行监测信息，公众可查询。</w:t>
            </w:r>
          </w:p>
        </w:tc>
        <w:tc>
          <w:tcPr>
            <w:tcW w:w="191" w:type="pct"/>
            <w:vAlign w:val="center"/>
          </w:tcPr>
          <w:p w14:paraId="5F448536">
            <w:pPr>
              <w:pStyle w:val="133"/>
            </w:pPr>
            <w:r>
              <w:rPr>
                <w:rFonts w:hint="eastAsia"/>
              </w:rPr>
              <w:t>一级</w:t>
            </w:r>
          </w:p>
        </w:tc>
      </w:tr>
      <w:tr w14:paraId="3F31D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 w:type="pct"/>
            <w:vMerge w:val="continue"/>
            <w:vAlign w:val="center"/>
          </w:tcPr>
          <w:p w14:paraId="304B9CD3">
            <w:pPr>
              <w:pStyle w:val="133"/>
            </w:pPr>
          </w:p>
        </w:tc>
        <w:tc>
          <w:tcPr>
            <w:tcW w:w="225" w:type="pct"/>
            <w:vAlign w:val="center"/>
          </w:tcPr>
          <w:p w14:paraId="5FCC24F0">
            <w:pPr>
              <w:pStyle w:val="133"/>
            </w:pPr>
            <w:r>
              <w:rPr>
                <w:rFonts w:hint="eastAsia"/>
              </w:rPr>
              <w:t>事故、非正常生产状况应急</w:t>
            </w:r>
          </w:p>
        </w:tc>
        <w:tc>
          <w:tcPr>
            <w:tcW w:w="2251" w:type="pct"/>
            <w:gridSpan w:val="3"/>
            <w:vAlign w:val="center"/>
          </w:tcPr>
          <w:p w14:paraId="35B206AC">
            <w:pPr>
              <w:pStyle w:val="133"/>
            </w:pPr>
            <w:r>
              <w:rPr>
                <w:rFonts w:hint="eastAsia"/>
              </w:rPr>
              <w:t>按规定建立环境应急管理组织体系，开展环境风险评估，编制突发环境事件应急预案并定期开展演练，加强应急救援队伍建设及物资储备，严格落实各项环境风险防控措施，定期排查治理环境安全隐患。</w:t>
            </w:r>
          </w:p>
        </w:tc>
        <w:tc>
          <w:tcPr>
            <w:tcW w:w="727" w:type="pct"/>
            <w:vAlign w:val="center"/>
          </w:tcPr>
          <w:p w14:paraId="65A7BF6D">
            <w:pPr>
              <w:pStyle w:val="133"/>
            </w:pPr>
            <w:r>
              <w:rPr>
                <w:rFonts w:hint="eastAsia"/>
              </w:rPr>
              <w:t>符合</w:t>
            </w:r>
          </w:p>
        </w:tc>
        <w:tc>
          <w:tcPr>
            <w:tcW w:w="728" w:type="pct"/>
            <w:vAlign w:val="center"/>
          </w:tcPr>
          <w:p w14:paraId="7307D995">
            <w:pPr>
              <w:pStyle w:val="133"/>
            </w:pPr>
            <w:r>
              <w:rPr>
                <w:rFonts w:hint="eastAsia"/>
              </w:rPr>
              <w:t>一级</w:t>
            </w:r>
          </w:p>
        </w:tc>
        <w:tc>
          <w:tcPr>
            <w:tcW w:w="728" w:type="pct"/>
            <w:vAlign w:val="center"/>
          </w:tcPr>
          <w:p w14:paraId="09B6B527">
            <w:pPr>
              <w:pStyle w:val="133"/>
            </w:pPr>
            <w:r>
              <w:rPr>
                <w:rFonts w:hint="eastAsia"/>
              </w:rPr>
              <w:t>符合</w:t>
            </w:r>
          </w:p>
        </w:tc>
        <w:tc>
          <w:tcPr>
            <w:tcW w:w="191" w:type="pct"/>
            <w:vAlign w:val="center"/>
          </w:tcPr>
          <w:p w14:paraId="41504347">
            <w:pPr>
              <w:pStyle w:val="133"/>
            </w:pPr>
            <w:r>
              <w:rPr>
                <w:rFonts w:hint="eastAsia"/>
              </w:rPr>
              <w:t>一级</w:t>
            </w:r>
          </w:p>
        </w:tc>
      </w:tr>
      <w:tr w14:paraId="6DCE2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gridSpan w:val="2"/>
            <w:vMerge w:val="restart"/>
            <w:vAlign w:val="center"/>
          </w:tcPr>
          <w:p w14:paraId="762FD717">
            <w:pPr>
              <w:pStyle w:val="133"/>
            </w:pPr>
            <w:r>
              <w:rPr>
                <w:rFonts w:hint="eastAsia"/>
              </w:rPr>
              <w:t>相关方环境管理</w:t>
            </w:r>
          </w:p>
        </w:tc>
        <w:tc>
          <w:tcPr>
            <w:tcW w:w="2251" w:type="pct"/>
            <w:gridSpan w:val="3"/>
            <w:vAlign w:val="center"/>
          </w:tcPr>
          <w:p w14:paraId="245B797B">
            <w:pPr>
              <w:pStyle w:val="133"/>
            </w:pPr>
            <w:r>
              <w:rPr>
                <w:rFonts w:hint="eastAsia"/>
              </w:rPr>
              <w:t>对原材料供应方，生产协作方、相关服务方提出环境管理要求。</w:t>
            </w:r>
          </w:p>
        </w:tc>
        <w:tc>
          <w:tcPr>
            <w:tcW w:w="727" w:type="pct"/>
            <w:vAlign w:val="center"/>
          </w:tcPr>
          <w:p w14:paraId="758EABA8">
            <w:pPr>
              <w:pStyle w:val="133"/>
            </w:pPr>
            <w:r>
              <w:rPr>
                <w:rFonts w:hint="eastAsia"/>
              </w:rPr>
              <w:t>符合</w:t>
            </w:r>
          </w:p>
        </w:tc>
        <w:tc>
          <w:tcPr>
            <w:tcW w:w="728" w:type="pct"/>
            <w:vAlign w:val="center"/>
          </w:tcPr>
          <w:p w14:paraId="34A68304">
            <w:pPr>
              <w:pStyle w:val="133"/>
            </w:pPr>
            <w:r>
              <w:rPr>
                <w:rFonts w:hint="eastAsia"/>
              </w:rPr>
              <w:t>一级</w:t>
            </w:r>
          </w:p>
        </w:tc>
        <w:tc>
          <w:tcPr>
            <w:tcW w:w="728" w:type="pct"/>
            <w:vAlign w:val="center"/>
          </w:tcPr>
          <w:p w14:paraId="64501B5A">
            <w:pPr>
              <w:pStyle w:val="133"/>
            </w:pPr>
            <w:r>
              <w:rPr>
                <w:rFonts w:hint="eastAsia"/>
              </w:rPr>
              <w:t>符合</w:t>
            </w:r>
          </w:p>
        </w:tc>
        <w:tc>
          <w:tcPr>
            <w:tcW w:w="191" w:type="pct"/>
            <w:vAlign w:val="center"/>
          </w:tcPr>
          <w:p w14:paraId="70364A52">
            <w:pPr>
              <w:pStyle w:val="133"/>
            </w:pPr>
            <w:r>
              <w:rPr>
                <w:rFonts w:hint="eastAsia"/>
              </w:rPr>
              <w:t>一级</w:t>
            </w:r>
          </w:p>
        </w:tc>
      </w:tr>
      <w:tr w14:paraId="6682B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5" w:type="pct"/>
            <w:gridSpan w:val="2"/>
            <w:vMerge w:val="continue"/>
            <w:vAlign w:val="center"/>
          </w:tcPr>
          <w:p w14:paraId="195242D5">
            <w:pPr>
              <w:pStyle w:val="133"/>
            </w:pPr>
          </w:p>
        </w:tc>
        <w:tc>
          <w:tcPr>
            <w:tcW w:w="2251" w:type="pct"/>
            <w:gridSpan w:val="3"/>
            <w:vAlign w:val="center"/>
          </w:tcPr>
          <w:p w14:paraId="03DAB2C9">
            <w:pPr>
              <w:pStyle w:val="133"/>
            </w:pPr>
            <w:r>
              <w:rPr>
                <w:rFonts w:hint="eastAsia"/>
              </w:rPr>
              <w:t>严格落实危险废物转移联单，存档备查</w:t>
            </w:r>
          </w:p>
        </w:tc>
        <w:tc>
          <w:tcPr>
            <w:tcW w:w="727" w:type="pct"/>
            <w:vAlign w:val="center"/>
          </w:tcPr>
          <w:p w14:paraId="55DD4E76">
            <w:pPr>
              <w:pStyle w:val="133"/>
            </w:pPr>
            <w:r>
              <w:rPr>
                <w:rFonts w:hint="eastAsia"/>
              </w:rPr>
              <w:t>符合</w:t>
            </w:r>
          </w:p>
        </w:tc>
        <w:tc>
          <w:tcPr>
            <w:tcW w:w="728" w:type="pct"/>
            <w:vAlign w:val="center"/>
          </w:tcPr>
          <w:p w14:paraId="6D1F77D8">
            <w:pPr>
              <w:pStyle w:val="133"/>
            </w:pPr>
            <w:r>
              <w:rPr>
                <w:rFonts w:hint="eastAsia"/>
              </w:rPr>
              <w:t>一级</w:t>
            </w:r>
          </w:p>
        </w:tc>
        <w:tc>
          <w:tcPr>
            <w:tcW w:w="728" w:type="pct"/>
            <w:vAlign w:val="center"/>
          </w:tcPr>
          <w:p w14:paraId="78096E7B">
            <w:pPr>
              <w:pStyle w:val="133"/>
            </w:pPr>
            <w:r>
              <w:rPr>
                <w:rFonts w:hint="eastAsia"/>
              </w:rPr>
              <w:t>符合</w:t>
            </w:r>
          </w:p>
        </w:tc>
        <w:tc>
          <w:tcPr>
            <w:tcW w:w="191" w:type="pct"/>
            <w:vAlign w:val="center"/>
          </w:tcPr>
          <w:p w14:paraId="1CE05DFF">
            <w:pPr>
              <w:pStyle w:val="133"/>
            </w:pPr>
            <w:r>
              <w:rPr>
                <w:rFonts w:hint="eastAsia"/>
              </w:rPr>
              <w:t>一级</w:t>
            </w:r>
          </w:p>
        </w:tc>
      </w:tr>
    </w:tbl>
    <w:p w14:paraId="3F912C09">
      <w:pPr>
        <w:pStyle w:val="133"/>
      </w:pPr>
    </w:p>
    <w:p w14:paraId="3F532345">
      <w:pPr>
        <w:ind w:firstLine="480"/>
        <w:sectPr>
          <w:pgSz w:w="16838" w:h="11906" w:orient="landscape"/>
          <w:pgMar w:top="1800" w:right="1440" w:bottom="1800" w:left="1440" w:header="850" w:footer="850" w:gutter="0"/>
          <w:cols w:space="425" w:num="1"/>
          <w:docGrid w:type="lines" w:linePitch="326" w:charSpace="0"/>
        </w:sectPr>
      </w:pPr>
    </w:p>
    <w:p w14:paraId="737CEB46">
      <w:pPr>
        <w:ind w:firstLine="480"/>
      </w:pPr>
      <w:r>
        <w:rPr>
          <w:rFonts w:hint="eastAsia"/>
        </w:rPr>
        <w:t>（7）清洁生产水平判定</w:t>
      </w:r>
    </w:p>
    <w:p w14:paraId="1342F79E">
      <w:pPr>
        <w:ind w:firstLine="480"/>
      </w:pPr>
      <w:r>
        <w:rPr>
          <w:rFonts w:hint="eastAsia"/>
        </w:rPr>
        <w:t>本项目技改前后与《清洁生产标准-半焦行业》（DB65/T 3210-2020）清洁生产水平进行的对比分析，项目技改后除半焦生产能力指标为三级水平外其余指标二级水平的有13项，一级水平的有36项；项目技改前清洁生产指标为三级水平的有8项，二级水平的有11项，一级水平的有30项；通过对比分析可知，项目技改后比技改前清洁生产水平显著提高。</w:t>
      </w:r>
    </w:p>
    <w:p w14:paraId="1A5ADB23">
      <w:pPr>
        <w:ind w:firstLine="480"/>
      </w:pPr>
      <w:r>
        <w:rPr>
          <w:rFonts w:hint="eastAsia"/>
        </w:rPr>
        <w:t>综合分析，本项目兰炭生产线清洁生产达到国内清洁生产一般水平。</w:t>
      </w:r>
    </w:p>
    <w:p w14:paraId="2A958730">
      <w:pPr>
        <w:pStyle w:val="138"/>
        <w:rPr>
          <w:rFonts w:hint="eastAsia"/>
        </w:rPr>
      </w:pPr>
      <w:r>
        <w:rPr>
          <w:rFonts w:hint="eastAsia"/>
        </w:rPr>
        <w:t>硅铁生产线</w:t>
      </w:r>
    </w:p>
    <w:p w14:paraId="456FFC20">
      <w:pPr>
        <w:pStyle w:val="117"/>
        <w:ind w:firstLine="480"/>
      </w:pPr>
      <w:r>
        <w:rPr>
          <w:rFonts w:hint="eastAsia"/>
        </w:rPr>
        <w:t>硅铁生产线清洁生产分析参照《钢铁行业（铁合金）清洁生产评价指标体系》。指标体系将清洁生产指标分为六类，即生产工艺装备及技术指标、资源与能源消耗指标、产品特征指标、污染物排放控制指标、资源综合利用指标、清洁生产管理指标。</w:t>
      </w:r>
    </w:p>
    <w:p w14:paraId="74284099">
      <w:pPr>
        <w:pStyle w:val="117"/>
        <w:ind w:firstLine="480"/>
      </w:pPr>
      <w:r>
        <w:rPr>
          <w:rFonts w:hint="eastAsia"/>
        </w:rPr>
        <w:t>硅铁生产线与清洁生产评价指标体系技术要求对比分析，见表3.9-4。硅铁生产线与清洁生产管理评价指标体系技术要求对比分析，见表3.9-5。</w:t>
      </w:r>
    </w:p>
    <w:p w14:paraId="474319C7">
      <w:pPr>
        <w:pStyle w:val="2"/>
        <w:spacing w:before="312"/>
        <w:sectPr>
          <w:pgSz w:w="11906" w:h="16838"/>
          <w:pgMar w:top="1440" w:right="1800" w:bottom="1440" w:left="1800" w:header="851" w:footer="992" w:gutter="0"/>
          <w:cols w:space="425" w:num="1"/>
          <w:docGrid w:type="lines" w:linePitch="312" w:charSpace="0"/>
        </w:sectPr>
      </w:pPr>
    </w:p>
    <w:p w14:paraId="7440CC38">
      <w:pPr>
        <w:pStyle w:val="118"/>
      </w:pPr>
      <w:r>
        <w:rPr>
          <w:rFonts w:hint="eastAsia"/>
        </w:rPr>
        <w:t>表3.9-4  硅铁生产线与清洁生产评价指标体系技术要求对比分析表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20"/>
        <w:gridCol w:w="714"/>
        <w:gridCol w:w="1890"/>
        <w:gridCol w:w="1165"/>
        <w:gridCol w:w="433"/>
        <w:gridCol w:w="1587"/>
        <w:gridCol w:w="2742"/>
        <w:gridCol w:w="3462"/>
        <w:gridCol w:w="1061"/>
      </w:tblGrid>
      <w:tr w14:paraId="617DAF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01" w:type="dxa"/>
            <w:vAlign w:val="center"/>
          </w:tcPr>
          <w:p w14:paraId="74E773E1">
            <w:pPr>
              <w:pStyle w:val="133"/>
              <w:rPr>
                <w:b/>
                <w:bCs/>
              </w:rPr>
            </w:pPr>
            <w:r>
              <w:rPr>
                <w:b/>
                <w:bCs/>
              </w:rPr>
              <w:t>一级指标</w:t>
            </w:r>
          </w:p>
        </w:tc>
        <w:tc>
          <w:tcPr>
            <w:tcW w:w="12827" w:type="dxa"/>
            <w:gridSpan w:val="8"/>
            <w:vAlign w:val="center"/>
          </w:tcPr>
          <w:p w14:paraId="6E558289">
            <w:pPr>
              <w:pStyle w:val="133"/>
              <w:rPr>
                <w:b/>
                <w:bCs/>
              </w:rPr>
            </w:pPr>
            <w:r>
              <w:rPr>
                <w:b/>
                <w:bCs/>
              </w:rPr>
              <w:t>二级指标</w:t>
            </w:r>
          </w:p>
        </w:tc>
      </w:tr>
      <w:tr w14:paraId="012481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Align w:val="center"/>
          </w:tcPr>
          <w:p w14:paraId="2DB2DFCC">
            <w:pPr>
              <w:pStyle w:val="133"/>
            </w:pPr>
            <w:r>
              <w:t>指标项</w:t>
            </w:r>
          </w:p>
        </w:tc>
        <w:tc>
          <w:tcPr>
            <w:tcW w:w="702" w:type="dxa"/>
            <w:vAlign w:val="center"/>
          </w:tcPr>
          <w:p w14:paraId="424051CD">
            <w:pPr>
              <w:pStyle w:val="133"/>
            </w:pPr>
            <w:r>
              <w:rPr>
                <w:rFonts w:hint="eastAsia"/>
              </w:rPr>
              <w:t>序号</w:t>
            </w:r>
          </w:p>
        </w:tc>
        <w:tc>
          <w:tcPr>
            <w:tcW w:w="1857" w:type="dxa"/>
            <w:vAlign w:val="center"/>
          </w:tcPr>
          <w:p w14:paraId="388F0442">
            <w:pPr>
              <w:pStyle w:val="133"/>
            </w:pPr>
            <w:r>
              <w:t>指标项</w:t>
            </w:r>
          </w:p>
        </w:tc>
        <w:tc>
          <w:tcPr>
            <w:tcW w:w="1570" w:type="dxa"/>
            <w:gridSpan w:val="2"/>
            <w:vAlign w:val="center"/>
          </w:tcPr>
          <w:p w14:paraId="61A32932">
            <w:pPr>
              <w:pStyle w:val="133"/>
            </w:pPr>
            <w:r>
              <w:rPr>
                <w:rFonts w:hint="eastAsia"/>
              </w:rPr>
              <w:t>Ⅰ</w:t>
            </w:r>
            <w:r>
              <w:t>级基准值</w:t>
            </w:r>
          </w:p>
        </w:tc>
        <w:tc>
          <w:tcPr>
            <w:tcW w:w="1559" w:type="dxa"/>
            <w:vAlign w:val="center"/>
          </w:tcPr>
          <w:p w14:paraId="4B705F78">
            <w:pPr>
              <w:pStyle w:val="133"/>
            </w:pPr>
            <w:r>
              <w:rPr>
                <w:rFonts w:hint="eastAsia"/>
              </w:rPr>
              <w:t>Ⅱ</w:t>
            </w:r>
            <w:r>
              <w:t>级基准值</w:t>
            </w:r>
          </w:p>
        </w:tc>
        <w:tc>
          <w:tcPr>
            <w:tcW w:w="2694" w:type="dxa"/>
            <w:vAlign w:val="center"/>
          </w:tcPr>
          <w:p w14:paraId="310B658C">
            <w:pPr>
              <w:pStyle w:val="133"/>
            </w:pPr>
            <w:r>
              <w:rPr>
                <w:rFonts w:hint="eastAsia"/>
              </w:rPr>
              <w:t>Ⅲ</w:t>
            </w:r>
            <w:r>
              <w:t>级基准值</w:t>
            </w:r>
          </w:p>
        </w:tc>
        <w:tc>
          <w:tcPr>
            <w:tcW w:w="3402" w:type="dxa"/>
            <w:vAlign w:val="center"/>
          </w:tcPr>
          <w:p w14:paraId="1D43755E">
            <w:pPr>
              <w:pStyle w:val="133"/>
            </w:pPr>
            <w:r>
              <w:t>本项目分析</w:t>
            </w:r>
          </w:p>
        </w:tc>
        <w:tc>
          <w:tcPr>
            <w:tcW w:w="1043" w:type="dxa"/>
            <w:vAlign w:val="center"/>
          </w:tcPr>
          <w:p w14:paraId="3FFA51E4">
            <w:pPr>
              <w:pStyle w:val="133"/>
            </w:pPr>
            <w:r>
              <w:t>本项目指标</w:t>
            </w:r>
            <w:r>
              <w:rPr>
                <w:rFonts w:hint="eastAsia"/>
              </w:rPr>
              <w:t>等级</w:t>
            </w:r>
          </w:p>
        </w:tc>
      </w:tr>
      <w:tr w14:paraId="3E26D8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restart"/>
            <w:vAlign w:val="center"/>
          </w:tcPr>
          <w:p w14:paraId="707F63E4">
            <w:pPr>
              <w:pStyle w:val="133"/>
            </w:pPr>
            <w:r>
              <w:rPr>
                <w:rFonts w:hint="eastAsia"/>
              </w:rPr>
              <w:t>生产工艺装备及技术</w:t>
            </w:r>
          </w:p>
        </w:tc>
        <w:tc>
          <w:tcPr>
            <w:tcW w:w="702" w:type="dxa"/>
            <w:vAlign w:val="center"/>
          </w:tcPr>
          <w:p w14:paraId="62281465">
            <w:pPr>
              <w:pStyle w:val="133"/>
            </w:pPr>
            <w:r>
              <w:rPr>
                <w:rFonts w:hint="eastAsia"/>
              </w:rPr>
              <w:t>1</w:t>
            </w:r>
          </w:p>
        </w:tc>
        <w:tc>
          <w:tcPr>
            <w:tcW w:w="1857" w:type="dxa"/>
            <w:vAlign w:val="center"/>
          </w:tcPr>
          <w:p w14:paraId="36A341BB">
            <w:pPr>
              <w:pStyle w:val="133"/>
            </w:pPr>
            <w:r>
              <w:rPr>
                <w:rFonts w:hint="eastAsia"/>
              </w:rPr>
              <w:t>电炉额定容量，</w:t>
            </w:r>
            <w:r>
              <w:t>kVA</w:t>
            </w:r>
          </w:p>
        </w:tc>
        <w:tc>
          <w:tcPr>
            <w:tcW w:w="1570" w:type="dxa"/>
            <w:gridSpan w:val="2"/>
            <w:vAlign w:val="center"/>
          </w:tcPr>
          <w:p w14:paraId="301D7103">
            <w:pPr>
              <w:pStyle w:val="133"/>
            </w:pPr>
            <w:r>
              <w:t>≥50000</w:t>
            </w:r>
          </w:p>
        </w:tc>
        <w:tc>
          <w:tcPr>
            <w:tcW w:w="1559" w:type="dxa"/>
            <w:vAlign w:val="center"/>
          </w:tcPr>
          <w:p w14:paraId="74853DE7">
            <w:pPr>
              <w:pStyle w:val="133"/>
            </w:pPr>
            <w:r>
              <w:t>≥</w:t>
            </w:r>
            <w:r>
              <w:rPr>
                <w:rFonts w:hint="eastAsia"/>
              </w:rPr>
              <w:t>25</w:t>
            </w:r>
            <w:r>
              <w:t>000</w:t>
            </w:r>
          </w:p>
        </w:tc>
        <w:tc>
          <w:tcPr>
            <w:tcW w:w="2694" w:type="dxa"/>
            <w:vAlign w:val="center"/>
          </w:tcPr>
          <w:p w14:paraId="36A4C180">
            <w:pPr>
              <w:pStyle w:val="133"/>
            </w:pPr>
            <w:r>
              <w:t>≥</w:t>
            </w:r>
            <w:r>
              <w:rPr>
                <w:rFonts w:hint="eastAsia"/>
              </w:rPr>
              <w:t>125</w:t>
            </w:r>
            <w:r>
              <w:t>00</w:t>
            </w:r>
          </w:p>
        </w:tc>
        <w:tc>
          <w:tcPr>
            <w:tcW w:w="3402" w:type="dxa"/>
            <w:vAlign w:val="center"/>
          </w:tcPr>
          <w:p w14:paraId="69A02BA1">
            <w:pPr>
              <w:pStyle w:val="133"/>
            </w:pPr>
            <w:r>
              <w:rPr>
                <w:rFonts w:hint="eastAsia"/>
              </w:rPr>
              <w:t>本项目采用2台33000kVA矿热炉</w:t>
            </w:r>
          </w:p>
        </w:tc>
        <w:tc>
          <w:tcPr>
            <w:tcW w:w="1043" w:type="dxa"/>
            <w:vAlign w:val="center"/>
          </w:tcPr>
          <w:p w14:paraId="40B6C16A">
            <w:pPr>
              <w:pStyle w:val="133"/>
            </w:pPr>
            <w:r>
              <w:rPr>
                <w:rFonts w:hint="eastAsia"/>
              </w:rPr>
              <w:t>二级</w:t>
            </w:r>
          </w:p>
        </w:tc>
      </w:tr>
      <w:tr w14:paraId="0ECBE1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73393F54">
            <w:pPr>
              <w:pStyle w:val="133"/>
            </w:pPr>
          </w:p>
        </w:tc>
        <w:tc>
          <w:tcPr>
            <w:tcW w:w="702" w:type="dxa"/>
            <w:vAlign w:val="center"/>
          </w:tcPr>
          <w:p w14:paraId="763F76B8">
            <w:pPr>
              <w:pStyle w:val="133"/>
            </w:pPr>
            <w:r>
              <w:rPr>
                <w:rFonts w:hint="eastAsia"/>
              </w:rPr>
              <w:t>2</w:t>
            </w:r>
          </w:p>
        </w:tc>
        <w:tc>
          <w:tcPr>
            <w:tcW w:w="1857" w:type="dxa"/>
            <w:vAlign w:val="center"/>
          </w:tcPr>
          <w:p w14:paraId="7BBA5EC3">
            <w:pPr>
              <w:pStyle w:val="133"/>
            </w:pPr>
            <w:r>
              <w:rPr>
                <w:rFonts w:hint="eastAsia"/>
              </w:rPr>
              <w:t>矿热炉装置</w:t>
            </w:r>
          </w:p>
        </w:tc>
        <w:tc>
          <w:tcPr>
            <w:tcW w:w="5823" w:type="dxa"/>
            <w:gridSpan w:val="4"/>
            <w:vAlign w:val="center"/>
          </w:tcPr>
          <w:p w14:paraId="37D24AAA">
            <w:pPr>
              <w:pStyle w:val="133"/>
            </w:pPr>
            <w:r>
              <w:rPr>
                <w:rFonts w:hint="eastAsia"/>
              </w:rPr>
              <w:t>半封闭矮烟罩装置</w:t>
            </w:r>
          </w:p>
        </w:tc>
        <w:tc>
          <w:tcPr>
            <w:tcW w:w="3402" w:type="dxa"/>
            <w:vAlign w:val="center"/>
          </w:tcPr>
          <w:p w14:paraId="19871DEC">
            <w:pPr>
              <w:pStyle w:val="133"/>
            </w:pPr>
            <w:r>
              <w:rPr>
                <w:rFonts w:hint="eastAsia"/>
              </w:rPr>
              <w:t>半封闭矮烟罩装置</w:t>
            </w:r>
          </w:p>
        </w:tc>
        <w:tc>
          <w:tcPr>
            <w:tcW w:w="1043" w:type="dxa"/>
            <w:vAlign w:val="center"/>
          </w:tcPr>
          <w:p w14:paraId="6F93A91E">
            <w:pPr>
              <w:pStyle w:val="133"/>
            </w:pPr>
            <w:r>
              <w:rPr>
                <w:rFonts w:hint="eastAsia"/>
              </w:rPr>
              <w:t>一级</w:t>
            </w:r>
          </w:p>
        </w:tc>
      </w:tr>
      <w:tr w14:paraId="467E50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3E98CF97">
            <w:pPr>
              <w:pStyle w:val="133"/>
            </w:pPr>
          </w:p>
        </w:tc>
        <w:tc>
          <w:tcPr>
            <w:tcW w:w="702" w:type="dxa"/>
            <w:vAlign w:val="center"/>
          </w:tcPr>
          <w:p w14:paraId="0760A6E1">
            <w:pPr>
              <w:pStyle w:val="133"/>
            </w:pPr>
            <w:r>
              <w:rPr>
                <w:rFonts w:hint="eastAsia"/>
              </w:rPr>
              <w:t>3</w:t>
            </w:r>
          </w:p>
        </w:tc>
        <w:tc>
          <w:tcPr>
            <w:tcW w:w="1857" w:type="dxa"/>
            <w:vAlign w:val="center"/>
          </w:tcPr>
          <w:p w14:paraId="21EEC31B">
            <w:pPr>
              <w:pStyle w:val="133"/>
            </w:pPr>
            <w:r>
              <w:rPr>
                <w:rFonts w:hint="eastAsia"/>
              </w:rPr>
              <w:t>除尘设施</w:t>
            </w:r>
          </w:p>
        </w:tc>
        <w:tc>
          <w:tcPr>
            <w:tcW w:w="3129" w:type="dxa"/>
            <w:gridSpan w:val="3"/>
            <w:vAlign w:val="center"/>
          </w:tcPr>
          <w:p w14:paraId="5FBFB394">
            <w:pPr>
              <w:pStyle w:val="133"/>
            </w:pPr>
            <w:r>
              <w:rPr>
                <w:rFonts w:hint="eastAsia"/>
              </w:rPr>
              <w:t>原料场为封闭料场，原料转运及输送系统采用密闭输送方式；原料处理、熔炼、产品加工产尘部位配备有除尘装置，在熔炼除尘装置废气排放部位安装有在线监测装置，对烟粉尘净化采用干式除尘装置和</w:t>
            </w:r>
            <w:r>
              <w:t>PLC</w:t>
            </w:r>
            <w:r>
              <w:rPr>
                <w:rFonts w:hint="eastAsia"/>
              </w:rPr>
              <w:t>控制，除尘装置配置率和同步运行率均达到</w:t>
            </w:r>
            <w:r>
              <w:t>100%</w:t>
            </w:r>
          </w:p>
        </w:tc>
        <w:tc>
          <w:tcPr>
            <w:tcW w:w="2694" w:type="dxa"/>
            <w:vAlign w:val="center"/>
          </w:tcPr>
          <w:p w14:paraId="58592DA0">
            <w:pPr>
              <w:pStyle w:val="133"/>
            </w:pPr>
            <w:r>
              <w:rPr>
                <w:rFonts w:hint="eastAsia"/>
              </w:rPr>
              <w:t>原料场设有防尘抑尘网；原料处理、转运、输送、熔炼、产品加工产尘部位配备有除尘装置，对烟粉尘净化采用干式除尘装置和</w:t>
            </w:r>
            <w:r>
              <w:t>PLC</w:t>
            </w:r>
            <w:r>
              <w:rPr>
                <w:rFonts w:hint="eastAsia"/>
              </w:rPr>
              <w:t>控制，除尘装置配置率和同步运行率均达到</w:t>
            </w:r>
            <w:r>
              <w:t>100%</w:t>
            </w:r>
          </w:p>
        </w:tc>
        <w:tc>
          <w:tcPr>
            <w:tcW w:w="3402" w:type="dxa"/>
            <w:vAlign w:val="center"/>
          </w:tcPr>
          <w:p w14:paraId="70382C70">
            <w:pPr>
              <w:pStyle w:val="133"/>
            </w:pPr>
            <w:r>
              <w:rPr>
                <w:rFonts w:hint="eastAsia"/>
              </w:rPr>
              <w:t>原料场为封闭料场，原料转运及输送系统采用密闭输送方式；原料处理、熔炼、产品加工产尘部位配备有除尘装置，对烟粉尘净化采用干式除尘装置和</w:t>
            </w:r>
            <w:r>
              <w:t>PLC</w:t>
            </w:r>
            <w:r>
              <w:rPr>
                <w:rFonts w:hint="eastAsia"/>
              </w:rPr>
              <w:t>控制，除尘装置配置率和同步运行率均达到</w:t>
            </w:r>
            <w:r>
              <w:t>100%</w:t>
            </w:r>
          </w:p>
        </w:tc>
        <w:tc>
          <w:tcPr>
            <w:tcW w:w="1043" w:type="dxa"/>
            <w:vAlign w:val="center"/>
          </w:tcPr>
          <w:p w14:paraId="360DB24F">
            <w:pPr>
              <w:pStyle w:val="133"/>
            </w:pPr>
            <w:r>
              <w:rPr>
                <w:rFonts w:hint="eastAsia"/>
              </w:rPr>
              <w:t>二级</w:t>
            </w:r>
          </w:p>
        </w:tc>
      </w:tr>
      <w:tr w14:paraId="51C9D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76E8C2DF">
            <w:pPr>
              <w:pStyle w:val="133"/>
            </w:pPr>
          </w:p>
        </w:tc>
        <w:tc>
          <w:tcPr>
            <w:tcW w:w="702" w:type="dxa"/>
            <w:vAlign w:val="center"/>
          </w:tcPr>
          <w:p w14:paraId="5A88EBA8">
            <w:pPr>
              <w:pStyle w:val="133"/>
            </w:pPr>
            <w:r>
              <w:rPr>
                <w:rFonts w:hint="eastAsia"/>
              </w:rPr>
              <w:t>4</w:t>
            </w:r>
          </w:p>
        </w:tc>
        <w:tc>
          <w:tcPr>
            <w:tcW w:w="1857" w:type="dxa"/>
            <w:vAlign w:val="center"/>
          </w:tcPr>
          <w:p w14:paraId="51C5759B">
            <w:pPr>
              <w:pStyle w:val="133"/>
            </w:pPr>
            <w:r>
              <w:t>原料处理</w:t>
            </w:r>
          </w:p>
        </w:tc>
        <w:tc>
          <w:tcPr>
            <w:tcW w:w="5823" w:type="dxa"/>
            <w:gridSpan w:val="4"/>
            <w:vAlign w:val="center"/>
          </w:tcPr>
          <w:p w14:paraId="1F3D9287">
            <w:pPr>
              <w:pStyle w:val="133"/>
            </w:pPr>
            <w:r>
              <w:rPr>
                <w:rFonts w:hint="eastAsia"/>
              </w:rPr>
              <w:t>采用原料预处理技术（包括硅石整粒与水洗，含铁料及炭质还原剂整粒等）</w:t>
            </w:r>
          </w:p>
        </w:tc>
        <w:tc>
          <w:tcPr>
            <w:tcW w:w="3402" w:type="dxa"/>
            <w:vAlign w:val="center"/>
          </w:tcPr>
          <w:p w14:paraId="182B0901">
            <w:pPr>
              <w:pStyle w:val="133"/>
            </w:pPr>
            <w:r>
              <w:rPr>
                <w:rFonts w:cs="Times New Roman"/>
              </w:rPr>
              <w:t>入厂原料的组分及粒度符合入炉要求，不在厂内进行预处理。</w:t>
            </w:r>
          </w:p>
        </w:tc>
        <w:tc>
          <w:tcPr>
            <w:tcW w:w="1043" w:type="dxa"/>
            <w:vAlign w:val="center"/>
          </w:tcPr>
          <w:p w14:paraId="46053B89">
            <w:pPr>
              <w:pStyle w:val="133"/>
            </w:pPr>
            <w:r>
              <w:rPr>
                <w:rFonts w:hint="eastAsia"/>
              </w:rPr>
              <w:t>一级</w:t>
            </w:r>
          </w:p>
        </w:tc>
      </w:tr>
      <w:tr w14:paraId="177D2F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485FEACE">
            <w:pPr>
              <w:pStyle w:val="133"/>
            </w:pPr>
          </w:p>
        </w:tc>
        <w:tc>
          <w:tcPr>
            <w:tcW w:w="702" w:type="dxa"/>
            <w:vMerge w:val="restart"/>
            <w:vAlign w:val="center"/>
          </w:tcPr>
          <w:p w14:paraId="22BFCB76">
            <w:pPr>
              <w:pStyle w:val="133"/>
            </w:pPr>
            <w:r>
              <w:rPr>
                <w:rFonts w:hint="eastAsia"/>
              </w:rPr>
              <w:t>5</w:t>
            </w:r>
          </w:p>
        </w:tc>
        <w:tc>
          <w:tcPr>
            <w:tcW w:w="1857" w:type="dxa"/>
            <w:vMerge w:val="restart"/>
            <w:tcBorders>
              <w:right w:val="single" w:color="auto" w:sz="4" w:space="0"/>
            </w:tcBorders>
            <w:vAlign w:val="center"/>
          </w:tcPr>
          <w:p w14:paraId="32ED338D">
            <w:pPr>
              <w:pStyle w:val="133"/>
            </w:pPr>
            <w:r>
              <w:t>生产工艺操作</w:t>
            </w:r>
          </w:p>
        </w:tc>
        <w:tc>
          <w:tcPr>
            <w:tcW w:w="1145" w:type="dxa"/>
            <w:tcBorders>
              <w:left w:val="single" w:color="auto" w:sz="4" w:space="0"/>
            </w:tcBorders>
            <w:vAlign w:val="center"/>
          </w:tcPr>
          <w:p w14:paraId="50DF7F37">
            <w:pPr>
              <w:pStyle w:val="133"/>
            </w:pPr>
            <w:r>
              <w:t>原辅料上料</w:t>
            </w:r>
          </w:p>
        </w:tc>
        <w:tc>
          <w:tcPr>
            <w:tcW w:w="1984" w:type="dxa"/>
            <w:gridSpan w:val="2"/>
            <w:vAlign w:val="center"/>
          </w:tcPr>
          <w:p w14:paraId="29203667">
            <w:pPr>
              <w:pStyle w:val="133"/>
            </w:pPr>
            <w:r>
              <w:rPr>
                <w:rFonts w:hint="eastAsia"/>
              </w:rPr>
              <w:t>配料、上料、布料实现</w:t>
            </w:r>
            <w:r>
              <w:t>PLC</w:t>
            </w:r>
            <w:r>
              <w:rPr>
                <w:rFonts w:hint="eastAsia"/>
              </w:rPr>
              <w:t>控制</w:t>
            </w:r>
          </w:p>
        </w:tc>
        <w:tc>
          <w:tcPr>
            <w:tcW w:w="2694" w:type="dxa"/>
            <w:vAlign w:val="center"/>
          </w:tcPr>
          <w:p w14:paraId="53D3C397">
            <w:pPr>
              <w:pStyle w:val="133"/>
            </w:pPr>
            <w:r>
              <w:rPr>
                <w:rFonts w:hint="eastAsia"/>
              </w:rPr>
              <w:t>配料、上料、布料实现机械化</w:t>
            </w:r>
          </w:p>
        </w:tc>
        <w:tc>
          <w:tcPr>
            <w:tcW w:w="3402" w:type="dxa"/>
            <w:vAlign w:val="center"/>
          </w:tcPr>
          <w:p w14:paraId="7E035E34">
            <w:pPr>
              <w:pStyle w:val="133"/>
            </w:pPr>
            <w:r>
              <w:rPr>
                <w:rFonts w:hint="eastAsia"/>
              </w:rPr>
              <w:t>配料、上料、布料实现</w:t>
            </w:r>
            <w:r>
              <w:t>PLC</w:t>
            </w:r>
            <w:r>
              <w:rPr>
                <w:rFonts w:hint="eastAsia"/>
              </w:rPr>
              <w:t>控制</w:t>
            </w:r>
          </w:p>
        </w:tc>
        <w:tc>
          <w:tcPr>
            <w:tcW w:w="1043" w:type="dxa"/>
            <w:vAlign w:val="center"/>
          </w:tcPr>
          <w:p w14:paraId="6241F5BD">
            <w:pPr>
              <w:pStyle w:val="133"/>
            </w:pPr>
            <w:r>
              <w:rPr>
                <w:rFonts w:hint="eastAsia"/>
              </w:rPr>
              <w:t>一级</w:t>
            </w:r>
          </w:p>
        </w:tc>
      </w:tr>
      <w:tr w14:paraId="38B527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389215CF">
            <w:pPr>
              <w:pStyle w:val="133"/>
            </w:pPr>
          </w:p>
        </w:tc>
        <w:tc>
          <w:tcPr>
            <w:tcW w:w="702" w:type="dxa"/>
            <w:vMerge w:val="continue"/>
            <w:vAlign w:val="center"/>
          </w:tcPr>
          <w:p w14:paraId="575B8788">
            <w:pPr>
              <w:pStyle w:val="133"/>
            </w:pPr>
          </w:p>
        </w:tc>
        <w:tc>
          <w:tcPr>
            <w:tcW w:w="1857" w:type="dxa"/>
            <w:vMerge w:val="continue"/>
            <w:tcBorders>
              <w:right w:val="single" w:color="auto" w:sz="4" w:space="0"/>
            </w:tcBorders>
            <w:vAlign w:val="center"/>
          </w:tcPr>
          <w:p w14:paraId="6D6B445F">
            <w:pPr>
              <w:pStyle w:val="133"/>
            </w:pPr>
          </w:p>
        </w:tc>
        <w:tc>
          <w:tcPr>
            <w:tcW w:w="1145" w:type="dxa"/>
            <w:vMerge w:val="restart"/>
            <w:tcBorders>
              <w:left w:val="single" w:color="auto" w:sz="4" w:space="0"/>
            </w:tcBorders>
            <w:vAlign w:val="center"/>
          </w:tcPr>
          <w:p w14:paraId="472AD3CB">
            <w:pPr>
              <w:pStyle w:val="133"/>
            </w:pPr>
            <w:r>
              <w:rPr>
                <w:rFonts w:hint="eastAsia"/>
              </w:rPr>
              <w:t>冶炼控制</w:t>
            </w:r>
          </w:p>
        </w:tc>
        <w:tc>
          <w:tcPr>
            <w:tcW w:w="1984" w:type="dxa"/>
            <w:gridSpan w:val="2"/>
            <w:vAlign w:val="center"/>
          </w:tcPr>
          <w:p w14:paraId="510BE025">
            <w:pPr>
              <w:pStyle w:val="133"/>
            </w:pPr>
            <w:r>
              <w:rPr>
                <w:rFonts w:hint="eastAsia"/>
              </w:rPr>
              <w:t>电极压放、功率调节实现计算机控制</w:t>
            </w:r>
          </w:p>
        </w:tc>
        <w:tc>
          <w:tcPr>
            <w:tcW w:w="2694" w:type="dxa"/>
            <w:vAlign w:val="center"/>
          </w:tcPr>
          <w:p w14:paraId="4FA2DDA2">
            <w:pPr>
              <w:pStyle w:val="133"/>
            </w:pPr>
            <w:r>
              <w:rPr>
                <w:rFonts w:hint="eastAsia"/>
              </w:rPr>
              <w:t>电极压放实现机械化</w:t>
            </w:r>
          </w:p>
        </w:tc>
        <w:tc>
          <w:tcPr>
            <w:tcW w:w="3402" w:type="dxa"/>
            <w:vAlign w:val="center"/>
          </w:tcPr>
          <w:p w14:paraId="361D62CC">
            <w:pPr>
              <w:pStyle w:val="133"/>
            </w:pPr>
            <w:r>
              <w:rPr>
                <w:rFonts w:hint="eastAsia"/>
              </w:rPr>
              <w:t>电极压放、功率调节实现计算机控制</w:t>
            </w:r>
          </w:p>
        </w:tc>
        <w:tc>
          <w:tcPr>
            <w:tcW w:w="1043" w:type="dxa"/>
            <w:vAlign w:val="center"/>
          </w:tcPr>
          <w:p w14:paraId="206408DF">
            <w:pPr>
              <w:pStyle w:val="133"/>
            </w:pPr>
            <w:r>
              <w:rPr>
                <w:rFonts w:hint="eastAsia"/>
              </w:rPr>
              <w:t>一级</w:t>
            </w:r>
          </w:p>
        </w:tc>
      </w:tr>
      <w:tr w14:paraId="2BAAAA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18C8C168">
            <w:pPr>
              <w:pStyle w:val="133"/>
            </w:pPr>
          </w:p>
        </w:tc>
        <w:tc>
          <w:tcPr>
            <w:tcW w:w="702" w:type="dxa"/>
            <w:vMerge w:val="continue"/>
            <w:vAlign w:val="center"/>
          </w:tcPr>
          <w:p w14:paraId="68B06941">
            <w:pPr>
              <w:pStyle w:val="133"/>
            </w:pPr>
          </w:p>
        </w:tc>
        <w:tc>
          <w:tcPr>
            <w:tcW w:w="1857" w:type="dxa"/>
            <w:vMerge w:val="continue"/>
            <w:tcBorders>
              <w:right w:val="single" w:color="auto" w:sz="4" w:space="0"/>
            </w:tcBorders>
            <w:vAlign w:val="center"/>
          </w:tcPr>
          <w:p w14:paraId="52C2BE79">
            <w:pPr>
              <w:pStyle w:val="133"/>
            </w:pPr>
          </w:p>
        </w:tc>
        <w:tc>
          <w:tcPr>
            <w:tcW w:w="1145" w:type="dxa"/>
            <w:vMerge w:val="continue"/>
            <w:tcBorders>
              <w:left w:val="single" w:color="auto" w:sz="4" w:space="0"/>
            </w:tcBorders>
            <w:vAlign w:val="center"/>
          </w:tcPr>
          <w:p w14:paraId="14121C53">
            <w:pPr>
              <w:pStyle w:val="133"/>
            </w:pPr>
          </w:p>
        </w:tc>
        <w:tc>
          <w:tcPr>
            <w:tcW w:w="4678" w:type="dxa"/>
            <w:gridSpan w:val="3"/>
            <w:vAlign w:val="center"/>
          </w:tcPr>
          <w:p w14:paraId="15D55301">
            <w:pPr>
              <w:pStyle w:val="133"/>
            </w:pPr>
            <w:r>
              <w:rPr>
                <w:rFonts w:hint="eastAsia"/>
              </w:rPr>
              <w:t>料管加料、炉口拨料、捣炉实现机械化</w:t>
            </w:r>
          </w:p>
        </w:tc>
        <w:tc>
          <w:tcPr>
            <w:tcW w:w="3402" w:type="dxa"/>
            <w:vAlign w:val="center"/>
          </w:tcPr>
          <w:p w14:paraId="33DDFF57">
            <w:pPr>
              <w:pStyle w:val="133"/>
            </w:pPr>
            <w:r>
              <w:rPr>
                <w:rFonts w:hint="eastAsia"/>
              </w:rPr>
              <w:t>料管加料、炉口布料、捣炉实现机械化</w:t>
            </w:r>
          </w:p>
        </w:tc>
        <w:tc>
          <w:tcPr>
            <w:tcW w:w="1043" w:type="dxa"/>
            <w:vAlign w:val="center"/>
          </w:tcPr>
          <w:p w14:paraId="66998C5D">
            <w:pPr>
              <w:pStyle w:val="133"/>
            </w:pPr>
            <w:r>
              <w:rPr>
                <w:rFonts w:hint="eastAsia"/>
              </w:rPr>
              <w:t>一级</w:t>
            </w:r>
          </w:p>
        </w:tc>
      </w:tr>
      <w:tr w14:paraId="2E2F7A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4D69F3BE">
            <w:pPr>
              <w:pStyle w:val="133"/>
            </w:pPr>
          </w:p>
        </w:tc>
        <w:tc>
          <w:tcPr>
            <w:tcW w:w="702" w:type="dxa"/>
            <w:vMerge w:val="continue"/>
            <w:vAlign w:val="center"/>
          </w:tcPr>
          <w:p w14:paraId="74B8ABD8">
            <w:pPr>
              <w:pStyle w:val="133"/>
            </w:pPr>
          </w:p>
        </w:tc>
        <w:tc>
          <w:tcPr>
            <w:tcW w:w="1857" w:type="dxa"/>
            <w:vMerge w:val="continue"/>
            <w:tcBorders>
              <w:right w:val="single" w:color="auto" w:sz="4" w:space="0"/>
            </w:tcBorders>
            <w:vAlign w:val="center"/>
          </w:tcPr>
          <w:p w14:paraId="6BA565EB">
            <w:pPr>
              <w:pStyle w:val="133"/>
            </w:pPr>
          </w:p>
        </w:tc>
        <w:tc>
          <w:tcPr>
            <w:tcW w:w="1145" w:type="dxa"/>
            <w:tcBorders>
              <w:left w:val="single" w:color="auto" w:sz="4" w:space="0"/>
            </w:tcBorders>
            <w:vAlign w:val="center"/>
          </w:tcPr>
          <w:p w14:paraId="4343CA4D">
            <w:pPr>
              <w:pStyle w:val="133"/>
            </w:pPr>
            <w:r>
              <w:rPr>
                <w:rFonts w:hint="eastAsia"/>
              </w:rPr>
              <w:t>炉前出炉</w:t>
            </w:r>
          </w:p>
        </w:tc>
        <w:tc>
          <w:tcPr>
            <w:tcW w:w="1984" w:type="dxa"/>
            <w:gridSpan w:val="2"/>
            <w:vAlign w:val="center"/>
          </w:tcPr>
          <w:p w14:paraId="1AB4D566">
            <w:pPr>
              <w:pStyle w:val="133"/>
            </w:pPr>
            <w:r>
              <w:rPr>
                <w:rFonts w:hint="eastAsia"/>
              </w:rPr>
              <w:t>开堵炉眼及浇注实现机械化</w:t>
            </w:r>
          </w:p>
        </w:tc>
        <w:tc>
          <w:tcPr>
            <w:tcW w:w="2694" w:type="dxa"/>
            <w:vAlign w:val="center"/>
          </w:tcPr>
          <w:p w14:paraId="266B7356">
            <w:pPr>
              <w:pStyle w:val="133"/>
            </w:pPr>
            <w:r>
              <w:rPr>
                <w:rFonts w:hint="eastAsia"/>
              </w:rPr>
              <w:t>炉前浇注实现机械化</w:t>
            </w:r>
          </w:p>
        </w:tc>
        <w:tc>
          <w:tcPr>
            <w:tcW w:w="3402" w:type="dxa"/>
            <w:vAlign w:val="center"/>
          </w:tcPr>
          <w:p w14:paraId="03347673">
            <w:pPr>
              <w:pStyle w:val="133"/>
            </w:pPr>
            <w:r>
              <w:rPr>
                <w:rFonts w:hint="eastAsia"/>
              </w:rPr>
              <w:t>开堵炉眼及浇注实现机械化</w:t>
            </w:r>
          </w:p>
        </w:tc>
        <w:tc>
          <w:tcPr>
            <w:tcW w:w="1043" w:type="dxa"/>
            <w:vAlign w:val="center"/>
          </w:tcPr>
          <w:p w14:paraId="0EB0C2D7">
            <w:pPr>
              <w:pStyle w:val="133"/>
            </w:pPr>
            <w:r>
              <w:rPr>
                <w:rFonts w:hint="eastAsia"/>
              </w:rPr>
              <w:t>一级</w:t>
            </w:r>
          </w:p>
        </w:tc>
      </w:tr>
      <w:tr w14:paraId="0996E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6E724A1B">
            <w:pPr>
              <w:pStyle w:val="133"/>
            </w:pPr>
          </w:p>
        </w:tc>
        <w:tc>
          <w:tcPr>
            <w:tcW w:w="702" w:type="dxa"/>
            <w:vAlign w:val="center"/>
          </w:tcPr>
          <w:p w14:paraId="3191F1FC">
            <w:pPr>
              <w:pStyle w:val="133"/>
            </w:pPr>
            <w:r>
              <w:rPr>
                <w:rFonts w:hint="eastAsia"/>
              </w:rPr>
              <w:t>6</w:t>
            </w:r>
          </w:p>
        </w:tc>
        <w:tc>
          <w:tcPr>
            <w:tcW w:w="1857" w:type="dxa"/>
            <w:vAlign w:val="center"/>
          </w:tcPr>
          <w:p w14:paraId="46FD13E8">
            <w:pPr>
              <w:pStyle w:val="133"/>
            </w:pPr>
            <w:r>
              <w:rPr>
                <w:rFonts w:hint="eastAsia"/>
              </w:rPr>
              <w:t>余热回收利用</w:t>
            </w:r>
          </w:p>
        </w:tc>
        <w:tc>
          <w:tcPr>
            <w:tcW w:w="3129" w:type="dxa"/>
            <w:gridSpan w:val="3"/>
            <w:vAlign w:val="center"/>
          </w:tcPr>
          <w:p w14:paraId="75F1906E">
            <w:pPr>
              <w:pStyle w:val="133"/>
            </w:pPr>
            <w:r>
              <w:rPr>
                <w:rFonts w:hint="eastAsia"/>
              </w:rPr>
              <w:t>回收烟气余热生产蒸汽或用于发电</w:t>
            </w:r>
          </w:p>
        </w:tc>
        <w:tc>
          <w:tcPr>
            <w:tcW w:w="2694" w:type="dxa"/>
            <w:vAlign w:val="center"/>
          </w:tcPr>
          <w:p w14:paraId="4F3ED468">
            <w:pPr>
              <w:pStyle w:val="133"/>
            </w:pPr>
            <w:r>
              <w:rPr>
                <w:rFonts w:hint="eastAsia"/>
              </w:rPr>
              <w:t>回收烟气余热并利用</w:t>
            </w:r>
          </w:p>
        </w:tc>
        <w:tc>
          <w:tcPr>
            <w:tcW w:w="3402" w:type="dxa"/>
            <w:vAlign w:val="center"/>
          </w:tcPr>
          <w:p w14:paraId="38676AC8">
            <w:pPr>
              <w:pStyle w:val="133"/>
            </w:pPr>
            <w:r>
              <w:rPr>
                <w:rFonts w:hint="eastAsia"/>
              </w:rPr>
              <w:t>回收烟气余热用于发电</w:t>
            </w:r>
          </w:p>
        </w:tc>
        <w:tc>
          <w:tcPr>
            <w:tcW w:w="1043" w:type="dxa"/>
            <w:vAlign w:val="center"/>
          </w:tcPr>
          <w:p w14:paraId="72783BB1">
            <w:pPr>
              <w:pStyle w:val="133"/>
            </w:pPr>
            <w:r>
              <w:rPr>
                <w:rFonts w:hint="eastAsia"/>
              </w:rPr>
              <w:t>一级</w:t>
            </w:r>
          </w:p>
        </w:tc>
      </w:tr>
      <w:tr w14:paraId="4B6AD0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7D66BDDA">
            <w:pPr>
              <w:pStyle w:val="133"/>
            </w:pPr>
          </w:p>
        </w:tc>
        <w:tc>
          <w:tcPr>
            <w:tcW w:w="702" w:type="dxa"/>
            <w:vAlign w:val="center"/>
          </w:tcPr>
          <w:p w14:paraId="698E46D5">
            <w:pPr>
              <w:pStyle w:val="133"/>
            </w:pPr>
            <w:r>
              <w:rPr>
                <w:rFonts w:hint="eastAsia"/>
              </w:rPr>
              <w:t>7</w:t>
            </w:r>
          </w:p>
        </w:tc>
        <w:tc>
          <w:tcPr>
            <w:tcW w:w="1857" w:type="dxa"/>
            <w:vAlign w:val="center"/>
          </w:tcPr>
          <w:p w14:paraId="1240564A">
            <w:pPr>
              <w:pStyle w:val="133"/>
            </w:pPr>
            <w:r>
              <w:rPr>
                <w:rFonts w:hint="eastAsia"/>
              </w:rPr>
              <w:t>水处理技术</w:t>
            </w:r>
          </w:p>
        </w:tc>
        <w:tc>
          <w:tcPr>
            <w:tcW w:w="3129" w:type="dxa"/>
            <w:gridSpan w:val="3"/>
            <w:vAlign w:val="center"/>
          </w:tcPr>
          <w:p w14:paraId="493B007E">
            <w:pPr>
              <w:pStyle w:val="133"/>
            </w:pPr>
            <w:r>
              <w:rPr>
                <w:rFonts w:hint="eastAsia"/>
              </w:rPr>
              <w:t>采用软水、净环水闭路循环技术</w:t>
            </w:r>
          </w:p>
        </w:tc>
        <w:tc>
          <w:tcPr>
            <w:tcW w:w="2694" w:type="dxa"/>
            <w:vAlign w:val="center"/>
          </w:tcPr>
          <w:p w14:paraId="778EB0AB">
            <w:pPr>
              <w:pStyle w:val="133"/>
            </w:pPr>
            <w:r>
              <w:rPr>
                <w:rFonts w:hint="eastAsia"/>
              </w:rPr>
              <w:t>采用净环水闭路循环技术</w:t>
            </w:r>
          </w:p>
        </w:tc>
        <w:tc>
          <w:tcPr>
            <w:tcW w:w="3402" w:type="dxa"/>
            <w:vAlign w:val="center"/>
          </w:tcPr>
          <w:p w14:paraId="381C9A97">
            <w:pPr>
              <w:pStyle w:val="101"/>
              <w:jc w:val="left"/>
            </w:pPr>
            <w:r>
              <w:rPr>
                <w:rFonts w:hint="eastAsia"/>
                <w:sz w:val="21"/>
                <w:szCs w:val="21"/>
              </w:rPr>
              <w:t>冷却循环系统采用脱盐水系统供给，整体设备冷却采用净环水闭路循环系统。</w:t>
            </w:r>
          </w:p>
        </w:tc>
        <w:tc>
          <w:tcPr>
            <w:tcW w:w="1043" w:type="dxa"/>
            <w:vAlign w:val="center"/>
          </w:tcPr>
          <w:p w14:paraId="3C63601B">
            <w:pPr>
              <w:pStyle w:val="133"/>
            </w:pPr>
            <w:r>
              <w:rPr>
                <w:rFonts w:hint="eastAsia"/>
              </w:rPr>
              <w:t>一级</w:t>
            </w:r>
          </w:p>
        </w:tc>
      </w:tr>
      <w:tr w14:paraId="04BCBF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restart"/>
            <w:vAlign w:val="center"/>
          </w:tcPr>
          <w:p w14:paraId="5BBCD100">
            <w:pPr>
              <w:pStyle w:val="133"/>
            </w:pPr>
            <w:r>
              <w:rPr>
                <w:rFonts w:hint="eastAsia"/>
              </w:rPr>
              <w:t>资源与能源消耗</w:t>
            </w:r>
          </w:p>
        </w:tc>
        <w:tc>
          <w:tcPr>
            <w:tcW w:w="702" w:type="dxa"/>
            <w:vMerge w:val="restart"/>
            <w:vAlign w:val="center"/>
          </w:tcPr>
          <w:p w14:paraId="75AAC902">
            <w:pPr>
              <w:pStyle w:val="133"/>
            </w:pPr>
            <w:r>
              <w:rPr>
                <w:rFonts w:hint="eastAsia"/>
              </w:rPr>
              <w:t>1</w:t>
            </w:r>
          </w:p>
        </w:tc>
        <w:tc>
          <w:tcPr>
            <w:tcW w:w="1857" w:type="dxa"/>
            <w:vMerge w:val="restart"/>
            <w:vAlign w:val="center"/>
          </w:tcPr>
          <w:p w14:paraId="33EE5407">
            <w:pPr>
              <w:pStyle w:val="133"/>
            </w:pPr>
            <w:r>
              <w:rPr>
                <w:rFonts w:hint="eastAsia"/>
              </w:rPr>
              <w:t>电炉自然功率因数</w:t>
            </w:r>
            <w:r>
              <w:t>cosϕ</w:t>
            </w:r>
          </w:p>
        </w:tc>
        <w:tc>
          <w:tcPr>
            <w:tcW w:w="3129" w:type="dxa"/>
            <w:gridSpan w:val="3"/>
            <w:vAlign w:val="center"/>
          </w:tcPr>
          <w:p w14:paraId="591A6596">
            <w:pPr>
              <w:pStyle w:val="133"/>
            </w:pPr>
            <w:r>
              <w:t>（</w:t>
            </w:r>
            <w:r>
              <w:rPr>
                <w:rFonts w:hint="eastAsia"/>
              </w:rPr>
              <w:t>电炉额定容量</w:t>
            </w:r>
            <w:r>
              <w:t>50000kVA）≥0.65</w:t>
            </w:r>
          </w:p>
        </w:tc>
        <w:tc>
          <w:tcPr>
            <w:tcW w:w="2694" w:type="dxa"/>
            <w:vMerge w:val="restart"/>
            <w:vAlign w:val="center"/>
          </w:tcPr>
          <w:p w14:paraId="64B80B8C">
            <w:pPr>
              <w:pStyle w:val="133"/>
            </w:pPr>
            <w:r>
              <w:t>（</w:t>
            </w:r>
            <w:r>
              <w:rPr>
                <w:rFonts w:hint="eastAsia"/>
              </w:rPr>
              <w:t>电炉额定容量</w:t>
            </w:r>
            <w:r>
              <w:t>16500kVA）≥0.82</w:t>
            </w:r>
          </w:p>
        </w:tc>
        <w:tc>
          <w:tcPr>
            <w:tcW w:w="3402" w:type="dxa"/>
            <w:vMerge w:val="restart"/>
            <w:vAlign w:val="center"/>
          </w:tcPr>
          <w:p w14:paraId="039FF4D2">
            <w:pPr>
              <w:pStyle w:val="133"/>
            </w:pPr>
            <w:r>
              <w:rPr>
                <w:rFonts w:hint="eastAsia"/>
              </w:rPr>
              <w:t>0.67</w:t>
            </w:r>
          </w:p>
        </w:tc>
        <w:tc>
          <w:tcPr>
            <w:tcW w:w="1043" w:type="dxa"/>
            <w:vMerge w:val="restart"/>
            <w:vAlign w:val="center"/>
          </w:tcPr>
          <w:p w14:paraId="2A7FD28A">
            <w:pPr>
              <w:pStyle w:val="133"/>
            </w:pPr>
            <w:r>
              <w:rPr>
                <w:rFonts w:hint="eastAsia"/>
              </w:rPr>
              <w:t>二级</w:t>
            </w:r>
          </w:p>
        </w:tc>
      </w:tr>
      <w:tr w14:paraId="68600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57FBAFB8">
            <w:pPr>
              <w:pStyle w:val="133"/>
            </w:pPr>
          </w:p>
        </w:tc>
        <w:tc>
          <w:tcPr>
            <w:tcW w:w="702" w:type="dxa"/>
            <w:vMerge w:val="continue"/>
            <w:vAlign w:val="center"/>
          </w:tcPr>
          <w:p w14:paraId="6D9101EE">
            <w:pPr>
              <w:pStyle w:val="133"/>
            </w:pPr>
          </w:p>
        </w:tc>
        <w:tc>
          <w:tcPr>
            <w:tcW w:w="1857" w:type="dxa"/>
            <w:vMerge w:val="continue"/>
            <w:vAlign w:val="center"/>
          </w:tcPr>
          <w:p w14:paraId="6F03EA5D">
            <w:pPr>
              <w:pStyle w:val="133"/>
            </w:pPr>
          </w:p>
        </w:tc>
        <w:tc>
          <w:tcPr>
            <w:tcW w:w="3129" w:type="dxa"/>
            <w:gridSpan w:val="3"/>
            <w:vAlign w:val="center"/>
          </w:tcPr>
          <w:p w14:paraId="0442E900">
            <w:pPr>
              <w:pStyle w:val="133"/>
            </w:pPr>
            <w:r>
              <w:t>（</w:t>
            </w:r>
            <w:r>
              <w:rPr>
                <w:rFonts w:hint="eastAsia"/>
              </w:rPr>
              <w:t>电炉额定容量</w:t>
            </w:r>
            <w:r>
              <w:t>60000kVA）≥0.62</w:t>
            </w:r>
          </w:p>
        </w:tc>
        <w:tc>
          <w:tcPr>
            <w:tcW w:w="2694" w:type="dxa"/>
            <w:vMerge w:val="continue"/>
            <w:vAlign w:val="center"/>
          </w:tcPr>
          <w:p w14:paraId="15F1582E">
            <w:pPr>
              <w:pStyle w:val="133"/>
            </w:pPr>
          </w:p>
        </w:tc>
        <w:tc>
          <w:tcPr>
            <w:tcW w:w="3402" w:type="dxa"/>
            <w:vMerge w:val="continue"/>
            <w:vAlign w:val="center"/>
          </w:tcPr>
          <w:p w14:paraId="66D09282">
            <w:pPr>
              <w:pStyle w:val="133"/>
            </w:pPr>
          </w:p>
        </w:tc>
        <w:tc>
          <w:tcPr>
            <w:tcW w:w="1043" w:type="dxa"/>
            <w:vMerge w:val="continue"/>
            <w:vAlign w:val="center"/>
          </w:tcPr>
          <w:p w14:paraId="6A916F19">
            <w:pPr>
              <w:pStyle w:val="133"/>
            </w:pPr>
          </w:p>
        </w:tc>
      </w:tr>
      <w:tr w14:paraId="2CC3C5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46B342D3">
            <w:pPr>
              <w:pStyle w:val="133"/>
            </w:pPr>
          </w:p>
        </w:tc>
        <w:tc>
          <w:tcPr>
            <w:tcW w:w="702" w:type="dxa"/>
            <w:vAlign w:val="center"/>
          </w:tcPr>
          <w:p w14:paraId="66176A52">
            <w:pPr>
              <w:pStyle w:val="133"/>
            </w:pPr>
            <w:r>
              <w:rPr>
                <w:rFonts w:hint="eastAsia"/>
              </w:rPr>
              <w:t>2</w:t>
            </w:r>
          </w:p>
        </w:tc>
        <w:tc>
          <w:tcPr>
            <w:tcW w:w="1857" w:type="dxa"/>
            <w:vAlign w:val="center"/>
          </w:tcPr>
          <w:p w14:paraId="2B56CB8B">
            <w:pPr>
              <w:pStyle w:val="133"/>
            </w:pPr>
            <w:r>
              <w:rPr>
                <w:rFonts w:hint="eastAsia"/>
              </w:rPr>
              <w:t>硅石入炉品位，</w:t>
            </w:r>
            <w:r>
              <w:t>%</w:t>
            </w:r>
          </w:p>
        </w:tc>
        <w:tc>
          <w:tcPr>
            <w:tcW w:w="3129" w:type="dxa"/>
            <w:gridSpan w:val="3"/>
            <w:vAlign w:val="center"/>
          </w:tcPr>
          <w:p w14:paraId="3BCB61B9">
            <w:pPr>
              <w:pStyle w:val="133"/>
            </w:pPr>
            <w:r>
              <w:t>SiO</w:t>
            </w:r>
            <w:r>
              <w:rPr>
                <w:vertAlign w:val="subscript"/>
              </w:rPr>
              <w:t>2</w:t>
            </w:r>
            <w:r>
              <w:rPr>
                <w:rFonts w:hint="eastAsia"/>
              </w:rPr>
              <w:t>含量</w:t>
            </w:r>
            <w:r>
              <w:t>≥98</w:t>
            </w:r>
          </w:p>
        </w:tc>
        <w:tc>
          <w:tcPr>
            <w:tcW w:w="2694" w:type="dxa"/>
            <w:vAlign w:val="center"/>
          </w:tcPr>
          <w:p w14:paraId="0470C1F7">
            <w:pPr>
              <w:pStyle w:val="133"/>
            </w:pPr>
            <w:r>
              <w:t>SiO</w:t>
            </w:r>
            <w:r>
              <w:rPr>
                <w:vertAlign w:val="subscript"/>
              </w:rPr>
              <w:t>2</w:t>
            </w:r>
            <w:r>
              <w:rPr>
                <w:rFonts w:hint="eastAsia"/>
              </w:rPr>
              <w:t>含量</w:t>
            </w:r>
            <w:r>
              <w:t>≥97</w:t>
            </w:r>
          </w:p>
        </w:tc>
        <w:tc>
          <w:tcPr>
            <w:tcW w:w="3402" w:type="dxa"/>
            <w:vAlign w:val="center"/>
          </w:tcPr>
          <w:p w14:paraId="74CDC657">
            <w:pPr>
              <w:pStyle w:val="133"/>
            </w:pPr>
            <w:r>
              <w:rPr>
                <w:rFonts w:hint="eastAsia"/>
              </w:rPr>
              <w:t>硅石</w:t>
            </w:r>
            <w:r>
              <w:t>SiO</w:t>
            </w:r>
            <w:r>
              <w:rPr>
                <w:vertAlign w:val="subscript"/>
              </w:rPr>
              <w:t>2</w:t>
            </w:r>
            <w:r>
              <w:rPr>
                <w:rFonts w:hint="eastAsia"/>
              </w:rPr>
              <w:t>含量</w:t>
            </w:r>
            <w:r>
              <w:t>98</w:t>
            </w:r>
            <w:r>
              <w:rPr>
                <w:rFonts w:hint="eastAsia"/>
              </w:rPr>
              <w:t>%</w:t>
            </w:r>
          </w:p>
        </w:tc>
        <w:tc>
          <w:tcPr>
            <w:tcW w:w="1043" w:type="dxa"/>
            <w:vAlign w:val="center"/>
          </w:tcPr>
          <w:p w14:paraId="153EFEDB">
            <w:pPr>
              <w:pStyle w:val="133"/>
            </w:pPr>
            <w:r>
              <w:rPr>
                <w:rFonts w:hint="eastAsia"/>
              </w:rPr>
              <w:t>一级</w:t>
            </w:r>
          </w:p>
        </w:tc>
      </w:tr>
      <w:tr w14:paraId="677F2A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6D87B2FE">
            <w:pPr>
              <w:pStyle w:val="133"/>
            </w:pPr>
          </w:p>
        </w:tc>
        <w:tc>
          <w:tcPr>
            <w:tcW w:w="702" w:type="dxa"/>
            <w:vAlign w:val="center"/>
          </w:tcPr>
          <w:p w14:paraId="09EAA799">
            <w:pPr>
              <w:pStyle w:val="133"/>
            </w:pPr>
            <w:r>
              <w:rPr>
                <w:rFonts w:hint="eastAsia"/>
              </w:rPr>
              <w:t>3</w:t>
            </w:r>
          </w:p>
        </w:tc>
        <w:tc>
          <w:tcPr>
            <w:tcW w:w="1857" w:type="dxa"/>
            <w:vAlign w:val="center"/>
          </w:tcPr>
          <w:p w14:paraId="0A2C4CA9">
            <w:pPr>
              <w:pStyle w:val="133"/>
            </w:pPr>
            <w:r>
              <w:rPr>
                <w:rFonts w:hint="eastAsia"/>
              </w:rPr>
              <w:t>硅（</w:t>
            </w:r>
            <w:r>
              <w:t>Si</w:t>
            </w:r>
            <w:r>
              <w:rPr>
                <w:rFonts w:hint="eastAsia"/>
              </w:rPr>
              <w:t>）元素回收率，</w:t>
            </w:r>
            <w:r>
              <w:t>%</w:t>
            </w:r>
          </w:p>
        </w:tc>
        <w:tc>
          <w:tcPr>
            <w:tcW w:w="5823" w:type="dxa"/>
            <w:gridSpan w:val="4"/>
            <w:vAlign w:val="center"/>
          </w:tcPr>
          <w:p w14:paraId="6085AC16">
            <w:pPr>
              <w:pStyle w:val="133"/>
            </w:pPr>
            <w:bookmarkStart w:id="369" w:name="OLE_LINK47"/>
            <w:r>
              <w:t>≥93</w:t>
            </w:r>
            <w:bookmarkEnd w:id="369"/>
          </w:p>
        </w:tc>
        <w:tc>
          <w:tcPr>
            <w:tcW w:w="3402" w:type="dxa"/>
            <w:vAlign w:val="center"/>
          </w:tcPr>
          <w:p w14:paraId="0327A6C8">
            <w:pPr>
              <w:pStyle w:val="133"/>
            </w:pPr>
            <w:r>
              <w:rPr>
                <w:rFonts w:hint="eastAsia"/>
              </w:rPr>
              <w:t>96</w:t>
            </w:r>
          </w:p>
        </w:tc>
        <w:tc>
          <w:tcPr>
            <w:tcW w:w="1043" w:type="dxa"/>
            <w:vAlign w:val="center"/>
          </w:tcPr>
          <w:p w14:paraId="2335F184">
            <w:pPr>
              <w:pStyle w:val="133"/>
            </w:pPr>
            <w:r>
              <w:rPr>
                <w:rFonts w:hint="eastAsia"/>
              </w:rPr>
              <w:t>一级</w:t>
            </w:r>
          </w:p>
        </w:tc>
      </w:tr>
      <w:tr w14:paraId="402203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149D9126">
            <w:pPr>
              <w:pStyle w:val="133"/>
            </w:pPr>
          </w:p>
        </w:tc>
        <w:tc>
          <w:tcPr>
            <w:tcW w:w="702" w:type="dxa"/>
            <w:vAlign w:val="center"/>
          </w:tcPr>
          <w:p w14:paraId="7BD61F3D">
            <w:pPr>
              <w:pStyle w:val="133"/>
            </w:pPr>
            <w:r>
              <w:rPr>
                <w:rFonts w:hint="eastAsia"/>
              </w:rPr>
              <w:t>4</w:t>
            </w:r>
          </w:p>
        </w:tc>
        <w:tc>
          <w:tcPr>
            <w:tcW w:w="1857" w:type="dxa"/>
            <w:vAlign w:val="center"/>
          </w:tcPr>
          <w:p w14:paraId="60796F74">
            <w:pPr>
              <w:pStyle w:val="133"/>
            </w:pPr>
            <w:r>
              <w:rPr>
                <w:rFonts w:hint="eastAsia"/>
              </w:rPr>
              <w:t>单位产品冶炼电耗，</w:t>
            </w:r>
            <w:r>
              <w:t>kWh/t</w:t>
            </w:r>
          </w:p>
        </w:tc>
        <w:tc>
          <w:tcPr>
            <w:tcW w:w="1570" w:type="dxa"/>
            <w:gridSpan w:val="2"/>
            <w:vAlign w:val="center"/>
          </w:tcPr>
          <w:p w14:paraId="2DB59E91">
            <w:pPr>
              <w:pStyle w:val="133"/>
            </w:pPr>
            <w:r>
              <w:t>≤8050</w:t>
            </w:r>
          </w:p>
        </w:tc>
        <w:tc>
          <w:tcPr>
            <w:tcW w:w="1559" w:type="dxa"/>
            <w:vAlign w:val="center"/>
          </w:tcPr>
          <w:p w14:paraId="2B90E9F5">
            <w:pPr>
              <w:pStyle w:val="133"/>
            </w:pPr>
            <w:r>
              <w:t>≤8</w:t>
            </w:r>
            <w:r>
              <w:rPr>
                <w:rFonts w:hint="eastAsia"/>
              </w:rPr>
              <w:t>50</w:t>
            </w:r>
            <w:r>
              <w:t>0</w:t>
            </w:r>
          </w:p>
        </w:tc>
        <w:tc>
          <w:tcPr>
            <w:tcW w:w="2694" w:type="dxa"/>
            <w:vAlign w:val="center"/>
          </w:tcPr>
          <w:p w14:paraId="716C2834">
            <w:pPr>
              <w:pStyle w:val="133"/>
            </w:pPr>
            <w:r>
              <w:t>≤8</w:t>
            </w:r>
            <w:r>
              <w:rPr>
                <w:rFonts w:hint="eastAsia"/>
              </w:rPr>
              <w:t>50</w:t>
            </w:r>
            <w:r>
              <w:t>0</w:t>
            </w:r>
          </w:p>
        </w:tc>
        <w:tc>
          <w:tcPr>
            <w:tcW w:w="3402" w:type="dxa"/>
            <w:vAlign w:val="center"/>
          </w:tcPr>
          <w:p w14:paraId="5D4F48AD">
            <w:pPr>
              <w:pStyle w:val="133"/>
            </w:pPr>
            <w:r>
              <w:rPr>
                <w:rFonts w:hint="eastAsia"/>
              </w:rPr>
              <w:t>7500</w:t>
            </w:r>
          </w:p>
        </w:tc>
        <w:tc>
          <w:tcPr>
            <w:tcW w:w="1043" w:type="dxa"/>
            <w:vAlign w:val="center"/>
          </w:tcPr>
          <w:p w14:paraId="45A4035E">
            <w:pPr>
              <w:pStyle w:val="133"/>
            </w:pPr>
            <w:r>
              <w:rPr>
                <w:rFonts w:hint="eastAsia"/>
              </w:rPr>
              <w:t>一级</w:t>
            </w:r>
          </w:p>
        </w:tc>
      </w:tr>
      <w:tr w14:paraId="544D36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73FD0EE2">
            <w:pPr>
              <w:pStyle w:val="133"/>
            </w:pPr>
          </w:p>
        </w:tc>
        <w:tc>
          <w:tcPr>
            <w:tcW w:w="702" w:type="dxa"/>
            <w:vAlign w:val="center"/>
          </w:tcPr>
          <w:p w14:paraId="4E30DD00">
            <w:pPr>
              <w:pStyle w:val="133"/>
            </w:pPr>
            <w:r>
              <w:rPr>
                <w:rFonts w:hint="eastAsia"/>
              </w:rPr>
              <w:t>5</w:t>
            </w:r>
          </w:p>
        </w:tc>
        <w:tc>
          <w:tcPr>
            <w:tcW w:w="1857" w:type="dxa"/>
            <w:vAlign w:val="center"/>
          </w:tcPr>
          <w:p w14:paraId="439B2E3A">
            <w:pPr>
              <w:pStyle w:val="133"/>
            </w:pPr>
            <w:r>
              <w:rPr>
                <w:rFonts w:hint="eastAsia"/>
              </w:rPr>
              <w:t>综合能耗（折标煤）（按电力折标系数</w:t>
            </w:r>
            <w:r>
              <w:t>0.1229</w:t>
            </w:r>
            <w:r>
              <w:rPr>
                <w:rFonts w:hint="eastAsia"/>
              </w:rPr>
              <w:t>折算），</w:t>
            </w:r>
            <w:r>
              <w:t>kgce/t</w:t>
            </w:r>
          </w:p>
        </w:tc>
        <w:tc>
          <w:tcPr>
            <w:tcW w:w="1570" w:type="dxa"/>
            <w:gridSpan w:val="2"/>
            <w:vAlign w:val="center"/>
          </w:tcPr>
          <w:p w14:paraId="3349501F">
            <w:pPr>
              <w:pStyle w:val="133"/>
            </w:pPr>
            <w:r>
              <w:t>≤1770</w:t>
            </w:r>
          </w:p>
        </w:tc>
        <w:tc>
          <w:tcPr>
            <w:tcW w:w="1559" w:type="dxa"/>
            <w:vAlign w:val="center"/>
          </w:tcPr>
          <w:p w14:paraId="1E938211">
            <w:pPr>
              <w:pStyle w:val="133"/>
            </w:pPr>
            <w:r>
              <w:t>≤1</w:t>
            </w:r>
            <w:r>
              <w:rPr>
                <w:rFonts w:hint="eastAsia"/>
              </w:rPr>
              <w:t>835</w:t>
            </w:r>
          </w:p>
        </w:tc>
        <w:tc>
          <w:tcPr>
            <w:tcW w:w="2694" w:type="dxa"/>
            <w:vAlign w:val="center"/>
          </w:tcPr>
          <w:p w14:paraId="1BF1809F">
            <w:pPr>
              <w:pStyle w:val="133"/>
            </w:pPr>
            <w:r>
              <w:t>≤1</w:t>
            </w:r>
            <w:r>
              <w:rPr>
                <w:rFonts w:hint="eastAsia"/>
              </w:rPr>
              <w:t>970</w:t>
            </w:r>
          </w:p>
        </w:tc>
        <w:tc>
          <w:tcPr>
            <w:tcW w:w="3402" w:type="dxa"/>
            <w:vAlign w:val="center"/>
          </w:tcPr>
          <w:p w14:paraId="1AE02151">
            <w:pPr>
              <w:pStyle w:val="133"/>
            </w:pPr>
            <w:r>
              <w:rPr>
                <w:rFonts w:hint="eastAsia"/>
              </w:rPr>
              <w:t>1563.935</w:t>
            </w:r>
          </w:p>
        </w:tc>
        <w:tc>
          <w:tcPr>
            <w:tcW w:w="1043" w:type="dxa"/>
            <w:vAlign w:val="center"/>
          </w:tcPr>
          <w:p w14:paraId="236AD3D4">
            <w:pPr>
              <w:pStyle w:val="133"/>
            </w:pPr>
            <w:r>
              <w:rPr>
                <w:rFonts w:hint="eastAsia"/>
              </w:rPr>
              <w:t>一级</w:t>
            </w:r>
          </w:p>
        </w:tc>
      </w:tr>
      <w:tr w14:paraId="496512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31390E5B">
            <w:pPr>
              <w:pStyle w:val="133"/>
            </w:pPr>
          </w:p>
        </w:tc>
        <w:tc>
          <w:tcPr>
            <w:tcW w:w="702" w:type="dxa"/>
            <w:vAlign w:val="center"/>
          </w:tcPr>
          <w:p w14:paraId="74E886E8">
            <w:pPr>
              <w:pStyle w:val="133"/>
            </w:pPr>
            <w:r>
              <w:rPr>
                <w:rFonts w:hint="eastAsia"/>
              </w:rPr>
              <w:t>6</w:t>
            </w:r>
          </w:p>
        </w:tc>
        <w:tc>
          <w:tcPr>
            <w:tcW w:w="1857" w:type="dxa"/>
            <w:vAlign w:val="center"/>
          </w:tcPr>
          <w:p w14:paraId="178C67EC">
            <w:pPr>
              <w:pStyle w:val="133"/>
            </w:pPr>
            <w:r>
              <w:rPr>
                <w:rFonts w:hint="eastAsia"/>
              </w:rPr>
              <w:t>生产取水量，m³</w:t>
            </w:r>
            <w:r>
              <w:t>/t</w:t>
            </w:r>
          </w:p>
        </w:tc>
        <w:tc>
          <w:tcPr>
            <w:tcW w:w="3129" w:type="dxa"/>
            <w:gridSpan w:val="3"/>
            <w:vAlign w:val="center"/>
          </w:tcPr>
          <w:p w14:paraId="007B831C">
            <w:pPr>
              <w:pStyle w:val="133"/>
            </w:pPr>
            <w:r>
              <w:t>≤3.0</w:t>
            </w:r>
          </w:p>
        </w:tc>
        <w:tc>
          <w:tcPr>
            <w:tcW w:w="2694" w:type="dxa"/>
            <w:vAlign w:val="center"/>
          </w:tcPr>
          <w:p w14:paraId="1D616965">
            <w:pPr>
              <w:pStyle w:val="133"/>
            </w:pPr>
            <w:r>
              <w:t>≤</w:t>
            </w:r>
            <w:r>
              <w:rPr>
                <w:rFonts w:hint="eastAsia"/>
              </w:rPr>
              <w:t>4</w:t>
            </w:r>
            <w:r>
              <w:t xml:space="preserve">.0 </w:t>
            </w:r>
          </w:p>
        </w:tc>
        <w:tc>
          <w:tcPr>
            <w:tcW w:w="3402" w:type="dxa"/>
            <w:vAlign w:val="center"/>
          </w:tcPr>
          <w:p w14:paraId="3D14FF37">
            <w:pPr>
              <w:pStyle w:val="133"/>
            </w:pPr>
            <w:r>
              <w:rPr>
                <w:rFonts w:hint="eastAsia"/>
              </w:rPr>
              <w:t>4.0</w:t>
            </w:r>
          </w:p>
        </w:tc>
        <w:tc>
          <w:tcPr>
            <w:tcW w:w="1043" w:type="dxa"/>
            <w:vAlign w:val="center"/>
          </w:tcPr>
          <w:p w14:paraId="698FB6CF">
            <w:pPr>
              <w:pStyle w:val="133"/>
            </w:pPr>
            <w:r>
              <w:rPr>
                <w:rFonts w:hint="eastAsia"/>
              </w:rPr>
              <w:t>二级</w:t>
            </w:r>
          </w:p>
        </w:tc>
      </w:tr>
      <w:tr w14:paraId="2BB4EF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Align w:val="center"/>
          </w:tcPr>
          <w:p w14:paraId="4590B4AC">
            <w:pPr>
              <w:pStyle w:val="133"/>
            </w:pPr>
            <w:r>
              <w:rPr>
                <w:rFonts w:hint="eastAsia"/>
              </w:rPr>
              <w:t>产品特征</w:t>
            </w:r>
          </w:p>
        </w:tc>
        <w:tc>
          <w:tcPr>
            <w:tcW w:w="702" w:type="dxa"/>
            <w:vAlign w:val="center"/>
          </w:tcPr>
          <w:p w14:paraId="5B6FF9E8">
            <w:pPr>
              <w:pStyle w:val="133"/>
            </w:pPr>
            <w:r>
              <w:rPr>
                <w:rFonts w:hint="eastAsia"/>
              </w:rPr>
              <w:t>1</w:t>
            </w:r>
          </w:p>
        </w:tc>
        <w:tc>
          <w:tcPr>
            <w:tcW w:w="1857" w:type="dxa"/>
            <w:vAlign w:val="center"/>
          </w:tcPr>
          <w:p w14:paraId="71D327CC">
            <w:pPr>
              <w:pStyle w:val="133"/>
            </w:pPr>
            <w:r>
              <w:rPr>
                <w:rFonts w:hint="eastAsia"/>
              </w:rPr>
              <w:t>产品合格率，</w:t>
            </w:r>
            <w:r>
              <w:t>%</w:t>
            </w:r>
          </w:p>
        </w:tc>
        <w:tc>
          <w:tcPr>
            <w:tcW w:w="1570" w:type="dxa"/>
            <w:gridSpan w:val="2"/>
            <w:vAlign w:val="center"/>
          </w:tcPr>
          <w:p w14:paraId="4CAABA3D">
            <w:pPr>
              <w:pStyle w:val="133"/>
            </w:pPr>
            <w:r>
              <w:rPr>
                <w:rFonts w:hint="eastAsia"/>
              </w:rPr>
              <w:t>100</w:t>
            </w:r>
          </w:p>
        </w:tc>
        <w:tc>
          <w:tcPr>
            <w:tcW w:w="1559" w:type="dxa"/>
            <w:vAlign w:val="center"/>
          </w:tcPr>
          <w:p w14:paraId="4CB79D30">
            <w:pPr>
              <w:pStyle w:val="133"/>
            </w:pPr>
            <w:r>
              <w:t>≥99.5</w:t>
            </w:r>
          </w:p>
        </w:tc>
        <w:tc>
          <w:tcPr>
            <w:tcW w:w="2694" w:type="dxa"/>
            <w:vAlign w:val="center"/>
          </w:tcPr>
          <w:p w14:paraId="3B160AE9">
            <w:pPr>
              <w:pStyle w:val="133"/>
            </w:pPr>
            <w:r>
              <w:t>≥99.</w:t>
            </w:r>
            <w:r>
              <w:rPr>
                <w:rFonts w:hint="eastAsia"/>
              </w:rPr>
              <w:t>0</w:t>
            </w:r>
          </w:p>
        </w:tc>
        <w:tc>
          <w:tcPr>
            <w:tcW w:w="3402" w:type="dxa"/>
            <w:vAlign w:val="center"/>
          </w:tcPr>
          <w:p w14:paraId="57AD69A1">
            <w:pPr>
              <w:pStyle w:val="133"/>
            </w:pPr>
            <w:r>
              <w:rPr>
                <w:rFonts w:hint="eastAsia"/>
              </w:rPr>
              <w:t>不低于99.5%</w:t>
            </w:r>
          </w:p>
        </w:tc>
        <w:tc>
          <w:tcPr>
            <w:tcW w:w="1043" w:type="dxa"/>
            <w:vAlign w:val="center"/>
          </w:tcPr>
          <w:p w14:paraId="32BA2F4A">
            <w:pPr>
              <w:pStyle w:val="133"/>
            </w:pPr>
            <w:r>
              <w:rPr>
                <w:rFonts w:hint="eastAsia"/>
              </w:rPr>
              <w:t>二级</w:t>
            </w:r>
          </w:p>
        </w:tc>
      </w:tr>
      <w:tr w14:paraId="571981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restart"/>
            <w:vAlign w:val="center"/>
          </w:tcPr>
          <w:p w14:paraId="575A4489">
            <w:pPr>
              <w:pStyle w:val="133"/>
            </w:pPr>
            <w:r>
              <w:rPr>
                <w:rFonts w:hint="eastAsia"/>
              </w:rPr>
              <w:t>污染物排放控制</w:t>
            </w:r>
          </w:p>
        </w:tc>
        <w:tc>
          <w:tcPr>
            <w:tcW w:w="702" w:type="dxa"/>
            <w:vAlign w:val="center"/>
          </w:tcPr>
          <w:p w14:paraId="3D04336E">
            <w:pPr>
              <w:pStyle w:val="133"/>
            </w:pPr>
            <w:r>
              <w:rPr>
                <w:rFonts w:hint="eastAsia"/>
              </w:rPr>
              <w:t>1</w:t>
            </w:r>
          </w:p>
        </w:tc>
        <w:tc>
          <w:tcPr>
            <w:tcW w:w="1857" w:type="dxa"/>
            <w:vAlign w:val="center"/>
          </w:tcPr>
          <w:p w14:paraId="6535DFDF">
            <w:pPr>
              <w:pStyle w:val="133"/>
            </w:pPr>
            <w:r>
              <w:rPr>
                <w:rFonts w:hint="eastAsia"/>
              </w:rPr>
              <w:t>单位产品烟气产生量，万</w:t>
            </w:r>
            <w:r>
              <w:t>N</w:t>
            </w:r>
            <w:r>
              <w:rPr>
                <w:rFonts w:hint="eastAsia"/>
              </w:rPr>
              <w:t>m³</w:t>
            </w:r>
            <w:r>
              <w:t>/t</w:t>
            </w:r>
          </w:p>
        </w:tc>
        <w:tc>
          <w:tcPr>
            <w:tcW w:w="3129" w:type="dxa"/>
            <w:gridSpan w:val="3"/>
            <w:vAlign w:val="center"/>
          </w:tcPr>
          <w:p w14:paraId="5EDA50D7">
            <w:pPr>
              <w:pStyle w:val="133"/>
            </w:pPr>
            <w:r>
              <w:t>≤3.5（950KJ/N</w:t>
            </w:r>
            <w:r>
              <w:rPr>
                <w:rFonts w:hint="eastAsia"/>
              </w:rPr>
              <w:t>m³）</w:t>
            </w:r>
          </w:p>
        </w:tc>
        <w:tc>
          <w:tcPr>
            <w:tcW w:w="2694" w:type="dxa"/>
            <w:vAlign w:val="center"/>
          </w:tcPr>
          <w:p w14:paraId="785C3858">
            <w:pPr>
              <w:pStyle w:val="133"/>
            </w:pPr>
            <w:r>
              <w:t>≤4.0（800KJ/N</w:t>
            </w:r>
            <w:r>
              <w:rPr>
                <w:rFonts w:hint="eastAsia"/>
              </w:rPr>
              <w:t>m³）</w:t>
            </w:r>
          </w:p>
        </w:tc>
        <w:tc>
          <w:tcPr>
            <w:tcW w:w="3402" w:type="dxa"/>
            <w:vAlign w:val="center"/>
          </w:tcPr>
          <w:p w14:paraId="04EA8BEC">
            <w:pPr>
              <w:pStyle w:val="133"/>
            </w:pPr>
            <w:r>
              <w:rPr>
                <w:rFonts w:hint="eastAsia"/>
              </w:rPr>
              <w:t>2.80</w:t>
            </w:r>
          </w:p>
        </w:tc>
        <w:tc>
          <w:tcPr>
            <w:tcW w:w="1043" w:type="dxa"/>
            <w:vAlign w:val="center"/>
          </w:tcPr>
          <w:p w14:paraId="35068B44">
            <w:pPr>
              <w:pStyle w:val="133"/>
            </w:pPr>
            <w:r>
              <w:rPr>
                <w:rFonts w:hint="eastAsia"/>
              </w:rPr>
              <w:t>一级</w:t>
            </w:r>
          </w:p>
        </w:tc>
      </w:tr>
      <w:tr w14:paraId="1A1A17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0896587E">
            <w:pPr>
              <w:pStyle w:val="133"/>
            </w:pPr>
          </w:p>
        </w:tc>
        <w:tc>
          <w:tcPr>
            <w:tcW w:w="702" w:type="dxa"/>
            <w:vAlign w:val="center"/>
          </w:tcPr>
          <w:p w14:paraId="0ACD8F47">
            <w:pPr>
              <w:pStyle w:val="133"/>
            </w:pPr>
            <w:r>
              <w:rPr>
                <w:rFonts w:hint="eastAsia"/>
              </w:rPr>
              <w:t>2</w:t>
            </w:r>
          </w:p>
        </w:tc>
        <w:tc>
          <w:tcPr>
            <w:tcW w:w="1857" w:type="dxa"/>
            <w:vAlign w:val="center"/>
          </w:tcPr>
          <w:p w14:paraId="0AFE3E6F">
            <w:pPr>
              <w:pStyle w:val="133"/>
            </w:pPr>
            <w:r>
              <w:rPr>
                <w:rFonts w:hint="eastAsia"/>
              </w:rPr>
              <w:t>单位产品颗粒物排放量，</w:t>
            </w:r>
            <w:r>
              <w:t>kg/t</w:t>
            </w:r>
          </w:p>
        </w:tc>
        <w:tc>
          <w:tcPr>
            <w:tcW w:w="3129" w:type="dxa"/>
            <w:gridSpan w:val="3"/>
            <w:vAlign w:val="center"/>
          </w:tcPr>
          <w:p w14:paraId="56ADDF2C">
            <w:pPr>
              <w:pStyle w:val="133"/>
            </w:pPr>
            <w:r>
              <w:t>≤3.5</w:t>
            </w:r>
          </w:p>
        </w:tc>
        <w:tc>
          <w:tcPr>
            <w:tcW w:w="2694" w:type="dxa"/>
            <w:vAlign w:val="center"/>
          </w:tcPr>
          <w:p w14:paraId="67577353">
            <w:pPr>
              <w:pStyle w:val="133"/>
            </w:pPr>
            <w:r>
              <w:t>≤</w:t>
            </w:r>
            <w:r>
              <w:rPr>
                <w:rFonts w:hint="eastAsia"/>
              </w:rPr>
              <w:t>4</w:t>
            </w:r>
          </w:p>
        </w:tc>
        <w:tc>
          <w:tcPr>
            <w:tcW w:w="3402" w:type="dxa"/>
            <w:vAlign w:val="center"/>
          </w:tcPr>
          <w:p w14:paraId="20F016EA">
            <w:pPr>
              <w:pStyle w:val="133"/>
            </w:pPr>
            <w:r>
              <w:rPr>
                <w:rFonts w:hint="eastAsia"/>
              </w:rPr>
              <w:t>3.32</w:t>
            </w:r>
          </w:p>
        </w:tc>
        <w:tc>
          <w:tcPr>
            <w:tcW w:w="1043" w:type="dxa"/>
            <w:vAlign w:val="center"/>
          </w:tcPr>
          <w:p w14:paraId="35ABC7BB">
            <w:pPr>
              <w:pStyle w:val="133"/>
            </w:pPr>
            <w:r>
              <w:rPr>
                <w:rFonts w:hint="eastAsia"/>
              </w:rPr>
              <w:t>一级</w:t>
            </w:r>
          </w:p>
        </w:tc>
      </w:tr>
      <w:tr w14:paraId="11B05A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760AC094">
            <w:pPr>
              <w:pStyle w:val="133"/>
            </w:pPr>
          </w:p>
        </w:tc>
        <w:tc>
          <w:tcPr>
            <w:tcW w:w="702" w:type="dxa"/>
            <w:vAlign w:val="center"/>
          </w:tcPr>
          <w:p w14:paraId="158AD638">
            <w:pPr>
              <w:pStyle w:val="133"/>
            </w:pPr>
            <w:r>
              <w:rPr>
                <w:rFonts w:hint="eastAsia"/>
              </w:rPr>
              <w:t>3</w:t>
            </w:r>
          </w:p>
        </w:tc>
        <w:tc>
          <w:tcPr>
            <w:tcW w:w="1857" w:type="dxa"/>
            <w:vAlign w:val="center"/>
          </w:tcPr>
          <w:p w14:paraId="0A48DDEA">
            <w:pPr>
              <w:pStyle w:val="133"/>
            </w:pPr>
            <w:r>
              <w:rPr>
                <w:rFonts w:hint="eastAsia"/>
              </w:rPr>
              <w:t>单位产品废水排放量，m³</w:t>
            </w:r>
            <w:r>
              <w:t>/t</w:t>
            </w:r>
          </w:p>
        </w:tc>
        <w:tc>
          <w:tcPr>
            <w:tcW w:w="3129" w:type="dxa"/>
            <w:gridSpan w:val="3"/>
            <w:vAlign w:val="center"/>
          </w:tcPr>
          <w:p w14:paraId="28761CFF">
            <w:pPr>
              <w:pStyle w:val="133"/>
            </w:pPr>
            <w:r>
              <w:t>≤1.2</w:t>
            </w:r>
          </w:p>
        </w:tc>
        <w:tc>
          <w:tcPr>
            <w:tcW w:w="2694" w:type="dxa"/>
            <w:vAlign w:val="center"/>
          </w:tcPr>
          <w:p w14:paraId="564324F2">
            <w:pPr>
              <w:pStyle w:val="133"/>
            </w:pPr>
            <w:r>
              <w:t>≤1.</w:t>
            </w:r>
            <w:r>
              <w:rPr>
                <w:rFonts w:hint="eastAsia"/>
              </w:rPr>
              <w:t>5</w:t>
            </w:r>
          </w:p>
        </w:tc>
        <w:tc>
          <w:tcPr>
            <w:tcW w:w="3402" w:type="dxa"/>
            <w:vAlign w:val="center"/>
          </w:tcPr>
          <w:p w14:paraId="68ED4E99">
            <w:pPr>
              <w:pStyle w:val="133"/>
            </w:pPr>
            <w:r>
              <w:rPr>
                <w:rFonts w:hint="eastAsia"/>
              </w:rPr>
              <w:t>0</w:t>
            </w:r>
          </w:p>
        </w:tc>
        <w:tc>
          <w:tcPr>
            <w:tcW w:w="1043" w:type="dxa"/>
            <w:vAlign w:val="center"/>
          </w:tcPr>
          <w:p w14:paraId="72ED38FE">
            <w:pPr>
              <w:pStyle w:val="133"/>
            </w:pPr>
            <w:r>
              <w:rPr>
                <w:rFonts w:hint="eastAsia"/>
              </w:rPr>
              <w:t>一级</w:t>
            </w:r>
          </w:p>
        </w:tc>
      </w:tr>
      <w:tr w14:paraId="18171B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35859A96">
            <w:pPr>
              <w:pStyle w:val="133"/>
            </w:pPr>
          </w:p>
        </w:tc>
        <w:tc>
          <w:tcPr>
            <w:tcW w:w="702" w:type="dxa"/>
            <w:vAlign w:val="center"/>
          </w:tcPr>
          <w:p w14:paraId="61883911">
            <w:pPr>
              <w:pStyle w:val="133"/>
            </w:pPr>
            <w:r>
              <w:rPr>
                <w:rFonts w:hint="eastAsia"/>
              </w:rPr>
              <w:t>4</w:t>
            </w:r>
          </w:p>
        </w:tc>
        <w:tc>
          <w:tcPr>
            <w:tcW w:w="1857" w:type="dxa"/>
            <w:vAlign w:val="center"/>
          </w:tcPr>
          <w:p w14:paraId="42023371">
            <w:pPr>
              <w:pStyle w:val="133"/>
            </w:pPr>
            <w:r>
              <w:rPr>
                <w:rFonts w:hint="eastAsia"/>
              </w:rPr>
              <w:t>单位产品化学需氧量排放量，</w:t>
            </w:r>
            <w:r>
              <w:t>kg/t</w:t>
            </w:r>
          </w:p>
        </w:tc>
        <w:tc>
          <w:tcPr>
            <w:tcW w:w="3129" w:type="dxa"/>
            <w:gridSpan w:val="3"/>
            <w:vAlign w:val="center"/>
          </w:tcPr>
          <w:p w14:paraId="697C4FF6">
            <w:pPr>
              <w:pStyle w:val="133"/>
            </w:pPr>
            <w:r>
              <w:t>≤</w:t>
            </w:r>
            <w:r>
              <w:rPr>
                <w:rFonts w:hint="eastAsia"/>
              </w:rPr>
              <w:t>0.12</w:t>
            </w:r>
          </w:p>
        </w:tc>
        <w:tc>
          <w:tcPr>
            <w:tcW w:w="2694" w:type="dxa"/>
            <w:vAlign w:val="center"/>
          </w:tcPr>
          <w:p w14:paraId="61148F5E">
            <w:pPr>
              <w:pStyle w:val="133"/>
            </w:pPr>
            <w:r>
              <w:t>≤</w:t>
            </w:r>
            <w:r>
              <w:rPr>
                <w:rFonts w:hint="eastAsia"/>
              </w:rPr>
              <w:t>0.30</w:t>
            </w:r>
          </w:p>
        </w:tc>
        <w:tc>
          <w:tcPr>
            <w:tcW w:w="3402" w:type="dxa"/>
            <w:vAlign w:val="center"/>
          </w:tcPr>
          <w:p w14:paraId="6CCD04C7">
            <w:pPr>
              <w:pStyle w:val="133"/>
            </w:pPr>
            <w:r>
              <w:rPr>
                <w:rFonts w:hint="eastAsia"/>
              </w:rPr>
              <w:t>0</w:t>
            </w:r>
          </w:p>
        </w:tc>
        <w:tc>
          <w:tcPr>
            <w:tcW w:w="1043" w:type="dxa"/>
            <w:vAlign w:val="center"/>
          </w:tcPr>
          <w:p w14:paraId="103D3B42">
            <w:pPr>
              <w:pStyle w:val="133"/>
            </w:pPr>
            <w:r>
              <w:rPr>
                <w:rFonts w:hint="eastAsia"/>
              </w:rPr>
              <w:t>一级</w:t>
            </w:r>
          </w:p>
        </w:tc>
      </w:tr>
      <w:tr w14:paraId="412D3F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497E7DDC">
            <w:pPr>
              <w:pStyle w:val="133"/>
            </w:pPr>
          </w:p>
        </w:tc>
        <w:tc>
          <w:tcPr>
            <w:tcW w:w="702" w:type="dxa"/>
            <w:vAlign w:val="center"/>
          </w:tcPr>
          <w:p w14:paraId="14AF3F8F">
            <w:pPr>
              <w:pStyle w:val="133"/>
            </w:pPr>
            <w:r>
              <w:rPr>
                <w:rFonts w:hint="eastAsia"/>
              </w:rPr>
              <w:t>5</w:t>
            </w:r>
          </w:p>
        </w:tc>
        <w:tc>
          <w:tcPr>
            <w:tcW w:w="1857" w:type="dxa"/>
            <w:vAlign w:val="center"/>
          </w:tcPr>
          <w:p w14:paraId="2226143D">
            <w:pPr>
              <w:pStyle w:val="133"/>
            </w:pPr>
            <w:r>
              <w:rPr>
                <w:rFonts w:hint="eastAsia"/>
              </w:rPr>
              <w:t>单位产品氨氮排放量，</w:t>
            </w:r>
            <w:r>
              <w:t>kg/t</w:t>
            </w:r>
          </w:p>
        </w:tc>
        <w:tc>
          <w:tcPr>
            <w:tcW w:w="3129" w:type="dxa"/>
            <w:gridSpan w:val="3"/>
            <w:vAlign w:val="center"/>
          </w:tcPr>
          <w:p w14:paraId="29E31FFC">
            <w:pPr>
              <w:pStyle w:val="133"/>
            </w:pPr>
            <w:r>
              <w:t>≤</w:t>
            </w:r>
            <w:r>
              <w:rPr>
                <w:rFonts w:hint="eastAsia"/>
              </w:rPr>
              <w:t>0.02</w:t>
            </w:r>
          </w:p>
        </w:tc>
        <w:tc>
          <w:tcPr>
            <w:tcW w:w="2694" w:type="dxa"/>
            <w:vAlign w:val="center"/>
          </w:tcPr>
          <w:p w14:paraId="094EC664">
            <w:pPr>
              <w:pStyle w:val="133"/>
            </w:pPr>
            <w:r>
              <w:t>≤</w:t>
            </w:r>
            <w:r>
              <w:rPr>
                <w:rFonts w:hint="eastAsia"/>
              </w:rPr>
              <w:t>0.03</w:t>
            </w:r>
          </w:p>
        </w:tc>
        <w:tc>
          <w:tcPr>
            <w:tcW w:w="3402" w:type="dxa"/>
            <w:vAlign w:val="center"/>
          </w:tcPr>
          <w:p w14:paraId="2E1D9484">
            <w:pPr>
              <w:pStyle w:val="133"/>
            </w:pPr>
            <w:r>
              <w:rPr>
                <w:rFonts w:hint="eastAsia"/>
              </w:rPr>
              <w:t>0</w:t>
            </w:r>
          </w:p>
        </w:tc>
        <w:tc>
          <w:tcPr>
            <w:tcW w:w="1043" w:type="dxa"/>
            <w:vAlign w:val="center"/>
          </w:tcPr>
          <w:p w14:paraId="3FD7498B">
            <w:pPr>
              <w:pStyle w:val="133"/>
            </w:pPr>
            <w:r>
              <w:rPr>
                <w:rFonts w:hint="eastAsia"/>
              </w:rPr>
              <w:t>一级</w:t>
            </w:r>
          </w:p>
        </w:tc>
      </w:tr>
      <w:tr w14:paraId="1800AB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restart"/>
            <w:vAlign w:val="center"/>
          </w:tcPr>
          <w:p w14:paraId="7FDD677A">
            <w:pPr>
              <w:pStyle w:val="133"/>
            </w:pPr>
            <w:r>
              <w:rPr>
                <w:rFonts w:hint="eastAsia"/>
              </w:rPr>
              <w:t>资源综合利用</w:t>
            </w:r>
          </w:p>
        </w:tc>
        <w:tc>
          <w:tcPr>
            <w:tcW w:w="702" w:type="dxa"/>
            <w:vAlign w:val="center"/>
          </w:tcPr>
          <w:p w14:paraId="6BD7B41F">
            <w:pPr>
              <w:pStyle w:val="133"/>
            </w:pPr>
            <w:r>
              <w:rPr>
                <w:rFonts w:hint="eastAsia"/>
              </w:rPr>
              <w:t>1</w:t>
            </w:r>
          </w:p>
        </w:tc>
        <w:tc>
          <w:tcPr>
            <w:tcW w:w="1857" w:type="dxa"/>
            <w:vAlign w:val="center"/>
          </w:tcPr>
          <w:p w14:paraId="4D25EC64">
            <w:pPr>
              <w:pStyle w:val="133"/>
            </w:pPr>
            <w:r>
              <w:rPr>
                <w:rFonts w:hint="eastAsia"/>
              </w:rPr>
              <w:t>水重复利用率，</w:t>
            </w:r>
            <w:r>
              <w:t>%</w:t>
            </w:r>
          </w:p>
        </w:tc>
        <w:tc>
          <w:tcPr>
            <w:tcW w:w="1570" w:type="dxa"/>
            <w:gridSpan w:val="2"/>
            <w:vAlign w:val="center"/>
          </w:tcPr>
          <w:p w14:paraId="42EA9E28">
            <w:pPr>
              <w:pStyle w:val="133"/>
            </w:pPr>
            <w:r>
              <w:t>≥97</w:t>
            </w:r>
          </w:p>
        </w:tc>
        <w:tc>
          <w:tcPr>
            <w:tcW w:w="1559" w:type="dxa"/>
            <w:vAlign w:val="center"/>
          </w:tcPr>
          <w:p w14:paraId="3DC2389A">
            <w:pPr>
              <w:pStyle w:val="133"/>
            </w:pPr>
            <w:r>
              <w:t>≥9</w:t>
            </w:r>
            <w:r>
              <w:rPr>
                <w:rFonts w:hint="eastAsia"/>
              </w:rPr>
              <w:t>5</w:t>
            </w:r>
          </w:p>
        </w:tc>
        <w:tc>
          <w:tcPr>
            <w:tcW w:w="2694" w:type="dxa"/>
            <w:vAlign w:val="center"/>
          </w:tcPr>
          <w:p w14:paraId="5F023E24">
            <w:pPr>
              <w:pStyle w:val="133"/>
            </w:pPr>
            <w:r>
              <w:t>≥9</w:t>
            </w:r>
            <w:r>
              <w:rPr>
                <w:rFonts w:hint="eastAsia"/>
              </w:rPr>
              <w:t>2</w:t>
            </w:r>
          </w:p>
        </w:tc>
        <w:tc>
          <w:tcPr>
            <w:tcW w:w="3402" w:type="dxa"/>
            <w:vAlign w:val="center"/>
          </w:tcPr>
          <w:p w14:paraId="7416CEE1">
            <w:pPr>
              <w:pStyle w:val="133"/>
            </w:pPr>
            <w:r>
              <w:rPr>
                <w:rFonts w:hint="eastAsia"/>
              </w:rPr>
              <w:t>98.98</w:t>
            </w:r>
          </w:p>
        </w:tc>
        <w:tc>
          <w:tcPr>
            <w:tcW w:w="1043" w:type="dxa"/>
            <w:vAlign w:val="center"/>
          </w:tcPr>
          <w:p w14:paraId="2A0B8BD8">
            <w:pPr>
              <w:pStyle w:val="133"/>
            </w:pPr>
            <w:r>
              <w:rPr>
                <w:rFonts w:hint="eastAsia"/>
              </w:rPr>
              <w:t>一级</w:t>
            </w:r>
          </w:p>
        </w:tc>
      </w:tr>
      <w:tr w14:paraId="4E62C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6CD03707">
            <w:pPr>
              <w:pStyle w:val="133"/>
            </w:pPr>
          </w:p>
        </w:tc>
        <w:tc>
          <w:tcPr>
            <w:tcW w:w="702" w:type="dxa"/>
            <w:vAlign w:val="center"/>
          </w:tcPr>
          <w:p w14:paraId="0ADBED86">
            <w:pPr>
              <w:pStyle w:val="133"/>
            </w:pPr>
            <w:r>
              <w:rPr>
                <w:rFonts w:hint="eastAsia"/>
              </w:rPr>
              <w:t>2</w:t>
            </w:r>
          </w:p>
        </w:tc>
        <w:tc>
          <w:tcPr>
            <w:tcW w:w="1857" w:type="dxa"/>
            <w:vAlign w:val="center"/>
          </w:tcPr>
          <w:p w14:paraId="3233E966">
            <w:pPr>
              <w:pStyle w:val="133"/>
            </w:pPr>
            <w:r>
              <w:rPr>
                <w:rFonts w:hint="eastAsia"/>
              </w:rPr>
              <w:t>硅渣利用率，</w:t>
            </w:r>
            <w:r>
              <w:t>%</w:t>
            </w:r>
          </w:p>
        </w:tc>
        <w:tc>
          <w:tcPr>
            <w:tcW w:w="5823" w:type="dxa"/>
            <w:gridSpan w:val="4"/>
            <w:vAlign w:val="center"/>
          </w:tcPr>
          <w:p w14:paraId="0C8DBEFB">
            <w:pPr>
              <w:pStyle w:val="133"/>
            </w:pPr>
            <w:r>
              <w:rPr>
                <w:rFonts w:hint="eastAsia"/>
              </w:rPr>
              <w:t>100</w:t>
            </w:r>
          </w:p>
        </w:tc>
        <w:tc>
          <w:tcPr>
            <w:tcW w:w="3402" w:type="dxa"/>
            <w:vAlign w:val="center"/>
          </w:tcPr>
          <w:p w14:paraId="34E45D41">
            <w:pPr>
              <w:pStyle w:val="133"/>
            </w:pPr>
            <w:r>
              <w:rPr>
                <w:rFonts w:hint="eastAsia"/>
              </w:rPr>
              <w:t>100</w:t>
            </w:r>
          </w:p>
        </w:tc>
        <w:tc>
          <w:tcPr>
            <w:tcW w:w="1043" w:type="dxa"/>
            <w:vAlign w:val="center"/>
          </w:tcPr>
          <w:p w14:paraId="37DA57B0">
            <w:pPr>
              <w:pStyle w:val="133"/>
            </w:pPr>
            <w:r>
              <w:rPr>
                <w:rFonts w:hint="eastAsia"/>
              </w:rPr>
              <w:t>一级</w:t>
            </w:r>
          </w:p>
        </w:tc>
      </w:tr>
      <w:tr w14:paraId="483AE7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1" w:type="dxa"/>
            <w:vMerge w:val="continue"/>
            <w:vAlign w:val="center"/>
          </w:tcPr>
          <w:p w14:paraId="3DDD86BF">
            <w:pPr>
              <w:pStyle w:val="133"/>
            </w:pPr>
          </w:p>
        </w:tc>
        <w:tc>
          <w:tcPr>
            <w:tcW w:w="702" w:type="dxa"/>
            <w:vAlign w:val="center"/>
          </w:tcPr>
          <w:p w14:paraId="76871624">
            <w:pPr>
              <w:pStyle w:val="133"/>
            </w:pPr>
            <w:r>
              <w:rPr>
                <w:rFonts w:hint="eastAsia"/>
              </w:rPr>
              <w:t>3</w:t>
            </w:r>
          </w:p>
        </w:tc>
        <w:tc>
          <w:tcPr>
            <w:tcW w:w="1857" w:type="dxa"/>
            <w:vAlign w:val="center"/>
          </w:tcPr>
          <w:p w14:paraId="37694B3B">
            <w:pPr>
              <w:pStyle w:val="133"/>
            </w:pPr>
            <w:r>
              <w:rPr>
                <w:rFonts w:hint="eastAsia"/>
              </w:rPr>
              <w:t>微硅粉回收利用率，</w:t>
            </w:r>
            <w:r>
              <w:t>%</w:t>
            </w:r>
          </w:p>
        </w:tc>
        <w:tc>
          <w:tcPr>
            <w:tcW w:w="5823" w:type="dxa"/>
            <w:gridSpan w:val="4"/>
            <w:vAlign w:val="center"/>
          </w:tcPr>
          <w:p w14:paraId="5D77DC7D">
            <w:pPr>
              <w:pStyle w:val="133"/>
            </w:pPr>
            <w:r>
              <w:rPr>
                <w:rFonts w:hint="eastAsia"/>
              </w:rPr>
              <w:t>100</w:t>
            </w:r>
          </w:p>
        </w:tc>
        <w:tc>
          <w:tcPr>
            <w:tcW w:w="3402" w:type="dxa"/>
            <w:vAlign w:val="center"/>
          </w:tcPr>
          <w:p w14:paraId="5A52A13E">
            <w:pPr>
              <w:pStyle w:val="133"/>
            </w:pPr>
            <w:r>
              <w:rPr>
                <w:rFonts w:hint="eastAsia"/>
              </w:rPr>
              <w:t>100</w:t>
            </w:r>
          </w:p>
        </w:tc>
        <w:tc>
          <w:tcPr>
            <w:tcW w:w="1043" w:type="dxa"/>
            <w:vAlign w:val="center"/>
          </w:tcPr>
          <w:p w14:paraId="2F00AEB3">
            <w:pPr>
              <w:pStyle w:val="133"/>
            </w:pPr>
            <w:r>
              <w:rPr>
                <w:rFonts w:hint="eastAsia"/>
              </w:rPr>
              <w:t>一级</w:t>
            </w:r>
          </w:p>
        </w:tc>
      </w:tr>
      <w:tr w14:paraId="65F7CE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928" w:type="dxa"/>
            <w:gridSpan w:val="9"/>
            <w:vAlign w:val="center"/>
          </w:tcPr>
          <w:p w14:paraId="16CD886F">
            <w:pPr>
              <w:pStyle w:val="133"/>
            </w:pPr>
            <w:r>
              <w:rPr>
                <w:rFonts w:hint="eastAsia"/>
              </w:rPr>
              <w:t>注：</w:t>
            </w:r>
            <w:r>
              <w:t>1</w:t>
            </w:r>
            <w:r>
              <w:rPr>
                <w:rFonts w:hint="eastAsia"/>
              </w:rPr>
              <w:t>．硅铁产品标准执行</w:t>
            </w:r>
            <w:r>
              <w:t>GB/T2272</w:t>
            </w:r>
            <w:r>
              <w:rPr>
                <w:rFonts w:hint="eastAsia"/>
              </w:rPr>
              <w:t>。</w:t>
            </w:r>
            <w:r>
              <w:t>2</w:t>
            </w:r>
            <w:r>
              <w:rPr>
                <w:rFonts w:hint="eastAsia"/>
              </w:rPr>
              <w:t>．硅铁产品实物量以硅含量</w:t>
            </w:r>
            <w:r>
              <w:t>75%</w:t>
            </w:r>
            <w:r>
              <w:rPr>
                <w:rFonts w:hint="eastAsia"/>
              </w:rPr>
              <w:t>为基准折合成基准吨，然后以基准吨为基础再折算单位产品能耗、物耗。</w:t>
            </w:r>
            <w:r>
              <w:t>3</w:t>
            </w:r>
            <w:r>
              <w:rPr>
                <w:rFonts w:hint="eastAsia"/>
              </w:rPr>
              <w:t>．硅铁生产采用干法除尘。4.在执行电炉自然功率因数指标时，当电炉容量与本表所列不一致时，可就近靠本表所列电炉容量，执行相应标准值；</w:t>
            </w:r>
            <w:r>
              <w:t>a</w:t>
            </w:r>
            <w:r>
              <w:rPr>
                <w:rFonts w:hint="eastAsia"/>
              </w:rPr>
              <w:t>．综合能耗计算过程中电力折合标煤按当量热值折算，取折标系数</w:t>
            </w:r>
            <w:r>
              <w:t>0.1229kg/（kW·h）</w:t>
            </w:r>
            <w:r>
              <w:rPr>
                <w:rFonts w:hint="eastAsia"/>
              </w:rPr>
              <w:t>。</w:t>
            </w:r>
          </w:p>
        </w:tc>
      </w:tr>
    </w:tbl>
    <w:p w14:paraId="6EBA364D">
      <w:pPr>
        <w:pStyle w:val="133"/>
      </w:pPr>
    </w:p>
    <w:p w14:paraId="78C22972">
      <w:pPr>
        <w:pStyle w:val="133"/>
        <w:sectPr>
          <w:pgSz w:w="16838" w:h="11906" w:orient="landscape"/>
          <w:pgMar w:top="1800" w:right="1440" w:bottom="1800" w:left="1440" w:header="851" w:footer="992" w:gutter="0"/>
          <w:cols w:space="425" w:num="1"/>
          <w:docGrid w:type="lines" w:linePitch="326" w:charSpace="0"/>
        </w:sectPr>
      </w:pPr>
    </w:p>
    <w:p w14:paraId="4BBCF5D2">
      <w:pPr>
        <w:pStyle w:val="118"/>
      </w:pPr>
      <w:r>
        <w:rPr>
          <w:rFonts w:hint="eastAsia"/>
        </w:rPr>
        <w:t>表2.11-5  硅铁生产线与清洁生产管理评价指标体系技术要求对比分析表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50"/>
        <w:gridCol w:w="434"/>
        <w:gridCol w:w="1154"/>
        <w:gridCol w:w="2886"/>
        <w:gridCol w:w="2741"/>
        <w:gridCol w:w="2296"/>
        <w:gridCol w:w="2614"/>
        <w:gridCol w:w="1199"/>
      </w:tblGrid>
      <w:tr w14:paraId="0815ED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300" w:type="pct"/>
            <w:vAlign w:val="center"/>
          </w:tcPr>
          <w:p w14:paraId="2B2F596C">
            <w:pPr>
              <w:pStyle w:val="133"/>
              <w:rPr>
                <w:b/>
                <w:bCs/>
                <w:szCs w:val="21"/>
              </w:rPr>
            </w:pPr>
            <w:r>
              <w:rPr>
                <w:rFonts w:hint="eastAsia"/>
                <w:b/>
                <w:bCs/>
                <w:szCs w:val="21"/>
              </w:rPr>
              <w:t>一级指标</w:t>
            </w:r>
          </w:p>
        </w:tc>
        <w:tc>
          <w:tcPr>
            <w:tcW w:w="4700" w:type="pct"/>
            <w:gridSpan w:val="7"/>
            <w:vAlign w:val="center"/>
          </w:tcPr>
          <w:p w14:paraId="52865FCC">
            <w:pPr>
              <w:pStyle w:val="133"/>
              <w:rPr>
                <w:b/>
                <w:bCs/>
                <w:szCs w:val="21"/>
              </w:rPr>
            </w:pPr>
            <w:r>
              <w:rPr>
                <w:rFonts w:hint="eastAsia"/>
                <w:b/>
                <w:bCs/>
                <w:szCs w:val="21"/>
              </w:rPr>
              <w:t>二级指标</w:t>
            </w:r>
          </w:p>
        </w:tc>
      </w:tr>
      <w:tr w14:paraId="253752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Align w:val="center"/>
          </w:tcPr>
          <w:p w14:paraId="4C48F447">
            <w:pPr>
              <w:pStyle w:val="133"/>
              <w:rPr>
                <w:szCs w:val="21"/>
              </w:rPr>
            </w:pPr>
            <w:r>
              <w:rPr>
                <w:rFonts w:hint="eastAsia"/>
                <w:szCs w:val="21"/>
              </w:rPr>
              <w:t>指标项</w:t>
            </w:r>
          </w:p>
        </w:tc>
        <w:tc>
          <w:tcPr>
            <w:tcW w:w="153" w:type="pct"/>
            <w:vAlign w:val="center"/>
          </w:tcPr>
          <w:p w14:paraId="25D01EA3">
            <w:pPr>
              <w:pStyle w:val="133"/>
              <w:rPr>
                <w:szCs w:val="21"/>
              </w:rPr>
            </w:pPr>
            <w:r>
              <w:rPr>
                <w:rFonts w:hint="eastAsia"/>
                <w:szCs w:val="21"/>
              </w:rPr>
              <w:t>序号</w:t>
            </w:r>
          </w:p>
        </w:tc>
        <w:tc>
          <w:tcPr>
            <w:tcW w:w="407" w:type="pct"/>
            <w:vAlign w:val="center"/>
          </w:tcPr>
          <w:p w14:paraId="3C341AB2">
            <w:pPr>
              <w:pStyle w:val="133"/>
              <w:rPr>
                <w:szCs w:val="21"/>
              </w:rPr>
            </w:pPr>
            <w:r>
              <w:rPr>
                <w:rFonts w:hint="eastAsia"/>
                <w:szCs w:val="21"/>
              </w:rPr>
              <w:t>指标项</w:t>
            </w:r>
          </w:p>
        </w:tc>
        <w:tc>
          <w:tcPr>
            <w:tcW w:w="1018" w:type="pct"/>
            <w:vAlign w:val="center"/>
          </w:tcPr>
          <w:p w14:paraId="35F10372">
            <w:pPr>
              <w:pStyle w:val="133"/>
              <w:rPr>
                <w:szCs w:val="21"/>
              </w:rPr>
            </w:pPr>
            <w:r>
              <w:rPr>
                <w:rFonts w:hint="eastAsia" w:ascii="宋体" w:hAnsi="宋体"/>
                <w:szCs w:val="21"/>
              </w:rPr>
              <w:t>Ⅰ</w:t>
            </w:r>
            <w:r>
              <w:rPr>
                <w:rFonts w:hint="eastAsia"/>
                <w:szCs w:val="21"/>
              </w:rPr>
              <w:t>级基准值</w:t>
            </w:r>
          </w:p>
        </w:tc>
        <w:tc>
          <w:tcPr>
            <w:tcW w:w="967" w:type="pct"/>
            <w:vAlign w:val="center"/>
          </w:tcPr>
          <w:p w14:paraId="7A1DEBA6">
            <w:pPr>
              <w:pStyle w:val="133"/>
              <w:rPr>
                <w:szCs w:val="21"/>
              </w:rPr>
            </w:pPr>
            <w:r>
              <w:rPr>
                <w:rFonts w:hint="eastAsia" w:ascii="宋体" w:hAnsi="宋体"/>
                <w:szCs w:val="21"/>
              </w:rPr>
              <w:t>Ⅱ</w:t>
            </w:r>
            <w:r>
              <w:rPr>
                <w:rFonts w:hint="eastAsia"/>
                <w:szCs w:val="21"/>
              </w:rPr>
              <w:t>级基准值</w:t>
            </w:r>
          </w:p>
        </w:tc>
        <w:tc>
          <w:tcPr>
            <w:tcW w:w="810" w:type="pct"/>
            <w:vAlign w:val="center"/>
          </w:tcPr>
          <w:p w14:paraId="68E64B32">
            <w:pPr>
              <w:pStyle w:val="133"/>
              <w:rPr>
                <w:szCs w:val="21"/>
              </w:rPr>
            </w:pPr>
            <w:r>
              <w:rPr>
                <w:rFonts w:hint="eastAsia" w:ascii="宋体" w:hAnsi="宋体"/>
                <w:szCs w:val="21"/>
              </w:rPr>
              <w:t>Ⅲ</w:t>
            </w:r>
            <w:r>
              <w:rPr>
                <w:rFonts w:hint="eastAsia"/>
                <w:szCs w:val="21"/>
              </w:rPr>
              <w:t>级基准值</w:t>
            </w:r>
          </w:p>
        </w:tc>
        <w:tc>
          <w:tcPr>
            <w:tcW w:w="922" w:type="pct"/>
            <w:tcBorders>
              <w:right w:val="single" w:color="auto" w:sz="4" w:space="0"/>
            </w:tcBorders>
            <w:vAlign w:val="center"/>
          </w:tcPr>
          <w:p w14:paraId="65DF9BCC">
            <w:pPr>
              <w:pStyle w:val="133"/>
              <w:rPr>
                <w:szCs w:val="21"/>
              </w:rPr>
            </w:pPr>
            <w:r>
              <w:rPr>
                <w:rFonts w:hint="eastAsia"/>
                <w:szCs w:val="21"/>
              </w:rPr>
              <w:t>本项目分析</w:t>
            </w:r>
          </w:p>
        </w:tc>
        <w:tc>
          <w:tcPr>
            <w:tcW w:w="423" w:type="pct"/>
            <w:tcBorders>
              <w:left w:val="single" w:color="auto" w:sz="4" w:space="0"/>
            </w:tcBorders>
            <w:vAlign w:val="center"/>
          </w:tcPr>
          <w:p w14:paraId="4E68CAC2">
            <w:pPr>
              <w:pStyle w:val="133"/>
              <w:rPr>
                <w:szCs w:val="21"/>
              </w:rPr>
            </w:pPr>
            <w:r>
              <w:rPr>
                <w:rFonts w:hint="eastAsia"/>
                <w:szCs w:val="21"/>
              </w:rPr>
              <w:t>本项目指标等级</w:t>
            </w:r>
          </w:p>
        </w:tc>
      </w:tr>
      <w:tr w14:paraId="1BB1C6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restart"/>
            <w:vAlign w:val="center"/>
          </w:tcPr>
          <w:p w14:paraId="566B0398">
            <w:pPr>
              <w:pStyle w:val="133"/>
              <w:rPr>
                <w:szCs w:val="21"/>
              </w:rPr>
            </w:pPr>
            <w:r>
              <w:rPr>
                <w:rFonts w:hint="eastAsia"/>
                <w:szCs w:val="21"/>
              </w:rPr>
              <w:t>清洁生产管理</w:t>
            </w:r>
          </w:p>
        </w:tc>
        <w:tc>
          <w:tcPr>
            <w:tcW w:w="153" w:type="pct"/>
            <w:vAlign w:val="center"/>
          </w:tcPr>
          <w:p w14:paraId="6275D521">
            <w:pPr>
              <w:pStyle w:val="133"/>
              <w:rPr>
                <w:szCs w:val="21"/>
              </w:rPr>
            </w:pPr>
            <w:r>
              <w:rPr>
                <w:rFonts w:hint="eastAsia"/>
                <w:szCs w:val="21"/>
              </w:rPr>
              <w:t>1</w:t>
            </w:r>
          </w:p>
        </w:tc>
        <w:tc>
          <w:tcPr>
            <w:tcW w:w="407" w:type="pct"/>
            <w:vAlign w:val="center"/>
          </w:tcPr>
          <w:p w14:paraId="5D7E36F1">
            <w:pPr>
              <w:pStyle w:val="133"/>
              <w:rPr>
                <w:szCs w:val="21"/>
              </w:rPr>
            </w:pPr>
            <w:r>
              <w:rPr>
                <w:rFonts w:hint="eastAsia"/>
                <w:szCs w:val="21"/>
              </w:rPr>
              <w:t>产业政策符合性</w:t>
            </w:r>
          </w:p>
        </w:tc>
        <w:tc>
          <w:tcPr>
            <w:tcW w:w="2795" w:type="pct"/>
            <w:gridSpan w:val="3"/>
            <w:vAlign w:val="center"/>
          </w:tcPr>
          <w:p w14:paraId="4E0EA13A">
            <w:pPr>
              <w:pStyle w:val="133"/>
              <w:rPr>
                <w:szCs w:val="21"/>
              </w:rPr>
            </w:pPr>
            <w:r>
              <w:rPr>
                <w:rFonts w:hint="eastAsia"/>
                <w:szCs w:val="21"/>
              </w:rPr>
              <w:t>未采用国家明令禁止和淘汰的生产工艺、装备</w:t>
            </w:r>
          </w:p>
        </w:tc>
        <w:tc>
          <w:tcPr>
            <w:tcW w:w="922" w:type="pct"/>
            <w:tcBorders>
              <w:right w:val="single" w:color="auto" w:sz="4" w:space="0"/>
            </w:tcBorders>
            <w:vAlign w:val="center"/>
          </w:tcPr>
          <w:p w14:paraId="224C1A92">
            <w:pPr>
              <w:pStyle w:val="133"/>
              <w:rPr>
                <w:szCs w:val="21"/>
              </w:rPr>
            </w:pPr>
            <w:r>
              <w:rPr>
                <w:rFonts w:hint="eastAsia"/>
                <w:szCs w:val="21"/>
              </w:rPr>
              <w:t>符合</w:t>
            </w:r>
          </w:p>
        </w:tc>
        <w:tc>
          <w:tcPr>
            <w:tcW w:w="423" w:type="pct"/>
            <w:tcBorders>
              <w:left w:val="single" w:color="auto" w:sz="4" w:space="0"/>
            </w:tcBorders>
            <w:vAlign w:val="center"/>
          </w:tcPr>
          <w:p w14:paraId="5CA4071D">
            <w:pPr>
              <w:pStyle w:val="133"/>
              <w:rPr>
                <w:szCs w:val="21"/>
              </w:rPr>
            </w:pPr>
            <w:r>
              <w:rPr>
                <w:rFonts w:hint="eastAsia"/>
                <w:szCs w:val="21"/>
              </w:rPr>
              <w:t>一级</w:t>
            </w:r>
          </w:p>
        </w:tc>
      </w:tr>
      <w:tr w14:paraId="1CC9BC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0E1C6DA5">
            <w:pPr>
              <w:pStyle w:val="133"/>
              <w:rPr>
                <w:szCs w:val="21"/>
              </w:rPr>
            </w:pPr>
          </w:p>
        </w:tc>
        <w:tc>
          <w:tcPr>
            <w:tcW w:w="153" w:type="pct"/>
            <w:vAlign w:val="center"/>
          </w:tcPr>
          <w:p w14:paraId="73A6FDCC">
            <w:pPr>
              <w:pStyle w:val="133"/>
              <w:rPr>
                <w:szCs w:val="21"/>
              </w:rPr>
            </w:pPr>
            <w:r>
              <w:rPr>
                <w:rFonts w:hint="eastAsia"/>
                <w:szCs w:val="21"/>
              </w:rPr>
              <w:t>2</w:t>
            </w:r>
          </w:p>
        </w:tc>
        <w:tc>
          <w:tcPr>
            <w:tcW w:w="407" w:type="pct"/>
            <w:vAlign w:val="center"/>
          </w:tcPr>
          <w:p w14:paraId="6863776A">
            <w:pPr>
              <w:pStyle w:val="133"/>
              <w:rPr>
                <w:szCs w:val="21"/>
              </w:rPr>
            </w:pPr>
            <w:r>
              <w:rPr>
                <w:rFonts w:hint="eastAsia"/>
                <w:szCs w:val="21"/>
              </w:rPr>
              <w:t>达标排放</w:t>
            </w:r>
          </w:p>
        </w:tc>
        <w:tc>
          <w:tcPr>
            <w:tcW w:w="2795" w:type="pct"/>
            <w:gridSpan w:val="3"/>
            <w:vAlign w:val="center"/>
          </w:tcPr>
          <w:p w14:paraId="4AE90489">
            <w:pPr>
              <w:pStyle w:val="133"/>
              <w:rPr>
                <w:szCs w:val="21"/>
              </w:rPr>
            </w:pPr>
            <w:r>
              <w:rPr>
                <w:rFonts w:hint="eastAsia"/>
                <w:szCs w:val="21"/>
              </w:rPr>
              <w:t>污染物排放满足国家及地方政府相关规定要求</w:t>
            </w:r>
          </w:p>
        </w:tc>
        <w:tc>
          <w:tcPr>
            <w:tcW w:w="922" w:type="pct"/>
            <w:tcBorders>
              <w:right w:val="single" w:color="auto" w:sz="4" w:space="0"/>
            </w:tcBorders>
            <w:vAlign w:val="center"/>
          </w:tcPr>
          <w:p w14:paraId="685FCC3E">
            <w:pPr>
              <w:pStyle w:val="133"/>
              <w:rPr>
                <w:szCs w:val="21"/>
              </w:rPr>
            </w:pPr>
            <w:r>
              <w:rPr>
                <w:rFonts w:hint="eastAsia"/>
                <w:szCs w:val="21"/>
              </w:rPr>
              <w:t>达标排放</w:t>
            </w:r>
          </w:p>
        </w:tc>
        <w:tc>
          <w:tcPr>
            <w:tcW w:w="423" w:type="pct"/>
            <w:tcBorders>
              <w:left w:val="single" w:color="auto" w:sz="4" w:space="0"/>
            </w:tcBorders>
            <w:vAlign w:val="center"/>
          </w:tcPr>
          <w:p w14:paraId="3E2B4383">
            <w:pPr>
              <w:pStyle w:val="133"/>
              <w:rPr>
                <w:szCs w:val="21"/>
              </w:rPr>
            </w:pPr>
            <w:r>
              <w:rPr>
                <w:rFonts w:hint="eastAsia"/>
                <w:szCs w:val="21"/>
              </w:rPr>
              <w:t>一级</w:t>
            </w:r>
          </w:p>
        </w:tc>
      </w:tr>
      <w:tr w14:paraId="1CA958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023F1E4E">
            <w:pPr>
              <w:pStyle w:val="133"/>
              <w:rPr>
                <w:szCs w:val="21"/>
              </w:rPr>
            </w:pPr>
          </w:p>
        </w:tc>
        <w:tc>
          <w:tcPr>
            <w:tcW w:w="153" w:type="pct"/>
            <w:vAlign w:val="center"/>
          </w:tcPr>
          <w:p w14:paraId="4A7A4DEF">
            <w:pPr>
              <w:pStyle w:val="133"/>
              <w:rPr>
                <w:szCs w:val="21"/>
              </w:rPr>
            </w:pPr>
            <w:r>
              <w:rPr>
                <w:rFonts w:hint="eastAsia"/>
                <w:szCs w:val="21"/>
              </w:rPr>
              <w:t>3</w:t>
            </w:r>
          </w:p>
        </w:tc>
        <w:tc>
          <w:tcPr>
            <w:tcW w:w="407" w:type="pct"/>
            <w:vAlign w:val="center"/>
          </w:tcPr>
          <w:p w14:paraId="510C9B1F">
            <w:pPr>
              <w:pStyle w:val="133"/>
              <w:rPr>
                <w:szCs w:val="21"/>
              </w:rPr>
            </w:pPr>
            <w:r>
              <w:rPr>
                <w:rFonts w:hint="eastAsia"/>
                <w:szCs w:val="21"/>
              </w:rPr>
              <w:t>总量控制</w:t>
            </w:r>
          </w:p>
        </w:tc>
        <w:tc>
          <w:tcPr>
            <w:tcW w:w="2795" w:type="pct"/>
            <w:gridSpan w:val="3"/>
            <w:vAlign w:val="center"/>
          </w:tcPr>
          <w:p w14:paraId="6BA7E82C">
            <w:pPr>
              <w:pStyle w:val="133"/>
              <w:rPr>
                <w:szCs w:val="21"/>
              </w:rPr>
            </w:pPr>
            <w:r>
              <w:rPr>
                <w:rFonts w:hint="eastAsia"/>
                <w:szCs w:val="21"/>
              </w:rPr>
              <w:t>污染物排放量、二氧化碳排放量及能源消耗量满足国家及地方政府相关规定要求</w:t>
            </w:r>
          </w:p>
        </w:tc>
        <w:tc>
          <w:tcPr>
            <w:tcW w:w="922" w:type="pct"/>
            <w:tcBorders>
              <w:right w:val="single" w:color="auto" w:sz="4" w:space="0"/>
            </w:tcBorders>
            <w:vAlign w:val="center"/>
          </w:tcPr>
          <w:p w14:paraId="2382E01D">
            <w:pPr>
              <w:pStyle w:val="133"/>
              <w:rPr>
                <w:szCs w:val="21"/>
              </w:rPr>
            </w:pPr>
            <w:r>
              <w:rPr>
                <w:rFonts w:hint="eastAsia"/>
                <w:szCs w:val="21"/>
              </w:rPr>
              <w:t>符合</w:t>
            </w:r>
          </w:p>
        </w:tc>
        <w:tc>
          <w:tcPr>
            <w:tcW w:w="423" w:type="pct"/>
            <w:tcBorders>
              <w:left w:val="single" w:color="auto" w:sz="4" w:space="0"/>
            </w:tcBorders>
            <w:vAlign w:val="center"/>
          </w:tcPr>
          <w:p w14:paraId="6EDC8363">
            <w:pPr>
              <w:pStyle w:val="133"/>
              <w:rPr>
                <w:szCs w:val="21"/>
              </w:rPr>
            </w:pPr>
            <w:r>
              <w:rPr>
                <w:rFonts w:hint="eastAsia"/>
                <w:szCs w:val="21"/>
              </w:rPr>
              <w:t>一级</w:t>
            </w:r>
          </w:p>
        </w:tc>
      </w:tr>
      <w:tr w14:paraId="3339C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27B1A045">
            <w:pPr>
              <w:pStyle w:val="133"/>
              <w:rPr>
                <w:szCs w:val="21"/>
              </w:rPr>
            </w:pPr>
          </w:p>
        </w:tc>
        <w:tc>
          <w:tcPr>
            <w:tcW w:w="153" w:type="pct"/>
            <w:vAlign w:val="center"/>
          </w:tcPr>
          <w:p w14:paraId="645E2EA9">
            <w:pPr>
              <w:pStyle w:val="133"/>
              <w:rPr>
                <w:szCs w:val="21"/>
              </w:rPr>
            </w:pPr>
            <w:r>
              <w:rPr>
                <w:rFonts w:hint="eastAsia"/>
                <w:szCs w:val="21"/>
              </w:rPr>
              <w:t>4</w:t>
            </w:r>
          </w:p>
        </w:tc>
        <w:tc>
          <w:tcPr>
            <w:tcW w:w="407" w:type="pct"/>
            <w:vAlign w:val="center"/>
          </w:tcPr>
          <w:p w14:paraId="0C31010F">
            <w:pPr>
              <w:pStyle w:val="133"/>
              <w:rPr>
                <w:szCs w:val="21"/>
              </w:rPr>
            </w:pPr>
            <w:r>
              <w:rPr>
                <w:rFonts w:hint="eastAsia"/>
                <w:szCs w:val="21"/>
              </w:rPr>
              <w:t>突发环境事件预防</w:t>
            </w:r>
          </w:p>
        </w:tc>
        <w:tc>
          <w:tcPr>
            <w:tcW w:w="2795" w:type="pct"/>
            <w:gridSpan w:val="3"/>
            <w:vAlign w:val="center"/>
          </w:tcPr>
          <w:p w14:paraId="4F0252FF">
            <w:pPr>
              <w:pStyle w:val="133"/>
              <w:rPr>
                <w:szCs w:val="21"/>
              </w:rPr>
            </w:pPr>
            <w:r>
              <w:rPr>
                <w:rFonts w:hint="eastAsia"/>
                <w:szCs w:val="21"/>
              </w:rPr>
              <w:t>按照国家相关规定要求，建立健全环境管理制度及污染事故防范措施，无重大环境污染事故发生</w:t>
            </w:r>
          </w:p>
        </w:tc>
        <w:tc>
          <w:tcPr>
            <w:tcW w:w="922" w:type="pct"/>
            <w:tcBorders>
              <w:right w:val="single" w:color="auto" w:sz="4" w:space="0"/>
            </w:tcBorders>
            <w:vAlign w:val="center"/>
          </w:tcPr>
          <w:p w14:paraId="2736E378">
            <w:pPr>
              <w:pStyle w:val="133"/>
              <w:rPr>
                <w:szCs w:val="21"/>
              </w:rPr>
            </w:pPr>
            <w:r>
              <w:rPr>
                <w:rFonts w:hint="eastAsia"/>
                <w:szCs w:val="21"/>
              </w:rPr>
              <w:t>按照国家相关规定要求，建立健全环境管理制度及污染事故防范措施</w:t>
            </w:r>
          </w:p>
        </w:tc>
        <w:tc>
          <w:tcPr>
            <w:tcW w:w="423" w:type="pct"/>
            <w:tcBorders>
              <w:left w:val="single" w:color="auto" w:sz="4" w:space="0"/>
            </w:tcBorders>
            <w:vAlign w:val="center"/>
          </w:tcPr>
          <w:p w14:paraId="7FC13C78">
            <w:pPr>
              <w:pStyle w:val="133"/>
              <w:rPr>
                <w:szCs w:val="21"/>
              </w:rPr>
            </w:pPr>
            <w:r>
              <w:rPr>
                <w:rFonts w:hint="eastAsia"/>
                <w:szCs w:val="21"/>
              </w:rPr>
              <w:t>一级</w:t>
            </w:r>
          </w:p>
        </w:tc>
      </w:tr>
      <w:tr w14:paraId="36A0F4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4B426864">
            <w:pPr>
              <w:pStyle w:val="133"/>
              <w:rPr>
                <w:szCs w:val="21"/>
              </w:rPr>
            </w:pPr>
          </w:p>
        </w:tc>
        <w:tc>
          <w:tcPr>
            <w:tcW w:w="153" w:type="pct"/>
            <w:vAlign w:val="center"/>
          </w:tcPr>
          <w:p w14:paraId="4DAB9673">
            <w:pPr>
              <w:pStyle w:val="133"/>
              <w:rPr>
                <w:szCs w:val="21"/>
              </w:rPr>
            </w:pPr>
            <w:r>
              <w:rPr>
                <w:rFonts w:hint="eastAsia"/>
                <w:szCs w:val="21"/>
              </w:rPr>
              <w:t>5</w:t>
            </w:r>
          </w:p>
        </w:tc>
        <w:tc>
          <w:tcPr>
            <w:tcW w:w="407" w:type="pct"/>
            <w:vAlign w:val="center"/>
          </w:tcPr>
          <w:p w14:paraId="4AB7969D">
            <w:pPr>
              <w:pStyle w:val="133"/>
              <w:rPr>
                <w:szCs w:val="21"/>
              </w:rPr>
            </w:pPr>
            <w:r>
              <w:rPr>
                <w:rFonts w:hint="eastAsia"/>
                <w:szCs w:val="21"/>
              </w:rPr>
              <w:t>建立健全环境管理体系</w:t>
            </w:r>
          </w:p>
        </w:tc>
        <w:tc>
          <w:tcPr>
            <w:tcW w:w="1018" w:type="pct"/>
            <w:vAlign w:val="center"/>
          </w:tcPr>
          <w:p w14:paraId="0019E0E7">
            <w:pPr>
              <w:pStyle w:val="133"/>
              <w:rPr>
                <w:szCs w:val="21"/>
              </w:rPr>
            </w:pPr>
            <w:r>
              <w:rPr>
                <w:rFonts w:hint="eastAsia"/>
                <w:szCs w:val="21"/>
              </w:rPr>
              <w:t>建有环境管理体系，并取得认证，能有效运行；全部完成年度环境目标、指标和环境管理方案，并达到环境持续改进的要求；环境管理手册、程序文件及作业文件齐备、有效</w:t>
            </w:r>
          </w:p>
        </w:tc>
        <w:tc>
          <w:tcPr>
            <w:tcW w:w="967" w:type="pct"/>
            <w:vAlign w:val="center"/>
          </w:tcPr>
          <w:p w14:paraId="7BD5A58D">
            <w:pPr>
              <w:pStyle w:val="133"/>
              <w:rPr>
                <w:szCs w:val="21"/>
              </w:rPr>
            </w:pPr>
            <w:r>
              <w:rPr>
                <w:rFonts w:hint="eastAsia"/>
                <w:szCs w:val="21"/>
              </w:rPr>
              <w:t>建有环境管理体系，能有效运行；完成年度环境目标、指标和环境管理方案</w:t>
            </w:r>
            <w:r>
              <w:rPr>
                <w:szCs w:val="21"/>
              </w:rPr>
              <w:t>≥80%</w:t>
            </w:r>
            <w:r>
              <w:rPr>
                <w:rFonts w:hint="eastAsia"/>
                <w:szCs w:val="21"/>
              </w:rPr>
              <w:t>，达到环境持续改进的要求；环境管理手册、程序文件及作业文件齐备、有效</w:t>
            </w:r>
          </w:p>
        </w:tc>
        <w:tc>
          <w:tcPr>
            <w:tcW w:w="810" w:type="pct"/>
            <w:vAlign w:val="center"/>
          </w:tcPr>
          <w:p w14:paraId="4E3D15CC">
            <w:pPr>
              <w:pStyle w:val="133"/>
              <w:rPr>
                <w:szCs w:val="21"/>
              </w:rPr>
            </w:pPr>
            <w:r>
              <w:rPr>
                <w:rFonts w:hint="eastAsia"/>
                <w:szCs w:val="21"/>
              </w:rPr>
              <w:t>建立有环境管理体系，能有效运行；完成年度环境目标、指标和环境管理方案</w:t>
            </w:r>
            <w:r>
              <w:rPr>
                <w:szCs w:val="21"/>
              </w:rPr>
              <w:t>≥60%</w:t>
            </w:r>
            <w:r>
              <w:rPr>
                <w:rFonts w:hint="eastAsia"/>
                <w:szCs w:val="21"/>
              </w:rPr>
              <w:t>，部分达到环境持续改进的要求；环境管理手册、程序文件及作业文件齐备</w:t>
            </w:r>
          </w:p>
        </w:tc>
        <w:tc>
          <w:tcPr>
            <w:tcW w:w="922" w:type="pct"/>
            <w:tcBorders>
              <w:right w:val="single" w:color="auto" w:sz="4" w:space="0"/>
            </w:tcBorders>
            <w:vAlign w:val="center"/>
          </w:tcPr>
          <w:p w14:paraId="187A193D">
            <w:pPr>
              <w:pStyle w:val="133"/>
              <w:rPr>
                <w:szCs w:val="21"/>
              </w:rPr>
            </w:pPr>
            <w:r>
              <w:rPr>
                <w:rFonts w:hint="eastAsia"/>
                <w:szCs w:val="21"/>
              </w:rPr>
              <w:t>建立环境管理体系，能有效运行；计划完成年度环境目标、指标和环境管理方案</w:t>
            </w:r>
            <w:r>
              <w:rPr>
                <w:szCs w:val="21"/>
              </w:rPr>
              <w:t>≥80%</w:t>
            </w:r>
            <w:r>
              <w:rPr>
                <w:rFonts w:hint="eastAsia"/>
                <w:szCs w:val="21"/>
              </w:rPr>
              <w:t>，达到环境持续改进的要求；环境管理手册、程序文件及作业文件齐备、有效</w:t>
            </w:r>
          </w:p>
        </w:tc>
        <w:tc>
          <w:tcPr>
            <w:tcW w:w="423" w:type="pct"/>
            <w:tcBorders>
              <w:left w:val="single" w:color="auto" w:sz="4" w:space="0"/>
            </w:tcBorders>
            <w:vAlign w:val="center"/>
          </w:tcPr>
          <w:p w14:paraId="1F2702BE">
            <w:pPr>
              <w:pStyle w:val="133"/>
              <w:rPr>
                <w:szCs w:val="21"/>
              </w:rPr>
            </w:pPr>
            <w:r>
              <w:rPr>
                <w:rFonts w:hint="eastAsia"/>
                <w:szCs w:val="21"/>
              </w:rPr>
              <w:t>二级</w:t>
            </w:r>
          </w:p>
        </w:tc>
      </w:tr>
      <w:tr w14:paraId="432A53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57D9B599">
            <w:pPr>
              <w:pStyle w:val="133"/>
              <w:rPr>
                <w:szCs w:val="21"/>
              </w:rPr>
            </w:pPr>
          </w:p>
        </w:tc>
        <w:tc>
          <w:tcPr>
            <w:tcW w:w="153" w:type="pct"/>
            <w:vAlign w:val="center"/>
          </w:tcPr>
          <w:p w14:paraId="56189E99">
            <w:pPr>
              <w:pStyle w:val="133"/>
              <w:rPr>
                <w:szCs w:val="21"/>
              </w:rPr>
            </w:pPr>
            <w:r>
              <w:rPr>
                <w:rFonts w:hint="eastAsia"/>
                <w:szCs w:val="21"/>
              </w:rPr>
              <w:t>6</w:t>
            </w:r>
          </w:p>
        </w:tc>
        <w:tc>
          <w:tcPr>
            <w:tcW w:w="407" w:type="pct"/>
            <w:vAlign w:val="center"/>
          </w:tcPr>
          <w:p w14:paraId="098942A1">
            <w:pPr>
              <w:pStyle w:val="133"/>
              <w:rPr>
                <w:szCs w:val="21"/>
              </w:rPr>
            </w:pPr>
            <w:r>
              <w:rPr>
                <w:rFonts w:hint="eastAsia"/>
                <w:szCs w:val="21"/>
              </w:rPr>
              <w:t>物料和产品运输</w:t>
            </w:r>
          </w:p>
        </w:tc>
        <w:tc>
          <w:tcPr>
            <w:tcW w:w="1018" w:type="pct"/>
            <w:vAlign w:val="center"/>
          </w:tcPr>
          <w:p w14:paraId="71CDD54E">
            <w:pPr>
              <w:pStyle w:val="133"/>
              <w:rPr>
                <w:szCs w:val="21"/>
              </w:rPr>
            </w:pPr>
            <w:r>
              <w:rPr>
                <w:rFonts w:hint="eastAsia"/>
                <w:szCs w:val="21"/>
              </w:rPr>
              <w:t>进出企业的原辅料及燃料等大宗物料和产品采用铁路、水路、管道或管状带式输送机等清洁方式运输比例不低于</w:t>
            </w:r>
            <w:r>
              <w:rPr>
                <w:szCs w:val="21"/>
              </w:rPr>
              <w:t>80%</w:t>
            </w:r>
            <w:r>
              <w:rPr>
                <w:rFonts w:hint="eastAsia"/>
                <w:szCs w:val="21"/>
              </w:rPr>
              <w:t>；或全部采用新能源汽车或达到国六排放标准的汽车运输</w:t>
            </w:r>
          </w:p>
        </w:tc>
        <w:tc>
          <w:tcPr>
            <w:tcW w:w="1777" w:type="pct"/>
            <w:gridSpan w:val="2"/>
            <w:vAlign w:val="center"/>
          </w:tcPr>
          <w:p w14:paraId="007D01BC">
            <w:pPr>
              <w:pStyle w:val="133"/>
              <w:rPr>
                <w:szCs w:val="21"/>
              </w:rPr>
            </w:pPr>
            <w:r>
              <w:rPr>
                <w:rFonts w:hint="eastAsia"/>
                <w:szCs w:val="21"/>
              </w:rPr>
              <w:t>采用清洁运输方式，减少公路运输比例</w:t>
            </w:r>
          </w:p>
        </w:tc>
        <w:tc>
          <w:tcPr>
            <w:tcW w:w="922" w:type="pct"/>
            <w:tcBorders>
              <w:right w:val="single" w:color="auto" w:sz="4" w:space="0"/>
            </w:tcBorders>
            <w:vAlign w:val="center"/>
          </w:tcPr>
          <w:p w14:paraId="56B82817">
            <w:pPr>
              <w:pStyle w:val="133"/>
              <w:rPr>
                <w:szCs w:val="21"/>
              </w:rPr>
            </w:pPr>
            <w:r>
              <w:rPr>
                <w:rFonts w:hint="eastAsia"/>
                <w:szCs w:val="21"/>
              </w:rPr>
              <w:t>采用清洁运输方式，减少公路运输比例</w:t>
            </w:r>
          </w:p>
        </w:tc>
        <w:tc>
          <w:tcPr>
            <w:tcW w:w="423" w:type="pct"/>
            <w:tcBorders>
              <w:left w:val="single" w:color="auto" w:sz="4" w:space="0"/>
            </w:tcBorders>
            <w:vAlign w:val="center"/>
          </w:tcPr>
          <w:p w14:paraId="71E6ED4B">
            <w:pPr>
              <w:pStyle w:val="133"/>
              <w:rPr>
                <w:szCs w:val="21"/>
              </w:rPr>
            </w:pPr>
            <w:r>
              <w:rPr>
                <w:rFonts w:hint="eastAsia"/>
                <w:szCs w:val="21"/>
              </w:rPr>
              <w:t>二级</w:t>
            </w:r>
          </w:p>
        </w:tc>
      </w:tr>
      <w:tr w14:paraId="5A009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49E46FDE">
            <w:pPr>
              <w:pStyle w:val="133"/>
              <w:rPr>
                <w:szCs w:val="21"/>
              </w:rPr>
            </w:pPr>
          </w:p>
        </w:tc>
        <w:tc>
          <w:tcPr>
            <w:tcW w:w="153" w:type="pct"/>
            <w:vAlign w:val="center"/>
          </w:tcPr>
          <w:p w14:paraId="5BA46D84">
            <w:pPr>
              <w:pStyle w:val="133"/>
              <w:rPr>
                <w:szCs w:val="21"/>
              </w:rPr>
            </w:pPr>
            <w:r>
              <w:rPr>
                <w:rFonts w:hint="eastAsia"/>
                <w:szCs w:val="21"/>
              </w:rPr>
              <w:t>7</w:t>
            </w:r>
          </w:p>
        </w:tc>
        <w:tc>
          <w:tcPr>
            <w:tcW w:w="407" w:type="pct"/>
            <w:vAlign w:val="center"/>
          </w:tcPr>
          <w:p w14:paraId="4E0A40F0">
            <w:pPr>
              <w:pStyle w:val="133"/>
              <w:rPr>
                <w:szCs w:val="21"/>
              </w:rPr>
            </w:pPr>
            <w:r>
              <w:rPr>
                <w:rFonts w:hint="eastAsia"/>
                <w:szCs w:val="21"/>
              </w:rPr>
              <w:t>固体废物处置</w:t>
            </w:r>
          </w:p>
        </w:tc>
        <w:tc>
          <w:tcPr>
            <w:tcW w:w="1018" w:type="pct"/>
            <w:vAlign w:val="center"/>
          </w:tcPr>
          <w:p w14:paraId="7A6A04CF">
            <w:pPr>
              <w:pStyle w:val="133"/>
              <w:rPr>
                <w:szCs w:val="21"/>
              </w:rPr>
            </w:pPr>
            <w:r>
              <w:rPr>
                <w:rFonts w:hint="eastAsia"/>
                <w:szCs w:val="21"/>
              </w:rPr>
              <w:t>建立固体废物管理制度。危险废物贮存设有标识，转移联单完备，制定有防范措施和应急预案，无害化处理后综合利用率</w:t>
            </w:r>
            <w:r>
              <w:rPr>
                <w:szCs w:val="21"/>
              </w:rPr>
              <w:t>≥80%</w:t>
            </w:r>
          </w:p>
        </w:tc>
        <w:tc>
          <w:tcPr>
            <w:tcW w:w="967" w:type="pct"/>
            <w:vAlign w:val="center"/>
          </w:tcPr>
          <w:p w14:paraId="5047804B">
            <w:pPr>
              <w:pStyle w:val="133"/>
              <w:rPr>
                <w:szCs w:val="21"/>
              </w:rPr>
            </w:pPr>
            <w:r>
              <w:rPr>
                <w:rFonts w:hint="eastAsia"/>
                <w:szCs w:val="21"/>
              </w:rPr>
              <w:t>建立固体废物管理制度。危险废物贮存设有标识，转移联单完备，制定有防范措施和应急预案，无害化处理后综合利用率</w:t>
            </w:r>
            <w:r>
              <w:rPr>
                <w:szCs w:val="21"/>
              </w:rPr>
              <w:t>≥70%</w:t>
            </w:r>
          </w:p>
        </w:tc>
        <w:tc>
          <w:tcPr>
            <w:tcW w:w="810" w:type="pct"/>
            <w:vAlign w:val="center"/>
          </w:tcPr>
          <w:p w14:paraId="6211AA44">
            <w:pPr>
              <w:pStyle w:val="133"/>
              <w:rPr>
                <w:szCs w:val="21"/>
              </w:rPr>
            </w:pPr>
            <w:r>
              <w:rPr>
                <w:rFonts w:hint="eastAsia"/>
                <w:szCs w:val="21"/>
              </w:rPr>
              <w:t>建立固体废物管理制度。危险废物贮存设有标识，转移联单完备，制定有防范措施和应急预案，无害化处理后综合利用率</w:t>
            </w:r>
            <w:r>
              <w:rPr>
                <w:szCs w:val="21"/>
              </w:rPr>
              <w:t>≥60%</w:t>
            </w:r>
          </w:p>
        </w:tc>
        <w:tc>
          <w:tcPr>
            <w:tcW w:w="922" w:type="pct"/>
            <w:tcBorders>
              <w:right w:val="single" w:color="auto" w:sz="4" w:space="0"/>
            </w:tcBorders>
            <w:vAlign w:val="center"/>
          </w:tcPr>
          <w:p w14:paraId="5ABDD78E">
            <w:pPr>
              <w:pStyle w:val="133"/>
              <w:rPr>
                <w:szCs w:val="21"/>
              </w:rPr>
            </w:pPr>
            <w:r>
              <w:rPr>
                <w:rFonts w:hint="eastAsia"/>
                <w:szCs w:val="21"/>
              </w:rPr>
              <w:t>建立固体废物管理制度。危险废物贮存设有标识，转移联单完备，制定有防范措施和应急预案，无害化处理后综合利用率</w:t>
            </w:r>
            <w:r>
              <w:rPr>
                <w:szCs w:val="21"/>
              </w:rPr>
              <w:t>≥70%</w:t>
            </w:r>
          </w:p>
        </w:tc>
        <w:tc>
          <w:tcPr>
            <w:tcW w:w="423" w:type="pct"/>
            <w:tcBorders>
              <w:left w:val="single" w:color="auto" w:sz="4" w:space="0"/>
            </w:tcBorders>
            <w:vAlign w:val="center"/>
          </w:tcPr>
          <w:p w14:paraId="40034F28">
            <w:pPr>
              <w:pStyle w:val="133"/>
              <w:rPr>
                <w:szCs w:val="21"/>
              </w:rPr>
            </w:pPr>
            <w:r>
              <w:rPr>
                <w:rFonts w:hint="eastAsia"/>
                <w:szCs w:val="21"/>
              </w:rPr>
              <w:t>二级</w:t>
            </w:r>
          </w:p>
        </w:tc>
      </w:tr>
      <w:tr w14:paraId="49A2F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6311E01F">
            <w:pPr>
              <w:pStyle w:val="133"/>
              <w:rPr>
                <w:szCs w:val="21"/>
              </w:rPr>
            </w:pPr>
          </w:p>
        </w:tc>
        <w:tc>
          <w:tcPr>
            <w:tcW w:w="153" w:type="pct"/>
            <w:vAlign w:val="center"/>
          </w:tcPr>
          <w:p w14:paraId="3FCFE46C">
            <w:pPr>
              <w:pStyle w:val="133"/>
              <w:rPr>
                <w:szCs w:val="21"/>
              </w:rPr>
            </w:pPr>
            <w:r>
              <w:rPr>
                <w:rFonts w:hint="eastAsia"/>
                <w:szCs w:val="21"/>
              </w:rPr>
              <w:t>8</w:t>
            </w:r>
          </w:p>
        </w:tc>
        <w:tc>
          <w:tcPr>
            <w:tcW w:w="407" w:type="pct"/>
            <w:vAlign w:val="center"/>
          </w:tcPr>
          <w:p w14:paraId="257AD0F0">
            <w:pPr>
              <w:pStyle w:val="133"/>
              <w:rPr>
                <w:szCs w:val="21"/>
              </w:rPr>
            </w:pPr>
            <w:r>
              <w:rPr>
                <w:rFonts w:hint="eastAsia"/>
                <w:szCs w:val="21"/>
              </w:rPr>
              <w:t>清洁生产机制建设与清洁生产审核</w:t>
            </w:r>
          </w:p>
        </w:tc>
        <w:tc>
          <w:tcPr>
            <w:tcW w:w="1018" w:type="pct"/>
            <w:vAlign w:val="center"/>
          </w:tcPr>
          <w:p w14:paraId="73AE4886">
            <w:pPr>
              <w:pStyle w:val="133"/>
              <w:rPr>
                <w:szCs w:val="21"/>
              </w:rPr>
            </w:pPr>
            <w:r>
              <w:rPr>
                <w:rFonts w:hint="eastAsia"/>
                <w:szCs w:val="21"/>
              </w:rPr>
              <w:t>建有清洁生产领导机构，成员单位与主管人员职责分工明确；有清洁生产管理制度和奖励管理办法；定期开展清洁生产审核活动，清洁生产方案实施率</w:t>
            </w:r>
            <w:r>
              <w:rPr>
                <w:szCs w:val="21"/>
              </w:rPr>
              <w:t>≥90%</w:t>
            </w:r>
            <w:r>
              <w:rPr>
                <w:rFonts w:hint="eastAsia"/>
                <w:szCs w:val="21"/>
              </w:rPr>
              <w:t>；有开展清洁生产工作记录</w:t>
            </w:r>
          </w:p>
        </w:tc>
        <w:tc>
          <w:tcPr>
            <w:tcW w:w="967" w:type="pct"/>
            <w:vAlign w:val="center"/>
          </w:tcPr>
          <w:p w14:paraId="00212582">
            <w:pPr>
              <w:pStyle w:val="133"/>
              <w:rPr>
                <w:szCs w:val="21"/>
              </w:rPr>
            </w:pPr>
            <w:r>
              <w:rPr>
                <w:rFonts w:hint="eastAsia"/>
                <w:szCs w:val="21"/>
              </w:rPr>
              <w:t>建有清洁生产领导机构，成员单位与主管人员职责分工明确；有清洁生产管理制度和奖励管理办法；定期开展清洁生产审核活动，清洁生产方案实施率</w:t>
            </w:r>
            <w:r>
              <w:rPr>
                <w:szCs w:val="21"/>
              </w:rPr>
              <w:t>≥70%</w:t>
            </w:r>
            <w:r>
              <w:rPr>
                <w:rFonts w:hint="eastAsia"/>
                <w:szCs w:val="21"/>
              </w:rPr>
              <w:t>；有开展清洁生产工作记录</w:t>
            </w:r>
          </w:p>
        </w:tc>
        <w:tc>
          <w:tcPr>
            <w:tcW w:w="810" w:type="pct"/>
            <w:vAlign w:val="center"/>
          </w:tcPr>
          <w:p w14:paraId="12A8A433">
            <w:pPr>
              <w:pStyle w:val="133"/>
              <w:rPr>
                <w:szCs w:val="21"/>
              </w:rPr>
            </w:pPr>
            <w:r>
              <w:rPr>
                <w:rFonts w:hint="eastAsia"/>
                <w:szCs w:val="21"/>
              </w:rPr>
              <w:t>建有清洁生产领导机构，成员单位与主管人员职责分工明确；有清洁生产管理制度和奖励管理办法；定期开展清洁生产审核活动，清洁生产方案实施率</w:t>
            </w:r>
            <w:r>
              <w:rPr>
                <w:szCs w:val="21"/>
              </w:rPr>
              <w:t>≥50%</w:t>
            </w:r>
            <w:r>
              <w:rPr>
                <w:rFonts w:hint="eastAsia"/>
                <w:szCs w:val="21"/>
              </w:rPr>
              <w:t>；有开展清洁生产工作记录</w:t>
            </w:r>
          </w:p>
        </w:tc>
        <w:tc>
          <w:tcPr>
            <w:tcW w:w="922" w:type="pct"/>
            <w:tcBorders>
              <w:right w:val="single" w:color="auto" w:sz="4" w:space="0"/>
            </w:tcBorders>
            <w:vAlign w:val="center"/>
          </w:tcPr>
          <w:p w14:paraId="6AB0064D">
            <w:pPr>
              <w:pStyle w:val="133"/>
              <w:rPr>
                <w:szCs w:val="21"/>
              </w:rPr>
            </w:pPr>
            <w:r>
              <w:rPr>
                <w:rFonts w:hint="eastAsia"/>
                <w:szCs w:val="21"/>
              </w:rPr>
              <w:t>将建立清洁生产领导机构，成员单位与主管人员职责分工明确；有清洁生产管理制度和奖励管理办法；定期开展清洁生产审核活动，清洁生产方案实施率</w:t>
            </w:r>
            <w:r>
              <w:rPr>
                <w:szCs w:val="21"/>
              </w:rPr>
              <w:t>≥90%</w:t>
            </w:r>
            <w:r>
              <w:rPr>
                <w:rFonts w:hint="eastAsia"/>
                <w:szCs w:val="21"/>
              </w:rPr>
              <w:t>；有开展清洁生产工作记录</w:t>
            </w:r>
          </w:p>
        </w:tc>
        <w:tc>
          <w:tcPr>
            <w:tcW w:w="423" w:type="pct"/>
            <w:tcBorders>
              <w:left w:val="single" w:color="auto" w:sz="4" w:space="0"/>
            </w:tcBorders>
            <w:vAlign w:val="center"/>
          </w:tcPr>
          <w:p w14:paraId="7DEEB501">
            <w:pPr>
              <w:pStyle w:val="133"/>
              <w:rPr>
                <w:szCs w:val="21"/>
              </w:rPr>
            </w:pPr>
            <w:r>
              <w:rPr>
                <w:rFonts w:hint="eastAsia"/>
                <w:szCs w:val="21"/>
              </w:rPr>
              <w:t>一级</w:t>
            </w:r>
          </w:p>
        </w:tc>
      </w:tr>
      <w:tr w14:paraId="71F0BD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0" w:type="pct"/>
            <w:vMerge w:val="continue"/>
            <w:vAlign w:val="center"/>
          </w:tcPr>
          <w:p w14:paraId="0BB11F5F">
            <w:pPr>
              <w:pStyle w:val="133"/>
              <w:rPr>
                <w:szCs w:val="21"/>
              </w:rPr>
            </w:pPr>
          </w:p>
        </w:tc>
        <w:tc>
          <w:tcPr>
            <w:tcW w:w="153" w:type="pct"/>
            <w:vAlign w:val="center"/>
          </w:tcPr>
          <w:p w14:paraId="250D3A42">
            <w:pPr>
              <w:pStyle w:val="133"/>
              <w:rPr>
                <w:szCs w:val="21"/>
              </w:rPr>
            </w:pPr>
            <w:r>
              <w:rPr>
                <w:rFonts w:hint="eastAsia"/>
                <w:szCs w:val="21"/>
              </w:rPr>
              <w:t>9</w:t>
            </w:r>
          </w:p>
        </w:tc>
        <w:tc>
          <w:tcPr>
            <w:tcW w:w="407" w:type="pct"/>
            <w:vAlign w:val="center"/>
          </w:tcPr>
          <w:p w14:paraId="0780B90B">
            <w:pPr>
              <w:pStyle w:val="133"/>
              <w:rPr>
                <w:szCs w:val="21"/>
              </w:rPr>
            </w:pPr>
            <w:r>
              <w:rPr>
                <w:rFonts w:hint="eastAsia"/>
                <w:szCs w:val="21"/>
              </w:rPr>
              <w:t>节能减碳机制建设与节能减碳活动</w:t>
            </w:r>
          </w:p>
        </w:tc>
        <w:tc>
          <w:tcPr>
            <w:tcW w:w="1018" w:type="pct"/>
            <w:vAlign w:val="center"/>
          </w:tcPr>
          <w:p w14:paraId="70477DE9">
            <w:pPr>
              <w:pStyle w:val="133"/>
              <w:rPr>
                <w:szCs w:val="21"/>
              </w:rPr>
            </w:pPr>
            <w:r>
              <w:rPr>
                <w:rFonts w:hint="eastAsia"/>
                <w:szCs w:val="21"/>
              </w:rPr>
              <w:t>建有节能减碳领导机构，成员单位及主管人员职责分工明确；与所在企业同步建立有能源与低碳管理体系并有效运行；制定有节能减碳年度工作计划，组织开展节能减碳工作，年度管控目标完成率</w:t>
            </w:r>
            <w:r>
              <w:rPr>
                <w:szCs w:val="21"/>
              </w:rPr>
              <w:t>≥90%</w:t>
            </w:r>
            <w:r>
              <w:rPr>
                <w:rFonts w:hint="eastAsia"/>
                <w:szCs w:val="21"/>
              </w:rPr>
              <w:t>；年度节能减碳任务达到国家要求</w:t>
            </w:r>
          </w:p>
        </w:tc>
        <w:tc>
          <w:tcPr>
            <w:tcW w:w="967" w:type="pct"/>
            <w:vAlign w:val="center"/>
          </w:tcPr>
          <w:p w14:paraId="01B64637">
            <w:pPr>
              <w:pStyle w:val="133"/>
              <w:rPr>
                <w:szCs w:val="21"/>
              </w:rPr>
            </w:pPr>
            <w:r>
              <w:rPr>
                <w:rFonts w:hint="eastAsia"/>
                <w:szCs w:val="21"/>
              </w:rPr>
              <w:t>建有节能减碳领导机构，成员单位及主管人员职责分工明确；与所在企业同步建立有能源与低碳管理体系并有效运行；制定有节能减碳年度工作计划，组织开展节能减碳工作，年度管控目标完成率</w:t>
            </w:r>
            <w:r>
              <w:rPr>
                <w:szCs w:val="21"/>
              </w:rPr>
              <w:t>≥80%</w:t>
            </w:r>
            <w:r>
              <w:rPr>
                <w:rFonts w:hint="eastAsia"/>
                <w:szCs w:val="21"/>
              </w:rPr>
              <w:t>；年度节能减碳任务达到国家要求</w:t>
            </w:r>
          </w:p>
        </w:tc>
        <w:tc>
          <w:tcPr>
            <w:tcW w:w="810" w:type="pct"/>
            <w:vAlign w:val="center"/>
          </w:tcPr>
          <w:p w14:paraId="48B0551E">
            <w:pPr>
              <w:pStyle w:val="133"/>
              <w:rPr>
                <w:szCs w:val="21"/>
              </w:rPr>
            </w:pPr>
            <w:r>
              <w:rPr>
                <w:rFonts w:hint="eastAsia"/>
                <w:szCs w:val="21"/>
              </w:rPr>
              <w:t>建有节能减碳领导机构，成员单位及主管人员职责分工明确；与所在企业同步建立有能源与低碳管理体系并有效运行；制定有节能减碳年度工作计划，组织开展节能减碳工作，年度管控目标完成率</w:t>
            </w:r>
            <w:r>
              <w:rPr>
                <w:szCs w:val="21"/>
              </w:rPr>
              <w:t>≥70%</w:t>
            </w:r>
            <w:r>
              <w:rPr>
                <w:rFonts w:hint="eastAsia"/>
                <w:szCs w:val="21"/>
              </w:rPr>
              <w:t>；年度节能减碳任务达到国家要求</w:t>
            </w:r>
          </w:p>
        </w:tc>
        <w:tc>
          <w:tcPr>
            <w:tcW w:w="922" w:type="pct"/>
            <w:tcBorders>
              <w:right w:val="single" w:color="auto" w:sz="4" w:space="0"/>
            </w:tcBorders>
            <w:vAlign w:val="center"/>
          </w:tcPr>
          <w:p w14:paraId="2FBE2F07">
            <w:pPr>
              <w:pStyle w:val="133"/>
              <w:rPr>
                <w:szCs w:val="21"/>
              </w:rPr>
            </w:pPr>
            <w:r>
              <w:rPr>
                <w:rFonts w:hint="eastAsia"/>
                <w:szCs w:val="21"/>
              </w:rPr>
              <w:t>将建立节能减碳领导机构，成员单位及主管人员职责分工明确；与所在企业同步建立有能源与低碳管理体系并有效运行；制定有节能减碳年度工作计划，组织开展节能减碳工作，年度管控目标完成率</w:t>
            </w:r>
            <w:r>
              <w:rPr>
                <w:szCs w:val="21"/>
              </w:rPr>
              <w:t>≥90%</w:t>
            </w:r>
            <w:r>
              <w:rPr>
                <w:rFonts w:hint="eastAsia"/>
                <w:szCs w:val="21"/>
              </w:rPr>
              <w:t>；年度节能减碳任务达到国家要求</w:t>
            </w:r>
          </w:p>
        </w:tc>
        <w:tc>
          <w:tcPr>
            <w:tcW w:w="423" w:type="pct"/>
            <w:tcBorders>
              <w:left w:val="single" w:color="auto" w:sz="4" w:space="0"/>
            </w:tcBorders>
            <w:vAlign w:val="center"/>
          </w:tcPr>
          <w:p w14:paraId="2E1EE2D4">
            <w:pPr>
              <w:pStyle w:val="133"/>
              <w:rPr>
                <w:szCs w:val="21"/>
              </w:rPr>
            </w:pPr>
            <w:r>
              <w:rPr>
                <w:rFonts w:hint="eastAsia"/>
                <w:szCs w:val="21"/>
              </w:rPr>
              <w:t>一级</w:t>
            </w:r>
          </w:p>
        </w:tc>
      </w:tr>
    </w:tbl>
    <w:p w14:paraId="3B9733BB">
      <w:pPr>
        <w:pStyle w:val="133"/>
      </w:pPr>
    </w:p>
    <w:p w14:paraId="32A85D7C">
      <w:pPr>
        <w:pStyle w:val="2"/>
        <w:spacing w:before="326"/>
        <w:sectPr>
          <w:pgSz w:w="16838" w:h="11906" w:orient="landscape"/>
          <w:pgMar w:top="1800" w:right="1440" w:bottom="1800" w:left="1440" w:header="851" w:footer="992" w:gutter="0"/>
          <w:cols w:space="425" w:num="1"/>
          <w:docGrid w:type="lines" w:linePitch="326" w:charSpace="0"/>
        </w:sectPr>
      </w:pPr>
    </w:p>
    <w:p w14:paraId="00171BA4">
      <w:pPr>
        <w:pStyle w:val="117"/>
        <w:ind w:firstLine="480"/>
      </w:pPr>
      <w:r>
        <w:rPr>
          <w:rFonts w:hint="eastAsia"/>
        </w:rPr>
        <w:t>钢铁行业（铁合金）企业不同等级清洁生产水平综合评价指数判定值规定见表2.11-6。</w:t>
      </w:r>
    </w:p>
    <w:p w14:paraId="118C21E5">
      <w:pPr>
        <w:pStyle w:val="118"/>
      </w:pPr>
      <w:r>
        <w:rPr>
          <w:rFonts w:hint="eastAsia"/>
        </w:rPr>
        <w:t>表2.11-6  铁合金生产企业清洁生产水平判定表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12"/>
        <w:gridCol w:w="5910"/>
      </w:tblGrid>
      <w:tr w14:paraId="7FD3FA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37" w:type="dxa"/>
            <w:vAlign w:val="center"/>
          </w:tcPr>
          <w:p w14:paraId="47FD1453">
            <w:pPr>
              <w:pStyle w:val="133"/>
              <w:rPr>
                <w:b/>
                <w:bCs/>
              </w:rPr>
            </w:pPr>
            <w:r>
              <w:rPr>
                <w:rFonts w:hint="eastAsia"/>
                <w:b/>
                <w:bCs/>
              </w:rPr>
              <w:t>清洁生产水平</w:t>
            </w:r>
          </w:p>
        </w:tc>
        <w:tc>
          <w:tcPr>
            <w:tcW w:w="5739" w:type="dxa"/>
            <w:vAlign w:val="center"/>
          </w:tcPr>
          <w:p w14:paraId="53019C3F">
            <w:pPr>
              <w:pStyle w:val="133"/>
              <w:rPr>
                <w:b/>
                <w:bCs/>
              </w:rPr>
            </w:pPr>
            <w:r>
              <w:rPr>
                <w:rFonts w:hint="eastAsia"/>
                <w:b/>
                <w:bCs/>
              </w:rPr>
              <w:t>清洁生产综合评价指数</w:t>
            </w:r>
          </w:p>
        </w:tc>
      </w:tr>
      <w:tr w14:paraId="1FB52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37" w:type="dxa"/>
            <w:vAlign w:val="center"/>
          </w:tcPr>
          <w:p w14:paraId="0237090A">
            <w:pPr>
              <w:pStyle w:val="133"/>
            </w:pPr>
            <w:r>
              <w:rPr>
                <w:rFonts w:hint="eastAsia"/>
              </w:rPr>
              <w:t>国际清洁生产领先水平</w:t>
            </w:r>
          </w:p>
        </w:tc>
        <w:tc>
          <w:tcPr>
            <w:tcW w:w="5739" w:type="dxa"/>
            <w:vAlign w:val="center"/>
          </w:tcPr>
          <w:p w14:paraId="146271D1">
            <w:pPr>
              <w:pStyle w:val="133"/>
              <w:rPr>
                <w:rFonts w:cs="Times New Roman"/>
              </w:rPr>
            </w:pPr>
            <w:r>
              <w:rPr>
                <w:rFonts w:cs="Times New Roman"/>
              </w:rPr>
              <w:t>全部达到Ⅰ级限定性指标要求，同时100≥Y</w:t>
            </w:r>
            <w:r>
              <w:rPr>
                <w:rFonts w:cs="Times New Roman"/>
                <w:vertAlign w:val="subscript"/>
              </w:rPr>
              <w:t>gk</w:t>
            </w:r>
            <w:r>
              <w:rPr>
                <w:rFonts w:cs="Times New Roman"/>
              </w:rPr>
              <w:t>≥90</w:t>
            </w:r>
          </w:p>
        </w:tc>
      </w:tr>
      <w:tr w14:paraId="2635F2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37" w:type="dxa"/>
            <w:vAlign w:val="center"/>
          </w:tcPr>
          <w:p w14:paraId="039ADF0D">
            <w:pPr>
              <w:pStyle w:val="133"/>
            </w:pPr>
            <w:r>
              <w:rPr>
                <w:rFonts w:hint="eastAsia"/>
              </w:rPr>
              <w:t>国内清洁生产先进水平</w:t>
            </w:r>
          </w:p>
        </w:tc>
        <w:tc>
          <w:tcPr>
            <w:tcW w:w="5739" w:type="dxa"/>
            <w:vAlign w:val="center"/>
          </w:tcPr>
          <w:p w14:paraId="676B9B69">
            <w:pPr>
              <w:pStyle w:val="133"/>
              <w:rPr>
                <w:rFonts w:cs="Times New Roman"/>
              </w:rPr>
            </w:pPr>
            <w:r>
              <w:rPr>
                <w:rFonts w:cs="Times New Roman"/>
              </w:rPr>
              <w:t>全部达到Ⅱ级限定性指标要求，同时90＞Y</w:t>
            </w:r>
            <w:r>
              <w:rPr>
                <w:rFonts w:cs="Times New Roman"/>
                <w:vertAlign w:val="subscript"/>
              </w:rPr>
              <w:t>gk</w:t>
            </w:r>
            <w:r>
              <w:rPr>
                <w:rFonts w:cs="Times New Roman"/>
              </w:rPr>
              <w:t>≥80</w:t>
            </w:r>
          </w:p>
        </w:tc>
      </w:tr>
      <w:tr w14:paraId="24922A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37" w:type="dxa"/>
            <w:vAlign w:val="center"/>
          </w:tcPr>
          <w:p w14:paraId="7EB7F108">
            <w:pPr>
              <w:pStyle w:val="133"/>
            </w:pPr>
            <w:r>
              <w:rPr>
                <w:rFonts w:hint="eastAsia"/>
              </w:rPr>
              <w:t>国内清洁生产一般水平</w:t>
            </w:r>
          </w:p>
        </w:tc>
        <w:tc>
          <w:tcPr>
            <w:tcW w:w="5739" w:type="dxa"/>
            <w:vAlign w:val="center"/>
          </w:tcPr>
          <w:p w14:paraId="71A6BC49">
            <w:pPr>
              <w:pStyle w:val="133"/>
              <w:rPr>
                <w:rFonts w:cs="Times New Roman"/>
              </w:rPr>
            </w:pPr>
            <w:r>
              <w:rPr>
                <w:rFonts w:cs="Times New Roman"/>
              </w:rPr>
              <w:t>全部达到Ⅲ级限定性指标要求，同时80＞Y</w:t>
            </w:r>
            <w:r>
              <w:rPr>
                <w:rFonts w:cs="Times New Roman"/>
                <w:vertAlign w:val="subscript"/>
              </w:rPr>
              <w:t>gk</w:t>
            </w:r>
            <w:r>
              <w:rPr>
                <w:rFonts w:cs="Times New Roman"/>
              </w:rPr>
              <w:t>≥70</w:t>
            </w:r>
          </w:p>
        </w:tc>
      </w:tr>
    </w:tbl>
    <w:p w14:paraId="1672F683">
      <w:pPr>
        <w:pStyle w:val="133"/>
      </w:pPr>
    </w:p>
    <w:p w14:paraId="5367C1AD">
      <w:pPr>
        <w:pStyle w:val="117"/>
        <w:ind w:firstLine="480"/>
      </w:pPr>
      <w:r>
        <w:rPr>
          <w:rFonts w:hint="eastAsia"/>
        </w:rPr>
        <w:t>根据2.11-4分析，本项目硅铁生产线从生产工艺装备及技术指标、资源与能源消耗指标、产品特征指标、污染物排放控制指标、资源综合利用指标进行逐条对比分析，均实现满足</w:t>
      </w:r>
      <w:r>
        <w:t>Ⅱ</w:t>
      </w:r>
      <w:r>
        <w:rPr>
          <w:rFonts w:hint="eastAsia"/>
        </w:rPr>
        <w:t>级以上基准值技术要求。根据2.11-5分析，本项目硅铁生产线清洁生产管理各项指标均满足</w:t>
      </w:r>
      <w:r>
        <w:t>Ⅱ</w:t>
      </w:r>
      <w:r>
        <w:rPr>
          <w:rFonts w:hint="eastAsia"/>
        </w:rPr>
        <w:t>级以上基准值评价指标体系技术要求。综合判定本项目硅铁生产线可达到国内清洁生产先进水平。</w:t>
      </w:r>
    </w:p>
    <w:p w14:paraId="4E7DEBA1">
      <w:pPr>
        <w:pStyle w:val="3"/>
      </w:pPr>
      <w:bookmarkStart w:id="370" w:name="_Toc205291385"/>
      <w:r>
        <w:rPr>
          <w:rFonts w:hint="eastAsia"/>
        </w:rPr>
        <w:t>总量控制</w:t>
      </w:r>
      <w:bookmarkEnd w:id="366"/>
      <w:bookmarkEnd w:id="370"/>
    </w:p>
    <w:p w14:paraId="4FC55AE6">
      <w:pPr>
        <w:pStyle w:val="117"/>
        <w:ind w:firstLine="480"/>
      </w:pPr>
      <w:r>
        <w:t>污染物排放总量控制是可持续发展战略的要求，是控制污染，使国民经济持续、稳定发展的有效手段。</w:t>
      </w:r>
    </w:p>
    <w:p w14:paraId="613D1A78">
      <w:pPr>
        <w:pStyle w:val="117"/>
        <w:ind w:firstLine="480"/>
      </w:pPr>
      <w:r>
        <w:t>为了适应我国改革开放和经济建设快速发展的需要，做到经济发展和环境保护协调并进，单靠控制污染物排放浓度的措施，不能有效遏制环境质量的恶化趋势。对污染源的控制，不仅要求污染物排放浓度达标排放，还必须控制污染物的排放总量。</w:t>
      </w:r>
    </w:p>
    <w:p w14:paraId="002D6389">
      <w:pPr>
        <w:pStyle w:val="138"/>
        <w:rPr>
          <w:rFonts w:hint="eastAsia"/>
        </w:rPr>
      </w:pPr>
      <w:r>
        <w:t>总量控制原则</w:t>
      </w:r>
    </w:p>
    <w:p w14:paraId="68502E7F">
      <w:pPr>
        <w:pStyle w:val="117"/>
        <w:ind w:firstLine="480"/>
      </w:pPr>
      <w: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14:paraId="6714B306">
      <w:pPr>
        <w:pStyle w:val="117"/>
        <w:ind w:firstLine="480"/>
      </w:pPr>
      <w:r>
        <w:t>根据国家当前的产业政策和环保技术政策，制定本项目污染物总量控制原则和方法，提出污染物总量控制思路：</w:t>
      </w:r>
    </w:p>
    <w:p w14:paraId="2024E332">
      <w:pPr>
        <w:pStyle w:val="117"/>
        <w:ind w:firstLine="480"/>
      </w:pPr>
      <w:r>
        <w:t>第一：以国家产业政策为指导，分析产品方向的合理性和规模效益水平；</w:t>
      </w:r>
    </w:p>
    <w:p w14:paraId="422CABDD">
      <w:pPr>
        <w:pStyle w:val="117"/>
        <w:ind w:firstLine="480"/>
      </w:pPr>
      <w:r>
        <w:t>第二：采用全方位总量控制思想，提高资源的综合利用率，选用清洁能源，降低能耗水平，实现清洁生产，将污染尽可能消除在生产过程中；</w:t>
      </w:r>
    </w:p>
    <w:p w14:paraId="46CA07B0">
      <w:pPr>
        <w:pStyle w:val="117"/>
        <w:ind w:firstLine="480"/>
      </w:pPr>
      <w:r>
        <w:t>第三：强化中、末端控制，降低污染物的排放水平，实现达标排放；</w:t>
      </w:r>
    </w:p>
    <w:p w14:paraId="4F95D2F0">
      <w:pPr>
        <w:pStyle w:val="117"/>
        <w:ind w:firstLine="480"/>
      </w:pPr>
      <w:r>
        <w:t>第四：满足地方环境管理要求，参照区域总量控制规划，使项目造成的环境影响低于项目所在地区的环境保护目标控制水平。</w:t>
      </w:r>
    </w:p>
    <w:p w14:paraId="41CA1F86">
      <w:pPr>
        <w:pStyle w:val="117"/>
        <w:ind w:firstLine="480"/>
      </w:pPr>
      <w:r>
        <w:t>通过以上分析，最后确定本项目污染物总量控制方案和目标。</w:t>
      </w:r>
    </w:p>
    <w:p w14:paraId="02282576">
      <w:pPr>
        <w:pStyle w:val="138"/>
        <w:rPr>
          <w:rFonts w:hint="eastAsia"/>
        </w:rPr>
      </w:pPr>
      <w:r>
        <w:t>总量控制因子</w:t>
      </w:r>
    </w:p>
    <w:p w14:paraId="5931C1CF">
      <w:pPr>
        <w:pStyle w:val="117"/>
        <w:ind w:firstLine="480"/>
      </w:pPr>
      <w:r>
        <w:t>结合</w:t>
      </w:r>
      <w:r>
        <w:rPr>
          <w:rFonts w:hint="eastAsia"/>
        </w:rPr>
        <w:t>本项目</w:t>
      </w:r>
      <w:r>
        <w:t>排污特点、区域环境特征以及当地</w:t>
      </w:r>
      <w:r>
        <w:rPr>
          <w:rFonts w:hint="eastAsia"/>
        </w:rPr>
        <w:t>生态环境</w:t>
      </w:r>
      <w:r>
        <w:t>部门的要求，本次环评推荐拟建项目的污染物总量控制因子</w:t>
      </w:r>
      <w:r>
        <w:rPr>
          <w:rFonts w:hint="eastAsia"/>
        </w:rPr>
        <w:t>共6项</w:t>
      </w:r>
      <w:r>
        <w:t>：</w:t>
      </w:r>
    </w:p>
    <w:p w14:paraId="64E506E7">
      <w:pPr>
        <w:pStyle w:val="117"/>
        <w:ind w:firstLine="480"/>
      </w:pPr>
      <w:r>
        <w:t>大气污染物：SO</w:t>
      </w:r>
      <w:r>
        <w:rPr>
          <w:vertAlign w:val="subscript"/>
        </w:rPr>
        <w:t>2</w:t>
      </w:r>
      <w:r>
        <w:t>、NO</w:t>
      </w:r>
      <w:r>
        <w:rPr>
          <w:vertAlign w:val="subscript"/>
        </w:rPr>
        <w:t>x</w:t>
      </w:r>
      <w:r>
        <w:rPr>
          <w:rFonts w:hint="eastAsia"/>
        </w:rPr>
        <w:t>、</w:t>
      </w:r>
      <w:r>
        <w:t>挥发性有机物</w:t>
      </w:r>
      <w:r>
        <w:rPr>
          <w:rFonts w:hint="eastAsia"/>
        </w:rPr>
        <w:t>、颗粒物；</w:t>
      </w:r>
    </w:p>
    <w:p w14:paraId="4146C18E">
      <w:pPr>
        <w:pStyle w:val="117"/>
        <w:ind w:firstLine="480"/>
      </w:pPr>
      <w:r>
        <w:rPr>
          <w:rFonts w:hint="eastAsia"/>
        </w:rPr>
        <w:t>水污染物：C</w:t>
      </w:r>
      <w:r>
        <w:t>OD</w:t>
      </w:r>
      <w:r>
        <w:rPr>
          <w:rFonts w:hint="eastAsia"/>
        </w:rPr>
        <w:t>、</w:t>
      </w:r>
      <w:r>
        <w:t>NH</w:t>
      </w:r>
      <w:r>
        <w:rPr>
          <w:vertAlign w:val="subscript"/>
        </w:rPr>
        <w:t>3</w:t>
      </w:r>
      <w:r>
        <w:t>-N</w:t>
      </w:r>
      <w:r>
        <w:rPr>
          <w:rFonts w:hint="eastAsia"/>
        </w:rPr>
        <w:t>。</w:t>
      </w:r>
    </w:p>
    <w:p w14:paraId="527C452B">
      <w:pPr>
        <w:pStyle w:val="138"/>
        <w:rPr>
          <w:rFonts w:hint="eastAsia"/>
        </w:rPr>
      </w:pPr>
      <w:r>
        <w:t>污染物排放总量控制指标</w:t>
      </w:r>
    </w:p>
    <w:p w14:paraId="047661A2">
      <w:pPr>
        <w:pStyle w:val="117"/>
        <w:ind w:firstLine="480"/>
      </w:pPr>
      <w:r>
        <w:t>污染物排放总量控制的目的是要达到区域的环境（质量）目标，对特定的建设项目而言，实行污染物总量控制是为了确保实现所在区域的环境目标，总量控制目标确定的前提条件是“三废”达标排放，环境影响在环境质量标准的限制范围内，尽可能实现清洁生产。</w:t>
      </w:r>
    </w:p>
    <w:p w14:paraId="4C8C439D">
      <w:pPr>
        <w:pStyle w:val="117"/>
        <w:ind w:firstLine="480"/>
      </w:pPr>
      <w:r>
        <w:t>根据本项目生产特点、废气、废水、固废等性质及排放去向，在实现污染物达标排放和环境中污染物浓度达标的前提下，确定污染物排放总量控制指标。</w:t>
      </w:r>
    </w:p>
    <w:p w14:paraId="3C0ACDFB">
      <w:pPr>
        <w:pStyle w:val="117"/>
        <w:ind w:firstLine="480"/>
      </w:pPr>
      <w:r>
        <w:t>环境影响分析表明，只要按计划和要求采取一系列污染防治措施后，本项目将实现三废达标排放、在正常生产情况下对周围环境影响不显著，投产运营后，厂区周边环境能够满足环境质量功能要求。</w:t>
      </w:r>
    </w:p>
    <w:p w14:paraId="058CD7E6">
      <w:pPr>
        <w:pStyle w:val="117"/>
        <w:ind w:firstLine="480"/>
      </w:pPr>
      <w:bookmarkStart w:id="371" w:name="_Hlk98301239"/>
      <w:r>
        <w:rPr>
          <w:rFonts w:hint="eastAsia"/>
        </w:rPr>
        <w:t>根据技改后新增污染物排放量，</w:t>
      </w:r>
      <w:r>
        <w:t>环评推荐总量控制指标如下：</w:t>
      </w:r>
    </w:p>
    <w:p w14:paraId="07435180">
      <w:pPr>
        <w:pStyle w:val="117"/>
        <w:ind w:firstLine="480"/>
      </w:pPr>
      <w:bookmarkStart w:id="372" w:name="_Hlk98185391"/>
      <w:r>
        <w:rPr>
          <w:rFonts w:hint="eastAsia"/>
        </w:rPr>
        <w:t>本项目大气污染物：</w:t>
      </w:r>
      <w:r>
        <w:t>SO</w:t>
      </w:r>
      <w:r>
        <w:rPr>
          <w:vertAlign w:val="subscript"/>
        </w:rPr>
        <w:t xml:space="preserve">2 </w:t>
      </w:r>
      <w:r>
        <w:rPr>
          <w:rFonts w:hint="eastAsia"/>
        </w:rPr>
        <w:t>581.05</w:t>
      </w:r>
      <w:r>
        <w:t>t/a、NO</w:t>
      </w:r>
      <w:r>
        <w:rPr>
          <w:vertAlign w:val="subscript"/>
        </w:rPr>
        <w:t>X</w:t>
      </w:r>
      <w:r>
        <w:t xml:space="preserve"> </w:t>
      </w:r>
      <w:r>
        <w:rPr>
          <w:rFonts w:hint="eastAsia"/>
        </w:rPr>
        <w:t>104.06</w:t>
      </w:r>
      <w:r>
        <w:t>t/a</w:t>
      </w:r>
      <w:r>
        <w:rPr>
          <w:rFonts w:hint="eastAsia"/>
        </w:rPr>
        <w:t>、颗粒物</w:t>
      </w:r>
      <w:r>
        <w:rPr>
          <w:rFonts w:hint="eastAsia"/>
          <w:kern w:val="2"/>
          <w:szCs w:val="22"/>
        </w:rPr>
        <w:t>17.06</w:t>
      </w:r>
      <w:r>
        <w:t>t/a</w:t>
      </w:r>
      <w:r>
        <w:rPr>
          <w:rFonts w:hint="eastAsia"/>
        </w:rPr>
        <w:t>、</w:t>
      </w:r>
      <w:r>
        <w:t>挥发性有机物</w:t>
      </w:r>
      <w:r>
        <w:rPr>
          <w:rFonts w:hint="eastAsia"/>
        </w:rPr>
        <w:t>0.38</w:t>
      </w:r>
      <w:r>
        <w:t>t/a</w:t>
      </w:r>
      <w:r>
        <w:rPr>
          <w:rFonts w:hint="eastAsia"/>
        </w:rPr>
        <w:t>。</w:t>
      </w:r>
    </w:p>
    <w:bookmarkEnd w:id="371"/>
    <w:bookmarkEnd w:id="372"/>
    <w:p w14:paraId="3C9A3ECB">
      <w:pPr>
        <w:pStyle w:val="117"/>
        <w:ind w:firstLine="480"/>
      </w:pPr>
      <w:r>
        <w:rPr>
          <w:rFonts w:hint="eastAsia"/>
        </w:rPr>
        <w:t>本项目生产废水处理后回用，不外排，因此无需申请水污染物排放总量。</w:t>
      </w:r>
    </w:p>
    <w:p w14:paraId="0467BA6E">
      <w:pPr>
        <w:pStyle w:val="117"/>
        <w:ind w:firstLine="480"/>
      </w:pPr>
    </w:p>
    <w:bookmarkEnd w:id="272"/>
    <w:p w14:paraId="1A67C8C8">
      <w:pPr>
        <w:pStyle w:val="117"/>
        <w:ind w:firstLine="480"/>
        <w:sectPr>
          <w:pgSz w:w="11906" w:h="16838"/>
          <w:pgMar w:top="1440" w:right="1800" w:bottom="1440" w:left="1800" w:header="851" w:footer="992" w:gutter="0"/>
          <w:cols w:space="425" w:num="1"/>
          <w:docGrid w:type="lines" w:linePitch="312" w:charSpace="0"/>
        </w:sectPr>
      </w:pPr>
    </w:p>
    <w:p w14:paraId="1A8E6AB0">
      <w:pPr>
        <w:pStyle w:val="2"/>
        <w:spacing w:before="240"/>
      </w:pPr>
      <w:bookmarkStart w:id="373" w:name="_Toc30623"/>
      <w:bookmarkStart w:id="374" w:name="_Toc205291386"/>
      <w:bookmarkStart w:id="375" w:name="_Toc19888"/>
      <w:bookmarkStart w:id="376" w:name="_Toc45970059"/>
      <w:bookmarkStart w:id="377" w:name="_Toc18388"/>
      <w:bookmarkStart w:id="378" w:name="_Toc31991"/>
      <w:r>
        <w:rPr>
          <w:rFonts w:hint="eastAsia"/>
        </w:rPr>
        <w:t>环境现状调查与评价</w:t>
      </w:r>
      <w:bookmarkEnd w:id="373"/>
      <w:bookmarkEnd w:id="374"/>
      <w:bookmarkEnd w:id="375"/>
    </w:p>
    <w:p w14:paraId="649FA718">
      <w:pPr>
        <w:pStyle w:val="946"/>
      </w:pPr>
      <w:bookmarkStart w:id="379" w:name="_Toc205291387"/>
      <w:bookmarkStart w:id="380" w:name="_Toc5324"/>
      <w:bookmarkStart w:id="381" w:name="_Toc13808"/>
      <w:bookmarkStart w:id="382" w:name="_Toc207100248"/>
      <w:bookmarkStart w:id="383" w:name="_Toc215859257"/>
      <w:bookmarkStart w:id="384" w:name="_Toc209957519"/>
      <w:bookmarkStart w:id="385" w:name="_Toc267832843"/>
      <w:bookmarkStart w:id="386" w:name="_Toc213448386"/>
      <w:bookmarkStart w:id="387" w:name="_Toc162936601"/>
      <w:bookmarkStart w:id="388" w:name="_Toc207010345"/>
      <w:bookmarkStart w:id="389" w:name="_Toc325214868"/>
      <w:bookmarkStart w:id="390" w:name="_Toc222115179"/>
      <w:bookmarkStart w:id="391" w:name="_Toc213448553"/>
      <w:bookmarkStart w:id="392" w:name="_Toc213448231"/>
      <w:bookmarkStart w:id="393" w:name="_Toc145501367"/>
      <w:bookmarkStart w:id="394" w:name="_Toc222115672"/>
      <w:bookmarkStart w:id="395" w:name="_Toc121759111"/>
      <w:bookmarkStart w:id="396" w:name="_Toc213448819"/>
      <w:bookmarkStart w:id="397" w:name="_Toc213446800"/>
      <w:bookmarkStart w:id="398" w:name="_Toc98354574"/>
      <w:bookmarkStart w:id="399" w:name="_Toc206413379"/>
      <w:bookmarkStart w:id="400" w:name="_Toc213446780"/>
      <w:bookmarkStart w:id="401" w:name="_Toc222115894"/>
      <w:bookmarkStart w:id="402" w:name="_Toc215858902"/>
      <w:bookmarkStart w:id="403" w:name="_Toc419369868"/>
      <w:bookmarkStart w:id="404" w:name="_Toc142731707"/>
      <w:bookmarkStart w:id="405" w:name="_Toc210303648"/>
      <w:bookmarkStart w:id="406" w:name="_Toc213447292"/>
      <w:bookmarkStart w:id="407" w:name="_Toc222114796"/>
      <w:bookmarkStart w:id="408" w:name="_Toc93207227"/>
      <w:bookmarkStart w:id="409" w:name="_Toc101723088"/>
      <w:bookmarkStart w:id="410" w:name="_Toc101722619"/>
      <w:bookmarkStart w:id="411" w:name="_Toc121759117"/>
      <w:bookmarkStart w:id="412" w:name="_Toc222114507"/>
      <w:bookmarkStart w:id="413" w:name="_Toc88908165"/>
      <w:bookmarkStart w:id="414" w:name="_Toc222116136"/>
      <w:bookmarkStart w:id="415" w:name="_Toc186000275"/>
      <w:bookmarkStart w:id="416" w:name="_Toc215859174"/>
      <w:r>
        <w:rPr>
          <w:rFonts w:hint="eastAsia"/>
        </w:rPr>
        <w:t>自然环境现状调查与评价</w:t>
      </w:r>
      <w:bookmarkEnd w:id="379"/>
      <w:bookmarkEnd w:id="380"/>
      <w:bookmarkEnd w:id="381"/>
    </w:p>
    <w:p w14:paraId="5BDA36A8">
      <w:pPr>
        <w:pStyle w:val="138"/>
        <w:rPr>
          <w:rFonts w:hint="eastAsia"/>
        </w:rPr>
      </w:pPr>
      <w:bookmarkStart w:id="417" w:name="_Toc14799"/>
      <w:r>
        <w:rPr>
          <w:rFonts w:hint="eastAsia"/>
        </w:rPr>
        <w:t>地理位置</w:t>
      </w:r>
      <w:bookmarkEnd w:id="417"/>
    </w:p>
    <w:p w14:paraId="5D6FBD4C">
      <w:pPr>
        <w:pStyle w:val="117"/>
        <w:ind w:firstLine="480"/>
      </w:pPr>
      <w:r>
        <w:t>哈密市位于新疆维吾尔自治区东部，地理坐标介于。东连甘肃河西走廊，西接吐鲁番地区的鄯善县，北</w:t>
      </w:r>
      <w:r>
        <w:rPr>
          <w:rFonts w:hint="eastAsia"/>
        </w:rPr>
        <w:t>邻</w:t>
      </w:r>
      <w:r>
        <w:t xml:space="preserve">巴里坤哈萨克自治县和伊吾县，南与巴音郭楞蒙古自治州相连，东北与蒙古人民共和国比邻。市区面积27.98km2，城区西距乌鲁木齐市550km东距星星峡约200km。 </w:t>
      </w:r>
    </w:p>
    <w:p w14:paraId="22BDE687">
      <w:pPr>
        <w:pStyle w:val="117"/>
        <w:ind w:firstLine="480"/>
      </w:pPr>
      <w:r>
        <w:t>本项目位于新疆维吾尔自治区哈密市、</w:t>
      </w:r>
      <w:r>
        <w:rPr>
          <w:rFonts w:hint="eastAsia"/>
        </w:rPr>
        <w:t>哈密高新技术产业开发区</w:t>
      </w:r>
      <w:r>
        <w:t>重工业加工区。</w:t>
      </w:r>
      <w:r>
        <w:rPr>
          <w:rFonts w:hint="eastAsia"/>
        </w:rPr>
        <w:t>哈密高新技术产业开发区</w:t>
      </w:r>
      <w:r>
        <w:t>重工业加工区位于哈密市西南部，距哈密市环城南路10公里，距哈密市火车站16 公里，北距312国道22公里，与哈若公路毗邻。</w:t>
      </w:r>
    </w:p>
    <w:p w14:paraId="6A417B51">
      <w:pPr>
        <w:pStyle w:val="117"/>
        <w:ind w:firstLine="480"/>
      </w:pPr>
      <w:r>
        <w:t>项目地理位置见图</w:t>
      </w:r>
      <w:r>
        <w:rPr>
          <w:rFonts w:hint="eastAsia"/>
        </w:rPr>
        <w:t>4</w:t>
      </w:r>
      <w:r>
        <w:t>.1-1所示。</w:t>
      </w:r>
    </w:p>
    <w:p w14:paraId="6D24CE0E">
      <w:pPr>
        <w:pStyle w:val="117"/>
        <w:ind w:firstLine="480"/>
      </w:pPr>
    </w:p>
    <w:p w14:paraId="3801E40D">
      <w:pPr>
        <w:pStyle w:val="117"/>
        <w:ind w:firstLine="0" w:firstLineChars="0"/>
        <w:sectPr>
          <w:footerReference r:id="rId21" w:type="even"/>
          <w:pgSz w:w="11906" w:h="16838"/>
          <w:pgMar w:top="1418" w:right="1286" w:bottom="1418" w:left="1531" w:header="851" w:footer="992" w:gutter="0"/>
          <w:cols w:space="720" w:num="1"/>
          <w:docGrid w:linePitch="312" w:charSpace="0"/>
        </w:sectPr>
      </w:pPr>
    </w:p>
    <w:p w14:paraId="19F9E440">
      <w:pPr>
        <w:pStyle w:val="133"/>
      </w:pPr>
      <w:r>
        <w:t xml:space="preserve"> </w:t>
      </w:r>
    </w:p>
    <w:p w14:paraId="22B62386">
      <w:pPr>
        <w:pStyle w:val="38"/>
        <w:ind w:firstLine="480"/>
        <w:sectPr>
          <w:pgSz w:w="16838" w:h="11906" w:orient="landscape"/>
          <w:pgMar w:top="1531" w:right="1418" w:bottom="1286" w:left="1418" w:header="851" w:footer="992" w:gutter="0"/>
          <w:cols w:space="720" w:num="1"/>
          <w:docGrid w:linePitch="326" w:charSpace="0"/>
        </w:sectPr>
      </w:pPr>
    </w:p>
    <w:p w14:paraId="407D8EF7">
      <w:pPr>
        <w:pStyle w:val="138"/>
        <w:rPr>
          <w:rFonts w:hint="eastAsia"/>
        </w:rPr>
      </w:pPr>
      <w:r>
        <w:rPr>
          <w:rFonts w:hint="eastAsia"/>
        </w:rPr>
        <w:t>地质条件</w:t>
      </w:r>
    </w:p>
    <w:p w14:paraId="2BE277EB">
      <w:pPr>
        <w:pStyle w:val="117"/>
        <w:ind w:firstLine="480"/>
      </w:pPr>
      <w:r>
        <w:t>哈密市位于天山山系东端，天山山南凹陷带的山麓平原上，是一个封闭式盆地，地形北高南低。哈密平原由东北向西南缓倾；海拔高程700</w:t>
      </w:r>
      <w:r>
        <w:rPr>
          <w:rFonts w:hint="eastAsia"/>
        </w:rPr>
        <w:t>～</w:t>
      </w:r>
      <w:r>
        <w:t xml:space="preserve">1500m。由天山山前冲洪积倾斜平原、南部干燥剥蚀平原和小片沙丘地组成。 </w:t>
      </w:r>
    </w:p>
    <w:p w14:paraId="2A1F3236">
      <w:pPr>
        <w:pStyle w:val="117"/>
        <w:ind w:firstLine="480"/>
      </w:pPr>
      <w:r>
        <w:t>该场址的总体地貌形态为低山剥蚀丘陵，总的地形北高南低，地形起伏较大，地面高程为555.55~562.59之间，最大高差约7.04m，地形坡度约为0.7％。整个场地地表以冲洪积</w:t>
      </w:r>
      <w:r>
        <w:rPr>
          <w:rFonts w:hint="eastAsia"/>
        </w:rPr>
        <w:t>砂砾</w:t>
      </w:r>
      <w:r>
        <w:t>层为主。</w:t>
      </w:r>
    </w:p>
    <w:p w14:paraId="09D6122B">
      <w:pPr>
        <w:pStyle w:val="138"/>
        <w:rPr>
          <w:rFonts w:hint="eastAsia"/>
        </w:rPr>
      </w:pPr>
      <w:r>
        <w:rPr>
          <w:rFonts w:hint="eastAsia"/>
        </w:rPr>
        <w:t>水文地质</w:t>
      </w:r>
    </w:p>
    <w:p w14:paraId="7483B936">
      <w:pPr>
        <w:pStyle w:val="117"/>
        <w:ind w:firstLine="480"/>
      </w:pPr>
      <w:r>
        <w:t>该区域属吐鲁番-哈密山间凹陷，是华力西褶皱基底上发展起来的中新生代凹陷。出露地层有三叠系、侏罗系、白垩系、第三系和第四系。沉降幅度北深南浅，沉积厚度4000</w:t>
      </w:r>
      <w:r>
        <w:rPr>
          <w:rFonts w:hint="eastAsia"/>
        </w:rPr>
        <w:t>～</w:t>
      </w:r>
      <w:r>
        <w:t xml:space="preserve">8000m，断块的差异降为本凹陷的显著构造特色。根据收集的资料显示，项目区及附近无活动断裂发育。根据中国地震局编制《中国地震烈度区划图》，本区地震烈度为Ⅵ度。 </w:t>
      </w:r>
    </w:p>
    <w:p w14:paraId="7C65324B">
      <w:pPr>
        <w:pStyle w:val="117"/>
        <w:ind w:firstLine="480"/>
      </w:pPr>
      <w:r>
        <w:t>哈密市地表水多发源于天山之中的冰川，这些冰川多集中在天山主脉的哈尔里克山和巴里坤山，资源量达67.5×108m3，市境内有大小山水沟29条，北南流向，出山口处年均</w:t>
      </w:r>
      <w:r>
        <w:rPr>
          <w:rFonts w:hint="eastAsia"/>
        </w:rPr>
        <w:t>径</w:t>
      </w:r>
      <w:r>
        <w:t>流量4.5×108m3，有大小泉水近千眼，多集中在城区东西河坝，地下水储量3.16×108m3，年开采量已达5.23×108m3，开采方式多为机井、</w:t>
      </w:r>
      <w:r>
        <w:rPr>
          <w:rFonts w:hint="eastAsia"/>
        </w:rPr>
        <w:t>坎儿井</w:t>
      </w:r>
      <w:r>
        <w:t xml:space="preserve">等。哈密盆地内无常年流水河流，主要靠巴里坤山和哈尔里克山的14条季节性河流和泉流向盆地内汇集，年径流量约1×108m3。除部分河水如：石城子河、榆树沟、庙尔沟修建引水渠将河水引入灌区外，大部分河水流出山口后不远便在戈壁地带渗入地下，转化为地下径流，形成了哈密市以地表引水、地下提水并重的绿洲灌溉农业体系。 </w:t>
      </w:r>
    </w:p>
    <w:p w14:paraId="514753D1">
      <w:pPr>
        <w:pStyle w:val="117"/>
        <w:ind w:firstLine="480"/>
      </w:pPr>
      <w:r>
        <w:t>项目区域内无</w:t>
      </w:r>
      <w:r>
        <w:rPr>
          <w:rFonts w:hint="eastAsia"/>
        </w:rPr>
        <w:t>常年性</w:t>
      </w:r>
      <w:r>
        <w:t>地表水流，且无季节性冲沟分布。曾经有季节水流的库尔克果勒，流向为南湖乡向西南方向的沙尔湖。由于上游来水减少，南湖水库和花园子水库的拦蓄，已于</w:t>
      </w:r>
      <w:r>
        <w:rPr>
          <w:rFonts w:hint="eastAsia"/>
        </w:rPr>
        <w:t>20世纪90年代</w:t>
      </w:r>
      <w:r>
        <w:t xml:space="preserve">彻底断流。 </w:t>
      </w:r>
    </w:p>
    <w:p w14:paraId="38675A69">
      <w:pPr>
        <w:pStyle w:val="117"/>
        <w:ind w:firstLine="480"/>
      </w:pPr>
      <w:r>
        <w:t xml:space="preserve">根据《新疆哈密盆地地下水资源潜力研究》（2002 年），项目所在的哈密盆地以 沙诺尔湖—库如克郭勒沟—长干沟为界分为两个地下水系统，即北部巴坤山—哈尔里克山山前倾斜平原地下水系统和南部觉罗塔格山北麓地下水系统，北部巴坤山区为哈尔里克山山前倾斜平原地下水系统的地下水的补给区。 </w:t>
      </w:r>
    </w:p>
    <w:p w14:paraId="70042DAE">
      <w:pPr>
        <w:pStyle w:val="117"/>
        <w:ind w:firstLine="480"/>
      </w:pPr>
      <w:r>
        <w:t xml:space="preserve">沙诺尔湖为哈密盆地地下水最终排泄处，受气象、水文、地形地貌、补给条件、 地层岩性，区域构造等多种因素的控制，地下水的形成与富集，以库如克郭勒沟—南湖断裂为界；北部山区—平原区降水丰富，地表水丰富、地下水补给条件好，含水层厚度大、富水性好；南部低山丘陵区降水较少，地下水补给条件差，且风化裂隙和构造裂隙分布不均，地下水极为贫乏。 </w:t>
      </w:r>
    </w:p>
    <w:p w14:paraId="6B596D9C">
      <w:pPr>
        <w:pStyle w:val="117"/>
        <w:ind w:firstLine="480"/>
      </w:pPr>
      <w:r>
        <w:t>新疆哈密盆地地下水按其赋存特征、含水层岩性及水动力特征，可划分为：第四系松散岩类孔隙水、第三系碎屑岩类孔隙裂隙水和基岩裂隙水三种基本类型。</w:t>
      </w:r>
    </w:p>
    <w:p w14:paraId="60CEEE2F">
      <w:pPr>
        <w:pStyle w:val="117"/>
        <w:ind w:firstLine="480"/>
      </w:pPr>
      <w:r>
        <w:rPr>
          <w:rFonts w:hint="eastAsia"/>
        </w:rPr>
        <w:t>（1）</w:t>
      </w:r>
      <w:r>
        <w:t xml:space="preserve">第四系松散岩类孔隙潜水 </w:t>
      </w:r>
    </w:p>
    <w:p w14:paraId="7D946C4B">
      <w:pPr>
        <w:pStyle w:val="117"/>
        <w:ind w:firstLine="480"/>
      </w:pPr>
      <w:r>
        <w:t xml:space="preserve">主要分布于山前冲洪积平原，按地下水类型可划分为第四系松散岩类孔隙潜水和第四系松散岩类孔隙水—承压水及自流水。 </w:t>
      </w:r>
    </w:p>
    <w:p w14:paraId="420B76AD">
      <w:pPr>
        <w:pStyle w:val="117"/>
        <w:ind w:firstLine="480"/>
      </w:pPr>
      <w:r>
        <w:t xml:space="preserve">第四系松散岩类孔隙潜水 </w:t>
      </w:r>
    </w:p>
    <w:p w14:paraId="4CD4A762">
      <w:pPr>
        <w:pStyle w:val="117"/>
        <w:ind w:firstLine="480"/>
      </w:pPr>
      <w:r>
        <w:t>根据《新疆哈密盆地地下水资源潜力研究》（2002 年），哈密盆地第四系松散岩类孔隙潜水主要分布于连霍高速公路（G30线）以北的戈壁砾石带，含水层岩性为卵砾石、砂砾石和含砾中粗砂，由扇顶至扇缘，含水层颗粒由粗变细，含水层厚度由厚变薄，水位埋深由深变浅。连霍高速公路（G30线）北部含水层厚度20～80m，潜水埋20～80m，二堡拱拜尔湾—火石镇单井涌水量1000～3000m3/d，渗透系数6～5m/d；拱拜尔湾以西单井涌水量500～1000m3/d，渗透系数5～21m/d；火石镇以东至 大泉湾四道城一带，单井涌水量大于3000m3/d，平均渗透系数27.74m/d；碱泉子和平原区中下部的骆驼圈子一带，单井涌水量为100～1000m3/d，平均渗透系数11.66m/d。 地下水动态类型为水文性，枯水期为8～9 月份，丰水期为5 月份，地下水化学类型为HCO3-Ca·Na、HCO3-Na·Ca或HCO3·SO4-Ca·Na型，矿化度一般小于0.5g/L，地下水平均水力坡度6</w:t>
      </w:r>
      <w:r>
        <w:rPr>
          <w:rFonts w:hint="eastAsia"/>
        </w:rPr>
        <w:t>%～</w:t>
      </w:r>
      <w:r>
        <w:t>9</w:t>
      </w:r>
      <w:r>
        <w:rPr>
          <w:rFonts w:hint="eastAsia"/>
        </w:rPr>
        <w:t>%</w:t>
      </w:r>
      <w:r>
        <w:t>，径流条件较好。</w:t>
      </w:r>
    </w:p>
    <w:p w14:paraId="152640F5">
      <w:pPr>
        <w:pStyle w:val="117"/>
        <w:ind w:firstLine="480"/>
      </w:pPr>
      <w:r>
        <w:rPr>
          <w:rFonts w:ascii="Cambria Math" w:hAnsi="Cambria Math" w:cs="Cambria Math"/>
        </w:rPr>
        <w:t>②</w:t>
      </w:r>
      <w:r>
        <w:t xml:space="preserve">第四系松散岩类孔隙潜水—承压水哈密盆地第四系松散岩类孔隙潜水—承压水主要分布在梯子—骆驼圈子一带、连霍高速公路（G30线）沿线以南的细土平原。上部潜水含水层厚度一般2～7m，岩性为中细砂，水位埋深小于5m，渗透系数3～5m/d，单井涌水量小于100m3 /d，水化学类型为SO4·Cl-Na·Ca 型，矿化度0.7～3g/L，多以溢出泉、潜水蒸发形式排泄。承压含水层厚度20～40m，岩性多为砂砾石、中细砂，顶板埋深小于30m，水位埋深小于15m，低洼地带丰水期地下水自流，水头高于地面0.35～1.0m，火石泉以东、连霍高速公路（G30线）以南3km 内，单井涌水量大于3000m3 /d，含水层渗透系数为15～70m/d；二堡以东，回城、红星四场以北，单井涌水量多为1000～3000m3/d，渗透系数3～50m/d；二堡以西，三道岭—四堡—开可尔吐尔以北单井涌水量500～1000m3/d，渗透系数为4～21m/d；梯子泉以南3km、三道岭—居吉木布拉克—支边农场—拉克苏木—ZK12孔以北，含水层厚度变为10～30m，单井涌水量为100～500m3/d，渗透系数为4～100m/d；该带以南，第四系厚度仅为数米或出露第三系，其第四系单井涌水量小于100m3/d，供水意义不大。水化学类型由北向南由HCO3·SO4-Ca·Na 变为Cl·SO4-Ca·Na 型，矿化度0.5～3g/L，地下水流向西部75º或东部225º；潜水动态变化为开采型或气象型，年水位变幅较小，一般为 0.3～0.7m，承压水动态变化为水文—开采型，受地表径流和地下水开采影响，枯水期为8 月份，丰水期为4 月份，年水位变幅0.3～3.0m。 </w:t>
      </w:r>
    </w:p>
    <w:p w14:paraId="7796AF1F">
      <w:pPr>
        <w:pStyle w:val="117"/>
        <w:ind w:firstLine="480"/>
      </w:pPr>
      <w:r>
        <w:t xml:space="preserve">（2）第三系碎屑岩类孔隙水 </w:t>
      </w:r>
    </w:p>
    <w:p w14:paraId="6AC93A56">
      <w:pPr>
        <w:pStyle w:val="117"/>
        <w:ind w:firstLine="480"/>
      </w:pPr>
      <w:r>
        <w:t>A</w:t>
      </w:r>
      <w:r>
        <w:rPr>
          <w:rFonts w:hint="eastAsia"/>
        </w:rPr>
        <w:t>.</w:t>
      </w:r>
      <w:r>
        <w:t xml:space="preserve">第三系浅水层 </w:t>
      </w:r>
    </w:p>
    <w:p w14:paraId="44CFDBAB">
      <w:pPr>
        <w:pStyle w:val="117"/>
        <w:ind w:firstLine="480"/>
      </w:pPr>
      <w:r>
        <w:rPr>
          <w:rFonts w:hint="eastAsia"/>
        </w:rPr>
        <w:t>①</w:t>
      </w:r>
      <w:r>
        <w:t xml:space="preserve">第三系碎屑岩类孔隙潜水在区内南部出露，范围不大，由于区内降水稀少，蒸发强烈，且该带所处地势较高，不利于地下水补给。此外，含水层颗粒较细。因此，富水性较差，单井涌水量一般小于100m3/d，水质差，多为Cl·SO4-Na·Mg型或Cl-Na 型水。 </w:t>
      </w:r>
    </w:p>
    <w:p w14:paraId="752B14A5">
      <w:pPr>
        <w:pStyle w:val="117"/>
        <w:ind w:firstLine="480"/>
      </w:pPr>
      <w:r>
        <w:rPr>
          <w:rFonts w:ascii="Cambria Math" w:hAnsi="Cambria Math" w:cs="Cambria Math"/>
        </w:rPr>
        <w:t>②</w:t>
      </w:r>
      <w:r>
        <w:t xml:space="preserve">第三系碎屑岩类孔隙承压水主要出露于五堡—长流水—骆驼圈子一带，或下伏于第四系地层之下，分布面积大。含水层多由第三系葡萄沟组砂岩、砂砾岩或泥质粉砂岩组成。据钻孔揭露100m 深度内，有两个较稳定的含水层，含水层总厚度为15～50m。含水层顶板埋深由北向南变浅，由钻孔揭露200m 深度范围为20～130m，其中以红光车站—三道城—骆驼圈子—庙尔沟为界，北部顶板埋深大于50m，南部至沙尔湖一带小于50m，东部骆驼圈子—庙尔沟以南地带大于100m。火石镇—十里牛房—红星四场以北单井涌水量大于1000m3/d，渗透系数10～64.9m/d，水化学类型为HCO3-Ca·Na 型，矿化度小于0.5g/L；该带以南，柳树泉农场—长流水以北，单井涌水量一般为500～1000m3/d ，渗透系数15～34.34m/d，水化学类型多为Cl·SO4-Na·Mg 型，矿化度在1.0～4.3g/L，五堡—长流水一带水质较好，矿化度小于0.5g/L，为HCO3·SO4-Na·Ca 型水；该带以南单井涌水量小于500m3/d，渗透系数14.4～21.74m/d。根据测试，第三系浅层地下水（80～150m）与第四系地下水具有同一补给源，上游区含水层由于颗粒较粗，孔隙、裂隙发育，地下水径流条件较好。第三系浅层水与第四系含水层之间水力联系密切，共同构成北部巴里坤山—哈尔里克山山前倾斜平原地下水系统的一个子系统。 </w:t>
      </w:r>
    </w:p>
    <w:p w14:paraId="10C402DE">
      <w:pPr>
        <w:pStyle w:val="117"/>
        <w:ind w:firstLine="480"/>
      </w:pPr>
      <w:r>
        <w:t>B</w:t>
      </w:r>
      <w:r>
        <w:rPr>
          <w:rFonts w:hint="eastAsia"/>
        </w:rPr>
        <w:t>.</w:t>
      </w:r>
      <w:r>
        <w:t xml:space="preserve">第三系深层承压水（第四系下伏60～100m以下的地下水） </w:t>
      </w:r>
    </w:p>
    <w:p w14:paraId="4AAEBB1E">
      <w:pPr>
        <w:pStyle w:val="117"/>
        <w:ind w:firstLine="480"/>
      </w:pPr>
      <w:r>
        <w:rPr>
          <w:rFonts w:hint="eastAsia"/>
        </w:rPr>
        <w:t>①</w:t>
      </w:r>
      <w:r>
        <w:t>顶板隔水层根据区内钻孔资料，第三系深层承压水隔水顶板埋深80～150m，厚度一般20～35m，厚者大于100m。岩性为泥岩、</w:t>
      </w:r>
      <w:r>
        <w:rPr>
          <w:rFonts w:hint="eastAsia"/>
        </w:rPr>
        <w:t>砂质</w:t>
      </w:r>
      <w:r>
        <w:t xml:space="preserve">泥岩。该层在平原区基本构成了一个较完整的隔水层，使上层第四系—第三系浅层含水层与深层第三系承压含水层相对水力联系微弱，构成北部巴里坤山—哈尔里克山山前倾斜平原地下水系统的另一子系统，形成上下两个单独的地下水亚系统，具体参见图6-2-2。 </w:t>
      </w:r>
    </w:p>
    <w:p w14:paraId="2C4D37C7">
      <w:pPr>
        <w:pStyle w:val="117"/>
        <w:ind w:firstLine="480"/>
      </w:pPr>
      <w:r>
        <w:rPr>
          <w:rFonts w:ascii="Cambria Math" w:hAnsi="Cambria Math" w:cs="Cambria Math"/>
        </w:rPr>
        <w:t>②</w:t>
      </w:r>
      <w:r>
        <w:t>含水层岩性、厚度及涌水量根据《新疆哈密盆地地下水资源潜力研究》（2002 年），哈密盆地第三系深层承压含水层主要为第三系上新统葡萄沟组第二层孔隙、裂隙承压含水岩组，该含水层主要接受山区基岩裂隙水的侧向径流补给，水量较丰富，水质良好。</w:t>
      </w:r>
    </w:p>
    <w:p w14:paraId="2961AAE1">
      <w:pPr>
        <w:pStyle w:val="117"/>
        <w:ind w:firstLine="480"/>
      </w:pPr>
      <w:r>
        <w:rPr>
          <w:rFonts w:hint="eastAsia"/>
        </w:rPr>
        <w:t>（3）</w:t>
      </w:r>
      <w:r>
        <w:t xml:space="preserve">基岩裂隙水 </w:t>
      </w:r>
    </w:p>
    <w:p w14:paraId="22E54E8F">
      <w:pPr>
        <w:pStyle w:val="117"/>
        <w:ind w:firstLine="480"/>
      </w:pPr>
      <w:r>
        <w:t xml:space="preserve">为赋存于古生代地层及侵入岩等各种成因的裂隙中的地下水，广泛分布于北部基岩山区及南部低山丘陵区。其富水性受岩性、构造、地形、地貌和补给因素控制，尤以降水分配影响最为明显，随地势的变化，呈现出中高山区水量丰富，低山区中等，丘陵区贫乏的规律。 </w:t>
      </w:r>
    </w:p>
    <w:p w14:paraId="52038F1A">
      <w:pPr>
        <w:pStyle w:val="117"/>
        <w:ind w:firstLine="480"/>
      </w:pPr>
      <w:r>
        <w:t>北部山区水量大，具有丰富的冰雪融水分布，补给条件好，故含水层富水性较好，其单泉流量1.05～19.641L/s，水化学类型为HCO3-Ca 型，矿化度小于0.3g/L；南部低山丘陵区，由于补给条件差，水量贫乏，一般水位埋深大于20m，单井涌水量小于10m</w:t>
      </w:r>
      <w:r>
        <w:rPr>
          <w:vertAlign w:val="superscript"/>
        </w:rPr>
        <w:t>3</w:t>
      </w:r>
      <w:r>
        <w:t>/d，多为Cl·SO4</w:t>
      </w:r>
      <w:r>
        <w:rPr>
          <w:rFonts w:hint="eastAsia"/>
        </w:rPr>
        <w:t>-</w:t>
      </w:r>
      <w:r>
        <w:t>Na型，矿化度14～40g/L。</w:t>
      </w:r>
    </w:p>
    <w:p w14:paraId="6D95B966">
      <w:pPr>
        <w:pStyle w:val="138"/>
        <w:rPr>
          <w:rFonts w:hint="eastAsia"/>
        </w:rPr>
      </w:pPr>
      <w:r>
        <w:rPr>
          <w:rFonts w:hint="eastAsia"/>
        </w:rPr>
        <w:t>气象气候</w:t>
      </w:r>
    </w:p>
    <w:p w14:paraId="23F67FE8">
      <w:pPr>
        <w:pStyle w:val="117"/>
        <w:ind w:firstLine="480"/>
      </w:pPr>
      <w:r>
        <w:t>哈密地区位于中纬度亚欧大陆腹地，由于天山山脉</w:t>
      </w:r>
      <w:r>
        <w:rPr>
          <w:rFonts w:hint="eastAsia"/>
        </w:rPr>
        <w:t>横</w:t>
      </w:r>
      <w:r>
        <w:t>亘于北部，加之山南多为荒漠戈壁，本地区具有很强的大陆性温带干旱气候特点，本项目所在的哈密盆地的气候分区为暖温带极干旱区。气候特征为：干燥少雨，光照充沛，年、日温差大，春季多风，冷暖多变，夏季酷热，蒸发强烈 ，秋季晴朗，降温迅速，冬季严寒酷冷。</w:t>
      </w:r>
    </w:p>
    <w:p w14:paraId="4295B8E1">
      <w:pPr>
        <w:pStyle w:val="117"/>
        <w:ind w:firstLine="480"/>
      </w:pPr>
      <w:r>
        <w:t>哈密气象站资料：</w:t>
      </w:r>
    </w:p>
    <w:p w14:paraId="04E2622A">
      <w:pPr>
        <w:pStyle w:val="117"/>
        <w:ind w:firstLine="480"/>
      </w:pPr>
      <w:r>
        <w:t xml:space="preserve">最热月平均气温 </w:t>
      </w:r>
      <w:r>
        <w:rPr>
          <w:rFonts w:hint="eastAsia"/>
        </w:rPr>
        <w:t xml:space="preserve">          </w:t>
      </w:r>
      <w:r>
        <w:t>27.2℃</w:t>
      </w:r>
    </w:p>
    <w:p w14:paraId="7BDC913D">
      <w:pPr>
        <w:pStyle w:val="117"/>
        <w:ind w:firstLine="480"/>
      </w:pPr>
      <w:r>
        <w:t xml:space="preserve">最冷月平均气温 </w:t>
      </w:r>
      <w:r>
        <w:rPr>
          <w:rFonts w:hint="eastAsia"/>
        </w:rPr>
        <w:t xml:space="preserve">          </w:t>
      </w:r>
      <w:r>
        <w:t>-9.0℃</w:t>
      </w:r>
    </w:p>
    <w:p w14:paraId="57BCC2E6">
      <w:pPr>
        <w:pStyle w:val="117"/>
        <w:ind w:firstLine="480"/>
      </w:pPr>
      <w:r>
        <w:t xml:space="preserve">极端最高气温 </w:t>
      </w:r>
      <w:r>
        <w:rPr>
          <w:rFonts w:hint="eastAsia"/>
        </w:rPr>
        <w:t xml:space="preserve">            </w:t>
      </w:r>
      <w:r>
        <w:t>43.9℃</w:t>
      </w:r>
    </w:p>
    <w:p w14:paraId="7F8DE790">
      <w:pPr>
        <w:pStyle w:val="117"/>
        <w:ind w:firstLine="480"/>
      </w:pPr>
      <w:r>
        <w:t xml:space="preserve">极端最低气温 </w:t>
      </w:r>
      <w:r>
        <w:rPr>
          <w:rFonts w:hint="eastAsia"/>
        </w:rPr>
        <w:t xml:space="preserve">            </w:t>
      </w:r>
      <w:r>
        <w:t>-32.0℃</w:t>
      </w:r>
    </w:p>
    <w:p w14:paraId="01F982BE">
      <w:pPr>
        <w:pStyle w:val="117"/>
        <w:ind w:firstLine="480"/>
      </w:pPr>
      <w:r>
        <w:t xml:space="preserve">年平均气温 </w:t>
      </w:r>
      <w:r>
        <w:rPr>
          <w:rFonts w:hint="eastAsia"/>
        </w:rPr>
        <w:t xml:space="preserve">              </w:t>
      </w:r>
      <w:r>
        <w:t>10℃</w:t>
      </w:r>
    </w:p>
    <w:p w14:paraId="5C195736">
      <w:pPr>
        <w:pStyle w:val="117"/>
        <w:ind w:firstLine="480"/>
      </w:pPr>
      <w:r>
        <w:t xml:space="preserve">年降水量 </w:t>
      </w:r>
      <w:r>
        <w:rPr>
          <w:rFonts w:hint="eastAsia"/>
        </w:rPr>
        <w:t xml:space="preserve">                </w:t>
      </w:r>
      <w:r>
        <w:t>34.6mm</w:t>
      </w:r>
    </w:p>
    <w:p w14:paraId="5333A88E">
      <w:pPr>
        <w:pStyle w:val="117"/>
        <w:ind w:firstLine="480"/>
      </w:pPr>
      <w:r>
        <w:t xml:space="preserve">一日最大降水量 </w:t>
      </w:r>
      <w:r>
        <w:rPr>
          <w:rFonts w:hint="eastAsia"/>
        </w:rPr>
        <w:t xml:space="preserve">          </w:t>
      </w:r>
      <w:r>
        <w:t>19.9mm</w:t>
      </w:r>
    </w:p>
    <w:p w14:paraId="7FD63CAE">
      <w:pPr>
        <w:pStyle w:val="117"/>
        <w:ind w:firstLine="480"/>
      </w:pPr>
      <w:r>
        <w:t xml:space="preserve">年最大降水量 </w:t>
      </w:r>
      <w:r>
        <w:rPr>
          <w:rFonts w:hint="eastAsia"/>
        </w:rPr>
        <w:t xml:space="preserve">            </w:t>
      </w:r>
      <w:r>
        <w:t>66.3mm</w:t>
      </w:r>
    </w:p>
    <w:p w14:paraId="58E2CB08">
      <w:pPr>
        <w:pStyle w:val="117"/>
        <w:ind w:firstLine="480"/>
      </w:pPr>
      <w:r>
        <w:t xml:space="preserve">年最小降水量 </w:t>
      </w:r>
      <w:r>
        <w:rPr>
          <w:rFonts w:hint="eastAsia"/>
        </w:rPr>
        <w:t xml:space="preserve">            </w:t>
      </w:r>
      <w:r>
        <w:t>9.6mm</w:t>
      </w:r>
    </w:p>
    <w:p w14:paraId="0F93DA6F">
      <w:pPr>
        <w:pStyle w:val="117"/>
        <w:ind w:firstLine="480"/>
      </w:pPr>
      <w:r>
        <w:t xml:space="preserve">蒸发量 </w:t>
      </w:r>
      <w:r>
        <w:rPr>
          <w:rFonts w:hint="eastAsia"/>
        </w:rPr>
        <w:t xml:space="preserve">                  </w:t>
      </w:r>
      <w:r>
        <w:t>3092mm</w:t>
      </w:r>
    </w:p>
    <w:p w14:paraId="362F96B6">
      <w:pPr>
        <w:pStyle w:val="117"/>
        <w:ind w:firstLine="480"/>
      </w:pPr>
      <w:r>
        <w:t xml:space="preserve">年大风天数 </w:t>
      </w:r>
      <w:r>
        <w:rPr>
          <w:rFonts w:hint="eastAsia"/>
        </w:rPr>
        <w:t xml:space="preserve">              </w:t>
      </w:r>
      <w:r>
        <w:t>22.2 天</w:t>
      </w:r>
    </w:p>
    <w:p w14:paraId="5AB59B68">
      <w:pPr>
        <w:pStyle w:val="117"/>
        <w:ind w:firstLine="480"/>
      </w:pPr>
      <w:r>
        <w:t xml:space="preserve">瞬时最大风速 </w:t>
      </w:r>
      <w:r>
        <w:rPr>
          <w:rFonts w:hint="eastAsia"/>
        </w:rPr>
        <w:t xml:space="preserve">            </w:t>
      </w:r>
      <w:r>
        <w:t>26m/s</w:t>
      </w:r>
    </w:p>
    <w:p w14:paraId="0417D614">
      <w:pPr>
        <w:pStyle w:val="117"/>
        <w:ind w:firstLine="480"/>
      </w:pPr>
      <w:r>
        <w:t xml:space="preserve">平均风速 </w:t>
      </w:r>
      <w:r>
        <w:rPr>
          <w:rFonts w:hint="eastAsia"/>
        </w:rPr>
        <w:t xml:space="preserve">                </w:t>
      </w:r>
      <w:r>
        <w:t>2.8m/s</w:t>
      </w:r>
    </w:p>
    <w:p w14:paraId="217C62F5">
      <w:pPr>
        <w:pStyle w:val="117"/>
        <w:ind w:firstLine="480"/>
      </w:pPr>
      <w:r>
        <w:t xml:space="preserve">主导风向 </w:t>
      </w:r>
      <w:r>
        <w:rPr>
          <w:rFonts w:hint="eastAsia"/>
        </w:rPr>
        <w:t xml:space="preserve">                </w:t>
      </w:r>
      <w:r>
        <w:t>东北风</w:t>
      </w:r>
    </w:p>
    <w:p w14:paraId="3BED127E">
      <w:pPr>
        <w:pStyle w:val="117"/>
        <w:ind w:firstLine="480"/>
      </w:pPr>
      <w:r>
        <w:t xml:space="preserve">最大积雪深度 </w:t>
      </w:r>
      <w:r>
        <w:rPr>
          <w:rFonts w:hint="eastAsia"/>
        </w:rPr>
        <w:t xml:space="preserve">            </w:t>
      </w:r>
      <w:r>
        <w:t>16.0mm</w:t>
      </w:r>
    </w:p>
    <w:p w14:paraId="10EB3C2D">
      <w:pPr>
        <w:pStyle w:val="117"/>
        <w:ind w:firstLine="480"/>
      </w:pPr>
      <w:r>
        <w:t xml:space="preserve">最大冻土深度 </w:t>
      </w:r>
      <w:r>
        <w:rPr>
          <w:rFonts w:hint="eastAsia"/>
        </w:rPr>
        <w:t xml:space="preserve">            </w:t>
      </w:r>
      <w:r>
        <w:t>127.0cm</w:t>
      </w:r>
    </w:p>
    <w:p w14:paraId="2B703A01">
      <w:pPr>
        <w:pStyle w:val="138"/>
        <w:rPr>
          <w:rFonts w:hint="eastAsia"/>
        </w:rPr>
      </w:pPr>
      <w:r>
        <w:rPr>
          <w:rFonts w:hint="eastAsia"/>
        </w:rPr>
        <w:t>土壤、植被和野生动物</w:t>
      </w:r>
    </w:p>
    <w:p w14:paraId="0B6DFFEC">
      <w:pPr>
        <w:pStyle w:val="117"/>
        <w:ind w:firstLine="480"/>
      </w:pPr>
      <w:r>
        <w:t>根据收集的资料以及现状调查，评价区内的土壤类型主要有3种，分别为棕漠土、草甸盐土、灌耕土。本项目工程区内分布红棕色棕漠土。</w:t>
      </w:r>
    </w:p>
    <w:p w14:paraId="15FFC61F">
      <w:pPr>
        <w:pStyle w:val="117"/>
        <w:ind w:firstLine="480"/>
      </w:pPr>
      <w:r>
        <w:t>本项目工程区地表多为砂砾石所覆盖，无植被生长。本项目区地处南湖戈壁， 极度干旱，地表寸草不生、无地表水源、地下水出露，在此区域内无野生动物活动。</w:t>
      </w:r>
    </w:p>
    <w:p w14:paraId="10604E62">
      <w:pPr>
        <w:pStyle w:val="138"/>
        <w:rPr>
          <w:rFonts w:hint="eastAsia"/>
        </w:rPr>
      </w:pPr>
      <w:r>
        <w:rPr>
          <w:rFonts w:hint="eastAsia"/>
        </w:rPr>
        <w:t>自然景观</w:t>
      </w:r>
    </w:p>
    <w:p w14:paraId="59ABC524">
      <w:pPr>
        <w:pStyle w:val="117"/>
        <w:ind w:firstLine="480"/>
      </w:pPr>
      <w:r>
        <w:t xml:space="preserve">（1）自然景观特征 </w:t>
      </w:r>
    </w:p>
    <w:p w14:paraId="2DB6D11E">
      <w:pPr>
        <w:pStyle w:val="117"/>
        <w:ind w:firstLine="480"/>
      </w:pPr>
      <w:r>
        <w:t xml:space="preserve">项目区地处南湖戈壁，为典型的戈壁景观特征。 </w:t>
      </w:r>
    </w:p>
    <w:p w14:paraId="598139F9">
      <w:pPr>
        <w:pStyle w:val="117"/>
        <w:ind w:firstLine="480"/>
      </w:pPr>
      <w:r>
        <w:rPr>
          <w:rFonts w:hint="eastAsia"/>
        </w:rPr>
        <w:t>（2）</w:t>
      </w:r>
      <w:r>
        <w:t xml:space="preserve">自然保护区 </w:t>
      </w:r>
    </w:p>
    <w:p w14:paraId="4D99E9A3">
      <w:pPr>
        <w:pStyle w:val="117"/>
        <w:ind w:firstLine="480"/>
      </w:pPr>
      <w:r>
        <w:t>本项目距罗布泊野骆驼国家级自然保护区的实验区以北3km以上。罗布泊野骆驼国家级自然保护区范围为。保护区在地域上包括了罗布泊北部面积广阔的嘎顺戈壁、库鲁克塔格山东段东部的阿奇克谷地、 东南部的库姆塔格沙漠和南部的阿尔金山北麓。保护区所属的行政区域包括吐鲁番地区、哈密地区和巴音郭楞蒙古自治州。保护区总面积7.78×104km2，呈横凹字形，是目前国内规划面积最大的干旱荒漠自然保护区。保护区内分布有野生动物19科69种，共11个植物群系类型；野生脊椎动物30科50种以上。区域分布有我国二级保护植物裸果木和三级保护植物胡杨、梭梭、白梭梭、肉苁蓉及当地特有种塔克拉玛干柽柳和塔克拉玛干沙拐枣等珍稀荒漠植被；在罗布泊湖盆北部山地和临近区域，分布着我国一类保护动物雪豹、北山羊、藏野驴及二类保护动物草原斑猫、棕熊、鹅喉羚、盘羊、岩羊、马鹿、猞猁、兔狲、塔里木兔等兽类；在荒漠地带亦有兀鹫、金雕、草原、猎隼、红隼等多种猛禽活动，它们是干旱荒漠生态系统的重要组成部分。保护区的保护目标是保护野双峰驼纯血统种群。</w:t>
      </w:r>
    </w:p>
    <w:p w14:paraId="24A4E670">
      <w:pPr>
        <w:pStyle w:val="138"/>
        <w:rPr>
          <w:rFonts w:hint="eastAsia"/>
        </w:rPr>
      </w:pPr>
      <w:r>
        <w:rPr>
          <w:rFonts w:hint="eastAsia"/>
        </w:rPr>
        <w:t>文化遗产及旅游资源</w:t>
      </w:r>
    </w:p>
    <w:p w14:paraId="65291075">
      <w:pPr>
        <w:pStyle w:val="117"/>
        <w:ind w:firstLine="480"/>
      </w:pPr>
      <w:r>
        <w:rPr>
          <w:rFonts w:hint="eastAsia"/>
        </w:rPr>
        <w:t>（1）</w:t>
      </w:r>
      <w:r>
        <w:t xml:space="preserve">文物古迹 </w:t>
      </w:r>
    </w:p>
    <w:p w14:paraId="73693410">
      <w:pPr>
        <w:pStyle w:val="117"/>
        <w:ind w:firstLine="480"/>
      </w:pPr>
      <w:r>
        <w:t xml:space="preserve">哈密市的古迹主要有：白杨沟古遗址、拉甫乔克古城、石人子破城子古城、哈密市回城、焉来拉克唐城；上述文物古迹，距离本项目均在40km以外，因此评价区内没有受本项目影响的文物古迹。 </w:t>
      </w:r>
    </w:p>
    <w:p w14:paraId="25FF48AB">
      <w:pPr>
        <w:pStyle w:val="117"/>
        <w:ind w:firstLine="480"/>
      </w:pPr>
      <w:r>
        <w:t>（2）旅游资源</w:t>
      </w:r>
    </w:p>
    <w:p w14:paraId="4D938F87">
      <w:pPr>
        <w:pStyle w:val="117"/>
        <w:ind w:firstLine="480"/>
      </w:pPr>
      <w:r>
        <w:t>哈密市的名胜景点主要有：八大石、白石头及庙尔沟，此三处风景区均远离本项目评价范围。</w:t>
      </w:r>
    </w:p>
    <w:p w14:paraId="30F60BDB">
      <w:pPr>
        <w:pStyle w:val="117"/>
        <w:ind w:firstLine="199" w:firstLineChars="83"/>
        <w:rPr>
          <w:lang w:val="zh-CN"/>
        </w:rPr>
        <w:sectPr>
          <w:footerReference r:id="rId22" w:type="even"/>
          <w:pgSz w:w="11906" w:h="16838"/>
          <w:pgMar w:top="1644" w:right="1797" w:bottom="1418" w:left="1797" w:header="851" w:footer="992" w:gutter="0"/>
          <w:cols w:space="425" w:num="1"/>
          <w:docGrid w:type="lines" w:linePitch="312" w:charSpace="0"/>
        </w:sectPr>
      </w:pPr>
    </w:p>
    <w:p w14:paraId="6A3193EB">
      <w:pPr>
        <w:pStyle w:val="946"/>
      </w:pPr>
      <w:bookmarkStart w:id="418" w:name="_Toc205291388"/>
      <w:r>
        <w:rPr>
          <w:rFonts w:hint="eastAsia"/>
        </w:rPr>
        <w:t>哈密高新技术产业开发区概况</w:t>
      </w:r>
      <w:bookmarkEnd w:id="418"/>
    </w:p>
    <w:p w14:paraId="0B048387">
      <w:pPr>
        <w:pStyle w:val="138"/>
        <w:rPr>
          <w:rFonts w:hint="eastAsia"/>
        </w:rPr>
      </w:pPr>
      <w:r>
        <w:rPr>
          <w:rFonts w:hint="eastAsia"/>
        </w:rPr>
        <w:t>园区手续</w:t>
      </w:r>
    </w:p>
    <w:p w14:paraId="47368DC3">
      <w:pPr>
        <w:pStyle w:val="117"/>
        <w:ind w:firstLine="480"/>
      </w:pPr>
      <w:r>
        <w:t>2006 年4月，自治区人民政府印发了《关于同意哈密工业园区为自治区工业园区的批复》（新政函〔2006〕53号），核定规划用地面积45km</w:t>
      </w:r>
      <w:r>
        <w:rPr>
          <w:vertAlign w:val="superscript"/>
        </w:rPr>
        <w:t>2</w:t>
      </w:r>
      <w:r>
        <w:t>。2007年7月，原自治区环境保护局出具《关于哈密工业园区总体规划环境影响报告书的审查意见》（新环监函〔2007〕387号），该版规划未批。2011年8月，自治区人民政府印发了《关于对哈密工业园区总体规划的批复》（新政函〔2011〕197 号），园区由广东工业加工区和重工业加工区两部分组成，到2025年工业园区规划建设用地应控制在43.5km</w:t>
      </w:r>
      <w:r>
        <w:rPr>
          <w:vertAlign w:val="superscript"/>
        </w:rPr>
        <w:t>2</w:t>
      </w:r>
      <w:r>
        <w:t>以内。2020年3月，自治区生态环境厅出具《关于哈密工业园区总体规划（2010</w:t>
      </w:r>
      <w:r>
        <w:rPr>
          <w:rFonts w:hint="eastAsia"/>
        </w:rPr>
        <w:t>—</w:t>
      </w:r>
      <w:r>
        <w:t>2025年）环境影响跟踪评价报告书的专家论证意见》（新环审〔2020〕43号）。2021年1月，自治区人民政府印发了《关于同意哈密工业园区调区的批复》（新政函〔2021〕14号），同意哈密工业园区调区，调整后园区总规划面积44.63km</w:t>
      </w:r>
      <w:r>
        <w:rPr>
          <w:vertAlign w:val="superscript"/>
        </w:rPr>
        <w:t>2</w:t>
      </w:r>
      <w:r>
        <w:t>。2021年4月6日，园区最新规划环境影响报告书取得自治区生态环境厅批复《关于哈密工业园区总体规划（2019-2035 年）环境影响报告书的审查意见》（新环审〔2021〕61号）</w:t>
      </w:r>
      <w:r>
        <w:rPr>
          <w:rFonts w:hint="eastAsia"/>
        </w:rPr>
        <w:t>。2025年7月28日，新疆维吾尔自治区生态环境厅印发了《</w:t>
      </w:r>
      <w:r>
        <w:rPr>
          <w:rFonts w:hint="eastAsia"/>
          <w:lang w:eastAsia="zh-CN"/>
        </w:rPr>
        <w:t>关于</w:t>
      </w:r>
      <w:r>
        <w:t>哈密高新技术产业开发区国土空间规划（</w:t>
      </w:r>
      <w:r>
        <w:rPr>
          <w:rFonts w:hint="eastAsia"/>
        </w:rPr>
        <w:t>2023-2025</w:t>
      </w:r>
      <w:r>
        <w:t>年）</w:t>
      </w:r>
      <w:r>
        <w:rPr>
          <w:rFonts w:hint="eastAsia"/>
        </w:rPr>
        <w:t>环境影响报告书</w:t>
      </w:r>
      <w:r>
        <w:t>的</w:t>
      </w:r>
      <w:r>
        <w:rPr>
          <w:rFonts w:hint="eastAsia"/>
        </w:rPr>
        <w:t>审查意见》</w:t>
      </w:r>
      <w:r>
        <w:t>（</w:t>
      </w:r>
      <w:r>
        <w:rPr>
          <w:rFonts w:hint="eastAsia"/>
        </w:rPr>
        <w:t>新环审</w:t>
      </w:r>
      <w:r>
        <w:t>〔202</w:t>
      </w:r>
      <w:r>
        <w:rPr>
          <w:rFonts w:hint="eastAsia"/>
        </w:rPr>
        <w:t>5</w:t>
      </w:r>
      <w:r>
        <w:t>〕</w:t>
      </w:r>
      <w:r>
        <w:rPr>
          <w:rFonts w:hint="eastAsia"/>
        </w:rPr>
        <w:t>179</w:t>
      </w:r>
      <w:r>
        <w:t>号）</w:t>
      </w:r>
      <w:r>
        <w:rPr>
          <w:rFonts w:hint="eastAsia"/>
        </w:rPr>
        <w:t>。2025年8月20日，哈密市人民政府</w:t>
      </w:r>
      <w:r>
        <w:t>印发了《关于</w:t>
      </w:r>
      <w:r>
        <w:rPr>
          <w:rFonts w:hint="eastAsia"/>
        </w:rPr>
        <w:t>哈密高新技术产业开发区国土空间规划（2023-2025年）</w:t>
      </w:r>
      <w:r>
        <w:t>的批复》（</w:t>
      </w:r>
      <w:r>
        <w:rPr>
          <w:rFonts w:hint="eastAsia"/>
        </w:rPr>
        <w:t>哈</w:t>
      </w:r>
      <w:r>
        <w:t>政函〔202</w:t>
      </w:r>
      <w:r>
        <w:rPr>
          <w:rFonts w:hint="eastAsia"/>
        </w:rPr>
        <w:t>5</w:t>
      </w:r>
      <w:r>
        <w:t>〕</w:t>
      </w:r>
      <w:r>
        <w:rPr>
          <w:rFonts w:hint="eastAsia"/>
        </w:rPr>
        <w:t>130</w:t>
      </w:r>
      <w:r>
        <w:t>号）</w:t>
      </w:r>
      <w:r>
        <w:rPr>
          <w:rFonts w:hint="eastAsia"/>
        </w:rPr>
        <w:t>。</w:t>
      </w:r>
    </w:p>
    <w:p w14:paraId="12E942C4">
      <w:pPr>
        <w:pStyle w:val="138"/>
        <w:rPr>
          <w:rFonts w:hint="eastAsia"/>
        </w:rPr>
      </w:pPr>
      <w:r>
        <w:rPr>
          <w:rFonts w:hint="eastAsia"/>
        </w:rPr>
        <w:t>《哈密高新技术产业开发区国土空间专项规划（2023-2035）》</w:t>
      </w:r>
    </w:p>
    <w:p w14:paraId="19B31346">
      <w:pPr>
        <w:pStyle w:val="944"/>
      </w:pPr>
      <w:r>
        <w:rPr>
          <w:rFonts w:hint="eastAsia"/>
        </w:rPr>
        <w:t>规划范围</w:t>
      </w:r>
    </w:p>
    <w:p w14:paraId="015858F3">
      <w:pPr>
        <w:pStyle w:val="117"/>
        <w:ind w:firstLine="480"/>
      </w:pPr>
      <w:r>
        <w:t>哈密高新技术产业园区（以下简称“哈密高新区”）实 际管辖范围为“一区、三园、三基地”。“一区”即哈密高 新区，包括“三园”“三基地”。</w:t>
      </w:r>
    </w:p>
    <w:p w14:paraId="77CC5DDE">
      <w:pPr>
        <w:pStyle w:val="117"/>
        <w:ind w:firstLine="480"/>
      </w:pPr>
      <w:r>
        <w:rPr>
          <w:rFonts w:hint="eastAsia"/>
        </w:rPr>
        <w:t>（1）</w:t>
      </w:r>
      <w:r>
        <w:t xml:space="preserve">北部新兴产业园 </w:t>
      </w:r>
    </w:p>
    <w:p w14:paraId="16A74D9E">
      <w:pPr>
        <w:pStyle w:val="117"/>
        <w:ind w:firstLine="480"/>
      </w:pPr>
      <w:r>
        <w:t>北部新兴产业园以省道S303为界，分为东西两个片区。规划范围北至国道G30，南距国道G312约1千米，西南侧靠近饮用水水源保护地，西侧距离省道S249约1.5 千米，东至洞庭湖路，面积20.15km</w:t>
      </w:r>
      <w:r>
        <w:rPr>
          <w:vertAlign w:val="superscript"/>
        </w:rPr>
        <w:t>2</w:t>
      </w:r>
      <w:r>
        <w:t>。</w:t>
      </w:r>
    </w:p>
    <w:p w14:paraId="29A5B33A">
      <w:pPr>
        <w:pStyle w:val="117"/>
        <w:ind w:firstLine="480"/>
      </w:pPr>
      <w:r>
        <w:rPr>
          <w:rFonts w:hint="eastAsia"/>
        </w:rPr>
        <w:t>（2）</w:t>
      </w:r>
      <w:r>
        <w:t xml:space="preserve">南部循环经济产业园 </w:t>
      </w:r>
    </w:p>
    <w:p w14:paraId="4F41B574">
      <w:pPr>
        <w:pStyle w:val="117"/>
        <w:ind w:firstLine="480"/>
      </w:pPr>
      <w:r>
        <w:t>南部循环经济产业园以哈罗铁路为界，分为东西两个片区，西侧片区则被西 气东输防护廊道分割为南北两部分。规划范围北至西域大道，南距兵地融合大道约0.5-3千米，西到园区规划路，东距省道 S235 约600米，面积39.79km</w:t>
      </w:r>
      <w:r>
        <w:rPr>
          <w:vertAlign w:val="superscript"/>
        </w:rPr>
        <w:t>2</w:t>
      </w:r>
      <w:r>
        <w:t>；拟扩区范围北至花园乡界，西、南至兵地融合大道，面积14.99km</w:t>
      </w:r>
      <w:r>
        <w:rPr>
          <w:vertAlign w:val="superscript"/>
        </w:rPr>
        <w:t>2</w:t>
      </w:r>
      <w:r>
        <w:t>。</w:t>
      </w:r>
    </w:p>
    <w:p w14:paraId="3E967448">
      <w:pPr>
        <w:pStyle w:val="117"/>
        <w:ind w:firstLine="480"/>
      </w:pPr>
      <w:r>
        <w:rPr>
          <w:rFonts w:hint="eastAsia"/>
        </w:rPr>
        <w:t>（3）</w:t>
      </w:r>
      <w:r>
        <w:t>烟墩产业集聚区</w:t>
      </w:r>
    </w:p>
    <w:p w14:paraId="5E614E8C">
      <w:pPr>
        <w:pStyle w:val="117"/>
        <w:ind w:firstLine="480"/>
      </w:pPr>
      <w:r>
        <w:t>烟墩产业集聚区位于沁城乡，北距临哈铁路约2千米，南距省道S22约1千米，西临沁城乡耕地，东至园区规划路，面积9.28km</w:t>
      </w:r>
      <w:r>
        <w:rPr>
          <w:vertAlign w:val="superscript"/>
        </w:rPr>
        <w:t>2</w:t>
      </w:r>
      <w:r>
        <w:t>；拟扩区范围北至临哈铁路，南至梧骆高速S22，东至沁城乡河道，面积14.98km</w:t>
      </w:r>
      <w:r>
        <w:rPr>
          <w:vertAlign w:val="superscript"/>
        </w:rPr>
        <w:t>2</w:t>
      </w:r>
      <w:r>
        <w:t>。</w:t>
      </w:r>
    </w:p>
    <w:p w14:paraId="2733C4CE">
      <w:pPr>
        <w:pStyle w:val="944"/>
      </w:pPr>
      <w:r>
        <w:rPr>
          <w:rFonts w:hint="eastAsia"/>
        </w:rPr>
        <w:t>规划期限</w:t>
      </w:r>
    </w:p>
    <w:p w14:paraId="303BF6D8">
      <w:pPr>
        <w:pStyle w:val="117"/>
        <w:ind w:firstLine="480"/>
      </w:pPr>
      <w:r>
        <w:t>规划期限 为 2025 年到 2035 年，基期年为 2024 年，近期为 2025 年，远期为 2035。</w:t>
      </w:r>
    </w:p>
    <w:p w14:paraId="5BBC6692">
      <w:pPr>
        <w:pStyle w:val="944"/>
      </w:pPr>
      <w:r>
        <w:rPr>
          <w:rFonts w:hint="eastAsia"/>
        </w:rPr>
        <w:t>规划目标</w:t>
      </w:r>
    </w:p>
    <w:p w14:paraId="4FBE8E33">
      <w:pPr>
        <w:pStyle w:val="117"/>
        <w:ind w:firstLine="480"/>
      </w:pPr>
      <w:r>
        <w:t>以创建国家级高新区为目标，把哈密高新技术产业开发区建设成为以打造新 型现代化工业体系、新型综合能源体系耦合发展为目标，以建设高端装备制造、 新材料、新能源三大产业为重点，以循环经济、科技创新、工商贸现代物流为一 体的“国家绿色低碳、零碳示范园区”“国家级新兴产业示范基地”</w:t>
      </w:r>
      <w:r>
        <w:rPr>
          <w:rFonts w:hint="eastAsia"/>
        </w:rPr>
        <w:t>。</w:t>
      </w:r>
    </w:p>
    <w:p w14:paraId="5ADDE0A7">
      <w:pPr>
        <w:pStyle w:val="944"/>
      </w:pPr>
      <w:r>
        <w:rPr>
          <w:rFonts w:hint="eastAsia"/>
        </w:rPr>
        <w:t>园区产业定位</w:t>
      </w:r>
    </w:p>
    <w:p w14:paraId="0D005351">
      <w:pPr>
        <w:pStyle w:val="117"/>
        <w:ind w:firstLine="480"/>
      </w:pPr>
      <w:r>
        <w:t xml:space="preserve">园区产业定位为：“紧紧围绕能源工业、化工工业、建材、轻纺、特色农产品及有机食品加工、石油、 高新技术八大核心产业，依托哈密市区位交通、资源优势，继续坚定不移地实施 ‘工业强市’‘南园北牧’的发展战略。加快推进新型工业化进程，以工业化引 领农业产业化、城镇化建设，以城市工业经济发展带动乡镇建设，实现向新型工业化经济强市的跨越。” </w:t>
      </w:r>
    </w:p>
    <w:p w14:paraId="3A78CB87">
      <w:pPr>
        <w:pStyle w:val="117"/>
        <w:ind w:firstLine="480"/>
      </w:pPr>
      <w:r>
        <w:rPr>
          <w:rFonts w:hint="eastAsia"/>
        </w:rPr>
        <w:t>（1）北部新兴产业园</w:t>
      </w:r>
    </w:p>
    <w:p w14:paraId="774D0763">
      <w:pPr>
        <w:pStyle w:val="117"/>
        <w:ind w:firstLine="480"/>
      </w:pPr>
      <w:r>
        <w:t xml:space="preserve">北部新兴产业园重点围绕能源配套辅助，发展风电、光伏、氢能、储能装备 制造、煤化工装备制造、储能产业，配套发展商贸、物流、教育科研、企业氟化、 创新创业平台等现代服务业。 </w:t>
      </w:r>
    </w:p>
    <w:p w14:paraId="58040717">
      <w:pPr>
        <w:pStyle w:val="117"/>
        <w:ind w:firstLine="480"/>
      </w:pPr>
      <w:r>
        <w:t>北部新兴产业园重点产业发展方向为：持续做强做优风电装备产业集群，引 进碳纤维、玻璃纤维、电缆、运维等强链补链环节，打造陆上风电产业链最全、 规模最大的生态集群；造链储能及氢能装备制造环节，构筑全国产业特色明显、 产业链最全的新能源装备制造业集群，建设百亿级新能源产业集群；培育人造金 刚石产业，打造超硬材料特色产业园。</w:t>
      </w:r>
    </w:p>
    <w:p w14:paraId="71396B9F">
      <w:pPr>
        <w:pStyle w:val="117"/>
        <w:ind w:firstLine="480"/>
      </w:pPr>
      <w:r>
        <w:t>北部新兴产业园主要分为：风电装备制造产业园、煤化工装备制造产业园、 氢能装备制造产业园、光伏装备制造产业园、储能装备制造产业园、新型建材及装配式建筑产业园、现代物流园、科创服务园、商贸服务园、检验检测产业园及产业发展拓展区。</w:t>
      </w:r>
    </w:p>
    <w:p w14:paraId="0E20BDAC">
      <w:pPr>
        <w:pStyle w:val="117"/>
        <w:ind w:firstLine="480"/>
      </w:pPr>
      <w:r>
        <w:t>新能源装备制造产业主要承载新能源装备制造产业研发和制造功能，打造以风电装备制造、光伏装备制造、氢能装备制造、储能装备制造为重点的新能源装备制造产业融合发展基地。</w:t>
      </w:r>
    </w:p>
    <w:p w14:paraId="72737F27">
      <w:pPr>
        <w:pStyle w:val="117"/>
        <w:ind w:firstLine="480"/>
      </w:pPr>
      <w:r>
        <w:t>现代煤化工装备制造产业主要围绕大型现代煤化工装备及核心零部件，推进现代煤化工装备制造产业研发设计、制造、运维一体化发展，建设哈密首个现代煤化工装备制造产业基地。</w:t>
      </w:r>
    </w:p>
    <w:p w14:paraId="1BC387E2">
      <w:pPr>
        <w:pStyle w:val="117"/>
        <w:ind w:firstLine="480"/>
      </w:pPr>
      <w:r>
        <w:t>科创服务及检验检测依托现有新能源产业研究院，聚焦创建“两新”技术策源地，围绕技术研发、成果转化、人才培育、发展示范等功能，打造集创新、服务、共享、示范于一体的哈密市科技创新要素集聚高地。</w:t>
      </w:r>
    </w:p>
    <w:p w14:paraId="48C01D87">
      <w:pPr>
        <w:pStyle w:val="117"/>
        <w:ind w:firstLine="480"/>
      </w:pPr>
      <w:r>
        <w:t>现代物流、商贸服务产业主要依托现有物流产业发展基础，建设交易平台、 物流平台、展示平台，聚焦高新区专项物流配套、大宗原材料产品交易等功能，打造集仓储、物流、贸易等于一体的现代化商贸物流产业基地。</w:t>
      </w:r>
    </w:p>
    <w:p w14:paraId="212DE6D8">
      <w:pPr>
        <w:pStyle w:val="117"/>
        <w:ind w:firstLine="480"/>
      </w:pPr>
      <w:r>
        <w:t>产业发展拓展主要在农副产品加工、商贸、建材等原有产业基础上，布局碳 基材料等特色产业，进行产业转型和提升，进一步优化园区产业空间，提高土地 利用效率和效益</w:t>
      </w:r>
      <w:r>
        <w:rPr>
          <w:rFonts w:hint="eastAsia"/>
        </w:rPr>
        <w:t>。</w:t>
      </w:r>
    </w:p>
    <w:p w14:paraId="289E5785">
      <w:pPr>
        <w:pStyle w:val="117"/>
        <w:ind w:firstLine="480"/>
      </w:pPr>
      <w:r>
        <w:rPr>
          <w:rFonts w:hint="eastAsia"/>
        </w:rPr>
        <w:t>（2）南部循环经济产业园</w:t>
      </w:r>
    </w:p>
    <w:p w14:paraId="4B528103">
      <w:pPr>
        <w:pStyle w:val="117"/>
        <w:ind w:firstLine="480"/>
      </w:pPr>
      <w:r>
        <w:t xml:space="preserve">南部循环经济产业园产业重点发展方向：在已有钛、镁、硅产业发展的基础上，培育由初级冶炼加工为主导转向合金材料、精密铸造件加工为主导的高端新材料产业体系，前瞻布局超硬材料、玄武岩纤维、碳纤维等战略性新材料产业， 建设国家需要、西部领先、全疆规模最大的新材料产业发展高地。 </w:t>
      </w:r>
    </w:p>
    <w:p w14:paraId="1CAA769B">
      <w:pPr>
        <w:pStyle w:val="117"/>
        <w:ind w:firstLine="480"/>
      </w:pPr>
      <w:r>
        <w:t>南部循环经济产业园分为：先进新材料产业集聚区、高端装备制造集聚区、战略性新材料集聚区、化工产业集聚区、中试产业集聚区、仓储物流产业集聚区；</w:t>
      </w:r>
    </w:p>
    <w:p w14:paraId="4CCB7463">
      <w:pPr>
        <w:pStyle w:val="117"/>
        <w:ind w:firstLine="480"/>
      </w:pPr>
      <w:r>
        <w:t xml:space="preserve">先进新材料产业集聚区主要承载钛及钛合金新材料、镁及镁合金新材料等产 业的研发和制造功能，着重发展钛、镁锻铸件、钛、镁合金新材料应用等细分产业，并重点拓展钛、镁合金新材料应用领域，打造全疆产业链最全的新材料产业 集聚区。 </w:t>
      </w:r>
    </w:p>
    <w:p w14:paraId="24072710">
      <w:pPr>
        <w:pStyle w:val="117"/>
        <w:ind w:firstLine="480"/>
      </w:pPr>
      <w:r>
        <w:t xml:space="preserve">战略性新材料产业集聚区主要聚焦超硬材料、铜、钒、玄武岩纤维、碳纤维等产业，重点发展铜钒矿冶炼、铜合金、钒合金、高性能碳纤维、连续玄武岩纤维等领域，形成战略性新材料产业集群。 </w:t>
      </w:r>
    </w:p>
    <w:p w14:paraId="1D5A2360">
      <w:pPr>
        <w:pStyle w:val="117"/>
        <w:ind w:firstLine="480"/>
      </w:pPr>
      <w:r>
        <w:t xml:space="preserve">化工产业集聚区主要承载清洁能源制氢、甲醇下游化工产业及硅化工产业的研发及制造功能，重点发展芳烃、烯烃、聚酯等精深加工、煤制高端精细化工产品、低阶煤提质及副产物综合利用以及制氢和氢能源应用，打造哈密绿色化工产业发展示范区。 </w:t>
      </w:r>
    </w:p>
    <w:p w14:paraId="4DDD9E94">
      <w:pPr>
        <w:pStyle w:val="117"/>
        <w:ind w:firstLine="480"/>
      </w:pPr>
      <w:r>
        <w:t xml:space="preserve">高端装备制造产业集聚区主要承载高能级装备制造产业功能，弥补北部新兴 产业园发展空间不足的困境，依托龙马集团等高端铸件生产企业，打造以全产业链风电装备制造、光伏装备制造、储能装备制造为重点的新能源装备制造业发展高地。 </w:t>
      </w:r>
    </w:p>
    <w:p w14:paraId="58DCEFA7">
      <w:pPr>
        <w:pStyle w:val="117"/>
        <w:ind w:firstLine="480"/>
      </w:pPr>
      <w:r>
        <w:t>中试产业集聚区是衔接技术研发与产业化的核心载体，聚焦技术熟化、工程化开发、测试验证的创新环节，培育新兴产业、孵化科技型中小企业，助力区域创新生态构建与产业升级，实现产业高质量发展。</w:t>
      </w:r>
    </w:p>
    <w:p w14:paraId="14A2E7F0">
      <w:pPr>
        <w:pStyle w:val="117"/>
        <w:ind w:firstLine="480"/>
      </w:pPr>
      <w:r>
        <w:t>仓储物流产业集聚区作为哈密市陆港型物流枢纽“一中心两园区”的园区之一，依托现有货运铁路，聚焦仓储、配送、集散、交易等功能，围绕矿产品运输、 化工产品运输等细分领域，打造哈密南部集装箱运输中心及仓储物流基地。</w:t>
      </w:r>
    </w:p>
    <w:p w14:paraId="4C68F8BD">
      <w:pPr>
        <w:pStyle w:val="117"/>
        <w:ind w:firstLine="480"/>
      </w:pPr>
      <w:r>
        <w:rPr>
          <w:rFonts w:hint="eastAsia"/>
        </w:rPr>
        <w:t>（3）烟墩产业集聚区</w:t>
      </w:r>
    </w:p>
    <w:p w14:paraId="42BDC425">
      <w:pPr>
        <w:pStyle w:val="117"/>
        <w:ind w:firstLine="480"/>
      </w:pPr>
      <w:r>
        <w:t xml:space="preserve">烟墩产业集聚区作为南部循环经济产业园拓展区，具备钛材、镁材等新材料产业基础以及钢、铝、铜、铁等资源优势，可依托绿色电力优势，建立“冶金—新材料—建材”体系，发展战略性、先进性新材料产业，为烟墩产业集聚区实现 产业高质量发展奠定基础。 </w:t>
      </w:r>
    </w:p>
    <w:p w14:paraId="6F41C903">
      <w:pPr>
        <w:pStyle w:val="117"/>
        <w:ind w:firstLine="480"/>
      </w:pPr>
      <w:r>
        <w:t xml:space="preserve">产业重点发展方向：烟墩产业集聚区以打造南部循环经济产业园产业发展拓展区为目标，承接新材料产业高载能产业环节以及承接玄武岩纤维等战略性新材料产业，依托绿电能源基础，打造高载能产业绿色低碳转型发展示范园以及哈密市首个以新材料产业为基础的循环经济标杆园区，打造哈密市新材料产业高质量发展样板区。 </w:t>
      </w:r>
    </w:p>
    <w:p w14:paraId="20A7B750">
      <w:pPr>
        <w:pStyle w:val="117"/>
        <w:ind w:firstLine="480"/>
      </w:pPr>
      <w:r>
        <w:t>烟墩集聚区主要分为战略性新材料产业集聚区、先进新材料产业集聚区、循环经济产业集聚区以及仓储物流产业集聚区。</w:t>
      </w:r>
    </w:p>
    <w:p w14:paraId="7E06A29E">
      <w:pPr>
        <w:pStyle w:val="117"/>
        <w:ind w:firstLine="480"/>
      </w:pPr>
      <w:r>
        <w:rPr>
          <w:rFonts w:hint="eastAsia"/>
        </w:rPr>
        <w:t>本项目为镁合金产业链项目，项目位于哈密南部循环经济产业园新材料产业区，符合园区产业布局。</w:t>
      </w:r>
    </w:p>
    <w:p w14:paraId="5F998DE5">
      <w:pPr>
        <w:pStyle w:val="944"/>
      </w:pPr>
      <w:r>
        <w:rPr>
          <w:rFonts w:hint="eastAsia"/>
        </w:rPr>
        <w:t>土地利用规划</w:t>
      </w:r>
    </w:p>
    <w:p w14:paraId="20E565D5">
      <w:pPr>
        <w:pStyle w:val="117"/>
        <w:ind w:firstLine="480"/>
      </w:pPr>
      <w:r>
        <w:t>本次规划范围面积共 69.22km</w:t>
      </w:r>
      <w:r>
        <w:rPr>
          <w:vertAlign w:val="superscript"/>
        </w:rPr>
        <w:t>2</w:t>
      </w:r>
      <w:r>
        <w:t>，仅包括“三园”，其中北部新兴 产业园 20.15km</w:t>
      </w:r>
      <w:r>
        <w:rPr>
          <w:vertAlign w:val="superscript"/>
        </w:rPr>
        <w:t>2</w:t>
      </w:r>
      <w:r>
        <w:t>、南部循环经济产业园 39.79km</w:t>
      </w:r>
      <w:r>
        <w:rPr>
          <w:vertAlign w:val="superscript"/>
        </w:rPr>
        <w:t>2</w:t>
      </w:r>
      <w:r>
        <w:t>、烟墩产业集聚区9.28km</w:t>
      </w:r>
      <w:r>
        <w:rPr>
          <w:vertAlign w:val="superscript"/>
        </w:rPr>
        <w:t>2</w:t>
      </w:r>
      <w:r>
        <w:t>。</w:t>
      </w:r>
    </w:p>
    <w:p w14:paraId="255BEC88">
      <w:pPr>
        <w:pStyle w:val="117"/>
        <w:ind w:firstLine="480"/>
      </w:pPr>
      <w:r>
        <w:rPr>
          <w:rFonts w:hint="eastAsia"/>
        </w:rPr>
        <w:t>本项目为镁合金产业链项目，厂址位于</w:t>
      </w:r>
      <w:r>
        <w:t>南部循环经济产业园</w:t>
      </w:r>
      <w:r>
        <w:rPr>
          <w:rFonts w:hint="eastAsia"/>
        </w:rPr>
        <w:t>三类工业用地，符合园区土地利用规划。</w:t>
      </w:r>
    </w:p>
    <w:p w14:paraId="2C181038">
      <w:pPr>
        <w:pStyle w:val="133"/>
        <w:rPr>
          <w:color w:val="000000"/>
          <w:lang w:val="zh-CN"/>
        </w:rPr>
      </w:pPr>
      <w:r>
        <w:t xml:space="preserve"> </w:t>
      </w:r>
    </w:p>
    <w:p w14:paraId="687817FD">
      <w:pPr>
        <w:pStyle w:val="944"/>
      </w:pPr>
      <w:r>
        <w:rPr>
          <w:rFonts w:hint="eastAsia"/>
        </w:rPr>
        <w:t>市政基础设施规划</w:t>
      </w:r>
    </w:p>
    <w:p w14:paraId="623D4243">
      <w:pPr>
        <w:pStyle w:val="117"/>
        <w:ind w:firstLine="480"/>
      </w:pPr>
      <w:r>
        <w:rPr>
          <w:rFonts w:hint="eastAsia"/>
        </w:rPr>
        <w:t>本项目位于南部循环经济产业园，本次评价主要介绍该区市政基础设施规划。</w:t>
      </w:r>
    </w:p>
    <w:p w14:paraId="6324001F">
      <w:pPr>
        <w:pStyle w:val="117"/>
        <w:ind w:firstLine="480"/>
      </w:pPr>
      <w:r>
        <w:rPr>
          <w:rFonts w:hint="eastAsia"/>
        </w:rPr>
        <w:t>（</w:t>
      </w:r>
      <w:r>
        <w:t>1</w:t>
      </w:r>
      <w:r>
        <w:rPr>
          <w:rFonts w:hint="eastAsia"/>
        </w:rPr>
        <w:t>）供水工程规划</w:t>
      </w:r>
    </w:p>
    <w:p w14:paraId="2C47416B">
      <w:pPr>
        <w:pStyle w:val="117"/>
        <w:ind w:firstLine="480"/>
      </w:pPr>
      <w:r>
        <w:t>1.北部新兴产业园到2035年，预测最高日用水量5.90万m</w:t>
      </w:r>
      <w:r>
        <w:rPr>
          <w:vertAlign w:val="superscript"/>
        </w:rPr>
        <w:t>3</w:t>
      </w:r>
      <w:r>
        <w:t xml:space="preserve"> /日，年用水量为1435.52万m</w:t>
      </w:r>
      <w:r>
        <w:rPr>
          <w:vertAlign w:val="superscript"/>
        </w:rPr>
        <w:t>3</w:t>
      </w:r>
      <w:r>
        <w:t xml:space="preserve">。规划北部新兴产业园由哈密市第四水厂供水，工业及绿化用水主要由新建园区污 水处理厂及哈密市污水处理厂提供的再生水供应。 </w:t>
      </w:r>
    </w:p>
    <w:p w14:paraId="4A46DBB0">
      <w:pPr>
        <w:pStyle w:val="117"/>
        <w:ind w:firstLine="480"/>
      </w:pPr>
      <w:r>
        <w:t>2.南部循环经济产业园到2035年，预测最高日用水量 17.20万m</w:t>
      </w:r>
      <w:r>
        <w:rPr>
          <w:vertAlign w:val="superscript"/>
        </w:rPr>
        <w:t>3</w:t>
      </w:r>
      <w:r>
        <w:t xml:space="preserve"> /日，年用水量为 4185.57万m</w:t>
      </w:r>
      <w:r>
        <w:rPr>
          <w:vertAlign w:val="superscript"/>
        </w:rPr>
        <w:t>3</w:t>
      </w:r>
      <w:r>
        <w:t xml:space="preserve">。 规划南部循环经济产业园由哈密市第三水厂供水，实施哈密市高新区配套供水工程、哈密南部工业地表水供水工程南部循环经济产业园供水工程、伊州区西部水源联调至南部园区供水工程等输配水工程。工业及绿化用水主要由哈密市污水处理厂及园区污水处理厂提供的再生水供应。 </w:t>
      </w:r>
    </w:p>
    <w:p w14:paraId="28292289">
      <w:pPr>
        <w:pStyle w:val="117"/>
        <w:ind w:firstLine="480"/>
      </w:pPr>
      <w:r>
        <w:t>3.烟墩产业集聚区到2035年，预测最高日用水量 7.42万m</w:t>
      </w:r>
      <w:r>
        <w:rPr>
          <w:vertAlign w:val="superscript"/>
        </w:rPr>
        <w:t>3</w:t>
      </w:r>
      <w:r>
        <w:t xml:space="preserve"> /日，年用水量为 1806.13万m</w:t>
      </w:r>
      <w:r>
        <w:rPr>
          <w:vertAlign w:val="superscript"/>
        </w:rPr>
        <w:t>3</w:t>
      </w:r>
      <w:r>
        <w:t>。 烟墩产业集聚区远期用水量远超出乌拉台和岌岌台水库可供水量，亟需寻找新的 供水水源。规划对北侧现状骆驼圈子水厂进行扩容，远期供水规模达到 7.5 万 m</w:t>
      </w:r>
      <w:r>
        <w:rPr>
          <w:vertAlign w:val="superscript"/>
        </w:rPr>
        <w:t xml:space="preserve">3 </w:t>
      </w:r>
      <w:r>
        <w:t>/日。</w:t>
      </w:r>
    </w:p>
    <w:p w14:paraId="55562B01">
      <w:pPr>
        <w:pStyle w:val="117"/>
        <w:ind w:firstLine="480"/>
      </w:pPr>
      <w:r>
        <w:t>（2）排水工程规划</w:t>
      </w:r>
    </w:p>
    <w:p w14:paraId="01C01ED9">
      <w:pPr>
        <w:pStyle w:val="117"/>
        <w:ind w:firstLine="480"/>
      </w:pPr>
      <w:r>
        <w:t xml:space="preserve">园区内企业污水排放标准满足《污水排入城镇下水道水质标准》 (GB/T31962-2015)。本次规划采用截流式合流制，不建设雨水管道系统，将绿化带地面降到比路面低1-2厘米，雨水排到绿化带中自然渗透。 </w:t>
      </w:r>
    </w:p>
    <w:p w14:paraId="4C5F44CE">
      <w:pPr>
        <w:pStyle w:val="117"/>
        <w:ind w:firstLine="480"/>
      </w:pPr>
      <w:r>
        <w:t>1.北部新兴产业园到2035年，预测平均日污水量1.98万 m</w:t>
      </w:r>
      <w:r>
        <w:rPr>
          <w:vertAlign w:val="superscript"/>
        </w:rPr>
        <w:t>3</w:t>
      </w:r>
      <w:r>
        <w:t xml:space="preserve"> /日。北部新兴产业园污水排入哈密污水处理厂进行处置。 </w:t>
      </w:r>
    </w:p>
    <w:p w14:paraId="291ADCA6">
      <w:pPr>
        <w:pStyle w:val="117"/>
        <w:ind w:firstLine="480"/>
      </w:pPr>
      <w:r>
        <w:t>2.南部循环经济产业园到2035年，预测平均日污水量为5.48万 m</w:t>
      </w:r>
      <w:r>
        <w:rPr>
          <w:vertAlign w:val="superscript"/>
        </w:rPr>
        <w:t>3</w:t>
      </w:r>
      <w:r>
        <w:t xml:space="preserve"> /日。规划保留现状污水处理厂并进行提标升级改造，远期扩建规模至5.5万 m</w:t>
      </w:r>
      <w:r>
        <w:rPr>
          <w:vertAlign w:val="superscript"/>
        </w:rPr>
        <w:t>3</w:t>
      </w:r>
      <w:r>
        <w:t xml:space="preserve"> /日。化工产业集中区内的所有企业必须自行进行污水预处理，达标后排入园区污水管网系统。 </w:t>
      </w:r>
    </w:p>
    <w:p w14:paraId="4DAF4E28">
      <w:pPr>
        <w:pStyle w:val="117"/>
        <w:ind w:firstLine="480"/>
      </w:pPr>
      <w:r>
        <w:t>3.烟墩产业集聚区到2035年，预测平均日污水量为3.03万 m</w:t>
      </w:r>
      <w:r>
        <w:rPr>
          <w:vertAlign w:val="superscript"/>
        </w:rPr>
        <w:t xml:space="preserve">3 </w:t>
      </w:r>
      <w:r>
        <w:t>/日。已建设一座生活污水处理站，处理规模为200m³/d，远期规划在园区西侧新建污水处理厂1座，处理规模3万m</w:t>
      </w:r>
      <w:r>
        <w:rPr>
          <w:vertAlign w:val="superscript"/>
        </w:rPr>
        <w:t>3</w:t>
      </w:r>
      <w:r>
        <w:t xml:space="preserve"> /日，同厂配备再生水处理设备。到2035年，园区污水收集率达到100%，回收利用率达到60%，规模以上工业用水重复利用率达到90%。</w:t>
      </w:r>
    </w:p>
    <w:p w14:paraId="59563018">
      <w:pPr>
        <w:pStyle w:val="117"/>
        <w:ind w:firstLine="480"/>
      </w:pPr>
      <w:r>
        <w:rPr>
          <w:rFonts w:hint="eastAsia"/>
        </w:rPr>
        <w:t>（4）电力工程规划</w:t>
      </w:r>
    </w:p>
    <w:p w14:paraId="5A7FE135">
      <w:pPr>
        <w:pStyle w:val="117"/>
        <w:ind w:firstLine="480"/>
      </w:pPr>
      <w:r>
        <w:rPr>
          <w:rFonts w:hint="eastAsia"/>
        </w:rPr>
        <w:t>①</w:t>
      </w:r>
      <w:r>
        <w:t>电源规划</w:t>
      </w:r>
    </w:p>
    <w:p w14:paraId="76EF9BF2">
      <w:pPr>
        <w:pStyle w:val="117"/>
        <w:ind w:firstLine="480"/>
      </w:pPr>
      <w:r>
        <w:t>规划南部循环经济产业园保留现状110kV南园变、110kV重工业变、220kV银河路变，满足近期用电需求。远期新增220kV变电站一座，位于南部循环经济产业园西北侧，规模为2×150MVA，新增两座110kV变电站，分别位于南部循环经济产业园南侧和北侧，规模均为2×50MVA。</w:t>
      </w:r>
    </w:p>
    <w:p w14:paraId="613E901E">
      <w:pPr>
        <w:pStyle w:val="117"/>
        <w:ind w:firstLine="480"/>
      </w:pPr>
      <w:r>
        <w:rPr>
          <w:rFonts w:ascii="Cambria Math" w:hAnsi="Cambria Math" w:cs="Cambria Math"/>
        </w:rPr>
        <w:t>②</w:t>
      </w:r>
      <w:r>
        <w:t>电网规划</w:t>
      </w:r>
    </w:p>
    <w:p w14:paraId="382BBCD2">
      <w:pPr>
        <w:pStyle w:val="117"/>
        <w:ind w:firstLine="480"/>
      </w:pPr>
      <w:r>
        <w:rPr>
          <w:rFonts w:hint="eastAsia"/>
        </w:rPr>
        <w:t>1）</w:t>
      </w:r>
      <w:r>
        <w:t xml:space="preserve">高压电网规划 </w:t>
      </w:r>
    </w:p>
    <w:p w14:paraId="00F789AD">
      <w:pPr>
        <w:pStyle w:val="117"/>
        <w:ind w:firstLine="480"/>
      </w:pPr>
      <w:r>
        <w:t xml:space="preserve">电力线路敷设以安全实用、美化环境、节约用地为原则，并考虑经济承受能力。树立先用走廊，后有线路的观念。110kV以下电力线路采用埋地电缆。 </w:t>
      </w:r>
    </w:p>
    <w:p w14:paraId="33696CF8">
      <w:pPr>
        <w:pStyle w:val="117"/>
        <w:ind w:firstLine="480"/>
      </w:pPr>
      <w:r>
        <w:t>220kV 和110kV 电力线路的架设应结合集聚区地形、地貌特点以及道路网的规划建设，沿道路、绿化带架设，根据《城市电力规划规范》（GB50293-2014），高压走廊的控制宽度为：220kV为30</w:t>
      </w:r>
      <w:r>
        <w:rPr>
          <w:rFonts w:hint="eastAsia"/>
        </w:rPr>
        <w:t>～</w:t>
      </w:r>
      <w:r>
        <w:t>40m，110kV为15</w:t>
      </w:r>
      <w:r>
        <w:rPr>
          <w:rFonts w:hint="eastAsia"/>
        </w:rPr>
        <w:t>～</w:t>
      </w:r>
      <w:r>
        <w:t xml:space="preserve">25m。 </w:t>
      </w:r>
    </w:p>
    <w:p w14:paraId="6E8625A2">
      <w:pPr>
        <w:pStyle w:val="117"/>
        <w:ind w:firstLine="480"/>
      </w:pPr>
      <w:r>
        <w:t xml:space="preserve">规划在110KV变电站出现处采用双电缆排管，解决110KV变电站出线较多的问题。 </w:t>
      </w:r>
    </w:p>
    <w:p w14:paraId="2B5E9E64">
      <w:pPr>
        <w:pStyle w:val="117"/>
        <w:ind w:firstLine="480"/>
      </w:pPr>
      <w:r>
        <w:rPr>
          <w:rFonts w:hint="eastAsia"/>
        </w:rPr>
        <w:t>2）</w:t>
      </w:r>
      <w:r>
        <w:t xml:space="preserve">中压电网规划 </w:t>
      </w:r>
    </w:p>
    <w:p w14:paraId="67EF3F2A">
      <w:pPr>
        <w:pStyle w:val="117"/>
        <w:ind w:firstLine="480"/>
      </w:pPr>
      <w:r>
        <w:t>近期允许部分中压配电网采用杆式敷设，规划远期按照高标准的建设要求，工业园区中压配电网全部采用地下电缆排管敷设，在工业园区内形成安全可靠的环网供电格局的同时，又不破坏</w:t>
      </w:r>
      <w:r>
        <w:rPr>
          <w:rFonts w:hint="eastAsia"/>
        </w:rPr>
        <w:t>工业园区</w:t>
      </w:r>
      <w:r>
        <w:t xml:space="preserve">整体格局及景观风貌。 </w:t>
      </w:r>
    </w:p>
    <w:p w14:paraId="60570A1E">
      <w:pPr>
        <w:pStyle w:val="117"/>
        <w:ind w:firstLine="480"/>
      </w:pPr>
      <w:r>
        <w:t>10kV配电网由以往的单回树枝状辐射供电向环网或双回路供电模式发展。在工业园区道路的人行道下，配套建设隐蔽式电缆沟。加强10kV中压开关站和公用配电房的规划建设，一般设置在建筑物的首层或其他建筑物合建。</w:t>
      </w:r>
    </w:p>
    <w:p w14:paraId="062C1544">
      <w:pPr>
        <w:pStyle w:val="117"/>
        <w:ind w:firstLine="480"/>
      </w:pPr>
      <w:r>
        <w:t>规划范围内10kV系统采用环网供电，开环运行，每个环路容载6000</w:t>
      </w:r>
      <w:r>
        <w:rPr>
          <w:rFonts w:hint="eastAsia"/>
        </w:rPr>
        <w:t>—</w:t>
      </w:r>
      <w:r>
        <w:t xml:space="preserve">7000kVA。一般三级负荷用户单环供电，一、二级负荷重要用户可采用双环网系统供电。 </w:t>
      </w:r>
    </w:p>
    <w:p w14:paraId="6438888C">
      <w:pPr>
        <w:pStyle w:val="117"/>
        <w:ind w:firstLine="480"/>
      </w:pPr>
      <w:r>
        <w:t xml:space="preserve">10kV变配电所应深入负荷中心位置，可根据情况建设独立式或结合建筑设附设式变配电所。 </w:t>
      </w:r>
    </w:p>
    <w:p w14:paraId="67DB6190">
      <w:pPr>
        <w:pStyle w:val="117"/>
        <w:ind w:firstLine="480"/>
      </w:pPr>
      <w:r>
        <w:t xml:space="preserve">10kV输电线路均采用电缆埋地敷设。电缆截面采用铜芯3×300mm2或3（2 ×240）mm2，电缆沟采用隐蔽式，截面为2（1.2m×1.2m）、1.2m×1.2m、1.0m× 1.0m 几种，原则上布置于道路的东、北侧人行道下。 </w:t>
      </w:r>
    </w:p>
    <w:p w14:paraId="663AB112">
      <w:pPr>
        <w:pStyle w:val="117"/>
        <w:ind w:firstLine="480"/>
      </w:pPr>
      <w:r>
        <w:t>道路照明电源在道路东南侧设专用箱式变电站，电压等级一般为10/0.4/0.23kV，每座变电站出线在10回路以上，供电半径约800m，变压器容量一般为100~160kVA。</w:t>
      </w:r>
    </w:p>
    <w:p w14:paraId="74A7DE9F">
      <w:pPr>
        <w:pStyle w:val="117"/>
        <w:ind w:firstLine="480"/>
      </w:pPr>
      <w:r>
        <w:rPr>
          <w:rFonts w:hint="eastAsia"/>
        </w:rPr>
        <w:t>（5）供热工程规划</w:t>
      </w:r>
    </w:p>
    <w:p w14:paraId="4F9446A8">
      <w:pPr>
        <w:pStyle w:val="117"/>
        <w:ind w:firstLine="480"/>
      </w:pPr>
      <w:r>
        <w:t xml:space="preserve">1.北部新兴产业园 </w:t>
      </w:r>
    </w:p>
    <w:p w14:paraId="60B5878C">
      <w:pPr>
        <w:pStyle w:val="117"/>
        <w:ind w:firstLine="480"/>
      </w:pPr>
      <w:r>
        <w:t xml:space="preserve">到2035年，预测采暖热负荷为232.83兆瓦。规划保留现状燃煤锅炉房，近期接入华电供热管网，利用华电哈密热电厂三期首站和四期首站机组作为园区主要供热热源。 </w:t>
      </w:r>
    </w:p>
    <w:p w14:paraId="2407756B">
      <w:pPr>
        <w:pStyle w:val="117"/>
        <w:ind w:firstLine="480"/>
      </w:pPr>
      <w:r>
        <w:t xml:space="preserve">2.南部循环经济产业园 </w:t>
      </w:r>
    </w:p>
    <w:p w14:paraId="2BD5FCC4">
      <w:pPr>
        <w:pStyle w:val="117"/>
        <w:ind w:firstLine="480"/>
      </w:pPr>
      <w:r>
        <w:t xml:space="preserve">到2035年，预测采暖热负荷为224.19兆瓦，工业用蒸汽1870.51吨/小时。规划近期有供热需求的企业自建供热锅炉房，远期热源为园区北侧国能大南湖热电厂，供应热蒸汽为工业生产和冬季采暖服务，有采暖需求的企业自行建设汽水换热站。 </w:t>
      </w:r>
    </w:p>
    <w:p w14:paraId="4C40068F">
      <w:pPr>
        <w:pStyle w:val="117"/>
        <w:ind w:firstLine="480"/>
      </w:pPr>
      <w:r>
        <w:t xml:space="preserve">3.烟墩产业集聚区 </w:t>
      </w:r>
    </w:p>
    <w:p w14:paraId="69800C4C">
      <w:pPr>
        <w:pStyle w:val="117"/>
        <w:ind w:firstLine="480"/>
      </w:pPr>
      <w:r>
        <w:t>到2035年，预测采暖热负荷为222.09兆瓦，工业用蒸汽为706.75吨/小时。考虑园区各企业的生产周期不同，规划在园区北侧新建集中供热锅炉房1座，主要为冬季采暖服务。建议对工业用蒸汽有需求的企业自行建设工业用蒸汽系统，同时可作为烟墩产业集聚区冬季采暖补充热源。</w:t>
      </w:r>
    </w:p>
    <w:p w14:paraId="779339FA">
      <w:pPr>
        <w:pStyle w:val="117"/>
        <w:ind w:firstLine="480"/>
      </w:pPr>
      <w:r>
        <w:rPr>
          <w:rFonts w:hint="eastAsia"/>
        </w:rPr>
        <w:t>（6）燃气工程规划</w:t>
      </w:r>
    </w:p>
    <w:p w14:paraId="59923CF1">
      <w:pPr>
        <w:pStyle w:val="117"/>
        <w:ind w:firstLine="480"/>
      </w:pPr>
      <w:r>
        <w:t xml:space="preserve">1.北部新兴产业园 </w:t>
      </w:r>
    </w:p>
    <w:p w14:paraId="2BD8D703">
      <w:pPr>
        <w:pStyle w:val="117"/>
        <w:ind w:firstLine="480"/>
      </w:pPr>
      <w:r>
        <w:t xml:space="preserve">到2035年，预测用气量140862.87万兆焦/年，约合天然气3894.47万标准立方米/年，燃气小时计算流量1.18万立方米/小时。规划新建天然气调压站1座，气源接自现状陶家宫门站。 </w:t>
      </w:r>
    </w:p>
    <w:p w14:paraId="573EECC7">
      <w:pPr>
        <w:pStyle w:val="117"/>
        <w:ind w:firstLine="480"/>
      </w:pPr>
      <w:r>
        <w:t xml:space="preserve">2.南部循环经济产业园 </w:t>
      </w:r>
    </w:p>
    <w:p w14:paraId="55D0010E">
      <w:pPr>
        <w:pStyle w:val="117"/>
        <w:ind w:firstLine="480"/>
      </w:pPr>
      <w:r>
        <w:t>到2035年，预测用气量487619.65万兆焦/年，约合天然气13481.33万标准m</w:t>
      </w:r>
      <w:r>
        <w:rPr>
          <w:vertAlign w:val="superscript"/>
        </w:rPr>
        <w:t>3</w:t>
      </w:r>
      <w:r>
        <w:t xml:space="preserve"> /年，燃气小时计算流量4.10万m</w:t>
      </w:r>
      <w:r>
        <w:rPr>
          <w:vertAlign w:val="superscript"/>
        </w:rPr>
        <w:t>3</w:t>
      </w:r>
      <w:r>
        <w:t xml:space="preserve"> /小时。规划保留现状新捷燃气配气站，主要气源为西气东输二线哈密分输站。 </w:t>
      </w:r>
    </w:p>
    <w:p w14:paraId="516CE550">
      <w:pPr>
        <w:pStyle w:val="117"/>
        <w:ind w:firstLine="480"/>
      </w:pPr>
      <w:r>
        <w:t xml:space="preserve">3.烟墩产业集聚区 </w:t>
      </w:r>
    </w:p>
    <w:p w14:paraId="7D6F32CB">
      <w:pPr>
        <w:pStyle w:val="117"/>
        <w:ind w:firstLine="480"/>
      </w:pPr>
      <w:r>
        <w:t>到2035年，预测用气量189959.89万兆焦/年，约合天然气5251.86万标准 m</w:t>
      </w:r>
      <w:r>
        <w:rPr>
          <w:vertAlign w:val="superscript"/>
        </w:rPr>
        <w:t>3</w:t>
      </w:r>
      <w:r>
        <w:t xml:space="preserve"> /年，燃气小时计算流量 1.60 万m</w:t>
      </w:r>
      <w:r>
        <w:rPr>
          <w:vertAlign w:val="superscript"/>
        </w:rPr>
        <w:t>3</w:t>
      </w:r>
      <w:r>
        <w:t xml:space="preserve"> /小时。规划建设天然气门站1座，气源接自西气东输二线，同厂建设次高压调压站一座。</w:t>
      </w:r>
    </w:p>
    <w:p w14:paraId="51E8E4C1">
      <w:pPr>
        <w:pStyle w:val="138"/>
        <w:rPr>
          <w:rFonts w:hint="eastAsia"/>
        </w:rPr>
      </w:pPr>
      <w:r>
        <w:rPr>
          <w:rFonts w:hint="eastAsia"/>
        </w:rPr>
        <w:t>南部循环经济产业园基础设施建设现状</w:t>
      </w:r>
    </w:p>
    <w:p w14:paraId="6E9CAFC1">
      <w:pPr>
        <w:pStyle w:val="117"/>
        <w:ind w:firstLine="480"/>
      </w:pPr>
      <w:r>
        <w:rPr>
          <w:rFonts w:ascii="Cambria Math" w:hAnsi="Cambria Math" w:cs="Cambria Math"/>
        </w:rPr>
        <w:t>①</w:t>
      </w:r>
      <w:r>
        <w:t xml:space="preserve">交通 </w:t>
      </w:r>
    </w:p>
    <w:p w14:paraId="0C0F71AF">
      <w:pPr>
        <w:pStyle w:val="117"/>
        <w:ind w:firstLine="480"/>
      </w:pPr>
      <w:r>
        <w:t xml:space="preserve">公路：金光大道、星光大道与S235省道相连，形成对外联系的出入口，但西域大道部分路段中断，并未连通至S235省道。 </w:t>
      </w:r>
    </w:p>
    <w:p w14:paraId="4788EFB6">
      <w:pPr>
        <w:pStyle w:val="117"/>
        <w:ind w:firstLine="480"/>
      </w:pPr>
      <w:r>
        <w:t xml:space="preserve">铁路：规划铁路货运专线及货运站场正在实施建设，但尚未完工。 </w:t>
      </w:r>
    </w:p>
    <w:p w14:paraId="6B60E83D">
      <w:pPr>
        <w:pStyle w:val="117"/>
        <w:ind w:firstLine="480"/>
      </w:pPr>
      <w:r>
        <w:rPr>
          <w:rFonts w:ascii="Cambria Math" w:hAnsi="Cambria Math" w:cs="Cambria Math"/>
        </w:rPr>
        <w:t>②</w:t>
      </w:r>
      <w:r>
        <w:t xml:space="preserve">给水工程 </w:t>
      </w:r>
    </w:p>
    <w:p w14:paraId="7FBA652A">
      <w:pPr>
        <w:pStyle w:val="117"/>
        <w:ind w:firstLine="480"/>
      </w:pPr>
      <w:r>
        <w:t xml:space="preserve">南部循环经济产业园现有设置两套供水系统，一套为新鲜水供水系统，为该园区供应工业用水、生活用水、绿化用水和消防用水，新鲜水供水系统采用环状 和枝状网相结合的方式供水，给水主、干管管径 DN200mm-DN600mm；一套为再生水供水系统，为该园区供应低质要求的工业用水和部分绿化用水，再生水供水系统采用环状和枝状网相结合的方式供水，给水主、干管管径 DN200mm-DN600mm。 </w:t>
      </w:r>
    </w:p>
    <w:p w14:paraId="2CC809F3">
      <w:pPr>
        <w:pStyle w:val="117"/>
        <w:ind w:firstLine="480"/>
      </w:pPr>
      <w:r>
        <w:rPr>
          <w:rFonts w:ascii="Cambria Math" w:hAnsi="Cambria Math" w:cs="Cambria Math"/>
        </w:rPr>
        <w:t>③</w:t>
      </w:r>
      <w:r>
        <w:t xml:space="preserve">排水工程 </w:t>
      </w:r>
    </w:p>
    <w:p w14:paraId="64033071">
      <w:pPr>
        <w:pStyle w:val="117"/>
        <w:ind w:firstLine="480"/>
      </w:pPr>
      <w:r>
        <w:t>重工业加工区污水处理厂</w:t>
      </w:r>
      <w:r>
        <w:rPr>
          <w:rFonts w:hint="eastAsia"/>
        </w:rPr>
        <w:t>：</w:t>
      </w:r>
      <w:r>
        <w:t>重工业加工区污水处理厂位于重工业加工区（南部循环经济产业园区）西南 1km 处的低洼地带新建哈密工业园区重工业加工区污水处理厂，主要接纳重工业加工区的污水。《哈密工业园区重工业加工区污水处理厂环境影响报告书》于 2013年8月26日取得新疆维吾尔自治区环境保护厅批复（新环评价函[2013]745 号）。该污水处理厂处理总规模 10000m</w:t>
      </w:r>
      <w:r>
        <w:rPr>
          <w:vertAlign w:val="superscript"/>
        </w:rPr>
        <w:t>3</w:t>
      </w:r>
      <w:r>
        <w:t xml:space="preserve"> /d，近期处理规模为 5000m</w:t>
      </w:r>
      <w:r>
        <w:rPr>
          <w:vertAlign w:val="superscript"/>
        </w:rPr>
        <w:t>3</w:t>
      </w:r>
      <w:r>
        <w:t xml:space="preserve"> /d。</w:t>
      </w:r>
    </w:p>
    <w:p w14:paraId="57CC37B6">
      <w:pPr>
        <w:pStyle w:val="117"/>
        <w:ind w:firstLine="480"/>
      </w:pPr>
      <w:r>
        <w:rPr>
          <w:rFonts w:ascii="Cambria Math" w:hAnsi="Cambria Math" w:cs="Cambria Math"/>
        </w:rPr>
        <w:t>④</w:t>
      </w:r>
      <w:r>
        <w:t xml:space="preserve">供电工程 </w:t>
      </w:r>
    </w:p>
    <w:p w14:paraId="516F9EA7">
      <w:pPr>
        <w:pStyle w:val="117"/>
        <w:ind w:firstLine="480"/>
      </w:pPr>
      <w:r>
        <w:t>南部循环经济产业园现状共有变电站3座，分别为 110kV南园变、110kV重工业变、220kV银河路变。其中110kV南园变为园区主要承接负荷变电站，上级电源为220kV 银河路变、哈密天光；220kV银河路变降压序列为220/110/35kV，因此未为园区配出 10kV线路，除了为110kV南园变提供电源以外，还为园区35kV新疆昕昊达矿业有限责任公司配出1回35kV线路。110kV南园变电源来自220kV银河路变、哈密天光，局部形成“220kV 银河路====110kV 南园变”双射供电结构或“220kV 银河路变—110kV 南园变—哈密 天光”不完全双链式供电结构。110kV重工业园变电源来自220kV银河路变，局部形成“220kV银河路 ====110kV重工业变”单射供电结构</w:t>
      </w:r>
      <w:r>
        <w:rPr>
          <w:rFonts w:hint="eastAsia"/>
        </w:rPr>
        <w:t>。</w:t>
      </w:r>
    </w:p>
    <w:p w14:paraId="2C50A3A8">
      <w:pPr>
        <w:pStyle w:val="117"/>
        <w:ind w:firstLine="480"/>
      </w:pPr>
      <w:r>
        <w:rPr>
          <w:rFonts w:ascii="Cambria Math" w:hAnsi="Cambria Math" w:cs="Cambria Math"/>
        </w:rPr>
        <w:t>⑤</w:t>
      </w:r>
      <w:r>
        <w:t xml:space="preserve">供热工程 </w:t>
      </w:r>
    </w:p>
    <w:p w14:paraId="2CA338C7">
      <w:pPr>
        <w:pStyle w:val="117"/>
        <w:ind w:firstLine="480"/>
      </w:pPr>
      <w:r>
        <w:t>南部循环经济产业园现状供热由企业自行建设锅炉解决。</w:t>
      </w:r>
    </w:p>
    <w:p w14:paraId="0CC5EE7B">
      <w:pPr>
        <w:pStyle w:val="117"/>
        <w:ind w:firstLine="480"/>
      </w:pPr>
      <w:r>
        <w:rPr>
          <w:rFonts w:ascii="Cambria Math" w:hAnsi="Cambria Math" w:cs="Cambria Math"/>
        </w:rPr>
        <w:t>⑥</w:t>
      </w:r>
      <w:r>
        <w:t xml:space="preserve">燃气工程 </w:t>
      </w:r>
    </w:p>
    <w:p w14:paraId="205AA367">
      <w:pPr>
        <w:pStyle w:val="117"/>
        <w:ind w:firstLine="480"/>
      </w:pPr>
      <w:r>
        <w:t>南部循环经济产业园有现状燃气调压站（新捷燃气建设）一座，规模为2.5万m</w:t>
      </w:r>
      <w:r>
        <w:rPr>
          <w:vertAlign w:val="superscript"/>
        </w:rPr>
        <w:t>3</w:t>
      </w:r>
      <w:r>
        <w:t>/h，压力6.3兆帕，进口管径110mm，出口管径160mm</w:t>
      </w:r>
      <w:r>
        <w:rPr>
          <w:rFonts w:hint="eastAsia"/>
        </w:rPr>
        <w:t>。</w:t>
      </w:r>
      <w:r>
        <w:t xml:space="preserve"> </w:t>
      </w:r>
    </w:p>
    <w:p w14:paraId="503B5B2B">
      <w:pPr>
        <w:pStyle w:val="117"/>
        <w:ind w:firstLine="480"/>
      </w:pPr>
      <w:r>
        <w:rPr>
          <w:rFonts w:ascii="Cambria Math" w:hAnsi="Cambria Math" w:cs="Cambria Math"/>
        </w:rPr>
        <w:t>⑦</w:t>
      </w:r>
      <w:r>
        <w:t xml:space="preserve">环卫工程 </w:t>
      </w:r>
    </w:p>
    <w:p w14:paraId="46D2E9AF">
      <w:pPr>
        <w:pStyle w:val="117"/>
        <w:ind w:firstLine="480"/>
      </w:pPr>
      <w:r>
        <w:t>南部循环经济产业园南侧有固废垃圾填埋场一座，已建设完毕投入使用，工业园区各园区工业固体废物均运至该固废垃圾填埋场处理，位于南部循环经济产业园南侧 17km处，规模为120万m</w:t>
      </w:r>
      <w:r>
        <w:rPr>
          <w:vertAlign w:val="superscript"/>
        </w:rPr>
        <w:t>3</w:t>
      </w:r>
      <w:r>
        <w:t>。</w:t>
      </w:r>
    </w:p>
    <w:p w14:paraId="03543AD2">
      <w:pPr>
        <w:pStyle w:val="138"/>
        <w:rPr>
          <w:rFonts w:hint="eastAsia"/>
        </w:rPr>
      </w:pPr>
      <w:r>
        <w:rPr>
          <w:rFonts w:hint="eastAsia"/>
        </w:rPr>
        <w:t>南部循环经济产业园企业污染物排放情况</w:t>
      </w:r>
    </w:p>
    <w:p w14:paraId="51613885">
      <w:pPr>
        <w:pStyle w:val="117"/>
        <w:ind w:firstLine="480"/>
      </w:pPr>
      <w:r>
        <w:rPr>
          <w:rFonts w:hint="eastAsia"/>
        </w:rPr>
        <w:t>南部循环经济产业园入驻企业共</w:t>
      </w:r>
      <w:r>
        <w:t>55</w:t>
      </w:r>
      <w:r>
        <w:rPr>
          <w:rFonts w:hint="eastAsia"/>
        </w:rPr>
        <w:t>家，其中正常运营的企业</w:t>
      </w:r>
      <w:r>
        <w:t>35</w:t>
      </w:r>
      <w:r>
        <w:rPr>
          <w:rFonts w:hint="eastAsia"/>
        </w:rPr>
        <w:t>家，在建企业</w:t>
      </w:r>
      <w:r>
        <w:t>8</w:t>
      </w:r>
      <w:r>
        <w:rPr>
          <w:rFonts w:hint="eastAsia"/>
        </w:rPr>
        <w:t>家，停产企业</w:t>
      </w:r>
      <w:r>
        <w:t>12</w:t>
      </w:r>
      <w:r>
        <w:rPr>
          <w:rFonts w:hint="eastAsia"/>
        </w:rPr>
        <w:t>家。</w:t>
      </w:r>
    </w:p>
    <w:p w14:paraId="19C222EF">
      <w:pPr>
        <w:pStyle w:val="117"/>
        <w:ind w:firstLine="480"/>
      </w:pPr>
      <w:r>
        <w:rPr>
          <w:rFonts w:hint="eastAsia"/>
        </w:rPr>
        <w:t>南部循环经济产业园现状企业污染物排放情况见表4</w:t>
      </w:r>
      <w:r>
        <w:t>.2-1</w:t>
      </w:r>
      <w:r>
        <w:rPr>
          <w:rFonts w:hint="eastAsia"/>
        </w:rPr>
        <w:t>。</w:t>
      </w:r>
    </w:p>
    <w:p w14:paraId="47C2E26C">
      <w:pPr>
        <w:pStyle w:val="118"/>
      </w:pPr>
      <w:r>
        <w:t>表</w:t>
      </w:r>
      <w:r>
        <w:rPr>
          <w:rFonts w:hint="eastAsia"/>
        </w:rPr>
        <w:t>4</w:t>
      </w:r>
      <w:r>
        <w:t xml:space="preserve">.2-1    </w:t>
      </w:r>
      <w:r>
        <w:rPr>
          <w:rFonts w:hint="eastAsia"/>
        </w:rPr>
        <w:t>南部循环经济产业园现状企业污染物排放一览表</w:t>
      </w:r>
    </w:p>
    <w:tbl>
      <w:tblPr>
        <w:tblStyle w:val="6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8"/>
        <w:gridCol w:w="112"/>
        <w:gridCol w:w="767"/>
        <w:gridCol w:w="444"/>
        <w:gridCol w:w="510"/>
        <w:gridCol w:w="470"/>
        <w:gridCol w:w="822"/>
        <w:gridCol w:w="563"/>
        <w:gridCol w:w="485"/>
        <w:gridCol w:w="704"/>
        <w:gridCol w:w="308"/>
        <w:gridCol w:w="900"/>
        <w:gridCol w:w="110"/>
        <w:gridCol w:w="1134"/>
        <w:gridCol w:w="852"/>
      </w:tblGrid>
      <w:tr w14:paraId="328B0B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8207" w:type="dxa"/>
            <w:gridSpan w:val="14"/>
            <w:tcBorders>
              <w:top w:val="single" w:color="000000" w:sz="12" w:space="0"/>
              <w:left w:val="single" w:color="000000" w:sz="12" w:space="0"/>
              <w:bottom w:val="single" w:color="000000" w:sz="4" w:space="0"/>
              <w:right w:val="single" w:color="000000" w:sz="4" w:space="0"/>
            </w:tcBorders>
            <w:vAlign w:val="center"/>
          </w:tcPr>
          <w:p w14:paraId="1A751A89">
            <w:pPr>
              <w:pStyle w:val="133"/>
              <w:rPr>
                <w:b/>
                <w:bCs/>
              </w:rPr>
            </w:pPr>
            <w:bookmarkStart w:id="419" w:name="OLE_LINK54"/>
            <w:r>
              <w:rPr>
                <w:rFonts w:hint="eastAsia"/>
                <w:b/>
                <w:bCs/>
              </w:rPr>
              <w:t>大气污染物排放情况</w:t>
            </w:r>
            <w:bookmarkEnd w:id="419"/>
          </w:p>
        </w:tc>
        <w:tc>
          <w:tcPr>
            <w:tcW w:w="852" w:type="dxa"/>
            <w:vMerge w:val="restart"/>
            <w:tcBorders>
              <w:top w:val="single" w:color="000000" w:sz="12" w:space="0"/>
              <w:left w:val="single" w:color="000000" w:sz="4" w:space="0"/>
              <w:bottom w:val="single" w:color="000000" w:sz="4" w:space="0"/>
              <w:right w:val="single" w:color="000000" w:sz="12" w:space="0"/>
            </w:tcBorders>
            <w:vAlign w:val="center"/>
          </w:tcPr>
          <w:p w14:paraId="1987B052">
            <w:pPr>
              <w:pStyle w:val="133"/>
              <w:rPr>
                <w:b/>
                <w:bCs/>
              </w:rPr>
            </w:pPr>
            <w:r>
              <w:rPr>
                <w:rFonts w:hint="eastAsia"/>
                <w:b/>
                <w:bCs/>
              </w:rPr>
              <w:t>数据</w:t>
            </w:r>
          </w:p>
          <w:p w14:paraId="0583F643">
            <w:pPr>
              <w:pStyle w:val="133"/>
            </w:pPr>
            <w:r>
              <w:rPr>
                <w:rFonts w:hint="eastAsia"/>
                <w:b/>
                <w:bCs/>
              </w:rPr>
              <w:t>来源</w:t>
            </w:r>
          </w:p>
        </w:tc>
      </w:tr>
      <w:tr w14:paraId="39596E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990" w:type="dxa"/>
            <w:gridSpan w:val="2"/>
            <w:vMerge w:val="restart"/>
            <w:tcBorders>
              <w:top w:val="single" w:color="000000" w:sz="4" w:space="0"/>
              <w:left w:val="single" w:color="000000" w:sz="12" w:space="0"/>
              <w:bottom w:val="single" w:color="000000" w:sz="4" w:space="0"/>
              <w:right w:val="single" w:color="000000" w:sz="4" w:space="0"/>
            </w:tcBorders>
            <w:vAlign w:val="center"/>
          </w:tcPr>
          <w:p w14:paraId="1B52AE26">
            <w:pPr>
              <w:pStyle w:val="133"/>
              <w:rPr>
                <w:b/>
                <w:bCs/>
              </w:rPr>
            </w:pPr>
            <w:r>
              <w:rPr>
                <w:rFonts w:hint="eastAsia"/>
                <w:b/>
                <w:bCs/>
              </w:rPr>
              <w:t>序号</w:t>
            </w:r>
          </w:p>
        </w:tc>
        <w:tc>
          <w:tcPr>
            <w:tcW w:w="1211" w:type="dxa"/>
            <w:gridSpan w:val="2"/>
            <w:vMerge w:val="restart"/>
            <w:tcBorders>
              <w:top w:val="single" w:color="000000" w:sz="4" w:space="0"/>
              <w:left w:val="single" w:color="000000" w:sz="4" w:space="0"/>
              <w:bottom w:val="single" w:color="000000" w:sz="4" w:space="0"/>
              <w:right w:val="single" w:color="000000" w:sz="4" w:space="0"/>
            </w:tcBorders>
            <w:vAlign w:val="center"/>
          </w:tcPr>
          <w:p w14:paraId="4DEF9642">
            <w:pPr>
              <w:pStyle w:val="133"/>
              <w:rPr>
                <w:b/>
                <w:bCs/>
              </w:rPr>
            </w:pPr>
            <w:r>
              <w:rPr>
                <w:rFonts w:hint="eastAsia"/>
                <w:b/>
                <w:bCs/>
              </w:rPr>
              <w:t>企业名称</w:t>
            </w:r>
          </w:p>
        </w:tc>
        <w:tc>
          <w:tcPr>
            <w:tcW w:w="980" w:type="dxa"/>
            <w:gridSpan w:val="2"/>
            <w:vMerge w:val="restart"/>
            <w:tcBorders>
              <w:top w:val="single" w:color="000000" w:sz="4" w:space="0"/>
              <w:left w:val="single" w:color="000000" w:sz="4" w:space="0"/>
              <w:bottom w:val="single" w:color="000000" w:sz="4" w:space="0"/>
              <w:right w:val="single" w:color="000000" w:sz="4" w:space="0"/>
            </w:tcBorders>
            <w:vAlign w:val="center"/>
          </w:tcPr>
          <w:p w14:paraId="7B64537D">
            <w:pPr>
              <w:pStyle w:val="133"/>
              <w:rPr>
                <w:b/>
                <w:bCs/>
              </w:rPr>
            </w:pPr>
            <w:r>
              <w:rPr>
                <w:rFonts w:hint="eastAsia"/>
                <w:b/>
                <w:bCs/>
              </w:rPr>
              <w:t>污染类型</w:t>
            </w:r>
          </w:p>
        </w:tc>
        <w:tc>
          <w:tcPr>
            <w:tcW w:w="5026" w:type="dxa"/>
            <w:gridSpan w:val="8"/>
            <w:tcBorders>
              <w:top w:val="single" w:color="000000" w:sz="4" w:space="0"/>
              <w:left w:val="single" w:color="000000" w:sz="4" w:space="0"/>
              <w:bottom w:val="single" w:color="000000" w:sz="4" w:space="0"/>
              <w:right w:val="single" w:color="000000" w:sz="4" w:space="0"/>
            </w:tcBorders>
            <w:vAlign w:val="center"/>
          </w:tcPr>
          <w:p w14:paraId="52E3E9BB">
            <w:pPr>
              <w:pStyle w:val="133"/>
              <w:rPr>
                <w:b/>
                <w:bCs/>
              </w:rPr>
            </w:pPr>
            <w:r>
              <w:rPr>
                <w:rFonts w:hint="eastAsia"/>
                <w:b/>
                <w:bCs/>
              </w:rPr>
              <w:t>主要污染物排放量（</w:t>
            </w:r>
            <w:r>
              <w:rPr>
                <w:b/>
                <w:bCs/>
              </w:rPr>
              <w:t>t/a</w:t>
            </w:r>
            <w:r>
              <w:rPr>
                <w:rFonts w:hint="eastAsia"/>
                <w:b/>
                <w:bCs/>
              </w:rPr>
              <w:t>）</w:t>
            </w:r>
          </w:p>
        </w:tc>
        <w:tc>
          <w:tcPr>
            <w:tcW w:w="0" w:type="auto"/>
            <w:vMerge w:val="continue"/>
            <w:tcBorders>
              <w:top w:val="single" w:color="000000" w:sz="12" w:space="0"/>
              <w:left w:val="single" w:color="000000" w:sz="4" w:space="0"/>
              <w:bottom w:val="single" w:color="000000" w:sz="4" w:space="0"/>
              <w:right w:val="single" w:color="000000" w:sz="12" w:space="0"/>
            </w:tcBorders>
            <w:vAlign w:val="center"/>
          </w:tcPr>
          <w:p w14:paraId="0C8A8693">
            <w:pPr>
              <w:pStyle w:val="133"/>
            </w:pPr>
          </w:p>
        </w:tc>
      </w:tr>
      <w:tr w14:paraId="71F153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0" w:type="auto"/>
            <w:gridSpan w:val="2"/>
            <w:vMerge w:val="continue"/>
            <w:tcBorders>
              <w:top w:val="single" w:color="000000" w:sz="4" w:space="0"/>
              <w:left w:val="single" w:color="000000" w:sz="12" w:space="0"/>
              <w:bottom w:val="single" w:color="000000" w:sz="4" w:space="0"/>
              <w:right w:val="single" w:color="000000" w:sz="4" w:space="0"/>
            </w:tcBorders>
            <w:vAlign w:val="center"/>
          </w:tcPr>
          <w:p w14:paraId="36F0E7B6">
            <w:pPr>
              <w:pStyle w:val="133"/>
              <w:rPr>
                <w:b/>
                <w:bCs/>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52F60855">
            <w:pPr>
              <w:pStyle w:val="133"/>
              <w:rPr>
                <w:b/>
                <w:bCs/>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43AA8F34">
            <w:pPr>
              <w:pStyle w:val="133"/>
              <w:rPr>
                <w:b/>
                <w:bCs/>
              </w:rPr>
            </w:pP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01448E11">
            <w:pPr>
              <w:pStyle w:val="133"/>
              <w:rPr>
                <w:b/>
                <w:bCs/>
              </w:rPr>
            </w:pPr>
            <w:r>
              <w:rPr>
                <w:b/>
                <w:bCs/>
              </w:rPr>
              <w:t>SO</w:t>
            </w:r>
            <w:r>
              <w:rPr>
                <w:b/>
                <w:bCs/>
                <w:vertAlign w:val="subscript"/>
              </w:rPr>
              <w:t>2</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3E0AE34A">
            <w:pPr>
              <w:pStyle w:val="133"/>
              <w:rPr>
                <w:b/>
                <w:bCs/>
              </w:rPr>
            </w:pPr>
            <w:r>
              <w:rPr>
                <w:b/>
                <w:bCs/>
              </w:rPr>
              <w:t>NO</w:t>
            </w:r>
            <w:r>
              <w:rPr>
                <w:b/>
                <w:bCs/>
                <w:vertAlign w:val="subscript"/>
              </w:rPr>
              <w:t>X</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42BE61CE">
            <w:pPr>
              <w:pStyle w:val="133"/>
              <w:rPr>
                <w:b/>
                <w:bCs/>
              </w:rPr>
            </w:pPr>
            <w:r>
              <w:rPr>
                <w:b/>
                <w:bCs/>
              </w:rPr>
              <w:t>VOCs</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1CBAEB90">
            <w:pPr>
              <w:pStyle w:val="133"/>
              <w:rPr>
                <w:b/>
                <w:bCs/>
              </w:rPr>
            </w:pPr>
            <w:r>
              <w:rPr>
                <w:rFonts w:hint="eastAsia"/>
                <w:b/>
                <w:bCs/>
              </w:rPr>
              <w:t>颗粒物</w:t>
            </w:r>
          </w:p>
        </w:tc>
        <w:tc>
          <w:tcPr>
            <w:tcW w:w="0" w:type="auto"/>
            <w:vMerge w:val="continue"/>
            <w:tcBorders>
              <w:top w:val="single" w:color="000000" w:sz="12" w:space="0"/>
              <w:left w:val="single" w:color="000000" w:sz="4" w:space="0"/>
              <w:bottom w:val="single" w:color="000000" w:sz="4" w:space="0"/>
              <w:right w:val="single" w:color="000000" w:sz="12" w:space="0"/>
            </w:tcBorders>
            <w:vAlign w:val="center"/>
          </w:tcPr>
          <w:p w14:paraId="49EBB0FA">
            <w:pPr>
              <w:pStyle w:val="133"/>
            </w:pPr>
          </w:p>
        </w:tc>
      </w:tr>
      <w:tr w14:paraId="1C6AA8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521BE49B">
            <w:pPr>
              <w:pStyle w:val="133"/>
            </w:pPr>
            <w:r>
              <w:t>1</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131DE933">
            <w:pPr>
              <w:pStyle w:val="133"/>
            </w:pPr>
            <w:r>
              <w:rPr>
                <w:rFonts w:hint="eastAsia"/>
              </w:rPr>
              <w:t>新疆大安矿业有限公司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7D8809AA">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66E7AB2D">
            <w:pPr>
              <w:pStyle w:val="133"/>
            </w:pPr>
            <w:r>
              <w:t>1.15</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609ED741">
            <w:pPr>
              <w:pStyle w:val="133"/>
            </w:pPr>
            <w:r>
              <w:t>0.075</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48B4C6C2">
            <w:pPr>
              <w:pStyle w:val="133"/>
            </w:pPr>
            <w:r>
              <w:t>/</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5A39DAC4">
            <w:pPr>
              <w:pStyle w:val="133"/>
            </w:pPr>
            <w:r>
              <w:t>10.55</w:t>
            </w:r>
          </w:p>
        </w:tc>
        <w:tc>
          <w:tcPr>
            <w:tcW w:w="852" w:type="dxa"/>
            <w:tcBorders>
              <w:top w:val="single" w:color="000000" w:sz="4" w:space="0"/>
              <w:left w:val="single" w:color="000000" w:sz="4" w:space="0"/>
              <w:bottom w:val="single" w:color="000000" w:sz="4" w:space="0"/>
              <w:right w:val="single" w:color="000000" w:sz="12" w:space="0"/>
            </w:tcBorders>
            <w:vAlign w:val="center"/>
          </w:tcPr>
          <w:p w14:paraId="788A6652">
            <w:pPr>
              <w:pStyle w:val="133"/>
            </w:pPr>
            <w:r>
              <w:rPr>
                <w:rFonts w:hint="eastAsia"/>
              </w:rPr>
              <w:t>跟踪</w:t>
            </w:r>
          </w:p>
          <w:p w14:paraId="70843ED0">
            <w:pPr>
              <w:pStyle w:val="133"/>
            </w:pPr>
            <w:r>
              <w:rPr>
                <w:rFonts w:hint="eastAsia"/>
              </w:rPr>
              <w:t>评价</w:t>
            </w:r>
          </w:p>
        </w:tc>
      </w:tr>
      <w:tr w14:paraId="1594B0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42CE0DFD">
            <w:pPr>
              <w:pStyle w:val="133"/>
            </w:pPr>
            <w:r>
              <w:t>2</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75FB6931">
            <w:pPr>
              <w:pStyle w:val="133"/>
            </w:pPr>
            <w:r>
              <w:rPr>
                <w:rFonts w:hint="eastAsia"/>
              </w:rPr>
              <w:t>哈密新天山水泥有限责任公司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48FF652D">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08D94A3D">
            <w:pPr>
              <w:pStyle w:val="133"/>
            </w:pPr>
            <w:r>
              <w:t>128.58</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1301C64D">
            <w:pPr>
              <w:pStyle w:val="133"/>
            </w:pPr>
            <w:r>
              <w:t>2046</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46213E08">
            <w:pPr>
              <w:pStyle w:val="133"/>
            </w:pPr>
            <w:r>
              <w:t>/</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04558C61">
            <w:pPr>
              <w:pStyle w:val="133"/>
            </w:pPr>
            <w:r>
              <w:t>503.02</w:t>
            </w:r>
          </w:p>
        </w:tc>
        <w:tc>
          <w:tcPr>
            <w:tcW w:w="852" w:type="dxa"/>
            <w:tcBorders>
              <w:top w:val="single" w:color="000000" w:sz="4" w:space="0"/>
              <w:left w:val="single" w:color="000000" w:sz="4" w:space="0"/>
              <w:bottom w:val="single" w:color="000000" w:sz="4" w:space="0"/>
              <w:right w:val="single" w:color="000000" w:sz="12" w:space="0"/>
            </w:tcBorders>
            <w:vAlign w:val="center"/>
          </w:tcPr>
          <w:p w14:paraId="60F7260D">
            <w:pPr>
              <w:pStyle w:val="133"/>
            </w:pPr>
            <w:r>
              <w:rPr>
                <w:rFonts w:hint="eastAsia"/>
              </w:rPr>
              <w:t>跟踪</w:t>
            </w:r>
          </w:p>
          <w:p w14:paraId="047B9F23">
            <w:pPr>
              <w:pStyle w:val="133"/>
            </w:pPr>
            <w:r>
              <w:rPr>
                <w:rFonts w:hint="eastAsia"/>
              </w:rPr>
              <w:t>评价</w:t>
            </w:r>
          </w:p>
        </w:tc>
      </w:tr>
      <w:tr w14:paraId="11137A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04347345">
            <w:pPr>
              <w:pStyle w:val="133"/>
            </w:pPr>
            <w:r>
              <w:t>3</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6B36DCC7">
            <w:pPr>
              <w:pStyle w:val="133"/>
            </w:pPr>
            <w:r>
              <w:rPr>
                <w:rFonts w:hint="eastAsia"/>
              </w:rPr>
              <w:t>新疆昕昊达矿业有限责任公司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32C0BFC5">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2789BD9D">
            <w:pPr>
              <w:pStyle w:val="133"/>
            </w:pPr>
            <w:r>
              <w:t>992</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6A3BE9BA">
            <w:pPr>
              <w:pStyle w:val="133"/>
            </w:pPr>
            <w:r>
              <w:t>1488</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17827F88">
            <w:pPr>
              <w:pStyle w:val="133"/>
            </w:pPr>
            <w:r>
              <w:t>/</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04633AA9">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6DCE05FC">
            <w:pPr>
              <w:pStyle w:val="133"/>
            </w:pPr>
            <w:r>
              <w:rPr>
                <w:rFonts w:hint="eastAsia"/>
              </w:rPr>
              <w:t>排污</w:t>
            </w:r>
          </w:p>
          <w:p w14:paraId="13C89547">
            <w:pPr>
              <w:pStyle w:val="133"/>
            </w:pPr>
            <w:r>
              <w:rPr>
                <w:rFonts w:hint="eastAsia"/>
              </w:rPr>
              <w:t>许可证</w:t>
            </w:r>
          </w:p>
        </w:tc>
      </w:tr>
      <w:tr w14:paraId="7E9EB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3355BC9A">
            <w:pPr>
              <w:pStyle w:val="133"/>
            </w:pPr>
            <w:r>
              <w:t>4</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7B31288C">
            <w:pPr>
              <w:pStyle w:val="133"/>
            </w:pPr>
            <w:r>
              <w:rPr>
                <w:rFonts w:hint="eastAsia"/>
              </w:rPr>
              <w:t>新疆回水环保新材料有限公司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27ED8370">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5DD82DD6">
            <w:pPr>
              <w:pStyle w:val="133"/>
            </w:pPr>
            <w:r>
              <w:t>140.18</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496355E4">
            <w:pPr>
              <w:pStyle w:val="133"/>
            </w:pPr>
            <w:r>
              <w:t>116.06</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02E2DBEE">
            <w:pPr>
              <w:pStyle w:val="133"/>
            </w:pPr>
            <w:r>
              <w:t>0.742</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541BF39B">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4F5D595A">
            <w:pPr>
              <w:pStyle w:val="133"/>
            </w:pPr>
            <w:r>
              <w:rPr>
                <w:rFonts w:hint="eastAsia"/>
              </w:rPr>
              <w:t>跟踪</w:t>
            </w:r>
          </w:p>
          <w:p w14:paraId="4B39AC95">
            <w:pPr>
              <w:pStyle w:val="133"/>
            </w:pPr>
            <w:r>
              <w:rPr>
                <w:rFonts w:hint="eastAsia"/>
              </w:rPr>
              <w:t>评价</w:t>
            </w:r>
          </w:p>
        </w:tc>
      </w:tr>
      <w:tr w14:paraId="139011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29D12AE9">
            <w:pPr>
              <w:pStyle w:val="133"/>
            </w:pPr>
            <w:r>
              <w:t>5</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58680030">
            <w:pPr>
              <w:pStyle w:val="133"/>
            </w:pPr>
            <w:r>
              <w:rPr>
                <w:rFonts w:hint="eastAsia"/>
              </w:rPr>
              <w:t>哈密汇川矿业有限责任公司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28DC1F95">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1FB4716B">
            <w:pPr>
              <w:pStyle w:val="133"/>
            </w:pPr>
            <w:r>
              <w:t>/</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686FEAFD">
            <w:pPr>
              <w:pStyle w:val="133"/>
            </w:pPr>
            <w:r>
              <w:t>0.004</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2896D2F0">
            <w:pPr>
              <w:pStyle w:val="133"/>
            </w:pPr>
            <w:r>
              <w:t>0.022</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3D2711A9">
            <w:pPr>
              <w:pStyle w:val="133"/>
            </w:pPr>
            <w:r>
              <w:t>0.52</w:t>
            </w:r>
          </w:p>
        </w:tc>
        <w:tc>
          <w:tcPr>
            <w:tcW w:w="852" w:type="dxa"/>
            <w:tcBorders>
              <w:top w:val="single" w:color="000000" w:sz="4" w:space="0"/>
              <w:left w:val="single" w:color="000000" w:sz="4" w:space="0"/>
              <w:bottom w:val="single" w:color="000000" w:sz="4" w:space="0"/>
              <w:right w:val="single" w:color="000000" w:sz="12" w:space="0"/>
            </w:tcBorders>
            <w:vAlign w:val="center"/>
          </w:tcPr>
          <w:p w14:paraId="1EDD5D62">
            <w:pPr>
              <w:pStyle w:val="133"/>
            </w:pPr>
            <w:r>
              <w:rPr>
                <w:rFonts w:hint="eastAsia"/>
              </w:rPr>
              <w:t>跟踪</w:t>
            </w:r>
          </w:p>
          <w:p w14:paraId="2D543C0A">
            <w:pPr>
              <w:pStyle w:val="133"/>
            </w:pPr>
            <w:r>
              <w:rPr>
                <w:rFonts w:hint="eastAsia"/>
              </w:rPr>
              <w:t>评价</w:t>
            </w:r>
          </w:p>
        </w:tc>
      </w:tr>
      <w:tr w14:paraId="3A7271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18F8074A">
            <w:pPr>
              <w:pStyle w:val="133"/>
            </w:pPr>
            <w:r>
              <w:t>6</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7E3C732D">
            <w:pPr>
              <w:pStyle w:val="133"/>
            </w:pPr>
            <w:r>
              <w:rPr>
                <w:rFonts w:hint="eastAsia"/>
              </w:rPr>
              <w:t>哈密特力石化有限责任公司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701B889F">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6B551E97">
            <w:pPr>
              <w:pStyle w:val="133"/>
            </w:pPr>
            <w:r>
              <w:t>2.246</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3B83772C">
            <w:pPr>
              <w:pStyle w:val="133"/>
            </w:pPr>
            <w:r>
              <w:t>5.973</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3D7FB79D">
            <w:pPr>
              <w:pStyle w:val="133"/>
            </w:pPr>
            <w:r>
              <w:t>2.045</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67B3D9B3">
            <w:pPr>
              <w:pStyle w:val="133"/>
            </w:pPr>
            <w:r>
              <w:t>0.302</w:t>
            </w:r>
          </w:p>
        </w:tc>
        <w:tc>
          <w:tcPr>
            <w:tcW w:w="852" w:type="dxa"/>
            <w:tcBorders>
              <w:top w:val="single" w:color="000000" w:sz="4" w:space="0"/>
              <w:left w:val="single" w:color="000000" w:sz="4" w:space="0"/>
              <w:bottom w:val="single" w:color="000000" w:sz="4" w:space="0"/>
              <w:right w:val="single" w:color="000000" w:sz="12" w:space="0"/>
            </w:tcBorders>
            <w:vAlign w:val="center"/>
          </w:tcPr>
          <w:p w14:paraId="79B395CB">
            <w:pPr>
              <w:pStyle w:val="133"/>
            </w:pPr>
            <w:r>
              <w:rPr>
                <w:rFonts w:hint="eastAsia"/>
              </w:rPr>
              <w:t>跟踪</w:t>
            </w:r>
          </w:p>
          <w:p w14:paraId="798690EB">
            <w:pPr>
              <w:pStyle w:val="133"/>
            </w:pPr>
            <w:r>
              <w:rPr>
                <w:rFonts w:hint="eastAsia"/>
              </w:rPr>
              <w:t>评价</w:t>
            </w:r>
          </w:p>
        </w:tc>
      </w:tr>
      <w:tr w14:paraId="07E416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53698AF2">
            <w:pPr>
              <w:pStyle w:val="133"/>
            </w:pPr>
            <w:r>
              <w:t>7</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13044EF7">
            <w:pPr>
              <w:pStyle w:val="133"/>
            </w:pPr>
            <w:r>
              <w:rPr>
                <w:rFonts w:hint="eastAsia"/>
              </w:rPr>
              <w:t>新疆腾翔镁制品有限公司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27562689">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2F111037">
            <w:pPr>
              <w:pStyle w:val="133"/>
            </w:pPr>
            <w:r>
              <w:t>14.08</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3CA7DB88">
            <w:pPr>
              <w:pStyle w:val="133"/>
            </w:pPr>
            <w:r>
              <w:t>9.76</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0E9DCA2C">
            <w:pPr>
              <w:pStyle w:val="133"/>
            </w:pPr>
            <w:r>
              <w:t>13.68</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5661C4B0">
            <w:pPr>
              <w:pStyle w:val="133"/>
            </w:pPr>
            <w:r>
              <w:t>21.6</w:t>
            </w:r>
          </w:p>
        </w:tc>
        <w:tc>
          <w:tcPr>
            <w:tcW w:w="852" w:type="dxa"/>
            <w:tcBorders>
              <w:top w:val="single" w:color="000000" w:sz="4" w:space="0"/>
              <w:left w:val="single" w:color="000000" w:sz="4" w:space="0"/>
              <w:bottom w:val="single" w:color="000000" w:sz="4" w:space="0"/>
              <w:right w:val="single" w:color="000000" w:sz="12" w:space="0"/>
            </w:tcBorders>
            <w:vAlign w:val="center"/>
          </w:tcPr>
          <w:p w14:paraId="7FC37172">
            <w:pPr>
              <w:pStyle w:val="133"/>
            </w:pPr>
            <w:r>
              <w:rPr>
                <w:rFonts w:hint="eastAsia"/>
              </w:rPr>
              <w:t>环评</w:t>
            </w:r>
          </w:p>
        </w:tc>
      </w:tr>
      <w:tr w14:paraId="21473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5444EDD6">
            <w:pPr>
              <w:pStyle w:val="133"/>
            </w:pPr>
            <w:r>
              <w:t>8</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7365124A">
            <w:pPr>
              <w:pStyle w:val="133"/>
            </w:pPr>
            <w:r>
              <w:rPr>
                <w:rFonts w:hint="eastAsia"/>
              </w:rPr>
              <w:t>哈密市纳嘉工贸有限责任公司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077BA223">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2D07D8EE">
            <w:pPr>
              <w:pStyle w:val="133"/>
            </w:pPr>
            <w:r>
              <w:t>/</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2119EF7D">
            <w:pPr>
              <w:pStyle w:val="133"/>
            </w:pPr>
            <w:r>
              <w:t>/</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7B055DC2">
            <w:pPr>
              <w:pStyle w:val="133"/>
            </w:pPr>
            <w:r>
              <w:t>/</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17EAC308">
            <w:pPr>
              <w:pStyle w:val="133"/>
            </w:pPr>
            <w:r>
              <w:t>0.02</w:t>
            </w:r>
          </w:p>
        </w:tc>
        <w:tc>
          <w:tcPr>
            <w:tcW w:w="852" w:type="dxa"/>
            <w:tcBorders>
              <w:top w:val="single" w:color="000000" w:sz="4" w:space="0"/>
              <w:left w:val="single" w:color="000000" w:sz="4" w:space="0"/>
              <w:bottom w:val="single" w:color="000000" w:sz="4" w:space="0"/>
              <w:right w:val="single" w:color="000000" w:sz="12" w:space="0"/>
            </w:tcBorders>
            <w:vAlign w:val="center"/>
          </w:tcPr>
          <w:p w14:paraId="2448BE95">
            <w:pPr>
              <w:pStyle w:val="133"/>
            </w:pPr>
            <w:r>
              <w:rPr>
                <w:rFonts w:hint="eastAsia"/>
              </w:rPr>
              <w:t>跟踪</w:t>
            </w:r>
          </w:p>
          <w:p w14:paraId="15C42835">
            <w:pPr>
              <w:pStyle w:val="133"/>
            </w:pPr>
            <w:r>
              <w:rPr>
                <w:rFonts w:hint="eastAsia"/>
              </w:rPr>
              <w:t>评价</w:t>
            </w:r>
          </w:p>
        </w:tc>
      </w:tr>
      <w:tr w14:paraId="2CE83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441881C2">
            <w:pPr>
              <w:pStyle w:val="133"/>
            </w:pPr>
            <w:r>
              <w:t>9</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7B36CF9B">
            <w:pPr>
              <w:pStyle w:val="133"/>
            </w:pPr>
            <w:r>
              <w:rPr>
                <w:rFonts w:hint="eastAsia"/>
              </w:rPr>
              <w:t>哈密乔戈里金属冶选有限公司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00C76F3D">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7E03296F">
            <w:pPr>
              <w:pStyle w:val="133"/>
            </w:pPr>
            <w:r>
              <w:t>/</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5A5982F5">
            <w:pPr>
              <w:pStyle w:val="133"/>
            </w:pPr>
            <w:r>
              <w:t>1.42</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3701CB25">
            <w:pPr>
              <w:pStyle w:val="133"/>
            </w:pPr>
            <w:r>
              <w:t>0.15</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5ADB119F">
            <w:pPr>
              <w:pStyle w:val="133"/>
            </w:pPr>
            <w:r>
              <w:t>119.76</w:t>
            </w:r>
          </w:p>
        </w:tc>
        <w:tc>
          <w:tcPr>
            <w:tcW w:w="852" w:type="dxa"/>
            <w:tcBorders>
              <w:top w:val="single" w:color="000000" w:sz="4" w:space="0"/>
              <w:left w:val="single" w:color="000000" w:sz="4" w:space="0"/>
              <w:bottom w:val="single" w:color="000000" w:sz="4" w:space="0"/>
              <w:right w:val="single" w:color="000000" w:sz="12" w:space="0"/>
            </w:tcBorders>
            <w:vAlign w:val="center"/>
          </w:tcPr>
          <w:p w14:paraId="213FF008">
            <w:pPr>
              <w:pStyle w:val="133"/>
            </w:pPr>
            <w:r>
              <w:rPr>
                <w:rFonts w:hint="eastAsia"/>
              </w:rPr>
              <w:t>二污普</w:t>
            </w:r>
          </w:p>
        </w:tc>
      </w:tr>
      <w:tr w14:paraId="1828AC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62EB2E84">
            <w:pPr>
              <w:pStyle w:val="133"/>
            </w:pPr>
            <w:r>
              <w:t>10</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73646A99">
            <w:pPr>
              <w:pStyle w:val="133"/>
            </w:pPr>
            <w:r>
              <w:rPr>
                <w:rFonts w:hint="eastAsia"/>
              </w:rPr>
              <w:t>新疆蓝天高科新材料有限公司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6E5A57F4">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1AED2CE5">
            <w:pPr>
              <w:pStyle w:val="133"/>
            </w:pPr>
            <w:r>
              <w:t>/</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17E00D68">
            <w:pPr>
              <w:pStyle w:val="133"/>
            </w:pPr>
            <w:r>
              <w:t>/</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096F1BD0">
            <w:pPr>
              <w:pStyle w:val="133"/>
            </w:pPr>
            <w:r>
              <w:t>/</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068AA38D">
            <w:pPr>
              <w:pStyle w:val="133"/>
            </w:pPr>
            <w:r>
              <w:t>12.5</w:t>
            </w:r>
          </w:p>
        </w:tc>
        <w:tc>
          <w:tcPr>
            <w:tcW w:w="852" w:type="dxa"/>
            <w:tcBorders>
              <w:top w:val="single" w:color="000000" w:sz="4" w:space="0"/>
              <w:left w:val="single" w:color="000000" w:sz="4" w:space="0"/>
              <w:bottom w:val="single" w:color="000000" w:sz="4" w:space="0"/>
              <w:right w:val="single" w:color="000000" w:sz="12" w:space="0"/>
            </w:tcBorders>
            <w:vAlign w:val="center"/>
          </w:tcPr>
          <w:p w14:paraId="0FB1196A">
            <w:pPr>
              <w:pStyle w:val="133"/>
            </w:pPr>
            <w:r>
              <w:rPr>
                <w:rFonts w:hint="eastAsia"/>
              </w:rPr>
              <w:t>二污普</w:t>
            </w:r>
          </w:p>
        </w:tc>
      </w:tr>
      <w:tr w14:paraId="17F7ED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6B5C9568">
            <w:pPr>
              <w:pStyle w:val="133"/>
            </w:pPr>
            <w:r>
              <w:t>11</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59DCA334">
            <w:pPr>
              <w:pStyle w:val="133"/>
            </w:pPr>
            <w:r>
              <w:rPr>
                <w:rFonts w:hint="eastAsia"/>
              </w:rPr>
              <w:t>哈密金盛镁业有限公司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006DD571">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10A1F179">
            <w:pPr>
              <w:pStyle w:val="133"/>
            </w:pPr>
            <w:r>
              <w:t>683</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2FB962E3">
            <w:pPr>
              <w:pStyle w:val="133"/>
            </w:pPr>
            <w:r>
              <w:t>509</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761358B8">
            <w:pPr>
              <w:pStyle w:val="133"/>
            </w:pPr>
            <w:r>
              <w:t>/</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5F3F8084">
            <w:pPr>
              <w:pStyle w:val="133"/>
            </w:pPr>
            <w:r>
              <w:t>106.15</w:t>
            </w:r>
          </w:p>
        </w:tc>
        <w:tc>
          <w:tcPr>
            <w:tcW w:w="852" w:type="dxa"/>
            <w:tcBorders>
              <w:top w:val="single" w:color="000000" w:sz="4" w:space="0"/>
              <w:left w:val="single" w:color="000000" w:sz="4" w:space="0"/>
              <w:bottom w:val="single" w:color="000000" w:sz="4" w:space="0"/>
              <w:right w:val="single" w:color="000000" w:sz="12" w:space="0"/>
            </w:tcBorders>
            <w:vAlign w:val="center"/>
          </w:tcPr>
          <w:p w14:paraId="22323F51">
            <w:pPr>
              <w:pStyle w:val="133"/>
            </w:pPr>
            <w:bookmarkStart w:id="420" w:name="OLE_LINK58"/>
            <w:r>
              <w:rPr>
                <w:rFonts w:hint="eastAsia"/>
              </w:rPr>
              <w:t>跟踪</w:t>
            </w:r>
          </w:p>
          <w:p w14:paraId="7CB3C776">
            <w:pPr>
              <w:pStyle w:val="133"/>
            </w:pPr>
            <w:r>
              <w:rPr>
                <w:rFonts w:hint="eastAsia"/>
              </w:rPr>
              <w:t>评价</w:t>
            </w:r>
            <w:bookmarkEnd w:id="420"/>
          </w:p>
        </w:tc>
      </w:tr>
      <w:tr w14:paraId="2C149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990" w:type="dxa"/>
            <w:gridSpan w:val="2"/>
            <w:tcBorders>
              <w:top w:val="single" w:color="000000" w:sz="4" w:space="0"/>
              <w:left w:val="single" w:color="000000" w:sz="12" w:space="0"/>
              <w:bottom w:val="single" w:color="000000" w:sz="4" w:space="0"/>
              <w:right w:val="single" w:color="000000" w:sz="4" w:space="0"/>
            </w:tcBorders>
            <w:vAlign w:val="center"/>
          </w:tcPr>
          <w:p w14:paraId="1D52EC88">
            <w:pPr>
              <w:pStyle w:val="133"/>
            </w:pPr>
            <w:r>
              <w:t>12</w:t>
            </w:r>
          </w:p>
        </w:tc>
        <w:tc>
          <w:tcPr>
            <w:tcW w:w="1211" w:type="dxa"/>
            <w:gridSpan w:val="2"/>
            <w:tcBorders>
              <w:top w:val="single" w:color="000000" w:sz="4" w:space="0"/>
              <w:left w:val="single" w:color="000000" w:sz="4" w:space="0"/>
              <w:bottom w:val="single" w:color="000000" w:sz="4" w:space="0"/>
              <w:right w:val="single" w:color="000000" w:sz="4" w:space="0"/>
            </w:tcBorders>
            <w:vAlign w:val="center"/>
          </w:tcPr>
          <w:p w14:paraId="1148E9B0">
            <w:pPr>
              <w:pStyle w:val="133"/>
            </w:pPr>
            <w:r>
              <w:rPr>
                <w:rFonts w:hint="eastAsia"/>
              </w:rPr>
              <w:t>新疆鑫涛硅业有限公司</w:t>
            </w:r>
          </w:p>
        </w:tc>
        <w:tc>
          <w:tcPr>
            <w:tcW w:w="980" w:type="dxa"/>
            <w:gridSpan w:val="2"/>
            <w:tcBorders>
              <w:top w:val="single" w:color="000000" w:sz="4" w:space="0"/>
              <w:left w:val="single" w:color="000000" w:sz="4" w:space="0"/>
              <w:bottom w:val="single" w:color="000000" w:sz="4" w:space="0"/>
              <w:right w:val="single" w:color="000000" w:sz="4" w:space="0"/>
            </w:tcBorders>
            <w:vAlign w:val="center"/>
          </w:tcPr>
          <w:p w14:paraId="3539B4F8">
            <w:pPr>
              <w:pStyle w:val="133"/>
            </w:pPr>
            <w:r>
              <w:rPr>
                <w:rFonts w:hint="eastAsia"/>
              </w:rPr>
              <w:t>生产废气</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01E05222">
            <w:pPr>
              <w:pStyle w:val="133"/>
            </w:pPr>
            <w:r>
              <w:t>842</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15BB9322">
            <w:pPr>
              <w:pStyle w:val="133"/>
            </w:pPr>
            <w:r>
              <w:t>389</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58083C58">
            <w:pPr>
              <w:pStyle w:val="133"/>
            </w:pPr>
            <w:r>
              <w:t>/</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4EFFE744">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4A57F9BD">
            <w:pPr>
              <w:pStyle w:val="133"/>
            </w:pPr>
            <w:r>
              <w:rPr>
                <w:rFonts w:hint="eastAsia"/>
              </w:rPr>
              <w:t>环评</w:t>
            </w:r>
          </w:p>
        </w:tc>
      </w:tr>
      <w:tr w14:paraId="6D2EBD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3181" w:type="dxa"/>
            <w:gridSpan w:val="6"/>
            <w:tcBorders>
              <w:top w:val="single" w:color="000000" w:sz="4" w:space="0"/>
              <w:left w:val="single" w:color="000000" w:sz="12" w:space="0"/>
              <w:bottom w:val="single" w:color="000000" w:sz="4" w:space="0"/>
              <w:right w:val="single" w:color="000000" w:sz="4" w:space="0"/>
            </w:tcBorders>
            <w:vAlign w:val="center"/>
          </w:tcPr>
          <w:p w14:paraId="2E481FE4">
            <w:pPr>
              <w:pStyle w:val="133"/>
            </w:pPr>
            <w:r>
              <w:rPr>
                <w:rFonts w:hint="eastAsia"/>
              </w:rPr>
              <w:t>总计</w:t>
            </w:r>
          </w:p>
        </w:tc>
        <w:tc>
          <w:tcPr>
            <w:tcW w:w="1385" w:type="dxa"/>
            <w:gridSpan w:val="2"/>
            <w:tcBorders>
              <w:top w:val="single" w:color="000000" w:sz="4" w:space="0"/>
              <w:left w:val="single" w:color="000000" w:sz="4" w:space="0"/>
              <w:bottom w:val="single" w:color="000000" w:sz="4" w:space="0"/>
              <w:right w:val="single" w:color="000000" w:sz="4" w:space="0"/>
            </w:tcBorders>
            <w:vAlign w:val="center"/>
          </w:tcPr>
          <w:p w14:paraId="1FFC2AAC">
            <w:pPr>
              <w:pStyle w:val="133"/>
            </w:pPr>
            <w:r>
              <w:t>2803.236</w:t>
            </w:r>
          </w:p>
        </w:tc>
        <w:tc>
          <w:tcPr>
            <w:tcW w:w="1189" w:type="dxa"/>
            <w:gridSpan w:val="2"/>
            <w:tcBorders>
              <w:top w:val="single" w:color="000000" w:sz="4" w:space="0"/>
              <w:left w:val="single" w:color="000000" w:sz="4" w:space="0"/>
              <w:bottom w:val="single" w:color="000000" w:sz="4" w:space="0"/>
              <w:right w:val="single" w:color="000000" w:sz="4" w:space="0"/>
            </w:tcBorders>
            <w:vAlign w:val="center"/>
          </w:tcPr>
          <w:p w14:paraId="27FDCED8">
            <w:pPr>
              <w:pStyle w:val="133"/>
            </w:pPr>
            <w:r>
              <w:t>4565.292</w:t>
            </w:r>
          </w:p>
        </w:tc>
        <w:tc>
          <w:tcPr>
            <w:tcW w:w="1208" w:type="dxa"/>
            <w:gridSpan w:val="2"/>
            <w:tcBorders>
              <w:top w:val="single" w:color="000000" w:sz="4" w:space="0"/>
              <w:left w:val="single" w:color="000000" w:sz="4" w:space="0"/>
              <w:bottom w:val="single" w:color="000000" w:sz="4" w:space="0"/>
              <w:right w:val="single" w:color="000000" w:sz="4" w:space="0"/>
            </w:tcBorders>
            <w:vAlign w:val="center"/>
          </w:tcPr>
          <w:p w14:paraId="4EF4FD73">
            <w:pPr>
              <w:pStyle w:val="133"/>
            </w:pPr>
            <w:r>
              <w:t>16.609</w:t>
            </w:r>
          </w:p>
        </w:tc>
        <w:tc>
          <w:tcPr>
            <w:tcW w:w="1244" w:type="dxa"/>
            <w:gridSpan w:val="2"/>
            <w:tcBorders>
              <w:top w:val="single" w:color="000000" w:sz="4" w:space="0"/>
              <w:left w:val="single" w:color="000000" w:sz="4" w:space="0"/>
              <w:bottom w:val="single" w:color="000000" w:sz="4" w:space="0"/>
              <w:right w:val="single" w:color="000000" w:sz="4" w:space="0"/>
            </w:tcBorders>
            <w:vAlign w:val="center"/>
          </w:tcPr>
          <w:p w14:paraId="27ABFB79">
            <w:pPr>
              <w:pStyle w:val="133"/>
            </w:pPr>
            <w:r>
              <w:t>774.422</w:t>
            </w:r>
          </w:p>
        </w:tc>
        <w:tc>
          <w:tcPr>
            <w:tcW w:w="852" w:type="dxa"/>
            <w:tcBorders>
              <w:top w:val="single" w:color="000000" w:sz="4" w:space="0"/>
              <w:left w:val="single" w:color="000000" w:sz="4" w:space="0"/>
              <w:bottom w:val="single" w:color="000000" w:sz="4" w:space="0"/>
              <w:right w:val="single" w:color="000000" w:sz="12" w:space="0"/>
            </w:tcBorders>
            <w:vAlign w:val="center"/>
          </w:tcPr>
          <w:p w14:paraId="0BDB0A81">
            <w:pPr>
              <w:pStyle w:val="133"/>
            </w:pPr>
            <w:r>
              <w:t>/</w:t>
            </w:r>
          </w:p>
        </w:tc>
      </w:tr>
      <w:tr w14:paraId="25BA92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207" w:type="dxa"/>
            <w:gridSpan w:val="14"/>
            <w:tcBorders>
              <w:top w:val="single" w:color="000000" w:sz="4" w:space="0"/>
              <w:left w:val="single" w:color="000000" w:sz="12" w:space="0"/>
              <w:bottom w:val="single" w:color="000000" w:sz="4" w:space="0"/>
              <w:right w:val="single" w:color="000000" w:sz="4" w:space="0"/>
            </w:tcBorders>
            <w:vAlign w:val="center"/>
          </w:tcPr>
          <w:p w14:paraId="35297C2C">
            <w:pPr>
              <w:pStyle w:val="133"/>
            </w:pPr>
            <w:r>
              <w:rPr>
                <w:rFonts w:hint="eastAsia"/>
              </w:rPr>
              <w:t>水污染物排放情况</w:t>
            </w:r>
          </w:p>
        </w:tc>
        <w:tc>
          <w:tcPr>
            <w:tcW w:w="852" w:type="dxa"/>
            <w:vMerge w:val="restart"/>
            <w:tcBorders>
              <w:top w:val="single" w:color="000000" w:sz="4" w:space="0"/>
              <w:left w:val="single" w:color="000000" w:sz="4" w:space="0"/>
              <w:bottom w:val="single" w:color="000000" w:sz="4" w:space="0"/>
              <w:right w:val="single" w:color="000000" w:sz="12" w:space="0"/>
            </w:tcBorders>
            <w:vAlign w:val="center"/>
          </w:tcPr>
          <w:p w14:paraId="138D6A58">
            <w:pPr>
              <w:pStyle w:val="133"/>
            </w:pPr>
            <w:r>
              <w:rPr>
                <w:rFonts w:hint="eastAsia"/>
              </w:rPr>
              <w:t>数据</w:t>
            </w:r>
          </w:p>
          <w:p w14:paraId="33357AF3">
            <w:pPr>
              <w:pStyle w:val="133"/>
            </w:pPr>
            <w:r>
              <w:rPr>
                <w:rFonts w:hint="eastAsia"/>
              </w:rPr>
              <w:t>来源</w:t>
            </w:r>
          </w:p>
        </w:tc>
      </w:tr>
      <w:tr w14:paraId="72AB17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vMerge w:val="restart"/>
            <w:tcBorders>
              <w:top w:val="single" w:color="000000" w:sz="4" w:space="0"/>
              <w:left w:val="single" w:color="000000" w:sz="12" w:space="0"/>
              <w:bottom w:val="single" w:color="000000" w:sz="4" w:space="0"/>
              <w:right w:val="single" w:color="000000" w:sz="4" w:space="0"/>
            </w:tcBorders>
            <w:vAlign w:val="center"/>
          </w:tcPr>
          <w:p w14:paraId="01A51402">
            <w:pPr>
              <w:pStyle w:val="133"/>
            </w:pPr>
            <w:r>
              <w:rPr>
                <w:rFonts w:hint="eastAsia"/>
              </w:rPr>
              <w:t>序号</w:t>
            </w:r>
          </w:p>
        </w:tc>
        <w:tc>
          <w:tcPr>
            <w:tcW w:w="879"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4FD3106">
            <w:pPr>
              <w:pStyle w:val="133"/>
            </w:pPr>
            <w:r>
              <w:rPr>
                <w:rFonts w:hint="eastAsia"/>
              </w:rPr>
              <w:t>企业名称</w:t>
            </w:r>
          </w:p>
        </w:tc>
        <w:tc>
          <w:tcPr>
            <w:tcW w:w="954" w:type="dxa"/>
            <w:gridSpan w:val="2"/>
            <w:vMerge w:val="restart"/>
            <w:tcBorders>
              <w:top w:val="single" w:color="000000" w:sz="4" w:space="0"/>
              <w:left w:val="single" w:color="000000" w:sz="4" w:space="0"/>
              <w:bottom w:val="single" w:color="000000" w:sz="4" w:space="0"/>
              <w:right w:val="single" w:color="000000" w:sz="4" w:space="0"/>
            </w:tcBorders>
            <w:vAlign w:val="center"/>
          </w:tcPr>
          <w:p w14:paraId="704E71AB">
            <w:pPr>
              <w:pStyle w:val="133"/>
            </w:pPr>
            <w:r>
              <w:rPr>
                <w:rFonts w:hint="eastAsia"/>
              </w:rPr>
              <w:t>污染类型</w:t>
            </w:r>
          </w:p>
        </w:tc>
        <w:tc>
          <w:tcPr>
            <w:tcW w:w="1292" w:type="dxa"/>
            <w:gridSpan w:val="2"/>
            <w:vMerge w:val="restart"/>
            <w:tcBorders>
              <w:top w:val="single" w:color="000000" w:sz="4" w:space="0"/>
              <w:left w:val="single" w:color="000000" w:sz="4" w:space="0"/>
              <w:bottom w:val="single" w:color="000000" w:sz="4" w:space="0"/>
              <w:right w:val="single" w:color="000000" w:sz="4" w:space="0"/>
            </w:tcBorders>
            <w:vAlign w:val="center"/>
          </w:tcPr>
          <w:p w14:paraId="0C6BA532">
            <w:pPr>
              <w:pStyle w:val="133"/>
            </w:pPr>
            <w:r>
              <w:rPr>
                <w:rFonts w:hint="eastAsia"/>
              </w:rPr>
              <w:t>废水排放量（</w:t>
            </w:r>
            <w:r>
              <w:t>t/a</w:t>
            </w:r>
            <w:r>
              <w:rPr>
                <w:rFonts w:hint="eastAsia"/>
              </w:rPr>
              <w:t>）</w:t>
            </w:r>
          </w:p>
        </w:tc>
        <w:tc>
          <w:tcPr>
            <w:tcW w:w="4204" w:type="dxa"/>
            <w:gridSpan w:val="7"/>
            <w:tcBorders>
              <w:top w:val="single" w:color="000000" w:sz="4" w:space="0"/>
              <w:left w:val="single" w:color="000000" w:sz="4" w:space="0"/>
              <w:bottom w:val="single" w:color="000000" w:sz="4" w:space="0"/>
              <w:right w:val="single" w:color="000000" w:sz="4" w:space="0"/>
            </w:tcBorders>
            <w:vAlign w:val="center"/>
          </w:tcPr>
          <w:p w14:paraId="18AD38F9">
            <w:pPr>
              <w:pStyle w:val="133"/>
            </w:pPr>
            <w:r>
              <w:rPr>
                <w:rFonts w:hint="eastAsia"/>
              </w:rPr>
              <w:t>主要污染物排放量（</w:t>
            </w:r>
            <w:r>
              <w:t>t/a</w:t>
            </w:r>
            <w:r>
              <w:rPr>
                <w:rFonts w:hint="eastAsia"/>
              </w:rPr>
              <w:t>）</w:t>
            </w:r>
          </w:p>
        </w:tc>
        <w:tc>
          <w:tcPr>
            <w:tcW w:w="0" w:type="auto"/>
            <w:vMerge w:val="continue"/>
            <w:tcBorders>
              <w:top w:val="single" w:color="000000" w:sz="4" w:space="0"/>
              <w:left w:val="single" w:color="000000" w:sz="4" w:space="0"/>
              <w:bottom w:val="single" w:color="000000" w:sz="4" w:space="0"/>
              <w:right w:val="single" w:color="000000" w:sz="12" w:space="0"/>
            </w:tcBorders>
            <w:vAlign w:val="center"/>
          </w:tcPr>
          <w:p w14:paraId="486F58B6">
            <w:pPr>
              <w:pStyle w:val="133"/>
            </w:pPr>
          </w:p>
        </w:tc>
      </w:tr>
      <w:tr w14:paraId="03574C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14:paraId="28A0653B">
            <w:pPr>
              <w:pStyle w:val="133"/>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2C5846B3">
            <w:pPr>
              <w:pStyle w:val="133"/>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519D18B1">
            <w:pPr>
              <w:pStyle w:val="133"/>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12C92C13">
            <w:pPr>
              <w:pStyle w:val="133"/>
            </w:pP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4AAC8C59">
            <w:pPr>
              <w:pStyle w:val="133"/>
            </w:pPr>
            <w:r>
              <w:t>COD</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58911C0E">
            <w:pPr>
              <w:pStyle w:val="133"/>
            </w:pPr>
            <w:r>
              <w:t>BOD</w:t>
            </w:r>
            <w:r>
              <w:rPr>
                <w:vertAlign w:val="subscript"/>
              </w:rPr>
              <w:t>5</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51EE2A3D">
            <w:pPr>
              <w:pStyle w:val="133"/>
            </w:pPr>
            <w:r>
              <w:t>SS</w:t>
            </w:r>
          </w:p>
        </w:tc>
        <w:tc>
          <w:tcPr>
            <w:tcW w:w="1134" w:type="dxa"/>
            <w:tcBorders>
              <w:top w:val="single" w:color="000000" w:sz="4" w:space="0"/>
              <w:left w:val="single" w:color="000000" w:sz="4" w:space="0"/>
              <w:bottom w:val="single" w:color="000000" w:sz="4" w:space="0"/>
              <w:right w:val="single" w:color="000000" w:sz="4" w:space="0"/>
            </w:tcBorders>
            <w:vAlign w:val="center"/>
          </w:tcPr>
          <w:p w14:paraId="38D7483E">
            <w:pPr>
              <w:pStyle w:val="133"/>
            </w:pPr>
            <w:r>
              <w:t>NH3-N</w:t>
            </w:r>
          </w:p>
        </w:tc>
        <w:tc>
          <w:tcPr>
            <w:tcW w:w="0" w:type="auto"/>
            <w:vMerge w:val="continue"/>
            <w:tcBorders>
              <w:top w:val="single" w:color="000000" w:sz="4" w:space="0"/>
              <w:left w:val="single" w:color="000000" w:sz="4" w:space="0"/>
              <w:bottom w:val="single" w:color="000000" w:sz="4" w:space="0"/>
              <w:right w:val="single" w:color="000000" w:sz="12" w:space="0"/>
            </w:tcBorders>
            <w:vAlign w:val="center"/>
          </w:tcPr>
          <w:p w14:paraId="35FB4372">
            <w:pPr>
              <w:pStyle w:val="133"/>
            </w:pPr>
          </w:p>
        </w:tc>
      </w:tr>
      <w:tr w14:paraId="6AB7AE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472BF1E8">
            <w:pPr>
              <w:pStyle w:val="133"/>
            </w:pPr>
            <w:r>
              <w:t>1</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7BEC1949">
            <w:pPr>
              <w:pStyle w:val="133"/>
            </w:pPr>
            <w:r>
              <w:rPr>
                <w:rFonts w:hint="eastAsia"/>
              </w:rPr>
              <w:t>哈密新天山水泥有限责任公司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2B92F4B7">
            <w:pPr>
              <w:pStyle w:val="133"/>
            </w:pPr>
            <w:r>
              <w:rPr>
                <w:rFonts w:hint="eastAsia"/>
              </w:rPr>
              <w:t>循环冷却排水、余热锅炉排污水、辅助设施排水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3FC2D93C">
            <w:pPr>
              <w:pStyle w:val="133"/>
            </w:pPr>
            <w:r>
              <w:t>103850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3114BAF3">
            <w:pPr>
              <w:pStyle w:val="133"/>
            </w:pPr>
            <w:r>
              <w:t>11.01</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0354C231">
            <w:pPr>
              <w:pStyle w:val="133"/>
            </w:pPr>
            <w:r>
              <w:t>2.75</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65AA70F8">
            <w:pPr>
              <w:pStyle w:val="133"/>
            </w:pPr>
            <w:r>
              <w:t>8.8</w:t>
            </w:r>
          </w:p>
        </w:tc>
        <w:tc>
          <w:tcPr>
            <w:tcW w:w="1134" w:type="dxa"/>
            <w:tcBorders>
              <w:top w:val="single" w:color="000000" w:sz="4" w:space="0"/>
              <w:left w:val="single" w:color="000000" w:sz="4" w:space="0"/>
              <w:bottom w:val="single" w:color="000000" w:sz="4" w:space="0"/>
              <w:right w:val="single" w:color="000000" w:sz="4" w:space="0"/>
            </w:tcBorders>
            <w:vAlign w:val="center"/>
          </w:tcPr>
          <w:p w14:paraId="56BCC983">
            <w:pPr>
              <w:pStyle w:val="133"/>
            </w:pPr>
            <w:r>
              <w:t>1.65</w:t>
            </w:r>
          </w:p>
        </w:tc>
        <w:tc>
          <w:tcPr>
            <w:tcW w:w="852" w:type="dxa"/>
            <w:tcBorders>
              <w:top w:val="single" w:color="000000" w:sz="4" w:space="0"/>
              <w:left w:val="single" w:color="000000" w:sz="4" w:space="0"/>
              <w:bottom w:val="single" w:color="000000" w:sz="4" w:space="0"/>
              <w:right w:val="single" w:color="000000" w:sz="12" w:space="0"/>
            </w:tcBorders>
            <w:vAlign w:val="center"/>
          </w:tcPr>
          <w:p w14:paraId="238B9B41">
            <w:pPr>
              <w:pStyle w:val="133"/>
            </w:pPr>
            <w:r>
              <w:rPr>
                <w:rFonts w:hint="eastAsia"/>
              </w:rPr>
              <w:t>跟踪</w:t>
            </w:r>
          </w:p>
          <w:p w14:paraId="3DCFDF56">
            <w:pPr>
              <w:pStyle w:val="133"/>
            </w:pPr>
            <w:r>
              <w:rPr>
                <w:rFonts w:hint="eastAsia"/>
              </w:rPr>
              <w:t>评价</w:t>
            </w:r>
          </w:p>
        </w:tc>
      </w:tr>
      <w:tr w14:paraId="69EB3F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239ED657">
            <w:pPr>
              <w:pStyle w:val="133"/>
            </w:pPr>
            <w:r>
              <w:t>2</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1F91989B">
            <w:pPr>
              <w:pStyle w:val="133"/>
            </w:pPr>
            <w:r>
              <w:rPr>
                <w:rFonts w:hint="eastAsia"/>
              </w:rPr>
              <w:t>新疆富兴通风电装备制造有限公司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2F983359">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7CF6AA48">
            <w:pPr>
              <w:pStyle w:val="133"/>
            </w:pPr>
            <w:r>
              <w:t>420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1DEF7AE7">
            <w:pPr>
              <w:pStyle w:val="133"/>
            </w:pPr>
            <w:r>
              <w:t>0.17</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074AB561">
            <w:pPr>
              <w:pStyle w:val="133"/>
            </w:pPr>
            <w:r>
              <w:t>0.084</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581D0C53">
            <w:pPr>
              <w:pStyle w:val="133"/>
            </w:pPr>
            <w:r>
              <w:t>0.092</w:t>
            </w:r>
          </w:p>
        </w:tc>
        <w:tc>
          <w:tcPr>
            <w:tcW w:w="1134" w:type="dxa"/>
            <w:tcBorders>
              <w:top w:val="single" w:color="000000" w:sz="4" w:space="0"/>
              <w:left w:val="single" w:color="000000" w:sz="4" w:space="0"/>
              <w:bottom w:val="single" w:color="000000" w:sz="4" w:space="0"/>
              <w:right w:val="single" w:color="000000" w:sz="4" w:space="0"/>
            </w:tcBorders>
            <w:vAlign w:val="center"/>
          </w:tcPr>
          <w:p w14:paraId="6D6EADEE">
            <w:pPr>
              <w:pStyle w:val="133"/>
            </w:pPr>
            <w:r>
              <w:t>0.011</w:t>
            </w:r>
          </w:p>
        </w:tc>
        <w:tc>
          <w:tcPr>
            <w:tcW w:w="852" w:type="dxa"/>
            <w:tcBorders>
              <w:top w:val="single" w:color="000000" w:sz="4" w:space="0"/>
              <w:left w:val="single" w:color="000000" w:sz="4" w:space="0"/>
              <w:bottom w:val="single" w:color="000000" w:sz="4" w:space="0"/>
              <w:right w:val="single" w:color="000000" w:sz="12" w:space="0"/>
            </w:tcBorders>
            <w:vAlign w:val="center"/>
          </w:tcPr>
          <w:p w14:paraId="4A13853D">
            <w:pPr>
              <w:pStyle w:val="133"/>
            </w:pPr>
            <w:r>
              <w:rPr>
                <w:rFonts w:hint="eastAsia"/>
              </w:rPr>
              <w:t>二污普</w:t>
            </w:r>
          </w:p>
        </w:tc>
      </w:tr>
      <w:tr w14:paraId="5A38C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00F81F0F">
            <w:pPr>
              <w:pStyle w:val="133"/>
            </w:pPr>
            <w:r>
              <w:t>3</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49CC322E">
            <w:pPr>
              <w:pStyle w:val="133"/>
            </w:pPr>
            <w:r>
              <w:rPr>
                <w:rFonts w:hint="eastAsia"/>
              </w:rPr>
              <w:t>哈密特力石化有限责任公司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39ADDD3D">
            <w:pPr>
              <w:pStyle w:val="133"/>
            </w:pPr>
            <w:r>
              <w:rPr>
                <w:rFonts w:hint="eastAsia"/>
              </w:rPr>
              <w:t>含油废水、地面冲洗水、化验废水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5E0D39E3">
            <w:pPr>
              <w:pStyle w:val="133"/>
            </w:pPr>
            <w:r>
              <w:t>3876</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3C72934E">
            <w:pPr>
              <w:pStyle w:val="133"/>
            </w:pPr>
            <w:r>
              <w:t>0.677</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1289E903">
            <w:pPr>
              <w:pStyle w:val="133"/>
            </w:pPr>
            <w:r>
              <w:t>0.294</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4FBCCB1E">
            <w:pPr>
              <w:pStyle w:val="133"/>
            </w:pPr>
            <w:r>
              <w:t>0.285</w:t>
            </w:r>
          </w:p>
        </w:tc>
        <w:tc>
          <w:tcPr>
            <w:tcW w:w="1134" w:type="dxa"/>
            <w:tcBorders>
              <w:top w:val="single" w:color="000000" w:sz="4" w:space="0"/>
              <w:left w:val="single" w:color="000000" w:sz="4" w:space="0"/>
              <w:bottom w:val="single" w:color="000000" w:sz="4" w:space="0"/>
              <w:right w:val="single" w:color="000000" w:sz="4" w:space="0"/>
            </w:tcBorders>
            <w:vAlign w:val="center"/>
          </w:tcPr>
          <w:p w14:paraId="18C90C20">
            <w:pPr>
              <w:pStyle w:val="133"/>
            </w:pPr>
            <w:r>
              <w:t>0.059</w:t>
            </w:r>
          </w:p>
        </w:tc>
        <w:tc>
          <w:tcPr>
            <w:tcW w:w="852" w:type="dxa"/>
            <w:tcBorders>
              <w:top w:val="single" w:color="000000" w:sz="4" w:space="0"/>
              <w:left w:val="single" w:color="000000" w:sz="4" w:space="0"/>
              <w:bottom w:val="single" w:color="000000" w:sz="4" w:space="0"/>
              <w:right w:val="single" w:color="000000" w:sz="12" w:space="0"/>
            </w:tcBorders>
            <w:vAlign w:val="center"/>
          </w:tcPr>
          <w:p w14:paraId="73E2F360">
            <w:pPr>
              <w:pStyle w:val="133"/>
            </w:pPr>
            <w:r>
              <w:rPr>
                <w:rFonts w:hint="eastAsia"/>
              </w:rPr>
              <w:t>跟踪</w:t>
            </w:r>
          </w:p>
          <w:p w14:paraId="649F9C37">
            <w:pPr>
              <w:pStyle w:val="133"/>
            </w:pPr>
            <w:r>
              <w:rPr>
                <w:rFonts w:hint="eastAsia"/>
              </w:rPr>
              <w:t>评价</w:t>
            </w:r>
          </w:p>
        </w:tc>
      </w:tr>
      <w:tr w14:paraId="5629D5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4FD1148C">
            <w:pPr>
              <w:pStyle w:val="133"/>
            </w:pPr>
            <w:r>
              <w:t>4</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230E0C43">
            <w:pPr>
              <w:pStyle w:val="133"/>
            </w:pPr>
            <w:r>
              <w:rPr>
                <w:rFonts w:hint="eastAsia"/>
              </w:rPr>
              <w:t>哈密市兴利矿业有限公司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6CF9322A">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2F066E91">
            <w:pPr>
              <w:pStyle w:val="133"/>
            </w:pPr>
            <w:r>
              <w:t>37200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24CC8D84">
            <w:pPr>
              <w:pStyle w:val="133"/>
            </w:pPr>
            <w:r>
              <w:t>/</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565DB673">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642D4E24">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91B984A">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72AE2738">
            <w:pPr>
              <w:pStyle w:val="133"/>
            </w:pPr>
            <w:r>
              <w:rPr>
                <w:rFonts w:hint="eastAsia"/>
              </w:rPr>
              <w:t>跟踪</w:t>
            </w:r>
          </w:p>
          <w:p w14:paraId="1E239578">
            <w:pPr>
              <w:pStyle w:val="133"/>
            </w:pPr>
            <w:r>
              <w:rPr>
                <w:rFonts w:hint="eastAsia"/>
              </w:rPr>
              <w:t>评价</w:t>
            </w:r>
          </w:p>
        </w:tc>
      </w:tr>
      <w:tr w14:paraId="62DFB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1DEF0AE7">
            <w:pPr>
              <w:pStyle w:val="133"/>
            </w:pPr>
            <w:r>
              <w:t>5</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7681FD22">
            <w:pPr>
              <w:pStyle w:val="133"/>
            </w:pPr>
            <w:r>
              <w:rPr>
                <w:rFonts w:hint="eastAsia"/>
              </w:rPr>
              <w:t>哈密市中鑫矿业开发有限责任公司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73D8EA8C">
            <w:pPr>
              <w:pStyle w:val="133"/>
            </w:pPr>
            <w:r>
              <w:rPr>
                <w:rFonts w:hint="eastAsia"/>
              </w:rPr>
              <w:t>清洗废水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63AAFDF5">
            <w:pPr>
              <w:pStyle w:val="133"/>
            </w:pPr>
            <w:r>
              <w:t>2400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31DD9F02">
            <w:pPr>
              <w:pStyle w:val="133"/>
            </w:pPr>
            <w:r>
              <w:t>0.72</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1E29E4FF">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4842D93C">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794C164">
            <w:pPr>
              <w:pStyle w:val="133"/>
            </w:pPr>
            <w:r>
              <w:t>0.072</w:t>
            </w:r>
          </w:p>
        </w:tc>
        <w:tc>
          <w:tcPr>
            <w:tcW w:w="852" w:type="dxa"/>
            <w:tcBorders>
              <w:top w:val="single" w:color="000000" w:sz="4" w:space="0"/>
              <w:left w:val="single" w:color="000000" w:sz="4" w:space="0"/>
              <w:bottom w:val="single" w:color="000000" w:sz="4" w:space="0"/>
              <w:right w:val="single" w:color="000000" w:sz="12" w:space="0"/>
            </w:tcBorders>
            <w:vAlign w:val="center"/>
          </w:tcPr>
          <w:p w14:paraId="30CBF711">
            <w:pPr>
              <w:pStyle w:val="133"/>
            </w:pPr>
            <w:r>
              <w:rPr>
                <w:rFonts w:hint="eastAsia"/>
              </w:rPr>
              <w:t>跟踪</w:t>
            </w:r>
          </w:p>
          <w:p w14:paraId="1BD20392">
            <w:pPr>
              <w:pStyle w:val="133"/>
            </w:pPr>
            <w:r>
              <w:rPr>
                <w:rFonts w:hint="eastAsia"/>
              </w:rPr>
              <w:t>评价</w:t>
            </w:r>
          </w:p>
        </w:tc>
      </w:tr>
      <w:tr w14:paraId="36518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3C13DDFC">
            <w:pPr>
              <w:pStyle w:val="133"/>
            </w:pPr>
            <w:r>
              <w:t>6</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6137E0FD">
            <w:pPr>
              <w:pStyle w:val="133"/>
            </w:pPr>
            <w:r>
              <w:rPr>
                <w:rFonts w:hint="eastAsia"/>
              </w:rPr>
              <w:t>哈密山河石材有</w:t>
            </w:r>
            <w:r>
              <w:t xml:space="preserve"> </w:t>
            </w:r>
            <w:r>
              <w:rPr>
                <w:rFonts w:hint="eastAsia"/>
              </w:rPr>
              <w:t>限公司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37BF3EF3">
            <w:pPr>
              <w:pStyle w:val="133"/>
            </w:pPr>
            <w:r>
              <w:rPr>
                <w:rFonts w:hint="eastAsia"/>
              </w:rPr>
              <w:t>含悬浮物废水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3EDEBF7A">
            <w:pPr>
              <w:pStyle w:val="133"/>
            </w:pPr>
            <w:r>
              <w:t>10000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026484F0">
            <w:pPr>
              <w:pStyle w:val="133"/>
            </w:pPr>
            <w:r>
              <w:t>0.053</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654CA7F4">
            <w:pPr>
              <w:pStyle w:val="133"/>
            </w:pPr>
            <w:r>
              <w:t>0.032</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48D42165">
            <w:pPr>
              <w:pStyle w:val="133"/>
            </w:pPr>
            <w:r>
              <w:t>0.032</w:t>
            </w:r>
          </w:p>
        </w:tc>
        <w:tc>
          <w:tcPr>
            <w:tcW w:w="1134" w:type="dxa"/>
            <w:tcBorders>
              <w:top w:val="single" w:color="000000" w:sz="4" w:space="0"/>
              <w:left w:val="single" w:color="000000" w:sz="4" w:space="0"/>
              <w:bottom w:val="single" w:color="000000" w:sz="4" w:space="0"/>
              <w:right w:val="single" w:color="000000" w:sz="4" w:space="0"/>
            </w:tcBorders>
            <w:vAlign w:val="center"/>
          </w:tcPr>
          <w:p w14:paraId="0D1203CD">
            <w:pPr>
              <w:pStyle w:val="133"/>
            </w:pPr>
            <w:r>
              <w:t>0.007</w:t>
            </w:r>
          </w:p>
        </w:tc>
        <w:tc>
          <w:tcPr>
            <w:tcW w:w="852" w:type="dxa"/>
            <w:tcBorders>
              <w:top w:val="single" w:color="000000" w:sz="4" w:space="0"/>
              <w:left w:val="single" w:color="000000" w:sz="4" w:space="0"/>
              <w:bottom w:val="single" w:color="000000" w:sz="4" w:space="0"/>
              <w:right w:val="single" w:color="000000" w:sz="12" w:space="0"/>
            </w:tcBorders>
            <w:vAlign w:val="center"/>
          </w:tcPr>
          <w:p w14:paraId="0728765D">
            <w:pPr>
              <w:pStyle w:val="133"/>
            </w:pPr>
            <w:r>
              <w:rPr>
                <w:rFonts w:hint="eastAsia"/>
              </w:rPr>
              <w:t>二污普</w:t>
            </w:r>
          </w:p>
        </w:tc>
      </w:tr>
      <w:tr w14:paraId="151075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71684708">
            <w:pPr>
              <w:pStyle w:val="133"/>
            </w:pPr>
            <w:r>
              <w:t>7</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487A0048">
            <w:pPr>
              <w:pStyle w:val="133"/>
            </w:pPr>
            <w:r>
              <w:rPr>
                <w:rFonts w:hint="eastAsia"/>
              </w:rPr>
              <w:t>哈密市华尔特石材厂</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0B69A619">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6F15BBAF">
            <w:pPr>
              <w:pStyle w:val="133"/>
            </w:pPr>
            <w:r>
              <w:t>/</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2FCE2807">
            <w:pPr>
              <w:pStyle w:val="133"/>
            </w:pPr>
            <w:r>
              <w:t>0.11</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12E26D56">
            <w:pPr>
              <w:pStyle w:val="133"/>
            </w:pPr>
            <w:r>
              <w:t>0.06</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13893916">
            <w:pPr>
              <w:pStyle w:val="133"/>
            </w:pPr>
            <w:r>
              <w:t>0.05</w:t>
            </w:r>
          </w:p>
        </w:tc>
        <w:tc>
          <w:tcPr>
            <w:tcW w:w="1134" w:type="dxa"/>
            <w:tcBorders>
              <w:top w:val="single" w:color="000000" w:sz="4" w:space="0"/>
              <w:left w:val="single" w:color="000000" w:sz="4" w:space="0"/>
              <w:bottom w:val="single" w:color="000000" w:sz="4" w:space="0"/>
              <w:right w:val="single" w:color="000000" w:sz="4" w:space="0"/>
            </w:tcBorders>
            <w:vAlign w:val="center"/>
          </w:tcPr>
          <w:p w14:paraId="125FC75A">
            <w:pPr>
              <w:pStyle w:val="133"/>
            </w:pPr>
            <w:r>
              <w:t>0.01</w:t>
            </w:r>
          </w:p>
        </w:tc>
        <w:tc>
          <w:tcPr>
            <w:tcW w:w="852" w:type="dxa"/>
            <w:tcBorders>
              <w:top w:val="single" w:color="000000" w:sz="4" w:space="0"/>
              <w:left w:val="single" w:color="000000" w:sz="4" w:space="0"/>
              <w:bottom w:val="single" w:color="000000" w:sz="4" w:space="0"/>
              <w:right w:val="single" w:color="000000" w:sz="12" w:space="0"/>
            </w:tcBorders>
            <w:vAlign w:val="center"/>
          </w:tcPr>
          <w:p w14:paraId="7F6F90AC">
            <w:pPr>
              <w:pStyle w:val="133"/>
            </w:pPr>
            <w:r>
              <w:rPr>
                <w:rFonts w:hint="eastAsia"/>
              </w:rPr>
              <w:t>跟踪</w:t>
            </w:r>
          </w:p>
          <w:p w14:paraId="760E1389">
            <w:pPr>
              <w:pStyle w:val="133"/>
            </w:pPr>
            <w:r>
              <w:rPr>
                <w:rFonts w:hint="eastAsia"/>
              </w:rPr>
              <w:t>评价</w:t>
            </w:r>
          </w:p>
        </w:tc>
      </w:tr>
      <w:tr w14:paraId="4C855A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3369CD9A">
            <w:pPr>
              <w:pStyle w:val="133"/>
            </w:pPr>
            <w:r>
              <w:t>8</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7D014E48">
            <w:pPr>
              <w:pStyle w:val="133"/>
            </w:pPr>
            <w:r>
              <w:rPr>
                <w:rFonts w:hint="eastAsia"/>
              </w:rPr>
              <w:t>哈密汇川矿业有限责任公司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362508FB">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45D66385">
            <w:pPr>
              <w:pStyle w:val="133"/>
            </w:pPr>
            <w:r>
              <w:t>2280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4CB4B317">
            <w:pPr>
              <w:pStyle w:val="133"/>
            </w:pPr>
            <w:r>
              <w:t>0.684</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4B476806">
            <w:pPr>
              <w:pStyle w:val="133"/>
            </w:pPr>
            <w:r>
              <w:t>0.456</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0D6E92E3">
            <w:pPr>
              <w:pStyle w:val="133"/>
            </w:pPr>
            <w:r>
              <w:t>0.5</w:t>
            </w:r>
          </w:p>
        </w:tc>
        <w:tc>
          <w:tcPr>
            <w:tcW w:w="1134" w:type="dxa"/>
            <w:tcBorders>
              <w:top w:val="single" w:color="000000" w:sz="4" w:space="0"/>
              <w:left w:val="single" w:color="000000" w:sz="4" w:space="0"/>
              <w:bottom w:val="single" w:color="000000" w:sz="4" w:space="0"/>
              <w:right w:val="single" w:color="000000" w:sz="4" w:space="0"/>
            </w:tcBorders>
            <w:vAlign w:val="center"/>
          </w:tcPr>
          <w:p w14:paraId="6605C6BC">
            <w:pPr>
              <w:pStyle w:val="133"/>
            </w:pPr>
            <w:r>
              <w:t>0.068</w:t>
            </w:r>
          </w:p>
        </w:tc>
        <w:tc>
          <w:tcPr>
            <w:tcW w:w="852" w:type="dxa"/>
            <w:tcBorders>
              <w:top w:val="single" w:color="000000" w:sz="4" w:space="0"/>
              <w:left w:val="single" w:color="000000" w:sz="4" w:space="0"/>
              <w:bottom w:val="single" w:color="000000" w:sz="4" w:space="0"/>
              <w:right w:val="single" w:color="000000" w:sz="12" w:space="0"/>
            </w:tcBorders>
            <w:vAlign w:val="center"/>
          </w:tcPr>
          <w:p w14:paraId="06A603F3">
            <w:pPr>
              <w:pStyle w:val="133"/>
            </w:pPr>
            <w:r>
              <w:rPr>
                <w:rFonts w:hint="eastAsia"/>
              </w:rPr>
              <w:t>跟踪</w:t>
            </w:r>
          </w:p>
          <w:p w14:paraId="29F2391A">
            <w:pPr>
              <w:pStyle w:val="133"/>
            </w:pPr>
            <w:r>
              <w:rPr>
                <w:rFonts w:hint="eastAsia"/>
              </w:rPr>
              <w:t>评价</w:t>
            </w:r>
          </w:p>
        </w:tc>
      </w:tr>
      <w:tr w14:paraId="2F8F8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32E57312">
            <w:pPr>
              <w:pStyle w:val="133"/>
            </w:pPr>
            <w:r>
              <w:t>9</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277C3722">
            <w:pPr>
              <w:pStyle w:val="133"/>
            </w:pPr>
            <w:r>
              <w:rPr>
                <w:rFonts w:hint="eastAsia"/>
              </w:rPr>
              <w:t>哈密江夏石材有限责任公司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635BD2AA">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54ADB041">
            <w:pPr>
              <w:pStyle w:val="133"/>
            </w:pPr>
            <w:r>
              <w:t>/</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264F880E">
            <w:pPr>
              <w:pStyle w:val="133"/>
            </w:pPr>
            <w:r>
              <w:t>0.07</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54233DC7">
            <w:pPr>
              <w:pStyle w:val="133"/>
            </w:pPr>
            <w:r>
              <w:t>0.037</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6705DA13">
            <w:pPr>
              <w:pStyle w:val="133"/>
            </w:pPr>
            <w:r>
              <w:t>0.032</w:t>
            </w:r>
          </w:p>
        </w:tc>
        <w:tc>
          <w:tcPr>
            <w:tcW w:w="1134" w:type="dxa"/>
            <w:tcBorders>
              <w:top w:val="single" w:color="000000" w:sz="4" w:space="0"/>
              <w:left w:val="single" w:color="000000" w:sz="4" w:space="0"/>
              <w:bottom w:val="single" w:color="000000" w:sz="4" w:space="0"/>
              <w:right w:val="single" w:color="000000" w:sz="4" w:space="0"/>
            </w:tcBorders>
            <w:vAlign w:val="center"/>
          </w:tcPr>
          <w:p w14:paraId="668C027C">
            <w:pPr>
              <w:pStyle w:val="133"/>
            </w:pPr>
            <w:r>
              <w:t>0.0069</w:t>
            </w:r>
          </w:p>
        </w:tc>
        <w:tc>
          <w:tcPr>
            <w:tcW w:w="852" w:type="dxa"/>
            <w:tcBorders>
              <w:top w:val="single" w:color="000000" w:sz="4" w:space="0"/>
              <w:left w:val="single" w:color="000000" w:sz="4" w:space="0"/>
              <w:bottom w:val="single" w:color="000000" w:sz="4" w:space="0"/>
              <w:right w:val="single" w:color="000000" w:sz="12" w:space="0"/>
            </w:tcBorders>
            <w:vAlign w:val="center"/>
          </w:tcPr>
          <w:p w14:paraId="24484B5B">
            <w:pPr>
              <w:pStyle w:val="133"/>
            </w:pPr>
            <w:r>
              <w:rPr>
                <w:rFonts w:hint="eastAsia"/>
              </w:rPr>
              <w:t>跟踪</w:t>
            </w:r>
          </w:p>
          <w:p w14:paraId="047FA2A7">
            <w:pPr>
              <w:pStyle w:val="133"/>
            </w:pPr>
            <w:r>
              <w:rPr>
                <w:rFonts w:hint="eastAsia"/>
              </w:rPr>
              <w:t>评价</w:t>
            </w:r>
          </w:p>
        </w:tc>
      </w:tr>
      <w:tr w14:paraId="77CAA4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2FC07D4F">
            <w:pPr>
              <w:pStyle w:val="133"/>
            </w:pPr>
            <w:r>
              <w:t>10</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069402C4">
            <w:pPr>
              <w:pStyle w:val="133"/>
            </w:pPr>
            <w:r>
              <w:rPr>
                <w:rFonts w:hint="eastAsia"/>
              </w:rPr>
              <w:t>哈密市立兴石材厂</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773ABC1E">
            <w:pPr>
              <w:pStyle w:val="133"/>
            </w:pPr>
            <w:r>
              <w:rPr>
                <w:rFonts w:hint="eastAsia"/>
              </w:rPr>
              <w:t>含悬浮物废水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234FBD77">
            <w:pPr>
              <w:pStyle w:val="133"/>
            </w:pPr>
            <w:r>
              <w:t>1800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45244DBB">
            <w:pPr>
              <w:pStyle w:val="133"/>
            </w:pPr>
            <w:r>
              <w:t>/</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1CC6CE0F">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11DBE819">
            <w:pPr>
              <w:pStyle w:val="133"/>
            </w:pPr>
            <w:r>
              <w:t>0.795</w:t>
            </w:r>
          </w:p>
        </w:tc>
        <w:tc>
          <w:tcPr>
            <w:tcW w:w="1134" w:type="dxa"/>
            <w:tcBorders>
              <w:top w:val="single" w:color="000000" w:sz="4" w:space="0"/>
              <w:left w:val="single" w:color="000000" w:sz="4" w:space="0"/>
              <w:bottom w:val="single" w:color="000000" w:sz="4" w:space="0"/>
              <w:right w:val="single" w:color="000000" w:sz="4" w:space="0"/>
            </w:tcBorders>
            <w:vAlign w:val="center"/>
          </w:tcPr>
          <w:p w14:paraId="3C63C7F8">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5AFB5A78">
            <w:pPr>
              <w:pStyle w:val="133"/>
            </w:pPr>
            <w:r>
              <w:rPr>
                <w:rFonts w:hint="eastAsia"/>
              </w:rPr>
              <w:t>二污普</w:t>
            </w:r>
          </w:p>
        </w:tc>
      </w:tr>
      <w:tr w14:paraId="5880C8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3418ACB0">
            <w:pPr>
              <w:pStyle w:val="133"/>
            </w:pPr>
            <w:r>
              <w:t>11</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31A5BD92">
            <w:pPr>
              <w:pStyle w:val="133"/>
            </w:pPr>
            <w:r>
              <w:rPr>
                <w:rFonts w:hint="eastAsia"/>
              </w:rPr>
              <w:t>哈密新天石材有限责任公司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3E665784">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773835BF">
            <w:pPr>
              <w:pStyle w:val="133"/>
            </w:pPr>
            <w:r>
              <w:t>265</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4272D593">
            <w:pPr>
              <w:pStyle w:val="133"/>
            </w:pPr>
            <w:r>
              <w:t>0.09</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4A78458A">
            <w:pPr>
              <w:pStyle w:val="133"/>
            </w:pPr>
            <w:r>
              <w:t>0.048</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03109082">
            <w:pPr>
              <w:pStyle w:val="133"/>
            </w:pPr>
            <w:r>
              <w:t>0.041</w:t>
            </w:r>
          </w:p>
        </w:tc>
        <w:tc>
          <w:tcPr>
            <w:tcW w:w="1134" w:type="dxa"/>
            <w:tcBorders>
              <w:top w:val="single" w:color="000000" w:sz="4" w:space="0"/>
              <w:left w:val="single" w:color="000000" w:sz="4" w:space="0"/>
              <w:bottom w:val="single" w:color="000000" w:sz="4" w:space="0"/>
              <w:right w:val="single" w:color="000000" w:sz="4" w:space="0"/>
            </w:tcBorders>
            <w:vAlign w:val="center"/>
          </w:tcPr>
          <w:p w14:paraId="2D8488BF">
            <w:pPr>
              <w:pStyle w:val="133"/>
            </w:pPr>
            <w:r>
              <w:t>0.009</w:t>
            </w:r>
          </w:p>
        </w:tc>
        <w:tc>
          <w:tcPr>
            <w:tcW w:w="852" w:type="dxa"/>
            <w:tcBorders>
              <w:top w:val="single" w:color="000000" w:sz="4" w:space="0"/>
              <w:left w:val="single" w:color="000000" w:sz="4" w:space="0"/>
              <w:bottom w:val="single" w:color="000000" w:sz="4" w:space="0"/>
              <w:right w:val="single" w:color="000000" w:sz="12" w:space="0"/>
            </w:tcBorders>
            <w:vAlign w:val="center"/>
          </w:tcPr>
          <w:p w14:paraId="507EBFBC">
            <w:pPr>
              <w:pStyle w:val="133"/>
            </w:pPr>
            <w:r>
              <w:rPr>
                <w:rFonts w:hint="eastAsia"/>
              </w:rPr>
              <w:t>跟踪</w:t>
            </w:r>
          </w:p>
          <w:p w14:paraId="298E708E">
            <w:pPr>
              <w:pStyle w:val="133"/>
            </w:pPr>
            <w:r>
              <w:rPr>
                <w:rFonts w:hint="eastAsia"/>
              </w:rPr>
              <w:t>评价</w:t>
            </w:r>
          </w:p>
        </w:tc>
      </w:tr>
      <w:tr w14:paraId="0E9C27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5F9BE387">
            <w:pPr>
              <w:pStyle w:val="133"/>
            </w:pPr>
            <w:r>
              <w:t>12</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7A74A55B">
            <w:pPr>
              <w:pStyle w:val="133"/>
            </w:pPr>
            <w:r>
              <w:rPr>
                <w:rFonts w:hint="eastAsia"/>
              </w:rPr>
              <w:t>哈密金盛镁业有限公司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67F882CD">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43BEDE4B">
            <w:pPr>
              <w:pStyle w:val="133"/>
            </w:pPr>
            <w:r>
              <w:t>66142</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0C62CBB3">
            <w:pPr>
              <w:pStyle w:val="133"/>
            </w:pPr>
            <w:r>
              <w:t>341.83</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452D4D72">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7600E9D3">
            <w:pPr>
              <w:pStyle w:val="133"/>
            </w:pPr>
            <w:r>
              <w:t>19.49</w:t>
            </w:r>
          </w:p>
        </w:tc>
        <w:tc>
          <w:tcPr>
            <w:tcW w:w="1134" w:type="dxa"/>
            <w:tcBorders>
              <w:top w:val="single" w:color="000000" w:sz="4" w:space="0"/>
              <w:left w:val="single" w:color="000000" w:sz="4" w:space="0"/>
              <w:bottom w:val="single" w:color="000000" w:sz="4" w:space="0"/>
              <w:right w:val="single" w:color="000000" w:sz="4" w:space="0"/>
            </w:tcBorders>
            <w:vAlign w:val="center"/>
          </w:tcPr>
          <w:p w14:paraId="1C173492">
            <w:pPr>
              <w:pStyle w:val="133"/>
            </w:pPr>
            <w:r>
              <w:t>17.81</w:t>
            </w:r>
          </w:p>
        </w:tc>
        <w:tc>
          <w:tcPr>
            <w:tcW w:w="852" w:type="dxa"/>
            <w:tcBorders>
              <w:top w:val="single" w:color="000000" w:sz="4" w:space="0"/>
              <w:left w:val="single" w:color="000000" w:sz="4" w:space="0"/>
              <w:bottom w:val="single" w:color="000000" w:sz="4" w:space="0"/>
              <w:right w:val="single" w:color="000000" w:sz="12" w:space="0"/>
            </w:tcBorders>
            <w:vAlign w:val="center"/>
          </w:tcPr>
          <w:p w14:paraId="414894B0">
            <w:pPr>
              <w:pStyle w:val="133"/>
            </w:pPr>
            <w:r>
              <w:rPr>
                <w:rFonts w:hint="eastAsia"/>
              </w:rPr>
              <w:t>跟踪</w:t>
            </w:r>
          </w:p>
          <w:p w14:paraId="187D0100">
            <w:pPr>
              <w:pStyle w:val="133"/>
            </w:pPr>
            <w:r>
              <w:rPr>
                <w:rFonts w:hint="eastAsia"/>
              </w:rPr>
              <w:t>评价</w:t>
            </w:r>
          </w:p>
        </w:tc>
      </w:tr>
      <w:tr w14:paraId="50B62D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17A0826C">
            <w:pPr>
              <w:pStyle w:val="133"/>
            </w:pPr>
            <w:r>
              <w:t>13</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03B82136">
            <w:pPr>
              <w:pStyle w:val="133"/>
            </w:pPr>
            <w:r>
              <w:rPr>
                <w:rFonts w:hint="eastAsia"/>
              </w:rPr>
              <w:t>新疆炜通石材工贸有限责任公司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49DEBC07">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00E04737">
            <w:pPr>
              <w:pStyle w:val="133"/>
            </w:pPr>
            <w:r>
              <w:t>6500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3718C752">
            <w:pPr>
              <w:pStyle w:val="133"/>
            </w:pPr>
            <w:r>
              <w:t>1.89</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4CA3736D">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358FEB59">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6D448B7F">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79A882FD">
            <w:pPr>
              <w:pStyle w:val="133"/>
            </w:pPr>
            <w:r>
              <w:rPr>
                <w:rFonts w:hint="eastAsia"/>
              </w:rPr>
              <w:t>二污普</w:t>
            </w:r>
          </w:p>
        </w:tc>
      </w:tr>
      <w:tr w14:paraId="04AB4A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7809ED77">
            <w:pPr>
              <w:pStyle w:val="133"/>
            </w:pPr>
            <w:r>
              <w:t>14</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2FE7F64D">
            <w:pPr>
              <w:pStyle w:val="133"/>
            </w:pPr>
            <w:r>
              <w:rPr>
                <w:rFonts w:hint="eastAsia"/>
              </w:rPr>
              <w:t>新疆新晶浮法玻璃有限公司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70E0BC6A">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78A9238B">
            <w:pPr>
              <w:pStyle w:val="133"/>
            </w:pPr>
            <w:r>
              <w:t>/</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0BC58136">
            <w:pPr>
              <w:pStyle w:val="133"/>
            </w:pPr>
            <w:r>
              <w:t>1.45</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32FAB5E1">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57205A98">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F405B9A">
            <w:pPr>
              <w:pStyle w:val="133"/>
            </w:pPr>
            <w:r>
              <w:t>0.16</w:t>
            </w:r>
          </w:p>
        </w:tc>
        <w:tc>
          <w:tcPr>
            <w:tcW w:w="852" w:type="dxa"/>
            <w:tcBorders>
              <w:top w:val="single" w:color="000000" w:sz="4" w:space="0"/>
              <w:left w:val="single" w:color="000000" w:sz="4" w:space="0"/>
              <w:bottom w:val="single" w:color="000000" w:sz="4" w:space="0"/>
              <w:right w:val="single" w:color="000000" w:sz="12" w:space="0"/>
            </w:tcBorders>
            <w:vAlign w:val="center"/>
          </w:tcPr>
          <w:p w14:paraId="3306E961">
            <w:pPr>
              <w:pStyle w:val="133"/>
            </w:pPr>
            <w:r>
              <w:rPr>
                <w:rFonts w:hint="eastAsia"/>
              </w:rPr>
              <w:t>跟踪</w:t>
            </w:r>
          </w:p>
          <w:p w14:paraId="2B33FE30">
            <w:pPr>
              <w:pStyle w:val="133"/>
            </w:pPr>
            <w:r>
              <w:rPr>
                <w:rFonts w:hint="eastAsia"/>
              </w:rPr>
              <w:t>评价</w:t>
            </w:r>
          </w:p>
        </w:tc>
      </w:tr>
      <w:tr w14:paraId="4EE7A8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3A430F03">
            <w:pPr>
              <w:pStyle w:val="133"/>
            </w:pPr>
            <w:r>
              <w:t>15</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39A3A93A">
            <w:pPr>
              <w:pStyle w:val="133"/>
            </w:pPr>
            <w:r>
              <w:rPr>
                <w:rFonts w:hint="eastAsia"/>
              </w:rPr>
              <w:t>新疆昕昊达矿业有限责任公司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569FE651">
            <w:pPr>
              <w:pStyle w:val="133"/>
            </w:pPr>
            <w:r>
              <w:rPr>
                <w:rFonts w:hint="eastAsia"/>
              </w:rPr>
              <w:t>含悬浮物废水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4F539FDF">
            <w:pPr>
              <w:pStyle w:val="133"/>
            </w:pPr>
            <w:r>
              <w:t>18000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5628FDCF">
            <w:pPr>
              <w:pStyle w:val="133"/>
            </w:pPr>
            <w:r>
              <w:t>1128.6</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7D9DD932">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2BA23BB1">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9D8B7C4">
            <w:pPr>
              <w:pStyle w:val="133"/>
            </w:pPr>
            <w:r>
              <w:t>57.42</w:t>
            </w:r>
          </w:p>
        </w:tc>
        <w:tc>
          <w:tcPr>
            <w:tcW w:w="852" w:type="dxa"/>
            <w:tcBorders>
              <w:top w:val="single" w:color="000000" w:sz="4" w:space="0"/>
              <w:left w:val="single" w:color="000000" w:sz="4" w:space="0"/>
              <w:bottom w:val="single" w:color="000000" w:sz="4" w:space="0"/>
              <w:right w:val="single" w:color="000000" w:sz="12" w:space="0"/>
            </w:tcBorders>
            <w:vAlign w:val="center"/>
          </w:tcPr>
          <w:p w14:paraId="5A0E9219">
            <w:pPr>
              <w:pStyle w:val="133"/>
            </w:pPr>
            <w:r>
              <w:rPr>
                <w:rFonts w:hint="eastAsia"/>
              </w:rPr>
              <w:t>跟踪</w:t>
            </w:r>
          </w:p>
          <w:p w14:paraId="7C07B640">
            <w:pPr>
              <w:pStyle w:val="133"/>
            </w:pPr>
            <w:r>
              <w:rPr>
                <w:rFonts w:hint="eastAsia"/>
              </w:rPr>
              <w:t>评价</w:t>
            </w:r>
          </w:p>
        </w:tc>
      </w:tr>
      <w:tr w14:paraId="71836E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28266BF7">
            <w:pPr>
              <w:pStyle w:val="133"/>
            </w:pPr>
            <w:r>
              <w:t>16</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65089E85">
            <w:pPr>
              <w:pStyle w:val="133"/>
            </w:pPr>
            <w:r>
              <w:rPr>
                <w:rFonts w:hint="eastAsia"/>
              </w:rPr>
              <w:t>新疆腾翔镁制品有限公司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16B65293">
            <w:pPr>
              <w:pStyle w:val="133"/>
            </w:pPr>
            <w:r>
              <w:rPr>
                <w:rFonts w:hint="eastAsia"/>
              </w:rPr>
              <w:t>生产废水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6B8A8759">
            <w:pPr>
              <w:pStyle w:val="133"/>
            </w:pPr>
            <w:r>
              <w:t>336000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3C775925">
            <w:pPr>
              <w:pStyle w:val="133"/>
            </w:pPr>
            <w:r>
              <w:t>274.228</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49A3A500">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25FDD28F">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5837E76">
            <w:pPr>
              <w:pStyle w:val="133"/>
            </w:pPr>
            <w:r>
              <w:t>13.95</w:t>
            </w:r>
          </w:p>
        </w:tc>
        <w:tc>
          <w:tcPr>
            <w:tcW w:w="852" w:type="dxa"/>
            <w:tcBorders>
              <w:top w:val="single" w:color="000000" w:sz="4" w:space="0"/>
              <w:left w:val="single" w:color="000000" w:sz="4" w:space="0"/>
              <w:bottom w:val="single" w:color="000000" w:sz="4" w:space="0"/>
              <w:right w:val="single" w:color="000000" w:sz="12" w:space="0"/>
            </w:tcBorders>
            <w:vAlign w:val="center"/>
          </w:tcPr>
          <w:p w14:paraId="7097256B">
            <w:pPr>
              <w:pStyle w:val="133"/>
            </w:pPr>
            <w:bookmarkStart w:id="421" w:name="OLE_LINK60"/>
            <w:r>
              <w:rPr>
                <w:rFonts w:hint="eastAsia"/>
              </w:rPr>
              <w:t>二污普</w:t>
            </w:r>
            <w:bookmarkEnd w:id="421"/>
          </w:p>
        </w:tc>
      </w:tr>
      <w:tr w14:paraId="0397FB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5A3A104E">
            <w:pPr>
              <w:pStyle w:val="133"/>
            </w:pPr>
            <w:r>
              <w:t>17</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00906D5C">
            <w:pPr>
              <w:pStyle w:val="133"/>
            </w:pPr>
            <w:r>
              <w:rPr>
                <w:rFonts w:hint="eastAsia"/>
              </w:rPr>
              <w:t>哈密乔戈里金属冶选有限公司</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3FC020EA">
            <w:pPr>
              <w:pStyle w:val="133"/>
            </w:pPr>
            <w:r>
              <w:rPr>
                <w:rFonts w:hint="eastAsia"/>
              </w:rPr>
              <w:t>含悬浮物废水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48BB7737">
            <w:pPr>
              <w:pStyle w:val="133"/>
            </w:pPr>
            <w:r>
              <w:t>16165</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5AD965DA">
            <w:pPr>
              <w:pStyle w:val="133"/>
            </w:pPr>
            <w:r>
              <w:t>20.93</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6125331C">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6B26ADFC">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5ED7D34">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42E91A05">
            <w:pPr>
              <w:pStyle w:val="133"/>
            </w:pPr>
            <w:r>
              <w:rPr>
                <w:rFonts w:hint="eastAsia"/>
              </w:rPr>
              <w:t>二污普</w:t>
            </w:r>
          </w:p>
        </w:tc>
      </w:tr>
      <w:tr w14:paraId="724A1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789439C4">
            <w:pPr>
              <w:pStyle w:val="133"/>
            </w:pPr>
            <w:r>
              <w:t>18</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6978F981">
            <w:pPr>
              <w:pStyle w:val="133"/>
            </w:pPr>
            <w:r>
              <w:rPr>
                <w:rFonts w:hint="eastAsia"/>
              </w:rPr>
              <w:t>哈密市河山石材厂</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6108B9E1">
            <w:pPr>
              <w:pStyle w:val="133"/>
            </w:pPr>
            <w:r>
              <w:rPr>
                <w:rFonts w:hint="eastAsia"/>
              </w:rPr>
              <w:t>含悬浮物废水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26CFDBC9">
            <w:pPr>
              <w:pStyle w:val="133"/>
            </w:pPr>
            <w:r>
              <w:t>1000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0F2F68D7">
            <w:pPr>
              <w:pStyle w:val="133"/>
            </w:pPr>
            <w:r>
              <w:t>0.848</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28D5CA23">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2CB865E0">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9290EF4">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772F728A">
            <w:pPr>
              <w:pStyle w:val="133"/>
            </w:pPr>
            <w:r>
              <w:rPr>
                <w:rFonts w:hint="eastAsia"/>
              </w:rPr>
              <w:t>二污普</w:t>
            </w:r>
          </w:p>
        </w:tc>
      </w:tr>
      <w:tr w14:paraId="3EC126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1F974CC9">
            <w:pPr>
              <w:pStyle w:val="133"/>
            </w:pPr>
            <w:r>
              <w:t>19</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0A69905E">
            <w:pPr>
              <w:pStyle w:val="133"/>
            </w:pPr>
            <w:r>
              <w:rPr>
                <w:rFonts w:hint="eastAsia"/>
              </w:rPr>
              <w:t>哈密市冠亿石材厂</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0ED4155B">
            <w:pPr>
              <w:pStyle w:val="133"/>
            </w:pPr>
            <w:r>
              <w:rPr>
                <w:rFonts w:hint="eastAsia"/>
              </w:rPr>
              <w:t>含悬浮物废水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7944082A">
            <w:pPr>
              <w:pStyle w:val="133"/>
            </w:pPr>
            <w:r>
              <w:t>2500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41FA37BB">
            <w:pPr>
              <w:pStyle w:val="133"/>
            </w:pPr>
            <w:r>
              <w:t>0.53</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3738E02B">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1BFCA64B">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6844876">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5BDCC011">
            <w:pPr>
              <w:pStyle w:val="133"/>
            </w:pPr>
            <w:r>
              <w:rPr>
                <w:rFonts w:hint="eastAsia"/>
              </w:rPr>
              <w:t>二污普</w:t>
            </w:r>
          </w:p>
        </w:tc>
      </w:tr>
      <w:tr w14:paraId="35B9DA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78" w:type="dxa"/>
            <w:tcBorders>
              <w:top w:val="single" w:color="000000" w:sz="4" w:space="0"/>
              <w:left w:val="single" w:color="000000" w:sz="12" w:space="0"/>
              <w:bottom w:val="single" w:color="000000" w:sz="4" w:space="0"/>
              <w:right w:val="single" w:color="000000" w:sz="4" w:space="0"/>
            </w:tcBorders>
            <w:vAlign w:val="center"/>
          </w:tcPr>
          <w:p w14:paraId="12FEB793">
            <w:pPr>
              <w:pStyle w:val="133"/>
            </w:pPr>
            <w:r>
              <w:t>20</w:t>
            </w:r>
          </w:p>
        </w:tc>
        <w:tc>
          <w:tcPr>
            <w:tcW w:w="879" w:type="dxa"/>
            <w:gridSpan w:val="2"/>
            <w:tcBorders>
              <w:top w:val="single" w:color="000000" w:sz="4" w:space="0"/>
              <w:left w:val="single" w:color="000000" w:sz="4" w:space="0"/>
              <w:bottom w:val="single" w:color="000000" w:sz="4" w:space="0"/>
              <w:right w:val="single" w:color="000000" w:sz="4" w:space="0"/>
            </w:tcBorders>
            <w:vAlign w:val="center"/>
          </w:tcPr>
          <w:p w14:paraId="50D550B4">
            <w:pPr>
              <w:pStyle w:val="133"/>
            </w:pPr>
            <w:r>
              <w:rPr>
                <w:rFonts w:hint="eastAsia"/>
              </w:rPr>
              <w:t>哈密市广新石材厂</w:t>
            </w:r>
          </w:p>
        </w:tc>
        <w:tc>
          <w:tcPr>
            <w:tcW w:w="954" w:type="dxa"/>
            <w:gridSpan w:val="2"/>
            <w:tcBorders>
              <w:top w:val="single" w:color="000000" w:sz="4" w:space="0"/>
              <w:left w:val="single" w:color="000000" w:sz="4" w:space="0"/>
              <w:bottom w:val="single" w:color="000000" w:sz="4" w:space="0"/>
              <w:right w:val="single" w:color="000000" w:sz="4" w:space="0"/>
            </w:tcBorders>
            <w:vAlign w:val="center"/>
          </w:tcPr>
          <w:p w14:paraId="2285DC1D">
            <w:pPr>
              <w:pStyle w:val="133"/>
            </w:pPr>
            <w:r>
              <w:rPr>
                <w:rFonts w:hint="eastAsia"/>
              </w:rPr>
              <w:t>含悬浮物废水</w:t>
            </w:r>
          </w:p>
        </w:tc>
        <w:tc>
          <w:tcPr>
            <w:tcW w:w="1292" w:type="dxa"/>
            <w:gridSpan w:val="2"/>
            <w:tcBorders>
              <w:top w:val="single" w:color="000000" w:sz="4" w:space="0"/>
              <w:left w:val="single" w:color="000000" w:sz="4" w:space="0"/>
              <w:bottom w:val="single" w:color="000000" w:sz="4" w:space="0"/>
              <w:right w:val="single" w:color="000000" w:sz="4" w:space="0"/>
            </w:tcBorders>
            <w:vAlign w:val="center"/>
          </w:tcPr>
          <w:p w14:paraId="045A0C65">
            <w:pPr>
              <w:pStyle w:val="133"/>
            </w:pPr>
            <w:r>
              <w:t>4500</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0D9A3997">
            <w:pPr>
              <w:pStyle w:val="133"/>
            </w:pPr>
            <w:r>
              <w:t>1.19</w:t>
            </w:r>
          </w:p>
        </w:tc>
        <w:tc>
          <w:tcPr>
            <w:tcW w:w="1012" w:type="dxa"/>
            <w:gridSpan w:val="2"/>
            <w:tcBorders>
              <w:top w:val="single" w:color="000000" w:sz="4" w:space="0"/>
              <w:left w:val="single" w:color="000000" w:sz="4" w:space="0"/>
              <w:bottom w:val="single" w:color="000000" w:sz="4" w:space="0"/>
              <w:right w:val="single" w:color="000000" w:sz="4" w:space="0"/>
            </w:tcBorders>
            <w:vAlign w:val="center"/>
          </w:tcPr>
          <w:p w14:paraId="70A0007D">
            <w:pPr>
              <w:pStyle w:val="133"/>
            </w:pPr>
            <w:r>
              <w:t>/</w:t>
            </w:r>
          </w:p>
        </w:tc>
        <w:tc>
          <w:tcPr>
            <w:tcW w:w="1010" w:type="dxa"/>
            <w:gridSpan w:val="2"/>
            <w:tcBorders>
              <w:top w:val="single" w:color="000000" w:sz="4" w:space="0"/>
              <w:left w:val="single" w:color="000000" w:sz="4" w:space="0"/>
              <w:bottom w:val="single" w:color="000000" w:sz="4" w:space="0"/>
              <w:right w:val="single" w:color="000000" w:sz="4" w:space="0"/>
            </w:tcBorders>
            <w:vAlign w:val="center"/>
          </w:tcPr>
          <w:p w14:paraId="453FA2D0">
            <w:pPr>
              <w:pStyle w:val="133"/>
            </w:pPr>
            <w: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3555D284">
            <w:pPr>
              <w:pStyle w:val="133"/>
            </w:pPr>
            <w:r>
              <w:t>/</w:t>
            </w:r>
          </w:p>
        </w:tc>
        <w:tc>
          <w:tcPr>
            <w:tcW w:w="852" w:type="dxa"/>
            <w:tcBorders>
              <w:top w:val="single" w:color="000000" w:sz="4" w:space="0"/>
              <w:left w:val="single" w:color="000000" w:sz="4" w:space="0"/>
              <w:bottom w:val="single" w:color="000000" w:sz="4" w:space="0"/>
              <w:right w:val="single" w:color="000000" w:sz="12" w:space="0"/>
            </w:tcBorders>
            <w:vAlign w:val="center"/>
          </w:tcPr>
          <w:p w14:paraId="3879DA56">
            <w:pPr>
              <w:pStyle w:val="133"/>
            </w:pPr>
            <w:r>
              <w:rPr>
                <w:rFonts w:hint="eastAsia"/>
              </w:rPr>
              <w:t>二污普</w:t>
            </w:r>
          </w:p>
        </w:tc>
      </w:tr>
      <w:tr w14:paraId="2F95C3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2711" w:type="dxa"/>
            <w:gridSpan w:val="5"/>
            <w:tcBorders>
              <w:top w:val="single" w:color="000000" w:sz="4" w:space="0"/>
              <w:left w:val="single" w:color="000000" w:sz="12" w:space="0"/>
              <w:bottom w:val="single" w:color="000000" w:sz="12" w:space="0"/>
              <w:right w:val="single" w:color="000000" w:sz="4" w:space="0"/>
            </w:tcBorders>
            <w:vAlign w:val="center"/>
          </w:tcPr>
          <w:p w14:paraId="36022DBD">
            <w:pPr>
              <w:pStyle w:val="133"/>
            </w:pPr>
            <w:r>
              <w:rPr>
                <w:rFonts w:hint="eastAsia"/>
              </w:rPr>
              <w:t>合计</w:t>
            </w:r>
          </w:p>
        </w:tc>
        <w:tc>
          <w:tcPr>
            <w:tcW w:w="1292" w:type="dxa"/>
            <w:gridSpan w:val="2"/>
            <w:tcBorders>
              <w:top w:val="single" w:color="000000" w:sz="4" w:space="0"/>
              <w:left w:val="single" w:color="000000" w:sz="4" w:space="0"/>
              <w:bottom w:val="single" w:color="000000" w:sz="12" w:space="0"/>
              <w:right w:val="single" w:color="000000" w:sz="4" w:space="0"/>
            </w:tcBorders>
            <w:vAlign w:val="center"/>
          </w:tcPr>
          <w:p w14:paraId="0CA16F53">
            <w:pPr>
              <w:pStyle w:val="133"/>
            </w:pPr>
            <w:r>
              <w:t>312898</w:t>
            </w:r>
          </w:p>
        </w:tc>
        <w:tc>
          <w:tcPr>
            <w:tcW w:w="1048" w:type="dxa"/>
            <w:gridSpan w:val="2"/>
            <w:tcBorders>
              <w:top w:val="single" w:color="000000" w:sz="4" w:space="0"/>
              <w:left w:val="single" w:color="000000" w:sz="4" w:space="0"/>
              <w:bottom w:val="single" w:color="000000" w:sz="12" w:space="0"/>
              <w:right w:val="single" w:color="000000" w:sz="4" w:space="0"/>
            </w:tcBorders>
            <w:vAlign w:val="center"/>
          </w:tcPr>
          <w:p w14:paraId="28387774">
            <w:pPr>
              <w:pStyle w:val="133"/>
            </w:pPr>
            <w:r>
              <w:t>1785.08</w:t>
            </w:r>
          </w:p>
        </w:tc>
        <w:tc>
          <w:tcPr>
            <w:tcW w:w="1012" w:type="dxa"/>
            <w:gridSpan w:val="2"/>
            <w:tcBorders>
              <w:top w:val="single" w:color="000000" w:sz="4" w:space="0"/>
              <w:left w:val="single" w:color="000000" w:sz="4" w:space="0"/>
              <w:bottom w:val="single" w:color="000000" w:sz="12" w:space="0"/>
              <w:right w:val="single" w:color="000000" w:sz="4" w:space="0"/>
            </w:tcBorders>
            <w:vAlign w:val="center"/>
          </w:tcPr>
          <w:p w14:paraId="194B6EBD">
            <w:pPr>
              <w:pStyle w:val="133"/>
            </w:pPr>
            <w:r>
              <w:t>3.761</w:t>
            </w:r>
          </w:p>
        </w:tc>
        <w:tc>
          <w:tcPr>
            <w:tcW w:w="1010" w:type="dxa"/>
            <w:gridSpan w:val="2"/>
            <w:tcBorders>
              <w:top w:val="single" w:color="000000" w:sz="4" w:space="0"/>
              <w:left w:val="single" w:color="000000" w:sz="4" w:space="0"/>
              <w:bottom w:val="single" w:color="000000" w:sz="12" w:space="0"/>
              <w:right w:val="single" w:color="000000" w:sz="4" w:space="0"/>
            </w:tcBorders>
            <w:vAlign w:val="center"/>
          </w:tcPr>
          <w:p w14:paraId="7DE41B14">
            <w:pPr>
              <w:pStyle w:val="133"/>
            </w:pPr>
            <w:r>
              <w:t>30.117</w:t>
            </w:r>
          </w:p>
        </w:tc>
        <w:tc>
          <w:tcPr>
            <w:tcW w:w="1134" w:type="dxa"/>
            <w:tcBorders>
              <w:top w:val="single" w:color="000000" w:sz="4" w:space="0"/>
              <w:left w:val="single" w:color="000000" w:sz="4" w:space="0"/>
              <w:bottom w:val="single" w:color="000000" w:sz="12" w:space="0"/>
              <w:right w:val="single" w:color="000000" w:sz="4" w:space="0"/>
            </w:tcBorders>
            <w:vAlign w:val="center"/>
          </w:tcPr>
          <w:p w14:paraId="32EFC6FA">
            <w:pPr>
              <w:pStyle w:val="133"/>
            </w:pPr>
            <w:r>
              <w:t>91.2329</w:t>
            </w:r>
          </w:p>
        </w:tc>
        <w:tc>
          <w:tcPr>
            <w:tcW w:w="852" w:type="dxa"/>
            <w:tcBorders>
              <w:top w:val="single" w:color="000000" w:sz="4" w:space="0"/>
              <w:left w:val="single" w:color="000000" w:sz="4" w:space="0"/>
              <w:bottom w:val="single" w:color="000000" w:sz="12" w:space="0"/>
              <w:right w:val="single" w:color="000000" w:sz="12" w:space="0"/>
            </w:tcBorders>
            <w:vAlign w:val="center"/>
          </w:tcPr>
          <w:p w14:paraId="33B13046">
            <w:pPr>
              <w:pStyle w:val="133"/>
            </w:pPr>
            <w:r>
              <w:t>/</w:t>
            </w:r>
          </w:p>
        </w:tc>
      </w:tr>
    </w:tbl>
    <w:p w14:paraId="1F89198F">
      <w:pPr>
        <w:pStyle w:val="133"/>
      </w:pPr>
    </w:p>
    <w:p w14:paraId="69A655F8">
      <w:pPr>
        <w:pStyle w:val="133"/>
      </w:pPr>
    </w:p>
    <w:p w14:paraId="2D3CEED3">
      <w:pPr>
        <w:pStyle w:val="946"/>
      </w:pPr>
      <w:bookmarkStart w:id="422" w:name="_Toc205291389"/>
      <w:r>
        <w:rPr>
          <w:rFonts w:hint="eastAsia"/>
        </w:rPr>
        <w:t>环境空气现状</w:t>
      </w:r>
      <w:bookmarkEnd w:id="422"/>
    </w:p>
    <w:p w14:paraId="15A2E56E">
      <w:pPr>
        <w:pStyle w:val="138"/>
        <w:rPr>
          <w:rFonts w:hint="eastAsia"/>
        </w:rPr>
      </w:pPr>
      <w:r>
        <w:rPr>
          <w:rFonts w:hint="eastAsia"/>
        </w:rPr>
        <w:t>区域环境质量现状达标判定</w:t>
      </w:r>
    </w:p>
    <w:p w14:paraId="1B581152">
      <w:pPr>
        <w:pStyle w:val="257"/>
        <w:ind w:firstLine="480"/>
      </w:pPr>
      <w:r>
        <w:rPr>
          <w:rFonts w:hint="eastAsia"/>
        </w:rPr>
        <w:t>（</w:t>
      </w:r>
      <w:r>
        <w:t>1</w:t>
      </w:r>
      <w:r>
        <w:rPr>
          <w:rFonts w:hint="eastAsia"/>
        </w:rPr>
        <w:t>）数据来源</w:t>
      </w:r>
    </w:p>
    <w:p w14:paraId="1C9D3AD4">
      <w:pPr>
        <w:pStyle w:val="257"/>
        <w:ind w:firstLine="480"/>
      </w:pPr>
      <w:r>
        <w:t>根据《环境影响评价技术导则-大气环境》（H.J2.2-2018）</w:t>
      </w:r>
      <w:r>
        <w:rPr>
          <w:rFonts w:hint="eastAsia"/>
        </w:rPr>
        <w:t>中6.2.1.2：采用评价范围内国家或地方环境空气质量监测网中评价基准年连续</w:t>
      </w:r>
      <w:r>
        <w:t>1年的监测数据，或采用生</w:t>
      </w:r>
      <w:r>
        <w:rPr>
          <w:rFonts w:hint="eastAsia"/>
        </w:rPr>
        <w:t>态环境主管部门公开发布的环境空气质量现状数据。本次评价</w:t>
      </w:r>
      <w:r>
        <w:t>选择距离项目最近的</w:t>
      </w:r>
      <w:r>
        <w:rPr>
          <w:rFonts w:hint="eastAsia"/>
        </w:rPr>
        <w:t>省控监测站（哈密地区监测站）2023</w:t>
      </w:r>
      <w:r>
        <w:t>年的监测数据，作为本项目环境空气现状评价基本污染物SO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的数据来源。</w:t>
      </w:r>
    </w:p>
    <w:p w14:paraId="56E687CB">
      <w:pPr>
        <w:pStyle w:val="257"/>
        <w:ind w:firstLine="480"/>
      </w:pPr>
      <w:r>
        <w:rPr>
          <w:rFonts w:hint="eastAsia"/>
        </w:rPr>
        <w:t>（2）评价标准</w:t>
      </w:r>
    </w:p>
    <w:p w14:paraId="64F45A19">
      <w:pPr>
        <w:pStyle w:val="257"/>
        <w:ind w:firstLine="480"/>
      </w:pPr>
      <w:r>
        <w:t>基本污染物SO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执行《环境空气质量标准》（GB3095-2012）及修改单中二级浓度限值，详见表</w:t>
      </w:r>
      <w:r>
        <w:rPr>
          <w:rFonts w:hint="eastAsia"/>
        </w:rPr>
        <w:t>4</w:t>
      </w:r>
      <w:r>
        <w:t>.3</w:t>
      </w:r>
      <w:r>
        <w:rPr>
          <w:rFonts w:hint="eastAsia"/>
        </w:rPr>
        <w:t>-1</w:t>
      </w:r>
      <w:r>
        <w:t>。</w:t>
      </w:r>
    </w:p>
    <w:p w14:paraId="6BA5A81F">
      <w:pPr>
        <w:pStyle w:val="118"/>
      </w:pPr>
      <w:r>
        <w:t>表</w:t>
      </w:r>
      <w:r>
        <w:rPr>
          <w:rFonts w:hint="eastAsia"/>
        </w:rPr>
        <w:t>4</w:t>
      </w:r>
      <w:r>
        <w:t>.3-</w:t>
      </w:r>
      <w:r>
        <w:rPr>
          <w:rFonts w:hint="eastAsia"/>
        </w:rPr>
        <w:t xml:space="preserve">1  </w:t>
      </w:r>
      <w:r>
        <w:t xml:space="preserve">  《环境空气质量标准》（GB3095-2012）</w:t>
      </w:r>
    </w:p>
    <w:tbl>
      <w:tblPr>
        <w:tblStyle w:val="67"/>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2376"/>
        <w:gridCol w:w="4119"/>
      </w:tblGrid>
      <w:tr w14:paraId="3140D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2010" w:type="dxa"/>
            <w:vAlign w:val="center"/>
          </w:tcPr>
          <w:p w14:paraId="4D2F9F9A">
            <w:pPr>
              <w:pStyle w:val="133"/>
              <w:rPr>
                <w:b/>
                <w:bCs/>
              </w:rPr>
            </w:pPr>
            <w:r>
              <w:rPr>
                <w:b/>
                <w:bCs/>
              </w:rPr>
              <w:t>监测项目</w:t>
            </w:r>
          </w:p>
        </w:tc>
        <w:tc>
          <w:tcPr>
            <w:tcW w:w="6495" w:type="dxa"/>
            <w:gridSpan w:val="2"/>
            <w:vAlign w:val="center"/>
          </w:tcPr>
          <w:p w14:paraId="370AB7FA">
            <w:pPr>
              <w:pStyle w:val="133"/>
              <w:rPr>
                <w:b/>
                <w:bCs/>
              </w:rPr>
            </w:pPr>
            <w:r>
              <w:rPr>
                <w:b/>
                <w:bCs/>
              </w:rPr>
              <w:t>二级标准浓度限值(µg/Nm</w:t>
            </w:r>
            <w:r>
              <w:rPr>
                <w:b/>
                <w:bCs/>
                <w:vertAlign w:val="superscript"/>
              </w:rPr>
              <w:t>3</w:t>
            </w:r>
            <w:r>
              <w:rPr>
                <w:b/>
                <w:bCs/>
              </w:rPr>
              <w:t>)</w:t>
            </w:r>
          </w:p>
        </w:tc>
      </w:tr>
      <w:tr w14:paraId="040C52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restart"/>
            <w:vAlign w:val="center"/>
          </w:tcPr>
          <w:p w14:paraId="1F1C7532">
            <w:pPr>
              <w:pStyle w:val="133"/>
            </w:pPr>
            <w:r>
              <w:t>SO</w:t>
            </w:r>
            <w:r>
              <w:rPr>
                <w:vertAlign w:val="subscript"/>
              </w:rPr>
              <w:t>2</w:t>
            </w:r>
          </w:p>
        </w:tc>
        <w:tc>
          <w:tcPr>
            <w:tcW w:w="2376" w:type="dxa"/>
            <w:vAlign w:val="center"/>
          </w:tcPr>
          <w:p w14:paraId="21C8CAFE">
            <w:pPr>
              <w:pStyle w:val="133"/>
            </w:pPr>
            <w:r>
              <w:t>年平均</w:t>
            </w:r>
          </w:p>
        </w:tc>
        <w:tc>
          <w:tcPr>
            <w:tcW w:w="4119" w:type="dxa"/>
            <w:vAlign w:val="center"/>
          </w:tcPr>
          <w:p w14:paraId="2F204538">
            <w:pPr>
              <w:pStyle w:val="133"/>
            </w:pPr>
            <w:r>
              <w:rPr>
                <w:rFonts w:hint="eastAsia"/>
              </w:rPr>
              <w:t>60</w:t>
            </w:r>
          </w:p>
        </w:tc>
      </w:tr>
      <w:tr w14:paraId="4A1DA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67B6AAB3">
            <w:pPr>
              <w:pStyle w:val="133"/>
            </w:pPr>
          </w:p>
        </w:tc>
        <w:tc>
          <w:tcPr>
            <w:tcW w:w="2376" w:type="dxa"/>
            <w:vAlign w:val="center"/>
          </w:tcPr>
          <w:p w14:paraId="65BF8D83">
            <w:pPr>
              <w:pStyle w:val="133"/>
            </w:pPr>
            <w:r>
              <w:rPr>
                <w:rFonts w:hint="eastAsia"/>
              </w:rPr>
              <w:t>24小时</w:t>
            </w:r>
            <w:r>
              <w:t>平均</w:t>
            </w:r>
          </w:p>
        </w:tc>
        <w:tc>
          <w:tcPr>
            <w:tcW w:w="4119" w:type="dxa"/>
            <w:vAlign w:val="center"/>
          </w:tcPr>
          <w:p w14:paraId="00A4B76E">
            <w:pPr>
              <w:pStyle w:val="133"/>
            </w:pPr>
            <w:r>
              <w:rPr>
                <w:rFonts w:hint="eastAsia"/>
              </w:rPr>
              <w:t>150</w:t>
            </w:r>
          </w:p>
        </w:tc>
      </w:tr>
      <w:tr w14:paraId="332E6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6F6DF8DE">
            <w:pPr>
              <w:pStyle w:val="133"/>
            </w:pPr>
          </w:p>
        </w:tc>
        <w:tc>
          <w:tcPr>
            <w:tcW w:w="2376" w:type="dxa"/>
            <w:vAlign w:val="center"/>
          </w:tcPr>
          <w:p w14:paraId="68F14552">
            <w:pPr>
              <w:pStyle w:val="133"/>
            </w:pPr>
            <w:r>
              <w:rPr>
                <w:rFonts w:hint="eastAsia"/>
              </w:rPr>
              <w:t>1小时平均</w:t>
            </w:r>
          </w:p>
        </w:tc>
        <w:tc>
          <w:tcPr>
            <w:tcW w:w="4119" w:type="dxa"/>
            <w:vAlign w:val="center"/>
          </w:tcPr>
          <w:p w14:paraId="0AFD518E">
            <w:pPr>
              <w:pStyle w:val="133"/>
            </w:pPr>
            <w:r>
              <w:rPr>
                <w:rFonts w:hint="eastAsia"/>
              </w:rPr>
              <w:t>500</w:t>
            </w:r>
          </w:p>
        </w:tc>
      </w:tr>
      <w:tr w14:paraId="4D0AC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restart"/>
            <w:vAlign w:val="center"/>
          </w:tcPr>
          <w:p w14:paraId="15C86615">
            <w:pPr>
              <w:pStyle w:val="133"/>
            </w:pPr>
            <w:r>
              <w:t>NO</w:t>
            </w:r>
            <w:r>
              <w:rPr>
                <w:vertAlign w:val="subscript"/>
              </w:rPr>
              <w:t>2</w:t>
            </w:r>
          </w:p>
        </w:tc>
        <w:tc>
          <w:tcPr>
            <w:tcW w:w="2376" w:type="dxa"/>
            <w:vAlign w:val="center"/>
          </w:tcPr>
          <w:p w14:paraId="4400F903">
            <w:pPr>
              <w:pStyle w:val="133"/>
            </w:pPr>
            <w:r>
              <w:t>年平均</w:t>
            </w:r>
          </w:p>
        </w:tc>
        <w:tc>
          <w:tcPr>
            <w:tcW w:w="4119" w:type="dxa"/>
            <w:vAlign w:val="center"/>
          </w:tcPr>
          <w:p w14:paraId="745DC992">
            <w:pPr>
              <w:pStyle w:val="133"/>
            </w:pPr>
            <w:r>
              <w:t>40</w:t>
            </w:r>
          </w:p>
        </w:tc>
      </w:tr>
      <w:tr w14:paraId="0915E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323EB797">
            <w:pPr>
              <w:pStyle w:val="133"/>
            </w:pPr>
          </w:p>
        </w:tc>
        <w:tc>
          <w:tcPr>
            <w:tcW w:w="2376" w:type="dxa"/>
            <w:vAlign w:val="center"/>
          </w:tcPr>
          <w:p w14:paraId="2B15E9EF">
            <w:pPr>
              <w:pStyle w:val="133"/>
            </w:pPr>
            <w:r>
              <w:rPr>
                <w:rFonts w:hint="eastAsia"/>
              </w:rPr>
              <w:t>24小时</w:t>
            </w:r>
            <w:r>
              <w:t>平均</w:t>
            </w:r>
          </w:p>
        </w:tc>
        <w:tc>
          <w:tcPr>
            <w:tcW w:w="4119" w:type="dxa"/>
            <w:vAlign w:val="center"/>
          </w:tcPr>
          <w:p w14:paraId="02BC33A5">
            <w:pPr>
              <w:pStyle w:val="133"/>
            </w:pPr>
            <w:r>
              <w:t>80</w:t>
            </w:r>
          </w:p>
        </w:tc>
      </w:tr>
      <w:tr w14:paraId="6B015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2976E83F">
            <w:pPr>
              <w:pStyle w:val="133"/>
            </w:pPr>
          </w:p>
        </w:tc>
        <w:tc>
          <w:tcPr>
            <w:tcW w:w="2376" w:type="dxa"/>
            <w:vAlign w:val="center"/>
          </w:tcPr>
          <w:p w14:paraId="51B88514">
            <w:pPr>
              <w:pStyle w:val="133"/>
            </w:pPr>
            <w:r>
              <w:rPr>
                <w:rFonts w:hint="eastAsia"/>
              </w:rPr>
              <w:t>1小时平均</w:t>
            </w:r>
          </w:p>
        </w:tc>
        <w:tc>
          <w:tcPr>
            <w:tcW w:w="4119" w:type="dxa"/>
            <w:vAlign w:val="center"/>
          </w:tcPr>
          <w:p w14:paraId="2ED636CE">
            <w:pPr>
              <w:pStyle w:val="133"/>
            </w:pPr>
            <w:r>
              <w:rPr>
                <w:rFonts w:hint="eastAsia"/>
              </w:rPr>
              <w:t>200</w:t>
            </w:r>
          </w:p>
        </w:tc>
      </w:tr>
      <w:tr w14:paraId="5B32E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restart"/>
            <w:vAlign w:val="center"/>
          </w:tcPr>
          <w:p w14:paraId="2DD7177A">
            <w:pPr>
              <w:pStyle w:val="133"/>
            </w:pPr>
            <w:r>
              <w:t>CO</w:t>
            </w:r>
          </w:p>
        </w:tc>
        <w:tc>
          <w:tcPr>
            <w:tcW w:w="2376" w:type="dxa"/>
            <w:vAlign w:val="center"/>
          </w:tcPr>
          <w:p w14:paraId="2FAC7585">
            <w:pPr>
              <w:pStyle w:val="133"/>
            </w:pPr>
            <w:r>
              <w:rPr>
                <w:rFonts w:hint="eastAsia"/>
              </w:rPr>
              <w:t>24小时平均</w:t>
            </w:r>
          </w:p>
        </w:tc>
        <w:tc>
          <w:tcPr>
            <w:tcW w:w="4119" w:type="dxa"/>
            <w:vAlign w:val="center"/>
          </w:tcPr>
          <w:p w14:paraId="06252CC3">
            <w:pPr>
              <w:pStyle w:val="133"/>
            </w:pPr>
            <w:r>
              <w:t>4mg/Nm</w:t>
            </w:r>
            <w:r>
              <w:rPr>
                <w:vertAlign w:val="superscript"/>
              </w:rPr>
              <w:t>3</w:t>
            </w:r>
          </w:p>
        </w:tc>
      </w:tr>
      <w:tr w14:paraId="21650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4AB6C0B8">
            <w:pPr>
              <w:pStyle w:val="133"/>
            </w:pPr>
          </w:p>
        </w:tc>
        <w:tc>
          <w:tcPr>
            <w:tcW w:w="2376" w:type="dxa"/>
            <w:vAlign w:val="center"/>
          </w:tcPr>
          <w:p w14:paraId="600C2C88">
            <w:pPr>
              <w:pStyle w:val="133"/>
            </w:pPr>
            <w:r>
              <w:rPr>
                <w:rFonts w:hint="eastAsia"/>
              </w:rPr>
              <w:t>1小时平均</w:t>
            </w:r>
          </w:p>
        </w:tc>
        <w:tc>
          <w:tcPr>
            <w:tcW w:w="4119" w:type="dxa"/>
            <w:vAlign w:val="center"/>
          </w:tcPr>
          <w:p w14:paraId="4E154781">
            <w:pPr>
              <w:pStyle w:val="133"/>
            </w:pPr>
            <w:r>
              <w:rPr>
                <w:rFonts w:hint="eastAsia"/>
              </w:rPr>
              <w:t>10</w:t>
            </w:r>
            <w:r>
              <w:t>mg/Nm</w:t>
            </w:r>
            <w:r>
              <w:rPr>
                <w:vertAlign w:val="superscript"/>
              </w:rPr>
              <w:t>3</w:t>
            </w:r>
          </w:p>
        </w:tc>
      </w:tr>
      <w:tr w14:paraId="261315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restart"/>
            <w:vAlign w:val="center"/>
          </w:tcPr>
          <w:p w14:paraId="3AF7329D">
            <w:pPr>
              <w:pStyle w:val="133"/>
            </w:pPr>
            <w:r>
              <w:t>O</w:t>
            </w:r>
            <w:r>
              <w:rPr>
                <w:vertAlign w:val="subscript"/>
              </w:rPr>
              <w:t>3</w:t>
            </w:r>
          </w:p>
        </w:tc>
        <w:tc>
          <w:tcPr>
            <w:tcW w:w="2376" w:type="dxa"/>
            <w:vAlign w:val="center"/>
          </w:tcPr>
          <w:p w14:paraId="385D83D5">
            <w:pPr>
              <w:pStyle w:val="133"/>
            </w:pPr>
            <w:r>
              <w:t>日</w:t>
            </w:r>
            <w:r>
              <w:rPr>
                <w:rFonts w:hint="eastAsia"/>
              </w:rPr>
              <w:t>最大8小时</w:t>
            </w:r>
            <w:r>
              <w:t>平均</w:t>
            </w:r>
          </w:p>
        </w:tc>
        <w:tc>
          <w:tcPr>
            <w:tcW w:w="4119" w:type="dxa"/>
            <w:vAlign w:val="center"/>
          </w:tcPr>
          <w:p w14:paraId="76975133">
            <w:pPr>
              <w:pStyle w:val="133"/>
            </w:pPr>
            <w:r>
              <w:t>160</w:t>
            </w:r>
          </w:p>
        </w:tc>
      </w:tr>
      <w:tr w14:paraId="25D95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451A7EFD">
            <w:pPr>
              <w:pStyle w:val="133"/>
            </w:pPr>
          </w:p>
        </w:tc>
        <w:tc>
          <w:tcPr>
            <w:tcW w:w="2376" w:type="dxa"/>
            <w:vAlign w:val="center"/>
          </w:tcPr>
          <w:p w14:paraId="24869AC3">
            <w:pPr>
              <w:pStyle w:val="133"/>
            </w:pPr>
            <w:r>
              <w:rPr>
                <w:rFonts w:hint="eastAsia"/>
              </w:rPr>
              <w:t>1小时平均</w:t>
            </w:r>
          </w:p>
        </w:tc>
        <w:tc>
          <w:tcPr>
            <w:tcW w:w="4119" w:type="dxa"/>
            <w:vAlign w:val="center"/>
          </w:tcPr>
          <w:p w14:paraId="5AEBDF10">
            <w:pPr>
              <w:pStyle w:val="133"/>
            </w:pPr>
            <w:r>
              <w:rPr>
                <w:rFonts w:hint="eastAsia"/>
              </w:rPr>
              <w:t>200</w:t>
            </w:r>
          </w:p>
        </w:tc>
      </w:tr>
      <w:tr w14:paraId="4108D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restart"/>
            <w:vAlign w:val="center"/>
          </w:tcPr>
          <w:p w14:paraId="1E570A61">
            <w:pPr>
              <w:pStyle w:val="133"/>
            </w:pPr>
            <w:r>
              <w:t>PM</w:t>
            </w:r>
            <w:r>
              <w:rPr>
                <w:vertAlign w:val="subscript"/>
              </w:rPr>
              <w:t>2.5</w:t>
            </w:r>
          </w:p>
        </w:tc>
        <w:tc>
          <w:tcPr>
            <w:tcW w:w="2376" w:type="dxa"/>
            <w:vAlign w:val="center"/>
          </w:tcPr>
          <w:p w14:paraId="0C35FD37">
            <w:pPr>
              <w:pStyle w:val="133"/>
            </w:pPr>
            <w:r>
              <w:t>年平均</w:t>
            </w:r>
          </w:p>
        </w:tc>
        <w:tc>
          <w:tcPr>
            <w:tcW w:w="4119" w:type="dxa"/>
            <w:vAlign w:val="center"/>
          </w:tcPr>
          <w:p w14:paraId="0E3FCF85">
            <w:pPr>
              <w:pStyle w:val="133"/>
            </w:pPr>
            <w:r>
              <w:t>35</w:t>
            </w:r>
          </w:p>
        </w:tc>
      </w:tr>
      <w:tr w14:paraId="591AF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0C620FB4">
            <w:pPr>
              <w:pStyle w:val="133"/>
            </w:pPr>
          </w:p>
        </w:tc>
        <w:tc>
          <w:tcPr>
            <w:tcW w:w="2376" w:type="dxa"/>
            <w:vAlign w:val="center"/>
          </w:tcPr>
          <w:p w14:paraId="29012A48">
            <w:pPr>
              <w:pStyle w:val="133"/>
            </w:pPr>
            <w:r>
              <w:rPr>
                <w:rFonts w:hint="eastAsia"/>
              </w:rPr>
              <w:t>24小时平均</w:t>
            </w:r>
          </w:p>
        </w:tc>
        <w:tc>
          <w:tcPr>
            <w:tcW w:w="4119" w:type="dxa"/>
            <w:vAlign w:val="center"/>
          </w:tcPr>
          <w:p w14:paraId="2CBFE758">
            <w:pPr>
              <w:pStyle w:val="133"/>
            </w:pPr>
            <w:r>
              <w:t>75</w:t>
            </w:r>
          </w:p>
        </w:tc>
      </w:tr>
      <w:tr w14:paraId="61739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restart"/>
            <w:vAlign w:val="center"/>
          </w:tcPr>
          <w:p w14:paraId="7A81D71E">
            <w:pPr>
              <w:pStyle w:val="133"/>
            </w:pPr>
            <w:r>
              <w:t>PM</w:t>
            </w:r>
            <w:r>
              <w:rPr>
                <w:vertAlign w:val="subscript"/>
              </w:rPr>
              <w:t>10</w:t>
            </w:r>
          </w:p>
        </w:tc>
        <w:tc>
          <w:tcPr>
            <w:tcW w:w="2376" w:type="dxa"/>
            <w:vAlign w:val="center"/>
          </w:tcPr>
          <w:p w14:paraId="6226953B">
            <w:pPr>
              <w:pStyle w:val="133"/>
            </w:pPr>
            <w:r>
              <w:t>年平均</w:t>
            </w:r>
          </w:p>
        </w:tc>
        <w:tc>
          <w:tcPr>
            <w:tcW w:w="4119" w:type="dxa"/>
            <w:vAlign w:val="center"/>
          </w:tcPr>
          <w:p w14:paraId="7D37D1AB">
            <w:pPr>
              <w:pStyle w:val="133"/>
            </w:pPr>
            <w:r>
              <w:t>70</w:t>
            </w:r>
          </w:p>
        </w:tc>
      </w:tr>
      <w:tr w14:paraId="3D6F9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010" w:type="dxa"/>
            <w:vMerge w:val="continue"/>
            <w:vAlign w:val="center"/>
          </w:tcPr>
          <w:p w14:paraId="2AED04DC">
            <w:pPr>
              <w:pStyle w:val="133"/>
            </w:pPr>
          </w:p>
        </w:tc>
        <w:tc>
          <w:tcPr>
            <w:tcW w:w="2376" w:type="dxa"/>
            <w:vAlign w:val="center"/>
          </w:tcPr>
          <w:p w14:paraId="61E04516">
            <w:pPr>
              <w:pStyle w:val="133"/>
            </w:pPr>
            <w:r>
              <w:rPr>
                <w:rFonts w:hint="eastAsia"/>
              </w:rPr>
              <w:t>24小时平均</w:t>
            </w:r>
          </w:p>
        </w:tc>
        <w:tc>
          <w:tcPr>
            <w:tcW w:w="4119" w:type="dxa"/>
            <w:vAlign w:val="center"/>
          </w:tcPr>
          <w:p w14:paraId="73C73CAC">
            <w:pPr>
              <w:pStyle w:val="133"/>
            </w:pPr>
            <w:r>
              <w:t>150</w:t>
            </w:r>
          </w:p>
        </w:tc>
      </w:tr>
    </w:tbl>
    <w:p w14:paraId="7C191E95">
      <w:pPr>
        <w:pStyle w:val="133"/>
      </w:pPr>
    </w:p>
    <w:p w14:paraId="6AB72593">
      <w:pPr>
        <w:pStyle w:val="117"/>
        <w:ind w:firstLine="480"/>
      </w:pPr>
      <w:r>
        <w:t>（3）</w:t>
      </w:r>
      <w:r>
        <w:rPr>
          <w:lang w:val="zh-CN"/>
        </w:rPr>
        <w:t>评价方法</w:t>
      </w:r>
    </w:p>
    <w:p w14:paraId="68093199">
      <w:pPr>
        <w:pStyle w:val="117"/>
        <w:ind w:firstLine="480"/>
      </w:pPr>
      <w:r>
        <w:t>基本污染物按照《环境空气质量评价技术规范（试行）》（HJ 663-2013）中各评价项目的年评价指标进行判定。年评价指标中的年均浓度和相应百分位数24h平均或8h平均质量浓度满足《环境空气质量标准》（GB3095-2012）及修改单中二级浓度限值要求的即为达标。对于超标的污染物，计算其超标倍数和超标率。</w:t>
      </w:r>
    </w:p>
    <w:p w14:paraId="420246A4">
      <w:pPr>
        <w:pStyle w:val="117"/>
        <w:ind w:firstLine="480"/>
      </w:pPr>
      <w:r>
        <w:t>（4）空气质量达标区的判定</w:t>
      </w:r>
    </w:p>
    <w:p w14:paraId="51529551">
      <w:pPr>
        <w:pStyle w:val="117"/>
        <w:ind w:firstLine="480"/>
        <w:rPr>
          <w:bCs/>
          <w:szCs w:val="26"/>
        </w:rPr>
      </w:pPr>
      <w:r>
        <w:rPr>
          <w:rFonts w:hint="eastAsia" w:ascii="宋体" w:hAnsi="宋体"/>
          <w:bCs/>
          <w:szCs w:val="26"/>
        </w:rPr>
        <w:t>区域内基本污染物环境质量现状评价结果见表</w:t>
      </w:r>
      <w:r>
        <w:rPr>
          <w:rFonts w:hint="eastAsia"/>
          <w:bCs/>
          <w:szCs w:val="26"/>
        </w:rPr>
        <w:t>4</w:t>
      </w:r>
      <w:r>
        <w:rPr>
          <w:bCs/>
          <w:szCs w:val="26"/>
        </w:rPr>
        <w:t>.3-</w:t>
      </w:r>
      <w:r>
        <w:rPr>
          <w:rFonts w:hint="eastAsia"/>
          <w:bCs/>
          <w:szCs w:val="26"/>
        </w:rPr>
        <w:t>3</w:t>
      </w:r>
      <w:r>
        <w:rPr>
          <w:rFonts w:hint="eastAsia" w:ascii="宋体" w:hAnsi="宋体"/>
          <w:bCs/>
          <w:szCs w:val="26"/>
        </w:rPr>
        <w:t>。</w:t>
      </w:r>
    </w:p>
    <w:p w14:paraId="68371D4A">
      <w:pPr>
        <w:pStyle w:val="118"/>
      </w:pPr>
      <w:r>
        <w:rPr>
          <w:rFonts w:hint="eastAsia"/>
        </w:rPr>
        <w:t>表</w:t>
      </w:r>
      <w:r>
        <w:t>4.3-3</w:t>
      </w:r>
      <w:r>
        <w:rPr>
          <w:rFonts w:hint="eastAsia"/>
        </w:rPr>
        <w:t xml:space="preserve">  </w:t>
      </w:r>
      <w:r>
        <w:t xml:space="preserve">  </w:t>
      </w:r>
      <w:r>
        <w:rPr>
          <w:rFonts w:hint="eastAsia"/>
        </w:rPr>
        <w:t>基本污染物环境质量现状</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974"/>
        <w:gridCol w:w="1740"/>
        <w:gridCol w:w="1538"/>
        <w:gridCol w:w="1294"/>
        <w:gridCol w:w="858"/>
        <w:gridCol w:w="1262"/>
      </w:tblGrid>
      <w:tr w14:paraId="7F2A8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81" w:type="pct"/>
            <w:vAlign w:val="center"/>
          </w:tcPr>
          <w:p w14:paraId="1C942C2D">
            <w:pPr>
              <w:pStyle w:val="133"/>
              <w:rPr>
                <w:b/>
                <w:bCs/>
              </w:rPr>
            </w:pPr>
            <w:r>
              <w:rPr>
                <w:rFonts w:hint="eastAsia"/>
                <w:b/>
                <w:bCs/>
              </w:rPr>
              <w:t>点位名称</w:t>
            </w:r>
          </w:p>
        </w:tc>
        <w:tc>
          <w:tcPr>
            <w:tcW w:w="523" w:type="pct"/>
            <w:vAlign w:val="center"/>
          </w:tcPr>
          <w:p w14:paraId="256B8A0F">
            <w:pPr>
              <w:pStyle w:val="133"/>
              <w:rPr>
                <w:b/>
                <w:bCs/>
              </w:rPr>
            </w:pPr>
            <w:r>
              <w:rPr>
                <w:rFonts w:hint="eastAsia"/>
                <w:b/>
                <w:bCs/>
              </w:rPr>
              <w:t>污染物</w:t>
            </w:r>
          </w:p>
        </w:tc>
        <w:tc>
          <w:tcPr>
            <w:tcW w:w="935" w:type="pct"/>
            <w:vAlign w:val="center"/>
          </w:tcPr>
          <w:p w14:paraId="299C23B0">
            <w:pPr>
              <w:pStyle w:val="133"/>
              <w:rPr>
                <w:b/>
                <w:bCs/>
              </w:rPr>
            </w:pPr>
            <w:r>
              <w:rPr>
                <w:rFonts w:hint="eastAsia"/>
                <w:b/>
                <w:bCs/>
              </w:rPr>
              <w:t>年评价指标</w:t>
            </w:r>
          </w:p>
        </w:tc>
        <w:tc>
          <w:tcPr>
            <w:tcW w:w="826" w:type="pct"/>
            <w:vAlign w:val="center"/>
          </w:tcPr>
          <w:p w14:paraId="6611E04A">
            <w:pPr>
              <w:pStyle w:val="133"/>
              <w:rPr>
                <w:b/>
                <w:bCs/>
              </w:rPr>
            </w:pPr>
            <w:r>
              <w:rPr>
                <w:rFonts w:hint="eastAsia"/>
                <w:b/>
                <w:bCs/>
              </w:rPr>
              <w:t>现状浓度</w:t>
            </w:r>
            <w:r>
              <w:rPr>
                <w:b/>
                <w:bCs/>
              </w:rPr>
              <w:t>µg/m</w:t>
            </w:r>
            <w:r>
              <w:rPr>
                <w:b/>
                <w:bCs/>
                <w:vertAlign w:val="superscript"/>
              </w:rPr>
              <w:t>3</w:t>
            </w:r>
          </w:p>
        </w:tc>
        <w:tc>
          <w:tcPr>
            <w:tcW w:w="695" w:type="pct"/>
            <w:vAlign w:val="center"/>
          </w:tcPr>
          <w:p w14:paraId="56D6706A">
            <w:pPr>
              <w:pStyle w:val="133"/>
              <w:rPr>
                <w:b/>
                <w:bCs/>
              </w:rPr>
            </w:pPr>
            <w:r>
              <w:rPr>
                <w:rFonts w:hint="eastAsia"/>
                <w:b/>
                <w:bCs/>
              </w:rPr>
              <w:t>标准值</w:t>
            </w:r>
          </w:p>
          <w:p w14:paraId="7BA3842C">
            <w:pPr>
              <w:pStyle w:val="133"/>
              <w:rPr>
                <w:b/>
                <w:bCs/>
              </w:rPr>
            </w:pPr>
            <w:r>
              <w:rPr>
                <w:b/>
                <w:bCs/>
              </w:rPr>
              <w:t>µg/m</w:t>
            </w:r>
            <w:r>
              <w:rPr>
                <w:b/>
                <w:bCs/>
                <w:vertAlign w:val="superscript"/>
              </w:rPr>
              <w:t>3</w:t>
            </w:r>
          </w:p>
        </w:tc>
        <w:tc>
          <w:tcPr>
            <w:tcW w:w="461" w:type="pct"/>
            <w:vAlign w:val="center"/>
          </w:tcPr>
          <w:p w14:paraId="4B127AE1">
            <w:pPr>
              <w:pStyle w:val="133"/>
              <w:rPr>
                <w:b/>
                <w:bCs/>
              </w:rPr>
            </w:pPr>
            <w:r>
              <w:rPr>
                <w:rFonts w:hint="eastAsia"/>
                <w:b/>
                <w:bCs/>
              </w:rPr>
              <w:t>占标率</w:t>
            </w:r>
            <w:r>
              <w:rPr>
                <w:b/>
                <w:bCs/>
              </w:rPr>
              <w:t>%</w:t>
            </w:r>
          </w:p>
        </w:tc>
        <w:tc>
          <w:tcPr>
            <w:tcW w:w="678" w:type="pct"/>
            <w:vAlign w:val="center"/>
          </w:tcPr>
          <w:p w14:paraId="1F00DCFC">
            <w:pPr>
              <w:pStyle w:val="133"/>
              <w:rPr>
                <w:b/>
                <w:bCs/>
              </w:rPr>
            </w:pPr>
            <w:r>
              <w:rPr>
                <w:rFonts w:hint="eastAsia"/>
                <w:b/>
                <w:bCs/>
              </w:rPr>
              <w:t>达标情况</w:t>
            </w:r>
          </w:p>
        </w:tc>
      </w:tr>
      <w:tr w14:paraId="208A0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restart"/>
            <w:vAlign w:val="center"/>
          </w:tcPr>
          <w:p w14:paraId="352DA83E">
            <w:pPr>
              <w:pStyle w:val="422"/>
            </w:pPr>
            <w:r>
              <w:t>哈密地区</w:t>
            </w:r>
          </w:p>
          <w:p w14:paraId="339C1835">
            <w:pPr>
              <w:pStyle w:val="422"/>
            </w:pPr>
            <w:r>
              <w:t>监测站</w:t>
            </w:r>
          </w:p>
          <w:p w14:paraId="7F338E08">
            <w:pPr>
              <w:pStyle w:val="133"/>
            </w:pPr>
          </w:p>
        </w:tc>
        <w:tc>
          <w:tcPr>
            <w:tcW w:w="523" w:type="pct"/>
            <w:vMerge w:val="restart"/>
            <w:vAlign w:val="center"/>
          </w:tcPr>
          <w:p w14:paraId="1CC319B3">
            <w:pPr>
              <w:pStyle w:val="133"/>
            </w:pPr>
            <w:r>
              <w:t>SO</w:t>
            </w:r>
            <w:r>
              <w:rPr>
                <w:vertAlign w:val="subscript"/>
              </w:rPr>
              <w:t>2</w:t>
            </w:r>
          </w:p>
        </w:tc>
        <w:tc>
          <w:tcPr>
            <w:tcW w:w="935" w:type="pct"/>
            <w:vAlign w:val="center"/>
          </w:tcPr>
          <w:p w14:paraId="03BDBBBA">
            <w:pPr>
              <w:pStyle w:val="133"/>
            </w:pPr>
            <w:r>
              <w:rPr>
                <w:rFonts w:hint="eastAsia"/>
              </w:rPr>
              <w:t>年平均质量浓度</w:t>
            </w:r>
          </w:p>
        </w:tc>
        <w:tc>
          <w:tcPr>
            <w:tcW w:w="826" w:type="pct"/>
            <w:vAlign w:val="center"/>
          </w:tcPr>
          <w:p w14:paraId="20D77DED">
            <w:pPr>
              <w:pStyle w:val="133"/>
            </w:pPr>
            <w:r>
              <w:t>6</w:t>
            </w:r>
          </w:p>
        </w:tc>
        <w:tc>
          <w:tcPr>
            <w:tcW w:w="695" w:type="pct"/>
            <w:vAlign w:val="center"/>
          </w:tcPr>
          <w:p w14:paraId="0606BF26">
            <w:pPr>
              <w:pStyle w:val="133"/>
            </w:pPr>
            <w:r>
              <w:t>60</w:t>
            </w:r>
          </w:p>
        </w:tc>
        <w:tc>
          <w:tcPr>
            <w:tcW w:w="461" w:type="pct"/>
            <w:vAlign w:val="center"/>
          </w:tcPr>
          <w:p w14:paraId="4BDFC44F">
            <w:pPr>
              <w:pStyle w:val="133"/>
            </w:pPr>
            <w:r>
              <w:t>10</w:t>
            </w:r>
          </w:p>
        </w:tc>
        <w:tc>
          <w:tcPr>
            <w:tcW w:w="678" w:type="pct"/>
            <w:vAlign w:val="center"/>
          </w:tcPr>
          <w:p w14:paraId="627AEAAE">
            <w:pPr>
              <w:pStyle w:val="133"/>
            </w:pPr>
            <w:r>
              <w:rPr>
                <w:rFonts w:hint="eastAsia"/>
              </w:rPr>
              <w:t>达标</w:t>
            </w:r>
          </w:p>
        </w:tc>
      </w:tr>
      <w:tr w14:paraId="05E48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14:paraId="6DF93373">
            <w:pPr>
              <w:pStyle w:val="133"/>
            </w:pPr>
          </w:p>
        </w:tc>
        <w:tc>
          <w:tcPr>
            <w:tcW w:w="523" w:type="pct"/>
            <w:vMerge w:val="continue"/>
            <w:vAlign w:val="center"/>
          </w:tcPr>
          <w:p w14:paraId="6A8FCA42">
            <w:pPr>
              <w:pStyle w:val="133"/>
            </w:pPr>
          </w:p>
        </w:tc>
        <w:tc>
          <w:tcPr>
            <w:tcW w:w="935" w:type="pct"/>
            <w:vAlign w:val="center"/>
          </w:tcPr>
          <w:p w14:paraId="294F32ED">
            <w:pPr>
              <w:pStyle w:val="133"/>
            </w:pPr>
            <w:r>
              <w:rPr>
                <w:rFonts w:hint="eastAsia"/>
              </w:rPr>
              <w:t>日平均第</w:t>
            </w:r>
            <w:r>
              <w:t>98</w:t>
            </w:r>
            <w:r>
              <w:rPr>
                <w:rFonts w:hint="eastAsia"/>
              </w:rPr>
              <w:t>百分位数</w:t>
            </w:r>
          </w:p>
        </w:tc>
        <w:tc>
          <w:tcPr>
            <w:tcW w:w="826" w:type="pct"/>
            <w:vAlign w:val="center"/>
          </w:tcPr>
          <w:p w14:paraId="5E61659E">
            <w:pPr>
              <w:pStyle w:val="133"/>
            </w:pPr>
            <w:r>
              <w:t>3-38</w:t>
            </w:r>
          </w:p>
        </w:tc>
        <w:tc>
          <w:tcPr>
            <w:tcW w:w="695" w:type="pct"/>
            <w:vAlign w:val="center"/>
          </w:tcPr>
          <w:p w14:paraId="59844F17">
            <w:pPr>
              <w:pStyle w:val="133"/>
            </w:pPr>
            <w:r>
              <w:t>150</w:t>
            </w:r>
          </w:p>
        </w:tc>
        <w:tc>
          <w:tcPr>
            <w:tcW w:w="461" w:type="pct"/>
            <w:vAlign w:val="center"/>
          </w:tcPr>
          <w:p w14:paraId="43DB0663">
            <w:pPr>
              <w:pStyle w:val="133"/>
            </w:pPr>
            <w:r>
              <w:t>25.3</w:t>
            </w:r>
          </w:p>
        </w:tc>
        <w:tc>
          <w:tcPr>
            <w:tcW w:w="678" w:type="pct"/>
            <w:vAlign w:val="center"/>
          </w:tcPr>
          <w:p w14:paraId="4490E66C">
            <w:pPr>
              <w:pStyle w:val="133"/>
            </w:pPr>
            <w:r>
              <w:rPr>
                <w:rFonts w:hint="eastAsia"/>
              </w:rPr>
              <w:t>达标</w:t>
            </w:r>
          </w:p>
        </w:tc>
      </w:tr>
      <w:tr w14:paraId="48A54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14:paraId="4E7454A4">
            <w:pPr>
              <w:pStyle w:val="133"/>
            </w:pPr>
          </w:p>
        </w:tc>
        <w:tc>
          <w:tcPr>
            <w:tcW w:w="523" w:type="pct"/>
            <w:vMerge w:val="restart"/>
            <w:vAlign w:val="center"/>
          </w:tcPr>
          <w:p w14:paraId="2BA75B0B">
            <w:pPr>
              <w:pStyle w:val="133"/>
            </w:pPr>
            <w:r>
              <w:t>NO</w:t>
            </w:r>
            <w:r>
              <w:rPr>
                <w:vertAlign w:val="subscript"/>
              </w:rPr>
              <w:t>2</w:t>
            </w:r>
          </w:p>
        </w:tc>
        <w:tc>
          <w:tcPr>
            <w:tcW w:w="935" w:type="pct"/>
            <w:vAlign w:val="center"/>
          </w:tcPr>
          <w:p w14:paraId="4E5C87F1">
            <w:pPr>
              <w:pStyle w:val="133"/>
            </w:pPr>
            <w:r>
              <w:rPr>
                <w:rFonts w:hint="eastAsia"/>
              </w:rPr>
              <w:t>年平均质量浓度</w:t>
            </w:r>
          </w:p>
        </w:tc>
        <w:tc>
          <w:tcPr>
            <w:tcW w:w="826" w:type="pct"/>
            <w:vAlign w:val="center"/>
          </w:tcPr>
          <w:p w14:paraId="4ED80550">
            <w:pPr>
              <w:pStyle w:val="133"/>
            </w:pPr>
            <w:r>
              <w:rPr>
                <w:rFonts w:hint="eastAsia"/>
              </w:rPr>
              <w:t>27</w:t>
            </w:r>
          </w:p>
        </w:tc>
        <w:tc>
          <w:tcPr>
            <w:tcW w:w="695" w:type="pct"/>
            <w:vAlign w:val="center"/>
          </w:tcPr>
          <w:p w14:paraId="5050A2F5">
            <w:pPr>
              <w:pStyle w:val="133"/>
              <w:rPr>
                <w:strike/>
              </w:rPr>
            </w:pPr>
            <w:r>
              <w:t>40</w:t>
            </w:r>
          </w:p>
        </w:tc>
        <w:tc>
          <w:tcPr>
            <w:tcW w:w="461" w:type="pct"/>
            <w:vAlign w:val="center"/>
          </w:tcPr>
          <w:p w14:paraId="40886320">
            <w:pPr>
              <w:pStyle w:val="133"/>
            </w:pPr>
            <w:r>
              <w:t>67.5</w:t>
            </w:r>
          </w:p>
        </w:tc>
        <w:tc>
          <w:tcPr>
            <w:tcW w:w="678" w:type="pct"/>
            <w:vAlign w:val="center"/>
          </w:tcPr>
          <w:p w14:paraId="4B4F9F76">
            <w:pPr>
              <w:pStyle w:val="133"/>
            </w:pPr>
            <w:r>
              <w:rPr>
                <w:rFonts w:hint="eastAsia"/>
              </w:rPr>
              <w:t>达标</w:t>
            </w:r>
          </w:p>
        </w:tc>
      </w:tr>
      <w:tr w14:paraId="14065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14:paraId="2FFDA7DC">
            <w:pPr>
              <w:pStyle w:val="133"/>
            </w:pPr>
          </w:p>
        </w:tc>
        <w:tc>
          <w:tcPr>
            <w:tcW w:w="523" w:type="pct"/>
            <w:vMerge w:val="continue"/>
            <w:vAlign w:val="center"/>
          </w:tcPr>
          <w:p w14:paraId="08A3CCF0">
            <w:pPr>
              <w:pStyle w:val="133"/>
            </w:pPr>
          </w:p>
        </w:tc>
        <w:tc>
          <w:tcPr>
            <w:tcW w:w="935" w:type="pct"/>
            <w:vAlign w:val="center"/>
          </w:tcPr>
          <w:p w14:paraId="0EF9CA0A">
            <w:pPr>
              <w:pStyle w:val="133"/>
            </w:pPr>
            <w:r>
              <w:rPr>
                <w:rFonts w:hint="eastAsia"/>
              </w:rPr>
              <w:t>日平均第</w:t>
            </w:r>
            <w:r>
              <w:t>98</w:t>
            </w:r>
            <w:r>
              <w:rPr>
                <w:rFonts w:hint="eastAsia"/>
              </w:rPr>
              <w:t>百分位数</w:t>
            </w:r>
          </w:p>
        </w:tc>
        <w:tc>
          <w:tcPr>
            <w:tcW w:w="826" w:type="pct"/>
            <w:vAlign w:val="center"/>
          </w:tcPr>
          <w:p w14:paraId="1FC8939D">
            <w:pPr>
              <w:pStyle w:val="133"/>
            </w:pPr>
            <w:r>
              <w:t>3-56</w:t>
            </w:r>
          </w:p>
        </w:tc>
        <w:tc>
          <w:tcPr>
            <w:tcW w:w="695" w:type="pct"/>
            <w:vAlign w:val="center"/>
          </w:tcPr>
          <w:p w14:paraId="6CD3A76E">
            <w:pPr>
              <w:pStyle w:val="133"/>
            </w:pPr>
            <w:r>
              <w:t>80</w:t>
            </w:r>
          </w:p>
        </w:tc>
        <w:tc>
          <w:tcPr>
            <w:tcW w:w="461" w:type="pct"/>
            <w:vAlign w:val="center"/>
          </w:tcPr>
          <w:p w14:paraId="0ECB060C">
            <w:pPr>
              <w:pStyle w:val="133"/>
            </w:pPr>
            <w:r>
              <w:t>70</w:t>
            </w:r>
          </w:p>
        </w:tc>
        <w:tc>
          <w:tcPr>
            <w:tcW w:w="678" w:type="pct"/>
            <w:vAlign w:val="center"/>
          </w:tcPr>
          <w:p w14:paraId="1DB3C12B">
            <w:pPr>
              <w:pStyle w:val="133"/>
            </w:pPr>
            <w:r>
              <w:rPr>
                <w:rFonts w:hint="eastAsia"/>
              </w:rPr>
              <w:t>达标</w:t>
            </w:r>
          </w:p>
        </w:tc>
      </w:tr>
      <w:tr w14:paraId="21099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14:paraId="51624C5E">
            <w:pPr>
              <w:pStyle w:val="133"/>
            </w:pPr>
          </w:p>
        </w:tc>
        <w:tc>
          <w:tcPr>
            <w:tcW w:w="523" w:type="pct"/>
            <w:vMerge w:val="restart"/>
            <w:vAlign w:val="center"/>
          </w:tcPr>
          <w:p w14:paraId="52DFBFB0">
            <w:pPr>
              <w:pStyle w:val="133"/>
            </w:pPr>
            <w:r>
              <w:t>PM</w:t>
            </w:r>
            <w:r>
              <w:rPr>
                <w:vertAlign w:val="subscript"/>
              </w:rPr>
              <w:t>10</w:t>
            </w:r>
          </w:p>
        </w:tc>
        <w:tc>
          <w:tcPr>
            <w:tcW w:w="935" w:type="pct"/>
            <w:vAlign w:val="center"/>
          </w:tcPr>
          <w:p w14:paraId="6CC9A517">
            <w:pPr>
              <w:pStyle w:val="133"/>
              <w:rPr>
                <w:highlight w:val="yellow"/>
              </w:rPr>
            </w:pPr>
            <w:r>
              <w:rPr>
                <w:rFonts w:hint="eastAsia"/>
              </w:rPr>
              <w:t>年平均质量浓度</w:t>
            </w:r>
          </w:p>
        </w:tc>
        <w:tc>
          <w:tcPr>
            <w:tcW w:w="826" w:type="pct"/>
            <w:vAlign w:val="center"/>
          </w:tcPr>
          <w:p w14:paraId="0ECF619D">
            <w:pPr>
              <w:pStyle w:val="133"/>
            </w:pPr>
            <w:r>
              <w:t>101</w:t>
            </w:r>
          </w:p>
        </w:tc>
        <w:tc>
          <w:tcPr>
            <w:tcW w:w="695" w:type="pct"/>
            <w:vAlign w:val="center"/>
          </w:tcPr>
          <w:p w14:paraId="44E07A0F">
            <w:pPr>
              <w:pStyle w:val="133"/>
            </w:pPr>
            <w:r>
              <w:t>70</w:t>
            </w:r>
          </w:p>
        </w:tc>
        <w:tc>
          <w:tcPr>
            <w:tcW w:w="461" w:type="pct"/>
            <w:vAlign w:val="center"/>
          </w:tcPr>
          <w:p w14:paraId="72B769DD">
            <w:pPr>
              <w:pStyle w:val="133"/>
            </w:pPr>
            <w:r>
              <w:t>144.3</w:t>
            </w:r>
          </w:p>
        </w:tc>
        <w:tc>
          <w:tcPr>
            <w:tcW w:w="678" w:type="pct"/>
            <w:vAlign w:val="center"/>
          </w:tcPr>
          <w:p w14:paraId="01652A04">
            <w:pPr>
              <w:pStyle w:val="133"/>
              <w:rPr>
                <w:highlight w:val="yellow"/>
              </w:rPr>
            </w:pPr>
            <w:r>
              <w:rPr>
                <w:rFonts w:hint="eastAsia"/>
              </w:rPr>
              <w:t>超标</w:t>
            </w:r>
          </w:p>
        </w:tc>
      </w:tr>
      <w:tr w14:paraId="70914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14:paraId="20911125">
            <w:pPr>
              <w:pStyle w:val="133"/>
            </w:pPr>
          </w:p>
        </w:tc>
        <w:tc>
          <w:tcPr>
            <w:tcW w:w="523" w:type="pct"/>
            <w:vMerge w:val="continue"/>
            <w:vAlign w:val="center"/>
          </w:tcPr>
          <w:p w14:paraId="06EB1012">
            <w:pPr>
              <w:pStyle w:val="133"/>
            </w:pPr>
          </w:p>
        </w:tc>
        <w:tc>
          <w:tcPr>
            <w:tcW w:w="935" w:type="pct"/>
            <w:vAlign w:val="center"/>
          </w:tcPr>
          <w:p w14:paraId="02D4257F">
            <w:pPr>
              <w:pStyle w:val="133"/>
              <w:rPr>
                <w:highlight w:val="yellow"/>
              </w:rPr>
            </w:pPr>
            <w:r>
              <w:rPr>
                <w:rFonts w:hint="eastAsia"/>
              </w:rPr>
              <w:t>日平均第</w:t>
            </w:r>
            <w:r>
              <w:t>95</w:t>
            </w:r>
            <w:r>
              <w:rPr>
                <w:rFonts w:hint="eastAsia"/>
              </w:rPr>
              <w:t>百分位数</w:t>
            </w:r>
          </w:p>
        </w:tc>
        <w:tc>
          <w:tcPr>
            <w:tcW w:w="826" w:type="pct"/>
            <w:vAlign w:val="center"/>
          </w:tcPr>
          <w:p w14:paraId="1FAF35A5">
            <w:pPr>
              <w:pStyle w:val="133"/>
            </w:pPr>
            <w:r>
              <w:t>16-765</w:t>
            </w:r>
          </w:p>
        </w:tc>
        <w:tc>
          <w:tcPr>
            <w:tcW w:w="695" w:type="pct"/>
            <w:vAlign w:val="center"/>
          </w:tcPr>
          <w:p w14:paraId="1FA9B521">
            <w:pPr>
              <w:pStyle w:val="133"/>
            </w:pPr>
            <w:r>
              <w:t>150</w:t>
            </w:r>
          </w:p>
        </w:tc>
        <w:tc>
          <w:tcPr>
            <w:tcW w:w="461" w:type="pct"/>
            <w:vAlign w:val="center"/>
          </w:tcPr>
          <w:p w14:paraId="4C966BF9">
            <w:pPr>
              <w:pStyle w:val="133"/>
            </w:pPr>
            <w:r>
              <w:t>510</w:t>
            </w:r>
          </w:p>
        </w:tc>
        <w:tc>
          <w:tcPr>
            <w:tcW w:w="678" w:type="pct"/>
            <w:vAlign w:val="center"/>
          </w:tcPr>
          <w:p w14:paraId="41B8FB66">
            <w:pPr>
              <w:pStyle w:val="133"/>
              <w:rPr>
                <w:highlight w:val="yellow"/>
              </w:rPr>
            </w:pPr>
            <w:r>
              <w:rPr>
                <w:rFonts w:hint="eastAsia"/>
              </w:rPr>
              <w:t>超标</w:t>
            </w:r>
          </w:p>
        </w:tc>
      </w:tr>
      <w:tr w14:paraId="0E3BA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14:paraId="014F7E59">
            <w:pPr>
              <w:pStyle w:val="133"/>
            </w:pPr>
          </w:p>
        </w:tc>
        <w:tc>
          <w:tcPr>
            <w:tcW w:w="523" w:type="pct"/>
            <w:vMerge w:val="restart"/>
            <w:vAlign w:val="center"/>
          </w:tcPr>
          <w:p w14:paraId="0FA6CAE5">
            <w:pPr>
              <w:pStyle w:val="133"/>
            </w:pPr>
            <w:r>
              <w:t>PM</w:t>
            </w:r>
            <w:r>
              <w:rPr>
                <w:vertAlign w:val="subscript"/>
              </w:rPr>
              <w:t>2.5</w:t>
            </w:r>
          </w:p>
        </w:tc>
        <w:tc>
          <w:tcPr>
            <w:tcW w:w="935" w:type="pct"/>
            <w:vAlign w:val="center"/>
          </w:tcPr>
          <w:p w14:paraId="0CC2779B">
            <w:pPr>
              <w:pStyle w:val="133"/>
              <w:rPr>
                <w:highlight w:val="yellow"/>
              </w:rPr>
            </w:pPr>
            <w:r>
              <w:rPr>
                <w:rFonts w:hint="eastAsia"/>
              </w:rPr>
              <w:t>年平均质量浓度</w:t>
            </w:r>
          </w:p>
        </w:tc>
        <w:tc>
          <w:tcPr>
            <w:tcW w:w="826" w:type="pct"/>
            <w:vAlign w:val="center"/>
          </w:tcPr>
          <w:p w14:paraId="1B732291">
            <w:pPr>
              <w:pStyle w:val="133"/>
            </w:pPr>
            <w:r>
              <w:t>29</w:t>
            </w:r>
          </w:p>
        </w:tc>
        <w:tc>
          <w:tcPr>
            <w:tcW w:w="695" w:type="pct"/>
            <w:vAlign w:val="center"/>
          </w:tcPr>
          <w:p w14:paraId="2B01E36D">
            <w:pPr>
              <w:pStyle w:val="133"/>
            </w:pPr>
            <w:r>
              <w:t>35</w:t>
            </w:r>
          </w:p>
        </w:tc>
        <w:tc>
          <w:tcPr>
            <w:tcW w:w="461" w:type="pct"/>
            <w:vAlign w:val="center"/>
          </w:tcPr>
          <w:p w14:paraId="027EA2C5">
            <w:pPr>
              <w:pStyle w:val="133"/>
            </w:pPr>
            <w:r>
              <w:t>82.9</w:t>
            </w:r>
          </w:p>
        </w:tc>
        <w:tc>
          <w:tcPr>
            <w:tcW w:w="678" w:type="pct"/>
            <w:vAlign w:val="center"/>
          </w:tcPr>
          <w:p w14:paraId="4F370EB2">
            <w:pPr>
              <w:pStyle w:val="133"/>
              <w:rPr>
                <w:highlight w:val="yellow"/>
              </w:rPr>
            </w:pPr>
            <w:r>
              <w:rPr>
                <w:rFonts w:hint="eastAsia"/>
              </w:rPr>
              <w:t>达标</w:t>
            </w:r>
          </w:p>
        </w:tc>
      </w:tr>
      <w:tr w14:paraId="406E2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vAlign w:val="center"/>
          </w:tcPr>
          <w:p w14:paraId="0A054E46">
            <w:pPr>
              <w:pStyle w:val="133"/>
            </w:pPr>
          </w:p>
        </w:tc>
        <w:tc>
          <w:tcPr>
            <w:tcW w:w="523" w:type="pct"/>
            <w:vMerge w:val="continue"/>
            <w:vAlign w:val="center"/>
          </w:tcPr>
          <w:p w14:paraId="2162B8DB">
            <w:pPr>
              <w:pStyle w:val="133"/>
            </w:pPr>
          </w:p>
        </w:tc>
        <w:tc>
          <w:tcPr>
            <w:tcW w:w="935" w:type="pct"/>
            <w:vAlign w:val="center"/>
          </w:tcPr>
          <w:p w14:paraId="635A7F5A">
            <w:pPr>
              <w:pStyle w:val="133"/>
              <w:rPr>
                <w:highlight w:val="yellow"/>
              </w:rPr>
            </w:pPr>
            <w:r>
              <w:rPr>
                <w:rFonts w:hint="eastAsia"/>
              </w:rPr>
              <w:t>日平均第</w:t>
            </w:r>
            <w:r>
              <w:t>95</w:t>
            </w:r>
            <w:r>
              <w:rPr>
                <w:rFonts w:hint="eastAsia"/>
              </w:rPr>
              <w:t>百分位数</w:t>
            </w:r>
          </w:p>
        </w:tc>
        <w:tc>
          <w:tcPr>
            <w:tcW w:w="826" w:type="pct"/>
            <w:vAlign w:val="center"/>
          </w:tcPr>
          <w:p w14:paraId="21D478B6">
            <w:pPr>
              <w:pStyle w:val="133"/>
            </w:pPr>
            <w:r>
              <w:t>9-119</w:t>
            </w:r>
          </w:p>
        </w:tc>
        <w:tc>
          <w:tcPr>
            <w:tcW w:w="695" w:type="pct"/>
            <w:vAlign w:val="center"/>
          </w:tcPr>
          <w:p w14:paraId="6F27AFDD">
            <w:pPr>
              <w:pStyle w:val="133"/>
            </w:pPr>
            <w:r>
              <w:t>75</w:t>
            </w:r>
          </w:p>
        </w:tc>
        <w:tc>
          <w:tcPr>
            <w:tcW w:w="461" w:type="pct"/>
            <w:vAlign w:val="center"/>
          </w:tcPr>
          <w:p w14:paraId="609291A4">
            <w:pPr>
              <w:pStyle w:val="133"/>
            </w:pPr>
            <w:r>
              <w:t>158.7</w:t>
            </w:r>
          </w:p>
        </w:tc>
        <w:tc>
          <w:tcPr>
            <w:tcW w:w="678" w:type="pct"/>
            <w:vAlign w:val="center"/>
          </w:tcPr>
          <w:p w14:paraId="71EA3131">
            <w:pPr>
              <w:pStyle w:val="133"/>
              <w:rPr>
                <w:highlight w:val="yellow"/>
              </w:rPr>
            </w:pPr>
            <w:r>
              <w:rPr>
                <w:rFonts w:hint="eastAsia"/>
              </w:rPr>
              <w:t>超标</w:t>
            </w:r>
          </w:p>
        </w:tc>
      </w:tr>
      <w:tr w14:paraId="213D0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tcPr>
          <w:p w14:paraId="5E2327F6">
            <w:pPr>
              <w:pStyle w:val="133"/>
            </w:pPr>
          </w:p>
        </w:tc>
        <w:tc>
          <w:tcPr>
            <w:tcW w:w="523" w:type="pct"/>
            <w:vAlign w:val="center"/>
          </w:tcPr>
          <w:p w14:paraId="5C9708CC">
            <w:pPr>
              <w:pStyle w:val="133"/>
            </w:pPr>
            <w:r>
              <w:t>CO</w:t>
            </w:r>
          </w:p>
        </w:tc>
        <w:tc>
          <w:tcPr>
            <w:tcW w:w="935" w:type="pct"/>
            <w:vAlign w:val="center"/>
          </w:tcPr>
          <w:p w14:paraId="29395513">
            <w:pPr>
              <w:pStyle w:val="133"/>
            </w:pPr>
            <w:r>
              <w:rPr>
                <w:rFonts w:hint="eastAsia"/>
              </w:rPr>
              <w:t>日平均第</w:t>
            </w:r>
            <w:r>
              <w:t>95</w:t>
            </w:r>
            <w:r>
              <w:rPr>
                <w:rFonts w:hint="eastAsia"/>
              </w:rPr>
              <w:t>百分位数</w:t>
            </w:r>
          </w:p>
        </w:tc>
        <w:tc>
          <w:tcPr>
            <w:tcW w:w="826" w:type="pct"/>
            <w:vAlign w:val="center"/>
          </w:tcPr>
          <w:p w14:paraId="17818103">
            <w:pPr>
              <w:pStyle w:val="133"/>
            </w:pPr>
            <w:r>
              <w:t>0.1-1.4 mg/m</w:t>
            </w:r>
            <w:r>
              <w:rPr>
                <w:vertAlign w:val="superscript"/>
              </w:rPr>
              <w:t>3</w:t>
            </w:r>
          </w:p>
        </w:tc>
        <w:tc>
          <w:tcPr>
            <w:tcW w:w="695" w:type="pct"/>
            <w:vAlign w:val="center"/>
          </w:tcPr>
          <w:p w14:paraId="5E3F1206">
            <w:pPr>
              <w:pStyle w:val="133"/>
            </w:pPr>
            <w:r>
              <w:t>4.0mg/m</w:t>
            </w:r>
            <w:r>
              <w:rPr>
                <w:vertAlign w:val="superscript"/>
              </w:rPr>
              <w:t>3</w:t>
            </w:r>
          </w:p>
        </w:tc>
        <w:tc>
          <w:tcPr>
            <w:tcW w:w="461" w:type="pct"/>
            <w:vAlign w:val="center"/>
          </w:tcPr>
          <w:p w14:paraId="34A36A64">
            <w:pPr>
              <w:pStyle w:val="133"/>
            </w:pPr>
            <w:r>
              <w:t>35</w:t>
            </w:r>
          </w:p>
        </w:tc>
        <w:tc>
          <w:tcPr>
            <w:tcW w:w="678" w:type="pct"/>
            <w:vAlign w:val="center"/>
          </w:tcPr>
          <w:p w14:paraId="7C353B9E">
            <w:pPr>
              <w:pStyle w:val="133"/>
            </w:pPr>
            <w:r>
              <w:rPr>
                <w:rFonts w:hint="eastAsia"/>
              </w:rPr>
              <w:t>达标</w:t>
            </w:r>
          </w:p>
        </w:tc>
      </w:tr>
      <w:tr w14:paraId="22C13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1" w:type="pct"/>
            <w:vMerge w:val="continue"/>
          </w:tcPr>
          <w:p w14:paraId="558767D8">
            <w:pPr>
              <w:pStyle w:val="133"/>
            </w:pPr>
          </w:p>
        </w:tc>
        <w:tc>
          <w:tcPr>
            <w:tcW w:w="523" w:type="pct"/>
            <w:vAlign w:val="center"/>
          </w:tcPr>
          <w:p w14:paraId="3E17ED5E">
            <w:pPr>
              <w:pStyle w:val="133"/>
            </w:pPr>
            <w:r>
              <w:t>O</w:t>
            </w:r>
            <w:r>
              <w:rPr>
                <w:vertAlign w:val="subscript"/>
              </w:rPr>
              <w:t>3</w:t>
            </w:r>
          </w:p>
        </w:tc>
        <w:tc>
          <w:tcPr>
            <w:tcW w:w="935" w:type="pct"/>
            <w:vAlign w:val="center"/>
          </w:tcPr>
          <w:p w14:paraId="36FA0F0F">
            <w:pPr>
              <w:pStyle w:val="133"/>
            </w:pPr>
            <w:r>
              <w:rPr>
                <w:rFonts w:hint="eastAsia"/>
              </w:rPr>
              <w:t>日平均第</w:t>
            </w:r>
            <w:r>
              <w:t>90</w:t>
            </w:r>
            <w:r>
              <w:rPr>
                <w:rFonts w:hint="eastAsia"/>
              </w:rPr>
              <w:t>百分位数</w:t>
            </w:r>
          </w:p>
        </w:tc>
        <w:tc>
          <w:tcPr>
            <w:tcW w:w="826" w:type="pct"/>
            <w:vAlign w:val="center"/>
          </w:tcPr>
          <w:p w14:paraId="3220791C">
            <w:pPr>
              <w:pStyle w:val="133"/>
            </w:pPr>
            <w:r>
              <w:t>40-158</w:t>
            </w:r>
          </w:p>
        </w:tc>
        <w:tc>
          <w:tcPr>
            <w:tcW w:w="695" w:type="pct"/>
            <w:vAlign w:val="center"/>
          </w:tcPr>
          <w:p w14:paraId="22D2E5AA">
            <w:pPr>
              <w:pStyle w:val="133"/>
            </w:pPr>
            <w:r>
              <w:t>160</w:t>
            </w:r>
          </w:p>
        </w:tc>
        <w:tc>
          <w:tcPr>
            <w:tcW w:w="461" w:type="pct"/>
            <w:vAlign w:val="center"/>
          </w:tcPr>
          <w:p w14:paraId="0FC170F8">
            <w:pPr>
              <w:pStyle w:val="133"/>
            </w:pPr>
            <w:r>
              <w:t>98.8</w:t>
            </w:r>
          </w:p>
        </w:tc>
        <w:tc>
          <w:tcPr>
            <w:tcW w:w="678" w:type="pct"/>
            <w:vAlign w:val="center"/>
          </w:tcPr>
          <w:p w14:paraId="0B179524">
            <w:pPr>
              <w:pStyle w:val="133"/>
            </w:pPr>
            <w:r>
              <w:rPr>
                <w:rFonts w:hint="eastAsia"/>
              </w:rPr>
              <w:t>达标</w:t>
            </w:r>
          </w:p>
        </w:tc>
      </w:tr>
    </w:tbl>
    <w:p w14:paraId="09389255">
      <w:pPr>
        <w:pStyle w:val="257"/>
        <w:ind w:firstLine="480"/>
        <w:rPr>
          <w:rFonts w:hint="eastAsia" w:ascii="宋体" w:hAnsi="宋体" w:eastAsia="宋体"/>
        </w:rPr>
      </w:pPr>
      <w:r>
        <w:rPr>
          <w:rFonts w:ascii="宋体" w:hAnsi="宋体" w:eastAsia="宋体"/>
        </w:rPr>
        <w:t>评价区域环境空气质量指标SO</w:t>
      </w:r>
      <w:r>
        <w:rPr>
          <w:rFonts w:ascii="宋体" w:hAnsi="宋体" w:eastAsia="宋体"/>
          <w:vertAlign w:val="subscript"/>
        </w:rPr>
        <w:t>2</w:t>
      </w:r>
      <w:r>
        <w:rPr>
          <w:rFonts w:ascii="宋体" w:hAnsi="宋体" w:eastAsia="宋体"/>
        </w:rPr>
        <w:t>、NO</w:t>
      </w:r>
      <w:r>
        <w:rPr>
          <w:rFonts w:ascii="宋体" w:hAnsi="宋体" w:eastAsia="宋体"/>
          <w:vertAlign w:val="subscript"/>
        </w:rPr>
        <w:t>2</w:t>
      </w:r>
      <w:r>
        <w:rPr>
          <w:rFonts w:ascii="宋体" w:hAnsi="宋体" w:eastAsia="宋体"/>
          <w:bCs/>
        </w:rPr>
        <w:t>、PM</w:t>
      </w:r>
      <w:r>
        <w:rPr>
          <w:rFonts w:ascii="宋体" w:hAnsi="宋体" w:eastAsia="宋体"/>
          <w:bCs/>
          <w:vertAlign w:val="subscript"/>
        </w:rPr>
        <w:t>2.5</w:t>
      </w:r>
      <w:r>
        <w:rPr>
          <w:rFonts w:ascii="宋体" w:hAnsi="宋体" w:eastAsia="宋体"/>
        </w:rPr>
        <w:t>年平均浓度</w:t>
      </w:r>
      <w:r>
        <w:rPr>
          <w:rFonts w:hint="eastAsia" w:ascii="宋体" w:hAnsi="宋体" w:eastAsia="宋体"/>
        </w:rPr>
        <w:t>、日平均</w:t>
      </w:r>
      <w:r>
        <w:rPr>
          <w:rFonts w:ascii="宋体" w:hAnsi="宋体" w:eastAsia="宋体"/>
        </w:rPr>
        <w:t>浓度均符合《环境空气质量标准》（GB3095-2012）的二级标准；CO日最大8h平均浓度及O</w:t>
      </w:r>
      <w:r>
        <w:rPr>
          <w:rFonts w:ascii="宋体" w:hAnsi="宋体" w:eastAsia="宋体"/>
          <w:vertAlign w:val="subscript"/>
        </w:rPr>
        <w:t>3</w:t>
      </w:r>
      <w:r>
        <w:rPr>
          <w:rFonts w:ascii="宋体" w:hAnsi="宋体" w:eastAsia="宋体"/>
        </w:rPr>
        <w:t>日平均浓度均符合《环境空气质量标准》（GB3095-2012）的二级标准；</w:t>
      </w:r>
      <w:r>
        <w:rPr>
          <w:rFonts w:ascii="宋体" w:hAnsi="宋体" w:eastAsia="宋体"/>
          <w:bCs/>
        </w:rPr>
        <w:t>PM</w:t>
      </w:r>
      <w:r>
        <w:rPr>
          <w:rFonts w:ascii="宋体" w:hAnsi="宋体" w:eastAsia="宋体"/>
          <w:bCs/>
          <w:vertAlign w:val="subscript"/>
        </w:rPr>
        <w:t>10</w:t>
      </w:r>
      <w:r>
        <w:rPr>
          <w:rFonts w:hint="eastAsia" w:ascii="宋体" w:hAnsi="宋体" w:eastAsia="宋体"/>
        </w:rPr>
        <w:t>年</w:t>
      </w:r>
      <w:r>
        <w:rPr>
          <w:rFonts w:ascii="宋体" w:hAnsi="宋体" w:eastAsia="宋体"/>
        </w:rPr>
        <w:t>平均浓度</w:t>
      </w:r>
      <w:r>
        <w:rPr>
          <w:rFonts w:hint="eastAsia" w:ascii="宋体" w:hAnsi="宋体" w:eastAsia="宋体"/>
        </w:rPr>
        <w:t>、</w:t>
      </w:r>
      <w:r>
        <w:rPr>
          <w:rFonts w:ascii="宋体" w:hAnsi="宋体" w:eastAsia="宋体"/>
          <w:bCs/>
        </w:rPr>
        <w:t>PM</w:t>
      </w:r>
      <w:r>
        <w:rPr>
          <w:rFonts w:ascii="宋体" w:hAnsi="宋体" w:eastAsia="宋体"/>
          <w:bCs/>
          <w:vertAlign w:val="subscript"/>
        </w:rPr>
        <w:t>10</w:t>
      </w:r>
      <w:r>
        <w:rPr>
          <w:rFonts w:hint="eastAsia" w:ascii="宋体" w:hAnsi="宋体" w:eastAsia="宋体"/>
          <w:bCs/>
        </w:rPr>
        <w:t>日</w:t>
      </w:r>
      <w:r>
        <w:rPr>
          <w:rFonts w:ascii="宋体" w:hAnsi="宋体" w:eastAsia="宋体"/>
        </w:rPr>
        <w:t>平均浓度</w:t>
      </w:r>
      <w:r>
        <w:rPr>
          <w:rFonts w:hint="eastAsia" w:ascii="宋体" w:hAnsi="宋体" w:eastAsia="宋体" w:cs="宋体"/>
        </w:rPr>
        <w:t>、PM</w:t>
      </w:r>
      <w:r>
        <w:rPr>
          <w:rFonts w:hint="eastAsia" w:ascii="宋体" w:hAnsi="宋体" w:eastAsia="宋体" w:cs="宋体"/>
          <w:vertAlign w:val="subscript"/>
        </w:rPr>
        <w:t>2.5</w:t>
      </w:r>
      <w:r>
        <w:rPr>
          <w:rFonts w:hint="eastAsia" w:ascii="宋体" w:hAnsi="宋体" w:eastAsia="宋体" w:cs="宋体"/>
        </w:rPr>
        <w:t>日平均浓度</w:t>
      </w:r>
      <w:r>
        <w:rPr>
          <w:rFonts w:ascii="宋体" w:hAnsi="宋体" w:eastAsia="宋体"/>
        </w:rPr>
        <w:t>均超过《环境空气质量标准》（GB3095-2012）的二级标准</w:t>
      </w:r>
      <w:r>
        <w:rPr>
          <w:rFonts w:hint="eastAsia" w:ascii="宋体" w:hAnsi="宋体" w:eastAsia="宋体"/>
        </w:rPr>
        <w:t>，</w:t>
      </w:r>
      <w:r>
        <w:rPr>
          <w:rFonts w:hint="eastAsia" w:ascii="宋体" w:hAnsi="宋体" w:eastAsia="宋体"/>
          <w:lang w:val="en-US"/>
        </w:rPr>
        <w:t>项目所在区域为非达标区域</w:t>
      </w:r>
      <w:r>
        <w:rPr>
          <w:rFonts w:ascii="宋体" w:hAnsi="宋体" w:eastAsia="宋体"/>
        </w:rPr>
        <w:t>。</w:t>
      </w:r>
    </w:p>
    <w:p w14:paraId="48AEB3EE">
      <w:pPr>
        <w:pStyle w:val="138"/>
        <w:rPr>
          <w:rFonts w:hint="eastAsia"/>
        </w:rPr>
      </w:pPr>
      <w:r>
        <w:rPr>
          <w:rFonts w:hint="eastAsia"/>
        </w:rPr>
        <w:t>区域特征污染物环境质量现状</w:t>
      </w:r>
    </w:p>
    <w:p w14:paraId="71399929">
      <w:pPr>
        <w:pStyle w:val="117"/>
        <w:ind w:firstLine="480"/>
      </w:pPr>
      <w:r>
        <w:rPr>
          <w:rFonts w:hint="eastAsia"/>
        </w:rPr>
        <w:t>根据《环境影响评价技术导则 大气环境》（HJ2.2-2018）的要求，对基本污染物和特征污染物的环境质量现状进行评价。本项目特征污染物为HCl、非甲烷总烃、氨、硫化氢、氰化氢、苯、酚类、TSP。大气特征污染物环境质量现状采用现状监测的方法。</w:t>
      </w:r>
    </w:p>
    <w:p w14:paraId="49B5A2B8">
      <w:pPr>
        <w:pStyle w:val="117"/>
        <w:ind w:firstLine="480"/>
      </w:pPr>
      <w:r>
        <w:rPr>
          <w:rFonts w:hint="eastAsia"/>
        </w:rPr>
        <w:t>（</w:t>
      </w:r>
      <w:r>
        <w:t>1</w:t>
      </w:r>
      <w:r>
        <w:rPr>
          <w:rFonts w:hint="eastAsia"/>
        </w:rPr>
        <w:t>）监测时间</w:t>
      </w:r>
    </w:p>
    <w:p w14:paraId="58304B2D">
      <w:pPr>
        <w:pStyle w:val="117"/>
        <w:ind w:firstLine="480"/>
      </w:pPr>
      <w:r>
        <w:rPr>
          <w:rFonts w:hint="eastAsia"/>
        </w:rPr>
        <w:t>监测时间为2024年12月15日—2024年12月21日，连续7天。</w:t>
      </w:r>
    </w:p>
    <w:p w14:paraId="4FC0F17C">
      <w:pPr>
        <w:pStyle w:val="117"/>
        <w:ind w:firstLine="480"/>
      </w:pPr>
      <w:r>
        <w:rPr>
          <w:rFonts w:hint="eastAsia"/>
        </w:rPr>
        <w:t>（</w:t>
      </w:r>
      <w:r>
        <w:t>2</w:t>
      </w:r>
      <w:r>
        <w:rPr>
          <w:rFonts w:hint="eastAsia"/>
        </w:rPr>
        <w:t>）监测点位置</w:t>
      </w:r>
    </w:p>
    <w:p w14:paraId="37FD10B7">
      <w:pPr>
        <w:pStyle w:val="117"/>
        <w:ind w:firstLine="480"/>
      </w:pPr>
      <w:r>
        <w:rPr>
          <w:rFonts w:hint="eastAsia"/>
        </w:rPr>
        <w:t>监测布点：监测点情况详见表4</w:t>
      </w:r>
      <w:r>
        <w:t>.3-</w:t>
      </w:r>
      <w:r>
        <w:rPr>
          <w:rFonts w:hint="eastAsia"/>
        </w:rPr>
        <w:t>4，监测点位见图4</w:t>
      </w:r>
      <w:r>
        <w:t>.3-1</w:t>
      </w:r>
      <w:r>
        <w:rPr>
          <w:rFonts w:hint="eastAsia"/>
        </w:rPr>
        <w:t>。</w:t>
      </w:r>
    </w:p>
    <w:p w14:paraId="02772130">
      <w:pPr>
        <w:pStyle w:val="117"/>
        <w:ind w:firstLine="480"/>
      </w:pPr>
      <w:r>
        <w:rPr>
          <w:rFonts w:hint="eastAsia"/>
        </w:rPr>
        <w:t>分析方法：各监测项目的采样方法按照《环境监测技术规范》（大气部分）执行，分析方法按照《环境空气质量标准》（</w:t>
      </w:r>
      <w:r>
        <w:t>GB3095-2012</w:t>
      </w:r>
      <w:r>
        <w:rPr>
          <w:rFonts w:hint="eastAsia"/>
        </w:rPr>
        <w:t>）中的要求进行。</w:t>
      </w:r>
    </w:p>
    <w:p w14:paraId="2F40E6B6">
      <w:pPr>
        <w:pStyle w:val="118"/>
      </w:pPr>
      <w:r>
        <w:t>表</w:t>
      </w:r>
      <w:r>
        <w:rPr>
          <w:rFonts w:hint="eastAsia"/>
        </w:rPr>
        <w:t>4</w:t>
      </w:r>
      <w:r>
        <w:t>.3-</w:t>
      </w:r>
      <w:r>
        <w:rPr>
          <w:rFonts w:hint="eastAsia"/>
        </w:rPr>
        <w:t>4</w:t>
      </w:r>
      <w:r>
        <w:t xml:space="preserve">   大气质量现状监测点一览表</w:t>
      </w:r>
    </w:p>
    <w:tbl>
      <w:tblPr>
        <w:tblStyle w:val="68"/>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74"/>
        <w:gridCol w:w="1748"/>
        <w:gridCol w:w="1632"/>
        <w:gridCol w:w="4551"/>
      </w:tblGrid>
      <w:tr w14:paraId="4775DB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4" w:type="dxa"/>
            <w:vAlign w:val="center"/>
          </w:tcPr>
          <w:p w14:paraId="67DF9767">
            <w:pPr>
              <w:pStyle w:val="133"/>
              <w:rPr>
                <w:b/>
                <w:bCs/>
                <w:lang w:val="zh-CN"/>
              </w:rPr>
            </w:pPr>
            <w:r>
              <w:rPr>
                <w:b/>
                <w:bCs/>
                <w:lang w:val="zh-CN"/>
              </w:rPr>
              <w:t>编号</w:t>
            </w:r>
          </w:p>
        </w:tc>
        <w:tc>
          <w:tcPr>
            <w:tcW w:w="1748" w:type="dxa"/>
            <w:vAlign w:val="center"/>
          </w:tcPr>
          <w:p w14:paraId="07C03F9C">
            <w:pPr>
              <w:pStyle w:val="133"/>
              <w:rPr>
                <w:b/>
                <w:bCs/>
                <w:lang w:val="zh-CN"/>
              </w:rPr>
            </w:pPr>
            <w:r>
              <w:rPr>
                <w:b/>
                <w:bCs/>
                <w:lang w:val="zh-CN"/>
              </w:rPr>
              <w:t>监测点名称</w:t>
            </w:r>
          </w:p>
        </w:tc>
        <w:tc>
          <w:tcPr>
            <w:tcW w:w="1632" w:type="dxa"/>
            <w:vAlign w:val="center"/>
          </w:tcPr>
          <w:p w14:paraId="7554FA71">
            <w:pPr>
              <w:pStyle w:val="133"/>
              <w:rPr>
                <w:b/>
                <w:bCs/>
                <w:lang w:val="zh-CN"/>
              </w:rPr>
            </w:pPr>
            <w:r>
              <w:rPr>
                <w:rFonts w:hint="eastAsia"/>
                <w:b/>
                <w:bCs/>
                <w:lang w:val="zh-CN"/>
              </w:rPr>
              <w:t>方位和距离</w:t>
            </w:r>
          </w:p>
        </w:tc>
        <w:tc>
          <w:tcPr>
            <w:tcW w:w="4551" w:type="dxa"/>
            <w:vAlign w:val="center"/>
          </w:tcPr>
          <w:p w14:paraId="5818B8C9">
            <w:pPr>
              <w:pStyle w:val="133"/>
              <w:rPr>
                <w:b/>
                <w:bCs/>
                <w:lang w:val="zh-CN"/>
              </w:rPr>
            </w:pPr>
            <w:r>
              <w:rPr>
                <w:b/>
                <w:bCs/>
                <w:lang w:val="zh-CN"/>
              </w:rPr>
              <w:t>监测项目</w:t>
            </w:r>
          </w:p>
        </w:tc>
      </w:tr>
      <w:tr w14:paraId="52AB6C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74" w:type="dxa"/>
            <w:vAlign w:val="center"/>
          </w:tcPr>
          <w:p w14:paraId="0F614802">
            <w:pPr>
              <w:pStyle w:val="133"/>
              <w:rPr>
                <w:lang w:val="zh-CN"/>
              </w:rPr>
            </w:pPr>
            <w:r>
              <w:rPr>
                <w:lang w:val="zh-CN"/>
              </w:rPr>
              <w:t>1#</w:t>
            </w:r>
          </w:p>
        </w:tc>
        <w:tc>
          <w:tcPr>
            <w:tcW w:w="1748" w:type="dxa"/>
            <w:vAlign w:val="center"/>
          </w:tcPr>
          <w:p w14:paraId="221436BE">
            <w:pPr>
              <w:pStyle w:val="133"/>
              <w:rPr>
                <w:lang w:val="zh-CN"/>
              </w:rPr>
            </w:pPr>
            <w:r>
              <w:t>厂址下风向</w:t>
            </w:r>
          </w:p>
        </w:tc>
        <w:tc>
          <w:tcPr>
            <w:tcW w:w="1632" w:type="dxa"/>
            <w:vAlign w:val="center"/>
          </w:tcPr>
          <w:p w14:paraId="7C84CB78">
            <w:pPr>
              <w:pStyle w:val="133"/>
              <w:rPr>
                <w:lang w:val="zh-CN"/>
              </w:rPr>
            </w:pPr>
            <w:r>
              <w:rPr>
                <w:rFonts w:hint="eastAsia"/>
              </w:rPr>
              <w:t>厂区西南</w:t>
            </w:r>
            <w:r>
              <w:t>侧</w:t>
            </w:r>
            <w:r>
              <w:rPr>
                <w:rFonts w:hint="eastAsia"/>
              </w:rPr>
              <w:t>2.6</w:t>
            </w:r>
            <w:r>
              <w:t>km</w:t>
            </w:r>
          </w:p>
        </w:tc>
        <w:tc>
          <w:tcPr>
            <w:tcW w:w="4551" w:type="dxa"/>
            <w:vAlign w:val="center"/>
          </w:tcPr>
          <w:p w14:paraId="0D7EC07E">
            <w:pPr>
              <w:pStyle w:val="133"/>
              <w:rPr>
                <w:szCs w:val="21"/>
              </w:rPr>
            </w:pPr>
            <w:r>
              <w:rPr>
                <w:rFonts w:hint="eastAsia"/>
                <w:szCs w:val="21"/>
              </w:rPr>
              <w:t>HCl、非甲烷总烃、氨、硫化氢、TSP、苯并[a]芘、氰化氢、苯、酚类</w:t>
            </w:r>
          </w:p>
        </w:tc>
      </w:tr>
    </w:tbl>
    <w:p w14:paraId="34816820">
      <w:pPr>
        <w:pStyle w:val="133"/>
        <w:jc w:val="both"/>
        <w:rPr>
          <w:rFonts w:hint="eastAsia"/>
        </w:rPr>
      </w:pPr>
    </w:p>
    <w:p w14:paraId="66B96A52">
      <w:pPr>
        <w:pStyle w:val="117"/>
        <w:ind w:firstLine="480"/>
      </w:pPr>
      <w:r>
        <w:rPr>
          <w:rFonts w:hint="eastAsia"/>
        </w:rPr>
        <w:t>（</w:t>
      </w:r>
      <w:r>
        <w:t>3</w:t>
      </w:r>
      <w:r>
        <w:rPr>
          <w:rFonts w:hint="eastAsia"/>
        </w:rPr>
        <w:t>）评价方法</w:t>
      </w:r>
    </w:p>
    <w:p w14:paraId="7230AE2B">
      <w:pPr>
        <w:pStyle w:val="117"/>
        <w:ind w:firstLine="480"/>
      </w:pPr>
      <w:r>
        <w:rPr>
          <w:rFonts w:hint="eastAsia"/>
        </w:rPr>
        <w:t>采用标准指数法，同区域环境空气质量现状评价方法。</w:t>
      </w:r>
    </w:p>
    <w:p w14:paraId="5096946B">
      <w:pPr>
        <w:pStyle w:val="117"/>
        <w:ind w:firstLine="480"/>
      </w:pPr>
      <w:r>
        <w:rPr>
          <w:rFonts w:hint="eastAsia"/>
        </w:rPr>
        <w:t>（</w:t>
      </w:r>
      <w:r>
        <w:t>4</w:t>
      </w:r>
      <w:r>
        <w:rPr>
          <w:rFonts w:hint="eastAsia"/>
        </w:rPr>
        <w:t>）评价标准</w:t>
      </w:r>
    </w:p>
    <w:p w14:paraId="73C7A109">
      <w:pPr>
        <w:pStyle w:val="117"/>
        <w:ind w:firstLine="480"/>
      </w:pPr>
      <w:r>
        <w:rPr>
          <w:rFonts w:hint="eastAsia"/>
        </w:rPr>
        <w:t>TSP、苯并[a]芘执行《环境空气质量标准》（GB3095-2012）中的二级标准；苯、HCl、N</w:t>
      </w:r>
      <w:r>
        <w:t>H</w:t>
      </w:r>
      <w:r>
        <w:rPr>
          <w:vertAlign w:val="subscript"/>
        </w:rPr>
        <w:t>3</w:t>
      </w:r>
      <w:r>
        <w:rPr>
          <w:rFonts w:hint="eastAsia"/>
        </w:rPr>
        <w:t>和H</w:t>
      </w:r>
      <w:r>
        <w:rPr>
          <w:vertAlign w:val="subscript"/>
        </w:rPr>
        <w:t>2</w:t>
      </w:r>
      <w:r>
        <w:t>S</w:t>
      </w:r>
      <w:r>
        <w:rPr>
          <w:rFonts w:hint="eastAsia"/>
        </w:rPr>
        <w:t>执行《环境影响评价技术导则 大气环境》（HJ2.2-2018）附录D中表D.1其他污染物空气质量浓度参考限值；N</w:t>
      </w:r>
      <w:r>
        <w:t>MHC</w:t>
      </w:r>
      <w:r>
        <w:rPr>
          <w:rFonts w:hint="eastAsia"/>
        </w:rPr>
        <w:t>、氰化氢、酚类执行《大气污染物综合排放标准详解》中一次浓度限值。</w:t>
      </w:r>
    </w:p>
    <w:p w14:paraId="1A34F6DD">
      <w:pPr>
        <w:pStyle w:val="117"/>
        <w:ind w:firstLine="480"/>
      </w:pPr>
      <w:r>
        <w:rPr>
          <w:rFonts w:hint="eastAsia"/>
        </w:rPr>
        <w:t>（</w:t>
      </w:r>
      <w:r>
        <w:t>5</w:t>
      </w:r>
      <w:r>
        <w:rPr>
          <w:rFonts w:hint="eastAsia"/>
        </w:rPr>
        <w:t>）</w:t>
      </w:r>
      <w:r>
        <w:t>评价</w:t>
      </w:r>
      <w:r>
        <w:rPr>
          <w:rFonts w:hint="eastAsia"/>
        </w:rPr>
        <w:t>结果</w:t>
      </w:r>
    </w:p>
    <w:p w14:paraId="7CEF3634">
      <w:pPr>
        <w:pStyle w:val="117"/>
        <w:ind w:firstLine="480"/>
      </w:pPr>
      <w:r>
        <w:rPr>
          <w:rFonts w:hint="eastAsia"/>
        </w:rPr>
        <w:t>监测评价结果统计见表4.</w:t>
      </w:r>
      <w:r>
        <w:t>3-5</w:t>
      </w:r>
      <w:r>
        <w:rPr>
          <w:rFonts w:hint="eastAsia"/>
        </w:rPr>
        <w:t>。</w:t>
      </w:r>
    </w:p>
    <w:p w14:paraId="7FFF5263">
      <w:pPr>
        <w:pStyle w:val="118"/>
        <w:rPr>
          <w:rStyle w:val="124"/>
          <w:b/>
          <w:bCs/>
          <w:szCs w:val="28"/>
        </w:rPr>
      </w:pPr>
      <w:r>
        <w:rPr>
          <w:rStyle w:val="124"/>
          <w:rFonts w:hint="eastAsia"/>
          <w:b/>
          <w:bCs/>
          <w:szCs w:val="28"/>
        </w:rPr>
        <w:t>表4.</w:t>
      </w:r>
      <w:r>
        <w:rPr>
          <w:rStyle w:val="124"/>
          <w:b/>
          <w:bCs/>
          <w:szCs w:val="28"/>
        </w:rPr>
        <w:t>3-5</w:t>
      </w:r>
      <w:r>
        <w:rPr>
          <w:rStyle w:val="124"/>
          <w:rFonts w:hint="eastAsia"/>
          <w:b/>
          <w:bCs/>
          <w:szCs w:val="28"/>
        </w:rPr>
        <w:t xml:space="preserve">  特征污染物现状监测结果统计表</w:t>
      </w:r>
    </w:p>
    <w:tbl>
      <w:tblPr>
        <w:tblStyle w:val="68"/>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40"/>
        <w:gridCol w:w="1486"/>
        <w:gridCol w:w="2176"/>
        <w:gridCol w:w="1185"/>
        <w:gridCol w:w="1266"/>
        <w:gridCol w:w="1269"/>
        <w:gridCol w:w="1083"/>
      </w:tblGrid>
      <w:tr w14:paraId="1D6A5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54" w:type="dxa"/>
            <w:tcBorders>
              <w:top w:val="single" w:color="000000" w:sz="12" w:space="0"/>
              <w:left w:val="single" w:color="000000" w:sz="12" w:space="0"/>
              <w:bottom w:val="single" w:color="000000" w:sz="4" w:space="0"/>
              <w:right w:val="single" w:color="auto" w:sz="4" w:space="0"/>
            </w:tcBorders>
            <w:vAlign w:val="center"/>
          </w:tcPr>
          <w:p w14:paraId="01089695">
            <w:pPr>
              <w:pStyle w:val="133"/>
              <w:rPr>
                <w:b/>
                <w:bCs/>
              </w:rPr>
            </w:pPr>
            <w:r>
              <w:rPr>
                <w:rFonts w:hint="eastAsia"/>
                <w:b/>
                <w:bCs/>
              </w:rPr>
              <w:t>监测点位</w:t>
            </w:r>
          </w:p>
        </w:tc>
        <w:tc>
          <w:tcPr>
            <w:tcW w:w="1780" w:type="dxa"/>
            <w:tcBorders>
              <w:top w:val="single" w:color="000000" w:sz="12" w:space="0"/>
              <w:left w:val="single" w:color="auto" w:sz="4" w:space="0"/>
              <w:bottom w:val="single" w:color="000000" w:sz="4" w:space="0"/>
              <w:right w:val="single" w:color="000000" w:sz="4" w:space="0"/>
            </w:tcBorders>
            <w:vAlign w:val="center"/>
          </w:tcPr>
          <w:p w14:paraId="418573EC">
            <w:pPr>
              <w:pStyle w:val="133"/>
              <w:rPr>
                <w:b/>
                <w:bCs/>
              </w:rPr>
            </w:pPr>
            <w:r>
              <w:rPr>
                <w:rFonts w:hint="eastAsia"/>
                <w:b/>
                <w:bCs/>
              </w:rPr>
              <w:t>监测点位</w:t>
            </w:r>
          </w:p>
          <w:p w14:paraId="37BCFB81">
            <w:pPr>
              <w:pStyle w:val="133"/>
              <w:rPr>
                <w:b/>
                <w:bCs/>
              </w:rPr>
            </w:pPr>
            <w:r>
              <w:rPr>
                <w:rFonts w:hint="eastAsia"/>
                <w:b/>
                <w:bCs/>
              </w:rPr>
              <w:t>坐标</w:t>
            </w:r>
          </w:p>
        </w:tc>
        <w:tc>
          <w:tcPr>
            <w:tcW w:w="1231" w:type="dxa"/>
            <w:tcBorders>
              <w:top w:val="single" w:color="000000" w:sz="12" w:space="0"/>
              <w:left w:val="single" w:color="000000" w:sz="4" w:space="0"/>
              <w:bottom w:val="single" w:color="000000" w:sz="4" w:space="0"/>
              <w:right w:val="single" w:color="000000" w:sz="4" w:space="0"/>
            </w:tcBorders>
            <w:vAlign w:val="center"/>
          </w:tcPr>
          <w:p w14:paraId="68094FD7">
            <w:pPr>
              <w:pStyle w:val="133"/>
              <w:rPr>
                <w:b/>
                <w:bCs/>
              </w:rPr>
            </w:pPr>
            <w:r>
              <w:rPr>
                <w:rFonts w:hint="eastAsia"/>
                <w:b/>
                <w:bCs/>
              </w:rPr>
              <w:t>采样日期</w:t>
            </w:r>
          </w:p>
        </w:tc>
        <w:tc>
          <w:tcPr>
            <w:tcW w:w="1353" w:type="dxa"/>
            <w:tcBorders>
              <w:top w:val="single" w:color="000000" w:sz="12" w:space="0"/>
              <w:left w:val="single" w:color="000000" w:sz="4" w:space="0"/>
              <w:bottom w:val="single" w:color="000000" w:sz="4" w:space="0"/>
              <w:right w:val="single" w:color="000000" w:sz="4" w:space="0"/>
            </w:tcBorders>
            <w:vAlign w:val="center"/>
          </w:tcPr>
          <w:p w14:paraId="4848CBFD">
            <w:pPr>
              <w:pStyle w:val="133"/>
              <w:rPr>
                <w:b/>
                <w:bCs/>
              </w:rPr>
            </w:pPr>
            <w:r>
              <w:rPr>
                <w:rFonts w:hint="eastAsia"/>
                <w:b/>
                <w:bCs/>
              </w:rPr>
              <w:t>监测项目</w:t>
            </w:r>
          </w:p>
        </w:tc>
        <w:tc>
          <w:tcPr>
            <w:tcW w:w="1294" w:type="dxa"/>
            <w:tcBorders>
              <w:top w:val="single" w:color="000000" w:sz="12" w:space="0"/>
              <w:left w:val="single" w:color="000000" w:sz="4" w:space="0"/>
              <w:bottom w:val="single" w:color="000000" w:sz="4" w:space="0"/>
              <w:right w:val="single" w:color="000000" w:sz="4" w:space="0"/>
            </w:tcBorders>
            <w:vAlign w:val="center"/>
          </w:tcPr>
          <w:p w14:paraId="2BC67D6E">
            <w:pPr>
              <w:pStyle w:val="133"/>
              <w:rPr>
                <w:b/>
                <w:bCs/>
              </w:rPr>
            </w:pPr>
            <w:r>
              <w:rPr>
                <w:rFonts w:hint="eastAsia"/>
                <w:b/>
                <w:bCs/>
              </w:rPr>
              <w:t>浓度范围</w:t>
            </w:r>
          </w:p>
          <w:p w14:paraId="78C6BA9A">
            <w:pPr>
              <w:pStyle w:val="133"/>
              <w:rPr>
                <w:b/>
                <w:bCs/>
              </w:rPr>
            </w:pPr>
            <w:r>
              <w:rPr>
                <w:rFonts w:hint="eastAsia"/>
                <w:b/>
                <w:bCs/>
              </w:rPr>
              <w:t>（</w:t>
            </w:r>
            <w:r>
              <w:rPr>
                <w:b/>
                <w:bCs/>
              </w:rPr>
              <w:t>μg/m</w:t>
            </w:r>
            <w:r>
              <w:rPr>
                <w:b/>
                <w:bCs/>
                <w:vertAlign w:val="superscript"/>
              </w:rPr>
              <w:t>3</w:t>
            </w:r>
            <w:r>
              <w:rPr>
                <w:rFonts w:hint="eastAsia"/>
                <w:b/>
                <w:bCs/>
              </w:rPr>
              <w:t>）</w:t>
            </w:r>
          </w:p>
        </w:tc>
        <w:tc>
          <w:tcPr>
            <w:tcW w:w="1299" w:type="dxa"/>
            <w:tcBorders>
              <w:top w:val="single" w:color="000000" w:sz="12" w:space="0"/>
              <w:left w:val="single" w:color="000000" w:sz="4" w:space="0"/>
              <w:bottom w:val="single" w:color="000000" w:sz="4" w:space="0"/>
              <w:right w:val="single" w:color="000000" w:sz="4" w:space="0"/>
            </w:tcBorders>
            <w:vAlign w:val="center"/>
          </w:tcPr>
          <w:p w14:paraId="7AF19762">
            <w:pPr>
              <w:pStyle w:val="133"/>
              <w:rPr>
                <w:b/>
                <w:bCs/>
              </w:rPr>
            </w:pPr>
            <w:r>
              <w:rPr>
                <w:rFonts w:hint="eastAsia"/>
                <w:b/>
                <w:bCs/>
              </w:rPr>
              <w:t>标准限值（</w:t>
            </w:r>
            <w:r>
              <w:rPr>
                <w:b/>
                <w:bCs/>
              </w:rPr>
              <w:t>μg/m</w:t>
            </w:r>
            <w:r>
              <w:rPr>
                <w:b/>
                <w:bCs/>
                <w:vertAlign w:val="superscript"/>
              </w:rPr>
              <w:t>3</w:t>
            </w:r>
            <w:r>
              <w:rPr>
                <w:rFonts w:hint="eastAsia"/>
                <w:b/>
                <w:bCs/>
              </w:rPr>
              <w:t>）</w:t>
            </w:r>
          </w:p>
        </w:tc>
        <w:tc>
          <w:tcPr>
            <w:tcW w:w="1148" w:type="dxa"/>
            <w:tcBorders>
              <w:top w:val="single" w:color="000000" w:sz="12" w:space="0"/>
              <w:left w:val="single" w:color="000000" w:sz="4" w:space="0"/>
              <w:bottom w:val="single" w:color="000000" w:sz="4" w:space="0"/>
              <w:right w:val="single" w:color="000000" w:sz="12" w:space="0"/>
            </w:tcBorders>
            <w:vAlign w:val="center"/>
          </w:tcPr>
          <w:p w14:paraId="21498B1B">
            <w:pPr>
              <w:pStyle w:val="133"/>
              <w:rPr>
                <w:b/>
                <w:bCs/>
              </w:rPr>
            </w:pPr>
            <w:r>
              <w:rPr>
                <w:rFonts w:hint="eastAsia"/>
                <w:b/>
                <w:bCs/>
              </w:rPr>
              <w:t>最大占标率（</w:t>
            </w:r>
            <w:r>
              <w:rPr>
                <w:b/>
                <w:bCs/>
              </w:rPr>
              <w:t>%</w:t>
            </w:r>
            <w:r>
              <w:rPr>
                <w:rFonts w:hint="eastAsia"/>
                <w:b/>
                <w:bCs/>
              </w:rPr>
              <w:t>）</w:t>
            </w:r>
          </w:p>
        </w:tc>
      </w:tr>
      <w:tr w14:paraId="6AE39A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954" w:type="dxa"/>
            <w:vMerge w:val="restart"/>
            <w:tcBorders>
              <w:top w:val="single" w:color="000000" w:sz="4" w:space="0"/>
              <w:left w:val="single" w:color="000000" w:sz="12" w:space="0"/>
              <w:right w:val="single" w:color="auto" w:sz="4" w:space="0"/>
            </w:tcBorders>
            <w:vAlign w:val="center"/>
          </w:tcPr>
          <w:p w14:paraId="12DB260D">
            <w:pPr>
              <w:pStyle w:val="133"/>
            </w:pPr>
            <w:r>
              <w:rPr>
                <w:rFonts w:hint="eastAsia"/>
              </w:rPr>
              <w:t>厂址</w:t>
            </w:r>
          </w:p>
          <w:p w14:paraId="7C4F8C52">
            <w:pPr>
              <w:pStyle w:val="133"/>
            </w:pPr>
            <w:r>
              <w:rPr>
                <w:rFonts w:hint="eastAsia"/>
              </w:rPr>
              <w:t>下风向</w:t>
            </w:r>
          </w:p>
        </w:tc>
        <w:tc>
          <w:tcPr>
            <w:tcW w:w="1780" w:type="dxa"/>
            <w:vMerge w:val="restart"/>
            <w:tcBorders>
              <w:top w:val="single" w:color="000000" w:sz="4" w:space="0"/>
              <w:left w:val="single" w:color="auto" w:sz="4" w:space="0"/>
              <w:right w:val="single" w:color="000000" w:sz="4" w:space="0"/>
            </w:tcBorders>
            <w:vAlign w:val="center"/>
          </w:tcPr>
          <w:p w14:paraId="7E9EA0B5">
            <w:pPr>
              <w:pStyle w:val="133"/>
            </w:pPr>
          </w:p>
        </w:tc>
        <w:tc>
          <w:tcPr>
            <w:tcW w:w="1231" w:type="dxa"/>
            <w:vMerge w:val="restart"/>
            <w:tcBorders>
              <w:top w:val="single" w:color="000000" w:sz="4" w:space="0"/>
              <w:left w:val="single" w:color="000000" w:sz="4" w:space="0"/>
              <w:right w:val="single" w:color="000000" w:sz="4" w:space="0"/>
            </w:tcBorders>
            <w:vAlign w:val="center"/>
          </w:tcPr>
          <w:p w14:paraId="268839E4">
            <w:pPr>
              <w:pStyle w:val="133"/>
            </w:pPr>
            <w:r>
              <w:t>2024.12.15-2024.12.21</w:t>
            </w:r>
          </w:p>
        </w:tc>
        <w:tc>
          <w:tcPr>
            <w:tcW w:w="1353" w:type="dxa"/>
            <w:tcBorders>
              <w:top w:val="single" w:color="000000" w:sz="4" w:space="0"/>
              <w:left w:val="single" w:color="000000" w:sz="4" w:space="0"/>
              <w:bottom w:val="single" w:color="000000" w:sz="4" w:space="0"/>
              <w:right w:val="single" w:color="000000" w:sz="4" w:space="0"/>
            </w:tcBorders>
            <w:vAlign w:val="center"/>
          </w:tcPr>
          <w:p w14:paraId="5321964D">
            <w:pPr>
              <w:pStyle w:val="133"/>
            </w:pPr>
            <w:r>
              <w:t>TSP</w:t>
            </w:r>
          </w:p>
        </w:tc>
        <w:tc>
          <w:tcPr>
            <w:tcW w:w="1294" w:type="dxa"/>
            <w:tcBorders>
              <w:top w:val="single" w:color="000000" w:sz="4" w:space="0"/>
              <w:left w:val="single" w:color="000000" w:sz="4" w:space="0"/>
              <w:bottom w:val="single" w:color="000000" w:sz="4" w:space="0"/>
              <w:right w:val="single" w:color="000000" w:sz="4" w:space="0"/>
            </w:tcBorders>
            <w:vAlign w:val="center"/>
          </w:tcPr>
          <w:p w14:paraId="4A8FE3D6">
            <w:pPr>
              <w:pStyle w:val="133"/>
            </w:pPr>
            <w:r>
              <w:t>107-111</w:t>
            </w:r>
          </w:p>
        </w:tc>
        <w:tc>
          <w:tcPr>
            <w:tcW w:w="1299" w:type="dxa"/>
            <w:tcBorders>
              <w:top w:val="single" w:color="000000" w:sz="4" w:space="0"/>
              <w:left w:val="single" w:color="000000" w:sz="4" w:space="0"/>
              <w:bottom w:val="single" w:color="000000" w:sz="4" w:space="0"/>
              <w:right w:val="single" w:color="000000" w:sz="4" w:space="0"/>
            </w:tcBorders>
            <w:vAlign w:val="center"/>
          </w:tcPr>
          <w:p w14:paraId="0D2456BF">
            <w:pPr>
              <w:pStyle w:val="133"/>
            </w:pPr>
            <w:r>
              <w:rPr>
                <w:rFonts w:hint="eastAsia"/>
              </w:rPr>
              <w:t>300</w:t>
            </w:r>
          </w:p>
        </w:tc>
        <w:tc>
          <w:tcPr>
            <w:tcW w:w="1148" w:type="dxa"/>
            <w:tcBorders>
              <w:top w:val="single" w:color="000000" w:sz="4" w:space="0"/>
              <w:left w:val="single" w:color="000000" w:sz="4" w:space="0"/>
              <w:bottom w:val="single" w:color="000000" w:sz="4" w:space="0"/>
              <w:right w:val="single" w:color="000000" w:sz="12" w:space="0"/>
            </w:tcBorders>
            <w:vAlign w:val="center"/>
          </w:tcPr>
          <w:p w14:paraId="4620943C">
            <w:pPr>
              <w:pStyle w:val="133"/>
            </w:pPr>
            <w:r>
              <w:rPr>
                <w:rFonts w:hint="eastAsia"/>
              </w:rPr>
              <w:t>37</w:t>
            </w:r>
          </w:p>
        </w:tc>
      </w:tr>
      <w:tr w14:paraId="27558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right w:val="single" w:color="auto" w:sz="4" w:space="0"/>
            </w:tcBorders>
            <w:vAlign w:val="center"/>
          </w:tcPr>
          <w:p w14:paraId="389D1079">
            <w:pPr>
              <w:pStyle w:val="133"/>
            </w:pPr>
          </w:p>
        </w:tc>
        <w:tc>
          <w:tcPr>
            <w:tcW w:w="0" w:type="auto"/>
            <w:vMerge w:val="continue"/>
            <w:tcBorders>
              <w:left w:val="single" w:color="auto" w:sz="4" w:space="0"/>
              <w:right w:val="single" w:color="000000" w:sz="4" w:space="0"/>
            </w:tcBorders>
            <w:vAlign w:val="center"/>
          </w:tcPr>
          <w:p w14:paraId="7C8DD130">
            <w:pPr>
              <w:pStyle w:val="133"/>
            </w:pPr>
          </w:p>
        </w:tc>
        <w:tc>
          <w:tcPr>
            <w:tcW w:w="0" w:type="auto"/>
            <w:vMerge w:val="continue"/>
            <w:tcBorders>
              <w:left w:val="single" w:color="000000" w:sz="4" w:space="0"/>
              <w:right w:val="single" w:color="000000" w:sz="4" w:space="0"/>
            </w:tcBorders>
            <w:vAlign w:val="center"/>
          </w:tcPr>
          <w:p w14:paraId="679F1978">
            <w:pPr>
              <w:pStyle w:val="133"/>
            </w:pPr>
          </w:p>
        </w:tc>
        <w:tc>
          <w:tcPr>
            <w:tcW w:w="1353" w:type="dxa"/>
            <w:tcBorders>
              <w:top w:val="single" w:color="000000" w:sz="4" w:space="0"/>
              <w:left w:val="single" w:color="000000" w:sz="4" w:space="0"/>
              <w:bottom w:val="single" w:color="000000" w:sz="4" w:space="0"/>
              <w:right w:val="single" w:color="000000" w:sz="4" w:space="0"/>
            </w:tcBorders>
            <w:vAlign w:val="center"/>
          </w:tcPr>
          <w:p w14:paraId="5DA0F452">
            <w:pPr>
              <w:pStyle w:val="133"/>
            </w:pPr>
            <w:r>
              <w:rPr>
                <w:rFonts w:hint="eastAsia"/>
              </w:rPr>
              <w:t>苯并</w:t>
            </w:r>
            <w:r>
              <w:t>[a]</w:t>
            </w:r>
            <w:r>
              <w:rPr>
                <w:rFonts w:hint="eastAsia"/>
              </w:rPr>
              <w:t>芘</w:t>
            </w:r>
          </w:p>
        </w:tc>
        <w:tc>
          <w:tcPr>
            <w:tcW w:w="1294" w:type="dxa"/>
            <w:tcBorders>
              <w:top w:val="single" w:color="000000" w:sz="4" w:space="0"/>
              <w:left w:val="single" w:color="000000" w:sz="4" w:space="0"/>
              <w:bottom w:val="single" w:color="000000" w:sz="4" w:space="0"/>
              <w:right w:val="single" w:color="000000" w:sz="4" w:space="0"/>
            </w:tcBorders>
            <w:vAlign w:val="center"/>
          </w:tcPr>
          <w:p w14:paraId="02C9E4EE">
            <w:pPr>
              <w:pStyle w:val="133"/>
            </w:pPr>
            <w:r>
              <w:t>&lt;0.0009</w:t>
            </w:r>
          </w:p>
        </w:tc>
        <w:tc>
          <w:tcPr>
            <w:tcW w:w="1299" w:type="dxa"/>
            <w:tcBorders>
              <w:top w:val="single" w:color="000000" w:sz="4" w:space="0"/>
              <w:left w:val="single" w:color="000000" w:sz="4" w:space="0"/>
              <w:bottom w:val="single" w:color="000000" w:sz="4" w:space="0"/>
              <w:right w:val="single" w:color="000000" w:sz="4" w:space="0"/>
            </w:tcBorders>
            <w:vAlign w:val="center"/>
          </w:tcPr>
          <w:p w14:paraId="16602A99">
            <w:pPr>
              <w:pStyle w:val="133"/>
            </w:pPr>
            <w:r>
              <w:t>0.0025</w:t>
            </w:r>
          </w:p>
        </w:tc>
        <w:tc>
          <w:tcPr>
            <w:tcW w:w="1148" w:type="dxa"/>
            <w:tcBorders>
              <w:top w:val="single" w:color="000000" w:sz="4" w:space="0"/>
              <w:left w:val="single" w:color="000000" w:sz="4" w:space="0"/>
              <w:bottom w:val="single" w:color="000000" w:sz="4" w:space="0"/>
              <w:right w:val="single" w:color="000000" w:sz="12" w:space="0"/>
            </w:tcBorders>
            <w:vAlign w:val="center"/>
          </w:tcPr>
          <w:p w14:paraId="024EE28A">
            <w:pPr>
              <w:pStyle w:val="133"/>
            </w:pPr>
            <w:r>
              <w:t>36</w:t>
            </w:r>
          </w:p>
        </w:tc>
      </w:tr>
      <w:tr w14:paraId="5FA087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right w:val="single" w:color="auto" w:sz="4" w:space="0"/>
            </w:tcBorders>
            <w:vAlign w:val="center"/>
          </w:tcPr>
          <w:p w14:paraId="161D79B8">
            <w:pPr>
              <w:pStyle w:val="133"/>
            </w:pPr>
          </w:p>
        </w:tc>
        <w:tc>
          <w:tcPr>
            <w:tcW w:w="0" w:type="auto"/>
            <w:vMerge w:val="continue"/>
            <w:tcBorders>
              <w:left w:val="single" w:color="auto" w:sz="4" w:space="0"/>
              <w:right w:val="single" w:color="000000" w:sz="4" w:space="0"/>
            </w:tcBorders>
            <w:vAlign w:val="center"/>
          </w:tcPr>
          <w:p w14:paraId="03D344EA">
            <w:pPr>
              <w:pStyle w:val="133"/>
            </w:pPr>
          </w:p>
        </w:tc>
        <w:tc>
          <w:tcPr>
            <w:tcW w:w="0" w:type="auto"/>
            <w:vMerge w:val="continue"/>
            <w:tcBorders>
              <w:left w:val="single" w:color="000000" w:sz="4" w:space="0"/>
              <w:right w:val="single" w:color="000000" w:sz="4" w:space="0"/>
            </w:tcBorders>
            <w:vAlign w:val="center"/>
          </w:tcPr>
          <w:p w14:paraId="5B0779E8">
            <w:pPr>
              <w:pStyle w:val="133"/>
            </w:pPr>
          </w:p>
        </w:tc>
        <w:tc>
          <w:tcPr>
            <w:tcW w:w="1353" w:type="dxa"/>
            <w:tcBorders>
              <w:top w:val="single" w:color="000000" w:sz="4" w:space="0"/>
              <w:left w:val="single" w:color="000000" w:sz="4" w:space="0"/>
              <w:bottom w:val="single" w:color="000000" w:sz="4" w:space="0"/>
              <w:right w:val="single" w:color="000000" w:sz="4" w:space="0"/>
            </w:tcBorders>
            <w:vAlign w:val="center"/>
          </w:tcPr>
          <w:p w14:paraId="48DC9C43">
            <w:pPr>
              <w:pStyle w:val="133"/>
            </w:pPr>
            <w:r>
              <w:rPr>
                <w:rFonts w:hint="eastAsia"/>
              </w:rPr>
              <w:t>非甲烷总烃</w:t>
            </w:r>
          </w:p>
        </w:tc>
        <w:tc>
          <w:tcPr>
            <w:tcW w:w="1294" w:type="dxa"/>
            <w:tcBorders>
              <w:top w:val="single" w:color="000000" w:sz="4" w:space="0"/>
              <w:left w:val="single" w:color="000000" w:sz="4" w:space="0"/>
              <w:bottom w:val="single" w:color="000000" w:sz="4" w:space="0"/>
              <w:right w:val="single" w:color="000000" w:sz="4" w:space="0"/>
            </w:tcBorders>
            <w:vAlign w:val="center"/>
          </w:tcPr>
          <w:p w14:paraId="52638E28">
            <w:pPr>
              <w:pStyle w:val="133"/>
            </w:pPr>
            <w:r>
              <w:t>540</w:t>
            </w:r>
          </w:p>
        </w:tc>
        <w:tc>
          <w:tcPr>
            <w:tcW w:w="1299" w:type="dxa"/>
            <w:tcBorders>
              <w:top w:val="single" w:color="000000" w:sz="4" w:space="0"/>
              <w:left w:val="single" w:color="000000" w:sz="4" w:space="0"/>
              <w:bottom w:val="single" w:color="000000" w:sz="4" w:space="0"/>
              <w:right w:val="single" w:color="000000" w:sz="4" w:space="0"/>
            </w:tcBorders>
            <w:vAlign w:val="center"/>
          </w:tcPr>
          <w:p w14:paraId="505169E0">
            <w:pPr>
              <w:pStyle w:val="133"/>
            </w:pPr>
            <w:r>
              <w:t>2000</w:t>
            </w:r>
          </w:p>
        </w:tc>
        <w:tc>
          <w:tcPr>
            <w:tcW w:w="1148" w:type="dxa"/>
            <w:tcBorders>
              <w:top w:val="single" w:color="000000" w:sz="4" w:space="0"/>
              <w:left w:val="single" w:color="000000" w:sz="4" w:space="0"/>
              <w:bottom w:val="single" w:color="000000" w:sz="4" w:space="0"/>
              <w:right w:val="single" w:color="000000" w:sz="12" w:space="0"/>
            </w:tcBorders>
            <w:vAlign w:val="center"/>
          </w:tcPr>
          <w:p w14:paraId="5E578BF1">
            <w:pPr>
              <w:pStyle w:val="133"/>
            </w:pPr>
            <w:r>
              <w:t>27</w:t>
            </w:r>
          </w:p>
        </w:tc>
      </w:tr>
      <w:tr w14:paraId="5B2CE0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right w:val="single" w:color="auto" w:sz="4" w:space="0"/>
            </w:tcBorders>
            <w:vAlign w:val="center"/>
          </w:tcPr>
          <w:p w14:paraId="2C68CF4B">
            <w:pPr>
              <w:pStyle w:val="133"/>
            </w:pPr>
          </w:p>
        </w:tc>
        <w:tc>
          <w:tcPr>
            <w:tcW w:w="0" w:type="auto"/>
            <w:vMerge w:val="continue"/>
            <w:tcBorders>
              <w:left w:val="single" w:color="auto" w:sz="4" w:space="0"/>
              <w:right w:val="single" w:color="000000" w:sz="4" w:space="0"/>
            </w:tcBorders>
            <w:vAlign w:val="center"/>
          </w:tcPr>
          <w:p w14:paraId="4BE5291E">
            <w:pPr>
              <w:pStyle w:val="133"/>
            </w:pPr>
          </w:p>
        </w:tc>
        <w:tc>
          <w:tcPr>
            <w:tcW w:w="0" w:type="auto"/>
            <w:vMerge w:val="continue"/>
            <w:tcBorders>
              <w:left w:val="single" w:color="000000" w:sz="4" w:space="0"/>
              <w:right w:val="single" w:color="000000" w:sz="4" w:space="0"/>
            </w:tcBorders>
            <w:vAlign w:val="center"/>
          </w:tcPr>
          <w:p w14:paraId="31673892">
            <w:pPr>
              <w:pStyle w:val="133"/>
            </w:pPr>
          </w:p>
        </w:tc>
        <w:tc>
          <w:tcPr>
            <w:tcW w:w="1353" w:type="dxa"/>
            <w:tcBorders>
              <w:top w:val="single" w:color="000000" w:sz="4" w:space="0"/>
              <w:left w:val="single" w:color="000000" w:sz="4" w:space="0"/>
              <w:bottom w:val="single" w:color="000000" w:sz="4" w:space="0"/>
              <w:right w:val="single" w:color="000000" w:sz="4" w:space="0"/>
            </w:tcBorders>
            <w:vAlign w:val="center"/>
          </w:tcPr>
          <w:p w14:paraId="5FF1F641">
            <w:pPr>
              <w:pStyle w:val="133"/>
            </w:pPr>
            <w:r>
              <w:rPr>
                <w:rFonts w:hint="eastAsia"/>
              </w:rPr>
              <w:t>硫化氢</w:t>
            </w:r>
          </w:p>
        </w:tc>
        <w:tc>
          <w:tcPr>
            <w:tcW w:w="1294" w:type="dxa"/>
            <w:tcBorders>
              <w:top w:val="single" w:color="000000" w:sz="4" w:space="0"/>
              <w:left w:val="single" w:color="000000" w:sz="4" w:space="0"/>
              <w:bottom w:val="single" w:color="000000" w:sz="4" w:space="0"/>
              <w:right w:val="single" w:color="000000" w:sz="4" w:space="0"/>
            </w:tcBorders>
            <w:vAlign w:val="center"/>
          </w:tcPr>
          <w:p w14:paraId="608104D0">
            <w:pPr>
              <w:pStyle w:val="133"/>
            </w:pPr>
            <w:r>
              <w:rPr>
                <w:rFonts w:hint="eastAsia"/>
              </w:rPr>
              <w:t>&lt;</w:t>
            </w:r>
            <w:r>
              <w:t>5</w:t>
            </w:r>
          </w:p>
        </w:tc>
        <w:tc>
          <w:tcPr>
            <w:tcW w:w="1299" w:type="dxa"/>
            <w:tcBorders>
              <w:top w:val="single" w:color="000000" w:sz="4" w:space="0"/>
              <w:left w:val="single" w:color="000000" w:sz="4" w:space="0"/>
              <w:bottom w:val="single" w:color="000000" w:sz="4" w:space="0"/>
              <w:right w:val="single" w:color="000000" w:sz="4" w:space="0"/>
            </w:tcBorders>
            <w:vAlign w:val="center"/>
          </w:tcPr>
          <w:p w14:paraId="50A27A4D">
            <w:pPr>
              <w:pStyle w:val="133"/>
            </w:pPr>
            <w:r>
              <w:t>10</w:t>
            </w:r>
          </w:p>
        </w:tc>
        <w:tc>
          <w:tcPr>
            <w:tcW w:w="1148" w:type="dxa"/>
            <w:tcBorders>
              <w:top w:val="single" w:color="000000" w:sz="4" w:space="0"/>
              <w:left w:val="single" w:color="000000" w:sz="4" w:space="0"/>
              <w:bottom w:val="single" w:color="000000" w:sz="4" w:space="0"/>
              <w:right w:val="single" w:color="000000" w:sz="12" w:space="0"/>
            </w:tcBorders>
            <w:vAlign w:val="center"/>
          </w:tcPr>
          <w:p w14:paraId="043AB48B">
            <w:pPr>
              <w:pStyle w:val="133"/>
            </w:pPr>
            <w:r>
              <w:t>50</w:t>
            </w:r>
          </w:p>
        </w:tc>
      </w:tr>
      <w:tr w14:paraId="351407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right w:val="single" w:color="auto" w:sz="4" w:space="0"/>
            </w:tcBorders>
            <w:vAlign w:val="center"/>
          </w:tcPr>
          <w:p w14:paraId="63AAD50B">
            <w:pPr>
              <w:pStyle w:val="133"/>
            </w:pPr>
          </w:p>
        </w:tc>
        <w:tc>
          <w:tcPr>
            <w:tcW w:w="0" w:type="auto"/>
            <w:vMerge w:val="continue"/>
            <w:tcBorders>
              <w:left w:val="single" w:color="auto" w:sz="4" w:space="0"/>
              <w:right w:val="single" w:color="000000" w:sz="4" w:space="0"/>
            </w:tcBorders>
            <w:vAlign w:val="center"/>
          </w:tcPr>
          <w:p w14:paraId="2BBBF538">
            <w:pPr>
              <w:pStyle w:val="133"/>
            </w:pPr>
          </w:p>
        </w:tc>
        <w:tc>
          <w:tcPr>
            <w:tcW w:w="0" w:type="auto"/>
            <w:vMerge w:val="continue"/>
            <w:tcBorders>
              <w:left w:val="single" w:color="000000" w:sz="4" w:space="0"/>
              <w:right w:val="single" w:color="000000" w:sz="4" w:space="0"/>
            </w:tcBorders>
            <w:vAlign w:val="center"/>
          </w:tcPr>
          <w:p w14:paraId="64BB203C">
            <w:pPr>
              <w:pStyle w:val="133"/>
            </w:pPr>
          </w:p>
        </w:tc>
        <w:tc>
          <w:tcPr>
            <w:tcW w:w="1353" w:type="dxa"/>
            <w:tcBorders>
              <w:top w:val="single" w:color="000000" w:sz="4" w:space="0"/>
              <w:left w:val="single" w:color="000000" w:sz="4" w:space="0"/>
              <w:bottom w:val="single" w:color="000000" w:sz="4" w:space="0"/>
              <w:right w:val="single" w:color="000000" w:sz="4" w:space="0"/>
            </w:tcBorders>
            <w:vAlign w:val="center"/>
          </w:tcPr>
          <w:p w14:paraId="79D09528">
            <w:pPr>
              <w:pStyle w:val="133"/>
            </w:pPr>
            <w:r>
              <w:rPr>
                <w:rFonts w:hint="eastAsia"/>
              </w:rPr>
              <w:t>氨</w:t>
            </w:r>
          </w:p>
        </w:tc>
        <w:tc>
          <w:tcPr>
            <w:tcW w:w="1294" w:type="dxa"/>
            <w:tcBorders>
              <w:top w:val="single" w:color="000000" w:sz="4" w:space="0"/>
              <w:left w:val="single" w:color="000000" w:sz="4" w:space="0"/>
              <w:bottom w:val="single" w:color="000000" w:sz="4" w:space="0"/>
              <w:right w:val="single" w:color="000000" w:sz="4" w:space="0"/>
            </w:tcBorders>
            <w:vAlign w:val="center"/>
          </w:tcPr>
          <w:p w14:paraId="51F706EE">
            <w:pPr>
              <w:pStyle w:val="133"/>
            </w:pPr>
            <w:r>
              <w:t>&lt;1.5</w:t>
            </w:r>
          </w:p>
        </w:tc>
        <w:tc>
          <w:tcPr>
            <w:tcW w:w="1299" w:type="dxa"/>
            <w:tcBorders>
              <w:top w:val="single" w:color="000000" w:sz="4" w:space="0"/>
              <w:left w:val="single" w:color="000000" w:sz="4" w:space="0"/>
              <w:bottom w:val="single" w:color="000000" w:sz="4" w:space="0"/>
              <w:right w:val="single" w:color="000000" w:sz="4" w:space="0"/>
            </w:tcBorders>
            <w:vAlign w:val="center"/>
          </w:tcPr>
          <w:p w14:paraId="0CD1CBC7">
            <w:pPr>
              <w:pStyle w:val="133"/>
            </w:pPr>
            <w:r>
              <w:t>200</w:t>
            </w:r>
          </w:p>
        </w:tc>
        <w:tc>
          <w:tcPr>
            <w:tcW w:w="1148" w:type="dxa"/>
            <w:tcBorders>
              <w:top w:val="single" w:color="000000" w:sz="4" w:space="0"/>
              <w:left w:val="single" w:color="000000" w:sz="4" w:space="0"/>
              <w:bottom w:val="single" w:color="000000" w:sz="4" w:space="0"/>
              <w:right w:val="single" w:color="000000" w:sz="12" w:space="0"/>
            </w:tcBorders>
            <w:vAlign w:val="center"/>
          </w:tcPr>
          <w:p w14:paraId="678359AC">
            <w:pPr>
              <w:pStyle w:val="133"/>
            </w:pPr>
            <w:r>
              <w:t>0.75</w:t>
            </w:r>
          </w:p>
        </w:tc>
      </w:tr>
      <w:tr w14:paraId="311068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right w:val="single" w:color="auto" w:sz="4" w:space="0"/>
            </w:tcBorders>
            <w:vAlign w:val="center"/>
          </w:tcPr>
          <w:p w14:paraId="5C63640B">
            <w:pPr>
              <w:pStyle w:val="133"/>
            </w:pPr>
          </w:p>
        </w:tc>
        <w:tc>
          <w:tcPr>
            <w:tcW w:w="0" w:type="auto"/>
            <w:vMerge w:val="continue"/>
            <w:tcBorders>
              <w:left w:val="single" w:color="auto" w:sz="4" w:space="0"/>
              <w:right w:val="single" w:color="000000" w:sz="4" w:space="0"/>
            </w:tcBorders>
            <w:vAlign w:val="center"/>
          </w:tcPr>
          <w:p w14:paraId="6C01E404">
            <w:pPr>
              <w:pStyle w:val="133"/>
            </w:pPr>
          </w:p>
        </w:tc>
        <w:tc>
          <w:tcPr>
            <w:tcW w:w="0" w:type="auto"/>
            <w:vMerge w:val="continue"/>
            <w:tcBorders>
              <w:left w:val="single" w:color="000000" w:sz="4" w:space="0"/>
              <w:right w:val="single" w:color="000000" w:sz="4" w:space="0"/>
            </w:tcBorders>
            <w:vAlign w:val="center"/>
          </w:tcPr>
          <w:p w14:paraId="1F956E7B">
            <w:pPr>
              <w:pStyle w:val="133"/>
            </w:pPr>
          </w:p>
        </w:tc>
        <w:tc>
          <w:tcPr>
            <w:tcW w:w="1353" w:type="dxa"/>
            <w:tcBorders>
              <w:top w:val="single" w:color="000000" w:sz="4" w:space="0"/>
              <w:left w:val="single" w:color="000000" w:sz="4" w:space="0"/>
              <w:bottom w:val="single" w:color="000000" w:sz="4" w:space="0"/>
              <w:right w:val="single" w:color="000000" w:sz="4" w:space="0"/>
            </w:tcBorders>
            <w:vAlign w:val="center"/>
          </w:tcPr>
          <w:p w14:paraId="42BC366E">
            <w:pPr>
              <w:pStyle w:val="133"/>
            </w:pPr>
            <w:r>
              <w:rPr>
                <w:rFonts w:hint="eastAsia"/>
              </w:rPr>
              <w:t>氯化氢</w:t>
            </w:r>
          </w:p>
        </w:tc>
        <w:tc>
          <w:tcPr>
            <w:tcW w:w="1294" w:type="dxa"/>
            <w:tcBorders>
              <w:top w:val="single" w:color="000000" w:sz="4" w:space="0"/>
              <w:left w:val="single" w:color="000000" w:sz="4" w:space="0"/>
              <w:bottom w:val="single" w:color="000000" w:sz="4" w:space="0"/>
              <w:right w:val="single" w:color="000000" w:sz="4" w:space="0"/>
            </w:tcBorders>
            <w:vAlign w:val="center"/>
          </w:tcPr>
          <w:p w14:paraId="4980FA52">
            <w:pPr>
              <w:pStyle w:val="133"/>
            </w:pPr>
            <w:r>
              <w:t>&lt;2</w:t>
            </w:r>
          </w:p>
        </w:tc>
        <w:tc>
          <w:tcPr>
            <w:tcW w:w="1299" w:type="dxa"/>
            <w:tcBorders>
              <w:top w:val="single" w:color="000000" w:sz="4" w:space="0"/>
              <w:left w:val="single" w:color="000000" w:sz="4" w:space="0"/>
              <w:bottom w:val="single" w:color="000000" w:sz="4" w:space="0"/>
              <w:right w:val="single" w:color="000000" w:sz="4" w:space="0"/>
            </w:tcBorders>
            <w:vAlign w:val="center"/>
          </w:tcPr>
          <w:p w14:paraId="740FE5E4">
            <w:pPr>
              <w:pStyle w:val="133"/>
            </w:pPr>
            <w:r>
              <w:t>50</w:t>
            </w:r>
          </w:p>
        </w:tc>
        <w:tc>
          <w:tcPr>
            <w:tcW w:w="1148" w:type="dxa"/>
            <w:tcBorders>
              <w:top w:val="single" w:color="000000" w:sz="4" w:space="0"/>
              <w:left w:val="single" w:color="000000" w:sz="4" w:space="0"/>
              <w:bottom w:val="single" w:color="000000" w:sz="4" w:space="0"/>
              <w:right w:val="single" w:color="000000" w:sz="12" w:space="0"/>
            </w:tcBorders>
            <w:vAlign w:val="center"/>
          </w:tcPr>
          <w:p w14:paraId="20F34E52">
            <w:pPr>
              <w:pStyle w:val="133"/>
            </w:pPr>
            <w:r>
              <w:t>4</w:t>
            </w:r>
          </w:p>
        </w:tc>
      </w:tr>
      <w:tr w14:paraId="671C29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right w:val="single" w:color="auto" w:sz="4" w:space="0"/>
            </w:tcBorders>
            <w:vAlign w:val="center"/>
          </w:tcPr>
          <w:p w14:paraId="5D7C052A">
            <w:pPr>
              <w:pStyle w:val="133"/>
            </w:pPr>
          </w:p>
        </w:tc>
        <w:tc>
          <w:tcPr>
            <w:tcW w:w="0" w:type="auto"/>
            <w:vMerge w:val="continue"/>
            <w:tcBorders>
              <w:left w:val="single" w:color="auto" w:sz="4" w:space="0"/>
              <w:right w:val="single" w:color="000000" w:sz="4" w:space="0"/>
            </w:tcBorders>
            <w:vAlign w:val="center"/>
          </w:tcPr>
          <w:p w14:paraId="79DEF2A6">
            <w:pPr>
              <w:pStyle w:val="133"/>
            </w:pPr>
          </w:p>
        </w:tc>
        <w:tc>
          <w:tcPr>
            <w:tcW w:w="0" w:type="auto"/>
            <w:vMerge w:val="continue"/>
            <w:tcBorders>
              <w:left w:val="single" w:color="000000" w:sz="4" w:space="0"/>
              <w:right w:val="single" w:color="000000" w:sz="4" w:space="0"/>
            </w:tcBorders>
            <w:vAlign w:val="center"/>
          </w:tcPr>
          <w:p w14:paraId="790FB4B3">
            <w:pPr>
              <w:pStyle w:val="133"/>
            </w:pPr>
          </w:p>
        </w:tc>
        <w:tc>
          <w:tcPr>
            <w:tcW w:w="1353" w:type="dxa"/>
            <w:tcBorders>
              <w:top w:val="single" w:color="000000" w:sz="4" w:space="0"/>
              <w:left w:val="single" w:color="000000" w:sz="4" w:space="0"/>
              <w:bottom w:val="single" w:color="000000" w:sz="4" w:space="0"/>
              <w:right w:val="single" w:color="000000" w:sz="4" w:space="0"/>
            </w:tcBorders>
            <w:vAlign w:val="center"/>
          </w:tcPr>
          <w:p w14:paraId="6A943488">
            <w:pPr>
              <w:pStyle w:val="133"/>
            </w:pPr>
            <w:r>
              <w:rPr>
                <w:rFonts w:hint="eastAsia"/>
              </w:rPr>
              <w:t>苯</w:t>
            </w:r>
          </w:p>
        </w:tc>
        <w:tc>
          <w:tcPr>
            <w:tcW w:w="1294" w:type="dxa"/>
            <w:tcBorders>
              <w:top w:val="single" w:color="000000" w:sz="4" w:space="0"/>
              <w:left w:val="single" w:color="000000" w:sz="4" w:space="0"/>
              <w:bottom w:val="single" w:color="000000" w:sz="4" w:space="0"/>
              <w:right w:val="single" w:color="000000" w:sz="4" w:space="0"/>
            </w:tcBorders>
            <w:vAlign w:val="center"/>
          </w:tcPr>
          <w:p w14:paraId="52B028D6">
            <w:pPr>
              <w:pStyle w:val="133"/>
            </w:pPr>
            <w:r>
              <w:t>&lt;1.5</w:t>
            </w:r>
          </w:p>
        </w:tc>
        <w:tc>
          <w:tcPr>
            <w:tcW w:w="1299" w:type="dxa"/>
            <w:tcBorders>
              <w:top w:val="single" w:color="000000" w:sz="4" w:space="0"/>
              <w:left w:val="single" w:color="000000" w:sz="4" w:space="0"/>
              <w:bottom w:val="single" w:color="000000" w:sz="4" w:space="0"/>
              <w:right w:val="single" w:color="000000" w:sz="4" w:space="0"/>
            </w:tcBorders>
            <w:vAlign w:val="center"/>
          </w:tcPr>
          <w:p w14:paraId="4B1B7501">
            <w:pPr>
              <w:pStyle w:val="133"/>
            </w:pPr>
            <w:r>
              <w:t>110</w:t>
            </w:r>
          </w:p>
        </w:tc>
        <w:tc>
          <w:tcPr>
            <w:tcW w:w="1148" w:type="dxa"/>
            <w:tcBorders>
              <w:top w:val="single" w:color="000000" w:sz="4" w:space="0"/>
              <w:left w:val="single" w:color="000000" w:sz="4" w:space="0"/>
              <w:bottom w:val="single" w:color="000000" w:sz="4" w:space="0"/>
              <w:right w:val="single" w:color="000000" w:sz="12" w:space="0"/>
            </w:tcBorders>
            <w:vAlign w:val="center"/>
          </w:tcPr>
          <w:p w14:paraId="77648A57">
            <w:pPr>
              <w:pStyle w:val="133"/>
            </w:pPr>
            <w:r>
              <w:t>1.36</w:t>
            </w:r>
          </w:p>
        </w:tc>
      </w:tr>
      <w:tr w14:paraId="45E3B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right w:val="single" w:color="auto" w:sz="4" w:space="0"/>
            </w:tcBorders>
            <w:vAlign w:val="center"/>
          </w:tcPr>
          <w:p w14:paraId="3E7BD95D">
            <w:pPr>
              <w:pStyle w:val="133"/>
            </w:pPr>
          </w:p>
        </w:tc>
        <w:tc>
          <w:tcPr>
            <w:tcW w:w="0" w:type="auto"/>
            <w:vMerge w:val="continue"/>
            <w:tcBorders>
              <w:left w:val="single" w:color="auto" w:sz="4" w:space="0"/>
              <w:right w:val="single" w:color="000000" w:sz="4" w:space="0"/>
            </w:tcBorders>
            <w:vAlign w:val="center"/>
          </w:tcPr>
          <w:p w14:paraId="304E9A5B">
            <w:pPr>
              <w:pStyle w:val="133"/>
            </w:pPr>
          </w:p>
        </w:tc>
        <w:tc>
          <w:tcPr>
            <w:tcW w:w="0" w:type="auto"/>
            <w:vMerge w:val="continue"/>
            <w:tcBorders>
              <w:left w:val="single" w:color="000000" w:sz="4" w:space="0"/>
              <w:right w:val="single" w:color="000000" w:sz="4" w:space="0"/>
            </w:tcBorders>
            <w:vAlign w:val="center"/>
          </w:tcPr>
          <w:p w14:paraId="5284592B">
            <w:pPr>
              <w:pStyle w:val="133"/>
            </w:pPr>
          </w:p>
        </w:tc>
        <w:tc>
          <w:tcPr>
            <w:tcW w:w="1353" w:type="dxa"/>
            <w:tcBorders>
              <w:top w:val="single" w:color="000000" w:sz="4" w:space="0"/>
              <w:left w:val="single" w:color="000000" w:sz="4" w:space="0"/>
              <w:bottom w:val="single" w:color="000000" w:sz="4" w:space="0"/>
              <w:right w:val="single" w:color="000000" w:sz="4" w:space="0"/>
            </w:tcBorders>
            <w:vAlign w:val="center"/>
          </w:tcPr>
          <w:p w14:paraId="3A5DA4BB">
            <w:pPr>
              <w:pStyle w:val="133"/>
            </w:pPr>
            <w:r>
              <w:rPr>
                <w:rFonts w:hint="eastAsia"/>
              </w:rPr>
              <w:t>氰化氢</w:t>
            </w:r>
          </w:p>
        </w:tc>
        <w:tc>
          <w:tcPr>
            <w:tcW w:w="1294" w:type="dxa"/>
            <w:tcBorders>
              <w:top w:val="single" w:color="000000" w:sz="4" w:space="0"/>
              <w:left w:val="single" w:color="000000" w:sz="4" w:space="0"/>
              <w:bottom w:val="single" w:color="000000" w:sz="4" w:space="0"/>
              <w:right w:val="single" w:color="000000" w:sz="4" w:space="0"/>
            </w:tcBorders>
            <w:vAlign w:val="center"/>
          </w:tcPr>
          <w:p w14:paraId="3585792B">
            <w:pPr>
              <w:pStyle w:val="133"/>
            </w:pPr>
            <w:r>
              <w:t>&lt;2</w:t>
            </w:r>
          </w:p>
        </w:tc>
        <w:tc>
          <w:tcPr>
            <w:tcW w:w="1299" w:type="dxa"/>
            <w:tcBorders>
              <w:top w:val="single" w:color="000000" w:sz="4" w:space="0"/>
              <w:left w:val="single" w:color="000000" w:sz="4" w:space="0"/>
              <w:bottom w:val="single" w:color="000000" w:sz="4" w:space="0"/>
              <w:right w:val="single" w:color="000000" w:sz="4" w:space="0"/>
            </w:tcBorders>
            <w:vAlign w:val="center"/>
          </w:tcPr>
          <w:p w14:paraId="5C863B4A">
            <w:pPr>
              <w:pStyle w:val="133"/>
            </w:pPr>
            <w:r>
              <w:t>1900</w:t>
            </w:r>
          </w:p>
        </w:tc>
        <w:tc>
          <w:tcPr>
            <w:tcW w:w="1148" w:type="dxa"/>
            <w:tcBorders>
              <w:top w:val="single" w:color="000000" w:sz="4" w:space="0"/>
              <w:left w:val="single" w:color="000000" w:sz="4" w:space="0"/>
              <w:bottom w:val="single" w:color="000000" w:sz="4" w:space="0"/>
              <w:right w:val="single" w:color="000000" w:sz="12" w:space="0"/>
            </w:tcBorders>
            <w:vAlign w:val="center"/>
          </w:tcPr>
          <w:p w14:paraId="249D6977">
            <w:pPr>
              <w:pStyle w:val="133"/>
            </w:pPr>
            <w:r>
              <w:t>0.11</w:t>
            </w:r>
          </w:p>
        </w:tc>
      </w:tr>
      <w:tr w14:paraId="4E1CB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tcBorders>
              <w:left w:val="single" w:color="000000" w:sz="12" w:space="0"/>
              <w:bottom w:val="single" w:color="000000" w:sz="12" w:space="0"/>
              <w:right w:val="single" w:color="auto" w:sz="4" w:space="0"/>
            </w:tcBorders>
            <w:vAlign w:val="center"/>
          </w:tcPr>
          <w:p w14:paraId="4CD90FEA">
            <w:pPr>
              <w:pStyle w:val="133"/>
            </w:pPr>
          </w:p>
        </w:tc>
        <w:tc>
          <w:tcPr>
            <w:tcW w:w="0" w:type="auto"/>
            <w:vMerge w:val="continue"/>
            <w:tcBorders>
              <w:left w:val="single" w:color="auto" w:sz="4" w:space="0"/>
              <w:bottom w:val="single" w:color="000000" w:sz="12" w:space="0"/>
              <w:right w:val="single" w:color="000000" w:sz="4" w:space="0"/>
            </w:tcBorders>
            <w:vAlign w:val="center"/>
          </w:tcPr>
          <w:p w14:paraId="3E445C93">
            <w:pPr>
              <w:pStyle w:val="133"/>
            </w:pPr>
          </w:p>
        </w:tc>
        <w:tc>
          <w:tcPr>
            <w:tcW w:w="0" w:type="auto"/>
            <w:vMerge w:val="continue"/>
            <w:tcBorders>
              <w:left w:val="single" w:color="000000" w:sz="4" w:space="0"/>
              <w:bottom w:val="single" w:color="000000" w:sz="12" w:space="0"/>
              <w:right w:val="single" w:color="000000" w:sz="4" w:space="0"/>
            </w:tcBorders>
            <w:vAlign w:val="center"/>
          </w:tcPr>
          <w:p w14:paraId="5FA041B3">
            <w:pPr>
              <w:pStyle w:val="133"/>
            </w:pPr>
          </w:p>
        </w:tc>
        <w:tc>
          <w:tcPr>
            <w:tcW w:w="1353" w:type="dxa"/>
            <w:tcBorders>
              <w:top w:val="single" w:color="000000" w:sz="4" w:space="0"/>
              <w:left w:val="single" w:color="000000" w:sz="4" w:space="0"/>
              <w:bottom w:val="single" w:color="000000" w:sz="12" w:space="0"/>
              <w:right w:val="single" w:color="000000" w:sz="4" w:space="0"/>
            </w:tcBorders>
            <w:vAlign w:val="center"/>
          </w:tcPr>
          <w:p w14:paraId="2205691D">
            <w:pPr>
              <w:pStyle w:val="133"/>
            </w:pPr>
            <w:r>
              <w:rPr>
                <w:rFonts w:hint="eastAsia"/>
              </w:rPr>
              <w:t>酚类化合物</w:t>
            </w:r>
          </w:p>
        </w:tc>
        <w:tc>
          <w:tcPr>
            <w:tcW w:w="1294" w:type="dxa"/>
            <w:tcBorders>
              <w:top w:val="single" w:color="000000" w:sz="4" w:space="0"/>
              <w:left w:val="single" w:color="000000" w:sz="4" w:space="0"/>
              <w:bottom w:val="single" w:color="000000" w:sz="12" w:space="0"/>
              <w:right w:val="single" w:color="000000" w:sz="4" w:space="0"/>
            </w:tcBorders>
            <w:vAlign w:val="center"/>
          </w:tcPr>
          <w:p w14:paraId="449E4564">
            <w:pPr>
              <w:pStyle w:val="133"/>
            </w:pPr>
            <w:r>
              <w:rPr>
                <w:rFonts w:hint="eastAsia"/>
              </w:rPr>
              <w:t>＜</w:t>
            </w:r>
            <w:r>
              <w:t>3</w:t>
            </w:r>
          </w:p>
        </w:tc>
        <w:tc>
          <w:tcPr>
            <w:tcW w:w="1299" w:type="dxa"/>
            <w:tcBorders>
              <w:top w:val="single" w:color="000000" w:sz="4" w:space="0"/>
              <w:left w:val="single" w:color="000000" w:sz="4" w:space="0"/>
              <w:bottom w:val="single" w:color="000000" w:sz="12" w:space="0"/>
              <w:right w:val="single" w:color="000000" w:sz="4" w:space="0"/>
            </w:tcBorders>
            <w:vAlign w:val="center"/>
          </w:tcPr>
          <w:p w14:paraId="06D8EE97">
            <w:pPr>
              <w:pStyle w:val="133"/>
            </w:pPr>
            <w:r>
              <w:t>115000</w:t>
            </w:r>
          </w:p>
        </w:tc>
        <w:tc>
          <w:tcPr>
            <w:tcW w:w="1148" w:type="dxa"/>
            <w:tcBorders>
              <w:top w:val="single" w:color="000000" w:sz="4" w:space="0"/>
              <w:left w:val="single" w:color="000000" w:sz="4" w:space="0"/>
              <w:bottom w:val="single" w:color="000000" w:sz="12" w:space="0"/>
              <w:right w:val="single" w:color="000000" w:sz="12" w:space="0"/>
            </w:tcBorders>
            <w:vAlign w:val="center"/>
          </w:tcPr>
          <w:p w14:paraId="4B45C17D">
            <w:pPr>
              <w:pStyle w:val="133"/>
            </w:pPr>
            <w:r>
              <w:t>0.003</w:t>
            </w:r>
          </w:p>
        </w:tc>
      </w:tr>
    </w:tbl>
    <w:p w14:paraId="3FF75B84">
      <w:pPr>
        <w:pStyle w:val="133"/>
      </w:pPr>
    </w:p>
    <w:p w14:paraId="0F7E9F56">
      <w:pPr>
        <w:pStyle w:val="117"/>
        <w:ind w:firstLine="480"/>
      </w:pPr>
      <w:r>
        <w:rPr>
          <w:rFonts w:hint="eastAsia"/>
        </w:rPr>
        <w:t>（</w:t>
      </w:r>
      <w:r>
        <w:t>6</w:t>
      </w:r>
      <w:r>
        <w:rPr>
          <w:rFonts w:hint="eastAsia"/>
        </w:rPr>
        <w:t>）</w:t>
      </w:r>
      <w:r>
        <w:t>监测</w:t>
      </w:r>
      <w:r>
        <w:rPr>
          <w:rFonts w:hint="eastAsia"/>
        </w:rPr>
        <w:t>结果分析</w:t>
      </w:r>
    </w:p>
    <w:p w14:paraId="07B36B8E">
      <w:pPr>
        <w:pStyle w:val="117"/>
        <w:ind w:firstLine="480"/>
      </w:pPr>
      <w:r>
        <w:rPr>
          <w:rFonts w:hint="eastAsia"/>
        </w:rPr>
        <w:t>评价可知，监测点TSP、苯并[a]芘满足《环境空气质量标准》（GB3095-2012）中的二级标准限值；苯、HCl、N</w:t>
      </w:r>
      <w:r>
        <w:t>H</w:t>
      </w:r>
      <w:r>
        <w:rPr>
          <w:vertAlign w:val="subscript"/>
        </w:rPr>
        <w:t>3</w:t>
      </w:r>
      <w:r>
        <w:rPr>
          <w:rFonts w:hint="eastAsia"/>
        </w:rPr>
        <w:t>和H</w:t>
      </w:r>
      <w:r>
        <w:rPr>
          <w:vertAlign w:val="subscript"/>
        </w:rPr>
        <w:t>2</w:t>
      </w:r>
      <w:r>
        <w:t>S</w:t>
      </w:r>
      <w:r>
        <w:rPr>
          <w:rFonts w:hint="eastAsia"/>
        </w:rPr>
        <w:t>满足《环境影响评价技术导则 大气环境》（HJ2.2-2018）附录D中表D.1其他污染物空气质量浓度参考限值；N</w:t>
      </w:r>
      <w:r>
        <w:t>MHC</w:t>
      </w:r>
      <w:r>
        <w:rPr>
          <w:rFonts w:hint="eastAsia"/>
        </w:rPr>
        <w:t>、氰化氢、酚类满足《大气污染物综合排放标准详解》中一次浓度限值，区域环境空气质量现状较好。</w:t>
      </w:r>
    </w:p>
    <w:p w14:paraId="0931DABD">
      <w:pPr>
        <w:pStyle w:val="946"/>
      </w:pPr>
      <w:bookmarkStart w:id="423" w:name="_Toc205291390"/>
      <w:r>
        <w:rPr>
          <w:rFonts w:hint="eastAsia"/>
        </w:rPr>
        <w:t>水</w:t>
      </w:r>
      <w:r>
        <w:t>环境质量现状</w:t>
      </w:r>
      <w:bookmarkEnd w:id="423"/>
    </w:p>
    <w:p w14:paraId="58A14852">
      <w:pPr>
        <w:pStyle w:val="138"/>
        <w:rPr>
          <w:rFonts w:hint="eastAsia"/>
        </w:rPr>
      </w:pPr>
      <w:r>
        <w:rPr>
          <w:rFonts w:hint="eastAsia"/>
        </w:rPr>
        <w:t>地表水质量现状</w:t>
      </w:r>
    </w:p>
    <w:p w14:paraId="3E604C74">
      <w:pPr>
        <w:pStyle w:val="117"/>
        <w:ind w:firstLine="480"/>
      </w:pPr>
      <w:r>
        <w:t>项目附近无地表水体</w:t>
      </w:r>
      <w:r>
        <w:rPr>
          <w:rFonts w:hint="eastAsia"/>
        </w:rPr>
        <w:t>，</w:t>
      </w:r>
      <w:r>
        <w:t>生产废水处理后全部回用，不外排，生活</w:t>
      </w:r>
      <w:r>
        <w:rPr>
          <w:rFonts w:hint="eastAsia"/>
        </w:rPr>
        <w:t>污水</w:t>
      </w:r>
      <w:r>
        <w:t>经处理后</w:t>
      </w:r>
      <w:r>
        <w:rPr>
          <w:rFonts w:hint="eastAsia"/>
        </w:rPr>
        <w:t>部分回用于绿化和洒水抑尘，部分排至园区污水处理厂</w:t>
      </w:r>
      <w:r>
        <w:t>。根据《环境影响评价技术导则—地</w:t>
      </w:r>
      <w:r>
        <w:rPr>
          <w:rFonts w:hint="eastAsia"/>
        </w:rPr>
        <w:t>表</w:t>
      </w:r>
      <w:r>
        <w:t>水环境》（HJ/T2.3-93）中的规定，确定本次</w:t>
      </w:r>
      <w:r>
        <w:rPr>
          <w:rFonts w:hint="eastAsia"/>
        </w:rPr>
        <w:t>地表</w:t>
      </w:r>
      <w:r>
        <w:t>水环境影响评价等级为三级</w:t>
      </w:r>
      <w:r>
        <w:rPr>
          <w:rFonts w:hint="eastAsia"/>
        </w:rPr>
        <w:t>B</w:t>
      </w:r>
      <w:r>
        <w:t>。</w:t>
      </w:r>
    </w:p>
    <w:p w14:paraId="0F61CFBE">
      <w:pPr>
        <w:pStyle w:val="138"/>
        <w:rPr>
          <w:rFonts w:hint="eastAsia"/>
        </w:rPr>
      </w:pPr>
      <w:r>
        <w:rPr>
          <w:rFonts w:hint="eastAsia"/>
        </w:rPr>
        <w:t>地下水质量现状</w:t>
      </w:r>
    </w:p>
    <w:p w14:paraId="366B5815">
      <w:pPr>
        <w:pStyle w:val="117"/>
        <w:ind w:firstLine="480"/>
      </w:pPr>
      <w:bookmarkStart w:id="424" w:name="_Hlk160895973"/>
      <w:r>
        <w:rPr>
          <w:rFonts w:hint="eastAsia"/>
        </w:rPr>
        <w:t>（1）监测点位布设</w:t>
      </w:r>
    </w:p>
    <w:p w14:paraId="4F1EEFF9">
      <w:pPr>
        <w:pStyle w:val="117"/>
        <w:ind w:firstLine="480"/>
      </w:pPr>
      <w:r>
        <w:t>依据《环境影响评价技术导则地下水》（HJ610-2016）：二级评价项目地下水水质监测点应不少于5个，原则上建设项目场地上游和两侧的地下水水质监测点均不得少于1个，建设项目场地及其下游影响区的地下水水质监测点不得少于2个</w:t>
      </w:r>
      <w:r>
        <w:rPr>
          <w:rFonts w:hint="eastAsia"/>
        </w:rPr>
        <w:t>。本次地下水环境质量现状调查采用引用监测数据的方式。其中1#～5#为地下水水质监测点，6#～10#为地下水水位监测点。</w:t>
      </w:r>
    </w:p>
    <w:p w14:paraId="70E91532">
      <w:pPr>
        <w:pStyle w:val="117"/>
        <w:ind w:firstLine="480"/>
      </w:pPr>
      <w:r>
        <w:rPr>
          <w:rFonts w:hint="eastAsia"/>
        </w:rPr>
        <w:t>监测点位详见表4.4-1及图4.4-1。</w:t>
      </w:r>
    </w:p>
    <w:p w14:paraId="38DF1507">
      <w:pPr>
        <w:pStyle w:val="118"/>
        <w:rPr>
          <w:snapToGrid w:val="0"/>
        </w:rPr>
      </w:pPr>
      <w:r>
        <w:rPr>
          <w:rFonts w:hint="eastAsia"/>
          <w:snapToGrid w:val="0"/>
        </w:rPr>
        <w:t>表4.4-1</w:t>
      </w:r>
      <w:r>
        <w:rPr>
          <w:snapToGrid w:val="0"/>
        </w:rPr>
        <w:t xml:space="preserve">  </w:t>
      </w:r>
      <w:r>
        <w:rPr>
          <w:rFonts w:hint="eastAsia"/>
          <w:snapToGrid w:val="0"/>
        </w:rPr>
        <w:t>地下水监测点位一览表</w:t>
      </w:r>
    </w:p>
    <w:tbl>
      <w:tblPr>
        <w:tblStyle w:val="68"/>
        <w:tblW w:w="93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34"/>
        <w:gridCol w:w="1192"/>
        <w:gridCol w:w="2253"/>
        <w:gridCol w:w="1321"/>
        <w:gridCol w:w="1408"/>
        <w:gridCol w:w="1379"/>
        <w:gridCol w:w="1218"/>
      </w:tblGrid>
      <w:tr w14:paraId="2F73F3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61367CBE">
            <w:pPr>
              <w:pStyle w:val="133"/>
              <w:rPr>
                <w:b/>
                <w:bCs/>
              </w:rPr>
            </w:pPr>
            <w:r>
              <w:rPr>
                <w:rFonts w:hint="eastAsia"/>
                <w:b/>
                <w:bCs/>
              </w:rPr>
              <w:t>编号</w:t>
            </w:r>
          </w:p>
        </w:tc>
        <w:tc>
          <w:tcPr>
            <w:tcW w:w="1192" w:type="dxa"/>
            <w:vAlign w:val="center"/>
          </w:tcPr>
          <w:p w14:paraId="025C5EA4">
            <w:pPr>
              <w:pStyle w:val="133"/>
              <w:rPr>
                <w:b/>
                <w:bCs/>
              </w:rPr>
            </w:pPr>
            <w:r>
              <w:rPr>
                <w:rFonts w:hint="eastAsia"/>
                <w:b/>
                <w:bCs/>
              </w:rPr>
              <w:t>监测点名称</w:t>
            </w:r>
          </w:p>
        </w:tc>
        <w:tc>
          <w:tcPr>
            <w:tcW w:w="2253" w:type="dxa"/>
            <w:vAlign w:val="center"/>
          </w:tcPr>
          <w:p w14:paraId="2CA77659">
            <w:pPr>
              <w:pStyle w:val="133"/>
              <w:rPr>
                <w:b/>
                <w:bCs/>
              </w:rPr>
            </w:pPr>
            <w:r>
              <w:rPr>
                <w:rFonts w:hint="eastAsia"/>
                <w:b/>
                <w:bCs/>
              </w:rPr>
              <w:t>坐标</w:t>
            </w:r>
          </w:p>
        </w:tc>
        <w:tc>
          <w:tcPr>
            <w:tcW w:w="1321" w:type="dxa"/>
            <w:vAlign w:val="center"/>
          </w:tcPr>
          <w:p w14:paraId="5A5B00A8">
            <w:pPr>
              <w:pStyle w:val="133"/>
              <w:rPr>
                <w:b/>
                <w:bCs/>
              </w:rPr>
            </w:pPr>
            <w:r>
              <w:rPr>
                <w:rFonts w:hint="eastAsia"/>
                <w:b/>
                <w:bCs/>
              </w:rPr>
              <w:t>方向</w:t>
            </w:r>
          </w:p>
        </w:tc>
        <w:tc>
          <w:tcPr>
            <w:tcW w:w="1408" w:type="dxa"/>
            <w:vAlign w:val="center"/>
          </w:tcPr>
          <w:p w14:paraId="7B3EA30A">
            <w:pPr>
              <w:pStyle w:val="133"/>
              <w:rPr>
                <w:b/>
                <w:bCs/>
              </w:rPr>
            </w:pPr>
            <w:r>
              <w:rPr>
                <w:rFonts w:hint="eastAsia"/>
                <w:b/>
                <w:bCs/>
              </w:rPr>
              <w:t>距离（km）</w:t>
            </w:r>
          </w:p>
        </w:tc>
        <w:tc>
          <w:tcPr>
            <w:tcW w:w="1379" w:type="dxa"/>
            <w:vAlign w:val="center"/>
          </w:tcPr>
          <w:p w14:paraId="33DCC888">
            <w:pPr>
              <w:pStyle w:val="133"/>
              <w:rPr>
                <w:b/>
                <w:bCs/>
              </w:rPr>
            </w:pPr>
            <w:r>
              <w:rPr>
                <w:rFonts w:hint="eastAsia"/>
                <w:b/>
                <w:bCs/>
              </w:rPr>
              <w:t>水位埋深（m）</w:t>
            </w:r>
          </w:p>
        </w:tc>
        <w:tc>
          <w:tcPr>
            <w:tcW w:w="1218" w:type="dxa"/>
            <w:vAlign w:val="center"/>
          </w:tcPr>
          <w:p w14:paraId="116E51B2">
            <w:pPr>
              <w:pStyle w:val="133"/>
              <w:rPr>
                <w:b/>
                <w:bCs/>
              </w:rPr>
            </w:pPr>
            <w:r>
              <w:rPr>
                <w:rFonts w:hint="eastAsia"/>
                <w:b/>
                <w:bCs/>
              </w:rPr>
              <w:t>位置</w:t>
            </w:r>
          </w:p>
        </w:tc>
      </w:tr>
      <w:tr w14:paraId="5C02C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0E59E451">
            <w:pPr>
              <w:pStyle w:val="133"/>
            </w:pPr>
            <w:r>
              <w:rPr>
                <w:rFonts w:hint="eastAsia"/>
              </w:rPr>
              <w:t>1#</w:t>
            </w:r>
          </w:p>
        </w:tc>
        <w:tc>
          <w:tcPr>
            <w:tcW w:w="1192" w:type="dxa"/>
            <w:vAlign w:val="center"/>
          </w:tcPr>
          <w:p w14:paraId="29989E51">
            <w:pPr>
              <w:pStyle w:val="133"/>
            </w:pPr>
            <w:r>
              <w:rPr>
                <w:rFonts w:hint="eastAsia"/>
              </w:rPr>
              <w:t>1#水质和水位监测点</w:t>
            </w:r>
          </w:p>
        </w:tc>
        <w:tc>
          <w:tcPr>
            <w:tcW w:w="2253" w:type="dxa"/>
            <w:vAlign w:val="center"/>
          </w:tcPr>
          <w:p w14:paraId="5EFE4751">
            <w:pPr>
              <w:pStyle w:val="133"/>
            </w:pPr>
          </w:p>
        </w:tc>
        <w:tc>
          <w:tcPr>
            <w:tcW w:w="1321" w:type="dxa"/>
            <w:vAlign w:val="center"/>
          </w:tcPr>
          <w:p w14:paraId="3E720B85">
            <w:pPr>
              <w:pStyle w:val="133"/>
            </w:pPr>
            <w:r>
              <w:rPr>
                <w:rFonts w:hint="eastAsia"/>
              </w:rPr>
              <w:t>NE</w:t>
            </w:r>
          </w:p>
        </w:tc>
        <w:tc>
          <w:tcPr>
            <w:tcW w:w="1408" w:type="dxa"/>
            <w:vAlign w:val="center"/>
          </w:tcPr>
          <w:p w14:paraId="36349D0A">
            <w:pPr>
              <w:pStyle w:val="133"/>
            </w:pPr>
            <w:r>
              <w:rPr>
                <w:rFonts w:hint="eastAsia"/>
              </w:rPr>
              <w:t>4.7</w:t>
            </w:r>
          </w:p>
        </w:tc>
        <w:tc>
          <w:tcPr>
            <w:tcW w:w="1379" w:type="dxa"/>
            <w:vAlign w:val="center"/>
          </w:tcPr>
          <w:p w14:paraId="550E3801">
            <w:pPr>
              <w:pStyle w:val="133"/>
            </w:pPr>
            <w:r>
              <w:rPr>
                <w:rFonts w:hint="eastAsia"/>
              </w:rPr>
              <w:t>8.4</w:t>
            </w:r>
          </w:p>
        </w:tc>
        <w:tc>
          <w:tcPr>
            <w:tcW w:w="1218" w:type="dxa"/>
            <w:vAlign w:val="center"/>
          </w:tcPr>
          <w:p w14:paraId="612D2E32">
            <w:pPr>
              <w:pStyle w:val="133"/>
            </w:pPr>
            <w:r>
              <w:rPr>
                <w:rFonts w:hint="eastAsia"/>
              </w:rPr>
              <w:t>上游</w:t>
            </w:r>
          </w:p>
        </w:tc>
      </w:tr>
      <w:tr w14:paraId="360770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30E157BB">
            <w:pPr>
              <w:pStyle w:val="133"/>
            </w:pPr>
            <w:r>
              <w:rPr>
                <w:rFonts w:hint="eastAsia"/>
              </w:rPr>
              <w:t>2#</w:t>
            </w:r>
          </w:p>
        </w:tc>
        <w:tc>
          <w:tcPr>
            <w:tcW w:w="1192" w:type="dxa"/>
            <w:vAlign w:val="center"/>
          </w:tcPr>
          <w:p w14:paraId="4FEF6112">
            <w:pPr>
              <w:pStyle w:val="133"/>
            </w:pPr>
            <w:r>
              <w:rPr>
                <w:rFonts w:hint="eastAsia"/>
              </w:rPr>
              <w:t>2#水质和水位监测点</w:t>
            </w:r>
          </w:p>
        </w:tc>
        <w:tc>
          <w:tcPr>
            <w:tcW w:w="2253" w:type="dxa"/>
            <w:vAlign w:val="center"/>
          </w:tcPr>
          <w:p w14:paraId="2D6BDBF6">
            <w:pPr>
              <w:pStyle w:val="133"/>
              <w:rPr>
                <w:rFonts w:cs="Times New Roman"/>
              </w:rPr>
            </w:pPr>
          </w:p>
        </w:tc>
        <w:tc>
          <w:tcPr>
            <w:tcW w:w="1321" w:type="dxa"/>
            <w:vAlign w:val="center"/>
          </w:tcPr>
          <w:p w14:paraId="1DE23FD7">
            <w:pPr>
              <w:pStyle w:val="133"/>
            </w:pPr>
            <w:r>
              <w:rPr>
                <w:rFonts w:hint="eastAsia"/>
              </w:rPr>
              <w:t>W</w:t>
            </w:r>
          </w:p>
        </w:tc>
        <w:tc>
          <w:tcPr>
            <w:tcW w:w="1408" w:type="dxa"/>
            <w:vAlign w:val="center"/>
          </w:tcPr>
          <w:p w14:paraId="0BB7DBEC">
            <w:pPr>
              <w:pStyle w:val="133"/>
            </w:pPr>
            <w:r>
              <w:rPr>
                <w:rFonts w:hint="eastAsia"/>
              </w:rPr>
              <w:t>0.1</w:t>
            </w:r>
          </w:p>
        </w:tc>
        <w:tc>
          <w:tcPr>
            <w:tcW w:w="1379" w:type="dxa"/>
            <w:vAlign w:val="center"/>
          </w:tcPr>
          <w:p w14:paraId="277CA4C8">
            <w:pPr>
              <w:pStyle w:val="133"/>
            </w:pPr>
            <w:r>
              <w:rPr>
                <w:rFonts w:hint="eastAsia"/>
              </w:rPr>
              <w:t>5.7</w:t>
            </w:r>
          </w:p>
        </w:tc>
        <w:tc>
          <w:tcPr>
            <w:tcW w:w="1218" w:type="dxa"/>
            <w:vAlign w:val="center"/>
          </w:tcPr>
          <w:p w14:paraId="73CA6166">
            <w:pPr>
              <w:pStyle w:val="133"/>
            </w:pPr>
            <w:r>
              <w:rPr>
                <w:rFonts w:hint="eastAsia"/>
              </w:rPr>
              <w:t>西侧</w:t>
            </w:r>
          </w:p>
        </w:tc>
      </w:tr>
      <w:tr w14:paraId="01E126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73448AA8">
            <w:pPr>
              <w:pStyle w:val="133"/>
            </w:pPr>
            <w:r>
              <w:rPr>
                <w:rFonts w:hint="eastAsia"/>
              </w:rPr>
              <w:t>3#</w:t>
            </w:r>
          </w:p>
        </w:tc>
        <w:tc>
          <w:tcPr>
            <w:tcW w:w="1192" w:type="dxa"/>
            <w:vAlign w:val="center"/>
          </w:tcPr>
          <w:p w14:paraId="278840A0">
            <w:pPr>
              <w:pStyle w:val="133"/>
            </w:pPr>
            <w:r>
              <w:rPr>
                <w:rFonts w:hint="eastAsia"/>
              </w:rPr>
              <w:t>3#水质和水位监测点</w:t>
            </w:r>
          </w:p>
        </w:tc>
        <w:tc>
          <w:tcPr>
            <w:tcW w:w="2253" w:type="dxa"/>
            <w:vAlign w:val="center"/>
          </w:tcPr>
          <w:p w14:paraId="3123FBB0">
            <w:pPr>
              <w:pStyle w:val="133"/>
              <w:rPr>
                <w:rFonts w:cs="Times New Roman"/>
              </w:rPr>
            </w:pPr>
          </w:p>
        </w:tc>
        <w:tc>
          <w:tcPr>
            <w:tcW w:w="1321" w:type="dxa"/>
            <w:vAlign w:val="center"/>
          </w:tcPr>
          <w:p w14:paraId="4C7B664E">
            <w:pPr>
              <w:pStyle w:val="133"/>
            </w:pPr>
            <w:r>
              <w:rPr>
                <w:rFonts w:hint="eastAsia"/>
              </w:rPr>
              <w:t>SW</w:t>
            </w:r>
          </w:p>
        </w:tc>
        <w:tc>
          <w:tcPr>
            <w:tcW w:w="1408" w:type="dxa"/>
            <w:vAlign w:val="center"/>
          </w:tcPr>
          <w:p w14:paraId="3510903C">
            <w:pPr>
              <w:pStyle w:val="133"/>
            </w:pPr>
            <w:r>
              <w:rPr>
                <w:rFonts w:hint="eastAsia"/>
              </w:rPr>
              <w:t>3.2</w:t>
            </w:r>
          </w:p>
        </w:tc>
        <w:tc>
          <w:tcPr>
            <w:tcW w:w="1379" w:type="dxa"/>
            <w:vAlign w:val="center"/>
          </w:tcPr>
          <w:p w14:paraId="577A15BA">
            <w:pPr>
              <w:pStyle w:val="133"/>
            </w:pPr>
            <w:r>
              <w:rPr>
                <w:rFonts w:hint="eastAsia"/>
              </w:rPr>
              <w:t>4.2</w:t>
            </w:r>
          </w:p>
        </w:tc>
        <w:tc>
          <w:tcPr>
            <w:tcW w:w="1218" w:type="dxa"/>
            <w:vAlign w:val="center"/>
          </w:tcPr>
          <w:p w14:paraId="01A068CD">
            <w:pPr>
              <w:pStyle w:val="133"/>
            </w:pPr>
            <w:r>
              <w:rPr>
                <w:rFonts w:hint="eastAsia"/>
              </w:rPr>
              <w:t>东侧</w:t>
            </w:r>
          </w:p>
        </w:tc>
      </w:tr>
      <w:tr w14:paraId="5EFF2E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71FD680B">
            <w:pPr>
              <w:pStyle w:val="133"/>
            </w:pPr>
            <w:r>
              <w:rPr>
                <w:rFonts w:hint="eastAsia"/>
              </w:rPr>
              <w:t>4</w:t>
            </w:r>
            <w:r>
              <w:t>#</w:t>
            </w:r>
          </w:p>
        </w:tc>
        <w:tc>
          <w:tcPr>
            <w:tcW w:w="1192" w:type="dxa"/>
            <w:vAlign w:val="center"/>
          </w:tcPr>
          <w:p w14:paraId="218D704C">
            <w:pPr>
              <w:pStyle w:val="133"/>
            </w:pPr>
            <w:r>
              <w:rPr>
                <w:rFonts w:hint="eastAsia"/>
              </w:rPr>
              <w:t>4#水质和水位监测点</w:t>
            </w:r>
          </w:p>
        </w:tc>
        <w:tc>
          <w:tcPr>
            <w:tcW w:w="2253" w:type="dxa"/>
            <w:vAlign w:val="center"/>
          </w:tcPr>
          <w:p w14:paraId="4A19E8A7">
            <w:pPr>
              <w:pStyle w:val="133"/>
              <w:rPr>
                <w:rFonts w:cs="Times New Roman"/>
              </w:rPr>
            </w:pPr>
          </w:p>
        </w:tc>
        <w:tc>
          <w:tcPr>
            <w:tcW w:w="1321" w:type="dxa"/>
            <w:vAlign w:val="center"/>
          </w:tcPr>
          <w:p w14:paraId="3EF6C200">
            <w:pPr>
              <w:pStyle w:val="133"/>
            </w:pPr>
            <w:r>
              <w:rPr>
                <w:rFonts w:hint="eastAsia"/>
              </w:rPr>
              <w:t>SW</w:t>
            </w:r>
          </w:p>
        </w:tc>
        <w:tc>
          <w:tcPr>
            <w:tcW w:w="1408" w:type="dxa"/>
            <w:vAlign w:val="center"/>
          </w:tcPr>
          <w:p w14:paraId="186AC8A9">
            <w:pPr>
              <w:pStyle w:val="133"/>
            </w:pPr>
            <w:r>
              <w:rPr>
                <w:rFonts w:hint="eastAsia"/>
              </w:rPr>
              <w:t>9.9</w:t>
            </w:r>
          </w:p>
        </w:tc>
        <w:tc>
          <w:tcPr>
            <w:tcW w:w="1379" w:type="dxa"/>
            <w:vAlign w:val="center"/>
          </w:tcPr>
          <w:p w14:paraId="7054A643">
            <w:pPr>
              <w:pStyle w:val="133"/>
            </w:pPr>
            <w:r>
              <w:rPr>
                <w:rFonts w:hint="eastAsia"/>
              </w:rPr>
              <w:t>5.2</w:t>
            </w:r>
          </w:p>
        </w:tc>
        <w:tc>
          <w:tcPr>
            <w:tcW w:w="1218" w:type="dxa"/>
            <w:vAlign w:val="center"/>
          </w:tcPr>
          <w:p w14:paraId="73F51FBC">
            <w:pPr>
              <w:pStyle w:val="133"/>
            </w:pPr>
            <w:r>
              <w:rPr>
                <w:rFonts w:hint="eastAsia"/>
              </w:rPr>
              <w:t>下游</w:t>
            </w:r>
          </w:p>
        </w:tc>
      </w:tr>
      <w:tr w14:paraId="5D0346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161A2017">
            <w:pPr>
              <w:pStyle w:val="133"/>
            </w:pPr>
            <w:r>
              <w:rPr>
                <w:rFonts w:hint="eastAsia"/>
              </w:rPr>
              <w:t>5</w:t>
            </w:r>
            <w:r>
              <w:t>#</w:t>
            </w:r>
          </w:p>
        </w:tc>
        <w:tc>
          <w:tcPr>
            <w:tcW w:w="1192" w:type="dxa"/>
            <w:vAlign w:val="center"/>
          </w:tcPr>
          <w:p w14:paraId="034DBD38">
            <w:pPr>
              <w:pStyle w:val="133"/>
            </w:pPr>
            <w:r>
              <w:rPr>
                <w:rFonts w:hint="eastAsia"/>
              </w:rPr>
              <w:t>5#水质和水位监测点</w:t>
            </w:r>
          </w:p>
        </w:tc>
        <w:tc>
          <w:tcPr>
            <w:tcW w:w="2253" w:type="dxa"/>
            <w:vAlign w:val="center"/>
          </w:tcPr>
          <w:p w14:paraId="5860BCEC">
            <w:pPr>
              <w:pStyle w:val="133"/>
              <w:rPr>
                <w:rFonts w:cs="Times New Roman"/>
              </w:rPr>
            </w:pPr>
          </w:p>
        </w:tc>
        <w:tc>
          <w:tcPr>
            <w:tcW w:w="1321" w:type="dxa"/>
            <w:vAlign w:val="center"/>
          </w:tcPr>
          <w:p w14:paraId="123C90B1">
            <w:pPr>
              <w:pStyle w:val="133"/>
            </w:pPr>
            <w:r>
              <w:rPr>
                <w:rFonts w:hint="eastAsia"/>
              </w:rPr>
              <w:t>SW</w:t>
            </w:r>
          </w:p>
        </w:tc>
        <w:tc>
          <w:tcPr>
            <w:tcW w:w="1408" w:type="dxa"/>
            <w:vAlign w:val="center"/>
          </w:tcPr>
          <w:p w14:paraId="38879072">
            <w:pPr>
              <w:pStyle w:val="133"/>
            </w:pPr>
            <w:r>
              <w:rPr>
                <w:rFonts w:hint="eastAsia"/>
              </w:rPr>
              <w:t>9.5</w:t>
            </w:r>
          </w:p>
        </w:tc>
        <w:tc>
          <w:tcPr>
            <w:tcW w:w="1379" w:type="dxa"/>
            <w:vAlign w:val="center"/>
          </w:tcPr>
          <w:p w14:paraId="43BD3D74">
            <w:pPr>
              <w:pStyle w:val="133"/>
            </w:pPr>
            <w:r>
              <w:rPr>
                <w:rFonts w:hint="eastAsia"/>
              </w:rPr>
              <w:t>7.6</w:t>
            </w:r>
          </w:p>
        </w:tc>
        <w:tc>
          <w:tcPr>
            <w:tcW w:w="1218" w:type="dxa"/>
            <w:vAlign w:val="center"/>
          </w:tcPr>
          <w:p w14:paraId="4DEB7563">
            <w:pPr>
              <w:pStyle w:val="133"/>
            </w:pPr>
            <w:r>
              <w:rPr>
                <w:rFonts w:hint="eastAsia"/>
              </w:rPr>
              <w:t>下游</w:t>
            </w:r>
          </w:p>
        </w:tc>
      </w:tr>
      <w:tr w14:paraId="77D3D4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3E18F2A0">
            <w:pPr>
              <w:pStyle w:val="133"/>
            </w:pPr>
            <w:r>
              <w:rPr>
                <w:rFonts w:hint="eastAsia"/>
              </w:rPr>
              <w:t>6</w:t>
            </w:r>
            <w:r>
              <w:t>#</w:t>
            </w:r>
          </w:p>
        </w:tc>
        <w:tc>
          <w:tcPr>
            <w:tcW w:w="1192" w:type="dxa"/>
            <w:vAlign w:val="center"/>
          </w:tcPr>
          <w:p w14:paraId="5E20C7B4">
            <w:pPr>
              <w:pStyle w:val="133"/>
            </w:pPr>
            <w:r>
              <w:rPr>
                <w:rFonts w:hint="eastAsia"/>
              </w:rPr>
              <w:t>6#水位监测点</w:t>
            </w:r>
          </w:p>
        </w:tc>
        <w:tc>
          <w:tcPr>
            <w:tcW w:w="2253" w:type="dxa"/>
            <w:vAlign w:val="center"/>
          </w:tcPr>
          <w:p w14:paraId="2A9A2D97">
            <w:pPr>
              <w:pStyle w:val="133"/>
            </w:pPr>
          </w:p>
        </w:tc>
        <w:tc>
          <w:tcPr>
            <w:tcW w:w="1321" w:type="dxa"/>
            <w:vAlign w:val="center"/>
          </w:tcPr>
          <w:p w14:paraId="6353B495">
            <w:pPr>
              <w:pStyle w:val="133"/>
            </w:pPr>
            <w:r>
              <w:rPr>
                <w:rFonts w:hint="eastAsia"/>
              </w:rPr>
              <w:t>NE</w:t>
            </w:r>
          </w:p>
        </w:tc>
        <w:tc>
          <w:tcPr>
            <w:tcW w:w="1408" w:type="dxa"/>
            <w:vAlign w:val="center"/>
          </w:tcPr>
          <w:p w14:paraId="6B5C5265">
            <w:pPr>
              <w:pStyle w:val="133"/>
            </w:pPr>
            <w:r>
              <w:rPr>
                <w:rFonts w:hint="eastAsia"/>
              </w:rPr>
              <w:t>7.9</w:t>
            </w:r>
          </w:p>
        </w:tc>
        <w:tc>
          <w:tcPr>
            <w:tcW w:w="1379" w:type="dxa"/>
            <w:vAlign w:val="center"/>
          </w:tcPr>
          <w:p w14:paraId="588945C5">
            <w:pPr>
              <w:pStyle w:val="133"/>
            </w:pPr>
            <w:r>
              <w:rPr>
                <w:rFonts w:hint="eastAsia"/>
              </w:rPr>
              <w:t>16.4</w:t>
            </w:r>
          </w:p>
        </w:tc>
        <w:tc>
          <w:tcPr>
            <w:tcW w:w="1218" w:type="dxa"/>
            <w:vAlign w:val="center"/>
          </w:tcPr>
          <w:p w14:paraId="2BBF7584">
            <w:pPr>
              <w:pStyle w:val="133"/>
            </w:pPr>
            <w:r>
              <w:rPr>
                <w:rFonts w:hint="eastAsia"/>
              </w:rPr>
              <w:t>/</w:t>
            </w:r>
          </w:p>
        </w:tc>
      </w:tr>
      <w:tr w14:paraId="59C7AD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148FA3C9">
            <w:pPr>
              <w:pStyle w:val="133"/>
            </w:pPr>
            <w:r>
              <w:rPr>
                <w:rFonts w:hint="eastAsia"/>
              </w:rPr>
              <w:t>7</w:t>
            </w:r>
            <w:r>
              <w:t>#</w:t>
            </w:r>
          </w:p>
        </w:tc>
        <w:tc>
          <w:tcPr>
            <w:tcW w:w="1192" w:type="dxa"/>
            <w:vAlign w:val="center"/>
          </w:tcPr>
          <w:p w14:paraId="658B2478">
            <w:pPr>
              <w:pStyle w:val="133"/>
            </w:pPr>
            <w:r>
              <w:rPr>
                <w:rFonts w:hint="eastAsia"/>
              </w:rPr>
              <w:t>7#水位监测点</w:t>
            </w:r>
          </w:p>
        </w:tc>
        <w:tc>
          <w:tcPr>
            <w:tcW w:w="2253" w:type="dxa"/>
            <w:vAlign w:val="center"/>
          </w:tcPr>
          <w:p w14:paraId="2602F041">
            <w:pPr>
              <w:pStyle w:val="133"/>
            </w:pPr>
          </w:p>
        </w:tc>
        <w:tc>
          <w:tcPr>
            <w:tcW w:w="1321" w:type="dxa"/>
            <w:vAlign w:val="center"/>
          </w:tcPr>
          <w:p w14:paraId="470C88B1">
            <w:pPr>
              <w:pStyle w:val="133"/>
            </w:pPr>
            <w:r>
              <w:rPr>
                <w:rFonts w:hint="eastAsia"/>
              </w:rPr>
              <w:t>NE</w:t>
            </w:r>
          </w:p>
        </w:tc>
        <w:tc>
          <w:tcPr>
            <w:tcW w:w="1408" w:type="dxa"/>
            <w:vAlign w:val="center"/>
          </w:tcPr>
          <w:p w14:paraId="416BD688">
            <w:pPr>
              <w:pStyle w:val="133"/>
            </w:pPr>
            <w:r>
              <w:rPr>
                <w:rFonts w:hint="eastAsia"/>
              </w:rPr>
              <w:t>7.8</w:t>
            </w:r>
          </w:p>
        </w:tc>
        <w:tc>
          <w:tcPr>
            <w:tcW w:w="1379" w:type="dxa"/>
            <w:vAlign w:val="center"/>
          </w:tcPr>
          <w:p w14:paraId="1B7B2A23">
            <w:pPr>
              <w:pStyle w:val="133"/>
            </w:pPr>
            <w:r>
              <w:rPr>
                <w:rFonts w:hint="eastAsia"/>
              </w:rPr>
              <w:t>17.2</w:t>
            </w:r>
          </w:p>
        </w:tc>
        <w:tc>
          <w:tcPr>
            <w:tcW w:w="1218" w:type="dxa"/>
            <w:vAlign w:val="center"/>
          </w:tcPr>
          <w:p w14:paraId="4B6BD9BF">
            <w:pPr>
              <w:pStyle w:val="133"/>
            </w:pPr>
            <w:r>
              <w:rPr>
                <w:rFonts w:hint="eastAsia"/>
              </w:rPr>
              <w:t>/</w:t>
            </w:r>
          </w:p>
        </w:tc>
      </w:tr>
      <w:tr w14:paraId="46475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5C4D6C13">
            <w:pPr>
              <w:pStyle w:val="133"/>
            </w:pPr>
            <w:r>
              <w:rPr>
                <w:rFonts w:hint="eastAsia"/>
              </w:rPr>
              <w:t>8</w:t>
            </w:r>
            <w:r>
              <w:t>#</w:t>
            </w:r>
          </w:p>
        </w:tc>
        <w:tc>
          <w:tcPr>
            <w:tcW w:w="1192" w:type="dxa"/>
            <w:vAlign w:val="center"/>
          </w:tcPr>
          <w:p w14:paraId="21380539">
            <w:pPr>
              <w:pStyle w:val="133"/>
            </w:pPr>
            <w:r>
              <w:rPr>
                <w:rFonts w:hint="eastAsia"/>
              </w:rPr>
              <w:t>8#水位监测点</w:t>
            </w:r>
          </w:p>
        </w:tc>
        <w:tc>
          <w:tcPr>
            <w:tcW w:w="2253" w:type="dxa"/>
            <w:vAlign w:val="center"/>
          </w:tcPr>
          <w:p w14:paraId="7D2D19E5">
            <w:pPr>
              <w:pStyle w:val="133"/>
            </w:pPr>
          </w:p>
        </w:tc>
        <w:tc>
          <w:tcPr>
            <w:tcW w:w="1321" w:type="dxa"/>
            <w:vAlign w:val="center"/>
          </w:tcPr>
          <w:p w14:paraId="53DE87BB">
            <w:pPr>
              <w:pStyle w:val="133"/>
            </w:pPr>
            <w:r>
              <w:rPr>
                <w:rFonts w:hint="eastAsia"/>
              </w:rPr>
              <w:t>NE</w:t>
            </w:r>
          </w:p>
        </w:tc>
        <w:tc>
          <w:tcPr>
            <w:tcW w:w="1408" w:type="dxa"/>
            <w:vAlign w:val="center"/>
          </w:tcPr>
          <w:p w14:paraId="078B6EF8">
            <w:pPr>
              <w:pStyle w:val="133"/>
            </w:pPr>
            <w:r>
              <w:rPr>
                <w:rFonts w:hint="eastAsia"/>
              </w:rPr>
              <w:t>4.9</w:t>
            </w:r>
          </w:p>
        </w:tc>
        <w:tc>
          <w:tcPr>
            <w:tcW w:w="1379" w:type="dxa"/>
            <w:vAlign w:val="center"/>
          </w:tcPr>
          <w:p w14:paraId="71CAF283">
            <w:pPr>
              <w:pStyle w:val="133"/>
            </w:pPr>
            <w:r>
              <w:rPr>
                <w:rFonts w:hint="eastAsia"/>
              </w:rPr>
              <w:t>16.8</w:t>
            </w:r>
          </w:p>
        </w:tc>
        <w:tc>
          <w:tcPr>
            <w:tcW w:w="1218" w:type="dxa"/>
            <w:vAlign w:val="center"/>
          </w:tcPr>
          <w:p w14:paraId="5E8BDDEA">
            <w:pPr>
              <w:pStyle w:val="133"/>
            </w:pPr>
            <w:r>
              <w:rPr>
                <w:rFonts w:hint="eastAsia"/>
              </w:rPr>
              <w:t>/</w:t>
            </w:r>
          </w:p>
        </w:tc>
      </w:tr>
      <w:tr w14:paraId="0C973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3AD15237">
            <w:pPr>
              <w:pStyle w:val="133"/>
            </w:pPr>
            <w:r>
              <w:rPr>
                <w:rFonts w:hint="eastAsia"/>
              </w:rPr>
              <w:t>9</w:t>
            </w:r>
            <w:r>
              <w:t>#</w:t>
            </w:r>
          </w:p>
        </w:tc>
        <w:tc>
          <w:tcPr>
            <w:tcW w:w="1192" w:type="dxa"/>
            <w:vAlign w:val="center"/>
          </w:tcPr>
          <w:p w14:paraId="0B4BEC63">
            <w:pPr>
              <w:pStyle w:val="133"/>
            </w:pPr>
            <w:r>
              <w:rPr>
                <w:rFonts w:hint="eastAsia"/>
              </w:rPr>
              <w:t>9#水位监测点</w:t>
            </w:r>
          </w:p>
        </w:tc>
        <w:tc>
          <w:tcPr>
            <w:tcW w:w="2253" w:type="dxa"/>
            <w:vAlign w:val="center"/>
          </w:tcPr>
          <w:p w14:paraId="7AB854B9">
            <w:pPr>
              <w:pStyle w:val="133"/>
            </w:pPr>
          </w:p>
        </w:tc>
        <w:tc>
          <w:tcPr>
            <w:tcW w:w="1321" w:type="dxa"/>
            <w:vAlign w:val="center"/>
          </w:tcPr>
          <w:p w14:paraId="65BD0865">
            <w:pPr>
              <w:pStyle w:val="133"/>
            </w:pPr>
            <w:r>
              <w:rPr>
                <w:rFonts w:hint="eastAsia"/>
              </w:rPr>
              <w:t>SEE</w:t>
            </w:r>
          </w:p>
        </w:tc>
        <w:tc>
          <w:tcPr>
            <w:tcW w:w="1408" w:type="dxa"/>
            <w:vAlign w:val="center"/>
          </w:tcPr>
          <w:p w14:paraId="54389D21">
            <w:pPr>
              <w:pStyle w:val="133"/>
            </w:pPr>
            <w:r>
              <w:rPr>
                <w:rFonts w:hint="eastAsia"/>
              </w:rPr>
              <w:t>6.1</w:t>
            </w:r>
          </w:p>
        </w:tc>
        <w:tc>
          <w:tcPr>
            <w:tcW w:w="1379" w:type="dxa"/>
            <w:vAlign w:val="center"/>
          </w:tcPr>
          <w:p w14:paraId="09F350CE">
            <w:pPr>
              <w:pStyle w:val="133"/>
            </w:pPr>
            <w:r>
              <w:rPr>
                <w:rFonts w:hint="eastAsia"/>
              </w:rPr>
              <w:t>13.3</w:t>
            </w:r>
          </w:p>
        </w:tc>
        <w:tc>
          <w:tcPr>
            <w:tcW w:w="1218" w:type="dxa"/>
            <w:vAlign w:val="center"/>
          </w:tcPr>
          <w:p w14:paraId="7AEE8A9E">
            <w:pPr>
              <w:pStyle w:val="133"/>
            </w:pPr>
            <w:r>
              <w:rPr>
                <w:rFonts w:hint="eastAsia"/>
              </w:rPr>
              <w:t>/</w:t>
            </w:r>
          </w:p>
        </w:tc>
      </w:tr>
      <w:tr w14:paraId="68D72B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34" w:type="dxa"/>
            <w:vAlign w:val="center"/>
          </w:tcPr>
          <w:p w14:paraId="2032E172">
            <w:pPr>
              <w:pStyle w:val="133"/>
            </w:pPr>
            <w:r>
              <w:rPr>
                <w:rFonts w:hint="eastAsia"/>
              </w:rPr>
              <w:t>10</w:t>
            </w:r>
            <w:r>
              <w:t>#</w:t>
            </w:r>
          </w:p>
        </w:tc>
        <w:tc>
          <w:tcPr>
            <w:tcW w:w="1192" w:type="dxa"/>
            <w:vAlign w:val="center"/>
          </w:tcPr>
          <w:p w14:paraId="5AFF87E9">
            <w:pPr>
              <w:pStyle w:val="133"/>
            </w:pPr>
            <w:r>
              <w:rPr>
                <w:rFonts w:hint="eastAsia"/>
              </w:rPr>
              <w:t>10#水位监测点</w:t>
            </w:r>
          </w:p>
        </w:tc>
        <w:tc>
          <w:tcPr>
            <w:tcW w:w="2253" w:type="dxa"/>
            <w:vAlign w:val="center"/>
          </w:tcPr>
          <w:p w14:paraId="180DEA03">
            <w:pPr>
              <w:pStyle w:val="133"/>
            </w:pPr>
          </w:p>
        </w:tc>
        <w:tc>
          <w:tcPr>
            <w:tcW w:w="1321" w:type="dxa"/>
            <w:vAlign w:val="center"/>
          </w:tcPr>
          <w:p w14:paraId="05B633AF">
            <w:pPr>
              <w:pStyle w:val="133"/>
            </w:pPr>
            <w:r>
              <w:rPr>
                <w:rFonts w:hint="eastAsia"/>
              </w:rPr>
              <w:t>SW</w:t>
            </w:r>
          </w:p>
        </w:tc>
        <w:tc>
          <w:tcPr>
            <w:tcW w:w="1408" w:type="dxa"/>
            <w:vAlign w:val="center"/>
          </w:tcPr>
          <w:p w14:paraId="258EAA44">
            <w:pPr>
              <w:pStyle w:val="133"/>
            </w:pPr>
            <w:r>
              <w:rPr>
                <w:rFonts w:hint="eastAsia"/>
              </w:rPr>
              <w:t>13.4</w:t>
            </w:r>
          </w:p>
        </w:tc>
        <w:tc>
          <w:tcPr>
            <w:tcW w:w="1379" w:type="dxa"/>
            <w:vAlign w:val="center"/>
          </w:tcPr>
          <w:p w14:paraId="1142E4CD">
            <w:pPr>
              <w:pStyle w:val="133"/>
            </w:pPr>
            <w:r>
              <w:rPr>
                <w:rFonts w:hint="eastAsia"/>
              </w:rPr>
              <w:t>6.6</w:t>
            </w:r>
          </w:p>
        </w:tc>
        <w:tc>
          <w:tcPr>
            <w:tcW w:w="1218" w:type="dxa"/>
            <w:vAlign w:val="center"/>
          </w:tcPr>
          <w:p w14:paraId="02118485">
            <w:pPr>
              <w:pStyle w:val="133"/>
            </w:pPr>
            <w:r>
              <w:rPr>
                <w:rFonts w:hint="eastAsia"/>
              </w:rPr>
              <w:t>/</w:t>
            </w:r>
          </w:p>
        </w:tc>
      </w:tr>
      <w:bookmarkEnd w:id="424"/>
    </w:tbl>
    <w:p w14:paraId="21BD6E88">
      <w:pPr>
        <w:pStyle w:val="133"/>
      </w:pPr>
    </w:p>
    <w:p w14:paraId="49FF678E">
      <w:pPr>
        <w:pStyle w:val="133"/>
      </w:pPr>
      <w:r>
        <w:t xml:space="preserve"> </w:t>
      </w:r>
    </w:p>
    <w:p w14:paraId="66349FC1">
      <w:pPr>
        <w:pStyle w:val="117"/>
        <w:ind w:firstLine="480"/>
        <w:rPr>
          <w:snapToGrid w:val="0"/>
        </w:rPr>
      </w:pPr>
      <w:r>
        <w:rPr>
          <w:rFonts w:hint="eastAsia"/>
          <w:snapToGrid w:val="0"/>
        </w:rPr>
        <w:t>（</w:t>
      </w:r>
      <w:r>
        <w:rPr>
          <w:snapToGrid w:val="0"/>
        </w:rPr>
        <w:t>2</w:t>
      </w:r>
      <w:r>
        <w:rPr>
          <w:rFonts w:hint="eastAsia"/>
          <w:snapToGrid w:val="0"/>
        </w:rPr>
        <w:t>）监测项目</w:t>
      </w:r>
    </w:p>
    <w:p w14:paraId="0BE1A1E8">
      <w:pPr>
        <w:pStyle w:val="117"/>
        <w:ind w:firstLine="480"/>
        <w:rPr>
          <w:snapToGrid w:val="0"/>
        </w:rPr>
      </w:pPr>
      <w:r>
        <w:rPr>
          <w:snapToGrid w:val="0"/>
        </w:rPr>
        <w:t>K</w:t>
      </w:r>
      <w:r>
        <w:rPr>
          <w:snapToGrid w:val="0"/>
          <w:vertAlign w:val="superscript"/>
        </w:rPr>
        <w:t>+</w:t>
      </w:r>
      <w:r>
        <w:rPr>
          <w:rFonts w:hint="eastAsia"/>
          <w:snapToGrid w:val="0"/>
        </w:rPr>
        <w:t>、</w:t>
      </w:r>
      <w:r>
        <w:rPr>
          <w:snapToGrid w:val="0"/>
        </w:rPr>
        <w:t>Ca</w:t>
      </w:r>
      <w:r>
        <w:rPr>
          <w:snapToGrid w:val="0"/>
          <w:vertAlign w:val="superscript"/>
        </w:rPr>
        <w:t>2+</w:t>
      </w:r>
      <w:r>
        <w:rPr>
          <w:rFonts w:hint="eastAsia"/>
          <w:snapToGrid w:val="0"/>
        </w:rPr>
        <w:t>、</w:t>
      </w:r>
      <w:r>
        <w:rPr>
          <w:snapToGrid w:val="0"/>
        </w:rPr>
        <w:t>Na</w:t>
      </w:r>
      <w:r>
        <w:rPr>
          <w:snapToGrid w:val="0"/>
          <w:vertAlign w:val="superscript"/>
        </w:rPr>
        <w:t>+</w:t>
      </w:r>
      <w:r>
        <w:rPr>
          <w:rFonts w:hint="eastAsia"/>
          <w:snapToGrid w:val="0"/>
        </w:rPr>
        <w:t>、</w:t>
      </w:r>
      <w:r>
        <w:rPr>
          <w:snapToGrid w:val="0"/>
        </w:rPr>
        <w:t>Mg</w:t>
      </w:r>
      <w:r>
        <w:rPr>
          <w:snapToGrid w:val="0"/>
          <w:vertAlign w:val="superscript"/>
        </w:rPr>
        <w:t>2+</w:t>
      </w:r>
      <w:r>
        <w:rPr>
          <w:rFonts w:hint="eastAsia"/>
          <w:snapToGrid w:val="0"/>
        </w:rPr>
        <w:t>、</w:t>
      </w:r>
      <w:r>
        <w:rPr>
          <w:snapToGrid w:val="0"/>
        </w:rPr>
        <w:t>CO</w:t>
      </w:r>
      <w:r>
        <w:rPr>
          <w:snapToGrid w:val="0"/>
          <w:vertAlign w:val="subscript"/>
        </w:rPr>
        <w:t>3</w:t>
      </w:r>
      <w:r>
        <w:rPr>
          <w:snapToGrid w:val="0"/>
          <w:vertAlign w:val="superscript"/>
        </w:rPr>
        <w:t>2-</w:t>
      </w:r>
      <w:r>
        <w:rPr>
          <w:rFonts w:hint="eastAsia"/>
          <w:snapToGrid w:val="0"/>
        </w:rPr>
        <w:t>、</w:t>
      </w:r>
      <w:r>
        <w:rPr>
          <w:snapToGrid w:val="0"/>
        </w:rPr>
        <w:t>HCO</w:t>
      </w:r>
      <w:r>
        <w:rPr>
          <w:snapToGrid w:val="0"/>
          <w:vertAlign w:val="subscript"/>
        </w:rPr>
        <w:t>3</w:t>
      </w:r>
      <w:r>
        <w:rPr>
          <w:snapToGrid w:val="0"/>
          <w:vertAlign w:val="superscript"/>
        </w:rPr>
        <w:t>-</w:t>
      </w:r>
      <w:r>
        <w:rPr>
          <w:rFonts w:hint="eastAsia"/>
          <w:snapToGrid w:val="0"/>
        </w:rPr>
        <w:t>、</w:t>
      </w:r>
      <w:r>
        <w:rPr>
          <w:snapToGrid w:val="0"/>
        </w:rPr>
        <w:t>Cl</w:t>
      </w:r>
      <w:r>
        <w:rPr>
          <w:snapToGrid w:val="0"/>
          <w:vertAlign w:val="superscript"/>
        </w:rPr>
        <w:t>-</w:t>
      </w:r>
      <w:r>
        <w:rPr>
          <w:rFonts w:hint="eastAsia"/>
          <w:snapToGrid w:val="0"/>
        </w:rPr>
        <w:t>、</w:t>
      </w:r>
      <w:r>
        <w:rPr>
          <w:snapToGrid w:val="0"/>
        </w:rPr>
        <w:t>SO</w:t>
      </w:r>
      <w:r>
        <w:rPr>
          <w:snapToGrid w:val="0"/>
          <w:vertAlign w:val="subscript"/>
        </w:rPr>
        <w:t>4</w:t>
      </w:r>
      <w:r>
        <w:rPr>
          <w:snapToGrid w:val="0"/>
          <w:vertAlign w:val="superscript"/>
        </w:rPr>
        <w:t>2-</w:t>
      </w:r>
      <w:r>
        <w:rPr>
          <w:rFonts w:hint="eastAsia"/>
          <w:snapToGrid w:val="0"/>
        </w:rPr>
        <w:t>、</w:t>
      </w:r>
      <w:r>
        <w:t>pH</w:t>
      </w:r>
      <w:r>
        <w:rPr>
          <w:rFonts w:hint="eastAsia"/>
        </w:rPr>
        <w:t>、氨氮、硝酸盐、亚硝酸盐、挥发性酚类、氰化物、砷、汞、铬（六价）、总硬度、铅、氟、镉、铁、锰、溶解性总固体、高锰酸盐指数、硫酸盐、氯化物、总大肠杆菌群、细菌总数、石油类、苯、甲苯、苯并芘</w:t>
      </w:r>
      <w:r>
        <w:rPr>
          <w:rFonts w:hint="eastAsia"/>
          <w:snapToGrid w:val="0"/>
        </w:rPr>
        <w:t>。</w:t>
      </w:r>
    </w:p>
    <w:p w14:paraId="6A0CFF3F">
      <w:pPr>
        <w:pStyle w:val="117"/>
        <w:ind w:firstLine="480"/>
      </w:pPr>
      <w:r>
        <w:rPr>
          <w:rFonts w:hint="eastAsia"/>
        </w:rPr>
        <w:t>（3）采样及分析方法</w:t>
      </w:r>
    </w:p>
    <w:p w14:paraId="0FA8F60C">
      <w:pPr>
        <w:pStyle w:val="117"/>
        <w:ind w:firstLine="480"/>
      </w:pPr>
      <w:r>
        <w:rPr>
          <w:rFonts w:hint="eastAsia"/>
        </w:rPr>
        <w:t>各地下水监测项目的采样及分析方法均按照《水环境水质监测质量保证手册》《水和废水监测分析方法》中的有关规定进行。</w:t>
      </w:r>
    </w:p>
    <w:p w14:paraId="5FF3DBE3">
      <w:pPr>
        <w:pStyle w:val="117"/>
        <w:ind w:firstLine="480"/>
      </w:pPr>
      <w:r>
        <w:rPr>
          <w:rFonts w:hint="eastAsia"/>
        </w:rPr>
        <w:t>（4）评价方法</w:t>
      </w:r>
    </w:p>
    <w:p w14:paraId="29476FC7">
      <w:pPr>
        <w:pStyle w:val="117"/>
        <w:ind w:firstLine="480"/>
      </w:pPr>
      <w:r>
        <w:rPr>
          <w:rFonts w:hint="eastAsia"/>
        </w:rPr>
        <w:t>采用单因子标准指数法对地下水进行现状评价。</w:t>
      </w:r>
    </w:p>
    <w:p w14:paraId="3497F6BE">
      <w:pPr>
        <w:pStyle w:val="117"/>
        <w:ind w:firstLine="480"/>
      </w:pPr>
      <w:r>
        <w:rPr>
          <w:rFonts w:hint="eastAsia"/>
        </w:rPr>
        <w:t>单因子标准指数法公式如下：</w:t>
      </w:r>
    </w:p>
    <w:p w14:paraId="44E19B82">
      <w:pPr>
        <w:pStyle w:val="117"/>
        <w:ind w:firstLine="480"/>
      </w:pPr>
      <w:r>
        <w:drawing>
          <wp:inline distT="0" distB="0" distL="0" distR="0">
            <wp:extent cx="641350" cy="463550"/>
            <wp:effectExtent l="0" t="0" r="0" b="0"/>
            <wp:docPr id="1084" name="图片 1180967162"/>
            <wp:cNvGraphicFramePr/>
            <a:graphic xmlns:a="http://schemas.openxmlformats.org/drawingml/2006/main">
              <a:graphicData uri="http://schemas.openxmlformats.org/drawingml/2006/picture">
                <pic:pic xmlns:pic="http://schemas.openxmlformats.org/drawingml/2006/picture">
                  <pic:nvPicPr>
                    <pic:cNvPr id="1084" name="图片 1180967162"/>
                    <pic:cNvPicPr/>
                  </pic:nvPicPr>
                  <pic:blipFill>
                    <a:blip r:embed="rId48" cstate="print"/>
                    <a:srcRect/>
                    <a:stretch>
                      <a:fillRect/>
                    </a:stretch>
                  </pic:blipFill>
                  <pic:spPr>
                    <a:xfrm>
                      <a:off x="0" y="0"/>
                      <a:ext cx="641350" cy="464184"/>
                    </a:xfrm>
                    <a:prstGeom prst="rect">
                      <a:avLst/>
                    </a:prstGeom>
                    <a:ln>
                      <a:noFill/>
                    </a:ln>
                  </pic:spPr>
                </pic:pic>
              </a:graphicData>
            </a:graphic>
          </wp:inline>
        </w:drawing>
      </w:r>
    </w:p>
    <w:p w14:paraId="1E17A4D1">
      <w:pPr>
        <w:pStyle w:val="117"/>
        <w:ind w:firstLine="480"/>
      </w:pPr>
      <w:r>
        <w:rPr>
          <w:rFonts w:hint="eastAsia"/>
        </w:rPr>
        <w:t>式中：</w:t>
      </w:r>
      <w:r>
        <w:t>S</w:t>
      </w:r>
      <w:r>
        <w:rPr>
          <w:vertAlign w:val="subscript"/>
        </w:rPr>
        <w:t>i</w:t>
      </w:r>
      <w:r>
        <w:rPr>
          <w:rFonts w:hint="eastAsia"/>
          <w:vertAlign w:val="subscript"/>
        </w:rPr>
        <w:t>，</w:t>
      </w:r>
      <w:r>
        <w:rPr>
          <w:vertAlign w:val="subscript"/>
        </w:rPr>
        <w:t>j</w:t>
      </w:r>
      <w:r>
        <w:t>—</w:t>
      </w:r>
      <w:r>
        <w:rPr>
          <w:rFonts w:hint="eastAsia"/>
        </w:rPr>
        <w:t>单项水质参数</w:t>
      </w:r>
      <w:r>
        <w:t>i</w:t>
      </w:r>
      <w:r>
        <w:rPr>
          <w:rFonts w:hint="eastAsia"/>
        </w:rPr>
        <w:t>在第</w:t>
      </w:r>
      <w:r>
        <w:t>j</w:t>
      </w:r>
      <w:r>
        <w:rPr>
          <w:rFonts w:hint="eastAsia"/>
        </w:rPr>
        <w:t>点的标准指数；</w:t>
      </w:r>
    </w:p>
    <w:p w14:paraId="0C1AB08F">
      <w:pPr>
        <w:pStyle w:val="117"/>
        <w:ind w:firstLine="480"/>
      </w:pPr>
      <w:r>
        <w:t xml:space="preserve">              C</w:t>
      </w:r>
      <w:r>
        <w:rPr>
          <w:vertAlign w:val="subscript"/>
        </w:rPr>
        <w:t>i</w:t>
      </w:r>
      <w:r>
        <w:rPr>
          <w:rFonts w:hint="eastAsia"/>
          <w:vertAlign w:val="subscript"/>
        </w:rPr>
        <w:t>，</w:t>
      </w:r>
      <w:r>
        <w:rPr>
          <w:vertAlign w:val="subscript"/>
        </w:rPr>
        <w:t>j</w:t>
      </w:r>
      <w:r>
        <w:t>—</w:t>
      </w:r>
      <w:r>
        <w:rPr>
          <w:rFonts w:hint="eastAsia"/>
        </w:rPr>
        <w:t>水质评价因子</w:t>
      </w:r>
      <w:r>
        <w:t>i</w:t>
      </w:r>
      <w:r>
        <w:rPr>
          <w:rFonts w:hint="eastAsia"/>
        </w:rPr>
        <w:t>在第</w:t>
      </w:r>
      <w:r>
        <w:t>j</w:t>
      </w:r>
      <w:r>
        <w:rPr>
          <w:rFonts w:hint="eastAsia"/>
        </w:rPr>
        <w:t>取样点的浓度，</w:t>
      </w:r>
      <w:r>
        <w:t>mg/L</w:t>
      </w:r>
      <w:r>
        <w:rPr>
          <w:rFonts w:hint="eastAsia"/>
        </w:rPr>
        <w:t>；</w:t>
      </w:r>
    </w:p>
    <w:p w14:paraId="76F40E20">
      <w:pPr>
        <w:pStyle w:val="117"/>
        <w:ind w:firstLine="480"/>
      </w:pPr>
      <w:r>
        <w:t xml:space="preserve">              C</w:t>
      </w:r>
      <w:r>
        <w:rPr>
          <w:vertAlign w:val="subscript"/>
        </w:rPr>
        <w:t>si</w:t>
      </w:r>
      <w:r>
        <w:t>—i</w:t>
      </w:r>
      <w:r>
        <w:rPr>
          <w:rFonts w:hint="eastAsia"/>
        </w:rPr>
        <w:t>因子的评价标准，</w:t>
      </w:r>
      <w:r>
        <w:t>mg/L</w:t>
      </w:r>
      <w:r>
        <w:rPr>
          <w:rFonts w:hint="eastAsia"/>
        </w:rPr>
        <w:t>。</w:t>
      </w:r>
    </w:p>
    <w:p w14:paraId="0BCED9F7">
      <w:pPr>
        <w:pStyle w:val="117"/>
        <w:ind w:firstLine="480"/>
      </w:pPr>
      <w:r>
        <w:t>pH</w:t>
      </w:r>
      <w:r>
        <w:rPr>
          <w:rFonts w:hint="eastAsia"/>
        </w:rPr>
        <w:t>的标准指数为：</w:t>
      </w:r>
    </w:p>
    <w:p w14:paraId="198C816B">
      <w:pPr>
        <w:pStyle w:val="117"/>
        <w:ind w:firstLine="480"/>
      </w:pPr>
      <w:r>
        <w:rPr>
          <w:rFonts w:hint="eastAsia"/>
        </w:rPr>
        <w:t>对于以评价标准为区间值的水质参数时，其单项指数式为：</w:t>
      </w:r>
    </w:p>
    <w:p w14:paraId="3E4DB18D">
      <w:pPr>
        <w:pStyle w:val="117"/>
        <w:ind w:firstLine="480"/>
      </w:pPr>
      <w:r>
        <w:drawing>
          <wp:inline distT="0" distB="0" distL="0" distR="0">
            <wp:extent cx="1187450" cy="450215"/>
            <wp:effectExtent l="0" t="0" r="0" b="0"/>
            <wp:docPr id="1085" name="图片 465600116"/>
            <wp:cNvGraphicFramePr/>
            <a:graphic xmlns:a="http://schemas.openxmlformats.org/drawingml/2006/main">
              <a:graphicData uri="http://schemas.openxmlformats.org/drawingml/2006/picture">
                <pic:pic xmlns:pic="http://schemas.openxmlformats.org/drawingml/2006/picture">
                  <pic:nvPicPr>
                    <pic:cNvPr id="1085" name="图片 465600116"/>
                    <pic:cNvPicPr/>
                  </pic:nvPicPr>
                  <pic:blipFill>
                    <a:blip r:embed="rId49" cstate="print"/>
                    <a:srcRect/>
                    <a:stretch>
                      <a:fillRect/>
                    </a:stretch>
                  </pic:blipFill>
                  <pic:spPr>
                    <a:xfrm>
                      <a:off x="0" y="0"/>
                      <a:ext cx="1187450" cy="450215"/>
                    </a:xfrm>
                    <a:prstGeom prst="rect">
                      <a:avLst/>
                    </a:prstGeom>
                    <a:ln>
                      <a:noFill/>
                    </a:ln>
                  </pic:spPr>
                </pic:pic>
              </a:graphicData>
            </a:graphic>
          </wp:inline>
        </w:drawing>
      </w:r>
      <w:r>
        <w:drawing>
          <wp:inline distT="0" distB="0" distL="0" distR="0">
            <wp:extent cx="655320" cy="198120"/>
            <wp:effectExtent l="0" t="0" r="0" b="0"/>
            <wp:docPr id="1086" name="图片 884655005"/>
            <wp:cNvGraphicFramePr/>
            <a:graphic xmlns:a="http://schemas.openxmlformats.org/drawingml/2006/main">
              <a:graphicData uri="http://schemas.openxmlformats.org/drawingml/2006/picture">
                <pic:pic xmlns:pic="http://schemas.openxmlformats.org/drawingml/2006/picture">
                  <pic:nvPicPr>
                    <pic:cNvPr id="1086" name="图片 884655005"/>
                    <pic:cNvPicPr/>
                  </pic:nvPicPr>
                  <pic:blipFill>
                    <a:blip r:embed="rId50" cstate="print"/>
                    <a:srcRect/>
                    <a:stretch>
                      <a:fillRect/>
                    </a:stretch>
                  </pic:blipFill>
                  <pic:spPr>
                    <a:xfrm>
                      <a:off x="0" y="0"/>
                      <a:ext cx="655320" cy="198120"/>
                    </a:xfrm>
                    <a:prstGeom prst="rect">
                      <a:avLst/>
                    </a:prstGeom>
                    <a:ln>
                      <a:noFill/>
                    </a:ln>
                  </pic:spPr>
                </pic:pic>
              </a:graphicData>
            </a:graphic>
          </wp:inline>
        </w:drawing>
      </w:r>
    </w:p>
    <w:p w14:paraId="45A1333B">
      <w:pPr>
        <w:pStyle w:val="117"/>
        <w:ind w:firstLine="480"/>
      </w:pPr>
      <w:r>
        <w:drawing>
          <wp:inline distT="0" distB="0" distL="0" distR="0">
            <wp:extent cx="1207770" cy="450215"/>
            <wp:effectExtent l="0" t="0" r="0" b="0"/>
            <wp:docPr id="1087" name="图片 629544178"/>
            <wp:cNvGraphicFramePr/>
            <a:graphic xmlns:a="http://schemas.openxmlformats.org/drawingml/2006/main">
              <a:graphicData uri="http://schemas.openxmlformats.org/drawingml/2006/picture">
                <pic:pic xmlns:pic="http://schemas.openxmlformats.org/drawingml/2006/picture">
                  <pic:nvPicPr>
                    <pic:cNvPr id="1087" name="图片 629544178"/>
                    <pic:cNvPicPr/>
                  </pic:nvPicPr>
                  <pic:blipFill>
                    <a:blip r:embed="rId51" cstate="print"/>
                    <a:srcRect/>
                    <a:stretch>
                      <a:fillRect/>
                    </a:stretch>
                  </pic:blipFill>
                  <pic:spPr>
                    <a:xfrm>
                      <a:off x="0" y="0"/>
                      <a:ext cx="1207770" cy="450215"/>
                    </a:xfrm>
                    <a:prstGeom prst="rect">
                      <a:avLst/>
                    </a:prstGeom>
                    <a:ln>
                      <a:noFill/>
                    </a:ln>
                  </pic:spPr>
                </pic:pic>
              </a:graphicData>
            </a:graphic>
          </wp:inline>
        </w:drawing>
      </w:r>
      <w:r>
        <w:drawing>
          <wp:inline distT="0" distB="0" distL="0" distR="0">
            <wp:extent cx="682625" cy="238760"/>
            <wp:effectExtent l="0" t="0" r="0" b="0"/>
            <wp:docPr id="1088" name="图片 1138816090"/>
            <wp:cNvGraphicFramePr/>
            <a:graphic xmlns:a="http://schemas.openxmlformats.org/drawingml/2006/main">
              <a:graphicData uri="http://schemas.openxmlformats.org/drawingml/2006/picture">
                <pic:pic xmlns:pic="http://schemas.openxmlformats.org/drawingml/2006/picture">
                  <pic:nvPicPr>
                    <pic:cNvPr id="1088" name="图片 1138816090"/>
                    <pic:cNvPicPr/>
                  </pic:nvPicPr>
                  <pic:blipFill>
                    <a:blip r:embed="rId52" cstate="print"/>
                    <a:srcRect/>
                    <a:stretch>
                      <a:fillRect/>
                    </a:stretch>
                  </pic:blipFill>
                  <pic:spPr>
                    <a:xfrm>
                      <a:off x="0" y="0"/>
                      <a:ext cx="682625" cy="238760"/>
                    </a:xfrm>
                    <a:prstGeom prst="rect">
                      <a:avLst/>
                    </a:prstGeom>
                    <a:ln>
                      <a:noFill/>
                    </a:ln>
                  </pic:spPr>
                </pic:pic>
              </a:graphicData>
            </a:graphic>
          </wp:inline>
        </w:drawing>
      </w:r>
    </w:p>
    <w:p w14:paraId="54374370">
      <w:pPr>
        <w:pStyle w:val="117"/>
        <w:ind w:firstLine="480"/>
      </w:pPr>
      <w:r>
        <w:rPr>
          <w:rFonts w:hint="eastAsia"/>
        </w:rPr>
        <w:t>式中：</w:t>
      </w:r>
      <w:r>
        <w:t>S</w:t>
      </w:r>
      <w:r>
        <w:rPr>
          <w:vertAlign w:val="subscript"/>
        </w:rPr>
        <w:t>ij</w:t>
      </w:r>
      <w:r>
        <w:t>——</w:t>
      </w:r>
      <w:r>
        <w:rPr>
          <w:rFonts w:hint="eastAsia"/>
        </w:rPr>
        <w:t>某污染物的标准指数；</w:t>
      </w:r>
    </w:p>
    <w:p w14:paraId="6722F3D4">
      <w:pPr>
        <w:pStyle w:val="117"/>
        <w:ind w:firstLine="480"/>
      </w:pPr>
      <w:r>
        <w:t>S</w:t>
      </w:r>
      <w:r>
        <w:rPr>
          <w:vertAlign w:val="subscript"/>
        </w:rPr>
        <w:t>pHj</w:t>
      </w:r>
      <w:r>
        <w:t>——pH</w:t>
      </w:r>
      <w:r>
        <w:rPr>
          <w:rFonts w:hint="eastAsia"/>
        </w:rPr>
        <w:t>标准指数；</w:t>
      </w:r>
    </w:p>
    <w:p w14:paraId="42F10B8B">
      <w:pPr>
        <w:pStyle w:val="117"/>
        <w:ind w:firstLine="480"/>
      </w:pPr>
      <w:r>
        <w:t>pH</w:t>
      </w:r>
      <w:r>
        <w:rPr>
          <w:vertAlign w:val="subscript"/>
        </w:rPr>
        <w:t>j</w:t>
      </w:r>
      <w:r>
        <w:t>——j</w:t>
      </w:r>
      <w:r>
        <w:rPr>
          <w:rFonts w:hint="eastAsia"/>
        </w:rPr>
        <w:t>点实测</w:t>
      </w:r>
      <w:r>
        <w:t>pH</w:t>
      </w:r>
      <w:r>
        <w:rPr>
          <w:rFonts w:hint="eastAsia"/>
        </w:rPr>
        <w:t>值；</w:t>
      </w:r>
    </w:p>
    <w:p w14:paraId="3454B32E">
      <w:pPr>
        <w:pStyle w:val="117"/>
        <w:ind w:firstLine="480"/>
      </w:pPr>
      <w:r>
        <w:t>pH</w:t>
      </w:r>
      <w:r>
        <w:rPr>
          <w:vertAlign w:val="subscript"/>
        </w:rPr>
        <w:t>sd</w:t>
      </w:r>
      <w:r>
        <w:t>——</w:t>
      </w:r>
      <w:r>
        <w:rPr>
          <w:rFonts w:hint="eastAsia"/>
        </w:rPr>
        <w:t>标准中</w:t>
      </w:r>
      <w:r>
        <w:t>pH</w:t>
      </w:r>
      <w:r>
        <w:rPr>
          <w:rFonts w:hint="eastAsia"/>
        </w:rPr>
        <w:t>的下限值（</w:t>
      </w:r>
      <w:r>
        <w:t>6.5</w:t>
      </w:r>
      <w:r>
        <w:rPr>
          <w:rFonts w:hint="eastAsia"/>
        </w:rPr>
        <w:t>）；</w:t>
      </w:r>
    </w:p>
    <w:p w14:paraId="306AC3D4">
      <w:pPr>
        <w:pStyle w:val="117"/>
        <w:ind w:firstLine="480"/>
      </w:pPr>
      <w:r>
        <w:t>pH</w:t>
      </w:r>
      <w:r>
        <w:rPr>
          <w:vertAlign w:val="subscript"/>
        </w:rPr>
        <w:t>su</w:t>
      </w:r>
      <w:r>
        <w:t>——</w:t>
      </w:r>
      <w:r>
        <w:rPr>
          <w:rFonts w:hint="eastAsia"/>
        </w:rPr>
        <w:t>标准中</w:t>
      </w:r>
      <w:r>
        <w:t>pH</w:t>
      </w:r>
      <w:r>
        <w:rPr>
          <w:rFonts w:hint="eastAsia"/>
        </w:rPr>
        <w:t>的上限值（</w:t>
      </w:r>
      <w:r>
        <w:t>8.5</w:t>
      </w:r>
      <w:r>
        <w:rPr>
          <w:rFonts w:hint="eastAsia"/>
        </w:rPr>
        <w:t>）。</w:t>
      </w:r>
    </w:p>
    <w:p w14:paraId="0AE766DF">
      <w:pPr>
        <w:pStyle w:val="117"/>
        <w:ind w:firstLine="480"/>
      </w:pPr>
      <w:r>
        <w:rPr>
          <w:rFonts w:hint="eastAsia"/>
        </w:rPr>
        <w:t>当</w:t>
      </w:r>
      <w:r>
        <w:t>S</w:t>
      </w:r>
      <w:r>
        <w:rPr>
          <w:vertAlign w:val="subscript"/>
        </w:rPr>
        <w:t>i</w:t>
      </w:r>
      <w:r>
        <w:rPr>
          <w:rFonts w:hint="eastAsia"/>
          <w:vertAlign w:val="subscript"/>
        </w:rPr>
        <w:t>，</w:t>
      </w:r>
      <w:r>
        <w:rPr>
          <w:vertAlign w:val="subscript"/>
        </w:rPr>
        <w:t>j</w:t>
      </w:r>
      <w:r>
        <w:rPr>
          <w:rFonts w:hint="eastAsia"/>
        </w:rPr>
        <w:t>＞</w:t>
      </w:r>
      <w:r>
        <w:t>1</w:t>
      </w:r>
      <w:r>
        <w:rPr>
          <w:rFonts w:hint="eastAsia"/>
        </w:rPr>
        <w:t>时，表明该水质参数超过了规定的水质标准，</w:t>
      </w:r>
      <w:r>
        <w:t>S</w:t>
      </w:r>
      <w:r>
        <w:rPr>
          <w:vertAlign w:val="subscript"/>
        </w:rPr>
        <w:t>i</w:t>
      </w:r>
      <w:r>
        <w:rPr>
          <w:rFonts w:hint="eastAsia"/>
          <w:vertAlign w:val="subscript"/>
        </w:rPr>
        <w:t>，</w:t>
      </w:r>
      <w:r>
        <w:rPr>
          <w:vertAlign w:val="subscript"/>
        </w:rPr>
        <w:t>j</w:t>
      </w:r>
      <w:r>
        <w:rPr>
          <w:rFonts w:hint="eastAsia"/>
        </w:rPr>
        <w:t>＜</w:t>
      </w:r>
      <w:r>
        <w:t>1</w:t>
      </w:r>
      <w:r>
        <w:rPr>
          <w:rFonts w:hint="eastAsia"/>
        </w:rPr>
        <w:t>时，说明该水质可以达到规定的水质标准。</w:t>
      </w:r>
    </w:p>
    <w:p w14:paraId="6A623E18">
      <w:pPr>
        <w:pStyle w:val="117"/>
        <w:ind w:firstLine="480"/>
      </w:pPr>
      <w:r>
        <w:t>（</w:t>
      </w:r>
      <w:r>
        <w:rPr>
          <w:rFonts w:hint="eastAsia"/>
        </w:rPr>
        <w:t>5</w:t>
      </w:r>
      <w:r>
        <w:t>）监测结果</w:t>
      </w:r>
    </w:p>
    <w:p w14:paraId="55F50AB0">
      <w:pPr>
        <w:pStyle w:val="117"/>
        <w:ind w:firstLine="480"/>
      </w:pPr>
      <w:r>
        <w:t>地下水环境质量现状监测结果见表</w:t>
      </w:r>
      <w:r>
        <w:rPr>
          <w:rFonts w:hint="eastAsia"/>
        </w:rPr>
        <w:t>3.4-4、表3.4-5</w:t>
      </w:r>
      <w:r>
        <w:t>。</w:t>
      </w:r>
    </w:p>
    <w:p w14:paraId="34A7F853">
      <w:pPr>
        <w:pStyle w:val="117"/>
        <w:ind w:firstLine="480"/>
      </w:pPr>
      <w:r>
        <w:t>（</w:t>
      </w:r>
      <w:r>
        <w:rPr>
          <w:rFonts w:hint="eastAsia"/>
        </w:rPr>
        <w:t>6</w:t>
      </w:r>
      <w:r>
        <w:t>）评价标准</w:t>
      </w:r>
    </w:p>
    <w:p w14:paraId="2AEE61B1">
      <w:pPr>
        <w:pStyle w:val="117"/>
        <w:ind w:firstLine="480"/>
      </w:pPr>
      <w:r>
        <w:t>评价标准采用《地下水质量标准》（GB/T14848-2017）中的Ⅲ类标准。</w:t>
      </w:r>
    </w:p>
    <w:p w14:paraId="16269F77">
      <w:pPr>
        <w:pStyle w:val="117"/>
        <w:ind w:firstLine="480"/>
      </w:pPr>
      <w:r>
        <w:t>（7）评价结果</w:t>
      </w:r>
    </w:p>
    <w:p w14:paraId="62C05BBD">
      <w:pPr>
        <w:pStyle w:val="117"/>
        <w:ind w:firstLine="480"/>
      </w:pPr>
      <w:r>
        <w:t>地下水环境质量现状评价结果见表</w:t>
      </w:r>
      <w:r>
        <w:rPr>
          <w:rFonts w:hint="eastAsia"/>
        </w:rPr>
        <w:t>4.4-2、表4.4-3</w:t>
      </w:r>
      <w:r>
        <w:t>。</w:t>
      </w:r>
      <w:r>
        <w:rPr>
          <w:rFonts w:hint="eastAsia"/>
          <w:snapToGrid w:val="0"/>
        </w:rPr>
        <w:t>由监测结果可知，建设项目评价区域范围内地下水现状各项监测指标均符合《地下水质量标准》（</w:t>
      </w:r>
      <w:r>
        <w:rPr>
          <w:snapToGrid w:val="0"/>
        </w:rPr>
        <w:t>GB14848-2017</w:t>
      </w:r>
      <w:r>
        <w:rPr>
          <w:rFonts w:hint="eastAsia"/>
          <w:snapToGrid w:val="0"/>
        </w:rPr>
        <w:t>）</w:t>
      </w:r>
      <w:r>
        <w:rPr>
          <w:snapToGrid w:val="0"/>
        </w:rPr>
        <w:t>Ⅲ</w:t>
      </w:r>
      <w:r>
        <w:rPr>
          <w:rFonts w:hint="eastAsia"/>
          <w:snapToGrid w:val="0"/>
        </w:rPr>
        <w:t>类标准，项目所在区域地下水环境较好。</w:t>
      </w:r>
    </w:p>
    <w:p w14:paraId="088C54C1">
      <w:pPr>
        <w:pStyle w:val="117"/>
        <w:ind w:firstLine="480"/>
        <w:rPr>
          <w:color w:val="000000"/>
        </w:rPr>
      </w:pPr>
    </w:p>
    <w:p w14:paraId="0A9C2398">
      <w:pPr>
        <w:pStyle w:val="117"/>
        <w:ind w:firstLine="480"/>
        <w:rPr>
          <w:color w:val="000000"/>
        </w:rPr>
        <w:sectPr>
          <w:footerReference r:id="rId23" w:type="even"/>
          <w:pgSz w:w="11906" w:h="16838"/>
          <w:pgMar w:top="1418" w:right="1286" w:bottom="1418" w:left="1531" w:header="851" w:footer="992" w:gutter="0"/>
          <w:cols w:space="720" w:num="1"/>
          <w:docGrid w:linePitch="326" w:charSpace="0"/>
        </w:sectPr>
      </w:pPr>
    </w:p>
    <w:p w14:paraId="230E2988">
      <w:pPr>
        <w:pStyle w:val="118"/>
      </w:pPr>
      <w:r>
        <w:rPr>
          <w:rFonts w:hint="eastAsia"/>
        </w:rPr>
        <w:t>表4.4-2</w:t>
      </w:r>
      <w:r>
        <w:t xml:space="preserve">   </w:t>
      </w:r>
      <w:r>
        <w:rPr>
          <w:rFonts w:hint="eastAsia"/>
        </w:rPr>
        <w:t>地下水监测结果一览表</w:t>
      </w:r>
    </w:p>
    <w:tbl>
      <w:tblPr>
        <w:tblStyle w:val="68"/>
        <w:tblW w:w="140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1" w:type="dxa"/>
          <w:left w:w="11" w:type="dxa"/>
          <w:bottom w:w="11" w:type="dxa"/>
          <w:right w:w="11" w:type="dxa"/>
        </w:tblCellMar>
      </w:tblPr>
      <w:tblGrid>
        <w:gridCol w:w="1980"/>
        <w:gridCol w:w="992"/>
        <w:gridCol w:w="1106"/>
        <w:gridCol w:w="1010"/>
        <w:gridCol w:w="993"/>
        <w:gridCol w:w="992"/>
        <w:gridCol w:w="992"/>
        <w:gridCol w:w="992"/>
        <w:gridCol w:w="993"/>
        <w:gridCol w:w="850"/>
        <w:gridCol w:w="1134"/>
        <w:gridCol w:w="850"/>
        <w:gridCol w:w="1135"/>
      </w:tblGrid>
      <w:tr w14:paraId="508132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blHeader/>
          <w:jc w:val="center"/>
        </w:trPr>
        <w:tc>
          <w:tcPr>
            <w:tcW w:w="1980" w:type="dxa"/>
            <w:vMerge w:val="restart"/>
            <w:vAlign w:val="center"/>
          </w:tcPr>
          <w:p w14:paraId="715BF96E">
            <w:pPr>
              <w:pStyle w:val="133"/>
              <w:rPr>
                <w:b/>
                <w:bCs/>
              </w:rPr>
            </w:pPr>
            <w:r>
              <w:rPr>
                <w:rFonts w:hint="eastAsia"/>
                <w:b/>
                <w:bCs/>
              </w:rPr>
              <w:t>监测</w:t>
            </w:r>
          </w:p>
          <w:p w14:paraId="707CE58C">
            <w:pPr>
              <w:pStyle w:val="133"/>
              <w:rPr>
                <w:b/>
                <w:bCs/>
              </w:rPr>
            </w:pPr>
            <w:r>
              <w:rPr>
                <w:rFonts w:hint="eastAsia"/>
                <w:b/>
                <w:bCs/>
              </w:rPr>
              <w:t>项目</w:t>
            </w:r>
          </w:p>
        </w:tc>
        <w:tc>
          <w:tcPr>
            <w:tcW w:w="992" w:type="dxa"/>
            <w:vMerge w:val="restart"/>
            <w:vAlign w:val="center"/>
          </w:tcPr>
          <w:p w14:paraId="027F1DFB">
            <w:pPr>
              <w:pStyle w:val="133"/>
              <w:rPr>
                <w:b/>
                <w:bCs/>
              </w:rPr>
            </w:pPr>
            <w:r>
              <w:rPr>
                <w:rFonts w:hint="eastAsia"/>
                <w:b/>
                <w:bCs/>
              </w:rPr>
              <w:t>单位</w:t>
            </w:r>
          </w:p>
        </w:tc>
        <w:tc>
          <w:tcPr>
            <w:tcW w:w="1106" w:type="dxa"/>
            <w:vMerge w:val="restart"/>
            <w:vAlign w:val="center"/>
          </w:tcPr>
          <w:p w14:paraId="61ADCBDF">
            <w:pPr>
              <w:pStyle w:val="133"/>
              <w:rPr>
                <w:b/>
                <w:bCs/>
              </w:rPr>
            </w:pPr>
            <w:r>
              <w:rPr>
                <w:rFonts w:hint="eastAsia"/>
                <w:b/>
                <w:bCs/>
              </w:rPr>
              <w:t>标准限值（</w:t>
            </w:r>
            <w:r>
              <w:rPr>
                <w:b/>
                <w:bCs/>
              </w:rPr>
              <w:t>mg/L</w:t>
            </w:r>
            <w:r>
              <w:rPr>
                <w:rFonts w:hint="eastAsia"/>
                <w:b/>
                <w:bCs/>
              </w:rPr>
              <w:t>）</w:t>
            </w:r>
          </w:p>
        </w:tc>
        <w:tc>
          <w:tcPr>
            <w:tcW w:w="9941" w:type="dxa"/>
            <w:gridSpan w:val="10"/>
            <w:vAlign w:val="center"/>
          </w:tcPr>
          <w:p w14:paraId="637311DD">
            <w:pPr>
              <w:pStyle w:val="133"/>
              <w:rPr>
                <w:b/>
                <w:bCs/>
              </w:rPr>
            </w:pPr>
            <w:r>
              <w:rPr>
                <w:rFonts w:hint="eastAsia"/>
                <w:b/>
                <w:bCs/>
              </w:rPr>
              <w:t>采样点位</w:t>
            </w:r>
          </w:p>
        </w:tc>
      </w:tr>
      <w:tr w14:paraId="160007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blHeader/>
          <w:jc w:val="center"/>
        </w:trPr>
        <w:tc>
          <w:tcPr>
            <w:tcW w:w="1980" w:type="dxa"/>
            <w:vMerge w:val="continue"/>
            <w:vAlign w:val="center"/>
          </w:tcPr>
          <w:p w14:paraId="078256E5">
            <w:pPr>
              <w:pStyle w:val="133"/>
              <w:rPr>
                <w:b/>
                <w:bCs/>
              </w:rPr>
            </w:pPr>
          </w:p>
        </w:tc>
        <w:tc>
          <w:tcPr>
            <w:tcW w:w="992" w:type="dxa"/>
            <w:vMerge w:val="continue"/>
            <w:vAlign w:val="center"/>
          </w:tcPr>
          <w:p w14:paraId="2E4C3136">
            <w:pPr>
              <w:pStyle w:val="133"/>
              <w:rPr>
                <w:b/>
                <w:bCs/>
              </w:rPr>
            </w:pPr>
          </w:p>
        </w:tc>
        <w:tc>
          <w:tcPr>
            <w:tcW w:w="1106" w:type="dxa"/>
            <w:vMerge w:val="continue"/>
            <w:vAlign w:val="center"/>
          </w:tcPr>
          <w:p w14:paraId="3C08A9ED">
            <w:pPr>
              <w:pStyle w:val="133"/>
              <w:rPr>
                <w:b/>
                <w:bCs/>
              </w:rPr>
            </w:pPr>
          </w:p>
        </w:tc>
        <w:tc>
          <w:tcPr>
            <w:tcW w:w="2003" w:type="dxa"/>
            <w:gridSpan w:val="2"/>
            <w:vAlign w:val="center"/>
          </w:tcPr>
          <w:p w14:paraId="336BC39D">
            <w:pPr>
              <w:pStyle w:val="133"/>
              <w:rPr>
                <w:b/>
                <w:bCs/>
              </w:rPr>
            </w:pPr>
            <w:r>
              <w:rPr>
                <w:rFonts w:hint="eastAsia"/>
                <w:b/>
                <w:bCs/>
                <w:szCs w:val="21"/>
              </w:rPr>
              <w:t>1#水质和水位监测点</w:t>
            </w:r>
          </w:p>
        </w:tc>
        <w:tc>
          <w:tcPr>
            <w:tcW w:w="1984" w:type="dxa"/>
            <w:gridSpan w:val="2"/>
            <w:vAlign w:val="center"/>
          </w:tcPr>
          <w:p w14:paraId="483C21B2">
            <w:pPr>
              <w:pStyle w:val="133"/>
              <w:rPr>
                <w:b/>
                <w:bCs/>
              </w:rPr>
            </w:pPr>
            <w:r>
              <w:rPr>
                <w:rFonts w:hint="eastAsia"/>
                <w:b/>
                <w:bCs/>
                <w:szCs w:val="21"/>
              </w:rPr>
              <w:t>4#水质和水位监测点</w:t>
            </w:r>
          </w:p>
        </w:tc>
        <w:tc>
          <w:tcPr>
            <w:tcW w:w="1985" w:type="dxa"/>
            <w:gridSpan w:val="2"/>
            <w:vAlign w:val="center"/>
          </w:tcPr>
          <w:p w14:paraId="45E58454">
            <w:pPr>
              <w:pStyle w:val="133"/>
              <w:rPr>
                <w:b/>
                <w:bCs/>
              </w:rPr>
            </w:pPr>
            <w:r>
              <w:rPr>
                <w:rFonts w:hint="eastAsia"/>
                <w:b/>
                <w:bCs/>
                <w:szCs w:val="21"/>
              </w:rPr>
              <w:t>3#水质和水位监测点</w:t>
            </w:r>
          </w:p>
        </w:tc>
        <w:tc>
          <w:tcPr>
            <w:tcW w:w="1984" w:type="dxa"/>
            <w:gridSpan w:val="2"/>
            <w:vAlign w:val="center"/>
          </w:tcPr>
          <w:p w14:paraId="11125C1E">
            <w:pPr>
              <w:pStyle w:val="133"/>
              <w:rPr>
                <w:b/>
                <w:bCs/>
              </w:rPr>
            </w:pPr>
            <w:r>
              <w:rPr>
                <w:rFonts w:hint="eastAsia"/>
                <w:b/>
                <w:bCs/>
                <w:szCs w:val="21"/>
              </w:rPr>
              <w:t>2#水质和水位监测点</w:t>
            </w:r>
          </w:p>
        </w:tc>
        <w:tc>
          <w:tcPr>
            <w:tcW w:w="1985" w:type="dxa"/>
            <w:gridSpan w:val="2"/>
            <w:vAlign w:val="center"/>
          </w:tcPr>
          <w:p w14:paraId="086496F6">
            <w:pPr>
              <w:pStyle w:val="133"/>
              <w:rPr>
                <w:b/>
                <w:bCs/>
              </w:rPr>
            </w:pPr>
            <w:r>
              <w:rPr>
                <w:rFonts w:hint="eastAsia"/>
                <w:b/>
                <w:bCs/>
                <w:szCs w:val="21"/>
              </w:rPr>
              <w:t>5#水质和水位监测点</w:t>
            </w:r>
          </w:p>
        </w:tc>
      </w:tr>
      <w:tr w14:paraId="43798F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tblHeader/>
          <w:jc w:val="center"/>
        </w:trPr>
        <w:tc>
          <w:tcPr>
            <w:tcW w:w="1980" w:type="dxa"/>
            <w:vMerge w:val="continue"/>
            <w:vAlign w:val="center"/>
          </w:tcPr>
          <w:p w14:paraId="1A26D313">
            <w:pPr>
              <w:pStyle w:val="133"/>
              <w:rPr>
                <w:b/>
                <w:bCs/>
              </w:rPr>
            </w:pPr>
          </w:p>
        </w:tc>
        <w:tc>
          <w:tcPr>
            <w:tcW w:w="992" w:type="dxa"/>
            <w:vMerge w:val="continue"/>
            <w:vAlign w:val="center"/>
          </w:tcPr>
          <w:p w14:paraId="5E7C4F66">
            <w:pPr>
              <w:pStyle w:val="133"/>
              <w:rPr>
                <w:b/>
                <w:bCs/>
              </w:rPr>
            </w:pPr>
          </w:p>
        </w:tc>
        <w:tc>
          <w:tcPr>
            <w:tcW w:w="1106" w:type="dxa"/>
            <w:vMerge w:val="continue"/>
            <w:vAlign w:val="center"/>
          </w:tcPr>
          <w:p w14:paraId="61FEF18A">
            <w:pPr>
              <w:pStyle w:val="133"/>
              <w:rPr>
                <w:b/>
                <w:bCs/>
              </w:rPr>
            </w:pPr>
          </w:p>
        </w:tc>
        <w:tc>
          <w:tcPr>
            <w:tcW w:w="1010" w:type="dxa"/>
            <w:vAlign w:val="center"/>
          </w:tcPr>
          <w:p w14:paraId="0C853425">
            <w:pPr>
              <w:pStyle w:val="133"/>
              <w:rPr>
                <w:b/>
                <w:bCs/>
              </w:rPr>
            </w:pPr>
            <w:r>
              <w:rPr>
                <w:rFonts w:hint="eastAsia"/>
                <w:b/>
                <w:bCs/>
              </w:rPr>
              <w:t>监测结果</w:t>
            </w:r>
          </w:p>
        </w:tc>
        <w:tc>
          <w:tcPr>
            <w:tcW w:w="993" w:type="dxa"/>
            <w:vAlign w:val="center"/>
          </w:tcPr>
          <w:p w14:paraId="6D2E3054">
            <w:pPr>
              <w:pStyle w:val="133"/>
              <w:rPr>
                <w:b/>
                <w:bCs/>
              </w:rPr>
            </w:pPr>
            <w:r>
              <w:rPr>
                <w:b/>
                <w:bCs/>
              </w:rPr>
              <w:t>Pi</w:t>
            </w:r>
          </w:p>
        </w:tc>
        <w:tc>
          <w:tcPr>
            <w:tcW w:w="992" w:type="dxa"/>
            <w:vAlign w:val="center"/>
          </w:tcPr>
          <w:p w14:paraId="2000EBE5">
            <w:pPr>
              <w:pStyle w:val="133"/>
              <w:rPr>
                <w:b/>
                <w:bCs/>
              </w:rPr>
            </w:pPr>
            <w:r>
              <w:rPr>
                <w:rFonts w:hint="eastAsia"/>
                <w:b/>
                <w:bCs/>
              </w:rPr>
              <w:t>监测结果</w:t>
            </w:r>
          </w:p>
        </w:tc>
        <w:tc>
          <w:tcPr>
            <w:tcW w:w="992" w:type="dxa"/>
            <w:vAlign w:val="center"/>
          </w:tcPr>
          <w:p w14:paraId="5E6680E3">
            <w:pPr>
              <w:pStyle w:val="133"/>
              <w:rPr>
                <w:b/>
                <w:bCs/>
              </w:rPr>
            </w:pPr>
            <w:r>
              <w:rPr>
                <w:b/>
                <w:bCs/>
              </w:rPr>
              <w:t>Pi</w:t>
            </w:r>
          </w:p>
        </w:tc>
        <w:tc>
          <w:tcPr>
            <w:tcW w:w="992" w:type="dxa"/>
            <w:vAlign w:val="center"/>
          </w:tcPr>
          <w:p w14:paraId="1D6B765C">
            <w:pPr>
              <w:pStyle w:val="133"/>
              <w:rPr>
                <w:b/>
                <w:bCs/>
              </w:rPr>
            </w:pPr>
            <w:r>
              <w:rPr>
                <w:rFonts w:hint="eastAsia"/>
                <w:b/>
                <w:bCs/>
              </w:rPr>
              <w:t>监测结果</w:t>
            </w:r>
          </w:p>
        </w:tc>
        <w:tc>
          <w:tcPr>
            <w:tcW w:w="993" w:type="dxa"/>
            <w:vAlign w:val="center"/>
          </w:tcPr>
          <w:p w14:paraId="3EA85E7F">
            <w:pPr>
              <w:pStyle w:val="133"/>
              <w:rPr>
                <w:b/>
                <w:bCs/>
              </w:rPr>
            </w:pPr>
            <w:r>
              <w:rPr>
                <w:b/>
                <w:bCs/>
              </w:rPr>
              <w:t>Pi</w:t>
            </w:r>
          </w:p>
        </w:tc>
        <w:tc>
          <w:tcPr>
            <w:tcW w:w="850" w:type="dxa"/>
            <w:vAlign w:val="center"/>
          </w:tcPr>
          <w:p w14:paraId="5C3DF504">
            <w:pPr>
              <w:pStyle w:val="133"/>
              <w:rPr>
                <w:b/>
                <w:bCs/>
              </w:rPr>
            </w:pPr>
            <w:r>
              <w:rPr>
                <w:rFonts w:hint="eastAsia"/>
                <w:b/>
                <w:bCs/>
              </w:rPr>
              <w:t>监测结果</w:t>
            </w:r>
          </w:p>
        </w:tc>
        <w:tc>
          <w:tcPr>
            <w:tcW w:w="1134" w:type="dxa"/>
            <w:vAlign w:val="center"/>
          </w:tcPr>
          <w:p w14:paraId="4FED9436">
            <w:pPr>
              <w:pStyle w:val="133"/>
              <w:rPr>
                <w:b/>
                <w:bCs/>
              </w:rPr>
            </w:pPr>
            <w:r>
              <w:rPr>
                <w:b/>
                <w:bCs/>
              </w:rPr>
              <w:t>Pi</w:t>
            </w:r>
          </w:p>
        </w:tc>
        <w:tc>
          <w:tcPr>
            <w:tcW w:w="850" w:type="dxa"/>
            <w:vAlign w:val="center"/>
          </w:tcPr>
          <w:p w14:paraId="685BBBD3">
            <w:pPr>
              <w:pStyle w:val="133"/>
              <w:rPr>
                <w:b/>
                <w:bCs/>
              </w:rPr>
            </w:pPr>
            <w:r>
              <w:rPr>
                <w:rFonts w:hint="eastAsia"/>
                <w:b/>
                <w:bCs/>
              </w:rPr>
              <w:t>监测结果</w:t>
            </w:r>
          </w:p>
        </w:tc>
        <w:tc>
          <w:tcPr>
            <w:tcW w:w="1135" w:type="dxa"/>
            <w:vAlign w:val="center"/>
          </w:tcPr>
          <w:p w14:paraId="2241702F">
            <w:pPr>
              <w:pStyle w:val="133"/>
              <w:rPr>
                <w:b/>
                <w:bCs/>
              </w:rPr>
            </w:pPr>
            <w:r>
              <w:rPr>
                <w:b/>
                <w:bCs/>
              </w:rPr>
              <w:t>Pi</w:t>
            </w:r>
          </w:p>
        </w:tc>
      </w:tr>
      <w:tr w14:paraId="33314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2980D01F">
            <w:pPr>
              <w:pStyle w:val="133"/>
            </w:pPr>
            <w:r>
              <w:t>K</w:t>
            </w:r>
            <w:r>
              <w:rPr>
                <w:vertAlign w:val="superscript"/>
              </w:rPr>
              <w:t>+</w:t>
            </w:r>
          </w:p>
        </w:tc>
        <w:tc>
          <w:tcPr>
            <w:tcW w:w="992" w:type="dxa"/>
            <w:vAlign w:val="center"/>
          </w:tcPr>
          <w:p w14:paraId="4DBD0895">
            <w:pPr>
              <w:pStyle w:val="133"/>
            </w:pPr>
            <w:r>
              <w:t>mg/L</w:t>
            </w:r>
          </w:p>
        </w:tc>
        <w:tc>
          <w:tcPr>
            <w:tcW w:w="1106" w:type="dxa"/>
            <w:vAlign w:val="center"/>
          </w:tcPr>
          <w:p w14:paraId="67FF155E">
            <w:pPr>
              <w:pStyle w:val="133"/>
            </w:pPr>
            <w:r>
              <w:t>/</w:t>
            </w:r>
          </w:p>
        </w:tc>
        <w:tc>
          <w:tcPr>
            <w:tcW w:w="1010" w:type="dxa"/>
            <w:vAlign w:val="center"/>
          </w:tcPr>
          <w:p w14:paraId="3FE39DCD">
            <w:pPr>
              <w:pStyle w:val="133"/>
            </w:pPr>
            <w:r>
              <w:rPr>
                <w:rFonts w:hint="eastAsia"/>
              </w:rPr>
              <w:t>1.34</w:t>
            </w:r>
          </w:p>
        </w:tc>
        <w:tc>
          <w:tcPr>
            <w:tcW w:w="993" w:type="dxa"/>
            <w:vAlign w:val="center"/>
          </w:tcPr>
          <w:p w14:paraId="1A299578">
            <w:pPr>
              <w:pStyle w:val="133"/>
            </w:pPr>
            <w:r>
              <w:t>/</w:t>
            </w:r>
          </w:p>
        </w:tc>
        <w:tc>
          <w:tcPr>
            <w:tcW w:w="992" w:type="dxa"/>
            <w:vAlign w:val="center"/>
          </w:tcPr>
          <w:p w14:paraId="4857E7D2">
            <w:pPr>
              <w:pStyle w:val="133"/>
            </w:pPr>
            <w:r>
              <w:rPr>
                <w:rFonts w:hint="eastAsia"/>
              </w:rPr>
              <w:t>0.85</w:t>
            </w:r>
          </w:p>
        </w:tc>
        <w:tc>
          <w:tcPr>
            <w:tcW w:w="992" w:type="dxa"/>
            <w:vAlign w:val="center"/>
          </w:tcPr>
          <w:p w14:paraId="6F654B36">
            <w:pPr>
              <w:pStyle w:val="133"/>
            </w:pPr>
            <w:r>
              <w:t>/</w:t>
            </w:r>
          </w:p>
        </w:tc>
        <w:tc>
          <w:tcPr>
            <w:tcW w:w="992" w:type="dxa"/>
            <w:vAlign w:val="center"/>
          </w:tcPr>
          <w:p w14:paraId="1C035459">
            <w:pPr>
              <w:pStyle w:val="133"/>
            </w:pPr>
            <w:r>
              <w:rPr>
                <w:rFonts w:hint="eastAsia"/>
              </w:rPr>
              <w:t>/</w:t>
            </w:r>
          </w:p>
        </w:tc>
        <w:tc>
          <w:tcPr>
            <w:tcW w:w="993" w:type="dxa"/>
            <w:vAlign w:val="center"/>
          </w:tcPr>
          <w:p w14:paraId="46C7AC61">
            <w:pPr>
              <w:pStyle w:val="133"/>
            </w:pPr>
            <w:r>
              <w:rPr>
                <w:rFonts w:hint="eastAsia"/>
              </w:rPr>
              <w:t>/</w:t>
            </w:r>
          </w:p>
        </w:tc>
        <w:tc>
          <w:tcPr>
            <w:tcW w:w="850" w:type="dxa"/>
            <w:vAlign w:val="center"/>
          </w:tcPr>
          <w:p w14:paraId="752CDB1A">
            <w:pPr>
              <w:pStyle w:val="133"/>
            </w:pPr>
            <w:r>
              <w:rPr>
                <w:rFonts w:hint="eastAsia" w:cs="Times New Roman"/>
                <w:color w:val="000000"/>
                <w:szCs w:val="21"/>
              </w:rPr>
              <w:t>3.10</w:t>
            </w:r>
          </w:p>
        </w:tc>
        <w:tc>
          <w:tcPr>
            <w:tcW w:w="1134" w:type="dxa"/>
            <w:vAlign w:val="center"/>
          </w:tcPr>
          <w:p w14:paraId="54DE7ACA">
            <w:pPr>
              <w:pStyle w:val="133"/>
            </w:pPr>
            <w:r>
              <w:t>/</w:t>
            </w:r>
          </w:p>
        </w:tc>
        <w:tc>
          <w:tcPr>
            <w:tcW w:w="850" w:type="dxa"/>
            <w:vAlign w:val="center"/>
          </w:tcPr>
          <w:p w14:paraId="76198B72">
            <w:pPr>
              <w:pStyle w:val="133"/>
            </w:pPr>
            <w:r>
              <w:rPr>
                <w:rFonts w:hint="eastAsia"/>
              </w:rPr>
              <w:t>1.92</w:t>
            </w:r>
          </w:p>
        </w:tc>
        <w:tc>
          <w:tcPr>
            <w:tcW w:w="1135" w:type="dxa"/>
            <w:vAlign w:val="center"/>
          </w:tcPr>
          <w:p w14:paraId="4D077C1D">
            <w:pPr>
              <w:pStyle w:val="133"/>
            </w:pPr>
            <w:r>
              <w:rPr>
                <w:rFonts w:hint="eastAsia"/>
              </w:rPr>
              <w:t>/</w:t>
            </w:r>
          </w:p>
        </w:tc>
      </w:tr>
      <w:tr w14:paraId="74B9CA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0571A0B0">
            <w:pPr>
              <w:pStyle w:val="133"/>
            </w:pPr>
            <w:r>
              <w:t>Ca</w:t>
            </w:r>
            <w:r>
              <w:rPr>
                <w:vertAlign w:val="superscript"/>
              </w:rPr>
              <w:t>2+</w:t>
            </w:r>
          </w:p>
        </w:tc>
        <w:tc>
          <w:tcPr>
            <w:tcW w:w="992" w:type="dxa"/>
            <w:vAlign w:val="center"/>
          </w:tcPr>
          <w:p w14:paraId="732E2061">
            <w:pPr>
              <w:pStyle w:val="133"/>
            </w:pPr>
            <w:r>
              <w:t>mg/L</w:t>
            </w:r>
          </w:p>
        </w:tc>
        <w:tc>
          <w:tcPr>
            <w:tcW w:w="1106" w:type="dxa"/>
            <w:vAlign w:val="center"/>
          </w:tcPr>
          <w:p w14:paraId="4B9D1C07">
            <w:pPr>
              <w:pStyle w:val="133"/>
            </w:pPr>
            <w:r>
              <w:rPr>
                <w:rFonts w:hint="eastAsia"/>
              </w:rPr>
              <w:t>/</w:t>
            </w:r>
          </w:p>
        </w:tc>
        <w:tc>
          <w:tcPr>
            <w:tcW w:w="1010" w:type="dxa"/>
            <w:vAlign w:val="center"/>
          </w:tcPr>
          <w:p w14:paraId="65491CDF">
            <w:pPr>
              <w:pStyle w:val="133"/>
            </w:pPr>
            <w:r>
              <w:rPr>
                <w:rFonts w:hint="eastAsia"/>
              </w:rPr>
              <w:t>22.9</w:t>
            </w:r>
          </w:p>
        </w:tc>
        <w:tc>
          <w:tcPr>
            <w:tcW w:w="993" w:type="dxa"/>
            <w:vAlign w:val="center"/>
          </w:tcPr>
          <w:p w14:paraId="40E5792B">
            <w:pPr>
              <w:pStyle w:val="133"/>
            </w:pPr>
            <w:r>
              <w:rPr>
                <w:rFonts w:hint="eastAsia"/>
              </w:rPr>
              <w:t>/</w:t>
            </w:r>
          </w:p>
        </w:tc>
        <w:tc>
          <w:tcPr>
            <w:tcW w:w="992" w:type="dxa"/>
            <w:vAlign w:val="center"/>
          </w:tcPr>
          <w:p w14:paraId="3E663E83">
            <w:pPr>
              <w:pStyle w:val="133"/>
            </w:pPr>
            <w:r>
              <w:rPr>
                <w:rFonts w:hint="eastAsia"/>
              </w:rPr>
              <w:t>12.6</w:t>
            </w:r>
          </w:p>
        </w:tc>
        <w:tc>
          <w:tcPr>
            <w:tcW w:w="992" w:type="dxa"/>
            <w:vAlign w:val="center"/>
          </w:tcPr>
          <w:p w14:paraId="737903E6">
            <w:pPr>
              <w:pStyle w:val="133"/>
            </w:pPr>
            <w:r>
              <w:rPr>
                <w:rFonts w:hint="eastAsia"/>
              </w:rPr>
              <w:t>/</w:t>
            </w:r>
          </w:p>
        </w:tc>
        <w:tc>
          <w:tcPr>
            <w:tcW w:w="992" w:type="dxa"/>
            <w:vAlign w:val="center"/>
          </w:tcPr>
          <w:p w14:paraId="0497865E">
            <w:pPr>
              <w:pStyle w:val="133"/>
            </w:pPr>
            <w:r>
              <w:rPr>
                <w:rFonts w:hint="eastAsia"/>
              </w:rPr>
              <w:t>/</w:t>
            </w:r>
          </w:p>
        </w:tc>
        <w:tc>
          <w:tcPr>
            <w:tcW w:w="993" w:type="dxa"/>
            <w:vAlign w:val="center"/>
          </w:tcPr>
          <w:p w14:paraId="440A88B5">
            <w:pPr>
              <w:pStyle w:val="133"/>
            </w:pPr>
            <w:r>
              <w:rPr>
                <w:rFonts w:hint="eastAsia"/>
              </w:rPr>
              <w:t>/</w:t>
            </w:r>
          </w:p>
        </w:tc>
        <w:tc>
          <w:tcPr>
            <w:tcW w:w="850" w:type="dxa"/>
            <w:vAlign w:val="center"/>
          </w:tcPr>
          <w:p w14:paraId="632B694F">
            <w:pPr>
              <w:pStyle w:val="133"/>
            </w:pPr>
            <w:r>
              <w:rPr>
                <w:rFonts w:hint="eastAsia" w:cs="Times New Roman"/>
                <w:color w:val="000000"/>
                <w:szCs w:val="21"/>
              </w:rPr>
              <w:t>150</w:t>
            </w:r>
          </w:p>
        </w:tc>
        <w:tc>
          <w:tcPr>
            <w:tcW w:w="1134" w:type="dxa"/>
            <w:vAlign w:val="center"/>
          </w:tcPr>
          <w:p w14:paraId="1373E893">
            <w:pPr>
              <w:pStyle w:val="133"/>
            </w:pPr>
            <w:r>
              <w:rPr>
                <w:rFonts w:hint="eastAsia"/>
              </w:rPr>
              <w:t>/</w:t>
            </w:r>
          </w:p>
        </w:tc>
        <w:tc>
          <w:tcPr>
            <w:tcW w:w="850" w:type="dxa"/>
            <w:vAlign w:val="center"/>
          </w:tcPr>
          <w:p w14:paraId="60ADFFF4">
            <w:pPr>
              <w:pStyle w:val="133"/>
            </w:pPr>
            <w:r>
              <w:rPr>
                <w:rFonts w:hint="eastAsia"/>
              </w:rPr>
              <w:t>61.5</w:t>
            </w:r>
          </w:p>
        </w:tc>
        <w:tc>
          <w:tcPr>
            <w:tcW w:w="1135" w:type="dxa"/>
            <w:vAlign w:val="center"/>
          </w:tcPr>
          <w:p w14:paraId="0E412875">
            <w:pPr>
              <w:pStyle w:val="133"/>
            </w:pPr>
            <w:r>
              <w:rPr>
                <w:rFonts w:hint="eastAsia"/>
              </w:rPr>
              <w:t>/</w:t>
            </w:r>
          </w:p>
        </w:tc>
      </w:tr>
      <w:tr w14:paraId="5A1255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16A5DA17">
            <w:pPr>
              <w:pStyle w:val="133"/>
            </w:pPr>
            <w:r>
              <w:t>Na</w:t>
            </w:r>
            <w:r>
              <w:rPr>
                <w:vertAlign w:val="superscript"/>
              </w:rPr>
              <w:t>+</w:t>
            </w:r>
          </w:p>
        </w:tc>
        <w:tc>
          <w:tcPr>
            <w:tcW w:w="992" w:type="dxa"/>
            <w:vAlign w:val="center"/>
          </w:tcPr>
          <w:p w14:paraId="73AC6012">
            <w:pPr>
              <w:pStyle w:val="133"/>
            </w:pPr>
            <w:r>
              <w:t>mg/L</w:t>
            </w:r>
          </w:p>
        </w:tc>
        <w:tc>
          <w:tcPr>
            <w:tcW w:w="1106" w:type="dxa"/>
            <w:vAlign w:val="center"/>
          </w:tcPr>
          <w:p w14:paraId="36EE89D3">
            <w:pPr>
              <w:pStyle w:val="133"/>
            </w:pPr>
            <w:r>
              <w:rPr>
                <w:rFonts w:hint="eastAsia"/>
              </w:rPr>
              <w:t>/</w:t>
            </w:r>
          </w:p>
        </w:tc>
        <w:tc>
          <w:tcPr>
            <w:tcW w:w="1010" w:type="dxa"/>
            <w:vAlign w:val="center"/>
          </w:tcPr>
          <w:p w14:paraId="782A4415">
            <w:pPr>
              <w:pStyle w:val="133"/>
            </w:pPr>
            <w:r>
              <w:rPr>
                <w:rFonts w:hint="eastAsia"/>
              </w:rPr>
              <w:t>39.0</w:t>
            </w:r>
          </w:p>
        </w:tc>
        <w:tc>
          <w:tcPr>
            <w:tcW w:w="993" w:type="dxa"/>
            <w:vAlign w:val="center"/>
          </w:tcPr>
          <w:p w14:paraId="0882D111">
            <w:pPr>
              <w:pStyle w:val="133"/>
            </w:pPr>
            <w:r>
              <w:rPr>
                <w:rFonts w:hint="eastAsia"/>
              </w:rPr>
              <w:t>/</w:t>
            </w:r>
          </w:p>
        </w:tc>
        <w:tc>
          <w:tcPr>
            <w:tcW w:w="992" w:type="dxa"/>
            <w:vAlign w:val="center"/>
          </w:tcPr>
          <w:p w14:paraId="1D9B4156">
            <w:pPr>
              <w:pStyle w:val="133"/>
            </w:pPr>
            <w:r>
              <w:rPr>
                <w:rFonts w:hint="eastAsia"/>
              </w:rPr>
              <w:t>71.1</w:t>
            </w:r>
          </w:p>
        </w:tc>
        <w:tc>
          <w:tcPr>
            <w:tcW w:w="992" w:type="dxa"/>
            <w:vAlign w:val="center"/>
          </w:tcPr>
          <w:p w14:paraId="682630A5">
            <w:pPr>
              <w:pStyle w:val="133"/>
            </w:pPr>
            <w:r>
              <w:rPr>
                <w:rFonts w:hint="eastAsia"/>
              </w:rPr>
              <w:t>/</w:t>
            </w:r>
          </w:p>
        </w:tc>
        <w:tc>
          <w:tcPr>
            <w:tcW w:w="992" w:type="dxa"/>
            <w:vAlign w:val="center"/>
          </w:tcPr>
          <w:p w14:paraId="1C2510D2">
            <w:pPr>
              <w:pStyle w:val="133"/>
            </w:pPr>
            <w:r>
              <w:rPr>
                <w:rFonts w:hint="eastAsia"/>
              </w:rPr>
              <w:t>35.7</w:t>
            </w:r>
          </w:p>
        </w:tc>
        <w:tc>
          <w:tcPr>
            <w:tcW w:w="993" w:type="dxa"/>
            <w:vAlign w:val="center"/>
          </w:tcPr>
          <w:p w14:paraId="55030AD3">
            <w:pPr>
              <w:pStyle w:val="133"/>
            </w:pPr>
            <w:r>
              <w:rPr>
                <w:rFonts w:hint="eastAsia"/>
              </w:rPr>
              <w:t>/</w:t>
            </w:r>
          </w:p>
        </w:tc>
        <w:tc>
          <w:tcPr>
            <w:tcW w:w="850" w:type="dxa"/>
            <w:vAlign w:val="center"/>
          </w:tcPr>
          <w:p w14:paraId="70C325E1">
            <w:pPr>
              <w:pStyle w:val="133"/>
            </w:pPr>
            <w:r>
              <w:rPr>
                <w:rFonts w:hint="eastAsia"/>
              </w:rPr>
              <w:t>102</w:t>
            </w:r>
          </w:p>
        </w:tc>
        <w:tc>
          <w:tcPr>
            <w:tcW w:w="1134" w:type="dxa"/>
            <w:vAlign w:val="center"/>
          </w:tcPr>
          <w:p w14:paraId="099111CB">
            <w:pPr>
              <w:pStyle w:val="133"/>
            </w:pPr>
            <w:r>
              <w:rPr>
                <w:rFonts w:hint="eastAsia"/>
              </w:rPr>
              <w:t>/</w:t>
            </w:r>
          </w:p>
        </w:tc>
        <w:tc>
          <w:tcPr>
            <w:tcW w:w="850" w:type="dxa"/>
            <w:vAlign w:val="center"/>
          </w:tcPr>
          <w:p w14:paraId="1D643F56">
            <w:pPr>
              <w:pStyle w:val="133"/>
            </w:pPr>
            <w:r>
              <w:rPr>
                <w:rFonts w:hint="eastAsia"/>
              </w:rPr>
              <w:t>90.4</w:t>
            </w:r>
          </w:p>
        </w:tc>
        <w:tc>
          <w:tcPr>
            <w:tcW w:w="1135" w:type="dxa"/>
            <w:vAlign w:val="center"/>
          </w:tcPr>
          <w:p w14:paraId="29DE8EA0">
            <w:pPr>
              <w:pStyle w:val="133"/>
            </w:pPr>
            <w:r>
              <w:rPr>
                <w:rFonts w:hint="eastAsia"/>
              </w:rPr>
              <w:t>/</w:t>
            </w:r>
          </w:p>
        </w:tc>
      </w:tr>
      <w:tr w14:paraId="699CE9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0C645DD7">
            <w:pPr>
              <w:pStyle w:val="133"/>
            </w:pPr>
            <w:r>
              <w:t>Mg</w:t>
            </w:r>
            <w:r>
              <w:rPr>
                <w:vertAlign w:val="superscript"/>
              </w:rPr>
              <w:t>2+</w:t>
            </w:r>
          </w:p>
        </w:tc>
        <w:tc>
          <w:tcPr>
            <w:tcW w:w="992" w:type="dxa"/>
            <w:vAlign w:val="center"/>
          </w:tcPr>
          <w:p w14:paraId="0170C4C5">
            <w:pPr>
              <w:pStyle w:val="133"/>
            </w:pPr>
            <w:r>
              <w:t>mg/L</w:t>
            </w:r>
          </w:p>
        </w:tc>
        <w:tc>
          <w:tcPr>
            <w:tcW w:w="1106" w:type="dxa"/>
            <w:vAlign w:val="center"/>
          </w:tcPr>
          <w:p w14:paraId="5E396DDD">
            <w:pPr>
              <w:pStyle w:val="133"/>
            </w:pPr>
            <w:r>
              <w:rPr>
                <w:rFonts w:hint="eastAsia"/>
              </w:rPr>
              <w:t>/</w:t>
            </w:r>
          </w:p>
        </w:tc>
        <w:tc>
          <w:tcPr>
            <w:tcW w:w="1010" w:type="dxa"/>
            <w:vAlign w:val="center"/>
          </w:tcPr>
          <w:p w14:paraId="5C38AF3F">
            <w:pPr>
              <w:pStyle w:val="133"/>
            </w:pPr>
            <w:r>
              <w:rPr>
                <w:rFonts w:hint="eastAsia"/>
              </w:rPr>
              <w:t>2.39</w:t>
            </w:r>
          </w:p>
        </w:tc>
        <w:tc>
          <w:tcPr>
            <w:tcW w:w="993" w:type="dxa"/>
            <w:vAlign w:val="center"/>
          </w:tcPr>
          <w:p w14:paraId="05A7E1C7">
            <w:pPr>
              <w:pStyle w:val="133"/>
            </w:pPr>
            <w:r>
              <w:rPr>
                <w:rFonts w:hint="eastAsia"/>
              </w:rPr>
              <w:t>/</w:t>
            </w:r>
          </w:p>
        </w:tc>
        <w:tc>
          <w:tcPr>
            <w:tcW w:w="992" w:type="dxa"/>
            <w:vAlign w:val="center"/>
          </w:tcPr>
          <w:p w14:paraId="148D3343">
            <w:pPr>
              <w:pStyle w:val="133"/>
            </w:pPr>
            <w:r>
              <w:rPr>
                <w:rFonts w:hint="eastAsia"/>
              </w:rPr>
              <w:t>1.23</w:t>
            </w:r>
          </w:p>
        </w:tc>
        <w:tc>
          <w:tcPr>
            <w:tcW w:w="992" w:type="dxa"/>
            <w:vAlign w:val="center"/>
          </w:tcPr>
          <w:p w14:paraId="07F44C03">
            <w:pPr>
              <w:pStyle w:val="133"/>
            </w:pPr>
            <w:r>
              <w:rPr>
                <w:rFonts w:hint="eastAsia"/>
              </w:rPr>
              <w:t>/</w:t>
            </w:r>
          </w:p>
        </w:tc>
        <w:tc>
          <w:tcPr>
            <w:tcW w:w="992" w:type="dxa"/>
            <w:vAlign w:val="center"/>
          </w:tcPr>
          <w:p w14:paraId="4214CB2F">
            <w:pPr>
              <w:pStyle w:val="133"/>
            </w:pPr>
            <w:r>
              <w:rPr>
                <w:rFonts w:hint="eastAsia"/>
              </w:rPr>
              <w:t>/</w:t>
            </w:r>
          </w:p>
        </w:tc>
        <w:tc>
          <w:tcPr>
            <w:tcW w:w="993" w:type="dxa"/>
            <w:vAlign w:val="center"/>
          </w:tcPr>
          <w:p w14:paraId="32C3977A">
            <w:pPr>
              <w:pStyle w:val="133"/>
            </w:pPr>
            <w:r>
              <w:rPr>
                <w:rFonts w:hint="eastAsia"/>
              </w:rPr>
              <w:t>/</w:t>
            </w:r>
          </w:p>
        </w:tc>
        <w:tc>
          <w:tcPr>
            <w:tcW w:w="850" w:type="dxa"/>
            <w:vAlign w:val="center"/>
          </w:tcPr>
          <w:p w14:paraId="1496EF27">
            <w:pPr>
              <w:pStyle w:val="133"/>
            </w:pPr>
            <w:r>
              <w:rPr>
                <w:rFonts w:hint="eastAsia"/>
              </w:rPr>
              <w:t>20.6</w:t>
            </w:r>
          </w:p>
        </w:tc>
        <w:tc>
          <w:tcPr>
            <w:tcW w:w="1134" w:type="dxa"/>
            <w:vAlign w:val="center"/>
          </w:tcPr>
          <w:p w14:paraId="7D6157BF">
            <w:pPr>
              <w:pStyle w:val="133"/>
            </w:pPr>
            <w:r>
              <w:rPr>
                <w:rFonts w:hint="eastAsia"/>
              </w:rPr>
              <w:t>/</w:t>
            </w:r>
          </w:p>
        </w:tc>
        <w:tc>
          <w:tcPr>
            <w:tcW w:w="850" w:type="dxa"/>
            <w:vAlign w:val="center"/>
          </w:tcPr>
          <w:p w14:paraId="1A703D84">
            <w:pPr>
              <w:pStyle w:val="133"/>
            </w:pPr>
            <w:r>
              <w:rPr>
                <w:rFonts w:hint="eastAsia"/>
              </w:rPr>
              <w:t>6.46</w:t>
            </w:r>
          </w:p>
        </w:tc>
        <w:tc>
          <w:tcPr>
            <w:tcW w:w="1135" w:type="dxa"/>
            <w:vAlign w:val="center"/>
          </w:tcPr>
          <w:p w14:paraId="5EF49FA2">
            <w:pPr>
              <w:pStyle w:val="133"/>
            </w:pPr>
            <w:r>
              <w:rPr>
                <w:rFonts w:hint="eastAsia"/>
              </w:rPr>
              <w:t>/</w:t>
            </w:r>
          </w:p>
        </w:tc>
      </w:tr>
      <w:tr w14:paraId="2B67E9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43C6643D">
            <w:pPr>
              <w:pStyle w:val="133"/>
            </w:pPr>
            <w:r>
              <w:rPr>
                <w:rFonts w:hint="eastAsia"/>
              </w:rPr>
              <w:t>硫酸盐（以</w:t>
            </w:r>
            <w:r>
              <w:t>SO</w:t>
            </w:r>
            <w:r>
              <w:rPr>
                <w:vertAlign w:val="subscript"/>
              </w:rPr>
              <w:t>4</w:t>
            </w:r>
            <w:r>
              <w:rPr>
                <w:vertAlign w:val="superscript"/>
              </w:rPr>
              <w:t>2-</w:t>
            </w:r>
            <w:r>
              <w:rPr>
                <w:rFonts w:hint="eastAsia"/>
              </w:rPr>
              <w:t>计）</w:t>
            </w:r>
          </w:p>
        </w:tc>
        <w:tc>
          <w:tcPr>
            <w:tcW w:w="992" w:type="dxa"/>
            <w:vAlign w:val="center"/>
          </w:tcPr>
          <w:p w14:paraId="2D0054C6">
            <w:pPr>
              <w:pStyle w:val="133"/>
            </w:pPr>
            <w:r>
              <w:t>mg/L</w:t>
            </w:r>
          </w:p>
        </w:tc>
        <w:tc>
          <w:tcPr>
            <w:tcW w:w="1106" w:type="dxa"/>
            <w:vAlign w:val="center"/>
          </w:tcPr>
          <w:p w14:paraId="00C0F6E4">
            <w:pPr>
              <w:pStyle w:val="133"/>
            </w:pPr>
            <w:r>
              <w:rPr>
                <w:rFonts w:hint="eastAsia"/>
              </w:rPr>
              <w:t>2</w:t>
            </w:r>
            <w:r>
              <w:t>50</w:t>
            </w:r>
          </w:p>
        </w:tc>
        <w:tc>
          <w:tcPr>
            <w:tcW w:w="1010" w:type="dxa"/>
            <w:vAlign w:val="center"/>
          </w:tcPr>
          <w:p w14:paraId="05CC3CD5">
            <w:pPr>
              <w:pStyle w:val="133"/>
            </w:pPr>
            <w:r>
              <w:rPr>
                <w:rFonts w:hint="eastAsia"/>
              </w:rPr>
              <w:t>49.2</w:t>
            </w:r>
          </w:p>
        </w:tc>
        <w:tc>
          <w:tcPr>
            <w:tcW w:w="993" w:type="dxa"/>
            <w:vAlign w:val="center"/>
          </w:tcPr>
          <w:p w14:paraId="07466D1C">
            <w:pPr>
              <w:pStyle w:val="133"/>
            </w:pPr>
            <w:r>
              <w:rPr>
                <w:rFonts w:hint="eastAsia"/>
              </w:rPr>
              <w:t>0.1968</w:t>
            </w:r>
          </w:p>
        </w:tc>
        <w:tc>
          <w:tcPr>
            <w:tcW w:w="992" w:type="dxa"/>
            <w:vAlign w:val="center"/>
          </w:tcPr>
          <w:p w14:paraId="33D46CD9">
            <w:pPr>
              <w:pStyle w:val="133"/>
            </w:pPr>
            <w:r>
              <w:rPr>
                <w:rFonts w:hint="eastAsia"/>
              </w:rPr>
              <w:t>51.6</w:t>
            </w:r>
          </w:p>
        </w:tc>
        <w:tc>
          <w:tcPr>
            <w:tcW w:w="992" w:type="dxa"/>
            <w:vAlign w:val="center"/>
          </w:tcPr>
          <w:p w14:paraId="776098B3">
            <w:pPr>
              <w:pStyle w:val="133"/>
            </w:pPr>
            <w:r>
              <w:rPr>
                <w:rFonts w:hint="eastAsia"/>
              </w:rPr>
              <w:t>0.2064</w:t>
            </w:r>
          </w:p>
        </w:tc>
        <w:tc>
          <w:tcPr>
            <w:tcW w:w="992" w:type="dxa"/>
            <w:vAlign w:val="center"/>
          </w:tcPr>
          <w:p w14:paraId="4FCF1592">
            <w:pPr>
              <w:pStyle w:val="133"/>
            </w:pPr>
            <w:r>
              <w:rPr>
                <w:rFonts w:hint="eastAsia"/>
              </w:rPr>
              <w:t>70.3</w:t>
            </w:r>
          </w:p>
        </w:tc>
        <w:tc>
          <w:tcPr>
            <w:tcW w:w="993" w:type="dxa"/>
            <w:vAlign w:val="center"/>
          </w:tcPr>
          <w:p w14:paraId="567B5655">
            <w:pPr>
              <w:pStyle w:val="133"/>
            </w:pPr>
            <w:r>
              <w:rPr>
                <w:rFonts w:hint="eastAsia"/>
              </w:rPr>
              <w:t>0.281</w:t>
            </w:r>
          </w:p>
        </w:tc>
        <w:tc>
          <w:tcPr>
            <w:tcW w:w="850" w:type="dxa"/>
            <w:vAlign w:val="center"/>
          </w:tcPr>
          <w:p w14:paraId="54ABE1FB">
            <w:pPr>
              <w:pStyle w:val="133"/>
            </w:pPr>
            <w:r>
              <w:rPr>
                <w:rFonts w:hint="eastAsia" w:cs="Times New Roman"/>
                <w:color w:val="000000"/>
                <w:szCs w:val="21"/>
              </w:rPr>
              <w:t>107</w:t>
            </w:r>
          </w:p>
        </w:tc>
        <w:tc>
          <w:tcPr>
            <w:tcW w:w="1134" w:type="dxa"/>
            <w:vAlign w:val="center"/>
          </w:tcPr>
          <w:p w14:paraId="610931A0">
            <w:pPr>
              <w:pStyle w:val="133"/>
            </w:pPr>
            <w:r>
              <w:rPr>
                <w:rFonts w:hint="eastAsia"/>
              </w:rPr>
              <w:t>0.428</w:t>
            </w:r>
          </w:p>
        </w:tc>
        <w:tc>
          <w:tcPr>
            <w:tcW w:w="850" w:type="dxa"/>
            <w:vAlign w:val="center"/>
          </w:tcPr>
          <w:p w14:paraId="38C19FFE">
            <w:pPr>
              <w:pStyle w:val="133"/>
            </w:pPr>
            <w:r>
              <w:rPr>
                <w:rFonts w:hint="eastAsia"/>
              </w:rPr>
              <w:t>178</w:t>
            </w:r>
          </w:p>
        </w:tc>
        <w:tc>
          <w:tcPr>
            <w:tcW w:w="1135" w:type="dxa"/>
            <w:vAlign w:val="center"/>
          </w:tcPr>
          <w:p w14:paraId="77239715">
            <w:pPr>
              <w:pStyle w:val="133"/>
            </w:pPr>
            <w:r>
              <w:rPr>
                <w:rFonts w:hint="eastAsia"/>
              </w:rPr>
              <w:t>0.712</w:t>
            </w:r>
          </w:p>
        </w:tc>
      </w:tr>
      <w:tr w14:paraId="64EAAC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4C6B45CA">
            <w:pPr>
              <w:pStyle w:val="133"/>
            </w:pPr>
            <w:r>
              <w:rPr>
                <w:rFonts w:hint="eastAsia"/>
              </w:rPr>
              <w:t>氯化物（以</w:t>
            </w:r>
            <w:r>
              <w:t>Cl</w:t>
            </w:r>
            <w:r>
              <w:rPr>
                <w:vertAlign w:val="superscript"/>
              </w:rPr>
              <w:t>-</w:t>
            </w:r>
            <w:r>
              <w:rPr>
                <w:rFonts w:hint="eastAsia"/>
              </w:rPr>
              <w:t>计）</w:t>
            </w:r>
          </w:p>
        </w:tc>
        <w:tc>
          <w:tcPr>
            <w:tcW w:w="992" w:type="dxa"/>
            <w:vAlign w:val="center"/>
          </w:tcPr>
          <w:p w14:paraId="4A61298E">
            <w:pPr>
              <w:pStyle w:val="133"/>
            </w:pPr>
            <w:r>
              <w:t>mg/L</w:t>
            </w:r>
          </w:p>
        </w:tc>
        <w:tc>
          <w:tcPr>
            <w:tcW w:w="1106" w:type="dxa"/>
            <w:vAlign w:val="center"/>
          </w:tcPr>
          <w:p w14:paraId="0C83F7E4">
            <w:pPr>
              <w:pStyle w:val="133"/>
            </w:pPr>
            <w:r>
              <w:rPr>
                <w:rFonts w:hint="eastAsia"/>
              </w:rPr>
              <w:t>2</w:t>
            </w:r>
            <w:r>
              <w:t>50</w:t>
            </w:r>
          </w:p>
        </w:tc>
        <w:tc>
          <w:tcPr>
            <w:tcW w:w="1010" w:type="dxa"/>
            <w:vAlign w:val="center"/>
          </w:tcPr>
          <w:p w14:paraId="3DC9AE5C">
            <w:pPr>
              <w:pStyle w:val="133"/>
            </w:pPr>
            <w:r>
              <w:rPr>
                <w:rFonts w:hint="eastAsia"/>
              </w:rPr>
              <w:t>15.9</w:t>
            </w:r>
          </w:p>
        </w:tc>
        <w:tc>
          <w:tcPr>
            <w:tcW w:w="993" w:type="dxa"/>
            <w:vAlign w:val="center"/>
          </w:tcPr>
          <w:p w14:paraId="7D32D2AA">
            <w:pPr>
              <w:pStyle w:val="133"/>
            </w:pPr>
            <w:r>
              <w:rPr>
                <w:rFonts w:hint="eastAsia"/>
              </w:rPr>
              <w:t>0.0636</w:t>
            </w:r>
          </w:p>
        </w:tc>
        <w:tc>
          <w:tcPr>
            <w:tcW w:w="992" w:type="dxa"/>
            <w:vAlign w:val="center"/>
          </w:tcPr>
          <w:p w14:paraId="21C8BC65">
            <w:pPr>
              <w:pStyle w:val="133"/>
            </w:pPr>
            <w:r>
              <w:rPr>
                <w:rFonts w:hint="eastAsia"/>
              </w:rPr>
              <w:t>24.6</w:t>
            </w:r>
          </w:p>
        </w:tc>
        <w:tc>
          <w:tcPr>
            <w:tcW w:w="992" w:type="dxa"/>
            <w:vAlign w:val="center"/>
          </w:tcPr>
          <w:p w14:paraId="2CF03341">
            <w:pPr>
              <w:pStyle w:val="133"/>
            </w:pPr>
            <w:r>
              <w:rPr>
                <w:rFonts w:hint="eastAsia"/>
              </w:rPr>
              <w:t>0.0980</w:t>
            </w:r>
          </w:p>
        </w:tc>
        <w:tc>
          <w:tcPr>
            <w:tcW w:w="992" w:type="dxa"/>
            <w:vAlign w:val="center"/>
          </w:tcPr>
          <w:p w14:paraId="15EAFFCF">
            <w:pPr>
              <w:pStyle w:val="133"/>
            </w:pPr>
            <w:r>
              <w:rPr>
                <w:rFonts w:hint="eastAsia"/>
              </w:rPr>
              <w:t>22.8</w:t>
            </w:r>
          </w:p>
        </w:tc>
        <w:tc>
          <w:tcPr>
            <w:tcW w:w="993" w:type="dxa"/>
            <w:vAlign w:val="center"/>
          </w:tcPr>
          <w:p w14:paraId="73646EB4">
            <w:pPr>
              <w:pStyle w:val="133"/>
            </w:pPr>
            <w:r>
              <w:rPr>
                <w:rFonts w:hint="eastAsia"/>
              </w:rPr>
              <w:t>0.091</w:t>
            </w:r>
          </w:p>
        </w:tc>
        <w:tc>
          <w:tcPr>
            <w:tcW w:w="850" w:type="dxa"/>
            <w:vAlign w:val="center"/>
          </w:tcPr>
          <w:p w14:paraId="6EF7ECAB">
            <w:pPr>
              <w:pStyle w:val="133"/>
            </w:pPr>
            <w:r>
              <w:rPr>
                <w:rFonts w:hint="eastAsia" w:cs="Times New Roman"/>
                <w:color w:val="000000"/>
                <w:szCs w:val="21"/>
              </w:rPr>
              <w:t>36</w:t>
            </w:r>
          </w:p>
        </w:tc>
        <w:tc>
          <w:tcPr>
            <w:tcW w:w="1134" w:type="dxa"/>
            <w:vAlign w:val="center"/>
          </w:tcPr>
          <w:p w14:paraId="383F50EF">
            <w:pPr>
              <w:pStyle w:val="133"/>
            </w:pPr>
            <w:r>
              <w:rPr>
                <w:rFonts w:hint="eastAsia"/>
              </w:rPr>
              <w:t>0.144</w:t>
            </w:r>
          </w:p>
        </w:tc>
        <w:tc>
          <w:tcPr>
            <w:tcW w:w="850" w:type="dxa"/>
            <w:vAlign w:val="center"/>
          </w:tcPr>
          <w:p w14:paraId="7010C18E">
            <w:pPr>
              <w:pStyle w:val="133"/>
            </w:pPr>
            <w:r>
              <w:rPr>
                <w:rFonts w:hint="eastAsia"/>
              </w:rPr>
              <w:t>66.2</w:t>
            </w:r>
          </w:p>
        </w:tc>
        <w:tc>
          <w:tcPr>
            <w:tcW w:w="1135" w:type="dxa"/>
            <w:vAlign w:val="center"/>
          </w:tcPr>
          <w:p w14:paraId="4DDE5188">
            <w:pPr>
              <w:pStyle w:val="133"/>
            </w:pPr>
            <w:r>
              <w:rPr>
                <w:rFonts w:hint="eastAsia"/>
              </w:rPr>
              <w:t>0.2648</w:t>
            </w:r>
          </w:p>
        </w:tc>
      </w:tr>
      <w:tr w14:paraId="2509E4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19E64352">
            <w:pPr>
              <w:pStyle w:val="133"/>
            </w:pPr>
            <w:r>
              <w:t>CO</w:t>
            </w:r>
            <w:r>
              <w:rPr>
                <w:vertAlign w:val="subscript"/>
              </w:rPr>
              <w:t>3</w:t>
            </w:r>
            <w:r>
              <w:rPr>
                <w:vertAlign w:val="superscript"/>
              </w:rPr>
              <w:t>2-</w:t>
            </w:r>
          </w:p>
        </w:tc>
        <w:tc>
          <w:tcPr>
            <w:tcW w:w="992" w:type="dxa"/>
            <w:vAlign w:val="center"/>
          </w:tcPr>
          <w:p w14:paraId="31B15338">
            <w:pPr>
              <w:pStyle w:val="133"/>
            </w:pPr>
            <w:r>
              <w:t>mg/L</w:t>
            </w:r>
          </w:p>
        </w:tc>
        <w:tc>
          <w:tcPr>
            <w:tcW w:w="1106" w:type="dxa"/>
            <w:vAlign w:val="center"/>
          </w:tcPr>
          <w:p w14:paraId="7AD2482F">
            <w:pPr>
              <w:pStyle w:val="133"/>
            </w:pPr>
            <w:r>
              <w:rPr>
                <w:rFonts w:hint="eastAsia"/>
              </w:rPr>
              <w:t>/</w:t>
            </w:r>
          </w:p>
        </w:tc>
        <w:tc>
          <w:tcPr>
            <w:tcW w:w="1010" w:type="dxa"/>
            <w:vAlign w:val="center"/>
          </w:tcPr>
          <w:p w14:paraId="70281FCB">
            <w:pPr>
              <w:pStyle w:val="133"/>
            </w:pPr>
            <w:r>
              <w:rPr>
                <w:rFonts w:hint="eastAsia"/>
                <w:color w:val="000000"/>
              </w:rPr>
              <w:t>&lt;5</w:t>
            </w:r>
          </w:p>
        </w:tc>
        <w:tc>
          <w:tcPr>
            <w:tcW w:w="993" w:type="dxa"/>
            <w:vAlign w:val="center"/>
          </w:tcPr>
          <w:p w14:paraId="4E589E2A">
            <w:pPr>
              <w:pStyle w:val="133"/>
            </w:pPr>
            <w:r>
              <w:rPr>
                <w:rFonts w:hint="eastAsia"/>
              </w:rPr>
              <w:t>/</w:t>
            </w:r>
          </w:p>
        </w:tc>
        <w:tc>
          <w:tcPr>
            <w:tcW w:w="992" w:type="dxa"/>
            <w:vAlign w:val="center"/>
          </w:tcPr>
          <w:p w14:paraId="38B88EFE">
            <w:pPr>
              <w:pStyle w:val="133"/>
            </w:pPr>
            <w:r>
              <w:rPr>
                <w:rFonts w:hint="eastAsia"/>
                <w:color w:val="000000"/>
              </w:rPr>
              <w:t>&lt;5</w:t>
            </w:r>
          </w:p>
        </w:tc>
        <w:tc>
          <w:tcPr>
            <w:tcW w:w="992" w:type="dxa"/>
            <w:vAlign w:val="center"/>
          </w:tcPr>
          <w:p w14:paraId="1B528908">
            <w:pPr>
              <w:pStyle w:val="133"/>
            </w:pPr>
            <w:r>
              <w:rPr>
                <w:rFonts w:hint="eastAsia"/>
              </w:rPr>
              <w:t>/</w:t>
            </w:r>
          </w:p>
        </w:tc>
        <w:tc>
          <w:tcPr>
            <w:tcW w:w="992" w:type="dxa"/>
            <w:vAlign w:val="center"/>
          </w:tcPr>
          <w:p w14:paraId="485FBAD1">
            <w:pPr>
              <w:pStyle w:val="133"/>
            </w:pPr>
            <w:r>
              <w:rPr>
                <w:rFonts w:hint="eastAsia"/>
              </w:rPr>
              <w:t>/</w:t>
            </w:r>
          </w:p>
        </w:tc>
        <w:tc>
          <w:tcPr>
            <w:tcW w:w="993" w:type="dxa"/>
            <w:vAlign w:val="center"/>
          </w:tcPr>
          <w:p w14:paraId="1B8EC5A3">
            <w:pPr>
              <w:pStyle w:val="133"/>
            </w:pPr>
            <w:r>
              <w:rPr>
                <w:rFonts w:hint="eastAsia"/>
              </w:rPr>
              <w:t>/</w:t>
            </w:r>
          </w:p>
        </w:tc>
        <w:tc>
          <w:tcPr>
            <w:tcW w:w="850" w:type="dxa"/>
            <w:vAlign w:val="center"/>
          </w:tcPr>
          <w:p w14:paraId="4F40AC4C">
            <w:pPr>
              <w:pStyle w:val="133"/>
            </w:pPr>
            <w:r>
              <w:rPr>
                <w:rFonts w:hint="eastAsia"/>
                <w:color w:val="000000"/>
              </w:rPr>
              <w:t>&lt;5</w:t>
            </w:r>
          </w:p>
        </w:tc>
        <w:tc>
          <w:tcPr>
            <w:tcW w:w="1134" w:type="dxa"/>
            <w:vAlign w:val="center"/>
          </w:tcPr>
          <w:p w14:paraId="7F1EAE48">
            <w:pPr>
              <w:pStyle w:val="133"/>
            </w:pPr>
            <w:r>
              <w:rPr>
                <w:rFonts w:hint="eastAsia"/>
              </w:rPr>
              <w:t>/</w:t>
            </w:r>
          </w:p>
        </w:tc>
        <w:tc>
          <w:tcPr>
            <w:tcW w:w="850" w:type="dxa"/>
            <w:vAlign w:val="center"/>
          </w:tcPr>
          <w:p w14:paraId="5710F5B8">
            <w:pPr>
              <w:pStyle w:val="133"/>
            </w:pPr>
            <w:r>
              <w:rPr>
                <w:rFonts w:hint="eastAsia"/>
                <w:color w:val="000000"/>
              </w:rPr>
              <w:t>&lt;5</w:t>
            </w:r>
          </w:p>
        </w:tc>
        <w:tc>
          <w:tcPr>
            <w:tcW w:w="1135" w:type="dxa"/>
            <w:vAlign w:val="center"/>
          </w:tcPr>
          <w:p w14:paraId="40AF6D88">
            <w:pPr>
              <w:pStyle w:val="133"/>
            </w:pPr>
            <w:r>
              <w:rPr>
                <w:rFonts w:hint="eastAsia"/>
              </w:rPr>
              <w:t>/</w:t>
            </w:r>
          </w:p>
        </w:tc>
      </w:tr>
      <w:tr w14:paraId="0AB231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07900A80">
            <w:pPr>
              <w:pStyle w:val="133"/>
            </w:pPr>
            <w:r>
              <w:t>HCO</w:t>
            </w:r>
            <w:r>
              <w:rPr>
                <w:vertAlign w:val="subscript"/>
              </w:rPr>
              <w:t>3</w:t>
            </w:r>
            <w:r>
              <w:rPr>
                <w:vertAlign w:val="superscript"/>
              </w:rPr>
              <w:t>-</w:t>
            </w:r>
          </w:p>
        </w:tc>
        <w:tc>
          <w:tcPr>
            <w:tcW w:w="992" w:type="dxa"/>
            <w:vAlign w:val="center"/>
          </w:tcPr>
          <w:p w14:paraId="3BEF779D">
            <w:pPr>
              <w:pStyle w:val="133"/>
            </w:pPr>
            <w:r>
              <w:t>mg/L</w:t>
            </w:r>
          </w:p>
        </w:tc>
        <w:tc>
          <w:tcPr>
            <w:tcW w:w="1106" w:type="dxa"/>
            <w:vAlign w:val="center"/>
          </w:tcPr>
          <w:p w14:paraId="6CCC94D4">
            <w:pPr>
              <w:pStyle w:val="133"/>
            </w:pPr>
            <w:r>
              <w:rPr>
                <w:rFonts w:hint="eastAsia"/>
              </w:rPr>
              <w:t>/</w:t>
            </w:r>
          </w:p>
        </w:tc>
        <w:tc>
          <w:tcPr>
            <w:tcW w:w="1010" w:type="dxa"/>
            <w:vAlign w:val="center"/>
          </w:tcPr>
          <w:p w14:paraId="7F767E33">
            <w:pPr>
              <w:pStyle w:val="133"/>
            </w:pPr>
            <w:r>
              <w:rPr>
                <w:rFonts w:hint="eastAsia" w:cs="Times New Roman"/>
                <w:color w:val="000000"/>
                <w:szCs w:val="21"/>
              </w:rPr>
              <w:t>108</w:t>
            </w:r>
          </w:p>
        </w:tc>
        <w:tc>
          <w:tcPr>
            <w:tcW w:w="993" w:type="dxa"/>
            <w:vAlign w:val="center"/>
          </w:tcPr>
          <w:p w14:paraId="7FD46E06">
            <w:pPr>
              <w:pStyle w:val="133"/>
            </w:pPr>
            <w:r>
              <w:rPr>
                <w:rFonts w:hint="eastAsia"/>
              </w:rPr>
              <w:t>/</w:t>
            </w:r>
          </w:p>
        </w:tc>
        <w:tc>
          <w:tcPr>
            <w:tcW w:w="992" w:type="dxa"/>
            <w:vAlign w:val="center"/>
          </w:tcPr>
          <w:p w14:paraId="138DD3FE">
            <w:pPr>
              <w:pStyle w:val="133"/>
            </w:pPr>
            <w:r>
              <w:rPr>
                <w:rFonts w:hint="eastAsia" w:cs="Times New Roman"/>
                <w:color w:val="000000"/>
                <w:szCs w:val="21"/>
              </w:rPr>
              <w:t>109</w:t>
            </w:r>
          </w:p>
        </w:tc>
        <w:tc>
          <w:tcPr>
            <w:tcW w:w="992" w:type="dxa"/>
            <w:vAlign w:val="center"/>
          </w:tcPr>
          <w:p w14:paraId="430A7BD5">
            <w:pPr>
              <w:pStyle w:val="133"/>
            </w:pPr>
            <w:r>
              <w:rPr>
                <w:rFonts w:hint="eastAsia"/>
              </w:rPr>
              <w:t>/</w:t>
            </w:r>
          </w:p>
        </w:tc>
        <w:tc>
          <w:tcPr>
            <w:tcW w:w="992" w:type="dxa"/>
            <w:vAlign w:val="center"/>
          </w:tcPr>
          <w:p w14:paraId="043D7BF1">
            <w:pPr>
              <w:pStyle w:val="133"/>
            </w:pPr>
            <w:r>
              <w:rPr>
                <w:rFonts w:hint="eastAsia"/>
              </w:rPr>
              <w:t>/</w:t>
            </w:r>
          </w:p>
        </w:tc>
        <w:tc>
          <w:tcPr>
            <w:tcW w:w="993" w:type="dxa"/>
            <w:vAlign w:val="center"/>
          </w:tcPr>
          <w:p w14:paraId="45C86CB2">
            <w:pPr>
              <w:pStyle w:val="133"/>
            </w:pPr>
            <w:r>
              <w:rPr>
                <w:rFonts w:hint="eastAsia"/>
              </w:rPr>
              <w:t>/</w:t>
            </w:r>
          </w:p>
        </w:tc>
        <w:tc>
          <w:tcPr>
            <w:tcW w:w="850" w:type="dxa"/>
            <w:vAlign w:val="center"/>
          </w:tcPr>
          <w:p w14:paraId="34FEBF95">
            <w:pPr>
              <w:pStyle w:val="133"/>
            </w:pPr>
            <w:r>
              <w:rPr>
                <w:rFonts w:hint="eastAsia" w:cs="Times New Roman"/>
                <w:color w:val="000000"/>
                <w:szCs w:val="21"/>
              </w:rPr>
              <w:t>112</w:t>
            </w:r>
          </w:p>
        </w:tc>
        <w:tc>
          <w:tcPr>
            <w:tcW w:w="1134" w:type="dxa"/>
            <w:vAlign w:val="center"/>
          </w:tcPr>
          <w:p w14:paraId="2C088595">
            <w:pPr>
              <w:pStyle w:val="133"/>
            </w:pPr>
            <w:r>
              <w:rPr>
                <w:rFonts w:hint="eastAsia"/>
              </w:rPr>
              <w:t>/</w:t>
            </w:r>
          </w:p>
        </w:tc>
        <w:tc>
          <w:tcPr>
            <w:tcW w:w="850" w:type="dxa"/>
            <w:vAlign w:val="center"/>
          </w:tcPr>
          <w:p w14:paraId="5DF95F6C">
            <w:pPr>
              <w:pStyle w:val="133"/>
            </w:pPr>
            <w:r>
              <w:rPr>
                <w:rFonts w:hint="eastAsia" w:cs="Times New Roman"/>
                <w:color w:val="000000"/>
                <w:szCs w:val="21"/>
              </w:rPr>
              <w:t>119</w:t>
            </w:r>
          </w:p>
        </w:tc>
        <w:tc>
          <w:tcPr>
            <w:tcW w:w="1135" w:type="dxa"/>
            <w:vAlign w:val="center"/>
          </w:tcPr>
          <w:p w14:paraId="42CE9836">
            <w:pPr>
              <w:pStyle w:val="133"/>
            </w:pPr>
            <w:r>
              <w:rPr>
                <w:rFonts w:hint="eastAsia"/>
              </w:rPr>
              <w:t>/</w:t>
            </w:r>
          </w:p>
        </w:tc>
      </w:tr>
      <w:tr w14:paraId="3F99E0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71269114">
            <w:pPr>
              <w:pStyle w:val="133"/>
            </w:pPr>
            <w:r>
              <w:t>pH</w:t>
            </w:r>
            <w:r>
              <w:rPr>
                <w:rFonts w:hint="eastAsia"/>
              </w:rPr>
              <w:t>值</w:t>
            </w:r>
          </w:p>
        </w:tc>
        <w:tc>
          <w:tcPr>
            <w:tcW w:w="992" w:type="dxa"/>
            <w:vAlign w:val="center"/>
          </w:tcPr>
          <w:p w14:paraId="6F9890D1">
            <w:pPr>
              <w:pStyle w:val="133"/>
            </w:pPr>
            <w:r>
              <w:rPr>
                <w:rFonts w:hint="eastAsia"/>
              </w:rPr>
              <w:t>无量纲</w:t>
            </w:r>
          </w:p>
        </w:tc>
        <w:tc>
          <w:tcPr>
            <w:tcW w:w="1106" w:type="dxa"/>
            <w:vAlign w:val="center"/>
          </w:tcPr>
          <w:p w14:paraId="4AF89923">
            <w:pPr>
              <w:pStyle w:val="133"/>
            </w:pPr>
            <w:r>
              <w:t>6.5~8.5</w:t>
            </w:r>
          </w:p>
        </w:tc>
        <w:tc>
          <w:tcPr>
            <w:tcW w:w="1010" w:type="dxa"/>
            <w:vAlign w:val="center"/>
          </w:tcPr>
          <w:p w14:paraId="3E17AD41">
            <w:pPr>
              <w:pStyle w:val="133"/>
            </w:pPr>
            <w:r>
              <w:rPr>
                <w:rFonts w:hint="eastAsia" w:cs="Times New Roman"/>
                <w:color w:val="000000"/>
                <w:szCs w:val="21"/>
              </w:rPr>
              <w:t>7.9</w:t>
            </w:r>
          </w:p>
        </w:tc>
        <w:tc>
          <w:tcPr>
            <w:tcW w:w="993" w:type="dxa"/>
            <w:vAlign w:val="center"/>
          </w:tcPr>
          <w:p w14:paraId="2D5E72C7">
            <w:pPr>
              <w:pStyle w:val="133"/>
            </w:pPr>
            <w:r>
              <w:rPr>
                <w:rFonts w:hint="eastAsia"/>
              </w:rPr>
              <w:t>/</w:t>
            </w:r>
          </w:p>
        </w:tc>
        <w:tc>
          <w:tcPr>
            <w:tcW w:w="992" w:type="dxa"/>
            <w:vAlign w:val="center"/>
          </w:tcPr>
          <w:p w14:paraId="1B65FFCE">
            <w:pPr>
              <w:pStyle w:val="133"/>
            </w:pPr>
            <w:r>
              <w:rPr>
                <w:rFonts w:hint="eastAsia" w:cs="Times New Roman"/>
                <w:color w:val="000000"/>
                <w:szCs w:val="21"/>
              </w:rPr>
              <w:t>7.7</w:t>
            </w:r>
          </w:p>
        </w:tc>
        <w:tc>
          <w:tcPr>
            <w:tcW w:w="992" w:type="dxa"/>
            <w:vAlign w:val="center"/>
          </w:tcPr>
          <w:p w14:paraId="33134E90">
            <w:pPr>
              <w:pStyle w:val="133"/>
            </w:pPr>
            <w:r>
              <w:rPr>
                <w:rFonts w:hint="eastAsia"/>
              </w:rPr>
              <w:t>/</w:t>
            </w:r>
          </w:p>
        </w:tc>
        <w:tc>
          <w:tcPr>
            <w:tcW w:w="992" w:type="dxa"/>
            <w:vAlign w:val="center"/>
          </w:tcPr>
          <w:p w14:paraId="06B9C428">
            <w:pPr>
              <w:pStyle w:val="133"/>
            </w:pPr>
            <w:r>
              <w:rPr>
                <w:rFonts w:hint="eastAsia"/>
              </w:rPr>
              <w:t>/</w:t>
            </w:r>
          </w:p>
        </w:tc>
        <w:tc>
          <w:tcPr>
            <w:tcW w:w="993" w:type="dxa"/>
            <w:vAlign w:val="center"/>
          </w:tcPr>
          <w:p w14:paraId="1FA6DDD8">
            <w:pPr>
              <w:pStyle w:val="133"/>
            </w:pPr>
            <w:r>
              <w:rPr>
                <w:rFonts w:hint="eastAsia"/>
              </w:rPr>
              <w:t>/</w:t>
            </w:r>
          </w:p>
        </w:tc>
        <w:tc>
          <w:tcPr>
            <w:tcW w:w="850" w:type="dxa"/>
            <w:vAlign w:val="center"/>
          </w:tcPr>
          <w:p w14:paraId="5F995A7E">
            <w:pPr>
              <w:pStyle w:val="133"/>
            </w:pPr>
            <w:r>
              <w:rPr>
                <w:rFonts w:hint="eastAsia"/>
              </w:rPr>
              <w:t>7.9</w:t>
            </w:r>
          </w:p>
        </w:tc>
        <w:tc>
          <w:tcPr>
            <w:tcW w:w="1134" w:type="dxa"/>
            <w:vAlign w:val="center"/>
          </w:tcPr>
          <w:p w14:paraId="1931885D">
            <w:pPr>
              <w:pStyle w:val="133"/>
            </w:pPr>
            <w:r>
              <w:rPr>
                <w:rFonts w:hint="eastAsia"/>
              </w:rPr>
              <w:t>/</w:t>
            </w:r>
          </w:p>
        </w:tc>
        <w:tc>
          <w:tcPr>
            <w:tcW w:w="850" w:type="dxa"/>
            <w:vAlign w:val="center"/>
          </w:tcPr>
          <w:p w14:paraId="1C49238A">
            <w:pPr>
              <w:pStyle w:val="133"/>
            </w:pPr>
            <w:r>
              <w:rPr>
                <w:rFonts w:hint="eastAsia"/>
              </w:rPr>
              <w:t>7.7</w:t>
            </w:r>
          </w:p>
        </w:tc>
        <w:tc>
          <w:tcPr>
            <w:tcW w:w="1135" w:type="dxa"/>
            <w:vAlign w:val="center"/>
          </w:tcPr>
          <w:p w14:paraId="3CE5311C">
            <w:pPr>
              <w:pStyle w:val="133"/>
            </w:pPr>
            <w:r>
              <w:rPr>
                <w:rFonts w:hint="eastAsia"/>
              </w:rPr>
              <w:t>/</w:t>
            </w:r>
          </w:p>
        </w:tc>
      </w:tr>
      <w:tr w14:paraId="01944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0D354D9C">
            <w:pPr>
              <w:pStyle w:val="133"/>
            </w:pPr>
            <w:r>
              <w:rPr>
                <w:rFonts w:hint="eastAsia"/>
              </w:rPr>
              <w:t>氨氮</w:t>
            </w:r>
          </w:p>
        </w:tc>
        <w:tc>
          <w:tcPr>
            <w:tcW w:w="992" w:type="dxa"/>
            <w:vAlign w:val="center"/>
          </w:tcPr>
          <w:p w14:paraId="50EF08F3">
            <w:pPr>
              <w:pStyle w:val="133"/>
            </w:pPr>
            <w:r>
              <w:t>mg/L</w:t>
            </w:r>
          </w:p>
        </w:tc>
        <w:tc>
          <w:tcPr>
            <w:tcW w:w="1106" w:type="dxa"/>
            <w:vAlign w:val="center"/>
          </w:tcPr>
          <w:p w14:paraId="7D3743B7">
            <w:pPr>
              <w:pStyle w:val="133"/>
            </w:pPr>
            <w:r>
              <w:t>0.50</w:t>
            </w:r>
          </w:p>
        </w:tc>
        <w:tc>
          <w:tcPr>
            <w:tcW w:w="1010" w:type="dxa"/>
            <w:vAlign w:val="center"/>
          </w:tcPr>
          <w:p w14:paraId="4C2DC3D5">
            <w:pPr>
              <w:pStyle w:val="133"/>
            </w:pPr>
            <w:r>
              <w:rPr>
                <w:rFonts w:hint="eastAsia"/>
                <w:color w:val="000000"/>
              </w:rPr>
              <w:t>&lt;0.025</w:t>
            </w:r>
          </w:p>
        </w:tc>
        <w:tc>
          <w:tcPr>
            <w:tcW w:w="993" w:type="dxa"/>
            <w:vAlign w:val="center"/>
          </w:tcPr>
          <w:p w14:paraId="12BEA211">
            <w:pPr>
              <w:pStyle w:val="133"/>
            </w:pPr>
            <w:r>
              <w:rPr>
                <w:rFonts w:hint="eastAsia"/>
              </w:rPr>
              <w:t>0.05</w:t>
            </w:r>
          </w:p>
        </w:tc>
        <w:tc>
          <w:tcPr>
            <w:tcW w:w="992" w:type="dxa"/>
            <w:vAlign w:val="center"/>
          </w:tcPr>
          <w:p w14:paraId="365C17EE">
            <w:pPr>
              <w:pStyle w:val="133"/>
            </w:pPr>
            <w:r>
              <w:rPr>
                <w:rFonts w:hint="eastAsia"/>
                <w:color w:val="000000"/>
              </w:rPr>
              <w:t>&lt;0.025</w:t>
            </w:r>
          </w:p>
        </w:tc>
        <w:tc>
          <w:tcPr>
            <w:tcW w:w="992" w:type="dxa"/>
            <w:vAlign w:val="center"/>
          </w:tcPr>
          <w:p w14:paraId="060ED051">
            <w:pPr>
              <w:pStyle w:val="133"/>
            </w:pPr>
            <w:r>
              <w:rPr>
                <w:rFonts w:hint="eastAsia"/>
              </w:rPr>
              <w:t>0.05</w:t>
            </w:r>
          </w:p>
        </w:tc>
        <w:tc>
          <w:tcPr>
            <w:tcW w:w="992" w:type="dxa"/>
            <w:vAlign w:val="center"/>
          </w:tcPr>
          <w:p w14:paraId="015A7884">
            <w:pPr>
              <w:pStyle w:val="133"/>
            </w:pPr>
            <w:r>
              <w:rPr>
                <w:rFonts w:hint="eastAsia"/>
              </w:rPr>
              <w:t>0.076</w:t>
            </w:r>
          </w:p>
        </w:tc>
        <w:tc>
          <w:tcPr>
            <w:tcW w:w="993" w:type="dxa"/>
            <w:vAlign w:val="center"/>
          </w:tcPr>
          <w:p w14:paraId="06CDFF34">
            <w:pPr>
              <w:pStyle w:val="133"/>
            </w:pPr>
            <w:r>
              <w:rPr>
                <w:rFonts w:hint="eastAsia"/>
              </w:rPr>
              <w:t>0.152</w:t>
            </w:r>
          </w:p>
        </w:tc>
        <w:tc>
          <w:tcPr>
            <w:tcW w:w="850" w:type="dxa"/>
            <w:vAlign w:val="center"/>
          </w:tcPr>
          <w:p w14:paraId="27C4178E">
            <w:pPr>
              <w:pStyle w:val="133"/>
            </w:pPr>
            <w:r>
              <w:rPr>
                <w:rFonts w:hint="eastAsia"/>
                <w:color w:val="000000"/>
              </w:rPr>
              <w:t>&lt;0.025</w:t>
            </w:r>
          </w:p>
        </w:tc>
        <w:tc>
          <w:tcPr>
            <w:tcW w:w="1134" w:type="dxa"/>
            <w:vAlign w:val="center"/>
          </w:tcPr>
          <w:p w14:paraId="28C86144">
            <w:pPr>
              <w:pStyle w:val="133"/>
            </w:pPr>
            <w:r>
              <w:rPr>
                <w:rFonts w:hint="eastAsia"/>
              </w:rPr>
              <w:t>0.05</w:t>
            </w:r>
          </w:p>
        </w:tc>
        <w:tc>
          <w:tcPr>
            <w:tcW w:w="850" w:type="dxa"/>
            <w:vAlign w:val="center"/>
          </w:tcPr>
          <w:p w14:paraId="2A483227">
            <w:pPr>
              <w:pStyle w:val="133"/>
            </w:pPr>
            <w:r>
              <w:rPr>
                <w:rFonts w:hint="eastAsia"/>
                <w:color w:val="000000"/>
              </w:rPr>
              <w:t>&lt;0.025</w:t>
            </w:r>
          </w:p>
        </w:tc>
        <w:tc>
          <w:tcPr>
            <w:tcW w:w="1135" w:type="dxa"/>
            <w:vAlign w:val="center"/>
          </w:tcPr>
          <w:p w14:paraId="2EB8C618">
            <w:pPr>
              <w:pStyle w:val="133"/>
            </w:pPr>
            <w:r>
              <w:rPr>
                <w:rFonts w:hint="eastAsia"/>
              </w:rPr>
              <w:t>0.05</w:t>
            </w:r>
          </w:p>
        </w:tc>
      </w:tr>
      <w:tr w14:paraId="7899F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2F70C76D">
            <w:pPr>
              <w:pStyle w:val="133"/>
            </w:pPr>
            <w:r>
              <w:rPr>
                <w:rFonts w:hint="eastAsia"/>
              </w:rPr>
              <w:t>亚硝酸盐</w:t>
            </w:r>
          </w:p>
        </w:tc>
        <w:tc>
          <w:tcPr>
            <w:tcW w:w="992" w:type="dxa"/>
            <w:vAlign w:val="center"/>
          </w:tcPr>
          <w:p w14:paraId="149F7456">
            <w:pPr>
              <w:pStyle w:val="133"/>
            </w:pPr>
            <w:r>
              <w:t>mg/L</w:t>
            </w:r>
          </w:p>
        </w:tc>
        <w:tc>
          <w:tcPr>
            <w:tcW w:w="1106" w:type="dxa"/>
            <w:vAlign w:val="center"/>
          </w:tcPr>
          <w:p w14:paraId="443EB267">
            <w:pPr>
              <w:pStyle w:val="133"/>
            </w:pPr>
            <w:r>
              <w:t>1.00</w:t>
            </w:r>
          </w:p>
        </w:tc>
        <w:tc>
          <w:tcPr>
            <w:tcW w:w="1010" w:type="dxa"/>
            <w:vAlign w:val="center"/>
          </w:tcPr>
          <w:p w14:paraId="344EE4DF">
            <w:pPr>
              <w:pStyle w:val="133"/>
            </w:pPr>
            <w:r>
              <w:rPr>
                <w:rFonts w:hint="eastAsia" w:cs="Times New Roman"/>
                <w:color w:val="000000"/>
                <w:szCs w:val="21"/>
              </w:rPr>
              <w:t>0.002</w:t>
            </w:r>
          </w:p>
        </w:tc>
        <w:tc>
          <w:tcPr>
            <w:tcW w:w="993" w:type="dxa"/>
            <w:vAlign w:val="center"/>
          </w:tcPr>
          <w:p w14:paraId="51AF157A">
            <w:pPr>
              <w:pStyle w:val="133"/>
            </w:pPr>
            <w:r>
              <w:rPr>
                <w:rFonts w:hint="eastAsia"/>
              </w:rPr>
              <w:t>0.002</w:t>
            </w:r>
          </w:p>
        </w:tc>
        <w:tc>
          <w:tcPr>
            <w:tcW w:w="992" w:type="dxa"/>
            <w:vAlign w:val="center"/>
          </w:tcPr>
          <w:p w14:paraId="44D7DAB0">
            <w:pPr>
              <w:pStyle w:val="133"/>
            </w:pPr>
            <w:r>
              <w:rPr>
                <w:rFonts w:hint="eastAsia"/>
              </w:rPr>
              <w:t>&lt;</w:t>
            </w:r>
            <w:r>
              <w:rPr>
                <w:rFonts w:hint="eastAsia" w:cs="Times New Roman"/>
                <w:color w:val="000000"/>
                <w:szCs w:val="21"/>
              </w:rPr>
              <w:t>0.001</w:t>
            </w:r>
          </w:p>
        </w:tc>
        <w:tc>
          <w:tcPr>
            <w:tcW w:w="992" w:type="dxa"/>
            <w:vAlign w:val="center"/>
          </w:tcPr>
          <w:p w14:paraId="27ED64F6">
            <w:pPr>
              <w:pStyle w:val="133"/>
            </w:pPr>
            <w:r>
              <w:rPr>
                <w:rFonts w:hint="eastAsia"/>
              </w:rPr>
              <w:t>0.001</w:t>
            </w:r>
          </w:p>
        </w:tc>
        <w:tc>
          <w:tcPr>
            <w:tcW w:w="992" w:type="dxa"/>
            <w:vAlign w:val="center"/>
          </w:tcPr>
          <w:p w14:paraId="5946EEBB">
            <w:pPr>
              <w:pStyle w:val="133"/>
            </w:pPr>
            <w:r>
              <w:rPr>
                <w:rFonts w:hint="eastAsia"/>
              </w:rPr>
              <w:t>0.003</w:t>
            </w:r>
          </w:p>
        </w:tc>
        <w:tc>
          <w:tcPr>
            <w:tcW w:w="993" w:type="dxa"/>
            <w:vAlign w:val="center"/>
          </w:tcPr>
          <w:p w14:paraId="11417313">
            <w:pPr>
              <w:pStyle w:val="133"/>
            </w:pPr>
            <w:r>
              <w:rPr>
                <w:rFonts w:hint="eastAsia"/>
              </w:rPr>
              <w:t>0.003</w:t>
            </w:r>
          </w:p>
        </w:tc>
        <w:tc>
          <w:tcPr>
            <w:tcW w:w="850" w:type="dxa"/>
            <w:vAlign w:val="center"/>
          </w:tcPr>
          <w:p w14:paraId="16E84C0A">
            <w:pPr>
              <w:pStyle w:val="133"/>
            </w:pPr>
            <w:r>
              <w:rPr>
                <w:rFonts w:hint="eastAsia"/>
                <w:color w:val="000000"/>
              </w:rPr>
              <w:t>&lt;0.001</w:t>
            </w:r>
          </w:p>
        </w:tc>
        <w:tc>
          <w:tcPr>
            <w:tcW w:w="1134" w:type="dxa"/>
            <w:vAlign w:val="center"/>
          </w:tcPr>
          <w:p w14:paraId="68B9CE95">
            <w:pPr>
              <w:pStyle w:val="133"/>
            </w:pPr>
            <w:r>
              <w:rPr>
                <w:rFonts w:hint="eastAsia"/>
              </w:rPr>
              <w:t>0.001</w:t>
            </w:r>
          </w:p>
        </w:tc>
        <w:tc>
          <w:tcPr>
            <w:tcW w:w="850" w:type="dxa"/>
            <w:vAlign w:val="center"/>
          </w:tcPr>
          <w:p w14:paraId="3B3717C0">
            <w:pPr>
              <w:pStyle w:val="133"/>
            </w:pPr>
            <w:r>
              <w:rPr>
                <w:rFonts w:hint="eastAsia"/>
              </w:rPr>
              <w:t>0.002</w:t>
            </w:r>
          </w:p>
        </w:tc>
        <w:tc>
          <w:tcPr>
            <w:tcW w:w="1135" w:type="dxa"/>
            <w:vAlign w:val="center"/>
          </w:tcPr>
          <w:p w14:paraId="4B96F0A0">
            <w:pPr>
              <w:pStyle w:val="133"/>
            </w:pPr>
            <w:r>
              <w:rPr>
                <w:rFonts w:hint="eastAsia"/>
              </w:rPr>
              <w:t>0.002</w:t>
            </w:r>
          </w:p>
        </w:tc>
      </w:tr>
      <w:tr w14:paraId="4D816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4574C4F9">
            <w:pPr>
              <w:pStyle w:val="133"/>
            </w:pPr>
            <w:r>
              <w:rPr>
                <w:rFonts w:hint="eastAsia"/>
              </w:rPr>
              <w:t>硝酸盐</w:t>
            </w:r>
          </w:p>
        </w:tc>
        <w:tc>
          <w:tcPr>
            <w:tcW w:w="992" w:type="dxa"/>
            <w:vAlign w:val="center"/>
          </w:tcPr>
          <w:p w14:paraId="2BB56D95">
            <w:pPr>
              <w:pStyle w:val="133"/>
            </w:pPr>
            <w:r>
              <w:t>mg/L</w:t>
            </w:r>
          </w:p>
        </w:tc>
        <w:tc>
          <w:tcPr>
            <w:tcW w:w="1106" w:type="dxa"/>
            <w:vAlign w:val="center"/>
          </w:tcPr>
          <w:p w14:paraId="6A39C0E6">
            <w:pPr>
              <w:pStyle w:val="133"/>
            </w:pPr>
            <w:r>
              <w:t>20.00</w:t>
            </w:r>
          </w:p>
        </w:tc>
        <w:tc>
          <w:tcPr>
            <w:tcW w:w="1010" w:type="dxa"/>
            <w:vAlign w:val="center"/>
          </w:tcPr>
          <w:p w14:paraId="44AA143E">
            <w:pPr>
              <w:pStyle w:val="133"/>
            </w:pPr>
            <w:r>
              <w:rPr>
                <w:rFonts w:hint="eastAsia" w:cs="Times New Roman"/>
                <w:color w:val="000000"/>
                <w:szCs w:val="21"/>
              </w:rPr>
              <w:t>0.8</w:t>
            </w:r>
          </w:p>
        </w:tc>
        <w:tc>
          <w:tcPr>
            <w:tcW w:w="993" w:type="dxa"/>
            <w:vAlign w:val="center"/>
          </w:tcPr>
          <w:p w14:paraId="4BD75C73">
            <w:pPr>
              <w:pStyle w:val="133"/>
            </w:pPr>
            <w:r>
              <w:rPr>
                <w:rFonts w:hint="eastAsia"/>
              </w:rPr>
              <w:t>0.04</w:t>
            </w:r>
          </w:p>
        </w:tc>
        <w:tc>
          <w:tcPr>
            <w:tcW w:w="992" w:type="dxa"/>
            <w:vAlign w:val="center"/>
          </w:tcPr>
          <w:p w14:paraId="20027E06">
            <w:pPr>
              <w:pStyle w:val="133"/>
            </w:pPr>
            <w:r>
              <w:rPr>
                <w:rFonts w:hint="eastAsia" w:cs="Times New Roman"/>
                <w:color w:val="000000"/>
                <w:szCs w:val="21"/>
              </w:rPr>
              <w:t>0.9</w:t>
            </w:r>
          </w:p>
        </w:tc>
        <w:tc>
          <w:tcPr>
            <w:tcW w:w="992" w:type="dxa"/>
            <w:vAlign w:val="center"/>
          </w:tcPr>
          <w:p w14:paraId="1AA96248">
            <w:pPr>
              <w:pStyle w:val="133"/>
            </w:pPr>
            <w:r>
              <w:rPr>
                <w:rFonts w:hint="eastAsia"/>
              </w:rPr>
              <w:t>0.045</w:t>
            </w:r>
          </w:p>
        </w:tc>
        <w:tc>
          <w:tcPr>
            <w:tcW w:w="992" w:type="dxa"/>
            <w:vAlign w:val="center"/>
          </w:tcPr>
          <w:p w14:paraId="6F2C1D2D">
            <w:pPr>
              <w:pStyle w:val="133"/>
            </w:pPr>
            <w:r>
              <w:rPr>
                <w:rFonts w:hint="eastAsia"/>
              </w:rPr>
              <w:t>1.03</w:t>
            </w:r>
          </w:p>
        </w:tc>
        <w:tc>
          <w:tcPr>
            <w:tcW w:w="993" w:type="dxa"/>
            <w:vAlign w:val="center"/>
          </w:tcPr>
          <w:p w14:paraId="0A6829F5">
            <w:pPr>
              <w:pStyle w:val="133"/>
            </w:pPr>
            <w:r>
              <w:rPr>
                <w:rFonts w:hint="eastAsia"/>
              </w:rPr>
              <w:t>0.052</w:t>
            </w:r>
          </w:p>
        </w:tc>
        <w:tc>
          <w:tcPr>
            <w:tcW w:w="850" w:type="dxa"/>
            <w:vAlign w:val="center"/>
          </w:tcPr>
          <w:p w14:paraId="591E50FA">
            <w:pPr>
              <w:pStyle w:val="133"/>
            </w:pPr>
            <w:r>
              <w:rPr>
                <w:rFonts w:hint="eastAsia" w:cs="Times New Roman"/>
                <w:color w:val="000000"/>
                <w:szCs w:val="21"/>
              </w:rPr>
              <w:t>1.2</w:t>
            </w:r>
          </w:p>
        </w:tc>
        <w:tc>
          <w:tcPr>
            <w:tcW w:w="1134" w:type="dxa"/>
            <w:vAlign w:val="center"/>
          </w:tcPr>
          <w:p w14:paraId="7B1570C4">
            <w:pPr>
              <w:pStyle w:val="133"/>
            </w:pPr>
            <w:r>
              <w:rPr>
                <w:rFonts w:hint="eastAsia"/>
              </w:rPr>
              <w:t>0.06</w:t>
            </w:r>
          </w:p>
        </w:tc>
        <w:tc>
          <w:tcPr>
            <w:tcW w:w="850" w:type="dxa"/>
            <w:vAlign w:val="center"/>
          </w:tcPr>
          <w:p w14:paraId="00940944">
            <w:pPr>
              <w:pStyle w:val="133"/>
            </w:pPr>
            <w:r>
              <w:rPr>
                <w:rFonts w:hint="eastAsia"/>
              </w:rPr>
              <w:t>1.8</w:t>
            </w:r>
          </w:p>
        </w:tc>
        <w:tc>
          <w:tcPr>
            <w:tcW w:w="1135" w:type="dxa"/>
            <w:vAlign w:val="center"/>
          </w:tcPr>
          <w:p w14:paraId="4A342522">
            <w:pPr>
              <w:pStyle w:val="133"/>
            </w:pPr>
            <w:r>
              <w:rPr>
                <w:rFonts w:hint="eastAsia"/>
              </w:rPr>
              <w:t>0.09</w:t>
            </w:r>
          </w:p>
        </w:tc>
      </w:tr>
      <w:tr w14:paraId="0174CF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77A78D5B">
            <w:pPr>
              <w:pStyle w:val="133"/>
            </w:pPr>
            <w:r>
              <w:rPr>
                <w:rFonts w:hint="eastAsia"/>
              </w:rPr>
              <w:t>总硬度</w:t>
            </w:r>
          </w:p>
        </w:tc>
        <w:tc>
          <w:tcPr>
            <w:tcW w:w="992" w:type="dxa"/>
            <w:vAlign w:val="center"/>
          </w:tcPr>
          <w:p w14:paraId="71E6DAC2">
            <w:pPr>
              <w:pStyle w:val="133"/>
            </w:pPr>
            <w:r>
              <w:t>mg/L</w:t>
            </w:r>
          </w:p>
        </w:tc>
        <w:tc>
          <w:tcPr>
            <w:tcW w:w="1106" w:type="dxa"/>
            <w:vAlign w:val="center"/>
          </w:tcPr>
          <w:p w14:paraId="40634AAC">
            <w:pPr>
              <w:pStyle w:val="133"/>
            </w:pPr>
            <w:r>
              <w:t>450</w:t>
            </w:r>
          </w:p>
        </w:tc>
        <w:tc>
          <w:tcPr>
            <w:tcW w:w="1010" w:type="dxa"/>
            <w:vAlign w:val="center"/>
          </w:tcPr>
          <w:p w14:paraId="3C348E9D">
            <w:pPr>
              <w:pStyle w:val="133"/>
            </w:pPr>
            <w:r>
              <w:rPr>
                <w:rFonts w:hint="eastAsia"/>
              </w:rPr>
              <w:t>69</w:t>
            </w:r>
          </w:p>
        </w:tc>
        <w:tc>
          <w:tcPr>
            <w:tcW w:w="993" w:type="dxa"/>
            <w:vAlign w:val="center"/>
          </w:tcPr>
          <w:p w14:paraId="474FE69D">
            <w:pPr>
              <w:pStyle w:val="133"/>
            </w:pPr>
            <w:r>
              <w:rPr>
                <w:rFonts w:hint="eastAsia"/>
              </w:rPr>
              <w:t>0.153</w:t>
            </w:r>
          </w:p>
        </w:tc>
        <w:tc>
          <w:tcPr>
            <w:tcW w:w="992" w:type="dxa"/>
            <w:vAlign w:val="center"/>
          </w:tcPr>
          <w:p w14:paraId="5F4EFD1C">
            <w:pPr>
              <w:pStyle w:val="133"/>
            </w:pPr>
            <w:r>
              <w:rPr>
                <w:rFonts w:hint="eastAsia"/>
              </w:rPr>
              <w:t>40</w:t>
            </w:r>
          </w:p>
        </w:tc>
        <w:tc>
          <w:tcPr>
            <w:tcW w:w="992" w:type="dxa"/>
            <w:vAlign w:val="center"/>
          </w:tcPr>
          <w:p w14:paraId="74510079">
            <w:pPr>
              <w:pStyle w:val="133"/>
            </w:pPr>
            <w:r>
              <w:rPr>
                <w:rFonts w:hint="eastAsia"/>
              </w:rPr>
              <w:t>0.089</w:t>
            </w:r>
          </w:p>
        </w:tc>
        <w:tc>
          <w:tcPr>
            <w:tcW w:w="992" w:type="dxa"/>
            <w:vAlign w:val="center"/>
          </w:tcPr>
          <w:p w14:paraId="628C11F9">
            <w:pPr>
              <w:pStyle w:val="133"/>
            </w:pPr>
          </w:p>
        </w:tc>
        <w:tc>
          <w:tcPr>
            <w:tcW w:w="993" w:type="dxa"/>
            <w:vAlign w:val="center"/>
          </w:tcPr>
          <w:p w14:paraId="329A6C94">
            <w:pPr>
              <w:pStyle w:val="133"/>
            </w:pPr>
          </w:p>
        </w:tc>
        <w:tc>
          <w:tcPr>
            <w:tcW w:w="850" w:type="dxa"/>
            <w:vAlign w:val="center"/>
          </w:tcPr>
          <w:p w14:paraId="69442B8D">
            <w:pPr>
              <w:pStyle w:val="133"/>
            </w:pPr>
            <w:r>
              <w:rPr>
                <w:rFonts w:hint="eastAsia" w:cs="Times New Roman"/>
                <w:color w:val="000000"/>
                <w:szCs w:val="21"/>
              </w:rPr>
              <w:t>446</w:t>
            </w:r>
          </w:p>
        </w:tc>
        <w:tc>
          <w:tcPr>
            <w:tcW w:w="1134" w:type="dxa"/>
            <w:vAlign w:val="center"/>
          </w:tcPr>
          <w:p w14:paraId="7747AC7E">
            <w:pPr>
              <w:pStyle w:val="133"/>
            </w:pPr>
            <w:r>
              <w:rPr>
                <w:rFonts w:hint="eastAsia"/>
              </w:rPr>
              <w:t>0.99</w:t>
            </w:r>
          </w:p>
        </w:tc>
        <w:tc>
          <w:tcPr>
            <w:tcW w:w="850" w:type="dxa"/>
            <w:vAlign w:val="center"/>
          </w:tcPr>
          <w:p w14:paraId="13B149AC">
            <w:pPr>
              <w:pStyle w:val="133"/>
            </w:pPr>
            <w:r>
              <w:rPr>
                <w:rFonts w:hint="eastAsia"/>
              </w:rPr>
              <w:t>167</w:t>
            </w:r>
          </w:p>
        </w:tc>
        <w:tc>
          <w:tcPr>
            <w:tcW w:w="1135" w:type="dxa"/>
            <w:vAlign w:val="center"/>
          </w:tcPr>
          <w:p w14:paraId="1364148B">
            <w:pPr>
              <w:pStyle w:val="133"/>
            </w:pPr>
            <w:r>
              <w:rPr>
                <w:rFonts w:hint="eastAsia"/>
              </w:rPr>
              <w:t>0.371</w:t>
            </w:r>
          </w:p>
        </w:tc>
      </w:tr>
      <w:tr w14:paraId="640171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79547A88">
            <w:pPr>
              <w:pStyle w:val="133"/>
            </w:pPr>
            <w:r>
              <w:rPr>
                <w:rFonts w:hint="eastAsia"/>
              </w:rPr>
              <w:t>溶解性总固体</w:t>
            </w:r>
          </w:p>
        </w:tc>
        <w:tc>
          <w:tcPr>
            <w:tcW w:w="992" w:type="dxa"/>
            <w:vAlign w:val="center"/>
          </w:tcPr>
          <w:p w14:paraId="38EDA0CE">
            <w:pPr>
              <w:pStyle w:val="133"/>
            </w:pPr>
            <w:r>
              <w:t>mg/L</w:t>
            </w:r>
          </w:p>
        </w:tc>
        <w:tc>
          <w:tcPr>
            <w:tcW w:w="1106" w:type="dxa"/>
            <w:vAlign w:val="center"/>
          </w:tcPr>
          <w:p w14:paraId="0F3EC559">
            <w:pPr>
              <w:pStyle w:val="133"/>
            </w:pPr>
            <w:r>
              <w:t>1000</w:t>
            </w:r>
          </w:p>
        </w:tc>
        <w:tc>
          <w:tcPr>
            <w:tcW w:w="1010" w:type="dxa"/>
            <w:vAlign w:val="center"/>
          </w:tcPr>
          <w:p w14:paraId="762597E2">
            <w:pPr>
              <w:pStyle w:val="133"/>
            </w:pPr>
            <w:r>
              <w:rPr>
                <w:rFonts w:hint="eastAsia"/>
              </w:rPr>
              <w:t>186</w:t>
            </w:r>
          </w:p>
        </w:tc>
        <w:tc>
          <w:tcPr>
            <w:tcW w:w="993" w:type="dxa"/>
            <w:vAlign w:val="center"/>
          </w:tcPr>
          <w:p w14:paraId="1B40ADEB">
            <w:pPr>
              <w:pStyle w:val="133"/>
            </w:pPr>
            <w:r>
              <w:rPr>
                <w:rFonts w:hint="eastAsia"/>
              </w:rPr>
              <w:t>0.186</w:t>
            </w:r>
          </w:p>
        </w:tc>
        <w:tc>
          <w:tcPr>
            <w:tcW w:w="992" w:type="dxa"/>
            <w:vAlign w:val="center"/>
          </w:tcPr>
          <w:p w14:paraId="1B5CCABE">
            <w:pPr>
              <w:pStyle w:val="133"/>
            </w:pPr>
            <w:r>
              <w:rPr>
                <w:rFonts w:hint="eastAsia"/>
              </w:rPr>
              <w:t>234</w:t>
            </w:r>
          </w:p>
        </w:tc>
        <w:tc>
          <w:tcPr>
            <w:tcW w:w="992" w:type="dxa"/>
            <w:vAlign w:val="center"/>
          </w:tcPr>
          <w:p w14:paraId="51DAA19B">
            <w:pPr>
              <w:pStyle w:val="133"/>
            </w:pPr>
            <w:r>
              <w:rPr>
                <w:rFonts w:hint="eastAsia"/>
              </w:rPr>
              <w:t>0.234</w:t>
            </w:r>
          </w:p>
        </w:tc>
        <w:tc>
          <w:tcPr>
            <w:tcW w:w="992" w:type="dxa"/>
            <w:vAlign w:val="center"/>
          </w:tcPr>
          <w:p w14:paraId="4B769532">
            <w:pPr>
              <w:pStyle w:val="133"/>
            </w:pPr>
            <w:r>
              <w:rPr>
                <w:rFonts w:hint="eastAsia"/>
              </w:rPr>
              <w:t>226</w:t>
            </w:r>
          </w:p>
        </w:tc>
        <w:tc>
          <w:tcPr>
            <w:tcW w:w="993" w:type="dxa"/>
            <w:vAlign w:val="center"/>
          </w:tcPr>
          <w:p w14:paraId="1F46697F">
            <w:pPr>
              <w:pStyle w:val="133"/>
            </w:pPr>
            <w:r>
              <w:rPr>
                <w:rFonts w:hint="eastAsia"/>
              </w:rPr>
              <w:t>0.226</w:t>
            </w:r>
          </w:p>
        </w:tc>
        <w:tc>
          <w:tcPr>
            <w:tcW w:w="850" w:type="dxa"/>
            <w:vAlign w:val="center"/>
          </w:tcPr>
          <w:p w14:paraId="6B49E7CE">
            <w:pPr>
              <w:pStyle w:val="133"/>
            </w:pPr>
            <w:r>
              <w:rPr>
                <w:rFonts w:hint="eastAsia" w:cs="Times New Roman"/>
                <w:color w:val="000000"/>
                <w:szCs w:val="21"/>
              </w:rPr>
              <w:t>830</w:t>
            </w:r>
          </w:p>
        </w:tc>
        <w:tc>
          <w:tcPr>
            <w:tcW w:w="1134" w:type="dxa"/>
            <w:vAlign w:val="center"/>
          </w:tcPr>
          <w:p w14:paraId="0D4EAC4C">
            <w:pPr>
              <w:pStyle w:val="133"/>
            </w:pPr>
            <w:r>
              <w:rPr>
                <w:rFonts w:hint="eastAsia"/>
              </w:rPr>
              <w:t>0.83</w:t>
            </w:r>
          </w:p>
        </w:tc>
        <w:tc>
          <w:tcPr>
            <w:tcW w:w="850" w:type="dxa"/>
            <w:vAlign w:val="center"/>
          </w:tcPr>
          <w:p w14:paraId="1E3486CD">
            <w:pPr>
              <w:pStyle w:val="133"/>
            </w:pPr>
            <w:r>
              <w:rPr>
                <w:rFonts w:hint="eastAsia" w:cs="Times New Roman"/>
                <w:color w:val="000000"/>
                <w:szCs w:val="21"/>
              </w:rPr>
              <w:t>502</w:t>
            </w:r>
          </w:p>
        </w:tc>
        <w:tc>
          <w:tcPr>
            <w:tcW w:w="1135" w:type="dxa"/>
            <w:vAlign w:val="center"/>
          </w:tcPr>
          <w:p w14:paraId="602419DF">
            <w:pPr>
              <w:pStyle w:val="133"/>
            </w:pPr>
            <w:r>
              <w:rPr>
                <w:rFonts w:hint="eastAsia"/>
              </w:rPr>
              <w:t>0.502</w:t>
            </w:r>
          </w:p>
        </w:tc>
      </w:tr>
      <w:tr w14:paraId="79303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265BE9C7">
            <w:pPr>
              <w:pStyle w:val="133"/>
            </w:pPr>
            <w:r>
              <w:rPr>
                <w:rFonts w:hint="eastAsia"/>
              </w:rPr>
              <w:t>砷</w:t>
            </w:r>
          </w:p>
        </w:tc>
        <w:tc>
          <w:tcPr>
            <w:tcW w:w="992" w:type="dxa"/>
            <w:vAlign w:val="center"/>
          </w:tcPr>
          <w:p w14:paraId="2F244525">
            <w:pPr>
              <w:pStyle w:val="133"/>
            </w:pPr>
            <w:r>
              <w:t>μg/L</w:t>
            </w:r>
          </w:p>
        </w:tc>
        <w:tc>
          <w:tcPr>
            <w:tcW w:w="1106" w:type="dxa"/>
            <w:vAlign w:val="center"/>
          </w:tcPr>
          <w:p w14:paraId="1D7D6BB8">
            <w:pPr>
              <w:pStyle w:val="133"/>
            </w:pPr>
            <w:r>
              <w:t>10</w:t>
            </w:r>
          </w:p>
        </w:tc>
        <w:tc>
          <w:tcPr>
            <w:tcW w:w="1010" w:type="dxa"/>
            <w:vAlign w:val="center"/>
          </w:tcPr>
          <w:p w14:paraId="6F9A2C0F">
            <w:pPr>
              <w:pStyle w:val="133"/>
            </w:pPr>
            <w:r>
              <w:rPr>
                <w:rFonts w:hint="eastAsia"/>
                <w:color w:val="000000"/>
              </w:rPr>
              <w:t>&lt;0.3</w:t>
            </w:r>
          </w:p>
        </w:tc>
        <w:tc>
          <w:tcPr>
            <w:tcW w:w="993" w:type="dxa"/>
            <w:vAlign w:val="center"/>
          </w:tcPr>
          <w:p w14:paraId="089940D3">
            <w:pPr>
              <w:pStyle w:val="133"/>
            </w:pPr>
            <w:r>
              <w:rPr>
                <w:rFonts w:hint="eastAsia"/>
              </w:rPr>
              <w:t>0.03</w:t>
            </w:r>
          </w:p>
        </w:tc>
        <w:tc>
          <w:tcPr>
            <w:tcW w:w="992" w:type="dxa"/>
            <w:vAlign w:val="center"/>
          </w:tcPr>
          <w:p w14:paraId="7A589E6A">
            <w:pPr>
              <w:pStyle w:val="133"/>
            </w:pPr>
            <w:r>
              <w:rPr>
                <w:rFonts w:hint="eastAsia"/>
                <w:color w:val="000000"/>
              </w:rPr>
              <w:t>&lt;0.3</w:t>
            </w:r>
          </w:p>
        </w:tc>
        <w:tc>
          <w:tcPr>
            <w:tcW w:w="992" w:type="dxa"/>
            <w:vAlign w:val="center"/>
          </w:tcPr>
          <w:p w14:paraId="34C23874">
            <w:pPr>
              <w:pStyle w:val="133"/>
            </w:pPr>
            <w:r>
              <w:rPr>
                <w:rFonts w:hint="eastAsia"/>
              </w:rPr>
              <w:t>0.03</w:t>
            </w:r>
          </w:p>
        </w:tc>
        <w:tc>
          <w:tcPr>
            <w:tcW w:w="992" w:type="dxa"/>
            <w:vAlign w:val="center"/>
          </w:tcPr>
          <w:p w14:paraId="19FC7C01">
            <w:pPr>
              <w:pStyle w:val="133"/>
            </w:pPr>
            <w:r>
              <w:rPr>
                <w:rFonts w:hint="eastAsia"/>
                <w:color w:val="000000"/>
              </w:rPr>
              <w:t>&lt;0.3</w:t>
            </w:r>
          </w:p>
        </w:tc>
        <w:tc>
          <w:tcPr>
            <w:tcW w:w="993" w:type="dxa"/>
            <w:vAlign w:val="center"/>
          </w:tcPr>
          <w:p w14:paraId="062DFF3E">
            <w:pPr>
              <w:pStyle w:val="133"/>
            </w:pPr>
            <w:r>
              <w:rPr>
                <w:rFonts w:hint="eastAsia"/>
              </w:rPr>
              <w:t>0.03</w:t>
            </w:r>
          </w:p>
        </w:tc>
        <w:tc>
          <w:tcPr>
            <w:tcW w:w="850" w:type="dxa"/>
            <w:vAlign w:val="center"/>
          </w:tcPr>
          <w:p w14:paraId="2DA5AEF0">
            <w:pPr>
              <w:pStyle w:val="133"/>
            </w:pPr>
            <w:r>
              <w:rPr>
                <w:rFonts w:hint="eastAsia"/>
                <w:color w:val="000000"/>
              </w:rPr>
              <w:t>&lt;0.3</w:t>
            </w:r>
          </w:p>
        </w:tc>
        <w:tc>
          <w:tcPr>
            <w:tcW w:w="1134" w:type="dxa"/>
            <w:vAlign w:val="center"/>
          </w:tcPr>
          <w:p w14:paraId="4834F69E">
            <w:pPr>
              <w:pStyle w:val="133"/>
            </w:pPr>
            <w:r>
              <w:rPr>
                <w:rFonts w:hint="eastAsia"/>
              </w:rPr>
              <w:t>0.03</w:t>
            </w:r>
          </w:p>
        </w:tc>
        <w:tc>
          <w:tcPr>
            <w:tcW w:w="850" w:type="dxa"/>
            <w:vAlign w:val="center"/>
          </w:tcPr>
          <w:p w14:paraId="32E5E58A">
            <w:pPr>
              <w:pStyle w:val="133"/>
            </w:pPr>
            <w:r>
              <w:rPr>
                <w:rFonts w:hint="eastAsia"/>
                <w:color w:val="000000"/>
              </w:rPr>
              <w:t>&lt;0.3</w:t>
            </w:r>
          </w:p>
        </w:tc>
        <w:tc>
          <w:tcPr>
            <w:tcW w:w="1135" w:type="dxa"/>
            <w:vAlign w:val="center"/>
          </w:tcPr>
          <w:p w14:paraId="38A3A651">
            <w:pPr>
              <w:pStyle w:val="133"/>
            </w:pPr>
            <w:r>
              <w:rPr>
                <w:rFonts w:hint="eastAsia"/>
              </w:rPr>
              <w:t>0.03</w:t>
            </w:r>
          </w:p>
        </w:tc>
      </w:tr>
      <w:tr w14:paraId="1EF15E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4A3A9E9A">
            <w:pPr>
              <w:pStyle w:val="133"/>
            </w:pPr>
            <w:r>
              <w:rPr>
                <w:rFonts w:hint="eastAsia"/>
              </w:rPr>
              <w:t>镉</w:t>
            </w:r>
          </w:p>
        </w:tc>
        <w:tc>
          <w:tcPr>
            <w:tcW w:w="992" w:type="dxa"/>
            <w:vAlign w:val="center"/>
          </w:tcPr>
          <w:p w14:paraId="45E35DF9">
            <w:pPr>
              <w:pStyle w:val="133"/>
            </w:pPr>
            <w:r>
              <w:t>μg/L</w:t>
            </w:r>
          </w:p>
        </w:tc>
        <w:tc>
          <w:tcPr>
            <w:tcW w:w="1106" w:type="dxa"/>
            <w:vAlign w:val="center"/>
          </w:tcPr>
          <w:p w14:paraId="3E99061A">
            <w:pPr>
              <w:pStyle w:val="133"/>
            </w:pPr>
            <w:r>
              <w:t>5</w:t>
            </w:r>
          </w:p>
        </w:tc>
        <w:tc>
          <w:tcPr>
            <w:tcW w:w="1010" w:type="dxa"/>
            <w:vAlign w:val="center"/>
          </w:tcPr>
          <w:p w14:paraId="0F8BFBD3">
            <w:pPr>
              <w:pStyle w:val="133"/>
            </w:pPr>
            <w:r>
              <w:rPr>
                <w:rFonts w:hint="eastAsia"/>
                <w:color w:val="000000"/>
              </w:rPr>
              <w:t>4</w:t>
            </w:r>
          </w:p>
        </w:tc>
        <w:tc>
          <w:tcPr>
            <w:tcW w:w="993" w:type="dxa"/>
            <w:vAlign w:val="center"/>
          </w:tcPr>
          <w:p w14:paraId="0848821B">
            <w:pPr>
              <w:pStyle w:val="133"/>
            </w:pPr>
            <w:r>
              <w:rPr>
                <w:rFonts w:hint="eastAsia"/>
              </w:rPr>
              <w:t>0.8</w:t>
            </w:r>
          </w:p>
        </w:tc>
        <w:tc>
          <w:tcPr>
            <w:tcW w:w="992" w:type="dxa"/>
            <w:vAlign w:val="center"/>
          </w:tcPr>
          <w:p w14:paraId="60B3FEFA">
            <w:pPr>
              <w:pStyle w:val="133"/>
            </w:pPr>
            <w:r>
              <w:rPr>
                <w:rFonts w:hint="eastAsia"/>
                <w:color w:val="000000"/>
              </w:rPr>
              <w:t>4</w:t>
            </w:r>
          </w:p>
        </w:tc>
        <w:tc>
          <w:tcPr>
            <w:tcW w:w="992" w:type="dxa"/>
            <w:vAlign w:val="center"/>
          </w:tcPr>
          <w:p w14:paraId="7449AD5C">
            <w:pPr>
              <w:pStyle w:val="133"/>
            </w:pPr>
            <w:r>
              <w:rPr>
                <w:rFonts w:hint="eastAsia"/>
              </w:rPr>
              <w:t>0.8</w:t>
            </w:r>
          </w:p>
        </w:tc>
        <w:tc>
          <w:tcPr>
            <w:tcW w:w="992" w:type="dxa"/>
            <w:vAlign w:val="center"/>
          </w:tcPr>
          <w:p w14:paraId="498C9BE1">
            <w:pPr>
              <w:pStyle w:val="133"/>
            </w:pPr>
            <w:r>
              <w:t>5</w:t>
            </w:r>
          </w:p>
        </w:tc>
        <w:tc>
          <w:tcPr>
            <w:tcW w:w="993" w:type="dxa"/>
            <w:vAlign w:val="center"/>
          </w:tcPr>
          <w:p w14:paraId="3244F183">
            <w:pPr>
              <w:pStyle w:val="133"/>
            </w:pPr>
            <w:r>
              <w:rPr>
                <w:rFonts w:hint="eastAsia"/>
                <w:color w:val="000000"/>
              </w:rPr>
              <w:t>4</w:t>
            </w:r>
          </w:p>
        </w:tc>
        <w:tc>
          <w:tcPr>
            <w:tcW w:w="850" w:type="dxa"/>
            <w:vAlign w:val="center"/>
          </w:tcPr>
          <w:p w14:paraId="19F20236">
            <w:pPr>
              <w:pStyle w:val="133"/>
            </w:pPr>
            <w:r>
              <w:rPr>
                <w:rFonts w:hint="eastAsia"/>
                <w:color w:val="000000"/>
              </w:rPr>
              <w:t>4</w:t>
            </w:r>
          </w:p>
        </w:tc>
        <w:tc>
          <w:tcPr>
            <w:tcW w:w="1134" w:type="dxa"/>
            <w:vAlign w:val="center"/>
          </w:tcPr>
          <w:p w14:paraId="744BA05D">
            <w:pPr>
              <w:pStyle w:val="133"/>
            </w:pPr>
            <w:r>
              <w:rPr>
                <w:rFonts w:hint="eastAsia"/>
              </w:rPr>
              <w:t>0.8</w:t>
            </w:r>
          </w:p>
        </w:tc>
        <w:tc>
          <w:tcPr>
            <w:tcW w:w="850" w:type="dxa"/>
            <w:vAlign w:val="center"/>
          </w:tcPr>
          <w:p w14:paraId="14540C52">
            <w:pPr>
              <w:pStyle w:val="133"/>
            </w:pPr>
            <w:r>
              <w:rPr>
                <w:rFonts w:hint="eastAsia"/>
                <w:color w:val="000000"/>
              </w:rPr>
              <w:t>4</w:t>
            </w:r>
          </w:p>
        </w:tc>
        <w:tc>
          <w:tcPr>
            <w:tcW w:w="1135" w:type="dxa"/>
            <w:vAlign w:val="center"/>
          </w:tcPr>
          <w:p w14:paraId="77695511">
            <w:pPr>
              <w:pStyle w:val="133"/>
            </w:pPr>
            <w:r>
              <w:rPr>
                <w:rFonts w:hint="eastAsia"/>
              </w:rPr>
              <w:t>0.8</w:t>
            </w:r>
          </w:p>
        </w:tc>
      </w:tr>
      <w:tr w14:paraId="44845E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2CC7AD8A">
            <w:pPr>
              <w:pStyle w:val="133"/>
            </w:pPr>
            <w:r>
              <w:rPr>
                <w:rFonts w:hint="eastAsia"/>
              </w:rPr>
              <w:t>锰</w:t>
            </w:r>
          </w:p>
        </w:tc>
        <w:tc>
          <w:tcPr>
            <w:tcW w:w="992" w:type="dxa"/>
            <w:vAlign w:val="center"/>
          </w:tcPr>
          <w:p w14:paraId="03594E52">
            <w:pPr>
              <w:pStyle w:val="133"/>
            </w:pPr>
            <w:r>
              <w:t>μg/L</w:t>
            </w:r>
          </w:p>
        </w:tc>
        <w:tc>
          <w:tcPr>
            <w:tcW w:w="1106" w:type="dxa"/>
            <w:vAlign w:val="center"/>
          </w:tcPr>
          <w:p w14:paraId="141E4256">
            <w:pPr>
              <w:pStyle w:val="133"/>
            </w:pPr>
            <w:r>
              <w:t>100</w:t>
            </w:r>
          </w:p>
        </w:tc>
        <w:tc>
          <w:tcPr>
            <w:tcW w:w="1010" w:type="dxa"/>
            <w:vAlign w:val="center"/>
          </w:tcPr>
          <w:p w14:paraId="67E3869A">
            <w:pPr>
              <w:pStyle w:val="133"/>
            </w:pPr>
            <w:r>
              <w:rPr>
                <w:rFonts w:hint="eastAsia" w:cs="Times New Roman"/>
                <w:color w:val="000000"/>
                <w:szCs w:val="21"/>
              </w:rPr>
              <w:t>4.2</w:t>
            </w:r>
          </w:p>
        </w:tc>
        <w:tc>
          <w:tcPr>
            <w:tcW w:w="993" w:type="dxa"/>
            <w:vAlign w:val="center"/>
          </w:tcPr>
          <w:p w14:paraId="1EAFA5FA">
            <w:pPr>
              <w:pStyle w:val="133"/>
            </w:pPr>
            <w:r>
              <w:rPr>
                <w:rFonts w:hint="eastAsia"/>
              </w:rPr>
              <w:t>0.042</w:t>
            </w:r>
          </w:p>
        </w:tc>
        <w:tc>
          <w:tcPr>
            <w:tcW w:w="992" w:type="dxa"/>
            <w:vAlign w:val="center"/>
          </w:tcPr>
          <w:p w14:paraId="537F2E1A">
            <w:pPr>
              <w:pStyle w:val="133"/>
            </w:pPr>
            <w:r>
              <w:rPr>
                <w:rFonts w:hint="eastAsia" w:cs="Times New Roman"/>
                <w:color w:val="000000"/>
                <w:kern w:val="2"/>
                <w:szCs w:val="21"/>
              </w:rPr>
              <w:t>2.7</w:t>
            </w:r>
          </w:p>
        </w:tc>
        <w:tc>
          <w:tcPr>
            <w:tcW w:w="992" w:type="dxa"/>
            <w:vAlign w:val="center"/>
          </w:tcPr>
          <w:p w14:paraId="511883D2">
            <w:pPr>
              <w:pStyle w:val="133"/>
            </w:pPr>
            <w:r>
              <w:rPr>
                <w:rFonts w:hint="eastAsia"/>
              </w:rPr>
              <w:t>0.027</w:t>
            </w:r>
          </w:p>
        </w:tc>
        <w:tc>
          <w:tcPr>
            <w:tcW w:w="992" w:type="dxa"/>
            <w:vAlign w:val="center"/>
          </w:tcPr>
          <w:p w14:paraId="3485EA1A">
            <w:pPr>
              <w:pStyle w:val="133"/>
            </w:pPr>
            <w:r>
              <w:rPr>
                <w:rFonts w:hint="eastAsia"/>
              </w:rPr>
              <w:t>10</w:t>
            </w:r>
          </w:p>
        </w:tc>
        <w:tc>
          <w:tcPr>
            <w:tcW w:w="993" w:type="dxa"/>
            <w:vAlign w:val="center"/>
          </w:tcPr>
          <w:p w14:paraId="1072C6FB">
            <w:pPr>
              <w:pStyle w:val="133"/>
            </w:pPr>
            <w:r>
              <w:rPr>
                <w:rFonts w:hint="eastAsia"/>
              </w:rPr>
              <w:t>0.1</w:t>
            </w:r>
          </w:p>
        </w:tc>
        <w:tc>
          <w:tcPr>
            <w:tcW w:w="850" w:type="dxa"/>
            <w:vAlign w:val="center"/>
          </w:tcPr>
          <w:p w14:paraId="1E48555D">
            <w:pPr>
              <w:pStyle w:val="133"/>
            </w:pPr>
            <w:r>
              <w:rPr>
                <w:rFonts w:hint="eastAsia" w:cs="Times New Roman"/>
                <w:color w:val="000000"/>
                <w:szCs w:val="21"/>
              </w:rPr>
              <w:t>1.8</w:t>
            </w:r>
          </w:p>
        </w:tc>
        <w:tc>
          <w:tcPr>
            <w:tcW w:w="1134" w:type="dxa"/>
            <w:vAlign w:val="center"/>
          </w:tcPr>
          <w:p w14:paraId="57FFA3E1">
            <w:pPr>
              <w:pStyle w:val="133"/>
            </w:pPr>
            <w:r>
              <w:rPr>
                <w:rFonts w:hint="eastAsia"/>
              </w:rPr>
              <w:t>0.018</w:t>
            </w:r>
          </w:p>
        </w:tc>
        <w:tc>
          <w:tcPr>
            <w:tcW w:w="850" w:type="dxa"/>
            <w:vAlign w:val="center"/>
          </w:tcPr>
          <w:p w14:paraId="053ED971">
            <w:pPr>
              <w:pStyle w:val="133"/>
            </w:pPr>
            <w:r>
              <w:rPr>
                <w:rFonts w:hint="eastAsia" w:cs="Times New Roman"/>
                <w:color w:val="000000"/>
                <w:szCs w:val="21"/>
              </w:rPr>
              <w:t>5.1</w:t>
            </w:r>
          </w:p>
        </w:tc>
        <w:tc>
          <w:tcPr>
            <w:tcW w:w="1135" w:type="dxa"/>
            <w:vAlign w:val="center"/>
          </w:tcPr>
          <w:p w14:paraId="57286A57">
            <w:pPr>
              <w:pStyle w:val="133"/>
            </w:pPr>
            <w:r>
              <w:rPr>
                <w:rFonts w:hint="eastAsia"/>
              </w:rPr>
              <w:t>0.051</w:t>
            </w:r>
          </w:p>
        </w:tc>
      </w:tr>
      <w:tr w14:paraId="3EB1E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2529441D">
            <w:pPr>
              <w:pStyle w:val="133"/>
            </w:pPr>
            <w:r>
              <w:rPr>
                <w:rFonts w:hint="eastAsia"/>
              </w:rPr>
              <w:t>铁</w:t>
            </w:r>
          </w:p>
        </w:tc>
        <w:tc>
          <w:tcPr>
            <w:tcW w:w="992" w:type="dxa"/>
            <w:vAlign w:val="center"/>
          </w:tcPr>
          <w:p w14:paraId="3B26E58D">
            <w:pPr>
              <w:pStyle w:val="133"/>
            </w:pPr>
            <w:r>
              <w:t>μg/L</w:t>
            </w:r>
          </w:p>
        </w:tc>
        <w:tc>
          <w:tcPr>
            <w:tcW w:w="1106" w:type="dxa"/>
            <w:vAlign w:val="center"/>
          </w:tcPr>
          <w:p w14:paraId="5E4123F8">
            <w:pPr>
              <w:pStyle w:val="133"/>
            </w:pPr>
            <w:r>
              <w:t>300</w:t>
            </w:r>
          </w:p>
        </w:tc>
        <w:tc>
          <w:tcPr>
            <w:tcW w:w="1010" w:type="dxa"/>
            <w:vAlign w:val="center"/>
          </w:tcPr>
          <w:p w14:paraId="040DC175">
            <w:pPr>
              <w:pStyle w:val="133"/>
            </w:pPr>
            <w:r>
              <w:rPr>
                <w:rFonts w:hint="eastAsia" w:cs="Times New Roman"/>
                <w:color w:val="000000"/>
                <w:szCs w:val="21"/>
              </w:rPr>
              <w:t>44</w:t>
            </w:r>
          </w:p>
        </w:tc>
        <w:tc>
          <w:tcPr>
            <w:tcW w:w="993" w:type="dxa"/>
            <w:vAlign w:val="center"/>
          </w:tcPr>
          <w:p w14:paraId="1EC3493F">
            <w:pPr>
              <w:pStyle w:val="133"/>
            </w:pPr>
            <w:r>
              <w:rPr>
                <w:rFonts w:hint="eastAsia"/>
              </w:rPr>
              <w:t>0.147</w:t>
            </w:r>
          </w:p>
        </w:tc>
        <w:tc>
          <w:tcPr>
            <w:tcW w:w="992" w:type="dxa"/>
            <w:vAlign w:val="center"/>
          </w:tcPr>
          <w:p w14:paraId="44DDC204">
            <w:pPr>
              <w:pStyle w:val="133"/>
            </w:pPr>
            <w:r>
              <w:rPr>
                <w:rFonts w:hint="eastAsia" w:cs="Times New Roman"/>
                <w:color w:val="000000"/>
                <w:kern w:val="2"/>
                <w:szCs w:val="21"/>
              </w:rPr>
              <w:t>14.0</w:t>
            </w:r>
          </w:p>
        </w:tc>
        <w:tc>
          <w:tcPr>
            <w:tcW w:w="992" w:type="dxa"/>
            <w:vAlign w:val="center"/>
          </w:tcPr>
          <w:p w14:paraId="0A68DBEA">
            <w:pPr>
              <w:pStyle w:val="133"/>
            </w:pPr>
            <w:r>
              <w:rPr>
                <w:rFonts w:hint="eastAsia"/>
              </w:rPr>
              <w:t>0.047</w:t>
            </w:r>
          </w:p>
        </w:tc>
        <w:tc>
          <w:tcPr>
            <w:tcW w:w="992" w:type="dxa"/>
            <w:vAlign w:val="center"/>
          </w:tcPr>
          <w:p w14:paraId="73C945EB">
            <w:pPr>
              <w:pStyle w:val="133"/>
            </w:pPr>
            <w:r>
              <w:rPr>
                <w:rFonts w:hint="eastAsia"/>
              </w:rPr>
              <w:t>30</w:t>
            </w:r>
          </w:p>
        </w:tc>
        <w:tc>
          <w:tcPr>
            <w:tcW w:w="993" w:type="dxa"/>
            <w:vAlign w:val="center"/>
          </w:tcPr>
          <w:p w14:paraId="0B8C4521">
            <w:pPr>
              <w:pStyle w:val="133"/>
            </w:pPr>
            <w:r>
              <w:rPr>
                <w:rFonts w:hint="eastAsia"/>
              </w:rPr>
              <w:t>0.1</w:t>
            </w:r>
          </w:p>
        </w:tc>
        <w:tc>
          <w:tcPr>
            <w:tcW w:w="850" w:type="dxa"/>
            <w:vAlign w:val="center"/>
          </w:tcPr>
          <w:p w14:paraId="1F44C71A">
            <w:pPr>
              <w:pStyle w:val="133"/>
            </w:pPr>
            <w:r>
              <w:rPr>
                <w:rFonts w:hint="eastAsia" w:cs="Times New Roman"/>
                <w:color w:val="000000"/>
                <w:szCs w:val="21"/>
              </w:rPr>
              <w:t>27.6</w:t>
            </w:r>
          </w:p>
        </w:tc>
        <w:tc>
          <w:tcPr>
            <w:tcW w:w="1134" w:type="dxa"/>
            <w:vAlign w:val="center"/>
          </w:tcPr>
          <w:p w14:paraId="2C96E832">
            <w:pPr>
              <w:pStyle w:val="133"/>
            </w:pPr>
            <w:r>
              <w:rPr>
                <w:rFonts w:hint="eastAsia"/>
              </w:rPr>
              <w:t>0.092</w:t>
            </w:r>
          </w:p>
        </w:tc>
        <w:tc>
          <w:tcPr>
            <w:tcW w:w="850" w:type="dxa"/>
            <w:vAlign w:val="center"/>
          </w:tcPr>
          <w:p w14:paraId="34567F09">
            <w:pPr>
              <w:pStyle w:val="133"/>
            </w:pPr>
            <w:r>
              <w:rPr>
                <w:rFonts w:hint="eastAsia" w:cs="Times New Roman"/>
                <w:color w:val="000000"/>
                <w:szCs w:val="21"/>
              </w:rPr>
              <w:t>84.7</w:t>
            </w:r>
          </w:p>
        </w:tc>
        <w:tc>
          <w:tcPr>
            <w:tcW w:w="1135" w:type="dxa"/>
            <w:vAlign w:val="center"/>
          </w:tcPr>
          <w:p w14:paraId="755450F0">
            <w:pPr>
              <w:pStyle w:val="133"/>
            </w:pPr>
            <w:r>
              <w:rPr>
                <w:rFonts w:hint="eastAsia"/>
              </w:rPr>
              <w:t>0.282</w:t>
            </w:r>
          </w:p>
        </w:tc>
      </w:tr>
      <w:tr w14:paraId="32164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4A884A7A">
            <w:pPr>
              <w:pStyle w:val="133"/>
            </w:pPr>
            <w:r>
              <w:rPr>
                <w:rFonts w:hint="eastAsia"/>
              </w:rPr>
              <w:t>铅</w:t>
            </w:r>
          </w:p>
        </w:tc>
        <w:tc>
          <w:tcPr>
            <w:tcW w:w="992" w:type="dxa"/>
            <w:vAlign w:val="center"/>
          </w:tcPr>
          <w:p w14:paraId="699E0C06">
            <w:pPr>
              <w:pStyle w:val="133"/>
            </w:pPr>
            <w:r>
              <w:t>μg/L</w:t>
            </w:r>
          </w:p>
        </w:tc>
        <w:tc>
          <w:tcPr>
            <w:tcW w:w="1106" w:type="dxa"/>
            <w:vAlign w:val="center"/>
          </w:tcPr>
          <w:p w14:paraId="6F403CFC">
            <w:pPr>
              <w:pStyle w:val="133"/>
            </w:pPr>
            <w:r>
              <w:t>10</w:t>
            </w:r>
          </w:p>
        </w:tc>
        <w:tc>
          <w:tcPr>
            <w:tcW w:w="1010" w:type="dxa"/>
            <w:vAlign w:val="center"/>
          </w:tcPr>
          <w:p w14:paraId="0E708497">
            <w:pPr>
              <w:pStyle w:val="133"/>
            </w:pPr>
            <w:r>
              <w:rPr>
                <w:rFonts w:hint="eastAsia"/>
                <w:color w:val="000000"/>
              </w:rPr>
              <w:t>&lt;2.5</w:t>
            </w:r>
          </w:p>
        </w:tc>
        <w:tc>
          <w:tcPr>
            <w:tcW w:w="993" w:type="dxa"/>
            <w:vAlign w:val="center"/>
          </w:tcPr>
          <w:p w14:paraId="0D9B3DD8">
            <w:pPr>
              <w:pStyle w:val="133"/>
            </w:pPr>
            <w:r>
              <w:rPr>
                <w:rFonts w:hint="eastAsia"/>
              </w:rPr>
              <w:t>0.25</w:t>
            </w:r>
          </w:p>
        </w:tc>
        <w:tc>
          <w:tcPr>
            <w:tcW w:w="992" w:type="dxa"/>
            <w:vAlign w:val="center"/>
          </w:tcPr>
          <w:p w14:paraId="17A048A9">
            <w:pPr>
              <w:pStyle w:val="133"/>
            </w:pPr>
            <w:r>
              <w:rPr>
                <w:rFonts w:hint="eastAsia"/>
                <w:color w:val="000000"/>
              </w:rPr>
              <w:t>&lt;2.5</w:t>
            </w:r>
          </w:p>
        </w:tc>
        <w:tc>
          <w:tcPr>
            <w:tcW w:w="992" w:type="dxa"/>
            <w:vAlign w:val="center"/>
          </w:tcPr>
          <w:p w14:paraId="7B102FEA">
            <w:pPr>
              <w:pStyle w:val="133"/>
            </w:pPr>
            <w:r>
              <w:rPr>
                <w:rFonts w:hint="eastAsia"/>
              </w:rPr>
              <w:t>0.25</w:t>
            </w:r>
          </w:p>
        </w:tc>
        <w:tc>
          <w:tcPr>
            <w:tcW w:w="992" w:type="dxa"/>
            <w:vAlign w:val="center"/>
          </w:tcPr>
          <w:p w14:paraId="370B30E0">
            <w:pPr>
              <w:pStyle w:val="133"/>
            </w:pPr>
            <w:r>
              <w:rPr>
                <w:rFonts w:hint="eastAsia"/>
              </w:rPr>
              <w:t>2.5</w:t>
            </w:r>
          </w:p>
        </w:tc>
        <w:tc>
          <w:tcPr>
            <w:tcW w:w="993" w:type="dxa"/>
            <w:vAlign w:val="center"/>
          </w:tcPr>
          <w:p w14:paraId="435EC76F">
            <w:pPr>
              <w:pStyle w:val="133"/>
            </w:pPr>
            <w:r>
              <w:rPr>
                <w:rFonts w:hint="eastAsia"/>
              </w:rPr>
              <w:t>0.25</w:t>
            </w:r>
          </w:p>
        </w:tc>
        <w:tc>
          <w:tcPr>
            <w:tcW w:w="850" w:type="dxa"/>
            <w:vAlign w:val="center"/>
          </w:tcPr>
          <w:p w14:paraId="2615C0CC">
            <w:pPr>
              <w:pStyle w:val="133"/>
            </w:pPr>
            <w:r>
              <w:rPr>
                <w:rFonts w:hint="eastAsia"/>
                <w:color w:val="000000"/>
              </w:rPr>
              <w:t>&lt;2.5</w:t>
            </w:r>
          </w:p>
        </w:tc>
        <w:tc>
          <w:tcPr>
            <w:tcW w:w="1134" w:type="dxa"/>
            <w:vAlign w:val="center"/>
          </w:tcPr>
          <w:p w14:paraId="2B9212ED">
            <w:pPr>
              <w:pStyle w:val="133"/>
            </w:pPr>
            <w:r>
              <w:rPr>
                <w:rFonts w:hint="eastAsia"/>
              </w:rPr>
              <w:t>0.25</w:t>
            </w:r>
          </w:p>
        </w:tc>
        <w:tc>
          <w:tcPr>
            <w:tcW w:w="850" w:type="dxa"/>
            <w:vAlign w:val="center"/>
          </w:tcPr>
          <w:p w14:paraId="1DECC625">
            <w:pPr>
              <w:pStyle w:val="133"/>
            </w:pPr>
            <w:r>
              <w:rPr>
                <w:rFonts w:hint="eastAsia"/>
                <w:color w:val="000000"/>
              </w:rPr>
              <w:t>&lt;2.5</w:t>
            </w:r>
          </w:p>
        </w:tc>
        <w:tc>
          <w:tcPr>
            <w:tcW w:w="1135" w:type="dxa"/>
            <w:vAlign w:val="center"/>
          </w:tcPr>
          <w:p w14:paraId="1F7A4E30">
            <w:pPr>
              <w:pStyle w:val="133"/>
            </w:pPr>
            <w:r>
              <w:rPr>
                <w:rFonts w:hint="eastAsia"/>
              </w:rPr>
              <w:t>0.25</w:t>
            </w:r>
          </w:p>
        </w:tc>
      </w:tr>
      <w:tr w14:paraId="1CA7DC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1C5FF7D8">
            <w:pPr>
              <w:pStyle w:val="133"/>
            </w:pPr>
            <w:r>
              <w:rPr>
                <w:rFonts w:hint="eastAsia"/>
              </w:rPr>
              <w:t>汞</w:t>
            </w:r>
          </w:p>
        </w:tc>
        <w:tc>
          <w:tcPr>
            <w:tcW w:w="992" w:type="dxa"/>
            <w:vAlign w:val="center"/>
          </w:tcPr>
          <w:p w14:paraId="28B3CE38">
            <w:pPr>
              <w:pStyle w:val="133"/>
            </w:pPr>
            <w:r>
              <w:t>μg/L</w:t>
            </w:r>
          </w:p>
        </w:tc>
        <w:tc>
          <w:tcPr>
            <w:tcW w:w="1106" w:type="dxa"/>
            <w:vAlign w:val="center"/>
          </w:tcPr>
          <w:p w14:paraId="14FB0F64">
            <w:pPr>
              <w:pStyle w:val="133"/>
            </w:pPr>
            <w:r>
              <w:t>1</w:t>
            </w:r>
          </w:p>
        </w:tc>
        <w:tc>
          <w:tcPr>
            <w:tcW w:w="1010" w:type="dxa"/>
            <w:vAlign w:val="center"/>
          </w:tcPr>
          <w:p w14:paraId="7E8A2905">
            <w:pPr>
              <w:pStyle w:val="133"/>
            </w:pPr>
            <w:r>
              <w:rPr>
                <w:rFonts w:hint="eastAsia"/>
                <w:color w:val="000000"/>
              </w:rPr>
              <w:t>&lt;0.04</w:t>
            </w:r>
          </w:p>
        </w:tc>
        <w:tc>
          <w:tcPr>
            <w:tcW w:w="993" w:type="dxa"/>
            <w:vAlign w:val="center"/>
          </w:tcPr>
          <w:p w14:paraId="15549FC7">
            <w:pPr>
              <w:pStyle w:val="133"/>
            </w:pPr>
            <w:r>
              <w:rPr>
                <w:rFonts w:hint="eastAsia"/>
                <w:color w:val="000000"/>
              </w:rPr>
              <w:t>0.04</w:t>
            </w:r>
          </w:p>
        </w:tc>
        <w:tc>
          <w:tcPr>
            <w:tcW w:w="992" w:type="dxa"/>
            <w:vAlign w:val="center"/>
          </w:tcPr>
          <w:p w14:paraId="6A824B9D">
            <w:pPr>
              <w:pStyle w:val="133"/>
            </w:pPr>
            <w:r>
              <w:rPr>
                <w:rFonts w:hint="eastAsia"/>
                <w:color w:val="000000"/>
              </w:rPr>
              <w:t>&lt;0.04</w:t>
            </w:r>
          </w:p>
        </w:tc>
        <w:tc>
          <w:tcPr>
            <w:tcW w:w="992" w:type="dxa"/>
            <w:vAlign w:val="center"/>
          </w:tcPr>
          <w:p w14:paraId="239BBA53">
            <w:pPr>
              <w:pStyle w:val="133"/>
            </w:pPr>
            <w:r>
              <w:rPr>
                <w:rFonts w:hint="eastAsia"/>
                <w:color w:val="000000"/>
              </w:rPr>
              <w:t>0.04</w:t>
            </w:r>
          </w:p>
        </w:tc>
        <w:tc>
          <w:tcPr>
            <w:tcW w:w="992" w:type="dxa"/>
            <w:vAlign w:val="center"/>
          </w:tcPr>
          <w:p w14:paraId="2847D866">
            <w:pPr>
              <w:pStyle w:val="133"/>
            </w:pPr>
            <w:r>
              <w:rPr>
                <w:rFonts w:hint="eastAsia"/>
                <w:color w:val="000000"/>
              </w:rPr>
              <w:t>&lt;0.04</w:t>
            </w:r>
          </w:p>
        </w:tc>
        <w:tc>
          <w:tcPr>
            <w:tcW w:w="993" w:type="dxa"/>
            <w:vAlign w:val="center"/>
          </w:tcPr>
          <w:p w14:paraId="67457727">
            <w:pPr>
              <w:pStyle w:val="133"/>
            </w:pPr>
            <w:r>
              <w:rPr>
                <w:rFonts w:hint="eastAsia"/>
                <w:color w:val="000000"/>
              </w:rPr>
              <w:t>0.04</w:t>
            </w:r>
          </w:p>
        </w:tc>
        <w:tc>
          <w:tcPr>
            <w:tcW w:w="850" w:type="dxa"/>
            <w:vAlign w:val="center"/>
          </w:tcPr>
          <w:p w14:paraId="6EF8F28D">
            <w:pPr>
              <w:pStyle w:val="133"/>
            </w:pPr>
            <w:r>
              <w:rPr>
                <w:rFonts w:hint="eastAsia"/>
                <w:color w:val="000000"/>
              </w:rPr>
              <w:t>&lt;0.04</w:t>
            </w:r>
          </w:p>
        </w:tc>
        <w:tc>
          <w:tcPr>
            <w:tcW w:w="1134" w:type="dxa"/>
            <w:vAlign w:val="center"/>
          </w:tcPr>
          <w:p w14:paraId="5F7DEDD4">
            <w:pPr>
              <w:pStyle w:val="133"/>
            </w:pPr>
            <w:r>
              <w:rPr>
                <w:rFonts w:hint="eastAsia"/>
                <w:color w:val="000000"/>
              </w:rPr>
              <w:t>0.04</w:t>
            </w:r>
          </w:p>
        </w:tc>
        <w:tc>
          <w:tcPr>
            <w:tcW w:w="850" w:type="dxa"/>
            <w:vAlign w:val="center"/>
          </w:tcPr>
          <w:p w14:paraId="7D19B95A">
            <w:pPr>
              <w:pStyle w:val="133"/>
            </w:pPr>
            <w:r>
              <w:rPr>
                <w:rFonts w:hint="eastAsia"/>
                <w:color w:val="000000"/>
              </w:rPr>
              <w:t>&lt;0.04</w:t>
            </w:r>
          </w:p>
        </w:tc>
        <w:tc>
          <w:tcPr>
            <w:tcW w:w="1135" w:type="dxa"/>
            <w:vAlign w:val="center"/>
          </w:tcPr>
          <w:p w14:paraId="5EE89BA4">
            <w:pPr>
              <w:pStyle w:val="133"/>
            </w:pPr>
            <w:r>
              <w:rPr>
                <w:rFonts w:hint="eastAsia"/>
                <w:color w:val="000000"/>
              </w:rPr>
              <w:t>0.04</w:t>
            </w:r>
          </w:p>
        </w:tc>
      </w:tr>
      <w:tr w14:paraId="3468B9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6ECDEEAC">
            <w:pPr>
              <w:pStyle w:val="133"/>
            </w:pPr>
            <w:r>
              <w:rPr>
                <w:rFonts w:hint="eastAsia" w:ascii="宋体" w:hAnsi="宋体"/>
              </w:rPr>
              <w:t>耗氧量</w:t>
            </w:r>
          </w:p>
        </w:tc>
        <w:tc>
          <w:tcPr>
            <w:tcW w:w="992" w:type="dxa"/>
            <w:vAlign w:val="center"/>
          </w:tcPr>
          <w:p w14:paraId="6D4A2CA6">
            <w:pPr>
              <w:pStyle w:val="133"/>
            </w:pPr>
            <w:r>
              <w:t>mg/L</w:t>
            </w:r>
          </w:p>
        </w:tc>
        <w:tc>
          <w:tcPr>
            <w:tcW w:w="1106" w:type="dxa"/>
            <w:vAlign w:val="center"/>
          </w:tcPr>
          <w:p w14:paraId="519FD95C">
            <w:pPr>
              <w:pStyle w:val="133"/>
            </w:pPr>
            <w:r>
              <w:t>/</w:t>
            </w:r>
          </w:p>
        </w:tc>
        <w:tc>
          <w:tcPr>
            <w:tcW w:w="1010" w:type="dxa"/>
            <w:vAlign w:val="center"/>
          </w:tcPr>
          <w:p w14:paraId="7C627E67">
            <w:pPr>
              <w:pStyle w:val="133"/>
            </w:pPr>
            <w:r>
              <w:rPr>
                <w:rFonts w:hint="eastAsia" w:cs="Times New Roman"/>
                <w:color w:val="000000"/>
                <w:kern w:val="2"/>
                <w:szCs w:val="21"/>
              </w:rPr>
              <w:t>0.84</w:t>
            </w:r>
          </w:p>
        </w:tc>
        <w:tc>
          <w:tcPr>
            <w:tcW w:w="993" w:type="dxa"/>
            <w:vAlign w:val="center"/>
          </w:tcPr>
          <w:p w14:paraId="69982968">
            <w:pPr>
              <w:pStyle w:val="133"/>
            </w:pPr>
            <w:r>
              <w:t>/</w:t>
            </w:r>
          </w:p>
        </w:tc>
        <w:tc>
          <w:tcPr>
            <w:tcW w:w="992" w:type="dxa"/>
            <w:vAlign w:val="center"/>
          </w:tcPr>
          <w:p w14:paraId="0D795B84">
            <w:pPr>
              <w:pStyle w:val="133"/>
            </w:pPr>
            <w:r>
              <w:rPr>
                <w:rFonts w:hint="eastAsia" w:cs="Times New Roman"/>
                <w:color w:val="000000"/>
                <w:kern w:val="2"/>
                <w:szCs w:val="21"/>
              </w:rPr>
              <w:t>0.80</w:t>
            </w:r>
          </w:p>
        </w:tc>
        <w:tc>
          <w:tcPr>
            <w:tcW w:w="992" w:type="dxa"/>
            <w:vAlign w:val="center"/>
          </w:tcPr>
          <w:p w14:paraId="03B89D8A">
            <w:pPr>
              <w:pStyle w:val="133"/>
            </w:pPr>
            <w:r>
              <w:t>/</w:t>
            </w:r>
          </w:p>
        </w:tc>
        <w:tc>
          <w:tcPr>
            <w:tcW w:w="992" w:type="dxa"/>
            <w:vAlign w:val="center"/>
          </w:tcPr>
          <w:p w14:paraId="5C806EA7">
            <w:pPr>
              <w:pStyle w:val="133"/>
            </w:pPr>
            <w:r>
              <w:rPr>
                <w:rFonts w:hint="eastAsia"/>
              </w:rPr>
              <w:t>1.3</w:t>
            </w:r>
          </w:p>
        </w:tc>
        <w:tc>
          <w:tcPr>
            <w:tcW w:w="993" w:type="dxa"/>
            <w:vAlign w:val="center"/>
          </w:tcPr>
          <w:p w14:paraId="4621ED5C">
            <w:pPr>
              <w:pStyle w:val="133"/>
            </w:pPr>
            <w:r>
              <w:rPr>
                <w:rFonts w:hint="eastAsia"/>
              </w:rPr>
              <w:t>/</w:t>
            </w:r>
          </w:p>
        </w:tc>
        <w:tc>
          <w:tcPr>
            <w:tcW w:w="850" w:type="dxa"/>
            <w:vAlign w:val="center"/>
          </w:tcPr>
          <w:p w14:paraId="1E9BC375">
            <w:pPr>
              <w:pStyle w:val="133"/>
            </w:pPr>
            <w:r>
              <w:rPr>
                <w:rFonts w:hint="eastAsia" w:cs="Times New Roman"/>
                <w:color w:val="000000"/>
                <w:kern w:val="2"/>
                <w:szCs w:val="21"/>
              </w:rPr>
              <w:t>0.85</w:t>
            </w:r>
          </w:p>
        </w:tc>
        <w:tc>
          <w:tcPr>
            <w:tcW w:w="1134" w:type="dxa"/>
            <w:vAlign w:val="center"/>
          </w:tcPr>
          <w:p w14:paraId="58A61B98">
            <w:pPr>
              <w:pStyle w:val="133"/>
            </w:pPr>
            <w:r>
              <w:t>/</w:t>
            </w:r>
          </w:p>
        </w:tc>
        <w:tc>
          <w:tcPr>
            <w:tcW w:w="850" w:type="dxa"/>
            <w:vAlign w:val="center"/>
          </w:tcPr>
          <w:p w14:paraId="777D89FB">
            <w:pPr>
              <w:pStyle w:val="133"/>
            </w:pPr>
            <w:r>
              <w:rPr>
                <w:rFonts w:hint="eastAsia" w:cs="Times New Roman"/>
                <w:color w:val="000000"/>
                <w:kern w:val="2"/>
                <w:szCs w:val="21"/>
              </w:rPr>
              <w:t>0.97</w:t>
            </w:r>
          </w:p>
        </w:tc>
        <w:tc>
          <w:tcPr>
            <w:tcW w:w="1135" w:type="dxa"/>
            <w:vAlign w:val="center"/>
          </w:tcPr>
          <w:p w14:paraId="26235460">
            <w:pPr>
              <w:pStyle w:val="133"/>
            </w:pPr>
            <w:r>
              <w:rPr>
                <w:rFonts w:hint="eastAsia"/>
              </w:rPr>
              <w:t>/</w:t>
            </w:r>
          </w:p>
        </w:tc>
      </w:tr>
      <w:tr w14:paraId="541643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30AD8A0D">
            <w:pPr>
              <w:pStyle w:val="133"/>
            </w:pPr>
            <w:r>
              <w:rPr>
                <w:rFonts w:hint="eastAsia"/>
              </w:rPr>
              <w:t>氰化物</w:t>
            </w:r>
          </w:p>
        </w:tc>
        <w:tc>
          <w:tcPr>
            <w:tcW w:w="992" w:type="dxa"/>
            <w:vAlign w:val="center"/>
          </w:tcPr>
          <w:p w14:paraId="0C95E99F">
            <w:pPr>
              <w:pStyle w:val="133"/>
            </w:pPr>
            <w:r>
              <w:t>mg/L</w:t>
            </w:r>
          </w:p>
        </w:tc>
        <w:tc>
          <w:tcPr>
            <w:tcW w:w="1106" w:type="dxa"/>
            <w:vAlign w:val="center"/>
          </w:tcPr>
          <w:p w14:paraId="6E302484">
            <w:pPr>
              <w:pStyle w:val="133"/>
            </w:pPr>
            <w:r>
              <w:t>0.05</w:t>
            </w:r>
          </w:p>
        </w:tc>
        <w:tc>
          <w:tcPr>
            <w:tcW w:w="1010" w:type="dxa"/>
            <w:vAlign w:val="center"/>
          </w:tcPr>
          <w:p w14:paraId="47F5DF27">
            <w:pPr>
              <w:pStyle w:val="133"/>
            </w:pPr>
            <w:r>
              <w:rPr>
                <w:rFonts w:hint="eastAsia"/>
                <w:color w:val="000000"/>
              </w:rPr>
              <w:t>&lt;0.001</w:t>
            </w:r>
          </w:p>
        </w:tc>
        <w:tc>
          <w:tcPr>
            <w:tcW w:w="993" w:type="dxa"/>
            <w:vAlign w:val="center"/>
          </w:tcPr>
          <w:p w14:paraId="3E7EB71B">
            <w:pPr>
              <w:pStyle w:val="133"/>
            </w:pPr>
            <w:r>
              <w:rPr>
                <w:rFonts w:hint="eastAsia"/>
              </w:rPr>
              <w:t>0.02</w:t>
            </w:r>
          </w:p>
        </w:tc>
        <w:tc>
          <w:tcPr>
            <w:tcW w:w="992" w:type="dxa"/>
            <w:vAlign w:val="center"/>
          </w:tcPr>
          <w:p w14:paraId="1E435BC8">
            <w:pPr>
              <w:pStyle w:val="133"/>
            </w:pPr>
            <w:r>
              <w:rPr>
                <w:rFonts w:hint="eastAsia"/>
                <w:color w:val="000000"/>
              </w:rPr>
              <w:t>&lt;0.001</w:t>
            </w:r>
          </w:p>
        </w:tc>
        <w:tc>
          <w:tcPr>
            <w:tcW w:w="992" w:type="dxa"/>
            <w:vAlign w:val="center"/>
          </w:tcPr>
          <w:p w14:paraId="1924BA63">
            <w:pPr>
              <w:pStyle w:val="133"/>
            </w:pPr>
            <w:r>
              <w:rPr>
                <w:rFonts w:hint="eastAsia"/>
              </w:rPr>
              <w:t>0.02</w:t>
            </w:r>
          </w:p>
        </w:tc>
        <w:tc>
          <w:tcPr>
            <w:tcW w:w="992" w:type="dxa"/>
            <w:vAlign w:val="center"/>
          </w:tcPr>
          <w:p w14:paraId="310F1A51">
            <w:pPr>
              <w:pStyle w:val="133"/>
            </w:pPr>
            <w:r>
              <w:rPr>
                <w:rFonts w:hint="eastAsia"/>
                <w:color w:val="000000"/>
              </w:rPr>
              <w:t>&lt;0.001</w:t>
            </w:r>
          </w:p>
        </w:tc>
        <w:tc>
          <w:tcPr>
            <w:tcW w:w="993" w:type="dxa"/>
            <w:vAlign w:val="center"/>
          </w:tcPr>
          <w:p w14:paraId="2B7171AA">
            <w:pPr>
              <w:pStyle w:val="133"/>
            </w:pPr>
            <w:r>
              <w:rPr>
                <w:rFonts w:hint="eastAsia"/>
              </w:rPr>
              <w:t>0.02</w:t>
            </w:r>
          </w:p>
        </w:tc>
        <w:tc>
          <w:tcPr>
            <w:tcW w:w="850" w:type="dxa"/>
            <w:vAlign w:val="center"/>
          </w:tcPr>
          <w:p w14:paraId="3A22513D">
            <w:pPr>
              <w:pStyle w:val="133"/>
            </w:pPr>
            <w:r>
              <w:rPr>
                <w:rFonts w:hint="eastAsia"/>
                <w:color w:val="000000"/>
              </w:rPr>
              <w:t>&lt;0.001</w:t>
            </w:r>
          </w:p>
        </w:tc>
        <w:tc>
          <w:tcPr>
            <w:tcW w:w="1134" w:type="dxa"/>
            <w:vAlign w:val="center"/>
          </w:tcPr>
          <w:p w14:paraId="519359C4">
            <w:pPr>
              <w:pStyle w:val="133"/>
            </w:pPr>
            <w:r>
              <w:rPr>
                <w:rFonts w:hint="eastAsia"/>
              </w:rPr>
              <w:t>0.02</w:t>
            </w:r>
          </w:p>
        </w:tc>
        <w:tc>
          <w:tcPr>
            <w:tcW w:w="850" w:type="dxa"/>
            <w:vAlign w:val="center"/>
          </w:tcPr>
          <w:p w14:paraId="1CE78E6B">
            <w:pPr>
              <w:pStyle w:val="133"/>
            </w:pPr>
            <w:r>
              <w:rPr>
                <w:rFonts w:hint="eastAsia"/>
                <w:color w:val="000000"/>
              </w:rPr>
              <w:t>&lt;0.001</w:t>
            </w:r>
          </w:p>
        </w:tc>
        <w:tc>
          <w:tcPr>
            <w:tcW w:w="1135" w:type="dxa"/>
            <w:vAlign w:val="center"/>
          </w:tcPr>
          <w:p w14:paraId="7A4F6D05">
            <w:pPr>
              <w:pStyle w:val="133"/>
            </w:pPr>
            <w:r>
              <w:rPr>
                <w:rFonts w:hint="eastAsia"/>
              </w:rPr>
              <w:t>0.02</w:t>
            </w:r>
          </w:p>
        </w:tc>
      </w:tr>
      <w:tr w14:paraId="63820C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753A2AFA">
            <w:pPr>
              <w:pStyle w:val="133"/>
            </w:pPr>
            <w:r>
              <w:rPr>
                <w:rFonts w:hint="eastAsia"/>
              </w:rPr>
              <w:t>氟化物</w:t>
            </w:r>
          </w:p>
        </w:tc>
        <w:tc>
          <w:tcPr>
            <w:tcW w:w="992" w:type="dxa"/>
            <w:vAlign w:val="center"/>
          </w:tcPr>
          <w:p w14:paraId="538FA744">
            <w:pPr>
              <w:pStyle w:val="133"/>
            </w:pPr>
            <w:r>
              <w:t>mg/L</w:t>
            </w:r>
          </w:p>
        </w:tc>
        <w:tc>
          <w:tcPr>
            <w:tcW w:w="1106" w:type="dxa"/>
            <w:vAlign w:val="center"/>
          </w:tcPr>
          <w:p w14:paraId="4910ABA7">
            <w:pPr>
              <w:pStyle w:val="133"/>
            </w:pPr>
            <w:r>
              <w:t>1.0</w:t>
            </w:r>
          </w:p>
        </w:tc>
        <w:tc>
          <w:tcPr>
            <w:tcW w:w="1010" w:type="dxa"/>
            <w:vAlign w:val="center"/>
          </w:tcPr>
          <w:p w14:paraId="1F95F83E">
            <w:pPr>
              <w:pStyle w:val="133"/>
            </w:pPr>
            <w:r>
              <w:rPr>
                <w:rFonts w:hint="eastAsia" w:cs="Times New Roman"/>
                <w:color w:val="000000"/>
                <w:kern w:val="2"/>
                <w:szCs w:val="21"/>
              </w:rPr>
              <w:t>0.52</w:t>
            </w:r>
          </w:p>
        </w:tc>
        <w:tc>
          <w:tcPr>
            <w:tcW w:w="993" w:type="dxa"/>
            <w:vAlign w:val="center"/>
          </w:tcPr>
          <w:p w14:paraId="57611C71">
            <w:pPr>
              <w:pStyle w:val="133"/>
            </w:pPr>
            <w:r>
              <w:rPr>
                <w:rFonts w:hint="eastAsia"/>
              </w:rPr>
              <w:t>0.52</w:t>
            </w:r>
          </w:p>
        </w:tc>
        <w:tc>
          <w:tcPr>
            <w:tcW w:w="992" w:type="dxa"/>
            <w:vAlign w:val="center"/>
          </w:tcPr>
          <w:p w14:paraId="438D048D">
            <w:pPr>
              <w:pStyle w:val="133"/>
            </w:pPr>
            <w:r>
              <w:rPr>
                <w:rFonts w:hint="eastAsia" w:cs="Times New Roman"/>
                <w:color w:val="000000"/>
                <w:kern w:val="2"/>
                <w:szCs w:val="21"/>
              </w:rPr>
              <w:t>0.61</w:t>
            </w:r>
          </w:p>
        </w:tc>
        <w:tc>
          <w:tcPr>
            <w:tcW w:w="992" w:type="dxa"/>
            <w:vAlign w:val="center"/>
          </w:tcPr>
          <w:p w14:paraId="13F46579">
            <w:pPr>
              <w:pStyle w:val="133"/>
            </w:pPr>
            <w:r>
              <w:rPr>
                <w:rFonts w:hint="eastAsia"/>
              </w:rPr>
              <w:t>0.61</w:t>
            </w:r>
          </w:p>
        </w:tc>
        <w:tc>
          <w:tcPr>
            <w:tcW w:w="992" w:type="dxa"/>
            <w:vAlign w:val="center"/>
          </w:tcPr>
          <w:p w14:paraId="21E59B0A">
            <w:pPr>
              <w:pStyle w:val="133"/>
            </w:pPr>
            <w:r>
              <w:rPr>
                <w:rFonts w:hint="eastAsia"/>
              </w:rPr>
              <w:t>0.28</w:t>
            </w:r>
          </w:p>
        </w:tc>
        <w:tc>
          <w:tcPr>
            <w:tcW w:w="993" w:type="dxa"/>
            <w:vAlign w:val="center"/>
          </w:tcPr>
          <w:p w14:paraId="00799E70">
            <w:pPr>
              <w:pStyle w:val="133"/>
            </w:pPr>
            <w:r>
              <w:rPr>
                <w:rFonts w:hint="eastAsia"/>
              </w:rPr>
              <w:t>0.28</w:t>
            </w:r>
          </w:p>
        </w:tc>
        <w:tc>
          <w:tcPr>
            <w:tcW w:w="850" w:type="dxa"/>
            <w:vAlign w:val="center"/>
          </w:tcPr>
          <w:p w14:paraId="54BFCCF5">
            <w:pPr>
              <w:pStyle w:val="133"/>
            </w:pPr>
            <w:r>
              <w:rPr>
                <w:rFonts w:hint="eastAsia" w:cs="Times New Roman"/>
                <w:color w:val="000000"/>
                <w:kern w:val="2"/>
                <w:szCs w:val="21"/>
              </w:rPr>
              <w:t>0.41</w:t>
            </w:r>
          </w:p>
        </w:tc>
        <w:tc>
          <w:tcPr>
            <w:tcW w:w="1134" w:type="dxa"/>
            <w:vAlign w:val="center"/>
          </w:tcPr>
          <w:p w14:paraId="5D26BB87">
            <w:pPr>
              <w:pStyle w:val="133"/>
            </w:pPr>
            <w:r>
              <w:rPr>
                <w:rFonts w:hint="eastAsia"/>
              </w:rPr>
              <w:t>0.41</w:t>
            </w:r>
          </w:p>
        </w:tc>
        <w:tc>
          <w:tcPr>
            <w:tcW w:w="850" w:type="dxa"/>
            <w:vAlign w:val="center"/>
          </w:tcPr>
          <w:p w14:paraId="31F51E42">
            <w:pPr>
              <w:pStyle w:val="133"/>
            </w:pPr>
            <w:r>
              <w:rPr>
                <w:rFonts w:hint="eastAsia" w:cs="Times New Roman"/>
                <w:color w:val="000000"/>
                <w:kern w:val="2"/>
                <w:szCs w:val="21"/>
              </w:rPr>
              <w:t>0.36</w:t>
            </w:r>
          </w:p>
        </w:tc>
        <w:tc>
          <w:tcPr>
            <w:tcW w:w="1135" w:type="dxa"/>
            <w:vAlign w:val="center"/>
          </w:tcPr>
          <w:p w14:paraId="23969941">
            <w:pPr>
              <w:pStyle w:val="133"/>
            </w:pPr>
            <w:r>
              <w:rPr>
                <w:rFonts w:hint="eastAsia"/>
              </w:rPr>
              <w:t>0.36</w:t>
            </w:r>
          </w:p>
        </w:tc>
      </w:tr>
      <w:tr w14:paraId="11057E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0F332664">
            <w:pPr>
              <w:pStyle w:val="133"/>
            </w:pPr>
            <w:r>
              <w:rPr>
                <w:rFonts w:hint="eastAsia"/>
              </w:rPr>
              <w:t>六价铬</w:t>
            </w:r>
          </w:p>
        </w:tc>
        <w:tc>
          <w:tcPr>
            <w:tcW w:w="992" w:type="dxa"/>
            <w:vAlign w:val="center"/>
          </w:tcPr>
          <w:p w14:paraId="38548A18">
            <w:pPr>
              <w:pStyle w:val="133"/>
            </w:pPr>
            <w:r>
              <w:t>mg/L</w:t>
            </w:r>
          </w:p>
        </w:tc>
        <w:tc>
          <w:tcPr>
            <w:tcW w:w="1106" w:type="dxa"/>
            <w:vAlign w:val="center"/>
          </w:tcPr>
          <w:p w14:paraId="1E42844D">
            <w:pPr>
              <w:pStyle w:val="133"/>
            </w:pPr>
            <w:r>
              <w:t>0.05</w:t>
            </w:r>
          </w:p>
        </w:tc>
        <w:tc>
          <w:tcPr>
            <w:tcW w:w="1010" w:type="dxa"/>
            <w:vAlign w:val="center"/>
          </w:tcPr>
          <w:p w14:paraId="78DA3FAE">
            <w:pPr>
              <w:pStyle w:val="133"/>
            </w:pPr>
            <w:r>
              <w:rPr>
                <w:rFonts w:hint="eastAsia"/>
                <w:color w:val="000000"/>
              </w:rPr>
              <w:t>&lt;0.004</w:t>
            </w:r>
          </w:p>
        </w:tc>
        <w:tc>
          <w:tcPr>
            <w:tcW w:w="993" w:type="dxa"/>
            <w:vAlign w:val="center"/>
          </w:tcPr>
          <w:p w14:paraId="67CA01E0">
            <w:pPr>
              <w:pStyle w:val="133"/>
            </w:pPr>
            <w:r>
              <w:rPr>
                <w:rFonts w:hint="eastAsia"/>
              </w:rPr>
              <w:t>0.08</w:t>
            </w:r>
          </w:p>
        </w:tc>
        <w:tc>
          <w:tcPr>
            <w:tcW w:w="992" w:type="dxa"/>
            <w:vAlign w:val="center"/>
          </w:tcPr>
          <w:p w14:paraId="4BB6DE64">
            <w:pPr>
              <w:pStyle w:val="133"/>
            </w:pPr>
            <w:r>
              <w:rPr>
                <w:rFonts w:hint="eastAsia"/>
                <w:color w:val="000000"/>
              </w:rPr>
              <w:t>&lt;0.004</w:t>
            </w:r>
          </w:p>
        </w:tc>
        <w:tc>
          <w:tcPr>
            <w:tcW w:w="992" w:type="dxa"/>
            <w:vAlign w:val="center"/>
          </w:tcPr>
          <w:p w14:paraId="417E915F">
            <w:pPr>
              <w:pStyle w:val="133"/>
            </w:pPr>
            <w:r>
              <w:rPr>
                <w:rFonts w:hint="eastAsia"/>
              </w:rPr>
              <w:t>0.08</w:t>
            </w:r>
          </w:p>
        </w:tc>
        <w:tc>
          <w:tcPr>
            <w:tcW w:w="992" w:type="dxa"/>
            <w:vAlign w:val="center"/>
          </w:tcPr>
          <w:p w14:paraId="2F9BCAB2">
            <w:pPr>
              <w:pStyle w:val="133"/>
            </w:pPr>
            <w:r>
              <w:rPr>
                <w:rFonts w:hint="eastAsia"/>
                <w:color w:val="000000"/>
              </w:rPr>
              <w:t>&lt;0.004</w:t>
            </w:r>
          </w:p>
        </w:tc>
        <w:tc>
          <w:tcPr>
            <w:tcW w:w="993" w:type="dxa"/>
            <w:vAlign w:val="center"/>
          </w:tcPr>
          <w:p w14:paraId="06BBD8B2">
            <w:pPr>
              <w:pStyle w:val="133"/>
            </w:pPr>
            <w:r>
              <w:rPr>
                <w:rFonts w:hint="eastAsia"/>
              </w:rPr>
              <w:t>0.08</w:t>
            </w:r>
          </w:p>
        </w:tc>
        <w:tc>
          <w:tcPr>
            <w:tcW w:w="850" w:type="dxa"/>
            <w:vAlign w:val="center"/>
          </w:tcPr>
          <w:p w14:paraId="6F74E9D2">
            <w:pPr>
              <w:pStyle w:val="133"/>
            </w:pPr>
            <w:r>
              <w:rPr>
                <w:rFonts w:hint="eastAsia"/>
                <w:color w:val="000000"/>
              </w:rPr>
              <w:t>&lt;0.004</w:t>
            </w:r>
          </w:p>
        </w:tc>
        <w:tc>
          <w:tcPr>
            <w:tcW w:w="1134" w:type="dxa"/>
            <w:vAlign w:val="center"/>
          </w:tcPr>
          <w:p w14:paraId="733B103A">
            <w:pPr>
              <w:pStyle w:val="133"/>
            </w:pPr>
            <w:r>
              <w:rPr>
                <w:rFonts w:hint="eastAsia"/>
              </w:rPr>
              <w:t>0.08</w:t>
            </w:r>
          </w:p>
        </w:tc>
        <w:tc>
          <w:tcPr>
            <w:tcW w:w="850" w:type="dxa"/>
            <w:vAlign w:val="center"/>
          </w:tcPr>
          <w:p w14:paraId="3BEA737D">
            <w:pPr>
              <w:pStyle w:val="133"/>
            </w:pPr>
            <w:r>
              <w:rPr>
                <w:rFonts w:hint="eastAsia"/>
                <w:color w:val="000000"/>
              </w:rPr>
              <w:t>&lt;0.004</w:t>
            </w:r>
          </w:p>
        </w:tc>
        <w:tc>
          <w:tcPr>
            <w:tcW w:w="1135" w:type="dxa"/>
            <w:vAlign w:val="center"/>
          </w:tcPr>
          <w:p w14:paraId="2C5D43F9">
            <w:pPr>
              <w:pStyle w:val="133"/>
            </w:pPr>
            <w:r>
              <w:rPr>
                <w:rFonts w:hint="eastAsia"/>
              </w:rPr>
              <w:t>0.08</w:t>
            </w:r>
          </w:p>
        </w:tc>
      </w:tr>
      <w:tr w14:paraId="2DB700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1ADF368D">
            <w:pPr>
              <w:pStyle w:val="133"/>
            </w:pPr>
            <w:r>
              <w:rPr>
                <w:rFonts w:hint="eastAsia"/>
              </w:rPr>
              <w:t>挥发酚</w:t>
            </w:r>
          </w:p>
        </w:tc>
        <w:tc>
          <w:tcPr>
            <w:tcW w:w="992" w:type="dxa"/>
            <w:vAlign w:val="center"/>
          </w:tcPr>
          <w:p w14:paraId="003C8728">
            <w:pPr>
              <w:pStyle w:val="133"/>
            </w:pPr>
            <w:r>
              <w:t>mg/L</w:t>
            </w:r>
          </w:p>
        </w:tc>
        <w:tc>
          <w:tcPr>
            <w:tcW w:w="1106" w:type="dxa"/>
            <w:vAlign w:val="center"/>
          </w:tcPr>
          <w:p w14:paraId="2D19CB65">
            <w:pPr>
              <w:pStyle w:val="133"/>
            </w:pPr>
            <w:r>
              <w:t>0.002</w:t>
            </w:r>
          </w:p>
        </w:tc>
        <w:tc>
          <w:tcPr>
            <w:tcW w:w="1010" w:type="dxa"/>
            <w:vAlign w:val="center"/>
          </w:tcPr>
          <w:p w14:paraId="519CAE92">
            <w:pPr>
              <w:pStyle w:val="133"/>
            </w:pPr>
            <w:r>
              <w:rPr>
                <w:rFonts w:hint="eastAsia"/>
                <w:color w:val="000000"/>
              </w:rPr>
              <w:t>&lt;0.0003</w:t>
            </w:r>
          </w:p>
        </w:tc>
        <w:tc>
          <w:tcPr>
            <w:tcW w:w="993" w:type="dxa"/>
            <w:vAlign w:val="center"/>
          </w:tcPr>
          <w:p w14:paraId="02E1E6D7">
            <w:pPr>
              <w:pStyle w:val="133"/>
            </w:pPr>
            <w:r>
              <w:rPr>
                <w:rFonts w:hint="eastAsia"/>
              </w:rPr>
              <w:t>0.15</w:t>
            </w:r>
          </w:p>
        </w:tc>
        <w:tc>
          <w:tcPr>
            <w:tcW w:w="992" w:type="dxa"/>
            <w:vAlign w:val="center"/>
          </w:tcPr>
          <w:p w14:paraId="2F618ABE">
            <w:pPr>
              <w:pStyle w:val="133"/>
            </w:pPr>
            <w:r>
              <w:rPr>
                <w:rFonts w:hint="eastAsia"/>
                <w:color w:val="000000"/>
              </w:rPr>
              <w:t>&lt;0.0003</w:t>
            </w:r>
          </w:p>
        </w:tc>
        <w:tc>
          <w:tcPr>
            <w:tcW w:w="992" w:type="dxa"/>
            <w:vAlign w:val="center"/>
          </w:tcPr>
          <w:p w14:paraId="4C145D30">
            <w:pPr>
              <w:pStyle w:val="133"/>
            </w:pPr>
            <w:r>
              <w:rPr>
                <w:rFonts w:hint="eastAsia"/>
              </w:rPr>
              <w:t>0.15</w:t>
            </w:r>
          </w:p>
        </w:tc>
        <w:tc>
          <w:tcPr>
            <w:tcW w:w="992" w:type="dxa"/>
            <w:vAlign w:val="center"/>
          </w:tcPr>
          <w:p w14:paraId="4447D3D4">
            <w:pPr>
              <w:pStyle w:val="133"/>
            </w:pPr>
            <w:r>
              <w:rPr>
                <w:rFonts w:hint="eastAsia"/>
                <w:color w:val="000000"/>
              </w:rPr>
              <w:t>&lt;0.0003</w:t>
            </w:r>
          </w:p>
        </w:tc>
        <w:tc>
          <w:tcPr>
            <w:tcW w:w="993" w:type="dxa"/>
            <w:vAlign w:val="center"/>
          </w:tcPr>
          <w:p w14:paraId="12963A3E">
            <w:pPr>
              <w:pStyle w:val="133"/>
            </w:pPr>
            <w:r>
              <w:rPr>
                <w:rFonts w:hint="eastAsia"/>
              </w:rPr>
              <w:t>0.15</w:t>
            </w:r>
          </w:p>
        </w:tc>
        <w:tc>
          <w:tcPr>
            <w:tcW w:w="850" w:type="dxa"/>
            <w:vAlign w:val="center"/>
          </w:tcPr>
          <w:p w14:paraId="28452847">
            <w:pPr>
              <w:pStyle w:val="133"/>
            </w:pPr>
            <w:r>
              <w:rPr>
                <w:rFonts w:hint="eastAsia"/>
                <w:color w:val="000000"/>
              </w:rPr>
              <w:t>&lt;0.0003</w:t>
            </w:r>
          </w:p>
        </w:tc>
        <w:tc>
          <w:tcPr>
            <w:tcW w:w="1134" w:type="dxa"/>
            <w:vAlign w:val="center"/>
          </w:tcPr>
          <w:p w14:paraId="0026F7C6">
            <w:pPr>
              <w:pStyle w:val="133"/>
            </w:pPr>
            <w:r>
              <w:rPr>
                <w:rFonts w:hint="eastAsia"/>
              </w:rPr>
              <w:t>0.15</w:t>
            </w:r>
          </w:p>
        </w:tc>
        <w:tc>
          <w:tcPr>
            <w:tcW w:w="850" w:type="dxa"/>
            <w:vAlign w:val="center"/>
          </w:tcPr>
          <w:p w14:paraId="71FC2172">
            <w:pPr>
              <w:pStyle w:val="133"/>
            </w:pPr>
            <w:r>
              <w:rPr>
                <w:rFonts w:hint="eastAsia"/>
                <w:color w:val="000000"/>
              </w:rPr>
              <w:t>&lt;0.0003</w:t>
            </w:r>
          </w:p>
        </w:tc>
        <w:tc>
          <w:tcPr>
            <w:tcW w:w="1135" w:type="dxa"/>
            <w:vAlign w:val="center"/>
          </w:tcPr>
          <w:p w14:paraId="709C0D4C">
            <w:pPr>
              <w:pStyle w:val="133"/>
            </w:pPr>
            <w:r>
              <w:rPr>
                <w:rFonts w:hint="eastAsia"/>
              </w:rPr>
              <w:t>0.15</w:t>
            </w:r>
          </w:p>
        </w:tc>
      </w:tr>
      <w:tr w14:paraId="1479C1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60A059EF">
            <w:pPr>
              <w:pStyle w:val="133"/>
            </w:pPr>
            <w:r>
              <w:rPr>
                <w:rFonts w:hint="eastAsia"/>
              </w:rPr>
              <w:t>苯</w:t>
            </w:r>
          </w:p>
        </w:tc>
        <w:tc>
          <w:tcPr>
            <w:tcW w:w="992" w:type="dxa"/>
            <w:vAlign w:val="center"/>
          </w:tcPr>
          <w:p w14:paraId="02A7152C">
            <w:pPr>
              <w:pStyle w:val="133"/>
            </w:pPr>
            <w:r>
              <w:t>μg/L</w:t>
            </w:r>
          </w:p>
        </w:tc>
        <w:tc>
          <w:tcPr>
            <w:tcW w:w="1106" w:type="dxa"/>
            <w:vAlign w:val="center"/>
          </w:tcPr>
          <w:p w14:paraId="5EE3E950">
            <w:pPr>
              <w:pStyle w:val="133"/>
            </w:pPr>
            <w:r>
              <w:t>10</w:t>
            </w:r>
          </w:p>
        </w:tc>
        <w:tc>
          <w:tcPr>
            <w:tcW w:w="1010" w:type="dxa"/>
            <w:vAlign w:val="center"/>
          </w:tcPr>
          <w:p w14:paraId="687A81F9">
            <w:pPr>
              <w:pStyle w:val="133"/>
            </w:pPr>
          </w:p>
        </w:tc>
        <w:tc>
          <w:tcPr>
            <w:tcW w:w="993" w:type="dxa"/>
            <w:vAlign w:val="center"/>
          </w:tcPr>
          <w:p w14:paraId="3ED90B1E">
            <w:pPr>
              <w:pStyle w:val="133"/>
            </w:pPr>
            <w:r>
              <w:t>0.04</w:t>
            </w:r>
          </w:p>
        </w:tc>
        <w:tc>
          <w:tcPr>
            <w:tcW w:w="992" w:type="dxa"/>
            <w:vAlign w:val="center"/>
          </w:tcPr>
          <w:p w14:paraId="278C59B0">
            <w:pPr>
              <w:pStyle w:val="133"/>
            </w:pPr>
            <w:r>
              <w:rPr>
                <w:rFonts w:hint="eastAsia"/>
              </w:rPr>
              <w:t>&lt;</w:t>
            </w:r>
            <w:r>
              <w:t>0.4</w:t>
            </w:r>
          </w:p>
        </w:tc>
        <w:tc>
          <w:tcPr>
            <w:tcW w:w="992" w:type="dxa"/>
            <w:vAlign w:val="center"/>
          </w:tcPr>
          <w:p w14:paraId="4E597BF8">
            <w:pPr>
              <w:pStyle w:val="133"/>
            </w:pPr>
            <w:r>
              <w:t>0.04</w:t>
            </w:r>
          </w:p>
        </w:tc>
        <w:tc>
          <w:tcPr>
            <w:tcW w:w="992" w:type="dxa"/>
            <w:vAlign w:val="center"/>
          </w:tcPr>
          <w:p w14:paraId="59F5BA6D">
            <w:pPr>
              <w:pStyle w:val="133"/>
            </w:pPr>
            <w:r>
              <w:rPr>
                <w:rFonts w:hint="eastAsia"/>
              </w:rPr>
              <w:t>&lt;</w:t>
            </w:r>
            <w:r>
              <w:t>0.4</w:t>
            </w:r>
          </w:p>
        </w:tc>
        <w:tc>
          <w:tcPr>
            <w:tcW w:w="993" w:type="dxa"/>
            <w:vAlign w:val="center"/>
          </w:tcPr>
          <w:p w14:paraId="42FDBF90">
            <w:pPr>
              <w:pStyle w:val="133"/>
            </w:pPr>
            <w:r>
              <w:t>0.04</w:t>
            </w:r>
          </w:p>
        </w:tc>
        <w:tc>
          <w:tcPr>
            <w:tcW w:w="850" w:type="dxa"/>
            <w:vAlign w:val="center"/>
          </w:tcPr>
          <w:p w14:paraId="1BAADA98">
            <w:pPr>
              <w:pStyle w:val="133"/>
            </w:pPr>
            <w:r>
              <w:rPr>
                <w:rFonts w:hint="eastAsia"/>
                <w:color w:val="000000"/>
              </w:rPr>
              <w:t>&lt;2</w:t>
            </w:r>
          </w:p>
        </w:tc>
        <w:tc>
          <w:tcPr>
            <w:tcW w:w="1134" w:type="dxa"/>
            <w:vAlign w:val="center"/>
          </w:tcPr>
          <w:p w14:paraId="0490C68C">
            <w:pPr>
              <w:pStyle w:val="133"/>
            </w:pPr>
            <w:r>
              <w:rPr>
                <w:rFonts w:hint="eastAsia"/>
              </w:rPr>
              <w:t>2</w:t>
            </w:r>
          </w:p>
        </w:tc>
        <w:tc>
          <w:tcPr>
            <w:tcW w:w="850" w:type="dxa"/>
            <w:vAlign w:val="center"/>
          </w:tcPr>
          <w:p w14:paraId="411DADB8">
            <w:pPr>
              <w:pStyle w:val="133"/>
            </w:pPr>
            <w:r>
              <w:rPr>
                <w:rFonts w:hint="eastAsia"/>
                <w:color w:val="000000"/>
              </w:rPr>
              <w:t>&lt;2</w:t>
            </w:r>
          </w:p>
        </w:tc>
        <w:tc>
          <w:tcPr>
            <w:tcW w:w="1135" w:type="dxa"/>
            <w:vAlign w:val="center"/>
          </w:tcPr>
          <w:p w14:paraId="2A9E42E9">
            <w:pPr>
              <w:pStyle w:val="133"/>
            </w:pPr>
            <w:r>
              <w:rPr>
                <w:rFonts w:hint="eastAsia"/>
              </w:rPr>
              <w:t>2</w:t>
            </w:r>
          </w:p>
        </w:tc>
      </w:tr>
      <w:tr w14:paraId="2AF754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1DEF2853">
            <w:pPr>
              <w:pStyle w:val="133"/>
            </w:pPr>
            <w:r>
              <w:rPr>
                <w:rFonts w:hint="eastAsia"/>
              </w:rPr>
              <w:t>石油类</w:t>
            </w:r>
          </w:p>
        </w:tc>
        <w:tc>
          <w:tcPr>
            <w:tcW w:w="992" w:type="dxa"/>
            <w:vAlign w:val="center"/>
          </w:tcPr>
          <w:p w14:paraId="7AEAB883">
            <w:pPr>
              <w:pStyle w:val="133"/>
            </w:pPr>
            <w:r>
              <w:t>mg/L</w:t>
            </w:r>
          </w:p>
        </w:tc>
        <w:tc>
          <w:tcPr>
            <w:tcW w:w="1106" w:type="dxa"/>
            <w:vAlign w:val="center"/>
          </w:tcPr>
          <w:p w14:paraId="19B57AEB">
            <w:pPr>
              <w:pStyle w:val="133"/>
            </w:pPr>
            <w:r>
              <w:t>/</w:t>
            </w:r>
          </w:p>
        </w:tc>
        <w:tc>
          <w:tcPr>
            <w:tcW w:w="1010" w:type="dxa"/>
            <w:vAlign w:val="center"/>
          </w:tcPr>
          <w:p w14:paraId="623950A0">
            <w:pPr>
              <w:pStyle w:val="133"/>
            </w:pPr>
            <w:r>
              <w:rPr>
                <w:rFonts w:hint="eastAsia"/>
                <w:color w:val="000000"/>
              </w:rPr>
              <w:t>&lt;0.01</w:t>
            </w:r>
          </w:p>
        </w:tc>
        <w:tc>
          <w:tcPr>
            <w:tcW w:w="993" w:type="dxa"/>
            <w:vAlign w:val="center"/>
          </w:tcPr>
          <w:p w14:paraId="4BD7005D">
            <w:pPr>
              <w:pStyle w:val="133"/>
            </w:pPr>
            <w:r>
              <w:t>/</w:t>
            </w:r>
          </w:p>
        </w:tc>
        <w:tc>
          <w:tcPr>
            <w:tcW w:w="992" w:type="dxa"/>
            <w:vAlign w:val="center"/>
          </w:tcPr>
          <w:p w14:paraId="1235BB64">
            <w:pPr>
              <w:pStyle w:val="133"/>
            </w:pPr>
            <w:r>
              <w:rPr>
                <w:rFonts w:hint="eastAsia"/>
              </w:rPr>
              <w:t>&lt;</w:t>
            </w:r>
            <w:r>
              <w:t>0.01</w:t>
            </w:r>
          </w:p>
        </w:tc>
        <w:tc>
          <w:tcPr>
            <w:tcW w:w="992" w:type="dxa"/>
            <w:vAlign w:val="center"/>
          </w:tcPr>
          <w:p w14:paraId="3262A95F">
            <w:pPr>
              <w:pStyle w:val="133"/>
            </w:pPr>
            <w:r>
              <w:t>/</w:t>
            </w:r>
          </w:p>
        </w:tc>
        <w:tc>
          <w:tcPr>
            <w:tcW w:w="992" w:type="dxa"/>
            <w:vAlign w:val="center"/>
          </w:tcPr>
          <w:p w14:paraId="0E086447">
            <w:pPr>
              <w:pStyle w:val="133"/>
            </w:pPr>
            <w:r>
              <w:rPr>
                <w:rFonts w:hint="eastAsia"/>
              </w:rPr>
              <w:t>/</w:t>
            </w:r>
          </w:p>
        </w:tc>
        <w:tc>
          <w:tcPr>
            <w:tcW w:w="993" w:type="dxa"/>
            <w:vAlign w:val="center"/>
          </w:tcPr>
          <w:p w14:paraId="72FBA532">
            <w:pPr>
              <w:pStyle w:val="133"/>
            </w:pPr>
            <w:r>
              <w:rPr>
                <w:rFonts w:hint="eastAsia"/>
              </w:rPr>
              <w:t>/</w:t>
            </w:r>
          </w:p>
        </w:tc>
        <w:tc>
          <w:tcPr>
            <w:tcW w:w="850" w:type="dxa"/>
            <w:vAlign w:val="center"/>
          </w:tcPr>
          <w:p w14:paraId="3AFD7237">
            <w:pPr>
              <w:pStyle w:val="133"/>
            </w:pPr>
            <w:r>
              <w:rPr>
                <w:rFonts w:hint="eastAsia"/>
                <w:color w:val="000000"/>
              </w:rPr>
              <w:t>&lt;0.01</w:t>
            </w:r>
          </w:p>
        </w:tc>
        <w:tc>
          <w:tcPr>
            <w:tcW w:w="1134" w:type="dxa"/>
            <w:vAlign w:val="center"/>
          </w:tcPr>
          <w:p w14:paraId="281375FC">
            <w:pPr>
              <w:pStyle w:val="133"/>
            </w:pPr>
            <w:r>
              <w:t>/</w:t>
            </w:r>
          </w:p>
        </w:tc>
        <w:tc>
          <w:tcPr>
            <w:tcW w:w="850" w:type="dxa"/>
            <w:vAlign w:val="center"/>
          </w:tcPr>
          <w:p w14:paraId="0DA1FB66">
            <w:pPr>
              <w:pStyle w:val="133"/>
            </w:pPr>
            <w:r>
              <w:rPr>
                <w:rFonts w:hint="eastAsia"/>
                <w:color w:val="000000"/>
              </w:rPr>
              <w:t>&lt;0.01</w:t>
            </w:r>
          </w:p>
        </w:tc>
        <w:tc>
          <w:tcPr>
            <w:tcW w:w="1135" w:type="dxa"/>
            <w:vAlign w:val="center"/>
          </w:tcPr>
          <w:p w14:paraId="1A362A09">
            <w:pPr>
              <w:pStyle w:val="133"/>
            </w:pPr>
            <w:r>
              <w:rPr>
                <w:rFonts w:hint="eastAsia"/>
              </w:rPr>
              <w:t>/</w:t>
            </w:r>
          </w:p>
        </w:tc>
      </w:tr>
      <w:tr w14:paraId="4929E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6D77DCD7">
            <w:pPr>
              <w:pStyle w:val="133"/>
            </w:pPr>
            <w:r>
              <w:rPr>
                <w:rFonts w:hint="eastAsia"/>
              </w:rPr>
              <w:t>萘</w:t>
            </w:r>
          </w:p>
        </w:tc>
        <w:tc>
          <w:tcPr>
            <w:tcW w:w="992" w:type="dxa"/>
            <w:vAlign w:val="center"/>
          </w:tcPr>
          <w:p w14:paraId="2A601134">
            <w:pPr>
              <w:pStyle w:val="133"/>
            </w:pPr>
            <w:r>
              <w:t>μg/L</w:t>
            </w:r>
          </w:p>
        </w:tc>
        <w:tc>
          <w:tcPr>
            <w:tcW w:w="1106" w:type="dxa"/>
            <w:vAlign w:val="center"/>
          </w:tcPr>
          <w:p w14:paraId="4280BD59">
            <w:pPr>
              <w:pStyle w:val="133"/>
            </w:pPr>
            <w:r>
              <w:t>100</w:t>
            </w:r>
          </w:p>
        </w:tc>
        <w:tc>
          <w:tcPr>
            <w:tcW w:w="1010" w:type="dxa"/>
            <w:vAlign w:val="center"/>
          </w:tcPr>
          <w:p w14:paraId="5FECE7C8">
            <w:pPr>
              <w:pStyle w:val="133"/>
            </w:pPr>
            <w:r>
              <w:rPr>
                <w:rFonts w:hint="eastAsia"/>
                <w:bCs/>
                <w:szCs w:val="21"/>
              </w:rPr>
              <w:t>&lt;0.09</w:t>
            </w:r>
          </w:p>
        </w:tc>
        <w:tc>
          <w:tcPr>
            <w:tcW w:w="993" w:type="dxa"/>
            <w:vAlign w:val="center"/>
          </w:tcPr>
          <w:p w14:paraId="1E84C571">
            <w:pPr>
              <w:pStyle w:val="133"/>
            </w:pPr>
            <w:r>
              <w:rPr>
                <w:rFonts w:hint="eastAsia"/>
              </w:rPr>
              <w:t>0.0009</w:t>
            </w:r>
          </w:p>
        </w:tc>
        <w:tc>
          <w:tcPr>
            <w:tcW w:w="992" w:type="dxa"/>
            <w:vAlign w:val="center"/>
          </w:tcPr>
          <w:p w14:paraId="66973519">
            <w:pPr>
              <w:pStyle w:val="133"/>
            </w:pPr>
            <w:r>
              <w:rPr>
                <w:rFonts w:hint="eastAsia"/>
                <w:bCs/>
                <w:szCs w:val="21"/>
              </w:rPr>
              <w:t>&lt;0.09</w:t>
            </w:r>
          </w:p>
        </w:tc>
        <w:tc>
          <w:tcPr>
            <w:tcW w:w="992" w:type="dxa"/>
            <w:vAlign w:val="center"/>
          </w:tcPr>
          <w:p w14:paraId="51DCF100">
            <w:pPr>
              <w:pStyle w:val="133"/>
            </w:pPr>
            <w:r>
              <w:rPr>
                <w:rFonts w:hint="eastAsia"/>
              </w:rPr>
              <w:t>0.0009</w:t>
            </w:r>
          </w:p>
        </w:tc>
        <w:tc>
          <w:tcPr>
            <w:tcW w:w="992" w:type="dxa"/>
            <w:vAlign w:val="center"/>
          </w:tcPr>
          <w:p w14:paraId="24165C93">
            <w:pPr>
              <w:pStyle w:val="133"/>
            </w:pPr>
            <w:r>
              <w:rPr>
                <w:rFonts w:hint="eastAsia"/>
              </w:rPr>
              <w:t>/</w:t>
            </w:r>
          </w:p>
        </w:tc>
        <w:tc>
          <w:tcPr>
            <w:tcW w:w="993" w:type="dxa"/>
            <w:vAlign w:val="center"/>
          </w:tcPr>
          <w:p w14:paraId="08EA4980">
            <w:pPr>
              <w:pStyle w:val="133"/>
            </w:pPr>
            <w:r>
              <w:rPr>
                <w:rFonts w:hint="eastAsia"/>
              </w:rPr>
              <w:t>/</w:t>
            </w:r>
          </w:p>
        </w:tc>
        <w:tc>
          <w:tcPr>
            <w:tcW w:w="850" w:type="dxa"/>
            <w:vAlign w:val="center"/>
          </w:tcPr>
          <w:p w14:paraId="1F125BAA">
            <w:pPr>
              <w:pStyle w:val="133"/>
            </w:pPr>
            <w:r>
              <w:rPr>
                <w:rFonts w:hint="eastAsia"/>
                <w:bCs/>
                <w:szCs w:val="21"/>
              </w:rPr>
              <w:t>&lt;0.09</w:t>
            </w:r>
          </w:p>
        </w:tc>
        <w:tc>
          <w:tcPr>
            <w:tcW w:w="1134" w:type="dxa"/>
            <w:vAlign w:val="center"/>
          </w:tcPr>
          <w:p w14:paraId="1E534A06">
            <w:pPr>
              <w:pStyle w:val="133"/>
            </w:pPr>
            <w:r>
              <w:rPr>
                <w:rFonts w:hint="eastAsia"/>
              </w:rPr>
              <w:t>0.0009</w:t>
            </w:r>
          </w:p>
        </w:tc>
        <w:tc>
          <w:tcPr>
            <w:tcW w:w="850" w:type="dxa"/>
            <w:vAlign w:val="center"/>
          </w:tcPr>
          <w:p w14:paraId="7C4B83AB">
            <w:pPr>
              <w:pStyle w:val="133"/>
            </w:pPr>
            <w:r>
              <w:rPr>
                <w:rFonts w:hint="eastAsia"/>
                <w:bCs/>
                <w:szCs w:val="21"/>
              </w:rPr>
              <w:t>&lt;0.09</w:t>
            </w:r>
          </w:p>
        </w:tc>
        <w:tc>
          <w:tcPr>
            <w:tcW w:w="1135" w:type="dxa"/>
            <w:vAlign w:val="center"/>
          </w:tcPr>
          <w:p w14:paraId="78073FDD">
            <w:pPr>
              <w:pStyle w:val="133"/>
            </w:pPr>
            <w:r>
              <w:rPr>
                <w:rFonts w:hint="eastAsia"/>
              </w:rPr>
              <w:t>0.0009</w:t>
            </w:r>
          </w:p>
        </w:tc>
      </w:tr>
      <w:tr w14:paraId="7FADF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1" w:type="dxa"/>
            <w:left w:w="11" w:type="dxa"/>
            <w:bottom w:w="11" w:type="dxa"/>
            <w:right w:w="11" w:type="dxa"/>
          </w:tblCellMar>
        </w:tblPrEx>
        <w:trPr>
          <w:trHeight w:val="397" w:hRule="atLeast"/>
          <w:jc w:val="center"/>
        </w:trPr>
        <w:tc>
          <w:tcPr>
            <w:tcW w:w="1980" w:type="dxa"/>
            <w:vAlign w:val="center"/>
          </w:tcPr>
          <w:p w14:paraId="68A24B85">
            <w:pPr>
              <w:pStyle w:val="133"/>
            </w:pPr>
            <w:r>
              <w:rPr>
                <w:rFonts w:hint="eastAsia"/>
              </w:rPr>
              <w:t>苯并</w:t>
            </w:r>
            <w:r>
              <w:t>[α]</w:t>
            </w:r>
            <w:r>
              <w:rPr>
                <w:rFonts w:hint="eastAsia"/>
              </w:rPr>
              <w:t>芘</w:t>
            </w:r>
          </w:p>
        </w:tc>
        <w:tc>
          <w:tcPr>
            <w:tcW w:w="992" w:type="dxa"/>
            <w:vAlign w:val="center"/>
          </w:tcPr>
          <w:p w14:paraId="35382919">
            <w:pPr>
              <w:pStyle w:val="133"/>
            </w:pPr>
            <w:r>
              <w:t>μg/L</w:t>
            </w:r>
          </w:p>
        </w:tc>
        <w:tc>
          <w:tcPr>
            <w:tcW w:w="1106" w:type="dxa"/>
            <w:vAlign w:val="center"/>
          </w:tcPr>
          <w:p w14:paraId="468D809E">
            <w:pPr>
              <w:pStyle w:val="133"/>
            </w:pPr>
            <w:r>
              <w:t>0.01</w:t>
            </w:r>
          </w:p>
        </w:tc>
        <w:tc>
          <w:tcPr>
            <w:tcW w:w="1010" w:type="dxa"/>
            <w:vAlign w:val="center"/>
          </w:tcPr>
          <w:p w14:paraId="3D8C13C0">
            <w:pPr>
              <w:pStyle w:val="133"/>
            </w:pPr>
            <w:r>
              <w:rPr>
                <w:rFonts w:hint="eastAsia"/>
                <w:color w:val="000000"/>
              </w:rPr>
              <w:t>&lt;0.004</w:t>
            </w:r>
          </w:p>
        </w:tc>
        <w:tc>
          <w:tcPr>
            <w:tcW w:w="993" w:type="dxa"/>
            <w:vAlign w:val="center"/>
          </w:tcPr>
          <w:p w14:paraId="41DE8B3C">
            <w:pPr>
              <w:pStyle w:val="133"/>
            </w:pPr>
            <w:r>
              <w:t>0.4</w:t>
            </w:r>
          </w:p>
        </w:tc>
        <w:tc>
          <w:tcPr>
            <w:tcW w:w="992" w:type="dxa"/>
            <w:vAlign w:val="center"/>
          </w:tcPr>
          <w:p w14:paraId="11905883">
            <w:pPr>
              <w:pStyle w:val="133"/>
            </w:pPr>
            <w:r>
              <w:rPr>
                <w:rFonts w:hint="eastAsia"/>
              </w:rPr>
              <w:t>&lt;</w:t>
            </w:r>
            <w:r>
              <w:t>0.004</w:t>
            </w:r>
          </w:p>
        </w:tc>
        <w:tc>
          <w:tcPr>
            <w:tcW w:w="992" w:type="dxa"/>
            <w:vAlign w:val="center"/>
          </w:tcPr>
          <w:p w14:paraId="69A059A7">
            <w:pPr>
              <w:pStyle w:val="133"/>
            </w:pPr>
            <w:r>
              <w:t>0.4</w:t>
            </w:r>
          </w:p>
        </w:tc>
        <w:tc>
          <w:tcPr>
            <w:tcW w:w="992" w:type="dxa"/>
            <w:vAlign w:val="center"/>
          </w:tcPr>
          <w:p w14:paraId="479C411F">
            <w:pPr>
              <w:pStyle w:val="133"/>
            </w:pPr>
            <w:r>
              <w:rPr>
                <w:rFonts w:hint="eastAsia"/>
              </w:rPr>
              <w:t>&lt;</w:t>
            </w:r>
            <w:r>
              <w:t>0.004</w:t>
            </w:r>
          </w:p>
        </w:tc>
        <w:tc>
          <w:tcPr>
            <w:tcW w:w="993" w:type="dxa"/>
            <w:vAlign w:val="center"/>
          </w:tcPr>
          <w:p w14:paraId="507B19DA">
            <w:pPr>
              <w:pStyle w:val="133"/>
            </w:pPr>
            <w:r>
              <w:t>0.4</w:t>
            </w:r>
          </w:p>
        </w:tc>
        <w:tc>
          <w:tcPr>
            <w:tcW w:w="850" w:type="dxa"/>
            <w:vAlign w:val="center"/>
          </w:tcPr>
          <w:p w14:paraId="1D9BA700">
            <w:pPr>
              <w:pStyle w:val="133"/>
            </w:pPr>
            <w:r>
              <w:rPr>
                <w:rFonts w:hint="eastAsia"/>
              </w:rPr>
              <w:t>&lt;</w:t>
            </w:r>
            <w:r>
              <w:t>0.004</w:t>
            </w:r>
          </w:p>
        </w:tc>
        <w:tc>
          <w:tcPr>
            <w:tcW w:w="1134" w:type="dxa"/>
            <w:vAlign w:val="center"/>
          </w:tcPr>
          <w:p w14:paraId="77626691">
            <w:pPr>
              <w:pStyle w:val="133"/>
            </w:pPr>
            <w:r>
              <w:t>0.4</w:t>
            </w:r>
          </w:p>
        </w:tc>
        <w:tc>
          <w:tcPr>
            <w:tcW w:w="850" w:type="dxa"/>
            <w:vAlign w:val="center"/>
          </w:tcPr>
          <w:p w14:paraId="1505B207">
            <w:pPr>
              <w:pStyle w:val="133"/>
            </w:pPr>
            <w:r>
              <w:rPr>
                <w:rFonts w:hint="eastAsia"/>
              </w:rPr>
              <w:t>&lt;</w:t>
            </w:r>
            <w:r>
              <w:t>0.004</w:t>
            </w:r>
          </w:p>
        </w:tc>
        <w:tc>
          <w:tcPr>
            <w:tcW w:w="1135" w:type="dxa"/>
            <w:vAlign w:val="center"/>
          </w:tcPr>
          <w:p w14:paraId="168B7902">
            <w:pPr>
              <w:pStyle w:val="133"/>
            </w:pPr>
            <w:r>
              <w:t>0.4</w:t>
            </w:r>
          </w:p>
        </w:tc>
      </w:tr>
    </w:tbl>
    <w:p w14:paraId="504E35EE">
      <w:pPr>
        <w:pStyle w:val="133"/>
      </w:pPr>
    </w:p>
    <w:p w14:paraId="6377DE53">
      <w:pPr>
        <w:pStyle w:val="118"/>
      </w:pPr>
      <w:r>
        <w:rPr>
          <w:rFonts w:hint="eastAsia"/>
        </w:rPr>
        <w:t>表4.4-3</w:t>
      </w:r>
      <w:r>
        <w:t xml:space="preserve">    </w:t>
      </w:r>
      <w:r>
        <w:rPr>
          <w:rFonts w:hint="eastAsia"/>
        </w:rPr>
        <w:t>地下水监测结果一览表</w:t>
      </w:r>
    </w:p>
    <w:tbl>
      <w:tblPr>
        <w:tblStyle w:val="67"/>
        <w:tblW w:w="4982"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2697"/>
        <w:gridCol w:w="2292"/>
        <w:gridCol w:w="2292"/>
        <w:gridCol w:w="1250"/>
        <w:gridCol w:w="1043"/>
        <w:gridCol w:w="1765"/>
        <w:gridCol w:w="527"/>
        <w:gridCol w:w="2301"/>
      </w:tblGrid>
      <w:tr w14:paraId="04E933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55" w:hRule="atLeast"/>
          <w:jc w:val="center"/>
        </w:trPr>
        <w:tc>
          <w:tcPr>
            <w:tcW w:w="952" w:type="pct"/>
            <w:vAlign w:val="center"/>
          </w:tcPr>
          <w:p w14:paraId="08990174">
            <w:pPr>
              <w:pStyle w:val="133"/>
            </w:pPr>
            <w:r>
              <w:t>样品类型</w:t>
            </w:r>
          </w:p>
        </w:tc>
        <w:tc>
          <w:tcPr>
            <w:tcW w:w="2059" w:type="pct"/>
            <w:gridSpan w:val="3"/>
            <w:vAlign w:val="center"/>
          </w:tcPr>
          <w:p w14:paraId="70D976CF">
            <w:pPr>
              <w:pStyle w:val="133"/>
            </w:pPr>
            <w:r>
              <w:rPr>
                <w:rFonts w:hint="eastAsia"/>
              </w:rPr>
              <w:t>地下水</w:t>
            </w:r>
          </w:p>
        </w:tc>
        <w:tc>
          <w:tcPr>
            <w:tcW w:w="991" w:type="pct"/>
            <w:gridSpan w:val="2"/>
            <w:vAlign w:val="center"/>
          </w:tcPr>
          <w:p w14:paraId="61AFE1D4">
            <w:pPr>
              <w:pStyle w:val="133"/>
            </w:pPr>
            <w:r>
              <w:t>样品数量</w:t>
            </w:r>
            <w:r>
              <w:rPr>
                <w:rFonts w:hint="eastAsia"/>
              </w:rPr>
              <w:t>（批）</w:t>
            </w:r>
          </w:p>
        </w:tc>
        <w:tc>
          <w:tcPr>
            <w:tcW w:w="997" w:type="pct"/>
            <w:gridSpan w:val="2"/>
            <w:vAlign w:val="center"/>
          </w:tcPr>
          <w:p w14:paraId="33775AF5">
            <w:pPr>
              <w:pStyle w:val="133"/>
            </w:pPr>
            <w:r>
              <w:rPr>
                <w:rFonts w:hint="eastAsia"/>
              </w:rPr>
              <w:t>5</w:t>
            </w:r>
          </w:p>
        </w:tc>
      </w:tr>
      <w:tr w14:paraId="26A2BA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364" w:hRule="atLeast"/>
          <w:jc w:val="center"/>
        </w:trPr>
        <w:tc>
          <w:tcPr>
            <w:tcW w:w="952" w:type="pct"/>
            <w:vAlign w:val="center"/>
          </w:tcPr>
          <w:p w14:paraId="01746424">
            <w:pPr>
              <w:pStyle w:val="133"/>
            </w:pPr>
            <w:r>
              <w:t>采样日期</w:t>
            </w:r>
          </w:p>
        </w:tc>
        <w:tc>
          <w:tcPr>
            <w:tcW w:w="2059" w:type="pct"/>
            <w:gridSpan w:val="3"/>
            <w:vAlign w:val="center"/>
          </w:tcPr>
          <w:p w14:paraId="69325C71">
            <w:pPr>
              <w:pStyle w:val="133"/>
            </w:pPr>
            <w:r>
              <w:rPr>
                <w:rFonts w:hint="eastAsia"/>
              </w:rPr>
              <w:t>2024.12.18</w:t>
            </w:r>
          </w:p>
        </w:tc>
        <w:tc>
          <w:tcPr>
            <w:tcW w:w="991" w:type="pct"/>
            <w:gridSpan w:val="2"/>
            <w:vAlign w:val="center"/>
          </w:tcPr>
          <w:p w14:paraId="4C115110">
            <w:pPr>
              <w:pStyle w:val="133"/>
            </w:pPr>
            <w:r>
              <w:t>分析日期</w:t>
            </w:r>
          </w:p>
        </w:tc>
        <w:tc>
          <w:tcPr>
            <w:tcW w:w="997" w:type="pct"/>
            <w:gridSpan w:val="2"/>
            <w:vAlign w:val="center"/>
          </w:tcPr>
          <w:p w14:paraId="4F5FBB56">
            <w:pPr>
              <w:pStyle w:val="133"/>
            </w:pPr>
            <w:r>
              <w:rPr>
                <w:rFonts w:hint="eastAsia"/>
              </w:rPr>
              <w:t>2024.12.18</w:t>
            </w:r>
          </w:p>
        </w:tc>
      </w:tr>
      <w:tr w14:paraId="791231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88" w:hRule="atLeast"/>
          <w:jc w:val="center"/>
        </w:trPr>
        <w:tc>
          <w:tcPr>
            <w:tcW w:w="952" w:type="pct"/>
            <w:vAlign w:val="center"/>
          </w:tcPr>
          <w:p w14:paraId="4BEC7991">
            <w:pPr>
              <w:pStyle w:val="133"/>
            </w:pPr>
            <w:r>
              <w:t>采样地点</w:t>
            </w:r>
          </w:p>
        </w:tc>
        <w:tc>
          <w:tcPr>
            <w:tcW w:w="809" w:type="pct"/>
            <w:vAlign w:val="center"/>
          </w:tcPr>
          <w:p w14:paraId="4A007A9B">
            <w:pPr>
              <w:pStyle w:val="133"/>
            </w:pPr>
            <w:r>
              <w:rPr>
                <w:rFonts w:hint="eastAsia"/>
              </w:rPr>
              <w:t>6#</w:t>
            </w:r>
          </w:p>
        </w:tc>
        <w:tc>
          <w:tcPr>
            <w:tcW w:w="809" w:type="pct"/>
            <w:vAlign w:val="center"/>
          </w:tcPr>
          <w:p w14:paraId="0F6C585D">
            <w:pPr>
              <w:pStyle w:val="133"/>
            </w:pPr>
            <w:r>
              <w:rPr>
                <w:rFonts w:hint="eastAsia"/>
              </w:rPr>
              <w:t>7#</w:t>
            </w:r>
          </w:p>
        </w:tc>
        <w:tc>
          <w:tcPr>
            <w:tcW w:w="809" w:type="pct"/>
            <w:gridSpan w:val="2"/>
            <w:vAlign w:val="center"/>
          </w:tcPr>
          <w:p w14:paraId="4A86A946">
            <w:pPr>
              <w:pStyle w:val="133"/>
            </w:pPr>
            <w:r>
              <w:rPr>
                <w:rFonts w:hint="eastAsia"/>
              </w:rPr>
              <w:t>8#</w:t>
            </w:r>
          </w:p>
        </w:tc>
        <w:tc>
          <w:tcPr>
            <w:tcW w:w="809" w:type="pct"/>
            <w:gridSpan w:val="2"/>
            <w:vAlign w:val="center"/>
          </w:tcPr>
          <w:p w14:paraId="2B18B2D4">
            <w:pPr>
              <w:pStyle w:val="133"/>
            </w:pPr>
            <w:r>
              <w:rPr>
                <w:rFonts w:hint="eastAsia"/>
              </w:rPr>
              <w:t>9#</w:t>
            </w:r>
          </w:p>
        </w:tc>
        <w:tc>
          <w:tcPr>
            <w:tcW w:w="811" w:type="pct"/>
            <w:vAlign w:val="center"/>
          </w:tcPr>
          <w:p w14:paraId="6D914508">
            <w:pPr>
              <w:pStyle w:val="133"/>
            </w:pPr>
            <w:r>
              <w:rPr>
                <w:rFonts w:hint="eastAsia"/>
              </w:rPr>
              <w:t>10#</w:t>
            </w:r>
          </w:p>
        </w:tc>
      </w:tr>
      <w:tr w14:paraId="2DFE99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46" w:hRule="atLeast"/>
          <w:jc w:val="center"/>
        </w:trPr>
        <w:tc>
          <w:tcPr>
            <w:tcW w:w="952" w:type="pct"/>
            <w:vAlign w:val="center"/>
          </w:tcPr>
          <w:p w14:paraId="4A0E5779">
            <w:pPr>
              <w:pStyle w:val="133"/>
            </w:pPr>
            <w:r>
              <w:t>样品编号</w:t>
            </w:r>
          </w:p>
        </w:tc>
        <w:tc>
          <w:tcPr>
            <w:tcW w:w="809" w:type="pct"/>
            <w:vAlign w:val="center"/>
          </w:tcPr>
          <w:p w14:paraId="233EA57C">
            <w:pPr>
              <w:pStyle w:val="133"/>
            </w:pPr>
            <w:r>
              <w:rPr>
                <w:rFonts w:hint="eastAsia"/>
              </w:rPr>
              <w:t>D6-1-1</w:t>
            </w:r>
          </w:p>
        </w:tc>
        <w:tc>
          <w:tcPr>
            <w:tcW w:w="809" w:type="pct"/>
            <w:vAlign w:val="center"/>
          </w:tcPr>
          <w:p w14:paraId="355F486F">
            <w:pPr>
              <w:pStyle w:val="133"/>
            </w:pPr>
            <w:r>
              <w:rPr>
                <w:rFonts w:hint="eastAsia"/>
              </w:rPr>
              <w:t>D7-1-1</w:t>
            </w:r>
          </w:p>
        </w:tc>
        <w:tc>
          <w:tcPr>
            <w:tcW w:w="809" w:type="pct"/>
            <w:gridSpan w:val="2"/>
            <w:vAlign w:val="center"/>
          </w:tcPr>
          <w:p w14:paraId="236AA19E">
            <w:pPr>
              <w:pStyle w:val="133"/>
            </w:pPr>
            <w:r>
              <w:rPr>
                <w:rFonts w:hint="eastAsia"/>
              </w:rPr>
              <w:t>D8-1-1</w:t>
            </w:r>
          </w:p>
        </w:tc>
        <w:tc>
          <w:tcPr>
            <w:tcW w:w="809" w:type="pct"/>
            <w:gridSpan w:val="2"/>
            <w:vAlign w:val="center"/>
          </w:tcPr>
          <w:p w14:paraId="4CC6F554">
            <w:pPr>
              <w:pStyle w:val="133"/>
            </w:pPr>
            <w:r>
              <w:rPr>
                <w:rFonts w:hint="eastAsia"/>
              </w:rPr>
              <w:t>D9-1-1</w:t>
            </w:r>
          </w:p>
        </w:tc>
        <w:tc>
          <w:tcPr>
            <w:tcW w:w="811" w:type="pct"/>
            <w:vAlign w:val="center"/>
          </w:tcPr>
          <w:p w14:paraId="07BE6392">
            <w:pPr>
              <w:pStyle w:val="133"/>
            </w:pPr>
            <w:r>
              <w:rPr>
                <w:rFonts w:hint="eastAsia"/>
              </w:rPr>
              <w:t>D9-1-1</w:t>
            </w:r>
          </w:p>
        </w:tc>
      </w:tr>
      <w:tr w14:paraId="6B034A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49" w:hRule="atLeast"/>
          <w:jc w:val="center"/>
        </w:trPr>
        <w:tc>
          <w:tcPr>
            <w:tcW w:w="952" w:type="pct"/>
            <w:vAlign w:val="center"/>
          </w:tcPr>
          <w:p w14:paraId="1B54A072">
            <w:pPr>
              <w:pStyle w:val="133"/>
            </w:pPr>
            <w:r>
              <w:t>点位坐标</w:t>
            </w:r>
          </w:p>
        </w:tc>
        <w:tc>
          <w:tcPr>
            <w:tcW w:w="809" w:type="pct"/>
            <w:vAlign w:val="center"/>
          </w:tcPr>
          <w:p w14:paraId="2FAFAB19">
            <w:pPr>
              <w:pStyle w:val="133"/>
            </w:pPr>
          </w:p>
        </w:tc>
        <w:tc>
          <w:tcPr>
            <w:tcW w:w="1589" w:type="dxa"/>
            <w:vAlign w:val="center"/>
          </w:tcPr>
          <w:p w14:paraId="1AE2EDB7">
            <w:pPr>
              <w:pStyle w:val="133"/>
            </w:pPr>
          </w:p>
        </w:tc>
        <w:tc>
          <w:tcPr>
            <w:tcW w:w="1589" w:type="dxa"/>
            <w:gridSpan w:val="2"/>
            <w:vAlign w:val="center"/>
          </w:tcPr>
          <w:p w14:paraId="6752B75B">
            <w:pPr>
              <w:pStyle w:val="133"/>
            </w:pPr>
          </w:p>
        </w:tc>
        <w:tc>
          <w:tcPr>
            <w:tcW w:w="809" w:type="pct"/>
            <w:gridSpan w:val="2"/>
            <w:vAlign w:val="center"/>
          </w:tcPr>
          <w:p w14:paraId="1CB1AF36">
            <w:pPr>
              <w:pStyle w:val="133"/>
            </w:pPr>
          </w:p>
        </w:tc>
        <w:tc>
          <w:tcPr>
            <w:tcW w:w="811" w:type="pct"/>
            <w:vAlign w:val="center"/>
          </w:tcPr>
          <w:p w14:paraId="52DC5DB2">
            <w:pPr>
              <w:pStyle w:val="133"/>
            </w:pPr>
          </w:p>
        </w:tc>
      </w:tr>
      <w:tr w14:paraId="4A3224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78" w:hRule="atLeast"/>
          <w:jc w:val="center"/>
        </w:trPr>
        <w:tc>
          <w:tcPr>
            <w:tcW w:w="952" w:type="pct"/>
            <w:vAlign w:val="center"/>
          </w:tcPr>
          <w:p w14:paraId="785BA18D">
            <w:pPr>
              <w:pStyle w:val="133"/>
            </w:pPr>
            <w:r>
              <w:t>样品状态</w:t>
            </w:r>
          </w:p>
        </w:tc>
        <w:tc>
          <w:tcPr>
            <w:tcW w:w="4047" w:type="pct"/>
            <w:gridSpan w:val="7"/>
            <w:vAlign w:val="center"/>
          </w:tcPr>
          <w:p w14:paraId="6E5190EF">
            <w:pPr>
              <w:pStyle w:val="133"/>
            </w:pPr>
            <w:r>
              <w:rPr>
                <w:rFonts w:hint="eastAsia"/>
              </w:rPr>
              <w:t>无色、无味、无浑浊、无沉淀物</w:t>
            </w:r>
          </w:p>
        </w:tc>
      </w:tr>
      <w:tr w14:paraId="0E0260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cantSplit/>
          <w:trHeight w:val="478" w:hRule="atLeast"/>
          <w:jc w:val="center"/>
        </w:trPr>
        <w:tc>
          <w:tcPr>
            <w:tcW w:w="5000" w:type="pct"/>
            <w:gridSpan w:val="8"/>
            <w:vAlign w:val="center"/>
          </w:tcPr>
          <w:p w14:paraId="00B3D516">
            <w:pPr>
              <w:pStyle w:val="133"/>
              <w:jc w:val="both"/>
            </w:pPr>
            <w:r>
              <w:rPr>
                <w:rFonts w:hint="eastAsia"/>
              </w:rPr>
              <w:t>备注：其中6#井深120m，埋深16.4m；7#井深120m，埋深17.2m；8#井深120m，埋深16.8m；9#井深120m，埋深13.3m；10#井深30m，埋深6.6m。</w:t>
            </w:r>
          </w:p>
        </w:tc>
      </w:tr>
    </w:tbl>
    <w:p w14:paraId="0C4FCC5D">
      <w:pPr>
        <w:pStyle w:val="133"/>
      </w:pPr>
    </w:p>
    <w:p w14:paraId="6C5FD3D4">
      <w:pPr>
        <w:pStyle w:val="133"/>
        <w:sectPr>
          <w:pgSz w:w="16838" w:h="11906" w:orient="landscape"/>
          <w:pgMar w:top="1531" w:right="1418" w:bottom="1286" w:left="1418" w:header="851" w:footer="992" w:gutter="0"/>
          <w:cols w:space="720" w:num="1"/>
          <w:docGrid w:linePitch="326" w:charSpace="0"/>
        </w:sectPr>
      </w:pPr>
    </w:p>
    <w:p w14:paraId="665B96C1">
      <w:pPr>
        <w:pStyle w:val="138"/>
        <w:rPr>
          <w:rFonts w:hint="eastAsia"/>
        </w:rPr>
      </w:pPr>
      <w:bookmarkStart w:id="425" w:name="_Toc205291391"/>
      <w:r>
        <w:rPr>
          <w:rFonts w:hint="eastAsia"/>
        </w:rPr>
        <w:t>包气带污染情况调查</w:t>
      </w:r>
    </w:p>
    <w:p w14:paraId="4F0AD2E7">
      <w:pPr>
        <w:overflowPunct w:val="0"/>
        <w:ind w:firstLine="480"/>
        <w:rPr>
          <w:szCs w:val="21"/>
          <w:lang w:val="zh-CN"/>
        </w:rPr>
      </w:pPr>
      <w:r>
        <w:rPr>
          <w:rFonts w:hint="eastAsia"/>
          <w:szCs w:val="21"/>
          <w:lang w:val="zh-CN"/>
        </w:rPr>
        <w:t>环评根据厂区内及厂区外土壤柱状样分层取样检测结果，分析包气带污染情况。表层样在0</w:t>
      </w:r>
      <w:r>
        <w:rPr>
          <w:szCs w:val="21"/>
          <w:lang w:val="zh-CN"/>
        </w:rPr>
        <w:t>-</w:t>
      </w:r>
      <w:r>
        <w:rPr>
          <w:rFonts w:hint="eastAsia"/>
          <w:szCs w:val="21"/>
          <w:lang w:val="zh-CN"/>
        </w:rPr>
        <w:t>0.2</w:t>
      </w:r>
      <w:r>
        <w:rPr>
          <w:szCs w:val="21"/>
          <w:lang w:val="zh-CN"/>
        </w:rPr>
        <w:t>m</w:t>
      </w:r>
      <w:r>
        <w:rPr>
          <w:rFonts w:hint="eastAsia"/>
          <w:szCs w:val="21"/>
          <w:lang w:val="zh-CN"/>
        </w:rPr>
        <w:t>取样，</w:t>
      </w:r>
      <w:r>
        <w:rPr>
          <w:szCs w:val="21"/>
          <w:lang w:val="zh-CN"/>
        </w:rPr>
        <w:t>柱状样在0-0.5m、0.5-1.5m、1.5-3m分别取样。</w:t>
      </w:r>
      <w:r>
        <w:rPr>
          <w:rFonts w:hint="eastAsia"/>
          <w:szCs w:val="21"/>
          <w:lang w:val="zh-CN"/>
        </w:rPr>
        <w:t>分层取样检测结果基本可以判定厂区内外各层土壤受污染状况。</w:t>
      </w:r>
    </w:p>
    <w:p w14:paraId="6D49D7DC">
      <w:pPr>
        <w:overflowPunct w:val="0"/>
        <w:ind w:firstLine="480"/>
      </w:pPr>
      <w:r>
        <w:rPr>
          <w:rFonts w:hint="eastAsia"/>
        </w:rPr>
        <w:t>项目区建设用地各监测点的基本项目和特征因子</w:t>
      </w:r>
      <w:r>
        <w:t>均未超出《土壤环境质量</w:t>
      </w:r>
      <w:r>
        <w:rPr>
          <w:rFonts w:hint="eastAsia"/>
        </w:rPr>
        <w:t xml:space="preserve"> </w:t>
      </w:r>
      <w:r>
        <w:t>建设用地土壤污染风险管控标准</w:t>
      </w:r>
      <w:r>
        <w:rPr>
          <w:rFonts w:hint="eastAsia"/>
          <w:szCs w:val="21"/>
        </w:rPr>
        <w:t>（试行）</w:t>
      </w:r>
      <w:r>
        <w:t>》（GB36600-2018）中表1建设用地土壤污染风险第二类用地筛选值</w:t>
      </w:r>
      <w:r>
        <w:rPr>
          <w:rFonts w:hint="eastAsia"/>
        </w:rPr>
        <w:t>。</w:t>
      </w:r>
      <w:bookmarkStart w:id="426" w:name="_Hlk159430078"/>
      <w:r>
        <w:rPr>
          <w:rFonts w:hint="eastAsia"/>
          <w:szCs w:val="21"/>
          <w:lang w:val="zh-CN"/>
        </w:rPr>
        <w:t>厂区及附近区域的包气带现状未受到明显污染。</w:t>
      </w:r>
      <w:bookmarkEnd w:id="426"/>
    </w:p>
    <w:p w14:paraId="20D86CA8">
      <w:pPr>
        <w:pStyle w:val="269"/>
        <w:rPr>
          <w:rFonts w:ascii="Times New Roman" w:cs="宋体"/>
          <w:sz w:val="24"/>
          <w:szCs w:val="24"/>
        </w:rPr>
      </w:pPr>
    </w:p>
    <w:p w14:paraId="6252DE11">
      <w:pPr>
        <w:pStyle w:val="269"/>
        <w:rPr>
          <w:rFonts w:ascii="Times New Roman" w:cs="宋体"/>
          <w:sz w:val="24"/>
          <w:szCs w:val="24"/>
        </w:rPr>
      </w:pPr>
    </w:p>
    <w:p w14:paraId="334E4B83">
      <w:pPr>
        <w:pStyle w:val="946"/>
      </w:pPr>
      <w:r>
        <w:rPr>
          <w:rFonts w:hint="eastAsia"/>
        </w:rPr>
        <w:t>声</w:t>
      </w:r>
      <w:r>
        <w:t>环境质量现状</w:t>
      </w:r>
      <w:bookmarkEnd w:id="425"/>
    </w:p>
    <w:p w14:paraId="5DB3BA94">
      <w:pPr>
        <w:pStyle w:val="117"/>
        <w:ind w:firstLine="480"/>
      </w:pPr>
      <w:r>
        <w:rPr>
          <w:rFonts w:hint="eastAsia"/>
        </w:rPr>
        <w:t>（1）</w:t>
      </w:r>
      <w:r>
        <w:t>监测点布设</w:t>
      </w:r>
    </w:p>
    <w:p w14:paraId="53099F60">
      <w:pPr>
        <w:pStyle w:val="117"/>
        <w:ind w:firstLine="480"/>
      </w:pPr>
      <w:r>
        <w:rPr>
          <w:rFonts w:hint="eastAsia"/>
        </w:rPr>
        <w:t>根据《环境影响评价技术导则 声环境》（HJ2.4-2021），结合厂区周围环境现状及工程特点，在厂址的东、南、西、北4个方向共设6个监测点。声环境质量现状监测布点，见图4</w:t>
      </w:r>
      <w:r>
        <w:t>.</w:t>
      </w:r>
      <w:r>
        <w:rPr>
          <w:rFonts w:hint="eastAsia"/>
        </w:rPr>
        <w:t>5-1。</w:t>
      </w:r>
    </w:p>
    <w:p w14:paraId="3333F706">
      <w:pPr>
        <w:pStyle w:val="117"/>
        <w:ind w:firstLine="480"/>
      </w:pPr>
      <w:r>
        <w:rPr>
          <w:rFonts w:hint="eastAsia"/>
        </w:rPr>
        <w:t>（2）监测单位</w:t>
      </w:r>
    </w:p>
    <w:p w14:paraId="6B987027">
      <w:pPr>
        <w:pStyle w:val="117"/>
        <w:ind w:firstLine="480"/>
      </w:pPr>
      <w:r>
        <w:rPr>
          <w:rFonts w:hint="eastAsia"/>
        </w:rPr>
        <w:t>新疆齐新环境服务有限公司</w:t>
      </w:r>
    </w:p>
    <w:p w14:paraId="5213733D">
      <w:pPr>
        <w:pStyle w:val="117"/>
        <w:ind w:firstLine="480"/>
      </w:pPr>
      <w:r>
        <w:rPr>
          <w:rFonts w:hint="eastAsia"/>
        </w:rPr>
        <w:t>（3）</w:t>
      </w:r>
      <w:r>
        <w:t>监测时间及频率</w:t>
      </w:r>
    </w:p>
    <w:p w14:paraId="4F38DABA">
      <w:pPr>
        <w:pStyle w:val="117"/>
        <w:ind w:firstLine="480"/>
      </w:pPr>
      <w:r>
        <w:rPr>
          <w:rFonts w:hint="eastAsia"/>
        </w:rPr>
        <w:t>2024年12</w:t>
      </w:r>
      <w:r>
        <w:t>月</w:t>
      </w:r>
      <w:r>
        <w:rPr>
          <w:rFonts w:hint="eastAsia"/>
        </w:rPr>
        <w:t>15</w:t>
      </w:r>
      <w:r>
        <w:t>日，分昼</w:t>
      </w:r>
      <w:r>
        <w:rPr>
          <w:rFonts w:hint="eastAsia"/>
        </w:rPr>
        <w:t>间、</w:t>
      </w:r>
      <w:r>
        <w:t>夜</w:t>
      </w:r>
      <w:r>
        <w:rPr>
          <w:rFonts w:hint="eastAsia"/>
        </w:rPr>
        <w:t>间监测各一</w:t>
      </w:r>
      <w:r>
        <w:t>次</w:t>
      </w:r>
      <w:r>
        <w:rPr>
          <w:rFonts w:hint="eastAsia"/>
        </w:rPr>
        <w:t>连续等效A声级</w:t>
      </w:r>
      <w:r>
        <w:t>。</w:t>
      </w:r>
    </w:p>
    <w:p w14:paraId="532BFD2B">
      <w:pPr>
        <w:pStyle w:val="117"/>
        <w:ind w:firstLine="480"/>
      </w:pPr>
      <w:r>
        <w:rPr>
          <w:rFonts w:hint="eastAsia"/>
        </w:rPr>
        <w:t>（4）</w:t>
      </w:r>
      <w:r>
        <w:t>监测方法</w:t>
      </w:r>
    </w:p>
    <w:p w14:paraId="599C2E2A">
      <w:pPr>
        <w:pStyle w:val="117"/>
        <w:ind w:firstLine="480"/>
      </w:pPr>
      <w:r>
        <w:t>监测方法</w:t>
      </w:r>
      <w:r>
        <w:rPr>
          <w:rFonts w:hint="eastAsia"/>
        </w:rPr>
        <w:t>按《声环境质量标准》（GB3096-2008）有关要求进行。</w:t>
      </w:r>
    </w:p>
    <w:p w14:paraId="57A3EF67">
      <w:pPr>
        <w:pStyle w:val="117"/>
        <w:ind w:firstLine="480"/>
      </w:pPr>
      <w:r>
        <w:rPr>
          <w:rFonts w:hint="eastAsia"/>
        </w:rPr>
        <w:t>（5）</w:t>
      </w:r>
      <w:r>
        <w:t>监测结果</w:t>
      </w:r>
    </w:p>
    <w:p w14:paraId="47241CB5">
      <w:pPr>
        <w:pStyle w:val="117"/>
        <w:ind w:firstLine="480"/>
      </w:pPr>
      <w:r>
        <w:rPr>
          <w:rFonts w:hint="eastAsia"/>
        </w:rPr>
        <w:t>本项目评价</w:t>
      </w:r>
      <w:r>
        <w:t>区域</w:t>
      </w:r>
      <w:r>
        <w:rPr>
          <w:rFonts w:hint="eastAsia"/>
        </w:rPr>
        <w:t>声环境质量</w:t>
      </w:r>
      <w:r>
        <w:t>现状</w:t>
      </w:r>
      <w:r>
        <w:rPr>
          <w:rFonts w:hint="eastAsia"/>
        </w:rPr>
        <w:t>监测结果，</w:t>
      </w:r>
      <w:r>
        <w:t>见表</w:t>
      </w:r>
      <w:r>
        <w:rPr>
          <w:rFonts w:hint="eastAsia"/>
        </w:rPr>
        <w:t>4.</w:t>
      </w:r>
      <w:r>
        <w:t>5-1</w:t>
      </w:r>
      <w:r>
        <w:rPr>
          <w:rFonts w:hint="eastAsia"/>
        </w:rPr>
        <w:t>。</w:t>
      </w:r>
    </w:p>
    <w:p w14:paraId="452E7CD9">
      <w:pPr>
        <w:pStyle w:val="118"/>
        <w:rPr>
          <w:rStyle w:val="124"/>
          <w:b w:val="0"/>
          <w:szCs w:val="28"/>
        </w:rPr>
      </w:pPr>
    </w:p>
    <w:p w14:paraId="6041BBE4">
      <w:pPr>
        <w:pStyle w:val="118"/>
        <w:rPr>
          <w:rStyle w:val="124"/>
          <w:b w:val="0"/>
          <w:szCs w:val="28"/>
        </w:rPr>
      </w:pPr>
    </w:p>
    <w:p w14:paraId="1A630069">
      <w:pPr>
        <w:pStyle w:val="118"/>
        <w:rPr>
          <w:rStyle w:val="124"/>
          <w:b w:val="0"/>
          <w:szCs w:val="28"/>
        </w:rPr>
      </w:pPr>
    </w:p>
    <w:p w14:paraId="7C8E2E58">
      <w:pPr>
        <w:pStyle w:val="118"/>
        <w:rPr>
          <w:rStyle w:val="124"/>
          <w:b w:val="0"/>
          <w:szCs w:val="28"/>
        </w:rPr>
      </w:pPr>
    </w:p>
    <w:p w14:paraId="6A101198">
      <w:pPr>
        <w:pStyle w:val="118"/>
        <w:rPr>
          <w:rStyle w:val="124"/>
          <w:b w:val="0"/>
          <w:szCs w:val="28"/>
        </w:rPr>
      </w:pPr>
    </w:p>
    <w:p w14:paraId="16D6BBAC">
      <w:pPr>
        <w:pStyle w:val="118"/>
        <w:rPr>
          <w:rStyle w:val="124"/>
          <w:b w:val="0"/>
          <w:szCs w:val="28"/>
        </w:rPr>
      </w:pPr>
    </w:p>
    <w:p w14:paraId="292E3E06">
      <w:pPr>
        <w:pStyle w:val="118"/>
        <w:rPr>
          <w:rStyle w:val="124"/>
          <w:b w:val="0"/>
          <w:szCs w:val="28"/>
        </w:rPr>
      </w:pPr>
    </w:p>
    <w:p w14:paraId="4F6E20DF">
      <w:pPr>
        <w:pStyle w:val="118"/>
      </w:pPr>
      <w:r>
        <w:rPr>
          <w:rStyle w:val="124"/>
          <w:b w:val="0"/>
          <w:szCs w:val="28"/>
        </w:rPr>
        <w:t>表</w:t>
      </w:r>
      <w:r>
        <w:rPr>
          <w:rStyle w:val="124"/>
          <w:rFonts w:hint="eastAsia"/>
          <w:b w:val="0"/>
          <w:szCs w:val="28"/>
        </w:rPr>
        <w:t>4.</w:t>
      </w:r>
      <w:r>
        <w:rPr>
          <w:rStyle w:val="124"/>
          <w:b w:val="0"/>
          <w:szCs w:val="28"/>
        </w:rPr>
        <w:t>5</w:t>
      </w:r>
      <w:r>
        <w:rPr>
          <w:rStyle w:val="124"/>
          <w:rFonts w:hint="eastAsia"/>
          <w:b w:val="0"/>
          <w:szCs w:val="28"/>
        </w:rPr>
        <w:t xml:space="preserve">-1  </w:t>
      </w:r>
      <w:r>
        <w:rPr>
          <w:rStyle w:val="124"/>
          <w:b w:val="0"/>
          <w:szCs w:val="28"/>
        </w:rPr>
        <w:t>环境噪声现状监测结果</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2"/>
        <w:gridCol w:w="2371"/>
        <w:gridCol w:w="1571"/>
        <w:gridCol w:w="1571"/>
        <w:gridCol w:w="1571"/>
        <w:gridCol w:w="1519"/>
      </w:tblGrid>
      <w:tr w14:paraId="1E15EB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52" w:type="pct"/>
            <w:gridSpan w:val="2"/>
            <w:vMerge w:val="restart"/>
            <w:vAlign w:val="center"/>
          </w:tcPr>
          <w:p w14:paraId="4EEFF20A">
            <w:pPr>
              <w:pStyle w:val="133"/>
              <w:rPr>
                <w:b/>
                <w:bCs/>
              </w:rPr>
            </w:pPr>
            <w:r>
              <w:rPr>
                <w:b/>
                <w:bCs/>
              </w:rPr>
              <mc:AlternateContent>
                <mc:Choice Requires="wps">
                  <w:drawing>
                    <wp:anchor distT="0" distB="0" distL="114300" distR="114300" simplePos="0" relativeHeight="251665408" behindDoc="0" locked="0" layoutInCell="0" allowOverlap="1">
                      <wp:simplePos x="0" y="0"/>
                      <wp:positionH relativeFrom="column">
                        <wp:posOffset>-88900</wp:posOffset>
                      </wp:positionH>
                      <wp:positionV relativeFrom="paragraph">
                        <wp:posOffset>-15875</wp:posOffset>
                      </wp:positionV>
                      <wp:extent cx="635" cy="635"/>
                      <wp:effectExtent l="0" t="0" r="0" b="0"/>
                      <wp:wrapNone/>
                      <wp:docPr id="1089" name="直接连接符 1774140719"/>
                      <wp:cNvGraphicFramePr/>
                      <a:graphic xmlns:a="http://schemas.openxmlformats.org/drawingml/2006/main">
                        <a:graphicData uri="http://schemas.microsoft.com/office/word/2010/wordprocessingShape">
                          <wps:wsp>
                            <wps:cNvCnPr/>
                            <wps:spPr>
                              <a:xfrm>
                                <a:off x="0" y="0"/>
                                <a:ext cx="635" cy="634"/>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直接连接符 1774140719" o:spid="_x0000_s1026" o:spt="20" style="position:absolute;left:0pt;margin-left:-7pt;margin-top:-1.25pt;height:0.05pt;width:0.05pt;z-index:251665408;mso-width-relative:page;mso-height-relative:page;" filled="f" stroked="t" coordsize="21600,21600" o:allowincell="f" o:gfxdata="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WypNtcAAAAJAQAADwAAAAAAAAABACAAAAAiAAAAZHJzL2Rvd25y&#10;ZXYueG1sUEsBAhQAFAAAAAgAh07iQG2kyaT/AQAA+gMAAA4AAAAAAAAAAQAgAAAAJgEAAGRycy9l&#10;Mm9Eb2MueG1sUEsFBgAAAAAGAAYAWQEAAJcFAAAAAA==&#10;">
                      <v:fill on="f" focussize="0,0"/>
                      <v:stroke color="#000000" joinstyle="round"/>
                      <v:imagedata o:title=""/>
                      <o:lock v:ext="edit" aspectratio="f"/>
                    </v:line>
                  </w:pict>
                </mc:Fallback>
              </mc:AlternateContent>
            </w:r>
            <w:r>
              <w:rPr>
                <w:rFonts w:hint="eastAsia"/>
                <w:b/>
                <w:bCs/>
              </w:rPr>
              <w:t>声</w:t>
            </w:r>
            <w:r>
              <w:rPr>
                <w:b/>
                <w:bCs/>
              </w:rPr>
              <w:t>级</w:t>
            </w:r>
          </w:p>
          <w:p w14:paraId="66253A1B">
            <w:pPr>
              <w:pStyle w:val="133"/>
              <w:rPr>
                <w:b/>
                <w:bCs/>
              </w:rPr>
            </w:pPr>
            <w:r>
              <w:rPr>
                <w:b/>
                <w:bCs/>
              </w:rPr>
              <w:t>测点</w:t>
            </w:r>
          </w:p>
        </w:tc>
        <w:tc>
          <w:tcPr>
            <w:tcW w:w="1688" w:type="pct"/>
            <w:gridSpan w:val="2"/>
            <w:vAlign w:val="center"/>
          </w:tcPr>
          <w:p w14:paraId="3D32FACC">
            <w:pPr>
              <w:pStyle w:val="133"/>
              <w:rPr>
                <w:b/>
                <w:bCs/>
              </w:rPr>
            </w:pPr>
            <w:r>
              <w:rPr>
                <w:b/>
                <w:bCs/>
              </w:rPr>
              <w:t>噪声值 dB（A）</w:t>
            </w:r>
          </w:p>
        </w:tc>
        <w:tc>
          <w:tcPr>
            <w:tcW w:w="1660" w:type="pct"/>
            <w:gridSpan w:val="2"/>
            <w:vMerge w:val="restart"/>
            <w:vAlign w:val="center"/>
          </w:tcPr>
          <w:p w14:paraId="67CC278B">
            <w:pPr>
              <w:pStyle w:val="133"/>
              <w:rPr>
                <w:b/>
                <w:bCs/>
              </w:rPr>
            </w:pPr>
            <w:r>
              <w:rPr>
                <w:rFonts w:hint="eastAsia"/>
                <w:b/>
                <w:bCs/>
              </w:rPr>
              <w:t>标准值</w:t>
            </w:r>
            <w:r>
              <w:rPr>
                <w:b/>
                <w:bCs/>
              </w:rPr>
              <w:t>dB（A）</w:t>
            </w:r>
          </w:p>
        </w:tc>
      </w:tr>
      <w:tr w14:paraId="531D16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52" w:type="pct"/>
            <w:gridSpan w:val="2"/>
            <w:vMerge w:val="continue"/>
            <w:vAlign w:val="center"/>
          </w:tcPr>
          <w:p w14:paraId="49FCEA5C">
            <w:pPr>
              <w:pStyle w:val="133"/>
              <w:rPr>
                <w:b/>
                <w:bCs/>
              </w:rPr>
            </w:pPr>
          </w:p>
        </w:tc>
        <w:tc>
          <w:tcPr>
            <w:tcW w:w="844" w:type="pct"/>
            <w:vMerge w:val="restart"/>
            <w:vAlign w:val="center"/>
          </w:tcPr>
          <w:p w14:paraId="06B79CB9">
            <w:pPr>
              <w:pStyle w:val="133"/>
              <w:rPr>
                <w:b/>
                <w:bCs/>
              </w:rPr>
            </w:pPr>
            <w:r>
              <w:rPr>
                <w:rFonts w:hint="eastAsia"/>
                <w:b/>
                <w:bCs/>
              </w:rPr>
              <w:t>昼间</w:t>
            </w:r>
          </w:p>
        </w:tc>
        <w:tc>
          <w:tcPr>
            <w:tcW w:w="844" w:type="pct"/>
            <w:vMerge w:val="restart"/>
            <w:vAlign w:val="center"/>
          </w:tcPr>
          <w:p w14:paraId="4D041BC1">
            <w:pPr>
              <w:pStyle w:val="133"/>
              <w:rPr>
                <w:b/>
                <w:bCs/>
              </w:rPr>
            </w:pPr>
            <w:r>
              <w:rPr>
                <w:rFonts w:hint="eastAsia"/>
                <w:b/>
                <w:bCs/>
              </w:rPr>
              <w:t>夜间</w:t>
            </w:r>
          </w:p>
        </w:tc>
        <w:tc>
          <w:tcPr>
            <w:tcW w:w="1660" w:type="pct"/>
            <w:gridSpan w:val="2"/>
            <w:vMerge w:val="continue"/>
            <w:vAlign w:val="center"/>
          </w:tcPr>
          <w:p w14:paraId="31A99DF2">
            <w:pPr>
              <w:pStyle w:val="133"/>
              <w:rPr>
                <w:b/>
                <w:bCs/>
              </w:rPr>
            </w:pPr>
          </w:p>
        </w:tc>
      </w:tr>
      <w:tr w14:paraId="7F2F7F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652" w:type="pct"/>
            <w:gridSpan w:val="2"/>
            <w:vMerge w:val="continue"/>
            <w:vAlign w:val="center"/>
          </w:tcPr>
          <w:p w14:paraId="1E004755">
            <w:pPr>
              <w:pStyle w:val="133"/>
              <w:rPr>
                <w:b/>
                <w:bCs/>
              </w:rPr>
            </w:pPr>
          </w:p>
        </w:tc>
        <w:tc>
          <w:tcPr>
            <w:tcW w:w="844" w:type="pct"/>
            <w:vMerge w:val="continue"/>
            <w:vAlign w:val="center"/>
          </w:tcPr>
          <w:p w14:paraId="0BBD5CB4">
            <w:pPr>
              <w:pStyle w:val="133"/>
              <w:rPr>
                <w:b/>
                <w:bCs/>
              </w:rPr>
            </w:pPr>
          </w:p>
        </w:tc>
        <w:tc>
          <w:tcPr>
            <w:tcW w:w="844" w:type="pct"/>
            <w:vMerge w:val="continue"/>
            <w:vAlign w:val="center"/>
          </w:tcPr>
          <w:p w14:paraId="7A9A0A2D">
            <w:pPr>
              <w:pStyle w:val="133"/>
              <w:rPr>
                <w:b/>
                <w:bCs/>
              </w:rPr>
            </w:pPr>
          </w:p>
        </w:tc>
        <w:tc>
          <w:tcPr>
            <w:tcW w:w="844" w:type="pct"/>
            <w:vAlign w:val="center"/>
          </w:tcPr>
          <w:p w14:paraId="028567AC">
            <w:pPr>
              <w:pStyle w:val="133"/>
              <w:rPr>
                <w:b/>
                <w:bCs/>
              </w:rPr>
            </w:pPr>
            <w:r>
              <w:rPr>
                <w:rFonts w:hint="eastAsia"/>
                <w:b/>
                <w:bCs/>
              </w:rPr>
              <w:t>昼间</w:t>
            </w:r>
          </w:p>
        </w:tc>
        <w:tc>
          <w:tcPr>
            <w:tcW w:w="816" w:type="pct"/>
            <w:vAlign w:val="center"/>
          </w:tcPr>
          <w:p w14:paraId="52E6E6C2">
            <w:pPr>
              <w:pStyle w:val="133"/>
              <w:rPr>
                <w:b/>
                <w:bCs/>
              </w:rPr>
            </w:pPr>
            <w:r>
              <w:rPr>
                <w:rFonts w:hint="eastAsia"/>
                <w:b/>
                <w:bCs/>
              </w:rPr>
              <w:t>夜间</w:t>
            </w:r>
          </w:p>
        </w:tc>
      </w:tr>
      <w:tr w14:paraId="288E59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8" w:type="pct"/>
            <w:vAlign w:val="center"/>
          </w:tcPr>
          <w:p w14:paraId="5C4BF466">
            <w:pPr>
              <w:pStyle w:val="133"/>
            </w:pPr>
            <w:r>
              <w:rPr>
                <w:rFonts w:hint="eastAsia"/>
              </w:rPr>
              <w:t>1#</w:t>
            </w:r>
          </w:p>
        </w:tc>
        <w:tc>
          <w:tcPr>
            <w:tcW w:w="1274" w:type="pct"/>
            <w:vAlign w:val="center"/>
          </w:tcPr>
          <w:p w14:paraId="68EBE191">
            <w:pPr>
              <w:pStyle w:val="133"/>
            </w:pPr>
            <w:r>
              <w:rPr>
                <w:rFonts w:hint="eastAsia"/>
              </w:rPr>
              <w:t>厂界东侧外1m</w:t>
            </w:r>
          </w:p>
        </w:tc>
        <w:tc>
          <w:tcPr>
            <w:tcW w:w="844" w:type="pct"/>
            <w:vAlign w:val="center"/>
          </w:tcPr>
          <w:p w14:paraId="3C3962D3">
            <w:pPr>
              <w:pStyle w:val="133"/>
            </w:pPr>
            <w:r>
              <w:rPr>
                <w:rFonts w:hint="eastAsia"/>
              </w:rPr>
              <w:t>45</w:t>
            </w:r>
          </w:p>
        </w:tc>
        <w:tc>
          <w:tcPr>
            <w:tcW w:w="844" w:type="pct"/>
            <w:vAlign w:val="center"/>
          </w:tcPr>
          <w:p w14:paraId="009108C1">
            <w:pPr>
              <w:pStyle w:val="133"/>
            </w:pPr>
            <w:r>
              <w:rPr>
                <w:rFonts w:hint="eastAsia"/>
              </w:rPr>
              <w:t>42</w:t>
            </w:r>
          </w:p>
        </w:tc>
        <w:tc>
          <w:tcPr>
            <w:tcW w:w="844" w:type="pct"/>
            <w:vMerge w:val="restart"/>
            <w:vAlign w:val="center"/>
          </w:tcPr>
          <w:p w14:paraId="57098E42">
            <w:pPr>
              <w:pStyle w:val="133"/>
            </w:pPr>
            <w:r>
              <w:rPr>
                <w:rFonts w:hint="eastAsia"/>
              </w:rPr>
              <w:t>65</w:t>
            </w:r>
          </w:p>
        </w:tc>
        <w:tc>
          <w:tcPr>
            <w:tcW w:w="816" w:type="pct"/>
            <w:vMerge w:val="restart"/>
            <w:vAlign w:val="center"/>
          </w:tcPr>
          <w:p w14:paraId="24A35205">
            <w:pPr>
              <w:pStyle w:val="133"/>
            </w:pPr>
            <w:r>
              <w:rPr>
                <w:rFonts w:hint="eastAsia"/>
              </w:rPr>
              <w:t>55</w:t>
            </w:r>
          </w:p>
        </w:tc>
      </w:tr>
      <w:tr w14:paraId="547058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8" w:type="pct"/>
            <w:vAlign w:val="center"/>
          </w:tcPr>
          <w:p w14:paraId="77FF87CE">
            <w:pPr>
              <w:pStyle w:val="133"/>
            </w:pPr>
            <w:r>
              <w:rPr>
                <w:rFonts w:hint="eastAsia"/>
              </w:rPr>
              <w:t>2#</w:t>
            </w:r>
          </w:p>
        </w:tc>
        <w:tc>
          <w:tcPr>
            <w:tcW w:w="1274" w:type="pct"/>
            <w:vAlign w:val="center"/>
          </w:tcPr>
          <w:p w14:paraId="2109EB17">
            <w:pPr>
              <w:pStyle w:val="133"/>
            </w:pPr>
            <w:r>
              <w:rPr>
                <w:rFonts w:hint="eastAsia"/>
              </w:rPr>
              <w:t>厂界南侧外1m（1号点）</w:t>
            </w:r>
          </w:p>
        </w:tc>
        <w:tc>
          <w:tcPr>
            <w:tcW w:w="844" w:type="pct"/>
            <w:vAlign w:val="center"/>
          </w:tcPr>
          <w:p w14:paraId="148C9192">
            <w:pPr>
              <w:pStyle w:val="133"/>
            </w:pPr>
            <w:r>
              <w:rPr>
                <w:rFonts w:hint="eastAsia"/>
              </w:rPr>
              <w:t>49</w:t>
            </w:r>
          </w:p>
        </w:tc>
        <w:tc>
          <w:tcPr>
            <w:tcW w:w="844" w:type="pct"/>
            <w:vAlign w:val="center"/>
          </w:tcPr>
          <w:p w14:paraId="6FB95B10">
            <w:pPr>
              <w:pStyle w:val="133"/>
            </w:pPr>
            <w:r>
              <w:rPr>
                <w:rFonts w:hint="eastAsia"/>
              </w:rPr>
              <w:t>46</w:t>
            </w:r>
          </w:p>
        </w:tc>
        <w:tc>
          <w:tcPr>
            <w:tcW w:w="844" w:type="pct"/>
            <w:vMerge w:val="continue"/>
            <w:vAlign w:val="center"/>
          </w:tcPr>
          <w:p w14:paraId="34E76A87">
            <w:pPr>
              <w:pStyle w:val="133"/>
            </w:pPr>
          </w:p>
        </w:tc>
        <w:tc>
          <w:tcPr>
            <w:tcW w:w="816" w:type="pct"/>
            <w:vMerge w:val="continue"/>
            <w:vAlign w:val="center"/>
          </w:tcPr>
          <w:p w14:paraId="2CEE7E4F">
            <w:pPr>
              <w:pStyle w:val="133"/>
            </w:pPr>
          </w:p>
        </w:tc>
      </w:tr>
      <w:tr w14:paraId="1AF1EA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8" w:type="pct"/>
            <w:vAlign w:val="center"/>
          </w:tcPr>
          <w:p w14:paraId="74F4322E">
            <w:pPr>
              <w:pStyle w:val="133"/>
            </w:pPr>
            <w:r>
              <w:rPr>
                <w:rFonts w:hint="eastAsia"/>
              </w:rPr>
              <w:t>3#</w:t>
            </w:r>
          </w:p>
        </w:tc>
        <w:tc>
          <w:tcPr>
            <w:tcW w:w="1274" w:type="pct"/>
            <w:vAlign w:val="center"/>
          </w:tcPr>
          <w:p w14:paraId="5735FB81">
            <w:pPr>
              <w:pStyle w:val="133"/>
            </w:pPr>
            <w:r>
              <w:rPr>
                <w:rFonts w:hint="eastAsia"/>
              </w:rPr>
              <w:t>厂界南侧外1m（2号点）</w:t>
            </w:r>
          </w:p>
        </w:tc>
        <w:tc>
          <w:tcPr>
            <w:tcW w:w="844" w:type="pct"/>
            <w:vAlign w:val="center"/>
          </w:tcPr>
          <w:p w14:paraId="4CFE7A2D">
            <w:pPr>
              <w:pStyle w:val="133"/>
            </w:pPr>
            <w:r>
              <w:rPr>
                <w:rFonts w:hint="eastAsia"/>
              </w:rPr>
              <w:t>50</w:t>
            </w:r>
          </w:p>
        </w:tc>
        <w:tc>
          <w:tcPr>
            <w:tcW w:w="844" w:type="pct"/>
            <w:vAlign w:val="center"/>
          </w:tcPr>
          <w:p w14:paraId="59A1E2EB">
            <w:pPr>
              <w:pStyle w:val="133"/>
            </w:pPr>
            <w:r>
              <w:rPr>
                <w:rFonts w:hint="eastAsia"/>
              </w:rPr>
              <w:t>47</w:t>
            </w:r>
          </w:p>
        </w:tc>
        <w:tc>
          <w:tcPr>
            <w:tcW w:w="844" w:type="pct"/>
            <w:vMerge w:val="continue"/>
            <w:vAlign w:val="center"/>
          </w:tcPr>
          <w:p w14:paraId="328B31A8">
            <w:pPr>
              <w:pStyle w:val="133"/>
            </w:pPr>
          </w:p>
        </w:tc>
        <w:tc>
          <w:tcPr>
            <w:tcW w:w="816" w:type="pct"/>
            <w:vMerge w:val="continue"/>
            <w:vAlign w:val="center"/>
          </w:tcPr>
          <w:p w14:paraId="20FCBD2B">
            <w:pPr>
              <w:pStyle w:val="133"/>
            </w:pPr>
          </w:p>
        </w:tc>
      </w:tr>
      <w:tr w14:paraId="53634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8" w:type="pct"/>
            <w:vAlign w:val="center"/>
          </w:tcPr>
          <w:p w14:paraId="4DCC3518">
            <w:pPr>
              <w:pStyle w:val="133"/>
            </w:pPr>
            <w:r>
              <w:rPr>
                <w:rFonts w:hint="eastAsia"/>
              </w:rPr>
              <w:t>4#</w:t>
            </w:r>
          </w:p>
        </w:tc>
        <w:tc>
          <w:tcPr>
            <w:tcW w:w="1274" w:type="pct"/>
            <w:vAlign w:val="center"/>
          </w:tcPr>
          <w:p w14:paraId="2E1DA985">
            <w:pPr>
              <w:pStyle w:val="133"/>
            </w:pPr>
            <w:r>
              <w:rPr>
                <w:rFonts w:hint="eastAsia"/>
              </w:rPr>
              <w:t>厂界西侧外1m</w:t>
            </w:r>
          </w:p>
        </w:tc>
        <w:tc>
          <w:tcPr>
            <w:tcW w:w="844" w:type="pct"/>
            <w:vAlign w:val="center"/>
          </w:tcPr>
          <w:p w14:paraId="42FD17F3">
            <w:pPr>
              <w:pStyle w:val="133"/>
            </w:pPr>
            <w:r>
              <w:rPr>
                <w:rFonts w:hint="eastAsia"/>
              </w:rPr>
              <w:t>49</w:t>
            </w:r>
          </w:p>
        </w:tc>
        <w:tc>
          <w:tcPr>
            <w:tcW w:w="844" w:type="pct"/>
            <w:vAlign w:val="center"/>
          </w:tcPr>
          <w:p w14:paraId="028CADCE">
            <w:pPr>
              <w:pStyle w:val="133"/>
            </w:pPr>
            <w:r>
              <w:rPr>
                <w:rFonts w:hint="eastAsia"/>
              </w:rPr>
              <w:t>46</w:t>
            </w:r>
          </w:p>
        </w:tc>
        <w:tc>
          <w:tcPr>
            <w:tcW w:w="844" w:type="pct"/>
            <w:vMerge w:val="continue"/>
            <w:vAlign w:val="center"/>
          </w:tcPr>
          <w:p w14:paraId="69F47A38">
            <w:pPr>
              <w:pStyle w:val="133"/>
            </w:pPr>
          </w:p>
        </w:tc>
        <w:tc>
          <w:tcPr>
            <w:tcW w:w="816" w:type="pct"/>
            <w:vMerge w:val="continue"/>
            <w:vAlign w:val="center"/>
          </w:tcPr>
          <w:p w14:paraId="6301B400">
            <w:pPr>
              <w:pStyle w:val="133"/>
            </w:pPr>
          </w:p>
        </w:tc>
      </w:tr>
      <w:tr w14:paraId="448CF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8" w:type="pct"/>
            <w:vAlign w:val="center"/>
          </w:tcPr>
          <w:p w14:paraId="227EA4D0">
            <w:pPr>
              <w:pStyle w:val="133"/>
            </w:pPr>
            <w:r>
              <w:rPr>
                <w:rFonts w:hint="eastAsia"/>
              </w:rPr>
              <w:t>5#</w:t>
            </w:r>
          </w:p>
        </w:tc>
        <w:tc>
          <w:tcPr>
            <w:tcW w:w="1274" w:type="pct"/>
            <w:vAlign w:val="center"/>
          </w:tcPr>
          <w:p w14:paraId="6F8581DF">
            <w:pPr>
              <w:pStyle w:val="133"/>
            </w:pPr>
            <w:r>
              <w:rPr>
                <w:rFonts w:hint="eastAsia"/>
              </w:rPr>
              <w:t>厂界北侧外1m（1号点）</w:t>
            </w:r>
          </w:p>
        </w:tc>
        <w:tc>
          <w:tcPr>
            <w:tcW w:w="844" w:type="pct"/>
            <w:vAlign w:val="center"/>
          </w:tcPr>
          <w:p w14:paraId="6FD43EB2">
            <w:pPr>
              <w:pStyle w:val="133"/>
            </w:pPr>
            <w:r>
              <w:rPr>
                <w:rFonts w:hint="eastAsia"/>
              </w:rPr>
              <w:t>51</w:t>
            </w:r>
          </w:p>
        </w:tc>
        <w:tc>
          <w:tcPr>
            <w:tcW w:w="844" w:type="pct"/>
            <w:vAlign w:val="center"/>
          </w:tcPr>
          <w:p w14:paraId="3C762814">
            <w:pPr>
              <w:pStyle w:val="133"/>
            </w:pPr>
            <w:r>
              <w:rPr>
                <w:rFonts w:hint="eastAsia"/>
              </w:rPr>
              <w:t>48</w:t>
            </w:r>
          </w:p>
        </w:tc>
        <w:tc>
          <w:tcPr>
            <w:tcW w:w="844" w:type="pct"/>
            <w:vMerge w:val="continue"/>
            <w:vAlign w:val="center"/>
          </w:tcPr>
          <w:p w14:paraId="1BEC5305">
            <w:pPr>
              <w:pStyle w:val="133"/>
            </w:pPr>
          </w:p>
        </w:tc>
        <w:tc>
          <w:tcPr>
            <w:tcW w:w="816" w:type="pct"/>
            <w:vMerge w:val="continue"/>
            <w:vAlign w:val="center"/>
          </w:tcPr>
          <w:p w14:paraId="5439B2CB">
            <w:pPr>
              <w:pStyle w:val="133"/>
            </w:pPr>
          </w:p>
        </w:tc>
      </w:tr>
      <w:tr w14:paraId="3B5E48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8" w:type="pct"/>
            <w:vAlign w:val="center"/>
          </w:tcPr>
          <w:p w14:paraId="6EDE5301">
            <w:pPr>
              <w:pStyle w:val="133"/>
            </w:pPr>
            <w:r>
              <w:rPr>
                <w:rFonts w:hint="eastAsia"/>
              </w:rPr>
              <w:t>6#</w:t>
            </w:r>
          </w:p>
        </w:tc>
        <w:tc>
          <w:tcPr>
            <w:tcW w:w="1274" w:type="pct"/>
            <w:vAlign w:val="center"/>
          </w:tcPr>
          <w:p w14:paraId="6223495E">
            <w:pPr>
              <w:pStyle w:val="133"/>
            </w:pPr>
            <w:r>
              <w:rPr>
                <w:rFonts w:hint="eastAsia"/>
              </w:rPr>
              <w:t>厂界北侧外1m（2号点）</w:t>
            </w:r>
          </w:p>
        </w:tc>
        <w:tc>
          <w:tcPr>
            <w:tcW w:w="844" w:type="pct"/>
            <w:vAlign w:val="center"/>
          </w:tcPr>
          <w:p w14:paraId="7EC28CA9">
            <w:pPr>
              <w:pStyle w:val="133"/>
            </w:pPr>
            <w:r>
              <w:rPr>
                <w:rFonts w:hint="eastAsia"/>
              </w:rPr>
              <w:t>52</w:t>
            </w:r>
          </w:p>
        </w:tc>
        <w:tc>
          <w:tcPr>
            <w:tcW w:w="844" w:type="pct"/>
            <w:vAlign w:val="center"/>
          </w:tcPr>
          <w:p w14:paraId="089B36B8">
            <w:pPr>
              <w:pStyle w:val="133"/>
            </w:pPr>
            <w:r>
              <w:rPr>
                <w:rFonts w:hint="eastAsia"/>
              </w:rPr>
              <w:t>50</w:t>
            </w:r>
          </w:p>
        </w:tc>
        <w:tc>
          <w:tcPr>
            <w:tcW w:w="844" w:type="pct"/>
            <w:vMerge w:val="continue"/>
            <w:vAlign w:val="center"/>
          </w:tcPr>
          <w:p w14:paraId="458EE61E">
            <w:pPr>
              <w:pStyle w:val="133"/>
            </w:pPr>
          </w:p>
        </w:tc>
        <w:tc>
          <w:tcPr>
            <w:tcW w:w="816" w:type="pct"/>
            <w:vMerge w:val="continue"/>
            <w:vAlign w:val="center"/>
          </w:tcPr>
          <w:p w14:paraId="161EEC5C">
            <w:pPr>
              <w:pStyle w:val="133"/>
            </w:pPr>
          </w:p>
        </w:tc>
      </w:tr>
    </w:tbl>
    <w:p w14:paraId="2B154612">
      <w:pPr>
        <w:pStyle w:val="133"/>
      </w:pPr>
    </w:p>
    <w:p w14:paraId="7B966C5C">
      <w:pPr>
        <w:pStyle w:val="117"/>
        <w:ind w:firstLine="480"/>
      </w:pPr>
      <w:r>
        <w:rPr>
          <w:rFonts w:hint="eastAsia"/>
        </w:rPr>
        <w:t>从</w:t>
      </w:r>
      <w:r>
        <w:t>表</w:t>
      </w:r>
      <w:r>
        <w:rPr>
          <w:rFonts w:hint="eastAsia"/>
        </w:rPr>
        <w:t>4.</w:t>
      </w:r>
      <w:r>
        <w:t>5</w:t>
      </w:r>
      <w:r>
        <w:rPr>
          <w:rFonts w:hint="eastAsia"/>
        </w:rPr>
        <w:t>-</w:t>
      </w:r>
      <w:r>
        <w:t>1可知</w:t>
      </w:r>
      <w:r>
        <w:rPr>
          <w:rFonts w:hint="eastAsia"/>
        </w:rPr>
        <w:t>：本项目评价</w:t>
      </w:r>
      <w:r>
        <w:t>区域环境噪声现状</w:t>
      </w:r>
      <w:r>
        <w:rPr>
          <w:rFonts w:hint="eastAsia"/>
        </w:rPr>
        <w:t>：厂界周围</w:t>
      </w:r>
      <w:r>
        <w:t>昼间</w:t>
      </w:r>
      <w:r>
        <w:rPr>
          <w:rFonts w:hint="eastAsia"/>
        </w:rPr>
        <w:t>、夜间</w:t>
      </w:r>
      <w:r>
        <w:t>最大噪声</w:t>
      </w:r>
      <w:r>
        <w:rPr>
          <w:rFonts w:hint="eastAsia"/>
        </w:rPr>
        <w:t>分别为</w:t>
      </w:r>
      <w:r>
        <w:t>51dB（A）</w:t>
      </w:r>
      <w:r>
        <w:rPr>
          <w:rFonts w:hint="eastAsia"/>
        </w:rPr>
        <w:t>、</w:t>
      </w:r>
      <w:r>
        <w:t>44dB（A）</w:t>
      </w:r>
      <w:r>
        <w:rPr>
          <w:rFonts w:hint="eastAsia"/>
        </w:rPr>
        <w:t>。厂址区域昼间、夜间环境噪声监测值均可满足《声环境质量标准》（GB3096-2008）中3类区标准限值要求。</w:t>
      </w:r>
    </w:p>
    <w:p w14:paraId="65C56ED1">
      <w:pPr>
        <w:pStyle w:val="133"/>
      </w:pPr>
    </w:p>
    <w:p w14:paraId="6239402F">
      <w:pPr>
        <w:pStyle w:val="946"/>
      </w:pPr>
      <w:bookmarkStart w:id="427" w:name="_Toc205291392"/>
      <w:r>
        <w:rPr>
          <w:rFonts w:hint="eastAsia"/>
        </w:rPr>
        <w:t>土壤环境质量</w:t>
      </w:r>
      <w:bookmarkEnd w:id="427"/>
    </w:p>
    <w:p w14:paraId="4960395E">
      <w:pPr>
        <w:pStyle w:val="138"/>
        <w:rPr>
          <w:rFonts w:hint="eastAsia"/>
        </w:rPr>
      </w:pPr>
      <w:r>
        <w:rPr>
          <w:rFonts w:hint="eastAsia"/>
        </w:rPr>
        <w:t>监测方案</w:t>
      </w:r>
    </w:p>
    <w:p w14:paraId="0B85B361">
      <w:pPr>
        <w:pStyle w:val="117"/>
        <w:ind w:firstLine="480"/>
        <w:rPr>
          <w:highlight w:val="yellow"/>
        </w:rPr>
      </w:pPr>
      <w:r>
        <w:rPr>
          <w:rFonts w:hint="eastAsia"/>
        </w:rPr>
        <w:t>本次评价委托新疆齐新环境服务有限公司对项目区域土壤进行现状监测，采样时间为2024年12月18日。</w:t>
      </w:r>
    </w:p>
    <w:p w14:paraId="233F36C1">
      <w:pPr>
        <w:pStyle w:val="138"/>
        <w:rPr>
          <w:rFonts w:hint="eastAsia"/>
        </w:rPr>
      </w:pPr>
      <w:r>
        <w:rPr>
          <w:rFonts w:hint="eastAsia"/>
        </w:rPr>
        <w:t>监测布点</w:t>
      </w:r>
    </w:p>
    <w:p w14:paraId="4B244B86">
      <w:pPr>
        <w:pStyle w:val="117"/>
        <w:ind w:firstLine="480"/>
      </w:pPr>
      <w:r>
        <w:rPr>
          <w:rFonts w:hint="eastAsia"/>
        </w:rPr>
        <w:t>具体监测布点位置见图4</w:t>
      </w:r>
      <w:r>
        <w:t>.</w:t>
      </w:r>
      <w:r>
        <w:rPr>
          <w:rFonts w:hint="eastAsia"/>
        </w:rPr>
        <w:t>6</w:t>
      </w:r>
      <w:r>
        <w:t>-1</w:t>
      </w:r>
      <w:r>
        <w:rPr>
          <w:rFonts w:hint="eastAsia"/>
        </w:rPr>
        <w:t>。土壤监测点位及监测项目见表4</w:t>
      </w:r>
      <w:r>
        <w:t>.6-1</w:t>
      </w:r>
      <w:r>
        <w:rPr>
          <w:rFonts w:hint="eastAsia"/>
        </w:rPr>
        <w:t>。</w:t>
      </w:r>
    </w:p>
    <w:p w14:paraId="4A724379">
      <w:pPr>
        <w:pStyle w:val="118"/>
      </w:pPr>
      <w:r>
        <w:rPr>
          <w:rFonts w:hint="eastAsia"/>
        </w:rPr>
        <w:t>表4</w:t>
      </w:r>
      <w:r>
        <w:t>.6-1</w:t>
      </w:r>
      <w:r>
        <w:rPr>
          <w:rFonts w:hint="eastAsia"/>
        </w:rPr>
        <w:t xml:space="preserve">  土壤监测点位置及项目</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75"/>
        <w:gridCol w:w="1232"/>
        <w:gridCol w:w="2918"/>
        <w:gridCol w:w="3048"/>
        <w:gridCol w:w="832"/>
        <w:gridCol w:w="700"/>
      </w:tblGrid>
      <w:tr w14:paraId="29CADE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1C935319">
            <w:pPr>
              <w:pStyle w:val="133"/>
              <w:rPr>
                <w:b/>
                <w:bCs/>
              </w:rPr>
            </w:pPr>
            <w:r>
              <w:rPr>
                <w:rFonts w:hint="eastAsia"/>
                <w:b/>
                <w:bCs/>
              </w:rPr>
              <w:t>编号</w:t>
            </w:r>
          </w:p>
        </w:tc>
        <w:tc>
          <w:tcPr>
            <w:tcW w:w="1290" w:type="dxa"/>
            <w:vAlign w:val="center"/>
          </w:tcPr>
          <w:p w14:paraId="5AE7AD43">
            <w:pPr>
              <w:pStyle w:val="133"/>
              <w:rPr>
                <w:b/>
                <w:bCs/>
              </w:rPr>
            </w:pPr>
            <w:r>
              <w:rPr>
                <w:rFonts w:hint="eastAsia"/>
                <w:b/>
                <w:bCs/>
              </w:rPr>
              <w:t>监测点名称</w:t>
            </w:r>
          </w:p>
        </w:tc>
        <w:tc>
          <w:tcPr>
            <w:tcW w:w="3099" w:type="dxa"/>
            <w:vAlign w:val="center"/>
          </w:tcPr>
          <w:p w14:paraId="04EED29D">
            <w:pPr>
              <w:pStyle w:val="133"/>
              <w:rPr>
                <w:b/>
                <w:bCs/>
              </w:rPr>
            </w:pPr>
            <w:r>
              <w:rPr>
                <w:rFonts w:hint="eastAsia"/>
                <w:b/>
                <w:bCs/>
              </w:rPr>
              <w:t>监测坐标</w:t>
            </w:r>
          </w:p>
        </w:tc>
        <w:tc>
          <w:tcPr>
            <w:tcW w:w="3208" w:type="dxa"/>
            <w:vAlign w:val="center"/>
          </w:tcPr>
          <w:p w14:paraId="59127A65">
            <w:pPr>
              <w:pStyle w:val="133"/>
              <w:rPr>
                <w:b/>
                <w:bCs/>
              </w:rPr>
            </w:pPr>
            <w:r>
              <w:rPr>
                <w:rFonts w:hint="eastAsia"/>
                <w:b/>
                <w:bCs/>
              </w:rPr>
              <w:t>监测因子</w:t>
            </w:r>
          </w:p>
        </w:tc>
        <w:tc>
          <w:tcPr>
            <w:tcW w:w="861" w:type="dxa"/>
            <w:vAlign w:val="center"/>
          </w:tcPr>
          <w:p w14:paraId="34EE58B9">
            <w:pPr>
              <w:pStyle w:val="133"/>
              <w:rPr>
                <w:b/>
                <w:bCs/>
              </w:rPr>
            </w:pPr>
            <w:r>
              <w:rPr>
                <w:rFonts w:hint="eastAsia"/>
                <w:b/>
                <w:bCs/>
              </w:rPr>
              <w:t>监测土壤深度</w:t>
            </w:r>
          </w:p>
        </w:tc>
        <w:tc>
          <w:tcPr>
            <w:tcW w:w="720" w:type="dxa"/>
            <w:vAlign w:val="center"/>
          </w:tcPr>
          <w:p w14:paraId="36CE777E">
            <w:pPr>
              <w:pStyle w:val="133"/>
              <w:rPr>
                <w:b/>
                <w:bCs/>
              </w:rPr>
            </w:pPr>
            <w:r>
              <w:rPr>
                <w:rFonts w:hint="eastAsia"/>
                <w:b/>
                <w:bCs/>
              </w:rPr>
              <w:t>位置</w:t>
            </w:r>
          </w:p>
        </w:tc>
      </w:tr>
      <w:tr w14:paraId="1FB80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66D19FD5">
            <w:pPr>
              <w:pStyle w:val="133"/>
            </w:pPr>
            <w:r>
              <w:t>1</w:t>
            </w:r>
            <w:r>
              <w:rPr>
                <w:rFonts w:hint="eastAsia"/>
              </w:rPr>
              <w:t>#</w:t>
            </w:r>
          </w:p>
        </w:tc>
        <w:tc>
          <w:tcPr>
            <w:tcW w:w="1290" w:type="dxa"/>
            <w:vAlign w:val="center"/>
          </w:tcPr>
          <w:p w14:paraId="12ED8DEA">
            <w:pPr>
              <w:pStyle w:val="133"/>
            </w:pPr>
            <w:r>
              <w:rPr>
                <w:rFonts w:hint="eastAsia"/>
              </w:rPr>
              <w:t>1#柱状样</w:t>
            </w:r>
          </w:p>
        </w:tc>
        <w:tc>
          <w:tcPr>
            <w:tcW w:w="3099" w:type="dxa"/>
            <w:vAlign w:val="center"/>
          </w:tcPr>
          <w:p w14:paraId="3E6A1430">
            <w:pPr>
              <w:pStyle w:val="133"/>
            </w:pPr>
          </w:p>
        </w:tc>
        <w:tc>
          <w:tcPr>
            <w:tcW w:w="3208" w:type="dxa"/>
            <w:vAlign w:val="center"/>
          </w:tcPr>
          <w:p w14:paraId="06954889">
            <w:pPr>
              <w:pStyle w:val="133"/>
            </w:pPr>
            <w:r>
              <w:rPr>
                <w:rFonts w:hint="eastAsia"/>
              </w:rPr>
              <w:t>三层均测：</w:t>
            </w:r>
            <w:r>
              <w:t>基本45项</w:t>
            </w:r>
            <w:r>
              <w:rPr>
                <w:rFonts w:hint="eastAsia"/>
              </w:rPr>
              <w:t>+</w:t>
            </w:r>
            <w:r>
              <w:t>pH</w:t>
            </w:r>
            <w:r>
              <w:rPr>
                <w:rFonts w:hint="eastAsia"/>
              </w:rPr>
              <w:t>+石油烃+氰化物土壤理化性质、土体构型</w:t>
            </w:r>
          </w:p>
        </w:tc>
        <w:tc>
          <w:tcPr>
            <w:tcW w:w="861" w:type="dxa"/>
            <w:vMerge w:val="restart"/>
            <w:vAlign w:val="center"/>
          </w:tcPr>
          <w:p w14:paraId="280C741B">
            <w:pPr>
              <w:pStyle w:val="133"/>
            </w:pPr>
            <w:r>
              <w:rPr>
                <w:rFonts w:hint="eastAsia"/>
              </w:rPr>
              <w:t>柱状样点</w:t>
            </w:r>
          </w:p>
        </w:tc>
        <w:tc>
          <w:tcPr>
            <w:tcW w:w="720" w:type="dxa"/>
            <w:vMerge w:val="restart"/>
            <w:vAlign w:val="center"/>
          </w:tcPr>
          <w:p w14:paraId="00CEFC77">
            <w:pPr>
              <w:pStyle w:val="133"/>
            </w:pPr>
            <w:r>
              <w:rPr>
                <w:rFonts w:hint="eastAsia"/>
              </w:rPr>
              <w:t>项目区范围内</w:t>
            </w:r>
          </w:p>
        </w:tc>
      </w:tr>
      <w:tr w14:paraId="41DD7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72F3E174">
            <w:pPr>
              <w:pStyle w:val="133"/>
            </w:pPr>
            <w:r>
              <w:t>2#</w:t>
            </w:r>
          </w:p>
        </w:tc>
        <w:tc>
          <w:tcPr>
            <w:tcW w:w="1290" w:type="dxa"/>
            <w:vAlign w:val="center"/>
          </w:tcPr>
          <w:p w14:paraId="111D03A9">
            <w:pPr>
              <w:pStyle w:val="133"/>
            </w:pPr>
            <w:r>
              <w:rPr>
                <w:rFonts w:hint="eastAsia"/>
              </w:rPr>
              <w:t>2#柱状样</w:t>
            </w:r>
          </w:p>
        </w:tc>
        <w:tc>
          <w:tcPr>
            <w:tcW w:w="3099" w:type="dxa"/>
            <w:vAlign w:val="center"/>
          </w:tcPr>
          <w:p w14:paraId="21222477">
            <w:pPr>
              <w:pStyle w:val="133"/>
            </w:pPr>
          </w:p>
        </w:tc>
        <w:tc>
          <w:tcPr>
            <w:tcW w:w="3208" w:type="dxa"/>
            <w:vAlign w:val="center"/>
          </w:tcPr>
          <w:p w14:paraId="35DDBA4E">
            <w:pPr>
              <w:pStyle w:val="133"/>
            </w:pPr>
            <w:r>
              <w:rPr>
                <w:rFonts w:hint="eastAsia"/>
              </w:rPr>
              <w:t>三层均测：pH、石油烃、氰化物</w:t>
            </w:r>
          </w:p>
        </w:tc>
        <w:tc>
          <w:tcPr>
            <w:tcW w:w="861" w:type="dxa"/>
            <w:vMerge w:val="continue"/>
            <w:vAlign w:val="center"/>
          </w:tcPr>
          <w:p w14:paraId="16410A58">
            <w:pPr>
              <w:pStyle w:val="133"/>
            </w:pPr>
          </w:p>
        </w:tc>
        <w:tc>
          <w:tcPr>
            <w:tcW w:w="720" w:type="dxa"/>
            <w:vMerge w:val="continue"/>
            <w:vAlign w:val="center"/>
          </w:tcPr>
          <w:p w14:paraId="58369ACC">
            <w:pPr>
              <w:pStyle w:val="133"/>
            </w:pPr>
          </w:p>
        </w:tc>
      </w:tr>
      <w:tr w14:paraId="3AFAB5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679A6038">
            <w:pPr>
              <w:pStyle w:val="133"/>
            </w:pPr>
            <w:r>
              <w:t>3</w:t>
            </w:r>
            <w:r>
              <w:rPr>
                <w:rFonts w:hint="eastAsia"/>
              </w:rPr>
              <w:t>#</w:t>
            </w:r>
          </w:p>
        </w:tc>
        <w:tc>
          <w:tcPr>
            <w:tcW w:w="1290" w:type="dxa"/>
            <w:vAlign w:val="center"/>
          </w:tcPr>
          <w:p w14:paraId="286A309E">
            <w:pPr>
              <w:pStyle w:val="133"/>
            </w:pPr>
            <w:r>
              <w:rPr>
                <w:rFonts w:hint="eastAsia"/>
              </w:rPr>
              <w:t>3#柱状样</w:t>
            </w:r>
          </w:p>
        </w:tc>
        <w:tc>
          <w:tcPr>
            <w:tcW w:w="3099" w:type="dxa"/>
            <w:vAlign w:val="center"/>
          </w:tcPr>
          <w:p w14:paraId="0CD7E2EF">
            <w:pPr>
              <w:pStyle w:val="133"/>
            </w:pPr>
          </w:p>
        </w:tc>
        <w:tc>
          <w:tcPr>
            <w:tcW w:w="3208" w:type="dxa"/>
            <w:vAlign w:val="center"/>
          </w:tcPr>
          <w:p w14:paraId="5129B3E1">
            <w:pPr>
              <w:pStyle w:val="133"/>
            </w:pPr>
            <w:r>
              <w:rPr>
                <w:rFonts w:hint="eastAsia"/>
              </w:rPr>
              <w:t>三层均测：</w:t>
            </w:r>
            <w:r>
              <w:t>基本45项</w:t>
            </w:r>
            <w:r>
              <w:rPr>
                <w:rFonts w:hint="eastAsia"/>
              </w:rPr>
              <w:t>+</w:t>
            </w:r>
            <w:r>
              <w:t>pH</w:t>
            </w:r>
            <w:r>
              <w:rPr>
                <w:rFonts w:hint="eastAsia"/>
              </w:rPr>
              <w:t>+石油烃+氰化物土壤理化性质、土体构型</w:t>
            </w:r>
          </w:p>
        </w:tc>
        <w:tc>
          <w:tcPr>
            <w:tcW w:w="861" w:type="dxa"/>
            <w:vMerge w:val="continue"/>
            <w:vAlign w:val="center"/>
          </w:tcPr>
          <w:p w14:paraId="47E69C66">
            <w:pPr>
              <w:pStyle w:val="133"/>
            </w:pPr>
          </w:p>
        </w:tc>
        <w:tc>
          <w:tcPr>
            <w:tcW w:w="720" w:type="dxa"/>
            <w:vMerge w:val="continue"/>
            <w:vAlign w:val="center"/>
          </w:tcPr>
          <w:p w14:paraId="750AD0D7">
            <w:pPr>
              <w:pStyle w:val="133"/>
            </w:pPr>
          </w:p>
        </w:tc>
      </w:tr>
      <w:tr w14:paraId="702716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3F11D0D5">
            <w:pPr>
              <w:pStyle w:val="133"/>
            </w:pPr>
            <w:r>
              <w:rPr>
                <w:rFonts w:hint="eastAsia"/>
              </w:rPr>
              <w:t>4#</w:t>
            </w:r>
          </w:p>
        </w:tc>
        <w:tc>
          <w:tcPr>
            <w:tcW w:w="1290" w:type="dxa"/>
            <w:vAlign w:val="center"/>
          </w:tcPr>
          <w:p w14:paraId="29855359">
            <w:pPr>
              <w:pStyle w:val="133"/>
            </w:pPr>
            <w:r>
              <w:rPr>
                <w:rFonts w:hint="eastAsia"/>
              </w:rPr>
              <w:t>4#柱状样</w:t>
            </w:r>
          </w:p>
        </w:tc>
        <w:tc>
          <w:tcPr>
            <w:tcW w:w="3099" w:type="dxa"/>
            <w:vAlign w:val="center"/>
          </w:tcPr>
          <w:p w14:paraId="7ADB3A3F">
            <w:pPr>
              <w:pStyle w:val="133"/>
            </w:pPr>
          </w:p>
        </w:tc>
        <w:tc>
          <w:tcPr>
            <w:tcW w:w="3208" w:type="dxa"/>
            <w:vAlign w:val="center"/>
          </w:tcPr>
          <w:p w14:paraId="47567693">
            <w:pPr>
              <w:pStyle w:val="133"/>
            </w:pPr>
            <w:r>
              <w:rPr>
                <w:rFonts w:hint="eastAsia"/>
              </w:rPr>
              <w:t>三层均测：</w:t>
            </w:r>
            <w:r>
              <w:t>pH、</w:t>
            </w:r>
            <w:r>
              <w:rPr>
                <w:rFonts w:hint="eastAsia"/>
              </w:rPr>
              <w:t>砷、镉、铬（六价）、铜、铅、汞、镍、锌、</w:t>
            </w:r>
            <w:r>
              <w:t>pH</w:t>
            </w:r>
            <w:r>
              <w:rPr>
                <w:rFonts w:hint="eastAsia"/>
              </w:rPr>
              <w:t>、</w:t>
            </w:r>
          </w:p>
          <w:p w14:paraId="5B0FD0A0">
            <w:pPr>
              <w:pStyle w:val="133"/>
            </w:pPr>
            <w:r>
              <w:rPr>
                <w:rFonts w:hint="eastAsia"/>
              </w:rPr>
              <w:t>石油烃、氰化物</w:t>
            </w:r>
          </w:p>
        </w:tc>
        <w:tc>
          <w:tcPr>
            <w:tcW w:w="861" w:type="dxa"/>
            <w:vMerge w:val="continue"/>
            <w:vAlign w:val="center"/>
          </w:tcPr>
          <w:p w14:paraId="08C36132">
            <w:pPr>
              <w:pStyle w:val="133"/>
            </w:pPr>
          </w:p>
        </w:tc>
        <w:tc>
          <w:tcPr>
            <w:tcW w:w="720" w:type="dxa"/>
            <w:vMerge w:val="continue"/>
            <w:vAlign w:val="center"/>
          </w:tcPr>
          <w:p w14:paraId="4A747130">
            <w:pPr>
              <w:pStyle w:val="133"/>
            </w:pPr>
          </w:p>
        </w:tc>
      </w:tr>
      <w:tr w14:paraId="565F8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26A48FED">
            <w:pPr>
              <w:pStyle w:val="133"/>
            </w:pPr>
            <w:r>
              <w:rPr>
                <w:rFonts w:hint="eastAsia"/>
              </w:rPr>
              <w:t>5#</w:t>
            </w:r>
          </w:p>
        </w:tc>
        <w:tc>
          <w:tcPr>
            <w:tcW w:w="1290" w:type="dxa"/>
            <w:vAlign w:val="center"/>
          </w:tcPr>
          <w:p w14:paraId="12322BC6">
            <w:pPr>
              <w:pStyle w:val="133"/>
            </w:pPr>
            <w:r>
              <w:rPr>
                <w:rFonts w:hint="eastAsia"/>
              </w:rPr>
              <w:t>5#柱状样</w:t>
            </w:r>
          </w:p>
        </w:tc>
        <w:tc>
          <w:tcPr>
            <w:tcW w:w="3099" w:type="dxa"/>
            <w:vAlign w:val="center"/>
          </w:tcPr>
          <w:p w14:paraId="29C61902">
            <w:pPr>
              <w:pStyle w:val="133"/>
            </w:pPr>
          </w:p>
        </w:tc>
        <w:tc>
          <w:tcPr>
            <w:tcW w:w="3208" w:type="dxa"/>
            <w:vAlign w:val="center"/>
          </w:tcPr>
          <w:p w14:paraId="2FBA1F8B">
            <w:pPr>
              <w:pStyle w:val="133"/>
            </w:pPr>
            <w:r>
              <w:rPr>
                <w:rFonts w:hint="eastAsia"/>
              </w:rPr>
              <w:t>三层均测：</w:t>
            </w:r>
            <w:r>
              <w:t>pH</w:t>
            </w:r>
            <w:r>
              <w:rPr>
                <w:rFonts w:hint="eastAsia"/>
              </w:rPr>
              <w:t>、石油烃、氰化物</w:t>
            </w:r>
          </w:p>
        </w:tc>
        <w:tc>
          <w:tcPr>
            <w:tcW w:w="861" w:type="dxa"/>
            <w:vMerge w:val="continue"/>
            <w:vAlign w:val="center"/>
          </w:tcPr>
          <w:p w14:paraId="1258EBB8">
            <w:pPr>
              <w:pStyle w:val="133"/>
            </w:pPr>
          </w:p>
        </w:tc>
        <w:tc>
          <w:tcPr>
            <w:tcW w:w="720" w:type="dxa"/>
            <w:vMerge w:val="continue"/>
            <w:vAlign w:val="center"/>
          </w:tcPr>
          <w:p w14:paraId="7857AB9C">
            <w:pPr>
              <w:pStyle w:val="133"/>
            </w:pPr>
          </w:p>
        </w:tc>
      </w:tr>
      <w:tr w14:paraId="6CCDD4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28FBA339">
            <w:pPr>
              <w:pStyle w:val="133"/>
            </w:pPr>
            <w:r>
              <w:rPr>
                <w:rFonts w:hint="eastAsia"/>
              </w:rPr>
              <w:t>6#</w:t>
            </w:r>
          </w:p>
        </w:tc>
        <w:tc>
          <w:tcPr>
            <w:tcW w:w="1290" w:type="dxa"/>
            <w:vAlign w:val="center"/>
          </w:tcPr>
          <w:p w14:paraId="58B196F9">
            <w:pPr>
              <w:pStyle w:val="133"/>
            </w:pPr>
            <w:r>
              <w:rPr>
                <w:rFonts w:hint="eastAsia"/>
              </w:rPr>
              <w:t>1</w:t>
            </w:r>
            <w:r>
              <w:t>#</w:t>
            </w:r>
            <w:r>
              <w:rPr>
                <w:rFonts w:hint="eastAsia"/>
              </w:rPr>
              <w:t>表层样</w:t>
            </w:r>
          </w:p>
        </w:tc>
        <w:tc>
          <w:tcPr>
            <w:tcW w:w="3099" w:type="dxa"/>
            <w:vAlign w:val="center"/>
          </w:tcPr>
          <w:p w14:paraId="2FF9C36C">
            <w:pPr>
              <w:pStyle w:val="133"/>
            </w:pPr>
          </w:p>
        </w:tc>
        <w:tc>
          <w:tcPr>
            <w:tcW w:w="3208" w:type="dxa"/>
            <w:tcBorders>
              <w:bottom w:val="single" w:color="auto" w:sz="4" w:space="0"/>
            </w:tcBorders>
            <w:vAlign w:val="center"/>
          </w:tcPr>
          <w:p w14:paraId="1BCACE78">
            <w:pPr>
              <w:pStyle w:val="133"/>
            </w:pPr>
            <w:r>
              <w:t>pH</w:t>
            </w:r>
            <w:r>
              <w:rPr>
                <w:rFonts w:hint="eastAsia"/>
              </w:rPr>
              <w:t>、石油烃、氰化物</w:t>
            </w:r>
          </w:p>
        </w:tc>
        <w:tc>
          <w:tcPr>
            <w:tcW w:w="861" w:type="dxa"/>
            <w:vMerge w:val="restart"/>
            <w:tcBorders>
              <w:bottom w:val="single" w:color="auto" w:sz="4" w:space="0"/>
            </w:tcBorders>
            <w:vAlign w:val="center"/>
          </w:tcPr>
          <w:p w14:paraId="4E5F88F7">
            <w:pPr>
              <w:pStyle w:val="133"/>
            </w:pPr>
            <w:r>
              <w:rPr>
                <w:rFonts w:hint="eastAsia"/>
              </w:rPr>
              <w:t>表层样点</w:t>
            </w:r>
          </w:p>
        </w:tc>
        <w:tc>
          <w:tcPr>
            <w:tcW w:w="720" w:type="dxa"/>
            <w:vMerge w:val="restart"/>
            <w:tcBorders>
              <w:bottom w:val="single" w:color="auto" w:sz="4" w:space="0"/>
            </w:tcBorders>
            <w:vAlign w:val="center"/>
          </w:tcPr>
          <w:p w14:paraId="42164E7C">
            <w:pPr>
              <w:pStyle w:val="133"/>
            </w:pPr>
            <w:r>
              <w:rPr>
                <w:rFonts w:hint="eastAsia"/>
              </w:rPr>
              <w:t>项目区范围内</w:t>
            </w:r>
          </w:p>
        </w:tc>
      </w:tr>
      <w:tr w14:paraId="79B087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2F572F7F">
            <w:pPr>
              <w:pStyle w:val="133"/>
            </w:pPr>
            <w:r>
              <w:rPr>
                <w:rFonts w:hint="eastAsia"/>
              </w:rPr>
              <w:t>7#</w:t>
            </w:r>
          </w:p>
        </w:tc>
        <w:tc>
          <w:tcPr>
            <w:tcW w:w="1290" w:type="dxa"/>
            <w:vAlign w:val="center"/>
          </w:tcPr>
          <w:p w14:paraId="3EC5EF95">
            <w:pPr>
              <w:pStyle w:val="133"/>
            </w:pPr>
            <w:r>
              <w:t>2#</w:t>
            </w:r>
            <w:r>
              <w:rPr>
                <w:rFonts w:hint="eastAsia"/>
              </w:rPr>
              <w:t>表层样</w:t>
            </w:r>
          </w:p>
        </w:tc>
        <w:tc>
          <w:tcPr>
            <w:tcW w:w="3099" w:type="dxa"/>
            <w:vAlign w:val="center"/>
          </w:tcPr>
          <w:p w14:paraId="4A84F5CE">
            <w:pPr>
              <w:pStyle w:val="133"/>
            </w:pPr>
          </w:p>
        </w:tc>
        <w:tc>
          <w:tcPr>
            <w:tcW w:w="3208" w:type="dxa"/>
            <w:tcBorders>
              <w:bottom w:val="single" w:color="auto" w:sz="4" w:space="0"/>
            </w:tcBorders>
            <w:vAlign w:val="center"/>
          </w:tcPr>
          <w:p w14:paraId="69D6AF08">
            <w:pPr>
              <w:pStyle w:val="133"/>
            </w:pPr>
            <w:r>
              <w:t>pH</w:t>
            </w:r>
            <w:r>
              <w:rPr>
                <w:rFonts w:hint="eastAsia"/>
              </w:rPr>
              <w:t>、石油烃、氰化物</w:t>
            </w:r>
          </w:p>
        </w:tc>
        <w:tc>
          <w:tcPr>
            <w:tcW w:w="861" w:type="dxa"/>
            <w:vMerge w:val="continue"/>
            <w:tcBorders>
              <w:bottom w:val="single" w:color="auto" w:sz="4" w:space="0"/>
            </w:tcBorders>
            <w:vAlign w:val="center"/>
          </w:tcPr>
          <w:p w14:paraId="6C05C5E2">
            <w:pPr>
              <w:pStyle w:val="133"/>
            </w:pPr>
          </w:p>
        </w:tc>
        <w:tc>
          <w:tcPr>
            <w:tcW w:w="720" w:type="dxa"/>
            <w:vMerge w:val="continue"/>
            <w:tcBorders>
              <w:bottom w:val="single" w:color="auto" w:sz="4" w:space="0"/>
            </w:tcBorders>
            <w:vAlign w:val="center"/>
          </w:tcPr>
          <w:p w14:paraId="3485523C">
            <w:pPr>
              <w:pStyle w:val="133"/>
            </w:pPr>
          </w:p>
        </w:tc>
      </w:tr>
      <w:tr w14:paraId="70DF0A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0441E96A">
            <w:pPr>
              <w:pStyle w:val="133"/>
            </w:pPr>
            <w:r>
              <w:rPr>
                <w:rFonts w:hint="eastAsia"/>
              </w:rPr>
              <w:t>8#</w:t>
            </w:r>
          </w:p>
        </w:tc>
        <w:tc>
          <w:tcPr>
            <w:tcW w:w="1290" w:type="dxa"/>
            <w:vAlign w:val="center"/>
          </w:tcPr>
          <w:p w14:paraId="6FA4337D">
            <w:pPr>
              <w:pStyle w:val="133"/>
            </w:pPr>
            <w:r>
              <w:t>3#</w:t>
            </w:r>
            <w:r>
              <w:rPr>
                <w:rFonts w:hint="eastAsia"/>
              </w:rPr>
              <w:t>表层样</w:t>
            </w:r>
          </w:p>
        </w:tc>
        <w:tc>
          <w:tcPr>
            <w:tcW w:w="3099" w:type="dxa"/>
            <w:vAlign w:val="center"/>
          </w:tcPr>
          <w:p w14:paraId="09583428">
            <w:pPr>
              <w:pStyle w:val="133"/>
            </w:pPr>
          </w:p>
        </w:tc>
        <w:tc>
          <w:tcPr>
            <w:tcW w:w="3208" w:type="dxa"/>
            <w:tcBorders>
              <w:top w:val="single" w:color="auto" w:sz="4" w:space="0"/>
            </w:tcBorders>
            <w:vAlign w:val="center"/>
          </w:tcPr>
          <w:p w14:paraId="17D58BD2">
            <w:pPr>
              <w:pStyle w:val="133"/>
            </w:pPr>
            <w:r>
              <w:t>基本45项</w:t>
            </w:r>
            <w:r>
              <w:rPr>
                <w:rFonts w:hint="eastAsia"/>
              </w:rPr>
              <w:t>+</w:t>
            </w:r>
            <w:r>
              <w:t>pH</w:t>
            </w:r>
            <w:r>
              <w:rPr>
                <w:rFonts w:hint="eastAsia"/>
              </w:rPr>
              <w:t>+石油烃+氰化物</w:t>
            </w:r>
          </w:p>
          <w:p w14:paraId="7661ADFC">
            <w:pPr>
              <w:pStyle w:val="133"/>
            </w:pPr>
            <w:r>
              <w:rPr>
                <w:rFonts w:hint="eastAsia"/>
              </w:rPr>
              <w:t>土壤理化性质、土体构型</w:t>
            </w:r>
          </w:p>
        </w:tc>
        <w:tc>
          <w:tcPr>
            <w:tcW w:w="861" w:type="dxa"/>
            <w:vMerge w:val="restart"/>
            <w:tcBorders>
              <w:top w:val="single" w:color="auto" w:sz="4" w:space="0"/>
            </w:tcBorders>
            <w:vAlign w:val="center"/>
          </w:tcPr>
          <w:p w14:paraId="1C5C8D51">
            <w:pPr>
              <w:pStyle w:val="133"/>
            </w:pPr>
            <w:r>
              <w:rPr>
                <w:rFonts w:hint="eastAsia"/>
              </w:rPr>
              <w:t>表层样点</w:t>
            </w:r>
          </w:p>
        </w:tc>
        <w:tc>
          <w:tcPr>
            <w:tcW w:w="720" w:type="dxa"/>
            <w:vMerge w:val="restart"/>
            <w:tcBorders>
              <w:top w:val="single" w:color="auto" w:sz="4" w:space="0"/>
            </w:tcBorders>
            <w:vAlign w:val="center"/>
          </w:tcPr>
          <w:p w14:paraId="25A61E24">
            <w:pPr>
              <w:pStyle w:val="133"/>
            </w:pPr>
            <w:r>
              <w:rPr>
                <w:rFonts w:hint="eastAsia"/>
              </w:rPr>
              <w:t>项目区范围外</w:t>
            </w:r>
          </w:p>
        </w:tc>
      </w:tr>
      <w:tr w14:paraId="4D0BA2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37902B79">
            <w:pPr>
              <w:pStyle w:val="133"/>
            </w:pPr>
            <w:r>
              <w:rPr>
                <w:rFonts w:hint="eastAsia"/>
              </w:rPr>
              <w:t>9#</w:t>
            </w:r>
          </w:p>
        </w:tc>
        <w:tc>
          <w:tcPr>
            <w:tcW w:w="1290" w:type="dxa"/>
            <w:vAlign w:val="center"/>
          </w:tcPr>
          <w:p w14:paraId="30E089B7">
            <w:pPr>
              <w:pStyle w:val="133"/>
            </w:pPr>
            <w:r>
              <w:rPr>
                <w:rFonts w:hint="eastAsia"/>
              </w:rPr>
              <w:t>4</w:t>
            </w:r>
            <w:r>
              <w:t>#</w:t>
            </w:r>
            <w:r>
              <w:rPr>
                <w:rFonts w:hint="eastAsia"/>
              </w:rPr>
              <w:t>表层样</w:t>
            </w:r>
          </w:p>
        </w:tc>
        <w:tc>
          <w:tcPr>
            <w:tcW w:w="3099" w:type="dxa"/>
            <w:vAlign w:val="center"/>
          </w:tcPr>
          <w:p w14:paraId="310FF345">
            <w:pPr>
              <w:pStyle w:val="133"/>
            </w:pPr>
          </w:p>
        </w:tc>
        <w:tc>
          <w:tcPr>
            <w:tcW w:w="3208" w:type="dxa"/>
            <w:vAlign w:val="center"/>
          </w:tcPr>
          <w:p w14:paraId="4BF463F9">
            <w:pPr>
              <w:pStyle w:val="133"/>
            </w:pPr>
            <w:r>
              <w:t>pH、</w:t>
            </w:r>
            <w:r>
              <w:rPr>
                <w:rFonts w:hint="eastAsia"/>
              </w:rPr>
              <w:t>砷、镉、铬（六价）、铜、铅、汞、镍、锌、</w:t>
            </w:r>
            <w:r>
              <w:t>pH</w:t>
            </w:r>
            <w:r>
              <w:rPr>
                <w:rFonts w:hint="eastAsia"/>
              </w:rPr>
              <w:t>、</w:t>
            </w:r>
          </w:p>
          <w:p w14:paraId="79AC335A">
            <w:pPr>
              <w:pStyle w:val="133"/>
            </w:pPr>
            <w:r>
              <w:rPr>
                <w:rFonts w:hint="eastAsia"/>
              </w:rPr>
              <w:t>石油烃、氰化物</w:t>
            </w:r>
          </w:p>
        </w:tc>
        <w:tc>
          <w:tcPr>
            <w:tcW w:w="861" w:type="dxa"/>
            <w:vMerge w:val="continue"/>
            <w:vAlign w:val="center"/>
          </w:tcPr>
          <w:p w14:paraId="5E3AF31D">
            <w:pPr>
              <w:pStyle w:val="133"/>
            </w:pPr>
          </w:p>
        </w:tc>
        <w:tc>
          <w:tcPr>
            <w:tcW w:w="720" w:type="dxa"/>
            <w:vMerge w:val="continue"/>
            <w:vAlign w:val="center"/>
          </w:tcPr>
          <w:p w14:paraId="168D7D46">
            <w:pPr>
              <w:pStyle w:val="133"/>
            </w:pPr>
          </w:p>
        </w:tc>
      </w:tr>
      <w:tr w14:paraId="19092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52723B90">
            <w:pPr>
              <w:pStyle w:val="133"/>
            </w:pPr>
            <w:r>
              <w:rPr>
                <w:rFonts w:hint="eastAsia"/>
              </w:rPr>
              <w:t>10#</w:t>
            </w:r>
          </w:p>
        </w:tc>
        <w:tc>
          <w:tcPr>
            <w:tcW w:w="1290" w:type="dxa"/>
            <w:vAlign w:val="center"/>
          </w:tcPr>
          <w:p w14:paraId="0363E506">
            <w:pPr>
              <w:pStyle w:val="133"/>
            </w:pPr>
            <w:r>
              <w:rPr>
                <w:rFonts w:hint="eastAsia"/>
              </w:rPr>
              <w:t>5</w:t>
            </w:r>
            <w:r>
              <w:t>#</w:t>
            </w:r>
            <w:r>
              <w:rPr>
                <w:rFonts w:hint="eastAsia"/>
              </w:rPr>
              <w:t>表层样</w:t>
            </w:r>
          </w:p>
        </w:tc>
        <w:tc>
          <w:tcPr>
            <w:tcW w:w="3099" w:type="dxa"/>
            <w:vAlign w:val="center"/>
          </w:tcPr>
          <w:p w14:paraId="2A55C543">
            <w:pPr>
              <w:pStyle w:val="133"/>
            </w:pPr>
          </w:p>
        </w:tc>
        <w:tc>
          <w:tcPr>
            <w:tcW w:w="3208" w:type="dxa"/>
            <w:vAlign w:val="center"/>
          </w:tcPr>
          <w:p w14:paraId="377D6A04">
            <w:pPr>
              <w:pStyle w:val="133"/>
            </w:pPr>
            <w:r>
              <w:t>pH、</w:t>
            </w:r>
            <w:r>
              <w:rPr>
                <w:rFonts w:hint="eastAsia"/>
              </w:rPr>
              <w:t>砷、镉、铬（六价）、铜、铅、汞、镍、锌、</w:t>
            </w:r>
            <w:r>
              <w:t>pH</w:t>
            </w:r>
            <w:r>
              <w:rPr>
                <w:rFonts w:hint="eastAsia"/>
              </w:rPr>
              <w:t>、</w:t>
            </w:r>
          </w:p>
          <w:p w14:paraId="6158EAA7">
            <w:pPr>
              <w:pStyle w:val="133"/>
            </w:pPr>
            <w:r>
              <w:rPr>
                <w:rFonts w:hint="eastAsia"/>
              </w:rPr>
              <w:t>石油烃、氰化物</w:t>
            </w:r>
          </w:p>
        </w:tc>
        <w:tc>
          <w:tcPr>
            <w:tcW w:w="861" w:type="dxa"/>
            <w:vMerge w:val="continue"/>
            <w:vAlign w:val="center"/>
          </w:tcPr>
          <w:p w14:paraId="2B2EE249">
            <w:pPr>
              <w:pStyle w:val="133"/>
            </w:pPr>
          </w:p>
        </w:tc>
        <w:tc>
          <w:tcPr>
            <w:tcW w:w="720" w:type="dxa"/>
            <w:vMerge w:val="continue"/>
            <w:vAlign w:val="center"/>
          </w:tcPr>
          <w:p w14:paraId="40ABC749">
            <w:pPr>
              <w:pStyle w:val="133"/>
            </w:pPr>
          </w:p>
        </w:tc>
      </w:tr>
      <w:tr w14:paraId="10166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78" w:type="dxa"/>
            <w:vAlign w:val="center"/>
          </w:tcPr>
          <w:p w14:paraId="0E4E4789">
            <w:pPr>
              <w:pStyle w:val="133"/>
            </w:pPr>
            <w:r>
              <w:rPr>
                <w:rFonts w:hint="eastAsia"/>
              </w:rPr>
              <w:t>11#</w:t>
            </w:r>
          </w:p>
        </w:tc>
        <w:tc>
          <w:tcPr>
            <w:tcW w:w="1290" w:type="dxa"/>
            <w:vAlign w:val="center"/>
          </w:tcPr>
          <w:p w14:paraId="6C1B02B9">
            <w:pPr>
              <w:pStyle w:val="133"/>
            </w:pPr>
            <w:r>
              <w:rPr>
                <w:rFonts w:hint="eastAsia"/>
              </w:rPr>
              <w:t>6</w:t>
            </w:r>
            <w:r>
              <w:t>#</w:t>
            </w:r>
            <w:r>
              <w:rPr>
                <w:rFonts w:hint="eastAsia"/>
              </w:rPr>
              <w:t>表层样</w:t>
            </w:r>
          </w:p>
        </w:tc>
        <w:tc>
          <w:tcPr>
            <w:tcW w:w="3099" w:type="dxa"/>
            <w:vAlign w:val="center"/>
          </w:tcPr>
          <w:p w14:paraId="634456A3">
            <w:pPr>
              <w:pStyle w:val="133"/>
            </w:pPr>
          </w:p>
        </w:tc>
        <w:tc>
          <w:tcPr>
            <w:tcW w:w="3208" w:type="dxa"/>
            <w:vAlign w:val="center"/>
          </w:tcPr>
          <w:p w14:paraId="4FBC868D">
            <w:pPr>
              <w:pStyle w:val="133"/>
            </w:pPr>
            <w:r>
              <w:t>基本45项</w:t>
            </w:r>
            <w:r>
              <w:rPr>
                <w:rFonts w:hint="eastAsia"/>
              </w:rPr>
              <w:t>+</w:t>
            </w:r>
            <w:r>
              <w:t>pH</w:t>
            </w:r>
            <w:r>
              <w:rPr>
                <w:rFonts w:hint="eastAsia"/>
              </w:rPr>
              <w:t>+石油烃+氰化物</w:t>
            </w:r>
          </w:p>
          <w:p w14:paraId="0E82B92D">
            <w:pPr>
              <w:pStyle w:val="133"/>
            </w:pPr>
            <w:r>
              <w:rPr>
                <w:rFonts w:hint="eastAsia"/>
              </w:rPr>
              <w:t>土壤理化性质、土体构型</w:t>
            </w:r>
          </w:p>
        </w:tc>
        <w:tc>
          <w:tcPr>
            <w:tcW w:w="861" w:type="dxa"/>
            <w:vMerge w:val="continue"/>
            <w:vAlign w:val="center"/>
          </w:tcPr>
          <w:p w14:paraId="4806A0AE">
            <w:pPr>
              <w:pStyle w:val="133"/>
            </w:pPr>
          </w:p>
        </w:tc>
        <w:tc>
          <w:tcPr>
            <w:tcW w:w="720" w:type="dxa"/>
            <w:vMerge w:val="continue"/>
            <w:vAlign w:val="center"/>
          </w:tcPr>
          <w:p w14:paraId="414F08EE">
            <w:pPr>
              <w:pStyle w:val="133"/>
            </w:pPr>
          </w:p>
        </w:tc>
      </w:tr>
    </w:tbl>
    <w:p w14:paraId="33AFEC04">
      <w:pPr>
        <w:pStyle w:val="133"/>
        <w:jc w:val="both"/>
      </w:pPr>
    </w:p>
    <w:p w14:paraId="7EFE362F">
      <w:pPr>
        <w:pStyle w:val="133"/>
      </w:pPr>
    </w:p>
    <w:p w14:paraId="79719604">
      <w:pPr>
        <w:pStyle w:val="138"/>
        <w:rPr>
          <w:rFonts w:hint="eastAsia"/>
        </w:rPr>
      </w:pPr>
      <w:r>
        <w:rPr>
          <w:rFonts w:hint="eastAsia"/>
        </w:rPr>
        <w:t>土壤质量现状评价</w:t>
      </w:r>
    </w:p>
    <w:p w14:paraId="15951BDB">
      <w:pPr>
        <w:pStyle w:val="117"/>
        <w:ind w:firstLine="480"/>
      </w:pPr>
      <w:r>
        <w:rPr>
          <w:rFonts w:hint="eastAsia"/>
        </w:rPr>
        <w:t>项目建成后，区域土壤质量现状监测结果，见表4.</w:t>
      </w:r>
      <w:r>
        <w:t>6</w:t>
      </w:r>
      <w:r>
        <w:rPr>
          <w:rFonts w:hint="eastAsia"/>
        </w:rPr>
        <w:t>-</w:t>
      </w:r>
      <w:r>
        <w:t>2</w:t>
      </w:r>
      <w:r>
        <w:rPr>
          <w:rFonts w:hint="eastAsia"/>
        </w:rPr>
        <w:t>、表4.</w:t>
      </w:r>
      <w:r>
        <w:t>6</w:t>
      </w:r>
      <w:r>
        <w:rPr>
          <w:rFonts w:hint="eastAsia"/>
        </w:rPr>
        <w:t>-3、表4.6-4。</w:t>
      </w:r>
    </w:p>
    <w:p w14:paraId="145A528A">
      <w:pPr>
        <w:pStyle w:val="118"/>
      </w:pPr>
      <w:r>
        <w:rPr>
          <w:rFonts w:hint="eastAsia"/>
        </w:rPr>
        <w:t>表4.</w:t>
      </w:r>
      <w:r>
        <w:t>6-2</w:t>
      </w:r>
      <w:r>
        <w:rPr>
          <w:rFonts w:hint="eastAsia"/>
        </w:rPr>
        <w:t xml:space="preserve">  土壤质量现状监测及评价结果      单位：mg/kg</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060"/>
        <w:gridCol w:w="1917"/>
        <w:gridCol w:w="2410"/>
        <w:gridCol w:w="2014"/>
        <w:gridCol w:w="904"/>
      </w:tblGrid>
      <w:tr w14:paraId="418AA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07" w:type="pct"/>
            <w:vAlign w:val="center"/>
          </w:tcPr>
          <w:p w14:paraId="681D3187">
            <w:pPr>
              <w:pStyle w:val="133"/>
              <w:rPr>
                <w:b/>
                <w:bCs/>
              </w:rPr>
            </w:pPr>
            <w:r>
              <w:rPr>
                <w:b/>
                <w:bCs/>
              </w:rPr>
              <w:t>采样地点</w:t>
            </w:r>
          </w:p>
          <w:p w14:paraId="4301E721">
            <w:pPr>
              <w:pStyle w:val="133"/>
              <w:rPr>
                <w:b/>
                <w:bCs/>
              </w:rPr>
            </w:pPr>
            <w:r>
              <w:rPr>
                <w:b/>
                <w:bCs/>
              </w:rPr>
              <w:t>监测项目</w:t>
            </w:r>
          </w:p>
        </w:tc>
        <w:tc>
          <w:tcPr>
            <w:tcW w:w="1030" w:type="pct"/>
            <w:vAlign w:val="center"/>
          </w:tcPr>
          <w:p w14:paraId="3B0CA3B9">
            <w:pPr>
              <w:pStyle w:val="133"/>
              <w:rPr>
                <w:b/>
                <w:bCs/>
              </w:rPr>
            </w:pPr>
            <w:r>
              <w:rPr>
                <w:b/>
                <w:bCs/>
              </w:rPr>
              <w:t>厂区内1#</w:t>
            </w:r>
          </w:p>
          <w:p w14:paraId="6EF1B5AA">
            <w:pPr>
              <w:pStyle w:val="133"/>
              <w:rPr>
                <w:b/>
                <w:bCs/>
              </w:rPr>
            </w:pPr>
            <w:r>
              <w:rPr>
                <w:b/>
                <w:bCs/>
              </w:rPr>
              <w:t>表层样</w:t>
            </w:r>
            <w:r>
              <w:rPr>
                <w:rFonts w:hint="eastAsia"/>
                <w:b/>
                <w:bCs/>
              </w:rPr>
              <w:t>0.2</w:t>
            </w:r>
            <w:r>
              <w:rPr>
                <w:b/>
                <w:bCs/>
              </w:rPr>
              <w:t>m</w:t>
            </w:r>
          </w:p>
        </w:tc>
        <w:tc>
          <w:tcPr>
            <w:tcW w:w="1295" w:type="pct"/>
            <w:vAlign w:val="center"/>
          </w:tcPr>
          <w:p w14:paraId="49D32335">
            <w:pPr>
              <w:pStyle w:val="133"/>
              <w:rPr>
                <w:b/>
                <w:bCs/>
              </w:rPr>
            </w:pPr>
            <w:r>
              <w:rPr>
                <w:b/>
                <w:bCs/>
              </w:rPr>
              <w:t>厂区内3#</w:t>
            </w:r>
          </w:p>
          <w:p w14:paraId="43FA8A2F">
            <w:pPr>
              <w:pStyle w:val="133"/>
              <w:rPr>
                <w:b/>
                <w:bCs/>
              </w:rPr>
            </w:pPr>
            <w:r>
              <w:rPr>
                <w:b/>
                <w:bCs/>
              </w:rPr>
              <w:t>柱状样0.3m</w:t>
            </w:r>
          </w:p>
        </w:tc>
        <w:tc>
          <w:tcPr>
            <w:tcW w:w="1082" w:type="pct"/>
            <w:vAlign w:val="center"/>
          </w:tcPr>
          <w:p w14:paraId="7D94166C">
            <w:pPr>
              <w:pStyle w:val="133"/>
              <w:rPr>
                <w:b/>
                <w:bCs/>
              </w:rPr>
            </w:pPr>
            <w:r>
              <w:rPr>
                <w:b/>
                <w:bCs/>
              </w:rPr>
              <w:t>第二类用地</w:t>
            </w:r>
          </w:p>
          <w:p w14:paraId="352D15E9">
            <w:pPr>
              <w:pStyle w:val="133"/>
              <w:rPr>
                <w:b/>
                <w:bCs/>
              </w:rPr>
            </w:pPr>
            <w:r>
              <w:rPr>
                <w:b/>
                <w:bCs/>
              </w:rPr>
              <w:t>筛选值</w:t>
            </w:r>
          </w:p>
        </w:tc>
        <w:tc>
          <w:tcPr>
            <w:tcW w:w="486" w:type="pct"/>
            <w:vAlign w:val="center"/>
          </w:tcPr>
          <w:p w14:paraId="1DAE5C0C">
            <w:pPr>
              <w:pStyle w:val="133"/>
              <w:rPr>
                <w:b/>
                <w:bCs/>
              </w:rPr>
            </w:pPr>
            <w:r>
              <w:rPr>
                <w:b/>
                <w:bCs/>
              </w:rPr>
              <w:t>评价</w:t>
            </w:r>
          </w:p>
          <w:p w14:paraId="450DE804">
            <w:pPr>
              <w:pStyle w:val="133"/>
              <w:rPr>
                <w:b/>
                <w:bCs/>
              </w:rPr>
            </w:pPr>
            <w:r>
              <w:rPr>
                <w:b/>
                <w:bCs/>
              </w:rPr>
              <w:t>结果</w:t>
            </w:r>
          </w:p>
        </w:tc>
      </w:tr>
      <w:tr w14:paraId="10086D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7F829D78">
            <w:pPr>
              <w:pStyle w:val="133"/>
            </w:pPr>
            <w:r>
              <w:t>pH值</w:t>
            </w:r>
          </w:p>
        </w:tc>
        <w:tc>
          <w:tcPr>
            <w:tcW w:w="1030" w:type="pct"/>
            <w:vAlign w:val="center"/>
          </w:tcPr>
          <w:p w14:paraId="50E00C70">
            <w:pPr>
              <w:pStyle w:val="133"/>
            </w:pPr>
            <w:r>
              <w:rPr>
                <w:rFonts w:hint="eastAsia"/>
              </w:rPr>
              <w:t>7.98</w:t>
            </w:r>
          </w:p>
        </w:tc>
        <w:tc>
          <w:tcPr>
            <w:tcW w:w="1295" w:type="pct"/>
            <w:vAlign w:val="center"/>
          </w:tcPr>
          <w:p w14:paraId="3E4A0AAA">
            <w:pPr>
              <w:pStyle w:val="133"/>
            </w:pPr>
            <w:r>
              <w:rPr>
                <w:rFonts w:hint="eastAsia"/>
              </w:rPr>
              <w:t>7.94</w:t>
            </w:r>
          </w:p>
        </w:tc>
        <w:tc>
          <w:tcPr>
            <w:tcW w:w="1082" w:type="pct"/>
            <w:vAlign w:val="center"/>
          </w:tcPr>
          <w:p w14:paraId="3987FDC4">
            <w:pPr>
              <w:pStyle w:val="133"/>
            </w:pPr>
            <w:r>
              <w:rPr>
                <w:rFonts w:hint="eastAsia"/>
              </w:rPr>
              <w:t>-</w:t>
            </w:r>
          </w:p>
        </w:tc>
        <w:tc>
          <w:tcPr>
            <w:tcW w:w="486" w:type="pct"/>
            <w:vAlign w:val="center"/>
          </w:tcPr>
          <w:p w14:paraId="311F1229">
            <w:pPr>
              <w:pStyle w:val="133"/>
            </w:pPr>
            <w:r>
              <w:rPr>
                <w:rFonts w:hint="eastAsia"/>
              </w:rPr>
              <w:t>-</w:t>
            </w:r>
          </w:p>
        </w:tc>
      </w:tr>
      <w:tr w14:paraId="0ACA93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2E4DB5B1">
            <w:pPr>
              <w:pStyle w:val="133"/>
            </w:pPr>
            <w:r>
              <w:t>砷</w:t>
            </w:r>
          </w:p>
        </w:tc>
        <w:tc>
          <w:tcPr>
            <w:tcW w:w="1030" w:type="pct"/>
            <w:vAlign w:val="center"/>
          </w:tcPr>
          <w:p w14:paraId="764012D3">
            <w:pPr>
              <w:pStyle w:val="133"/>
            </w:pPr>
            <w:r>
              <w:rPr>
                <w:rFonts w:hint="eastAsia"/>
              </w:rPr>
              <w:t>6.70</w:t>
            </w:r>
          </w:p>
        </w:tc>
        <w:tc>
          <w:tcPr>
            <w:tcW w:w="1295" w:type="pct"/>
            <w:vAlign w:val="center"/>
          </w:tcPr>
          <w:p w14:paraId="131F2C74">
            <w:pPr>
              <w:pStyle w:val="133"/>
            </w:pPr>
            <w:r>
              <w:rPr>
                <w:rFonts w:hint="eastAsia"/>
              </w:rPr>
              <w:t>6.64</w:t>
            </w:r>
          </w:p>
        </w:tc>
        <w:tc>
          <w:tcPr>
            <w:tcW w:w="1082" w:type="pct"/>
            <w:vAlign w:val="center"/>
          </w:tcPr>
          <w:p w14:paraId="2DF92519">
            <w:pPr>
              <w:pStyle w:val="133"/>
            </w:pPr>
            <w:r>
              <w:t>60</w:t>
            </w:r>
          </w:p>
        </w:tc>
        <w:tc>
          <w:tcPr>
            <w:tcW w:w="486" w:type="pct"/>
            <w:vAlign w:val="center"/>
          </w:tcPr>
          <w:p w14:paraId="4A110A72">
            <w:pPr>
              <w:pStyle w:val="133"/>
            </w:pPr>
            <w:r>
              <w:t>达标</w:t>
            </w:r>
          </w:p>
        </w:tc>
      </w:tr>
      <w:tr w14:paraId="5B633F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8897868">
            <w:pPr>
              <w:pStyle w:val="133"/>
            </w:pPr>
            <w:r>
              <w:t>镉</w:t>
            </w:r>
          </w:p>
        </w:tc>
        <w:tc>
          <w:tcPr>
            <w:tcW w:w="1030" w:type="pct"/>
            <w:vAlign w:val="center"/>
          </w:tcPr>
          <w:p w14:paraId="6CDCFEA0">
            <w:pPr>
              <w:pStyle w:val="133"/>
            </w:pPr>
            <w:r>
              <w:rPr>
                <w:rFonts w:hint="eastAsia"/>
              </w:rPr>
              <w:t>0.46</w:t>
            </w:r>
          </w:p>
        </w:tc>
        <w:tc>
          <w:tcPr>
            <w:tcW w:w="1295" w:type="pct"/>
            <w:vAlign w:val="center"/>
          </w:tcPr>
          <w:p w14:paraId="75213FF3">
            <w:pPr>
              <w:pStyle w:val="133"/>
            </w:pPr>
            <w:r>
              <w:rPr>
                <w:rFonts w:hint="eastAsia"/>
              </w:rPr>
              <w:t>0.11</w:t>
            </w:r>
          </w:p>
        </w:tc>
        <w:tc>
          <w:tcPr>
            <w:tcW w:w="1082" w:type="pct"/>
            <w:vAlign w:val="center"/>
          </w:tcPr>
          <w:p w14:paraId="179F48FD">
            <w:pPr>
              <w:pStyle w:val="133"/>
            </w:pPr>
            <w:r>
              <w:t>65</w:t>
            </w:r>
          </w:p>
        </w:tc>
        <w:tc>
          <w:tcPr>
            <w:tcW w:w="486" w:type="pct"/>
            <w:vAlign w:val="center"/>
          </w:tcPr>
          <w:p w14:paraId="54BFC130">
            <w:pPr>
              <w:pStyle w:val="133"/>
            </w:pPr>
            <w:r>
              <w:t>达标</w:t>
            </w:r>
          </w:p>
        </w:tc>
      </w:tr>
      <w:tr w14:paraId="0AED81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099674BB">
            <w:pPr>
              <w:pStyle w:val="133"/>
            </w:pPr>
            <w:r>
              <w:t>铬（六价）</w:t>
            </w:r>
          </w:p>
        </w:tc>
        <w:tc>
          <w:tcPr>
            <w:tcW w:w="1030" w:type="pct"/>
            <w:vAlign w:val="center"/>
          </w:tcPr>
          <w:p w14:paraId="6C08E32D">
            <w:pPr>
              <w:pStyle w:val="133"/>
            </w:pPr>
            <w:r>
              <w:rPr>
                <w:rFonts w:hint="eastAsia"/>
              </w:rPr>
              <w:t>&lt;0.5</w:t>
            </w:r>
          </w:p>
        </w:tc>
        <w:tc>
          <w:tcPr>
            <w:tcW w:w="1295" w:type="pct"/>
            <w:vAlign w:val="center"/>
          </w:tcPr>
          <w:p w14:paraId="2C002CDC">
            <w:pPr>
              <w:pStyle w:val="133"/>
            </w:pPr>
            <w:r>
              <w:rPr>
                <w:rFonts w:hint="eastAsia"/>
              </w:rPr>
              <w:t>&lt;0.5</w:t>
            </w:r>
          </w:p>
        </w:tc>
        <w:tc>
          <w:tcPr>
            <w:tcW w:w="1082" w:type="pct"/>
            <w:vAlign w:val="center"/>
          </w:tcPr>
          <w:p w14:paraId="1DC5C2F9">
            <w:pPr>
              <w:pStyle w:val="133"/>
            </w:pPr>
            <w:r>
              <w:t>5.7</w:t>
            </w:r>
          </w:p>
        </w:tc>
        <w:tc>
          <w:tcPr>
            <w:tcW w:w="486" w:type="pct"/>
            <w:vAlign w:val="center"/>
          </w:tcPr>
          <w:p w14:paraId="46D59622">
            <w:pPr>
              <w:pStyle w:val="133"/>
            </w:pPr>
            <w:r>
              <w:t>达标</w:t>
            </w:r>
          </w:p>
        </w:tc>
      </w:tr>
      <w:tr w14:paraId="7E9771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54967B36">
            <w:pPr>
              <w:pStyle w:val="133"/>
            </w:pPr>
            <w:r>
              <w:t>铜</w:t>
            </w:r>
          </w:p>
        </w:tc>
        <w:tc>
          <w:tcPr>
            <w:tcW w:w="1030" w:type="pct"/>
            <w:vAlign w:val="center"/>
          </w:tcPr>
          <w:p w14:paraId="2C019AC3">
            <w:pPr>
              <w:pStyle w:val="133"/>
            </w:pPr>
            <w:r>
              <w:rPr>
                <w:rFonts w:hint="eastAsia"/>
              </w:rPr>
              <w:t>26</w:t>
            </w:r>
          </w:p>
        </w:tc>
        <w:tc>
          <w:tcPr>
            <w:tcW w:w="1295" w:type="pct"/>
            <w:vAlign w:val="center"/>
          </w:tcPr>
          <w:p w14:paraId="549B0401">
            <w:pPr>
              <w:pStyle w:val="133"/>
            </w:pPr>
            <w:r>
              <w:rPr>
                <w:rFonts w:hint="eastAsia"/>
              </w:rPr>
              <w:t>16</w:t>
            </w:r>
          </w:p>
        </w:tc>
        <w:tc>
          <w:tcPr>
            <w:tcW w:w="1082" w:type="pct"/>
            <w:vAlign w:val="center"/>
          </w:tcPr>
          <w:p w14:paraId="59F57A0C">
            <w:pPr>
              <w:pStyle w:val="133"/>
            </w:pPr>
            <w:r>
              <w:t>18000</w:t>
            </w:r>
          </w:p>
        </w:tc>
        <w:tc>
          <w:tcPr>
            <w:tcW w:w="486" w:type="pct"/>
            <w:vAlign w:val="center"/>
          </w:tcPr>
          <w:p w14:paraId="3957F67A">
            <w:pPr>
              <w:pStyle w:val="133"/>
            </w:pPr>
            <w:r>
              <w:t>达标</w:t>
            </w:r>
          </w:p>
        </w:tc>
      </w:tr>
      <w:tr w14:paraId="47186C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2DD906F">
            <w:pPr>
              <w:pStyle w:val="133"/>
            </w:pPr>
            <w:r>
              <w:t>铅</w:t>
            </w:r>
          </w:p>
        </w:tc>
        <w:tc>
          <w:tcPr>
            <w:tcW w:w="1030" w:type="pct"/>
            <w:vAlign w:val="center"/>
          </w:tcPr>
          <w:p w14:paraId="58FAB815">
            <w:pPr>
              <w:pStyle w:val="133"/>
            </w:pPr>
            <w:r>
              <w:rPr>
                <w:rFonts w:hint="eastAsia"/>
              </w:rPr>
              <w:t>26.3</w:t>
            </w:r>
          </w:p>
        </w:tc>
        <w:tc>
          <w:tcPr>
            <w:tcW w:w="1295" w:type="pct"/>
            <w:vAlign w:val="center"/>
          </w:tcPr>
          <w:p w14:paraId="2574DB97">
            <w:pPr>
              <w:pStyle w:val="133"/>
            </w:pPr>
            <w:r>
              <w:rPr>
                <w:rFonts w:hint="eastAsia"/>
              </w:rPr>
              <w:t>12.3</w:t>
            </w:r>
          </w:p>
        </w:tc>
        <w:tc>
          <w:tcPr>
            <w:tcW w:w="1082" w:type="pct"/>
            <w:vAlign w:val="center"/>
          </w:tcPr>
          <w:p w14:paraId="0F190128">
            <w:pPr>
              <w:pStyle w:val="133"/>
            </w:pPr>
            <w:r>
              <w:t>800</w:t>
            </w:r>
          </w:p>
        </w:tc>
        <w:tc>
          <w:tcPr>
            <w:tcW w:w="486" w:type="pct"/>
            <w:vAlign w:val="center"/>
          </w:tcPr>
          <w:p w14:paraId="4D4E1214">
            <w:pPr>
              <w:pStyle w:val="133"/>
            </w:pPr>
            <w:r>
              <w:t>达标</w:t>
            </w:r>
          </w:p>
        </w:tc>
      </w:tr>
      <w:tr w14:paraId="207BB8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0EF7C4F7">
            <w:pPr>
              <w:pStyle w:val="133"/>
            </w:pPr>
            <w:r>
              <w:t>汞</w:t>
            </w:r>
          </w:p>
        </w:tc>
        <w:tc>
          <w:tcPr>
            <w:tcW w:w="1030" w:type="pct"/>
            <w:vAlign w:val="center"/>
          </w:tcPr>
          <w:p w14:paraId="524BEEF4">
            <w:pPr>
              <w:pStyle w:val="133"/>
            </w:pPr>
            <w:r>
              <w:rPr>
                <w:rFonts w:hint="eastAsia"/>
              </w:rPr>
              <w:t>0.224</w:t>
            </w:r>
          </w:p>
        </w:tc>
        <w:tc>
          <w:tcPr>
            <w:tcW w:w="1295" w:type="pct"/>
            <w:vAlign w:val="center"/>
          </w:tcPr>
          <w:p w14:paraId="461ADB76">
            <w:pPr>
              <w:pStyle w:val="133"/>
            </w:pPr>
            <w:r>
              <w:rPr>
                <w:rFonts w:hint="eastAsia"/>
              </w:rPr>
              <w:t>0.033</w:t>
            </w:r>
          </w:p>
        </w:tc>
        <w:tc>
          <w:tcPr>
            <w:tcW w:w="1082" w:type="pct"/>
            <w:vAlign w:val="center"/>
          </w:tcPr>
          <w:p w14:paraId="0F620906">
            <w:pPr>
              <w:pStyle w:val="133"/>
            </w:pPr>
            <w:r>
              <w:t>38</w:t>
            </w:r>
          </w:p>
        </w:tc>
        <w:tc>
          <w:tcPr>
            <w:tcW w:w="486" w:type="pct"/>
            <w:vAlign w:val="center"/>
          </w:tcPr>
          <w:p w14:paraId="3F00E5C6">
            <w:pPr>
              <w:pStyle w:val="133"/>
            </w:pPr>
            <w:r>
              <w:t>达标</w:t>
            </w:r>
          </w:p>
        </w:tc>
      </w:tr>
      <w:tr w14:paraId="608974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455EB265">
            <w:pPr>
              <w:pStyle w:val="133"/>
            </w:pPr>
            <w:r>
              <w:t>镍</w:t>
            </w:r>
          </w:p>
        </w:tc>
        <w:tc>
          <w:tcPr>
            <w:tcW w:w="1030" w:type="pct"/>
            <w:vAlign w:val="center"/>
          </w:tcPr>
          <w:p w14:paraId="5CEE9825">
            <w:pPr>
              <w:pStyle w:val="133"/>
            </w:pPr>
            <w:r>
              <w:rPr>
                <w:rFonts w:hint="eastAsia"/>
              </w:rPr>
              <w:t>20</w:t>
            </w:r>
          </w:p>
        </w:tc>
        <w:tc>
          <w:tcPr>
            <w:tcW w:w="1295" w:type="pct"/>
            <w:vAlign w:val="center"/>
          </w:tcPr>
          <w:p w14:paraId="484F99E9">
            <w:pPr>
              <w:pStyle w:val="133"/>
            </w:pPr>
            <w:r>
              <w:rPr>
                <w:rFonts w:hint="eastAsia"/>
              </w:rPr>
              <w:t>13</w:t>
            </w:r>
          </w:p>
        </w:tc>
        <w:tc>
          <w:tcPr>
            <w:tcW w:w="1082" w:type="pct"/>
            <w:vAlign w:val="center"/>
          </w:tcPr>
          <w:p w14:paraId="30D04AA6">
            <w:pPr>
              <w:pStyle w:val="133"/>
            </w:pPr>
            <w:r>
              <w:t>900</w:t>
            </w:r>
          </w:p>
        </w:tc>
        <w:tc>
          <w:tcPr>
            <w:tcW w:w="486" w:type="pct"/>
            <w:vAlign w:val="center"/>
          </w:tcPr>
          <w:p w14:paraId="41CC9553">
            <w:pPr>
              <w:pStyle w:val="133"/>
            </w:pPr>
            <w:r>
              <w:t>达标</w:t>
            </w:r>
          </w:p>
        </w:tc>
      </w:tr>
      <w:tr w14:paraId="34D5EF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455D2E1">
            <w:pPr>
              <w:pStyle w:val="133"/>
            </w:pPr>
            <w:r>
              <w:t>四氯化碳</w:t>
            </w:r>
          </w:p>
        </w:tc>
        <w:tc>
          <w:tcPr>
            <w:tcW w:w="1030" w:type="pct"/>
            <w:vAlign w:val="center"/>
          </w:tcPr>
          <w:p w14:paraId="3B87ADDF">
            <w:pPr>
              <w:pStyle w:val="133"/>
            </w:pPr>
            <w:r>
              <w:rPr>
                <w:rFonts w:hint="eastAsia"/>
              </w:rPr>
              <w:t>&lt;</w:t>
            </w:r>
            <w:r>
              <w:t>0.00</w:t>
            </w:r>
            <w:r>
              <w:rPr>
                <w:rFonts w:hint="eastAsia"/>
              </w:rPr>
              <w:t>21</w:t>
            </w:r>
          </w:p>
        </w:tc>
        <w:tc>
          <w:tcPr>
            <w:tcW w:w="1295" w:type="pct"/>
            <w:vAlign w:val="center"/>
          </w:tcPr>
          <w:p w14:paraId="5F261D53">
            <w:pPr>
              <w:pStyle w:val="133"/>
            </w:pPr>
            <w:r>
              <w:rPr>
                <w:rFonts w:hint="eastAsia"/>
              </w:rPr>
              <w:t>&lt;</w:t>
            </w:r>
            <w:r>
              <w:t>0.00</w:t>
            </w:r>
            <w:r>
              <w:rPr>
                <w:rFonts w:hint="eastAsia"/>
              </w:rPr>
              <w:t>21</w:t>
            </w:r>
          </w:p>
        </w:tc>
        <w:tc>
          <w:tcPr>
            <w:tcW w:w="1082" w:type="pct"/>
            <w:vAlign w:val="center"/>
          </w:tcPr>
          <w:p w14:paraId="543FE6C6">
            <w:pPr>
              <w:pStyle w:val="133"/>
            </w:pPr>
            <w:r>
              <w:t>2.8</w:t>
            </w:r>
          </w:p>
        </w:tc>
        <w:tc>
          <w:tcPr>
            <w:tcW w:w="486" w:type="pct"/>
            <w:vAlign w:val="center"/>
          </w:tcPr>
          <w:p w14:paraId="328509CE">
            <w:pPr>
              <w:pStyle w:val="133"/>
            </w:pPr>
            <w:r>
              <w:t>达标</w:t>
            </w:r>
          </w:p>
        </w:tc>
      </w:tr>
      <w:tr w14:paraId="004FC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0E4F8018">
            <w:pPr>
              <w:pStyle w:val="133"/>
            </w:pPr>
            <w:r>
              <w:t>氯仿</w:t>
            </w:r>
          </w:p>
        </w:tc>
        <w:tc>
          <w:tcPr>
            <w:tcW w:w="1030" w:type="pct"/>
            <w:vAlign w:val="center"/>
          </w:tcPr>
          <w:p w14:paraId="1AF1DB7C">
            <w:pPr>
              <w:pStyle w:val="133"/>
            </w:pPr>
            <w:r>
              <w:rPr>
                <w:rFonts w:hint="eastAsia"/>
              </w:rPr>
              <w:t>&lt;</w:t>
            </w:r>
            <w:r>
              <w:t>0.001</w:t>
            </w:r>
            <w:r>
              <w:rPr>
                <w:rFonts w:hint="eastAsia"/>
              </w:rPr>
              <w:t>5</w:t>
            </w:r>
          </w:p>
        </w:tc>
        <w:tc>
          <w:tcPr>
            <w:tcW w:w="1295" w:type="pct"/>
            <w:vAlign w:val="center"/>
          </w:tcPr>
          <w:p w14:paraId="4B7DD174">
            <w:pPr>
              <w:pStyle w:val="133"/>
            </w:pPr>
            <w:r>
              <w:rPr>
                <w:rFonts w:hint="eastAsia"/>
              </w:rPr>
              <w:t>&lt;</w:t>
            </w:r>
            <w:r>
              <w:t>0.001</w:t>
            </w:r>
            <w:r>
              <w:rPr>
                <w:rFonts w:hint="eastAsia"/>
              </w:rPr>
              <w:t>5</w:t>
            </w:r>
          </w:p>
        </w:tc>
        <w:tc>
          <w:tcPr>
            <w:tcW w:w="1082" w:type="pct"/>
            <w:vAlign w:val="center"/>
          </w:tcPr>
          <w:p w14:paraId="34D92BD4">
            <w:pPr>
              <w:pStyle w:val="133"/>
            </w:pPr>
            <w:r>
              <w:t>0.9</w:t>
            </w:r>
          </w:p>
        </w:tc>
        <w:tc>
          <w:tcPr>
            <w:tcW w:w="486" w:type="pct"/>
            <w:vAlign w:val="center"/>
          </w:tcPr>
          <w:p w14:paraId="0A7331F2">
            <w:pPr>
              <w:pStyle w:val="133"/>
            </w:pPr>
            <w:r>
              <w:t>达标</w:t>
            </w:r>
          </w:p>
        </w:tc>
      </w:tr>
      <w:tr w14:paraId="1B391B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0EA40836">
            <w:pPr>
              <w:pStyle w:val="133"/>
            </w:pPr>
            <w:r>
              <w:t>氯甲烷</w:t>
            </w:r>
          </w:p>
        </w:tc>
        <w:tc>
          <w:tcPr>
            <w:tcW w:w="1030" w:type="pct"/>
            <w:vAlign w:val="center"/>
          </w:tcPr>
          <w:p w14:paraId="45DBB8A4">
            <w:pPr>
              <w:pStyle w:val="133"/>
            </w:pPr>
            <w:r>
              <w:rPr>
                <w:rFonts w:hint="eastAsia"/>
              </w:rPr>
              <w:t>&lt;</w:t>
            </w:r>
            <w:r>
              <w:t>0.00</w:t>
            </w:r>
            <w:r>
              <w:rPr>
                <w:rFonts w:hint="eastAsia"/>
              </w:rPr>
              <w:t>3</w:t>
            </w:r>
          </w:p>
        </w:tc>
        <w:tc>
          <w:tcPr>
            <w:tcW w:w="1295" w:type="pct"/>
            <w:vAlign w:val="center"/>
          </w:tcPr>
          <w:p w14:paraId="19473631">
            <w:pPr>
              <w:pStyle w:val="133"/>
            </w:pPr>
            <w:r>
              <w:rPr>
                <w:rFonts w:hint="eastAsia"/>
              </w:rPr>
              <w:t>&lt;</w:t>
            </w:r>
            <w:r>
              <w:t>0.00</w:t>
            </w:r>
            <w:r>
              <w:rPr>
                <w:rFonts w:hint="eastAsia"/>
              </w:rPr>
              <w:t>3</w:t>
            </w:r>
          </w:p>
        </w:tc>
        <w:tc>
          <w:tcPr>
            <w:tcW w:w="1082" w:type="pct"/>
            <w:vAlign w:val="center"/>
          </w:tcPr>
          <w:p w14:paraId="5BF6ADD9">
            <w:pPr>
              <w:pStyle w:val="133"/>
            </w:pPr>
            <w:r>
              <w:t>37</w:t>
            </w:r>
          </w:p>
        </w:tc>
        <w:tc>
          <w:tcPr>
            <w:tcW w:w="486" w:type="pct"/>
            <w:vAlign w:val="center"/>
          </w:tcPr>
          <w:p w14:paraId="21783294">
            <w:pPr>
              <w:pStyle w:val="133"/>
            </w:pPr>
            <w:r>
              <w:t>达标</w:t>
            </w:r>
          </w:p>
        </w:tc>
      </w:tr>
      <w:tr w14:paraId="121A2D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78F21E5A">
            <w:pPr>
              <w:pStyle w:val="133"/>
            </w:pPr>
            <w:r>
              <w:t>1,1-二氯乙烷</w:t>
            </w:r>
          </w:p>
        </w:tc>
        <w:tc>
          <w:tcPr>
            <w:tcW w:w="1030" w:type="pct"/>
            <w:vAlign w:val="center"/>
          </w:tcPr>
          <w:p w14:paraId="7B83642B">
            <w:pPr>
              <w:pStyle w:val="133"/>
            </w:pPr>
            <w:r>
              <w:rPr>
                <w:rFonts w:hint="eastAsia"/>
              </w:rPr>
              <w:t>&lt;</w:t>
            </w:r>
            <w:r>
              <w:t>0.001</w:t>
            </w:r>
            <w:r>
              <w:rPr>
                <w:rFonts w:hint="eastAsia"/>
              </w:rPr>
              <w:t>3</w:t>
            </w:r>
          </w:p>
        </w:tc>
        <w:tc>
          <w:tcPr>
            <w:tcW w:w="1295" w:type="pct"/>
            <w:vAlign w:val="center"/>
          </w:tcPr>
          <w:p w14:paraId="7AA6C106">
            <w:pPr>
              <w:pStyle w:val="133"/>
            </w:pPr>
            <w:r>
              <w:rPr>
                <w:rFonts w:hint="eastAsia"/>
              </w:rPr>
              <w:t>&lt;</w:t>
            </w:r>
            <w:r>
              <w:t>0.001</w:t>
            </w:r>
            <w:r>
              <w:rPr>
                <w:rFonts w:hint="eastAsia"/>
              </w:rPr>
              <w:t>3</w:t>
            </w:r>
          </w:p>
        </w:tc>
        <w:tc>
          <w:tcPr>
            <w:tcW w:w="1082" w:type="pct"/>
            <w:vAlign w:val="center"/>
          </w:tcPr>
          <w:p w14:paraId="6A4809AC">
            <w:pPr>
              <w:pStyle w:val="133"/>
            </w:pPr>
            <w:r>
              <w:t>9</w:t>
            </w:r>
          </w:p>
        </w:tc>
        <w:tc>
          <w:tcPr>
            <w:tcW w:w="486" w:type="pct"/>
            <w:vAlign w:val="center"/>
          </w:tcPr>
          <w:p w14:paraId="68A80D7C">
            <w:pPr>
              <w:pStyle w:val="133"/>
            </w:pPr>
            <w:r>
              <w:t>达标</w:t>
            </w:r>
          </w:p>
        </w:tc>
      </w:tr>
      <w:tr w14:paraId="5CCCA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1509771">
            <w:pPr>
              <w:pStyle w:val="133"/>
            </w:pPr>
            <w:r>
              <w:t>1,2-二氯乙烷</w:t>
            </w:r>
          </w:p>
        </w:tc>
        <w:tc>
          <w:tcPr>
            <w:tcW w:w="1030" w:type="pct"/>
            <w:vAlign w:val="center"/>
          </w:tcPr>
          <w:p w14:paraId="5BCE7AE7">
            <w:pPr>
              <w:pStyle w:val="133"/>
            </w:pPr>
            <w:r>
              <w:rPr>
                <w:rFonts w:hint="eastAsia"/>
              </w:rPr>
              <w:t>&lt;</w:t>
            </w:r>
            <w:r>
              <w:t>0.001</w:t>
            </w:r>
            <w:r>
              <w:rPr>
                <w:rFonts w:hint="eastAsia"/>
              </w:rPr>
              <w:t>6</w:t>
            </w:r>
          </w:p>
        </w:tc>
        <w:tc>
          <w:tcPr>
            <w:tcW w:w="1295" w:type="pct"/>
            <w:vAlign w:val="center"/>
          </w:tcPr>
          <w:p w14:paraId="1B4DDA3E">
            <w:pPr>
              <w:pStyle w:val="133"/>
            </w:pPr>
            <w:r>
              <w:rPr>
                <w:rFonts w:hint="eastAsia"/>
              </w:rPr>
              <w:t>&lt;</w:t>
            </w:r>
            <w:r>
              <w:t>0.001</w:t>
            </w:r>
            <w:r>
              <w:rPr>
                <w:rFonts w:hint="eastAsia"/>
              </w:rPr>
              <w:t>6</w:t>
            </w:r>
          </w:p>
        </w:tc>
        <w:tc>
          <w:tcPr>
            <w:tcW w:w="1082" w:type="pct"/>
            <w:vAlign w:val="center"/>
          </w:tcPr>
          <w:p w14:paraId="14BA4CB3">
            <w:pPr>
              <w:pStyle w:val="133"/>
            </w:pPr>
            <w:r>
              <w:t>5</w:t>
            </w:r>
          </w:p>
        </w:tc>
        <w:tc>
          <w:tcPr>
            <w:tcW w:w="486" w:type="pct"/>
            <w:vAlign w:val="center"/>
          </w:tcPr>
          <w:p w14:paraId="4A1D3024">
            <w:pPr>
              <w:pStyle w:val="133"/>
            </w:pPr>
            <w:r>
              <w:t>达标</w:t>
            </w:r>
          </w:p>
        </w:tc>
      </w:tr>
      <w:tr w14:paraId="329EC0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327C2943">
            <w:pPr>
              <w:pStyle w:val="133"/>
            </w:pPr>
            <w:r>
              <w:t>1,1-二氯乙烯</w:t>
            </w:r>
          </w:p>
        </w:tc>
        <w:tc>
          <w:tcPr>
            <w:tcW w:w="1030" w:type="pct"/>
            <w:vAlign w:val="center"/>
          </w:tcPr>
          <w:p w14:paraId="6047B506">
            <w:pPr>
              <w:pStyle w:val="133"/>
            </w:pPr>
            <w:r>
              <w:rPr>
                <w:rFonts w:hint="eastAsia"/>
              </w:rPr>
              <w:t>&lt;</w:t>
            </w:r>
            <w:r>
              <w:t>0.00</w:t>
            </w:r>
            <w:r>
              <w:rPr>
                <w:rFonts w:hint="eastAsia"/>
              </w:rPr>
              <w:t>08</w:t>
            </w:r>
          </w:p>
        </w:tc>
        <w:tc>
          <w:tcPr>
            <w:tcW w:w="1295" w:type="pct"/>
            <w:vAlign w:val="center"/>
          </w:tcPr>
          <w:p w14:paraId="39F87E2C">
            <w:pPr>
              <w:pStyle w:val="133"/>
            </w:pPr>
            <w:r>
              <w:rPr>
                <w:rFonts w:hint="eastAsia"/>
              </w:rPr>
              <w:t>&lt;</w:t>
            </w:r>
            <w:r>
              <w:t>0.00</w:t>
            </w:r>
            <w:r>
              <w:rPr>
                <w:rFonts w:hint="eastAsia"/>
              </w:rPr>
              <w:t>08</w:t>
            </w:r>
          </w:p>
        </w:tc>
        <w:tc>
          <w:tcPr>
            <w:tcW w:w="1082" w:type="pct"/>
            <w:vAlign w:val="center"/>
          </w:tcPr>
          <w:p w14:paraId="0D0D3368">
            <w:pPr>
              <w:pStyle w:val="133"/>
            </w:pPr>
            <w:r>
              <w:t>66</w:t>
            </w:r>
          </w:p>
        </w:tc>
        <w:tc>
          <w:tcPr>
            <w:tcW w:w="486" w:type="pct"/>
            <w:vAlign w:val="center"/>
          </w:tcPr>
          <w:p w14:paraId="4E79D2F4">
            <w:pPr>
              <w:pStyle w:val="133"/>
            </w:pPr>
            <w:r>
              <w:t>达标</w:t>
            </w:r>
          </w:p>
        </w:tc>
      </w:tr>
      <w:tr w14:paraId="226CB1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0F5EAEC3">
            <w:pPr>
              <w:pStyle w:val="133"/>
            </w:pPr>
            <w:r>
              <w:t>顺-1,2-二氯乙烯</w:t>
            </w:r>
          </w:p>
        </w:tc>
        <w:tc>
          <w:tcPr>
            <w:tcW w:w="1030" w:type="pct"/>
            <w:vAlign w:val="center"/>
          </w:tcPr>
          <w:p w14:paraId="3E632430">
            <w:pPr>
              <w:pStyle w:val="133"/>
            </w:pPr>
            <w:r>
              <w:rPr>
                <w:rFonts w:hint="eastAsia"/>
              </w:rPr>
              <w:t>&lt;</w:t>
            </w:r>
            <w:r>
              <w:t>0.00</w:t>
            </w:r>
            <w:r>
              <w:rPr>
                <w:rFonts w:hint="eastAsia"/>
              </w:rPr>
              <w:t>09</w:t>
            </w:r>
          </w:p>
        </w:tc>
        <w:tc>
          <w:tcPr>
            <w:tcW w:w="1295" w:type="pct"/>
            <w:vAlign w:val="center"/>
          </w:tcPr>
          <w:p w14:paraId="7C702BDC">
            <w:pPr>
              <w:pStyle w:val="133"/>
            </w:pPr>
            <w:r>
              <w:rPr>
                <w:rFonts w:hint="eastAsia"/>
              </w:rPr>
              <w:t>&lt;</w:t>
            </w:r>
            <w:r>
              <w:t>0.00</w:t>
            </w:r>
            <w:r>
              <w:rPr>
                <w:rFonts w:hint="eastAsia"/>
              </w:rPr>
              <w:t>09</w:t>
            </w:r>
          </w:p>
        </w:tc>
        <w:tc>
          <w:tcPr>
            <w:tcW w:w="1082" w:type="pct"/>
            <w:vAlign w:val="center"/>
          </w:tcPr>
          <w:p w14:paraId="764FA2BC">
            <w:pPr>
              <w:pStyle w:val="133"/>
            </w:pPr>
            <w:r>
              <w:t>596</w:t>
            </w:r>
          </w:p>
        </w:tc>
        <w:tc>
          <w:tcPr>
            <w:tcW w:w="486" w:type="pct"/>
            <w:vAlign w:val="center"/>
          </w:tcPr>
          <w:p w14:paraId="68230466">
            <w:pPr>
              <w:pStyle w:val="133"/>
            </w:pPr>
            <w:r>
              <w:t>达标</w:t>
            </w:r>
          </w:p>
        </w:tc>
      </w:tr>
      <w:tr w14:paraId="392F0C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3EF0724E">
            <w:pPr>
              <w:pStyle w:val="133"/>
            </w:pPr>
            <w:r>
              <w:t>反-1,2-二氯乙烯</w:t>
            </w:r>
          </w:p>
        </w:tc>
        <w:tc>
          <w:tcPr>
            <w:tcW w:w="1030" w:type="pct"/>
            <w:vAlign w:val="center"/>
          </w:tcPr>
          <w:p w14:paraId="295E0051">
            <w:pPr>
              <w:pStyle w:val="133"/>
            </w:pPr>
            <w:r>
              <w:rPr>
                <w:rFonts w:hint="eastAsia"/>
              </w:rPr>
              <w:t>&lt;</w:t>
            </w:r>
            <w:r>
              <w:t>0.00</w:t>
            </w:r>
            <w:r>
              <w:rPr>
                <w:rFonts w:hint="eastAsia"/>
              </w:rPr>
              <w:t>09</w:t>
            </w:r>
          </w:p>
        </w:tc>
        <w:tc>
          <w:tcPr>
            <w:tcW w:w="1295" w:type="pct"/>
            <w:vAlign w:val="center"/>
          </w:tcPr>
          <w:p w14:paraId="163EDF12">
            <w:pPr>
              <w:pStyle w:val="133"/>
            </w:pPr>
            <w:r>
              <w:rPr>
                <w:rFonts w:hint="eastAsia"/>
              </w:rPr>
              <w:t>&lt;</w:t>
            </w:r>
            <w:r>
              <w:t>0.00</w:t>
            </w:r>
            <w:r>
              <w:rPr>
                <w:rFonts w:hint="eastAsia"/>
              </w:rPr>
              <w:t>09</w:t>
            </w:r>
          </w:p>
        </w:tc>
        <w:tc>
          <w:tcPr>
            <w:tcW w:w="1082" w:type="pct"/>
            <w:vAlign w:val="center"/>
          </w:tcPr>
          <w:p w14:paraId="05007F7F">
            <w:pPr>
              <w:pStyle w:val="133"/>
            </w:pPr>
            <w:r>
              <w:t>54</w:t>
            </w:r>
          </w:p>
        </w:tc>
        <w:tc>
          <w:tcPr>
            <w:tcW w:w="486" w:type="pct"/>
            <w:vAlign w:val="center"/>
          </w:tcPr>
          <w:p w14:paraId="7F27E953">
            <w:pPr>
              <w:pStyle w:val="133"/>
            </w:pPr>
            <w:r>
              <w:t>达标</w:t>
            </w:r>
          </w:p>
        </w:tc>
      </w:tr>
      <w:tr w14:paraId="3F957E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5CF46595">
            <w:pPr>
              <w:pStyle w:val="133"/>
            </w:pPr>
            <w:r>
              <w:t>二氯甲烷</w:t>
            </w:r>
          </w:p>
        </w:tc>
        <w:tc>
          <w:tcPr>
            <w:tcW w:w="1030" w:type="pct"/>
            <w:vAlign w:val="center"/>
          </w:tcPr>
          <w:p w14:paraId="26E9E989">
            <w:pPr>
              <w:pStyle w:val="133"/>
            </w:pPr>
            <w:r>
              <w:rPr>
                <w:rFonts w:hint="eastAsia"/>
              </w:rPr>
              <w:t>&lt;</w:t>
            </w:r>
            <w:r>
              <w:t>0.00</w:t>
            </w:r>
            <w:r>
              <w:rPr>
                <w:rFonts w:hint="eastAsia"/>
              </w:rPr>
              <w:t>26</w:t>
            </w:r>
          </w:p>
        </w:tc>
        <w:tc>
          <w:tcPr>
            <w:tcW w:w="1295" w:type="pct"/>
            <w:vAlign w:val="center"/>
          </w:tcPr>
          <w:p w14:paraId="76B0EF87">
            <w:pPr>
              <w:pStyle w:val="133"/>
            </w:pPr>
            <w:r>
              <w:rPr>
                <w:rFonts w:hint="eastAsia"/>
              </w:rPr>
              <w:t>&lt;</w:t>
            </w:r>
            <w:r>
              <w:t>0.00</w:t>
            </w:r>
            <w:r>
              <w:rPr>
                <w:rFonts w:hint="eastAsia"/>
              </w:rPr>
              <w:t>26</w:t>
            </w:r>
          </w:p>
        </w:tc>
        <w:tc>
          <w:tcPr>
            <w:tcW w:w="1082" w:type="pct"/>
            <w:vAlign w:val="center"/>
          </w:tcPr>
          <w:p w14:paraId="7CE2082C">
            <w:pPr>
              <w:pStyle w:val="133"/>
            </w:pPr>
            <w:r>
              <w:t>616</w:t>
            </w:r>
          </w:p>
        </w:tc>
        <w:tc>
          <w:tcPr>
            <w:tcW w:w="486" w:type="pct"/>
            <w:vAlign w:val="center"/>
          </w:tcPr>
          <w:p w14:paraId="06608330">
            <w:pPr>
              <w:pStyle w:val="133"/>
            </w:pPr>
            <w:r>
              <w:t>达标</w:t>
            </w:r>
          </w:p>
        </w:tc>
      </w:tr>
      <w:tr w14:paraId="24F146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65100E0E">
            <w:pPr>
              <w:pStyle w:val="133"/>
            </w:pPr>
            <w:r>
              <w:t>1,2-二氯丙烷</w:t>
            </w:r>
          </w:p>
        </w:tc>
        <w:tc>
          <w:tcPr>
            <w:tcW w:w="1030" w:type="pct"/>
            <w:vAlign w:val="center"/>
          </w:tcPr>
          <w:p w14:paraId="33F82E8A">
            <w:pPr>
              <w:pStyle w:val="133"/>
            </w:pPr>
            <w:r>
              <w:rPr>
                <w:rFonts w:hint="eastAsia"/>
              </w:rPr>
              <w:t>&lt;</w:t>
            </w:r>
            <w:r>
              <w:t>0.001</w:t>
            </w:r>
            <w:r>
              <w:rPr>
                <w:rFonts w:hint="eastAsia"/>
              </w:rPr>
              <w:t>9</w:t>
            </w:r>
          </w:p>
        </w:tc>
        <w:tc>
          <w:tcPr>
            <w:tcW w:w="1295" w:type="pct"/>
            <w:vAlign w:val="center"/>
          </w:tcPr>
          <w:p w14:paraId="531E3CD9">
            <w:pPr>
              <w:pStyle w:val="133"/>
            </w:pPr>
            <w:r>
              <w:rPr>
                <w:rFonts w:hint="eastAsia"/>
              </w:rPr>
              <w:t>&lt;</w:t>
            </w:r>
            <w:r>
              <w:t>0.001</w:t>
            </w:r>
            <w:r>
              <w:rPr>
                <w:rFonts w:hint="eastAsia"/>
              </w:rPr>
              <w:t>9</w:t>
            </w:r>
          </w:p>
        </w:tc>
        <w:tc>
          <w:tcPr>
            <w:tcW w:w="1082" w:type="pct"/>
            <w:vAlign w:val="center"/>
          </w:tcPr>
          <w:p w14:paraId="4A112D12">
            <w:pPr>
              <w:pStyle w:val="133"/>
            </w:pPr>
            <w:r>
              <w:t>5</w:t>
            </w:r>
          </w:p>
        </w:tc>
        <w:tc>
          <w:tcPr>
            <w:tcW w:w="486" w:type="pct"/>
            <w:vAlign w:val="center"/>
          </w:tcPr>
          <w:p w14:paraId="0FFAD605">
            <w:pPr>
              <w:pStyle w:val="133"/>
            </w:pPr>
            <w:r>
              <w:t>达标</w:t>
            </w:r>
          </w:p>
        </w:tc>
      </w:tr>
      <w:tr w14:paraId="344074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57277772">
            <w:pPr>
              <w:pStyle w:val="133"/>
            </w:pPr>
            <w:r>
              <w:t>1,1,1,2-四氯乙烷</w:t>
            </w:r>
          </w:p>
        </w:tc>
        <w:tc>
          <w:tcPr>
            <w:tcW w:w="1030" w:type="pct"/>
            <w:vAlign w:val="center"/>
          </w:tcPr>
          <w:p w14:paraId="201E44EE">
            <w:pPr>
              <w:pStyle w:val="133"/>
            </w:pPr>
            <w:r>
              <w:rPr>
                <w:rFonts w:hint="eastAsia"/>
              </w:rPr>
              <w:t>&lt;</w:t>
            </w:r>
            <w:r>
              <w:t>0.001</w:t>
            </w:r>
          </w:p>
        </w:tc>
        <w:tc>
          <w:tcPr>
            <w:tcW w:w="1295" w:type="pct"/>
            <w:vAlign w:val="center"/>
          </w:tcPr>
          <w:p w14:paraId="4447233F">
            <w:pPr>
              <w:pStyle w:val="133"/>
            </w:pPr>
            <w:r>
              <w:rPr>
                <w:rFonts w:hint="eastAsia"/>
              </w:rPr>
              <w:t>&lt;</w:t>
            </w:r>
            <w:r>
              <w:t>0.001</w:t>
            </w:r>
          </w:p>
        </w:tc>
        <w:tc>
          <w:tcPr>
            <w:tcW w:w="1082" w:type="pct"/>
            <w:vAlign w:val="center"/>
          </w:tcPr>
          <w:p w14:paraId="781FF7FB">
            <w:pPr>
              <w:pStyle w:val="133"/>
            </w:pPr>
            <w:r>
              <w:t>10</w:t>
            </w:r>
          </w:p>
        </w:tc>
        <w:tc>
          <w:tcPr>
            <w:tcW w:w="486" w:type="pct"/>
            <w:vAlign w:val="center"/>
          </w:tcPr>
          <w:p w14:paraId="7D795F0D">
            <w:pPr>
              <w:pStyle w:val="133"/>
            </w:pPr>
            <w:r>
              <w:t>达标</w:t>
            </w:r>
          </w:p>
        </w:tc>
      </w:tr>
      <w:tr w14:paraId="04845B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27B3D9F3">
            <w:pPr>
              <w:pStyle w:val="133"/>
            </w:pPr>
            <w:r>
              <w:t>1,1,2,2-四氯乙烷</w:t>
            </w:r>
          </w:p>
        </w:tc>
        <w:tc>
          <w:tcPr>
            <w:tcW w:w="1030" w:type="pct"/>
            <w:vAlign w:val="center"/>
          </w:tcPr>
          <w:p w14:paraId="39BD0F74">
            <w:pPr>
              <w:pStyle w:val="133"/>
            </w:pPr>
            <w:r>
              <w:rPr>
                <w:rFonts w:hint="eastAsia"/>
              </w:rPr>
              <w:t>&lt;</w:t>
            </w:r>
            <w:r>
              <w:t>0.001</w:t>
            </w:r>
          </w:p>
        </w:tc>
        <w:tc>
          <w:tcPr>
            <w:tcW w:w="1295" w:type="pct"/>
            <w:vAlign w:val="center"/>
          </w:tcPr>
          <w:p w14:paraId="25069641">
            <w:pPr>
              <w:pStyle w:val="133"/>
            </w:pPr>
            <w:r>
              <w:rPr>
                <w:rFonts w:hint="eastAsia"/>
              </w:rPr>
              <w:t>&lt;</w:t>
            </w:r>
            <w:r>
              <w:t>0.001</w:t>
            </w:r>
          </w:p>
        </w:tc>
        <w:tc>
          <w:tcPr>
            <w:tcW w:w="1082" w:type="pct"/>
            <w:vAlign w:val="center"/>
          </w:tcPr>
          <w:p w14:paraId="08BF0F89">
            <w:pPr>
              <w:pStyle w:val="133"/>
            </w:pPr>
            <w:r>
              <w:t>6.8</w:t>
            </w:r>
          </w:p>
        </w:tc>
        <w:tc>
          <w:tcPr>
            <w:tcW w:w="486" w:type="pct"/>
            <w:vAlign w:val="center"/>
          </w:tcPr>
          <w:p w14:paraId="24C3BF08">
            <w:pPr>
              <w:pStyle w:val="133"/>
            </w:pPr>
            <w:r>
              <w:t>达标</w:t>
            </w:r>
          </w:p>
        </w:tc>
      </w:tr>
      <w:tr w14:paraId="24FFF8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64BA86D8">
            <w:pPr>
              <w:pStyle w:val="133"/>
            </w:pPr>
            <w:r>
              <w:t>四氯乙烯</w:t>
            </w:r>
          </w:p>
        </w:tc>
        <w:tc>
          <w:tcPr>
            <w:tcW w:w="1030" w:type="pct"/>
            <w:vAlign w:val="center"/>
          </w:tcPr>
          <w:p w14:paraId="62D40840">
            <w:pPr>
              <w:pStyle w:val="133"/>
            </w:pPr>
            <w:r>
              <w:rPr>
                <w:rFonts w:hint="eastAsia"/>
              </w:rPr>
              <w:t>&lt;</w:t>
            </w:r>
            <w:r>
              <w:t>0.00</w:t>
            </w:r>
            <w:r>
              <w:rPr>
                <w:rFonts w:hint="eastAsia"/>
              </w:rPr>
              <w:t>08</w:t>
            </w:r>
          </w:p>
        </w:tc>
        <w:tc>
          <w:tcPr>
            <w:tcW w:w="1295" w:type="pct"/>
            <w:vAlign w:val="center"/>
          </w:tcPr>
          <w:p w14:paraId="7B4D5BC8">
            <w:pPr>
              <w:pStyle w:val="133"/>
            </w:pPr>
            <w:r>
              <w:rPr>
                <w:rFonts w:hint="eastAsia"/>
              </w:rPr>
              <w:t>&lt;</w:t>
            </w:r>
            <w:r>
              <w:t>0.00</w:t>
            </w:r>
            <w:r>
              <w:rPr>
                <w:rFonts w:hint="eastAsia"/>
              </w:rPr>
              <w:t>08</w:t>
            </w:r>
          </w:p>
        </w:tc>
        <w:tc>
          <w:tcPr>
            <w:tcW w:w="1082" w:type="pct"/>
            <w:vAlign w:val="center"/>
          </w:tcPr>
          <w:p w14:paraId="61C7145F">
            <w:pPr>
              <w:pStyle w:val="133"/>
            </w:pPr>
            <w:r>
              <w:t>53</w:t>
            </w:r>
          </w:p>
        </w:tc>
        <w:tc>
          <w:tcPr>
            <w:tcW w:w="486" w:type="pct"/>
            <w:vAlign w:val="center"/>
          </w:tcPr>
          <w:p w14:paraId="2D655F26">
            <w:pPr>
              <w:pStyle w:val="133"/>
            </w:pPr>
            <w:r>
              <w:t>达标</w:t>
            </w:r>
          </w:p>
        </w:tc>
      </w:tr>
      <w:tr w14:paraId="235401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0ADD688B">
            <w:pPr>
              <w:pStyle w:val="133"/>
            </w:pPr>
            <w:r>
              <w:t>1,1,1-三氯乙烷</w:t>
            </w:r>
          </w:p>
        </w:tc>
        <w:tc>
          <w:tcPr>
            <w:tcW w:w="1030" w:type="pct"/>
            <w:vAlign w:val="center"/>
          </w:tcPr>
          <w:p w14:paraId="6B005C55">
            <w:pPr>
              <w:pStyle w:val="133"/>
            </w:pPr>
            <w:r>
              <w:rPr>
                <w:rFonts w:hint="eastAsia"/>
              </w:rPr>
              <w:t>&lt;</w:t>
            </w:r>
            <w:r>
              <w:t>0.001</w:t>
            </w:r>
            <w:r>
              <w:rPr>
                <w:rFonts w:hint="eastAsia"/>
              </w:rPr>
              <w:t>1</w:t>
            </w:r>
          </w:p>
        </w:tc>
        <w:tc>
          <w:tcPr>
            <w:tcW w:w="1295" w:type="pct"/>
            <w:vAlign w:val="center"/>
          </w:tcPr>
          <w:p w14:paraId="07E31FCB">
            <w:pPr>
              <w:pStyle w:val="133"/>
            </w:pPr>
            <w:r>
              <w:rPr>
                <w:rFonts w:hint="eastAsia"/>
              </w:rPr>
              <w:t>&lt;</w:t>
            </w:r>
            <w:r>
              <w:t>0.001</w:t>
            </w:r>
            <w:r>
              <w:rPr>
                <w:rFonts w:hint="eastAsia"/>
              </w:rPr>
              <w:t>1</w:t>
            </w:r>
          </w:p>
        </w:tc>
        <w:tc>
          <w:tcPr>
            <w:tcW w:w="1082" w:type="pct"/>
            <w:vAlign w:val="center"/>
          </w:tcPr>
          <w:p w14:paraId="2F476C6A">
            <w:pPr>
              <w:pStyle w:val="133"/>
            </w:pPr>
            <w:r>
              <w:t>840</w:t>
            </w:r>
          </w:p>
        </w:tc>
        <w:tc>
          <w:tcPr>
            <w:tcW w:w="486" w:type="pct"/>
            <w:vAlign w:val="center"/>
          </w:tcPr>
          <w:p w14:paraId="6216E4CA">
            <w:pPr>
              <w:pStyle w:val="133"/>
            </w:pPr>
            <w:r>
              <w:t>达标</w:t>
            </w:r>
          </w:p>
        </w:tc>
      </w:tr>
      <w:tr w14:paraId="62FAB6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68D44A4A">
            <w:pPr>
              <w:pStyle w:val="133"/>
            </w:pPr>
            <w:r>
              <w:t>1,1,2-三氯乙烷</w:t>
            </w:r>
          </w:p>
        </w:tc>
        <w:tc>
          <w:tcPr>
            <w:tcW w:w="1030" w:type="pct"/>
            <w:vAlign w:val="center"/>
          </w:tcPr>
          <w:p w14:paraId="3332D86B">
            <w:pPr>
              <w:pStyle w:val="133"/>
            </w:pPr>
            <w:r>
              <w:rPr>
                <w:rFonts w:hint="eastAsia"/>
              </w:rPr>
              <w:t>&lt;</w:t>
            </w:r>
            <w:r>
              <w:t>0.001</w:t>
            </w:r>
            <w:r>
              <w:rPr>
                <w:rFonts w:hint="eastAsia"/>
              </w:rPr>
              <w:t>4</w:t>
            </w:r>
          </w:p>
        </w:tc>
        <w:tc>
          <w:tcPr>
            <w:tcW w:w="1295" w:type="pct"/>
            <w:vAlign w:val="center"/>
          </w:tcPr>
          <w:p w14:paraId="40A54B0D">
            <w:pPr>
              <w:pStyle w:val="133"/>
            </w:pPr>
            <w:r>
              <w:rPr>
                <w:rFonts w:hint="eastAsia"/>
              </w:rPr>
              <w:t>&lt;</w:t>
            </w:r>
            <w:r>
              <w:t>0.001</w:t>
            </w:r>
            <w:r>
              <w:rPr>
                <w:rFonts w:hint="eastAsia"/>
              </w:rPr>
              <w:t>4</w:t>
            </w:r>
          </w:p>
        </w:tc>
        <w:tc>
          <w:tcPr>
            <w:tcW w:w="1082" w:type="pct"/>
            <w:vAlign w:val="center"/>
          </w:tcPr>
          <w:p w14:paraId="203D04D2">
            <w:pPr>
              <w:pStyle w:val="133"/>
            </w:pPr>
            <w:r>
              <w:t>2.8</w:t>
            </w:r>
          </w:p>
        </w:tc>
        <w:tc>
          <w:tcPr>
            <w:tcW w:w="486" w:type="pct"/>
            <w:vAlign w:val="center"/>
          </w:tcPr>
          <w:p w14:paraId="5FEEB09F">
            <w:pPr>
              <w:pStyle w:val="133"/>
            </w:pPr>
            <w:r>
              <w:t>达标</w:t>
            </w:r>
          </w:p>
        </w:tc>
      </w:tr>
      <w:tr w14:paraId="1A97D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4742C32A">
            <w:pPr>
              <w:pStyle w:val="133"/>
            </w:pPr>
            <w:r>
              <w:t>三氯乙烯</w:t>
            </w:r>
          </w:p>
        </w:tc>
        <w:tc>
          <w:tcPr>
            <w:tcW w:w="1030" w:type="pct"/>
            <w:vAlign w:val="center"/>
          </w:tcPr>
          <w:p w14:paraId="6745F80C">
            <w:pPr>
              <w:pStyle w:val="133"/>
            </w:pPr>
            <w:r>
              <w:rPr>
                <w:rFonts w:hint="eastAsia"/>
              </w:rPr>
              <w:t>&lt;</w:t>
            </w:r>
            <w:r>
              <w:t>0.00</w:t>
            </w:r>
            <w:r>
              <w:rPr>
                <w:rFonts w:hint="eastAsia"/>
              </w:rPr>
              <w:t>09</w:t>
            </w:r>
          </w:p>
        </w:tc>
        <w:tc>
          <w:tcPr>
            <w:tcW w:w="1295" w:type="pct"/>
            <w:vAlign w:val="center"/>
          </w:tcPr>
          <w:p w14:paraId="0249E3BE">
            <w:pPr>
              <w:pStyle w:val="133"/>
            </w:pPr>
            <w:r>
              <w:rPr>
                <w:rFonts w:hint="eastAsia"/>
              </w:rPr>
              <w:t>&lt;</w:t>
            </w:r>
            <w:r>
              <w:t>0.00</w:t>
            </w:r>
            <w:r>
              <w:rPr>
                <w:rFonts w:hint="eastAsia"/>
              </w:rPr>
              <w:t>09</w:t>
            </w:r>
          </w:p>
        </w:tc>
        <w:tc>
          <w:tcPr>
            <w:tcW w:w="1082" w:type="pct"/>
            <w:vAlign w:val="center"/>
          </w:tcPr>
          <w:p w14:paraId="67B29B68">
            <w:pPr>
              <w:pStyle w:val="133"/>
            </w:pPr>
            <w:r>
              <w:t>2.8</w:t>
            </w:r>
          </w:p>
        </w:tc>
        <w:tc>
          <w:tcPr>
            <w:tcW w:w="486" w:type="pct"/>
            <w:vAlign w:val="center"/>
          </w:tcPr>
          <w:p w14:paraId="4A00C524">
            <w:pPr>
              <w:pStyle w:val="133"/>
            </w:pPr>
            <w:r>
              <w:t>达标</w:t>
            </w:r>
          </w:p>
        </w:tc>
      </w:tr>
      <w:tr w14:paraId="098915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4E270F7F">
            <w:pPr>
              <w:pStyle w:val="133"/>
            </w:pPr>
            <w:r>
              <w:t>1,2,3-三氯丙烷</w:t>
            </w:r>
          </w:p>
        </w:tc>
        <w:tc>
          <w:tcPr>
            <w:tcW w:w="1030" w:type="pct"/>
            <w:vAlign w:val="center"/>
          </w:tcPr>
          <w:p w14:paraId="4B8A6AC8">
            <w:pPr>
              <w:pStyle w:val="133"/>
            </w:pPr>
            <w:r>
              <w:rPr>
                <w:rFonts w:hint="eastAsia"/>
              </w:rPr>
              <w:t>&lt;</w:t>
            </w:r>
            <w:r>
              <w:t>0.001</w:t>
            </w:r>
          </w:p>
        </w:tc>
        <w:tc>
          <w:tcPr>
            <w:tcW w:w="1295" w:type="pct"/>
            <w:vAlign w:val="center"/>
          </w:tcPr>
          <w:p w14:paraId="182F46DC">
            <w:pPr>
              <w:pStyle w:val="133"/>
            </w:pPr>
            <w:r>
              <w:rPr>
                <w:rFonts w:hint="eastAsia"/>
              </w:rPr>
              <w:t>&lt;</w:t>
            </w:r>
            <w:r>
              <w:t>0.001</w:t>
            </w:r>
          </w:p>
        </w:tc>
        <w:tc>
          <w:tcPr>
            <w:tcW w:w="1082" w:type="pct"/>
            <w:vAlign w:val="center"/>
          </w:tcPr>
          <w:p w14:paraId="68BE3558">
            <w:pPr>
              <w:pStyle w:val="133"/>
            </w:pPr>
            <w:r>
              <w:t>0.5</w:t>
            </w:r>
          </w:p>
        </w:tc>
        <w:tc>
          <w:tcPr>
            <w:tcW w:w="486" w:type="pct"/>
            <w:vAlign w:val="center"/>
          </w:tcPr>
          <w:p w14:paraId="64115F7C">
            <w:pPr>
              <w:pStyle w:val="133"/>
            </w:pPr>
            <w:r>
              <w:t>达标</w:t>
            </w:r>
          </w:p>
        </w:tc>
      </w:tr>
      <w:tr w14:paraId="60D7A0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6AFE4639">
            <w:pPr>
              <w:pStyle w:val="133"/>
            </w:pPr>
            <w:r>
              <w:t>氯乙烯</w:t>
            </w:r>
          </w:p>
        </w:tc>
        <w:tc>
          <w:tcPr>
            <w:tcW w:w="1030" w:type="pct"/>
            <w:vAlign w:val="center"/>
          </w:tcPr>
          <w:p w14:paraId="37D8E19C">
            <w:pPr>
              <w:pStyle w:val="133"/>
            </w:pPr>
            <w:r>
              <w:rPr>
                <w:rFonts w:hint="eastAsia"/>
              </w:rPr>
              <w:t>&lt;</w:t>
            </w:r>
            <w:r>
              <w:t>0.001</w:t>
            </w:r>
            <w:r>
              <w:rPr>
                <w:rFonts w:hint="eastAsia"/>
              </w:rPr>
              <w:t>5</w:t>
            </w:r>
          </w:p>
        </w:tc>
        <w:tc>
          <w:tcPr>
            <w:tcW w:w="1295" w:type="pct"/>
            <w:vAlign w:val="center"/>
          </w:tcPr>
          <w:p w14:paraId="1653DC8A">
            <w:pPr>
              <w:pStyle w:val="133"/>
            </w:pPr>
            <w:r>
              <w:rPr>
                <w:rFonts w:hint="eastAsia"/>
              </w:rPr>
              <w:t>&lt;</w:t>
            </w:r>
            <w:r>
              <w:t>0.001</w:t>
            </w:r>
            <w:r>
              <w:rPr>
                <w:rFonts w:hint="eastAsia"/>
              </w:rPr>
              <w:t>5</w:t>
            </w:r>
          </w:p>
        </w:tc>
        <w:tc>
          <w:tcPr>
            <w:tcW w:w="1082" w:type="pct"/>
            <w:vAlign w:val="center"/>
          </w:tcPr>
          <w:p w14:paraId="2A405CD2">
            <w:pPr>
              <w:pStyle w:val="133"/>
            </w:pPr>
            <w:r>
              <w:t>0.43</w:t>
            </w:r>
          </w:p>
        </w:tc>
        <w:tc>
          <w:tcPr>
            <w:tcW w:w="486" w:type="pct"/>
            <w:vAlign w:val="center"/>
          </w:tcPr>
          <w:p w14:paraId="0235B118">
            <w:pPr>
              <w:pStyle w:val="133"/>
            </w:pPr>
            <w:r>
              <w:t>达标</w:t>
            </w:r>
          </w:p>
        </w:tc>
      </w:tr>
      <w:tr w14:paraId="65C292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4B2838D0">
            <w:pPr>
              <w:pStyle w:val="133"/>
            </w:pPr>
            <w:r>
              <w:t>苯</w:t>
            </w:r>
          </w:p>
        </w:tc>
        <w:tc>
          <w:tcPr>
            <w:tcW w:w="1030" w:type="pct"/>
            <w:vAlign w:val="center"/>
          </w:tcPr>
          <w:p w14:paraId="61184DF7">
            <w:pPr>
              <w:pStyle w:val="133"/>
            </w:pPr>
            <w:r>
              <w:rPr>
                <w:rFonts w:hint="eastAsia"/>
              </w:rPr>
              <w:t>&lt;</w:t>
            </w:r>
            <w:r>
              <w:t>0.001</w:t>
            </w:r>
            <w:r>
              <w:rPr>
                <w:rFonts w:hint="eastAsia"/>
              </w:rPr>
              <w:t>6</w:t>
            </w:r>
          </w:p>
        </w:tc>
        <w:tc>
          <w:tcPr>
            <w:tcW w:w="1295" w:type="pct"/>
            <w:vAlign w:val="center"/>
          </w:tcPr>
          <w:p w14:paraId="7C73E4BA">
            <w:pPr>
              <w:pStyle w:val="133"/>
            </w:pPr>
            <w:r>
              <w:rPr>
                <w:rFonts w:hint="eastAsia"/>
              </w:rPr>
              <w:t>&lt;</w:t>
            </w:r>
            <w:r>
              <w:t>0.001</w:t>
            </w:r>
            <w:r>
              <w:rPr>
                <w:rFonts w:hint="eastAsia"/>
              </w:rPr>
              <w:t>6</w:t>
            </w:r>
          </w:p>
        </w:tc>
        <w:tc>
          <w:tcPr>
            <w:tcW w:w="1082" w:type="pct"/>
            <w:vAlign w:val="center"/>
          </w:tcPr>
          <w:p w14:paraId="051AB846">
            <w:pPr>
              <w:pStyle w:val="133"/>
            </w:pPr>
            <w:r>
              <w:t>4</w:t>
            </w:r>
          </w:p>
        </w:tc>
        <w:tc>
          <w:tcPr>
            <w:tcW w:w="486" w:type="pct"/>
            <w:vAlign w:val="center"/>
          </w:tcPr>
          <w:p w14:paraId="6D1BFCEA">
            <w:pPr>
              <w:pStyle w:val="133"/>
            </w:pPr>
            <w:r>
              <w:t>达标</w:t>
            </w:r>
          </w:p>
        </w:tc>
      </w:tr>
      <w:tr w14:paraId="3D9592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7480A4AC">
            <w:pPr>
              <w:pStyle w:val="133"/>
            </w:pPr>
            <w:r>
              <w:t>氯苯</w:t>
            </w:r>
          </w:p>
        </w:tc>
        <w:tc>
          <w:tcPr>
            <w:tcW w:w="1030" w:type="pct"/>
            <w:vAlign w:val="center"/>
          </w:tcPr>
          <w:p w14:paraId="063A476F">
            <w:pPr>
              <w:pStyle w:val="133"/>
            </w:pPr>
            <w:r>
              <w:rPr>
                <w:rFonts w:hint="eastAsia"/>
              </w:rPr>
              <w:t>&lt;</w:t>
            </w:r>
            <w:r>
              <w:t>0.001</w:t>
            </w:r>
            <w:r>
              <w:rPr>
                <w:rFonts w:hint="eastAsia"/>
              </w:rPr>
              <w:t>1</w:t>
            </w:r>
          </w:p>
        </w:tc>
        <w:tc>
          <w:tcPr>
            <w:tcW w:w="1295" w:type="pct"/>
            <w:vAlign w:val="center"/>
          </w:tcPr>
          <w:p w14:paraId="04D32500">
            <w:pPr>
              <w:pStyle w:val="133"/>
            </w:pPr>
            <w:r>
              <w:rPr>
                <w:rFonts w:hint="eastAsia"/>
              </w:rPr>
              <w:t>&lt;</w:t>
            </w:r>
            <w:r>
              <w:t>0.001</w:t>
            </w:r>
            <w:r>
              <w:rPr>
                <w:rFonts w:hint="eastAsia"/>
              </w:rPr>
              <w:t>1</w:t>
            </w:r>
          </w:p>
        </w:tc>
        <w:tc>
          <w:tcPr>
            <w:tcW w:w="1082" w:type="pct"/>
            <w:vAlign w:val="center"/>
          </w:tcPr>
          <w:p w14:paraId="333F22E7">
            <w:pPr>
              <w:pStyle w:val="133"/>
            </w:pPr>
            <w:r>
              <w:t>270</w:t>
            </w:r>
          </w:p>
        </w:tc>
        <w:tc>
          <w:tcPr>
            <w:tcW w:w="486" w:type="pct"/>
            <w:vAlign w:val="center"/>
          </w:tcPr>
          <w:p w14:paraId="182AD0B6">
            <w:pPr>
              <w:pStyle w:val="133"/>
            </w:pPr>
            <w:r>
              <w:t>达标</w:t>
            </w:r>
          </w:p>
        </w:tc>
      </w:tr>
      <w:tr w14:paraId="6452E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2E33ADBA">
            <w:pPr>
              <w:pStyle w:val="133"/>
            </w:pPr>
            <w:r>
              <w:t>1,2-二氯苯</w:t>
            </w:r>
          </w:p>
        </w:tc>
        <w:tc>
          <w:tcPr>
            <w:tcW w:w="1030" w:type="pct"/>
            <w:vAlign w:val="center"/>
          </w:tcPr>
          <w:p w14:paraId="0F9C818E">
            <w:pPr>
              <w:pStyle w:val="133"/>
            </w:pPr>
            <w:r>
              <w:rPr>
                <w:rFonts w:hint="eastAsia"/>
              </w:rPr>
              <w:t>&lt;</w:t>
            </w:r>
            <w:r>
              <w:t>0.001</w:t>
            </w:r>
          </w:p>
        </w:tc>
        <w:tc>
          <w:tcPr>
            <w:tcW w:w="1295" w:type="pct"/>
            <w:vAlign w:val="center"/>
          </w:tcPr>
          <w:p w14:paraId="0222D4EB">
            <w:pPr>
              <w:pStyle w:val="133"/>
            </w:pPr>
            <w:r>
              <w:rPr>
                <w:rFonts w:hint="eastAsia"/>
              </w:rPr>
              <w:t>&lt;</w:t>
            </w:r>
            <w:r>
              <w:t>0.001</w:t>
            </w:r>
          </w:p>
        </w:tc>
        <w:tc>
          <w:tcPr>
            <w:tcW w:w="1082" w:type="pct"/>
            <w:vAlign w:val="center"/>
          </w:tcPr>
          <w:p w14:paraId="0D4EF4EB">
            <w:pPr>
              <w:pStyle w:val="133"/>
            </w:pPr>
            <w:r>
              <w:t>560</w:t>
            </w:r>
          </w:p>
        </w:tc>
        <w:tc>
          <w:tcPr>
            <w:tcW w:w="486" w:type="pct"/>
            <w:vAlign w:val="center"/>
          </w:tcPr>
          <w:p w14:paraId="2916A208">
            <w:pPr>
              <w:pStyle w:val="133"/>
            </w:pPr>
            <w:r>
              <w:t>达标</w:t>
            </w:r>
          </w:p>
        </w:tc>
      </w:tr>
      <w:tr w14:paraId="62E8D3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5AC3EA95">
            <w:pPr>
              <w:pStyle w:val="133"/>
            </w:pPr>
            <w:r>
              <w:t>1,4-二氯苯</w:t>
            </w:r>
          </w:p>
        </w:tc>
        <w:tc>
          <w:tcPr>
            <w:tcW w:w="1030" w:type="pct"/>
            <w:vAlign w:val="center"/>
          </w:tcPr>
          <w:p w14:paraId="290B4CF8">
            <w:pPr>
              <w:pStyle w:val="133"/>
            </w:pPr>
            <w:r>
              <w:rPr>
                <w:rFonts w:hint="eastAsia"/>
              </w:rPr>
              <w:t>&lt;</w:t>
            </w:r>
            <w:r>
              <w:t>0.001</w:t>
            </w:r>
            <w:r>
              <w:rPr>
                <w:rFonts w:hint="eastAsia"/>
              </w:rPr>
              <w:t>2</w:t>
            </w:r>
          </w:p>
        </w:tc>
        <w:tc>
          <w:tcPr>
            <w:tcW w:w="1295" w:type="pct"/>
            <w:vAlign w:val="center"/>
          </w:tcPr>
          <w:p w14:paraId="31947CB8">
            <w:pPr>
              <w:pStyle w:val="133"/>
            </w:pPr>
            <w:r>
              <w:rPr>
                <w:rFonts w:hint="eastAsia"/>
              </w:rPr>
              <w:t>&lt;</w:t>
            </w:r>
            <w:r>
              <w:t>0.001</w:t>
            </w:r>
            <w:r>
              <w:rPr>
                <w:rFonts w:hint="eastAsia"/>
              </w:rPr>
              <w:t>2</w:t>
            </w:r>
          </w:p>
        </w:tc>
        <w:tc>
          <w:tcPr>
            <w:tcW w:w="1082" w:type="pct"/>
            <w:vAlign w:val="center"/>
          </w:tcPr>
          <w:p w14:paraId="28816248">
            <w:pPr>
              <w:pStyle w:val="133"/>
            </w:pPr>
            <w:r>
              <w:t>20</w:t>
            </w:r>
          </w:p>
        </w:tc>
        <w:tc>
          <w:tcPr>
            <w:tcW w:w="486" w:type="pct"/>
            <w:vAlign w:val="center"/>
          </w:tcPr>
          <w:p w14:paraId="06A429EB">
            <w:pPr>
              <w:pStyle w:val="133"/>
            </w:pPr>
            <w:r>
              <w:t>达标</w:t>
            </w:r>
          </w:p>
        </w:tc>
      </w:tr>
      <w:tr w14:paraId="56A1EC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918A265">
            <w:pPr>
              <w:pStyle w:val="133"/>
            </w:pPr>
            <w:r>
              <w:t>乙苯</w:t>
            </w:r>
          </w:p>
        </w:tc>
        <w:tc>
          <w:tcPr>
            <w:tcW w:w="1030" w:type="pct"/>
            <w:vAlign w:val="center"/>
          </w:tcPr>
          <w:p w14:paraId="611AB33D">
            <w:pPr>
              <w:pStyle w:val="133"/>
            </w:pPr>
            <w:r>
              <w:rPr>
                <w:rFonts w:hint="eastAsia"/>
              </w:rPr>
              <w:t>&lt;</w:t>
            </w:r>
            <w:r>
              <w:t>0.0012</w:t>
            </w:r>
          </w:p>
        </w:tc>
        <w:tc>
          <w:tcPr>
            <w:tcW w:w="1295" w:type="pct"/>
            <w:vAlign w:val="center"/>
          </w:tcPr>
          <w:p w14:paraId="585B0DFD">
            <w:pPr>
              <w:pStyle w:val="133"/>
            </w:pPr>
            <w:r>
              <w:rPr>
                <w:rFonts w:hint="eastAsia"/>
              </w:rPr>
              <w:t>&lt;</w:t>
            </w:r>
            <w:r>
              <w:t>0.0012</w:t>
            </w:r>
          </w:p>
        </w:tc>
        <w:tc>
          <w:tcPr>
            <w:tcW w:w="1082" w:type="pct"/>
            <w:vAlign w:val="center"/>
          </w:tcPr>
          <w:p w14:paraId="38349327">
            <w:pPr>
              <w:pStyle w:val="133"/>
            </w:pPr>
            <w:r>
              <w:t>28</w:t>
            </w:r>
          </w:p>
        </w:tc>
        <w:tc>
          <w:tcPr>
            <w:tcW w:w="486" w:type="pct"/>
            <w:vAlign w:val="center"/>
          </w:tcPr>
          <w:p w14:paraId="53FE1CC1">
            <w:pPr>
              <w:pStyle w:val="133"/>
            </w:pPr>
            <w:r>
              <w:t>达标</w:t>
            </w:r>
          </w:p>
        </w:tc>
      </w:tr>
      <w:tr w14:paraId="238F9E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D0B57FB">
            <w:pPr>
              <w:pStyle w:val="133"/>
            </w:pPr>
            <w:r>
              <w:t>苯乙烯</w:t>
            </w:r>
          </w:p>
        </w:tc>
        <w:tc>
          <w:tcPr>
            <w:tcW w:w="1030" w:type="pct"/>
            <w:vAlign w:val="center"/>
          </w:tcPr>
          <w:p w14:paraId="573AF2C7">
            <w:pPr>
              <w:pStyle w:val="133"/>
            </w:pPr>
            <w:r>
              <w:rPr>
                <w:rFonts w:hint="eastAsia"/>
              </w:rPr>
              <w:t>&lt;</w:t>
            </w:r>
            <w:r>
              <w:t>0.001</w:t>
            </w:r>
            <w:r>
              <w:rPr>
                <w:rFonts w:hint="eastAsia"/>
              </w:rPr>
              <w:t>6</w:t>
            </w:r>
          </w:p>
        </w:tc>
        <w:tc>
          <w:tcPr>
            <w:tcW w:w="1295" w:type="pct"/>
            <w:vAlign w:val="center"/>
          </w:tcPr>
          <w:p w14:paraId="0B8097C9">
            <w:pPr>
              <w:pStyle w:val="133"/>
            </w:pPr>
            <w:r>
              <w:rPr>
                <w:rFonts w:hint="eastAsia"/>
              </w:rPr>
              <w:t>&lt;</w:t>
            </w:r>
            <w:r>
              <w:t>0.001</w:t>
            </w:r>
            <w:r>
              <w:rPr>
                <w:rFonts w:hint="eastAsia"/>
              </w:rPr>
              <w:t>6</w:t>
            </w:r>
          </w:p>
        </w:tc>
        <w:tc>
          <w:tcPr>
            <w:tcW w:w="1082" w:type="pct"/>
            <w:vAlign w:val="center"/>
          </w:tcPr>
          <w:p w14:paraId="5F4BA52D">
            <w:pPr>
              <w:pStyle w:val="133"/>
            </w:pPr>
            <w:r>
              <w:t>1290</w:t>
            </w:r>
          </w:p>
        </w:tc>
        <w:tc>
          <w:tcPr>
            <w:tcW w:w="486" w:type="pct"/>
            <w:vAlign w:val="center"/>
          </w:tcPr>
          <w:p w14:paraId="740CA129">
            <w:pPr>
              <w:pStyle w:val="133"/>
            </w:pPr>
            <w:r>
              <w:t>达标</w:t>
            </w:r>
          </w:p>
        </w:tc>
      </w:tr>
      <w:tr w14:paraId="69B1EB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57C910B9">
            <w:pPr>
              <w:pStyle w:val="133"/>
            </w:pPr>
            <w:r>
              <w:t>甲苯</w:t>
            </w:r>
          </w:p>
        </w:tc>
        <w:tc>
          <w:tcPr>
            <w:tcW w:w="1030" w:type="pct"/>
            <w:vAlign w:val="center"/>
          </w:tcPr>
          <w:p w14:paraId="57936A2A">
            <w:pPr>
              <w:pStyle w:val="133"/>
            </w:pPr>
            <w:r>
              <w:rPr>
                <w:rFonts w:hint="eastAsia"/>
              </w:rPr>
              <w:t>&lt;</w:t>
            </w:r>
            <w:r>
              <w:t>0.00</w:t>
            </w:r>
            <w:r>
              <w:rPr>
                <w:rFonts w:hint="eastAsia"/>
              </w:rPr>
              <w:t>2</w:t>
            </w:r>
          </w:p>
        </w:tc>
        <w:tc>
          <w:tcPr>
            <w:tcW w:w="1295" w:type="pct"/>
            <w:vAlign w:val="center"/>
          </w:tcPr>
          <w:p w14:paraId="4D5CA8BF">
            <w:pPr>
              <w:pStyle w:val="133"/>
            </w:pPr>
            <w:r>
              <w:rPr>
                <w:rFonts w:hint="eastAsia"/>
              </w:rPr>
              <w:t>&lt;</w:t>
            </w:r>
            <w:r>
              <w:t>0.00</w:t>
            </w:r>
            <w:r>
              <w:rPr>
                <w:rFonts w:hint="eastAsia"/>
              </w:rPr>
              <w:t>2</w:t>
            </w:r>
          </w:p>
        </w:tc>
        <w:tc>
          <w:tcPr>
            <w:tcW w:w="1082" w:type="pct"/>
            <w:vAlign w:val="center"/>
          </w:tcPr>
          <w:p w14:paraId="76C278E8">
            <w:pPr>
              <w:pStyle w:val="133"/>
            </w:pPr>
            <w:r>
              <w:t>1200</w:t>
            </w:r>
          </w:p>
        </w:tc>
        <w:tc>
          <w:tcPr>
            <w:tcW w:w="486" w:type="pct"/>
            <w:vAlign w:val="center"/>
          </w:tcPr>
          <w:p w14:paraId="1DA54E1A">
            <w:pPr>
              <w:pStyle w:val="133"/>
            </w:pPr>
            <w:r>
              <w:t>达标</w:t>
            </w:r>
          </w:p>
        </w:tc>
      </w:tr>
      <w:tr w14:paraId="195E16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69A92B18">
            <w:pPr>
              <w:pStyle w:val="133"/>
            </w:pPr>
            <w:r>
              <w:t>间二甲苯+对二甲苯</w:t>
            </w:r>
          </w:p>
        </w:tc>
        <w:tc>
          <w:tcPr>
            <w:tcW w:w="1030" w:type="pct"/>
            <w:vAlign w:val="center"/>
          </w:tcPr>
          <w:p w14:paraId="19E72CFC">
            <w:pPr>
              <w:pStyle w:val="133"/>
            </w:pPr>
            <w:r>
              <w:rPr>
                <w:rFonts w:hint="eastAsia"/>
              </w:rPr>
              <w:t>&lt;</w:t>
            </w:r>
            <w:r>
              <w:t>0.00</w:t>
            </w:r>
            <w:r>
              <w:rPr>
                <w:rFonts w:hint="eastAsia"/>
              </w:rPr>
              <w:t>36</w:t>
            </w:r>
          </w:p>
        </w:tc>
        <w:tc>
          <w:tcPr>
            <w:tcW w:w="1295" w:type="pct"/>
            <w:vAlign w:val="center"/>
          </w:tcPr>
          <w:p w14:paraId="54B57D49">
            <w:pPr>
              <w:pStyle w:val="133"/>
            </w:pPr>
            <w:r>
              <w:rPr>
                <w:rFonts w:hint="eastAsia"/>
              </w:rPr>
              <w:t>&lt;</w:t>
            </w:r>
            <w:r>
              <w:t>0.00</w:t>
            </w:r>
            <w:r>
              <w:rPr>
                <w:rFonts w:hint="eastAsia"/>
              </w:rPr>
              <w:t>36</w:t>
            </w:r>
          </w:p>
        </w:tc>
        <w:tc>
          <w:tcPr>
            <w:tcW w:w="1082" w:type="pct"/>
            <w:vAlign w:val="center"/>
          </w:tcPr>
          <w:p w14:paraId="51944D22">
            <w:pPr>
              <w:pStyle w:val="133"/>
            </w:pPr>
            <w:r>
              <w:t>570</w:t>
            </w:r>
          </w:p>
        </w:tc>
        <w:tc>
          <w:tcPr>
            <w:tcW w:w="486" w:type="pct"/>
            <w:vAlign w:val="center"/>
          </w:tcPr>
          <w:p w14:paraId="415FF59B">
            <w:pPr>
              <w:pStyle w:val="133"/>
            </w:pPr>
            <w:r>
              <w:t>达标</w:t>
            </w:r>
          </w:p>
        </w:tc>
      </w:tr>
      <w:tr w14:paraId="5FF24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4991E226">
            <w:pPr>
              <w:pStyle w:val="133"/>
            </w:pPr>
            <w:r>
              <w:t>邻二甲苯</w:t>
            </w:r>
          </w:p>
        </w:tc>
        <w:tc>
          <w:tcPr>
            <w:tcW w:w="1030" w:type="pct"/>
            <w:vAlign w:val="center"/>
          </w:tcPr>
          <w:p w14:paraId="7C9DA7BD">
            <w:pPr>
              <w:pStyle w:val="133"/>
            </w:pPr>
            <w:r>
              <w:rPr>
                <w:rFonts w:hint="eastAsia"/>
              </w:rPr>
              <w:t>&lt;</w:t>
            </w:r>
            <w:r>
              <w:t>0.001</w:t>
            </w:r>
            <w:r>
              <w:rPr>
                <w:rFonts w:hint="eastAsia"/>
              </w:rPr>
              <w:t>3</w:t>
            </w:r>
          </w:p>
        </w:tc>
        <w:tc>
          <w:tcPr>
            <w:tcW w:w="1295" w:type="pct"/>
            <w:vAlign w:val="center"/>
          </w:tcPr>
          <w:p w14:paraId="4738F8FE">
            <w:pPr>
              <w:pStyle w:val="133"/>
            </w:pPr>
            <w:r>
              <w:rPr>
                <w:rFonts w:hint="eastAsia"/>
              </w:rPr>
              <w:t>&lt;</w:t>
            </w:r>
            <w:r>
              <w:t>0.001</w:t>
            </w:r>
            <w:r>
              <w:rPr>
                <w:rFonts w:hint="eastAsia"/>
              </w:rPr>
              <w:t>3</w:t>
            </w:r>
          </w:p>
        </w:tc>
        <w:tc>
          <w:tcPr>
            <w:tcW w:w="1082" w:type="pct"/>
            <w:vAlign w:val="center"/>
          </w:tcPr>
          <w:p w14:paraId="6FB50183">
            <w:pPr>
              <w:pStyle w:val="133"/>
            </w:pPr>
            <w:r>
              <w:t>640</w:t>
            </w:r>
          </w:p>
        </w:tc>
        <w:tc>
          <w:tcPr>
            <w:tcW w:w="486" w:type="pct"/>
            <w:vAlign w:val="center"/>
          </w:tcPr>
          <w:p w14:paraId="0E07E53F">
            <w:pPr>
              <w:pStyle w:val="133"/>
            </w:pPr>
            <w:r>
              <w:t>达标</w:t>
            </w:r>
          </w:p>
        </w:tc>
      </w:tr>
      <w:tr w14:paraId="5E4D3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6DE72C49">
            <w:pPr>
              <w:pStyle w:val="133"/>
            </w:pPr>
            <w:r>
              <w:t>硝基苯</w:t>
            </w:r>
          </w:p>
        </w:tc>
        <w:tc>
          <w:tcPr>
            <w:tcW w:w="1030" w:type="pct"/>
            <w:vAlign w:val="center"/>
          </w:tcPr>
          <w:p w14:paraId="589ACC34">
            <w:pPr>
              <w:pStyle w:val="133"/>
            </w:pPr>
            <w:r>
              <w:rPr>
                <w:rFonts w:hint="eastAsia"/>
              </w:rPr>
              <w:t>&lt;</w:t>
            </w:r>
            <w:r>
              <w:t>0.09</w:t>
            </w:r>
          </w:p>
        </w:tc>
        <w:tc>
          <w:tcPr>
            <w:tcW w:w="1295" w:type="pct"/>
            <w:vAlign w:val="center"/>
          </w:tcPr>
          <w:p w14:paraId="4598BF15">
            <w:pPr>
              <w:pStyle w:val="133"/>
            </w:pPr>
            <w:r>
              <w:rPr>
                <w:rFonts w:hint="eastAsia"/>
              </w:rPr>
              <w:t>&lt;</w:t>
            </w:r>
            <w:r>
              <w:t>0.09</w:t>
            </w:r>
          </w:p>
        </w:tc>
        <w:tc>
          <w:tcPr>
            <w:tcW w:w="1082" w:type="pct"/>
            <w:vAlign w:val="center"/>
          </w:tcPr>
          <w:p w14:paraId="0FE75A74">
            <w:pPr>
              <w:pStyle w:val="133"/>
            </w:pPr>
            <w:r>
              <w:t>76</w:t>
            </w:r>
          </w:p>
        </w:tc>
        <w:tc>
          <w:tcPr>
            <w:tcW w:w="486" w:type="pct"/>
            <w:vAlign w:val="center"/>
          </w:tcPr>
          <w:p w14:paraId="3985D51B">
            <w:pPr>
              <w:pStyle w:val="133"/>
            </w:pPr>
            <w:r>
              <w:t>达标</w:t>
            </w:r>
          </w:p>
        </w:tc>
      </w:tr>
      <w:tr w14:paraId="3E88E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52A2623F">
            <w:pPr>
              <w:pStyle w:val="133"/>
            </w:pPr>
            <w:r>
              <w:t>苯胺</w:t>
            </w:r>
          </w:p>
        </w:tc>
        <w:tc>
          <w:tcPr>
            <w:tcW w:w="1030" w:type="pct"/>
            <w:vAlign w:val="center"/>
          </w:tcPr>
          <w:p w14:paraId="3A9FF62F">
            <w:pPr>
              <w:pStyle w:val="133"/>
            </w:pPr>
            <w:r>
              <w:rPr>
                <w:rFonts w:hint="eastAsia"/>
              </w:rPr>
              <w:t>&lt;0.08</w:t>
            </w:r>
          </w:p>
        </w:tc>
        <w:tc>
          <w:tcPr>
            <w:tcW w:w="1295" w:type="pct"/>
            <w:vAlign w:val="center"/>
          </w:tcPr>
          <w:p w14:paraId="25B4471C">
            <w:pPr>
              <w:pStyle w:val="133"/>
            </w:pPr>
            <w:r>
              <w:rPr>
                <w:rFonts w:hint="eastAsia"/>
              </w:rPr>
              <w:t>&lt;0.08</w:t>
            </w:r>
          </w:p>
        </w:tc>
        <w:tc>
          <w:tcPr>
            <w:tcW w:w="1082" w:type="pct"/>
            <w:vAlign w:val="center"/>
          </w:tcPr>
          <w:p w14:paraId="1018D571">
            <w:pPr>
              <w:pStyle w:val="133"/>
            </w:pPr>
            <w:r>
              <w:t>260</w:t>
            </w:r>
          </w:p>
        </w:tc>
        <w:tc>
          <w:tcPr>
            <w:tcW w:w="486" w:type="pct"/>
            <w:vAlign w:val="center"/>
          </w:tcPr>
          <w:p w14:paraId="23C1027B">
            <w:pPr>
              <w:pStyle w:val="133"/>
            </w:pPr>
            <w:r>
              <w:t>达标</w:t>
            </w:r>
          </w:p>
        </w:tc>
      </w:tr>
      <w:tr w14:paraId="2080AB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24DA3267">
            <w:pPr>
              <w:pStyle w:val="133"/>
            </w:pPr>
            <w:r>
              <w:t>2-氯酚</w:t>
            </w:r>
          </w:p>
        </w:tc>
        <w:tc>
          <w:tcPr>
            <w:tcW w:w="1030" w:type="pct"/>
            <w:vAlign w:val="center"/>
          </w:tcPr>
          <w:p w14:paraId="61CC6265">
            <w:pPr>
              <w:pStyle w:val="133"/>
            </w:pPr>
            <w:r>
              <w:rPr>
                <w:rFonts w:hint="eastAsia"/>
              </w:rPr>
              <w:t>&lt;0.06</w:t>
            </w:r>
          </w:p>
        </w:tc>
        <w:tc>
          <w:tcPr>
            <w:tcW w:w="1295" w:type="pct"/>
            <w:vAlign w:val="center"/>
          </w:tcPr>
          <w:p w14:paraId="78E7B9BE">
            <w:pPr>
              <w:pStyle w:val="133"/>
            </w:pPr>
            <w:r>
              <w:rPr>
                <w:rFonts w:hint="eastAsia"/>
              </w:rPr>
              <w:t>&lt;0.06</w:t>
            </w:r>
          </w:p>
        </w:tc>
        <w:tc>
          <w:tcPr>
            <w:tcW w:w="1082" w:type="pct"/>
            <w:vAlign w:val="center"/>
          </w:tcPr>
          <w:p w14:paraId="6CCDB44B">
            <w:pPr>
              <w:pStyle w:val="133"/>
            </w:pPr>
            <w:r>
              <w:t>2256</w:t>
            </w:r>
          </w:p>
        </w:tc>
        <w:tc>
          <w:tcPr>
            <w:tcW w:w="486" w:type="pct"/>
            <w:vAlign w:val="center"/>
          </w:tcPr>
          <w:p w14:paraId="2A8A8E45">
            <w:pPr>
              <w:pStyle w:val="133"/>
            </w:pPr>
            <w:r>
              <w:t>达标</w:t>
            </w:r>
          </w:p>
        </w:tc>
      </w:tr>
      <w:tr w14:paraId="6D7AB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03453308">
            <w:pPr>
              <w:pStyle w:val="133"/>
            </w:pPr>
            <w:r>
              <w:t>苯并[a]蒽</w:t>
            </w:r>
          </w:p>
        </w:tc>
        <w:tc>
          <w:tcPr>
            <w:tcW w:w="1030" w:type="pct"/>
            <w:vAlign w:val="center"/>
          </w:tcPr>
          <w:p w14:paraId="10C370D5">
            <w:pPr>
              <w:pStyle w:val="133"/>
            </w:pPr>
            <w:r>
              <w:rPr>
                <w:rFonts w:hint="eastAsia"/>
              </w:rPr>
              <w:t>&lt;0.1</w:t>
            </w:r>
          </w:p>
        </w:tc>
        <w:tc>
          <w:tcPr>
            <w:tcW w:w="1295" w:type="pct"/>
            <w:vAlign w:val="center"/>
          </w:tcPr>
          <w:p w14:paraId="34CC5454">
            <w:pPr>
              <w:pStyle w:val="133"/>
            </w:pPr>
            <w:r>
              <w:rPr>
                <w:rFonts w:hint="eastAsia"/>
              </w:rPr>
              <w:t>&lt;0.1</w:t>
            </w:r>
          </w:p>
        </w:tc>
        <w:tc>
          <w:tcPr>
            <w:tcW w:w="1082" w:type="pct"/>
            <w:vAlign w:val="center"/>
          </w:tcPr>
          <w:p w14:paraId="1DCBE6CC">
            <w:pPr>
              <w:pStyle w:val="133"/>
            </w:pPr>
            <w:r>
              <w:t>15</w:t>
            </w:r>
          </w:p>
        </w:tc>
        <w:tc>
          <w:tcPr>
            <w:tcW w:w="486" w:type="pct"/>
            <w:vAlign w:val="center"/>
          </w:tcPr>
          <w:p w14:paraId="3261D024">
            <w:pPr>
              <w:pStyle w:val="133"/>
            </w:pPr>
            <w:r>
              <w:t>达标</w:t>
            </w:r>
          </w:p>
        </w:tc>
      </w:tr>
      <w:tr w14:paraId="071197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81C64AE">
            <w:pPr>
              <w:pStyle w:val="133"/>
            </w:pPr>
            <w:r>
              <w:t>苯并[a]芘</w:t>
            </w:r>
          </w:p>
        </w:tc>
        <w:tc>
          <w:tcPr>
            <w:tcW w:w="1030" w:type="pct"/>
            <w:vAlign w:val="center"/>
          </w:tcPr>
          <w:p w14:paraId="144F2448">
            <w:pPr>
              <w:pStyle w:val="133"/>
            </w:pPr>
            <w:r>
              <w:rPr>
                <w:rFonts w:hint="eastAsia"/>
              </w:rPr>
              <w:t>&lt;</w:t>
            </w:r>
            <w:r>
              <w:t>0.</w:t>
            </w:r>
            <w:r>
              <w:rPr>
                <w:rFonts w:hint="eastAsia"/>
              </w:rPr>
              <w:t>1</w:t>
            </w:r>
          </w:p>
        </w:tc>
        <w:tc>
          <w:tcPr>
            <w:tcW w:w="1295" w:type="pct"/>
            <w:vAlign w:val="center"/>
          </w:tcPr>
          <w:p w14:paraId="3B2F930E">
            <w:pPr>
              <w:pStyle w:val="133"/>
            </w:pPr>
            <w:r>
              <w:rPr>
                <w:rFonts w:hint="eastAsia"/>
              </w:rPr>
              <w:t>&lt;</w:t>
            </w:r>
            <w:r>
              <w:t>0.</w:t>
            </w:r>
            <w:r>
              <w:rPr>
                <w:rFonts w:hint="eastAsia"/>
              </w:rPr>
              <w:t>1</w:t>
            </w:r>
          </w:p>
        </w:tc>
        <w:tc>
          <w:tcPr>
            <w:tcW w:w="1082" w:type="pct"/>
            <w:vAlign w:val="center"/>
          </w:tcPr>
          <w:p w14:paraId="2B296311">
            <w:pPr>
              <w:pStyle w:val="133"/>
            </w:pPr>
            <w:r>
              <w:t>1.5</w:t>
            </w:r>
          </w:p>
        </w:tc>
        <w:tc>
          <w:tcPr>
            <w:tcW w:w="486" w:type="pct"/>
            <w:vAlign w:val="center"/>
          </w:tcPr>
          <w:p w14:paraId="6DCA5AFD">
            <w:pPr>
              <w:pStyle w:val="133"/>
            </w:pPr>
            <w:r>
              <w:t>达标</w:t>
            </w:r>
          </w:p>
        </w:tc>
      </w:tr>
      <w:tr w14:paraId="51FD1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48F25E0B">
            <w:pPr>
              <w:pStyle w:val="133"/>
            </w:pPr>
            <w:r>
              <w:t>苯并[b]荧蒽</w:t>
            </w:r>
          </w:p>
        </w:tc>
        <w:tc>
          <w:tcPr>
            <w:tcW w:w="1030" w:type="pct"/>
            <w:vAlign w:val="center"/>
          </w:tcPr>
          <w:p w14:paraId="150E9714">
            <w:pPr>
              <w:pStyle w:val="133"/>
            </w:pPr>
            <w:r>
              <w:rPr>
                <w:rFonts w:hint="eastAsia"/>
              </w:rPr>
              <w:t>&lt;</w:t>
            </w:r>
            <w:r>
              <w:t>0</w:t>
            </w:r>
            <w:r>
              <w:rPr>
                <w:rFonts w:hint="eastAsia"/>
              </w:rPr>
              <w:t>.2</w:t>
            </w:r>
          </w:p>
        </w:tc>
        <w:tc>
          <w:tcPr>
            <w:tcW w:w="1295" w:type="pct"/>
            <w:vAlign w:val="center"/>
          </w:tcPr>
          <w:p w14:paraId="6BC68DE4">
            <w:pPr>
              <w:pStyle w:val="133"/>
            </w:pPr>
            <w:r>
              <w:rPr>
                <w:rFonts w:hint="eastAsia"/>
              </w:rPr>
              <w:t>&lt;</w:t>
            </w:r>
            <w:r>
              <w:t>0</w:t>
            </w:r>
            <w:r>
              <w:rPr>
                <w:rFonts w:hint="eastAsia"/>
              </w:rPr>
              <w:t>.2</w:t>
            </w:r>
          </w:p>
        </w:tc>
        <w:tc>
          <w:tcPr>
            <w:tcW w:w="1082" w:type="pct"/>
            <w:vAlign w:val="center"/>
          </w:tcPr>
          <w:p w14:paraId="3B3E4370">
            <w:pPr>
              <w:pStyle w:val="133"/>
            </w:pPr>
            <w:r>
              <w:t>15</w:t>
            </w:r>
          </w:p>
        </w:tc>
        <w:tc>
          <w:tcPr>
            <w:tcW w:w="486" w:type="pct"/>
            <w:vAlign w:val="center"/>
          </w:tcPr>
          <w:p w14:paraId="5EADF0D5">
            <w:pPr>
              <w:pStyle w:val="133"/>
            </w:pPr>
            <w:r>
              <w:t>达标</w:t>
            </w:r>
          </w:p>
        </w:tc>
      </w:tr>
      <w:tr w14:paraId="2D9BF3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7477278D">
            <w:pPr>
              <w:pStyle w:val="133"/>
            </w:pPr>
            <w:r>
              <w:t>苯并[k]荧蒽</w:t>
            </w:r>
          </w:p>
        </w:tc>
        <w:tc>
          <w:tcPr>
            <w:tcW w:w="1030" w:type="pct"/>
            <w:vAlign w:val="center"/>
          </w:tcPr>
          <w:p w14:paraId="1A353BB8">
            <w:pPr>
              <w:pStyle w:val="133"/>
            </w:pPr>
            <w:r>
              <w:rPr>
                <w:rFonts w:hint="eastAsia"/>
              </w:rPr>
              <w:t>&lt;</w:t>
            </w:r>
            <w:r>
              <w:t>0.</w:t>
            </w:r>
            <w:r>
              <w:rPr>
                <w:rFonts w:hint="eastAsia"/>
              </w:rPr>
              <w:t>1</w:t>
            </w:r>
          </w:p>
        </w:tc>
        <w:tc>
          <w:tcPr>
            <w:tcW w:w="1295" w:type="pct"/>
            <w:vAlign w:val="center"/>
          </w:tcPr>
          <w:p w14:paraId="0740C01D">
            <w:pPr>
              <w:pStyle w:val="133"/>
            </w:pPr>
            <w:r>
              <w:rPr>
                <w:rFonts w:hint="eastAsia"/>
              </w:rPr>
              <w:t>&lt;</w:t>
            </w:r>
            <w:r>
              <w:t>0.</w:t>
            </w:r>
            <w:r>
              <w:rPr>
                <w:rFonts w:hint="eastAsia"/>
              </w:rPr>
              <w:t>1</w:t>
            </w:r>
          </w:p>
        </w:tc>
        <w:tc>
          <w:tcPr>
            <w:tcW w:w="1082" w:type="pct"/>
            <w:vAlign w:val="center"/>
          </w:tcPr>
          <w:p w14:paraId="5A16C9D6">
            <w:pPr>
              <w:pStyle w:val="133"/>
            </w:pPr>
            <w:r>
              <w:t>151</w:t>
            </w:r>
          </w:p>
        </w:tc>
        <w:tc>
          <w:tcPr>
            <w:tcW w:w="486" w:type="pct"/>
            <w:vAlign w:val="center"/>
          </w:tcPr>
          <w:p w14:paraId="374A0483">
            <w:pPr>
              <w:pStyle w:val="133"/>
            </w:pPr>
            <w:r>
              <w:t>达标</w:t>
            </w:r>
          </w:p>
        </w:tc>
      </w:tr>
      <w:tr w14:paraId="5A089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52D579C7">
            <w:pPr>
              <w:pStyle w:val="133"/>
            </w:pPr>
            <w:r>
              <w:t>䓛</w:t>
            </w:r>
          </w:p>
        </w:tc>
        <w:tc>
          <w:tcPr>
            <w:tcW w:w="1030" w:type="pct"/>
            <w:vAlign w:val="center"/>
          </w:tcPr>
          <w:p w14:paraId="62ADAC72">
            <w:pPr>
              <w:pStyle w:val="133"/>
            </w:pPr>
            <w:r>
              <w:rPr>
                <w:rFonts w:hint="eastAsia"/>
              </w:rPr>
              <w:t>&lt;0.1</w:t>
            </w:r>
          </w:p>
        </w:tc>
        <w:tc>
          <w:tcPr>
            <w:tcW w:w="1295" w:type="pct"/>
            <w:vAlign w:val="center"/>
          </w:tcPr>
          <w:p w14:paraId="3BBD737F">
            <w:pPr>
              <w:pStyle w:val="133"/>
            </w:pPr>
            <w:r>
              <w:rPr>
                <w:rFonts w:hint="eastAsia"/>
              </w:rPr>
              <w:t>&lt;0.1</w:t>
            </w:r>
          </w:p>
        </w:tc>
        <w:tc>
          <w:tcPr>
            <w:tcW w:w="1082" w:type="pct"/>
            <w:vAlign w:val="center"/>
          </w:tcPr>
          <w:p w14:paraId="6E04A00F">
            <w:pPr>
              <w:pStyle w:val="133"/>
            </w:pPr>
            <w:r>
              <w:t>1293</w:t>
            </w:r>
          </w:p>
        </w:tc>
        <w:tc>
          <w:tcPr>
            <w:tcW w:w="486" w:type="pct"/>
            <w:vAlign w:val="center"/>
          </w:tcPr>
          <w:p w14:paraId="427D3FE2">
            <w:pPr>
              <w:pStyle w:val="133"/>
            </w:pPr>
            <w:r>
              <w:t>达标</w:t>
            </w:r>
          </w:p>
        </w:tc>
      </w:tr>
      <w:tr w14:paraId="3A5BE7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15DF703A">
            <w:pPr>
              <w:pStyle w:val="133"/>
            </w:pPr>
            <w:r>
              <w:t>二苯并[a,h]蒽</w:t>
            </w:r>
          </w:p>
        </w:tc>
        <w:tc>
          <w:tcPr>
            <w:tcW w:w="1030" w:type="pct"/>
            <w:vAlign w:val="center"/>
          </w:tcPr>
          <w:p w14:paraId="37E125C8">
            <w:pPr>
              <w:pStyle w:val="133"/>
            </w:pPr>
            <w:r>
              <w:rPr>
                <w:rFonts w:hint="eastAsia"/>
              </w:rPr>
              <w:t>&lt;0.1</w:t>
            </w:r>
          </w:p>
        </w:tc>
        <w:tc>
          <w:tcPr>
            <w:tcW w:w="1295" w:type="pct"/>
            <w:vAlign w:val="center"/>
          </w:tcPr>
          <w:p w14:paraId="537332C9">
            <w:pPr>
              <w:pStyle w:val="133"/>
            </w:pPr>
            <w:r>
              <w:rPr>
                <w:rFonts w:hint="eastAsia"/>
              </w:rPr>
              <w:t>&lt;0.1</w:t>
            </w:r>
          </w:p>
        </w:tc>
        <w:tc>
          <w:tcPr>
            <w:tcW w:w="1082" w:type="pct"/>
            <w:vAlign w:val="center"/>
          </w:tcPr>
          <w:p w14:paraId="05702DA7">
            <w:pPr>
              <w:pStyle w:val="133"/>
            </w:pPr>
            <w:r>
              <w:t>1.5</w:t>
            </w:r>
          </w:p>
        </w:tc>
        <w:tc>
          <w:tcPr>
            <w:tcW w:w="486" w:type="pct"/>
            <w:vAlign w:val="center"/>
          </w:tcPr>
          <w:p w14:paraId="3B9410F9">
            <w:pPr>
              <w:pStyle w:val="133"/>
            </w:pPr>
            <w:r>
              <w:t>达标</w:t>
            </w:r>
          </w:p>
        </w:tc>
      </w:tr>
      <w:tr w14:paraId="7103E3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72DAE718">
            <w:pPr>
              <w:pStyle w:val="133"/>
            </w:pPr>
            <w:r>
              <w:t>茚并[1,2,3-cd]芘</w:t>
            </w:r>
          </w:p>
        </w:tc>
        <w:tc>
          <w:tcPr>
            <w:tcW w:w="1030" w:type="pct"/>
            <w:vAlign w:val="center"/>
          </w:tcPr>
          <w:p w14:paraId="52E06D71">
            <w:pPr>
              <w:pStyle w:val="133"/>
            </w:pPr>
            <w:r>
              <w:rPr>
                <w:rFonts w:hint="eastAsia"/>
              </w:rPr>
              <w:t>&lt;</w:t>
            </w:r>
            <w:r>
              <w:t>0.</w:t>
            </w:r>
            <w:r>
              <w:rPr>
                <w:rFonts w:hint="eastAsia"/>
              </w:rPr>
              <w:t>1</w:t>
            </w:r>
          </w:p>
        </w:tc>
        <w:tc>
          <w:tcPr>
            <w:tcW w:w="1295" w:type="pct"/>
            <w:vAlign w:val="center"/>
          </w:tcPr>
          <w:p w14:paraId="06D36D48">
            <w:pPr>
              <w:pStyle w:val="133"/>
            </w:pPr>
            <w:r>
              <w:rPr>
                <w:rFonts w:hint="eastAsia"/>
              </w:rPr>
              <w:t>&lt;</w:t>
            </w:r>
            <w:r>
              <w:t>0.</w:t>
            </w:r>
            <w:r>
              <w:rPr>
                <w:rFonts w:hint="eastAsia"/>
              </w:rPr>
              <w:t>1</w:t>
            </w:r>
          </w:p>
        </w:tc>
        <w:tc>
          <w:tcPr>
            <w:tcW w:w="1082" w:type="pct"/>
            <w:vAlign w:val="center"/>
          </w:tcPr>
          <w:p w14:paraId="781425D7">
            <w:pPr>
              <w:pStyle w:val="133"/>
            </w:pPr>
            <w:r>
              <w:t>15</w:t>
            </w:r>
          </w:p>
        </w:tc>
        <w:tc>
          <w:tcPr>
            <w:tcW w:w="486" w:type="pct"/>
            <w:vAlign w:val="center"/>
          </w:tcPr>
          <w:p w14:paraId="37FC9C45">
            <w:pPr>
              <w:pStyle w:val="133"/>
            </w:pPr>
            <w:r>
              <w:t>达标</w:t>
            </w:r>
          </w:p>
        </w:tc>
      </w:tr>
      <w:tr w14:paraId="2ED6A9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3D4CB5CC">
            <w:pPr>
              <w:pStyle w:val="133"/>
            </w:pPr>
            <w:r>
              <w:t>萘</w:t>
            </w:r>
          </w:p>
        </w:tc>
        <w:tc>
          <w:tcPr>
            <w:tcW w:w="1030" w:type="pct"/>
            <w:vAlign w:val="center"/>
          </w:tcPr>
          <w:p w14:paraId="42E728C1">
            <w:pPr>
              <w:pStyle w:val="133"/>
            </w:pPr>
            <w:r>
              <w:rPr>
                <w:rFonts w:hint="eastAsia"/>
              </w:rPr>
              <w:t>&lt;0.09</w:t>
            </w:r>
          </w:p>
        </w:tc>
        <w:tc>
          <w:tcPr>
            <w:tcW w:w="1295" w:type="pct"/>
            <w:vAlign w:val="center"/>
          </w:tcPr>
          <w:p w14:paraId="39133F31">
            <w:pPr>
              <w:pStyle w:val="133"/>
            </w:pPr>
            <w:r>
              <w:rPr>
                <w:rFonts w:hint="eastAsia"/>
              </w:rPr>
              <w:t>&lt;0.09</w:t>
            </w:r>
          </w:p>
        </w:tc>
        <w:tc>
          <w:tcPr>
            <w:tcW w:w="1082" w:type="pct"/>
            <w:vAlign w:val="center"/>
          </w:tcPr>
          <w:p w14:paraId="326C14CA">
            <w:pPr>
              <w:pStyle w:val="133"/>
            </w:pPr>
            <w:r>
              <w:t>70</w:t>
            </w:r>
          </w:p>
        </w:tc>
        <w:tc>
          <w:tcPr>
            <w:tcW w:w="486" w:type="pct"/>
            <w:vAlign w:val="center"/>
          </w:tcPr>
          <w:p w14:paraId="776668FD">
            <w:pPr>
              <w:pStyle w:val="133"/>
            </w:pPr>
            <w:r>
              <w:t>达标</w:t>
            </w:r>
          </w:p>
        </w:tc>
      </w:tr>
      <w:tr w14:paraId="5E2ACE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7C2E6348">
            <w:pPr>
              <w:pStyle w:val="133"/>
            </w:pPr>
            <w:r>
              <w:t>氰化物</w:t>
            </w:r>
          </w:p>
        </w:tc>
        <w:tc>
          <w:tcPr>
            <w:tcW w:w="1030" w:type="pct"/>
            <w:vAlign w:val="center"/>
          </w:tcPr>
          <w:p w14:paraId="1AA3B333">
            <w:pPr>
              <w:pStyle w:val="133"/>
            </w:pPr>
            <w:r>
              <w:rPr>
                <w:rFonts w:hint="eastAsia"/>
              </w:rPr>
              <w:t>0.04</w:t>
            </w:r>
          </w:p>
        </w:tc>
        <w:tc>
          <w:tcPr>
            <w:tcW w:w="1295" w:type="pct"/>
            <w:vAlign w:val="center"/>
          </w:tcPr>
          <w:p w14:paraId="151E70B0">
            <w:pPr>
              <w:pStyle w:val="133"/>
            </w:pPr>
            <w:r>
              <w:rPr>
                <w:rFonts w:hint="eastAsia"/>
              </w:rPr>
              <w:t>0.05</w:t>
            </w:r>
          </w:p>
        </w:tc>
        <w:tc>
          <w:tcPr>
            <w:tcW w:w="1082" w:type="pct"/>
            <w:vAlign w:val="center"/>
          </w:tcPr>
          <w:p w14:paraId="4BD5DC84">
            <w:pPr>
              <w:pStyle w:val="133"/>
            </w:pPr>
            <w:r>
              <w:t>135</w:t>
            </w:r>
          </w:p>
        </w:tc>
        <w:tc>
          <w:tcPr>
            <w:tcW w:w="486" w:type="pct"/>
            <w:vAlign w:val="center"/>
          </w:tcPr>
          <w:p w14:paraId="66797FDA">
            <w:pPr>
              <w:pStyle w:val="133"/>
            </w:pPr>
            <w:r>
              <w:t>达标</w:t>
            </w:r>
          </w:p>
        </w:tc>
      </w:tr>
      <w:tr w14:paraId="23C6D0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7" w:type="pct"/>
            <w:vAlign w:val="center"/>
          </w:tcPr>
          <w:p w14:paraId="2B3FD099">
            <w:pPr>
              <w:pStyle w:val="133"/>
            </w:pPr>
            <w:r>
              <w:rPr>
                <w:rFonts w:hint="eastAsia"/>
                <w:bCs/>
                <w:szCs w:val="21"/>
              </w:rPr>
              <w:t>石油烃（</w:t>
            </w:r>
            <w:r>
              <w:rPr>
                <w:bCs/>
                <w:szCs w:val="21"/>
              </w:rPr>
              <w:t>C</w:t>
            </w:r>
            <w:r>
              <w:rPr>
                <w:bCs/>
                <w:szCs w:val="21"/>
                <w:vertAlign w:val="subscript"/>
              </w:rPr>
              <w:t>10</w:t>
            </w:r>
            <w:r>
              <w:rPr>
                <w:bCs/>
                <w:szCs w:val="21"/>
              </w:rPr>
              <w:t>~C</w:t>
            </w:r>
            <w:r>
              <w:rPr>
                <w:bCs/>
                <w:szCs w:val="21"/>
                <w:vertAlign w:val="subscript"/>
              </w:rPr>
              <w:t>40</w:t>
            </w:r>
            <w:r>
              <w:rPr>
                <w:rFonts w:hint="eastAsia"/>
                <w:bCs/>
                <w:szCs w:val="21"/>
                <w:vertAlign w:val="subscript"/>
              </w:rPr>
              <w:t>）</w:t>
            </w:r>
          </w:p>
        </w:tc>
        <w:tc>
          <w:tcPr>
            <w:tcW w:w="1030" w:type="pct"/>
            <w:vAlign w:val="center"/>
          </w:tcPr>
          <w:p w14:paraId="4A3252DA">
            <w:pPr>
              <w:pStyle w:val="133"/>
            </w:pPr>
            <w:r>
              <w:t>61</w:t>
            </w:r>
          </w:p>
        </w:tc>
        <w:tc>
          <w:tcPr>
            <w:tcW w:w="1295" w:type="pct"/>
            <w:vAlign w:val="center"/>
          </w:tcPr>
          <w:p w14:paraId="07A143CD">
            <w:pPr>
              <w:pStyle w:val="133"/>
            </w:pPr>
            <w:r>
              <w:t>44</w:t>
            </w:r>
          </w:p>
        </w:tc>
        <w:tc>
          <w:tcPr>
            <w:tcW w:w="1082" w:type="pct"/>
            <w:vAlign w:val="center"/>
          </w:tcPr>
          <w:p w14:paraId="50B2B157">
            <w:pPr>
              <w:pStyle w:val="133"/>
            </w:pPr>
            <w:r>
              <w:t>4500</w:t>
            </w:r>
          </w:p>
        </w:tc>
        <w:tc>
          <w:tcPr>
            <w:tcW w:w="486" w:type="pct"/>
            <w:vAlign w:val="center"/>
          </w:tcPr>
          <w:p w14:paraId="724A3457">
            <w:pPr>
              <w:pStyle w:val="133"/>
            </w:pPr>
            <w:r>
              <w:rPr>
                <w:rFonts w:hint="eastAsia"/>
              </w:rPr>
              <w:t>达标</w:t>
            </w:r>
          </w:p>
        </w:tc>
      </w:tr>
    </w:tbl>
    <w:p w14:paraId="1D3442D9">
      <w:pPr>
        <w:pStyle w:val="133"/>
      </w:pPr>
    </w:p>
    <w:p w14:paraId="78F5481C">
      <w:pPr>
        <w:pStyle w:val="118"/>
      </w:pPr>
      <w:r>
        <w:rPr>
          <w:rFonts w:hint="eastAsia"/>
        </w:rPr>
        <w:t>表4.</w:t>
      </w:r>
      <w:r>
        <w:t>6</w:t>
      </w:r>
      <w:r>
        <w:rPr>
          <w:rFonts w:hint="eastAsia"/>
        </w:rPr>
        <w:t>-</w:t>
      </w:r>
      <w:r>
        <w:t>3</w:t>
      </w:r>
      <w:r>
        <w:rPr>
          <w:rFonts w:hint="eastAsia"/>
        </w:rPr>
        <w:t xml:space="preserve">  土壤质量现状监测及评价结果     单位：mg/kg</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83"/>
        <w:gridCol w:w="1138"/>
        <w:gridCol w:w="1013"/>
        <w:gridCol w:w="1070"/>
        <w:gridCol w:w="1120"/>
        <w:gridCol w:w="968"/>
        <w:gridCol w:w="802"/>
        <w:gridCol w:w="1111"/>
      </w:tblGrid>
      <w:tr w14:paraId="02A8A9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19" w:type="pct"/>
            <w:vMerge w:val="restart"/>
            <w:vAlign w:val="center"/>
          </w:tcPr>
          <w:p w14:paraId="74DC4CBC">
            <w:pPr>
              <w:pStyle w:val="133"/>
              <w:rPr>
                <w:b/>
                <w:bCs/>
              </w:rPr>
            </w:pPr>
            <w:r>
              <w:rPr>
                <w:b/>
                <w:bCs/>
              </w:rPr>
              <w:t>采样地点</w:t>
            </w:r>
          </w:p>
          <w:p w14:paraId="4278BE29">
            <w:pPr>
              <w:pStyle w:val="133"/>
              <w:rPr>
                <w:b/>
                <w:bCs/>
              </w:rPr>
            </w:pPr>
            <w:r>
              <w:rPr>
                <w:b/>
                <w:bCs/>
              </w:rPr>
              <w:t>监测项目</w:t>
            </w:r>
          </w:p>
        </w:tc>
        <w:tc>
          <w:tcPr>
            <w:tcW w:w="1730" w:type="pct"/>
            <w:gridSpan w:val="3"/>
            <w:tcBorders>
              <w:right w:val="single" w:color="auto" w:sz="4" w:space="0"/>
            </w:tcBorders>
            <w:vAlign w:val="center"/>
          </w:tcPr>
          <w:p w14:paraId="2D23FA18">
            <w:pPr>
              <w:pStyle w:val="133"/>
              <w:rPr>
                <w:b/>
                <w:bCs/>
              </w:rPr>
            </w:pPr>
            <w:r>
              <w:rPr>
                <w:b/>
                <w:bCs/>
              </w:rPr>
              <w:t>厂区内</w:t>
            </w:r>
            <w:r>
              <w:rPr>
                <w:rFonts w:hint="eastAsia"/>
                <w:b/>
                <w:bCs/>
              </w:rPr>
              <w:t>2</w:t>
            </w:r>
            <w:r>
              <w:rPr>
                <w:b/>
                <w:bCs/>
              </w:rPr>
              <w:t>#</w:t>
            </w:r>
          </w:p>
          <w:p w14:paraId="583E4455">
            <w:pPr>
              <w:pStyle w:val="133"/>
              <w:rPr>
                <w:b/>
                <w:bCs/>
              </w:rPr>
            </w:pPr>
            <w:r>
              <w:rPr>
                <w:b/>
                <w:bCs/>
              </w:rPr>
              <w:t>柱状样</w:t>
            </w:r>
          </w:p>
        </w:tc>
        <w:tc>
          <w:tcPr>
            <w:tcW w:w="1122" w:type="pct"/>
            <w:gridSpan w:val="2"/>
            <w:tcBorders>
              <w:left w:val="single" w:color="auto" w:sz="4" w:space="0"/>
            </w:tcBorders>
            <w:vAlign w:val="center"/>
          </w:tcPr>
          <w:p w14:paraId="67D05402">
            <w:pPr>
              <w:pStyle w:val="133"/>
              <w:rPr>
                <w:b/>
                <w:bCs/>
              </w:rPr>
            </w:pPr>
            <w:r>
              <w:rPr>
                <w:b/>
                <w:bCs/>
              </w:rPr>
              <w:t>厂区内</w:t>
            </w:r>
            <w:r>
              <w:rPr>
                <w:rFonts w:hint="eastAsia"/>
                <w:b/>
                <w:bCs/>
              </w:rPr>
              <w:t>3</w:t>
            </w:r>
            <w:r>
              <w:rPr>
                <w:b/>
                <w:bCs/>
              </w:rPr>
              <w:t>#</w:t>
            </w:r>
          </w:p>
          <w:p w14:paraId="3E33B67B">
            <w:pPr>
              <w:pStyle w:val="133"/>
              <w:rPr>
                <w:b/>
                <w:bCs/>
              </w:rPr>
            </w:pPr>
            <w:r>
              <w:rPr>
                <w:b/>
                <w:bCs/>
              </w:rPr>
              <w:t>柱状样</w:t>
            </w:r>
          </w:p>
        </w:tc>
        <w:tc>
          <w:tcPr>
            <w:tcW w:w="431" w:type="pct"/>
            <w:vMerge w:val="restart"/>
            <w:vAlign w:val="center"/>
          </w:tcPr>
          <w:p w14:paraId="60EC59C8">
            <w:pPr>
              <w:pStyle w:val="133"/>
              <w:rPr>
                <w:b/>
                <w:bCs/>
              </w:rPr>
            </w:pPr>
            <w:r>
              <w:rPr>
                <w:b/>
                <w:bCs/>
              </w:rPr>
              <w:t>第二类用地筛选值</w:t>
            </w:r>
          </w:p>
        </w:tc>
        <w:tc>
          <w:tcPr>
            <w:tcW w:w="597" w:type="pct"/>
            <w:vMerge w:val="restart"/>
            <w:vAlign w:val="center"/>
          </w:tcPr>
          <w:p w14:paraId="663D4A56">
            <w:pPr>
              <w:pStyle w:val="133"/>
              <w:rPr>
                <w:b/>
                <w:bCs/>
              </w:rPr>
            </w:pPr>
            <w:r>
              <w:rPr>
                <w:b/>
                <w:bCs/>
              </w:rPr>
              <w:t>评价</w:t>
            </w:r>
          </w:p>
          <w:p w14:paraId="5859A8AC">
            <w:pPr>
              <w:pStyle w:val="133"/>
              <w:rPr>
                <w:b/>
                <w:bCs/>
              </w:rPr>
            </w:pPr>
            <w:r>
              <w:rPr>
                <w:b/>
                <w:bCs/>
              </w:rPr>
              <w:t>结果</w:t>
            </w:r>
          </w:p>
        </w:tc>
      </w:tr>
      <w:tr w14:paraId="566D69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119" w:type="pct"/>
            <w:vMerge w:val="continue"/>
            <w:vAlign w:val="center"/>
          </w:tcPr>
          <w:p w14:paraId="1B84E75F">
            <w:pPr>
              <w:pStyle w:val="133"/>
              <w:rPr>
                <w:b/>
                <w:bCs/>
              </w:rPr>
            </w:pPr>
          </w:p>
        </w:tc>
        <w:tc>
          <w:tcPr>
            <w:tcW w:w="611" w:type="pct"/>
            <w:vAlign w:val="center"/>
          </w:tcPr>
          <w:p w14:paraId="54ACD8F7">
            <w:pPr>
              <w:pStyle w:val="133"/>
              <w:rPr>
                <w:b/>
                <w:bCs/>
              </w:rPr>
            </w:pPr>
            <w:r>
              <w:rPr>
                <w:rFonts w:hint="eastAsia"/>
                <w:b/>
                <w:bCs/>
              </w:rPr>
              <w:t>0.5m</w:t>
            </w:r>
          </w:p>
        </w:tc>
        <w:tc>
          <w:tcPr>
            <w:tcW w:w="544" w:type="pct"/>
            <w:vAlign w:val="center"/>
          </w:tcPr>
          <w:p w14:paraId="060C6815">
            <w:pPr>
              <w:pStyle w:val="133"/>
              <w:rPr>
                <w:b/>
                <w:bCs/>
              </w:rPr>
            </w:pPr>
            <w:r>
              <w:rPr>
                <w:b/>
                <w:bCs/>
              </w:rPr>
              <w:t>1m</w:t>
            </w:r>
          </w:p>
        </w:tc>
        <w:tc>
          <w:tcPr>
            <w:tcW w:w="575" w:type="pct"/>
            <w:tcBorders>
              <w:right w:val="single" w:color="auto" w:sz="4" w:space="0"/>
            </w:tcBorders>
            <w:vAlign w:val="center"/>
          </w:tcPr>
          <w:p w14:paraId="250193C5">
            <w:pPr>
              <w:pStyle w:val="133"/>
              <w:rPr>
                <w:b/>
                <w:bCs/>
              </w:rPr>
            </w:pPr>
            <w:r>
              <w:rPr>
                <w:b/>
                <w:bCs/>
              </w:rPr>
              <w:t>1.5m</w:t>
            </w:r>
          </w:p>
        </w:tc>
        <w:tc>
          <w:tcPr>
            <w:tcW w:w="602" w:type="pct"/>
            <w:tcBorders>
              <w:left w:val="single" w:color="auto" w:sz="4" w:space="0"/>
            </w:tcBorders>
            <w:vAlign w:val="center"/>
          </w:tcPr>
          <w:p w14:paraId="488EB180">
            <w:pPr>
              <w:pStyle w:val="133"/>
              <w:rPr>
                <w:b/>
                <w:bCs/>
              </w:rPr>
            </w:pPr>
            <w:r>
              <w:rPr>
                <w:rFonts w:hint="eastAsia"/>
                <w:b/>
                <w:bCs/>
              </w:rPr>
              <w:t>1.0m</w:t>
            </w:r>
          </w:p>
        </w:tc>
        <w:tc>
          <w:tcPr>
            <w:tcW w:w="520" w:type="pct"/>
            <w:vAlign w:val="center"/>
          </w:tcPr>
          <w:p w14:paraId="253C5989">
            <w:pPr>
              <w:pStyle w:val="133"/>
              <w:rPr>
                <w:b/>
                <w:bCs/>
              </w:rPr>
            </w:pPr>
            <w:r>
              <w:rPr>
                <w:b/>
                <w:bCs/>
              </w:rPr>
              <w:t>1.5m</w:t>
            </w:r>
          </w:p>
        </w:tc>
        <w:tc>
          <w:tcPr>
            <w:tcW w:w="431" w:type="pct"/>
            <w:vMerge w:val="continue"/>
            <w:vAlign w:val="center"/>
          </w:tcPr>
          <w:p w14:paraId="1743B50A">
            <w:pPr>
              <w:pStyle w:val="133"/>
            </w:pPr>
          </w:p>
        </w:tc>
        <w:tc>
          <w:tcPr>
            <w:tcW w:w="597" w:type="pct"/>
            <w:vMerge w:val="continue"/>
            <w:vAlign w:val="center"/>
          </w:tcPr>
          <w:p w14:paraId="1B84F310">
            <w:pPr>
              <w:pStyle w:val="133"/>
            </w:pPr>
          </w:p>
        </w:tc>
      </w:tr>
      <w:tr w14:paraId="29B320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3E7B1864">
            <w:pPr>
              <w:pStyle w:val="133"/>
            </w:pPr>
            <w:r>
              <w:t>pH值</w:t>
            </w:r>
          </w:p>
        </w:tc>
        <w:tc>
          <w:tcPr>
            <w:tcW w:w="611" w:type="pct"/>
            <w:vAlign w:val="center"/>
          </w:tcPr>
          <w:p w14:paraId="13637D50">
            <w:pPr>
              <w:pStyle w:val="133"/>
            </w:pPr>
            <w:r>
              <w:rPr>
                <w:rFonts w:hint="eastAsia"/>
              </w:rPr>
              <w:t>7.94</w:t>
            </w:r>
          </w:p>
        </w:tc>
        <w:tc>
          <w:tcPr>
            <w:tcW w:w="544" w:type="pct"/>
            <w:vAlign w:val="center"/>
          </w:tcPr>
          <w:p w14:paraId="6ACB1664">
            <w:pPr>
              <w:pStyle w:val="133"/>
            </w:pPr>
            <w:r>
              <w:rPr>
                <w:rFonts w:hint="eastAsia"/>
              </w:rPr>
              <w:t>7.95</w:t>
            </w:r>
          </w:p>
        </w:tc>
        <w:tc>
          <w:tcPr>
            <w:tcW w:w="575" w:type="pct"/>
            <w:vAlign w:val="center"/>
          </w:tcPr>
          <w:p w14:paraId="0C26DA3D">
            <w:pPr>
              <w:pStyle w:val="133"/>
            </w:pPr>
            <w:r>
              <w:rPr>
                <w:rFonts w:hint="eastAsia"/>
              </w:rPr>
              <w:t>8.03</w:t>
            </w:r>
          </w:p>
        </w:tc>
        <w:tc>
          <w:tcPr>
            <w:tcW w:w="602" w:type="pct"/>
            <w:vAlign w:val="center"/>
          </w:tcPr>
          <w:p w14:paraId="498F1CD1">
            <w:pPr>
              <w:pStyle w:val="133"/>
            </w:pPr>
            <w:r>
              <w:rPr>
                <w:rFonts w:hint="eastAsia"/>
              </w:rPr>
              <w:t>8.01</w:t>
            </w:r>
          </w:p>
        </w:tc>
        <w:tc>
          <w:tcPr>
            <w:tcW w:w="520" w:type="pct"/>
            <w:vAlign w:val="center"/>
          </w:tcPr>
          <w:p w14:paraId="125162C8">
            <w:pPr>
              <w:pStyle w:val="133"/>
            </w:pPr>
            <w:r>
              <w:rPr>
                <w:rFonts w:hint="eastAsia"/>
              </w:rPr>
              <w:t>8.09</w:t>
            </w:r>
          </w:p>
        </w:tc>
        <w:tc>
          <w:tcPr>
            <w:tcW w:w="431" w:type="pct"/>
            <w:vAlign w:val="center"/>
          </w:tcPr>
          <w:p w14:paraId="574758DD">
            <w:pPr>
              <w:pStyle w:val="133"/>
            </w:pPr>
            <w:r>
              <w:rPr>
                <w:rFonts w:hint="eastAsia"/>
              </w:rPr>
              <w:t>-</w:t>
            </w:r>
          </w:p>
        </w:tc>
        <w:tc>
          <w:tcPr>
            <w:tcW w:w="597" w:type="pct"/>
            <w:vAlign w:val="center"/>
          </w:tcPr>
          <w:p w14:paraId="6728F7B1">
            <w:pPr>
              <w:pStyle w:val="133"/>
            </w:pPr>
            <w:r>
              <w:rPr>
                <w:rFonts w:hint="eastAsia"/>
              </w:rPr>
              <w:t>-</w:t>
            </w:r>
          </w:p>
        </w:tc>
      </w:tr>
      <w:tr w14:paraId="67227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57E87CF4">
            <w:pPr>
              <w:pStyle w:val="133"/>
            </w:pPr>
            <w:r>
              <w:t>总砷</w:t>
            </w:r>
          </w:p>
        </w:tc>
        <w:tc>
          <w:tcPr>
            <w:tcW w:w="611" w:type="pct"/>
            <w:vAlign w:val="center"/>
          </w:tcPr>
          <w:p w14:paraId="0D0E90B5">
            <w:pPr>
              <w:pStyle w:val="133"/>
            </w:pPr>
            <w:r>
              <w:rPr>
                <w:rFonts w:hint="eastAsia"/>
              </w:rPr>
              <w:t>7.00</w:t>
            </w:r>
          </w:p>
        </w:tc>
        <w:tc>
          <w:tcPr>
            <w:tcW w:w="544" w:type="pct"/>
            <w:vAlign w:val="center"/>
          </w:tcPr>
          <w:p w14:paraId="02D23118">
            <w:pPr>
              <w:pStyle w:val="133"/>
            </w:pPr>
            <w:r>
              <w:rPr>
                <w:rFonts w:hint="eastAsia"/>
              </w:rPr>
              <w:t>6.51</w:t>
            </w:r>
          </w:p>
        </w:tc>
        <w:tc>
          <w:tcPr>
            <w:tcW w:w="575" w:type="pct"/>
            <w:vAlign w:val="center"/>
          </w:tcPr>
          <w:p w14:paraId="54B2282E">
            <w:pPr>
              <w:pStyle w:val="133"/>
            </w:pPr>
            <w:r>
              <w:rPr>
                <w:rFonts w:hint="eastAsia"/>
              </w:rPr>
              <w:t>6.49</w:t>
            </w:r>
          </w:p>
        </w:tc>
        <w:tc>
          <w:tcPr>
            <w:tcW w:w="602" w:type="pct"/>
            <w:vAlign w:val="center"/>
          </w:tcPr>
          <w:p w14:paraId="51BC4AF9">
            <w:pPr>
              <w:pStyle w:val="133"/>
            </w:pPr>
            <w:r>
              <w:rPr>
                <w:rFonts w:hint="eastAsia"/>
              </w:rPr>
              <w:t>6.56</w:t>
            </w:r>
          </w:p>
        </w:tc>
        <w:tc>
          <w:tcPr>
            <w:tcW w:w="520" w:type="pct"/>
            <w:vAlign w:val="center"/>
          </w:tcPr>
          <w:p w14:paraId="3F951045">
            <w:pPr>
              <w:pStyle w:val="133"/>
            </w:pPr>
            <w:r>
              <w:rPr>
                <w:rFonts w:hint="eastAsia"/>
              </w:rPr>
              <w:t>6.52</w:t>
            </w:r>
          </w:p>
        </w:tc>
        <w:tc>
          <w:tcPr>
            <w:tcW w:w="431" w:type="pct"/>
            <w:vAlign w:val="center"/>
          </w:tcPr>
          <w:p w14:paraId="549DEA6D">
            <w:pPr>
              <w:pStyle w:val="133"/>
            </w:pPr>
            <w:r>
              <w:t>60</w:t>
            </w:r>
          </w:p>
        </w:tc>
        <w:tc>
          <w:tcPr>
            <w:tcW w:w="597" w:type="pct"/>
            <w:vAlign w:val="center"/>
          </w:tcPr>
          <w:p w14:paraId="49373CC0">
            <w:pPr>
              <w:pStyle w:val="133"/>
            </w:pPr>
            <w:r>
              <w:t>达标</w:t>
            </w:r>
          </w:p>
        </w:tc>
      </w:tr>
      <w:tr w14:paraId="51FD61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2FC2834E">
            <w:pPr>
              <w:pStyle w:val="133"/>
            </w:pPr>
            <w:r>
              <w:t>镉</w:t>
            </w:r>
          </w:p>
        </w:tc>
        <w:tc>
          <w:tcPr>
            <w:tcW w:w="611" w:type="pct"/>
            <w:vAlign w:val="center"/>
          </w:tcPr>
          <w:p w14:paraId="54340168">
            <w:pPr>
              <w:pStyle w:val="133"/>
            </w:pPr>
            <w:r>
              <w:rPr>
                <w:rFonts w:hint="eastAsia"/>
              </w:rPr>
              <w:t>0.12</w:t>
            </w:r>
          </w:p>
        </w:tc>
        <w:tc>
          <w:tcPr>
            <w:tcW w:w="544" w:type="pct"/>
            <w:vAlign w:val="center"/>
          </w:tcPr>
          <w:p w14:paraId="6A26C3DA">
            <w:pPr>
              <w:pStyle w:val="133"/>
            </w:pPr>
            <w:r>
              <w:rPr>
                <w:rFonts w:hint="eastAsia"/>
              </w:rPr>
              <w:t>0.12</w:t>
            </w:r>
          </w:p>
        </w:tc>
        <w:tc>
          <w:tcPr>
            <w:tcW w:w="575" w:type="pct"/>
            <w:vAlign w:val="center"/>
          </w:tcPr>
          <w:p w14:paraId="6C347090">
            <w:pPr>
              <w:pStyle w:val="133"/>
            </w:pPr>
            <w:r>
              <w:rPr>
                <w:rFonts w:hint="eastAsia"/>
              </w:rPr>
              <w:t>0.11</w:t>
            </w:r>
          </w:p>
        </w:tc>
        <w:tc>
          <w:tcPr>
            <w:tcW w:w="602" w:type="pct"/>
            <w:vAlign w:val="center"/>
          </w:tcPr>
          <w:p w14:paraId="32CF3382">
            <w:pPr>
              <w:pStyle w:val="133"/>
            </w:pPr>
            <w:r>
              <w:rPr>
                <w:rFonts w:hint="eastAsia"/>
              </w:rPr>
              <w:t>0.11</w:t>
            </w:r>
          </w:p>
        </w:tc>
        <w:tc>
          <w:tcPr>
            <w:tcW w:w="520" w:type="pct"/>
            <w:vAlign w:val="center"/>
          </w:tcPr>
          <w:p w14:paraId="51F7CAFB">
            <w:pPr>
              <w:pStyle w:val="133"/>
            </w:pPr>
            <w:r>
              <w:rPr>
                <w:rFonts w:hint="eastAsia"/>
              </w:rPr>
              <w:t>0.11</w:t>
            </w:r>
          </w:p>
        </w:tc>
        <w:tc>
          <w:tcPr>
            <w:tcW w:w="431" w:type="pct"/>
            <w:vAlign w:val="center"/>
          </w:tcPr>
          <w:p w14:paraId="2A32E756">
            <w:pPr>
              <w:pStyle w:val="133"/>
            </w:pPr>
            <w:r>
              <w:t>65</w:t>
            </w:r>
          </w:p>
        </w:tc>
        <w:tc>
          <w:tcPr>
            <w:tcW w:w="597" w:type="pct"/>
            <w:vAlign w:val="center"/>
          </w:tcPr>
          <w:p w14:paraId="7DE19426">
            <w:pPr>
              <w:pStyle w:val="133"/>
            </w:pPr>
            <w:r>
              <w:t>达标</w:t>
            </w:r>
          </w:p>
        </w:tc>
      </w:tr>
      <w:tr w14:paraId="1FBA6B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0099FF73">
            <w:pPr>
              <w:pStyle w:val="133"/>
            </w:pPr>
            <w:r>
              <w:t>铬（六价）</w:t>
            </w:r>
          </w:p>
        </w:tc>
        <w:tc>
          <w:tcPr>
            <w:tcW w:w="611" w:type="pct"/>
            <w:vAlign w:val="center"/>
          </w:tcPr>
          <w:p w14:paraId="2EE99613">
            <w:pPr>
              <w:pStyle w:val="133"/>
            </w:pPr>
            <w:r>
              <w:rPr>
                <w:rFonts w:hint="eastAsia"/>
              </w:rPr>
              <w:t>&lt;0.5</w:t>
            </w:r>
          </w:p>
        </w:tc>
        <w:tc>
          <w:tcPr>
            <w:tcW w:w="544" w:type="pct"/>
            <w:vAlign w:val="center"/>
          </w:tcPr>
          <w:p w14:paraId="522F32B1">
            <w:pPr>
              <w:pStyle w:val="133"/>
            </w:pPr>
            <w:r>
              <w:rPr>
                <w:rFonts w:hint="eastAsia"/>
              </w:rPr>
              <w:t>&lt;0.5</w:t>
            </w:r>
          </w:p>
        </w:tc>
        <w:tc>
          <w:tcPr>
            <w:tcW w:w="575" w:type="pct"/>
            <w:vAlign w:val="center"/>
          </w:tcPr>
          <w:p w14:paraId="77B882D5">
            <w:pPr>
              <w:pStyle w:val="133"/>
            </w:pPr>
            <w:r>
              <w:rPr>
                <w:rFonts w:hint="eastAsia"/>
              </w:rPr>
              <w:t>&lt;0.5</w:t>
            </w:r>
          </w:p>
        </w:tc>
        <w:tc>
          <w:tcPr>
            <w:tcW w:w="602" w:type="pct"/>
            <w:vAlign w:val="center"/>
          </w:tcPr>
          <w:p w14:paraId="7C801552">
            <w:pPr>
              <w:pStyle w:val="133"/>
            </w:pPr>
            <w:r>
              <w:rPr>
                <w:rFonts w:hint="eastAsia"/>
              </w:rPr>
              <w:t>&lt;0.5</w:t>
            </w:r>
          </w:p>
        </w:tc>
        <w:tc>
          <w:tcPr>
            <w:tcW w:w="520" w:type="pct"/>
            <w:vAlign w:val="center"/>
          </w:tcPr>
          <w:p w14:paraId="58BED303">
            <w:pPr>
              <w:pStyle w:val="133"/>
            </w:pPr>
            <w:r>
              <w:rPr>
                <w:rFonts w:hint="eastAsia"/>
              </w:rPr>
              <w:t>&lt;0.5</w:t>
            </w:r>
          </w:p>
        </w:tc>
        <w:tc>
          <w:tcPr>
            <w:tcW w:w="431" w:type="pct"/>
            <w:vAlign w:val="center"/>
          </w:tcPr>
          <w:p w14:paraId="2BB20D68">
            <w:pPr>
              <w:pStyle w:val="133"/>
            </w:pPr>
            <w:r>
              <w:t>5.7</w:t>
            </w:r>
          </w:p>
        </w:tc>
        <w:tc>
          <w:tcPr>
            <w:tcW w:w="597" w:type="pct"/>
            <w:vAlign w:val="center"/>
          </w:tcPr>
          <w:p w14:paraId="68B91729">
            <w:pPr>
              <w:pStyle w:val="133"/>
            </w:pPr>
            <w:r>
              <w:t>达标</w:t>
            </w:r>
          </w:p>
        </w:tc>
      </w:tr>
      <w:tr w14:paraId="3C9C64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4DBD7430">
            <w:pPr>
              <w:pStyle w:val="133"/>
            </w:pPr>
            <w:r>
              <w:t>铜</w:t>
            </w:r>
          </w:p>
        </w:tc>
        <w:tc>
          <w:tcPr>
            <w:tcW w:w="611" w:type="pct"/>
            <w:vAlign w:val="center"/>
          </w:tcPr>
          <w:p w14:paraId="781F3F75">
            <w:pPr>
              <w:pStyle w:val="133"/>
            </w:pPr>
            <w:r>
              <w:rPr>
                <w:rFonts w:hint="eastAsia"/>
              </w:rPr>
              <w:t>16</w:t>
            </w:r>
          </w:p>
        </w:tc>
        <w:tc>
          <w:tcPr>
            <w:tcW w:w="544" w:type="pct"/>
            <w:vAlign w:val="center"/>
          </w:tcPr>
          <w:p w14:paraId="61D26C87">
            <w:pPr>
              <w:pStyle w:val="133"/>
            </w:pPr>
            <w:r>
              <w:rPr>
                <w:rFonts w:hint="eastAsia"/>
              </w:rPr>
              <w:t>16</w:t>
            </w:r>
          </w:p>
        </w:tc>
        <w:tc>
          <w:tcPr>
            <w:tcW w:w="575" w:type="pct"/>
            <w:vAlign w:val="center"/>
          </w:tcPr>
          <w:p w14:paraId="609A6F27">
            <w:pPr>
              <w:pStyle w:val="133"/>
            </w:pPr>
            <w:r>
              <w:rPr>
                <w:rFonts w:hint="eastAsia"/>
              </w:rPr>
              <w:t>15</w:t>
            </w:r>
          </w:p>
        </w:tc>
        <w:tc>
          <w:tcPr>
            <w:tcW w:w="602" w:type="pct"/>
            <w:vAlign w:val="center"/>
          </w:tcPr>
          <w:p w14:paraId="1FA70B87">
            <w:pPr>
              <w:pStyle w:val="133"/>
            </w:pPr>
            <w:r>
              <w:rPr>
                <w:rFonts w:hint="eastAsia"/>
              </w:rPr>
              <w:t>16</w:t>
            </w:r>
          </w:p>
        </w:tc>
        <w:tc>
          <w:tcPr>
            <w:tcW w:w="520" w:type="pct"/>
            <w:vAlign w:val="center"/>
          </w:tcPr>
          <w:p w14:paraId="66720425">
            <w:pPr>
              <w:pStyle w:val="133"/>
            </w:pPr>
            <w:r>
              <w:rPr>
                <w:rFonts w:hint="eastAsia"/>
              </w:rPr>
              <w:t>16</w:t>
            </w:r>
          </w:p>
        </w:tc>
        <w:tc>
          <w:tcPr>
            <w:tcW w:w="431" w:type="pct"/>
            <w:vAlign w:val="center"/>
          </w:tcPr>
          <w:p w14:paraId="3F15F1EF">
            <w:pPr>
              <w:pStyle w:val="133"/>
            </w:pPr>
            <w:r>
              <w:t>18000</w:t>
            </w:r>
          </w:p>
        </w:tc>
        <w:tc>
          <w:tcPr>
            <w:tcW w:w="597" w:type="pct"/>
            <w:vAlign w:val="center"/>
          </w:tcPr>
          <w:p w14:paraId="47EF2648">
            <w:pPr>
              <w:pStyle w:val="133"/>
            </w:pPr>
            <w:r>
              <w:t>达标</w:t>
            </w:r>
          </w:p>
        </w:tc>
      </w:tr>
      <w:tr w14:paraId="446517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56C5CCB7">
            <w:pPr>
              <w:pStyle w:val="133"/>
            </w:pPr>
            <w:r>
              <w:t>铅</w:t>
            </w:r>
          </w:p>
        </w:tc>
        <w:tc>
          <w:tcPr>
            <w:tcW w:w="611" w:type="pct"/>
            <w:vAlign w:val="center"/>
          </w:tcPr>
          <w:p w14:paraId="7D4B72E0">
            <w:pPr>
              <w:pStyle w:val="133"/>
            </w:pPr>
            <w:r>
              <w:rPr>
                <w:rFonts w:hint="eastAsia"/>
              </w:rPr>
              <w:t>11.5</w:t>
            </w:r>
          </w:p>
        </w:tc>
        <w:tc>
          <w:tcPr>
            <w:tcW w:w="544" w:type="pct"/>
            <w:vAlign w:val="center"/>
          </w:tcPr>
          <w:p w14:paraId="5282F8E1">
            <w:pPr>
              <w:pStyle w:val="133"/>
            </w:pPr>
            <w:r>
              <w:rPr>
                <w:rFonts w:hint="eastAsia"/>
              </w:rPr>
              <w:t>11.7</w:t>
            </w:r>
          </w:p>
        </w:tc>
        <w:tc>
          <w:tcPr>
            <w:tcW w:w="575" w:type="pct"/>
            <w:vAlign w:val="center"/>
          </w:tcPr>
          <w:p w14:paraId="0592B32C">
            <w:pPr>
              <w:pStyle w:val="133"/>
            </w:pPr>
            <w:r>
              <w:rPr>
                <w:rFonts w:hint="eastAsia"/>
              </w:rPr>
              <w:t>12.1</w:t>
            </w:r>
          </w:p>
        </w:tc>
        <w:tc>
          <w:tcPr>
            <w:tcW w:w="602" w:type="pct"/>
            <w:vAlign w:val="center"/>
          </w:tcPr>
          <w:p w14:paraId="67F053E2">
            <w:pPr>
              <w:pStyle w:val="133"/>
            </w:pPr>
            <w:r>
              <w:rPr>
                <w:rFonts w:hint="eastAsia"/>
              </w:rPr>
              <w:t>12.2</w:t>
            </w:r>
          </w:p>
        </w:tc>
        <w:tc>
          <w:tcPr>
            <w:tcW w:w="520" w:type="pct"/>
            <w:vAlign w:val="center"/>
          </w:tcPr>
          <w:p w14:paraId="09CEE816">
            <w:pPr>
              <w:pStyle w:val="133"/>
            </w:pPr>
            <w:r>
              <w:rPr>
                <w:rFonts w:hint="eastAsia"/>
              </w:rPr>
              <w:t>11.9</w:t>
            </w:r>
          </w:p>
        </w:tc>
        <w:tc>
          <w:tcPr>
            <w:tcW w:w="431" w:type="pct"/>
            <w:vAlign w:val="center"/>
          </w:tcPr>
          <w:p w14:paraId="61AA4571">
            <w:pPr>
              <w:pStyle w:val="133"/>
            </w:pPr>
            <w:r>
              <w:t>800</w:t>
            </w:r>
          </w:p>
        </w:tc>
        <w:tc>
          <w:tcPr>
            <w:tcW w:w="597" w:type="pct"/>
            <w:vAlign w:val="center"/>
          </w:tcPr>
          <w:p w14:paraId="5C36FBC2">
            <w:pPr>
              <w:pStyle w:val="133"/>
            </w:pPr>
            <w:r>
              <w:t>达标</w:t>
            </w:r>
          </w:p>
        </w:tc>
      </w:tr>
      <w:tr w14:paraId="51FF3C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7531EB77">
            <w:pPr>
              <w:pStyle w:val="133"/>
            </w:pPr>
            <w:r>
              <w:t>汞</w:t>
            </w:r>
          </w:p>
        </w:tc>
        <w:tc>
          <w:tcPr>
            <w:tcW w:w="611" w:type="pct"/>
            <w:vAlign w:val="center"/>
          </w:tcPr>
          <w:p w14:paraId="172338B5">
            <w:pPr>
              <w:pStyle w:val="133"/>
            </w:pPr>
            <w:r>
              <w:rPr>
                <w:rFonts w:hint="eastAsia"/>
              </w:rPr>
              <w:t>0.033</w:t>
            </w:r>
          </w:p>
        </w:tc>
        <w:tc>
          <w:tcPr>
            <w:tcW w:w="544" w:type="pct"/>
            <w:vAlign w:val="center"/>
          </w:tcPr>
          <w:p w14:paraId="3D4330A0">
            <w:pPr>
              <w:pStyle w:val="133"/>
            </w:pPr>
            <w:r>
              <w:rPr>
                <w:rFonts w:hint="eastAsia"/>
              </w:rPr>
              <w:t>0.036</w:t>
            </w:r>
          </w:p>
        </w:tc>
        <w:tc>
          <w:tcPr>
            <w:tcW w:w="575" w:type="pct"/>
            <w:vAlign w:val="center"/>
          </w:tcPr>
          <w:p w14:paraId="55AD3ECB">
            <w:pPr>
              <w:pStyle w:val="133"/>
            </w:pPr>
            <w:r>
              <w:rPr>
                <w:rFonts w:hint="eastAsia"/>
              </w:rPr>
              <w:t>0.036</w:t>
            </w:r>
          </w:p>
        </w:tc>
        <w:tc>
          <w:tcPr>
            <w:tcW w:w="602" w:type="pct"/>
            <w:vAlign w:val="center"/>
          </w:tcPr>
          <w:p w14:paraId="724ED553">
            <w:pPr>
              <w:pStyle w:val="133"/>
            </w:pPr>
            <w:r>
              <w:rPr>
                <w:rFonts w:hint="eastAsia"/>
              </w:rPr>
              <w:t>0.035</w:t>
            </w:r>
          </w:p>
        </w:tc>
        <w:tc>
          <w:tcPr>
            <w:tcW w:w="520" w:type="pct"/>
            <w:vAlign w:val="center"/>
          </w:tcPr>
          <w:p w14:paraId="555ABA5A">
            <w:pPr>
              <w:pStyle w:val="133"/>
            </w:pPr>
            <w:r>
              <w:rPr>
                <w:rFonts w:hint="eastAsia"/>
              </w:rPr>
              <w:t>0.033</w:t>
            </w:r>
          </w:p>
        </w:tc>
        <w:tc>
          <w:tcPr>
            <w:tcW w:w="431" w:type="pct"/>
            <w:vAlign w:val="center"/>
          </w:tcPr>
          <w:p w14:paraId="14ABE970">
            <w:pPr>
              <w:pStyle w:val="133"/>
            </w:pPr>
            <w:r>
              <w:t>38</w:t>
            </w:r>
          </w:p>
        </w:tc>
        <w:tc>
          <w:tcPr>
            <w:tcW w:w="597" w:type="pct"/>
            <w:vAlign w:val="center"/>
          </w:tcPr>
          <w:p w14:paraId="22271FE4">
            <w:pPr>
              <w:pStyle w:val="133"/>
            </w:pPr>
            <w:r>
              <w:t>达标</w:t>
            </w:r>
          </w:p>
        </w:tc>
      </w:tr>
      <w:tr w14:paraId="2652B1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47B290B5">
            <w:pPr>
              <w:pStyle w:val="133"/>
            </w:pPr>
            <w:r>
              <w:t>镍</w:t>
            </w:r>
          </w:p>
        </w:tc>
        <w:tc>
          <w:tcPr>
            <w:tcW w:w="611" w:type="pct"/>
            <w:vAlign w:val="center"/>
          </w:tcPr>
          <w:p w14:paraId="28665DFA">
            <w:pPr>
              <w:pStyle w:val="133"/>
            </w:pPr>
            <w:r>
              <w:rPr>
                <w:rFonts w:hint="eastAsia"/>
              </w:rPr>
              <w:t>21</w:t>
            </w:r>
          </w:p>
        </w:tc>
        <w:tc>
          <w:tcPr>
            <w:tcW w:w="544" w:type="pct"/>
            <w:vAlign w:val="center"/>
          </w:tcPr>
          <w:p w14:paraId="7A2FFAB6">
            <w:pPr>
              <w:pStyle w:val="133"/>
            </w:pPr>
            <w:r>
              <w:rPr>
                <w:rFonts w:hint="eastAsia"/>
              </w:rPr>
              <w:t>18</w:t>
            </w:r>
          </w:p>
        </w:tc>
        <w:tc>
          <w:tcPr>
            <w:tcW w:w="575" w:type="pct"/>
            <w:vAlign w:val="center"/>
          </w:tcPr>
          <w:p w14:paraId="1DB20F7B">
            <w:pPr>
              <w:pStyle w:val="133"/>
            </w:pPr>
            <w:r>
              <w:rPr>
                <w:rFonts w:hint="eastAsia"/>
              </w:rPr>
              <w:t>17</w:t>
            </w:r>
          </w:p>
        </w:tc>
        <w:tc>
          <w:tcPr>
            <w:tcW w:w="602" w:type="pct"/>
            <w:vAlign w:val="center"/>
          </w:tcPr>
          <w:p w14:paraId="5308A2CC">
            <w:pPr>
              <w:pStyle w:val="133"/>
            </w:pPr>
            <w:r>
              <w:rPr>
                <w:rFonts w:hint="eastAsia"/>
              </w:rPr>
              <w:t>16</w:t>
            </w:r>
          </w:p>
        </w:tc>
        <w:tc>
          <w:tcPr>
            <w:tcW w:w="520" w:type="pct"/>
            <w:vAlign w:val="center"/>
          </w:tcPr>
          <w:p w14:paraId="0D5A4008">
            <w:pPr>
              <w:pStyle w:val="133"/>
            </w:pPr>
            <w:r>
              <w:rPr>
                <w:rFonts w:hint="eastAsia"/>
              </w:rPr>
              <w:t>14</w:t>
            </w:r>
          </w:p>
        </w:tc>
        <w:tc>
          <w:tcPr>
            <w:tcW w:w="431" w:type="pct"/>
            <w:vAlign w:val="center"/>
          </w:tcPr>
          <w:p w14:paraId="5A57372A">
            <w:pPr>
              <w:pStyle w:val="133"/>
            </w:pPr>
            <w:r>
              <w:t>900</w:t>
            </w:r>
          </w:p>
        </w:tc>
        <w:tc>
          <w:tcPr>
            <w:tcW w:w="597" w:type="pct"/>
            <w:vAlign w:val="center"/>
          </w:tcPr>
          <w:p w14:paraId="5EEC324E">
            <w:pPr>
              <w:pStyle w:val="133"/>
            </w:pPr>
            <w:r>
              <w:t>达标</w:t>
            </w:r>
          </w:p>
        </w:tc>
      </w:tr>
      <w:tr w14:paraId="22563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pct"/>
            <w:vAlign w:val="center"/>
          </w:tcPr>
          <w:p w14:paraId="4D69B8EF">
            <w:pPr>
              <w:pStyle w:val="133"/>
            </w:pPr>
            <w:r>
              <w:t>氰化物</w:t>
            </w:r>
          </w:p>
        </w:tc>
        <w:tc>
          <w:tcPr>
            <w:tcW w:w="611" w:type="pct"/>
            <w:vAlign w:val="center"/>
          </w:tcPr>
          <w:p w14:paraId="6BE8855C">
            <w:pPr>
              <w:pStyle w:val="133"/>
            </w:pPr>
            <w:r>
              <w:rPr>
                <w:rFonts w:hint="eastAsia"/>
              </w:rPr>
              <w:t>0.04</w:t>
            </w:r>
          </w:p>
        </w:tc>
        <w:tc>
          <w:tcPr>
            <w:tcW w:w="544" w:type="pct"/>
            <w:vAlign w:val="center"/>
          </w:tcPr>
          <w:p w14:paraId="525100C6">
            <w:pPr>
              <w:pStyle w:val="133"/>
            </w:pPr>
            <w:r>
              <w:rPr>
                <w:rFonts w:hint="eastAsia"/>
              </w:rPr>
              <w:t>0.03</w:t>
            </w:r>
          </w:p>
        </w:tc>
        <w:tc>
          <w:tcPr>
            <w:tcW w:w="575" w:type="pct"/>
            <w:vAlign w:val="center"/>
          </w:tcPr>
          <w:p w14:paraId="08978A91">
            <w:pPr>
              <w:pStyle w:val="133"/>
            </w:pPr>
            <w:r>
              <w:rPr>
                <w:rFonts w:hint="eastAsia"/>
              </w:rPr>
              <w:t>0.03</w:t>
            </w:r>
          </w:p>
        </w:tc>
        <w:tc>
          <w:tcPr>
            <w:tcW w:w="602" w:type="pct"/>
            <w:vAlign w:val="center"/>
          </w:tcPr>
          <w:p w14:paraId="38AB9FF6">
            <w:pPr>
              <w:pStyle w:val="133"/>
            </w:pPr>
            <w:r>
              <w:rPr>
                <w:rFonts w:hint="eastAsia"/>
              </w:rPr>
              <w:t>0.03</w:t>
            </w:r>
          </w:p>
        </w:tc>
        <w:tc>
          <w:tcPr>
            <w:tcW w:w="520" w:type="pct"/>
            <w:vAlign w:val="center"/>
          </w:tcPr>
          <w:p w14:paraId="2B247E8E">
            <w:pPr>
              <w:pStyle w:val="133"/>
            </w:pPr>
            <w:r>
              <w:rPr>
                <w:rFonts w:hint="eastAsia"/>
              </w:rPr>
              <w:t>0.03</w:t>
            </w:r>
          </w:p>
        </w:tc>
        <w:tc>
          <w:tcPr>
            <w:tcW w:w="431" w:type="pct"/>
            <w:vAlign w:val="center"/>
          </w:tcPr>
          <w:p w14:paraId="3217CD6D">
            <w:pPr>
              <w:pStyle w:val="133"/>
            </w:pPr>
            <w:r>
              <w:t>135</w:t>
            </w:r>
          </w:p>
        </w:tc>
        <w:tc>
          <w:tcPr>
            <w:tcW w:w="597" w:type="pct"/>
            <w:vAlign w:val="center"/>
          </w:tcPr>
          <w:p w14:paraId="56309F25">
            <w:pPr>
              <w:pStyle w:val="133"/>
            </w:pPr>
            <w:r>
              <w:t>达标</w:t>
            </w:r>
          </w:p>
        </w:tc>
      </w:tr>
    </w:tbl>
    <w:p w14:paraId="5FD8325E">
      <w:pPr>
        <w:pStyle w:val="133"/>
      </w:pPr>
    </w:p>
    <w:p w14:paraId="04112CA6">
      <w:pPr>
        <w:pStyle w:val="118"/>
      </w:pPr>
      <w:r>
        <w:rPr>
          <w:rFonts w:hint="eastAsia"/>
        </w:rPr>
        <w:t>表4.</w:t>
      </w:r>
      <w:r>
        <w:t>6-</w:t>
      </w:r>
      <w:r>
        <w:rPr>
          <w:rFonts w:hint="eastAsia"/>
        </w:rPr>
        <w:t>4  土壤质量现状监测及评价结果      单位：mg/kg</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59"/>
        <w:gridCol w:w="1223"/>
        <w:gridCol w:w="1223"/>
        <w:gridCol w:w="1223"/>
        <w:gridCol w:w="1070"/>
        <w:gridCol w:w="1223"/>
        <w:gridCol w:w="929"/>
        <w:gridCol w:w="1055"/>
      </w:tblGrid>
      <w:tr w14:paraId="6BEF89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31" w:type="pct"/>
            <w:vMerge w:val="restart"/>
            <w:vAlign w:val="center"/>
          </w:tcPr>
          <w:p w14:paraId="21EA9062">
            <w:pPr>
              <w:pStyle w:val="133"/>
              <w:rPr>
                <w:b/>
                <w:bCs/>
              </w:rPr>
            </w:pPr>
            <w:r>
              <w:rPr>
                <w:b/>
                <w:bCs/>
              </w:rPr>
              <w:t>采样地点</w:t>
            </w:r>
          </w:p>
          <w:p w14:paraId="3EB1BC4B">
            <w:pPr>
              <w:pStyle w:val="133"/>
              <w:rPr>
                <w:b/>
                <w:bCs/>
              </w:rPr>
            </w:pPr>
            <w:r>
              <w:rPr>
                <w:b/>
                <w:bCs/>
              </w:rPr>
              <w:t>监测项目</w:t>
            </w:r>
          </w:p>
        </w:tc>
        <w:tc>
          <w:tcPr>
            <w:tcW w:w="1970" w:type="pct"/>
            <w:gridSpan w:val="3"/>
            <w:vAlign w:val="center"/>
          </w:tcPr>
          <w:p w14:paraId="43916808">
            <w:pPr>
              <w:pStyle w:val="133"/>
              <w:rPr>
                <w:b/>
                <w:bCs/>
              </w:rPr>
            </w:pPr>
            <w:r>
              <w:rPr>
                <w:b/>
                <w:bCs/>
              </w:rPr>
              <w:t>厂区内4#</w:t>
            </w:r>
          </w:p>
          <w:p w14:paraId="3C50CC21">
            <w:pPr>
              <w:pStyle w:val="133"/>
              <w:rPr>
                <w:b/>
                <w:bCs/>
              </w:rPr>
            </w:pPr>
            <w:r>
              <w:rPr>
                <w:b/>
                <w:bCs/>
              </w:rPr>
              <w:t>柱状样</w:t>
            </w:r>
          </w:p>
        </w:tc>
        <w:tc>
          <w:tcPr>
            <w:tcW w:w="575" w:type="pct"/>
            <w:tcBorders>
              <w:right w:val="single" w:color="auto" w:sz="4" w:space="0"/>
            </w:tcBorders>
            <w:vAlign w:val="center"/>
          </w:tcPr>
          <w:p w14:paraId="02B3E3EF">
            <w:pPr>
              <w:pStyle w:val="133"/>
              <w:rPr>
                <w:b/>
                <w:bCs/>
              </w:rPr>
            </w:pPr>
            <w:r>
              <w:rPr>
                <w:rFonts w:hint="eastAsia"/>
                <w:b/>
                <w:bCs/>
              </w:rPr>
              <w:t>厂区外5#</w:t>
            </w:r>
          </w:p>
        </w:tc>
        <w:tc>
          <w:tcPr>
            <w:tcW w:w="657" w:type="pct"/>
            <w:tcBorders>
              <w:left w:val="single" w:color="auto" w:sz="4" w:space="0"/>
              <w:right w:val="single" w:color="auto" w:sz="4" w:space="0"/>
            </w:tcBorders>
            <w:vAlign w:val="center"/>
          </w:tcPr>
          <w:p w14:paraId="4A3C086A">
            <w:pPr>
              <w:pStyle w:val="133"/>
              <w:rPr>
                <w:b/>
                <w:bCs/>
              </w:rPr>
            </w:pPr>
            <w:r>
              <w:rPr>
                <w:rFonts w:hint="eastAsia"/>
                <w:b/>
                <w:bCs/>
              </w:rPr>
              <w:t>厂区外6#</w:t>
            </w:r>
          </w:p>
        </w:tc>
        <w:tc>
          <w:tcPr>
            <w:tcW w:w="499" w:type="pct"/>
            <w:vMerge w:val="restart"/>
            <w:vAlign w:val="center"/>
          </w:tcPr>
          <w:p w14:paraId="7C1B9403">
            <w:pPr>
              <w:pStyle w:val="133"/>
              <w:rPr>
                <w:b/>
                <w:bCs/>
              </w:rPr>
            </w:pPr>
            <w:r>
              <w:rPr>
                <w:b/>
                <w:bCs/>
              </w:rPr>
              <w:t>第二类用地筛选值</w:t>
            </w:r>
          </w:p>
        </w:tc>
        <w:tc>
          <w:tcPr>
            <w:tcW w:w="568" w:type="pct"/>
            <w:vMerge w:val="restart"/>
            <w:vAlign w:val="center"/>
          </w:tcPr>
          <w:p w14:paraId="490A2F33">
            <w:pPr>
              <w:pStyle w:val="133"/>
              <w:rPr>
                <w:b/>
                <w:bCs/>
              </w:rPr>
            </w:pPr>
            <w:r>
              <w:rPr>
                <w:b/>
                <w:bCs/>
              </w:rPr>
              <w:t>评价</w:t>
            </w:r>
          </w:p>
          <w:p w14:paraId="26C197F6">
            <w:pPr>
              <w:pStyle w:val="133"/>
            </w:pPr>
            <w:r>
              <w:rPr>
                <w:b/>
                <w:bCs/>
              </w:rPr>
              <w:t>结果</w:t>
            </w:r>
          </w:p>
        </w:tc>
      </w:tr>
      <w:tr w14:paraId="33D0D3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31" w:type="pct"/>
            <w:vMerge w:val="continue"/>
            <w:vAlign w:val="center"/>
          </w:tcPr>
          <w:p w14:paraId="5F787C0E">
            <w:pPr>
              <w:pStyle w:val="133"/>
            </w:pPr>
          </w:p>
        </w:tc>
        <w:tc>
          <w:tcPr>
            <w:tcW w:w="657" w:type="pct"/>
            <w:vAlign w:val="center"/>
          </w:tcPr>
          <w:p w14:paraId="2C3C145B">
            <w:pPr>
              <w:pStyle w:val="133"/>
              <w:rPr>
                <w:b/>
                <w:bCs/>
              </w:rPr>
            </w:pPr>
            <w:r>
              <w:rPr>
                <w:b/>
                <w:bCs/>
              </w:rPr>
              <w:t>0.3m</w:t>
            </w:r>
          </w:p>
        </w:tc>
        <w:tc>
          <w:tcPr>
            <w:tcW w:w="657" w:type="pct"/>
            <w:vAlign w:val="center"/>
          </w:tcPr>
          <w:p w14:paraId="17E5B6C9">
            <w:pPr>
              <w:pStyle w:val="133"/>
              <w:rPr>
                <w:b/>
                <w:bCs/>
              </w:rPr>
            </w:pPr>
            <w:r>
              <w:rPr>
                <w:b/>
                <w:bCs/>
              </w:rPr>
              <w:t>1m</w:t>
            </w:r>
          </w:p>
        </w:tc>
        <w:tc>
          <w:tcPr>
            <w:tcW w:w="657" w:type="pct"/>
            <w:vAlign w:val="center"/>
          </w:tcPr>
          <w:p w14:paraId="62A1FAAF">
            <w:pPr>
              <w:pStyle w:val="133"/>
              <w:rPr>
                <w:b/>
                <w:bCs/>
              </w:rPr>
            </w:pPr>
            <w:r>
              <w:rPr>
                <w:b/>
                <w:bCs/>
              </w:rPr>
              <w:t>1.5m</w:t>
            </w:r>
          </w:p>
        </w:tc>
        <w:tc>
          <w:tcPr>
            <w:tcW w:w="575" w:type="pct"/>
            <w:tcBorders>
              <w:right w:val="single" w:color="auto" w:sz="4" w:space="0"/>
            </w:tcBorders>
            <w:vAlign w:val="center"/>
          </w:tcPr>
          <w:p w14:paraId="7B1AF838">
            <w:pPr>
              <w:pStyle w:val="133"/>
              <w:rPr>
                <w:b/>
                <w:bCs/>
              </w:rPr>
            </w:pPr>
            <w:r>
              <w:rPr>
                <w:b/>
                <w:bCs/>
              </w:rPr>
              <w:t>0.</w:t>
            </w:r>
            <w:r>
              <w:rPr>
                <w:rFonts w:hint="eastAsia"/>
                <w:b/>
                <w:bCs/>
              </w:rPr>
              <w:t>2</w:t>
            </w:r>
            <w:r>
              <w:rPr>
                <w:b/>
                <w:bCs/>
              </w:rPr>
              <w:t>m</w:t>
            </w:r>
          </w:p>
        </w:tc>
        <w:tc>
          <w:tcPr>
            <w:tcW w:w="657" w:type="pct"/>
            <w:tcBorders>
              <w:left w:val="single" w:color="auto" w:sz="4" w:space="0"/>
              <w:right w:val="single" w:color="auto" w:sz="4" w:space="0"/>
            </w:tcBorders>
            <w:vAlign w:val="center"/>
          </w:tcPr>
          <w:p w14:paraId="54B164B8">
            <w:pPr>
              <w:pStyle w:val="133"/>
              <w:rPr>
                <w:b/>
                <w:bCs/>
              </w:rPr>
            </w:pPr>
            <w:r>
              <w:rPr>
                <w:b/>
                <w:bCs/>
              </w:rPr>
              <w:t>0.</w:t>
            </w:r>
            <w:r>
              <w:rPr>
                <w:rFonts w:hint="eastAsia"/>
                <w:b/>
                <w:bCs/>
              </w:rPr>
              <w:t>2</w:t>
            </w:r>
            <w:r>
              <w:rPr>
                <w:b/>
                <w:bCs/>
              </w:rPr>
              <w:t>m</w:t>
            </w:r>
          </w:p>
        </w:tc>
        <w:tc>
          <w:tcPr>
            <w:tcW w:w="499" w:type="pct"/>
            <w:vMerge w:val="continue"/>
            <w:vAlign w:val="center"/>
          </w:tcPr>
          <w:p w14:paraId="3471C1BC">
            <w:pPr>
              <w:pStyle w:val="133"/>
            </w:pPr>
          </w:p>
        </w:tc>
        <w:tc>
          <w:tcPr>
            <w:tcW w:w="568" w:type="pct"/>
            <w:vMerge w:val="continue"/>
            <w:vAlign w:val="center"/>
          </w:tcPr>
          <w:p w14:paraId="0B220970">
            <w:pPr>
              <w:pStyle w:val="133"/>
            </w:pPr>
          </w:p>
        </w:tc>
      </w:tr>
      <w:tr w14:paraId="4B485A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6D5819DB">
            <w:pPr>
              <w:pStyle w:val="133"/>
            </w:pPr>
            <w:r>
              <w:t>pH值</w:t>
            </w:r>
          </w:p>
        </w:tc>
        <w:tc>
          <w:tcPr>
            <w:tcW w:w="657" w:type="pct"/>
            <w:vAlign w:val="center"/>
          </w:tcPr>
          <w:p w14:paraId="67E4CDBC">
            <w:pPr>
              <w:pStyle w:val="133"/>
            </w:pPr>
            <w:r>
              <w:rPr>
                <w:rFonts w:hint="eastAsia"/>
              </w:rPr>
              <w:t>7.92</w:t>
            </w:r>
          </w:p>
        </w:tc>
        <w:tc>
          <w:tcPr>
            <w:tcW w:w="657" w:type="pct"/>
            <w:vAlign w:val="center"/>
          </w:tcPr>
          <w:p w14:paraId="4FB583C8">
            <w:pPr>
              <w:pStyle w:val="133"/>
            </w:pPr>
            <w:r>
              <w:rPr>
                <w:rFonts w:hint="eastAsia"/>
              </w:rPr>
              <w:t>8.03</w:t>
            </w:r>
          </w:p>
        </w:tc>
        <w:tc>
          <w:tcPr>
            <w:tcW w:w="657" w:type="pct"/>
            <w:vAlign w:val="center"/>
          </w:tcPr>
          <w:p w14:paraId="018D6B5F">
            <w:pPr>
              <w:pStyle w:val="133"/>
            </w:pPr>
            <w:r>
              <w:rPr>
                <w:rFonts w:hint="eastAsia"/>
              </w:rPr>
              <w:t>7.99</w:t>
            </w:r>
          </w:p>
        </w:tc>
        <w:tc>
          <w:tcPr>
            <w:tcW w:w="575" w:type="pct"/>
            <w:vAlign w:val="center"/>
          </w:tcPr>
          <w:p w14:paraId="295CDB94">
            <w:pPr>
              <w:pStyle w:val="133"/>
            </w:pPr>
            <w:r>
              <w:rPr>
                <w:rFonts w:hint="eastAsia"/>
              </w:rPr>
              <w:t>7.97</w:t>
            </w:r>
          </w:p>
        </w:tc>
        <w:tc>
          <w:tcPr>
            <w:tcW w:w="657" w:type="pct"/>
            <w:vAlign w:val="center"/>
          </w:tcPr>
          <w:p w14:paraId="6A607BDB">
            <w:pPr>
              <w:pStyle w:val="133"/>
            </w:pPr>
            <w:r>
              <w:rPr>
                <w:rFonts w:hint="eastAsia"/>
              </w:rPr>
              <w:t>8.01</w:t>
            </w:r>
          </w:p>
        </w:tc>
        <w:tc>
          <w:tcPr>
            <w:tcW w:w="499" w:type="pct"/>
            <w:vAlign w:val="center"/>
          </w:tcPr>
          <w:p w14:paraId="127C63A8">
            <w:pPr>
              <w:pStyle w:val="133"/>
            </w:pPr>
            <w:r>
              <w:rPr>
                <w:rFonts w:hint="eastAsia"/>
              </w:rPr>
              <w:t>-</w:t>
            </w:r>
          </w:p>
        </w:tc>
        <w:tc>
          <w:tcPr>
            <w:tcW w:w="568" w:type="pct"/>
            <w:vAlign w:val="center"/>
          </w:tcPr>
          <w:p w14:paraId="4907CCCB">
            <w:pPr>
              <w:pStyle w:val="133"/>
            </w:pPr>
            <w:r>
              <w:rPr>
                <w:rFonts w:hint="eastAsia"/>
              </w:rPr>
              <w:t>-</w:t>
            </w:r>
          </w:p>
        </w:tc>
      </w:tr>
      <w:tr w14:paraId="2E32C7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31C09595">
            <w:pPr>
              <w:pStyle w:val="133"/>
            </w:pPr>
            <w:r>
              <w:t>总砷</w:t>
            </w:r>
          </w:p>
        </w:tc>
        <w:tc>
          <w:tcPr>
            <w:tcW w:w="657" w:type="pct"/>
            <w:vAlign w:val="center"/>
          </w:tcPr>
          <w:p w14:paraId="44373425">
            <w:pPr>
              <w:pStyle w:val="133"/>
            </w:pPr>
            <w:r>
              <w:rPr>
                <w:rFonts w:hint="eastAsia"/>
              </w:rPr>
              <w:t>7.80</w:t>
            </w:r>
          </w:p>
        </w:tc>
        <w:tc>
          <w:tcPr>
            <w:tcW w:w="657" w:type="pct"/>
            <w:vAlign w:val="center"/>
          </w:tcPr>
          <w:p w14:paraId="14D84011">
            <w:pPr>
              <w:pStyle w:val="133"/>
            </w:pPr>
            <w:r>
              <w:rPr>
                <w:rFonts w:hint="eastAsia"/>
              </w:rPr>
              <w:t>7.49</w:t>
            </w:r>
          </w:p>
        </w:tc>
        <w:tc>
          <w:tcPr>
            <w:tcW w:w="657" w:type="pct"/>
            <w:vAlign w:val="center"/>
          </w:tcPr>
          <w:p w14:paraId="471E90BC">
            <w:pPr>
              <w:pStyle w:val="133"/>
            </w:pPr>
            <w:r>
              <w:rPr>
                <w:rFonts w:hint="eastAsia"/>
              </w:rPr>
              <w:t>6.65</w:t>
            </w:r>
          </w:p>
        </w:tc>
        <w:tc>
          <w:tcPr>
            <w:tcW w:w="575" w:type="pct"/>
            <w:vAlign w:val="center"/>
          </w:tcPr>
          <w:p w14:paraId="7AA35DDA">
            <w:pPr>
              <w:pStyle w:val="133"/>
            </w:pPr>
            <w:r>
              <w:rPr>
                <w:rFonts w:hint="eastAsia"/>
              </w:rPr>
              <w:t>19.2</w:t>
            </w:r>
          </w:p>
        </w:tc>
        <w:tc>
          <w:tcPr>
            <w:tcW w:w="657" w:type="pct"/>
            <w:vAlign w:val="center"/>
          </w:tcPr>
          <w:p w14:paraId="68546110">
            <w:pPr>
              <w:pStyle w:val="133"/>
            </w:pPr>
            <w:r>
              <w:rPr>
                <w:rFonts w:hint="eastAsia"/>
              </w:rPr>
              <w:t>30.0</w:t>
            </w:r>
          </w:p>
        </w:tc>
        <w:tc>
          <w:tcPr>
            <w:tcW w:w="499" w:type="pct"/>
            <w:vAlign w:val="center"/>
          </w:tcPr>
          <w:p w14:paraId="081CA02C">
            <w:pPr>
              <w:pStyle w:val="133"/>
            </w:pPr>
            <w:r>
              <w:t>60</w:t>
            </w:r>
          </w:p>
        </w:tc>
        <w:tc>
          <w:tcPr>
            <w:tcW w:w="568" w:type="pct"/>
            <w:vAlign w:val="center"/>
          </w:tcPr>
          <w:p w14:paraId="4D39670A">
            <w:pPr>
              <w:pStyle w:val="133"/>
            </w:pPr>
            <w:r>
              <w:t>达标</w:t>
            </w:r>
          </w:p>
        </w:tc>
      </w:tr>
      <w:tr w14:paraId="24809D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6D0FA2F9">
            <w:pPr>
              <w:pStyle w:val="133"/>
            </w:pPr>
            <w:r>
              <w:t>镉</w:t>
            </w:r>
          </w:p>
        </w:tc>
        <w:tc>
          <w:tcPr>
            <w:tcW w:w="657" w:type="pct"/>
            <w:vAlign w:val="center"/>
          </w:tcPr>
          <w:p w14:paraId="0BEC08F2">
            <w:pPr>
              <w:pStyle w:val="133"/>
            </w:pPr>
            <w:r>
              <w:rPr>
                <w:rFonts w:hint="eastAsia"/>
              </w:rPr>
              <w:t>1.12</w:t>
            </w:r>
          </w:p>
        </w:tc>
        <w:tc>
          <w:tcPr>
            <w:tcW w:w="657" w:type="pct"/>
            <w:vAlign w:val="center"/>
          </w:tcPr>
          <w:p w14:paraId="791FE156">
            <w:pPr>
              <w:pStyle w:val="133"/>
            </w:pPr>
            <w:r>
              <w:rPr>
                <w:rFonts w:hint="eastAsia"/>
              </w:rPr>
              <w:t>0.51</w:t>
            </w:r>
          </w:p>
        </w:tc>
        <w:tc>
          <w:tcPr>
            <w:tcW w:w="657" w:type="pct"/>
            <w:vAlign w:val="center"/>
          </w:tcPr>
          <w:p w14:paraId="57148DA3">
            <w:pPr>
              <w:pStyle w:val="133"/>
            </w:pPr>
            <w:r>
              <w:rPr>
                <w:rFonts w:hint="eastAsia"/>
              </w:rPr>
              <w:t>0.80</w:t>
            </w:r>
          </w:p>
        </w:tc>
        <w:tc>
          <w:tcPr>
            <w:tcW w:w="575" w:type="pct"/>
            <w:vAlign w:val="center"/>
          </w:tcPr>
          <w:p w14:paraId="4A8A878C">
            <w:pPr>
              <w:pStyle w:val="133"/>
            </w:pPr>
            <w:r>
              <w:rPr>
                <w:rFonts w:hint="eastAsia"/>
              </w:rPr>
              <w:t>0.38</w:t>
            </w:r>
          </w:p>
        </w:tc>
        <w:tc>
          <w:tcPr>
            <w:tcW w:w="657" w:type="pct"/>
            <w:vAlign w:val="center"/>
          </w:tcPr>
          <w:p w14:paraId="3F7EDDD3">
            <w:pPr>
              <w:pStyle w:val="133"/>
            </w:pPr>
            <w:r>
              <w:rPr>
                <w:rFonts w:hint="eastAsia"/>
              </w:rPr>
              <w:t>4.42</w:t>
            </w:r>
          </w:p>
        </w:tc>
        <w:tc>
          <w:tcPr>
            <w:tcW w:w="499" w:type="pct"/>
            <w:vAlign w:val="center"/>
          </w:tcPr>
          <w:p w14:paraId="0110CAF0">
            <w:pPr>
              <w:pStyle w:val="133"/>
            </w:pPr>
            <w:r>
              <w:t>65</w:t>
            </w:r>
          </w:p>
        </w:tc>
        <w:tc>
          <w:tcPr>
            <w:tcW w:w="568" w:type="pct"/>
            <w:vAlign w:val="center"/>
          </w:tcPr>
          <w:p w14:paraId="7C460026">
            <w:pPr>
              <w:pStyle w:val="133"/>
            </w:pPr>
            <w:r>
              <w:t>达标</w:t>
            </w:r>
          </w:p>
        </w:tc>
      </w:tr>
      <w:tr w14:paraId="0C13ED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7514F838">
            <w:pPr>
              <w:pStyle w:val="133"/>
            </w:pPr>
            <w:r>
              <w:t>铬（六价）</w:t>
            </w:r>
          </w:p>
        </w:tc>
        <w:tc>
          <w:tcPr>
            <w:tcW w:w="657" w:type="pct"/>
            <w:vAlign w:val="center"/>
          </w:tcPr>
          <w:p w14:paraId="40838503">
            <w:pPr>
              <w:pStyle w:val="133"/>
            </w:pPr>
            <w:r>
              <w:rPr>
                <w:rFonts w:hint="eastAsia"/>
              </w:rPr>
              <w:t>&lt;</w:t>
            </w:r>
            <w:r>
              <w:t>0.5</w:t>
            </w:r>
          </w:p>
        </w:tc>
        <w:tc>
          <w:tcPr>
            <w:tcW w:w="657" w:type="pct"/>
            <w:vAlign w:val="center"/>
          </w:tcPr>
          <w:p w14:paraId="1092A9EC">
            <w:pPr>
              <w:pStyle w:val="133"/>
            </w:pPr>
            <w:r>
              <w:rPr>
                <w:rFonts w:hint="eastAsia"/>
              </w:rPr>
              <w:t>&lt;</w:t>
            </w:r>
            <w:r>
              <w:t>0.5</w:t>
            </w:r>
          </w:p>
        </w:tc>
        <w:tc>
          <w:tcPr>
            <w:tcW w:w="657" w:type="pct"/>
            <w:vAlign w:val="center"/>
          </w:tcPr>
          <w:p w14:paraId="658D7070">
            <w:pPr>
              <w:pStyle w:val="133"/>
            </w:pPr>
            <w:r>
              <w:rPr>
                <w:rFonts w:hint="eastAsia"/>
              </w:rPr>
              <w:t>&lt;</w:t>
            </w:r>
            <w:r>
              <w:t>0.5</w:t>
            </w:r>
          </w:p>
        </w:tc>
        <w:tc>
          <w:tcPr>
            <w:tcW w:w="575" w:type="pct"/>
            <w:vAlign w:val="center"/>
          </w:tcPr>
          <w:p w14:paraId="7E1F713E">
            <w:pPr>
              <w:pStyle w:val="133"/>
            </w:pPr>
            <w:r>
              <w:rPr>
                <w:rFonts w:hint="eastAsia"/>
              </w:rPr>
              <w:t>&lt;</w:t>
            </w:r>
            <w:r>
              <w:t>0.5</w:t>
            </w:r>
          </w:p>
        </w:tc>
        <w:tc>
          <w:tcPr>
            <w:tcW w:w="657" w:type="pct"/>
            <w:vAlign w:val="center"/>
          </w:tcPr>
          <w:p w14:paraId="174861B2">
            <w:pPr>
              <w:pStyle w:val="133"/>
            </w:pPr>
            <w:r>
              <w:rPr>
                <w:rFonts w:hint="eastAsia"/>
              </w:rPr>
              <w:t>&lt;</w:t>
            </w:r>
            <w:r>
              <w:t>0.5</w:t>
            </w:r>
          </w:p>
        </w:tc>
        <w:tc>
          <w:tcPr>
            <w:tcW w:w="499" w:type="pct"/>
            <w:vAlign w:val="center"/>
          </w:tcPr>
          <w:p w14:paraId="4ED89B0B">
            <w:pPr>
              <w:pStyle w:val="133"/>
            </w:pPr>
            <w:r>
              <w:t>5.7</w:t>
            </w:r>
          </w:p>
        </w:tc>
        <w:tc>
          <w:tcPr>
            <w:tcW w:w="568" w:type="pct"/>
            <w:vAlign w:val="center"/>
          </w:tcPr>
          <w:p w14:paraId="66C0C35E">
            <w:pPr>
              <w:pStyle w:val="133"/>
            </w:pPr>
            <w:r>
              <w:t>达标</w:t>
            </w:r>
          </w:p>
        </w:tc>
      </w:tr>
      <w:tr w14:paraId="5604EE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737FA79F">
            <w:pPr>
              <w:pStyle w:val="133"/>
            </w:pPr>
            <w:r>
              <w:t>铜</w:t>
            </w:r>
          </w:p>
        </w:tc>
        <w:tc>
          <w:tcPr>
            <w:tcW w:w="657" w:type="pct"/>
            <w:vAlign w:val="center"/>
          </w:tcPr>
          <w:p w14:paraId="034E86C3">
            <w:pPr>
              <w:pStyle w:val="133"/>
            </w:pPr>
            <w:r>
              <w:rPr>
                <w:rFonts w:hint="eastAsia"/>
              </w:rPr>
              <w:t>29</w:t>
            </w:r>
          </w:p>
        </w:tc>
        <w:tc>
          <w:tcPr>
            <w:tcW w:w="657" w:type="pct"/>
            <w:vAlign w:val="center"/>
          </w:tcPr>
          <w:p w14:paraId="76948E06">
            <w:pPr>
              <w:pStyle w:val="133"/>
            </w:pPr>
            <w:r>
              <w:rPr>
                <w:rFonts w:hint="eastAsia"/>
              </w:rPr>
              <w:t>29</w:t>
            </w:r>
          </w:p>
        </w:tc>
        <w:tc>
          <w:tcPr>
            <w:tcW w:w="657" w:type="pct"/>
            <w:vAlign w:val="center"/>
          </w:tcPr>
          <w:p w14:paraId="3C197C4F">
            <w:pPr>
              <w:pStyle w:val="133"/>
            </w:pPr>
            <w:r>
              <w:rPr>
                <w:rFonts w:hint="eastAsia"/>
              </w:rPr>
              <w:t>31</w:t>
            </w:r>
          </w:p>
        </w:tc>
        <w:tc>
          <w:tcPr>
            <w:tcW w:w="575" w:type="pct"/>
            <w:vAlign w:val="center"/>
          </w:tcPr>
          <w:p w14:paraId="38C2C47B">
            <w:pPr>
              <w:pStyle w:val="133"/>
            </w:pPr>
            <w:r>
              <w:rPr>
                <w:rFonts w:hint="eastAsia"/>
              </w:rPr>
              <w:t>43</w:t>
            </w:r>
          </w:p>
        </w:tc>
        <w:tc>
          <w:tcPr>
            <w:tcW w:w="657" w:type="pct"/>
            <w:vAlign w:val="center"/>
          </w:tcPr>
          <w:p w14:paraId="22F87E19">
            <w:pPr>
              <w:pStyle w:val="133"/>
            </w:pPr>
            <w:r>
              <w:rPr>
                <w:rFonts w:hint="eastAsia"/>
              </w:rPr>
              <w:t>60</w:t>
            </w:r>
          </w:p>
        </w:tc>
        <w:tc>
          <w:tcPr>
            <w:tcW w:w="499" w:type="pct"/>
            <w:vAlign w:val="center"/>
          </w:tcPr>
          <w:p w14:paraId="320A4FA3">
            <w:pPr>
              <w:pStyle w:val="133"/>
            </w:pPr>
            <w:r>
              <w:t>18000</w:t>
            </w:r>
          </w:p>
        </w:tc>
        <w:tc>
          <w:tcPr>
            <w:tcW w:w="568" w:type="pct"/>
            <w:vAlign w:val="center"/>
          </w:tcPr>
          <w:p w14:paraId="509DEFCA">
            <w:pPr>
              <w:pStyle w:val="133"/>
            </w:pPr>
            <w:r>
              <w:t>达标</w:t>
            </w:r>
          </w:p>
        </w:tc>
      </w:tr>
      <w:tr w14:paraId="619F82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163D8CD9">
            <w:pPr>
              <w:pStyle w:val="133"/>
            </w:pPr>
            <w:r>
              <w:t>铅</w:t>
            </w:r>
          </w:p>
        </w:tc>
        <w:tc>
          <w:tcPr>
            <w:tcW w:w="657" w:type="pct"/>
            <w:vAlign w:val="center"/>
          </w:tcPr>
          <w:p w14:paraId="52512218">
            <w:pPr>
              <w:pStyle w:val="133"/>
            </w:pPr>
            <w:r>
              <w:rPr>
                <w:rFonts w:hint="eastAsia"/>
              </w:rPr>
              <w:t>32.4</w:t>
            </w:r>
          </w:p>
        </w:tc>
        <w:tc>
          <w:tcPr>
            <w:tcW w:w="657" w:type="pct"/>
            <w:vAlign w:val="center"/>
          </w:tcPr>
          <w:p w14:paraId="0D95D494">
            <w:pPr>
              <w:pStyle w:val="133"/>
            </w:pPr>
            <w:r>
              <w:rPr>
                <w:rFonts w:hint="eastAsia"/>
              </w:rPr>
              <w:t>33.8</w:t>
            </w:r>
          </w:p>
        </w:tc>
        <w:tc>
          <w:tcPr>
            <w:tcW w:w="657" w:type="pct"/>
            <w:vAlign w:val="center"/>
          </w:tcPr>
          <w:p w14:paraId="4808EDC8">
            <w:pPr>
              <w:pStyle w:val="133"/>
            </w:pPr>
            <w:r>
              <w:rPr>
                <w:rFonts w:hint="eastAsia"/>
              </w:rPr>
              <w:t>34.0</w:t>
            </w:r>
          </w:p>
        </w:tc>
        <w:tc>
          <w:tcPr>
            <w:tcW w:w="575" w:type="pct"/>
            <w:vAlign w:val="center"/>
          </w:tcPr>
          <w:p w14:paraId="1996FE74">
            <w:pPr>
              <w:pStyle w:val="133"/>
            </w:pPr>
            <w:r>
              <w:rPr>
                <w:rFonts w:hint="eastAsia"/>
              </w:rPr>
              <w:t>27.9</w:t>
            </w:r>
          </w:p>
        </w:tc>
        <w:tc>
          <w:tcPr>
            <w:tcW w:w="657" w:type="pct"/>
            <w:vAlign w:val="center"/>
          </w:tcPr>
          <w:p w14:paraId="50AC7817">
            <w:pPr>
              <w:pStyle w:val="133"/>
            </w:pPr>
            <w:r>
              <w:rPr>
                <w:rFonts w:hint="eastAsia"/>
              </w:rPr>
              <w:t>121</w:t>
            </w:r>
          </w:p>
        </w:tc>
        <w:tc>
          <w:tcPr>
            <w:tcW w:w="499" w:type="pct"/>
            <w:vAlign w:val="center"/>
          </w:tcPr>
          <w:p w14:paraId="0387DCEE">
            <w:pPr>
              <w:pStyle w:val="133"/>
            </w:pPr>
            <w:r>
              <w:t>800</w:t>
            </w:r>
          </w:p>
        </w:tc>
        <w:tc>
          <w:tcPr>
            <w:tcW w:w="568" w:type="pct"/>
            <w:vAlign w:val="center"/>
          </w:tcPr>
          <w:p w14:paraId="0E335062">
            <w:pPr>
              <w:pStyle w:val="133"/>
            </w:pPr>
            <w:r>
              <w:t>达标</w:t>
            </w:r>
          </w:p>
        </w:tc>
      </w:tr>
      <w:tr w14:paraId="490197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3F675CE9">
            <w:pPr>
              <w:pStyle w:val="133"/>
            </w:pPr>
            <w:r>
              <w:t>汞</w:t>
            </w:r>
          </w:p>
        </w:tc>
        <w:tc>
          <w:tcPr>
            <w:tcW w:w="657" w:type="pct"/>
            <w:vAlign w:val="center"/>
          </w:tcPr>
          <w:p w14:paraId="7B641EB9">
            <w:pPr>
              <w:pStyle w:val="133"/>
            </w:pPr>
            <w:r>
              <w:rPr>
                <w:rFonts w:hint="eastAsia"/>
              </w:rPr>
              <w:t>0.099</w:t>
            </w:r>
          </w:p>
        </w:tc>
        <w:tc>
          <w:tcPr>
            <w:tcW w:w="657" w:type="pct"/>
            <w:vAlign w:val="center"/>
          </w:tcPr>
          <w:p w14:paraId="4AFB955E">
            <w:pPr>
              <w:pStyle w:val="133"/>
            </w:pPr>
            <w:r>
              <w:rPr>
                <w:rFonts w:hint="eastAsia"/>
              </w:rPr>
              <w:t>0.099</w:t>
            </w:r>
          </w:p>
        </w:tc>
        <w:tc>
          <w:tcPr>
            <w:tcW w:w="657" w:type="pct"/>
            <w:vAlign w:val="center"/>
          </w:tcPr>
          <w:p w14:paraId="309E2239">
            <w:pPr>
              <w:pStyle w:val="133"/>
            </w:pPr>
            <w:r>
              <w:rPr>
                <w:rFonts w:hint="eastAsia"/>
              </w:rPr>
              <w:t>0.123</w:t>
            </w:r>
          </w:p>
        </w:tc>
        <w:tc>
          <w:tcPr>
            <w:tcW w:w="575" w:type="pct"/>
            <w:vAlign w:val="center"/>
          </w:tcPr>
          <w:p w14:paraId="3D93ADD6">
            <w:pPr>
              <w:pStyle w:val="133"/>
            </w:pPr>
            <w:r>
              <w:rPr>
                <w:rFonts w:hint="eastAsia"/>
              </w:rPr>
              <w:t>0.226</w:t>
            </w:r>
          </w:p>
        </w:tc>
        <w:tc>
          <w:tcPr>
            <w:tcW w:w="657" w:type="pct"/>
            <w:vAlign w:val="center"/>
          </w:tcPr>
          <w:p w14:paraId="6580CF5E">
            <w:pPr>
              <w:pStyle w:val="133"/>
            </w:pPr>
            <w:r>
              <w:rPr>
                <w:rFonts w:hint="eastAsia"/>
              </w:rPr>
              <w:t>0.174</w:t>
            </w:r>
          </w:p>
        </w:tc>
        <w:tc>
          <w:tcPr>
            <w:tcW w:w="499" w:type="pct"/>
            <w:vAlign w:val="center"/>
          </w:tcPr>
          <w:p w14:paraId="19A0472E">
            <w:pPr>
              <w:pStyle w:val="133"/>
            </w:pPr>
            <w:r>
              <w:t>38</w:t>
            </w:r>
          </w:p>
        </w:tc>
        <w:tc>
          <w:tcPr>
            <w:tcW w:w="568" w:type="pct"/>
            <w:vAlign w:val="center"/>
          </w:tcPr>
          <w:p w14:paraId="34D7771E">
            <w:pPr>
              <w:pStyle w:val="133"/>
            </w:pPr>
            <w:r>
              <w:t>达标</w:t>
            </w:r>
          </w:p>
        </w:tc>
      </w:tr>
      <w:tr w14:paraId="6DB991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5D25E47A">
            <w:pPr>
              <w:pStyle w:val="133"/>
            </w:pPr>
            <w:r>
              <w:t>镍</w:t>
            </w:r>
          </w:p>
        </w:tc>
        <w:tc>
          <w:tcPr>
            <w:tcW w:w="657" w:type="pct"/>
            <w:vAlign w:val="center"/>
          </w:tcPr>
          <w:p w14:paraId="11BB017A">
            <w:pPr>
              <w:pStyle w:val="133"/>
            </w:pPr>
            <w:r>
              <w:rPr>
                <w:rFonts w:hint="eastAsia"/>
              </w:rPr>
              <w:t>19</w:t>
            </w:r>
          </w:p>
        </w:tc>
        <w:tc>
          <w:tcPr>
            <w:tcW w:w="657" w:type="pct"/>
            <w:vAlign w:val="center"/>
          </w:tcPr>
          <w:p w14:paraId="4E34610A">
            <w:pPr>
              <w:pStyle w:val="133"/>
            </w:pPr>
            <w:r>
              <w:rPr>
                <w:rFonts w:hint="eastAsia"/>
              </w:rPr>
              <w:t>20</w:t>
            </w:r>
          </w:p>
        </w:tc>
        <w:tc>
          <w:tcPr>
            <w:tcW w:w="657" w:type="pct"/>
            <w:vAlign w:val="center"/>
          </w:tcPr>
          <w:p w14:paraId="4A7B8D8E">
            <w:pPr>
              <w:pStyle w:val="133"/>
            </w:pPr>
            <w:r>
              <w:rPr>
                <w:rFonts w:hint="eastAsia"/>
              </w:rPr>
              <w:t>21</w:t>
            </w:r>
          </w:p>
        </w:tc>
        <w:tc>
          <w:tcPr>
            <w:tcW w:w="575" w:type="pct"/>
            <w:vAlign w:val="center"/>
          </w:tcPr>
          <w:p w14:paraId="00F26106">
            <w:pPr>
              <w:pStyle w:val="133"/>
            </w:pPr>
            <w:r>
              <w:rPr>
                <w:rFonts w:hint="eastAsia"/>
              </w:rPr>
              <w:t>20</w:t>
            </w:r>
          </w:p>
        </w:tc>
        <w:tc>
          <w:tcPr>
            <w:tcW w:w="657" w:type="pct"/>
            <w:vAlign w:val="center"/>
          </w:tcPr>
          <w:p w14:paraId="6D80CDE3">
            <w:pPr>
              <w:pStyle w:val="133"/>
            </w:pPr>
            <w:r>
              <w:rPr>
                <w:rFonts w:hint="eastAsia"/>
              </w:rPr>
              <w:t>19</w:t>
            </w:r>
          </w:p>
        </w:tc>
        <w:tc>
          <w:tcPr>
            <w:tcW w:w="499" w:type="pct"/>
            <w:vAlign w:val="center"/>
          </w:tcPr>
          <w:p w14:paraId="01676BD7">
            <w:pPr>
              <w:pStyle w:val="133"/>
            </w:pPr>
            <w:r>
              <w:t>900</w:t>
            </w:r>
          </w:p>
        </w:tc>
        <w:tc>
          <w:tcPr>
            <w:tcW w:w="568" w:type="pct"/>
            <w:vAlign w:val="center"/>
          </w:tcPr>
          <w:p w14:paraId="77A0C52F">
            <w:pPr>
              <w:pStyle w:val="133"/>
            </w:pPr>
            <w:r>
              <w:t>达标</w:t>
            </w:r>
          </w:p>
        </w:tc>
      </w:tr>
      <w:tr w14:paraId="187CEE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31" w:type="pct"/>
            <w:vAlign w:val="center"/>
          </w:tcPr>
          <w:p w14:paraId="0300E047">
            <w:pPr>
              <w:pStyle w:val="133"/>
            </w:pPr>
            <w:r>
              <w:t>氰化物</w:t>
            </w:r>
          </w:p>
        </w:tc>
        <w:tc>
          <w:tcPr>
            <w:tcW w:w="657" w:type="pct"/>
            <w:vAlign w:val="center"/>
          </w:tcPr>
          <w:p w14:paraId="53A8B612">
            <w:pPr>
              <w:pStyle w:val="133"/>
            </w:pPr>
            <w:r>
              <w:rPr>
                <w:rFonts w:hint="eastAsia"/>
              </w:rPr>
              <w:t>0.04</w:t>
            </w:r>
          </w:p>
        </w:tc>
        <w:tc>
          <w:tcPr>
            <w:tcW w:w="657" w:type="pct"/>
            <w:vAlign w:val="center"/>
          </w:tcPr>
          <w:p w14:paraId="0A5DA5D0">
            <w:pPr>
              <w:pStyle w:val="133"/>
            </w:pPr>
            <w:r>
              <w:rPr>
                <w:rFonts w:hint="eastAsia"/>
              </w:rPr>
              <w:t>0.03</w:t>
            </w:r>
          </w:p>
        </w:tc>
        <w:tc>
          <w:tcPr>
            <w:tcW w:w="657" w:type="pct"/>
            <w:vAlign w:val="center"/>
          </w:tcPr>
          <w:p w14:paraId="45AEDBCD">
            <w:pPr>
              <w:pStyle w:val="133"/>
            </w:pPr>
            <w:r>
              <w:rPr>
                <w:rFonts w:hint="eastAsia"/>
              </w:rPr>
              <w:t>0.04</w:t>
            </w:r>
          </w:p>
        </w:tc>
        <w:tc>
          <w:tcPr>
            <w:tcW w:w="575" w:type="pct"/>
            <w:vAlign w:val="center"/>
          </w:tcPr>
          <w:p w14:paraId="60332D00">
            <w:pPr>
              <w:pStyle w:val="133"/>
            </w:pPr>
            <w:r>
              <w:rPr>
                <w:rFonts w:hint="eastAsia"/>
              </w:rPr>
              <w:t>0.05</w:t>
            </w:r>
          </w:p>
        </w:tc>
        <w:tc>
          <w:tcPr>
            <w:tcW w:w="657" w:type="pct"/>
            <w:vAlign w:val="center"/>
          </w:tcPr>
          <w:p w14:paraId="26523790">
            <w:pPr>
              <w:pStyle w:val="133"/>
            </w:pPr>
            <w:r>
              <w:rPr>
                <w:rFonts w:hint="eastAsia"/>
              </w:rPr>
              <w:t>0.03</w:t>
            </w:r>
          </w:p>
        </w:tc>
        <w:tc>
          <w:tcPr>
            <w:tcW w:w="499" w:type="pct"/>
            <w:vAlign w:val="center"/>
          </w:tcPr>
          <w:p w14:paraId="3B2A4BA1">
            <w:pPr>
              <w:pStyle w:val="133"/>
            </w:pPr>
            <w:r>
              <w:t>135</w:t>
            </w:r>
          </w:p>
        </w:tc>
        <w:tc>
          <w:tcPr>
            <w:tcW w:w="568" w:type="pct"/>
            <w:vAlign w:val="center"/>
          </w:tcPr>
          <w:p w14:paraId="60A441CB">
            <w:pPr>
              <w:pStyle w:val="133"/>
            </w:pPr>
            <w:r>
              <w:t>达标</w:t>
            </w:r>
          </w:p>
        </w:tc>
      </w:tr>
    </w:tbl>
    <w:p w14:paraId="0BD9517A">
      <w:pPr>
        <w:pStyle w:val="133"/>
      </w:pPr>
    </w:p>
    <w:p w14:paraId="2B176128">
      <w:pPr>
        <w:pStyle w:val="117"/>
        <w:ind w:firstLine="480"/>
      </w:pPr>
      <w:r>
        <w:rPr>
          <w:rFonts w:hint="eastAsia"/>
        </w:rPr>
        <w:t>由表4.</w:t>
      </w:r>
      <w:r>
        <w:t>6</w:t>
      </w:r>
      <w:r>
        <w:rPr>
          <w:rFonts w:hint="eastAsia"/>
        </w:rPr>
        <w:t>-</w:t>
      </w:r>
      <w:r>
        <w:t>2</w:t>
      </w:r>
      <w:r>
        <w:rPr>
          <w:rFonts w:hint="eastAsia"/>
        </w:rPr>
        <w:t>至表4.</w:t>
      </w:r>
      <w:r>
        <w:t>6</w:t>
      </w:r>
      <w:r>
        <w:rPr>
          <w:rFonts w:hint="eastAsia"/>
        </w:rPr>
        <w:t>-4均可看出：厂址区域内采样点的特征因子以及厂址区域外5个土壤表层点的特征因子各项指标的监测值均低于《土壤环境质量建设用地土壤污染风险管控标准》（</w:t>
      </w:r>
      <w:r>
        <w:t>GB</w:t>
      </w:r>
      <w:r>
        <w:rPr>
          <w:rFonts w:hint="eastAsia"/>
        </w:rPr>
        <w:t>36600</w:t>
      </w:r>
      <w:r>
        <w:t>-</w:t>
      </w:r>
      <w:r>
        <w:rPr>
          <w:rFonts w:hint="eastAsia"/>
        </w:rPr>
        <w:t>2018）中第二类用地筛选值的标准限值，说明本项目所在区域尚未受到人类工农业活动污染。</w:t>
      </w:r>
    </w:p>
    <w:p w14:paraId="3AF6F8F9">
      <w:pPr>
        <w:pStyle w:val="138"/>
        <w:rPr>
          <w:rFonts w:hint="eastAsia"/>
        </w:rPr>
      </w:pPr>
      <w:r>
        <w:rPr>
          <w:rFonts w:hint="eastAsia"/>
        </w:rPr>
        <w:t>土壤理化性质调查</w:t>
      </w:r>
    </w:p>
    <w:p w14:paraId="2FBA4033">
      <w:pPr>
        <w:pStyle w:val="117"/>
        <w:ind w:firstLine="480"/>
      </w:pPr>
      <w:r>
        <w:rPr>
          <w:rFonts w:hint="eastAsia"/>
        </w:rPr>
        <w:t>为了解评价区域的土壤理化性质，在项目内生产区（3#）进行采样调查，调查结果见表4</w:t>
      </w:r>
      <w:r>
        <w:t>.6</w:t>
      </w:r>
      <w:r>
        <w:rPr>
          <w:rFonts w:hint="eastAsia"/>
        </w:rPr>
        <w:t>-5。</w:t>
      </w:r>
    </w:p>
    <w:p w14:paraId="173DB2E8">
      <w:pPr>
        <w:pStyle w:val="118"/>
      </w:pPr>
      <w:r>
        <w:rPr>
          <w:rFonts w:hint="eastAsia"/>
        </w:rPr>
        <w:t>表4.</w:t>
      </w:r>
      <w:r>
        <w:t>6-</w:t>
      </w:r>
      <w:r>
        <w:rPr>
          <w:rFonts w:hint="eastAsia"/>
        </w:rPr>
        <w:t>5  土壤理化性质表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2175"/>
        <w:gridCol w:w="2684"/>
        <w:gridCol w:w="1557"/>
        <w:gridCol w:w="1808"/>
      </w:tblGrid>
      <w:tr w14:paraId="5AF62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2" w:type="dxa"/>
            <w:gridSpan w:val="2"/>
            <w:vAlign w:val="center"/>
          </w:tcPr>
          <w:p w14:paraId="3505219C">
            <w:pPr>
              <w:pStyle w:val="133"/>
            </w:pPr>
            <w:r>
              <w:t>点位名称</w:t>
            </w:r>
          </w:p>
        </w:tc>
        <w:tc>
          <w:tcPr>
            <w:tcW w:w="2112" w:type="dxa"/>
            <w:vAlign w:val="center"/>
          </w:tcPr>
          <w:p w14:paraId="20E72169">
            <w:pPr>
              <w:pStyle w:val="133"/>
            </w:pPr>
            <w:r>
              <w:rPr>
                <w:rFonts w:hint="eastAsia"/>
              </w:rPr>
              <w:t>3#柱状样</w:t>
            </w:r>
          </w:p>
        </w:tc>
        <w:tc>
          <w:tcPr>
            <w:tcW w:w="1659" w:type="dxa"/>
            <w:vAlign w:val="center"/>
          </w:tcPr>
          <w:p w14:paraId="5DF97469">
            <w:pPr>
              <w:pStyle w:val="133"/>
            </w:pPr>
            <w:r>
              <w:t>时间</w:t>
            </w:r>
          </w:p>
        </w:tc>
        <w:tc>
          <w:tcPr>
            <w:tcW w:w="1856" w:type="dxa"/>
            <w:vAlign w:val="center"/>
          </w:tcPr>
          <w:p w14:paraId="45F3D3FC">
            <w:pPr>
              <w:pStyle w:val="133"/>
            </w:pPr>
            <w:r>
              <w:t>20</w:t>
            </w:r>
            <w:r>
              <w:rPr>
                <w:rFonts w:hint="eastAsia"/>
              </w:rPr>
              <w:t>24</w:t>
            </w:r>
            <w:r>
              <w:t>年</w:t>
            </w:r>
          </w:p>
          <w:p w14:paraId="36183D58">
            <w:pPr>
              <w:pStyle w:val="133"/>
            </w:pPr>
            <w:r>
              <w:rPr>
                <w:rFonts w:hint="eastAsia"/>
              </w:rPr>
              <w:t>12</w:t>
            </w:r>
            <w:r>
              <w:t>月</w:t>
            </w:r>
            <w:r>
              <w:rPr>
                <w:rFonts w:hint="eastAsia"/>
              </w:rPr>
              <w:t>18</w:t>
            </w:r>
            <w:r>
              <w:t>日</w:t>
            </w:r>
          </w:p>
        </w:tc>
      </w:tr>
      <w:tr w14:paraId="659297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2" w:type="dxa"/>
            <w:gridSpan w:val="2"/>
            <w:vAlign w:val="center"/>
          </w:tcPr>
          <w:p w14:paraId="306173E2">
            <w:pPr>
              <w:pStyle w:val="133"/>
            </w:pPr>
            <w:r>
              <w:t>经度</w:t>
            </w:r>
          </w:p>
        </w:tc>
        <w:tc>
          <w:tcPr>
            <w:tcW w:w="2112" w:type="dxa"/>
            <w:vAlign w:val="center"/>
          </w:tcPr>
          <w:p w14:paraId="25A7767A">
            <w:pPr>
              <w:pStyle w:val="133"/>
            </w:pPr>
            <w:r>
              <w:t>93.341036111,42.705363889</w:t>
            </w:r>
          </w:p>
        </w:tc>
        <w:tc>
          <w:tcPr>
            <w:tcW w:w="1659" w:type="dxa"/>
            <w:vAlign w:val="center"/>
          </w:tcPr>
          <w:p w14:paraId="2478E3D7">
            <w:pPr>
              <w:pStyle w:val="133"/>
            </w:pPr>
            <w:r>
              <w:t>纬度</w:t>
            </w:r>
          </w:p>
        </w:tc>
        <w:tc>
          <w:tcPr>
            <w:tcW w:w="1856" w:type="dxa"/>
            <w:vAlign w:val="center"/>
          </w:tcPr>
          <w:p w14:paraId="4CC96773">
            <w:pPr>
              <w:pStyle w:val="133"/>
            </w:pPr>
            <w:r>
              <w:t>42.705363889</w:t>
            </w:r>
          </w:p>
        </w:tc>
      </w:tr>
      <w:tr w14:paraId="7F448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2" w:type="dxa"/>
            <w:gridSpan w:val="2"/>
            <w:vAlign w:val="center"/>
          </w:tcPr>
          <w:p w14:paraId="43C6D7C1">
            <w:pPr>
              <w:pStyle w:val="133"/>
            </w:pPr>
            <w:r>
              <w:t>层次</w:t>
            </w:r>
          </w:p>
        </w:tc>
        <w:tc>
          <w:tcPr>
            <w:tcW w:w="2112" w:type="dxa"/>
            <w:vAlign w:val="center"/>
          </w:tcPr>
          <w:p w14:paraId="3E4FEDB1">
            <w:pPr>
              <w:pStyle w:val="133"/>
            </w:pPr>
            <w:r>
              <w:t>0-0.5m</w:t>
            </w:r>
          </w:p>
        </w:tc>
        <w:tc>
          <w:tcPr>
            <w:tcW w:w="1659" w:type="dxa"/>
            <w:vAlign w:val="center"/>
          </w:tcPr>
          <w:p w14:paraId="1B5E6C54">
            <w:pPr>
              <w:pStyle w:val="133"/>
            </w:pPr>
            <w:r>
              <w:t>0.5</w:t>
            </w:r>
            <w:r>
              <w:rPr>
                <w:rFonts w:hint="eastAsia"/>
              </w:rPr>
              <w:t>～</w:t>
            </w:r>
            <w:r>
              <w:t>1.50m</w:t>
            </w:r>
          </w:p>
        </w:tc>
        <w:tc>
          <w:tcPr>
            <w:tcW w:w="1856" w:type="dxa"/>
            <w:vAlign w:val="center"/>
          </w:tcPr>
          <w:p w14:paraId="106EA1DE">
            <w:pPr>
              <w:pStyle w:val="133"/>
            </w:pPr>
            <w:r>
              <w:t>1.50</w:t>
            </w:r>
            <w:r>
              <w:rPr>
                <w:rFonts w:hint="eastAsia"/>
              </w:rPr>
              <w:t>～</w:t>
            </w:r>
            <w:r>
              <w:t>3.00m</w:t>
            </w:r>
          </w:p>
        </w:tc>
      </w:tr>
      <w:tr w14:paraId="5333A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restart"/>
            <w:vAlign w:val="center"/>
          </w:tcPr>
          <w:p w14:paraId="025C26A2">
            <w:pPr>
              <w:pStyle w:val="133"/>
            </w:pPr>
            <w:r>
              <w:t>现场记录</w:t>
            </w:r>
          </w:p>
        </w:tc>
        <w:tc>
          <w:tcPr>
            <w:tcW w:w="2267" w:type="dxa"/>
            <w:vAlign w:val="center"/>
          </w:tcPr>
          <w:p w14:paraId="2442D511">
            <w:pPr>
              <w:pStyle w:val="133"/>
            </w:pPr>
            <w:r>
              <w:t>颜色</w:t>
            </w:r>
          </w:p>
        </w:tc>
        <w:tc>
          <w:tcPr>
            <w:tcW w:w="2112" w:type="dxa"/>
            <w:vAlign w:val="center"/>
          </w:tcPr>
          <w:p w14:paraId="32F4BA35">
            <w:pPr>
              <w:pStyle w:val="133"/>
            </w:pPr>
            <w:r>
              <w:rPr>
                <w:rFonts w:hint="eastAsia"/>
              </w:rPr>
              <w:t>干、黄棕</w:t>
            </w:r>
          </w:p>
        </w:tc>
        <w:tc>
          <w:tcPr>
            <w:tcW w:w="1659" w:type="dxa"/>
            <w:vAlign w:val="center"/>
          </w:tcPr>
          <w:p w14:paraId="7198433D">
            <w:pPr>
              <w:pStyle w:val="133"/>
            </w:pPr>
            <w:r>
              <w:rPr>
                <w:rFonts w:hint="eastAsia"/>
              </w:rPr>
              <w:t>潮、棕</w:t>
            </w:r>
          </w:p>
        </w:tc>
        <w:tc>
          <w:tcPr>
            <w:tcW w:w="1856" w:type="dxa"/>
            <w:vAlign w:val="center"/>
          </w:tcPr>
          <w:p w14:paraId="79588001">
            <w:pPr>
              <w:pStyle w:val="133"/>
            </w:pPr>
            <w:r>
              <w:rPr>
                <w:rFonts w:hint="eastAsia"/>
              </w:rPr>
              <w:t>潮、红棕</w:t>
            </w:r>
          </w:p>
        </w:tc>
      </w:tr>
      <w:tr w14:paraId="210AE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7FD4970E">
            <w:pPr>
              <w:pStyle w:val="133"/>
            </w:pPr>
          </w:p>
        </w:tc>
        <w:tc>
          <w:tcPr>
            <w:tcW w:w="2267" w:type="dxa"/>
            <w:vAlign w:val="center"/>
          </w:tcPr>
          <w:p w14:paraId="19B402C1">
            <w:pPr>
              <w:pStyle w:val="133"/>
            </w:pPr>
            <w:r>
              <w:t>结构</w:t>
            </w:r>
          </w:p>
        </w:tc>
        <w:tc>
          <w:tcPr>
            <w:tcW w:w="2112" w:type="dxa"/>
            <w:vAlign w:val="center"/>
          </w:tcPr>
          <w:p w14:paraId="29DA5399">
            <w:pPr>
              <w:pStyle w:val="133"/>
            </w:pPr>
            <w:r>
              <w:rPr>
                <w:rFonts w:hint="eastAsia"/>
              </w:rPr>
              <w:t>碎屑</w:t>
            </w:r>
          </w:p>
        </w:tc>
        <w:tc>
          <w:tcPr>
            <w:tcW w:w="1659" w:type="dxa"/>
            <w:vAlign w:val="center"/>
          </w:tcPr>
          <w:p w14:paraId="37C5D1E0">
            <w:pPr>
              <w:pStyle w:val="133"/>
            </w:pPr>
            <w:r>
              <w:rPr>
                <w:rFonts w:hint="eastAsia"/>
              </w:rPr>
              <w:t>块状</w:t>
            </w:r>
          </w:p>
        </w:tc>
        <w:tc>
          <w:tcPr>
            <w:tcW w:w="1856" w:type="dxa"/>
            <w:vAlign w:val="center"/>
          </w:tcPr>
          <w:p w14:paraId="3B11482E">
            <w:pPr>
              <w:pStyle w:val="133"/>
            </w:pPr>
            <w:r>
              <w:rPr>
                <w:rFonts w:hint="eastAsia"/>
              </w:rPr>
              <w:t>块状</w:t>
            </w:r>
          </w:p>
        </w:tc>
      </w:tr>
      <w:tr w14:paraId="37FAD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39BFE675">
            <w:pPr>
              <w:pStyle w:val="133"/>
            </w:pPr>
          </w:p>
        </w:tc>
        <w:tc>
          <w:tcPr>
            <w:tcW w:w="2267" w:type="dxa"/>
            <w:vAlign w:val="center"/>
          </w:tcPr>
          <w:p w14:paraId="11F8E149">
            <w:pPr>
              <w:pStyle w:val="133"/>
            </w:pPr>
            <w:r>
              <w:t>质地</w:t>
            </w:r>
          </w:p>
        </w:tc>
        <w:tc>
          <w:tcPr>
            <w:tcW w:w="2112" w:type="dxa"/>
            <w:vAlign w:val="center"/>
          </w:tcPr>
          <w:p w14:paraId="13E76BA3">
            <w:pPr>
              <w:pStyle w:val="133"/>
            </w:pPr>
            <w:r>
              <w:rPr>
                <w:rFonts w:hint="eastAsia"/>
              </w:rPr>
              <w:t>砂土</w:t>
            </w:r>
          </w:p>
        </w:tc>
        <w:tc>
          <w:tcPr>
            <w:tcW w:w="1659" w:type="dxa"/>
            <w:vAlign w:val="center"/>
          </w:tcPr>
          <w:p w14:paraId="301915F2">
            <w:pPr>
              <w:pStyle w:val="133"/>
            </w:pPr>
            <w:r>
              <w:rPr>
                <w:rFonts w:hint="eastAsia"/>
              </w:rPr>
              <w:t>砂土</w:t>
            </w:r>
          </w:p>
        </w:tc>
        <w:tc>
          <w:tcPr>
            <w:tcW w:w="1856" w:type="dxa"/>
            <w:vAlign w:val="center"/>
          </w:tcPr>
          <w:p w14:paraId="4D6BB490">
            <w:pPr>
              <w:pStyle w:val="133"/>
            </w:pPr>
            <w:r>
              <w:rPr>
                <w:rFonts w:hint="eastAsia"/>
              </w:rPr>
              <w:t>砂土</w:t>
            </w:r>
          </w:p>
        </w:tc>
      </w:tr>
      <w:tr w14:paraId="5CD64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2CD88E48">
            <w:pPr>
              <w:pStyle w:val="133"/>
            </w:pPr>
          </w:p>
        </w:tc>
        <w:tc>
          <w:tcPr>
            <w:tcW w:w="2267" w:type="dxa"/>
            <w:vAlign w:val="center"/>
          </w:tcPr>
          <w:p w14:paraId="0AD721CC">
            <w:pPr>
              <w:pStyle w:val="133"/>
            </w:pPr>
            <w:r>
              <w:t>砂砾含量</w:t>
            </w:r>
          </w:p>
        </w:tc>
        <w:tc>
          <w:tcPr>
            <w:tcW w:w="2112" w:type="dxa"/>
            <w:vAlign w:val="center"/>
          </w:tcPr>
          <w:p w14:paraId="7A384714">
            <w:pPr>
              <w:pStyle w:val="133"/>
            </w:pPr>
            <w:r>
              <w:rPr>
                <w:rFonts w:hint="eastAsia"/>
              </w:rPr>
              <w:t>15%</w:t>
            </w:r>
          </w:p>
        </w:tc>
        <w:tc>
          <w:tcPr>
            <w:tcW w:w="1659" w:type="dxa"/>
            <w:vAlign w:val="center"/>
          </w:tcPr>
          <w:p w14:paraId="5C0BBE67">
            <w:pPr>
              <w:pStyle w:val="133"/>
            </w:pPr>
            <w:r>
              <w:rPr>
                <w:rFonts w:hint="eastAsia"/>
              </w:rPr>
              <w:t>20%</w:t>
            </w:r>
          </w:p>
        </w:tc>
        <w:tc>
          <w:tcPr>
            <w:tcW w:w="1856" w:type="dxa"/>
            <w:vAlign w:val="center"/>
          </w:tcPr>
          <w:p w14:paraId="4994643D">
            <w:pPr>
              <w:pStyle w:val="133"/>
            </w:pPr>
            <w:r>
              <w:rPr>
                <w:rFonts w:hint="eastAsia"/>
              </w:rPr>
              <w:t>20%</w:t>
            </w:r>
          </w:p>
        </w:tc>
      </w:tr>
      <w:tr w14:paraId="73B52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230C5315">
            <w:pPr>
              <w:pStyle w:val="133"/>
            </w:pPr>
          </w:p>
        </w:tc>
        <w:tc>
          <w:tcPr>
            <w:tcW w:w="2267" w:type="dxa"/>
            <w:vAlign w:val="center"/>
          </w:tcPr>
          <w:p w14:paraId="2ADC10AA">
            <w:pPr>
              <w:pStyle w:val="133"/>
            </w:pPr>
            <w:r>
              <w:t>其他异物</w:t>
            </w:r>
          </w:p>
        </w:tc>
        <w:tc>
          <w:tcPr>
            <w:tcW w:w="2112" w:type="dxa"/>
            <w:vAlign w:val="center"/>
          </w:tcPr>
          <w:p w14:paraId="577820E6">
            <w:pPr>
              <w:pStyle w:val="133"/>
            </w:pPr>
            <w:r>
              <w:rPr>
                <w:rFonts w:hint="eastAsia"/>
              </w:rPr>
              <w:t>无</w:t>
            </w:r>
          </w:p>
        </w:tc>
        <w:tc>
          <w:tcPr>
            <w:tcW w:w="1659" w:type="dxa"/>
            <w:vAlign w:val="center"/>
          </w:tcPr>
          <w:p w14:paraId="3692FAE9">
            <w:pPr>
              <w:pStyle w:val="133"/>
            </w:pPr>
            <w:r>
              <w:rPr>
                <w:rFonts w:hint="eastAsia"/>
              </w:rPr>
              <w:t>无</w:t>
            </w:r>
          </w:p>
        </w:tc>
        <w:tc>
          <w:tcPr>
            <w:tcW w:w="1856" w:type="dxa"/>
            <w:vAlign w:val="center"/>
          </w:tcPr>
          <w:p w14:paraId="3FB090F0">
            <w:pPr>
              <w:pStyle w:val="133"/>
            </w:pPr>
            <w:r>
              <w:rPr>
                <w:rFonts w:hint="eastAsia"/>
              </w:rPr>
              <w:t>无</w:t>
            </w:r>
          </w:p>
        </w:tc>
      </w:tr>
      <w:tr w14:paraId="0298E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restart"/>
            <w:vAlign w:val="center"/>
          </w:tcPr>
          <w:p w14:paraId="08BDA454">
            <w:pPr>
              <w:pStyle w:val="133"/>
            </w:pPr>
            <w:r>
              <w:t>实验室</w:t>
            </w:r>
          </w:p>
          <w:p w14:paraId="6E55DD17">
            <w:pPr>
              <w:pStyle w:val="133"/>
            </w:pPr>
            <w:r>
              <w:t>测定</w:t>
            </w:r>
          </w:p>
        </w:tc>
        <w:tc>
          <w:tcPr>
            <w:tcW w:w="2267" w:type="dxa"/>
            <w:vAlign w:val="center"/>
          </w:tcPr>
          <w:p w14:paraId="6F0FAC7F">
            <w:pPr>
              <w:pStyle w:val="133"/>
            </w:pPr>
            <w:r>
              <w:t>pH值（无量纲）</w:t>
            </w:r>
          </w:p>
        </w:tc>
        <w:tc>
          <w:tcPr>
            <w:tcW w:w="2112" w:type="dxa"/>
            <w:vAlign w:val="center"/>
          </w:tcPr>
          <w:p w14:paraId="475968C4">
            <w:pPr>
              <w:pStyle w:val="133"/>
            </w:pPr>
            <w:r>
              <w:rPr>
                <w:rFonts w:hint="eastAsia"/>
              </w:rPr>
              <w:t>7.98</w:t>
            </w:r>
          </w:p>
        </w:tc>
        <w:tc>
          <w:tcPr>
            <w:tcW w:w="1659" w:type="dxa"/>
            <w:vAlign w:val="center"/>
          </w:tcPr>
          <w:p w14:paraId="4C14FEF2">
            <w:pPr>
              <w:pStyle w:val="133"/>
            </w:pPr>
            <w:r>
              <w:rPr>
                <w:rFonts w:hint="eastAsia"/>
              </w:rPr>
              <w:t>8.10</w:t>
            </w:r>
          </w:p>
        </w:tc>
        <w:tc>
          <w:tcPr>
            <w:tcW w:w="1856" w:type="dxa"/>
            <w:vAlign w:val="center"/>
          </w:tcPr>
          <w:p w14:paraId="5C85584A">
            <w:pPr>
              <w:pStyle w:val="133"/>
            </w:pPr>
            <w:r>
              <w:rPr>
                <w:rFonts w:hint="eastAsia"/>
              </w:rPr>
              <w:t>8.03</w:t>
            </w:r>
          </w:p>
        </w:tc>
      </w:tr>
      <w:tr w14:paraId="7C4FC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3F1F1323">
            <w:pPr>
              <w:pStyle w:val="133"/>
            </w:pPr>
          </w:p>
        </w:tc>
        <w:tc>
          <w:tcPr>
            <w:tcW w:w="2267" w:type="dxa"/>
            <w:vAlign w:val="center"/>
          </w:tcPr>
          <w:p w14:paraId="262E075A">
            <w:pPr>
              <w:pStyle w:val="133"/>
            </w:pPr>
            <w:r>
              <w:t>阳离子交换量（cmol+/kg）</w:t>
            </w:r>
          </w:p>
        </w:tc>
        <w:tc>
          <w:tcPr>
            <w:tcW w:w="2112" w:type="dxa"/>
            <w:vAlign w:val="center"/>
          </w:tcPr>
          <w:p w14:paraId="4EDCC5CF">
            <w:pPr>
              <w:pStyle w:val="133"/>
            </w:pPr>
            <w:r>
              <w:rPr>
                <w:rFonts w:hint="eastAsia"/>
              </w:rPr>
              <w:t>1.9</w:t>
            </w:r>
          </w:p>
        </w:tc>
        <w:tc>
          <w:tcPr>
            <w:tcW w:w="1659" w:type="dxa"/>
            <w:vAlign w:val="center"/>
          </w:tcPr>
          <w:p w14:paraId="069D864C">
            <w:pPr>
              <w:pStyle w:val="133"/>
            </w:pPr>
            <w:r>
              <w:rPr>
                <w:rFonts w:hint="eastAsia"/>
              </w:rPr>
              <w:t>2.0</w:t>
            </w:r>
          </w:p>
        </w:tc>
        <w:tc>
          <w:tcPr>
            <w:tcW w:w="1856" w:type="dxa"/>
            <w:vAlign w:val="center"/>
          </w:tcPr>
          <w:p w14:paraId="6435BAE5">
            <w:pPr>
              <w:pStyle w:val="133"/>
            </w:pPr>
            <w:r>
              <w:rPr>
                <w:rFonts w:hint="eastAsia"/>
              </w:rPr>
              <w:t>1.5</w:t>
            </w:r>
          </w:p>
        </w:tc>
      </w:tr>
      <w:tr w14:paraId="61781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1A8F4805">
            <w:pPr>
              <w:pStyle w:val="133"/>
            </w:pPr>
          </w:p>
        </w:tc>
        <w:tc>
          <w:tcPr>
            <w:tcW w:w="2267" w:type="dxa"/>
            <w:vAlign w:val="center"/>
          </w:tcPr>
          <w:p w14:paraId="05CAA988">
            <w:pPr>
              <w:pStyle w:val="133"/>
            </w:pPr>
            <w:r>
              <w:t>氧化还原电位（mV）</w:t>
            </w:r>
          </w:p>
        </w:tc>
        <w:tc>
          <w:tcPr>
            <w:tcW w:w="2112" w:type="dxa"/>
            <w:vAlign w:val="center"/>
          </w:tcPr>
          <w:p w14:paraId="4AD68558">
            <w:pPr>
              <w:pStyle w:val="133"/>
            </w:pPr>
            <w:r>
              <w:rPr>
                <w:rFonts w:hint="eastAsia"/>
              </w:rPr>
              <w:t>319</w:t>
            </w:r>
          </w:p>
        </w:tc>
        <w:tc>
          <w:tcPr>
            <w:tcW w:w="1659" w:type="dxa"/>
            <w:vAlign w:val="center"/>
          </w:tcPr>
          <w:p w14:paraId="22C670FD">
            <w:pPr>
              <w:pStyle w:val="133"/>
            </w:pPr>
            <w:r>
              <w:rPr>
                <w:rFonts w:hint="eastAsia"/>
              </w:rPr>
              <w:t>324</w:t>
            </w:r>
          </w:p>
        </w:tc>
        <w:tc>
          <w:tcPr>
            <w:tcW w:w="1856" w:type="dxa"/>
            <w:vAlign w:val="center"/>
          </w:tcPr>
          <w:p w14:paraId="31E96297">
            <w:pPr>
              <w:pStyle w:val="133"/>
            </w:pPr>
            <w:r>
              <w:rPr>
                <w:rFonts w:hint="eastAsia"/>
              </w:rPr>
              <w:t>329</w:t>
            </w:r>
          </w:p>
        </w:tc>
      </w:tr>
      <w:tr w14:paraId="77C93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57D875A9">
            <w:pPr>
              <w:pStyle w:val="133"/>
            </w:pPr>
          </w:p>
        </w:tc>
        <w:tc>
          <w:tcPr>
            <w:tcW w:w="2267" w:type="dxa"/>
            <w:vAlign w:val="center"/>
          </w:tcPr>
          <w:p w14:paraId="2626BFEB">
            <w:pPr>
              <w:pStyle w:val="133"/>
            </w:pPr>
            <w:r>
              <w:t>饱和导水率（mm/min）</w:t>
            </w:r>
          </w:p>
        </w:tc>
        <w:tc>
          <w:tcPr>
            <w:tcW w:w="2112" w:type="dxa"/>
            <w:vAlign w:val="center"/>
          </w:tcPr>
          <w:p w14:paraId="379D66F3">
            <w:pPr>
              <w:pStyle w:val="133"/>
            </w:pPr>
            <w:r>
              <w:rPr>
                <w:rFonts w:hint="eastAsia"/>
              </w:rPr>
              <w:t>0.706</w:t>
            </w:r>
          </w:p>
        </w:tc>
        <w:tc>
          <w:tcPr>
            <w:tcW w:w="1659" w:type="dxa"/>
            <w:vAlign w:val="center"/>
          </w:tcPr>
          <w:p w14:paraId="2C83442E">
            <w:pPr>
              <w:pStyle w:val="133"/>
            </w:pPr>
            <w:r>
              <w:rPr>
                <w:rFonts w:hint="eastAsia"/>
              </w:rPr>
              <w:t>0.710</w:t>
            </w:r>
          </w:p>
        </w:tc>
        <w:tc>
          <w:tcPr>
            <w:tcW w:w="1856" w:type="dxa"/>
            <w:vAlign w:val="center"/>
          </w:tcPr>
          <w:p w14:paraId="42DB72A0">
            <w:pPr>
              <w:pStyle w:val="133"/>
            </w:pPr>
            <w:r>
              <w:rPr>
                <w:rFonts w:hint="eastAsia"/>
              </w:rPr>
              <w:t>0.702</w:t>
            </w:r>
          </w:p>
        </w:tc>
      </w:tr>
      <w:tr w14:paraId="4567C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7E2D0078">
            <w:pPr>
              <w:pStyle w:val="133"/>
            </w:pPr>
          </w:p>
        </w:tc>
        <w:tc>
          <w:tcPr>
            <w:tcW w:w="2267" w:type="dxa"/>
            <w:vAlign w:val="center"/>
          </w:tcPr>
          <w:p w14:paraId="1F77F0B6">
            <w:pPr>
              <w:pStyle w:val="133"/>
            </w:pPr>
            <w:r>
              <w:t>土壤容重（g/cm3）</w:t>
            </w:r>
          </w:p>
        </w:tc>
        <w:tc>
          <w:tcPr>
            <w:tcW w:w="2112" w:type="dxa"/>
            <w:vAlign w:val="center"/>
          </w:tcPr>
          <w:p w14:paraId="575A25FF">
            <w:pPr>
              <w:pStyle w:val="133"/>
            </w:pPr>
            <w:r>
              <w:rPr>
                <w:rFonts w:hint="eastAsia"/>
              </w:rPr>
              <w:t>1.41</w:t>
            </w:r>
          </w:p>
        </w:tc>
        <w:tc>
          <w:tcPr>
            <w:tcW w:w="1659" w:type="dxa"/>
            <w:vAlign w:val="center"/>
          </w:tcPr>
          <w:p w14:paraId="38708419">
            <w:pPr>
              <w:pStyle w:val="133"/>
            </w:pPr>
            <w:r>
              <w:rPr>
                <w:rFonts w:hint="eastAsia"/>
              </w:rPr>
              <w:t>1.41</w:t>
            </w:r>
          </w:p>
        </w:tc>
        <w:tc>
          <w:tcPr>
            <w:tcW w:w="1856" w:type="dxa"/>
            <w:vAlign w:val="center"/>
          </w:tcPr>
          <w:p w14:paraId="4F889277">
            <w:pPr>
              <w:pStyle w:val="133"/>
            </w:pPr>
            <w:r>
              <w:rPr>
                <w:rFonts w:hint="eastAsia"/>
              </w:rPr>
              <w:t>1.41</w:t>
            </w:r>
          </w:p>
        </w:tc>
      </w:tr>
      <w:tr w14:paraId="78288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5" w:type="dxa"/>
            <w:vMerge w:val="continue"/>
            <w:vAlign w:val="center"/>
          </w:tcPr>
          <w:p w14:paraId="38840A15">
            <w:pPr>
              <w:pStyle w:val="133"/>
            </w:pPr>
          </w:p>
        </w:tc>
        <w:tc>
          <w:tcPr>
            <w:tcW w:w="2267" w:type="dxa"/>
            <w:vAlign w:val="center"/>
          </w:tcPr>
          <w:p w14:paraId="3C838B37">
            <w:pPr>
              <w:pStyle w:val="133"/>
            </w:pPr>
            <w:r>
              <w:t>孔隙度（%）</w:t>
            </w:r>
          </w:p>
        </w:tc>
        <w:tc>
          <w:tcPr>
            <w:tcW w:w="2112" w:type="dxa"/>
            <w:vAlign w:val="center"/>
          </w:tcPr>
          <w:p w14:paraId="1D8090AE">
            <w:pPr>
              <w:pStyle w:val="133"/>
            </w:pPr>
            <w:r>
              <w:rPr>
                <w:rFonts w:hint="eastAsia"/>
              </w:rPr>
              <w:t>46.7</w:t>
            </w:r>
          </w:p>
        </w:tc>
        <w:tc>
          <w:tcPr>
            <w:tcW w:w="1659" w:type="dxa"/>
            <w:vAlign w:val="center"/>
          </w:tcPr>
          <w:p w14:paraId="683B1290">
            <w:pPr>
              <w:pStyle w:val="133"/>
            </w:pPr>
            <w:r>
              <w:rPr>
                <w:rFonts w:hint="eastAsia"/>
              </w:rPr>
              <w:t>47.3</w:t>
            </w:r>
          </w:p>
        </w:tc>
        <w:tc>
          <w:tcPr>
            <w:tcW w:w="1856" w:type="dxa"/>
            <w:vAlign w:val="center"/>
          </w:tcPr>
          <w:p w14:paraId="3D4416B9">
            <w:pPr>
              <w:pStyle w:val="133"/>
            </w:pPr>
            <w:r>
              <w:rPr>
                <w:rFonts w:hint="eastAsia"/>
              </w:rPr>
              <w:t>47.4</w:t>
            </w:r>
          </w:p>
        </w:tc>
      </w:t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tbl>
    <w:p w14:paraId="46B8F1E3">
      <w:pPr>
        <w:pStyle w:val="946"/>
      </w:pPr>
      <w:bookmarkStart w:id="428" w:name="_Toc205291393"/>
      <w:r>
        <w:rPr>
          <w:rFonts w:hint="eastAsia"/>
        </w:rPr>
        <w:t>生态环境质量现状</w:t>
      </w:r>
      <w:bookmarkEnd w:id="428"/>
    </w:p>
    <w:p w14:paraId="40245F2A">
      <w:pPr>
        <w:pStyle w:val="117"/>
        <w:ind w:firstLine="480"/>
      </w:pPr>
      <w:r>
        <w:t>根据《新疆生态功能区划》，</w:t>
      </w:r>
      <w:r>
        <w:rPr>
          <w:rFonts w:hint="eastAsia"/>
        </w:rPr>
        <w:t>本项目</w:t>
      </w:r>
      <w:r>
        <w:t>所在区域属</w:t>
      </w:r>
      <w:r>
        <w:rPr>
          <w:rFonts w:hint="eastAsia"/>
        </w:rPr>
        <w:t>觉嘎顺—南湖戈壁荒漠风蚀敏感生态功能区</w:t>
      </w:r>
      <w:r>
        <w:t>。</w:t>
      </w:r>
      <w:r>
        <w:rPr>
          <w:rFonts w:hint="eastAsia"/>
        </w:rPr>
        <w:t>该功能区主要的特征，见表4.</w:t>
      </w:r>
      <w:r>
        <w:t>7</w:t>
      </w:r>
      <w:r>
        <w:rPr>
          <w:rFonts w:hint="eastAsia"/>
        </w:rPr>
        <w:t>-1。</w:t>
      </w:r>
    </w:p>
    <w:p w14:paraId="4E63B5F5">
      <w:pPr>
        <w:pStyle w:val="117"/>
        <w:ind w:firstLine="480"/>
      </w:pPr>
      <w:r>
        <w:rPr>
          <w:rFonts w:hint="eastAsia"/>
        </w:rPr>
        <w:t>（</w:t>
      </w:r>
      <w:r>
        <w:t>1</w:t>
      </w:r>
      <w:r>
        <w:rPr>
          <w:rFonts w:hint="eastAsia"/>
        </w:rPr>
        <w:t>）土壤类型</w:t>
      </w:r>
      <w:r>
        <w:t xml:space="preserve"> </w:t>
      </w:r>
    </w:p>
    <w:p w14:paraId="624860D4">
      <w:pPr>
        <w:pStyle w:val="117"/>
        <w:ind w:firstLine="480"/>
      </w:pPr>
      <w:r>
        <w:rPr>
          <w:rFonts w:hint="eastAsia"/>
        </w:rPr>
        <w:t>项目所在南部循环经济产业园大部分位于嘎顺</w:t>
      </w:r>
      <w:r>
        <w:t>-</w:t>
      </w:r>
      <w:r>
        <w:rPr>
          <w:rFonts w:hint="eastAsia"/>
        </w:rPr>
        <w:t>－南湖戈壁的北部边缘冲积平原和残蚀丘陵区。土壤类型以棕漠土为主，其中石膏盐盘棕漠土占有较大的面积，另外也有流动风沙土、残余盐土等，在人工绿洲中有古老的绿洲黄土分布。规划区无耕地、无农田，属于未利用地，土壤基本未受人为活动污染，基本保持近乎原始状态的面貌。土壤质地以砂砾质和砾质为主。</w:t>
      </w:r>
    </w:p>
    <w:p w14:paraId="0DB78347">
      <w:pPr>
        <w:pStyle w:val="117"/>
        <w:ind w:firstLine="480"/>
      </w:pPr>
      <w:r>
        <w:rPr>
          <w:rFonts w:hint="eastAsia"/>
        </w:rPr>
        <w:t>（</w:t>
      </w:r>
      <w:r>
        <w:t>2</w:t>
      </w:r>
      <w:r>
        <w:rPr>
          <w:rFonts w:hint="eastAsia"/>
        </w:rPr>
        <w:t>）植被</w:t>
      </w:r>
    </w:p>
    <w:p w14:paraId="54340199">
      <w:pPr>
        <w:pStyle w:val="117"/>
        <w:ind w:firstLine="480"/>
      </w:pPr>
      <w:r>
        <w:rPr>
          <w:rFonts w:hint="eastAsia"/>
        </w:rPr>
        <w:t>项目所在南部循环经济产业园大部分位于嘎顺戈壁，降水稀少，无常年地表径流，主要为裸地和稀疏植被景观，生态系统极其脆弱，非常容易破坏，一旦破坏，恢复相当困难。该区域地下水位在</w:t>
      </w:r>
      <w:r>
        <w:t>4</w:t>
      </w:r>
      <w:r>
        <w:rPr>
          <w:rFonts w:hint="eastAsia"/>
        </w:rPr>
        <w:t>～</w:t>
      </w:r>
      <w:r>
        <w:t>10m</w:t>
      </w:r>
      <w:r>
        <w:rPr>
          <w:rFonts w:hint="eastAsia"/>
        </w:rPr>
        <w:t>不等，自然植被有柽柳、假木贼、琵琶柴、骆驼刺、盐生草等，分布极不均匀，植被盖度在</w:t>
      </w:r>
      <w:r>
        <w:t>1%</w:t>
      </w:r>
      <w:r>
        <w:rPr>
          <w:rFonts w:hint="eastAsia"/>
        </w:rPr>
        <w:t>以下，大部分地表裸露，因此，这些地区应以保护地表为主，防止地表结皮层破坏，而进一步引起沙化沙尘暴等生态问题。</w:t>
      </w:r>
      <w:r>
        <w:t xml:space="preserve"> </w:t>
      </w:r>
    </w:p>
    <w:p w14:paraId="6A2E3D5F">
      <w:pPr>
        <w:pStyle w:val="117"/>
        <w:ind w:firstLine="480"/>
      </w:pPr>
      <w:r>
        <w:rPr>
          <w:rFonts w:hint="eastAsia"/>
        </w:rPr>
        <w:t>（</w:t>
      </w:r>
      <w:r>
        <w:t>3</w:t>
      </w:r>
      <w:r>
        <w:rPr>
          <w:rFonts w:hint="eastAsia"/>
        </w:rPr>
        <w:t>）野生动物类型及分布状况</w:t>
      </w:r>
      <w:r>
        <w:t xml:space="preserve"> </w:t>
      </w:r>
    </w:p>
    <w:p w14:paraId="0AF549D8">
      <w:pPr>
        <w:pStyle w:val="117"/>
        <w:ind w:firstLine="480"/>
      </w:pPr>
      <w:r>
        <w:rPr>
          <w:rFonts w:hint="eastAsia"/>
        </w:rPr>
        <w:t>项目所在南部循环经济产业园区域也属荒芜的戈壁，有少量的戈壁野生动物，虽然这里为野骆驼、鹅喉羚等国家一、二类保护动物的分布区，但由于植被稀疏和人类的频繁活动已很难见到其踪迹。近些年来，由于保护管理有力，鹅喉羚在</w:t>
      </w:r>
      <w:r>
        <w:t>2</w:t>
      </w:r>
      <w:r>
        <w:rPr>
          <w:rFonts w:hint="eastAsia"/>
        </w:rPr>
        <w:t>个工业园区偶有出现。</w:t>
      </w:r>
    </w:p>
    <w:p w14:paraId="7F1E9F42">
      <w:pPr>
        <w:pStyle w:val="118"/>
      </w:pPr>
      <w:r>
        <w:rPr>
          <w:rFonts w:hint="eastAsia"/>
        </w:rPr>
        <w:t>表4.</w:t>
      </w:r>
      <w:r>
        <w:t>7</w:t>
      </w:r>
      <w:r>
        <w:rPr>
          <w:rFonts w:hint="eastAsia"/>
        </w:rPr>
        <w:t>-1  生态功能区主要特征</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77"/>
        <w:gridCol w:w="1395"/>
        <w:gridCol w:w="6847"/>
      </w:tblGrid>
      <w:tr w14:paraId="0C4CB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6" w:type="dxa"/>
            <w:vMerge w:val="restart"/>
            <w:vAlign w:val="center"/>
          </w:tcPr>
          <w:p w14:paraId="54D0A53B">
            <w:pPr>
              <w:pStyle w:val="133"/>
            </w:pPr>
            <w:r>
              <w:t>生态功能分区单元</w:t>
            </w:r>
          </w:p>
        </w:tc>
        <w:tc>
          <w:tcPr>
            <w:tcW w:w="1266" w:type="dxa"/>
            <w:vAlign w:val="center"/>
          </w:tcPr>
          <w:p w14:paraId="635FA4D1">
            <w:pPr>
              <w:pStyle w:val="133"/>
            </w:pPr>
            <w:r>
              <w:t>生态区</w:t>
            </w:r>
          </w:p>
        </w:tc>
        <w:tc>
          <w:tcPr>
            <w:tcW w:w="6214" w:type="dxa"/>
            <w:vAlign w:val="center"/>
          </w:tcPr>
          <w:p w14:paraId="6742E4B4">
            <w:pPr>
              <w:pStyle w:val="133"/>
            </w:pPr>
            <w:r>
              <w:rPr>
                <w:rFonts w:hint="eastAsia"/>
              </w:rPr>
              <w:t>Ⅲ 天山山地温性草原、森林生态区</w:t>
            </w:r>
          </w:p>
        </w:tc>
      </w:tr>
      <w:tr w14:paraId="03252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6" w:type="dxa"/>
            <w:vMerge w:val="continue"/>
            <w:vAlign w:val="center"/>
          </w:tcPr>
          <w:p w14:paraId="75A6BDDC">
            <w:pPr>
              <w:pStyle w:val="133"/>
            </w:pPr>
          </w:p>
        </w:tc>
        <w:tc>
          <w:tcPr>
            <w:tcW w:w="1266" w:type="dxa"/>
            <w:vAlign w:val="center"/>
          </w:tcPr>
          <w:p w14:paraId="18CE8E65">
            <w:pPr>
              <w:pStyle w:val="133"/>
            </w:pPr>
            <w:r>
              <w:t>生态亚区</w:t>
            </w:r>
          </w:p>
        </w:tc>
        <w:tc>
          <w:tcPr>
            <w:tcW w:w="6214" w:type="dxa"/>
            <w:vAlign w:val="center"/>
          </w:tcPr>
          <w:p w14:paraId="47397AB4">
            <w:pPr>
              <w:pStyle w:val="133"/>
            </w:pPr>
            <w:r>
              <w:rPr>
                <w:rFonts w:hint="eastAsia"/>
              </w:rPr>
              <w:t>天山南坡吐鲁番—哈密盆地戈壁荒漠、绿洲农业生态亚区</w:t>
            </w:r>
          </w:p>
        </w:tc>
      </w:tr>
      <w:tr w14:paraId="4A1FD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96" w:type="dxa"/>
            <w:vMerge w:val="continue"/>
            <w:vAlign w:val="center"/>
          </w:tcPr>
          <w:p w14:paraId="4337786D">
            <w:pPr>
              <w:pStyle w:val="133"/>
            </w:pPr>
          </w:p>
        </w:tc>
        <w:tc>
          <w:tcPr>
            <w:tcW w:w="1266" w:type="dxa"/>
            <w:vAlign w:val="center"/>
          </w:tcPr>
          <w:p w14:paraId="4213B7C7">
            <w:pPr>
              <w:pStyle w:val="133"/>
            </w:pPr>
            <w:r>
              <w:t>生态功能区</w:t>
            </w:r>
          </w:p>
        </w:tc>
        <w:tc>
          <w:tcPr>
            <w:tcW w:w="6214" w:type="dxa"/>
            <w:vAlign w:val="center"/>
          </w:tcPr>
          <w:p w14:paraId="097E3765">
            <w:pPr>
              <w:pStyle w:val="133"/>
            </w:pPr>
            <w:r>
              <w:rPr>
                <w:rFonts w:hint="eastAsia"/>
                <w:color w:val="000000"/>
              </w:rPr>
              <w:t>觉嘎顺—南湖戈壁荒漠风蚀敏感生态功能区</w:t>
            </w:r>
          </w:p>
        </w:tc>
      </w:tr>
      <w:tr w14:paraId="65A77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2" w:type="dxa"/>
            <w:gridSpan w:val="2"/>
            <w:vAlign w:val="center"/>
          </w:tcPr>
          <w:p w14:paraId="42D322D8">
            <w:pPr>
              <w:pStyle w:val="133"/>
            </w:pPr>
            <w:r>
              <w:t>主要生态服务功能</w:t>
            </w:r>
          </w:p>
        </w:tc>
        <w:tc>
          <w:tcPr>
            <w:tcW w:w="6214" w:type="dxa"/>
            <w:vAlign w:val="center"/>
          </w:tcPr>
          <w:p w14:paraId="38EC8B44">
            <w:pPr>
              <w:pStyle w:val="133"/>
            </w:pPr>
            <w:r>
              <w:rPr>
                <w:rFonts w:hint="eastAsia" w:ascii="宋体" w:hAnsi="宋体"/>
              </w:rPr>
              <w:t>荒漠化控制、生物多样性维护、矿产资源开发</w:t>
            </w:r>
          </w:p>
        </w:tc>
      </w:tr>
      <w:tr w14:paraId="32A67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2" w:type="dxa"/>
            <w:gridSpan w:val="2"/>
            <w:vAlign w:val="center"/>
          </w:tcPr>
          <w:p w14:paraId="65ADDE2D">
            <w:pPr>
              <w:pStyle w:val="133"/>
            </w:pPr>
            <w:r>
              <w:t>主要生态环境问题</w:t>
            </w:r>
          </w:p>
        </w:tc>
        <w:tc>
          <w:tcPr>
            <w:tcW w:w="6214" w:type="dxa"/>
            <w:vAlign w:val="center"/>
          </w:tcPr>
          <w:p w14:paraId="5A315C15">
            <w:pPr>
              <w:pStyle w:val="133"/>
            </w:pPr>
            <w:r>
              <w:rPr>
                <w:rFonts w:hint="eastAsia" w:ascii="宋体" w:hAnsi="宋体"/>
              </w:rPr>
              <w:t>风沙危害铁路公路、地表形态破坏</w:t>
            </w:r>
          </w:p>
        </w:tc>
      </w:tr>
      <w:tr w14:paraId="453D1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2" w:type="dxa"/>
            <w:gridSpan w:val="2"/>
            <w:vAlign w:val="center"/>
          </w:tcPr>
          <w:p w14:paraId="36F6DAF0">
            <w:pPr>
              <w:pStyle w:val="133"/>
            </w:pPr>
            <w:r>
              <w:t>生态敏感因子敏感程度</w:t>
            </w:r>
          </w:p>
        </w:tc>
        <w:tc>
          <w:tcPr>
            <w:tcW w:w="6214" w:type="dxa"/>
            <w:vAlign w:val="center"/>
          </w:tcPr>
          <w:p w14:paraId="3739F371">
            <w:pPr>
              <w:pStyle w:val="133"/>
              <w:rPr>
                <w:rFonts w:hint="eastAsia" w:ascii="宋体" w:hAnsi="宋体"/>
                <w:szCs w:val="21"/>
              </w:rPr>
            </w:pPr>
            <w:r>
              <w:rPr>
                <w:rFonts w:hint="eastAsia" w:ascii="宋体" w:hAnsi="宋体"/>
                <w:szCs w:val="21"/>
              </w:rPr>
              <w:t>生物多样性及其生境高度敏感，土壤侵蚀极度敏感，土地沙漠化轻度敏感</w:t>
            </w:r>
          </w:p>
        </w:tc>
      </w:tr>
      <w:tr w14:paraId="37999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2" w:type="dxa"/>
            <w:gridSpan w:val="2"/>
            <w:vAlign w:val="center"/>
          </w:tcPr>
          <w:p w14:paraId="52A00F1C">
            <w:pPr>
              <w:pStyle w:val="133"/>
            </w:pPr>
            <w:r>
              <w:t>保护目标</w:t>
            </w:r>
          </w:p>
        </w:tc>
        <w:tc>
          <w:tcPr>
            <w:tcW w:w="6214" w:type="dxa"/>
            <w:vAlign w:val="center"/>
          </w:tcPr>
          <w:p w14:paraId="6170988F">
            <w:pPr>
              <w:pStyle w:val="133"/>
            </w:pPr>
            <w:r>
              <w:rPr>
                <w:rFonts w:hint="eastAsia" w:ascii="宋体" w:hAnsi="宋体"/>
              </w:rPr>
              <w:t>保护砾幕、保护野生动植物、保护铁路公路、保护戈壁泉眼</w:t>
            </w:r>
          </w:p>
        </w:tc>
      </w:tr>
      <w:tr w14:paraId="6E651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2" w:type="dxa"/>
            <w:gridSpan w:val="2"/>
            <w:vAlign w:val="center"/>
          </w:tcPr>
          <w:p w14:paraId="1AF589F3">
            <w:pPr>
              <w:pStyle w:val="133"/>
            </w:pPr>
            <w:r>
              <w:t>保护措施</w:t>
            </w:r>
          </w:p>
        </w:tc>
        <w:tc>
          <w:tcPr>
            <w:tcW w:w="6214" w:type="dxa"/>
            <w:vAlign w:val="center"/>
          </w:tcPr>
          <w:p w14:paraId="58B9E3CD">
            <w:pPr>
              <w:pStyle w:val="133"/>
            </w:pPr>
            <w:r>
              <w:rPr>
                <w:rFonts w:hint="eastAsia" w:ascii="宋体" w:hAnsi="宋体"/>
              </w:rPr>
              <w:t>减少公路管道工程破坏地表植被、保护矿区生态、铁路公路沿线防风固沙</w:t>
            </w:r>
          </w:p>
        </w:tc>
      </w:tr>
      <w:tr w14:paraId="07C0B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2" w:type="dxa"/>
            <w:gridSpan w:val="2"/>
            <w:vAlign w:val="center"/>
          </w:tcPr>
          <w:p w14:paraId="3708DDE1">
            <w:pPr>
              <w:pStyle w:val="133"/>
            </w:pPr>
            <w:r>
              <w:t>发展方向</w:t>
            </w:r>
          </w:p>
        </w:tc>
        <w:tc>
          <w:tcPr>
            <w:tcW w:w="6214" w:type="dxa"/>
            <w:vAlign w:val="center"/>
          </w:tcPr>
          <w:p w14:paraId="6A34D448">
            <w:pPr>
              <w:pStyle w:val="133"/>
            </w:pPr>
            <w:r>
              <w:rPr>
                <w:rFonts w:hint="eastAsia" w:ascii="宋体" w:hAnsi="宋体"/>
              </w:rPr>
              <w:t>保护荒漠自然景观，维护生态平衡</w:t>
            </w:r>
          </w:p>
        </w:tc>
      </w:tr>
    </w:tbl>
    <w:p w14:paraId="0804B044">
      <w:pPr>
        <w:pStyle w:val="133"/>
      </w:pPr>
    </w:p>
    <w:p w14:paraId="36EACF76">
      <w:pPr>
        <w:pStyle w:val="117"/>
        <w:ind w:firstLine="480"/>
        <w:sectPr>
          <w:footerReference r:id="rId24" w:type="even"/>
          <w:pgSz w:w="11906" w:h="16838"/>
          <w:pgMar w:top="1418" w:right="1286" w:bottom="1418" w:left="1531" w:header="851" w:footer="992" w:gutter="0"/>
          <w:cols w:space="720" w:num="1"/>
          <w:docGrid w:linePitch="326" w:charSpace="0"/>
        </w:sectPr>
      </w:pPr>
    </w:p>
    <w:p w14:paraId="6925A287">
      <w:pPr>
        <w:pStyle w:val="2"/>
        <w:spacing w:before="326"/>
      </w:pPr>
      <w:bookmarkStart w:id="429" w:name="_Toc205291394"/>
      <w:r>
        <w:t>环境影响预测</w:t>
      </w:r>
      <w:r>
        <w:rPr>
          <w:rFonts w:hint="eastAsia"/>
        </w:rPr>
        <w:t>与</w:t>
      </w:r>
      <w:r>
        <w:t>评价</w:t>
      </w:r>
      <w:bookmarkEnd w:id="376"/>
      <w:bookmarkEnd w:id="377"/>
      <w:bookmarkEnd w:id="378"/>
      <w:bookmarkEnd w:id="429"/>
    </w:p>
    <w:p w14:paraId="63D90BE1">
      <w:pPr>
        <w:pStyle w:val="3"/>
      </w:pPr>
      <w:bookmarkStart w:id="430" w:name="_Toc148501217"/>
      <w:bookmarkStart w:id="431" w:name="_Toc142711858"/>
      <w:bookmarkStart w:id="432" w:name="_Toc141866414"/>
      <w:bookmarkStart w:id="433" w:name="_Toc15689"/>
      <w:bookmarkStart w:id="434" w:name="_Toc25372"/>
      <w:bookmarkStart w:id="435" w:name="_Toc45970060"/>
      <w:bookmarkStart w:id="436" w:name="_Toc205291395"/>
      <w:bookmarkStart w:id="437" w:name="_Toc33302851"/>
      <w:bookmarkStart w:id="438" w:name="_Toc141866752"/>
      <w:r>
        <w:rPr>
          <w:rFonts w:hint="eastAsia"/>
        </w:rPr>
        <w:t>施工期环境影响分析</w:t>
      </w:r>
      <w:bookmarkEnd w:id="430"/>
      <w:bookmarkEnd w:id="431"/>
      <w:bookmarkEnd w:id="432"/>
      <w:bookmarkEnd w:id="433"/>
      <w:bookmarkEnd w:id="434"/>
      <w:bookmarkEnd w:id="435"/>
      <w:bookmarkEnd w:id="436"/>
      <w:bookmarkEnd w:id="437"/>
      <w:bookmarkEnd w:id="438"/>
    </w:p>
    <w:p w14:paraId="18A993BA">
      <w:pPr>
        <w:pStyle w:val="138"/>
        <w:rPr>
          <w:rFonts w:hint="eastAsia"/>
        </w:rPr>
      </w:pPr>
      <w:bookmarkStart w:id="439" w:name="_Toc16434"/>
      <w:bookmarkStart w:id="440" w:name="_Toc33302852"/>
      <w:bookmarkStart w:id="441" w:name="_Toc141866415"/>
      <w:bookmarkStart w:id="442" w:name="_Toc142711859"/>
      <w:bookmarkStart w:id="443" w:name="_Toc148501218"/>
      <w:bookmarkStart w:id="444" w:name="_Toc141866753"/>
      <w:r>
        <w:rPr>
          <w:rFonts w:hint="eastAsia"/>
        </w:rPr>
        <w:t>水环境影响分析</w:t>
      </w:r>
      <w:bookmarkEnd w:id="439"/>
      <w:bookmarkEnd w:id="440"/>
    </w:p>
    <w:p w14:paraId="3C950A02">
      <w:pPr>
        <w:pStyle w:val="117"/>
        <w:ind w:firstLine="480"/>
      </w:pPr>
      <w:r>
        <w:rPr>
          <w:rFonts w:hint="eastAsia"/>
        </w:rPr>
        <w:t>施工期主要有两种类型废水，一是施工生产废水，二是施工人员生活废水，分析项目施工期废水产生及排放对周围环境的影响如下：</w:t>
      </w:r>
    </w:p>
    <w:p w14:paraId="3CADB47C">
      <w:pPr>
        <w:pStyle w:val="117"/>
        <w:ind w:firstLine="480"/>
      </w:pPr>
      <w:r>
        <w:rPr>
          <w:rFonts w:hint="eastAsia"/>
        </w:rPr>
        <w:t>（1）生产废水</w:t>
      </w:r>
    </w:p>
    <w:p w14:paraId="6EF1D701">
      <w:pPr>
        <w:pStyle w:val="117"/>
        <w:ind w:firstLine="480"/>
      </w:pPr>
      <w:r>
        <w:rPr>
          <w:rFonts w:hint="eastAsia"/>
        </w:rPr>
        <w:t>施工生产废水产生于制作砂浆、混凝土养护、清洗模板、机具、车辆设备及场地卫生等。根据类比同施工规模工程，项目施工期产生的废水量较小，废水中主要污染物为悬浮物，其次还有少量的油类，其中悬浮物浓度值在300～4000mg/L之间，悬浮物排放量（主要是沙土等）约为10kg/d。生产废水经沉淀池沉淀后循环使用，不外排。</w:t>
      </w:r>
    </w:p>
    <w:p w14:paraId="4ED23906">
      <w:pPr>
        <w:pStyle w:val="117"/>
        <w:ind w:firstLine="480"/>
      </w:pPr>
      <w:r>
        <w:rPr>
          <w:rFonts w:hint="eastAsia"/>
        </w:rPr>
        <w:t>（2）生活污水</w:t>
      </w:r>
    </w:p>
    <w:p w14:paraId="71E2782A">
      <w:pPr>
        <w:pStyle w:val="117"/>
        <w:ind w:firstLine="480"/>
      </w:pPr>
      <w:r>
        <w:rPr>
          <w:rFonts w:hint="eastAsia"/>
        </w:rPr>
        <w:t>施工期施工人员以100人计，在</w:t>
      </w:r>
      <w:r>
        <w:rPr>
          <w:lang w:val="zh-CN"/>
        </w:rPr>
        <w:t>施工场地食宿。</w:t>
      </w:r>
      <w:r>
        <w:rPr>
          <w:rFonts w:hint="eastAsia"/>
        </w:rPr>
        <w:t>有效施工期按3</w:t>
      </w:r>
      <w:r>
        <w:t>0</w:t>
      </w:r>
      <w:r>
        <w:rPr>
          <w:rFonts w:hint="eastAsia"/>
        </w:rPr>
        <w:t>0d计，按人均每天用水量0.1m</w:t>
      </w:r>
      <w:r>
        <w:rPr>
          <w:rFonts w:hint="eastAsia"/>
          <w:vertAlign w:val="superscript"/>
        </w:rPr>
        <w:t>3</w:t>
      </w:r>
      <w:r>
        <w:rPr>
          <w:rFonts w:hint="eastAsia"/>
        </w:rPr>
        <w:t>，排水系数按80％计，总生活污水量约0.8m</w:t>
      </w:r>
      <w:r>
        <w:rPr>
          <w:rFonts w:hint="eastAsia"/>
          <w:vertAlign w:val="superscript"/>
        </w:rPr>
        <w:t>3</w:t>
      </w:r>
      <w:r>
        <w:rPr>
          <w:rFonts w:hint="eastAsia"/>
        </w:rPr>
        <w:t>/d（240m</w:t>
      </w:r>
      <w:r>
        <w:rPr>
          <w:rFonts w:hint="eastAsia"/>
          <w:vertAlign w:val="superscript"/>
        </w:rPr>
        <w:t>3</w:t>
      </w:r>
      <w:r>
        <w:rPr>
          <w:rFonts w:hint="eastAsia"/>
        </w:rPr>
        <w:t>/施工期）。生活污水中主要污染因子为COD</w:t>
      </w:r>
      <w:r>
        <w:rPr>
          <w:rFonts w:hint="eastAsia"/>
          <w:vertAlign w:val="subscript"/>
        </w:rPr>
        <w:t>cr</w:t>
      </w:r>
      <w:r>
        <w:rPr>
          <w:rFonts w:hint="eastAsia"/>
        </w:rPr>
        <w:t>、BOD</w:t>
      </w:r>
      <w:r>
        <w:rPr>
          <w:rFonts w:hint="eastAsia"/>
          <w:vertAlign w:val="subscript"/>
        </w:rPr>
        <w:t>5</w:t>
      </w:r>
      <w:r>
        <w:rPr>
          <w:rFonts w:hint="eastAsia"/>
        </w:rPr>
        <w:t>、SS和氨氮，按照典型城市生活污水水质进行类比，确定其污染物浓度分别为：COD</w:t>
      </w:r>
      <w:r>
        <w:rPr>
          <w:rFonts w:hint="eastAsia"/>
          <w:vertAlign w:val="subscript"/>
        </w:rPr>
        <w:t>cr</w:t>
      </w:r>
      <w:r>
        <w:rPr>
          <w:rFonts w:hint="eastAsia"/>
        </w:rPr>
        <w:t>350mg/L、BOD</w:t>
      </w:r>
      <w:r>
        <w:rPr>
          <w:rFonts w:hint="eastAsia"/>
          <w:vertAlign w:val="subscript"/>
        </w:rPr>
        <w:t>5</w:t>
      </w:r>
      <w:r>
        <w:rPr>
          <w:rFonts w:hint="eastAsia"/>
        </w:rPr>
        <w:t>200mg/L、SS300mg/L，氨氮25mg/L，则污染物的产生量为COD</w:t>
      </w:r>
      <w:r>
        <w:rPr>
          <w:rFonts w:hint="eastAsia"/>
          <w:vertAlign w:val="subscript"/>
        </w:rPr>
        <w:t>cr</w:t>
      </w:r>
      <w:r>
        <w:rPr>
          <w:rFonts w:hint="eastAsia"/>
        </w:rPr>
        <w:t xml:space="preserve"> 1.02t/a、BOD</w:t>
      </w:r>
      <w:r>
        <w:rPr>
          <w:rFonts w:hint="eastAsia"/>
          <w:vertAlign w:val="subscript"/>
        </w:rPr>
        <w:t>5</w:t>
      </w:r>
      <w:r>
        <w:rPr>
          <w:rFonts w:hint="eastAsia"/>
        </w:rPr>
        <w:t xml:space="preserve"> 0.59t/a、SS 0.88t/a，氨氮0.07t/a。施工人员的生活污水直接排入现有工程排水管网，不对周围环境造成不利影响。</w:t>
      </w:r>
    </w:p>
    <w:p w14:paraId="1828CD0F">
      <w:pPr>
        <w:pStyle w:val="117"/>
        <w:ind w:firstLine="480"/>
      </w:pPr>
      <w:r>
        <w:rPr>
          <w:rFonts w:hint="eastAsia"/>
        </w:rPr>
        <w:t>（3）施工期废水污染防治措施</w:t>
      </w:r>
    </w:p>
    <w:p w14:paraId="704F7E34">
      <w:pPr>
        <w:pStyle w:val="117"/>
        <w:ind w:firstLine="480"/>
      </w:pPr>
      <w:bookmarkStart w:id="445" w:name="_Toc138064341"/>
      <w:bookmarkStart w:id="446" w:name="_Toc110834783"/>
      <w:bookmarkStart w:id="447" w:name="_Toc110255386"/>
      <w:bookmarkStart w:id="448" w:name="_Toc110070417"/>
      <w:bookmarkStart w:id="449" w:name="_Toc139167905"/>
      <w:bookmarkStart w:id="450" w:name="_Toc145690027"/>
      <w:bookmarkStart w:id="451" w:name="_Toc110069681"/>
      <w:r>
        <w:rPr>
          <w:rFonts w:hint="eastAsia"/>
        </w:rPr>
        <w:t>加强施工期工地用水管理，节约用水，尽可能避免施工用水过程中的“跑、冒、滴、漏”，减少施工废水外排量。同时在项目施工区域内设置生产废水沉淀池，施工生产废水经沉淀池处理后可用于工地洒水降尘，不排放。</w:t>
      </w:r>
    </w:p>
    <w:p w14:paraId="34A99537">
      <w:pPr>
        <w:pStyle w:val="138"/>
        <w:rPr>
          <w:rFonts w:hint="eastAsia"/>
        </w:rPr>
      </w:pPr>
      <w:bookmarkStart w:id="452" w:name="_Toc658"/>
      <w:bookmarkStart w:id="453" w:name="_Toc33302853"/>
      <w:r>
        <w:rPr>
          <w:rFonts w:hint="eastAsia"/>
        </w:rPr>
        <w:t>大气环境影响分析</w:t>
      </w:r>
      <w:bookmarkEnd w:id="445"/>
      <w:bookmarkEnd w:id="446"/>
      <w:bookmarkEnd w:id="447"/>
      <w:bookmarkEnd w:id="448"/>
      <w:bookmarkEnd w:id="449"/>
      <w:bookmarkEnd w:id="450"/>
      <w:bookmarkEnd w:id="451"/>
      <w:bookmarkEnd w:id="452"/>
      <w:bookmarkEnd w:id="453"/>
    </w:p>
    <w:p w14:paraId="68CE306D">
      <w:pPr>
        <w:pStyle w:val="117"/>
        <w:ind w:firstLine="480"/>
      </w:pPr>
      <w:r>
        <w:rPr>
          <w:rFonts w:hint="eastAsia"/>
        </w:rPr>
        <w:t>（1）施工扬尘影响分析</w:t>
      </w:r>
    </w:p>
    <w:p w14:paraId="4924B072">
      <w:pPr>
        <w:pStyle w:val="117"/>
        <w:ind w:firstLine="480"/>
      </w:pPr>
      <w:r>
        <w:rPr>
          <w:rFonts w:hint="eastAsia"/>
        </w:rPr>
        <w:t>施工产生的扬尘主要集中在土建施工阶段。按起尘的原因可分为风力起尘和动力起尘，主要是在废土回填、建筑材料的装卸、搅拌等过程中，由于外力而产生的尘粒在空气中悬浮而造成，其中废土回填、建筑材料装卸造成的扬尘最为严重。</w:t>
      </w:r>
    </w:p>
    <w:p w14:paraId="1F91E001">
      <w:pPr>
        <w:pStyle w:val="117"/>
        <w:ind w:firstLine="480"/>
      </w:pPr>
      <w:r>
        <w:rPr>
          <w:rFonts w:hint="eastAsia"/>
        </w:rPr>
        <w:t>①风力扬尘</w:t>
      </w:r>
    </w:p>
    <w:p w14:paraId="3A4B50FE">
      <w:pPr>
        <w:pStyle w:val="117"/>
        <w:ind w:firstLine="480"/>
      </w:pPr>
      <w:r>
        <w:rPr>
          <w:rFonts w:hint="eastAsia"/>
        </w:rPr>
        <w:t>由于施工的需要，一些建筑材料需露天堆放；一些施工点表层土壤需人工开挖、堆放，在气候干燥又有风的情况下，会产生扬尘，其尘量可按堆放场起尘的经验公式计算：</w:t>
      </w:r>
    </w:p>
    <w:p w14:paraId="766EF6D0">
      <w:pPr>
        <w:pStyle w:val="117"/>
        <w:ind w:firstLine="480"/>
      </w:pPr>
      <w:r>
        <w:rPr>
          <w:rFonts w:hint="eastAsia"/>
        </w:rPr>
        <w:t>Q=2.1（V</w:t>
      </w:r>
      <w:r>
        <w:rPr>
          <w:rFonts w:hint="eastAsia"/>
          <w:vertAlign w:val="subscript"/>
        </w:rPr>
        <w:t>50</w:t>
      </w:r>
      <w:r>
        <w:rPr>
          <w:rFonts w:hint="eastAsia"/>
        </w:rPr>
        <w:t>-V</w:t>
      </w:r>
      <w:r>
        <w:rPr>
          <w:rFonts w:hint="eastAsia"/>
          <w:vertAlign w:val="subscript"/>
        </w:rPr>
        <w:t>0)</w:t>
      </w:r>
      <w:r>
        <w:rPr>
          <w:rFonts w:hint="eastAsia"/>
          <w:vertAlign w:val="superscript"/>
        </w:rPr>
        <w:t>3</w:t>
      </w:r>
      <w:r>
        <w:rPr>
          <w:rFonts w:hint="eastAsia"/>
        </w:rPr>
        <w:t>e</w:t>
      </w:r>
      <w:r>
        <w:rPr>
          <w:rFonts w:hint="eastAsia"/>
          <w:vertAlign w:val="superscript"/>
        </w:rPr>
        <w:t>-1.023W</w:t>
      </w:r>
    </w:p>
    <w:p w14:paraId="19FF81E6">
      <w:pPr>
        <w:pStyle w:val="117"/>
        <w:ind w:firstLine="480"/>
      </w:pPr>
      <w:r>
        <w:rPr>
          <w:rFonts w:hint="eastAsia"/>
        </w:rPr>
        <w:t>其中：Q——起尘量，kg/t</w:t>
      </w:r>
      <w:r>
        <w:rPr>
          <w:rFonts w:cs="Times New Roman"/>
        </w:rPr>
        <w:t>·</w:t>
      </w:r>
      <w:r>
        <w:rPr>
          <w:rFonts w:hint="eastAsia"/>
        </w:rPr>
        <w:t>年；</w:t>
      </w:r>
    </w:p>
    <w:p w14:paraId="7A27239A">
      <w:pPr>
        <w:pStyle w:val="117"/>
        <w:ind w:firstLine="480"/>
      </w:pPr>
      <w:r>
        <w:rPr>
          <w:rFonts w:hint="eastAsia"/>
        </w:rPr>
        <w:t xml:space="preserve">      V</w:t>
      </w:r>
      <w:r>
        <w:rPr>
          <w:rFonts w:hint="eastAsia"/>
          <w:vertAlign w:val="subscript"/>
        </w:rPr>
        <w:t>50</w:t>
      </w:r>
      <w:r>
        <w:rPr>
          <w:rFonts w:hint="eastAsia"/>
        </w:rPr>
        <w:t>——距地面50米处风速，m/s；</w:t>
      </w:r>
    </w:p>
    <w:p w14:paraId="4A8DBCFC">
      <w:pPr>
        <w:pStyle w:val="117"/>
        <w:ind w:firstLine="480"/>
      </w:pPr>
      <w:r>
        <w:rPr>
          <w:rFonts w:hint="eastAsia"/>
        </w:rPr>
        <w:t xml:space="preserve">      V</w:t>
      </w:r>
      <w:r>
        <w:rPr>
          <w:rFonts w:hint="eastAsia"/>
          <w:vertAlign w:val="subscript"/>
        </w:rPr>
        <w:t>0</w:t>
      </w:r>
      <w:r>
        <w:rPr>
          <w:rFonts w:hint="eastAsia"/>
        </w:rPr>
        <w:t>——起尘风速，m/s；</w:t>
      </w:r>
    </w:p>
    <w:p w14:paraId="3A97FB12">
      <w:pPr>
        <w:pStyle w:val="117"/>
        <w:ind w:firstLine="480"/>
      </w:pPr>
      <w:r>
        <w:rPr>
          <w:rFonts w:hint="eastAsia"/>
        </w:rPr>
        <w:t xml:space="preserve">      W——尘粒的含水量，％。</w:t>
      </w:r>
    </w:p>
    <w:p w14:paraId="7387AE1D">
      <w:pPr>
        <w:pStyle w:val="117"/>
        <w:ind w:firstLine="480"/>
      </w:pPr>
      <w:r>
        <w:rPr>
          <w:rFonts w:hint="eastAsia"/>
        </w:rPr>
        <w:t>V</w:t>
      </w:r>
      <w:r>
        <w:rPr>
          <w:rFonts w:hint="eastAsia"/>
          <w:vertAlign w:val="subscript"/>
        </w:rPr>
        <w:t>0</w:t>
      </w:r>
      <w:r>
        <w:rPr>
          <w:rFonts w:hint="eastAsia"/>
        </w:rPr>
        <w:t>与粒径和含水率有关，因此减少露天堆放和保证一定的含水率及减少裸露地面是减少风力起尘的有效手段。由公式可以看出尘粒在空气中的传播扩散、起尘量情况与风速等气象条件和尘粒含水量有关，也与尘粒本身的沉降速度有关。不同粒径尘粒的沉降速度随尘粒粒径的增大而速度增大。</w:t>
      </w:r>
    </w:p>
    <w:p w14:paraId="372F80CD">
      <w:pPr>
        <w:pStyle w:val="117"/>
        <w:ind w:firstLine="480"/>
      </w:pPr>
      <w:r>
        <w:rPr>
          <w:rFonts w:hint="eastAsia"/>
        </w:rPr>
        <w:t>②车辆行驶的动力扬尘</w:t>
      </w:r>
    </w:p>
    <w:p w14:paraId="346D1276">
      <w:pPr>
        <w:pStyle w:val="117"/>
        <w:ind w:firstLine="480"/>
      </w:pPr>
      <w:r>
        <w:rPr>
          <w:rFonts w:hint="eastAsia"/>
        </w:rPr>
        <w:t>据有关文献报道，车辆行驶产生的扬尘占总扬尘的60％以上，车辆行驶产生的扬尘，在完全干燥情况下，可按下列经验公式计算：</w:t>
      </w:r>
    </w:p>
    <w:p w14:paraId="576A1879">
      <w:pPr>
        <w:pStyle w:val="117"/>
        <w:ind w:firstLine="480"/>
      </w:pPr>
      <w:r>
        <w:rPr>
          <w:rFonts w:hint="eastAsia"/>
        </w:rPr>
        <w:t>Q=0.123（V/5）（W/6.8）</w:t>
      </w:r>
      <w:r>
        <w:rPr>
          <w:rFonts w:hint="eastAsia"/>
          <w:vertAlign w:val="superscript"/>
        </w:rPr>
        <w:t>0.85</w:t>
      </w:r>
      <w:r>
        <w:rPr>
          <w:rFonts w:hint="eastAsia"/>
        </w:rPr>
        <w:t>（P/0.5）</w:t>
      </w:r>
      <w:r>
        <w:rPr>
          <w:rFonts w:hint="eastAsia"/>
          <w:vertAlign w:val="superscript"/>
        </w:rPr>
        <w:t>0.75</w:t>
      </w:r>
    </w:p>
    <w:p w14:paraId="1C39D178">
      <w:pPr>
        <w:pStyle w:val="117"/>
        <w:ind w:firstLine="480"/>
      </w:pPr>
      <w:r>
        <w:rPr>
          <w:rFonts w:hint="eastAsia"/>
        </w:rPr>
        <w:t>式中：Q——汽车行驶时的扬尘，kg/km·辆；</w:t>
      </w:r>
    </w:p>
    <w:p w14:paraId="7125B791">
      <w:pPr>
        <w:pStyle w:val="117"/>
        <w:ind w:firstLine="480"/>
      </w:pPr>
      <w:r>
        <w:rPr>
          <w:rFonts w:hint="eastAsia"/>
        </w:rPr>
        <w:t xml:space="preserve">      V——汽车速度，km/h；</w:t>
      </w:r>
    </w:p>
    <w:p w14:paraId="4F0020BF">
      <w:pPr>
        <w:pStyle w:val="117"/>
        <w:ind w:firstLine="480"/>
      </w:pPr>
      <w:r>
        <w:rPr>
          <w:rFonts w:hint="eastAsia"/>
        </w:rPr>
        <w:t xml:space="preserve">      W——汽车载重量，t；</w:t>
      </w:r>
    </w:p>
    <w:p w14:paraId="52F52EF4">
      <w:pPr>
        <w:pStyle w:val="117"/>
        <w:ind w:firstLine="480"/>
      </w:pPr>
      <w:r>
        <w:rPr>
          <w:rFonts w:hint="eastAsia"/>
        </w:rPr>
        <w:t xml:space="preserve">      P——道路表面扬尘量，kg/m</w:t>
      </w:r>
      <w:r>
        <w:rPr>
          <w:rFonts w:hint="eastAsia"/>
          <w:vertAlign w:val="superscript"/>
        </w:rPr>
        <w:t>2</w:t>
      </w:r>
      <w:r>
        <w:rPr>
          <w:rFonts w:hint="eastAsia"/>
        </w:rPr>
        <w:t>。</w:t>
      </w:r>
    </w:p>
    <w:p w14:paraId="2317323D">
      <w:pPr>
        <w:pStyle w:val="117"/>
        <w:ind w:firstLine="480"/>
      </w:pPr>
      <w:r>
        <w:rPr>
          <w:rFonts w:hint="eastAsia"/>
        </w:rPr>
        <w:t>表4.1-1中为10吨卡车通过一段长度为1千米的路面时，不同路面清洁程度，不同行驶情况下的扬尘量。</w:t>
      </w:r>
    </w:p>
    <w:p w14:paraId="4BEF21B4">
      <w:pPr>
        <w:widowControl/>
        <w:spacing w:line="240" w:lineRule="auto"/>
        <w:ind w:firstLine="0" w:firstLineChars="0"/>
        <w:jc w:val="left"/>
        <w:rPr>
          <w:b/>
          <w:szCs w:val="28"/>
        </w:rPr>
      </w:pPr>
      <w:r>
        <w:br w:type="page"/>
      </w:r>
    </w:p>
    <w:p w14:paraId="2FECE489">
      <w:pPr>
        <w:pStyle w:val="118"/>
        <w:rPr>
          <w:color w:val="auto"/>
        </w:rPr>
      </w:pPr>
      <w:r>
        <w:rPr>
          <w:rFonts w:hint="eastAsia"/>
          <w:color w:val="auto"/>
        </w:rPr>
        <w:t>表4.1-1  在不同车辆和路面清洁程度的汽车扬尘单位：kg/km·辆</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493"/>
        <w:gridCol w:w="1215"/>
        <w:gridCol w:w="1216"/>
        <w:gridCol w:w="1216"/>
        <w:gridCol w:w="1216"/>
        <w:gridCol w:w="1216"/>
        <w:gridCol w:w="1217"/>
      </w:tblGrid>
      <w:tr w14:paraId="67D97E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9" w:type="pct"/>
            <w:vAlign w:val="center"/>
          </w:tcPr>
          <w:p w14:paraId="2E08360F">
            <w:pPr>
              <w:pStyle w:val="133"/>
            </w:pPr>
            <w:r>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-6350</wp:posOffset>
                      </wp:positionV>
                      <wp:extent cx="934085" cy="412115"/>
                      <wp:effectExtent l="1905" t="4445" r="16510" b="21590"/>
                      <wp:wrapNone/>
                      <wp:docPr id="2" name="任意多边形 15"/>
                      <wp:cNvGraphicFramePr/>
                      <a:graphic xmlns:a="http://schemas.openxmlformats.org/drawingml/2006/main">
                        <a:graphicData uri="http://schemas.microsoft.com/office/word/2010/wordprocessingShape">
                          <wps:wsp>
                            <wps:cNvSpPr/>
                            <wps:spPr>
                              <a:xfrm>
                                <a:off x="0" y="0"/>
                                <a:ext cx="934085" cy="412115"/>
                              </a:xfrm>
                              <a:custGeom>
                                <a:avLst/>
                                <a:gdLst>
                                  <a:gd name="A1" fmla="val 0"/>
                                  <a:gd name="A2" fmla="val 0"/>
                                  <a:gd name="A3" fmla="val 0"/>
                                </a:gdLst>
                                <a:ahLst/>
                                <a:cxnLst/>
                                <a:rect l="0" t="0" r="0" b="0"/>
                                <a:pathLst>
                                  <a:path w="1485" h="645">
                                    <a:moveTo>
                                      <a:pt x="0" y="0"/>
                                    </a:moveTo>
                                    <a:lnTo>
                                      <a:pt x="1485" y="645"/>
                                    </a:lnTo>
                                  </a:path>
                                </a:pathLst>
                              </a:custGeom>
                              <a:noFill/>
                              <a:ln w="9525" cap="flat" cmpd="sng">
                                <a:solidFill>
                                  <a:srgbClr val="000000"/>
                                </a:solidFill>
                                <a:prstDash val="solid"/>
                                <a:bevel/>
                                <a:headEnd type="none" w="med" len="med"/>
                                <a:tailEnd type="none" w="med" len="med"/>
                              </a:ln>
                            </wps:spPr>
                            <wps:bodyPr upright="1"/>
                          </wps:wsp>
                        </a:graphicData>
                      </a:graphic>
                    </wp:anchor>
                  </w:drawing>
                </mc:Choice>
                <mc:Fallback>
                  <w:pict>
                    <v:shape id="任意多边形 15" o:spid="_x0000_s1026" o:spt="100" style="position:absolute;left:0pt;margin-left:-6pt;margin-top:-0.5pt;height:32.45pt;width:73.55pt;z-index:251662336;mso-width-relative:page;mso-height-relative:page;" filled="f" stroked="t" coordsize="1485,645" o:gfxdata="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QRR/J1wAAAAkBAAAPAAAAAAAAAAEAIAAAACIAAABkcnMvZG93bnJldi54bWxQSwECFAAUAAAA&#10;CACHTuJA22MYSmECAAAfBQAADgAAAAAAAAABACAAAAAmAQAAZHJzL2Uyb0RvYy54bWxQSwUGAAAA&#10;AAYABgBZAQAA+QUAAAAA&#10;" path="m0,0l1485,645e">
                      <v:fill on="f" focussize="0,0"/>
                      <v:stroke color="#000000" joinstyle="bevel"/>
                      <v:imagedata o:title=""/>
                      <o:lock v:ext="edit" aspectratio="f"/>
                    </v:shape>
                  </w:pict>
                </mc:Fallback>
              </mc:AlternateContent>
            </w:r>
            <w:r>
              <w:rPr>
                <w:rFonts w:hint="eastAsia"/>
              </w:rPr>
              <w:t xml:space="preserve">         P</w:t>
            </w:r>
          </w:p>
          <w:p w14:paraId="0C0EB292">
            <w:pPr>
              <w:pStyle w:val="133"/>
              <w:jc w:val="both"/>
            </w:pPr>
            <w:r>
              <w:rPr>
                <w:rFonts w:hint="eastAsia"/>
              </w:rPr>
              <w:t>车速</w:t>
            </w:r>
          </w:p>
        </w:tc>
        <w:tc>
          <w:tcPr>
            <w:tcW w:w="691" w:type="pct"/>
            <w:vAlign w:val="center"/>
          </w:tcPr>
          <w:p w14:paraId="2AE54BB4">
            <w:pPr>
              <w:pStyle w:val="133"/>
            </w:pPr>
            <w:r>
              <w:rPr>
                <w:rFonts w:hint="eastAsia"/>
              </w:rPr>
              <w:t>0.1kg/m</w:t>
            </w:r>
            <w:r>
              <w:rPr>
                <w:rFonts w:hint="eastAsia"/>
                <w:vertAlign w:val="superscript"/>
              </w:rPr>
              <w:t>2</w:t>
            </w:r>
          </w:p>
        </w:tc>
        <w:tc>
          <w:tcPr>
            <w:tcW w:w="691" w:type="pct"/>
            <w:vAlign w:val="center"/>
          </w:tcPr>
          <w:p w14:paraId="399608DD">
            <w:pPr>
              <w:pStyle w:val="133"/>
            </w:pPr>
            <w:r>
              <w:rPr>
                <w:rFonts w:hint="eastAsia"/>
              </w:rPr>
              <w:t>0.2kg/m</w:t>
            </w:r>
            <w:r>
              <w:rPr>
                <w:rFonts w:hint="eastAsia"/>
                <w:vertAlign w:val="superscript"/>
              </w:rPr>
              <w:t>2</w:t>
            </w:r>
          </w:p>
        </w:tc>
        <w:tc>
          <w:tcPr>
            <w:tcW w:w="691" w:type="pct"/>
            <w:vAlign w:val="center"/>
          </w:tcPr>
          <w:p w14:paraId="4BDEE345">
            <w:pPr>
              <w:pStyle w:val="133"/>
            </w:pPr>
            <w:r>
              <w:rPr>
                <w:rFonts w:hint="eastAsia"/>
              </w:rPr>
              <w:t>0.3kg/m</w:t>
            </w:r>
            <w:r>
              <w:rPr>
                <w:rFonts w:hint="eastAsia"/>
                <w:vertAlign w:val="superscript"/>
              </w:rPr>
              <w:t>2</w:t>
            </w:r>
          </w:p>
        </w:tc>
        <w:tc>
          <w:tcPr>
            <w:tcW w:w="691" w:type="pct"/>
            <w:vAlign w:val="center"/>
          </w:tcPr>
          <w:p w14:paraId="40C1B7DE">
            <w:pPr>
              <w:pStyle w:val="133"/>
            </w:pPr>
            <w:r>
              <w:rPr>
                <w:rFonts w:hint="eastAsia"/>
              </w:rPr>
              <w:t>0.4kg/m</w:t>
            </w:r>
            <w:r>
              <w:rPr>
                <w:rFonts w:hint="eastAsia"/>
                <w:vertAlign w:val="superscript"/>
              </w:rPr>
              <w:t>2</w:t>
            </w:r>
          </w:p>
        </w:tc>
        <w:tc>
          <w:tcPr>
            <w:tcW w:w="691" w:type="pct"/>
            <w:vAlign w:val="center"/>
          </w:tcPr>
          <w:p w14:paraId="62B78568">
            <w:pPr>
              <w:pStyle w:val="133"/>
            </w:pPr>
            <w:r>
              <w:rPr>
                <w:rFonts w:hint="eastAsia"/>
              </w:rPr>
              <w:t>0.5kg/m</w:t>
            </w:r>
            <w:r>
              <w:rPr>
                <w:rFonts w:hint="eastAsia"/>
                <w:vertAlign w:val="superscript"/>
              </w:rPr>
              <w:t>2</w:t>
            </w:r>
          </w:p>
        </w:tc>
        <w:tc>
          <w:tcPr>
            <w:tcW w:w="692" w:type="pct"/>
            <w:vAlign w:val="center"/>
          </w:tcPr>
          <w:p w14:paraId="3585C4BE">
            <w:pPr>
              <w:pStyle w:val="133"/>
            </w:pPr>
            <w:r>
              <w:rPr>
                <w:rFonts w:hint="eastAsia"/>
              </w:rPr>
              <w:t>1kg/m</w:t>
            </w:r>
            <w:r>
              <w:rPr>
                <w:rFonts w:hint="eastAsia"/>
                <w:vertAlign w:val="superscript"/>
              </w:rPr>
              <w:t>2</w:t>
            </w:r>
          </w:p>
        </w:tc>
      </w:tr>
      <w:tr w14:paraId="1419B8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9" w:type="pct"/>
            <w:vAlign w:val="center"/>
          </w:tcPr>
          <w:p w14:paraId="1DCFECB4">
            <w:pPr>
              <w:pStyle w:val="133"/>
            </w:pPr>
            <w:r>
              <w:rPr>
                <w:rFonts w:hint="eastAsia"/>
              </w:rPr>
              <w:t>5（km/h）</w:t>
            </w:r>
          </w:p>
        </w:tc>
        <w:tc>
          <w:tcPr>
            <w:tcW w:w="691" w:type="pct"/>
            <w:vAlign w:val="center"/>
          </w:tcPr>
          <w:p w14:paraId="4CB871DB">
            <w:pPr>
              <w:pStyle w:val="133"/>
            </w:pPr>
            <w:r>
              <w:rPr>
                <w:rFonts w:hint="eastAsia"/>
              </w:rPr>
              <w:t>0.051</w:t>
            </w:r>
          </w:p>
        </w:tc>
        <w:tc>
          <w:tcPr>
            <w:tcW w:w="691" w:type="pct"/>
            <w:vAlign w:val="center"/>
          </w:tcPr>
          <w:p w14:paraId="5AF4CECD">
            <w:pPr>
              <w:pStyle w:val="133"/>
            </w:pPr>
            <w:r>
              <w:rPr>
                <w:rFonts w:hint="eastAsia"/>
              </w:rPr>
              <w:t>0.086</w:t>
            </w:r>
          </w:p>
        </w:tc>
        <w:tc>
          <w:tcPr>
            <w:tcW w:w="691" w:type="pct"/>
            <w:vAlign w:val="center"/>
          </w:tcPr>
          <w:p w14:paraId="7CAE6C0E">
            <w:pPr>
              <w:pStyle w:val="133"/>
            </w:pPr>
            <w:r>
              <w:rPr>
                <w:rFonts w:hint="eastAsia"/>
              </w:rPr>
              <w:t>0.116</w:t>
            </w:r>
          </w:p>
        </w:tc>
        <w:tc>
          <w:tcPr>
            <w:tcW w:w="691" w:type="pct"/>
            <w:vAlign w:val="center"/>
          </w:tcPr>
          <w:p w14:paraId="4A745045">
            <w:pPr>
              <w:pStyle w:val="133"/>
            </w:pPr>
            <w:r>
              <w:rPr>
                <w:rFonts w:hint="eastAsia"/>
              </w:rPr>
              <w:t>0.144</w:t>
            </w:r>
          </w:p>
        </w:tc>
        <w:tc>
          <w:tcPr>
            <w:tcW w:w="691" w:type="pct"/>
            <w:vAlign w:val="center"/>
          </w:tcPr>
          <w:p w14:paraId="6B383238">
            <w:pPr>
              <w:pStyle w:val="133"/>
            </w:pPr>
            <w:r>
              <w:rPr>
                <w:rFonts w:hint="eastAsia"/>
              </w:rPr>
              <w:t>0.171</w:t>
            </w:r>
          </w:p>
        </w:tc>
        <w:tc>
          <w:tcPr>
            <w:tcW w:w="692" w:type="pct"/>
            <w:vAlign w:val="center"/>
          </w:tcPr>
          <w:p w14:paraId="65EB6F4D">
            <w:pPr>
              <w:pStyle w:val="133"/>
            </w:pPr>
            <w:r>
              <w:rPr>
                <w:rFonts w:hint="eastAsia"/>
              </w:rPr>
              <w:t>0.287</w:t>
            </w:r>
          </w:p>
        </w:tc>
      </w:tr>
      <w:tr w14:paraId="4B7BC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9" w:type="pct"/>
            <w:vAlign w:val="center"/>
          </w:tcPr>
          <w:p w14:paraId="39CC1822">
            <w:pPr>
              <w:pStyle w:val="133"/>
            </w:pPr>
            <w:r>
              <w:rPr>
                <w:rFonts w:hint="eastAsia"/>
              </w:rPr>
              <w:t>10（km/h）</w:t>
            </w:r>
          </w:p>
        </w:tc>
        <w:tc>
          <w:tcPr>
            <w:tcW w:w="691" w:type="pct"/>
            <w:vAlign w:val="center"/>
          </w:tcPr>
          <w:p w14:paraId="65C6938F">
            <w:pPr>
              <w:pStyle w:val="133"/>
            </w:pPr>
            <w:r>
              <w:rPr>
                <w:rFonts w:hint="eastAsia"/>
              </w:rPr>
              <w:t>0.102</w:t>
            </w:r>
          </w:p>
        </w:tc>
        <w:tc>
          <w:tcPr>
            <w:tcW w:w="691" w:type="pct"/>
            <w:vAlign w:val="center"/>
          </w:tcPr>
          <w:p w14:paraId="0E17D288">
            <w:pPr>
              <w:pStyle w:val="133"/>
            </w:pPr>
            <w:r>
              <w:rPr>
                <w:rFonts w:hint="eastAsia"/>
              </w:rPr>
              <w:t>0.171</w:t>
            </w:r>
          </w:p>
        </w:tc>
        <w:tc>
          <w:tcPr>
            <w:tcW w:w="691" w:type="pct"/>
            <w:vAlign w:val="center"/>
          </w:tcPr>
          <w:p w14:paraId="42F46F5E">
            <w:pPr>
              <w:pStyle w:val="133"/>
            </w:pPr>
            <w:r>
              <w:rPr>
                <w:rFonts w:hint="eastAsia"/>
              </w:rPr>
              <w:t>0.232</w:t>
            </w:r>
          </w:p>
        </w:tc>
        <w:tc>
          <w:tcPr>
            <w:tcW w:w="691" w:type="pct"/>
            <w:vAlign w:val="center"/>
          </w:tcPr>
          <w:p w14:paraId="36613953">
            <w:pPr>
              <w:pStyle w:val="133"/>
            </w:pPr>
            <w:r>
              <w:rPr>
                <w:rFonts w:hint="eastAsia"/>
              </w:rPr>
              <w:t>0.289</w:t>
            </w:r>
          </w:p>
        </w:tc>
        <w:tc>
          <w:tcPr>
            <w:tcW w:w="691" w:type="pct"/>
            <w:vAlign w:val="center"/>
          </w:tcPr>
          <w:p w14:paraId="4AE0E644">
            <w:pPr>
              <w:pStyle w:val="133"/>
            </w:pPr>
            <w:r>
              <w:rPr>
                <w:rFonts w:hint="eastAsia"/>
              </w:rPr>
              <w:t>0.341</w:t>
            </w:r>
          </w:p>
        </w:tc>
        <w:tc>
          <w:tcPr>
            <w:tcW w:w="692" w:type="pct"/>
            <w:vAlign w:val="center"/>
          </w:tcPr>
          <w:p w14:paraId="30EE92A0">
            <w:pPr>
              <w:pStyle w:val="133"/>
            </w:pPr>
            <w:r>
              <w:rPr>
                <w:rFonts w:hint="eastAsia"/>
              </w:rPr>
              <w:t>0.574</w:t>
            </w:r>
          </w:p>
        </w:tc>
      </w:tr>
      <w:tr w14:paraId="15963E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9" w:type="pct"/>
            <w:vAlign w:val="center"/>
          </w:tcPr>
          <w:p w14:paraId="66C343A5">
            <w:pPr>
              <w:pStyle w:val="133"/>
            </w:pPr>
            <w:r>
              <w:rPr>
                <w:rFonts w:hint="eastAsia"/>
              </w:rPr>
              <w:t>15（km/h）</w:t>
            </w:r>
          </w:p>
        </w:tc>
        <w:tc>
          <w:tcPr>
            <w:tcW w:w="691" w:type="pct"/>
            <w:vAlign w:val="center"/>
          </w:tcPr>
          <w:p w14:paraId="6C070E4B">
            <w:pPr>
              <w:pStyle w:val="133"/>
            </w:pPr>
            <w:r>
              <w:rPr>
                <w:rFonts w:hint="eastAsia"/>
              </w:rPr>
              <w:t>0.153</w:t>
            </w:r>
          </w:p>
        </w:tc>
        <w:tc>
          <w:tcPr>
            <w:tcW w:w="691" w:type="pct"/>
            <w:vAlign w:val="center"/>
          </w:tcPr>
          <w:p w14:paraId="65BC4F07">
            <w:pPr>
              <w:pStyle w:val="133"/>
            </w:pPr>
            <w:r>
              <w:rPr>
                <w:rFonts w:hint="eastAsia"/>
              </w:rPr>
              <w:t>0.257</w:t>
            </w:r>
          </w:p>
        </w:tc>
        <w:tc>
          <w:tcPr>
            <w:tcW w:w="691" w:type="pct"/>
            <w:vAlign w:val="center"/>
          </w:tcPr>
          <w:p w14:paraId="04309C15">
            <w:pPr>
              <w:pStyle w:val="133"/>
            </w:pPr>
            <w:r>
              <w:rPr>
                <w:rFonts w:hint="eastAsia"/>
              </w:rPr>
              <w:t>0.349</w:t>
            </w:r>
          </w:p>
        </w:tc>
        <w:tc>
          <w:tcPr>
            <w:tcW w:w="691" w:type="pct"/>
            <w:vAlign w:val="center"/>
          </w:tcPr>
          <w:p w14:paraId="57E0919E">
            <w:pPr>
              <w:pStyle w:val="133"/>
            </w:pPr>
            <w:r>
              <w:rPr>
                <w:rFonts w:hint="eastAsia"/>
              </w:rPr>
              <w:t>0.433</w:t>
            </w:r>
          </w:p>
        </w:tc>
        <w:tc>
          <w:tcPr>
            <w:tcW w:w="691" w:type="pct"/>
            <w:vAlign w:val="center"/>
          </w:tcPr>
          <w:p w14:paraId="5D3F38E2">
            <w:pPr>
              <w:pStyle w:val="133"/>
            </w:pPr>
            <w:r>
              <w:rPr>
                <w:rFonts w:hint="eastAsia"/>
              </w:rPr>
              <w:t>0.512</w:t>
            </w:r>
          </w:p>
        </w:tc>
        <w:tc>
          <w:tcPr>
            <w:tcW w:w="692" w:type="pct"/>
            <w:vAlign w:val="center"/>
          </w:tcPr>
          <w:p w14:paraId="5D7611D0">
            <w:pPr>
              <w:pStyle w:val="133"/>
            </w:pPr>
            <w:r>
              <w:rPr>
                <w:rFonts w:hint="eastAsia"/>
              </w:rPr>
              <w:t>0.861</w:t>
            </w:r>
          </w:p>
        </w:tc>
      </w:tr>
      <w:tr w14:paraId="37CD2D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49" w:type="pct"/>
            <w:vAlign w:val="center"/>
          </w:tcPr>
          <w:p w14:paraId="3FFB555D">
            <w:pPr>
              <w:pStyle w:val="133"/>
            </w:pPr>
            <w:r>
              <w:rPr>
                <w:rFonts w:hint="eastAsia"/>
              </w:rPr>
              <w:t>20（km/h）</w:t>
            </w:r>
          </w:p>
        </w:tc>
        <w:tc>
          <w:tcPr>
            <w:tcW w:w="691" w:type="pct"/>
            <w:vAlign w:val="center"/>
          </w:tcPr>
          <w:p w14:paraId="2806A861">
            <w:pPr>
              <w:pStyle w:val="133"/>
            </w:pPr>
            <w:r>
              <w:rPr>
                <w:rFonts w:hint="eastAsia"/>
              </w:rPr>
              <w:t>0.255</w:t>
            </w:r>
          </w:p>
        </w:tc>
        <w:tc>
          <w:tcPr>
            <w:tcW w:w="691" w:type="pct"/>
            <w:vAlign w:val="center"/>
          </w:tcPr>
          <w:p w14:paraId="227651AE">
            <w:pPr>
              <w:pStyle w:val="133"/>
            </w:pPr>
            <w:r>
              <w:rPr>
                <w:rFonts w:hint="eastAsia"/>
              </w:rPr>
              <w:t>0.429</w:t>
            </w:r>
          </w:p>
        </w:tc>
        <w:tc>
          <w:tcPr>
            <w:tcW w:w="691" w:type="pct"/>
            <w:vAlign w:val="center"/>
          </w:tcPr>
          <w:p w14:paraId="30283BC8">
            <w:pPr>
              <w:pStyle w:val="133"/>
            </w:pPr>
            <w:r>
              <w:rPr>
                <w:rFonts w:hint="eastAsia"/>
              </w:rPr>
              <w:t>0.582</w:t>
            </w:r>
          </w:p>
        </w:tc>
        <w:tc>
          <w:tcPr>
            <w:tcW w:w="691" w:type="pct"/>
            <w:vAlign w:val="center"/>
          </w:tcPr>
          <w:p w14:paraId="128A2AA5">
            <w:pPr>
              <w:pStyle w:val="133"/>
            </w:pPr>
            <w:r>
              <w:rPr>
                <w:rFonts w:hint="eastAsia"/>
              </w:rPr>
              <w:t>0.722</w:t>
            </w:r>
          </w:p>
        </w:tc>
        <w:tc>
          <w:tcPr>
            <w:tcW w:w="691" w:type="pct"/>
            <w:vAlign w:val="center"/>
          </w:tcPr>
          <w:p w14:paraId="5992BE40">
            <w:pPr>
              <w:pStyle w:val="133"/>
            </w:pPr>
            <w:r>
              <w:rPr>
                <w:rFonts w:hint="eastAsia"/>
              </w:rPr>
              <w:t>0.853</w:t>
            </w:r>
          </w:p>
        </w:tc>
        <w:tc>
          <w:tcPr>
            <w:tcW w:w="692" w:type="pct"/>
            <w:vAlign w:val="center"/>
          </w:tcPr>
          <w:p w14:paraId="6D9993EF">
            <w:pPr>
              <w:pStyle w:val="133"/>
            </w:pPr>
            <w:r>
              <w:rPr>
                <w:rFonts w:hint="eastAsia"/>
              </w:rPr>
              <w:t>1.435</w:t>
            </w:r>
          </w:p>
        </w:tc>
      </w:tr>
    </w:tbl>
    <w:p w14:paraId="554D48E9">
      <w:pPr>
        <w:pStyle w:val="133"/>
      </w:pPr>
    </w:p>
    <w:p w14:paraId="10F304FD">
      <w:pPr>
        <w:pStyle w:val="117"/>
        <w:ind w:firstLine="480"/>
      </w:pPr>
      <w:r>
        <w:rPr>
          <w:rFonts w:hint="eastAsia"/>
        </w:rPr>
        <w:t>由此可见，在同样路面清洁程度条件下，车速越快，扬尘量越大；而在同样车速条件下，路面越脏，则扬尘量越大。因此限速行驶及保持路面的清洁是减少汽车扬尘的有效方法。</w:t>
      </w:r>
    </w:p>
    <w:p w14:paraId="5613186E">
      <w:pPr>
        <w:pStyle w:val="117"/>
        <w:ind w:firstLine="480"/>
      </w:pPr>
      <w:r>
        <w:rPr>
          <w:rFonts w:hint="eastAsia"/>
        </w:rPr>
        <w:t>③项目施工扬尘污染分析</w:t>
      </w:r>
    </w:p>
    <w:p w14:paraId="359D087B">
      <w:pPr>
        <w:pStyle w:val="117"/>
        <w:ind w:firstLine="480"/>
      </w:pPr>
      <w:r>
        <w:rPr>
          <w:rFonts w:hint="eastAsia"/>
        </w:rPr>
        <w:t>施工过程扬尘和粉尘会造成城市局部大气污染。干燥季节砂坑回填土、进出场地车轮携带的泥土、水泥装卸、混凝土砂浆搅拌等作业过程，极易扬起尘土；不但常造成灰尘从地面扬起，甚至出现建筑垃圾从天而降，粉尘从空中逸出。有时候作业区内一片乌烟瘴气，周边的总悬浮颗粒物（TSP）浓度可达0.5～1mg/m</w:t>
      </w:r>
      <w:r>
        <w:rPr>
          <w:rFonts w:hint="eastAsia"/>
          <w:vertAlign w:val="superscript"/>
        </w:rPr>
        <w:t>3</w:t>
      </w:r>
      <w:r>
        <w:rPr>
          <w:rFonts w:hint="eastAsia"/>
        </w:rPr>
        <w:t>，静风时弥散范围可达几十米。有风时颗粒物可被吹送百米之远。</w:t>
      </w:r>
    </w:p>
    <w:p w14:paraId="645B2C53">
      <w:pPr>
        <w:pStyle w:val="117"/>
        <w:ind w:firstLine="480"/>
      </w:pPr>
      <w:r>
        <w:rPr>
          <w:rFonts w:hint="eastAsia"/>
        </w:rPr>
        <w:t>施工期产生的扬尘污染物均为颗粒物，都属面源，直接影响距离一般不会超过100m，对周边施工场界外敏感目标的近距离影响较显著。据实地勘查，拟建项目与周围的企业距离较近，施工单位应引起重视，加强施工管理，注意保护施工区域内以及边界外的空气污染敏感目标。若管理不好，会造成施工地各种扬尘污染严重，就会影响到周围环境空气质量。</w:t>
      </w:r>
    </w:p>
    <w:p w14:paraId="18C05D99">
      <w:pPr>
        <w:pStyle w:val="117"/>
        <w:ind w:firstLine="480"/>
      </w:pPr>
      <w:r>
        <w:rPr>
          <w:rFonts w:hint="eastAsia"/>
        </w:rPr>
        <w:t>（2）空气污染防治措施</w:t>
      </w:r>
    </w:p>
    <w:p w14:paraId="26D36A36">
      <w:pPr>
        <w:pStyle w:val="117"/>
        <w:ind w:firstLine="480"/>
      </w:pPr>
      <w:r>
        <w:rPr>
          <w:rFonts w:hint="eastAsia"/>
        </w:rPr>
        <w:t>①施工工地周边必须设置高1.8m以上的硬质围墙或围挡，严禁敞开式作业。</w:t>
      </w:r>
    </w:p>
    <w:p w14:paraId="179E52DD">
      <w:pPr>
        <w:pStyle w:val="117"/>
        <w:ind w:firstLine="480"/>
      </w:pPr>
      <w:r>
        <w:rPr>
          <w:rFonts w:hint="eastAsia"/>
        </w:rPr>
        <w:t>②尽量缩短施工工期，认真做好施工计划，安排好施工线路及时间顺序；</w:t>
      </w:r>
    </w:p>
    <w:p w14:paraId="2FDDB96F">
      <w:pPr>
        <w:pStyle w:val="117"/>
        <w:ind w:firstLine="480"/>
      </w:pPr>
      <w:r>
        <w:rPr>
          <w:rFonts w:hint="eastAsia"/>
        </w:rPr>
        <w:t>③应在工程规划范围内施工，杜绝规划外土方、材料的占道，尤其为回填土方工程中要尽可能地保证土方的含水率，定时洒水，保持土方的潮湿，以减少扬尘污染对周围环境的影响；</w:t>
      </w:r>
    </w:p>
    <w:p w14:paraId="681FA64C">
      <w:pPr>
        <w:pStyle w:val="117"/>
        <w:ind w:firstLine="480"/>
      </w:pPr>
      <w:r>
        <w:rPr>
          <w:rFonts w:hint="eastAsia"/>
        </w:rPr>
        <w:t>④建设单位在施工过程中尽量限制来往、进出施工场地车辆的车速，并在场地周围及运输道路上及时洒水，保持路面的潮湿，以减少由于车辆动力起尘对周围环境的影响；</w:t>
      </w:r>
    </w:p>
    <w:p w14:paraId="213B9CAF">
      <w:pPr>
        <w:pStyle w:val="117"/>
        <w:ind w:firstLine="480"/>
      </w:pPr>
      <w:r>
        <w:rPr>
          <w:rFonts w:hint="eastAsia"/>
        </w:rPr>
        <w:t>⑤对易起尘的建筑材料，如水泥、砂子等，采取覆盖措施，减少起尘。</w:t>
      </w:r>
    </w:p>
    <w:p w14:paraId="06F6AEB5">
      <w:pPr>
        <w:pStyle w:val="138"/>
        <w:rPr>
          <w:rFonts w:hint="eastAsia"/>
        </w:rPr>
      </w:pPr>
      <w:bookmarkStart w:id="454" w:name="_Toc110069682"/>
      <w:bookmarkStart w:id="455" w:name="_Toc138064342"/>
      <w:bookmarkStart w:id="456" w:name="_Toc33302854"/>
      <w:bookmarkStart w:id="457" w:name="_Toc22009"/>
      <w:bookmarkStart w:id="458" w:name="_Toc145690028"/>
      <w:bookmarkStart w:id="459" w:name="_Toc110834784"/>
      <w:bookmarkStart w:id="460" w:name="_Toc110070418"/>
      <w:bookmarkStart w:id="461" w:name="_Toc110255387"/>
      <w:bookmarkStart w:id="462" w:name="_Toc139167906"/>
      <w:r>
        <w:rPr>
          <w:rFonts w:hint="eastAsia"/>
        </w:rPr>
        <w:t>噪声影响分析</w:t>
      </w:r>
      <w:bookmarkEnd w:id="454"/>
      <w:bookmarkEnd w:id="455"/>
      <w:bookmarkEnd w:id="456"/>
      <w:bookmarkEnd w:id="457"/>
      <w:bookmarkEnd w:id="458"/>
      <w:bookmarkEnd w:id="459"/>
      <w:bookmarkEnd w:id="460"/>
      <w:bookmarkEnd w:id="461"/>
      <w:bookmarkEnd w:id="462"/>
      <w:bookmarkStart w:id="463" w:name="_Toc110070419"/>
    </w:p>
    <w:bookmarkEnd w:id="463"/>
    <w:p w14:paraId="40991405">
      <w:pPr>
        <w:pStyle w:val="117"/>
        <w:ind w:firstLine="480"/>
      </w:pPr>
      <w:r>
        <w:rPr>
          <w:rFonts w:hint="eastAsia"/>
        </w:rPr>
        <w:t>（1）施工设备声源</w:t>
      </w:r>
    </w:p>
    <w:p w14:paraId="4BA1DB7B">
      <w:pPr>
        <w:pStyle w:val="117"/>
        <w:ind w:firstLine="480"/>
      </w:pPr>
      <w:r>
        <w:rPr>
          <w:rFonts w:hint="eastAsia"/>
        </w:rPr>
        <w:t>本项目施工过程中产生的噪声源主要来自机械噪声，其噪声源强较大，对周围环境将产生一定影响。其主要施工机械有推土机、挖掘机、振捣棒、电锯、起重机、运输车辆及金属的碰撞声和敲打声等。噪声源强、声源特性、声源设备等经过类比调查列于表4.1-2。</w:t>
      </w:r>
    </w:p>
    <w:p w14:paraId="1B6DEB75">
      <w:pPr>
        <w:pStyle w:val="118"/>
        <w:rPr>
          <w:rStyle w:val="124"/>
          <w:b/>
          <w:color w:val="auto"/>
          <w:szCs w:val="28"/>
        </w:rPr>
      </w:pPr>
      <w:r>
        <w:rPr>
          <w:rStyle w:val="124"/>
          <w:rFonts w:hint="eastAsia"/>
          <w:b/>
          <w:color w:val="auto"/>
          <w:szCs w:val="28"/>
        </w:rPr>
        <w:t>表4.1-2  施工期主要噪声源类比预测值单位：dB（A）</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39"/>
        <w:gridCol w:w="2243"/>
        <w:gridCol w:w="2263"/>
        <w:gridCol w:w="2244"/>
      </w:tblGrid>
      <w:tr w14:paraId="29AE28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Align w:val="center"/>
          </w:tcPr>
          <w:p w14:paraId="62EE9EF3">
            <w:pPr>
              <w:pStyle w:val="133"/>
              <w:rPr>
                <w:b/>
                <w:bCs/>
              </w:rPr>
            </w:pPr>
            <w:r>
              <w:rPr>
                <w:rFonts w:hint="eastAsia"/>
                <w:b/>
                <w:bCs/>
              </w:rPr>
              <w:t>施工阶段</w:t>
            </w:r>
          </w:p>
        </w:tc>
        <w:tc>
          <w:tcPr>
            <w:tcW w:w="2147" w:type="dxa"/>
            <w:vAlign w:val="center"/>
          </w:tcPr>
          <w:p w14:paraId="7754BA00">
            <w:pPr>
              <w:pStyle w:val="133"/>
              <w:rPr>
                <w:b/>
                <w:bCs/>
              </w:rPr>
            </w:pPr>
            <w:r>
              <w:rPr>
                <w:rFonts w:hint="eastAsia"/>
                <w:b/>
                <w:bCs/>
              </w:rPr>
              <w:t>施工机械</w:t>
            </w:r>
          </w:p>
        </w:tc>
        <w:tc>
          <w:tcPr>
            <w:tcW w:w="2166" w:type="dxa"/>
            <w:vAlign w:val="center"/>
          </w:tcPr>
          <w:p w14:paraId="08707728">
            <w:pPr>
              <w:pStyle w:val="133"/>
              <w:rPr>
                <w:b/>
                <w:bCs/>
              </w:rPr>
            </w:pPr>
            <w:r>
              <w:rPr>
                <w:rFonts w:hint="eastAsia"/>
                <w:b/>
                <w:bCs/>
              </w:rPr>
              <w:t>声级</w:t>
            </w:r>
          </w:p>
        </w:tc>
        <w:tc>
          <w:tcPr>
            <w:tcW w:w="2148" w:type="dxa"/>
            <w:vAlign w:val="center"/>
          </w:tcPr>
          <w:p w14:paraId="5D97F566">
            <w:pPr>
              <w:pStyle w:val="133"/>
              <w:rPr>
                <w:b/>
                <w:bCs/>
              </w:rPr>
            </w:pPr>
            <w:r>
              <w:rPr>
                <w:rFonts w:hint="eastAsia"/>
                <w:b/>
                <w:bCs/>
              </w:rPr>
              <w:t>声源特性</w:t>
            </w:r>
          </w:p>
        </w:tc>
      </w:tr>
      <w:tr w14:paraId="5358DE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Merge w:val="restart"/>
            <w:vAlign w:val="center"/>
          </w:tcPr>
          <w:p w14:paraId="19647133">
            <w:pPr>
              <w:pStyle w:val="133"/>
            </w:pPr>
            <w:r>
              <w:rPr>
                <w:rFonts w:hint="eastAsia"/>
              </w:rPr>
              <w:t>土方阶段</w:t>
            </w:r>
          </w:p>
        </w:tc>
        <w:tc>
          <w:tcPr>
            <w:tcW w:w="2147" w:type="dxa"/>
            <w:vAlign w:val="center"/>
          </w:tcPr>
          <w:p w14:paraId="3D578359">
            <w:pPr>
              <w:pStyle w:val="133"/>
            </w:pPr>
            <w:r>
              <w:rPr>
                <w:rFonts w:hint="eastAsia"/>
              </w:rPr>
              <w:t>推土机</w:t>
            </w:r>
          </w:p>
        </w:tc>
        <w:tc>
          <w:tcPr>
            <w:tcW w:w="2166" w:type="dxa"/>
            <w:vAlign w:val="center"/>
          </w:tcPr>
          <w:p w14:paraId="6156D4A8">
            <w:pPr>
              <w:pStyle w:val="133"/>
            </w:pPr>
            <w:r>
              <w:rPr>
                <w:rFonts w:hint="eastAsia"/>
              </w:rPr>
              <w:t>80~90</w:t>
            </w:r>
          </w:p>
        </w:tc>
        <w:tc>
          <w:tcPr>
            <w:tcW w:w="2148" w:type="dxa"/>
            <w:vAlign w:val="center"/>
          </w:tcPr>
          <w:p w14:paraId="5B291D60">
            <w:pPr>
              <w:pStyle w:val="133"/>
            </w:pPr>
            <w:r>
              <w:rPr>
                <w:rFonts w:hint="eastAsia"/>
              </w:rPr>
              <w:t>间歇性源</w:t>
            </w:r>
          </w:p>
        </w:tc>
      </w:tr>
      <w:tr w14:paraId="068AAE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Merge w:val="continue"/>
            <w:vAlign w:val="center"/>
          </w:tcPr>
          <w:p w14:paraId="1365E3F6">
            <w:pPr>
              <w:pStyle w:val="133"/>
            </w:pPr>
          </w:p>
        </w:tc>
        <w:tc>
          <w:tcPr>
            <w:tcW w:w="2147" w:type="dxa"/>
            <w:vAlign w:val="center"/>
          </w:tcPr>
          <w:p w14:paraId="46E70C0A">
            <w:pPr>
              <w:pStyle w:val="133"/>
            </w:pPr>
            <w:r>
              <w:rPr>
                <w:rFonts w:hint="eastAsia"/>
              </w:rPr>
              <w:t>挖掘机</w:t>
            </w:r>
          </w:p>
        </w:tc>
        <w:tc>
          <w:tcPr>
            <w:tcW w:w="2166" w:type="dxa"/>
            <w:vAlign w:val="center"/>
          </w:tcPr>
          <w:p w14:paraId="28C5B3E6">
            <w:pPr>
              <w:pStyle w:val="133"/>
            </w:pPr>
            <w:r>
              <w:rPr>
                <w:rFonts w:hint="eastAsia"/>
              </w:rPr>
              <w:t>90~100</w:t>
            </w:r>
          </w:p>
        </w:tc>
        <w:tc>
          <w:tcPr>
            <w:tcW w:w="2148" w:type="dxa"/>
            <w:vAlign w:val="center"/>
          </w:tcPr>
          <w:p w14:paraId="43935758">
            <w:pPr>
              <w:pStyle w:val="133"/>
            </w:pPr>
            <w:r>
              <w:rPr>
                <w:rFonts w:hint="eastAsia"/>
              </w:rPr>
              <w:t>间歇性源</w:t>
            </w:r>
          </w:p>
        </w:tc>
      </w:tr>
      <w:tr w14:paraId="2A5F3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Merge w:val="continue"/>
            <w:vAlign w:val="center"/>
          </w:tcPr>
          <w:p w14:paraId="1148BAB5">
            <w:pPr>
              <w:pStyle w:val="133"/>
            </w:pPr>
          </w:p>
        </w:tc>
        <w:tc>
          <w:tcPr>
            <w:tcW w:w="2147" w:type="dxa"/>
            <w:vAlign w:val="center"/>
          </w:tcPr>
          <w:p w14:paraId="2E2F7ABC">
            <w:pPr>
              <w:pStyle w:val="133"/>
            </w:pPr>
            <w:r>
              <w:rPr>
                <w:rFonts w:hint="eastAsia"/>
              </w:rPr>
              <w:t>装载机</w:t>
            </w:r>
          </w:p>
        </w:tc>
        <w:tc>
          <w:tcPr>
            <w:tcW w:w="2166" w:type="dxa"/>
            <w:vAlign w:val="center"/>
          </w:tcPr>
          <w:p w14:paraId="6E8454FD">
            <w:pPr>
              <w:pStyle w:val="133"/>
            </w:pPr>
            <w:r>
              <w:rPr>
                <w:rFonts w:hint="eastAsia"/>
              </w:rPr>
              <w:t>90~100</w:t>
            </w:r>
          </w:p>
        </w:tc>
        <w:tc>
          <w:tcPr>
            <w:tcW w:w="2148" w:type="dxa"/>
            <w:vAlign w:val="center"/>
          </w:tcPr>
          <w:p w14:paraId="65BD4DD1">
            <w:pPr>
              <w:pStyle w:val="133"/>
            </w:pPr>
            <w:r>
              <w:rPr>
                <w:rFonts w:hint="eastAsia"/>
              </w:rPr>
              <w:t>间歇性源</w:t>
            </w:r>
          </w:p>
        </w:tc>
      </w:tr>
      <w:tr w14:paraId="1DEBD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Merge w:val="continue"/>
            <w:vAlign w:val="center"/>
          </w:tcPr>
          <w:p w14:paraId="21F223C5">
            <w:pPr>
              <w:pStyle w:val="133"/>
            </w:pPr>
          </w:p>
        </w:tc>
        <w:tc>
          <w:tcPr>
            <w:tcW w:w="2147" w:type="dxa"/>
            <w:vAlign w:val="center"/>
          </w:tcPr>
          <w:p w14:paraId="615302C6">
            <w:pPr>
              <w:pStyle w:val="133"/>
            </w:pPr>
            <w:r>
              <w:rPr>
                <w:rFonts w:hint="eastAsia"/>
              </w:rPr>
              <w:t>各种车辆</w:t>
            </w:r>
          </w:p>
        </w:tc>
        <w:tc>
          <w:tcPr>
            <w:tcW w:w="2166" w:type="dxa"/>
            <w:vAlign w:val="center"/>
          </w:tcPr>
          <w:p w14:paraId="489E4756">
            <w:pPr>
              <w:pStyle w:val="133"/>
            </w:pPr>
            <w:r>
              <w:rPr>
                <w:rFonts w:hint="eastAsia"/>
              </w:rPr>
              <w:t>80~90</w:t>
            </w:r>
          </w:p>
        </w:tc>
        <w:tc>
          <w:tcPr>
            <w:tcW w:w="2148" w:type="dxa"/>
            <w:vAlign w:val="center"/>
          </w:tcPr>
          <w:p w14:paraId="7B238D2C">
            <w:pPr>
              <w:pStyle w:val="133"/>
            </w:pPr>
            <w:r>
              <w:rPr>
                <w:rFonts w:hint="eastAsia"/>
              </w:rPr>
              <w:t>间歇性源</w:t>
            </w:r>
          </w:p>
        </w:tc>
      </w:tr>
      <w:tr w14:paraId="1B16E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Align w:val="center"/>
          </w:tcPr>
          <w:p w14:paraId="7B910713">
            <w:pPr>
              <w:pStyle w:val="133"/>
            </w:pPr>
            <w:r>
              <w:rPr>
                <w:rFonts w:hint="eastAsia"/>
              </w:rPr>
              <w:t>基础施工阶段</w:t>
            </w:r>
          </w:p>
        </w:tc>
        <w:tc>
          <w:tcPr>
            <w:tcW w:w="2147" w:type="dxa"/>
            <w:vAlign w:val="center"/>
          </w:tcPr>
          <w:p w14:paraId="05C9598B">
            <w:pPr>
              <w:pStyle w:val="133"/>
            </w:pPr>
            <w:r>
              <w:rPr>
                <w:rFonts w:hint="eastAsia"/>
              </w:rPr>
              <w:t>冲击打桩机</w:t>
            </w:r>
          </w:p>
        </w:tc>
        <w:tc>
          <w:tcPr>
            <w:tcW w:w="2166" w:type="dxa"/>
            <w:vAlign w:val="center"/>
          </w:tcPr>
          <w:p w14:paraId="187CE3DE">
            <w:pPr>
              <w:pStyle w:val="133"/>
            </w:pPr>
            <w:r>
              <w:rPr>
                <w:rFonts w:hint="eastAsia"/>
              </w:rPr>
              <w:t>100~110</w:t>
            </w:r>
          </w:p>
        </w:tc>
        <w:tc>
          <w:tcPr>
            <w:tcW w:w="2148" w:type="dxa"/>
            <w:vAlign w:val="center"/>
          </w:tcPr>
          <w:p w14:paraId="0A3E823C">
            <w:pPr>
              <w:pStyle w:val="133"/>
            </w:pPr>
            <w:r>
              <w:rPr>
                <w:rFonts w:hint="eastAsia"/>
              </w:rPr>
              <w:t>间歇性源</w:t>
            </w:r>
          </w:p>
        </w:tc>
      </w:tr>
      <w:tr w14:paraId="3B8149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Align w:val="center"/>
          </w:tcPr>
          <w:p w14:paraId="59E7E71E">
            <w:pPr>
              <w:pStyle w:val="133"/>
            </w:pPr>
            <w:r>
              <w:rPr>
                <w:rFonts w:hint="eastAsia"/>
              </w:rPr>
              <w:t>结构制作阶段</w:t>
            </w:r>
          </w:p>
        </w:tc>
        <w:tc>
          <w:tcPr>
            <w:tcW w:w="2147" w:type="dxa"/>
            <w:vAlign w:val="center"/>
          </w:tcPr>
          <w:p w14:paraId="309A4AEF">
            <w:pPr>
              <w:pStyle w:val="133"/>
            </w:pPr>
            <w:r>
              <w:rPr>
                <w:rFonts w:hint="eastAsia"/>
              </w:rPr>
              <w:t>振捣棒</w:t>
            </w:r>
          </w:p>
        </w:tc>
        <w:tc>
          <w:tcPr>
            <w:tcW w:w="2166" w:type="dxa"/>
            <w:vAlign w:val="center"/>
          </w:tcPr>
          <w:p w14:paraId="2A396EEB">
            <w:pPr>
              <w:pStyle w:val="133"/>
            </w:pPr>
            <w:r>
              <w:rPr>
                <w:rFonts w:hint="eastAsia"/>
              </w:rPr>
              <w:t>85~100</w:t>
            </w:r>
          </w:p>
        </w:tc>
        <w:tc>
          <w:tcPr>
            <w:tcW w:w="2148" w:type="dxa"/>
            <w:vAlign w:val="center"/>
          </w:tcPr>
          <w:p w14:paraId="7860FAC5">
            <w:pPr>
              <w:pStyle w:val="133"/>
            </w:pPr>
            <w:r>
              <w:rPr>
                <w:rFonts w:hint="eastAsia"/>
              </w:rPr>
              <w:t>间歇性源</w:t>
            </w:r>
          </w:p>
        </w:tc>
      </w:tr>
      <w:tr w14:paraId="3AC202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Merge w:val="restart"/>
            <w:vAlign w:val="center"/>
          </w:tcPr>
          <w:p w14:paraId="69F76A6C">
            <w:pPr>
              <w:pStyle w:val="133"/>
            </w:pPr>
            <w:r>
              <w:rPr>
                <w:rFonts w:hint="eastAsia"/>
              </w:rPr>
              <w:t>设备安装阶段</w:t>
            </w:r>
          </w:p>
        </w:tc>
        <w:tc>
          <w:tcPr>
            <w:tcW w:w="2147" w:type="dxa"/>
            <w:vAlign w:val="center"/>
          </w:tcPr>
          <w:p w14:paraId="53BA8DFF">
            <w:pPr>
              <w:pStyle w:val="133"/>
            </w:pPr>
            <w:r>
              <w:rPr>
                <w:rFonts w:hint="eastAsia"/>
              </w:rPr>
              <w:t>电锯</w:t>
            </w:r>
          </w:p>
        </w:tc>
        <w:tc>
          <w:tcPr>
            <w:tcW w:w="2166" w:type="dxa"/>
            <w:vAlign w:val="center"/>
          </w:tcPr>
          <w:p w14:paraId="36E64488">
            <w:pPr>
              <w:pStyle w:val="133"/>
            </w:pPr>
            <w:r>
              <w:rPr>
                <w:rFonts w:hint="eastAsia"/>
              </w:rPr>
              <w:t>100~110</w:t>
            </w:r>
          </w:p>
        </w:tc>
        <w:tc>
          <w:tcPr>
            <w:tcW w:w="2148" w:type="dxa"/>
            <w:vAlign w:val="center"/>
          </w:tcPr>
          <w:p w14:paraId="3ADFE787">
            <w:pPr>
              <w:pStyle w:val="133"/>
            </w:pPr>
            <w:r>
              <w:rPr>
                <w:rFonts w:hint="eastAsia"/>
              </w:rPr>
              <w:t>间歇性源</w:t>
            </w:r>
          </w:p>
        </w:tc>
      </w:tr>
      <w:tr w14:paraId="587645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Merge w:val="continue"/>
            <w:vAlign w:val="center"/>
          </w:tcPr>
          <w:p w14:paraId="3FF54D9A">
            <w:pPr>
              <w:pStyle w:val="133"/>
            </w:pPr>
          </w:p>
        </w:tc>
        <w:tc>
          <w:tcPr>
            <w:tcW w:w="2147" w:type="dxa"/>
            <w:vAlign w:val="center"/>
          </w:tcPr>
          <w:p w14:paraId="40AEDAF2">
            <w:pPr>
              <w:pStyle w:val="133"/>
            </w:pPr>
            <w:r>
              <w:rPr>
                <w:rFonts w:hint="eastAsia"/>
              </w:rPr>
              <w:t>吊车</w:t>
            </w:r>
          </w:p>
        </w:tc>
        <w:tc>
          <w:tcPr>
            <w:tcW w:w="2166" w:type="dxa"/>
            <w:vAlign w:val="center"/>
          </w:tcPr>
          <w:p w14:paraId="0F125321">
            <w:pPr>
              <w:pStyle w:val="133"/>
            </w:pPr>
            <w:r>
              <w:rPr>
                <w:rFonts w:hint="eastAsia"/>
              </w:rPr>
              <w:t>90~100</w:t>
            </w:r>
          </w:p>
        </w:tc>
        <w:tc>
          <w:tcPr>
            <w:tcW w:w="2148" w:type="dxa"/>
            <w:vAlign w:val="center"/>
          </w:tcPr>
          <w:p w14:paraId="4D0BCAF7">
            <w:pPr>
              <w:pStyle w:val="133"/>
            </w:pPr>
            <w:r>
              <w:rPr>
                <w:rFonts w:hint="eastAsia"/>
              </w:rPr>
              <w:t>间歇性源</w:t>
            </w:r>
          </w:p>
        </w:tc>
      </w:tr>
      <w:tr w14:paraId="384EAC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3" w:type="dxa"/>
            <w:vMerge w:val="continue"/>
            <w:vAlign w:val="center"/>
          </w:tcPr>
          <w:p w14:paraId="4C54AB7E">
            <w:pPr>
              <w:pStyle w:val="133"/>
            </w:pPr>
          </w:p>
        </w:tc>
        <w:tc>
          <w:tcPr>
            <w:tcW w:w="2147" w:type="dxa"/>
            <w:vAlign w:val="center"/>
          </w:tcPr>
          <w:p w14:paraId="6743EDDE">
            <w:pPr>
              <w:pStyle w:val="133"/>
            </w:pPr>
            <w:r>
              <w:rPr>
                <w:rFonts w:hint="eastAsia"/>
              </w:rPr>
              <w:t>升降机</w:t>
            </w:r>
          </w:p>
        </w:tc>
        <w:tc>
          <w:tcPr>
            <w:tcW w:w="2166" w:type="dxa"/>
            <w:vAlign w:val="center"/>
          </w:tcPr>
          <w:p w14:paraId="34094979">
            <w:pPr>
              <w:pStyle w:val="133"/>
            </w:pPr>
            <w:r>
              <w:rPr>
                <w:rFonts w:hint="eastAsia"/>
              </w:rPr>
              <w:t>90~100</w:t>
            </w:r>
          </w:p>
        </w:tc>
        <w:tc>
          <w:tcPr>
            <w:tcW w:w="2148" w:type="dxa"/>
            <w:vAlign w:val="center"/>
          </w:tcPr>
          <w:p w14:paraId="6354690B">
            <w:pPr>
              <w:pStyle w:val="133"/>
            </w:pPr>
            <w:r>
              <w:rPr>
                <w:rFonts w:hint="eastAsia"/>
              </w:rPr>
              <w:t>间歇性源</w:t>
            </w:r>
          </w:p>
        </w:tc>
      </w:tr>
    </w:tbl>
    <w:p w14:paraId="3D4729B5">
      <w:pPr>
        <w:pStyle w:val="133"/>
      </w:pPr>
    </w:p>
    <w:p w14:paraId="6E17CF4E">
      <w:pPr>
        <w:pStyle w:val="117"/>
        <w:ind w:firstLine="480"/>
      </w:pPr>
      <w:r>
        <w:rPr>
          <w:rFonts w:hint="eastAsia"/>
        </w:rPr>
        <w:t>噪声源的源强在80～110dB（A）之间，且大多属于高噪声设备，但声源特性均属间歇性声源，因此施工噪声对外界远距离环境造成的影响较小，但对相邻企业及现场施工人员危害较大。</w:t>
      </w:r>
    </w:p>
    <w:p w14:paraId="2278D946">
      <w:pPr>
        <w:pStyle w:val="117"/>
        <w:ind w:firstLine="480"/>
      </w:pPr>
      <w:r>
        <w:rPr>
          <w:rFonts w:hint="eastAsia"/>
        </w:rPr>
        <w:t>（2）施工厂界控制标准</w:t>
      </w:r>
    </w:p>
    <w:p w14:paraId="113428AD">
      <w:pPr>
        <w:pStyle w:val="117"/>
        <w:ind w:firstLine="480"/>
      </w:pPr>
      <w:r>
        <w:rPr>
          <w:rFonts w:hint="eastAsia"/>
        </w:rPr>
        <w:t>施工噪声是暂时的，但它对环境影响较大，据调查统计噪声投诉案数占环保总投诉案的一半以上。为了控制噪声污染，国家对城市建筑施工期间，提出了建筑施工场界噪声限值，即《建筑施工场界环境噪声排放标准》（GB12523－2011），见表4.1-3。</w:t>
      </w:r>
    </w:p>
    <w:p w14:paraId="19092AF3">
      <w:pPr>
        <w:pStyle w:val="118"/>
        <w:rPr>
          <w:color w:val="auto"/>
        </w:rPr>
      </w:pPr>
      <w:bookmarkStart w:id="464" w:name="_Toc110070422"/>
      <w:r>
        <w:rPr>
          <w:rFonts w:hint="eastAsia"/>
          <w:color w:val="auto"/>
        </w:rPr>
        <w:t>表4.1-3  建筑施工场界噪声限值（等效声级：dB（A））</w:t>
      </w:r>
    </w:p>
    <w:tbl>
      <w:tblPr>
        <w:tblStyle w:val="68"/>
        <w:tblW w:w="878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69"/>
        <w:gridCol w:w="3818"/>
        <w:gridCol w:w="1820"/>
        <w:gridCol w:w="1782"/>
      </w:tblGrid>
      <w:tr w14:paraId="23E511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23" w:type="dxa"/>
            <w:vMerge w:val="restart"/>
            <w:vAlign w:val="center"/>
          </w:tcPr>
          <w:p w14:paraId="0FC1654D">
            <w:pPr>
              <w:pStyle w:val="133"/>
            </w:pPr>
            <w:r>
              <w:rPr>
                <w:rFonts w:hint="eastAsia"/>
              </w:rPr>
              <w:t>施工阶段</w:t>
            </w:r>
          </w:p>
        </w:tc>
        <w:tc>
          <w:tcPr>
            <w:tcW w:w="3691" w:type="dxa"/>
            <w:vMerge w:val="restart"/>
            <w:vAlign w:val="center"/>
          </w:tcPr>
          <w:p w14:paraId="0957F738">
            <w:pPr>
              <w:pStyle w:val="133"/>
            </w:pPr>
            <w:r>
              <w:rPr>
                <w:rFonts w:hint="eastAsia"/>
              </w:rPr>
              <w:t>主要噪声源</w:t>
            </w:r>
          </w:p>
        </w:tc>
        <w:tc>
          <w:tcPr>
            <w:tcW w:w="3483" w:type="dxa"/>
            <w:gridSpan w:val="2"/>
            <w:vAlign w:val="center"/>
          </w:tcPr>
          <w:p w14:paraId="0EB3D452">
            <w:pPr>
              <w:pStyle w:val="133"/>
            </w:pPr>
            <w:r>
              <w:rPr>
                <w:rFonts w:hint="eastAsia"/>
              </w:rPr>
              <w:t>噪声限值</w:t>
            </w:r>
          </w:p>
        </w:tc>
      </w:tr>
      <w:tr w14:paraId="336921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23" w:type="dxa"/>
            <w:vMerge w:val="continue"/>
            <w:vAlign w:val="center"/>
          </w:tcPr>
          <w:p w14:paraId="25D86392">
            <w:pPr>
              <w:pStyle w:val="133"/>
            </w:pPr>
          </w:p>
        </w:tc>
        <w:tc>
          <w:tcPr>
            <w:tcW w:w="3691" w:type="dxa"/>
            <w:vMerge w:val="continue"/>
            <w:vAlign w:val="center"/>
          </w:tcPr>
          <w:p w14:paraId="7970ADC1">
            <w:pPr>
              <w:pStyle w:val="133"/>
            </w:pPr>
          </w:p>
        </w:tc>
        <w:tc>
          <w:tcPr>
            <w:tcW w:w="1760" w:type="dxa"/>
            <w:vAlign w:val="center"/>
          </w:tcPr>
          <w:p w14:paraId="72C6BD85">
            <w:pPr>
              <w:pStyle w:val="133"/>
            </w:pPr>
            <w:r>
              <w:rPr>
                <w:rFonts w:hint="eastAsia"/>
              </w:rPr>
              <w:t>昼间</w:t>
            </w:r>
          </w:p>
        </w:tc>
        <w:tc>
          <w:tcPr>
            <w:tcW w:w="1723" w:type="dxa"/>
            <w:vAlign w:val="center"/>
          </w:tcPr>
          <w:p w14:paraId="4D61939F">
            <w:pPr>
              <w:pStyle w:val="133"/>
            </w:pPr>
            <w:r>
              <w:rPr>
                <w:rFonts w:hint="eastAsia"/>
              </w:rPr>
              <w:t>夜间</w:t>
            </w:r>
          </w:p>
        </w:tc>
      </w:tr>
      <w:tr w14:paraId="01BF1F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23" w:type="dxa"/>
            <w:vAlign w:val="center"/>
          </w:tcPr>
          <w:p w14:paraId="634212DB">
            <w:pPr>
              <w:pStyle w:val="133"/>
            </w:pPr>
            <w:r>
              <w:rPr>
                <w:rFonts w:hint="eastAsia"/>
              </w:rPr>
              <w:t>施工设备</w:t>
            </w:r>
          </w:p>
        </w:tc>
        <w:tc>
          <w:tcPr>
            <w:tcW w:w="3691" w:type="dxa"/>
            <w:vAlign w:val="center"/>
          </w:tcPr>
          <w:p w14:paraId="78DA388B">
            <w:pPr>
              <w:pStyle w:val="133"/>
            </w:pPr>
            <w:r>
              <w:rPr>
                <w:rFonts w:hint="eastAsia"/>
              </w:rPr>
              <w:t>推土机、挖掘机、装载机、打桩机、振捣棒、电锯等</w:t>
            </w:r>
          </w:p>
        </w:tc>
        <w:tc>
          <w:tcPr>
            <w:tcW w:w="1760" w:type="dxa"/>
            <w:vAlign w:val="center"/>
          </w:tcPr>
          <w:p w14:paraId="66B8164B">
            <w:pPr>
              <w:pStyle w:val="133"/>
            </w:pPr>
            <w:r>
              <w:rPr>
                <w:rFonts w:hint="eastAsia"/>
              </w:rPr>
              <w:t>70</w:t>
            </w:r>
          </w:p>
        </w:tc>
        <w:tc>
          <w:tcPr>
            <w:tcW w:w="1723" w:type="dxa"/>
            <w:vAlign w:val="center"/>
          </w:tcPr>
          <w:p w14:paraId="3F3C275E">
            <w:pPr>
              <w:pStyle w:val="133"/>
            </w:pPr>
            <w:r>
              <w:rPr>
                <w:rFonts w:hint="eastAsia"/>
              </w:rPr>
              <w:t>55</w:t>
            </w:r>
          </w:p>
        </w:tc>
      </w:tr>
    </w:tbl>
    <w:p w14:paraId="1C194679">
      <w:pPr>
        <w:pStyle w:val="133"/>
      </w:pPr>
    </w:p>
    <w:p w14:paraId="10B14683">
      <w:pPr>
        <w:pStyle w:val="117"/>
        <w:ind w:firstLine="480"/>
      </w:pPr>
      <w:r>
        <w:rPr>
          <w:rFonts w:hint="eastAsia"/>
        </w:rPr>
        <w:t>（3）噪声传播模式与衰减规律</w:t>
      </w:r>
      <w:bookmarkEnd w:id="464"/>
    </w:p>
    <w:p w14:paraId="7BEABCB1">
      <w:pPr>
        <w:pStyle w:val="117"/>
        <w:ind w:firstLine="480"/>
      </w:pPr>
      <w:r>
        <w:rPr>
          <w:rFonts w:hint="eastAsia"/>
        </w:rPr>
        <w:t>施工作业噪声源属半自由空间性质的点源，其衰减模式为：</w:t>
      </w:r>
    </w:p>
    <w:p w14:paraId="7755DFD6">
      <w:pPr>
        <w:pStyle w:val="117"/>
        <w:ind w:firstLine="480"/>
      </w:pPr>
      <w:r>
        <w:rPr>
          <w:rFonts w:hint="eastAsia"/>
        </w:rPr>
        <w:t>L（r）=L（r</w:t>
      </w:r>
      <w:r>
        <w:rPr>
          <w:rFonts w:hint="eastAsia"/>
          <w:vertAlign w:val="subscript"/>
        </w:rPr>
        <w:t>0</w:t>
      </w:r>
      <w:r>
        <w:rPr>
          <w:rFonts w:hint="eastAsia"/>
        </w:rPr>
        <w:t>）-20lg（r/r</w:t>
      </w:r>
      <w:r>
        <w:rPr>
          <w:rFonts w:hint="eastAsia"/>
          <w:vertAlign w:val="subscript"/>
        </w:rPr>
        <w:t>0</w:t>
      </w:r>
      <w:r>
        <w:rPr>
          <w:rFonts w:hint="eastAsia"/>
        </w:rPr>
        <w:t>）-ΔL</w:t>
      </w:r>
    </w:p>
    <w:p w14:paraId="34791997">
      <w:pPr>
        <w:pStyle w:val="117"/>
        <w:ind w:firstLine="480"/>
      </w:pPr>
      <w:r>
        <w:rPr>
          <w:rFonts w:hint="eastAsia"/>
        </w:rPr>
        <w:t>其中：L（r）、L（r</w:t>
      </w:r>
      <w:r>
        <w:rPr>
          <w:rFonts w:hint="eastAsia"/>
          <w:vertAlign w:val="subscript"/>
        </w:rPr>
        <w:t>0</w:t>
      </w:r>
      <w:r>
        <w:rPr>
          <w:rFonts w:hint="eastAsia"/>
        </w:rPr>
        <w:t>）—离声源r和r</w:t>
      </w:r>
      <w:r>
        <w:rPr>
          <w:rFonts w:hint="eastAsia"/>
          <w:vertAlign w:val="subscript"/>
        </w:rPr>
        <w:t>0</w:t>
      </w:r>
      <w:r>
        <w:rPr>
          <w:rFonts w:hint="eastAsia"/>
        </w:rPr>
        <w:t>（m）距离的噪声值；</w:t>
      </w:r>
    </w:p>
    <w:p w14:paraId="24D791A5">
      <w:pPr>
        <w:pStyle w:val="117"/>
        <w:ind w:firstLine="480"/>
      </w:pPr>
      <w:r>
        <w:rPr>
          <w:rFonts w:hint="eastAsia"/>
        </w:rPr>
        <w:t>ΔL—噪声传播过程中由屏障、空气吸收等引起的衰减量。</w:t>
      </w:r>
    </w:p>
    <w:p w14:paraId="7CFB2DF8">
      <w:pPr>
        <w:pStyle w:val="117"/>
        <w:ind w:firstLine="480"/>
      </w:pPr>
      <w:r>
        <w:rPr>
          <w:rFonts w:hint="eastAsia"/>
        </w:rPr>
        <w:t>施工机械产生的噪声在没有消声和屏障等衰减条件下，传播至10m、20m、50m、100m和200m处时的噪声值分别是75dB（A）、69dB（A）、61dB（A）、55dB（A）和49dB（A）。</w:t>
      </w:r>
    </w:p>
    <w:p w14:paraId="4B1F8ACA">
      <w:pPr>
        <w:pStyle w:val="117"/>
        <w:ind w:firstLine="480"/>
      </w:pPr>
      <w:r>
        <w:rPr>
          <w:rFonts w:hint="eastAsia"/>
        </w:rPr>
        <w:t>（4）施工噪声影响分析</w:t>
      </w:r>
    </w:p>
    <w:p w14:paraId="141C3F6D">
      <w:pPr>
        <w:pStyle w:val="117"/>
        <w:ind w:firstLine="480"/>
      </w:pPr>
      <w:r>
        <w:rPr>
          <w:rFonts w:hint="eastAsia"/>
        </w:rPr>
        <w:t>本项目周围均为空地，最近的企业距本项目的距离大于10m，因此施工期机械设备等产生的噪声对周围声环境有一定的影响。</w:t>
      </w:r>
    </w:p>
    <w:p w14:paraId="1AB9FC7C">
      <w:pPr>
        <w:pStyle w:val="117"/>
        <w:ind w:firstLine="480"/>
      </w:pPr>
      <w:r>
        <w:rPr>
          <w:rFonts w:hint="eastAsia"/>
        </w:rPr>
        <w:t>（5）噪声防治措施</w:t>
      </w:r>
    </w:p>
    <w:p w14:paraId="6C17EA40">
      <w:pPr>
        <w:pStyle w:val="117"/>
        <w:ind w:firstLine="480"/>
      </w:pPr>
      <w:r>
        <w:rPr>
          <w:rFonts w:hint="eastAsia"/>
        </w:rPr>
        <w:t>①施工期夜间禁止施工。若需求夜间施工，必须到生态环境主管部门办理夜间施工许可证。</w:t>
      </w:r>
    </w:p>
    <w:p w14:paraId="6C8284D8">
      <w:pPr>
        <w:pStyle w:val="117"/>
        <w:ind w:firstLine="480"/>
      </w:pPr>
      <w:r>
        <w:rPr>
          <w:rFonts w:hint="eastAsia"/>
        </w:rPr>
        <w:t>②施工部门要合理安排好施工时间，尽量缩短施工期，减少施工噪声影响时间。避免强噪声施工设备在同一区域同时使用。</w:t>
      </w:r>
    </w:p>
    <w:p w14:paraId="662F4C60">
      <w:pPr>
        <w:pStyle w:val="117"/>
        <w:ind w:firstLine="480"/>
      </w:pPr>
      <w:r>
        <w:rPr>
          <w:rFonts w:hint="eastAsia"/>
        </w:rPr>
        <w:t>③施工机械操作工人及现场施工人员按劳动卫生标准控制工作时间，采取个人防护措施，如戴耳塞、头盔等。</w:t>
      </w:r>
    </w:p>
    <w:p w14:paraId="3F91ED18">
      <w:pPr>
        <w:pStyle w:val="138"/>
        <w:rPr>
          <w:rFonts w:hint="eastAsia"/>
        </w:rPr>
      </w:pPr>
      <w:bookmarkStart w:id="465" w:name="_Toc21983"/>
      <w:bookmarkStart w:id="466" w:name="_Toc139167907"/>
      <w:bookmarkStart w:id="467" w:name="_Toc110834785"/>
      <w:bookmarkStart w:id="468" w:name="_Toc110070425"/>
      <w:bookmarkStart w:id="469" w:name="_Toc33302855"/>
      <w:bookmarkStart w:id="470" w:name="_Toc138064349"/>
      <w:bookmarkStart w:id="471" w:name="_Toc110069683"/>
      <w:bookmarkStart w:id="472" w:name="_Toc110255388"/>
      <w:bookmarkStart w:id="473" w:name="_Toc145690029"/>
      <w:r>
        <w:rPr>
          <w:rFonts w:hint="eastAsia"/>
        </w:rPr>
        <w:t>固体废物环境影响分析</w:t>
      </w:r>
      <w:bookmarkEnd w:id="465"/>
      <w:bookmarkEnd w:id="466"/>
      <w:bookmarkEnd w:id="467"/>
      <w:bookmarkEnd w:id="468"/>
      <w:bookmarkEnd w:id="469"/>
      <w:bookmarkEnd w:id="470"/>
      <w:bookmarkEnd w:id="471"/>
      <w:bookmarkEnd w:id="472"/>
      <w:bookmarkEnd w:id="473"/>
    </w:p>
    <w:p w14:paraId="5C4192F9">
      <w:pPr>
        <w:pStyle w:val="117"/>
        <w:ind w:firstLine="480"/>
      </w:pPr>
      <w:r>
        <w:rPr>
          <w:rFonts w:hint="eastAsia"/>
        </w:rPr>
        <w:t>工地建筑垃圾主要成分是碎石、泥土、混凝土、钢筋头、碎砖等。固体废物处理处置不当，会造成大面积占用土地，易引起二次扬尘污染和不利景观影响。经分析后如下：</w:t>
      </w:r>
    </w:p>
    <w:p w14:paraId="5AB051D1">
      <w:pPr>
        <w:pStyle w:val="117"/>
        <w:ind w:firstLine="480"/>
      </w:pPr>
      <w:r>
        <w:rPr>
          <w:rFonts w:hint="eastAsia"/>
        </w:rPr>
        <w:t>（1）地基挖掘</w:t>
      </w:r>
    </w:p>
    <w:p w14:paraId="393FA654">
      <w:pPr>
        <w:pStyle w:val="117"/>
        <w:ind w:firstLine="480"/>
      </w:pPr>
      <w:r>
        <w:rPr>
          <w:rFonts w:hint="eastAsia"/>
        </w:rPr>
        <w:t>开挖地基土方量约为5</w:t>
      </w:r>
      <w:r>
        <w:t>00</w:t>
      </w:r>
      <w:r>
        <w:rPr>
          <w:rFonts w:hint="eastAsia"/>
        </w:rPr>
        <w:t>0m</w:t>
      </w:r>
      <w:r>
        <w:rPr>
          <w:rFonts w:hint="eastAsia"/>
          <w:vertAlign w:val="superscript"/>
        </w:rPr>
        <w:t>3</w:t>
      </w:r>
      <w:r>
        <w:rPr>
          <w:rFonts w:hint="eastAsia"/>
        </w:rPr>
        <w:t>，土方全部用于场地回填，无弃方。</w:t>
      </w:r>
    </w:p>
    <w:p w14:paraId="59DCB177">
      <w:pPr>
        <w:pStyle w:val="117"/>
        <w:ind w:firstLine="480"/>
      </w:pPr>
      <w:r>
        <w:rPr>
          <w:rFonts w:hint="eastAsia"/>
        </w:rPr>
        <w:t>（2）主体建设及竣工</w:t>
      </w:r>
    </w:p>
    <w:p w14:paraId="029110FB">
      <w:pPr>
        <w:pStyle w:val="117"/>
        <w:ind w:firstLine="480"/>
      </w:pPr>
      <w:r>
        <w:rPr>
          <w:rFonts w:hint="eastAsia"/>
        </w:rPr>
        <w:t>这部分固废相对较少，主要有建筑材料边角料、材料包装物等，定期外运处理。</w:t>
      </w:r>
    </w:p>
    <w:p w14:paraId="12450C22">
      <w:pPr>
        <w:pStyle w:val="117"/>
        <w:ind w:firstLine="480"/>
      </w:pPr>
      <w:r>
        <w:rPr>
          <w:rFonts w:hint="eastAsia"/>
        </w:rPr>
        <w:t>（3）施工人员生活垃圾</w:t>
      </w:r>
    </w:p>
    <w:p w14:paraId="7DEF2880">
      <w:pPr>
        <w:pStyle w:val="117"/>
        <w:ind w:firstLine="480"/>
      </w:pPr>
      <w:r>
        <w:rPr>
          <w:rFonts w:hint="eastAsia"/>
        </w:rPr>
        <w:t>施工场地内按照施工人员2</w:t>
      </w:r>
      <w:r>
        <w:t>0</w:t>
      </w:r>
      <w:r>
        <w:rPr>
          <w:rFonts w:hint="eastAsia"/>
        </w:rPr>
        <w:t>0人计，垃圾产生系数按照1kg每人每天计，工地每天产生生活垃圾200kg，施工期300d，施工期产生生活垃圾60t左右。</w:t>
      </w:r>
    </w:p>
    <w:p w14:paraId="5AF1B786">
      <w:pPr>
        <w:pStyle w:val="117"/>
        <w:ind w:firstLine="480"/>
      </w:pPr>
      <w:r>
        <w:rPr>
          <w:rFonts w:hint="eastAsia"/>
        </w:rPr>
        <w:t>（4）施工期固废防治措施</w:t>
      </w:r>
    </w:p>
    <w:p w14:paraId="061A87CB">
      <w:pPr>
        <w:pStyle w:val="117"/>
        <w:ind w:firstLine="480"/>
      </w:pPr>
      <w:r>
        <w:rPr>
          <w:rFonts w:hint="eastAsia"/>
        </w:rPr>
        <w:t>①施工期产生的固体废物应进行分类收集，将可利用的废品回收处置；其它废土、碎砖石可回填砂坑处置，做到固废分类处理处置。</w:t>
      </w:r>
    </w:p>
    <w:p w14:paraId="42D830BE">
      <w:pPr>
        <w:pStyle w:val="117"/>
        <w:ind w:firstLine="480"/>
      </w:pPr>
      <w:r>
        <w:rPr>
          <w:rFonts w:hint="eastAsia"/>
        </w:rPr>
        <w:t>②施工人员产生的生活垃圾，应设专用容器收集箱，不允许随地乱抛，影响环境卫生或混入建筑垃圾中填埋处置；由园区环卫系统收集处理。</w:t>
      </w:r>
    </w:p>
    <w:p w14:paraId="7AD2B320">
      <w:pPr>
        <w:pStyle w:val="138"/>
        <w:rPr>
          <w:rFonts w:hint="eastAsia"/>
        </w:rPr>
      </w:pPr>
      <w:bookmarkStart w:id="474" w:name="_Toc145690030"/>
      <w:bookmarkStart w:id="475" w:name="_Toc139167908"/>
      <w:bookmarkStart w:id="476" w:name="_Toc19146"/>
      <w:bookmarkStart w:id="477" w:name="_Toc33302856"/>
      <w:r>
        <w:rPr>
          <w:rFonts w:hint="eastAsia"/>
        </w:rPr>
        <w:t>生态影响</w:t>
      </w:r>
      <w:bookmarkEnd w:id="474"/>
      <w:bookmarkEnd w:id="475"/>
      <w:r>
        <w:rPr>
          <w:rFonts w:hint="eastAsia"/>
        </w:rPr>
        <w:t>分析</w:t>
      </w:r>
      <w:bookmarkEnd w:id="476"/>
      <w:bookmarkEnd w:id="477"/>
    </w:p>
    <w:bookmarkEnd w:id="441"/>
    <w:bookmarkEnd w:id="442"/>
    <w:bookmarkEnd w:id="443"/>
    <w:bookmarkEnd w:id="444"/>
    <w:p w14:paraId="002EC51F">
      <w:pPr>
        <w:pStyle w:val="117"/>
        <w:ind w:firstLine="480"/>
      </w:pPr>
      <w:r>
        <w:rPr>
          <w:rFonts w:hint="eastAsia"/>
        </w:rPr>
        <w:t>本项目施工期对生态环境的影响主要是对厂区内植被的影响和可能产生的水土流失影响。</w:t>
      </w:r>
    </w:p>
    <w:p w14:paraId="1D4CD85B">
      <w:pPr>
        <w:pStyle w:val="117"/>
        <w:ind w:firstLine="480"/>
      </w:pPr>
      <w:r>
        <w:rPr>
          <w:rFonts w:hint="eastAsia"/>
        </w:rPr>
        <w:t>（1）对植被的影响</w:t>
      </w:r>
    </w:p>
    <w:p w14:paraId="2814E757">
      <w:pPr>
        <w:pStyle w:val="117"/>
        <w:ind w:firstLine="480"/>
      </w:pPr>
      <w:r>
        <w:rPr>
          <w:rFonts w:hint="eastAsia"/>
        </w:rPr>
        <w:t>本项目的施工行为对生态的影响主要是影响地表植被—土壤环境，其主要表现为施工过程需对建设场地进行开挖、填筑和平整从而使原有的植被被践踏、废物排放等对植被产生的干扰和胁迫作用，从而产生水平、垂直方向作用力，对地表植物—土壤环境造成直接与间接的损害。项目施工过程还会造成地表植被优势种群绝对数量减少，伴生种则有可能消失，区域生物多样性降低，地表蒸发量将增大，地表径流量增大，土壤的渗透量减少，从而减少了地下水的回补量；土壤理化性状也会不同程度地受到影响，表现出土壤质地粘重、结构变差、同一层次土壤松紧度增大、根系变少、容重增大、土壤pH值降低、酸性增强等特点。</w:t>
      </w:r>
    </w:p>
    <w:p w14:paraId="44FBB305">
      <w:pPr>
        <w:pStyle w:val="117"/>
        <w:ind w:firstLine="480"/>
      </w:pPr>
      <w:r>
        <w:rPr>
          <w:rFonts w:hint="eastAsia"/>
        </w:rPr>
        <w:t>但这些影响只是暂时性的，施工完成后，影响将慢慢恢复，因此，尽管施工期对建设区域植被有一定的不利影响，但随着施工期的结束，这种影响也将得到恢复。</w:t>
      </w:r>
    </w:p>
    <w:p w14:paraId="070FAC6C">
      <w:pPr>
        <w:pStyle w:val="117"/>
        <w:ind w:firstLine="480"/>
      </w:pPr>
      <w:r>
        <w:rPr>
          <w:rFonts w:hint="eastAsia"/>
        </w:rPr>
        <w:t>（2）水土流失影响</w:t>
      </w:r>
    </w:p>
    <w:p w14:paraId="7F566A65">
      <w:pPr>
        <w:pStyle w:val="117"/>
        <w:ind w:firstLine="480"/>
      </w:pPr>
      <w:r>
        <w:rPr>
          <w:rFonts w:hint="eastAsia"/>
        </w:rPr>
        <w:t>本项目大部分区域植被覆盖率较低，约</w:t>
      </w:r>
      <w:r>
        <w:t>15</w:t>
      </w:r>
      <w:r>
        <w:rPr>
          <w:rFonts w:hint="eastAsia"/>
        </w:rPr>
        <w:t>%。随着施工场地开挖、填方、平整，原有的表土层受到破坏，土壤松动，项目施工必然造成场地内地面的破坏，植被的损失，施工过程中挖方及填方过程中形成的土堆如果不能及时清理，遇到较大降雨冲刷或大风吹蚀，易发生水土流失。因此，本次评价提出一些具体预防水土流失措施来预防施工期的水土流失问题。</w:t>
      </w:r>
    </w:p>
    <w:p w14:paraId="313CA99E">
      <w:pPr>
        <w:pStyle w:val="117"/>
        <w:ind w:firstLine="480"/>
      </w:pPr>
      <w:r>
        <w:rPr>
          <w:rFonts w:hint="eastAsia"/>
        </w:rPr>
        <w:t>为有效控制水土流失，改善生态环境，必须做好下述水土保持工作：</w:t>
      </w:r>
    </w:p>
    <w:p w14:paraId="7F43CEDD">
      <w:pPr>
        <w:pStyle w:val="117"/>
        <w:ind w:firstLine="480"/>
      </w:pPr>
      <w:r>
        <w:rPr>
          <w:rFonts w:hint="eastAsia"/>
        </w:rPr>
        <w:t>①建议本项目对坡度和高差较大的地方将进行边坡支护，边坡采用浆砌石护坡等综合护坡形式，并进行有效的绿化美化；</w:t>
      </w:r>
    </w:p>
    <w:p w14:paraId="6763E487">
      <w:pPr>
        <w:pStyle w:val="117"/>
        <w:ind w:firstLine="480"/>
      </w:pPr>
      <w:r>
        <w:rPr>
          <w:rFonts w:hint="eastAsia"/>
        </w:rPr>
        <w:t>②挖方全部用于场地回填及道路建设，不得随意抛弃；</w:t>
      </w:r>
    </w:p>
    <w:p w14:paraId="7E42ECC6">
      <w:pPr>
        <w:pStyle w:val="117"/>
        <w:ind w:firstLine="480"/>
      </w:pPr>
      <w:r>
        <w:rPr>
          <w:rFonts w:hint="eastAsia"/>
        </w:rPr>
        <w:t>③项目各处开挖裸露除被建筑物、道路以及施工机械占地外，全部恢复植被，减少水土流失，做到水土流失治理与景观保护相互统一。</w:t>
      </w:r>
    </w:p>
    <w:p w14:paraId="6882710C">
      <w:pPr>
        <w:pStyle w:val="117"/>
        <w:ind w:firstLine="480"/>
      </w:pPr>
      <w:r>
        <w:rPr>
          <w:rFonts w:hint="eastAsia"/>
        </w:rPr>
        <w:t>总之，项目施工期对环境产生的上述影响，均为可逆的、短期的，项目建成后，影响即自行消除。建设单位和施工单位在施工过程中只要切实落实对施工产生的土石方、固体废物以及由此产生的扬尘的管理和控制措施，施工期的水土流失影响将得到有效控制。</w:t>
      </w:r>
    </w:p>
    <w:p w14:paraId="6F37C2C8">
      <w:pPr>
        <w:pStyle w:val="3"/>
      </w:pPr>
      <w:bookmarkStart w:id="478" w:name="_Toc26537"/>
      <w:bookmarkStart w:id="479" w:name="_Toc205291396"/>
      <w:bookmarkStart w:id="480" w:name="_Toc45970061"/>
      <w:bookmarkStart w:id="481" w:name="_Toc9572"/>
      <w:r>
        <w:rPr>
          <w:rFonts w:hint="eastAsia"/>
        </w:rPr>
        <w:t>运营期大气影响分析</w:t>
      </w:r>
      <w:bookmarkEnd w:id="478"/>
      <w:bookmarkEnd w:id="479"/>
      <w:bookmarkEnd w:id="480"/>
      <w:bookmarkEnd w:id="481"/>
    </w:p>
    <w:p w14:paraId="4938624D">
      <w:pPr>
        <w:pStyle w:val="138"/>
        <w:rPr>
          <w:rFonts w:hint="eastAsia"/>
        </w:rPr>
      </w:pPr>
      <w:bookmarkStart w:id="482" w:name="_Toc3549"/>
      <w:r>
        <w:rPr>
          <w:rFonts w:hint="eastAsia"/>
        </w:rPr>
        <w:t>区域气象资料统计</w:t>
      </w:r>
    </w:p>
    <w:p w14:paraId="131FF054">
      <w:pPr>
        <w:pStyle w:val="117"/>
        <w:ind w:firstLine="480"/>
      </w:pPr>
      <w:r>
        <w:t>项目</w:t>
      </w:r>
      <w:r>
        <w:rPr>
          <w:rFonts w:hint="eastAsia"/>
        </w:rPr>
        <w:t>所在区域</w:t>
      </w:r>
      <w:r>
        <w:t>长期气象资料采用</w:t>
      </w:r>
      <w:r>
        <w:rPr>
          <w:rFonts w:hint="eastAsia"/>
        </w:rPr>
        <w:t>距离</w:t>
      </w:r>
      <w:r>
        <w:t>最近的</w:t>
      </w:r>
      <w:r>
        <w:rPr>
          <w:rFonts w:hint="eastAsia"/>
        </w:rPr>
        <w:t>哈密</w:t>
      </w:r>
      <w:r>
        <w:t>气象观测站（编号：5</w:t>
      </w:r>
      <w:r>
        <w:rPr>
          <w:rFonts w:hint="eastAsia"/>
        </w:rPr>
        <w:t>2203</w:t>
      </w:r>
      <w:r>
        <w:t>，坐标：）200</w:t>
      </w:r>
      <w:r>
        <w:rPr>
          <w:rFonts w:hint="eastAsia"/>
        </w:rPr>
        <w:t>4—</w:t>
      </w:r>
      <w:r>
        <w:t>202</w:t>
      </w:r>
      <w:r>
        <w:rPr>
          <w:rFonts w:hint="eastAsia"/>
        </w:rPr>
        <w:t>3</w:t>
      </w:r>
      <w:r>
        <w:t>年共20年的气象统计数据，哈密气象观测站为基本站，拥有长期的气象观测资料，项目厂址距离哈密气象观测站约</w:t>
      </w:r>
      <w:r>
        <w:rPr>
          <w:rFonts w:hint="eastAsia"/>
        </w:rPr>
        <w:t>16.9km</w:t>
      </w:r>
      <w:r>
        <w:t>。长期</w:t>
      </w:r>
      <w:r>
        <w:rPr>
          <w:rFonts w:hint="eastAsia"/>
        </w:rPr>
        <w:t>气象数据统计见表5.2-1。</w:t>
      </w:r>
    </w:p>
    <w:p w14:paraId="4B537D83">
      <w:pPr>
        <w:widowControl/>
        <w:spacing w:line="240" w:lineRule="auto"/>
        <w:ind w:firstLine="0" w:firstLineChars="0"/>
        <w:jc w:val="left"/>
        <w:rPr>
          <w:b/>
          <w:color w:val="000000"/>
          <w:szCs w:val="28"/>
        </w:rPr>
      </w:pPr>
      <w:r>
        <w:br w:type="page"/>
      </w:r>
    </w:p>
    <w:p w14:paraId="5D02F0DE">
      <w:pPr>
        <w:pStyle w:val="118"/>
      </w:pPr>
      <w:r>
        <w:t>表</w:t>
      </w:r>
      <w:r>
        <w:rPr>
          <w:rFonts w:hint="eastAsia"/>
        </w:rPr>
        <w:t>5.2-</w:t>
      </w:r>
      <w:r>
        <w:t>1  哈密气象观测站</w:t>
      </w:r>
      <w:r>
        <w:rPr>
          <w:rFonts w:hint="eastAsia"/>
        </w:rPr>
        <w:t>近2</w:t>
      </w:r>
      <w:r>
        <w:t>0</w:t>
      </w:r>
      <w:r>
        <w:rPr>
          <w:rFonts w:hint="eastAsia"/>
        </w:rPr>
        <w:t>年</w:t>
      </w:r>
      <w:r>
        <w:t>气象统计数据</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165"/>
        <w:gridCol w:w="1704"/>
        <w:gridCol w:w="1704"/>
        <w:gridCol w:w="1706"/>
      </w:tblGrid>
      <w:tr w14:paraId="3BDD9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54DF4C2A">
            <w:pPr>
              <w:pStyle w:val="133"/>
              <w:rPr>
                <w:b/>
                <w:bCs/>
              </w:rPr>
            </w:pPr>
            <w:r>
              <w:rPr>
                <w:b/>
                <w:bCs/>
              </w:rPr>
              <w:t>统计项目</w:t>
            </w:r>
          </w:p>
        </w:tc>
        <w:tc>
          <w:tcPr>
            <w:tcW w:w="1000" w:type="pct"/>
            <w:vAlign w:val="center"/>
          </w:tcPr>
          <w:p w14:paraId="1579C718">
            <w:pPr>
              <w:pStyle w:val="133"/>
              <w:rPr>
                <w:b/>
                <w:bCs/>
              </w:rPr>
            </w:pPr>
            <w:r>
              <w:rPr>
                <w:b/>
                <w:bCs/>
              </w:rPr>
              <w:t>统计值</w:t>
            </w:r>
          </w:p>
        </w:tc>
        <w:tc>
          <w:tcPr>
            <w:tcW w:w="1000" w:type="pct"/>
            <w:vAlign w:val="center"/>
          </w:tcPr>
          <w:p w14:paraId="7BD7A368">
            <w:pPr>
              <w:pStyle w:val="133"/>
              <w:rPr>
                <w:b/>
                <w:bCs/>
              </w:rPr>
            </w:pPr>
            <w:r>
              <w:rPr>
                <w:b/>
                <w:bCs/>
              </w:rPr>
              <w:t>极值出现时间</w:t>
            </w:r>
          </w:p>
        </w:tc>
        <w:tc>
          <w:tcPr>
            <w:tcW w:w="1001" w:type="pct"/>
            <w:vAlign w:val="center"/>
          </w:tcPr>
          <w:p w14:paraId="1AA4B5C2">
            <w:pPr>
              <w:pStyle w:val="133"/>
              <w:rPr>
                <w:b/>
                <w:bCs/>
              </w:rPr>
            </w:pPr>
            <w:r>
              <w:rPr>
                <w:b/>
                <w:bCs/>
              </w:rPr>
              <w:t>极值</w:t>
            </w:r>
          </w:p>
        </w:tc>
      </w:tr>
      <w:tr w14:paraId="38A95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3F523080">
            <w:pPr>
              <w:pStyle w:val="133"/>
            </w:pPr>
            <w:r>
              <w:t>多年平均最高温（℃）</w:t>
            </w:r>
          </w:p>
        </w:tc>
        <w:tc>
          <w:tcPr>
            <w:tcW w:w="1000" w:type="pct"/>
            <w:vAlign w:val="center"/>
          </w:tcPr>
          <w:p w14:paraId="4F1B678E">
            <w:pPr>
              <w:pStyle w:val="133"/>
            </w:pPr>
            <w:r>
              <w:rPr>
                <w:rFonts w:hint="eastAsia"/>
              </w:rPr>
              <w:t>41.49</w:t>
            </w:r>
          </w:p>
        </w:tc>
        <w:tc>
          <w:tcPr>
            <w:tcW w:w="1000" w:type="pct"/>
            <w:vAlign w:val="center"/>
          </w:tcPr>
          <w:p w14:paraId="6960903E">
            <w:pPr>
              <w:pStyle w:val="133"/>
            </w:pPr>
          </w:p>
        </w:tc>
        <w:tc>
          <w:tcPr>
            <w:tcW w:w="1001" w:type="pct"/>
            <w:vAlign w:val="center"/>
          </w:tcPr>
          <w:p w14:paraId="388A9CAD">
            <w:pPr>
              <w:pStyle w:val="133"/>
            </w:pPr>
          </w:p>
        </w:tc>
      </w:tr>
      <w:tr w14:paraId="69D0C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54D01C12">
            <w:pPr>
              <w:pStyle w:val="133"/>
            </w:pPr>
            <w:r>
              <w:t>多年平均最低温（℃）</w:t>
            </w:r>
          </w:p>
        </w:tc>
        <w:tc>
          <w:tcPr>
            <w:tcW w:w="1000" w:type="pct"/>
            <w:vAlign w:val="center"/>
          </w:tcPr>
          <w:p w14:paraId="4ED1B681">
            <w:pPr>
              <w:pStyle w:val="133"/>
            </w:pPr>
            <w:r>
              <w:rPr>
                <w:rFonts w:hint="eastAsia"/>
              </w:rPr>
              <w:t>-21.98</w:t>
            </w:r>
          </w:p>
        </w:tc>
        <w:tc>
          <w:tcPr>
            <w:tcW w:w="1000" w:type="pct"/>
            <w:vAlign w:val="center"/>
          </w:tcPr>
          <w:p w14:paraId="5E535624">
            <w:pPr>
              <w:pStyle w:val="133"/>
            </w:pPr>
          </w:p>
        </w:tc>
        <w:tc>
          <w:tcPr>
            <w:tcW w:w="1001" w:type="pct"/>
            <w:vAlign w:val="center"/>
          </w:tcPr>
          <w:p w14:paraId="3E1C96C5">
            <w:pPr>
              <w:pStyle w:val="133"/>
            </w:pPr>
          </w:p>
        </w:tc>
      </w:tr>
      <w:tr w14:paraId="6B282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09A5D4AB">
            <w:pPr>
              <w:pStyle w:val="133"/>
            </w:pPr>
            <w:r>
              <w:t>累年极端最高气温（℃）</w:t>
            </w:r>
          </w:p>
        </w:tc>
        <w:tc>
          <w:tcPr>
            <w:tcW w:w="1000" w:type="pct"/>
            <w:vAlign w:val="center"/>
          </w:tcPr>
          <w:p w14:paraId="39DC5A25">
            <w:pPr>
              <w:pStyle w:val="133"/>
            </w:pPr>
            <w:r>
              <w:rPr>
                <w:rFonts w:hint="eastAsia"/>
              </w:rPr>
              <w:t>43.8</w:t>
            </w:r>
          </w:p>
        </w:tc>
        <w:tc>
          <w:tcPr>
            <w:tcW w:w="1000" w:type="pct"/>
            <w:vAlign w:val="center"/>
          </w:tcPr>
          <w:p w14:paraId="557B15DB">
            <w:pPr>
              <w:pStyle w:val="133"/>
            </w:pPr>
            <w:r>
              <w:rPr>
                <w:rFonts w:hint="eastAsia"/>
              </w:rPr>
              <w:t>2023.7.17</w:t>
            </w:r>
          </w:p>
        </w:tc>
        <w:tc>
          <w:tcPr>
            <w:tcW w:w="1001" w:type="pct"/>
            <w:vAlign w:val="center"/>
          </w:tcPr>
          <w:p w14:paraId="6E025948">
            <w:pPr>
              <w:pStyle w:val="133"/>
            </w:pPr>
            <w:r>
              <w:rPr>
                <w:rFonts w:hint="eastAsia"/>
              </w:rPr>
              <w:t>43.8</w:t>
            </w:r>
          </w:p>
        </w:tc>
      </w:tr>
      <w:tr w14:paraId="71E2E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7D72FC4D">
            <w:pPr>
              <w:pStyle w:val="133"/>
            </w:pPr>
            <w:r>
              <w:t>累年极端最低气温（℃）</w:t>
            </w:r>
          </w:p>
        </w:tc>
        <w:tc>
          <w:tcPr>
            <w:tcW w:w="1000" w:type="pct"/>
            <w:vAlign w:val="center"/>
          </w:tcPr>
          <w:p w14:paraId="3F460C49">
            <w:pPr>
              <w:pStyle w:val="133"/>
            </w:pPr>
            <w:r>
              <w:t>-</w:t>
            </w:r>
            <w:r>
              <w:rPr>
                <w:rFonts w:hint="eastAsia"/>
              </w:rPr>
              <w:t>27.2</w:t>
            </w:r>
          </w:p>
        </w:tc>
        <w:tc>
          <w:tcPr>
            <w:tcW w:w="1000" w:type="pct"/>
            <w:vAlign w:val="center"/>
          </w:tcPr>
          <w:p w14:paraId="7D521F29">
            <w:pPr>
              <w:pStyle w:val="133"/>
            </w:pPr>
            <w:r>
              <w:t>20</w:t>
            </w:r>
            <w:r>
              <w:rPr>
                <w:rFonts w:hint="eastAsia"/>
              </w:rPr>
              <w:t>11.1.4</w:t>
            </w:r>
          </w:p>
        </w:tc>
        <w:tc>
          <w:tcPr>
            <w:tcW w:w="1001" w:type="pct"/>
            <w:vAlign w:val="center"/>
          </w:tcPr>
          <w:p w14:paraId="52827582">
            <w:pPr>
              <w:pStyle w:val="133"/>
            </w:pPr>
            <w:r>
              <w:t>-</w:t>
            </w:r>
            <w:r>
              <w:rPr>
                <w:rFonts w:hint="eastAsia"/>
              </w:rPr>
              <w:t>27.2</w:t>
            </w:r>
          </w:p>
        </w:tc>
      </w:tr>
      <w:tr w14:paraId="570DC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27FB87AD">
            <w:pPr>
              <w:pStyle w:val="133"/>
            </w:pPr>
            <w:r>
              <w:t>多年平均气压（hPa）</w:t>
            </w:r>
          </w:p>
        </w:tc>
        <w:tc>
          <w:tcPr>
            <w:tcW w:w="1000" w:type="pct"/>
            <w:vAlign w:val="center"/>
          </w:tcPr>
          <w:p w14:paraId="7790B450">
            <w:pPr>
              <w:pStyle w:val="133"/>
            </w:pPr>
            <w:r>
              <w:rPr>
                <w:rFonts w:hint="eastAsia"/>
              </w:rPr>
              <w:t>930.52</w:t>
            </w:r>
          </w:p>
        </w:tc>
        <w:tc>
          <w:tcPr>
            <w:tcW w:w="1000" w:type="pct"/>
            <w:vAlign w:val="center"/>
          </w:tcPr>
          <w:p w14:paraId="0562514F">
            <w:pPr>
              <w:pStyle w:val="133"/>
            </w:pPr>
          </w:p>
        </w:tc>
        <w:tc>
          <w:tcPr>
            <w:tcW w:w="1001" w:type="pct"/>
            <w:vAlign w:val="center"/>
          </w:tcPr>
          <w:p w14:paraId="27D5FB13">
            <w:pPr>
              <w:pStyle w:val="133"/>
            </w:pPr>
          </w:p>
        </w:tc>
      </w:tr>
      <w:tr w14:paraId="2F24C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46305A85">
            <w:pPr>
              <w:pStyle w:val="133"/>
            </w:pPr>
            <w:r>
              <w:t>多年平均相对湿度（%）</w:t>
            </w:r>
          </w:p>
        </w:tc>
        <w:tc>
          <w:tcPr>
            <w:tcW w:w="1000" w:type="pct"/>
            <w:vAlign w:val="center"/>
          </w:tcPr>
          <w:p w14:paraId="480D8206">
            <w:pPr>
              <w:pStyle w:val="133"/>
            </w:pPr>
            <w:r>
              <w:rPr>
                <w:rFonts w:hint="eastAsia"/>
              </w:rPr>
              <w:t>41.16</w:t>
            </w:r>
          </w:p>
        </w:tc>
        <w:tc>
          <w:tcPr>
            <w:tcW w:w="1000" w:type="pct"/>
            <w:vAlign w:val="center"/>
          </w:tcPr>
          <w:p w14:paraId="4941F4A0">
            <w:pPr>
              <w:pStyle w:val="133"/>
            </w:pPr>
          </w:p>
        </w:tc>
        <w:tc>
          <w:tcPr>
            <w:tcW w:w="1001" w:type="pct"/>
            <w:vAlign w:val="center"/>
          </w:tcPr>
          <w:p w14:paraId="02526CCE">
            <w:pPr>
              <w:pStyle w:val="133"/>
            </w:pPr>
          </w:p>
        </w:tc>
      </w:tr>
      <w:tr w14:paraId="601CC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3073771A">
            <w:pPr>
              <w:pStyle w:val="133"/>
            </w:pPr>
            <w:r>
              <w:t>多年平均降水量（mm）</w:t>
            </w:r>
          </w:p>
        </w:tc>
        <w:tc>
          <w:tcPr>
            <w:tcW w:w="1000" w:type="pct"/>
            <w:vAlign w:val="center"/>
          </w:tcPr>
          <w:p w14:paraId="58ACF437">
            <w:pPr>
              <w:pStyle w:val="133"/>
            </w:pPr>
            <w:r>
              <w:rPr>
                <w:rFonts w:hint="eastAsia"/>
              </w:rPr>
              <w:t>40</w:t>
            </w:r>
          </w:p>
        </w:tc>
        <w:tc>
          <w:tcPr>
            <w:tcW w:w="1000" w:type="pct"/>
            <w:vAlign w:val="center"/>
          </w:tcPr>
          <w:p w14:paraId="7E21BEAA">
            <w:pPr>
              <w:pStyle w:val="133"/>
            </w:pPr>
          </w:p>
        </w:tc>
        <w:tc>
          <w:tcPr>
            <w:tcW w:w="1001" w:type="pct"/>
            <w:vAlign w:val="center"/>
          </w:tcPr>
          <w:p w14:paraId="6F9C740B">
            <w:pPr>
              <w:pStyle w:val="133"/>
            </w:pPr>
          </w:p>
        </w:tc>
      </w:tr>
      <w:tr w14:paraId="519EE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4AFBDE7B">
            <w:pPr>
              <w:pStyle w:val="133"/>
            </w:pPr>
            <w:r>
              <w:t>多年最大日降水量（mm）</w:t>
            </w:r>
          </w:p>
        </w:tc>
        <w:tc>
          <w:tcPr>
            <w:tcW w:w="1000" w:type="pct"/>
            <w:vAlign w:val="center"/>
          </w:tcPr>
          <w:p w14:paraId="3B92FB09">
            <w:pPr>
              <w:pStyle w:val="133"/>
            </w:pPr>
            <w:r>
              <w:rPr>
                <w:rFonts w:hint="eastAsia"/>
              </w:rPr>
              <w:t>11.63</w:t>
            </w:r>
          </w:p>
        </w:tc>
        <w:tc>
          <w:tcPr>
            <w:tcW w:w="1000" w:type="pct"/>
            <w:vAlign w:val="center"/>
          </w:tcPr>
          <w:p w14:paraId="10B566C2">
            <w:pPr>
              <w:pStyle w:val="133"/>
            </w:pPr>
            <w:r>
              <w:rPr>
                <w:rFonts w:hint="eastAsia"/>
              </w:rPr>
              <w:t>2015.6.18</w:t>
            </w:r>
          </w:p>
        </w:tc>
        <w:tc>
          <w:tcPr>
            <w:tcW w:w="1001" w:type="pct"/>
            <w:vAlign w:val="center"/>
          </w:tcPr>
          <w:p w14:paraId="1A33D5D4">
            <w:pPr>
              <w:pStyle w:val="133"/>
            </w:pPr>
            <w:r>
              <w:rPr>
                <w:rFonts w:hint="eastAsia"/>
              </w:rPr>
              <w:t>21.9</w:t>
            </w:r>
          </w:p>
        </w:tc>
      </w:tr>
      <w:tr w14:paraId="6120B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9" w:type="pct"/>
            <w:vMerge w:val="restart"/>
            <w:vAlign w:val="center"/>
          </w:tcPr>
          <w:p w14:paraId="57ED72B8">
            <w:pPr>
              <w:pStyle w:val="133"/>
            </w:pPr>
            <w:r>
              <w:t>灾害天气统计</w:t>
            </w:r>
          </w:p>
        </w:tc>
        <w:tc>
          <w:tcPr>
            <w:tcW w:w="1270" w:type="pct"/>
            <w:vAlign w:val="center"/>
          </w:tcPr>
          <w:p w14:paraId="4B56D46F">
            <w:pPr>
              <w:pStyle w:val="133"/>
            </w:pPr>
            <w:r>
              <w:t>多年平均雷暴日数</w:t>
            </w:r>
          </w:p>
        </w:tc>
        <w:tc>
          <w:tcPr>
            <w:tcW w:w="1000" w:type="pct"/>
            <w:vAlign w:val="center"/>
          </w:tcPr>
          <w:p w14:paraId="5D208D20">
            <w:pPr>
              <w:pStyle w:val="133"/>
            </w:pPr>
            <w:r>
              <w:rPr>
                <w:rFonts w:hint="eastAsia"/>
              </w:rPr>
              <w:t>4.5</w:t>
            </w:r>
          </w:p>
        </w:tc>
        <w:tc>
          <w:tcPr>
            <w:tcW w:w="1000" w:type="pct"/>
            <w:vAlign w:val="center"/>
          </w:tcPr>
          <w:p w14:paraId="44D2E68E">
            <w:pPr>
              <w:pStyle w:val="133"/>
            </w:pPr>
          </w:p>
        </w:tc>
        <w:tc>
          <w:tcPr>
            <w:tcW w:w="1001" w:type="pct"/>
            <w:vAlign w:val="center"/>
          </w:tcPr>
          <w:p w14:paraId="69E3BEEF">
            <w:pPr>
              <w:pStyle w:val="133"/>
            </w:pPr>
          </w:p>
        </w:tc>
      </w:tr>
      <w:tr w14:paraId="29ED0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9" w:type="pct"/>
            <w:vMerge w:val="continue"/>
            <w:vAlign w:val="center"/>
          </w:tcPr>
          <w:p w14:paraId="405F61D3">
            <w:pPr>
              <w:pStyle w:val="133"/>
            </w:pPr>
          </w:p>
        </w:tc>
        <w:tc>
          <w:tcPr>
            <w:tcW w:w="1270" w:type="pct"/>
            <w:vAlign w:val="center"/>
          </w:tcPr>
          <w:p w14:paraId="2638AAB4">
            <w:pPr>
              <w:pStyle w:val="133"/>
            </w:pPr>
            <w:r>
              <w:t>多年平均冰雹日数</w:t>
            </w:r>
          </w:p>
        </w:tc>
        <w:tc>
          <w:tcPr>
            <w:tcW w:w="1000" w:type="pct"/>
            <w:vAlign w:val="center"/>
          </w:tcPr>
          <w:p w14:paraId="66F98711">
            <w:pPr>
              <w:pStyle w:val="133"/>
            </w:pPr>
            <w:r>
              <w:rPr>
                <w:rFonts w:hint="eastAsia"/>
              </w:rPr>
              <w:t>0.05</w:t>
            </w:r>
          </w:p>
        </w:tc>
        <w:tc>
          <w:tcPr>
            <w:tcW w:w="1000" w:type="pct"/>
            <w:vAlign w:val="center"/>
          </w:tcPr>
          <w:p w14:paraId="0DBF828D">
            <w:pPr>
              <w:pStyle w:val="133"/>
            </w:pPr>
          </w:p>
        </w:tc>
        <w:tc>
          <w:tcPr>
            <w:tcW w:w="1001" w:type="pct"/>
            <w:vAlign w:val="center"/>
          </w:tcPr>
          <w:p w14:paraId="070019DE">
            <w:pPr>
              <w:pStyle w:val="133"/>
            </w:pPr>
          </w:p>
        </w:tc>
      </w:tr>
      <w:tr w14:paraId="261A4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9" w:type="pct"/>
            <w:vMerge w:val="continue"/>
            <w:vAlign w:val="center"/>
          </w:tcPr>
          <w:p w14:paraId="0542E021">
            <w:pPr>
              <w:pStyle w:val="133"/>
            </w:pPr>
          </w:p>
        </w:tc>
        <w:tc>
          <w:tcPr>
            <w:tcW w:w="1270" w:type="pct"/>
            <w:vAlign w:val="center"/>
          </w:tcPr>
          <w:p w14:paraId="719D0B4E">
            <w:pPr>
              <w:pStyle w:val="133"/>
            </w:pPr>
            <w:r>
              <w:t>多年平均大风日数</w:t>
            </w:r>
          </w:p>
        </w:tc>
        <w:tc>
          <w:tcPr>
            <w:tcW w:w="1000" w:type="pct"/>
            <w:vAlign w:val="center"/>
          </w:tcPr>
          <w:p w14:paraId="30C7ADD1">
            <w:pPr>
              <w:pStyle w:val="133"/>
            </w:pPr>
            <w:r>
              <w:rPr>
                <w:rFonts w:hint="eastAsia"/>
              </w:rPr>
              <w:t>3</w:t>
            </w:r>
          </w:p>
        </w:tc>
        <w:tc>
          <w:tcPr>
            <w:tcW w:w="1000" w:type="pct"/>
            <w:vAlign w:val="center"/>
          </w:tcPr>
          <w:p w14:paraId="7763F5C7">
            <w:pPr>
              <w:pStyle w:val="133"/>
            </w:pPr>
          </w:p>
        </w:tc>
        <w:tc>
          <w:tcPr>
            <w:tcW w:w="1001" w:type="pct"/>
            <w:vAlign w:val="center"/>
          </w:tcPr>
          <w:p w14:paraId="50D8BEBD">
            <w:pPr>
              <w:pStyle w:val="133"/>
            </w:pPr>
          </w:p>
        </w:tc>
      </w:tr>
      <w:tr w14:paraId="352A7A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58CD8A9D">
            <w:pPr>
              <w:pStyle w:val="133"/>
            </w:pPr>
            <w:r>
              <w:t>多年实测极大风速（m/s）</w:t>
            </w:r>
          </w:p>
        </w:tc>
        <w:tc>
          <w:tcPr>
            <w:tcW w:w="1000" w:type="pct"/>
            <w:vAlign w:val="center"/>
          </w:tcPr>
          <w:p w14:paraId="604BA0B2">
            <w:pPr>
              <w:pStyle w:val="133"/>
            </w:pPr>
            <w:r>
              <w:rPr>
                <w:rFonts w:hint="eastAsia"/>
              </w:rPr>
              <w:t>19.81</w:t>
            </w:r>
          </w:p>
        </w:tc>
        <w:tc>
          <w:tcPr>
            <w:tcW w:w="1000" w:type="pct"/>
            <w:vAlign w:val="center"/>
          </w:tcPr>
          <w:p w14:paraId="5060A993">
            <w:pPr>
              <w:pStyle w:val="133"/>
            </w:pPr>
            <w:r>
              <w:rPr>
                <w:rFonts w:hint="eastAsia"/>
              </w:rPr>
              <w:t>2022.5.25</w:t>
            </w:r>
          </w:p>
        </w:tc>
        <w:tc>
          <w:tcPr>
            <w:tcW w:w="1001" w:type="pct"/>
            <w:vAlign w:val="center"/>
          </w:tcPr>
          <w:p w14:paraId="27564F3C">
            <w:pPr>
              <w:pStyle w:val="133"/>
            </w:pPr>
            <w:r>
              <w:rPr>
                <w:rFonts w:hint="eastAsia"/>
              </w:rPr>
              <w:t>22.4</w:t>
            </w:r>
          </w:p>
        </w:tc>
      </w:tr>
      <w:tr w14:paraId="34425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vAlign w:val="center"/>
          </w:tcPr>
          <w:p w14:paraId="39B11C6F">
            <w:pPr>
              <w:pStyle w:val="133"/>
            </w:pPr>
            <w:r>
              <w:t>多年平均风速（m/s）</w:t>
            </w:r>
          </w:p>
        </w:tc>
        <w:tc>
          <w:tcPr>
            <w:tcW w:w="1000" w:type="pct"/>
            <w:vAlign w:val="center"/>
          </w:tcPr>
          <w:p w14:paraId="5A9CA324">
            <w:pPr>
              <w:pStyle w:val="133"/>
            </w:pPr>
            <w:r>
              <w:rPr>
                <w:rFonts w:hint="eastAsia"/>
              </w:rPr>
              <w:t>1.5</w:t>
            </w:r>
          </w:p>
        </w:tc>
        <w:tc>
          <w:tcPr>
            <w:tcW w:w="1000" w:type="pct"/>
            <w:vAlign w:val="center"/>
          </w:tcPr>
          <w:p w14:paraId="462B8D98">
            <w:pPr>
              <w:pStyle w:val="133"/>
            </w:pPr>
          </w:p>
        </w:tc>
        <w:tc>
          <w:tcPr>
            <w:tcW w:w="1001" w:type="pct"/>
            <w:vAlign w:val="center"/>
          </w:tcPr>
          <w:p w14:paraId="0FE3E12E">
            <w:pPr>
              <w:pStyle w:val="133"/>
            </w:pPr>
          </w:p>
        </w:tc>
      </w:tr>
    </w:tbl>
    <w:p w14:paraId="700A2143">
      <w:pPr>
        <w:pStyle w:val="133"/>
      </w:pPr>
    </w:p>
    <w:p w14:paraId="4FAAF928">
      <w:pPr>
        <w:pStyle w:val="117"/>
        <w:ind w:firstLine="480"/>
      </w:pPr>
      <w:r>
        <w:t>（2）评价基准年污染气象</w:t>
      </w:r>
    </w:p>
    <w:bookmarkEnd w:id="482"/>
    <w:p w14:paraId="6D254A12">
      <w:pPr>
        <w:pStyle w:val="117"/>
        <w:ind w:firstLine="480"/>
      </w:pPr>
      <w:r>
        <w:t>本次</w:t>
      </w:r>
      <w:r>
        <w:rPr>
          <w:rFonts w:hint="eastAsia"/>
        </w:rPr>
        <w:t>评价收集了</w:t>
      </w:r>
      <w:r>
        <w:t>哈密气象观测站</w:t>
      </w:r>
      <w:r>
        <w:rPr>
          <w:rFonts w:hint="eastAsia"/>
        </w:rPr>
        <w:t>（</w:t>
      </w:r>
      <w:r>
        <w:t>52203</w:t>
      </w:r>
      <w:r>
        <w:rPr>
          <w:rFonts w:hint="eastAsia"/>
        </w:rPr>
        <w:t>）</w:t>
      </w:r>
      <w:r>
        <w:t>20</w:t>
      </w:r>
      <w:r>
        <w:rPr>
          <w:rFonts w:hint="eastAsia"/>
        </w:rPr>
        <w:t>23</w:t>
      </w:r>
      <w:r>
        <w:t>年逐日、逐次的常规气象观测资料，气象站地理坐标为：，距离项目厂址约</w:t>
      </w:r>
      <w:r>
        <w:rPr>
          <w:rFonts w:hint="eastAsia"/>
        </w:rPr>
        <w:t>16.9</w:t>
      </w:r>
      <w:r>
        <w:t>km，观测数据可满足本项目大气环境影响预测分析的需要</w:t>
      </w:r>
      <w:r>
        <w:rPr>
          <w:rFonts w:hint="eastAsia"/>
        </w:rPr>
        <w:t>。</w:t>
      </w:r>
    </w:p>
    <w:p w14:paraId="4A978CE0">
      <w:pPr>
        <w:pStyle w:val="117"/>
        <w:ind w:firstLine="480"/>
      </w:pPr>
      <w:r>
        <w:rPr>
          <w:rFonts w:hint="eastAsia"/>
        </w:rPr>
        <w:t>1）风向、风频</w:t>
      </w:r>
    </w:p>
    <w:p w14:paraId="33043C6D">
      <w:pPr>
        <w:pStyle w:val="117"/>
        <w:ind w:firstLine="480"/>
      </w:pPr>
      <w:r>
        <w:rPr>
          <w:rFonts w:hint="eastAsia"/>
        </w:rPr>
        <w:t>评价区2023年年均风频的月变化统计见表5.2-2和图5.2-1，年均风频的季变化及年均风频见表5.2-3和图5.2-1。</w:t>
      </w:r>
    </w:p>
    <w:p w14:paraId="448EED46">
      <w:pPr>
        <w:pStyle w:val="118"/>
      </w:pPr>
      <w:r>
        <w:rPr>
          <w:rFonts w:hint="eastAsia"/>
        </w:rPr>
        <w:t>表5.2-2</w:t>
      </w:r>
      <w:r>
        <w:t xml:space="preserve">  2</w:t>
      </w:r>
      <w:r>
        <w:rPr>
          <w:rFonts w:hint="eastAsia"/>
        </w:rPr>
        <w:t>023</w:t>
      </w:r>
      <w:r>
        <w:t>年年均风频的月变化一览表</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6" w:type="dxa"/>
          <w:bottom w:w="0" w:type="dxa"/>
          <w:right w:w="6" w:type="dxa"/>
        </w:tblCellMar>
      </w:tblPr>
      <w:tblGrid>
        <w:gridCol w:w="580"/>
        <w:gridCol w:w="524"/>
        <w:gridCol w:w="432"/>
        <w:gridCol w:w="432"/>
        <w:gridCol w:w="433"/>
        <w:gridCol w:w="470"/>
        <w:gridCol w:w="470"/>
        <w:gridCol w:w="415"/>
        <w:gridCol w:w="415"/>
        <w:gridCol w:w="415"/>
        <w:gridCol w:w="430"/>
        <w:gridCol w:w="415"/>
        <w:gridCol w:w="509"/>
        <w:gridCol w:w="470"/>
        <w:gridCol w:w="543"/>
        <w:gridCol w:w="470"/>
        <w:gridCol w:w="498"/>
        <w:gridCol w:w="415"/>
      </w:tblGrid>
      <w:tr w14:paraId="3F87B2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tblHeader/>
          <w:jc w:val="center"/>
        </w:trPr>
        <w:tc>
          <w:tcPr>
            <w:tcW w:w="491" w:type="dxa"/>
            <w:tcBorders>
              <w:top w:val="single" w:color="auto" w:sz="12" w:space="0"/>
              <w:left w:val="single" w:color="auto" w:sz="12" w:space="0"/>
              <w:bottom w:val="single" w:color="auto" w:sz="4" w:space="0"/>
              <w:right w:val="single" w:color="auto" w:sz="4" w:space="0"/>
              <w:tl2br w:val="single" w:color="auto" w:sz="4" w:space="0"/>
            </w:tcBorders>
            <w:noWrap/>
            <w:vAlign w:val="center"/>
          </w:tcPr>
          <w:p w14:paraId="3A3181CD">
            <w:pPr>
              <w:pStyle w:val="133"/>
              <w:rPr>
                <w:b/>
                <w:bCs/>
                <w:sz w:val="18"/>
                <w:szCs w:val="18"/>
              </w:rPr>
            </w:pPr>
            <w:r>
              <w:rPr>
                <w:rFonts w:hint="eastAsia"/>
                <w:b/>
                <w:bCs/>
                <w:sz w:val="18"/>
                <w:szCs w:val="18"/>
              </w:rPr>
              <w:t>风向</w:t>
            </w:r>
          </w:p>
          <w:p w14:paraId="184D7A7B">
            <w:pPr>
              <w:pStyle w:val="133"/>
              <w:rPr>
                <w:b/>
                <w:bCs/>
                <w:sz w:val="18"/>
                <w:szCs w:val="18"/>
              </w:rPr>
            </w:pPr>
            <w:r>
              <w:rPr>
                <w:b/>
                <w:bCs/>
                <w:sz w:val="18"/>
                <w:szCs w:val="18"/>
              </w:rPr>
              <w:t>风频（%</w:t>
            </w:r>
            <w:r>
              <w:rPr>
                <w:rFonts w:hint="eastAsia"/>
                <w:b/>
                <w:bCs/>
                <w:sz w:val="18"/>
                <w:szCs w:val="18"/>
              </w:rPr>
              <w:t>）</w:t>
            </w:r>
          </w:p>
        </w:tc>
        <w:tc>
          <w:tcPr>
            <w:tcW w:w="508" w:type="dxa"/>
            <w:tcBorders>
              <w:top w:val="single" w:color="auto" w:sz="12" w:space="0"/>
              <w:left w:val="single" w:color="auto" w:sz="4" w:space="0"/>
              <w:bottom w:val="single" w:color="auto" w:sz="4" w:space="0"/>
              <w:right w:val="single" w:color="auto" w:sz="4" w:space="0"/>
            </w:tcBorders>
            <w:noWrap/>
            <w:vAlign w:val="center"/>
          </w:tcPr>
          <w:p w14:paraId="6F606E76">
            <w:pPr>
              <w:pStyle w:val="133"/>
              <w:rPr>
                <w:b/>
                <w:bCs/>
                <w:sz w:val="18"/>
                <w:szCs w:val="18"/>
              </w:rPr>
            </w:pPr>
            <w:r>
              <w:rPr>
                <w:b/>
                <w:bCs/>
                <w:sz w:val="18"/>
                <w:szCs w:val="18"/>
              </w:rPr>
              <w:t>N</w:t>
            </w:r>
          </w:p>
        </w:tc>
        <w:tc>
          <w:tcPr>
            <w:tcW w:w="419" w:type="dxa"/>
            <w:tcBorders>
              <w:top w:val="single" w:color="auto" w:sz="12" w:space="0"/>
              <w:left w:val="single" w:color="auto" w:sz="4" w:space="0"/>
              <w:bottom w:val="single" w:color="auto" w:sz="4" w:space="0"/>
              <w:right w:val="single" w:color="auto" w:sz="4" w:space="0"/>
            </w:tcBorders>
            <w:noWrap/>
            <w:vAlign w:val="center"/>
          </w:tcPr>
          <w:p w14:paraId="617AA465">
            <w:pPr>
              <w:pStyle w:val="133"/>
              <w:rPr>
                <w:b/>
                <w:bCs/>
                <w:sz w:val="18"/>
                <w:szCs w:val="18"/>
              </w:rPr>
            </w:pPr>
            <w:r>
              <w:rPr>
                <w:b/>
                <w:bCs/>
                <w:sz w:val="18"/>
                <w:szCs w:val="18"/>
              </w:rPr>
              <w:t>NNE</w:t>
            </w:r>
          </w:p>
        </w:tc>
        <w:tc>
          <w:tcPr>
            <w:tcW w:w="419" w:type="dxa"/>
            <w:tcBorders>
              <w:top w:val="single" w:color="auto" w:sz="12" w:space="0"/>
              <w:left w:val="single" w:color="auto" w:sz="4" w:space="0"/>
              <w:bottom w:val="single" w:color="auto" w:sz="4" w:space="0"/>
              <w:right w:val="single" w:color="auto" w:sz="4" w:space="0"/>
            </w:tcBorders>
            <w:noWrap/>
            <w:vAlign w:val="center"/>
          </w:tcPr>
          <w:p w14:paraId="39019687">
            <w:pPr>
              <w:pStyle w:val="133"/>
              <w:rPr>
                <w:b/>
                <w:bCs/>
                <w:sz w:val="18"/>
                <w:szCs w:val="18"/>
              </w:rPr>
            </w:pPr>
            <w:r>
              <w:rPr>
                <w:b/>
                <w:bCs/>
                <w:sz w:val="18"/>
                <w:szCs w:val="18"/>
              </w:rPr>
              <w:t>NE</w:t>
            </w:r>
          </w:p>
        </w:tc>
        <w:tc>
          <w:tcPr>
            <w:tcW w:w="420" w:type="dxa"/>
            <w:tcBorders>
              <w:top w:val="single" w:color="auto" w:sz="12" w:space="0"/>
              <w:left w:val="single" w:color="auto" w:sz="4" w:space="0"/>
              <w:bottom w:val="single" w:color="auto" w:sz="4" w:space="0"/>
              <w:right w:val="single" w:color="auto" w:sz="4" w:space="0"/>
            </w:tcBorders>
            <w:noWrap/>
            <w:vAlign w:val="center"/>
          </w:tcPr>
          <w:p w14:paraId="0CF878BC">
            <w:pPr>
              <w:pStyle w:val="133"/>
              <w:rPr>
                <w:b/>
                <w:bCs/>
                <w:sz w:val="18"/>
                <w:szCs w:val="18"/>
              </w:rPr>
            </w:pPr>
            <w:r>
              <w:rPr>
                <w:b/>
                <w:bCs/>
                <w:sz w:val="18"/>
                <w:szCs w:val="18"/>
              </w:rPr>
              <w:t>ENE</w:t>
            </w:r>
          </w:p>
        </w:tc>
        <w:tc>
          <w:tcPr>
            <w:tcW w:w="456" w:type="dxa"/>
            <w:tcBorders>
              <w:top w:val="single" w:color="auto" w:sz="12" w:space="0"/>
              <w:left w:val="single" w:color="auto" w:sz="4" w:space="0"/>
              <w:bottom w:val="single" w:color="auto" w:sz="4" w:space="0"/>
              <w:right w:val="single" w:color="auto" w:sz="4" w:space="0"/>
            </w:tcBorders>
            <w:noWrap/>
            <w:vAlign w:val="center"/>
          </w:tcPr>
          <w:p w14:paraId="333C86E9">
            <w:pPr>
              <w:pStyle w:val="133"/>
              <w:rPr>
                <w:b/>
                <w:bCs/>
                <w:sz w:val="18"/>
                <w:szCs w:val="18"/>
              </w:rPr>
            </w:pPr>
            <w:r>
              <w:rPr>
                <w:b/>
                <w:bCs/>
                <w:sz w:val="18"/>
                <w:szCs w:val="18"/>
              </w:rPr>
              <w:t>E</w:t>
            </w:r>
          </w:p>
        </w:tc>
        <w:tc>
          <w:tcPr>
            <w:tcW w:w="456" w:type="dxa"/>
            <w:tcBorders>
              <w:top w:val="single" w:color="auto" w:sz="12" w:space="0"/>
              <w:left w:val="single" w:color="auto" w:sz="4" w:space="0"/>
              <w:bottom w:val="single" w:color="auto" w:sz="4" w:space="0"/>
              <w:right w:val="single" w:color="auto" w:sz="4" w:space="0"/>
            </w:tcBorders>
            <w:noWrap/>
            <w:vAlign w:val="center"/>
          </w:tcPr>
          <w:p w14:paraId="34105E7B">
            <w:pPr>
              <w:pStyle w:val="133"/>
              <w:rPr>
                <w:b/>
                <w:bCs/>
                <w:sz w:val="18"/>
                <w:szCs w:val="18"/>
              </w:rPr>
            </w:pPr>
            <w:r>
              <w:rPr>
                <w:b/>
                <w:bCs/>
                <w:sz w:val="18"/>
                <w:szCs w:val="18"/>
              </w:rPr>
              <w:t>ESE</w:t>
            </w:r>
          </w:p>
        </w:tc>
        <w:tc>
          <w:tcPr>
            <w:tcW w:w="403" w:type="dxa"/>
            <w:tcBorders>
              <w:top w:val="single" w:color="auto" w:sz="12" w:space="0"/>
              <w:left w:val="single" w:color="auto" w:sz="4" w:space="0"/>
              <w:bottom w:val="single" w:color="auto" w:sz="4" w:space="0"/>
              <w:right w:val="single" w:color="auto" w:sz="4" w:space="0"/>
            </w:tcBorders>
            <w:noWrap/>
            <w:vAlign w:val="center"/>
          </w:tcPr>
          <w:p w14:paraId="7305533F">
            <w:pPr>
              <w:pStyle w:val="133"/>
              <w:rPr>
                <w:b/>
                <w:bCs/>
                <w:sz w:val="18"/>
                <w:szCs w:val="18"/>
              </w:rPr>
            </w:pPr>
            <w:r>
              <w:rPr>
                <w:b/>
                <w:bCs/>
                <w:sz w:val="18"/>
                <w:szCs w:val="18"/>
              </w:rPr>
              <w:t>SE</w:t>
            </w:r>
          </w:p>
        </w:tc>
        <w:tc>
          <w:tcPr>
            <w:tcW w:w="403" w:type="dxa"/>
            <w:tcBorders>
              <w:top w:val="single" w:color="auto" w:sz="12" w:space="0"/>
              <w:left w:val="single" w:color="auto" w:sz="4" w:space="0"/>
              <w:bottom w:val="single" w:color="auto" w:sz="4" w:space="0"/>
              <w:right w:val="single" w:color="auto" w:sz="4" w:space="0"/>
            </w:tcBorders>
            <w:noWrap/>
            <w:vAlign w:val="center"/>
          </w:tcPr>
          <w:p w14:paraId="2E578B6D">
            <w:pPr>
              <w:pStyle w:val="133"/>
              <w:rPr>
                <w:b/>
                <w:bCs/>
                <w:sz w:val="18"/>
                <w:szCs w:val="18"/>
              </w:rPr>
            </w:pPr>
            <w:r>
              <w:rPr>
                <w:b/>
                <w:bCs/>
                <w:sz w:val="18"/>
                <w:szCs w:val="18"/>
              </w:rPr>
              <w:t>SSE</w:t>
            </w:r>
          </w:p>
        </w:tc>
        <w:tc>
          <w:tcPr>
            <w:tcW w:w="403" w:type="dxa"/>
            <w:tcBorders>
              <w:top w:val="single" w:color="auto" w:sz="12" w:space="0"/>
              <w:left w:val="single" w:color="auto" w:sz="4" w:space="0"/>
              <w:bottom w:val="single" w:color="auto" w:sz="4" w:space="0"/>
              <w:right w:val="single" w:color="auto" w:sz="4" w:space="0"/>
            </w:tcBorders>
            <w:noWrap/>
            <w:vAlign w:val="center"/>
          </w:tcPr>
          <w:p w14:paraId="6F8CB208">
            <w:pPr>
              <w:pStyle w:val="133"/>
              <w:rPr>
                <w:b/>
                <w:bCs/>
                <w:sz w:val="18"/>
                <w:szCs w:val="18"/>
              </w:rPr>
            </w:pPr>
            <w:r>
              <w:rPr>
                <w:b/>
                <w:bCs/>
                <w:sz w:val="18"/>
                <w:szCs w:val="18"/>
              </w:rPr>
              <w:t>S</w:t>
            </w:r>
          </w:p>
        </w:tc>
        <w:tc>
          <w:tcPr>
            <w:tcW w:w="417" w:type="dxa"/>
            <w:tcBorders>
              <w:top w:val="single" w:color="auto" w:sz="12" w:space="0"/>
              <w:left w:val="single" w:color="auto" w:sz="4" w:space="0"/>
              <w:bottom w:val="single" w:color="auto" w:sz="4" w:space="0"/>
              <w:right w:val="single" w:color="auto" w:sz="4" w:space="0"/>
            </w:tcBorders>
            <w:noWrap/>
            <w:vAlign w:val="center"/>
          </w:tcPr>
          <w:p w14:paraId="0396CA28">
            <w:pPr>
              <w:pStyle w:val="133"/>
              <w:rPr>
                <w:b/>
                <w:bCs/>
                <w:sz w:val="18"/>
                <w:szCs w:val="18"/>
              </w:rPr>
            </w:pPr>
            <w:r>
              <w:rPr>
                <w:b/>
                <w:bCs/>
                <w:sz w:val="18"/>
                <w:szCs w:val="18"/>
              </w:rPr>
              <w:t>SSW</w:t>
            </w:r>
          </w:p>
        </w:tc>
        <w:tc>
          <w:tcPr>
            <w:tcW w:w="403" w:type="dxa"/>
            <w:tcBorders>
              <w:top w:val="single" w:color="auto" w:sz="12" w:space="0"/>
              <w:left w:val="single" w:color="auto" w:sz="4" w:space="0"/>
              <w:bottom w:val="single" w:color="auto" w:sz="4" w:space="0"/>
              <w:right w:val="single" w:color="auto" w:sz="4" w:space="0"/>
            </w:tcBorders>
            <w:noWrap/>
            <w:vAlign w:val="center"/>
          </w:tcPr>
          <w:p w14:paraId="4AD60DB6">
            <w:pPr>
              <w:pStyle w:val="133"/>
              <w:rPr>
                <w:b/>
                <w:bCs/>
                <w:sz w:val="18"/>
                <w:szCs w:val="18"/>
              </w:rPr>
            </w:pPr>
            <w:r>
              <w:rPr>
                <w:b/>
                <w:bCs/>
                <w:sz w:val="18"/>
                <w:szCs w:val="18"/>
              </w:rPr>
              <w:t>SW</w:t>
            </w:r>
          </w:p>
        </w:tc>
        <w:tc>
          <w:tcPr>
            <w:tcW w:w="494" w:type="dxa"/>
            <w:tcBorders>
              <w:top w:val="single" w:color="auto" w:sz="12" w:space="0"/>
              <w:left w:val="single" w:color="auto" w:sz="4" w:space="0"/>
              <w:bottom w:val="single" w:color="auto" w:sz="4" w:space="0"/>
              <w:right w:val="single" w:color="auto" w:sz="4" w:space="0"/>
            </w:tcBorders>
            <w:noWrap/>
            <w:vAlign w:val="center"/>
          </w:tcPr>
          <w:p w14:paraId="10D8ED44">
            <w:pPr>
              <w:pStyle w:val="133"/>
              <w:rPr>
                <w:b/>
                <w:bCs/>
                <w:sz w:val="18"/>
                <w:szCs w:val="18"/>
              </w:rPr>
            </w:pPr>
            <w:r>
              <w:rPr>
                <w:b/>
                <w:bCs/>
                <w:sz w:val="18"/>
                <w:szCs w:val="18"/>
              </w:rPr>
              <w:t>WSW</w:t>
            </w:r>
          </w:p>
        </w:tc>
        <w:tc>
          <w:tcPr>
            <w:tcW w:w="456" w:type="dxa"/>
            <w:tcBorders>
              <w:top w:val="single" w:color="auto" w:sz="12" w:space="0"/>
              <w:left w:val="single" w:color="auto" w:sz="4" w:space="0"/>
              <w:bottom w:val="single" w:color="auto" w:sz="4" w:space="0"/>
              <w:right w:val="single" w:color="auto" w:sz="4" w:space="0"/>
            </w:tcBorders>
            <w:noWrap/>
            <w:vAlign w:val="center"/>
          </w:tcPr>
          <w:p w14:paraId="6D12FDA0">
            <w:pPr>
              <w:pStyle w:val="133"/>
              <w:rPr>
                <w:b/>
                <w:bCs/>
                <w:sz w:val="18"/>
                <w:szCs w:val="18"/>
              </w:rPr>
            </w:pPr>
            <w:r>
              <w:rPr>
                <w:b/>
                <w:bCs/>
                <w:sz w:val="18"/>
                <w:szCs w:val="18"/>
              </w:rPr>
              <w:t>W</w:t>
            </w:r>
          </w:p>
        </w:tc>
        <w:tc>
          <w:tcPr>
            <w:tcW w:w="527" w:type="dxa"/>
            <w:tcBorders>
              <w:top w:val="single" w:color="auto" w:sz="12" w:space="0"/>
              <w:left w:val="single" w:color="auto" w:sz="4" w:space="0"/>
              <w:bottom w:val="single" w:color="auto" w:sz="4" w:space="0"/>
              <w:right w:val="single" w:color="auto" w:sz="4" w:space="0"/>
            </w:tcBorders>
            <w:noWrap/>
            <w:vAlign w:val="center"/>
          </w:tcPr>
          <w:p w14:paraId="0C98DE9C">
            <w:pPr>
              <w:pStyle w:val="133"/>
              <w:rPr>
                <w:b/>
                <w:bCs/>
                <w:sz w:val="18"/>
                <w:szCs w:val="18"/>
              </w:rPr>
            </w:pPr>
            <w:r>
              <w:rPr>
                <w:b/>
                <w:bCs/>
                <w:sz w:val="18"/>
                <w:szCs w:val="18"/>
              </w:rPr>
              <w:t>WNW</w:t>
            </w:r>
          </w:p>
        </w:tc>
        <w:tc>
          <w:tcPr>
            <w:tcW w:w="456" w:type="dxa"/>
            <w:tcBorders>
              <w:top w:val="single" w:color="auto" w:sz="12" w:space="0"/>
              <w:left w:val="single" w:color="auto" w:sz="4" w:space="0"/>
              <w:bottom w:val="single" w:color="auto" w:sz="4" w:space="0"/>
              <w:right w:val="single" w:color="auto" w:sz="4" w:space="0"/>
            </w:tcBorders>
            <w:noWrap/>
            <w:vAlign w:val="center"/>
          </w:tcPr>
          <w:p w14:paraId="5FA0C755">
            <w:pPr>
              <w:pStyle w:val="133"/>
              <w:rPr>
                <w:b/>
                <w:bCs/>
                <w:sz w:val="18"/>
                <w:szCs w:val="18"/>
              </w:rPr>
            </w:pPr>
            <w:r>
              <w:rPr>
                <w:b/>
                <w:bCs/>
                <w:sz w:val="18"/>
                <w:szCs w:val="18"/>
              </w:rPr>
              <w:t>NW</w:t>
            </w:r>
          </w:p>
        </w:tc>
        <w:tc>
          <w:tcPr>
            <w:tcW w:w="483" w:type="dxa"/>
            <w:tcBorders>
              <w:top w:val="single" w:color="auto" w:sz="12" w:space="0"/>
              <w:left w:val="single" w:color="auto" w:sz="4" w:space="0"/>
              <w:bottom w:val="single" w:color="auto" w:sz="4" w:space="0"/>
              <w:right w:val="single" w:color="auto" w:sz="4" w:space="0"/>
            </w:tcBorders>
            <w:noWrap/>
            <w:vAlign w:val="center"/>
          </w:tcPr>
          <w:p w14:paraId="360BFEB7">
            <w:pPr>
              <w:pStyle w:val="133"/>
              <w:rPr>
                <w:b/>
                <w:bCs/>
                <w:sz w:val="18"/>
                <w:szCs w:val="18"/>
              </w:rPr>
            </w:pPr>
            <w:r>
              <w:rPr>
                <w:b/>
                <w:bCs/>
                <w:sz w:val="18"/>
                <w:szCs w:val="18"/>
              </w:rPr>
              <w:t>NNW</w:t>
            </w:r>
          </w:p>
        </w:tc>
        <w:tc>
          <w:tcPr>
            <w:tcW w:w="403" w:type="dxa"/>
            <w:tcBorders>
              <w:top w:val="single" w:color="auto" w:sz="12" w:space="0"/>
              <w:left w:val="single" w:color="auto" w:sz="4" w:space="0"/>
              <w:bottom w:val="single" w:color="auto" w:sz="4" w:space="0"/>
              <w:right w:val="single" w:color="auto" w:sz="12" w:space="0"/>
            </w:tcBorders>
            <w:noWrap/>
            <w:vAlign w:val="center"/>
          </w:tcPr>
          <w:p w14:paraId="05378F78">
            <w:pPr>
              <w:pStyle w:val="133"/>
              <w:rPr>
                <w:b/>
                <w:bCs/>
                <w:sz w:val="18"/>
                <w:szCs w:val="18"/>
              </w:rPr>
            </w:pPr>
            <w:r>
              <w:rPr>
                <w:b/>
                <w:bCs/>
                <w:sz w:val="18"/>
                <w:szCs w:val="18"/>
              </w:rPr>
              <w:t>C</w:t>
            </w:r>
          </w:p>
        </w:tc>
      </w:tr>
      <w:tr w14:paraId="2FEC4C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53C5A2AA">
            <w:pPr>
              <w:pStyle w:val="133"/>
              <w:rPr>
                <w:sz w:val="18"/>
                <w:szCs w:val="18"/>
              </w:rPr>
            </w:pPr>
            <w:r>
              <w:rPr>
                <w:sz w:val="18"/>
                <w:szCs w:val="18"/>
              </w:rPr>
              <w:t>一月</w:t>
            </w:r>
          </w:p>
        </w:tc>
        <w:tc>
          <w:tcPr>
            <w:tcW w:w="508" w:type="dxa"/>
            <w:tcBorders>
              <w:top w:val="single" w:color="auto" w:sz="4" w:space="0"/>
              <w:left w:val="single" w:color="auto" w:sz="4" w:space="0"/>
              <w:bottom w:val="single" w:color="auto" w:sz="4" w:space="0"/>
              <w:right w:val="single" w:color="auto" w:sz="4" w:space="0"/>
            </w:tcBorders>
            <w:noWrap/>
            <w:vAlign w:val="center"/>
          </w:tcPr>
          <w:p w14:paraId="5FFE31B7">
            <w:pPr>
              <w:pStyle w:val="133"/>
              <w:rPr>
                <w:sz w:val="18"/>
                <w:szCs w:val="18"/>
              </w:rPr>
            </w:pPr>
            <w:r>
              <w:rPr>
                <w:sz w:val="18"/>
                <w:szCs w:val="18"/>
              </w:rPr>
              <w:t>4.30</w:t>
            </w:r>
          </w:p>
        </w:tc>
        <w:tc>
          <w:tcPr>
            <w:tcW w:w="419" w:type="dxa"/>
            <w:tcBorders>
              <w:top w:val="single" w:color="auto" w:sz="4" w:space="0"/>
              <w:left w:val="single" w:color="auto" w:sz="4" w:space="0"/>
              <w:bottom w:val="single" w:color="auto" w:sz="4" w:space="0"/>
              <w:right w:val="single" w:color="auto" w:sz="4" w:space="0"/>
            </w:tcBorders>
            <w:noWrap/>
            <w:vAlign w:val="center"/>
          </w:tcPr>
          <w:p w14:paraId="35C63124">
            <w:pPr>
              <w:pStyle w:val="133"/>
              <w:rPr>
                <w:sz w:val="18"/>
                <w:szCs w:val="18"/>
              </w:rPr>
            </w:pPr>
            <w:r>
              <w:rPr>
                <w:sz w:val="18"/>
                <w:szCs w:val="18"/>
              </w:rPr>
              <w:t>4.70</w:t>
            </w:r>
          </w:p>
        </w:tc>
        <w:tc>
          <w:tcPr>
            <w:tcW w:w="419" w:type="dxa"/>
            <w:tcBorders>
              <w:top w:val="single" w:color="auto" w:sz="4" w:space="0"/>
              <w:left w:val="single" w:color="auto" w:sz="4" w:space="0"/>
              <w:bottom w:val="single" w:color="auto" w:sz="4" w:space="0"/>
              <w:right w:val="single" w:color="auto" w:sz="4" w:space="0"/>
            </w:tcBorders>
            <w:noWrap/>
            <w:vAlign w:val="center"/>
          </w:tcPr>
          <w:p w14:paraId="0F580EFE">
            <w:pPr>
              <w:pStyle w:val="133"/>
              <w:rPr>
                <w:sz w:val="18"/>
                <w:szCs w:val="18"/>
              </w:rPr>
            </w:pPr>
            <w:r>
              <w:rPr>
                <w:sz w:val="18"/>
                <w:szCs w:val="18"/>
              </w:rPr>
              <w:t>6.45</w:t>
            </w:r>
          </w:p>
        </w:tc>
        <w:tc>
          <w:tcPr>
            <w:tcW w:w="420" w:type="dxa"/>
            <w:tcBorders>
              <w:top w:val="single" w:color="auto" w:sz="4" w:space="0"/>
              <w:left w:val="single" w:color="auto" w:sz="4" w:space="0"/>
              <w:bottom w:val="single" w:color="auto" w:sz="4" w:space="0"/>
              <w:right w:val="single" w:color="auto" w:sz="4" w:space="0"/>
            </w:tcBorders>
            <w:noWrap/>
            <w:vAlign w:val="center"/>
          </w:tcPr>
          <w:p w14:paraId="4043E2BE">
            <w:pPr>
              <w:pStyle w:val="133"/>
              <w:rPr>
                <w:sz w:val="18"/>
                <w:szCs w:val="18"/>
              </w:rPr>
            </w:pPr>
            <w:r>
              <w:rPr>
                <w:sz w:val="18"/>
                <w:szCs w:val="18"/>
              </w:rPr>
              <w:t>19.49</w:t>
            </w:r>
          </w:p>
        </w:tc>
        <w:tc>
          <w:tcPr>
            <w:tcW w:w="456" w:type="dxa"/>
            <w:tcBorders>
              <w:top w:val="single" w:color="auto" w:sz="4" w:space="0"/>
              <w:left w:val="single" w:color="auto" w:sz="4" w:space="0"/>
              <w:bottom w:val="single" w:color="auto" w:sz="4" w:space="0"/>
              <w:right w:val="single" w:color="auto" w:sz="4" w:space="0"/>
            </w:tcBorders>
            <w:noWrap/>
            <w:vAlign w:val="center"/>
          </w:tcPr>
          <w:p w14:paraId="075E5CE8">
            <w:pPr>
              <w:pStyle w:val="133"/>
              <w:rPr>
                <w:sz w:val="18"/>
                <w:szCs w:val="18"/>
              </w:rPr>
            </w:pPr>
            <w:r>
              <w:rPr>
                <w:sz w:val="18"/>
                <w:szCs w:val="18"/>
              </w:rPr>
              <w:t>21.37</w:t>
            </w:r>
          </w:p>
        </w:tc>
        <w:tc>
          <w:tcPr>
            <w:tcW w:w="456" w:type="dxa"/>
            <w:tcBorders>
              <w:top w:val="single" w:color="auto" w:sz="4" w:space="0"/>
              <w:left w:val="single" w:color="auto" w:sz="4" w:space="0"/>
              <w:bottom w:val="single" w:color="auto" w:sz="4" w:space="0"/>
              <w:right w:val="single" w:color="auto" w:sz="4" w:space="0"/>
            </w:tcBorders>
            <w:noWrap/>
            <w:vAlign w:val="center"/>
          </w:tcPr>
          <w:p w14:paraId="4A1EE781">
            <w:pPr>
              <w:pStyle w:val="133"/>
              <w:rPr>
                <w:sz w:val="18"/>
                <w:szCs w:val="18"/>
              </w:rPr>
            </w:pPr>
            <w:r>
              <w:rPr>
                <w:sz w:val="18"/>
                <w:szCs w:val="18"/>
              </w:rPr>
              <w:t>7.12</w:t>
            </w:r>
          </w:p>
        </w:tc>
        <w:tc>
          <w:tcPr>
            <w:tcW w:w="403" w:type="dxa"/>
            <w:tcBorders>
              <w:top w:val="single" w:color="auto" w:sz="4" w:space="0"/>
              <w:left w:val="single" w:color="auto" w:sz="4" w:space="0"/>
              <w:bottom w:val="single" w:color="auto" w:sz="4" w:space="0"/>
              <w:right w:val="single" w:color="auto" w:sz="4" w:space="0"/>
            </w:tcBorders>
            <w:noWrap/>
            <w:vAlign w:val="center"/>
          </w:tcPr>
          <w:p w14:paraId="1EA414AF">
            <w:pPr>
              <w:pStyle w:val="133"/>
              <w:rPr>
                <w:sz w:val="18"/>
                <w:szCs w:val="18"/>
              </w:rPr>
            </w:pPr>
            <w:r>
              <w:rPr>
                <w:sz w:val="18"/>
                <w:szCs w:val="18"/>
              </w:rPr>
              <w:t>6.45</w:t>
            </w:r>
          </w:p>
        </w:tc>
        <w:tc>
          <w:tcPr>
            <w:tcW w:w="403" w:type="dxa"/>
            <w:tcBorders>
              <w:top w:val="single" w:color="auto" w:sz="4" w:space="0"/>
              <w:left w:val="single" w:color="auto" w:sz="4" w:space="0"/>
              <w:bottom w:val="single" w:color="auto" w:sz="4" w:space="0"/>
              <w:right w:val="single" w:color="auto" w:sz="4" w:space="0"/>
            </w:tcBorders>
            <w:noWrap/>
            <w:vAlign w:val="center"/>
          </w:tcPr>
          <w:p w14:paraId="17BA48BB">
            <w:pPr>
              <w:pStyle w:val="133"/>
              <w:rPr>
                <w:sz w:val="18"/>
                <w:szCs w:val="18"/>
              </w:rPr>
            </w:pPr>
            <w:r>
              <w:rPr>
                <w:sz w:val="18"/>
                <w:szCs w:val="18"/>
              </w:rPr>
              <w:t>3.49</w:t>
            </w:r>
          </w:p>
        </w:tc>
        <w:tc>
          <w:tcPr>
            <w:tcW w:w="403" w:type="dxa"/>
            <w:tcBorders>
              <w:top w:val="single" w:color="auto" w:sz="4" w:space="0"/>
              <w:left w:val="single" w:color="auto" w:sz="4" w:space="0"/>
              <w:bottom w:val="single" w:color="auto" w:sz="4" w:space="0"/>
              <w:right w:val="single" w:color="auto" w:sz="4" w:space="0"/>
            </w:tcBorders>
            <w:noWrap/>
            <w:vAlign w:val="center"/>
          </w:tcPr>
          <w:p w14:paraId="6084E887">
            <w:pPr>
              <w:pStyle w:val="133"/>
              <w:rPr>
                <w:sz w:val="18"/>
                <w:szCs w:val="18"/>
              </w:rPr>
            </w:pPr>
            <w:r>
              <w:rPr>
                <w:sz w:val="18"/>
                <w:szCs w:val="18"/>
              </w:rPr>
              <w:t>4.97</w:t>
            </w:r>
          </w:p>
        </w:tc>
        <w:tc>
          <w:tcPr>
            <w:tcW w:w="417" w:type="dxa"/>
            <w:tcBorders>
              <w:top w:val="single" w:color="auto" w:sz="4" w:space="0"/>
              <w:left w:val="single" w:color="auto" w:sz="4" w:space="0"/>
              <w:bottom w:val="single" w:color="auto" w:sz="4" w:space="0"/>
              <w:right w:val="single" w:color="auto" w:sz="4" w:space="0"/>
            </w:tcBorders>
            <w:noWrap/>
            <w:vAlign w:val="center"/>
          </w:tcPr>
          <w:p w14:paraId="65D95E87">
            <w:pPr>
              <w:pStyle w:val="133"/>
              <w:rPr>
                <w:sz w:val="18"/>
                <w:szCs w:val="18"/>
              </w:rPr>
            </w:pPr>
            <w:r>
              <w:rPr>
                <w:sz w:val="18"/>
                <w:szCs w:val="18"/>
              </w:rPr>
              <w:t>3.63</w:t>
            </w:r>
          </w:p>
        </w:tc>
        <w:tc>
          <w:tcPr>
            <w:tcW w:w="403" w:type="dxa"/>
            <w:tcBorders>
              <w:top w:val="single" w:color="auto" w:sz="4" w:space="0"/>
              <w:left w:val="single" w:color="auto" w:sz="4" w:space="0"/>
              <w:bottom w:val="single" w:color="auto" w:sz="4" w:space="0"/>
              <w:right w:val="single" w:color="auto" w:sz="4" w:space="0"/>
            </w:tcBorders>
            <w:noWrap/>
            <w:vAlign w:val="center"/>
          </w:tcPr>
          <w:p w14:paraId="5F0C58ED">
            <w:pPr>
              <w:pStyle w:val="133"/>
              <w:rPr>
                <w:sz w:val="18"/>
                <w:szCs w:val="18"/>
              </w:rPr>
            </w:pPr>
            <w:r>
              <w:rPr>
                <w:sz w:val="18"/>
                <w:szCs w:val="18"/>
              </w:rPr>
              <w:t>2.96</w:t>
            </w:r>
          </w:p>
        </w:tc>
        <w:tc>
          <w:tcPr>
            <w:tcW w:w="494" w:type="dxa"/>
            <w:tcBorders>
              <w:top w:val="single" w:color="auto" w:sz="4" w:space="0"/>
              <w:left w:val="single" w:color="auto" w:sz="4" w:space="0"/>
              <w:bottom w:val="single" w:color="auto" w:sz="4" w:space="0"/>
              <w:right w:val="single" w:color="auto" w:sz="4" w:space="0"/>
            </w:tcBorders>
            <w:noWrap/>
            <w:vAlign w:val="center"/>
          </w:tcPr>
          <w:p w14:paraId="77BC6DE9">
            <w:pPr>
              <w:pStyle w:val="133"/>
              <w:rPr>
                <w:sz w:val="18"/>
                <w:szCs w:val="18"/>
              </w:rPr>
            </w:pPr>
            <w:r>
              <w:rPr>
                <w:sz w:val="18"/>
                <w:szCs w:val="18"/>
              </w:rPr>
              <w:t>3.49</w:t>
            </w:r>
          </w:p>
        </w:tc>
        <w:tc>
          <w:tcPr>
            <w:tcW w:w="456" w:type="dxa"/>
            <w:tcBorders>
              <w:top w:val="single" w:color="auto" w:sz="4" w:space="0"/>
              <w:left w:val="single" w:color="auto" w:sz="4" w:space="0"/>
              <w:bottom w:val="single" w:color="auto" w:sz="4" w:space="0"/>
              <w:right w:val="single" w:color="auto" w:sz="4" w:space="0"/>
            </w:tcBorders>
            <w:noWrap/>
            <w:vAlign w:val="center"/>
          </w:tcPr>
          <w:p w14:paraId="12D1807A">
            <w:pPr>
              <w:pStyle w:val="133"/>
              <w:rPr>
                <w:sz w:val="18"/>
                <w:szCs w:val="18"/>
              </w:rPr>
            </w:pPr>
            <w:r>
              <w:rPr>
                <w:sz w:val="18"/>
                <w:szCs w:val="18"/>
              </w:rPr>
              <w:t>4.84</w:t>
            </w:r>
          </w:p>
        </w:tc>
        <w:tc>
          <w:tcPr>
            <w:tcW w:w="527" w:type="dxa"/>
            <w:tcBorders>
              <w:top w:val="single" w:color="auto" w:sz="4" w:space="0"/>
              <w:left w:val="single" w:color="auto" w:sz="4" w:space="0"/>
              <w:bottom w:val="single" w:color="auto" w:sz="4" w:space="0"/>
              <w:right w:val="single" w:color="auto" w:sz="4" w:space="0"/>
            </w:tcBorders>
            <w:noWrap/>
            <w:vAlign w:val="center"/>
          </w:tcPr>
          <w:p w14:paraId="0A3A937A">
            <w:pPr>
              <w:pStyle w:val="133"/>
              <w:rPr>
                <w:sz w:val="18"/>
                <w:szCs w:val="18"/>
              </w:rPr>
            </w:pPr>
            <w:r>
              <w:rPr>
                <w:sz w:val="18"/>
                <w:szCs w:val="18"/>
              </w:rPr>
              <w:t>1.34</w:t>
            </w:r>
          </w:p>
        </w:tc>
        <w:tc>
          <w:tcPr>
            <w:tcW w:w="456" w:type="dxa"/>
            <w:tcBorders>
              <w:top w:val="single" w:color="auto" w:sz="4" w:space="0"/>
              <w:left w:val="single" w:color="auto" w:sz="4" w:space="0"/>
              <w:bottom w:val="single" w:color="auto" w:sz="4" w:space="0"/>
              <w:right w:val="single" w:color="auto" w:sz="4" w:space="0"/>
            </w:tcBorders>
            <w:noWrap/>
            <w:vAlign w:val="center"/>
          </w:tcPr>
          <w:p w14:paraId="043869EB">
            <w:pPr>
              <w:pStyle w:val="133"/>
              <w:rPr>
                <w:sz w:val="18"/>
                <w:szCs w:val="18"/>
              </w:rPr>
            </w:pPr>
            <w:r>
              <w:rPr>
                <w:sz w:val="18"/>
                <w:szCs w:val="18"/>
              </w:rPr>
              <w:t>2.69</w:t>
            </w:r>
          </w:p>
        </w:tc>
        <w:tc>
          <w:tcPr>
            <w:tcW w:w="483" w:type="dxa"/>
            <w:tcBorders>
              <w:top w:val="single" w:color="auto" w:sz="4" w:space="0"/>
              <w:left w:val="single" w:color="auto" w:sz="4" w:space="0"/>
              <w:bottom w:val="single" w:color="auto" w:sz="4" w:space="0"/>
              <w:right w:val="single" w:color="auto" w:sz="4" w:space="0"/>
            </w:tcBorders>
            <w:noWrap/>
            <w:vAlign w:val="center"/>
          </w:tcPr>
          <w:p w14:paraId="03441180">
            <w:pPr>
              <w:pStyle w:val="133"/>
              <w:rPr>
                <w:sz w:val="18"/>
                <w:szCs w:val="18"/>
              </w:rPr>
            </w:pPr>
            <w:r>
              <w:rPr>
                <w:sz w:val="18"/>
                <w:szCs w:val="18"/>
              </w:rPr>
              <w:t>1.88</w:t>
            </w:r>
          </w:p>
        </w:tc>
        <w:tc>
          <w:tcPr>
            <w:tcW w:w="403" w:type="dxa"/>
            <w:tcBorders>
              <w:top w:val="single" w:color="auto" w:sz="4" w:space="0"/>
              <w:left w:val="single" w:color="auto" w:sz="4" w:space="0"/>
              <w:bottom w:val="single" w:color="auto" w:sz="4" w:space="0"/>
              <w:right w:val="single" w:color="auto" w:sz="12" w:space="0"/>
            </w:tcBorders>
            <w:noWrap/>
            <w:vAlign w:val="center"/>
          </w:tcPr>
          <w:p w14:paraId="656006A8">
            <w:pPr>
              <w:pStyle w:val="133"/>
              <w:rPr>
                <w:sz w:val="18"/>
                <w:szCs w:val="18"/>
              </w:rPr>
            </w:pPr>
            <w:r>
              <w:rPr>
                <w:sz w:val="18"/>
                <w:szCs w:val="18"/>
              </w:rPr>
              <w:t>0.81</w:t>
            </w:r>
          </w:p>
        </w:tc>
      </w:tr>
      <w:tr w14:paraId="5A8789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174D0E4E">
            <w:pPr>
              <w:pStyle w:val="133"/>
              <w:rPr>
                <w:sz w:val="18"/>
                <w:szCs w:val="18"/>
              </w:rPr>
            </w:pPr>
            <w:r>
              <w:rPr>
                <w:sz w:val="18"/>
                <w:szCs w:val="18"/>
              </w:rPr>
              <w:t>二月</w:t>
            </w:r>
          </w:p>
        </w:tc>
        <w:tc>
          <w:tcPr>
            <w:tcW w:w="508" w:type="dxa"/>
            <w:tcBorders>
              <w:top w:val="single" w:color="auto" w:sz="4" w:space="0"/>
              <w:left w:val="single" w:color="auto" w:sz="4" w:space="0"/>
              <w:bottom w:val="single" w:color="auto" w:sz="4" w:space="0"/>
              <w:right w:val="single" w:color="auto" w:sz="4" w:space="0"/>
            </w:tcBorders>
            <w:noWrap/>
            <w:vAlign w:val="center"/>
          </w:tcPr>
          <w:p w14:paraId="022A8847">
            <w:pPr>
              <w:pStyle w:val="133"/>
              <w:rPr>
                <w:sz w:val="18"/>
                <w:szCs w:val="18"/>
              </w:rPr>
            </w:pPr>
            <w:r>
              <w:rPr>
                <w:sz w:val="18"/>
                <w:szCs w:val="18"/>
              </w:rPr>
              <w:t>8.48</w:t>
            </w:r>
          </w:p>
        </w:tc>
        <w:tc>
          <w:tcPr>
            <w:tcW w:w="419" w:type="dxa"/>
            <w:tcBorders>
              <w:top w:val="single" w:color="auto" w:sz="4" w:space="0"/>
              <w:left w:val="single" w:color="auto" w:sz="4" w:space="0"/>
              <w:bottom w:val="single" w:color="auto" w:sz="4" w:space="0"/>
              <w:right w:val="single" w:color="auto" w:sz="4" w:space="0"/>
            </w:tcBorders>
            <w:noWrap/>
            <w:vAlign w:val="center"/>
          </w:tcPr>
          <w:p w14:paraId="34BAB947">
            <w:pPr>
              <w:pStyle w:val="133"/>
              <w:rPr>
                <w:sz w:val="18"/>
                <w:szCs w:val="18"/>
              </w:rPr>
            </w:pPr>
            <w:r>
              <w:rPr>
                <w:sz w:val="18"/>
                <w:szCs w:val="18"/>
              </w:rPr>
              <w:t>9.52</w:t>
            </w:r>
          </w:p>
        </w:tc>
        <w:tc>
          <w:tcPr>
            <w:tcW w:w="419" w:type="dxa"/>
            <w:tcBorders>
              <w:top w:val="single" w:color="auto" w:sz="4" w:space="0"/>
              <w:left w:val="single" w:color="auto" w:sz="4" w:space="0"/>
              <w:bottom w:val="single" w:color="auto" w:sz="4" w:space="0"/>
              <w:right w:val="single" w:color="auto" w:sz="4" w:space="0"/>
            </w:tcBorders>
            <w:noWrap/>
            <w:vAlign w:val="center"/>
          </w:tcPr>
          <w:p w14:paraId="7A629615">
            <w:pPr>
              <w:pStyle w:val="133"/>
              <w:rPr>
                <w:sz w:val="18"/>
                <w:szCs w:val="18"/>
              </w:rPr>
            </w:pPr>
            <w:r>
              <w:rPr>
                <w:sz w:val="18"/>
                <w:szCs w:val="18"/>
              </w:rPr>
              <w:t>8.33</w:t>
            </w:r>
          </w:p>
        </w:tc>
        <w:tc>
          <w:tcPr>
            <w:tcW w:w="420" w:type="dxa"/>
            <w:tcBorders>
              <w:top w:val="single" w:color="auto" w:sz="4" w:space="0"/>
              <w:left w:val="single" w:color="auto" w:sz="4" w:space="0"/>
              <w:bottom w:val="single" w:color="auto" w:sz="4" w:space="0"/>
              <w:right w:val="single" w:color="auto" w:sz="4" w:space="0"/>
            </w:tcBorders>
            <w:noWrap/>
            <w:vAlign w:val="center"/>
          </w:tcPr>
          <w:p w14:paraId="3324AACD">
            <w:pPr>
              <w:pStyle w:val="133"/>
              <w:rPr>
                <w:sz w:val="18"/>
                <w:szCs w:val="18"/>
              </w:rPr>
            </w:pPr>
            <w:r>
              <w:rPr>
                <w:sz w:val="18"/>
                <w:szCs w:val="18"/>
              </w:rPr>
              <w:t>11.90</w:t>
            </w:r>
          </w:p>
        </w:tc>
        <w:tc>
          <w:tcPr>
            <w:tcW w:w="456" w:type="dxa"/>
            <w:tcBorders>
              <w:top w:val="single" w:color="auto" w:sz="4" w:space="0"/>
              <w:left w:val="single" w:color="auto" w:sz="4" w:space="0"/>
              <w:bottom w:val="single" w:color="auto" w:sz="4" w:space="0"/>
              <w:right w:val="single" w:color="auto" w:sz="4" w:space="0"/>
            </w:tcBorders>
            <w:noWrap/>
            <w:vAlign w:val="center"/>
          </w:tcPr>
          <w:p w14:paraId="20B94807">
            <w:pPr>
              <w:pStyle w:val="133"/>
              <w:rPr>
                <w:sz w:val="18"/>
                <w:szCs w:val="18"/>
              </w:rPr>
            </w:pPr>
            <w:r>
              <w:rPr>
                <w:sz w:val="18"/>
                <w:szCs w:val="18"/>
              </w:rPr>
              <w:t>16.07</w:t>
            </w:r>
          </w:p>
        </w:tc>
        <w:tc>
          <w:tcPr>
            <w:tcW w:w="456" w:type="dxa"/>
            <w:tcBorders>
              <w:top w:val="single" w:color="auto" w:sz="4" w:space="0"/>
              <w:left w:val="single" w:color="auto" w:sz="4" w:space="0"/>
              <w:bottom w:val="single" w:color="auto" w:sz="4" w:space="0"/>
              <w:right w:val="single" w:color="auto" w:sz="4" w:space="0"/>
            </w:tcBorders>
            <w:noWrap/>
            <w:vAlign w:val="center"/>
          </w:tcPr>
          <w:p w14:paraId="7F0CE7F1">
            <w:pPr>
              <w:pStyle w:val="133"/>
              <w:rPr>
                <w:sz w:val="18"/>
                <w:szCs w:val="18"/>
              </w:rPr>
            </w:pPr>
            <w:r>
              <w:rPr>
                <w:sz w:val="18"/>
                <w:szCs w:val="18"/>
              </w:rPr>
              <w:t>6.10</w:t>
            </w:r>
          </w:p>
        </w:tc>
        <w:tc>
          <w:tcPr>
            <w:tcW w:w="403" w:type="dxa"/>
            <w:tcBorders>
              <w:top w:val="single" w:color="auto" w:sz="4" w:space="0"/>
              <w:left w:val="single" w:color="auto" w:sz="4" w:space="0"/>
              <w:bottom w:val="single" w:color="auto" w:sz="4" w:space="0"/>
              <w:right w:val="single" w:color="auto" w:sz="4" w:space="0"/>
            </w:tcBorders>
            <w:noWrap/>
            <w:vAlign w:val="center"/>
          </w:tcPr>
          <w:p w14:paraId="2D2AF99E">
            <w:pPr>
              <w:pStyle w:val="133"/>
              <w:rPr>
                <w:sz w:val="18"/>
                <w:szCs w:val="18"/>
              </w:rPr>
            </w:pPr>
            <w:r>
              <w:rPr>
                <w:sz w:val="18"/>
                <w:szCs w:val="18"/>
              </w:rPr>
              <w:t>5.06</w:t>
            </w:r>
          </w:p>
        </w:tc>
        <w:tc>
          <w:tcPr>
            <w:tcW w:w="403" w:type="dxa"/>
            <w:tcBorders>
              <w:top w:val="single" w:color="auto" w:sz="4" w:space="0"/>
              <w:left w:val="single" w:color="auto" w:sz="4" w:space="0"/>
              <w:bottom w:val="single" w:color="auto" w:sz="4" w:space="0"/>
              <w:right w:val="single" w:color="auto" w:sz="4" w:space="0"/>
            </w:tcBorders>
            <w:noWrap/>
            <w:vAlign w:val="center"/>
          </w:tcPr>
          <w:p w14:paraId="64B6FFFB">
            <w:pPr>
              <w:pStyle w:val="133"/>
              <w:rPr>
                <w:sz w:val="18"/>
                <w:szCs w:val="18"/>
              </w:rPr>
            </w:pPr>
            <w:r>
              <w:rPr>
                <w:sz w:val="18"/>
                <w:szCs w:val="18"/>
              </w:rPr>
              <w:t>3.13</w:t>
            </w:r>
          </w:p>
        </w:tc>
        <w:tc>
          <w:tcPr>
            <w:tcW w:w="403" w:type="dxa"/>
            <w:tcBorders>
              <w:top w:val="single" w:color="auto" w:sz="4" w:space="0"/>
              <w:left w:val="single" w:color="auto" w:sz="4" w:space="0"/>
              <w:bottom w:val="single" w:color="auto" w:sz="4" w:space="0"/>
              <w:right w:val="single" w:color="auto" w:sz="4" w:space="0"/>
            </w:tcBorders>
            <w:noWrap/>
            <w:vAlign w:val="center"/>
          </w:tcPr>
          <w:p w14:paraId="5B873B5D">
            <w:pPr>
              <w:pStyle w:val="133"/>
              <w:rPr>
                <w:sz w:val="18"/>
                <w:szCs w:val="18"/>
              </w:rPr>
            </w:pPr>
            <w:r>
              <w:rPr>
                <w:sz w:val="18"/>
                <w:szCs w:val="18"/>
              </w:rPr>
              <w:t>4.17</w:t>
            </w:r>
          </w:p>
        </w:tc>
        <w:tc>
          <w:tcPr>
            <w:tcW w:w="417" w:type="dxa"/>
            <w:tcBorders>
              <w:top w:val="single" w:color="auto" w:sz="4" w:space="0"/>
              <w:left w:val="single" w:color="auto" w:sz="4" w:space="0"/>
              <w:bottom w:val="single" w:color="auto" w:sz="4" w:space="0"/>
              <w:right w:val="single" w:color="auto" w:sz="4" w:space="0"/>
            </w:tcBorders>
            <w:noWrap/>
            <w:vAlign w:val="center"/>
          </w:tcPr>
          <w:p w14:paraId="6DFD504D">
            <w:pPr>
              <w:pStyle w:val="133"/>
              <w:rPr>
                <w:sz w:val="18"/>
                <w:szCs w:val="18"/>
              </w:rPr>
            </w:pPr>
            <w:r>
              <w:rPr>
                <w:sz w:val="18"/>
                <w:szCs w:val="18"/>
              </w:rPr>
              <w:t>2.53</w:t>
            </w:r>
          </w:p>
        </w:tc>
        <w:tc>
          <w:tcPr>
            <w:tcW w:w="403" w:type="dxa"/>
            <w:tcBorders>
              <w:top w:val="single" w:color="auto" w:sz="4" w:space="0"/>
              <w:left w:val="single" w:color="auto" w:sz="4" w:space="0"/>
              <w:bottom w:val="single" w:color="auto" w:sz="4" w:space="0"/>
              <w:right w:val="single" w:color="auto" w:sz="4" w:space="0"/>
            </w:tcBorders>
            <w:noWrap/>
            <w:vAlign w:val="center"/>
          </w:tcPr>
          <w:p w14:paraId="29FE7AEE">
            <w:pPr>
              <w:pStyle w:val="133"/>
              <w:rPr>
                <w:sz w:val="18"/>
                <w:szCs w:val="18"/>
              </w:rPr>
            </w:pPr>
            <w:r>
              <w:rPr>
                <w:sz w:val="18"/>
                <w:szCs w:val="18"/>
              </w:rPr>
              <w:t>4.61</w:t>
            </w:r>
          </w:p>
        </w:tc>
        <w:tc>
          <w:tcPr>
            <w:tcW w:w="494" w:type="dxa"/>
            <w:tcBorders>
              <w:top w:val="single" w:color="auto" w:sz="4" w:space="0"/>
              <w:left w:val="single" w:color="auto" w:sz="4" w:space="0"/>
              <w:bottom w:val="single" w:color="auto" w:sz="4" w:space="0"/>
              <w:right w:val="single" w:color="auto" w:sz="4" w:space="0"/>
            </w:tcBorders>
            <w:noWrap/>
            <w:vAlign w:val="center"/>
          </w:tcPr>
          <w:p w14:paraId="22BED81A">
            <w:pPr>
              <w:pStyle w:val="133"/>
              <w:rPr>
                <w:sz w:val="18"/>
                <w:szCs w:val="18"/>
              </w:rPr>
            </w:pPr>
            <w:r>
              <w:rPr>
                <w:sz w:val="18"/>
                <w:szCs w:val="18"/>
              </w:rPr>
              <w:t>4.02</w:t>
            </w:r>
          </w:p>
        </w:tc>
        <w:tc>
          <w:tcPr>
            <w:tcW w:w="456" w:type="dxa"/>
            <w:tcBorders>
              <w:top w:val="single" w:color="auto" w:sz="4" w:space="0"/>
              <w:left w:val="single" w:color="auto" w:sz="4" w:space="0"/>
              <w:bottom w:val="single" w:color="auto" w:sz="4" w:space="0"/>
              <w:right w:val="single" w:color="auto" w:sz="4" w:space="0"/>
            </w:tcBorders>
            <w:noWrap/>
            <w:vAlign w:val="center"/>
          </w:tcPr>
          <w:p w14:paraId="0E75168B">
            <w:pPr>
              <w:pStyle w:val="133"/>
              <w:rPr>
                <w:sz w:val="18"/>
                <w:szCs w:val="18"/>
              </w:rPr>
            </w:pPr>
            <w:r>
              <w:rPr>
                <w:sz w:val="18"/>
                <w:szCs w:val="18"/>
              </w:rPr>
              <w:t>6.70</w:t>
            </w:r>
          </w:p>
        </w:tc>
        <w:tc>
          <w:tcPr>
            <w:tcW w:w="527" w:type="dxa"/>
            <w:tcBorders>
              <w:top w:val="single" w:color="auto" w:sz="4" w:space="0"/>
              <w:left w:val="single" w:color="auto" w:sz="4" w:space="0"/>
              <w:bottom w:val="single" w:color="auto" w:sz="4" w:space="0"/>
              <w:right w:val="single" w:color="auto" w:sz="4" w:space="0"/>
            </w:tcBorders>
            <w:noWrap/>
            <w:vAlign w:val="center"/>
          </w:tcPr>
          <w:p w14:paraId="3CEE95B5">
            <w:pPr>
              <w:pStyle w:val="133"/>
              <w:rPr>
                <w:sz w:val="18"/>
                <w:szCs w:val="18"/>
              </w:rPr>
            </w:pPr>
            <w:r>
              <w:rPr>
                <w:sz w:val="18"/>
                <w:szCs w:val="18"/>
              </w:rPr>
              <w:t>3.27</w:t>
            </w:r>
          </w:p>
        </w:tc>
        <w:tc>
          <w:tcPr>
            <w:tcW w:w="456" w:type="dxa"/>
            <w:tcBorders>
              <w:top w:val="single" w:color="auto" w:sz="4" w:space="0"/>
              <w:left w:val="single" w:color="auto" w:sz="4" w:space="0"/>
              <w:bottom w:val="single" w:color="auto" w:sz="4" w:space="0"/>
              <w:right w:val="single" w:color="auto" w:sz="4" w:space="0"/>
            </w:tcBorders>
            <w:noWrap/>
            <w:vAlign w:val="center"/>
          </w:tcPr>
          <w:p w14:paraId="27F217F9">
            <w:pPr>
              <w:pStyle w:val="133"/>
              <w:rPr>
                <w:sz w:val="18"/>
                <w:szCs w:val="18"/>
              </w:rPr>
            </w:pPr>
            <w:r>
              <w:rPr>
                <w:sz w:val="18"/>
                <w:szCs w:val="18"/>
              </w:rPr>
              <w:t>3.42</w:t>
            </w:r>
          </w:p>
        </w:tc>
        <w:tc>
          <w:tcPr>
            <w:tcW w:w="483" w:type="dxa"/>
            <w:tcBorders>
              <w:top w:val="single" w:color="auto" w:sz="4" w:space="0"/>
              <w:left w:val="single" w:color="auto" w:sz="4" w:space="0"/>
              <w:bottom w:val="single" w:color="auto" w:sz="4" w:space="0"/>
              <w:right w:val="single" w:color="auto" w:sz="4" w:space="0"/>
            </w:tcBorders>
            <w:noWrap/>
            <w:vAlign w:val="center"/>
          </w:tcPr>
          <w:p w14:paraId="0D8E6F6C">
            <w:pPr>
              <w:pStyle w:val="133"/>
              <w:rPr>
                <w:sz w:val="18"/>
                <w:szCs w:val="18"/>
              </w:rPr>
            </w:pPr>
            <w:r>
              <w:rPr>
                <w:sz w:val="18"/>
                <w:szCs w:val="18"/>
              </w:rPr>
              <w:t>2.23</w:t>
            </w:r>
          </w:p>
        </w:tc>
        <w:tc>
          <w:tcPr>
            <w:tcW w:w="403" w:type="dxa"/>
            <w:tcBorders>
              <w:top w:val="single" w:color="auto" w:sz="4" w:space="0"/>
              <w:left w:val="single" w:color="auto" w:sz="4" w:space="0"/>
              <w:bottom w:val="single" w:color="auto" w:sz="4" w:space="0"/>
              <w:right w:val="single" w:color="auto" w:sz="12" w:space="0"/>
            </w:tcBorders>
            <w:noWrap/>
            <w:vAlign w:val="center"/>
          </w:tcPr>
          <w:p w14:paraId="2C552C0C">
            <w:pPr>
              <w:pStyle w:val="133"/>
              <w:rPr>
                <w:sz w:val="18"/>
                <w:szCs w:val="18"/>
              </w:rPr>
            </w:pPr>
            <w:r>
              <w:rPr>
                <w:sz w:val="18"/>
                <w:szCs w:val="18"/>
              </w:rPr>
              <w:t>0.45</w:t>
            </w:r>
          </w:p>
        </w:tc>
      </w:tr>
      <w:tr w14:paraId="72625BB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1CB1BAE1">
            <w:pPr>
              <w:pStyle w:val="133"/>
              <w:rPr>
                <w:sz w:val="18"/>
                <w:szCs w:val="18"/>
              </w:rPr>
            </w:pPr>
            <w:r>
              <w:rPr>
                <w:sz w:val="18"/>
                <w:szCs w:val="18"/>
              </w:rPr>
              <w:t>三月</w:t>
            </w:r>
          </w:p>
        </w:tc>
        <w:tc>
          <w:tcPr>
            <w:tcW w:w="508" w:type="dxa"/>
            <w:tcBorders>
              <w:top w:val="single" w:color="auto" w:sz="4" w:space="0"/>
              <w:left w:val="single" w:color="auto" w:sz="4" w:space="0"/>
              <w:bottom w:val="single" w:color="auto" w:sz="4" w:space="0"/>
              <w:right w:val="single" w:color="auto" w:sz="4" w:space="0"/>
            </w:tcBorders>
            <w:noWrap/>
            <w:vAlign w:val="center"/>
          </w:tcPr>
          <w:p w14:paraId="695B0DFF">
            <w:pPr>
              <w:pStyle w:val="133"/>
              <w:rPr>
                <w:sz w:val="18"/>
                <w:szCs w:val="18"/>
              </w:rPr>
            </w:pPr>
            <w:r>
              <w:rPr>
                <w:sz w:val="18"/>
                <w:szCs w:val="18"/>
              </w:rPr>
              <w:t>7.12</w:t>
            </w:r>
          </w:p>
        </w:tc>
        <w:tc>
          <w:tcPr>
            <w:tcW w:w="419" w:type="dxa"/>
            <w:tcBorders>
              <w:top w:val="single" w:color="auto" w:sz="4" w:space="0"/>
              <w:left w:val="single" w:color="auto" w:sz="4" w:space="0"/>
              <w:bottom w:val="single" w:color="auto" w:sz="4" w:space="0"/>
              <w:right w:val="single" w:color="auto" w:sz="4" w:space="0"/>
            </w:tcBorders>
            <w:noWrap/>
            <w:vAlign w:val="center"/>
          </w:tcPr>
          <w:p w14:paraId="6534DBAE">
            <w:pPr>
              <w:pStyle w:val="133"/>
              <w:rPr>
                <w:sz w:val="18"/>
                <w:szCs w:val="18"/>
              </w:rPr>
            </w:pPr>
            <w:r>
              <w:rPr>
                <w:sz w:val="18"/>
                <w:szCs w:val="18"/>
              </w:rPr>
              <w:t>9.01</w:t>
            </w:r>
          </w:p>
        </w:tc>
        <w:tc>
          <w:tcPr>
            <w:tcW w:w="419" w:type="dxa"/>
            <w:tcBorders>
              <w:top w:val="single" w:color="auto" w:sz="4" w:space="0"/>
              <w:left w:val="single" w:color="auto" w:sz="4" w:space="0"/>
              <w:bottom w:val="single" w:color="auto" w:sz="4" w:space="0"/>
              <w:right w:val="single" w:color="auto" w:sz="4" w:space="0"/>
            </w:tcBorders>
            <w:noWrap/>
            <w:vAlign w:val="center"/>
          </w:tcPr>
          <w:p w14:paraId="37DC9F91">
            <w:pPr>
              <w:pStyle w:val="133"/>
              <w:rPr>
                <w:sz w:val="18"/>
                <w:szCs w:val="18"/>
              </w:rPr>
            </w:pPr>
            <w:r>
              <w:rPr>
                <w:sz w:val="18"/>
                <w:szCs w:val="18"/>
              </w:rPr>
              <w:t>9.27</w:t>
            </w:r>
          </w:p>
        </w:tc>
        <w:tc>
          <w:tcPr>
            <w:tcW w:w="420" w:type="dxa"/>
            <w:tcBorders>
              <w:top w:val="single" w:color="auto" w:sz="4" w:space="0"/>
              <w:left w:val="single" w:color="auto" w:sz="4" w:space="0"/>
              <w:bottom w:val="single" w:color="auto" w:sz="4" w:space="0"/>
              <w:right w:val="single" w:color="auto" w:sz="4" w:space="0"/>
            </w:tcBorders>
            <w:noWrap/>
            <w:vAlign w:val="center"/>
          </w:tcPr>
          <w:p w14:paraId="25E25319">
            <w:pPr>
              <w:pStyle w:val="133"/>
              <w:rPr>
                <w:sz w:val="18"/>
                <w:szCs w:val="18"/>
              </w:rPr>
            </w:pPr>
            <w:r>
              <w:rPr>
                <w:sz w:val="18"/>
                <w:szCs w:val="18"/>
              </w:rPr>
              <w:t>13.44</w:t>
            </w:r>
          </w:p>
        </w:tc>
        <w:tc>
          <w:tcPr>
            <w:tcW w:w="456" w:type="dxa"/>
            <w:tcBorders>
              <w:top w:val="single" w:color="auto" w:sz="4" w:space="0"/>
              <w:left w:val="single" w:color="auto" w:sz="4" w:space="0"/>
              <w:bottom w:val="single" w:color="auto" w:sz="4" w:space="0"/>
              <w:right w:val="single" w:color="auto" w:sz="4" w:space="0"/>
            </w:tcBorders>
            <w:noWrap/>
            <w:vAlign w:val="center"/>
          </w:tcPr>
          <w:p w14:paraId="769A9C41">
            <w:pPr>
              <w:pStyle w:val="133"/>
              <w:rPr>
                <w:sz w:val="18"/>
                <w:szCs w:val="18"/>
              </w:rPr>
            </w:pPr>
            <w:r>
              <w:rPr>
                <w:sz w:val="18"/>
                <w:szCs w:val="18"/>
              </w:rPr>
              <w:t>14.25</w:t>
            </w:r>
          </w:p>
        </w:tc>
        <w:tc>
          <w:tcPr>
            <w:tcW w:w="456" w:type="dxa"/>
            <w:tcBorders>
              <w:top w:val="single" w:color="auto" w:sz="4" w:space="0"/>
              <w:left w:val="single" w:color="auto" w:sz="4" w:space="0"/>
              <w:bottom w:val="single" w:color="auto" w:sz="4" w:space="0"/>
              <w:right w:val="single" w:color="auto" w:sz="4" w:space="0"/>
            </w:tcBorders>
            <w:noWrap/>
            <w:vAlign w:val="center"/>
          </w:tcPr>
          <w:p w14:paraId="24694FF8">
            <w:pPr>
              <w:pStyle w:val="133"/>
              <w:rPr>
                <w:sz w:val="18"/>
                <w:szCs w:val="18"/>
              </w:rPr>
            </w:pPr>
            <w:r>
              <w:rPr>
                <w:sz w:val="18"/>
                <w:szCs w:val="18"/>
              </w:rPr>
              <w:t>6.59</w:t>
            </w:r>
          </w:p>
        </w:tc>
        <w:tc>
          <w:tcPr>
            <w:tcW w:w="403" w:type="dxa"/>
            <w:tcBorders>
              <w:top w:val="single" w:color="auto" w:sz="4" w:space="0"/>
              <w:left w:val="single" w:color="auto" w:sz="4" w:space="0"/>
              <w:bottom w:val="single" w:color="auto" w:sz="4" w:space="0"/>
              <w:right w:val="single" w:color="auto" w:sz="4" w:space="0"/>
            </w:tcBorders>
            <w:noWrap/>
            <w:vAlign w:val="center"/>
          </w:tcPr>
          <w:p w14:paraId="772D955D">
            <w:pPr>
              <w:pStyle w:val="133"/>
              <w:rPr>
                <w:sz w:val="18"/>
                <w:szCs w:val="18"/>
              </w:rPr>
            </w:pPr>
            <w:r>
              <w:rPr>
                <w:sz w:val="18"/>
                <w:szCs w:val="18"/>
              </w:rPr>
              <w:t>6.32</w:t>
            </w:r>
          </w:p>
        </w:tc>
        <w:tc>
          <w:tcPr>
            <w:tcW w:w="403" w:type="dxa"/>
            <w:tcBorders>
              <w:top w:val="single" w:color="auto" w:sz="4" w:space="0"/>
              <w:left w:val="single" w:color="auto" w:sz="4" w:space="0"/>
              <w:bottom w:val="single" w:color="auto" w:sz="4" w:space="0"/>
              <w:right w:val="single" w:color="auto" w:sz="4" w:space="0"/>
            </w:tcBorders>
            <w:noWrap/>
            <w:vAlign w:val="center"/>
          </w:tcPr>
          <w:p w14:paraId="2AC7FA70">
            <w:pPr>
              <w:pStyle w:val="133"/>
              <w:rPr>
                <w:sz w:val="18"/>
                <w:szCs w:val="18"/>
              </w:rPr>
            </w:pPr>
            <w:r>
              <w:rPr>
                <w:sz w:val="18"/>
                <w:szCs w:val="18"/>
              </w:rPr>
              <w:t>2.96</w:t>
            </w:r>
          </w:p>
        </w:tc>
        <w:tc>
          <w:tcPr>
            <w:tcW w:w="403" w:type="dxa"/>
            <w:tcBorders>
              <w:top w:val="single" w:color="auto" w:sz="4" w:space="0"/>
              <w:left w:val="single" w:color="auto" w:sz="4" w:space="0"/>
              <w:bottom w:val="single" w:color="auto" w:sz="4" w:space="0"/>
              <w:right w:val="single" w:color="auto" w:sz="4" w:space="0"/>
            </w:tcBorders>
            <w:noWrap/>
            <w:vAlign w:val="center"/>
          </w:tcPr>
          <w:p w14:paraId="54DF52A8">
            <w:pPr>
              <w:pStyle w:val="133"/>
              <w:rPr>
                <w:sz w:val="18"/>
                <w:szCs w:val="18"/>
              </w:rPr>
            </w:pPr>
            <w:r>
              <w:rPr>
                <w:sz w:val="18"/>
                <w:szCs w:val="18"/>
              </w:rPr>
              <w:t>4.17</w:t>
            </w:r>
          </w:p>
        </w:tc>
        <w:tc>
          <w:tcPr>
            <w:tcW w:w="417" w:type="dxa"/>
            <w:tcBorders>
              <w:top w:val="single" w:color="auto" w:sz="4" w:space="0"/>
              <w:left w:val="single" w:color="auto" w:sz="4" w:space="0"/>
              <w:bottom w:val="single" w:color="auto" w:sz="4" w:space="0"/>
              <w:right w:val="single" w:color="auto" w:sz="4" w:space="0"/>
            </w:tcBorders>
            <w:noWrap/>
            <w:vAlign w:val="center"/>
          </w:tcPr>
          <w:p w14:paraId="1672EB2C">
            <w:pPr>
              <w:pStyle w:val="133"/>
              <w:rPr>
                <w:sz w:val="18"/>
                <w:szCs w:val="18"/>
              </w:rPr>
            </w:pPr>
            <w:r>
              <w:rPr>
                <w:sz w:val="18"/>
                <w:szCs w:val="18"/>
              </w:rPr>
              <w:t>2.69</w:t>
            </w:r>
          </w:p>
        </w:tc>
        <w:tc>
          <w:tcPr>
            <w:tcW w:w="403" w:type="dxa"/>
            <w:tcBorders>
              <w:top w:val="single" w:color="auto" w:sz="4" w:space="0"/>
              <w:left w:val="single" w:color="auto" w:sz="4" w:space="0"/>
              <w:bottom w:val="single" w:color="auto" w:sz="4" w:space="0"/>
              <w:right w:val="single" w:color="auto" w:sz="4" w:space="0"/>
            </w:tcBorders>
            <w:noWrap/>
            <w:vAlign w:val="center"/>
          </w:tcPr>
          <w:p w14:paraId="51B4BF4A">
            <w:pPr>
              <w:pStyle w:val="133"/>
              <w:rPr>
                <w:sz w:val="18"/>
                <w:szCs w:val="18"/>
              </w:rPr>
            </w:pPr>
            <w:r>
              <w:rPr>
                <w:sz w:val="18"/>
                <w:szCs w:val="18"/>
              </w:rPr>
              <w:t>2.15</w:t>
            </w:r>
          </w:p>
        </w:tc>
        <w:tc>
          <w:tcPr>
            <w:tcW w:w="494" w:type="dxa"/>
            <w:tcBorders>
              <w:top w:val="single" w:color="auto" w:sz="4" w:space="0"/>
              <w:left w:val="single" w:color="auto" w:sz="4" w:space="0"/>
              <w:bottom w:val="single" w:color="auto" w:sz="4" w:space="0"/>
              <w:right w:val="single" w:color="auto" w:sz="4" w:space="0"/>
            </w:tcBorders>
            <w:noWrap/>
            <w:vAlign w:val="center"/>
          </w:tcPr>
          <w:p w14:paraId="1E1B5E97">
            <w:pPr>
              <w:pStyle w:val="133"/>
              <w:rPr>
                <w:sz w:val="18"/>
                <w:szCs w:val="18"/>
              </w:rPr>
            </w:pPr>
            <w:r>
              <w:rPr>
                <w:sz w:val="18"/>
                <w:szCs w:val="18"/>
              </w:rPr>
              <w:t>3.09</w:t>
            </w:r>
          </w:p>
        </w:tc>
        <w:tc>
          <w:tcPr>
            <w:tcW w:w="456" w:type="dxa"/>
            <w:tcBorders>
              <w:top w:val="single" w:color="auto" w:sz="4" w:space="0"/>
              <w:left w:val="single" w:color="auto" w:sz="4" w:space="0"/>
              <w:bottom w:val="single" w:color="auto" w:sz="4" w:space="0"/>
              <w:right w:val="single" w:color="auto" w:sz="4" w:space="0"/>
            </w:tcBorders>
            <w:noWrap/>
            <w:vAlign w:val="center"/>
          </w:tcPr>
          <w:p w14:paraId="1B087F21">
            <w:pPr>
              <w:pStyle w:val="133"/>
              <w:rPr>
                <w:sz w:val="18"/>
                <w:szCs w:val="18"/>
              </w:rPr>
            </w:pPr>
            <w:r>
              <w:rPr>
                <w:sz w:val="18"/>
                <w:szCs w:val="18"/>
              </w:rPr>
              <w:t>9.81</w:t>
            </w:r>
          </w:p>
        </w:tc>
        <w:tc>
          <w:tcPr>
            <w:tcW w:w="527" w:type="dxa"/>
            <w:tcBorders>
              <w:top w:val="single" w:color="auto" w:sz="4" w:space="0"/>
              <w:left w:val="single" w:color="auto" w:sz="4" w:space="0"/>
              <w:bottom w:val="single" w:color="auto" w:sz="4" w:space="0"/>
              <w:right w:val="single" w:color="auto" w:sz="4" w:space="0"/>
            </w:tcBorders>
            <w:noWrap/>
            <w:vAlign w:val="center"/>
          </w:tcPr>
          <w:p w14:paraId="3001D846">
            <w:pPr>
              <w:pStyle w:val="133"/>
              <w:rPr>
                <w:sz w:val="18"/>
                <w:szCs w:val="18"/>
              </w:rPr>
            </w:pPr>
            <w:r>
              <w:rPr>
                <w:sz w:val="18"/>
                <w:szCs w:val="18"/>
              </w:rPr>
              <w:t>3.76</w:t>
            </w:r>
          </w:p>
        </w:tc>
        <w:tc>
          <w:tcPr>
            <w:tcW w:w="456" w:type="dxa"/>
            <w:tcBorders>
              <w:top w:val="single" w:color="auto" w:sz="4" w:space="0"/>
              <w:left w:val="single" w:color="auto" w:sz="4" w:space="0"/>
              <w:bottom w:val="single" w:color="auto" w:sz="4" w:space="0"/>
              <w:right w:val="single" w:color="auto" w:sz="4" w:space="0"/>
            </w:tcBorders>
            <w:noWrap/>
            <w:vAlign w:val="center"/>
          </w:tcPr>
          <w:p w14:paraId="51D2D39D">
            <w:pPr>
              <w:pStyle w:val="133"/>
              <w:rPr>
                <w:sz w:val="18"/>
                <w:szCs w:val="18"/>
              </w:rPr>
            </w:pPr>
            <w:r>
              <w:rPr>
                <w:sz w:val="18"/>
                <w:szCs w:val="18"/>
              </w:rPr>
              <w:t>3.36</w:t>
            </w:r>
          </w:p>
        </w:tc>
        <w:tc>
          <w:tcPr>
            <w:tcW w:w="483" w:type="dxa"/>
            <w:tcBorders>
              <w:top w:val="single" w:color="auto" w:sz="4" w:space="0"/>
              <w:left w:val="single" w:color="auto" w:sz="4" w:space="0"/>
              <w:bottom w:val="single" w:color="auto" w:sz="4" w:space="0"/>
              <w:right w:val="single" w:color="auto" w:sz="4" w:space="0"/>
            </w:tcBorders>
            <w:noWrap/>
            <w:vAlign w:val="center"/>
          </w:tcPr>
          <w:p w14:paraId="200D143D">
            <w:pPr>
              <w:pStyle w:val="133"/>
              <w:rPr>
                <w:sz w:val="18"/>
                <w:szCs w:val="18"/>
              </w:rPr>
            </w:pPr>
            <w:r>
              <w:rPr>
                <w:sz w:val="18"/>
                <w:szCs w:val="18"/>
              </w:rPr>
              <w:t>1.88</w:t>
            </w:r>
          </w:p>
        </w:tc>
        <w:tc>
          <w:tcPr>
            <w:tcW w:w="403" w:type="dxa"/>
            <w:tcBorders>
              <w:top w:val="single" w:color="auto" w:sz="4" w:space="0"/>
              <w:left w:val="single" w:color="auto" w:sz="4" w:space="0"/>
              <w:bottom w:val="single" w:color="auto" w:sz="4" w:space="0"/>
              <w:right w:val="single" w:color="auto" w:sz="12" w:space="0"/>
            </w:tcBorders>
            <w:noWrap/>
            <w:vAlign w:val="center"/>
          </w:tcPr>
          <w:p w14:paraId="30CE38B6">
            <w:pPr>
              <w:pStyle w:val="133"/>
              <w:rPr>
                <w:sz w:val="18"/>
                <w:szCs w:val="18"/>
              </w:rPr>
            </w:pPr>
            <w:r>
              <w:rPr>
                <w:sz w:val="18"/>
                <w:szCs w:val="18"/>
              </w:rPr>
              <w:t>0.13</w:t>
            </w:r>
          </w:p>
        </w:tc>
      </w:tr>
      <w:tr w14:paraId="5527C1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4265146F">
            <w:pPr>
              <w:pStyle w:val="133"/>
              <w:rPr>
                <w:sz w:val="18"/>
                <w:szCs w:val="18"/>
              </w:rPr>
            </w:pPr>
            <w:r>
              <w:rPr>
                <w:sz w:val="18"/>
                <w:szCs w:val="18"/>
              </w:rPr>
              <w:t>四月</w:t>
            </w:r>
          </w:p>
        </w:tc>
        <w:tc>
          <w:tcPr>
            <w:tcW w:w="508" w:type="dxa"/>
            <w:tcBorders>
              <w:top w:val="single" w:color="auto" w:sz="4" w:space="0"/>
              <w:left w:val="single" w:color="auto" w:sz="4" w:space="0"/>
              <w:bottom w:val="single" w:color="auto" w:sz="4" w:space="0"/>
              <w:right w:val="single" w:color="auto" w:sz="4" w:space="0"/>
            </w:tcBorders>
            <w:noWrap/>
            <w:vAlign w:val="center"/>
          </w:tcPr>
          <w:p w14:paraId="3ACDAC88">
            <w:pPr>
              <w:pStyle w:val="133"/>
              <w:rPr>
                <w:sz w:val="18"/>
                <w:szCs w:val="18"/>
              </w:rPr>
            </w:pPr>
            <w:r>
              <w:rPr>
                <w:sz w:val="18"/>
                <w:szCs w:val="18"/>
              </w:rPr>
              <w:t>8.33</w:t>
            </w:r>
          </w:p>
        </w:tc>
        <w:tc>
          <w:tcPr>
            <w:tcW w:w="419" w:type="dxa"/>
            <w:tcBorders>
              <w:top w:val="single" w:color="auto" w:sz="4" w:space="0"/>
              <w:left w:val="single" w:color="auto" w:sz="4" w:space="0"/>
              <w:bottom w:val="single" w:color="auto" w:sz="4" w:space="0"/>
              <w:right w:val="single" w:color="auto" w:sz="4" w:space="0"/>
            </w:tcBorders>
            <w:noWrap/>
            <w:vAlign w:val="center"/>
          </w:tcPr>
          <w:p w14:paraId="7F60BECF">
            <w:pPr>
              <w:pStyle w:val="133"/>
              <w:rPr>
                <w:sz w:val="18"/>
                <w:szCs w:val="18"/>
              </w:rPr>
            </w:pPr>
            <w:r>
              <w:rPr>
                <w:sz w:val="18"/>
                <w:szCs w:val="18"/>
              </w:rPr>
              <w:t>6.94</w:t>
            </w:r>
          </w:p>
        </w:tc>
        <w:tc>
          <w:tcPr>
            <w:tcW w:w="419" w:type="dxa"/>
            <w:tcBorders>
              <w:top w:val="single" w:color="auto" w:sz="4" w:space="0"/>
              <w:left w:val="single" w:color="auto" w:sz="4" w:space="0"/>
              <w:bottom w:val="single" w:color="auto" w:sz="4" w:space="0"/>
              <w:right w:val="single" w:color="auto" w:sz="4" w:space="0"/>
            </w:tcBorders>
            <w:noWrap/>
            <w:vAlign w:val="center"/>
          </w:tcPr>
          <w:p w14:paraId="3D85107F">
            <w:pPr>
              <w:pStyle w:val="133"/>
              <w:rPr>
                <w:sz w:val="18"/>
                <w:szCs w:val="18"/>
              </w:rPr>
            </w:pPr>
            <w:r>
              <w:rPr>
                <w:sz w:val="18"/>
                <w:szCs w:val="18"/>
              </w:rPr>
              <w:t>12.22</w:t>
            </w:r>
          </w:p>
        </w:tc>
        <w:tc>
          <w:tcPr>
            <w:tcW w:w="420" w:type="dxa"/>
            <w:tcBorders>
              <w:top w:val="single" w:color="auto" w:sz="4" w:space="0"/>
              <w:left w:val="single" w:color="auto" w:sz="4" w:space="0"/>
              <w:bottom w:val="single" w:color="auto" w:sz="4" w:space="0"/>
              <w:right w:val="single" w:color="auto" w:sz="4" w:space="0"/>
            </w:tcBorders>
            <w:noWrap/>
            <w:vAlign w:val="center"/>
          </w:tcPr>
          <w:p w14:paraId="34D6B75F">
            <w:pPr>
              <w:pStyle w:val="133"/>
              <w:rPr>
                <w:sz w:val="18"/>
                <w:szCs w:val="18"/>
              </w:rPr>
            </w:pPr>
            <w:r>
              <w:rPr>
                <w:sz w:val="18"/>
                <w:szCs w:val="18"/>
              </w:rPr>
              <w:t>9.86</w:t>
            </w:r>
          </w:p>
        </w:tc>
        <w:tc>
          <w:tcPr>
            <w:tcW w:w="456" w:type="dxa"/>
            <w:tcBorders>
              <w:top w:val="single" w:color="auto" w:sz="4" w:space="0"/>
              <w:left w:val="single" w:color="auto" w:sz="4" w:space="0"/>
              <w:bottom w:val="single" w:color="auto" w:sz="4" w:space="0"/>
              <w:right w:val="single" w:color="auto" w:sz="4" w:space="0"/>
            </w:tcBorders>
            <w:noWrap/>
            <w:vAlign w:val="center"/>
          </w:tcPr>
          <w:p w14:paraId="2C458C2F">
            <w:pPr>
              <w:pStyle w:val="133"/>
              <w:rPr>
                <w:sz w:val="18"/>
                <w:szCs w:val="18"/>
              </w:rPr>
            </w:pPr>
            <w:r>
              <w:rPr>
                <w:sz w:val="18"/>
                <w:szCs w:val="18"/>
              </w:rPr>
              <w:t>13.47</w:t>
            </w:r>
          </w:p>
        </w:tc>
        <w:tc>
          <w:tcPr>
            <w:tcW w:w="456" w:type="dxa"/>
            <w:tcBorders>
              <w:top w:val="single" w:color="auto" w:sz="4" w:space="0"/>
              <w:left w:val="single" w:color="auto" w:sz="4" w:space="0"/>
              <w:bottom w:val="single" w:color="auto" w:sz="4" w:space="0"/>
              <w:right w:val="single" w:color="auto" w:sz="4" w:space="0"/>
            </w:tcBorders>
            <w:noWrap/>
            <w:vAlign w:val="center"/>
          </w:tcPr>
          <w:p w14:paraId="031FA44B">
            <w:pPr>
              <w:pStyle w:val="133"/>
              <w:rPr>
                <w:sz w:val="18"/>
                <w:szCs w:val="18"/>
              </w:rPr>
            </w:pPr>
            <w:r>
              <w:rPr>
                <w:sz w:val="18"/>
                <w:szCs w:val="18"/>
              </w:rPr>
              <w:t>6.67</w:t>
            </w:r>
          </w:p>
        </w:tc>
        <w:tc>
          <w:tcPr>
            <w:tcW w:w="403" w:type="dxa"/>
            <w:tcBorders>
              <w:top w:val="single" w:color="auto" w:sz="4" w:space="0"/>
              <w:left w:val="single" w:color="auto" w:sz="4" w:space="0"/>
              <w:bottom w:val="single" w:color="auto" w:sz="4" w:space="0"/>
              <w:right w:val="single" w:color="auto" w:sz="4" w:space="0"/>
            </w:tcBorders>
            <w:noWrap/>
            <w:vAlign w:val="center"/>
          </w:tcPr>
          <w:p w14:paraId="6FEE9414">
            <w:pPr>
              <w:pStyle w:val="133"/>
              <w:rPr>
                <w:sz w:val="18"/>
                <w:szCs w:val="18"/>
              </w:rPr>
            </w:pPr>
            <w:r>
              <w:rPr>
                <w:sz w:val="18"/>
                <w:szCs w:val="18"/>
              </w:rPr>
              <w:t>6.67</w:t>
            </w:r>
          </w:p>
        </w:tc>
        <w:tc>
          <w:tcPr>
            <w:tcW w:w="403" w:type="dxa"/>
            <w:tcBorders>
              <w:top w:val="single" w:color="auto" w:sz="4" w:space="0"/>
              <w:left w:val="single" w:color="auto" w:sz="4" w:space="0"/>
              <w:bottom w:val="single" w:color="auto" w:sz="4" w:space="0"/>
              <w:right w:val="single" w:color="auto" w:sz="4" w:space="0"/>
            </w:tcBorders>
            <w:noWrap/>
            <w:vAlign w:val="center"/>
          </w:tcPr>
          <w:p w14:paraId="2EB3C45F">
            <w:pPr>
              <w:pStyle w:val="133"/>
              <w:rPr>
                <w:sz w:val="18"/>
                <w:szCs w:val="18"/>
              </w:rPr>
            </w:pPr>
            <w:r>
              <w:rPr>
                <w:sz w:val="18"/>
                <w:szCs w:val="18"/>
              </w:rPr>
              <w:t>2.36</w:t>
            </w:r>
          </w:p>
        </w:tc>
        <w:tc>
          <w:tcPr>
            <w:tcW w:w="403" w:type="dxa"/>
            <w:tcBorders>
              <w:top w:val="single" w:color="auto" w:sz="4" w:space="0"/>
              <w:left w:val="single" w:color="auto" w:sz="4" w:space="0"/>
              <w:bottom w:val="single" w:color="auto" w:sz="4" w:space="0"/>
              <w:right w:val="single" w:color="auto" w:sz="4" w:space="0"/>
            </w:tcBorders>
            <w:noWrap/>
            <w:vAlign w:val="center"/>
          </w:tcPr>
          <w:p w14:paraId="418139B8">
            <w:pPr>
              <w:pStyle w:val="133"/>
              <w:rPr>
                <w:sz w:val="18"/>
                <w:szCs w:val="18"/>
              </w:rPr>
            </w:pPr>
            <w:r>
              <w:rPr>
                <w:sz w:val="18"/>
                <w:szCs w:val="18"/>
              </w:rPr>
              <w:t>4.58</w:t>
            </w:r>
          </w:p>
        </w:tc>
        <w:tc>
          <w:tcPr>
            <w:tcW w:w="417" w:type="dxa"/>
            <w:tcBorders>
              <w:top w:val="single" w:color="auto" w:sz="4" w:space="0"/>
              <w:left w:val="single" w:color="auto" w:sz="4" w:space="0"/>
              <w:bottom w:val="single" w:color="auto" w:sz="4" w:space="0"/>
              <w:right w:val="single" w:color="auto" w:sz="4" w:space="0"/>
            </w:tcBorders>
            <w:noWrap/>
            <w:vAlign w:val="center"/>
          </w:tcPr>
          <w:p w14:paraId="15900D15">
            <w:pPr>
              <w:pStyle w:val="133"/>
              <w:rPr>
                <w:sz w:val="18"/>
                <w:szCs w:val="18"/>
              </w:rPr>
            </w:pPr>
            <w:r>
              <w:rPr>
                <w:sz w:val="18"/>
                <w:szCs w:val="18"/>
              </w:rPr>
              <w:t>2.08</w:t>
            </w:r>
          </w:p>
        </w:tc>
        <w:tc>
          <w:tcPr>
            <w:tcW w:w="403" w:type="dxa"/>
            <w:tcBorders>
              <w:top w:val="single" w:color="auto" w:sz="4" w:space="0"/>
              <w:left w:val="single" w:color="auto" w:sz="4" w:space="0"/>
              <w:bottom w:val="single" w:color="auto" w:sz="4" w:space="0"/>
              <w:right w:val="single" w:color="auto" w:sz="4" w:space="0"/>
            </w:tcBorders>
            <w:noWrap/>
            <w:vAlign w:val="center"/>
          </w:tcPr>
          <w:p w14:paraId="52528BCF">
            <w:pPr>
              <w:pStyle w:val="133"/>
              <w:rPr>
                <w:sz w:val="18"/>
                <w:szCs w:val="18"/>
              </w:rPr>
            </w:pPr>
            <w:r>
              <w:rPr>
                <w:sz w:val="18"/>
                <w:szCs w:val="18"/>
              </w:rPr>
              <w:t>3.19</w:t>
            </w:r>
          </w:p>
        </w:tc>
        <w:tc>
          <w:tcPr>
            <w:tcW w:w="494" w:type="dxa"/>
            <w:tcBorders>
              <w:top w:val="single" w:color="auto" w:sz="4" w:space="0"/>
              <w:left w:val="single" w:color="auto" w:sz="4" w:space="0"/>
              <w:bottom w:val="single" w:color="auto" w:sz="4" w:space="0"/>
              <w:right w:val="single" w:color="auto" w:sz="4" w:space="0"/>
            </w:tcBorders>
            <w:noWrap/>
            <w:vAlign w:val="center"/>
          </w:tcPr>
          <w:p w14:paraId="43CA7258">
            <w:pPr>
              <w:pStyle w:val="133"/>
              <w:rPr>
                <w:sz w:val="18"/>
                <w:szCs w:val="18"/>
              </w:rPr>
            </w:pPr>
            <w:r>
              <w:rPr>
                <w:sz w:val="18"/>
                <w:szCs w:val="18"/>
              </w:rPr>
              <w:t>4.17</w:t>
            </w:r>
          </w:p>
        </w:tc>
        <w:tc>
          <w:tcPr>
            <w:tcW w:w="456" w:type="dxa"/>
            <w:tcBorders>
              <w:top w:val="single" w:color="auto" w:sz="4" w:space="0"/>
              <w:left w:val="single" w:color="auto" w:sz="4" w:space="0"/>
              <w:bottom w:val="single" w:color="auto" w:sz="4" w:space="0"/>
              <w:right w:val="single" w:color="auto" w:sz="4" w:space="0"/>
            </w:tcBorders>
            <w:noWrap/>
            <w:vAlign w:val="center"/>
          </w:tcPr>
          <w:p w14:paraId="48917442">
            <w:pPr>
              <w:pStyle w:val="133"/>
              <w:rPr>
                <w:sz w:val="18"/>
                <w:szCs w:val="18"/>
              </w:rPr>
            </w:pPr>
            <w:r>
              <w:rPr>
                <w:sz w:val="18"/>
                <w:szCs w:val="18"/>
              </w:rPr>
              <w:t>7.36</w:t>
            </w:r>
          </w:p>
        </w:tc>
        <w:tc>
          <w:tcPr>
            <w:tcW w:w="527" w:type="dxa"/>
            <w:tcBorders>
              <w:top w:val="single" w:color="auto" w:sz="4" w:space="0"/>
              <w:left w:val="single" w:color="auto" w:sz="4" w:space="0"/>
              <w:bottom w:val="single" w:color="auto" w:sz="4" w:space="0"/>
              <w:right w:val="single" w:color="auto" w:sz="4" w:space="0"/>
            </w:tcBorders>
            <w:noWrap/>
            <w:vAlign w:val="center"/>
          </w:tcPr>
          <w:p w14:paraId="0F25DD19">
            <w:pPr>
              <w:pStyle w:val="133"/>
              <w:rPr>
                <w:sz w:val="18"/>
                <w:szCs w:val="18"/>
              </w:rPr>
            </w:pPr>
            <w:r>
              <w:rPr>
                <w:sz w:val="18"/>
                <w:szCs w:val="18"/>
              </w:rPr>
              <w:t>6.39</w:t>
            </w:r>
          </w:p>
        </w:tc>
        <w:tc>
          <w:tcPr>
            <w:tcW w:w="456" w:type="dxa"/>
            <w:tcBorders>
              <w:top w:val="single" w:color="auto" w:sz="4" w:space="0"/>
              <w:left w:val="single" w:color="auto" w:sz="4" w:space="0"/>
              <w:bottom w:val="single" w:color="auto" w:sz="4" w:space="0"/>
              <w:right w:val="single" w:color="auto" w:sz="4" w:space="0"/>
            </w:tcBorders>
            <w:noWrap/>
            <w:vAlign w:val="center"/>
          </w:tcPr>
          <w:p w14:paraId="3A9FC8BF">
            <w:pPr>
              <w:pStyle w:val="133"/>
              <w:rPr>
                <w:sz w:val="18"/>
                <w:szCs w:val="18"/>
              </w:rPr>
            </w:pPr>
            <w:r>
              <w:rPr>
                <w:sz w:val="18"/>
                <w:szCs w:val="18"/>
              </w:rPr>
              <w:t>3.61</w:t>
            </w:r>
          </w:p>
        </w:tc>
        <w:tc>
          <w:tcPr>
            <w:tcW w:w="483" w:type="dxa"/>
            <w:tcBorders>
              <w:top w:val="single" w:color="auto" w:sz="4" w:space="0"/>
              <w:left w:val="single" w:color="auto" w:sz="4" w:space="0"/>
              <w:bottom w:val="single" w:color="auto" w:sz="4" w:space="0"/>
              <w:right w:val="single" w:color="auto" w:sz="4" w:space="0"/>
            </w:tcBorders>
            <w:noWrap/>
            <w:vAlign w:val="center"/>
          </w:tcPr>
          <w:p w14:paraId="1EE517DD">
            <w:pPr>
              <w:pStyle w:val="133"/>
              <w:rPr>
                <w:sz w:val="18"/>
                <w:szCs w:val="18"/>
              </w:rPr>
            </w:pPr>
            <w:r>
              <w:rPr>
                <w:sz w:val="18"/>
                <w:szCs w:val="18"/>
              </w:rPr>
              <w:t>1.94</w:t>
            </w:r>
          </w:p>
        </w:tc>
        <w:tc>
          <w:tcPr>
            <w:tcW w:w="403" w:type="dxa"/>
            <w:tcBorders>
              <w:top w:val="single" w:color="auto" w:sz="4" w:space="0"/>
              <w:left w:val="single" w:color="auto" w:sz="4" w:space="0"/>
              <w:bottom w:val="single" w:color="auto" w:sz="4" w:space="0"/>
              <w:right w:val="single" w:color="auto" w:sz="12" w:space="0"/>
            </w:tcBorders>
            <w:noWrap/>
            <w:vAlign w:val="center"/>
          </w:tcPr>
          <w:p w14:paraId="55D12FE8">
            <w:pPr>
              <w:pStyle w:val="133"/>
              <w:rPr>
                <w:sz w:val="18"/>
                <w:szCs w:val="18"/>
              </w:rPr>
            </w:pPr>
            <w:r>
              <w:rPr>
                <w:sz w:val="18"/>
                <w:szCs w:val="18"/>
              </w:rPr>
              <w:t>0.14</w:t>
            </w:r>
          </w:p>
        </w:tc>
      </w:tr>
      <w:tr w14:paraId="0FB47B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71270862">
            <w:pPr>
              <w:pStyle w:val="133"/>
              <w:rPr>
                <w:sz w:val="18"/>
                <w:szCs w:val="18"/>
              </w:rPr>
            </w:pPr>
            <w:r>
              <w:rPr>
                <w:sz w:val="18"/>
                <w:szCs w:val="18"/>
              </w:rPr>
              <w:t>五月</w:t>
            </w:r>
          </w:p>
        </w:tc>
        <w:tc>
          <w:tcPr>
            <w:tcW w:w="508" w:type="dxa"/>
            <w:tcBorders>
              <w:top w:val="single" w:color="auto" w:sz="4" w:space="0"/>
              <w:left w:val="single" w:color="auto" w:sz="4" w:space="0"/>
              <w:bottom w:val="single" w:color="auto" w:sz="4" w:space="0"/>
              <w:right w:val="single" w:color="auto" w:sz="4" w:space="0"/>
            </w:tcBorders>
            <w:noWrap/>
            <w:vAlign w:val="center"/>
          </w:tcPr>
          <w:p w14:paraId="01799BEE">
            <w:pPr>
              <w:pStyle w:val="133"/>
              <w:rPr>
                <w:sz w:val="18"/>
                <w:szCs w:val="18"/>
              </w:rPr>
            </w:pPr>
            <w:r>
              <w:rPr>
                <w:sz w:val="18"/>
                <w:szCs w:val="18"/>
              </w:rPr>
              <w:t>8.74</w:t>
            </w:r>
          </w:p>
        </w:tc>
        <w:tc>
          <w:tcPr>
            <w:tcW w:w="419" w:type="dxa"/>
            <w:tcBorders>
              <w:top w:val="single" w:color="auto" w:sz="4" w:space="0"/>
              <w:left w:val="single" w:color="auto" w:sz="4" w:space="0"/>
              <w:bottom w:val="single" w:color="auto" w:sz="4" w:space="0"/>
              <w:right w:val="single" w:color="auto" w:sz="4" w:space="0"/>
            </w:tcBorders>
            <w:noWrap/>
            <w:vAlign w:val="center"/>
          </w:tcPr>
          <w:p w14:paraId="315FA48C">
            <w:pPr>
              <w:pStyle w:val="133"/>
              <w:rPr>
                <w:sz w:val="18"/>
                <w:szCs w:val="18"/>
              </w:rPr>
            </w:pPr>
            <w:r>
              <w:rPr>
                <w:sz w:val="18"/>
                <w:szCs w:val="18"/>
              </w:rPr>
              <w:t>7.53</w:t>
            </w:r>
          </w:p>
        </w:tc>
        <w:tc>
          <w:tcPr>
            <w:tcW w:w="419" w:type="dxa"/>
            <w:tcBorders>
              <w:top w:val="single" w:color="auto" w:sz="4" w:space="0"/>
              <w:left w:val="single" w:color="auto" w:sz="4" w:space="0"/>
              <w:bottom w:val="single" w:color="auto" w:sz="4" w:space="0"/>
              <w:right w:val="single" w:color="auto" w:sz="4" w:space="0"/>
            </w:tcBorders>
            <w:noWrap/>
            <w:vAlign w:val="center"/>
          </w:tcPr>
          <w:p w14:paraId="3D385358">
            <w:pPr>
              <w:pStyle w:val="133"/>
              <w:rPr>
                <w:sz w:val="18"/>
                <w:szCs w:val="18"/>
              </w:rPr>
            </w:pPr>
            <w:r>
              <w:rPr>
                <w:sz w:val="18"/>
                <w:szCs w:val="18"/>
              </w:rPr>
              <w:t>9.01</w:t>
            </w:r>
          </w:p>
        </w:tc>
        <w:tc>
          <w:tcPr>
            <w:tcW w:w="420" w:type="dxa"/>
            <w:tcBorders>
              <w:top w:val="single" w:color="auto" w:sz="4" w:space="0"/>
              <w:left w:val="single" w:color="auto" w:sz="4" w:space="0"/>
              <w:bottom w:val="single" w:color="auto" w:sz="4" w:space="0"/>
              <w:right w:val="single" w:color="auto" w:sz="4" w:space="0"/>
            </w:tcBorders>
            <w:noWrap/>
            <w:vAlign w:val="center"/>
          </w:tcPr>
          <w:p w14:paraId="34E23D0F">
            <w:pPr>
              <w:pStyle w:val="133"/>
              <w:rPr>
                <w:sz w:val="18"/>
                <w:szCs w:val="18"/>
              </w:rPr>
            </w:pPr>
            <w:r>
              <w:rPr>
                <w:sz w:val="18"/>
                <w:szCs w:val="18"/>
              </w:rPr>
              <w:t>7.26</w:t>
            </w:r>
          </w:p>
        </w:tc>
        <w:tc>
          <w:tcPr>
            <w:tcW w:w="456" w:type="dxa"/>
            <w:tcBorders>
              <w:top w:val="single" w:color="auto" w:sz="4" w:space="0"/>
              <w:left w:val="single" w:color="auto" w:sz="4" w:space="0"/>
              <w:bottom w:val="single" w:color="auto" w:sz="4" w:space="0"/>
              <w:right w:val="single" w:color="auto" w:sz="4" w:space="0"/>
            </w:tcBorders>
            <w:noWrap/>
            <w:vAlign w:val="center"/>
          </w:tcPr>
          <w:p w14:paraId="664D41C3">
            <w:pPr>
              <w:pStyle w:val="133"/>
              <w:rPr>
                <w:sz w:val="18"/>
                <w:szCs w:val="18"/>
              </w:rPr>
            </w:pPr>
            <w:r>
              <w:rPr>
                <w:sz w:val="18"/>
                <w:szCs w:val="18"/>
              </w:rPr>
              <w:t>11.96</w:t>
            </w:r>
          </w:p>
        </w:tc>
        <w:tc>
          <w:tcPr>
            <w:tcW w:w="456" w:type="dxa"/>
            <w:tcBorders>
              <w:top w:val="single" w:color="auto" w:sz="4" w:space="0"/>
              <w:left w:val="single" w:color="auto" w:sz="4" w:space="0"/>
              <w:bottom w:val="single" w:color="auto" w:sz="4" w:space="0"/>
              <w:right w:val="single" w:color="auto" w:sz="4" w:space="0"/>
            </w:tcBorders>
            <w:noWrap/>
            <w:vAlign w:val="center"/>
          </w:tcPr>
          <w:p w14:paraId="3CE0C376">
            <w:pPr>
              <w:pStyle w:val="133"/>
              <w:rPr>
                <w:sz w:val="18"/>
                <w:szCs w:val="18"/>
              </w:rPr>
            </w:pPr>
            <w:r>
              <w:rPr>
                <w:sz w:val="18"/>
                <w:szCs w:val="18"/>
              </w:rPr>
              <w:t>7.39</w:t>
            </w:r>
          </w:p>
        </w:tc>
        <w:tc>
          <w:tcPr>
            <w:tcW w:w="403" w:type="dxa"/>
            <w:tcBorders>
              <w:top w:val="single" w:color="auto" w:sz="4" w:space="0"/>
              <w:left w:val="single" w:color="auto" w:sz="4" w:space="0"/>
              <w:bottom w:val="single" w:color="auto" w:sz="4" w:space="0"/>
              <w:right w:val="single" w:color="auto" w:sz="4" w:space="0"/>
            </w:tcBorders>
            <w:noWrap/>
            <w:vAlign w:val="center"/>
          </w:tcPr>
          <w:p w14:paraId="15B755BE">
            <w:pPr>
              <w:pStyle w:val="133"/>
              <w:rPr>
                <w:sz w:val="18"/>
                <w:szCs w:val="18"/>
              </w:rPr>
            </w:pPr>
            <w:r>
              <w:rPr>
                <w:sz w:val="18"/>
                <w:szCs w:val="18"/>
              </w:rPr>
              <w:t>6.85</w:t>
            </w:r>
          </w:p>
        </w:tc>
        <w:tc>
          <w:tcPr>
            <w:tcW w:w="403" w:type="dxa"/>
            <w:tcBorders>
              <w:top w:val="single" w:color="auto" w:sz="4" w:space="0"/>
              <w:left w:val="single" w:color="auto" w:sz="4" w:space="0"/>
              <w:bottom w:val="single" w:color="auto" w:sz="4" w:space="0"/>
              <w:right w:val="single" w:color="auto" w:sz="4" w:space="0"/>
            </w:tcBorders>
            <w:noWrap/>
            <w:vAlign w:val="center"/>
          </w:tcPr>
          <w:p w14:paraId="356125A1">
            <w:pPr>
              <w:pStyle w:val="133"/>
              <w:rPr>
                <w:sz w:val="18"/>
                <w:szCs w:val="18"/>
              </w:rPr>
            </w:pPr>
            <w:r>
              <w:rPr>
                <w:sz w:val="18"/>
                <w:szCs w:val="18"/>
              </w:rPr>
              <w:t>3.09</w:t>
            </w:r>
          </w:p>
        </w:tc>
        <w:tc>
          <w:tcPr>
            <w:tcW w:w="403" w:type="dxa"/>
            <w:tcBorders>
              <w:top w:val="single" w:color="auto" w:sz="4" w:space="0"/>
              <w:left w:val="single" w:color="auto" w:sz="4" w:space="0"/>
              <w:bottom w:val="single" w:color="auto" w:sz="4" w:space="0"/>
              <w:right w:val="single" w:color="auto" w:sz="4" w:space="0"/>
            </w:tcBorders>
            <w:noWrap/>
            <w:vAlign w:val="center"/>
          </w:tcPr>
          <w:p w14:paraId="6AED4F87">
            <w:pPr>
              <w:pStyle w:val="133"/>
              <w:rPr>
                <w:sz w:val="18"/>
                <w:szCs w:val="18"/>
              </w:rPr>
            </w:pPr>
            <w:r>
              <w:rPr>
                <w:sz w:val="18"/>
                <w:szCs w:val="18"/>
              </w:rPr>
              <w:t>2.96</w:t>
            </w:r>
          </w:p>
        </w:tc>
        <w:tc>
          <w:tcPr>
            <w:tcW w:w="417" w:type="dxa"/>
            <w:tcBorders>
              <w:top w:val="single" w:color="auto" w:sz="4" w:space="0"/>
              <w:left w:val="single" w:color="auto" w:sz="4" w:space="0"/>
              <w:bottom w:val="single" w:color="auto" w:sz="4" w:space="0"/>
              <w:right w:val="single" w:color="auto" w:sz="4" w:space="0"/>
            </w:tcBorders>
            <w:noWrap/>
            <w:vAlign w:val="center"/>
          </w:tcPr>
          <w:p w14:paraId="2D10D72B">
            <w:pPr>
              <w:pStyle w:val="133"/>
              <w:rPr>
                <w:sz w:val="18"/>
                <w:szCs w:val="18"/>
              </w:rPr>
            </w:pPr>
            <w:r>
              <w:rPr>
                <w:sz w:val="18"/>
                <w:szCs w:val="18"/>
              </w:rPr>
              <w:t>2.96</w:t>
            </w:r>
          </w:p>
        </w:tc>
        <w:tc>
          <w:tcPr>
            <w:tcW w:w="403" w:type="dxa"/>
            <w:tcBorders>
              <w:top w:val="single" w:color="auto" w:sz="4" w:space="0"/>
              <w:left w:val="single" w:color="auto" w:sz="4" w:space="0"/>
              <w:bottom w:val="single" w:color="auto" w:sz="4" w:space="0"/>
              <w:right w:val="single" w:color="auto" w:sz="4" w:space="0"/>
            </w:tcBorders>
            <w:noWrap/>
            <w:vAlign w:val="center"/>
          </w:tcPr>
          <w:p w14:paraId="7A1B6076">
            <w:pPr>
              <w:pStyle w:val="133"/>
              <w:rPr>
                <w:sz w:val="18"/>
                <w:szCs w:val="18"/>
              </w:rPr>
            </w:pPr>
            <w:r>
              <w:rPr>
                <w:sz w:val="18"/>
                <w:szCs w:val="18"/>
              </w:rPr>
              <w:t>1.21</w:t>
            </w:r>
          </w:p>
        </w:tc>
        <w:tc>
          <w:tcPr>
            <w:tcW w:w="494" w:type="dxa"/>
            <w:tcBorders>
              <w:top w:val="single" w:color="auto" w:sz="4" w:space="0"/>
              <w:left w:val="single" w:color="auto" w:sz="4" w:space="0"/>
              <w:bottom w:val="single" w:color="auto" w:sz="4" w:space="0"/>
              <w:right w:val="single" w:color="auto" w:sz="4" w:space="0"/>
            </w:tcBorders>
            <w:noWrap/>
            <w:vAlign w:val="center"/>
          </w:tcPr>
          <w:p w14:paraId="075098E4">
            <w:pPr>
              <w:pStyle w:val="133"/>
              <w:rPr>
                <w:sz w:val="18"/>
                <w:szCs w:val="18"/>
              </w:rPr>
            </w:pPr>
            <w:r>
              <w:rPr>
                <w:sz w:val="18"/>
                <w:szCs w:val="18"/>
              </w:rPr>
              <w:t>3.90</w:t>
            </w:r>
          </w:p>
        </w:tc>
        <w:tc>
          <w:tcPr>
            <w:tcW w:w="456" w:type="dxa"/>
            <w:tcBorders>
              <w:top w:val="single" w:color="auto" w:sz="4" w:space="0"/>
              <w:left w:val="single" w:color="auto" w:sz="4" w:space="0"/>
              <w:bottom w:val="single" w:color="auto" w:sz="4" w:space="0"/>
              <w:right w:val="single" w:color="auto" w:sz="4" w:space="0"/>
            </w:tcBorders>
            <w:noWrap/>
            <w:vAlign w:val="center"/>
          </w:tcPr>
          <w:p w14:paraId="3A06066B">
            <w:pPr>
              <w:pStyle w:val="133"/>
              <w:rPr>
                <w:sz w:val="18"/>
                <w:szCs w:val="18"/>
              </w:rPr>
            </w:pPr>
            <w:r>
              <w:rPr>
                <w:sz w:val="18"/>
                <w:szCs w:val="18"/>
              </w:rPr>
              <w:t>8.74</w:t>
            </w:r>
          </w:p>
        </w:tc>
        <w:tc>
          <w:tcPr>
            <w:tcW w:w="527" w:type="dxa"/>
            <w:tcBorders>
              <w:top w:val="single" w:color="auto" w:sz="4" w:space="0"/>
              <w:left w:val="single" w:color="auto" w:sz="4" w:space="0"/>
              <w:bottom w:val="single" w:color="auto" w:sz="4" w:space="0"/>
              <w:right w:val="single" w:color="auto" w:sz="4" w:space="0"/>
            </w:tcBorders>
            <w:noWrap/>
            <w:vAlign w:val="center"/>
          </w:tcPr>
          <w:p w14:paraId="14311B6E">
            <w:pPr>
              <w:pStyle w:val="133"/>
              <w:rPr>
                <w:sz w:val="18"/>
                <w:szCs w:val="18"/>
              </w:rPr>
            </w:pPr>
            <w:r>
              <w:rPr>
                <w:sz w:val="18"/>
                <w:szCs w:val="18"/>
              </w:rPr>
              <w:t>7.93</w:t>
            </w:r>
          </w:p>
        </w:tc>
        <w:tc>
          <w:tcPr>
            <w:tcW w:w="456" w:type="dxa"/>
            <w:tcBorders>
              <w:top w:val="single" w:color="auto" w:sz="4" w:space="0"/>
              <w:left w:val="single" w:color="auto" w:sz="4" w:space="0"/>
              <w:bottom w:val="single" w:color="auto" w:sz="4" w:space="0"/>
              <w:right w:val="single" w:color="auto" w:sz="4" w:space="0"/>
            </w:tcBorders>
            <w:noWrap/>
            <w:vAlign w:val="center"/>
          </w:tcPr>
          <w:p w14:paraId="3AF5F54C">
            <w:pPr>
              <w:pStyle w:val="133"/>
              <w:rPr>
                <w:sz w:val="18"/>
                <w:szCs w:val="18"/>
              </w:rPr>
            </w:pPr>
            <w:r>
              <w:rPr>
                <w:sz w:val="18"/>
                <w:szCs w:val="18"/>
              </w:rPr>
              <w:t>5.24</w:t>
            </w:r>
          </w:p>
        </w:tc>
        <w:tc>
          <w:tcPr>
            <w:tcW w:w="483" w:type="dxa"/>
            <w:tcBorders>
              <w:top w:val="single" w:color="auto" w:sz="4" w:space="0"/>
              <w:left w:val="single" w:color="auto" w:sz="4" w:space="0"/>
              <w:bottom w:val="single" w:color="auto" w:sz="4" w:space="0"/>
              <w:right w:val="single" w:color="auto" w:sz="4" w:space="0"/>
            </w:tcBorders>
            <w:noWrap/>
            <w:vAlign w:val="center"/>
          </w:tcPr>
          <w:p w14:paraId="08D03024">
            <w:pPr>
              <w:pStyle w:val="133"/>
              <w:rPr>
                <w:sz w:val="18"/>
                <w:szCs w:val="18"/>
              </w:rPr>
            </w:pPr>
            <w:r>
              <w:rPr>
                <w:sz w:val="18"/>
                <w:szCs w:val="18"/>
              </w:rPr>
              <w:t>5.24</w:t>
            </w:r>
          </w:p>
        </w:tc>
        <w:tc>
          <w:tcPr>
            <w:tcW w:w="403" w:type="dxa"/>
            <w:tcBorders>
              <w:top w:val="single" w:color="auto" w:sz="4" w:space="0"/>
              <w:left w:val="single" w:color="auto" w:sz="4" w:space="0"/>
              <w:bottom w:val="single" w:color="auto" w:sz="4" w:space="0"/>
              <w:right w:val="single" w:color="auto" w:sz="12" w:space="0"/>
            </w:tcBorders>
            <w:noWrap/>
            <w:vAlign w:val="center"/>
          </w:tcPr>
          <w:p w14:paraId="35D38C27">
            <w:pPr>
              <w:pStyle w:val="133"/>
              <w:rPr>
                <w:sz w:val="18"/>
                <w:szCs w:val="18"/>
              </w:rPr>
            </w:pPr>
            <w:r>
              <w:rPr>
                <w:sz w:val="18"/>
                <w:szCs w:val="18"/>
              </w:rPr>
              <w:t>0.00</w:t>
            </w:r>
          </w:p>
        </w:tc>
      </w:tr>
      <w:tr w14:paraId="35C9CF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19E1751F">
            <w:pPr>
              <w:pStyle w:val="133"/>
              <w:rPr>
                <w:sz w:val="18"/>
                <w:szCs w:val="18"/>
              </w:rPr>
            </w:pPr>
            <w:r>
              <w:rPr>
                <w:sz w:val="18"/>
                <w:szCs w:val="18"/>
              </w:rPr>
              <w:t>六月</w:t>
            </w:r>
          </w:p>
        </w:tc>
        <w:tc>
          <w:tcPr>
            <w:tcW w:w="508" w:type="dxa"/>
            <w:tcBorders>
              <w:top w:val="single" w:color="auto" w:sz="4" w:space="0"/>
              <w:left w:val="single" w:color="auto" w:sz="4" w:space="0"/>
              <w:bottom w:val="single" w:color="auto" w:sz="4" w:space="0"/>
              <w:right w:val="single" w:color="auto" w:sz="4" w:space="0"/>
            </w:tcBorders>
            <w:noWrap/>
            <w:vAlign w:val="center"/>
          </w:tcPr>
          <w:p w14:paraId="7956E01A">
            <w:pPr>
              <w:pStyle w:val="133"/>
              <w:rPr>
                <w:sz w:val="18"/>
                <w:szCs w:val="18"/>
              </w:rPr>
            </w:pPr>
            <w:r>
              <w:rPr>
                <w:sz w:val="18"/>
                <w:szCs w:val="18"/>
              </w:rPr>
              <w:t>10.69</w:t>
            </w:r>
          </w:p>
        </w:tc>
        <w:tc>
          <w:tcPr>
            <w:tcW w:w="419" w:type="dxa"/>
            <w:tcBorders>
              <w:top w:val="single" w:color="auto" w:sz="4" w:space="0"/>
              <w:left w:val="single" w:color="auto" w:sz="4" w:space="0"/>
              <w:bottom w:val="single" w:color="auto" w:sz="4" w:space="0"/>
              <w:right w:val="single" w:color="auto" w:sz="4" w:space="0"/>
            </w:tcBorders>
            <w:noWrap/>
            <w:vAlign w:val="center"/>
          </w:tcPr>
          <w:p w14:paraId="14E04E58">
            <w:pPr>
              <w:pStyle w:val="133"/>
              <w:rPr>
                <w:sz w:val="18"/>
                <w:szCs w:val="18"/>
              </w:rPr>
            </w:pPr>
            <w:r>
              <w:rPr>
                <w:sz w:val="18"/>
                <w:szCs w:val="18"/>
              </w:rPr>
              <w:t>8.06</w:t>
            </w:r>
          </w:p>
        </w:tc>
        <w:tc>
          <w:tcPr>
            <w:tcW w:w="419" w:type="dxa"/>
            <w:tcBorders>
              <w:top w:val="single" w:color="auto" w:sz="4" w:space="0"/>
              <w:left w:val="single" w:color="auto" w:sz="4" w:space="0"/>
              <w:bottom w:val="single" w:color="auto" w:sz="4" w:space="0"/>
              <w:right w:val="single" w:color="auto" w:sz="4" w:space="0"/>
            </w:tcBorders>
            <w:noWrap/>
            <w:vAlign w:val="center"/>
          </w:tcPr>
          <w:p w14:paraId="7C2A340C">
            <w:pPr>
              <w:pStyle w:val="133"/>
              <w:rPr>
                <w:sz w:val="18"/>
                <w:szCs w:val="18"/>
              </w:rPr>
            </w:pPr>
            <w:r>
              <w:rPr>
                <w:sz w:val="18"/>
                <w:szCs w:val="18"/>
              </w:rPr>
              <w:t>11.94</w:t>
            </w:r>
          </w:p>
        </w:tc>
        <w:tc>
          <w:tcPr>
            <w:tcW w:w="420" w:type="dxa"/>
            <w:tcBorders>
              <w:top w:val="single" w:color="auto" w:sz="4" w:space="0"/>
              <w:left w:val="single" w:color="auto" w:sz="4" w:space="0"/>
              <w:bottom w:val="single" w:color="auto" w:sz="4" w:space="0"/>
              <w:right w:val="single" w:color="auto" w:sz="4" w:space="0"/>
            </w:tcBorders>
            <w:noWrap/>
            <w:vAlign w:val="center"/>
          </w:tcPr>
          <w:p w14:paraId="7A1BA565">
            <w:pPr>
              <w:pStyle w:val="133"/>
              <w:rPr>
                <w:sz w:val="18"/>
                <w:szCs w:val="18"/>
              </w:rPr>
            </w:pPr>
            <w:r>
              <w:rPr>
                <w:sz w:val="18"/>
                <w:szCs w:val="18"/>
              </w:rPr>
              <w:t>9.17</w:t>
            </w:r>
          </w:p>
        </w:tc>
        <w:tc>
          <w:tcPr>
            <w:tcW w:w="456" w:type="dxa"/>
            <w:tcBorders>
              <w:top w:val="single" w:color="auto" w:sz="4" w:space="0"/>
              <w:left w:val="single" w:color="auto" w:sz="4" w:space="0"/>
              <w:bottom w:val="single" w:color="auto" w:sz="4" w:space="0"/>
              <w:right w:val="single" w:color="auto" w:sz="4" w:space="0"/>
            </w:tcBorders>
            <w:noWrap/>
            <w:vAlign w:val="center"/>
          </w:tcPr>
          <w:p w14:paraId="11A50968">
            <w:pPr>
              <w:pStyle w:val="133"/>
              <w:rPr>
                <w:sz w:val="18"/>
                <w:szCs w:val="18"/>
              </w:rPr>
            </w:pPr>
            <w:r>
              <w:rPr>
                <w:sz w:val="18"/>
                <w:szCs w:val="18"/>
              </w:rPr>
              <w:t>8.19</w:t>
            </w:r>
          </w:p>
        </w:tc>
        <w:tc>
          <w:tcPr>
            <w:tcW w:w="456" w:type="dxa"/>
            <w:tcBorders>
              <w:top w:val="single" w:color="auto" w:sz="4" w:space="0"/>
              <w:left w:val="single" w:color="auto" w:sz="4" w:space="0"/>
              <w:bottom w:val="single" w:color="auto" w:sz="4" w:space="0"/>
              <w:right w:val="single" w:color="auto" w:sz="4" w:space="0"/>
            </w:tcBorders>
            <w:noWrap/>
            <w:vAlign w:val="center"/>
          </w:tcPr>
          <w:p w14:paraId="03669C0C">
            <w:pPr>
              <w:pStyle w:val="133"/>
              <w:rPr>
                <w:sz w:val="18"/>
                <w:szCs w:val="18"/>
              </w:rPr>
            </w:pPr>
            <w:r>
              <w:rPr>
                <w:sz w:val="18"/>
                <w:szCs w:val="18"/>
              </w:rPr>
              <w:t>4.58</w:t>
            </w:r>
          </w:p>
        </w:tc>
        <w:tc>
          <w:tcPr>
            <w:tcW w:w="403" w:type="dxa"/>
            <w:tcBorders>
              <w:top w:val="single" w:color="auto" w:sz="4" w:space="0"/>
              <w:left w:val="single" w:color="auto" w:sz="4" w:space="0"/>
              <w:bottom w:val="single" w:color="auto" w:sz="4" w:space="0"/>
              <w:right w:val="single" w:color="auto" w:sz="4" w:space="0"/>
            </w:tcBorders>
            <w:noWrap/>
            <w:vAlign w:val="center"/>
          </w:tcPr>
          <w:p w14:paraId="127D33DB">
            <w:pPr>
              <w:pStyle w:val="133"/>
              <w:rPr>
                <w:sz w:val="18"/>
                <w:szCs w:val="18"/>
              </w:rPr>
            </w:pPr>
            <w:r>
              <w:rPr>
                <w:sz w:val="18"/>
                <w:szCs w:val="18"/>
              </w:rPr>
              <w:t>5.42</w:t>
            </w:r>
          </w:p>
        </w:tc>
        <w:tc>
          <w:tcPr>
            <w:tcW w:w="403" w:type="dxa"/>
            <w:tcBorders>
              <w:top w:val="single" w:color="auto" w:sz="4" w:space="0"/>
              <w:left w:val="single" w:color="auto" w:sz="4" w:space="0"/>
              <w:bottom w:val="single" w:color="auto" w:sz="4" w:space="0"/>
              <w:right w:val="single" w:color="auto" w:sz="4" w:space="0"/>
            </w:tcBorders>
            <w:noWrap/>
            <w:vAlign w:val="center"/>
          </w:tcPr>
          <w:p w14:paraId="683B1493">
            <w:pPr>
              <w:pStyle w:val="133"/>
              <w:rPr>
                <w:sz w:val="18"/>
                <w:szCs w:val="18"/>
              </w:rPr>
            </w:pPr>
            <w:r>
              <w:rPr>
                <w:sz w:val="18"/>
                <w:szCs w:val="18"/>
              </w:rPr>
              <w:t>2.92</w:t>
            </w:r>
          </w:p>
        </w:tc>
        <w:tc>
          <w:tcPr>
            <w:tcW w:w="403" w:type="dxa"/>
            <w:tcBorders>
              <w:top w:val="single" w:color="auto" w:sz="4" w:space="0"/>
              <w:left w:val="single" w:color="auto" w:sz="4" w:space="0"/>
              <w:bottom w:val="single" w:color="auto" w:sz="4" w:space="0"/>
              <w:right w:val="single" w:color="auto" w:sz="4" w:space="0"/>
            </w:tcBorders>
            <w:noWrap/>
            <w:vAlign w:val="center"/>
          </w:tcPr>
          <w:p w14:paraId="3D913833">
            <w:pPr>
              <w:pStyle w:val="133"/>
              <w:rPr>
                <w:sz w:val="18"/>
                <w:szCs w:val="18"/>
              </w:rPr>
            </w:pPr>
            <w:r>
              <w:rPr>
                <w:sz w:val="18"/>
                <w:szCs w:val="18"/>
              </w:rPr>
              <w:t>3.06</w:t>
            </w:r>
          </w:p>
        </w:tc>
        <w:tc>
          <w:tcPr>
            <w:tcW w:w="417" w:type="dxa"/>
            <w:tcBorders>
              <w:top w:val="single" w:color="auto" w:sz="4" w:space="0"/>
              <w:left w:val="single" w:color="auto" w:sz="4" w:space="0"/>
              <w:bottom w:val="single" w:color="auto" w:sz="4" w:space="0"/>
              <w:right w:val="single" w:color="auto" w:sz="4" w:space="0"/>
            </w:tcBorders>
            <w:noWrap/>
            <w:vAlign w:val="center"/>
          </w:tcPr>
          <w:p w14:paraId="0725CC7B">
            <w:pPr>
              <w:pStyle w:val="133"/>
              <w:rPr>
                <w:sz w:val="18"/>
                <w:szCs w:val="18"/>
              </w:rPr>
            </w:pPr>
            <w:r>
              <w:rPr>
                <w:sz w:val="18"/>
                <w:szCs w:val="18"/>
              </w:rPr>
              <w:t>3.75</w:t>
            </w:r>
          </w:p>
        </w:tc>
        <w:tc>
          <w:tcPr>
            <w:tcW w:w="403" w:type="dxa"/>
            <w:tcBorders>
              <w:top w:val="single" w:color="auto" w:sz="4" w:space="0"/>
              <w:left w:val="single" w:color="auto" w:sz="4" w:space="0"/>
              <w:bottom w:val="single" w:color="auto" w:sz="4" w:space="0"/>
              <w:right w:val="single" w:color="auto" w:sz="4" w:space="0"/>
            </w:tcBorders>
            <w:noWrap/>
            <w:vAlign w:val="center"/>
          </w:tcPr>
          <w:p w14:paraId="502236E4">
            <w:pPr>
              <w:pStyle w:val="133"/>
              <w:rPr>
                <w:sz w:val="18"/>
                <w:szCs w:val="18"/>
              </w:rPr>
            </w:pPr>
            <w:r>
              <w:rPr>
                <w:sz w:val="18"/>
                <w:szCs w:val="18"/>
              </w:rPr>
              <w:t>4.86</w:t>
            </w:r>
          </w:p>
        </w:tc>
        <w:tc>
          <w:tcPr>
            <w:tcW w:w="494" w:type="dxa"/>
            <w:tcBorders>
              <w:top w:val="single" w:color="auto" w:sz="4" w:space="0"/>
              <w:left w:val="single" w:color="auto" w:sz="4" w:space="0"/>
              <w:bottom w:val="single" w:color="auto" w:sz="4" w:space="0"/>
              <w:right w:val="single" w:color="auto" w:sz="4" w:space="0"/>
            </w:tcBorders>
            <w:noWrap/>
            <w:vAlign w:val="center"/>
          </w:tcPr>
          <w:p w14:paraId="4BA0A91C">
            <w:pPr>
              <w:pStyle w:val="133"/>
              <w:rPr>
                <w:sz w:val="18"/>
                <w:szCs w:val="18"/>
              </w:rPr>
            </w:pPr>
            <w:r>
              <w:rPr>
                <w:sz w:val="18"/>
                <w:szCs w:val="18"/>
              </w:rPr>
              <w:t>4.86</w:t>
            </w:r>
          </w:p>
        </w:tc>
        <w:tc>
          <w:tcPr>
            <w:tcW w:w="456" w:type="dxa"/>
            <w:tcBorders>
              <w:top w:val="single" w:color="auto" w:sz="4" w:space="0"/>
              <w:left w:val="single" w:color="auto" w:sz="4" w:space="0"/>
              <w:bottom w:val="single" w:color="auto" w:sz="4" w:space="0"/>
              <w:right w:val="single" w:color="auto" w:sz="4" w:space="0"/>
            </w:tcBorders>
            <w:noWrap/>
            <w:vAlign w:val="center"/>
          </w:tcPr>
          <w:p w14:paraId="6D8480AB">
            <w:pPr>
              <w:pStyle w:val="133"/>
              <w:rPr>
                <w:sz w:val="18"/>
                <w:szCs w:val="18"/>
              </w:rPr>
            </w:pPr>
            <w:r>
              <w:rPr>
                <w:sz w:val="18"/>
                <w:szCs w:val="18"/>
              </w:rPr>
              <w:t>8.33</w:t>
            </w:r>
          </w:p>
        </w:tc>
        <w:tc>
          <w:tcPr>
            <w:tcW w:w="527" w:type="dxa"/>
            <w:tcBorders>
              <w:top w:val="single" w:color="auto" w:sz="4" w:space="0"/>
              <w:left w:val="single" w:color="auto" w:sz="4" w:space="0"/>
              <w:bottom w:val="single" w:color="auto" w:sz="4" w:space="0"/>
              <w:right w:val="single" w:color="auto" w:sz="4" w:space="0"/>
            </w:tcBorders>
            <w:noWrap/>
            <w:vAlign w:val="center"/>
          </w:tcPr>
          <w:p w14:paraId="0F4916BC">
            <w:pPr>
              <w:pStyle w:val="133"/>
              <w:rPr>
                <w:sz w:val="18"/>
                <w:szCs w:val="18"/>
              </w:rPr>
            </w:pPr>
            <w:r>
              <w:rPr>
                <w:sz w:val="18"/>
                <w:szCs w:val="18"/>
              </w:rPr>
              <w:t>3.89</w:t>
            </w:r>
          </w:p>
        </w:tc>
        <w:tc>
          <w:tcPr>
            <w:tcW w:w="456" w:type="dxa"/>
            <w:tcBorders>
              <w:top w:val="single" w:color="auto" w:sz="4" w:space="0"/>
              <w:left w:val="single" w:color="auto" w:sz="4" w:space="0"/>
              <w:bottom w:val="single" w:color="auto" w:sz="4" w:space="0"/>
              <w:right w:val="single" w:color="auto" w:sz="4" w:space="0"/>
            </w:tcBorders>
            <w:noWrap/>
            <w:vAlign w:val="center"/>
          </w:tcPr>
          <w:p w14:paraId="01F9F275">
            <w:pPr>
              <w:pStyle w:val="133"/>
              <w:rPr>
                <w:sz w:val="18"/>
                <w:szCs w:val="18"/>
              </w:rPr>
            </w:pPr>
            <w:r>
              <w:rPr>
                <w:sz w:val="18"/>
                <w:szCs w:val="18"/>
              </w:rPr>
              <w:t>4.58</w:t>
            </w:r>
          </w:p>
        </w:tc>
        <w:tc>
          <w:tcPr>
            <w:tcW w:w="483" w:type="dxa"/>
            <w:tcBorders>
              <w:top w:val="single" w:color="auto" w:sz="4" w:space="0"/>
              <w:left w:val="single" w:color="auto" w:sz="4" w:space="0"/>
              <w:bottom w:val="single" w:color="auto" w:sz="4" w:space="0"/>
              <w:right w:val="single" w:color="auto" w:sz="4" w:space="0"/>
            </w:tcBorders>
            <w:noWrap/>
            <w:vAlign w:val="center"/>
          </w:tcPr>
          <w:p w14:paraId="6CD722E8">
            <w:pPr>
              <w:pStyle w:val="133"/>
              <w:rPr>
                <w:sz w:val="18"/>
                <w:szCs w:val="18"/>
              </w:rPr>
            </w:pPr>
            <w:r>
              <w:rPr>
                <w:sz w:val="18"/>
                <w:szCs w:val="18"/>
              </w:rPr>
              <w:t>5.56</w:t>
            </w:r>
          </w:p>
        </w:tc>
        <w:tc>
          <w:tcPr>
            <w:tcW w:w="403" w:type="dxa"/>
            <w:tcBorders>
              <w:top w:val="single" w:color="auto" w:sz="4" w:space="0"/>
              <w:left w:val="single" w:color="auto" w:sz="4" w:space="0"/>
              <w:bottom w:val="single" w:color="auto" w:sz="4" w:space="0"/>
              <w:right w:val="single" w:color="auto" w:sz="12" w:space="0"/>
            </w:tcBorders>
            <w:noWrap/>
            <w:vAlign w:val="center"/>
          </w:tcPr>
          <w:p w14:paraId="1463052A">
            <w:pPr>
              <w:pStyle w:val="133"/>
              <w:rPr>
                <w:sz w:val="18"/>
                <w:szCs w:val="18"/>
              </w:rPr>
            </w:pPr>
            <w:r>
              <w:rPr>
                <w:sz w:val="18"/>
                <w:szCs w:val="18"/>
              </w:rPr>
              <w:t>0.14</w:t>
            </w:r>
          </w:p>
        </w:tc>
      </w:tr>
      <w:tr w14:paraId="6D6D5A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1A27B17D">
            <w:pPr>
              <w:pStyle w:val="133"/>
              <w:rPr>
                <w:sz w:val="18"/>
                <w:szCs w:val="18"/>
              </w:rPr>
            </w:pPr>
            <w:r>
              <w:rPr>
                <w:sz w:val="18"/>
                <w:szCs w:val="18"/>
              </w:rPr>
              <w:t>七月</w:t>
            </w:r>
          </w:p>
        </w:tc>
        <w:tc>
          <w:tcPr>
            <w:tcW w:w="508" w:type="dxa"/>
            <w:tcBorders>
              <w:top w:val="single" w:color="auto" w:sz="4" w:space="0"/>
              <w:left w:val="single" w:color="auto" w:sz="4" w:space="0"/>
              <w:bottom w:val="single" w:color="auto" w:sz="4" w:space="0"/>
              <w:right w:val="single" w:color="auto" w:sz="4" w:space="0"/>
            </w:tcBorders>
            <w:noWrap/>
            <w:vAlign w:val="center"/>
          </w:tcPr>
          <w:p w14:paraId="7FD0CBEB">
            <w:pPr>
              <w:pStyle w:val="133"/>
              <w:rPr>
                <w:sz w:val="18"/>
                <w:szCs w:val="18"/>
              </w:rPr>
            </w:pPr>
            <w:r>
              <w:rPr>
                <w:sz w:val="18"/>
                <w:szCs w:val="18"/>
              </w:rPr>
              <w:t>6.05</w:t>
            </w:r>
          </w:p>
        </w:tc>
        <w:tc>
          <w:tcPr>
            <w:tcW w:w="419" w:type="dxa"/>
            <w:tcBorders>
              <w:top w:val="single" w:color="auto" w:sz="4" w:space="0"/>
              <w:left w:val="single" w:color="auto" w:sz="4" w:space="0"/>
              <w:bottom w:val="single" w:color="auto" w:sz="4" w:space="0"/>
              <w:right w:val="single" w:color="auto" w:sz="4" w:space="0"/>
            </w:tcBorders>
            <w:noWrap/>
            <w:vAlign w:val="center"/>
          </w:tcPr>
          <w:p w14:paraId="082BE977">
            <w:pPr>
              <w:pStyle w:val="133"/>
              <w:rPr>
                <w:sz w:val="18"/>
                <w:szCs w:val="18"/>
              </w:rPr>
            </w:pPr>
            <w:r>
              <w:rPr>
                <w:sz w:val="18"/>
                <w:szCs w:val="18"/>
              </w:rPr>
              <w:t>7.53</w:t>
            </w:r>
          </w:p>
        </w:tc>
        <w:tc>
          <w:tcPr>
            <w:tcW w:w="419" w:type="dxa"/>
            <w:tcBorders>
              <w:top w:val="single" w:color="auto" w:sz="4" w:space="0"/>
              <w:left w:val="single" w:color="auto" w:sz="4" w:space="0"/>
              <w:bottom w:val="single" w:color="auto" w:sz="4" w:space="0"/>
              <w:right w:val="single" w:color="auto" w:sz="4" w:space="0"/>
            </w:tcBorders>
            <w:noWrap/>
            <w:vAlign w:val="center"/>
          </w:tcPr>
          <w:p w14:paraId="17A82DB6">
            <w:pPr>
              <w:pStyle w:val="133"/>
              <w:rPr>
                <w:sz w:val="18"/>
                <w:szCs w:val="18"/>
              </w:rPr>
            </w:pPr>
            <w:r>
              <w:rPr>
                <w:sz w:val="18"/>
                <w:szCs w:val="18"/>
              </w:rPr>
              <w:t>10.75</w:t>
            </w:r>
          </w:p>
        </w:tc>
        <w:tc>
          <w:tcPr>
            <w:tcW w:w="420" w:type="dxa"/>
            <w:tcBorders>
              <w:top w:val="single" w:color="auto" w:sz="4" w:space="0"/>
              <w:left w:val="single" w:color="auto" w:sz="4" w:space="0"/>
              <w:bottom w:val="single" w:color="auto" w:sz="4" w:space="0"/>
              <w:right w:val="single" w:color="auto" w:sz="4" w:space="0"/>
            </w:tcBorders>
            <w:noWrap/>
            <w:vAlign w:val="center"/>
          </w:tcPr>
          <w:p w14:paraId="29EE4A6D">
            <w:pPr>
              <w:pStyle w:val="133"/>
              <w:rPr>
                <w:sz w:val="18"/>
                <w:szCs w:val="18"/>
              </w:rPr>
            </w:pPr>
            <w:r>
              <w:rPr>
                <w:sz w:val="18"/>
                <w:szCs w:val="18"/>
              </w:rPr>
              <w:t>9.54</w:t>
            </w:r>
          </w:p>
        </w:tc>
        <w:tc>
          <w:tcPr>
            <w:tcW w:w="456" w:type="dxa"/>
            <w:tcBorders>
              <w:top w:val="single" w:color="auto" w:sz="4" w:space="0"/>
              <w:left w:val="single" w:color="auto" w:sz="4" w:space="0"/>
              <w:bottom w:val="single" w:color="auto" w:sz="4" w:space="0"/>
              <w:right w:val="single" w:color="auto" w:sz="4" w:space="0"/>
            </w:tcBorders>
            <w:noWrap/>
            <w:vAlign w:val="center"/>
          </w:tcPr>
          <w:p w14:paraId="35AA10FD">
            <w:pPr>
              <w:pStyle w:val="133"/>
              <w:rPr>
                <w:sz w:val="18"/>
                <w:szCs w:val="18"/>
              </w:rPr>
            </w:pPr>
            <w:r>
              <w:rPr>
                <w:sz w:val="18"/>
                <w:szCs w:val="18"/>
              </w:rPr>
              <w:t>12.37</w:t>
            </w:r>
          </w:p>
        </w:tc>
        <w:tc>
          <w:tcPr>
            <w:tcW w:w="456" w:type="dxa"/>
            <w:tcBorders>
              <w:top w:val="single" w:color="auto" w:sz="4" w:space="0"/>
              <w:left w:val="single" w:color="auto" w:sz="4" w:space="0"/>
              <w:bottom w:val="single" w:color="auto" w:sz="4" w:space="0"/>
              <w:right w:val="single" w:color="auto" w:sz="4" w:space="0"/>
            </w:tcBorders>
            <w:noWrap/>
            <w:vAlign w:val="center"/>
          </w:tcPr>
          <w:p w14:paraId="585A8822">
            <w:pPr>
              <w:pStyle w:val="133"/>
              <w:rPr>
                <w:sz w:val="18"/>
                <w:szCs w:val="18"/>
              </w:rPr>
            </w:pPr>
            <w:r>
              <w:rPr>
                <w:sz w:val="18"/>
                <w:szCs w:val="18"/>
              </w:rPr>
              <w:t>5.24</w:t>
            </w:r>
          </w:p>
        </w:tc>
        <w:tc>
          <w:tcPr>
            <w:tcW w:w="403" w:type="dxa"/>
            <w:tcBorders>
              <w:top w:val="single" w:color="auto" w:sz="4" w:space="0"/>
              <w:left w:val="single" w:color="auto" w:sz="4" w:space="0"/>
              <w:bottom w:val="single" w:color="auto" w:sz="4" w:space="0"/>
              <w:right w:val="single" w:color="auto" w:sz="4" w:space="0"/>
            </w:tcBorders>
            <w:noWrap/>
            <w:vAlign w:val="center"/>
          </w:tcPr>
          <w:p w14:paraId="24257278">
            <w:pPr>
              <w:pStyle w:val="133"/>
              <w:rPr>
                <w:sz w:val="18"/>
                <w:szCs w:val="18"/>
              </w:rPr>
            </w:pPr>
            <w:r>
              <w:rPr>
                <w:sz w:val="18"/>
                <w:szCs w:val="18"/>
              </w:rPr>
              <w:t>3.36</w:t>
            </w:r>
          </w:p>
        </w:tc>
        <w:tc>
          <w:tcPr>
            <w:tcW w:w="403" w:type="dxa"/>
            <w:tcBorders>
              <w:top w:val="single" w:color="auto" w:sz="4" w:space="0"/>
              <w:left w:val="single" w:color="auto" w:sz="4" w:space="0"/>
              <w:bottom w:val="single" w:color="auto" w:sz="4" w:space="0"/>
              <w:right w:val="single" w:color="auto" w:sz="4" w:space="0"/>
            </w:tcBorders>
            <w:noWrap/>
            <w:vAlign w:val="center"/>
          </w:tcPr>
          <w:p w14:paraId="4BA53192">
            <w:pPr>
              <w:pStyle w:val="133"/>
              <w:rPr>
                <w:sz w:val="18"/>
                <w:szCs w:val="18"/>
              </w:rPr>
            </w:pPr>
            <w:r>
              <w:rPr>
                <w:sz w:val="18"/>
                <w:szCs w:val="18"/>
              </w:rPr>
              <w:t>3.49</w:t>
            </w:r>
          </w:p>
        </w:tc>
        <w:tc>
          <w:tcPr>
            <w:tcW w:w="403" w:type="dxa"/>
            <w:tcBorders>
              <w:top w:val="single" w:color="auto" w:sz="4" w:space="0"/>
              <w:left w:val="single" w:color="auto" w:sz="4" w:space="0"/>
              <w:bottom w:val="single" w:color="auto" w:sz="4" w:space="0"/>
              <w:right w:val="single" w:color="auto" w:sz="4" w:space="0"/>
            </w:tcBorders>
            <w:noWrap/>
            <w:vAlign w:val="center"/>
          </w:tcPr>
          <w:p w14:paraId="1B6B8EED">
            <w:pPr>
              <w:pStyle w:val="133"/>
              <w:rPr>
                <w:sz w:val="18"/>
                <w:szCs w:val="18"/>
              </w:rPr>
            </w:pPr>
            <w:r>
              <w:rPr>
                <w:sz w:val="18"/>
                <w:szCs w:val="18"/>
              </w:rPr>
              <w:t>3.36</w:t>
            </w:r>
          </w:p>
        </w:tc>
        <w:tc>
          <w:tcPr>
            <w:tcW w:w="417" w:type="dxa"/>
            <w:tcBorders>
              <w:top w:val="single" w:color="auto" w:sz="4" w:space="0"/>
              <w:left w:val="single" w:color="auto" w:sz="4" w:space="0"/>
              <w:bottom w:val="single" w:color="auto" w:sz="4" w:space="0"/>
              <w:right w:val="single" w:color="auto" w:sz="4" w:space="0"/>
            </w:tcBorders>
            <w:noWrap/>
            <w:vAlign w:val="center"/>
          </w:tcPr>
          <w:p w14:paraId="0856C842">
            <w:pPr>
              <w:pStyle w:val="133"/>
              <w:rPr>
                <w:sz w:val="18"/>
                <w:szCs w:val="18"/>
              </w:rPr>
            </w:pPr>
            <w:r>
              <w:rPr>
                <w:sz w:val="18"/>
                <w:szCs w:val="18"/>
              </w:rPr>
              <w:t>4.03</w:t>
            </w:r>
          </w:p>
        </w:tc>
        <w:tc>
          <w:tcPr>
            <w:tcW w:w="403" w:type="dxa"/>
            <w:tcBorders>
              <w:top w:val="single" w:color="auto" w:sz="4" w:space="0"/>
              <w:left w:val="single" w:color="auto" w:sz="4" w:space="0"/>
              <w:bottom w:val="single" w:color="auto" w:sz="4" w:space="0"/>
              <w:right w:val="single" w:color="auto" w:sz="4" w:space="0"/>
            </w:tcBorders>
            <w:noWrap/>
            <w:vAlign w:val="center"/>
          </w:tcPr>
          <w:p w14:paraId="044D3B43">
            <w:pPr>
              <w:pStyle w:val="133"/>
              <w:rPr>
                <w:sz w:val="18"/>
                <w:szCs w:val="18"/>
              </w:rPr>
            </w:pPr>
            <w:r>
              <w:rPr>
                <w:sz w:val="18"/>
                <w:szCs w:val="18"/>
              </w:rPr>
              <w:t>4.70</w:t>
            </w:r>
          </w:p>
        </w:tc>
        <w:tc>
          <w:tcPr>
            <w:tcW w:w="494" w:type="dxa"/>
            <w:tcBorders>
              <w:top w:val="single" w:color="auto" w:sz="4" w:space="0"/>
              <w:left w:val="single" w:color="auto" w:sz="4" w:space="0"/>
              <w:bottom w:val="single" w:color="auto" w:sz="4" w:space="0"/>
              <w:right w:val="single" w:color="auto" w:sz="4" w:space="0"/>
            </w:tcBorders>
            <w:noWrap/>
            <w:vAlign w:val="center"/>
          </w:tcPr>
          <w:p w14:paraId="21E71E0F">
            <w:pPr>
              <w:pStyle w:val="133"/>
              <w:rPr>
                <w:sz w:val="18"/>
                <w:szCs w:val="18"/>
              </w:rPr>
            </w:pPr>
            <w:r>
              <w:rPr>
                <w:sz w:val="18"/>
                <w:szCs w:val="18"/>
              </w:rPr>
              <w:t>7.26</w:t>
            </w:r>
          </w:p>
        </w:tc>
        <w:tc>
          <w:tcPr>
            <w:tcW w:w="456" w:type="dxa"/>
            <w:tcBorders>
              <w:top w:val="single" w:color="auto" w:sz="4" w:space="0"/>
              <w:left w:val="single" w:color="auto" w:sz="4" w:space="0"/>
              <w:bottom w:val="single" w:color="auto" w:sz="4" w:space="0"/>
              <w:right w:val="single" w:color="auto" w:sz="4" w:space="0"/>
            </w:tcBorders>
            <w:noWrap/>
            <w:vAlign w:val="center"/>
          </w:tcPr>
          <w:p w14:paraId="3A78D913">
            <w:pPr>
              <w:pStyle w:val="133"/>
              <w:rPr>
                <w:sz w:val="18"/>
                <w:szCs w:val="18"/>
              </w:rPr>
            </w:pPr>
            <w:r>
              <w:rPr>
                <w:sz w:val="18"/>
                <w:szCs w:val="18"/>
              </w:rPr>
              <w:t>9.54</w:t>
            </w:r>
          </w:p>
        </w:tc>
        <w:tc>
          <w:tcPr>
            <w:tcW w:w="527" w:type="dxa"/>
            <w:tcBorders>
              <w:top w:val="single" w:color="auto" w:sz="4" w:space="0"/>
              <w:left w:val="single" w:color="auto" w:sz="4" w:space="0"/>
              <w:bottom w:val="single" w:color="auto" w:sz="4" w:space="0"/>
              <w:right w:val="single" w:color="auto" w:sz="4" w:space="0"/>
            </w:tcBorders>
            <w:noWrap/>
            <w:vAlign w:val="center"/>
          </w:tcPr>
          <w:p w14:paraId="492C8D83">
            <w:pPr>
              <w:pStyle w:val="133"/>
              <w:rPr>
                <w:sz w:val="18"/>
                <w:szCs w:val="18"/>
              </w:rPr>
            </w:pPr>
            <w:r>
              <w:rPr>
                <w:sz w:val="18"/>
                <w:szCs w:val="18"/>
              </w:rPr>
              <w:t>4.44</w:t>
            </w:r>
          </w:p>
        </w:tc>
        <w:tc>
          <w:tcPr>
            <w:tcW w:w="456" w:type="dxa"/>
            <w:tcBorders>
              <w:top w:val="single" w:color="auto" w:sz="4" w:space="0"/>
              <w:left w:val="single" w:color="auto" w:sz="4" w:space="0"/>
              <w:bottom w:val="single" w:color="auto" w:sz="4" w:space="0"/>
              <w:right w:val="single" w:color="auto" w:sz="4" w:space="0"/>
            </w:tcBorders>
            <w:noWrap/>
            <w:vAlign w:val="center"/>
          </w:tcPr>
          <w:p w14:paraId="4D3DABBD">
            <w:pPr>
              <w:pStyle w:val="133"/>
              <w:rPr>
                <w:sz w:val="18"/>
                <w:szCs w:val="18"/>
              </w:rPr>
            </w:pPr>
            <w:r>
              <w:rPr>
                <w:sz w:val="18"/>
                <w:szCs w:val="18"/>
              </w:rPr>
              <w:t>3.49</w:t>
            </w:r>
          </w:p>
        </w:tc>
        <w:tc>
          <w:tcPr>
            <w:tcW w:w="483" w:type="dxa"/>
            <w:tcBorders>
              <w:top w:val="single" w:color="auto" w:sz="4" w:space="0"/>
              <w:left w:val="single" w:color="auto" w:sz="4" w:space="0"/>
              <w:bottom w:val="single" w:color="auto" w:sz="4" w:space="0"/>
              <w:right w:val="single" w:color="auto" w:sz="4" w:space="0"/>
            </w:tcBorders>
            <w:noWrap/>
            <w:vAlign w:val="center"/>
          </w:tcPr>
          <w:p w14:paraId="51F240A2">
            <w:pPr>
              <w:pStyle w:val="133"/>
              <w:rPr>
                <w:sz w:val="18"/>
                <w:szCs w:val="18"/>
              </w:rPr>
            </w:pPr>
            <w:r>
              <w:rPr>
                <w:sz w:val="18"/>
                <w:szCs w:val="18"/>
              </w:rPr>
              <w:t>4.44</w:t>
            </w:r>
          </w:p>
        </w:tc>
        <w:tc>
          <w:tcPr>
            <w:tcW w:w="403" w:type="dxa"/>
            <w:tcBorders>
              <w:top w:val="single" w:color="auto" w:sz="4" w:space="0"/>
              <w:left w:val="single" w:color="auto" w:sz="4" w:space="0"/>
              <w:bottom w:val="single" w:color="auto" w:sz="4" w:space="0"/>
              <w:right w:val="single" w:color="auto" w:sz="12" w:space="0"/>
            </w:tcBorders>
            <w:noWrap/>
            <w:vAlign w:val="center"/>
          </w:tcPr>
          <w:p w14:paraId="55A671EC">
            <w:pPr>
              <w:pStyle w:val="133"/>
              <w:rPr>
                <w:sz w:val="18"/>
                <w:szCs w:val="18"/>
              </w:rPr>
            </w:pPr>
            <w:r>
              <w:rPr>
                <w:sz w:val="18"/>
                <w:szCs w:val="18"/>
              </w:rPr>
              <w:t>0.40</w:t>
            </w:r>
          </w:p>
        </w:tc>
      </w:tr>
      <w:tr w14:paraId="29BBB4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172B47B4">
            <w:pPr>
              <w:pStyle w:val="133"/>
              <w:rPr>
                <w:sz w:val="18"/>
                <w:szCs w:val="18"/>
              </w:rPr>
            </w:pPr>
            <w:r>
              <w:rPr>
                <w:sz w:val="18"/>
                <w:szCs w:val="18"/>
              </w:rPr>
              <w:t>八月</w:t>
            </w:r>
          </w:p>
        </w:tc>
        <w:tc>
          <w:tcPr>
            <w:tcW w:w="508" w:type="dxa"/>
            <w:tcBorders>
              <w:top w:val="single" w:color="auto" w:sz="4" w:space="0"/>
              <w:left w:val="single" w:color="auto" w:sz="4" w:space="0"/>
              <w:bottom w:val="single" w:color="auto" w:sz="4" w:space="0"/>
              <w:right w:val="single" w:color="auto" w:sz="4" w:space="0"/>
            </w:tcBorders>
            <w:noWrap/>
            <w:vAlign w:val="center"/>
          </w:tcPr>
          <w:p w14:paraId="726A75C4">
            <w:pPr>
              <w:pStyle w:val="133"/>
              <w:rPr>
                <w:sz w:val="18"/>
                <w:szCs w:val="18"/>
              </w:rPr>
            </w:pPr>
            <w:r>
              <w:rPr>
                <w:sz w:val="18"/>
                <w:szCs w:val="18"/>
              </w:rPr>
              <w:t>7.93</w:t>
            </w:r>
          </w:p>
        </w:tc>
        <w:tc>
          <w:tcPr>
            <w:tcW w:w="419" w:type="dxa"/>
            <w:tcBorders>
              <w:top w:val="single" w:color="auto" w:sz="4" w:space="0"/>
              <w:left w:val="single" w:color="auto" w:sz="4" w:space="0"/>
              <w:bottom w:val="single" w:color="auto" w:sz="4" w:space="0"/>
              <w:right w:val="single" w:color="auto" w:sz="4" w:space="0"/>
            </w:tcBorders>
            <w:noWrap/>
            <w:vAlign w:val="center"/>
          </w:tcPr>
          <w:p w14:paraId="7934D4F0">
            <w:pPr>
              <w:pStyle w:val="133"/>
              <w:rPr>
                <w:sz w:val="18"/>
                <w:szCs w:val="18"/>
              </w:rPr>
            </w:pPr>
            <w:r>
              <w:rPr>
                <w:sz w:val="18"/>
                <w:szCs w:val="18"/>
              </w:rPr>
              <w:t>7.12</w:t>
            </w:r>
          </w:p>
        </w:tc>
        <w:tc>
          <w:tcPr>
            <w:tcW w:w="419" w:type="dxa"/>
            <w:tcBorders>
              <w:top w:val="single" w:color="auto" w:sz="4" w:space="0"/>
              <w:left w:val="single" w:color="auto" w:sz="4" w:space="0"/>
              <w:bottom w:val="single" w:color="auto" w:sz="4" w:space="0"/>
              <w:right w:val="single" w:color="auto" w:sz="4" w:space="0"/>
            </w:tcBorders>
            <w:noWrap/>
            <w:vAlign w:val="center"/>
          </w:tcPr>
          <w:p w14:paraId="7AD9FB63">
            <w:pPr>
              <w:pStyle w:val="133"/>
              <w:rPr>
                <w:sz w:val="18"/>
                <w:szCs w:val="18"/>
              </w:rPr>
            </w:pPr>
            <w:r>
              <w:rPr>
                <w:sz w:val="18"/>
                <w:szCs w:val="18"/>
              </w:rPr>
              <w:t>5.51</w:t>
            </w:r>
          </w:p>
        </w:tc>
        <w:tc>
          <w:tcPr>
            <w:tcW w:w="420" w:type="dxa"/>
            <w:tcBorders>
              <w:top w:val="single" w:color="auto" w:sz="4" w:space="0"/>
              <w:left w:val="single" w:color="auto" w:sz="4" w:space="0"/>
              <w:bottom w:val="single" w:color="auto" w:sz="4" w:space="0"/>
              <w:right w:val="single" w:color="auto" w:sz="4" w:space="0"/>
            </w:tcBorders>
            <w:noWrap/>
            <w:vAlign w:val="center"/>
          </w:tcPr>
          <w:p w14:paraId="178DFD14">
            <w:pPr>
              <w:pStyle w:val="133"/>
              <w:rPr>
                <w:sz w:val="18"/>
                <w:szCs w:val="18"/>
              </w:rPr>
            </w:pPr>
            <w:r>
              <w:rPr>
                <w:sz w:val="18"/>
                <w:szCs w:val="18"/>
              </w:rPr>
              <w:t>11.96</w:t>
            </w:r>
          </w:p>
        </w:tc>
        <w:tc>
          <w:tcPr>
            <w:tcW w:w="456" w:type="dxa"/>
            <w:tcBorders>
              <w:top w:val="single" w:color="auto" w:sz="4" w:space="0"/>
              <w:left w:val="single" w:color="auto" w:sz="4" w:space="0"/>
              <w:bottom w:val="single" w:color="auto" w:sz="4" w:space="0"/>
              <w:right w:val="single" w:color="auto" w:sz="4" w:space="0"/>
            </w:tcBorders>
            <w:noWrap/>
            <w:vAlign w:val="center"/>
          </w:tcPr>
          <w:p w14:paraId="3D32A256">
            <w:pPr>
              <w:pStyle w:val="133"/>
              <w:rPr>
                <w:sz w:val="18"/>
                <w:szCs w:val="18"/>
              </w:rPr>
            </w:pPr>
            <w:r>
              <w:rPr>
                <w:sz w:val="18"/>
                <w:szCs w:val="18"/>
              </w:rPr>
              <w:t>15.05</w:t>
            </w:r>
          </w:p>
        </w:tc>
        <w:tc>
          <w:tcPr>
            <w:tcW w:w="456" w:type="dxa"/>
            <w:tcBorders>
              <w:top w:val="single" w:color="auto" w:sz="4" w:space="0"/>
              <w:left w:val="single" w:color="auto" w:sz="4" w:space="0"/>
              <w:bottom w:val="single" w:color="auto" w:sz="4" w:space="0"/>
              <w:right w:val="single" w:color="auto" w:sz="4" w:space="0"/>
            </w:tcBorders>
            <w:noWrap/>
            <w:vAlign w:val="center"/>
          </w:tcPr>
          <w:p w14:paraId="5A8A8E50">
            <w:pPr>
              <w:pStyle w:val="133"/>
              <w:rPr>
                <w:sz w:val="18"/>
                <w:szCs w:val="18"/>
              </w:rPr>
            </w:pPr>
            <w:r>
              <w:rPr>
                <w:sz w:val="18"/>
                <w:szCs w:val="18"/>
              </w:rPr>
              <w:t>10.08</w:t>
            </w:r>
          </w:p>
        </w:tc>
        <w:tc>
          <w:tcPr>
            <w:tcW w:w="403" w:type="dxa"/>
            <w:tcBorders>
              <w:top w:val="single" w:color="auto" w:sz="4" w:space="0"/>
              <w:left w:val="single" w:color="auto" w:sz="4" w:space="0"/>
              <w:bottom w:val="single" w:color="auto" w:sz="4" w:space="0"/>
              <w:right w:val="single" w:color="auto" w:sz="4" w:space="0"/>
            </w:tcBorders>
            <w:noWrap/>
            <w:vAlign w:val="center"/>
          </w:tcPr>
          <w:p w14:paraId="1082816F">
            <w:pPr>
              <w:pStyle w:val="133"/>
              <w:rPr>
                <w:sz w:val="18"/>
                <w:szCs w:val="18"/>
              </w:rPr>
            </w:pPr>
            <w:r>
              <w:rPr>
                <w:sz w:val="18"/>
                <w:szCs w:val="18"/>
              </w:rPr>
              <w:t>4.84</w:t>
            </w:r>
          </w:p>
        </w:tc>
        <w:tc>
          <w:tcPr>
            <w:tcW w:w="403" w:type="dxa"/>
            <w:tcBorders>
              <w:top w:val="single" w:color="auto" w:sz="4" w:space="0"/>
              <w:left w:val="single" w:color="auto" w:sz="4" w:space="0"/>
              <w:bottom w:val="single" w:color="auto" w:sz="4" w:space="0"/>
              <w:right w:val="single" w:color="auto" w:sz="4" w:space="0"/>
            </w:tcBorders>
            <w:noWrap/>
            <w:vAlign w:val="center"/>
          </w:tcPr>
          <w:p w14:paraId="79AC4827">
            <w:pPr>
              <w:pStyle w:val="133"/>
              <w:rPr>
                <w:sz w:val="18"/>
                <w:szCs w:val="18"/>
              </w:rPr>
            </w:pPr>
            <w:r>
              <w:rPr>
                <w:sz w:val="18"/>
                <w:szCs w:val="18"/>
              </w:rPr>
              <w:t>2.42</w:t>
            </w:r>
          </w:p>
        </w:tc>
        <w:tc>
          <w:tcPr>
            <w:tcW w:w="403" w:type="dxa"/>
            <w:tcBorders>
              <w:top w:val="single" w:color="auto" w:sz="4" w:space="0"/>
              <w:left w:val="single" w:color="auto" w:sz="4" w:space="0"/>
              <w:bottom w:val="single" w:color="auto" w:sz="4" w:space="0"/>
              <w:right w:val="single" w:color="auto" w:sz="4" w:space="0"/>
            </w:tcBorders>
            <w:noWrap/>
            <w:vAlign w:val="center"/>
          </w:tcPr>
          <w:p w14:paraId="6158EF49">
            <w:pPr>
              <w:pStyle w:val="133"/>
              <w:rPr>
                <w:sz w:val="18"/>
                <w:szCs w:val="18"/>
              </w:rPr>
            </w:pPr>
            <w:r>
              <w:rPr>
                <w:sz w:val="18"/>
                <w:szCs w:val="18"/>
              </w:rPr>
              <w:t>3.63</w:t>
            </w:r>
          </w:p>
        </w:tc>
        <w:tc>
          <w:tcPr>
            <w:tcW w:w="417" w:type="dxa"/>
            <w:tcBorders>
              <w:top w:val="single" w:color="auto" w:sz="4" w:space="0"/>
              <w:left w:val="single" w:color="auto" w:sz="4" w:space="0"/>
              <w:bottom w:val="single" w:color="auto" w:sz="4" w:space="0"/>
              <w:right w:val="single" w:color="auto" w:sz="4" w:space="0"/>
            </w:tcBorders>
            <w:noWrap/>
            <w:vAlign w:val="center"/>
          </w:tcPr>
          <w:p w14:paraId="2BE0ABBF">
            <w:pPr>
              <w:pStyle w:val="133"/>
              <w:rPr>
                <w:sz w:val="18"/>
                <w:szCs w:val="18"/>
              </w:rPr>
            </w:pPr>
            <w:r>
              <w:rPr>
                <w:sz w:val="18"/>
                <w:szCs w:val="18"/>
              </w:rPr>
              <w:t>2.28</w:t>
            </w:r>
          </w:p>
        </w:tc>
        <w:tc>
          <w:tcPr>
            <w:tcW w:w="403" w:type="dxa"/>
            <w:tcBorders>
              <w:top w:val="single" w:color="auto" w:sz="4" w:space="0"/>
              <w:left w:val="single" w:color="auto" w:sz="4" w:space="0"/>
              <w:bottom w:val="single" w:color="auto" w:sz="4" w:space="0"/>
              <w:right w:val="single" w:color="auto" w:sz="4" w:space="0"/>
            </w:tcBorders>
            <w:noWrap/>
            <w:vAlign w:val="center"/>
          </w:tcPr>
          <w:p w14:paraId="65298B43">
            <w:pPr>
              <w:pStyle w:val="133"/>
              <w:rPr>
                <w:sz w:val="18"/>
                <w:szCs w:val="18"/>
              </w:rPr>
            </w:pPr>
            <w:r>
              <w:rPr>
                <w:sz w:val="18"/>
                <w:szCs w:val="18"/>
              </w:rPr>
              <w:t>3.90</w:t>
            </w:r>
          </w:p>
        </w:tc>
        <w:tc>
          <w:tcPr>
            <w:tcW w:w="494" w:type="dxa"/>
            <w:tcBorders>
              <w:top w:val="single" w:color="auto" w:sz="4" w:space="0"/>
              <w:left w:val="single" w:color="auto" w:sz="4" w:space="0"/>
              <w:bottom w:val="single" w:color="auto" w:sz="4" w:space="0"/>
              <w:right w:val="single" w:color="auto" w:sz="4" w:space="0"/>
            </w:tcBorders>
            <w:noWrap/>
            <w:vAlign w:val="center"/>
          </w:tcPr>
          <w:p w14:paraId="05D0711F">
            <w:pPr>
              <w:pStyle w:val="133"/>
              <w:rPr>
                <w:sz w:val="18"/>
                <w:szCs w:val="18"/>
              </w:rPr>
            </w:pPr>
            <w:r>
              <w:rPr>
                <w:sz w:val="18"/>
                <w:szCs w:val="18"/>
              </w:rPr>
              <w:t>4.44</w:t>
            </w:r>
          </w:p>
        </w:tc>
        <w:tc>
          <w:tcPr>
            <w:tcW w:w="456" w:type="dxa"/>
            <w:tcBorders>
              <w:top w:val="single" w:color="auto" w:sz="4" w:space="0"/>
              <w:left w:val="single" w:color="auto" w:sz="4" w:space="0"/>
              <w:bottom w:val="single" w:color="auto" w:sz="4" w:space="0"/>
              <w:right w:val="single" w:color="auto" w:sz="4" w:space="0"/>
            </w:tcBorders>
            <w:noWrap/>
            <w:vAlign w:val="center"/>
          </w:tcPr>
          <w:p w14:paraId="28905554">
            <w:pPr>
              <w:pStyle w:val="133"/>
              <w:rPr>
                <w:sz w:val="18"/>
                <w:szCs w:val="18"/>
              </w:rPr>
            </w:pPr>
            <w:r>
              <w:rPr>
                <w:sz w:val="18"/>
                <w:szCs w:val="18"/>
              </w:rPr>
              <w:t>8.33</w:t>
            </w:r>
          </w:p>
        </w:tc>
        <w:tc>
          <w:tcPr>
            <w:tcW w:w="527" w:type="dxa"/>
            <w:tcBorders>
              <w:top w:val="single" w:color="auto" w:sz="4" w:space="0"/>
              <w:left w:val="single" w:color="auto" w:sz="4" w:space="0"/>
              <w:bottom w:val="single" w:color="auto" w:sz="4" w:space="0"/>
              <w:right w:val="single" w:color="auto" w:sz="4" w:space="0"/>
            </w:tcBorders>
            <w:noWrap/>
            <w:vAlign w:val="center"/>
          </w:tcPr>
          <w:p w14:paraId="442651A8">
            <w:pPr>
              <w:pStyle w:val="133"/>
              <w:rPr>
                <w:sz w:val="18"/>
                <w:szCs w:val="18"/>
              </w:rPr>
            </w:pPr>
            <w:r>
              <w:rPr>
                <w:sz w:val="18"/>
                <w:szCs w:val="18"/>
              </w:rPr>
              <w:t>4.57</w:t>
            </w:r>
          </w:p>
        </w:tc>
        <w:tc>
          <w:tcPr>
            <w:tcW w:w="456" w:type="dxa"/>
            <w:tcBorders>
              <w:top w:val="single" w:color="auto" w:sz="4" w:space="0"/>
              <w:left w:val="single" w:color="auto" w:sz="4" w:space="0"/>
              <w:bottom w:val="single" w:color="auto" w:sz="4" w:space="0"/>
              <w:right w:val="single" w:color="auto" w:sz="4" w:space="0"/>
            </w:tcBorders>
            <w:noWrap/>
            <w:vAlign w:val="center"/>
          </w:tcPr>
          <w:p w14:paraId="0D176137">
            <w:pPr>
              <w:pStyle w:val="133"/>
              <w:rPr>
                <w:sz w:val="18"/>
                <w:szCs w:val="18"/>
              </w:rPr>
            </w:pPr>
            <w:r>
              <w:rPr>
                <w:sz w:val="18"/>
                <w:szCs w:val="18"/>
              </w:rPr>
              <w:t>3.90</w:t>
            </w:r>
          </w:p>
        </w:tc>
        <w:tc>
          <w:tcPr>
            <w:tcW w:w="483" w:type="dxa"/>
            <w:tcBorders>
              <w:top w:val="single" w:color="auto" w:sz="4" w:space="0"/>
              <w:left w:val="single" w:color="auto" w:sz="4" w:space="0"/>
              <w:bottom w:val="single" w:color="auto" w:sz="4" w:space="0"/>
              <w:right w:val="single" w:color="auto" w:sz="4" w:space="0"/>
            </w:tcBorders>
            <w:noWrap/>
            <w:vAlign w:val="center"/>
          </w:tcPr>
          <w:p w14:paraId="54F943E2">
            <w:pPr>
              <w:pStyle w:val="133"/>
              <w:rPr>
                <w:sz w:val="18"/>
                <w:szCs w:val="18"/>
              </w:rPr>
            </w:pPr>
            <w:r>
              <w:rPr>
                <w:sz w:val="18"/>
                <w:szCs w:val="18"/>
              </w:rPr>
              <w:t>3.76</w:t>
            </w:r>
          </w:p>
        </w:tc>
        <w:tc>
          <w:tcPr>
            <w:tcW w:w="403" w:type="dxa"/>
            <w:tcBorders>
              <w:top w:val="single" w:color="auto" w:sz="4" w:space="0"/>
              <w:left w:val="single" w:color="auto" w:sz="4" w:space="0"/>
              <w:bottom w:val="single" w:color="auto" w:sz="4" w:space="0"/>
              <w:right w:val="single" w:color="auto" w:sz="12" w:space="0"/>
            </w:tcBorders>
            <w:noWrap/>
            <w:vAlign w:val="center"/>
          </w:tcPr>
          <w:p w14:paraId="79AE2B2F">
            <w:pPr>
              <w:pStyle w:val="133"/>
              <w:rPr>
                <w:sz w:val="18"/>
                <w:szCs w:val="18"/>
              </w:rPr>
            </w:pPr>
            <w:r>
              <w:rPr>
                <w:sz w:val="18"/>
                <w:szCs w:val="18"/>
              </w:rPr>
              <w:t>0.27</w:t>
            </w:r>
          </w:p>
        </w:tc>
      </w:tr>
      <w:tr w14:paraId="72517E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210725F4">
            <w:pPr>
              <w:pStyle w:val="133"/>
              <w:rPr>
                <w:sz w:val="18"/>
                <w:szCs w:val="18"/>
              </w:rPr>
            </w:pPr>
            <w:r>
              <w:rPr>
                <w:sz w:val="18"/>
                <w:szCs w:val="18"/>
              </w:rPr>
              <w:t>九月</w:t>
            </w:r>
          </w:p>
        </w:tc>
        <w:tc>
          <w:tcPr>
            <w:tcW w:w="508" w:type="dxa"/>
            <w:tcBorders>
              <w:top w:val="single" w:color="auto" w:sz="4" w:space="0"/>
              <w:left w:val="single" w:color="auto" w:sz="4" w:space="0"/>
              <w:bottom w:val="single" w:color="auto" w:sz="4" w:space="0"/>
              <w:right w:val="single" w:color="auto" w:sz="4" w:space="0"/>
            </w:tcBorders>
            <w:noWrap/>
            <w:vAlign w:val="center"/>
          </w:tcPr>
          <w:p w14:paraId="2A47CA9F">
            <w:pPr>
              <w:pStyle w:val="133"/>
              <w:rPr>
                <w:sz w:val="18"/>
                <w:szCs w:val="18"/>
              </w:rPr>
            </w:pPr>
            <w:r>
              <w:rPr>
                <w:sz w:val="18"/>
                <w:szCs w:val="18"/>
              </w:rPr>
              <w:t>12.08</w:t>
            </w:r>
          </w:p>
        </w:tc>
        <w:tc>
          <w:tcPr>
            <w:tcW w:w="419" w:type="dxa"/>
            <w:tcBorders>
              <w:top w:val="single" w:color="auto" w:sz="4" w:space="0"/>
              <w:left w:val="single" w:color="auto" w:sz="4" w:space="0"/>
              <w:bottom w:val="single" w:color="auto" w:sz="4" w:space="0"/>
              <w:right w:val="single" w:color="auto" w:sz="4" w:space="0"/>
            </w:tcBorders>
            <w:noWrap/>
            <w:vAlign w:val="center"/>
          </w:tcPr>
          <w:p w14:paraId="1F350C75">
            <w:pPr>
              <w:pStyle w:val="133"/>
              <w:rPr>
                <w:sz w:val="18"/>
                <w:szCs w:val="18"/>
              </w:rPr>
            </w:pPr>
            <w:r>
              <w:rPr>
                <w:sz w:val="18"/>
                <w:szCs w:val="18"/>
              </w:rPr>
              <w:t>7.92</w:t>
            </w:r>
          </w:p>
        </w:tc>
        <w:tc>
          <w:tcPr>
            <w:tcW w:w="419" w:type="dxa"/>
            <w:tcBorders>
              <w:top w:val="single" w:color="auto" w:sz="4" w:space="0"/>
              <w:left w:val="single" w:color="auto" w:sz="4" w:space="0"/>
              <w:bottom w:val="single" w:color="auto" w:sz="4" w:space="0"/>
              <w:right w:val="single" w:color="auto" w:sz="4" w:space="0"/>
            </w:tcBorders>
            <w:noWrap/>
            <w:vAlign w:val="center"/>
          </w:tcPr>
          <w:p w14:paraId="512B9E0C">
            <w:pPr>
              <w:pStyle w:val="133"/>
              <w:rPr>
                <w:sz w:val="18"/>
                <w:szCs w:val="18"/>
              </w:rPr>
            </w:pPr>
            <w:r>
              <w:rPr>
                <w:sz w:val="18"/>
                <w:szCs w:val="18"/>
              </w:rPr>
              <w:t>9.31</w:t>
            </w:r>
          </w:p>
        </w:tc>
        <w:tc>
          <w:tcPr>
            <w:tcW w:w="420" w:type="dxa"/>
            <w:tcBorders>
              <w:top w:val="single" w:color="auto" w:sz="4" w:space="0"/>
              <w:left w:val="single" w:color="auto" w:sz="4" w:space="0"/>
              <w:bottom w:val="single" w:color="auto" w:sz="4" w:space="0"/>
              <w:right w:val="single" w:color="auto" w:sz="4" w:space="0"/>
            </w:tcBorders>
            <w:noWrap/>
            <w:vAlign w:val="center"/>
          </w:tcPr>
          <w:p w14:paraId="115B1F62">
            <w:pPr>
              <w:pStyle w:val="133"/>
              <w:rPr>
                <w:sz w:val="18"/>
                <w:szCs w:val="18"/>
              </w:rPr>
            </w:pPr>
            <w:r>
              <w:rPr>
                <w:sz w:val="18"/>
                <w:szCs w:val="18"/>
              </w:rPr>
              <w:t>9.58</w:t>
            </w:r>
          </w:p>
        </w:tc>
        <w:tc>
          <w:tcPr>
            <w:tcW w:w="456" w:type="dxa"/>
            <w:tcBorders>
              <w:top w:val="single" w:color="auto" w:sz="4" w:space="0"/>
              <w:left w:val="single" w:color="auto" w:sz="4" w:space="0"/>
              <w:bottom w:val="single" w:color="auto" w:sz="4" w:space="0"/>
              <w:right w:val="single" w:color="auto" w:sz="4" w:space="0"/>
            </w:tcBorders>
            <w:noWrap/>
            <w:vAlign w:val="center"/>
          </w:tcPr>
          <w:p w14:paraId="6FCFB117">
            <w:pPr>
              <w:pStyle w:val="133"/>
              <w:rPr>
                <w:sz w:val="18"/>
                <w:szCs w:val="18"/>
              </w:rPr>
            </w:pPr>
            <w:r>
              <w:rPr>
                <w:sz w:val="18"/>
                <w:szCs w:val="18"/>
              </w:rPr>
              <w:t>12.22</w:t>
            </w:r>
          </w:p>
        </w:tc>
        <w:tc>
          <w:tcPr>
            <w:tcW w:w="456" w:type="dxa"/>
            <w:tcBorders>
              <w:top w:val="single" w:color="auto" w:sz="4" w:space="0"/>
              <w:left w:val="single" w:color="auto" w:sz="4" w:space="0"/>
              <w:bottom w:val="single" w:color="auto" w:sz="4" w:space="0"/>
              <w:right w:val="single" w:color="auto" w:sz="4" w:space="0"/>
            </w:tcBorders>
            <w:noWrap/>
            <w:vAlign w:val="center"/>
          </w:tcPr>
          <w:p w14:paraId="0DC9ABEE">
            <w:pPr>
              <w:pStyle w:val="133"/>
              <w:rPr>
                <w:sz w:val="18"/>
                <w:szCs w:val="18"/>
              </w:rPr>
            </w:pPr>
            <w:r>
              <w:rPr>
                <w:sz w:val="18"/>
                <w:szCs w:val="18"/>
              </w:rPr>
              <w:t>7.50</w:t>
            </w:r>
          </w:p>
        </w:tc>
        <w:tc>
          <w:tcPr>
            <w:tcW w:w="403" w:type="dxa"/>
            <w:tcBorders>
              <w:top w:val="single" w:color="auto" w:sz="4" w:space="0"/>
              <w:left w:val="single" w:color="auto" w:sz="4" w:space="0"/>
              <w:bottom w:val="single" w:color="auto" w:sz="4" w:space="0"/>
              <w:right w:val="single" w:color="auto" w:sz="4" w:space="0"/>
            </w:tcBorders>
            <w:noWrap/>
            <w:vAlign w:val="center"/>
          </w:tcPr>
          <w:p w14:paraId="0CD58495">
            <w:pPr>
              <w:pStyle w:val="133"/>
              <w:rPr>
                <w:sz w:val="18"/>
                <w:szCs w:val="18"/>
              </w:rPr>
            </w:pPr>
            <w:r>
              <w:rPr>
                <w:sz w:val="18"/>
                <w:szCs w:val="18"/>
              </w:rPr>
              <w:t>5.00</w:t>
            </w:r>
          </w:p>
        </w:tc>
        <w:tc>
          <w:tcPr>
            <w:tcW w:w="403" w:type="dxa"/>
            <w:tcBorders>
              <w:top w:val="single" w:color="auto" w:sz="4" w:space="0"/>
              <w:left w:val="single" w:color="auto" w:sz="4" w:space="0"/>
              <w:bottom w:val="single" w:color="auto" w:sz="4" w:space="0"/>
              <w:right w:val="single" w:color="auto" w:sz="4" w:space="0"/>
            </w:tcBorders>
            <w:noWrap/>
            <w:vAlign w:val="center"/>
          </w:tcPr>
          <w:p w14:paraId="764C07AA">
            <w:pPr>
              <w:pStyle w:val="133"/>
              <w:rPr>
                <w:sz w:val="18"/>
                <w:szCs w:val="18"/>
              </w:rPr>
            </w:pPr>
            <w:r>
              <w:rPr>
                <w:sz w:val="18"/>
                <w:szCs w:val="18"/>
              </w:rPr>
              <w:t>2.64</w:t>
            </w:r>
          </w:p>
        </w:tc>
        <w:tc>
          <w:tcPr>
            <w:tcW w:w="403" w:type="dxa"/>
            <w:tcBorders>
              <w:top w:val="single" w:color="auto" w:sz="4" w:space="0"/>
              <w:left w:val="single" w:color="auto" w:sz="4" w:space="0"/>
              <w:bottom w:val="single" w:color="auto" w:sz="4" w:space="0"/>
              <w:right w:val="single" w:color="auto" w:sz="4" w:space="0"/>
            </w:tcBorders>
            <w:noWrap/>
            <w:vAlign w:val="center"/>
          </w:tcPr>
          <w:p w14:paraId="5DCF0628">
            <w:pPr>
              <w:pStyle w:val="133"/>
              <w:rPr>
                <w:sz w:val="18"/>
                <w:szCs w:val="18"/>
              </w:rPr>
            </w:pPr>
            <w:r>
              <w:rPr>
                <w:sz w:val="18"/>
                <w:szCs w:val="18"/>
              </w:rPr>
              <w:t>3.06</w:t>
            </w:r>
          </w:p>
        </w:tc>
        <w:tc>
          <w:tcPr>
            <w:tcW w:w="417" w:type="dxa"/>
            <w:tcBorders>
              <w:top w:val="single" w:color="auto" w:sz="4" w:space="0"/>
              <w:left w:val="single" w:color="auto" w:sz="4" w:space="0"/>
              <w:bottom w:val="single" w:color="auto" w:sz="4" w:space="0"/>
              <w:right w:val="single" w:color="auto" w:sz="4" w:space="0"/>
            </w:tcBorders>
            <w:noWrap/>
            <w:vAlign w:val="center"/>
          </w:tcPr>
          <w:p w14:paraId="6A2C210B">
            <w:pPr>
              <w:pStyle w:val="133"/>
              <w:rPr>
                <w:sz w:val="18"/>
                <w:szCs w:val="18"/>
              </w:rPr>
            </w:pPr>
            <w:r>
              <w:rPr>
                <w:sz w:val="18"/>
                <w:szCs w:val="18"/>
              </w:rPr>
              <w:t>2.22</w:t>
            </w:r>
          </w:p>
        </w:tc>
        <w:tc>
          <w:tcPr>
            <w:tcW w:w="403" w:type="dxa"/>
            <w:tcBorders>
              <w:top w:val="single" w:color="auto" w:sz="4" w:space="0"/>
              <w:left w:val="single" w:color="auto" w:sz="4" w:space="0"/>
              <w:bottom w:val="single" w:color="auto" w:sz="4" w:space="0"/>
              <w:right w:val="single" w:color="auto" w:sz="4" w:space="0"/>
            </w:tcBorders>
            <w:noWrap/>
            <w:vAlign w:val="center"/>
          </w:tcPr>
          <w:p w14:paraId="39FC8E25">
            <w:pPr>
              <w:pStyle w:val="133"/>
              <w:rPr>
                <w:sz w:val="18"/>
                <w:szCs w:val="18"/>
              </w:rPr>
            </w:pPr>
            <w:r>
              <w:rPr>
                <w:sz w:val="18"/>
                <w:szCs w:val="18"/>
              </w:rPr>
              <w:t>3.75</w:t>
            </w:r>
          </w:p>
        </w:tc>
        <w:tc>
          <w:tcPr>
            <w:tcW w:w="494" w:type="dxa"/>
            <w:tcBorders>
              <w:top w:val="single" w:color="auto" w:sz="4" w:space="0"/>
              <w:left w:val="single" w:color="auto" w:sz="4" w:space="0"/>
              <w:bottom w:val="single" w:color="auto" w:sz="4" w:space="0"/>
              <w:right w:val="single" w:color="auto" w:sz="4" w:space="0"/>
            </w:tcBorders>
            <w:noWrap/>
            <w:vAlign w:val="center"/>
          </w:tcPr>
          <w:p w14:paraId="28E5F18B">
            <w:pPr>
              <w:pStyle w:val="133"/>
              <w:rPr>
                <w:sz w:val="18"/>
                <w:szCs w:val="18"/>
              </w:rPr>
            </w:pPr>
            <w:r>
              <w:rPr>
                <w:sz w:val="18"/>
                <w:szCs w:val="18"/>
              </w:rPr>
              <w:t>4.86</w:t>
            </w:r>
          </w:p>
        </w:tc>
        <w:tc>
          <w:tcPr>
            <w:tcW w:w="456" w:type="dxa"/>
            <w:tcBorders>
              <w:top w:val="single" w:color="auto" w:sz="4" w:space="0"/>
              <w:left w:val="single" w:color="auto" w:sz="4" w:space="0"/>
              <w:bottom w:val="single" w:color="auto" w:sz="4" w:space="0"/>
              <w:right w:val="single" w:color="auto" w:sz="4" w:space="0"/>
            </w:tcBorders>
            <w:noWrap/>
            <w:vAlign w:val="center"/>
          </w:tcPr>
          <w:p w14:paraId="18701BA5">
            <w:pPr>
              <w:pStyle w:val="133"/>
              <w:rPr>
                <w:sz w:val="18"/>
                <w:szCs w:val="18"/>
              </w:rPr>
            </w:pPr>
            <w:r>
              <w:rPr>
                <w:sz w:val="18"/>
                <w:szCs w:val="18"/>
              </w:rPr>
              <w:t>7.08</w:t>
            </w:r>
          </w:p>
        </w:tc>
        <w:tc>
          <w:tcPr>
            <w:tcW w:w="527" w:type="dxa"/>
            <w:tcBorders>
              <w:top w:val="single" w:color="auto" w:sz="4" w:space="0"/>
              <w:left w:val="single" w:color="auto" w:sz="4" w:space="0"/>
              <w:bottom w:val="single" w:color="auto" w:sz="4" w:space="0"/>
              <w:right w:val="single" w:color="auto" w:sz="4" w:space="0"/>
            </w:tcBorders>
            <w:noWrap/>
            <w:vAlign w:val="center"/>
          </w:tcPr>
          <w:p w14:paraId="1FE13A9F">
            <w:pPr>
              <w:pStyle w:val="133"/>
              <w:rPr>
                <w:sz w:val="18"/>
                <w:szCs w:val="18"/>
              </w:rPr>
            </w:pPr>
            <w:r>
              <w:rPr>
                <w:sz w:val="18"/>
                <w:szCs w:val="18"/>
              </w:rPr>
              <w:t>3.47</w:t>
            </w:r>
          </w:p>
        </w:tc>
        <w:tc>
          <w:tcPr>
            <w:tcW w:w="456" w:type="dxa"/>
            <w:tcBorders>
              <w:top w:val="single" w:color="auto" w:sz="4" w:space="0"/>
              <w:left w:val="single" w:color="auto" w:sz="4" w:space="0"/>
              <w:bottom w:val="single" w:color="auto" w:sz="4" w:space="0"/>
              <w:right w:val="single" w:color="auto" w:sz="4" w:space="0"/>
            </w:tcBorders>
            <w:noWrap/>
            <w:vAlign w:val="center"/>
          </w:tcPr>
          <w:p w14:paraId="1E92A9A6">
            <w:pPr>
              <w:pStyle w:val="133"/>
              <w:rPr>
                <w:sz w:val="18"/>
                <w:szCs w:val="18"/>
              </w:rPr>
            </w:pPr>
            <w:r>
              <w:rPr>
                <w:sz w:val="18"/>
                <w:szCs w:val="18"/>
              </w:rPr>
              <w:t>4.86</w:t>
            </w:r>
          </w:p>
        </w:tc>
        <w:tc>
          <w:tcPr>
            <w:tcW w:w="483" w:type="dxa"/>
            <w:tcBorders>
              <w:top w:val="single" w:color="auto" w:sz="4" w:space="0"/>
              <w:left w:val="single" w:color="auto" w:sz="4" w:space="0"/>
              <w:bottom w:val="single" w:color="auto" w:sz="4" w:space="0"/>
              <w:right w:val="single" w:color="auto" w:sz="4" w:space="0"/>
            </w:tcBorders>
            <w:noWrap/>
            <w:vAlign w:val="center"/>
          </w:tcPr>
          <w:p w14:paraId="7B830E82">
            <w:pPr>
              <w:pStyle w:val="133"/>
              <w:rPr>
                <w:sz w:val="18"/>
                <w:szCs w:val="18"/>
              </w:rPr>
            </w:pPr>
            <w:r>
              <w:rPr>
                <w:sz w:val="18"/>
                <w:szCs w:val="18"/>
              </w:rPr>
              <w:t>4.17</w:t>
            </w:r>
          </w:p>
        </w:tc>
        <w:tc>
          <w:tcPr>
            <w:tcW w:w="403" w:type="dxa"/>
            <w:tcBorders>
              <w:top w:val="single" w:color="auto" w:sz="4" w:space="0"/>
              <w:left w:val="single" w:color="auto" w:sz="4" w:space="0"/>
              <w:bottom w:val="single" w:color="auto" w:sz="4" w:space="0"/>
              <w:right w:val="single" w:color="auto" w:sz="12" w:space="0"/>
            </w:tcBorders>
            <w:noWrap/>
            <w:vAlign w:val="center"/>
          </w:tcPr>
          <w:p w14:paraId="6DD07CD2">
            <w:pPr>
              <w:pStyle w:val="133"/>
              <w:rPr>
                <w:sz w:val="18"/>
                <w:szCs w:val="18"/>
              </w:rPr>
            </w:pPr>
            <w:r>
              <w:rPr>
                <w:sz w:val="18"/>
                <w:szCs w:val="18"/>
              </w:rPr>
              <w:t>0.28</w:t>
            </w:r>
          </w:p>
        </w:tc>
      </w:tr>
      <w:tr w14:paraId="203880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3B633262">
            <w:pPr>
              <w:pStyle w:val="133"/>
              <w:rPr>
                <w:sz w:val="18"/>
                <w:szCs w:val="18"/>
              </w:rPr>
            </w:pPr>
            <w:r>
              <w:rPr>
                <w:sz w:val="18"/>
                <w:szCs w:val="18"/>
              </w:rPr>
              <w:t>十月</w:t>
            </w:r>
          </w:p>
        </w:tc>
        <w:tc>
          <w:tcPr>
            <w:tcW w:w="508" w:type="dxa"/>
            <w:tcBorders>
              <w:top w:val="single" w:color="auto" w:sz="4" w:space="0"/>
              <w:left w:val="single" w:color="auto" w:sz="4" w:space="0"/>
              <w:bottom w:val="single" w:color="auto" w:sz="4" w:space="0"/>
              <w:right w:val="single" w:color="auto" w:sz="4" w:space="0"/>
            </w:tcBorders>
            <w:noWrap/>
            <w:vAlign w:val="center"/>
          </w:tcPr>
          <w:p w14:paraId="6790BAEE">
            <w:pPr>
              <w:pStyle w:val="133"/>
              <w:rPr>
                <w:sz w:val="18"/>
                <w:szCs w:val="18"/>
              </w:rPr>
            </w:pPr>
            <w:r>
              <w:rPr>
                <w:sz w:val="18"/>
                <w:szCs w:val="18"/>
              </w:rPr>
              <w:t>17.74</w:t>
            </w:r>
          </w:p>
        </w:tc>
        <w:tc>
          <w:tcPr>
            <w:tcW w:w="419" w:type="dxa"/>
            <w:tcBorders>
              <w:top w:val="single" w:color="auto" w:sz="4" w:space="0"/>
              <w:left w:val="single" w:color="auto" w:sz="4" w:space="0"/>
              <w:bottom w:val="single" w:color="auto" w:sz="4" w:space="0"/>
              <w:right w:val="single" w:color="auto" w:sz="4" w:space="0"/>
            </w:tcBorders>
            <w:noWrap/>
            <w:vAlign w:val="center"/>
          </w:tcPr>
          <w:p w14:paraId="36603ACA">
            <w:pPr>
              <w:pStyle w:val="133"/>
              <w:rPr>
                <w:sz w:val="18"/>
                <w:szCs w:val="18"/>
              </w:rPr>
            </w:pPr>
            <w:r>
              <w:rPr>
                <w:sz w:val="18"/>
                <w:szCs w:val="18"/>
              </w:rPr>
              <w:t>10.89</w:t>
            </w:r>
          </w:p>
        </w:tc>
        <w:tc>
          <w:tcPr>
            <w:tcW w:w="419" w:type="dxa"/>
            <w:tcBorders>
              <w:top w:val="single" w:color="auto" w:sz="4" w:space="0"/>
              <w:left w:val="single" w:color="auto" w:sz="4" w:space="0"/>
              <w:bottom w:val="single" w:color="auto" w:sz="4" w:space="0"/>
              <w:right w:val="single" w:color="auto" w:sz="4" w:space="0"/>
            </w:tcBorders>
            <w:noWrap/>
            <w:vAlign w:val="center"/>
          </w:tcPr>
          <w:p w14:paraId="24BC3AAA">
            <w:pPr>
              <w:pStyle w:val="133"/>
              <w:rPr>
                <w:sz w:val="18"/>
                <w:szCs w:val="18"/>
              </w:rPr>
            </w:pPr>
            <w:r>
              <w:rPr>
                <w:sz w:val="18"/>
                <w:szCs w:val="18"/>
              </w:rPr>
              <w:t>7.66</w:t>
            </w:r>
          </w:p>
        </w:tc>
        <w:tc>
          <w:tcPr>
            <w:tcW w:w="420" w:type="dxa"/>
            <w:tcBorders>
              <w:top w:val="single" w:color="auto" w:sz="4" w:space="0"/>
              <w:left w:val="single" w:color="auto" w:sz="4" w:space="0"/>
              <w:bottom w:val="single" w:color="auto" w:sz="4" w:space="0"/>
              <w:right w:val="single" w:color="auto" w:sz="4" w:space="0"/>
            </w:tcBorders>
            <w:noWrap/>
            <w:vAlign w:val="center"/>
          </w:tcPr>
          <w:p w14:paraId="64235915">
            <w:pPr>
              <w:pStyle w:val="133"/>
              <w:rPr>
                <w:sz w:val="18"/>
                <w:szCs w:val="18"/>
              </w:rPr>
            </w:pPr>
            <w:r>
              <w:rPr>
                <w:sz w:val="18"/>
                <w:szCs w:val="18"/>
              </w:rPr>
              <w:t>8.06</w:t>
            </w:r>
          </w:p>
        </w:tc>
        <w:tc>
          <w:tcPr>
            <w:tcW w:w="456" w:type="dxa"/>
            <w:tcBorders>
              <w:top w:val="single" w:color="auto" w:sz="4" w:space="0"/>
              <w:left w:val="single" w:color="auto" w:sz="4" w:space="0"/>
              <w:bottom w:val="single" w:color="auto" w:sz="4" w:space="0"/>
              <w:right w:val="single" w:color="auto" w:sz="4" w:space="0"/>
            </w:tcBorders>
            <w:noWrap/>
            <w:vAlign w:val="center"/>
          </w:tcPr>
          <w:p w14:paraId="3B1D65DA">
            <w:pPr>
              <w:pStyle w:val="133"/>
              <w:rPr>
                <w:sz w:val="18"/>
                <w:szCs w:val="18"/>
              </w:rPr>
            </w:pPr>
            <w:r>
              <w:rPr>
                <w:sz w:val="18"/>
                <w:szCs w:val="18"/>
              </w:rPr>
              <w:t>11.69</w:t>
            </w:r>
          </w:p>
        </w:tc>
        <w:tc>
          <w:tcPr>
            <w:tcW w:w="456" w:type="dxa"/>
            <w:tcBorders>
              <w:top w:val="single" w:color="auto" w:sz="4" w:space="0"/>
              <w:left w:val="single" w:color="auto" w:sz="4" w:space="0"/>
              <w:bottom w:val="single" w:color="auto" w:sz="4" w:space="0"/>
              <w:right w:val="single" w:color="auto" w:sz="4" w:space="0"/>
            </w:tcBorders>
            <w:noWrap/>
            <w:vAlign w:val="center"/>
          </w:tcPr>
          <w:p w14:paraId="71D93342">
            <w:pPr>
              <w:pStyle w:val="133"/>
              <w:rPr>
                <w:sz w:val="18"/>
                <w:szCs w:val="18"/>
              </w:rPr>
            </w:pPr>
            <w:r>
              <w:rPr>
                <w:sz w:val="18"/>
                <w:szCs w:val="18"/>
              </w:rPr>
              <w:t>4.30</w:t>
            </w:r>
          </w:p>
        </w:tc>
        <w:tc>
          <w:tcPr>
            <w:tcW w:w="403" w:type="dxa"/>
            <w:tcBorders>
              <w:top w:val="single" w:color="auto" w:sz="4" w:space="0"/>
              <w:left w:val="single" w:color="auto" w:sz="4" w:space="0"/>
              <w:bottom w:val="single" w:color="auto" w:sz="4" w:space="0"/>
              <w:right w:val="single" w:color="auto" w:sz="4" w:space="0"/>
            </w:tcBorders>
            <w:noWrap/>
            <w:vAlign w:val="center"/>
          </w:tcPr>
          <w:p w14:paraId="34906DBA">
            <w:pPr>
              <w:pStyle w:val="133"/>
              <w:rPr>
                <w:sz w:val="18"/>
                <w:szCs w:val="18"/>
              </w:rPr>
            </w:pPr>
            <w:r>
              <w:rPr>
                <w:sz w:val="18"/>
                <w:szCs w:val="18"/>
              </w:rPr>
              <w:t>4.70</w:t>
            </w:r>
          </w:p>
        </w:tc>
        <w:tc>
          <w:tcPr>
            <w:tcW w:w="403" w:type="dxa"/>
            <w:tcBorders>
              <w:top w:val="single" w:color="auto" w:sz="4" w:space="0"/>
              <w:left w:val="single" w:color="auto" w:sz="4" w:space="0"/>
              <w:bottom w:val="single" w:color="auto" w:sz="4" w:space="0"/>
              <w:right w:val="single" w:color="auto" w:sz="4" w:space="0"/>
            </w:tcBorders>
            <w:noWrap/>
            <w:vAlign w:val="center"/>
          </w:tcPr>
          <w:p w14:paraId="23CE5110">
            <w:pPr>
              <w:pStyle w:val="133"/>
              <w:rPr>
                <w:sz w:val="18"/>
                <w:szCs w:val="18"/>
              </w:rPr>
            </w:pPr>
            <w:r>
              <w:rPr>
                <w:sz w:val="18"/>
                <w:szCs w:val="18"/>
              </w:rPr>
              <w:t>4.17</w:t>
            </w:r>
          </w:p>
        </w:tc>
        <w:tc>
          <w:tcPr>
            <w:tcW w:w="403" w:type="dxa"/>
            <w:tcBorders>
              <w:top w:val="single" w:color="auto" w:sz="4" w:space="0"/>
              <w:left w:val="single" w:color="auto" w:sz="4" w:space="0"/>
              <w:bottom w:val="single" w:color="auto" w:sz="4" w:space="0"/>
              <w:right w:val="single" w:color="auto" w:sz="4" w:space="0"/>
            </w:tcBorders>
            <w:noWrap/>
            <w:vAlign w:val="center"/>
          </w:tcPr>
          <w:p w14:paraId="3D089A25">
            <w:pPr>
              <w:pStyle w:val="133"/>
              <w:rPr>
                <w:sz w:val="18"/>
                <w:szCs w:val="18"/>
              </w:rPr>
            </w:pPr>
            <w:r>
              <w:rPr>
                <w:sz w:val="18"/>
                <w:szCs w:val="18"/>
              </w:rPr>
              <w:t>4.30</w:t>
            </w:r>
          </w:p>
        </w:tc>
        <w:tc>
          <w:tcPr>
            <w:tcW w:w="417" w:type="dxa"/>
            <w:tcBorders>
              <w:top w:val="single" w:color="auto" w:sz="4" w:space="0"/>
              <w:left w:val="single" w:color="auto" w:sz="4" w:space="0"/>
              <w:bottom w:val="single" w:color="auto" w:sz="4" w:space="0"/>
              <w:right w:val="single" w:color="auto" w:sz="4" w:space="0"/>
            </w:tcBorders>
            <w:noWrap/>
            <w:vAlign w:val="center"/>
          </w:tcPr>
          <w:p w14:paraId="0E0E5449">
            <w:pPr>
              <w:pStyle w:val="133"/>
              <w:rPr>
                <w:sz w:val="18"/>
                <w:szCs w:val="18"/>
              </w:rPr>
            </w:pPr>
            <w:r>
              <w:rPr>
                <w:sz w:val="18"/>
                <w:szCs w:val="18"/>
              </w:rPr>
              <w:t>2.28</w:t>
            </w:r>
          </w:p>
        </w:tc>
        <w:tc>
          <w:tcPr>
            <w:tcW w:w="403" w:type="dxa"/>
            <w:tcBorders>
              <w:top w:val="single" w:color="auto" w:sz="4" w:space="0"/>
              <w:left w:val="single" w:color="auto" w:sz="4" w:space="0"/>
              <w:bottom w:val="single" w:color="auto" w:sz="4" w:space="0"/>
              <w:right w:val="single" w:color="auto" w:sz="4" w:space="0"/>
            </w:tcBorders>
            <w:noWrap/>
            <w:vAlign w:val="center"/>
          </w:tcPr>
          <w:p w14:paraId="56C43C00">
            <w:pPr>
              <w:pStyle w:val="133"/>
              <w:rPr>
                <w:sz w:val="18"/>
                <w:szCs w:val="18"/>
              </w:rPr>
            </w:pPr>
            <w:r>
              <w:rPr>
                <w:sz w:val="18"/>
                <w:szCs w:val="18"/>
              </w:rPr>
              <w:t>2.15</w:t>
            </w:r>
          </w:p>
        </w:tc>
        <w:tc>
          <w:tcPr>
            <w:tcW w:w="494" w:type="dxa"/>
            <w:tcBorders>
              <w:top w:val="single" w:color="auto" w:sz="4" w:space="0"/>
              <w:left w:val="single" w:color="auto" w:sz="4" w:space="0"/>
              <w:bottom w:val="single" w:color="auto" w:sz="4" w:space="0"/>
              <w:right w:val="single" w:color="auto" w:sz="4" w:space="0"/>
            </w:tcBorders>
            <w:noWrap/>
            <w:vAlign w:val="center"/>
          </w:tcPr>
          <w:p w14:paraId="413EB0C7">
            <w:pPr>
              <w:pStyle w:val="133"/>
              <w:rPr>
                <w:sz w:val="18"/>
                <w:szCs w:val="18"/>
              </w:rPr>
            </w:pPr>
            <w:r>
              <w:rPr>
                <w:sz w:val="18"/>
                <w:szCs w:val="18"/>
              </w:rPr>
              <w:t>4.03</w:t>
            </w:r>
          </w:p>
        </w:tc>
        <w:tc>
          <w:tcPr>
            <w:tcW w:w="456" w:type="dxa"/>
            <w:tcBorders>
              <w:top w:val="single" w:color="auto" w:sz="4" w:space="0"/>
              <w:left w:val="single" w:color="auto" w:sz="4" w:space="0"/>
              <w:bottom w:val="single" w:color="auto" w:sz="4" w:space="0"/>
              <w:right w:val="single" w:color="auto" w:sz="4" w:space="0"/>
            </w:tcBorders>
            <w:noWrap/>
            <w:vAlign w:val="center"/>
          </w:tcPr>
          <w:p w14:paraId="1D10A7E6">
            <w:pPr>
              <w:pStyle w:val="133"/>
              <w:rPr>
                <w:sz w:val="18"/>
                <w:szCs w:val="18"/>
              </w:rPr>
            </w:pPr>
            <w:r>
              <w:rPr>
                <w:sz w:val="18"/>
                <w:szCs w:val="18"/>
              </w:rPr>
              <w:t>6.45</w:t>
            </w:r>
          </w:p>
        </w:tc>
        <w:tc>
          <w:tcPr>
            <w:tcW w:w="527" w:type="dxa"/>
            <w:tcBorders>
              <w:top w:val="single" w:color="auto" w:sz="4" w:space="0"/>
              <w:left w:val="single" w:color="auto" w:sz="4" w:space="0"/>
              <w:bottom w:val="single" w:color="auto" w:sz="4" w:space="0"/>
              <w:right w:val="single" w:color="auto" w:sz="4" w:space="0"/>
            </w:tcBorders>
            <w:noWrap/>
            <w:vAlign w:val="center"/>
          </w:tcPr>
          <w:p w14:paraId="2305E1B9">
            <w:pPr>
              <w:pStyle w:val="133"/>
              <w:rPr>
                <w:sz w:val="18"/>
                <w:szCs w:val="18"/>
              </w:rPr>
            </w:pPr>
            <w:r>
              <w:rPr>
                <w:sz w:val="18"/>
                <w:szCs w:val="18"/>
              </w:rPr>
              <w:t>3.76</w:t>
            </w:r>
          </w:p>
        </w:tc>
        <w:tc>
          <w:tcPr>
            <w:tcW w:w="456" w:type="dxa"/>
            <w:tcBorders>
              <w:top w:val="single" w:color="auto" w:sz="4" w:space="0"/>
              <w:left w:val="single" w:color="auto" w:sz="4" w:space="0"/>
              <w:bottom w:val="single" w:color="auto" w:sz="4" w:space="0"/>
              <w:right w:val="single" w:color="auto" w:sz="4" w:space="0"/>
            </w:tcBorders>
            <w:noWrap/>
            <w:vAlign w:val="center"/>
          </w:tcPr>
          <w:p w14:paraId="33B12E68">
            <w:pPr>
              <w:pStyle w:val="133"/>
              <w:rPr>
                <w:sz w:val="18"/>
                <w:szCs w:val="18"/>
              </w:rPr>
            </w:pPr>
            <w:r>
              <w:rPr>
                <w:sz w:val="18"/>
                <w:szCs w:val="18"/>
              </w:rPr>
              <w:t>4.17</w:t>
            </w:r>
          </w:p>
        </w:tc>
        <w:tc>
          <w:tcPr>
            <w:tcW w:w="483" w:type="dxa"/>
            <w:tcBorders>
              <w:top w:val="single" w:color="auto" w:sz="4" w:space="0"/>
              <w:left w:val="single" w:color="auto" w:sz="4" w:space="0"/>
              <w:bottom w:val="single" w:color="auto" w:sz="4" w:space="0"/>
              <w:right w:val="single" w:color="auto" w:sz="4" w:space="0"/>
            </w:tcBorders>
            <w:noWrap/>
            <w:vAlign w:val="center"/>
          </w:tcPr>
          <w:p w14:paraId="2F4E081A">
            <w:pPr>
              <w:pStyle w:val="133"/>
              <w:rPr>
                <w:sz w:val="18"/>
                <w:szCs w:val="18"/>
              </w:rPr>
            </w:pPr>
            <w:r>
              <w:rPr>
                <w:sz w:val="18"/>
                <w:szCs w:val="18"/>
              </w:rPr>
              <w:t>3.36</w:t>
            </w:r>
          </w:p>
        </w:tc>
        <w:tc>
          <w:tcPr>
            <w:tcW w:w="403" w:type="dxa"/>
            <w:tcBorders>
              <w:top w:val="single" w:color="auto" w:sz="4" w:space="0"/>
              <w:left w:val="single" w:color="auto" w:sz="4" w:space="0"/>
              <w:bottom w:val="single" w:color="auto" w:sz="4" w:space="0"/>
              <w:right w:val="single" w:color="auto" w:sz="12" w:space="0"/>
            </w:tcBorders>
            <w:noWrap/>
            <w:vAlign w:val="center"/>
          </w:tcPr>
          <w:p w14:paraId="5F998963">
            <w:pPr>
              <w:pStyle w:val="133"/>
              <w:rPr>
                <w:sz w:val="18"/>
                <w:szCs w:val="18"/>
              </w:rPr>
            </w:pPr>
            <w:r>
              <w:rPr>
                <w:sz w:val="18"/>
                <w:szCs w:val="18"/>
              </w:rPr>
              <w:t>0.27</w:t>
            </w:r>
          </w:p>
        </w:tc>
      </w:tr>
      <w:tr w14:paraId="45BBC5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4" w:space="0"/>
              <w:right w:val="single" w:color="auto" w:sz="4" w:space="0"/>
            </w:tcBorders>
            <w:noWrap/>
            <w:vAlign w:val="center"/>
          </w:tcPr>
          <w:p w14:paraId="32B1BFD1">
            <w:pPr>
              <w:pStyle w:val="133"/>
              <w:rPr>
                <w:sz w:val="18"/>
                <w:szCs w:val="18"/>
              </w:rPr>
            </w:pPr>
            <w:r>
              <w:rPr>
                <w:sz w:val="18"/>
                <w:szCs w:val="18"/>
              </w:rPr>
              <w:t>十一月</w:t>
            </w:r>
          </w:p>
        </w:tc>
        <w:tc>
          <w:tcPr>
            <w:tcW w:w="508" w:type="dxa"/>
            <w:tcBorders>
              <w:top w:val="single" w:color="auto" w:sz="4" w:space="0"/>
              <w:left w:val="single" w:color="auto" w:sz="4" w:space="0"/>
              <w:bottom w:val="single" w:color="auto" w:sz="4" w:space="0"/>
              <w:right w:val="single" w:color="auto" w:sz="4" w:space="0"/>
            </w:tcBorders>
            <w:noWrap/>
            <w:vAlign w:val="center"/>
          </w:tcPr>
          <w:p w14:paraId="6818871F">
            <w:pPr>
              <w:pStyle w:val="133"/>
              <w:rPr>
                <w:sz w:val="18"/>
                <w:szCs w:val="18"/>
              </w:rPr>
            </w:pPr>
            <w:r>
              <w:rPr>
                <w:sz w:val="18"/>
                <w:szCs w:val="18"/>
              </w:rPr>
              <w:t>9.31</w:t>
            </w:r>
          </w:p>
        </w:tc>
        <w:tc>
          <w:tcPr>
            <w:tcW w:w="419" w:type="dxa"/>
            <w:tcBorders>
              <w:top w:val="single" w:color="auto" w:sz="4" w:space="0"/>
              <w:left w:val="single" w:color="auto" w:sz="4" w:space="0"/>
              <w:bottom w:val="single" w:color="auto" w:sz="4" w:space="0"/>
              <w:right w:val="single" w:color="auto" w:sz="4" w:space="0"/>
            </w:tcBorders>
            <w:noWrap/>
            <w:vAlign w:val="center"/>
          </w:tcPr>
          <w:p w14:paraId="10049412">
            <w:pPr>
              <w:pStyle w:val="133"/>
              <w:rPr>
                <w:sz w:val="18"/>
                <w:szCs w:val="18"/>
              </w:rPr>
            </w:pPr>
            <w:r>
              <w:rPr>
                <w:sz w:val="18"/>
                <w:szCs w:val="18"/>
              </w:rPr>
              <w:t>6.67</w:t>
            </w:r>
          </w:p>
        </w:tc>
        <w:tc>
          <w:tcPr>
            <w:tcW w:w="419" w:type="dxa"/>
            <w:tcBorders>
              <w:top w:val="single" w:color="auto" w:sz="4" w:space="0"/>
              <w:left w:val="single" w:color="auto" w:sz="4" w:space="0"/>
              <w:bottom w:val="single" w:color="auto" w:sz="4" w:space="0"/>
              <w:right w:val="single" w:color="auto" w:sz="4" w:space="0"/>
            </w:tcBorders>
            <w:noWrap/>
            <w:vAlign w:val="center"/>
          </w:tcPr>
          <w:p w14:paraId="1AB127EB">
            <w:pPr>
              <w:pStyle w:val="133"/>
              <w:rPr>
                <w:sz w:val="18"/>
                <w:szCs w:val="18"/>
              </w:rPr>
            </w:pPr>
            <w:r>
              <w:rPr>
                <w:sz w:val="18"/>
                <w:szCs w:val="18"/>
              </w:rPr>
              <w:t>6.39</w:t>
            </w:r>
          </w:p>
        </w:tc>
        <w:tc>
          <w:tcPr>
            <w:tcW w:w="420" w:type="dxa"/>
            <w:tcBorders>
              <w:top w:val="single" w:color="auto" w:sz="4" w:space="0"/>
              <w:left w:val="single" w:color="auto" w:sz="4" w:space="0"/>
              <w:bottom w:val="single" w:color="auto" w:sz="4" w:space="0"/>
              <w:right w:val="single" w:color="auto" w:sz="4" w:space="0"/>
            </w:tcBorders>
            <w:noWrap/>
            <w:vAlign w:val="center"/>
          </w:tcPr>
          <w:p w14:paraId="195530C0">
            <w:pPr>
              <w:pStyle w:val="133"/>
              <w:rPr>
                <w:sz w:val="18"/>
                <w:szCs w:val="18"/>
              </w:rPr>
            </w:pPr>
            <w:r>
              <w:rPr>
                <w:sz w:val="18"/>
                <w:szCs w:val="18"/>
              </w:rPr>
              <w:t>13.19</w:t>
            </w:r>
          </w:p>
        </w:tc>
        <w:tc>
          <w:tcPr>
            <w:tcW w:w="456" w:type="dxa"/>
            <w:tcBorders>
              <w:top w:val="single" w:color="auto" w:sz="4" w:space="0"/>
              <w:left w:val="single" w:color="auto" w:sz="4" w:space="0"/>
              <w:bottom w:val="single" w:color="auto" w:sz="4" w:space="0"/>
              <w:right w:val="single" w:color="auto" w:sz="4" w:space="0"/>
            </w:tcBorders>
            <w:noWrap/>
            <w:vAlign w:val="center"/>
          </w:tcPr>
          <w:p w14:paraId="743BE913">
            <w:pPr>
              <w:pStyle w:val="133"/>
              <w:rPr>
                <w:sz w:val="18"/>
                <w:szCs w:val="18"/>
              </w:rPr>
            </w:pPr>
            <w:r>
              <w:rPr>
                <w:sz w:val="18"/>
                <w:szCs w:val="18"/>
              </w:rPr>
              <w:t>20.14</w:t>
            </w:r>
          </w:p>
        </w:tc>
        <w:tc>
          <w:tcPr>
            <w:tcW w:w="456" w:type="dxa"/>
            <w:tcBorders>
              <w:top w:val="single" w:color="auto" w:sz="4" w:space="0"/>
              <w:left w:val="single" w:color="auto" w:sz="4" w:space="0"/>
              <w:bottom w:val="single" w:color="auto" w:sz="4" w:space="0"/>
              <w:right w:val="single" w:color="auto" w:sz="4" w:space="0"/>
            </w:tcBorders>
            <w:noWrap/>
            <w:vAlign w:val="center"/>
          </w:tcPr>
          <w:p w14:paraId="39696800">
            <w:pPr>
              <w:pStyle w:val="133"/>
              <w:rPr>
                <w:sz w:val="18"/>
                <w:szCs w:val="18"/>
              </w:rPr>
            </w:pPr>
            <w:r>
              <w:rPr>
                <w:sz w:val="18"/>
                <w:szCs w:val="18"/>
              </w:rPr>
              <w:t>4.72</w:t>
            </w:r>
          </w:p>
        </w:tc>
        <w:tc>
          <w:tcPr>
            <w:tcW w:w="403" w:type="dxa"/>
            <w:tcBorders>
              <w:top w:val="single" w:color="auto" w:sz="4" w:space="0"/>
              <w:left w:val="single" w:color="auto" w:sz="4" w:space="0"/>
              <w:bottom w:val="single" w:color="auto" w:sz="4" w:space="0"/>
              <w:right w:val="single" w:color="auto" w:sz="4" w:space="0"/>
            </w:tcBorders>
            <w:noWrap/>
            <w:vAlign w:val="center"/>
          </w:tcPr>
          <w:p w14:paraId="1BC7A9A2">
            <w:pPr>
              <w:pStyle w:val="133"/>
              <w:rPr>
                <w:sz w:val="18"/>
                <w:szCs w:val="18"/>
              </w:rPr>
            </w:pPr>
            <w:r>
              <w:rPr>
                <w:sz w:val="18"/>
                <w:szCs w:val="18"/>
              </w:rPr>
              <w:t>6.11</w:t>
            </w:r>
          </w:p>
        </w:tc>
        <w:tc>
          <w:tcPr>
            <w:tcW w:w="403" w:type="dxa"/>
            <w:tcBorders>
              <w:top w:val="single" w:color="auto" w:sz="4" w:space="0"/>
              <w:left w:val="single" w:color="auto" w:sz="4" w:space="0"/>
              <w:bottom w:val="single" w:color="auto" w:sz="4" w:space="0"/>
              <w:right w:val="single" w:color="auto" w:sz="4" w:space="0"/>
            </w:tcBorders>
            <w:noWrap/>
            <w:vAlign w:val="center"/>
          </w:tcPr>
          <w:p w14:paraId="55C37954">
            <w:pPr>
              <w:pStyle w:val="133"/>
              <w:rPr>
                <w:sz w:val="18"/>
                <w:szCs w:val="18"/>
              </w:rPr>
            </w:pPr>
            <w:r>
              <w:rPr>
                <w:sz w:val="18"/>
                <w:szCs w:val="18"/>
              </w:rPr>
              <w:t>3.33</w:t>
            </w:r>
          </w:p>
        </w:tc>
        <w:tc>
          <w:tcPr>
            <w:tcW w:w="403" w:type="dxa"/>
            <w:tcBorders>
              <w:top w:val="single" w:color="auto" w:sz="4" w:space="0"/>
              <w:left w:val="single" w:color="auto" w:sz="4" w:space="0"/>
              <w:bottom w:val="single" w:color="auto" w:sz="4" w:space="0"/>
              <w:right w:val="single" w:color="auto" w:sz="4" w:space="0"/>
            </w:tcBorders>
            <w:noWrap/>
            <w:vAlign w:val="center"/>
          </w:tcPr>
          <w:p w14:paraId="47125E50">
            <w:pPr>
              <w:pStyle w:val="133"/>
              <w:rPr>
                <w:sz w:val="18"/>
                <w:szCs w:val="18"/>
              </w:rPr>
            </w:pPr>
            <w:r>
              <w:rPr>
                <w:sz w:val="18"/>
                <w:szCs w:val="18"/>
              </w:rPr>
              <w:t>3.33</w:t>
            </w:r>
          </w:p>
        </w:tc>
        <w:tc>
          <w:tcPr>
            <w:tcW w:w="417" w:type="dxa"/>
            <w:tcBorders>
              <w:top w:val="single" w:color="auto" w:sz="4" w:space="0"/>
              <w:left w:val="single" w:color="auto" w:sz="4" w:space="0"/>
              <w:bottom w:val="single" w:color="auto" w:sz="4" w:space="0"/>
              <w:right w:val="single" w:color="auto" w:sz="4" w:space="0"/>
            </w:tcBorders>
            <w:noWrap/>
            <w:vAlign w:val="center"/>
          </w:tcPr>
          <w:p w14:paraId="26B8F1E4">
            <w:pPr>
              <w:pStyle w:val="133"/>
              <w:rPr>
                <w:sz w:val="18"/>
                <w:szCs w:val="18"/>
              </w:rPr>
            </w:pPr>
            <w:r>
              <w:rPr>
                <w:sz w:val="18"/>
                <w:szCs w:val="18"/>
              </w:rPr>
              <w:t>1.81</w:t>
            </w:r>
          </w:p>
        </w:tc>
        <w:tc>
          <w:tcPr>
            <w:tcW w:w="403" w:type="dxa"/>
            <w:tcBorders>
              <w:top w:val="single" w:color="auto" w:sz="4" w:space="0"/>
              <w:left w:val="single" w:color="auto" w:sz="4" w:space="0"/>
              <w:bottom w:val="single" w:color="auto" w:sz="4" w:space="0"/>
              <w:right w:val="single" w:color="auto" w:sz="4" w:space="0"/>
            </w:tcBorders>
            <w:noWrap/>
            <w:vAlign w:val="center"/>
          </w:tcPr>
          <w:p w14:paraId="20246E9A">
            <w:pPr>
              <w:pStyle w:val="133"/>
              <w:rPr>
                <w:sz w:val="18"/>
                <w:szCs w:val="18"/>
              </w:rPr>
            </w:pPr>
            <w:r>
              <w:rPr>
                <w:sz w:val="18"/>
                <w:szCs w:val="18"/>
              </w:rPr>
              <w:t>2.64</w:t>
            </w:r>
          </w:p>
        </w:tc>
        <w:tc>
          <w:tcPr>
            <w:tcW w:w="494" w:type="dxa"/>
            <w:tcBorders>
              <w:top w:val="single" w:color="auto" w:sz="4" w:space="0"/>
              <w:left w:val="single" w:color="auto" w:sz="4" w:space="0"/>
              <w:bottom w:val="single" w:color="auto" w:sz="4" w:space="0"/>
              <w:right w:val="single" w:color="auto" w:sz="4" w:space="0"/>
            </w:tcBorders>
            <w:noWrap/>
            <w:vAlign w:val="center"/>
          </w:tcPr>
          <w:p w14:paraId="30B3DB52">
            <w:pPr>
              <w:pStyle w:val="133"/>
              <w:rPr>
                <w:sz w:val="18"/>
                <w:szCs w:val="18"/>
              </w:rPr>
            </w:pPr>
            <w:r>
              <w:rPr>
                <w:sz w:val="18"/>
                <w:szCs w:val="18"/>
              </w:rPr>
              <w:t>3.61</w:t>
            </w:r>
          </w:p>
        </w:tc>
        <w:tc>
          <w:tcPr>
            <w:tcW w:w="456" w:type="dxa"/>
            <w:tcBorders>
              <w:top w:val="single" w:color="auto" w:sz="4" w:space="0"/>
              <w:left w:val="single" w:color="auto" w:sz="4" w:space="0"/>
              <w:bottom w:val="single" w:color="auto" w:sz="4" w:space="0"/>
              <w:right w:val="single" w:color="auto" w:sz="4" w:space="0"/>
            </w:tcBorders>
            <w:noWrap/>
            <w:vAlign w:val="center"/>
          </w:tcPr>
          <w:p w14:paraId="7EF1964D">
            <w:pPr>
              <w:pStyle w:val="133"/>
              <w:rPr>
                <w:sz w:val="18"/>
                <w:szCs w:val="18"/>
              </w:rPr>
            </w:pPr>
            <w:r>
              <w:rPr>
                <w:sz w:val="18"/>
                <w:szCs w:val="18"/>
              </w:rPr>
              <w:t>8.06</w:t>
            </w:r>
          </w:p>
        </w:tc>
        <w:tc>
          <w:tcPr>
            <w:tcW w:w="527" w:type="dxa"/>
            <w:tcBorders>
              <w:top w:val="single" w:color="auto" w:sz="4" w:space="0"/>
              <w:left w:val="single" w:color="auto" w:sz="4" w:space="0"/>
              <w:bottom w:val="single" w:color="auto" w:sz="4" w:space="0"/>
              <w:right w:val="single" w:color="auto" w:sz="4" w:space="0"/>
            </w:tcBorders>
            <w:noWrap/>
            <w:vAlign w:val="center"/>
          </w:tcPr>
          <w:p w14:paraId="15200D0C">
            <w:pPr>
              <w:pStyle w:val="133"/>
              <w:rPr>
                <w:sz w:val="18"/>
                <w:szCs w:val="18"/>
              </w:rPr>
            </w:pPr>
            <w:r>
              <w:rPr>
                <w:sz w:val="18"/>
                <w:szCs w:val="18"/>
              </w:rPr>
              <w:t>3.47</w:t>
            </w:r>
          </w:p>
        </w:tc>
        <w:tc>
          <w:tcPr>
            <w:tcW w:w="456" w:type="dxa"/>
            <w:tcBorders>
              <w:top w:val="single" w:color="auto" w:sz="4" w:space="0"/>
              <w:left w:val="single" w:color="auto" w:sz="4" w:space="0"/>
              <w:bottom w:val="single" w:color="auto" w:sz="4" w:space="0"/>
              <w:right w:val="single" w:color="auto" w:sz="4" w:space="0"/>
            </w:tcBorders>
            <w:noWrap/>
            <w:vAlign w:val="center"/>
          </w:tcPr>
          <w:p w14:paraId="09A14F9E">
            <w:pPr>
              <w:pStyle w:val="133"/>
              <w:rPr>
                <w:sz w:val="18"/>
                <w:szCs w:val="18"/>
              </w:rPr>
            </w:pPr>
            <w:r>
              <w:rPr>
                <w:sz w:val="18"/>
                <w:szCs w:val="18"/>
              </w:rPr>
              <w:t>3.89</w:t>
            </w:r>
          </w:p>
        </w:tc>
        <w:tc>
          <w:tcPr>
            <w:tcW w:w="483" w:type="dxa"/>
            <w:tcBorders>
              <w:top w:val="single" w:color="auto" w:sz="4" w:space="0"/>
              <w:left w:val="single" w:color="auto" w:sz="4" w:space="0"/>
              <w:bottom w:val="single" w:color="auto" w:sz="4" w:space="0"/>
              <w:right w:val="single" w:color="auto" w:sz="4" w:space="0"/>
            </w:tcBorders>
            <w:noWrap/>
            <w:vAlign w:val="center"/>
          </w:tcPr>
          <w:p w14:paraId="0C78141A">
            <w:pPr>
              <w:pStyle w:val="133"/>
              <w:rPr>
                <w:sz w:val="18"/>
                <w:szCs w:val="18"/>
              </w:rPr>
            </w:pPr>
            <w:r>
              <w:rPr>
                <w:sz w:val="18"/>
                <w:szCs w:val="18"/>
              </w:rPr>
              <w:t>3.06</w:t>
            </w:r>
          </w:p>
        </w:tc>
        <w:tc>
          <w:tcPr>
            <w:tcW w:w="403" w:type="dxa"/>
            <w:tcBorders>
              <w:top w:val="single" w:color="auto" w:sz="4" w:space="0"/>
              <w:left w:val="single" w:color="auto" w:sz="4" w:space="0"/>
              <w:bottom w:val="single" w:color="auto" w:sz="4" w:space="0"/>
              <w:right w:val="single" w:color="auto" w:sz="12" w:space="0"/>
            </w:tcBorders>
            <w:noWrap/>
            <w:vAlign w:val="center"/>
          </w:tcPr>
          <w:p w14:paraId="75A7E9A8">
            <w:pPr>
              <w:pStyle w:val="133"/>
              <w:rPr>
                <w:sz w:val="18"/>
                <w:szCs w:val="18"/>
              </w:rPr>
            </w:pPr>
            <w:r>
              <w:rPr>
                <w:sz w:val="18"/>
                <w:szCs w:val="18"/>
              </w:rPr>
              <w:t>0.28</w:t>
            </w:r>
          </w:p>
        </w:tc>
      </w:tr>
      <w:tr w14:paraId="743B6C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397" w:hRule="atLeast"/>
          <w:jc w:val="center"/>
        </w:trPr>
        <w:tc>
          <w:tcPr>
            <w:tcW w:w="491" w:type="dxa"/>
            <w:tcBorders>
              <w:top w:val="single" w:color="auto" w:sz="4" w:space="0"/>
              <w:left w:val="single" w:color="auto" w:sz="12" w:space="0"/>
              <w:bottom w:val="single" w:color="auto" w:sz="12" w:space="0"/>
              <w:right w:val="single" w:color="auto" w:sz="4" w:space="0"/>
            </w:tcBorders>
            <w:noWrap/>
            <w:vAlign w:val="center"/>
          </w:tcPr>
          <w:p w14:paraId="4F918F95">
            <w:pPr>
              <w:pStyle w:val="133"/>
              <w:rPr>
                <w:sz w:val="18"/>
                <w:szCs w:val="18"/>
              </w:rPr>
            </w:pPr>
            <w:r>
              <w:rPr>
                <w:sz w:val="18"/>
                <w:szCs w:val="18"/>
              </w:rPr>
              <w:t>十二月</w:t>
            </w:r>
          </w:p>
        </w:tc>
        <w:tc>
          <w:tcPr>
            <w:tcW w:w="508" w:type="dxa"/>
            <w:tcBorders>
              <w:top w:val="single" w:color="auto" w:sz="4" w:space="0"/>
              <w:left w:val="single" w:color="auto" w:sz="4" w:space="0"/>
              <w:bottom w:val="single" w:color="auto" w:sz="12" w:space="0"/>
              <w:right w:val="single" w:color="auto" w:sz="4" w:space="0"/>
            </w:tcBorders>
            <w:noWrap/>
            <w:vAlign w:val="center"/>
          </w:tcPr>
          <w:p w14:paraId="1E3E2EAF">
            <w:pPr>
              <w:pStyle w:val="133"/>
              <w:rPr>
                <w:sz w:val="18"/>
                <w:szCs w:val="18"/>
              </w:rPr>
            </w:pPr>
            <w:r>
              <w:rPr>
                <w:sz w:val="18"/>
                <w:szCs w:val="18"/>
              </w:rPr>
              <w:t>5.91</w:t>
            </w:r>
          </w:p>
        </w:tc>
        <w:tc>
          <w:tcPr>
            <w:tcW w:w="419" w:type="dxa"/>
            <w:tcBorders>
              <w:top w:val="single" w:color="auto" w:sz="4" w:space="0"/>
              <w:left w:val="single" w:color="auto" w:sz="4" w:space="0"/>
              <w:bottom w:val="single" w:color="auto" w:sz="12" w:space="0"/>
              <w:right w:val="single" w:color="auto" w:sz="4" w:space="0"/>
            </w:tcBorders>
            <w:noWrap/>
            <w:vAlign w:val="center"/>
          </w:tcPr>
          <w:p w14:paraId="5291A419">
            <w:pPr>
              <w:pStyle w:val="133"/>
              <w:rPr>
                <w:sz w:val="18"/>
                <w:szCs w:val="18"/>
              </w:rPr>
            </w:pPr>
            <w:r>
              <w:rPr>
                <w:sz w:val="18"/>
                <w:szCs w:val="18"/>
              </w:rPr>
              <w:t>5.24</w:t>
            </w:r>
          </w:p>
        </w:tc>
        <w:tc>
          <w:tcPr>
            <w:tcW w:w="419" w:type="dxa"/>
            <w:tcBorders>
              <w:top w:val="single" w:color="auto" w:sz="4" w:space="0"/>
              <w:left w:val="single" w:color="auto" w:sz="4" w:space="0"/>
              <w:bottom w:val="single" w:color="auto" w:sz="12" w:space="0"/>
              <w:right w:val="single" w:color="auto" w:sz="4" w:space="0"/>
            </w:tcBorders>
            <w:noWrap/>
            <w:vAlign w:val="center"/>
          </w:tcPr>
          <w:p w14:paraId="38513996">
            <w:pPr>
              <w:pStyle w:val="133"/>
              <w:rPr>
                <w:sz w:val="18"/>
                <w:szCs w:val="18"/>
              </w:rPr>
            </w:pPr>
            <w:r>
              <w:rPr>
                <w:sz w:val="18"/>
                <w:szCs w:val="18"/>
              </w:rPr>
              <w:t>7.80</w:t>
            </w:r>
          </w:p>
        </w:tc>
        <w:tc>
          <w:tcPr>
            <w:tcW w:w="420" w:type="dxa"/>
            <w:tcBorders>
              <w:top w:val="single" w:color="auto" w:sz="4" w:space="0"/>
              <w:left w:val="single" w:color="auto" w:sz="4" w:space="0"/>
              <w:bottom w:val="single" w:color="auto" w:sz="12" w:space="0"/>
              <w:right w:val="single" w:color="auto" w:sz="4" w:space="0"/>
            </w:tcBorders>
            <w:noWrap/>
            <w:vAlign w:val="center"/>
          </w:tcPr>
          <w:p w14:paraId="1F1AF58D">
            <w:pPr>
              <w:pStyle w:val="133"/>
              <w:rPr>
                <w:sz w:val="18"/>
                <w:szCs w:val="18"/>
              </w:rPr>
            </w:pPr>
            <w:r>
              <w:rPr>
                <w:sz w:val="18"/>
                <w:szCs w:val="18"/>
              </w:rPr>
              <w:t>16.94</w:t>
            </w:r>
          </w:p>
        </w:tc>
        <w:tc>
          <w:tcPr>
            <w:tcW w:w="456" w:type="dxa"/>
            <w:tcBorders>
              <w:top w:val="single" w:color="auto" w:sz="4" w:space="0"/>
              <w:left w:val="single" w:color="auto" w:sz="4" w:space="0"/>
              <w:bottom w:val="single" w:color="auto" w:sz="12" w:space="0"/>
              <w:right w:val="single" w:color="auto" w:sz="4" w:space="0"/>
            </w:tcBorders>
            <w:noWrap/>
            <w:vAlign w:val="center"/>
          </w:tcPr>
          <w:p w14:paraId="684AF5B1">
            <w:pPr>
              <w:pStyle w:val="133"/>
              <w:rPr>
                <w:sz w:val="18"/>
                <w:szCs w:val="18"/>
              </w:rPr>
            </w:pPr>
            <w:r>
              <w:rPr>
                <w:sz w:val="18"/>
                <w:szCs w:val="18"/>
              </w:rPr>
              <w:t>20.43</w:t>
            </w:r>
          </w:p>
        </w:tc>
        <w:tc>
          <w:tcPr>
            <w:tcW w:w="456" w:type="dxa"/>
            <w:tcBorders>
              <w:top w:val="single" w:color="auto" w:sz="4" w:space="0"/>
              <w:left w:val="single" w:color="auto" w:sz="4" w:space="0"/>
              <w:bottom w:val="single" w:color="auto" w:sz="12" w:space="0"/>
              <w:right w:val="single" w:color="auto" w:sz="4" w:space="0"/>
            </w:tcBorders>
            <w:noWrap/>
            <w:vAlign w:val="center"/>
          </w:tcPr>
          <w:p w14:paraId="1EC06E7B">
            <w:pPr>
              <w:pStyle w:val="133"/>
              <w:rPr>
                <w:sz w:val="18"/>
                <w:szCs w:val="18"/>
              </w:rPr>
            </w:pPr>
            <w:r>
              <w:rPr>
                <w:sz w:val="18"/>
                <w:szCs w:val="18"/>
              </w:rPr>
              <w:t>4.97</w:t>
            </w:r>
          </w:p>
        </w:tc>
        <w:tc>
          <w:tcPr>
            <w:tcW w:w="403" w:type="dxa"/>
            <w:tcBorders>
              <w:top w:val="single" w:color="auto" w:sz="4" w:space="0"/>
              <w:left w:val="single" w:color="auto" w:sz="4" w:space="0"/>
              <w:bottom w:val="single" w:color="auto" w:sz="12" w:space="0"/>
              <w:right w:val="single" w:color="auto" w:sz="4" w:space="0"/>
            </w:tcBorders>
            <w:noWrap/>
            <w:vAlign w:val="center"/>
          </w:tcPr>
          <w:p w14:paraId="575B1CBB">
            <w:pPr>
              <w:pStyle w:val="133"/>
              <w:rPr>
                <w:sz w:val="18"/>
                <w:szCs w:val="18"/>
              </w:rPr>
            </w:pPr>
            <w:r>
              <w:rPr>
                <w:sz w:val="18"/>
                <w:szCs w:val="18"/>
              </w:rPr>
              <w:t>4.57</w:t>
            </w:r>
          </w:p>
        </w:tc>
        <w:tc>
          <w:tcPr>
            <w:tcW w:w="403" w:type="dxa"/>
            <w:tcBorders>
              <w:top w:val="single" w:color="auto" w:sz="4" w:space="0"/>
              <w:left w:val="single" w:color="auto" w:sz="4" w:space="0"/>
              <w:bottom w:val="single" w:color="auto" w:sz="12" w:space="0"/>
              <w:right w:val="single" w:color="auto" w:sz="4" w:space="0"/>
            </w:tcBorders>
            <w:noWrap/>
            <w:vAlign w:val="center"/>
          </w:tcPr>
          <w:p w14:paraId="5D6A06AD">
            <w:pPr>
              <w:pStyle w:val="133"/>
              <w:rPr>
                <w:sz w:val="18"/>
                <w:szCs w:val="18"/>
              </w:rPr>
            </w:pPr>
            <w:r>
              <w:rPr>
                <w:sz w:val="18"/>
                <w:szCs w:val="18"/>
              </w:rPr>
              <w:t>3.49</w:t>
            </w:r>
          </w:p>
        </w:tc>
        <w:tc>
          <w:tcPr>
            <w:tcW w:w="403" w:type="dxa"/>
            <w:tcBorders>
              <w:top w:val="single" w:color="auto" w:sz="4" w:space="0"/>
              <w:left w:val="single" w:color="auto" w:sz="4" w:space="0"/>
              <w:bottom w:val="single" w:color="auto" w:sz="12" w:space="0"/>
              <w:right w:val="single" w:color="auto" w:sz="4" w:space="0"/>
            </w:tcBorders>
            <w:noWrap/>
            <w:vAlign w:val="center"/>
          </w:tcPr>
          <w:p w14:paraId="478F0565">
            <w:pPr>
              <w:pStyle w:val="133"/>
              <w:rPr>
                <w:sz w:val="18"/>
                <w:szCs w:val="18"/>
              </w:rPr>
            </w:pPr>
            <w:r>
              <w:rPr>
                <w:sz w:val="18"/>
                <w:szCs w:val="18"/>
              </w:rPr>
              <w:t>6.18</w:t>
            </w:r>
          </w:p>
        </w:tc>
        <w:tc>
          <w:tcPr>
            <w:tcW w:w="417" w:type="dxa"/>
            <w:tcBorders>
              <w:top w:val="single" w:color="auto" w:sz="4" w:space="0"/>
              <w:left w:val="single" w:color="auto" w:sz="4" w:space="0"/>
              <w:bottom w:val="single" w:color="auto" w:sz="12" w:space="0"/>
              <w:right w:val="single" w:color="auto" w:sz="4" w:space="0"/>
            </w:tcBorders>
            <w:noWrap/>
            <w:vAlign w:val="center"/>
          </w:tcPr>
          <w:p w14:paraId="54CED8C5">
            <w:pPr>
              <w:pStyle w:val="133"/>
              <w:rPr>
                <w:sz w:val="18"/>
                <w:szCs w:val="18"/>
              </w:rPr>
            </w:pPr>
            <w:r>
              <w:rPr>
                <w:sz w:val="18"/>
                <w:szCs w:val="18"/>
              </w:rPr>
              <w:t>3.23</w:t>
            </w:r>
          </w:p>
        </w:tc>
        <w:tc>
          <w:tcPr>
            <w:tcW w:w="403" w:type="dxa"/>
            <w:tcBorders>
              <w:top w:val="single" w:color="auto" w:sz="4" w:space="0"/>
              <w:left w:val="single" w:color="auto" w:sz="4" w:space="0"/>
              <w:bottom w:val="single" w:color="auto" w:sz="12" w:space="0"/>
              <w:right w:val="single" w:color="auto" w:sz="4" w:space="0"/>
            </w:tcBorders>
            <w:noWrap/>
            <w:vAlign w:val="center"/>
          </w:tcPr>
          <w:p w14:paraId="1E5ED8AE">
            <w:pPr>
              <w:pStyle w:val="133"/>
              <w:rPr>
                <w:sz w:val="18"/>
                <w:szCs w:val="18"/>
              </w:rPr>
            </w:pPr>
            <w:r>
              <w:rPr>
                <w:sz w:val="18"/>
                <w:szCs w:val="18"/>
              </w:rPr>
              <w:t>2.69</w:t>
            </w:r>
          </w:p>
        </w:tc>
        <w:tc>
          <w:tcPr>
            <w:tcW w:w="494" w:type="dxa"/>
            <w:tcBorders>
              <w:top w:val="single" w:color="auto" w:sz="4" w:space="0"/>
              <w:left w:val="single" w:color="auto" w:sz="4" w:space="0"/>
              <w:bottom w:val="single" w:color="auto" w:sz="12" w:space="0"/>
              <w:right w:val="single" w:color="auto" w:sz="4" w:space="0"/>
            </w:tcBorders>
            <w:noWrap/>
            <w:vAlign w:val="center"/>
          </w:tcPr>
          <w:p w14:paraId="37AB6041">
            <w:pPr>
              <w:pStyle w:val="133"/>
              <w:rPr>
                <w:sz w:val="18"/>
                <w:szCs w:val="18"/>
              </w:rPr>
            </w:pPr>
            <w:r>
              <w:rPr>
                <w:sz w:val="18"/>
                <w:szCs w:val="18"/>
              </w:rPr>
              <w:t>3.36</w:t>
            </w:r>
          </w:p>
        </w:tc>
        <w:tc>
          <w:tcPr>
            <w:tcW w:w="456" w:type="dxa"/>
            <w:tcBorders>
              <w:top w:val="single" w:color="auto" w:sz="4" w:space="0"/>
              <w:left w:val="single" w:color="auto" w:sz="4" w:space="0"/>
              <w:bottom w:val="single" w:color="auto" w:sz="12" w:space="0"/>
              <w:right w:val="single" w:color="auto" w:sz="4" w:space="0"/>
            </w:tcBorders>
            <w:noWrap/>
            <w:vAlign w:val="center"/>
          </w:tcPr>
          <w:p w14:paraId="44987DAC">
            <w:pPr>
              <w:pStyle w:val="133"/>
              <w:rPr>
                <w:sz w:val="18"/>
                <w:szCs w:val="18"/>
              </w:rPr>
            </w:pPr>
            <w:r>
              <w:rPr>
                <w:sz w:val="18"/>
                <w:szCs w:val="18"/>
              </w:rPr>
              <w:t>4.44</w:t>
            </w:r>
          </w:p>
        </w:tc>
        <w:tc>
          <w:tcPr>
            <w:tcW w:w="527" w:type="dxa"/>
            <w:tcBorders>
              <w:top w:val="single" w:color="auto" w:sz="4" w:space="0"/>
              <w:left w:val="single" w:color="auto" w:sz="4" w:space="0"/>
              <w:bottom w:val="single" w:color="auto" w:sz="12" w:space="0"/>
              <w:right w:val="single" w:color="auto" w:sz="4" w:space="0"/>
            </w:tcBorders>
            <w:noWrap/>
            <w:vAlign w:val="center"/>
          </w:tcPr>
          <w:p w14:paraId="291A0415">
            <w:pPr>
              <w:pStyle w:val="133"/>
              <w:rPr>
                <w:sz w:val="18"/>
                <w:szCs w:val="18"/>
              </w:rPr>
            </w:pPr>
            <w:r>
              <w:rPr>
                <w:sz w:val="18"/>
                <w:szCs w:val="18"/>
              </w:rPr>
              <w:t>4.30</w:t>
            </w:r>
          </w:p>
        </w:tc>
        <w:tc>
          <w:tcPr>
            <w:tcW w:w="456" w:type="dxa"/>
            <w:tcBorders>
              <w:top w:val="single" w:color="auto" w:sz="4" w:space="0"/>
              <w:left w:val="single" w:color="auto" w:sz="4" w:space="0"/>
              <w:bottom w:val="single" w:color="auto" w:sz="12" w:space="0"/>
              <w:right w:val="single" w:color="auto" w:sz="4" w:space="0"/>
            </w:tcBorders>
            <w:noWrap/>
            <w:vAlign w:val="center"/>
          </w:tcPr>
          <w:p w14:paraId="661B4FE0">
            <w:pPr>
              <w:pStyle w:val="133"/>
              <w:rPr>
                <w:sz w:val="18"/>
                <w:szCs w:val="18"/>
              </w:rPr>
            </w:pPr>
            <w:r>
              <w:rPr>
                <w:sz w:val="18"/>
                <w:szCs w:val="18"/>
              </w:rPr>
              <w:t>4.57</w:t>
            </w:r>
          </w:p>
        </w:tc>
        <w:tc>
          <w:tcPr>
            <w:tcW w:w="483" w:type="dxa"/>
            <w:tcBorders>
              <w:top w:val="single" w:color="auto" w:sz="4" w:space="0"/>
              <w:left w:val="single" w:color="auto" w:sz="4" w:space="0"/>
              <w:bottom w:val="single" w:color="auto" w:sz="12" w:space="0"/>
              <w:right w:val="single" w:color="auto" w:sz="4" w:space="0"/>
            </w:tcBorders>
            <w:noWrap/>
            <w:vAlign w:val="center"/>
          </w:tcPr>
          <w:p w14:paraId="40D431B2">
            <w:pPr>
              <w:pStyle w:val="133"/>
              <w:rPr>
                <w:sz w:val="18"/>
                <w:szCs w:val="18"/>
              </w:rPr>
            </w:pPr>
            <w:r>
              <w:rPr>
                <w:sz w:val="18"/>
                <w:szCs w:val="18"/>
              </w:rPr>
              <w:t>1.34</w:t>
            </w:r>
          </w:p>
        </w:tc>
        <w:tc>
          <w:tcPr>
            <w:tcW w:w="403" w:type="dxa"/>
            <w:tcBorders>
              <w:top w:val="single" w:color="auto" w:sz="4" w:space="0"/>
              <w:left w:val="single" w:color="auto" w:sz="4" w:space="0"/>
              <w:bottom w:val="single" w:color="auto" w:sz="12" w:space="0"/>
              <w:right w:val="single" w:color="auto" w:sz="12" w:space="0"/>
            </w:tcBorders>
            <w:noWrap/>
            <w:vAlign w:val="center"/>
          </w:tcPr>
          <w:p w14:paraId="27835408">
            <w:pPr>
              <w:pStyle w:val="133"/>
              <w:rPr>
                <w:sz w:val="18"/>
                <w:szCs w:val="18"/>
              </w:rPr>
            </w:pPr>
            <w:r>
              <w:rPr>
                <w:sz w:val="18"/>
                <w:szCs w:val="18"/>
              </w:rPr>
              <w:t>0.54</w:t>
            </w:r>
          </w:p>
        </w:tc>
      </w:tr>
    </w:tbl>
    <w:p w14:paraId="26C33F65">
      <w:pPr>
        <w:pStyle w:val="133"/>
      </w:pPr>
    </w:p>
    <w:p w14:paraId="2B63D68A">
      <w:pPr>
        <w:pStyle w:val="118"/>
      </w:pPr>
      <w:r>
        <w:rPr>
          <w:rFonts w:hint="eastAsia"/>
        </w:rPr>
        <w:t>表5.2-3</w:t>
      </w:r>
      <w:r>
        <w:t xml:space="preserve">  2</w:t>
      </w:r>
      <w:r>
        <w:rPr>
          <w:rFonts w:hint="eastAsia"/>
        </w:rPr>
        <w:t>023</w:t>
      </w:r>
      <w:r>
        <w:t>年年均风频的</w:t>
      </w:r>
      <w:r>
        <w:rPr>
          <w:rFonts w:hint="eastAsia"/>
        </w:rPr>
        <w:t>季</w:t>
      </w:r>
      <w:r>
        <w:t>变化及年均风频一览表</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6" w:type="dxa"/>
          <w:bottom w:w="0" w:type="dxa"/>
          <w:right w:w="6" w:type="dxa"/>
        </w:tblCellMar>
      </w:tblPr>
      <w:tblGrid>
        <w:gridCol w:w="748"/>
        <w:gridCol w:w="495"/>
        <w:gridCol w:w="456"/>
        <w:gridCol w:w="485"/>
        <w:gridCol w:w="485"/>
        <w:gridCol w:w="485"/>
        <w:gridCol w:w="409"/>
        <w:gridCol w:w="392"/>
        <w:gridCol w:w="392"/>
        <w:gridCol w:w="392"/>
        <w:gridCol w:w="456"/>
        <w:gridCol w:w="392"/>
        <w:gridCol w:w="549"/>
        <w:gridCol w:w="464"/>
        <w:gridCol w:w="584"/>
        <w:gridCol w:w="464"/>
        <w:gridCol w:w="526"/>
        <w:gridCol w:w="392"/>
      </w:tblGrid>
      <w:tr w14:paraId="5137CE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blHeader/>
        </w:trPr>
        <w:tc>
          <w:tcPr>
            <w:tcW w:w="748" w:type="dxa"/>
            <w:tcBorders>
              <w:top w:val="single" w:color="auto" w:sz="12" w:space="0"/>
              <w:left w:val="single" w:color="auto" w:sz="12" w:space="0"/>
              <w:bottom w:val="single" w:color="auto" w:sz="4" w:space="0"/>
              <w:right w:val="single" w:color="auto" w:sz="4" w:space="0"/>
              <w:tl2br w:val="single" w:color="auto" w:sz="4" w:space="0"/>
            </w:tcBorders>
            <w:noWrap/>
            <w:vAlign w:val="center"/>
          </w:tcPr>
          <w:p w14:paraId="302A4599">
            <w:pPr>
              <w:pStyle w:val="133"/>
              <w:rPr>
                <w:b/>
                <w:bCs/>
              </w:rPr>
            </w:pPr>
            <w:r>
              <w:rPr>
                <w:rFonts w:hint="eastAsia"/>
                <w:b/>
                <w:bCs/>
              </w:rPr>
              <w:t>风向</w:t>
            </w:r>
          </w:p>
          <w:p w14:paraId="60BCD3C6">
            <w:pPr>
              <w:pStyle w:val="133"/>
              <w:rPr>
                <w:b/>
                <w:bCs/>
              </w:rPr>
            </w:pPr>
            <w:r>
              <w:rPr>
                <w:b/>
                <w:bCs/>
              </w:rPr>
              <w:t>风频（%</w:t>
            </w:r>
            <w:r>
              <w:rPr>
                <w:rFonts w:hint="eastAsia"/>
                <w:b/>
                <w:bCs/>
              </w:rPr>
              <w:t>）</w:t>
            </w:r>
          </w:p>
        </w:tc>
        <w:tc>
          <w:tcPr>
            <w:tcW w:w="495" w:type="dxa"/>
            <w:tcBorders>
              <w:top w:val="single" w:color="auto" w:sz="12" w:space="0"/>
              <w:left w:val="single" w:color="auto" w:sz="4" w:space="0"/>
              <w:bottom w:val="single" w:color="auto" w:sz="4" w:space="0"/>
              <w:right w:val="single" w:color="auto" w:sz="4" w:space="0"/>
            </w:tcBorders>
            <w:noWrap/>
            <w:vAlign w:val="center"/>
          </w:tcPr>
          <w:p w14:paraId="471540ED">
            <w:pPr>
              <w:pStyle w:val="133"/>
              <w:rPr>
                <w:b/>
                <w:bCs/>
              </w:rPr>
            </w:pPr>
            <w:r>
              <w:rPr>
                <w:b/>
                <w:bCs/>
              </w:rPr>
              <w:t>N</w:t>
            </w:r>
          </w:p>
        </w:tc>
        <w:tc>
          <w:tcPr>
            <w:tcW w:w="425" w:type="dxa"/>
            <w:tcBorders>
              <w:top w:val="single" w:color="auto" w:sz="12" w:space="0"/>
              <w:left w:val="single" w:color="auto" w:sz="4" w:space="0"/>
              <w:bottom w:val="single" w:color="auto" w:sz="4" w:space="0"/>
              <w:right w:val="single" w:color="auto" w:sz="4" w:space="0"/>
            </w:tcBorders>
            <w:noWrap/>
            <w:vAlign w:val="center"/>
          </w:tcPr>
          <w:p w14:paraId="15689074">
            <w:pPr>
              <w:pStyle w:val="133"/>
              <w:rPr>
                <w:b/>
                <w:bCs/>
              </w:rPr>
            </w:pPr>
            <w:r>
              <w:rPr>
                <w:b/>
                <w:bCs/>
              </w:rPr>
              <w:t>NNE</w:t>
            </w:r>
          </w:p>
        </w:tc>
        <w:tc>
          <w:tcPr>
            <w:tcW w:w="464" w:type="dxa"/>
            <w:tcBorders>
              <w:top w:val="single" w:color="auto" w:sz="12" w:space="0"/>
              <w:left w:val="single" w:color="auto" w:sz="4" w:space="0"/>
              <w:bottom w:val="single" w:color="auto" w:sz="4" w:space="0"/>
              <w:right w:val="single" w:color="auto" w:sz="4" w:space="0"/>
            </w:tcBorders>
            <w:noWrap/>
            <w:vAlign w:val="center"/>
          </w:tcPr>
          <w:p w14:paraId="677A6923">
            <w:pPr>
              <w:pStyle w:val="133"/>
              <w:rPr>
                <w:b/>
                <w:bCs/>
              </w:rPr>
            </w:pPr>
            <w:r>
              <w:rPr>
                <w:b/>
                <w:bCs/>
              </w:rPr>
              <w:t>NE</w:t>
            </w:r>
          </w:p>
        </w:tc>
        <w:tc>
          <w:tcPr>
            <w:tcW w:w="464" w:type="dxa"/>
            <w:tcBorders>
              <w:top w:val="single" w:color="auto" w:sz="12" w:space="0"/>
              <w:left w:val="single" w:color="auto" w:sz="4" w:space="0"/>
              <w:bottom w:val="single" w:color="auto" w:sz="4" w:space="0"/>
              <w:right w:val="single" w:color="auto" w:sz="4" w:space="0"/>
            </w:tcBorders>
            <w:noWrap/>
            <w:vAlign w:val="center"/>
          </w:tcPr>
          <w:p w14:paraId="5E2049FE">
            <w:pPr>
              <w:pStyle w:val="133"/>
              <w:rPr>
                <w:b/>
                <w:bCs/>
              </w:rPr>
            </w:pPr>
            <w:r>
              <w:rPr>
                <w:b/>
                <w:bCs/>
              </w:rPr>
              <w:t>ENE</w:t>
            </w:r>
          </w:p>
        </w:tc>
        <w:tc>
          <w:tcPr>
            <w:tcW w:w="464" w:type="dxa"/>
            <w:tcBorders>
              <w:top w:val="single" w:color="auto" w:sz="12" w:space="0"/>
              <w:left w:val="single" w:color="auto" w:sz="4" w:space="0"/>
              <w:bottom w:val="single" w:color="auto" w:sz="4" w:space="0"/>
              <w:right w:val="single" w:color="auto" w:sz="4" w:space="0"/>
            </w:tcBorders>
            <w:noWrap/>
            <w:vAlign w:val="center"/>
          </w:tcPr>
          <w:p w14:paraId="17C36CCB">
            <w:pPr>
              <w:pStyle w:val="133"/>
              <w:rPr>
                <w:b/>
                <w:bCs/>
              </w:rPr>
            </w:pPr>
            <w:r>
              <w:rPr>
                <w:b/>
                <w:bCs/>
              </w:rPr>
              <w:t>E</w:t>
            </w:r>
          </w:p>
        </w:tc>
        <w:tc>
          <w:tcPr>
            <w:tcW w:w="392" w:type="dxa"/>
            <w:tcBorders>
              <w:top w:val="single" w:color="auto" w:sz="12" w:space="0"/>
              <w:left w:val="single" w:color="auto" w:sz="4" w:space="0"/>
              <w:bottom w:val="single" w:color="auto" w:sz="4" w:space="0"/>
              <w:right w:val="single" w:color="auto" w:sz="4" w:space="0"/>
            </w:tcBorders>
            <w:noWrap/>
            <w:vAlign w:val="center"/>
          </w:tcPr>
          <w:p w14:paraId="3F316137">
            <w:pPr>
              <w:pStyle w:val="133"/>
              <w:rPr>
                <w:b/>
                <w:bCs/>
              </w:rPr>
            </w:pPr>
            <w:r>
              <w:rPr>
                <w:b/>
                <w:bCs/>
              </w:rPr>
              <w:t>ESE</w:t>
            </w:r>
          </w:p>
        </w:tc>
        <w:tc>
          <w:tcPr>
            <w:tcW w:w="392" w:type="dxa"/>
            <w:tcBorders>
              <w:top w:val="single" w:color="auto" w:sz="12" w:space="0"/>
              <w:left w:val="single" w:color="auto" w:sz="4" w:space="0"/>
              <w:bottom w:val="single" w:color="auto" w:sz="4" w:space="0"/>
              <w:right w:val="single" w:color="auto" w:sz="4" w:space="0"/>
            </w:tcBorders>
            <w:noWrap/>
            <w:vAlign w:val="center"/>
          </w:tcPr>
          <w:p w14:paraId="646B6108">
            <w:pPr>
              <w:pStyle w:val="133"/>
              <w:rPr>
                <w:b/>
                <w:bCs/>
              </w:rPr>
            </w:pPr>
            <w:r>
              <w:rPr>
                <w:b/>
                <w:bCs/>
              </w:rPr>
              <w:t>SE</w:t>
            </w:r>
          </w:p>
        </w:tc>
        <w:tc>
          <w:tcPr>
            <w:tcW w:w="392" w:type="dxa"/>
            <w:tcBorders>
              <w:top w:val="single" w:color="auto" w:sz="12" w:space="0"/>
              <w:left w:val="single" w:color="auto" w:sz="4" w:space="0"/>
              <w:bottom w:val="single" w:color="auto" w:sz="4" w:space="0"/>
              <w:right w:val="single" w:color="auto" w:sz="4" w:space="0"/>
            </w:tcBorders>
            <w:noWrap/>
            <w:vAlign w:val="center"/>
          </w:tcPr>
          <w:p w14:paraId="067658E2">
            <w:pPr>
              <w:pStyle w:val="133"/>
              <w:rPr>
                <w:b/>
                <w:bCs/>
              </w:rPr>
            </w:pPr>
            <w:r>
              <w:rPr>
                <w:b/>
                <w:bCs/>
              </w:rPr>
              <w:t>SSE</w:t>
            </w:r>
          </w:p>
        </w:tc>
        <w:tc>
          <w:tcPr>
            <w:tcW w:w="392" w:type="dxa"/>
            <w:tcBorders>
              <w:top w:val="single" w:color="auto" w:sz="12" w:space="0"/>
              <w:left w:val="single" w:color="auto" w:sz="4" w:space="0"/>
              <w:bottom w:val="single" w:color="auto" w:sz="4" w:space="0"/>
              <w:right w:val="single" w:color="auto" w:sz="4" w:space="0"/>
            </w:tcBorders>
            <w:noWrap/>
            <w:vAlign w:val="center"/>
          </w:tcPr>
          <w:p w14:paraId="053C9BF0">
            <w:pPr>
              <w:pStyle w:val="133"/>
              <w:rPr>
                <w:b/>
                <w:bCs/>
              </w:rPr>
            </w:pPr>
            <w:r>
              <w:rPr>
                <w:b/>
                <w:bCs/>
              </w:rPr>
              <w:t>S</w:t>
            </w:r>
          </w:p>
        </w:tc>
        <w:tc>
          <w:tcPr>
            <w:tcW w:w="425" w:type="dxa"/>
            <w:tcBorders>
              <w:top w:val="single" w:color="auto" w:sz="12" w:space="0"/>
              <w:left w:val="single" w:color="auto" w:sz="4" w:space="0"/>
              <w:bottom w:val="single" w:color="auto" w:sz="4" w:space="0"/>
              <w:right w:val="single" w:color="auto" w:sz="4" w:space="0"/>
            </w:tcBorders>
            <w:noWrap/>
            <w:vAlign w:val="center"/>
          </w:tcPr>
          <w:p w14:paraId="013704C2">
            <w:pPr>
              <w:pStyle w:val="133"/>
              <w:rPr>
                <w:b/>
                <w:bCs/>
              </w:rPr>
            </w:pPr>
            <w:r>
              <w:rPr>
                <w:b/>
                <w:bCs/>
              </w:rPr>
              <w:t>SSW</w:t>
            </w:r>
          </w:p>
        </w:tc>
        <w:tc>
          <w:tcPr>
            <w:tcW w:w="392" w:type="dxa"/>
            <w:tcBorders>
              <w:top w:val="single" w:color="auto" w:sz="12" w:space="0"/>
              <w:left w:val="single" w:color="auto" w:sz="4" w:space="0"/>
              <w:bottom w:val="single" w:color="auto" w:sz="4" w:space="0"/>
              <w:right w:val="single" w:color="auto" w:sz="4" w:space="0"/>
            </w:tcBorders>
            <w:noWrap/>
            <w:vAlign w:val="center"/>
          </w:tcPr>
          <w:p w14:paraId="36BE2D4A">
            <w:pPr>
              <w:pStyle w:val="133"/>
              <w:rPr>
                <w:b/>
                <w:bCs/>
              </w:rPr>
            </w:pPr>
            <w:r>
              <w:rPr>
                <w:b/>
                <w:bCs/>
              </w:rPr>
              <w:t>SW</w:t>
            </w:r>
          </w:p>
        </w:tc>
        <w:tc>
          <w:tcPr>
            <w:tcW w:w="503" w:type="dxa"/>
            <w:tcBorders>
              <w:top w:val="single" w:color="auto" w:sz="12" w:space="0"/>
              <w:left w:val="single" w:color="auto" w:sz="4" w:space="0"/>
              <w:bottom w:val="single" w:color="auto" w:sz="4" w:space="0"/>
              <w:right w:val="single" w:color="auto" w:sz="4" w:space="0"/>
            </w:tcBorders>
            <w:noWrap/>
            <w:vAlign w:val="center"/>
          </w:tcPr>
          <w:p w14:paraId="38DC4D2C">
            <w:pPr>
              <w:pStyle w:val="133"/>
              <w:rPr>
                <w:b/>
                <w:bCs/>
              </w:rPr>
            </w:pPr>
            <w:r>
              <w:rPr>
                <w:b/>
                <w:bCs/>
              </w:rPr>
              <w:t>WSW</w:t>
            </w:r>
          </w:p>
        </w:tc>
        <w:tc>
          <w:tcPr>
            <w:tcW w:w="464" w:type="dxa"/>
            <w:tcBorders>
              <w:top w:val="single" w:color="auto" w:sz="12" w:space="0"/>
              <w:left w:val="single" w:color="auto" w:sz="4" w:space="0"/>
              <w:bottom w:val="single" w:color="auto" w:sz="4" w:space="0"/>
              <w:right w:val="single" w:color="auto" w:sz="4" w:space="0"/>
            </w:tcBorders>
            <w:noWrap/>
            <w:vAlign w:val="center"/>
          </w:tcPr>
          <w:p w14:paraId="76895564">
            <w:pPr>
              <w:pStyle w:val="133"/>
              <w:rPr>
                <w:b/>
                <w:bCs/>
              </w:rPr>
            </w:pPr>
            <w:r>
              <w:rPr>
                <w:b/>
                <w:bCs/>
              </w:rPr>
              <w:t>W</w:t>
            </w:r>
          </w:p>
        </w:tc>
        <w:tc>
          <w:tcPr>
            <w:tcW w:w="536" w:type="dxa"/>
            <w:tcBorders>
              <w:top w:val="single" w:color="auto" w:sz="12" w:space="0"/>
              <w:left w:val="single" w:color="auto" w:sz="4" w:space="0"/>
              <w:bottom w:val="single" w:color="auto" w:sz="4" w:space="0"/>
              <w:right w:val="single" w:color="auto" w:sz="4" w:space="0"/>
            </w:tcBorders>
            <w:noWrap/>
            <w:vAlign w:val="center"/>
          </w:tcPr>
          <w:p w14:paraId="0D9DD751">
            <w:pPr>
              <w:pStyle w:val="133"/>
              <w:rPr>
                <w:b/>
                <w:bCs/>
              </w:rPr>
            </w:pPr>
            <w:r>
              <w:rPr>
                <w:b/>
                <w:bCs/>
              </w:rPr>
              <w:t>WNW</w:t>
            </w:r>
          </w:p>
        </w:tc>
        <w:tc>
          <w:tcPr>
            <w:tcW w:w="464" w:type="dxa"/>
            <w:tcBorders>
              <w:top w:val="single" w:color="auto" w:sz="12" w:space="0"/>
              <w:left w:val="single" w:color="auto" w:sz="4" w:space="0"/>
              <w:bottom w:val="single" w:color="auto" w:sz="4" w:space="0"/>
              <w:right w:val="single" w:color="auto" w:sz="4" w:space="0"/>
            </w:tcBorders>
            <w:noWrap/>
            <w:vAlign w:val="center"/>
          </w:tcPr>
          <w:p w14:paraId="7B59E6CF">
            <w:pPr>
              <w:pStyle w:val="133"/>
              <w:rPr>
                <w:b/>
                <w:bCs/>
              </w:rPr>
            </w:pPr>
            <w:r>
              <w:rPr>
                <w:b/>
                <w:bCs/>
              </w:rPr>
              <w:t>NW</w:t>
            </w:r>
          </w:p>
        </w:tc>
        <w:tc>
          <w:tcPr>
            <w:tcW w:w="492" w:type="dxa"/>
            <w:tcBorders>
              <w:top w:val="single" w:color="auto" w:sz="12" w:space="0"/>
              <w:left w:val="single" w:color="auto" w:sz="4" w:space="0"/>
              <w:bottom w:val="single" w:color="auto" w:sz="4" w:space="0"/>
              <w:right w:val="single" w:color="auto" w:sz="4" w:space="0"/>
            </w:tcBorders>
            <w:noWrap/>
            <w:vAlign w:val="center"/>
          </w:tcPr>
          <w:p w14:paraId="42F88FBB">
            <w:pPr>
              <w:pStyle w:val="133"/>
              <w:rPr>
                <w:b/>
                <w:bCs/>
              </w:rPr>
            </w:pPr>
            <w:r>
              <w:rPr>
                <w:b/>
                <w:bCs/>
              </w:rPr>
              <w:t>NNW</w:t>
            </w:r>
          </w:p>
        </w:tc>
        <w:tc>
          <w:tcPr>
            <w:tcW w:w="392" w:type="dxa"/>
            <w:tcBorders>
              <w:top w:val="single" w:color="auto" w:sz="12" w:space="0"/>
              <w:left w:val="single" w:color="auto" w:sz="4" w:space="0"/>
              <w:bottom w:val="single" w:color="auto" w:sz="4" w:space="0"/>
              <w:right w:val="single" w:color="auto" w:sz="12" w:space="0"/>
            </w:tcBorders>
            <w:noWrap/>
            <w:vAlign w:val="center"/>
          </w:tcPr>
          <w:p w14:paraId="54AECE93">
            <w:pPr>
              <w:pStyle w:val="133"/>
              <w:rPr>
                <w:b/>
                <w:bCs/>
              </w:rPr>
            </w:pPr>
            <w:r>
              <w:rPr>
                <w:b/>
                <w:bCs/>
              </w:rPr>
              <w:t>C</w:t>
            </w:r>
          </w:p>
        </w:tc>
      </w:tr>
      <w:tr w14:paraId="5D5C4A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tcBorders>
              <w:top w:val="single" w:color="auto" w:sz="4" w:space="0"/>
              <w:left w:val="single" w:color="auto" w:sz="12" w:space="0"/>
              <w:bottom w:val="single" w:color="auto" w:sz="4" w:space="0"/>
              <w:right w:val="single" w:color="auto" w:sz="4" w:space="0"/>
            </w:tcBorders>
            <w:noWrap/>
            <w:vAlign w:val="center"/>
          </w:tcPr>
          <w:p w14:paraId="65070E75">
            <w:pPr>
              <w:pStyle w:val="133"/>
            </w:pPr>
            <w:r>
              <w:rPr>
                <w:rFonts w:hint="eastAsia"/>
              </w:rPr>
              <w:t>春季</w:t>
            </w:r>
          </w:p>
        </w:tc>
        <w:tc>
          <w:tcPr>
            <w:tcW w:w="495" w:type="dxa"/>
            <w:tcBorders>
              <w:top w:val="single" w:color="auto" w:sz="4" w:space="0"/>
              <w:left w:val="single" w:color="auto" w:sz="4" w:space="0"/>
              <w:bottom w:val="single" w:color="auto" w:sz="4" w:space="0"/>
              <w:right w:val="single" w:color="auto" w:sz="4" w:space="0"/>
            </w:tcBorders>
            <w:noWrap/>
          </w:tcPr>
          <w:p w14:paraId="5AC27E1C">
            <w:pPr>
              <w:pStyle w:val="133"/>
              <w:rPr>
                <w:rFonts w:hint="eastAsia" w:ascii="宋体" w:hAnsi="宋体"/>
              </w:rPr>
            </w:pPr>
            <w:r>
              <w:t>8.06</w:t>
            </w:r>
          </w:p>
        </w:tc>
        <w:tc>
          <w:tcPr>
            <w:tcW w:w="425" w:type="dxa"/>
            <w:tcBorders>
              <w:top w:val="single" w:color="auto" w:sz="4" w:space="0"/>
              <w:left w:val="single" w:color="auto" w:sz="4" w:space="0"/>
              <w:bottom w:val="single" w:color="auto" w:sz="4" w:space="0"/>
              <w:right w:val="single" w:color="auto" w:sz="4" w:space="0"/>
            </w:tcBorders>
            <w:noWrap/>
          </w:tcPr>
          <w:p w14:paraId="726CEFAE">
            <w:pPr>
              <w:pStyle w:val="133"/>
              <w:rPr>
                <w:rFonts w:hint="eastAsia" w:ascii="宋体" w:hAnsi="宋体"/>
              </w:rPr>
            </w:pPr>
            <w:r>
              <w:t>7.84</w:t>
            </w:r>
          </w:p>
        </w:tc>
        <w:tc>
          <w:tcPr>
            <w:tcW w:w="464" w:type="dxa"/>
            <w:tcBorders>
              <w:top w:val="single" w:color="auto" w:sz="4" w:space="0"/>
              <w:left w:val="single" w:color="auto" w:sz="4" w:space="0"/>
              <w:bottom w:val="single" w:color="auto" w:sz="4" w:space="0"/>
              <w:right w:val="single" w:color="auto" w:sz="4" w:space="0"/>
            </w:tcBorders>
            <w:noWrap/>
          </w:tcPr>
          <w:p w14:paraId="5833DB8C">
            <w:pPr>
              <w:pStyle w:val="133"/>
              <w:rPr>
                <w:rFonts w:hint="eastAsia" w:ascii="宋体" w:hAnsi="宋体"/>
              </w:rPr>
            </w:pPr>
            <w:r>
              <w:t>10.14</w:t>
            </w:r>
          </w:p>
        </w:tc>
        <w:tc>
          <w:tcPr>
            <w:tcW w:w="464" w:type="dxa"/>
            <w:tcBorders>
              <w:top w:val="single" w:color="auto" w:sz="4" w:space="0"/>
              <w:left w:val="single" w:color="auto" w:sz="4" w:space="0"/>
              <w:bottom w:val="single" w:color="auto" w:sz="4" w:space="0"/>
              <w:right w:val="single" w:color="auto" w:sz="4" w:space="0"/>
            </w:tcBorders>
            <w:noWrap/>
          </w:tcPr>
          <w:p w14:paraId="587A7515">
            <w:pPr>
              <w:pStyle w:val="133"/>
              <w:rPr>
                <w:rFonts w:hint="eastAsia" w:ascii="宋体" w:hAnsi="宋体"/>
              </w:rPr>
            </w:pPr>
            <w:r>
              <w:t>10.19</w:t>
            </w:r>
          </w:p>
        </w:tc>
        <w:tc>
          <w:tcPr>
            <w:tcW w:w="464" w:type="dxa"/>
            <w:tcBorders>
              <w:top w:val="single" w:color="auto" w:sz="4" w:space="0"/>
              <w:left w:val="single" w:color="auto" w:sz="4" w:space="0"/>
              <w:bottom w:val="single" w:color="auto" w:sz="4" w:space="0"/>
              <w:right w:val="single" w:color="auto" w:sz="4" w:space="0"/>
            </w:tcBorders>
            <w:noWrap/>
          </w:tcPr>
          <w:p w14:paraId="6CEA7DB1">
            <w:pPr>
              <w:pStyle w:val="133"/>
              <w:rPr>
                <w:rFonts w:hint="eastAsia" w:ascii="宋体" w:hAnsi="宋体"/>
              </w:rPr>
            </w:pPr>
            <w:r>
              <w:t>13.22</w:t>
            </w:r>
          </w:p>
        </w:tc>
        <w:tc>
          <w:tcPr>
            <w:tcW w:w="392" w:type="dxa"/>
            <w:tcBorders>
              <w:top w:val="single" w:color="auto" w:sz="4" w:space="0"/>
              <w:left w:val="single" w:color="auto" w:sz="4" w:space="0"/>
              <w:bottom w:val="single" w:color="auto" w:sz="4" w:space="0"/>
              <w:right w:val="single" w:color="auto" w:sz="4" w:space="0"/>
            </w:tcBorders>
            <w:noWrap/>
          </w:tcPr>
          <w:p w14:paraId="7AE4F20C">
            <w:pPr>
              <w:pStyle w:val="133"/>
              <w:rPr>
                <w:rFonts w:hint="eastAsia" w:ascii="宋体" w:hAnsi="宋体"/>
              </w:rPr>
            </w:pPr>
            <w:r>
              <w:t>6.88</w:t>
            </w:r>
          </w:p>
        </w:tc>
        <w:tc>
          <w:tcPr>
            <w:tcW w:w="392" w:type="dxa"/>
            <w:tcBorders>
              <w:top w:val="single" w:color="auto" w:sz="4" w:space="0"/>
              <w:left w:val="single" w:color="auto" w:sz="4" w:space="0"/>
              <w:bottom w:val="single" w:color="auto" w:sz="4" w:space="0"/>
              <w:right w:val="single" w:color="auto" w:sz="4" w:space="0"/>
            </w:tcBorders>
            <w:noWrap/>
          </w:tcPr>
          <w:p w14:paraId="3C26B537">
            <w:pPr>
              <w:pStyle w:val="133"/>
              <w:rPr>
                <w:rFonts w:hint="eastAsia" w:ascii="宋体" w:hAnsi="宋体"/>
              </w:rPr>
            </w:pPr>
            <w:r>
              <w:t>6.61</w:t>
            </w:r>
          </w:p>
        </w:tc>
        <w:tc>
          <w:tcPr>
            <w:tcW w:w="392" w:type="dxa"/>
            <w:tcBorders>
              <w:top w:val="single" w:color="auto" w:sz="4" w:space="0"/>
              <w:left w:val="single" w:color="auto" w:sz="4" w:space="0"/>
              <w:bottom w:val="single" w:color="auto" w:sz="4" w:space="0"/>
              <w:right w:val="single" w:color="auto" w:sz="4" w:space="0"/>
            </w:tcBorders>
            <w:noWrap/>
          </w:tcPr>
          <w:p w14:paraId="3402C663">
            <w:pPr>
              <w:pStyle w:val="133"/>
              <w:rPr>
                <w:rFonts w:hint="eastAsia" w:ascii="宋体" w:hAnsi="宋体"/>
              </w:rPr>
            </w:pPr>
            <w:r>
              <w:t>2.81</w:t>
            </w:r>
          </w:p>
        </w:tc>
        <w:tc>
          <w:tcPr>
            <w:tcW w:w="392" w:type="dxa"/>
            <w:tcBorders>
              <w:top w:val="single" w:color="auto" w:sz="4" w:space="0"/>
              <w:left w:val="single" w:color="auto" w:sz="4" w:space="0"/>
              <w:bottom w:val="single" w:color="auto" w:sz="4" w:space="0"/>
              <w:right w:val="single" w:color="auto" w:sz="4" w:space="0"/>
            </w:tcBorders>
            <w:noWrap/>
          </w:tcPr>
          <w:p w14:paraId="6981A1C6">
            <w:pPr>
              <w:pStyle w:val="133"/>
              <w:rPr>
                <w:rFonts w:hint="eastAsia" w:ascii="宋体" w:hAnsi="宋体"/>
              </w:rPr>
            </w:pPr>
            <w:r>
              <w:t>3.89</w:t>
            </w:r>
          </w:p>
        </w:tc>
        <w:tc>
          <w:tcPr>
            <w:tcW w:w="425" w:type="dxa"/>
            <w:tcBorders>
              <w:top w:val="single" w:color="auto" w:sz="4" w:space="0"/>
              <w:left w:val="single" w:color="auto" w:sz="4" w:space="0"/>
              <w:bottom w:val="single" w:color="auto" w:sz="4" w:space="0"/>
              <w:right w:val="single" w:color="auto" w:sz="4" w:space="0"/>
            </w:tcBorders>
            <w:noWrap/>
          </w:tcPr>
          <w:p w14:paraId="2D2812A8">
            <w:pPr>
              <w:pStyle w:val="133"/>
              <w:rPr>
                <w:rFonts w:hint="eastAsia" w:ascii="宋体" w:hAnsi="宋体"/>
              </w:rPr>
            </w:pPr>
            <w:r>
              <w:t>2.58</w:t>
            </w:r>
          </w:p>
        </w:tc>
        <w:tc>
          <w:tcPr>
            <w:tcW w:w="392" w:type="dxa"/>
            <w:tcBorders>
              <w:top w:val="single" w:color="auto" w:sz="4" w:space="0"/>
              <w:left w:val="single" w:color="auto" w:sz="4" w:space="0"/>
              <w:bottom w:val="single" w:color="auto" w:sz="4" w:space="0"/>
              <w:right w:val="single" w:color="auto" w:sz="4" w:space="0"/>
            </w:tcBorders>
            <w:noWrap/>
          </w:tcPr>
          <w:p w14:paraId="756075D1">
            <w:pPr>
              <w:pStyle w:val="133"/>
              <w:rPr>
                <w:rFonts w:hint="eastAsia" w:ascii="宋体" w:hAnsi="宋体"/>
              </w:rPr>
            </w:pPr>
            <w:r>
              <w:t>2.17</w:t>
            </w:r>
          </w:p>
        </w:tc>
        <w:tc>
          <w:tcPr>
            <w:tcW w:w="503" w:type="dxa"/>
            <w:tcBorders>
              <w:top w:val="single" w:color="auto" w:sz="4" w:space="0"/>
              <w:left w:val="single" w:color="auto" w:sz="4" w:space="0"/>
              <w:bottom w:val="single" w:color="auto" w:sz="4" w:space="0"/>
              <w:right w:val="single" w:color="auto" w:sz="4" w:space="0"/>
            </w:tcBorders>
            <w:noWrap/>
          </w:tcPr>
          <w:p w14:paraId="1094DB60">
            <w:pPr>
              <w:pStyle w:val="133"/>
              <w:rPr>
                <w:rFonts w:hint="eastAsia" w:ascii="宋体" w:hAnsi="宋体"/>
              </w:rPr>
            </w:pPr>
            <w:r>
              <w:t>3.71</w:t>
            </w:r>
          </w:p>
        </w:tc>
        <w:tc>
          <w:tcPr>
            <w:tcW w:w="464" w:type="dxa"/>
            <w:tcBorders>
              <w:top w:val="single" w:color="auto" w:sz="4" w:space="0"/>
              <w:left w:val="single" w:color="auto" w:sz="4" w:space="0"/>
              <w:bottom w:val="single" w:color="auto" w:sz="4" w:space="0"/>
              <w:right w:val="single" w:color="auto" w:sz="4" w:space="0"/>
            </w:tcBorders>
            <w:noWrap/>
          </w:tcPr>
          <w:p w14:paraId="39B09C83">
            <w:pPr>
              <w:pStyle w:val="133"/>
              <w:rPr>
                <w:rFonts w:hint="eastAsia" w:ascii="宋体" w:hAnsi="宋体"/>
              </w:rPr>
            </w:pPr>
            <w:r>
              <w:t>8.65</w:t>
            </w:r>
          </w:p>
        </w:tc>
        <w:tc>
          <w:tcPr>
            <w:tcW w:w="536" w:type="dxa"/>
            <w:tcBorders>
              <w:top w:val="single" w:color="auto" w:sz="4" w:space="0"/>
              <w:left w:val="single" w:color="auto" w:sz="4" w:space="0"/>
              <w:bottom w:val="single" w:color="auto" w:sz="4" w:space="0"/>
              <w:right w:val="single" w:color="auto" w:sz="4" w:space="0"/>
            </w:tcBorders>
            <w:noWrap/>
          </w:tcPr>
          <w:p w14:paraId="47710EA1">
            <w:pPr>
              <w:pStyle w:val="133"/>
              <w:rPr>
                <w:rFonts w:hint="eastAsia" w:ascii="宋体" w:hAnsi="宋体"/>
              </w:rPr>
            </w:pPr>
            <w:r>
              <w:t>6.02</w:t>
            </w:r>
          </w:p>
        </w:tc>
        <w:tc>
          <w:tcPr>
            <w:tcW w:w="464" w:type="dxa"/>
            <w:tcBorders>
              <w:top w:val="single" w:color="auto" w:sz="4" w:space="0"/>
              <w:left w:val="single" w:color="auto" w:sz="4" w:space="0"/>
              <w:bottom w:val="single" w:color="auto" w:sz="4" w:space="0"/>
              <w:right w:val="single" w:color="auto" w:sz="4" w:space="0"/>
            </w:tcBorders>
            <w:noWrap/>
          </w:tcPr>
          <w:p w14:paraId="574B0370">
            <w:pPr>
              <w:pStyle w:val="133"/>
              <w:rPr>
                <w:rFonts w:hint="eastAsia" w:ascii="宋体" w:hAnsi="宋体"/>
              </w:rPr>
            </w:pPr>
            <w:r>
              <w:t>4.08</w:t>
            </w:r>
          </w:p>
        </w:tc>
        <w:tc>
          <w:tcPr>
            <w:tcW w:w="492" w:type="dxa"/>
            <w:tcBorders>
              <w:top w:val="single" w:color="auto" w:sz="4" w:space="0"/>
              <w:left w:val="single" w:color="auto" w:sz="4" w:space="0"/>
              <w:bottom w:val="single" w:color="auto" w:sz="4" w:space="0"/>
              <w:right w:val="single" w:color="auto" w:sz="4" w:space="0"/>
            </w:tcBorders>
            <w:noWrap/>
          </w:tcPr>
          <w:p w14:paraId="73CFCE6E">
            <w:pPr>
              <w:pStyle w:val="133"/>
              <w:rPr>
                <w:rFonts w:hint="eastAsia" w:ascii="宋体" w:hAnsi="宋体"/>
              </w:rPr>
            </w:pPr>
            <w:r>
              <w:t>3.03</w:t>
            </w:r>
          </w:p>
        </w:tc>
        <w:tc>
          <w:tcPr>
            <w:tcW w:w="392" w:type="dxa"/>
            <w:tcBorders>
              <w:top w:val="single" w:color="auto" w:sz="4" w:space="0"/>
              <w:left w:val="single" w:color="auto" w:sz="4" w:space="0"/>
              <w:bottom w:val="single" w:color="auto" w:sz="4" w:space="0"/>
              <w:right w:val="single" w:color="auto" w:sz="12" w:space="0"/>
            </w:tcBorders>
            <w:noWrap/>
          </w:tcPr>
          <w:p w14:paraId="062F3DA3">
            <w:pPr>
              <w:pStyle w:val="133"/>
              <w:rPr>
                <w:rFonts w:hint="eastAsia" w:ascii="宋体" w:hAnsi="宋体"/>
              </w:rPr>
            </w:pPr>
            <w:r>
              <w:t>0.09</w:t>
            </w:r>
          </w:p>
        </w:tc>
      </w:tr>
      <w:tr w14:paraId="74ED53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tcBorders>
              <w:top w:val="single" w:color="auto" w:sz="4" w:space="0"/>
              <w:left w:val="single" w:color="auto" w:sz="12" w:space="0"/>
              <w:bottom w:val="single" w:color="auto" w:sz="4" w:space="0"/>
              <w:right w:val="single" w:color="auto" w:sz="4" w:space="0"/>
            </w:tcBorders>
            <w:noWrap/>
            <w:vAlign w:val="center"/>
          </w:tcPr>
          <w:p w14:paraId="38A09BAE">
            <w:pPr>
              <w:pStyle w:val="133"/>
            </w:pPr>
            <w:r>
              <w:rPr>
                <w:rFonts w:hint="eastAsia"/>
              </w:rPr>
              <w:t>夏季</w:t>
            </w:r>
          </w:p>
        </w:tc>
        <w:tc>
          <w:tcPr>
            <w:tcW w:w="495" w:type="dxa"/>
            <w:tcBorders>
              <w:top w:val="single" w:color="auto" w:sz="4" w:space="0"/>
              <w:left w:val="single" w:color="auto" w:sz="4" w:space="0"/>
              <w:bottom w:val="single" w:color="auto" w:sz="4" w:space="0"/>
              <w:right w:val="single" w:color="auto" w:sz="4" w:space="0"/>
            </w:tcBorders>
            <w:noWrap/>
          </w:tcPr>
          <w:p w14:paraId="048138C2">
            <w:pPr>
              <w:pStyle w:val="133"/>
              <w:rPr>
                <w:rFonts w:hint="eastAsia" w:ascii="宋体" w:hAnsi="宋体"/>
              </w:rPr>
            </w:pPr>
            <w:r>
              <w:t>8.20</w:t>
            </w:r>
          </w:p>
        </w:tc>
        <w:tc>
          <w:tcPr>
            <w:tcW w:w="425" w:type="dxa"/>
            <w:tcBorders>
              <w:top w:val="single" w:color="auto" w:sz="4" w:space="0"/>
              <w:left w:val="single" w:color="auto" w:sz="4" w:space="0"/>
              <w:bottom w:val="single" w:color="auto" w:sz="4" w:space="0"/>
              <w:right w:val="single" w:color="auto" w:sz="4" w:space="0"/>
            </w:tcBorders>
            <w:noWrap/>
          </w:tcPr>
          <w:p w14:paraId="6C6B1615">
            <w:pPr>
              <w:pStyle w:val="133"/>
              <w:rPr>
                <w:rFonts w:hint="eastAsia" w:ascii="宋体" w:hAnsi="宋体"/>
              </w:rPr>
            </w:pPr>
            <w:r>
              <w:t>7.56</w:t>
            </w:r>
          </w:p>
        </w:tc>
        <w:tc>
          <w:tcPr>
            <w:tcW w:w="464" w:type="dxa"/>
            <w:tcBorders>
              <w:top w:val="single" w:color="auto" w:sz="4" w:space="0"/>
              <w:left w:val="single" w:color="auto" w:sz="4" w:space="0"/>
              <w:bottom w:val="single" w:color="auto" w:sz="4" w:space="0"/>
              <w:right w:val="single" w:color="auto" w:sz="4" w:space="0"/>
            </w:tcBorders>
            <w:noWrap/>
          </w:tcPr>
          <w:p w14:paraId="633B18E4">
            <w:pPr>
              <w:pStyle w:val="133"/>
              <w:rPr>
                <w:rFonts w:hint="eastAsia" w:ascii="宋体" w:hAnsi="宋体"/>
              </w:rPr>
            </w:pPr>
            <w:r>
              <w:t>9.38</w:t>
            </w:r>
          </w:p>
        </w:tc>
        <w:tc>
          <w:tcPr>
            <w:tcW w:w="464" w:type="dxa"/>
            <w:tcBorders>
              <w:top w:val="single" w:color="auto" w:sz="4" w:space="0"/>
              <w:left w:val="single" w:color="auto" w:sz="4" w:space="0"/>
              <w:bottom w:val="single" w:color="auto" w:sz="4" w:space="0"/>
              <w:right w:val="single" w:color="auto" w:sz="4" w:space="0"/>
            </w:tcBorders>
            <w:noWrap/>
          </w:tcPr>
          <w:p w14:paraId="6D36C701">
            <w:pPr>
              <w:pStyle w:val="133"/>
              <w:rPr>
                <w:rFonts w:hint="eastAsia" w:ascii="宋体" w:hAnsi="宋体"/>
              </w:rPr>
            </w:pPr>
            <w:r>
              <w:t>10.24</w:t>
            </w:r>
          </w:p>
        </w:tc>
        <w:tc>
          <w:tcPr>
            <w:tcW w:w="464" w:type="dxa"/>
            <w:tcBorders>
              <w:top w:val="single" w:color="auto" w:sz="4" w:space="0"/>
              <w:left w:val="single" w:color="auto" w:sz="4" w:space="0"/>
              <w:bottom w:val="single" w:color="auto" w:sz="4" w:space="0"/>
              <w:right w:val="single" w:color="auto" w:sz="4" w:space="0"/>
            </w:tcBorders>
            <w:noWrap/>
          </w:tcPr>
          <w:p w14:paraId="697D6BF2">
            <w:pPr>
              <w:pStyle w:val="133"/>
              <w:rPr>
                <w:rFonts w:hint="eastAsia" w:ascii="宋体" w:hAnsi="宋体"/>
              </w:rPr>
            </w:pPr>
            <w:r>
              <w:t>11.91</w:t>
            </w:r>
          </w:p>
        </w:tc>
        <w:tc>
          <w:tcPr>
            <w:tcW w:w="392" w:type="dxa"/>
            <w:tcBorders>
              <w:top w:val="single" w:color="auto" w:sz="4" w:space="0"/>
              <w:left w:val="single" w:color="auto" w:sz="4" w:space="0"/>
              <w:bottom w:val="single" w:color="auto" w:sz="4" w:space="0"/>
              <w:right w:val="single" w:color="auto" w:sz="4" w:space="0"/>
            </w:tcBorders>
            <w:noWrap/>
          </w:tcPr>
          <w:p w14:paraId="0BA3030D">
            <w:pPr>
              <w:pStyle w:val="133"/>
              <w:rPr>
                <w:rFonts w:hint="eastAsia" w:ascii="宋体" w:hAnsi="宋体"/>
              </w:rPr>
            </w:pPr>
            <w:r>
              <w:t>6.66</w:t>
            </w:r>
          </w:p>
        </w:tc>
        <w:tc>
          <w:tcPr>
            <w:tcW w:w="392" w:type="dxa"/>
            <w:tcBorders>
              <w:top w:val="single" w:color="auto" w:sz="4" w:space="0"/>
              <w:left w:val="single" w:color="auto" w:sz="4" w:space="0"/>
              <w:bottom w:val="single" w:color="auto" w:sz="4" w:space="0"/>
              <w:right w:val="single" w:color="auto" w:sz="4" w:space="0"/>
            </w:tcBorders>
            <w:noWrap/>
          </w:tcPr>
          <w:p w14:paraId="07B8BEED">
            <w:pPr>
              <w:pStyle w:val="133"/>
              <w:rPr>
                <w:rFonts w:hint="eastAsia" w:ascii="宋体" w:hAnsi="宋体"/>
              </w:rPr>
            </w:pPr>
            <w:r>
              <w:t>4.53</w:t>
            </w:r>
          </w:p>
        </w:tc>
        <w:tc>
          <w:tcPr>
            <w:tcW w:w="392" w:type="dxa"/>
            <w:tcBorders>
              <w:top w:val="single" w:color="auto" w:sz="4" w:space="0"/>
              <w:left w:val="single" w:color="auto" w:sz="4" w:space="0"/>
              <w:bottom w:val="single" w:color="auto" w:sz="4" w:space="0"/>
              <w:right w:val="single" w:color="auto" w:sz="4" w:space="0"/>
            </w:tcBorders>
            <w:noWrap/>
          </w:tcPr>
          <w:p w14:paraId="55813C39">
            <w:pPr>
              <w:pStyle w:val="133"/>
              <w:rPr>
                <w:rFonts w:hint="eastAsia" w:ascii="宋体" w:hAnsi="宋体"/>
              </w:rPr>
            </w:pPr>
            <w:r>
              <w:t>2.94</w:t>
            </w:r>
          </w:p>
        </w:tc>
        <w:tc>
          <w:tcPr>
            <w:tcW w:w="392" w:type="dxa"/>
            <w:tcBorders>
              <w:top w:val="single" w:color="auto" w:sz="4" w:space="0"/>
              <w:left w:val="single" w:color="auto" w:sz="4" w:space="0"/>
              <w:bottom w:val="single" w:color="auto" w:sz="4" w:space="0"/>
              <w:right w:val="single" w:color="auto" w:sz="4" w:space="0"/>
            </w:tcBorders>
            <w:noWrap/>
          </w:tcPr>
          <w:p w14:paraId="59F04467">
            <w:pPr>
              <w:pStyle w:val="133"/>
              <w:rPr>
                <w:rFonts w:hint="eastAsia" w:ascii="宋体" w:hAnsi="宋体"/>
              </w:rPr>
            </w:pPr>
            <w:r>
              <w:t>3.35</w:t>
            </w:r>
          </w:p>
        </w:tc>
        <w:tc>
          <w:tcPr>
            <w:tcW w:w="425" w:type="dxa"/>
            <w:tcBorders>
              <w:top w:val="single" w:color="auto" w:sz="4" w:space="0"/>
              <w:left w:val="single" w:color="auto" w:sz="4" w:space="0"/>
              <w:bottom w:val="single" w:color="auto" w:sz="4" w:space="0"/>
              <w:right w:val="single" w:color="auto" w:sz="4" w:space="0"/>
            </w:tcBorders>
            <w:noWrap/>
          </w:tcPr>
          <w:p w14:paraId="717CFA42">
            <w:pPr>
              <w:pStyle w:val="133"/>
              <w:rPr>
                <w:rFonts w:hint="eastAsia" w:ascii="宋体" w:hAnsi="宋体"/>
              </w:rPr>
            </w:pPr>
            <w:r>
              <w:t>3.35</w:t>
            </w:r>
          </w:p>
        </w:tc>
        <w:tc>
          <w:tcPr>
            <w:tcW w:w="392" w:type="dxa"/>
            <w:tcBorders>
              <w:top w:val="single" w:color="auto" w:sz="4" w:space="0"/>
              <w:left w:val="single" w:color="auto" w:sz="4" w:space="0"/>
              <w:bottom w:val="single" w:color="auto" w:sz="4" w:space="0"/>
              <w:right w:val="single" w:color="auto" w:sz="4" w:space="0"/>
            </w:tcBorders>
            <w:noWrap/>
          </w:tcPr>
          <w:p w14:paraId="6299A3D2">
            <w:pPr>
              <w:pStyle w:val="133"/>
              <w:rPr>
                <w:rFonts w:hint="eastAsia" w:ascii="宋体" w:hAnsi="宋体"/>
              </w:rPr>
            </w:pPr>
            <w:r>
              <w:t>4.48</w:t>
            </w:r>
          </w:p>
        </w:tc>
        <w:tc>
          <w:tcPr>
            <w:tcW w:w="503" w:type="dxa"/>
            <w:tcBorders>
              <w:top w:val="single" w:color="auto" w:sz="4" w:space="0"/>
              <w:left w:val="single" w:color="auto" w:sz="4" w:space="0"/>
              <w:bottom w:val="single" w:color="auto" w:sz="4" w:space="0"/>
              <w:right w:val="single" w:color="auto" w:sz="4" w:space="0"/>
            </w:tcBorders>
            <w:noWrap/>
          </w:tcPr>
          <w:p w14:paraId="3B2E9438">
            <w:pPr>
              <w:pStyle w:val="133"/>
              <w:rPr>
                <w:rFonts w:hint="eastAsia" w:ascii="宋体" w:hAnsi="宋体"/>
              </w:rPr>
            </w:pPr>
            <w:r>
              <w:t>5.53</w:t>
            </w:r>
          </w:p>
        </w:tc>
        <w:tc>
          <w:tcPr>
            <w:tcW w:w="464" w:type="dxa"/>
            <w:tcBorders>
              <w:top w:val="single" w:color="auto" w:sz="4" w:space="0"/>
              <w:left w:val="single" w:color="auto" w:sz="4" w:space="0"/>
              <w:bottom w:val="single" w:color="auto" w:sz="4" w:space="0"/>
              <w:right w:val="single" w:color="auto" w:sz="4" w:space="0"/>
            </w:tcBorders>
            <w:noWrap/>
          </w:tcPr>
          <w:p w14:paraId="04F8F586">
            <w:pPr>
              <w:pStyle w:val="133"/>
              <w:rPr>
                <w:rFonts w:hint="eastAsia" w:ascii="宋体" w:hAnsi="宋体"/>
              </w:rPr>
            </w:pPr>
            <w:r>
              <w:t>8.74</w:t>
            </w:r>
          </w:p>
        </w:tc>
        <w:tc>
          <w:tcPr>
            <w:tcW w:w="536" w:type="dxa"/>
            <w:tcBorders>
              <w:top w:val="single" w:color="auto" w:sz="4" w:space="0"/>
              <w:left w:val="single" w:color="auto" w:sz="4" w:space="0"/>
              <w:bottom w:val="single" w:color="auto" w:sz="4" w:space="0"/>
              <w:right w:val="single" w:color="auto" w:sz="4" w:space="0"/>
            </w:tcBorders>
            <w:noWrap/>
          </w:tcPr>
          <w:p w14:paraId="5DEFCC9A">
            <w:pPr>
              <w:pStyle w:val="133"/>
              <w:rPr>
                <w:rFonts w:hint="eastAsia" w:ascii="宋体" w:hAnsi="宋体"/>
              </w:rPr>
            </w:pPr>
            <w:r>
              <w:t>4.30</w:t>
            </w:r>
          </w:p>
        </w:tc>
        <w:tc>
          <w:tcPr>
            <w:tcW w:w="464" w:type="dxa"/>
            <w:tcBorders>
              <w:top w:val="single" w:color="auto" w:sz="4" w:space="0"/>
              <w:left w:val="single" w:color="auto" w:sz="4" w:space="0"/>
              <w:bottom w:val="single" w:color="auto" w:sz="4" w:space="0"/>
              <w:right w:val="single" w:color="auto" w:sz="4" w:space="0"/>
            </w:tcBorders>
            <w:noWrap/>
          </w:tcPr>
          <w:p w14:paraId="53890F41">
            <w:pPr>
              <w:pStyle w:val="133"/>
              <w:rPr>
                <w:rFonts w:hint="eastAsia" w:ascii="宋体" w:hAnsi="宋体"/>
              </w:rPr>
            </w:pPr>
            <w:r>
              <w:t>3.99</w:t>
            </w:r>
          </w:p>
        </w:tc>
        <w:tc>
          <w:tcPr>
            <w:tcW w:w="492" w:type="dxa"/>
            <w:tcBorders>
              <w:top w:val="single" w:color="auto" w:sz="4" w:space="0"/>
              <w:left w:val="single" w:color="auto" w:sz="4" w:space="0"/>
              <w:bottom w:val="single" w:color="auto" w:sz="4" w:space="0"/>
              <w:right w:val="single" w:color="auto" w:sz="4" w:space="0"/>
            </w:tcBorders>
            <w:noWrap/>
          </w:tcPr>
          <w:p w14:paraId="4C1B0C40">
            <w:pPr>
              <w:pStyle w:val="133"/>
              <w:rPr>
                <w:rFonts w:hint="eastAsia" w:ascii="宋体" w:hAnsi="宋体"/>
              </w:rPr>
            </w:pPr>
            <w:r>
              <w:t>4.57</w:t>
            </w:r>
          </w:p>
        </w:tc>
        <w:tc>
          <w:tcPr>
            <w:tcW w:w="392" w:type="dxa"/>
            <w:tcBorders>
              <w:top w:val="single" w:color="auto" w:sz="4" w:space="0"/>
              <w:left w:val="single" w:color="auto" w:sz="4" w:space="0"/>
              <w:bottom w:val="single" w:color="auto" w:sz="4" w:space="0"/>
              <w:right w:val="single" w:color="auto" w:sz="12" w:space="0"/>
            </w:tcBorders>
            <w:noWrap/>
          </w:tcPr>
          <w:p w14:paraId="44B1D2B5">
            <w:pPr>
              <w:pStyle w:val="133"/>
              <w:rPr>
                <w:rFonts w:hint="eastAsia" w:ascii="宋体" w:hAnsi="宋体"/>
              </w:rPr>
            </w:pPr>
            <w:r>
              <w:t>0.27</w:t>
            </w:r>
          </w:p>
        </w:tc>
      </w:tr>
      <w:tr w14:paraId="14FA2B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tcBorders>
              <w:top w:val="single" w:color="auto" w:sz="4" w:space="0"/>
              <w:left w:val="single" w:color="auto" w:sz="12" w:space="0"/>
              <w:bottom w:val="single" w:color="auto" w:sz="4" w:space="0"/>
              <w:right w:val="single" w:color="auto" w:sz="4" w:space="0"/>
            </w:tcBorders>
            <w:noWrap/>
            <w:vAlign w:val="center"/>
          </w:tcPr>
          <w:p w14:paraId="4FA294BB">
            <w:pPr>
              <w:pStyle w:val="133"/>
            </w:pPr>
            <w:r>
              <w:rPr>
                <w:rFonts w:hint="eastAsia"/>
              </w:rPr>
              <w:t>秋季</w:t>
            </w:r>
          </w:p>
        </w:tc>
        <w:tc>
          <w:tcPr>
            <w:tcW w:w="495" w:type="dxa"/>
            <w:tcBorders>
              <w:top w:val="single" w:color="auto" w:sz="4" w:space="0"/>
              <w:left w:val="single" w:color="auto" w:sz="4" w:space="0"/>
              <w:bottom w:val="single" w:color="auto" w:sz="4" w:space="0"/>
              <w:right w:val="single" w:color="auto" w:sz="4" w:space="0"/>
            </w:tcBorders>
            <w:noWrap/>
          </w:tcPr>
          <w:p w14:paraId="2B30B442">
            <w:pPr>
              <w:pStyle w:val="133"/>
              <w:rPr>
                <w:rFonts w:hint="eastAsia" w:ascii="宋体" w:hAnsi="宋体"/>
              </w:rPr>
            </w:pPr>
            <w:r>
              <w:t>13.10</w:t>
            </w:r>
          </w:p>
        </w:tc>
        <w:tc>
          <w:tcPr>
            <w:tcW w:w="425" w:type="dxa"/>
            <w:tcBorders>
              <w:top w:val="single" w:color="auto" w:sz="4" w:space="0"/>
              <w:left w:val="single" w:color="auto" w:sz="4" w:space="0"/>
              <w:bottom w:val="single" w:color="auto" w:sz="4" w:space="0"/>
              <w:right w:val="single" w:color="auto" w:sz="4" w:space="0"/>
            </w:tcBorders>
            <w:noWrap/>
          </w:tcPr>
          <w:p w14:paraId="06801827">
            <w:pPr>
              <w:pStyle w:val="133"/>
              <w:rPr>
                <w:rFonts w:hint="eastAsia" w:ascii="宋体" w:hAnsi="宋体"/>
              </w:rPr>
            </w:pPr>
            <w:r>
              <w:t>8.52</w:t>
            </w:r>
          </w:p>
        </w:tc>
        <w:tc>
          <w:tcPr>
            <w:tcW w:w="464" w:type="dxa"/>
            <w:tcBorders>
              <w:top w:val="single" w:color="auto" w:sz="4" w:space="0"/>
              <w:left w:val="single" w:color="auto" w:sz="4" w:space="0"/>
              <w:bottom w:val="single" w:color="auto" w:sz="4" w:space="0"/>
              <w:right w:val="single" w:color="auto" w:sz="4" w:space="0"/>
            </w:tcBorders>
            <w:noWrap/>
          </w:tcPr>
          <w:p w14:paraId="7B2B5147">
            <w:pPr>
              <w:pStyle w:val="133"/>
              <w:rPr>
                <w:rFonts w:hint="eastAsia" w:ascii="宋体" w:hAnsi="宋体"/>
              </w:rPr>
            </w:pPr>
            <w:r>
              <w:t>7.78</w:t>
            </w:r>
          </w:p>
        </w:tc>
        <w:tc>
          <w:tcPr>
            <w:tcW w:w="464" w:type="dxa"/>
            <w:tcBorders>
              <w:top w:val="single" w:color="auto" w:sz="4" w:space="0"/>
              <w:left w:val="single" w:color="auto" w:sz="4" w:space="0"/>
              <w:bottom w:val="single" w:color="auto" w:sz="4" w:space="0"/>
              <w:right w:val="single" w:color="auto" w:sz="4" w:space="0"/>
            </w:tcBorders>
            <w:noWrap/>
          </w:tcPr>
          <w:p w14:paraId="47DA0B13">
            <w:pPr>
              <w:pStyle w:val="133"/>
              <w:rPr>
                <w:rFonts w:hint="eastAsia" w:ascii="宋体" w:hAnsi="宋体"/>
              </w:rPr>
            </w:pPr>
            <w:r>
              <w:t>10.26</w:t>
            </w:r>
          </w:p>
        </w:tc>
        <w:tc>
          <w:tcPr>
            <w:tcW w:w="464" w:type="dxa"/>
            <w:tcBorders>
              <w:top w:val="single" w:color="auto" w:sz="4" w:space="0"/>
              <w:left w:val="single" w:color="auto" w:sz="4" w:space="0"/>
              <w:bottom w:val="single" w:color="auto" w:sz="4" w:space="0"/>
              <w:right w:val="single" w:color="auto" w:sz="4" w:space="0"/>
            </w:tcBorders>
            <w:noWrap/>
          </w:tcPr>
          <w:p w14:paraId="12E7C287">
            <w:pPr>
              <w:pStyle w:val="133"/>
              <w:rPr>
                <w:rFonts w:hint="eastAsia" w:ascii="宋体" w:hAnsi="宋体"/>
              </w:rPr>
            </w:pPr>
            <w:r>
              <w:t>14.65</w:t>
            </w:r>
          </w:p>
        </w:tc>
        <w:tc>
          <w:tcPr>
            <w:tcW w:w="392" w:type="dxa"/>
            <w:tcBorders>
              <w:top w:val="single" w:color="auto" w:sz="4" w:space="0"/>
              <w:left w:val="single" w:color="auto" w:sz="4" w:space="0"/>
              <w:bottom w:val="single" w:color="auto" w:sz="4" w:space="0"/>
              <w:right w:val="single" w:color="auto" w:sz="4" w:space="0"/>
            </w:tcBorders>
            <w:noWrap/>
          </w:tcPr>
          <w:p w14:paraId="601E7ABA">
            <w:pPr>
              <w:pStyle w:val="133"/>
              <w:rPr>
                <w:rFonts w:hint="eastAsia" w:ascii="宋体" w:hAnsi="宋体"/>
              </w:rPr>
            </w:pPr>
            <w:r>
              <w:t>5.49</w:t>
            </w:r>
          </w:p>
        </w:tc>
        <w:tc>
          <w:tcPr>
            <w:tcW w:w="392" w:type="dxa"/>
            <w:tcBorders>
              <w:top w:val="single" w:color="auto" w:sz="4" w:space="0"/>
              <w:left w:val="single" w:color="auto" w:sz="4" w:space="0"/>
              <w:bottom w:val="single" w:color="auto" w:sz="4" w:space="0"/>
              <w:right w:val="single" w:color="auto" w:sz="4" w:space="0"/>
            </w:tcBorders>
            <w:noWrap/>
          </w:tcPr>
          <w:p w14:paraId="0C570891">
            <w:pPr>
              <w:pStyle w:val="133"/>
              <w:rPr>
                <w:rFonts w:hint="eastAsia" w:ascii="宋体" w:hAnsi="宋体"/>
              </w:rPr>
            </w:pPr>
            <w:r>
              <w:t>5.27</w:t>
            </w:r>
          </w:p>
        </w:tc>
        <w:tc>
          <w:tcPr>
            <w:tcW w:w="392" w:type="dxa"/>
            <w:tcBorders>
              <w:top w:val="single" w:color="auto" w:sz="4" w:space="0"/>
              <w:left w:val="single" w:color="auto" w:sz="4" w:space="0"/>
              <w:bottom w:val="single" w:color="auto" w:sz="4" w:space="0"/>
              <w:right w:val="single" w:color="auto" w:sz="4" w:space="0"/>
            </w:tcBorders>
            <w:noWrap/>
          </w:tcPr>
          <w:p w14:paraId="01F051BC">
            <w:pPr>
              <w:pStyle w:val="133"/>
              <w:rPr>
                <w:rFonts w:hint="eastAsia" w:ascii="宋体" w:hAnsi="宋体"/>
              </w:rPr>
            </w:pPr>
            <w:r>
              <w:t>3.39</w:t>
            </w:r>
          </w:p>
        </w:tc>
        <w:tc>
          <w:tcPr>
            <w:tcW w:w="392" w:type="dxa"/>
            <w:tcBorders>
              <w:top w:val="single" w:color="auto" w:sz="4" w:space="0"/>
              <w:left w:val="single" w:color="auto" w:sz="4" w:space="0"/>
              <w:bottom w:val="single" w:color="auto" w:sz="4" w:space="0"/>
              <w:right w:val="single" w:color="auto" w:sz="4" w:space="0"/>
            </w:tcBorders>
            <w:noWrap/>
          </w:tcPr>
          <w:p w14:paraId="7B7C4F77">
            <w:pPr>
              <w:pStyle w:val="133"/>
              <w:rPr>
                <w:rFonts w:hint="eastAsia" w:ascii="宋体" w:hAnsi="宋体"/>
              </w:rPr>
            </w:pPr>
            <w:r>
              <w:t>3.57</w:t>
            </w:r>
          </w:p>
        </w:tc>
        <w:tc>
          <w:tcPr>
            <w:tcW w:w="425" w:type="dxa"/>
            <w:tcBorders>
              <w:top w:val="single" w:color="auto" w:sz="4" w:space="0"/>
              <w:left w:val="single" w:color="auto" w:sz="4" w:space="0"/>
              <w:bottom w:val="single" w:color="auto" w:sz="4" w:space="0"/>
              <w:right w:val="single" w:color="auto" w:sz="4" w:space="0"/>
            </w:tcBorders>
            <w:noWrap/>
          </w:tcPr>
          <w:p w14:paraId="6B0194F2">
            <w:pPr>
              <w:pStyle w:val="133"/>
              <w:rPr>
                <w:rFonts w:hint="eastAsia" w:ascii="宋体" w:hAnsi="宋体"/>
              </w:rPr>
            </w:pPr>
            <w:r>
              <w:t>2.11</w:t>
            </w:r>
          </w:p>
        </w:tc>
        <w:tc>
          <w:tcPr>
            <w:tcW w:w="392" w:type="dxa"/>
            <w:tcBorders>
              <w:top w:val="single" w:color="auto" w:sz="4" w:space="0"/>
              <w:left w:val="single" w:color="auto" w:sz="4" w:space="0"/>
              <w:bottom w:val="single" w:color="auto" w:sz="4" w:space="0"/>
              <w:right w:val="single" w:color="auto" w:sz="4" w:space="0"/>
            </w:tcBorders>
            <w:noWrap/>
          </w:tcPr>
          <w:p w14:paraId="36BBFD7A">
            <w:pPr>
              <w:pStyle w:val="133"/>
              <w:rPr>
                <w:rFonts w:hint="eastAsia" w:ascii="宋体" w:hAnsi="宋体"/>
              </w:rPr>
            </w:pPr>
            <w:r>
              <w:t>2.84</w:t>
            </w:r>
          </w:p>
        </w:tc>
        <w:tc>
          <w:tcPr>
            <w:tcW w:w="503" w:type="dxa"/>
            <w:tcBorders>
              <w:top w:val="single" w:color="auto" w:sz="4" w:space="0"/>
              <w:left w:val="single" w:color="auto" w:sz="4" w:space="0"/>
              <w:bottom w:val="single" w:color="auto" w:sz="4" w:space="0"/>
              <w:right w:val="single" w:color="auto" w:sz="4" w:space="0"/>
            </w:tcBorders>
            <w:noWrap/>
          </w:tcPr>
          <w:p w14:paraId="64F80B02">
            <w:pPr>
              <w:pStyle w:val="133"/>
              <w:rPr>
                <w:rFonts w:hint="eastAsia" w:ascii="宋体" w:hAnsi="宋体"/>
              </w:rPr>
            </w:pPr>
            <w:r>
              <w:t>4.17</w:t>
            </w:r>
          </w:p>
        </w:tc>
        <w:tc>
          <w:tcPr>
            <w:tcW w:w="464" w:type="dxa"/>
            <w:tcBorders>
              <w:top w:val="single" w:color="auto" w:sz="4" w:space="0"/>
              <w:left w:val="single" w:color="auto" w:sz="4" w:space="0"/>
              <w:bottom w:val="single" w:color="auto" w:sz="4" w:space="0"/>
              <w:right w:val="single" w:color="auto" w:sz="4" w:space="0"/>
            </w:tcBorders>
            <w:noWrap/>
          </w:tcPr>
          <w:p w14:paraId="1ACB35D4">
            <w:pPr>
              <w:pStyle w:val="133"/>
              <w:rPr>
                <w:rFonts w:hint="eastAsia" w:ascii="宋体" w:hAnsi="宋体"/>
              </w:rPr>
            </w:pPr>
            <w:r>
              <w:t>7.19</w:t>
            </w:r>
          </w:p>
        </w:tc>
        <w:tc>
          <w:tcPr>
            <w:tcW w:w="536" w:type="dxa"/>
            <w:tcBorders>
              <w:top w:val="single" w:color="auto" w:sz="4" w:space="0"/>
              <w:left w:val="single" w:color="auto" w:sz="4" w:space="0"/>
              <w:bottom w:val="single" w:color="auto" w:sz="4" w:space="0"/>
              <w:right w:val="single" w:color="auto" w:sz="4" w:space="0"/>
            </w:tcBorders>
            <w:noWrap/>
          </w:tcPr>
          <w:p w14:paraId="00DCC14A">
            <w:pPr>
              <w:pStyle w:val="133"/>
              <w:rPr>
                <w:rFonts w:hint="eastAsia" w:ascii="宋体" w:hAnsi="宋体"/>
              </w:rPr>
            </w:pPr>
            <w:r>
              <w:t>3.57</w:t>
            </w:r>
          </w:p>
        </w:tc>
        <w:tc>
          <w:tcPr>
            <w:tcW w:w="464" w:type="dxa"/>
            <w:tcBorders>
              <w:top w:val="single" w:color="auto" w:sz="4" w:space="0"/>
              <w:left w:val="single" w:color="auto" w:sz="4" w:space="0"/>
              <w:bottom w:val="single" w:color="auto" w:sz="4" w:space="0"/>
              <w:right w:val="single" w:color="auto" w:sz="4" w:space="0"/>
            </w:tcBorders>
            <w:noWrap/>
          </w:tcPr>
          <w:p w14:paraId="2FEFDAFF">
            <w:pPr>
              <w:pStyle w:val="133"/>
              <w:rPr>
                <w:rFonts w:hint="eastAsia" w:ascii="宋体" w:hAnsi="宋体"/>
              </w:rPr>
            </w:pPr>
            <w:r>
              <w:t>4.30</w:t>
            </w:r>
          </w:p>
        </w:tc>
        <w:tc>
          <w:tcPr>
            <w:tcW w:w="492" w:type="dxa"/>
            <w:tcBorders>
              <w:top w:val="single" w:color="auto" w:sz="4" w:space="0"/>
              <w:left w:val="single" w:color="auto" w:sz="4" w:space="0"/>
              <w:bottom w:val="single" w:color="auto" w:sz="4" w:space="0"/>
              <w:right w:val="single" w:color="auto" w:sz="4" w:space="0"/>
            </w:tcBorders>
            <w:noWrap/>
          </w:tcPr>
          <w:p w14:paraId="1FB13B70">
            <w:pPr>
              <w:pStyle w:val="133"/>
              <w:rPr>
                <w:rFonts w:hint="eastAsia" w:ascii="宋体" w:hAnsi="宋体"/>
              </w:rPr>
            </w:pPr>
            <w:r>
              <w:t>3.53</w:t>
            </w:r>
          </w:p>
        </w:tc>
        <w:tc>
          <w:tcPr>
            <w:tcW w:w="392" w:type="dxa"/>
            <w:tcBorders>
              <w:top w:val="single" w:color="auto" w:sz="4" w:space="0"/>
              <w:left w:val="single" w:color="auto" w:sz="4" w:space="0"/>
              <w:bottom w:val="single" w:color="auto" w:sz="4" w:space="0"/>
              <w:right w:val="single" w:color="auto" w:sz="12" w:space="0"/>
            </w:tcBorders>
            <w:noWrap/>
          </w:tcPr>
          <w:p w14:paraId="6D41EBA6">
            <w:pPr>
              <w:pStyle w:val="133"/>
              <w:rPr>
                <w:rFonts w:hint="eastAsia" w:ascii="宋体" w:hAnsi="宋体"/>
              </w:rPr>
            </w:pPr>
            <w:r>
              <w:t>0.27</w:t>
            </w:r>
          </w:p>
        </w:tc>
      </w:tr>
      <w:tr w14:paraId="1C89E7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tcBorders>
              <w:top w:val="single" w:color="auto" w:sz="4" w:space="0"/>
              <w:left w:val="single" w:color="auto" w:sz="12" w:space="0"/>
              <w:bottom w:val="single" w:color="auto" w:sz="4" w:space="0"/>
              <w:right w:val="single" w:color="auto" w:sz="4" w:space="0"/>
            </w:tcBorders>
            <w:noWrap/>
            <w:vAlign w:val="center"/>
          </w:tcPr>
          <w:p w14:paraId="5C53E340">
            <w:pPr>
              <w:pStyle w:val="133"/>
            </w:pPr>
            <w:r>
              <w:rPr>
                <w:rFonts w:hint="eastAsia"/>
              </w:rPr>
              <w:t>冬季</w:t>
            </w:r>
          </w:p>
        </w:tc>
        <w:tc>
          <w:tcPr>
            <w:tcW w:w="495" w:type="dxa"/>
            <w:tcBorders>
              <w:top w:val="single" w:color="auto" w:sz="4" w:space="0"/>
              <w:left w:val="single" w:color="auto" w:sz="4" w:space="0"/>
              <w:bottom w:val="single" w:color="auto" w:sz="4" w:space="0"/>
              <w:right w:val="single" w:color="auto" w:sz="4" w:space="0"/>
            </w:tcBorders>
            <w:noWrap/>
          </w:tcPr>
          <w:p w14:paraId="1941FC8C">
            <w:pPr>
              <w:pStyle w:val="133"/>
              <w:rPr>
                <w:rFonts w:hint="eastAsia" w:ascii="宋体" w:hAnsi="宋体"/>
              </w:rPr>
            </w:pPr>
            <w:r>
              <w:t>6.16</w:t>
            </w:r>
          </w:p>
        </w:tc>
        <w:tc>
          <w:tcPr>
            <w:tcW w:w="425" w:type="dxa"/>
            <w:tcBorders>
              <w:top w:val="single" w:color="auto" w:sz="4" w:space="0"/>
              <w:left w:val="single" w:color="auto" w:sz="4" w:space="0"/>
              <w:bottom w:val="single" w:color="auto" w:sz="4" w:space="0"/>
              <w:right w:val="single" w:color="auto" w:sz="4" w:space="0"/>
            </w:tcBorders>
            <w:noWrap/>
          </w:tcPr>
          <w:p w14:paraId="138248B9">
            <w:pPr>
              <w:pStyle w:val="133"/>
              <w:rPr>
                <w:rFonts w:hint="eastAsia" w:ascii="宋体" w:hAnsi="宋体"/>
              </w:rPr>
            </w:pPr>
            <w:r>
              <w:t>6.39</w:t>
            </w:r>
          </w:p>
        </w:tc>
        <w:tc>
          <w:tcPr>
            <w:tcW w:w="464" w:type="dxa"/>
            <w:tcBorders>
              <w:top w:val="single" w:color="auto" w:sz="4" w:space="0"/>
              <w:left w:val="single" w:color="auto" w:sz="4" w:space="0"/>
              <w:bottom w:val="single" w:color="auto" w:sz="4" w:space="0"/>
              <w:right w:val="single" w:color="auto" w:sz="4" w:space="0"/>
            </w:tcBorders>
            <w:noWrap/>
          </w:tcPr>
          <w:p w14:paraId="082CAE16">
            <w:pPr>
              <w:pStyle w:val="133"/>
              <w:rPr>
                <w:rFonts w:hint="eastAsia" w:ascii="宋体" w:hAnsi="宋体"/>
              </w:rPr>
            </w:pPr>
            <w:r>
              <w:t>7.50</w:t>
            </w:r>
          </w:p>
        </w:tc>
        <w:tc>
          <w:tcPr>
            <w:tcW w:w="464" w:type="dxa"/>
            <w:tcBorders>
              <w:top w:val="single" w:color="auto" w:sz="4" w:space="0"/>
              <w:left w:val="single" w:color="auto" w:sz="4" w:space="0"/>
              <w:bottom w:val="single" w:color="auto" w:sz="4" w:space="0"/>
              <w:right w:val="single" w:color="auto" w:sz="4" w:space="0"/>
            </w:tcBorders>
            <w:noWrap/>
          </w:tcPr>
          <w:p w14:paraId="351F4368">
            <w:pPr>
              <w:pStyle w:val="133"/>
              <w:rPr>
                <w:rFonts w:hint="eastAsia" w:ascii="宋体" w:hAnsi="宋体"/>
              </w:rPr>
            </w:pPr>
            <w:r>
              <w:t>16.25</w:t>
            </w:r>
          </w:p>
        </w:tc>
        <w:tc>
          <w:tcPr>
            <w:tcW w:w="464" w:type="dxa"/>
            <w:tcBorders>
              <w:top w:val="single" w:color="auto" w:sz="4" w:space="0"/>
              <w:left w:val="single" w:color="auto" w:sz="4" w:space="0"/>
              <w:bottom w:val="single" w:color="auto" w:sz="4" w:space="0"/>
              <w:right w:val="single" w:color="auto" w:sz="4" w:space="0"/>
            </w:tcBorders>
            <w:noWrap/>
          </w:tcPr>
          <w:p w14:paraId="0B69B637">
            <w:pPr>
              <w:pStyle w:val="133"/>
              <w:rPr>
                <w:rFonts w:hint="eastAsia" w:ascii="宋体" w:hAnsi="宋体"/>
              </w:rPr>
            </w:pPr>
            <w:r>
              <w:t>19.40</w:t>
            </w:r>
          </w:p>
        </w:tc>
        <w:tc>
          <w:tcPr>
            <w:tcW w:w="392" w:type="dxa"/>
            <w:tcBorders>
              <w:top w:val="single" w:color="auto" w:sz="4" w:space="0"/>
              <w:left w:val="single" w:color="auto" w:sz="4" w:space="0"/>
              <w:bottom w:val="single" w:color="auto" w:sz="4" w:space="0"/>
              <w:right w:val="single" w:color="auto" w:sz="4" w:space="0"/>
            </w:tcBorders>
            <w:noWrap/>
          </w:tcPr>
          <w:p w14:paraId="71800FC1">
            <w:pPr>
              <w:pStyle w:val="133"/>
              <w:rPr>
                <w:rFonts w:hint="eastAsia" w:ascii="宋体" w:hAnsi="宋体"/>
              </w:rPr>
            </w:pPr>
            <w:r>
              <w:t>6.06</w:t>
            </w:r>
          </w:p>
        </w:tc>
        <w:tc>
          <w:tcPr>
            <w:tcW w:w="392" w:type="dxa"/>
            <w:tcBorders>
              <w:top w:val="single" w:color="auto" w:sz="4" w:space="0"/>
              <w:left w:val="single" w:color="auto" w:sz="4" w:space="0"/>
              <w:bottom w:val="single" w:color="auto" w:sz="4" w:space="0"/>
              <w:right w:val="single" w:color="auto" w:sz="4" w:space="0"/>
            </w:tcBorders>
            <w:noWrap/>
          </w:tcPr>
          <w:p w14:paraId="58E94CA8">
            <w:pPr>
              <w:pStyle w:val="133"/>
              <w:rPr>
                <w:rFonts w:hint="eastAsia" w:ascii="宋体" w:hAnsi="宋体"/>
              </w:rPr>
            </w:pPr>
            <w:r>
              <w:t>5.37</w:t>
            </w:r>
          </w:p>
        </w:tc>
        <w:tc>
          <w:tcPr>
            <w:tcW w:w="392" w:type="dxa"/>
            <w:tcBorders>
              <w:top w:val="single" w:color="auto" w:sz="4" w:space="0"/>
              <w:left w:val="single" w:color="auto" w:sz="4" w:space="0"/>
              <w:bottom w:val="single" w:color="auto" w:sz="4" w:space="0"/>
              <w:right w:val="single" w:color="auto" w:sz="4" w:space="0"/>
            </w:tcBorders>
            <w:noWrap/>
          </w:tcPr>
          <w:p w14:paraId="092EB874">
            <w:pPr>
              <w:pStyle w:val="133"/>
              <w:rPr>
                <w:rFonts w:hint="eastAsia" w:ascii="宋体" w:hAnsi="宋体"/>
              </w:rPr>
            </w:pPr>
            <w:r>
              <w:t>3.38</w:t>
            </w:r>
          </w:p>
        </w:tc>
        <w:tc>
          <w:tcPr>
            <w:tcW w:w="392" w:type="dxa"/>
            <w:tcBorders>
              <w:top w:val="single" w:color="auto" w:sz="4" w:space="0"/>
              <w:left w:val="single" w:color="auto" w:sz="4" w:space="0"/>
              <w:bottom w:val="single" w:color="auto" w:sz="4" w:space="0"/>
              <w:right w:val="single" w:color="auto" w:sz="4" w:space="0"/>
            </w:tcBorders>
            <w:noWrap/>
          </w:tcPr>
          <w:p w14:paraId="6066F170">
            <w:pPr>
              <w:pStyle w:val="133"/>
              <w:rPr>
                <w:rFonts w:hint="eastAsia" w:ascii="宋体" w:hAnsi="宋体"/>
              </w:rPr>
            </w:pPr>
            <w:r>
              <w:t>5.14</w:t>
            </w:r>
          </w:p>
        </w:tc>
        <w:tc>
          <w:tcPr>
            <w:tcW w:w="425" w:type="dxa"/>
            <w:tcBorders>
              <w:top w:val="single" w:color="auto" w:sz="4" w:space="0"/>
              <w:left w:val="single" w:color="auto" w:sz="4" w:space="0"/>
              <w:bottom w:val="single" w:color="auto" w:sz="4" w:space="0"/>
              <w:right w:val="single" w:color="auto" w:sz="4" w:space="0"/>
            </w:tcBorders>
            <w:noWrap/>
          </w:tcPr>
          <w:p w14:paraId="68493179">
            <w:pPr>
              <w:pStyle w:val="133"/>
              <w:rPr>
                <w:rFonts w:hint="eastAsia" w:ascii="宋体" w:hAnsi="宋体"/>
              </w:rPr>
            </w:pPr>
            <w:r>
              <w:t>3.15</w:t>
            </w:r>
          </w:p>
        </w:tc>
        <w:tc>
          <w:tcPr>
            <w:tcW w:w="392" w:type="dxa"/>
            <w:tcBorders>
              <w:top w:val="single" w:color="auto" w:sz="4" w:space="0"/>
              <w:left w:val="single" w:color="auto" w:sz="4" w:space="0"/>
              <w:bottom w:val="single" w:color="auto" w:sz="4" w:space="0"/>
              <w:right w:val="single" w:color="auto" w:sz="4" w:space="0"/>
            </w:tcBorders>
            <w:noWrap/>
          </w:tcPr>
          <w:p w14:paraId="5AFBDC5A">
            <w:pPr>
              <w:pStyle w:val="133"/>
              <w:rPr>
                <w:rFonts w:hint="eastAsia" w:ascii="宋体" w:hAnsi="宋体"/>
              </w:rPr>
            </w:pPr>
            <w:r>
              <w:t>3.38</w:t>
            </w:r>
          </w:p>
        </w:tc>
        <w:tc>
          <w:tcPr>
            <w:tcW w:w="503" w:type="dxa"/>
            <w:tcBorders>
              <w:top w:val="single" w:color="auto" w:sz="4" w:space="0"/>
              <w:left w:val="single" w:color="auto" w:sz="4" w:space="0"/>
              <w:bottom w:val="single" w:color="auto" w:sz="4" w:space="0"/>
              <w:right w:val="single" w:color="auto" w:sz="4" w:space="0"/>
            </w:tcBorders>
            <w:noWrap/>
          </w:tcPr>
          <w:p w14:paraId="0B414A08">
            <w:pPr>
              <w:pStyle w:val="133"/>
              <w:rPr>
                <w:rFonts w:hint="eastAsia" w:ascii="宋体" w:hAnsi="宋体"/>
              </w:rPr>
            </w:pPr>
            <w:r>
              <w:t>3.61</w:t>
            </w:r>
          </w:p>
        </w:tc>
        <w:tc>
          <w:tcPr>
            <w:tcW w:w="464" w:type="dxa"/>
            <w:tcBorders>
              <w:top w:val="single" w:color="auto" w:sz="4" w:space="0"/>
              <w:left w:val="single" w:color="auto" w:sz="4" w:space="0"/>
              <w:bottom w:val="single" w:color="auto" w:sz="4" w:space="0"/>
              <w:right w:val="single" w:color="auto" w:sz="4" w:space="0"/>
            </w:tcBorders>
            <w:noWrap/>
          </w:tcPr>
          <w:p w14:paraId="62C1C682">
            <w:pPr>
              <w:pStyle w:val="133"/>
              <w:rPr>
                <w:rFonts w:hint="eastAsia" w:ascii="宋体" w:hAnsi="宋体"/>
              </w:rPr>
            </w:pPr>
            <w:r>
              <w:t>5.28</w:t>
            </w:r>
          </w:p>
        </w:tc>
        <w:tc>
          <w:tcPr>
            <w:tcW w:w="536" w:type="dxa"/>
            <w:tcBorders>
              <w:top w:val="single" w:color="auto" w:sz="4" w:space="0"/>
              <w:left w:val="single" w:color="auto" w:sz="4" w:space="0"/>
              <w:bottom w:val="single" w:color="auto" w:sz="4" w:space="0"/>
              <w:right w:val="single" w:color="auto" w:sz="4" w:space="0"/>
            </w:tcBorders>
            <w:noWrap/>
          </w:tcPr>
          <w:p w14:paraId="3EE94C82">
            <w:pPr>
              <w:pStyle w:val="133"/>
              <w:rPr>
                <w:rFonts w:hint="eastAsia" w:ascii="宋体" w:hAnsi="宋体"/>
              </w:rPr>
            </w:pPr>
            <w:r>
              <w:t>2.96</w:t>
            </w:r>
          </w:p>
        </w:tc>
        <w:tc>
          <w:tcPr>
            <w:tcW w:w="464" w:type="dxa"/>
            <w:tcBorders>
              <w:top w:val="single" w:color="auto" w:sz="4" w:space="0"/>
              <w:left w:val="single" w:color="auto" w:sz="4" w:space="0"/>
              <w:bottom w:val="single" w:color="auto" w:sz="4" w:space="0"/>
              <w:right w:val="single" w:color="auto" w:sz="4" w:space="0"/>
            </w:tcBorders>
            <w:noWrap/>
          </w:tcPr>
          <w:p w14:paraId="1728E48E">
            <w:pPr>
              <w:pStyle w:val="133"/>
              <w:rPr>
                <w:rFonts w:hint="eastAsia" w:ascii="宋体" w:hAnsi="宋体"/>
              </w:rPr>
            </w:pPr>
            <w:r>
              <w:t>3.56</w:t>
            </w:r>
          </w:p>
        </w:tc>
        <w:tc>
          <w:tcPr>
            <w:tcW w:w="492" w:type="dxa"/>
            <w:tcBorders>
              <w:top w:val="single" w:color="auto" w:sz="4" w:space="0"/>
              <w:left w:val="single" w:color="auto" w:sz="4" w:space="0"/>
              <w:bottom w:val="single" w:color="auto" w:sz="4" w:space="0"/>
              <w:right w:val="single" w:color="auto" w:sz="4" w:space="0"/>
            </w:tcBorders>
            <w:noWrap/>
          </w:tcPr>
          <w:p w14:paraId="16D4E073">
            <w:pPr>
              <w:pStyle w:val="133"/>
              <w:rPr>
                <w:rFonts w:hint="eastAsia" w:ascii="宋体" w:hAnsi="宋体"/>
              </w:rPr>
            </w:pPr>
            <w:r>
              <w:t>1.81</w:t>
            </w:r>
          </w:p>
        </w:tc>
        <w:tc>
          <w:tcPr>
            <w:tcW w:w="392" w:type="dxa"/>
            <w:tcBorders>
              <w:top w:val="single" w:color="auto" w:sz="4" w:space="0"/>
              <w:left w:val="single" w:color="auto" w:sz="4" w:space="0"/>
              <w:bottom w:val="single" w:color="auto" w:sz="4" w:space="0"/>
              <w:right w:val="single" w:color="auto" w:sz="12" w:space="0"/>
            </w:tcBorders>
            <w:noWrap/>
          </w:tcPr>
          <w:p w14:paraId="7FB34C7A">
            <w:pPr>
              <w:pStyle w:val="133"/>
              <w:rPr>
                <w:rFonts w:hint="eastAsia" w:ascii="宋体" w:hAnsi="宋体"/>
              </w:rPr>
            </w:pPr>
            <w:r>
              <w:t>0.60</w:t>
            </w:r>
          </w:p>
        </w:tc>
      </w:tr>
      <w:tr w14:paraId="773B0C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6" w:type="dxa"/>
            <w:bottom w:w="0" w:type="dxa"/>
            <w:right w:w="6" w:type="dxa"/>
          </w:tblCellMar>
        </w:tblPrEx>
        <w:trPr>
          <w:trHeight w:val="283" w:hRule="atLeast"/>
        </w:trPr>
        <w:tc>
          <w:tcPr>
            <w:tcW w:w="748" w:type="dxa"/>
            <w:tcBorders>
              <w:top w:val="single" w:color="auto" w:sz="4" w:space="0"/>
              <w:left w:val="single" w:color="auto" w:sz="12" w:space="0"/>
              <w:bottom w:val="single" w:color="auto" w:sz="12" w:space="0"/>
              <w:right w:val="single" w:color="auto" w:sz="4" w:space="0"/>
            </w:tcBorders>
            <w:noWrap/>
            <w:vAlign w:val="center"/>
          </w:tcPr>
          <w:p w14:paraId="71727607">
            <w:pPr>
              <w:pStyle w:val="133"/>
            </w:pPr>
            <w:r>
              <w:rPr>
                <w:rFonts w:hint="eastAsia"/>
              </w:rPr>
              <w:t>年平均</w:t>
            </w:r>
          </w:p>
        </w:tc>
        <w:tc>
          <w:tcPr>
            <w:tcW w:w="495" w:type="dxa"/>
            <w:tcBorders>
              <w:top w:val="single" w:color="auto" w:sz="4" w:space="0"/>
              <w:left w:val="single" w:color="auto" w:sz="4" w:space="0"/>
              <w:bottom w:val="single" w:color="auto" w:sz="12" w:space="0"/>
              <w:right w:val="single" w:color="auto" w:sz="4" w:space="0"/>
            </w:tcBorders>
            <w:noWrap/>
          </w:tcPr>
          <w:p w14:paraId="4F26D83D">
            <w:pPr>
              <w:pStyle w:val="133"/>
              <w:rPr>
                <w:rFonts w:hint="eastAsia" w:ascii="宋体" w:hAnsi="宋体"/>
              </w:rPr>
            </w:pPr>
            <w:r>
              <w:t>8.88</w:t>
            </w:r>
          </w:p>
        </w:tc>
        <w:tc>
          <w:tcPr>
            <w:tcW w:w="425" w:type="dxa"/>
            <w:tcBorders>
              <w:top w:val="single" w:color="auto" w:sz="4" w:space="0"/>
              <w:left w:val="single" w:color="auto" w:sz="4" w:space="0"/>
              <w:bottom w:val="single" w:color="auto" w:sz="12" w:space="0"/>
              <w:right w:val="single" w:color="auto" w:sz="4" w:space="0"/>
            </w:tcBorders>
            <w:noWrap/>
          </w:tcPr>
          <w:p w14:paraId="20427301">
            <w:pPr>
              <w:pStyle w:val="133"/>
              <w:rPr>
                <w:rFonts w:hint="eastAsia" w:ascii="宋体" w:hAnsi="宋体"/>
              </w:rPr>
            </w:pPr>
            <w:r>
              <w:t>7.58</w:t>
            </w:r>
          </w:p>
        </w:tc>
        <w:tc>
          <w:tcPr>
            <w:tcW w:w="464" w:type="dxa"/>
            <w:tcBorders>
              <w:top w:val="single" w:color="auto" w:sz="4" w:space="0"/>
              <w:left w:val="single" w:color="auto" w:sz="4" w:space="0"/>
              <w:bottom w:val="single" w:color="auto" w:sz="12" w:space="0"/>
              <w:right w:val="single" w:color="auto" w:sz="4" w:space="0"/>
            </w:tcBorders>
            <w:noWrap/>
          </w:tcPr>
          <w:p w14:paraId="3042B4D9">
            <w:pPr>
              <w:pStyle w:val="133"/>
              <w:rPr>
                <w:rFonts w:hint="eastAsia" w:ascii="宋体" w:hAnsi="宋体"/>
              </w:rPr>
            </w:pPr>
            <w:r>
              <w:t>8.71</w:t>
            </w:r>
          </w:p>
        </w:tc>
        <w:tc>
          <w:tcPr>
            <w:tcW w:w="464" w:type="dxa"/>
            <w:tcBorders>
              <w:top w:val="single" w:color="auto" w:sz="4" w:space="0"/>
              <w:left w:val="single" w:color="auto" w:sz="4" w:space="0"/>
              <w:bottom w:val="single" w:color="auto" w:sz="12" w:space="0"/>
              <w:right w:val="single" w:color="auto" w:sz="4" w:space="0"/>
            </w:tcBorders>
            <w:noWrap/>
          </w:tcPr>
          <w:p w14:paraId="0A20A740">
            <w:pPr>
              <w:pStyle w:val="133"/>
              <w:rPr>
                <w:rFonts w:hint="eastAsia" w:ascii="宋体" w:hAnsi="宋体"/>
              </w:rPr>
            </w:pPr>
            <w:r>
              <w:t>11.71</w:t>
            </w:r>
          </w:p>
        </w:tc>
        <w:tc>
          <w:tcPr>
            <w:tcW w:w="464" w:type="dxa"/>
            <w:tcBorders>
              <w:top w:val="single" w:color="auto" w:sz="4" w:space="0"/>
              <w:left w:val="single" w:color="auto" w:sz="4" w:space="0"/>
              <w:bottom w:val="single" w:color="auto" w:sz="12" w:space="0"/>
              <w:right w:val="single" w:color="auto" w:sz="4" w:space="0"/>
            </w:tcBorders>
            <w:noWrap/>
          </w:tcPr>
          <w:p w14:paraId="21BD017E">
            <w:pPr>
              <w:pStyle w:val="133"/>
              <w:rPr>
                <w:rFonts w:hint="eastAsia" w:ascii="宋体" w:hAnsi="宋体"/>
              </w:rPr>
            </w:pPr>
            <w:r>
              <w:t>14.77</w:t>
            </w:r>
          </w:p>
        </w:tc>
        <w:tc>
          <w:tcPr>
            <w:tcW w:w="392" w:type="dxa"/>
            <w:tcBorders>
              <w:top w:val="single" w:color="auto" w:sz="4" w:space="0"/>
              <w:left w:val="single" w:color="auto" w:sz="4" w:space="0"/>
              <w:bottom w:val="single" w:color="auto" w:sz="12" w:space="0"/>
              <w:right w:val="single" w:color="auto" w:sz="4" w:space="0"/>
            </w:tcBorders>
            <w:noWrap/>
          </w:tcPr>
          <w:p w14:paraId="6AEEFDF0">
            <w:pPr>
              <w:pStyle w:val="133"/>
              <w:rPr>
                <w:rFonts w:hint="eastAsia" w:ascii="宋体" w:hAnsi="宋体"/>
              </w:rPr>
            </w:pPr>
            <w:r>
              <w:t>6.28</w:t>
            </w:r>
          </w:p>
        </w:tc>
        <w:tc>
          <w:tcPr>
            <w:tcW w:w="392" w:type="dxa"/>
            <w:tcBorders>
              <w:top w:val="single" w:color="auto" w:sz="4" w:space="0"/>
              <w:left w:val="single" w:color="auto" w:sz="4" w:space="0"/>
              <w:bottom w:val="single" w:color="auto" w:sz="12" w:space="0"/>
              <w:right w:val="single" w:color="auto" w:sz="4" w:space="0"/>
            </w:tcBorders>
            <w:noWrap/>
          </w:tcPr>
          <w:p w14:paraId="6D90BEBF">
            <w:pPr>
              <w:pStyle w:val="133"/>
              <w:rPr>
                <w:rFonts w:hint="eastAsia" w:ascii="宋体" w:hAnsi="宋体"/>
              </w:rPr>
            </w:pPr>
            <w:r>
              <w:t>5.45</w:t>
            </w:r>
          </w:p>
        </w:tc>
        <w:tc>
          <w:tcPr>
            <w:tcW w:w="392" w:type="dxa"/>
            <w:tcBorders>
              <w:top w:val="single" w:color="auto" w:sz="4" w:space="0"/>
              <w:left w:val="single" w:color="auto" w:sz="4" w:space="0"/>
              <w:bottom w:val="single" w:color="auto" w:sz="12" w:space="0"/>
              <w:right w:val="single" w:color="auto" w:sz="4" w:space="0"/>
            </w:tcBorders>
            <w:noWrap/>
          </w:tcPr>
          <w:p w14:paraId="64F28837">
            <w:pPr>
              <w:pStyle w:val="133"/>
              <w:rPr>
                <w:rFonts w:hint="eastAsia" w:ascii="宋体" w:hAnsi="宋体"/>
              </w:rPr>
            </w:pPr>
            <w:r>
              <w:t>3.13</w:t>
            </w:r>
          </w:p>
        </w:tc>
        <w:tc>
          <w:tcPr>
            <w:tcW w:w="392" w:type="dxa"/>
            <w:tcBorders>
              <w:top w:val="single" w:color="auto" w:sz="4" w:space="0"/>
              <w:left w:val="single" w:color="auto" w:sz="4" w:space="0"/>
              <w:bottom w:val="single" w:color="auto" w:sz="12" w:space="0"/>
              <w:right w:val="single" w:color="auto" w:sz="4" w:space="0"/>
            </w:tcBorders>
            <w:noWrap/>
          </w:tcPr>
          <w:p w14:paraId="4760964C">
            <w:pPr>
              <w:pStyle w:val="133"/>
              <w:rPr>
                <w:rFonts w:hint="eastAsia" w:ascii="宋体" w:hAnsi="宋体"/>
              </w:rPr>
            </w:pPr>
            <w:r>
              <w:t>3.98</w:t>
            </w:r>
          </w:p>
        </w:tc>
        <w:tc>
          <w:tcPr>
            <w:tcW w:w="425" w:type="dxa"/>
            <w:tcBorders>
              <w:top w:val="single" w:color="auto" w:sz="4" w:space="0"/>
              <w:left w:val="single" w:color="auto" w:sz="4" w:space="0"/>
              <w:bottom w:val="single" w:color="auto" w:sz="12" w:space="0"/>
              <w:right w:val="single" w:color="auto" w:sz="4" w:space="0"/>
            </w:tcBorders>
            <w:noWrap/>
          </w:tcPr>
          <w:p w14:paraId="5F72C629">
            <w:pPr>
              <w:pStyle w:val="133"/>
              <w:rPr>
                <w:rFonts w:hint="eastAsia" w:ascii="宋体" w:hAnsi="宋体"/>
              </w:rPr>
            </w:pPr>
            <w:r>
              <w:t>2.80</w:t>
            </w:r>
          </w:p>
        </w:tc>
        <w:tc>
          <w:tcPr>
            <w:tcW w:w="392" w:type="dxa"/>
            <w:tcBorders>
              <w:top w:val="single" w:color="auto" w:sz="4" w:space="0"/>
              <w:left w:val="single" w:color="auto" w:sz="4" w:space="0"/>
              <w:bottom w:val="single" w:color="auto" w:sz="12" w:space="0"/>
              <w:right w:val="single" w:color="auto" w:sz="4" w:space="0"/>
            </w:tcBorders>
            <w:noWrap/>
          </w:tcPr>
          <w:p w14:paraId="512909F4">
            <w:pPr>
              <w:pStyle w:val="133"/>
              <w:rPr>
                <w:rFonts w:hint="eastAsia" w:ascii="宋体" w:hAnsi="宋体"/>
              </w:rPr>
            </w:pPr>
            <w:r>
              <w:t>3.22</w:t>
            </w:r>
          </w:p>
        </w:tc>
        <w:tc>
          <w:tcPr>
            <w:tcW w:w="503" w:type="dxa"/>
            <w:tcBorders>
              <w:top w:val="single" w:color="auto" w:sz="4" w:space="0"/>
              <w:left w:val="single" w:color="auto" w:sz="4" w:space="0"/>
              <w:bottom w:val="single" w:color="auto" w:sz="12" w:space="0"/>
              <w:right w:val="single" w:color="auto" w:sz="4" w:space="0"/>
            </w:tcBorders>
            <w:noWrap/>
          </w:tcPr>
          <w:p w14:paraId="2E6FC788">
            <w:pPr>
              <w:pStyle w:val="133"/>
              <w:rPr>
                <w:rFonts w:hint="eastAsia" w:ascii="宋体" w:hAnsi="宋体"/>
              </w:rPr>
            </w:pPr>
            <w:r>
              <w:t>4.26</w:t>
            </w:r>
          </w:p>
        </w:tc>
        <w:tc>
          <w:tcPr>
            <w:tcW w:w="464" w:type="dxa"/>
            <w:tcBorders>
              <w:top w:val="single" w:color="auto" w:sz="4" w:space="0"/>
              <w:left w:val="single" w:color="auto" w:sz="4" w:space="0"/>
              <w:bottom w:val="single" w:color="auto" w:sz="12" w:space="0"/>
              <w:right w:val="single" w:color="auto" w:sz="4" w:space="0"/>
            </w:tcBorders>
            <w:noWrap/>
          </w:tcPr>
          <w:p w14:paraId="114689D8">
            <w:pPr>
              <w:pStyle w:val="133"/>
              <w:rPr>
                <w:rFonts w:hint="eastAsia" w:ascii="宋体" w:hAnsi="宋体"/>
              </w:rPr>
            </w:pPr>
            <w:r>
              <w:t>7.48</w:t>
            </w:r>
          </w:p>
        </w:tc>
        <w:tc>
          <w:tcPr>
            <w:tcW w:w="536" w:type="dxa"/>
            <w:tcBorders>
              <w:top w:val="single" w:color="auto" w:sz="4" w:space="0"/>
              <w:left w:val="single" w:color="auto" w:sz="4" w:space="0"/>
              <w:bottom w:val="single" w:color="auto" w:sz="12" w:space="0"/>
              <w:right w:val="single" w:color="auto" w:sz="4" w:space="0"/>
            </w:tcBorders>
            <w:noWrap/>
          </w:tcPr>
          <w:p w14:paraId="5A22EA5A">
            <w:pPr>
              <w:pStyle w:val="133"/>
              <w:rPr>
                <w:rFonts w:hint="eastAsia" w:ascii="宋体" w:hAnsi="宋体"/>
              </w:rPr>
            </w:pPr>
            <w:r>
              <w:t>4.22</w:t>
            </w:r>
          </w:p>
        </w:tc>
        <w:tc>
          <w:tcPr>
            <w:tcW w:w="464" w:type="dxa"/>
            <w:tcBorders>
              <w:top w:val="single" w:color="auto" w:sz="4" w:space="0"/>
              <w:left w:val="single" w:color="auto" w:sz="4" w:space="0"/>
              <w:bottom w:val="single" w:color="auto" w:sz="12" w:space="0"/>
              <w:right w:val="single" w:color="auto" w:sz="4" w:space="0"/>
            </w:tcBorders>
            <w:noWrap/>
          </w:tcPr>
          <w:p w14:paraId="08855218">
            <w:pPr>
              <w:pStyle w:val="133"/>
              <w:rPr>
                <w:rFonts w:hint="eastAsia" w:ascii="宋体" w:hAnsi="宋体"/>
              </w:rPr>
            </w:pPr>
            <w:r>
              <w:t>3.98</w:t>
            </w:r>
          </w:p>
        </w:tc>
        <w:tc>
          <w:tcPr>
            <w:tcW w:w="492" w:type="dxa"/>
            <w:tcBorders>
              <w:top w:val="single" w:color="auto" w:sz="4" w:space="0"/>
              <w:left w:val="single" w:color="auto" w:sz="4" w:space="0"/>
              <w:bottom w:val="single" w:color="auto" w:sz="12" w:space="0"/>
              <w:right w:val="single" w:color="auto" w:sz="4" w:space="0"/>
            </w:tcBorders>
            <w:noWrap/>
          </w:tcPr>
          <w:p w14:paraId="7DAB1C8F">
            <w:pPr>
              <w:pStyle w:val="133"/>
              <w:rPr>
                <w:rFonts w:hint="eastAsia" w:ascii="宋体" w:hAnsi="宋体"/>
              </w:rPr>
            </w:pPr>
            <w:r>
              <w:t>3.24</w:t>
            </w:r>
          </w:p>
        </w:tc>
        <w:tc>
          <w:tcPr>
            <w:tcW w:w="392" w:type="dxa"/>
            <w:tcBorders>
              <w:top w:val="single" w:color="auto" w:sz="4" w:space="0"/>
              <w:left w:val="single" w:color="auto" w:sz="4" w:space="0"/>
              <w:bottom w:val="single" w:color="auto" w:sz="12" w:space="0"/>
              <w:right w:val="single" w:color="auto" w:sz="12" w:space="0"/>
            </w:tcBorders>
            <w:noWrap/>
          </w:tcPr>
          <w:p w14:paraId="2873A2D8">
            <w:pPr>
              <w:pStyle w:val="133"/>
              <w:rPr>
                <w:rFonts w:hint="eastAsia" w:ascii="宋体" w:hAnsi="宋体"/>
              </w:rPr>
            </w:pPr>
            <w:r>
              <w:t>0.31</w:t>
            </w:r>
          </w:p>
        </w:tc>
      </w:tr>
    </w:tbl>
    <w:p w14:paraId="2E4E8049">
      <w:pPr>
        <w:pStyle w:val="133"/>
      </w:pPr>
    </w:p>
    <w:p w14:paraId="149C4B69">
      <w:pPr>
        <w:pStyle w:val="117"/>
        <w:ind w:firstLine="480"/>
      </w:pPr>
      <w:r>
        <w:t>2）风速</w:t>
      </w:r>
    </w:p>
    <w:p w14:paraId="4B05BB48">
      <w:pPr>
        <w:pStyle w:val="117"/>
        <w:ind w:firstLine="480"/>
      </w:pPr>
      <w:r>
        <w:rPr>
          <w:rFonts w:hint="eastAsia"/>
        </w:rPr>
        <w:t>评价区域2023年均风速2.03m/s。5月平均风速最大，为2.59m/s；10月平均风速最小，为1.37m/s。年均风速的月变化见表5.2-4，风速频率玫瑰见图5.2-2。</w:t>
      </w:r>
    </w:p>
    <w:p w14:paraId="19C18BC3">
      <w:pPr>
        <w:pStyle w:val="118"/>
      </w:pPr>
    </w:p>
    <w:p w14:paraId="35EEA594">
      <w:pPr>
        <w:pStyle w:val="118"/>
      </w:pPr>
      <w:r>
        <w:rPr>
          <w:rFonts w:hint="eastAsia"/>
        </w:rPr>
        <w:t>表5.2-4</w:t>
      </w:r>
      <w:r>
        <w:t xml:space="preserve">  20</w:t>
      </w:r>
      <w:r>
        <w:rPr>
          <w:rFonts w:hint="eastAsia"/>
        </w:rPr>
        <w:t>23</w:t>
      </w:r>
      <w:r>
        <w:t>年年均风速的月变化一览表</w:t>
      </w:r>
    </w:p>
    <w:tbl>
      <w:tblPr>
        <w:tblStyle w:val="67"/>
        <w:tblW w:w="5000" w:type="pct"/>
        <w:jc w:val="right"/>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6"/>
        <w:gridCol w:w="597"/>
        <w:gridCol w:w="598"/>
        <w:gridCol w:w="597"/>
        <w:gridCol w:w="597"/>
        <w:gridCol w:w="598"/>
        <w:gridCol w:w="597"/>
        <w:gridCol w:w="597"/>
        <w:gridCol w:w="598"/>
        <w:gridCol w:w="597"/>
        <w:gridCol w:w="597"/>
        <w:gridCol w:w="598"/>
        <w:gridCol w:w="597"/>
        <w:gridCol w:w="598"/>
      </w:tblGrid>
      <w:tr w14:paraId="12C2E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right"/>
        </w:trPr>
        <w:tc>
          <w:tcPr>
            <w:tcW w:w="592" w:type="dxa"/>
            <w:tcMar>
              <w:left w:w="28" w:type="dxa"/>
              <w:right w:w="28" w:type="dxa"/>
            </w:tcMar>
            <w:vAlign w:val="center"/>
          </w:tcPr>
          <w:p w14:paraId="1F52F23D">
            <w:pPr>
              <w:pStyle w:val="133"/>
            </w:pPr>
            <w:r>
              <w:t>月份</w:t>
            </w:r>
          </w:p>
        </w:tc>
        <w:tc>
          <w:tcPr>
            <w:tcW w:w="593" w:type="dxa"/>
            <w:tcMar>
              <w:left w:w="28" w:type="dxa"/>
              <w:right w:w="28" w:type="dxa"/>
            </w:tcMar>
            <w:vAlign w:val="center"/>
          </w:tcPr>
          <w:p w14:paraId="4C23CEF9">
            <w:pPr>
              <w:pStyle w:val="133"/>
            </w:pPr>
            <w:r>
              <w:t>1月</w:t>
            </w:r>
          </w:p>
        </w:tc>
        <w:tc>
          <w:tcPr>
            <w:tcW w:w="594" w:type="dxa"/>
            <w:tcMar>
              <w:left w:w="28" w:type="dxa"/>
              <w:right w:w="28" w:type="dxa"/>
            </w:tcMar>
            <w:vAlign w:val="center"/>
          </w:tcPr>
          <w:p w14:paraId="14C804DF">
            <w:pPr>
              <w:pStyle w:val="133"/>
            </w:pPr>
            <w:r>
              <w:t>2月</w:t>
            </w:r>
          </w:p>
        </w:tc>
        <w:tc>
          <w:tcPr>
            <w:tcW w:w="593" w:type="dxa"/>
            <w:tcMar>
              <w:left w:w="28" w:type="dxa"/>
              <w:right w:w="28" w:type="dxa"/>
            </w:tcMar>
            <w:vAlign w:val="center"/>
          </w:tcPr>
          <w:p w14:paraId="586F8D64">
            <w:pPr>
              <w:pStyle w:val="133"/>
            </w:pPr>
            <w:r>
              <w:t>3月</w:t>
            </w:r>
          </w:p>
        </w:tc>
        <w:tc>
          <w:tcPr>
            <w:tcW w:w="592" w:type="dxa"/>
            <w:tcMar>
              <w:left w:w="28" w:type="dxa"/>
              <w:right w:w="28" w:type="dxa"/>
            </w:tcMar>
            <w:vAlign w:val="center"/>
          </w:tcPr>
          <w:p w14:paraId="4A901FE0">
            <w:pPr>
              <w:pStyle w:val="133"/>
            </w:pPr>
            <w:r>
              <w:t>4月</w:t>
            </w:r>
          </w:p>
        </w:tc>
        <w:tc>
          <w:tcPr>
            <w:tcW w:w="593" w:type="dxa"/>
            <w:tcMar>
              <w:left w:w="28" w:type="dxa"/>
              <w:right w:w="28" w:type="dxa"/>
            </w:tcMar>
            <w:vAlign w:val="center"/>
          </w:tcPr>
          <w:p w14:paraId="1623B975">
            <w:pPr>
              <w:pStyle w:val="133"/>
            </w:pPr>
            <w:r>
              <w:t>5月</w:t>
            </w:r>
          </w:p>
        </w:tc>
        <w:tc>
          <w:tcPr>
            <w:tcW w:w="592" w:type="dxa"/>
            <w:tcMar>
              <w:left w:w="28" w:type="dxa"/>
              <w:right w:w="28" w:type="dxa"/>
            </w:tcMar>
            <w:vAlign w:val="center"/>
          </w:tcPr>
          <w:p w14:paraId="738E7240">
            <w:pPr>
              <w:pStyle w:val="133"/>
            </w:pPr>
            <w:r>
              <w:t>6月</w:t>
            </w:r>
          </w:p>
        </w:tc>
        <w:tc>
          <w:tcPr>
            <w:tcW w:w="592" w:type="dxa"/>
            <w:tcMar>
              <w:left w:w="28" w:type="dxa"/>
              <w:right w:w="28" w:type="dxa"/>
            </w:tcMar>
            <w:vAlign w:val="center"/>
          </w:tcPr>
          <w:p w14:paraId="3AC1FCA8">
            <w:pPr>
              <w:pStyle w:val="133"/>
            </w:pPr>
            <w:r>
              <w:t>7月</w:t>
            </w:r>
          </w:p>
        </w:tc>
        <w:tc>
          <w:tcPr>
            <w:tcW w:w="593" w:type="dxa"/>
            <w:tcMar>
              <w:left w:w="28" w:type="dxa"/>
              <w:right w:w="28" w:type="dxa"/>
            </w:tcMar>
            <w:vAlign w:val="center"/>
          </w:tcPr>
          <w:p w14:paraId="3F06992A">
            <w:pPr>
              <w:pStyle w:val="133"/>
            </w:pPr>
            <w:r>
              <w:t>8月</w:t>
            </w:r>
          </w:p>
        </w:tc>
        <w:tc>
          <w:tcPr>
            <w:tcW w:w="592" w:type="dxa"/>
            <w:tcMar>
              <w:left w:w="28" w:type="dxa"/>
              <w:right w:w="28" w:type="dxa"/>
            </w:tcMar>
            <w:vAlign w:val="center"/>
          </w:tcPr>
          <w:p w14:paraId="7B2EBBD1">
            <w:pPr>
              <w:pStyle w:val="133"/>
            </w:pPr>
            <w:r>
              <w:t>9月</w:t>
            </w:r>
          </w:p>
        </w:tc>
        <w:tc>
          <w:tcPr>
            <w:tcW w:w="592" w:type="dxa"/>
            <w:tcMar>
              <w:left w:w="28" w:type="dxa"/>
              <w:right w:w="28" w:type="dxa"/>
            </w:tcMar>
            <w:vAlign w:val="center"/>
          </w:tcPr>
          <w:p w14:paraId="4AE83FC7">
            <w:pPr>
              <w:pStyle w:val="133"/>
            </w:pPr>
            <w:r>
              <w:t>10月</w:t>
            </w:r>
          </w:p>
        </w:tc>
        <w:tc>
          <w:tcPr>
            <w:tcW w:w="593" w:type="dxa"/>
            <w:tcMar>
              <w:left w:w="28" w:type="dxa"/>
              <w:right w:w="28" w:type="dxa"/>
            </w:tcMar>
            <w:vAlign w:val="center"/>
          </w:tcPr>
          <w:p w14:paraId="4AE3A310">
            <w:pPr>
              <w:pStyle w:val="133"/>
            </w:pPr>
            <w:r>
              <w:t>11月</w:t>
            </w:r>
          </w:p>
        </w:tc>
        <w:tc>
          <w:tcPr>
            <w:tcW w:w="592" w:type="dxa"/>
            <w:tcMar>
              <w:left w:w="28" w:type="dxa"/>
              <w:right w:w="28" w:type="dxa"/>
            </w:tcMar>
            <w:vAlign w:val="center"/>
          </w:tcPr>
          <w:p w14:paraId="19F37AA0">
            <w:pPr>
              <w:pStyle w:val="133"/>
            </w:pPr>
            <w:r>
              <w:t>12月</w:t>
            </w:r>
          </w:p>
        </w:tc>
        <w:tc>
          <w:tcPr>
            <w:tcW w:w="593" w:type="dxa"/>
            <w:tcMar>
              <w:left w:w="28" w:type="dxa"/>
              <w:right w:w="28" w:type="dxa"/>
            </w:tcMar>
            <w:vAlign w:val="center"/>
          </w:tcPr>
          <w:p w14:paraId="2CB40F7D">
            <w:pPr>
              <w:pStyle w:val="133"/>
            </w:pPr>
            <w:r>
              <w:t>年均</w:t>
            </w:r>
          </w:p>
        </w:tc>
      </w:tr>
      <w:tr w14:paraId="0F2C0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right"/>
        </w:trPr>
        <w:tc>
          <w:tcPr>
            <w:tcW w:w="592" w:type="dxa"/>
            <w:tcMar>
              <w:left w:w="28" w:type="dxa"/>
              <w:right w:w="28" w:type="dxa"/>
            </w:tcMar>
            <w:vAlign w:val="center"/>
          </w:tcPr>
          <w:p w14:paraId="5B129F9B">
            <w:pPr>
              <w:pStyle w:val="133"/>
            </w:pPr>
            <w:r>
              <w:t>风速</w:t>
            </w:r>
          </w:p>
        </w:tc>
        <w:tc>
          <w:tcPr>
            <w:tcW w:w="593" w:type="dxa"/>
            <w:tcMar>
              <w:left w:w="28" w:type="dxa"/>
              <w:right w:w="28" w:type="dxa"/>
            </w:tcMar>
            <w:vAlign w:val="center"/>
          </w:tcPr>
          <w:p w14:paraId="7481F497">
            <w:pPr>
              <w:pStyle w:val="133"/>
            </w:pPr>
            <w:r>
              <w:rPr>
                <w:rFonts w:hint="eastAsia"/>
              </w:rPr>
              <w:t>1.77</w:t>
            </w:r>
          </w:p>
        </w:tc>
        <w:tc>
          <w:tcPr>
            <w:tcW w:w="594" w:type="dxa"/>
            <w:tcMar>
              <w:left w:w="28" w:type="dxa"/>
              <w:right w:w="28" w:type="dxa"/>
            </w:tcMar>
            <w:vAlign w:val="center"/>
          </w:tcPr>
          <w:p w14:paraId="38914BA7">
            <w:pPr>
              <w:pStyle w:val="133"/>
            </w:pPr>
            <w:r>
              <w:rPr>
                <w:rFonts w:hint="eastAsia"/>
              </w:rPr>
              <w:t>1.81</w:t>
            </w:r>
          </w:p>
        </w:tc>
        <w:tc>
          <w:tcPr>
            <w:tcW w:w="593" w:type="dxa"/>
            <w:tcMar>
              <w:left w:w="28" w:type="dxa"/>
              <w:right w:w="28" w:type="dxa"/>
            </w:tcMar>
            <w:vAlign w:val="center"/>
          </w:tcPr>
          <w:p w14:paraId="391016D1">
            <w:pPr>
              <w:pStyle w:val="133"/>
            </w:pPr>
            <w:r>
              <w:rPr>
                <w:rFonts w:hint="eastAsia"/>
              </w:rPr>
              <w:t>2.19</w:t>
            </w:r>
          </w:p>
        </w:tc>
        <w:tc>
          <w:tcPr>
            <w:tcW w:w="592" w:type="dxa"/>
            <w:tcMar>
              <w:left w:w="28" w:type="dxa"/>
              <w:right w:w="28" w:type="dxa"/>
            </w:tcMar>
            <w:vAlign w:val="center"/>
          </w:tcPr>
          <w:p w14:paraId="39481EE7">
            <w:pPr>
              <w:pStyle w:val="133"/>
            </w:pPr>
            <w:r>
              <w:rPr>
                <w:rFonts w:hint="eastAsia"/>
              </w:rPr>
              <w:t>2.81</w:t>
            </w:r>
          </w:p>
        </w:tc>
        <w:tc>
          <w:tcPr>
            <w:tcW w:w="593" w:type="dxa"/>
            <w:tcMar>
              <w:left w:w="28" w:type="dxa"/>
              <w:right w:w="28" w:type="dxa"/>
            </w:tcMar>
            <w:vAlign w:val="center"/>
          </w:tcPr>
          <w:p w14:paraId="1ED648A1">
            <w:pPr>
              <w:pStyle w:val="133"/>
            </w:pPr>
            <w:r>
              <w:rPr>
                <w:rFonts w:hint="eastAsia"/>
              </w:rPr>
              <w:t>2.59</w:t>
            </w:r>
          </w:p>
        </w:tc>
        <w:tc>
          <w:tcPr>
            <w:tcW w:w="592" w:type="dxa"/>
            <w:tcMar>
              <w:left w:w="28" w:type="dxa"/>
              <w:right w:w="28" w:type="dxa"/>
            </w:tcMar>
            <w:vAlign w:val="center"/>
          </w:tcPr>
          <w:p w14:paraId="1DAD119F">
            <w:pPr>
              <w:pStyle w:val="133"/>
            </w:pPr>
            <w:r>
              <w:rPr>
                <w:rFonts w:hint="eastAsia"/>
              </w:rPr>
              <w:t>2.46</w:t>
            </w:r>
          </w:p>
        </w:tc>
        <w:tc>
          <w:tcPr>
            <w:tcW w:w="592" w:type="dxa"/>
            <w:tcMar>
              <w:left w:w="28" w:type="dxa"/>
              <w:right w:w="28" w:type="dxa"/>
            </w:tcMar>
            <w:vAlign w:val="center"/>
          </w:tcPr>
          <w:p w14:paraId="1389BF08">
            <w:pPr>
              <w:pStyle w:val="133"/>
            </w:pPr>
            <w:r>
              <w:rPr>
                <w:rFonts w:hint="eastAsia"/>
              </w:rPr>
              <w:t>2.19</w:t>
            </w:r>
          </w:p>
        </w:tc>
        <w:tc>
          <w:tcPr>
            <w:tcW w:w="593" w:type="dxa"/>
            <w:tcMar>
              <w:left w:w="28" w:type="dxa"/>
              <w:right w:w="28" w:type="dxa"/>
            </w:tcMar>
            <w:vAlign w:val="center"/>
          </w:tcPr>
          <w:p w14:paraId="26724736">
            <w:pPr>
              <w:pStyle w:val="133"/>
            </w:pPr>
            <w:r>
              <w:rPr>
                <w:rFonts w:hint="eastAsia"/>
              </w:rPr>
              <w:t>2.44</w:t>
            </w:r>
          </w:p>
        </w:tc>
        <w:tc>
          <w:tcPr>
            <w:tcW w:w="592" w:type="dxa"/>
            <w:tcMar>
              <w:left w:w="28" w:type="dxa"/>
              <w:right w:w="28" w:type="dxa"/>
            </w:tcMar>
            <w:vAlign w:val="center"/>
          </w:tcPr>
          <w:p w14:paraId="0922AA07">
            <w:pPr>
              <w:pStyle w:val="133"/>
            </w:pPr>
            <w:r>
              <w:rPr>
                <w:rFonts w:hint="eastAsia"/>
              </w:rPr>
              <w:t>1.72</w:t>
            </w:r>
          </w:p>
        </w:tc>
        <w:tc>
          <w:tcPr>
            <w:tcW w:w="592" w:type="dxa"/>
            <w:tcMar>
              <w:left w:w="28" w:type="dxa"/>
              <w:right w:w="28" w:type="dxa"/>
            </w:tcMar>
            <w:vAlign w:val="center"/>
          </w:tcPr>
          <w:p w14:paraId="11E185FE">
            <w:pPr>
              <w:pStyle w:val="133"/>
            </w:pPr>
            <w:r>
              <w:rPr>
                <w:rFonts w:hint="eastAsia"/>
              </w:rPr>
              <w:t>1.37</w:t>
            </w:r>
          </w:p>
        </w:tc>
        <w:tc>
          <w:tcPr>
            <w:tcW w:w="593" w:type="dxa"/>
            <w:tcMar>
              <w:left w:w="28" w:type="dxa"/>
              <w:right w:w="28" w:type="dxa"/>
            </w:tcMar>
            <w:vAlign w:val="center"/>
          </w:tcPr>
          <w:p w14:paraId="13DE24A3">
            <w:pPr>
              <w:pStyle w:val="133"/>
            </w:pPr>
            <w:r>
              <w:rPr>
                <w:rFonts w:hint="eastAsia"/>
              </w:rPr>
              <w:t>1.61</w:t>
            </w:r>
          </w:p>
        </w:tc>
        <w:tc>
          <w:tcPr>
            <w:tcW w:w="592" w:type="dxa"/>
            <w:tcMar>
              <w:left w:w="28" w:type="dxa"/>
              <w:right w:w="28" w:type="dxa"/>
            </w:tcMar>
            <w:vAlign w:val="center"/>
          </w:tcPr>
          <w:p w14:paraId="4C304001">
            <w:pPr>
              <w:pStyle w:val="133"/>
            </w:pPr>
            <w:r>
              <w:rPr>
                <w:rFonts w:hint="eastAsia"/>
              </w:rPr>
              <w:t>1.46</w:t>
            </w:r>
          </w:p>
        </w:tc>
        <w:tc>
          <w:tcPr>
            <w:tcW w:w="593" w:type="dxa"/>
            <w:tcMar>
              <w:left w:w="28" w:type="dxa"/>
              <w:right w:w="28" w:type="dxa"/>
            </w:tcMar>
            <w:vAlign w:val="center"/>
          </w:tcPr>
          <w:p w14:paraId="72144871">
            <w:pPr>
              <w:pStyle w:val="133"/>
            </w:pPr>
            <w:r>
              <w:rPr>
                <w:rFonts w:hint="eastAsia"/>
              </w:rPr>
              <w:t>2.03</w:t>
            </w:r>
          </w:p>
        </w:tc>
      </w:tr>
    </w:tbl>
    <w:p w14:paraId="282ED9AD">
      <w:pPr>
        <w:pStyle w:val="133"/>
      </w:pPr>
    </w:p>
    <w:p w14:paraId="4C8A54DA">
      <w:pPr>
        <w:pStyle w:val="118"/>
        <w:sectPr>
          <w:footerReference r:id="rId25" w:type="even"/>
          <w:pgSz w:w="11906" w:h="16838"/>
          <w:pgMar w:top="1440" w:right="1800" w:bottom="1440" w:left="1800" w:header="851" w:footer="850" w:gutter="0"/>
          <w:cols w:space="425" w:num="1"/>
          <w:docGrid w:type="lines" w:linePitch="326" w:charSpace="0"/>
        </w:sectPr>
      </w:pPr>
    </w:p>
    <w:p w14:paraId="71E61E50">
      <w:pPr>
        <w:pStyle w:val="117"/>
        <w:ind w:firstLine="480"/>
        <w:rPr>
          <w:b/>
        </w:rPr>
      </w:pPr>
      <w:r>
        <w:t>3）温度</w:t>
      </w:r>
    </w:p>
    <w:p w14:paraId="2425CB37">
      <w:pPr>
        <w:pStyle w:val="117"/>
        <w:ind w:firstLine="480"/>
        <w:rPr>
          <w:b/>
        </w:rPr>
      </w:pPr>
      <w:r>
        <w:rPr>
          <w:rFonts w:hint="eastAsia"/>
        </w:rPr>
        <w:t>评价区域2023年平均温度12.13℃。7月温度最高，月平均温度29.46℃，12月温度最低，月平均温度-10.64℃。2023年年均温度的月变化见表5.2-5，平均温度变化曲线见图5.2-</w:t>
      </w:r>
      <w:r>
        <w:t>3</w:t>
      </w:r>
      <w:r>
        <w:rPr>
          <w:rFonts w:hint="eastAsia"/>
        </w:rPr>
        <w:t>。</w:t>
      </w:r>
    </w:p>
    <w:p w14:paraId="58F1C30A">
      <w:pPr>
        <w:pStyle w:val="118"/>
      </w:pPr>
      <w:r>
        <w:t>表</w:t>
      </w:r>
      <w:r>
        <w:rPr>
          <w:rFonts w:hint="eastAsia"/>
        </w:rPr>
        <w:t>5.2-5</w:t>
      </w:r>
      <w:r>
        <w:t xml:space="preserve">  20</w:t>
      </w:r>
      <w:r>
        <w:rPr>
          <w:rFonts w:hint="eastAsia"/>
        </w:rPr>
        <w:t>23</w:t>
      </w:r>
      <w:r>
        <w:t>年年均温度的月变化一览表</w:t>
      </w:r>
    </w:p>
    <w:tbl>
      <w:tblPr>
        <w:tblStyle w:val="67"/>
        <w:tblW w:w="501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1" w:type="dxa"/>
          <w:bottom w:w="0" w:type="dxa"/>
          <w:right w:w="11" w:type="dxa"/>
        </w:tblCellMar>
      </w:tblPr>
      <w:tblGrid>
        <w:gridCol w:w="628"/>
        <w:gridCol w:w="662"/>
        <w:gridCol w:w="646"/>
        <w:gridCol w:w="644"/>
        <w:gridCol w:w="644"/>
        <w:gridCol w:w="645"/>
        <w:gridCol w:w="644"/>
        <w:gridCol w:w="644"/>
        <w:gridCol w:w="645"/>
        <w:gridCol w:w="644"/>
        <w:gridCol w:w="644"/>
        <w:gridCol w:w="645"/>
        <w:gridCol w:w="644"/>
      </w:tblGrid>
      <w:tr w14:paraId="1226A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83" w:hRule="atLeast"/>
          <w:jc w:val="center"/>
        </w:trPr>
        <w:tc>
          <w:tcPr>
            <w:tcW w:w="622" w:type="dxa"/>
            <w:tcMar>
              <w:top w:w="0" w:type="dxa"/>
              <w:left w:w="28" w:type="dxa"/>
              <w:bottom w:w="0" w:type="dxa"/>
              <w:right w:w="28" w:type="dxa"/>
            </w:tcMar>
            <w:vAlign w:val="center"/>
          </w:tcPr>
          <w:p w14:paraId="4DD42A1A">
            <w:pPr>
              <w:pStyle w:val="133"/>
            </w:pPr>
            <w:r>
              <w:t>月份</w:t>
            </w:r>
          </w:p>
        </w:tc>
        <w:tc>
          <w:tcPr>
            <w:tcW w:w="657" w:type="dxa"/>
            <w:tcMar>
              <w:top w:w="0" w:type="dxa"/>
              <w:left w:w="28" w:type="dxa"/>
              <w:bottom w:w="0" w:type="dxa"/>
              <w:right w:w="28" w:type="dxa"/>
            </w:tcMar>
            <w:vAlign w:val="center"/>
          </w:tcPr>
          <w:p w14:paraId="5F600E9F">
            <w:pPr>
              <w:pStyle w:val="133"/>
            </w:pPr>
            <w:r>
              <w:t>1月</w:t>
            </w:r>
          </w:p>
        </w:tc>
        <w:tc>
          <w:tcPr>
            <w:tcW w:w="641" w:type="dxa"/>
            <w:tcMar>
              <w:top w:w="0" w:type="dxa"/>
              <w:left w:w="28" w:type="dxa"/>
              <w:bottom w:w="0" w:type="dxa"/>
              <w:right w:w="28" w:type="dxa"/>
            </w:tcMar>
            <w:vAlign w:val="center"/>
          </w:tcPr>
          <w:p w14:paraId="031DC82D">
            <w:pPr>
              <w:pStyle w:val="133"/>
            </w:pPr>
            <w:r>
              <w:t>2月</w:t>
            </w:r>
          </w:p>
        </w:tc>
        <w:tc>
          <w:tcPr>
            <w:tcW w:w="639" w:type="dxa"/>
            <w:tcMar>
              <w:top w:w="0" w:type="dxa"/>
              <w:left w:w="28" w:type="dxa"/>
              <w:bottom w:w="0" w:type="dxa"/>
              <w:right w:w="28" w:type="dxa"/>
            </w:tcMar>
            <w:vAlign w:val="center"/>
          </w:tcPr>
          <w:p w14:paraId="289514BB">
            <w:pPr>
              <w:pStyle w:val="133"/>
            </w:pPr>
            <w:r>
              <w:t>3月</w:t>
            </w:r>
          </w:p>
        </w:tc>
        <w:tc>
          <w:tcPr>
            <w:tcW w:w="639" w:type="dxa"/>
            <w:tcMar>
              <w:top w:w="0" w:type="dxa"/>
              <w:left w:w="28" w:type="dxa"/>
              <w:bottom w:w="0" w:type="dxa"/>
              <w:right w:w="28" w:type="dxa"/>
            </w:tcMar>
            <w:vAlign w:val="center"/>
          </w:tcPr>
          <w:p w14:paraId="7A490E1E">
            <w:pPr>
              <w:pStyle w:val="133"/>
            </w:pPr>
            <w:r>
              <w:t>4月</w:t>
            </w:r>
          </w:p>
        </w:tc>
        <w:tc>
          <w:tcPr>
            <w:tcW w:w="640" w:type="dxa"/>
            <w:tcMar>
              <w:top w:w="0" w:type="dxa"/>
              <w:left w:w="28" w:type="dxa"/>
              <w:bottom w:w="0" w:type="dxa"/>
              <w:right w:w="28" w:type="dxa"/>
            </w:tcMar>
            <w:vAlign w:val="center"/>
          </w:tcPr>
          <w:p w14:paraId="5FAF90FA">
            <w:pPr>
              <w:pStyle w:val="133"/>
            </w:pPr>
            <w:r>
              <w:t>5月</w:t>
            </w:r>
          </w:p>
        </w:tc>
        <w:tc>
          <w:tcPr>
            <w:tcW w:w="639" w:type="dxa"/>
            <w:tcMar>
              <w:top w:w="0" w:type="dxa"/>
              <w:left w:w="28" w:type="dxa"/>
              <w:bottom w:w="0" w:type="dxa"/>
              <w:right w:w="28" w:type="dxa"/>
            </w:tcMar>
            <w:vAlign w:val="center"/>
          </w:tcPr>
          <w:p w14:paraId="6D59BF3A">
            <w:pPr>
              <w:pStyle w:val="133"/>
            </w:pPr>
            <w:r>
              <w:t>6月</w:t>
            </w:r>
          </w:p>
        </w:tc>
        <w:tc>
          <w:tcPr>
            <w:tcW w:w="639" w:type="dxa"/>
            <w:tcMar>
              <w:top w:w="0" w:type="dxa"/>
              <w:left w:w="28" w:type="dxa"/>
              <w:bottom w:w="0" w:type="dxa"/>
              <w:right w:w="28" w:type="dxa"/>
            </w:tcMar>
            <w:vAlign w:val="center"/>
          </w:tcPr>
          <w:p w14:paraId="270A104E">
            <w:pPr>
              <w:pStyle w:val="133"/>
            </w:pPr>
            <w:r>
              <w:t>7月</w:t>
            </w:r>
          </w:p>
        </w:tc>
        <w:tc>
          <w:tcPr>
            <w:tcW w:w="640" w:type="dxa"/>
            <w:tcMar>
              <w:top w:w="0" w:type="dxa"/>
              <w:left w:w="28" w:type="dxa"/>
              <w:bottom w:w="0" w:type="dxa"/>
              <w:right w:w="28" w:type="dxa"/>
            </w:tcMar>
            <w:vAlign w:val="center"/>
          </w:tcPr>
          <w:p w14:paraId="48203A1B">
            <w:pPr>
              <w:pStyle w:val="133"/>
            </w:pPr>
            <w:r>
              <w:t>8月</w:t>
            </w:r>
          </w:p>
        </w:tc>
        <w:tc>
          <w:tcPr>
            <w:tcW w:w="639" w:type="dxa"/>
            <w:tcMar>
              <w:top w:w="0" w:type="dxa"/>
              <w:left w:w="28" w:type="dxa"/>
              <w:bottom w:w="0" w:type="dxa"/>
              <w:right w:w="28" w:type="dxa"/>
            </w:tcMar>
            <w:vAlign w:val="center"/>
          </w:tcPr>
          <w:p w14:paraId="1761F960">
            <w:pPr>
              <w:pStyle w:val="133"/>
            </w:pPr>
            <w:r>
              <w:t>9月</w:t>
            </w:r>
          </w:p>
        </w:tc>
        <w:tc>
          <w:tcPr>
            <w:tcW w:w="639" w:type="dxa"/>
            <w:tcMar>
              <w:top w:w="0" w:type="dxa"/>
              <w:left w:w="28" w:type="dxa"/>
              <w:bottom w:w="0" w:type="dxa"/>
              <w:right w:w="28" w:type="dxa"/>
            </w:tcMar>
            <w:vAlign w:val="center"/>
          </w:tcPr>
          <w:p w14:paraId="24A88A01">
            <w:pPr>
              <w:pStyle w:val="133"/>
            </w:pPr>
            <w:r>
              <w:t>10月</w:t>
            </w:r>
          </w:p>
        </w:tc>
        <w:tc>
          <w:tcPr>
            <w:tcW w:w="640" w:type="dxa"/>
            <w:tcMar>
              <w:top w:w="0" w:type="dxa"/>
              <w:left w:w="28" w:type="dxa"/>
              <w:bottom w:w="0" w:type="dxa"/>
              <w:right w:w="28" w:type="dxa"/>
            </w:tcMar>
            <w:vAlign w:val="center"/>
          </w:tcPr>
          <w:p w14:paraId="70C30FB1">
            <w:pPr>
              <w:pStyle w:val="133"/>
            </w:pPr>
            <w:r>
              <w:t>11月</w:t>
            </w:r>
          </w:p>
        </w:tc>
        <w:tc>
          <w:tcPr>
            <w:tcW w:w="639" w:type="dxa"/>
            <w:tcMar>
              <w:top w:w="0" w:type="dxa"/>
              <w:left w:w="28" w:type="dxa"/>
              <w:bottom w:w="0" w:type="dxa"/>
              <w:right w:w="28" w:type="dxa"/>
            </w:tcMar>
            <w:vAlign w:val="center"/>
          </w:tcPr>
          <w:p w14:paraId="063DF683">
            <w:pPr>
              <w:pStyle w:val="133"/>
            </w:pPr>
            <w:r>
              <w:t>12月</w:t>
            </w:r>
          </w:p>
        </w:tc>
      </w:tr>
      <w:tr w14:paraId="50106C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1" w:type="dxa"/>
            <w:bottom w:w="0" w:type="dxa"/>
            <w:right w:w="11" w:type="dxa"/>
          </w:tblCellMar>
        </w:tblPrEx>
        <w:trPr>
          <w:trHeight w:val="283" w:hRule="atLeast"/>
          <w:jc w:val="center"/>
        </w:trPr>
        <w:tc>
          <w:tcPr>
            <w:tcW w:w="622" w:type="dxa"/>
            <w:tcMar>
              <w:top w:w="0" w:type="dxa"/>
              <w:left w:w="28" w:type="dxa"/>
              <w:bottom w:w="0" w:type="dxa"/>
              <w:right w:w="28" w:type="dxa"/>
            </w:tcMar>
            <w:vAlign w:val="center"/>
          </w:tcPr>
          <w:p w14:paraId="6EF30467">
            <w:pPr>
              <w:pStyle w:val="133"/>
            </w:pPr>
            <w:r>
              <w:t>风速</w:t>
            </w:r>
          </w:p>
        </w:tc>
        <w:tc>
          <w:tcPr>
            <w:tcW w:w="657" w:type="dxa"/>
            <w:tcMar>
              <w:top w:w="0" w:type="dxa"/>
              <w:left w:w="28" w:type="dxa"/>
              <w:bottom w:w="0" w:type="dxa"/>
              <w:right w:w="28" w:type="dxa"/>
            </w:tcMar>
            <w:vAlign w:val="bottom"/>
          </w:tcPr>
          <w:p w14:paraId="7BFCC4E5">
            <w:pPr>
              <w:pStyle w:val="133"/>
            </w:pPr>
            <w:r>
              <w:rPr>
                <w:rFonts w:hint="eastAsia"/>
              </w:rPr>
              <w:t>-10.07</w:t>
            </w:r>
          </w:p>
        </w:tc>
        <w:tc>
          <w:tcPr>
            <w:tcW w:w="641" w:type="dxa"/>
            <w:tcMar>
              <w:top w:w="0" w:type="dxa"/>
              <w:left w:w="28" w:type="dxa"/>
              <w:bottom w:w="0" w:type="dxa"/>
              <w:right w:w="28" w:type="dxa"/>
            </w:tcMar>
            <w:vAlign w:val="bottom"/>
          </w:tcPr>
          <w:p w14:paraId="2B1A9189">
            <w:pPr>
              <w:pStyle w:val="133"/>
            </w:pPr>
            <w:r>
              <w:rPr>
                <w:rFonts w:hint="eastAsia"/>
              </w:rPr>
              <w:t>0.49</w:t>
            </w:r>
          </w:p>
        </w:tc>
        <w:tc>
          <w:tcPr>
            <w:tcW w:w="639" w:type="dxa"/>
            <w:tcMar>
              <w:top w:w="0" w:type="dxa"/>
              <w:left w:w="28" w:type="dxa"/>
              <w:bottom w:w="0" w:type="dxa"/>
              <w:right w:w="28" w:type="dxa"/>
            </w:tcMar>
            <w:vAlign w:val="bottom"/>
          </w:tcPr>
          <w:p w14:paraId="354DF07D">
            <w:pPr>
              <w:pStyle w:val="133"/>
            </w:pPr>
            <w:r>
              <w:rPr>
                <w:rFonts w:hint="eastAsia"/>
              </w:rPr>
              <w:t>9.26</w:t>
            </w:r>
          </w:p>
        </w:tc>
        <w:tc>
          <w:tcPr>
            <w:tcW w:w="639" w:type="dxa"/>
            <w:tcMar>
              <w:top w:w="0" w:type="dxa"/>
              <w:left w:w="28" w:type="dxa"/>
              <w:bottom w:w="0" w:type="dxa"/>
              <w:right w:w="28" w:type="dxa"/>
            </w:tcMar>
            <w:vAlign w:val="bottom"/>
          </w:tcPr>
          <w:p w14:paraId="0A0FBC56">
            <w:pPr>
              <w:pStyle w:val="133"/>
            </w:pPr>
            <w:r>
              <w:rPr>
                <w:rFonts w:hint="eastAsia"/>
              </w:rPr>
              <w:t>12.58</w:t>
            </w:r>
          </w:p>
        </w:tc>
        <w:tc>
          <w:tcPr>
            <w:tcW w:w="640" w:type="dxa"/>
            <w:tcMar>
              <w:top w:w="0" w:type="dxa"/>
              <w:left w:w="28" w:type="dxa"/>
              <w:bottom w:w="0" w:type="dxa"/>
              <w:right w:w="28" w:type="dxa"/>
            </w:tcMar>
            <w:vAlign w:val="bottom"/>
          </w:tcPr>
          <w:p w14:paraId="18B8E950">
            <w:pPr>
              <w:pStyle w:val="133"/>
            </w:pPr>
            <w:r>
              <w:rPr>
                <w:rFonts w:hint="eastAsia"/>
              </w:rPr>
              <w:t>19.38</w:t>
            </w:r>
          </w:p>
        </w:tc>
        <w:tc>
          <w:tcPr>
            <w:tcW w:w="639" w:type="dxa"/>
            <w:tcMar>
              <w:top w:w="0" w:type="dxa"/>
              <w:left w:w="28" w:type="dxa"/>
              <w:bottom w:w="0" w:type="dxa"/>
              <w:right w:w="28" w:type="dxa"/>
            </w:tcMar>
            <w:vAlign w:val="bottom"/>
          </w:tcPr>
          <w:p w14:paraId="08DB7323">
            <w:pPr>
              <w:pStyle w:val="133"/>
            </w:pPr>
            <w:r>
              <w:rPr>
                <w:rFonts w:hint="eastAsia"/>
              </w:rPr>
              <w:t>28.10</w:t>
            </w:r>
          </w:p>
        </w:tc>
        <w:tc>
          <w:tcPr>
            <w:tcW w:w="639" w:type="dxa"/>
            <w:tcMar>
              <w:top w:w="0" w:type="dxa"/>
              <w:left w:w="28" w:type="dxa"/>
              <w:bottom w:w="0" w:type="dxa"/>
              <w:right w:w="28" w:type="dxa"/>
            </w:tcMar>
            <w:vAlign w:val="bottom"/>
          </w:tcPr>
          <w:p w14:paraId="65DCCDB8">
            <w:pPr>
              <w:pStyle w:val="133"/>
            </w:pPr>
            <w:r>
              <w:rPr>
                <w:rFonts w:hint="eastAsia"/>
              </w:rPr>
              <w:t>29.46</w:t>
            </w:r>
          </w:p>
        </w:tc>
        <w:tc>
          <w:tcPr>
            <w:tcW w:w="640" w:type="dxa"/>
            <w:tcMar>
              <w:top w:w="0" w:type="dxa"/>
              <w:left w:w="28" w:type="dxa"/>
              <w:bottom w:w="0" w:type="dxa"/>
              <w:right w:w="28" w:type="dxa"/>
            </w:tcMar>
            <w:vAlign w:val="bottom"/>
          </w:tcPr>
          <w:p w14:paraId="62CCFB09">
            <w:pPr>
              <w:pStyle w:val="133"/>
            </w:pPr>
            <w:r>
              <w:rPr>
                <w:rFonts w:hint="eastAsia"/>
              </w:rPr>
              <w:t>27.90</w:t>
            </w:r>
          </w:p>
        </w:tc>
        <w:tc>
          <w:tcPr>
            <w:tcW w:w="639" w:type="dxa"/>
            <w:tcMar>
              <w:top w:w="0" w:type="dxa"/>
              <w:left w:w="28" w:type="dxa"/>
              <w:bottom w:w="0" w:type="dxa"/>
              <w:right w:w="28" w:type="dxa"/>
            </w:tcMar>
            <w:vAlign w:val="bottom"/>
          </w:tcPr>
          <w:p w14:paraId="6CC77763">
            <w:pPr>
              <w:pStyle w:val="133"/>
            </w:pPr>
            <w:r>
              <w:rPr>
                <w:rFonts w:hint="eastAsia"/>
              </w:rPr>
              <w:t>20.38</w:t>
            </w:r>
          </w:p>
        </w:tc>
        <w:tc>
          <w:tcPr>
            <w:tcW w:w="639" w:type="dxa"/>
            <w:tcMar>
              <w:top w:w="0" w:type="dxa"/>
              <w:left w:w="28" w:type="dxa"/>
              <w:bottom w:w="0" w:type="dxa"/>
              <w:right w:w="28" w:type="dxa"/>
            </w:tcMar>
            <w:vAlign w:val="bottom"/>
          </w:tcPr>
          <w:p w14:paraId="3B3BF91E">
            <w:pPr>
              <w:pStyle w:val="133"/>
            </w:pPr>
            <w:r>
              <w:rPr>
                <w:rFonts w:hint="eastAsia"/>
              </w:rPr>
              <w:t>13.29</w:t>
            </w:r>
          </w:p>
        </w:tc>
        <w:tc>
          <w:tcPr>
            <w:tcW w:w="640" w:type="dxa"/>
            <w:tcMar>
              <w:top w:w="0" w:type="dxa"/>
              <w:left w:w="28" w:type="dxa"/>
              <w:bottom w:w="0" w:type="dxa"/>
              <w:right w:w="28" w:type="dxa"/>
            </w:tcMar>
            <w:vAlign w:val="bottom"/>
          </w:tcPr>
          <w:p w14:paraId="06D0B9F6">
            <w:pPr>
              <w:pStyle w:val="133"/>
            </w:pPr>
            <w:r>
              <w:rPr>
                <w:rFonts w:hint="eastAsia"/>
              </w:rPr>
              <w:t>2.01</w:t>
            </w:r>
          </w:p>
        </w:tc>
        <w:tc>
          <w:tcPr>
            <w:tcW w:w="639" w:type="dxa"/>
            <w:tcMar>
              <w:top w:w="0" w:type="dxa"/>
              <w:left w:w="28" w:type="dxa"/>
              <w:bottom w:w="0" w:type="dxa"/>
              <w:right w:w="28" w:type="dxa"/>
            </w:tcMar>
            <w:vAlign w:val="center"/>
          </w:tcPr>
          <w:p w14:paraId="107ABF7A">
            <w:pPr>
              <w:pStyle w:val="133"/>
            </w:pPr>
            <w:r>
              <w:t>-10.64</w:t>
            </w:r>
          </w:p>
        </w:tc>
      </w:tr>
    </w:tbl>
    <w:p w14:paraId="211132C3">
      <w:pPr>
        <w:pStyle w:val="133"/>
      </w:pPr>
    </w:p>
    <w:p w14:paraId="2BD53796">
      <w:pPr>
        <w:pStyle w:val="133"/>
      </w:pPr>
      <w:r>
        <w:drawing>
          <wp:inline distT="0" distB="0" distL="114300" distR="114300">
            <wp:extent cx="5274310" cy="2025015"/>
            <wp:effectExtent l="0" t="0" r="0" b="0"/>
            <wp:docPr id="1097"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DC239AE">
      <w:pPr>
        <w:pStyle w:val="118"/>
      </w:pPr>
      <w:r>
        <w:rPr>
          <w:rFonts w:hint="eastAsia"/>
        </w:rPr>
        <w:t>图5.2-3</w:t>
      </w:r>
      <w:r>
        <w:t xml:space="preserve">  20</w:t>
      </w:r>
      <w:r>
        <w:rPr>
          <w:rFonts w:hint="eastAsia"/>
        </w:rPr>
        <w:t>23</w:t>
      </w:r>
      <w:r>
        <w:t>年年均温度月变化曲线图</w:t>
      </w:r>
    </w:p>
    <w:p w14:paraId="0F2B86EE">
      <w:pPr>
        <w:pStyle w:val="133"/>
      </w:pPr>
    </w:p>
    <w:p w14:paraId="13E40D37">
      <w:pPr>
        <w:pStyle w:val="138"/>
        <w:rPr>
          <w:rFonts w:hint="eastAsia"/>
        </w:rPr>
      </w:pPr>
      <w:r>
        <w:rPr>
          <w:rFonts w:hint="eastAsia"/>
        </w:rPr>
        <w:t>污染源</w:t>
      </w:r>
      <w:r>
        <w:t>参数</w:t>
      </w:r>
    </w:p>
    <w:p w14:paraId="2EDBA5AA">
      <w:pPr>
        <w:pStyle w:val="5"/>
      </w:pPr>
      <w:r>
        <w:rPr>
          <w:rFonts w:hint="eastAsia"/>
        </w:rPr>
        <w:t>项目污染源计算清单</w:t>
      </w:r>
    </w:p>
    <w:p w14:paraId="3B6F2474">
      <w:pPr>
        <w:pStyle w:val="117"/>
        <w:ind w:firstLine="480"/>
      </w:pPr>
      <w:r>
        <w:rPr>
          <w:rFonts w:hint="eastAsia"/>
        </w:rPr>
        <w:t>（1）正常工况</w:t>
      </w:r>
    </w:p>
    <w:p w14:paraId="31D64ABC">
      <w:pPr>
        <w:pStyle w:val="117"/>
        <w:ind w:firstLine="480"/>
      </w:pPr>
      <w:r>
        <w:rPr>
          <w:rFonts w:hint="eastAsia"/>
        </w:rPr>
        <w:t>正常工况下，本项目主要有组织废气污染源13个、无组织废气面源13个。项目点源参数见表5</w:t>
      </w:r>
      <w:r>
        <w:t>.2-</w:t>
      </w:r>
      <w:r>
        <w:rPr>
          <w:rFonts w:hint="eastAsia"/>
        </w:rPr>
        <w:t>6，面源参数见表5</w:t>
      </w:r>
      <w:r>
        <w:t>.2-</w:t>
      </w:r>
      <w:r>
        <w:rPr>
          <w:rFonts w:hint="eastAsia"/>
        </w:rPr>
        <w:t>7。</w:t>
      </w:r>
    </w:p>
    <w:p w14:paraId="04FDEAEA">
      <w:pPr>
        <w:pStyle w:val="117"/>
        <w:ind w:firstLine="480"/>
      </w:pPr>
      <w:r>
        <w:rPr>
          <w:rFonts w:hint="eastAsia"/>
        </w:rPr>
        <w:t>（2）非正常工况</w:t>
      </w:r>
    </w:p>
    <w:p w14:paraId="1C29B39B">
      <w:pPr>
        <w:pStyle w:val="117"/>
        <w:ind w:firstLine="480"/>
      </w:pPr>
      <w:r>
        <w:rPr>
          <w:rFonts w:hint="eastAsia"/>
        </w:rPr>
        <w:t>非正常工况是指生产过程中开停车、设备检修、工艺设备运转异常等非正常工况下的污染物排放，以及污染物排放控制措施达不到应有效率等情况下的排放。本项目非正常工况考虑各燃烧烟气治理废气治理系统脱硫措施、脱硝措施失效，其污染源参数见表5</w:t>
      </w:r>
      <w:r>
        <w:t>.2-</w:t>
      </w:r>
      <w:r>
        <w:rPr>
          <w:rFonts w:hint="eastAsia"/>
        </w:rPr>
        <w:t>8。</w:t>
      </w:r>
    </w:p>
    <w:p w14:paraId="06DBF550">
      <w:pPr>
        <w:pStyle w:val="944"/>
      </w:pPr>
      <w:r>
        <w:rPr>
          <w:rFonts w:hint="eastAsia"/>
        </w:rPr>
        <w:t>“以新带老”污染源</w:t>
      </w:r>
    </w:p>
    <w:p w14:paraId="3F5EB3C9">
      <w:pPr>
        <w:pStyle w:val="117"/>
        <w:ind w:firstLine="480"/>
      </w:pPr>
      <w:r>
        <w:rPr>
          <w:rFonts w:hint="eastAsia"/>
        </w:rPr>
        <w:t>本次技改提升对兰炭生产线、硅铁生产线部分污染源进行了替代。替代点源参数见表5</w:t>
      </w:r>
      <w:r>
        <w:t>.2-</w:t>
      </w:r>
      <w:r>
        <w:rPr>
          <w:rFonts w:hint="eastAsia"/>
        </w:rPr>
        <w:t>9，面源参数见表5</w:t>
      </w:r>
      <w:r>
        <w:t>.2-</w:t>
      </w:r>
      <w:r>
        <w:rPr>
          <w:rFonts w:hint="eastAsia"/>
        </w:rPr>
        <w:t>10。</w:t>
      </w:r>
    </w:p>
    <w:p w14:paraId="2F2408ED">
      <w:pPr>
        <w:pStyle w:val="944"/>
      </w:pPr>
      <w:r>
        <w:rPr>
          <w:rFonts w:hint="eastAsia"/>
        </w:rPr>
        <w:t>区域拟建、在建污染源参数</w:t>
      </w:r>
    </w:p>
    <w:p w14:paraId="14773CF3">
      <w:pPr>
        <w:pStyle w:val="117"/>
        <w:ind w:firstLine="480"/>
      </w:pPr>
      <w:r>
        <w:t>根据现场调查，评价范围内与</w:t>
      </w:r>
      <w:r>
        <w:rPr>
          <w:rFonts w:hint="eastAsia"/>
        </w:rPr>
        <w:t>本项目</w:t>
      </w:r>
      <w:r>
        <w:t>排放污染物有关的拟建及在建项目主要包括</w:t>
      </w:r>
      <w:r>
        <w:rPr>
          <w:rFonts w:hint="eastAsia"/>
        </w:rPr>
        <w:t>：新疆金盛镁业有限公司镁合金产业循环经济建设项目（在建工程）、新疆湘晟新材料科技有限公司年产3万吨航空级海绵钛绿色智能改造升级扩建项目</w:t>
      </w:r>
      <w:r>
        <w:rPr>
          <w:rFonts w:hint="eastAsia"/>
          <w:kern w:val="28"/>
        </w:rPr>
        <w:t>和</w:t>
      </w:r>
      <w:r>
        <w:rPr>
          <w:rFonts w:hint="eastAsia"/>
          <w:color w:val="000000"/>
        </w:rPr>
        <w:t>新疆华钛新材料科技有限公司年产3万吨高性能钛及钛合金新材料</w:t>
      </w:r>
      <w:r>
        <w:rPr>
          <w:rFonts w:hint="eastAsia"/>
          <w:kern w:val="28"/>
        </w:rPr>
        <w:t>项目</w:t>
      </w:r>
      <w:r>
        <w:t>。</w:t>
      </w:r>
    </w:p>
    <w:p w14:paraId="3D69E961">
      <w:pPr>
        <w:pStyle w:val="117"/>
        <w:ind w:firstLine="480"/>
      </w:pPr>
      <w:r>
        <w:rPr>
          <w:rFonts w:hint="eastAsia" w:ascii="宋体" w:hAnsi="宋体"/>
        </w:rPr>
        <w:t>在建、拟建污染源参数见</w:t>
      </w:r>
      <w:r>
        <w:rPr>
          <w:rFonts w:hint="eastAsia" w:ascii="宋体" w:hAnsi="宋体"/>
          <w:spacing w:val="8"/>
        </w:rPr>
        <w:t>表</w:t>
      </w:r>
      <w:r>
        <w:rPr>
          <w:rFonts w:hint="eastAsia"/>
          <w:spacing w:val="8"/>
        </w:rPr>
        <w:t>5</w:t>
      </w:r>
      <w:r>
        <w:rPr>
          <w:spacing w:val="8"/>
        </w:rPr>
        <w:t>.2-</w:t>
      </w:r>
      <w:r>
        <w:rPr>
          <w:rFonts w:hint="eastAsia"/>
          <w:spacing w:val="8"/>
        </w:rPr>
        <w:t>11</w:t>
      </w:r>
      <w:r>
        <w:rPr>
          <w:rFonts w:hint="eastAsia" w:ascii="宋体" w:hAnsi="宋体"/>
        </w:rPr>
        <w:t>和</w:t>
      </w:r>
      <w:r>
        <w:rPr>
          <w:rFonts w:hint="eastAsia" w:ascii="宋体" w:hAnsi="宋体"/>
          <w:spacing w:val="8"/>
        </w:rPr>
        <w:t>表</w:t>
      </w:r>
      <w:r>
        <w:rPr>
          <w:rFonts w:hint="eastAsia"/>
          <w:spacing w:val="8"/>
        </w:rPr>
        <w:t>5</w:t>
      </w:r>
      <w:r>
        <w:rPr>
          <w:spacing w:val="8"/>
        </w:rPr>
        <w:t>.2-1</w:t>
      </w:r>
      <w:r>
        <w:rPr>
          <w:rFonts w:hint="eastAsia"/>
          <w:spacing w:val="8"/>
        </w:rPr>
        <w:t>2</w:t>
      </w:r>
      <w:r>
        <w:rPr>
          <w:rFonts w:hint="eastAsia" w:ascii="宋体" w:hAnsi="宋体"/>
        </w:rPr>
        <w:t>。</w:t>
      </w:r>
    </w:p>
    <w:p w14:paraId="232B036F">
      <w:pPr>
        <w:pStyle w:val="944"/>
        <w:rPr>
          <w:lang w:val="zh-CN"/>
        </w:rPr>
      </w:pPr>
      <w:r>
        <w:rPr>
          <w:rFonts w:hint="eastAsia"/>
          <w:lang w:val="zh-CN"/>
        </w:rPr>
        <w:t>区域消减源参数</w:t>
      </w:r>
    </w:p>
    <w:p w14:paraId="312DFF74">
      <w:pPr>
        <w:pStyle w:val="404"/>
      </w:pPr>
      <w:r>
        <w:rPr>
          <w:rFonts w:hint="eastAsia"/>
        </w:rPr>
        <w:t>根据中华人民共和国生态环境部办公厅2020年6月29日发布的“关于将巴音郭楞蒙古自治州、吐鲁番市和哈密市纳入执行《环境影响评价技术导则 大气环境（HJ2.2-2018）》差别化政策范围的复函”（环办环评函[2020]341号），同意对巴音郭楞蒙古自治州、吐鲁番市和哈密市实施环境影响评价差别化政策，新建项目可不提供颗粒物区域削减方案。</w:t>
      </w:r>
    </w:p>
    <w:p w14:paraId="5D5CBC2D">
      <w:pPr>
        <w:pStyle w:val="404"/>
      </w:pPr>
      <w:r>
        <w:rPr>
          <w:rFonts w:hint="eastAsia"/>
        </w:rPr>
        <w:t>《关于在南疆四地州深度贫困地区实施&lt;环境影响评价技术导则 大气环境（HJ2.2-2018）&gt;差别化政策有关事宜的复函》中提到“对于基准年城市环境质量PM</w:t>
      </w:r>
      <w:r>
        <w:rPr>
          <w:rFonts w:hint="eastAsia"/>
          <w:vertAlign w:val="subscript"/>
        </w:rPr>
        <w:t>2.5</w:t>
      </w:r>
      <w:r>
        <w:rPr>
          <w:rFonts w:hint="eastAsia"/>
        </w:rPr>
        <w:t>/PM</w:t>
      </w:r>
      <w:r>
        <w:rPr>
          <w:rFonts w:hint="eastAsia"/>
          <w:vertAlign w:val="subscript"/>
        </w:rPr>
        <w:t>10</w:t>
      </w:r>
      <w:r>
        <w:rPr>
          <w:rFonts w:hint="eastAsia"/>
        </w:rPr>
        <w:t>年均值比值小于0.5的不达标城市，一级评价项目同时满足以下条件:地方已发布“环境空气质量限期达标规划”或“打赢蓝天保卫战三年行动计划”，或近五年颗粒物(PM</w:t>
      </w:r>
      <w:r>
        <w:rPr>
          <w:rFonts w:hint="eastAsia"/>
          <w:vertAlign w:val="subscript"/>
        </w:rPr>
        <w:t>10</w:t>
      </w:r>
      <w:r>
        <w:rPr>
          <w:rFonts w:hint="eastAsia"/>
        </w:rPr>
        <w:t>、PM</w:t>
      </w:r>
      <w:r>
        <w:rPr>
          <w:rFonts w:hint="eastAsia"/>
          <w:vertAlign w:val="subscript"/>
        </w:rPr>
        <w:t>2.5</w:t>
      </w:r>
      <w:r>
        <w:rPr>
          <w:rFonts w:hint="eastAsia"/>
        </w:rPr>
        <w:t>)年均浓度呈下降趋势；新增污染源正常排放下污染物短期浓度贡献值最大浓度占标率≤100%；新增污染源正常排放下污染物年均浓度贡献值最大浓度占标率≤30%(其中一类区≤10%)，可认为大气环境影响可接受。对于二级或三级评价项目，不需进一步预测与叠加分析，在开展相应污染源调查、现状环境质量调查等工作后，符合相应规范及要求前提下，可认为大气环境影响可接受。”</w:t>
      </w:r>
    </w:p>
    <w:p w14:paraId="499D465B">
      <w:pPr>
        <w:pStyle w:val="404"/>
      </w:pPr>
      <w:r>
        <w:rPr>
          <w:rFonts w:hint="eastAsia"/>
        </w:rPr>
        <w:t>本项目位于</w:t>
      </w:r>
      <w:r>
        <w:rPr>
          <w:rFonts w:hint="eastAsia"/>
          <w:lang w:val="en-US"/>
        </w:rPr>
        <w:t>哈密高新技术产业开发区</w:t>
      </w:r>
      <w:r>
        <w:rPr>
          <w:lang w:val="en-US"/>
        </w:rPr>
        <w:t>南部循环经济产业园</w:t>
      </w:r>
      <w:r>
        <w:rPr>
          <w:rFonts w:hint="eastAsia"/>
          <w:lang w:val="en-US"/>
        </w:rPr>
        <w:t>，所在城市基准年环境质量PM</w:t>
      </w:r>
      <w:r>
        <w:rPr>
          <w:rFonts w:hint="eastAsia"/>
          <w:vertAlign w:val="subscript"/>
          <w:lang w:val="en-US"/>
        </w:rPr>
        <w:t>2.5</w:t>
      </w:r>
      <w:r>
        <w:rPr>
          <w:rFonts w:hint="eastAsia"/>
          <w:lang w:val="en-US"/>
        </w:rPr>
        <w:t>/PM</w:t>
      </w:r>
      <w:r>
        <w:rPr>
          <w:rFonts w:hint="eastAsia"/>
          <w:vertAlign w:val="subscript"/>
          <w:lang w:val="en-US"/>
        </w:rPr>
        <w:t>10</w:t>
      </w:r>
      <w:r>
        <w:rPr>
          <w:rFonts w:hint="eastAsia"/>
          <w:lang w:val="en-US"/>
        </w:rPr>
        <w:t>年均值比值为0.287，小于0.5；项目评价等级为一级，五年颗粒物(PM</w:t>
      </w:r>
      <w:r>
        <w:rPr>
          <w:rFonts w:hint="eastAsia"/>
          <w:vertAlign w:val="subscript"/>
          <w:lang w:val="en-US"/>
        </w:rPr>
        <w:t>10</w:t>
      </w:r>
      <w:r>
        <w:rPr>
          <w:rFonts w:hint="eastAsia"/>
          <w:lang w:val="en-US"/>
        </w:rPr>
        <w:t>、PM</w:t>
      </w:r>
      <w:r>
        <w:rPr>
          <w:rFonts w:hint="eastAsia"/>
          <w:vertAlign w:val="subscript"/>
          <w:lang w:val="en-US"/>
        </w:rPr>
        <w:t>2.5</w:t>
      </w:r>
      <w:r>
        <w:rPr>
          <w:rFonts w:hint="eastAsia"/>
          <w:lang w:val="en-US"/>
        </w:rPr>
        <w:t>)年均浓度呈下降趋势；新增污染源正常排放下污染物短期浓度贡献值最大浓度占标率为2.96%，小于100%；新增污染源正常排放下污染物年均浓度贡献值最大浓度占标率0.8%，小于30%。</w:t>
      </w:r>
    </w:p>
    <w:p w14:paraId="4CADE01A">
      <w:pPr>
        <w:pStyle w:val="404"/>
      </w:pPr>
      <w:r>
        <w:rPr>
          <w:rFonts w:hint="eastAsia"/>
        </w:rPr>
        <w:t>综上所述，本项目符合该</w:t>
      </w:r>
      <w:r>
        <w:rPr>
          <w:rFonts w:hint="eastAsia"/>
          <w:lang w:val="en-US"/>
        </w:rPr>
        <w:t>环境影响评价差别化政策文件，</w:t>
      </w:r>
      <w:r>
        <w:rPr>
          <w:rFonts w:hint="eastAsia"/>
        </w:rPr>
        <w:t>可不提供颗粒物</w:t>
      </w:r>
      <w:r>
        <w:rPr>
          <w:rFonts w:hint="eastAsia"/>
          <w:lang w:val="en-US"/>
        </w:rPr>
        <w:t>(PM</w:t>
      </w:r>
      <w:r>
        <w:rPr>
          <w:rFonts w:hint="eastAsia"/>
          <w:vertAlign w:val="subscript"/>
          <w:lang w:val="en-US"/>
        </w:rPr>
        <w:t>10</w:t>
      </w:r>
      <w:r>
        <w:rPr>
          <w:rFonts w:hint="eastAsia"/>
          <w:lang w:val="en-US"/>
        </w:rPr>
        <w:t>、PM</w:t>
      </w:r>
      <w:r>
        <w:rPr>
          <w:rFonts w:hint="eastAsia"/>
          <w:vertAlign w:val="subscript"/>
          <w:lang w:val="en-US"/>
        </w:rPr>
        <w:t>2.5</w:t>
      </w:r>
      <w:r>
        <w:rPr>
          <w:rFonts w:hint="eastAsia"/>
          <w:lang w:val="en-US"/>
        </w:rPr>
        <w:t>)</w:t>
      </w:r>
      <w:r>
        <w:rPr>
          <w:rFonts w:hint="eastAsia"/>
        </w:rPr>
        <w:t>区域削减方案。</w:t>
      </w:r>
    </w:p>
    <w:p w14:paraId="792B2016">
      <w:pPr>
        <w:pStyle w:val="117"/>
        <w:ind w:firstLine="512"/>
        <w:rPr>
          <w:color w:val="FF0000"/>
          <w:spacing w:val="8"/>
          <w:lang w:val="zh-CN"/>
        </w:rPr>
      </w:pPr>
    </w:p>
    <w:p w14:paraId="442F80F5">
      <w:pPr>
        <w:pStyle w:val="117"/>
        <w:ind w:firstLine="512"/>
        <w:rPr>
          <w:color w:val="FF0000"/>
          <w:spacing w:val="8"/>
        </w:rPr>
        <w:sectPr>
          <w:footerReference r:id="rId26" w:type="even"/>
          <w:pgSz w:w="11906" w:h="16838"/>
          <w:pgMar w:top="1440" w:right="1800" w:bottom="1440" w:left="1800" w:header="851" w:footer="850" w:gutter="0"/>
          <w:cols w:space="425" w:num="1"/>
          <w:docGrid w:type="lines" w:linePitch="326" w:charSpace="0"/>
        </w:sectPr>
      </w:pPr>
    </w:p>
    <w:p w14:paraId="6D73035A">
      <w:pPr>
        <w:pStyle w:val="118"/>
      </w:pPr>
      <w:r>
        <w:t>表</w:t>
      </w:r>
      <w:r>
        <w:rPr>
          <w:rFonts w:hint="eastAsia"/>
        </w:rPr>
        <w:t>5.2-6</w:t>
      </w:r>
      <w:r>
        <w:t xml:space="preserve">  有组织污染</w:t>
      </w:r>
      <w:r>
        <w:rPr>
          <w:rFonts w:hint="eastAsia"/>
        </w:rPr>
        <w:t>源</w:t>
      </w:r>
      <w:r>
        <w:t>计算参数选取值一览表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11"/>
        <w:gridCol w:w="1710"/>
        <w:gridCol w:w="822"/>
        <w:gridCol w:w="822"/>
        <w:gridCol w:w="920"/>
        <w:gridCol w:w="912"/>
        <w:gridCol w:w="920"/>
        <w:gridCol w:w="839"/>
        <w:gridCol w:w="663"/>
        <w:gridCol w:w="663"/>
        <w:gridCol w:w="663"/>
        <w:gridCol w:w="663"/>
        <w:gridCol w:w="663"/>
        <w:gridCol w:w="652"/>
        <w:gridCol w:w="652"/>
        <w:gridCol w:w="607"/>
        <w:gridCol w:w="607"/>
        <w:gridCol w:w="599"/>
      </w:tblGrid>
      <w:tr w14:paraId="0ADF0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218" w:type="pct"/>
            <w:vMerge w:val="restart"/>
            <w:noWrap/>
            <w:vAlign w:val="center"/>
          </w:tcPr>
          <w:p w14:paraId="7054976B">
            <w:pPr>
              <w:pStyle w:val="133"/>
              <w:rPr>
                <w:rFonts w:cs="Times New Roman"/>
                <w:b/>
                <w:bCs/>
                <w:sz w:val="18"/>
                <w:szCs w:val="18"/>
              </w:rPr>
            </w:pPr>
            <w:r>
              <w:rPr>
                <w:rFonts w:cs="Times New Roman"/>
                <w:b/>
                <w:bCs/>
                <w:sz w:val="18"/>
                <w:szCs w:val="18"/>
              </w:rPr>
              <w:t>编号</w:t>
            </w:r>
          </w:p>
        </w:tc>
        <w:tc>
          <w:tcPr>
            <w:tcW w:w="611" w:type="pct"/>
            <w:vMerge w:val="restart"/>
            <w:noWrap/>
            <w:vAlign w:val="center"/>
          </w:tcPr>
          <w:p w14:paraId="7841CA4C">
            <w:pPr>
              <w:pStyle w:val="133"/>
              <w:rPr>
                <w:rFonts w:cs="Times New Roman"/>
                <w:b/>
                <w:bCs/>
                <w:sz w:val="18"/>
                <w:szCs w:val="18"/>
              </w:rPr>
            </w:pPr>
            <w:r>
              <w:rPr>
                <w:rFonts w:cs="Times New Roman"/>
                <w:b/>
                <w:bCs/>
                <w:sz w:val="18"/>
                <w:szCs w:val="18"/>
              </w:rPr>
              <w:t>点源名称</w:t>
            </w:r>
          </w:p>
        </w:tc>
        <w:tc>
          <w:tcPr>
            <w:tcW w:w="294" w:type="pct"/>
            <w:vMerge w:val="restart"/>
            <w:vAlign w:val="center"/>
          </w:tcPr>
          <w:p w14:paraId="0EFAAB24">
            <w:pPr>
              <w:pStyle w:val="133"/>
              <w:rPr>
                <w:rFonts w:cs="Times New Roman"/>
                <w:b/>
                <w:bCs/>
                <w:sz w:val="18"/>
                <w:szCs w:val="18"/>
              </w:rPr>
            </w:pPr>
            <w:r>
              <w:rPr>
                <w:rFonts w:cs="Times New Roman"/>
                <w:b/>
                <w:bCs/>
                <w:sz w:val="18"/>
                <w:szCs w:val="18"/>
              </w:rPr>
              <w:t>X坐标</w:t>
            </w:r>
          </w:p>
        </w:tc>
        <w:tc>
          <w:tcPr>
            <w:tcW w:w="294" w:type="pct"/>
            <w:vMerge w:val="restart"/>
            <w:vAlign w:val="center"/>
          </w:tcPr>
          <w:p w14:paraId="41843C59">
            <w:pPr>
              <w:pStyle w:val="133"/>
              <w:rPr>
                <w:rFonts w:cs="Times New Roman"/>
                <w:b/>
                <w:bCs/>
                <w:sz w:val="18"/>
                <w:szCs w:val="18"/>
              </w:rPr>
            </w:pPr>
            <w:r>
              <w:rPr>
                <w:rFonts w:cs="Times New Roman"/>
                <w:b/>
                <w:bCs/>
                <w:sz w:val="18"/>
                <w:szCs w:val="18"/>
              </w:rPr>
              <w:t>Y坐标</w:t>
            </w:r>
          </w:p>
        </w:tc>
        <w:tc>
          <w:tcPr>
            <w:tcW w:w="329" w:type="pct"/>
            <w:vMerge w:val="restart"/>
            <w:noWrap/>
            <w:vAlign w:val="center"/>
          </w:tcPr>
          <w:p w14:paraId="090C0BFC">
            <w:pPr>
              <w:pStyle w:val="133"/>
              <w:rPr>
                <w:rFonts w:cs="Times New Roman"/>
                <w:b/>
                <w:bCs/>
                <w:sz w:val="18"/>
                <w:szCs w:val="18"/>
              </w:rPr>
            </w:pPr>
            <w:r>
              <w:rPr>
                <w:rFonts w:cs="Times New Roman"/>
                <w:b/>
                <w:bCs/>
                <w:sz w:val="18"/>
                <w:szCs w:val="18"/>
              </w:rPr>
              <w:t>排气筒</w:t>
            </w:r>
          </w:p>
          <w:p w14:paraId="2E347A5F">
            <w:pPr>
              <w:pStyle w:val="133"/>
              <w:rPr>
                <w:rFonts w:cs="Times New Roman"/>
                <w:b/>
                <w:bCs/>
                <w:sz w:val="18"/>
                <w:szCs w:val="18"/>
              </w:rPr>
            </w:pPr>
            <w:r>
              <w:rPr>
                <w:rFonts w:cs="Times New Roman"/>
                <w:b/>
                <w:bCs/>
                <w:sz w:val="18"/>
                <w:szCs w:val="18"/>
              </w:rPr>
              <w:t>高度</w:t>
            </w:r>
          </w:p>
        </w:tc>
        <w:tc>
          <w:tcPr>
            <w:tcW w:w="326" w:type="pct"/>
            <w:vMerge w:val="restart"/>
            <w:noWrap/>
            <w:vAlign w:val="center"/>
          </w:tcPr>
          <w:p w14:paraId="2E474E5A">
            <w:pPr>
              <w:pStyle w:val="133"/>
              <w:rPr>
                <w:rFonts w:cs="Times New Roman"/>
                <w:b/>
                <w:bCs/>
                <w:sz w:val="18"/>
                <w:szCs w:val="18"/>
              </w:rPr>
            </w:pPr>
            <w:r>
              <w:rPr>
                <w:rFonts w:cs="Times New Roman"/>
                <w:b/>
                <w:bCs/>
                <w:sz w:val="18"/>
                <w:szCs w:val="18"/>
              </w:rPr>
              <w:t>排气筒</w:t>
            </w:r>
          </w:p>
          <w:p w14:paraId="0095A33F">
            <w:pPr>
              <w:pStyle w:val="133"/>
              <w:rPr>
                <w:rFonts w:cs="Times New Roman"/>
                <w:b/>
                <w:bCs/>
                <w:sz w:val="18"/>
                <w:szCs w:val="18"/>
              </w:rPr>
            </w:pPr>
            <w:r>
              <w:rPr>
                <w:rFonts w:cs="Times New Roman"/>
                <w:b/>
                <w:bCs/>
                <w:sz w:val="18"/>
                <w:szCs w:val="18"/>
              </w:rPr>
              <w:t>内径</w:t>
            </w:r>
          </w:p>
        </w:tc>
        <w:tc>
          <w:tcPr>
            <w:tcW w:w="329" w:type="pct"/>
            <w:vMerge w:val="restart"/>
            <w:noWrap/>
            <w:vAlign w:val="center"/>
          </w:tcPr>
          <w:p w14:paraId="07A4657B">
            <w:pPr>
              <w:pStyle w:val="133"/>
              <w:rPr>
                <w:rFonts w:cs="Times New Roman"/>
                <w:b/>
                <w:bCs/>
                <w:sz w:val="18"/>
                <w:szCs w:val="18"/>
              </w:rPr>
            </w:pPr>
            <w:r>
              <w:rPr>
                <w:rFonts w:cs="Times New Roman"/>
                <w:b/>
                <w:bCs/>
                <w:sz w:val="18"/>
                <w:szCs w:val="18"/>
              </w:rPr>
              <w:t>烟气出口</w:t>
            </w:r>
          </w:p>
          <w:p w14:paraId="48D5DF00">
            <w:pPr>
              <w:pStyle w:val="133"/>
              <w:rPr>
                <w:rFonts w:cs="Times New Roman"/>
                <w:b/>
                <w:bCs/>
                <w:sz w:val="18"/>
                <w:szCs w:val="18"/>
              </w:rPr>
            </w:pPr>
            <w:r>
              <w:rPr>
                <w:rFonts w:cs="Times New Roman"/>
                <w:b/>
                <w:bCs/>
                <w:sz w:val="18"/>
                <w:szCs w:val="18"/>
              </w:rPr>
              <w:t>温度</w:t>
            </w:r>
          </w:p>
        </w:tc>
        <w:tc>
          <w:tcPr>
            <w:tcW w:w="300" w:type="pct"/>
            <w:vMerge w:val="restart"/>
            <w:vAlign w:val="center"/>
          </w:tcPr>
          <w:p w14:paraId="4FD8D4A2">
            <w:pPr>
              <w:pStyle w:val="133"/>
              <w:rPr>
                <w:rFonts w:cs="Times New Roman"/>
                <w:b/>
                <w:bCs/>
                <w:sz w:val="18"/>
                <w:szCs w:val="18"/>
              </w:rPr>
            </w:pPr>
            <w:r>
              <w:rPr>
                <w:rFonts w:cs="Times New Roman"/>
                <w:b/>
                <w:bCs/>
                <w:sz w:val="18"/>
                <w:szCs w:val="18"/>
              </w:rPr>
              <w:t>烟气</w:t>
            </w:r>
          </w:p>
          <w:p w14:paraId="4C6233E7">
            <w:pPr>
              <w:pStyle w:val="133"/>
              <w:rPr>
                <w:rFonts w:cs="Times New Roman"/>
                <w:b/>
                <w:bCs/>
                <w:sz w:val="18"/>
                <w:szCs w:val="18"/>
              </w:rPr>
            </w:pPr>
            <w:r>
              <w:rPr>
                <w:rFonts w:cs="Times New Roman"/>
                <w:b/>
                <w:bCs/>
                <w:sz w:val="18"/>
                <w:szCs w:val="18"/>
              </w:rPr>
              <w:t>流量</w:t>
            </w:r>
          </w:p>
        </w:tc>
        <w:tc>
          <w:tcPr>
            <w:tcW w:w="2299" w:type="pct"/>
            <w:gridSpan w:val="10"/>
            <w:vAlign w:val="center"/>
          </w:tcPr>
          <w:p w14:paraId="150D6D36">
            <w:pPr>
              <w:pStyle w:val="133"/>
              <w:rPr>
                <w:rFonts w:cs="Times New Roman"/>
                <w:b/>
                <w:bCs/>
                <w:sz w:val="18"/>
                <w:szCs w:val="18"/>
              </w:rPr>
            </w:pPr>
            <w:r>
              <w:rPr>
                <w:rFonts w:cs="Times New Roman"/>
                <w:b/>
                <w:bCs/>
                <w:sz w:val="18"/>
                <w:szCs w:val="18"/>
              </w:rPr>
              <w:t>排放速率（kg/h）</w:t>
            </w:r>
          </w:p>
        </w:tc>
      </w:tr>
      <w:tr w14:paraId="42CD1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218" w:type="pct"/>
            <w:vMerge w:val="continue"/>
            <w:noWrap/>
            <w:vAlign w:val="center"/>
          </w:tcPr>
          <w:p w14:paraId="2828D438">
            <w:pPr>
              <w:pStyle w:val="133"/>
              <w:rPr>
                <w:rFonts w:cs="Times New Roman"/>
                <w:b/>
                <w:bCs/>
                <w:sz w:val="18"/>
                <w:szCs w:val="18"/>
              </w:rPr>
            </w:pPr>
          </w:p>
        </w:tc>
        <w:tc>
          <w:tcPr>
            <w:tcW w:w="611" w:type="pct"/>
            <w:vMerge w:val="continue"/>
            <w:noWrap/>
            <w:vAlign w:val="center"/>
          </w:tcPr>
          <w:p w14:paraId="4162421C">
            <w:pPr>
              <w:pStyle w:val="133"/>
              <w:rPr>
                <w:rFonts w:cs="Times New Roman"/>
                <w:b/>
                <w:bCs/>
                <w:sz w:val="18"/>
                <w:szCs w:val="18"/>
              </w:rPr>
            </w:pPr>
          </w:p>
        </w:tc>
        <w:tc>
          <w:tcPr>
            <w:tcW w:w="294" w:type="pct"/>
            <w:vMerge w:val="continue"/>
            <w:vAlign w:val="center"/>
          </w:tcPr>
          <w:p w14:paraId="718EF6DF">
            <w:pPr>
              <w:pStyle w:val="133"/>
              <w:rPr>
                <w:rFonts w:cs="Times New Roman"/>
                <w:b/>
                <w:bCs/>
                <w:sz w:val="18"/>
                <w:szCs w:val="18"/>
              </w:rPr>
            </w:pPr>
          </w:p>
        </w:tc>
        <w:tc>
          <w:tcPr>
            <w:tcW w:w="294" w:type="pct"/>
            <w:vMerge w:val="continue"/>
            <w:vAlign w:val="center"/>
          </w:tcPr>
          <w:p w14:paraId="14A1CCE3">
            <w:pPr>
              <w:pStyle w:val="133"/>
              <w:rPr>
                <w:rFonts w:cs="Times New Roman"/>
                <w:b/>
                <w:bCs/>
                <w:sz w:val="18"/>
                <w:szCs w:val="18"/>
              </w:rPr>
            </w:pPr>
          </w:p>
        </w:tc>
        <w:tc>
          <w:tcPr>
            <w:tcW w:w="329" w:type="pct"/>
            <w:vMerge w:val="continue"/>
            <w:noWrap/>
            <w:vAlign w:val="center"/>
          </w:tcPr>
          <w:p w14:paraId="1E3DEE51">
            <w:pPr>
              <w:pStyle w:val="133"/>
              <w:rPr>
                <w:rFonts w:cs="Times New Roman"/>
                <w:b/>
                <w:bCs/>
                <w:sz w:val="18"/>
                <w:szCs w:val="18"/>
              </w:rPr>
            </w:pPr>
          </w:p>
        </w:tc>
        <w:tc>
          <w:tcPr>
            <w:tcW w:w="326" w:type="pct"/>
            <w:vMerge w:val="continue"/>
            <w:noWrap/>
            <w:vAlign w:val="center"/>
          </w:tcPr>
          <w:p w14:paraId="48EC68B3">
            <w:pPr>
              <w:pStyle w:val="133"/>
              <w:rPr>
                <w:rFonts w:cs="Times New Roman"/>
                <w:b/>
                <w:bCs/>
                <w:sz w:val="18"/>
                <w:szCs w:val="18"/>
              </w:rPr>
            </w:pPr>
          </w:p>
        </w:tc>
        <w:tc>
          <w:tcPr>
            <w:tcW w:w="329" w:type="pct"/>
            <w:vMerge w:val="continue"/>
            <w:noWrap/>
            <w:vAlign w:val="center"/>
          </w:tcPr>
          <w:p w14:paraId="30797B9C">
            <w:pPr>
              <w:pStyle w:val="133"/>
              <w:rPr>
                <w:rFonts w:cs="Times New Roman"/>
                <w:b/>
                <w:bCs/>
                <w:sz w:val="18"/>
                <w:szCs w:val="18"/>
              </w:rPr>
            </w:pPr>
          </w:p>
        </w:tc>
        <w:tc>
          <w:tcPr>
            <w:tcW w:w="300" w:type="pct"/>
            <w:vMerge w:val="continue"/>
            <w:vAlign w:val="center"/>
          </w:tcPr>
          <w:p w14:paraId="3F87EEAE">
            <w:pPr>
              <w:pStyle w:val="133"/>
              <w:rPr>
                <w:rFonts w:cs="Times New Roman"/>
                <w:b/>
                <w:bCs/>
                <w:sz w:val="18"/>
                <w:szCs w:val="18"/>
              </w:rPr>
            </w:pPr>
          </w:p>
        </w:tc>
        <w:tc>
          <w:tcPr>
            <w:tcW w:w="237" w:type="pct"/>
            <w:vAlign w:val="center"/>
          </w:tcPr>
          <w:p w14:paraId="5CDC6F56">
            <w:pPr>
              <w:pStyle w:val="133"/>
              <w:rPr>
                <w:rFonts w:cs="Times New Roman"/>
                <w:b/>
                <w:bCs/>
                <w:sz w:val="18"/>
                <w:szCs w:val="18"/>
              </w:rPr>
            </w:pPr>
            <w:r>
              <w:rPr>
                <w:rFonts w:cs="Times New Roman"/>
                <w:b/>
                <w:bCs/>
                <w:sz w:val="18"/>
                <w:szCs w:val="18"/>
              </w:rPr>
              <w:t>SO</w:t>
            </w:r>
            <w:r>
              <w:rPr>
                <w:rFonts w:cs="Times New Roman"/>
                <w:b/>
                <w:bCs/>
                <w:sz w:val="18"/>
                <w:szCs w:val="18"/>
                <w:vertAlign w:val="subscript"/>
              </w:rPr>
              <w:t>2</w:t>
            </w:r>
          </w:p>
        </w:tc>
        <w:tc>
          <w:tcPr>
            <w:tcW w:w="237" w:type="pct"/>
            <w:vAlign w:val="center"/>
          </w:tcPr>
          <w:p w14:paraId="0FA82630">
            <w:pPr>
              <w:pStyle w:val="133"/>
              <w:rPr>
                <w:rFonts w:cs="Times New Roman"/>
                <w:b/>
                <w:bCs/>
                <w:sz w:val="18"/>
                <w:szCs w:val="18"/>
              </w:rPr>
            </w:pPr>
            <w:r>
              <w:rPr>
                <w:rFonts w:cs="Times New Roman"/>
                <w:b/>
                <w:bCs/>
                <w:sz w:val="18"/>
                <w:szCs w:val="18"/>
              </w:rPr>
              <w:t>NO</w:t>
            </w:r>
            <w:r>
              <w:rPr>
                <w:rFonts w:cs="Times New Roman"/>
                <w:b/>
                <w:bCs/>
                <w:sz w:val="18"/>
                <w:szCs w:val="18"/>
                <w:vertAlign w:val="subscript"/>
              </w:rPr>
              <w:t>2</w:t>
            </w:r>
          </w:p>
        </w:tc>
        <w:tc>
          <w:tcPr>
            <w:tcW w:w="237" w:type="pct"/>
            <w:noWrap/>
            <w:vAlign w:val="center"/>
          </w:tcPr>
          <w:p w14:paraId="40CDC126">
            <w:pPr>
              <w:pStyle w:val="133"/>
              <w:rPr>
                <w:rFonts w:cs="Times New Roman"/>
                <w:b/>
                <w:bCs/>
                <w:sz w:val="18"/>
                <w:szCs w:val="18"/>
              </w:rPr>
            </w:pPr>
            <w:r>
              <w:rPr>
                <w:rFonts w:cs="Times New Roman"/>
                <w:b/>
                <w:bCs/>
                <w:sz w:val="18"/>
                <w:szCs w:val="18"/>
              </w:rPr>
              <w:t>PM</w:t>
            </w:r>
            <w:r>
              <w:rPr>
                <w:rFonts w:cs="Times New Roman"/>
                <w:b/>
                <w:bCs/>
                <w:sz w:val="18"/>
                <w:szCs w:val="18"/>
                <w:vertAlign w:val="subscript"/>
              </w:rPr>
              <w:t>10</w:t>
            </w:r>
          </w:p>
        </w:tc>
        <w:tc>
          <w:tcPr>
            <w:tcW w:w="237" w:type="pct"/>
            <w:noWrap/>
            <w:vAlign w:val="center"/>
          </w:tcPr>
          <w:p w14:paraId="3077B41C">
            <w:pPr>
              <w:pStyle w:val="133"/>
              <w:rPr>
                <w:rFonts w:cs="Times New Roman"/>
                <w:b/>
                <w:bCs/>
                <w:sz w:val="18"/>
                <w:szCs w:val="18"/>
              </w:rPr>
            </w:pPr>
            <w:r>
              <w:rPr>
                <w:rFonts w:cs="Times New Roman"/>
                <w:b/>
                <w:bCs/>
                <w:sz w:val="18"/>
                <w:szCs w:val="18"/>
              </w:rPr>
              <w:t>PM</w:t>
            </w:r>
            <w:r>
              <w:rPr>
                <w:rFonts w:cs="Times New Roman"/>
                <w:b/>
                <w:bCs/>
                <w:sz w:val="18"/>
                <w:szCs w:val="18"/>
                <w:vertAlign w:val="subscript"/>
              </w:rPr>
              <w:t>2.5</w:t>
            </w:r>
          </w:p>
        </w:tc>
        <w:tc>
          <w:tcPr>
            <w:tcW w:w="237" w:type="pct"/>
            <w:vAlign w:val="center"/>
          </w:tcPr>
          <w:p w14:paraId="7B455FD3">
            <w:pPr>
              <w:pStyle w:val="133"/>
              <w:rPr>
                <w:rFonts w:cs="Times New Roman"/>
                <w:b/>
                <w:bCs/>
                <w:sz w:val="18"/>
                <w:szCs w:val="18"/>
              </w:rPr>
            </w:pPr>
            <w:r>
              <w:rPr>
                <w:rFonts w:cs="Times New Roman"/>
                <w:b/>
                <w:bCs/>
                <w:sz w:val="18"/>
                <w:szCs w:val="18"/>
              </w:rPr>
              <w:t>BaP</w:t>
            </w:r>
          </w:p>
        </w:tc>
        <w:tc>
          <w:tcPr>
            <w:tcW w:w="233" w:type="pct"/>
            <w:vAlign w:val="center"/>
          </w:tcPr>
          <w:p w14:paraId="2F7A10B3">
            <w:pPr>
              <w:pStyle w:val="133"/>
              <w:rPr>
                <w:rFonts w:cs="Times New Roman"/>
                <w:b/>
                <w:bCs/>
                <w:sz w:val="18"/>
                <w:szCs w:val="18"/>
              </w:rPr>
            </w:pPr>
            <w:r>
              <w:rPr>
                <w:rFonts w:cs="Times New Roman"/>
                <w:b/>
                <w:bCs/>
                <w:sz w:val="18"/>
                <w:szCs w:val="18"/>
              </w:rPr>
              <w:t>NH</w:t>
            </w:r>
            <w:r>
              <w:rPr>
                <w:rFonts w:cs="Times New Roman"/>
                <w:b/>
                <w:bCs/>
                <w:sz w:val="18"/>
                <w:szCs w:val="18"/>
                <w:vertAlign w:val="subscript"/>
              </w:rPr>
              <w:t>3</w:t>
            </w:r>
          </w:p>
        </w:tc>
        <w:tc>
          <w:tcPr>
            <w:tcW w:w="233" w:type="pct"/>
            <w:vAlign w:val="center"/>
          </w:tcPr>
          <w:p w14:paraId="78DF5DFE">
            <w:pPr>
              <w:pStyle w:val="133"/>
              <w:rPr>
                <w:rFonts w:cs="Times New Roman"/>
                <w:b/>
                <w:bCs/>
                <w:sz w:val="18"/>
                <w:szCs w:val="18"/>
              </w:rPr>
            </w:pPr>
            <w:r>
              <w:rPr>
                <w:rFonts w:cs="Times New Roman"/>
                <w:b/>
                <w:bCs/>
                <w:sz w:val="18"/>
                <w:szCs w:val="18"/>
              </w:rPr>
              <w:t>H</w:t>
            </w:r>
            <w:r>
              <w:rPr>
                <w:rFonts w:cs="Times New Roman"/>
                <w:b/>
                <w:bCs/>
                <w:sz w:val="18"/>
                <w:szCs w:val="18"/>
                <w:vertAlign w:val="subscript"/>
              </w:rPr>
              <w:t>2</w:t>
            </w:r>
            <w:r>
              <w:rPr>
                <w:rFonts w:cs="Times New Roman"/>
                <w:b/>
                <w:bCs/>
                <w:sz w:val="18"/>
                <w:szCs w:val="18"/>
              </w:rPr>
              <w:t>S</w:t>
            </w:r>
          </w:p>
        </w:tc>
        <w:tc>
          <w:tcPr>
            <w:tcW w:w="217" w:type="pct"/>
            <w:vAlign w:val="center"/>
          </w:tcPr>
          <w:p w14:paraId="2C25D79B">
            <w:pPr>
              <w:pStyle w:val="133"/>
              <w:rPr>
                <w:rFonts w:cs="Times New Roman"/>
                <w:b/>
                <w:bCs/>
                <w:sz w:val="18"/>
                <w:szCs w:val="18"/>
              </w:rPr>
            </w:pPr>
            <w:r>
              <w:rPr>
                <w:rFonts w:cs="Times New Roman"/>
                <w:b/>
                <w:bCs/>
                <w:sz w:val="18"/>
                <w:szCs w:val="18"/>
              </w:rPr>
              <w:t>NMHC</w:t>
            </w:r>
          </w:p>
        </w:tc>
        <w:tc>
          <w:tcPr>
            <w:tcW w:w="217" w:type="pct"/>
            <w:vAlign w:val="center"/>
          </w:tcPr>
          <w:p w14:paraId="4BFD3BCE">
            <w:pPr>
              <w:pStyle w:val="133"/>
              <w:rPr>
                <w:rFonts w:cs="Times New Roman"/>
                <w:b/>
                <w:bCs/>
                <w:sz w:val="18"/>
                <w:szCs w:val="18"/>
              </w:rPr>
            </w:pPr>
            <w:r>
              <w:rPr>
                <w:rFonts w:hint="eastAsia" w:cs="Times New Roman"/>
                <w:b/>
                <w:bCs/>
                <w:sz w:val="18"/>
                <w:szCs w:val="18"/>
              </w:rPr>
              <w:t>酚类</w:t>
            </w:r>
          </w:p>
        </w:tc>
        <w:tc>
          <w:tcPr>
            <w:tcW w:w="214" w:type="pct"/>
            <w:vAlign w:val="center"/>
          </w:tcPr>
          <w:p w14:paraId="4CEC2188">
            <w:pPr>
              <w:pStyle w:val="133"/>
              <w:rPr>
                <w:rFonts w:cs="Times New Roman"/>
                <w:b/>
                <w:bCs/>
                <w:sz w:val="18"/>
                <w:szCs w:val="18"/>
              </w:rPr>
            </w:pPr>
            <w:r>
              <w:rPr>
                <w:rFonts w:hint="eastAsia" w:cs="Times New Roman"/>
                <w:b/>
                <w:bCs/>
                <w:sz w:val="18"/>
                <w:szCs w:val="18"/>
              </w:rPr>
              <w:t>氰化氢</w:t>
            </w:r>
          </w:p>
        </w:tc>
      </w:tr>
      <w:tr w14:paraId="44A22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blHeader/>
          <w:jc w:val="center"/>
        </w:trPr>
        <w:tc>
          <w:tcPr>
            <w:tcW w:w="218" w:type="pct"/>
            <w:vMerge w:val="continue"/>
            <w:noWrap/>
            <w:vAlign w:val="center"/>
          </w:tcPr>
          <w:p w14:paraId="5046C823">
            <w:pPr>
              <w:pStyle w:val="133"/>
              <w:rPr>
                <w:rFonts w:cs="Times New Roman"/>
                <w:b/>
                <w:bCs/>
                <w:sz w:val="18"/>
                <w:szCs w:val="18"/>
              </w:rPr>
            </w:pPr>
          </w:p>
        </w:tc>
        <w:tc>
          <w:tcPr>
            <w:tcW w:w="611" w:type="pct"/>
            <w:noWrap/>
            <w:vAlign w:val="center"/>
          </w:tcPr>
          <w:p w14:paraId="4678C9B2">
            <w:pPr>
              <w:pStyle w:val="133"/>
              <w:rPr>
                <w:rFonts w:cs="Times New Roman"/>
                <w:b/>
                <w:bCs/>
                <w:sz w:val="18"/>
                <w:szCs w:val="18"/>
              </w:rPr>
            </w:pPr>
            <w:r>
              <w:rPr>
                <w:rFonts w:cs="Times New Roman"/>
                <w:b/>
                <w:bCs/>
                <w:sz w:val="18"/>
                <w:szCs w:val="18"/>
              </w:rPr>
              <w:t>单位</w:t>
            </w:r>
          </w:p>
        </w:tc>
        <w:tc>
          <w:tcPr>
            <w:tcW w:w="294" w:type="pct"/>
            <w:vAlign w:val="center"/>
          </w:tcPr>
          <w:p w14:paraId="22DE897B">
            <w:pPr>
              <w:pStyle w:val="133"/>
              <w:rPr>
                <w:rFonts w:cs="Times New Roman"/>
                <w:b/>
                <w:bCs/>
                <w:sz w:val="18"/>
                <w:szCs w:val="18"/>
              </w:rPr>
            </w:pPr>
            <w:r>
              <w:rPr>
                <w:rFonts w:cs="Times New Roman"/>
                <w:b/>
                <w:bCs/>
                <w:sz w:val="18"/>
                <w:szCs w:val="18"/>
              </w:rPr>
              <w:t>Px</w:t>
            </w:r>
          </w:p>
        </w:tc>
        <w:tc>
          <w:tcPr>
            <w:tcW w:w="294" w:type="pct"/>
            <w:vAlign w:val="center"/>
          </w:tcPr>
          <w:p w14:paraId="4E4D0907">
            <w:pPr>
              <w:pStyle w:val="133"/>
              <w:rPr>
                <w:rFonts w:cs="Times New Roman"/>
                <w:b/>
                <w:bCs/>
                <w:sz w:val="18"/>
                <w:szCs w:val="18"/>
              </w:rPr>
            </w:pPr>
            <w:r>
              <w:rPr>
                <w:rFonts w:cs="Times New Roman"/>
                <w:b/>
                <w:bCs/>
                <w:sz w:val="18"/>
                <w:szCs w:val="18"/>
              </w:rPr>
              <w:t>Py</w:t>
            </w:r>
          </w:p>
        </w:tc>
        <w:tc>
          <w:tcPr>
            <w:tcW w:w="329" w:type="pct"/>
            <w:noWrap/>
            <w:vAlign w:val="center"/>
          </w:tcPr>
          <w:p w14:paraId="7C60271C">
            <w:pPr>
              <w:pStyle w:val="133"/>
              <w:rPr>
                <w:rFonts w:cs="Times New Roman"/>
                <w:b/>
                <w:bCs/>
                <w:sz w:val="18"/>
                <w:szCs w:val="18"/>
              </w:rPr>
            </w:pPr>
            <w:r>
              <w:rPr>
                <w:rFonts w:cs="Times New Roman"/>
                <w:b/>
                <w:bCs/>
                <w:sz w:val="18"/>
                <w:szCs w:val="18"/>
              </w:rPr>
              <w:t>H(m)</w:t>
            </w:r>
          </w:p>
        </w:tc>
        <w:tc>
          <w:tcPr>
            <w:tcW w:w="326" w:type="pct"/>
            <w:noWrap/>
            <w:vAlign w:val="center"/>
          </w:tcPr>
          <w:p w14:paraId="0FC947A6">
            <w:pPr>
              <w:pStyle w:val="133"/>
              <w:rPr>
                <w:rFonts w:cs="Times New Roman"/>
                <w:b/>
                <w:bCs/>
                <w:sz w:val="18"/>
                <w:szCs w:val="18"/>
              </w:rPr>
            </w:pPr>
            <w:r>
              <w:rPr>
                <w:rFonts w:cs="Times New Roman"/>
                <w:b/>
                <w:bCs/>
                <w:sz w:val="18"/>
                <w:szCs w:val="18"/>
              </w:rPr>
              <w:t>D(m)</w:t>
            </w:r>
          </w:p>
        </w:tc>
        <w:tc>
          <w:tcPr>
            <w:tcW w:w="329" w:type="pct"/>
            <w:noWrap/>
            <w:vAlign w:val="center"/>
          </w:tcPr>
          <w:p w14:paraId="37CE6321">
            <w:pPr>
              <w:pStyle w:val="133"/>
              <w:rPr>
                <w:rFonts w:cs="Times New Roman"/>
                <w:b/>
                <w:bCs/>
                <w:sz w:val="18"/>
                <w:szCs w:val="18"/>
              </w:rPr>
            </w:pPr>
            <w:r>
              <w:rPr>
                <w:rFonts w:cs="Times New Roman"/>
                <w:b/>
                <w:bCs/>
                <w:sz w:val="18"/>
                <w:szCs w:val="18"/>
              </w:rPr>
              <w:t>T(℃)</w:t>
            </w:r>
          </w:p>
        </w:tc>
        <w:tc>
          <w:tcPr>
            <w:tcW w:w="300" w:type="pct"/>
            <w:vAlign w:val="center"/>
          </w:tcPr>
          <w:p w14:paraId="03BDA8D5">
            <w:pPr>
              <w:pStyle w:val="133"/>
              <w:rPr>
                <w:rFonts w:cs="Times New Roman"/>
                <w:b/>
                <w:bCs/>
                <w:sz w:val="18"/>
                <w:szCs w:val="18"/>
              </w:rPr>
            </w:pPr>
            <w:r>
              <w:rPr>
                <w:rFonts w:cs="Times New Roman"/>
                <w:b/>
                <w:bCs/>
                <w:sz w:val="18"/>
                <w:szCs w:val="18"/>
              </w:rPr>
              <w:t>V/m³/h</w:t>
            </w:r>
          </w:p>
        </w:tc>
        <w:tc>
          <w:tcPr>
            <w:tcW w:w="237" w:type="pct"/>
            <w:vAlign w:val="center"/>
          </w:tcPr>
          <w:p w14:paraId="1E029D91">
            <w:pPr>
              <w:pStyle w:val="133"/>
              <w:rPr>
                <w:rFonts w:cs="Times New Roman"/>
                <w:b/>
                <w:bCs/>
                <w:sz w:val="18"/>
                <w:szCs w:val="18"/>
              </w:rPr>
            </w:pPr>
            <w:r>
              <w:rPr>
                <w:rFonts w:cs="Times New Roman"/>
                <w:b/>
                <w:bCs/>
                <w:sz w:val="18"/>
                <w:szCs w:val="18"/>
              </w:rPr>
              <w:t>Q</w:t>
            </w:r>
            <w:r>
              <w:rPr>
                <w:rFonts w:cs="Times New Roman"/>
                <w:b/>
                <w:bCs/>
                <w:sz w:val="18"/>
                <w:szCs w:val="18"/>
                <w:vertAlign w:val="subscript"/>
              </w:rPr>
              <w:t>SO2</w:t>
            </w:r>
          </w:p>
        </w:tc>
        <w:tc>
          <w:tcPr>
            <w:tcW w:w="237" w:type="pct"/>
            <w:vAlign w:val="center"/>
          </w:tcPr>
          <w:p w14:paraId="65638144">
            <w:pPr>
              <w:pStyle w:val="133"/>
              <w:rPr>
                <w:rFonts w:cs="Times New Roman"/>
                <w:b/>
                <w:bCs/>
                <w:sz w:val="18"/>
                <w:szCs w:val="18"/>
              </w:rPr>
            </w:pPr>
            <w:r>
              <w:rPr>
                <w:rFonts w:cs="Times New Roman"/>
                <w:b/>
                <w:bCs/>
                <w:sz w:val="18"/>
                <w:szCs w:val="18"/>
              </w:rPr>
              <w:t>Q</w:t>
            </w:r>
            <w:r>
              <w:rPr>
                <w:rFonts w:cs="Times New Roman"/>
                <w:b/>
                <w:bCs/>
                <w:sz w:val="18"/>
                <w:szCs w:val="18"/>
                <w:vertAlign w:val="subscript"/>
              </w:rPr>
              <w:t>NO2</w:t>
            </w:r>
          </w:p>
        </w:tc>
        <w:tc>
          <w:tcPr>
            <w:tcW w:w="237" w:type="pct"/>
            <w:noWrap/>
            <w:vAlign w:val="center"/>
          </w:tcPr>
          <w:p w14:paraId="3562F362">
            <w:pPr>
              <w:pStyle w:val="133"/>
              <w:rPr>
                <w:rFonts w:cs="Times New Roman"/>
                <w:b/>
                <w:bCs/>
                <w:sz w:val="18"/>
                <w:szCs w:val="18"/>
              </w:rPr>
            </w:pPr>
            <w:r>
              <w:rPr>
                <w:rFonts w:cs="Times New Roman"/>
                <w:b/>
                <w:bCs/>
                <w:sz w:val="18"/>
                <w:szCs w:val="18"/>
              </w:rPr>
              <w:t>Q</w:t>
            </w:r>
            <w:r>
              <w:rPr>
                <w:rFonts w:cs="Times New Roman"/>
                <w:b/>
                <w:bCs/>
                <w:sz w:val="18"/>
                <w:szCs w:val="18"/>
                <w:vertAlign w:val="subscript"/>
              </w:rPr>
              <w:t>PM10</w:t>
            </w:r>
          </w:p>
        </w:tc>
        <w:tc>
          <w:tcPr>
            <w:tcW w:w="237" w:type="pct"/>
            <w:noWrap/>
            <w:vAlign w:val="center"/>
          </w:tcPr>
          <w:p w14:paraId="301FBCBC">
            <w:pPr>
              <w:pStyle w:val="133"/>
              <w:rPr>
                <w:rFonts w:cs="Times New Roman"/>
                <w:b/>
                <w:bCs/>
                <w:sz w:val="18"/>
                <w:szCs w:val="18"/>
              </w:rPr>
            </w:pPr>
            <w:r>
              <w:rPr>
                <w:rFonts w:cs="Times New Roman"/>
                <w:b/>
                <w:bCs/>
                <w:sz w:val="18"/>
                <w:szCs w:val="18"/>
              </w:rPr>
              <w:t>Q</w:t>
            </w:r>
            <w:r>
              <w:rPr>
                <w:rFonts w:cs="Times New Roman"/>
                <w:b/>
                <w:bCs/>
                <w:sz w:val="18"/>
                <w:szCs w:val="18"/>
                <w:vertAlign w:val="subscript"/>
              </w:rPr>
              <w:t>PM2.5</w:t>
            </w:r>
          </w:p>
        </w:tc>
        <w:tc>
          <w:tcPr>
            <w:tcW w:w="237" w:type="pct"/>
            <w:vAlign w:val="center"/>
          </w:tcPr>
          <w:p w14:paraId="4C9852BC">
            <w:pPr>
              <w:pStyle w:val="133"/>
              <w:rPr>
                <w:rFonts w:cs="Times New Roman"/>
                <w:b/>
                <w:bCs/>
                <w:sz w:val="18"/>
                <w:szCs w:val="18"/>
              </w:rPr>
            </w:pPr>
            <w:r>
              <w:rPr>
                <w:rFonts w:cs="Times New Roman"/>
                <w:b/>
                <w:bCs/>
                <w:sz w:val="18"/>
                <w:szCs w:val="18"/>
              </w:rPr>
              <w:t>Q</w:t>
            </w:r>
            <w:r>
              <w:rPr>
                <w:rFonts w:cs="Times New Roman"/>
                <w:b/>
                <w:bCs/>
                <w:sz w:val="18"/>
                <w:szCs w:val="18"/>
                <w:vertAlign w:val="subscript"/>
              </w:rPr>
              <w:t>BaP</w:t>
            </w:r>
          </w:p>
        </w:tc>
        <w:tc>
          <w:tcPr>
            <w:tcW w:w="233" w:type="pct"/>
            <w:vAlign w:val="center"/>
          </w:tcPr>
          <w:p w14:paraId="0AAAD95B">
            <w:pPr>
              <w:pStyle w:val="133"/>
              <w:rPr>
                <w:rFonts w:cs="Times New Roman"/>
                <w:b/>
                <w:bCs/>
                <w:sz w:val="18"/>
                <w:szCs w:val="18"/>
              </w:rPr>
            </w:pPr>
            <w:r>
              <w:rPr>
                <w:rFonts w:cs="Times New Roman"/>
                <w:b/>
                <w:bCs/>
                <w:sz w:val="18"/>
                <w:szCs w:val="18"/>
              </w:rPr>
              <w:t>Q</w:t>
            </w:r>
            <w:r>
              <w:rPr>
                <w:rFonts w:cs="Times New Roman"/>
                <w:b/>
                <w:bCs/>
                <w:sz w:val="18"/>
                <w:szCs w:val="18"/>
                <w:vertAlign w:val="subscript"/>
              </w:rPr>
              <w:t>NH3</w:t>
            </w:r>
          </w:p>
        </w:tc>
        <w:tc>
          <w:tcPr>
            <w:tcW w:w="233" w:type="pct"/>
            <w:vAlign w:val="center"/>
          </w:tcPr>
          <w:p w14:paraId="5761307A">
            <w:pPr>
              <w:pStyle w:val="133"/>
              <w:rPr>
                <w:rFonts w:cs="Times New Roman"/>
                <w:b/>
                <w:bCs/>
                <w:sz w:val="18"/>
                <w:szCs w:val="18"/>
              </w:rPr>
            </w:pPr>
            <w:r>
              <w:rPr>
                <w:rFonts w:cs="Times New Roman"/>
                <w:b/>
                <w:bCs/>
                <w:sz w:val="18"/>
                <w:szCs w:val="18"/>
              </w:rPr>
              <w:t>Q</w:t>
            </w:r>
            <w:r>
              <w:rPr>
                <w:rFonts w:cs="Times New Roman"/>
                <w:b/>
                <w:bCs/>
                <w:sz w:val="18"/>
                <w:szCs w:val="18"/>
                <w:vertAlign w:val="subscript"/>
              </w:rPr>
              <w:t>H2S</w:t>
            </w:r>
          </w:p>
        </w:tc>
        <w:tc>
          <w:tcPr>
            <w:tcW w:w="217" w:type="pct"/>
            <w:vAlign w:val="center"/>
          </w:tcPr>
          <w:p w14:paraId="468DAFE8">
            <w:pPr>
              <w:pStyle w:val="133"/>
              <w:rPr>
                <w:rFonts w:cs="Times New Roman"/>
                <w:b/>
                <w:bCs/>
                <w:sz w:val="18"/>
                <w:szCs w:val="18"/>
              </w:rPr>
            </w:pPr>
            <w:r>
              <w:rPr>
                <w:rFonts w:cs="Times New Roman"/>
                <w:b/>
                <w:bCs/>
                <w:sz w:val="18"/>
                <w:szCs w:val="18"/>
              </w:rPr>
              <w:t>Q</w:t>
            </w:r>
            <w:r>
              <w:rPr>
                <w:rFonts w:cs="Times New Roman"/>
                <w:b/>
                <w:bCs/>
                <w:sz w:val="18"/>
                <w:szCs w:val="18"/>
                <w:vertAlign w:val="subscript"/>
              </w:rPr>
              <w:t>NMHC</w:t>
            </w:r>
          </w:p>
        </w:tc>
        <w:tc>
          <w:tcPr>
            <w:tcW w:w="217" w:type="pct"/>
            <w:vAlign w:val="center"/>
          </w:tcPr>
          <w:p w14:paraId="3D0F81AC">
            <w:pPr>
              <w:pStyle w:val="133"/>
              <w:rPr>
                <w:rFonts w:cs="Times New Roman"/>
                <w:b/>
                <w:bCs/>
                <w:sz w:val="18"/>
                <w:szCs w:val="18"/>
              </w:rPr>
            </w:pPr>
            <w:r>
              <w:rPr>
                <w:rFonts w:cs="Times New Roman"/>
                <w:b/>
                <w:bCs/>
                <w:sz w:val="18"/>
                <w:szCs w:val="18"/>
              </w:rPr>
              <w:t>Q</w:t>
            </w:r>
            <w:r>
              <w:rPr>
                <w:rFonts w:hint="eastAsia" w:cs="Times New Roman"/>
                <w:b/>
                <w:bCs/>
                <w:sz w:val="18"/>
                <w:szCs w:val="18"/>
                <w:vertAlign w:val="subscript"/>
              </w:rPr>
              <w:t>酚类</w:t>
            </w:r>
          </w:p>
        </w:tc>
        <w:tc>
          <w:tcPr>
            <w:tcW w:w="214" w:type="pct"/>
            <w:vAlign w:val="center"/>
          </w:tcPr>
          <w:p w14:paraId="16EE795B">
            <w:pPr>
              <w:pStyle w:val="133"/>
              <w:rPr>
                <w:rFonts w:cs="Times New Roman"/>
                <w:b/>
                <w:bCs/>
                <w:sz w:val="18"/>
                <w:szCs w:val="18"/>
              </w:rPr>
            </w:pPr>
            <w:r>
              <w:rPr>
                <w:rFonts w:cs="Times New Roman"/>
                <w:b/>
                <w:bCs/>
                <w:sz w:val="18"/>
                <w:szCs w:val="18"/>
              </w:rPr>
              <w:t>Q</w:t>
            </w:r>
            <w:r>
              <w:rPr>
                <w:rFonts w:hint="eastAsia" w:cs="Times New Roman"/>
                <w:b/>
                <w:bCs/>
                <w:sz w:val="18"/>
                <w:szCs w:val="18"/>
                <w:vertAlign w:val="subscript"/>
              </w:rPr>
              <w:t>氰化氢</w:t>
            </w:r>
          </w:p>
        </w:tc>
      </w:tr>
      <w:tr w14:paraId="5B5A6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18" w:type="pct"/>
            <w:noWrap/>
            <w:vAlign w:val="center"/>
          </w:tcPr>
          <w:p w14:paraId="1CADCAA9">
            <w:pPr>
              <w:pStyle w:val="133"/>
              <w:rPr>
                <w:rFonts w:cs="Times New Roman"/>
                <w:sz w:val="18"/>
                <w:szCs w:val="18"/>
              </w:rPr>
            </w:pPr>
            <w:r>
              <w:rPr>
                <w:rFonts w:cs="Times New Roman"/>
                <w:color w:val="000000"/>
                <w:sz w:val="18"/>
                <w:szCs w:val="18"/>
              </w:rPr>
              <w:t>1</w:t>
            </w:r>
          </w:p>
        </w:tc>
        <w:tc>
          <w:tcPr>
            <w:tcW w:w="611" w:type="pct"/>
            <w:noWrap/>
            <w:vAlign w:val="center"/>
          </w:tcPr>
          <w:p w14:paraId="52447EE6">
            <w:pPr>
              <w:pStyle w:val="133"/>
              <w:rPr>
                <w:rFonts w:cs="Times New Roman"/>
                <w:sz w:val="18"/>
                <w:szCs w:val="18"/>
              </w:rPr>
            </w:pPr>
            <w:r>
              <w:rPr>
                <w:rFonts w:cs="Times New Roman"/>
                <w:color w:val="000000"/>
                <w:sz w:val="18"/>
                <w:szCs w:val="18"/>
              </w:rPr>
              <w:t>备煤上料废气</w:t>
            </w:r>
          </w:p>
        </w:tc>
        <w:tc>
          <w:tcPr>
            <w:tcW w:w="294" w:type="pct"/>
            <w:vAlign w:val="center"/>
          </w:tcPr>
          <w:p w14:paraId="28C51EAA">
            <w:pPr>
              <w:pStyle w:val="133"/>
              <w:rPr>
                <w:rFonts w:cs="Times New Roman"/>
                <w:sz w:val="18"/>
                <w:szCs w:val="18"/>
              </w:rPr>
            </w:pPr>
            <w:r>
              <w:rPr>
                <w:rFonts w:cs="Times New Roman"/>
                <w:color w:val="000000"/>
                <w:sz w:val="18"/>
                <w:szCs w:val="18"/>
              </w:rPr>
              <w:t>-584</w:t>
            </w:r>
          </w:p>
        </w:tc>
        <w:tc>
          <w:tcPr>
            <w:tcW w:w="294" w:type="pct"/>
            <w:vAlign w:val="center"/>
          </w:tcPr>
          <w:p w14:paraId="2D3622D2">
            <w:pPr>
              <w:pStyle w:val="133"/>
              <w:rPr>
                <w:rFonts w:cs="Times New Roman"/>
                <w:sz w:val="18"/>
                <w:szCs w:val="18"/>
              </w:rPr>
            </w:pPr>
            <w:r>
              <w:rPr>
                <w:rFonts w:cs="Times New Roman"/>
                <w:color w:val="000000"/>
                <w:sz w:val="18"/>
                <w:szCs w:val="18"/>
              </w:rPr>
              <w:t>130</w:t>
            </w:r>
          </w:p>
        </w:tc>
        <w:tc>
          <w:tcPr>
            <w:tcW w:w="329" w:type="pct"/>
            <w:noWrap/>
            <w:vAlign w:val="center"/>
          </w:tcPr>
          <w:p w14:paraId="10E29B92">
            <w:pPr>
              <w:pStyle w:val="133"/>
              <w:rPr>
                <w:rFonts w:cs="Times New Roman"/>
                <w:sz w:val="18"/>
                <w:szCs w:val="18"/>
              </w:rPr>
            </w:pPr>
            <w:r>
              <w:rPr>
                <w:rFonts w:cs="Times New Roman"/>
                <w:color w:val="000000"/>
                <w:sz w:val="18"/>
                <w:szCs w:val="18"/>
              </w:rPr>
              <w:t>30</w:t>
            </w:r>
          </w:p>
        </w:tc>
        <w:tc>
          <w:tcPr>
            <w:tcW w:w="326" w:type="pct"/>
            <w:noWrap/>
            <w:vAlign w:val="center"/>
          </w:tcPr>
          <w:p w14:paraId="6076FC3D">
            <w:pPr>
              <w:pStyle w:val="133"/>
              <w:rPr>
                <w:rFonts w:cs="Times New Roman"/>
                <w:sz w:val="18"/>
                <w:szCs w:val="18"/>
              </w:rPr>
            </w:pPr>
            <w:r>
              <w:rPr>
                <w:rFonts w:cs="Times New Roman"/>
                <w:color w:val="000000"/>
                <w:sz w:val="18"/>
                <w:szCs w:val="18"/>
              </w:rPr>
              <w:t>1.5</w:t>
            </w:r>
          </w:p>
        </w:tc>
        <w:tc>
          <w:tcPr>
            <w:tcW w:w="329" w:type="pct"/>
            <w:noWrap/>
            <w:vAlign w:val="center"/>
          </w:tcPr>
          <w:p w14:paraId="4FB7A5F2">
            <w:pPr>
              <w:pStyle w:val="133"/>
              <w:rPr>
                <w:rFonts w:cs="Times New Roman"/>
                <w:sz w:val="18"/>
                <w:szCs w:val="18"/>
              </w:rPr>
            </w:pPr>
            <w:r>
              <w:rPr>
                <w:rFonts w:cs="Times New Roman"/>
                <w:color w:val="000000"/>
                <w:sz w:val="18"/>
                <w:szCs w:val="18"/>
              </w:rPr>
              <w:t>25</w:t>
            </w:r>
          </w:p>
        </w:tc>
        <w:tc>
          <w:tcPr>
            <w:tcW w:w="300" w:type="pct"/>
            <w:vAlign w:val="center"/>
          </w:tcPr>
          <w:p w14:paraId="5366236F">
            <w:pPr>
              <w:pStyle w:val="133"/>
              <w:rPr>
                <w:rFonts w:cs="Times New Roman"/>
                <w:sz w:val="18"/>
                <w:szCs w:val="18"/>
              </w:rPr>
            </w:pPr>
            <w:r>
              <w:rPr>
                <w:rFonts w:cs="Times New Roman"/>
                <w:color w:val="000000"/>
                <w:sz w:val="18"/>
                <w:szCs w:val="18"/>
              </w:rPr>
              <w:t>35000</w:t>
            </w:r>
          </w:p>
        </w:tc>
        <w:tc>
          <w:tcPr>
            <w:tcW w:w="237" w:type="pct"/>
            <w:vAlign w:val="center"/>
          </w:tcPr>
          <w:p w14:paraId="106A3018">
            <w:pPr>
              <w:pStyle w:val="133"/>
              <w:rPr>
                <w:rFonts w:cs="Times New Roman"/>
                <w:sz w:val="18"/>
                <w:szCs w:val="18"/>
              </w:rPr>
            </w:pPr>
          </w:p>
        </w:tc>
        <w:tc>
          <w:tcPr>
            <w:tcW w:w="237" w:type="pct"/>
            <w:vAlign w:val="center"/>
          </w:tcPr>
          <w:p w14:paraId="54C3C93B">
            <w:pPr>
              <w:pStyle w:val="133"/>
              <w:rPr>
                <w:rFonts w:cs="Times New Roman"/>
                <w:sz w:val="18"/>
                <w:szCs w:val="18"/>
              </w:rPr>
            </w:pPr>
          </w:p>
        </w:tc>
        <w:tc>
          <w:tcPr>
            <w:tcW w:w="237" w:type="pct"/>
            <w:noWrap/>
            <w:vAlign w:val="center"/>
          </w:tcPr>
          <w:p w14:paraId="760BC555">
            <w:pPr>
              <w:pStyle w:val="133"/>
              <w:rPr>
                <w:rFonts w:cs="Times New Roman"/>
                <w:sz w:val="18"/>
                <w:szCs w:val="18"/>
              </w:rPr>
            </w:pPr>
            <w:r>
              <w:rPr>
                <w:rFonts w:cs="Times New Roman"/>
                <w:color w:val="000000"/>
                <w:sz w:val="18"/>
                <w:szCs w:val="18"/>
              </w:rPr>
              <w:t>0.0</w:t>
            </w:r>
            <w:r>
              <w:rPr>
                <w:rFonts w:hint="eastAsia" w:cs="Times New Roman"/>
                <w:color w:val="000000"/>
                <w:sz w:val="18"/>
                <w:szCs w:val="18"/>
              </w:rPr>
              <w:t>44</w:t>
            </w:r>
          </w:p>
        </w:tc>
        <w:tc>
          <w:tcPr>
            <w:tcW w:w="237" w:type="pct"/>
            <w:noWrap/>
            <w:vAlign w:val="center"/>
          </w:tcPr>
          <w:p w14:paraId="3C9E331C">
            <w:pPr>
              <w:pStyle w:val="133"/>
              <w:rPr>
                <w:rFonts w:cs="Times New Roman"/>
                <w:sz w:val="18"/>
                <w:szCs w:val="18"/>
              </w:rPr>
            </w:pPr>
            <w:r>
              <w:rPr>
                <w:rFonts w:cs="Times New Roman"/>
                <w:color w:val="000000"/>
                <w:sz w:val="18"/>
                <w:szCs w:val="18"/>
              </w:rPr>
              <w:t>0.0</w:t>
            </w:r>
            <w:r>
              <w:rPr>
                <w:rFonts w:hint="eastAsia" w:cs="Times New Roman"/>
                <w:color w:val="000000"/>
                <w:sz w:val="18"/>
                <w:szCs w:val="18"/>
              </w:rPr>
              <w:t>22</w:t>
            </w:r>
          </w:p>
        </w:tc>
        <w:tc>
          <w:tcPr>
            <w:tcW w:w="237" w:type="pct"/>
            <w:vAlign w:val="center"/>
          </w:tcPr>
          <w:p w14:paraId="1C1B7BEF">
            <w:pPr>
              <w:pStyle w:val="133"/>
              <w:rPr>
                <w:rFonts w:cs="Times New Roman"/>
                <w:sz w:val="18"/>
                <w:szCs w:val="18"/>
              </w:rPr>
            </w:pPr>
          </w:p>
        </w:tc>
        <w:tc>
          <w:tcPr>
            <w:tcW w:w="233" w:type="pct"/>
            <w:vAlign w:val="center"/>
          </w:tcPr>
          <w:p w14:paraId="656E5398">
            <w:pPr>
              <w:pStyle w:val="133"/>
              <w:rPr>
                <w:rFonts w:cs="Times New Roman"/>
                <w:sz w:val="18"/>
                <w:szCs w:val="18"/>
              </w:rPr>
            </w:pPr>
          </w:p>
        </w:tc>
        <w:tc>
          <w:tcPr>
            <w:tcW w:w="233" w:type="pct"/>
            <w:vAlign w:val="center"/>
          </w:tcPr>
          <w:p w14:paraId="5489CAE7">
            <w:pPr>
              <w:pStyle w:val="133"/>
              <w:rPr>
                <w:rFonts w:cs="Times New Roman"/>
                <w:sz w:val="18"/>
                <w:szCs w:val="18"/>
              </w:rPr>
            </w:pPr>
          </w:p>
        </w:tc>
        <w:tc>
          <w:tcPr>
            <w:tcW w:w="217" w:type="pct"/>
            <w:vAlign w:val="center"/>
          </w:tcPr>
          <w:p w14:paraId="4539F435">
            <w:pPr>
              <w:pStyle w:val="133"/>
              <w:rPr>
                <w:rFonts w:cs="Times New Roman"/>
                <w:sz w:val="18"/>
                <w:szCs w:val="18"/>
              </w:rPr>
            </w:pPr>
          </w:p>
        </w:tc>
        <w:tc>
          <w:tcPr>
            <w:tcW w:w="217" w:type="pct"/>
            <w:vAlign w:val="center"/>
          </w:tcPr>
          <w:p w14:paraId="34F44DD6">
            <w:pPr>
              <w:pStyle w:val="133"/>
              <w:rPr>
                <w:rFonts w:cs="Times New Roman"/>
                <w:sz w:val="18"/>
                <w:szCs w:val="18"/>
              </w:rPr>
            </w:pPr>
          </w:p>
        </w:tc>
        <w:tc>
          <w:tcPr>
            <w:tcW w:w="214" w:type="pct"/>
            <w:vAlign w:val="center"/>
          </w:tcPr>
          <w:p w14:paraId="1B5AEB7A">
            <w:pPr>
              <w:pStyle w:val="133"/>
              <w:rPr>
                <w:rFonts w:cs="Times New Roman"/>
                <w:sz w:val="18"/>
                <w:szCs w:val="18"/>
              </w:rPr>
            </w:pPr>
          </w:p>
        </w:tc>
      </w:tr>
      <w:tr w14:paraId="45159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36DAC399">
            <w:pPr>
              <w:pStyle w:val="133"/>
              <w:rPr>
                <w:rFonts w:cs="Times New Roman"/>
                <w:sz w:val="18"/>
                <w:szCs w:val="18"/>
              </w:rPr>
            </w:pPr>
            <w:r>
              <w:rPr>
                <w:rFonts w:cs="Times New Roman"/>
                <w:color w:val="000000"/>
                <w:sz w:val="18"/>
                <w:szCs w:val="18"/>
              </w:rPr>
              <w:t>2</w:t>
            </w:r>
          </w:p>
        </w:tc>
        <w:tc>
          <w:tcPr>
            <w:tcW w:w="611" w:type="pct"/>
            <w:noWrap/>
            <w:vAlign w:val="center"/>
          </w:tcPr>
          <w:p w14:paraId="018EA3F8">
            <w:pPr>
              <w:pStyle w:val="133"/>
              <w:rPr>
                <w:rFonts w:cs="Times New Roman"/>
                <w:sz w:val="18"/>
                <w:szCs w:val="18"/>
              </w:rPr>
            </w:pPr>
            <w:r>
              <w:rPr>
                <w:rFonts w:cs="Times New Roman"/>
                <w:color w:val="000000"/>
                <w:sz w:val="18"/>
                <w:szCs w:val="18"/>
              </w:rPr>
              <w:t>破碎筛分废气</w:t>
            </w:r>
          </w:p>
        </w:tc>
        <w:tc>
          <w:tcPr>
            <w:tcW w:w="294" w:type="pct"/>
            <w:vAlign w:val="center"/>
          </w:tcPr>
          <w:p w14:paraId="58351D56">
            <w:pPr>
              <w:pStyle w:val="133"/>
              <w:rPr>
                <w:rFonts w:cs="Times New Roman"/>
                <w:sz w:val="18"/>
                <w:szCs w:val="18"/>
              </w:rPr>
            </w:pPr>
            <w:r>
              <w:rPr>
                <w:rFonts w:cs="Times New Roman"/>
                <w:color w:val="000000"/>
                <w:sz w:val="18"/>
                <w:szCs w:val="18"/>
              </w:rPr>
              <w:t>-487</w:t>
            </w:r>
          </w:p>
        </w:tc>
        <w:tc>
          <w:tcPr>
            <w:tcW w:w="294" w:type="pct"/>
            <w:vAlign w:val="center"/>
          </w:tcPr>
          <w:p w14:paraId="08B34796">
            <w:pPr>
              <w:pStyle w:val="133"/>
              <w:rPr>
                <w:rFonts w:cs="Times New Roman"/>
                <w:sz w:val="18"/>
                <w:szCs w:val="18"/>
              </w:rPr>
            </w:pPr>
            <w:r>
              <w:rPr>
                <w:rFonts w:cs="Times New Roman"/>
                <w:color w:val="000000"/>
                <w:sz w:val="18"/>
                <w:szCs w:val="18"/>
              </w:rPr>
              <w:t>130</w:t>
            </w:r>
          </w:p>
        </w:tc>
        <w:tc>
          <w:tcPr>
            <w:tcW w:w="329" w:type="pct"/>
            <w:noWrap/>
            <w:vAlign w:val="center"/>
          </w:tcPr>
          <w:p w14:paraId="60CDEE2D">
            <w:pPr>
              <w:pStyle w:val="133"/>
              <w:rPr>
                <w:rFonts w:cs="Times New Roman"/>
                <w:sz w:val="18"/>
                <w:szCs w:val="18"/>
              </w:rPr>
            </w:pPr>
            <w:r>
              <w:rPr>
                <w:rFonts w:cs="Times New Roman"/>
                <w:color w:val="000000"/>
                <w:sz w:val="18"/>
                <w:szCs w:val="18"/>
              </w:rPr>
              <w:t>30</w:t>
            </w:r>
          </w:p>
        </w:tc>
        <w:tc>
          <w:tcPr>
            <w:tcW w:w="326" w:type="pct"/>
            <w:noWrap/>
            <w:vAlign w:val="center"/>
          </w:tcPr>
          <w:p w14:paraId="57372663">
            <w:pPr>
              <w:pStyle w:val="133"/>
              <w:rPr>
                <w:rFonts w:cs="Times New Roman"/>
                <w:sz w:val="18"/>
                <w:szCs w:val="18"/>
              </w:rPr>
            </w:pPr>
            <w:r>
              <w:rPr>
                <w:rFonts w:cs="Times New Roman"/>
                <w:color w:val="000000"/>
                <w:sz w:val="18"/>
                <w:szCs w:val="18"/>
              </w:rPr>
              <w:t>1.2</w:t>
            </w:r>
          </w:p>
        </w:tc>
        <w:tc>
          <w:tcPr>
            <w:tcW w:w="329" w:type="pct"/>
            <w:noWrap/>
            <w:vAlign w:val="center"/>
          </w:tcPr>
          <w:p w14:paraId="79C88F55">
            <w:pPr>
              <w:pStyle w:val="133"/>
              <w:rPr>
                <w:rFonts w:cs="Times New Roman"/>
                <w:sz w:val="18"/>
                <w:szCs w:val="18"/>
              </w:rPr>
            </w:pPr>
            <w:r>
              <w:rPr>
                <w:rFonts w:cs="Times New Roman"/>
                <w:color w:val="000000"/>
                <w:sz w:val="18"/>
                <w:szCs w:val="18"/>
              </w:rPr>
              <w:t>25</w:t>
            </w:r>
          </w:p>
        </w:tc>
        <w:tc>
          <w:tcPr>
            <w:tcW w:w="300" w:type="pct"/>
            <w:vAlign w:val="center"/>
          </w:tcPr>
          <w:p w14:paraId="1E2FBB3F">
            <w:pPr>
              <w:pStyle w:val="133"/>
              <w:rPr>
                <w:rFonts w:cs="Times New Roman"/>
                <w:sz w:val="18"/>
                <w:szCs w:val="18"/>
              </w:rPr>
            </w:pPr>
            <w:r>
              <w:rPr>
                <w:rFonts w:cs="Times New Roman"/>
                <w:color w:val="000000"/>
                <w:sz w:val="18"/>
                <w:szCs w:val="18"/>
              </w:rPr>
              <w:t>50000</w:t>
            </w:r>
          </w:p>
        </w:tc>
        <w:tc>
          <w:tcPr>
            <w:tcW w:w="237" w:type="pct"/>
            <w:vAlign w:val="center"/>
          </w:tcPr>
          <w:p w14:paraId="282F3408">
            <w:pPr>
              <w:pStyle w:val="133"/>
              <w:rPr>
                <w:rFonts w:cs="Times New Roman"/>
                <w:sz w:val="18"/>
                <w:szCs w:val="18"/>
              </w:rPr>
            </w:pPr>
          </w:p>
        </w:tc>
        <w:tc>
          <w:tcPr>
            <w:tcW w:w="237" w:type="pct"/>
            <w:vAlign w:val="center"/>
          </w:tcPr>
          <w:p w14:paraId="35EBF012">
            <w:pPr>
              <w:pStyle w:val="133"/>
              <w:rPr>
                <w:rFonts w:cs="Times New Roman"/>
                <w:sz w:val="18"/>
                <w:szCs w:val="18"/>
              </w:rPr>
            </w:pPr>
          </w:p>
        </w:tc>
        <w:tc>
          <w:tcPr>
            <w:tcW w:w="237" w:type="pct"/>
            <w:noWrap/>
            <w:vAlign w:val="center"/>
          </w:tcPr>
          <w:p w14:paraId="3765C239">
            <w:pPr>
              <w:pStyle w:val="133"/>
              <w:rPr>
                <w:rFonts w:cs="Times New Roman"/>
                <w:sz w:val="18"/>
                <w:szCs w:val="18"/>
              </w:rPr>
            </w:pPr>
            <w:r>
              <w:rPr>
                <w:rFonts w:cs="Times New Roman"/>
                <w:color w:val="000000"/>
                <w:sz w:val="18"/>
                <w:szCs w:val="18"/>
              </w:rPr>
              <w:t>0.0</w:t>
            </w:r>
            <w:r>
              <w:rPr>
                <w:rFonts w:hint="eastAsia" w:cs="Times New Roman"/>
                <w:color w:val="000000"/>
                <w:sz w:val="18"/>
                <w:szCs w:val="18"/>
              </w:rPr>
              <w:t>44</w:t>
            </w:r>
          </w:p>
        </w:tc>
        <w:tc>
          <w:tcPr>
            <w:tcW w:w="237" w:type="pct"/>
            <w:noWrap/>
            <w:vAlign w:val="center"/>
          </w:tcPr>
          <w:p w14:paraId="55D8DCD2">
            <w:pPr>
              <w:pStyle w:val="133"/>
              <w:rPr>
                <w:rFonts w:cs="Times New Roman"/>
                <w:sz w:val="18"/>
                <w:szCs w:val="18"/>
              </w:rPr>
            </w:pPr>
            <w:r>
              <w:rPr>
                <w:rFonts w:cs="Times New Roman"/>
                <w:color w:val="000000"/>
                <w:sz w:val="18"/>
                <w:szCs w:val="18"/>
              </w:rPr>
              <w:t>0.0</w:t>
            </w:r>
            <w:r>
              <w:rPr>
                <w:rFonts w:hint="eastAsia" w:cs="Times New Roman"/>
                <w:color w:val="000000"/>
                <w:sz w:val="18"/>
                <w:szCs w:val="18"/>
              </w:rPr>
              <w:t>22</w:t>
            </w:r>
          </w:p>
        </w:tc>
        <w:tc>
          <w:tcPr>
            <w:tcW w:w="237" w:type="pct"/>
            <w:vAlign w:val="center"/>
          </w:tcPr>
          <w:p w14:paraId="7B9C5581">
            <w:pPr>
              <w:pStyle w:val="133"/>
              <w:rPr>
                <w:rFonts w:cs="Times New Roman"/>
                <w:sz w:val="18"/>
                <w:szCs w:val="18"/>
              </w:rPr>
            </w:pPr>
          </w:p>
        </w:tc>
        <w:tc>
          <w:tcPr>
            <w:tcW w:w="233" w:type="pct"/>
            <w:vAlign w:val="center"/>
          </w:tcPr>
          <w:p w14:paraId="37892150">
            <w:pPr>
              <w:pStyle w:val="133"/>
              <w:rPr>
                <w:rFonts w:cs="Times New Roman"/>
                <w:sz w:val="18"/>
                <w:szCs w:val="18"/>
              </w:rPr>
            </w:pPr>
          </w:p>
        </w:tc>
        <w:tc>
          <w:tcPr>
            <w:tcW w:w="233" w:type="pct"/>
            <w:vAlign w:val="center"/>
          </w:tcPr>
          <w:p w14:paraId="22CFBFD3">
            <w:pPr>
              <w:pStyle w:val="133"/>
              <w:rPr>
                <w:rFonts w:cs="Times New Roman"/>
                <w:sz w:val="18"/>
                <w:szCs w:val="18"/>
              </w:rPr>
            </w:pPr>
          </w:p>
        </w:tc>
        <w:tc>
          <w:tcPr>
            <w:tcW w:w="217" w:type="pct"/>
            <w:vAlign w:val="center"/>
          </w:tcPr>
          <w:p w14:paraId="16FEB941">
            <w:pPr>
              <w:pStyle w:val="133"/>
              <w:rPr>
                <w:rFonts w:cs="Times New Roman"/>
                <w:sz w:val="18"/>
                <w:szCs w:val="18"/>
              </w:rPr>
            </w:pPr>
          </w:p>
        </w:tc>
        <w:tc>
          <w:tcPr>
            <w:tcW w:w="217" w:type="pct"/>
            <w:vAlign w:val="center"/>
          </w:tcPr>
          <w:p w14:paraId="006D14CF">
            <w:pPr>
              <w:pStyle w:val="133"/>
              <w:rPr>
                <w:rFonts w:cs="Times New Roman"/>
                <w:sz w:val="18"/>
                <w:szCs w:val="18"/>
              </w:rPr>
            </w:pPr>
          </w:p>
        </w:tc>
        <w:tc>
          <w:tcPr>
            <w:tcW w:w="214" w:type="pct"/>
            <w:vAlign w:val="center"/>
          </w:tcPr>
          <w:p w14:paraId="73C3ED29">
            <w:pPr>
              <w:pStyle w:val="133"/>
              <w:rPr>
                <w:rFonts w:cs="Times New Roman"/>
                <w:sz w:val="18"/>
                <w:szCs w:val="18"/>
              </w:rPr>
            </w:pPr>
          </w:p>
        </w:tc>
      </w:tr>
      <w:tr w14:paraId="0D0A7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6949E0C5">
            <w:pPr>
              <w:pStyle w:val="133"/>
              <w:rPr>
                <w:rFonts w:cs="Times New Roman"/>
                <w:sz w:val="18"/>
                <w:szCs w:val="18"/>
              </w:rPr>
            </w:pPr>
            <w:r>
              <w:rPr>
                <w:rFonts w:cs="Times New Roman"/>
                <w:color w:val="000000"/>
                <w:sz w:val="18"/>
                <w:szCs w:val="18"/>
              </w:rPr>
              <w:t>3</w:t>
            </w:r>
          </w:p>
        </w:tc>
        <w:tc>
          <w:tcPr>
            <w:tcW w:w="611" w:type="pct"/>
            <w:noWrap/>
            <w:vAlign w:val="center"/>
          </w:tcPr>
          <w:p w14:paraId="5240C865">
            <w:pPr>
              <w:pStyle w:val="133"/>
              <w:rPr>
                <w:rFonts w:cs="Times New Roman"/>
                <w:sz w:val="18"/>
                <w:szCs w:val="18"/>
              </w:rPr>
            </w:pPr>
            <w:r>
              <w:rPr>
                <w:rFonts w:cs="Times New Roman"/>
                <w:color w:val="000000"/>
                <w:sz w:val="18"/>
                <w:szCs w:val="18"/>
              </w:rPr>
              <w:t>炭化装煤废气</w:t>
            </w:r>
          </w:p>
        </w:tc>
        <w:tc>
          <w:tcPr>
            <w:tcW w:w="294" w:type="pct"/>
            <w:vAlign w:val="center"/>
          </w:tcPr>
          <w:p w14:paraId="1A54BAF0">
            <w:pPr>
              <w:pStyle w:val="133"/>
              <w:rPr>
                <w:rFonts w:cs="Times New Roman"/>
                <w:sz w:val="18"/>
                <w:szCs w:val="18"/>
              </w:rPr>
            </w:pPr>
            <w:r>
              <w:rPr>
                <w:rFonts w:cs="Times New Roman"/>
                <w:color w:val="000000"/>
                <w:sz w:val="18"/>
                <w:szCs w:val="18"/>
              </w:rPr>
              <w:t>-357</w:t>
            </w:r>
          </w:p>
        </w:tc>
        <w:tc>
          <w:tcPr>
            <w:tcW w:w="294" w:type="pct"/>
            <w:vAlign w:val="center"/>
          </w:tcPr>
          <w:p w14:paraId="3F944069">
            <w:pPr>
              <w:pStyle w:val="133"/>
              <w:rPr>
                <w:rFonts w:cs="Times New Roman"/>
                <w:sz w:val="18"/>
                <w:szCs w:val="18"/>
              </w:rPr>
            </w:pPr>
            <w:r>
              <w:rPr>
                <w:rFonts w:cs="Times New Roman"/>
                <w:color w:val="000000"/>
                <w:sz w:val="18"/>
                <w:szCs w:val="18"/>
              </w:rPr>
              <w:t>32</w:t>
            </w:r>
          </w:p>
        </w:tc>
        <w:tc>
          <w:tcPr>
            <w:tcW w:w="329" w:type="pct"/>
            <w:noWrap/>
            <w:vAlign w:val="center"/>
          </w:tcPr>
          <w:p w14:paraId="3577D0F7">
            <w:pPr>
              <w:pStyle w:val="133"/>
              <w:rPr>
                <w:rFonts w:cs="Times New Roman"/>
                <w:sz w:val="18"/>
                <w:szCs w:val="18"/>
              </w:rPr>
            </w:pPr>
            <w:r>
              <w:rPr>
                <w:rFonts w:cs="Times New Roman"/>
                <w:color w:val="000000"/>
                <w:sz w:val="18"/>
                <w:szCs w:val="18"/>
              </w:rPr>
              <w:t>30</w:t>
            </w:r>
          </w:p>
        </w:tc>
        <w:tc>
          <w:tcPr>
            <w:tcW w:w="326" w:type="pct"/>
            <w:noWrap/>
            <w:vAlign w:val="center"/>
          </w:tcPr>
          <w:p w14:paraId="50985EE2">
            <w:pPr>
              <w:pStyle w:val="133"/>
              <w:rPr>
                <w:rFonts w:cs="Times New Roman"/>
                <w:sz w:val="18"/>
                <w:szCs w:val="18"/>
              </w:rPr>
            </w:pPr>
            <w:r>
              <w:rPr>
                <w:rFonts w:cs="Times New Roman"/>
                <w:color w:val="000000"/>
                <w:sz w:val="18"/>
                <w:szCs w:val="18"/>
              </w:rPr>
              <w:t>1.6</w:t>
            </w:r>
          </w:p>
        </w:tc>
        <w:tc>
          <w:tcPr>
            <w:tcW w:w="329" w:type="pct"/>
            <w:noWrap/>
            <w:vAlign w:val="center"/>
          </w:tcPr>
          <w:p w14:paraId="007CE510">
            <w:pPr>
              <w:pStyle w:val="133"/>
              <w:rPr>
                <w:rFonts w:cs="Times New Roman"/>
                <w:sz w:val="18"/>
                <w:szCs w:val="18"/>
              </w:rPr>
            </w:pPr>
            <w:r>
              <w:rPr>
                <w:rFonts w:cs="Times New Roman"/>
                <w:color w:val="000000"/>
                <w:sz w:val="18"/>
                <w:szCs w:val="18"/>
              </w:rPr>
              <w:t>30</w:t>
            </w:r>
          </w:p>
        </w:tc>
        <w:tc>
          <w:tcPr>
            <w:tcW w:w="300" w:type="pct"/>
            <w:vAlign w:val="center"/>
          </w:tcPr>
          <w:p w14:paraId="526C4BF0">
            <w:pPr>
              <w:pStyle w:val="133"/>
              <w:rPr>
                <w:rFonts w:cs="Times New Roman"/>
                <w:sz w:val="18"/>
                <w:szCs w:val="18"/>
              </w:rPr>
            </w:pPr>
            <w:r>
              <w:rPr>
                <w:rFonts w:cs="Times New Roman"/>
                <w:color w:val="000000"/>
                <w:sz w:val="18"/>
                <w:szCs w:val="18"/>
              </w:rPr>
              <w:t>35000</w:t>
            </w:r>
          </w:p>
        </w:tc>
        <w:tc>
          <w:tcPr>
            <w:tcW w:w="237" w:type="pct"/>
            <w:vAlign w:val="center"/>
          </w:tcPr>
          <w:p w14:paraId="1FAA07B7">
            <w:pPr>
              <w:pStyle w:val="133"/>
              <w:rPr>
                <w:rFonts w:cs="Times New Roman"/>
                <w:sz w:val="18"/>
                <w:szCs w:val="18"/>
              </w:rPr>
            </w:pPr>
            <w:r>
              <w:rPr>
                <w:rFonts w:cs="Times New Roman"/>
                <w:color w:val="000000"/>
                <w:sz w:val="18"/>
                <w:szCs w:val="18"/>
              </w:rPr>
              <w:t>0.0</w:t>
            </w:r>
            <w:r>
              <w:rPr>
                <w:rFonts w:hint="eastAsia" w:cs="Times New Roman"/>
                <w:color w:val="000000"/>
                <w:sz w:val="18"/>
                <w:szCs w:val="18"/>
              </w:rPr>
              <w:t>6</w:t>
            </w:r>
            <w:r>
              <w:rPr>
                <w:rFonts w:cs="Times New Roman"/>
                <w:color w:val="000000"/>
                <w:sz w:val="18"/>
                <w:szCs w:val="18"/>
              </w:rPr>
              <w:t>7</w:t>
            </w:r>
          </w:p>
        </w:tc>
        <w:tc>
          <w:tcPr>
            <w:tcW w:w="237" w:type="pct"/>
            <w:vAlign w:val="center"/>
          </w:tcPr>
          <w:p w14:paraId="58F6A808">
            <w:pPr>
              <w:pStyle w:val="133"/>
              <w:rPr>
                <w:rFonts w:cs="Times New Roman"/>
                <w:sz w:val="18"/>
                <w:szCs w:val="18"/>
              </w:rPr>
            </w:pPr>
          </w:p>
        </w:tc>
        <w:tc>
          <w:tcPr>
            <w:tcW w:w="237" w:type="pct"/>
            <w:noWrap/>
            <w:vAlign w:val="center"/>
          </w:tcPr>
          <w:p w14:paraId="09992FB9">
            <w:pPr>
              <w:pStyle w:val="133"/>
              <w:rPr>
                <w:rFonts w:cs="Times New Roman"/>
                <w:sz w:val="18"/>
                <w:szCs w:val="18"/>
              </w:rPr>
            </w:pPr>
            <w:r>
              <w:rPr>
                <w:rFonts w:cs="Times New Roman"/>
                <w:color w:val="000000"/>
                <w:sz w:val="18"/>
                <w:szCs w:val="18"/>
              </w:rPr>
              <w:t>0.2</w:t>
            </w:r>
          </w:p>
        </w:tc>
        <w:tc>
          <w:tcPr>
            <w:tcW w:w="237" w:type="pct"/>
            <w:noWrap/>
            <w:vAlign w:val="center"/>
          </w:tcPr>
          <w:p w14:paraId="54C88680">
            <w:pPr>
              <w:pStyle w:val="133"/>
              <w:rPr>
                <w:rFonts w:cs="Times New Roman"/>
                <w:sz w:val="18"/>
                <w:szCs w:val="18"/>
              </w:rPr>
            </w:pPr>
            <w:r>
              <w:rPr>
                <w:rFonts w:cs="Times New Roman"/>
                <w:color w:val="000000"/>
                <w:sz w:val="18"/>
                <w:szCs w:val="18"/>
              </w:rPr>
              <w:t>0.1</w:t>
            </w:r>
          </w:p>
        </w:tc>
        <w:tc>
          <w:tcPr>
            <w:tcW w:w="237" w:type="pct"/>
            <w:vAlign w:val="center"/>
          </w:tcPr>
          <w:p w14:paraId="2BDCC27B">
            <w:pPr>
              <w:pStyle w:val="133"/>
              <w:rPr>
                <w:rFonts w:cs="Times New Roman"/>
                <w:sz w:val="18"/>
                <w:szCs w:val="18"/>
              </w:rPr>
            </w:pPr>
            <w:r>
              <w:rPr>
                <w:rFonts w:cs="Times New Roman"/>
                <w:color w:val="000000"/>
                <w:sz w:val="18"/>
                <w:szCs w:val="18"/>
              </w:rPr>
              <w:t>6.50E-08</w:t>
            </w:r>
          </w:p>
        </w:tc>
        <w:tc>
          <w:tcPr>
            <w:tcW w:w="233" w:type="pct"/>
            <w:vAlign w:val="center"/>
          </w:tcPr>
          <w:p w14:paraId="4F1DA453">
            <w:pPr>
              <w:pStyle w:val="133"/>
              <w:rPr>
                <w:rFonts w:cs="Times New Roman"/>
                <w:sz w:val="18"/>
                <w:szCs w:val="18"/>
              </w:rPr>
            </w:pPr>
          </w:p>
        </w:tc>
        <w:tc>
          <w:tcPr>
            <w:tcW w:w="233" w:type="pct"/>
            <w:vAlign w:val="center"/>
          </w:tcPr>
          <w:p w14:paraId="3F35F478">
            <w:pPr>
              <w:pStyle w:val="133"/>
              <w:rPr>
                <w:rFonts w:cs="Times New Roman"/>
                <w:sz w:val="18"/>
                <w:szCs w:val="18"/>
              </w:rPr>
            </w:pPr>
          </w:p>
        </w:tc>
        <w:tc>
          <w:tcPr>
            <w:tcW w:w="217" w:type="pct"/>
            <w:vAlign w:val="center"/>
          </w:tcPr>
          <w:p w14:paraId="13F08427">
            <w:pPr>
              <w:pStyle w:val="133"/>
              <w:rPr>
                <w:rFonts w:cs="Times New Roman"/>
                <w:sz w:val="18"/>
                <w:szCs w:val="18"/>
              </w:rPr>
            </w:pPr>
          </w:p>
        </w:tc>
        <w:tc>
          <w:tcPr>
            <w:tcW w:w="217" w:type="pct"/>
            <w:vAlign w:val="center"/>
          </w:tcPr>
          <w:p w14:paraId="276515F4">
            <w:pPr>
              <w:pStyle w:val="133"/>
              <w:rPr>
                <w:rFonts w:cs="Times New Roman"/>
                <w:sz w:val="18"/>
                <w:szCs w:val="18"/>
              </w:rPr>
            </w:pPr>
          </w:p>
        </w:tc>
        <w:tc>
          <w:tcPr>
            <w:tcW w:w="214" w:type="pct"/>
            <w:vAlign w:val="center"/>
          </w:tcPr>
          <w:p w14:paraId="6C0804F5">
            <w:pPr>
              <w:pStyle w:val="133"/>
              <w:rPr>
                <w:rFonts w:cs="Times New Roman"/>
                <w:sz w:val="18"/>
                <w:szCs w:val="18"/>
              </w:rPr>
            </w:pPr>
          </w:p>
        </w:tc>
      </w:tr>
      <w:tr w14:paraId="42096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6570FE64">
            <w:pPr>
              <w:pStyle w:val="133"/>
              <w:rPr>
                <w:rFonts w:cs="Times New Roman"/>
                <w:sz w:val="18"/>
                <w:szCs w:val="18"/>
              </w:rPr>
            </w:pPr>
            <w:r>
              <w:rPr>
                <w:rFonts w:cs="Times New Roman"/>
                <w:color w:val="000000"/>
                <w:sz w:val="18"/>
                <w:szCs w:val="18"/>
              </w:rPr>
              <w:t>4</w:t>
            </w:r>
          </w:p>
        </w:tc>
        <w:tc>
          <w:tcPr>
            <w:tcW w:w="611" w:type="pct"/>
            <w:noWrap/>
            <w:vAlign w:val="center"/>
          </w:tcPr>
          <w:p w14:paraId="3ADC1FC4">
            <w:pPr>
              <w:pStyle w:val="133"/>
              <w:rPr>
                <w:rFonts w:cs="Times New Roman"/>
                <w:sz w:val="18"/>
                <w:szCs w:val="18"/>
              </w:rPr>
            </w:pPr>
            <w:r>
              <w:rPr>
                <w:rFonts w:cs="Times New Roman"/>
                <w:color w:val="000000"/>
                <w:sz w:val="18"/>
                <w:szCs w:val="18"/>
              </w:rPr>
              <w:t>筛焦废气</w:t>
            </w:r>
          </w:p>
        </w:tc>
        <w:tc>
          <w:tcPr>
            <w:tcW w:w="294" w:type="pct"/>
            <w:vAlign w:val="center"/>
          </w:tcPr>
          <w:p w14:paraId="29BB6916">
            <w:pPr>
              <w:pStyle w:val="133"/>
              <w:rPr>
                <w:rFonts w:cs="Times New Roman"/>
                <w:sz w:val="18"/>
                <w:szCs w:val="18"/>
              </w:rPr>
            </w:pPr>
            <w:r>
              <w:rPr>
                <w:rFonts w:cs="Times New Roman"/>
                <w:color w:val="000000"/>
                <w:sz w:val="18"/>
                <w:szCs w:val="18"/>
              </w:rPr>
              <w:t>-195</w:t>
            </w:r>
          </w:p>
        </w:tc>
        <w:tc>
          <w:tcPr>
            <w:tcW w:w="294" w:type="pct"/>
            <w:vAlign w:val="center"/>
          </w:tcPr>
          <w:p w14:paraId="15BB4464">
            <w:pPr>
              <w:pStyle w:val="133"/>
              <w:rPr>
                <w:rFonts w:cs="Times New Roman"/>
                <w:sz w:val="18"/>
                <w:szCs w:val="18"/>
              </w:rPr>
            </w:pPr>
            <w:r>
              <w:rPr>
                <w:rFonts w:cs="Times New Roman"/>
                <w:color w:val="000000"/>
                <w:sz w:val="18"/>
                <w:szCs w:val="18"/>
              </w:rPr>
              <w:t>32</w:t>
            </w:r>
          </w:p>
        </w:tc>
        <w:tc>
          <w:tcPr>
            <w:tcW w:w="329" w:type="pct"/>
            <w:noWrap/>
            <w:vAlign w:val="center"/>
          </w:tcPr>
          <w:p w14:paraId="4C3B6A2C">
            <w:pPr>
              <w:pStyle w:val="133"/>
              <w:rPr>
                <w:rFonts w:cs="Times New Roman"/>
                <w:sz w:val="18"/>
                <w:szCs w:val="18"/>
              </w:rPr>
            </w:pPr>
            <w:r>
              <w:rPr>
                <w:rFonts w:cs="Times New Roman"/>
                <w:color w:val="000000"/>
                <w:sz w:val="18"/>
                <w:szCs w:val="18"/>
              </w:rPr>
              <w:t>15</w:t>
            </w:r>
          </w:p>
        </w:tc>
        <w:tc>
          <w:tcPr>
            <w:tcW w:w="326" w:type="pct"/>
            <w:noWrap/>
            <w:vAlign w:val="center"/>
          </w:tcPr>
          <w:p w14:paraId="1E64FC84">
            <w:pPr>
              <w:pStyle w:val="133"/>
              <w:rPr>
                <w:rFonts w:cs="Times New Roman"/>
                <w:sz w:val="18"/>
                <w:szCs w:val="18"/>
              </w:rPr>
            </w:pPr>
            <w:r>
              <w:rPr>
                <w:rFonts w:cs="Times New Roman"/>
                <w:color w:val="000000"/>
                <w:sz w:val="18"/>
                <w:szCs w:val="18"/>
              </w:rPr>
              <w:t>0.8</w:t>
            </w:r>
          </w:p>
        </w:tc>
        <w:tc>
          <w:tcPr>
            <w:tcW w:w="329" w:type="pct"/>
            <w:noWrap/>
            <w:vAlign w:val="center"/>
          </w:tcPr>
          <w:p w14:paraId="23382853">
            <w:pPr>
              <w:pStyle w:val="133"/>
              <w:rPr>
                <w:rFonts w:cs="Times New Roman"/>
                <w:sz w:val="18"/>
                <w:szCs w:val="18"/>
              </w:rPr>
            </w:pPr>
            <w:r>
              <w:rPr>
                <w:rFonts w:cs="Times New Roman"/>
                <w:color w:val="000000"/>
                <w:sz w:val="18"/>
                <w:szCs w:val="18"/>
              </w:rPr>
              <w:t>30</w:t>
            </w:r>
          </w:p>
        </w:tc>
        <w:tc>
          <w:tcPr>
            <w:tcW w:w="300" w:type="pct"/>
            <w:vAlign w:val="center"/>
          </w:tcPr>
          <w:p w14:paraId="3C6FBFDC">
            <w:pPr>
              <w:pStyle w:val="133"/>
              <w:rPr>
                <w:rFonts w:cs="Times New Roman"/>
                <w:sz w:val="18"/>
                <w:szCs w:val="18"/>
              </w:rPr>
            </w:pPr>
            <w:r>
              <w:rPr>
                <w:rFonts w:cs="Times New Roman"/>
                <w:color w:val="000000"/>
                <w:sz w:val="18"/>
                <w:szCs w:val="18"/>
              </w:rPr>
              <w:t>20000</w:t>
            </w:r>
          </w:p>
        </w:tc>
        <w:tc>
          <w:tcPr>
            <w:tcW w:w="237" w:type="pct"/>
            <w:vAlign w:val="center"/>
          </w:tcPr>
          <w:p w14:paraId="26202E3E">
            <w:pPr>
              <w:pStyle w:val="133"/>
              <w:rPr>
                <w:rFonts w:cs="Times New Roman"/>
                <w:sz w:val="18"/>
                <w:szCs w:val="18"/>
              </w:rPr>
            </w:pPr>
          </w:p>
        </w:tc>
        <w:tc>
          <w:tcPr>
            <w:tcW w:w="237" w:type="pct"/>
            <w:vAlign w:val="center"/>
          </w:tcPr>
          <w:p w14:paraId="3B9AD9C3">
            <w:pPr>
              <w:pStyle w:val="133"/>
              <w:rPr>
                <w:rFonts w:cs="Times New Roman"/>
                <w:sz w:val="18"/>
                <w:szCs w:val="18"/>
              </w:rPr>
            </w:pPr>
          </w:p>
        </w:tc>
        <w:tc>
          <w:tcPr>
            <w:tcW w:w="237" w:type="pct"/>
            <w:noWrap/>
            <w:vAlign w:val="center"/>
          </w:tcPr>
          <w:p w14:paraId="3EA0F47E">
            <w:pPr>
              <w:pStyle w:val="133"/>
              <w:rPr>
                <w:rFonts w:cs="Times New Roman"/>
                <w:sz w:val="18"/>
                <w:szCs w:val="18"/>
              </w:rPr>
            </w:pPr>
            <w:r>
              <w:rPr>
                <w:rFonts w:cs="Times New Roman"/>
                <w:color w:val="000000"/>
                <w:sz w:val="18"/>
                <w:szCs w:val="18"/>
              </w:rPr>
              <w:t>0.06</w:t>
            </w:r>
          </w:p>
        </w:tc>
        <w:tc>
          <w:tcPr>
            <w:tcW w:w="237" w:type="pct"/>
            <w:noWrap/>
            <w:vAlign w:val="center"/>
          </w:tcPr>
          <w:p w14:paraId="3FD059C5">
            <w:pPr>
              <w:pStyle w:val="133"/>
              <w:rPr>
                <w:rFonts w:cs="Times New Roman"/>
                <w:sz w:val="18"/>
                <w:szCs w:val="18"/>
              </w:rPr>
            </w:pPr>
            <w:r>
              <w:rPr>
                <w:rFonts w:cs="Times New Roman"/>
                <w:color w:val="000000"/>
                <w:sz w:val="18"/>
                <w:szCs w:val="18"/>
              </w:rPr>
              <w:t>0.03</w:t>
            </w:r>
          </w:p>
        </w:tc>
        <w:tc>
          <w:tcPr>
            <w:tcW w:w="237" w:type="pct"/>
            <w:vAlign w:val="center"/>
          </w:tcPr>
          <w:p w14:paraId="3710A5CC">
            <w:pPr>
              <w:pStyle w:val="133"/>
              <w:rPr>
                <w:rFonts w:cs="Times New Roman"/>
                <w:sz w:val="18"/>
                <w:szCs w:val="18"/>
              </w:rPr>
            </w:pPr>
          </w:p>
        </w:tc>
        <w:tc>
          <w:tcPr>
            <w:tcW w:w="233" w:type="pct"/>
            <w:vAlign w:val="center"/>
          </w:tcPr>
          <w:p w14:paraId="14B544AD">
            <w:pPr>
              <w:pStyle w:val="133"/>
              <w:rPr>
                <w:rFonts w:cs="Times New Roman"/>
                <w:sz w:val="18"/>
                <w:szCs w:val="18"/>
              </w:rPr>
            </w:pPr>
          </w:p>
        </w:tc>
        <w:tc>
          <w:tcPr>
            <w:tcW w:w="233" w:type="pct"/>
            <w:vAlign w:val="center"/>
          </w:tcPr>
          <w:p w14:paraId="091851DB">
            <w:pPr>
              <w:pStyle w:val="133"/>
              <w:rPr>
                <w:rFonts w:cs="Times New Roman"/>
                <w:sz w:val="18"/>
                <w:szCs w:val="18"/>
              </w:rPr>
            </w:pPr>
          </w:p>
        </w:tc>
        <w:tc>
          <w:tcPr>
            <w:tcW w:w="217" w:type="pct"/>
            <w:vAlign w:val="center"/>
          </w:tcPr>
          <w:p w14:paraId="0508EA19">
            <w:pPr>
              <w:pStyle w:val="133"/>
              <w:rPr>
                <w:rFonts w:cs="Times New Roman"/>
                <w:sz w:val="18"/>
                <w:szCs w:val="18"/>
              </w:rPr>
            </w:pPr>
          </w:p>
        </w:tc>
        <w:tc>
          <w:tcPr>
            <w:tcW w:w="217" w:type="pct"/>
            <w:vAlign w:val="center"/>
          </w:tcPr>
          <w:p w14:paraId="1676630A">
            <w:pPr>
              <w:pStyle w:val="133"/>
              <w:rPr>
                <w:rFonts w:cs="Times New Roman"/>
                <w:sz w:val="18"/>
                <w:szCs w:val="18"/>
              </w:rPr>
            </w:pPr>
          </w:p>
        </w:tc>
        <w:tc>
          <w:tcPr>
            <w:tcW w:w="214" w:type="pct"/>
            <w:vAlign w:val="center"/>
          </w:tcPr>
          <w:p w14:paraId="56C22B3B">
            <w:pPr>
              <w:pStyle w:val="133"/>
              <w:rPr>
                <w:rFonts w:cs="Times New Roman"/>
                <w:sz w:val="18"/>
                <w:szCs w:val="18"/>
              </w:rPr>
            </w:pPr>
          </w:p>
        </w:tc>
      </w:tr>
      <w:tr w14:paraId="52380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7D1A6287">
            <w:pPr>
              <w:pStyle w:val="133"/>
              <w:rPr>
                <w:rFonts w:cs="Times New Roman"/>
                <w:sz w:val="18"/>
                <w:szCs w:val="18"/>
              </w:rPr>
            </w:pPr>
            <w:r>
              <w:rPr>
                <w:rFonts w:cs="Times New Roman"/>
                <w:color w:val="000000"/>
                <w:sz w:val="18"/>
                <w:szCs w:val="18"/>
              </w:rPr>
              <w:t>5</w:t>
            </w:r>
          </w:p>
        </w:tc>
        <w:tc>
          <w:tcPr>
            <w:tcW w:w="611" w:type="pct"/>
            <w:noWrap/>
            <w:vAlign w:val="center"/>
          </w:tcPr>
          <w:p w14:paraId="7842C848">
            <w:pPr>
              <w:pStyle w:val="133"/>
              <w:rPr>
                <w:rFonts w:cs="Times New Roman"/>
                <w:sz w:val="18"/>
                <w:szCs w:val="18"/>
              </w:rPr>
            </w:pPr>
            <w:r>
              <w:rPr>
                <w:rFonts w:cs="Times New Roman"/>
                <w:color w:val="000000"/>
                <w:sz w:val="18"/>
                <w:szCs w:val="18"/>
              </w:rPr>
              <w:t>兰炭烘干废气</w:t>
            </w:r>
          </w:p>
        </w:tc>
        <w:tc>
          <w:tcPr>
            <w:tcW w:w="294" w:type="pct"/>
            <w:vAlign w:val="center"/>
          </w:tcPr>
          <w:p w14:paraId="350A5A15">
            <w:pPr>
              <w:pStyle w:val="133"/>
              <w:rPr>
                <w:rFonts w:cs="Times New Roman"/>
                <w:sz w:val="18"/>
                <w:szCs w:val="18"/>
              </w:rPr>
            </w:pPr>
            <w:r>
              <w:rPr>
                <w:rFonts w:cs="Times New Roman"/>
                <w:color w:val="000000"/>
                <w:sz w:val="18"/>
                <w:szCs w:val="18"/>
              </w:rPr>
              <w:t>-130</w:t>
            </w:r>
          </w:p>
        </w:tc>
        <w:tc>
          <w:tcPr>
            <w:tcW w:w="294" w:type="pct"/>
            <w:vAlign w:val="center"/>
          </w:tcPr>
          <w:p w14:paraId="692EAF11">
            <w:pPr>
              <w:pStyle w:val="133"/>
              <w:rPr>
                <w:rFonts w:cs="Times New Roman"/>
                <w:sz w:val="18"/>
                <w:szCs w:val="18"/>
              </w:rPr>
            </w:pPr>
            <w:r>
              <w:rPr>
                <w:rFonts w:cs="Times New Roman"/>
                <w:color w:val="000000"/>
                <w:sz w:val="18"/>
                <w:szCs w:val="18"/>
              </w:rPr>
              <w:t>65</w:t>
            </w:r>
          </w:p>
        </w:tc>
        <w:tc>
          <w:tcPr>
            <w:tcW w:w="329" w:type="pct"/>
            <w:noWrap/>
            <w:vAlign w:val="center"/>
          </w:tcPr>
          <w:p w14:paraId="3EFF1E68">
            <w:pPr>
              <w:pStyle w:val="133"/>
              <w:rPr>
                <w:rFonts w:cs="Times New Roman"/>
                <w:sz w:val="18"/>
                <w:szCs w:val="18"/>
              </w:rPr>
            </w:pPr>
            <w:r>
              <w:rPr>
                <w:rFonts w:cs="Times New Roman"/>
                <w:color w:val="000000"/>
                <w:sz w:val="18"/>
                <w:szCs w:val="18"/>
              </w:rPr>
              <w:t>25</w:t>
            </w:r>
          </w:p>
        </w:tc>
        <w:tc>
          <w:tcPr>
            <w:tcW w:w="326" w:type="pct"/>
            <w:noWrap/>
            <w:vAlign w:val="center"/>
          </w:tcPr>
          <w:p w14:paraId="5C3E3F97">
            <w:pPr>
              <w:pStyle w:val="133"/>
              <w:rPr>
                <w:rFonts w:cs="Times New Roman"/>
                <w:sz w:val="18"/>
                <w:szCs w:val="18"/>
              </w:rPr>
            </w:pPr>
            <w:r>
              <w:rPr>
                <w:rFonts w:cs="Times New Roman"/>
                <w:color w:val="000000"/>
                <w:sz w:val="18"/>
                <w:szCs w:val="18"/>
              </w:rPr>
              <w:t>1.4</w:t>
            </w:r>
          </w:p>
        </w:tc>
        <w:tc>
          <w:tcPr>
            <w:tcW w:w="329" w:type="pct"/>
            <w:noWrap/>
            <w:vAlign w:val="center"/>
          </w:tcPr>
          <w:p w14:paraId="5B1A6C74">
            <w:pPr>
              <w:pStyle w:val="133"/>
              <w:rPr>
                <w:rFonts w:cs="Times New Roman"/>
                <w:sz w:val="18"/>
                <w:szCs w:val="18"/>
              </w:rPr>
            </w:pPr>
            <w:r>
              <w:rPr>
                <w:rFonts w:cs="Times New Roman"/>
                <w:color w:val="000000"/>
                <w:sz w:val="18"/>
                <w:szCs w:val="18"/>
              </w:rPr>
              <w:t>70</w:t>
            </w:r>
          </w:p>
        </w:tc>
        <w:tc>
          <w:tcPr>
            <w:tcW w:w="300" w:type="pct"/>
            <w:vAlign w:val="center"/>
          </w:tcPr>
          <w:p w14:paraId="1FBF8DDC">
            <w:pPr>
              <w:pStyle w:val="133"/>
              <w:rPr>
                <w:rFonts w:cs="Times New Roman"/>
                <w:sz w:val="18"/>
                <w:szCs w:val="18"/>
              </w:rPr>
            </w:pPr>
            <w:r>
              <w:rPr>
                <w:rFonts w:cs="Times New Roman"/>
                <w:color w:val="000000"/>
                <w:sz w:val="18"/>
                <w:szCs w:val="18"/>
              </w:rPr>
              <w:t>30637</w:t>
            </w:r>
          </w:p>
        </w:tc>
        <w:tc>
          <w:tcPr>
            <w:tcW w:w="237" w:type="pct"/>
            <w:vAlign w:val="center"/>
          </w:tcPr>
          <w:p w14:paraId="12B20418">
            <w:pPr>
              <w:pStyle w:val="133"/>
              <w:rPr>
                <w:rFonts w:cs="Times New Roman"/>
                <w:sz w:val="18"/>
                <w:szCs w:val="18"/>
              </w:rPr>
            </w:pPr>
            <w:r>
              <w:rPr>
                <w:rFonts w:cs="Times New Roman"/>
                <w:color w:val="000000"/>
                <w:sz w:val="18"/>
                <w:szCs w:val="18"/>
              </w:rPr>
              <w:t>0.33</w:t>
            </w:r>
          </w:p>
        </w:tc>
        <w:tc>
          <w:tcPr>
            <w:tcW w:w="237" w:type="pct"/>
            <w:vAlign w:val="center"/>
          </w:tcPr>
          <w:p w14:paraId="5253D805">
            <w:pPr>
              <w:pStyle w:val="133"/>
              <w:rPr>
                <w:rFonts w:cs="Times New Roman"/>
                <w:sz w:val="18"/>
                <w:szCs w:val="18"/>
              </w:rPr>
            </w:pPr>
            <w:r>
              <w:rPr>
                <w:rFonts w:cs="Times New Roman"/>
                <w:color w:val="000000"/>
                <w:sz w:val="18"/>
                <w:szCs w:val="18"/>
              </w:rPr>
              <w:t>3.249</w:t>
            </w:r>
          </w:p>
        </w:tc>
        <w:tc>
          <w:tcPr>
            <w:tcW w:w="237" w:type="pct"/>
            <w:noWrap/>
            <w:vAlign w:val="center"/>
          </w:tcPr>
          <w:p w14:paraId="759326B5">
            <w:pPr>
              <w:pStyle w:val="133"/>
              <w:rPr>
                <w:rFonts w:cs="Times New Roman"/>
                <w:sz w:val="18"/>
                <w:szCs w:val="18"/>
              </w:rPr>
            </w:pPr>
            <w:r>
              <w:rPr>
                <w:rFonts w:cs="Times New Roman"/>
                <w:color w:val="000000"/>
                <w:sz w:val="18"/>
                <w:szCs w:val="18"/>
              </w:rPr>
              <w:t>0.04</w:t>
            </w:r>
          </w:p>
        </w:tc>
        <w:tc>
          <w:tcPr>
            <w:tcW w:w="237" w:type="pct"/>
            <w:noWrap/>
            <w:vAlign w:val="center"/>
          </w:tcPr>
          <w:p w14:paraId="2940E75D">
            <w:pPr>
              <w:pStyle w:val="133"/>
              <w:rPr>
                <w:rFonts w:cs="Times New Roman"/>
                <w:sz w:val="18"/>
                <w:szCs w:val="18"/>
              </w:rPr>
            </w:pPr>
            <w:r>
              <w:rPr>
                <w:rFonts w:cs="Times New Roman"/>
                <w:color w:val="000000"/>
                <w:sz w:val="18"/>
                <w:szCs w:val="18"/>
              </w:rPr>
              <w:t>0.02</w:t>
            </w:r>
          </w:p>
        </w:tc>
        <w:tc>
          <w:tcPr>
            <w:tcW w:w="237" w:type="pct"/>
            <w:vAlign w:val="center"/>
          </w:tcPr>
          <w:p w14:paraId="39F8AD22">
            <w:pPr>
              <w:pStyle w:val="133"/>
              <w:rPr>
                <w:rFonts w:cs="Times New Roman"/>
                <w:sz w:val="18"/>
                <w:szCs w:val="18"/>
              </w:rPr>
            </w:pPr>
          </w:p>
        </w:tc>
        <w:tc>
          <w:tcPr>
            <w:tcW w:w="233" w:type="pct"/>
            <w:vAlign w:val="center"/>
          </w:tcPr>
          <w:p w14:paraId="1416BCBC">
            <w:pPr>
              <w:pStyle w:val="133"/>
              <w:rPr>
                <w:rFonts w:cs="Times New Roman"/>
                <w:sz w:val="18"/>
                <w:szCs w:val="18"/>
              </w:rPr>
            </w:pPr>
          </w:p>
        </w:tc>
        <w:tc>
          <w:tcPr>
            <w:tcW w:w="233" w:type="pct"/>
            <w:vAlign w:val="center"/>
          </w:tcPr>
          <w:p w14:paraId="4753216F">
            <w:pPr>
              <w:pStyle w:val="133"/>
              <w:rPr>
                <w:rFonts w:cs="Times New Roman"/>
                <w:sz w:val="18"/>
                <w:szCs w:val="18"/>
              </w:rPr>
            </w:pPr>
          </w:p>
        </w:tc>
        <w:tc>
          <w:tcPr>
            <w:tcW w:w="217" w:type="pct"/>
            <w:vAlign w:val="center"/>
          </w:tcPr>
          <w:p w14:paraId="5B366E72">
            <w:pPr>
              <w:pStyle w:val="133"/>
              <w:rPr>
                <w:rFonts w:cs="Times New Roman"/>
                <w:sz w:val="18"/>
                <w:szCs w:val="18"/>
              </w:rPr>
            </w:pPr>
          </w:p>
        </w:tc>
        <w:tc>
          <w:tcPr>
            <w:tcW w:w="217" w:type="pct"/>
            <w:vAlign w:val="center"/>
          </w:tcPr>
          <w:p w14:paraId="3A627D38">
            <w:pPr>
              <w:pStyle w:val="133"/>
              <w:rPr>
                <w:rFonts w:cs="Times New Roman"/>
                <w:sz w:val="18"/>
                <w:szCs w:val="18"/>
              </w:rPr>
            </w:pPr>
          </w:p>
        </w:tc>
        <w:tc>
          <w:tcPr>
            <w:tcW w:w="214" w:type="pct"/>
            <w:vAlign w:val="center"/>
          </w:tcPr>
          <w:p w14:paraId="6F6AA130">
            <w:pPr>
              <w:pStyle w:val="133"/>
              <w:rPr>
                <w:rFonts w:cs="Times New Roman"/>
                <w:sz w:val="18"/>
                <w:szCs w:val="18"/>
              </w:rPr>
            </w:pPr>
          </w:p>
        </w:tc>
      </w:tr>
      <w:tr w14:paraId="12288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4A0E8A7C">
            <w:pPr>
              <w:pStyle w:val="133"/>
              <w:rPr>
                <w:rFonts w:cs="Times New Roman"/>
                <w:sz w:val="18"/>
                <w:szCs w:val="18"/>
              </w:rPr>
            </w:pPr>
            <w:r>
              <w:rPr>
                <w:rFonts w:cs="Times New Roman"/>
                <w:color w:val="000000"/>
                <w:sz w:val="18"/>
                <w:szCs w:val="18"/>
              </w:rPr>
              <w:t>6</w:t>
            </w:r>
          </w:p>
        </w:tc>
        <w:tc>
          <w:tcPr>
            <w:tcW w:w="611" w:type="pct"/>
            <w:noWrap/>
            <w:vAlign w:val="center"/>
          </w:tcPr>
          <w:p w14:paraId="2AE39C6D">
            <w:pPr>
              <w:pStyle w:val="133"/>
              <w:rPr>
                <w:rFonts w:cs="Times New Roman"/>
                <w:sz w:val="18"/>
                <w:szCs w:val="18"/>
              </w:rPr>
            </w:pPr>
            <w:r>
              <w:rPr>
                <w:rFonts w:cs="Times New Roman"/>
                <w:color w:val="000000"/>
                <w:sz w:val="18"/>
                <w:szCs w:val="18"/>
              </w:rPr>
              <w:t>兰炭筛分废气</w:t>
            </w:r>
          </w:p>
        </w:tc>
        <w:tc>
          <w:tcPr>
            <w:tcW w:w="294" w:type="pct"/>
            <w:vAlign w:val="center"/>
          </w:tcPr>
          <w:p w14:paraId="78F4D238">
            <w:pPr>
              <w:pStyle w:val="133"/>
              <w:rPr>
                <w:rFonts w:cs="Times New Roman"/>
                <w:sz w:val="18"/>
                <w:szCs w:val="18"/>
              </w:rPr>
            </w:pPr>
            <w:r>
              <w:rPr>
                <w:rFonts w:cs="Times New Roman"/>
                <w:color w:val="000000"/>
                <w:sz w:val="18"/>
                <w:szCs w:val="18"/>
              </w:rPr>
              <w:t>-97</w:t>
            </w:r>
          </w:p>
        </w:tc>
        <w:tc>
          <w:tcPr>
            <w:tcW w:w="294" w:type="pct"/>
            <w:vAlign w:val="center"/>
          </w:tcPr>
          <w:p w14:paraId="63319944">
            <w:pPr>
              <w:pStyle w:val="133"/>
              <w:rPr>
                <w:rFonts w:cs="Times New Roman"/>
                <w:sz w:val="18"/>
                <w:szCs w:val="18"/>
              </w:rPr>
            </w:pPr>
            <w:r>
              <w:rPr>
                <w:rFonts w:cs="Times New Roman"/>
                <w:color w:val="000000"/>
                <w:sz w:val="18"/>
                <w:szCs w:val="18"/>
              </w:rPr>
              <w:t>32</w:t>
            </w:r>
          </w:p>
        </w:tc>
        <w:tc>
          <w:tcPr>
            <w:tcW w:w="329" w:type="pct"/>
            <w:noWrap/>
            <w:vAlign w:val="center"/>
          </w:tcPr>
          <w:p w14:paraId="00D1A757">
            <w:pPr>
              <w:pStyle w:val="133"/>
              <w:rPr>
                <w:rFonts w:cs="Times New Roman"/>
                <w:sz w:val="18"/>
                <w:szCs w:val="18"/>
              </w:rPr>
            </w:pPr>
            <w:r>
              <w:rPr>
                <w:rFonts w:cs="Times New Roman"/>
                <w:color w:val="000000"/>
                <w:sz w:val="18"/>
                <w:szCs w:val="18"/>
              </w:rPr>
              <w:t>15</w:t>
            </w:r>
          </w:p>
        </w:tc>
        <w:tc>
          <w:tcPr>
            <w:tcW w:w="326" w:type="pct"/>
            <w:noWrap/>
            <w:vAlign w:val="center"/>
          </w:tcPr>
          <w:p w14:paraId="060D5BB9">
            <w:pPr>
              <w:pStyle w:val="133"/>
              <w:rPr>
                <w:rFonts w:cs="Times New Roman"/>
                <w:sz w:val="18"/>
                <w:szCs w:val="18"/>
              </w:rPr>
            </w:pPr>
            <w:r>
              <w:rPr>
                <w:rFonts w:cs="Times New Roman"/>
                <w:color w:val="000000"/>
                <w:sz w:val="18"/>
                <w:szCs w:val="18"/>
              </w:rPr>
              <w:t>0.8</w:t>
            </w:r>
          </w:p>
        </w:tc>
        <w:tc>
          <w:tcPr>
            <w:tcW w:w="329" w:type="pct"/>
            <w:noWrap/>
            <w:vAlign w:val="center"/>
          </w:tcPr>
          <w:p w14:paraId="498474A4">
            <w:pPr>
              <w:pStyle w:val="133"/>
              <w:rPr>
                <w:rFonts w:cs="Times New Roman"/>
                <w:sz w:val="18"/>
                <w:szCs w:val="18"/>
              </w:rPr>
            </w:pPr>
            <w:r>
              <w:rPr>
                <w:rFonts w:cs="Times New Roman"/>
                <w:color w:val="000000"/>
                <w:sz w:val="18"/>
                <w:szCs w:val="18"/>
              </w:rPr>
              <w:t>40</w:t>
            </w:r>
          </w:p>
        </w:tc>
        <w:tc>
          <w:tcPr>
            <w:tcW w:w="300" w:type="pct"/>
            <w:vAlign w:val="center"/>
          </w:tcPr>
          <w:p w14:paraId="797B91E5">
            <w:pPr>
              <w:pStyle w:val="133"/>
              <w:rPr>
                <w:rFonts w:cs="Times New Roman"/>
                <w:sz w:val="18"/>
                <w:szCs w:val="18"/>
              </w:rPr>
            </w:pPr>
            <w:r>
              <w:rPr>
                <w:rFonts w:cs="Times New Roman"/>
                <w:color w:val="000000"/>
                <w:sz w:val="18"/>
                <w:szCs w:val="18"/>
              </w:rPr>
              <w:t>18906</w:t>
            </w:r>
          </w:p>
        </w:tc>
        <w:tc>
          <w:tcPr>
            <w:tcW w:w="237" w:type="pct"/>
            <w:vAlign w:val="center"/>
          </w:tcPr>
          <w:p w14:paraId="149908BD">
            <w:pPr>
              <w:pStyle w:val="133"/>
              <w:rPr>
                <w:rFonts w:cs="Times New Roman"/>
                <w:sz w:val="18"/>
                <w:szCs w:val="18"/>
              </w:rPr>
            </w:pPr>
          </w:p>
        </w:tc>
        <w:tc>
          <w:tcPr>
            <w:tcW w:w="237" w:type="pct"/>
            <w:vAlign w:val="center"/>
          </w:tcPr>
          <w:p w14:paraId="4DF0E897">
            <w:pPr>
              <w:pStyle w:val="133"/>
              <w:rPr>
                <w:rFonts w:cs="Times New Roman"/>
                <w:sz w:val="18"/>
                <w:szCs w:val="18"/>
              </w:rPr>
            </w:pPr>
          </w:p>
        </w:tc>
        <w:tc>
          <w:tcPr>
            <w:tcW w:w="237" w:type="pct"/>
            <w:noWrap/>
            <w:vAlign w:val="center"/>
          </w:tcPr>
          <w:p w14:paraId="2E17CFF5">
            <w:pPr>
              <w:pStyle w:val="133"/>
              <w:rPr>
                <w:rFonts w:cs="Times New Roman"/>
                <w:sz w:val="18"/>
                <w:szCs w:val="18"/>
              </w:rPr>
            </w:pPr>
            <w:r>
              <w:rPr>
                <w:rFonts w:cs="Times New Roman"/>
                <w:color w:val="000000"/>
                <w:sz w:val="18"/>
                <w:szCs w:val="18"/>
              </w:rPr>
              <w:t>0.124</w:t>
            </w:r>
          </w:p>
        </w:tc>
        <w:tc>
          <w:tcPr>
            <w:tcW w:w="237" w:type="pct"/>
            <w:noWrap/>
            <w:vAlign w:val="center"/>
          </w:tcPr>
          <w:p w14:paraId="6291C172">
            <w:pPr>
              <w:pStyle w:val="133"/>
              <w:rPr>
                <w:rFonts w:cs="Times New Roman"/>
                <w:sz w:val="18"/>
                <w:szCs w:val="18"/>
              </w:rPr>
            </w:pPr>
            <w:r>
              <w:rPr>
                <w:rFonts w:cs="Times New Roman"/>
                <w:color w:val="000000"/>
                <w:sz w:val="18"/>
                <w:szCs w:val="18"/>
              </w:rPr>
              <w:t>0.062</w:t>
            </w:r>
          </w:p>
        </w:tc>
        <w:tc>
          <w:tcPr>
            <w:tcW w:w="237" w:type="pct"/>
            <w:vAlign w:val="center"/>
          </w:tcPr>
          <w:p w14:paraId="0CB70B48">
            <w:pPr>
              <w:pStyle w:val="133"/>
              <w:rPr>
                <w:rFonts w:cs="Times New Roman"/>
                <w:sz w:val="18"/>
                <w:szCs w:val="18"/>
              </w:rPr>
            </w:pPr>
          </w:p>
        </w:tc>
        <w:tc>
          <w:tcPr>
            <w:tcW w:w="233" w:type="pct"/>
            <w:vAlign w:val="center"/>
          </w:tcPr>
          <w:p w14:paraId="65388CF7">
            <w:pPr>
              <w:pStyle w:val="133"/>
              <w:rPr>
                <w:rFonts w:cs="Times New Roman"/>
                <w:sz w:val="18"/>
                <w:szCs w:val="18"/>
              </w:rPr>
            </w:pPr>
          </w:p>
        </w:tc>
        <w:tc>
          <w:tcPr>
            <w:tcW w:w="233" w:type="pct"/>
            <w:vAlign w:val="center"/>
          </w:tcPr>
          <w:p w14:paraId="4584C855">
            <w:pPr>
              <w:pStyle w:val="133"/>
              <w:rPr>
                <w:rFonts w:cs="Times New Roman"/>
                <w:sz w:val="18"/>
                <w:szCs w:val="18"/>
              </w:rPr>
            </w:pPr>
          </w:p>
        </w:tc>
        <w:tc>
          <w:tcPr>
            <w:tcW w:w="217" w:type="pct"/>
            <w:vAlign w:val="center"/>
          </w:tcPr>
          <w:p w14:paraId="12062E3D">
            <w:pPr>
              <w:pStyle w:val="133"/>
              <w:rPr>
                <w:rFonts w:cs="Times New Roman"/>
                <w:sz w:val="18"/>
                <w:szCs w:val="18"/>
              </w:rPr>
            </w:pPr>
          </w:p>
        </w:tc>
        <w:tc>
          <w:tcPr>
            <w:tcW w:w="217" w:type="pct"/>
            <w:vAlign w:val="center"/>
          </w:tcPr>
          <w:p w14:paraId="3F0F6CAC">
            <w:pPr>
              <w:pStyle w:val="133"/>
              <w:rPr>
                <w:rFonts w:cs="Times New Roman"/>
                <w:sz w:val="18"/>
                <w:szCs w:val="18"/>
              </w:rPr>
            </w:pPr>
          </w:p>
        </w:tc>
        <w:tc>
          <w:tcPr>
            <w:tcW w:w="214" w:type="pct"/>
            <w:vAlign w:val="center"/>
          </w:tcPr>
          <w:p w14:paraId="4DC8E70A">
            <w:pPr>
              <w:pStyle w:val="133"/>
              <w:rPr>
                <w:rFonts w:cs="Times New Roman"/>
                <w:sz w:val="18"/>
                <w:szCs w:val="18"/>
              </w:rPr>
            </w:pPr>
          </w:p>
        </w:tc>
      </w:tr>
      <w:tr w14:paraId="31E7E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37CEA366">
            <w:pPr>
              <w:pStyle w:val="133"/>
              <w:rPr>
                <w:rFonts w:cs="Times New Roman"/>
                <w:sz w:val="18"/>
                <w:szCs w:val="18"/>
              </w:rPr>
            </w:pPr>
            <w:r>
              <w:rPr>
                <w:rFonts w:cs="Times New Roman"/>
                <w:color w:val="000000"/>
                <w:sz w:val="18"/>
                <w:szCs w:val="18"/>
              </w:rPr>
              <w:t>7</w:t>
            </w:r>
          </w:p>
        </w:tc>
        <w:tc>
          <w:tcPr>
            <w:tcW w:w="611" w:type="pct"/>
            <w:noWrap/>
            <w:vAlign w:val="center"/>
          </w:tcPr>
          <w:p w14:paraId="0D5F4897">
            <w:pPr>
              <w:pStyle w:val="133"/>
              <w:rPr>
                <w:rFonts w:cs="Times New Roman"/>
                <w:sz w:val="18"/>
                <w:szCs w:val="18"/>
              </w:rPr>
            </w:pPr>
            <w:r>
              <w:rPr>
                <w:rFonts w:cs="Times New Roman"/>
                <w:color w:val="000000"/>
                <w:sz w:val="18"/>
                <w:szCs w:val="18"/>
              </w:rPr>
              <w:t>焚烧炉烟气</w:t>
            </w:r>
          </w:p>
        </w:tc>
        <w:tc>
          <w:tcPr>
            <w:tcW w:w="294" w:type="pct"/>
            <w:vAlign w:val="center"/>
          </w:tcPr>
          <w:p w14:paraId="1B7075BD">
            <w:pPr>
              <w:pStyle w:val="133"/>
              <w:rPr>
                <w:rFonts w:cs="Times New Roman"/>
                <w:sz w:val="18"/>
                <w:szCs w:val="18"/>
              </w:rPr>
            </w:pPr>
            <w:r>
              <w:rPr>
                <w:rFonts w:cs="Times New Roman"/>
                <w:color w:val="000000"/>
                <w:sz w:val="18"/>
                <w:szCs w:val="18"/>
              </w:rPr>
              <w:t>-32</w:t>
            </w:r>
          </w:p>
        </w:tc>
        <w:tc>
          <w:tcPr>
            <w:tcW w:w="294" w:type="pct"/>
            <w:vAlign w:val="center"/>
          </w:tcPr>
          <w:p w14:paraId="4461A5EE">
            <w:pPr>
              <w:pStyle w:val="133"/>
              <w:rPr>
                <w:rFonts w:cs="Times New Roman"/>
                <w:sz w:val="18"/>
                <w:szCs w:val="18"/>
              </w:rPr>
            </w:pPr>
            <w:r>
              <w:rPr>
                <w:rFonts w:cs="Times New Roman"/>
                <w:color w:val="000000"/>
                <w:sz w:val="18"/>
                <w:szCs w:val="18"/>
              </w:rPr>
              <w:t>227</w:t>
            </w:r>
          </w:p>
        </w:tc>
        <w:tc>
          <w:tcPr>
            <w:tcW w:w="329" w:type="pct"/>
            <w:noWrap/>
            <w:vAlign w:val="center"/>
          </w:tcPr>
          <w:p w14:paraId="7127863B">
            <w:pPr>
              <w:pStyle w:val="133"/>
              <w:rPr>
                <w:rFonts w:cs="Times New Roman"/>
                <w:sz w:val="18"/>
                <w:szCs w:val="18"/>
              </w:rPr>
            </w:pPr>
            <w:r>
              <w:rPr>
                <w:rFonts w:cs="Times New Roman"/>
                <w:color w:val="000000"/>
                <w:sz w:val="18"/>
                <w:szCs w:val="18"/>
              </w:rPr>
              <w:t>15</w:t>
            </w:r>
          </w:p>
        </w:tc>
        <w:tc>
          <w:tcPr>
            <w:tcW w:w="326" w:type="pct"/>
            <w:noWrap/>
            <w:vAlign w:val="center"/>
          </w:tcPr>
          <w:p w14:paraId="14557F6B">
            <w:pPr>
              <w:pStyle w:val="133"/>
              <w:rPr>
                <w:rFonts w:cs="Times New Roman"/>
                <w:sz w:val="18"/>
                <w:szCs w:val="18"/>
              </w:rPr>
            </w:pPr>
            <w:r>
              <w:rPr>
                <w:rFonts w:cs="Times New Roman"/>
                <w:color w:val="000000"/>
                <w:sz w:val="18"/>
                <w:szCs w:val="18"/>
              </w:rPr>
              <w:t>1.2</w:t>
            </w:r>
          </w:p>
        </w:tc>
        <w:tc>
          <w:tcPr>
            <w:tcW w:w="329" w:type="pct"/>
            <w:noWrap/>
            <w:vAlign w:val="center"/>
          </w:tcPr>
          <w:p w14:paraId="2F05FA9F">
            <w:pPr>
              <w:pStyle w:val="133"/>
              <w:rPr>
                <w:rFonts w:cs="Times New Roman"/>
                <w:sz w:val="18"/>
                <w:szCs w:val="18"/>
              </w:rPr>
            </w:pPr>
            <w:r>
              <w:rPr>
                <w:rFonts w:cs="Times New Roman"/>
                <w:color w:val="000000"/>
                <w:sz w:val="18"/>
                <w:szCs w:val="18"/>
              </w:rPr>
              <w:t>70</w:t>
            </w:r>
          </w:p>
        </w:tc>
        <w:tc>
          <w:tcPr>
            <w:tcW w:w="300" w:type="pct"/>
            <w:vAlign w:val="center"/>
          </w:tcPr>
          <w:p w14:paraId="136C7BEF">
            <w:pPr>
              <w:pStyle w:val="133"/>
              <w:rPr>
                <w:rFonts w:cs="Times New Roman"/>
                <w:sz w:val="18"/>
                <w:szCs w:val="18"/>
              </w:rPr>
            </w:pPr>
            <w:r>
              <w:rPr>
                <w:rFonts w:cs="Times New Roman"/>
                <w:color w:val="000000"/>
                <w:sz w:val="18"/>
                <w:szCs w:val="18"/>
              </w:rPr>
              <w:t>65057</w:t>
            </w:r>
          </w:p>
        </w:tc>
        <w:tc>
          <w:tcPr>
            <w:tcW w:w="237" w:type="pct"/>
            <w:vAlign w:val="center"/>
          </w:tcPr>
          <w:p w14:paraId="43DB2EF4">
            <w:pPr>
              <w:pStyle w:val="133"/>
              <w:rPr>
                <w:rFonts w:cs="Times New Roman"/>
                <w:sz w:val="18"/>
                <w:szCs w:val="18"/>
              </w:rPr>
            </w:pPr>
            <w:r>
              <w:rPr>
                <w:rFonts w:cs="Times New Roman"/>
                <w:color w:val="000000"/>
                <w:sz w:val="18"/>
                <w:szCs w:val="18"/>
              </w:rPr>
              <w:t>1.8</w:t>
            </w:r>
          </w:p>
        </w:tc>
        <w:tc>
          <w:tcPr>
            <w:tcW w:w="237" w:type="pct"/>
            <w:vAlign w:val="center"/>
          </w:tcPr>
          <w:p w14:paraId="4AA52A25">
            <w:pPr>
              <w:pStyle w:val="133"/>
              <w:rPr>
                <w:rFonts w:cs="Times New Roman"/>
                <w:sz w:val="18"/>
                <w:szCs w:val="18"/>
              </w:rPr>
            </w:pPr>
            <w:r>
              <w:rPr>
                <w:rFonts w:cs="Times New Roman"/>
                <w:color w:val="000000"/>
                <w:sz w:val="18"/>
                <w:szCs w:val="18"/>
              </w:rPr>
              <w:t>8.784</w:t>
            </w:r>
          </w:p>
        </w:tc>
        <w:tc>
          <w:tcPr>
            <w:tcW w:w="237" w:type="pct"/>
            <w:noWrap/>
            <w:vAlign w:val="center"/>
          </w:tcPr>
          <w:p w14:paraId="3D4EAFAC">
            <w:pPr>
              <w:pStyle w:val="133"/>
              <w:rPr>
                <w:rFonts w:cs="Times New Roman"/>
                <w:sz w:val="18"/>
                <w:szCs w:val="18"/>
              </w:rPr>
            </w:pPr>
            <w:r>
              <w:rPr>
                <w:rFonts w:cs="Times New Roman"/>
                <w:color w:val="000000"/>
                <w:sz w:val="18"/>
                <w:szCs w:val="18"/>
              </w:rPr>
              <w:t>0.5</w:t>
            </w:r>
          </w:p>
        </w:tc>
        <w:tc>
          <w:tcPr>
            <w:tcW w:w="237" w:type="pct"/>
            <w:noWrap/>
            <w:vAlign w:val="center"/>
          </w:tcPr>
          <w:p w14:paraId="0EB63859">
            <w:pPr>
              <w:pStyle w:val="133"/>
              <w:rPr>
                <w:rFonts w:cs="Times New Roman"/>
                <w:sz w:val="18"/>
                <w:szCs w:val="18"/>
              </w:rPr>
            </w:pPr>
            <w:r>
              <w:rPr>
                <w:rFonts w:cs="Times New Roman"/>
                <w:color w:val="000000"/>
                <w:sz w:val="18"/>
                <w:szCs w:val="18"/>
              </w:rPr>
              <w:t>0.25</w:t>
            </w:r>
          </w:p>
        </w:tc>
        <w:tc>
          <w:tcPr>
            <w:tcW w:w="237" w:type="pct"/>
            <w:vAlign w:val="center"/>
          </w:tcPr>
          <w:p w14:paraId="7F9C6028">
            <w:pPr>
              <w:pStyle w:val="133"/>
              <w:rPr>
                <w:rFonts w:cs="Times New Roman"/>
                <w:sz w:val="18"/>
                <w:szCs w:val="18"/>
              </w:rPr>
            </w:pPr>
          </w:p>
        </w:tc>
        <w:tc>
          <w:tcPr>
            <w:tcW w:w="233" w:type="pct"/>
            <w:vAlign w:val="center"/>
          </w:tcPr>
          <w:p w14:paraId="2D21D6B8">
            <w:pPr>
              <w:pStyle w:val="133"/>
              <w:rPr>
                <w:rFonts w:cs="Times New Roman"/>
                <w:sz w:val="18"/>
                <w:szCs w:val="18"/>
              </w:rPr>
            </w:pPr>
          </w:p>
        </w:tc>
        <w:tc>
          <w:tcPr>
            <w:tcW w:w="233" w:type="pct"/>
            <w:vAlign w:val="center"/>
          </w:tcPr>
          <w:p w14:paraId="063711CF">
            <w:pPr>
              <w:pStyle w:val="133"/>
              <w:rPr>
                <w:rFonts w:cs="Times New Roman"/>
                <w:sz w:val="18"/>
                <w:szCs w:val="18"/>
              </w:rPr>
            </w:pPr>
          </w:p>
        </w:tc>
        <w:tc>
          <w:tcPr>
            <w:tcW w:w="217" w:type="pct"/>
            <w:vAlign w:val="center"/>
          </w:tcPr>
          <w:p w14:paraId="09B2F830">
            <w:pPr>
              <w:pStyle w:val="133"/>
              <w:rPr>
                <w:rFonts w:cs="Times New Roman"/>
                <w:sz w:val="18"/>
                <w:szCs w:val="18"/>
              </w:rPr>
            </w:pPr>
          </w:p>
        </w:tc>
        <w:tc>
          <w:tcPr>
            <w:tcW w:w="217" w:type="pct"/>
            <w:vAlign w:val="center"/>
          </w:tcPr>
          <w:p w14:paraId="4D74F768">
            <w:pPr>
              <w:pStyle w:val="133"/>
              <w:rPr>
                <w:rFonts w:cs="Times New Roman"/>
                <w:sz w:val="18"/>
                <w:szCs w:val="18"/>
              </w:rPr>
            </w:pPr>
          </w:p>
        </w:tc>
        <w:tc>
          <w:tcPr>
            <w:tcW w:w="214" w:type="pct"/>
            <w:vAlign w:val="center"/>
          </w:tcPr>
          <w:p w14:paraId="1B442E38">
            <w:pPr>
              <w:pStyle w:val="133"/>
              <w:rPr>
                <w:rFonts w:cs="Times New Roman"/>
                <w:sz w:val="18"/>
                <w:szCs w:val="18"/>
              </w:rPr>
            </w:pPr>
          </w:p>
        </w:tc>
      </w:tr>
      <w:tr w14:paraId="1D249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29DEC5B4">
            <w:pPr>
              <w:pStyle w:val="133"/>
              <w:rPr>
                <w:rFonts w:cs="Times New Roman"/>
                <w:sz w:val="18"/>
                <w:szCs w:val="18"/>
              </w:rPr>
            </w:pPr>
            <w:r>
              <w:rPr>
                <w:rFonts w:cs="Times New Roman"/>
                <w:color w:val="000000"/>
                <w:sz w:val="18"/>
                <w:szCs w:val="18"/>
              </w:rPr>
              <w:t>8</w:t>
            </w:r>
          </w:p>
        </w:tc>
        <w:tc>
          <w:tcPr>
            <w:tcW w:w="611" w:type="pct"/>
            <w:noWrap/>
            <w:vAlign w:val="center"/>
          </w:tcPr>
          <w:p w14:paraId="62534210">
            <w:pPr>
              <w:pStyle w:val="133"/>
              <w:rPr>
                <w:rFonts w:cs="Times New Roman"/>
                <w:sz w:val="18"/>
                <w:szCs w:val="18"/>
              </w:rPr>
            </w:pPr>
            <w:r>
              <w:rPr>
                <w:rFonts w:cs="Times New Roman"/>
                <w:color w:val="000000"/>
                <w:sz w:val="18"/>
                <w:szCs w:val="18"/>
              </w:rPr>
              <w:t>1#有机废气处理</w:t>
            </w:r>
          </w:p>
        </w:tc>
        <w:tc>
          <w:tcPr>
            <w:tcW w:w="294" w:type="pct"/>
            <w:vAlign w:val="center"/>
          </w:tcPr>
          <w:p w14:paraId="2F1A3814">
            <w:pPr>
              <w:pStyle w:val="133"/>
              <w:rPr>
                <w:rFonts w:cs="Times New Roman"/>
                <w:sz w:val="18"/>
                <w:szCs w:val="18"/>
              </w:rPr>
            </w:pPr>
            <w:r>
              <w:rPr>
                <w:rFonts w:cs="Times New Roman"/>
                <w:color w:val="000000"/>
                <w:sz w:val="18"/>
                <w:szCs w:val="18"/>
              </w:rPr>
              <w:t>-65</w:t>
            </w:r>
          </w:p>
        </w:tc>
        <w:tc>
          <w:tcPr>
            <w:tcW w:w="294" w:type="pct"/>
            <w:vAlign w:val="center"/>
          </w:tcPr>
          <w:p w14:paraId="1BE6300F">
            <w:pPr>
              <w:pStyle w:val="133"/>
              <w:rPr>
                <w:rFonts w:cs="Times New Roman"/>
                <w:sz w:val="18"/>
                <w:szCs w:val="18"/>
              </w:rPr>
            </w:pPr>
            <w:r>
              <w:rPr>
                <w:rFonts w:cs="Times New Roman"/>
                <w:color w:val="000000"/>
                <w:sz w:val="18"/>
                <w:szCs w:val="18"/>
              </w:rPr>
              <w:t>130</w:t>
            </w:r>
          </w:p>
        </w:tc>
        <w:tc>
          <w:tcPr>
            <w:tcW w:w="329" w:type="pct"/>
            <w:noWrap/>
            <w:vAlign w:val="center"/>
          </w:tcPr>
          <w:p w14:paraId="68CE6C4A">
            <w:pPr>
              <w:pStyle w:val="133"/>
              <w:rPr>
                <w:rFonts w:cs="Times New Roman"/>
                <w:sz w:val="18"/>
                <w:szCs w:val="18"/>
              </w:rPr>
            </w:pPr>
            <w:r>
              <w:rPr>
                <w:rFonts w:cs="Times New Roman"/>
                <w:color w:val="000000"/>
                <w:sz w:val="18"/>
                <w:szCs w:val="18"/>
              </w:rPr>
              <w:t>25</w:t>
            </w:r>
          </w:p>
        </w:tc>
        <w:tc>
          <w:tcPr>
            <w:tcW w:w="326" w:type="pct"/>
            <w:noWrap/>
            <w:vAlign w:val="center"/>
          </w:tcPr>
          <w:p w14:paraId="521D3F9A">
            <w:pPr>
              <w:pStyle w:val="133"/>
              <w:rPr>
                <w:rFonts w:cs="Times New Roman"/>
                <w:sz w:val="18"/>
                <w:szCs w:val="18"/>
              </w:rPr>
            </w:pPr>
            <w:r>
              <w:rPr>
                <w:rFonts w:cs="Times New Roman"/>
                <w:color w:val="000000"/>
                <w:sz w:val="18"/>
                <w:szCs w:val="18"/>
              </w:rPr>
              <w:t>1</w:t>
            </w:r>
          </w:p>
        </w:tc>
        <w:tc>
          <w:tcPr>
            <w:tcW w:w="329" w:type="pct"/>
            <w:noWrap/>
            <w:vAlign w:val="center"/>
          </w:tcPr>
          <w:p w14:paraId="471DE64A">
            <w:pPr>
              <w:pStyle w:val="133"/>
              <w:rPr>
                <w:rFonts w:cs="Times New Roman"/>
                <w:sz w:val="18"/>
                <w:szCs w:val="18"/>
              </w:rPr>
            </w:pPr>
            <w:r>
              <w:rPr>
                <w:rFonts w:cs="Times New Roman"/>
                <w:color w:val="000000"/>
                <w:sz w:val="18"/>
                <w:szCs w:val="18"/>
              </w:rPr>
              <w:t>70</w:t>
            </w:r>
          </w:p>
        </w:tc>
        <w:tc>
          <w:tcPr>
            <w:tcW w:w="300" w:type="pct"/>
            <w:vAlign w:val="center"/>
          </w:tcPr>
          <w:p w14:paraId="61187B93">
            <w:pPr>
              <w:pStyle w:val="133"/>
              <w:rPr>
                <w:rFonts w:cs="Times New Roman"/>
                <w:sz w:val="18"/>
                <w:szCs w:val="18"/>
              </w:rPr>
            </w:pPr>
            <w:r>
              <w:rPr>
                <w:rFonts w:cs="Times New Roman"/>
                <w:color w:val="000000"/>
                <w:sz w:val="18"/>
                <w:szCs w:val="18"/>
              </w:rPr>
              <w:t>40000</w:t>
            </w:r>
          </w:p>
        </w:tc>
        <w:tc>
          <w:tcPr>
            <w:tcW w:w="237" w:type="pct"/>
            <w:vAlign w:val="center"/>
          </w:tcPr>
          <w:p w14:paraId="03499651">
            <w:pPr>
              <w:pStyle w:val="133"/>
              <w:rPr>
                <w:rFonts w:cs="Times New Roman"/>
                <w:sz w:val="18"/>
                <w:szCs w:val="18"/>
              </w:rPr>
            </w:pPr>
            <w:r>
              <w:rPr>
                <w:rFonts w:cs="Times New Roman"/>
                <w:color w:val="000000"/>
                <w:sz w:val="18"/>
                <w:szCs w:val="18"/>
              </w:rPr>
              <w:t>0.23</w:t>
            </w:r>
          </w:p>
        </w:tc>
        <w:tc>
          <w:tcPr>
            <w:tcW w:w="237" w:type="pct"/>
            <w:vAlign w:val="center"/>
          </w:tcPr>
          <w:p w14:paraId="391841B8">
            <w:pPr>
              <w:pStyle w:val="133"/>
              <w:rPr>
                <w:rFonts w:cs="Times New Roman"/>
                <w:sz w:val="18"/>
                <w:szCs w:val="18"/>
              </w:rPr>
            </w:pPr>
          </w:p>
        </w:tc>
        <w:tc>
          <w:tcPr>
            <w:tcW w:w="237" w:type="pct"/>
            <w:noWrap/>
            <w:vAlign w:val="center"/>
          </w:tcPr>
          <w:p w14:paraId="729E14B2">
            <w:pPr>
              <w:pStyle w:val="133"/>
              <w:rPr>
                <w:rFonts w:cs="Times New Roman"/>
                <w:sz w:val="18"/>
                <w:szCs w:val="18"/>
              </w:rPr>
            </w:pPr>
            <w:r>
              <w:rPr>
                <w:rFonts w:cs="Times New Roman"/>
                <w:color w:val="000000"/>
                <w:sz w:val="18"/>
                <w:szCs w:val="18"/>
              </w:rPr>
              <w:t>0.03</w:t>
            </w:r>
          </w:p>
        </w:tc>
        <w:tc>
          <w:tcPr>
            <w:tcW w:w="237" w:type="pct"/>
            <w:noWrap/>
            <w:vAlign w:val="center"/>
          </w:tcPr>
          <w:p w14:paraId="358CF43D">
            <w:pPr>
              <w:pStyle w:val="133"/>
              <w:rPr>
                <w:rFonts w:cs="Times New Roman"/>
                <w:sz w:val="18"/>
                <w:szCs w:val="18"/>
              </w:rPr>
            </w:pPr>
            <w:r>
              <w:rPr>
                <w:rFonts w:cs="Times New Roman"/>
                <w:color w:val="000000"/>
                <w:sz w:val="18"/>
                <w:szCs w:val="18"/>
              </w:rPr>
              <w:t>0.015</w:t>
            </w:r>
          </w:p>
        </w:tc>
        <w:tc>
          <w:tcPr>
            <w:tcW w:w="237" w:type="pct"/>
            <w:vAlign w:val="center"/>
          </w:tcPr>
          <w:p w14:paraId="7B82A07F">
            <w:pPr>
              <w:pStyle w:val="133"/>
              <w:rPr>
                <w:rFonts w:cs="Times New Roman"/>
                <w:sz w:val="18"/>
                <w:szCs w:val="18"/>
              </w:rPr>
            </w:pPr>
            <w:r>
              <w:rPr>
                <w:rFonts w:cs="Times New Roman"/>
                <w:color w:val="000000"/>
                <w:sz w:val="18"/>
                <w:szCs w:val="18"/>
              </w:rPr>
              <w:t>0.000008</w:t>
            </w:r>
          </w:p>
        </w:tc>
        <w:tc>
          <w:tcPr>
            <w:tcW w:w="233" w:type="pct"/>
            <w:vAlign w:val="center"/>
          </w:tcPr>
          <w:p w14:paraId="5D542E42">
            <w:pPr>
              <w:pStyle w:val="133"/>
              <w:rPr>
                <w:rFonts w:cs="Times New Roman"/>
                <w:sz w:val="18"/>
                <w:szCs w:val="18"/>
              </w:rPr>
            </w:pPr>
            <w:r>
              <w:rPr>
                <w:rFonts w:cs="Times New Roman"/>
                <w:color w:val="000000"/>
                <w:sz w:val="18"/>
                <w:szCs w:val="18"/>
              </w:rPr>
              <w:t>0.0043</w:t>
            </w:r>
          </w:p>
        </w:tc>
        <w:tc>
          <w:tcPr>
            <w:tcW w:w="233" w:type="pct"/>
            <w:vAlign w:val="center"/>
          </w:tcPr>
          <w:p w14:paraId="017F7937">
            <w:pPr>
              <w:pStyle w:val="133"/>
              <w:rPr>
                <w:rFonts w:cs="Times New Roman"/>
                <w:sz w:val="18"/>
                <w:szCs w:val="18"/>
              </w:rPr>
            </w:pPr>
            <w:r>
              <w:rPr>
                <w:rFonts w:cs="Times New Roman"/>
                <w:color w:val="000000"/>
                <w:sz w:val="18"/>
                <w:szCs w:val="18"/>
              </w:rPr>
              <w:t>0.0008</w:t>
            </w:r>
          </w:p>
        </w:tc>
        <w:tc>
          <w:tcPr>
            <w:tcW w:w="217" w:type="pct"/>
            <w:vAlign w:val="center"/>
          </w:tcPr>
          <w:p w14:paraId="1259E14A">
            <w:pPr>
              <w:pStyle w:val="133"/>
              <w:rPr>
                <w:rFonts w:cs="Times New Roman"/>
                <w:sz w:val="18"/>
                <w:szCs w:val="18"/>
              </w:rPr>
            </w:pPr>
            <w:r>
              <w:rPr>
                <w:rFonts w:cs="Times New Roman"/>
                <w:color w:val="000000"/>
                <w:sz w:val="18"/>
                <w:szCs w:val="18"/>
              </w:rPr>
              <w:t>0.0025</w:t>
            </w:r>
          </w:p>
        </w:tc>
        <w:tc>
          <w:tcPr>
            <w:tcW w:w="217" w:type="pct"/>
            <w:vAlign w:val="center"/>
          </w:tcPr>
          <w:p w14:paraId="26A64178">
            <w:pPr>
              <w:pStyle w:val="133"/>
              <w:rPr>
                <w:rFonts w:cs="Times New Roman"/>
                <w:color w:val="000000"/>
                <w:sz w:val="18"/>
                <w:szCs w:val="18"/>
              </w:rPr>
            </w:pPr>
            <w:r>
              <w:rPr>
                <w:rFonts w:hint="eastAsia" w:cs="Times New Roman"/>
                <w:color w:val="000000"/>
                <w:sz w:val="18"/>
                <w:szCs w:val="18"/>
              </w:rPr>
              <w:t>0.0004</w:t>
            </w:r>
          </w:p>
        </w:tc>
        <w:tc>
          <w:tcPr>
            <w:tcW w:w="214" w:type="pct"/>
            <w:vAlign w:val="center"/>
          </w:tcPr>
          <w:p w14:paraId="532A5270">
            <w:pPr>
              <w:pStyle w:val="133"/>
              <w:rPr>
                <w:rFonts w:cs="Times New Roman"/>
                <w:color w:val="000000"/>
                <w:sz w:val="18"/>
                <w:szCs w:val="18"/>
              </w:rPr>
            </w:pPr>
            <w:r>
              <w:rPr>
                <w:rFonts w:hint="eastAsia" w:cs="Times New Roman"/>
                <w:color w:val="000000"/>
                <w:sz w:val="18"/>
                <w:szCs w:val="18"/>
              </w:rPr>
              <w:t>0.000002</w:t>
            </w:r>
          </w:p>
        </w:tc>
      </w:tr>
      <w:tr w14:paraId="3E77D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1EDF60C9">
            <w:pPr>
              <w:pStyle w:val="133"/>
              <w:rPr>
                <w:rFonts w:cs="Times New Roman"/>
                <w:sz w:val="18"/>
                <w:szCs w:val="18"/>
              </w:rPr>
            </w:pPr>
            <w:r>
              <w:rPr>
                <w:rFonts w:cs="Times New Roman"/>
                <w:color w:val="000000"/>
                <w:sz w:val="18"/>
                <w:szCs w:val="18"/>
              </w:rPr>
              <w:t>9</w:t>
            </w:r>
          </w:p>
        </w:tc>
        <w:tc>
          <w:tcPr>
            <w:tcW w:w="611" w:type="pct"/>
            <w:noWrap/>
            <w:vAlign w:val="center"/>
          </w:tcPr>
          <w:p w14:paraId="7A90C20A">
            <w:pPr>
              <w:pStyle w:val="133"/>
              <w:rPr>
                <w:rFonts w:cs="Times New Roman"/>
                <w:sz w:val="18"/>
                <w:szCs w:val="18"/>
              </w:rPr>
            </w:pPr>
            <w:r>
              <w:rPr>
                <w:rFonts w:cs="Times New Roman"/>
                <w:color w:val="000000"/>
                <w:sz w:val="18"/>
                <w:szCs w:val="18"/>
              </w:rPr>
              <w:t>2#有机废气处理</w:t>
            </w:r>
          </w:p>
        </w:tc>
        <w:tc>
          <w:tcPr>
            <w:tcW w:w="294" w:type="pct"/>
            <w:vAlign w:val="center"/>
          </w:tcPr>
          <w:p w14:paraId="1E70F8FA">
            <w:pPr>
              <w:pStyle w:val="133"/>
              <w:rPr>
                <w:rFonts w:cs="Times New Roman"/>
                <w:sz w:val="18"/>
                <w:szCs w:val="18"/>
              </w:rPr>
            </w:pPr>
            <w:r>
              <w:rPr>
                <w:rFonts w:cs="Times New Roman"/>
                <w:color w:val="000000"/>
                <w:sz w:val="18"/>
                <w:szCs w:val="18"/>
              </w:rPr>
              <w:t>0</w:t>
            </w:r>
          </w:p>
        </w:tc>
        <w:tc>
          <w:tcPr>
            <w:tcW w:w="294" w:type="pct"/>
            <w:vAlign w:val="center"/>
          </w:tcPr>
          <w:p w14:paraId="6F0C49F0">
            <w:pPr>
              <w:pStyle w:val="133"/>
              <w:rPr>
                <w:rFonts w:cs="Times New Roman"/>
                <w:sz w:val="18"/>
                <w:szCs w:val="18"/>
              </w:rPr>
            </w:pPr>
            <w:r>
              <w:rPr>
                <w:rFonts w:cs="Times New Roman"/>
                <w:color w:val="000000"/>
                <w:sz w:val="18"/>
                <w:szCs w:val="18"/>
              </w:rPr>
              <w:t>65</w:t>
            </w:r>
          </w:p>
        </w:tc>
        <w:tc>
          <w:tcPr>
            <w:tcW w:w="329" w:type="pct"/>
            <w:noWrap/>
            <w:vAlign w:val="center"/>
          </w:tcPr>
          <w:p w14:paraId="457D6217">
            <w:pPr>
              <w:pStyle w:val="133"/>
              <w:rPr>
                <w:rFonts w:cs="Times New Roman"/>
                <w:sz w:val="18"/>
                <w:szCs w:val="18"/>
              </w:rPr>
            </w:pPr>
            <w:r>
              <w:rPr>
                <w:rFonts w:cs="Times New Roman"/>
                <w:color w:val="000000"/>
                <w:sz w:val="18"/>
                <w:szCs w:val="18"/>
              </w:rPr>
              <w:t>25</w:t>
            </w:r>
          </w:p>
        </w:tc>
        <w:tc>
          <w:tcPr>
            <w:tcW w:w="326" w:type="pct"/>
            <w:noWrap/>
            <w:vAlign w:val="center"/>
          </w:tcPr>
          <w:p w14:paraId="7628E764">
            <w:pPr>
              <w:pStyle w:val="133"/>
              <w:rPr>
                <w:rFonts w:cs="Times New Roman"/>
                <w:sz w:val="18"/>
                <w:szCs w:val="18"/>
              </w:rPr>
            </w:pPr>
            <w:r>
              <w:rPr>
                <w:rFonts w:cs="Times New Roman"/>
                <w:color w:val="000000"/>
                <w:sz w:val="18"/>
                <w:szCs w:val="18"/>
              </w:rPr>
              <w:t>0.4</w:t>
            </w:r>
          </w:p>
        </w:tc>
        <w:tc>
          <w:tcPr>
            <w:tcW w:w="329" w:type="pct"/>
            <w:noWrap/>
            <w:vAlign w:val="center"/>
          </w:tcPr>
          <w:p w14:paraId="1A41DBC5">
            <w:pPr>
              <w:pStyle w:val="133"/>
              <w:rPr>
                <w:rFonts w:cs="Times New Roman"/>
                <w:sz w:val="18"/>
                <w:szCs w:val="18"/>
              </w:rPr>
            </w:pPr>
            <w:r>
              <w:rPr>
                <w:rFonts w:cs="Times New Roman"/>
                <w:color w:val="000000"/>
                <w:sz w:val="18"/>
                <w:szCs w:val="18"/>
              </w:rPr>
              <w:t>70</w:t>
            </w:r>
          </w:p>
        </w:tc>
        <w:tc>
          <w:tcPr>
            <w:tcW w:w="300" w:type="pct"/>
            <w:vAlign w:val="center"/>
          </w:tcPr>
          <w:p w14:paraId="6B98D288">
            <w:pPr>
              <w:pStyle w:val="133"/>
              <w:rPr>
                <w:rFonts w:cs="Times New Roman"/>
                <w:sz w:val="18"/>
                <w:szCs w:val="18"/>
              </w:rPr>
            </w:pPr>
            <w:r>
              <w:rPr>
                <w:rFonts w:cs="Times New Roman"/>
                <w:color w:val="000000"/>
                <w:sz w:val="18"/>
                <w:szCs w:val="18"/>
              </w:rPr>
              <w:t>1000</w:t>
            </w:r>
          </w:p>
        </w:tc>
        <w:tc>
          <w:tcPr>
            <w:tcW w:w="237" w:type="pct"/>
            <w:vAlign w:val="center"/>
          </w:tcPr>
          <w:p w14:paraId="60D18D90">
            <w:pPr>
              <w:pStyle w:val="133"/>
              <w:rPr>
                <w:rFonts w:cs="Times New Roman"/>
                <w:sz w:val="18"/>
                <w:szCs w:val="18"/>
              </w:rPr>
            </w:pPr>
          </w:p>
        </w:tc>
        <w:tc>
          <w:tcPr>
            <w:tcW w:w="237" w:type="pct"/>
            <w:vAlign w:val="center"/>
          </w:tcPr>
          <w:p w14:paraId="6230A55A">
            <w:pPr>
              <w:pStyle w:val="133"/>
              <w:rPr>
                <w:rFonts w:cs="Times New Roman"/>
                <w:sz w:val="18"/>
                <w:szCs w:val="18"/>
              </w:rPr>
            </w:pPr>
          </w:p>
        </w:tc>
        <w:tc>
          <w:tcPr>
            <w:tcW w:w="237" w:type="pct"/>
            <w:noWrap/>
            <w:vAlign w:val="center"/>
          </w:tcPr>
          <w:p w14:paraId="7F4457F1">
            <w:pPr>
              <w:pStyle w:val="133"/>
              <w:rPr>
                <w:rFonts w:cs="Times New Roman"/>
                <w:sz w:val="18"/>
                <w:szCs w:val="18"/>
              </w:rPr>
            </w:pPr>
          </w:p>
        </w:tc>
        <w:tc>
          <w:tcPr>
            <w:tcW w:w="237" w:type="pct"/>
            <w:noWrap/>
            <w:vAlign w:val="center"/>
          </w:tcPr>
          <w:p w14:paraId="7BEEA81E">
            <w:pPr>
              <w:pStyle w:val="133"/>
              <w:rPr>
                <w:rFonts w:cs="Times New Roman"/>
                <w:sz w:val="18"/>
                <w:szCs w:val="18"/>
              </w:rPr>
            </w:pPr>
          </w:p>
        </w:tc>
        <w:tc>
          <w:tcPr>
            <w:tcW w:w="237" w:type="pct"/>
            <w:vAlign w:val="center"/>
          </w:tcPr>
          <w:p w14:paraId="0DB47293">
            <w:pPr>
              <w:pStyle w:val="133"/>
              <w:rPr>
                <w:rFonts w:cs="Times New Roman"/>
                <w:sz w:val="18"/>
                <w:szCs w:val="18"/>
              </w:rPr>
            </w:pPr>
          </w:p>
        </w:tc>
        <w:tc>
          <w:tcPr>
            <w:tcW w:w="233" w:type="pct"/>
            <w:vAlign w:val="center"/>
          </w:tcPr>
          <w:p w14:paraId="5E9C25A0">
            <w:pPr>
              <w:pStyle w:val="133"/>
              <w:rPr>
                <w:rFonts w:cs="Times New Roman"/>
                <w:sz w:val="18"/>
                <w:szCs w:val="18"/>
              </w:rPr>
            </w:pPr>
          </w:p>
        </w:tc>
        <w:tc>
          <w:tcPr>
            <w:tcW w:w="233" w:type="pct"/>
            <w:vAlign w:val="center"/>
          </w:tcPr>
          <w:p w14:paraId="275C5C1E">
            <w:pPr>
              <w:pStyle w:val="133"/>
              <w:rPr>
                <w:rFonts w:cs="Times New Roman"/>
                <w:sz w:val="18"/>
                <w:szCs w:val="18"/>
              </w:rPr>
            </w:pPr>
          </w:p>
        </w:tc>
        <w:tc>
          <w:tcPr>
            <w:tcW w:w="217" w:type="pct"/>
            <w:vAlign w:val="center"/>
          </w:tcPr>
          <w:p w14:paraId="1D46C171">
            <w:pPr>
              <w:pStyle w:val="133"/>
              <w:rPr>
                <w:rFonts w:cs="Times New Roman"/>
                <w:sz w:val="18"/>
                <w:szCs w:val="18"/>
              </w:rPr>
            </w:pPr>
            <w:r>
              <w:rPr>
                <w:rFonts w:cs="Times New Roman"/>
                <w:color w:val="000000"/>
                <w:sz w:val="18"/>
                <w:szCs w:val="18"/>
              </w:rPr>
              <w:t>0.046</w:t>
            </w:r>
          </w:p>
        </w:tc>
        <w:tc>
          <w:tcPr>
            <w:tcW w:w="217" w:type="pct"/>
            <w:vAlign w:val="center"/>
          </w:tcPr>
          <w:p w14:paraId="1502B9B7">
            <w:pPr>
              <w:pStyle w:val="133"/>
              <w:rPr>
                <w:rFonts w:cs="Times New Roman"/>
                <w:color w:val="000000"/>
                <w:sz w:val="18"/>
                <w:szCs w:val="18"/>
              </w:rPr>
            </w:pPr>
          </w:p>
        </w:tc>
        <w:tc>
          <w:tcPr>
            <w:tcW w:w="214" w:type="pct"/>
            <w:vAlign w:val="center"/>
          </w:tcPr>
          <w:p w14:paraId="249B6930">
            <w:pPr>
              <w:pStyle w:val="133"/>
              <w:rPr>
                <w:rFonts w:cs="Times New Roman"/>
                <w:color w:val="000000"/>
                <w:sz w:val="18"/>
                <w:szCs w:val="18"/>
              </w:rPr>
            </w:pPr>
          </w:p>
        </w:tc>
      </w:tr>
      <w:tr w14:paraId="2C7AE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178D5B15">
            <w:pPr>
              <w:pStyle w:val="133"/>
              <w:rPr>
                <w:rFonts w:cs="Times New Roman"/>
                <w:sz w:val="18"/>
                <w:szCs w:val="18"/>
              </w:rPr>
            </w:pPr>
            <w:r>
              <w:rPr>
                <w:rFonts w:cs="Times New Roman"/>
                <w:color w:val="000000"/>
                <w:sz w:val="18"/>
                <w:szCs w:val="18"/>
              </w:rPr>
              <w:t>10</w:t>
            </w:r>
          </w:p>
        </w:tc>
        <w:tc>
          <w:tcPr>
            <w:tcW w:w="611" w:type="pct"/>
            <w:noWrap/>
            <w:vAlign w:val="center"/>
          </w:tcPr>
          <w:p w14:paraId="24EBF25F">
            <w:pPr>
              <w:pStyle w:val="133"/>
              <w:rPr>
                <w:rFonts w:cs="Times New Roman"/>
                <w:sz w:val="18"/>
                <w:szCs w:val="18"/>
              </w:rPr>
            </w:pPr>
            <w:r>
              <w:rPr>
                <w:rFonts w:cs="Times New Roman"/>
                <w:color w:val="000000"/>
                <w:sz w:val="18"/>
                <w:szCs w:val="18"/>
              </w:rPr>
              <w:t>上料废气</w:t>
            </w:r>
          </w:p>
        </w:tc>
        <w:tc>
          <w:tcPr>
            <w:tcW w:w="294" w:type="pct"/>
            <w:vAlign w:val="center"/>
          </w:tcPr>
          <w:p w14:paraId="0ABDF3C4">
            <w:pPr>
              <w:pStyle w:val="133"/>
              <w:rPr>
                <w:rFonts w:cs="Times New Roman"/>
                <w:sz w:val="18"/>
                <w:szCs w:val="18"/>
              </w:rPr>
            </w:pPr>
            <w:r>
              <w:rPr>
                <w:rFonts w:cs="Times New Roman"/>
                <w:color w:val="000000"/>
                <w:sz w:val="18"/>
                <w:szCs w:val="18"/>
              </w:rPr>
              <w:t>195</w:t>
            </w:r>
          </w:p>
        </w:tc>
        <w:tc>
          <w:tcPr>
            <w:tcW w:w="294" w:type="pct"/>
            <w:vAlign w:val="center"/>
          </w:tcPr>
          <w:p w14:paraId="343D6418">
            <w:pPr>
              <w:pStyle w:val="133"/>
              <w:rPr>
                <w:rFonts w:cs="Times New Roman"/>
                <w:sz w:val="18"/>
                <w:szCs w:val="18"/>
              </w:rPr>
            </w:pPr>
            <w:r>
              <w:rPr>
                <w:rFonts w:cs="Times New Roman"/>
                <w:color w:val="000000"/>
                <w:sz w:val="18"/>
                <w:szCs w:val="18"/>
              </w:rPr>
              <w:t>65</w:t>
            </w:r>
          </w:p>
        </w:tc>
        <w:tc>
          <w:tcPr>
            <w:tcW w:w="329" w:type="pct"/>
            <w:noWrap/>
            <w:vAlign w:val="center"/>
          </w:tcPr>
          <w:p w14:paraId="3235C7E8">
            <w:pPr>
              <w:pStyle w:val="133"/>
              <w:rPr>
                <w:rFonts w:cs="Times New Roman"/>
                <w:sz w:val="18"/>
                <w:szCs w:val="18"/>
              </w:rPr>
            </w:pPr>
            <w:r>
              <w:rPr>
                <w:rFonts w:cs="Times New Roman"/>
                <w:color w:val="000000"/>
                <w:sz w:val="18"/>
                <w:szCs w:val="18"/>
              </w:rPr>
              <w:t>20</w:t>
            </w:r>
          </w:p>
        </w:tc>
        <w:tc>
          <w:tcPr>
            <w:tcW w:w="326" w:type="pct"/>
            <w:noWrap/>
            <w:vAlign w:val="center"/>
          </w:tcPr>
          <w:p w14:paraId="5442EB4B">
            <w:pPr>
              <w:pStyle w:val="133"/>
              <w:rPr>
                <w:rFonts w:cs="Times New Roman"/>
                <w:sz w:val="18"/>
                <w:szCs w:val="18"/>
              </w:rPr>
            </w:pPr>
            <w:r>
              <w:rPr>
                <w:rFonts w:cs="Times New Roman"/>
                <w:color w:val="000000"/>
                <w:sz w:val="18"/>
                <w:szCs w:val="18"/>
              </w:rPr>
              <w:t>1.4</w:t>
            </w:r>
          </w:p>
        </w:tc>
        <w:tc>
          <w:tcPr>
            <w:tcW w:w="329" w:type="pct"/>
            <w:noWrap/>
            <w:vAlign w:val="center"/>
          </w:tcPr>
          <w:p w14:paraId="2649782F">
            <w:pPr>
              <w:pStyle w:val="133"/>
              <w:rPr>
                <w:rFonts w:cs="Times New Roman"/>
                <w:sz w:val="18"/>
                <w:szCs w:val="18"/>
              </w:rPr>
            </w:pPr>
            <w:r>
              <w:rPr>
                <w:rFonts w:cs="Times New Roman"/>
                <w:color w:val="000000"/>
                <w:sz w:val="18"/>
                <w:szCs w:val="18"/>
              </w:rPr>
              <w:t>25</w:t>
            </w:r>
          </w:p>
        </w:tc>
        <w:tc>
          <w:tcPr>
            <w:tcW w:w="300" w:type="pct"/>
            <w:vAlign w:val="center"/>
          </w:tcPr>
          <w:p w14:paraId="6B94780A">
            <w:pPr>
              <w:pStyle w:val="133"/>
              <w:rPr>
                <w:rFonts w:cs="Times New Roman"/>
                <w:sz w:val="18"/>
                <w:szCs w:val="18"/>
              </w:rPr>
            </w:pPr>
            <w:r>
              <w:rPr>
                <w:rFonts w:cs="Times New Roman"/>
                <w:color w:val="000000"/>
                <w:sz w:val="18"/>
                <w:szCs w:val="18"/>
              </w:rPr>
              <w:t>25500</w:t>
            </w:r>
          </w:p>
        </w:tc>
        <w:tc>
          <w:tcPr>
            <w:tcW w:w="237" w:type="pct"/>
            <w:vAlign w:val="center"/>
          </w:tcPr>
          <w:p w14:paraId="39CE1716">
            <w:pPr>
              <w:pStyle w:val="133"/>
              <w:rPr>
                <w:rFonts w:cs="Times New Roman"/>
                <w:sz w:val="18"/>
                <w:szCs w:val="18"/>
              </w:rPr>
            </w:pPr>
          </w:p>
        </w:tc>
        <w:tc>
          <w:tcPr>
            <w:tcW w:w="237" w:type="pct"/>
            <w:vAlign w:val="center"/>
          </w:tcPr>
          <w:p w14:paraId="32587FC9">
            <w:pPr>
              <w:pStyle w:val="133"/>
              <w:rPr>
                <w:rFonts w:cs="Times New Roman"/>
                <w:sz w:val="18"/>
                <w:szCs w:val="18"/>
              </w:rPr>
            </w:pPr>
          </w:p>
        </w:tc>
        <w:tc>
          <w:tcPr>
            <w:tcW w:w="237" w:type="pct"/>
            <w:noWrap/>
            <w:vAlign w:val="center"/>
          </w:tcPr>
          <w:p w14:paraId="082AFEDD">
            <w:pPr>
              <w:pStyle w:val="133"/>
              <w:rPr>
                <w:rFonts w:cs="Times New Roman"/>
                <w:sz w:val="18"/>
                <w:szCs w:val="18"/>
              </w:rPr>
            </w:pPr>
            <w:r>
              <w:rPr>
                <w:rFonts w:cs="Times New Roman"/>
                <w:color w:val="000000"/>
                <w:sz w:val="18"/>
                <w:szCs w:val="18"/>
              </w:rPr>
              <w:t>0.09</w:t>
            </w:r>
          </w:p>
        </w:tc>
        <w:tc>
          <w:tcPr>
            <w:tcW w:w="237" w:type="pct"/>
            <w:noWrap/>
            <w:vAlign w:val="center"/>
          </w:tcPr>
          <w:p w14:paraId="74802AA4">
            <w:pPr>
              <w:pStyle w:val="133"/>
              <w:rPr>
                <w:rFonts w:cs="Times New Roman"/>
                <w:sz w:val="18"/>
                <w:szCs w:val="18"/>
              </w:rPr>
            </w:pPr>
            <w:r>
              <w:rPr>
                <w:rFonts w:cs="Times New Roman"/>
                <w:color w:val="000000"/>
                <w:sz w:val="18"/>
                <w:szCs w:val="18"/>
              </w:rPr>
              <w:t>0.045</w:t>
            </w:r>
          </w:p>
        </w:tc>
        <w:tc>
          <w:tcPr>
            <w:tcW w:w="237" w:type="pct"/>
            <w:vAlign w:val="center"/>
          </w:tcPr>
          <w:p w14:paraId="73F0C4EB">
            <w:pPr>
              <w:pStyle w:val="133"/>
              <w:rPr>
                <w:rFonts w:cs="Times New Roman"/>
                <w:sz w:val="18"/>
                <w:szCs w:val="18"/>
              </w:rPr>
            </w:pPr>
          </w:p>
        </w:tc>
        <w:tc>
          <w:tcPr>
            <w:tcW w:w="233" w:type="pct"/>
            <w:vAlign w:val="center"/>
          </w:tcPr>
          <w:p w14:paraId="76BF6893">
            <w:pPr>
              <w:pStyle w:val="133"/>
              <w:rPr>
                <w:rFonts w:cs="Times New Roman"/>
                <w:sz w:val="18"/>
                <w:szCs w:val="18"/>
              </w:rPr>
            </w:pPr>
          </w:p>
        </w:tc>
        <w:tc>
          <w:tcPr>
            <w:tcW w:w="233" w:type="pct"/>
            <w:vAlign w:val="center"/>
          </w:tcPr>
          <w:p w14:paraId="281BBD53">
            <w:pPr>
              <w:pStyle w:val="133"/>
              <w:rPr>
                <w:rFonts w:cs="Times New Roman"/>
                <w:sz w:val="18"/>
                <w:szCs w:val="18"/>
              </w:rPr>
            </w:pPr>
          </w:p>
        </w:tc>
        <w:tc>
          <w:tcPr>
            <w:tcW w:w="217" w:type="pct"/>
            <w:vAlign w:val="center"/>
          </w:tcPr>
          <w:p w14:paraId="4B3ADE9C">
            <w:pPr>
              <w:pStyle w:val="133"/>
              <w:rPr>
                <w:rFonts w:cs="Times New Roman"/>
                <w:sz w:val="18"/>
                <w:szCs w:val="18"/>
              </w:rPr>
            </w:pPr>
          </w:p>
        </w:tc>
        <w:tc>
          <w:tcPr>
            <w:tcW w:w="217" w:type="pct"/>
            <w:vAlign w:val="center"/>
          </w:tcPr>
          <w:p w14:paraId="3B91D0B7">
            <w:pPr>
              <w:pStyle w:val="133"/>
              <w:rPr>
                <w:rFonts w:cs="Times New Roman"/>
                <w:sz w:val="18"/>
                <w:szCs w:val="18"/>
              </w:rPr>
            </w:pPr>
          </w:p>
        </w:tc>
        <w:tc>
          <w:tcPr>
            <w:tcW w:w="214" w:type="pct"/>
            <w:vAlign w:val="center"/>
          </w:tcPr>
          <w:p w14:paraId="6400E335">
            <w:pPr>
              <w:pStyle w:val="133"/>
              <w:rPr>
                <w:rFonts w:cs="Times New Roman"/>
                <w:sz w:val="18"/>
                <w:szCs w:val="18"/>
              </w:rPr>
            </w:pPr>
          </w:p>
        </w:tc>
      </w:tr>
      <w:tr w14:paraId="75BDD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03345A0C">
            <w:pPr>
              <w:pStyle w:val="133"/>
              <w:rPr>
                <w:rFonts w:cs="Times New Roman"/>
                <w:sz w:val="18"/>
                <w:szCs w:val="18"/>
              </w:rPr>
            </w:pPr>
            <w:r>
              <w:rPr>
                <w:rFonts w:cs="Times New Roman"/>
                <w:color w:val="000000"/>
                <w:sz w:val="18"/>
                <w:szCs w:val="18"/>
              </w:rPr>
              <w:t>11</w:t>
            </w:r>
          </w:p>
        </w:tc>
        <w:tc>
          <w:tcPr>
            <w:tcW w:w="611" w:type="pct"/>
            <w:noWrap/>
            <w:vAlign w:val="center"/>
          </w:tcPr>
          <w:p w14:paraId="0A6F336A">
            <w:pPr>
              <w:pStyle w:val="133"/>
              <w:rPr>
                <w:rFonts w:cs="Times New Roman"/>
                <w:sz w:val="18"/>
                <w:szCs w:val="18"/>
              </w:rPr>
            </w:pPr>
            <w:r>
              <w:rPr>
                <w:rFonts w:cs="Times New Roman"/>
                <w:color w:val="000000"/>
                <w:sz w:val="18"/>
                <w:szCs w:val="18"/>
              </w:rPr>
              <w:t>矿热炉烟气</w:t>
            </w:r>
          </w:p>
        </w:tc>
        <w:tc>
          <w:tcPr>
            <w:tcW w:w="294" w:type="pct"/>
            <w:vAlign w:val="center"/>
          </w:tcPr>
          <w:p w14:paraId="67140DB3">
            <w:pPr>
              <w:pStyle w:val="133"/>
              <w:rPr>
                <w:rFonts w:cs="Times New Roman"/>
                <w:sz w:val="18"/>
                <w:szCs w:val="18"/>
              </w:rPr>
            </w:pPr>
            <w:r>
              <w:rPr>
                <w:rFonts w:cs="Times New Roman"/>
                <w:color w:val="000000"/>
                <w:sz w:val="18"/>
                <w:szCs w:val="18"/>
              </w:rPr>
              <w:t>292</w:t>
            </w:r>
          </w:p>
        </w:tc>
        <w:tc>
          <w:tcPr>
            <w:tcW w:w="294" w:type="pct"/>
            <w:vAlign w:val="center"/>
          </w:tcPr>
          <w:p w14:paraId="075E7299">
            <w:pPr>
              <w:pStyle w:val="133"/>
              <w:rPr>
                <w:rFonts w:cs="Times New Roman"/>
                <w:sz w:val="18"/>
                <w:szCs w:val="18"/>
              </w:rPr>
            </w:pPr>
            <w:r>
              <w:rPr>
                <w:rFonts w:cs="Times New Roman"/>
                <w:color w:val="000000"/>
                <w:sz w:val="18"/>
                <w:szCs w:val="18"/>
              </w:rPr>
              <w:t>32</w:t>
            </w:r>
          </w:p>
        </w:tc>
        <w:tc>
          <w:tcPr>
            <w:tcW w:w="329" w:type="pct"/>
            <w:noWrap/>
            <w:vAlign w:val="center"/>
          </w:tcPr>
          <w:p w14:paraId="4D5F1553">
            <w:pPr>
              <w:pStyle w:val="133"/>
              <w:rPr>
                <w:rFonts w:cs="Times New Roman"/>
                <w:sz w:val="18"/>
                <w:szCs w:val="18"/>
              </w:rPr>
            </w:pPr>
            <w:r>
              <w:rPr>
                <w:rFonts w:cs="Times New Roman"/>
                <w:color w:val="000000"/>
                <w:sz w:val="18"/>
                <w:szCs w:val="18"/>
              </w:rPr>
              <w:t>60</w:t>
            </w:r>
          </w:p>
        </w:tc>
        <w:tc>
          <w:tcPr>
            <w:tcW w:w="326" w:type="pct"/>
            <w:noWrap/>
            <w:vAlign w:val="center"/>
          </w:tcPr>
          <w:p w14:paraId="53C1DE67">
            <w:pPr>
              <w:pStyle w:val="133"/>
              <w:rPr>
                <w:rFonts w:cs="Times New Roman"/>
                <w:sz w:val="18"/>
                <w:szCs w:val="18"/>
              </w:rPr>
            </w:pPr>
            <w:r>
              <w:rPr>
                <w:rFonts w:cs="Times New Roman"/>
                <w:color w:val="000000"/>
                <w:sz w:val="18"/>
                <w:szCs w:val="18"/>
              </w:rPr>
              <w:t>5.1</w:t>
            </w:r>
          </w:p>
        </w:tc>
        <w:tc>
          <w:tcPr>
            <w:tcW w:w="329" w:type="pct"/>
            <w:noWrap/>
            <w:vAlign w:val="center"/>
          </w:tcPr>
          <w:p w14:paraId="4F7DF9AC">
            <w:pPr>
              <w:pStyle w:val="133"/>
              <w:rPr>
                <w:rFonts w:cs="Times New Roman"/>
                <w:sz w:val="18"/>
                <w:szCs w:val="18"/>
              </w:rPr>
            </w:pPr>
            <w:r>
              <w:rPr>
                <w:rFonts w:cs="Times New Roman"/>
                <w:color w:val="000000"/>
                <w:sz w:val="18"/>
                <w:szCs w:val="18"/>
              </w:rPr>
              <w:t>150</w:t>
            </w:r>
          </w:p>
        </w:tc>
        <w:tc>
          <w:tcPr>
            <w:tcW w:w="300" w:type="pct"/>
            <w:vAlign w:val="center"/>
          </w:tcPr>
          <w:p w14:paraId="2EE016AC">
            <w:pPr>
              <w:pStyle w:val="133"/>
              <w:rPr>
                <w:rFonts w:cs="Times New Roman"/>
                <w:sz w:val="18"/>
                <w:szCs w:val="18"/>
              </w:rPr>
            </w:pPr>
            <w:r>
              <w:rPr>
                <w:rFonts w:cs="Times New Roman"/>
                <w:color w:val="000000"/>
                <w:sz w:val="18"/>
                <w:szCs w:val="18"/>
              </w:rPr>
              <w:t>560000</w:t>
            </w:r>
          </w:p>
        </w:tc>
        <w:tc>
          <w:tcPr>
            <w:tcW w:w="237" w:type="pct"/>
            <w:vAlign w:val="center"/>
          </w:tcPr>
          <w:p w14:paraId="65D2A07F">
            <w:pPr>
              <w:pStyle w:val="133"/>
              <w:rPr>
                <w:rFonts w:cs="Times New Roman"/>
                <w:sz w:val="18"/>
                <w:szCs w:val="18"/>
              </w:rPr>
            </w:pPr>
            <w:r>
              <w:rPr>
                <w:rFonts w:cs="Times New Roman"/>
                <w:color w:val="000000"/>
                <w:sz w:val="18"/>
                <w:szCs w:val="18"/>
              </w:rPr>
              <w:t>96.93</w:t>
            </w:r>
          </w:p>
        </w:tc>
        <w:tc>
          <w:tcPr>
            <w:tcW w:w="237" w:type="pct"/>
            <w:vAlign w:val="center"/>
          </w:tcPr>
          <w:p w14:paraId="5C640413">
            <w:pPr>
              <w:pStyle w:val="133"/>
              <w:rPr>
                <w:rFonts w:cs="Times New Roman"/>
                <w:sz w:val="18"/>
                <w:szCs w:val="18"/>
              </w:rPr>
            </w:pPr>
            <w:r>
              <w:rPr>
                <w:rFonts w:cs="Times New Roman"/>
                <w:color w:val="000000"/>
                <w:sz w:val="18"/>
                <w:szCs w:val="18"/>
              </w:rPr>
              <w:t>17.523</w:t>
            </w:r>
          </w:p>
        </w:tc>
        <w:tc>
          <w:tcPr>
            <w:tcW w:w="237" w:type="pct"/>
            <w:noWrap/>
            <w:vAlign w:val="center"/>
          </w:tcPr>
          <w:p w14:paraId="03FD21E0">
            <w:pPr>
              <w:pStyle w:val="133"/>
              <w:rPr>
                <w:rFonts w:cs="Times New Roman"/>
                <w:sz w:val="18"/>
                <w:szCs w:val="18"/>
              </w:rPr>
            </w:pPr>
            <w:r>
              <w:rPr>
                <w:rFonts w:cs="Times New Roman"/>
                <w:color w:val="000000"/>
                <w:sz w:val="18"/>
                <w:szCs w:val="18"/>
              </w:rPr>
              <w:t>9.22</w:t>
            </w:r>
          </w:p>
        </w:tc>
        <w:tc>
          <w:tcPr>
            <w:tcW w:w="237" w:type="pct"/>
            <w:noWrap/>
            <w:vAlign w:val="center"/>
          </w:tcPr>
          <w:p w14:paraId="2109411B">
            <w:pPr>
              <w:pStyle w:val="133"/>
              <w:rPr>
                <w:rFonts w:cs="Times New Roman"/>
                <w:sz w:val="18"/>
                <w:szCs w:val="18"/>
              </w:rPr>
            </w:pPr>
            <w:r>
              <w:rPr>
                <w:rFonts w:cs="Times New Roman"/>
                <w:color w:val="000000"/>
                <w:sz w:val="18"/>
                <w:szCs w:val="18"/>
              </w:rPr>
              <w:t>4.61</w:t>
            </w:r>
          </w:p>
        </w:tc>
        <w:tc>
          <w:tcPr>
            <w:tcW w:w="237" w:type="pct"/>
            <w:vAlign w:val="center"/>
          </w:tcPr>
          <w:p w14:paraId="7B135B28">
            <w:pPr>
              <w:pStyle w:val="133"/>
              <w:rPr>
                <w:rFonts w:cs="Times New Roman"/>
                <w:sz w:val="18"/>
                <w:szCs w:val="18"/>
              </w:rPr>
            </w:pPr>
          </w:p>
        </w:tc>
        <w:tc>
          <w:tcPr>
            <w:tcW w:w="233" w:type="pct"/>
            <w:vAlign w:val="center"/>
          </w:tcPr>
          <w:p w14:paraId="309D1022">
            <w:pPr>
              <w:pStyle w:val="133"/>
              <w:rPr>
                <w:rFonts w:cs="Times New Roman"/>
                <w:sz w:val="18"/>
                <w:szCs w:val="18"/>
              </w:rPr>
            </w:pPr>
          </w:p>
        </w:tc>
        <w:tc>
          <w:tcPr>
            <w:tcW w:w="233" w:type="pct"/>
            <w:vAlign w:val="center"/>
          </w:tcPr>
          <w:p w14:paraId="1480B2E8">
            <w:pPr>
              <w:pStyle w:val="133"/>
              <w:rPr>
                <w:rFonts w:cs="Times New Roman"/>
                <w:sz w:val="18"/>
                <w:szCs w:val="18"/>
              </w:rPr>
            </w:pPr>
          </w:p>
        </w:tc>
        <w:tc>
          <w:tcPr>
            <w:tcW w:w="217" w:type="pct"/>
            <w:vAlign w:val="center"/>
          </w:tcPr>
          <w:p w14:paraId="285C3DDB">
            <w:pPr>
              <w:pStyle w:val="133"/>
              <w:rPr>
                <w:rFonts w:cs="Times New Roman"/>
                <w:sz w:val="18"/>
                <w:szCs w:val="18"/>
              </w:rPr>
            </w:pPr>
          </w:p>
        </w:tc>
        <w:tc>
          <w:tcPr>
            <w:tcW w:w="217" w:type="pct"/>
            <w:vAlign w:val="center"/>
          </w:tcPr>
          <w:p w14:paraId="11348274">
            <w:pPr>
              <w:pStyle w:val="133"/>
              <w:rPr>
                <w:rFonts w:cs="Times New Roman"/>
                <w:sz w:val="18"/>
                <w:szCs w:val="18"/>
              </w:rPr>
            </w:pPr>
          </w:p>
        </w:tc>
        <w:tc>
          <w:tcPr>
            <w:tcW w:w="214" w:type="pct"/>
            <w:vAlign w:val="center"/>
          </w:tcPr>
          <w:p w14:paraId="267D5E14">
            <w:pPr>
              <w:pStyle w:val="133"/>
              <w:rPr>
                <w:rFonts w:cs="Times New Roman"/>
                <w:sz w:val="18"/>
                <w:szCs w:val="18"/>
              </w:rPr>
            </w:pPr>
          </w:p>
        </w:tc>
      </w:tr>
      <w:tr w14:paraId="46EF5A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0DFA6532">
            <w:pPr>
              <w:pStyle w:val="133"/>
              <w:rPr>
                <w:rFonts w:cs="Times New Roman"/>
                <w:sz w:val="18"/>
                <w:szCs w:val="18"/>
              </w:rPr>
            </w:pPr>
            <w:r>
              <w:rPr>
                <w:rFonts w:cs="Times New Roman"/>
                <w:color w:val="000000"/>
                <w:sz w:val="18"/>
                <w:szCs w:val="18"/>
              </w:rPr>
              <w:t>12</w:t>
            </w:r>
          </w:p>
        </w:tc>
        <w:tc>
          <w:tcPr>
            <w:tcW w:w="611" w:type="pct"/>
            <w:noWrap/>
            <w:vAlign w:val="center"/>
          </w:tcPr>
          <w:p w14:paraId="5A08F06D">
            <w:pPr>
              <w:pStyle w:val="133"/>
              <w:rPr>
                <w:rFonts w:cs="Times New Roman"/>
                <w:sz w:val="18"/>
                <w:szCs w:val="18"/>
              </w:rPr>
            </w:pPr>
            <w:r>
              <w:rPr>
                <w:rFonts w:cs="Times New Roman"/>
                <w:color w:val="000000"/>
                <w:sz w:val="18"/>
                <w:szCs w:val="18"/>
              </w:rPr>
              <w:t>出铁浇铸废气</w:t>
            </w:r>
          </w:p>
        </w:tc>
        <w:tc>
          <w:tcPr>
            <w:tcW w:w="294" w:type="pct"/>
            <w:vAlign w:val="center"/>
          </w:tcPr>
          <w:p w14:paraId="23FC6775">
            <w:pPr>
              <w:pStyle w:val="133"/>
              <w:rPr>
                <w:rFonts w:cs="Times New Roman"/>
                <w:sz w:val="18"/>
                <w:szCs w:val="18"/>
              </w:rPr>
            </w:pPr>
            <w:r>
              <w:rPr>
                <w:rFonts w:cs="Times New Roman"/>
                <w:color w:val="000000"/>
                <w:sz w:val="18"/>
                <w:szCs w:val="18"/>
              </w:rPr>
              <w:t>195</w:t>
            </w:r>
          </w:p>
        </w:tc>
        <w:tc>
          <w:tcPr>
            <w:tcW w:w="294" w:type="pct"/>
            <w:vAlign w:val="center"/>
          </w:tcPr>
          <w:p w14:paraId="2519AF86">
            <w:pPr>
              <w:pStyle w:val="133"/>
              <w:rPr>
                <w:rFonts w:cs="Times New Roman"/>
                <w:sz w:val="18"/>
                <w:szCs w:val="18"/>
              </w:rPr>
            </w:pPr>
            <w:r>
              <w:rPr>
                <w:rFonts w:cs="Times New Roman"/>
                <w:color w:val="000000"/>
                <w:sz w:val="18"/>
                <w:szCs w:val="18"/>
              </w:rPr>
              <w:t>0</w:t>
            </w:r>
          </w:p>
        </w:tc>
        <w:tc>
          <w:tcPr>
            <w:tcW w:w="329" w:type="pct"/>
            <w:noWrap/>
            <w:vAlign w:val="center"/>
          </w:tcPr>
          <w:p w14:paraId="656F6E1C">
            <w:pPr>
              <w:pStyle w:val="133"/>
              <w:rPr>
                <w:rFonts w:cs="Times New Roman"/>
                <w:sz w:val="18"/>
                <w:szCs w:val="18"/>
              </w:rPr>
            </w:pPr>
            <w:r>
              <w:rPr>
                <w:rFonts w:cs="Times New Roman"/>
                <w:color w:val="000000"/>
                <w:sz w:val="18"/>
                <w:szCs w:val="18"/>
              </w:rPr>
              <w:t>20</w:t>
            </w:r>
          </w:p>
        </w:tc>
        <w:tc>
          <w:tcPr>
            <w:tcW w:w="326" w:type="pct"/>
            <w:noWrap/>
            <w:vAlign w:val="center"/>
          </w:tcPr>
          <w:p w14:paraId="7EE01E7B">
            <w:pPr>
              <w:pStyle w:val="133"/>
              <w:rPr>
                <w:rFonts w:cs="Times New Roman"/>
                <w:sz w:val="18"/>
                <w:szCs w:val="18"/>
              </w:rPr>
            </w:pPr>
            <w:r>
              <w:rPr>
                <w:rFonts w:cs="Times New Roman"/>
                <w:color w:val="000000"/>
                <w:sz w:val="18"/>
                <w:szCs w:val="18"/>
              </w:rPr>
              <w:t>1.9</w:t>
            </w:r>
          </w:p>
        </w:tc>
        <w:tc>
          <w:tcPr>
            <w:tcW w:w="329" w:type="pct"/>
            <w:noWrap/>
            <w:vAlign w:val="center"/>
          </w:tcPr>
          <w:p w14:paraId="76FE4D9D">
            <w:pPr>
              <w:pStyle w:val="133"/>
              <w:rPr>
                <w:rFonts w:cs="Times New Roman"/>
                <w:sz w:val="18"/>
                <w:szCs w:val="18"/>
              </w:rPr>
            </w:pPr>
            <w:r>
              <w:rPr>
                <w:rFonts w:cs="Times New Roman"/>
                <w:color w:val="000000"/>
                <w:sz w:val="18"/>
                <w:szCs w:val="18"/>
              </w:rPr>
              <w:t>25</w:t>
            </w:r>
          </w:p>
        </w:tc>
        <w:tc>
          <w:tcPr>
            <w:tcW w:w="300" w:type="pct"/>
            <w:vAlign w:val="center"/>
          </w:tcPr>
          <w:p w14:paraId="14F486D6">
            <w:pPr>
              <w:pStyle w:val="133"/>
              <w:rPr>
                <w:rFonts w:cs="Times New Roman"/>
                <w:sz w:val="18"/>
                <w:szCs w:val="18"/>
              </w:rPr>
            </w:pPr>
            <w:r>
              <w:rPr>
                <w:rFonts w:cs="Times New Roman"/>
                <w:color w:val="000000"/>
                <w:sz w:val="18"/>
                <w:szCs w:val="18"/>
              </w:rPr>
              <w:t>65500</w:t>
            </w:r>
          </w:p>
        </w:tc>
        <w:tc>
          <w:tcPr>
            <w:tcW w:w="237" w:type="pct"/>
            <w:vAlign w:val="center"/>
          </w:tcPr>
          <w:p w14:paraId="03E56A88">
            <w:pPr>
              <w:pStyle w:val="133"/>
              <w:rPr>
                <w:rFonts w:cs="Times New Roman"/>
                <w:sz w:val="18"/>
                <w:szCs w:val="18"/>
              </w:rPr>
            </w:pPr>
          </w:p>
        </w:tc>
        <w:tc>
          <w:tcPr>
            <w:tcW w:w="237" w:type="pct"/>
            <w:vAlign w:val="center"/>
          </w:tcPr>
          <w:p w14:paraId="13348C05">
            <w:pPr>
              <w:pStyle w:val="133"/>
              <w:rPr>
                <w:rFonts w:cs="Times New Roman"/>
                <w:sz w:val="18"/>
                <w:szCs w:val="18"/>
              </w:rPr>
            </w:pPr>
          </w:p>
        </w:tc>
        <w:tc>
          <w:tcPr>
            <w:tcW w:w="237" w:type="pct"/>
            <w:noWrap/>
            <w:vAlign w:val="center"/>
          </w:tcPr>
          <w:p w14:paraId="61EC6086">
            <w:pPr>
              <w:pStyle w:val="133"/>
              <w:rPr>
                <w:rFonts w:cs="Times New Roman"/>
                <w:sz w:val="18"/>
                <w:szCs w:val="18"/>
              </w:rPr>
            </w:pPr>
            <w:r>
              <w:rPr>
                <w:rFonts w:cs="Times New Roman"/>
                <w:color w:val="000000"/>
                <w:sz w:val="18"/>
                <w:szCs w:val="18"/>
              </w:rPr>
              <w:t>0.1</w:t>
            </w:r>
          </w:p>
        </w:tc>
        <w:tc>
          <w:tcPr>
            <w:tcW w:w="237" w:type="pct"/>
            <w:noWrap/>
            <w:vAlign w:val="center"/>
          </w:tcPr>
          <w:p w14:paraId="443FE42C">
            <w:pPr>
              <w:pStyle w:val="133"/>
              <w:rPr>
                <w:rFonts w:cs="Times New Roman"/>
                <w:sz w:val="18"/>
                <w:szCs w:val="18"/>
              </w:rPr>
            </w:pPr>
            <w:r>
              <w:rPr>
                <w:rFonts w:cs="Times New Roman"/>
                <w:color w:val="000000"/>
                <w:sz w:val="18"/>
                <w:szCs w:val="18"/>
              </w:rPr>
              <w:t>0.05</w:t>
            </w:r>
          </w:p>
        </w:tc>
        <w:tc>
          <w:tcPr>
            <w:tcW w:w="237" w:type="pct"/>
            <w:vAlign w:val="center"/>
          </w:tcPr>
          <w:p w14:paraId="6221509C">
            <w:pPr>
              <w:pStyle w:val="133"/>
              <w:rPr>
                <w:rFonts w:cs="Times New Roman"/>
                <w:sz w:val="18"/>
                <w:szCs w:val="18"/>
              </w:rPr>
            </w:pPr>
          </w:p>
        </w:tc>
        <w:tc>
          <w:tcPr>
            <w:tcW w:w="233" w:type="pct"/>
            <w:vAlign w:val="center"/>
          </w:tcPr>
          <w:p w14:paraId="331E6EB4">
            <w:pPr>
              <w:pStyle w:val="133"/>
              <w:rPr>
                <w:rFonts w:cs="Times New Roman"/>
                <w:sz w:val="18"/>
                <w:szCs w:val="18"/>
              </w:rPr>
            </w:pPr>
          </w:p>
        </w:tc>
        <w:tc>
          <w:tcPr>
            <w:tcW w:w="233" w:type="pct"/>
            <w:vAlign w:val="center"/>
          </w:tcPr>
          <w:p w14:paraId="3189B6CC">
            <w:pPr>
              <w:pStyle w:val="133"/>
              <w:rPr>
                <w:rFonts w:cs="Times New Roman"/>
                <w:sz w:val="18"/>
                <w:szCs w:val="18"/>
              </w:rPr>
            </w:pPr>
          </w:p>
        </w:tc>
        <w:tc>
          <w:tcPr>
            <w:tcW w:w="217" w:type="pct"/>
            <w:vAlign w:val="center"/>
          </w:tcPr>
          <w:p w14:paraId="0B368DEC">
            <w:pPr>
              <w:pStyle w:val="133"/>
              <w:rPr>
                <w:rFonts w:cs="Times New Roman"/>
                <w:sz w:val="18"/>
                <w:szCs w:val="18"/>
              </w:rPr>
            </w:pPr>
          </w:p>
        </w:tc>
        <w:tc>
          <w:tcPr>
            <w:tcW w:w="217" w:type="pct"/>
            <w:vAlign w:val="center"/>
          </w:tcPr>
          <w:p w14:paraId="31F78AD4">
            <w:pPr>
              <w:pStyle w:val="133"/>
              <w:rPr>
                <w:rFonts w:cs="Times New Roman"/>
                <w:sz w:val="18"/>
                <w:szCs w:val="18"/>
              </w:rPr>
            </w:pPr>
          </w:p>
        </w:tc>
        <w:tc>
          <w:tcPr>
            <w:tcW w:w="214" w:type="pct"/>
            <w:vAlign w:val="center"/>
          </w:tcPr>
          <w:p w14:paraId="0095B0D3">
            <w:pPr>
              <w:pStyle w:val="133"/>
              <w:rPr>
                <w:rFonts w:cs="Times New Roman"/>
                <w:sz w:val="18"/>
                <w:szCs w:val="18"/>
              </w:rPr>
            </w:pPr>
          </w:p>
        </w:tc>
      </w:tr>
      <w:tr w14:paraId="187D3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 w:type="pct"/>
            <w:noWrap/>
            <w:vAlign w:val="center"/>
          </w:tcPr>
          <w:p w14:paraId="67602FDF">
            <w:pPr>
              <w:pStyle w:val="133"/>
              <w:rPr>
                <w:rFonts w:cs="Times New Roman"/>
                <w:sz w:val="18"/>
                <w:szCs w:val="18"/>
              </w:rPr>
            </w:pPr>
            <w:r>
              <w:rPr>
                <w:rFonts w:cs="Times New Roman"/>
                <w:color w:val="000000"/>
                <w:sz w:val="18"/>
                <w:szCs w:val="18"/>
              </w:rPr>
              <w:t>13</w:t>
            </w:r>
          </w:p>
        </w:tc>
        <w:tc>
          <w:tcPr>
            <w:tcW w:w="611" w:type="pct"/>
            <w:noWrap/>
            <w:vAlign w:val="center"/>
          </w:tcPr>
          <w:p w14:paraId="70196017">
            <w:pPr>
              <w:pStyle w:val="133"/>
              <w:rPr>
                <w:rFonts w:cs="Times New Roman"/>
                <w:sz w:val="18"/>
                <w:szCs w:val="18"/>
              </w:rPr>
            </w:pPr>
            <w:r>
              <w:rPr>
                <w:rFonts w:cs="Times New Roman"/>
                <w:color w:val="000000"/>
                <w:sz w:val="18"/>
                <w:szCs w:val="18"/>
              </w:rPr>
              <w:t>成品破碎废气</w:t>
            </w:r>
          </w:p>
        </w:tc>
        <w:tc>
          <w:tcPr>
            <w:tcW w:w="294" w:type="pct"/>
            <w:vAlign w:val="center"/>
          </w:tcPr>
          <w:p w14:paraId="188849A5">
            <w:pPr>
              <w:pStyle w:val="133"/>
              <w:rPr>
                <w:rFonts w:cs="Times New Roman"/>
                <w:sz w:val="18"/>
                <w:szCs w:val="18"/>
              </w:rPr>
            </w:pPr>
            <w:r>
              <w:rPr>
                <w:rFonts w:cs="Times New Roman"/>
                <w:color w:val="000000"/>
                <w:sz w:val="18"/>
                <w:szCs w:val="18"/>
              </w:rPr>
              <w:t>65</w:t>
            </w:r>
          </w:p>
        </w:tc>
        <w:tc>
          <w:tcPr>
            <w:tcW w:w="294" w:type="pct"/>
            <w:vAlign w:val="center"/>
          </w:tcPr>
          <w:p w14:paraId="3F7DF903">
            <w:pPr>
              <w:pStyle w:val="133"/>
              <w:rPr>
                <w:rFonts w:cs="Times New Roman"/>
                <w:sz w:val="18"/>
                <w:szCs w:val="18"/>
              </w:rPr>
            </w:pPr>
            <w:r>
              <w:rPr>
                <w:rFonts w:cs="Times New Roman"/>
                <w:color w:val="000000"/>
                <w:sz w:val="18"/>
                <w:szCs w:val="18"/>
              </w:rPr>
              <w:t>97</w:t>
            </w:r>
          </w:p>
        </w:tc>
        <w:tc>
          <w:tcPr>
            <w:tcW w:w="329" w:type="pct"/>
            <w:noWrap/>
            <w:vAlign w:val="center"/>
          </w:tcPr>
          <w:p w14:paraId="5EC6B929">
            <w:pPr>
              <w:pStyle w:val="133"/>
              <w:rPr>
                <w:rFonts w:cs="Times New Roman"/>
                <w:sz w:val="18"/>
                <w:szCs w:val="18"/>
              </w:rPr>
            </w:pPr>
            <w:r>
              <w:rPr>
                <w:rFonts w:cs="Times New Roman"/>
                <w:color w:val="000000"/>
                <w:sz w:val="18"/>
                <w:szCs w:val="18"/>
              </w:rPr>
              <w:t>15</w:t>
            </w:r>
          </w:p>
        </w:tc>
        <w:tc>
          <w:tcPr>
            <w:tcW w:w="326" w:type="pct"/>
            <w:noWrap/>
            <w:vAlign w:val="center"/>
          </w:tcPr>
          <w:p w14:paraId="08BA4845">
            <w:pPr>
              <w:pStyle w:val="133"/>
              <w:rPr>
                <w:rFonts w:cs="Times New Roman"/>
                <w:sz w:val="18"/>
                <w:szCs w:val="18"/>
              </w:rPr>
            </w:pPr>
            <w:r>
              <w:rPr>
                <w:rFonts w:cs="Times New Roman"/>
                <w:color w:val="000000"/>
                <w:sz w:val="18"/>
                <w:szCs w:val="18"/>
              </w:rPr>
              <w:t>0.85</w:t>
            </w:r>
          </w:p>
        </w:tc>
        <w:tc>
          <w:tcPr>
            <w:tcW w:w="329" w:type="pct"/>
            <w:noWrap/>
            <w:vAlign w:val="center"/>
          </w:tcPr>
          <w:p w14:paraId="6D732188">
            <w:pPr>
              <w:pStyle w:val="133"/>
              <w:rPr>
                <w:rFonts w:cs="Times New Roman"/>
                <w:sz w:val="18"/>
                <w:szCs w:val="18"/>
              </w:rPr>
            </w:pPr>
            <w:r>
              <w:rPr>
                <w:rFonts w:cs="Times New Roman"/>
                <w:color w:val="000000"/>
                <w:sz w:val="18"/>
                <w:szCs w:val="18"/>
              </w:rPr>
              <w:t>25</w:t>
            </w:r>
          </w:p>
        </w:tc>
        <w:tc>
          <w:tcPr>
            <w:tcW w:w="300" w:type="pct"/>
            <w:vAlign w:val="center"/>
          </w:tcPr>
          <w:p w14:paraId="74DA4D86">
            <w:pPr>
              <w:pStyle w:val="133"/>
              <w:rPr>
                <w:rFonts w:cs="Times New Roman"/>
                <w:sz w:val="18"/>
                <w:szCs w:val="18"/>
              </w:rPr>
            </w:pPr>
            <w:r>
              <w:rPr>
                <w:rFonts w:cs="Times New Roman"/>
                <w:color w:val="000000"/>
                <w:sz w:val="18"/>
                <w:szCs w:val="18"/>
              </w:rPr>
              <w:t>7800</w:t>
            </w:r>
          </w:p>
        </w:tc>
        <w:tc>
          <w:tcPr>
            <w:tcW w:w="237" w:type="pct"/>
            <w:vAlign w:val="center"/>
          </w:tcPr>
          <w:p w14:paraId="75DCF5E7">
            <w:pPr>
              <w:pStyle w:val="133"/>
              <w:rPr>
                <w:rFonts w:cs="Times New Roman"/>
                <w:sz w:val="18"/>
                <w:szCs w:val="18"/>
              </w:rPr>
            </w:pPr>
          </w:p>
        </w:tc>
        <w:tc>
          <w:tcPr>
            <w:tcW w:w="237" w:type="pct"/>
            <w:vAlign w:val="center"/>
          </w:tcPr>
          <w:p w14:paraId="38D2923C">
            <w:pPr>
              <w:pStyle w:val="133"/>
              <w:rPr>
                <w:rFonts w:cs="Times New Roman"/>
                <w:sz w:val="18"/>
                <w:szCs w:val="18"/>
              </w:rPr>
            </w:pPr>
          </w:p>
        </w:tc>
        <w:tc>
          <w:tcPr>
            <w:tcW w:w="237" w:type="pct"/>
            <w:noWrap/>
            <w:vAlign w:val="center"/>
          </w:tcPr>
          <w:p w14:paraId="0140D042">
            <w:pPr>
              <w:pStyle w:val="133"/>
              <w:rPr>
                <w:rFonts w:cs="Times New Roman"/>
                <w:sz w:val="18"/>
                <w:szCs w:val="18"/>
              </w:rPr>
            </w:pPr>
            <w:r>
              <w:rPr>
                <w:rFonts w:cs="Times New Roman"/>
                <w:color w:val="000000"/>
                <w:sz w:val="18"/>
                <w:szCs w:val="18"/>
              </w:rPr>
              <w:t>0.02</w:t>
            </w:r>
          </w:p>
        </w:tc>
        <w:tc>
          <w:tcPr>
            <w:tcW w:w="237" w:type="pct"/>
            <w:noWrap/>
            <w:vAlign w:val="center"/>
          </w:tcPr>
          <w:p w14:paraId="2E8219E4">
            <w:pPr>
              <w:pStyle w:val="133"/>
              <w:rPr>
                <w:rFonts w:cs="Times New Roman"/>
                <w:sz w:val="18"/>
                <w:szCs w:val="18"/>
              </w:rPr>
            </w:pPr>
            <w:r>
              <w:rPr>
                <w:rFonts w:cs="Times New Roman"/>
                <w:color w:val="000000"/>
                <w:sz w:val="18"/>
                <w:szCs w:val="18"/>
              </w:rPr>
              <w:t>0.01</w:t>
            </w:r>
          </w:p>
        </w:tc>
        <w:tc>
          <w:tcPr>
            <w:tcW w:w="237" w:type="pct"/>
            <w:vAlign w:val="center"/>
          </w:tcPr>
          <w:p w14:paraId="50281639">
            <w:pPr>
              <w:pStyle w:val="133"/>
              <w:rPr>
                <w:rFonts w:cs="Times New Roman"/>
                <w:sz w:val="18"/>
                <w:szCs w:val="18"/>
              </w:rPr>
            </w:pPr>
          </w:p>
        </w:tc>
        <w:tc>
          <w:tcPr>
            <w:tcW w:w="233" w:type="pct"/>
            <w:vAlign w:val="center"/>
          </w:tcPr>
          <w:p w14:paraId="2CE9583F">
            <w:pPr>
              <w:pStyle w:val="133"/>
              <w:rPr>
                <w:rFonts w:cs="Times New Roman"/>
                <w:sz w:val="18"/>
                <w:szCs w:val="18"/>
              </w:rPr>
            </w:pPr>
          </w:p>
        </w:tc>
        <w:tc>
          <w:tcPr>
            <w:tcW w:w="233" w:type="pct"/>
            <w:vAlign w:val="center"/>
          </w:tcPr>
          <w:p w14:paraId="0EEB2848">
            <w:pPr>
              <w:pStyle w:val="133"/>
              <w:rPr>
                <w:rFonts w:cs="Times New Roman"/>
                <w:sz w:val="18"/>
                <w:szCs w:val="18"/>
              </w:rPr>
            </w:pPr>
          </w:p>
        </w:tc>
        <w:tc>
          <w:tcPr>
            <w:tcW w:w="217" w:type="pct"/>
            <w:vAlign w:val="center"/>
          </w:tcPr>
          <w:p w14:paraId="6E74F8E4">
            <w:pPr>
              <w:pStyle w:val="133"/>
              <w:rPr>
                <w:rFonts w:cs="Times New Roman"/>
                <w:sz w:val="18"/>
                <w:szCs w:val="18"/>
              </w:rPr>
            </w:pPr>
          </w:p>
        </w:tc>
        <w:tc>
          <w:tcPr>
            <w:tcW w:w="217" w:type="pct"/>
            <w:vAlign w:val="center"/>
          </w:tcPr>
          <w:p w14:paraId="56532339">
            <w:pPr>
              <w:pStyle w:val="133"/>
              <w:rPr>
                <w:rFonts w:cs="Times New Roman"/>
                <w:sz w:val="18"/>
                <w:szCs w:val="18"/>
              </w:rPr>
            </w:pPr>
          </w:p>
        </w:tc>
        <w:tc>
          <w:tcPr>
            <w:tcW w:w="214" w:type="pct"/>
            <w:vAlign w:val="center"/>
          </w:tcPr>
          <w:p w14:paraId="4E7B17FD">
            <w:pPr>
              <w:pStyle w:val="133"/>
              <w:rPr>
                <w:rFonts w:cs="Times New Roman"/>
                <w:sz w:val="18"/>
                <w:szCs w:val="18"/>
              </w:rPr>
            </w:pPr>
          </w:p>
        </w:tc>
      </w:tr>
    </w:tbl>
    <w:p w14:paraId="17FA41A9">
      <w:pPr>
        <w:pStyle w:val="1086"/>
        <w:ind w:firstLine="420"/>
        <w:rPr>
          <w:rFonts w:cs="Times New Roman"/>
        </w:rPr>
      </w:pPr>
    </w:p>
    <w:p w14:paraId="76B5A54A">
      <w:pPr>
        <w:widowControl/>
        <w:spacing w:line="240" w:lineRule="auto"/>
        <w:ind w:firstLine="0" w:firstLineChars="0"/>
        <w:jc w:val="left"/>
        <w:rPr>
          <w:b/>
          <w:color w:val="000000"/>
          <w:szCs w:val="28"/>
        </w:rPr>
      </w:pPr>
      <w:r>
        <w:br w:type="page"/>
      </w:r>
    </w:p>
    <w:p w14:paraId="3193113A">
      <w:pPr>
        <w:pStyle w:val="118"/>
      </w:pPr>
      <w:r>
        <w:t>表</w:t>
      </w:r>
      <w:r>
        <w:rPr>
          <w:rFonts w:hint="eastAsia"/>
        </w:rPr>
        <w:t>5.2-7</w:t>
      </w:r>
      <w:r>
        <w:t xml:space="preserve">  无组织污染</w:t>
      </w:r>
      <w:r>
        <w:rPr>
          <w:rFonts w:hint="eastAsia"/>
        </w:rPr>
        <w:t>源</w:t>
      </w:r>
      <w:r>
        <w:t>计算参数选取值一览表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78"/>
        <w:gridCol w:w="1835"/>
        <w:gridCol w:w="671"/>
        <w:gridCol w:w="671"/>
        <w:gridCol w:w="671"/>
        <w:gridCol w:w="822"/>
        <w:gridCol w:w="783"/>
        <w:gridCol w:w="727"/>
        <w:gridCol w:w="814"/>
        <w:gridCol w:w="814"/>
        <w:gridCol w:w="814"/>
        <w:gridCol w:w="814"/>
        <w:gridCol w:w="814"/>
        <w:gridCol w:w="815"/>
        <w:gridCol w:w="815"/>
        <w:gridCol w:w="815"/>
        <w:gridCol w:w="815"/>
      </w:tblGrid>
      <w:tr w14:paraId="5AC35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80" w:hRule="atLeast"/>
          <w:tblHeader/>
          <w:jc w:val="center"/>
        </w:trPr>
        <w:tc>
          <w:tcPr>
            <w:tcW w:w="171" w:type="pct"/>
            <w:vMerge w:val="restart"/>
            <w:vAlign w:val="center"/>
          </w:tcPr>
          <w:p w14:paraId="7208B5F5">
            <w:pPr>
              <w:pStyle w:val="133"/>
              <w:rPr>
                <w:b/>
                <w:bCs/>
              </w:rPr>
            </w:pPr>
            <w:r>
              <w:rPr>
                <w:b/>
                <w:bCs/>
              </w:rPr>
              <w:t>序号</w:t>
            </w:r>
          </w:p>
        </w:tc>
        <w:tc>
          <w:tcPr>
            <w:tcW w:w="656" w:type="pct"/>
            <w:vMerge w:val="restart"/>
            <w:vAlign w:val="center"/>
          </w:tcPr>
          <w:p w14:paraId="53397AAE">
            <w:pPr>
              <w:pStyle w:val="133"/>
              <w:rPr>
                <w:b/>
                <w:bCs/>
              </w:rPr>
            </w:pPr>
            <w:r>
              <w:rPr>
                <w:b/>
                <w:bCs/>
              </w:rPr>
              <w:t>面源名称</w:t>
            </w:r>
          </w:p>
        </w:tc>
        <w:tc>
          <w:tcPr>
            <w:tcW w:w="480" w:type="pct"/>
            <w:gridSpan w:val="2"/>
            <w:vAlign w:val="center"/>
          </w:tcPr>
          <w:p w14:paraId="5F2436A8">
            <w:pPr>
              <w:pStyle w:val="133"/>
              <w:rPr>
                <w:b/>
                <w:bCs/>
              </w:rPr>
            </w:pPr>
            <w:r>
              <w:rPr>
                <w:b/>
                <w:bCs/>
              </w:rPr>
              <w:t>面源中心坐标</w:t>
            </w:r>
          </w:p>
        </w:tc>
        <w:tc>
          <w:tcPr>
            <w:tcW w:w="240" w:type="pct"/>
            <w:vMerge w:val="restart"/>
            <w:vAlign w:val="center"/>
          </w:tcPr>
          <w:p w14:paraId="0B51B5E2">
            <w:pPr>
              <w:pStyle w:val="133"/>
              <w:rPr>
                <w:b/>
                <w:bCs/>
              </w:rPr>
            </w:pPr>
            <w:r>
              <w:rPr>
                <w:b/>
                <w:bCs/>
              </w:rPr>
              <w:t>面源</w:t>
            </w:r>
          </w:p>
          <w:p w14:paraId="58BB5353">
            <w:pPr>
              <w:pStyle w:val="133"/>
              <w:rPr>
                <w:b/>
                <w:bCs/>
              </w:rPr>
            </w:pPr>
            <w:r>
              <w:rPr>
                <w:b/>
                <w:bCs/>
              </w:rPr>
              <w:t>长度</w:t>
            </w:r>
          </w:p>
          <w:p w14:paraId="25788825">
            <w:pPr>
              <w:pStyle w:val="133"/>
              <w:rPr>
                <w:b/>
                <w:bCs/>
              </w:rPr>
            </w:pPr>
            <w:r>
              <w:rPr>
                <w:b/>
                <w:bCs/>
              </w:rPr>
              <w:t>L1（m）</w:t>
            </w:r>
          </w:p>
        </w:tc>
        <w:tc>
          <w:tcPr>
            <w:tcW w:w="294" w:type="pct"/>
            <w:vMerge w:val="restart"/>
            <w:vAlign w:val="center"/>
          </w:tcPr>
          <w:p w14:paraId="1C0BC9FC">
            <w:pPr>
              <w:pStyle w:val="133"/>
              <w:rPr>
                <w:b/>
                <w:bCs/>
              </w:rPr>
            </w:pPr>
            <w:r>
              <w:rPr>
                <w:b/>
                <w:bCs/>
              </w:rPr>
              <w:t>面源</w:t>
            </w:r>
          </w:p>
          <w:p w14:paraId="0B509A86">
            <w:pPr>
              <w:pStyle w:val="133"/>
              <w:rPr>
                <w:b/>
                <w:bCs/>
              </w:rPr>
            </w:pPr>
            <w:r>
              <w:rPr>
                <w:b/>
                <w:bCs/>
              </w:rPr>
              <w:t>宽度</w:t>
            </w:r>
          </w:p>
          <w:p w14:paraId="2E44AF38">
            <w:pPr>
              <w:pStyle w:val="133"/>
              <w:rPr>
                <w:b/>
                <w:bCs/>
              </w:rPr>
            </w:pPr>
            <w:r>
              <w:rPr>
                <w:b/>
                <w:bCs/>
              </w:rPr>
              <w:t>Lw（m）</w:t>
            </w:r>
          </w:p>
        </w:tc>
        <w:tc>
          <w:tcPr>
            <w:tcW w:w="280" w:type="pct"/>
            <w:vMerge w:val="restart"/>
            <w:vAlign w:val="center"/>
          </w:tcPr>
          <w:p w14:paraId="1C02B516">
            <w:pPr>
              <w:pStyle w:val="133"/>
              <w:rPr>
                <w:b/>
                <w:bCs/>
              </w:rPr>
            </w:pPr>
            <w:r>
              <w:rPr>
                <w:b/>
                <w:bCs/>
              </w:rPr>
              <w:t>与正北向夹角</w:t>
            </w:r>
          </w:p>
          <w:p w14:paraId="2EE9DA3F">
            <w:pPr>
              <w:pStyle w:val="133"/>
              <w:rPr>
                <w:b/>
                <w:bCs/>
              </w:rPr>
            </w:pPr>
            <w:r>
              <w:rPr>
                <w:b/>
                <w:bCs/>
              </w:rPr>
              <w:t>（°）</w:t>
            </w:r>
          </w:p>
        </w:tc>
        <w:tc>
          <w:tcPr>
            <w:tcW w:w="260" w:type="pct"/>
            <w:vMerge w:val="restart"/>
            <w:vAlign w:val="center"/>
          </w:tcPr>
          <w:p w14:paraId="5C6660C7">
            <w:pPr>
              <w:pStyle w:val="133"/>
              <w:rPr>
                <w:b/>
                <w:bCs/>
              </w:rPr>
            </w:pPr>
            <w:r>
              <w:rPr>
                <w:b/>
                <w:bCs/>
              </w:rPr>
              <w:t>排放</w:t>
            </w:r>
          </w:p>
          <w:p w14:paraId="5E9B8D7B">
            <w:pPr>
              <w:pStyle w:val="133"/>
              <w:rPr>
                <w:b/>
                <w:bCs/>
              </w:rPr>
            </w:pPr>
            <w:r>
              <w:rPr>
                <w:b/>
                <w:bCs/>
              </w:rPr>
              <w:t>高度</w:t>
            </w:r>
          </w:p>
          <w:p w14:paraId="108F83B3">
            <w:pPr>
              <w:pStyle w:val="133"/>
              <w:rPr>
                <w:b/>
                <w:bCs/>
              </w:rPr>
            </w:pPr>
            <w:r>
              <w:rPr>
                <w:b/>
                <w:bCs/>
              </w:rPr>
              <w:t>H</w:t>
            </w:r>
          </w:p>
          <w:p w14:paraId="6CBC1F99">
            <w:pPr>
              <w:pStyle w:val="133"/>
              <w:rPr>
                <w:b/>
                <w:bCs/>
              </w:rPr>
            </w:pPr>
            <w:r>
              <w:rPr>
                <w:b/>
                <w:bCs/>
              </w:rPr>
              <w:t>（m）</w:t>
            </w:r>
          </w:p>
        </w:tc>
        <w:tc>
          <w:tcPr>
            <w:tcW w:w="291" w:type="pct"/>
            <w:vMerge w:val="restart"/>
            <w:vAlign w:val="center"/>
          </w:tcPr>
          <w:p w14:paraId="08152BEB">
            <w:pPr>
              <w:pStyle w:val="133"/>
              <w:rPr>
                <w:b/>
                <w:bCs/>
                <w:vertAlign w:val="subscript"/>
              </w:rPr>
            </w:pPr>
            <w:r>
              <w:rPr>
                <w:b/>
                <w:bCs/>
              </w:rPr>
              <w:t>Q</w:t>
            </w:r>
            <w:r>
              <w:rPr>
                <w:b/>
                <w:bCs/>
                <w:vertAlign w:val="subscript"/>
              </w:rPr>
              <w:t>SO2</w:t>
            </w:r>
          </w:p>
          <w:p w14:paraId="2F428940">
            <w:pPr>
              <w:pStyle w:val="133"/>
              <w:rPr>
                <w:b/>
                <w:bCs/>
              </w:rPr>
            </w:pPr>
            <w:r>
              <w:rPr>
                <w:b/>
                <w:bCs/>
              </w:rPr>
              <w:t>（</w:t>
            </w:r>
            <w:r>
              <w:rPr>
                <w:rFonts w:hint="eastAsia"/>
                <w:b/>
                <w:bCs/>
              </w:rPr>
              <w:t>t/a</w:t>
            </w:r>
            <w:r>
              <w:rPr>
                <w:b/>
                <w:bCs/>
              </w:rPr>
              <w:t>）</w:t>
            </w:r>
          </w:p>
        </w:tc>
        <w:tc>
          <w:tcPr>
            <w:tcW w:w="291" w:type="pct"/>
            <w:vMerge w:val="restart"/>
            <w:vAlign w:val="center"/>
          </w:tcPr>
          <w:p w14:paraId="26981C8A">
            <w:pPr>
              <w:pStyle w:val="133"/>
              <w:rPr>
                <w:b/>
                <w:bCs/>
                <w:vertAlign w:val="subscript"/>
              </w:rPr>
            </w:pPr>
            <w:r>
              <w:rPr>
                <w:b/>
                <w:bCs/>
              </w:rPr>
              <w:t>Q</w:t>
            </w:r>
            <w:r>
              <w:rPr>
                <w:b/>
                <w:bCs/>
                <w:vertAlign w:val="subscript"/>
              </w:rPr>
              <w:t>NO2</w:t>
            </w:r>
          </w:p>
          <w:p w14:paraId="348BAE21">
            <w:pPr>
              <w:pStyle w:val="133"/>
              <w:rPr>
                <w:b/>
                <w:bCs/>
              </w:rPr>
            </w:pPr>
            <w:r>
              <w:rPr>
                <w:b/>
                <w:bCs/>
              </w:rPr>
              <w:t>（</w:t>
            </w:r>
            <w:r>
              <w:rPr>
                <w:rFonts w:hint="eastAsia"/>
                <w:b/>
                <w:bCs/>
              </w:rPr>
              <w:t>t/a</w:t>
            </w:r>
            <w:r>
              <w:rPr>
                <w:b/>
                <w:bCs/>
              </w:rPr>
              <w:t>）</w:t>
            </w:r>
          </w:p>
        </w:tc>
        <w:tc>
          <w:tcPr>
            <w:tcW w:w="291" w:type="pct"/>
            <w:vMerge w:val="restart"/>
            <w:vAlign w:val="center"/>
          </w:tcPr>
          <w:p w14:paraId="6DA3F337">
            <w:pPr>
              <w:pStyle w:val="133"/>
              <w:rPr>
                <w:b/>
                <w:bCs/>
                <w:vertAlign w:val="subscript"/>
              </w:rPr>
            </w:pPr>
            <w:r>
              <w:rPr>
                <w:b/>
                <w:bCs/>
              </w:rPr>
              <w:t>Q</w:t>
            </w:r>
            <w:r>
              <w:rPr>
                <w:b/>
                <w:bCs/>
                <w:vertAlign w:val="subscript"/>
              </w:rPr>
              <w:t>TSP</w:t>
            </w:r>
          </w:p>
          <w:p w14:paraId="45B66CE8">
            <w:pPr>
              <w:pStyle w:val="133"/>
              <w:rPr>
                <w:b/>
                <w:bCs/>
              </w:rPr>
            </w:pPr>
            <w:r>
              <w:rPr>
                <w:b/>
                <w:bCs/>
              </w:rPr>
              <w:t>（</w:t>
            </w:r>
            <w:r>
              <w:rPr>
                <w:rFonts w:hint="eastAsia"/>
                <w:b/>
                <w:bCs/>
              </w:rPr>
              <w:t>t/a</w:t>
            </w:r>
            <w:r>
              <w:rPr>
                <w:b/>
                <w:bCs/>
              </w:rPr>
              <w:t>）</w:t>
            </w:r>
          </w:p>
        </w:tc>
        <w:tc>
          <w:tcPr>
            <w:tcW w:w="291" w:type="pct"/>
            <w:vMerge w:val="restart"/>
            <w:vAlign w:val="center"/>
          </w:tcPr>
          <w:p w14:paraId="027CD7BA">
            <w:pPr>
              <w:pStyle w:val="133"/>
              <w:rPr>
                <w:b/>
                <w:bCs/>
                <w:vertAlign w:val="subscript"/>
              </w:rPr>
            </w:pPr>
            <w:r>
              <w:rPr>
                <w:b/>
                <w:bCs/>
              </w:rPr>
              <w:t>Q</w:t>
            </w:r>
            <w:r>
              <w:rPr>
                <w:b/>
                <w:bCs/>
                <w:vertAlign w:val="subscript"/>
              </w:rPr>
              <w:t>BaP</w:t>
            </w:r>
          </w:p>
          <w:p w14:paraId="0A6CAD13">
            <w:pPr>
              <w:pStyle w:val="133"/>
              <w:rPr>
                <w:b/>
                <w:bCs/>
              </w:rPr>
            </w:pPr>
            <w:r>
              <w:rPr>
                <w:b/>
                <w:bCs/>
              </w:rPr>
              <w:t>（</w:t>
            </w:r>
            <w:r>
              <w:rPr>
                <w:rFonts w:hint="eastAsia"/>
                <w:b/>
                <w:bCs/>
              </w:rPr>
              <w:t>t/a</w:t>
            </w:r>
            <w:r>
              <w:rPr>
                <w:b/>
                <w:bCs/>
              </w:rPr>
              <w:t>）</w:t>
            </w:r>
          </w:p>
        </w:tc>
        <w:tc>
          <w:tcPr>
            <w:tcW w:w="291" w:type="pct"/>
            <w:vMerge w:val="restart"/>
            <w:vAlign w:val="center"/>
          </w:tcPr>
          <w:p w14:paraId="063875B8">
            <w:pPr>
              <w:pStyle w:val="133"/>
              <w:rPr>
                <w:b/>
                <w:bCs/>
                <w:vertAlign w:val="subscript"/>
              </w:rPr>
            </w:pPr>
            <w:r>
              <w:rPr>
                <w:b/>
                <w:bCs/>
              </w:rPr>
              <w:t>Q</w:t>
            </w:r>
            <w:r>
              <w:rPr>
                <w:b/>
                <w:bCs/>
                <w:vertAlign w:val="subscript"/>
              </w:rPr>
              <w:t>NH3</w:t>
            </w:r>
          </w:p>
          <w:p w14:paraId="3F08C6B6">
            <w:pPr>
              <w:pStyle w:val="133"/>
              <w:rPr>
                <w:b/>
                <w:bCs/>
              </w:rPr>
            </w:pPr>
            <w:r>
              <w:rPr>
                <w:b/>
                <w:bCs/>
              </w:rPr>
              <w:t>（</w:t>
            </w:r>
            <w:r>
              <w:rPr>
                <w:rFonts w:hint="eastAsia"/>
                <w:b/>
                <w:bCs/>
              </w:rPr>
              <w:t>t/a</w:t>
            </w:r>
            <w:r>
              <w:rPr>
                <w:b/>
                <w:bCs/>
              </w:rPr>
              <w:t>）</w:t>
            </w:r>
          </w:p>
        </w:tc>
        <w:tc>
          <w:tcPr>
            <w:tcW w:w="291" w:type="pct"/>
            <w:vMerge w:val="restart"/>
            <w:vAlign w:val="center"/>
          </w:tcPr>
          <w:p w14:paraId="4EBC0B83">
            <w:pPr>
              <w:pStyle w:val="133"/>
              <w:rPr>
                <w:b/>
                <w:bCs/>
                <w:vertAlign w:val="subscript"/>
              </w:rPr>
            </w:pPr>
            <w:r>
              <w:rPr>
                <w:b/>
                <w:bCs/>
              </w:rPr>
              <w:t>Q</w:t>
            </w:r>
            <w:r>
              <w:rPr>
                <w:b/>
                <w:bCs/>
                <w:vertAlign w:val="subscript"/>
              </w:rPr>
              <w:t>H2S</w:t>
            </w:r>
          </w:p>
          <w:p w14:paraId="1F1279E8">
            <w:pPr>
              <w:pStyle w:val="133"/>
              <w:rPr>
                <w:b/>
                <w:bCs/>
                <w:vertAlign w:val="subscript"/>
              </w:rPr>
            </w:pPr>
            <w:r>
              <w:rPr>
                <w:b/>
                <w:bCs/>
              </w:rPr>
              <w:t>（</w:t>
            </w:r>
            <w:r>
              <w:rPr>
                <w:rFonts w:hint="eastAsia"/>
                <w:b/>
                <w:bCs/>
              </w:rPr>
              <w:t>t/a</w:t>
            </w:r>
            <w:r>
              <w:rPr>
                <w:b/>
                <w:bCs/>
              </w:rPr>
              <w:t>）</w:t>
            </w:r>
          </w:p>
        </w:tc>
        <w:tc>
          <w:tcPr>
            <w:tcW w:w="291" w:type="pct"/>
            <w:vMerge w:val="restart"/>
            <w:vAlign w:val="center"/>
          </w:tcPr>
          <w:p w14:paraId="22DB808A">
            <w:pPr>
              <w:pStyle w:val="133"/>
              <w:rPr>
                <w:b/>
                <w:bCs/>
                <w:vertAlign w:val="subscript"/>
              </w:rPr>
            </w:pPr>
            <w:r>
              <w:rPr>
                <w:b/>
                <w:bCs/>
              </w:rPr>
              <w:t>Q</w:t>
            </w:r>
            <w:r>
              <w:rPr>
                <w:b/>
                <w:bCs/>
                <w:vertAlign w:val="subscript"/>
              </w:rPr>
              <w:t>NMHC</w:t>
            </w:r>
          </w:p>
          <w:p w14:paraId="59DEFE01">
            <w:pPr>
              <w:pStyle w:val="133"/>
              <w:rPr>
                <w:b/>
                <w:bCs/>
                <w:vertAlign w:val="subscript"/>
              </w:rPr>
            </w:pPr>
            <w:r>
              <w:rPr>
                <w:b/>
                <w:bCs/>
              </w:rPr>
              <w:t>（</w:t>
            </w:r>
            <w:r>
              <w:rPr>
                <w:rFonts w:hint="eastAsia"/>
                <w:b/>
                <w:bCs/>
              </w:rPr>
              <w:t>t/a</w:t>
            </w:r>
            <w:r>
              <w:rPr>
                <w:b/>
                <w:bCs/>
              </w:rPr>
              <w:t>）</w:t>
            </w:r>
          </w:p>
        </w:tc>
        <w:tc>
          <w:tcPr>
            <w:tcW w:w="291" w:type="pct"/>
            <w:vMerge w:val="restart"/>
            <w:vAlign w:val="center"/>
          </w:tcPr>
          <w:p w14:paraId="596ED181">
            <w:pPr>
              <w:pStyle w:val="133"/>
              <w:rPr>
                <w:b/>
                <w:bCs/>
                <w:vertAlign w:val="subscript"/>
              </w:rPr>
            </w:pPr>
            <w:r>
              <w:rPr>
                <w:b/>
                <w:bCs/>
              </w:rPr>
              <w:t>Q</w:t>
            </w:r>
            <w:r>
              <w:rPr>
                <w:rFonts w:hint="eastAsia"/>
                <w:b/>
                <w:bCs/>
                <w:vertAlign w:val="subscript"/>
              </w:rPr>
              <w:t>酚类</w:t>
            </w:r>
          </w:p>
          <w:p w14:paraId="043E9ABA">
            <w:pPr>
              <w:pStyle w:val="133"/>
              <w:rPr>
                <w:b/>
                <w:bCs/>
              </w:rPr>
            </w:pPr>
            <w:r>
              <w:rPr>
                <w:b/>
                <w:bCs/>
              </w:rPr>
              <w:t>（</w:t>
            </w:r>
            <w:r>
              <w:rPr>
                <w:rFonts w:hint="eastAsia"/>
                <w:b/>
                <w:bCs/>
              </w:rPr>
              <w:t>t/a</w:t>
            </w:r>
            <w:r>
              <w:rPr>
                <w:b/>
                <w:bCs/>
              </w:rPr>
              <w:t>）</w:t>
            </w:r>
          </w:p>
        </w:tc>
        <w:tc>
          <w:tcPr>
            <w:tcW w:w="291" w:type="pct"/>
            <w:vMerge w:val="restart"/>
            <w:vAlign w:val="center"/>
          </w:tcPr>
          <w:p w14:paraId="34ED0F33">
            <w:pPr>
              <w:pStyle w:val="133"/>
              <w:rPr>
                <w:b/>
                <w:bCs/>
                <w:vertAlign w:val="subscript"/>
              </w:rPr>
            </w:pPr>
            <w:r>
              <w:rPr>
                <w:b/>
                <w:bCs/>
              </w:rPr>
              <w:t>Q</w:t>
            </w:r>
            <w:r>
              <w:rPr>
                <w:rFonts w:hint="eastAsia"/>
                <w:b/>
                <w:bCs/>
                <w:vertAlign w:val="subscript"/>
              </w:rPr>
              <w:t>氰化氢</w:t>
            </w:r>
          </w:p>
          <w:p w14:paraId="015F6193">
            <w:pPr>
              <w:pStyle w:val="133"/>
              <w:rPr>
                <w:b/>
                <w:bCs/>
              </w:rPr>
            </w:pPr>
            <w:r>
              <w:rPr>
                <w:b/>
                <w:bCs/>
              </w:rPr>
              <w:t>（</w:t>
            </w:r>
            <w:r>
              <w:rPr>
                <w:rFonts w:hint="eastAsia"/>
                <w:b/>
                <w:bCs/>
              </w:rPr>
              <w:t>t/a</w:t>
            </w:r>
            <w:r>
              <w:rPr>
                <w:b/>
                <w:bCs/>
              </w:rPr>
              <w:t>）</w:t>
            </w:r>
          </w:p>
        </w:tc>
      </w:tr>
      <w:tr w14:paraId="5ED09C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171" w:type="pct"/>
            <w:vMerge w:val="continue"/>
            <w:vAlign w:val="center"/>
          </w:tcPr>
          <w:p w14:paraId="1406A0EC">
            <w:pPr>
              <w:pStyle w:val="133"/>
            </w:pPr>
          </w:p>
        </w:tc>
        <w:tc>
          <w:tcPr>
            <w:tcW w:w="656" w:type="pct"/>
            <w:vMerge w:val="continue"/>
            <w:vAlign w:val="center"/>
          </w:tcPr>
          <w:p w14:paraId="5D58407E">
            <w:pPr>
              <w:pStyle w:val="133"/>
            </w:pPr>
          </w:p>
        </w:tc>
        <w:tc>
          <w:tcPr>
            <w:tcW w:w="240" w:type="pct"/>
            <w:vAlign w:val="center"/>
          </w:tcPr>
          <w:p w14:paraId="1DAF1BE9">
            <w:pPr>
              <w:pStyle w:val="133"/>
              <w:rPr>
                <w:b/>
                <w:bCs/>
              </w:rPr>
            </w:pPr>
            <w:r>
              <w:rPr>
                <w:b/>
                <w:bCs/>
              </w:rPr>
              <w:t>X</w:t>
            </w:r>
          </w:p>
          <w:p w14:paraId="61CE6FF7">
            <w:pPr>
              <w:pStyle w:val="133"/>
              <w:rPr>
                <w:b/>
                <w:bCs/>
              </w:rPr>
            </w:pPr>
            <w:r>
              <w:rPr>
                <w:b/>
                <w:bCs/>
              </w:rPr>
              <w:t>（m）</w:t>
            </w:r>
          </w:p>
        </w:tc>
        <w:tc>
          <w:tcPr>
            <w:tcW w:w="240" w:type="pct"/>
            <w:vAlign w:val="center"/>
          </w:tcPr>
          <w:p w14:paraId="47AA4B05">
            <w:pPr>
              <w:pStyle w:val="133"/>
              <w:rPr>
                <w:b/>
                <w:bCs/>
              </w:rPr>
            </w:pPr>
            <w:r>
              <w:rPr>
                <w:b/>
                <w:bCs/>
              </w:rPr>
              <w:t>Y</w:t>
            </w:r>
          </w:p>
          <w:p w14:paraId="6B0CD50E">
            <w:pPr>
              <w:pStyle w:val="133"/>
              <w:rPr>
                <w:b/>
                <w:bCs/>
              </w:rPr>
            </w:pPr>
            <w:r>
              <w:rPr>
                <w:b/>
                <w:bCs/>
              </w:rPr>
              <w:t>（m）</w:t>
            </w:r>
          </w:p>
        </w:tc>
        <w:tc>
          <w:tcPr>
            <w:tcW w:w="240" w:type="pct"/>
            <w:vMerge w:val="continue"/>
            <w:vAlign w:val="center"/>
          </w:tcPr>
          <w:p w14:paraId="66567CE9">
            <w:pPr>
              <w:pStyle w:val="133"/>
            </w:pPr>
          </w:p>
        </w:tc>
        <w:tc>
          <w:tcPr>
            <w:tcW w:w="294" w:type="pct"/>
            <w:vMerge w:val="continue"/>
            <w:vAlign w:val="center"/>
          </w:tcPr>
          <w:p w14:paraId="1F02D62E">
            <w:pPr>
              <w:pStyle w:val="133"/>
            </w:pPr>
          </w:p>
        </w:tc>
        <w:tc>
          <w:tcPr>
            <w:tcW w:w="280" w:type="pct"/>
            <w:vMerge w:val="continue"/>
            <w:vAlign w:val="center"/>
          </w:tcPr>
          <w:p w14:paraId="4ADF6CE4">
            <w:pPr>
              <w:pStyle w:val="133"/>
            </w:pPr>
          </w:p>
        </w:tc>
        <w:tc>
          <w:tcPr>
            <w:tcW w:w="260" w:type="pct"/>
            <w:vMerge w:val="continue"/>
            <w:vAlign w:val="center"/>
          </w:tcPr>
          <w:p w14:paraId="786139EC">
            <w:pPr>
              <w:pStyle w:val="133"/>
            </w:pPr>
          </w:p>
        </w:tc>
        <w:tc>
          <w:tcPr>
            <w:tcW w:w="291" w:type="pct"/>
            <w:vMerge w:val="continue"/>
            <w:vAlign w:val="center"/>
          </w:tcPr>
          <w:p w14:paraId="44F7FD6F">
            <w:pPr>
              <w:pStyle w:val="133"/>
            </w:pPr>
          </w:p>
        </w:tc>
        <w:tc>
          <w:tcPr>
            <w:tcW w:w="291" w:type="pct"/>
            <w:vMerge w:val="continue"/>
            <w:vAlign w:val="center"/>
          </w:tcPr>
          <w:p w14:paraId="78C257F9">
            <w:pPr>
              <w:pStyle w:val="133"/>
            </w:pPr>
          </w:p>
        </w:tc>
        <w:tc>
          <w:tcPr>
            <w:tcW w:w="291" w:type="pct"/>
            <w:vMerge w:val="continue"/>
            <w:vAlign w:val="center"/>
          </w:tcPr>
          <w:p w14:paraId="52B5E4B1">
            <w:pPr>
              <w:pStyle w:val="133"/>
            </w:pPr>
          </w:p>
        </w:tc>
        <w:tc>
          <w:tcPr>
            <w:tcW w:w="291" w:type="pct"/>
            <w:vMerge w:val="continue"/>
            <w:vAlign w:val="center"/>
          </w:tcPr>
          <w:p w14:paraId="2713303F">
            <w:pPr>
              <w:pStyle w:val="133"/>
            </w:pPr>
          </w:p>
        </w:tc>
        <w:tc>
          <w:tcPr>
            <w:tcW w:w="291" w:type="pct"/>
            <w:vMerge w:val="continue"/>
            <w:vAlign w:val="center"/>
          </w:tcPr>
          <w:p w14:paraId="262EA17A">
            <w:pPr>
              <w:pStyle w:val="133"/>
            </w:pPr>
          </w:p>
        </w:tc>
        <w:tc>
          <w:tcPr>
            <w:tcW w:w="291" w:type="pct"/>
            <w:vMerge w:val="continue"/>
            <w:vAlign w:val="center"/>
          </w:tcPr>
          <w:p w14:paraId="65F58ED3">
            <w:pPr>
              <w:pStyle w:val="133"/>
            </w:pPr>
          </w:p>
        </w:tc>
        <w:tc>
          <w:tcPr>
            <w:tcW w:w="291" w:type="pct"/>
            <w:vMerge w:val="continue"/>
            <w:vAlign w:val="center"/>
          </w:tcPr>
          <w:p w14:paraId="187515C3">
            <w:pPr>
              <w:pStyle w:val="133"/>
            </w:pPr>
          </w:p>
        </w:tc>
        <w:tc>
          <w:tcPr>
            <w:tcW w:w="291" w:type="pct"/>
            <w:vMerge w:val="continue"/>
            <w:vAlign w:val="center"/>
          </w:tcPr>
          <w:p w14:paraId="1BA74CBE">
            <w:pPr>
              <w:pStyle w:val="133"/>
            </w:pPr>
          </w:p>
        </w:tc>
        <w:tc>
          <w:tcPr>
            <w:tcW w:w="291" w:type="pct"/>
            <w:vMerge w:val="continue"/>
            <w:vAlign w:val="center"/>
          </w:tcPr>
          <w:p w14:paraId="7F01F46A">
            <w:pPr>
              <w:pStyle w:val="133"/>
            </w:pPr>
          </w:p>
        </w:tc>
      </w:tr>
      <w:tr w14:paraId="2058F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04201334">
            <w:pPr>
              <w:pStyle w:val="133"/>
            </w:pPr>
            <w:r>
              <w:rPr>
                <w:rFonts w:hint="eastAsia"/>
                <w:color w:val="000000"/>
              </w:rPr>
              <w:t>1</w:t>
            </w:r>
          </w:p>
        </w:tc>
        <w:tc>
          <w:tcPr>
            <w:tcW w:w="656" w:type="pct"/>
            <w:vAlign w:val="center"/>
          </w:tcPr>
          <w:p w14:paraId="5D8D57BA">
            <w:pPr>
              <w:pStyle w:val="133"/>
            </w:pPr>
            <w:r>
              <w:rPr>
                <w:rFonts w:hint="eastAsia"/>
              </w:rPr>
              <w:t>煤棚</w:t>
            </w:r>
          </w:p>
        </w:tc>
        <w:tc>
          <w:tcPr>
            <w:tcW w:w="240" w:type="pct"/>
            <w:vAlign w:val="center"/>
          </w:tcPr>
          <w:p w14:paraId="126B705C">
            <w:pPr>
              <w:pStyle w:val="133"/>
            </w:pPr>
            <w:r>
              <w:rPr>
                <w:rFonts w:hint="eastAsia"/>
              </w:rPr>
              <w:t>-584</w:t>
            </w:r>
          </w:p>
        </w:tc>
        <w:tc>
          <w:tcPr>
            <w:tcW w:w="240" w:type="pct"/>
            <w:vAlign w:val="center"/>
          </w:tcPr>
          <w:p w14:paraId="3EC24194">
            <w:pPr>
              <w:pStyle w:val="133"/>
            </w:pPr>
            <w:r>
              <w:rPr>
                <w:rFonts w:hint="eastAsia"/>
              </w:rPr>
              <w:t>162</w:t>
            </w:r>
          </w:p>
        </w:tc>
        <w:tc>
          <w:tcPr>
            <w:tcW w:w="240" w:type="pct"/>
            <w:vAlign w:val="center"/>
          </w:tcPr>
          <w:p w14:paraId="3D5AA188">
            <w:pPr>
              <w:pStyle w:val="133"/>
            </w:pPr>
            <w:r>
              <w:t>182</w:t>
            </w:r>
          </w:p>
        </w:tc>
        <w:tc>
          <w:tcPr>
            <w:tcW w:w="294" w:type="pct"/>
            <w:vAlign w:val="center"/>
          </w:tcPr>
          <w:p w14:paraId="58F3C548">
            <w:pPr>
              <w:pStyle w:val="133"/>
            </w:pPr>
            <w:r>
              <w:t>140</w:t>
            </w:r>
          </w:p>
        </w:tc>
        <w:tc>
          <w:tcPr>
            <w:tcW w:w="280" w:type="pct"/>
            <w:vAlign w:val="center"/>
          </w:tcPr>
          <w:p w14:paraId="1AE4440F">
            <w:pPr>
              <w:pStyle w:val="133"/>
            </w:pPr>
            <w:r>
              <w:t>0</w:t>
            </w:r>
          </w:p>
        </w:tc>
        <w:tc>
          <w:tcPr>
            <w:tcW w:w="260" w:type="pct"/>
            <w:vAlign w:val="center"/>
          </w:tcPr>
          <w:p w14:paraId="4213B250">
            <w:pPr>
              <w:pStyle w:val="133"/>
            </w:pPr>
            <w:r>
              <w:rPr>
                <w:rFonts w:hint="eastAsia"/>
              </w:rPr>
              <w:t>15</w:t>
            </w:r>
          </w:p>
        </w:tc>
        <w:tc>
          <w:tcPr>
            <w:tcW w:w="291" w:type="pct"/>
            <w:vAlign w:val="center"/>
          </w:tcPr>
          <w:p w14:paraId="08AC901E">
            <w:pPr>
              <w:pStyle w:val="133"/>
            </w:pPr>
          </w:p>
        </w:tc>
        <w:tc>
          <w:tcPr>
            <w:tcW w:w="291" w:type="pct"/>
            <w:vAlign w:val="center"/>
          </w:tcPr>
          <w:p w14:paraId="5F217556">
            <w:pPr>
              <w:pStyle w:val="133"/>
            </w:pPr>
          </w:p>
        </w:tc>
        <w:tc>
          <w:tcPr>
            <w:tcW w:w="291" w:type="pct"/>
            <w:vAlign w:val="center"/>
          </w:tcPr>
          <w:p w14:paraId="219F450D">
            <w:pPr>
              <w:pStyle w:val="133"/>
            </w:pPr>
            <w:r>
              <w:rPr>
                <w:rFonts w:hint="eastAsia"/>
              </w:rPr>
              <w:t>1.09</w:t>
            </w:r>
          </w:p>
        </w:tc>
        <w:tc>
          <w:tcPr>
            <w:tcW w:w="291" w:type="pct"/>
            <w:vAlign w:val="center"/>
          </w:tcPr>
          <w:p w14:paraId="7628D145">
            <w:pPr>
              <w:pStyle w:val="133"/>
            </w:pPr>
          </w:p>
        </w:tc>
        <w:tc>
          <w:tcPr>
            <w:tcW w:w="291" w:type="pct"/>
            <w:vAlign w:val="center"/>
          </w:tcPr>
          <w:p w14:paraId="16F14432">
            <w:pPr>
              <w:pStyle w:val="133"/>
            </w:pPr>
          </w:p>
        </w:tc>
        <w:tc>
          <w:tcPr>
            <w:tcW w:w="291" w:type="pct"/>
            <w:vAlign w:val="center"/>
          </w:tcPr>
          <w:p w14:paraId="40D1FD05">
            <w:pPr>
              <w:pStyle w:val="133"/>
            </w:pPr>
          </w:p>
        </w:tc>
        <w:tc>
          <w:tcPr>
            <w:tcW w:w="291" w:type="pct"/>
            <w:vAlign w:val="center"/>
          </w:tcPr>
          <w:p w14:paraId="52E46DE6">
            <w:pPr>
              <w:pStyle w:val="133"/>
            </w:pPr>
          </w:p>
        </w:tc>
        <w:tc>
          <w:tcPr>
            <w:tcW w:w="291" w:type="pct"/>
            <w:vAlign w:val="center"/>
          </w:tcPr>
          <w:p w14:paraId="75F56DCE">
            <w:pPr>
              <w:pStyle w:val="133"/>
            </w:pPr>
          </w:p>
        </w:tc>
        <w:tc>
          <w:tcPr>
            <w:tcW w:w="291" w:type="pct"/>
            <w:vAlign w:val="center"/>
          </w:tcPr>
          <w:p w14:paraId="63827F4E">
            <w:pPr>
              <w:pStyle w:val="133"/>
            </w:pPr>
          </w:p>
        </w:tc>
      </w:tr>
      <w:tr w14:paraId="41B48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10DC9712">
            <w:pPr>
              <w:pStyle w:val="133"/>
            </w:pPr>
            <w:r>
              <w:rPr>
                <w:rFonts w:hint="eastAsia"/>
                <w:color w:val="000000"/>
              </w:rPr>
              <w:t>2</w:t>
            </w:r>
          </w:p>
        </w:tc>
        <w:tc>
          <w:tcPr>
            <w:tcW w:w="656" w:type="pct"/>
            <w:vAlign w:val="center"/>
          </w:tcPr>
          <w:p w14:paraId="799C40B6">
            <w:pPr>
              <w:pStyle w:val="133"/>
            </w:pPr>
            <w:r>
              <w:rPr>
                <w:rFonts w:hint="eastAsia"/>
              </w:rPr>
              <w:t>焦棚</w:t>
            </w:r>
          </w:p>
        </w:tc>
        <w:tc>
          <w:tcPr>
            <w:tcW w:w="240" w:type="pct"/>
            <w:vAlign w:val="center"/>
          </w:tcPr>
          <w:p w14:paraId="7A6B88A4">
            <w:pPr>
              <w:pStyle w:val="133"/>
            </w:pPr>
            <w:r>
              <w:rPr>
                <w:rFonts w:hint="eastAsia"/>
              </w:rPr>
              <w:t>-487</w:t>
            </w:r>
          </w:p>
        </w:tc>
        <w:tc>
          <w:tcPr>
            <w:tcW w:w="240" w:type="pct"/>
            <w:vAlign w:val="center"/>
          </w:tcPr>
          <w:p w14:paraId="0A65E59B">
            <w:pPr>
              <w:pStyle w:val="133"/>
            </w:pPr>
            <w:r>
              <w:rPr>
                <w:rFonts w:hint="eastAsia"/>
              </w:rPr>
              <w:t>195</w:t>
            </w:r>
          </w:p>
        </w:tc>
        <w:tc>
          <w:tcPr>
            <w:tcW w:w="240" w:type="pct"/>
            <w:vAlign w:val="center"/>
          </w:tcPr>
          <w:p w14:paraId="02261FB0">
            <w:pPr>
              <w:pStyle w:val="133"/>
            </w:pPr>
            <w:r>
              <w:t>127</w:t>
            </w:r>
          </w:p>
        </w:tc>
        <w:tc>
          <w:tcPr>
            <w:tcW w:w="294" w:type="pct"/>
            <w:vAlign w:val="center"/>
          </w:tcPr>
          <w:p w14:paraId="0B9A5525">
            <w:pPr>
              <w:pStyle w:val="133"/>
            </w:pPr>
            <w:r>
              <w:t>166</w:t>
            </w:r>
          </w:p>
        </w:tc>
        <w:tc>
          <w:tcPr>
            <w:tcW w:w="280" w:type="pct"/>
            <w:vAlign w:val="center"/>
          </w:tcPr>
          <w:p w14:paraId="3AC11462">
            <w:pPr>
              <w:pStyle w:val="133"/>
            </w:pPr>
            <w:r>
              <w:t>0</w:t>
            </w:r>
          </w:p>
        </w:tc>
        <w:tc>
          <w:tcPr>
            <w:tcW w:w="260" w:type="pct"/>
            <w:vAlign w:val="center"/>
          </w:tcPr>
          <w:p w14:paraId="1C37B6F5">
            <w:pPr>
              <w:pStyle w:val="133"/>
            </w:pPr>
            <w:r>
              <w:rPr>
                <w:rFonts w:hint="eastAsia"/>
              </w:rPr>
              <w:t>15</w:t>
            </w:r>
          </w:p>
        </w:tc>
        <w:tc>
          <w:tcPr>
            <w:tcW w:w="291" w:type="pct"/>
            <w:vAlign w:val="center"/>
          </w:tcPr>
          <w:p w14:paraId="20728483">
            <w:pPr>
              <w:pStyle w:val="133"/>
            </w:pPr>
          </w:p>
        </w:tc>
        <w:tc>
          <w:tcPr>
            <w:tcW w:w="291" w:type="pct"/>
            <w:vAlign w:val="center"/>
          </w:tcPr>
          <w:p w14:paraId="64524F35">
            <w:pPr>
              <w:pStyle w:val="133"/>
            </w:pPr>
          </w:p>
        </w:tc>
        <w:tc>
          <w:tcPr>
            <w:tcW w:w="291" w:type="pct"/>
            <w:vAlign w:val="center"/>
          </w:tcPr>
          <w:p w14:paraId="44B5983E">
            <w:pPr>
              <w:pStyle w:val="133"/>
            </w:pPr>
            <w:r>
              <w:rPr>
                <w:rFonts w:hint="eastAsia"/>
              </w:rPr>
              <w:t>2.5</w:t>
            </w:r>
          </w:p>
        </w:tc>
        <w:tc>
          <w:tcPr>
            <w:tcW w:w="291" w:type="pct"/>
            <w:vAlign w:val="center"/>
          </w:tcPr>
          <w:p w14:paraId="059E6342">
            <w:pPr>
              <w:pStyle w:val="133"/>
            </w:pPr>
          </w:p>
        </w:tc>
        <w:tc>
          <w:tcPr>
            <w:tcW w:w="291" w:type="pct"/>
            <w:vAlign w:val="center"/>
          </w:tcPr>
          <w:p w14:paraId="2852A190">
            <w:pPr>
              <w:pStyle w:val="133"/>
            </w:pPr>
          </w:p>
        </w:tc>
        <w:tc>
          <w:tcPr>
            <w:tcW w:w="291" w:type="pct"/>
            <w:vAlign w:val="center"/>
          </w:tcPr>
          <w:p w14:paraId="050CC8D7">
            <w:pPr>
              <w:pStyle w:val="133"/>
            </w:pPr>
          </w:p>
        </w:tc>
        <w:tc>
          <w:tcPr>
            <w:tcW w:w="291" w:type="pct"/>
            <w:vAlign w:val="center"/>
          </w:tcPr>
          <w:p w14:paraId="56818412">
            <w:pPr>
              <w:pStyle w:val="133"/>
            </w:pPr>
          </w:p>
        </w:tc>
        <w:tc>
          <w:tcPr>
            <w:tcW w:w="291" w:type="pct"/>
            <w:vAlign w:val="center"/>
          </w:tcPr>
          <w:p w14:paraId="54084E1E">
            <w:pPr>
              <w:pStyle w:val="133"/>
            </w:pPr>
          </w:p>
        </w:tc>
        <w:tc>
          <w:tcPr>
            <w:tcW w:w="291" w:type="pct"/>
            <w:vAlign w:val="center"/>
          </w:tcPr>
          <w:p w14:paraId="5DA9C776">
            <w:pPr>
              <w:pStyle w:val="133"/>
            </w:pPr>
          </w:p>
        </w:tc>
      </w:tr>
      <w:tr w14:paraId="48F42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45C1CE7F">
            <w:pPr>
              <w:pStyle w:val="133"/>
            </w:pPr>
            <w:r>
              <w:rPr>
                <w:rFonts w:hint="eastAsia"/>
                <w:color w:val="000000"/>
              </w:rPr>
              <w:t>3</w:t>
            </w:r>
          </w:p>
        </w:tc>
        <w:tc>
          <w:tcPr>
            <w:tcW w:w="656" w:type="pct"/>
            <w:vAlign w:val="center"/>
          </w:tcPr>
          <w:p w14:paraId="371BAB8A">
            <w:pPr>
              <w:pStyle w:val="133"/>
            </w:pPr>
            <w:r>
              <w:rPr>
                <w:rFonts w:hint="eastAsia"/>
              </w:rPr>
              <w:t>炭化炉区</w:t>
            </w:r>
          </w:p>
        </w:tc>
        <w:tc>
          <w:tcPr>
            <w:tcW w:w="240" w:type="pct"/>
            <w:vAlign w:val="center"/>
          </w:tcPr>
          <w:p w14:paraId="3B9098F6">
            <w:pPr>
              <w:pStyle w:val="133"/>
            </w:pPr>
            <w:r>
              <w:rPr>
                <w:rFonts w:hint="eastAsia"/>
              </w:rPr>
              <w:t>-340</w:t>
            </w:r>
          </w:p>
        </w:tc>
        <w:tc>
          <w:tcPr>
            <w:tcW w:w="240" w:type="pct"/>
            <w:vAlign w:val="center"/>
          </w:tcPr>
          <w:p w14:paraId="3548E850">
            <w:pPr>
              <w:pStyle w:val="133"/>
            </w:pPr>
            <w:r>
              <w:rPr>
                <w:rFonts w:hint="eastAsia"/>
              </w:rPr>
              <w:t>50</w:t>
            </w:r>
          </w:p>
        </w:tc>
        <w:tc>
          <w:tcPr>
            <w:tcW w:w="240" w:type="pct"/>
            <w:vAlign w:val="center"/>
          </w:tcPr>
          <w:p w14:paraId="490521D3">
            <w:pPr>
              <w:pStyle w:val="133"/>
            </w:pPr>
            <w:r>
              <w:t>60</w:t>
            </w:r>
          </w:p>
        </w:tc>
        <w:tc>
          <w:tcPr>
            <w:tcW w:w="294" w:type="pct"/>
            <w:vAlign w:val="center"/>
          </w:tcPr>
          <w:p w14:paraId="64EF708B">
            <w:pPr>
              <w:pStyle w:val="133"/>
            </w:pPr>
            <w:r>
              <w:t>40</w:t>
            </w:r>
          </w:p>
        </w:tc>
        <w:tc>
          <w:tcPr>
            <w:tcW w:w="280" w:type="pct"/>
            <w:vAlign w:val="center"/>
          </w:tcPr>
          <w:p w14:paraId="50BD7CFB">
            <w:pPr>
              <w:pStyle w:val="133"/>
            </w:pPr>
            <w:r>
              <w:t>0</w:t>
            </w:r>
          </w:p>
        </w:tc>
        <w:tc>
          <w:tcPr>
            <w:tcW w:w="260" w:type="pct"/>
            <w:vAlign w:val="center"/>
          </w:tcPr>
          <w:p w14:paraId="10708606">
            <w:pPr>
              <w:pStyle w:val="133"/>
            </w:pPr>
            <w:r>
              <w:t>10</w:t>
            </w:r>
          </w:p>
        </w:tc>
        <w:tc>
          <w:tcPr>
            <w:tcW w:w="291" w:type="pct"/>
            <w:vAlign w:val="center"/>
          </w:tcPr>
          <w:p w14:paraId="47D249AE">
            <w:pPr>
              <w:pStyle w:val="133"/>
            </w:pPr>
            <w:r>
              <w:rPr>
                <w:rFonts w:hint="eastAsia"/>
                <w:color w:val="000000"/>
              </w:rPr>
              <w:t>6.658</w:t>
            </w:r>
          </w:p>
        </w:tc>
        <w:tc>
          <w:tcPr>
            <w:tcW w:w="291" w:type="pct"/>
            <w:vAlign w:val="center"/>
          </w:tcPr>
          <w:p w14:paraId="69616636">
            <w:pPr>
              <w:pStyle w:val="133"/>
            </w:pPr>
          </w:p>
        </w:tc>
        <w:tc>
          <w:tcPr>
            <w:tcW w:w="291" w:type="pct"/>
            <w:vAlign w:val="center"/>
          </w:tcPr>
          <w:p w14:paraId="589B02D4">
            <w:pPr>
              <w:pStyle w:val="133"/>
            </w:pPr>
            <w:r>
              <w:rPr>
                <w:rFonts w:hint="eastAsia"/>
                <w:color w:val="000000"/>
              </w:rPr>
              <w:t>0.907</w:t>
            </w:r>
          </w:p>
        </w:tc>
        <w:tc>
          <w:tcPr>
            <w:tcW w:w="291" w:type="pct"/>
            <w:vAlign w:val="center"/>
          </w:tcPr>
          <w:p w14:paraId="4DC8575B">
            <w:pPr>
              <w:pStyle w:val="133"/>
            </w:pPr>
            <w:r>
              <w:rPr>
                <w:rFonts w:hint="eastAsia"/>
              </w:rPr>
              <w:t>0.000001</w:t>
            </w:r>
          </w:p>
        </w:tc>
        <w:tc>
          <w:tcPr>
            <w:tcW w:w="291" w:type="pct"/>
            <w:vAlign w:val="center"/>
          </w:tcPr>
          <w:p w14:paraId="19CC1DD2">
            <w:pPr>
              <w:pStyle w:val="133"/>
            </w:pPr>
            <w:r>
              <w:rPr>
                <w:rFonts w:hint="eastAsia"/>
              </w:rPr>
              <w:t>0.076</w:t>
            </w:r>
          </w:p>
        </w:tc>
        <w:tc>
          <w:tcPr>
            <w:tcW w:w="291" w:type="pct"/>
            <w:vAlign w:val="center"/>
          </w:tcPr>
          <w:p w14:paraId="46A0BA02">
            <w:pPr>
              <w:pStyle w:val="133"/>
            </w:pPr>
            <w:r>
              <w:rPr>
                <w:rFonts w:hint="eastAsia"/>
              </w:rPr>
              <w:t>0.02</w:t>
            </w:r>
          </w:p>
        </w:tc>
        <w:tc>
          <w:tcPr>
            <w:tcW w:w="291" w:type="pct"/>
            <w:vAlign w:val="center"/>
          </w:tcPr>
          <w:p w14:paraId="1F0CCBD3">
            <w:pPr>
              <w:pStyle w:val="133"/>
            </w:pPr>
          </w:p>
        </w:tc>
        <w:tc>
          <w:tcPr>
            <w:tcW w:w="291" w:type="pct"/>
            <w:vAlign w:val="top"/>
          </w:tcPr>
          <w:p w14:paraId="5CD7C830">
            <w:pPr>
              <w:pStyle w:val="133"/>
            </w:pPr>
            <w:r>
              <w:t>0.0029</w:t>
            </w:r>
          </w:p>
        </w:tc>
        <w:tc>
          <w:tcPr>
            <w:tcW w:w="291" w:type="pct"/>
            <w:vAlign w:val="top"/>
          </w:tcPr>
          <w:p w14:paraId="5D27B034">
            <w:pPr>
              <w:pStyle w:val="133"/>
            </w:pPr>
          </w:p>
        </w:tc>
      </w:tr>
      <w:tr w14:paraId="08C34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58F3D19F">
            <w:pPr>
              <w:pStyle w:val="133"/>
            </w:pPr>
            <w:r>
              <w:rPr>
                <w:rFonts w:hint="eastAsia"/>
                <w:color w:val="000000"/>
              </w:rPr>
              <w:t>4</w:t>
            </w:r>
          </w:p>
        </w:tc>
        <w:tc>
          <w:tcPr>
            <w:tcW w:w="656" w:type="pct"/>
            <w:vAlign w:val="center"/>
          </w:tcPr>
          <w:p w14:paraId="1CBDA28C">
            <w:pPr>
              <w:pStyle w:val="133"/>
            </w:pPr>
            <w:r>
              <w:rPr>
                <w:rFonts w:hint="eastAsia"/>
              </w:rPr>
              <w:t>煤气净化区</w:t>
            </w:r>
          </w:p>
        </w:tc>
        <w:tc>
          <w:tcPr>
            <w:tcW w:w="240" w:type="pct"/>
            <w:vAlign w:val="center"/>
          </w:tcPr>
          <w:p w14:paraId="321189E9">
            <w:pPr>
              <w:pStyle w:val="133"/>
            </w:pPr>
            <w:r>
              <w:rPr>
                <w:rFonts w:hint="eastAsia"/>
              </w:rPr>
              <w:t>-32</w:t>
            </w:r>
          </w:p>
        </w:tc>
        <w:tc>
          <w:tcPr>
            <w:tcW w:w="240" w:type="pct"/>
            <w:vAlign w:val="center"/>
          </w:tcPr>
          <w:p w14:paraId="65E47A32">
            <w:pPr>
              <w:pStyle w:val="133"/>
            </w:pPr>
            <w:r>
              <w:rPr>
                <w:rFonts w:hint="eastAsia"/>
              </w:rPr>
              <w:t>97</w:t>
            </w:r>
          </w:p>
        </w:tc>
        <w:tc>
          <w:tcPr>
            <w:tcW w:w="240" w:type="pct"/>
            <w:vAlign w:val="center"/>
          </w:tcPr>
          <w:p w14:paraId="0930C61B">
            <w:pPr>
              <w:pStyle w:val="133"/>
            </w:pPr>
            <w:r>
              <w:t>85</w:t>
            </w:r>
          </w:p>
        </w:tc>
        <w:tc>
          <w:tcPr>
            <w:tcW w:w="294" w:type="pct"/>
            <w:vAlign w:val="center"/>
          </w:tcPr>
          <w:p w14:paraId="2F2CA98A">
            <w:pPr>
              <w:pStyle w:val="133"/>
            </w:pPr>
            <w:r>
              <w:t>80</w:t>
            </w:r>
          </w:p>
        </w:tc>
        <w:tc>
          <w:tcPr>
            <w:tcW w:w="280" w:type="pct"/>
            <w:vAlign w:val="center"/>
          </w:tcPr>
          <w:p w14:paraId="5F70E1A8">
            <w:pPr>
              <w:pStyle w:val="133"/>
            </w:pPr>
            <w:r>
              <w:t>0</w:t>
            </w:r>
          </w:p>
        </w:tc>
        <w:tc>
          <w:tcPr>
            <w:tcW w:w="260" w:type="pct"/>
            <w:vAlign w:val="center"/>
          </w:tcPr>
          <w:p w14:paraId="088DD1A9">
            <w:pPr>
              <w:pStyle w:val="133"/>
            </w:pPr>
            <w:r>
              <w:t>10</w:t>
            </w:r>
          </w:p>
        </w:tc>
        <w:tc>
          <w:tcPr>
            <w:tcW w:w="291" w:type="pct"/>
            <w:vAlign w:val="center"/>
          </w:tcPr>
          <w:p w14:paraId="43B0FBE3">
            <w:pPr>
              <w:pStyle w:val="133"/>
            </w:pPr>
          </w:p>
        </w:tc>
        <w:tc>
          <w:tcPr>
            <w:tcW w:w="291" w:type="pct"/>
            <w:vAlign w:val="center"/>
          </w:tcPr>
          <w:p w14:paraId="77BC15D8">
            <w:pPr>
              <w:pStyle w:val="133"/>
            </w:pPr>
          </w:p>
        </w:tc>
        <w:tc>
          <w:tcPr>
            <w:tcW w:w="291" w:type="pct"/>
            <w:vAlign w:val="center"/>
          </w:tcPr>
          <w:p w14:paraId="059EEC45">
            <w:pPr>
              <w:pStyle w:val="133"/>
            </w:pPr>
          </w:p>
        </w:tc>
        <w:tc>
          <w:tcPr>
            <w:tcW w:w="291" w:type="pct"/>
            <w:vAlign w:val="center"/>
          </w:tcPr>
          <w:p w14:paraId="3CDABCA7">
            <w:pPr>
              <w:pStyle w:val="133"/>
            </w:pPr>
            <w:r>
              <w:rPr>
                <w:rFonts w:hint="eastAsia"/>
              </w:rPr>
              <w:t>0.00012</w:t>
            </w:r>
          </w:p>
        </w:tc>
        <w:tc>
          <w:tcPr>
            <w:tcW w:w="291" w:type="pct"/>
            <w:vAlign w:val="center"/>
          </w:tcPr>
          <w:p w14:paraId="2E84253E">
            <w:pPr>
              <w:pStyle w:val="133"/>
            </w:pPr>
            <w:r>
              <w:rPr>
                <w:rFonts w:hint="eastAsia"/>
              </w:rPr>
              <w:t>0.023</w:t>
            </w:r>
          </w:p>
        </w:tc>
        <w:tc>
          <w:tcPr>
            <w:tcW w:w="291" w:type="pct"/>
            <w:vAlign w:val="center"/>
          </w:tcPr>
          <w:p w14:paraId="1E957572">
            <w:pPr>
              <w:pStyle w:val="133"/>
            </w:pPr>
            <w:r>
              <w:rPr>
                <w:rFonts w:hint="eastAsia"/>
                <w:color w:val="000000"/>
              </w:rPr>
              <w:t>0.00141</w:t>
            </w:r>
          </w:p>
        </w:tc>
        <w:tc>
          <w:tcPr>
            <w:tcW w:w="291" w:type="pct"/>
            <w:vAlign w:val="center"/>
          </w:tcPr>
          <w:p w14:paraId="66C7598C">
            <w:pPr>
              <w:pStyle w:val="133"/>
            </w:pPr>
            <w:r>
              <w:rPr>
                <w:rFonts w:hint="eastAsia"/>
              </w:rPr>
              <w:t>0.035</w:t>
            </w:r>
          </w:p>
        </w:tc>
        <w:tc>
          <w:tcPr>
            <w:tcW w:w="291" w:type="pct"/>
            <w:vAlign w:val="top"/>
          </w:tcPr>
          <w:p w14:paraId="450DC51A">
            <w:pPr>
              <w:pStyle w:val="133"/>
            </w:pPr>
            <w:r>
              <w:t>0.00468</w:t>
            </w:r>
          </w:p>
        </w:tc>
        <w:tc>
          <w:tcPr>
            <w:tcW w:w="291" w:type="pct"/>
            <w:vAlign w:val="top"/>
          </w:tcPr>
          <w:p w14:paraId="3C4F5BAD">
            <w:pPr>
              <w:pStyle w:val="133"/>
            </w:pPr>
            <w:r>
              <w:t>0.00094</w:t>
            </w:r>
          </w:p>
        </w:tc>
      </w:tr>
      <w:tr w14:paraId="294C2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4673580A">
            <w:pPr>
              <w:pStyle w:val="133"/>
            </w:pPr>
            <w:r>
              <w:rPr>
                <w:rFonts w:hint="eastAsia"/>
                <w:color w:val="000000"/>
              </w:rPr>
              <w:t>5</w:t>
            </w:r>
          </w:p>
        </w:tc>
        <w:tc>
          <w:tcPr>
            <w:tcW w:w="656" w:type="pct"/>
            <w:vAlign w:val="center"/>
          </w:tcPr>
          <w:p w14:paraId="5205476E">
            <w:pPr>
              <w:pStyle w:val="133"/>
            </w:pPr>
            <w:r>
              <w:rPr>
                <w:rFonts w:hint="eastAsia"/>
              </w:rPr>
              <w:t>焦油罐区</w:t>
            </w:r>
          </w:p>
        </w:tc>
        <w:tc>
          <w:tcPr>
            <w:tcW w:w="240" w:type="pct"/>
            <w:vAlign w:val="center"/>
          </w:tcPr>
          <w:p w14:paraId="2F9231F6">
            <w:pPr>
              <w:pStyle w:val="133"/>
            </w:pPr>
            <w:r>
              <w:rPr>
                <w:rFonts w:hint="eastAsia"/>
              </w:rPr>
              <w:t>-584</w:t>
            </w:r>
          </w:p>
        </w:tc>
        <w:tc>
          <w:tcPr>
            <w:tcW w:w="240" w:type="pct"/>
            <w:vAlign w:val="center"/>
          </w:tcPr>
          <w:p w14:paraId="16936C88">
            <w:pPr>
              <w:pStyle w:val="133"/>
            </w:pPr>
            <w:r>
              <w:rPr>
                <w:rFonts w:hint="eastAsia"/>
              </w:rPr>
              <w:t>292</w:t>
            </w:r>
          </w:p>
        </w:tc>
        <w:tc>
          <w:tcPr>
            <w:tcW w:w="240" w:type="pct"/>
            <w:vAlign w:val="center"/>
          </w:tcPr>
          <w:p w14:paraId="30B75FCB">
            <w:pPr>
              <w:pStyle w:val="133"/>
            </w:pPr>
            <w:r>
              <w:t>40</w:t>
            </w:r>
          </w:p>
        </w:tc>
        <w:tc>
          <w:tcPr>
            <w:tcW w:w="294" w:type="pct"/>
            <w:vAlign w:val="center"/>
          </w:tcPr>
          <w:p w14:paraId="05E2C60B">
            <w:pPr>
              <w:pStyle w:val="133"/>
            </w:pPr>
            <w:r>
              <w:t>185</w:t>
            </w:r>
          </w:p>
        </w:tc>
        <w:tc>
          <w:tcPr>
            <w:tcW w:w="280" w:type="pct"/>
            <w:vAlign w:val="center"/>
          </w:tcPr>
          <w:p w14:paraId="67D4388F">
            <w:pPr>
              <w:pStyle w:val="133"/>
            </w:pPr>
            <w:r>
              <w:t>0</w:t>
            </w:r>
          </w:p>
        </w:tc>
        <w:tc>
          <w:tcPr>
            <w:tcW w:w="260" w:type="pct"/>
            <w:vAlign w:val="center"/>
          </w:tcPr>
          <w:p w14:paraId="538AB85D">
            <w:pPr>
              <w:pStyle w:val="133"/>
            </w:pPr>
            <w:r>
              <w:t>15</w:t>
            </w:r>
          </w:p>
        </w:tc>
        <w:tc>
          <w:tcPr>
            <w:tcW w:w="291" w:type="pct"/>
            <w:vAlign w:val="center"/>
          </w:tcPr>
          <w:p w14:paraId="0BCFAFA4">
            <w:pPr>
              <w:pStyle w:val="133"/>
            </w:pPr>
          </w:p>
        </w:tc>
        <w:tc>
          <w:tcPr>
            <w:tcW w:w="291" w:type="pct"/>
            <w:vAlign w:val="center"/>
          </w:tcPr>
          <w:p w14:paraId="3991D09D">
            <w:pPr>
              <w:pStyle w:val="133"/>
            </w:pPr>
          </w:p>
        </w:tc>
        <w:tc>
          <w:tcPr>
            <w:tcW w:w="291" w:type="pct"/>
            <w:vAlign w:val="center"/>
          </w:tcPr>
          <w:p w14:paraId="29FCED0E">
            <w:pPr>
              <w:pStyle w:val="133"/>
            </w:pPr>
          </w:p>
        </w:tc>
        <w:tc>
          <w:tcPr>
            <w:tcW w:w="291" w:type="pct"/>
            <w:vAlign w:val="center"/>
          </w:tcPr>
          <w:p w14:paraId="671EF9A4">
            <w:pPr>
              <w:pStyle w:val="133"/>
            </w:pPr>
          </w:p>
        </w:tc>
        <w:tc>
          <w:tcPr>
            <w:tcW w:w="291" w:type="pct"/>
            <w:vAlign w:val="center"/>
          </w:tcPr>
          <w:p w14:paraId="2A5BF454">
            <w:pPr>
              <w:pStyle w:val="133"/>
            </w:pPr>
          </w:p>
        </w:tc>
        <w:tc>
          <w:tcPr>
            <w:tcW w:w="291" w:type="pct"/>
            <w:vAlign w:val="center"/>
          </w:tcPr>
          <w:p w14:paraId="24B8F5A3">
            <w:pPr>
              <w:pStyle w:val="133"/>
            </w:pPr>
          </w:p>
        </w:tc>
        <w:tc>
          <w:tcPr>
            <w:tcW w:w="291" w:type="pct"/>
            <w:vAlign w:val="center"/>
          </w:tcPr>
          <w:p w14:paraId="66B42DC1">
            <w:pPr>
              <w:pStyle w:val="133"/>
            </w:pPr>
            <w:r>
              <w:rPr>
                <w:rFonts w:hint="eastAsia"/>
              </w:rPr>
              <w:t>0.715</w:t>
            </w:r>
          </w:p>
        </w:tc>
        <w:tc>
          <w:tcPr>
            <w:tcW w:w="291" w:type="pct"/>
            <w:vAlign w:val="center"/>
          </w:tcPr>
          <w:p w14:paraId="0BA65A93">
            <w:pPr>
              <w:pStyle w:val="133"/>
            </w:pPr>
          </w:p>
        </w:tc>
        <w:tc>
          <w:tcPr>
            <w:tcW w:w="291" w:type="pct"/>
            <w:vAlign w:val="center"/>
          </w:tcPr>
          <w:p w14:paraId="07ED73DA">
            <w:pPr>
              <w:pStyle w:val="133"/>
            </w:pPr>
          </w:p>
        </w:tc>
      </w:tr>
      <w:tr w14:paraId="16396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71" w:type="pct"/>
            <w:vAlign w:val="center"/>
          </w:tcPr>
          <w:p w14:paraId="687A463E">
            <w:pPr>
              <w:pStyle w:val="133"/>
            </w:pPr>
            <w:r>
              <w:rPr>
                <w:rFonts w:hint="eastAsia"/>
                <w:color w:val="000000"/>
              </w:rPr>
              <w:t>6</w:t>
            </w:r>
          </w:p>
        </w:tc>
        <w:tc>
          <w:tcPr>
            <w:tcW w:w="656" w:type="pct"/>
            <w:vAlign w:val="center"/>
          </w:tcPr>
          <w:p w14:paraId="35E59CB4">
            <w:pPr>
              <w:pStyle w:val="133"/>
            </w:pPr>
            <w:r>
              <w:rPr>
                <w:rFonts w:hint="eastAsia"/>
              </w:rPr>
              <w:t>装车站</w:t>
            </w:r>
          </w:p>
        </w:tc>
        <w:tc>
          <w:tcPr>
            <w:tcW w:w="240" w:type="pct"/>
            <w:vAlign w:val="center"/>
          </w:tcPr>
          <w:p w14:paraId="44B9799C">
            <w:pPr>
              <w:pStyle w:val="133"/>
            </w:pPr>
            <w:r>
              <w:rPr>
                <w:rFonts w:hint="eastAsia"/>
              </w:rPr>
              <w:t>-616</w:t>
            </w:r>
          </w:p>
        </w:tc>
        <w:tc>
          <w:tcPr>
            <w:tcW w:w="240" w:type="pct"/>
            <w:vAlign w:val="center"/>
          </w:tcPr>
          <w:p w14:paraId="1A7B35CF">
            <w:pPr>
              <w:pStyle w:val="133"/>
            </w:pPr>
            <w:r>
              <w:rPr>
                <w:rFonts w:hint="eastAsia"/>
              </w:rPr>
              <w:t>422</w:t>
            </w:r>
          </w:p>
        </w:tc>
        <w:tc>
          <w:tcPr>
            <w:tcW w:w="240" w:type="pct"/>
            <w:vAlign w:val="center"/>
          </w:tcPr>
          <w:p w14:paraId="03CBFB67">
            <w:pPr>
              <w:pStyle w:val="133"/>
            </w:pPr>
            <w:r>
              <w:t>5</w:t>
            </w:r>
          </w:p>
        </w:tc>
        <w:tc>
          <w:tcPr>
            <w:tcW w:w="294" w:type="pct"/>
            <w:vAlign w:val="center"/>
          </w:tcPr>
          <w:p w14:paraId="4378508C">
            <w:pPr>
              <w:pStyle w:val="133"/>
            </w:pPr>
            <w:r>
              <w:t>18</w:t>
            </w:r>
          </w:p>
        </w:tc>
        <w:tc>
          <w:tcPr>
            <w:tcW w:w="280" w:type="pct"/>
            <w:vAlign w:val="center"/>
          </w:tcPr>
          <w:p w14:paraId="79B6D230">
            <w:pPr>
              <w:pStyle w:val="133"/>
            </w:pPr>
            <w:r>
              <w:t>0</w:t>
            </w:r>
          </w:p>
        </w:tc>
        <w:tc>
          <w:tcPr>
            <w:tcW w:w="260" w:type="pct"/>
            <w:vAlign w:val="center"/>
          </w:tcPr>
          <w:p w14:paraId="75AA78A4">
            <w:pPr>
              <w:pStyle w:val="133"/>
            </w:pPr>
            <w:r>
              <w:t>5</w:t>
            </w:r>
          </w:p>
        </w:tc>
        <w:tc>
          <w:tcPr>
            <w:tcW w:w="291" w:type="pct"/>
            <w:vAlign w:val="center"/>
          </w:tcPr>
          <w:p w14:paraId="27E31980">
            <w:pPr>
              <w:pStyle w:val="133"/>
            </w:pPr>
          </w:p>
        </w:tc>
        <w:tc>
          <w:tcPr>
            <w:tcW w:w="291" w:type="pct"/>
            <w:vAlign w:val="center"/>
          </w:tcPr>
          <w:p w14:paraId="4E5608F5">
            <w:pPr>
              <w:pStyle w:val="133"/>
            </w:pPr>
          </w:p>
        </w:tc>
        <w:tc>
          <w:tcPr>
            <w:tcW w:w="291" w:type="pct"/>
            <w:vAlign w:val="center"/>
          </w:tcPr>
          <w:p w14:paraId="55A28774">
            <w:pPr>
              <w:pStyle w:val="133"/>
            </w:pPr>
          </w:p>
        </w:tc>
        <w:tc>
          <w:tcPr>
            <w:tcW w:w="291" w:type="pct"/>
            <w:vAlign w:val="center"/>
          </w:tcPr>
          <w:p w14:paraId="57334EEC">
            <w:pPr>
              <w:pStyle w:val="133"/>
            </w:pPr>
          </w:p>
        </w:tc>
        <w:tc>
          <w:tcPr>
            <w:tcW w:w="291" w:type="pct"/>
            <w:vAlign w:val="center"/>
          </w:tcPr>
          <w:p w14:paraId="66678F25">
            <w:pPr>
              <w:pStyle w:val="133"/>
            </w:pPr>
          </w:p>
        </w:tc>
        <w:tc>
          <w:tcPr>
            <w:tcW w:w="291" w:type="pct"/>
            <w:vAlign w:val="center"/>
          </w:tcPr>
          <w:p w14:paraId="2DEB6F5C">
            <w:pPr>
              <w:pStyle w:val="133"/>
            </w:pPr>
          </w:p>
        </w:tc>
        <w:tc>
          <w:tcPr>
            <w:tcW w:w="291" w:type="pct"/>
            <w:vAlign w:val="center"/>
          </w:tcPr>
          <w:p w14:paraId="3C1BEBFF">
            <w:pPr>
              <w:pStyle w:val="133"/>
            </w:pPr>
            <w:r>
              <w:rPr>
                <w:rFonts w:hint="eastAsia"/>
              </w:rPr>
              <w:t>0.305</w:t>
            </w:r>
          </w:p>
        </w:tc>
        <w:tc>
          <w:tcPr>
            <w:tcW w:w="291" w:type="pct"/>
            <w:vAlign w:val="center"/>
          </w:tcPr>
          <w:p w14:paraId="09149E5F">
            <w:pPr>
              <w:pStyle w:val="133"/>
            </w:pPr>
          </w:p>
        </w:tc>
        <w:tc>
          <w:tcPr>
            <w:tcW w:w="291" w:type="pct"/>
            <w:vAlign w:val="center"/>
          </w:tcPr>
          <w:p w14:paraId="770C46D9">
            <w:pPr>
              <w:pStyle w:val="133"/>
            </w:pPr>
          </w:p>
        </w:tc>
      </w:tr>
      <w:tr w14:paraId="11B01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33E6B376">
            <w:pPr>
              <w:pStyle w:val="133"/>
            </w:pPr>
            <w:r>
              <w:rPr>
                <w:rFonts w:hint="eastAsia"/>
                <w:color w:val="000000"/>
              </w:rPr>
              <w:t>7</w:t>
            </w:r>
          </w:p>
        </w:tc>
        <w:tc>
          <w:tcPr>
            <w:tcW w:w="656" w:type="pct"/>
            <w:vAlign w:val="center"/>
          </w:tcPr>
          <w:p w14:paraId="347F7721">
            <w:pPr>
              <w:pStyle w:val="133"/>
            </w:pPr>
            <w:r>
              <w:rPr>
                <w:rFonts w:hint="eastAsia"/>
              </w:rPr>
              <w:t>污水处理站</w:t>
            </w:r>
          </w:p>
        </w:tc>
        <w:tc>
          <w:tcPr>
            <w:tcW w:w="240" w:type="pct"/>
            <w:vAlign w:val="center"/>
          </w:tcPr>
          <w:p w14:paraId="190A0ED9">
            <w:pPr>
              <w:pStyle w:val="133"/>
            </w:pPr>
            <w:r>
              <w:rPr>
                <w:rFonts w:hint="eastAsia"/>
              </w:rPr>
              <w:t>-130</w:t>
            </w:r>
          </w:p>
        </w:tc>
        <w:tc>
          <w:tcPr>
            <w:tcW w:w="240" w:type="pct"/>
            <w:vAlign w:val="center"/>
          </w:tcPr>
          <w:p w14:paraId="31E856DA">
            <w:pPr>
              <w:pStyle w:val="133"/>
            </w:pPr>
            <w:r>
              <w:rPr>
                <w:rFonts w:hint="eastAsia"/>
              </w:rPr>
              <w:t>195</w:t>
            </w:r>
          </w:p>
        </w:tc>
        <w:tc>
          <w:tcPr>
            <w:tcW w:w="240" w:type="pct"/>
            <w:vAlign w:val="center"/>
          </w:tcPr>
          <w:p w14:paraId="3958AFA1">
            <w:pPr>
              <w:pStyle w:val="133"/>
            </w:pPr>
            <w:r>
              <w:t>18</w:t>
            </w:r>
          </w:p>
        </w:tc>
        <w:tc>
          <w:tcPr>
            <w:tcW w:w="294" w:type="pct"/>
            <w:vAlign w:val="center"/>
          </w:tcPr>
          <w:p w14:paraId="1A568370">
            <w:pPr>
              <w:pStyle w:val="133"/>
            </w:pPr>
            <w:r>
              <w:t>42</w:t>
            </w:r>
          </w:p>
        </w:tc>
        <w:tc>
          <w:tcPr>
            <w:tcW w:w="280" w:type="pct"/>
            <w:vAlign w:val="center"/>
          </w:tcPr>
          <w:p w14:paraId="03FD3243">
            <w:pPr>
              <w:pStyle w:val="133"/>
            </w:pPr>
            <w:r>
              <w:t>0</w:t>
            </w:r>
          </w:p>
        </w:tc>
        <w:tc>
          <w:tcPr>
            <w:tcW w:w="260" w:type="pct"/>
            <w:vAlign w:val="center"/>
          </w:tcPr>
          <w:p w14:paraId="237DEE43">
            <w:pPr>
              <w:pStyle w:val="133"/>
            </w:pPr>
            <w:r>
              <w:t>5</w:t>
            </w:r>
          </w:p>
        </w:tc>
        <w:tc>
          <w:tcPr>
            <w:tcW w:w="291" w:type="pct"/>
            <w:vAlign w:val="center"/>
          </w:tcPr>
          <w:p w14:paraId="312A437A">
            <w:pPr>
              <w:pStyle w:val="133"/>
            </w:pPr>
          </w:p>
        </w:tc>
        <w:tc>
          <w:tcPr>
            <w:tcW w:w="291" w:type="pct"/>
            <w:vAlign w:val="center"/>
          </w:tcPr>
          <w:p w14:paraId="3D6B6F92">
            <w:pPr>
              <w:pStyle w:val="133"/>
            </w:pPr>
          </w:p>
        </w:tc>
        <w:tc>
          <w:tcPr>
            <w:tcW w:w="291" w:type="pct"/>
            <w:vAlign w:val="center"/>
          </w:tcPr>
          <w:p w14:paraId="5DA3FC1E">
            <w:pPr>
              <w:pStyle w:val="133"/>
            </w:pPr>
          </w:p>
        </w:tc>
        <w:tc>
          <w:tcPr>
            <w:tcW w:w="291" w:type="pct"/>
            <w:vAlign w:val="center"/>
          </w:tcPr>
          <w:p w14:paraId="770C010F">
            <w:pPr>
              <w:pStyle w:val="133"/>
            </w:pPr>
          </w:p>
        </w:tc>
        <w:tc>
          <w:tcPr>
            <w:tcW w:w="291" w:type="pct"/>
            <w:vAlign w:val="center"/>
          </w:tcPr>
          <w:p w14:paraId="22918773">
            <w:pPr>
              <w:pStyle w:val="133"/>
            </w:pPr>
          </w:p>
        </w:tc>
        <w:tc>
          <w:tcPr>
            <w:tcW w:w="291" w:type="pct"/>
            <w:vAlign w:val="center"/>
          </w:tcPr>
          <w:p w14:paraId="440608F0">
            <w:pPr>
              <w:pStyle w:val="133"/>
            </w:pPr>
          </w:p>
        </w:tc>
        <w:tc>
          <w:tcPr>
            <w:tcW w:w="291" w:type="pct"/>
            <w:vAlign w:val="center"/>
          </w:tcPr>
          <w:p w14:paraId="3691C7F0">
            <w:pPr>
              <w:pStyle w:val="133"/>
            </w:pPr>
            <w:r>
              <w:rPr>
                <w:rFonts w:hint="eastAsia"/>
              </w:rPr>
              <w:t>0.036</w:t>
            </w:r>
          </w:p>
        </w:tc>
        <w:tc>
          <w:tcPr>
            <w:tcW w:w="291" w:type="pct"/>
            <w:vAlign w:val="center"/>
          </w:tcPr>
          <w:p w14:paraId="7F334B9A">
            <w:pPr>
              <w:pStyle w:val="133"/>
            </w:pPr>
          </w:p>
        </w:tc>
        <w:tc>
          <w:tcPr>
            <w:tcW w:w="291" w:type="pct"/>
            <w:vAlign w:val="center"/>
          </w:tcPr>
          <w:p w14:paraId="6DE84895">
            <w:pPr>
              <w:pStyle w:val="133"/>
            </w:pPr>
          </w:p>
        </w:tc>
      </w:tr>
      <w:tr w14:paraId="55F92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2BCE4E9D">
            <w:pPr>
              <w:pStyle w:val="133"/>
            </w:pPr>
            <w:r>
              <w:rPr>
                <w:rFonts w:hint="eastAsia"/>
                <w:color w:val="000000"/>
              </w:rPr>
              <w:t>8</w:t>
            </w:r>
          </w:p>
        </w:tc>
        <w:tc>
          <w:tcPr>
            <w:tcW w:w="656" w:type="pct"/>
            <w:vAlign w:val="center"/>
          </w:tcPr>
          <w:p w14:paraId="24AAA917">
            <w:pPr>
              <w:pStyle w:val="133"/>
            </w:pPr>
            <w:r>
              <w:rPr>
                <w:rFonts w:hint="eastAsia"/>
              </w:rPr>
              <w:t>硅石球团料场</w:t>
            </w:r>
          </w:p>
        </w:tc>
        <w:tc>
          <w:tcPr>
            <w:tcW w:w="240" w:type="pct"/>
            <w:vAlign w:val="center"/>
          </w:tcPr>
          <w:p w14:paraId="422598D8">
            <w:pPr>
              <w:pStyle w:val="133"/>
            </w:pPr>
            <w:r>
              <w:rPr>
                <w:rFonts w:hint="eastAsia"/>
              </w:rPr>
              <w:t>65</w:t>
            </w:r>
          </w:p>
        </w:tc>
        <w:tc>
          <w:tcPr>
            <w:tcW w:w="240" w:type="pct"/>
            <w:vAlign w:val="center"/>
          </w:tcPr>
          <w:p w14:paraId="376566DE">
            <w:pPr>
              <w:pStyle w:val="133"/>
            </w:pPr>
            <w:r>
              <w:rPr>
                <w:rFonts w:hint="eastAsia"/>
              </w:rPr>
              <w:t>0</w:t>
            </w:r>
          </w:p>
        </w:tc>
        <w:tc>
          <w:tcPr>
            <w:tcW w:w="240" w:type="pct"/>
            <w:vAlign w:val="center"/>
          </w:tcPr>
          <w:p w14:paraId="482828AA">
            <w:pPr>
              <w:pStyle w:val="133"/>
            </w:pPr>
            <w:r>
              <w:t>120</w:t>
            </w:r>
          </w:p>
        </w:tc>
        <w:tc>
          <w:tcPr>
            <w:tcW w:w="294" w:type="pct"/>
            <w:vAlign w:val="center"/>
          </w:tcPr>
          <w:p w14:paraId="47ACEFAD">
            <w:pPr>
              <w:pStyle w:val="133"/>
            </w:pPr>
            <w:r>
              <w:t>60</w:t>
            </w:r>
          </w:p>
        </w:tc>
        <w:tc>
          <w:tcPr>
            <w:tcW w:w="280" w:type="pct"/>
            <w:vAlign w:val="center"/>
          </w:tcPr>
          <w:p w14:paraId="5073AB98">
            <w:pPr>
              <w:pStyle w:val="133"/>
            </w:pPr>
            <w:r>
              <w:t>0</w:t>
            </w:r>
          </w:p>
        </w:tc>
        <w:tc>
          <w:tcPr>
            <w:tcW w:w="260" w:type="pct"/>
            <w:vAlign w:val="center"/>
          </w:tcPr>
          <w:p w14:paraId="008AC7B4">
            <w:pPr>
              <w:pStyle w:val="133"/>
            </w:pPr>
            <w:r>
              <w:t>10</w:t>
            </w:r>
          </w:p>
        </w:tc>
        <w:tc>
          <w:tcPr>
            <w:tcW w:w="291" w:type="pct"/>
            <w:vAlign w:val="center"/>
          </w:tcPr>
          <w:p w14:paraId="671C03EE">
            <w:pPr>
              <w:pStyle w:val="133"/>
            </w:pPr>
          </w:p>
        </w:tc>
        <w:tc>
          <w:tcPr>
            <w:tcW w:w="291" w:type="pct"/>
            <w:vAlign w:val="center"/>
          </w:tcPr>
          <w:p w14:paraId="38CF9C80">
            <w:pPr>
              <w:pStyle w:val="133"/>
            </w:pPr>
          </w:p>
        </w:tc>
        <w:tc>
          <w:tcPr>
            <w:tcW w:w="291" w:type="pct"/>
            <w:vAlign w:val="center"/>
          </w:tcPr>
          <w:p w14:paraId="0FB3B40B">
            <w:pPr>
              <w:pStyle w:val="133"/>
            </w:pPr>
            <w:r>
              <w:rPr>
                <w:rFonts w:hint="eastAsia"/>
                <w:color w:val="000000"/>
              </w:rPr>
              <w:t>3.01</w:t>
            </w:r>
          </w:p>
        </w:tc>
        <w:tc>
          <w:tcPr>
            <w:tcW w:w="291" w:type="pct"/>
            <w:vAlign w:val="center"/>
          </w:tcPr>
          <w:p w14:paraId="7C0EBFCB">
            <w:pPr>
              <w:pStyle w:val="133"/>
            </w:pPr>
          </w:p>
        </w:tc>
        <w:tc>
          <w:tcPr>
            <w:tcW w:w="291" w:type="pct"/>
            <w:vAlign w:val="center"/>
          </w:tcPr>
          <w:p w14:paraId="5CE0B89E">
            <w:pPr>
              <w:pStyle w:val="133"/>
            </w:pPr>
          </w:p>
        </w:tc>
        <w:tc>
          <w:tcPr>
            <w:tcW w:w="291" w:type="pct"/>
            <w:vAlign w:val="center"/>
          </w:tcPr>
          <w:p w14:paraId="34177890">
            <w:pPr>
              <w:pStyle w:val="133"/>
            </w:pPr>
          </w:p>
        </w:tc>
        <w:tc>
          <w:tcPr>
            <w:tcW w:w="291" w:type="pct"/>
            <w:vAlign w:val="center"/>
          </w:tcPr>
          <w:p w14:paraId="03790D20">
            <w:pPr>
              <w:pStyle w:val="133"/>
            </w:pPr>
          </w:p>
        </w:tc>
        <w:tc>
          <w:tcPr>
            <w:tcW w:w="291" w:type="pct"/>
            <w:vAlign w:val="center"/>
          </w:tcPr>
          <w:p w14:paraId="313850F2">
            <w:pPr>
              <w:pStyle w:val="133"/>
            </w:pPr>
          </w:p>
        </w:tc>
        <w:tc>
          <w:tcPr>
            <w:tcW w:w="291" w:type="pct"/>
            <w:vAlign w:val="center"/>
          </w:tcPr>
          <w:p w14:paraId="58861268">
            <w:pPr>
              <w:pStyle w:val="133"/>
            </w:pPr>
          </w:p>
        </w:tc>
      </w:tr>
      <w:tr w14:paraId="0F05D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5312A453">
            <w:pPr>
              <w:pStyle w:val="133"/>
            </w:pPr>
            <w:r>
              <w:rPr>
                <w:rFonts w:hint="eastAsia"/>
                <w:color w:val="000000"/>
              </w:rPr>
              <w:t>9</w:t>
            </w:r>
          </w:p>
        </w:tc>
        <w:tc>
          <w:tcPr>
            <w:tcW w:w="656" w:type="pct"/>
            <w:vAlign w:val="center"/>
          </w:tcPr>
          <w:p w14:paraId="0D36F539">
            <w:pPr>
              <w:pStyle w:val="133"/>
            </w:pPr>
            <w:r>
              <w:rPr>
                <w:rFonts w:hint="eastAsia"/>
              </w:rPr>
              <w:t>兰炭仓</w:t>
            </w:r>
          </w:p>
        </w:tc>
        <w:tc>
          <w:tcPr>
            <w:tcW w:w="240" w:type="pct"/>
            <w:vAlign w:val="center"/>
          </w:tcPr>
          <w:p w14:paraId="106A42DC">
            <w:pPr>
              <w:pStyle w:val="133"/>
            </w:pPr>
            <w:r>
              <w:rPr>
                <w:rFonts w:hint="eastAsia"/>
              </w:rPr>
              <w:t>-454</w:t>
            </w:r>
          </w:p>
        </w:tc>
        <w:tc>
          <w:tcPr>
            <w:tcW w:w="240" w:type="pct"/>
            <w:vAlign w:val="center"/>
          </w:tcPr>
          <w:p w14:paraId="57939968">
            <w:pPr>
              <w:pStyle w:val="133"/>
            </w:pPr>
            <w:r>
              <w:rPr>
                <w:rFonts w:hint="eastAsia"/>
              </w:rPr>
              <w:t>65</w:t>
            </w:r>
          </w:p>
        </w:tc>
        <w:tc>
          <w:tcPr>
            <w:tcW w:w="240" w:type="pct"/>
            <w:vAlign w:val="center"/>
          </w:tcPr>
          <w:p w14:paraId="5471206B">
            <w:pPr>
              <w:pStyle w:val="133"/>
            </w:pPr>
            <w:r>
              <w:t>82</w:t>
            </w:r>
          </w:p>
        </w:tc>
        <w:tc>
          <w:tcPr>
            <w:tcW w:w="294" w:type="pct"/>
            <w:vAlign w:val="center"/>
          </w:tcPr>
          <w:p w14:paraId="12F58975">
            <w:pPr>
              <w:pStyle w:val="133"/>
            </w:pPr>
            <w:r>
              <w:t>98</w:t>
            </w:r>
          </w:p>
        </w:tc>
        <w:tc>
          <w:tcPr>
            <w:tcW w:w="280" w:type="pct"/>
            <w:vAlign w:val="center"/>
          </w:tcPr>
          <w:p w14:paraId="70A70626">
            <w:pPr>
              <w:pStyle w:val="133"/>
            </w:pPr>
            <w:r>
              <w:t>0</w:t>
            </w:r>
          </w:p>
        </w:tc>
        <w:tc>
          <w:tcPr>
            <w:tcW w:w="260" w:type="pct"/>
            <w:vAlign w:val="center"/>
          </w:tcPr>
          <w:p w14:paraId="52A3C5EE">
            <w:pPr>
              <w:pStyle w:val="133"/>
            </w:pPr>
            <w:r>
              <w:t>10</w:t>
            </w:r>
          </w:p>
        </w:tc>
        <w:tc>
          <w:tcPr>
            <w:tcW w:w="291" w:type="pct"/>
            <w:vAlign w:val="center"/>
          </w:tcPr>
          <w:p w14:paraId="6FED2B7A">
            <w:pPr>
              <w:pStyle w:val="133"/>
            </w:pPr>
          </w:p>
        </w:tc>
        <w:tc>
          <w:tcPr>
            <w:tcW w:w="291" w:type="pct"/>
            <w:vAlign w:val="center"/>
          </w:tcPr>
          <w:p w14:paraId="78A9D65C">
            <w:pPr>
              <w:pStyle w:val="133"/>
            </w:pPr>
          </w:p>
        </w:tc>
        <w:tc>
          <w:tcPr>
            <w:tcW w:w="291" w:type="pct"/>
            <w:vAlign w:val="center"/>
          </w:tcPr>
          <w:p w14:paraId="26918F1E">
            <w:pPr>
              <w:pStyle w:val="133"/>
            </w:pPr>
            <w:r>
              <w:rPr>
                <w:rFonts w:hint="eastAsia"/>
                <w:color w:val="000000"/>
              </w:rPr>
              <w:t>3.24</w:t>
            </w:r>
          </w:p>
        </w:tc>
        <w:tc>
          <w:tcPr>
            <w:tcW w:w="291" w:type="pct"/>
            <w:vAlign w:val="center"/>
          </w:tcPr>
          <w:p w14:paraId="392C49F1">
            <w:pPr>
              <w:pStyle w:val="133"/>
            </w:pPr>
          </w:p>
        </w:tc>
        <w:tc>
          <w:tcPr>
            <w:tcW w:w="291" w:type="pct"/>
            <w:vAlign w:val="center"/>
          </w:tcPr>
          <w:p w14:paraId="731D666F">
            <w:pPr>
              <w:pStyle w:val="133"/>
            </w:pPr>
          </w:p>
        </w:tc>
        <w:tc>
          <w:tcPr>
            <w:tcW w:w="291" w:type="pct"/>
            <w:vAlign w:val="center"/>
          </w:tcPr>
          <w:p w14:paraId="49EF9FE4">
            <w:pPr>
              <w:pStyle w:val="133"/>
            </w:pPr>
          </w:p>
        </w:tc>
        <w:tc>
          <w:tcPr>
            <w:tcW w:w="291" w:type="pct"/>
            <w:vAlign w:val="center"/>
          </w:tcPr>
          <w:p w14:paraId="08D5D981">
            <w:pPr>
              <w:pStyle w:val="133"/>
            </w:pPr>
          </w:p>
        </w:tc>
        <w:tc>
          <w:tcPr>
            <w:tcW w:w="291" w:type="pct"/>
            <w:vAlign w:val="center"/>
          </w:tcPr>
          <w:p w14:paraId="1802749E">
            <w:pPr>
              <w:pStyle w:val="133"/>
            </w:pPr>
          </w:p>
        </w:tc>
        <w:tc>
          <w:tcPr>
            <w:tcW w:w="291" w:type="pct"/>
            <w:vAlign w:val="center"/>
          </w:tcPr>
          <w:p w14:paraId="31408ACB">
            <w:pPr>
              <w:pStyle w:val="133"/>
            </w:pPr>
          </w:p>
        </w:tc>
      </w:tr>
      <w:tr w14:paraId="5840A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6F23031C">
            <w:pPr>
              <w:pStyle w:val="133"/>
            </w:pPr>
            <w:r>
              <w:rPr>
                <w:rFonts w:hint="eastAsia"/>
                <w:color w:val="000000"/>
              </w:rPr>
              <w:t>10</w:t>
            </w:r>
          </w:p>
        </w:tc>
        <w:tc>
          <w:tcPr>
            <w:tcW w:w="656" w:type="pct"/>
            <w:vAlign w:val="center"/>
          </w:tcPr>
          <w:p w14:paraId="2D3B4A33">
            <w:pPr>
              <w:pStyle w:val="133"/>
            </w:pPr>
            <w:r>
              <w:rPr>
                <w:rFonts w:hint="eastAsia"/>
              </w:rPr>
              <w:t>配料上料间</w:t>
            </w:r>
          </w:p>
        </w:tc>
        <w:tc>
          <w:tcPr>
            <w:tcW w:w="240" w:type="pct"/>
            <w:vAlign w:val="center"/>
          </w:tcPr>
          <w:p w14:paraId="569A5846">
            <w:pPr>
              <w:pStyle w:val="133"/>
            </w:pPr>
            <w:r>
              <w:rPr>
                <w:rFonts w:hint="eastAsia"/>
              </w:rPr>
              <w:t>454</w:t>
            </w:r>
          </w:p>
        </w:tc>
        <w:tc>
          <w:tcPr>
            <w:tcW w:w="240" w:type="pct"/>
            <w:vAlign w:val="center"/>
          </w:tcPr>
          <w:p w14:paraId="7A3955C9">
            <w:pPr>
              <w:pStyle w:val="133"/>
            </w:pPr>
            <w:r>
              <w:rPr>
                <w:rFonts w:hint="eastAsia"/>
              </w:rPr>
              <w:t>0</w:t>
            </w:r>
          </w:p>
        </w:tc>
        <w:tc>
          <w:tcPr>
            <w:tcW w:w="240" w:type="pct"/>
            <w:vAlign w:val="center"/>
          </w:tcPr>
          <w:p w14:paraId="049CF07E">
            <w:pPr>
              <w:pStyle w:val="133"/>
            </w:pPr>
            <w:r>
              <w:t>35</w:t>
            </w:r>
          </w:p>
        </w:tc>
        <w:tc>
          <w:tcPr>
            <w:tcW w:w="294" w:type="pct"/>
            <w:vAlign w:val="center"/>
          </w:tcPr>
          <w:p w14:paraId="13C2B79E">
            <w:pPr>
              <w:pStyle w:val="133"/>
            </w:pPr>
            <w:r>
              <w:t>10</w:t>
            </w:r>
          </w:p>
        </w:tc>
        <w:tc>
          <w:tcPr>
            <w:tcW w:w="280" w:type="pct"/>
            <w:vAlign w:val="center"/>
          </w:tcPr>
          <w:p w14:paraId="300AD176">
            <w:pPr>
              <w:pStyle w:val="133"/>
            </w:pPr>
            <w:r>
              <w:t>0</w:t>
            </w:r>
          </w:p>
        </w:tc>
        <w:tc>
          <w:tcPr>
            <w:tcW w:w="260" w:type="pct"/>
            <w:vAlign w:val="center"/>
          </w:tcPr>
          <w:p w14:paraId="2A126406">
            <w:pPr>
              <w:pStyle w:val="133"/>
            </w:pPr>
            <w:r>
              <w:t>10</w:t>
            </w:r>
          </w:p>
        </w:tc>
        <w:tc>
          <w:tcPr>
            <w:tcW w:w="291" w:type="pct"/>
            <w:vAlign w:val="center"/>
          </w:tcPr>
          <w:p w14:paraId="1E9410F3">
            <w:pPr>
              <w:pStyle w:val="133"/>
            </w:pPr>
          </w:p>
        </w:tc>
        <w:tc>
          <w:tcPr>
            <w:tcW w:w="291" w:type="pct"/>
            <w:vAlign w:val="center"/>
          </w:tcPr>
          <w:p w14:paraId="315AFACB">
            <w:pPr>
              <w:pStyle w:val="133"/>
            </w:pPr>
          </w:p>
        </w:tc>
        <w:tc>
          <w:tcPr>
            <w:tcW w:w="291" w:type="pct"/>
            <w:vAlign w:val="center"/>
          </w:tcPr>
          <w:p w14:paraId="0A540049">
            <w:pPr>
              <w:pStyle w:val="133"/>
            </w:pPr>
            <w:r>
              <w:rPr>
                <w:rFonts w:hint="eastAsia"/>
                <w:color w:val="000000"/>
              </w:rPr>
              <w:t>0.02</w:t>
            </w:r>
          </w:p>
        </w:tc>
        <w:tc>
          <w:tcPr>
            <w:tcW w:w="291" w:type="pct"/>
            <w:vAlign w:val="center"/>
          </w:tcPr>
          <w:p w14:paraId="539BAF62">
            <w:pPr>
              <w:pStyle w:val="133"/>
            </w:pPr>
          </w:p>
        </w:tc>
        <w:tc>
          <w:tcPr>
            <w:tcW w:w="291" w:type="pct"/>
            <w:vAlign w:val="center"/>
          </w:tcPr>
          <w:p w14:paraId="16A42BA7">
            <w:pPr>
              <w:pStyle w:val="133"/>
            </w:pPr>
          </w:p>
        </w:tc>
        <w:tc>
          <w:tcPr>
            <w:tcW w:w="291" w:type="pct"/>
            <w:vAlign w:val="center"/>
          </w:tcPr>
          <w:p w14:paraId="332B7278">
            <w:pPr>
              <w:pStyle w:val="133"/>
            </w:pPr>
          </w:p>
        </w:tc>
        <w:tc>
          <w:tcPr>
            <w:tcW w:w="291" w:type="pct"/>
            <w:vAlign w:val="center"/>
          </w:tcPr>
          <w:p w14:paraId="24D34667">
            <w:pPr>
              <w:pStyle w:val="133"/>
            </w:pPr>
          </w:p>
        </w:tc>
        <w:tc>
          <w:tcPr>
            <w:tcW w:w="291" w:type="pct"/>
            <w:vAlign w:val="center"/>
          </w:tcPr>
          <w:p w14:paraId="2E70EE1D">
            <w:pPr>
              <w:pStyle w:val="133"/>
            </w:pPr>
          </w:p>
        </w:tc>
        <w:tc>
          <w:tcPr>
            <w:tcW w:w="291" w:type="pct"/>
            <w:vAlign w:val="center"/>
          </w:tcPr>
          <w:p w14:paraId="3D6B93FF">
            <w:pPr>
              <w:pStyle w:val="133"/>
            </w:pPr>
          </w:p>
        </w:tc>
      </w:tr>
      <w:tr w14:paraId="2E6B8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43EBC5DC">
            <w:pPr>
              <w:pStyle w:val="133"/>
            </w:pPr>
            <w:r>
              <w:rPr>
                <w:rFonts w:hint="eastAsia"/>
                <w:color w:val="000000"/>
              </w:rPr>
              <w:t>11</w:t>
            </w:r>
          </w:p>
        </w:tc>
        <w:tc>
          <w:tcPr>
            <w:tcW w:w="656" w:type="pct"/>
            <w:vAlign w:val="center"/>
          </w:tcPr>
          <w:p w14:paraId="471253A0">
            <w:pPr>
              <w:pStyle w:val="133"/>
            </w:pPr>
            <w:r>
              <w:rPr>
                <w:rFonts w:hint="eastAsia"/>
              </w:rPr>
              <w:t>冶炼车间</w:t>
            </w:r>
          </w:p>
        </w:tc>
        <w:tc>
          <w:tcPr>
            <w:tcW w:w="240" w:type="pct"/>
            <w:vAlign w:val="center"/>
          </w:tcPr>
          <w:p w14:paraId="251EFEA3">
            <w:pPr>
              <w:pStyle w:val="133"/>
            </w:pPr>
            <w:r>
              <w:rPr>
                <w:rFonts w:hint="eastAsia"/>
              </w:rPr>
              <w:t>454</w:t>
            </w:r>
          </w:p>
        </w:tc>
        <w:tc>
          <w:tcPr>
            <w:tcW w:w="240" w:type="pct"/>
            <w:vAlign w:val="center"/>
          </w:tcPr>
          <w:p w14:paraId="311B8111">
            <w:pPr>
              <w:pStyle w:val="133"/>
            </w:pPr>
            <w:r>
              <w:rPr>
                <w:rFonts w:hint="eastAsia"/>
              </w:rPr>
              <w:t>-33</w:t>
            </w:r>
          </w:p>
        </w:tc>
        <w:tc>
          <w:tcPr>
            <w:tcW w:w="240" w:type="pct"/>
            <w:vAlign w:val="center"/>
          </w:tcPr>
          <w:p w14:paraId="07333874">
            <w:pPr>
              <w:pStyle w:val="133"/>
            </w:pPr>
            <w:r>
              <w:t>37</w:t>
            </w:r>
          </w:p>
        </w:tc>
        <w:tc>
          <w:tcPr>
            <w:tcW w:w="294" w:type="pct"/>
            <w:vAlign w:val="center"/>
          </w:tcPr>
          <w:p w14:paraId="5309745C">
            <w:pPr>
              <w:pStyle w:val="133"/>
            </w:pPr>
            <w:r>
              <w:t>80</w:t>
            </w:r>
          </w:p>
        </w:tc>
        <w:tc>
          <w:tcPr>
            <w:tcW w:w="280" w:type="pct"/>
            <w:vAlign w:val="center"/>
          </w:tcPr>
          <w:p w14:paraId="2CC1CC6F">
            <w:pPr>
              <w:pStyle w:val="133"/>
            </w:pPr>
            <w:r>
              <w:t>0</w:t>
            </w:r>
          </w:p>
        </w:tc>
        <w:tc>
          <w:tcPr>
            <w:tcW w:w="260" w:type="pct"/>
            <w:vAlign w:val="center"/>
          </w:tcPr>
          <w:p w14:paraId="21CC7E17">
            <w:pPr>
              <w:pStyle w:val="133"/>
            </w:pPr>
            <w:r>
              <w:t>10</w:t>
            </w:r>
          </w:p>
        </w:tc>
        <w:tc>
          <w:tcPr>
            <w:tcW w:w="291" w:type="pct"/>
            <w:vAlign w:val="center"/>
          </w:tcPr>
          <w:p w14:paraId="3D0E01F0">
            <w:pPr>
              <w:pStyle w:val="133"/>
            </w:pPr>
            <w:r>
              <w:rPr>
                <w:rFonts w:hint="eastAsia"/>
              </w:rPr>
              <w:t>7.75</w:t>
            </w:r>
          </w:p>
        </w:tc>
        <w:tc>
          <w:tcPr>
            <w:tcW w:w="291" w:type="pct"/>
            <w:vAlign w:val="center"/>
          </w:tcPr>
          <w:p w14:paraId="5D6D15E6">
            <w:pPr>
              <w:pStyle w:val="133"/>
            </w:pPr>
            <w:r>
              <w:rPr>
                <w:rFonts w:hint="eastAsia"/>
              </w:rPr>
              <w:t>1.404</w:t>
            </w:r>
          </w:p>
        </w:tc>
        <w:tc>
          <w:tcPr>
            <w:tcW w:w="291" w:type="pct"/>
            <w:vAlign w:val="center"/>
          </w:tcPr>
          <w:p w14:paraId="3CEDFDDC">
            <w:pPr>
              <w:pStyle w:val="133"/>
            </w:pPr>
            <w:r>
              <w:rPr>
                <w:rFonts w:hint="eastAsia"/>
              </w:rPr>
              <w:t>0.78</w:t>
            </w:r>
          </w:p>
        </w:tc>
        <w:tc>
          <w:tcPr>
            <w:tcW w:w="291" w:type="pct"/>
            <w:vAlign w:val="center"/>
          </w:tcPr>
          <w:p w14:paraId="1130AA94">
            <w:pPr>
              <w:pStyle w:val="133"/>
            </w:pPr>
          </w:p>
        </w:tc>
        <w:tc>
          <w:tcPr>
            <w:tcW w:w="291" w:type="pct"/>
            <w:vAlign w:val="center"/>
          </w:tcPr>
          <w:p w14:paraId="130CB873">
            <w:pPr>
              <w:pStyle w:val="133"/>
            </w:pPr>
          </w:p>
        </w:tc>
        <w:tc>
          <w:tcPr>
            <w:tcW w:w="291" w:type="pct"/>
            <w:vAlign w:val="center"/>
          </w:tcPr>
          <w:p w14:paraId="6A0CCE98">
            <w:pPr>
              <w:pStyle w:val="133"/>
            </w:pPr>
          </w:p>
        </w:tc>
        <w:tc>
          <w:tcPr>
            <w:tcW w:w="291" w:type="pct"/>
            <w:vAlign w:val="center"/>
          </w:tcPr>
          <w:p w14:paraId="085E8D9D">
            <w:pPr>
              <w:pStyle w:val="133"/>
            </w:pPr>
          </w:p>
        </w:tc>
        <w:tc>
          <w:tcPr>
            <w:tcW w:w="291" w:type="pct"/>
            <w:vAlign w:val="center"/>
          </w:tcPr>
          <w:p w14:paraId="5F7A1DFD">
            <w:pPr>
              <w:pStyle w:val="133"/>
            </w:pPr>
          </w:p>
        </w:tc>
        <w:tc>
          <w:tcPr>
            <w:tcW w:w="291" w:type="pct"/>
            <w:vAlign w:val="center"/>
          </w:tcPr>
          <w:p w14:paraId="6ADD4E52">
            <w:pPr>
              <w:pStyle w:val="133"/>
            </w:pPr>
          </w:p>
        </w:tc>
      </w:tr>
      <w:tr w14:paraId="559FF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6DE19BBD">
            <w:pPr>
              <w:pStyle w:val="133"/>
            </w:pPr>
            <w:r>
              <w:rPr>
                <w:rFonts w:hint="eastAsia"/>
                <w:color w:val="000000"/>
              </w:rPr>
              <w:t>12</w:t>
            </w:r>
          </w:p>
        </w:tc>
        <w:tc>
          <w:tcPr>
            <w:tcW w:w="656" w:type="pct"/>
            <w:vAlign w:val="center"/>
          </w:tcPr>
          <w:p w14:paraId="032093EE">
            <w:pPr>
              <w:pStyle w:val="133"/>
            </w:pPr>
            <w:r>
              <w:rPr>
                <w:rFonts w:hint="eastAsia"/>
              </w:rPr>
              <w:t>铸造车间</w:t>
            </w:r>
          </w:p>
        </w:tc>
        <w:tc>
          <w:tcPr>
            <w:tcW w:w="240" w:type="pct"/>
            <w:vAlign w:val="center"/>
          </w:tcPr>
          <w:p w14:paraId="13D7C517">
            <w:pPr>
              <w:pStyle w:val="133"/>
            </w:pPr>
            <w:r>
              <w:rPr>
                <w:rFonts w:hint="eastAsia"/>
              </w:rPr>
              <w:t>130</w:t>
            </w:r>
          </w:p>
        </w:tc>
        <w:tc>
          <w:tcPr>
            <w:tcW w:w="240" w:type="pct"/>
            <w:vAlign w:val="center"/>
          </w:tcPr>
          <w:p w14:paraId="57B0BC9A">
            <w:pPr>
              <w:pStyle w:val="133"/>
            </w:pPr>
            <w:r>
              <w:rPr>
                <w:rFonts w:hint="eastAsia"/>
              </w:rPr>
              <w:t>65</w:t>
            </w:r>
          </w:p>
        </w:tc>
        <w:tc>
          <w:tcPr>
            <w:tcW w:w="240" w:type="pct"/>
            <w:vAlign w:val="center"/>
          </w:tcPr>
          <w:p w14:paraId="32404819">
            <w:pPr>
              <w:pStyle w:val="133"/>
            </w:pPr>
            <w:r>
              <w:t>80</w:t>
            </w:r>
          </w:p>
        </w:tc>
        <w:tc>
          <w:tcPr>
            <w:tcW w:w="294" w:type="pct"/>
            <w:vAlign w:val="center"/>
          </w:tcPr>
          <w:p w14:paraId="671AACFD">
            <w:pPr>
              <w:pStyle w:val="133"/>
            </w:pPr>
            <w:r>
              <w:t>57</w:t>
            </w:r>
          </w:p>
        </w:tc>
        <w:tc>
          <w:tcPr>
            <w:tcW w:w="280" w:type="pct"/>
            <w:vAlign w:val="center"/>
          </w:tcPr>
          <w:p w14:paraId="056B51D0">
            <w:pPr>
              <w:pStyle w:val="133"/>
            </w:pPr>
            <w:r>
              <w:t>0</w:t>
            </w:r>
          </w:p>
        </w:tc>
        <w:tc>
          <w:tcPr>
            <w:tcW w:w="260" w:type="pct"/>
            <w:vAlign w:val="center"/>
          </w:tcPr>
          <w:p w14:paraId="012E3B42">
            <w:pPr>
              <w:pStyle w:val="133"/>
            </w:pPr>
            <w:r>
              <w:t>10</w:t>
            </w:r>
          </w:p>
        </w:tc>
        <w:tc>
          <w:tcPr>
            <w:tcW w:w="291" w:type="pct"/>
            <w:vAlign w:val="center"/>
          </w:tcPr>
          <w:p w14:paraId="65A40A46">
            <w:pPr>
              <w:pStyle w:val="133"/>
            </w:pPr>
          </w:p>
        </w:tc>
        <w:tc>
          <w:tcPr>
            <w:tcW w:w="291" w:type="pct"/>
            <w:vAlign w:val="center"/>
          </w:tcPr>
          <w:p w14:paraId="612AFB37">
            <w:pPr>
              <w:pStyle w:val="133"/>
            </w:pPr>
          </w:p>
        </w:tc>
        <w:tc>
          <w:tcPr>
            <w:tcW w:w="291" w:type="pct"/>
            <w:vAlign w:val="center"/>
          </w:tcPr>
          <w:p w14:paraId="48F465D7">
            <w:pPr>
              <w:pStyle w:val="133"/>
            </w:pPr>
            <w:r>
              <w:rPr>
                <w:rFonts w:hint="eastAsia"/>
                <w:color w:val="000000"/>
              </w:rPr>
              <w:t>0.04</w:t>
            </w:r>
          </w:p>
        </w:tc>
        <w:tc>
          <w:tcPr>
            <w:tcW w:w="291" w:type="pct"/>
            <w:vAlign w:val="center"/>
          </w:tcPr>
          <w:p w14:paraId="62F3C26B">
            <w:pPr>
              <w:pStyle w:val="133"/>
            </w:pPr>
          </w:p>
        </w:tc>
        <w:tc>
          <w:tcPr>
            <w:tcW w:w="291" w:type="pct"/>
            <w:vAlign w:val="center"/>
          </w:tcPr>
          <w:p w14:paraId="3C76707E">
            <w:pPr>
              <w:pStyle w:val="133"/>
            </w:pPr>
          </w:p>
        </w:tc>
        <w:tc>
          <w:tcPr>
            <w:tcW w:w="291" w:type="pct"/>
            <w:vAlign w:val="center"/>
          </w:tcPr>
          <w:p w14:paraId="26C661A6">
            <w:pPr>
              <w:pStyle w:val="133"/>
            </w:pPr>
          </w:p>
        </w:tc>
        <w:tc>
          <w:tcPr>
            <w:tcW w:w="291" w:type="pct"/>
            <w:vAlign w:val="center"/>
          </w:tcPr>
          <w:p w14:paraId="239CE8E9">
            <w:pPr>
              <w:pStyle w:val="133"/>
            </w:pPr>
          </w:p>
        </w:tc>
        <w:tc>
          <w:tcPr>
            <w:tcW w:w="291" w:type="pct"/>
            <w:vAlign w:val="center"/>
          </w:tcPr>
          <w:p w14:paraId="2E463F67">
            <w:pPr>
              <w:pStyle w:val="133"/>
            </w:pPr>
          </w:p>
        </w:tc>
        <w:tc>
          <w:tcPr>
            <w:tcW w:w="291" w:type="pct"/>
            <w:vAlign w:val="center"/>
          </w:tcPr>
          <w:p w14:paraId="57FB2F7A">
            <w:pPr>
              <w:pStyle w:val="133"/>
            </w:pPr>
          </w:p>
        </w:tc>
      </w:tr>
      <w:tr w14:paraId="286DA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171" w:type="pct"/>
            <w:vAlign w:val="center"/>
          </w:tcPr>
          <w:p w14:paraId="73E152B2">
            <w:pPr>
              <w:pStyle w:val="133"/>
            </w:pPr>
            <w:r>
              <w:rPr>
                <w:rFonts w:hint="eastAsia"/>
                <w:color w:val="000000"/>
              </w:rPr>
              <w:t>13</w:t>
            </w:r>
          </w:p>
        </w:tc>
        <w:tc>
          <w:tcPr>
            <w:tcW w:w="656" w:type="pct"/>
            <w:vAlign w:val="center"/>
          </w:tcPr>
          <w:p w14:paraId="262E70CD">
            <w:pPr>
              <w:pStyle w:val="133"/>
            </w:pPr>
            <w:r>
              <w:rPr>
                <w:rFonts w:hint="eastAsia"/>
              </w:rPr>
              <w:t>成品破碎车间</w:t>
            </w:r>
          </w:p>
        </w:tc>
        <w:tc>
          <w:tcPr>
            <w:tcW w:w="240" w:type="pct"/>
            <w:vAlign w:val="center"/>
          </w:tcPr>
          <w:p w14:paraId="5EAA1EF2">
            <w:pPr>
              <w:pStyle w:val="133"/>
            </w:pPr>
            <w:r>
              <w:rPr>
                <w:rFonts w:hint="eastAsia"/>
              </w:rPr>
              <w:t>80</w:t>
            </w:r>
          </w:p>
        </w:tc>
        <w:tc>
          <w:tcPr>
            <w:tcW w:w="240" w:type="pct"/>
            <w:vAlign w:val="center"/>
          </w:tcPr>
          <w:p w14:paraId="3F7205C7">
            <w:pPr>
              <w:pStyle w:val="133"/>
            </w:pPr>
            <w:r>
              <w:rPr>
                <w:rFonts w:hint="eastAsia"/>
              </w:rPr>
              <w:t>65</w:t>
            </w:r>
          </w:p>
        </w:tc>
        <w:tc>
          <w:tcPr>
            <w:tcW w:w="240" w:type="pct"/>
            <w:vAlign w:val="center"/>
          </w:tcPr>
          <w:p w14:paraId="1454714C">
            <w:pPr>
              <w:pStyle w:val="133"/>
            </w:pPr>
            <w:r>
              <w:t>20</w:t>
            </w:r>
          </w:p>
        </w:tc>
        <w:tc>
          <w:tcPr>
            <w:tcW w:w="294" w:type="pct"/>
            <w:vAlign w:val="center"/>
          </w:tcPr>
          <w:p w14:paraId="068B2776">
            <w:pPr>
              <w:pStyle w:val="133"/>
            </w:pPr>
            <w:r>
              <w:t>25</w:t>
            </w:r>
          </w:p>
        </w:tc>
        <w:tc>
          <w:tcPr>
            <w:tcW w:w="280" w:type="pct"/>
            <w:vAlign w:val="center"/>
          </w:tcPr>
          <w:p w14:paraId="23758BD9">
            <w:pPr>
              <w:pStyle w:val="133"/>
            </w:pPr>
            <w:r>
              <w:t>0</w:t>
            </w:r>
          </w:p>
        </w:tc>
        <w:tc>
          <w:tcPr>
            <w:tcW w:w="260" w:type="pct"/>
            <w:vAlign w:val="center"/>
          </w:tcPr>
          <w:p w14:paraId="6F82BD39">
            <w:pPr>
              <w:pStyle w:val="133"/>
            </w:pPr>
            <w:r>
              <w:t>10</w:t>
            </w:r>
          </w:p>
        </w:tc>
        <w:tc>
          <w:tcPr>
            <w:tcW w:w="291" w:type="pct"/>
            <w:vAlign w:val="center"/>
          </w:tcPr>
          <w:p w14:paraId="05A23929">
            <w:pPr>
              <w:pStyle w:val="133"/>
            </w:pPr>
          </w:p>
        </w:tc>
        <w:tc>
          <w:tcPr>
            <w:tcW w:w="291" w:type="pct"/>
            <w:vAlign w:val="center"/>
          </w:tcPr>
          <w:p w14:paraId="3B777A57">
            <w:pPr>
              <w:pStyle w:val="133"/>
            </w:pPr>
          </w:p>
        </w:tc>
        <w:tc>
          <w:tcPr>
            <w:tcW w:w="291" w:type="pct"/>
            <w:vAlign w:val="center"/>
          </w:tcPr>
          <w:p w14:paraId="719D2808">
            <w:pPr>
              <w:pStyle w:val="133"/>
            </w:pPr>
            <w:r>
              <w:rPr>
                <w:rFonts w:hint="eastAsia"/>
                <w:color w:val="000000"/>
              </w:rPr>
              <w:t>0.003</w:t>
            </w:r>
          </w:p>
        </w:tc>
        <w:tc>
          <w:tcPr>
            <w:tcW w:w="291" w:type="pct"/>
            <w:vAlign w:val="center"/>
          </w:tcPr>
          <w:p w14:paraId="35159F3C">
            <w:pPr>
              <w:pStyle w:val="133"/>
            </w:pPr>
          </w:p>
        </w:tc>
        <w:tc>
          <w:tcPr>
            <w:tcW w:w="291" w:type="pct"/>
            <w:vAlign w:val="center"/>
          </w:tcPr>
          <w:p w14:paraId="198AA308">
            <w:pPr>
              <w:pStyle w:val="133"/>
            </w:pPr>
          </w:p>
        </w:tc>
        <w:tc>
          <w:tcPr>
            <w:tcW w:w="291" w:type="pct"/>
            <w:vAlign w:val="center"/>
          </w:tcPr>
          <w:p w14:paraId="769D2266">
            <w:pPr>
              <w:pStyle w:val="133"/>
            </w:pPr>
          </w:p>
        </w:tc>
        <w:tc>
          <w:tcPr>
            <w:tcW w:w="291" w:type="pct"/>
            <w:vAlign w:val="center"/>
          </w:tcPr>
          <w:p w14:paraId="053DA19D">
            <w:pPr>
              <w:pStyle w:val="133"/>
            </w:pPr>
          </w:p>
        </w:tc>
        <w:tc>
          <w:tcPr>
            <w:tcW w:w="291" w:type="pct"/>
            <w:vAlign w:val="center"/>
          </w:tcPr>
          <w:p w14:paraId="2EC8CFFE">
            <w:pPr>
              <w:pStyle w:val="133"/>
            </w:pPr>
          </w:p>
        </w:tc>
        <w:tc>
          <w:tcPr>
            <w:tcW w:w="291" w:type="pct"/>
            <w:vAlign w:val="center"/>
          </w:tcPr>
          <w:p w14:paraId="68E0219B">
            <w:pPr>
              <w:pStyle w:val="133"/>
            </w:pPr>
          </w:p>
        </w:tc>
      </w:tr>
    </w:tbl>
    <w:p w14:paraId="12F53BF9">
      <w:pPr>
        <w:pStyle w:val="133"/>
        <w:rPr>
          <w:highlight w:val="green"/>
        </w:rPr>
      </w:pPr>
    </w:p>
    <w:p w14:paraId="650A8151">
      <w:pPr>
        <w:widowControl/>
        <w:spacing w:line="240" w:lineRule="auto"/>
        <w:ind w:firstLine="0" w:firstLineChars="0"/>
        <w:jc w:val="left"/>
        <w:rPr>
          <w:b/>
          <w:color w:val="000000"/>
          <w:szCs w:val="28"/>
        </w:rPr>
      </w:pPr>
      <w:r>
        <w:br w:type="page"/>
      </w:r>
    </w:p>
    <w:p w14:paraId="5F0FF3AA">
      <w:pPr>
        <w:pStyle w:val="118"/>
      </w:pPr>
      <w:r>
        <w:t>表</w:t>
      </w:r>
      <w:r>
        <w:rPr>
          <w:rFonts w:hint="eastAsia"/>
        </w:rPr>
        <w:t>5.2-8</w:t>
      </w:r>
      <w:r>
        <w:t xml:space="preserve">  </w:t>
      </w:r>
      <w:r>
        <w:rPr>
          <w:rFonts w:hint="eastAsia"/>
        </w:rPr>
        <w:t>非正常工况</w:t>
      </w:r>
      <w:r>
        <w:t>污染物计算参数选取值一览表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96"/>
        <w:gridCol w:w="2510"/>
        <w:gridCol w:w="1210"/>
        <w:gridCol w:w="1210"/>
        <w:gridCol w:w="1351"/>
        <w:gridCol w:w="1340"/>
        <w:gridCol w:w="1351"/>
        <w:gridCol w:w="1228"/>
        <w:gridCol w:w="962"/>
        <w:gridCol w:w="965"/>
        <w:gridCol w:w="965"/>
      </w:tblGrid>
      <w:tr w14:paraId="28C6B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320" w:type="pct"/>
            <w:vMerge w:val="restart"/>
            <w:noWrap/>
            <w:vAlign w:val="center"/>
          </w:tcPr>
          <w:p w14:paraId="0203A88A">
            <w:pPr>
              <w:pStyle w:val="133"/>
              <w:rPr>
                <w:rFonts w:cs="Times New Roman"/>
                <w:b/>
                <w:bCs/>
                <w:sz w:val="18"/>
                <w:szCs w:val="18"/>
              </w:rPr>
            </w:pPr>
            <w:r>
              <w:rPr>
                <w:rFonts w:cs="Times New Roman"/>
                <w:b/>
                <w:bCs/>
                <w:sz w:val="18"/>
                <w:szCs w:val="18"/>
              </w:rPr>
              <w:t>编号</w:t>
            </w:r>
          </w:p>
        </w:tc>
        <w:tc>
          <w:tcPr>
            <w:tcW w:w="897" w:type="pct"/>
            <w:vMerge w:val="restart"/>
            <w:noWrap/>
            <w:vAlign w:val="center"/>
          </w:tcPr>
          <w:p w14:paraId="61655933">
            <w:pPr>
              <w:pStyle w:val="133"/>
              <w:rPr>
                <w:rFonts w:cs="Times New Roman"/>
                <w:b/>
                <w:bCs/>
                <w:sz w:val="18"/>
                <w:szCs w:val="18"/>
              </w:rPr>
            </w:pPr>
            <w:r>
              <w:rPr>
                <w:rFonts w:cs="Times New Roman"/>
                <w:b/>
                <w:bCs/>
                <w:sz w:val="18"/>
                <w:szCs w:val="18"/>
              </w:rPr>
              <w:t>点源名称</w:t>
            </w:r>
          </w:p>
        </w:tc>
        <w:tc>
          <w:tcPr>
            <w:tcW w:w="432" w:type="pct"/>
            <w:vMerge w:val="restart"/>
            <w:vAlign w:val="center"/>
          </w:tcPr>
          <w:p w14:paraId="081BD3AC">
            <w:pPr>
              <w:pStyle w:val="133"/>
              <w:rPr>
                <w:rFonts w:cs="Times New Roman"/>
                <w:b/>
                <w:bCs/>
                <w:sz w:val="18"/>
                <w:szCs w:val="18"/>
              </w:rPr>
            </w:pPr>
            <w:r>
              <w:rPr>
                <w:rFonts w:cs="Times New Roman"/>
                <w:b/>
                <w:bCs/>
                <w:sz w:val="18"/>
                <w:szCs w:val="18"/>
              </w:rPr>
              <w:t>X坐标</w:t>
            </w:r>
          </w:p>
        </w:tc>
        <w:tc>
          <w:tcPr>
            <w:tcW w:w="432" w:type="pct"/>
            <w:vMerge w:val="restart"/>
            <w:vAlign w:val="center"/>
          </w:tcPr>
          <w:p w14:paraId="2E94254F">
            <w:pPr>
              <w:pStyle w:val="133"/>
              <w:rPr>
                <w:rFonts w:cs="Times New Roman"/>
                <w:b/>
                <w:bCs/>
                <w:sz w:val="18"/>
                <w:szCs w:val="18"/>
              </w:rPr>
            </w:pPr>
            <w:r>
              <w:rPr>
                <w:rFonts w:cs="Times New Roman"/>
                <w:b/>
                <w:bCs/>
                <w:sz w:val="18"/>
                <w:szCs w:val="18"/>
              </w:rPr>
              <w:t>Y坐标</w:t>
            </w:r>
          </w:p>
        </w:tc>
        <w:tc>
          <w:tcPr>
            <w:tcW w:w="483" w:type="pct"/>
            <w:vMerge w:val="restart"/>
            <w:noWrap/>
            <w:vAlign w:val="center"/>
          </w:tcPr>
          <w:p w14:paraId="0468078B">
            <w:pPr>
              <w:pStyle w:val="133"/>
              <w:rPr>
                <w:rFonts w:cs="Times New Roman"/>
                <w:b/>
                <w:bCs/>
                <w:sz w:val="18"/>
                <w:szCs w:val="18"/>
              </w:rPr>
            </w:pPr>
            <w:r>
              <w:rPr>
                <w:rFonts w:cs="Times New Roman"/>
                <w:b/>
                <w:bCs/>
                <w:sz w:val="18"/>
                <w:szCs w:val="18"/>
              </w:rPr>
              <w:t>排气筒</w:t>
            </w:r>
          </w:p>
          <w:p w14:paraId="25F609AF">
            <w:pPr>
              <w:pStyle w:val="133"/>
              <w:rPr>
                <w:rFonts w:cs="Times New Roman"/>
                <w:b/>
                <w:bCs/>
                <w:sz w:val="18"/>
                <w:szCs w:val="18"/>
              </w:rPr>
            </w:pPr>
            <w:r>
              <w:rPr>
                <w:rFonts w:cs="Times New Roman"/>
                <w:b/>
                <w:bCs/>
                <w:sz w:val="18"/>
                <w:szCs w:val="18"/>
              </w:rPr>
              <w:t>高度</w:t>
            </w:r>
          </w:p>
        </w:tc>
        <w:tc>
          <w:tcPr>
            <w:tcW w:w="479" w:type="pct"/>
            <w:vMerge w:val="restart"/>
            <w:noWrap/>
            <w:vAlign w:val="center"/>
          </w:tcPr>
          <w:p w14:paraId="6ADE3C2A">
            <w:pPr>
              <w:pStyle w:val="133"/>
              <w:rPr>
                <w:rFonts w:cs="Times New Roman"/>
                <w:b/>
                <w:bCs/>
                <w:sz w:val="18"/>
                <w:szCs w:val="18"/>
              </w:rPr>
            </w:pPr>
            <w:r>
              <w:rPr>
                <w:rFonts w:cs="Times New Roman"/>
                <w:b/>
                <w:bCs/>
                <w:sz w:val="18"/>
                <w:szCs w:val="18"/>
              </w:rPr>
              <w:t>排气筒</w:t>
            </w:r>
          </w:p>
          <w:p w14:paraId="6AB6FCEF">
            <w:pPr>
              <w:pStyle w:val="133"/>
              <w:rPr>
                <w:rFonts w:cs="Times New Roman"/>
                <w:b/>
                <w:bCs/>
                <w:sz w:val="18"/>
                <w:szCs w:val="18"/>
              </w:rPr>
            </w:pPr>
            <w:r>
              <w:rPr>
                <w:rFonts w:cs="Times New Roman"/>
                <w:b/>
                <w:bCs/>
                <w:sz w:val="18"/>
                <w:szCs w:val="18"/>
              </w:rPr>
              <w:t>内径</w:t>
            </w:r>
          </w:p>
        </w:tc>
        <w:tc>
          <w:tcPr>
            <w:tcW w:w="483" w:type="pct"/>
            <w:vMerge w:val="restart"/>
            <w:noWrap/>
            <w:vAlign w:val="center"/>
          </w:tcPr>
          <w:p w14:paraId="09124966">
            <w:pPr>
              <w:pStyle w:val="133"/>
              <w:rPr>
                <w:rFonts w:cs="Times New Roman"/>
                <w:b/>
                <w:bCs/>
                <w:sz w:val="18"/>
                <w:szCs w:val="18"/>
              </w:rPr>
            </w:pPr>
            <w:r>
              <w:rPr>
                <w:rFonts w:cs="Times New Roman"/>
                <w:b/>
                <w:bCs/>
                <w:sz w:val="18"/>
                <w:szCs w:val="18"/>
              </w:rPr>
              <w:t>烟气出口</w:t>
            </w:r>
          </w:p>
          <w:p w14:paraId="1D96891A">
            <w:pPr>
              <w:pStyle w:val="133"/>
              <w:rPr>
                <w:rFonts w:cs="Times New Roman"/>
                <w:b/>
                <w:bCs/>
                <w:sz w:val="18"/>
                <w:szCs w:val="18"/>
              </w:rPr>
            </w:pPr>
            <w:r>
              <w:rPr>
                <w:rFonts w:cs="Times New Roman"/>
                <w:b/>
                <w:bCs/>
                <w:sz w:val="18"/>
                <w:szCs w:val="18"/>
              </w:rPr>
              <w:t>温度</w:t>
            </w:r>
          </w:p>
        </w:tc>
        <w:tc>
          <w:tcPr>
            <w:tcW w:w="439" w:type="pct"/>
            <w:vMerge w:val="restart"/>
            <w:vAlign w:val="center"/>
          </w:tcPr>
          <w:p w14:paraId="33166304">
            <w:pPr>
              <w:pStyle w:val="133"/>
              <w:rPr>
                <w:rFonts w:cs="Times New Roman"/>
                <w:b/>
                <w:bCs/>
                <w:sz w:val="18"/>
                <w:szCs w:val="18"/>
              </w:rPr>
            </w:pPr>
            <w:r>
              <w:rPr>
                <w:rFonts w:cs="Times New Roman"/>
                <w:b/>
                <w:bCs/>
                <w:sz w:val="18"/>
                <w:szCs w:val="18"/>
              </w:rPr>
              <w:t>烟气</w:t>
            </w:r>
          </w:p>
          <w:p w14:paraId="7CE16F9C">
            <w:pPr>
              <w:pStyle w:val="133"/>
              <w:rPr>
                <w:rFonts w:cs="Times New Roman"/>
                <w:b/>
                <w:bCs/>
                <w:sz w:val="18"/>
                <w:szCs w:val="18"/>
              </w:rPr>
            </w:pPr>
            <w:r>
              <w:rPr>
                <w:rFonts w:cs="Times New Roman"/>
                <w:b/>
                <w:bCs/>
                <w:sz w:val="18"/>
                <w:szCs w:val="18"/>
              </w:rPr>
              <w:t>流量</w:t>
            </w:r>
          </w:p>
        </w:tc>
        <w:tc>
          <w:tcPr>
            <w:tcW w:w="1034" w:type="pct"/>
            <w:gridSpan w:val="3"/>
            <w:vAlign w:val="center"/>
          </w:tcPr>
          <w:p w14:paraId="6F83A7BC">
            <w:pPr>
              <w:pStyle w:val="133"/>
              <w:rPr>
                <w:rFonts w:cs="Times New Roman"/>
                <w:b/>
                <w:bCs/>
                <w:sz w:val="18"/>
                <w:szCs w:val="18"/>
              </w:rPr>
            </w:pPr>
            <w:r>
              <w:rPr>
                <w:rFonts w:cs="Times New Roman"/>
                <w:b/>
                <w:bCs/>
                <w:sz w:val="18"/>
                <w:szCs w:val="18"/>
              </w:rPr>
              <w:t>排放速率（kg/h）</w:t>
            </w:r>
          </w:p>
        </w:tc>
      </w:tr>
      <w:tr w14:paraId="62F01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0" w:type="pct"/>
            <w:vMerge w:val="continue"/>
            <w:noWrap/>
            <w:vAlign w:val="center"/>
          </w:tcPr>
          <w:p w14:paraId="6B9D0568">
            <w:pPr>
              <w:pStyle w:val="133"/>
              <w:rPr>
                <w:rFonts w:cs="Times New Roman"/>
                <w:b/>
                <w:bCs/>
                <w:sz w:val="18"/>
                <w:szCs w:val="18"/>
              </w:rPr>
            </w:pPr>
          </w:p>
        </w:tc>
        <w:tc>
          <w:tcPr>
            <w:tcW w:w="897" w:type="pct"/>
            <w:vMerge w:val="continue"/>
            <w:noWrap/>
            <w:vAlign w:val="center"/>
          </w:tcPr>
          <w:p w14:paraId="01E547E4">
            <w:pPr>
              <w:pStyle w:val="133"/>
              <w:rPr>
                <w:rFonts w:cs="Times New Roman"/>
                <w:b/>
                <w:bCs/>
                <w:sz w:val="18"/>
                <w:szCs w:val="18"/>
              </w:rPr>
            </w:pPr>
          </w:p>
        </w:tc>
        <w:tc>
          <w:tcPr>
            <w:tcW w:w="432" w:type="pct"/>
            <w:vMerge w:val="continue"/>
            <w:vAlign w:val="center"/>
          </w:tcPr>
          <w:p w14:paraId="5403B8E3">
            <w:pPr>
              <w:pStyle w:val="133"/>
              <w:rPr>
                <w:rFonts w:cs="Times New Roman"/>
                <w:b/>
                <w:bCs/>
                <w:sz w:val="18"/>
                <w:szCs w:val="18"/>
              </w:rPr>
            </w:pPr>
          </w:p>
        </w:tc>
        <w:tc>
          <w:tcPr>
            <w:tcW w:w="432" w:type="pct"/>
            <w:vMerge w:val="continue"/>
            <w:vAlign w:val="center"/>
          </w:tcPr>
          <w:p w14:paraId="2DD8CC1D">
            <w:pPr>
              <w:pStyle w:val="133"/>
              <w:rPr>
                <w:rFonts w:cs="Times New Roman"/>
                <w:b/>
                <w:bCs/>
                <w:sz w:val="18"/>
                <w:szCs w:val="18"/>
              </w:rPr>
            </w:pPr>
          </w:p>
        </w:tc>
        <w:tc>
          <w:tcPr>
            <w:tcW w:w="483" w:type="pct"/>
            <w:vMerge w:val="continue"/>
            <w:noWrap/>
            <w:vAlign w:val="center"/>
          </w:tcPr>
          <w:p w14:paraId="711B3160">
            <w:pPr>
              <w:pStyle w:val="133"/>
              <w:rPr>
                <w:rFonts w:cs="Times New Roman"/>
                <w:b/>
                <w:bCs/>
                <w:sz w:val="18"/>
                <w:szCs w:val="18"/>
              </w:rPr>
            </w:pPr>
          </w:p>
        </w:tc>
        <w:tc>
          <w:tcPr>
            <w:tcW w:w="479" w:type="pct"/>
            <w:vMerge w:val="continue"/>
            <w:noWrap/>
            <w:vAlign w:val="center"/>
          </w:tcPr>
          <w:p w14:paraId="3B421C99">
            <w:pPr>
              <w:pStyle w:val="133"/>
              <w:rPr>
                <w:rFonts w:cs="Times New Roman"/>
                <w:b/>
                <w:bCs/>
                <w:sz w:val="18"/>
                <w:szCs w:val="18"/>
              </w:rPr>
            </w:pPr>
          </w:p>
        </w:tc>
        <w:tc>
          <w:tcPr>
            <w:tcW w:w="483" w:type="pct"/>
            <w:vMerge w:val="continue"/>
            <w:noWrap/>
            <w:vAlign w:val="center"/>
          </w:tcPr>
          <w:p w14:paraId="724FE2A2">
            <w:pPr>
              <w:pStyle w:val="133"/>
              <w:rPr>
                <w:rFonts w:cs="Times New Roman"/>
                <w:b/>
                <w:bCs/>
                <w:sz w:val="18"/>
                <w:szCs w:val="18"/>
              </w:rPr>
            </w:pPr>
          </w:p>
        </w:tc>
        <w:tc>
          <w:tcPr>
            <w:tcW w:w="439" w:type="pct"/>
            <w:vMerge w:val="continue"/>
            <w:vAlign w:val="center"/>
          </w:tcPr>
          <w:p w14:paraId="7DB664DF">
            <w:pPr>
              <w:pStyle w:val="133"/>
              <w:rPr>
                <w:rFonts w:cs="Times New Roman"/>
                <w:b/>
                <w:bCs/>
                <w:sz w:val="18"/>
                <w:szCs w:val="18"/>
              </w:rPr>
            </w:pPr>
          </w:p>
        </w:tc>
        <w:tc>
          <w:tcPr>
            <w:tcW w:w="344" w:type="pct"/>
            <w:vAlign w:val="center"/>
          </w:tcPr>
          <w:p w14:paraId="5948C150">
            <w:pPr>
              <w:pStyle w:val="133"/>
              <w:rPr>
                <w:rFonts w:cs="Times New Roman"/>
                <w:b/>
                <w:bCs/>
                <w:sz w:val="18"/>
                <w:szCs w:val="18"/>
              </w:rPr>
            </w:pPr>
            <w:r>
              <w:rPr>
                <w:rFonts w:hint="eastAsia" w:cs="Times New Roman"/>
                <w:b/>
                <w:bCs/>
                <w:sz w:val="18"/>
                <w:szCs w:val="18"/>
              </w:rPr>
              <w:t>颗粒物</w:t>
            </w:r>
          </w:p>
        </w:tc>
        <w:tc>
          <w:tcPr>
            <w:tcW w:w="345" w:type="pct"/>
            <w:vAlign w:val="center"/>
          </w:tcPr>
          <w:p w14:paraId="572CEF1B">
            <w:pPr>
              <w:pStyle w:val="133"/>
              <w:rPr>
                <w:rFonts w:cs="Times New Roman"/>
                <w:b/>
                <w:bCs/>
                <w:sz w:val="18"/>
                <w:szCs w:val="18"/>
              </w:rPr>
            </w:pPr>
            <w:r>
              <w:rPr>
                <w:rFonts w:cs="Times New Roman"/>
                <w:b/>
                <w:bCs/>
                <w:sz w:val="18"/>
                <w:szCs w:val="18"/>
              </w:rPr>
              <w:t>SO</w:t>
            </w:r>
            <w:r>
              <w:rPr>
                <w:rFonts w:cs="Times New Roman"/>
                <w:b/>
                <w:bCs/>
                <w:sz w:val="18"/>
                <w:szCs w:val="18"/>
                <w:vertAlign w:val="subscript"/>
              </w:rPr>
              <w:t>2</w:t>
            </w:r>
          </w:p>
        </w:tc>
        <w:tc>
          <w:tcPr>
            <w:tcW w:w="345" w:type="pct"/>
            <w:vAlign w:val="center"/>
          </w:tcPr>
          <w:p w14:paraId="71DDBEDD">
            <w:pPr>
              <w:pStyle w:val="133"/>
              <w:rPr>
                <w:rFonts w:cs="Times New Roman"/>
                <w:b/>
                <w:bCs/>
                <w:sz w:val="18"/>
                <w:szCs w:val="18"/>
              </w:rPr>
            </w:pPr>
            <w:r>
              <w:rPr>
                <w:rFonts w:cs="Times New Roman"/>
                <w:b/>
                <w:bCs/>
                <w:sz w:val="18"/>
                <w:szCs w:val="18"/>
              </w:rPr>
              <w:t>NO</w:t>
            </w:r>
            <w:r>
              <w:rPr>
                <w:rFonts w:cs="Times New Roman"/>
                <w:b/>
                <w:bCs/>
                <w:sz w:val="18"/>
                <w:szCs w:val="18"/>
                <w:vertAlign w:val="subscript"/>
              </w:rPr>
              <w:t>2</w:t>
            </w:r>
          </w:p>
        </w:tc>
      </w:tr>
      <w:tr w14:paraId="09446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0" w:type="pct"/>
            <w:vMerge w:val="continue"/>
            <w:noWrap/>
            <w:vAlign w:val="center"/>
          </w:tcPr>
          <w:p w14:paraId="30EB6A36">
            <w:pPr>
              <w:pStyle w:val="133"/>
              <w:rPr>
                <w:rFonts w:cs="Times New Roman"/>
                <w:b/>
                <w:bCs/>
                <w:sz w:val="18"/>
                <w:szCs w:val="18"/>
              </w:rPr>
            </w:pPr>
          </w:p>
        </w:tc>
        <w:tc>
          <w:tcPr>
            <w:tcW w:w="897" w:type="pct"/>
            <w:noWrap/>
            <w:vAlign w:val="center"/>
          </w:tcPr>
          <w:p w14:paraId="5256678B">
            <w:pPr>
              <w:pStyle w:val="133"/>
              <w:rPr>
                <w:rFonts w:cs="Times New Roman"/>
                <w:b/>
                <w:bCs/>
                <w:sz w:val="18"/>
                <w:szCs w:val="18"/>
              </w:rPr>
            </w:pPr>
            <w:r>
              <w:rPr>
                <w:rFonts w:cs="Times New Roman"/>
                <w:b/>
                <w:bCs/>
                <w:sz w:val="18"/>
                <w:szCs w:val="18"/>
              </w:rPr>
              <w:t>单位</w:t>
            </w:r>
          </w:p>
        </w:tc>
        <w:tc>
          <w:tcPr>
            <w:tcW w:w="432" w:type="pct"/>
            <w:vAlign w:val="center"/>
          </w:tcPr>
          <w:p w14:paraId="57CF15BD">
            <w:pPr>
              <w:pStyle w:val="133"/>
              <w:rPr>
                <w:rFonts w:cs="Times New Roman"/>
                <w:b/>
                <w:bCs/>
                <w:sz w:val="18"/>
                <w:szCs w:val="18"/>
              </w:rPr>
            </w:pPr>
            <w:r>
              <w:rPr>
                <w:rFonts w:cs="Times New Roman"/>
                <w:b/>
                <w:bCs/>
                <w:sz w:val="18"/>
                <w:szCs w:val="18"/>
              </w:rPr>
              <w:t>Px</w:t>
            </w:r>
          </w:p>
        </w:tc>
        <w:tc>
          <w:tcPr>
            <w:tcW w:w="432" w:type="pct"/>
            <w:vAlign w:val="center"/>
          </w:tcPr>
          <w:p w14:paraId="3E81D01F">
            <w:pPr>
              <w:pStyle w:val="133"/>
              <w:rPr>
                <w:rFonts w:cs="Times New Roman"/>
                <w:b/>
                <w:bCs/>
                <w:sz w:val="18"/>
                <w:szCs w:val="18"/>
              </w:rPr>
            </w:pPr>
            <w:r>
              <w:rPr>
                <w:rFonts w:cs="Times New Roman"/>
                <w:b/>
                <w:bCs/>
                <w:sz w:val="18"/>
                <w:szCs w:val="18"/>
              </w:rPr>
              <w:t>Py</w:t>
            </w:r>
          </w:p>
        </w:tc>
        <w:tc>
          <w:tcPr>
            <w:tcW w:w="483" w:type="pct"/>
            <w:noWrap/>
            <w:vAlign w:val="center"/>
          </w:tcPr>
          <w:p w14:paraId="151A14A6">
            <w:pPr>
              <w:pStyle w:val="133"/>
              <w:rPr>
                <w:rFonts w:cs="Times New Roman"/>
                <w:b/>
                <w:bCs/>
                <w:sz w:val="18"/>
                <w:szCs w:val="18"/>
              </w:rPr>
            </w:pPr>
            <w:r>
              <w:rPr>
                <w:rFonts w:cs="Times New Roman"/>
                <w:b/>
                <w:bCs/>
                <w:sz w:val="18"/>
                <w:szCs w:val="18"/>
              </w:rPr>
              <w:t>H(m)</w:t>
            </w:r>
          </w:p>
        </w:tc>
        <w:tc>
          <w:tcPr>
            <w:tcW w:w="479" w:type="pct"/>
            <w:noWrap/>
            <w:vAlign w:val="center"/>
          </w:tcPr>
          <w:p w14:paraId="2496E08D">
            <w:pPr>
              <w:pStyle w:val="133"/>
              <w:rPr>
                <w:rFonts w:cs="Times New Roman"/>
                <w:b/>
                <w:bCs/>
                <w:sz w:val="18"/>
                <w:szCs w:val="18"/>
              </w:rPr>
            </w:pPr>
            <w:r>
              <w:rPr>
                <w:rFonts w:cs="Times New Roman"/>
                <w:b/>
                <w:bCs/>
                <w:sz w:val="18"/>
                <w:szCs w:val="18"/>
              </w:rPr>
              <w:t>D(m)</w:t>
            </w:r>
          </w:p>
        </w:tc>
        <w:tc>
          <w:tcPr>
            <w:tcW w:w="483" w:type="pct"/>
            <w:noWrap/>
            <w:vAlign w:val="center"/>
          </w:tcPr>
          <w:p w14:paraId="4B313632">
            <w:pPr>
              <w:pStyle w:val="133"/>
              <w:rPr>
                <w:rFonts w:cs="Times New Roman"/>
                <w:b/>
                <w:bCs/>
                <w:sz w:val="18"/>
                <w:szCs w:val="18"/>
              </w:rPr>
            </w:pPr>
            <w:r>
              <w:rPr>
                <w:rFonts w:cs="Times New Roman"/>
                <w:b/>
                <w:bCs/>
                <w:sz w:val="18"/>
                <w:szCs w:val="18"/>
              </w:rPr>
              <w:t>T(℃)</w:t>
            </w:r>
          </w:p>
        </w:tc>
        <w:tc>
          <w:tcPr>
            <w:tcW w:w="439" w:type="pct"/>
            <w:vAlign w:val="center"/>
          </w:tcPr>
          <w:p w14:paraId="39F9061D">
            <w:pPr>
              <w:pStyle w:val="133"/>
              <w:rPr>
                <w:rFonts w:cs="Times New Roman"/>
                <w:b/>
                <w:bCs/>
                <w:sz w:val="18"/>
                <w:szCs w:val="18"/>
              </w:rPr>
            </w:pPr>
            <w:r>
              <w:rPr>
                <w:rFonts w:cs="Times New Roman"/>
                <w:b/>
                <w:bCs/>
                <w:sz w:val="18"/>
                <w:szCs w:val="18"/>
              </w:rPr>
              <w:t>V/m³/h</w:t>
            </w:r>
          </w:p>
        </w:tc>
        <w:tc>
          <w:tcPr>
            <w:tcW w:w="344" w:type="pct"/>
            <w:vAlign w:val="center"/>
          </w:tcPr>
          <w:p w14:paraId="216C5A3B">
            <w:pPr>
              <w:pStyle w:val="133"/>
              <w:rPr>
                <w:rFonts w:cs="Times New Roman"/>
                <w:b/>
                <w:bCs/>
                <w:sz w:val="18"/>
                <w:szCs w:val="18"/>
              </w:rPr>
            </w:pPr>
            <w:r>
              <w:rPr>
                <w:rFonts w:cs="Times New Roman"/>
                <w:b/>
                <w:bCs/>
                <w:sz w:val="18"/>
                <w:szCs w:val="18"/>
              </w:rPr>
              <w:t>Q</w:t>
            </w:r>
            <w:r>
              <w:rPr>
                <w:rFonts w:hint="eastAsia" w:cs="Times New Roman"/>
                <w:b/>
                <w:bCs/>
                <w:sz w:val="18"/>
                <w:szCs w:val="18"/>
                <w:vertAlign w:val="subscript"/>
              </w:rPr>
              <w:t>颗粒物</w:t>
            </w:r>
          </w:p>
        </w:tc>
        <w:tc>
          <w:tcPr>
            <w:tcW w:w="345" w:type="pct"/>
            <w:vAlign w:val="center"/>
          </w:tcPr>
          <w:p w14:paraId="54CE5F27">
            <w:pPr>
              <w:pStyle w:val="133"/>
              <w:rPr>
                <w:rFonts w:cs="Times New Roman"/>
                <w:b/>
                <w:bCs/>
                <w:sz w:val="18"/>
                <w:szCs w:val="18"/>
              </w:rPr>
            </w:pPr>
            <w:r>
              <w:rPr>
                <w:rFonts w:cs="Times New Roman"/>
                <w:b/>
                <w:bCs/>
                <w:sz w:val="18"/>
                <w:szCs w:val="18"/>
              </w:rPr>
              <w:t>Q</w:t>
            </w:r>
            <w:r>
              <w:rPr>
                <w:rFonts w:cs="Times New Roman"/>
                <w:b/>
                <w:bCs/>
                <w:sz w:val="18"/>
                <w:szCs w:val="18"/>
                <w:vertAlign w:val="subscript"/>
              </w:rPr>
              <w:t>SO2</w:t>
            </w:r>
          </w:p>
        </w:tc>
        <w:tc>
          <w:tcPr>
            <w:tcW w:w="345" w:type="pct"/>
            <w:vAlign w:val="center"/>
          </w:tcPr>
          <w:p w14:paraId="0C252D38">
            <w:pPr>
              <w:pStyle w:val="133"/>
              <w:rPr>
                <w:rFonts w:cs="Times New Roman"/>
                <w:b/>
                <w:bCs/>
                <w:sz w:val="18"/>
                <w:szCs w:val="18"/>
              </w:rPr>
            </w:pPr>
            <w:r>
              <w:rPr>
                <w:rFonts w:cs="Times New Roman"/>
                <w:b/>
                <w:bCs/>
                <w:sz w:val="18"/>
                <w:szCs w:val="18"/>
              </w:rPr>
              <w:t>Q</w:t>
            </w:r>
            <w:r>
              <w:rPr>
                <w:rFonts w:cs="Times New Roman"/>
                <w:b/>
                <w:bCs/>
                <w:sz w:val="18"/>
                <w:szCs w:val="18"/>
                <w:vertAlign w:val="subscript"/>
              </w:rPr>
              <w:t>NO2</w:t>
            </w:r>
          </w:p>
        </w:tc>
      </w:tr>
      <w:tr w14:paraId="4B41B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0" w:type="pct"/>
            <w:noWrap/>
            <w:vAlign w:val="center"/>
          </w:tcPr>
          <w:p w14:paraId="2110A0D1">
            <w:pPr>
              <w:pStyle w:val="133"/>
              <w:rPr>
                <w:sz w:val="18"/>
                <w:szCs w:val="18"/>
              </w:rPr>
            </w:pPr>
            <w:r>
              <w:rPr>
                <w:sz w:val="18"/>
                <w:szCs w:val="18"/>
              </w:rPr>
              <w:t>1</w:t>
            </w:r>
          </w:p>
        </w:tc>
        <w:tc>
          <w:tcPr>
            <w:tcW w:w="897" w:type="pct"/>
            <w:noWrap/>
            <w:vAlign w:val="center"/>
          </w:tcPr>
          <w:p w14:paraId="15F63F8E">
            <w:pPr>
              <w:pStyle w:val="133"/>
              <w:rPr>
                <w:sz w:val="18"/>
                <w:szCs w:val="18"/>
              </w:rPr>
            </w:pPr>
            <w:r>
              <w:rPr>
                <w:rFonts w:hint="eastAsia"/>
                <w:sz w:val="18"/>
                <w:szCs w:val="18"/>
              </w:rPr>
              <w:t>净化煤气事故放散废气1</w:t>
            </w:r>
          </w:p>
        </w:tc>
        <w:tc>
          <w:tcPr>
            <w:tcW w:w="432" w:type="pct"/>
            <w:vAlign w:val="center"/>
          </w:tcPr>
          <w:p w14:paraId="22F0E4F5">
            <w:pPr>
              <w:pStyle w:val="133"/>
              <w:rPr>
                <w:sz w:val="18"/>
                <w:szCs w:val="18"/>
              </w:rPr>
            </w:pPr>
            <w:r>
              <w:rPr>
                <w:rFonts w:hint="eastAsia"/>
                <w:sz w:val="18"/>
                <w:szCs w:val="18"/>
              </w:rPr>
              <w:t>-746</w:t>
            </w:r>
          </w:p>
        </w:tc>
        <w:tc>
          <w:tcPr>
            <w:tcW w:w="432" w:type="pct"/>
            <w:vAlign w:val="center"/>
          </w:tcPr>
          <w:p w14:paraId="0E8C5197">
            <w:pPr>
              <w:pStyle w:val="133"/>
              <w:rPr>
                <w:sz w:val="18"/>
                <w:szCs w:val="18"/>
              </w:rPr>
            </w:pPr>
            <w:r>
              <w:rPr>
                <w:rFonts w:hint="eastAsia"/>
                <w:sz w:val="18"/>
                <w:szCs w:val="18"/>
              </w:rPr>
              <w:t>130</w:t>
            </w:r>
          </w:p>
        </w:tc>
        <w:tc>
          <w:tcPr>
            <w:tcW w:w="483" w:type="pct"/>
            <w:noWrap/>
            <w:vAlign w:val="center"/>
          </w:tcPr>
          <w:p w14:paraId="3822C561">
            <w:pPr>
              <w:pStyle w:val="133"/>
              <w:rPr>
                <w:sz w:val="18"/>
                <w:szCs w:val="18"/>
              </w:rPr>
            </w:pPr>
            <w:r>
              <w:rPr>
                <w:sz w:val="18"/>
                <w:szCs w:val="18"/>
              </w:rPr>
              <w:t>30</w:t>
            </w:r>
          </w:p>
        </w:tc>
        <w:tc>
          <w:tcPr>
            <w:tcW w:w="479" w:type="pct"/>
            <w:noWrap/>
            <w:vAlign w:val="center"/>
          </w:tcPr>
          <w:p w14:paraId="28FAE492">
            <w:pPr>
              <w:pStyle w:val="133"/>
              <w:rPr>
                <w:sz w:val="18"/>
                <w:szCs w:val="18"/>
              </w:rPr>
            </w:pPr>
            <w:r>
              <w:rPr>
                <w:rFonts w:hint="eastAsia"/>
                <w:sz w:val="18"/>
                <w:szCs w:val="18"/>
              </w:rPr>
              <w:t>0.9</w:t>
            </w:r>
          </w:p>
        </w:tc>
        <w:tc>
          <w:tcPr>
            <w:tcW w:w="483" w:type="pct"/>
            <w:noWrap/>
            <w:vAlign w:val="center"/>
          </w:tcPr>
          <w:p w14:paraId="3C1F6FB5">
            <w:pPr>
              <w:pStyle w:val="133"/>
              <w:rPr>
                <w:sz w:val="18"/>
                <w:szCs w:val="18"/>
              </w:rPr>
            </w:pPr>
            <w:r>
              <w:rPr>
                <w:rFonts w:hint="eastAsia"/>
                <w:sz w:val="18"/>
                <w:szCs w:val="18"/>
              </w:rPr>
              <w:t>700</w:t>
            </w:r>
          </w:p>
        </w:tc>
        <w:tc>
          <w:tcPr>
            <w:tcW w:w="439" w:type="pct"/>
            <w:vAlign w:val="center"/>
          </w:tcPr>
          <w:p w14:paraId="1D0D5536">
            <w:pPr>
              <w:pStyle w:val="133"/>
              <w:rPr>
                <w:sz w:val="18"/>
                <w:szCs w:val="18"/>
              </w:rPr>
            </w:pPr>
            <w:r>
              <w:rPr>
                <w:rFonts w:hint="eastAsia"/>
                <w:sz w:val="18"/>
                <w:szCs w:val="18"/>
              </w:rPr>
              <w:t>152727</w:t>
            </w:r>
          </w:p>
        </w:tc>
        <w:tc>
          <w:tcPr>
            <w:tcW w:w="344" w:type="pct"/>
            <w:vAlign w:val="center"/>
          </w:tcPr>
          <w:p w14:paraId="238AC605">
            <w:pPr>
              <w:pStyle w:val="133"/>
              <w:rPr>
                <w:sz w:val="18"/>
                <w:szCs w:val="18"/>
              </w:rPr>
            </w:pPr>
            <w:r>
              <w:rPr>
                <w:rFonts w:hint="eastAsia"/>
                <w:sz w:val="18"/>
                <w:szCs w:val="18"/>
              </w:rPr>
              <w:t>8.95</w:t>
            </w:r>
          </w:p>
        </w:tc>
        <w:tc>
          <w:tcPr>
            <w:tcW w:w="345" w:type="pct"/>
            <w:vAlign w:val="center"/>
          </w:tcPr>
          <w:p w14:paraId="1DDB79A5">
            <w:pPr>
              <w:pStyle w:val="133"/>
              <w:rPr>
                <w:sz w:val="18"/>
                <w:szCs w:val="18"/>
              </w:rPr>
            </w:pPr>
            <w:r>
              <w:rPr>
                <w:rFonts w:hint="eastAsia"/>
                <w:sz w:val="18"/>
                <w:szCs w:val="18"/>
              </w:rPr>
              <w:t>47.14</w:t>
            </w:r>
          </w:p>
        </w:tc>
        <w:tc>
          <w:tcPr>
            <w:tcW w:w="345" w:type="pct"/>
            <w:vAlign w:val="center"/>
          </w:tcPr>
          <w:p w14:paraId="07D681E4">
            <w:pPr>
              <w:pStyle w:val="133"/>
              <w:rPr>
                <w:sz w:val="18"/>
                <w:szCs w:val="18"/>
              </w:rPr>
            </w:pPr>
            <w:r>
              <w:rPr>
                <w:rFonts w:hint="eastAsia"/>
                <w:sz w:val="18"/>
                <w:szCs w:val="18"/>
              </w:rPr>
              <w:t>47.718</w:t>
            </w:r>
          </w:p>
        </w:tc>
      </w:tr>
      <w:tr w14:paraId="21A27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0" w:type="pct"/>
            <w:noWrap/>
            <w:vAlign w:val="center"/>
          </w:tcPr>
          <w:p w14:paraId="342B8BF7">
            <w:pPr>
              <w:pStyle w:val="133"/>
              <w:rPr>
                <w:sz w:val="18"/>
                <w:szCs w:val="18"/>
              </w:rPr>
            </w:pPr>
            <w:r>
              <w:rPr>
                <w:rFonts w:hint="eastAsia"/>
                <w:sz w:val="18"/>
                <w:szCs w:val="18"/>
              </w:rPr>
              <w:t>2</w:t>
            </w:r>
          </w:p>
        </w:tc>
        <w:tc>
          <w:tcPr>
            <w:tcW w:w="897" w:type="pct"/>
            <w:noWrap/>
            <w:vAlign w:val="center"/>
          </w:tcPr>
          <w:p w14:paraId="05A554DB">
            <w:pPr>
              <w:pStyle w:val="133"/>
              <w:rPr>
                <w:sz w:val="18"/>
                <w:szCs w:val="18"/>
              </w:rPr>
            </w:pPr>
            <w:r>
              <w:rPr>
                <w:rFonts w:hint="eastAsia"/>
                <w:sz w:val="18"/>
                <w:szCs w:val="18"/>
              </w:rPr>
              <w:t>净化煤气事故放散废气2</w:t>
            </w:r>
          </w:p>
        </w:tc>
        <w:tc>
          <w:tcPr>
            <w:tcW w:w="432" w:type="pct"/>
            <w:vAlign w:val="center"/>
          </w:tcPr>
          <w:p w14:paraId="32B50C08">
            <w:pPr>
              <w:pStyle w:val="133"/>
              <w:rPr>
                <w:sz w:val="18"/>
                <w:szCs w:val="18"/>
              </w:rPr>
            </w:pPr>
            <w:r>
              <w:rPr>
                <w:rFonts w:hint="eastAsia"/>
                <w:sz w:val="18"/>
                <w:szCs w:val="18"/>
              </w:rPr>
              <w:t>-744</w:t>
            </w:r>
          </w:p>
        </w:tc>
        <w:tc>
          <w:tcPr>
            <w:tcW w:w="432" w:type="pct"/>
            <w:vAlign w:val="center"/>
          </w:tcPr>
          <w:p w14:paraId="669B6AC4">
            <w:pPr>
              <w:pStyle w:val="133"/>
              <w:rPr>
                <w:sz w:val="18"/>
                <w:szCs w:val="18"/>
              </w:rPr>
            </w:pPr>
            <w:r>
              <w:rPr>
                <w:rFonts w:hint="eastAsia"/>
                <w:sz w:val="18"/>
                <w:szCs w:val="18"/>
              </w:rPr>
              <w:t>132</w:t>
            </w:r>
          </w:p>
        </w:tc>
        <w:tc>
          <w:tcPr>
            <w:tcW w:w="483" w:type="pct"/>
            <w:noWrap/>
            <w:vAlign w:val="center"/>
          </w:tcPr>
          <w:p w14:paraId="735BD590">
            <w:pPr>
              <w:pStyle w:val="133"/>
              <w:rPr>
                <w:sz w:val="18"/>
                <w:szCs w:val="18"/>
              </w:rPr>
            </w:pPr>
            <w:r>
              <w:rPr>
                <w:rFonts w:hint="eastAsia"/>
                <w:sz w:val="18"/>
                <w:szCs w:val="18"/>
              </w:rPr>
              <w:t>50</w:t>
            </w:r>
          </w:p>
        </w:tc>
        <w:tc>
          <w:tcPr>
            <w:tcW w:w="479" w:type="pct"/>
            <w:noWrap/>
            <w:vAlign w:val="center"/>
          </w:tcPr>
          <w:p w14:paraId="251CF8E3">
            <w:pPr>
              <w:pStyle w:val="133"/>
              <w:rPr>
                <w:sz w:val="18"/>
                <w:szCs w:val="18"/>
              </w:rPr>
            </w:pPr>
            <w:r>
              <w:rPr>
                <w:rFonts w:hint="eastAsia"/>
                <w:sz w:val="18"/>
                <w:szCs w:val="18"/>
              </w:rPr>
              <w:t>1.8</w:t>
            </w:r>
          </w:p>
        </w:tc>
        <w:tc>
          <w:tcPr>
            <w:tcW w:w="483" w:type="pct"/>
            <w:noWrap/>
            <w:vAlign w:val="center"/>
          </w:tcPr>
          <w:p w14:paraId="6384F4CE">
            <w:pPr>
              <w:pStyle w:val="133"/>
              <w:rPr>
                <w:sz w:val="18"/>
                <w:szCs w:val="18"/>
              </w:rPr>
            </w:pPr>
            <w:r>
              <w:rPr>
                <w:rFonts w:hint="eastAsia"/>
                <w:sz w:val="18"/>
                <w:szCs w:val="18"/>
              </w:rPr>
              <w:t>700</w:t>
            </w:r>
          </w:p>
        </w:tc>
        <w:tc>
          <w:tcPr>
            <w:tcW w:w="439" w:type="pct"/>
            <w:vAlign w:val="center"/>
          </w:tcPr>
          <w:p w14:paraId="7EB06297">
            <w:pPr>
              <w:pStyle w:val="133"/>
              <w:rPr>
                <w:sz w:val="18"/>
                <w:szCs w:val="18"/>
              </w:rPr>
            </w:pPr>
            <w:r>
              <w:rPr>
                <w:rFonts w:hint="eastAsia"/>
                <w:sz w:val="18"/>
                <w:szCs w:val="18"/>
              </w:rPr>
              <w:t>152727</w:t>
            </w:r>
          </w:p>
        </w:tc>
        <w:tc>
          <w:tcPr>
            <w:tcW w:w="344" w:type="pct"/>
            <w:vAlign w:val="center"/>
          </w:tcPr>
          <w:p w14:paraId="4FC3404D">
            <w:pPr>
              <w:pStyle w:val="133"/>
              <w:rPr>
                <w:sz w:val="18"/>
                <w:szCs w:val="18"/>
              </w:rPr>
            </w:pPr>
            <w:r>
              <w:rPr>
                <w:rFonts w:hint="eastAsia"/>
                <w:sz w:val="18"/>
                <w:szCs w:val="18"/>
              </w:rPr>
              <w:t>8.95</w:t>
            </w:r>
          </w:p>
        </w:tc>
        <w:tc>
          <w:tcPr>
            <w:tcW w:w="345" w:type="pct"/>
            <w:vAlign w:val="center"/>
          </w:tcPr>
          <w:p w14:paraId="1086B725">
            <w:pPr>
              <w:pStyle w:val="133"/>
              <w:rPr>
                <w:sz w:val="18"/>
                <w:szCs w:val="18"/>
              </w:rPr>
            </w:pPr>
            <w:r>
              <w:rPr>
                <w:rFonts w:hint="eastAsia"/>
                <w:sz w:val="18"/>
                <w:szCs w:val="18"/>
              </w:rPr>
              <w:t>47.14</w:t>
            </w:r>
          </w:p>
        </w:tc>
        <w:tc>
          <w:tcPr>
            <w:tcW w:w="345" w:type="pct"/>
            <w:vAlign w:val="center"/>
          </w:tcPr>
          <w:p w14:paraId="1B2CD2DF">
            <w:pPr>
              <w:pStyle w:val="133"/>
              <w:rPr>
                <w:sz w:val="18"/>
                <w:szCs w:val="18"/>
              </w:rPr>
            </w:pPr>
            <w:r>
              <w:rPr>
                <w:rFonts w:hint="eastAsia"/>
                <w:sz w:val="18"/>
                <w:szCs w:val="18"/>
              </w:rPr>
              <w:t>47.718</w:t>
            </w:r>
          </w:p>
        </w:tc>
      </w:tr>
      <w:tr w14:paraId="20FA9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0" w:type="pct"/>
            <w:noWrap/>
            <w:vAlign w:val="center"/>
          </w:tcPr>
          <w:p w14:paraId="7021C2F9">
            <w:pPr>
              <w:pStyle w:val="133"/>
              <w:rPr>
                <w:sz w:val="18"/>
                <w:szCs w:val="18"/>
              </w:rPr>
            </w:pPr>
            <w:r>
              <w:rPr>
                <w:rFonts w:hint="eastAsia"/>
                <w:sz w:val="18"/>
                <w:szCs w:val="18"/>
              </w:rPr>
              <w:t>3</w:t>
            </w:r>
          </w:p>
        </w:tc>
        <w:tc>
          <w:tcPr>
            <w:tcW w:w="897" w:type="pct"/>
            <w:noWrap/>
            <w:vAlign w:val="center"/>
          </w:tcPr>
          <w:p w14:paraId="5A41C8B6">
            <w:pPr>
              <w:pStyle w:val="133"/>
              <w:rPr>
                <w:sz w:val="18"/>
                <w:szCs w:val="18"/>
              </w:rPr>
            </w:pPr>
            <w:r>
              <w:rPr>
                <w:rFonts w:hint="eastAsia"/>
                <w:sz w:val="18"/>
                <w:szCs w:val="18"/>
              </w:rPr>
              <w:t>净化煤气事故放散废气3</w:t>
            </w:r>
          </w:p>
        </w:tc>
        <w:tc>
          <w:tcPr>
            <w:tcW w:w="432" w:type="pct"/>
            <w:vAlign w:val="center"/>
          </w:tcPr>
          <w:p w14:paraId="28BDCA81">
            <w:pPr>
              <w:pStyle w:val="133"/>
              <w:rPr>
                <w:sz w:val="18"/>
                <w:szCs w:val="18"/>
              </w:rPr>
            </w:pPr>
            <w:r>
              <w:rPr>
                <w:rFonts w:hint="eastAsia"/>
                <w:sz w:val="18"/>
                <w:szCs w:val="18"/>
              </w:rPr>
              <w:t>-742</w:t>
            </w:r>
          </w:p>
        </w:tc>
        <w:tc>
          <w:tcPr>
            <w:tcW w:w="432" w:type="pct"/>
            <w:vAlign w:val="center"/>
          </w:tcPr>
          <w:p w14:paraId="140E8F48">
            <w:pPr>
              <w:pStyle w:val="133"/>
              <w:rPr>
                <w:sz w:val="18"/>
                <w:szCs w:val="18"/>
              </w:rPr>
            </w:pPr>
            <w:r>
              <w:rPr>
                <w:rFonts w:hint="eastAsia"/>
                <w:sz w:val="18"/>
                <w:szCs w:val="18"/>
              </w:rPr>
              <w:t>134</w:t>
            </w:r>
          </w:p>
        </w:tc>
        <w:tc>
          <w:tcPr>
            <w:tcW w:w="483" w:type="pct"/>
            <w:noWrap/>
            <w:vAlign w:val="center"/>
          </w:tcPr>
          <w:p w14:paraId="0D9B7D86">
            <w:pPr>
              <w:pStyle w:val="133"/>
              <w:rPr>
                <w:sz w:val="18"/>
                <w:szCs w:val="18"/>
              </w:rPr>
            </w:pPr>
            <w:r>
              <w:rPr>
                <w:rFonts w:hint="eastAsia"/>
                <w:sz w:val="18"/>
                <w:szCs w:val="18"/>
              </w:rPr>
              <w:t>50</w:t>
            </w:r>
          </w:p>
        </w:tc>
        <w:tc>
          <w:tcPr>
            <w:tcW w:w="479" w:type="pct"/>
            <w:noWrap/>
            <w:vAlign w:val="center"/>
          </w:tcPr>
          <w:p w14:paraId="212B3248">
            <w:pPr>
              <w:pStyle w:val="133"/>
              <w:rPr>
                <w:sz w:val="18"/>
                <w:szCs w:val="18"/>
              </w:rPr>
            </w:pPr>
            <w:r>
              <w:rPr>
                <w:rFonts w:hint="eastAsia"/>
                <w:sz w:val="18"/>
                <w:szCs w:val="18"/>
              </w:rPr>
              <w:t>1.8</w:t>
            </w:r>
          </w:p>
        </w:tc>
        <w:tc>
          <w:tcPr>
            <w:tcW w:w="483" w:type="pct"/>
            <w:noWrap/>
            <w:vAlign w:val="center"/>
          </w:tcPr>
          <w:p w14:paraId="1134BB44">
            <w:pPr>
              <w:pStyle w:val="133"/>
              <w:rPr>
                <w:sz w:val="18"/>
                <w:szCs w:val="18"/>
              </w:rPr>
            </w:pPr>
            <w:r>
              <w:rPr>
                <w:rFonts w:hint="eastAsia"/>
                <w:sz w:val="18"/>
                <w:szCs w:val="18"/>
              </w:rPr>
              <w:t>700</w:t>
            </w:r>
          </w:p>
        </w:tc>
        <w:tc>
          <w:tcPr>
            <w:tcW w:w="439" w:type="pct"/>
            <w:vAlign w:val="center"/>
          </w:tcPr>
          <w:p w14:paraId="2F00E1A4">
            <w:pPr>
              <w:pStyle w:val="133"/>
              <w:rPr>
                <w:sz w:val="18"/>
                <w:szCs w:val="18"/>
              </w:rPr>
            </w:pPr>
            <w:r>
              <w:rPr>
                <w:rFonts w:hint="eastAsia"/>
                <w:sz w:val="18"/>
                <w:szCs w:val="18"/>
              </w:rPr>
              <w:t>152727</w:t>
            </w:r>
          </w:p>
        </w:tc>
        <w:tc>
          <w:tcPr>
            <w:tcW w:w="344" w:type="pct"/>
            <w:vAlign w:val="center"/>
          </w:tcPr>
          <w:p w14:paraId="4FDD246C">
            <w:pPr>
              <w:pStyle w:val="133"/>
              <w:rPr>
                <w:sz w:val="18"/>
                <w:szCs w:val="18"/>
              </w:rPr>
            </w:pPr>
            <w:r>
              <w:rPr>
                <w:rFonts w:hint="eastAsia"/>
                <w:sz w:val="18"/>
                <w:szCs w:val="18"/>
              </w:rPr>
              <w:t>8.95</w:t>
            </w:r>
          </w:p>
        </w:tc>
        <w:tc>
          <w:tcPr>
            <w:tcW w:w="345" w:type="pct"/>
            <w:vAlign w:val="center"/>
          </w:tcPr>
          <w:p w14:paraId="71CB26E3">
            <w:pPr>
              <w:pStyle w:val="133"/>
              <w:rPr>
                <w:sz w:val="18"/>
                <w:szCs w:val="18"/>
              </w:rPr>
            </w:pPr>
            <w:r>
              <w:rPr>
                <w:rFonts w:hint="eastAsia"/>
                <w:sz w:val="18"/>
                <w:szCs w:val="18"/>
              </w:rPr>
              <w:t>47.14</w:t>
            </w:r>
          </w:p>
        </w:tc>
        <w:tc>
          <w:tcPr>
            <w:tcW w:w="345" w:type="pct"/>
            <w:vAlign w:val="center"/>
          </w:tcPr>
          <w:p w14:paraId="199FC2A3">
            <w:pPr>
              <w:pStyle w:val="133"/>
              <w:rPr>
                <w:sz w:val="18"/>
                <w:szCs w:val="18"/>
              </w:rPr>
            </w:pPr>
            <w:r>
              <w:rPr>
                <w:rFonts w:hint="eastAsia"/>
                <w:sz w:val="18"/>
                <w:szCs w:val="18"/>
              </w:rPr>
              <w:t>47.718</w:t>
            </w:r>
          </w:p>
        </w:tc>
      </w:tr>
      <w:tr w14:paraId="5E75A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20" w:type="pct"/>
            <w:noWrap/>
            <w:vAlign w:val="center"/>
          </w:tcPr>
          <w:p w14:paraId="48948F67">
            <w:pPr>
              <w:pStyle w:val="133"/>
              <w:rPr>
                <w:sz w:val="18"/>
                <w:szCs w:val="18"/>
              </w:rPr>
            </w:pPr>
            <w:r>
              <w:rPr>
                <w:rFonts w:hint="eastAsia"/>
                <w:sz w:val="18"/>
                <w:szCs w:val="18"/>
              </w:rPr>
              <w:t>4</w:t>
            </w:r>
          </w:p>
        </w:tc>
        <w:tc>
          <w:tcPr>
            <w:tcW w:w="897" w:type="pct"/>
            <w:noWrap/>
            <w:vAlign w:val="center"/>
          </w:tcPr>
          <w:p w14:paraId="064E4F71">
            <w:pPr>
              <w:pStyle w:val="133"/>
              <w:rPr>
                <w:sz w:val="18"/>
                <w:szCs w:val="18"/>
              </w:rPr>
            </w:pPr>
            <w:r>
              <w:rPr>
                <w:rFonts w:hint="eastAsia"/>
                <w:sz w:val="18"/>
                <w:szCs w:val="18"/>
              </w:rPr>
              <w:t>矿热炉烟气除尘故障</w:t>
            </w:r>
          </w:p>
        </w:tc>
        <w:tc>
          <w:tcPr>
            <w:tcW w:w="432" w:type="pct"/>
            <w:vAlign w:val="center"/>
          </w:tcPr>
          <w:p w14:paraId="054A608B">
            <w:pPr>
              <w:pStyle w:val="133"/>
              <w:rPr>
                <w:sz w:val="18"/>
                <w:szCs w:val="18"/>
              </w:rPr>
            </w:pPr>
            <w:r>
              <w:rPr>
                <w:rFonts w:cs="Times New Roman"/>
                <w:color w:val="000000"/>
                <w:sz w:val="18"/>
                <w:szCs w:val="18"/>
              </w:rPr>
              <w:t>292</w:t>
            </w:r>
          </w:p>
        </w:tc>
        <w:tc>
          <w:tcPr>
            <w:tcW w:w="432" w:type="pct"/>
            <w:vAlign w:val="center"/>
          </w:tcPr>
          <w:p w14:paraId="11667AB5">
            <w:pPr>
              <w:pStyle w:val="133"/>
              <w:rPr>
                <w:sz w:val="18"/>
                <w:szCs w:val="18"/>
              </w:rPr>
            </w:pPr>
            <w:r>
              <w:rPr>
                <w:rFonts w:cs="Times New Roman"/>
                <w:color w:val="000000"/>
                <w:sz w:val="18"/>
                <w:szCs w:val="18"/>
              </w:rPr>
              <w:t>32</w:t>
            </w:r>
          </w:p>
        </w:tc>
        <w:tc>
          <w:tcPr>
            <w:tcW w:w="483" w:type="pct"/>
            <w:noWrap/>
            <w:vAlign w:val="center"/>
          </w:tcPr>
          <w:p w14:paraId="237E2CCD">
            <w:pPr>
              <w:pStyle w:val="133"/>
              <w:rPr>
                <w:sz w:val="18"/>
                <w:szCs w:val="18"/>
              </w:rPr>
            </w:pPr>
            <w:r>
              <w:rPr>
                <w:rFonts w:cs="Times New Roman"/>
                <w:color w:val="000000"/>
                <w:sz w:val="18"/>
                <w:szCs w:val="18"/>
              </w:rPr>
              <w:t>60</w:t>
            </w:r>
          </w:p>
        </w:tc>
        <w:tc>
          <w:tcPr>
            <w:tcW w:w="479" w:type="pct"/>
            <w:noWrap/>
            <w:vAlign w:val="center"/>
          </w:tcPr>
          <w:p w14:paraId="3A896D0B">
            <w:pPr>
              <w:pStyle w:val="133"/>
              <w:rPr>
                <w:sz w:val="18"/>
                <w:szCs w:val="18"/>
              </w:rPr>
            </w:pPr>
            <w:r>
              <w:rPr>
                <w:rFonts w:cs="Times New Roman"/>
                <w:color w:val="000000"/>
                <w:sz w:val="18"/>
                <w:szCs w:val="18"/>
              </w:rPr>
              <w:t>5.1</w:t>
            </w:r>
          </w:p>
        </w:tc>
        <w:tc>
          <w:tcPr>
            <w:tcW w:w="483" w:type="pct"/>
            <w:noWrap/>
            <w:vAlign w:val="center"/>
          </w:tcPr>
          <w:p w14:paraId="45291E28">
            <w:pPr>
              <w:pStyle w:val="133"/>
              <w:rPr>
                <w:sz w:val="18"/>
                <w:szCs w:val="18"/>
              </w:rPr>
            </w:pPr>
            <w:r>
              <w:rPr>
                <w:rFonts w:cs="Times New Roman"/>
                <w:color w:val="000000"/>
                <w:sz w:val="18"/>
                <w:szCs w:val="18"/>
              </w:rPr>
              <w:t>150</w:t>
            </w:r>
          </w:p>
        </w:tc>
        <w:tc>
          <w:tcPr>
            <w:tcW w:w="439" w:type="pct"/>
            <w:vAlign w:val="center"/>
          </w:tcPr>
          <w:p w14:paraId="5576B23B">
            <w:pPr>
              <w:pStyle w:val="133"/>
              <w:rPr>
                <w:sz w:val="18"/>
                <w:szCs w:val="18"/>
              </w:rPr>
            </w:pPr>
            <w:r>
              <w:rPr>
                <w:rFonts w:hint="eastAsia"/>
                <w:sz w:val="18"/>
                <w:szCs w:val="18"/>
              </w:rPr>
              <w:t>560000</w:t>
            </w:r>
          </w:p>
        </w:tc>
        <w:tc>
          <w:tcPr>
            <w:tcW w:w="344" w:type="pct"/>
            <w:vAlign w:val="center"/>
          </w:tcPr>
          <w:p w14:paraId="45A06922">
            <w:pPr>
              <w:pStyle w:val="133"/>
              <w:rPr>
                <w:sz w:val="18"/>
                <w:szCs w:val="18"/>
              </w:rPr>
            </w:pPr>
            <w:r>
              <w:rPr>
                <w:rFonts w:hint="eastAsia"/>
                <w:sz w:val="18"/>
                <w:szCs w:val="18"/>
              </w:rPr>
              <w:t>232.77</w:t>
            </w:r>
          </w:p>
        </w:tc>
        <w:tc>
          <w:tcPr>
            <w:tcW w:w="345" w:type="pct"/>
            <w:vAlign w:val="center"/>
          </w:tcPr>
          <w:p w14:paraId="35EE262D">
            <w:pPr>
              <w:pStyle w:val="133"/>
              <w:rPr>
                <w:sz w:val="18"/>
                <w:szCs w:val="18"/>
              </w:rPr>
            </w:pPr>
            <w:r>
              <w:rPr>
                <w:rFonts w:hint="eastAsia"/>
                <w:sz w:val="18"/>
                <w:szCs w:val="18"/>
              </w:rPr>
              <w:t>96.93</w:t>
            </w:r>
          </w:p>
        </w:tc>
        <w:tc>
          <w:tcPr>
            <w:tcW w:w="345" w:type="pct"/>
            <w:vAlign w:val="center"/>
          </w:tcPr>
          <w:p w14:paraId="0C3B6A9C">
            <w:pPr>
              <w:pStyle w:val="133"/>
              <w:rPr>
                <w:sz w:val="18"/>
                <w:szCs w:val="18"/>
              </w:rPr>
            </w:pPr>
            <w:r>
              <w:rPr>
                <w:rFonts w:hint="eastAsia"/>
                <w:sz w:val="18"/>
                <w:szCs w:val="18"/>
              </w:rPr>
              <w:t>17.523</w:t>
            </w:r>
          </w:p>
        </w:tc>
      </w:tr>
    </w:tbl>
    <w:p w14:paraId="62F3A01C">
      <w:pPr>
        <w:pStyle w:val="1086"/>
        <w:ind w:firstLine="420"/>
        <w:rPr>
          <w:rFonts w:cs="Times New Roman"/>
        </w:rPr>
      </w:pPr>
      <w:r>
        <w:rPr>
          <w:rFonts w:hint="eastAsia" w:cs="Times New Roman"/>
        </w:rPr>
        <w:t>50</w:t>
      </w:r>
    </w:p>
    <w:p w14:paraId="37523680">
      <w:pPr>
        <w:pStyle w:val="118"/>
      </w:pPr>
      <w:r>
        <w:t>表</w:t>
      </w:r>
      <w:r>
        <w:rPr>
          <w:rFonts w:hint="eastAsia"/>
        </w:rPr>
        <w:t>5.2-9</w:t>
      </w:r>
      <w:r>
        <w:t xml:space="preserve">  </w:t>
      </w:r>
      <w:r>
        <w:rPr>
          <w:rFonts w:hint="eastAsia"/>
        </w:rPr>
        <w:t>替代源点源</w:t>
      </w:r>
      <w:r>
        <w:t>计算参数选取值一览表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36"/>
        <w:gridCol w:w="1774"/>
        <w:gridCol w:w="856"/>
        <w:gridCol w:w="856"/>
        <w:gridCol w:w="957"/>
        <w:gridCol w:w="948"/>
        <w:gridCol w:w="957"/>
        <w:gridCol w:w="870"/>
        <w:gridCol w:w="688"/>
        <w:gridCol w:w="688"/>
        <w:gridCol w:w="688"/>
        <w:gridCol w:w="688"/>
        <w:gridCol w:w="691"/>
        <w:gridCol w:w="677"/>
        <w:gridCol w:w="677"/>
        <w:gridCol w:w="671"/>
        <w:gridCol w:w="666"/>
      </w:tblGrid>
      <w:tr w14:paraId="26E2E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vMerge w:val="restart"/>
            <w:noWrap/>
            <w:vAlign w:val="center"/>
          </w:tcPr>
          <w:p w14:paraId="6801AEA7">
            <w:pPr>
              <w:pStyle w:val="133"/>
              <w:rPr>
                <w:rFonts w:cs="Times New Roman"/>
                <w:b/>
                <w:bCs/>
                <w:sz w:val="18"/>
                <w:szCs w:val="18"/>
              </w:rPr>
            </w:pPr>
            <w:r>
              <w:rPr>
                <w:rFonts w:cs="Times New Roman"/>
                <w:b/>
                <w:bCs/>
                <w:sz w:val="18"/>
                <w:szCs w:val="18"/>
              </w:rPr>
              <w:t>编号</w:t>
            </w:r>
          </w:p>
        </w:tc>
        <w:tc>
          <w:tcPr>
            <w:tcW w:w="634" w:type="pct"/>
            <w:vMerge w:val="restart"/>
            <w:noWrap/>
            <w:vAlign w:val="center"/>
          </w:tcPr>
          <w:p w14:paraId="23963AED">
            <w:pPr>
              <w:pStyle w:val="133"/>
              <w:rPr>
                <w:rFonts w:cs="Times New Roman"/>
                <w:b/>
                <w:bCs/>
                <w:sz w:val="18"/>
                <w:szCs w:val="18"/>
              </w:rPr>
            </w:pPr>
            <w:r>
              <w:rPr>
                <w:rFonts w:cs="Times New Roman"/>
                <w:b/>
                <w:bCs/>
                <w:sz w:val="18"/>
                <w:szCs w:val="18"/>
              </w:rPr>
              <w:t>点源名称</w:t>
            </w:r>
          </w:p>
        </w:tc>
        <w:tc>
          <w:tcPr>
            <w:tcW w:w="306" w:type="pct"/>
            <w:vMerge w:val="restart"/>
            <w:vAlign w:val="center"/>
          </w:tcPr>
          <w:p w14:paraId="555F4C0C">
            <w:pPr>
              <w:pStyle w:val="133"/>
              <w:rPr>
                <w:rFonts w:cs="Times New Roman"/>
                <w:b/>
                <w:bCs/>
                <w:sz w:val="18"/>
                <w:szCs w:val="18"/>
              </w:rPr>
            </w:pPr>
            <w:r>
              <w:rPr>
                <w:rFonts w:cs="Times New Roman"/>
                <w:b/>
                <w:bCs/>
                <w:sz w:val="18"/>
                <w:szCs w:val="18"/>
              </w:rPr>
              <w:t>X坐标</w:t>
            </w:r>
          </w:p>
        </w:tc>
        <w:tc>
          <w:tcPr>
            <w:tcW w:w="306" w:type="pct"/>
            <w:vMerge w:val="restart"/>
            <w:vAlign w:val="center"/>
          </w:tcPr>
          <w:p w14:paraId="43F539CE">
            <w:pPr>
              <w:pStyle w:val="133"/>
              <w:rPr>
                <w:rFonts w:cs="Times New Roman"/>
                <w:b/>
                <w:bCs/>
                <w:sz w:val="18"/>
                <w:szCs w:val="18"/>
              </w:rPr>
            </w:pPr>
            <w:r>
              <w:rPr>
                <w:rFonts w:cs="Times New Roman"/>
                <w:b/>
                <w:bCs/>
                <w:sz w:val="18"/>
                <w:szCs w:val="18"/>
              </w:rPr>
              <w:t>Y坐标</w:t>
            </w:r>
          </w:p>
        </w:tc>
        <w:tc>
          <w:tcPr>
            <w:tcW w:w="342" w:type="pct"/>
            <w:vMerge w:val="restart"/>
            <w:noWrap/>
            <w:vAlign w:val="center"/>
          </w:tcPr>
          <w:p w14:paraId="31B77EAF">
            <w:pPr>
              <w:pStyle w:val="133"/>
              <w:rPr>
                <w:rFonts w:cs="Times New Roman"/>
                <w:b/>
                <w:bCs/>
                <w:sz w:val="18"/>
                <w:szCs w:val="18"/>
              </w:rPr>
            </w:pPr>
            <w:r>
              <w:rPr>
                <w:rFonts w:cs="Times New Roman"/>
                <w:b/>
                <w:bCs/>
                <w:sz w:val="18"/>
                <w:szCs w:val="18"/>
              </w:rPr>
              <w:t>排气筒</w:t>
            </w:r>
          </w:p>
          <w:p w14:paraId="6783DA29">
            <w:pPr>
              <w:pStyle w:val="133"/>
              <w:rPr>
                <w:rFonts w:cs="Times New Roman"/>
                <w:b/>
                <w:bCs/>
                <w:sz w:val="18"/>
                <w:szCs w:val="18"/>
              </w:rPr>
            </w:pPr>
            <w:r>
              <w:rPr>
                <w:rFonts w:cs="Times New Roman"/>
                <w:b/>
                <w:bCs/>
                <w:sz w:val="18"/>
                <w:szCs w:val="18"/>
              </w:rPr>
              <w:t>高度</w:t>
            </w:r>
          </w:p>
        </w:tc>
        <w:tc>
          <w:tcPr>
            <w:tcW w:w="339" w:type="pct"/>
            <w:vMerge w:val="restart"/>
            <w:noWrap/>
            <w:vAlign w:val="center"/>
          </w:tcPr>
          <w:p w14:paraId="485547E3">
            <w:pPr>
              <w:pStyle w:val="133"/>
              <w:rPr>
                <w:rFonts w:cs="Times New Roman"/>
                <w:b/>
                <w:bCs/>
                <w:sz w:val="18"/>
                <w:szCs w:val="18"/>
              </w:rPr>
            </w:pPr>
            <w:r>
              <w:rPr>
                <w:rFonts w:cs="Times New Roman"/>
                <w:b/>
                <w:bCs/>
                <w:sz w:val="18"/>
                <w:szCs w:val="18"/>
              </w:rPr>
              <w:t>排气筒</w:t>
            </w:r>
          </w:p>
          <w:p w14:paraId="0AB3A603">
            <w:pPr>
              <w:pStyle w:val="133"/>
              <w:rPr>
                <w:rFonts w:cs="Times New Roman"/>
                <w:b/>
                <w:bCs/>
                <w:sz w:val="18"/>
                <w:szCs w:val="18"/>
              </w:rPr>
            </w:pPr>
            <w:r>
              <w:rPr>
                <w:rFonts w:cs="Times New Roman"/>
                <w:b/>
                <w:bCs/>
                <w:sz w:val="18"/>
                <w:szCs w:val="18"/>
              </w:rPr>
              <w:t>内径</w:t>
            </w:r>
          </w:p>
        </w:tc>
        <w:tc>
          <w:tcPr>
            <w:tcW w:w="342" w:type="pct"/>
            <w:vMerge w:val="restart"/>
            <w:noWrap/>
            <w:vAlign w:val="center"/>
          </w:tcPr>
          <w:p w14:paraId="28F46CB3">
            <w:pPr>
              <w:pStyle w:val="133"/>
              <w:rPr>
                <w:rFonts w:cs="Times New Roman"/>
                <w:b/>
                <w:bCs/>
                <w:sz w:val="18"/>
                <w:szCs w:val="18"/>
              </w:rPr>
            </w:pPr>
            <w:r>
              <w:rPr>
                <w:rFonts w:cs="Times New Roman"/>
                <w:b/>
                <w:bCs/>
                <w:sz w:val="18"/>
                <w:szCs w:val="18"/>
              </w:rPr>
              <w:t>烟气出口</w:t>
            </w:r>
          </w:p>
          <w:p w14:paraId="43FADDED">
            <w:pPr>
              <w:pStyle w:val="133"/>
              <w:rPr>
                <w:rFonts w:cs="Times New Roman"/>
                <w:b/>
                <w:bCs/>
                <w:sz w:val="18"/>
                <w:szCs w:val="18"/>
              </w:rPr>
            </w:pPr>
            <w:r>
              <w:rPr>
                <w:rFonts w:cs="Times New Roman"/>
                <w:b/>
                <w:bCs/>
                <w:sz w:val="18"/>
                <w:szCs w:val="18"/>
              </w:rPr>
              <w:t>温度</w:t>
            </w:r>
          </w:p>
        </w:tc>
        <w:tc>
          <w:tcPr>
            <w:tcW w:w="311" w:type="pct"/>
            <w:vMerge w:val="restart"/>
            <w:vAlign w:val="center"/>
          </w:tcPr>
          <w:p w14:paraId="0A20B135">
            <w:pPr>
              <w:pStyle w:val="133"/>
              <w:rPr>
                <w:rFonts w:cs="Times New Roman"/>
                <w:b/>
                <w:bCs/>
                <w:sz w:val="18"/>
                <w:szCs w:val="18"/>
              </w:rPr>
            </w:pPr>
            <w:r>
              <w:rPr>
                <w:rFonts w:cs="Times New Roman"/>
                <w:b/>
                <w:bCs/>
                <w:sz w:val="18"/>
                <w:szCs w:val="18"/>
              </w:rPr>
              <w:t>烟气</w:t>
            </w:r>
          </w:p>
          <w:p w14:paraId="233AE525">
            <w:pPr>
              <w:pStyle w:val="133"/>
              <w:rPr>
                <w:rFonts w:cs="Times New Roman"/>
                <w:b/>
                <w:bCs/>
                <w:sz w:val="18"/>
                <w:szCs w:val="18"/>
              </w:rPr>
            </w:pPr>
            <w:r>
              <w:rPr>
                <w:rFonts w:cs="Times New Roman"/>
                <w:b/>
                <w:bCs/>
                <w:sz w:val="18"/>
                <w:szCs w:val="18"/>
              </w:rPr>
              <w:t>流量</w:t>
            </w:r>
          </w:p>
        </w:tc>
        <w:tc>
          <w:tcPr>
            <w:tcW w:w="2193" w:type="pct"/>
            <w:gridSpan w:val="9"/>
            <w:vAlign w:val="center"/>
          </w:tcPr>
          <w:p w14:paraId="25757A56">
            <w:pPr>
              <w:pStyle w:val="133"/>
              <w:rPr>
                <w:rFonts w:cs="Times New Roman"/>
                <w:b/>
                <w:bCs/>
                <w:sz w:val="18"/>
                <w:szCs w:val="18"/>
              </w:rPr>
            </w:pPr>
            <w:r>
              <w:rPr>
                <w:rFonts w:cs="Times New Roman"/>
                <w:b/>
                <w:bCs/>
                <w:sz w:val="18"/>
                <w:szCs w:val="18"/>
              </w:rPr>
              <w:t>排放速率（kg/h）</w:t>
            </w:r>
          </w:p>
        </w:tc>
      </w:tr>
      <w:tr w14:paraId="680149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vMerge w:val="continue"/>
            <w:noWrap/>
            <w:vAlign w:val="center"/>
          </w:tcPr>
          <w:p w14:paraId="6A3A6A2F">
            <w:pPr>
              <w:pStyle w:val="133"/>
              <w:rPr>
                <w:rFonts w:cs="Times New Roman"/>
                <w:b/>
                <w:bCs/>
                <w:sz w:val="18"/>
                <w:szCs w:val="18"/>
              </w:rPr>
            </w:pPr>
          </w:p>
        </w:tc>
        <w:tc>
          <w:tcPr>
            <w:tcW w:w="634" w:type="pct"/>
            <w:vMerge w:val="continue"/>
            <w:noWrap/>
            <w:vAlign w:val="center"/>
          </w:tcPr>
          <w:p w14:paraId="5E088F5F">
            <w:pPr>
              <w:pStyle w:val="133"/>
              <w:rPr>
                <w:rFonts w:cs="Times New Roman"/>
                <w:b/>
                <w:bCs/>
                <w:sz w:val="18"/>
                <w:szCs w:val="18"/>
              </w:rPr>
            </w:pPr>
          </w:p>
        </w:tc>
        <w:tc>
          <w:tcPr>
            <w:tcW w:w="306" w:type="pct"/>
            <w:vMerge w:val="continue"/>
            <w:vAlign w:val="center"/>
          </w:tcPr>
          <w:p w14:paraId="09712AD9">
            <w:pPr>
              <w:pStyle w:val="133"/>
              <w:rPr>
                <w:rFonts w:cs="Times New Roman"/>
                <w:b/>
                <w:bCs/>
                <w:sz w:val="18"/>
                <w:szCs w:val="18"/>
              </w:rPr>
            </w:pPr>
          </w:p>
        </w:tc>
        <w:tc>
          <w:tcPr>
            <w:tcW w:w="306" w:type="pct"/>
            <w:vMerge w:val="continue"/>
            <w:vAlign w:val="center"/>
          </w:tcPr>
          <w:p w14:paraId="5585798F">
            <w:pPr>
              <w:pStyle w:val="133"/>
              <w:rPr>
                <w:rFonts w:cs="Times New Roman"/>
                <w:b/>
                <w:bCs/>
                <w:sz w:val="18"/>
                <w:szCs w:val="18"/>
              </w:rPr>
            </w:pPr>
          </w:p>
        </w:tc>
        <w:tc>
          <w:tcPr>
            <w:tcW w:w="342" w:type="pct"/>
            <w:vMerge w:val="continue"/>
            <w:noWrap/>
            <w:vAlign w:val="center"/>
          </w:tcPr>
          <w:p w14:paraId="7C953BA9">
            <w:pPr>
              <w:pStyle w:val="133"/>
              <w:rPr>
                <w:rFonts w:cs="Times New Roman"/>
                <w:b/>
                <w:bCs/>
                <w:sz w:val="18"/>
                <w:szCs w:val="18"/>
              </w:rPr>
            </w:pPr>
          </w:p>
        </w:tc>
        <w:tc>
          <w:tcPr>
            <w:tcW w:w="339" w:type="pct"/>
            <w:vMerge w:val="continue"/>
            <w:noWrap/>
            <w:vAlign w:val="center"/>
          </w:tcPr>
          <w:p w14:paraId="041EC500">
            <w:pPr>
              <w:pStyle w:val="133"/>
              <w:rPr>
                <w:rFonts w:cs="Times New Roman"/>
                <w:b/>
                <w:bCs/>
                <w:sz w:val="18"/>
                <w:szCs w:val="18"/>
              </w:rPr>
            </w:pPr>
          </w:p>
        </w:tc>
        <w:tc>
          <w:tcPr>
            <w:tcW w:w="342" w:type="pct"/>
            <w:vMerge w:val="continue"/>
            <w:noWrap/>
            <w:vAlign w:val="center"/>
          </w:tcPr>
          <w:p w14:paraId="2B783531">
            <w:pPr>
              <w:pStyle w:val="133"/>
              <w:rPr>
                <w:rFonts w:cs="Times New Roman"/>
                <w:b/>
                <w:bCs/>
                <w:sz w:val="18"/>
                <w:szCs w:val="18"/>
              </w:rPr>
            </w:pPr>
          </w:p>
        </w:tc>
        <w:tc>
          <w:tcPr>
            <w:tcW w:w="311" w:type="pct"/>
            <w:vMerge w:val="continue"/>
            <w:vAlign w:val="center"/>
          </w:tcPr>
          <w:p w14:paraId="3D9D6860">
            <w:pPr>
              <w:pStyle w:val="133"/>
              <w:rPr>
                <w:rFonts w:cs="Times New Roman"/>
                <w:b/>
                <w:bCs/>
                <w:sz w:val="18"/>
                <w:szCs w:val="18"/>
              </w:rPr>
            </w:pPr>
          </w:p>
        </w:tc>
        <w:tc>
          <w:tcPr>
            <w:tcW w:w="246" w:type="pct"/>
            <w:vAlign w:val="center"/>
          </w:tcPr>
          <w:p w14:paraId="5ABA00F7">
            <w:pPr>
              <w:pStyle w:val="133"/>
              <w:rPr>
                <w:rFonts w:cs="Times New Roman"/>
                <w:b/>
                <w:bCs/>
                <w:sz w:val="18"/>
                <w:szCs w:val="18"/>
              </w:rPr>
            </w:pPr>
            <w:r>
              <w:rPr>
                <w:rFonts w:cs="Times New Roman"/>
                <w:b/>
                <w:bCs/>
                <w:sz w:val="18"/>
                <w:szCs w:val="18"/>
              </w:rPr>
              <w:t>SO</w:t>
            </w:r>
            <w:r>
              <w:rPr>
                <w:rFonts w:cs="Times New Roman"/>
                <w:b/>
                <w:bCs/>
                <w:sz w:val="18"/>
                <w:szCs w:val="18"/>
                <w:vertAlign w:val="subscript"/>
              </w:rPr>
              <w:t>2</w:t>
            </w:r>
          </w:p>
        </w:tc>
        <w:tc>
          <w:tcPr>
            <w:tcW w:w="246" w:type="pct"/>
            <w:vAlign w:val="center"/>
          </w:tcPr>
          <w:p w14:paraId="2CC3F89F">
            <w:pPr>
              <w:pStyle w:val="133"/>
              <w:rPr>
                <w:rFonts w:cs="Times New Roman"/>
                <w:b/>
                <w:bCs/>
                <w:sz w:val="18"/>
                <w:szCs w:val="18"/>
              </w:rPr>
            </w:pPr>
            <w:r>
              <w:rPr>
                <w:rFonts w:cs="Times New Roman"/>
                <w:b/>
                <w:bCs/>
                <w:sz w:val="18"/>
                <w:szCs w:val="18"/>
              </w:rPr>
              <w:t>NO</w:t>
            </w:r>
            <w:r>
              <w:rPr>
                <w:rFonts w:cs="Times New Roman"/>
                <w:b/>
                <w:bCs/>
                <w:sz w:val="18"/>
                <w:szCs w:val="18"/>
                <w:vertAlign w:val="subscript"/>
              </w:rPr>
              <w:t>2</w:t>
            </w:r>
          </w:p>
        </w:tc>
        <w:tc>
          <w:tcPr>
            <w:tcW w:w="246" w:type="pct"/>
            <w:noWrap/>
            <w:vAlign w:val="center"/>
          </w:tcPr>
          <w:p w14:paraId="7525AD05">
            <w:pPr>
              <w:pStyle w:val="133"/>
              <w:rPr>
                <w:rFonts w:cs="Times New Roman"/>
                <w:b/>
                <w:bCs/>
                <w:sz w:val="18"/>
                <w:szCs w:val="18"/>
              </w:rPr>
            </w:pPr>
            <w:r>
              <w:rPr>
                <w:rFonts w:cs="Times New Roman"/>
                <w:b/>
                <w:bCs/>
                <w:sz w:val="18"/>
                <w:szCs w:val="18"/>
              </w:rPr>
              <w:t>PM</w:t>
            </w:r>
            <w:r>
              <w:rPr>
                <w:rFonts w:cs="Times New Roman"/>
                <w:b/>
                <w:bCs/>
                <w:sz w:val="18"/>
                <w:szCs w:val="18"/>
                <w:vertAlign w:val="subscript"/>
              </w:rPr>
              <w:t>10</w:t>
            </w:r>
          </w:p>
        </w:tc>
        <w:tc>
          <w:tcPr>
            <w:tcW w:w="246" w:type="pct"/>
            <w:noWrap/>
            <w:vAlign w:val="center"/>
          </w:tcPr>
          <w:p w14:paraId="416BA109">
            <w:pPr>
              <w:pStyle w:val="133"/>
              <w:rPr>
                <w:rFonts w:cs="Times New Roman"/>
                <w:b/>
                <w:bCs/>
                <w:sz w:val="18"/>
                <w:szCs w:val="18"/>
              </w:rPr>
            </w:pPr>
            <w:r>
              <w:rPr>
                <w:rFonts w:cs="Times New Roman"/>
                <w:b/>
                <w:bCs/>
                <w:sz w:val="18"/>
                <w:szCs w:val="18"/>
              </w:rPr>
              <w:t>PM</w:t>
            </w:r>
            <w:r>
              <w:rPr>
                <w:rFonts w:cs="Times New Roman"/>
                <w:b/>
                <w:bCs/>
                <w:sz w:val="18"/>
                <w:szCs w:val="18"/>
                <w:vertAlign w:val="subscript"/>
              </w:rPr>
              <w:t>2.5</w:t>
            </w:r>
          </w:p>
        </w:tc>
        <w:tc>
          <w:tcPr>
            <w:tcW w:w="247" w:type="pct"/>
            <w:vAlign w:val="center"/>
          </w:tcPr>
          <w:p w14:paraId="590DB8CD">
            <w:pPr>
              <w:pStyle w:val="133"/>
              <w:rPr>
                <w:rFonts w:cs="Times New Roman"/>
                <w:b/>
                <w:bCs/>
                <w:sz w:val="18"/>
                <w:szCs w:val="18"/>
              </w:rPr>
            </w:pPr>
            <w:r>
              <w:rPr>
                <w:rFonts w:cs="Times New Roman"/>
                <w:b/>
                <w:bCs/>
                <w:sz w:val="18"/>
                <w:szCs w:val="18"/>
              </w:rPr>
              <w:t>BaP</w:t>
            </w:r>
          </w:p>
        </w:tc>
        <w:tc>
          <w:tcPr>
            <w:tcW w:w="242" w:type="pct"/>
            <w:vAlign w:val="center"/>
          </w:tcPr>
          <w:p w14:paraId="7E7764D7">
            <w:pPr>
              <w:pStyle w:val="133"/>
              <w:rPr>
                <w:rFonts w:cs="Times New Roman"/>
                <w:b/>
                <w:bCs/>
                <w:sz w:val="18"/>
                <w:szCs w:val="18"/>
              </w:rPr>
            </w:pPr>
            <w:r>
              <w:rPr>
                <w:rFonts w:cs="Times New Roman"/>
                <w:b/>
                <w:bCs/>
                <w:sz w:val="18"/>
                <w:szCs w:val="18"/>
              </w:rPr>
              <w:t>NH</w:t>
            </w:r>
            <w:r>
              <w:rPr>
                <w:rFonts w:cs="Times New Roman"/>
                <w:b/>
                <w:bCs/>
                <w:sz w:val="18"/>
                <w:szCs w:val="18"/>
                <w:vertAlign w:val="subscript"/>
              </w:rPr>
              <w:t>3</w:t>
            </w:r>
          </w:p>
        </w:tc>
        <w:tc>
          <w:tcPr>
            <w:tcW w:w="242" w:type="pct"/>
            <w:vAlign w:val="center"/>
          </w:tcPr>
          <w:p w14:paraId="45647A2D">
            <w:pPr>
              <w:pStyle w:val="133"/>
              <w:rPr>
                <w:rFonts w:cs="Times New Roman"/>
                <w:b/>
                <w:bCs/>
                <w:sz w:val="18"/>
                <w:szCs w:val="18"/>
              </w:rPr>
            </w:pPr>
            <w:r>
              <w:rPr>
                <w:rFonts w:cs="Times New Roman"/>
                <w:b/>
                <w:bCs/>
                <w:sz w:val="18"/>
                <w:szCs w:val="18"/>
              </w:rPr>
              <w:t>H</w:t>
            </w:r>
            <w:r>
              <w:rPr>
                <w:rFonts w:cs="Times New Roman"/>
                <w:b/>
                <w:bCs/>
                <w:sz w:val="18"/>
                <w:szCs w:val="18"/>
                <w:vertAlign w:val="subscript"/>
              </w:rPr>
              <w:t>2</w:t>
            </w:r>
            <w:r>
              <w:rPr>
                <w:rFonts w:cs="Times New Roman"/>
                <w:b/>
                <w:bCs/>
                <w:sz w:val="18"/>
                <w:szCs w:val="18"/>
              </w:rPr>
              <w:t>S</w:t>
            </w:r>
          </w:p>
        </w:tc>
        <w:tc>
          <w:tcPr>
            <w:tcW w:w="240" w:type="pct"/>
            <w:vAlign w:val="center"/>
          </w:tcPr>
          <w:p w14:paraId="3AAFE3BE">
            <w:pPr>
              <w:pStyle w:val="133"/>
              <w:rPr>
                <w:rFonts w:cs="Times New Roman"/>
                <w:b/>
                <w:bCs/>
                <w:sz w:val="18"/>
                <w:szCs w:val="18"/>
              </w:rPr>
            </w:pPr>
            <w:r>
              <w:rPr>
                <w:rFonts w:cs="Times New Roman"/>
                <w:b/>
                <w:bCs/>
                <w:sz w:val="18"/>
                <w:szCs w:val="18"/>
              </w:rPr>
              <w:t>NMHC</w:t>
            </w:r>
          </w:p>
        </w:tc>
        <w:tc>
          <w:tcPr>
            <w:tcW w:w="238" w:type="pct"/>
            <w:vAlign w:val="center"/>
          </w:tcPr>
          <w:p w14:paraId="08C0D03C">
            <w:pPr>
              <w:pStyle w:val="133"/>
              <w:rPr>
                <w:rFonts w:cs="Times New Roman"/>
                <w:b/>
                <w:bCs/>
                <w:sz w:val="18"/>
                <w:szCs w:val="18"/>
              </w:rPr>
            </w:pPr>
            <w:r>
              <w:rPr>
                <w:rFonts w:cs="Times New Roman"/>
                <w:b/>
                <w:bCs/>
                <w:sz w:val="18"/>
                <w:szCs w:val="18"/>
              </w:rPr>
              <w:t>HCl</w:t>
            </w:r>
          </w:p>
        </w:tc>
      </w:tr>
      <w:tr w14:paraId="5E58B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vMerge w:val="continue"/>
            <w:noWrap/>
            <w:vAlign w:val="center"/>
          </w:tcPr>
          <w:p w14:paraId="147F5D1A">
            <w:pPr>
              <w:pStyle w:val="133"/>
              <w:rPr>
                <w:rFonts w:cs="Times New Roman"/>
                <w:b/>
                <w:bCs/>
                <w:sz w:val="18"/>
                <w:szCs w:val="18"/>
              </w:rPr>
            </w:pPr>
          </w:p>
        </w:tc>
        <w:tc>
          <w:tcPr>
            <w:tcW w:w="634" w:type="pct"/>
            <w:noWrap/>
            <w:vAlign w:val="center"/>
          </w:tcPr>
          <w:p w14:paraId="75237626">
            <w:pPr>
              <w:pStyle w:val="133"/>
              <w:rPr>
                <w:rFonts w:cs="Times New Roman"/>
                <w:b/>
                <w:bCs/>
                <w:sz w:val="18"/>
                <w:szCs w:val="18"/>
              </w:rPr>
            </w:pPr>
            <w:r>
              <w:rPr>
                <w:rFonts w:cs="Times New Roman"/>
                <w:b/>
                <w:bCs/>
                <w:sz w:val="18"/>
                <w:szCs w:val="18"/>
              </w:rPr>
              <w:t>单位</w:t>
            </w:r>
          </w:p>
        </w:tc>
        <w:tc>
          <w:tcPr>
            <w:tcW w:w="306" w:type="pct"/>
            <w:vAlign w:val="center"/>
          </w:tcPr>
          <w:p w14:paraId="6C78897C">
            <w:pPr>
              <w:pStyle w:val="133"/>
              <w:rPr>
                <w:rFonts w:cs="Times New Roman"/>
                <w:b/>
                <w:bCs/>
                <w:sz w:val="18"/>
                <w:szCs w:val="18"/>
              </w:rPr>
            </w:pPr>
            <w:r>
              <w:rPr>
                <w:rFonts w:cs="Times New Roman"/>
                <w:b/>
                <w:bCs/>
                <w:sz w:val="18"/>
                <w:szCs w:val="18"/>
              </w:rPr>
              <w:t>Px</w:t>
            </w:r>
          </w:p>
        </w:tc>
        <w:tc>
          <w:tcPr>
            <w:tcW w:w="306" w:type="pct"/>
            <w:vAlign w:val="center"/>
          </w:tcPr>
          <w:p w14:paraId="673F59A6">
            <w:pPr>
              <w:pStyle w:val="133"/>
              <w:rPr>
                <w:rFonts w:cs="Times New Roman"/>
                <w:b/>
                <w:bCs/>
                <w:sz w:val="18"/>
                <w:szCs w:val="18"/>
              </w:rPr>
            </w:pPr>
            <w:r>
              <w:rPr>
                <w:rFonts w:cs="Times New Roman"/>
                <w:b/>
                <w:bCs/>
                <w:sz w:val="18"/>
                <w:szCs w:val="18"/>
              </w:rPr>
              <w:t>Py</w:t>
            </w:r>
          </w:p>
        </w:tc>
        <w:tc>
          <w:tcPr>
            <w:tcW w:w="342" w:type="pct"/>
            <w:noWrap/>
            <w:vAlign w:val="center"/>
          </w:tcPr>
          <w:p w14:paraId="045F1C09">
            <w:pPr>
              <w:pStyle w:val="133"/>
              <w:rPr>
                <w:rFonts w:cs="Times New Roman"/>
                <w:b/>
                <w:bCs/>
                <w:sz w:val="18"/>
                <w:szCs w:val="18"/>
              </w:rPr>
            </w:pPr>
            <w:r>
              <w:rPr>
                <w:rFonts w:cs="Times New Roman"/>
                <w:b/>
                <w:bCs/>
                <w:sz w:val="18"/>
                <w:szCs w:val="18"/>
              </w:rPr>
              <w:t>H(m)</w:t>
            </w:r>
          </w:p>
        </w:tc>
        <w:tc>
          <w:tcPr>
            <w:tcW w:w="339" w:type="pct"/>
            <w:noWrap/>
            <w:vAlign w:val="center"/>
          </w:tcPr>
          <w:p w14:paraId="4FC339DE">
            <w:pPr>
              <w:pStyle w:val="133"/>
              <w:rPr>
                <w:rFonts w:cs="Times New Roman"/>
                <w:b/>
                <w:bCs/>
                <w:sz w:val="18"/>
                <w:szCs w:val="18"/>
              </w:rPr>
            </w:pPr>
            <w:r>
              <w:rPr>
                <w:rFonts w:cs="Times New Roman"/>
                <w:b/>
                <w:bCs/>
                <w:sz w:val="18"/>
                <w:szCs w:val="18"/>
              </w:rPr>
              <w:t>D(m)</w:t>
            </w:r>
          </w:p>
        </w:tc>
        <w:tc>
          <w:tcPr>
            <w:tcW w:w="342" w:type="pct"/>
            <w:noWrap/>
            <w:vAlign w:val="center"/>
          </w:tcPr>
          <w:p w14:paraId="0F8FE71F">
            <w:pPr>
              <w:pStyle w:val="133"/>
              <w:rPr>
                <w:rFonts w:cs="Times New Roman"/>
                <w:b/>
                <w:bCs/>
                <w:sz w:val="18"/>
                <w:szCs w:val="18"/>
              </w:rPr>
            </w:pPr>
            <w:r>
              <w:rPr>
                <w:rFonts w:cs="Times New Roman"/>
                <w:b/>
                <w:bCs/>
                <w:sz w:val="18"/>
                <w:szCs w:val="18"/>
              </w:rPr>
              <w:t>T(℃)</w:t>
            </w:r>
          </w:p>
        </w:tc>
        <w:tc>
          <w:tcPr>
            <w:tcW w:w="311" w:type="pct"/>
            <w:vAlign w:val="center"/>
          </w:tcPr>
          <w:p w14:paraId="1EA25233">
            <w:pPr>
              <w:pStyle w:val="133"/>
              <w:rPr>
                <w:rFonts w:cs="Times New Roman"/>
                <w:b/>
                <w:bCs/>
                <w:sz w:val="18"/>
                <w:szCs w:val="18"/>
              </w:rPr>
            </w:pPr>
            <w:r>
              <w:rPr>
                <w:rFonts w:cs="Times New Roman"/>
                <w:b/>
                <w:bCs/>
                <w:sz w:val="18"/>
                <w:szCs w:val="18"/>
              </w:rPr>
              <w:t>V/m³/h</w:t>
            </w:r>
          </w:p>
        </w:tc>
        <w:tc>
          <w:tcPr>
            <w:tcW w:w="246" w:type="pct"/>
            <w:vAlign w:val="center"/>
          </w:tcPr>
          <w:p w14:paraId="5438425F">
            <w:pPr>
              <w:pStyle w:val="133"/>
              <w:rPr>
                <w:rFonts w:cs="Times New Roman"/>
                <w:b/>
                <w:bCs/>
                <w:sz w:val="18"/>
                <w:szCs w:val="18"/>
              </w:rPr>
            </w:pPr>
            <w:r>
              <w:rPr>
                <w:rFonts w:cs="Times New Roman"/>
                <w:b/>
                <w:bCs/>
                <w:sz w:val="18"/>
                <w:szCs w:val="18"/>
              </w:rPr>
              <w:t>Q</w:t>
            </w:r>
            <w:r>
              <w:rPr>
                <w:rFonts w:cs="Times New Roman"/>
                <w:b/>
                <w:bCs/>
                <w:sz w:val="18"/>
                <w:szCs w:val="18"/>
                <w:vertAlign w:val="subscript"/>
              </w:rPr>
              <w:t>SO2</w:t>
            </w:r>
          </w:p>
        </w:tc>
        <w:tc>
          <w:tcPr>
            <w:tcW w:w="246" w:type="pct"/>
            <w:vAlign w:val="center"/>
          </w:tcPr>
          <w:p w14:paraId="0D571A2B">
            <w:pPr>
              <w:pStyle w:val="133"/>
              <w:rPr>
                <w:rFonts w:cs="Times New Roman"/>
                <w:b/>
                <w:bCs/>
                <w:sz w:val="18"/>
                <w:szCs w:val="18"/>
              </w:rPr>
            </w:pPr>
            <w:r>
              <w:rPr>
                <w:rFonts w:cs="Times New Roman"/>
                <w:b/>
                <w:bCs/>
                <w:sz w:val="18"/>
                <w:szCs w:val="18"/>
              </w:rPr>
              <w:t>Q</w:t>
            </w:r>
            <w:r>
              <w:rPr>
                <w:rFonts w:cs="Times New Roman"/>
                <w:b/>
                <w:bCs/>
                <w:sz w:val="18"/>
                <w:szCs w:val="18"/>
                <w:vertAlign w:val="subscript"/>
              </w:rPr>
              <w:t>NO2</w:t>
            </w:r>
          </w:p>
        </w:tc>
        <w:tc>
          <w:tcPr>
            <w:tcW w:w="246" w:type="pct"/>
            <w:noWrap/>
            <w:vAlign w:val="center"/>
          </w:tcPr>
          <w:p w14:paraId="6193AD6C">
            <w:pPr>
              <w:pStyle w:val="133"/>
              <w:rPr>
                <w:rFonts w:cs="Times New Roman"/>
                <w:b/>
                <w:bCs/>
                <w:sz w:val="18"/>
                <w:szCs w:val="18"/>
              </w:rPr>
            </w:pPr>
            <w:r>
              <w:rPr>
                <w:rFonts w:cs="Times New Roman"/>
                <w:b/>
                <w:bCs/>
                <w:sz w:val="18"/>
                <w:szCs w:val="18"/>
              </w:rPr>
              <w:t>Q</w:t>
            </w:r>
            <w:r>
              <w:rPr>
                <w:rFonts w:cs="Times New Roman"/>
                <w:b/>
                <w:bCs/>
                <w:sz w:val="18"/>
                <w:szCs w:val="18"/>
                <w:vertAlign w:val="subscript"/>
              </w:rPr>
              <w:t>PM10</w:t>
            </w:r>
          </w:p>
        </w:tc>
        <w:tc>
          <w:tcPr>
            <w:tcW w:w="246" w:type="pct"/>
            <w:noWrap/>
            <w:vAlign w:val="center"/>
          </w:tcPr>
          <w:p w14:paraId="79710536">
            <w:pPr>
              <w:pStyle w:val="133"/>
              <w:rPr>
                <w:rFonts w:cs="Times New Roman"/>
                <w:b/>
                <w:bCs/>
                <w:sz w:val="18"/>
                <w:szCs w:val="18"/>
              </w:rPr>
            </w:pPr>
            <w:r>
              <w:rPr>
                <w:rFonts w:cs="Times New Roman"/>
                <w:b/>
                <w:bCs/>
                <w:sz w:val="18"/>
                <w:szCs w:val="18"/>
              </w:rPr>
              <w:t>Q</w:t>
            </w:r>
            <w:r>
              <w:rPr>
                <w:rFonts w:cs="Times New Roman"/>
                <w:b/>
                <w:bCs/>
                <w:sz w:val="18"/>
                <w:szCs w:val="18"/>
                <w:vertAlign w:val="subscript"/>
              </w:rPr>
              <w:t>PM2.5</w:t>
            </w:r>
          </w:p>
        </w:tc>
        <w:tc>
          <w:tcPr>
            <w:tcW w:w="247" w:type="pct"/>
            <w:vAlign w:val="center"/>
          </w:tcPr>
          <w:p w14:paraId="7FE1E7EB">
            <w:pPr>
              <w:pStyle w:val="133"/>
              <w:rPr>
                <w:rFonts w:cs="Times New Roman"/>
                <w:b/>
                <w:bCs/>
                <w:sz w:val="18"/>
                <w:szCs w:val="18"/>
              </w:rPr>
            </w:pPr>
            <w:r>
              <w:rPr>
                <w:rFonts w:cs="Times New Roman"/>
                <w:b/>
                <w:bCs/>
                <w:sz w:val="18"/>
                <w:szCs w:val="18"/>
              </w:rPr>
              <w:t>Q</w:t>
            </w:r>
            <w:r>
              <w:rPr>
                <w:rFonts w:cs="Times New Roman"/>
                <w:b/>
                <w:bCs/>
                <w:sz w:val="18"/>
                <w:szCs w:val="18"/>
                <w:vertAlign w:val="subscript"/>
              </w:rPr>
              <w:t>BaP</w:t>
            </w:r>
          </w:p>
        </w:tc>
        <w:tc>
          <w:tcPr>
            <w:tcW w:w="242" w:type="pct"/>
            <w:vAlign w:val="center"/>
          </w:tcPr>
          <w:p w14:paraId="188B1397">
            <w:pPr>
              <w:pStyle w:val="133"/>
              <w:rPr>
                <w:rFonts w:cs="Times New Roman"/>
                <w:b/>
                <w:bCs/>
                <w:sz w:val="18"/>
                <w:szCs w:val="18"/>
              </w:rPr>
            </w:pPr>
            <w:r>
              <w:rPr>
                <w:rFonts w:cs="Times New Roman"/>
                <w:b/>
                <w:bCs/>
                <w:sz w:val="18"/>
                <w:szCs w:val="18"/>
              </w:rPr>
              <w:t>Q</w:t>
            </w:r>
            <w:r>
              <w:rPr>
                <w:rFonts w:cs="Times New Roman"/>
                <w:b/>
                <w:bCs/>
                <w:sz w:val="18"/>
                <w:szCs w:val="18"/>
                <w:vertAlign w:val="subscript"/>
              </w:rPr>
              <w:t>NH3</w:t>
            </w:r>
          </w:p>
        </w:tc>
        <w:tc>
          <w:tcPr>
            <w:tcW w:w="242" w:type="pct"/>
            <w:vAlign w:val="center"/>
          </w:tcPr>
          <w:p w14:paraId="2A7B4D04">
            <w:pPr>
              <w:pStyle w:val="133"/>
              <w:rPr>
                <w:rFonts w:cs="Times New Roman"/>
                <w:b/>
                <w:bCs/>
                <w:sz w:val="18"/>
                <w:szCs w:val="18"/>
              </w:rPr>
            </w:pPr>
            <w:r>
              <w:rPr>
                <w:rFonts w:cs="Times New Roman"/>
                <w:b/>
                <w:bCs/>
                <w:sz w:val="18"/>
                <w:szCs w:val="18"/>
              </w:rPr>
              <w:t>Q</w:t>
            </w:r>
            <w:r>
              <w:rPr>
                <w:rFonts w:cs="Times New Roman"/>
                <w:b/>
                <w:bCs/>
                <w:sz w:val="18"/>
                <w:szCs w:val="18"/>
                <w:vertAlign w:val="subscript"/>
              </w:rPr>
              <w:t>H2S</w:t>
            </w:r>
          </w:p>
        </w:tc>
        <w:tc>
          <w:tcPr>
            <w:tcW w:w="240" w:type="pct"/>
            <w:vAlign w:val="center"/>
          </w:tcPr>
          <w:p w14:paraId="57465F07">
            <w:pPr>
              <w:pStyle w:val="133"/>
              <w:rPr>
                <w:rFonts w:cs="Times New Roman"/>
                <w:b/>
                <w:bCs/>
                <w:sz w:val="18"/>
                <w:szCs w:val="18"/>
              </w:rPr>
            </w:pPr>
            <w:r>
              <w:rPr>
                <w:rFonts w:cs="Times New Roman"/>
                <w:b/>
                <w:bCs/>
                <w:sz w:val="18"/>
                <w:szCs w:val="18"/>
              </w:rPr>
              <w:t>Q</w:t>
            </w:r>
            <w:r>
              <w:rPr>
                <w:rFonts w:cs="Times New Roman"/>
                <w:b/>
                <w:bCs/>
                <w:sz w:val="18"/>
                <w:szCs w:val="18"/>
                <w:vertAlign w:val="subscript"/>
              </w:rPr>
              <w:t>NMHC</w:t>
            </w:r>
          </w:p>
        </w:tc>
        <w:tc>
          <w:tcPr>
            <w:tcW w:w="238" w:type="pct"/>
            <w:vAlign w:val="center"/>
          </w:tcPr>
          <w:p w14:paraId="41B881CF">
            <w:pPr>
              <w:pStyle w:val="133"/>
              <w:rPr>
                <w:rFonts w:cs="Times New Roman"/>
                <w:b/>
                <w:bCs/>
                <w:sz w:val="18"/>
                <w:szCs w:val="18"/>
              </w:rPr>
            </w:pPr>
            <w:r>
              <w:rPr>
                <w:rFonts w:cs="Times New Roman"/>
                <w:b/>
                <w:bCs/>
                <w:sz w:val="18"/>
                <w:szCs w:val="18"/>
              </w:rPr>
              <w:t>Q</w:t>
            </w:r>
            <w:r>
              <w:rPr>
                <w:rFonts w:cs="Times New Roman"/>
                <w:b/>
                <w:bCs/>
                <w:sz w:val="18"/>
                <w:szCs w:val="18"/>
                <w:vertAlign w:val="subscript"/>
              </w:rPr>
              <w:t>HCl</w:t>
            </w:r>
          </w:p>
        </w:tc>
      </w:tr>
      <w:tr w14:paraId="219A1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0D357D2E">
            <w:pPr>
              <w:pStyle w:val="133"/>
              <w:rPr>
                <w:rFonts w:cs="Times New Roman"/>
                <w:sz w:val="18"/>
                <w:szCs w:val="18"/>
              </w:rPr>
            </w:pPr>
            <w:r>
              <w:rPr>
                <w:rFonts w:cs="Times New Roman"/>
                <w:color w:val="000000"/>
                <w:sz w:val="18"/>
                <w:szCs w:val="18"/>
              </w:rPr>
              <w:t>1</w:t>
            </w:r>
          </w:p>
        </w:tc>
        <w:tc>
          <w:tcPr>
            <w:tcW w:w="634" w:type="pct"/>
            <w:noWrap/>
            <w:vAlign w:val="center"/>
          </w:tcPr>
          <w:p w14:paraId="580FFC9D">
            <w:pPr>
              <w:pStyle w:val="133"/>
              <w:rPr>
                <w:rFonts w:cs="Times New Roman"/>
                <w:sz w:val="18"/>
                <w:szCs w:val="18"/>
              </w:rPr>
            </w:pPr>
            <w:r>
              <w:rPr>
                <w:rFonts w:hint="eastAsia"/>
                <w:sz w:val="18"/>
                <w:szCs w:val="18"/>
              </w:rPr>
              <w:t>替代备煤上料废气</w:t>
            </w:r>
          </w:p>
        </w:tc>
        <w:tc>
          <w:tcPr>
            <w:tcW w:w="306" w:type="pct"/>
            <w:vAlign w:val="center"/>
          </w:tcPr>
          <w:p w14:paraId="785B07FF">
            <w:pPr>
              <w:pStyle w:val="133"/>
              <w:rPr>
                <w:rFonts w:cs="Times New Roman"/>
                <w:sz w:val="18"/>
                <w:szCs w:val="18"/>
              </w:rPr>
            </w:pPr>
            <w:r>
              <w:rPr>
                <w:rFonts w:hint="eastAsia"/>
                <w:sz w:val="18"/>
                <w:szCs w:val="18"/>
              </w:rPr>
              <w:t>-584</w:t>
            </w:r>
          </w:p>
        </w:tc>
        <w:tc>
          <w:tcPr>
            <w:tcW w:w="306" w:type="pct"/>
            <w:vAlign w:val="center"/>
          </w:tcPr>
          <w:p w14:paraId="574EB03B">
            <w:pPr>
              <w:pStyle w:val="133"/>
              <w:rPr>
                <w:rFonts w:cs="Times New Roman"/>
                <w:sz w:val="18"/>
                <w:szCs w:val="18"/>
              </w:rPr>
            </w:pPr>
            <w:r>
              <w:rPr>
                <w:rFonts w:hint="eastAsia"/>
                <w:sz w:val="18"/>
                <w:szCs w:val="18"/>
              </w:rPr>
              <w:t>130</w:t>
            </w:r>
          </w:p>
        </w:tc>
        <w:tc>
          <w:tcPr>
            <w:tcW w:w="342" w:type="pct"/>
            <w:noWrap/>
            <w:vAlign w:val="center"/>
          </w:tcPr>
          <w:p w14:paraId="00CBA52C">
            <w:pPr>
              <w:pStyle w:val="133"/>
              <w:rPr>
                <w:rFonts w:cs="Times New Roman"/>
                <w:sz w:val="18"/>
                <w:szCs w:val="18"/>
              </w:rPr>
            </w:pPr>
            <w:r>
              <w:rPr>
                <w:rFonts w:hint="eastAsia"/>
                <w:sz w:val="18"/>
                <w:szCs w:val="18"/>
              </w:rPr>
              <w:t>30</w:t>
            </w:r>
          </w:p>
        </w:tc>
        <w:tc>
          <w:tcPr>
            <w:tcW w:w="339" w:type="pct"/>
            <w:noWrap/>
            <w:vAlign w:val="center"/>
          </w:tcPr>
          <w:p w14:paraId="1F8C4561">
            <w:pPr>
              <w:pStyle w:val="133"/>
              <w:rPr>
                <w:rFonts w:cs="Times New Roman"/>
                <w:sz w:val="18"/>
                <w:szCs w:val="18"/>
              </w:rPr>
            </w:pPr>
            <w:r>
              <w:rPr>
                <w:rFonts w:hint="eastAsia"/>
                <w:sz w:val="18"/>
                <w:szCs w:val="18"/>
              </w:rPr>
              <w:t>1.5</w:t>
            </w:r>
          </w:p>
        </w:tc>
        <w:tc>
          <w:tcPr>
            <w:tcW w:w="342" w:type="pct"/>
            <w:noWrap/>
            <w:vAlign w:val="center"/>
          </w:tcPr>
          <w:p w14:paraId="634E5D26">
            <w:pPr>
              <w:pStyle w:val="133"/>
              <w:rPr>
                <w:rFonts w:cs="Times New Roman"/>
                <w:sz w:val="18"/>
                <w:szCs w:val="18"/>
              </w:rPr>
            </w:pPr>
            <w:r>
              <w:rPr>
                <w:rFonts w:hint="eastAsia"/>
                <w:sz w:val="18"/>
                <w:szCs w:val="18"/>
              </w:rPr>
              <w:t>25</w:t>
            </w:r>
          </w:p>
        </w:tc>
        <w:tc>
          <w:tcPr>
            <w:tcW w:w="311" w:type="pct"/>
            <w:vAlign w:val="center"/>
          </w:tcPr>
          <w:p w14:paraId="50586803">
            <w:pPr>
              <w:pStyle w:val="133"/>
              <w:rPr>
                <w:rFonts w:cs="Times New Roman"/>
                <w:sz w:val="18"/>
                <w:szCs w:val="18"/>
              </w:rPr>
            </w:pPr>
            <w:r>
              <w:rPr>
                <w:rFonts w:hint="eastAsia"/>
                <w:sz w:val="18"/>
                <w:szCs w:val="18"/>
              </w:rPr>
              <w:t>21756</w:t>
            </w:r>
          </w:p>
        </w:tc>
        <w:tc>
          <w:tcPr>
            <w:tcW w:w="246" w:type="pct"/>
            <w:vAlign w:val="center"/>
          </w:tcPr>
          <w:p w14:paraId="6A9B1E25">
            <w:pPr>
              <w:pStyle w:val="133"/>
              <w:rPr>
                <w:sz w:val="18"/>
                <w:szCs w:val="18"/>
              </w:rPr>
            </w:pPr>
          </w:p>
        </w:tc>
        <w:tc>
          <w:tcPr>
            <w:tcW w:w="246" w:type="pct"/>
            <w:vAlign w:val="center"/>
          </w:tcPr>
          <w:p w14:paraId="5BE05039">
            <w:pPr>
              <w:pStyle w:val="133"/>
              <w:rPr>
                <w:sz w:val="18"/>
                <w:szCs w:val="18"/>
              </w:rPr>
            </w:pPr>
          </w:p>
        </w:tc>
        <w:tc>
          <w:tcPr>
            <w:tcW w:w="246" w:type="pct"/>
            <w:noWrap/>
            <w:vAlign w:val="center"/>
          </w:tcPr>
          <w:p w14:paraId="4772924B">
            <w:pPr>
              <w:pStyle w:val="133"/>
              <w:rPr>
                <w:sz w:val="18"/>
                <w:szCs w:val="18"/>
              </w:rPr>
            </w:pPr>
            <w:r>
              <w:rPr>
                <w:rFonts w:hint="eastAsia"/>
                <w:sz w:val="18"/>
                <w:szCs w:val="18"/>
              </w:rPr>
              <w:t>0.022</w:t>
            </w:r>
          </w:p>
        </w:tc>
        <w:tc>
          <w:tcPr>
            <w:tcW w:w="246" w:type="pct"/>
            <w:noWrap/>
            <w:vAlign w:val="center"/>
          </w:tcPr>
          <w:p w14:paraId="11631D31">
            <w:pPr>
              <w:pStyle w:val="133"/>
              <w:rPr>
                <w:sz w:val="18"/>
                <w:szCs w:val="18"/>
              </w:rPr>
            </w:pPr>
            <w:r>
              <w:rPr>
                <w:rFonts w:hint="eastAsia"/>
                <w:sz w:val="18"/>
                <w:szCs w:val="18"/>
              </w:rPr>
              <w:t>0.011</w:t>
            </w:r>
          </w:p>
        </w:tc>
        <w:tc>
          <w:tcPr>
            <w:tcW w:w="247" w:type="pct"/>
            <w:vAlign w:val="center"/>
          </w:tcPr>
          <w:p w14:paraId="2263A164">
            <w:pPr>
              <w:pStyle w:val="133"/>
              <w:rPr>
                <w:sz w:val="18"/>
                <w:szCs w:val="18"/>
              </w:rPr>
            </w:pPr>
          </w:p>
        </w:tc>
        <w:tc>
          <w:tcPr>
            <w:tcW w:w="242" w:type="pct"/>
            <w:vAlign w:val="center"/>
          </w:tcPr>
          <w:p w14:paraId="633342D5">
            <w:pPr>
              <w:pStyle w:val="133"/>
              <w:rPr>
                <w:rFonts w:cs="Times New Roman"/>
                <w:sz w:val="18"/>
                <w:szCs w:val="18"/>
              </w:rPr>
            </w:pPr>
          </w:p>
        </w:tc>
        <w:tc>
          <w:tcPr>
            <w:tcW w:w="242" w:type="pct"/>
            <w:vAlign w:val="center"/>
          </w:tcPr>
          <w:p w14:paraId="4097C67C">
            <w:pPr>
              <w:pStyle w:val="133"/>
              <w:rPr>
                <w:rFonts w:cs="Times New Roman"/>
                <w:sz w:val="18"/>
                <w:szCs w:val="18"/>
              </w:rPr>
            </w:pPr>
          </w:p>
        </w:tc>
        <w:tc>
          <w:tcPr>
            <w:tcW w:w="240" w:type="pct"/>
            <w:vAlign w:val="center"/>
          </w:tcPr>
          <w:p w14:paraId="19A66C79">
            <w:pPr>
              <w:pStyle w:val="133"/>
              <w:rPr>
                <w:rFonts w:cs="Times New Roman"/>
                <w:sz w:val="18"/>
                <w:szCs w:val="18"/>
              </w:rPr>
            </w:pPr>
          </w:p>
        </w:tc>
        <w:tc>
          <w:tcPr>
            <w:tcW w:w="238" w:type="pct"/>
            <w:vAlign w:val="center"/>
          </w:tcPr>
          <w:p w14:paraId="209C273D">
            <w:pPr>
              <w:pStyle w:val="133"/>
              <w:rPr>
                <w:rFonts w:cs="Times New Roman"/>
                <w:sz w:val="18"/>
                <w:szCs w:val="18"/>
              </w:rPr>
            </w:pPr>
          </w:p>
        </w:tc>
      </w:tr>
      <w:tr w14:paraId="59B9C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30188E36">
            <w:pPr>
              <w:pStyle w:val="133"/>
              <w:rPr>
                <w:rFonts w:cs="Times New Roman"/>
                <w:sz w:val="18"/>
                <w:szCs w:val="18"/>
              </w:rPr>
            </w:pPr>
            <w:r>
              <w:rPr>
                <w:rFonts w:cs="Times New Roman"/>
                <w:color w:val="000000"/>
                <w:sz w:val="18"/>
                <w:szCs w:val="18"/>
              </w:rPr>
              <w:t>2</w:t>
            </w:r>
          </w:p>
        </w:tc>
        <w:tc>
          <w:tcPr>
            <w:tcW w:w="634" w:type="pct"/>
            <w:noWrap/>
            <w:vAlign w:val="center"/>
          </w:tcPr>
          <w:p w14:paraId="391475C6">
            <w:pPr>
              <w:pStyle w:val="133"/>
              <w:rPr>
                <w:rFonts w:cs="Times New Roman"/>
                <w:sz w:val="18"/>
                <w:szCs w:val="18"/>
              </w:rPr>
            </w:pPr>
            <w:r>
              <w:rPr>
                <w:rFonts w:hint="eastAsia"/>
                <w:sz w:val="18"/>
                <w:szCs w:val="18"/>
              </w:rPr>
              <w:t>替代炭化装煤废气</w:t>
            </w:r>
          </w:p>
        </w:tc>
        <w:tc>
          <w:tcPr>
            <w:tcW w:w="306" w:type="pct"/>
            <w:vAlign w:val="center"/>
          </w:tcPr>
          <w:p w14:paraId="60F703B2">
            <w:pPr>
              <w:pStyle w:val="133"/>
              <w:rPr>
                <w:rFonts w:cs="Times New Roman"/>
                <w:sz w:val="18"/>
                <w:szCs w:val="18"/>
              </w:rPr>
            </w:pPr>
            <w:r>
              <w:rPr>
                <w:rFonts w:hint="eastAsia"/>
                <w:sz w:val="18"/>
                <w:szCs w:val="18"/>
              </w:rPr>
              <w:t>-357</w:t>
            </w:r>
          </w:p>
        </w:tc>
        <w:tc>
          <w:tcPr>
            <w:tcW w:w="306" w:type="pct"/>
            <w:vAlign w:val="center"/>
          </w:tcPr>
          <w:p w14:paraId="7F55AA89">
            <w:pPr>
              <w:pStyle w:val="133"/>
              <w:rPr>
                <w:rFonts w:cs="Times New Roman"/>
                <w:sz w:val="18"/>
                <w:szCs w:val="18"/>
              </w:rPr>
            </w:pPr>
            <w:r>
              <w:rPr>
                <w:rFonts w:hint="eastAsia"/>
                <w:sz w:val="18"/>
                <w:szCs w:val="18"/>
              </w:rPr>
              <w:t>32</w:t>
            </w:r>
          </w:p>
        </w:tc>
        <w:tc>
          <w:tcPr>
            <w:tcW w:w="342" w:type="pct"/>
            <w:noWrap/>
            <w:vAlign w:val="center"/>
          </w:tcPr>
          <w:p w14:paraId="147C5909">
            <w:pPr>
              <w:pStyle w:val="133"/>
              <w:rPr>
                <w:rFonts w:cs="Times New Roman"/>
                <w:sz w:val="18"/>
                <w:szCs w:val="18"/>
              </w:rPr>
            </w:pPr>
            <w:r>
              <w:rPr>
                <w:rFonts w:hint="eastAsia"/>
                <w:sz w:val="18"/>
                <w:szCs w:val="18"/>
              </w:rPr>
              <w:t>30</w:t>
            </w:r>
          </w:p>
        </w:tc>
        <w:tc>
          <w:tcPr>
            <w:tcW w:w="339" w:type="pct"/>
            <w:noWrap/>
            <w:vAlign w:val="center"/>
          </w:tcPr>
          <w:p w14:paraId="01706D23">
            <w:pPr>
              <w:pStyle w:val="133"/>
              <w:rPr>
                <w:rFonts w:cs="Times New Roman"/>
                <w:sz w:val="18"/>
                <w:szCs w:val="18"/>
              </w:rPr>
            </w:pPr>
            <w:r>
              <w:rPr>
                <w:rFonts w:hint="eastAsia"/>
                <w:sz w:val="18"/>
                <w:szCs w:val="18"/>
              </w:rPr>
              <w:t>1.6</w:t>
            </w:r>
          </w:p>
        </w:tc>
        <w:tc>
          <w:tcPr>
            <w:tcW w:w="342" w:type="pct"/>
            <w:noWrap/>
            <w:vAlign w:val="center"/>
          </w:tcPr>
          <w:p w14:paraId="51179A66">
            <w:pPr>
              <w:pStyle w:val="133"/>
              <w:rPr>
                <w:rFonts w:cs="Times New Roman"/>
                <w:sz w:val="18"/>
                <w:szCs w:val="18"/>
              </w:rPr>
            </w:pPr>
            <w:r>
              <w:rPr>
                <w:rFonts w:hint="eastAsia"/>
                <w:sz w:val="18"/>
                <w:szCs w:val="18"/>
              </w:rPr>
              <w:t>30</w:t>
            </w:r>
          </w:p>
        </w:tc>
        <w:tc>
          <w:tcPr>
            <w:tcW w:w="311" w:type="pct"/>
            <w:vAlign w:val="center"/>
          </w:tcPr>
          <w:p w14:paraId="118B2E39">
            <w:pPr>
              <w:pStyle w:val="133"/>
              <w:rPr>
                <w:rFonts w:cs="Times New Roman"/>
                <w:sz w:val="18"/>
                <w:szCs w:val="18"/>
              </w:rPr>
            </w:pPr>
            <w:r>
              <w:rPr>
                <w:rFonts w:hint="eastAsia"/>
                <w:sz w:val="18"/>
                <w:szCs w:val="18"/>
              </w:rPr>
              <w:t>33335</w:t>
            </w:r>
          </w:p>
        </w:tc>
        <w:tc>
          <w:tcPr>
            <w:tcW w:w="246" w:type="pct"/>
            <w:vAlign w:val="center"/>
          </w:tcPr>
          <w:p w14:paraId="2379069E">
            <w:pPr>
              <w:pStyle w:val="133"/>
              <w:rPr>
                <w:sz w:val="18"/>
                <w:szCs w:val="18"/>
              </w:rPr>
            </w:pPr>
            <w:r>
              <w:rPr>
                <w:rFonts w:hint="eastAsia"/>
                <w:sz w:val="18"/>
                <w:szCs w:val="18"/>
              </w:rPr>
              <w:t>0.067</w:t>
            </w:r>
          </w:p>
        </w:tc>
        <w:tc>
          <w:tcPr>
            <w:tcW w:w="246" w:type="pct"/>
            <w:vAlign w:val="center"/>
          </w:tcPr>
          <w:p w14:paraId="74FFA0EE">
            <w:pPr>
              <w:pStyle w:val="133"/>
              <w:rPr>
                <w:sz w:val="18"/>
                <w:szCs w:val="18"/>
              </w:rPr>
            </w:pPr>
          </w:p>
        </w:tc>
        <w:tc>
          <w:tcPr>
            <w:tcW w:w="246" w:type="pct"/>
            <w:noWrap/>
            <w:vAlign w:val="center"/>
          </w:tcPr>
          <w:p w14:paraId="0DCDB9E2">
            <w:pPr>
              <w:pStyle w:val="133"/>
              <w:rPr>
                <w:sz w:val="18"/>
                <w:szCs w:val="18"/>
              </w:rPr>
            </w:pPr>
            <w:r>
              <w:rPr>
                <w:rFonts w:hint="eastAsia"/>
                <w:sz w:val="18"/>
                <w:szCs w:val="18"/>
              </w:rPr>
              <w:t>0.406</w:t>
            </w:r>
          </w:p>
        </w:tc>
        <w:tc>
          <w:tcPr>
            <w:tcW w:w="246" w:type="pct"/>
            <w:noWrap/>
            <w:vAlign w:val="center"/>
          </w:tcPr>
          <w:p w14:paraId="2860CA7A">
            <w:pPr>
              <w:pStyle w:val="133"/>
              <w:rPr>
                <w:sz w:val="18"/>
                <w:szCs w:val="18"/>
              </w:rPr>
            </w:pPr>
            <w:r>
              <w:rPr>
                <w:rFonts w:hint="eastAsia"/>
                <w:sz w:val="18"/>
                <w:szCs w:val="18"/>
              </w:rPr>
              <w:t>0.203</w:t>
            </w:r>
          </w:p>
        </w:tc>
        <w:tc>
          <w:tcPr>
            <w:tcW w:w="247" w:type="pct"/>
            <w:vAlign w:val="center"/>
          </w:tcPr>
          <w:p w14:paraId="244466B7">
            <w:pPr>
              <w:pStyle w:val="133"/>
              <w:rPr>
                <w:sz w:val="18"/>
                <w:szCs w:val="18"/>
              </w:rPr>
            </w:pPr>
            <w:r>
              <w:rPr>
                <w:rFonts w:hint="eastAsia"/>
                <w:sz w:val="18"/>
                <w:szCs w:val="18"/>
              </w:rPr>
              <w:t>6.5E-8</w:t>
            </w:r>
          </w:p>
        </w:tc>
        <w:tc>
          <w:tcPr>
            <w:tcW w:w="242" w:type="pct"/>
            <w:vAlign w:val="center"/>
          </w:tcPr>
          <w:p w14:paraId="6F253D64">
            <w:pPr>
              <w:pStyle w:val="133"/>
              <w:rPr>
                <w:rFonts w:cs="Times New Roman"/>
                <w:sz w:val="18"/>
                <w:szCs w:val="18"/>
              </w:rPr>
            </w:pPr>
          </w:p>
        </w:tc>
        <w:tc>
          <w:tcPr>
            <w:tcW w:w="242" w:type="pct"/>
            <w:vAlign w:val="center"/>
          </w:tcPr>
          <w:p w14:paraId="02B1070A">
            <w:pPr>
              <w:pStyle w:val="133"/>
              <w:rPr>
                <w:rFonts w:cs="Times New Roman"/>
                <w:sz w:val="18"/>
                <w:szCs w:val="18"/>
              </w:rPr>
            </w:pPr>
          </w:p>
        </w:tc>
        <w:tc>
          <w:tcPr>
            <w:tcW w:w="240" w:type="pct"/>
            <w:vAlign w:val="center"/>
          </w:tcPr>
          <w:p w14:paraId="5C67B8B6">
            <w:pPr>
              <w:pStyle w:val="133"/>
              <w:rPr>
                <w:rFonts w:cs="Times New Roman"/>
                <w:sz w:val="18"/>
                <w:szCs w:val="18"/>
              </w:rPr>
            </w:pPr>
          </w:p>
        </w:tc>
        <w:tc>
          <w:tcPr>
            <w:tcW w:w="238" w:type="pct"/>
            <w:vAlign w:val="center"/>
          </w:tcPr>
          <w:p w14:paraId="12261329">
            <w:pPr>
              <w:pStyle w:val="133"/>
              <w:rPr>
                <w:rFonts w:cs="Times New Roman"/>
                <w:sz w:val="18"/>
                <w:szCs w:val="18"/>
              </w:rPr>
            </w:pPr>
          </w:p>
        </w:tc>
      </w:tr>
      <w:tr w14:paraId="662E3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47C9BBD8">
            <w:pPr>
              <w:pStyle w:val="133"/>
              <w:rPr>
                <w:rFonts w:cs="Times New Roman"/>
                <w:sz w:val="18"/>
                <w:szCs w:val="18"/>
              </w:rPr>
            </w:pPr>
            <w:r>
              <w:rPr>
                <w:rFonts w:cs="Times New Roman"/>
                <w:color w:val="000000"/>
                <w:sz w:val="18"/>
                <w:szCs w:val="18"/>
              </w:rPr>
              <w:t>3</w:t>
            </w:r>
          </w:p>
        </w:tc>
        <w:tc>
          <w:tcPr>
            <w:tcW w:w="634" w:type="pct"/>
            <w:noWrap/>
            <w:vAlign w:val="center"/>
          </w:tcPr>
          <w:p w14:paraId="2138316D">
            <w:pPr>
              <w:pStyle w:val="133"/>
              <w:rPr>
                <w:rFonts w:cs="Times New Roman"/>
                <w:sz w:val="18"/>
                <w:szCs w:val="18"/>
              </w:rPr>
            </w:pPr>
            <w:r>
              <w:rPr>
                <w:rFonts w:hint="eastAsia"/>
                <w:sz w:val="18"/>
                <w:szCs w:val="18"/>
              </w:rPr>
              <w:t>替代筛焦废气</w:t>
            </w:r>
          </w:p>
        </w:tc>
        <w:tc>
          <w:tcPr>
            <w:tcW w:w="306" w:type="pct"/>
            <w:vAlign w:val="center"/>
          </w:tcPr>
          <w:p w14:paraId="03CCE1EB">
            <w:pPr>
              <w:pStyle w:val="133"/>
              <w:rPr>
                <w:rFonts w:cs="Times New Roman"/>
                <w:sz w:val="18"/>
                <w:szCs w:val="18"/>
              </w:rPr>
            </w:pPr>
            <w:r>
              <w:rPr>
                <w:rFonts w:hint="eastAsia"/>
                <w:sz w:val="18"/>
                <w:szCs w:val="18"/>
              </w:rPr>
              <w:t>-195</w:t>
            </w:r>
          </w:p>
        </w:tc>
        <w:tc>
          <w:tcPr>
            <w:tcW w:w="306" w:type="pct"/>
            <w:vAlign w:val="center"/>
          </w:tcPr>
          <w:p w14:paraId="66039424">
            <w:pPr>
              <w:pStyle w:val="133"/>
              <w:rPr>
                <w:rFonts w:cs="Times New Roman"/>
                <w:sz w:val="18"/>
                <w:szCs w:val="18"/>
              </w:rPr>
            </w:pPr>
            <w:r>
              <w:rPr>
                <w:rFonts w:hint="eastAsia"/>
                <w:sz w:val="18"/>
                <w:szCs w:val="18"/>
              </w:rPr>
              <w:t>32</w:t>
            </w:r>
          </w:p>
        </w:tc>
        <w:tc>
          <w:tcPr>
            <w:tcW w:w="342" w:type="pct"/>
            <w:noWrap/>
            <w:vAlign w:val="center"/>
          </w:tcPr>
          <w:p w14:paraId="32570385">
            <w:pPr>
              <w:pStyle w:val="133"/>
              <w:rPr>
                <w:rFonts w:cs="Times New Roman"/>
                <w:sz w:val="18"/>
                <w:szCs w:val="18"/>
              </w:rPr>
            </w:pPr>
            <w:r>
              <w:rPr>
                <w:rFonts w:hint="eastAsia"/>
                <w:sz w:val="18"/>
                <w:szCs w:val="18"/>
              </w:rPr>
              <w:t>15</w:t>
            </w:r>
          </w:p>
        </w:tc>
        <w:tc>
          <w:tcPr>
            <w:tcW w:w="339" w:type="pct"/>
            <w:noWrap/>
            <w:vAlign w:val="center"/>
          </w:tcPr>
          <w:p w14:paraId="4F2EC202">
            <w:pPr>
              <w:pStyle w:val="133"/>
              <w:rPr>
                <w:rFonts w:cs="Times New Roman"/>
                <w:sz w:val="18"/>
                <w:szCs w:val="18"/>
              </w:rPr>
            </w:pPr>
            <w:r>
              <w:rPr>
                <w:rFonts w:hint="eastAsia"/>
                <w:sz w:val="18"/>
                <w:szCs w:val="18"/>
              </w:rPr>
              <w:t>0.8</w:t>
            </w:r>
          </w:p>
        </w:tc>
        <w:tc>
          <w:tcPr>
            <w:tcW w:w="342" w:type="pct"/>
            <w:noWrap/>
            <w:vAlign w:val="center"/>
          </w:tcPr>
          <w:p w14:paraId="4FD5A583">
            <w:pPr>
              <w:pStyle w:val="133"/>
              <w:rPr>
                <w:rFonts w:cs="Times New Roman"/>
                <w:sz w:val="18"/>
                <w:szCs w:val="18"/>
              </w:rPr>
            </w:pPr>
            <w:r>
              <w:rPr>
                <w:rFonts w:hint="eastAsia"/>
                <w:sz w:val="18"/>
                <w:szCs w:val="18"/>
              </w:rPr>
              <w:t>30</w:t>
            </w:r>
          </w:p>
        </w:tc>
        <w:tc>
          <w:tcPr>
            <w:tcW w:w="311" w:type="pct"/>
            <w:vAlign w:val="center"/>
          </w:tcPr>
          <w:p w14:paraId="523B63D0">
            <w:pPr>
              <w:pStyle w:val="133"/>
              <w:rPr>
                <w:rFonts w:cs="Times New Roman"/>
                <w:sz w:val="18"/>
                <w:szCs w:val="18"/>
              </w:rPr>
            </w:pPr>
            <w:r>
              <w:rPr>
                <w:rFonts w:hint="eastAsia"/>
                <w:sz w:val="18"/>
                <w:szCs w:val="18"/>
              </w:rPr>
              <w:t>20000</w:t>
            </w:r>
          </w:p>
        </w:tc>
        <w:tc>
          <w:tcPr>
            <w:tcW w:w="246" w:type="pct"/>
            <w:vAlign w:val="center"/>
          </w:tcPr>
          <w:p w14:paraId="4B70F881">
            <w:pPr>
              <w:pStyle w:val="133"/>
              <w:rPr>
                <w:sz w:val="18"/>
                <w:szCs w:val="18"/>
              </w:rPr>
            </w:pPr>
          </w:p>
        </w:tc>
        <w:tc>
          <w:tcPr>
            <w:tcW w:w="246" w:type="pct"/>
            <w:vAlign w:val="center"/>
          </w:tcPr>
          <w:p w14:paraId="47FA53D1">
            <w:pPr>
              <w:pStyle w:val="133"/>
              <w:rPr>
                <w:sz w:val="18"/>
                <w:szCs w:val="18"/>
              </w:rPr>
            </w:pPr>
          </w:p>
        </w:tc>
        <w:tc>
          <w:tcPr>
            <w:tcW w:w="246" w:type="pct"/>
            <w:noWrap/>
            <w:vAlign w:val="center"/>
          </w:tcPr>
          <w:p w14:paraId="696E426E">
            <w:pPr>
              <w:pStyle w:val="133"/>
              <w:rPr>
                <w:sz w:val="18"/>
                <w:szCs w:val="18"/>
              </w:rPr>
            </w:pPr>
            <w:r>
              <w:rPr>
                <w:rFonts w:hint="eastAsia"/>
                <w:sz w:val="18"/>
                <w:szCs w:val="18"/>
              </w:rPr>
              <w:t>0.031</w:t>
            </w:r>
          </w:p>
        </w:tc>
        <w:tc>
          <w:tcPr>
            <w:tcW w:w="246" w:type="pct"/>
            <w:noWrap/>
            <w:vAlign w:val="center"/>
          </w:tcPr>
          <w:p w14:paraId="45F75711">
            <w:pPr>
              <w:pStyle w:val="133"/>
              <w:rPr>
                <w:sz w:val="18"/>
                <w:szCs w:val="18"/>
              </w:rPr>
            </w:pPr>
            <w:r>
              <w:rPr>
                <w:rFonts w:hint="eastAsia"/>
                <w:sz w:val="18"/>
                <w:szCs w:val="18"/>
              </w:rPr>
              <w:t>0.0155</w:t>
            </w:r>
          </w:p>
        </w:tc>
        <w:tc>
          <w:tcPr>
            <w:tcW w:w="247" w:type="pct"/>
            <w:vAlign w:val="center"/>
          </w:tcPr>
          <w:p w14:paraId="3CD4109A">
            <w:pPr>
              <w:pStyle w:val="133"/>
              <w:rPr>
                <w:sz w:val="18"/>
                <w:szCs w:val="18"/>
              </w:rPr>
            </w:pPr>
          </w:p>
        </w:tc>
        <w:tc>
          <w:tcPr>
            <w:tcW w:w="242" w:type="pct"/>
            <w:vAlign w:val="center"/>
          </w:tcPr>
          <w:p w14:paraId="2E8DAD3A">
            <w:pPr>
              <w:pStyle w:val="133"/>
              <w:rPr>
                <w:rFonts w:cs="Times New Roman"/>
                <w:sz w:val="18"/>
                <w:szCs w:val="18"/>
              </w:rPr>
            </w:pPr>
          </w:p>
        </w:tc>
        <w:tc>
          <w:tcPr>
            <w:tcW w:w="242" w:type="pct"/>
            <w:vAlign w:val="center"/>
          </w:tcPr>
          <w:p w14:paraId="0C3B5647">
            <w:pPr>
              <w:pStyle w:val="133"/>
              <w:rPr>
                <w:rFonts w:cs="Times New Roman"/>
                <w:sz w:val="18"/>
                <w:szCs w:val="18"/>
              </w:rPr>
            </w:pPr>
          </w:p>
        </w:tc>
        <w:tc>
          <w:tcPr>
            <w:tcW w:w="240" w:type="pct"/>
            <w:vAlign w:val="center"/>
          </w:tcPr>
          <w:p w14:paraId="5B698ADA">
            <w:pPr>
              <w:pStyle w:val="133"/>
              <w:rPr>
                <w:rFonts w:cs="Times New Roman"/>
                <w:sz w:val="18"/>
                <w:szCs w:val="18"/>
              </w:rPr>
            </w:pPr>
          </w:p>
        </w:tc>
        <w:tc>
          <w:tcPr>
            <w:tcW w:w="238" w:type="pct"/>
            <w:vAlign w:val="center"/>
          </w:tcPr>
          <w:p w14:paraId="7B00BBB6">
            <w:pPr>
              <w:pStyle w:val="133"/>
              <w:rPr>
                <w:rFonts w:cs="Times New Roman"/>
                <w:sz w:val="18"/>
                <w:szCs w:val="18"/>
              </w:rPr>
            </w:pPr>
          </w:p>
        </w:tc>
      </w:tr>
      <w:tr w14:paraId="7DA3C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154A81EB">
            <w:pPr>
              <w:pStyle w:val="133"/>
              <w:rPr>
                <w:rFonts w:cs="Times New Roman"/>
                <w:sz w:val="18"/>
                <w:szCs w:val="18"/>
              </w:rPr>
            </w:pPr>
            <w:r>
              <w:rPr>
                <w:rFonts w:cs="Times New Roman"/>
                <w:color w:val="000000"/>
                <w:sz w:val="18"/>
                <w:szCs w:val="18"/>
              </w:rPr>
              <w:t>4</w:t>
            </w:r>
          </w:p>
        </w:tc>
        <w:tc>
          <w:tcPr>
            <w:tcW w:w="634" w:type="pct"/>
            <w:noWrap/>
            <w:vAlign w:val="center"/>
          </w:tcPr>
          <w:p w14:paraId="6666BE7B">
            <w:pPr>
              <w:pStyle w:val="133"/>
              <w:rPr>
                <w:rFonts w:cs="Times New Roman"/>
                <w:sz w:val="18"/>
                <w:szCs w:val="18"/>
              </w:rPr>
            </w:pPr>
            <w:r>
              <w:rPr>
                <w:rFonts w:hint="eastAsia"/>
                <w:sz w:val="18"/>
                <w:szCs w:val="18"/>
              </w:rPr>
              <w:t>替代兰炭烘干废气</w:t>
            </w:r>
          </w:p>
        </w:tc>
        <w:tc>
          <w:tcPr>
            <w:tcW w:w="306" w:type="pct"/>
            <w:vAlign w:val="center"/>
          </w:tcPr>
          <w:p w14:paraId="0EA651AC">
            <w:pPr>
              <w:pStyle w:val="133"/>
              <w:rPr>
                <w:rFonts w:cs="Times New Roman"/>
                <w:sz w:val="18"/>
                <w:szCs w:val="18"/>
              </w:rPr>
            </w:pPr>
            <w:r>
              <w:rPr>
                <w:rFonts w:hint="eastAsia"/>
                <w:sz w:val="18"/>
                <w:szCs w:val="18"/>
              </w:rPr>
              <w:t>-130</w:t>
            </w:r>
          </w:p>
        </w:tc>
        <w:tc>
          <w:tcPr>
            <w:tcW w:w="306" w:type="pct"/>
            <w:vAlign w:val="center"/>
          </w:tcPr>
          <w:p w14:paraId="1D97F6EC">
            <w:pPr>
              <w:pStyle w:val="133"/>
              <w:rPr>
                <w:rFonts w:cs="Times New Roman"/>
                <w:sz w:val="18"/>
                <w:szCs w:val="18"/>
              </w:rPr>
            </w:pPr>
            <w:r>
              <w:rPr>
                <w:rFonts w:hint="eastAsia"/>
                <w:sz w:val="18"/>
                <w:szCs w:val="18"/>
              </w:rPr>
              <w:t>65</w:t>
            </w:r>
          </w:p>
        </w:tc>
        <w:tc>
          <w:tcPr>
            <w:tcW w:w="342" w:type="pct"/>
            <w:noWrap/>
            <w:vAlign w:val="center"/>
          </w:tcPr>
          <w:p w14:paraId="69E8817E">
            <w:pPr>
              <w:pStyle w:val="133"/>
              <w:rPr>
                <w:rFonts w:cs="Times New Roman"/>
                <w:sz w:val="18"/>
                <w:szCs w:val="18"/>
              </w:rPr>
            </w:pPr>
            <w:r>
              <w:rPr>
                <w:rFonts w:hint="eastAsia"/>
                <w:sz w:val="18"/>
                <w:szCs w:val="18"/>
              </w:rPr>
              <w:t>25</w:t>
            </w:r>
          </w:p>
        </w:tc>
        <w:tc>
          <w:tcPr>
            <w:tcW w:w="339" w:type="pct"/>
            <w:noWrap/>
            <w:vAlign w:val="center"/>
          </w:tcPr>
          <w:p w14:paraId="17BC9CBC">
            <w:pPr>
              <w:pStyle w:val="133"/>
              <w:rPr>
                <w:rFonts w:cs="Times New Roman"/>
                <w:sz w:val="18"/>
                <w:szCs w:val="18"/>
              </w:rPr>
            </w:pPr>
            <w:r>
              <w:rPr>
                <w:rFonts w:hint="eastAsia"/>
                <w:sz w:val="18"/>
                <w:szCs w:val="18"/>
              </w:rPr>
              <w:t>1.4</w:t>
            </w:r>
          </w:p>
        </w:tc>
        <w:tc>
          <w:tcPr>
            <w:tcW w:w="342" w:type="pct"/>
            <w:noWrap/>
            <w:vAlign w:val="center"/>
          </w:tcPr>
          <w:p w14:paraId="39D5A998">
            <w:pPr>
              <w:pStyle w:val="133"/>
              <w:rPr>
                <w:rFonts w:cs="Times New Roman"/>
                <w:sz w:val="18"/>
                <w:szCs w:val="18"/>
              </w:rPr>
            </w:pPr>
            <w:r>
              <w:rPr>
                <w:rFonts w:hint="eastAsia"/>
                <w:sz w:val="18"/>
                <w:szCs w:val="18"/>
              </w:rPr>
              <w:t>70</w:t>
            </w:r>
          </w:p>
        </w:tc>
        <w:tc>
          <w:tcPr>
            <w:tcW w:w="311" w:type="pct"/>
            <w:vAlign w:val="center"/>
          </w:tcPr>
          <w:p w14:paraId="54D80921">
            <w:pPr>
              <w:pStyle w:val="133"/>
              <w:rPr>
                <w:rFonts w:cs="Times New Roman"/>
                <w:sz w:val="18"/>
                <w:szCs w:val="18"/>
              </w:rPr>
            </w:pPr>
            <w:r>
              <w:rPr>
                <w:rFonts w:hint="eastAsia"/>
                <w:sz w:val="18"/>
                <w:szCs w:val="18"/>
              </w:rPr>
              <w:t>30637</w:t>
            </w:r>
          </w:p>
        </w:tc>
        <w:tc>
          <w:tcPr>
            <w:tcW w:w="246" w:type="pct"/>
            <w:vAlign w:val="center"/>
          </w:tcPr>
          <w:p w14:paraId="7EE319D1">
            <w:pPr>
              <w:pStyle w:val="133"/>
              <w:rPr>
                <w:sz w:val="18"/>
                <w:szCs w:val="18"/>
              </w:rPr>
            </w:pPr>
            <w:r>
              <w:rPr>
                <w:rFonts w:hint="eastAsia"/>
                <w:sz w:val="18"/>
                <w:szCs w:val="18"/>
              </w:rPr>
              <w:t>0.061</w:t>
            </w:r>
          </w:p>
        </w:tc>
        <w:tc>
          <w:tcPr>
            <w:tcW w:w="246" w:type="pct"/>
            <w:vAlign w:val="center"/>
          </w:tcPr>
          <w:p w14:paraId="6962572B">
            <w:pPr>
              <w:pStyle w:val="133"/>
              <w:rPr>
                <w:sz w:val="18"/>
                <w:szCs w:val="18"/>
              </w:rPr>
            </w:pPr>
            <w:r>
              <w:rPr>
                <w:rFonts w:hint="eastAsia"/>
                <w:sz w:val="18"/>
                <w:szCs w:val="18"/>
              </w:rPr>
              <w:t>3.249</w:t>
            </w:r>
          </w:p>
        </w:tc>
        <w:tc>
          <w:tcPr>
            <w:tcW w:w="246" w:type="pct"/>
            <w:noWrap/>
            <w:vAlign w:val="center"/>
          </w:tcPr>
          <w:p w14:paraId="7CB6EA5A">
            <w:pPr>
              <w:pStyle w:val="133"/>
              <w:rPr>
                <w:sz w:val="18"/>
                <w:szCs w:val="18"/>
              </w:rPr>
            </w:pPr>
            <w:r>
              <w:rPr>
                <w:rFonts w:hint="eastAsia"/>
                <w:sz w:val="18"/>
                <w:szCs w:val="18"/>
              </w:rPr>
              <w:t>0.039</w:t>
            </w:r>
          </w:p>
        </w:tc>
        <w:tc>
          <w:tcPr>
            <w:tcW w:w="246" w:type="pct"/>
            <w:noWrap/>
            <w:vAlign w:val="center"/>
          </w:tcPr>
          <w:p w14:paraId="104987D1">
            <w:pPr>
              <w:pStyle w:val="133"/>
              <w:rPr>
                <w:sz w:val="18"/>
                <w:szCs w:val="18"/>
              </w:rPr>
            </w:pPr>
            <w:r>
              <w:rPr>
                <w:rFonts w:hint="eastAsia"/>
                <w:sz w:val="18"/>
                <w:szCs w:val="18"/>
              </w:rPr>
              <w:t>0.0195</w:t>
            </w:r>
          </w:p>
        </w:tc>
        <w:tc>
          <w:tcPr>
            <w:tcW w:w="247" w:type="pct"/>
            <w:vAlign w:val="center"/>
          </w:tcPr>
          <w:p w14:paraId="6FEC1FFC">
            <w:pPr>
              <w:pStyle w:val="133"/>
              <w:rPr>
                <w:sz w:val="18"/>
                <w:szCs w:val="18"/>
              </w:rPr>
            </w:pPr>
          </w:p>
        </w:tc>
        <w:tc>
          <w:tcPr>
            <w:tcW w:w="242" w:type="pct"/>
            <w:vAlign w:val="center"/>
          </w:tcPr>
          <w:p w14:paraId="5093F630">
            <w:pPr>
              <w:pStyle w:val="133"/>
              <w:rPr>
                <w:rFonts w:cs="Times New Roman"/>
                <w:sz w:val="18"/>
                <w:szCs w:val="18"/>
              </w:rPr>
            </w:pPr>
          </w:p>
        </w:tc>
        <w:tc>
          <w:tcPr>
            <w:tcW w:w="242" w:type="pct"/>
            <w:vAlign w:val="center"/>
          </w:tcPr>
          <w:p w14:paraId="57588227">
            <w:pPr>
              <w:pStyle w:val="133"/>
              <w:rPr>
                <w:rFonts w:cs="Times New Roman"/>
                <w:sz w:val="18"/>
                <w:szCs w:val="18"/>
              </w:rPr>
            </w:pPr>
          </w:p>
        </w:tc>
        <w:tc>
          <w:tcPr>
            <w:tcW w:w="240" w:type="pct"/>
            <w:vAlign w:val="center"/>
          </w:tcPr>
          <w:p w14:paraId="7985EF87">
            <w:pPr>
              <w:pStyle w:val="133"/>
              <w:rPr>
                <w:rFonts w:cs="Times New Roman"/>
                <w:sz w:val="18"/>
                <w:szCs w:val="18"/>
              </w:rPr>
            </w:pPr>
          </w:p>
        </w:tc>
        <w:tc>
          <w:tcPr>
            <w:tcW w:w="238" w:type="pct"/>
            <w:vAlign w:val="center"/>
          </w:tcPr>
          <w:p w14:paraId="2242F452">
            <w:pPr>
              <w:pStyle w:val="133"/>
              <w:rPr>
                <w:rFonts w:cs="Times New Roman"/>
                <w:sz w:val="18"/>
                <w:szCs w:val="18"/>
              </w:rPr>
            </w:pPr>
          </w:p>
        </w:tc>
      </w:tr>
      <w:tr w14:paraId="0C96F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0ED8010B">
            <w:pPr>
              <w:pStyle w:val="133"/>
              <w:rPr>
                <w:rFonts w:cs="Times New Roman"/>
                <w:sz w:val="18"/>
                <w:szCs w:val="18"/>
              </w:rPr>
            </w:pPr>
            <w:r>
              <w:rPr>
                <w:rFonts w:cs="Times New Roman"/>
                <w:color w:val="000000"/>
                <w:sz w:val="18"/>
                <w:szCs w:val="18"/>
              </w:rPr>
              <w:t>5</w:t>
            </w:r>
          </w:p>
        </w:tc>
        <w:tc>
          <w:tcPr>
            <w:tcW w:w="634" w:type="pct"/>
            <w:noWrap/>
            <w:vAlign w:val="center"/>
          </w:tcPr>
          <w:p w14:paraId="0FACBE91">
            <w:pPr>
              <w:pStyle w:val="133"/>
              <w:rPr>
                <w:rFonts w:cs="Times New Roman"/>
                <w:sz w:val="18"/>
                <w:szCs w:val="18"/>
              </w:rPr>
            </w:pPr>
            <w:r>
              <w:rPr>
                <w:rFonts w:hint="eastAsia"/>
                <w:sz w:val="18"/>
                <w:szCs w:val="18"/>
              </w:rPr>
              <w:t>替代兰炭筛分废气</w:t>
            </w:r>
          </w:p>
        </w:tc>
        <w:tc>
          <w:tcPr>
            <w:tcW w:w="306" w:type="pct"/>
            <w:vAlign w:val="center"/>
          </w:tcPr>
          <w:p w14:paraId="711783A9">
            <w:pPr>
              <w:pStyle w:val="133"/>
              <w:rPr>
                <w:rFonts w:cs="Times New Roman"/>
                <w:sz w:val="18"/>
                <w:szCs w:val="18"/>
              </w:rPr>
            </w:pPr>
            <w:r>
              <w:rPr>
                <w:rFonts w:hint="eastAsia"/>
                <w:sz w:val="18"/>
                <w:szCs w:val="18"/>
              </w:rPr>
              <w:t>-97</w:t>
            </w:r>
          </w:p>
        </w:tc>
        <w:tc>
          <w:tcPr>
            <w:tcW w:w="306" w:type="pct"/>
            <w:vAlign w:val="center"/>
          </w:tcPr>
          <w:p w14:paraId="2E22D312">
            <w:pPr>
              <w:pStyle w:val="133"/>
              <w:rPr>
                <w:rFonts w:cs="Times New Roman"/>
                <w:sz w:val="18"/>
                <w:szCs w:val="18"/>
              </w:rPr>
            </w:pPr>
            <w:r>
              <w:rPr>
                <w:rFonts w:hint="eastAsia"/>
                <w:sz w:val="18"/>
                <w:szCs w:val="18"/>
              </w:rPr>
              <w:t>32</w:t>
            </w:r>
          </w:p>
        </w:tc>
        <w:tc>
          <w:tcPr>
            <w:tcW w:w="342" w:type="pct"/>
            <w:noWrap/>
            <w:vAlign w:val="center"/>
          </w:tcPr>
          <w:p w14:paraId="090829F1">
            <w:pPr>
              <w:pStyle w:val="133"/>
              <w:rPr>
                <w:rFonts w:cs="Times New Roman"/>
                <w:sz w:val="18"/>
                <w:szCs w:val="18"/>
              </w:rPr>
            </w:pPr>
            <w:r>
              <w:rPr>
                <w:rFonts w:hint="eastAsia"/>
                <w:sz w:val="18"/>
                <w:szCs w:val="18"/>
              </w:rPr>
              <w:t>15</w:t>
            </w:r>
          </w:p>
        </w:tc>
        <w:tc>
          <w:tcPr>
            <w:tcW w:w="339" w:type="pct"/>
            <w:noWrap/>
            <w:vAlign w:val="center"/>
          </w:tcPr>
          <w:p w14:paraId="193DB235">
            <w:pPr>
              <w:pStyle w:val="133"/>
              <w:rPr>
                <w:rFonts w:cs="Times New Roman"/>
                <w:sz w:val="18"/>
                <w:szCs w:val="18"/>
              </w:rPr>
            </w:pPr>
            <w:r>
              <w:rPr>
                <w:rFonts w:hint="eastAsia"/>
                <w:sz w:val="18"/>
                <w:szCs w:val="18"/>
              </w:rPr>
              <w:t>0.8</w:t>
            </w:r>
          </w:p>
        </w:tc>
        <w:tc>
          <w:tcPr>
            <w:tcW w:w="342" w:type="pct"/>
            <w:noWrap/>
            <w:vAlign w:val="center"/>
          </w:tcPr>
          <w:p w14:paraId="6EEA62CF">
            <w:pPr>
              <w:pStyle w:val="133"/>
              <w:rPr>
                <w:rFonts w:cs="Times New Roman"/>
                <w:sz w:val="18"/>
                <w:szCs w:val="18"/>
              </w:rPr>
            </w:pPr>
            <w:r>
              <w:rPr>
                <w:rFonts w:hint="eastAsia"/>
                <w:sz w:val="18"/>
                <w:szCs w:val="18"/>
              </w:rPr>
              <w:t>40</w:t>
            </w:r>
          </w:p>
        </w:tc>
        <w:tc>
          <w:tcPr>
            <w:tcW w:w="311" w:type="pct"/>
            <w:vAlign w:val="center"/>
          </w:tcPr>
          <w:p w14:paraId="30DD8AF3">
            <w:pPr>
              <w:pStyle w:val="133"/>
              <w:rPr>
                <w:rFonts w:cs="Times New Roman"/>
                <w:sz w:val="18"/>
                <w:szCs w:val="18"/>
              </w:rPr>
            </w:pPr>
            <w:r>
              <w:rPr>
                <w:rFonts w:hint="eastAsia"/>
                <w:sz w:val="18"/>
                <w:szCs w:val="18"/>
              </w:rPr>
              <w:t>18906</w:t>
            </w:r>
          </w:p>
        </w:tc>
        <w:tc>
          <w:tcPr>
            <w:tcW w:w="246" w:type="pct"/>
            <w:vAlign w:val="center"/>
          </w:tcPr>
          <w:p w14:paraId="3E28478C">
            <w:pPr>
              <w:pStyle w:val="133"/>
              <w:rPr>
                <w:sz w:val="18"/>
                <w:szCs w:val="18"/>
              </w:rPr>
            </w:pPr>
          </w:p>
        </w:tc>
        <w:tc>
          <w:tcPr>
            <w:tcW w:w="246" w:type="pct"/>
            <w:vAlign w:val="center"/>
          </w:tcPr>
          <w:p w14:paraId="2A4D9356">
            <w:pPr>
              <w:pStyle w:val="133"/>
              <w:rPr>
                <w:sz w:val="18"/>
                <w:szCs w:val="18"/>
              </w:rPr>
            </w:pPr>
          </w:p>
        </w:tc>
        <w:tc>
          <w:tcPr>
            <w:tcW w:w="246" w:type="pct"/>
            <w:noWrap/>
            <w:vAlign w:val="center"/>
          </w:tcPr>
          <w:p w14:paraId="7D1A1D09">
            <w:pPr>
              <w:pStyle w:val="133"/>
              <w:rPr>
                <w:sz w:val="18"/>
                <w:szCs w:val="18"/>
              </w:rPr>
            </w:pPr>
            <w:r>
              <w:rPr>
                <w:rFonts w:hint="eastAsia"/>
                <w:sz w:val="18"/>
                <w:szCs w:val="18"/>
              </w:rPr>
              <w:t>0.247</w:t>
            </w:r>
          </w:p>
        </w:tc>
        <w:tc>
          <w:tcPr>
            <w:tcW w:w="246" w:type="pct"/>
            <w:noWrap/>
            <w:vAlign w:val="center"/>
          </w:tcPr>
          <w:p w14:paraId="6DD8D774">
            <w:pPr>
              <w:pStyle w:val="133"/>
              <w:rPr>
                <w:sz w:val="18"/>
                <w:szCs w:val="18"/>
              </w:rPr>
            </w:pPr>
            <w:r>
              <w:rPr>
                <w:rFonts w:hint="eastAsia"/>
                <w:sz w:val="18"/>
                <w:szCs w:val="18"/>
              </w:rPr>
              <w:t>0.1235</w:t>
            </w:r>
          </w:p>
        </w:tc>
        <w:tc>
          <w:tcPr>
            <w:tcW w:w="247" w:type="pct"/>
            <w:vAlign w:val="center"/>
          </w:tcPr>
          <w:p w14:paraId="32CE80A4">
            <w:pPr>
              <w:pStyle w:val="133"/>
              <w:rPr>
                <w:sz w:val="18"/>
                <w:szCs w:val="18"/>
              </w:rPr>
            </w:pPr>
          </w:p>
        </w:tc>
        <w:tc>
          <w:tcPr>
            <w:tcW w:w="242" w:type="pct"/>
            <w:vAlign w:val="center"/>
          </w:tcPr>
          <w:p w14:paraId="3729E507">
            <w:pPr>
              <w:pStyle w:val="133"/>
              <w:rPr>
                <w:rFonts w:cs="Times New Roman"/>
                <w:sz w:val="18"/>
                <w:szCs w:val="18"/>
              </w:rPr>
            </w:pPr>
          </w:p>
        </w:tc>
        <w:tc>
          <w:tcPr>
            <w:tcW w:w="242" w:type="pct"/>
            <w:vAlign w:val="center"/>
          </w:tcPr>
          <w:p w14:paraId="5D440207">
            <w:pPr>
              <w:pStyle w:val="133"/>
              <w:rPr>
                <w:rFonts w:cs="Times New Roman"/>
                <w:sz w:val="18"/>
                <w:szCs w:val="18"/>
              </w:rPr>
            </w:pPr>
          </w:p>
        </w:tc>
        <w:tc>
          <w:tcPr>
            <w:tcW w:w="240" w:type="pct"/>
            <w:vAlign w:val="center"/>
          </w:tcPr>
          <w:p w14:paraId="150EA122">
            <w:pPr>
              <w:pStyle w:val="133"/>
              <w:rPr>
                <w:rFonts w:cs="Times New Roman"/>
                <w:sz w:val="18"/>
                <w:szCs w:val="18"/>
              </w:rPr>
            </w:pPr>
          </w:p>
        </w:tc>
        <w:tc>
          <w:tcPr>
            <w:tcW w:w="238" w:type="pct"/>
            <w:vAlign w:val="center"/>
          </w:tcPr>
          <w:p w14:paraId="6D485FFA">
            <w:pPr>
              <w:pStyle w:val="133"/>
              <w:rPr>
                <w:rFonts w:cs="Times New Roman"/>
                <w:sz w:val="18"/>
                <w:szCs w:val="18"/>
              </w:rPr>
            </w:pPr>
          </w:p>
        </w:tc>
      </w:tr>
      <w:tr w14:paraId="430F1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16840F9F">
            <w:pPr>
              <w:pStyle w:val="133"/>
              <w:rPr>
                <w:rFonts w:cs="Times New Roman"/>
                <w:sz w:val="18"/>
                <w:szCs w:val="18"/>
              </w:rPr>
            </w:pPr>
            <w:r>
              <w:rPr>
                <w:rFonts w:cs="Times New Roman"/>
                <w:color w:val="000000"/>
                <w:sz w:val="18"/>
                <w:szCs w:val="18"/>
              </w:rPr>
              <w:t>6</w:t>
            </w:r>
          </w:p>
        </w:tc>
        <w:tc>
          <w:tcPr>
            <w:tcW w:w="634" w:type="pct"/>
            <w:noWrap/>
            <w:vAlign w:val="center"/>
          </w:tcPr>
          <w:p w14:paraId="6357F644">
            <w:pPr>
              <w:pStyle w:val="133"/>
              <w:rPr>
                <w:rFonts w:cs="Times New Roman"/>
                <w:sz w:val="18"/>
                <w:szCs w:val="18"/>
              </w:rPr>
            </w:pPr>
            <w:r>
              <w:rPr>
                <w:rFonts w:hint="eastAsia"/>
                <w:sz w:val="18"/>
                <w:szCs w:val="18"/>
              </w:rPr>
              <w:t>替代上料废气</w:t>
            </w:r>
          </w:p>
        </w:tc>
        <w:tc>
          <w:tcPr>
            <w:tcW w:w="306" w:type="pct"/>
            <w:vAlign w:val="center"/>
          </w:tcPr>
          <w:p w14:paraId="408F6EB0">
            <w:pPr>
              <w:pStyle w:val="133"/>
              <w:rPr>
                <w:rFonts w:cs="Times New Roman"/>
                <w:sz w:val="18"/>
                <w:szCs w:val="18"/>
              </w:rPr>
            </w:pPr>
            <w:r>
              <w:rPr>
                <w:rFonts w:hint="eastAsia"/>
                <w:sz w:val="18"/>
                <w:szCs w:val="18"/>
              </w:rPr>
              <w:t>195</w:t>
            </w:r>
          </w:p>
        </w:tc>
        <w:tc>
          <w:tcPr>
            <w:tcW w:w="306" w:type="pct"/>
            <w:vAlign w:val="center"/>
          </w:tcPr>
          <w:p w14:paraId="59962390">
            <w:pPr>
              <w:pStyle w:val="133"/>
              <w:rPr>
                <w:rFonts w:cs="Times New Roman"/>
                <w:sz w:val="18"/>
                <w:szCs w:val="18"/>
              </w:rPr>
            </w:pPr>
            <w:r>
              <w:rPr>
                <w:rFonts w:hint="eastAsia"/>
                <w:sz w:val="18"/>
                <w:szCs w:val="18"/>
              </w:rPr>
              <w:t>65</w:t>
            </w:r>
          </w:p>
        </w:tc>
        <w:tc>
          <w:tcPr>
            <w:tcW w:w="342" w:type="pct"/>
            <w:noWrap/>
            <w:vAlign w:val="center"/>
          </w:tcPr>
          <w:p w14:paraId="6FDF2C0B">
            <w:pPr>
              <w:pStyle w:val="133"/>
              <w:rPr>
                <w:rFonts w:cs="Times New Roman"/>
                <w:sz w:val="18"/>
                <w:szCs w:val="18"/>
              </w:rPr>
            </w:pPr>
            <w:r>
              <w:rPr>
                <w:rFonts w:hint="eastAsia"/>
                <w:sz w:val="18"/>
                <w:szCs w:val="18"/>
              </w:rPr>
              <w:t>20</w:t>
            </w:r>
          </w:p>
        </w:tc>
        <w:tc>
          <w:tcPr>
            <w:tcW w:w="339" w:type="pct"/>
            <w:noWrap/>
            <w:vAlign w:val="center"/>
          </w:tcPr>
          <w:p w14:paraId="5FA98EF1">
            <w:pPr>
              <w:pStyle w:val="133"/>
              <w:rPr>
                <w:rFonts w:cs="Times New Roman"/>
                <w:sz w:val="18"/>
                <w:szCs w:val="18"/>
              </w:rPr>
            </w:pPr>
            <w:r>
              <w:rPr>
                <w:rFonts w:hint="eastAsia"/>
                <w:sz w:val="18"/>
                <w:szCs w:val="18"/>
              </w:rPr>
              <w:t>1.4</w:t>
            </w:r>
          </w:p>
        </w:tc>
        <w:tc>
          <w:tcPr>
            <w:tcW w:w="342" w:type="pct"/>
            <w:noWrap/>
            <w:vAlign w:val="center"/>
          </w:tcPr>
          <w:p w14:paraId="06DD9197">
            <w:pPr>
              <w:pStyle w:val="133"/>
              <w:rPr>
                <w:rFonts w:cs="Times New Roman"/>
                <w:sz w:val="18"/>
                <w:szCs w:val="18"/>
              </w:rPr>
            </w:pPr>
            <w:r>
              <w:rPr>
                <w:rFonts w:hint="eastAsia"/>
                <w:sz w:val="18"/>
                <w:szCs w:val="18"/>
              </w:rPr>
              <w:t>25</w:t>
            </w:r>
          </w:p>
        </w:tc>
        <w:tc>
          <w:tcPr>
            <w:tcW w:w="311" w:type="pct"/>
            <w:vAlign w:val="center"/>
          </w:tcPr>
          <w:p w14:paraId="7D26FFC1">
            <w:pPr>
              <w:pStyle w:val="133"/>
              <w:rPr>
                <w:rFonts w:cs="Times New Roman"/>
                <w:sz w:val="18"/>
                <w:szCs w:val="18"/>
              </w:rPr>
            </w:pPr>
            <w:r>
              <w:rPr>
                <w:rFonts w:hint="eastAsia"/>
                <w:sz w:val="18"/>
                <w:szCs w:val="18"/>
              </w:rPr>
              <w:t>25500</w:t>
            </w:r>
          </w:p>
        </w:tc>
        <w:tc>
          <w:tcPr>
            <w:tcW w:w="246" w:type="pct"/>
            <w:vAlign w:val="center"/>
          </w:tcPr>
          <w:p w14:paraId="5C2E8E44">
            <w:pPr>
              <w:pStyle w:val="133"/>
              <w:rPr>
                <w:sz w:val="18"/>
                <w:szCs w:val="18"/>
              </w:rPr>
            </w:pPr>
          </w:p>
        </w:tc>
        <w:tc>
          <w:tcPr>
            <w:tcW w:w="246" w:type="pct"/>
            <w:vAlign w:val="center"/>
          </w:tcPr>
          <w:p w14:paraId="0114A9FD">
            <w:pPr>
              <w:pStyle w:val="133"/>
              <w:rPr>
                <w:sz w:val="18"/>
                <w:szCs w:val="18"/>
              </w:rPr>
            </w:pPr>
          </w:p>
        </w:tc>
        <w:tc>
          <w:tcPr>
            <w:tcW w:w="246" w:type="pct"/>
            <w:noWrap/>
            <w:vAlign w:val="center"/>
          </w:tcPr>
          <w:p w14:paraId="10C9F5E0">
            <w:pPr>
              <w:pStyle w:val="133"/>
              <w:rPr>
                <w:sz w:val="18"/>
                <w:szCs w:val="18"/>
              </w:rPr>
            </w:pPr>
            <w:r>
              <w:rPr>
                <w:rFonts w:hint="eastAsia"/>
                <w:sz w:val="18"/>
                <w:szCs w:val="18"/>
              </w:rPr>
              <w:t>0.07</w:t>
            </w:r>
          </w:p>
        </w:tc>
        <w:tc>
          <w:tcPr>
            <w:tcW w:w="246" w:type="pct"/>
            <w:noWrap/>
            <w:vAlign w:val="center"/>
          </w:tcPr>
          <w:p w14:paraId="2EEA573D">
            <w:pPr>
              <w:pStyle w:val="133"/>
              <w:rPr>
                <w:sz w:val="18"/>
                <w:szCs w:val="18"/>
              </w:rPr>
            </w:pPr>
            <w:r>
              <w:rPr>
                <w:rFonts w:hint="eastAsia"/>
                <w:sz w:val="18"/>
                <w:szCs w:val="18"/>
              </w:rPr>
              <w:t>0.035</w:t>
            </w:r>
          </w:p>
        </w:tc>
        <w:tc>
          <w:tcPr>
            <w:tcW w:w="247" w:type="pct"/>
            <w:vAlign w:val="center"/>
          </w:tcPr>
          <w:p w14:paraId="6F217B5D">
            <w:pPr>
              <w:pStyle w:val="133"/>
              <w:rPr>
                <w:sz w:val="18"/>
                <w:szCs w:val="18"/>
              </w:rPr>
            </w:pPr>
          </w:p>
        </w:tc>
        <w:tc>
          <w:tcPr>
            <w:tcW w:w="242" w:type="pct"/>
            <w:vAlign w:val="center"/>
          </w:tcPr>
          <w:p w14:paraId="728689D1">
            <w:pPr>
              <w:pStyle w:val="133"/>
              <w:rPr>
                <w:rFonts w:cs="Times New Roman"/>
                <w:sz w:val="18"/>
                <w:szCs w:val="18"/>
              </w:rPr>
            </w:pPr>
          </w:p>
        </w:tc>
        <w:tc>
          <w:tcPr>
            <w:tcW w:w="242" w:type="pct"/>
            <w:vAlign w:val="center"/>
          </w:tcPr>
          <w:p w14:paraId="2E62163B">
            <w:pPr>
              <w:pStyle w:val="133"/>
              <w:rPr>
                <w:rFonts w:cs="Times New Roman"/>
                <w:sz w:val="18"/>
                <w:szCs w:val="18"/>
              </w:rPr>
            </w:pPr>
          </w:p>
        </w:tc>
        <w:tc>
          <w:tcPr>
            <w:tcW w:w="240" w:type="pct"/>
            <w:vAlign w:val="center"/>
          </w:tcPr>
          <w:p w14:paraId="03FBA04A">
            <w:pPr>
              <w:pStyle w:val="133"/>
              <w:rPr>
                <w:rFonts w:cs="Times New Roman"/>
                <w:sz w:val="18"/>
                <w:szCs w:val="18"/>
              </w:rPr>
            </w:pPr>
          </w:p>
        </w:tc>
        <w:tc>
          <w:tcPr>
            <w:tcW w:w="238" w:type="pct"/>
            <w:vAlign w:val="center"/>
          </w:tcPr>
          <w:p w14:paraId="6740FBF7">
            <w:pPr>
              <w:pStyle w:val="133"/>
              <w:rPr>
                <w:rFonts w:cs="Times New Roman"/>
                <w:sz w:val="18"/>
                <w:szCs w:val="18"/>
              </w:rPr>
            </w:pPr>
          </w:p>
        </w:tc>
      </w:tr>
      <w:tr w14:paraId="1930F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3619AF6A">
            <w:pPr>
              <w:pStyle w:val="133"/>
              <w:rPr>
                <w:rFonts w:cs="Times New Roman"/>
                <w:sz w:val="18"/>
                <w:szCs w:val="18"/>
              </w:rPr>
            </w:pPr>
            <w:r>
              <w:rPr>
                <w:rFonts w:cs="Times New Roman"/>
                <w:color w:val="000000"/>
                <w:sz w:val="18"/>
                <w:szCs w:val="18"/>
              </w:rPr>
              <w:t>7</w:t>
            </w:r>
          </w:p>
        </w:tc>
        <w:tc>
          <w:tcPr>
            <w:tcW w:w="634" w:type="pct"/>
            <w:noWrap/>
            <w:vAlign w:val="center"/>
          </w:tcPr>
          <w:p w14:paraId="126B4F0D">
            <w:pPr>
              <w:pStyle w:val="133"/>
              <w:rPr>
                <w:rFonts w:cs="Times New Roman"/>
                <w:sz w:val="18"/>
                <w:szCs w:val="18"/>
              </w:rPr>
            </w:pPr>
            <w:r>
              <w:rPr>
                <w:rFonts w:hint="eastAsia"/>
                <w:sz w:val="18"/>
                <w:szCs w:val="18"/>
              </w:rPr>
              <w:t>替代矿热炉烟气</w:t>
            </w:r>
          </w:p>
        </w:tc>
        <w:tc>
          <w:tcPr>
            <w:tcW w:w="306" w:type="pct"/>
            <w:vAlign w:val="center"/>
          </w:tcPr>
          <w:p w14:paraId="39C45B86">
            <w:pPr>
              <w:pStyle w:val="133"/>
              <w:rPr>
                <w:rFonts w:cs="Times New Roman"/>
                <w:sz w:val="18"/>
                <w:szCs w:val="18"/>
              </w:rPr>
            </w:pPr>
            <w:r>
              <w:rPr>
                <w:rFonts w:hint="eastAsia"/>
                <w:sz w:val="18"/>
                <w:szCs w:val="18"/>
              </w:rPr>
              <w:t>292</w:t>
            </w:r>
          </w:p>
        </w:tc>
        <w:tc>
          <w:tcPr>
            <w:tcW w:w="306" w:type="pct"/>
            <w:vAlign w:val="center"/>
          </w:tcPr>
          <w:p w14:paraId="3CF7E731">
            <w:pPr>
              <w:pStyle w:val="133"/>
              <w:rPr>
                <w:rFonts w:cs="Times New Roman"/>
                <w:sz w:val="18"/>
                <w:szCs w:val="18"/>
              </w:rPr>
            </w:pPr>
            <w:r>
              <w:rPr>
                <w:rFonts w:hint="eastAsia"/>
                <w:sz w:val="18"/>
                <w:szCs w:val="18"/>
              </w:rPr>
              <w:t>32</w:t>
            </w:r>
          </w:p>
        </w:tc>
        <w:tc>
          <w:tcPr>
            <w:tcW w:w="342" w:type="pct"/>
            <w:noWrap/>
            <w:vAlign w:val="center"/>
          </w:tcPr>
          <w:p w14:paraId="0D6D0F88">
            <w:pPr>
              <w:pStyle w:val="133"/>
              <w:rPr>
                <w:rFonts w:cs="Times New Roman"/>
                <w:sz w:val="18"/>
                <w:szCs w:val="18"/>
              </w:rPr>
            </w:pPr>
            <w:r>
              <w:rPr>
                <w:rFonts w:hint="eastAsia"/>
                <w:sz w:val="18"/>
                <w:szCs w:val="18"/>
              </w:rPr>
              <w:t>60</w:t>
            </w:r>
          </w:p>
        </w:tc>
        <w:tc>
          <w:tcPr>
            <w:tcW w:w="339" w:type="pct"/>
            <w:noWrap/>
            <w:vAlign w:val="center"/>
          </w:tcPr>
          <w:p w14:paraId="2BF987E2">
            <w:pPr>
              <w:pStyle w:val="133"/>
              <w:rPr>
                <w:rFonts w:cs="Times New Roman"/>
                <w:sz w:val="18"/>
                <w:szCs w:val="18"/>
              </w:rPr>
            </w:pPr>
            <w:r>
              <w:rPr>
                <w:rFonts w:hint="eastAsia"/>
                <w:sz w:val="18"/>
                <w:szCs w:val="18"/>
              </w:rPr>
              <w:t>5.1</w:t>
            </w:r>
          </w:p>
        </w:tc>
        <w:tc>
          <w:tcPr>
            <w:tcW w:w="342" w:type="pct"/>
            <w:noWrap/>
            <w:vAlign w:val="center"/>
          </w:tcPr>
          <w:p w14:paraId="1EDEBAC7">
            <w:pPr>
              <w:pStyle w:val="133"/>
              <w:rPr>
                <w:rFonts w:cs="Times New Roman"/>
                <w:sz w:val="18"/>
                <w:szCs w:val="18"/>
              </w:rPr>
            </w:pPr>
            <w:r>
              <w:rPr>
                <w:rFonts w:hint="eastAsia"/>
                <w:sz w:val="18"/>
                <w:szCs w:val="18"/>
              </w:rPr>
              <w:t>150</w:t>
            </w:r>
          </w:p>
        </w:tc>
        <w:tc>
          <w:tcPr>
            <w:tcW w:w="311" w:type="pct"/>
            <w:vAlign w:val="center"/>
          </w:tcPr>
          <w:p w14:paraId="61B01751">
            <w:pPr>
              <w:pStyle w:val="133"/>
              <w:rPr>
                <w:rFonts w:cs="Times New Roman"/>
                <w:sz w:val="18"/>
                <w:szCs w:val="18"/>
              </w:rPr>
            </w:pPr>
            <w:r>
              <w:rPr>
                <w:rFonts w:hint="eastAsia"/>
                <w:sz w:val="18"/>
                <w:szCs w:val="18"/>
              </w:rPr>
              <w:t>560000</w:t>
            </w:r>
          </w:p>
        </w:tc>
        <w:tc>
          <w:tcPr>
            <w:tcW w:w="246" w:type="pct"/>
            <w:vAlign w:val="center"/>
          </w:tcPr>
          <w:p w14:paraId="3B7B7304">
            <w:pPr>
              <w:pStyle w:val="133"/>
              <w:rPr>
                <w:sz w:val="18"/>
                <w:szCs w:val="18"/>
              </w:rPr>
            </w:pPr>
            <w:r>
              <w:rPr>
                <w:rFonts w:hint="eastAsia"/>
                <w:sz w:val="18"/>
                <w:szCs w:val="18"/>
              </w:rPr>
              <w:t>25.86</w:t>
            </w:r>
          </w:p>
        </w:tc>
        <w:tc>
          <w:tcPr>
            <w:tcW w:w="246" w:type="pct"/>
            <w:vAlign w:val="center"/>
          </w:tcPr>
          <w:p w14:paraId="09F82C36">
            <w:pPr>
              <w:pStyle w:val="133"/>
              <w:rPr>
                <w:sz w:val="18"/>
                <w:szCs w:val="18"/>
              </w:rPr>
            </w:pPr>
            <w:r>
              <w:rPr>
                <w:rFonts w:hint="eastAsia"/>
                <w:sz w:val="18"/>
                <w:szCs w:val="18"/>
              </w:rPr>
              <w:t>13.455</w:t>
            </w:r>
          </w:p>
        </w:tc>
        <w:tc>
          <w:tcPr>
            <w:tcW w:w="246" w:type="pct"/>
            <w:noWrap/>
            <w:vAlign w:val="center"/>
          </w:tcPr>
          <w:p w14:paraId="10C4B93C">
            <w:pPr>
              <w:pStyle w:val="133"/>
              <w:rPr>
                <w:sz w:val="18"/>
                <w:szCs w:val="18"/>
              </w:rPr>
            </w:pPr>
            <w:r>
              <w:rPr>
                <w:rFonts w:hint="eastAsia"/>
                <w:sz w:val="18"/>
                <w:szCs w:val="18"/>
              </w:rPr>
              <w:t>7.08</w:t>
            </w:r>
          </w:p>
        </w:tc>
        <w:tc>
          <w:tcPr>
            <w:tcW w:w="246" w:type="pct"/>
            <w:noWrap/>
            <w:vAlign w:val="center"/>
          </w:tcPr>
          <w:p w14:paraId="6602ED50">
            <w:pPr>
              <w:pStyle w:val="133"/>
              <w:rPr>
                <w:sz w:val="18"/>
                <w:szCs w:val="18"/>
              </w:rPr>
            </w:pPr>
            <w:r>
              <w:rPr>
                <w:rFonts w:hint="eastAsia"/>
                <w:sz w:val="18"/>
                <w:szCs w:val="18"/>
              </w:rPr>
              <w:t>3.54</w:t>
            </w:r>
          </w:p>
        </w:tc>
        <w:tc>
          <w:tcPr>
            <w:tcW w:w="247" w:type="pct"/>
            <w:vAlign w:val="center"/>
          </w:tcPr>
          <w:p w14:paraId="195710F3">
            <w:pPr>
              <w:pStyle w:val="133"/>
              <w:rPr>
                <w:sz w:val="18"/>
                <w:szCs w:val="18"/>
              </w:rPr>
            </w:pPr>
          </w:p>
        </w:tc>
        <w:tc>
          <w:tcPr>
            <w:tcW w:w="242" w:type="pct"/>
            <w:vAlign w:val="center"/>
          </w:tcPr>
          <w:p w14:paraId="3C31E98F">
            <w:pPr>
              <w:pStyle w:val="133"/>
              <w:rPr>
                <w:rFonts w:cs="Times New Roman"/>
                <w:sz w:val="18"/>
                <w:szCs w:val="18"/>
              </w:rPr>
            </w:pPr>
          </w:p>
        </w:tc>
        <w:tc>
          <w:tcPr>
            <w:tcW w:w="242" w:type="pct"/>
            <w:vAlign w:val="center"/>
          </w:tcPr>
          <w:p w14:paraId="61D9DE07">
            <w:pPr>
              <w:pStyle w:val="133"/>
              <w:rPr>
                <w:rFonts w:cs="Times New Roman"/>
                <w:sz w:val="18"/>
                <w:szCs w:val="18"/>
              </w:rPr>
            </w:pPr>
          </w:p>
        </w:tc>
        <w:tc>
          <w:tcPr>
            <w:tcW w:w="240" w:type="pct"/>
            <w:vAlign w:val="center"/>
          </w:tcPr>
          <w:p w14:paraId="7E278C87">
            <w:pPr>
              <w:pStyle w:val="133"/>
              <w:rPr>
                <w:rFonts w:cs="Times New Roman"/>
                <w:sz w:val="18"/>
                <w:szCs w:val="18"/>
              </w:rPr>
            </w:pPr>
          </w:p>
        </w:tc>
        <w:tc>
          <w:tcPr>
            <w:tcW w:w="238" w:type="pct"/>
            <w:vAlign w:val="center"/>
          </w:tcPr>
          <w:p w14:paraId="4E471D04">
            <w:pPr>
              <w:pStyle w:val="133"/>
              <w:rPr>
                <w:rFonts w:cs="Times New Roman"/>
                <w:sz w:val="18"/>
                <w:szCs w:val="18"/>
              </w:rPr>
            </w:pPr>
          </w:p>
        </w:tc>
      </w:tr>
      <w:tr w14:paraId="216B6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05FE29EC">
            <w:pPr>
              <w:pStyle w:val="133"/>
              <w:rPr>
                <w:rFonts w:cs="Times New Roman"/>
                <w:sz w:val="18"/>
                <w:szCs w:val="18"/>
              </w:rPr>
            </w:pPr>
            <w:r>
              <w:rPr>
                <w:rFonts w:cs="Times New Roman"/>
                <w:color w:val="000000"/>
                <w:sz w:val="18"/>
                <w:szCs w:val="18"/>
              </w:rPr>
              <w:t>8</w:t>
            </w:r>
          </w:p>
        </w:tc>
        <w:tc>
          <w:tcPr>
            <w:tcW w:w="634" w:type="pct"/>
            <w:noWrap/>
            <w:vAlign w:val="center"/>
          </w:tcPr>
          <w:p w14:paraId="029B0773">
            <w:pPr>
              <w:pStyle w:val="133"/>
              <w:rPr>
                <w:rFonts w:cs="Times New Roman"/>
                <w:sz w:val="18"/>
                <w:szCs w:val="18"/>
              </w:rPr>
            </w:pPr>
            <w:r>
              <w:rPr>
                <w:rFonts w:hint="eastAsia"/>
                <w:sz w:val="18"/>
                <w:szCs w:val="18"/>
              </w:rPr>
              <w:t>替代出铁浇铸废气</w:t>
            </w:r>
          </w:p>
        </w:tc>
        <w:tc>
          <w:tcPr>
            <w:tcW w:w="306" w:type="pct"/>
            <w:vAlign w:val="center"/>
          </w:tcPr>
          <w:p w14:paraId="1079698C">
            <w:pPr>
              <w:pStyle w:val="133"/>
              <w:rPr>
                <w:rFonts w:cs="Times New Roman"/>
                <w:sz w:val="18"/>
                <w:szCs w:val="18"/>
              </w:rPr>
            </w:pPr>
            <w:r>
              <w:rPr>
                <w:rFonts w:hint="eastAsia"/>
                <w:sz w:val="18"/>
                <w:szCs w:val="18"/>
              </w:rPr>
              <w:t>195</w:t>
            </w:r>
          </w:p>
        </w:tc>
        <w:tc>
          <w:tcPr>
            <w:tcW w:w="306" w:type="pct"/>
            <w:vAlign w:val="center"/>
          </w:tcPr>
          <w:p w14:paraId="1CD2DE21">
            <w:pPr>
              <w:pStyle w:val="133"/>
              <w:rPr>
                <w:rFonts w:cs="Times New Roman"/>
                <w:sz w:val="18"/>
                <w:szCs w:val="18"/>
              </w:rPr>
            </w:pPr>
            <w:r>
              <w:rPr>
                <w:rFonts w:hint="eastAsia"/>
                <w:sz w:val="18"/>
                <w:szCs w:val="18"/>
              </w:rPr>
              <w:t>0</w:t>
            </w:r>
          </w:p>
        </w:tc>
        <w:tc>
          <w:tcPr>
            <w:tcW w:w="342" w:type="pct"/>
            <w:noWrap/>
            <w:vAlign w:val="center"/>
          </w:tcPr>
          <w:p w14:paraId="60A0604B">
            <w:pPr>
              <w:pStyle w:val="133"/>
              <w:rPr>
                <w:rFonts w:cs="Times New Roman"/>
                <w:sz w:val="18"/>
                <w:szCs w:val="18"/>
              </w:rPr>
            </w:pPr>
            <w:r>
              <w:rPr>
                <w:rFonts w:hint="eastAsia"/>
                <w:sz w:val="18"/>
                <w:szCs w:val="18"/>
              </w:rPr>
              <w:t>20</w:t>
            </w:r>
          </w:p>
        </w:tc>
        <w:tc>
          <w:tcPr>
            <w:tcW w:w="339" w:type="pct"/>
            <w:noWrap/>
            <w:vAlign w:val="center"/>
          </w:tcPr>
          <w:p w14:paraId="039B01F4">
            <w:pPr>
              <w:pStyle w:val="133"/>
              <w:rPr>
                <w:rFonts w:cs="Times New Roman"/>
                <w:sz w:val="18"/>
                <w:szCs w:val="18"/>
              </w:rPr>
            </w:pPr>
            <w:r>
              <w:rPr>
                <w:rFonts w:hint="eastAsia"/>
                <w:sz w:val="18"/>
                <w:szCs w:val="18"/>
              </w:rPr>
              <w:t>1.9</w:t>
            </w:r>
          </w:p>
        </w:tc>
        <w:tc>
          <w:tcPr>
            <w:tcW w:w="342" w:type="pct"/>
            <w:noWrap/>
            <w:vAlign w:val="center"/>
          </w:tcPr>
          <w:p w14:paraId="6CA6A5E9">
            <w:pPr>
              <w:pStyle w:val="133"/>
              <w:rPr>
                <w:rFonts w:cs="Times New Roman"/>
                <w:sz w:val="18"/>
                <w:szCs w:val="18"/>
              </w:rPr>
            </w:pPr>
            <w:r>
              <w:rPr>
                <w:rFonts w:hint="eastAsia"/>
                <w:sz w:val="18"/>
                <w:szCs w:val="18"/>
              </w:rPr>
              <w:t>25</w:t>
            </w:r>
          </w:p>
        </w:tc>
        <w:tc>
          <w:tcPr>
            <w:tcW w:w="311" w:type="pct"/>
            <w:vAlign w:val="center"/>
          </w:tcPr>
          <w:p w14:paraId="5037C54B">
            <w:pPr>
              <w:pStyle w:val="133"/>
              <w:rPr>
                <w:rFonts w:cs="Times New Roman"/>
                <w:sz w:val="18"/>
                <w:szCs w:val="18"/>
              </w:rPr>
            </w:pPr>
            <w:r>
              <w:rPr>
                <w:rFonts w:hint="eastAsia"/>
                <w:sz w:val="18"/>
                <w:szCs w:val="18"/>
              </w:rPr>
              <w:t>65500</w:t>
            </w:r>
          </w:p>
        </w:tc>
        <w:tc>
          <w:tcPr>
            <w:tcW w:w="246" w:type="pct"/>
            <w:vAlign w:val="center"/>
          </w:tcPr>
          <w:p w14:paraId="0698AC96">
            <w:pPr>
              <w:pStyle w:val="133"/>
              <w:rPr>
                <w:sz w:val="18"/>
                <w:szCs w:val="18"/>
              </w:rPr>
            </w:pPr>
          </w:p>
        </w:tc>
        <w:tc>
          <w:tcPr>
            <w:tcW w:w="246" w:type="pct"/>
            <w:vAlign w:val="center"/>
          </w:tcPr>
          <w:p w14:paraId="2A219DE8">
            <w:pPr>
              <w:pStyle w:val="133"/>
              <w:rPr>
                <w:sz w:val="18"/>
                <w:szCs w:val="18"/>
              </w:rPr>
            </w:pPr>
          </w:p>
        </w:tc>
        <w:tc>
          <w:tcPr>
            <w:tcW w:w="246" w:type="pct"/>
            <w:noWrap/>
            <w:vAlign w:val="center"/>
          </w:tcPr>
          <w:p w14:paraId="66B39596">
            <w:pPr>
              <w:pStyle w:val="133"/>
              <w:rPr>
                <w:sz w:val="18"/>
                <w:szCs w:val="18"/>
              </w:rPr>
            </w:pPr>
            <w:r>
              <w:rPr>
                <w:rFonts w:hint="eastAsia"/>
                <w:sz w:val="18"/>
                <w:szCs w:val="18"/>
              </w:rPr>
              <w:t>0.07</w:t>
            </w:r>
          </w:p>
        </w:tc>
        <w:tc>
          <w:tcPr>
            <w:tcW w:w="246" w:type="pct"/>
            <w:noWrap/>
            <w:vAlign w:val="center"/>
          </w:tcPr>
          <w:p w14:paraId="127E8033">
            <w:pPr>
              <w:pStyle w:val="133"/>
              <w:rPr>
                <w:sz w:val="18"/>
                <w:szCs w:val="18"/>
              </w:rPr>
            </w:pPr>
            <w:r>
              <w:rPr>
                <w:rFonts w:hint="eastAsia"/>
                <w:sz w:val="18"/>
                <w:szCs w:val="18"/>
              </w:rPr>
              <w:t>0.035</w:t>
            </w:r>
          </w:p>
        </w:tc>
        <w:tc>
          <w:tcPr>
            <w:tcW w:w="247" w:type="pct"/>
            <w:vAlign w:val="center"/>
          </w:tcPr>
          <w:p w14:paraId="1A08DCCD">
            <w:pPr>
              <w:pStyle w:val="133"/>
              <w:rPr>
                <w:sz w:val="18"/>
                <w:szCs w:val="18"/>
              </w:rPr>
            </w:pPr>
          </w:p>
        </w:tc>
        <w:tc>
          <w:tcPr>
            <w:tcW w:w="242" w:type="pct"/>
            <w:vAlign w:val="center"/>
          </w:tcPr>
          <w:p w14:paraId="610B67C2">
            <w:pPr>
              <w:pStyle w:val="133"/>
              <w:rPr>
                <w:rFonts w:cs="Times New Roman"/>
                <w:sz w:val="18"/>
                <w:szCs w:val="18"/>
              </w:rPr>
            </w:pPr>
          </w:p>
        </w:tc>
        <w:tc>
          <w:tcPr>
            <w:tcW w:w="242" w:type="pct"/>
            <w:vAlign w:val="center"/>
          </w:tcPr>
          <w:p w14:paraId="0D985BAA">
            <w:pPr>
              <w:pStyle w:val="133"/>
              <w:rPr>
                <w:rFonts w:cs="Times New Roman"/>
                <w:sz w:val="18"/>
                <w:szCs w:val="18"/>
              </w:rPr>
            </w:pPr>
          </w:p>
        </w:tc>
        <w:tc>
          <w:tcPr>
            <w:tcW w:w="240" w:type="pct"/>
            <w:vAlign w:val="center"/>
          </w:tcPr>
          <w:p w14:paraId="29014899">
            <w:pPr>
              <w:pStyle w:val="133"/>
              <w:rPr>
                <w:rFonts w:cs="Times New Roman"/>
                <w:sz w:val="18"/>
                <w:szCs w:val="18"/>
              </w:rPr>
            </w:pPr>
          </w:p>
        </w:tc>
        <w:tc>
          <w:tcPr>
            <w:tcW w:w="238" w:type="pct"/>
            <w:vAlign w:val="center"/>
          </w:tcPr>
          <w:p w14:paraId="314AE622">
            <w:pPr>
              <w:pStyle w:val="133"/>
              <w:rPr>
                <w:rFonts w:cs="Times New Roman"/>
                <w:sz w:val="18"/>
                <w:szCs w:val="18"/>
              </w:rPr>
            </w:pPr>
          </w:p>
        </w:tc>
      </w:tr>
      <w:tr w14:paraId="54BE96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27" w:type="pct"/>
            <w:noWrap/>
            <w:vAlign w:val="center"/>
          </w:tcPr>
          <w:p w14:paraId="2FE5FA3B">
            <w:pPr>
              <w:pStyle w:val="133"/>
              <w:rPr>
                <w:rFonts w:cs="Times New Roman"/>
                <w:sz w:val="18"/>
                <w:szCs w:val="18"/>
              </w:rPr>
            </w:pPr>
            <w:r>
              <w:rPr>
                <w:rFonts w:cs="Times New Roman"/>
                <w:color w:val="000000"/>
                <w:sz w:val="18"/>
                <w:szCs w:val="18"/>
              </w:rPr>
              <w:t>9</w:t>
            </w:r>
          </w:p>
        </w:tc>
        <w:tc>
          <w:tcPr>
            <w:tcW w:w="634" w:type="pct"/>
            <w:noWrap/>
            <w:vAlign w:val="center"/>
          </w:tcPr>
          <w:p w14:paraId="24BD6F92">
            <w:pPr>
              <w:pStyle w:val="133"/>
              <w:rPr>
                <w:rFonts w:cs="Times New Roman"/>
                <w:sz w:val="18"/>
                <w:szCs w:val="18"/>
              </w:rPr>
            </w:pPr>
            <w:r>
              <w:rPr>
                <w:rFonts w:hint="eastAsia"/>
                <w:sz w:val="18"/>
                <w:szCs w:val="18"/>
              </w:rPr>
              <w:t>替代成品破碎废气</w:t>
            </w:r>
          </w:p>
        </w:tc>
        <w:tc>
          <w:tcPr>
            <w:tcW w:w="306" w:type="pct"/>
            <w:vAlign w:val="center"/>
          </w:tcPr>
          <w:p w14:paraId="126DE81E">
            <w:pPr>
              <w:pStyle w:val="133"/>
              <w:rPr>
                <w:rFonts w:cs="Times New Roman"/>
                <w:sz w:val="18"/>
                <w:szCs w:val="18"/>
              </w:rPr>
            </w:pPr>
            <w:r>
              <w:rPr>
                <w:rFonts w:hint="eastAsia"/>
                <w:sz w:val="18"/>
                <w:szCs w:val="18"/>
              </w:rPr>
              <w:t>65</w:t>
            </w:r>
          </w:p>
        </w:tc>
        <w:tc>
          <w:tcPr>
            <w:tcW w:w="306" w:type="pct"/>
            <w:vAlign w:val="center"/>
          </w:tcPr>
          <w:p w14:paraId="1D6E8398">
            <w:pPr>
              <w:pStyle w:val="133"/>
              <w:rPr>
                <w:rFonts w:cs="Times New Roman"/>
                <w:sz w:val="18"/>
                <w:szCs w:val="18"/>
              </w:rPr>
            </w:pPr>
            <w:r>
              <w:rPr>
                <w:rFonts w:hint="eastAsia"/>
                <w:sz w:val="18"/>
                <w:szCs w:val="18"/>
              </w:rPr>
              <w:t>97</w:t>
            </w:r>
          </w:p>
        </w:tc>
        <w:tc>
          <w:tcPr>
            <w:tcW w:w="342" w:type="pct"/>
            <w:noWrap/>
            <w:vAlign w:val="center"/>
          </w:tcPr>
          <w:p w14:paraId="33BB16A4">
            <w:pPr>
              <w:pStyle w:val="133"/>
              <w:rPr>
                <w:rFonts w:cs="Times New Roman"/>
                <w:sz w:val="18"/>
                <w:szCs w:val="18"/>
              </w:rPr>
            </w:pPr>
            <w:r>
              <w:rPr>
                <w:rFonts w:hint="eastAsia"/>
                <w:sz w:val="18"/>
                <w:szCs w:val="18"/>
              </w:rPr>
              <w:t>15</w:t>
            </w:r>
          </w:p>
        </w:tc>
        <w:tc>
          <w:tcPr>
            <w:tcW w:w="339" w:type="pct"/>
            <w:noWrap/>
            <w:vAlign w:val="center"/>
          </w:tcPr>
          <w:p w14:paraId="2B6062CD">
            <w:pPr>
              <w:pStyle w:val="133"/>
              <w:rPr>
                <w:rFonts w:cs="Times New Roman"/>
                <w:sz w:val="18"/>
                <w:szCs w:val="18"/>
              </w:rPr>
            </w:pPr>
            <w:r>
              <w:rPr>
                <w:rFonts w:hint="eastAsia"/>
                <w:sz w:val="18"/>
                <w:szCs w:val="18"/>
              </w:rPr>
              <w:t>0.85</w:t>
            </w:r>
          </w:p>
        </w:tc>
        <w:tc>
          <w:tcPr>
            <w:tcW w:w="342" w:type="pct"/>
            <w:noWrap/>
            <w:vAlign w:val="center"/>
          </w:tcPr>
          <w:p w14:paraId="2BBB286B">
            <w:pPr>
              <w:pStyle w:val="133"/>
              <w:rPr>
                <w:rFonts w:cs="Times New Roman"/>
                <w:sz w:val="18"/>
                <w:szCs w:val="18"/>
              </w:rPr>
            </w:pPr>
            <w:r>
              <w:rPr>
                <w:rFonts w:hint="eastAsia"/>
                <w:sz w:val="18"/>
                <w:szCs w:val="18"/>
              </w:rPr>
              <w:t>25</w:t>
            </w:r>
          </w:p>
        </w:tc>
        <w:tc>
          <w:tcPr>
            <w:tcW w:w="311" w:type="pct"/>
            <w:vAlign w:val="center"/>
          </w:tcPr>
          <w:p w14:paraId="460A5176">
            <w:pPr>
              <w:pStyle w:val="133"/>
              <w:rPr>
                <w:rFonts w:cs="Times New Roman"/>
                <w:sz w:val="18"/>
                <w:szCs w:val="18"/>
              </w:rPr>
            </w:pPr>
            <w:r>
              <w:rPr>
                <w:rFonts w:hint="eastAsia"/>
                <w:sz w:val="18"/>
                <w:szCs w:val="18"/>
              </w:rPr>
              <w:t>7800</w:t>
            </w:r>
          </w:p>
        </w:tc>
        <w:tc>
          <w:tcPr>
            <w:tcW w:w="246" w:type="pct"/>
            <w:vAlign w:val="center"/>
          </w:tcPr>
          <w:p w14:paraId="14E3E560">
            <w:pPr>
              <w:pStyle w:val="133"/>
              <w:rPr>
                <w:sz w:val="18"/>
                <w:szCs w:val="18"/>
              </w:rPr>
            </w:pPr>
          </w:p>
        </w:tc>
        <w:tc>
          <w:tcPr>
            <w:tcW w:w="246" w:type="pct"/>
            <w:vAlign w:val="center"/>
          </w:tcPr>
          <w:p w14:paraId="05E34E9F">
            <w:pPr>
              <w:pStyle w:val="133"/>
              <w:rPr>
                <w:sz w:val="18"/>
                <w:szCs w:val="18"/>
              </w:rPr>
            </w:pPr>
          </w:p>
        </w:tc>
        <w:tc>
          <w:tcPr>
            <w:tcW w:w="246" w:type="pct"/>
            <w:noWrap/>
            <w:vAlign w:val="center"/>
          </w:tcPr>
          <w:p w14:paraId="7C4BECD2">
            <w:pPr>
              <w:pStyle w:val="133"/>
              <w:rPr>
                <w:sz w:val="18"/>
                <w:szCs w:val="18"/>
              </w:rPr>
            </w:pPr>
            <w:r>
              <w:rPr>
                <w:rFonts w:hint="eastAsia"/>
                <w:sz w:val="18"/>
                <w:szCs w:val="18"/>
              </w:rPr>
              <w:t>0.1</w:t>
            </w:r>
          </w:p>
        </w:tc>
        <w:tc>
          <w:tcPr>
            <w:tcW w:w="246" w:type="pct"/>
            <w:noWrap/>
            <w:vAlign w:val="center"/>
          </w:tcPr>
          <w:p w14:paraId="07C923F0">
            <w:pPr>
              <w:pStyle w:val="133"/>
              <w:rPr>
                <w:sz w:val="18"/>
                <w:szCs w:val="18"/>
              </w:rPr>
            </w:pPr>
            <w:r>
              <w:rPr>
                <w:rFonts w:hint="eastAsia"/>
                <w:sz w:val="18"/>
                <w:szCs w:val="18"/>
              </w:rPr>
              <w:t>0.05</w:t>
            </w:r>
          </w:p>
        </w:tc>
        <w:tc>
          <w:tcPr>
            <w:tcW w:w="247" w:type="pct"/>
            <w:vAlign w:val="center"/>
          </w:tcPr>
          <w:p w14:paraId="4A74542D">
            <w:pPr>
              <w:pStyle w:val="133"/>
              <w:rPr>
                <w:sz w:val="18"/>
                <w:szCs w:val="18"/>
              </w:rPr>
            </w:pPr>
          </w:p>
        </w:tc>
        <w:tc>
          <w:tcPr>
            <w:tcW w:w="242" w:type="pct"/>
            <w:vAlign w:val="center"/>
          </w:tcPr>
          <w:p w14:paraId="6BCE1FB5">
            <w:pPr>
              <w:pStyle w:val="133"/>
              <w:rPr>
                <w:rFonts w:cs="Times New Roman"/>
                <w:sz w:val="18"/>
                <w:szCs w:val="18"/>
              </w:rPr>
            </w:pPr>
          </w:p>
        </w:tc>
        <w:tc>
          <w:tcPr>
            <w:tcW w:w="242" w:type="pct"/>
            <w:vAlign w:val="center"/>
          </w:tcPr>
          <w:p w14:paraId="5DA34908">
            <w:pPr>
              <w:pStyle w:val="133"/>
              <w:rPr>
                <w:rFonts w:cs="Times New Roman"/>
                <w:sz w:val="18"/>
                <w:szCs w:val="18"/>
              </w:rPr>
            </w:pPr>
          </w:p>
        </w:tc>
        <w:tc>
          <w:tcPr>
            <w:tcW w:w="240" w:type="pct"/>
            <w:vAlign w:val="center"/>
          </w:tcPr>
          <w:p w14:paraId="5C358F7F">
            <w:pPr>
              <w:pStyle w:val="133"/>
              <w:rPr>
                <w:rFonts w:cs="Times New Roman"/>
                <w:sz w:val="18"/>
                <w:szCs w:val="18"/>
              </w:rPr>
            </w:pPr>
          </w:p>
        </w:tc>
        <w:tc>
          <w:tcPr>
            <w:tcW w:w="238" w:type="pct"/>
            <w:vAlign w:val="center"/>
          </w:tcPr>
          <w:p w14:paraId="0DCEE1F1">
            <w:pPr>
              <w:pStyle w:val="133"/>
              <w:rPr>
                <w:rFonts w:cs="Times New Roman"/>
                <w:sz w:val="18"/>
                <w:szCs w:val="18"/>
              </w:rPr>
            </w:pPr>
          </w:p>
        </w:tc>
      </w:tr>
    </w:tbl>
    <w:p w14:paraId="2E91E640">
      <w:pPr>
        <w:pStyle w:val="1086"/>
        <w:ind w:firstLine="420"/>
        <w:rPr>
          <w:rFonts w:cs="Times New Roman"/>
        </w:rPr>
      </w:pPr>
    </w:p>
    <w:p w14:paraId="2E3AE790">
      <w:pPr>
        <w:widowControl/>
        <w:spacing w:line="240" w:lineRule="auto"/>
        <w:ind w:firstLine="0" w:firstLineChars="0"/>
        <w:jc w:val="center"/>
        <w:rPr>
          <w:b/>
          <w:bCs/>
        </w:rPr>
      </w:pPr>
      <w:r>
        <w:br w:type="page"/>
      </w:r>
      <w:r>
        <w:rPr>
          <w:b/>
          <w:bCs/>
        </w:rPr>
        <w:t>表</w:t>
      </w:r>
      <w:r>
        <w:rPr>
          <w:rFonts w:hint="eastAsia"/>
          <w:b/>
          <w:bCs/>
        </w:rPr>
        <w:t>5.2-10</w:t>
      </w:r>
      <w:r>
        <w:rPr>
          <w:b/>
          <w:bCs/>
        </w:rPr>
        <w:t xml:space="preserve">  </w:t>
      </w:r>
      <w:r>
        <w:rPr>
          <w:rFonts w:hint="eastAsia"/>
          <w:b/>
          <w:bCs/>
        </w:rPr>
        <w:t>替代面源</w:t>
      </w:r>
      <w:r>
        <w:rPr>
          <w:b/>
          <w:bCs/>
        </w:rPr>
        <w:t>污染物计算参数选取值一览表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06"/>
        <w:gridCol w:w="1835"/>
        <w:gridCol w:w="674"/>
        <w:gridCol w:w="666"/>
        <w:gridCol w:w="671"/>
        <w:gridCol w:w="820"/>
        <w:gridCol w:w="783"/>
        <w:gridCol w:w="725"/>
        <w:gridCol w:w="811"/>
        <w:gridCol w:w="811"/>
        <w:gridCol w:w="811"/>
        <w:gridCol w:w="811"/>
        <w:gridCol w:w="811"/>
        <w:gridCol w:w="811"/>
        <w:gridCol w:w="815"/>
        <w:gridCol w:w="815"/>
        <w:gridCol w:w="812"/>
      </w:tblGrid>
      <w:tr w14:paraId="4E707F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80" w:hRule="atLeast"/>
          <w:jc w:val="center"/>
        </w:trPr>
        <w:tc>
          <w:tcPr>
            <w:tcW w:w="181" w:type="pct"/>
            <w:vMerge w:val="restart"/>
            <w:vAlign w:val="center"/>
          </w:tcPr>
          <w:p w14:paraId="24D24FA3">
            <w:pPr>
              <w:pStyle w:val="125"/>
              <w:ind w:firstLine="0" w:firstLineChars="0"/>
              <w:rPr>
                <w:b/>
                <w:bCs/>
                <w:szCs w:val="21"/>
              </w:rPr>
            </w:pPr>
            <w:r>
              <w:rPr>
                <w:b/>
                <w:bCs/>
                <w:szCs w:val="21"/>
              </w:rPr>
              <w:t>序号</w:t>
            </w:r>
          </w:p>
        </w:tc>
        <w:tc>
          <w:tcPr>
            <w:tcW w:w="656" w:type="pct"/>
            <w:vMerge w:val="restart"/>
            <w:vAlign w:val="center"/>
          </w:tcPr>
          <w:p w14:paraId="3345EF44">
            <w:pPr>
              <w:pStyle w:val="125"/>
              <w:ind w:firstLine="0" w:firstLineChars="0"/>
              <w:rPr>
                <w:b/>
                <w:bCs/>
                <w:szCs w:val="21"/>
              </w:rPr>
            </w:pPr>
            <w:r>
              <w:rPr>
                <w:b/>
                <w:bCs/>
                <w:szCs w:val="21"/>
              </w:rPr>
              <w:t>面源名称</w:t>
            </w:r>
          </w:p>
        </w:tc>
        <w:tc>
          <w:tcPr>
            <w:tcW w:w="479" w:type="pct"/>
            <w:gridSpan w:val="2"/>
            <w:vAlign w:val="center"/>
          </w:tcPr>
          <w:p w14:paraId="1CF8CF62">
            <w:pPr>
              <w:pStyle w:val="125"/>
              <w:ind w:firstLine="0" w:firstLineChars="0"/>
              <w:rPr>
                <w:b/>
                <w:bCs/>
                <w:szCs w:val="21"/>
              </w:rPr>
            </w:pPr>
            <w:r>
              <w:rPr>
                <w:b/>
                <w:bCs/>
                <w:szCs w:val="21"/>
              </w:rPr>
              <w:t>面源中心坐标</w:t>
            </w:r>
          </w:p>
        </w:tc>
        <w:tc>
          <w:tcPr>
            <w:tcW w:w="240" w:type="pct"/>
            <w:vMerge w:val="restart"/>
            <w:vAlign w:val="center"/>
          </w:tcPr>
          <w:p w14:paraId="1038A79D">
            <w:pPr>
              <w:pStyle w:val="125"/>
              <w:ind w:firstLine="0" w:firstLineChars="0"/>
              <w:rPr>
                <w:b/>
                <w:bCs/>
                <w:szCs w:val="21"/>
              </w:rPr>
            </w:pPr>
            <w:r>
              <w:rPr>
                <w:b/>
                <w:bCs/>
                <w:szCs w:val="21"/>
              </w:rPr>
              <w:t>面源</w:t>
            </w:r>
          </w:p>
          <w:p w14:paraId="6882F0AC">
            <w:pPr>
              <w:pStyle w:val="125"/>
              <w:ind w:firstLine="0" w:firstLineChars="0"/>
              <w:rPr>
                <w:b/>
                <w:bCs/>
                <w:szCs w:val="21"/>
              </w:rPr>
            </w:pPr>
            <w:r>
              <w:rPr>
                <w:b/>
                <w:bCs/>
                <w:szCs w:val="21"/>
              </w:rPr>
              <w:t>长度</w:t>
            </w:r>
          </w:p>
          <w:p w14:paraId="0257F0FF">
            <w:pPr>
              <w:pStyle w:val="125"/>
              <w:ind w:firstLine="0" w:firstLineChars="0"/>
              <w:rPr>
                <w:b/>
                <w:bCs/>
                <w:szCs w:val="21"/>
              </w:rPr>
            </w:pPr>
            <w:r>
              <w:rPr>
                <w:b/>
                <w:bCs/>
                <w:szCs w:val="21"/>
              </w:rPr>
              <w:t>L1（m）</w:t>
            </w:r>
          </w:p>
        </w:tc>
        <w:tc>
          <w:tcPr>
            <w:tcW w:w="293" w:type="pct"/>
            <w:vMerge w:val="restart"/>
            <w:vAlign w:val="center"/>
          </w:tcPr>
          <w:p w14:paraId="02C51971">
            <w:pPr>
              <w:pStyle w:val="125"/>
              <w:ind w:firstLine="0" w:firstLineChars="0"/>
              <w:rPr>
                <w:b/>
                <w:bCs/>
                <w:szCs w:val="21"/>
              </w:rPr>
            </w:pPr>
            <w:r>
              <w:rPr>
                <w:b/>
                <w:bCs/>
                <w:szCs w:val="21"/>
              </w:rPr>
              <w:t>面源</w:t>
            </w:r>
          </w:p>
          <w:p w14:paraId="5E6DBD5F">
            <w:pPr>
              <w:pStyle w:val="125"/>
              <w:ind w:firstLine="0" w:firstLineChars="0"/>
              <w:rPr>
                <w:b/>
                <w:bCs/>
                <w:szCs w:val="21"/>
              </w:rPr>
            </w:pPr>
            <w:r>
              <w:rPr>
                <w:b/>
                <w:bCs/>
                <w:szCs w:val="21"/>
              </w:rPr>
              <w:t>宽度</w:t>
            </w:r>
          </w:p>
          <w:p w14:paraId="3306D4A0">
            <w:pPr>
              <w:pStyle w:val="125"/>
              <w:ind w:firstLine="0" w:firstLineChars="0"/>
              <w:rPr>
                <w:b/>
                <w:bCs/>
                <w:szCs w:val="21"/>
              </w:rPr>
            </w:pPr>
            <w:r>
              <w:rPr>
                <w:b/>
                <w:bCs/>
                <w:szCs w:val="21"/>
              </w:rPr>
              <w:t>Lw（m）</w:t>
            </w:r>
          </w:p>
        </w:tc>
        <w:tc>
          <w:tcPr>
            <w:tcW w:w="280" w:type="pct"/>
            <w:vMerge w:val="restart"/>
            <w:vAlign w:val="center"/>
          </w:tcPr>
          <w:p w14:paraId="2817DEA2">
            <w:pPr>
              <w:pStyle w:val="125"/>
              <w:ind w:firstLine="0" w:firstLineChars="0"/>
              <w:rPr>
                <w:b/>
                <w:bCs/>
                <w:szCs w:val="21"/>
              </w:rPr>
            </w:pPr>
            <w:r>
              <w:rPr>
                <w:b/>
                <w:bCs/>
                <w:szCs w:val="21"/>
              </w:rPr>
              <w:t>与正北向夹角</w:t>
            </w:r>
          </w:p>
          <w:p w14:paraId="36C4C4E5">
            <w:pPr>
              <w:pStyle w:val="125"/>
              <w:ind w:firstLine="0" w:firstLineChars="0"/>
              <w:rPr>
                <w:b/>
                <w:bCs/>
                <w:szCs w:val="21"/>
              </w:rPr>
            </w:pPr>
            <w:r>
              <w:rPr>
                <w:b/>
                <w:bCs/>
                <w:szCs w:val="21"/>
              </w:rPr>
              <w:t>（°）</w:t>
            </w:r>
          </w:p>
        </w:tc>
        <w:tc>
          <w:tcPr>
            <w:tcW w:w="259" w:type="pct"/>
            <w:vMerge w:val="restart"/>
            <w:vAlign w:val="center"/>
          </w:tcPr>
          <w:p w14:paraId="35C24914">
            <w:pPr>
              <w:pStyle w:val="125"/>
              <w:ind w:firstLine="0" w:firstLineChars="0"/>
              <w:rPr>
                <w:b/>
                <w:bCs/>
                <w:szCs w:val="21"/>
              </w:rPr>
            </w:pPr>
            <w:r>
              <w:rPr>
                <w:b/>
                <w:bCs/>
                <w:szCs w:val="21"/>
              </w:rPr>
              <w:t>排放</w:t>
            </w:r>
          </w:p>
          <w:p w14:paraId="797A4D78">
            <w:pPr>
              <w:pStyle w:val="125"/>
              <w:ind w:firstLine="0" w:firstLineChars="0"/>
              <w:rPr>
                <w:b/>
                <w:bCs/>
                <w:szCs w:val="21"/>
              </w:rPr>
            </w:pPr>
            <w:r>
              <w:rPr>
                <w:b/>
                <w:bCs/>
                <w:szCs w:val="21"/>
              </w:rPr>
              <w:t>高度</w:t>
            </w:r>
          </w:p>
          <w:p w14:paraId="63FAE030">
            <w:pPr>
              <w:pStyle w:val="125"/>
              <w:ind w:firstLine="0" w:firstLineChars="0"/>
              <w:rPr>
                <w:b/>
                <w:bCs/>
                <w:szCs w:val="21"/>
              </w:rPr>
            </w:pPr>
            <w:r>
              <w:rPr>
                <w:b/>
                <w:bCs/>
                <w:szCs w:val="21"/>
              </w:rPr>
              <w:t>H</w:t>
            </w:r>
          </w:p>
          <w:p w14:paraId="2A778B59">
            <w:pPr>
              <w:pStyle w:val="125"/>
              <w:ind w:firstLine="0" w:firstLineChars="0"/>
              <w:rPr>
                <w:b/>
                <w:bCs/>
                <w:szCs w:val="21"/>
              </w:rPr>
            </w:pPr>
            <w:r>
              <w:rPr>
                <w:b/>
                <w:bCs/>
                <w:szCs w:val="21"/>
              </w:rPr>
              <w:t>（m）</w:t>
            </w:r>
          </w:p>
        </w:tc>
        <w:tc>
          <w:tcPr>
            <w:tcW w:w="290" w:type="pct"/>
            <w:vMerge w:val="restart"/>
            <w:vAlign w:val="center"/>
          </w:tcPr>
          <w:p w14:paraId="47299D1D">
            <w:pPr>
              <w:pStyle w:val="125"/>
              <w:ind w:firstLine="0" w:firstLineChars="0"/>
              <w:rPr>
                <w:b/>
                <w:bCs/>
                <w:szCs w:val="21"/>
                <w:vertAlign w:val="subscript"/>
              </w:rPr>
            </w:pPr>
            <w:r>
              <w:rPr>
                <w:b/>
                <w:bCs/>
                <w:szCs w:val="21"/>
              </w:rPr>
              <w:t>Q</w:t>
            </w:r>
            <w:r>
              <w:rPr>
                <w:b/>
                <w:bCs/>
                <w:szCs w:val="21"/>
                <w:vertAlign w:val="subscript"/>
              </w:rPr>
              <w:t>SO2</w:t>
            </w:r>
          </w:p>
          <w:p w14:paraId="227D3BD3">
            <w:pPr>
              <w:pStyle w:val="125"/>
              <w:ind w:firstLine="0" w:firstLineChars="0"/>
              <w:rPr>
                <w:b/>
                <w:bCs/>
                <w:szCs w:val="21"/>
              </w:rPr>
            </w:pPr>
            <w:r>
              <w:rPr>
                <w:b/>
                <w:bCs/>
                <w:szCs w:val="21"/>
              </w:rPr>
              <w:t>（</w:t>
            </w:r>
            <w:r>
              <w:rPr>
                <w:rFonts w:hint="eastAsia"/>
                <w:b/>
                <w:bCs/>
                <w:szCs w:val="21"/>
              </w:rPr>
              <w:t>t/a</w:t>
            </w:r>
            <w:r>
              <w:rPr>
                <w:b/>
                <w:bCs/>
                <w:szCs w:val="21"/>
              </w:rPr>
              <w:t>）</w:t>
            </w:r>
          </w:p>
        </w:tc>
        <w:tc>
          <w:tcPr>
            <w:tcW w:w="290" w:type="pct"/>
            <w:vMerge w:val="restart"/>
            <w:vAlign w:val="center"/>
          </w:tcPr>
          <w:p w14:paraId="396CE2C6">
            <w:pPr>
              <w:pStyle w:val="125"/>
              <w:ind w:firstLine="0" w:firstLineChars="0"/>
              <w:rPr>
                <w:b/>
                <w:bCs/>
                <w:szCs w:val="21"/>
                <w:vertAlign w:val="subscript"/>
              </w:rPr>
            </w:pPr>
            <w:r>
              <w:rPr>
                <w:b/>
                <w:bCs/>
                <w:szCs w:val="21"/>
              </w:rPr>
              <w:t>Q</w:t>
            </w:r>
            <w:r>
              <w:rPr>
                <w:b/>
                <w:bCs/>
                <w:szCs w:val="21"/>
                <w:vertAlign w:val="subscript"/>
              </w:rPr>
              <w:t>NO2</w:t>
            </w:r>
          </w:p>
          <w:p w14:paraId="21448698">
            <w:pPr>
              <w:pStyle w:val="125"/>
              <w:ind w:firstLine="0" w:firstLineChars="0"/>
              <w:rPr>
                <w:b/>
                <w:bCs/>
                <w:szCs w:val="21"/>
              </w:rPr>
            </w:pPr>
            <w:r>
              <w:rPr>
                <w:b/>
                <w:bCs/>
                <w:szCs w:val="21"/>
              </w:rPr>
              <w:t>（</w:t>
            </w:r>
            <w:r>
              <w:rPr>
                <w:rFonts w:hint="eastAsia"/>
                <w:b/>
                <w:bCs/>
                <w:szCs w:val="21"/>
              </w:rPr>
              <w:t>t/a</w:t>
            </w:r>
            <w:r>
              <w:rPr>
                <w:b/>
                <w:bCs/>
                <w:szCs w:val="21"/>
              </w:rPr>
              <w:t>）</w:t>
            </w:r>
          </w:p>
        </w:tc>
        <w:tc>
          <w:tcPr>
            <w:tcW w:w="290" w:type="pct"/>
            <w:vMerge w:val="restart"/>
            <w:vAlign w:val="center"/>
          </w:tcPr>
          <w:p w14:paraId="5CEC45B1">
            <w:pPr>
              <w:pStyle w:val="125"/>
              <w:ind w:firstLine="0" w:firstLineChars="0"/>
              <w:rPr>
                <w:b/>
                <w:bCs/>
                <w:szCs w:val="21"/>
                <w:vertAlign w:val="subscript"/>
              </w:rPr>
            </w:pPr>
            <w:r>
              <w:rPr>
                <w:b/>
                <w:bCs/>
                <w:szCs w:val="21"/>
              </w:rPr>
              <w:t>Q</w:t>
            </w:r>
            <w:r>
              <w:rPr>
                <w:b/>
                <w:bCs/>
                <w:szCs w:val="21"/>
                <w:vertAlign w:val="subscript"/>
              </w:rPr>
              <w:t>TSP</w:t>
            </w:r>
          </w:p>
          <w:p w14:paraId="6F3A7449">
            <w:pPr>
              <w:pStyle w:val="125"/>
              <w:ind w:firstLine="0" w:firstLineChars="0"/>
              <w:rPr>
                <w:b/>
                <w:bCs/>
                <w:szCs w:val="21"/>
              </w:rPr>
            </w:pPr>
            <w:r>
              <w:rPr>
                <w:b/>
                <w:bCs/>
                <w:szCs w:val="21"/>
              </w:rPr>
              <w:t>（</w:t>
            </w:r>
            <w:r>
              <w:rPr>
                <w:rFonts w:hint="eastAsia"/>
                <w:b/>
                <w:bCs/>
                <w:szCs w:val="21"/>
              </w:rPr>
              <w:t>t/a</w:t>
            </w:r>
            <w:r>
              <w:rPr>
                <w:b/>
                <w:bCs/>
                <w:szCs w:val="21"/>
              </w:rPr>
              <w:t>）</w:t>
            </w:r>
          </w:p>
        </w:tc>
        <w:tc>
          <w:tcPr>
            <w:tcW w:w="290" w:type="pct"/>
            <w:vMerge w:val="restart"/>
            <w:vAlign w:val="center"/>
          </w:tcPr>
          <w:p w14:paraId="308BFE52">
            <w:pPr>
              <w:pStyle w:val="125"/>
              <w:ind w:firstLine="0" w:firstLineChars="0"/>
              <w:rPr>
                <w:b/>
                <w:bCs/>
                <w:szCs w:val="21"/>
                <w:vertAlign w:val="subscript"/>
              </w:rPr>
            </w:pPr>
            <w:r>
              <w:rPr>
                <w:b/>
                <w:bCs/>
                <w:szCs w:val="21"/>
              </w:rPr>
              <w:t>Q</w:t>
            </w:r>
            <w:r>
              <w:rPr>
                <w:b/>
                <w:bCs/>
                <w:szCs w:val="21"/>
                <w:vertAlign w:val="subscript"/>
              </w:rPr>
              <w:t>BaP</w:t>
            </w:r>
          </w:p>
          <w:p w14:paraId="05A8558D">
            <w:pPr>
              <w:pStyle w:val="125"/>
              <w:ind w:firstLine="0" w:firstLineChars="0"/>
              <w:rPr>
                <w:b/>
                <w:bCs/>
                <w:szCs w:val="21"/>
              </w:rPr>
            </w:pPr>
            <w:r>
              <w:rPr>
                <w:b/>
                <w:bCs/>
                <w:szCs w:val="21"/>
              </w:rPr>
              <w:t>（</w:t>
            </w:r>
            <w:r>
              <w:rPr>
                <w:rFonts w:hint="eastAsia"/>
                <w:b/>
                <w:bCs/>
                <w:szCs w:val="21"/>
              </w:rPr>
              <w:t>t/a</w:t>
            </w:r>
            <w:r>
              <w:rPr>
                <w:b/>
                <w:bCs/>
                <w:szCs w:val="21"/>
              </w:rPr>
              <w:t>）</w:t>
            </w:r>
          </w:p>
        </w:tc>
        <w:tc>
          <w:tcPr>
            <w:tcW w:w="290" w:type="pct"/>
            <w:vMerge w:val="restart"/>
            <w:vAlign w:val="center"/>
          </w:tcPr>
          <w:p w14:paraId="25E6B9D2">
            <w:pPr>
              <w:pStyle w:val="125"/>
              <w:ind w:firstLine="0" w:firstLineChars="0"/>
              <w:rPr>
                <w:b/>
                <w:bCs/>
                <w:szCs w:val="21"/>
                <w:vertAlign w:val="subscript"/>
              </w:rPr>
            </w:pPr>
            <w:r>
              <w:rPr>
                <w:b/>
                <w:bCs/>
                <w:szCs w:val="21"/>
              </w:rPr>
              <w:t>Q</w:t>
            </w:r>
            <w:r>
              <w:rPr>
                <w:b/>
                <w:bCs/>
                <w:szCs w:val="21"/>
                <w:vertAlign w:val="subscript"/>
              </w:rPr>
              <w:t>NH3</w:t>
            </w:r>
          </w:p>
          <w:p w14:paraId="1F737E97">
            <w:pPr>
              <w:pStyle w:val="125"/>
              <w:ind w:firstLine="0" w:firstLineChars="0"/>
              <w:rPr>
                <w:b/>
                <w:bCs/>
                <w:szCs w:val="21"/>
              </w:rPr>
            </w:pPr>
            <w:r>
              <w:rPr>
                <w:b/>
                <w:bCs/>
                <w:szCs w:val="21"/>
              </w:rPr>
              <w:t>（</w:t>
            </w:r>
            <w:r>
              <w:rPr>
                <w:rFonts w:hint="eastAsia"/>
                <w:b/>
                <w:bCs/>
                <w:szCs w:val="21"/>
              </w:rPr>
              <w:t>t/a</w:t>
            </w:r>
            <w:r>
              <w:rPr>
                <w:b/>
                <w:bCs/>
                <w:szCs w:val="21"/>
              </w:rPr>
              <w:t>）</w:t>
            </w:r>
          </w:p>
        </w:tc>
        <w:tc>
          <w:tcPr>
            <w:tcW w:w="290" w:type="pct"/>
            <w:vMerge w:val="restart"/>
            <w:vAlign w:val="center"/>
          </w:tcPr>
          <w:p w14:paraId="2CCC1D68">
            <w:pPr>
              <w:pStyle w:val="125"/>
              <w:ind w:firstLine="0" w:firstLineChars="0"/>
              <w:rPr>
                <w:b/>
                <w:bCs/>
                <w:szCs w:val="21"/>
                <w:vertAlign w:val="subscript"/>
              </w:rPr>
            </w:pPr>
            <w:r>
              <w:rPr>
                <w:b/>
                <w:bCs/>
                <w:szCs w:val="21"/>
              </w:rPr>
              <w:t>Q</w:t>
            </w:r>
            <w:r>
              <w:rPr>
                <w:b/>
                <w:bCs/>
                <w:szCs w:val="21"/>
                <w:vertAlign w:val="subscript"/>
              </w:rPr>
              <w:t>H2S</w:t>
            </w:r>
          </w:p>
          <w:p w14:paraId="2D90DB40">
            <w:pPr>
              <w:pStyle w:val="125"/>
              <w:ind w:firstLine="0" w:firstLineChars="0"/>
              <w:rPr>
                <w:b/>
                <w:bCs/>
                <w:szCs w:val="21"/>
                <w:vertAlign w:val="subscript"/>
              </w:rPr>
            </w:pPr>
            <w:r>
              <w:rPr>
                <w:b/>
                <w:bCs/>
                <w:szCs w:val="21"/>
              </w:rPr>
              <w:t>（</w:t>
            </w:r>
            <w:r>
              <w:rPr>
                <w:rFonts w:hint="eastAsia"/>
                <w:b/>
                <w:bCs/>
                <w:szCs w:val="21"/>
              </w:rPr>
              <w:t>t/a</w:t>
            </w:r>
            <w:r>
              <w:rPr>
                <w:b/>
                <w:bCs/>
                <w:szCs w:val="21"/>
              </w:rPr>
              <w:t>）</w:t>
            </w:r>
          </w:p>
        </w:tc>
        <w:tc>
          <w:tcPr>
            <w:tcW w:w="291" w:type="pct"/>
            <w:vMerge w:val="restart"/>
            <w:vAlign w:val="center"/>
          </w:tcPr>
          <w:p w14:paraId="2937F022">
            <w:pPr>
              <w:pStyle w:val="125"/>
              <w:ind w:firstLine="0" w:firstLineChars="0"/>
              <w:rPr>
                <w:b/>
                <w:bCs/>
                <w:szCs w:val="21"/>
                <w:vertAlign w:val="subscript"/>
              </w:rPr>
            </w:pPr>
            <w:r>
              <w:rPr>
                <w:b/>
                <w:bCs/>
                <w:szCs w:val="21"/>
              </w:rPr>
              <w:t>Q</w:t>
            </w:r>
            <w:r>
              <w:rPr>
                <w:b/>
                <w:bCs/>
                <w:szCs w:val="21"/>
                <w:vertAlign w:val="subscript"/>
              </w:rPr>
              <w:t>NMHC</w:t>
            </w:r>
          </w:p>
          <w:p w14:paraId="6203FF92">
            <w:pPr>
              <w:pStyle w:val="125"/>
              <w:ind w:firstLine="0" w:firstLineChars="0"/>
              <w:rPr>
                <w:b/>
                <w:bCs/>
                <w:szCs w:val="21"/>
                <w:vertAlign w:val="subscript"/>
              </w:rPr>
            </w:pPr>
            <w:r>
              <w:rPr>
                <w:b/>
                <w:bCs/>
                <w:szCs w:val="21"/>
              </w:rPr>
              <w:t>（</w:t>
            </w:r>
            <w:r>
              <w:rPr>
                <w:rFonts w:hint="eastAsia"/>
                <w:b/>
                <w:bCs/>
                <w:szCs w:val="21"/>
              </w:rPr>
              <w:t>t/a</w:t>
            </w:r>
            <w:r>
              <w:rPr>
                <w:b/>
                <w:bCs/>
                <w:szCs w:val="21"/>
              </w:rPr>
              <w:t>）</w:t>
            </w:r>
          </w:p>
        </w:tc>
        <w:tc>
          <w:tcPr>
            <w:tcW w:w="291" w:type="pct"/>
            <w:vMerge w:val="restart"/>
            <w:vAlign w:val="center"/>
          </w:tcPr>
          <w:p w14:paraId="4868A260">
            <w:pPr>
              <w:pStyle w:val="125"/>
              <w:ind w:firstLine="0" w:firstLineChars="0"/>
              <w:rPr>
                <w:b/>
                <w:bCs/>
                <w:szCs w:val="21"/>
                <w:vertAlign w:val="subscript"/>
              </w:rPr>
            </w:pPr>
            <w:r>
              <w:rPr>
                <w:b/>
                <w:bCs/>
                <w:szCs w:val="21"/>
              </w:rPr>
              <w:t>Q</w:t>
            </w:r>
            <w:r>
              <w:rPr>
                <w:rFonts w:hint="eastAsia"/>
                <w:b/>
                <w:bCs/>
                <w:szCs w:val="21"/>
                <w:vertAlign w:val="subscript"/>
              </w:rPr>
              <w:t>酚类</w:t>
            </w:r>
          </w:p>
          <w:p w14:paraId="64DEC375">
            <w:pPr>
              <w:pStyle w:val="125"/>
              <w:ind w:firstLine="0" w:firstLineChars="0"/>
              <w:rPr>
                <w:b/>
                <w:bCs/>
                <w:szCs w:val="21"/>
              </w:rPr>
            </w:pPr>
            <w:r>
              <w:rPr>
                <w:b/>
                <w:bCs/>
                <w:szCs w:val="21"/>
              </w:rPr>
              <w:t>（</w:t>
            </w:r>
            <w:r>
              <w:rPr>
                <w:rFonts w:hint="eastAsia"/>
                <w:b/>
                <w:bCs/>
                <w:szCs w:val="21"/>
              </w:rPr>
              <w:t>t/a</w:t>
            </w:r>
            <w:r>
              <w:rPr>
                <w:b/>
                <w:bCs/>
                <w:szCs w:val="21"/>
              </w:rPr>
              <w:t>）</w:t>
            </w:r>
          </w:p>
        </w:tc>
        <w:tc>
          <w:tcPr>
            <w:tcW w:w="290" w:type="pct"/>
            <w:vMerge w:val="restart"/>
            <w:vAlign w:val="center"/>
          </w:tcPr>
          <w:p w14:paraId="79A75A44">
            <w:pPr>
              <w:pStyle w:val="125"/>
              <w:ind w:firstLine="0" w:firstLineChars="0"/>
              <w:rPr>
                <w:b/>
                <w:bCs/>
                <w:szCs w:val="21"/>
                <w:vertAlign w:val="subscript"/>
              </w:rPr>
            </w:pPr>
            <w:r>
              <w:rPr>
                <w:b/>
                <w:bCs/>
                <w:szCs w:val="21"/>
              </w:rPr>
              <w:t>Q</w:t>
            </w:r>
            <w:r>
              <w:rPr>
                <w:rFonts w:hint="eastAsia"/>
                <w:b/>
                <w:bCs/>
                <w:szCs w:val="21"/>
                <w:vertAlign w:val="subscript"/>
              </w:rPr>
              <w:t>氰化氢</w:t>
            </w:r>
          </w:p>
          <w:p w14:paraId="50FD38F8">
            <w:pPr>
              <w:pStyle w:val="125"/>
              <w:ind w:firstLine="0" w:firstLineChars="0"/>
              <w:rPr>
                <w:b/>
                <w:bCs/>
                <w:szCs w:val="21"/>
              </w:rPr>
            </w:pPr>
            <w:r>
              <w:rPr>
                <w:b/>
                <w:bCs/>
                <w:szCs w:val="21"/>
              </w:rPr>
              <w:t>（</w:t>
            </w:r>
            <w:r>
              <w:rPr>
                <w:rFonts w:hint="eastAsia"/>
                <w:b/>
                <w:bCs/>
                <w:szCs w:val="21"/>
              </w:rPr>
              <w:t>t/a</w:t>
            </w:r>
            <w:r>
              <w:rPr>
                <w:b/>
                <w:bCs/>
                <w:szCs w:val="21"/>
              </w:rPr>
              <w:t>）</w:t>
            </w:r>
          </w:p>
        </w:tc>
      </w:tr>
      <w:tr w14:paraId="20168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Merge w:val="continue"/>
            <w:vAlign w:val="center"/>
          </w:tcPr>
          <w:p w14:paraId="4CCD78DC">
            <w:pPr>
              <w:pStyle w:val="125"/>
              <w:ind w:firstLine="0" w:firstLineChars="0"/>
              <w:rPr>
                <w:szCs w:val="21"/>
              </w:rPr>
            </w:pPr>
          </w:p>
        </w:tc>
        <w:tc>
          <w:tcPr>
            <w:tcW w:w="656" w:type="pct"/>
            <w:vMerge w:val="continue"/>
            <w:vAlign w:val="center"/>
          </w:tcPr>
          <w:p w14:paraId="01A270E2">
            <w:pPr>
              <w:pStyle w:val="125"/>
              <w:ind w:firstLine="0" w:firstLineChars="0"/>
              <w:rPr>
                <w:szCs w:val="21"/>
              </w:rPr>
            </w:pPr>
          </w:p>
        </w:tc>
        <w:tc>
          <w:tcPr>
            <w:tcW w:w="241" w:type="pct"/>
            <w:vAlign w:val="center"/>
          </w:tcPr>
          <w:p w14:paraId="4FD1433A">
            <w:pPr>
              <w:pStyle w:val="125"/>
              <w:ind w:firstLine="0" w:firstLineChars="0"/>
              <w:rPr>
                <w:b/>
                <w:bCs/>
                <w:szCs w:val="21"/>
              </w:rPr>
            </w:pPr>
            <w:r>
              <w:rPr>
                <w:b/>
                <w:bCs/>
                <w:szCs w:val="21"/>
              </w:rPr>
              <w:t>X</w:t>
            </w:r>
          </w:p>
          <w:p w14:paraId="2A0CD998">
            <w:pPr>
              <w:pStyle w:val="125"/>
              <w:ind w:firstLine="0" w:firstLineChars="0"/>
              <w:rPr>
                <w:b/>
                <w:bCs/>
                <w:szCs w:val="21"/>
              </w:rPr>
            </w:pPr>
            <w:r>
              <w:rPr>
                <w:b/>
                <w:bCs/>
                <w:szCs w:val="21"/>
              </w:rPr>
              <w:t>（m）</w:t>
            </w:r>
          </w:p>
        </w:tc>
        <w:tc>
          <w:tcPr>
            <w:tcW w:w="238" w:type="pct"/>
            <w:vAlign w:val="center"/>
          </w:tcPr>
          <w:p w14:paraId="4A047323">
            <w:pPr>
              <w:pStyle w:val="125"/>
              <w:ind w:firstLine="0" w:firstLineChars="0"/>
              <w:rPr>
                <w:b/>
                <w:bCs/>
                <w:szCs w:val="21"/>
              </w:rPr>
            </w:pPr>
            <w:r>
              <w:rPr>
                <w:b/>
                <w:bCs/>
                <w:szCs w:val="21"/>
              </w:rPr>
              <w:t>Y</w:t>
            </w:r>
          </w:p>
          <w:p w14:paraId="27C1D42B">
            <w:pPr>
              <w:pStyle w:val="125"/>
              <w:ind w:firstLine="0" w:firstLineChars="0"/>
              <w:rPr>
                <w:b/>
                <w:bCs/>
                <w:szCs w:val="21"/>
              </w:rPr>
            </w:pPr>
            <w:r>
              <w:rPr>
                <w:b/>
                <w:bCs/>
                <w:szCs w:val="21"/>
              </w:rPr>
              <w:t>（m）</w:t>
            </w:r>
          </w:p>
        </w:tc>
        <w:tc>
          <w:tcPr>
            <w:tcW w:w="240" w:type="pct"/>
            <w:vMerge w:val="continue"/>
            <w:vAlign w:val="center"/>
          </w:tcPr>
          <w:p w14:paraId="51F52FEA">
            <w:pPr>
              <w:pStyle w:val="125"/>
              <w:ind w:firstLine="0" w:firstLineChars="0"/>
              <w:rPr>
                <w:szCs w:val="21"/>
              </w:rPr>
            </w:pPr>
          </w:p>
        </w:tc>
        <w:tc>
          <w:tcPr>
            <w:tcW w:w="293" w:type="pct"/>
            <w:vMerge w:val="continue"/>
            <w:vAlign w:val="center"/>
          </w:tcPr>
          <w:p w14:paraId="463C09FC">
            <w:pPr>
              <w:pStyle w:val="125"/>
              <w:ind w:firstLine="0" w:firstLineChars="0"/>
              <w:rPr>
                <w:szCs w:val="21"/>
              </w:rPr>
            </w:pPr>
          </w:p>
        </w:tc>
        <w:tc>
          <w:tcPr>
            <w:tcW w:w="280" w:type="pct"/>
            <w:vMerge w:val="continue"/>
            <w:vAlign w:val="center"/>
          </w:tcPr>
          <w:p w14:paraId="0857EA8F">
            <w:pPr>
              <w:pStyle w:val="125"/>
              <w:ind w:firstLine="0" w:firstLineChars="0"/>
              <w:rPr>
                <w:szCs w:val="21"/>
              </w:rPr>
            </w:pPr>
          </w:p>
        </w:tc>
        <w:tc>
          <w:tcPr>
            <w:tcW w:w="259" w:type="pct"/>
            <w:vMerge w:val="continue"/>
            <w:vAlign w:val="center"/>
          </w:tcPr>
          <w:p w14:paraId="2FCE138B">
            <w:pPr>
              <w:pStyle w:val="125"/>
              <w:ind w:firstLine="0" w:firstLineChars="0"/>
              <w:rPr>
                <w:szCs w:val="21"/>
              </w:rPr>
            </w:pPr>
          </w:p>
        </w:tc>
        <w:tc>
          <w:tcPr>
            <w:tcW w:w="290" w:type="pct"/>
            <w:vMerge w:val="continue"/>
            <w:vAlign w:val="center"/>
          </w:tcPr>
          <w:p w14:paraId="0FD079B1">
            <w:pPr>
              <w:pStyle w:val="125"/>
              <w:ind w:firstLine="0" w:firstLineChars="0"/>
              <w:rPr>
                <w:szCs w:val="21"/>
              </w:rPr>
            </w:pPr>
          </w:p>
        </w:tc>
        <w:tc>
          <w:tcPr>
            <w:tcW w:w="290" w:type="pct"/>
            <w:vMerge w:val="continue"/>
            <w:vAlign w:val="center"/>
          </w:tcPr>
          <w:p w14:paraId="4BD925A3">
            <w:pPr>
              <w:pStyle w:val="125"/>
              <w:ind w:firstLine="0" w:firstLineChars="0"/>
              <w:rPr>
                <w:szCs w:val="21"/>
              </w:rPr>
            </w:pPr>
          </w:p>
        </w:tc>
        <w:tc>
          <w:tcPr>
            <w:tcW w:w="290" w:type="pct"/>
            <w:vMerge w:val="continue"/>
            <w:vAlign w:val="center"/>
          </w:tcPr>
          <w:p w14:paraId="6485A9BE">
            <w:pPr>
              <w:pStyle w:val="125"/>
              <w:ind w:firstLine="0" w:firstLineChars="0"/>
              <w:rPr>
                <w:szCs w:val="21"/>
              </w:rPr>
            </w:pPr>
          </w:p>
        </w:tc>
        <w:tc>
          <w:tcPr>
            <w:tcW w:w="290" w:type="pct"/>
            <w:vMerge w:val="continue"/>
            <w:vAlign w:val="center"/>
          </w:tcPr>
          <w:p w14:paraId="76CDBB75">
            <w:pPr>
              <w:pStyle w:val="125"/>
              <w:ind w:firstLine="0" w:firstLineChars="0"/>
              <w:rPr>
                <w:szCs w:val="21"/>
              </w:rPr>
            </w:pPr>
          </w:p>
        </w:tc>
        <w:tc>
          <w:tcPr>
            <w:tcW w:w="290" w:type="pct"/>
            <w:vMerge w:val="continue"/>
            <w:vAlign w:val="center"/>
          </w:tcPr>
          <w:p w14:paraId="4D9D64C0">
            <w:pPr>
              <w:pStyle w:val="125"/>
              <w:ind w:firstLine="0" w:firstLineChars="0"/>
              <w:rPr>
                <w:szCs w:val="21"/>
              </w:rPr>
            </w:pPr>
          </w:p>
        </w:tc>
        <w:tc>
          <w:tcPr>
            <w:tcW w:w="290" w:type="pct"/>
            <w:vMerge w:val="continue"/>
            <w:vAlign w:val="center"/>
          </w:tcPr>
          <w:p w14:paraId="2A2EED4C">
            <w:pPr>
              <w:pStyle w:val="125"/>
              <w:ind w:firstLine="0" w:firstLineChars="0"/>
              <w:rPr>
                <w:szCs w:val="21"/>
              </w:rPr>
            </w:pPr>
          </w:p>
        </w:tc>
        <w:tc>
          <w:tcPr>
            <w:tcW w:w="291" w:type="pct"/>
            <w:vMerge w:val="continue"/>
            <w:vAlign w:val="center"/>
          </w:tcPr>
          <w:p w14:paraId="65524464">
            <w:pPr>
              <w:pStyle w:val="125"/>
              <w:ind w:firstLine="0" w:firstLineChars="0"/>
              <w:rPr>
                <w:szCs w:val="21"/>
              </w:rPr>
            </w:pPr>
          </w:p>
        </w:tc>
        <w:tc>
          <w:tcPr>
            <w:tcW w:w="291" w:type="pct"/>
            <w:vMerge w:val="continue"/>
            <w:vAlign w:val="center"/>
          </w:tcPr>
          <w:p w14:paraId="39447984">
            <w:pPr>
              <w:pStyle w:val="125"/>
              <w:ind w:firstLine="0" w:firstLineChars="0"/>
              <w:rPr>
                <w:szCs w:val="21"/>
              </w:rPr>
            </w:pPr>
          </w:p>
        </w:tc>
        <w:tc>
          <w:tcPr>
            <w:tcW w:w="290" w:type="pct"/>
            <w:vMerge w:val="continue"/>
            <w:vAlign w:val="center"/>
          </w:tcPr>
          <w:p w14:paraId="12F6894F">
            <w:pPr>
              <w:pStyle w:val="125"/>
              <w:ind w:firstLine="0" w:firstLineChars="0"/>
              <w:rPr>
                <w:szCs w:val="21"/>
              </w:rPr>
            </w:pPr>
          </w:p>
        </w:tc>
      </w:tr>
      <w:tr w14:paraId="7E8AE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1BD0A485">
            <w:pPr>
              <w:pStyle w:val="125"/>
              <w:ind w:firstLine="0" w:firstLineChars="0"/>
              <w:rPr>
                <w:szCs w:val="21"/>
              </w:rPr>
            </w:pPr>
            <w:r>
              <w:rPr>
                <w:rFonts w:hint="eastAsia"/>
                <w:color w:val="000000"/>
                <w:szCs w:val="21"/>
              </w:rPr>
              <w:t>1</w:t>
            </w:r>
          </w:p>
        </w:tc>
        <w:tc>
          <w:tcPr>
            <w:tcW w:w="656" w:type="pct"/>
            <w:vAlign w:val="center"/>
          </w:tcPr>
          <w:p w14:paraId="2E4442FB">
            <w:pPr>
              <w:pStyle w:val="125"/>
              <w:ind w:firstLine="0" w:firstLineChars="0"/>
              <w:rPr>
                <w:szCs w:val="21"/>
              </w:rPr>
            </w:pPr>
            <w:r>
              <w:rPr>
                <w:rFonts w:hint="eastAsia"/>
                <w:szCs w:val="21"/>
              </w:rPr>
              <w:t>替代炭化炉区</w:t>
            </w:r>
          </w:p>
        </w:tc>
        <w:tc>
          <w:tcPr>
            <w:tcW w:w="241" w:type="pct"/>
            <w:vAlign w:val="center"/>
          </w:tcPr>
          <w:p w14:paraId="0BCA67A9">
            <w:pPr>
              <w:pStyle w:val="125"/>
              <w:ind w:firstLine="0" w:firstLineChars="0"/>
              <w:rPr>
                <w:szCs w:val="21"/>
              </w:rPr>
            </w:pPr>
            <w:r>
              <w:rPr>
                <w:rFonts w:hint="eastAsia"/>
                <w:szCs w:val="21"/>
              </w:rPr>
              <w:t>-340</w:t>
            </w:r>
          </w:p>
        </w:tc>
        <w:tc>
          <w:tcPr>
            <w:tcW w:w="238" w:type="pct"/>
            <w:vAlign w:val="center"/>
          </w:tcPr>
          <w:p w14:paraId="6EF77504">
            <w:pPr>
              <w:pStyle w:val="125"/>
              <w:ind w:firstLine="0" w:firstLineChars="0"/>
              <w:rPr>
                <w:szCs w:val="21"/>
              </w:rPr>
            </w:pPr>
            <w:r>
              <w:rPr>
                <w:rFonts w:hint="eastAsia"/>
                <w:szCs w:val="21"/>
              </w:rPr>
              <w:t>50</w:t>
            </w:r>
          </w:p>
        </w:tc>
        <w:tc>
          <w:tcPr>
            <w:tcW w:w="240" w:type="pct"/>
            <w:vAlign w:val="center"/>
          </w:tcPr>
          <w:p w14:paraId="26510441">
            <w:pPr>
              <w:pStyle w:val="125"/>
              <w:ind w:firstLine="0" w:firstLineChars="0"/>
              <w:rPr>
                <w:szCs w:val="21"/>
              </w:rPr>
            </w:pPr>
            <w:r>
              <w:rPr>
                <w:szCs w:val="21"/>
              </w:rPr>
              <w:t>60</w:t>
            </w:r>
          </w:p>
        </w:tc>
        <w:tc>
          <w:tcPr>
            <w:tcW w:w="293" w:type="pct"/>
            <w:vAlign w:val="center"/>
          </w:tcPr>
          <w:p w14:paraId="0D1CF760">
            <w:pPr>
              <w:pStyle w:val="125"/>
              <w:ind w:firstLine="0" w:firstLineChars="0"/>
              <w:rPr>
                <w:szCs w:val="21"/>
              </w:rPr>
            </w:pPr>
            <w:r>
              <w:rPr>
                <w:szCs w:val="21"/>
              </w:rPr>
              <w:t>40</w:t>
            </w:r>
          </w:p>
        </w:tc>
        <w:tc>
          <w:tcPr>
            <w:tcW w:w="280" w:type="pct"/>
            <w:vAlign w:val="center"/>
          </w:tcPr>
          <w:p w14:paraId="2B4AD579">
            <w:pPr>
              <w:pStyle w:val="125"/>
              <w:ind w:firstLine="0" w:firstLineChars="0"/>
              <w:rPr>
                <w:szCs w:val="21"/>
              </w:rPr>
            </w:pPr>
            <w:r>
              <w:rPr>
                <w:szCs w:val="21"/>
              </w:rPr>
              <w:t>0</w:t>
            </w:r>
          </w:p>
        </w:tc>
        <w:tc>
          <w:tcPr>
            <w:tcW w:w="259" w:type="pct"/>
            <w:vAlign w:val="center"/>
          </w:tcPr>
          <w:p w14:paraId="70EC5440">
            <w:pPr>
              <w:pStyle w:val="125"/>
              <w:ind w:firstLine="0" w:firstLineChars="0"/>
              <w:rPr>
                <w:szCs w:val="21"/>
              </w:rPr>
            </w:pPr>
            <w:r>
              <w:rPr>
                <w:rFonts w:hint="eastAsia"/>
                <w:color w:val="000000"/>
                <w:szCs w:val="21"/>
              </w:rPr>
              <w:t>10</w:t>
            </w:r>
          </w:p>
        </w:tc>
        <w:tc>
          <w:tcPr>
            <w:tcW w:w="290" w:type="pct"/>
            <w:vAlign w:val="center"/>
          </w:tcPr>
          <w:p w14:paraId="35691E86">
            <w:pPr>
              <w:pStyle w:val="125"/>
              <w:ind w:firstLine="0" w:firstLineChars="0"/>
              <w:rPr>
                <w:szCs w:val="21"/>
              </w:rPr>
            </w:pPr>
            <w:r>
              <w:rPr>
                <w:rFonts w:hint="eastAsia"/>
                <w:color w:val="000000"/>
                <w:szCs w:val="21"/>
              </w:rPr>
              <w:t>66.582</w:t>
            </w:r>
          </w:p>
        </w:tc>
        <w:tc>
          <w:tcPr>
            <w:tcW w:w="290" w:type="pct"/>
            <w:vAlign w:val="center"/>
          </w:tcPr>
          <w:p w14:paraId="1CC4DD83">
            <w:pPr>
              <w:pStyle w:val="125"/>
              <w:ind w:firstLine="0" w:firstLineChars="0"/>
              <w:rPr>
                <w:szCs w:val="21"/>
              </w:rPr>
            </w:pPr>
          </w:p>
        </w:tc>
        <w:tc>
          <w:tcPr>
            <w:tcW w:w="290" w:type="pct"/>
            <w:vAlign w:val="center"/>
          </w:tcPr>
          <w:p w14:paraId="4772B478">
            <w:pPr>
              <w:pStyle w:val="125"/>
              <w:ind w:firstLine="0" w:firstLineChars="0"/>
              <w:rPr>
                <w:szCs w:val="21"/>
              </w:rPr>
            </w:pPr>
            <w:r>
              <w:rPr>
                <w:rFonts w:hint="eastAsia"/>
                <w:color w:val="000000"/>
                <w:szCs w:val="21"/>
              </w:rPr>
              <w:t>9.072</w:t>
            </w:r>
          </w:p>
        </w:tc>
        <w:tc>
          <w:tcPr>
            <w:tcW w:w="290" w:type="pct"/>
            <w:vAlign w:val="center"/>
          </w:tcPr>
          <w:p w14:paraId="16823D2F">
            <w:pPr>
              <w:pStyle w:val="125"/>
              <w:ind w:firstLine="0" w:firstLineChars="0"/>
              <w:rPr>
                <w:szCs w:val="21"/>
              </w:rPr>
            </w:pPr>
            <w:r>
              <w:rPr>
                <w:rFonts w:hint="eastAsia"/>
                <w:color w:val="000000"/>
                <w:szCs w:val="21"/>
              </w:rPr>
              <w:t>0.000011</w:t>
            </w:r>
          </w:p>
        </w:tc>
        <w:tc>
          <w:tcPr>
            <w:tcW w:w="290" w:type="pct"/>
            <w:vAlign w:val="center"/>
          </w:tcPr>
          <w:p w14:paraId="1D71E288">
            <w:pPr>
              <w:pStyle w:val="125"/>
              <w:ind w:firstLine="0" w:firstLineChars="0"/>
              <w:rPr>
                <w:szCs w:val="21"/>
              </w:rPr>
            </w:pPr>
            <w:r>
              <w:rPr>
                <w:rFonts w:hint="eastAsia"/>
                <w:color w:val="000000"/>
                <w:szCs w:val="21"/>
              </w:rPr>
              <w:t>0.756</w:t>
            </w:r>
          </w:p>
        </w:tc>
        <w:tc>
          <w:tcPr>
            <w:tcW w:w="290" w:type="pct"/>
            <w:vAlign w:val="center"/>
          </w:tcPr>
          <w:p w14:paraId="350C468F">
            <w:pPr>
              <w:pStyle w:val="125"/>
              <w:ind w:firstLine="0" w:firstLineChars="0"/>
              <w:rPr>
                <w:szCs w:val="21"/>
              </w:rPr>
            </w:pPr>
            <w:r>
              <w:rPr>
                <w:rFonts w:hint="eastAsia"/>
                <w:color w:val="000000"/>
                <w:szCs w:val="21"/>
              </w:rPr>
              <w:t>0.216</w:t>
            </w:r>
          </w:p>
        </w:tc>
        <w:tc>
          <w:tcPr>
            <w:tcW w:w="291" w:type="pct"/>
            <w:vAlign w:val="center"/>
          </w:tcPr>
          <w:p w14:paraId="32FBBCE8">
            <w:pPr>
              <w:pStyle w:val="125"/>
              <w:ind w:firstLine="0" w:firstLineChars="0"/>
              <w:rPr>
                <w:szCs w:val="21"/>
              </w:rPr>
            </w:pPr>
          </w:p>
        </w:tc>
        <w:tc>
          <w:tcPr>
            <w:tcW w:w="291" w:type="pct"/>
            <w:vAlign w:val="center"/>
          </w:tcPr>
          <w:p w14:paraId="35B75CF1">
            <w:pPr>
              <w:pStyle w:val="125"/>
              <w:ind w:firstLine="0" w:firstLineChars="0"/>
              <w:rPr>
                <w:szCs w:val="21"/>
              </w:rPr>
            </w:pPr>
          </w:p>
        </w:tc>
        <w:tc>
          <w:tcPr>
            <w:tcW w:w="290" w:type="pct"/>
            <w:vAlign w:val="center"/>
          </w:tcPr>
          <w:p w14:paraId="56756111">
            <w:pPr>
              <w:pStyle w:val="125"/>
              <w:ind w:firstLine="0" w:firstLineChars="0"/>
              <w:rPr>
                <w:szCs w:val="21"/>
              </w:rPr>
            </w:pPr>
            <w:r>
              <w:rPr>
                <w:szCs w:val="21"/>
              </w:rPr>
              <w:t>0.0</w:t>
            </w:r>
            <w:r>
              <w:rPr>
                <w:rFonts w:hint="eastAsia"/>
                <w:szCs w:val="21"/>
              </w:rPr>
              <w:t>29</w:t>
            </w:r>
          </w:p>
        </w:tc>
      </w:tr>
      <w:tr w14:paraId="315F8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3283B617">
            <w:pPr>
              <w:pStyle w:val="125"/>
              <w:ind w:firstLine="0" w:firstLineChars="0"/>
              <w:rPr>
                <w:szCs w:val="21"/>
              </w:rPr>
            </w:pPr>
            <w:r>
              <w:rPr>
                <w:rFonts w:hint="eastAsia"/>
                <w:color w:val="000000"/>
                <w:szCs w:val="21"/>
              </w:rPr>
              <w:t>2</w:t>
            </w:r>
          </w:p>
        </w:tc>
        <w:tc>
          <w:tcPr>
            <w:tcW w:w="656" w:type="pct"/>
            <w:vAlign w:val="center"/>
          </w:tcPr>
          <w:p w14:paraId="01ED5BD0">
            <w:pPr>
              <w:pStyle w:val="125"/>
              <w:ind w:firstLine="0" w:firstLineChars="0"/>
              <w:rPr>
                <w:szCs w:val="21"/>
              </w:rPr>
            </w:pPr>
            <w:r>
              <w:rPr>
                <w:rFonts w:hint="eastAsia"/>
                <w:szCs w:val="21"/>
              </w:rPr>
              <w:t>替代煤气净化区</w:t>
            </w:r>
          </w:p>
        </w:tc>
        <w:tc>
          <w:tcPr>
            <w:tcW w:w="241" w:type="pct"/>
            <w:vAlign w:val="center"/>
          </w:tcPr>
          <w:p w14:paraId="09E7EAAC">
            <w:pPr>
              <w:pStyle w:val="125"/>
              <w:ind w:firstLine="0" w:firstLineChars="0"/>
              <w:rPr>
                <w:szCs w:val="21"/>
              </w:rPr>
            </w:pPr>
            <w:r>
              <w:rPr>
                <w:rFonts w:hint="eastAsia"/>
                <w:szCs w:val="21"/>
              </w:rPr>
              <w:t>-32</w:t>
            </w:r>
          </w:p>
        </w:tc>
        <w:tc>
          <w:tcPr>
            <w:tcW w:w="238" w:type="pct"/>
            <w:vAlign w:val="center"/>
          </w:tcPr>
          <w:p w14:paraId="21226D21">
            <w:pPr>
              <w:pStyle w:val="125"/>
              <w:ind w:firstLine="0" w:firstLineChars="0"/>
              <w:rPr>
                <w:szCs w:val="21"/>
              </w:rPr>
            </w:pPr>
            <w:r>
              <w:rPr>
                <w:rFonts w:hint="eastAsia"/>
                <w:szCs w:val="21"/>
              </w:rPr>
              <w:t>97</w:t>
            </w:r>
          </w:p>
        </w:tc>
        <w:tc>
          <w:tcPr>
            <w:tcW w:w="240" w:type="pct"/>
            <w:vAlign w:val="center"/>
          </w:tcPr>
          <w:p w14:paraId="40C14EA4">
            <w:pPr>
              <w:pStyle w:val="125"/>
              <w:ind w:firstLine="0" w:firstLineChars="0"/>
              <w:rPr>
                <w:szCs w:val="21"/>
              </w:rPr>
            </w:pPr>
            <w:r>
              <w:rPr>
                <w:szCs w:val="21"/>
              </w:rPr>
              <w:t>85</w:t>
            </w:r>
          </w:p>
        </w:tc>
        <w:tc>
          <w:tcPr>
            <w:tcW w:w="293" w:type="pct"/>
            <w:vAlign w:val="center"/>
          </w:tcPr>
          <w:p w14:paraId="52F2B4FE">
            <w:pPr>
              <w:pStyle w:val="125"/>
              <w:ind w:firstLine="0" w:firstLineChars="0"/>
              <w:rPr>
                <w:szCs w:val="21"/>
              </w:rPr>
            </w:pPr>
            <w:r>
              <w:rPr>
                <w:szCs w:val="21"/>
              </w:rPr>
              <w:t>80</w:t>
            </w:r>
          </w:p>
        </w:tc>
        <w:tc>
          <w:tcPr>
            <w:tcW w:w="280" w:type="pct"/>
            <w:vAlign w:val="center"/>
          </w:tcPr>
          <w:p w14:paraId="44165A7A">
            <w:pPr>
              <w:pStyle w:val="125"/>
              <w:ind w:firstLine="0" w:firstLineChars="0"/>
              <w:rPr>
                <w:szCs w:val="21"/>
              </w:rPr>
            </w:pPr>
            <w:r>
              <w:rPr>
                <w:szCs w:val="21"/>
              </w:rPr>
              <w:t>0</w:t>
            </w:r>
          </w:p>
        </w:tc>
        <w:tc>
          <w:tcPr>
            <w:tcW w:w="259" w:type="pct"/>
            <w:vAlign w:val="center"/>
          </w:tcPr>
          <w:p w14:paraId="2899CADF">
            <w:pPr>
              <w:pStyle w:val="125"/>
              <w:ind w:firstLine="0" w:firstLineChars="0"/>
              <w:rPr>
                <w:szCs w:val="21"/>
              </w:rPr>
            </w:pPr>
            <w:r>
              <w:rPr>
                <w:rFonts w:hint="eastAsia"/>
                <w:color w:val="000000"/>
                <w:szCs w:val="21"/>
              </w:rPr>
              <w:t>10</w:t>
            </w:r>
          </w:p>
        </w:tc>
        <w:tc>
          <w:tcPr>
            <w:tcW w:w="290" w:type="pct"/>
            <w:vAlign w:val="center"/>
          </w:tcPr>
          <w:p w14:paraId="2F088A9B">
            <w:pPr>
              <w:pStyle w:val="125"/>
              <w:ind w:firstLine="0" w:firstLineChars="0"/>
              <w:rPr>
                <w:szCs w:val="21"/>
              </w:rPr>
            </w:pPr>
          </w:p>
        </w:tc>
        <w:tc>
          <w:tcPr>
            <w:tcW w:w="290" w:type="pct"/>
            <w:vAlign w:val="center"/>
          </w:tcPr>
          <w:p w14:paraId="75BA1B9F">
            <w:pPr>
              <w:pStyle w:val="125"/>
              <w:ind w:firstLine="0" w:firstLineChars="0"/>
              <w:rPr>
                <w:szCs w:val="21"/>
              </w:rPr>
            </w:pPr>
          </w:p>
        </w:tc>
        <w:tc>
          <w:tcPr>
            <w:tcW w:w="290" w:type="pct"/>
            <w:vAlign w:val="center"/>
          </w:tcPr>
          <w:p w14:paraId="7FC28F41">
            <w:pPr>
              <w:pStyle w:val="125"/>
              <w:ind w:firstLine="0" w:firstLineChars="0"/>
              <w:rPr>
                <w:szCs w:val="21"/>
              </w:rPr>
            </w:pPr>
          </w:p>
        </w:tc>
        <w:tc>
          <w:tcPr>
            <w:tcW w:w="290" w:type="pct"/>
            <w:vAlign w:val="center"/>
          </w:tcPr>
          <w:p w14:paraId="65FEB16A">
            <w:pPr>
              <w:pStyle w:val="125"/>
              <w:ind w:firstLine="0" w:firstLineChars="0"/>
              <w:rPr>
                <w:szCs w:val="21"/>
              </w:rPr>
            </w:pPr>
            <w:r>
              <w:rPr>
                <w:rFonts w:hint="eastAsia"/>
                <w:color w:val="000000"/>
                <w:szCs w:val="21"/>
              </w:rPr>
              <w:t>0.0023</w:t>
            </w:r>
          </w:p>
        </w:tc>
        <w:tc>
          <w:tcPr>
            <w:tcW w:w="290" w:type="pct"/>
            <w:vAlign w:val="center"/>
          </w:tcPr>
          <w:p w14:paraId="76E912A3">
            <w:pPr>
              <w:pStyle w:val="125"/>
              <w:ind w:firstLine="0" w:firstLineChars="0"/>
              <w:rPr>
                <w:szCs w:val="21"/>
              </w:rPr>
            </w:pPr>
            <w:r>
              <w:rPr>
                <w:rFonts w:hint="eastAsia"/>
                <w:color w:val="000000"/>
                <w:szCs w:val="21"/>
              </w:rPr>
              <w:t>0.468</w:t>
            </w:r>
          </w:p>
        </w:tc>
        <w:tc>
          <w:tcPr>
            <w:tcW w:w="290" w:type="pct"/>
            <w:vAlign w:val="center"/>
          </w:tcPr>
          <w:p w14:paraId="667CDCF7">
            <w:pPr>
              <w:pStyle w:val="125"/>
              <w:ind w:firstLine="0" w:firstLineChars="0"/>
              <w:rPr>
                <w:szCs w:val="21"/>
              </w:rPr>
            </w:pPr>
            <w:r>
              <w:rPr>
                <w:rFonts w:hint="eastAsia"/>
                <w:color w:val="000000"/>
                <w:szCs w:val="21"/>
              </w:rPr>
              <w:t>0.0281</w:t>
            </w:r>
          </w:p>
        </w:tc>
        <w:tc>
          <w:tcPr>
            <w:tcW w:w="291" w:type="pct"/>
            <w:vAlign w:val="center"/>
          </w:tcPr>
          <w:p w14:paraId="5F35E358">
            <w:pPr>
              <w:pStyle w:val="125"/>
              <w:ind w:firstLine="0" w:firstLineChars="0"/>
              <w:rPr>
                <w:szCs w:val="21"/>
              </w:rPr>
            </w:pPr>
            <w:r>
              <w:rPr>
                <w:rFonts w:hint="eastAsia"/>
                <w:color w:val="000000"/>
                <w:szCs w:val="21"/>
              </w:rPr>
              <w:t>0.702</w:t>
            </w:r>
          </w:p>
        </w:tc>
        <w:tc>
          <w:tcPr>
            <w:tcW w:w="291" w:type="pct"/>
            <w:vAlign w:val="center"/>
          </w:tcPr>
          <w:p w14:paraId="237597C8">
            <w:pPr>
              <w:pStyle w:val="125"/>
              <w:ind w:firstLine="0" w:firstLineChars="0"/>
              <w:rPr>
                <w:color w:val="000000"/>
                <w:szCs w:val="21"/>
              </w:rPr>
            </w:pPr>
            <w:r>
              <w:rPr>
                <w:rFonts w:eastAsia="等线"/>
                <w:color w:val="000000"/>
                <w:szCs w:val="21"/>
              </w:rPr>
              <w:t>0.0</w:t>
            </w:r>
            <w:r>
              <w:rPr>
                <w:rFonts w:hint="eastAsia" w:eastAsia="等线"/>
                <w:color w:val="000000"/>
                <w:szCs w:val="21"/>
              </w:rPr>
              <w:t>187</w:t>
            </w:r>
          </w:p>
        </w:tc>
        <w:tc>
          <w:tcPr>
            <w:tcW w:w="290" w:type="pct"/>
            <w:vAlign w:val="center"/>
          </w:tcPr>
          <w:p w14:paraId="714C966A">
            <w:pPr>
              <w:pStyle w:val="125"/>
              <w:ind w:firstLine="0" w:firstLineChars="0"/>
              <w:rPr>
                <w:color w:val="000000"/>
                <w:szCs w:val="21"/>
              </w:rPr>
            </w:pPr>
            <w:r>
              <w:rPr>
                <w:rFonts w:hint="eastAsia" w:eastAsia="等线"/>
                <w:color w:val="000000"/>
                <w:szCs w:val="21"/>
              </w:rPr>
              <w:t>0.0936</w:t>
            </w:r>
          </w:p>
        </w:tc>
      </w:tr>
      <w:tr w14:paraId="11AFA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396CE4E5">
            <w:pPr>
              <w:pStyle w:val="125"/>
              <w:ind w:firstLine="0" w:firstLineChars="0"/>
              <w:rPr>
                <w:szCs w:val="21"/>
              </w:rPr>
            </w:pPr>
            <w:r>
              <w:rPr>
                <w:rFonts w:hint="eastAsia"/>
                <w:color w:val="000000"/>
                <w:szCs w:val="21"/>
              </w:rPr>
              <w:t>3</w:t>
            </w:r>
          </w:p>
        </w:tc>
        <w:tc>
          <w:tcPr>
            <w:tcW w:w="656" w:type="pct"/>
            <w:vAlign w:val="center"/>
          </w:tcPr>
          <w:p w14:paraId="21960135">
            <w:pPr>
              <w:pStyle w:val="125"/>
              <w:ind w:firstLine="0" w:firstLineChars="0"/>
              <w:rPr>
                <w:szCs w:val="21"/>
              </w:rPr>
            </w:pPr>
            <w:r>
              <w:rPr>
                <w:rFonts w:hint="eastAsia"/>
                <w:szCs w:val="21"/>
              </w:rPr>
              <w:t>替代焦油罐区</w:t>
            </w:r>
          </w:p>
        </w:tc>
        <w:tc>
          <w:tcPr>
            <w:tcW w:w="241" w:type="pct"/>
            <w:vAlign w:val="center"/>
          </w:tcPr>
          <w:p w14:paraId="12B903D5">
            <w:pPr>
              <w:pStyle w:val="125"/>
              <w:ind w:firstLine="0" w:firstLineChars="0"/>
              <w:rPr>
                <w:szCs w:val="21"/>
              </w:rPr>
            </w:pPr>
            <w:r>
              <w:rPr>
                <w:rFonts w:hint="eastAsia"/>
                <w:szCs w:val="21"/>
              </w:rPr>
              <w:t>-584</w:t>
            </w:r>
          </w:p>
        </w:tc>
        <w:tc>
          <w:tcPr>
            <w:tcW w:w="238" w:type="pct"/>
            <w:vAlign w:val="center"/>
          </w:tcPr>
          <w:p w14:paraId="5ED4B0FC">
            <w:pPr>
              <w:pStyle w:val="125"/>
              <w:ind w:firstLine="0" w:firstLineChars="0"/>
              <w:rPr>
                <w:szCs w:val="21"/>
              </w:rPr>
            </w:pPr>
            <w:r>
              <w:rPr>
                <w:rFonts w:hint="eastAsia"/>
                <w:szCs w:val="21"/>
              </w:rPr>
              <w:t>292</w:t>
            </w:r>
          </w:p>
        </w:tc>
        <w:tc>
          <w:tcPr>
            <w:tcW w:w="240" w:type="pct"/>
            <w:vAlign w:val="center"/>
          </w:tcPr>
          <w:p w14:paraId="20968CA4">
            <w:pPr>
              <w:pStyle w:val="125"/>
              <w:ind w:firstLine="0" w:firstLineChars="0"/>
              <w:rPr>
                <w:szCs w:val="21"/>
              </w:rPr>
            </w:pPr>
            <w:r>
              <w:rPr>
                <w:szCs w:val="21"/>
              </w:rPr>
              <w:t>38</w:t>
            </w:r>
          </w:p>
        </w:tc>
        <w:tc>
          <w:tcPr>
            <w:tcW w:w="293" w:type="pct"/>
            <w:vAlign w:val="center"/>
          </w:tcPr>
          <w:p w14:paraId="4A9E21EE">
            <w:pPr>
              <w:pStyle w:val="125"/>
              <w:ind w:firstLine="0" w:firstLineChars="0"/>
              <w:rPr>
                <w:szCs w:val="21"/>
              </w:rPr>
            </w:pPr>
            <w:r>
              <w:rPr>
                <w:szCs w:val="21"/>
              </w:rPr>
              <w:t>55</w:t>
            </w:r>
          </w:p>
        </w:tc>
        <w:tc>
          <w:tcPr>
            <w:tcW w:w="280" w:type="pct"/>
            <w:vAlign w:val="center"/>
          </w:tcPr>
          <w:p w14:paraId="2F8883B3">
            <w:pPr>
              <w:pStyle w:val="125"/>
              <w:ind w:firstLine="0" w:firstLineChars="0"/>
              <w:rPr>
                <w:szCs w:val="21"/>
              </w:rPr>
            </w:pPr>
            <w:r>
              <w:rPr>
                <w:szCs w:val="21"/>
              </w:rPr>
              <w:t>0</w:t>
            </w:r>
          </w:p>
        </w:tc>
        <w:tc>
          <w:tcPr>
            <w:tcW w:w="259" w:type="pct"/>
            <w:vAlign w:val="center"/>
          </w:tcPr>
          <w:p w14:paraId="23313482">
            <w:pPr>
              <w:pStyle w:val="125"/>
              <w:ind w:firstLine="0" w:firstLineChars="0"/>
              <w:rPr>
                <w:szCs w:val="21"/>
              </w:rPr>
            </w:pPr>
            <w:r>
              <w:rPr>
                <w:rFonts w:hint="eastAsia"/>
                <w:color w:val="000000"/>
                <w:szCs w:val="21"/>
              </w:rPr>
              <w:t>15</w:t>
            </w:r>
          </w:p>
        </w:tc>
        <w:tc>
          <w:tcPr>
            <w:tcW w:w="290" w:type="pct"/>
            <w:vAlign w:val="center"/>
          </w:tcPr>
          <w:p w14:paraId="31B827D5">
            <w:pPr>
              <w:pStyle w:val="125"/>
              <w:ind w:firstLine="0" w:firstLineChars="0"/>
              <w:rPr>
                <w:szCs w:val="21"/>
              </w:rPr>
            </w:pPr>
          </w:p>
        </w:tc>
        <w:tc>
          <w:tcPr>
            <w:tcW w:w="290" w:type="pct"/>
            <w:vAlign w:val="center"/>
          </w:tcPr>
          <w:p w14:paraId="00DCF099">
            <w:pPr>
              <w:pStyle w:val="125"/>
              <w:ind w:firstLine="0" w:firstLineChars="0"/>
              <w:rPr>
                <w:szCs w:val="21"/>
              </w:rPr>
            </w:pPr>
          </w:p>
        </w:tc>
        <w:tc>
          <w:tcPr>
            <w:tcW w:w="290" w:type="pct"/>
            <w:vAlign w:val="center"/>
          </w:tcPr>
          <w:p w14:paraId="3706C55F">
            <w:pPr>
              <w:pStyle w:val="125"/>
              <w:ind w:firstLine="0" w:firstLineChars="0"/>
              <w:rPr>
                <w:szCs w:val="21"/>
              </w:rPr>
            </w:pPr>
          </w:p>
        </w:tc>
        <w:tc>
          <w:tcPr>
            <w:tcW w:w="290" w:type="pct"/>
            <w:vAlign w:val="center"/>
          </w:tcPr>
          <w:p w14:paraId="19CE924D">
            <w:pPr>
              <w:pStyle w:val="125"/>
              <w:ind w:firstLine="0" w:firstLineChars="0"/>
              <w:rPr>
                <w:szCs w:val="21"/>
              </w:rPr>
            </w:pPr>
          </w:p>
        </w:tc>
        <w:tc>
          <w:tcPr>
            <w:tcW w:w="290" w:type="pct"/>
            <w:vAlign w:val="center"/>
          </w:tcPr>
          <w:p w14:paraId="24CF492C">
            <w:pPr>
              <w:pStyle w:val="125"/>
              <w:ind w:firstLine="0" w:firstLineChars="0"/>
              <w:rPr>
                <w:szCs w:val="21"/>
              </w:rPr>
            </w:pPr>
          </w:p>
        </w:tc>
        <w:tc>
          <w:tcPr>
            <w:tcW w:w="290" w:type="pct"/>
            <w:vAlign w:val="center"/>
          </w:tcPr>
          <w:p w14:paraId="3F36F57A">
            <w:pPr>
              <w:pStyle w:val="125"/>
              <w:ind w:firstLine="0" w:firstLineChars="0"/>
              <w:rPr>
                <w:szCs w:val="21"/>
              </w:rPr>
            </w:pPr>
          </w:p>
        </w:tc>
        <w:tc>
          <w:tcPr>
            <w:tcW w:w="291" w:type="pct"/>
            <w:vAlign w:val="center"/>
          </w:tcPr>
          <w:p w14:paraId="3A7410A7">
            <w:pPr>
              <w:pStyle w:val="125"/>
              <w:ind w:firstLine="0" w:firstLineChars="0"/>
              <w:rPr>
                <w:szCs w:val="21"/>
              </w:rPr>
            </w:pPr>
            <w:r>
              <w:rPr>
                <w:rFonts w:hint="eastAsia"/>
                <w:color w:val="000000"/>
                <w:szCs w:val="21"/>
              </w:rPr>
              <w:t>9.194</w:t>
            </w:r>
          </w:p>
        </w:tc>
        <w:tc>
          <w:tcPr>
            <w:tcW w:w="291" w:type="pct"/>
            <w:vAlign w:val="center"/>
          </w:tcPr>
          <w:p w14:paraId="2729226B">
            <w:pPr>
              <w:pStyle w:val="125"/>
              <w:ind w:firstLine="0" w:firstLineChars="0"/>
              <w:rPr>
                <w:color w:val="000000"/>
                <w:szCs w:val="21"/>
              </w:rPr>
            </w:pPr>
          </w:p>
        </w:tc>
        <w:tc>
          <w:tcPr>
            <w:tcW w:w="290" w:type="pct"/>
            <w:vAlign w:val="center"/>
          </w:tcPr>
          <w:p w14:paraId="701A185E">
            <w:pPr>
              <w:pStyle w:val="125"/>
              <w:ind w:firstLine="0" w:firstLineChars="0"/>
              <w:rPr>
                <w:color w:val="000000"/>
                <w:szCs w:val="21"/>
              </w:rPr>
            </w:pPr>
          </w:p>
        </w:tc>
      </w:tr>
      <w:tr w14:paraId="2B9A3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1BA04213">
            <w:pPr>
              <w:pStyle w:val="125"/>
              <w:ind w:firstLine="0" w:firstLineChars="0"/>
              <w:rPr>
                <w:szCs w:val="21"/>
              </w:rPr>
            </w:pPr>
            <w:r>
              <w:rPr>
                <w:rFonts w:hint="eastAsia"/>
                <w:color w:val="000000"/>
                <w:szCs w:val="21"/>
              </w:rPr>
              <w:t>4</w:t>
            </w:r>
          </w:p>
        </w:tc>
        <w:tc>
          <w:tcPr>
            <w:tcW w:w="656" w:type="pct"/>
            <w:vAlign w:val="center"/>
          </w:tcPr>
          <w:p w14:paraId="6E139151">
            <w:pPr>
              <w:pStyle w:val="125"/>
              <w:ind w:firstLine="0" w:firstLineChars="0"/>
              <w:rPr>
                <w:szCs w:val="21"/>
              </w:rPr>
            </w:pPr>
            <w:r>
              <w:rPr>
                <w:rFonts w:hint="eastAsia"/>
                <w:szCs w:val="21"/>
              </w:rPr>
              <w:t>替代装车站</w:t>
            </w:r>
          </w:p>
        </w:tc>
        <w:tc>
          <w:tcPr>
            <w:tcW w:w="241" w:type="pct"/>
            <w:vAlign w:val="center"/>
          </w:tcPr>
          <w:p w14:paraId="7FBAB606">
            <w:pPr>
              <w:pStyle w:val="125"/>
              <w:ind w:firstLine="0" w:firstLineChars="0"/>
              <w:rPr>
                <w:szCs w:val="21"/>
              </w:rPr>
            </w:pPr>
            <w:r>
              <w:rPr>
                <w:rFonts w:hint="eastAsia"/>
                <w:szCs w:val="21"/>
              </w:rPr>
              <w:t>-616</w:t>
            </w:r>
          </w:p>
        </w:tc>
        <w:tc>
          <w:tcPr>
            <w:tcW w:w="238" w:type="pct"/>
            <w:vAlign w:val="center"/>
          </w:tcPr>
          <w:p w14:paraId="38E61012">
            <w:pPr>
              <w:pStyle w:val="125"/>
              <w:ind w:firstLine="0" w:firstLineChars="0"/>
              <w:rPr>
                <w:szCs w:val="21"/>
              </w:rPr>
            </w:pPr>
            <w:r>
              <w:rPr>
                <w:rFonts w:hint="eastAsia"/>
                <w:szCs w:val="21"/>
              </w:rPr>
              <w:t>422</w:t>
            </w:r>
          </w:p>
        </w:tc>
        <w:tc>
          <w:tcPr>
            <w:tcW w:w="240" w:type="pct"/>
            <w:vAlign w:val="center"/>
          </w:tcPr>
          <w:p w14:paraId="6D03612C">
            <w:pPr>
              <w:pStyle w:val="125"/>
              <w:ind w:firstLine="0" w:firstLineChars="0"/>
              <w:rPr>
                <w:szCs w:val="21"/>
              </w:rPr>
            </w:pPr>
            <w:r>
              <w:rPr>
                <w:szCs w:val="21"/>
              </w:rPr>
              <w:t>5</w:t>
            </w:r>
          </w:p>
        </w:tc>
        <w:tc>
          <w:tcPr>
            <w:tcW w:w="293" w:type="pct"/>
            <w:vAlign w:val="center"/>
          </w:tcPr>
          <w:p w14:paraId="35B3BEA2">
            <w:pPr>
              <w:pStyle w:val="125"/>
              <w:ind w:firstLine="0" w:firstLineChars="0"/>
              <w:rPr>
                <w:szCs w:val="21"/>
              </w:rPr>
            </w:pPr>
            <w:r>
              <w:rPr>
                <w:szCs w:val="21"/>
              </w:rPr>
              <w:t>18</w:t>
            </w:r>
          </w:p>
        </w:tc>
        <w:tc>
          <w:tcPr>
            <w:tcW w:w="280" w:type="pct"/>
            <w:vAlign w:val="center"/>
          </w:tcPr>
          <w:p w14:paraId="4BA52B30">
            <w:pPr>
              <w:pStyle w:val="125"/>
              <w:ind w:firstLine="0" w:firstLineChars="0"/>
              <w:rPr>
                <w:szCs w:val="21"/>
              </w:rPr>
            </w:pPr>
            <w:r>
              <w:rPr>
                <w:szCs w:val="21"/>
              </w:rPr>
              <w:t>0</w:t>
            </w:r>
          </w:p>
        </w:tc>
        <w:tc>
          <w:tcPr>
            <w:tcW w:w="259" w:type="pct"/>
            <w:vAlign w:val="center"/>
          </w:tcPr>
          <w:p w14:paraId="1A769E37">
            <w:pPr>
              <w:pStyle w:val="125"/>
              <w:ind w:firstLine="0" w:firstLineChars="0"/>
              <w:rPr>
                <w:szCs w:val="21"/>
              </w:rPr>
            </w:pPr>
            <w:r>
              <w:rPr>
                <w:rFonts w:hint="eastAsia"/>
                <w:color w:val="000000"/>
                <w:szCs w:val="21"/>
              </w:rPr>
              <w:t>5</w:t>
            </w:r>
          </w:p>
        </w:tc>
        <w:tc>
          <w:tcPr>
            <w:tcW w:w="290" w:type="pct"/>
            <w:vAlign w:val="center"/>
          </w:tcPr>
          <w:p w14:paraId="53A06C49">
            <w:pPr>
              <w:pStyle w:val="125"/>
              <w:ind w:firstLine="0" w:firstLineChars="0"/>
              <w:rPr>
                <w:szCs w:val="21"/>
              </w:rPr>
            </w:pPr>
          </w:p>
        </w:tc>
        <w:tc>
          <w:tcPr>
            <w:tcW w:w="290" w:type="pct"/>
            <w:vAlign w:val="center"/>
          </w:tcPr>
          <w:p w14:paraId="4C671139">
            <w:pPr>
              <w:pStyle w:val="125"/>
              <w:ind w:firstLine="0" w:firstLineChars="0"/>
              <w:rPr>
                <w:szCs w:val="21"/>
              </w:rPr>
            </w:pPr>
          </w:p>
        </w:tc>
        <w:tc>
          <w:tcPr>
            <w:tcW w:w="290" w:type="pct"/>
            <w:vAlign w:val="center"/>
          </w:tcPr>
          <w:p w14:paraId="290C9658">
            <w:pPr>
              <w:pStyle w:val="125"/>
              <w:ind w:firstLine="0" w:firstLineChars="0"/>
              <w:rPr>
                <w:szCs w:val="21"/>
              </w:rPr>
            </w:pPr>
          </w:p>
        </w:tc>
        <w:tc>
          <w:tcPr>
            <w:tcW w:w="290" w:type="pct"/>
            <w:vAlign w:val="center"/>
          </w:tcPr>
          <w:p w14:paraId="62F07141">
            <w:pPr>
              <w:pStyle w:val="125"/>
              <w:ind w:firstLine="0" w:firstLineChars="0"/>
              <w:rPr>
                <w:szCs w:val="21"/>
              </w:rPr>
            </w:pPr>
          </w:p>
        </w:tc>
        <w:tc>
          <w:tcPr>
            <w:tcW w:w="290" w:type="pct"/>
            <w:vAlign w:val="center"/>
          </w:tcPr>
          <w:p w14:paraId="3D35A8CC">
            <w:pPr>
              <w:pStyle w:val="125"/>
              <w:ind w:firstLine="0" w:firstLineChars="0"/>
              <w:rPr>
                <w:szCs w:val="21"/>
              </w:rPr>
            </w:pPr>
          </w:p>
        </w:tc>
        <w:tc>
          <w:tcPr>
            <w:tcW w:w="290" w:type="pct"/>
            <w:vAlign w:val="center"/>
          </w:tcPr>
          <w:p w14:paraId="4E998050">
            <w:pPr>
              <w:pStyle w:val="125"/>
              <w:ind w:firstLine="0" w:firstLineChars="0"/>
              <w:rPr>
                <w:szCs w:val="21"/>
              </w:rPr>
            </w:pPr>
          </w:p>
        </w:tc>
        <w:tc>
          <w:tcPr>
            <w:tcW w:w="291" w:type="pct"/>
            <w:vAlign w:val="center"/>
          </w:tcPr>
          <w:p w14:paraId="71DC4D9C">
            <w:pPr>
              <w:pStyle w:val="125"/>
              <w:ind w:firstLine="0" w:firstLineChars="0"/>
              <w:rPr>
                <w:szCs w:val="21"/>
              </w:rPr>
            </w:pPr>
            <w:r>
              <w:rPr>
                <w:rFonts w:hint="eastAsia"/>
                <w:color w:val="000000"/>
                <w:szCs w:val="21"/>
              </w:rPr>
              <w:t>1.973</w:t>
            </w:r>
          </w:p>
        </w:tc>
        <w:tc>
          <w:tcPr>
            <w:tcW w:w="291" w:type="pct"/>
            <w:vAlign w:val="center"/>
          </w:tcPr>
          <w:p w14:paraId="27A3F8E1">
            <w:pPr>
              <w:pStyle w:val="125"/>
              <w:ind w:firstLine="0" w:firstLineChars="0"/>
              <w:rPr>
                <w:color w:val="000000"/>
                <w:szCs w:val="21"/>
              </w:rPr>
            </w:pPr>
          </w:p>
        </w:tc>
        <w:tc>
          <w:tcPr>
            <w:tcW w:w="290" w:type="pct"/>
            <w:vAlign w:val="center"/>
          </w:tcPr>
          <w:p w14:paraId="588F88AF">
            <w:pPr>
              <w:pStyle w:val="125"/>
              <w:ind w:firstLine="0" w:firstLineChars="0"/>
              <w:rPr>
                <w:color w:val="000000"/>
                <w:szCs w:val="21"/>
              </w:rPr>
            </w:pPr>
          </w:p>
        </w:tc>
      </w:tr>
      <w:tr w14:paraId="69F58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573B08F4">
            <w:pPr>
              <w:pStyle w:val="125"/>
              <w:ind w:firstLine="0" w:firstLineChars="0"/>
              <w:rPr>
                <w:szCs w:val="21"/>
              </w:rPr>
            </w:pPr>
            <w:r>
              <w:rPr>
                <w:rFonts w:hint="eastAsia"/>
                <w:color w:val="000000"/>
                <w:szCs w:val="21"/>
              </w:rPr>
              <w:t>5</w:t>
            </w:r>
          </w:p>
        </w:tc>
        <w:tc>
          <w:tcPr>
            <w:tcW w:w="656" w:type="pct"/>
            <w:vAlign w:val="center"/>
          </w:tcPr>
          <w:p w14:paraId="0ED34CB7">
            <w:pPr>
              <w:pStyle w:val="125"/>
              <w:ind w:firstLine="0" w:firstLineChars="0"/>
              <w:rPr>
                <w:szCs w:val="21"/>
              </w:rPr>
            </w:pPr>
            <w:r>
              <w:rPr>
                <w:rFonts w:hint="eastAsia"/>
                <w:szCs w:val="21"/>
              </w:rPr>
              <w:t>替代污水处理站</w:t>
            </w:r>
          </w:p>
        </w:tc>
        <w:tc>
          <w:tcPr>
            <w:tcW w:w="241" w:type="pct"/>
            <w:vAlign w:val="center"/>
          </w:tcPr>
          <w:p w14:paraId="5B32B450">
            <w:pPr>
              <w:pStyle w:val="125"/>
              <w:ind w:firstLine="0" w:firstLineChars="0"/>
              <w:rPr>
                <w:szCs w:val="21"/>
              </w:rPr>
            </w:pPr>
            <w:r>
              <w:rPr>
                <w:rFonts w:hint="eastAsia"/>
                <w:szCs w:val="21"/>
              </w:rPr>
              <w:t>-130</w:t>
            </w:r>
          </w:p>
        </w:tc>
        <w:tc>
          <w:tcPr>
            <w:tcW w:w="238" w:type="pct"/>
            <w:vAlign w:val="center"/>
          </w:tcPr>
          <w:p w14:paraId="433C44DE">
            <w:pPr>
              <w:pStyle w:val="125"/>
              <w:ind w:firstLine="0" w:firstLineChars="0"/>
              <w:rPr>
                <w:szCs w:val="21"/>
              </w:rPr>
            </w:pPr>
            <w:r>
              <w:rPr>
                <w:rFonts w:hint="eastAsia"/>
                <w:szCs w:val="21"/>
              </w:rPr>
              <w:t>195</w:t>
            </w:r>
          </w:p>
        </w:tc>
        <w:tc>
          <w:tcPr>
            <w:tcW w:w="240" w:type="pct"/>
            <w:vAlign w:val="center"/>
          </w:tcPr>
          <w:p w14:paraId="7A2AD063">
            <w:pPr>
              <w:pStyle w:val="125"/>
              <w:ind w:firstLine="0" w:firstLineChars="0"/>
              <w:rPr>
                <w:szCs w:val="21"/>
              </w:rPr>
            </w:pPr>
            <w:r>
              <w:rPr>
                <w:szCs w:val="21"/>
              </w:rPr>
              <w:t>18</w:t>
            </w:r>
          </w:p>
        </w:tc>
        <w:tc>
          <w:tcPr>
            <w:tcW w:w="293" w:type="pct"/>
            <w:vAlign w:val="center"/>
          </w:tcPr>
          <w:p w14:paraId="57895AB4">
            <w:pPr>
              <w:pStyle w:val="125"/>
              <w:ind w:firstLine="0" w:firstLineChars="0"/>
              <w:rPr>
                <w:szCs w:val="21"/>
              </w:rPr>
            </w:pPr>
            <w:r>
              <w:rPr>
                <w:szCs w:val="21"/>
              </w:rPr>
              <w:t>42</w:t>
            </w:r>
          </w:p>
        </w:tc>
        <w:tc>
          <w:tcPr>
            <w:tcW w:w="280" w:type="pct"/>
            <w:vAlign w:val="center"/>
          </w:tcPr>
          <w:p w14:paraId="4B69853B">
            <w:pPr>
              <w:pStyle w:val="125"/>
              <w:ind w:firstLine="0" w:firstLineChars="0"/>
              <w:rPr>
                <w:szCs w:val="21"/>
              </w:rPr>
            </w:pPr>
            <w:r>
              <w:rPr>
                <w:szCs w:val="21"/>
              </w:rPr>
              <w:t>0</w:t>
            </w:r>
          </w:p>
        </w:tc>
        <w:tc>
          <w:tcPr>
            <w:tcW w:w="259" w:type="pct"/>
            <w:vAlign w:val="center"/>
          </w:tcPr>
          <w:p w14:paraId="2A28FA1B">
            <w:pPr>
              <w:pStyle w:val="125"/>
              <w:ind w:firstLine="0" w:firstLineChars="0"/>
              <w:rPr>
                <w:szCs w:val="21"/>
              </w:rPr>
            </w:pPr>
            <w:r>
              <w:rPr>
                <w:rFonts w:hint="eastAsia"/>
                <w:color w:val="000000"/>
                <w:szCs w:val="21"/>
              </w:rPr>
              <w:t>5</w:t>
            </w:r>
          </w:p>
        </w:tc>
        <w:tc>
          <w:tcPr>
            <w:tcW w:w="290" w:type="pct"/>
            <w:vAlign w:val="center"/>
          </w:tcPr>
          <w:p w14:paraId="010FB734">
            <w:pPr>
              <w:pStyle w:val="125"/>
              <w:ind w:firstLine="0" w:firstLineChars="0"/>
              <w:rPr>
                <w:szCs w:val="21"/>
              </w:rPr>
            </w:pPr>
          </w:p>
        </w:tc>
        <w:tc>
          <w:tcPr>
            <w:tcW w:w="290" w:type="pct"/>
            <w:vAlign w:val="center"/>
          </w:tcPr>
          <w:p w14:paraId="52F3EDC0">
            <w:pPr>
              <w:pStyle w:val="125"/>
              <w:ind w:firstLine="0" w:firstLineChars="0"/>
              <w:rPr>
                <w:szCs w:val="21"/>
              </w:rPr>
            </w:pPr>
          </w:p>
        </w:tc>
        <w:tc>
          <w:tcPr>
            <w:tcW w:w="290" w:type="pct"/>
            <w:vAlign w:val="center"/>
          </w:tcPr>
          <w:p w14:paraId="72F4D0DD">
            <w:pPr>
              <w:pStyle w:val="125"/>
              <w:ind w:firstLine="0" w:firstLineChars="0"/>
              <w:rPr>
                <w:szCs w:val="21"/>
              </w:rPr>
            </w:pPr>
          </w:p>
        </w:tc>
        <w:tc>
          <w:tcPr>
            <w:tcW w:w="290" w:type="pct"/>
            <w:vAlign w:val="center"/>
          </w:tcPr>
          <w:p w14:paraId="34FDAC17">
            <w:pPr>
              <w:pStyle w:val="125"/>
              <w:ind w:firstLine="0" w:firstLineChars="0"/>
              <w:rPr>
                <w:szCs w:val="21"/>
              </w:rPr>
            </w:pPr>
          </w:p>
        </w:tc>
        <w:tc>
          <w:tcPr>
            <w:tcW w:w="290" w:type="pct"/>
            <w:vAlign w:val="center"/>
          </w:tcPr>
          <w:p w14:paraId="02BFC74D">
            <w:pPr>
              <w:pStyle w:val="125"/>
              <w:ind w:firstLine="0" w:firstLineChars="0"/>
              <w:rPr>
                <w:szCs w:val="21"/>
              </w:rPr>
            </w:pPr>
          </w:p>
        </w:tc>
        <w:tc>
          <w:tcPr>
            <w:tcW w:w="290" w:type="pct"/>
            <w:vAlign w:val="center"/>
          </w:tcPr>
          <w:p w14:paraId="124D7964">
            <w:pPr>
              <w:pStyle w:val="125"/>
              <w:ind w:firstLine="0" w:firstLineChars="0"/>
              <w:rPr>
                <w:szCs w:val="21"/>
              </w:rPr>
            </w:pPr>
          </w:p>
        </w:tc>
        <w:tc>
          <w:tcPr>
            <w:tcW w:w="291" w:type="pct"/>
            <w:vAlign w:val="center"/>
          </w:tcPr>
          <w:p w14:paraId="4136AF72">
            <w:pPr>
              <w:pStyle w:val="125"/>
              <w:ind w:firstLine="0" w:firstLineChars="0"/>
              <w:rPr>
                <w:szCs w:val="21"/>
              </w:rPr>
            </w:pPr>
            <w:r>
              <w:rPr>
                <w:rFonts w:hint="eastAsia"/>
                <w:color w:val="000000"/>
                <w:szCs w:val="21"/>
              </w:rPr>
              <w:t>0.792</w:t>
            </w:r>
          </w:p>
        </w:tc>
        <w:tc>
          <w:tcPr>
            <w:tcW w:w="291" w:type="pct"/>
            <w:vAlign w:val="center"/>
          </w:tcPr>
          <w:p w14:paraId="3D7F6014">
            <w:pPr>
              <w:pStyle w:val="125"/>
              <w:ind w:firstLine="0" w:firstLineChars="0"/>
              <w:rPr>
                <w:color w:val="000000"/>
                <w:szCs w:val="21"/>
              </w:rPr>
            </w:pPr>
          </w:p>
        </w:tc>
        <w:tc>
          <w:tcPr>
            <w:tcW w:w="290" w:type="pct"/>
            <w:vAlign w:val="center"/>
          </w:tcPr>
          <w:p w14:paraId="5A95A27A">
            <w:pPr>
              <w:pStyle w:val="125"/>
              <w:ind w:firstLine="0" w:firstLineChars="0"/>
              <w:rPr>
                <w:color w:val="000000"/>
                <w:szCs w:val="21"/>
              </w:rPr>
            </w:pPr>
          </w:p>
        </w:tc>
      </w:tr>
      <w:tr w14:paraId="66CCA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0B9B3D64">
            <w:pPr>
              <w:pStyle w:val="125"/>
              <w:ind w:firstLine="0" w:firstLineChars="0"/>
              <w:rPr>
                <w:szCs w:val="21"/>
              </w:rPr>
            </w:pPr>
            <w:r>
              <w:rPr>
                <w:rFonts w:hint="eastAsia"/>
                <w:color w:val="000000"/>
                <w:szCs w:val="21"/>
              </w:rPr>
              <w:t>6</w:t>
            </w:r>
          </w:p>
        </w:tc>
        <w:tc>
          <w:tcPr>
            <w:tcW w:w="656" w:type="pct"/>
            <w:vAlign w:val="center"/>
          </w:tcPr>
          <w:p w14:paraId="5D8EDCD9">
            <w:pPr>
              <w:pStyle w:val="125"/>
              <w:ind w:firstLine="0" w:firstLineChars="0"/>
              <w:rPr>
                <w:szCs w:val="21"/>
              </w:rPr>
            </w:pPr>
            <w:r>
              <w:rPr>
                <w:rFonts w:hint="eastAsia"/>
                <w:szCs w:val="21"/>
              </w:rPr>
              <w:t>替代原煤棚</w:t>
            </w:r>
          </w:p>
        </w:tc>
        <w:tc>
          <w:tcPr>
            <w:tcW w:w="241" w:type="pct"/>
            <w:vAlign w:val="center"/>
          </w:tcPr>
          <w:p w14:paraId="4CBB6186">
            <w:pPr>
              <w:pStyle w:val="125"/>
              <w:ind w:firstLine="0" w:firstLineChars="0"/>
              <w:rPr>
                <w:szCs w:val="21"/>
              </w:rPr>
            </w:pPr>
            <w:r>
              <w:rPr>
                <w:rFonts w:hint="eastAsia"/>
                <w:szCs w:val="21"/>
              </w:rPr>
              <w:t>-584</w:t>
            </w:r>
          </w:p>
        </w:tc>
        <w:tc>
          <w:tcPr>
            <w:tcW w:w="238" w:type="pct"/>
            <w:vAlign w:val="center"/>
          </w:tcPr>
          <w:p w14:paraId="4B9932B6">
            <w:pPr>
              <w:pStyle w:val="125"/>
              <w:ind w:firstLine="0" w:firstLineChars="0"/>
              <w:rPr>
                <w:szCs w:val="21"/>
              </w:rPr>
            </w:pPr>
            <w:r>
              <w:rPr>
                <w:rFonts w:hint="eastAsia"/>
                <w:szCs w:val="21"/>
              </w:rPr>
              <w:t>162</w:t>
            </w:r>
          </w:p>
        </w:tc>
        <w:tc>
          <w:tcPr>
            <w:tcW w:w="240" w:type="pct"/>
            <w:vAlign w:val="center"/>
          </w:tcPr>
          <w:p w14:paraId="4F3B5293">
            <w:pPr>
              <w:pStyle w:val="125"/>
              <w:ind w:firstLine="0" w:firstLineChars="0"/>
              <w:rPr>
                <w:szCs w:val="21"/>
              </w:rPr>
            </w:pPr>
            <w:r>
              <w:rPr>
                <w:szCs w:val="21"/>
              </w:rPr>
              <w:t>182</w:t>
            </w:r>
          </w:p>
        </w:tc>
        <w:tc>
          <w:tcPr>
            <w:tcW w:w="293" w:type="pct"/>
            <w:vAlign w:val="center"/>
          </w:tcPr>
          <w:p w14:paraId="31DB9ECE">
            <w:pPr>
              <w:pStyle w:val="125"/>
              <w:ind w:firstLine="0" w:firstLineChars="0"/>
              <w:rPr>
                <w:szCs w:val="21"/>
              </w:rPr>
            </w:pPr>
            <w:r>
              <w:rPr>
                <w:szCs w:val="21"/>
              </w:rPr>
              <w:t>140</w:t>
            </w:r>
          </w:p>
        </w:tc>
        <w:tc>
          <w:tcPr>
            <w:tcW w:w="280" w:type="pct"/>
            <w:vAlign w:val="center"/>
          </w:tcPr>
          <w:p w14:paraId="516810AA">
            <w:pPr>
              <w:pStyle w:val="125"/>
              <w:ind w:firstLine="0" w:firstLineChars="0"/>
              <w:rPr>
                <w:szCs w:val="21"/>
              </w:rPr>
            </w:pPr>
            <w:r>
              <w:rPr>
                <w:szCs w:val="21"/>
              </w:rPr>
              <w:t>0</w:t>
            </w:r>
          </w:p>
        </w:tc>
        <w:tc>
          <w:tcPr>
            <w:tcW w:w="259" w:type="pct"/>
            <w:vAlign w:val="center"/>
          </w:tcPr>
          <w:p w14:paraId="20541CB5">
            <w:pPr>
              <w:pStyle w:val="125"/>
              <w:ind w:firstLine="0" w:firstLineChars="0"/>
              <w:rPr>
                <w:szCs w:val="21"/>
              </w:rPr>
            </w:pPr>
            <w:r>
              <w:rPr>
                <w:rFonts w:hint="eastAsia"/>
                <w:color w:val="000000"/>
                <w:szCs w:val="21"/>
              </w:rPr>
              <w:t>15</w:t>
            </w:r>
          </w:p>
        </w:tc>
        <w:tc>
          <w:tcPr>
            <w:tcW w:w="290" w:type="pct"/>
            <w:vAlign w:val="center"/>
          </w:tcPr>
          <w:p w14:paraId="55DE0227">
            <w:pPr>
              <w:pStyle w:val="125"/>
              <w:ind w:firstLine="0" w:firstLineChars="0"/>
              <w:rPr>
                <w:szCs w:val="21"/>
              </w:rPr>
            </w:pPr>
          </w:p>
        </w:tc>
        <w:tc>
          <w:tcPr>
            <w:tcW w:w="290" w:type="pct"/>
            <w:vAlign w:val="center"/>
          </w:tcPr>
          <w:p w14:paraId="41056710">
            <w:pPr>
              <w:pStyle w:val="125"/>
              <w:ind w:firstLine="0" w:firstLineChars="0"/>
              <w:rPr>
                <w:szCs w:val="21"/>
              </w:rPr>
            </w:pPr>
          </w:p>
        </w:tc>
        <w:tc>
          <w:tcPr>
            <w:tcW w:w="290" w:type="pct"/>
            <w:vAlign w:val="center"/>
          </w:tcPr>
          <w:p w14:paraId="074FA2F0">
            <w:pPr>
              <w:pStyle w:val="125"/>
              <w:ind w:firstLine="0" w:firstLineChars="0"/>
              <w:rPr>
                <w:color w:val="000000"/>
                <w:szCs w:val="21"/>
              </w:rPr>
            </w:pPr>
            <w:r>
              <w:rPr>
                <w:rFonts w:hint="eastAsia"/>
                <w:color w:val="000000"/>
                <w:szCs w:val="21"/>
              </w:rPr>
              <w:t>4.94</w:t>
            </w:r>
          </w:p>
        </w:tc>
        <w:tc>
          <w:tcPr>
            <w:tcW w:w="290" w:type="pct"/>
            <w:vAlign w:val="center"/>
          </w:tcPr>
          <w:p w14:paraId="152A87AA">
            <w:pPr>
              <w:pStyle w:val="125"/>
              <w:ind w:firstLine="0" w:firstLineChars="0"/>
              <w:rPr>
                <w:szCs w:val="21"/>
              </w:rPr>
            </w:pPr>
          </w:p>
        </w:tc>
        <w:tc>
          <w:tcPr>
            <w:tcW w:w="290" w:type="pct"/>
            <w:vAlign w:val="center"/>
          </w:tcPr>
          <w:p w14:paraId="1BA33A42">
            <w:pPr>
              <w:pStyle w:val="125"/>
              <w:ind w:firstLine="0" w:firstLineChars="0"/>
              <w:rPr>
                <w:szCs w:val="21"/>
              </w:rPr>
            </w:pPr>
          </w:p>
        </w:tc>
        <w:tc>
          <w:tcPr>
            <w:tcW w:w="290" w:type="pct"/>
            <w:vAlign w:val="center"/>
          </w:tcPr>
          <w:p w14:paraId="5FFEC3FA">
            <w:pPr>
              <w:pStyle w:val="125"/>
              <w:ind w:firstLine="0" w:firstLineChars="0"/>
              <w:rPr>
                <w:szCs w:val="21"/>
              </w:rPr>
            </w:pPr>
          </w:p>
        </w:tc>
        <w:tc>
          <w:tcPr>
            <w:tcW w:w="291" w:type="pct"/>
            <w:vAlign w:val="center"/>
          </w:tcPr>
          <w:p w14:paraId="4BB12B08">
            <w:pPr>
              <w:pStyle w:val="125"/>
              <w:ind w:firstLine="0" w:firstLineChars="0"/>
              <w:rPr>
                <w:szCs w:val="21"/>
              </w:rPr>
            </w:pPr>
          </w:p>
        </w:tc>
        <w:tc>
          <w:tcPr>
            <w:tcW w:w="291" w:type="pct"/>
            <w:vAlign w:val="center"/>
          </w:tcPr>
          <w:p w14:paraId="0A1FE719">
            <w:pPr>
              <w:pStyle w:val="125"/>
              <w:ind w:firstLine="0" w:firstLineChars="0"/>
              <w:rPr>
                <w:szCs w:val="21"/>
              </w:rPr>
            </w:pPr>
          </w:p>
        </w:tc>
        <w:tc>
          <w:tcPr>
            <w:tcW w:w="290" w:type="pct"/>
            <w:vAlign w:val="center"/>
          </w:tcPr>
          <w:p w14:paraId="04F153E5">
            <w:pPr>
              <w:pStyle w:val="125"/>
              <w:ind w:firstLine="0" w:firstLineChars="0"/>
              <w:rPr>
                <w:szCs w:val="21"/>
              </w:rPr>
            </w:pPr>
          </w:p>
        </w:tc>
      </w:tr>
      <w:tr w14:paraId="616BC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54AC12A5">
            <w:pPr>
              <w:pStyle w:val="125"/>
              <w:ind w:firstLine="0" w:firstLineChars="0"/>
              <w:rPr>
                <w:szCs w:val="21"/>
              </w:rPr>
            </w:pPr>
            <w:r>
              <w:rPr>
                <w:rFonts w:hint="eastAsia"/>
                <w:color w:val="000000"/>
                <w:szCs w:val="21"/>
              </w:rPr>
              <w:t>7</w:t>
            </w:r>
          </w:p>
        </w:tc>
        <w:tc>
          <w:tcPr>
            <w:tcW w:w="656" w:type="pct"/>
            <w:vAlign w:val="center"/>
          </w:tcPr>
          <w:p w14:paraId="68542306">
            <w:pPr>
              <w:pStyle w:val="125"/>
              <w:ind w:firstLine="0" w:firstLineChars="0"/>
              <w:rPr>
                <w:szCs w:val="21"/>
              </w:rPr>
            </w:pPr>
            <w:r>
              <w:rPr>
                <w:rFonts w:hint="eastAsia"/>
                <w:szCs w:val="21"/>
              </w:rPr>
              <w:t>替代兰炭棚</w:t>
            </w:r>
          </w:p>
        </w:tc>
        <w:tc>
          <w:tcPr>
            <w:tcW w:w="241" w:type="pct"/>
            <w:vAlign w:val="center"/>
          </w:tcPr>
          <w:p w14:paraId="7ED08A46">
            <w:pPr>
              <w:pStyle w:val="125"/>
              <w:ind w:firstLine="0" w:firstLineChars="0"/>
              <w:rPr>
                <w:szCs w:val="21"/>
              </w:rPr>
            </w:pPr>
            <w:r>
              <w:rPr>
                <w:rFonts w:hint="eastAsia"/>
                <w:szCs w:val="21"/>
              </w:rPr>
              <w:t>-487</w:t>
            </w:r>
          </w:p>
        </w:tc>
        <w:tc>
          <w:tcPr>
            <w:tcW w:w="238" w:type="pct"/>
            <w:vAlign w:val="center"/>
          </w:tcPr>
          <w:p w14:paraId="21558B41">
            <w:pPr>
              <w:pStyle w:val="125"/>
              <w:ind w:firstLine="0" w:firstLineChars="0"/>
              <w:rPr>
                <w:szCs w:val="21"/>
              </w:rPr>
            </w:pPr>
            <w:r>
              <w:rPr>
                <w:rFonts w:hint="eastAsia"/>
                <w:szCs w:val="21"/>
              </w:rPr>
              <w:t>195</w:t>
            </w:r>
          </w:p>
        </w:tc>
        <w:tc>
          <w:tcPr>
            <w:tcW w:w="240" w:type="pct"/>
            <w:vAlign w:val="center"/>
          </w:tcPr>
          <w:p w14:paraId="69CBFEC6">
            <w:pPr>
              <w:pStyle w:val="125"/>
              <w:ind w:firstLine="0" w:firstLineChars="0"/>
              <w:rPr>
                <w:szCs w:val="21"/>
              </w:rPr>
            </w:pPr>
            <w:r>
              <w:rPr>
                <w:szCs w:val="21"/>
              </w:rPr>
              <w:t>127</w:t>
            </w:r>
          </w:p>
        </w:tc>
        <w:tc>
          <w:tcPr>
            <w:tcW w:w="293" w:type="pct"/>
            <w:vAlign w:val="center"/>
          </w:tcPr>
          <w:p w14:paraId="51F9DAAE">
            <w:pPr>
              <w:pStyle w:val="125"/>
              <w:ind w:firstLine="0" w:firstLineChars="0"/>
              <w:rPr>
                <w:szCs w:val="21"/>
              </w:rPr>
            </w:pPr>
            <w:r>
              <w:rPr>
                <w:szCs w:val="21"/>
              </w:rPr>
              <w:t>166</w:t>
            </w:r>
          </w:p>
        </w:tc>
        <w:tc>
          <w:tcPr>
            <w:tcW w:w="280" w:type="pct"/>
            <w:vAlign w:val="center"/>
          </w:tcPr>
          <w:p w14:paraId="79471C80">
            <w:pPr>
              <w:pStyle w:val="125"/>
              <w:ind w:firstLine="0" w:firstLineChars="0"/>
              <w:rPr>
                <w:szCs w:val="21"/>
              </w:rPr>
            </w:pPr>
            <w:r>
              <w:rPr>
                <w:szCs w:val="21"/>
              </w:rPr>
              <w:t>0</w:t>
            </w:r>
          </w:p>
        </w:tc>
        <w:tc>
          <w:tcPr>
            <w:tcW w:w="259" w:type="pct"/>
            <w:vAlign w:val="center"/>
          </w:tcPr>
          <w:p w14:paraId="381D4BCB">
            <w:pPr>
              <w:pStyle w:val="125"/>
              <w:ind w:firstLine="0" w:firstLineChars="0"/>
              <w:rPr>
                <w:szCs w:val="21"/>
              </w:rPr>
            </w:pPr>
            <w:r>
              <w:rPr>
                <w:rFonts w:hint="eastAsia"/>
                <w:color w:val="000000"/>
                <w:szCs w:val="21"/>
              </w:rPr>
              <w:t>15</w:t>
            </w:r>
          </w:p>
        </w:tc>
        <w:tc>
          <w:tcPr>
            <w:tcW w:w="290" w:type="pct"/>
            <w:vAlign w:val="center"/>
          </w:tcPr>
          <w:p w14:paraId="56F176CC">
            <w:pPr>
              <w:pStyle w:val="125"/>
              <w:ind w:firstLine="0" w:firstLineChars="0"/>
              <w:rPr>
                <w:szCs w:val="21"/>
              </w:rPr>
            </w:pPr>
          </w:p>
        </w:tc>
        <w:tc>
          <w:tcPr>
            <w:tcW w:w="290" w:type="pct"/>
            <w:vAlign w:val="center"/>
          </w:tcPr>
          <w:p w14:paraId="086757F7">
            <w:pPr>
              <w:pStyle w:val="125"/>
              <w:ind w:firstLine="0" w:firstLineChars="0"/>
              <w:rPr>
                <w:szCs w:val="21"/>
              </w:rPr>
            </w:pPr>
          </w:p>
        </w:tc>
        <w:tc>
          <w:tcPr>
            <w:tcW w:w="290" w:type="pct"/>
            <w:vAlign w:val="center"/>
          </w:tcPr>
          <w:p w14:paraId="7FA648C3">
            <w:pPr>
              <w:pStyle w:val="125"/>
              <w:ind w:firstLine="0" w:firstLineChars="0"/>
              <w:rPr>
                <w:color w:val="000000"/>
                <w:szCs w:val="21"/>
              </w:rPr>
            </w:pPr>
            <w:r>
              <w:rPr>
                <w:rFonts w:hint="eastAsia"/>
                <w:color w:val="000000"/>
                <w:szCs w:val="21"/>
              </w:rPr>
              <w:t>11.35</w:t>
            </w:r>
          </w:p>
        </w:tc>
        <w:tc>
          <w:tcPr>
            <w:tcW w:w="290" w:type="pct"/>
            <w:vAlign w:val="center"/>
          </w:tcPr>
          <w:p w14:paraId="29425D39">
            <w:pPr>
              <w:pStyle w:val="125"/>
              <w:ind w:firstLine="0" w:firstLineChars="0"/>
              <w:rPr>
                <w:szCs w:val="21"/>
              </w:rPr>
            </w:pPr>
          </w:p>
        </w:tc>
        <w:tc>
          <w:tcPr>
            <w:tcW w:w="290" w:type="pct"/>
            <w:vAlign w:val="center"/>
          </w:tcPr>
          <w:p w14:paraId="71FF1B43">
            <w:pPr>
              <w:pStyle w:val="125"/>
              <w:ind w:firstLine="0" w:firstLineChars="0"/>
              <w:rPr>
                <w:szCs w:val="21"/>
              </w:rPr>
            </w:pPr>
          </w:p>
        </w:tc>
        <w:tc>
          <w:tcPr>
            <w:tcW w:w="290" w:type="pct"/>
            <w:vAlign w:val="center"/>
          </w:tcPr>
          <w:p w14:paraId="62C5C516">
            <w:pPr>
              <w:pStyle w:val="125"/>
              <w:ind w:firstLine="0" w:firstLineChars="0"/>
              <w:rPr>
                <w:szCs w:val="21"/>
              </w:rPr>
            </w:pPr>
          </w:p>
        </w:tc>
        <w:tc>
          <w:tcPr>
            <w:tcW w:w="291" w:type="pct"/>
            <w:vAlign w:val="center"/>
          </w:tcPr>
          <w:p w14:paraId="5826BE9F">
            <w:pPr>
              <w:pStyle w:val="125"/>
              <w:ind w:firstLine="0" w:firstLineChars="0"/>
              <w:rPr>
                <w:szCs w:val="21"/>
              </w:rPr>
            </w:pPr>
          </w:p>
        </w:tc>
        <w:tc>
          <w:tcPr>
            <w:tcW w:w="291" w:type="pct"/>
            <w:vAlign w:val="center"/>
          </w:tcPr>
          <w:p w14:paraId="709F3941">
            <w:pPr>
              <w:pStyle w:val="125"/>
              <w:ind w:firstLine="0" w:firstLineChars="0"/>
              <w:rPr>
                <w:szCs w:val="21"/>
              </w:rPr>
            </w:pPr>
          </w:p>
        </w:tc>
        <w:tc>
          <w:tcPr>
            <w:tcW w:w="290" w:type="pct"/>
            <w:vAlign w:val="center"/>
          </w:tcPr>
          <w:p w14:paraId="27645D3D">
            <w:pPr>
              <w:pStyle w:val="125"/>
              <w:ind w:firstLine="0" w:firstLineChars="0"/>
              <w:rPr>
                <w:szCs w:val="21"/>
              </w:rPr>
            </w:pPr>
          </w:p>
        </w:tc>
      </w:tr>
      <w:tr w14:paraId="1B2CA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7FBB5FBD">
            <w:pPr>
              <w:pStyle w:val="125"/>
              <w:ind w:firstLine="0" w:firstLineChars="0"/>
              <w:rPr>
                <w:szCs w:val="21"/>
              </w:rPr>
            </w:pPr>
            <w:r>
              <w:rPr>
                <w:rFonts w:hint="eastAsia"/>
                <w:color w:val="000000"/>
                <w:szCs w:val="21"/>
              </w:rPr>
              <w:t>8</w:t>
            </w:r>
          </w:p>
        </w:tc>
        <w:tc>
          <w:tcPr>
            <w:tcW w:w="656" w:type="pct"/>
            <w:vAlign w:val="center"/>
          </w:tcPr>
          <w:p w14:paraId="5254CAD9">
            <w:pPr>
              <w:pStyle w:val="125"/>
              <w:ind w:firstLine="0" w:firstLineChars="0"/>
              <w:rPr>
                <w:szCs w:val="21"/>
              </w:rPr>
            </w:pPr>
            <w:r>
              <w:rPr>
                <w:rFonts w:hint="eastAsia"/>
                <w:szCs w:val="21"/>
              </w:rPr>
              <w:t>替代硅石卸料堆存</w:t>
            </w:r>
          </w:p>
        </w:tc>
        <w:tc>
          <w:tcPr>
            <w:tcW w:w="241" w:type="pct"/>
            <w:vAlign w:val="center"/>
          </w:tcPr>
          <w:p w14:paraId="19F6C3F8">
            <w:pPr>
              <w:pStyle w:val="125"/>
              <w:ind w:firstLine="0" w:firstLineChars="0"/>
              <w:rPr>
                <w:szCs w:val="21"/>
              </w:rPr>
            </w:pPr>
            <w:r>
              <w:rPr>
                <w:szCs w:val="21"/>
              </w:rPr>
              <w:t>195</w:t>
            </w:r>
          </w:p>
        </w:tc>
        <w:tc>
          <w:tcPr>
            <w:tcW w:w="238" w:type="pct"/>
            <w:vAlign w:val="center"/>
          </w:tcPr>
          <w:p w14:paraId="2AC8D278">
            <w:pPr>
              <w:pStyle w:val="125"/>
              <w:ind w:firstLine="0" w:firstLineChars="0"/>
              <w:rPr>
                <w:szCs w:val="21"/>
              </w:rPr>
            </w:pPr>
            <w:r>
              <w:rPr>
                <w:szCs w:val="21"/>
              </w:rPr>
              <w:t>32</w:t>
            </w:r>
          </w:p>
        </w:tc>
        <w:tc>
          <w:tcPr>
            <w:tcW w:w="240" w:type="pct"/>
            <w:vAlign w:val="center"/>
          </w:tcPr>
          <w:p w14:paraId="753F031B">
            <w:pPr>
              <w:pStyle w:val="125"/>
              <w:ind w:firstLine="0" w:firstLineChars="0"/>
              <w:rPr>
                <w:szCs w:val="21"/>
              </w:rPr>
            </w:pPr>
            <w:r>
              <w:rPr>
                <w:szCs w:val="21"/>
              </w:rPr>
              <w:t>60</w:t>
            </w:r>
          </w:p>
        </w:tc>
        <w:tc>
          <w:tcPr>
            <w:tcW w:w="293" w:type="pct"/>
            <w:vAlign w:val="center"/>
          </w:tcPr>
          <w:p w14:paraId="0D6727E2">
            <w:pPr>
              <w:pStyle w:val="125"/>
              <w:ind w:firstLine="0" w:firstLineChars="0"/>
              <w:rPr>
                <w:szCs w:val="21"/>
              </w:rPr>
            </w:pPr>
            <w:r>
              <w:rPr>
                <w:szCs w:val="21"/>
              </w:rPr>
              <w:t>60</w:t>
            </w:r>
          </w:p>
        </w:tc>
        <w:tc>
          <w:tcPr>
            <w:tcW w:w="280" w:type="pct"/>
            <w:vAlign w:val="center"/>
          </w:tcPr>
          <w:p w14:paraId="4971D35B">
            <w:pPr>
              <w:pStyle w:val="125"/>
              <w:ind w:firstLine="0" w:firstLineChars="0"/>
              <w:rPr>
                <w:szCs w:val="21"/>
              </w:rPr>
            </w:pPr>
            <w:r>
              <w:rPr>
                <w:szCs w:val="21"/>
              </w:rPr>
              <w:t>0</w:t>
            </w:r>
          </w:p>
        </w:tc>
        <w:tc>
          <w:tcPr>
            <w:tcW w:w="259" w:type="pct"/>
            <w:vAlign w:val="center"/>
          </w:tcPr>
          <w:p w14:paraId="2EC62420">
            <w:pPr>
              <w:pStyle w:val="125"/>
              <w:ind w:firstLine="0" w:firstLineChars="0"/>
              <w:rPr>
                <w:szCs w:val="21"/>
              </w:rPr>
            </w:pPr>
            <w:r>
              <w:rPr>
                <w:rFonts w:hint="eastAsia"/>
                <w:color w:val="000000"/>
                <w:szCs w:val="21"/>
              </w:rPr>
              <w:t>10</w:t>
            </w:r>
          </w:p>
        </w:tc>
        <w:tc>
          <w:tcPr>
            <w:tcW w:w="290" w:type="pct"/>
            <w:vAlign w:val="center"/>
          </w:tcPr>
          <w:p w14:paraId="02649FD8">
            <w:pPr>
              <w:pStyle w:val="125"/>
              <w:ind w:firstLine="0" w:firstLineChars="0"/>
              <w:rPr>
                <w:szCs w:val="21"/>
              </w:rPr>
            </w:pPr>
          </w:p>
        </w:tc>
        <w:tc>
          <w:tcPr>
            <w:tcW w:w="290" w:type="pct"/>
            <w:vAlign w:val="center"/>
          </w:tcPr>
          <w:p w14:paraId="6954C821">
            <w:pPr>
              <w:pStyle w:val="125"/>
              <w:ind w:firstLine="0" w:firstLineChars="0"/>
              <w:rPr>
                <w:szCs w:val="21"/>
              </w:rPr>
            </w:pPr>
          </w:p>
        </w:tc>
        <w:tc>
          <w:tcPr>
            <w:tcW w:w="290" w:type="pct"/>
            <w:vAlign w:val="center"/>
          </w:tcPr>
          <w:p w14:paraId="748E8FB3">
            <w:pPr>
              <w:pStyle w:val="125"/>
              <w:ind w:firstLine="0" w:firstLineChars="0"/>
              <w:rPr>
                <w:szCs w:val="21"/>
              </w:rPr>
            </w:pPr>
            <w:r>
              <w:rPr>
                <w:rFonts w:hint="eastAsia"/>
                <w:color w:val="000000"/>
                <w:szCs w:val="21"/>
              </w:rPr>
              <w:t>1.37</w:t>
            </w:r>
          </w:p>
        </w:tc>
        <w:tc>
          <w:tcPr>
            <w:tcW w:w="290" w:type="pct"/>
            <w:vAlign w:val="center"/>
          </w:tcPr>
          <w:p w14:paraId="1C2BC495">
            <w:pPr>
              <w:pStyle w:val="125"/>
              <w:ind w:firstLine="0" w:firstLineChars="0"/>
              <w:rPr>
                <w:szCs w:val="21"/>
              </w:rPr>
            </w:pPr>
          </w:p>
        </w:tc>
        <w:tc>
          <w:tcPr>
            <w:tcW w:w="290" w:type="pct"/>
            <w:vAlign w:val="center"/>
          </w:tcPr>
          <w:p w14:paraId="56215A06">
            <w:pPr>
              <w:pStyle w:val="125"/>
              <w:ind w:firstLine="0" w:firstLineChars="0"/>
              <w:rPr>
                <w:szCs w:val="21"/>
              </w:rPr>
            </w:pPr>
          </w:p>
        </w:tc>
        <w:tc>
          <w:tcPr>
            <w:tcW w:w="290" w:type="pct"/>
            <w:vAlign w:val="center"/>
          </w:tcPr>
          <w:p w14:paraId="58878679">
            <w:pPr>
              <w:pStyle w:val="125"/>
              <w:ind w:firstLine="0" w:firstLineChars="0"/>
              <w:rPr>
                <w:szCs w:val="21"/>
              </w:rPr>
            </w:pPr>
          </w:p>
        </w:tc>
        <w:tc>
          <w:tcPr>
            <w:tcW w:w="291" w:type="pct"/>
            <w:vAlign w:val="center"/>
          </w:tcPr>
          <w:p w14:paraId="623EB82E">
            <w:pPr>
              <w:pStyle w:val="125"/>
              <w:ind w:firstLine="0" w:firstLineChars="0"/>
              <w:rPr>
                <w:szCs w:val="21"/>
              </w:rPr>
            </w:pPr>
          </w:p>
        </w:tc>
        <w:tc>
          <w:tcPr>
            <w:tcW w:w="291" w:type="pct"/>
            <w:vAlign w:val="center"/>
          </w:tcPr>
          <w:p w14:paraId="1C31BF55">
            <w:pPr>
              <w:pStyle w:val="125"/>
              <w:ind w:firstLine="0" w:firstLineChars="0"/>
              <w:rPr>
                <w:szCs w:val="21"/>
              </w:rPr>
            </w:pPr>
          </w:p>
        </w:tc>
        <w:tc>
          <w:tcPr>
            <w:tcW w:w="290" w:type="pct"/>
            <w:vAlign w:val="center"/>
          </w:tcPr>
          <w:p w14:paraId="3B85F12D">
            <w:pPr>
              <w:pStyle w:val="125"/>
              <w:ind w:firstLine="0" w:firstLineChars="0"/>
              <w:rPr>
                <w:szCs w:val="21"/>
              </w:rPr>
            </w:pPr>
          </w:p>
        </w:tc>
      </w:tr>
      <w:tr w14:paraId="42BBD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1C66E50E">
            <w:pPr>
              <w:pStyle w:val="125"/>
              <w:ind w:firstLine="0" w:firstLineChars="0"/>
              <w:rPr>
                <w:szCs w:val="21"/>
              </w:rPr>
            </w:pPr>
            <w:r>
              <w:rPr>
                <w:rFonts w:hint="eastAsia"/>
                <w:color w:val="000000"/>
                <w:szCs w:val="21"/>
              </w:rPr>
              <w:t>9</w:t>
            </w:r>
          </w:p>
        </w:tc>
        <w:tc>
          <w:tcPr>
            <w:tcW w:w="656" w:type="pct"/>
            <w:vAlign w:val="center"/>
          </w:tcPr>
          <w:p w14:paraId="326E1384">
            <w:pPr>
              <w:pStyle w:val="125"/>
              <w:ind w:firstLine="0" w:firstLineChars="0"/>
              <w:rPr>
                <w:szCs w:val="21"/>
              </w:rPr>
            </w:pPr>
            <w:r>
              <w:rPr>
                <w:rFonts w:hint="eastAsia"/>
                <w:szCs w:val="21"/>
              </w:rPr>
              <w:t>替代球团卸料堆存</w:t>
            </w:r>
          </w:p>
        </w:tc>
        <w:tc>
          <w:tcPr>
            <w:tcW w:w="241" w:type="pct"/>
            <w:vAlign w:val="center"/>
          </w:tcPr>
          <w:p w14:paraId="43EF8918">
            <w:pPr>
              <w:pStyle w:val="125"/>
              <w:ind w:firstLine="0" w:firstLineChars="0"/>
              <w:rPr>
                <w:szCs w:val="21"/>
              </w:rPr>
            </w:pPr>
            <w:r>
              <w:rPr>
                <w:szCs w:val="21"/>
              </w:rPr>
              <w:t>162</w:t>
            </w:r>
          </w:p>
        </w:tc>
        <w:tc>
          <w:tcPr>
            <w:tcW w:w="238" w:type="pct"/>
            <w:vAlign w:val="center"/>
          </w:tcPr>
          <w:p w14:paraId="576B24E6">
            <w:pPr>
              <w:pStyle w:val="125"/>
              <w:ind w:firstLine="0" w:firstLineChars="0"/>
              <w:rPr>
                <w:szCs w:val="21"/>
              </w:rPr>
            </w:pPr>
            <w:r>
              <w:rPr>
                <w:szCs w:val="21"/>
              </w:rPr>
              <w:t>65</w:t>
            </w:r>
          </w:p>
        </w:tc>
        <w:tc>
          <w:tcPr>
            <w:tcW w:w="240" w:type="pct"/>
            <w:vAlign w:val="center"/>
          </w:tcPr>
          <w:p w14:paraId="44737AD3">
            <w:pPr>
              <w:pStyle w:val="125"/>
              <w:ind w:firstLine="0" w:firstLineChars="0"/>
              <w:rPr>
                <w:szCs w:val="21"/>
              </w:rPr>
            </w:pPr>
            <w:r>
              <w:rPr>
                <w:szCs w:val="21"/>
              </w:rPr>
              <w:t>60</w:t>
            </w:r>
          </w:p>
        </w:tc>
        <w:tc>
          <w:tcPr>
            <w:tcW w:w="293" w:type="pct"/>
            <w:vAlign w:val="center"/>
          </w:tcPr>
          <w:p w14:paraId="1D3BC061">
            <w:pPr>
              <w:pStyle w:val="125"/>
              <w:ind w:firstLine="0" w:firstLineChars="0"/>
              <w:rPr>
                <w:szCs w:val="21"/>
              </w:rPr>
            </w:pPr>
            <w:r>
              <w:rPr>
                <w:szCs w:val="21"/>
              </w:rPr>
              <w:t>60</w:t>
            </w:r>
          </w:p>
        </w:tc>
        <w:tc>
          <w:tcPr>
            <w:tcW w:w="280" w:type="pct"/>
            <w:vAlign w:val="center"/>
          </w:tcPr>
          <w:p w14:paraId="185006E8">
            <w:pPr>
              <w:pStyle w:val="125"/>
              <w:ind w:firstLine="0" w:firstLineChars="0"/>
              <w:rPr>
                <w:szCs w:val="21"/>
              </w:rPr>
            </w:pPr>
            <w:r>
              <w:rPr>
                <w:szCs w:val="21"/>
              </w:rPr>
              <w:t>0</w:t>
            </w:r>
          </w:p>
        </w:tc>
        <w:tc>
          <w:tcPr>
            <w:tcW w:w="259" w:type="pct"/>
            <w:vAlign w:val="center"/>
          </w:tcPr>
          <w:p w14:paraId="5125B890">
            <w:pPr>
              <w:pStyle w:val="125"/>
              <w:ind w:firstLine="0" w:firstLineChars="0"/>
              <w:rPr>
                <w:szCs w:val="21"/>
              </w:rPr>
            </w:pPr>
            <w:r>
              <w:rPr>
                <w:rFonts w:hint="eastAsia"/>
                <w:color w:val="000000"/>
                <w:szCs w:val="21"/>
              </w:rPr>
              <w:t>10</w:t>
            </w:r>
          </w:p>
        </w:tc>
        <w:tc>
          <w:tcPr>
            <w:tcW w:w="290" w:type="pct"/>
            <w:vAlign w:val="center"/>
          </w:tcPr>
          <w:p w14:paraId="2F2654B0">
            <w:pPr>
              <w:pStyle w:val="125"/>
              <w:ind w:firstLine="0" w:firstLineChars="0"/>
              <w:rPr>
                <w:szCs w:val="21"/>
              </w:rPr>
            </w:pPr>
          </w:p>
        </w:tc>
        <w:tc>
          <w:tcPr>
            <w:tcW w:w="290" w:type="pct"/>
            <w:vAlign w:val="center"/>
          </w:tcPr>
          <w:p w14:paraId="6C8BBEC0">
            <w:pPr>
              <w:pStyle w:val="125"/>
              <w:ind w:firstLine="0" w:firstLineChars="0"/>
              <w:rPr>
                <w:szCs w:val="21"/>
              </w:rPr>
            </w:pPr>
          </w:p>
        </w:tc>
        <w:tc>
          <w:tcPr>
            <w:tcW w:w="290" w:type="pct"/>
            <w:vAlign w:val="center"/>
          </w:tcPr>
          <w:p w14:paraId="4821AB49">
            <w:pPr>
              <w:pStyle w:val="125"/>
              <w:ind w:firstLine="0" w:firstLineChars="0"/>
              <w:rPr>
                <w:szCs w:val="21"/>
              </w:rPr>
            </w:pPr>
            <w:r>
              <w:rPr>
                <w:rFonts w:hint="eastAsia"/>
                <w:color w:val="000000"/>
                <w:szCs w:val="21"/>
              </w:rPr>
              <w:t>0.94</w:t>
            </w:r>
          </w:p>
        </w:tc>
        <w:tc>
          <w:tcPr>
            <w:tcW w:w="290" w:type="pct"/>
            <w:vAlign w:val="center"/>
          </w:tcPr>
          <w:p w14:paraId="4EB4D9C6">
            <w:pPr>
              <w:pStyle w:val="125"/>
              <w:ind w:firstLine="0" w:firstLineChars="0"/>
              <w:rPr>
                <w:szCs w:val="21"/>
              </w:rPr>
            </w:pPr>
          </w:p>
        </w:tc>
        <w:tc>
          <w:tcPr>
            <w:tcW w:w="290" w:type="pct"/>
            <w:vAlign w:val="center"/>
          </w:tcPr>
          <w:p w14:paraId="0B135AFF">
            <w:pPr>
              <w:pStyle w:val="125"/>
              <w:ind w:firstLine="0" w:firstLineChars="0"/>
              <w:rPr>
                <w:szCs w:val="21"/>
              </w:rPr>
            </w:pPr>
          </w:p>
        </w:tc>
        <w:tc>
          <w:tcPr>
            <w:tcW w:w="290" w:type="pct"/>
            <w:vAlign w:val="center"/>
          </w:tcPr>
          <w:p w14:paraId="0096A8DB">
            <w:pPr>
              <w:pStyle w:val="125"/>
              <w:ind w:firstLine="0" w:firstLineChars="0"/>
              <w:rPr>
                <w:szCs w:val="21"/>
              </w:rPr>
            </w:pPr>
          </w:p>
        </w:tc>
        <w:tc>
          <w:tcPr>
            <w:tcW w:w="291" w:type="pct"/>
            <w:vAlign w:val="center"/>
          </w:tcPr>
          <w:p w14:paraId="2ED88039">
            <w:pPr>
              <w:pStyle w:val="125"/>
              <w:ind w:firstLine="0" w:firstLineChars="0"/>
              <w:rPr>
                <w:szCs w:val="21"/>
              </w:rPr>
            </w:pPr>
          </w:p>
        </w:tc>
        <w:tc>
          <w:tcPr>
            <w:tcW w:w="291" w:type="pct"/>
            <w:vAlign w:val="center"/>
          </w:tcPr>
          <w:p w14:paraId="484F4ECF">
            <w:pPr>
              <w:pStyle w:val="125"/>
              <w:ind w:firstLine="0" w:firstLineChars="0"/>
              <w:rPr>
                <w:szCs w:val="21"/>
              </w:rPr>
            </w:pPr>
          </w:p>
        </w:tc>
        <w:tc>
          <w:tcPr>
            <w:tcW w:w="290" w:type="pct"/>
            <w:vAlign w:val="center"/>
          </w:tcPr>
          <w:p w14:paraId="258F2515">
            <w:pPr>
              <w:pStyle w:val="125"/>
              <w:ind w:firstLine="0" w:firstLineChars="0"/>
              <w:rPr>
                <w:szCs w:val="21"/>
              </w:rPr>
            </w:pPr>
          </w:p>
        </w:tc>
      </w:tr>
      <w:tr w14:paraId="15343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3BA93E24">
            <w:pPr>
              <w:pStyle w:val="125"/>
              <w:ind w:firstLine="0" w:firstLineChars="0"/>
              <w:rPr>
                <w:szCs w:val="21"/>
              </w:rPr>
            </w:pPr>
            <w:r>
              <w:rPr>
                <w:rFonts w:hint="eastAsia"/>
                <w:color w:val="000000"/>
                <w:szCs w:val="21"/>
              </w:rPr>
              <w:t>10</w:t>
            </w:r>
          </w:p>
        </w:tc>
        <w:tc>
          <w:tcPr>
            <w:tcW w:w="656" w:type="pct"/>
            <w:vAlign w:val="center"/>
          </w:tcPr>
          <w:p w14:paraId="66C1AE36">
            <w:pPr>
              <w:pStyle w:val="125"/>
              <w:ind w:firstLine="0" w:firstLineChars="0"/>
              <w:rPr>
                <w:szCs w:val="21"/>
              </w:rPr>
            </w:pPr>
            <w:r>
              <w:rPr>
                <w:rFonts w:hint="eastAsia"/>
                <w:szCs w:val="21"/>
              </w:rPr>
              <w:t>替代硅铁生产线兰炭棚</w:t>
            </w:r>
          </w:p>
        </w:tc>
        <w:tc>
          <w:tcPr>
            <w:tcW w:w="241" w:type="pct"/>
            <w:vAlign w:val="center"/>
          </w:tcPr>
          <w:p w14:paraId="2F45443B">
            <w:pPr>
              <w:pStyle w:val="125"/>
              <w:ind w:firstLine="0" w:firstLineChars="0"/>
              <w:rPr>
                <w:szCs w:val="21"/>
              </w:rPr>
            </w:pPr>
            <w:r>
              <w:rPr>
                <w:szCs w:val="21"/>
              </w:rPr>
              <w:t>454</w:t>
            </w:r>
          </w:p>
        </w:tc>
        <w:tc>
          <w:tcPr>
            <w:tcW w:w="238" w:type="pct"/>
            <w:vAlign w:val="center"/>
          </w:tcPr>
          <w:p w14:paraId="0F575385">
            <w:pPr>
              <w:pStyle w:val="125"/>
              <w:ind w:firstLine="0" w:firstLineChars="0"/>
              <w:rPr>
                <w:szCs w:val="21"/>
              </w:rPr>
            </w:pPr>
            <w:r>
              <w:rPr>
                <w:szCs w:val="21"/>
              </w:rPr>
              <w:t>42</w:t>
            </w:r>
          </w:p>
        </w:tc>
        <w:tc>
          <w:tcPr>
            <w:tcW w:w="240" w:type="pct"/>
            <w:vAlign w:val="center"/>
          </w:tcPr>
          <w:p w14:paraId="242BBEC1">
            <w:pPr>
              <w:pStyle w:val="125"/>
              <w:ind w:firstLine="0" w:firstLineChars="0"/>
              <w:rPr>
                <w:szCs w:val="21"/>
              </w:rPr>
            </w:pPr>
            <w:r>
              <w:rPr>
                <w:szCs w:val="21"/>
              </w:rPr>
              <w:t>82</w:t>
            </w:r>
          </w:p>
        </w:tc>
        <w:tc>
          <w:tcPr>
            <w:tcW w:w="293" w:type="pct"/>
            <w:vAlign w:val="center"/>
          </w:tcPr>
          <w:p w14:paraId="3D41B6C0">
            <w:pPr>
              <w:pStyle w:val="125"/>
              <w:ind w:firstLine="0" w:firstLineChars="0"/>
              <w:rPr>
                <w:szCs w:val="21"/>
              </w:rPr>
            </w:pPr>
            <w:r>
              <w:rPr>
                <w:szCs w:val="21"/>
              </w:rPr>
              <w:t>98</w:t>
            </w:r>
          </w:p>
        </w:tc>
        <w:tc>
          <w:tcPr>
            <w:tcW w:w="280" w:type="pct"/>
            <w:vAlign w:val="center"/>
          </w:tcPr>
          <w:p w14:paraId="1D0CA5EA">
            <w:pPr>
              <w:pStyle w:val="125"/>
              <w:ind w:firstLine="0" w:firstLineChars="0"/>
              <w:rPr>
                <w:szCs w:val="21"/>
              </w:rPr>
            </w:pPr>
            <w:r>
              <w:rPr>
                <w:szCs w:val="21"/>
              </w:rPr>
              <w:t>0</w:t>
            </w:r>
          </w:p>
        </w:tc>
        <w:tc>
          <w:tcPr>
            <w:tcW w:w="259" w:type="pct"/>
            <w:vAlign w:val="center"/>
          </w:tcPr>
          <w:p w14:paraId="0945C466">
            <w:pPr>
              <w:pStyle w:val="125"/>
              <w:ind w:firstLine="0" w:firstLineChars="0"/>
              <w:rPr>
                <w:szCs w:val="21"/>
              </w:rPr>
            </w:pPr>
            <w:r>
              <w:rPr>
                <w:rFonts w:hint="eastAsia"/>
                <w:color w:val="000000"/>
                <w:szCs w:val="21"/>
              </w:rPr>
              <w:t>10</w:t>
            </w:r>
          </w:p>
        </w:tc>
        <w:tc>
          <w:tcPr>
            <w:tcW w:w="290" w:type="pct"/>
            <w:vAlign w:val="center"/>
          </w:tcPr>
          <w:p w14:paraId="548C2DFB">
            <w:pPr>
              <w:pStyle w:val="1086"/>
              <w:ind w:firstLine="368"/>
              <w:rPr>
                <w:rFonts w:cs="Times New Roman"/>
                <w:szCs w:val="21"/>
              </w:rPr>
            </w:pPr>
          </w:p>
        </w:tc>
        <w:tc>
          <w:tcPr>
            <w:tcW w:w="290" w:type="pct"/>
            <w:vAlign w:val="center"/>
          </w:tcPr>
          <w:p w14:paraId="20CCE77A">
            <w:pPr>
              <w:pStyle w:val="1086"/>
              <w:ind w:firstLine="368"/>
              <w:rPr>
                <w:rFonts w:cs="Times New Roman"/>
                <w:szCs w:val="21"/>
              </w:rPr>
            </w:pPr>
          </w:p>
        </w:tc>
        <w:tc>
          <w:tcPr>
            <w:tcW w:w="290" w:type="pct"/>
            <w:vAlign w:val="center"/>
          </w:tcPr>
          <w:p w14:paraId="6FD8FF5F">
            <w:pPr>
              <w:pStyle w:val="125"/>
              <w:ind w:firstLine="0" w:firstLineChars="0"/>
              <w:rPr>
                <w:szCs w:val="21"/>
              </w:rPr>
            </w:pPr>
            <w:r>
              <w:rPr>
                <w:rFonts w:hint="eastAsia"/>
                <w:color w:val="000000"/>
                <w:szCs w:val="21"/>
              </w:rPr>
              <w:t>3.16</w:t>
            </w:r>
          </w:p>
        </w:tc>
        <w:tc>
          <w:tcPr>
            <w:tcW w:w="290" w:type="pct"/>
            <w:vAlign w:val="center"/>
          </w:tcPr>
          <w:p w14:paraId="72C9C75C">
            <w:pPr>
              <w:pStyle w:val="125"/>
              <w:ind w:firstLine="0" w:firstLineChars="0"/>
              <w:rPr>
                <w:szCs w:val="21"/>
              </w:rPr>
            </w:pPr>
          </w:p>
        </w:tc>
        <w:tc>
          <w:tcPr>
            <w:tcW w:w="290" w:type="pct"/>
            <w:vAlign w:val="center"/>
          </w:tcPr>
          <w:p w14:paraId="41F20B55">
            <w:pPr>
              <w:pStyle w:val="125"/>
              <w:ind w:firstLine="0" w:firstLineChars="0"/>
              <w:rPr>
                <w:szCs w:val="21"/>
              </w:rPr>
            </w:pPr>
          </w:p>
        </w:tc>
        <w:tc>
          <w:tcPr>
            <w:tcW w:w="290" w:type="pct"/>
            <w:vAlign w:val="center"/>
          </w:tcPr>
          <w:p w14:paraId="7DA99FE8">
            <w:pPr>
              <w:pStyle w:val="125"/>
              <w:ind w:firstLine="0" w:firstLineChars="0"/>
              <w:rPr>
                <w:szCs w:val="21"/>
              </w:rPr>
            </w:pPr>
          </w:p>
        </w:tc>
        <w:tc>
          <w:tcPr>
            <w:tcW w:w="291" w:type="pct"/>
            <w:vAlign w:val="center"/>
          </w:tcPr>
          <w:p w14:paraId="6F6873ED">
            <w:pPr>
              <w:pStyle w:val="125"/>
              <w:ind w:firstLine="0" w:firstLineChars="0"/>
              <w:rPr>
                <w:szCs w:val="21"/>
              </w:rPr>
            </w:pPr>
          </w:p>
        </w:tc>
        <w:tc>
          <w:tcPr>
            <w:tcW w:w="291" w:type="pct"/>
            <w:vAlign w:val="center"/>
          </w:tcPr>
          <w:p w14:paraId="114D7904">
            <w:pPr>
              <w:pStyle w:val="125"/>
              <w:ind w:firstLine="0" w:firstLineChars="0"/>
              <w:rPr>
                <w:szCs w:val="21"/>
              </w:rPr>
            </w:pPr>
          </w:p>
        </w:tc>
        <w:tc>
          <w:tcPr>
            <w:tcW w:w="290" w:type="pct"/>
            <w:vAlign w:val="center"/>
          </w:tcPr>
          <w:p w14:paraId="6428599B">
            <w:pPr>
              <w:pStyle w:val="125"/>
              <w:ind w:firstLine="0" w:firstLineChars="0"/>
              <w:rPr>
                <w:szCs w:val="21"/>
              </w:rPr>
            </w:pPr>
          </w:p>
        </w:tc>
      </w:tr>
      <w:tr w14:paraId="137D5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0EAD4397">
            <w:pPr>
              <w:pStyle w:val="125"/>
              <w:ind w:firstLine="0" w:firstLineChars="0"/>
              <w:rPr>
                <w:szCs w:val="21"/>
              </w:rPr>
            </w:pPr>
            <w:r>
              <w:rPr>
                <w:rFonts w:hint="eastAsia"/>
                <w:color w:val="000000"/>
                <w:szCs w:val="21"/>
              </w:rPr>
              <w:t>11</w:t>
            </w:r>
          </w:p>
        </w:tc>
        <w:tc>
          <w:tcPr>
            <w:tcW w:w="656" w:type="pct"/>
            <w:vAlign w:val="center"/>
          </w:tcPr>
          <w:p w14:paraId="2806AFC1">
            <w:pPr>
              <w:pStyle w:val="125"/>
              <w:ind w:firstLine="0" w:firstLineChars="0"/>
              <w:rPr>
                <w:szCs w:val="21"/>
              </w:rPr>
            </w:pPr>
            <w:r>
              <w:rPr>
                <w:rFonts w:hint="eastAsia"/>
                <w:szCs w:val="21"/>
              </w:rPr>
              <w:t>替代硅铁上料</w:t>
            </w:r>
          </w:p>
        </w:tc>
        <w:tc>
          <w:tcPr>
            <w:tcW w:w="241" w:type="pct"/>
            <w:vAlign w:val="center"/>
          </w:tcPr>
          <w:p w14:paraId="239145EC">
            <w:pPr>
              <w:pStyle w:val="125"/>
              <w:ind w:firstLine="0" w:firstLineChars="0"/>
              <w:rPr>
                <w:szCs w:val="21"/>
              </w:rPr>
            </w:pPr>
            <w:r>
              <w:rPr>
                <w:szCs w:val="21"/>
              </w:rPr>
              <w:t>454</w:t>
            </w:r>
          </w:p>
        </w:tc>
        <w:tc>
          <w:tcPr>
            <w:tcW w:w="238" w:type="pct"/>
            <w:vAlign w:val="center"/>
          </w:tcPr>
          <w:p w14:paraId="17343B2A">
            <w:pPr>
              <w:pStyle w:val="125"/>
              <w:ind w:firstLine="0" w:firstLineChars="0"/>
              <w:rPr>
                <w:szCs w:val="21"/>
              </w:rPr>
            </w:pPr>
            <w:r>
              <w:rPr>
                <w:szCs w:val="21"/>
              </w:rPr>
              <w:t>0</w:t>
            </w:r>
          </w:p>
        </w:tc>
        <w:tc>
          <w:tcPr>
            <w:tcW w:w="240" w:type="pct"/>
            <w:vAlign w:val="center"/>
          </w:tcPr>
          <w:p w14:paraId="49CE7839">
            <w:pPr>
              <w:pStyle w:val="125"/>
              <w:ind w:firstLine="0" w:firstLineChars="0"/>
              <w:rPr>
                <w:szCs w:val="21"/>
              </w:rPr>
            </w:pPr>
            <w:r>
              <w:rPr>
                <w:szCs w:val="21"/>
              </w:rPr>
              <w:t>35</w:t>
            </w:r>
          </w:p>
        </w:tc>
        <w:tc>
          <w:tcPr>
            <w:tcW w:w="293" w:type="pct"/>
            <w:vAlign w:val="center"/>
          </w:tcPr>
          <w:p w14:paraId="10E704DE">
            <w:pPr>
              <w:pStyle w:val="125"/>
              <w:ind w:firstLine="0" w:firstLineChars="0"/>
              <w:rPr>
                <w:szCs w:val="21"/>
              </w:rPr>
            </w:pPr>
            <w:r>
              <w:rPr>
                <w:szCs w:val="21"/>
              </w:rPr>
              <w:t>10</w:t>
            </w:r>
          </w:p>
        </w:tc>
        <w:tc>
          <w:tcPr>
            <w:tcW w:w="280" w:type="pct"/>
            <w:vAlign w:val="center"/>
          </w:tcPr>
          <w:p w14:paraId="09B26A2E">
            <w:pPr>
              <w:pStyle w:val="125"/>
              <w:ind w:firstLine="0" w:firstLineChars="0"/>
              <w:rPr>
                <w:szCs w:val="21"/>
              </w:rPr>
            </w:pPr>
            <w:r>
              <w:rPr>
                <w:szCs w:val="21"/>
              </w:rPr>
              <w:t>0</w:t>
            </w:r>
          </w:p>
        </w:tc>
        <w:tc>
          <w:tcPr>
            <w:tcW w:w="259" w:type="pct"/>
            <w:vAlign w:val="center"/>
          </w:tcPr>
          <w:p w14:paraId="1CA01CA9">
            <w:pPr>
              <w:pStyle w:val="125"/>
              <w:ind w:firstLine="0" w:firstLineChars="0"/>
              <w:rPr>
                <w:szCs w:val="21"/>
              </w:rPr>
            </w:pPr>
            <w:r>
              <w:rPr>
                <w:rFonts w:hint="eastAsia"/>
                <w:color w:val="000000"/>
                <w:szCs w:val="21"/>
              </w:rPr>
              <w:t>10</w:t>
            </w:r>
          </w:p>
        </w:tc>
        <w:tc>
          <w:tcPr>
            <w:tcW w:w="290" w:type="pct"/>
            <w:vAlign w:val="center"/>
          </w:tcPr>
          <w:p w14:paraId="457850D7">
            <w:pPr>
              <w:pStyle w:val="1086"/>
              <w:ind w:firstLine="368"/>
              <w:rPr>
                <w:rFonts w:cs="Times New Roman"/>
                <w:szCs w:val="21"/>
              </w:rPr>
            </w:pPr>
          </w:p>
        </w:tc>
        <w:tc>
          <w:tcPr>
            <w:tcW w:w="290" w:type="pct"/>
            <w:vAlign w:val="center"/>
          </w:tcPr>
          <w:p w14:paraId="33C232F4">
            <w:pPr>
              <w:pStyle w:val="1086"/>
              <w:ind w:firstLine="368"/>
              <w:rPr>
                <w:rFonts w:cs="Times New Roman"/>
                <w:szCs w:val="21"/>
              </w:rPr>
            </w:pPr>
          </w:p>
        </w:tc>
        <w:tc>
          <w:tcPr>
            <w:tcW w:w="290" w:type="pct"/>
            <w:vAlign w:val="center"/>
          </w:tcPr>
          <w:p w14:paraId="3C29953B">
            <w:pPr>
              <w:pStyle w:val="125"/>
              <w:ind w:firstLine="0" w:firstLineChars="0"/>
              <w:rPr>
                <w:szCs w:val="21"/>
              </w:rPr>
            </w:pPr>
            <w:r>
              <w:rPr>
                <w:rFonts w:hint="eastAsia"/>
                <w:color w:val="000000"/>
                <w:szCs w:val="21"/>
              </w:rPr>
              <w:t>0.01</w:t>
            </w:r>
          </w:p>
        </w:tc>
        <w:tc>
          <w:tcPr>
            <w:tcW w:w="290" w:type="pct"/>
            <w:vAlign w:val="center"/>
          </w:tcPr>
          <w:p w14:paraId="224EC310">
            <w:pPr>
              <w:pStyle w:val="125"/>
              <w:ind w:firstLine="0" w:firstLineChars="0"/>
              <w:rPr>
                <w:szCs w:val="21"/>
              </w:rPr>
            </w:pPr>
          </w:p>
        </w:tc>
        <w:tc>
          <w:tcPr>
            <w:tcW w:w="290" w:type="pct"/>
            <w:vAlign w:val="center"/>
          </w:tcPr>
          <w:p w14:paraId="429E135B">
            <w:pPr>
              <w:pStyle w:val="125"/>
              <w:ind w:firstLine="0" w:firstLineChars="0"/>
              <w:rPr>
                <w:szCs w:val="21"/>
              </w:rPr>
            </w:pPr>
          </w:p>
        </w:tc>
        <w:tc>
          <w:tcPr>
            <w:tcW w:w="290" w:type="pct"/>
            <w:vAlign w:val="center"/>
          </w:tcPr>
          <w:p w14:paraId="45595C08">
            <w:pPr>
              <w:pStyle w:val="125"/>
              <w:ind w:firstLine="0" w:firstLineChars="0"/>
              <w:rPr>
                <w:szCs w:val="21"/>
              </w:rPr>
            </w:pPr>
          </w:p>
        </w:tc>
        <w:tc>
          <w:tcPr>
            <w:tcW w:w="291" w:type="pct"/>
            <w:vAlign w:val="center"/>
          </w:tcPr>
          <w:p w14:paraId="102C6DCF">
            <w:pPr>
              <w:pStyle w:val="125"/>
              <w:ind w:firstLine="0" w:firstLineChars="0"/>
              <w:rPr>
                <w:szCs w:val="21"/>
              </w:rPr>
            </w:pPr>
          </w:p>
        </w:tc>
        <w:tc>
          <w:tcPr>
            <w:tcW w:w="291" w:type="pct"/>
            <w:vAlign w:val="center"/>
          </w:tcPr>
          <w:p w14:paraId="2799BC31">
            <w:pPr>
              <w:pStyle w:val="125"/>
              <w:ind w:firstLine="0" w:firstLineChars="0"/>
              <w:rPr>
                <w:szCs w:val="21"/>
              </w:rPr>
            </w:pPr>
          </w:p>
        </w:tc>
        <w:tc>
          <w:tcPr>
            <w:tcW w:w="290" w:type="pct"/>
            <w:vAlign w:val="center"/>
          </w:tcPr>
          <w:p w14:paraId="4FD57566">
            <w:pPr>
              <w:pStyle w:val="125"/>
              <w:ind w:firstLine="0" w:firstLineChars="0"/>
              <w:rPr>
                <w:szCs w:val="21"/>
              </w:rPr>
            </w:pPr>
          </w:p>
        </w:tc>
      </w:tr>
      <w:tr w14:paraId="6F057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4B3CF9CD">
            <w:pPr>
              <w:pStyle w:val="125"/>
              <w:ind w:firstLine="0" w:firstLineChars="0"/>
              <w:rPr>
                <w:szCs w:val="21"/>
              </w:rPr>
            </w:pPr>
            <w:r>
              <w:rPr>
                <w:rFonts w:hint="eastAsia"/>
                <w:color w:val="000000"/>
                <w:szCs w:val="21"/>
              </w:rPr>
              <w:t>12</w:t>
            </w:r>
          </w:p>
        </w:tc>
        <w:tc>
          <w:tcPr>
            <w:tcW w:w="656" w:type="pct"/>
            <w:vAlign w:val="center"/>
          </w:tcPr>
          <w:p w14:paraId="7D4811B9">
            <w:pPr>
              <w:pStyle w:val="125"/>
              <w:ind w:firstLine="0" w:firstLineChars="0"/>
              <w:rPr>
                <w:szCs w:val="21"/>
              </w:rPr>
            </w:pPr>
            <w:r>
              <w:rPr>
                <w:rFonts w:hint="eastAsia"/>
                <w:szCs w:val="21"/>
              </w:rPr>
              <w:t>替代矿热炉</w:t>
            </w:r>
          </w:p>
        </w:tc>
        <w:tc>
          <w:tcPr>
            <w:tcW w:w="241" w:type="pct"/>
            <w:vAlign w:val="center"/>
          </w:tcPr>
          <w:p w14:paraId="50DCE7C2">
            <w:pPr>
              <w:pStyle w:val="125"/>
              <w:ind w:firstLine="0" w:firstLineChars="0"/>
              <w:rPr>
                <w:szCs w:val="21"/>
              </w:rPr>
            </w:pPr>
            <w:r>
              <w:rPr>
                <w:szCs w:val="21"/>
              </w:rPr>
              <w:t>454</w:t>
            </w:r>
          </w:p>
        </w:tc>
        <w:tc>
          <w:tcPr>
            <w:tcW w:w="238" w:type="pct"/>
            <w:vAlign w:val="center"/>
          </w:tcPr>
          <w:p w14:paraId="45B3D990">
            <w:pPr>
              <w:pStyle w:val="125"/>
              <w:ind w:firstLine="0" w:firstLineChars="0"/>
              <w:rPr>
                <w:szCs w:val="21"/>
              </w:rPr>
            </w:pPr>
            <w:r>
              <w:rPr>
                <w:szCs w:val="21"/>
              </w:rPr>
              <w:t>-33</w:t>
            </w:r>
          </w:p>
        </w:tc>
        <w:tc>
          <w:tcPr>
            <w:tcW w:w="240" w:type="pct"/>
            <w:vAlign w:val="center"/>
          </w:tcPr>
          <w:p w14:paraId="1FAE4C38">
            <w:pPr>
              <w:pStyle w:val="125"/>
              <w:ind w:firstLine="0" w:firstLineChars="0"/>
              <w:rPr>
                <w:szCs w:val="21"/>
              </w:rPr>
            </w:pPr>
            <w:r>
              <w:rPr>
                <w:szCs w:val="21"/>
              </w:rPr>
              <w:t>37</w:t>
            </w:r>
          </w:p>
        </w:tc>
        <w:tc>
          <w:tcPr>
            <w:tcW w:w="293" w:type="pct"/>
            <w:vAlign w:val="center"/>
          </w:tcPr>
          <w:p w14:paraId="7CAED130">
            <w:pPr>
              <w:pStyle w:val="125"/>
              <w:ind w:firstLine="0" w:firstLineChars="0"/>
              <w:rPr>
                <w:szCs w:val="21"/>
              </w:rPr>
            </w:pPr>
            <w:r>
              <w:rPr>
                <w:szCs w:val="21"/>
              </w:rPr>
              <w:t>80</w:t>
            </w:r>
          </w:p>
        </w:tc>
        <w:tc>
          <w:tcPr>
            <w:tcW w:w="280" w:type="pct"/>
            <w:vAlign w:val="center"/>
          </w:tcPr>
          <w:p w14:paraId="599C1E44">
            <w:pPr>
              <w:pStyle w:val="125"/>
              <w:ind w:firstLine="0" w:firstLineChars="0"/>
              <w:rPr>
                <w:szCs w:val="21"/>
              </w:rPr>
            </w:pPr>
            <w:r>
              <w:rPr>
                <w:szCs w:val="21"/>
              </w:rPr>
              <w:t>0</w:t>
            </w:r>
          </w:p>
        </w:tc>
        <w:tc>
          <w:tcPr>
            <w:tcW w:w="259" w:type="pct"/>
            <w:vAlign w:val="center"/>
          </w:tcPr>
          <w:p w14:paraId="5541EC0C">
            <w:pPr>
              <w:pStyle w:val="125"/>
              <w:ind w:firstLine="0" w:firstLineChars="0"/>
              <w:rPr>
                <w:szCs w:val="21"/>
              </w:rPr>
            </w:pPr>
            <w:r>
              <w:rPr>
                <w:rFonts w:hint="eastAsia"/>
                <w:color w:val="000000"/>
                <w:szCs w:val="21"/>
              </w:rPr>
              <w:t>10</w:t>
            </w:r>
          </w:p>
        </w:tc>
        <w:tc>
          <w:tcPr>
            <w:tcW w:w="290" w:type="pct"/>
            <w:vAlign w:val="center"/>
          </w:tcPr>
          <w:p w14:paraId="5D095DED">
            <w:pPr>
              <w:pStyle w:val="1086"/>
              <w:ind w:firstLine="368"/>
              <w:rPr>
                <w:rFonts w:cs="Times New Roman"/>
                <w:szCs w:val="21"/>
              </w:rPr>
            </w:pPr>
            <w:r>
              <w:rPr>
                <w:rFonts w:hint="eastAsia" w:cs="Times New Roman"/>
                <w:szCs w:val="21"/>
              </w:rPr>
              <w:t>2.07</w:t>
            </w:r>
          </w:p>
        </w:tc>
        <w:tc>
          <w:tcPr>
            <w:tcW w:w="290" w:type="pct"/>
            <w:vAlign w:val="center"/>
          </w:tcPr>
          <w:p w14:paraId="4B653792">
            <w:pPr>
              <w:pStyle w:val="1086"/>
              <w:ind w:firstLine="368"/>
              <w:rPr>
                <w:rFonts w:cs="Times New Roman"/>
                <w:szCs w:val="21"/>
              </w:rPr>
            </w:pPr>
            <w:r>
              <w:rPr>
                <w:rFonts w:hint="eastAsia" w:cs="Times New Roman"/>
                <w:szCs w:val="21"/>
              </w:rPr>
              <w:t>1.08</w:t>
            </w:r>
          </w:p>
        </w:tc>
        <w:tc>
          <w:tcPr>
            <w:tcW w:w="290" w:type="pct"/>
            <w:vAlign w:val="center"/>
          </w:tcPr>
          <w:p w14:paraId="0511BA27">
            <w:pPr>
              <w:pStyle w:val="125"/>
              <w:ind w:firstLine="0" w:firstLineChars="0"/>
              <w:rPr>
                <w:szCs w:val="21"/>
              </w:rPr>
            </w:pPr>
            <w:r>
              <w:rPr>
                <w:rFonts w:hint="eastAsia"/>
                <w:color w:val="000000"/>
                <w:szCs w:val="21"/>
              </w:rPr>
              <w:t>0.57</w:t>
            </w:r>
          </w:p>
        </w:tc>
        <w:tc>
          <w:tcPr>
            <w:tcW w:w="290" w:type="pct"/>
            <w:vAlign w:val="center"/>
          </w:tcPr>
          <w:p w14:paraId="141F230B">
            <w:pPr>
              <w:pStyle w:val="125"/>
              <w:ind w:firstLine="0" w:firstLineChars="0"/>
              <w:rPr>
                <w:szCs w:val="21"/>
              </w:rPr>
            </w:pPr>
          </w:p>
        </w:tc>
        <w:tc>
          <w:tcPr>
            <w:tcW w:w="290" w:type="pct"/>
            <w:vAlign w:val="center"/>
          </w:tcPr>
          <w:p w14:paraId="09900B4E">
            <w:pPr>
              <w:pStyle w:val="125"/>
              <w:ind w:firstLine="0" w:firstLineChars="0"/>
              <w:rPr>
                <w:szCs w:val="21"/>
              </w:rPr>
            </w:pPr>
          </w:p>
        </w:tc>
        <w:tc>
          <w:tcPr>
            <w:tcW w:w="290" w:type="pct"/>
            <w:vAlign w:val="center"/>
          </w:tcPr>
          <w:p w14:paraId="760E6C8D">
            <w:pPr>
              <w:pStyle w:val="125"/>
              <w:ind w:firstLine="0" w:firstLineChars="0"/>
              <w:rPr>
                <w:szCs w:val="21"/>
              </w:rPr>
            </w:pPr>
          </w:p>
        </w:tc>
        <w:tc>
          <w:tcPr>
            <w:tcW w:w="291" w:type="pct"/>
            <w:vAlign w:val="center"/>
          </w:tcPr>
          <w:p w14:paraId="2267466D">
            <w:pPr>
              <w:pStyle w:val="125"/>
              <w:ind w:firstLine="0" w:firstLineChars="0"/>
              <w:rPr>
                <w:szCs w:val="21"/>
              </w:rPr>
            </w:pPr>
          </w:p>
        </w:tc>
        <w:tc>
          <w:tcPr>
            <w:tcW w:w="291" w:type="pct"/>
            <w:vAlign w:val="center"/>
          </w:tcPr>
          <w:p w14:paraId="3150C6AB">
            <w:pPr>
              <w:pStyle w:val="125"/>
              <w:ind w:firstLine="0" w:firstLineChars="0"/>
              <w:rPr>
                <w:szCs w:val="21"/>
              </w:rPr>
            </w:pPr>
          </w:p>
        </w:tc>
        <w:tc>
          <w:tcPr>
            <w:tcW w:w="290" w:type="pct"/>
            <w:vAlign w:val="center"/>
          </w:tcPr>
          <w:p w14:paraId="02E25981">
            <w:pPr>
              <w:pStyle w:val="125"/>
              <w:ind w:firstLine="0" w:firstLineChars="0"/>
              <w:rPr>
                <w:szCs w:val="21"/>
              </w:rPr>
            </w:pPr>
          </w:p>
        </w:tc>
      </w:tr>
      <w:tr w14:paraId="5E2F9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3FD86406">
            <w:pPr>
              <w:pStyle w:val="125"/>
              <w:ind w:firstLine="0" w:firstLineChars="0"/>
              <w:rPr>
                <w:szCs w:val="21"/>
              </w:rPr>
            </w:pPr>
            <w:r>
              <w:rPr>
                <w:rFonts w:hint="eastAsia"/>
                <w:color w:val="000000"/>
                <w:szCs w:val="21"/>
              </w:rPr>
              <w:t>13</w:t>
            </w:r>
          </w:p>
        </w:tc>
        <w:tc>
          <w:tcPr>
            <w:tcW w:w="656" w:type="pct"/>
            <w:vAlign w:val="center"/>
          </w:tcPr>
          <w:p w14:paraId="6B8208A1">
            <w:pPr>
              <w:pStyle w:val="125"/>
              <w:ind w:firstLine="0" w:firstLineChars="0"/>
              <w:rPr>
                <w:szCs w:val="21"/>
              </w:rPr>
            </w:pPr>
            <w:r>
              <w:rPr>
                <w:rFonts w:hint="eastAsia"/>
                <w:szCs w:val="21"/>
              </w:rPr>
              <w:t>替代出铁浇铸</w:t>
            </w:r>
          </w:p>
        </w:tc>
        <w:tc>
          <w:tcPr>
            <w:tcW w:w="241" w:type="pct"/>
            <w:vAlign w:val="center"/>
          </w:tcPr>
          <w:p w14:paraId="7691E925">
            <w:pPr>
              <w:pStyle w:val="125"/>
              <w:ind w:firstLine="0" w:firstLineChars="0"/>
              <w:rPr>
                <w:szCs w:val="21"/>
              </w:rPr>
            </w:pPr>
            <w:r>
              <w:rPr>
                <w:szCs w:val="21"/>
              </w:rPr>
              <w:t>130</w:t>
            </w:r>
          </w:p>
        </w:tc>
        <w:tc>
          <w:tcPr>
            <w:tcW w:w="238" w:type="pct"/>
            <w:vAlign w:val="center"/>
          </w:tcPr>
          <w:p w14:paraId="56AA1691">
            <w:pPr>
              <w:pStyle w:val="125"/>
              <w:ind w:firstLine="0" w:firstLineChars="0"/>
              <w:rPr>
                <w:szCs w:val="21"/>
              </w:rPr>
            </w:pPr>
            <w:r>
              <w:rPr>
                <w:szCs w:val="21"/>
              </w:rPr>
              <w:t>65</w:t>
            </w:r>
          </w:p>
        </w:tc>
        <w:tc>
          <w:tcPr>
            <w:tcW w:w="240" w:type="pct"/>
            <w:vAlign w:val="center"/>
          </w:tcPr>
          <w:p w14:paraId="5630A8B1">
            <w:pPr>
              <w:pStyle w:val="125"/>
              <w:ind w:firstLine="0" w:firstLineChars="0"/>
              <w:rPr>
                <w:szCs w:val="21"/>
              </w:rPr>
            </w:pPr>
            <w:r>
              <w:rPr>
                <w:szCs w:val="21"/>
              </w:rPr>
              <w:t>80</w:t>
            </w:r>
          </w:p>
        </w:tc>
        <w:tc>
          <w:tcPr>
            <w:tcW w:w="293" w:type="pct"/>
            <w:vAlign w:val="center"/>
          </w:tcPr>
          <w:p w14:paraId="23C47D59">
            <w:pPr>
              <w:pStyle w:val="125"/>
              <w:ind w:firstLine="0" w:firstLineChars="0"/>
              <w:rPr>
                <w:szCs w:val="21"/>
              </w:rPr>
            </w:pPr>
            <w:r>
              <w:rPr>
                <w:szCs w:val="21"/>
              </w:rPr>
              <w:t>57</w:t>
            </w:r>
          </w:p>
        </w:tc>
        <w:tc>
          <w:tcPr>
            <w:tcW w:w="280" w:type="pct"/>
            <w:vAlign w:val="center"/>
          </w:tcPr>
          <w:p w14:paraId="44097A27">
            <w:pPr>
              <w:pStyle w:val="125"/>
              <w:ind w:firstLine="0" w:firstLineChars="0"/>
              <w:rPr>
                <w:szCs w:val="21"/>
              </w:rPr>
            </w:pPr>
            <w:r>
              <w:rPr>
                <w:szCs w:val="21"/>
              </w:rPr>
              <w:t>0</w:t>
            </w:r>
          </w:p>
        </w:tc>
        <w:tc>
          <w:tcPr>
            <w:tcW w:w="259" w:type="pct"/>
            <w:vAlign w:val="center"/>
          </w:tcPr>
          <w:p w14:paraId="3A9FF433">
            <w:pPr>
              <w:pStyle w:val="125"/>
              <w:ind w:firstLine="0" w:firstLineChars="0"/>
              <w:rPr>
                <w:szCs w:val="21"/>
              </w:rPr>
            </w:pPr>
            <w:r>
              <w:rPr>
                <w:rFonts w:hint="eastAsia"/>
                <w:color w:val="000000"/>
                <w:szCs w:val="21"/>
              </w:rPr>
              <w:t>10</w:t>
            </w:r>
          </w:p>
        </w:tc>
        <w:tc>
          <w:tcPr>
            <w:tcW w:w="290" w:type="pct"/>
            <w:vAlign w:val="center"/>
          </w:tcPr>
          <w:p w14:paraId="25680DB0">
            <w:pPr>
              <w:pStyle w:val="125"/>
              <w:ind w:firstLine="0" w:firstLineChars="0"/>
              <w:rPr>
                <w:szCs w:val="21"/>
              </w:rPr>
            </w:pPr>
          </w:p>
        </w:tc>
        <w:tc>
          <w:tcPr>
            <w:tcW w:w="290" w:type="pct"/>
            <w:vAlign w:val="center"/>
          </w:tcPr>
          <w:p w14:paraId="23E1E584">
            <w:pPr>
              <w:pStyle w:val="125"/>
              <w:ind w:firstLine="0" w:firstLineChars="0"/>
              <w:rPr>
                <w:szCs w:val="21"/>
              </w:rPr>
            </w:pPr>
          </w:p>
        </w:tc>
        <w:tc>
          <w:tcPr>
            <w:tcW w:w="290" w:type="pct"/>
            <w:vAlign w:val="center"/>
          </w:tcPr>
          <w:p w14:paraId="2C2EC4DB">
            <w:pPr>
              <w:pStyle w:val="125"/>
              <w:ind w:firstLine="0" w:firstLineChars="0"/>
              <w:rPr>
                <w:szCs w:val="21"/>
              </w:rPr>
            </w:pPr>
            <w:r>
              <w:rPr>
                <w:rFonts w:hint="eastAsia"/>
                <w:color w:val="000000"/>
                <w:szCs w:val="21"/>
              </w:rPr>
              <w:t>0.11</w:t>
            </w:r>
          </w:p>
        </w:tc>
        <w:tc>
          <w:tcPr>
            <w:tcW w:w="290" w:type="pct"/>
            <w:vAlign w:val="center"/>
          </w:tcPr>
          <w:p w14:paraId="1942DF7A">
            <w:pPr>
              <w:pStyle w:val="125"/>
              <w:ind w:firstLine="0" w:firstLineChars="0"/>
              <w:rPr>
                <w:szCs w:val="21"/>
              </w:rPr>
            </w:pPr>
          </w:p>
        </w:tc>
        <w:tc>
          <w:tcPr>
            <w:tcW w:w="290" w:type="pct"/>
            <w:vAlign w:val="center"/>
          </w:tcPr>
          <w:p w14:paraId="3583FD99">
            <w:pPr>
              <w:pStyle w:val="125"/>
              <w:ind w:firstLine="0" w:firstLineChars="0"/>
              <w:rPr>
                <w:szCs w:val="21"/>
              </w:rPr>
            </w:pPr>
          </w:p>
        </w:tc>
        <w:tc>
          <w:tcPr>
            <w:tcW w:w="290" w:type="pct"/>
            <w:vAlign w:val="center"/>
          </w:tcPr>
          <w:p w14:paraId="23A4ABDA">
            <w:pPr>
              <w:pStyle w:val="125"/>
              <w:ind w:firstLine="0" w:firstLineChars="0"/>
              <w:rPr>
                <w:szCs w:val="21"/>
              </w:rPr>
            </w:pPr>
          </w:p>
        </w:tc>
        <w:tc>
          <w:tcPr>
            <w:tcW w:w="291" w:type="pct"/>
            <w:vAlign w:val="center"/>
          </w:tcPr>
          <w:p w14:paraId="7F6198CB">
            <w:pPr>
              <w:pStyle w:val="125"/>
              <w:ind w:firstLine="0" w:firstLineChars="0"/>
              <w:rPr>
                <w:szCs w:val="21"/>
              </w:rPr>
            </w:pPr>
          </w:p>
        </w:tc>
        <w:tc>
          <w:tcPr>
            <w:tcW w:w="291" w:type="pct"/>
            <w:vAlign w:val="center"/>
          </w:tcPr>
          <w:p w14:paraId="7BCCF620">
            <w:pPr>
              <w:pStyle w:val="125"/>
              <w:ind w:firstLine="0" w:firstLineChars="0"/>
              <w:rPr>
                <w:szCs w:val="21"/>
              </w:rPr>
            </w:pPr>
          </w:p>
        </w:tc>
        <w:tc>
          <w:tcPr>
            <w:tcW w:w="290" w:type="pct"/>
            <w:vAlign w:val="center"/>
          </w:tcPr>
          <w:p w14:paraId="010B1347">
            <w:pPr>
              <w:pStyle w:val="125"/>
              <w:ind w:firstLine="0" w:firstLineChars="0"/>
              <w:rPr>
                <w:szCs w:val="21"/>
              </w:rPr>
            </w:pPr>
          </w:p>
        </w:tc>
      </w:tr>
      <w:tr w14:paraId="31F52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 w:type="pct"/>
            <w:vAlign w:val="center"/>
          </w:tcPr>
          <w:p w14:paraId="620DF157">
            <w:pPr>
              <w:pStyle w:val="125"/>
              <w:ind w:firstLine="0" w:firstLineChars="0"/>
              <w:rPr>
                <w:szCs w:val="21"/>
              </w:rPr>
            </w:pPr>
            <w:r>
              <w:rPr>
                <w:rFonts w:hint="eastAsia"/>
                <w:color w:val="000000"/>
                <w:szCs w:val="21"/>
              </w:rPr>
              <w:t>14</w:t>
            </w:r>
          </w:p>
        </w:tc>
        <w:tc>
          <w:tcPr>
            <w:tcW w:w="656" w:type="pct"/>
            <w:vAlign w:val="center"/>
          </w:tcPr>
          <w:p w14:paraId="4BF0795C">
            <w:pPr>
              <w:pStyle w:val="125"/>
              <w:ind w:firstLine="0" w:firstLineChars="0"/>
              <w:rPr>
                <w:szCs w:val="21"/>
              </w:rPr>
            </w:pPr>
            <w:r>
              <w:rPr>
                <w:rFonts w:hint="eastAsia"/>
                <w:szCs w:val="21"/>
              </w:rPr>
              <w:t>替代成品破碎</w:t>
            </w:r>
          </w:p>
        </w:tc>
        <w:tc>
          <w:tcPr>
            <w:tcW w:w="241" w:type="pct"/>
            <w:vAlign w:val="center"/>
          </w:tcPr>
          <w:p w14:paraId="636CA7B2">
            <w:pPr>
              <w:pStyle w:val="125"/>
              <w:ind w:firstLine="0" w:firstLineChars="0"/>
              <w:rPr>
                <w:szCs w:val="21"/>
              </w:rPr>
            </w:pPr>
            <w:r>
              <w:rPr>
                <w:szCs w:val="21"/>
              </w:rPr>
              <w:t>80</w:t>
            </w:r>
          </w:p>
        </w:tc>
        <w:tc>
          <w:tcPr>
            <w:tcW w:w="238" w:type="pct"/>
            <w:vAlign w:val="center"/>
          </w:tcPr>
          <w:p w14:paraId="5A6A395F">
            <w:pPr>
              <w:pStyle w:val="125"/>
              <w:ind w:firstLine="0" w:firstLineChars="0"/>
              <w:rPr>
                <w:szCs w:val="21"/>
              </w:rPr>
            </w:pPr>
            <w:r>
              <w:rPr>
                <w:szCs w:val="21"/>
              </w:rPr>
              <w:t>65</w:t>
            </w:r>
          </w:p>
        </w:tc>
        <w:tc>
          <w:tcPr>
            <w:tcW w:w="240" w:type="pct"/>
            <w:vAlign w:val="center"/>
          </w:tcPr>
          <w:p w14:paraId="3827C5F5">
            <w:pPr>
              <w:pStyle w:val="125"/>
              <w:ind w:firstLine="0" w:firstLineChars="0"/>
              <w:rPr>
                <w:szCs w:val="21"/>
              </w:rPr>
            </w:pPr>
            <w:r>
              <w:rPr>
                <w:szCs w:val="21"/>
              </w:rPr>
              <w:t>20</w:t>
            </w:r>
          </w:p>
        </w:tc>
        <w:tc>
          <w:tcPr>
            <w:tcW w:w="293" w:type="pct"/>
            <w:vAlign w:val="center"/>
          </w:tcPr>
          <w:p w14:paraId="68E216AD">
            <w:pPr>
              <w:pStyle w:val="125"/>
              <w:ind w:firstLine="0" w:firstLineChars="0"/>
              <w:rPr>
                <w:szCs w:val="21"/>
              </w:rPr>
            </w:pPr>
            <w:r>
              <w:rPr>
                <w:szCs w:val="21"/>
              </w:rPr>
              <w:t>25</w:t>
            </w:r>
          </w:p>
        </w:tc>
        <w:tc>
          <w:tcPr>
            <w:tcW w:w="280" w:type="pct"/>
            <w:vAlign w:val="center"/>
          </w:tcPr>
          <w:p w14:paraId="448CE069">
            <w:pPr>
              <w:pStyle w:val="125"/>
              <w:ind w:firstLine="0" w:firstLineChars="0"/>
              <w:rPr>
                <w:szCs w:val="21"/>
              </w:rPr>
            </w:pPr>
            <w:r>
              <w:rPr>
                <w:szCs w:val="21"/>
              </w:rPr>
              <w:t>0</w:t>
            </w:r>
          </w:p>
        </w:tc>
        <w:tc>
          <w:tcPr>
            <w:tcW w:w="259" w:type="pct"/>
            <w:vAlign w:val="center"/>
          </w:tcPr>
          <w:p w14:paraId="6B89F5C2">
            <w:pPr>
              <w:pStyle w:val="125"/>
              <w:ind w:firstLine="0" w:firstLineChars="0"/>
              <w:rPr>
                <w:szCs w:val="21"/>
              </w:rPr>
            </w:pPr>
            <w:r>
              <w:rPr>
                <w:rFonts w:hint="eastAsia"/>
                <w:color w:val="000000"/>
                <w:szCs w:val="21"/>
              </w:rPr>
              <w:t>10</w:t>
            </w:r>
          </w:p>
        </w:tc>
        <w:tc>
          <w:tcPr>
            <w:tcW w:w="290" w:type="pct"/>
            <w:vAlign w:val="center"/>
          </w:tcPr>
          <w:p w14:paraId="26A5F69C">
            <w:pPr>
              <w:pStyle w:val="125"/>
              <w:ind w:firstLine="0" w:firstLineChars="0"/>
              <w:rPr>
                <w:szCs w:val="21"/>
              </w:rPr>
            </w:pPr>
          </w:p>
        </w:tc>
        <w:tc>
          <w:tcPr>
            <w:tcW w:w="290" w:type="pct"/>
            <w:vAlign w:val="center"/>
          </w:tcPr>
          <w:p w14:paraId="47F27E23">
            <w:pPr>
              <w:pStyle w:val="125"/>
              <w:ind w:firstLine="0" w:firstLineChars="0"/>
              <w:rPr>
                <w:szCs w:val="21"/>
              </w:rPr>
            </w:pPr>
          </w:p>
        </w:tc>
        <w:tc>
          <w:tcPr>
            <w:tcW w:w="290" w:type="pct"/>
            <w:vAlign w:val="center"/>
          </w:tcPr>
          <w:p w14:paraId="3CDDD8C9">
            <w:pPr>
              <w:pStyle w:val="125"/>
              <w:ind w:firstLine="0" w:firstLineChars="0"/>
              <w:rPr>
                <w:szCs w:val="21"/>
              </w:rPr>
            </w:pPr>
            <w:r>
              <w:rPr>
                <w:rFonts w:hint="eastAsia"/>
                <w:color w:val="000000"/>
                <w:szCs w:val="21"/>
              </w:rPr>
              <w:t>0.003</w:t>
            </w:r>
          </w:p>
        </w:tc>
        <w:tc>
          <w:tcPr>
            <w:tcW w:w="290" w:type="pct"/>
            <w:vAlign w:val="center"/>
          </w:tcPr>
          <w:p w14:paraId="25D26938">
            <w:pPr>
              <w:pStyle w:val="125"/>
              <w:ind w:firstLine="0" w:firstLineChars="0"/>
              <w:rPr>
                <w:szCs w:val="21"/>
              </w:rPr>
            </w:pPr>
          </w:p>
        </w:tc>
        <w:tc>
          <w:tcPr>
            <w:tcW w:w="290" w:type="pct"/>
            <w:vAlign w:val="center"/>
          </w:tcPr>
          <w:p w14:paraId="141B46CA">
            <w:pPr>
              <w:pStyle w:val="125"/>
              <w:ind w:firstLine="0" w:firstLineChars="0"/>
              <w:rPr>
                <w:szCs w:val="21"/>
              </w:rPr>
            </w:pPr>
          </w:p>
        </w:tc>
        <w:tc>
          <w:tcPr>
            <w:tcW w:w="290" w:type="pct"/>
            <w:vAlign w:val="center"/>
          </w:tcPr>
          <w:p w14:paraId="757764C2">
            <w:pPr>
              <w:pStyle w:val="125"/>
              <w:ind w:firstLine="0" w:firstLineChars="0"/>
              <w:rPr>
                <w:szCs w:val="21"/>
              </w:rPr>
            </w:pPr>
          </w:p>
        </w:tc>
        <w:tc>
          <w:tcPr>
            <w:tcW w:w="291" w:type="pct"/>
            <w:vAlign w:val="center"/>
          </w:tcPr>
          <w:p w14:paraId="00615B38">
            <w:pPr>
              <w:pStyle w:val="125"/>
              <w:ind w:firstLine="0" w:firstLineChars="0"/>
              <w:rPr>
                <w:szCs w:val="21"/>
              </w:rPr>
            </w:pPr>
          </w:p>
        </w:tc>
        <w:tc>
          <w:tcPr>
            <w:tcW w:w="291" w:type="pct"/>
            <w:vAlign w:val="center"/>
          </w:tcPr>
          <w:p w14:paraId="15E126FC">
            <w:pPr>
              <w:pStyle w:val="125"/>
              <w:ind w:firstLine="0" w:firstLineChars="0"/>
              <w:rPr>
                <w:szCs w:val="21"/>
              </w:rPr>
            </w:pPr>
          </w:p>
        </w:tc>
        <w:tc>
          <w:tcPr>
            <w:tcW w:w="290" w:type="pct"/>
            <w:vAlign w:val="center"/>
          </w:tcPr>
          <w:p w14:paraId="79A13EFD">
            <w:pPr>
              <w:pStyle w:val="125"/>
              <w:ind w:firstLine="0" w:firstLineChars="0"/>
              <w:rPr>
                <w:szCs w:val="21"/>
              </w:rPr>
            </w:pPr>
          </w:p>
        </w:tc>
      </w:tr>
    </w:tbl>
    <w:p w14:paraId="24DF17F7">
      <w:pPr>
        <w:pStyle w:val="133"/>
        <w:rPr>
          <w:highlight w:val="green"/>
        </w:rPr>
      </w:pPr>
    </w:p>
    <w:p w14:paraId="1DA72025">
      <w:pPr>
        <w:widowControl/>
        <w:spacing w:line="240" w:lineRule="auto"/>
        <w:ind w:firstLine="0" w:firstLineChars="0"/>
        <w:jc w:val="left"/>
        <w:rPr>
          <w:b/>
          <w:color w:val="000000"/>
          <w:szCs w:val="28"/>
        </w:rPr>
      </w:pPr>
      <w:r>
        <w:br w:type="page"/>
      </w:r>
    </w:p>
    <w:p w14:paraId="2F88F4DF">
      <w:pPr>
        <w:pStyle w:val="118"/>
      </w:pPr>
      <w:r>
        <w:t>表</w:t>
      </w:r>
      <w:r>
        <w:rPr>
          <w:rFonts w:hint="eastAsia"/>
        </w:rPr>
        <w:t>5.2-11</w:t>
      </w:r>
      <w:r>
        <w:t xml:space="preserve">  </w:t>
      </w:r>
      <w:r>
        <w:rPr>
          <w:rFonts w:hint="eastAsia"/>
        </w:rPr>
        <w:t>评价范围内拟建、在建</w:t>
      </w:r>
      <w:r>
        <w:t>项目有组织污染物计算参数选取值一览表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73"/>
        <w:gridCol w:w="1877"/>
        <w:gridCol w:w="906"/>
        <w:gridCol w:w="906"/>
        <w:gridCol w:w="1013"/>
        <w:gridCol w:w="1004"/>
        <w:gridCol w:w="1010"/>
        <w:gridCol w:w="920"/>
        <w:gridCol w:w="711"/>
        <w:gridCol w:w="711"/>
        <w:gridCol w:w="711"/>
        <w:gridCol w:w="711"/>
        <w:gridCol w:w="711"/>
        <w:gridCol w:w="711"/>
        <w:gridCol w:w="711"/>
        <w:gridCol w:w="702"/>
      </w:tblGrid>
      <w:tr w14:paraId="39E3A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blHeader/>
          <w:jc w:val="center"/>
        </w:trPr>
        <w:tc>
          <w:tcPr>
            <w:tcW w:w="241" w:type="pct"/>
            <w:vMerge w:val="restart"/>
            <w:noWrap/>
            <w:vAlign w:val="center"/>
          </w:tcPr>
          <w:p w14:paraId="3426E927">
            <w:pPr>
              <w:pStyle w:val="133"/>
              <w:rPr>
                <w:b/>
                <w:bCs/>
                <w:sz w:val="18"/>
                <w:szCs w:val="18"/>
              </w:rPr>
            </w:pPr>
            <w:r>
              <w:rPr>
                <w:b/>
                <w:bCs/>
                <w:sz w:val="18"/>
                <w:szCs w:val="18"/>
              </w:rPr>
              <w:t>编号</w:t>
            </w:r>
          </w:p>
        </w:tc>
        <w:tc>
          <w:tcPr>
            <w:tcW w:w="671" w:type="pct"/>
            <w:vMerge w:val="restart"/>
            <w:noWrap/>
            <w:vAlign w:val="center"/>
          </w:tcPr>
          <w:p w14:paraId="53CB4459">
            <w:pPr>
              <w:pStyle w:val="133"/>
              <w:rPr>
                <w:b/>
                <w:bCs/>
                <w:sz w:val="18"/>
                <w:szCs w:val="18"/>
              </w:rPr>
            </w:pPr>
            <w:r>
              <w:rPr>
                <w:b/>
                <w:bCs/>
                <w:sz w:val="18"/>
                <w:szCs w:val="18"/>
              </w:rPr>
              <w:t>点源名称</w:t>
            </w:r>
          </w:p>
        </w:tc>
        <w:tc>
          <w:tcPr>
            <w:tcW w:w="324" w:type="pct"/>
            <w:vMerge w:val="restart"/>
            <w:vAlign w:val="center"/>
          </w:tcPr>
          <w:p w14:paraId="3809F99A">
            <w:pPr>
              <w:pStyle w:val="133"/>
              <w:rPr>
                <w:b/>
                <w:bCs/>
                <w:sz w:val="18"/>
                <w:szCs w:val="18"/>
              </w:rPr>
            </w:pPr>
            <w:r>
              <w:rPr>
                <w:b/>
                <w:bCs/>
                <w:sz w:val="18"/>
                <w:szCs w:val="18"/>
              </w:rPr>
              <w:t>X坐标</w:t>
            </w:r>
          </w:p>
        </w:tc>
        <w:tc>
          <w:tcPr>
            <w:tcW w:w="324" w:type="pct"/>
            <w:vMerge w:val="restart"/>
            <w:vAlign w:val="center"/>
          </w:tcPr>
          <w:p w14:paraId="71B958AB">
            <w:pPr>
              <w:pStyle w:val="133"/>
              <w:rPr>
                <w:b/>
                <w:bCs/>
                <w:sz w:val="18"/>
                <w:szCs w:val="18"/>
              </w:rPr>
            </w:pPr>
            <w:r>
              <w:rPr>
                <w:b/>
                <w:bCs/>
                <w:sz w:val="18"/>
                <w:szCs w:val="18"/>
              </w:rPr>
              <w:t>Y坐标</w:t>
            </w:r>
          </w:p>
        </w:tc>
        <w:tc>
          <w:tcPr>
            <w:tcW w:w="362" w:type="pct"/>
            <w:vMerge w:val="restart"/>
            <w:noWrap/>
            <w:vAlign w:val="center"/>
          </w:tcPr>
          <w:p w14:paraId="6E8B7C26">
            <w:pPr>
              <w:pStyle w:val="133"/>
              <w:rPr>
                <w:b/>
                <w:bCs/>
                <w:sz w:val="18"/>
                <w:szCs w:val="18"/>
              </w:rPr>
            </w:pPr>
            <w:r>
              <w:rPr>
                <w:b/>
                <w:bCs/>
                <w:sz w:val="18"/>
                <w:szCs w:val="18"/>
              </w:rPr>
              <w:t>排气筒</w:t>
            </w:r>
          </w:p>
          <w:p w14:paraId="7826AA86">
            <w:pPr>
              <w:pStyle w:val="133"/>
              <w:rPr>
                <w:b/>
                <w:bCs/>
                <w:sz w:val="18"/>
                <w:szCs w:val="18"/>
              </w:rPr>
            </w:pPr>
            <w:r>
              <w:rPr>
                <w:b/>
                <w:bCs/>
                <w:sz w:val="18"/>
                <w:szCs w:val="18"/>
              </w:rPr>
              <w:t>高度</w:t>
            </w:r>
          </w:p>
        </w:tc>
        <w:tc>
          <w:tcPr>
            <w:tcW w:w="359" w:type="pct"/>
            <w:vMerge w:val="restart"/>
            <w:noWrap/>
            <w:vAlign w:val="center"/>
          </w:tcPr>
          <w:p w14:paraId="7E68C618">
            <w:pPr>
              <w:pStyle w:val="133"/>
              <w:rPr>
                <w:b/>
                <w:bCs/>
                <w:sz w:val="18"/>
                <w:szCs w:val="18"/>
              </w:rPr>
            </w:pPr>
            <w:r>
              <w:rPr>
                <w:b/>
                <w:bCs/>
                <w:sz w:val="18"/>
                <w:szCs w:val="18"/>
              </w:rPr>
              <w:t>排气筒</w:t>
            </w:r>
          </w:p>
          <w:p w14:paraId="14848AD2">
            <w:pPr>
              <w:pStyle w:val="133"/>
              <w:rPr>
                <w:b/>
                <w:bCs/>
                <w:sz w:val="18"/>
                <w:szCs w:val="18"/>
              </w:rPr>
            </w:pPr>
            <w:r>
              <w:rPr>
                <w:b/>
                <w:bCs/>
                <w:sz w:val="18"/>
                <w:szCs w:val="18"/>
              </w:rPr>
              <w:t>内径</w:t>
            </w:r>
          </w:p>
        </w:tc>
        <w:tc>
          <w:tcPr>
            <w:tcW w:w="361" w:type="pct"/>
            <w:vMerge w:val="restart"/>
            <w:noWrap/>
            <w:vAlign w:val="center"/>
          </w:tcPr>
          <w:p w14:paraId="3BCE56C2">
            <w:pPr>
              <w:pStyle w:val="133"/>
              <w:rPr>
                <w:b/>
                <w:bCs/>
                <w:sz w:val="18"/>
                <w:szCs w:val="18"/>
              </w:rPr>
            </w:pPr>
            <w:r>
              <w:rPr>
                <w:b/>
                <w:bCs/>
                <w:sz w:val="18"/>
                <w:szCs w:val="18"/>
              </w:rPr>
              <w:t>烟气出口</w:t>
            </w:r>
          </w:p>
          <w:p w14:paraId="75E31A5A">
            <w:pPr>
              <w:pStyle w:val="133"/>
              <w:rPr>
                <w:b/>
                <w:bCs/>
                <w:sz w:val="18"/>
                <w:szCs w:val="18"/>
              </w:rPr>
            </w:pPr>
            <w:r>
              <w:rPr>
                <w:b/>
                <w:bCs/>
                <w:sz w:val="18"/>
                <w:szCs w:val="18"/>
              </w:rPr>
              <w:t>温度</w:t>
            </w:r>
          </w:p>
        </w:tc>
        <w:tc>
          <w:tcPr>
            <w:tcW w:w="329" w:type="pct"/>
            <w:vMerge w:val="restart"/>
            <w:vAlign w:val="center"/>
          </w:tcPr>
          <w:p w14:paraId="2476F2A5">
            <w:pPr>
              <w:pStyle w:val="133"/>
              <w:rPr>
                <w:b/>
                <w:bCs/>
                <w:sz w:val="18"/>
                <w:szCs w:val="18"/>
              </w:rPr>
            </w:pPr>
            <w:r>
              <w:rPr>
                <w:b/>
                <w:bCs/>
                <w:sz w:val="18"/>
                <w:szCs w:val="18"/>
              </w:rPr>
              <w:t>烟气</w:t>
            </w:r>
          </w:p>
          <w:p w14:paraId="024778D7">
            <w:pPr>
              <w:pStyle w:val="133"/>
              <w:rPr>
                <w:b/>
                <w:bCs/>
                <w:sz w:val="18"/>
                <w:szCs w:val="18"/>
              </w:rPr>
            </w:pPr>
            <w:r>
              <w:rPr>
                <w:b/>
                <w:bCs/>
                <w:sz w:val="18"/>
                <w:szCs w:val="18"/>
              </w:rPr>
              <w:t>流量</w:t>
            </w:r>
          </w:p>
        </w:tc>
        <w:tc>
          <w:tcPr>
            <w:tcW w:w="2030" w:type="pct"/>
            <w:gridSpan w:val="8"/>
            <w:vAlign w:val="center"/>
          </w:tcPr>
          <w:p w14:paraId="0AF37BDE">
            <w:pPr>
              <w:pStyle w:val="133"/>
              <w:rPr>
                <w:b/>
                <w:bCs/>
                <w:sz w:val="18"/>
                <w:szCs w:val="18"/>
              </w:rPr>
            </w:pPr>
            <w:r>
              <w:rPr>
                <w:b/>
                <w:bCs/>
                <w:sz w:val="18"/>
                <w:szCs w:val="18"/>
              </w:rPr>
              <w:t>排放速率（kg/h）</w:t>
            </w:r>
          </w:p>
        </w:tc>
      </w:tr>
      <w:tr w14:paraId="2170D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241" w:type="pct"/>
            <w:vMerge w:val="continue"/>
            <w:noWrap/>
            <w:vAlign w:val="center"/>
          </w:tcPr>
          <w:p w14:paraId="6E025A1D">
            <w:pPr>
              <w:pStyle w:val="133"/>
              <w:rPr>
                <w:b/>
                <w:bCs/>
                <w:sz w:val="18"/>
                <w:szCs w:val="18"/>
              </w:rPr>
            </w:pPr>
          </w:p>
        </w:tc>
        <w:tc>
          <w:tcPr>
            <w:tcW w:w="671" w:type="pct"/>
            <w:vMerge w:val="continue"/>
            <w:noWrap/>
            <w:vAlign w:val="center"/>
          </w:tcPr>
          <w:p w14:paraId="6B480CE8">
            <w:pPr>
              <w:pStyle w:val="133"/>
              <w:rPr>
                <w:b/>
                <w:bCs/>
                <w:sz w:val="18"/>
                <w:szCs w:val="18"/>
              </w:rPr>
            </w:pPr>
          </w:p>
        </w:tc>
        <w:tc>
          <w:tcPr>
            <w:tcW w:w="324" w:type="pct"/>
            <w:vMerge w:val="continue"/>
            <w:vAlign w:val="center"/>
          </w:tcPr>
          <w:p w14:paraId="46242295">
            <w:pPr>
              <w:pStyle w:val="133"/>
              <w:rPr>
                <w:b/>
                <w:bCs/>
                <w:sz w:val="18"/>
                <w:szCs w:val="18"/>
              </w:rPr>
            </w:pPr>
          </w:p>
        </w:tc>
        <w:tc>
          <w:tcPr>
            <w:tcW w:w="324" w:type="pct"/>
            <w:vMerge w:val="continue"/>
            <w:vAlign w:val="center"/>
          </w:tcPr>
          <w:p w14:paraId="734F832B">
            <w:pPr>
              <w:pStyle w:val="133"/>
              <w:rPr>
                <w:b/>
                <w:bCs/>
                <w:sz w:val="18"/>
                <w:szCs w:val="18"/>
              </w:rPr>
            </w:pPr>
          </w:p>
        </w:tc>
        <w:tc>
          <w:tcPr>
            <w:tcW w:w="362" w:type="pct"/>
            <w:vMerge w:val="continue"/>
            <w:noWrap/>
            <w:vAlign w:val="center"/>
          </w:tcPr>
          <w:p w14:paraId="4C680F0B">
            <w:pPr>
              <w:pStyle w:val="133"/>
              <w:rPr>
                <w:b/>
                <w:bCs/>
                <w:sz w:val="18"/>
                <w:szCs w:val="18"/>
              </w:rPr>
            </w:pPr>
          </w:p>
        </w:tc>
        <w:tc>
          <w:tcPr>
            <w:tcW w:w="359" w:type="pct"/>
            <w:vMerge w:val="continue"/>
            <w:noWrap/>
            <w:vAlign w:val="center"/>
          </w:tcPr>
          <w:p w14:paraId="4F15EDBD">
            <w:pPr>
              <w:pStyle w:val="133"/>
              <w:rPr>
                <w:b/>
                <w:bCs/>
                <w:sz w:val="18"/>
                <w:szCs w:val="18"/>
              </w:rPr>
            </w:pPr>
          </w:p>
        </w:tc>
        <w:tc>
          <w:tcPr>
            <w:tcW w:w="361" w:type="pct"/>
            <w:vMerge w:val="continue"/>
            <w:noWrap/>
            <w:vAlign w:val="center"/>
          </w:tcPr>
          <w:p w14:paraId="174E5636">
            <w:pPr>
              <w:pStyle w:val="133"/>
              <w:rPr>
                <w:b/>
                <w:bCs/>
                <w:sz w:val="18"/>
                <w:szCs w:val="18"/>
              </w:rPr>
            </w:pPr>
          </w:p>
        </w:tc>
        <w:tc>
          <w:tcPr>
            <w:tcW w:w="329" w:type="pct"/>
            <w:vMerge w:val="continue"/>
            <w:vAlign w:val="center"/>
          </w:tcPr>
          <w:p w14:paraId="334E1455">
            <w:pPr>
              <w:pStyle w:val="133"/>
              <w:rPr>
                <w:b/>
                <w:bCs/>
                <w:sz w:val="18"/>
                <w:szCs w:val="18"/>
              </w:rPr>
            </w:pPr>
          </w:p>
        </w:tc>
        <w:tc>
          <w:tcPr>
            <w:tcW w:w="254" w:type="pct"/>
            <w:vAlign w:val="center"/>
          </w:tcPr>
          <w:p w14:paraId="556EDBFE">
            <w:pPr>
              <w:pStyle w:val="133"/>
              <w:rPr>
                <w:b/>
                <w:bCs/>
                <w:sz w:val="18"/>
                <w:szCs w:val="18"/>
              </w:rPr>
            </w:pPr>
            <w:r>
              <w:rPr>
                <w:b/>
                <w:bCs/>
                <w:sz w:val="18"/>
                <w:szCs w:val="18"/>
              </w:rPr>
              <w:t>SO</w:t>
            </w:r>
            <w:r>
              <w:rPr>
                <w:b/>
                <w:bCs/>
                <w:sz w:val="18"/>
                <w:szCs w:val="18"/>
                <w:vertAlign w:val="subscript"/>
              </w:rPr>
              <w:t>2</w:t>
            </w:r>
          </w:p>
        </w:tc>
        <w:tc>
          <w:tcPr>
            <w:tcW w:w="254" w:type="pct"/>
            <w:vAlign w:val="center"/>
          </w:tcPr>
          <w:p w14:paraId="18FA7452">
            <w:pPr>
              <w:pStyle w:val="133"/>
              <w:rPr>
                <w:b/>
                <w:bCs/>
                <w:sz w:val="18"/>
                <w:szCs w:val="18"/>
              </w:rPr>
            </w:pPr>
            <w:r>
              <w:rPr>
                <w:b/>
                <w:bCs/>
                <w:sz w:val="18"/>
                <w:szCs w:val="18"/>
              </w:rPr>
              <w:t>NO</w:t>
            </w:r>
            <w:r>
              <w:rPr>
                <w:b/>
                <w:bCs/>
                <w:sz w:val="18"/>
                <w:szCs w:val="18"/>
                <w:vertAlign w:val="subscript"/>
              </w:rPr>
              <w:t>2</w:t>
            </w:r>
          </w:p>
        </w:tc>
        <w:tc>
          <w:tcPr>
            <w:tcW w:w="254" w:type="pct"/>
            <w:noWrap/>
            <w:vAlign w:val="center"/>
          </w:tcPr>
          <w:p w14:paraId="5B4D277C">
            <w:pPr>
              <w:pStyle w:val="133"/>
              <w:rPr>
                <w:b/>
                <w:bCs/>
                <w:sz w:val="18"/>
                <w:szCs w:val="18"/>
              </w:rPr>
            </w:pPr>
            <w:r>
              <w:rPr>
                <w:b/>
                <w:bCs/>
                <w:sz w:val="18"/>
                <w:szCs w:val="18"/>
              </w:rPr>
              <w:t>PM</w:t>
            </w:r>
            <w:r>
              <w:rPr>
                <w:b/>
                <w:bCs/>
                <w:sz w:val="18"/>
                <w:szCs w:val="18"/>
                <w:vertAlign w:val="subscript"/>
              </w:rPr>
              <w:t>10</w:t>
            </w:r>
          </w:p>
        </w:tc>
        <w:tc>
          <w:tcPr>
            <w:tcW w:w="254" w:type="pct"/>
            <w:noWrap/>
            <w:vAlign w:val="center"/>
          </w:tcPr>
          <w:p w14:paraId="39F094A4">
            <w:pPr>
              <w:pStyle w:val="133"/>
              <w:rPr>
                <w:b/>
                <w:bCs/>
                <w:sz w:val="18"/>
                <w:szCs w:val="18"/>
              </w:rPr>
            </w:pPr>
            <w:r>
              <w:rPr>
                <w:b/>
                <w:bCs/>
                <w:sz w:val="18"/>
                <w:szCs w:val="18"/>
              </w:rPr>
              <w:t>PM</w:t>
            </w:r>
            <w:r>
              <w:rPr>
                <w:b/>
                <w:bCs/>
                <w:sz w:val="18"/>
                <w:szCs w:val="18"/>
                <w:vertAlign w:val="subscript"/>
              </w:rPr>
              <w:t>2.5</w:t>
            </w:r>
          </w:p>
        </w:tc>
        <w:tc>
          <w:tcPr>
            <w:tcW w:w="254" w:type="pct"/>
            <w:vAlign w:val="center"/>
          </w:tcPr>
          <w:p w14:paraId="5D833430">
            <w:pPr>
              <w:pStyle w:val="133"/>
              <w:rPr>
                <w:b/>
                <w:bCs/>
                <w:sz w:val="18"/>
                <w:szCs w:val="18"/>
              </w:rPr>
            </w:pPr>
            <w:r>
              <w:rPr>
                <w:rFonts w:hint="eastAsia"/>
                <w:b/>
                <w:bCs/>
                <w:sz w:val="18"/>
                <w:szCs w:val="18"/>
              </w:rPr>
              <w:t>B</w:t>
            </w:r>
            <w:r>
              <w:rPr>
                <w:b/>
                <w:bCs/>
                <w:sz w:val="18"/>
                <w:szCs w:val="18"/>
              </w:rPr>
              <w:t>a</w:t>
            </w:r>
            <w:r>
              <w:rPr>
                <w:rFonts w:hint="eastAsia"/>
                <w:b/>
                <w:bCs/>
                <w:sz w:val="18"/>
                <w:szCs w:val="18"/>
              </w:rPr>
              <w:t>P</w:t>
            </w:r>
          </w:p>
        </w:tc>
        <w:tc>
          <w:tcPr>
            <w:tcW w:w="254" w:type="pct"/>
            <w:vAlign w:val="center"/>
          </w:tcPr>
          <w:p w14:paraId="0D7602C3">
            <w:pPr>
              <w:pStyle w:val="133"/>
              <w:rPr>
                <w:b/>
                <w:bCs/>
                <w:sz w:val="18"/>
                <w:szCs w:val="18"/>
              </w:rPr>
            </w:pPr>
            <w:r>
              <w:rPr>
                <w:rFonts w:hint="eastAsia"/>
                <w:b/>
                <w:bCs/>
                <w:sz w:val="18"/>
                <w:szCs w:val="18"/>
              </w:rPr>
              <w:t>NH</w:t>
            </w:r>
            <w:r>
              <w:rPr>
                <w:rFonts w:hint="eastAsia"/>
                <w:b/>
                <w:bCs/>
                <w:sz w:val="18"/>
                <w:szCs w:val="18"/>
                <w:vertAlign w:val="subscript"/>
              </w:rPr>
              <w:t>3</w:t>
            </w:r>
          </w:p>
        </w:tc>
        <w:tc>
          <w:tcPr>
            <w:tcW w:w="254" w:type="pct"/>
            <w:vAlign w:val="center"/>
          </w:tcPr>
          <w:p w14:paraId="0354A6D8">
            <w:pPr>
              <w:pStyle w:val="133"/>
              <w:rPr>
                <w:b/>
                <w:bCs/>
                <w:sz w:val="18"/>
                <w:szCs w:val="18"/>
              </w:rPr>
            </w:pPr>
            <w:r>
              <w:rPr>
                <w:rFonts w:hint="eastAsia"/>
                <w:b/>
                <w:bCs/>
                <w:sz w:val="18"/>
                <w:szCs w:val="18"/>
              </w:rPr>
              <w:t>H</w:t>
            </w:r>
            <w:r>
              <w:rPr>
                <w:rFonts w:hint="eastAsia"/>
                <w:b/>
                <w:bCs/>
                <w:sz w:val="18"/>
                <w:szCs w:val="18"/>
                <w:vertAlign w:val="subscript"/>
              </w:rPr>
              <w:t>2</w:t>
            </w:r>
            <w:r>
              <w:rPr>
                <w:rFonts w:hint="eastAsia"/>
                <w:b/>
                <w:bCs/>
                <w:sz w:val="18"/>
                <w:szCs w:val="18"/>
              </w:rPr>
              <w:t>S</w:t>
            </w:r>
          </w:p>
        </w:tc>
        <w:tc>
          <w:tcPr>
            <w:tcW w:w="251" w:type="pct"/>
            <w:vAlign w:val="center"/>
          </w:tcPr>
          <w:p w14:paraId="61916231">
            <w:pPr>
              <w:pStyle w:val="133"/>
              <w:rPr>
                <w:b/>
                <w:bCs/>
                <w:sz w:val="18"/>
                <w:szCs w:val="18"/>
              </w:rPr>
            </w:pPr>
            <w:r>
              <w:rPr>
                <w:b/>
                <w:bCs/>
                <w:sz w:val="18"/>
                <w:szCs w:val="18"/>
              </w:rPr>
              <w:t>NMHC</w:t>
            </w:r>
          </w:p>
        </w:tc>
      </w:tr>
      <w:tr w14:paraId="62891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241" w:type="pct"/>
            <w:vMerge w:val="continue"/>
            <w:noWrap/>
            <w:vAlign w:val="center"/>
          </w:tcPr>
          <w:p w14:paraId="009D0B9C">
            <w:pPr>
              <w:pStyle w:val="133"/>
              <w:rPr>
                <w:b/>
                <w:bCs/>
                <w:sz w:val="18"/>
                <w:szCs w:val="18"/>
              </w:rPr>
            </w:pPr>
          </w:p>
        </w:tc>
        <w:tc>
          <w:tcPr>
            <w:tcW w:w="671" w:type="pct"/>
            <w:noWrap/>
            <w:vAlign w:val="center"/>
          </w:tcPr>
          <w:p w14:paraId="23D309B5">
            <w:pPr>
              <w:pStyle w:val="133"/>
              <w:rPr>
                <w:b/>
                <w:bCs/>
                <w:sz w:val="18"/>
                <w:szCs w:val="18"/>
              </w:rPr>
            </w:pPr>
            <w:r>
              <w:rPr>
                <w:b/>
                <w:bCs/>
                <w:sz w:val="18"/>
                <w:szCs w:val="18"/>
              </w:rPr>
              <w:t>单位</w:t>
            </w:r>
          </w:p>
        </w:tc>
        <w:tc>
          <w:tcPr>
            <w:tcW w:w="324" w:type="pct"/>
            <w:vAlign w:val="center"/>
          </w:tcPr>
          <w:p w14:paraId="72283AC5">
            <w:pPr>
              <w:pStyle w:val="133"/>
              <w:rPr>
                <w:b/>
                <w:bCs/>
                <w:sz w:val="18"/>
                <w:szCs w:val="18"/>
              </w:rPr>
            </w:pPr>
            <w:r>
              <w:rPr>
                <w:b/>
                <w:bCs/>
                <w:sz w:val="18"/>
                <w:szCs w:val="18"/>
              </w:rPr>
              <w:t>Px</w:t>
            </w:r>
          </w:p>
        </w:tc>
        <w:tc>
          <w:tcPr>
            <w:tcW w:w="324" w:type="pct"/>
            <w:vAlign w:val="center"/>
          </w:tcPr>
          <w:p w14:paraId="0C6390FE">
            <w:pPr>
              <w:pStyle w:val="133"/>
              <w:rPr>
                <w:b/>
                <w:bCs/>
                <w:sz w:val="18"/>
                <w:szCs w:val="18"/>
              </w:rPr>
            </w:pPr>
            <w:r>
              <w:rPr>
                <w:b/>
                <w:bCs/>
                <w:sz w:val="18"/>
                <w:szCs w:val="18"/>
              </w:rPr>
              <w:t>Py</w:t>
            </w:r>
          </w:p>
        </w:tc>
        <w:tc>
          <w:tcPr>
            <w:tcW w:w="362" w:type="pct"/>
            <w:noWrap/>
            <w:vAlign w:val="center"/>
          </w:tcPr>
          <w:p w14:paraId="62BE0E0E">
            <w:pPr>
              <w:pStyle w:val="133"/>
              <w:rPr>
                <w:b/>
                <w:bCs/>
                <w:sz w:val="18"/>
                <w:szCs w:val="18"/>
              </w:rPr>
            </w:pPr>
            <w:r>
              <w:rPr>
                <w:b/>
                <w:bCs/>
                <w:sz w:val="18"/>
                <w:szCs w:val="18"/>
              </w:rPr>
              <w:t>H(m)</w:t>
            </w:r>
          </w:p>
        </w:tc>
        <w:tc>
          <w:tcPr>
            <w:tcW w:w="359" w:type="pct"/>
            <w:noWrap/>
            <w:vAlign w:val="center"/>
          </w:tcPr>
          <w:p w14:paraId="302E0840">
            <w:pPr>
              <w:pStyle w:val="133"/>
              <w:rPr>
                <w:b/>
                <w:bCs/>
                <w:sz w:val="18"/>
                <w:szCs w:val="18"/>
              </w:rPr>
            </w:pPr>
            <w:r>
              <w:rPr>
                <w:b/>
                <w:bCs/>
                <w:sz w:val="18"/>
                <w:szCs w:val="18"/>
              </w:rPr>
              <w:t>D(m)</w:t>
            </w:r>
          </w:p>
        </w:tc>
        <w:tc>
          <w:tcPr>
            <w:tcW w:w="361" w:type="pct"/>
            <w:noWrap/>
            <w:vAlign w:val="center"/>
          </w:tcPr>
          <w:p w14:paraId="70FF5EEE">
            <w:pPr>
              <w:pStyle w:val="133"/>
              <w:rPr>
                <w:b/>
                <w:bCs/>
                <w:sz w:val="18"/>
                <w:szCs w:val="18"/>
              </w:rPr>
            </w:pPr>
            <w:r>
              <w:rPr>
                <w:b/>
                <w:bCs/>
                <w:sz w:val="18"/>
                <w:szCs w:val="18"/>
              </w:rPr>
              <w:t>T(℃)</w:t>
            </w:r>
          </w:p>
        </w:tc>
        <w:tc>
          <w:tcPr>
            <w:tcW w:w="329" w:type="pct"/>
            <w:vAlign w:val="center"/>
          </w:tcPr>
          <w:p w14:paraId="0FE9CEF1">
            <w:pPr>
              <w:pStyle w:val="133"/>
              <w:rPr>
                <w:b/>
                <w:bCs/>
                <w:sz w:val="18"/>
                <w:szCs w:val="18"/>
              </w:rPr>
            </w:pPr>
            <w:r>
              <w:rPr>
                <w:b/>
                <w:bCs/>
                <w:sz w:val="18"/>
                <w:szCs w:val="18"/>
              </w:rPr>
              <w:t>V/m³/h</w:t>
            </w:r>
          </w:p>
        </w:tc>
        <w:tc>
          <w:tcPr>
            <w:tcW w:w="254" w:type="pct"/>
            <w:vAlign w:val="center"/>
          </w:tcPr>
          <w:p w14:paraId="17B4BE68">
            <w:pPr>
              <w:pStyle w:val="133"/>
              <w:rPr>
                <w:b/>
                <w:bCs/>
                <w:sz w:val="18"/>
                <w:szCs w:val="18"/>
              </w:rPr>
            </w:pPr>
            <w:r>
              <w:rPr>
                <w:b/>
                <w:bCs/>
                <w:sz w:val="18"/>
                <w:szCs w:val="18"/>
              </w:rPr>
              <w:t>Q</w:t>
            </w:r>
            <w:r>
              <w:rPr>
                <w:b/>
                <w:bCs/>
                <w:sz w:val="18"/>
                <w:szCs w:val="18"/>
                <w:vertAlign w:val="subscript"/>
              </w:rPr>
              <w:t>SO2</w:t>
            </w:r>
          </w:p>
        </w:tc>
        <w:tc>
          <w:tcPr>
            <w:tcW w:w="254" w:type="pct"/>
            <w:vAlign w:val="center"/>
          </w:tcPr>
          <w:p w14:paraId="0BF960DE">
            <w:pPr>
              <w:pStyle w:val="133"/>
              <w:rPr>
                <w:b/>
                <w:bCs/>
                <w:sz w:val="18"/>
                <w:szCs w:val="18"/>
              </w:rPr>
            </w:pPr>
            <w:r>
              <w:rPr>
                <w:b/>
                <w:bCs/>
                <w:sz w:val="18"/>
                <w:szCs w:val="18"/>
              </w:rPr>
              <w:t>Q</w:t>
            </w:r>
            <w:r>
              <w:rPr>
                <w:b/>
                <w:bCs/>
                <w:sz w:val="18"/>
                <w:szCs w:val="18"/>
                <w:vertAlign w:val="subscript"/>
              </w:rPr>
              <w:t>NO2</w:t>
            </w:r>
          </w:p>
        </w:tc>
        <w:tc>
          <w:tcPr>
            <w:tcW w:w="254" w:type="pct"/>
            <w:noWrap/>
            <w:vAlign w:val="center"/>
          </w:tcPr>
          <w:p w14:paraId="7905EA41">
            <w:pPr>
              <w:pStyle w:val="133"/>
              <w:rPr>
                <w:b/>
                <w:bCs/>
                <w:sz w:val="18"/>
                <w:szCs w:val="18"/>
              </w:rPr>
            </w:pPr>
            <w:r>
              <w:rPr>
                <w:b/>
                <w:bCs/>
                <w:sz w:val="18"/>
                <w:szCs w:val="18"/>
              </w:rPr>
              <w:t>Q</w:t>
            </w:r>
            <w:r>
              <w:rPr>
                <w:b/>
                <w:bCs/>
                <w:sz w:val="18"/>
                <w:szCs w:val="18"/>
                <w:vertAlign w:val="subscript"/>
              </w:rPr>
              <w:t>PM10</w:t>
            </w:r>
          </w:p>
        </w:tc>
        <w:tc>
          <w:tcPr>
            <w:tcW w:w="254" w:type="pct"/>
            <w:noWrap/>
            <w:vAlign w:val="center"/>
          </w:tcPr>
          <w:p w14:paraId="72F8B5FF">
            <w:pPr>
              <w:pStyle w:val="133"/>
              <w:rPr>
                <w:b/>
                <w:bCs/>
                <w:sz w:val="18"/>
                <w:szCs w:val="18"/>
              </w:rPr>
            </w:pPr>
            <w:r>
              <w:rPr>
                <w:b/>
                <w:bCs/>
                <w:sz w:val="18"/>
                <w:szCs w:val="18"/>
              </w:rPr>
              <w:t>Q</w:t>
            </w:r>
            <w:r>
              <w:rPr>
                <w:b/>
                <w:bCs/>
                <w:sz w:val="18"/>
                <w:szCs w:val="18"/>
                <w:vertAlign w:val="subscript"/>
              </w:rPr>
              <w:t>PM2.5</w:t>
            </w:r>
          </w:p>
        </w:tc>
        <w:tc>
          <w:tcPr>
            <w:tcW w:w="254" w:type="pct"/>
            <w:vAlign w:val="center"/>
          </w:tcPr>
          <w:p w14:paraId="4A6AF78A">
            <w:pPr>
              <w:pStyle w:val="133"/>
              <w:rPr>
                <w:b/>
                <w:bCs/>
                <w:sz w:val="18"/>
                <w:szCs w:val="18"/>
              </w:rPr>
            </w:pPr>
            <w:r>
              <w:rPr>
                <w:b/>
                <w:bCs/>
                <w:sz w:val="18"/>
                <w:szCs w:val="18"/>
              </w:rPr>
              <w:t>Q</w:t>
            </w:r>
            <w:r>
              <w:rPr>
                <w:rFonts w:hint="eastAsia"/>
                <w:b/>
                <w:bCs/>
                <w:sz w:val="18"/>
                <w:szCs w:val="18"/>
                <w:vertAlign w:val="subscript"/>
              </w:rPr>
              <w:t>B</w:t>
            </w:r>
            <w:r>
              <w:rPr>
                <w:b/>
                <w:bCs/>
                <w:sz w:val="18"/>
                <w:szCs w:val="18"/>
                <w:vertAlign w:val="subscript"/>
              </w:rPr>
              <w:t>a</w:t>
            </w:r>
            <w:r>
              <w:rPr>
                <w:rFonts w:hint="eastAsia"/>
                <w:b/>
                <w:bCs/>
                <w:sz w:val="18"/>
                <w:szCs w:val="18"/>
                <w:vertAlign w:val="subscript"/>
              </w:rPr>
              <w:t>P</w:t>
            </w:r>
          </w:p>
        </w:tc>
        <w:tc>
          <w:tcPr>
            <w:tcW w:w="254" w:type="pct"/>
            <w:vAlign w:val="center"/>
          </w:tcPr>
          <w:p w14:paraId="04A74560">
            <w:pPr>
              <w:pStyle w:val="133"/>
              <w:rPr>
                <w:b/>
                <w:bCs/>
                <w:sz w:val="18"/>
                <w:szCs w:val="18"/>
              </w:rPr>
            </w:pPr>
            <w:r>
              <w:rPr>
                <w:b/>
                <w:bCs/>
                <w:sz w:val="18"/>
                <w:szCs w:val="18"/>
              </w:rPr>
              <w:t>Q</w:t>
            </w:r>
            <w:r>
              <w:rPr>
                <w:rFonts w:hint="eastAsia"/>
                <w:b/>
                <w:bCs/>
                <w:sz w:val="18"/>
                <w:szCs w:val="18"/>
                <w:vertAlign w:val="subscript"/>
              </w:rPr>
              <w:t>NH3</w:t>
            </w:r>
          </w:p>
        </w:tc>
        <w:tc>
          <w:tcPr>
            <w:tcW w:w="254" w:type="pct"/>
            <w:vAlign w:val="center"/>
          </w:tcPr>
          <w:p w14:paraId="201D17FE">
            <w:pPr>
              <w:pStyle w:val="133"/>
              <w:rPr>
                <w:b/>
                <w:bCs/>
                <w:sz w:val="18"/>
                <w:szCs w:val="18"/>
              </w:rPr>
            </w:pPr>
            <w:r>
              <w:rPr>
                <w:b/>
                <w:bCs/>
                <w:sz w:val="18"/>
                <w:szCs w:val="18"/>
              </w:rPr>
              <w:t>Q</w:t>
            </w:r>
            <w:r>
              <w:rPr>
                <w:rFonts w:hint="eastAsia"/>
                <w:b/>
                <w:bCs/>
                <w:sz w:val="18"/>
                <w:szCs w:val="18"/>
                <w:vertAlign w:val="subscript"/>
              </w:rPr>
              <w:t>H2S</w:t>
            </w:r>
          </w:p>
        </w:tc>
        <w:tc>
          <w:tcPr>
            <w:tcW w:w="251" w:type="pct"/>
            <w:vAlign w:val="center"/>
          </w:tcPr>
          <w:p w14:paraId="172E33E2">
            <w:pPr>
              <w:pStyle w:val="133"/>
              <w:rPr>
                <w:b/>
                <w:bCs/>
                <w:sz w:val="18"/>
                <w:szCs w:val="18"/>
              </w:rPr>
            </w:pPr>
            <w:r>
              <w:rPr>
                <w:b/>
                <w:bCs/>
                <w:sz w:val="18"/>
                <w:szCs w:val="18"/>
              </w:rPr>
              <w:t>Q</w:t>
            </w:r>
            <w:r>
              <w:rPr>
                <w:b/>
                <w:bCs/>
                <w:sz w:val="18"/>
                <w:szCs w:val="18"/>
                <w:vertAlign w:val="subscript"/>
              </w:rPr>
              <w:t>NMHC</w:t>
            </w:r>
          </w:p>
        </w:tc>
      </w:tr>
      <w:tr w14:paraId="13A61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408F16CB">
            <w:pPr>
              <w:pStyle w:val="133"/>
              <w:rPr>
                <w:sz w:val="18"/>
                <w:szCs w:val="18"/>
              </w:rPr>
            </w:pPr>
            <w:r>
              <w:rPr>
                <w:rFonts w:hint="eastAsia"/>
                <w:sz w:val="18"/>
                <w:szCs w:val="18"/>
              </w:rPr>
              <w:t>1</w:t>
            </w:r>
          </w:p>
        </w:tc>
        <w:tc>
          <w:tcPr>
            <w:tcW w:w="671" w:type="pct"/>
            <w:noWrap/>
            <w:vAlign w:val="center"/>
          </w:tcPr>
          <w:p w14:paraId="4C6A2E88">
            <w:pPr>
              <w:pStyle w:val="133"/>
              <w:rPr>
                <w:sz w:val="18"/>
                <w:szCs w:val="18"/>
              </w:rPr>
            </w:pPr>
            <w:r>
              <w:rPr>
                <w:rFonts w:hint="eastAsia" w:cs="Times New Roman"/>
                <w:color w:val="000000"/>
                <w:sz w:val="18"/>
                <w:szCs w:val="18"/>
              </w:rPr>
              <w:t>在建</w:t>
            </w:r>
            <w:r>
              <w:rPr>
                <w:rFonts w:cs="Times New Roman"/>
                <w:color w:val="000000"/>
                <w:sz w:val="18"/>
                <w:szCs w:val="18"/>
              </w:rPr>
              <w:t>原煤仓上料废气</w:t>
            </w:r>
          </w:p>
        </w:tc>
        <w:tc>
          <w:tcPr>
            <w:tcW w:w="324" w:type="pct"/>
            <w:vAlign w:val="center"/>
          </w:tcPr>
          <w:p w14:paraId="2087E782">
            <w:pPr>
              <w:pStyle w:val="133"/>
              <w:rPr>
                <w:sz w:val="18"/>
                <w:szCs w:val="18"/>
              </w:rPr>
            </w:pPr>
            <w:r>
              <w:rPr>
                <w:rFonts w:cs="Times New Roman"/>
                <w:color w:val="000000"/>
                <w:sz w:val="18"/>
                <w:szCs w:val="18"/>
              </w:rPr>
              <w:t>-422</w:t>
            </w:r>
          </w:p>
        </w:tc>
        <w:tc>
          <w:tcPr>
            <w:tcW w:w="324" w:type="pct"/>
            <w:vAlign w:val="center"/>
          </w:tcPr>
          <w:p w14:paraId="18C92060">
            <w:pPr>
              <w:pStyle w:val="133"/>
              <w:rPr>
                <w:sz w:val="18"/>
                <w:szCs w:val="18"/>
              </w:rPr>
            </w:pPr>
            <w:r>
              <w:rPr>
                <w:rFonts w:cs="Times New Roman"/>
                <w:color w:val="000000"/>
                <w:sz w:val="18"/>
                <w:szCs w:val="18"/>
              </w:rPr>
              <w:t>-33</w:t>
            </w:r>
          </w:p>
        </w:tc>
        <w:tc>
          <w:tcPr>
            <w:tcW w:w="362" w:type="pct"/>
            <w:noWrap/>
            <w:vAlign w:val="center"/>
          </w:tcPr>
          <w:p w14:paraId="76EBB48D">
            <w:pPr>
              <w:pStyle w:val="133"/>
              <w:rPr>
                <w:sz w:val="18"/>
                <w:szCs w:val="18"/>
              </w:rPr>
            </w:pPr>
            <w:r>
              <w:rPr>
                <w:rFonts w:cs="Times New Roman"/>
                <w:color w:val="000000"/>
                <w:sz w:val="18"/>
                <w:szCs w:val="18"/>
              </w:rPr>
              <w:t>15</w:t>
            </w:r>
          </w:p>
        </w:tc>
        <w:tc>
          <w:tcPr>
            <w:tcW w:w="359" w:type="pct"/>
            <w:noWrap/>
            <w:vAlign w:val="center"/>
          </w:tcPr>
          <w:p w14:paraId="4B7A6F78">
            <w:pPr>
              <w:pStyle w:val="133"/>
              <w:rPr>
                <w:sz w:val="18"/>
                <w:szCs w:val="18"/>
              </w:rPr>
            </w:pPr>
            <w:r>
              <w:rPr>
                <w:rFonts w:cs="Times New Roman"/>
                <w:color w:val="000000"/>
                <w:sz w:val="18"/>
                <w:szCs w:val="18"/>
              </w:rPr>
              <w:t>0.3</w:t>
            </w:r>
          </w:p>
        </w:tc>
        <w:tc>
          <w:tcPr>
            <w:tcW w:w="361" w:type="pct"/>
            <w:noWrap/>
            <w:vAlign w:val="center"/>
          </w:tcPr>
          <w:p w14:paraId="33133E50">
            <w:pPr>
              <w:pStyle w:val="133"/>
              <w:rPr>
                <w:sz w:val="18"/>
                <w:szCs w:val="18"/>
              </w:rPr>
            </w:pPr>
            <w:r>
              <w:rPr>
                <w:rFonts w:cs="Times New Roman"/>
                <w:color w:val="000000"/>
                <w:sz w:val="18"/>
                <w:szCs w:val="18"/>
              </w:rPr>
              <w:t>25</w:t>
            </w:r>
          </w:p>
        </w:tc>
        <w:tc>
          <w:tcPr>
            <w:tcW w:w="329" w:type="pct"/>
            <w:vAlign w:val="center"/>
          </w:tcPr>
          <w:p w14:paraId="044A563D">
            <w:pPr>
              <w:pStyle w:val="133"/>
              <w:rPr>
                <w:sz w:val="18"/>
                <w:szCs w:val="18"/>
              </w:rPr>
            </w:pPr>
            <w:r>
              <w:rPr>
                <w:rFonts w:cs="Times New Roman"/>
                <w:color w:val="000000"/>
                <w:sz w:val="18"/>
                <w:szCs w:val="18"/>
              </w:rPr>
              <w:t>2100</w:t>
            </w:r>
          </w:p>
        </w:tc>
        <w:tc>
          <w:tcPr>
            <w:tcW w:w="254" w:type="pct"/>
            <w:vAlign w:val="center"/>
          </w:tcPr>
          <w:p w14:paraId="32DB071A">
            <w:pPr>
              <w:pStyle w:val="133"/>
              <w:rPr>
                <w:sz w:val="18"/>
                <w:szCs w:val="18"/>
              </w:rPr>
            </w:pPr>
          </w:p>
        </w:tc>
        <w:tc>
          <w:tcPr>
            <w:tcW w:w="254" w:type="pct"/>
            <w:vAlign w:val="center"/>
          </w:tcPr>
          <w:p w14:paraId="17AC38FB">
            <w:pPr>
              <w:pStyle w:val="133"/>
              <w:rPr>
                <w:sz w:val="18"/>
                <w:szCs w:val="18"/>
              </w:rPr>
            </w:pPr>
          </w:p>
        </w:tc>
        <w:tc>
          <w:tcPr>
            <w:tcW w:w="254" w:type="pct"/>
            <w:noWrap/>
            <w:vAlign w:val="center"/>
          </w:tcPr>
          <w:p w14:paraId="4512A211">
            <w:pPr>
              <w:pStyle w:val="133"/>
              <w:rPr>
                <w:sz w:val="18"/>
                <w:szCs w:val="18"/>
              </w:rPr>
            </w:pPr>
            <w:r>
              <w:rPr>
                <w:rFonts w:cs="Times New Roman"/>
                <w:color w:val="000000"/>
                <w:sz w:val="18"/>
                <w:szCs w:val="18"/>
              </w:rPr>
              <w:t>0.034</w:t>
            </w:r>
          </w:p>
        </w:tc>
        <w:tc>
          <w:tcPr>
            <w:tcW w:w="254" w:type="pct"/>
            <w:noWrap/>
            <w:vAlign w:val="center"/>
          </w:tcPr>
          <w:p w14:paraId="76E03872">
            <w:pPr>
              <w:pStyle w:val="133"/>
              <w:rPr>
                <w:sz w:val="18"/>
                <w:szCs w:val="18"/>
              </w:rPr>
            </w:pPr>
            <w:r>
              <w:rPr>
                <w:rFonts w:cs="Times New Roman"/>
                <w:color w:val="000000"/>
                <w:sz w:val="18"/>
                <w:szCs w:val="18"/>
              </w:rPr>
              <w:t>0.017</w:t>
            </w:r>
          </w:p>
        </w:tc>
        <w:tc>
          <w:tcPr>
            <w:tcW w:w="254" w:type="pct"/>
            <w:vAlign w:val="center"/>
          </w:tcPr>
          <w:p w14:paraId="12E25831">
            <w:pPr>
              <w:pStyle w:val="133"/>
              <w:rPr>
                <w:sz w:val="18"/>
                <w:szCs w:val="18"/>
              </w:rPr>
            </w:pPr>
          </w:p>
        </w:tc>
        <w:tc>
          <w:tcPr>
            <w:tcW w:w="254" w:type="pct"/>
            <w:vAlign w:val="center"/>
          </w:tcPr>
          <w:p w14:paraId="105DFD23">
            <w:pPr>
              <w:pStyle w:val="133"/>
              <w:rPr>
                <w:sz w:val="18"/>
                <w:szCs w:val="18"/>
              </w:rPr>
            </w:pPr>
          </w:p>
        </w:tc>
        <w:tc>
          <w:tcPr>
            <w:tcW w:w="254" w:type="pct"/>
            <w:vAlign w:val="center"/>
          </w:tcPr>
          <w:p w14:paraId="00C4D713">
            <w:pPr>
              <w:pStyle w:val="133"/>
              <w:rPr>
                <w:sz w:val="18"/>
                <w:szCs w:val="18"/>
              </w:rPr>
            </w:pPr>
          </w:p>
        </w:tc>
        <w:tc>
          <w:tcPr>
            <w:tcW w:w="251" w:type="pct"/>
            <w:vAlign w:val="center"/>
          </w:tcPr>
          <w:p w14:paraId="1A7B9F97">
            <w:pPr>
              <w:pStyle w:val="133"/>
              <w:rPr>
                <w:sz w:val="18"/>
                <w:szCs w:val="18"/>
              </w:rPr>
            </w:pPr>
          </w:p>
        </w:tc>
      </w:tr>
      <w:tr w14:paraId="7EC70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65419BE8">
            <w:pPr>
              <w:pStyle w:val="133"/>
              <w:rPr>
                <w:sz w:val="18"/>
                <w:szCs w:val="18"/>
              </w:rPr>
            </w:pPr>
            <w:r>
              <w:rPr>
                <w:rFonts w:hint="eastAsia"/>
                <w:sz w:val="18"/>
                <w:szCs w:val="18"/>
              </w:rPr>
              <w:t>2</w:t>
            </w:r>
          </w:p>
        </w:tc>
        <w:tc>
          <w:tcPr>
            <w:tcW w:w="671" w:type="pct"/>
            <w:noWrap/>
            <w:vAlign w:val="center"/>
          </w:tcPr>
          <w:p w14:paraId="2106EF8F">
            <w:pPr>
              <w:pStyle w:val="133"/>
              <w:rPr>
                <w:sz w:val="18"/>
                <w:szCs w:val="18"/>
              </w:rPr>
            </w:pPr>
            <w:r>
              <w:rPr>
                <w:rFonts w:hint="eastAsia" w:cs="Times New Roman"/>
                <w:color w:val="000000"/>
                <w:sz w:val="18"/>
                <w:szCs w:val="18"/>
              </w:rPr>
              <w:t>在建</w:t>
            </w:r>
            <w:r>
              <w:rPr>
                <w:rFonts w:cs="Times New Roman"/>
                <w:color w:val="000000"/>
                <w:sz w:val="18"/>
                <w:szCs w:val="18"/>
              </w:rPr>
              <w:t>煤磨和煤粉仓废气</w:t>
            </w:r>
          </w:p>
        </w:tc>
        <w:tc>
          <w:tcPr>
            <w:tcW w:w="324" w:type="pct"/>
            <w:vAlign w:val="center"/>
          </w:tcPr>
          <w:p w14:paraId="2220FBB2">
            <w:pPr>
              <w:pStyle w:val="133"/>
              <w:rPr>
                <w:sz w:val="18"/>
                <w:szCs w:val="18"/>
              </w:rPr>
            </w:pPr>
            <w:r>
              <w:rPr>
                <w:rFonts w:cs="Times New Roman"/>
                <w:color w:val="000000"/>
                <w:sz w:val="18"/>
                <w:szCs w:val="18"/>
              </w:rPr>
              <w:t>-389</w:t>
            </w:r>
          </w:p>
        </w:tc>
        <w:tc>
          <w:tcPr>
            <w:tcW w:w="324" w:type="pct"/>
            <w:vAlign w:val="center"/>
          </w:tcPr>
          <w:p w14:paraId="66649EB9">
            <w:pPr>
              <w:pStyle w:val="133"/>
              <w:rPr>
                <w:sz w:val="18"/>
                <w:szCs w:val="18"/>
              </w:rPr>
            </w:pPr>
            <w:r>
              <w:rPr>
                <w:rFonts w:cs="Times New Roman"/>
                <w:color w:val="000000"/>
                <w:sz w:val="18"/>
                <w:szCs w:val="18"/>
              </w:rPr>
              <w:t>0</w:t>
            </w:r>
          </w:p>
        </w:tc>
        <w:tc>
          <w:tcPr>
            <w:tcW w:w="362" w:type="pct"/>
            <w:noWrap/>
            <w:vAlign w:val="center"/>
          </w:tcPr>
          <w:p w14:paraId="3D2A0EDA">
            <w:pPr>
              <w:pStyle w:val="133"/>
              <w:rPr>
                <w:sz w:val="18"/>
                <w:szCs w:val="18"/>
              </w:rPr>
            </w:pPr>
            <w:r>
              <w:rPr>
                <w:rFonts w:cs="Times New Roman"/>
                <w:color w:val="000000"/>
                <w:sz w:val="18"/>
                <w:szCs w:val="18"/>
              </w:rPr>
              <w:t>15</w:t>
            </w:r>
          </w:p>
        </w:tc>
        <w:tc>
          <w:tcPr>
            <w:tcW w:w="359" w:type="pct"/>
            <w:noWrap/>
            <w:vAlign w:val="center"/>
          </w:tcPr>
          <w:p w14:paraId="11888D67">
            <w:pPr>
              <w:pStyle w:val="133"/>
              <w:rPr>
                <w:sz w:val="18"/>
                <w:szCs w:val="18"/>
              </w:rPr>
            </w:pPr>
            <w:r>
              <w:rPr>
                <w:rFonts w:cs="Times New Roman"/>
                <w:color w:val="000000"/>
                <w:sz w:val="18"/>
                <w:szCs w:val="18"/>
              </w:rPr>
              <w:t>1.2</w:t>
            </w:r>
          </w:p>
        </w:tc>
        <w:tc>
          <w:tcPr>
            <w:tcW w:w="361" w:type="pct"/>
            <w:noWrap/>
            <w:vAlign w:val="center"/>
          </w:tcPr>
          <w:p w14:paraId="3EA5517B">
            <w:pPr>
              <w:pStyle w:val="133"/>
              <w:rPr>
                <w:sz w:val="18"/>
                <w:szCs w:val="18"/>
              </w:rPr>
            </w:pPr>
            <w:r>
              <w:rPr>
                <w:rFonts w:cs="Times New Roman"/>
                <w:color w:val="000000"/>
                <w:sz w:val="18"/>
                <w:szCs w:val="18"/>
              </w:rPr>
              <w:t>25</w:t>
            </w:r>
          </w:p>
        </w:tc>
        <w:tc>
          <w:tcPr>
            <w:tcW w:w="329" w:type="pct"/>
            <w:vAlign w:val="center"/>
          </w:tcPr>
          <w:p w14:paraId="6733A3D6">
            <w:pPr>
              <w:pStyle w:val="133"/>
              <w:rPr>
                <w:sz w:val="18"/>
                <w:szCs w:val="18"/>
              </w:rPr>
            </w:pPr>
            <w:r>
              <w:rPr>
                <w:rFonts w:cs="Times New Roman"/>
                <w:color w:val="000000"/>
                <w:sz w:val="18"/>
                <w:szCs w:val="18"/>
              </w:rPr>
              <w:t>48648</w:t>
            </w:r>
          </w:p>
        </w:tc>
        <w:tc>
          <w:tcPr>
            <w:tcW w:w="254" w:type="pct"/>
            <w:vAlign w:val="center"/>
          </w:tcPr>
          <w:p w14:paraId="432145DF">
            <w:pPr>
              <w:pStyle w:val="133"/>
              <w:rPr>
                <w:sz w:val="18"/>
                <w:szCs w:val="18"/>
              </w:rPr>
            </w:pPr>
          </w:p>
        </w:tc>
        <w:tc>
          <w:tcPr>
            <w:tcW w:w="254" w:type="pct"/>
            <w:vAlign w:val="center"/>
          </w:tcPr>
          <w:p w14:paraId="6E8262E3">
            <w:pPr>
              <w:pStyle w:val="133"/>
              <w:rPr>
                <w:sz w:val="18"/>
                <w:szCs w:val="18"/>
              </w:rPr>
            </w:pPr>
          </w:p>
        </w:tc>
        <w:tc>
          <w:tcPr>
            <w:tcW w:w="254" w:type="pct"/>
            <w:noWrap/>
            <w:vAlign w:val="center"/>
          </w:tcPr>
          <w:p w14:paraId="1B18875E">
            <w:pPr>
              <w:pStyle w:val="133"/>
              <w:rPr>
                <w:sz w:val="18"/>
                <w:szCs w:val="18"/>
              </w:rPr>
            </w:pPr>
            <w:r>
              <w:rPr>
                <w:rFonts w:cs="Times New Roman"/>
                <w:color w:val="000000"/>
                <w:sz w:val="18"/>
                <w:szCs w:val="18"/>
              </w:rPr>
              <w:t>0.492</w:t>
            </w:r>
          </w:p>
        </w:tc>
        <w:tc>
          <w:tcPr>
            <w:tcW w:w="254" w:type="pct"/>
            <w:noWrap/>
            <w:vAlign w:val="center"/>
          </w:tcPr>
          <w:p w14:paraId="170DE004">
            <w:pPr>
              <w:pStyle w:val="133"/>
              <w:rPr>
                <w:sz w:val="18"/>
                <w:szCs w:val="18"/>
              </w:rPr>
            </w:pPr>
            <w:r>
              <w:rPr>
                <w:rFonts w:cs="Times New Roman"/>
                <w:color w:val="000000"/>
                <w:sz w:val="18"/>
                <w:szCs w:val="18"/>
              </w:rPr>
              <w:t>0.246</w:t>
            </w:r>
          </w:p>
        </w:tc>
        <w:tc>
          <w:tcPr>
            <w:tcW w:w="254" w:type="pct"/>
            <w:vAlign w:val="center"/>
          </w:tcPr>
          <w:p w14:paraId="0A57BC25">
            <w:pPr>
              <w:pStyle w:val="133"/>
              <w:rPr>
                <w:sz w:val="18"/>
                <w:szCs w:val="18"/>
              </w:rPr>
            </w:pPr>
          </w:p>
        </w:tc>
        <w:tc>
          <w:tcPr>
            <w:tcW w:w="254" w:type="pct"/>
            <w:vAlign w:val="center"/>
          </w:tcPr>
          <w:p w14:paraId="62D97DE1">
            <w:pPr>
              <w:pStyle w:val="133"/>
              <w:rPr>
                <w:sz w:val="18"/>
                <w:szCs w:val="18"/>
              </w:rPr>
            </w:pPr>
          </w:p>
        </w:tc>
        <w:tc>
          <w:tcPr>
            <w:tcW w:w="254" w:type="pct"/>
            <w:vAlign w:val="center"/>
          </w:tcPr>
          <w:p w14:paraId="4CBF018C">
            <w:pPr>
              <w:pStyle w:val="133"/>
              <w:rPr>
                <w:sz w:val="18"/>
                <w:szCs w:val="18"/>
              </w:rPr>
            </w:pPr>
          </w:p>
        </w:tc>
        <w:tc>
          <w:tcPr>
            <w:tcW w:w="251" w:type="pct"/>
            <w:vAlign w:val="center"/>
          </w:tcPr>
          <w:p w14:paraId="56AB2569">
            <w:pPr>
              <w:pStyle w:val="133"/>
              <w:rPr>
                <w:sz w:val="18"/>
                <w:szCs w:val="18"/>
              </w:rPr>
            </w:pPr>
          </w:p>
        </w:tc>
      </w:tr>
      <w:tr w14:paraId="47F83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3460E359">
            <w:pPr>
              <w:pStyle w:val="133"/>
              <w:rPr>
                <w:sz w:val="18"/>
                <w:szCs w:val="18"/>
              </w:rPr>
            </w:pPr>
            <w:r>
              <w:rPr>
                <w:rFonts w:hint="eastAsia"/>
                <w:sz w:val="18"/>
                <w:szCs w:val="18"/>
              </w:rPr>
              <w:t>3</w:t>
            </w:r>
          </w:p>
        </w:tc>
        <w:tc>
          <w:tcPr>
            <w:tcW w:w="671" w:type="pct"/>
            <w:noWrap/>
            <w:vAlign w:val="center"/>
          </w:tcPr>
          <w:p w14:paraId="03FEAAEC">
            <w:pPr>
              <w:pStyle w:val="133"/>
              <w:rPr>
                <w:sz w:val="18"/>
                <w:szCs w:val="18"/>
              </w:rPr>
            </w:pPr>
            <w:r>
              <w:rPr>
                <w:rFonts w:hint="eastAsia" w:cs="Times New Roman"/>
                <w:color w:val="000000"/>
                <w:sz w:val="18"/>
                <w:szCs w:val="18"/>
              </w:rPr>
              <w:t>在建</w:t>
            </w:r>
            <w:r>
              <w:rPr>
                <w:rFonts w:cs="Times New Roman"/>
                <w:color w:val="000000"/>
                <w:sz w:val="18"/>
                <w:szCs w:val="18"/>
              </w:rPr>
              <w:t>白云石上料废气</w:t>
            </w:r>
          </w:p>
        </w:tc>
        <w:tc>
          <w:tcPr>
            <w:tcW w:w="324" w:type="pct"/>
            <w:vAlign w:val="center"/>
          </w:tcPr>
          <w:p w14:paraId="5BEFCE30">
            <w:pPr>
              <w:pStyle w:val="133"/>
              <w:rPr>
                <w:sz w:val="18"/>
                <w:szCs w:val="18"/>
              </w:rPr>
            </w:pPr>
            <w:r>
              <w:rPr>
                <w:rFonts w:cs="Times New Roman"/>
                <w:color w:val="000000"/>
                <w:sz w:val="18"/>
                <w:szCs w:val="18"/>
              </w:rPr>
              <w:t>-649</w:t>
            </w:r>
          </w:p>
        </w:tc>
        <w:tc>
          <w:tcPr>
            <w:tcW w:w="324" w:type="pct"/>
            <w:vAlign w:val="center"/>
          </w:tcPr>
          <w:p w14:paraId="19C5F8F5">
            <w:pPr>
              <w:pStyle w:val="133"/>
              <w:rPr>
                <w:sz w:val="18"/>
                <w:szCs w:val="18"/>
              </w:rPr>
            </w:pPr>
            <w:r>
              <w:rPr>
                <w:rFonts w:cs="Times New Roman"/>
                <w:color w:val="000000"/>
                <w:sz w:val="18"/>
                <w:szCs w:val="18"/>
              </w:rPr>
              <w:t>0</w:t>
            </w:r>
          </w:p>
        </w:tc>
        <w:tc>
          <w:tcPr>
            <w:tcW w:w="362" w:type="pct"/>
            <w:noWrap/>
            <w:vAlign w:val="center"/>
          </w:tcPr>
          <w:p w14:paraId="5AEC8999">
            <w:pPr>
              <w:pStyle w:val="133"/>
              <w:rPr>
                <w:sz w:val="18"/>
                <w:szCs w:val="18"/>
              </w:rPr>
            </w:pPr>
            <w:r>
              <w:rPr>
                <w:rFonts w:cs="Times New Roman"/>
                <w:color w:val="000000"/>
                <w:sz w:val="18"/>
                <w:szCs w:val="18"/>
              </w:rPr>
              <w:t>15</w:t>
            </w:r>
          </w:p>
        </w:tc>
        <w:tc>
          <w:tcPr>
            <w:tcW w:w="359" w:type="pct"/>
            <w:noWrap/>
            <w:vAlign w:val="center"/>
          </w:tcPr>
          <w:p w14:paraId="3F678E12">
            <w:pPr>
              <w:pStyle w:val="133"/>
              <w:rPr>
                <w:sz w:val="18"/>
                <w:szCs w:val="18"/>
              </w:rPr>
            </w:pPr>
            <w:r>
              <w:rPr>
                <w:rFonts w:cs="Times New Roman"/>
                <w:color w:val="000000"/>
                <w:sz w:val="18"/>
                <w:szCs w:val="18"/>
              </w:rPr>
              <w:t>1</w:t>
            </w:r>
          </w:p>
        </w:tc>
        <w:tc>
          <w:tcPr>
            <w:tcW w:w="361" w:type="pct"/>
            <w:noWrap/>
            <w:vAlign w:val="center"/>
          </w:tcPr>
          <w:p w14:paraId="02C21A11">
            <w:pPr>
              <w:pStyle w:val="133"/>
              <w:rPr>
                <w:sz w:val="18"/>
                <w:szCs w:val="18"/>
              </w:rPr>
            </w:pPr>
            <w:r>
              <w:rPr>
                <w:rFonts w:cs="Times New Roman"/>
                <w:color w:val="000000"/>
                <w:sz w:val="18"/>
                <w:szCs w:val="18"/>
              </w:rPr>
              <w:t>25</w:t>
            </w:r>
          </w:p>
        </w:tc>
        <w:tc>
          <w:tcPr>
            <w:tcW w:w="329" w:type="pct"/>
            <w:vAlign w:val="center"/>
          </w:tcPr>
          <w:p w14:paraId="6B6EA343">
            <w:pPr>
              <w:pStyle w:val="133"/>
              <w:rPr>
                <w:sz w:val="18"/>
                <w:szCs w:val="18"/>
              </w:rPr>
            </w:pPr>
            <w:r>
              <w:rPr>
                <w:rFonts w:cs="Times New Roman"/>
                <w:color w:val="000000"/>
                <w:sz w:val="18"/>
                <w:szCs w:val="18"/>
              </w:rPr>
              <w:t>30000</w:t>
            </w:r>
          </w:p>
        </w:tc>
        <w:tc>
          <w:tcPr>
            <w:tcW w:w="254" w:type="pct"/>
            <w:vAlign w:val="center"/>
          </w:tcPr>
          <w:p w14:paraId="0E7A3E2D">
            <w:pPr>
              <w:pStyle w:val="133"/>
              <w:rPr>
                <w:sz w:val="18"/>
                <w:szCs w:val="18"/>
              </w:rPr>
            </w:pPr>
          </w:p>
        </w:tc>
        <w:tc>
          <w:tcPr>
            <w:tcW w:w="254" w:type="pct"/>
            <w:vAlign w:val="center"/>
          </w:tcPr>
          <w:p w14:paraId="02B00012">
            <w:pPr>
              <w:pStyle w:val="133"/>
              <w:rPr>
                <w:sz w:val="18"/>
                <w:szCs w:val="18"/>
              </w:rPr>
            </w:pPr>
          </w:p>
        </w:tc>
        <w:tc>
          <w:tcPr>
            <w:tcW w:w="254" w:type="pct"/>
            <w:noWrap/>
            <w:vAlign w:val="center"/>
          </w:tcPr>
          <w:p w14:paraId="34FF5D19">
            <w:pPr>
              <w:pStyle w:val="133"/>
              <w:rPr>
                <w:sz w:val="18"/>
                <w:szCs w:val="18"/>
              </w:rPr>
            </w:pPr>
            <w:r>
              <w:rPr>
                <w:rFonts w:cs="Times New Roman"/>
                <w:color w:val="000000"/>
                <w:sz w:val="18"/>
                <w:szCs w:val="18"/>
              </w:rPr>
              <w:t>0.903</w:t>
            </w:r>
          </w:p>
        </w:tc>
        <w:tc>
          <w:tcPr>
            <w:tcW w:w="254" w:type="pct"/>
            <w:noWrap/>
            <w:vAlign w:val="center"/>
          </w:tcPr>
          <w:p w14:paraId="43A36884">
            <w:pPr>
              <w:pStyle w:val="133"/>
              <w:rPr>
                <w:sz w:val="18"/>
                <w:szCs w:val="18"/>
              </w:rPr>
            </w:pPr>
            <w:r>
              <w:rPr>
                <w:rFonts w:cs="Times New Roman"/>
                <w:color w:val="000000"/>
                <w:sz w:val="18"/>
                <w:szCs w:val="18"/>
              </w:rPr>
              <w:t>0.4515</w:t>
            </w:r>
          </w:p>
        </w:tc>
        <w:tc>
          <w:tcPr>
            <w:tcW w:w="254" w:type="pct"/>
            <w:vAlign w:val="center"/>
          </w:tcPr>
          <w:p w14:paraId="6EED7807">
            <w:pPr>
              <w:pStyle w:val="133"/>
              <w:rPr>
                <w:sz w:val="18"/>
                <w:szCs w:val="18"/>
              </w:rPr>
            </w:pPr>
          </w:p>
        </w:tc>
        <w:tc>
          <w:tcPr>
            <w:tcW w:w="254" w:type="pct"/>
            <w:vAlign w:val="center"/>
          </w:tcPr>
          <w:p w14:paraId="272289D9">
            <w:pPr>
              <w:pStyle w:val="133"/>
              <w:rPr>
                <w:sz w:val="18"/>
                <w:szCs w:val="18"/>
              </w:rPr>
            </w:pPr>
          </w:p>
        </w:tc>
        <w:tc>
          <w:tcPr>
            <w:tcW w:w="254" w:type="pct"/>
            <w:vAlign w:val="center"/>
          </w:tcPr>
          <w:p w14:paraId="730F137C">
            <w:pPr>
              <w:pStyle w:val="133"/>
              <w:rPr>
                <w:sz w:val="18"/>
                <w:szCs w:val="18"/>
              </w:rPr>
            </w:pPr>
          </w:p>
        </w:tc>
        <w:tc>
          <w:tcPr>
            <w:tcW w:w="251" w:type="pct"/>
            <w:vAlign w:val="center"/>
          </w:tcPr>
          <w:p w14:paraId="246B6B18">
            <w:pPr>
              <w:pStyle w:val="133"/>
              <w:rPr>
                <w:sz w:val="18"/>
                <w:szCs w:val="18"/>
              </w:rPr>
            </w:pPr>
          </w:p>
        </w:tc>
      </w:tr>
      <w:tr w14:paraId="19D98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17BD61E8">
            <w:pPr>
              <w:pStyle w:val="133"/>
              <w:rPr>
                <w:sz w:val="18"/>
                <w:szCs w:val="18"/>
              </w:rPr>
            </w:pPr>
            <w:r>
              <w:rPr>
                <w:rFonts w:hint="eastAsia"/>
                <w:sz w:val="18"/>
                <w:szCs w:val="18"/>
              </w:rPr>
              <w:t>4</w:t>
            </w:r>
          </w:p>
        </w:tc>
        <w:tc>
          <w:tcPr>
            <w:tcW w:w="671" w:type="pct"/>
            <w:noWrap/>
            <w:vAlign w:val="center"/>
          </w:tcPr>
          <w:p w14:paraId="5761BE32">
            <w:pPr>
              <w:pStyle w:val="133"/>
              <w:rPr>
                <w:sz w:val="18"/>
                <w:szCs w:val="18"/>
              </w:rPr>
            </w:pPr>
            <w:r>
              <w:rPr>
                <w:rFonts w:hint="eastAsia" w:cs="Times New Roman"/>
                <w:color w:val="000000"/>
                <w:sz w:val="18"/>
                <w:szCs w:val="18"/>
              </w:rPr>
              <w:t>在建</w:t>
            </w:r>
            <w:r>
              <w:rPr>
                <w:rFonts w:cs="Times New Roman"/>
                <w:color w:val="000000"/>
                <w:sz w:val="18"/>
                <w:szCs w:val="18"/>
              </w:rPr>
              <w:t>白云石筛分废气</w:t>
            </w:r>
          </w:p>
        </w:tc>
        <w:tc>
          <w:tcPr>
            <w:tcW w:w="324" w:type="pct"/>
            <w:vAlign w:val="center"/>
          </w:tcPr>
          <w:p w14:paraId="5BCA77DA">
            <w:pPr>
              <w:pStyle w:val="133"/>
              <w:rPr>
                <w:sz w:val="18"/>
                <w:szCs w:val="18"/>
              </w:rPr>
            </w:pPr>
            <w:r>
              <w:rPr>
                <w:rFonts w:cs="Times New Roman"/>
                <w:color w:val="000000"/>
                <w:sz w:val="18"/>
                <w:szCs w:val="18"/>
              </w:rPr>
              <w:t>-616</w:t>
            </w:r>
          </w:p>
        </w:tc>
        <w:tc>
          <w:tcPr>
            <w:tcW w:w="324" w:type="pct"/>
            <w:vAlign w:val="center"/>
          </w:tcPr>
          <w:p w14:paraId="0164D16C">
            <w:pPr>
              <w:pStyle w:val="133"/>
              <w:rPr>
                <w:sz w:val="18"/>
                <w:szCs w:val="18"/>
              </w:rPr>
            </w:pPr>
            <w:r>
              <w:rPr>
                <w:rFonts w:cs="Times New Roman"/>
                <w:color w:val="000000"/>
                <w:sz w:val="18"/>
                <w:szCs w:val="18"/>
              </w:rPr>
              <w:t>-33</w:t>
            </w:r>
          </w:p>
        </w:tc>
        <w:tc>
          <w:tcPr>
            <w:tcW w:w="362" w:type="pct"/>
            <w:noWrap/>
            <w:vAlign w:val="center"/>
          </w:tcPr>
          <w:p w14:paraId="13C2CCF1">
            <w:pPr>
              <w:pStyle w:val="133"/>
              <w:rPr>
                <w:sz w:val="18"/>
                <w:szCs w:val="18"/>
              </w:rPr>
            </w:pPr>
            <w:r>
              <w:rPr>
                <w:rFonts w:cs="Times New Roman"/>
                <w:color w:val="000000"/>
                <w:sz w:val="18"/>
                <w:szCs w:val="18"/>
              </w:rPr>
              <w:t>15</w:t>
            </w:r>
          </w:p>
        </w:tc>
        <w:tc>
          <w:tcPr>
            <w:tcW w:w="359" w:type="pct"/>
            <w:noWrap/>
            <w:vAlign w:val="center"/>
          </w:tcPr>
          <w:p w14:paraId="333CEF94">
            <w:pPr>
              <w:pStyle w:val="133"/>
              <w:rPr>
                <w:sz w:val="18"/>
                <w:szCs w:val="18"/>
              </w:rPr>
            </w:pPr>
            <w:r>
              <w:rPr>
                <w:rFonts w:cs="Times New Roman"/>
                <w:color w:val="000000"/>
                <w:sz w:val="18"/>
                <w:szCs w:val="18"/>
              </w:rPr>
              <w:t>1</w:t>
            </w:r>
          </w:p>
        </w:tc>
        <w:tc>
          <w:tcPr>
            <w:tcW w:w="361" w:type="pct"/>
            <w:noWrap/>
            <w:vAlign w:val="center"/>
          </w:tcPr>
          <w:p w14:paraId="43BFBE52">
            <w:pPr>
              <w:pStyle w:val="133"/>
              <w:rPr>
                <w:sz w:val="18"/>
                <w:szCs w:val="18"/>
              </w:rPr>
            </w:pPr>
            <w:r>
              <w:rPr>
                <w:rFonts w:cs="Times New Roman"/>
                <w:color w:val="000000"/>
                <w:sz w:val="18"/>
                <w:szCs w:val="18"/>
              </w:rPr>
              <w:t>25</w:t>
            </w:r>
          </w:p>
        </w:tc>
        <w:tc>
          <w:tcPr>
            <w:tcW w:w="329" w:type="pct"/>
            <w:vAlign w:val="center"/>
          </w:tcPr>
          <w:p w14:paraId="2DF51ECD">
            <w:pPr>
              <w:pStyle w:val="133"/>
              <w:rPr>
                <w:sz w:val="18"/>
                <w:szCs w:val="18"/>
              </w:rPr>
            </w:pPr>
            <w:r>
              <w:rPr>
                <w:rFonts w:cs="Times New Roman"/>
                <w:color w:val="000000"/>
                <w:sz w:val="18"/>
                <w:szCs w:val="18"/>
              </w:rPr>
              <w:t>36000</w:t>
            </w:r>
          </w:p>
        </w:tc>
        <w:tc>
          <w:tcPr>
            <w:tcW w:w="254" w:type="pct"/>
            <w:vAlign w:val="center"/>
          </w:tcPr>
          <w:p w14:paraId="2FAB79E3">
            <w:pPr>
              <w:pStyle w:val="133"/>
              <w:rPr>
                <w:sz w:val="18"/>
                <w:szCs w:val="18"/>
              </w:rPr>
            </w:pPr>
          </w:p>
        </w:tc>
        <w:tc>
          <w:tcPr>
            <w:tcW w:w="254" w:type="pct"/>
            <w:vAlign w:val="center"/>
          </w:tcPr>
          <w:p w14:paraId="606FC404">
            <w:pPr>
              <w:pStyle w:val="133"/>
              <w:rPr>
                <w:sz w:val="18"/>
                <w:szCs w:val="18"/>
              </w:rPr>
            </w:pPr>
          </w:p>
        </w:tc>
        <w:tc>
          <w:tcPr>
            <w:tcW w:w="254" w:type="pct"/>
            <w:noWrap/>
            <w:vAlign w:val="center"/>
          </w:tcPr>
          <w:p w14:paraId="3ABFC364">
            <w:pPr>
              <w:pStyle w:val="133"/>
              <w:rPr>
                <w:sz w:val="18"/>
                <w:szCs w:val="18"/>
              </w:rPr>
            </w:pPr>
            <w:r>
              <w:rPr>
                <w:rFonts w:cs="Times New Roman"/>
                <w:color w:val="000000"/>
                <w:sz w:val="18"/>
                <w:szCs w:val="18"/>
              </w:rPr>
              <w:t>0.844</w:t>
            </w:r>
          </w:p>
        </w:tc>
        <w:tc>
          <w:tcPr>
            <w:tcW w:w="254" w:type="pct"/>
            <w:noWrap/>
            <w:vAlign w:val="center"/>
          </w:tcPr>
          <w:p w14:paraId="69B7A96B">
            <w:pPr>
              <w:pStyle w:val="133"/>
              <w:rPr>
                <w:sz w:val="18"/>
                <w:szCs w:val="18"/>
              </w:rPr>
            </w:pPr>
            <w:r>
              <w:rPr>
                <w:rFonts w:cs="Times New Roman"/>
                <w:color w:val="000000"/>
                <w:sz w:val="18"/>
                <w:szCs w:val="18"/>
              </w:rPr>
              <w:t>0.422</w:t>
            </w:r>
          </w:p>
        </w:tc>
        <w:tc>
          <w:tcPr>
            <w:tcW w:w="254" w:type="pct"/>
            <w:vAlign w:val="center"/>
          </w:tcPr>
          <w:p w14:paraId="45EB62C2">
            <w:pPr>
              <w:pStyle w:val="133"/>
              <w:rPr>
                <w:sz w:val="18"/>
                <w:szCs w:val="18"/>
              </w:rPr>
            </w:pPr>
          </w:p>
        </w:tc>
        <w:tc>
          <w:tcPr>
            <w:tcW w:w="254" w:type="pct"/>
            <w:vAlign w:val="center"/>
          </w:tcPr>
          <w:p w14:paraId="7238941A">
            <w:pPr>
              <w:pStyle w:val="133"/>
              <w:rPr>
                <w:sz w:val="18"/>
                <w:szCs w:val="18"/>
              </w:rPr>
            </w:pPr>
          </w:p>
        </w:tc>
        <w:tc>
          <w:tcPr>
            <w:tcW w:w="254" w:type="pct"/>
            <w:vAlign w:val="center"/>
          </w:tcPr>
          <w:p w14:paraId="7F968B4C">
            <w:pPr>
              <w:pStyle w:val="133"/>
              <w:rPr>
                <w:sz w:val="18"/>
                <w:szCs w:val="18"/>
              </w:rPr>
            </w:pPr>
          </w:p>
        </w:tc>
        <w:tc>
          <w:tcPr>
            <w:tcW w:w="251" w:type="pct"/>
            <w:vAlign w:val="center"/>
          </w:tcPr>
          <w:p w14:paraId="4D6AEB81">
            <w:pPr>
              <w:pStyle w:val="133"/>
              <w:rPr>
                <w:sz w:val="18"/>
                <w:szCs w:val="18"/>
              </w:rPr>
            </w:pPr>
          </w:p>
        </w:tc>
      </w:tr>
      <w:tr w14:paraId="4D601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494F0D60">
            <w:pPr>
              <w:pStyle w:val="133"/>
              <w:rPr>
                <w:sz w:val="18"/>
                <w:szCs w:val="18"/>
              </w:rPr>
            </w:pPr>
            <w:r>
              <w:rPr>
                <w:rFonts w:hint="eastAsia"/>
                <w:sz w:val="18"/>
                <w:szCs w:val="18"/>
              </w:rPr>
              <w:t>5</w:t>
            </w:r>
          </w:p>
        </w:tc>
        <w:tc>
          <w:tcPr>
            <w:tcW w:w="671" w:type="pct"/>
            <w:noWrap/>
            <w:vAlign w:val="center"/>
          </w:tcPr>
          <w:p w14:paraId="78C0EB12">
            <w:pPr>
              <w:pStyle w:val="133"/>
              <w:rPr>
                <w:sz w:val="18"/>
                <w:szCs w:val="18"/>
              </w:rPr>
            </w:pPr>
            <w:r>
              <w:rPr>
                <w:rFonts w:hint="eastAsia" w:cs="Times New Roman"/>
                <w:color w:val="000000"/>
                <w:sz w:val="18"/>
                <w:szCs w:val="18"/>
              </w:rPr>
              <w:t>在建</w:t>
            </w:r>
            <w:r>
              <w:rPr>
                <w:rFonts w:cs="Times New Roman"/>
                <w:color w:val="000000"/>
                <w:sz w:val="18"/>
                <w:szCs w:val="18"/>
              </w:rPr>
              <w:t>白云石粉仓废气</w:t>
            </w:r>
          </w:p>
        </w:tc>
        <w:tc>
          <w:tcPr>
            <w:tcW w:w="324" w:type="pct"/>
            <w:vAlign w:val="center"/>
          </w:tcPr>
          <w:p w14:paraId="1C071185">
            <w:pPr>
              <w:pStyle w:val="133"/>
              <w:rPr>
                <w:sz w:val="18"/>
                <w:szCs w:val="18"/>
              </w:rPr>
            </w:pPr>
            <w:r>
              <w:rPr>
                <w:rFonts w:cs="Times New Roman"/>
                <w:color w:val="000000"/>
                <w:sz w:val="18"/>
                <w:szCs w:val="18"/>
              </w:rPr>
              <w:t>-519</w:t>
            </w:r>
          </w:p>
        </w:tc>
        <w:tc>
          <w:tcPr>
            <w:tcW w:w="324" w:type="pct"/>
            <w:vAlign w:val="center"/>
          </w:tcPr>
          <w:p w14:paraId="5637D815">
            <w:pPr>
              <w:pStyle w:val="133"/>
              <w:rPr>
                <w:sz w:val="18"/>
                <w:szCs w:val="18"/>
              </w:rPr>
            </w:pPr>
            <w:r>
              <w:rPr>
                <w:rFonts w:cs="Times New Roman"/>
                <w:color w:val="000000"/>
                <w:sz w:val="18"/>
                <w:szCs w:val="18"/>
              </w:rPr>
              <w:t>-33</w:t>
            </w:r>
          </w:p>
        </w:tc>
        <w:tc>
          <w:tcPr>
            <w:tcW w:w="362" w:type="pct"/>
            <w:noWrap/>
            <w:vAlign w:val="center"/>
          </w:tcPr>
          <w:p w14:paraId="37698362">
            <w:pPr>
              <w:pStyle w:val="133"/>
              <w:rPr>
                <w:sz w:val="18"/>
                <w:szCs w:val="18"/>
              </w:rPr>
            </w:pPr>
            <w:r>
              <w:rPr>
                <w:rFonts w:cs="Times New Roman"/>
                <w:color w:val="000000"/>
                <w:sz w:val="18"/>
                <w:szCs w:val="18"/>
              </w:rPr>
              <w:t>15</w:t>
            </w:r>
          </w:p>
        </w:tc>
        <w:tc>
          <w:tcPr>
            <w:tcW w:w="359" w:type="pct"/>
            <w:noWrap/>
            <w:vAlign w:val="center"/>
          </w:tcPr>
          <w:p w14:paraId="65E213B3">
            <w:pPr>
              <w:pStyle w:val="133"/>
              <w:rPr>
                <w:sz w:val="18"/>
                <w:szCs w:val="18"/>
              </w:rPr>
            </w:pPr>
            <w:r>
              <w:rPr>
                <w:rFonts w:cs="Times New Roman"/>
                <w:color w:val="000000"/>
                <w:sz w:val="18"/>
                <w:szCs w:val="18"/>
              </w:rPr>
              <w:t>0.3</w:t>
            </w:r>
          </w:p>
        </w:tc>
        <w:tc>
          <w:tcPr>
            <w:tcW w:w="361" w:type="pct"/>
            <w:noWrap/>
            <w:vAlign w:val="center"/>
          </w:tcPr>
          <w:p w14:paraId="2D1AB6B6">
            <w:pPr>
              <w:pStyle w:val="133"/>
              <w:rPr>
                <w:sz w:val="18"/>
                <w:szCs w:val="18"/>
              </w:rPr>
            </w:pPr>
            <w:r>
              <w:rPr>
                <w:rFonts w:cs="Times New Roman"/>
                <w:color w:val="000000"/>
                <w:sz w:val="18"/>
                <w:szCs w:val="18"/>
              </w:rPr>
              <w:t>25</w:t>
            </w:r>
          </w:p>
        </w:tc>
        <w:tc>
          <w:tcPr>
            <w:tcW w:w="329" w:type="pct"/>
            <w:vAlign w:val="center"/>
          </w:tcPr>
          <w:p w14:paraId="74E0212E">
            <w:pPr>
              <w:pStyle w:val="133"/>
              <w:rPr>
                <w:sz w:val="18"/>
                <w:szCs w:val="18"/>
              </w:rPr>
            </w:pPr>
            <w:r>
              <w:rPr>
                <w:rFonts w:cs="Times New Roman"/>
                <w:color w:val="000000"/>
                <w:sz w:val="18"/>
                <w:szCs w:val="18"/>
              </w:rPr>
              <w:t>2500</w:t>
            </w:r>
          </w:p>
        </w:tc>
        <w:tc>
          <w:tcPr>
            <w:tcW w:w="254" w:type="pct"/>
            <w:vAlign w:val="center"/>
          </w:tcPr>
          <w:p w14:paraId="5565E356">
            <w:pPr>
              <w:pStyle w:val="133"/>
              <w:rPr>
                <w:sz w:val="18"/>
                <w:szCs w:val="18"/>
              </w:rPr>
            </w:pPr>
          </w:p>
        </w:tc>
        <w:tc>
          <w:tcPr>
            <w:tcW w:w="254" w:type="pct"/>
            <w:vAlign w:val="center"/>
          </w:tcPr>
          <w:p w14:paraId="40CF3D5F">
            <w:pPr>
              <w:pStyle w:val="133"/>
              <w:rPr>
                <w:sz w:val="18"/>
                <w:szCs w:val="18"/>
              </w:rPr>
            </w:pPr>
          </w:p>
        </w:tc>
        <w:tc>
          <w:tcPr>
            <w:tcW w:w="254" w:type="pct"/>
            <w:noWrap/>
            <w:vAlign w:val="center"/>
          </w:tcPr>
          <w:p w14:paraId="69724B43">
            <w:pPr>
              <w:pStyle w:val="133"/>
              <w:rPr>
                <w:sz w:val="18"/>
                <w:szCs w:val="18"/>
              </w:rPr>
            </w:pPr>
            <w:r>
              <w:rPr>
                <w:rFonts w:cs="Times New Roman"/>
                <w:color w:val="000000"/>
                <w:sz w:val="18"/>
                <w:szCs w:val="18"/>
              </w:rPr>
              <w:t>0.067</w:t>
            </w:r>
          </w:p>
        </w:tc>
        <w:tc>
          <w:tcPr>
            <w:tcW w:w="254" w:type="pct"/>
            <w:noWrap/>
            <w:vAlign w:val="center"/>
          </w:tcPr>
          <w:p w14:paraId="60BE3CCD">
            <w:pPr>
              <w:pStyle w:val="133"/>
              <w:rPr>
                <w:sz w:val="18"/>
                <w:szCs w:val="18"/>
              </w:rPr>
            </w:pPr>
            <w:r>
              <w:rPr>
                <w:rFonts w:cs="Times New Roman"/>
                <w:color w:val="000000"/>
                <w:sz w:val="18"/>
                <w:szCs w:val="18"/>
              </w:rPr>
              <w:t>0.0335</w:t>
            </w:r>
          </w:p>
        </w:tc>
        <w:tc>
          <w:tcPr>
            <w:tcW w:w="254" w:type="pct"/>
            <w:vAlign w:val="center"/>
          </w:tcPr>
          <w:p w14:paraId="7D2F8126">
            <w:pPr>
              <w:pStyle w:val="133"/>
              <w:rPr>
                <w:sz w:val="18"/>
                <w:szCs w:val="18"/>
              </w:rPr>
            </w:pPr>
          </w:p>
        </w:tc>
        <w:tc>
          <w:tcPr>
            <w:tcW w:w="254" w:type="pct"/>
            <w:vAlign w:val="center"/>
          </w:tcPr>
          <w:p w14:paraId="227A989A">
            <w:pPr>
              <w:pStyle w:val="133"/>
              <w:rPr>
                <w:sz w:val="18"/>
                <w:szCs w:val="18"/>
              </w:rPr>
            </w:pPr>
          </w:p>
        </w:tc>
        <w:tc>
          <w:tcPr>
            <w:tcW w:w="254" w:type="pct"/>
            <w:vAlign w:val="center"/>
          </w:tcPr>
          <w:p w14:paraId="543D00EB">
            <w:pPr>
              <w:pStyle w:val="133"/>
              <w:rPr>
                <w:sz w:val="18"/>
                <w:szCs w:val="18"/>
              </w:rPr>
            </w:pPr>
          </w:p>
        </w:tc>
        <w:tc>
          <w:tcPr>
            <w:tcW w:w="251" w:type="pct"/>
            <w:vAlign w:val="center"/>
          </w:tcPr>
          <w:p w14:paraId="43592152">
            <w:pPr>
              <w:pStyle w:val="133"/>
              <w:rPr>
                <w:sz w:val="18"/>
                <w:szCs w:val="18"/>
              </w:rPr>
            </w:pPr>
          </w:p>
        </w:tc>
      </w:tr>
      <w:tr w14:paraId="69DC1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AE4DCC3">
            <w:pPr>
              <w:pStyle w:val="133"/>
              <w:rPr>
                <w:sz w:val="18"/>
                <w:szCs w:val="18"/>
              </w:rPr>
            </w:pPr>
            <w:r>
              <w:rPr>
                <w:rFonts w:hint="eastAsia"/>
                <w:sz w:val="18"/>
                <w:szCs w:val="18"/>
              </w:rPr>
              <w:t>6</w:t>
            </w:r>
          </w:p>
        </w:tc>
        <w:tc>
          <w:tcPr>
            <w:tcW w:w="671" w:type="pct"/>
            <w:noWrap/>
            <w:vAlign w:val="center"/>
          </w:tcPr>
          <w:p w14:paraId="38F61D40">
            <w:pPr>
              <w:pStyle w:val="133"/>
              <w:rPr>
                <w:sz w:val="18"/>
                <w:szCs w:val="18"/>
              </w:rPr>
            </w:pPr>
            <w:r>
              <w:rPr>
                <w:rFonts w:hint="eastAsia" w:cs="Times New Roman"/>
                <w:color w:val="000000"/>
                <w:sz w:val="18"/>
                <w:szCs w:val="18"/>
              </w:rPr>
              <w:t>在建</w:t>
            </w:r>
            <w:r>
              <w:rPr>
                <w:rFonts w:cs="Times New Roman"/>
                <w:color w:val="000000"/>
                <w:sz w:val="18"/>
                <w:szCs w:val="18"/>
              </w:rPr>
              <w:t>白云石煅烧窑尾烟气</w:t>
            </w:r>
          </w:p>
        </w:tc>
        <w:tc>
          <w:tcPr>
            <w:tcW w:w="324" w:type="pct"/>
            <w:vAlign w:val="center"/>
          </w:tcPr>
          <w:p w14:paraId="54CCF631">
            <w:pPr>
              <w:pStyle w:val="133"/>
              <w:rPr>
                <w:sz w:val="18"/>
                <w:szCs w:val="18"/>
              </w:rPr>
            </w:pPr>
            <w:r>
              <w:rPr>
                <w:rFonts w:cs="Times New Roman"/>
                <w:color w:val="000000"/>
                <w:sz w:val="18"/>
                <w:szCs w:val="18"/>
              </w:rPr>
              <w:t>-357</w:t>
            </w:r>
          </w:p>
        </w:tc>
        <w:tc>
          <w:tcPr>
            <w:tcW w:w="324" w:type="pct"/>
            <w:vAlign w:val="center"/>
          </w:tcPr>
          <w:p w14:paraId="560D9CC0">
            <w:pPr>
              <w:pStyle w:val="133"/>
              <w:rPr>
                <w:sz w:val="18"/>
                <w:szCs w:val="18"/>
              </w:rPr>
            </w:pPr>
            <w:r>
              <w:rPr>
                <w:rFonts w:cs="Times New Roman"/>
                <w:color w:val="000000"/>
                <w:sz w:val="18"/>
                <w:szCs w:val="18"/>
              </w:rPr>
              <w:t>0</w:t>
            </w:r>
          </w:p>
        </w:tc>
        <w:tc>
          <w:tcPr>
            <w:tcW w:w="362" w:type="pct"/>
            <w:noWrap/>
            <w:vAlign w:val="center"/>
          </w:tcPr>
          <w:p w14:paraId="6343619E">
            <w:pPr>
              <w:pStyle w:val="133"/>
              <w:rPr>
                <w:sz w:val="18"/>
                <w:szCs w:val="18"/>
              </w:rPr>
            </w:pPr>
            <w:r>
              <w:rPr>
                <w:rFonts w:cs="Times New Roman"/>
                <w:color w:val="000000"/>
                <w:sz w:val="18"/>
                <w:szCs w:val="18"/>
              </w:rPr>
              <w:t>4</w:t>
            </w:r>
            <w:r>
              <w:rPr>
                <w:rFonts w:hint="eastAsia" w:cs="Times New Roman"/>
                <w:color w:val="000000"/>
                <w:sz w:val="18"/>
                <w:szCs w:val="18"/>
              </w:rPr>
              <w:t>5</w:t>
            </w:r>
          </w:p>
        </w:tc>
        <w:tc>
          <w:tcPr>
            <w:tcW w:w="359" w:type="pct"/>
            <w:noWrap/>
            <w:vAlign w:val="center"/>
          </w:tcPr>
          <w:p w14:paraId="2B04CB82">
            <w:pPr>
              <w:pStyle w:val="133"/>
              <w:rPr>
                <w:sz w:val="18"/>
                <w:szCs w:val="18"/>
              </w:rPr>
            </w:pPr>
            <w:r>
              <w:rPr>
                <w:rFonts w:cs="Times New Roman"/>
                <w:color w:val="000000"/>
                <w:sz w:val="18"/>
                <w:szCs w:val="18"/>
              </w:rPr>
              <w:t>3</w:t>
            </w:r>
          </w:p>
        </w:tc>
        <w:tc>
          <w:tcPr>
            <w:tcW w:w="361" w:type="pct"/>
            <w:noWrap/>
            <w:vAlign w:val="center"/>
          </w:tcPr>
          <w:p w14:paraId="71FFFD49">
            <w:pPr>
              <w:pStyle w:val="133"/>
              <w:rPr>
                <w:sz w:val="18"/>
                <w:szCs w:val="18"/>
              </w:rPr>
            </w:pPr>
            <w:r>
              <w:rPr>
                <w:rFonts w:cs="Times New Roman"/>
                <w:color w:val="000000"/>
                <w:sz w:val="18"/>
                <w:szCs w:val="18"/>
              </w:rPr>
              <w:t>80</w:t>
            </w:r>
          </w:p>
        </w:tc>
        <w:tc>
          <w:tcPr>
            <w:tcW w:w="329" w:type="pct"/>
            <w:vAlign w:val="center"/>
          </w:tcPr>
          <w:p w14:paraId="04A4C92B">
            <w:pPr>
              <w:pStyle w:val="133"/>
              <w:rPr>
                <w:sz w:val="18"/>
                <w:szCs w:val="18"/>
              </w:rPr>
            </w:pPr>
            <w:r>
              <w:rPr>
                <w:rFonts w:cs="Times New Roman"/>
                <w:color w:val="000000"/>
                <w:sz w:val="18"/>
                <w:szCs w:val="18"/>
              </w:rPr>
              <w:t>380000</w:t>
            </w:r>
          </w:p>
        </w:tc>
        <w:tc>
          <w:tcPr>
            <w:tcW w:w="254" w:type="pct"/>
            <w:vAlign w:val="center"/>
          </w:tcPr>
          <w:p w14:paraId="40C61C9C">
            <w:pPr>
              <w:pStyle w:val="133"/>
              <w:rPr>
                <w:sz w:val="18"/>
                <w:szCs w:val="18"/>
              </w:rPr>
            </w:pPr>
            <w:r>
              <w:rPr>
                <w:rFonts w:cs="Times New Roman"/>
                <w:color w:val="000000"/>
                <w:sz w:val="18"/>
                <w:szCs w:val="18"/>
              </w:rPr>
              <w:t>36.078</w:t>
            </w:r>
          </w:p>
        </w:tc>
        <w:tc>
          <w:tcPr>
            <w:tcW w:w="254" w:type="pct"/>
            <w:vAlign w:val="center"/>
          </w:tcPr>
          <w:p w14:paraId="0B446A09">
            <w:pPr>
              <w:pStyle w:val="133"/>
              <w:rPr>
                <w:sz w:val="18"/>
                <w:szCs w:val="18"/>
              </w:rPr>
            </w:pPr>
            <w:r>
              <w:rPr>
                <w:rFonts w:cs="Times New Roman"/>
                <w:color w:val="000000"/>
                <w:sz w:val="18"/>
                <w:szCs w:val="18"/>
              </w:rPr>
              <w:t>43.62</w:t>
            </w:r>
          </w:p>
        </w:tc>
        <w:tc>
          <w:tcPr>
            <w:tcW w:w="254" w:type="pct"/>
            <w:noWrap/>
            <w:vAlign w:val="center"/>
          </w:tcPr>
          <w:p w14:paraId="5AA49B2F">
            <w:pPr>
              <w:pStyle w:val="133"/>
              <w:rPr>
                <w:sz w:val="18"/>
                <w:szCs w:val="18"/>
              </w:rPr>
            </w:pPr>
            <w:r>
              <w:rPr>
                <w:rFonts w:cs="Times New Roman"/>
                <w:color w:val="000000"/>
                <w:sz w:val="18"/>
                <w:szCs w:val="18"/>
              </w:rPr>
              <w:t>11.067</w:t>
            </w:r>
          </w:p>
        </w:tc>
        <w:tc>
          <w:tcPr>
            <w:tcW w:w="254" w:type="pct"/>
            <w:noWrap/>
            <w:vAlign w:val="center"/>
          </w:tcPr>
          <w:p w14:paraId="77E23196">
            <w:pPr>
              <w:pStyle w:val="133"/>
              <w:rPr>
                <w:sz w:val="18"/>
                <w:szCs w:val="18"/>
              </w:rPr>
            </w:pPr>
            <w:r>
              <w:rPr>
                <w:rFonts w:cs="Times New Roman"/>
                <w:color w:val="000000"/>
                <w:sz w:val="18"/>
                <w:szCs w:val="18"/>
              </w:rPr>
              <w:t>5.5335</w:t>
            </w:r>
          </w:p>
        </w:tc>
        <w:tc>
          <w:tcPr>
            <w:tcW w:w="254" w:type="pct"/>
            <w:vAlign w:val="center"/>
          </w:tcPr>
          <w:p w14:paraId="3B954DB0">
            <w:pPr>
              <w:pStyle w:val="133"/>
              <w:rPr>
                <w:sz w:val="18"/>
                <w:szCs w:val="18"/>
              </w:rPr>
            </w:pPr>
          </w:p>
        </w:tc>
        <w:tc>
          <w:tcPr>
            <w:tcW w:w="254" w:type="pct"/>
            <w:vAlign w:val="center"/>
          </w:tcPr>
          <w:p w14:paraId="69D23F10">
            <w:pPr>
              <w:pStyle w:val="133"/>
              <w:rPr>
                <w:sz w:val="18"/>
                <w:szCs w:val="18"/>
              </w:rPr>
            </w:pPr>
          </w:p>
        </w:tc>
        <w:tc>
          <w:tcPr>
            <w:tcW w:w="254" w:type="pct"/>
            <w:vAlign w:val="center"/>
          </w:tcPr>
          <w:p w14:paraId="41CA38C1">
            <w:pPr>
              <w:pStyle w:val="133"/>
              <w:rPr>
                <w:sz w:val="18"/>
                <w:szCs w:val="18"/>
              </w:rPr>
            </w:pPr>
          </w:p>
        </w:tc>
        <w:tc>
          <w:tcPr>
            <w:tcW w:w="251" w:type="pct"/>
            <w:vAlign w:val="center"/>
          </w:tcPr>
          <w:p w14:paraId="05F02C31">
            <w:pPr>
              <w:pStyle w:val="133"/>
              <w:rPr>
                <w:sz w:val="18"/>
                <w:szCs w:val="18"/>
              </w:rPr>
            </w:pPr>
          </w:p>
        </w:tc>
      </w:tr>
      <w:tr w14:paraId="1B767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3AC7CCAE">
            <w:pPr>
              <w:pStyle w:val="133"/>
              <w:rPr>
                <w:sz w:val="18"/>
                <w:szCs w:val="18"/>
              </w:rPr>
            </w:pPr>
            <w:r>
              <w:rPr>
                <w:rFonts w:hint="eastAsia"/>
                <w:sz w:val="18"/>
                <w:szCs w:val="18"/>
              </w:rPr>
              <w:t>7</w:t>
            </w:r>
          </w:p>
        </w:tc>
        <w:tc>
          <w:tcPr>
            <w:tcW w:w="671" w:type="pct"/>
            <w:noWrap/>
            <w:vAlign w:val="center"/>
          </w:tcPr>
          <w:p w14:paraId="1E03F7E5">
            <w:pPr>
              <w:pStyle w:val="133"/>
              <w:rPr>
                <w:sz w:val="18"/>
                <w:szCs w:val="18"/>
              </w:rPr>
            </w:pPr>
            <w:r>
              <w:rPr>
                <w:rFonts w:hint="eastAsia" w:cs="Times New Roman"/>
                <w:color w:val="000000"/>
                <w:sz w:val="18"/>
                <w:szCs w:val="18"/>
              </w:rPr>
              <w:t>在建</w:t>
            </w:r>
            <w:r>
              <w:rPr>
                <w:rFonts w:cs="Times New Roman"/>
                <w:color w:val="000000"/>
                <w:sz w:val="18"/>
                <w:szCs w:val="18"/>
              </w:rPr>
              <w:t>锻白出料废气</w:t>
            </w:r>
          </w:p>
        </w:tc>
        <w:tc>
          <w:tcPr>
            <w:tcW w:w="324" w:type="pct"/>
            <w:vAlign w:val="center"/>
          </w:tcPr>
          <w:p w14:paraId="1949C703">
            <w:pPr>
              <w:pStyle w:val="133"/>
              <w:rPr>
                <w:sz w:val="18"/>
                <w:szCs w:val="18"/>
              </w:rPr>
            </w:pPr>
            <w:r>
              <w:rPr>
                <w:rFonts w:cs="Times New Roman"/>
                <w:color w:val="000000"/>
                <w:sz w:val="18"/>
                <w:szCs w:val="18"/>
              </w:rPr>
              <w:t>-292</w:t>
            </w:r>
          </w:p>
        </w:tc>
        <w:tc>
          <w:tcPr>
            <w:tcW w:w="324" w:type="pct"/>
            <w:vAlign w:val="center"/>
          </w:tcPr>
          <w:p w14:paraId="3E64881F">
            <w:pPr>
              <w:pStyle w:val="133"/>
              <w:rPr>
                <w:sz w:val="18"/>
                <w:szCs w:val="18"/>
              </w:rPr>
            </w:pPr>
            <w:r>
              <w:rPr>
                <w:rFonts w:cs="Times New Roman"/>
                <w:color w:val="000000"/>
                <w:sz w:val="18"/>
                <w:szCs w:val="18"/>
              </w:rPr>
              <w:t>65</w:t>
            </w:r>
          </w:p>
        </w:tc>
        <w:tc>
          <w:tcPr>
            <w:tcW w:w="362" w:type="pct"/>
            <w:noWrap/>
            <w:vAlign w:val="center"/>
          </w:tcPr>
          <w:p w14:paraId="31C6D26C">
            <w:pPr>
              <w:pStyle w:val="133"/>
              <w:rPr>
                <w:sz w:val="18"/>
                <w:szCs w:val="18"/>
              </w:rPr>
            </w:pPr>
            <w:r>
              <w:rPr>
                <w:rFonts w:cs="Times New Roman"/>
                <w:color w:val="000000"/>
                <w:sz w:val="18"/>
                <w:szCs w:val="18"/>
              </w:rPr>
              <w:t>15</w:t>
            </w:r>
          </w:p>
        </w:tc>
        <w:tc>
          <w:tcPr>
            <w:tcW w:w="359" w:type="pct"/>
            <w:noWrap/>
            <w:vAlign w:val="center"/>
          </w:tcPr>
          <w:p w14:paraId="338345D0">
            <w:pPr>
              <w:pStyle w:val="133"/>
              <w:rPr>
                <w:sz w:val="18"/>
                <w:szCs w:val="18"/>
              </w:rPr>
            </w:pPr>
            <w:r>
              <w:rPr>
                <w:rFonts w:cs="Times New Roman"/>
                <w:color w:val="000000"/>
                <w:sz w:val="18"/>
                <w:szCs w:val="18"/>
              </w:rPr>
              <w:t>1</w:t>
            </w:r>
          </w:p>
        </w:tc>
        <w:tc>
          <w:tcPr>
            <w:tcW w:w="361" w:type="pct"/>
            <w:noWrap/>
            <w:vAlign w:val="center"/>
          </w:tcPr>
          <w:p w14:paraId="4E1A0877">
            <w:pPr>
              <w:pStyle w:val="133"/>
              <w:rPr>
                <w:sz w:val="18"/>
                <w:szCs w:val="18"/>
              </w:rPr>
            </w:pPr>
            <w:r>
              <w:rPr>
                <w:rFonts w:cs="Times New Roman"/>
                <w:color w:val="000000"/>
                <w:sz w:val="18"/>
                <w:szCs w:val="18"/>
              </w:rPr>
              <w:t>25</w:t>
            </w:r>
          </w:p>
        </w:tc>
        <w:tc>
          <w:tcPr>
            <w:tcW w:w="329" w:type="pct"/>
            <w:vAlign w:val="center"/>
          </w:tcPr>
          <w:p w14:paraId="57C39725">
            <w:pPr>
              <w:pStyle w:val="133"/>
              <w:rPr>
                <w:sz w:val="18"/>
                <w:szCs w:val="18"/>
              </w:rPr>
            </w:pPr>
            <w:r>
              <w:rPr>
                <w:rFonts w:cs="Times New Roman"/>
                <w:color w:val="000000"/>
                <w:sz w:val="18"/>
                <w:szCs w:val="18"/>
              </w:rPr>
              <w:t>30000</w:t>
            </w:r>
          </w:p>
        </w:tc>
        <w:tc>
          <w:tcPr>
            <w:tcW w:w="254" w:type="pct"/>
            <w:vAlign w:val="center"/>
          </w:tcPr>
          <w:p w14:paraId="058A3F16">
            <w:pPr>
              <w:pStyle w:val="133"/>
              <w:rPr>
                <w:sz w:val="18"/>
                <w:szCs w:val="18"/>
              </w:rPr>
            </w:pPr>
          </w:p>
        </w:tc>
        <w:tc>
          <w:tcPr>
            <w:tcW w:w="254" w:type="pct"/>
            <w:vAlign w:val="center"/>
          </w:tcPr>
          <w:p w14:paraId="23A2DDE6">
            <w:pPr>
              <w:pStyle w:val="133"/>
              <w:rPr>
                <w:sz w:val="18"/>
                <w:szCs w:val="18"/>
              </w:rPr>
            </w:pPr>
          </w:p>
        </w:tc>
        <w:tc>
          <w:tcPr>
            <w:tcW w:w="254" w:type="pct"/>
            <w:noWrap/>
            <w:vAlign w:val="center"/>
          </w:tcPr>
          <w:p w14:paraId="3A278F28">
            <w:pPr>
              <w:pStyle w:val="133"/>
              <w:rPr>
                <w:sz w:val="18"/>
                <w:szCs w:val="18"/>
              </w:rPr>
            </w:pPr>
            <w:r>
              <w:rPr>
                <w:rFonts w:cs="Times New Roman"/>
                <w:color w:val="000000"/>
                <w:sz w:val="18"/>
                <w:szCs w:val="18"/>
              </w:rPr>
              <w:t>0.265</w:t>
            </w:r>
          </w:p>
        </w:tc>
        <w:tc>
          <w:tcPr>
            <w:tcW w:w="254" w:type="pct"/>
            <w:noWrap/>
            <w:vAlign w:val="center"/>
          </w:tcPr>
          <w:p w14:paraId="1AABB9C4">
            <w:pPr>
              <w:pStyle w:val="133"/>
              <w:rPr>
                <w:sz w:val="18"/>
                <w:szCs w:val="18"/>
              </w:rPr>
            </w:pPr>
            <w:r>
              <w:rPr>
                <w:rFonts w:cs="Times New Roman"/>
                <w:color w:val="000000"/>
                <w:sz w:val="18"/>
                <w:szCs w:val="18"/>
              </w:rPr>
              <w:t>0.1325</w:t>
            </w:r>
          </w:p>
        </w:tc>
        <w:tc>
          <w:tcPr>
            <w:tcW w:w="254" w:type="pct"/>
            <w:vAlign w:val="center"/>
          </w:tcPr>
          <w:p w14:paraId="49024B93">
            <w:pPr>
              <w:pStyle w:val="133"/>
              <w:rPr>
                <w:sz w:val="18"/>
                <w:szCs w:val="18"/>
              </w:rPr>
            </w:pPr>
          </w:p>
        </w:tc>
        <w:tc>
          <w:tcPr>
            <w:tcW w:w="254" w:type="pct"/>
            <w:vAlign w:val="center"/>
          </w:tcPr>
          <w:p w14:paraId="781A2928">
            <w:pPr>
              <w:pStyle w:val="133"/>
              <w:rPr>
                <w:sz w:val="18"/>
                <w:szCs w:val="18"/>
              </w:rPr>
            </w:pPr>
          </w:p>
        </w:tc>
        <w:tc>
          <w:tcPr>
            <w:tcW w:w="254" w:type="pct"/>
            <w:vAlign w:val="center"/>
          </w:tcPr>
          <w:p w14:paraId="1EA9CCCF">
            <w:pPr>
              <w:pStyle w:val="133"/>
              <w:rPr>
                <w:sz w:val="18"/>
                <w:szCs w:val="18"/>
              </w:rPr>
            </w:pPr>
          </w:p>
        </w:tc>
        <w:tc>
          <w:tcPr>
            <w:tcW w:w="251" w:type="pct"/>
            <w:vAlign w:val="center"/>
          </w:tcPr>
          <w:p w14:paraId="7322DC9D">
            <w:pPr>
              <w:pStyle w:val="133"/>
              <w:rPr>
                <w:sz w:val="18"/>
                <w:szCs w:val="18"/>
              </w:rPr>
            </w:pPr>
          </w:p>
        </w:tc>
      </w:tr>
      <w:tr w14:paraId="3B94D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2A6C1A1E">
            <w:pPr>
              <w:pStyle w:val="133"/>
              <w:rPr>
                <w:sz w:val="18"/>
                <w:szCs w:val="18"/>
              </w:rPr>
            </w:pPr>
            <w:r>
              <w:rPr>
                <w:rFonts w:hint="eastAsia"/>
                <w:sz w:val="18"/>
                <w:szCs w:val="18"/>
              </w:rPr>
              <w:t>8</w:t>
            </w:r>
          </w:p>
        </w:tc>
        <w:tc>
          <w:tcPr>
            <w:tcW w:w="671" w:type="pct"/>
            <w:noWrap/>
            <w:vAlign w:val="center"/>
          </w:tcPr>
          <w:p w14:paraId="1032C07A">
            <w:pPr>
              <w:pStyle w:val="133"/>
              <w:rPr>
                <w:sz w:val="18"/>
                <w:szCs w:val="18"/>
              </w:rPr>
            </w:pPr>
            <w:r>
              <w:rPr>
                <w:rFonts w:hint="eastAsia" w:cs="Times New Roman"/>
                <w:color w:val="000000"/>
                <w:sz w:val="18"/>
                <w:szCs w:val="18"/>
              </w:rPr>
              <w:t>在建</w:t>
            </w:r>
            <w:r>
              <w:rPr>
                <w:rFonts w:cs="Times New Roman"/>
                <w:color w:val="000000"/>
                <w:sz w:val="18"/>
                <w:szCs w:val="18"/>
              </w:rPr>
              <w:t>锻白转运仓废气</w:t>
            </w:r>
          </w:p>
        </w:tc>
        <w:tc>
          <w:tcPr>
            <w:tcW w:w="324" w:type="pct"/>
            <w:vAlign w:val="center"/>
          </w:tcPr>
          <w:p w14:paraId="060EB80E">
            <w:pPr>
              <w:pStyle w:val="133"/>
              <w:rPr>
                <w:sz w:val="18"/>
                <w:szCs w:val="18"/>
              </w:rPr>
            </w:pPr>
            <w:r>
              <w:rPr>
                <w:rFonts w:cs="Times New Roman"/>
                <w:color w:val="000000"/>
                <w:sz w:val="18"/>
                <w:szCs w:val="18"/>
              </w:rPr>
              <w:t>-227</w:t>
            </w:r>
          </w:p>
        </w:tc>
        <w:tc>
          <w:tcPr>
            <w:tcW w:w="324" w:type="pct"/>
            <w:vAlign w:val="center"/>
          </w:tcPr>
          <w:p w14:paraId="7DB7993E">
            <w:pPr>
              <w:pStyle w:val="133"/>
              <w:rPr>
                <w:sz w:val="18"/>
                <w:szCs w:val="18"/>
              </w:rPr>
            </w:pPr>
            <w:r>
              <w:rPr>
                <w:rFonts w:cs="Times New Roman"/>
                <w:color w:val="000000"/>
                <w:sz w:val="18"/>
                <w:szCs w:val="18"/>
              </w:rPr>
              <w:t>32</w:t>
            </w:r>
          </w:p>
        </w:tc>
        <w:tc>
          <w:tcPr>
            <w:tcW w:w="362" w:type="pct"/>
            <w:noWrap/>
            <w:vAlign w:val="center"/>
          </w:tcPr>
          <w:p w14:paraId="077EED84">
            <w:pPr>
              <w:pStyle w:val="133"/>
              <w:rPr>
                <w:sz w:val="18"/>
                <w:szCs w:val="18"/>
              </w:rPr>
            </w:pPr>
            <w:r>
              <w:rPr>
                <w:rFonts w:cs="Times New Roman"/>
                <w:color w:val="000000"/>
                <w:sz w:val="18"/>
                <w:szCs w:val="18"/>
              </w:rPr>
              <w:t>15</w:t>
            </w:r>
          </w:p>
        </w:tc>
        <w:tc>
          <w:tcPr>
            <w:tcW w:w="359" w:type="pct"/>
            <w:noWrap/>
            <w:vAlign w:val="center"/>
          </w:tcPr>
          <w:p w14:paraId="2B6A9C86">
            <w:pPr>
              <w:pStyle w:val="133"/>
              <w:rPr>
                <w:sz w:val="18"/>
                <w:szCs w:val="18"/>
              </w:rPr>
            </w:pPr>
            <w:r>
              <w:rPr>
                <w:rFonts w:cs="Times New Roman"/>
                <w:color w:val="000000"/>
                <w:sz w:val="18"/>
                <w:szCs w:val="18"/>
              </w:rPr>
              <w:t>0.4</w:t>
            </w:r>
          </w:p>
        </w:tc>
        <w:tc>
          <w:tcPr>
            <w:tcW w:w="361" w:type="pct"/>
            <w:noWrap/>
            <w:vAlign w:val="center"/>
          </w:tcPr>
          <w:p w14:paraId="340383AB">
            <w:pPr>
              <w:pStyle w:val="133"/>
              <w:rPr>
                <w:sz w:val="18"/>
                <w:szCs w:val="18"/>
              </w:rPr>
            </w:pPr>
            <w:r>
              <w:rPr>
                <w:rFonts w:cs="Times New Roman"/>
                <w:color w:val="000000"/>
                <w:sz w:val="18"/>
                <w:szCs w:val="18"/>
              </w:rPr>
              <w:t>25</w:t>
            </w:r>
          </w:p>
        </w:tc>
        <w:tc>
          <w:tcPr>
            <w:tcW w:w="329" w:type="pct"/>
            <w:vAlign w:val="center"/>
          </w:tcPr>
          <w:p w14:paraId="05DEF970">
            <w:pPr>
              <w:pStyle w:val="133"/>
              <w:rPr>
                <w:sz w:val="18"/>
                <w:szCs w:val="18"/>
              </w:rPr>
            </w:pPr>
            <w:r>
              <w:rPr>
                <w:rFonts w:cs="Times New Roman"/>
                <w:color w:val="000000"/>
                <w:sz w:val="18"/>
                <w:szCs w:val="18"/>
              </w:rPr>
              <w:t>6000</w:t>
            </w:r>
          </w:p>
        </w:tc>
        <w:tc>
          <w:tcPr>
            <w:tcW w:w="254" w:type="pct"/>
            <w:vAlign w:val="center"/>
          </w:tcPr>
          <w:p w14:paraId="5613E7A5">
            <w:pPr>
              <w:pStyle w:val="133"/>
              <w:rPr>
                <w:sz w:val="18"/>
                <w:szCs w:val="18"/>
              </w:rPr>
            </w:pPr>
          </w:p>
        </w:tc>
        <w:tc>
          <w:tcPr>
            <w:tcW w:w="254" w:type="pct"/>
            <w:vAlign w:val="center"/>
          </w:tcPr>
          <w:p w14:paraId="54AA9A5A">
            <w:pPr>
              <w:pStyle w:val="133"/>
              <w:rPr>
                <w:sz w:val="18"/>
                <w:szCs w:val="18"/>
              </w:rPr>
            </w:pPr>
          </w:p>
        </w:tc>
        <w:tc>
          <w:tcPr>
            <w:tcW w:w="254" w:type="pct"/>
            <w:noWrap/>
            <w:vAlign w:val="center"/>
          </w:tcPr>
          <w:p w14:paraId="2FF060BD">
            <w:pPr>
              <w:pStyle w:val="133"/>
              <w:rPr>
                <w:sz w:val="18"/>
                <w:szCs w:val="18"/>
              </w:rPr>
            </w:pPr>
            <w:r>
              <w:rPr>
                <w:rFonts w:cs="Times New Roman"/>
                <w:color w:val="000000"/>
                <w:sz w:val="18"/>
                <w:szCs w:val="18"/>
              </w:rPr>
              <w:t>0.268</w:t>
            </w:r>
          </w:p>
        </w:tc>
        <w:tc>
          <w:tcPr>
            <w:tcW w:w="254" w:type="pct"/>
            <w:noWrap/>
            <w:vAlign w:val="center"/>
          </w:tcPr>
          <w:p w14:paraId="33BBF7AC">
            <w:pPr>
              <w:pStyle w:val="133"/>
              <w:rPr>
                <w:sz w:val="18"/>
                <w:szCs w:val="18"/>
              </w:rPr>
            </w:pPr>
            <w:r>
              <w:rPr>
                <w:rFonts w:cs="Times New Roman"/>
                <w:color w:val="000000"/>
                <w:sz w:val="18"/>
                <w:szCs w:val="18"/>
              </w:rPr>
              <w:t>0.134</w:t>
            </w:r>
          </w:p>
        </w:tc>
        <w:tc>
          <w:tcPr>
            <w:tcW w:w="254" w:type="pct"/>
            <w:vAlign w:val="center"/>
          </w:tcPr>
          <w:p w14:paraId="4D194020">
            <w:pPr>
              <w:pStyle w:val="133"/>
              <w:rPr>
                <w:sz w:val="18"/>
                <w:szCs w:val="18"/>
              </w:rPr>
            </w:pPr>
          </w:p>
        </w:tc>
        <w:tc>
          <w:tcPr>
            <w:tcW w:w="254" w:type="pct"/>
            <w:vAlign w:val="center"/>
          </w:tcPr>
          <w:p w14:paraId="5CBDDFC5">
            <w:pPr>
              <w:pStyle w:val="133"/>
              <w:rPr>
                <w:sz w:val="18"/>
                <w:szCs w:val="18"/>
              </w:rPr>
            </w:pPr>
          </w:p>
        </w:tc>
        <w:tc>
          <w:tcPr>
            <w:tcW w:w="254" w:type="pct"/>
            <w:vAlign w:val="center"/>
          </w:tcPr>
          <w:p w14:paraId="7B3E61BA">
            <w:pPr>
              <w:pStyle w:val="133"/>
              <w:rPr>
                <w:sz w:val="18"/>
                <w:szCs w:val="18"/>
              </w:rPr>
            </w:pPr>
          </w:p>
        </w:tc>
        <w:tc>
          <w:tcPr>
            <w:tcW w:w="251" w:type="pct"/>
            <w:vAlign w:val="center"/>
          </w:tcPr>
          <w:p w14:paraId="2338229E">
            <w:pPr>
              <w:pStyle w:val="133"/>
              <w:rPr>
                <w:sz w:val="18"/>
                <w:szCs w:val="18"/>
              </w:rPr>
            </w:pPr>
          </w:p>
        </w:tc>
      </w:tr>
      <w:tr w14:paraId="301CE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595275AD">
            <w:pPr>
              <w:pStyle w:val="133"/>
              <w:rPr>
                <w:sz w:val="18"/>
                <w:szCs w:val="18"/>
              </w:rPr>
            </w:pPr>
            <w:r>
              <w:rPr>
                <w:rFonts w:hint="eastAsia"/>
                <w:sz w:val="18"/>
                <w:szCs w:val="18"/>
              </w:rPr>
              <w:t>9</w:t>
            </w:r>
          </w:p>
        </w:tc>
        <w:tc>
          <w:tcPr>
            <w:tcW w:w="671" w:type="pct"/>
            <w:noWrap/>
            <w:vAlign w:val="center"/>
          </w:tcPr>
          <w:p w14:paraId="4B79552C">
            <w:pPr>
              <w:pStyle w:val="133"/>
              <w:rPr>
                <w:sz w:val="18"/>
                <w:szCs w:val="18"/>
              </w:rPr>
            </w:pPr>
            <w:r>
              <w:rPr>
                <w:rFonts w:hint="eastAsia" w:cs="Times New Roman"/>
                <w:color w:val="000000"/>
                <w:sz w:val="18"/>
                <w:szCs w:val="18"/>
              </w:rPr>
              <w:t>在建</w:t>
            </w:r>
            <w:r>
              <w:rPr>
                <w:rFonts w:cs="Times New Roman"/>
                <w:color w:val="000000"/>
                <w:sz w:val="18"/>
                <w:szCs w:val="18"/>
              </w:rPr>
              <w:t>1#锻白仓</w:t>
            </w:r>
          </w:p>
        </w:tc>
        <w:tc>
          <w:tcPr>
            <w:tcW w:w="324" w:type="pct"/>
            <w:vAlign w:val="center"/>
          </w:tcPr>
          <w:p w14:paraId="08C56556">
            <w:pPr>
              <w:pStyle w:val="133"/>
              <w:rPr>
                <w:sz w:val="18"/>
                <w:szCs w:val="18"/>
              </w:rPr>
            </w:pPr>
            <w:r>
              <w:rPr>
                <w:rFonts w:cs="Times New Roman"/>
                <w:color w:val="000000"/>
                <w:sz w:val="18"/>
                <w:szCs w:val="18"/>
              </w:rPr>
              <w:t>-422</w:t>
            </w:r>
          </w:p>
        </w:tc>
        <w:tc>
          <w:tcPr>
            <w:tcW w:w="324" w:type="pct"/>
            <w:vAlign w:val="center"/>
          </w:tcPr>
          <w:p w14:paraId="17CD3A62">
            <w:pPr>
              <w:pStyle w:val="133"/>
              <w:rPr>
                <w:sz w:val="18"/>
                <w:szCs w:val="18"/>
              </w:rPr>
            </w:pPr>
            <w:r>
              <w:rPr>
                <w:rFonts w:cs="Times New Roman"/>
                <w:color w:val="000000"/>
                <w:sz w:val="18"/>
                <w:szCs w:val="18"/>
              </w:rPr>
              <w:t>-33</w:t>
            </w:r>
          </w:p>
        </w:tc>
        <w:tc>
          <w:tcPr>
            <w:tcW w:w="362" w:type="pct"/>
            <w:noWrap/>
            <w:vAlign w:val="center"/>
          </w:tcPr>
          <w:p w14:paraId="37458689">
            <w:pPr>
              <w:pStyle w:val="133"/>
              <w:rPr>
                <w:sz w:val="18"/>
                <w:szCs w:val="18"/>
              </w:rPr>
            </w:pPr>
            <w:r>
              <w:rPr>
                <w:rFonts w:cs="Times New Roman"/>
                <w:color w:val="000000"/>
                <w:sz w:val="18"/>
                <w:szCs w:val="18"/>
              </w:rPr>
              <w:t>15</w:t>
            </w:r>
          </w:p>
        </w:tc>
        <w:tc>
          <w:tcPr>
            <w:tcW w:w="359" w:type="pct"/>
            <w:noWrap/>
            <w:vAlign w:val="center"/>
          </w:tcPr>
          <w:p w14:paraId="014713CF">
            <w:pPr>
              <w:pStyle w:val="133"/>
              <w:rPr>
                <w:sz w:val="18"/>
                <w:szCs w:val="18"/>
              </w:rPr>
            </w:pPr>
            <w:r>
              <w:rPr>
                <w:rFonts w:cs="Times New Roman"/>
                <w:color w:val="000000"/>
                <w:sz w:val="18"/>
                <w:szCs w:val="18"/>
              </w:rPr>
              <w:t>0.3</w:t>
            </w:r>
          </w:p>
        </w:tc>
        <w:tc>
          <w:tcPr>
            <w:tcW w:w="361" w:type="pct"/>
            <w:noWrap/>
            <w:vAlign w:val="center"/>
          </w:tcPr>
          <w:p w14:paraId="1ECF9E1B">
            <w:pPr>
              <w:pStyle w:val="133"/>
              <w:rPr>
                <w:sz w:val="18"/>
                <w:szCs w:val="18"/>
              </w:rPr>
            </w:pPr>
            <w:r>
              <w:rPr>
                <w:rFonts w:cs="Times New Roman"/>
                <w:color w:val="000000"/>
                <w:sz w:val="18"/>
                <w:szCs w:val="18"/>
              </w:rPr>
              <w:t>25</w:t>
            </w:r>
          </w:p>
        </w:tc>
        <w:tc>
          <w:tcPr>
            <w:tcW w:w="329" w:type="pct"/>
            <w:vAlign w:val="center"/>
          </w:tcPr>
          <w:p w14:paraId="1DF1243D">
            <w:pPr>
              <w:pStyle w:val="133"/>
              <w:rPr>
                <w:sz w:val="18"/>
                <w:szCs w:val="18"/>
              </w:rPr>
            </w:pPr>
            <w:r>
              <w:rPr>
                <w:rFonts w:cs="Times New Roman"/>
                <w:color w:val="000000"/>
                <w:sz w:val="18"/>
                <w:szCs w:val="18"/>
              </w:rPr>
              <w:t>4000</w:t>
            </w:r>
          </w:p>
        </w:tc>
        <w:tc>
          <w:tcPr>
            <w:tcW w:w="254" w:type="pct"/>
            <w:vAlign w:val="center"/>
          </w:tcPr>
          <w:p w14:paraId="47080081">
            <w:pPr>
              <w:pStyle w:val="133"/>
              <w:rPr>
                <w:sz w:val="18"/>
                <w:szCs w:val="18"/>
              </w:rPr>
            </w:pPr>
          </w:p>
        </w:tc>
        <w:tc>
          <w:tcPr>
            <w:tcW w:w="254" w:type="pct"/>
            <w:vAlign w:val="center"/>
          </w:tcPr>
          <w:p w14:paraId="190829DF">
            <w:pPr>
              <w:pStyle w:val="133"/>
              <w:rPr>
                <w:sz w:val="18"/>
                <w:szCs w:val="18"/>
              </w:rPr>
            </w:pPr>
          </w:p>
        </w:tc>
        <w:tc>
          <w:tcPr>
            <w:tcW w:w="254" w:type="pct"/>
            <w:noWrap/>
            <w:vAlign w:val="center"/>
          </w:tcPr>
          <w:p w14:paraId="693B1970">
            <w:pPr>
              <w:pStyle w:val="133"/>
              <w:rPr>
                <w:sz w:val="18"/>
                <w:szCs w:val="18"/>
              </w:rPr>
            </w:pPr>
            <w:r>
              <w:rPr>
                <w:rFonts w:cs="Times New Roman"/>
                <w:color w:val="000000"/>
                <w:sz w:val="18"/>
                <w:szCs w:val="18"/>
              </w:rPr>
              <w:t>0.134</w:t>
            </w:r>
          </w:p>
        </w:tc>
        <w:tc>
          <w:tcPr>
            <w:tcW w:w="254" w:type="pct"/>
            <w:noWrap/>
            <w:vAlign w:val="center"/>
          </w:tcPr>
          <w:p w14:paraId="1B4BDE31">
            <w:pPr>
              <w:pStyle w:val="133"/>
              <w:rPr>
                <w:sz w:val="18"/>
                <w:szCs w:val="18"/>
              </w:rPr>
            </w:pPr>
            <w:r>
              <w:rPr>
                <w:rFonts w:cs="Times New Roman"/>
                <w:color w:val="000000"/>
                <w:sz w:val="18"/>
                <w:szCs w:val="18"/>
              </w:rPr>
              <w:t>0.067</w:t>
            </w:r>
          </w:p>
        </w:tc>
        <w:tc>
          <w:tcPr>
            <w:tcW w:w="254" w:type="pct"/>
            <w:vAlign w:val="center"/>
          </w:tcPr>
          <w:p w14:paraId="4897C4FC">
            <w:pPr>
              <w:pStyle w:val="133"/>
              <w:rPr>
                <w:sz w:val="18"/>
                <w:szCs w:val="18"/>
              </w:rPr>
            </w:pPr>
          </w:p>
        </w:tc>
        <w:tc>
          <w:tcPr>
            <w:tcW w:w="254" w:type="pct"/>
            <w:vAlign w:val="center"/>
          </w:tcPr>
          <w:p w14:paraId="016CC075">
            <w:pPr>
              <w:pStyle w:val="133"/>
              <w:rPr>
                <w:sz w:val="18"/>
                <w:szCs w:val="18"/>
              </w:rPr>
            </w:pPr>
          </w:p>
        </w:tc>
        <w:tc>
          <w:tcPr>
            <w:tcW w:w="254" w:type="pct"/>
            <w:vAlign w:val="center"/>
          </w:tcPr>
          <w:p w14:paraId="441FF1DD">
            <w:pPr>
              <w:pStyle w:val="133"/>
              <w:rPr>
                <w:sz w:val="18"/>
                <w:szCs w:val="18"/>
              </w:rPr>
            </w:pPr>
          </w:p>
        </w:tc>
        <w:tc>
          <w:tcPr>
            <w:tcW w:w="251" w:type="pct"/>
            <w:vAlign w:val="center"/>
          </w:tcPr>
          <w:p w14:paraId="188E8F51">
            <w:pPr>
              <w:pStyle w:val="133"/>
              <w:rPr>
                <w:sz w:val="18"/>
                <w:szCs w:val="18"/>
              </w:rPr>
            </w:pPr>
          </w:p>
        </w:tc>
      </w:tr>
      <w:tr w14:paraId="1A275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6003C057">
            <w:pPr>
              <w:pStyle w:val="133"/>
              <w:rPr>
                <w:sz w:val="18"/>
                <w:szCs w:val="18"/>
              </w:rPr>
            </w:pPr>
            <w:r>
              <w:rPr>
                <w:rFonts w:hint="eastAsia"/>
                <w:sz w:val="18"/>
                <w:szCs w:val="18"/>
              </w:rPr>
              <w:t>10</w:t>
            </w:r>
          </w:p>
        </w:tc>
        <w:tc>
          <w:tcPr>
            <w:tcW w:w="671" w:type="pct"/>
            <w:noWrap/>
            <w:vAlign w:val="center"/>
          </w:tcPr>
          <w:p w14:paraId="0AF6BA14">
            <w:pPr>
              <w:pStyle w:val="133"/>
              <w:rPr>
                <w:sz w:val="18"/>
                <w:szCs w:val="18"/>
              </w:rPr>
            </w:pPr>
            <w:r>
              <w:rPr>
                <w:rFonts w:hint="eastAsia" w:cs="Times New Roman"/>
                <w:color w:val="000000"/>
                <w:sz w:val="18"/>
                <w:szCs w:val="18"/>
              </w:rPr>
              <w:t>在建</w:t>
            </w:r>
            <w:r>
              <w:rPr>
                <w:rFonts w:cs="Times New Roman"/>
                <w:color w:val="000000"/>
                <w:sz w:val="18"/>
                <w:szCs w:val="18"/>
              </w:rPr>
              <w:t>2#锻白仓</w:t>
            </w:r>
          </w:p>
        </w:tc>
        <w:tc>
          <w:tcPr>
            <w:tcW w:w="324" w:type="pct"/>
            <w:vAlign w:val="center"/>
          </w:tcPr>
          <w:p w14:paraId="364D3708">
            <w:pPr>
              <w:pStyle w:val="133"/>
              <w:rPr>
                <w:sz w:val="18"/>
                <w:szCs w:val="18"/>
              </w:rPr>
            </w:pPr>
            <w:r>
              <w:rPr>
                <w:rFonts w:cs="Times New Roman"/>
                <w:color w:val="000000"/>
                <w:sz w:val="18"/>
                <w:szCs w:val="18"/>
              </w:rPr>
              <w:t>-382</w:t>
            </w:r>
          </w:p>
        </w:tc>
        <w:tc>
          <w:tcPr>
            <w:tcW w:w="324" w:type="pct"/>
            <w:vAlign w:val="center"/>
          </w:tcPr>
          <w:p w14:paraId="4B44F65D">
            <w:pPr>
              <w:pStyle w:val="133"/>
              <w:rPr>
                <w:sz w:val="18"/>
                <w:szCs w:val="18"/>
              </w:rPr>
            </w:pPr>
            <w:r>
              <w:rPr>
                <w:rFonts w:cs="Times New Roman"/>
                <w:color w:val="000000"/>
                <w:sz w:val="18"/>
                <w:szCs w:val="18"/>
              </w:rPr>
              <w:t>-33</w:t>
            </w:r>
          </w:p>
        </w:tc>
        <w:tc>
          <w:tcPr>
            <w:tcW w:w="362" w:type="pct"/>
            <w:noWrap/>
            <w:vAlign w:val="center"/>
          </w:tcPr>
          <w:p w14:paraId="2FAC1A10">
            <w:pPr>
              <w:pStyle w:val="133"/>
              <w:rPr>
                <w:sz w:val="18"/>
                <w:szCs w:val="18"/>
              </w:rPr>
            </w:pPr>
            <w:r>
              <w:rPr>
                <w:rFonts w:cs="Times New Roman"/>
                <w:color w:val="000000"/>
                <w:sz w:val="18"/>
                <w:szCs w:val="18"/>
              </w:rPr>
              <w:t>15</w:t>
            </w:r>
          </w:p>
        </w:tc>
        <w:tc>
          <w:tcPr>
            <w:tcW w:w="359" w:type="pct"/>
            <w:noWrap/>
            <w:vAlign w:val="center"/>
          </w:tcPr>
          <w:p w14:paraId="7870AE34">
            <w:pPr>
              <w:pStyle w:val="133"/>
              <w:rPr>
                <w:sz w:val="18"/>
                <w:szCs w:val="18"/>
              </w:rPr>
            </w:pPr>
            <w:r>
              <w:rPr>
                <w:rFonts w:cs="Times New Roman"/>
                <w:color w:val="000000"/>
                <w:sz w:val="18"/>
                <w:szCs w:val="18"/>
              </w:rPr>
              <w:t>0.8</w:t>
            </w:r>
          </w:p>
        </w:tc>
        <w:tc>
          <w:tcPr>
            <w:tcW w:w="361" w:type="pct"/>
            <w:noWrap/>
            <w:vAlign w:val="center"/>
          </w:tcPr>
          <w:p w14:paraId="15D7EB4B">
            <w:pPr>
              <w:pStyle w:val="133"/>
              <w:rPr>
                <w:sz w:val="18"/>
                <w:szCs w:val="18"/>
              </w:rPr>
            </w:pPr>
            <w:r>
              <w:rPr>
                <w:rFonts w:cs="Times New Roman"/>
                <w:color w:val="000000"/>
                <w:sz w:val="18"/>
                <w:szCs w:val="18"/>
              </w:rPr>
              <w:t>25</w:t>
            </w:r>
          </w:p>
        </w:tc>
        <w:tc>
          <w:tcPr>
            <w:tcW w:w="329" w:type="pct"/>
            <w:vAlign w:val="center"/>
          </w:tcPr>
          <w:p w14:paraId="176A4D07">
            <w:pPr>
              <w:pStyle w:val="133"/>
              <w:rPr>
                <w:sz w:val="18"/>
                <w:szCs w:val="18"/>
              </w:rPr>
            </w:pPr>
            <w:r>
              <w:rPr>
                <w:rFonts w:cs="Times New Roman"/>
                <w:color w:val="000000"/>
                <w:sz w:val="18"/>
                <w:szCs w:val="18"/>
              </w:rPr>
              <w:t>20000</w:t>
            </w:r>
          </w:p>
        </w:tc>
        <w:tc>
          <w:tcPr>
            <w:tcW w:w="254" w:type="pct"/>
            <w:vAlign w:val="center"/>
          </w:tcPr>
          <w:p w14:paraId="6419C288">
            <w:pPr>
              <w:pStyle w:val="133"/>
              <w:rPr>
                <w:sz w:val="18"/>
                <w:szCs w:val="18"/>
              </w:rPr>
            </w:pPr>
          </w:p>
        </w:tc>
        <w:tc>
          <w:tcPr>
            <w:tcW w:w="254" w:type="pct"/>
            <w:vAlign w:val="center"/>
          </w:tcPr>
          <w:p w14:paraId="4B48D610">
            <w:pPr>
              <w:pStyle w:val="133"/>
              <w:rPr>
                <w:sz w:val="18"/>
                <w:szCs w:val="18"/>
              </w:rPr>
            </w:pPr>
          </w:p>
        </w:tc>
        <w:tc>
          <w:tcPr>
            <w:tcW w:w="254" w:type="pct"/>
            <w:noWrap/>
            <w:vAlign w:val="center"/>
          </w:tcPr>
          <w:p w14:paraId="44490AEA">
            <w:pPr>
              <w:pStyle w:val="133"/>
              <w:rPr>
                <w:sz w:val="18"/>
                <w:szCs w:val="18"/>
              </w:rPr>
            </w:pPr>
            <w:r>
              <w:rPr>
                <w:rFonts w:cs="Times New Roman"/>
                <w:color w:val="000000"/>
                <w:sz w:val="18"/>
                <w:szCs w:val="18"/>
              </w:rPr>
              <w:t>0.392</w:t>
            </w:r>
          </w:p>
        </w:tc>
        <w:tc>
          <w:tcPr>
            <w:tcW w:w="254" w:type="pct"/>
            <w:noWrap/>
            <w:vAlign w:val="center"/>
          </w:tcPr>
          <w:p w14:paraId="41348A73">
            <w:pPr>
              <w:pStyle w:val="133"/>
              <w:rPr>
                <w:sz w:val="18"/>
                <w:szCs w:val="18"/>
              </w:rPr>
            </w:pPr>
            <w:r>
              <w:rPr>
                <w:rFonts w:cs="Times New Roman"/>
                <w:color w:val="000000"/>
                <w:sz w:val="18"/>
                <w:szCs w:val="18"/>
              </w:rPr>
              <w:t>0.196</w:t>
            </w:r>
          </w:p>
        </w:tc>
        <w:tc>
          <w:tcPr>
            <w:tcW w:w="254" w:type="pct"/>
            <w:vAlign w:val="center"/>
          </w:tcPr>
          <w:p w14:paraId="17B036A5">
            <w:pPr>
              <w:pStyle w:val="133"/>
              <w:rPr>
                <w:sz w:val="18"/>
                <w:szCs w:val="18"/>
              </w:rPr>
            </w:pPr>
          </w:p>
        </w:tc>
        <w:tc>
          <w:tcPr>
            <w:tcW w:w="254" w:type="pct"/>
            <w:vAlign w:val="center"/>
          </w:tcPr>
          <w:p w14:paraId="5E2D1BC0">
            <w:pPr>
              <w:pStyle w:val="133"/>
              <w:rPr>
                <w:sz w:val="18"/>
                <w:szCs w:val="18"/>
              </w:rPr>
            </w:pPr>
          </w:p>
        </w:tc>
        <w:tc>
          <w:tcPr>
            <w:tcW w:w="254" w:type="pct"/>
            <w:vAlign w:val="center"/>
          </w:tcPr>
          <w:p w14:paraId="038E7D5B">
            <w:pPr>
              <w:pStyle w:val="133"/>
              <w:rPr>
                <w:sz w:val="18"/>
                <w:szCs w:val="18"/>
              </w:rPr>
            </w:pPr>
          </w:p>
        </w:tc>
        <w:tc>
          <w:tcPr>
            <w:tcW w:w="251" w:type="pct"/>
            <w:vAlign w:val="center"/>
          </w:tcPr>
          <w:p w14:paraId="0C6BAF0E">
            <w:pPr>
              <w:pStyle w:val="133"/>
              <w:rPr>
                <w:sz w:val="18"/>
                <w:szCs w:val="18"/>
              </w:rPr>
            </w:pPr>
          </w:p>
        </w:tc>
      </w:tr>
      <w:tr w14:paraId="38172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28A147E">
            <w:pPr>
              <w:pStyle w:val="133"/>
              <w:rPr>
                <w:sz w:val="18"/>
                <w:szCs w:val="18"/>
              </w:rPr>
            </w:pPr>
            <w:r>
              <w:rPr>
                <w:rFonts w:hint="eastAsia"/>
                <w:sz w:val="18"/>
                <w:szCs w:val="18"/>
              </w:rPr>
              <w:t>11</w:t>
            </w:r>
          </w:p>
        </w:tc>
        <w:tc>
          <w:tcPr>
            <w:tcW w:w="671" w:type="pct"/>
            <w:noWrap/>
            <w:vAlign w:val="center"/>
          </w:tcPr>
          <w:p w14:paraId="364114AB">
            <w:pPr>
              <w:pStyle w:val="133"/>
              <w:rPr>
                <w:sz w:val="18"/>
                <w:szCs w:val="18"/>
              </w:rPr>
            </w:pPr>
            <w:r>
              <w:rPr>
                <w:rFonts w:hint="eastAsia" w:cs="Times New Roman"/>
                <w:color w:val="000000"/>
                <w:sz w:val="18"/>
                <w:szCs w:val="18"/>
              </w:rPr>
              <w:t>在建</w:t>
            </w:r>
            <w:r>
              <w:rPr>
                <w:rFonts w:cs="Times New Roman"/>
                <w:color w:val="000000"/>
                <w:sz w:val="18"/>
                <w:szCs w:val="18"/>
              </w:rPr>
              <w:t>1#硅铁仓</w:t>
            </w:r>
          </w:p>
        </w:tc>
        <w:tc>
          <w:tcPr>
            <w:tcW w:w="324" w:type="pct"/>
            <w:vAlign w:val="center"/>
          </w:tcPr>
          <w:p w14:paraId="79C2B75D">
            <w:pPr>
              <w:pStyle w:val="133"/>
              <w:rPr>
                <w:sz w:val="18"/>
                <w:szCs w:val="18"/>
              </w:rPr>
            </w:pPr>
            <w:r>
              <w:rPr>
                <w:rFonts w:cs="Times New Roman"/>
                <w:color w:val="000000"/>
                <w:sz w:val="18"/>
                <w:szCs w:val="18"/>
              </w:rPr>
              <w:t>-380</w:t>
            </w:r>
          </w:p>
        </w:tc>
        <w:tc>
          <w:tcPr>
            <w:tcW w:w="324" w:type="pct"/>
            <w:vAlign w:val="center"/>
          </w:tcPr>
          <w:p w14:paraId="3E01636C">
            <w:pPr>
              <w:pStyle w:val="133"/>
              <w:rPr>
                <w:sz w:val="18"/>
                <w:szCs w:val="18"/>
              </w:rPr>
            </w:pPr>
            <w:r>
              <w:rPr>
                <w:rFonts w:cs="Times New Roman"/>
                <w:color w:val="000000"/>
                <w:sz w:val="18"/>
                <w:szCs w:val="18"/>
              </w:rPr>
              <w:t>-80</w:t>
            </w:r>
          </w:p>
        </w:tc>
        <w:tc>
          <w:tcPr>
            <w:tcW w:w="362" w:type="pct"/>
            <w:noWrap/>
            <w:vAlign w:val="center"/>
          </w:tcPr>
          <w:p w14:paraId="564FEACB">
            <w:pPr>
              <w:pStyle w:val="133"/>
              <w:rPr>
                <w:sz w:val="18"/>
                <w:szCs w:val="18"/>
              </w:rPr>
            </w:pPr>
            <w:r>
              <w:rPr>
                <w:rFonts w:cs="Times New Roman"/>
                <w:color w:val="000000"/>
                <w:sz w:val="18"/>
                <w:szCs w:val="18"/>
              </w:rPr>
              <w:t>15</w:t>
            </w:r>
          </w:p>
        </w:tc>
        <w:tc>
          <w:tcPr>
            <w:tcW w:w="359" w:type="pct"/>
            <w:noWrap/>
            <w:vAlign w:val="center"/>
          </w:tcPr>
          <w:p w14:paraId="52EF4F4D">
            <w:pPr>
              <w:pStyle w:val="133"/>
              <w:rPr>
                <w:sz w:val="18"/>
                <w:szCs w:val="18"/>
              </w:rPr>
            </w:pPr>
            <w:r>
              <w:rPr>
                <w:rFonts w:cs="Times New Roman"/>
                <w:color w:val="000000"/>
                <w:sz w:val="18"/>
                <w:szCs w:val="18"/>
              </w:rPr>
              <w:t>0.5</w:t>
            </w:r>
          </w:p>
        </w:tc>
        <w:tc>
          <w:tcPr>
            <w:tcW w:w="361" w:type="pct"/>
            <w:noWrap/>
            <w:vAlign w:val="center"/>
          </w:tcPr>
          <w:p w14:paraId="41C229D8">
            <w:pPr>
              <w:pStyle w:val="133"/>
              <w:rPr>
                <w:sz w:val="18"/>
                <w:szCs w:val="18"/>
              </w:rPr>
            </w:pPr>
            <w:r>
              <w:rPr>
                <w:rFonts w:cs="Times New Roman"/>
                <w:color w:val="000000"/>
                <w:sz w:val="18"/>
                <w:szCs w:val="18"/>
              </w:rPr>
              <w:t>25</w:t>
            </w:r>
          </w:p>
        </w:tc>
        <w:tc>
          <w:tcPr>
            <w:tcW w:w="329" w:type="pct"/>
            <w:vAlign w:val="center"/>
          </w:tcPr>
          <w:p w14:paraId="50CC1A63">
            <w:pPr>
              <w:pStyle w:val="133"/>
              <w:rPr>
                <w:sz w:val="18"/>
                <w:szCs w:val="18"/>
              </w:rPr>
            </w:pPr>
            <w:r>
              <w:rPr>
                <w:rFonts w:cs="Times New Roman"/>
                <w:color w:val="000000"/>
                <w:sz w:val="18"/>
                <w:szCs w:val="18"/>
              </w:rPr>
              <w:t>7500</w:t>
            </w:r>
          </w:p>
        </w:tc>
        <w:tc>
          <w:tcPr>
            <w:tcW w:w="254" w:type="pct"/>
            <w:vAlign w:val="center"/>
          </w:tcPr>
          <w:p w14:paraId="411D166A">
            <w:pPr>
              <w:pStyle w:val="133"/>
              <w:rPr>
                <w:sz w:val="18"/>
                <w:szCs w:val="18"/>
              </w:rPr>
            </w:pPr>
          </w:p>
        </w:tc>
        <w:tc>
          <w:tcPr>
            <w:tcW w:w="254" w:type="pct"/>
            <w:vAlign w:val="center"/>
          </w:tcPr>
          <w:p w14:paraId="13F1C12B">
            <w:pPr>
              <w:pStyle w:val="133"/>
              <w:rPr>
                <w:sz w:val="18"/>
                <w:szCs w:val="18"/>
              </w:rPr>
            </w:pPr>
          </w:p>
        </w:tc>
        <w:tc>
          <w:tcPr>
            <w:tcW w:w="254" w:type="pct"/>
            <w:noWrap/>
            <w:vAlign w:val="center"/>
          </w:tcPr>
          <w:p w14:paraId="3C8C4E3C">
            <w:pPr>
              <w:pStyle w:val="133"/>
              <w:rPr>
                <w:sz w:val="18"/>
                <w:szCs w:val="18"/>
              </w:rPr>
            </w:pPr>
            <w:r>
              <w:rPr>
                <w:rFonts w:cs="Times New Roman"/>
                <w:color w:val="000000"/>
                <w:sz w:val="18"/>
                <w:szCs w:val="18"/>
              </w:rPr>
              <w:t>0.084</w:t>
            </w:r>
          </w:p>
        </w:tc>
        <w:tc>
          <w:tcPr>
            <w:tcW w:w="254" w:type="pct"/>
            <w:noWrap/>
            <w:vAlign w:val="center"/>
          </w:tcPr>
          <w:p w14:paraId="6DA235CD">
            <w:pPr>
              <w:pStyle w:val="133"/>
              <w:rPr>
                <w:sz w:val="18"/>
                <w:szCs w:val="18"/>
              </w:rPr>
            </w:pPr>
            <w:r>
              <w:rPr>
                <w:rFonts w:cs="Times New Roman"/>
                <w:color w:val="000000"/>
                <w:sz w:val="18"/>
                <w:szCs w:val="18"/>
              </w:rPr>
              <w:t>0.042</w:t>
            </w:r>
          </w:p>
        </w:tc>
        <w:tc>
          <w:tcPr>
            <w:tcW w:w="254" w:type="pct"/>
            <w:vAlign w:val="center"/>
          </w:tcPr>
          <w:p w14:paraId="02F6E9CB">
            <w:pPr>
              <w:pStyle w:val="133"/>
              <w:rPr>
                <w:sz w:val="18"/>
                <w:szCs w:val="18"/>
              </w:rPr>
            </w:pPr>
          </w:p>
        </w:tc>
        <w:tc>
          <w:tcPr>
            <w:tcW w:w="254" w:type="pct"/>
            <w:vAlign w:val="center"/>
          </w:tcPr>
          <w:p w14:paraId="5573CF03">
            <w:pPr>
              <w:pStyle w:val="133"/>
              <w:rPr>
                <w:sz w:val="18"/>
                <w:szCs w:val="18"/>
              </w:rPr>
            </w:pPr>
          </w:p>
        </w:tc>
        <w:tc>
          <w:tcPr>
            <w:tcW w:w="254" w:type="pct"/>
            <w:vAlign w:val="center"/>
          </w:tcPr>
          <w:p w14:paraId="56D97DC2">
            <w:pPr>
              <w:pStyle w:val="133"/>
              <w:rPr>
                <w:sz w:val="18"/>
                <w:szCs w:val="18"/>
              </w:rPr>
            </w:pPr>
          </w:p>
        </w:tc>
        <w:tc>
          <w:tcPr>
            <w:tcW w:w="251" w:type="pct"/>
            <w:vAlign w:val="center"/>
          </w:tcPr>
          <w:p w14:paraId="70BA59E2">
            <w:pPr>
              <w:pStyle w:val="133"/>
              <w:rPr>
                <w:sz w:val="18"/>
                <w:szCs w:val="18"/>
              </w:rPr>
            </w:pPr>
          </w:p>
        </w:tc>
      </w:tr>
      <w:tr w14:paraId="26514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6C5491E0">
            <w:pPr>
              <w:pStyle w:val="133"/>
              <w:rPr>
                <w:sz w:val="18"/>
                <w:szCs w:val="18"/>
              </w:rPr>
            </w:pPr>
            <w:r>
              <w:rPr>
                <w:rFonts w:hint="eastAsia"/>
                <w:sz w:val="18"/>
                <w:szCs w:val="18"/>
              </w:rPr>
              <w:t>12</w:t>
            </w:r>
          </w:p>
        </w:tc>
        <w:tc>
          <w:tcPr>
            <w:tcW w:w="671" w:type="pct"/>
            <w:noWrap/>
            <w:vAlign w:val="center"/>
          </w:tcPr>
          <w:p w14:paraId="036D2A6D">
            <w:pPr>
              <w:pStyle w:val="133"/>
              <w:rPr>
                <w:sz w:val="18"/>
                <w:szCs w:val="18"/>
              </w:rPr>
            </w:pPr>
            <w:r>
              <w:rPr>
                <w:rFonts w:hint="eastAsia" w:cs="Times New Roman"/>
                <w:color w:val="000000"/>
                <w:sz w:val="18"/>
                <w:szCs w:val="18"/>
              </w:rPr>
              <w:t>在建</w:t>
            </w:r>
            <w:r>
              <w:rPr>
                <w:rFonts w:cs="Times New Roman"/>
                <w:color w:val="000000"/>
                <w:sz w:val="18"/>
                <w:szCs w:val="18"/>
              </w:rPr>
              <w:t>2#硅铁仓</w:t>
            </w:r>
          </w:p>
        </w:tc>
        <w:tc>
          <w:tcPr>
            <w:tcW w:w="324" w:type="pct"/>
            <w:vAlign w:val="center"/>
          </w:tcPr>
          <w:p w14:paraId="0E014861">
            <w:pPr>
              <w:pStyle w:val="133"/>
              <w:rPr>
                <w:sz w:val="18"/>
                <w:szCs w:val="18"/>
              </w:rPr>
            </w:pPr>
            <w:r>
              <w:rPr>
                <w:rFonts w:cs="Times New Roman"/>
                <w:color w:val="000000"/>
                <w:sz w:val="18"/>
                <w:szCs w:val="18"/>
              </w:rPr>
              <w:t>-320</w:t>
            </w:r>
          </w:p>
        </w:tc>
        <w:tc>
          <w:tcPr>
            <w:tcW w:w="324" w:type="pct"/>
            <w:vAlign w:val="center"/>
          </w:tcPr>
          <w:p w14:paraId="62426E3A">
            <w:pPr>
              <w:pStyle w:val="133"/>
              <w:rPr>
                <w:sz w:val="18"/>
                <w:szCs w:val="18"/>
              </w:rPr>
            </w:pPr>
            <w:r>
              <w:rPr>
                <w:rFonts w:cs="Times New Roman"/>
                <w:color w:val="000000"/>
                <w:sz w:val="18"/>
                <w:szCs w:val="18"/>
              </w:rPr>
              <w:t>-80</w:t>
            </w:r>
          </w:p>
        </w:tc>
        <w:tc>
          <w:tcPr>
            <w:tcW w:w="362" w:type="pct"/>
            <w:noWrap/>
            <w:vAlign w:val="center"/>
          </w:tcPr>
          <w:p w14:paraId="298BA1BB">
            <w:pPr>
              <w:pStyle w:val="133"/>
              <w:rPr>
                <w:sz w:val="18"/>
                <w:szCs w:val="18"/>
              </w:rPr>
            </w:pPr>
            <w:r>
              <w:rPr>
                <w:rFonts w:cs="Times New Roman"/>
                <w:color w:val="000000"/>
                <w:sz w:val="18"/>
                <w:szCs w:val="18"/>
              </w:rPr>
              <w:t>15</w:t>
            </w:r>
          </w:p>
        </w:tc>
        <w:tc>
          <w:tcPr>
            <w:tcW w:w="359" w:type="pct"/>
            <w:noWrap/>
            <w:vAlign w:val="center"/>
          </w:tcPr>
          <w:p w14:paraId="6CC843AB">
            <w:pPr>
              <w:pStyle w:val="133"/>
              <w:rPr>
                <w:sz w:val="18"/>
                <w:szCs w:val="18"/>
              </w:rPr>
            </w:pPr>
            <w:r>
              <w:rPr>
                <w:rFonts w:cs="Times New Roman"/>
                <w:color w:val="000000"/>
                <w:sz w:val="18"/>
                <w:szCs w:val="18"/>
              </w:rPr>
              <w:t>0.5</w:t>
            </w:r>
          </w:p>
        </w:tc>
        <w:tc>
          <w:tcPr>
            <w:tcW w:w="361" w:type="pct"/>
            <w:noWrap/>
            <w:vAlign w:val="center"/>
          </w:tcPr>
          <w:p w14:paraId="59D8F4ED">
            <w:pPr>
              <w:pStyle w:val="133"/>
              <w:rPr>
                <w:sz w:val="18"/>
                <w:szCs w:val="18"/>
              </w:rPr>
            </w:pPr>
            <w:r>
              <w:rPr>
                <w:rFonts w:cs="Times New Roman"/>
                <w:color w:val="000000"/>
                <w:sz w:val="18"/>
                <w:szCs w:val="18"/>
              </w:rPr>
              <w:t>25</w:t>
            </w:r>
          </w:p>
        </w:tc>
        <w:tc>
          <w:tcPr>
            <w:tcW w:w="329" w:type="pct"/>
            <w:vAlign w:val="center"/>
          </w:tcPr>
          <w:p w14:paraId="73390109">
            <w:pPr>
              <w:pStyle w:val="133"/>
              <w:rPr>
                <w:sz w:val="18"/>
                <w:szCs w:val="18"/>
              </w:rPr>
            </w:pPr>
            <w:r>
              <w:rPr>
                <w:rFonts w:cs="Times New Roman"/>
                <w:color w:val="000000"/>
                <w:sz w:val="18"/>
                <w:szCs w:val="18"/>
              </w:rPr>
              <w:t>7500</w:t>
            </w:r>
          </w:p>
        </w:tc>
        <w:tc>
          <w:tcPr>
            <w:tcW w:w="254" w:type="pct"/>
            <w:vAlign w:val="center"/>
          </w:tcPr>
          <w:p w14:paraId="6CE9A769">
            <w:pPr>
              <w:pStyle w:val="133"/>
              <w:rPr>
                <w:sz w:val="18"/>
                <w:szCs w:val="18"/>
              </w:rPr>
            </w:pPr>
          </w:p>
        </w:tc>
        <w:tc>
          <w:tcPr>
            <w:tcW w:w="254" w:type="pct"/>
            <w:vAlign w:val="center"/>
          </w:tcPr>
          <w:p w14:paraId="5AC84BC6">
            <w:pPr>
              <w:pStyle w:val="133"/>
              <w:rPr>
                <w:sz w:val="18"/>
                <w:szCs w:val="18"/>
              </w:rPr>
            </w:pPr>
          </w:p>
        </w:tc>
        <w:tc>
          <w:tcPr>
            <w:tcW w:w="254" w:type="pct"/>
            <w:noWrap/>
            <w:vAlign w:val="center"/>
          </w:tcPr>
          <w:p w14:paraId="510FC2AC">
            <w:pPr>
              <w:pStyle w:val="133"/>
              <w:rPr>
                <w:sz w:val="18"/>
                <w:szCs w:val="18"/>
              </w:rPr>
            </w:pPr>
            <w:r>
              <w:rPr>
                <w:rFonts w:cs="Times New Roman"/>
                <w:color w:val="000000"/>
                <w:sz w:val="18"/>
                <w:szCs w:val="18"/>
              </w:rPr>
              <w:t>0.084</w:t>
            </w:r>
          </w:p>
        </w:tc>
        <w:tc>
          <w:tcPr>
            <w:tcW w:w="254" w:type="pct"/>
            <w:noWrap/>
            <w:vAlign w:val="center"/>
          </w:tcPr>
          <w:p w14:paraId="64AC0EDC">
            <w:pPr>
              <w:pStyle w:val="133"/>
              <w:rPr>
                <w:sz w:val="18"/>
                <w:szCs w:val="18"/>
              </w:rPr>
            </w:pPr>
            <w:r>
              <w:rPr>
                <w:rFonts w:cs="Times New Roman"/>
                <w:color w:val="000000"/>
                <w:sz w:val="18"/>
                <w:szCs w:val="18"/>
              </w:rPr>
              <w:t>0.042</w:t>
            </w:r>
          </w:p>
        </w:tc>
        <w:tc>
          <w:tcPr>
            <w:tcW w:w="254" w:type="pct"/>
            <w:vAlign w:val="center"/>
          </w:tcPr>
          <w:p w14:paraId="37C2E79D">
            <w:pPr>
              <w:pStyle w:val="133"/>
              <w:rPr>
                <w:sz w:val="18"/>
                <w:szCs w:val="18"/>
              </w:rPr>
            </w:pPr>
          </w:p>
        </w:tc>
        <w:tc>
          <w:tcPr>
            <w:tcW w:w="254" w:type="pct"/>
            <w:vAlign w:val="center"/>
          </w:tcPr>
          <w:p w14:paraId="4B3C35C5">
            <w:pPr>
              <w:pStyle w:val="133"/>
              <w:rPr>
                <w:sz w:val="18"/>
                <w:szCs w:val="18"/>
              </w:rPr>
            </w:pPr>
          </w:p>
        </w:tc>
        <w:tc>
          <w:tcPr>
            <w:tcW w:w="254" w:type="pct"/>
            <w:vAlign w:val="center"/>
          </w:tcPr>
          <w:p w14:paraId="5FE7A832">
            <w:pPr>
              <w:pStyle w:val="133"/>
              <w:rPr>
                <w:sz w:val="18"/>
                <w:szCs w:val="18"/>
              </w:rPr>
            </w:pPr>
          </w:p>
        </w:tc>
        <w:tc>
          <w:tcPr>
            <w:tcW w:w="251" w:type="pct"/>
            <w:vAlign w:val="center"/>
          </w:tcPr>
          <w:p w14:paraId="552C7A01">
            <w:pPr>
              <w:pStyle w:val="133"/>
              <w:rPr>
                <w:sz w:val="18"/>
                <w:szCs w:val="18"/>
              </w:rPr>
            </w:pPr>
          </w:p>
        </w:tc>
      </w:tr>
      <w:tr w14:paraId="32BF8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17BD32B9">
            <w:pPr>
              <w:pStyle w:val="133"/>
              <w:rPr>
                <w:sz w:val="18"/>
                <w:szCs w:val="18"/>
              </w:rPr>
            </w:pPr>
            <w:r>
              <w:rPr>
                <w:rFonts w:hint="eastAsia"/>
                <w:sz w:val="18"/>
                <w:szCs w:val="18"/>
              </w:rPr>
              <w:t>13</w:t>
            </w:r>
          </w:p>
        </w:tc>
        <w:tc>
          <w:tcPr>
            <w:tcW w:w="671" w:type="pct"/>
            <w:noWrap/>
            <w:vAlign w:val="center"/>
          </w:tcPr>
          <w:p w14:paraId="504F99FB">
            <w:pPr>
              <w:pStyle w:val="133"/>
              <w:rPr>
                <w:sz w:val="18"/>
                <w:szCs w:val="18"/>
              </w:rPr>
            </w:pPr>
            <w:r>
              <w:rPr>
                <w:rFonts w:hint="eastAsia" w:cs="Times New Roman"/>
                <w:color w:val="000000"/>
                <w:sz w:val="18"/>
                <w:szCs w:val="18"/>
              </w:rPr>
              <w:t>在建</w:t>
            </w:r>
            <w:r>
              <w:rPr>
                <w:rFonts w:cs="Times New Roman"/>
                <w:color w:val="000000"/>
                <w:sz w:val="18"/>
                <w:szCs w:val="18"/>
              </w:rPr>
              <w:t>1#锻白配料仓</w:t>
            </w:r>
          </w:p>
        </w:tc>
        <w:tc>
          <w:tcPr>
            <w:tcW w:w="324" w:type="pct"/>
            <w:vAlign w:val="center"/>
          </w:tcPr>
          <w:p w14:paraId="18D3038F">
            <w:pPr>
              <w:pStyle w:val="133"/>
              <w:rPr>
                <w:sz w:val="18"/>
                <w:szCs w:val="18"/>
              </w:rPr>
            </w:pPr>
            <w:r>
              <w:rPr>
                <w:rFonts w:cs="Times New Roman"/>
                <w:color w:val="000000"/>
                <w:sz w:val="18"/>
                <w:szCs w:val="18"/>
              </w:rPr>
              <w:t>-370</w:t>
            </w:r>
          </w:p>
        </w:tc>
        <w:tc>
          <w:tcPr>
            <w:tcW w:w="324" w:type="pct"/>
            <w:vAlign w:val="center"/>
          </w:tcPr>
          <w:p w14:paraId="723C4276">
            <w:pPr>
              <w:pStyle w:val="133"/>
              <w:rPr>
                <w:sz w:val="18"/>
                <w:szCs w:val="18"/>
              </w:rPr>
            </w:pPr>
            <w:r>
              <w:rPr>
                <w:rFonts w:cs="Times New Roman"/>
                <w:color w:val="000000"/>
                <w:sz w:val="18"/>
                <w:szCs w:val="18"/>
              </w:rPr>
              <w:t>-75</w:t>
            </w:r>
          </w:p>
        </w:tc>
        <w:tc>
          <w:tcPr>
            <w:tcW w:w="362" w:type="pct"/>
            <w:noWrap/>
            <w:vAlign w:val="center"/>
          </w:tcPr>
          <w:p w14:paraId="0CCEADF1">
            <w:pPr>
              <w:pStyle w:val="133"/>
              <w:rPr>
                <w:sz w:val="18"/>
                <w:szCs w:val="18"/>
              </w:rPr>
            </w:pPr>
            <w:r>
              <w:rPr>
                <w:rFonts w:cs="Times New Roman"/>
                <w:color w:val="000000"/>
                <w:sz w:val="18"/>
                <w:szCs w:val="18"/>
              </w:rPr>
              <w:t>15</w:t>
            </w:r>
          </w:p>
        </w:tc>
        <w:tc>
          <w:tcPr>
            <w:tcW w:w="359" w:type="pct"/>
            <w:noWrap/>
            <w:vAlign w:val="center"/>
          </w:tcPr>
          <w:p w14:paraId="6FF3C0CD">
            <w:pPr>
              <w:pStyle w:val="133"/>
              <w:rPr>
                <w:sz w:val="18"/>
                <w:szCs w:val="18"/>
              </w:rPr>
            </w:pPr>
            <w:r>
              <w:rPr>
                <w:rFonts w:cs="Times New Roman"/>
                <w:color w:val="000000"/>
                <w:sz w:val="18"/>
                <w:szCs w:val="18"/>
              </w:rPr>
              <w:t>0.5</w:t>
            </w:r>
          </w:p>
        </w:tc>
        <w:tc>
          <w:tcPr>
            <w:tcW w:w="361" w:type="pct"/>
            <w:noWrap/>
            <w:vAlign w:val="center"/>
          </w:tcPr>
          <w:p w14:paraId="753878E6">
            <w:pPr>
              <w:pStyle w:val="133"/>
              <w:rPr>
                <w:sz w:val="18"/>
                <w:szCs w:val="18"/>
              </w:rPr>
            </w:pPr>
            <w:r>
              <w:rPr>
                <w:rFonts w:cs="Times New Roman"/>
                <w:color w:val="000000"/>
                <w:sz w:val="18"/>
                <w:szCs w:val="18"/>
              </w:rPr>
              <w:t>25</w:t>
            </w:r>
          </w:p>
        </w:tc>
        <w:tc>
          <w:tcPr>
            <w:tcW w:w="329" w:type="pct"/>
            <w:vAlign w:val="center"/>
          </w:tcPr>
          <w:p w14:paraId="1282F649">
            <w:pPr>
              <w:pStyle w:val="133"/>
              <w:rPr>
                <w:sz w:val="18"/>
                <w:szCs w:val="18"/>
              </w:rPr>
            </w:pPr>
            <w:r>
              <w:rPr>
                <w:rFonts w:cs="Times New Roman"/>
                <w:color w:val="000000"/>
                <w:sz w:val="18"/>
                <w:szCs w:val="18"/>
              </w:rPr>
              <w:t>6000</w:t>
            </w:r>
          </w:p>
        </w:tc>
        <w:tc>
          <w:tcPr>
            <w:tcW w:w="254" w:type="pct"/>
            <w:vAlign w:val="center"/>
          </w:tcPr>
          <w:p w14:paraId="452F0332">
            <w:pPr>
              <w:pStyle w:val="133"/>
              <w:rPr>
                <w:sz w:val="18"/>
                <w:szCs w:val="18"/>
              </w:rPr>
            </w:pPr>
          </w:p>
        </w:tc>
        <w:tc>
          <w:tcPr>
            <w:tcW w:w="254" w:type="pct"/>
            <w:vAlign w:val="center"/>
          </w:tcPr>
          <w:p w14:paraId="379A633D">
            <w:pPr>
              <w:pStyle w:val="133"/>
              <w:rPr>
                <w:sz w:val="18"/>
                <w:szCs w:val="18"/>
              </w:rPr>
            </w:pPr>
          </w:p>
        </w:tc>
        <w:tc>
          <w:tcPr>
            <w:tcW w:w="254" w:type="pct"/>
            <w:noWrap/>
            <w:vAlign w:val="center"/>
          </w:tcPr>
          <w:p w14:paraId="38DDFF57">
            <w:pPr>
              <w:pStyle w:val="133"/>
              <w:rPr>
                <w:sz w:val="18"/>
                <w:szCs w:val="18"/>
              </w:rPr>
            </w:pPr>
            <w:r>
              <w:rPr>
                <w:rFonts w:cs="Times New Roman"/>
                <w:color w:val="000000"/>
                <w:sz w:val="18"/>
                <w:szCs w:val="18"/>
              </w:rPr>
              <w:t>0.134</w:t>
            </w:r>
          </w:p>
        </w:tc>
        <w:tc>
          <w:tcPr>
            <w:tcW w:w="254" w:type="pct"/>
            <w:noWrap/>
            <w:vAlign w:val="center"/>
          </w:tcPr>
          <w:p w14:paraId="379980D3">
            <w:pPr>
              <w:pStyle w:val="133"/>
              <w:rPr>
                <w:sz w:val="18"/>
                <w:szCs w:val="18"/>
              </w:rPr>
            </w:pPr>
            <w:r>
              <w:rPr>
                <w:rFonts w:cs="Times New Roman"/>
                <w:color w:val="000000"/>
                <w:sz w:val="18"/>
                <w:szCs w:val="18"/>
              </w:rPr>
              <w:t>0.067</w:t>
            </w:r>
          </w:p>
        </w:tc>
        <w:tc>
          <w:tcPr>
            <w:tcW w:w="254" w:type="pct"/>
            <w:vAlign w:val="center"/>
          </w:tcPr>
          <w:p w14:paraId="16EFFECA">
            <w:pPr>
              <w:pStyle w:val="133"/>
              <w:rPr>
                <w:sz w:val="18"/>
                <w:szCs w:val="18"/>
              </w:rPr>
            </w:pPr>
          </w:p>
        </w:tc>
        <w:tc>
          <w:tcPr>
            <w:tcW w:w="254" w:type="pct"/>
            <w:vAlign w:val="center"/>
          </w:tcPr>
          <w:p w14:paraId="100E4096">
            <w:pPr>
              <w:pStyle w:val="133"/>
              <w:rPr>
                <w:sz w:val="18"/>
                <w:szCs w:val="18"/>
              </w:rPr>
            </w:pPr>
          </w:p>
        </w:tc>
        <w:tc>
          <w:tcPr>
            <w:tcW w:w="254" w:type="pct"/>
            <w:vAlign w:val="center"/>
          </w:tcPr>
          <w:p w14:paraId="0DD06C9F">
            <w:pPr>
              <w:pStyle w:val="133"/>
              <w:rPr>
                <w:sz w:val="18"/>
                <w:szCs w:val="18"/>
              </w:rPr>
            </w:pPr>
          </w:p>
        </w:tc>
        <w:tc>
          <w:tcPr>
            <w:tcW w:w="251" w:type="pct"/>
            <w:vAlign w:val="center"/>
          </w:tcPr>
          <w:p w14:paraId="0FE3D719">
            <w:pPr>
              <w:pStyle w:val="133"/>
              <w:rPr>
                <w:sz w:val="18"/>
                <w:szCs w:val="18"/>
              </w:rPr>
            </w:pPr>
          </w:p>
        </w:tc>
      </w:tr>
      <w:tr w14:paraId="281BC8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9337DCA">
            <w:pPr>
              <w:pStyle w:val="133"/>
              <w:rPr>
                <w:sz w:val="18"/>
                <w:szCs w:val="18"/>
              </w:rPr>
            </w:pPr>
            <w:r>
              <w:rPr>
                <w:rFonts w:hint="eastAsia"/>
                <w:sz w:val="18"/>
                <w:szCs w:val="18"/>
              </w:rPr>
              <w:t>14</w:t>
            </w:r>
          </w:p>
        </w:tc>
        <w:tc>
          <w:tcPr>
            <w:tcW w:w="671" w:type="pct"/>
            <w:noWrap/>
            <w:vAlign w:val="center"/>
          </w:tcPr>
          <w:p w14:paraId="476DB986">
            <w:pPr>
              <w:pStyle w:val="133"/>
              <w:rPr>
                <w:sz w:val="18"/>
                <w:szCs w:val="18"/>
              </w:rPr>
            </w:pPr>
            <w:r>
              <w:rPr>
                <w:rFonts w:hint="eastAsia" w:cs="Times New Roman"/>
                <w:color w:val="000000"/>
                <w:sz w:val="18"/>
                <w:szCs w:val="18"/>
              </w:rPr>
              <w:t>在建</w:t>
            </w:r>
            <w:r>
              <w:rPr>
                <w:rFonts w:cs="Times New Roman"/>
                <w:color w:val="000000"/>
                <w:sz w:val="18"/>
                <w:szCs w:val="18"/>
              </w:rPr>
              <w:t>2#锻白配料仓</w:t>
            </w:r>
          </w:p>
        </w:tc>
        <w:tc>
          <w:tcPr>
            <w:tcW w:w="324" w:type="pct"/>
            <w:vAlign w:val="center"/>
          </w:tcPr>
          <w:p w14:paraId="57732F5B">
            <w:pPr>
              <w:pStyle w:val="133"/>
              <w:rPr>
                <w:sz w:val="18"/>
                <w:szCs w:val="18"/>
              </w:rPr>
            </w:pPr>
            <w:r>
              <w:rPr>
                <w:rFonts w:cs="Times New Roman"/>
                <w:color w:val="000000"/>
                <w:sz w:val="18"/>
                <w:szCs w:val="18"/>
              </w:rPr>
              <w:t>-310</w:t>
            </w:r>
          </w:p>
        </w:tc>
        <w:tc>
          <w:tcPr>
            <w:tcW w:w="324" w:type="pct"/>
            <w:vAlign w:val="center"/>
          </w:tcPr>
          <w:p w14:paraId="78ECA28D">
            <w:pPr>
              <w:pStyle w:val="133"/>
              <w:rPr>
                <w:sz w:val="18"/>
                <w:szCs w:val="18"/>
              </w:rPr>
            </w:pPr>
            <w:r>
              <w:rPr>
                <w:rFonts w:cs="Times New Roman"/>
                <w:color w:val="000000"/>
                <w:sz w:val="18"/>
                <w:szCs w:val="18"/>
              </w:rPr>
              <w:t>-75</w:t>
            </w:r>
          </w:p>
        </w:tc>
        <w:tc>
          <w:tcPr>
            <w:tcW w:w="362" w:type="pct"/>
            <w:noWrap/>
            <w:vAlign w:val="center"/>
          </w:tcPr>
          <w:p w14:paraId="2924FC07">
            <w:pPr>
              <w:pStyle w:val="133"/>
              <w:rPr>
                <w:sz w:val="18"/>
                <w:szCs w:val="18"/>
              </w:rPr>
            </w:pPr>
            <w:r>
              <w:rPr>
                <w:rFonts w:cs="Times New Roman"/>
                <w:color w:val="000000"/>
                <w:sz w:val="18"/>
                <w:szCs w:val="18"/>
              </w:rPr>
              <w:t>15</w:t>
            </w:r>
          </w:p>
        </w:tc>
        <w:tc>
          <w:tcPr>
            <w:tcW w:w="359" w:type="pct"/>
            <w:noWrap/>
            <w:vAlign w:val="center"/>
          </w:tcPr>
          <w:p w14:paraId="0AE55550">
            <w:pPr>
              <w:pStyle w:val="133"/>
              <w:rPr>
                <w:sz w:val="18"/>
                <w:szCs w:val="18"/>
              </w:rPr>
            </w:pPr>
            <w:r>
              <w:rPr>
                <w:rFonts w:cs="Times New Roman"/>
                <w:color w:val="000000"/>
                <w:sz w:val="18"/>
                <w:szCs w:val="18"/>
              </w:rPr>
              <w:t>0.5</w:t>
            </w:r>
          </w:p>
        </w:tc>
        <w:tc>
          <w:tcPr>
            <w:tcW w:w="361" w:type="pct"/>
            <w:noWrap/>
            <w:vAlign w:val="center"/>
          </w:tcPr>
          <w:p w14:paraId="1B069D74">
            <w:pPr>
              <w:pStyle w:val="133"/>
              <w:rPr>
                <w:sz w:val="18"/>
                <w:szCs w:val="18"/>
              </w:rPr>
            </w:pPr>
            <w:r>
              <w:rPr>
                <w:rFonts w:cs="Times New Roman"/>
                <w:color w:val="000000"/>
                <w:sz w:val="18"/>
                <w:szCs w:val="18"/>
              </w:rPr>
              <w:t>25</w:t>
            </w:r>
          </w:p>
        </w:tc>
        <w:tc>
          <w:tcPr>
            <w:tcW w:w="329" w:type="pct"/>
            <w:vAlign w:val="center"/>
          </w:tcPr>
          <w:p w14:paraId="67D3383D">
            <w:pPr>
              <w:pStyle w:val="133"/>
              <w:rPr>
                <w:sz w:val="18"/>
                <w:szCs w:val="18"/>
              </w:rPr>
            </w:pPr>
            <w:r>
              <w:rPr>
                <w:rFonts w:cs="Times New Roman"/>
                <w:color w:val="000000"/>
                <w:sz w:val="18"/>
                <w:szCs w:val="18"/>
              </w:rPr>
              <w:t>6000</w:t>
            </w:r>
          </w:p>
        </w:tc>
        <w:tc>
          <w:tcPr>
            <w:tcW w:w="254" w:type="pct"/>
            <w:vAlign w:val="center"/>
          </w:tcPr>
          <w:p w14:paraId="2D2178D8">
            <w:pPr>
              <w:pStyle w:val="133"/>
              <w:rPr>
                <w:sz w:val="18"/>
                <w:szCs w:val="18"/>
              </w:rPr>
            </w:pPr>
          </w:p>
        </w:tc>
        <w:tc>
          <w:tcPr>
            <w:tcW w:w="254" w:type="pct"/>
            <w:vAlign w:val="center"/>
          </w:tcPr>
          <w:p w14:paraId="7825B388">
            <w:pPr>
              <w:pStyle w:val="133"/>
              <w:rPr>
                <w:sz w:val="18"/>
                <w:szCs w:val="18"/>
              </w:rPr>
            </w:pPr>
          </w:p>
        </w:tc>
        <w:tc>
          <w:tcPr>
            <w:tcW w:w="254" w:type="pct"/>
            <w:noWrap/>
            <w:vAlign w:val="center"/>
          </w:tcPr>
          <w:p w14:paraId="59656A08">
            <w:pPr>
              <w:pStyle w:val="133"/>
              <w:rPr>
                <w:sz w:val="18"/>
                <w:szCs w:val="18"/>
              </w:rPr>
            </w:pPr>
            <w:r>
              <w:rPr>
                <w:rFonts w:cs="Times New Roman"/>
                <w:color w:val="000000"/>
                <w:sz w:val="18"/>
                <w:szCs w:val="18"/>
              </w:rPr>
              <w:t>0.134</w:t>
            </w:r>
          </w:p>
        </w:tc>
        <w:tc>
          <w:tcPr>
            <w:tcW w:w="254" w:type="pct"/>
            <w:noWrap/>
            <w:vAlign w:val="center"/>
          </w:tcPr>
          <w:p w14:paraId="22A1980A">
            <w:pPr>
              <w:pStyle w:val="133"/>
              <w:rPr>
                <w:sz w:val="18"/>
                <w:szCs w:val="18"/>
              </w:rPr>
            </w:pPr>
            <w:r>
              <w:rPr>
                <w:rFonts w:cs="Times New Roman"/>
                <w:color w:val="000000"/>
                <w:sz w:val="18"/>
                <w:szCs w:val="18"/>
              </w:rPr>
              <w:t>0.067</w:t>
            </w:r>
          </w:p>
        </w:tc>
        <w:tc>
          <w:tcPr>
            <w:tcW w:w="254" w:type="pct"/>
            <w:vAlign w:val="center"/>
          </w:tcPr>
          <w:p w14:paraId="2C527706">
            <w:pPr>
              <w:pStyle w:val="133"/>
              <w:rPr>
                <w:sz w:val="18"/>
                <w:szCs w:val="18"/>
              </w:rPr>
            </w:pPr>
          </w:p>
        </w:tc>
        <w:tc>
          <w:tcPr>
            <w:tcW w:w="254" w:type="pct"/>
            <w:vAlign w:val="center"/>
          </w:tcPr>
          <w:p w14:paraId="72ACEE47">
            <w:pPr>
              <w:pStyle w:val="133"/>
              <w:rPr>
                <w:sz w:val="18"/>
                <w:szCs w:val="18"/>
              </w:rPr>
            </w:pPr>
          </w:p>
        </w:tc>
        <w:tc>
          <w:tcPr>
            <w:tcW w:w="254" w:type="pct"/>
            <w:vAlign w:val="center"/>
          </w:tcPr>
          <w:p w14:paraId="6F3E1679">
            <w:pPr>
              <w:pStyle w:val="133"/>
              <w:rPr>
                <w:sz w:val="18"/>
                <w:szCs w:val="18"/>
              </w:rPr>
            </w:pPr>
          </w:p>
        </w:tc>
        <w:tc>
          <w:tcPr>
            <w:tcW w:w="251" w:type="pct"/>
            <w:vAlign w:val="center"/>
          </w:tcPr>
          <w:p w14:paraId="3BF10363">
            <w:pPr>
              <w:pStyle w:val="133"/>
              <w:rPr>
                <w:sz w:val="18"/>
                <w:szCs w:val="18"/>
              </w:rPr>
            </w:pPr>
          </w:p>
        </w:tc>
      </w:tr>
      <w:tr w14:paraId="744A4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4CE01BEC">
            <w:pPr>
              <w:pStyle w:val="133"/>
              <w:rPr>
                <w:sz w:val="18"/>
                <w:szCs w:val="18"/>
              </w:rPr>
            </w:pPr>
            <w:r>
              <w:rPr>
                <w:rFonts w:hint="eastAsia"/>
                <w:sz w:val="18"/>
                <w:szCs w:val="18"/>
              </w:rPr>
              <w:t>15</w:t>
            </w:r>
          </w:p>
        </w:tc>
        <w:tc>
          <w:tcPr>
            <w:tcW w:w="671" w:type="pct"/>
            <w:noWrap/>
            <w:vAlign w:val="center"/>
          </w:tcPr>
          <w:p w14:paraId="4C9C006E">
            <w:pPr>
              <w:pStyle w:val="133"/>
              <w:rPr>
                <w:sz w:val="18"/>
                <w:szCs w:val="18"/>
              </w:rPr>
            </w:pPr>
            <w:r>
              <w:rPr>
                <w:rFonts w:hint="eastAsia" w:cs="Times New Roman"/>
                <w:color w:val="000000"/>
                <w:sz w:val="18"/>
                <w:szCs w:val="18"/>
              </w:rPr>
              <w:t>在建</w:t>
            </w:r>
            <w:r>
              <w:rPr>
                <w:rFonts w:cs="Times New Roman"/>
                <w:color w:val="000000"/>
                <w:sz w:val="18"/>
                <w:szCs w:val="18"/>
              </w:rPr>
              <w:t>1#萤石粉仓</w:t>
            </w:r>
          </w:p>
        </w:tc>
        <w:tc>
          <w:tcPr>
            <w:tcW w:w="324" w:type="pct"/>
            <w:vAlign w:val="center"/>
          </w:tcPr>
          <w:p w14:paraId="17C951AF">
            <w:pPr>
              <w:pStyle w:val="133"/>
              <w:rPr>
                <w:sz w:val="18"/>
                <w:szCs w:val="18"/>
              </w:rPr>
            </w:pPr>
            <w:r>
              <w:rPr>
                <w:rFonts w:cs="Times New Roman"/>
                <w:color w:val="000000"/>
                <w:sz w:val="18"/>
                <w:szCs w:val="18"/>
              </w:rPr>
              <w:t>-350</w:t>
            </w:r>
          </w:p>
        </w:tc>
        <w:tc>
          <w:tcPr>
            <w:tcW w:w="324" w:type="pct"/>
            <w:vAlign w:val="center"/>
          </w:tcPr>
          <w:p w14:paraId="214F5242">
            <w:pPr>
              <w:pStyle w:val="133"/>
              <w:rPr>
                <w:sz w:val="18"/>
                <w:szCs w:val="18"/>
              </w:rPr>
            </w:pPr>
            <w:r>
              <w:rPr>
                <w:rFonts w:cs="Times New Roman"/>
                <w:color w:val="000000"/>
                <w:sz w:val="18"/>
                <w:szCs w:val="18"/>
              </w:rPr>
              <w:t>-60</w:t>
            </w:r>
          </w:p>
        </w:tc>
        <w:tc>
          <w:tcPr>
            <w:tcW w:w="362" w:type="pct"/>
            <w:noWrap/>
            <w:vAlign w:val="center"/>
          </w:tcPr>
          <w:p w14:paraId="7B1383D7">
            <w:pPr>
              <w:pStyle w:val="133"/>
              <w:rPr>
                <w:sz w:val="18"/>
                <w:szCs w:val="18"/>
              </w:rPr>
            </w:pPr>
            <w:r>
              <w:rPr>
                <w:rFonts w:cs="Times New Roman"/>
                <w:color w:val="000000"/>
                <w:sz w:val="18"/>
                <w:szCs w:val="18"/>
              </w:rPr>
              <w:t>15</w:t>
            </w:r>
          </w:p>
        </w:tc>
        <w:tc>
          <w:tcPr>
            <w:tcW w:w="359" w:type="pct"/>
            <w:noWrap/>
            <w:vAlign w:val="center"/>
          </w:tcPr>
          <w:p w14:paraId="36B5D574">
            <w:pPr>
              <w:pStyle w:val="133"/>
              <w:rPr>
                <w:sz w:val="18"/>
                <w:szCs w:val="18"/>
              </w:rPr>
            </w:pPr>
            <w:r>
              <w:rPr>
                <w:rFonts w:cs="Times New Roman"/>
                <w:color w:val="000000"/>
                <w:sz w:val="18"/>
                <w:szCs w:val="18"/>
              </w:rPr>
              <w:t>0.6</w:t>
            </w:r>
          </w:p>
        </w:tc>
        <w:tc>
          <w:tcPr>
            <w:tcW w:w="361" w:type="pct"/>
            <w:noWrap/>
            <w:vAlign w:val="center"/>
          </w:tcPr>
          <w:p w14:paraId="78CA90D7">
            <w:pPr>
              <w:pStyle w:val="133"/>
              <w:rPr>
                <w:sz w:val="18"/>
                <w:szCs w:val="18"/>
              </w:rPr>
            </w:pPr>
            <w:r>
              <w:rPr>
                <w:rFonts w:cs="Times New Roman"/>
                <w:color w:val="000000"/>
                <w:sz w:val="18"/>
                <w:szCs w:val="18"/>
              </w:rPr>
              <w:t>25</w:t>
            </w:r>
          </w:p>
        </w:tc>
        <w:tc>
          <w:tcPr>
            <w:tcW w:w="329" w:type="pct"/>
            <w:vAlign w:val="center"/>
          </w:tcPr>
          <w:p w14:paraId="0E236FCF">
            <w:pPr>
              <w:pStyle w:val="133"/>
              <w:rPr>
                <w:sz w:val="18"/>
                <w:szCs w:val="18"/>
              </w:rPr>
            </w:pPr>
            <w:r>
              <w:rPr>
                <w:rFonts w:cs="Times New Roman"/>
                <w:color w:val="000000"/>
                <w:sz w:val="18"/>
                <w:szCs w:val="18"/>
              </w:rPr>
              <w:t>15000</w:t>
            </w:r>
          </w:p>
        </w:tc>
        <w:tc>
          <w:tcPr>
            <w:tcW w:w="254" w:type="pct"/>
            <w:vAlign w:val="center"/>
          </w:tcPr>
          <w:p w14:paraId="00851AAA">
            <w:pPr>
              <w:pStyle w:val="133"/>
              <w:rPr>
                <w:sz w:val="18"/>
                <w:szCs w:val="18"/>
              </w:rPr>
            </w:pPr>
          </w:p>
        </w:tc>
        <w:tc>
          <w:tcPr>
            <w:tcW w:w="254" w:type="pct"/>
            <w:vAlign w:val="center"/>
          </w:tcPr>
          <w:p w14:paraId="0D5CA3A8">
            <w:pPr>
              <w:pStyle w:val="133"/>
              <w:rPr>
                <w:sz w:val="18"/>
                <w:szCs w:val="18"/>
              </w:rPr>
            </w:pPr>
          </w:p>
        </w:tc>
        <w:tc>
          <w:tcPr>
            <w:tcW w:w="254" w:type="pct"/>
            <w:noWrap/>
            <w:vAlign w:val="center"/>
          </w:tcPr>
          <w:p w14:paraId="35FF2AD7">
            <w:pPr>
              <w:pStyle w:val="133"/>
              <w:rPr>
                <w:sz w:val="18"/>
                <w:szCs w:val="18"/>
              </w:rPr>
            </w:pPr>
            <w:r>
              <w:rPr>
                <w:rFonts w:cs="Times New Roman"/>
                <w:color w:val="000000"/>
                <w:sz w:val="18"/>
                <w:szCs w:val="18"/>
              </w:rPr>
              <w:t>0.187</w:t>
            </w:r>
          </w:p>
        </w:tc>
        <w:tc>
          <w:tcPr>
            <w:tcW w:w="254" w:type="pct"/>
            <w:noWrap/>
            <w:vAlign w:val="center"/>
          </w:tcPr>
          <w:p w14:paraId="191B5209">
            <w:pPr>
              <w:pStyle w:val="133"/>
              <w:rPr>
                <w:sz w:val="18"/>
                <w:szCs w:val="18"/>
              </w:rPr>
            </w:pPr>
            <w:r>
              <w:rPr>
                <w:rFonts w:cs="Times New Roman"/>
                <w:color w:val="000000"/>
                <w:sz w:val="18"/>
                <w:szCs w:val="18"/>
              </w:rPr>
              <w:t>0.0935</w:t>
            </w:r>
          </w:p>
        </w:tc>
        <w:tc>
          <w:tcPr>
            <w:tcW w:w="254" w:type="pct"/>
            <w:vAlign w:val="center"/>
          </w:tcPr>
          <w:p w14:paraId="4826EFD9">
            <w:pPr>
              <w:pStyle w:val="133"/>
              <w:rPr>
                <w:sz w:val="18"/>
                <w:szCs w:val="18"/>
              </w:rPr>
            </w:pPr>
          </w:p>
        </w:tc>
        <w:tc>
          <w:tcPr>
            <w:tcW w:w="254" w:type="pct"/>
            <w:vAlign w:val="center"/>
          </w:tcPr>
          <w:p w14:paraId="18CC23BD">
            <w:pPr>
              <w:pStyle w:val="133"/>
              <w:rPr>
                <w:sz w:val="18"/>
                <w:szCs w:val="18"/>
              </w:rPr>
            </w:pPr>
          </w:p>
        </w:tc>
        <w:tc>
          <w:tcPr>
            <w:tcW w:w="254" w:type="pct"/>
            <w:vAlign w:val="center"/>
          </w:tcPr>
          <w:p w14:paraId="6A83BD35">
            <w:pPr>
              <w:pStyle w:val="133"/>
              <w:rPr>
                <w:sz w:val="18"/>
                <w:szCs w:val="18"/>
              </w:rPr>
            </w:pPr>
          </w:p>
        </w:tc>
        <w:tc>
          <w:tcPr>
            <w:tcW w:w="251" w:type="pct"/>
            <w:vAlign w:val="center"/>
          </w:tcPr>
          <w:p w14:paraId="5AFE9942">
            <w:pPr>
              <w:pStyle w:val="133"/>
              <w:rPr>
                <w:sz w:val="18"/>
                <w:szCs w:val="18"/>
              </w:rPr>
            </w:pPr>
          </w:p>
        </w:tc>
      </w:tr>
      <w:tr w14:paraId="62649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61A8957C">
            <w:pPr>
              <w:pStyle w:val="133"/>
              <w:rPr>
                <w:sz w:val="18"/>
                <w:szCs w:val="18"/>
              </w:rPr>
            </w:pPr>
            <w:r>
              <w:rPr>
                <w:rFonts w:hint="eastAsia"/>
                <w:sz w:val="18"/>
                <w:szCs w:val="18"/>
              </w:rPr>
              <w:t>16</w:t>
            </w:r>
          </w:p>
        </w:tc>
        <w:tc>
          <w:tcPr>
            <w:tcW w:w="671" w:type="pct"/>
            <w:noWrap/>
            <w:vAlign w:val="center"/>
          </w:tcPr>
          <w:p w14:paraId="1B7BA4B8">
            <w:pPr>
              <w:pStyle w:val="133"/>
              <w:rPr>
                <w:sz w:val="18"/>
                <w:szCs w:val="18"/>
              </w:rPr>
            </w:pPr>
            <w:r>
              <w:rPr>
                <w:rFonts w:hint="eastAsia" w:cs="Times New Roman"/>
                <w:color w:val="000000"/>
                <w:sz w:val="18"/>
                <w:szCs w:val="18"/>
              </w:rPr>
              <w:t>在建</w:t>
            </w:r>
            <w:r>
              <w:rPr>
                <w:rFonts w:cs="Times New Roman"/>
                <w:color w:val="000000"/>
                <w:sz w:val="18"/>
                <w:szCs w:val="18"/>
              </w:rPr>
              <w:t>2#萤石粉仓</w:t>
            </w:r>
          </w:p>
        </w:tc>
        <w:tc>
          <w:tcPr>
            <w:tcW w:w="324" w:type="pct"/>
            <w:vAlign w:val="center"/>
          </w:tcPr>
          <w:p w14:paraId="716AE52E">
            <w:pPr>
              <w:pStyle w:val="133"/>
              <w:rPr>
                <w:sz w:val="18"/>
                <w:szCs w:val="18"/>
              </w:rPr>
            </w:pPr>
            <w:r>
              <w:rPr>
                <w:rFonts w:cs="Times New Roman"/>
                <w:color w:val="000000"/>
                <w:sz w:val="18"/>
                <w:szCs w:val="18"/>
              </w:rPr>
              <w:t>-290</w:t>
            </w:r>
          </w:p>
        </w:tc>
        <w:tc>
          <w:tcPr>
            <w:tcW w:w="324" w:type="pct"/>
            <w:vAlign w:val="center"/>
          </w:tcPr>
          <w:p w14:paraId="2CE71AB6">
            <w:pPr>
              <w:pStyle w:val="133"/>
              <w:rPr>
                <w:sz w:val="18"/>
                <w:szCs w:val="18"/>
              </w:rPr>
            </w:pPr>
            <w:r>
              <w:rPr>
                <w:rFonts w:cs="Times New Roman"/>
                <w:color w:val="000000"/>
                <w:sz w:val="18"/>
                <w:szCs w:val="18"/>
              </w:rPr>
              <w:t>-60</w:t>
            </w:r>
          </w:p>
        </w:tc>
        <w:tc>
          <w:tcPr>
            <w:tcW w:w="362" w:type="pct"/>
            <w:noWrap/>
            <w:vAlign w:val="center"/>
          </w:tcPr>
          <w:p w14:paraId="38F87B7A">
            <w:pPr>
              <w:pStyle w:val="133"/>
              <w:rPr>
                <w:sz w:val="18"/>
                <w:szCs w:val="18"/>
              </w:rPr>
            </w:pPr>
            <w:r>
              <w:rPr>
                <w:rFonts w:cs="Times New Roman"/>
                <w:color w:val="000000"/>
                <w:sz w:val="18"/>
                <w:szCs w:val="18"/>
              </w:rPr>
              <w:t>15</w:t>
            </w:r>
          </w:p>
        </w:tc>
        <w:tc>
          <w:tcPr>
            <w:tcW w:w="359" w:type="pct"/>
            <w:noWrap/>
            <w:vAlign w:val="center"/>
          </w:tcPr>
          <w:p w14:paraId="2FA5DC7A">
            <w:pPr>
              <w:pStyle w:val="133"/>
              <w:rPr>
                <w:sz w:val="18"/>
                <w:szCs w:val="18"/>
              </w:rPr>
            </w:pPr>
            <w:r>
              <w:rPr>
                <w:rFonts w:cs="Times New Roman"/>
                <w:color w:val="000000"/>
                <w:sz w:val="18"/>
                <w:szCs w:val="18"/>
              </w:rPr>
              <w:t>0.6</w:t>
            </w:r>
          </w:p>
        </w:tc>
        <w:tc>
          <w:tcPr>
            <w:tcW w:w="361" w:type="pct"/>
            <w:noWrap/>
            <w:vAlign w:val="center"/>
          </w:tcPr>
          <w:p w14:paraId="0907F00B">
            <w:pPr>
              <w:pStyle w:val="133"/>
              <w:rPr>
                <w:sz w:val="18"/>
                <w:szCs w:val="18"/>
              </w:rPr>
            </w:pPr>
            <w:r>
              <w:rPr>
                <w:rFonts w:cs="Times New Roman"/>
                <w:color w:val="000000"/>
                <w:sz w:val="18"/>
                <w:szCs w:val="18"/>
              </w:rPr>
              <w:t>25</w:t>
            </w:r>
          </w:p>
        </w:tc>
        <w:tc>
          <w:tcPr>
            <w:tcW w:w="329" w:type="pct"/>
            <w:vAlign w:val="center"/>
          </w:tcPr>
          <w:p w14:paraId="1090808F">
            <w:pPr>
              <w:pStyle w:val="133"/>
              <w:rPr>
                <w:sz w:val="18"/>
                <w:szCs w:val="18"/>
              </w:rPr>
            </w:pPr>
            <w:r>
              <w:rPr>
                <w:rFonts w:cs="Times New Roman"/>
                <w:color w:val="000000"/>
                <w:sz w:val="18"/>
                <w:szCs w:val="18"/>
              </w:rPr>
              <w:t>15000</w:t>
            </w:r>
          </w:p>
        </w:tc>
        <w:tc>
          <w:tcPr>
            <w:tcW w:w="254" w:type="pct"/>
            <w:vAlign w:val="center"/>
          </w:tcPr>
          <w:p w14:paraId="12A0A806">
            <w:pPr>
              <w:pStyle w:val="133"/>
              <w:rPr>
                <w:sz w:val="18"/>
                <w:szCs w:val="18"/>
              </w:rPr>
            </w:pPr>
          </w:p>
        </w:tc>
        <w:tc>
          <w:tcPr>
            <w:tcW w:w="254" w:type="pct"/>
            <w:vAlign w:val="center"/>
          </w:tcPr>
          <w:p w14:paraId="385A98E4">
            <w:pPr>
              <w:pStyle w:val="133"/>
              <w:rPr>
                <w:sz w:val="18"/>
                <w:szCs w:val="18"/>
              </w:rPr>
            </w:pPr>
          </w:p>
        </w:tc>
        <w:tc>
          <w:tcPr>
            <w:tcW w:w="254" w:type="pct"/>
            <w:noWrap/>
            <w:vAlign w:val="center"/>
          </w:tcPr>
          <w:p w14:paraId="06A82AD7">
            <w:pPr>
              <w:pStyle w:val="133"/>
              <w:rPr>
                <w:sz w:val="18"/>
                <w:szCs w:val="18"/>
              </w:rPr>
            </w:pPr>
            <w:r>
              <w:rPr>
                <w:rFonts w:cs="Times New Roman"/>
                <w:color w:val="000000"/>
                <w:sz w:val="18"/>
                <w:szCs w:val="18"/>
              </w:rPr>
              <w:t>0.187</w:t>
            </w:r>
          </w:p>
        </w:tc>
        <w:tc>
          <w:tcPr>
            <w:tcW w:w="254" w:type="pct"/>
            <w:noWrap/>
            <w:vAlign w:val="center"/>
          </w:tcPr>
          <w:p w14:paraId="7C801C92">
            <w:pPr>
              <w:pStyle w:val="133"/>
              <w:rPr>
                <w:sz w:val="18"/>
                <w:szCs w:val="18"/>
              </w:rPr>
            </w:pPr>
            <w:r>
              <w:rPr>
                <w:rFonts w:cs="Times New Roman"/>
                <w:color w:val="000000"/>
                <w:sz w:val="18"/>
                <w:szCs w:val="18"/>
              </w:rPr>
              <w:t>0.0935</w:t>
            </w:r>
          </w:p>
        </w:tc>
        <w:tc>
          <w:tcPr>
            <w:tcW w:w="254" w:type="pct"/>
            <w:vAlign w:val="center"/>
          </w:tcPr>
          <w:p w14:paraId="59D4FC28">
            <w:pPr>
              <w:pStyle w:val="133"/>
              <w:rPr>
                <w:sz w:val="18"/>
                <w:szCs w:val="18"/>
              </w:rPr>
            </w:pPr>
          </w:p>
        </w:tc>
        <w:tc>
          <w:tcPr>
            <w:tcW w:w="254" w:type="pct"/>
            <w:vAlign w:val="center"/>
          </w:tcPr>
          <w:p w14:paraId="5ADA72C1">
            <w:pPr>
              <w:pStyle w:val="133"/>
              <w:rPr>
                <w:sz w:val="18"/>
                <w:szCs w:val="18"/>
              </w:rPr>
            </w:pPr>
          </w:p>
        </w:tc>
        <w:tc>
          <w:tcPr>
            <w:tcW w:w="254" w:type="pct"/>
            <w:vAlign w:val="center"/>
          </w:tcPr>
          <w:p w14:paraId="0971495B">
            <w:pPr>
              <w:pStyle w:val="133"/>
              <w:rPr>
                <w:sz w:val="18"/>
                <w:szCs w:val="18"/>
              </w:rPr>
            </w:pPr>
          </w:p>
        </w:tc>
        <w:tc>
          <w:tcPr>
            <w:tcW w:w="251" w:type="pct"/>
            <w:vAlign w:val="center"/>
          </w:tcPr>
          <w:p w14:paraId="5A17E978">
            <w:pPr>
              <w:pStyle w:val="133"/>
              <w:rPr>
                <w:sz w:val="18"/>
                <w:szCs w:val="18"/>
              </w:rPr>
            </w:pPr>
          </w:p>
        </w:tc>
      </w:tr>
      <w:tr w14:paraId="3523C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4704001A">
            <w:pPr>
              <w:pStyle w:val="133"/>
              <w:rPr>
                <w:sz w:val="18"/>
                <w:szCs w:val="18"/>
              </w:rPr>
            </w:pPr>
            <w:r>
              <w:rPr>
                <w:rFonts w:hint="eastAsia"/>
                <w:sz w:val="18"/>
                <w:szCs w:val="18"/>
              </w:rPr>
              <w:t>17</w:t>
            </w:r>
          </w:p>
        </w:tc>
        <w:tc>
          <w:tcPr>
            <w:tcW w:w="671" w:type="pct"/>
            <w:noWrap/>
            <w:vAlign w:val="center"/>
          </w:tcPr>
          <w:p w14:paraId="7F84D2FD">
            <w:pPr>
              <w:pStyle w:val="133"/>
              <w:rPr>
                <w:sz w:val="18"/>
                <w:szCs w:val="18"/>
              </w:rPr>
            </w:pPr>
            <w:r>
              <w:rPr>
                <w:rFonts w:hint="eastAsia" w:cs="Times New Roman"/>
                <w:color w:val="000000"/>
                <w:sz w:val="18"/>
                <w:szCs w:val="18"/>
              </w:rPr>
              <w:t>在建</w:t>
            </w:r>
            <w:r>
              <w:rPr>
                <w:rFonts w:cs="Times New Roman"/>
                <w:color w:val="000000"/>
                <w:sz w:val="18"/>
                <w:szCs w:val="18"/>
              </w:rPr>
              <w:t>配料混磨1</w:t>
            </w:r>
          </w:p>
        </w:tc>
        <w:tc>
          <w:tcPr>
            <w:tcW w:w="324" w:type="pct"/>
            <w:vAlign w:val="center"/>
          </w:tcPr>
          <w:p w14:paraId="259F232E">
            <w:pPr>
              <w:pStyle w:val="133"/>
              <w:rPr>
                <w:sz w:val="18"/>
                <w:szCs w:val="18"/>
              </w:rPr>
            </w:pPr>
            <w:r>
              <w:rPr>
                <w:rFonts w:cs="Times New Roman"/>
                <w:color w:val="000000"/>
                <w:sz w:val="18"/>
                <w:szCs w:val="18"/>
              </w:rPr>
              <w:t>-350</w:t>
            </w:r>
          </w:p>
        </w:tc>
        <w:tc>
          <w:tcPr>
            <w:tcW w:w="324" w:type="pct"/>
            <w:vAlign w:val="center"/>
          </w:tcPr>
          <w:p w14:paraId="65156B82">
            <w:pPr>
              <w:pStyle w:val="133"/>
              <w:rPr>
                <w:sz w:val="18"/>
                <w:szCs w:val="18"/>
              </w:rPr>
            </w:pPr>
            <w:r>
              <w:rPr>
                <w:rFonts w:cs="Times New Roman"/>
                <w:color w:val="000000"/>
                <w:sz w:val="18"/>
                <w:szCs w:val="18"/>
              </w:rPr>
              <w:t>-10</w:t>
            </w:r>
          </w:p>
        </w:tc>
        <w:tc>
          <w:tcPr>
            <w:tcW w:w="362" w:type="pct"/>
            <w:noWrap/>
            <w:vAlign w:val="center"/>
          </w:tcPr>
          <w:p w14:paraId="01CA453A">
            <w:pPr>
              <w:pStyle w:val="133"/>
              <w:rPr>
                <w:sz w:val="18"/>
                <w:szCs w:val="18"/>
              </w:rPr>
            </w:pPr>
            <w:r>
              <w:rPr>
                <w:rFonts w:cs="Times New Roman"/>
                <w:color w:val="000000"/>
                <w:sz w:val="18"/>
                <w:szCs w:val="18"/>
              </w:rPr>
              <w:t>15</w:t>
            </w:r>
          </w:p>
        </w:tc>
        <w:tc>
          <w:tcPr>
            <w:tcW w:w="359" w:type="pct"/>
            <w:noWrap/>
            <w:vAlign w:val="center"/>
          </w:tcPr>
          <w:p w14:paraId="47CE843B">
            <w:pPr>
              <w:pStyle w:val="133"/>
              <w:rPr>
                <w:sz w:val="18"/>
                <w:szCs w:val="18"/>
              </w:rPr>
            </w:pPr>
            <w:r>
              <w:rPr>
                <w:rFonts w:cs="Times New Roman"/>
                <w:color w:val="000000"/>
                <w:sz w:val="18"/>
                <w:szCs w:val="18"/>
              </w:rPr>
              <w:t>1</w:t>
            </w:r>
          </w:p>
        </w:tc>
        <w:tc>
          <w:tcPr>
            <w:tcW w:w="361" w:type="pct"/>
            <w:noWrap/>
            <w:vAlign w:val="center"/>
          </w:tcPr>
          <w:p w14:paraId="58B3B42F">
            <w:pPr>
              <w:pStyle w:val="133"/>
              <w:rPr>
                <w:sz w:val="18"/>
                <w:szCs w:val="18"/>
              </w:rPr>
            </w:pPr>
            <w:r>
              <w:rPr>
                <w:rFonts w:cs="Times New Roman"/>
                <w:color w:val="000000"/>
                <w:sz w:val="18"/>
                <w:szCs w:val="18"/>
              </w:rPr>
              <w:t>25</w:t>
            </w:r>
          </w:p>
        </w:tc>
        <w:tc>
          <w:tcPr>
            <w:tcW w:w="329" w:type="pct"/>
            <w:vAlign w:val="center"/>
          </w:tcPr>
          <w:p w14:paraId="01145D5F">
            <w:pPr>
              <w:pStyle w:val="133"/>
              <w:rPr>
                <w:sz w:val="18"/>
                <w:szCs w:val="18"/>
              </w:rPr>
            </w:pPr>
            <w:r>
              <w:rPr>
                <w:rFonts w:cs="Times New Roman"/>
                <w:color w:val="000000"/>
                <w:sz w:val="18"/>
                <w:szCs w:val="18"/>
              </w:rPr>
              <w:t>40000</w:t>
            </w:r>
          </w:p>
        </w:tc>
        <w:tc>
          <w:tcPr>
            <w:tcW w:w="254" w:type="pct"/>
            <w:vAlign w:val="center"/>
          </w:tcPr>
          <w:p w14:paraId="054EC761">
            <w:pPr>
              <w:pStyle w:val="133"/>
              <w:rPr>
                <w:sz w:val="18"/>
                <w:szCs w:val="18"/>
              </w:rPr>
            </w:pPr>
          </w:p>
        </w:tc>
        <w:tc>
          <w:tcPr>
            <w:tcW w:w="254" w:type="pct"/>
            <w:vAlign w:val="center"/>
          </w:tcPr>
          <w:p w14:paraId="3A437AC1">
            <w:pPr>
              <w:pStyle w:val="133"/>
              <w:rPr>
                <w:sz w:val="18"/>
                <w:szCs w:val="18"/>
              </w:rPr>
            </w:pPr>
          </w:p>
        </w:tc>
        <w:tc>
          <w:tcPr>
            <w:tcW w:w="254" w:type="pct"/>
            <w:noWrap/>
            <w:vAlign w:val="center"/>
          </w:tcPr>
          <w:p w14:paraId="49C90B06">
            <w:pPr>
              <w:pStyle w:val="133"/>
              <w:rPr>
                <w:sz w:val="18"/>
                <w:szCs w:val="18"/>
              </w:rPr>
            </w:pPr>
            <w:r>
              <w:rPr>
                <w:rFonts w:cs="Times New Roman"/>
                <w:color w:val="000000"/>
                <w:sz w:val="18"/>
                <w:szCs w:val="18"/>
              </w:rPr>
              <w:t>0.026</w:t>
            </w:r>
          </w:p>
        </w:tc>
        <w:tc>
          <w:tcPr>
            <w:tcW w:w="254" w:type="pct"/>
            <w:noWrap/>
            <w:vAlign w:val="center"/>
          </w:tcPr>
          <w:p w14:paraId="40B8B5A7">
            <w:pPr>
              <w:pStyle w:val="133"/>
              <w:rPr>
                <w:sz w:val="18"/>
                <w:szCs w:val="18"/>
              </w:rPr>
            </w:pPr>
            <w:r>
              <w:rPr>
                <w:rFonts w:cs="Times New Roman"/>
                <w:color w:val="000000"/>
                <w:sz w:val="18"/>
                <w:szCs w:val="18"/>
              </w:rPr>
              <w:t>0.013</w:t>
            </w:r>
          </w:p>
        </w:tc>
        <w:tc>
          <w:tcPr>
            <w:tcW w:w="254" w:type="pct"/>
            <w:vAlign w:val="center"/>
          </w:tcPr>
          <w:p w14:paraId="091DA4A8">
            <w:pPr>
              <w:pStyle w:val="133"/>
              <w:rPr>
                <w:sz w:val="18"/>
                <w:szCs w:val="18"/>
              </w:rPr>
            </w:pPr>
          </w:p>
        </w:tc>
        <w:tc>
          <w:tcPr>
            <w:tcW w:w="254" w:type="pct"/>
            <w:vAlign w:val="center"/>
          </w:tcPr>
          <w:p w14:paraId="51428477">
            <w:pPr>
              <w:pStyle w:val="133"/>
              <w:rPr>
                <w:sz w:val="18"/>
                <w:szCs w:val="18"/>
              </w:rPr>
            </w:pPr>
          </w:p>
        </w:tc>
        <w:tc>
          <w:tcPr>
            <w:tcW w:w="254" w:type="pct"/>
            <w:vAlign w:val="center"/>
          </w:tcPr>
          <w:p w14:paraId="7FE0B559">
            <w:pPr>
              <w:pStyle w:val="133"/>
              <w:rPr>
                <w:sz w:val="18"/>
                <w:szCs w:val="18"/>
              </w:rPr>
            </w:pPr>
          </w:p>
        </w:tc>
        <w:tc>
          <w:tcPr>
            <w:tcW w:w="251" w:type="pct"/>
            <w:vAlign w:val="center"/>
          </w:tcPr>
          <w:p w14:paraId="6A9A1BA7">
            <w:pPr>
              <w:pStyle w:val="133"/>
              <w:rPr>
                <w:sz w:val="18"/>
                <w:szCs w:val="18"/>
              </w:rPr>
            </w:pPr>
          </w:p>
        </w:tc>
      </w:tr>
      <w:tr w14:paraId="7948F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398EAC2B">
            <w:pPr>
              <w:pStyle w:val="133"/>
              <w:rPr>
                <w:sz w:val="18"/>
                <w:szCs w:val="18"/>
              </w:rPr>
            </w:pPr>
            <w:r>
              <w:rPr>
                <w:rFonts w:hint="eastAsia"/>
                <w:sz w:val="18"/>
                <w:szCs w:val="18"/>
              </w:rPr>
              <w:t>18</w:t>
            </w:r>
          </w:p>
        </w:tc>
        <w:tc>
          <w:tcPr>
            <w:tcW w:w="671" w:type="pct"/>
            <w:noWrap/>
            <w:vAlign w:val="center"/>
          </w:tcPr>
          <w:p w14:paraId="316FC836">
            <w:pPr>
              <w:pStyle w:val="133"/>
              <w:rPr>
                <w:sz w:val="18"/>
                <w:szCs w:val="18"/>
              </w:rPr>
            </w:pPr>
            <w:r>
              <w:rPr>
                <w:rFonts w:hint="eastAsia" w:cs="Times New Roman"/>
                <w:color w:val="000000"/>
                <w:sz w:val="18"/>
                <w:szCs w:val="18"/>
              </w:rPr>
              <w:t>在建</w:t>
            </w:r>
            <w:r>
              <w:rPr>
                <w:rFonts w:cs="Times New Roman"/>
                <w:color w:val="000000"/>
                <w:sz w:val="18"/>
                <w:szCs w:val="18"/>
              </w:rPr>
              <w:t>配料混磨2</w:t>
            </w:r>
          </w:p>
        </w:tc>
        <w:tc>
          <w:tcPr>
            <w:tcW w:w="324" w:type="pct"/>
            <w:vAlign w:val="center"/>
          </w:tcPr>
          <w:p w14:paraId="28608A3F">
            <w:pPr>
              <w:pStyle w:val="133"/>
              <w:rPr>
                <w:sz w:val="18"/>
                <w:szCs w:val="18"/>
              </w:rPr>
            </w:pPr>
            <w:r>
              <w:rPr>
                <w:rFonts w:cs="Times New Roman"/>
                <w:color w:val="000000"/>
                <w:sz w:val="18"/>
                <w:szCs w:val="18"/>
              </w:rPr>
              <w:t>-290</w:t>
            </w:r>
          </w:p>
        </w:tc>
        <w:tc>
          <w:tcPr>
            <w:tcW w:w="324" w:type="pct"/>
            <w:vAlign w:val="center"/>
          </w:tcPr>
          <w:p w14:paraId="1AA4696E">
            <w:pPr>
              <w:pStyle w:val="133"/>
              <w:rPr>
                <w:sz w:val="18"/>
                <w:szCs w:val="18"/>
              </w:rPr>
            </w:pPr>
            <w:r>
              <w:rPr>
                <w:rFonts w:cs="Times New Roman"/>
                <w:color w:val="000000"/>
                <w:sz w:val="18"/>
                <w:szCs w:val="18"/>
              </w:rPr>
              <w:t>-10</w:t>
            </w:r>
          </w:p>
        </w:tc>
        <w:tc>
          <w:tcPr>
            <w:tcW w:w="362" w:type="pct"/>
            <w:noWrap/>
            <w:vAlign w:val="center"/>
          </w:tcPr>
          <w:p w14:paraId="306D72EF">
            <w:pPr>
              <w:pStyle w:val="133"/>
              <w:rPr>
                <w:sz w:val="18"/>
                <w:szCs w:val="18"/>
              </w:rPr>
            </w:pPr>
            <w:r>
              <w:rPr>
                <w:rFonts w:cs="Times New Roman"/>
                <w:color w:val="000000"/>
                <w:sz w:val="18"/>
                <w:szCs w:val="18"/>
              </w:rPr>
              <w:t>15</w:t>
            </w:r>
          </w:p>
        </w:tc>
        <w:tc>
          <w:tcPr>
            <w:tcW w:w="359" w:type="pct"/>
            <w:noWrap/>
            <w:vAlign w:val="center"/>
          </w:tcPr>
          <w:p w14:paraId="71DF09B9">
            <w:pPr>
              <w:pStyle w:val="133"/>
              <w:rPr>
                <w:sz w:val="18"/>
                <w:szCs w:val="18"/>
              </w:rPr>
            </w:pPr>
            <w:r>
              <w:rPr>
                <w:rFonts w:cs="Times New Roman"/>
                <w:color w:val="000000"/>
                <w:sz w:val="18"/>
                <w:szCs w:val="18"/>
              </w:rPr>
              <w:t>1</w:t>
            </w:r>
          </w:p>
        </w:tc>
        <w:tc>
          <w:tcPr>
            <w:tcW w:w="361" w:type="pct"/>
            <w:noWrap/>
            <w:vAlign w:val="center"/>
          </w:tcPr>
          <w:p w14:paraId="1484E250">
            <w:pPr>
              <w:pStyle w:val="133"/>
              <w:rPr>
                <w:sz w:val="18"/>
                <w:szCs w:val="18"/>
              </w:rPr>
            </w:pPr>
            <w:r>
              <w:rPr>
                <w:rFonts w:cs="Times New Roman"/>
                <w:color w:val="000000"/>
                <w:sz w:val="18"/>
                <w:szCs w:val="18"/>
              </w:rPr>
              <w:t>25</w:t>
            </w:r>
          </w:p>
        </w:tc>
        <w:tc>
          <w:tcPr>
            <w:tcW w:w="329" w:type="pct"/>
            <w:vAlign w:val="center"/>
          </w:tcPr>
          <w:p w14:paraId="48EAE450">
            <w:pPr>
              <w:pStyle w:val="133"/>
              <w:rPr>
                <w:sz w:val="18"/>
                <w:szCs w:val="18"/>
              </w:rPr>
            </w:pPr>
            <w:r>
              <w:rPr>
                <w:rFonts w:cs="Times New Roman"/>
                <w:color w:val="000000"/>
                <w:sz w:val="18"/>
                <w:szCs w:val="18"/>
              </w:rPr>
              <w:t>40000</w:t>
            </w:r>
          </w:p>
        </w:tc>
        <w:tc>
          <w:tcPr>
            <w:tcW w:w="254" w:type="pct"/>
            <w:vAlign w:val="center"/>
          </w:tcPr>
          <w:p w14:paraId="7645B550">
            <w:pPr>
              <w:pStyle w:val="133"/>
              <w:rPr>
                <w:sz w:val="18"/>
                <w:szCs w:val="18"/>
              </w:rPr>
            </w:pPr>
          </w:p>
        </w:tc>
        <w:tc>
          <w:tcPr>
            <w:tcW w:w="254" w:type="pct"/>
            <w:vAlign w:val="center"/>
          </w:tcPr>
          <w:p w14:paraId="6B49BF9C">
            <w:pPr>
              <w:pStyle w:val="133"/>
              <w:rPr>
                <w:sz w:val="18"/>
                <w:szCs w:val="18"/>
              </w:rPr>
            </w:pPr>
          </w:p>
        </w:tc>
        <w:tc>
          <w:tcPr>
            <w:tcW w:w="254" w:type="pct"/>
            <w:noWrap/>
            <w:vAlign w:val="center"/>
          </w:tcPr>
          <w:p w14:paraId="0748C620">
            <w:pPr>
              <w:pStyle w:val="133"/>
              <w:rPr>
                <w:sz w:val="18"/>
                <w:szCs w:val="18"/>
              </w:rPr>
            </w:pPr>
            <w:r>
              <w:rPr>
                <w:rFonts w:cs="Times New Roman"/>
                <w:color w:val="000000"/>
                <w:sz w:val="18"/>
                <w:szCs w:val="18"/>
              </w:rPr>
              <w:t>0.026</w:t>
            </w:r>
          </w:p>
        </w:tc>
        <w:tc>
          <w:tcPr>
            <w:tcW w:w="254" w:type="pct"/>
            <w:noWrap/>
            <w:vAlign w:val="center"/>
          </w:tcPr>
          <w:p w14:paraId="0DE5763F">
            <w:pPr>
              <w:pStyle w:val="133"/>
              <w:rPr>
                <w:sz w:val="18"/>
                <w:szCs w:val="18"/>
              </w:rPr>
            </w:pPr>
            <w:r>
              <w:rPr>
                <w:rFonts w:cs="Times New Roman"/>
                <w:color w:val="000000"/>
                <w:sz w:val="18"/>
                <w:szCs w:val="18"/>
              </w:rPr>
              <w:t>0.013</w:t>
            </w:r>
          </w:p>
        </w:tc>
        <w:tc>
          <w:tcPr>
            <w:tcW w:w="254" w:type="pct"/>
            <w:vAlign w:val="center"/>
          </w:tcPr>
          <w:p w14:paraId="36F60057">
            <w:pPr>
              <w:pStyle w:val="133"/>
              <w:rPr>
                <w:sz w:val="18"/>
                <w:szCs w:val="18"/>
              </w:rPr>
            </w:pPr>
          </w:p>
        </w:tc>
        <w:tc>
          <w:tcPr>
            <w:tcW w:w="254" w:type="pct"/>
            <w:vAlign w:val="center"/>
          </w:tcPr>
          <w:p w14:paraId="1677DEF4">
            <w:pPr>
              <w:pStyle w:val="133"/>
              <w:rPr>
                <w:sz w:val="18"/>
                <w:szCs w:val="18"/>
              </w:rPr>
            </w:pPr>
          </w:p>
        </w:tc>
        <w:tc>
          <w:tcPr>
            <w:tcW w:w="254" w:type="pct"/>
            <w:vAlign w:val="center"/>
          </w:tcPr>
          <w:p w14:paraId="0FB0E5D9">
            <w:pPr>
              <w:pStyle w:val="133"/>
              <w:rPr>
                <w:sz w:val="18"/>
                <w:szCs w:val="18"/>
              </w:rPr>
            </w:pPr>
          </w:p>
        </w:tc>
        <w:tc>
          <w:tcPr>
            <w:tcW w:w="251" w:type="pct"/>
            <w:vAlign w:val="center"/>
          </w:tcPr>
          <w:p w14:paraId="106E79F2">
            <w:pPr>
              <w:pStyle w:val="133"/>
              <w:rPr>
                <w:sz w:val="18"/>
                <w:szCs w:val="18"/>
              </w:rPr>
            </w:pPr>
          </w:p>
        </w:tc>
      </w:tr>
      <w:tr w14:paraId="2A16C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E4562A0">
            <w:pPr>
              <w:pStyle w:val="133"/>
              <w:rPr>
                <w:sz w:val="18"/>
                <w:szCs w:val="18"/>
              </w:rPr>
            </w:pPr>
            <w:r>
              <w:rPr>
                <w:rFonts w:hint="eastAsia"/>
                <w:sz w:val="18"/>
                <w:szCs w:val="18"/>
              </w:rPr>
              <w:t>19</w:t>
            </w:r>
          </w:p>
        </w:tc>
        <w:tc>
          <w:tcPr>
            <w:tcW w:w="671" w:type="pct"/>
            <w:noWrap/>
            <w:vAlign w:val="center"/>
          </w:tcPr>
          <w:p w14:paraId="46E58F3B">
            <w:pPr>
              <w:pStyle w:val="133"/>
              <w:rPr>
                <w:sz w:val="18"/>
                <w:szCs w:val="18"/>
              </w:rPr>
            </w:pPr>
            <w:r>
              <w:rPr>
                <w:rFonts w:hint="eastAsia" w:cs="Times New Roman"/>
                <w:color w:val="000000"/>
                <w:sz w:val="18"/>
                <w:szCs w:val="18"/>
              </w:rPr>
              <w:t>在建</w:t>
            </w:r>
            <w:r>
              <w:rPr>
                <w:rFonts w:cs="Times New Roman"/>
                <w:color w:val="000000"/>
                <w:sz w:val="18"/>
                <w:szCs w:val="18"/>
              </w:rPr>
              <w:t>压球筛分1</w:t>
            </w:r>
          </w:p>
        </w:tc>
        <w:tc>
          <w:tcPr>
            <w:tcW w:w="324" w:type="pct"/>
            <w:vAlign w:val="center"/>
          </w:tcPr>
          <w:p w14:paraId="6FB4B50E">
            <w:pPr>
              <w:pStyle w:val="133"/>
              <w:rPr>
                <w:sz w:val="18"/>
                <w:szCs w:val="18"/>
              </w:rPr>
            </w:pPr>
            <w:r>
              <w:rPr>
                <w:rFonts w:cs="Times New Roman"/>
                <w:color w:val="000000"/>
                <w:sz w:val="18"/>
                <w:szCs w:val="18"/>
              </w:rPr>
              <w:t>-350</w:t>
            </w:r>
          </w:p>
        </w:tc>
        <w:tc>
          <w:tcPr>
            <w:tcW w:w="324" w:type="pct"/>
            <w:vAlign w:val="center"/>
          </w:tcPr>
          <w:p w14:paraId="0292C623">
            <w:pPr>
              <w:pStyle w:val="133"/>
              <w:rPr>
                <w:sz w:val="18"/>
                <w:szCs w:val="18"/>
              </w:rPr>
            </w:pPr>
            <w:r>
              <w:rPr>
                <w:rFonts w:cs="Times New Roman"/>
                <w:color w:val="000000"/>
                <w:sz w:val="18"/>
                <w:szCs w:val="18"/>
              </w:rPr>
              <w:t>20</w:t>
            </w:r>
          </w:p>
        </w:tc>
        <w:tc>
          <w:tcPr>
            <w:tcW w:w="362" w:type="pct"/>
            <w:noWrap/>
            <w:vAlign w:val="center"/>
          </w:tcPr>
          <w:p w14:paraId="53C7DD7E">
            <w:pPr>
              <w:pStyle w:val="133"/>
              <w:rPr>
                <w:sz w:val="18"/>
                <w:szCs w:val="18"/>
              </w:rPr>
            </w:pPr>
            <w:r>
              <w:rPr>
                <w:rFonts w:cs="Times New Roman"/>
                <w:color w:val="000000"/>
                <w:sz w:val="18"/>
                <w:szCs w:val="18"/>
              </w:rPr>
              <w:t>15</w:t>
            </w:r>
          </w:p>
        </w:tc>
        <w:tc>
          <w:tcPr>
            <w:tcW w:w="359" w:type="pct"/>
            <w:noWrap/>
            <w:vAlign w:val="center"/>
          </w:tcPr>
          <w:p w14:paraId="35890E22">
            <w:pPr>
              <w:pStyle w:val="133"/>
              <w:rPr>
                <w:sz w:val="18"/>
                <w:szCs w:val="18"/>
              </w:rPr>
            </w:pPr>
            <w:r>
              <w:rPr>
                <w:rFonts w:cs="Times New Roman"/>
                <w:color w:val="000000"/>
                <w:sz w:val="18"/>
                <w:szCs w:val="18"/>
              </w:rPr>
              <w:t>1</w:t>
            </w:r>
          </w:p>
        </w:tc>
        <w:tc>
          <w:tcPr>
            <w:tcW w:w="361" w:type="pct"/>
            <w:noWrap/>
            <w:vAlign w:val="center"/>
          </w:tcPr>
          <w:p w14:paraId="65EFF349">
            <w:pPr>
              <w:pStyle w:val="133"/>
              <w:rPr>
                <w:sz w:val="18"/>
                <w:szCs w:val="18"/>
              </w:rPr>
            </w:pPr>
            <w:r>
              <w:rPr>
                <w:rFonts w:cs="Times New Roman"/>
                <w:color w:val="000000"/>
                <w:sz w:val="18"/>
                <w:szCs w:val="18"/>
              </w:rPr>
              <w:t>25</w:t>
            </w:r>
          </w:p>
        </w:tc>
        <w:tc>
          <w:tcPr>
            <w:tcW w:w="329" w:type="pct"/>
            <w:vAlign w:val="center"/>
          </w:tcPr>
          <w:p w14:paraId="4155158E">
            <w:pPr>
              <w:pStyle w:val="133"/>
              <w:rPr>
                <w:sz w:val="18"/>
                <w:szCs w:val="18"/>
              </w:rPr>
            </w:pPr>
            <w:r>
              <w:rPr>
                <w:rFonts w:cs="Times New Roman"/>
                <w:color w:val="000000"/>
                <w:sz w:val="18"/>
                <w:szCs w:val="18"/>
              </w:rPr>
              <w:t>40000</w:t>
            </w:r>
          </w:p>
        </w:tc>
        <w:tc>
          <w:tcPr>
            <w:tcW w:w="254" w:type="pct"/>
            <w:vAlign w:val="center"/>
          </w:tcPr>
          <w:p w14:paraId="7828C0D9">
            <w:pPr>
              <w:pStyle w:val="133"/>
              <w:rPr>
                <w:sz w:val="18"/>
                <w:szCs w:val="18"/>
              </w:rPr>
            </w:pPr>
          </w:p>
        </w:tc>
        <w:tc>
          <w:tcPr>
            <w:tcW w:w="254" w:type="pct"/>
            <w:vAlign w:val="center"/>
          </w:tcPr>
          <w:p w14:paraId="4E7B43FC">
            <w:pPr>
              <w:pStyle w:val="133"/>
              <w:rPr>
                <w:sz w:val="18"/>
                <w:szCs w:val="18"/>
              </w:rPr>
            </w:pPr>
          </w:p>
        </w:tc>
        <w:tc>
          <w:tcPr>
            <w:tcW w:w="254" w:type="pct"/>
            <w:noWrap/>
            <w:vAlign w:val="center"/>
          </w:tcPr>
          <w:p w14:paraId="69EBFDD3">
            <w:pPr>
              <w:pStyle w:val="133"/>
              <w:rPr>
                <w:sz w:val="18"/>
                <w:szCs w:val="18"/>
              </w:rPr>
            </w:pPr>
            <w:r>
              <w:rPr>
                <w:rFonts w:cs="Times New Roman"/>
                <w:color w:val="000000"/>
                <w:sz w:val="18"/>
                <w:szCs w:val="18"/>
              </w:rPr>
              <w:t>0.225</w:t>
            </w:r>
          </w:p>
        </w:tc>
        <w:tc>
          <w:tcPr>
            <w:tcW w:w="254" w:type="pct"/>
            <w:noWrap/>
            <w:vAlign w:val="center"/>
          </w:tcPr>
          <w:p w14:paraId="1D757B58">
            <w:pPr>
              <w:pStyle w:val="133"/>
              <w:rPr>
                <w:sz w:val="18"/>
                <w:szCs w:val="18"/>
              </w:rPr>
            </w:pPr>
            <w:r>
              <w:rPr>
                <w:rFonts w:cs="Times New Roman"/>
                <w:color w:val="000000"/>
                <w:sz w:val="18"/>
                <w:szCs w:val="18"/>
              </w:rPr>
              <w:t>0.1125</w:t>
            </w:r>
          </w:p>
        </w:tc>
        <w:tc>
          <w:tcPr>
            <w:tcW w:w="254" w:type="pct"/>
            <w:vAlign w:val="center"/>
          </w:tcPr>
          <w:p w14:paraId="3F09A3D4">
            <w:pPr>
              <w:pStyle w:val="133"/>
              <w:rPr>
                <w:sz w:val="18"/>
                <w:szCs w:val="18"/>
              </w:rPr>
            </w:pPr>
          </w:p>
        </w:tc>
        <w:tc>
          <w:tcPr>
            <w:tcW w:w="254" w:type="pct"/>
            <w:vAlign w:val="center"/>
          </w:tcPr>
          <w:p w14:paraId="6FDED314">
            <w:pPr>
              <w:pStyle w:val="133"/>
              <w:rPr>
                <w:sz w:val="18"/>
                <w:szCs w:val="18"/>
              </w:rPr>
            </w:pPr>
          </w:p>
        </w:tc>
        <w:tc>
          <w:tcPr>
            <w:tcW w:w="254" w:type="pct"/>
            <w:vAlign w:val="center"/>
          </w:tcPr>
          <w:p w14:paraId="5254A904">
            <w:pPr>
              <w:pStyle w:val="133"/>
              <w:rPr>
                <w:sz w:val="18"/>
                <w:szCs w:val="18"/>
              </w:rPr>
            </w:pPr>
          </w:p>
        </w:tc>
        <w:tc>
          <w:tcPr>
            <w:tcW w:w="251" w:type="pct"/>
            <w:vAlign w:val="center"/>
          </w:tcPr>
          <w:p w14:paraId="14E4D6F2">
            <w:pPr>
              <w:pStyle w:val="133"/>
              <w:rPr>
                <w:sz w:val="18"/>
                <w:szCs w:val="18"/>
              </w:rPr>
            </w:pPr>
          </w:p>
        </w:tc>
      </w:tr>
      <w:tr w14:paraId="6F17D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47334CBA">
            <w:pPr>
              <w:pStyle w:val="133"/>
              <w:rPr>
                <w:sz w:val="18"/>
                <w:szCs w:val="18"/>
              </w:rPr>
            </w:pPr>
            <w:r>
              <w:rPr>
                <w:rFonts w:hint="eastAsia"/>
                <w:sz w:val="18"/>
                <w:szCs w:val="18"/>
              </w:rPr>
              <w:t>20</w:t>
            </w:r>
          </w:p>
        </w:tc>
        <w:tc>
          <w:tcPr>
            <w:tcW w:w="671" w:type="pct"/>
            <w:noWrap/>
            <w:vAlign w:val="center"/>
          </w:tcPr>
          <w:p w14:paraId="1613696B">
            <w:pPr>
              <w:pStyle w:val="133"/>
              <w:rPr>
                <w:sz w:val="18"/>
                <w:szCs w:val="18"/>
              </w:rPr>
            </w:pPr>
            <w:r>
              <w:rPr>
                <w:rFonts w:hint="eastAsia" w:cs="Times New Roman"/>
                <w:color w:val="000000"/>
                <w:sz w:val="18"/>
                <w:szCs w:val="18"/>
              </w:rPr>
              <w:t>在建</w:t>
            </w:r>
            <w:r>
              <w:rPr>
                <w:rFonts w:cs="Times New Roman"/>
                <w:color w:val="000000"/>
                <w:sz w:val="18"/>
                <w:szCs w:val="18"/>
              </w:rPr>
              <w:t>压球筛分2</w:t>
            </w:r>
          </w:p>
        </w:tc>
        <w:tc>
          <w:tcPr>
            <w:tcW w:w="324" w:type="pct"/>
            <w:vAlign w:val="center"/>
          </w:tcPr>
          <w:p w14:paraId="01BFEC4A">
            <w:pPr>
              <w:pStyle w:val="133"/>
              <w:rPr>
                <w:sz w:val="18"/>
                <w:szCs w:val="18"/>
              </w:rPr>
            </w:pPr>
            <w:r>
              <w:rPr>
                <w:rFonts w:cs="Times New Roman"/>
                <w:color w:val="000000"/>
                <w:sz w:val="18"/>
                <w:szCs w:val="18"/>
              </w:rPr>
              <w:t>-290</w:t>
            </w:r>
          </w:p>
        </w:tc>
        <w:tc>
          <w:tcPr>
            <w:tcW w:w="324" w:type="pct"/>
            <w:vAlign w:val="center"/>
          </w:tcPr>
          <w:p w14:paraId="3AD8921F">
            <w:pPr>
              <w:pStyle w:val="133"/>
              <w:rPr>
                <w:sz w:val="18"/>
                <w:szCs w:val="18"/>
              </w:rPr>
            </w:pPr>
            <w:r>
              <w:rPr>
                <w:rFonts w:cs="Times New Roman"/>
                <w:color w:val="000000"/>
                <w:sz w:val="18"/>
                <w:szCs w:val="18"/>
              </w:rPr>
              <w:t>20</w:t>
            </w:r>
          </w:p>
        </w:tc>
        <w:tc>
          <w:tcPr>
            <w:tcW w:w="362" w:type="pct"/>
            <w:noWrap/>
            <w:vAlign w:val="center"/>
          </w:tcPr>
          <w:p w14:paraId="216A94CB">
            <w:pPr>
              <w:pStyle w:val="133"/>
              <w:rPr>
                <w:sz w:val="18"/>
                <w:szCs w:val="18"/>
              </w:rPr>
            </w:pPr>
            <w:r>
              <w:rPr>
                <w:rFonts w:cs="Times New Roman"/>
                <w:color w:val="000000"/>
                <w:sz w:val="18"/>
                <w:szCs w:val="18"/>
              </w:rPr>
              <w:t>15</w:t>
            </w:r>
          </w:p>
        </w:tc>
        <w:tc>
          <w:tcPr>
            <w:tcW w:w="359" w:type="pct"/>
            <w:noWrap/>
            <w:vAlign w:val="center"/>
          </w:tcPr>
          <w:p w14:paraId="10DAFEF3">
            <w:pPr>
              <w:pStyle w:val="133"/>
              <w:rPr>
                <w:sz w:val="18"/>
                <w:szCs w:val="18"/>
              </w:rPr>
            </w:pPr>
            <w:r>
              <w:rPr>
                <w:rFonts w:cs="Times New Roman"/>
                <w:color w:val="000000"/>
                <w:sz w:val="18"/>
                <w:szCs w:val="18"/>
              </w:rPr>
              <w:t>1</w:t>
            </w:r>
          </w:p>
        </w:tc>
        <w:tc>
          <w:tcPr>
            <w:tcW w:w="361" w:type="pct"/>
            <w:noWrap/>
            <w:vAlign w:val="center"/>
          </w:tcPr>
          <w:p w14:paraId="3C736387">
            <w:pPr>
              <w:pStyle w:val="133"/>
              <w:rPr>
                <w:sz w:val="18"/>
                <w:szCs w:val="18"/>
              </w:rPr>
            </w:pPr>
            <w:r>
              <w:rPr>
                <w:rFonts w:cs="Times New Roman"/>
                <w:color w:val="000000"/>
                <w:sz w:val="18"/>
                <w:szCs w:val="18"/>
              </w:rPr>
              <w:t>25</w:t>
            </w:r>
          </w:p>
        </w:tc>
        <w:tc>
          <w:tcPr>
            <w:tcW w:w="329" w:type="pct"/>
            <w:vAlign w:val="center"/>
          </w:tcPr>
          <w:p w14:paraId="31BE152D">
            <w:pPr>
              <w:pStyle w:val="133"/>
              <w:rPr>
                <w:sz w:val="18"/>
                <w:szCs w:val="18"/>
              </w:rPr>
            </w:pPr>
            <w:r>
              <w:rPr>
                <w:rFonts w:cs="Times New Roman"/>
                <w:color w:val="000000"/>
                <w:sz w:val="18"/>
                <w:szCs w:val="18"/>
              </w:rPr>
              <w:t>40000</w:t>
            </w:r>
          </w:p>
        </w:tc>
        <w:tc>
          <w:tcPr>
            <w:tcW w:w="254" w:type="pct"/>
            <w:vAlign w:val="center"/>
          </w:tcPr>
          <w:p w14:paraId="643F1EBC">
            <w:pPr>
              <w:pStyle w:val="133"/>
              <w:rPr>
                <w:sz w:val="18"/>
                <w:szCs w:val="18"/>
              </w:rPr>
            </w:pPr>
          </w:p>
        </w:tc>
        <w:tc>
          <w:tcPr>
            <w:tcW w:w="254" w:type="pct"/>
            <w:vAlign w:val="center"/>
          </w:tcPr>
          <w:p w14:paraId="648B05C2">
            <w:pPr>
              <w:pStyle w:val="133"/>
              <w:rPr>
                <w:sz w:val="18"/>
                <w:szCs w:val="18"/>
              </w:rPr>
            </w:pPr>
          </w:p>
        </w:tc>
        <w:tc>
          <w:tcPr>
            <w:tcW w:w="254" w:type="pct"/>
            <w:noWrap/>
            <w:vAlign w:val="center"/>
          </w:tcPr>
          <w:p w14:paraId="4468E028">
            <w:pPr>
              <w:pStyle w:val="133"/>
              <w:rPr>
                <w:sz w:val="18"/>
                <w:szCs w:val="18"/>
              </w:rPr>
            </w:pPr>
            <w:r>
              <w:rPr>
                <w:rFonts w:cs="Times New Roman"/>
                <w:color w:val="000000"/>
                <w:sz w:val="18"/>
                <w:szCs w:val="18"/>
              </w:rPr>
              <w:t>0.225</w:t>
            </w:r>
          </w:p>
        </w:tc>
        <w:tc>
          <w:tcPr>
            <w:tcW w:w="254" w:type="pct"/>
            <w:noWrap/>
            <w:vAlign w:val="center"/>
          </w:tcPr>
          <w:p w14:paraId="066C41F7">
            <w:pPr>
              <w:pStyle w:val="133"/>
              <w:rPr>
                <w:sz w:val="18"/>
                <w:szCs w:val="18"/>
              </w:rPr>
            </w:pPr>
            <w:r>
              <w:rPr>
                <w:rFonts w:cs="Times New Roman"/>
                <w:color w:val="000000"/>
                <w:sz w:val="18"/>
                <w:szCs w:val="18"/>
              </w:rPr>
              <w:t>0.1125</w:t>
            </w:r>
          </w:p>
        </w:tc>
        <w:tc>
          <w:tcPr>
            <w:tcW w:w="254" w:type="pct"/>
            <w:vAlign w:val="center"/>
          </w:tcPr>
          <w:p w14:paraId="022B55A2">
            <w:pPr>
              <w:pStyle w:val="133"/>
              <w:rPr>
                <w:sz w:val="18"/>
                <w:szCs w:val="18"/>
              </w:rPr>
            </w:pPr>
          </w:p>
        </w:tc>
        <w:tc>
          <w:tcPr>
            <w:tcW w:w="254" w:type="pct"/>
            <w:vAlign w:val="center"/>
          </w:tcPr>
          <w:p w14:paraId="5380E478">
            <w:pPr>
              <w:pStyle w:val="133"/>
              <w:rPr>
                <w:sz w:val="18"/>
                <w:szCs w:val="18"/>
              </w:rPr>
            </w:pPr>
          </w:p>
        </w:tc>
        <w:tc>
          <w:tcPr>
            <w:tcW w:w="254" w:type="pct"/>
            <w:vAlign w:val="center"/>
          </w:tcPr>
          <w:p w14:paraId="12C9A76A">
            <w:pPr>
              <w:pStyle w:val="133"/>
              <w:rPr>
                <w:sz w:val="18"/>
                <w:szCs w:val="18"/>
              </w:rPr>
            </w:pPr>
          </w:p>
        </w:tc>
        <w:tc>
          <w:tcPr>
            <w:tcW w:w="251" w:type="pct"/>
            <w:vAlign w:val="center"/>
          </w:tcPr>
          <w:p w14:paraId="5D28537D">
            <w:pPr>
              <w:pStyle w:val="133"/>
              <w:rPr>
                <w:sz w:val="18"/>
                <w:szCs w:val="18"/>
              </w:rPr>
            </w:pPr>
          </w:p>
        </w:tc>
      </w:tr>
      <w:tr w14:paraId="3B1D0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005DC9BB">
            <w:pPr>
              <w:pStyle w:val="133"/>
              <w:rPr>
                <w:sz w:val="18"/>
                <w:szCs w:val="18"/>
              </w:rPr>
            </w:pPr>
            <w:r>
              <w:rPr>
                <w:rFonts w:hint="eastAsia"/>
                <w:sz w:val="18"/>
                <w:szCs w:val="18"/>
              </w:rPr>
              <w:t>21</w:t>
            </w:r>
          </w:p>
        </w:tc>
        <w:tc>
          <w:tcPr>
            <w:tcW w:w="671" w:type="pct"/>
            <w:noWrap/>
            <w:vAlign w:val="center"/>
          </w:tcPr>
          <w:p w14:paraId="2910C29B">
            <w:pPr>
              <w:pStyle w:val="133"/>
              <w:rPr>
                <w:sz w:val="18"/>
                <w:szCs w:val="18"/>
              </w:rPr>
            </w:pPr>
            <w:r>
              <w:rPr>
                <w:rFonts w:hint="eastAsia" w:cs="Times New Roman"/>
                <w:color w:val="000000"/>
                <w:sz w:val="18"/>
                <w:szCs w:val="18"/>
              </w:rPr>
              <w:t>在建</w:t>
            </w:r>
            <w:r>
              <w:rPr>
                <w:rFonts w:cs="Times New Roman"/>
                <w:color w:val="000000"/>
                <w:sz w:val="18"/>
                <w:szCs w:val="18"/>
              </w:rPr>
              <w:t>还原炉烟气</w:t>
            </w:r>
          </w:p>
        </w:tc>
        <w:tc>
          <w:tcPr>
            <w:tcW w:w="324" w:type="pct"/>
            <w:vAlign w:val="center"/>
          </w:tcPr>
          <w:p w14:paraId="03068C94">
            <w:pPr>
              <w:pStyle w:val="133"/>
              <w:rPr>
                <w:sz w:val="18"/>
                <w:szCs w:val="18"/>
              </w:rPr>
            </w:pPr>
            <w:r>
              <w:rPr>
                <w:rFonts w:cs="Times New Roman"/>
                <w:color w:val="000000"/>
                <w:sz w:val="18"/>
                <w:szCs w:val="18"/>
              </w:rPr>
              <w:t>-324</w:t>
            </w:r>
          </w:p>
        </w:tc>
        <w:tc>
          <w:tcPr>
            <w:tcW w:w="324" w:type="pct"/>
            <w:vAlign w:val="center"/>
          </w:tcPr>
          <w:p w14:paraId="2D4BCA94">
            <w:pPr>
              <w:pStyle w:val="133"/>
              <w:rPr>
                <w:sz w:val="18"/>
                <w:szCs w:val="18"/>
              </w:rPr>
            </w:pPr>
            <w:r>
              <w:rPr>
                <w:rFonts w:cs="Times New Roman"/>
                <w:color w:val="000000"/>
                <w:sz w:val="18"/>
                <w:szCs w:val="18"/>
              </w:rPr>
              <w:t>-65</w:t>
            </w:r>
          </w:p>
        </w:tc>
        <w:tc>
          <w:tcPr>
            <w:tcW w:w="362" w:type="pct"/>
            <w:noWrap/>
            <w:vAlign w:val="center"/>
          </w:tcPr>
          <w:p w14:paraId="4FA76E2D">
            <w:pPr>
              <w:pStyle w:val="133"/>
              <w:rPr>
                <w:sz w:val="18"/>
                <w:szCs w:val="18"/>
              </w:rPr>
            </w:pPr>
            <w:r>
              <w:rPr>
                <w:rFonts w:cs="Times New Roman"/>
                <w:color w:val="000000"/>
                <w:sz w:val="18"/>
                <w:szCs w:val="18"/>
              </w:rPr>
              <w:t>40</w:t>
            </w:r>
          </w:p>
        </w:tc>
        <w:tc>
          <w:tcPr>
            <w:tcW w:w="359" w:type="pct"/>
            <w:noWrap/>
            <w:vAlign w:val="center"/>
          </w:tcPr>
          <w:p w14:paraId="653AA018">
            <w:pPr>
              <w:pStyle w:val="133"/>
              <w:rPr>
                <w:sz w:val="18"/>
                <w:szCs w:val="18"/>
              </w:rPr>
            </w:pPr>
            <w:r>
              <w:rPr>
                <w:rFonts w:cs="Times New Roman"/>
                <w:color w:val="000000"/>
                <w:sz w:val="18"/>
                <w:szCs w:val="18"/>
              </w:rPr>
              <w:t>2.8</w:t>
            </w:r>
          </w:p>
        </w:tc>
        <w:tc>
          <w:tcPr>
            <w:tcW w:w="361" w:type="pct"/>
            <w:noWrap/>
            <w:vAlign w:val="center"/>
          </w:tcPr>
          <w:p w14:paraId="151C9A34">
            <w:pPr>
              <w:pStyle w:val="133"/>
              <w:rPr>
                <w:sz w:val="18"/>
                <w:szCs w:val="18"/>
              </w:rPr>
            </w:pPr>
            <w:r>
              <w:rPr>
                <w:rFonts w:cs="Times New Roman"/>
                <w:color w:val="000000"/>
                <w:sz w:val="18"/>
                <w:szCs w:val="18"/>
              </w:rPr>
              <w:t>110</w:t>
            </w:r>
          </w:p>
        </w:tc>
        <w:tc>
          <w:tcPr>
            <w:tcW w:w="329" w:type="pct"/>
            <w:vAlign w:val="center"/>
          </w:tcPr>
          <w:p w14:paraId="05547C6F">
            <w:pPr>
              <w:pStyle w:val="133"/>
              <w:rPr>
                <w:sz w:val="18"/>
                <w:szCs w:val="18"/>
              </w:rPr>
            </w:pPr>
            <w:r>
              <w:rPr>
                <w:rFonts w:cs="Times New Roman"/>
                <w:color w:val="000000"/>
                <w:sz w:val="18"/>
                <w:szCs w:val="18"/>
              </w:rPr>
              <w:t>330000</w:t>
            </w:r>
          </w:p>
        </w:tc>
        <w:tc>
          <w:tcPr>
            <w:tcW w:w="254" w:type="pct"/>
            <w:vAlign w:val="center"/>
          </w:tcPr>
          <w:p w14:paraId="15366300">
            <w:pPr>
              <w:pStyle w:val="133"/>
              <w:rPr>
                <w:sz w:val="18"/>
                <w:szCs w:val="18"/>
              </w:rPr>
            </w:pPr>
            <w:r>
              <w:rPr>
                <w:rFonts w:cs="Times New Roman"/>
                <w:color w:val="000000"/>
                <w:sz w:val="18"/>
                <w:szCs w:val="18"/>
              </w:rPr>
              <w:t>18.901</w:t>
            </w:r>
          </w:p>
        </w:tc>
        <w:tc>
          <w:tcPr>
            <w:tcW w:w="254" w:type="pct"/>
            <w:vAlign w:val="center"/>
          </w:tcPr>
          <w:p w14:paraId="6280C513">
            <w:pPr>
              <w:pStyle w:val="133"/>
              <w:rPr>
                <w:sz w:val="18"/>
                <w:szCs w:val="18"/>
              </w:rPr>
            </w:pPr>
            <w:r>
              <w:rPr>
                <w:rFonts w:cs="Times New Roman"/>
                <w:color w:val="000000"/>
                <w:sz w:val="18"/>
                <w:szCs w:val="18"/>
              </w:rPr>
              <w:t>24.67</w:t>
            </w:r>
          </w:p>
        </w:tc>
        <w:tc>
          <w:tcPr>
            <w:tcW w:w="254" w:type="pct"/>
            <w:noWrap/>
            <w:vAlign w:val="center"/>
          </w:tcPr>
          <w:p w14:paraId="01154E16">
            <w:pPr>
              <w:pStyle w:val="133"/>
              <w:rPr>
                <w:sz w:val="18"/>
                <w:szCs w:val="18"/>
              </w:rPr>
            </w:pPr>
            <w:r>
              <w:rPr>
                <w:rFonts w:cs="Times New Roman"/>
                <w:color w:val="000000"/>
                <w:sz w:val="18"/>
                <w:szCs w:val="18"/>
              </w:rPr>
              <w:t>0.949</w:t>
            </w:r>
          </w:p>
        </w:tc>
        <w:tc>
          <w:tcPr>
            <w:tcW w:w="254" w:type="pct"/>
            <w:noWrap/>
            <w:vAlign w:val="center"/>
          </w:tcPr>
          <w:p w14:paraId="29614FDA">
            <w:pPr>
              <w:pStyle w:val="133"/>
              <w:rPr>
                <w:sz w:val="18"/>
                <w:szCs w:val="18"/>
              </w:rPr>
            </w:pPr>
            <w:r>
              <w:rPr>
                <w:rFonts w:cs="Times New Roman"/>
                <w:color w:val="000000"/>
                <w:sz w:val="18"/>
                <w:szCs w:val="18"/>
              </w:rPr>
              <w:t>0.4745</w:t>
            </w:r>
          </w:p>
        </w:tc>
        <w:tc>
          <w:tcPr>
            <w:tcW w:w="254" w:type="pct"/>
            <w:vAlign w:val="center"/>
          </w:tcPr>
          <w:p w14:paraId="154117F8">
            <w:pPr>
              <w:pStyle w:val="133"/>
              <w:rPr>
                <w:sz w:val="18"/>
                <w:szCs w:val="18"/>
              </w:rPr>
            </w:pPr>
          </w:p>
        </w:tc>
        <w:tc>
          <w:tcPr>
            <w:tcW w:w="254" w:type="pct"/>
            <w:vAlign w:val="center"/>
          </w:tcPr>
          <w:p w14:paraId="7D4145CA">
            <w:pPr>
              <w:pStyle w:val="133"/>
              <w:rPr>
                <w:sz w:val="18"/>
                <w:szCs w:val="18"/>
              </w:rPr>
            </w:pPr>
          </w:p>
        </w:tc>
        <w:tc>
          <w:tcPr>
            <w:tcW w:w="254" w:type="pct"/>
            <w:vAlign w:val="center"/>
          </w:tcPr>
          <w:p w14:paraId="4C1F63E2">
            <w:pPr>
              <w:pStyle w:val="133"/>
              <w:rPr>
                <w:sz w:val="18"/>
                <w:szCs w:val="18"/>
              </w:rPr>
            </w:pPr>
          </w:p>
        </w:tc>
        <w:tc>
          <w:tcPr>
            <w:tcW w:w="251" w:type="pct"/>
            <w:vAlign w:val="center"/>
          </w:tcPr>
          <w:p w14:paraId="6B47C352">
            <w:pPr>
              <w:pStyle w:val="133"/>
              <w:rPr>
                <w:sz w:val="18"/>
                <w:szCs w:val="18"/>
              </w:rPr>
            </w:pPr>
          </w:p>
        </w:tc>
      </w:tr>
      <w:tr w14:paraId="6BC1B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62E45781">
            <w:pPr>
              <w:pStyle w:val="133"/>
              <w:rPr>
                <w:sz w:val="18"/>
                <w:szCs w:val="18"/>
              </w:rPr>
            </w:pPr>
            <w:r>
              <w:rPr>
                <w:rFonts w:hint="eastAsia"/>
                <w:sz w:val="18"/>
                <w:szCs w:val="18"/>
              </w:rPr>
              <w:t>22</w:t>
            </w:r>
          </w:p>
        </w:tc>
        <w:tc>
          <w:tcPr>
            <w:tcW w:w="671" w:type="pct"/>
            <w:noWrap/>
            <w:vAlign w:val="center"/>
          </w:tcPr>
          <w:p w14:paraId="6CFDE533">
            <w:pPr>
              <w:pStyle w:val="133"/>
              <w:rPr>
                <w:sz w:val="18"/>
                <w:szCs w:val="18"/>
              </w:rPr>
            </w:pPr>
            <w:r>
              <w:rPr>
                <w:rFonts w:hint="eastAsia" w:cs="Times New Roman"/>
                <w:color w:val="000000"/>
                <w:sz w:val="18"/>
                <w:szCs w:val="18"/>
              </w:rPr>
              <w:t>在建</w:t>
            </w:r>
            <w:r>
              <w:rPr>
                <w:rFonts w:cs="Times New Roman"/>
                <w:color w:val="000000"/>
                <w:sz w:val="18"/>
                <w:szCs w:val="18"/>
              </w:rPr>
              <w:t>还原渣下料</w:t>
            </w:r>
          </w:p>
        </w:tc>
        <w:tc>
          <w:tcPr>
            <w:tcW w:w="324" w:type="pct"/>
            <w:vAlign w:val="center"/>
          </w:tcPr>
          <w:p w14:paraId="634EC099">
            <w:pPr>
              <w:pStyle w:val="133"/>
              <w:rPr>
                <w:sz w:val="18"/>
                <w:szCs w:val="18"/>
              </w:rPr>
            </w:pPr>
            <w:r>
              <w:rPr>
                <w:rFonts w:cs="Times New Roman"/>
                <w:color w:val="000000"/>
                <w:sz w:val="18"/>
                <w:szCs w:val="18"/>
              </w:rPr>
              <w:t>-350</w:t>
            </w:r>
          </w:p>
        </w:tc>
        <w:tc>
          <w:tcPr>
            <w:tcW w:w="324" w:type="pct"/>
            <w:vAlign w:val="center"/>
          </w:tcPr>
          <w:p w14:paraId="5F3F9D26">
            <w:pPr>
              <w:pStyle w:val="133"/>
              <w:rPr>
                <w:sz w:val="18"/>
                <w:szCs w:val="18"/>
              </w:rPr>
            </w:pPr>
            <w:r>
              <w:rPr>
                <w:rFonts w:cs="Times New Roman"/>
                <w:color w:val="000000"/>
                <w:sz w:val="18"/>
                <w:szCs w:val="18"/>
              </w:rPr>
              <w:t>-180</w:t>
            </w:r>
          </w:p>
        </w:tc>
        <w:tc>
          <w:tcPr>
            <w:tcW w:w="362" w:type="pct"/>
            <w:noWrap/>
            <w:vAlign w:val="center"/>
          </w:tcPr>
          <w:p w14:paraId="267CA667">
            <w:pPr>
              <w:pStyle w:val="133"/>
              <w:rPr>
                <w:sz w:val="18"/>
                <w:szCs w:val="18"/>
              </w:rPr>
            </w:pPr>
            <w:r>
              <w:rPr>
                <w:rFonts w:cs="Times New Roman"/>
                <w:color w:val="000000"/>
                <w:sz w:val="18"/>
                <w:szCs w:val="18"/>
              </w:rPr>
              <w:t>15</w:t>
            </w:r>
          </w:p>
        </w:tc>
        <w:tc>
          <w:tcPr>
            <w:tcW w:w="359" w:type="pct"/>
            <w:noWrap/>
            <w:vAlign w:val="center"/>
          </w:tcPr>
          <w:p w14:paraId="170890F7">
            <w:pPr>
              <w:pStyle w:val="133"/>
              <w:rPr>
                <w:sz w:val="18"/>
                <w:szCs w:val="18"/>
              </w:rPr>
            </w:pPr>
            <w:r>
              <w:rPr>
                <w:rFonts w:cs="Times New Roman"/>
                <w:color w:val="000000"/>
                <w:sz w:val="18"/>
                <w:szCs w:val="18"/>
              </w:rPr>
              <w:t>2</w:t>
            </w:r>
          </w:p>
        </w:tc>
        <w:tc>
          <w:tcPr>
            <w:tcW w:w="361" w:type="pct"/>
            <w:noWrap/>
            <w:vAlign w:val="center"/>
          </w:tcPr>
          <w:p w14:paraId="3EAE1B83">
            <w:pPr>
              <w:pStyle w:val="133"/>
              <w:rPr>
                <w:sz w:val="18"/>
                <w:szCs w:val="18"/>
              </w:rPr>
            </w:pPr>
            <w:r>
              <w:rPr>
                <w:rFonts w:cs="Times New Roman"/>
                <w:color w:val="000000"/>
                <w:sz w:val="18"/>
                <w:szCs w:val="18"/>
              </w:rPr>
              <w:t>25</w:t>
            </w:r>
          </w:p>
        </w:tc>
        <w:tc>
          <w:tcPr>
            <w:tcW w:w="329" w:type="pct"/>
            <w:vAlign w:val="center"/>
          </w:tcPr>
          <w:p w14:paraId="38624AE1">
            <w:pPr>
              <w:pStyle w:val="133"/>
              <w:rPr>
                <w:sz w:val="18"/>
                <w:szCs w:val="18"/>
              </w:rPr>
            </w:pPr>
            <w:r>
              <w:rPr>
                <w:rFonts w:cs="Times New Roman"/>
                <w:color w:val="000000"/>
                <w:sz w:val="18"/>
                <w:szCs w:val="18"/>
              </w:rPr>
              <w:t>240000</w:t>
            </w:r>
          </w:p>
        </w:tc>
        <w:tc>
          <w:tcPr>
            <w:tcW w:w="254" w:type="pct"/>
            <w:vAlign w:val="center"/>
          </w:tcPr>
          <w:p w14:paraId="2DDF6EDC">
            <w:pPr>
              <w:pStyle w:val="133"/>
              <w:rPr>
                <w:sz w:val="18"/>
                <w:szCs w:val="18"/>
              </w:rPr>
            </w:pPr>
          </w:p>
        </w:tc>
        <w:tc>
          <w:tcPr>
            <w:tcW w:w="254" w:type="pct"/>
            <w:vAlign w:val="center"/>
          </w:tcPr>
          <w:p w14:paraId="6FACAE95">
            <w:pPr>
              <w:pStyle w:val="133"/>
              <w:rPr>
                <w:sz w:val="18"/>
                <w:szCs w:val="18"/>
              </w:rPr>
            </w:pPr>
          </w:p>
        </w:tc>
        <w:tc>
          <w:tcPr>
            <w:tcW w:w="254" w:type="pct"/>
            <w:noWrap/>
            <w:vAlign w:val="center"/>
          </w:tcPr>
          <w:p w14:paraId="4EB280F7">
            <w:pPr>
              <w:pStyle w:val="133"/>
              <w:rPr>
                <w:sz w:val="18"/>
                <w:szCs w:val="18"/>
              </w:rPr>
            </w:pPr>
            <w:r>
              <w:rPr>
                <w:rFonts w:cs="Times New Roman"/>
                <w:color w:val="000000"/>
                <w:sz w:val="18"/>
                <w:szCs w:val="18"/>
              </w:rPr>
              <w:t>0.427</w:t>
            </w:r>
          </w:p>
        </w:tc>
        <w:tc>
          <w:tcPr>
            <w:tcW w:w="254" w:type="pct"/>
            <w:noWrap/>
            <w:vAlign w:val="center"/>
          </w:tcPr>
          <w:p w14:paraId="310A60DE">
            <w:pPr>
              <w:pStyle w:val="133"/>
              <w:rPr>
                <w:sz w:val="18"/>
                <w:szCs w:val="18"/>
              </w:rPr>
            </w:pPr>
            <w:r>
              <w:rPr>
                <w:rFonts w:cs="Times New Roman"/>
                <w:color w:val="000000"/>
                <w:sz w:val="18"/>
                <w:szCs w:val="18"/>
              </w:rPr>
              <w:t>0.2135</w:t>
            </w:r>
          </w:p>
        </w:tc>
        <w:tc>
          <w:tcPr>
            <w:tcW w:w="254" w:type="pct"/>
            <w:vAlign w:val="center"/>
          </w:tcPr>
          <w:p w14:paraId="7632F605">
            <w:pPr>
              <w:pStyle w:val="133"/>
              <w:rPr>
                <w:sz w:val="18"/>
                <w:szCs w:val="18"/>
              </w:rPr>
            </w:pPr>
          </w:p>
        </w:tc>
        <w:tc>
          <w:tcPr>
            <w:tcW w:w="254" w:type="pct"/>
            <w:vAlign w:val="center"/>
          </w:tcPr>
          <w:p w14:paraId="1C1501B3">
            <w:pPr>
              <w:pStyle w:val="133"/>
              <w:rPr>
                <w:sz w:val="18"/>
                <w:szCs w:val="18"/>
              </w:rPr>
            </w:pPr>
          </w:p>
        </w:tc>
        <w:tc>
          <w:tcPr>
            <w:tcW w:w="254" w:type="pct"/>
            <w:vAlign w:val="center"/>
          </w:tcPr>
          <w:p w14:paraId="6CEEE872">
            <w:pPr>
              <w:pStyle w:val="133"/>
              <w:rPr>
                <w:sz w:val="18"/>
                <w:szCs w:val="18"/>
              </w:rPr>
            </w:pPr>
          </w:p>
        </w:tc>
        <w:tc>
          <w:tcPr>
            <w:tcW w:w="251" w:type="pct"/>
            <w:vAlign w:val="center"/>
          </w:tcPr>
          <w:p w14:paraId="24585500">
            <w:pPr>
              <w:pStyle w:val="133"/>
              <w:rPr>
                <w:sz w:val="18"/>
                <w:szCs w:val="18"/>
              </w:rPr>
            </w:pPr>
          </w:p>
        </w:tc>
      </w:tr>
      <w:tr w14:paraId="4880D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01942282">
            <w:pPr>
              <w:pStyle w:val="133"/>
              <w:rPr>
                <w:sz w:val="18"/>
                <w:szCs w:val="18"/>
              </w:rPr>
            </w:pPr>
            <w:r>
              <w:rPr>
                <w:rFonts w:hint="eastAsia"/>
                <w:sz w:val="18"/>
                <w:szCs w:val="18"/>
              </w:rPr>
              <w:t>23</w:t>
            </w:r>
          </w:p>
        </w:tc>
        <w:tc>
          <w:tcPr>
            <w:tcW w:w="671" w:type="pct"/>
            <w:noWrap/>
            <w:vAlign w:val="center"/>
          </w:tcPr>
          <w:p w14:paraId="2AFC7885">
            <w:pPr>
              <w:pStyle w:val="133"/>
              <w:rPr>
                <w:sz w:val="18"/>
                <w:szCs w:val="18"/>
              </w:rPr>
            </w:pPr>
            <w:r>
              <w:rPr>
                <w:rFonts w:hint="eastAsia" w:cs="Times New Roman"/>
                <w:color w:val="000000"/>
                <w:sz w:val="18"/>
                <w:szCs w:val="18"/>
              </w:rPr>
              <w:t>在建</w:t>
            </w:r>
            <w:r>
              <w:rPr>
                <w:rFonts w:cs="Times New Roman"/>
                <w:color w:val="000000"/>
                <w:sz w:val="18"/>
                <w:szCs w:val="18"/>
              </w:rPr>
              <w:t>还原渣倒渣、冷渣机1</w:t>
            </w:r>
          </w:p>
        </w:tc>
        <w:tc>
          <w:tcPr>
            <w:tcW w:w="324" w:type="pct"/>
            <w:vAlign w:val="center"/>
          </w:tcPr>
          <w:p w14:paraId="32A84F00">
            <w:pPr>
              <w:pStyle w:val="133"/>
              <w:rPr>
                <w:sz w:val="18"/>
                <w:szCs w:val="18"/>
              </w:rPr>
            </w:pPr>
            <w:r>
              <w:rPr>
                <w:rFonts w:cs="Times New Roman"/>
                <w:color w:val="000000"/>
                <w:sz w:val="18"/>
                <w:szCs w:val="18"/>
              </w:rPr>
              <w:t>-65</w:t>
            </w:r>
          </w:p>
        </w:tc>
        <w:tc>
          <w:tcPr>
            <w:tcW w:w="324" w:type="pct"/>
            <w:vAlign w:val="center"/>
          </w:tcPr>
          <w:p w14:paraId="7DEB7951">
            <w:pPr>
              <w:pStyle w:val="133"/>
              <w:rPr>
                <w:sz w:val="18"/>
                <w:szCs w:val="18"/>
              </w:rPr>
            </w:pPr>
            <w:r>
              <w:rPr>
                <w:rFonts w:cs="Times New Roman"/>
                <w:color w:val="000000"/>
                <w:sz w:val="18"/>
                <w:szCs w:val="18"/>
              </w:rPr>
              <w:t>-260</w:t>
            </w:r>
          </w:p>
        </w:tc>
        <w:tc>
          <w:tcPr>
            <w:tcW w:w="362" w:type="pct"/>
            <w:noWrap/>
            <w:vAlign w:val="center"/>
          </w:tcPr>
          <w:p w14:paraId="4D9A1777">
            <w:pPr>
              <w:pStyle w:val="133"/>
              <w:rPr>
                <w:sz w:val="18"/>
                <w:szCs w:val="18"/>
              </w:rPr>
            </w:pPr>
            <w:r>
              <w:rPr>
                <w:rFonts w:cs="Times New Roman"/>
                <w:color w:val="000000"/>
                <w:sz w:val="18"/>
                <w:szCs w:val="18"/>
              </w:rPr>
              <w:t>15</w:t>
            </w:r>
          </w:p>
        </w:tc>
        <w:tc>
          <w:tcPr>
            <w:tcW w:w="359" w:type="pct"/>
            <w:noWrap/>
            <w:vAlign w:val="center"/>
          </w:tcPr>
          <w:p w14:paraId="2B831C34">
            <w:pPr>
              <w:pStyle w:val="133"/>
              <w:rPr>
                <w:sz w:val="18"/>
                <w:szCs w:val="18"/>
              </w:rPr>
            </w:pPr>
            <w:r>
              <w:rPr>
                <w:rFonts w:cs="Times New Roman"/>
                <w:color w:val="000000"/>
                <w:sz w:val="18"/>
                <w:szCs w:val="18"/>
              </w:rPr>
              <w:t>1.5</w:t>
            </w:r>
          </w:p>
        </w:tc>
        <w:tc>
          <w:tcPr>
            <w:tcW w:w="361" w:type="pct"/>
            <w:noWrap/>
            <w:vAlign w:val="center"/>
          </w:tcPr>
          <w:p w14:paraId="5FDDC6EA">
            <w:pPr>
              <w:pStyle w:val="133"/>
              <w:rPr>
                <w:sz w:val="18"/>
                <w:szCs w:val="18"/>
              </w:rPr>
            </w:pPr>
            <w:r>
              <w:rPr>
                <w:rFonts w:cs="Times New Roman"/>
                <w:color w:val="000000"/>
                <w:sz w:val="18"/>
                <w:szCs w:val="18"/>
              </w:rPr>
              <w:t>25</w:t>
            </w:r>
          </w:p>
        </w:tc>
        <w:tc>
          <w:tcPr>
            <w:tcW w:w="329" w:type="pct"/>
            <w:vAlign w:val="center"/>
          </w:tcPr>
          <w:p w14:paraId="5A24D88C">
            <w:pPr>
              <w:pStyle w:val="133"/>
              <w:rPr>
                <w:sz w:val="18"/>
                <w:szCs w:val="18"/>
              </w:rPr>
            </w:pPr>
            <w:r>
              <w:rPr>
                <w:rFonts w:cs="Times New Roman"/>
                <w:color w:val="000000"/>
                <w:sz w:val="18"/>
                <w:szCs w:val="18"/>
              </w:rPr>
              <w:t>80000</w:t>
            </w:r>
          </w:p>
        </w:tc>
        <w:tc>
          <w:tcPr>
            <w:tcW w:w="254" w:type="pct"/>
            <w:vAlign w:val="center"/>
          </w:tcPr>
          <w:p w14:paraId="52944F05">
            <w:pPr>
              <w:pStyle w:val="133"/>
              <w:rPr>
                <w:sz w:val="18"/>
                <w:szCs w:val="18"/>
              </w:rPr>
            </w:pPr>
          </w:p>
        </w:tc>
        <w:tc>
          <w:tcPr>
            <w:tcW w:w="254" w:type="pct"/>
            <w:vAlign w:val="center"/>
          </w:tcPr>
          <w:p w14:paraId="1EA85CB1">
            <w:pPr>
              <w:pStyle w:val="133"/>
              <w:rPr>
                <w:sz w:val="18"/>
                <w:szCs w:val="18"/>
              </w:rPr>
            </w:pPr>
          </w:p>
        </w:tc>
        <w:tc>
          <w:tcPr>
            <w:tcW w:w="254" w:type="pct"/>
            <w:noWrap/>
            <w:vAlign w:val="center"/>
          </w:tcPr>
          <w:p w14:paraId="3BF8BF07">
            <w:pPr>
              <w:pStyle w:val="133"/>
              <w:rPr>
                <w:sz w:val="18"/>
                <w:szCs w:val="18"/>
              </w:rPr>
            </w:pPr>
            <w:r>
              <w:rPr>
                <w:rFonts w:cs="Times New Roman"/>
                <w:color w:val="000000"/>
                <w:sz w:val="18"/>
                <w:szCs w:val="18"/>
              </w:rPr>
              <w:t>0.057</w:t>
            </w:r>
          </w:p>
        </w:tc>
        <w:tc>
          <w:tcPr>
            <w:tcW w:w="254" w:type="pct"/>
            <w:noWrap/>
            <w:vAlign w:val="center"/>
          </w:tcPr>
          <w:p w14:paraId="50C54962">
            <w:pPr>
              <w:pStyle w:val="133"/>
              <w:rPr>
                <w:sz w:val="18"/>
                <w:szCs w:val="18"/>
              </w:rPr>
            </w:pPr>
            <w:r>
              <w:rPr>
                <w:rFonts w:cs="Times New Roman"/>
                <w:color w:val="000000"/>
                <w:sz w:val="18"/>
                <w:szCs w:val="18"/>
              </w:rPr>
              <w:t>0.0285</w:t>
            </w:r>
          </w:p>
        </w:tc>
        <w:tc>
          <w:tcPr>
            <w:tcW w:w="254" w:type="pct"/>
            <w:vAlign w:val="center"/>
          </w:tcPr>
          <w:p w14:paraId="3B9D0646">
            <w:pPr>
              <w:pStyle w:val="133"/>
              <w:rPr>
                <w:sz w:val="18"/>
                <w:szCs w:val="18"/>
              </w:rPr>
            </w:pPr>
          </w:p>
        </w:tc>
        <w:tc>
          <w:tcPr>
            <w:tcW w:w="254" w:type="pct"/>
            <w:vAlign w:val="center"/>
          </w:tcPr>
          <w:p w14:paraId="120684D3">
            <w:pPr>
              <w:pStyle w:val="133"/>
              <w:rPr>
                <w:sz w:val="18"/>
                <w:szCs w:val="18"/>
              </w:rPr>
            </w:pPr>
          </w:p>
        </w:tc>
        <w:tc>
          <w:tcPr>
            <w:tcW w:w="254" w:type="pct"/>
            <w:vAlign w:val="center"/>
          </w:tcPr>
          <w:p w14:paraId="1F223A84">
            <w:pPr>
              <w:pStyle w:val="133"/>
              <w:rPr>
                <w:sz w:val="18"/>
                <w:szCs w:val="18"/>
              </w:rPr>
            </w:pPr>
          </w:p>
        </w:tc>
        <w:tc>
          <w:tcPr>
            <w:tcW w:w="251" w:type="pct"/>
            <w:vAlign w:val="center"/>
          </w:tcPr>
          <w:p w14:paraId="7F2BA5B4">
            <w:pPr>
              <w:pStyle w:val="133"/>
              <w:rPr>
                <w:sz w:val="18"/>
                <w:szCs w:val="18"/>
              </w:rPr>
            </w:pPr>
          </w:p>
        </w:tc>
      </w:tr>
      <w:tr w14:paraId="2F4D0E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12A0D2F8">
            <w:pPr>
              <w:pStyle w:val="133"/>
              <w:rPr>
                <w:sz w:val="18"/>
                <w:szCs w:val="18"/>
              </w:rPr>
            </w:pPr>
            <w:r>
              <w:rPr>
                <w:rFonts w:hint="eastAsia"/>
                <w:sz w:val="18"/>
                <w:szCs w:val="18"/>
              </w:rPr>
              <w:t>24</w:t>
            </w:r>
          </w:p>
        </w:tc>
        <w:tc>
          <w:tcPr>
            <w:tcW w:w="671" w:type="pct"/>
            <w:noWrap/>
            <w:vAlign w:val="center"/>
          </w:tcPr>
          <w:p w14:paraId="3ECA3030">
            <w:pPr>
              <w:pStyle w:val="133"/>
              <w:rPr>
                <w:sz w:val="18"/>
                <w:szCs w:val="18"/>
              </w:rPr>
            </w:pPr>
            <w:r>
              <w:rPr>
                <w:rFonts w:hint="eastAsia" w:cs="Times New Roman"/>
                <w:color w:val="000000"/>
                <w:sz w:val="18"/>
                <w:szCs w:val="18"/>
              </w:rPr>
              <w:t>在建</w:t>
            </w:r>
            <w:r>
              <w:rPr>
                <w:rFonts w:cs="Times New Roman"/>
                <w:color w:val="000000"/>
                <w:sz w:val="18"/>
                <w:szCs w:val="18"/>
              </w:rPr>
              <w:t>还原渣倒渣、冷渣机2</w:t>
            </w:r>
          </w:p>
        </w:tc>
        <w:tc>
          <w:tcPr>
            <w:tcW w:w="324" w:type="pct"/>
            <w:vAlign w:val="center"/>
          </w:tcPr>
          <w:p w14:paraId="6DA76ED6">
            <w:pPr>
              <w:pStyle w:val="133"/>
              <w:rPr>
                <w:sz w:val="18"/>
                <w:szCs w:val="18"/>
              </w:rPr>
            </w:pPr>
            <w:r>
              <w:rPr>
                <w:rFonts w:cs="Times New Roman"/>
                <w:color w:val="000000"/>
                <w:sz w:val="18"/>
                <w:szCs w:val="18"/>
              </w:rPr>
              <w:t>-32</w:t>
            </w:r>
          </w:p>
        </w:tc>
        <w:tc>
          <w:tcPr>
            <w:tcW w:w="324" w:type="pct"/>
            <w:vAlign w:val="center"/>
          </w:tcPr>
          <w:p w14:paraId="4B53F9EF">
            <w:pPr>
              <w:pStyle w:val="133"/>
              <w:rPr>
                <w:sz w:val="18"/>
                <w:szCs w:val="18"/>
              </w:rPr>
            </w:pPr>
            <w:r>
              <w:rPr>
                <w:rFonts w:cs="Times New Roman"/>
                <w:color w:val="000000"/>
                <w:sz w:val="18"/>
                <w:szCs w:val="18"/>
              </w:rPr>
              <w:t>-227</w:t>
            </w:r>
          </w:p>
        </w:tc>
        <w:tc>
          <w:tcPr>
            <w:tcW w:w="362" w:type="pct"/>
            <w:noWrap/>
            <w:vAlign w:val="center"/>
          </w:tcPr>
          <w:p w14:paraId="6FA818C4">
            <w:pPr>
              <w:pStyle w:val="133"/>
              <w:rPr>
                <w:sz w:val="18"/>
                <w:szCs w:val="18"/>
              </w:rPr>
            </w:pPr>
            <w:r>
              <w:rPr>
                <w:rFonts w:cs="Times New Roman"/>
                <w:color w:val="000000"/>
                <w:sz w:val="18"/>
                <w:szCs w:val="18"/>
              </w:rPr>
              <w:t>15</w:t>
            </w:r>
          </w:p>
        </w:tc>
        <w:tc>
          <w:tcPr>
            <w:tcW w:w="359" w:type="pct"/>
            <w:noWrap/>
            <w:vAlign w:val="center"/>
          </w:tcPr>
          <w:p w14:paraId="1ECB1A54">
            <w:pPr>
              <w:pStyle w:val="133"/>
              <w:rPr>
                <w:sz w:val="18"/>
                <w:szCs w:val="18"/>
              </w:rPr>
            </w:pPr>
            <w:r>
              <w:rPr>
                <w:rFonts w:cs="Times New Roman"/>
                <w:color w:val="000000"/>
                <w:sz w:val="18"/>
                <w:szCs w:val="18"/>
              </w:rPr>
              <w:t>1.5</w:t>
            </w:r>
          </w:p>
        </w:tc>
        <w:tc>
          <w:tcPr>
            <w:tcW w:w="361" w:type="pct"/>
            <w:noWrap/>
            <w:vAlign w:val="center"/>
          </w:tcPr>
          <w:p w14:paraId="70BDDD8E">
            <w:pPr>
              <w:pStyle w:val="133"/>
              <w:rPr>
                <w:sz w:val="18"/>
                <w:szCs w:val="18"/>
              </w:rPr>
            </w:pPr>
            <w:r>
              <w:rPr>
                <w:rFonts w:cs="Times New Roman"/>
                <w:color w:val="000000"/>
                <w:sz w:val="18"/>
                <w:szCs w:val="18"/>
              </w:rPr>
              <w:t>25</w:t>
            </w:r>
          </w:p>
        </w:tc>
        <w:tc>
          <w:tcPr>
            <w:tcW w:w="329" w:type="pct"/>
            <w:vAlign w:val="center"/>
          </w:tcPr>
          <w:p w14:paraId="3EE99702">
            <w:pPr>
              <w:pStyle w:val="133"/>
              <w:rPr>
                <w:sz w:val="18"/>
                <w:szCs w:val="18"/>
              </w:rPr>
            </w:pPr>
            <w:r>
              <w:rPr>
                <w:rFonts w:cs="Times New Roman"/>
                <w:color w:val="000000"/>
                <w:sz w:val="18"/>
                <w:szCs w:val="18"/>
              </w:rPr>
              <w:t>80000</w:t>
            </w:r>
          </w:p>
        </w:tc>
        <w:tc>
          <w:tcPr>
            <w:tcW w:w="254" w:type="pct"/>
            <w:vAlign w:val="center"/>
          </w:tcPr>
          <w:p w14:paraId="2252FC79">
            <w:pPr>
              <w:pStyle w:val="133"/>
              <w:rPr>
                <w:sz w:val="18"/>
                <w:szCs w:val="18"/>
              </w:rPr>
            </w:pPr>
          </w:p>
        </w:tc>
        <w:tc>
          <w:tcPr>
            <w:tcW w:w="254" w:type="pct"/>
            <w:vAlign w:val="center"/>
          </w:tcPr>
          <w:p w14:paraId="64AC7224">
            <w:pPr>
              <w:pStyle w:val="133"/>
              <w:rPr>
                <w:sz w:val="18"/>
                <w:szCs w:val="18"/>
              </w:rPr>
            </w:pPr>
          </w:p>
        </w:tc>
        <w:tc>
          <w:tcPr>
            <w:tcW w:w="254" w:type="pct"/>
            <w:noWrap/>
            <w:vAlign w:val="center"/>
          </w:tcPr>
          <w:p w14:paraId="46A3B428">
            <w:pPr>
              <w:pStyle w:val="133"/>
              <w:rPr>
                <w:sz w:val="18"/>
                <w:szCs w:val="18"/>
              </w:rPr>
            </w:pPr>
            <w:r>
              <w:rPr>
                <w:rFonts w:cs="Times New Roman"/>
                <w:color w:val="000000"/>
                <w:sz w:val="18"/>
                <w:szCs w:val="18"/>
              </w:rPr>
              <w:t>0.057</w:t>
            </w:r>
          </w:p>
        </w:tc>
        <w:tc>
          <w:tcPr>
            <w:tcW w:w="254" w:type="pct"/>
            <w:noWrap/>
            <w:vAlign w:val="center"/>
          </w:tcPr>
          <w:p w14:paraId="11433DA6">
            <w:pPr>
              <w:pStyle w:val="133"/>
              <w:rPr>
                <w:sz w:val="18"/>
                <w:szCs w:val="18"/>
              </w:rPr>
            </w:pPr>
            <w:r>
              <w:rPr>
                <w:rFonts w:cs="Times New Roman"/>
                <w:color w:val="000000"/>
                <w:sz w:val="18"/>
                <w:szCs w:val="18"/>
              </w:rPr>
              <w:t>0.0285</w:t>
            </w:r>
          </w:p>
        </w:tc>
        <w:tc>
          <w:tcPr>
            <w:tcW w:w="254" w:type="pct"/>
            <w:vAlign w:val="center"/>
          </w:tcPr>
          <w:p w14:paraId="5BA0B7FC">
            <w:pPr>
              <w:pStyle w:val="133"/>
              <w:rPr>
                <w:sz w:val="18"/>
                <w:szCs w:val="18"/>
              </w:rPr>
            </w:pPr>
          </w:p>
        </w:tc>
        <w:tc>
          <w:tcPr>
            <w:tcW w:w="254" w:type="pct"/>
            <w:vAlign w:val="center"/>
          </w:tcPr>
          <w:p w14:paraId="3FBF1E9B">
            <w:pPr>
              <w:pStyle w:val="133"/>
              <w:rPr>
                <w:sz w:val="18"/>
                <w:szCs w:val="18"/>
              </w:rPr>
            </w:pPr>
          </w:p>
        </w:tc>
        <w:tc>
          <w:tcPr>
            <w:tcW w:w="254" w:type="pct"/>
            <w:vAlign w:val="center"/>
          </w:tcPr>
          <w:p w14:paraId="2205F4E8">
            <w:pPr>
              <w:pStyle w:val="133"/>
              <w:rPr>
                <w:sz w:val="18"/>
                <w:szCs w:val="18"/>
              </w:rPr>
            </w:pPr>
          </w:p>
        </w:tc>
        <w:tc>
          <w:tcPr>
            <w:tcW w:w="251" w:type="pct"/>
            <w:vAlign w:val="center"/>
          </w:tcPr>
          <w:p w14:paraId="59911E87">
            <w:pPr>
              <w:pStyle w:val="133"/>
              <w:rPr>
                <w:sz w:val="18"/>
                <w:szCs w:val="18"/>
              </w:rPr>
            </w:pPr>
          </w:p>
        </w:tc>
      </w:tr>
      <w:tr w14:paraId="01082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3A2CE026">
            <w:pPr>
              <w:pStyle w:val="133"/>
              <w:rPr>
                <w:sz w:val="18"/>
                <w:szCs w:val="18"/>
              </w:rPr>
            </w:pPr>
            <w:r>
              <w:rPr>
                <w:rFonts w:hint="eastAsia"/>
                <w:sz w:val="18"/>
                <w:szCs w:val="18"/>
              </w:rPr>
              <w:t>25</w:t>
            </w:r>
          </w:p>
        </w:tc>
        <w:tc>
          <w:tcPr>
            <w:tcW w:w="671" w:type="pct"/>
            <w:noWrap/>
            <w:vAlign w:val="center"/>
          </w:tcPr>
          <w:p w14:paraId="669FEDE4">
            <w:pPr>
              <w:pStyle w:val="133"/>
              <w:rPr>
                <w:sz w:val="18"/>
                <w:szCs w:val="18"/>
              </w:rPr>
            </w:pPr>
            <w:r>
              <w:rPr>
                <w:rFonts w:hint="eastAsia" w:cs="Times New Roman"/>
                <w:color w:val="000000"/>
                <w:sz w:val="18"/>
                <w:szCs w:val="18"/>
              </w:rPr>
              <w:t>在建</w:t>
            </w:r>
            <w:r>
              <w:rPr>
                <w:rFonts w:cs="Times New Roman"/>
                <w:color w:val="000000"/>
                <w:sz w:val="18"/>
                <w:szCs w:val="18"/>
              </w:rPr>
              <w:t>精炼坩埚和浇铸</w:t>
            </w:r>
          </w:p>
        </w:tc>
        <w:tc>
          <w:tcPr>
            <w:tcW w:w="324" w:type="pct"/>
            <w:vAlign w:val="center"/>
          </w:tcPr>
          <w:p w14:paraId="207626BC">
            <w:pPr>
              <w:pStyle w:val="133"/>
              <w:rPr>
                <w:sz w:val="18"/>
                <w:szCs w:val="18"/>
              </w:rPr>
            </w:pPr>
            <w:r>
              <w:rPr>
                <w:rFonts w:cs="Times New Roman"/>
                <w:color w:val="000000"/>
                <w:sz w:val="18"/>
                <w:szCs w:val="18"/>
              </w:rPr>
              <w:t>-649</w:t>
            </w:r>
          </w:p>
        </w:tc>
        <w:tc>
          <w:tcPr>
            <w:tcW w:w="324" w:type="pct"/>
            <w:vAlign w:val="center"/>
          </w:tcPr>
          <w:p w14:paraId="6FB8CB24">
            <w:pPr>
              <w:pStyle w:val="133"/>
              <w:rPr>
                <w:sz w:val="18"/>
                <w:szCs w:val="18"/>
              </w:rPr>
            </w:pPr>
            <w:r>
              <w:rPr>
                <w:rFonts w:cs="Times New Roman"/>
                <w:color w:val="000000"/>
                <w:sz w:val="18"/>
                <w:szCs w:val="18"/>
              </w:rPr>
              <w:t>-97</w:t>
            </w:r>
          </w:p>
        </w:tc>
        <w:tc>
          <w:tcPr>
            <w:tcW w:w="362" w:type="pct"/>
            <w:noWrap/>
            <w:vAlign w:val="center"/>
          </w:tcPr>
          <w:p w14:paraId="1F5623E8">
            <w:pPr>
              <w:pStyle w:val="133"/>
              <w:rPr>
                <w:sz w:val="18"/>
                <w:szCs w:val="18"/>
              </w:rPr>
            </w:pPr>
            <w:r>
              <w:rPr>
                <w:rFonts w:cs="Times New Roman"/>
                <w:color w:val="000000"/>
                <w:sz w:val="18"/>
                <w:szCs w:val="18"/>
              </w:rPr>
              <w:t>15</w:t>
            </w:r>
          </w:p>
        </w:tc>
        <w:tc>
          <w:tcPr>
            <w:tcW w:w="359" w:type="pct"/>
            <w:noWrap/>
            <w:vAlign w:val="center"/>
          </w:tcPr>
          <w:p w14:paraId="46AC50A0">
            <w:pPr>
              <w:pStyle w:val="133"/>
              <w:rPr>
                <w:sz w:val="18"/>
                <w:szCs w:val="18"/>
              </w:rPr>
            </w:pPr>
            <w:r>
              <w:rPr>
                <w:rFonts w:cs="Times New Roman"/>
                <w:color w:val="000000"/>
                <w:sz w:val="18"/>
                <w:szCs w:val="18"/>
              </w:rPr>
              <w:t>2</w:t>
            </w:r>
          </w:p>
        </w:tc>
        <w:tc>
          <w:tcPr>
            <w:tcW w:w="361" w:type="pct"/>
            <w:noWrap/>
            <w:vAlign w:val="center"/>
          </w:tcPr>
          <w:p w14:paraId="5B9DDFB1">
            <w:pPr>
              <w:pStyle w:val="133"/>
              <w:rPr>
                <w:sz w:val="18"/>
                <w:szCs w:val="18"/>
              </w:rPr>
            </w:pPr>
            <w:r>
              <w:rPr>
                <w:rFonts w:cs="Times New Roman"/>
                <w:color w:val="000000"/>
                <w:sz w:val="18"/>
                <w:szCs w:val="18"/>
              </w:rPr>
              <w:t>25</w:t>
            </w:r>
          </w:p>
        </w:tc>
        <w:tc>
          <w:tcPr>
            <w:tcW w:w="329" w:type="pct"/>
            <w:vAlign w:val="center"/>
          </w:tcPr>
          <w:p w14:paraId="529B73C6">
            <w:pPr>
              <w:pStyle w:val="133"/>
              <w:rPr>
                <w:sz w:val="18"/>
                <w:szCs w:val="18"/>
              </w:rPr>
            </w:pPr>
            <w:r>
              <w:rPr>
                <w:rFonts w:cs="Times New Roman"/>
                <w:color w:val="000000"/>
                <w:sz w:val="18"/>
                <w:szCs w:val="18"/>
              </w:rPr>
              <w:t>200000</w:t>
            </w:r>
          </w:p>
        </w:tc>
        <w:tc>
          <w:tcPr>
            <w:tcW w:w="254" w:type="pct"/>
            <w:vAlign w:val="center"/>
          </w:tcPr>
          <w:p w14:paraId="30B5510A">
            <w:pPr>
              <w:pStyle w:val="133"/>
              <w:rPr>
                <w:sz w:val="18"/>
                <w:szCs w:val="18"/>
              </w:rPr>
            </w:pPr>
            <w:r>
              <w:rPr>
                <w:rFonts w:hint="eastAsia" w:cs="Times New Roman"/>
                <w:color w:val="000000"/>
                <w:sz w:val="18"/>
                <w:szCs w:val="18"/>
              </w:rPr>
              <w:t>3.75</w:t>
            </w:r>
          </w:p>
        </w:tc>
        <w:tc>
          <w:tcPr>
            <w:tcW w:w="254" w:type="pct"/>
            <w:vAlign w:val="center"/>
          </w:tcPr>
          <w:p w14:paraId="36F2CBDE">
            <w:pPr>
              <w:pStyle w:val="133"/>
              <w:rPr>
                <w:sz w:val="18"/>
                <w:szCs w:val="18"/>
              </w:rPr>
            </w:pPr>
          </w:p>
        </w:tc>
        <w:tc>
          <w:tcPr>
            <w:tcW w:w="254" w:type="pct"/>
            <w:noWrap/>
            <w:vAlign w:val="center"/>
          </w:tcPr>
          <w:p w14:paraId="1B83D852">
            <w:pPr>
              <w:pStyle w:val="133"/>
              <w:rPr>
                <w:sz w:val="18"/>
                <w:szCs w:val="18"/>
              </w:rPr>
            </w:pPr>
            <w:r>
              <w:rPr>
                <w:rFonts w:hint="eastAsia" w:cs="Times New Roman"/>
                <w:color w:val="000000"/>
                <w:sz w:val="18"/>
                <w:szCs w:val="18"/>
              </w:rPr>
              <w:t>0.325</w:t>
            </w:r>
          </w:p>
        </w:tc>
        <w:tc>
          <w:tcPr>
            <w:tcW w:w="254" w:type="pct"/>
            <w:noWrap/>
            <w:vAlign w:val="center"/>
          </w:tcPr>
          <w:p w14:paraId="2C0E7F02">
            <w:pPr>
              <w:pStyle w:val="133"/>
              <w:rPr>
                <w:sz w:val="18"/>
                <w:szCs w:val="18"/>
              </w:rPr>
            </w:pPr>
            <w:r>
              <w:rPr>
                <w:rFonts w:hint="eastAsia" w:cs="Times New Roman"/>
                <w:color w:val="000000"/>
                <w:sz w:val="18"/>
                <w:szCs w:val="18"/>
              </w:rPr>
              <w:t>0.1625</w:t>
            </w:r>
          </w:p>
        </w:tc>
        <w:tc>
          <w:tcPr>
            <w:tcW w:w="254" w:type="pct"/>
            <w:vAlign w:val="center"/>
          </w:tcPr>
          <w:p w14:paraId="432B3290">
            <w:pPr>
              <w:pStyle w:val="133"/>
              <w:rPr>
                <w:sz w:val="18"/>
                <w:szCs w:val="18"/>
              </w:rPr>
            </w:pPr>
          </w:p>
        </w:tc>
        <w:tc>
          <w:tcPr>
            <w:tcW w:w="254" w:type="pct"/>
            <w:vAlign w:val="center"/>
          </w:tcPr>
          <w:p w14:paraId="6B3F990C">
            <w:pPr>
              <w:pStyle w:val="133"/>
              <w:rPr>
                <w:sz w:val="18"/>
                <w:szCs w:val="18"/>
              </w:rPr>
            </w:pPr>
          </w:p>
        </w:tc>
        <w:tc>
          <w:tcPr>
            <w:tcW w:w="254" w:type="pct"/>
            <w:vAlign w:val="center"/>
          </w:tcPr>
          <w:p w14:paraId="01DF604B">
            <w:pPr>
              <w:pStyle w:val="133"/>
              <w:rPr>
                <w:sz w:val="18"/>
                <w:szCs w:val="18"/>
              </w:rPr>
            </w:pPr>
          </w:p>
        </w:tc>
        <w:tc>
          <w:tcPr>
            <w:tcW w:w="251" w:type="pct"/>
            <w:vAlign w:val="center"/>
          </w:tcPr>
          <w:p w14:paraId="717DC554">
            <w:pPr>
              <w:pStyle w:val="133"/>
              <w:rPr>
                <w:sz w:val="18"/>
                <w:szCs w:val="18"/>
              </w:rPr>
            </w:pPr>
          </w:p>
        </w:tc>
      </w:tr>
      <w:tr w14:paraId="65AE9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31EE3AD3">
            <w:pPr>
              <w:pStyle w:val="133"/>
              <w:rPr>
                <w:sz w:val="18"/>
                <w:szCs w:val="18"/>
              </w:rPr>
            </w:pPr>
            <w:r>
              <w:rPr>
                <w:rFonts w:hint="eastAsia"/>
                <w:sz w:val="18"/>
                <w:szCs w:val="18"/>
              </w:rPr>
              <w:t>26</w:t>
            </w:r>
          </w:p>
        </w:tc>
        <w:tc>
          <w:tcPr>
            <w:tcW w:w="671" w:type="pct"/>
            <w:noWrap/>
            <w:vAlign w:val="center"/>
          </w:tcPr>
          <w:p w14:paraId="1B539090">
            <w:pPr>
              <w:pStyle w:val="133"/>
              <w:rPr>
                <w:sz w:val="18"/>
                <w:szCs w:val="18"/>
              </w:rPr>
            </w:pPr>
            <w:r>
              <w:rPr>
                <w:rFonts w:hint="eastAsia" w:cs="Times New Roman"/>
                <w:color w:val="000000"/>
                <w:sz w:val="18"/>
                <w:szCs w:val="18"/>
              </w:rPr>
              <w:t>在建</w:t>
            </w:r>
            <w:r>
              <w:rPr>
                <w:rFonts w:cs="Times New Roman"/>
                <w:color w:val="000000"/>
                <w:sz w:val="18"/>
                <w:szCs w:val="18"/>
              </w:rPr>
              <w:t>切割废气</w:t>
            </w:r>
          </w:p>
        </w:tc>
        <w:tc>
          <w:tcPr>
            <w:tcW w:w="324" w:type="pct"/>
            <w:vAlign w:val="center"/>
          </w:tcPr>
          <w:p w14:paraId="6FDDB678">
            <w:pPr>
              <w:pStyle w:val="133"/>
              <w:rPr>
                <w:sz w:val="18"/>
                <w:szCs w:val="18"/>
              </w:rPr>
            </w:pPr>
            <w:r>
              <w:rPr>
                <w:rFonts w:cs="Times New Roman"/>
                <w:color w:val="000000"/>
                <w:sz w:val="18"/>
                <w:szCs w:val="18"/>
              </w:rPr>
              <w:t>-616</w:t>
            </w:r>
          </w:p>
        </w:tc>
        <w:tc>
          <w:tcPr>
            <w:tcW w:w="324" w:type="pct"/>
            <w:vAlign w:val="center"/>
          </w:tcPr>
          <w:p w14:paraId="27AE0D19">
            <w:pPr>
              <w:pStyle w:val="133"/>
              <w:rPr>
                <w:sz w:val="18"/>
                <w:szCs w:val="18"/>
              </w:rPr>
            </w:pPr>
            <w:r>
              <w:rPr>
                <w:rFonts w:cs="Times New Roman"/>
                <w:color w:val="000000"/>
                <w:sz w:val="18"/>
                <w:szCs w:val="18"/>
              </w:rPr>
              <w:t>-33</w:t>
            </w:r>
          </w:p>
        </w:tc>
        <w:tc>
          <w:tcPr>
            <w:tcW w:w="362" w:type="pct"/>
            <w:noWrap/>
            <w:vAlign w:val="center"/>
          </w:tcPr>
          <w:p w14:paraId="5B393EBD">
            <w:pPr>
              <w:pStyle w:val="133"/>
              <w:rPr>
                <w:sz w:val="18"/>
                <w:szCs w:val="18"/>
              </w:rPr>
            </w:pPr>
            <w:r>
              <w:rPr>
                <w:rFonts w:cs="Times New Roman"/>
                <w:color w:val="000000"/>
                <w:sz w:val="18"/>
                <w:szCs w:val="18"/>
              </w:rPr>
              <w:t>15</w:t>
            </w:r>
          </w:p>
        </w:tc>
        <w:tc>
          <w:tcPr>
            <w:tcW w:w="359" w:type="pct"/>
            <w:noWrap/>
            <w:vAlign w:val="center"/>
          </w:tcPr>
          <w:p w14:paraId="3E28BD84">
            <w:pPr>
              <w:pStyle w:val="133"/>
              <w:rPr>
                <w:sz w:val="18"/>
                <w:szCs w:val="18"/>
              </w:rPr>
            </w:pPr>
            <w:r>
              <w:rPr>
                <w:rFonts w:cs="Times New Roman"/>
                <w:color w:val="000000"/>
                <w:sz w:val="18"/>
                <w:szCs w:val="18"/>
              </w:rPr>
              <w:t>0.6</w:t>
            </w:r>
          </w:p>
        </w:tc>
        <w:tc>
          <w:tcPr>
            <w:tcW w:w="361" w:type="pct"/>
            <w:noWrap/>
            <w:vAlign w:val="center"/>
          </w:tcPr>
          <w:p w14:paraId="3BFB3729">
            <w:pPr>
              <w:pStyle w:val="133"/>
              <w:rPr>
                <w:sz w:val="18"/>
                <w:szCs w:val="18"/>
              </w:rPr>
            </w:pPr>
            <w:r>
              <w:rPr>
                <w:rFonts w:cs="Times New Roman"/>
                <w:color w:val="000000"/>
                <w:sz w:val="18"/>
                <w:szCs w:val="18"/>
              </w:rPr>
              <w:t>25</w:t>
            </w:r>
          </w:p>
        </w:tc>
        <w:tc>
          <w:tcPr>
            <w:tcW w:w="329" w:type="pct"/>
            <w:vAlign w:val="center"/>
          </w:tcPr>
          <w:p w14:paraId="2F80014D">
            <w:pPr>
              <w:pStyle w:val="133"/>
              <w:rPr>
                <w:sz w:val="18"/>
                <w:szCs w:val="18"/>
              </w:rPr>
            </w:pPr>
            <w:r>
              <w:rPr>
                <w:rFonts w:cs="Times New Roman"/>
                <w:color w:val="000000"/>
                <w:sz w:val="18"/>
                <w:szCs w:val="18"/>
              </w:rPr>
              <w:t>12000</w:t>
            </w:r>
          </w:p>
        </w:tc>
        <w:tc>
          <w:tcPr>
            <w:tcW w:w="254" w:type="pct"/>
            <w:vAlign w:val="center"/>
          </w:tcPr>
          <w:p w14:paraId="5CBEC5E8">
            <w:pPr>
              <w:pStyle w:val="133"/>
              <w:rPr>
                <w:sz w:val="18"/>
                <w:szCs w:val="18"/>
              </w:rPr>
            </w:pPr>
          </w:p>
        </w:tc>
        <w:tc>
          <w:tcPr>
            <w:tcW w:w="254" w:type="pct"/>
            <w:vAlign w:val="center"/>
          </w:tcPr>
          <w:p w14:paraId="1DBB3471">
            <w:pPr>
              <w:pStyle w:val="133"/>
              <w:rPr>
                <w:sz w:val="18"/>
                <w:szCs w:val="18"/>
              </w:rPr>
            </w:pPr>
          </w:p>
        </w:tc>
        <w:tc>
          <w:tcPr>
            <w:tcW w:w="254" w:type="pct"/>
            <w:noWrap/>
            <w:vAlign w:val="center"/>
          </w:tcPr>
          <w:p w14:paraId="31D7A0C1">
            <w:pPr>
              <w:pStyle w:val="133"/>
              <w:rPr>
                <w:sz w:val="18"/>
                <w:szCs w:val="18"/>
              </w:rPr>
            </w:pPr>
            <w:r>
              <w:rPr>
                <w:rFonts w:cs="Times New Roman"/>
                <w:color w:val="000000"/>
                <w:sz w:val="18"/>
                <w:szCs w:val="18"/>
              </w:rPr>
              <w:t>0.067</w:t>
            </w:r>
          </w:p>
        </w:tc>
        <w:tc>
          <w:tcPr>
            <w:tcW w:w="254" w:type="pct"/>
            <w:noWrap/>
            <w:vAlign w:val="center"/>
          </w:tcPr>
          <w:p w14:paraId="383ECD74">
            <w:pPr>
              <w:pStyle w:val="133"/>
              <w:rPr>
                <w:sz w:val="18"/>
                <w:szCs w:val="18"/>
              </w:rPr>
            </w:pPr>
            <w:r>
              <w:rPr>
                <w:rFonts w:cs="Times New Roman"/>
                <w:color w:val="000000"/>
                <w:sz w:val="18"/>
                <w:szCs w:val="18"/>
              </w:rPr>
              <w:t>0.0335</w:t>
            </w:r>
          </w:p>
        </w:tc>
        <w:tc>
          <w:tcPr>
            <w:tcW w:w="254" w:type="pct"/>
            <w:vAlign w:val="center"/>
          </w:tcPr>
          <w:p w14:paraId="5C5C9D9A">
            <w:pPr>
              <w:pStyle w:val="133"/>
              <w:rPr>
                <w:sz w:val="18"/>
                <w:szCs w:val="18"/>
              </w:rPr>
            </w:pPr>
          </w:p>
        </w:tc>
        <w:tc>
          <w:tcPr>
            <w:tcW w:w="254" w:type="pct"/>
            <w:vAlign w:val="center"/>
          </w:tcPr>
          <w:p w14:paraId="6816FB34">
            <w:pPr>
              <w:pStyle w:val="133"/>
              <w:rPr>
                <w:sz w:val="18"/>
                <w:szCs w:val="18"/>
              </w:rPr>
            </w:pPr>
          </w:p>
        </w:tc>
        <w:tc>
          <w:tcPr>
            <w:tcW w:w="254" w:type="pct"/>
            <w:vAlign w:val="center"/>
          </w:tcPr>
          <w:p w14:paraId="54AFE70F">
            <w:pPr>
              <w:pStyle w:val="133"/>
              <w:rPr>
                <w:sz w:val="18"/>
                <w:szCs w:val="18"/>
              </w:rPr>
            </w:pPr>
          </w:p>
        </w:tc>
        <w:tc>
          <w:tcPr>
            <w:tcW w:w="251" w:type="pct"/>
            <w:vAlign w:val="center"/>
          </w:tcPr>
          <w:p w14:paraId="7B401D3C">
            <w:pPr>
              <w:pStyle w:val="133"/>
              <w:rPr>
                <w:sz w:val="18"/>
                <w:szCs w:val="18"/>
              </w:rPr>
            </w:pPr>
          </w:p>
        </w:tc>
      </w:tr>
      <w:tr w14:paraId="604CA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5104AA3">
            <w:pPr>
              <w:pStyle w:val="133"/>
              <w:rPr>
                <w:sz w:val="18"/>
                <w:szCs w:val="18"/>
              </w:rPr>
            </w:pPr>
            <w:r>
              <w:rPr>
                <w:rFonts w:hint="eastAsia"/>
                <w:sz w:val="18"/>
                <w:szCs w:val="18"/>
              </w:rPr>
              <w:t>27</w:t>
            </w:r>
          </w:p>
        </w:tc>
        <w:tc>
          <w:tcPr>
            <w:tcW w:w="671" w:type="pct"/>
            <w:noWrap/>
            <w:vAlign w:val="center"/>
          </w:tcPr>
          <w:p w14:paraId="0D0C5471">
            <w:pPr>
              <w:pStyle w:val="133"/>
              <w:rPr>
                <w:sz w:val="18"/>
                <w:szCs w:val="18"/>
              </w:rPr>
            </w:pPr>
            <w:r>
              <w:rPr>
                <w:rFonts w:hint="eastAsia" w:cs="Times New Roman"/>
                <w:color w:val="000000"/>
                <w:sz w:val="18"/>
                <w:szCs w:val="18"/>
              </w:rPr>
              <w:t>在建</w:t>
            </w:r>
            <w:r>
              <w:rPr>
                <w:rFonts w:cs="Times New Roman"/>
                <w:color w:val="000000"/>
                <w:sz w:val="18"/>
                <w:szCs w:val="18"/>
              </w:rPr>
              <w:t>熔炼废气</w:t>
            </w:r>
          </w:p>
        </w:tc>
        <w:tc>
          <w:tcPr>
            <w:tcW w:w="324" w:type="pct"/>
            <w:vAlign w:val="center"/>
          </w:tcPr>
          <w:p w14:paraId="2D102508">
            <w:pPr>
              <w:pStyle w:val="133"/>
              <w:rPr>
                <w:sz w:val="18"/>
                <w:szCs w:val="18"/>
              </w:rPr>
            </w:pPr>
            <w:r>
              <w:rPr>
                <w:rFonts w:cs="Times New Roman"/>
                <w:color w:val="000000"/>
                <w:sz w:val="18"/>
                <w:szCs w:val="18"/>
              </w:rPr>
              <w:t>-616</w:t>
            </w:r>
          </w:p>
        </w:tc>
        <w:tc>
          <w:tcPr>
            <w:tcW w:w="324" w:type="pct"/>
            <w:vAlign w:val="center"/>
          </w:tcPr>
          <w:p w14:paraId="5F695D4D">
            <w:pPr>
              <w:pStyle w:val="133"/>
              <w:rPr>
                <w:sz w:val="18"/>
                <w:szCs w:val="18"/>
              </w:rPr>
            </w:pPr>
            <w:r>
              <w:rPr>
                <w:rFonts w:cs="Times New Roman"/>
                <w:color w:val="000000"/>
                <w:sz w:val="18"/>
                <w:szCs w:val="18"/>
              </w:rPr>
              <w:t>-97</w:t>
            </w:r>
          </w:p>
        </w:tc>
        <w:tc>
          <w:tcPr>
            <w:tcW w:w="362" w:type="pct"/>
            <w:noWrap/>
            <w:vAlign w:val="center"/>
          </w:tcPr>
          <w:p w14:paraId="682D320E">
            <w:pPr>
              <w:pStyle w:val="133"/>
              <w:rPr>
                <w:sz w:val="18"/>
                <w:szCs w:val="18"/>
              </w:rPr>
            </w:pPr>
            <w:r>
              <w:rPr>
                <w:rFonts w:cs="Times New Roman"/>
                <w:color w:val="000000"/>
                <w:sz w:val="18"/>
                <w:szCs w:val="18"/>
              </w:rPr>
              <w:t>15</w:t>
            </w:r>
          </w:p>
        </w:tc>
        <w:tc>
          <w:tcPr>
            <w:tcW w:w="359" w:type="pct"/>
            <w:noWrap/>
            <w:vAlign w:val="center"/>
          </w:tcPr>
          <w:p w14:paraId="28E6302F">
            <w:pPr>
              <w:pStyle w:val="133"/>
              <w:rPr>
                <w:sz w:val="18"/>
                <w:szCs w:val="18"/>
              </w:rPr>
            </w:pPr>
            <w:r>
              <w:rPr>
                <w:rFonts w:cs="Times New Roman"/>
                <w:color w:val="000000"/>
                <w:sz w:val="18"/>
                <w:szCs w:val="18"/>
              </w:rPr>
              <w:t>2</w:t>
            </w:r>
          </w:p>
        </w:tc>
        <w:tc>
          <w:tcPr>
            <w:tcW w:w="361" w:type="pct"/>
            <w:noWrap/>
            <w:vAlign w:val="center"/>
          </w:tcPr>
          <w:p w14:paraId="21D34089">
            <w:pPr>
              <w:pStyle w:val="133"/>
              <w:rPr>
                <w:sz w:val="18"/>
                <w:szCs w:val="18"/>
              </w:rPr>
            </w:pPr>
            <w:r>
              <w:rPr>
                <w:rFonts w:cs="Times New Roman"/>
                <w:color w:val="000000"/>
                <w:sz w:val="18"/>
                <w:szCs w:val="18"/>
              </w:rPr>
              <w:t>25</w:t>
            </w:r>
          </w:p>
        </w:tc>
        <w:tc>
          <w:tcPr>
            <w:tcW w:w="329" w:type="pct"/>
            <w:vAlign w:val="center"/>
          </w:tcPr>
          <w:p w14:paraId="405F89DB">
            <w:pPr>
              <w:pStyle w:val="133"/>
              <w:rPr>
                <w:sz w:val="18"/>
                <w:szCs w:val="18"/>
              </w:rPr>
            </w:pPr>
            <w:r>
              <w:rPr>
                <w:rFonts w:cs="Times New Roman"/>
                <w:color w:val="000000"/>
                <w:sz w:val="18"/>
                <w:szCs w:val="18"/>
              </w:rPr>
              <w:t>140000</w:t>
            </w:r>
          </w:p>
        </w:tc>
        <w:tc>
          <w:tcPr>
            <w:tcW w:w="254" w:type="pct"/>
            <w:vAlign w:val="center"/>
          </w:tcPr>
          <w:p w14:paraId="2C387857">
            <w:pPr>
              <w:pStyle w:val="133"/>
              <w:rPr>
                <w:sz w:val="18"/>
                <w:szCs w:val="18"/>
              </w:rPr>
            </w:pPr>
          </w:p>
        </w:tc>
        <w:tc>
          <w:tcPr>
            <w:tcW w:w="254" w:type="pct"/>
            <w:vAlign w:val="center"/>
          </w:tcPr>
          <w:p w14:paraId="0D6D7D05">
            <w:pPr>
              <w:pStyle w:val="133"/>
              <w:rPr>
                <w:sz w:val="18"/>
                <w:szCs w:val="18"/>
              </w:rPr>
            </w:pPr>
          </w:p>
        </w:tc>
        <w:tc>
          <w:tcPr>
            <w:tcW w:w="254" w:type="pct"/>
            <w:noWrap/>
            <w:vAlign w:val="center"/>
          </w:tcPr>
          <w:p w14:paraId="3C61F35F">
            <w:pPr>
              <w:pStyle w:val="133"/>
              <w:rPr>
                <w:sz w:val="18"/>
                <w:szCs w:val="18"/>
              </w:rPr>
            </w:pPr>
            <w:r>
              <w:rPr>
                <w:rFonts w:cs="Times New Roman"/>
                <w:color w:val="000000"/>
                <w:sz w:val="18"/>
                <w:szCs w:val="18"/>
              </w:rPr>
              <w:t>0.024</w:t>
            </w:r>
          </w:p>
        </w:tc>
        <w:tc>
          <w:tcPr>
            <w:tcW w:w="254" w:type="pct"/>
            <w:noWrap/>
            <w:vAlign w:val="center"/>
          </w:tcPr>
          <w:p w14:paraId="14C25317">
            <w:pPr>
              <w:pStyle w:val="133"/>
              <w:rPr>
                <w:sz w:val="18"/>
                <w:szCs w:val="18"/>
              </w:rPr>
            </w:pPr>
            <w:r>
              <w:rPr>
                <w:rFonts w:cs="Times New Roman"/>
                <w:color w:val="000000"/>
                <w:sz w:val="18"/>
                <w:szCs w:val="18"/>
              </w:rPr>
              <w:t>0.014</w:t>
            </w:r>
          </w:p>
        </w:tc>
        <w:tc>
          <w:tcPr>
            <w:tcW w:w="254" w:type="pct"/>
            <w:vAlign w:val="center"/>
          </w:tcPr>
          <w:p w14:paraId="7DFA4915">
            <w:pPr>
              <w:pStyle w:val="133"/>
              <w:rPr>
                <w:sz w:val="18"/>
                <w:szCs w:val="18"/>
              </w:rPr>
            </w:pPr>
          </w:p>
        </w:tc>
        <w:tc>
          <w:tcPr>
            <w:tcW w:w="254" w:type="pct"/>
            <w:vAlign w:val="center"/>
          </w:tcPr>
          <w:p w14:paraId="05D29F85">
            <w:pPr>
              <w:pStyle w:val="133"/>
              <w:rPr>
                <w:sz w:val="18"/>
                <w:szCs w:val="18"/>
              </w:rPr>
            </w:pPr>
          </w:p>
        </w:tc>
        <w:tc>
          <w:tcPr>
            <w:tcW w:w="254" w:type="pct"/>
            <w:vAlign w:val="center"/>
          </w:tcPr>
          <w:p w14:paraId="7C3E7293">
            <w:pPr>
              <w:pStyle w:val="133"/>
              <w:rPr>
                <w:sz w:val="18"/>
                <w:szCs w:val="18"/>
              </w:rPr>
            </w:pPr>
          </w:p>
        </w:tc>
        <w:tc>
          <w:tcPr>
            <w:tcW w:w="251" w:type="pct"/>
            <w:vAlign w:val="center"/>
          </w:tcPr>
          <w:p w14:paraId="02BE79A0">
            <w:pPr>
              <w:pStyle w:val="133"/>
              <w:rPr>
                <w:sz w:val="18"/>
                <w:szCs w:val="18"/>
              </w:rPr>
            </w:pPr>
          </w:p>
        </w:tc>
      </w:tr>
      <w:tr w14:paraId="61304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854309D">
            <w:pPr>
              <w:pStyle w:val="133"/>
              <w:rPr>
                <w:sz w:val="18"/>
                <w:szCs w:val="18"/>
              </w:rPr>
            </w:pPr>
            <w:r>
              <w:rPr>
                <w:rFonts w:hint="eastAsia"/>
                <w:sz w:val="18"/>
                <w:szCs w:val="18"/>
              </w:rPr>
              <w:t>28</w:t>
            </w:r>
          </w:p>
        </w:tc>
        <w:tc>
          <w:tcPr>
            <w:tcW w:w="671" w:type="pct"/>
            <w:noWrap/>
            <w:vAlign w:val="center"/>
          </w:tcPr>
          <w:p w14:paraId="50D9FC1B">
            <w:pPr>
              <w:pStyle w:val="133"/>
              <w:rPr>
                <w:sz w:val="18"/>
                <w:szCs w:val="18"/>
              </w:rPr>
            </w:pPr>
            <w:r>
              <w:rPr>
                <w:rFonts w:hint="eastAsia" w:cs="Times New Roman"/>
                <w:color w:val="000000"/>
                <w:sz w:val="18"/>
                <w:szCs w:val="18"/>
              </w:rPr>
              <w:t>在建</w:t>
            </w:r>
            <w:r>
              <w:rPr>
                <w:rFonts w:cs="Times New Roman"/>
                <w:color w:val="000000"/>
                <w:sz w:val="18"/>
                <w:szCs w:val="18"/>
              </w:rPr>
              <w:t>浇铸废气</w:t>
            </w:r>
          </w:p>
        </w:tc>
        <w:tc>
          <w:tcPr>
            <w:tcW w:w="324" w:type="pct"/>
            <w:vAlign w:val="center"/>
          </w:tcPr>
          <w:p w14:paraId="55A9886D">
            <w:pPr>
              <w:pStyle w:val="133"/>
              <w:rPr>
                <w:sz w:val="18"/>
                <w:szCs w:val="18"/>
              </w:rPr>
            </w:pPr>
            <w:r>
              <w:rPr>
                <w:rFonts w:cs="Times New Roman"/>
                <w:color w:val="000000"/>
                <w:sz w:val="18"/>
                <w:szCs w:val="18"/>
              </w:rPr>
              <w:t>-584</w:t>
            </w:r>
          </w:p>
        </w:tc>
        <w:tc>
          <w:tcPr>
            <w:tcW w:w="324" w:type="pct"/>
            <w:vAlign w:val="center"/>
          </w:tcPr>
          <w:p w14:paraId="63E397A9">
            <w:pPr>
              <w:pStyle w:val="133"/>
              <w:rPr>
                <w:sz w:val="18"/>
                <w:szCs w:val="18"/>
              </w:rPr>
            </w:pPr>
            <w:r>
              <w:rPr>
                <w:rFonts w:cs="Times New Roman"/>
                <w:color w:val="000000"/>
                <w:sz w:val="18"/>
                <w:szCs w:val="18"/>
              </w:rPr>
              <w:t>-65</w:t>
            </w:r>
          </w:p>
        </w:tc>
        <w:tc>
          <w:tcPr>
            <w:tcW w:w="362" w:type="pct"/>
            <w:noWrap/>
            <w:vAlign w:val="center"/>
          </w:tcPr>
          <w:p w14:paraId="2D3E14F9">
            <w:pPr>
              <w:pStyle w:val="133"/>
              <w:rPr>
                <w:sz w:val="18"/>
                <w:szCs w:val="18"/>
              </w:rPr>
            </w:pPr>
            <w:r>
              <w:rPr>
                <w:rFonts w:cs="Times New Roman"/>
                <w:color w:val="000000"/>
                <w:sz w:val="18"/>
                <w:szCs w:val="18"/>
              </w:rPr>
              <w:t>15</w:t>
            </w:r>
          </w:p>
        </w:tc>
        <w:tc>
          <w:tcPr>
            <w:tcW w:w="359" w:type="pct"/>
            <w:noWrap/>
            <w:vAlign w:val="center"/>
          </w:tcPr>
          <w:p w14:paraId="41B7617C">
            <w:pPr>
              <w:pStyle w:val="133"/>
              <w:rPr>
                <w:sz w:val="18"/>
                <w:szCs w:val="18"/>
              </w:rPr>
            </w:pPr>
            <w:r>
              <w:rPr>
                <w:rFonts w:cs="Times New Roman"/>
                <w:color w:val="000000"/>
                <w:sz w:val="18"/>
                <w:szCs w:val="18"/>
              </w:rPr>
              <w:t>1.5</w:t>
            </w:r>
          </w:p>
        </w:tc>
        <w:tc>
          <w:tcPr>
            <w:tcW w:w="361" w:type="pct"/>
            <w:noWrap/>
            <w:vAlign w:val="center"/>
          </w:tcPr>
          <w:p w14:paraId="3323A166">
            <w:pPr>
              <w:pStyle w:val="133"/>
              <w:rPr>
                <w:sz w:val="18"/>
                <w:szCs w:val="18"/>
              </w:rPr>
            </w:pPr>
            <w:r>
              <w:rPr>
                <w:rFonts w:cs="Times New Roman"/>
                <w:color w:val="000000"/>
                <w:sz w:val="18"/>
                <w:szCs w:val="18"/>
              </w:rPr>
              <w:t>25</w:t>
            </w:r>
          </w:p>
        </w:tc>
        <w:tc>
          <w:tcPr>
            <w:tcW w:w="329" w:type="pct"/>
            <w:vAlign w:val="center"/>
          </w:tcPr>
          <w:p w14:paraId="78F3873D">
            <w:pPr>
              <w:pStyle w:val="133"/>
              <w:rPr>
                <w:sz w:val="18"/>
                <w:szCs w:val="18"/>
              </w:rPr>
            </w:pPr>
            <w:r>
              <w:rPr>
                <w:rFonts w:cs="Times New Roman"/>
                <w:color w:val="000000"/>
                <w:sz w:val="18"/>
                <w:szCs w:val="18"/>
              </w:rPr>
              <w:t>80000</w:t>
            </w:r>
          </w:p>
        </w:tc>
        <w:tc>
          <w:tcPr>
            <w:tcW w:w="254" w:type="pct"/>
            <w:vAlign w:val="center"/>
          </w:tcPr>
          <w:p w14:paraId="3198306A">
            <w:pPr>
              <w:pStyle w:val="133"/>
              <w:rPr>
                <w:sz w:val="18"/>
                <w:szCs w:val="18"/>
              </w:rPr>
            </w:pPr>
          </w:p>
        </w:tc>
        <w:tc>
          <w:tcPr>
            <w:tcW w:w="254" w:type="pct"/>
            <w:vAlign w:val="center"/>
          </w:tcPr>
          <w:p w14:paraId="368612B9">
            <w:pPr>
              <w:pStyle w:val="133"/>
              <w:rPr>
                <w:sz w:val="18"/>
                <w:szCs w:val="18"/>
              </w:rPr>
            </w:pPr>
          </w:p>
        </w:tc>
        <w:tc>
          <w:tcPr>
            <w:tcW w:w="254" w:type="pct"/>
            <w:noWrap/>
            <w:vAlign w:val="center"/>
          </w:tcPr>
          <w:p w14:paraId="5089103C">
            <w:pPr>
              <w:pStyle w:val="133"/>
              <w:rPr>
                <w:sz w:val="18"/>
                <w:szCs w:val="18"/>
              </w:rPr>
            </w:pPr>
            <w:r>
              <w:rPr>
                <w:rFonts w:cs="Times New Roman"/>
                <w:color w:val="000000"/>
                <w:sz w:val="18"/>
                <w:szCs w:val="18"/>
              </w:rPr>
              <w:t>0.011</w:t>
            </w:r>
          </w:p>
        </w:tc>
        <w:tc>
          <w:tcPr>
            <w:tcW w:w="254" w:type="pct"/>
            <w:noWrap/>
            <w:vAlign w:val="center"/>
          </w:tcPr>
          <w:p w14:paraId="35409D26">
            <w:pPr>
              <w:pStyle w:val="133"/>
              <w:rPr>
                <w:sz w:val="18"/>
                <w:szCs w:val="18"/>
              </w:rPr>
            </w:pPr>
            <w:r>
              <w:rPr>
                <w:rFonts w:cs="Times New Roman"/>
                <w:color w:val="000000"/>
                <w:sz w:val="18"/>
                <w:szCs w:val="18"/>
              </w:rPr>
              <w:t>0.0055</w:t>
            </w:r>
          </w:p>
        </w:tc>
        <w:tc>
          <w:tcPr>
            <w:tcW w:w="254" w:type="pct"/>
            <w:vAlign w:val="center"/>
          </w:tcPr>
          <w:p w14:paraId="0AD97BFF">
            <w:pPr>
              <w:pStyle w:val="133"/>
              <w:rPr>
                <w:sz w:val="18"/>
                <w:szCs w:val="18"/>
              </w:rPr>
            </w:pPr>
          </w:p>
        </w:tc>
        <w:tc>
          <w:tcPr>
            <w:tcW w:w="254" w:type="pct"/>
            <w:vAlign w:val="center"/>
          </w:tcPr>
          <w:p w14:paraId="54769A29">
            <w:pPr>
              <w:pStyle w:val="133"/>
              <w:rPr>
                <w:sz w:val="18"/>
                <w:szCs w:val="18"/>
              </w:rPr>
            </w:pPr>
          </w:p>
        </w:tc>
        <w:tc>
          <w:tcPr>
            <w:tcW w:w="254" w:type="pct"/>
            <w:vAlign w:val="center"/>
          </w:tcPr>
          <w:p w14:paraId="6504FD65">
            <w:pPr>
              <w:pStyle w:val="133"/>
              <w:rPr>
                <w:sz w:val="18"/>
                <w:szCs w:val="18"/>
              </w:rPr>
            </w:pPr>
          </w:p>
        </w:tc>
        <w:tc>
          <w:tcPr>
            <w:tcW w:w="251" w:type="pct"/>
            <w:vAlign w:val="center"/>
          </w:tcPr>
          <w:p w14:paraId="0B79F81E">
            <w:pPr>
              <w:pStyle w:val="133"/>
              <w:rPr>
                <w:sz w:val="18"/>
                <w:szCs w:val="18"/>
              </w:rPr>
            </w:pPr>
          </w:p>
        </w:tc>
      </w:tr>
      <w:tr w14:paraId="3481F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13ADC18B">
            <w:pPr>
              <w:pStyle w:val="133"/>
              <w:rPr>
                <w:sz w:val="18"/>
                <w:szCs w:val="18"/>
              </w:rPr>
            </w:pPr>
            <w:r>
              <w:rPr>
                <w:rFonts w:hint="eastAsia"/>
                <w:sz w:val="18"/>
                <w:szCs w:val="18"/>
              </w:rPr>
              <w:t>29</w:t>
            </w:r>
          </w:p>
        </w:tc>
        <w:tc>
          <w:tcPr>
            <w:tcW w:w="671" w:type="pct"/>
            <w:noWrap/>
            <w:vAlign w:val="center"/>
          </w:tcPr>
          <w:p w14:paraId="0BE6A98C">
            <w:pPr>
              <w:pStyle w:val="133"/>
              <w:rPr>
                <w:sz w:val="18"/>
                <w:szCs w:val="18"/>
              </w:rPr>
            </w:pPr>
            <w:r>
              <w:rPr>
                <w:rFonts w:hint="eastAsia"/>
                <w:sz w:val="18"/>
                <w:szCs w:val="18"/>
              </w:rPr>
              <w:t>在建湘晟1#烟囱</w:t>
            </w:r>
          </w:p>
        </w:tc>
        <w:tc>
          <w:tcPr>
            <w:tcW w:w="324" w:type="pct"/>
            <w:vAlign w:val="center"/>
          </w:tcPr>
          <w:p w14:paraId="2B030E3E">
            <w:pPr>
              <w:pStyle w:val="133"/>
              <w:rPr>
                <w:sz w:val="18"/>
                <w:szCs w:val="18"/>
              </w:rPr>
            </w:pPr>
            <w:r>
              <w:rPr>
                <w:rFonts w:hint="eastAsia"/>
                <w:sz w:val="18"/>
                <w:szCs w:val="18"/>
              </w:rPr>
              <w:t>1408</w:t>
            </w:r>
          </w:p>
        </w:tc>
        <w:tc>
          <w:tcPr>
            <w:tcW w:w="324" w:type="pct"/>
            <w:vAlign w:val="center"/>
          </w:tcPr>
          <w:p w14:paraId="2F4624B6">
            <w:pPr>
              <w:pStyle w:val="133"/>
              <w:rPr>
                <w:sz w:val="18"/>
                <w:szCs w:val="18"/>
              </w:rPr>
            </w:pPr>
            <w:r>
              <w:rPr>
                <w:rFonts w:hint="eastAsia"/>
                <w:sz w:val="18"/>
                <w:szCs w:val="18"/>
              </w:rPr>
              <w:t>-2634</w:t>
            </w:r>
          </w:p>
        </w:tc>
        <w:tc>
          <w:tcPr>
            <w:tcW w:w="362" w:type="pct"/>
            <w:noWrap/>
            <w:vAlign w:val="center"/>
          </w:tcPr>
          <w:p w14:paraId="30FB18D5">
            <w:pPr>
              <w:pStyle w:val="133"/>
              <w:rPr>
                <w:sz w:val="18"/>
                <w:szCs w:val="18"/>
              </w:rPr>
            </w:pPr>
            <w:r>
              <w:rPr>
                <w:rFonts w:hint="eastAsia"/>
                <w:sz w:val="18"/>
                <w:szCs w:val="18"/>
              </w:rPr>
              <w:t>20</w:t>
            </w:r>
          </w:p>
        </w:tc>
        <w:tc>
          <w:tcPr>
            <w:tcW w:w="359" w:type="pct"/>
            <w:noWrap/>
            <w:vAlign w:val="center"/>
          </w:tcPr>
          <w:p w14:paraId="2BF47E7E">
            <w:pPr>
              <w:pStyle w:val="133"/>
              <w:rPr>
                <w:sz w:val="18"/>
                <w:szCs w:val="18"/>
              </w:rPr>
            </w:pPr>
            <w:r>
              <w:rPr>
                <w:rFonts w:hint="eastAsia"/>
                <w:sz w:val="18"/>
                <w:szCs w:val="18"/>
              </w:rPr>
              <w:t>0.5</w:t>
            </w:r>
          </w:p>
        </w:tc>
        <w:tc>
          <w:tcPr>
            <w:tcW w:w="361" w:type="pct"/>
            <w:noWrap/>
            <w:vAlign w:val="center"/>
          </w:tcPr>
          <w:p w14:paraId="5DA57CD1">
            <w:pPr>
              <w:pStyle w:val="133"/>
              <w:rPr>
                <w:sz w:val="18"/>
                <w:szCs w:val="18"/>
              </w:rPr>
            </w:pPr>
            <w:r>
              <w:rPr>
                <w:rFonts w:hint="eastAsia"/>
                <w:sz w:val="18"/>
                <w:szCs w:val="18"/>
              </w:rPr>
              <w:t>20</w:t>
            </w:r>
          </w:p>
        </w:tc>
        <w:tc>
          <w:tcPr>
            <w:tcW w:w="329" w:type="pct"/>
            <w:vAlign w:val="center"/>
          </w:tcPr>
          <w:p w14:paraId="30B23DFC">
            <w:pPr>
              <w:pStyle w:val="133"/>
              <w:rPr>
                <w:sz w:val="18"/>
                <w:szCs w:val="18"/>
              </w:rPr>
            </w:pPr>
            <w:r>
              <w:rPr>
                <w:rFonts w:hint="eastAsia"/>
                <w:sz w:val="18"/>
                <w:szCs w:val="18"/>
              </w:rPr>
              <w:t>4700</w:t>
            </w:r>
          </w:p>
        </w:tc>
        <w:tc>
          <w:tcPr>
            <w:tcW w:w="254" w:type="pct"/>
            <w:vAlign w:val="center"/>
          </w:tcPr>
          <w:p w14:paraId="4100C124">
            <w:pPr>
              <w:pStyle w:val="133"/>
              <w:rPr>
                <w:sz w:val="18"/>
                <w:szCs w:val="18"/>
              </w:rPr>
            </w:pPr>
          </w:p>
        </w:tc>
        <w:tc>
          <w:tcPr>
            <w:tcW w:w="254" w:type="pct"/>
            <w:vAlign w:val="center"/>
          </w:tcPr>
          <w:p w14:paraId="54FE5EB0">
            <w:pPr>
              <w:pStyle w:val="133"/>
              <w:rPr>
                <w:sz w:val="18"/>
                <w:szCs w:val="18"/>
              </w:rPr>
            </w:pPr>
          </w:p>
        </w:tc>
        <w:tc>
          <w:tcPr>
            <w:tcW w:w="254" w:type="pct"/>
            <w:noWrap/>
            <w:vAlign w:val="center"/>
          </w:tcPr>
          <w:p w14:paraId="3D837342">
            <w:pPr>
              <w:pStyle w:val="133"/>
              <w:rPr>
                <w:sz w:val="18"/>
                <w:szCs w:val="18"/>
              </w:rPr>
            </w:pPr>
            <w:r>
              <w:rPr>
                <w:rFonts w:hint="eastAsia"/>
                <w:sz w:val="18"/>
                <w:szCs w:val="18"/>
              </w:rPr>
              <w:t>0.15</w:t>
            </w:r>
          </w:p>
        </w:tc>
        <w:tc>
          <w:tcPr>
            <w:tcW w:w="254" w:type="pct"/>
            <w:noWrap/>
            <w:vAlign w:val="center"/>
          </w:tcPr>
          <w:p w14:paraId="76E98556">
            <w:pPr>
              <w:pStyle w:val="133"/>
              <w:rPr>
                <w:sz w:val="18"/>
                <w:szCs w:val="18"/>
              </w:rPr>
            </w:pPr>
            <w:r>
              <w:rPr>
                <w:rFonts w:hint="eastAsia"/>
                <w:sz w:val="18"/>
                <w:szCs w:val="18"/>
              </w:rPr>
              <w:t>0.075</w:t>
            </w:r>
          </w:p>
        </w:tc>
        <w:tc>
          <w:tcPr>
            <w:tcW w:w="254" w:type="pct"/>
            <w:vAlign w:val="center"/>
          </w:tcPr>
          <w:p w14:paraId="77AD36B0">
            <w:pPr>
              <w:pStyle w:val="133"/>
              <w:rPr>
                <w:sz w:val="18"/>
                <w:szCs w:val="18"/>
              </w:rPr>
            </w:pPr>
          </w:p>
        </w:tc>
        <w:tc>
          <w:tcPr>
            <w:tcW w:w="254" w:type="pct"/>
            <w:vAlign w:val="center"/>
          </w:tcPr>
          <w:p w14:paraId="4B180748">
            <w:pPr>
              <w:pStyle w:val="133"/>
              <w:rPr>
                <w:sz w:val="18"/>
                <w:szCs w:val="18"/>
              </w:rPr>
            </w:pPr>
          </w:p>
        </w:tc>
        <w:tc>
          <w:tcPr>
            <w:tcW w:w="254" w:type="pct"/>
            <w:vAlign w:val="center"/>
          </w:tcPr>
          <w:p w14:paraId="73DC2D0B">
            <w:pPr>
              <w:pStyle w:val="133"/>
              <w:rPr>
                <w:sz w:val="18"/>
                <w:szCs w:val="18"/>
              </w:rPr>
            </w:pPr>
          </w:p>
        </w:tc>
        <w:tc>
          <w:tcPr>
            <w:tcW w:w="251" w:type="pct"/>
            <w:vAlign w:val="center"/>
          </w:tcPr>
          <w:p w14:paraId="60B901AB">
            <w:pPr>
              <w:pStyle w:val="133"/>
              <w:rPr>
                <w:sz w:val="18"/>
                <w:szCs w:val="18"/>
              </w:rPr>
            </w:pPr>
          </w:p>
        </w:tc>
      </w:tr>
      <w:tr w14:paraId="14331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789E394E">
            <w:pPr>
              <w:pStyle w:val="133"/>
              <w:rPr>
                <w:sz w:val="18"/>
                <w:szCs w:val="18"/>
              </w:rPr>
            </w:pPr>
            <w:r>
              <w:rPr>
                <w:rFonts w:hint="eastAsia"/>
                <w:sz w:val="18"/>
                <w:szCs w:val="18"/>
              </w:rPr>
              <w:t>30</w:t>
            </w:r>
          </w:p>
        </w:tc>
        <w:tc>
          <w:tcPr>
            <w:tcW w:w="671" w:type="pct"/>
            <w:noWrap/>
            <w:vAlign w:val="center"/>
          </w:tcPr>
          <w:p w14:paraId="69096649">
            <w:pPr>
              <w:pStyle w:val="133"/>
              <w:rPr>
                <w:sz w:val="18"/>
                <w:szCs w:val="18"/>
              </w:rPr>
            </w:pPr>
            <w:r>
              <w:rPr>
                <w:rFonts w:hint="eastAsia"/>
                <w:sz w:val="18"/>
                <w:szCs w:val="18"/>
              </w:rPr>
              <w:t>在建湘晟2#烟囱</w:t>
            </w:r>
          </w:p>
        </w:tc>
        <w:tc>
          <w:tcPr>
            <w:tcW w:w="324" w:type="pct"/>
            <w:vAlign w:val="center"/>
          </w:tcPr>
          <w:p w14:paraId="28A5EF97">
            <w:pPr>
              <w:pStyle w:val="133"/>
              <w:rPr>
                <w:sz w:val="18"/>
                <w:szCs w:val="18"/>
              </w:rPr>
            </w:pPr>
            <w:r>
              <w:rPr>
                <w:rFonts w:hint="eastAsia"/>
                <w:sz w:val="18"/>
                <w:szCs w:val="18"/>
              </w:rPr>
              <w:t>1408</w:t>
            </w:r>
          </w:p>
        </w:tc>
        <w:tc>
          <w:tcPr>
            <w:tcW w:w="324" w:type="pct"/>
            <w:vAlign w:val="center"/>
          </w:tcPr>
          <w:p w14:paraId="00E52B02">
            <w:pPr>
              <w:pStyle w:val="133"/>
              <w:rPr>
                <w:sz w:val="18"/>
                <w:szCs w:val="18"/>
              </w:rPr>
            </w:pPr>
            <w:r>
              <w:rPr>
                <w:rFonts w:hint="eastAsia"/>
                <w:sz w:val="18"/>
                <w:szCs w:val="18"/>
              </w:rPr>
              <w:t>-2745</w:t>
            </w:r>
          </w:p>
        </w:tc>
        <w:tc>
          <w:tcPr>
            <w:tcW w:w="362" w:type="pct"/>
            <w:noWrap/>
            <w:vAlign w:val="center"/>
          </w:tcPr>
          <w:p w14:paraId="72AF9336">
            <w:pPr>
              <w:pStyle w:val="133"/>
              <w:rPr>
                <w:sz w:val="18"/>
                <w:szCs w:val="18"/>
              </w:rPr>
            </w:pPr>
            <w:r>
              <w:rPr>
                <w:rFonts w:hint="eastAsia"/>
                <w:sz w:val="18"/>
                <w:szCs w:val="18"/>
              </w:rPr>
              <w:t>45</w:t>
            </w:r>
          </w:p>
        </w:tc>
        <w:tc>
          <w:tcPr>
            <w:tcW w:w="359" w:type="pct"/>
            <w:noWrap/>
            <w:vAlign w:val="center"/>
          </w:tcPr>
          <w:p w14:paraId="54AF7441">
            <w:pPr>
              <w:pStyle w:val="133"/>
              <w:rPr>
                <w:sz w:val="18"/>
                <w:szCs w:val="18"/>
              </w:rPr>
            </w:pPr>
            <w:r>
              <w:rPr>
                <w:rFonts w:hint="eastAsia"/>
                <w:sz w:val="18"/>
                <w:szCs w:val="18"/>
              </w:rPr>
              <w:t>0.5</w:t>
            </w:r>
          </w:p>
        </w:tc>
        <w:tc>
          <w:tcPr>
            <w:tcW w:w="361" w:type="pct"/>
            <w:noWrap/>
            <w:vAlign w:val="center"/>
          </w:tcPr>
          <w:p w14:paraId="6A0BCDBC">
            <w:pPr>
              <w:pStyle w:val="133"/>
              <w:rPr>
                <w:sz w:val="18"/>
                <w:szCs w:val="18"/>
              </w:rPr>
            </w:pPr>
            <w:r>
              <w:rPr>
                <w:rFonts w:hint="eastAsia"/>
                <w:sz w:val="18"/>
                <w:szCs w:val="18"/>
              </w:rPr>
              <w:t>20</w:t>
            </w:r>
          </w:p>
        </w:tc>
        <w:tc>
          <w:tcPr>
            <w:tcW w:w="329" w:type="pct"/>
            <w:vAlign w:val="center"/>
          </w:tcPr>
          <w:p w14:paraId="61E08341">
            <w:pPr>
              <w:pStyle w:val="133"/>
              <w:rPr>
                <w:sz w:val="18"/>
                <w:szCs w:val="18"/>
              </w:rPr>
            </w:pPr>
            <w:r>
              <w:rPr>
                <w:rFonts w:hint="eastAsia"/>
                <w:sz w:val="18"/>
                <w:szCs w:val="18"/>
              </w:rPr>
              <w:t>4300</w:t>
            </w:r>
          </w:p>
        </w:tc>
        <w:tc>
          <w:tcPr>
            <w:tcW w:w="254" w:type="pct"/>
            <w:vAlign w:val="center"/>
          </w:tcPr>
          <w:p w14:paraId="7D184C45">
            <w:pPr>
              <w:pStyle w:val="133"/>
              <w:rPr>
                <w:sz w:val="18"/>
                <w:szCs w:val="18"/>
              </w:rPr>
            </w:pPr>
          </w:p>
        </w:tc>
        <w:tc>
          <w:tcPr>
            <w:tcW w:w="254" w:type="pct"/>
            <w:vAlign w:val="center"/>
          </w:tcPr>
          <w:p w14:paraId="2832F658">
            <w:pPr>
              <w:pStyle w:val="133"/>
              <w:rPr>
                <w:sz w:val="18"/>
                <w:szCs w:val="18"/>
              </w:rPr>
            </w:pPr>
          </w:p>
        </w:tc>
        <w:tc>
          <w:tcPr>
            <w:tcW w:w="254" w:type="pct"/>
            <w:noWrap/>
            <w:vAlign w:val="center"/>
          </w:tcPr>
          <w:p w14:paraId="46214A70">
            <w:pPr>
              <w:pStyle w:val="133"/>
              <w:rPr>
                <w:sz w:val="18"/>
                <w:szCs w:val="18"/>
              </w:rPr>
            </w:pPr>
            <w:r>
              <w:rPr>
                <w:rFonts w:hint="eastAsia"/>
                <w:sz w:val="18"/>
                <w:szCs w:val="18"/>
              </w:rPr>
              <w:t>0.16</w:t>
            </w:r>
          </w:p>
        </w:tc>
        <w:tc>
          <w:tcPr>
            <w:tcW w:w="254" w:type="pct"/>
            <w:noWrap/>
            <w:vAlign w:val="center"/>
          </w:tcPr>
          <w:p w14:paraId="06317492">
            <w:pPr>
              <w:pStyle w:val="133"/>
              <w:rPr>
                <w:sz w:val="18"/>
                <w:szCs w:val="18"/>
              </w:rPr>
            </w:pPr>
            <w:r>
              <w:rPr>
                <w:rFonts w:hint="eastAsia"/>
                <w:sz w:val="18"/>
                <w:szCs w:val="18"/>
              </w:rPr>
              <w:t>0.08</w:t>
            </w:r>
          </w:p>
        </w:tc>
        <w:tc>
          <w:tcPr>
            <w:tcW w:w="254" w:type="pct"/>
            <w:vAlign w:val="center"/>
          </w:tcPr>
          <w:p w14:paraId="3251BC43">
            <w:pPr>
              <w:pStyle w:val="133"/>
              <w:rPr>
                <w:sz w:val="18"/>
                <w:szCs w:val="18"/>
              </w:rPr>
            </w:pPr>
          </w:p>
        </w:tc>
        <w:tc>
          <w:tcPr>
            <w:tcW w:w="254" w:type="pct"/>
            <w:vAlign w:val="center"/>
          </w:tcPr>
          <w:p w14:paraId="04B02B2A">
            <w:pPr>
              <w:pStyle w:val="133"/>
              <w:rPr>
                <w:sz w:val="18"/>
                <w:szCs w:val="18"/>
              </w:rPr>
            </w:pPr>
          </w:p>
        </w:tc>
        <w:tc>
          <w:tcPr>
            <w:tcW w:w="254" w:type="pct"/>
            <w:vAlign w:val="center"/>
          </w:tcPr>
          <w:p w14:paraId="75748F0B">
            <w:pPr>
              <w:pStyle w:val="133"/>
              <w:rPr>
                <w:sz w:val="18"/>
                <w:szCs w:val="18"/>
              </w:rPr>
            </w:pPr>
          </w:p>
        </w:tc>
        <w:tc>
          <w:tcPr>
            <w:tcW w:w="251" w:type="pct"/>
            <w:vAlign w:val="center"/>
          </w:tcPr>
          <w:p w14:paraId="13A0A052">
            <w:pPr>
              <w:pStyle w:val="133"/>
              <w:rPr>
                <w:sz w:val="18"/>
                <w:szCs w:val="18"/>
              </w:rPr>
            </w:pPr>
          </w:p>
        </w:tc>
      </w:tr>
      <w:tr w14:paraId="6582A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083B8846">
            <w:pPr>
              <w:pStyle w:val="133"/>
              <w:rPr>
                <w:sz w:val="18"/>
                <w:szCs w:val="18"/>
              </w:rPr>
            </w:pPr>
            <w:r>
              <w:rPr>
                <w:rFonts w:hint="eastAsia"/>
                <w:sz w:val="18"/>
                <w:szCs w:val="18"/>
              </w:rPr>
              <w:t>31</w:t>
            </w:r>
          </w:p>
        </w:tc>
        <w:tc>
          <w:tcPr>
            <w:tcW w:w="671" w:type="pct"/>
            <w:noWrap/>
            <w:vAlign w:val="center"/>
          </w:tcPr>
          <w:p w14:paraId="6EE7A8A3">
            <w:pPr>
              <w:pStyle w:val="133"/>
              <w:rPr>
                <w:sz w:val="18"/>
                <w:szCs w:val="18"/>
              </w:rPr>
            </w:pPr>
            <w:r>
              <w:rPr>
                <w:rFonts w:hint="eastAsia"/>
                <w:sz w:val="18"/>
                <w:szCs w:val="18"/>
              </w:rPr>
              <w:t>在建湘晟3#烟囱</w:t>
            </w:r>
          </w:p>
        </w:tc>
        <w:tc>
          <w:tcPr>
            <w:tcW w:w="324" w:type="pct"/>
            <w:vAlign w:val="center"/>
          </w:tcPr>
          <w:p w14:paraId="483D72CB">
            <w:pPr>
              <w:pStyle w:val="133"/>
              <w:rPr>
                <w:sz w:val="18"/>
                <w:szCs w:val="18"/>
              </w:rPr>
            </w:pPr>
            <w:r>
              <w:rPr>
                <w:rFonts w:hint="eastAsia"/>
                <w:sz w:val="18"/>
                <w:szCs w:val="18"/>
              </w:rPr>
              <w:t>1490</w:t>
            </w:r>
          </w:p>
        </w:tc>
        <w:tc>
          <w:tcPr>
            <w:tcW w:w="324" w:type="pct"/>
            <w:vAlign w:val="center"/>
          </w:tcPr>
          <w:p w14:paraId="7869C011">
            <w:pPr>
              <w:pStyle w:val="133"/>
              <w:rPr>
                <w:sz w:val="18"/>
                <w:szCs w:val="18"/>
              </w:rPr>
            </w:pPr>
            <w:r>
              <w:rPr>
                <w:rFonts w:hint="eastAsia"/>
                <w:sz w:val="18"/>
                <w:szCs w:val="18"/>
              </w:rPr>
              <w:t>-2634</w:t>
            </w:r>
          </w:p>
        </w:tc>
        <w:tc>
          <w:tcPr>
            <w:tcW w:w="362" w:type="pct"/>
            <w:noWrap/>
            <w:vAlign w:val="center"/>
          </w:tcPr>
          <w:p w14:paraId="0BFA42B7">
            <w:pPr>
              <w:pStyle w:val="133"/>
              <w:rPr>
                <w:sz w:val="18"/>
                <w:szCs w:val="18"/>
              </w:rPr>
            </w:pPr>
            <w:r>
              <w:rPr>
                <w:rFonts w:hint="eastAsia"/>
                <w:sz w:val="18"/>
                <w:szCs w:val="18"/>
              </w:rPr>
              <w:t>32</w:t>
            </w:r>
          </w:p>
        </w:tc>
        <w:tc>
          <w:tcPr>
            <w:tcW w:w="359" w:type="pct"/>
            <w:noWrap/>
            <w:vAlign w:val="center"/>
          </w:tcPr>
          <w:p w14:paraId="1ADE27BF">
            <w:pPr>
              <w:pStyle w:val="133"/>
              <w:rPr>
                <w:sz w:val="18"/>
                <w:szCs w:val="18"/>
              </w:rPr>
            </w:pPr>
            <w:r>
              <w:rPr>
                <w:rFonts w:hint="eastAsia"/>
                <w:sz w:val="18"/>
                <w:szCs w:val="18"/>
              </w:rPr>
              <w:t>2</w:t>
            </w:r>
          </w:p>
        </w:tc>
        <w:tc>
          <w:tcPr>
            <w:tcW w:w="361" w:type="pct"/>
            <w:noWrap/>
            <w:vAlign w:val="center"/>
          </w:tcPr>
          <w:p w14:paraId="57A785E1">
            <w:pPr>
              <w:pStyle w:val="133"/>
              <w:rPr>
                <w:sz w:val="18"/>
                <w:szCs w:val="18"/>
              </w:rPr>
            </w:pPr>
            <w:r>
              <w:rPr>
                <w:rFonts w:hint="eastAsia"/>
                <w:sz w:val="18"/>
                <w:szCs w:val="18"/>
              </w:rPr>
              <w:t>130</w:t>
            </w:r>
          </w:p>
        </w:tc>
        <w:tc>
          <w:tcPr>
            <w:tcW w:w="329" w:type="pct"/>
            <w:vAlign w:val="center"/>
          </w:tcPr>
          <w:p w14:paraId="50C7EB1E">
            <w:pPr>
              <w:pStyle w:val="133"/>
              <w:rPr>
                <w:sz w:val="18"/>
                <w:szCs w:val="18"/>
              </w:rPr>
            </w:pPr>
            <w:r>
              <w:rPr>
                <w:rFonts w:hint="eastAsia"/>
                <w:sz w:val="18"/>
                <w:szCs w:val="18"/>
              </w:rPr>
              <w:t>85000</w:t>
            </w:r>
          </w:p>
        </w:tc>
        <w:tc>
          <w:tcPr>
            <w:tcW w:w="254" w:type="pct"/>
            <w:vAlign w:val="center"/>
          </w:tcPr>
          <w:p w14:paraId="2093CAB2">
            <w:pPr>
              <w:pStyle w:val="133"/>
              <w:rPr>
                <w:sz w:val="18"/>
                <w:szCs w:val="18"/>
              </w:rPr>
            </w:pPr>
            <w:r>
              <w:rPr>
                <w:sz w:val="18"/>
                <w:szCs w:val="18"/>
              </w:rPr>
              <w:t>4.966</w:t>
            </w:r>
          </w:p>
        </w:tc>
        <w:tc>
          <w:tcPr>
            <w:tcW w:w="254" w:type="pct"/>
            <w:vAlign w:val="center"/>
          </w:tcPr>
          <w:p w14:paraId="60D3DE9C">
            <w:pPr>
              <w:pStyle w:val="133"/>
              <w:rPr>
                <w:sz w:val="18"/>
                <w:szCs w:val="18"/>
              </w:rPr>
            </w:pPr>
            <w:r>
              <w:rPr>
                <w:sz w:val="18"/>
                <w:szCs w:val="18"/>
              </w:rPr>
              <w:t>0.6579</w:t>
            </w:r>
          </w:p>
        </w:tc>
        <w:tc>
          <w:tcPr>
            <w:tcW w:w="254" w:type="pct"/>
            <w:noWrap/>
            <w:vAlign w:val="center"/>
          </w:tcPr>
          <w:p w14:paraId="3B0FFF9B">
            <w:pPr>
              <w:pStyle w:val="133"/>
              <w:rPr>
                <w:sz w:val="18"/>
                <w:szCs w:val="18"/>
              </w:rPr>
            </w:pPr>
            <w:r>
              <w:rPr>
                <w:rFonts w:hint="eastAsia"/>
                <w:sz w:val="18"/>
                <w:szCs w:val="18"/>
              </w:rPr>
              <w:t>1.463</w:t>
            </w:r>
          </w:p>
        </w:tc>
        <w:tc>
          <w:tcPr>
            <w:tcW w:w="254" w:type="pct"/>
            <w:noWrap/>
            <w:vAlign w:val="center"/>
          </w:tcPr>
          <w:p w14:paraId="6FCDBD97">
            <w:pPr>
              <w:pStyle w:val="133"/>
              <w:rPr>
                <w:sz w:val="18"/>
                <w:szCs w:val="18"/>
              </w:rPr>
            </w:pPr>
            <w:r>
              <w:rPr>
                <w:rFonts w:hint="eastAsia"/>
                <w:sz w:val="18"/>
                <w:szCs w:val="18"/>
              </w:rPr>
              <w:t>0.7315</w:t>
            </w:r>
          </w:p>
        </w:tc>
        <w:tc>
          <w:tcPr>
            <w:tcW w:w="254" w:type="pct"/>
            <w:vAlign w:val="center"/>
          </w:tcPr>
          <w:p w14:paraId="42EF335B">
            <w:pPr>
              <w:pStyle w:val="133"/>
              <w:rPr>
                <w:sz w:val="18"/>
                <w:szCs w:val="18"/>
              </w:rPr>
            </w:pPr>
          </w:p>
        </w:tc>
        <w:tc>
          <w:tcPr>
            <w:tcW w:w="254" w:type="pct"/>
            <w:vAlign w:val="center"/>
          </w:tcPr>
          <w:p w14:paraId="6D91FA4E">
            <w:pPr>
              <w:pStyle w:val="133"/>
              <w:rPr>
                <w:sz w:val="18"/>
                <w:szCs w:val="18"/>
              </w:rPr>
            </w:pPr>
          </w:p>
        </w:tc>
        <w:tc>
          <w:tcPr>
            <w:tcW w:w="254" w:type="pct"/>
            <w:vAlign w:val="center"/>
          </w:tcPr>
          <w:p w14:paraId="143C70C9">
            <w:pPr>
              <w:pStyle w:val="133"/>
              <w:rPr>
                <w:sz w:val="18"/>
                <w:szCs w:val="18"/>
              </w:rPr>
            </w:pPr>
          </w:p>
        </w:tc>
        <w:tc>
          <w:tcPr>
            <w:tcW w:w="251" w:type="pct"/>
            <w:vAlign w:val="center"/>
          </w:tcPr>
          <w:p w14:paraId="6DBF789A">
            <w:pPr>
              <w:pStyle w:val="133"/>
              <w:rPr>
                <w:sz w:val="18"/>
                <w:szCs w:val="18"/>
              </w:rPr>
            </w:pPr>
          </w:p>
        </w:tc>
      </w:tr>
      <w:tr w14:paraId="48B79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5FFC2C2B">
            <w:pPr>
              <w:pStyle w:val="133"/>
              <w:rPr>
                <w:sz w:val="18"/>
                <w:szCs w:val="18"/>
              </w:rPr>
            </w:pPr>
            <w:r>
              <w:rPr>
                <w:rFonts w:hint="eastAsia"/>
                <w:sz w:val="18"/>
                <w:szCs w:val="18"/>
              </w:rPr>
              <w:t>32</w:t>
            </w:r>
          </w:p>
        </w:tc>
        <w:tc>
          <w:tcPr>
            <w:tcW w:w="671" w:type="pct"/>
            <w:noWrap/>
            <w:vAlign w:val="center"/>
          </w:tcPr>
          <w:p w14:paraId="6837650E">
            <w:pPr>
              <w:pStyle w:val="133"/>
              <w:rPr>
                <w:sz w:val="18"/>
                <w:szCs w:val="18"/>
              </w:rPr>
            </w:pPr>
            <w:r>
              <w:rPr>
                <w:rFonts w:hint="eastAsia"/>
                <w:sz w:val="18"/>
                <w:szCs w:val="18"/>
              </w:rPr>
              <w:t>在建湘晟4#烟囱</w:t>
            </w:r>
          </w:p>
        </w:tc>
        <w:tc>
          <w:tcPr>
            <w:tcW w:w="324" w:type="pct"/>
            <w:vAlign w:val="center"/>
          </w:tcPr>
          <w:p w14:paraId="302CB875">
            <w:pPr>
              <w:pStyle w:val="133"/>
              <w:rPr>
                <w:sz w:val="18"/>
                <w:szCs w:val="18"/>
              </w:rPr>
            </w:pPr>
            <w:r>
              <w:rPr>
                <w:rFonts w:hint="eastAsia"/>
                <w:sz w:val="18"/>
                <w:szCs w:val="18"/>
              </w:rPr>
              <w:t>1081</w:t>
            </w:r>
          </w:p>
        </w:tc>
        <w:tc>
          <w:tcPr>
            <w:tcW w:w="324" w:type="pct"/>
            <w:vAlign w:val="center"/>
          </w:tcPr>
          <w:p w14:paraId="3EAD2956">
            <w:pPr>
              <w:pStyle w:val="133"/>
              <w:rPr>
                <w:sz w:val="18"/>
                <w:szCs w:val="18"/>
              </w:rPr>
            </w:pPr>
            <w:r>
              <w:rPr>
                <w:rFonts w:hint="eastAsia"/>
                <w:sz w:val="18"/>
                <w:szCs w:val="18"/>
              </w:rPr>
              <w:t>-2634</w:t>
            </w:r>
          </w:p>
        </w:tc>
        <w:tc>
          <w:tcPr>
            <w:tcW w:w="362" w:type="pct"/>
            <w:noWrap/>
            <w:vAlign w:val="center"/>
          </w:tcPr>
          <w:p w14:paraId="14179100">
            <w:pPr>
              <w:pStyle w:val="133"/>
              <w:rPr>
                <w:sz w:val="18"/>
                <w:szCs w:val="18"/>
              </w:rPr>
            </w:pPr>
            <w:r>
              <w:rPr>
                <w:rFonts w:hint="eastAsia"/>
                <w:sz w:val="18"/>
                <w:szCs w:val="18"/>
              </w:rPr>
              <w:t>15</w:t>
            </w:r>
          </w:p>
        </w:tc>
        <w:tc>
          <w:tcPr>
            <w:tcW w:w="359" w:type="pct"/>
            <w:noWrap/>
            <w:vAlign w:val="center"/>
          </w:tcPr>
          <w:p w14:paraId="67226EC9">
            <w:pPr>
              <w:pStyle w:val="133"/>
              <w:rPr>
                <w:sz w:val="18"/>
                <w:szCs w:val="18"/>
              </w:rPr>
            </w:pPr>
            <w:r>
              <w:rPr>
                <w:rFonts w:hint="eastAsia"/>
                <w:sz w:val="18"/>
                <w:szCs w:val="18"/>
              </w:rPr>
              <w:t>0.8</w:t>
            </w:r>
          </w:p>
        </w:tc>
        <w:tc>
          <w:tcPr>
            <w:tcW w:w="361" w:type="pct"/>
            <w:noWrap/>
            <w:vAlign w:val="center"/>
          </w:tcPr>
          <w:p w14:paraId="2F01014B">
            <w:pPr>
              <w:pStyle w:val="133"/>
              <w:rPr>
                <w:sz w:val="18"/>
                <w:szCs w:val="18"/>
              </w:rPr>
            </w:pPr>
            <w:r>
              <w:rPr>
                <w:rFonts w:hint="eastAsia"/>
                <w:sz w:val="18"/>
                <w:szCs w:val="18"/>
              </w:rPr>
              <w:t>130</w:t>
            </w:r>
          </w:p>
        </w:tc>
        <w:tc>
          <w:tcPr>
            <w:tcW w:w="329" w:type="pct"/>
            <w:vAlign w:val="center"/>
          </w:tcPr>
          <w:p w14:paraId="549B5FC7">
            <w:pPr>
              <w:pStyle w:val="133"/>
              <w:rPr>
                <w:sz w:val="18"/>
                <w:szCs w:val="18"/>
              </w:rPr>
            </w:pPr>
            <w:r>
              <w:rPr>
                <w:rFonts w:hint="eastAsia"/>
                <w:sz w:val="18"/>
                <w:szCs w:val="18"/>
              </w:rPr>
              <w:t>5705</w:t>
            </w:r>
          </w:p>
        </w:tc>
        <w:tc>
          <w:tcPr>
            <w:tcW w:w="254" w:type="pct"/>
            <w:vAlign w:val="center"/>
          </w:tcPr>
          <w:p w14:paraId="67B644B6">
            <w:pPr>
              <w:pStyle w:val="133"/>
              <w:rPr>
                <w:sz w:val="18"/>
                <w:szCs w:val="18"/>
              </w:rPr>
            </w:pPr>
            <w:r>
              <w:rPr>
                <w:sz w:val="18"/>
                <w:szCs w:val="18"/>
              </w:rPr>
              <w:t>0.006</w:t>
            </w:r>
          </w:p>
        </w:tc>
        <w:tc>
          <w:tcPr>
            <w:tcW w:w="254" w:type="pct"/>
            <w:vAlign w:val="center"/>
          </w:tcPr>
          <w:p w14:paraId="5676D7C7">
            <w:pPr>
              <w:pStyle w:val="133"/>
              <w:rPr>
                <w:sz w:val="18"/>
                <w:szCs w:val="18"/>
              </w:rPr>
            </w:pPr>
            <w:r>
              <w:rPr>
                <w:sz w:val="18"/>
                <w:szCs w:val="18"/>
              </w:rPr>
              <w:t>0.18</w:t>
            </w:r>
          </w:p>
        </w:tc>
        <w:tc>
          <w:tcPr>
            <w:tcW w:w="254" w:type="pct"/>
            <w:noWrap/>
            <w:vAlign w:val="center"/>
          </w:tcPr>
          <w:p w14:paraId="2840C915">
            <w:pPr>
              <w:pStyle w:val="133"/>
              <w:rPr>
                <w:sz w:val="18"/>
                <w:szCs w:val="18"/>
              </w:rPr>
            </w:pPr>
            <w:r>
              <w:rPr>
                <w:rFonts w:hint="eastAsia"/>
                <w:sz w:val="18"/>
                <w:szCs w:val="18"/>
              </w:rPr>
              <w:t>0.046</w:t>
            </w:r>
          </w:p>
        </w:tc>
        <w:tc>
          <w:tcPr>
            <w:tcW w:w="254" w:type="pct"/>
            <w:noWrap/>
            <w:vAlign w:val="center"/>
          </w:tcPr>
          <w:p w14:paraId="586EF1A9">
            <w:pPr>
              <w:pStyle w:val="133"/>
              <w:rPr>
                <w:sz w:val="18"/>
                <w:szCs w:val="18"/>
              </w:rPr>
            </w:pPr>
            <w:r>
              <w:rPr>
                <w:rFonts w:hint="eastAsia"/>
                <w:sz w:val="18"/>
                <w:szCs w:val="18"/>
              </w:rPr>
              <w:t>0.023</w:t>
            </w:r>
          </w:p>
        </w:tc>
        <w:tc>
          <w:tcPr>
            <w:tcW w:w="254" w:type="pct"/>
            <w:vAlign w:val="center"/>
          </w:tcPr>
          <w:p w14:paraId="3339C1BA">
            <w:pPr>
              <w:pStyle w:val="133"/>
              <w:rPr>
                <w:sz w:val="18"/>
                <w:szCs w:val="18"/>
              </w:rPr>
            </w:pPr>
          </w:p>
        </w:tc>
        <w:tc>
          <w:tcPr>
            <w:tcW w:w="254" w:type="pct"/>
            <w:vAlign w:val="center"/>
          </w:tcPr>
          <w:p w14:paraId="49C9D489">
            <w:pPr>
              <w:pStyle w:val="133"/>
              <w:rPr>
                <w:sz w:val="18"/>
                <w:szCs w:val="18"/>
              </w:rPr>
            </w:pPr>
          </w:p>
        </w:tc>
        <w:tc>
          <w:tcPr>
            <w:tcW w:w="254" w:type="pct"/>
            <w:vAlign w:val="center"/>
          </w:tcPr>
          <w:p w14:paraId="5EEB6F0C">
            <w:pPr>
              <w:pStyle w:val="133"/>
              <w:rPr>
                <w:sz w:val="18"/>
                <w:szCs w:val="18"/>
              </w:rPr>
            </w:pPr>
          </w:p>
        </w:tc>
        <w:tc>
          <w:tcPr>
            <w:tcW w:w="251" w:type="pct"/>
            <w:vAlign w:val="center"/>
          </w:tcPr>
          <w:p w14:paraId="0910130D">
            <w:pPr>
              <w:pStyle w:val="133"/>
              <w:rPr>
                <w:sz w:val="18"/>
                <w:szCs w:val="18"/>
              </w:rPr>
            </w:pPr>
          </w:p>
        </w:tc>
      </w:tr>
      <w:tr w14:paraId="05370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474B9132">
            <w:pPr>
              <w:pStyle w:val="133"/>
              <w:rPr>
                <w:sz w:val="18"/>
                <w:szCs w:val="18"/>
              </w:rPr>
            </w:pPr>
            <w:r>
              <w:rPr>
                <w:rFonts w:hint="eastAsia"/>
                <w:sz w:val="18"/>
                <w:szCs w:val="18"/>
              </w:rPr>
              <w:t>33</w:t>
            </w:r>
          </w:p>
        </w:tc>
        <w:tc>
          <w:tcPr>
            <w:tcW w:w="671" w:type="pct"/>
            <w:noWrap/>
            <w:vAlign w:val="center"/>
          </w:tcPr>
          <w:p w14:paraId="390E078D">
            <w:pPr>
              <w:pStyle w:val="133"/>
              <w:rPr>
                <w:sz w:val="18"/>
                <w:szCs w:val="18"/>
              </w:rPr>
            </w:pPr>
            <w:r>
              <w:rPr>
                <w:rFonts w:hint="eastAsia"/>
                <w:sz w:val="18"/>
                <w:szCs w:val="18"/>
              </w:rPr>
              <w:t>在建湘晟5#烟囱</w:t>
            </w:r>
          </w:p>
        </w:tc>
        <w:tc>
          <w:tcPr>
            <w:tcW w:w="324" w:type="pct"/>
            <w:vAlign w:val="center"/>
          </w:tcPr>
          <w:p w14:paraId="6A4484A3">
            <w:pPr>
              <w:pStyle w:val="133"/>
              <w:rPr>
                <w:sz w:val="18"/>
                <w:szCs w:val="18"/>
              </w:rPr>
            </w:pPr>
            <w:r>
              <w:rPr>
                <w:rFonts w:hint="eastAsia"/>
                <w:sz w:val="18"/>
                <w:szCs w:val="18"/>
              </w:rPr>
              <w:t>1163</w:t>
            </w:r>
          </w:p>
        </w:tc>
        <w:tc>
          <w:tcPr>
            <w:tcW w:w="324" w:type="pct"/>
            <w:vAlign w:val="center"/>
          </w:tcPr>
          <w:p w14:paraId="61A147F1">
            <w:pPr>
              <w:pStyle w:val="133"/>
              <w:rPr>
                <w:sz w:val="18"/>
                <w:szCs w:val="18"/>
              </w:rPr>
            </w:pPr>
            <w:r>
              <w:rPr>
                <w:rFonts w:hint="eastAsia"/>
                <w:sz w:val="18"/>
                <w:szCs w:val="18"/>
              </w:rPr>
              <w:t>-2412</w:t>
            </w:r>
          </w:p>
        </w:tc>
        <w:tc>
          <w:tcPr>
            <w:tcW w:w="362" w:type="pct"/>
            <w:noWrap/>
            <w:vAlign w:val="center"/>
          </w:tcPr>
          <w:p w14:paraId="0351C385">
            <w:pPr>
              <w:pStyle w:val="133"/>
              <w:rPr>
                <w:sz w:val="18"/>
                <w:szCs w:val="18"/>
              </w:rPr>
            </w:pPr>
            <w:r>
              <w:rPr>
                <w:rFonts w:hint="eastAsia"/>
                <w:sz w:val="18"/>
                <w:szCs w:val="18"/>
              </w:rPr>
              <w:t>20</w:t>
            </w:r>
          </w:p>
        </w:tc>
        <w:tc>
          <w:tcPr>
            <w:tcW w:w="359" w:type="pct"/>
            <w:noWrap/>
            <w:vAlign w:val="center"/>
          </w:tcPr>
          <w:p w14:paraId="72C6660F">
            <w:pPr>
              <w:pStyle w:val="133"/>
              <w:rPr>
                <w:sz w:val="18"/>
                <w:szCs w:val="18"/>
              </w:rPr>
            </w:pPr>
            <w:r>
              <w:rPr>
                <w:rFonts w:hint="eastAsia"/>
                <w:sz w:val="18"/>
                <w:szCs w:val="18"/>
              </w:rPr>
              <w:t>0.5</w:t>
            </w:r>
          </w:p>
        </w:tc>
        <w:tc>
          <w:tcPr>
            <w:tcW w:w="361" w:type="pct"/>
            <w:noWrap/>
            <w:vAlign w:val="center"/>
          </w:tcPr>
          <w:p w14:paraId="404635C1">
            <w:pPr>
              <w:pStyle w:val="133"/>
              <w:rPr>
                <w:sz w:val="18"/>
                <w:szCs w:val="18"/>
              </w:rPr>
            </w:pPr>
            <w:r>
              <w:rPr>
                <w:rFonts w:hint="eastAsia"/>
                <w:sz w:val="18"/>
                <w:szCs w:val="18"/>
              </w:rPr>
              <w:t>20</w:t>
            </w:r>
          </w:p>
        </w:tc>
        <w:tc>
          <w:tcPr>
            <w:tcW w:w="329" w:type="pct"/>
            <w:vAlign w:val="center"/>
          </w:tcPr>
          <w:p w14:paraId="6088F1AC">
            <w:pPr>
              <w:pStyle w:val="133"/>
              <w:rPr>
                <w:sz w:val="18"/>
                <w:szCs w:val="18"/>
              </w:rPr>
            </w:pPr>
            <w:r>
              <w:rPr>
                <w:rFonts w:hint="eastAsia"/>
                <w:sz w:val="18"/>
                <w:szCs w:val="18"/>
              </w:rPr>
              <w:t>1500</w:t>
            </w:r>
          </w:p>
        </w:tc>
        <w:tc>
          <w:tcPr>
            <w:tcW w:w="254" w:type="pct"/>
            <w:vAlign w:val="center"/>
          </w:tcPr>
          <w:p w14:paraId="00AC350C">
            <w:pPr>
              <w:pStyle w:val="133"/>
              <w:rPr>
                <w:sz w:val="18"/>
                <w:szCs w:val="18"/>
              </w:rPr>
            </w:pPr>
          </w:p>
        </w:tc>
        <w:tc>
          <w:tcPr>
            <w:tcW w:w="254" w:type="pct"/>
            <w:vAlign w:val="center"/>
          </w:tcPr>
          <w:p w14:paraId="697BAD80">
            <w:pPr>
              <w:pStyle w:val="133"/>
              <w:rPr>
                <w:sz w:val="18"/>
                <w:szCs w:val="18"/>
              </w:rPr>
            </w:pPr>
          </w:p>
        </w:tc>
        <w:tc>
          <w:tcPr>
            <w:tcW w:w="254" w:type="pct"/>
            <w:noWrap/>
            <w:vAlign w:val="center"/>
          </w:tcPr>
          <w:p w14:paraId="48BC04C8">
            <w:pPr>
              <w:pStyle w:val="133"/>
              <w:rPr>
                <w:sz w:val="18"/>
                <w:szCs w:val="18"/>
              </w:rPr>
            </w:pPr>
            <w:r>
              <w:rPr>
                <w:rFonts w:hint="eastAsia"/>
                <w:sz w:val="18"/>
                <w:szCs w:val="18"/>
              </w:rPr>
              <w:t>0.002</w:t>
            </w:r>
          </w:p>
        </w:tc>
        <w:tc>
          <w:tcPr>
            <w:tcW w:w="254" w:type="pct"/>
            <w:noWrap/>
            <w:vAlign w:val="center"/>
          </w:tcPr>
          <w:p w14:paraId="70104691">
            <w:pPr>
              <w:pStyle w:val="133"/>
              <w:rPr>
                <w:sz w:val="18"/>
                <w:szCs w:val="18"/>
              </w:rPr>
            </w:pPr>
            <w:r>
              <w:rPr>
                <w:rFonts w:hint="eastAsia"/>
                <w:sz w:val="18"/>
                <w:szCs w:val="18"/>
              </w:rPr>
              <w:t>0.001</w:t>
            </w:r>
          </w:p>
        </w:tc>
        <w:tc>
          <w:tcPr>
            <w:tcW w:w="254" w:type="pct"/>
            <w:vAlign w:val="center"/>
          </w:tcPr>
          <w:p w14:paraId="3B7027AE">
            <w:pPr>
              <w:pStyle w:val="133"/>
              <w:rPr>
                <w:sz w:val="18"/>
                <w:szCs w:val="18"/>
              </w:rPr>
            </w:pPr>
          </w:p>
        </w:tc>
        <w:tc>
          <w:tcPr>
            <w:tcW w:w="254" w:type="pct"/>
            <w:vAlign w:val="center"/>
          </w:tcPr>
          <w:p w14:paraId="58AF138E">
            <w:pPr>
              <w:pStyle w:val="133"/>
              <w:rPr>
                <w:sz w:val="18"/>
                <w:szCs w:val="18"/>
              </w:rPr>
            </w:pPr>
          </w:p>
        </w:tc>
        <w:tc>
          <w:tcPr>
            <w:tcW w:w="254" w:type="pct"/>
            <w:vAlign w:val="center"/>
          </w:tcPr>
          <w:p w14:paraId="4F8E0427">
            <w:pPr>
              <w:pStyle w:val="133"/>
              <w:rPr>
                <w:sz w:val="18"/>
                <w:szCs w:val="18"/>
              </w:rPr>
            </w:pPr>
          </w:p>
        </w:tc>
        <w:tc>
          <w:tcPr>
            <w:tcW w:w="251" w:type="pct"/>
            <w:vAlign w:val="center"/>
          </w:tcPr>
          <w:p w14:paraId="164236A5">
            <w:pPr>
              <w:pStyle w:val="133"/>
              <w:rPr>
                <w:sz w:val="18"/>
                <w:szCs w:val="18"/>
              </w:rPr>
            </w:pPr>
          </w:p>
        </w:tc>
      </w:tr>
      <w:tr w14:paraId="65494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2C61B22C">
            <w:pPr>
              <w:pStyle w:val="133"/>
              <w:rPr>
                <w:sz w:val="18"/>
                <w:szCs w:val="18"/>
              </w:rPr>
            </w:pPr>
            <w:r>
              <w:rPr>
                <w:rFonts w:hint="eastAsia"/>
                <w:sz w:val="18"/>
                <w:szCs w:val="18"/>
              </w:rPr>
              <w:t>34</w:t>
            </w:r>
          </w:p>
        </w:tc>
        <w:tc>
          <w:tcPr>
            <w:tcW w:w="671" w:type="pct"/>
            <w:noWrap/>
            <w:vAlign w:val="center"/>
          </w:tcPr>
          <w:p w14:paraId="3AFD16A7">
            <w:pPr>
              <w:pStyle w:val="133"/>
              <w:rPr>
                <w:sz w:val="18"/>
                <w:szCs w:val="18"/>
              </w:rPr>
            </w:pPr>
            <w:r>
              <w:rPr>
                <w:rFonts w:hint="eastAsia"/>
                <w:sz w:val="18"/>
                <w:szCs w:val="18"/>
              </w:rPr>
              <w:t>在建湘晟6#烟囱</w:t>
            </w:r>
          </w:p>
        </w:tc>
        <w:tc>
          <w:tcPr>
            <w:tcW w:w="324" w:type="pct"/>
            <w:vAlign w:val="center"/>
          </w:tcPr>
          <w:p w14:paraId="1A5AE840">
            <w:pPr>
              <w:pStyle w:val="133"/>
              <w:rPr>
                <w:sz w:val="18"/>
                <w:szCs w:val="18"/>
              </w:rPr>
            </w:pPr>
            <w:r>
              <w:rPr>
                <w:rFonts w:hint="eastAsia"/>
                <w:sz w:val="18"/>
                <w:szCs w:val="18"/>
              </w:rPr>
              <w:t>1163</w:t>
            </w:r>
          </w:p>
        </w:tc>
        <w:tc>
          <w:tcPr>
            <w:tcW w:w="324" w:type="pct"/>
            <w:vAlign w:val="center"/>
          </w:tcPr>
          <w:p w14:paraId="2C8CA216">
            <w:pPr>
              <w:pStyle w:val="133"/>
              <w:rPr>
                <w:sz w:val="18"/>
                <w:szCs w:val="18"/>
              </w:rPr>
            </w:pPr>
            <w:r>
              <w:rPr>
                <w:rFonts w:hint="eastAsia"/>
                <w:sz w:val="18"/>
                <w:szCs w:val="18"/>
              </w:rPr>
              <w:t>-2634</w:t>
            </w:r>
          </w:p>
        </w:tc>
        <w:tc>
          <w:tcPr>
            <w:tcW w:w="362" w:type="pct"/>
            <w:noWrap/>
            <w:vAlign w:val="center"/>
          </w:tcPr>
          <w:p w14:paraId="2A3300BB">
            <w:pPr>
              <w:pStyle w:val="133"/>
              <w:rPr>
                <w:sz w:val="18"/>
                <w:szCs w:val="18"/>
              </w:rPr>
            </w:pPr>
            <w:r>
              <w:rPr>
                <w:rFonts w:hint="eastAsia"/>
                <w:sz w:val="18"/>
                <w:szCs w:val="18"/>
              </w:rPr>
              <w:t>20</w:t>
            </w:r>
          </w:p>
        </w:tc>
        <w:tc>
          <w:tcPr>
            <w:tcW w:w="359" w:type="pct"/>
            <w:noWrap/>
            <w:vAlign w:val="center"/>
          </w:tcPr>
          <w:p w14:paraId="01AFDE81">
            <w:pPr>
              <w:pStyle w:val="133"/>
              <w:rPr>
                <w:sz w:val="18"/>
                <w:szCs w:val="18"/>
              </w:rPr>
            </w:pPr>
            <w:r>
              <w:rPr>
                <w:rFonts w:hint="eastAsia"/>
                <w:sz w:val="18"/>
                <w:szCs w:val="18"/>
              </w:rPr>
              <w:t>2</w:t>
            </w:r>
          </w:p>
        </w:tc>
        <w:tc>
          <w:tcPr>
            <w:tcW w:w="361" w:type="pct"/>
            <w:noWrap/>
            <w:vAlign w:val="center"/>
          </w:tcPr>
          <w:p w14:paraId="52F7A2CD">
            <w:pPr>
              <w:pStyle w:val="133"/>
              <w:rPr>
                <w:sz w:val="18"/>
                <w:szCs w:val="18"/>
              </w:rPr>
            </w:pPr>
            <w:r>
              <w:rPr>
                <w:rFonts w:hint="eastAsia"/>
                <w:sz w:val="18"/>
                <w:szCs w:val="18"/>
              </w:rPr>
              <w:t>250</w:t>
            </w:r>
          </w:p>
        </w:tc>
        <w:tc>
          <w:tcPr>
            <w:tcW w:w="329" w:type="pct"/>
            <w:vAlign w:val="center"/>
          </w:tcPr>
          <w:p w14:paraId="012D6533">
            <w:pPr>
              <w:pStyle w:val="133"/>
              <w:rPr>
                <w:sz w:val="18"/>
                <w:szCs w:val="18"/>
              </w:rPr>
            </w:pPr>
            <w:r>
              <w:rPr>
                <w:rFonts w:hint="eastAsia"/>
                <w:sz w:val="18"/>
                <w:szCs w:val="18"/>
              </w:rPr>
              <w:t>137140</w:t>
            </w:r>
          </w:p>
        </w:tc>
        <w:tc>
          <w:tcPr>
            <w:tcW w:w="254" w:type="pct"/>
            <w:vAlign w:val="center"/>
          </w:tcPr>
          <w:p w14:paraId="45900E06">
            <w:pPr>
              <w:pStyle w:val="133"/>
              <w:rPr>
                <w:sz w:val="18"/>
                <w:szCs w:val="18"/>
              </w:rPr>
            </w:pPr>
          </w:p>
        </w:tc>
        <w:tc>
          <w:tcPr>
            <w:tcW w:w="254" w:type="pct"/>
            <w:vAlign w:val="center"/>
          </w:tcPr>
          <w:p w14:paraId="4276D45F">
            <w:pPr>
              <w:pStyle w:val="133"/>
              <w:rPr>
                <w:sz w:val="18"/>
                <w:szCs w:val="18"/>
              </w:rPr>
            </w:pPr>
          </w:p>
        </w:tc>
        <w:tc>
          <w:tcPr>
            <w:tcW w:w="254" w:type="pct"/>
            <w:noWrap/>
            <w:vAlign w:val="center"/>
          </w:tcPr>
          <w:p w14:paraId="63BE1DCC">
            <w:pPr>
              <w:pStyle w:val="133"/>
              <w:rPr>
                <w:sz w:val="18"/>
                <w:szCs w:val="18"/>
              </w:rPr>
            </w:pPr>
            <w:r>
              <w:rPr>
                <w:rFonts w:hint="eastAsia"/>
                <w:sz w:val="18"/>
                <w:szCs w:val="18"/>
              </w:rPr>
              <w:t>1.107</w:t>
            </w:r>
          </w:p>
        </w:tc>
        <w:tc>
          <w:tcPr>
            <w:tcW w:w="254" w:type="pct"/>
            <w:noWrap/>
            <w:vAlign w:val="center"/>
          </w:tcPr>
          <w:p w14:paraId="0F89FA6C">
            <w:pPr>
              <w:pStyle w:val="133"/>
              <w:rPr>
                <w:sz w:val="18"/>
                <w:szCs w:val="18"/>
              </w:rPr>
            </w:pPr>
            <w:r>
              <w:rPr>
                <w:rFonts w:hint="eastAsia"/>
                <w:sz w:val="18"/>
                <w:szCs w:val="18"/>
              </w:rPr>
              <w:t>0.5535</w:t>
            </w:r>
          </w:p>
        </w:tc>
        <w:tc>
          <w:tcPr>
            <w:tcW w:w="254" w:type="pct"/>
            <w:vAlign w:val="center"/>
          </w:tcPr>
          <w:p w14:paraId="3B58B682">
            <w:pPr>
              <w:pStyle w:val="133"/>
              <w:rPr>
                <w:sz w:val="18"/>
                <w:szCs w:val="18"/>
              </w:rPr>
            </w:pPr>
          </w:p>
        </w:tc>
        <w:tc>
          <w:tcPr>
            <w:tcW w:w="254" w:type="pct"/>
            <w:vAlign w:val="center"/>
          </w:tcPr>
          <w:p w14:paraId="555E78AF">
            <w:pPr>
              <w:pStyle w:val="133"/>
              <w:rPr>
                <w:sz w:val="18"/>
                <w:szCs w:val="18"/>
              </w:rPr>
            </w:pPr>
          </w:p>
        </w:tc>
        <w:tc>
          <w:tcPr>
            <w:tcW w:w="254" w:type="pct"/>
            <w:vAlign w:val="center"/>
          </w:tcPr>
          <w:p w14:paraId="2448BB26">
            <w:pPr>
              <w:pStyle w:val="133"/>
              <w:rPr>
                <w:sz w:val="18"/>
                <w:szCs w:val="18"/>
              </w:rPr>
            </w:pPr>
          </w:p>
        </w:tc>
        <w:tc>
          <w:tcPr>
            <w:tcW w:w="251" w:type="pct"/>
            <w:vAlign w:val="center"/>
          </w:tcPr>
          <w:p w14:paraId="15407806">
            <w:pPr>
              <w:pStyle w:val="133"/>
              <w:rPr>
                <w:sz w:val="18"/>
                <w:szCs w:val="18"/>
              </w:rPr>
            </w:pPr>
          </w:p>
        </w:tc>
      </w:tr>
      <w:tr w14:paraId="2DCF2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467B2F40">
            <w:pPr>
              <w:pStyle w:val="133"/>
              <w:rPr>
                <w:sz w:val="18"/>
                <w:szCs w:val="18"/>
              </w:rPr>
            </w:pPr>
            <w:r>
              <w:rPr>
                <w:rFonts w:hint="eastAsia"/>
                <w:sz w:val="18"/>
                <w:szCs w:val="18"/>
              </w:rPr>
              <w:t>35</w:t>
            </w:r>
          </w:p>
        </w:tc>
        <w:tc>
          <w:tcPr>
            <w:tcW w:w="671" w:type="pct"/>
            <w:noWrap/>
            <w:vAlign w:val="center"/>
          </w:tcPr>
          <w:p w14:paraId="7ED091B9">
            <w:pPr>
              <w:pStyle w:val="133"/>
              <w:rPr>
                <w:sz w:val="18"/>
                <w:szCs w:val="18"/>
              </w:rPr>
            </w:pPr>
            <w:r>
              <w:rPr>
                <w:rFonts w:hint="eastAsia"/>
                <w:sz w:val="18"/>
                <w:szCs w:val="18"/>
              </w:rPr>
              <w:t>在建湘晟7#烟囱</w:t>
            </w:r>
          </w:p>
        </w:tc>
        <w:tc>
          <w:tcPr>
            <w:tcW w:w="324" w:type="pct"/>
            <w:vAlign w:val="center"/>
          </w:tcPr>
          <w:p w14:paraId="2273607E">
            <w:pPr>
              <w:pStyle w:val="133"/>
              <w:rPr>
                <w:sz w:val="18"/>
                <w:szCs w:val="18"/>
              </w:rPr>
            </w:pPr>
            <w:r>
              <w:rPr>
                <w:rFonts w:hint="eastAsia"/>
                <w:sz w:val="18"/>
                <w:szCs w:val="18"/>
              </w:rPr>
              <w:t>1245</w:t>
            </w:r>
          </w:p>
        </w:tc>
        <w:tc>
          <w:tcPr>
            <w:tcW w:w="324" w:type="pct"/>
            <w:vAlign w:val="center"/>
          </w:tcPr>
          <w:p w14:paraId="3F498609">
            <w:pPr>
              <w:pStyle w:val="133"/>
              <w:rPr>
                <w:sz w:val="18"/>
                <w:szCs w:val="18"/>
              </w:rPr>
            </w:pPr>
            <w:r>
              <w:rPr>
                <w:rFonts w:hint="eastAsia"/>
                <w:sz w:val="18"/>
                <w:szCs w:val="18"/>
              </w:rPr>
              <w:t>-2634</w:t>
            </w:r>
          </w:p>
        </w:tc>
        <w:tc>
          <w:tcPr>
            <w:tcW w:w="362" w:type="pct"/>
            <w:noWrap/>
            <w:vAlign w:val="center"/>
          </w:tcPr>
          <w:p w14:paraId="02A7CCF5">
            <w:pPr>
              <w:pStyle w:val="133"/>
              <w:rPr>
                <w:sz w:val="18"/>
                <w:szCs w:val="18"/>
              </w:rPr>
            </w:pPr>
            <w:r>
              <w:rPr>
                <w:rFonts w:hint="eastAsia"/>
                <w:sz w:val="18"/>
                <w:szCs w:val="18"/>
              </w:rPr>
              <w:t>35</w:t>
            </w:r>
          </w:p>
        </w:tc>
        <w:tc>
          <w:tcPr>
            <w:tcW w:w="359" w:type="pct"/>
            <w:noWrap/>
            <w:vAlign w:val="center"/>
          </w:tcPr>
          <w:p w14:paraId="7A6E83A1">
            <w:pPr>
              <w:pStyle w:val="133"/>
              <w:rPr>
                <w:sz w:val="18"/>
                <w:szCs w:val="18"/>
              </w:rPr>
            </w:pPr>
            <w:r>
              <w:rPr>
                <w:rFonts w:hint="eastAsia"/>
                <w:sz w:val="18"/>
                <w:szCs w:val="18"/>
              </w:rPr>
              <w:t>1</w:t>
            </w:r>
          </w:p>
        </w:tc>
        <w:tc>
          <w:tcPr>
            <w:tcW w:w="361" w:type="pct"/>
            <w:noWrap/>
            <w:vAlign w:val="center"/>
          </w:tcPr>
          <w:p w14:paraId="7CBCB345">
            <w:pPr>
              <w:pStyle w:val="133"/>
              <w:rPr>
                <w:sz w:val="18"/>
                <w:szCs w:val="18"/>
              </w:rPr>
            </w:pPr>
            <w:r>
              <w:rPr>
                <w:rFonts w:hint="eastAsia"/>
                <w:sz w:val="18"/>
                <w:szCs w:val="18"/>
              </w:rPr>
              <w:t>130</w:t>
            </w:r>
          </w:p>
        </w:tc>
        <w:tc>
          <w:tcPr>
            <w:tcW w:w="329" w:type="pct"/>
            <w:vAlign w:val="center"/>
          </w:tcPr>
          <w:p w14:paraId="6E3651AE">
            <w:pPr>
              <w:pStyle w:val="133"/>
              <w:rPr>
                <w:sz w:val="18"/>
                <w:szCs w:val="18"/>
              </w:rPr>
            </w:pPr>
            <w:r>
              <w:rPr>
                <w:rFonts w:hint="eastAsia"/>
                <w:sz w:val="18"/>
                <w:szCs w:val="18"/>
              </w:rPr>
              <w:t>27000</w:t>
            </w:r>
          </w:p>
        </w:tc>
        <w:tc>
          <w:tcPr>
            <w:tcW w:w="254" w:type="pct"/>
            <w:vAlign w:val="center"/>
          </w:tcPr>
          <w:p w14:paraId="34E8648A">
            <w:pPr>
              <w:pStyle w:val="133"/>
              <w:rPr>
                <w:sz w:val="18"/>
                <w:szCs w:val="18"/>
              </w:rPr>
            </w:pPr>
          </w:p>
        </w:tc>
        <w:tc>
          <w:tcPr>
            <w:tcW w:w="254" w:type="pct"/>
            <w:vAlign w:val="center"/>
          </w:tcPr>
          <w:p w14:paraId="5265E45D">
            <w:pPr>
              <w:pStyle w:val="133"/>
              <w:rPr>
                <w:sz w:val="18"/>
                <w:szCs w:val="18"/>
              </w:rPr>
            </w:pPr>
          </w:p>
        </w:tc>
        <w:tc>
          <w:tcPr>
            <w:tcW w:w="254" w:type="pct"/>
            <w:noWrap/>
            <w:vAlign w:val="center"/>
          </w:tcPr>
          <w:p w14:paraId="29F6A2A5">
            <w:pPr>
              <w:pStyle w:val="133"/>
              <w:rPr>
                <w:sz w:val="18"/>
                <w:szCs w:val="18"/>
              </w:rPr>
            </w:pPr>
            <w:r>
              <w:rPr>
                <w:rFonts w:hint="eastAsia"/>
                <w:sz w:val="18"/>
                <w:szCs w:val="18"/>
              </w:rPr>
              <w:t>0.55</w:t>
            </w:r>
          </w:p>
        </w:tc>
        <w:tc>
          <w:tcPr>
            <w:tcW w:w="254" w:type="pct"/>
            <w:noWrap/>
            <w:vAlign w:val="center"/>
          </w:tcPr>
          <w:p w14:paraId="75CA6C21">
            <w:pPr>
              <w:pStyle w:val="133"/>
              <w:rPr>
                <w:sz w:val="18"/>
                <w:szCs w:val="18"/>
              </w:rPr>
            </w:pPr>
            <w:r>
              <w:rPr>
                <w:rFonts w:hint="eastAsia"/>
                <w:sz w:val="18"/>
                <w:szCs w:val="18"/>
              </w:rPr>
              <w:t>0.275</w:t>
            </w:r>
          </w:p>
        </w:tc>
        <w:tc>
          <w:tcPr>
            <w:tcW w:w="254" w:type="pct"/>
            <w:vAlign w:val="center"/>
          </w:tcPr>
          <w:p w14:paraId="71A3262C">
            <w:pPr>
              <w:pStyle w:val="133"/>
              <w:rPr>
                <w:sz w:val="18"/>
                <w:szCs w:val="18"/>
              </w:rPr>
            </w:pPr>
          </w:p>
        </w:tc>
        <w:tc>
          <w:tcPr>
            <w:tcW w:w="254" w:type="pct"/>
            <w:vAlign w:val="center"/>
          </w:tcPr>
          <w:p w14:paraId="1AFC4D50">
            <w:pPr>
              <w:pStyle w:val="133"/>
              <w:rPr>
                <w:sz w:val="18"/>
                <w:szCs w:val="18"/>
              </w:rPr>
            </w:pPr>
          </w:p>
        </w:tc>
        <w:tc>
          <w:tcPr>
            <w:tcW w:w="254" w:type="pct"/>
            <w:vAlign w:val="center"/>
          </w:tcPr>
          <w:p w14:paraId="5C2EBC1E">
            <w:pPr>
              <w:pStyle w:val="133"/>
              <w:rPr>
                <w:sz w:val="18"/>
                <w:szCs w:val="18"/>
              </w:rPr>
            </w:pPr>
          </w:p>
        </w:tc>
        <w:tc>
          <w:tcPr>
            <w:tcW w:w="251" w:type="pct"/>
            <w:vAlign w:val="center"/>
          </w:tcPr>
          <w:p w14:paraId="07F3C4BC">
            <w:pPr>
              <w:pStyle w:val="133"/>
              <w:rPr>
                <w:sz w:val="18"/>
                <w:szCs w:val="18"/>
              </w:rPr>
            </w:pPr>
          </w:p>
        </w:tc>
      </w:tr>
      <w:tr w14:paraId="38607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7E360D94">
            <w:pPr>
              <w:pStyle w:val="133"/>
              <w:rPr>
                <w:sz w:val="18"/>
                <w:szCs w:val="18"/>
              </w:rPr>
            </w:pPr>
            <w:r>
              <w:rPr>
                <w:rFonts w:hint="eastAsia"/>
                <w:sz w:val="18"/>
                <w:szCs w:val="18"/>
              </w:rPr>
              <w:t>36</w:t>
            </w:r>
          </w:p>
        </w:tc>
        <w:tc>
          <w:tcPr>
            <w:tcW w:w="671" w:type="pct"/>
            <w:noWrap/>
            <w:vAlign w:val="center"/>
          </w:tcPr>
          <w:p w14:paraId="7AB3E1DF">
            <w:pPr>
              <w:pStyle w:val="133"/>
              <w:rPr>
                <w:sz w:val="18"/>
                <w:szCs w:val="18"/>
              </w:rPr>
            </w:pPr>
            <w:r>
              <w:rPr>
                <w:rFonts w:hint="eastAsia"/>
                <w:sz w:val="18"/>
                <w:szCs w:val="18"/>
              </w:rPr>
              <w:t>在建湘晟8#烟囱</w:t>
            </w:r>
          </w:p>
        </w:tc>
        <w:tc>
          <w:tcPr>
            <w:tcW w:w="324" w:type="pct"/>
            <w:vAlign w:val="center"/>
          </w:tcPr>
          <w:p w14:paraId="61ED12A2">
            <w:pPr>
              <w:pStyle w:val="133"/>
              <w:rPr>
                <w:sz w:val="18"/>
                <w:szCs w:val="18"/>
              </w:rPr>
            </w:pPr>
            <w:r>
              <w:rPr>
                <w:rFonts w:hint="eastAsia"/>
                <w:sz w:val="18"/>
                <w:szCs w:val="18"/>
              </w:rPr>
              <w:t>1245</w:t>
            </w:r>
          </w:p>
        </w:tc>
        <w:tc>
          <w:tcPr>
            <w:tcW w:w="324" w:type="pct"/>
            <w:vAlign w:val="center"/>
          </w:tcPr>
          <w:p w14:paraId="5EF0BCF9">
            <w:pPr>
              <w:pStyle w:val="133"/>
              <w:rPr>
                <w:sz w:val="18"/>
                <w:szCs w:val="18"/>
              </w:rPr>
            </w:pPr>
            <w:r>
              <w:rPr>
                <w:rFonts w:hint="eastAsia"/>
                <w:sz w:val="18"/>
                <w:szCs w:val="18"/>
              </w:rPr>
              <w:t>-2634</w:t>
            </w:r>
          </w:p>
        </w:tc>
        <w:tc>
          <w:tcPr>
            <w:tcW w:w="362" w:type="pct"/>
            <w:noWrap/>
            <w:vAlign w:val="center"/>
          </w:tcPr>
          <w:p w14:paraId="548E7A6B">
            <w:pPr>
              <w:pStyle w:val="133"/>
              <w:rPr>
                <w:sz w:val="18"/>
                <w:szCs w:val="18"/>
              </w:rPr>
            </w:pPr>
            <w:r>
              <w:rPr>
                <w:rFonts w:hint="eastAsia"/>
                <w:sz w:val="18"/>
                <w:szCs w:val="18"/>
              </w:rPr>
              <w:t>35</w:t>
            </w:r>
          </w:p>
        </w:tc>
        <w:tc>
          <w:tcPr>
            <w:tcW w:w="359" w:type="pct"/>
            <w:noWrap/>
            <w:vAlign w:val="center"/>
          </w:tcPr>
          <w:p w14:paraId="78FB2C2A">
            <w:pPr>
              <w:pStyle w:val="133"/>
              <w:rPr>
                <w:sz w:val="18"/>
                <w:szCs w:val="18"/>
              </w:rPr>
            </w:pPr>
            <w:r>
              <w:rPr>
                <w:rFonts w:hint="eastAsia"/>
                <w:sz w:val="18"/>
                <w:szCs w:val="18"/>
              </w:rPr>
              <w:t>0.8</w:t>
            </w:r>
          </w:p>
        </w:tc>
        <w:tc>
          <w:tcPr>
            <w:tcW w:w="361" w:type="pct"/>
            <w:noWrap/>
            <w:vAlign w:val="center"/>
          </w:tcPr>
          <w:p w14:paraId="56DA4A88">
            <w:pPr>
              <w:pStyle w:val="133"/>
              <w:rPr>
                <w:sz w:val="18"/>
                <w:szCs w:val="18"/>
              </w:rPr>
            </w:pPr>
            <w:r>
              <w:rPr>
                <w:rFonts w:hint="eastAsia"/>
                <w:sz w:val="18"/>
                <w:szCs w:val="18"/>
              </w:rPr>
              <w:t>150</w:t>
            </w:r>
          </w:p>
        </w:tc>
        <w:tc>
          <w:tcPr>
            <w:tcW w:w="329" w:type="pct"/>
            <w:vAlign w:val="center"/>
          </w:tcPr>
          <w:p w14:paraId="0F6A263D">
            <w:pPr>
              <w:pStyle w:val="133"/>
              <w:rPr>
                <w:sz w:val="18"/>
                <w:szCs w:val="18"/>
              </w:rPr>
            </w:pPr>
            <w:r>
              <w:rPr>
                <w:rFonts w:hint="eastAsia"/>
                <w:sz w:val="18"/>
                <w:szCs w:val="18"/>
              </w:rPr>
              <w:t>14600</w:t>
            </w:r>
          </w:p>
        </w:tc>
        <w:tc>
          <w:tcPr>
            <w:tcW w:w="254" w:type="pct"/>
            <w:vAlign w:val="center"/>
          </w:tcPr>
          <w:p w14:paraId="7649BC09">
            <w:pPr>
              <w:pStyle w:val="133"/>
              <w:rPr>
                <w:sz w:val="18"/>
                <w:szCs w:val="18"/>
              </w:rPr>
            </w:pPr>
            <w:r>
              <w:rPr>
                <w:sz w:val="18"/>
                <w:szCs w:val="18"/>
              </w:rPr>
              <w:t>0.684</w:t>
            </w:r>
          </w:p>
        </w:tc>
        <w:tc>
          <w:tcPr>
            <w:tcW w:w="254" w:type="pct"/>
            <w:vAlign w:val="center"/>
          </w:tcPr>
          <w:p w14:paraId="05BFA939">
            <w:pPr>
              <w:pStyle w:val="133"/>
              <w:rPr>
                <w:sz w:val="18"/>
                <w:szCs w:val="18"/>
              </w:rPr>
            </w:pPr>
            <w:r>
              <w:rPr>
                <w:sz w:val="18"/>
                <w:szCs w:val="18"/>
              </w:rPr>
              <w:t>2.8314</w:t>
            </w:r>
          </w:p>
        </w:tc>
        <w:tc>
          <w:tcPr>
            <w:tcW w:w="254" w:type="pct"/>
            <w:noWrap/>
            <w:vAlign w:val="center"/>
          </w:tcPr>
          <w:p w14:paraId="24CB9E3D">
            <w:pPr>
              <w:pStyle w:val="133"/>
              <w:rPr>
                <w:sz w:val="18"/>
                <w:szCs w:val="18"/>
              </w:rPr>
            </w:pPr>
            <w:r>
              <w:rPr>
                <w:rFonts w:hint="eastAsia"/>
                <w:sz w:val="18"/>
                <w:szCs w:val="18"/>
              </w:rPr>
              <w:t>0.046</w:t>
            </w:r>
          </w:p>
        </w:tc>
        <w:tc>
          <w:tcPr>
            <w:tcW w:w="254" w:type="pct"/>
            <w:noWrap/>
            <w:vAlign w:val="center"/>
          </w:tcPr>
          <w:p w14:paraId="32825C48">
            <w:pPr>
              <w:pStyle w:val="133"/>
              <w:rPr>
                <w:sz w:val="18"/>
                <w:szCs w:val="18"/>
              </w:rPr>
            </w:pPr>
            <w:r>
              <w:rPr>
                <w:rFonts w:hint="eastAsia"/>
                <w:sz w:val="18"/>
                <w:szCs w:val="18"/>
              </w:rPr>
              <w:t>0.023</w:t>
            </w:r>
          </w:p>
        </w:tc>
        <w:tc>
          <w:tcPr>
            <w:tcW w:w="254" w:type="pct"/>
            <w:vAlign w:val="center"/>
          </w:tcPr>
          <w:p w14:paraId="4E1B12FE">
            <w:pPr>
              <w:pStyle w:val="133"/>
              <w:rPr>
                <w:sz w:val="18"/>
                <w:szCs w:val="18"/>
              </w:rPr>
            </w:pPr>
          </w:p>
        </w:tc>
        <w:tc>
          <w:tcPr>
            <w:tcW w:w="254" w:type="pct"/>
            <w:vAlign w:val="center"/>
          </w:tcPr>
          <w:p w14:paraId="7FB47622">
            <w:pPr>
              <w:pStyle w:val="133"/>
              <w:rPr>
                <w:sz w:val="18"/>
                <w:szCs w:val="18"/>
              </w:rPr>
            </w:pPr>
          </w:p>
        </w:tc>
        <w:tc>
          <w:tcPr>
            <w:tcW w:w="254" w:type="pct"/>
            <w:vAlign w:val="center"/>
          </w:tcPr>
          <w:p w14:paraId="4924EAB7">
            <w:pPr>
              <w:pStyle w:val="133"/>
              <w:rPr>
                <w:sz w:val="18"/>
                <w:szCs w:val="18"/>
              </w:rPr>
            </w:pPr>
          </w:p>
        </w:tc>
        <w:tc>
          <w:tcPr>
            <w:tcW w:w="251" w:type="pct"/>
            <w:vAlign w:val="center"/>
          </w:tcPr>
          <w:p w14:paraId="284D4BC5">
            <w:pPr>
              <w:pStyle w:val="133"/>
              <w:rPr>
                <w:sz w:val="18"/>
                <w:szCs w:val="18"/>
              </w:rPr>
            </w:pPr>
          </w:p>
        </w:tc>
      </w:tr>
      <w:tr w14:paraId="74EB1B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68BBE63A">
            <w:pPr>
              <w:pStyle w:val="133"/>
              <w:rPr>
                <w:sz w:val="18"/>
                <w:szCs w:val="18"/>
              </w:rPr>
            </w:pPr>
            <w:r>
              <w:rPr>
                <w:rFonts w:hint="eastAsia"/>
                <w:sz w:val="18"/>
                <w:szCs w:val="18"/>
              </w:rPr>
              <w:t>37</w:t>
            </w:r>
          </w:p>
        </w:tc>
        <w:tc>
          <w:tcPr>
            <w:tcW w:w="671" w:type="pct"/>
            <w:noWrap/>
            <w:vAlign w:val="center"/>
          </w:tcPr>
          <w:p w14:paraId="0B7C1E88">
            <w:pPr>
              <w:pStyle w:val="133"/>
              <w:rPr>
                <w:sz w:val="18"/>
                <w:szCs w:val="18"/>
              </w:rPr>
            </w:pPr>
            <w:r>
              <w:rPr>
                <w:rFonts w:hint="eastAsia"/>
                <w:sz w:val="18"/>
                <w:szCs w:val="18"/>
              </w:rPr>
              <w:t>在建湘晟9#烟囱</w:t>
            </w:r>
          </w:p>
        </w:tc>
        <w:tc>
          <w:tcPr>
            <w:tcW w:w="324" w:type="pct"/>
            <w:vAlign w:val="center"/>
          </w:tcPr>
          <w:p w14:paraId="33AC0A9E">
            <w:pPr>
              <w:pStyle w:val="133"/>
              <w:rPr>
                <w:sz w:val="18"/>
                <w:szCs w:val="18"/>
              </w:rPr>
            </w:pPr>
            <w:r>
              <w:rPr>
                <w:rFonts w:hint="eastAsia"/>
                <w:sz w:val="18"/>
                <w:szCs w:val="18"/>
              </w:rPr>
              <w:t>1163</w:t>
            </w:r>
          </w:p>
        </w:tc>
        <w:tc>
          <w:tcPr>
            <w:tcW w:w="324" w:type="pct"/>
            <w:vAlign w:val="center"/>
          </w:tcPr>
          <w:p w14:paraId="6A20269D">
            <w:pPr>
              <w:pStyle w:val="133"/>
              <w:rPr>
                <w:sz w:val="18"/>
                <w:szCs w:val="18"/>
              </w:rPr>
            </w:pPr>
            <w:r>
              <w:rPr>
                <w:rFonts w:hint="eastAsia"/>
                <w:sz w:val="18"/>
                <w:szCs w:val="18"/>
              </w:rPr>
              <w:t>-2634</w:t>
            </w:r>
          </w:p>
        </w:tc>
        <w:tc>
          <w:tcPr>
            <w:tcW w:w="362" w:type="pct"/>
            <w:noWrap/>
            <w:vAlign w:val="center"/>
          </w:tcPr>
          <w:p w14:paraId="6E763F5B">
            <w:pPr>
              <w:pStyle w:val="133"/>
              <w:rPr>
                <w:sz w:val="18"/>
                <w:szCs w:val="18"/>
              </w:rPr>
            </w:pPr>
            <w:r>
              <w:rPr>
                <w:rFonts w:hint="eastAsia"/>
                <w:sz w:val="18"/>
                <w:szCs w:val="18"/>
              </w:rPr>
              <w:t>20</w:t>
            </w:r>
          </w:p>
        </w:tc>
        <w:tc>
          <w:tcPr>
            <w:tcW w:w="359" w:type="pct"/>
            <w:noWrap/>
            <w:vAlign w:val="center"/>
          </w:tcPr>
          <w:p w14:paraId="49697C98">
            <w:pPr>
              <w:pStyle w:val="133"/>
              <w:rPr>
                <w:sz w:val="18"/>
                <w:szCs w:val="18"/>
              </w:rPr>
            </w:pPr>
            <w:r>
              <w:rPr>
                <w:rFonts w:hint="eastAsia"/>
                <w:sz w:val="18"/>
                <w:szCs w:val="18"/>
              </w:rPr>
              <w:t>0.5</w:t>
            </w:r>
          </w:p>
        </w:tc>
        <w:tc>
          <w:tcPr>
            <w:tcW w:w="361" w:type="pct"/>
            <w:noWrap/>
            <w:vAlign w:val="center"/>
          </w:tcPr>
          <w:p w14:paraId="6EDDBAD8">
            <w:pPr>
              <w:pStyle w:val="133"/>
              <w:rPr>
                <w:sz w:val="18"/>
                <w:szCs w:val="18"/>
              </w:rPr>
            </w:pPr>
            <w:r>
              <w:rPr>
                <w:rFonts w:hint="eastAsia"/>
                <w:sz w:val="18"/>
                <w:szCs w:val="18"/>
              </w:rPr>
              <w:t>150</w:t>
            </w:r>
          </w:p>
        </w:tc>
        <w:tc>
          <w:tcPr>
            <w:tcW w:w="329" w:type="pct"/>
            <w:vAlign w:val="center"/>
          </w:tcPr>
          <w:p w14:paraId="4B55D253">
            <w:pPr>
              <w:pStyle w:val="133"/>
              <w:rPr>
                <w:sz w:val="18"/>
                <w:szCs w:val="18"/>
              </w:rPr>
            </w:pPr>
            <w:r>
              <w:rPr>
                <w:rFonts w:hint="eastAsia"/>
                <w:sz w:val="18"/>
                <w:szCs w:val="18"/>
              </w:rPr>
              <w:t>5000</w:t>
            </w:r>
          </w:p>
        </w:tc>
        <w:tc>
          <w:tcPr>
            <w:tcW w:w="254" w:type="pct"/>
            <w:vAlign w:val="center"/>
          </w:tcPr>
          <w:p w14:paraId="36729CAF">
            <w:pPr>
              <w:pStyle w:val="133"/>
              <w:rPr>
                <w:sz w:val="18"/>
                <w:szCs w:val="18"/>
              </w:rPr>
            </w:pPr>
          </w:p>
        </w:tc>
        <w:tc>
          <w:tcPr>
            <w:tcW w:w="254" w:type="pct"/>
            <w:vAlign w:val="center"/>
          </w:tcPr>
          <w:p w14:paraId="65F1B9F1">
            <w:pPr>
              <w:pStyle w:val="133"/>
              <w:rPr>
                <w:sz w:val="18"/>
                <w:szCs w:val="18"/>
              </w:rPr>
            </w:pPr>
          </w:p>
        </w:tc>
        <w:tc>
          <w:tcPr>
            <w:tcW w:w="254" w:type="pct"/>
            <w:noWrap/>
            <w:vAlign w:val="center"/>
          </w:tcPr>
          <w:p w14:paraId="057740A0">
            <w:pPr>
              <w:pStyle w:val="133"/>
              <w:rPr>
                <w:sz w:val="18"/>
                <w:szCs w:val="18"/>
              </w:rPr>
            </w:pPr>
            <w:r>
              <w:rPr>
                <w:rFonts w:hint="eastAsia"/>
                <w:sz w:val="18"/>
                <w:szCs w:val="18"/>
              </w:rPr>
              <w:t>0.1</w:t>
            </w:r>
          </w:p>
        </w:tc>
        <w:tc>
          <w:tcPr>
            <w:tcW w:w="254" w:type="pct"/>
            <w:noWrap/>
            <w:vAlign w:val="center"/>
          </w:tcPr>
          <w:p w14:paraId="4AF6E715">
            <w:pPr>
              <w:pStyle w:val="133"/>
              <w:rPr>
                <w:sz w:val="18"/>
                <w:szCs w:val="18"/>
              </w:rPr>
            </w:pPr>
            <w:r>
              <w:rPr>
                <w:rFonts w:hint="eastAsia"/>
                <w:sz w:val="18"/>
                <w:szCs w:val="18"/>
              </w:rPr>
              <w:t>0.05</w:t>
            </w:r>
          </w:p>
        </w:tc>
        <w:tc>
          <w:tcPr>
            <w:tcW w:w="254" w:type="pct"/>
            <w:vAlign w:val="center"/>
          </w:tcPr>
          <w:p w14:paraId="7D0BE9DD">
            <w:pPr>
              <w:pStyle w:val="133"/>
              <w:rPr>
                <w:sz w:val="18"/>
                <w:szCs w:val="18"/>
              </w:rPr>
            </w:pPr>
          </w:p>
        </w:tc>
        <w:tc>
          <w:tcPr>
            <w:tcW w:w="254" w:type="pct"/>
            <w:vAlign w:val="center"/>
          </w:tcPr>
          <w:p w14:paraId="4D17D04D">
            <w:pPr>
              <w:pStyle w:val="133"/>
              <w:rPr>
                <w:sz w:val="18"/>
                <w:szCs w:val="18"/>
              </w:rPr>
            </w:pPr>
          </w:p>
        </w:tc>
        <w:tc>
          <w:tcPr>
            <w:tcW w:w="254" w:type="pct"/>
            <w:vAlign w:val="center"/>
          </w:tcPr>
          <w:p w14:paraId="259EEE1E">
            <w:pPr>
              <w:pStyle w:val="133"/>
              <w:rPr>
                <w:sz w:val="18"/>
                <w:szCs w:val="18"/>
              </w:rPr>
            </w:pPr>
          </w:p>
        </w:tc>
        <w:tc>
          <w:tcPr>
            <w:tcW w:w="251" w:type="pct"/>
            <w:vAlign w:val="center"/>
          </w:tcPr>
          <w:p w14:paraId="5D21CE10">
            <w:pPr>
              <w:pStyle w:val="133"/>
              <w:rPr>
                <w:sz w:val="18"/>
                <w:szCs w:val="18"/>
              </w:rPr>
            </w:pPr>
          </w:p>
        </w:tc>
      </w:tr>
      <w:tr w14:paraId="533A4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7A8AAF40">
            <w:pPr>
              <w:pStyle w:val="133"/>
              <w:rPr>
                <w:sz w:val="18"/>
                <w:szCs w:val="18"/>
              </w:rPr>
            </w:pPr>
            <w:r>
              <w:rPr>
                <w:rFonts w:hint="eastAsia"/>
                <w:sz w:val="18"/>
                <w:szCs w:val="18"/>
              </w:rPr>
              <w:t>38</w:t>
            </w:r>
          </w:p>
        </w:tc>
        <w:tc>
          <w:tcPr>
            <w:tcW w:w="671" w:type="pct"/>
            <w:noWrap/>
            <w:vAlign w:val="center"/>
          </w:tcPr>
          <w:p w14:paraId="35721B78">
            <w:pPr>
              <w:pStyle w:val="133"/>
              <w:rPr>
                <w:sz w:val="18"/>
                <w:szCs w:val="18"/>
              </w:rPr>
            </w:pPr>
            <w:r>
              <w:rPr>
                <w:rFonts w:hint="eastAsia"/>
                <w:sz w:val="18"/>
                <w:szCs w:val="18"/>
              </w:rPr>
              <w:t>在建湘晟10#烟囱</w:t>
            </w:r>
          </w:p>
        </w:tc>
        <w:tc>
          <w:tcPr>
            <w:tcW w:w="324" w:type="pct"/>
            <w:vAlign w:val="center"/>
          </w:tcPr>
          <w:p w14:paraId="75948FC0">
            <w:pPr>
              <w:pStyle w:val="133"/>
              <w:rPr>
                <w:sz w:val="18"/>
                <w:szCs w:val="18"/>
              </w:rPr>
            </w:pPr>
            <w:r>
              <w:rPr>
                <w:rFonts w:hint="eastAsia"/>
                <w:sz w:val="18"/>
                <w:szCs w:val="18"/>
              </w:rPr>
              <w:t>1163</w:t>
            </w:r>
          </w:p>
        </w:tc>
        <w:tc>
          <w:tcPr>
            <w:tcW w:w="324" w:type="pct"/>
            <w:vAlign w:val="center"/>
          </w:tcPr>
          <w:p w14:paraId="5F5BABB0">
            <w:pPr>
              <w:pStyle w:val="133"/>
              <w:rPr>
                <w:sz w:val="18"/>
                <w:szCs w:val="18"/>
              </w:rPr>
            </w:pPr>
            <w:r>
              <w:rPr>
                <w:rFonts w:hint="eastAsia"/>
                <w:sz w:val="18"/>
                <w:szCs w:val="18"/>
              </w:rPr>
              <w:t>-2634</w:t>
            </w:r>
          </w:p>
        </w:tc>
        <w:tc>
          <w:tcPr>
            <w:tcW w:w="362" w:type="pct"/>
            <w:noWrap/>
            <w:vAlign w:val="center"/>
          </w:tcPr>
          <w:p w14:paraId="5AD6715A">
            <w:pPr>
              <w:pStyle w:val="133"/>
              <w:rPr>
                <w:sz w:val="18"/>
                <w:szCs w:val="18"/>
              </w:rPr>
            </w:pPr>
            <w:r>
              <w:rPr>
                <w:rFonts w:hint="eastAsia"/>
                <w:sz w:val="18"/>
                <w:szCs w:val="18"/>
              </w:rPr>
              <w:t>20</w:t>
            </w:r>
          </w:p>
        </w:tc>
        <w:tc>
          <w:tcPr>
            <w:tcW w:w="359" w:type="pct"/>
            <w:noWrap/>
            <w:vAlign w:val="center"/>
          </w:tcPr>
          <w:p w14:paraId="6FC7718B">
            <w:pPr>
              <w:pStyle w:val="133"/>
              <w:rPr>
                <w:sz w:val="18"/>
                <w:szCs w:val="18"/>
              </w:rPr>
            </w:pPr>
            <w:r>
              <w:rPr>
                <w:rFonts w:hint="eastAsia"/>
                <w:sz w:val="18"/>
                <w:szCs w:val="18"/>
              </w:rPr>
              <w:t>0.5</w:t>
            </w:r>
          </w:p>
        </w:tc>
        <w:tc>
          <w:tcPr>
            <w:tcW w:w="361" w:type="pct"/>
            <w:noWrap/>
            <w:vAlign w:val="center"/>
          </w:tcPr>
          <w:p w14:paraId="515BD842">
            <w:pPr>
              <w:pStyle w:val="133"/>
              <w:rPr>
                <w:sz w:val="18"/>
                <w:szCs w:val="18"/>
              </w:rPr>
            </w:pPr>
            <w:r>
              <w:rPr>
                <w:rFonts w:hint="eastAsia"/>
                <w:sz w:val="18"/>
                <w:szCs w:val="18"/>
              </w:rPr>
              <w:t>150</w:t>
            </w:r>
          </w:p>
        </w:tc>
        <w:tc>
          <w:tcPr>
            <w:tcW w:w="329" w:type="pct"/>
            <w:vAlign w:val="center"/>
          </w:tcPr>
          <w:p w14:paraId="4B843212">
            <w:pPr>
              <w:pStyle w:val="133"/>
              <w:rPr>
                <w:sz w:val="18"/>
                <w:szCs w:val="18"/>
              </w:rPr>
            </w:pPr>
            <w:r>
              <w:rPr>
                <w:rFonts w:hint="eastAsia"/>
                <w:sz w:val="18"/>
                <w:szCs w:val="18"/>
              </w:rPr>
              <w:t>4000</w:t>
            </w:r>
          </w:p>
        </w:tc>
        <w:tc>
          <w:tcPr>
            <w:tcW w:w="254" w:type="pct"/>
            <w:vAlign w:val="center"/>
          </w:tcPr>
          <w:p w14:paraId="2981AB11">
            <w:pPr>
              <w:pStyle w:val="133"/>
              <w:rPr>
                <w:sz w:val="18"/>
                <w:szCs w:val="18"/>
              </w:rPr>
            </w:pPr>
          </w:p>
        </w:tc>
        <w:tc>
          <w:tcPr>
            <w:tcW w:w="254" w:type="pct"/>
            <w:vAlign w:val="center"/>
          </w:tcPr>
          <w:p w14:paraId="6E8C6C70">
            <w:pPr>
              <w:pStyle w:val="133"/>
              <w:rPr>
                <w:sz w:val="18"/>
                <w:szCs w:val="18"/>
              </w:rPr>
            </w:pPr>
          </w:p>
        </w:tc>
        <w:tc>
          <w:tcPr>
            <w:tcW w:w="254" w:type="pct"/>
            <w:noWrap/>
            <w:vAlign w:val="center"/>
          </w:tcPr>
          <w:p w14:paraId="1C28E68C">
            <w:pPr>
              <w:pStyle w:val="133"/>
              <w:rPr>
                <w:sz w:val="18"/>
                <w:szCs w:val="18"/>
              </w:rPr>
            </w:pPr>
            <w:r>
              <w:rPr>
                <w:rFonts w:hint="eastAsia"/>
                <w:sz w:val="18"/>
                <w:szCs w:val="18"/>
              </w:rPr>
              <w:t>0.08</w:t>
            </w:r>
          </w:p>
        </w:tc>
        <w:tc>
          <w:tcPr>
            <w:tcW w:w="254" w:type="pct"/>
            <w:noWrap/>
            <w:vAlign w:val="center"/>
          </w:tcPr>
          <w:p w14:paraId="68214506">
            <w:pPr>
              <w:pStyle w:val="133"/>
              <w:rPr>
                <w:sz w:val="18"/>
                <w:szCs w:val="18"/>
              </w:rPr>
            </w:pPr>
            <w:r>
              <w:rPr>
                <w:rFonts w:hint="eastAsia"/>
                <w:sz w:val="18"/>
                <w:szCs w:val="18"/>
              </w:rPr>
              <w:t>0.04</w:t>
            </w:r>
          </w:p>
        </w:tc>
        <w:tc>
          <w:tcPr>
            <w:tcW w:w="254" w:type="pct"/>
            <w:vAlign w:val="center"/>
          </w:tcPr>
          <w:p w14:paraId="5F61F1E9">
            <w:pPr>
              <w:pStyle w:val="133"/>
              <w:rPr>
                <w:sz w:val="18"/>
                <w:szCs w:val="18"/>
              </w:rPr>
            </w:pPr>
          </w:p>
        </w:tc>
        <w:tc>
          <w:tcPr>
            <w:tcW w:w="254" w:type="pct"/>
            <w:vAlign w:val="center"/>
          </w:tcPr>
          <w:p w14:paraId="4B8A65B7">
            <w:pPr>
              <w:pStyle w:val="133"/>
              <w:rPr>
                <w:sz w:val="18"/>
                <w:szCs w:val="18"/>
              </w:rPr>
            </w:pPr>
          </w:p>
        </w:tc>
        <w:tc>
          <w:tcPr>
            <w:tcW w:w="254" w:type="pct"/>
            <w:vAlign w:val="center"/>
          </w:tcPr>
          <w:p w14:paraId="176CF0CE">
            <w:pPr>
              <w:pStyle w:val="133"/>
              <w:rPr>
                <w:sz w:val="18"/>
                <w:szCs w:val="18"/>
              </w:rPr>
            </w:pPr>
          </w:p>
        </w:tc>
        <w:tc>
          <w:tcPr>
            <w:tcW w:w="251" w:type="pct"/>
            <w:vAlign w:val="center"/>
          </w:tcPr>
          <w:p w14:paraId="495EC1B6">
            <w:pPr>
              <w:pStyle w:val="133"/>
              <w:rPr>
                <w:sz w:val="18"/>
                <w:szCs w:val="18"/>
              </w:rPr>
            </w:pPr>
            <w:r>
              <w:rPr>
                <w:sz w:val="18"/>
                <w:szCs w:val="18"/>
              </w:rPr>
              <w:t>0.048</w:t>
            </w:r>
          </w:p>
        </w:tc>
      </w:tr>
      <w:tr w14:paraId="0DCDA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E2CDE8F">
            <w:pPr>
              <w:pStyle w:val="133"/>
              <w:rPr>
                <w:sz w:val="18"/>
                <w:szCs w:val="18"/>
              </w:rPr>
            </w:pPr>
            <w:r>
              <w:rPr>
                <w:rFonts w:hint="eastAsia"/>
                <w:sz w:val="18"/>
                <w:szCs w:val="18"/>
              </w:rPr>
              <w:t>39</w:t>
            </w:r>
          </w:p>
        </w:tc>
        <w:tc>
          <w:tcPr>
            <w:tcW w:w="671" w:type="pct"/>
            <w:noWrap/>
            <w:vAlign w:val="center"/>
          </w:tcPr>
          <w:p w14:paraId="1A63058B">
            <w:pPr>
              <w:pStyle w:val="133"/>
              <w:rPr>
                <w:sz w:val="18"/>
                <w:szCs w:val="18"/>
              </w:rPr>
            </w:pPr>
            <w:r>
              <w:rPr>
                <w:rFonts w:hint="eastAsia"/>
                <w:sz w:val="18"/>
                <w:szCs w:val="18"/>
              </w:rPr>
              <w:t>在建湘晟11#烟囱</w:t>
            </w:r>
          </w:p>
        </w:tc>
        <w:tc>
          <w:tcPr>
            <w:tcW w:w="324" w:type="pct"/>
            <w:vAlign w:val="center"/>
          </w:tcPr>
          <w:p w14:paraId="63D8670E">
            <w:pPr>
              <w:pStyle w:val="133"/>
              <w:rPr>
                <w:sz w:val="18"/>
                <w:szCs w:val="18"/>
              </w:rPr>
            </w:pPr>
            <w:r>
              <w:rPr>
                <w:rFonts w:hint="eastAsia"/>
                <w:sz w:val="18"/>
                <w:szCs w:val="18"/>
              </w:rPr>
              <w:t>917</w:t>
            </w:r>
          </w:p>
        </w:tc>
        <w:tc>
          <w:tcPr>
            <w:tcW w:w="324" w:type="pct"/>
            <w:vAlign w:val="center"/>
          </w:tcPr>
          <w:p w14:paraId="7FF681D0">
            <w:pPr>
              <w:pStyle w:val="133"/>
              <w:rPr>
                <w:sz w:val="18"/>
                <w:szCs w:val="18"/>
              </w:rPr>
            </w:pPr>
            <w:r>
              <w:rPr>
                <w:rFonts w:hint="eastAsia"/>
                <w:sz w:val="18"/>
                <w:szCs w:val="18"/>
              </w:rPr>
              <w:t>-2190</w:t>
            </w:r>
          </w:p>
        </w:tc>
        <w:tc>
          <w:tcPr>
            <w:tcW w:w="362" w:type="pct"/>
            <w:noWrap/>
            <w:vAlign w:val="center"/>
          </w:tcPr>
          <w:p w14:paraId="2EDF00D3">
            <w:pPr>
              <w:pStyle w:val="133"/>
              <w:rPr>
                <w:sz w:val="18"/>
                <w:szCs w:val="18"/>
              </w:rPr>
            </w:pPr>
            <w:r>
              <w:rPr>
                <w:rFonts w:hint="eastAsia"/>
                <w:sz w:val="18"/>
                <w:szCs w:val="18"/>
              </w:rPr>
              <w:t>35</w:t>
            </w:r>
          </w:p>
        </w:tc>
        <w:tc>
          <w:tcPr>
            <w:tcW w:w="359" w:type="pct"/>
            <w:noWrap/>
            <w:vAlign w:val="center"/>
          </w:tcPr>
          <w:p w14:paraId="3C2F66A9">
            <w:pPr>
              <w:pStyle w:val="133"/>
              <w:rPr>
                <w:sz w:val="18"/>
                <w:szCs w:val="18"/>
              </w:rPr>
            </w:pPr>
            <w:r>
              <w:rPr>
                <w:rFonts w:hint="eastAsia"/>
                <w:sz w:val="18"/>
                <w:szCs w:val="18"/>
              </w:rPr>
              <w:t>0.8</w:t>
            </w:r>
          </w:p>
        </w:tc>
        <w:tc>
          <w:tcPr>
            <w:tcW w:w="361" w:type="pct"/>
            <w:noWrap/>
            <w:vAlign w:val="center"/>
          </w:tcPr>
          <w:p w14:paraId="01822A3B">
            <w:pPr>
              <w:pStyle w:val="133"/>
              <w:rPr>
                <w:sz w:val="18"/>
                <w:szCs w:val="18"/>
              </w:rPr>
            </w:pPr>
            <w:r>
              <w:rPr>
                <w:rFonts w:hint="eastAsia"/>
                <w:sz w:val="18"/>
                <w:szCs w:val="18"/>
              </w:rPr>
              <w:t>150</w:t>
            </w:r>
          </w:p>
        </w:tc>
        <w:tc>
          <w:tcPr>
            <w:tcW w:w="329" w:type="pct"/>
            <w:vAlign w:val="center"/>
          </w:tcPr>
          <w:p w14:paraId="799ABBD3">
            <w:pPr>
              <w:pStyle w:val="133"/>
              <w:rPr>
                <w:sz w:val="18"/>
                <w:szCs w:val="18"/>
              </w:rPr>
            </w:pPr>
            <w:r>
              <w:rPr>
                <w:rFonts w:hint="eastAsia"/>
                <w:sz w:val="18"/>
                <w:szCs w:val="18"/>
              </w:rPr>
              <w:t>7600</w:t>
            </w:r>
          </w:p>
        </w:tc>
        <w:tc>
          <w:tcPr>
            <w:tcW w:w="254" w:type="pct"/>
            <w:vAlign w:val="center"/>
          </w:tcPr>
          <w:p w14:paraId="402475CE">
            <w:pPr>
              <w:pStyle w:val="133"/>
              <w:rPr>
                <w:sz w:val="18"/>
                <w:szCs w:val="18"/>
              </w:rPr>
            </w:pPr>
          </w:p>
        </w:tc>
        <w:tc>
          <w:tcPr>
            <w:tcW w:w="254" w:type="pct"/>
            <w:vAlign w:val="center"/>
          </w:tcPr>
          <w:p w14:paraId="51C83148">
            <w:pPr>
              <w:pStyle w:val="133"/>
              <w:rPr>
                <w:sz w:val="18"/>
                <w:szCs w:val="18"/>
              </w:rPr>
            </w:pPr>
          </w:p>
        </w:tc>
        <w:tc>
          <w:tcPr>
            <w:tcW w:w="254" w:type="pct"/>
            <w:noWrap/>
            <w:vAlign w:val="center"/>
          </w:tcPr>
          <w:p w14:paraId="08178202">
            <w:pPr>
              <w:pStyle w:val="133"/>
              <w:rPr>
                <w:sz w:val="18"/>
                <w:szCs w:val="18"/>
              </w:rPr>
            </w:pPr>
          </w:p>
        </w:tc>
        <w:tc>
          <w:tcPr>
            <w:tcW w:w="254" w:type="pct"/>
            <w:noWrap/>
            <w:vAlign w:val="center"/>
          </w:tcPr>
          <w:p w14:paraId="08E33AF5">
            <w:pPr>
              <w:pStyle w:val="133"/>
              <w:rPr>
                <w:sz w:val="18"/>
                <w:szCs w:val="18"/>
              </w:rPr>
            </w:pPr>
          </w:p>
        </w:tc>
        <w:tc>
          <w:tcPr>
            <w:tcW w:w="254" w:type="pct"/>
            <w:vAlign w:val="center"/>
          </w:tcPr>
          <w:p w14:paraId="10596D46">
            <w:pPr>
              <w:pStyle w:val="133"/>
              <w:rPr>
                <w:sz w:val="18"/>
                <w:szCs w:val="18"/>
              </w:rPr>
            </w:pPr>
          </w:p>
        </w:tc>
        <w:tc>
          <w:tcPr>
            <w:tcW w:w="254" w:type="pct"/>
            <w:vAlign w:val="center"/>
          </w:tcPr>
          <w:p w14:paraId="51C1C69C">
            <w:pPr>
              <w:pStyle w:val="133"/>
              <w:rPr>
                <w:sz w:val="18"/>
                <w:szCs w:val="18"/>
              </w:rPr>
            </w:pPr>
          </w:p>
        </w:tc>
        <w:tc>
          <w:tcPr>
            <w:tcW w:w="254" w:type="pct"/>
            <w:vAlign w:val="center"/>
          </w:tcPr>
          <w:p w14:paraId="11ED20A6">
            <w:pPr>
              <w:pStyle w:val="133"/>
              <w:rPr>
                <w:sz w:val="18"/>
                <w:szCs w:val="18"/>
              </w:rPr>
            </w:pPr>
          </w:p>
        </w:tc>
        <w:tc>
          <w:tcPr>
            <w:tcW w:w="251" w:type="pct"/>
            <w:vAlign w:val="center"/>
          </w:tcPr>
          <w:p w14:paraId="510A28D7">
            <w:pPr>
              <w:pStyle w:val="133"/>
              <w:rPr>
                <w:sz w:val="18"/>
                <w:szCs w:val="18"/>
              </w:rPr>
            </w:pPr>
          </w:p>
        </w:tc>
      </w:tr>
      <w:tr w14:paraId="3223F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252178DF">
            <w:pPr>
              <w:pStyle w:val="133"/>
              <w:rPr>
                <w:sz w:val="18"/>
                <w:szCs w:val="18"/>
              </w:rPr>
            </w:pPr>
            <w:r>
              <w:rPr>
                <w:rFonts w:hint="eastAsia"/>
                <w:sz w:val="18"/>
                <w:szCs w:val="18"/>
              </w:rPr>
              <w:t>40</w:t>
            </w:r>
          </w:p>
        </w:tc>
        <w:tc>
          <w:tcPr>
            <w:tcW w:w="671" w:type="pct"/>
            <w:noWrap/>
            <w:vAlign w:val="center"/>
          </w:tcPr>
          <w:p w14:paraId="1026C0E8">
            <w:pPr>
              <w:pStyle w:val="133"/>
              <w:rPr>
                <w:sz w:val="18"/>
                <w:szCs w:val="18"/>
              </w:rPr>
            </w:pPr>
            <w:r>
              <w:rPr>
                <w:rFonts w:hint="eastAsia"/>
                <w:sz w:val="18"/>
                <w:szCs w:val="18"/>
              </w:rPr>
              <w:t>在建湘晟13#烟囱</w:t>
            </w:r>
          </w:p>
        </w:tc>
        <w:tc>
          <w:tcPr>
            <w:tcW w:w="324" w:type="pct"/>
            <w:vAlign w:val="center"/>
          </w:tcPr>
          <w:p w14:paraId="39C3391B">
            <w:pPr>
              <w:pStyle w:val="133"/>
              <w:rPr>
                <w:sz w:val="18"/>
                <w:szCs w:val="18"/>
              </w:rPr>
            </w:pPr>
            <w:r>
              <w:rPr>
                <w:rFonts w:hint="eastAsia"/>
                <w:sz w:val="18"/>
                <w:szCs w:val="18"/>
              </w:rPr>
              <w:t>1245</w:t>
            </w:r>
          </w:p>
        </w:tc>
        <w:tc>
          <w:tcPr>
            <w:tcW w:w="324" w:type="pct"/>
            <w:vAlign w:val="center"/>
          </w:tcPr>
          <w:p w14:paraId="11729CD3">
            <w:pPr>
              <w:pStyle w:val="133"/>
              <w:rPr>
                <w:sz w:val="18"/>
                <w:szCs w:val="18"/>
              </w:rPr>
            </w:pPr>
            <w:r>
              <w:rPr>
                <w:rFonts w:hint="eastAsia"/>
                <w:sz w:val="18"/>
                <w:szCs w:val="18"/>
              </w:rPr>
              <w:t>-2634</w:t>
            </w:r>
          </w:p>
        </w:tc>
        <w:tc>
          <w:tcPr>
            <w:tcW w:w="362" w:type="pct"/>
            <w:noWrap/>
            <w:vAlign w:val="center"/>
          </w:tcPr>
          <w:p w14:paraId="74F70039">
            <w:pPr>
              <w:pStyle w:val="133"/>
              <w:rPr>
                <w:sz w:val="18"/>
                <w:szCs w:val="18"/>
              </w:rPr>
            </w:pPr>
            <w:r>
              <w:rPr>
                <w:rFonts w:hint="eastAsia"/>
                <w:sz w:val="18"/>
                <w:szCs w:val="18"/>
              </w:rPr>
              <w:t>35</w:t>
            </w:r>
          </w:p>
        </w:tc>
        <w:tc>
          <w:tcPr>
            <w:tcW w:w="359" w:type="pct"/>
            <w:noWrap/>
            <w:vAlign w:val="center"/>
          </w:tcPr>
          <w:p w14:paraId="42D0860A">
            <w:pPr>
              <w:pStyle w:val="133"/>
              <w:rPr>
                <w:sz w:val="18"/>
                <w:szCs w:val="18"/>
              </w:rPr>
            </w:pPr>
            <w:r>
              <w:rPr>
                <w:rFonts w:hint="eastAsia"/>
                <w:sz w:val="18"/>
                <w:szCs w:val="18"/>
              </w:rPr>
              <w:t>0.8</w:t>
            </w:r>
          </w:p>
        </w:tc>
        <w:tc>
          <w:tcPr>
            <w:tcW w:w="361" w:type="pct"/>
            <w:noWrap/>
            <w:vAlign w:val="center"/>
          </w:tcPr>
          <w:p w14:paraId="54B306DF">
            <w:pPr>
              <w:pStyle w:val="133"/>
              <w:rPr>
                <w:sz w:val="18"/>
                <w:szCs w:val="18"/>
              </w:rPr>
            </w:pPr>
            <w:r>
              <w:rPr>
                <w:rFonts w:hint="eastAsia"/>
                <w:sz w:val="18"/>
                <w:szCs w:val="18"/>
              </w:rPr>
              <w:t>150</w:t>
            </w:r>
          </w:p>
        </w:tc>
        <w:tc>
          <w:tcPr>
            <w:tcW w:w="329" w:type="pct"/>
            <w:vAlign w:val="center"/>
          </w:tcPr>
          <w:p w14:paraId="731B7FA9">
            <w:pPr>
              <w:pStyle w:val="133"/>
              <w:rPr>
                <w:sz w:val="18"/>
                <w:szCs w:val="18"/>
              </w:rPr>
            </w:pPr>
            <w:r>
              <w:rPr>
                <w:rFonts w:hint="eastAsia"/>
                <w:sz w:val="18"/>
                <w:szCs w:val="18"/>
              </w:rPr>
              <w:t>7600</w:t>
            </w:r>
          </w:p>
        </w:tc>
        <w:tc>
          <w:tcPr>
            <w:tcW w:w="254" w:type="pct"/>
            <w:vAlign w:val="center"/>
          </w:tcPr>
          <w:p w14:paraId="00FD70C2">
            <w:pPr>
              <w:pStyle w:val="133"/>
              <w:rPr>
                <w:sz w:val="18"/>
                <w:szCs w:val="18"/>
              </w:rPr>
            </w:pPr>
            <w:r>
              <w:rPr>
                <w:sz w:val="18"/>
                <w:szCs w:val="18"/>
              </w:rPr>
              <w:t>0.0148</w:t>
            </w:r>
          </w:p>
        </w:tc>
        <w:tc>
          <w:tcPr>
            <w:tcW w:w="254" w:type="pct"/>
            <w:vAlign w:val="center"/>
          </w:tcPr>
          <w:p w14:paraId="15DB676B">
            <w:pPr>
              <w:pStyle w:val="133"/>
              <w:rPr>
                <w:sz w:val="18"/>
                <w:szCs w:val="18"/>
              </w:rPr>
            </w:pPr>
            <w:r>
              <w:rPr>
                <w:sz w:val="18"/>
                <w:szCs w:val="18"/>
              </w:rPr>
              <w:t>0.6327</w:t>
            </w:r>
          </w:p>
        </w:tc>
        <w:tc>
          <w:tcPr>
            <w:tcW w:w="254" w:type="pct"/>
            <w:noWrap/>
            <w:vAlign w:val="center"/>
          </w:tcPr>
          <w:p w14:paraId="1D1B3C68">
            <w:pPr>
              <w:pStyle w:val="133"/>
              <w:rPr>
                <w:sz w:val="18"/>
                <w:szCs w:val="18"/>
              </w:rPr>
            </w:pPr>
            <w:r>
              <w:rPr>
                <w:rFonts w:hint="eastAsia"/>
                <w:sz w:val="18"/>
                <w:szCs w:val="18"/>
              </w:rPr>
              <w:t>0.268</w:t>
            </w:r>
          </w:p>
        </w:tc>
        <w:tc>
          <w:tcPr>
            <w:tcW w:w="254" w:type="pct"/>
            <w:noWrap/>
            <w:vAlign w:val="center"/>
          </w:tcPr>
          <w:p w14:paraId="38E91A2A">
            <w:pPr>
              <w:pStyle w:val="133"/>
              <w:rPr>
                <w:sz w:val="18"/>
                <w:szCs w:val="18"/>
              </w:rPr>
            </w:pPr>
            <w:r>
              <w:rPr>
                <w:rFonts w:hint="eastAsia"/>
                <w:sz w:val="18"/>
                <w:szCs w:val="18"/>
              </w:rPr>
              <w:t>0.134</w:t>
            </w:r>
          </w:p>
        </w:tc>
        <w:tc>
          <w:tcPr>
            <w:tcW w:w="254" w:type="pct"/>
            <w:vAlign w:val="center"/>
          </w:tcPr>
          <w:p w14:paraId="619D9E2D">
            <w:pPr>
              <w:pStyle w:val="133"/>
              <w:rPr>
                <w:sz w:val="18"/>
                <w:szCs w:val="18"/>
              </w:rPr>
            </w:pPr>
          </w:p>
        </w:tc>
        <w:tc>
          <w:tcPr>
            <w:tcW w:w="254" w:type="pct"/>
            <w:vAlign w:val="center"/>
          </w:tcPr>
          <w:p w14:paraId="76CA0F7E">
            <w:pPr>
              <w:pStyle w:val="133"/>
              <w:rPr>
                <w:sz w:val="18"/>
                <w:szCs w:val="18"/>
              </w:rPr>
            </w:pPr>
          </w:p>
        </w:tc>
        <w:tc>
          <w:tcPr>
            <w:tcW w:w="254" w:type="pct"/>
            <w:vAlign w:val="center"/>
          </w:tcPr>
          <w:p w14:paraId="40C14B3C">
            <w:pPr>
              <w:pStyle w:val="133"/>
              <w:rPr>
                <w:sz w:val="18"/>
                <w:szCs w:val="18"/>
              </w:rPr>
            </w:pPr>
          </w:p>
        </w:tc>
        <w:tc>
          <w:tcPr>
            <w:tcW w:w="251" w:type="pct"/>
            <w:vAlign w:val="center"/>
          </w:tcPr>
          <w:p w14:paraId="52701D61">
            <w:pPr>
              <w:pStyle w:val="133"/>
              <w:rPr>
                <w:sz w:val="18"/>
                <w:szCs w:val="18"/>
              </w:rPr>
            </w:pPr>
          </w:p>
        </w:tc>
      </w:tr>
      <w:tr w14:paraId="101D6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27EAE404">
            <w:pPr>
              <w:pStyle w:val="133"/>
              <w:rPr>
                <w:sz w:val="18"/>
                <w:szCs w:val="18"/>
              </w:rPr>
            </w:pPr>
            <w:r>
              <w:rPr>
                <w:rFonts w:hint="eastAsia"/>
                <w:sz w:val="18"/>
                <w:szCs w:val="18"/>
              </w:rPr>
              <w:t>41</w:t>
            </w:r>
          </w:p>
        </w:tc>
        <w:tc>
          <w:tcPr>
            <w:tcW w:w="671" w:type="pct"/>
            <w:noWrap/>
            <w:vAlign w:val="center"/>
          </w:tcPr>
          <w:p w14:paraId="793A3708">
            <w:pPr>
              <w:pStyle w:val="133"/>
              <w:rPr>
                <w:sz w:val="18"/>
                <w:szCs w:val="18"/>
              </w:rPr>
            </w:pPr>
            <w:r>
              <w:rPr>
                <w:rFonts w:hint="eastAsia"/>
                <w:sz w:val="18"/>
                <w:szCs w:val="18"/>
              </w:rPr>
              <w:t>在建华钛煤气锅炉烟气</w:t>
            </w:r>
          </w:p>
        </w:tc>
        <w:tc>
          <w:tcPr>
            <w:tcW w:w="324" w:type="pct"/>
            <w:vAlign w:val="center"/>
          </w:tcPr>
          <w:p w14:paraId="495E15FB">
            <w:pPr>
              <w:pStyle w:val="133"/>
              <w:rPr>
                <w:sz w:val="18"/>
                <w:szCs w:val="18"/>
              </w:rPr>
            </w:pPr>
            <w:r>
              <w:rPr>
                <w:rFonts w:hint="eastAsia"/>
                <w:sz w:val="18"/>
                <w:szCs w:val="18"/>
              </w:rPr>
              <w:t>487</w:t>
            </w:r>
          </w:p>
        </w:tc>
        <w:tc>
          <w:tcPr>
            <w:tcW w:w="324" w:type="pct"/>
            <w:vAlign w:val="center"/>
          </w:tcPr>
          <w:p w14:paraId="397E2390">
            <w:pPr>
              <w:pStyle w:val="133"/>
              <w:rPr>
                <w:sz w:val="18"/>
                <w:szCs w:val="18"/>
              </w:rPr>
            </w:pPr>
            <w:r>
              <w:rPr>
                <w:rFonts w:hint="eastAsia"/>
                <w:sz w:val="18"/>
                <w:szCs w:val="18"/>
              </w:rPr>
              <w:t>-1525</w:t>
            </w:r>
          </w:p>
        </w:tc>
        <w:tc>
          <w:tcPr>
            <w:tcW w:w="362" w:type="pct"/>
            <w:noWrap/>
            <w:vAlign w:val="center"/>
          </w:tcPr>
          <w:p w14:paraId="37271BF0">
            <w:pPr>
              <w:pStyle w:val="133"/>
              <w:rPr>
                <w:sz w:val="18"/>
                <w:szCs w:val="18"/>
              </w:rPr>
            </w:pPr>
            <w:r>
              <w:rPr>
                <w:rFonts w:hint="eastAsia"/>
                <w:sz w:val="18"/>
                <w:szCs w:val="18"/>
              </w:rPr>
              <w:t>15</w:t>
            </w:r>
          </w:p>
        </w:tc>
        <w:tc>
          <w:tcPr>
            <w:tcW w:w="359" w:type="pct"/>
            <w:noWrap/>
            <w:vAlign w:val="center"/>
          </w:tcPr>
          <w:p w14:paraId="72678ABE">
            <w:pPr>
              <w:pStyle w:val="133"/>
              <w:rPr>
                <w:sz w:val="18"/>
                <w:szCs w:val="18"/>
              </w:rPr>
            </w:pPr>
            <w:r>
              <w:rPr>
                <w:rFonts w:hint="eastAsia"/>
                <w:sz w:val="18"/>
                <w:szCs w:val="18"/>
              </w:rPr>
              <w:t>0.8</w:t>
            </w:r>
          </w:p>
        </w:tc>
        <w:tc>
          <w:tcPr>
            <w:tcW w:w="361" w:type="pct"/>
            <w:noWrap/>
            <w:vAlign w:val="center"/>
          </w:tcPr>
          <w:p w14:paraId="0942A2F2">
            <w:pPr>
              <w:pStyle w:val="133"/>
              <w:rPr>
                <w:sz w:val="18"/>
                <w:szCs w:val="18"/>
              </w:rPr>
            </w:pPr>
            <w:r>
              <w:rPr>
                <w:rFonts w:hint="eastAsia"/>
                <w:sz w:val="18"/>
                <w:szCs w:val="18"/>
              </w:rPr>
              <w:t>130</w:t>
            </w:r>
          </w:p>
        </w:tc>
        <w:tc>
          <w:tcPr>
            <w:tcW w:w="329" w:type="pct"/>
            <w:vAlign w:val="center"/>
          </w:tcPr>
          <w:p w14:paraId="5C71E492">
            <w:pPr>
              <w:pStyle w:val="133"/>
              <w:rPr>
                <w:sz w:val="18"/>
                <w:szCs w:val="18"/>
              </w:rPr>
            </w:pPr>
            <w:r>
              <w:rPr>
                <w:rFonts w:hint="eastAsia"/>
                <w:sz w:val="18"/>
                <w:szCs w:val="18"/>
              </w:rPr>
              <w:t>70731.7</w:t>
            </w:r>
          </w:p>
        </w:tc>
        <w:tc>
          <w:tcPr>
            <w:tcW w:w="254" w:type="pct"/>
            <w:vAlign w:val="center"/>
          </w:tcPr>
          <w:p w14:paraId="185A99E5">
            <w:pPr>
              <w:pStyle w:val="133"/>
              <w:rPr>
                <w:sz w:val="18"/>
                <w:szCs w:val="18"/>
              </w:rPr>
            </w:pPr>
            <w:r>
              <w:rPr>
                <w:sz w:val="18"/>
                <w:szCs w:val="18"/>
              </w:rPr>
              <w:t>2.705</w:t>
            </w:r>
          </w:p>
        </w:tc>
        <w:tc>
          <w:tcPr>
            <w:tcW w:w="254" w:type="pct"/>
            <w:vAlign w:val="center"/>
          </w:tcPr>
          <w:p w14:paraId="66CEAC66">
            <w:pPr>
              <w:pStyle w:val="133"/>
              <w:rPr>
                <w:sz w:val="18"/>
                <w:szCs w:val="18"/>
              </w:rPr>
            </w:pPr>
            <w:r>
              <w:rPr>
                <w:sz w:val="18"/>
                <w:szCs w:val="18"/>
              </w:rPr>
              <w:t>3.1824</w:t>
            </w:r>
          </w:p>
        </w:tc>
        <w:tc>
          <w:tcPr>
            <w:tcW w:w="254" w:type="pct"/>
            <w:noWrap/>
            <w:vAlign w:val="center"/>
          </w:tcPr>
          <w:p w14:paraId="21B8A677">
            <w:pPr>
              <w:pStyle w:val="133"/>
              <w:rPr>
                <w:sz w:val="18"/>
                <w:szCs w:val="18"/>
              </w:rPr>
            </w:pPr>
            <w:r>
              <w:rPr>
                <w:rFonts w:hint="eastAsia"/>
                <w:sz w:val="18"/>
                <w:szCs w:val="18"/>
              </w:rPr>
              <w:t>1.414</w:t>
            </w:r>
          </w:p>
        </w:tc>
        <w:tc>
          <w:tcPr>
            <w:tcW w:w="254" w:type="pct"/>
            <w:noWrap/>
            <w:vAlign w:val="center"/>
          </w:tcPr>
          <w:p w14:paraId="43D6DBCD">
            <w:pPr>
              <w:pStyle w:val="133"/>
              <w:rPr>
                <w:sz w:val="18"/>
                <w:szCs w:val="18"/>
              </w:rPr>
            </w:pPr>
            <w:r>
              <w:rPr>
                <w:rFonts w:hint="eastAsia"/>
                <w:sz w:val="18"/>
                <w:szCs w:val="18"/>
              </w:rPr>
              <w:t>0.707</w:t>
            </w:r>
          </w:p>
        </w:tc>
        <w:tc>
          <w:tcPr>
            <w:tcW w:w="254" w:type="pct"/>
            <w:vAlign w:val="center"/>
          </w:tcPr>
          <w:p w14:paraId="24BB26A2">
            <w:pPr>
              <w:pStyle w:val="133"/>
              <w:rPr>
                <w:sz w:val="18"/>
                <w:szCs w:val="18"/>
              </w:rPr>
            </w:pPr>
          </w:p>
        </w:tc>
        <w:tc>
          <w:tcPr>
            <w:tcW w:w="254" w:type="pct"/>
            <w:vAlign w:val="center"/>
          </w:tcPr>
          <w:p w14:paraId="3AC5E28E">
            <w:pPr>
              <w:pStyle w:val="133"/>
              <w:rPr>
                <w:sz w:val="18"/>
                <w:szCs w:val="18"/>
              </w:rPr>
            </w:pPr>
          </w:p>
        </w:tc>
        <w:tc>
          <w:tcPr>
            <w:tcW w:w="254" w:type="pct"/>
            <w:vAlign w:val="center"/>
          </w:tcPr>
          <w:p w14:paraId="549122EC">
            <w:pPr>
              <w:pStyle w:val="133"/>
              <w:rPr>
                <w:sz w:val="18"/>
                <w:szCs w:val="18"/>
              </w:rPr>
            </w:pPr>
          </w:p>
        </w:tc>
        <w:tc>
          <w:tcPr>
            <w:tcW w:w="251" w:type="pct"/>
            <w:vAlign w:val="center"/>
          </w:tcPr>
          <w:p w14:paraId="5EF5A08F">
            <w:pPr>
              <w:pStyle w:val="133"/>
              <w:rPr>
                <w:sz w:val="18"/>
                <w:szCs w:val="18"/>
              </w:rPr>
            </w:pPr>
          </w:p>
        </w:tc>
      </w:tr>
      <w:tr w14:paraId="6139D1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53CD1A6C">
            <w:pPr>
              <w:pStyle w:val="133"/>
              <w:rPr>
                <w:sz w:val="18"/>
                <w:szCs w:val="18"/>
              </w:rPr>
            </w:pPr>
            <w:r>
              <w:rPr>
                <w:rFonts w:hint="eastAsia"/>
                <w:sz w:val="18"/>
                <w:szCs w:val="18"/>
              </w:rPr>
              <w:t>42</w:t>
            </w:r>
          </w:p>
        </w:tc>
        <w:tc>
          <w:tcPr>
            <w:tcW w:w="671" w:type="pct"/>
            <w:noWrap/>
            <w:vAlign w:val="center"/>
          </w:tcPr>
          <w:p w14:paraId="7E7B9405">
            <w:pPr>
              <w:pStyle w:val="133"/>
              <w:rPr>
                <w:sz w:val="18"/>
                <w:szCs w:val="18"/>
              </w:rPr>
            </w:pPr>
            <w:r>
              <w:rPr>
                <w:rFonts w:hint="eastAsia"/>
                <w:sz w:val="18"/>
                <w:szCs w:val="18"/>
              </w:rPr>
              <w:t>在建华钛天然气锅炉烟气</w:t>
            </w:r>
          </w:p>
        </w:tc>
        <w:tc>
          <w:tcPr>
            <w:tcW w:w="324" w:type="pct"/>
            <w:vAlign w:val="center"/>
          </w:tcPr>
          <w:p w14:paraId="65EA8E82">
            <w:pPr>
              <w:pStyle w:val="133"/>
              <w:rPr>
                <w:sz w:val="18"/>
                <w:szCs w:val="18"/>
              </w:rPr>
            </w:pPr>
            <w:r>
              <w:rPr>
                <w:rFonts w:hint="eastAsia"/>
                <w:sz w:val="18"/>
                <w:szCs w:val="18"/>
              </w:rPr>
              <w:t>487</w:t>
            </w:r>
          </w:p>
        </w:tc>
        <w:tc>
          <w:tcPr>
            <w:tcW w:w="324" w:type="pct"/>
            <w:vAlign w:val="center"/>
          </w:tcPr>
          <w:p w14:paraId="7269F374">
            <w:pPr>
              <w:pStyle w:val="133"/>
              <w:rPr>
                <w:sz w:val="18"/>
                <w:szCs w:val="18"/>
              </w:rPr>
            </w:pPr>
            <w:r>
              <w:rPr>
                <w:rFonts w:hint="eastAsia"/>
                <w:sz w:val="18"/>
                <w:szCs w:val="18"/>
              </w:rPr>
              <w:t>-1525</w:t>
            </w:r>
          </w:p>
        </w:tc>
        <w:tc>
          <w:tcPr>
            <w:tcW w:w="362" w:type="pct"/>
            <w:noWrap/>
            <w:vAlign w:val="center"/>
          </w:tcPr>
          <w:p w14:paraId="65ADAE5C">
            <w:pPr>
              <w:pStyle w:val="133"/>
              <w:rPr>
                <w:sz w:val="18"/>
                <w:szCs w:val="18"/>
              </w:rPr>
            </w:pPr>
            <w:r>
              <w:rPr>
                <w:rFonts w:hint="eastAsia"/>
                <w:sz w:val="18"/>
                <w:szCs w:val="18"/>
              </w:rPr>
              <w:t>15</w:t>
            </w:r>
          </w:p>
        </w:tc>
        <w:tc>
          <w:tcPr>
            <w:tcW w:w="359" w:type="pct"/>
            <w:noWrap/>
            <w:vAlign w:val="center"/>
          </w:tcPr>
          <w:p w14:paraId="5306FE20">
            <w:pPr>
              <w:pStyle w:val="133"/>
              <w:rPr>
                <w:sz w:val="18"/>
                <w:szCs w:val="18"/>
              </w:rPr>
            </w:pPr>
            <w:r>
              <w:rPr>
                <w:rFonts w:hint="eastAsia"/>
                <w:sz w:val="18"/>
                <w:szCs w:val="18"/>
              </w:rPr>
              <w:t>0.6</w:t>
            </w:r>
          </w:p>
        </w:tc>
        <w:tc>
          <w:tcPr>
            <w:tcW w:w="361" w:type="pct"/>
            <w:noWrap/>
            <w:vAlign w:val="center"/>
          </w:tcPr>
          <w:p w14:paraId="4E4FF162">
            <w:pPr>
              <w:pStyle w:val="133"/>
              <w:rPr>
                <w:sz w:val="18"/>
                <w:szCs w:val="18"/>
              </w:rPr>
            </w:pPr>
            <w:r>
              <w:rPr>
                <w:rFonts w:hint="eastAsia"/>
                <w:sz w:val="18"/>
                <w:szCs w:val="18"/>
              </w:rPr>
              <w:t>130</w:t>
            </w:r>
          </w:p>
        </w:tc>
        <w:tc>
          <w:tcPr>
            <w:tcW w:w="329" w:type="pct"/>
            <w:vAlign w:val="center"/>
          </w:tcPr>
          <w:p w14:paraId="6BEC1BAF">
            <w:pPr>
              <w:pStyle w:val="133"/>
              <w:rPr>
                <w:sz w:val="18"/>
                <w:szCs w:val="18"/>
              </w:rPr>
            </w:pPr>
            <w:r>
              <w:rPr>
                <w:rFonts w:hint="eastAsia"/>
                <w:sz w:val="18"/>
                <w:szCs w:val="18"/>
              </w:rPr>
              <w:t>55962.78</w:t>
            </w:r>
          </w:p>
        </w:tc>
        <w:tc>
          <w:tcPr>
            <w:tcW w:w="254" w:type="pct"/>
            <w:vAlign w:val="center"/>
          </w:tcPr>
          <w:p w14:paraId="5BEEF5AB">
            <w:pPr>
              <w:pStyle w:val="133"/>
              <w:rPr>
                <w:sz w:val="18"/>
                <w:szCs w:val="18"/>
              </w:rPr>
            </w:pPr>
            <w:r>
              <w:rPr>
                <w:sz w:val="18"/>
                <w:szCs w:val="18"/>
              </w:rPr>
              <w:t>0.493</w:t>
            </w:r>
          </w:p>
        </w:tc>
        <w:tc>
          <w:tcPr>
            <w:tcW w:w="254" w:type="pct"/>
            <w:vAlign w:val="center"/>
          </w:tcPr>
          <w:p w14:paraId="79538CF1">
            <w:pPr>
              <w:pStyle w:val="133"/>
              <w:rPr>
                <w:sz w:val="18"/>
                <w:szCs w:val="18"/>
              </w:rPr>
            </w:pPr>
            <w:r>
              <w:rPr>
                <w:sz w:val="18"/>
                <w:szCs w:val="18"/>
              </w:rPr>
              <w:t>2.5182</w:t>
            </w:r>
          </w:p>
        </w:tc>
        <w:tc>
          <w:tcPr>
            <w:tcW w:w="254" w:type="pct"/>
            <w:noWrap/>
            <w:vAlign w:val="center"/>
          </w:tcPr>
          <w:p w14:paraId="1552E201">
            <w:pPr>
              <w:pStyle w:val="133"/>
              <w:rPr>
                <w:sz w:val="18"/>
                <w:szCs w:val="18"/>
              </w:rPr>
            </w:pPr>
            <w:r>
              <w:rPr>
                <w:rFonts w:hint="eastAsia"/>
                <w:sz w:val="18"/>
                <w:szCs w:val="18"/>
              </w:rPr>
              <w:t>1.119</w:t>
            </w:r>
          </w:p>
        </w:tc>
        <w:tc>
          <w:tcPr>
            <w:tcW w:w="254" w:type="pct"/>
            <w:noWrap/>
            <w:vAlign w:val="center"/>
          </w:tcPr>
          <w:p w14:paraId="27B4FBEF">
            <w:pPr>
              <w:pStyle w:val="133"/>
              <w:rPr>
                <w:sz w:val="18"/>
                <w:szCs w:val="18"/>
              </w:rPr>
            </w:pPr>
            <w:r>
              <w:rPr>
                <w:rFonts w:hint="eastAsia"/>
                <w:sz w:val="18"/>
                <w:szCs w:val="18"/>
              </w:rPr>
              <w:t>0.5595</w:t>
            </w:r>
          </w:p>
        </w:tc>
        <w:tc>
          <w:tcPr>
            <w:tcW w:w="254" w:type="pct"/>
            <w:vAlign w:val="center"/>
          </w:tcPr>
          <w:p w14:paraId="6531C2CF">
            <w:pPr>
              <w:pStyle w:val="133"/>
              <w:rPr>
                <w:sz w:val="18"/>
                <w:szCs w:val="18"/>
              </w:rPr>
            </w:pPr>
          </w:p>
        </w:tc>
        <w:tc>
          <w:tcPr>
            <w:tcW w:w="254" w:type="pct"/>
            <w:vAlign w:val="center"/>
          </w:tcPr>
          <w:p w14:paraId="410B67E0">
            <w:pPr>
              <w:pStyle w:val="133"/>
              <w:rPr>
                <w:sz w:val="18"/>
                <w:szCs w:val="18"/>
              </w:rPr>
            </w:pPr>
          </w:p>
        </w:tc>
        <w:tc>
          <w:tcPr>
            <w:tcW w:w="254" w:type="pct"/>
            <w:vAlign w:val="center"/>
          </w:tcPr>
          <w:p w14:paraId="6D9CCCB2">
            <w:pPr>
              <w:pStyle w:val="133"/>
              <w:rPr>
                <w:sz w:val="18"/>
                <w:szCs w:val="18"/>
              </w:rPr>
            </w:pPr>
          </w:p>
        </w:tc>
        <w:tc>
          <w:tcPr>
            <w:tcW w:w="251" w:type="pct"/>
            <w:vAlign w:val="center"/>
          </w:tcPr>
          <w:p w14:paraId="3365BE14">
            <w:pPr>
              <w:pStyle w:val="133"/>
              <w:rPr>
                <w:sz w:val="18"/>
                <w:szCs w:val="18"/>
              </w:rPr>
            </w:pPr>
          </w:p>
        </w:tc>
      </w:tr>
      <w:tr w14:paraId="2701D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021478CC">
            <w:pPr>
              <w:pStyle w:val="133"/>
              <w:rPr>
                <w:sz w:val="18"/>
                <w:szCs w:val="18"/>
              </w:rPr>
            </w:pPr>
            <w:r>
              <w:rPr>
                <w:rFonts w:hint="eastAsia"/>
                <w:sz w:val="18"/>
                <w:szCs w:val="18"/>
              </w:rPr>
              <w:t>43</w:t>
            </w:r>
          </w:p>
        </w:tc>
        <w:tc>
          <w:tcPr>
            <w:tcW w:w="671" w:type="pct"/>
            <w:noWrap/>
            <w:vAlign w:val="center"/>
          </w:tcPr>
          <w:p w14:paraId="666AE4A0">
            <w:pPr>
              <w:pStyle w:val="133"/>
              <w:rPr>
                <w:sz w:val="18"/>
                <w:szCs w:val="18"/>
              </w:rPr>
            </w:pPr>
            <w:r>
              <w:rPr>
                <w:rFonts w:hint="eastAsia"/>
                <w:sz w:val="18"/>
                <w:szCs w:val="18"/>
              </w:rPr>
              <w:t>在建华钛锻造加热炉</w:t>
            </w:r>
          </w:p>
        </w:tc>
        <w:tc>
          <w:tcPr>
            <w:tcW w:w="324" w:type="pct"/>
            <w:vAlign w:val="center"/>
          </w:tcPr>
          <w:p w14:paraId="2DD1C903">
            <w:pPr>
              <w:pStyle w:val="133"/>
              <w:rPr>
                <w:sz w:val="18"/>
                <w:szCs w:val="18"/>
              </w:rPr>
            </w:pPr>
            <w:r>
              <w:rPr>
                <w:rFonts w:hint="eastAsia"/>
                <w:sz w:val="18"/>
                <w:szCs w:val="18"/>
              </w:rPr>
              <w:t>261</w:t>
            </w:r>
          </w:p>
        </w:tc>
        <w:tc>
          <w:tcPr>
            <w:tcW w:w="324" w:type="pct"/>
            <w:vAlign w:val="center"/>
          </w:tcPr>
          <w:p w14:paraId="64193E5F">
            <w:pPr>
              <w:pStyle w:val="133"/>
              <w:rPr>
                <w:sz w:val="18"/>
                <w:szCs w:val="18"/>
              </w:rPr>
            </w:pPr>
            <w:r>
              <w:rPr>
                <w:rFonts w:hint="eastAsia"/>
                <w:sz w:val="18"/>
                <w:szCs w:val="18"/>
              </w:rPr>
              <w:t>-521</w:t>
            </w:r>
          </w:p>
        </w:tc>
        <w:tc>
          <w:tcPr>
            <w:tcW w:w="362" w:type="pct"/>
            <w:noWrap/>
            <w:vAlign w:val="center"/>
          </w:tcPr>
          <w:p w14:paraId="377AAAE3">
            <w:pPr>
              <w:pStyle w:val="133"/>
              <w:rPr>
                <w:sz w:val="18"/>
                <w:szCs w:val="18"/>
              </w:rPr>
            </w:pPr>
            <w:r>
              <w:rPr>
                <w:rFonts w:hint="eastAsia"/>
                <w:sz w:val="18"/>
                <w:szCs w:val="18"/>
              </w:rPr>
              <w:t>15</w:t>
            </w:r>
          </w:p>
        </w:tc>
        <w:tc>
          <w:tcPr>
            <w:tcW w:w="359" w:type="pct"/>
            <w:noWrap/>
            <w:vAlign w:val="center"/>
          </w:tcPr>
          <w:p w14:paraId="77FAA146">
            <w:pPr>
              <w:pStyle w:val="133"/>
              <w:rPr>
                <w:sz w:val="18"/>
                <w:szCs w:val="18"/>
              </w:rPr>
            </w:pPr>
            <w:r>
              <w:rPr>
                <w:rFonts w:hint="eastAsia"/>
                <w:sz w:val="18"/>
                <w:szCs w:val="18"/>
              </w:rPr>
              <w:t>0.5</w:t>
            </w:r>
          </w:p>
        </w:tc>
        <w:tc>
          <w:tcPr>
            <w:tcW w:w="361" w:type="pct"/>
            <w:noWrap/>
            <w:vAlign w:val="center"/>
          </w:tcPr>
          <w:p w14:paraId="650A0053">
            <w:pPr>
              <w:pStyle w:val="133"/>
              <w:rPr>
                <w:sz w:val="18"/>
                <w:szCs w:val="18"/>
              </w:rPr>
            </w:pPr>
            <w:r>
              <w:rPr>
                <w:rFonts w:hint="eastAsia"/>
                <w:sz w:val="18"/>
                <w:szCs w:val="18"/>
              </w:rPr>
              <w:t>130</w:t>
            </w:r>
          </w:p>
        </w:tc>
        <w:tc>
          <w:tcPr>
            <w:tcW w:w="329" w:type="pct"/>
            <w:vAlign w:val="center"/>
          </w:tcPr>
          <w:p w14:paraId="4BBB60C5">
            <w:pPr>
              <w:pStyle w:val="133"/>
              <w:rPr>
                <w:sz w:val="18"/>
                <w:szCs w:val="18"/>
              </w:rPr>
            </w:pPr>
            <w:r>
              <w:rPr>
                <w:rFonts w:hint="eastAsia"/>
                <w:sz w:val="18"/>
                <w:szCs w:val="18"/>
              </w:rPr>
              <w:t>10047.39</w:t>
            </w:r>
          </w:p>
        </w:tc>
        <w:tc>
          <w:tcPr>
            <w:tcW w:w="254" w:type="pct"/>
            <w:vAlign w:val="center"/>
          </w:tcPr>
          <w:p w14:paraId="6E7C3FA1">
            <w:pPr>
              <w:pStyle w:val="133"/>
              <w:rPr>
                <w:sz w:val="18"/>
                <w:szCs w:val="18"/>
              </w:rPr>
            </w:pPr>
            <w:r>
              <w:rPr>
                <w:sz w:val="18"/>
                <w:szCs w:val="18"/>
              </w:rPr>
              <w:t>0.885</w:t>
            </w:r>
          </w:p>
        </w:tc>
        <w:tc>
          <w:tcPr>
            <w:tcW w:w="254" w:type="pct"/>
            <w:vAlign w:val="center"/>
          </w:tcPr>
          <w:p w14:paraId="2FA1EA11">
            <w:pPr>
              <w:pStyle w:val="133"/>
              <w:rPr>
                <w:sz w:val="18"/>
                <w:szCs w:val="18"/>
              </w:rPr>
            </w:pPr>
            <w:r>
              <w:rPr>
                <w:sz w:val="18"/>
                <w:szCs w:val="18"/>
              </w:rPr>
              <w:t>1.242</w:t>
            </w:r>
          </w:p>
        </w:tc>
        <w:tc>
          <w:tcPr>
            <w:tcW w:w="254" w:type="pct"/>
            <w:noWrap/>
            <w:vAlign w:val="center"/>
          </w:tcPr>
          <w:p w14:paraId="719D5B46">
            <w:pPr>
              <w:pStyle w:val="133"/>
              <w:rPr>
                <w:sz w:val="18"/>
                <w:szCs w:val="18"/>
              </w:rPr>
            </w:pPr>
            <w:r>
              <w:rPr>
                <w:rFonts w:hint="eastAsia"/>
                <w:sz w:val="18"/>
                <w:szCs w:val="18"/>
              </w:rPr>
              <w:t>0.2</w:t>
            </w:r>
          </w:p>
        </w:tc>
        <w:tc>
          <w:tcPr>
            <w:tcW w:w="254" w:type="pct"/>
            <w:noWrap/>
            <w:vAlign w:val="center"/>
          </w:tcPr>
          <w:p w14:paraId="3CC3891C">
            <w:pPr>
              <w:pStyle w:val="133"/>
              <w:rPr>
                <w:sz w:val="18"/>
                <w:szCs w:val="18"/>
              </w:rPr>
            </w:pPr>
            <w:r>
              <w:rPr>
                <w:rFonts w:hint="eastAsia"/>
                <w:sz w:val="18"/>
                <w:szCs w:val="18"/>
              </w:rPr>
              <w:t>0.1</w:t>
            </w:r>
          </w:p>
        </w:tc>
        <w:tc>
          <w:tcPr>
            <w:tcW w:w="254" w:type="pct"/>
            <w:vAlign w:val="center"/>
          </w:tcPr>
          <w:p w14:paraId="346FDA9A">
            <w:pPr>
              <w:pStyle w:val="133"/>
              <w:rPr>
                <w:sz w:val="18"/>
                <w:szCs w:val="18"/>
              </w:rPr>
            </w:pPr>
          </w:p>
        </w:tc>
        <w:tc>
          <w:tcPr>
            <w:tcW w:w="254" w:type="pct"/>
            <w:vAlign w:val="center"/>
          </w:tcPr>
          <w:p w14:paraId="42222135">
            <w:pPr>
              <w:pStyle w:val="133"/>
              <w:rPr>
                <w:sz w:val="18"/>
                <w:szCs w:val="18"/>
              </w:rPr>
            </w:pPr>
          </w:p>
        </w:tc>
        <w:tc>
          <w:tcPr>
            <w:tcW w:w="254" w:type="pct"/>
            <w:vAlign w:val="center"/>
          </w:tcPr>
          <w:p w14:paraId="3260D13C">
            <w:pPr>
              <w:pStyle w:val="133"/>
              <w:rPr>
                <w:sz w:val="18"/>
                <w:szCs w:val="18"/>
              </w:rPr>
            </w:pPr>
          </w:p>
        </w:tc>
        <w:tc>
          <w:tcPr>
            <w:tcW w:w="251" w:type="pct"/>
            <w:vAlign w:val="center"/>
          </w:tcPr>
          <w:p w14:paraId="4747C29D">
            <w:pPr>
              <w:pStyle w:val="133"/>
              <w:rPr>
                <w:sz w:val="18"/>
                <w:szCs w:val="18"/>
              </w:rPr>
            </w:pPr>
          </w:p>
        </w:tc>
      </w:tr>
      <w:tr w14:paraId="3C879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0C8A1CCF">
            <w:pPr>
              <w:pStyle w:val="133"/>
              <w:rPr>
                <w:sz w:val="18"/>
                <w:szCs w:val="18"/>
              </w:rPr>
            </w:pPr>
            <w:r>
              <w:rPr>
                <w:rFonts w:hint="eastAsia"/>
                <w:sz w:val="18"/>
                <w:szCs w:val="18"/>
              </w:rPr>
              <w:t>44</w:t>
            </w:r>
          </w:p>
        </w:tc>
        <w:tc>
          <w:tcPr>
            <w:tcW w:w="671" w:type="pct"/>
            <w:noWrap/>
            <w:vAlign w:val="center"/>
          </w:tcPr>
          <w:p w14:paraId="297FF550">
            <w:pPr>
              <w:pStyle w:val="133"/>
              <w:rPr>
                <w:sz w:val="18"/>
                <w:szCs w:val="18"/>
              </w:rPr>
            </w:pPr>
            <w:r>
              <w:rPr>
                <w:rFonts w:hint="eastAsia"/>
                <w:sz w:val="18"/>
                <w:szCs w:val="18"/>
              </w:rPr>
              <w:t>在建华钛板带加热炉</w:t>
            </w:r>
          </w:p>
        </w:tc>
        <w:tc>
          <w:tcPr>
            <w:tcW w:w="324" w:type="pct"/>
            <w:vAlign w:val="center"/>
          </w:tcPr>
          <w:p w14:paraId="2CF2B5D0">
            <w:pPr>
              <w:pStyle w:val="133"/>
              <w:rPr>
                <w:sz w:val="18"/>
                <w:szCs w:val="18"/>
              </w:rPr>
            </w:pPr>
            <w:r>
              <w:rPr>
                <w:rFonts w:hint="eastAsia"/>
                <w:sz w:val="18"/>
                <w:szCs w:val="18"/>
              </w:rPr>
              <w:t>374</w:t>
            </w:r>
          </w:p>
        </w:tc>
        <w:tc>
          <w:tcPr>
            <w:tcW w:w="324" w:type="pct"/>
            <w:vAlign w:val="center"/>
          </w:tcPr>
          <w:p w14:paraId="7635A56E">
            <w:pPr>
              <w:pStyle w:val="133"/>
              <w:rPr>
                <w:sz w:val="18"/>
                <w:szCs w:val="18"/>
              </w:rPr>
            </w:pPr>
            <w:r>
              <w:rPr>
                <w:rFonts w:hint="eastAsia"/>
                <w:sz w:val="18"/>
                <w:szCs w:val="18"/>
              </w:rPr>
              <w:t>-663</w:t>
            </w:r>
          </w:p>
        </w:tc>
        <w:tc>
          <w:tcPr>
            <w:tcW w:w="362" w:type="pct"/>
            <w:noWrap/>
            <w:vAlign w:val="center"/>
          </w:tcPr>
          <w:p w14:paraId="031867FF">
            <w:pPr>
              <w:pStyle w:val="133"/>
              <w:rPr>
                <w:sz w:val="18"/>
                <w:szCs w:val="18"/>
              </w:rPr>
            </w:pPr>
            <w:r>
              <w:rPr>
                <w:rFonts w:hint="eastAsia"/>
                <w:sz w:val="18"/>
                <w:szCs w:val="18"/>
              </w:rPr>
              <w:t>15</w:t>
            </w:r>
          </w:p>
        </w:tc>
        <w:tc>
          <w:tcPr>
            <w:tcW w:w="359" w:type="pct"/>
            <w:noWrap/>
            <w:vAlign w:val="center"/>
          </w:tcPr>
          <w:p w14:paraId="5A5A5F00">
            <w:pPr>
              <w:pStyle w:val="133"/>
              <w:rPr>
                <w:sz w:val="18"/>
                <w:szCs w:val="18"/>
              </w:rPr>
            </w:pPr>
            <w:r>
              <w:rPr>
                <w:rFonts w:hint="eastAsia"/>
                <w:sz w:val="18"/>
                <w:szCs w:val="18"/>
              </w:rPr>
              <w:t>0.5</w:t>
            </w:r>
          </w:p>
        </w:tc>
        <w:tc>
          <w:tcPr>
            <w:tcW w:w="361" w:type="pct"/>
            <w:noWrap/>
            <w:vAlign w:val="center"/>
          </w:tcPr>
          <w:p w14:paraId="57FB7A23">
            <w:pPr>
              <w:pStyle w:val="133"/>
              <w:rPr>
                <w:sz w:val="18"/>
                <w:szCs w:val="18"/>
              </w:rPr>
            </w:pPr>
            <w:r>
              <w:rPr>
                <w:rFonts w:hint="eastAsia"/>
                <w:sz w:val="18"/>
                <w:szCs w:val="18"/>
              </w:rPr>
              <w:t>130</w:t>
            </w:r>
          </w:p>
        </w:tc>
        <w:tc>
          <w:tcPr>
            <w:tcW w:w="329" w:type="pct"/>
            <w:vAlign w:val="center"/>
          </w:tcPr>
          <w:p w14:paraId="65897A36">
            <w:pPr>
              <w:pStyle w:val="133"/>
              <w:rPr>
                <w:sz w:val="18"/>
                <w:szCs w:val="18"/>
              </w:rPr>
            </w:pPr>
            <w:r>
              <w:rPr>
                <w:rFonts w:hint="eastAsia"/>
                <w:sz w:val="18"/>
                <w:szCs w:val="18"/>
              </w:rPr>
              <w:t>1040.869</w:t>
            </w:r>
          </w:p>
        </w:tc>
        <w:tc>
          <w:tcPr>
            <w:tcW w:w="254" w:type="pct"/>
            <w:vAlign w:val="center"/>
          </w:tcPr>
          <w:p w14:paraId="6622603A">
            <w:pPr>
              <w:pStyle w:val="133"/>
              <w:rPr>
                <w:sz w:val="18"/>
                <w:szCs w:val="18"/>
              </w:rPr>
            </w:pPr>
            <w:r>
              <w:rPr>
                <w:sz w:val="18"/>
                <w:szCs w:val="18"/>
              </w:rPr>
              <w:t>0.009</w:t>
            </w:r>
          </w:p>
        </w:tc>
        <w:tc>
          <w:tcPr>
            <w:tcW w:w="254" w:type="pct"/>
            <w:vAlign w:val="center"/>
          </w:tcPr>
          <w:p w14:paraId="4FD27F84">
            <w:pPr>
              <w:pStyle w:val="133"/>
              <w:rPr>
                <w:sz w:val="18"/>
                <w:szCs w:val="18"/>
              </w:rPr>
            </w:pPr>
            <w:r>
              <w:rPr>
                <w:sz w:val="18"/>
                <w:szCs w:val="18"/>
              </w:rPr>
              <w:t>0.1287</w:t>
            </w:r>
          </w:p>
        </w:tc>
        <w:tc>
          <w:tcPr>
            <w:tcW w:w="254" w:type="pct"/>
            <w:noWrap/>
            <w:vAlign w:val="center"/>
          </w:tcPr>
          <w:p w14:paraId="5972BAC0">
            <w:pPr>
              <w:pStyle w:val="133"/>
              <w:rPr>
                <w:sz w:val="18"/>
                <w:szCs w:val="18"/>
              </w:rPr>
            </w:pPr>
            <w:r>
              <w:rPr>
                <w:rFonts w:hint="eastAsia"/>
                <w:sz w:val="18"/>
                <w:szCs w:val="18"/>
              </w:rPr>
              <w:t>0.021</w:t>
            </w:r>
          </w:p>
        </w:tc>
        <w:tc>
          <w:tcPr>
            <w:tcW w:w="254" w:type="pct"/>
            <w:noWrap/>
            <w:vAlign w:val="center"/>
          </w:tcPr>
          <w:p w14:paraId="217342C0">
            <w:pPr>
              <w:pStyle w:val="133"/>
              <w:rPr>
                <w:sz w:val="18"/>
                <w:szCs w:val="18"/>
              </w:rPr>
            </w:pPr>
            <w:r>
              <w:rPr>
                <w:rFonts w:hint="eastAsia"/>
                <w:sz w:val="18"/>
                <w:szCs w:val="18"/>
              </w:rPr>
              <w:t>0.0105</w:t>
            </w:r>
          </w:p>
        </w:tc>
        <w:tc>
          <w:tcPr>
            <w:tcW w:w="254" w:type="pct"/>
            <w:vAlign w:val="center"/>
          </w:tcPr>
          <w:p w14:paraId="5DD481E9">
            <w:pPr>
              <w:pStyle w:val="133"/>
              <w:rPr>
                <w:sz w:val="18"/>
                <w:szCs w:val="18"/>
              </w:rPr>
            </w:pPr>
          </w:p>
        </w:tc>
        <w:tc>
          <w:tcPr>
            <w:tcW w:w="254" w:type="pct"/>
            <w:vAlign w:val="center"/>
          </w:tcPr>
          <w:p w14:paraId="3C88B065">
            <w:pPr>
              <w:pStyle w:val="133"/>
              <w:rPr>
                <w:sz w:val="18"/>
                <w:szCs w:val="18"/>
              </w:rPr>
            </w:pPr>
          </w:p>
        </w:tc>
        <w:tc>
          <w:tcPr>
            <w:tcW w:w="254" w:type="pct"/>
            <w:vAlign w:val="center"/>
          </w:tcPr>
          <w:p w14:paraId="62E3E9FB">
            <w:pPr>
              <w:pStyle w:val="133"/>
              <w:rPr>
                <w:sz w:val="18"/>
                <w:szCs w:val="18"/>
              </w:rPr>
            </w:pPr>
          </w:p>
        </w:tc>
        <w:tc>
          <w:tcPr>
            <w:tcW w:w="251" w:type="pct"/>
            <w:vAlign w:val="center"/>
          </w:tcPr>
          <w:p w14:paraId="5C943379">
            <w:pPr>
              <w:pStyle w:val="133"/>
              <w:rPr>
                <w:sz w:val="18"/>
                <w:szCs w:val="18"/>
              </w:rPr>
            </w:pPr>
          </w:p>
        </w:tc>
      </w:tr>
      <w:tr w14:paraId="3CDAE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3960735D">
            <w:pPr>
              <w:pStyle w:val="133"/>
              <w:rPr>
                <w:sz w:val="18"/>
                <w:szCs w:val="18"/>
              </w:rPr>
            </w:pPr>
            <w:r>
              <w:rPr>
                <w:rFonts w:hint="eastAsia"/>
                <w:sz w:val="18"/>
                <w:szCs w:val="18"/>
              </w:rPr>
              <w:t>45</w:t>
            </w:r>
          </w:p>
        </w:tc>
        <w:tc>
          <w:tcPr>
            <w:tcW w:w="671" w:type="pct"/>
            <w:noWrap/>
            <w:vAlign w:val="center"/>
          </w:tcPr>
          <w:p w14:paraId="4436872F">
            <w:pPr>
              <w:pStyle w:val="133"/>
              <w:rPr>
                <w:sz w:val="18"/>
                <w:szCs w:val="18"/>
              </w:rPr>
            </w:pPr>
            <w:r>
              <w:rPr>
                <w:rFonts w:hint="eastAsia"/>
                <w:sz w:val="18"/>
                <w:szCs w:val="18"/>
              </w:rPr>
              <w:t>在建华钛残钛加热炉</w:t>
            </w:r>
          </w:p>
        </w:tc>
        <w:tc>
          <w:tcPr>
            <w:tcW w:w="324" w:type="pct"/>
            <w:vAlign w:val="center"/>
          </w:tcPr>
          <w:p w14:paraId="7AECEC17">
            <w:pPr>
              <w:pStyle w:val="133"/>
              <w:rPr>
                <w:sz w:val="18"/>
                <w:szCs w:val="18"/>
              </w:rPr>
            </w:pPr>
            <w:r>
              <w:rPr>
                <w:rFonts w:hint="eastAsia"/>
                <w:sz w:val="18"/>
                <w:szCs w:val="18"/>
              </w:rPr>
              <w:t>317</w:t>
            </w:r>
          </w:p>
        </w:tc>
        <w:tc>
          <w:tcPr>
            <w:tcW w:w="324" w:type="pct"/>
            <w:vAlign w:val="center"/>
          </w:tcPr>
          <w:p w14:paraId="6E2A1C46">
            <w:pPr>
              <w:pStyle w:val="133"/>
              <w:rPr>
                <w:sz w:val="18"/>
                <w:szCs w:val="18"/>
              </w:rPr>
            </w:pPr>
            <w:r>
              <w:rPr>
                <w:rFonts w:hint="eastAsia"/>
                <w:sz w:val="18"/>
                <w:szCs w:val="18"/>
              </w:rPr>
              <w:t>-818</w:t>
            </w:r>
          </w:p>
        </w:tc>
        <w:tc>
          <w:tcPr>
            <w:tcW w:w="362" w:type="pct"/>
            <w:noWrap/>
            <w:vAlign w:val="center"/>
          </w:tcPr>
          <w:p w14:paraId="608B9540">
            <w:pPr>
              <w:pStyle w:val="133"/>
              <w:rPr>
                <w:sz w:val="18"/>
                <w:szCs w:val="18"/>
              </w:rPr>
            </w:pPr>
            <w:r>
              <w:rPr>
                <w:rFonts w:hint="eastAsia"/>
                <w:sz w:val="18"/>
                <w:szCs w:val="18"/>
              </w:rPr>
              <w:t>15</w:t>
            </w:r>
          </w:p>
        </w:tc>
        <w:tc>
          <w:tcPr>
            <w:tcW w:w="359" w:type="pct"/>
            <w:noWrap/>
            <w:vAlign w:val="center"/>
          </w:tcPr>
          <w:p w14:paraId="65E9A0C6">
            <w:pPr>
              <w:pStyle w:val="133"/>
              <w:rPr>
                <w:sz w:val="18"/>
                <w:szCs w:val="18"/>
              </w:rPr>
            </w:pPr>
            <w:r>
              <w:rPr>
                <w:rFonts w:hint="eastAsia"/>
                <w:sz w:val="18"/>
                <w:szCs w:val="18"/>
              </w:rPr>
              <w:t>0.5</w:t>
            </w:r>
          </w:p>
        </w:tc>
        <w:tc>
          <w:tcPr>
            <w:tcW w:w="361" w:type="pct"/>
            <w:noWrap/>
            <w:vAlign w:val="center"/>
          </w:tcPr>
          <w:p w14:paraId="4EC9B4AE">
            <w:pPr>
              <w:pStyle w:val="133"/>
              <w:rPr>
                <w:sz w:val="18"/>
                <w:szCs w:val="18"/>
              </w:rPr>
            </w:pPr>
            <w:r>
              <w:rPr>
                <w:rFonts w:hint="eastAsia"/>
                <w:sz w:val="18"/>
                <w:szCs w:val="18"/>
              </w:rPr>
              <w:t>130</w:t>
            </w:r>
          </w:p>
        </w:tc>
        <w:tc>
          <w:tcPr>
            <w:tcW w:w="329" w:type="pct"/>
            <w:vAlign w:val="center"/>
          </w:tcPr>
          <w:p w14:paraId="2B254E81">
            <w:pPr>
              <w:pStyle w:val="133"/>
              <w:rPr>
                <w:sz w:val="18"/>
                <w:szCs w:val="18"/>
              </w:rPr>
            </w:pPr>
            <w:r>
              <w:rPr>
                <w:rFonts w:hint="eastAsia"/>
                <w:sz w:val="18"/>
                <w:szCs w:val="18"/>
              </w:rPr>
              <w:t>1032.266</w:t>
            </w:r>
          </w:p>
        </w:tc>
        <w:tc>
          <w:tcPr>
            <w:tcW w:w="254" w:type="pct"/>
            <w:vAlign w:val="center"/>
          </w:tcPr>
          <w:p w14:paraId="514175CA">
            <w:pPr>
              <w:pStyle w:val="133"/>
              <w:rPr>
                <w:sz w:val="18"/>
                <w:szCs w:val="18"/>
              </w:rPr>
            </w:pPr>
            <w:r>
              <w:rPr>
                <w:sz w:val="18"/>
                <w:szCs w:val="18"/>
              </w:rPr>
              <w:t>0.009</w:t>
            </w:r>
          </w:p>
        </w:tc>
        <w:tc>
          <w:tcPr>
            <w:tcW w:w="254" w:type="pct"/>
            <w:vAlign w:val="center"/>
          </w:tcPr>
          <w:p w14:paraId="5750B8CC">
            <w:pPr>
              <w:pStyle w:val="133"/>
              <w:rPr>
                <w:sz w:val="18"/>
                <w:szCs w:val="18"/>
              </w:rPr>
            </w:pPr>
            <w:r>
              <w:rPr>
                <w:sz w:val="18"/>
                <w:szCs w:val="18"/>
              </w:rPr>
              <w:t>0.1278</w:t>
            </w:r>
          </w:p>
        </w:tc>
        <w:tc>
          <w:tcPr>
            <w:tcW w:w="254" w:type="pct"/>
            <w:noWrap/>
            <w:vAlign w:val="center"/>
          </w:tcPr>
          <w:p w14:paraId="4ECE51F6">
            <w:pPr>
              <w:pStyle w:val="133"/>
              <w:rPr>
                <w:sz w:val="18"/>
                <w:szCs w:val="18"/>
              </w:rPr>
            </w:pPr>
            <w:r>
              <w:rPr>
                <w:rFonts w:hint="eastAsia"/>
                <w:sz w:val="18"/>
                <w:szCs w:val="18"/>
              </w:rPr>
              <w:t>0.021</w:t>
            </w:r>
          </w:p>
        </w:tc>
        <w:tc>
          <w:tcPr>
            <w:tcW w:w="254" w:type="pct"/>
            <w:noWrap/>
            <w:vAlign w:val="center"/>
          </w:tcPr>
          <w:p w14:paraId="5C2B1AC4">
            <w:pPr>
              <w:pStyle w:val="133"/>
              <w:rPr>
                <w:sz w:val="18"/>
                <w:szCs w:val="18"/>
              </w:rPr>
            </w:pPr>
            <w:r>
              <w:rPr>
                <w:rFonts w:hint="eastAsia"/>
                <w:sz w:val="18"/>
                <w:szCs w:val="18"/>
              </w:rPr>
              <w:t>0.0105</w:t>
            </w:r>
          </w:p>
        </w:tc>
        <w:tc>
          <w:tcPr>
            <w:tcW w:w="254" w:type="pct"/>
            <w:vAlign w:val="center"/>
          </w:tcPr>
          <w:p w14:paraId="7CAEA738">
            <w:pPr>
              <w:pStyle w:val="133"/>
              <w:rPr>
                <w:sz w:val="18"/>
                <w:szCs w:val="18"/>
              </w:rPr>
            </w:pPr>
          </w:p>
        </w:tc>
        <w:tc>
          <w:tcPr>
            <w:tcW w:w="254" w:type="pct"/>
            <w:vAlign w:val="center"/>
          </w:tcPr>
          <w:p w14:paraId="5351FD43">
            <w:pPr>
              <w:pStyle w:val="133"/>
              <w:rPr>
                <w:sz w:val="18"/>
                <w:szCs w:val="18"/>
              </w:rPr>
            </w:pPr>
          </w:p>
        </w:tc>
        <w:tc>
          <w:tcPr>
            <w:tcW w:w="254" w:type="pct"/>
            <w:vAlign w:val="center"/>
          </w:tcPr>
          <w:p w14:paraId="0B6DDF2A">
            <w:pPr>
              <w:pStyle w:val="133"/>
              <w:rPr>
                <w:sz w:val="18"/>
                <w:szCs w:val="18"/>
              </w:rPr>
            </w:pPr>
          </w:p>
        </w:tc>
        <w:tc>
          <w:tcPr>
            <w:tcW w:w="251" w:type="pct"/>
            <w:vAlign w:val="center"/>
          </w:tcPr>
          <w:p w14:paraId="11171059">
            <w:pPr>
              <w:pStyle w:val="133"/>
              <w:rPr>
                <w:sz w:val="18"/>
                <w:szCs w:val="18"/>
              </w:rPr>
            </w:pPr>
          </w:p>
        </w:tc>
      </w:tr>
      <w:tr w14:paraId="3D342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34135E2A">
            <w:pPr>
              <w:pStyle w:val="133"/>
              <w:rPr>
                <w:sz w:val="18"/>
                <w:szCs w:val="18"/>
              </w:rPr>
            </w:pPr>
            <w:r>
              <w:rPr>
                <w:rFonts w:hint="eastAsia"/>
                <w:sz w:val="18"/>
                <w:szCs w:val="18"/>
              </w:rPr>
              <w:t>46</w:t>
            </w:r>
          </w:p>
        </w:tc>
        <w:tc>
          <w:tcPr>
            <w:tcW w:w="671" w:type="pct"/>
            <w:noWrap/>
            <w:vAlign w:val="center"/>
          </w:tcPr>
          <w:p w14:paraId="66103BCF">
            <w:pPr>
              <w:pStyle w:val="133"/>
              <w:rPr>
                <w:sz w:val="18"/>
                <w:szCs w:val="18"/>
              </w:rPr>
            </w:pPr>
            <w:r>
              <w:rPr>
                <w:rFonts w:hint="eastAsia"/>
                <w:sz w:val="18"/>
                <w:szCs w:val="18"/>
              </w:rPr>
              <w:t>在建华钛氯化精制尾气</w:t>
            </w:r>
          </w:p>
        </w:tc>
        <w:tc>
          <w:tcPr>
            <w:tcW w:w="324" w:type="pct"/>
            <w:vAlign w:val="center"/>
          </w:tcPr>
          <w:p w14:paraId="17D36A24">
            <w:pPr>
              <w:pStyle w:val="133"/>
              <w:rPr>
                <w:sz w:val="18"/>
                <w:szCs w:val="18"/>
              </w:rPr>
            </w:pPr>
            <w:r>
              <w:rPr>
                <w:rFonts w:hint="eastAsia"/>
                <w:sz w:val="18"/>
                <w:szCs w:val="18"/>
              </w:rPr>
              <w:t>544</w:t>
            </w:r>
          </w:p>
        </w:tc>
        <w:tc>
          <w:tcPr>
            <w:tcW w:w="324" w:type="pct"/>
            <w:vAlign w:val="center"/>
          </w:tcPr>
          <w:p w14:paraId="249B96CF">
            <w:pPr>
              <w:pStyle w:val="133"/>
              <w:rPr>
                <w:sz w:val="18"/>
                <w:szCs w:val="18"/>
              </w:rPr>
            </w:pPr>
            <w:r>
              <w:rPr>
                <w:rFonts w:hint="eastAsia"/>
                <w:sz w:val="18"/>
                <w:szCs w:val="18"/>
              </w:rPr>
              <w:t>-1002</w:t>
            </w:r>
          </w:p>
        </w:tc>
        <w:tc>
          <w:tcPr>
            <w:tcW w:w="362" w:type="pct"/>
            <w:noWrap/>
            <w:vAlign w:val="center"/>
          </w:tcPr>
          <w:p w14:paraId="7FF551B8">
            <w:pPr>
              <w:pStyle w:val="133"/>
              <w:rPr>
                <w:sz w:val="18"/>
                <w:szCs w:val="18"/>
              </w:rPr>
            </w:pPr>
            <w:r>
              <w:rPr>
                <w:rFonts w:hint="eastAsia"/>
                <w:sz w:val="18"/>
                <w:szCs w:val="18"/>
              </w:rPr>
              <w:t>15</w:t>
            </w:r>
          </w:p>
        </w:tc>
        <w:tc>
          <w:tcPr>
            <w:tcW w:w="359" w:type="pct"/>
            <w:noWrap/>
            <w:vAlign w:val="center"/>
          </w:tcPr>
          <w:p w14:paraId="014D0DD6">
            <w:pPr>
              <w:pStyle w:val="133"/>
              <w:rPr>
                <w:sz w:val="18"/>
                <w:szCs w:val="18"/>
              </w:rPr>
            </w:pPr>
            <w:r>
              <w:rPr>
                <w:rFonts w:hint="eastAsia"/>
                <w:sz w:val="18"/>
                <w:szCs w:val="18"/>
              </w:rPr>
              <w:t>0.5</w:t>
            </w:r>
          </w:p>
        </w:tc>
        <w:tc>
          <w:tcPr>
            <w:tcW w:w="361" w:type="pct"/>
            <w:noWrap/>
            <w:vAlign w:val="center"/>
          </w:tcPr>
          <w:p w14:paraId="04188650">
            <w:pPr>
              <w:pStyle w:val="133"/>
              <w:rPr>
                <w:sz w:val="18"/>
                <w:szCs w:val="18"/>
              </w:rPr>
            </w:pPr>
            <w:r>
              <w:rPr>
                <w:rFonts w:hint="eastAsia"/>
                <w:sz w:val="18"/>
                <w:szCs w:val="18"/>
              </w:rPr>
              <w:t>150</w:t>
            </w:r>
          </w:p>
        </w:tc>
        <w:tc>
          <w:tcPr>
            <w:tcW w:w="329" w:type="pct"/>
            <w:vAlign w:val="center"/>
          </w:tcPr>
          <w:p w14:paraId="3BE56E0D">
            <w:pPr>
              <w:pStyle w:val="133"/>
              <w:rPr>
                <w:sz w:val="18"/>
                <w:szCs w:val="18"/>
              </w:rPr>
            </w:pPr>
            <w:r>
              <w:rPr>
                <w:rFonts w:hint="eastAsia"/>
                <w:sz w:val="18"/>
                <w:szCs w:val="18"/>
              </w:rPr>
              <w:t>14000</w:t>
            </w:r>
          </w:p>
        </w:tc>
        <w:tc>
          <w:tcPr>
            <w:tcW w:w="254" w:type="pct"/>
            <w:vAlign w:val="center"/>
          </w:tcPr>
          <w:p w14:paraId="6BBBB687">
            <w:pPr>
              <w:pStyle w:val="133"/>
              <w:rPr>
                <w:sz w:val="18"/>
                <w:szCs w:val="18"/>
              </w:rPr>
            </w:pPr>
          </w:p>
        </w:tc>
        <w:tc>
          <w:tcPr>
            <w:tcW w:w="254" w:type="pct"/>
            <w:vAlign w:val="center"/>
          </w:tcPr>
          <w:p w14:paraId="1B5656C6">
            <w:pPr>
              <w:pStyle w:val="133"/>
              <w:rPr>
                <w:sz w:val="18"/>
                <w:szCs w:val="18"/>
              </w:rPr>
            </w:pPr>
          </w:p>
        </w:tc>
        <w:tc>
          <w:tcPr>
            <w:tcW w:w="254" w:type="pct"/>
            <w:noWrap/>
            <w:vAlign w:val="center"/>
          </w:tcPr>
          <w:p w14:paraId="5A4BBBFA">
            <w:pPr>
              <w:pStyle w:val="133"/>
              <w:rPr>
                <w:sz w:val="18"/>
                <w:szCs w:val="18"/>
              </w:rPr>
            </w:pPr>
          </w:p>
        </w:tc>
        <w:tc>
          <w:tcPr>
            <w:tcW w:w="254" w:type="pct"/>
            <w:noWrap/>
            <w:vAlign w:val="center"/>
          </w:tcPr>
          <w:p w14:paraId="26773BB1">
            <w:pPr>
              <w:pStyle w:val="133"/>
              <w:rPr>
                <w:sz w:val="18"/>
                <w:szCs w:val="18"/>
              </w:rPr>
            </w:pPr>
          </w:p>
        </w:tc>
        <w:tc>
          <w:tcPr>
            <w:tcW w:w="254" w:type="pct"/>
            <w:vAlign w:val="center"/>
          </w:tcPr>
          <w:p w14:paraId="4739AEEC">
            <w:pPr>
              <w:pStyle w:val="133"/>
              <w:rPr>
                <w:sz w:val="18"/>
                <w:szCs w:val="18"/>
              </w:rPr>
            </w:pPr>
          </w:p>
        </w:tc>
        <w:tc>
          <w:tcPr>
            <w:tcW w:w="254" w:type="pct"/>
            <w:vAlign w:val="center"/>
          </w:tcPr>
          <w:p w14:paraId="0AF8615D">
            <w:pPr>
              <w:pStyle w:val="133"/>
              <w:rPr>
                <w:sz w:val="18"/>
                <w:szCs w:val="18"/>
              </w:rPr>
            </w:pPr>
          </w:p>
        </w:tc>
        <w:tc>
          <w:tcPr>
            <w:tcW w:w="254" w:type="pct"/>
            <w:vAlign w:val="center"/>
          </w:tcPr>
          <w:p w14:paraId="75BBE727">
            <w:pPr>
              <w:pStyle w:val="133"/>
              <w:rPr>
                <w:sz w:val="18"/>
                <w:szCs w:val="18"/>
              </w:rPr>
            </w:pPr>
          </w:p>
        </w:tc>
        <w:tc>
          <w:tcPr>
            <w:tcW w:w="251" w:type="pct"/>
            <w:vAlign w:val="center"/>
          </w:tcPr>
          <w:p w14:paraId="449FB01D">
            <w:pPr>
              <w:pStyle w:val="133"/>
              <w:rPr>
                <w:sz w:val="18"/>
                <w:szCs w:val="18"/>
              </w:rPr>
            </w:pPr>
          </w:p>
        </w:tc>
      </w:tr>
      <w:tr w14:paraId="4E1F8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14B8874F">
            <w:pPr>
              <w:pStyle w:val="133"/>
              <w:rPr>
                <w:sz w:val="18"/>
                <w:szCs w:val="18"/>
              </w:rPr>
            </w:pPr>
            <w:r>
              <w:rPr>
                <w:rFonts w:hint="eastAsia"/>
                <w:sz w:val="18"/>
                <w:szCs w:val="18"/>
              </w:rPr>
              <w:t>47</w:t>
            </w:r>
          </w:p>
        </w:tc>
        <w:tc>
          <w:tcPr>
            <w:tcW w:w="671" w:type="pct"/>
            <w:noWrap/>
            <w:vAlign w:val="center"/>
          </w:tcPr>
          <w:p w14:paraId="062B9421">
            <w:pPr>
              <w:pStyle w:val="133"/>
              <w:rPr>
                <w:sz w:val="18"/>
                <w:szCs w:val="18"/>
              </w:rPr>
            </w:pPr>
            <w:r>
              <w:rPr>
                <w:rFonts w:hint="eastAsia"/>
                <w:sz w:val="18"/>
                <w:szCs w:val="18"/>
              </w:rPr>
              <w:t>在建华钛镁电解尾气</w:t>
            </w:r>
          </w:p>
        </w:tc>
        <w:tc>
          <w:tcPr>
            <w:tcW w:w="324" w:type="pct"/>
            <w:vAlign w:val="center"/>
          </w:tcPr>
          <w:p w14:paraId="50DE72D4">
            <w:pPr>
              <w:pStyle w:val="133"/>
              <w:rPr>
                <w:sz w:val="18"/>
                <w:szCs w:val="18"/>
              </w:rPr>
            </w:pPr>
            <w:r>
              <w:rPr>
                <w:rFonts w:hint="eastAsia"/>
                <w:sz w:val="18"/>
                <w:szCs w:val="18"/>
              </w:rPr>
              <w:t>374</w:t>
            </w:r>
          </w:p>
        </w:tc>
        <w:tc>
          <w:tcPr>
            <w:tcW w:w="324" w:type="pct"/>
            <w:vAlign w:val="center"/>
          </w:tcPr>
          <w:p w14:paraId="00E81BBE">
            <w:pPr>
              <w:pStyle w:val="133"/>
              <w:rPr>
                <w:sz w:val="18"/>
                <w:szCs w:val="18"/>
              </w:rPr>
            </w:pPr>
            <w:r>
              <w:rPr>
                <w:rFonts w:hint="eastAsia"/>
                <w:sz w:val="18"/>
                <w:szCs w:val="18"/>
              </w:rPr>
              <w:t>-1002</w:t>
            </w:r>
          </w:p>
        </w:tc>
        <w:tc>
          <w:tcPr>
            <w:tcW w:w="362" w:type="pct"/>
            <w:noWrap/>
            <w:vAlign w:val="center"/>
          </w:tcPr>
          <w:p w14:paraId="637CEAA3">
            <w:pPr>
              <w:pStyle w:val="133"/>
              <w:rPr>
                <w:sz w:val="18"/>
                <w:szCs w:val="18"/>
              </w:rPr>
            </w:pPr>
            <w:r>
              <w:rPr>
                <w:rFonts w:hint="eastAsia"/>
                <w:sz w:val="18"/>
                <w:szCs w:val="18"/>
              </w:rPr>
              <w:t>35</w:t>
            </w:r>
          </w:p>
        </w:tc>
        <w:tc>
          <w:tcPr>
            <w:tcW w:w="359" w:type="pct"/>
            <w:noWrap/>
            <w:vAlign w:val="center"/>
          </w:tcPr>
          <w:p w14:paraId="4A426C45">
            <w:pPr>
              <w:pStyle w:val="133"/>
              <w:rPr>
                <w:sz w:val="18"/>
                <w:szCs w:val="18"/>
              </w:rPr>
            </w:pPr>
            <w:r>
              <w:rPr>
                <w:rFonts w:hint="eastAsia"/>
                <w:sz w:val="18"/>
                <w:szCs w:val="18"/>
              </w:rPr>
              <w:t>1</w:t>
            </w:r>
          </w:p>
        </w:tc>
        <w:tc>
          <w:tcPr>
            <w:tcW w:w="361" w:type="pct"/>
            <w:noWrap/>
            <w:vAlign w:val="center"/>
          </w:tcPr>
          <w:p w14:paraId="71407E70">
            <w:pPr>
              <w:pStyle w:val="133"/>
              <w:rPr>
                <w:sz w:val="18"/>
                <w:szCs w:val="18"/>
              </w:rPr>
            </w:pPr>
            <w:r>
              <w:rPr>
                <w:rFonts w:hint="eastAsia"/>
                <w:sz w:val="18"/>
                <w:szCs w:val="18"/>
              </w:rPr>
              <w:t>150</w:t>
            </w:r>
          </w:p>
        </w:tc>
        <w:tc>
          <w:tcPr>
            <w:tcW w:w="329" w:type="pct"/>
            <w:vAlign w:val="center"/>
          </w:tcPr>
          <w:p w14:paraId="523F73B1">
            <w:pPr>
              <w:pStyle w:val="133"/>
              <w:rPr>
                <w:sz w:val="18"/>
                <w:szCs w:val="18"/>
              </w:rPr>
            </w:pPr>
            <w:r>
              <w:rPr>
                <w:rFonts w:hint="eastAsia"/>
                <w:sz w:val="18"/>
                <w:szCs w:val="18"/>
              </w:rPr>
              <w:t>10000</w:t>
            </w:r>
          </w:p>
        </w:tc>
        <w:tc>
          <w:tcPr>
            <w:tcW w:w="254" w:type="pct"/>
            <w:vAlign w:val="center"/>
          </w:tcPr>
          <w:p w14:paraId="67462171">
            <w:pPr>
              <w:pStyle w:val="133"/>
              <w:rPr>
                <w:sz w:val="18"/>
                <w:szCs w:val="18"/>
              </w:rPr>
            </w:pPr>
          </w:p>
        </w:tc>
        <w:tc>
          <w:tcPr>
            <w:tcW w:w="254" w:type="pct"/>
            <w:vAlign w:val="center"/>
          </w:tcPr>
          <w:p w14:paraId="087DEB95">
            <w:pPr>
              <w:pStyle w:val="133"/>
              <w:rPr>
                <w:sz w:val="18"/>
                <w:szCs w:val="18"/>
              </w:rPr>
            </w:pPr>
          </w:p>
        </w:tc>
        <w:tc>
          <w:tcPr>
            <w:tcW w:w="254" w:type="pct"/>
            <w:noWrap/>
            <w:vAlign w:val="center"/>
          </w:tcPr>
          <w:p w14:paraId="61C36C73">
            <w:pPr>
              <w:pStyle w:val="133"/>
              <w:rPr>
                <w:sz w:val="18"/>
                <w:szCs w:val="18"/>
              </w:rPr>
            </w:pPr>
          </w:p>
        </w:tc>
        <w:tc>
          <w:tcPr>
            <w:tcW w:w="254" w:type="pct"/>
            <w:noWrap/>
            <w:vAlign w:val="center"/>
          </w:tcPr>
          <w:p w14:paraId="21244FE5">
            <w:pPr>
              <w:pStyle w:val="133"/>
              <w:rPr>
                <w:sz w:val="18"/>
                <w:szCs w:val="18"/>
              </w:rPr>
            </w:pPr>
          </w:p>
        </w:tc>
        <w:tc>
          <w:tcPr>
            <w:tcW w:w="254" w:type="pct"/>
            <w:vAlign w:val="center"/>
          </w:tcPr>
          <w:p w14:paraId="0919CF0C">
            <w:pPr>
              <w:pStyle w:val="133"/>
              <w:rPr>
                <w:sz w:val="18"/>
                <w:szCs w:val="18"/>
              </w:rPr>
            </w:pPr>
          </w:p>
        </w:tc>
        <w:tc>
          <w:tcPr>
            <w:tcW w:w="254" w:type="pct"/>
            <w:vAlign w:val="center"/>
          </w:tcPr>
          <w:p w14:paraId="3E28C472">
            <w:pPr>
              <w:pStyle w:val="133"/>
              <w:rPr>
                <w:sz w:val="18"/>
                <w:szCs w:val="18"/>
              </w:rPr>
            </w:pPr>
          </w:p>
        </w:tc>
        <w:tc>
          <w:tcPr>
            <w:tcW w:w="254" w:type="pct"/>
            <w:vAlign w:val="center"/>
          </w:tcPr>
          <w:p w14:paraId="3D050F06">
            <w:pPr>
              <w:pStyle w:val="133"/>
              <w:rPr>
                <w:sz w:val="18"/>
                <w:szCs w:val="18"/>
              </w:rPr>
            </w:pPr>
          </w:p>
        </w:tc>
        <w:tc>
          <w:tcPr>
            <w:tcW w:w="251" w:type="pct"/>
            <w:vAlign w:val="center"/>
          </w:tcPr>
          <w:p w14:paraId="061E2935">
            <w:pPr>
              <w:pStyle w:val="133"/>
              <w:rPr>
                <w:sz w:val="18"/>
                <w:szCs w:val="18"/>
              </w:rPr>
            </w:pPr>
          </w:p>
        </w:tc>
      </w:tr>
      <w:tr w14:paraId="44951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2AE81D20">
            <w:pPr>
              <w:pStyle w:val="133"/>
              <w:rPr>
                <w:sz w:val="18"/>
                <w:szCs w:val="18"/>
              </w:rPr>
            </w:pPr>
            <w:r>
              <w:rPr>
                <w:rFonts w:hint="eastAsia"/>
                <w:sz w:val="18"/>
                <w:szCs w:val="18"/>
              </w:rPr>
              <w:t>48</w:t>
            </w:r>
          </w:p>
        </w:tc>
        <w:tc>
          <w:tcPr>
            <w:tcW w:w="671" w:type="pct"/>
            <w:noWrap/>
            <w:vAlign w:val="center"/>
          </w:tcPr>
          <w:p w14:paraId="25B21823">
            <w:pPr>
              <w:pStyle w:val="133"/>
              <w:rPr>
                <w:sz w:val="18"/>
                <w:szCs w:val="18"/>
              </w:rPr>
            </w:pPr>
            <w:r>
              <w:rPr>
                <w:rFonts w:hint="eastAsia"/>
                <w:sz w:val="18"/>
                <w:szCs w:val="18"/>
              </w:rPr>
              <w:t>在建华钛砂热再生系统废气</w:t>
            </w:r>
          </w:p>
        </w:tc>
        <w:tc>
          <w:tcPr>
            <w:tcW w:w="324" w:type="pct"/>
            <w:vAlign w:val="center"/>
          </w:tcPr>
          <w:p w14:paraId="3C54C371">
            <w:pPr>
              <w:pStyle w:val="133"/>
              <w:rPr>
                <w:sz w:val="18"/>
                <w:szCs w:val="18"/>
              </w:rPr>
            </w:pPr>
            <w:r>
              <w:rPr>
                <w:rFonts w:hint="eastAsia"/>
                <w:sz w:val="18"/>
                <w:szCs w:val="18"/>
              </w:rPr>
              <w:t>119</w:t>
            </w:r>
          </w:p>
        </w:tc>
        <w:tc>
          <w:tcPr>
            <w:tcW w:w="324" w:type="pct"/>
            <w:vAlign w:val="center"/>
          </w:tcPr>
          <w:p w14:paraId="1ADA9FE4">
            <w:pPr>
              <w:pStyle w:val="133"/>
              <w:rPr>
                <w:sz w:val="18"/>
                <w:szCs w:val="18"/>
              </w:rPr>
            </w:pPr>
            <w:r>
              <w:rPr>
                <w:rFonts w:hint="eastAsia"/>
                <w:sz w:val="18"/>
                <w:szCs w:val="18"/>
              </w:rPr>
              <w:t>-1058</w:t>
            </w:r>
          </w:p>
        </w:tc>
        <w:tc>
          <w:tcPr>
            <w:tcW w:w="362" w:type="pct"/>
            <w:noWrap/>
            <w:vAlign w:val="center"/>
          </w:tcPr>
          <w:p w14:paraId="5034BF80">
            <w:pPr>
              <w:pStyle w:val="133"/>
              <w:rPr>
                <w:sz w:val="18"/>
                <w:szCs w:val="18"/>
              </w:rPr>
            </w:pPr>
            <w:r>
              <w:rPr>
                <w:rFonts w:hint="eastAsia"/>
                <w:sz w:val="18"/>
                <w:szCs w:val="18"/>
              </w:rPr>
              <w:t>15</w:t>
            </w:r>
          </w:p>
        </w:tc>
        <w:tc>
          <w:tcPr>
            <w:tcW w:w="359" w:type="pct"/>
            <w:noWrap/>
            <w:vAlign w:val="center"/>
          </w:tcPr>
          <w:p w14:paraId="12A36AE4">
            <w:pPr>
              <w:pStyle w:val="133"/>
              <w:rPr>
                <w:sz w:val="18"/>
                <w:szCs w:val="18"/>
              </w:rPr>
            </w:pPr>
            <w:r>
              <w:rPr>
                <w:rFonts w:hint="eastAsia"/>
                <w:sz w:val="18"/>
                <w:szCs w:val="18"/>
              </w:rPr>
              <w:t>0.5</w:t>
            </w:r>
          </w:p>
        </w:tc>
        <w:tc>
          <w:tcPr>
            <w:tcW w:w="361" w:type="pct"/>
            <w:noWrap/>
            <w:vAlign w:val="center"/>
          </w:tcPr>
          <w:p w14:paraId="22487B0E">
            <w:pPr>
              <w:pStyle w:val="133"/>
              <w:rPr>
                <w:sz w:val="18"/>
                <w:szCs w:val="18"/>
              </w:rPr>
            </w:pPr>
            <w:r>
              <w:rPr>
                <w:rFonts w:hint="eastAsia"/>
                <w:sz w:val="18"/>
                <w:szCs w:val="18"/>
              </w:rPr>
              <w:t>130</w:t>
            </w:r>
          </w:p>
        </w:tc>
        <w:tc>
          <w:tcPr>
            <w:tcW w:w="329" w:type="pct"/>
            <w:vAlign w:val="center"/>
          </w:tcPr>
          <w:p w14:paraId="51A593D6">
            <w:pPr>
              <w:pStyle w:val="133"/>
              <w:rPr>
                <w:sz w:val="18"/>
                <w:szCs w:val="18"/>
              </w:rPr>
            </w:pPr>
            <w:r>
              <w:rPr>
                <w:rFonts w:hint="eastAsia"/>
                <w:sz w:val="18"/>
                <w:szCs w:val="18"/>
              </w:rPr>
              <w:t>22800</w:t>
            </w:r>
          </w:p>
        </w:tc>
        <w:tc>
          <w:tcPr>
            <w:tcW w:w="254" w:type="pct"/>
            <w:vAlign w:val="center"/>
          </w:tcPr>
          <w:p w14:paraId="58256B15">
            <w:pPr>
              <w:pStyle w:val="133"/>
              <w:rPr>
                <w:sz w:val="18"/>
                <w:szCs w:val="18"/>
              </w:rPr>
            </w:pPr>
            <w:r>
              <w:rPr>
                <w:sz w:val="18"/>
                <w:szCs w:val="18"/>
              </w:rPr>
              <w:t>0.684</w:t>
            </w:r>
          </w:p>
        </w:tc>
        <w:tc>
          <w:tcPr>
            <w:tcW w:w="254" w:type="pct"/>
            <w:vAlign w:val="center"/>
          </w:tcPr>
          <w:p w14:paraId="2E89E583">
            <w:pPr>
              <w:pStyle w:val="133"/>
              <w:rPr>
                <w:sz w:val="18"/>
                <w:szCs w:val="18"/>
              </w:rPr>
            </w:pPr>
            <w:r>
              <w:rPr>
                <w:sz w:val="18"/>
                <w:szCs w:val="18"/>
              </w:rPr>
              <w:t>2.8314</w:t>
            </w:r>
          </w:p>
        </w:tc>
        <w:tc>
          <w:tcPr>
            <w:tcW w:w="254" w:type="pct"/>
            <w:noWrap/>
            <w:vAlign w:val="center"/>
          </w:tcPr>
          <w:p w14:paraId="7B36A71B">
            <w:pPr>
              <w:pStyle w:val="133"/>
              <w:rPr>
                <w:sz w:val="18"/>
                <w:szCs w:val="18"/>
              </w:rPr>
            </w:pPr>
            <w:r>
              <w:rPr>
                <w:rFonts w:hint="eastAsia"/>
                <w:sz w:val="18"/>
                <w:szCs w:val="18"/>
              </w:rPr>
              <w:t>0.046</w:t>
            </w:r>
          </w:p>
        </w:tc>
        <w:tc>
          <w:tcPr>
            <w:tcW w:w="254" w:type="pct"/>
            <w:noWrap/>
            <w:vAlign w:val="center"/>
          </w:tcPr>
          <w:p w14:paraId="7AB5B2D0">
            <w:pPr>
              <w:pStyle w:val="133"/>
              <w:rPr>
                <w:sz w:val="18"/>
                <w:szCs w:val="18"/>
              </w:rPr>
            </w:pPr>
            <w:r>
              <w:rPr>
                <w:rFonts w:hint="eastAsia"/>
                <w:sz w:val="18"/>
                <w:szCs w:val="18"/>
              </w:rPr>
              <w:t>0.023</w:t>
            </w:r>
          </w:p>
        </w:tc>
        <w:tc>
          <w:tcPr>
            <w:tcW w:w="254" w:type="pct"/>
            <w:vAlign w:val="center"/>
          </w:tcPr>
          <w:p w14:paraId="2799C715">
            <w:pPr>
              <w:pStyle w:val="133"/>
              <w:rPr>
                <w:sz w:val="18"/>
                <w:szCs w:val="18"/>
              </w:rPr>
            </w:pPr>
          </w:p>
        </w:tc>
        <w:tc>
          <w:tcPr>
            <w:tcW w:w="254" w:type="pct"/>
            <w:vAlign w:val="center"/>
          </w:tcPr>
          <w:p w14:paraId="51772B4C">
            <w:pPr>
              <w:pStyle w:val="133"/>
              <w:rPr>
                <w:sz w:val="18"/>
                <w:szCs w:val="18"/>
              </w:rPr>
            </w:pPr>
          </w:p>
        </w:tc>
        <w:tc>
          <w:tcPr>
            <w:tcW w:w="254" w:type="pct"/>
            <w:vAlign w:val="center"/>
          </w:tcPr>
          <w:p w14:paraId="63C4E510">
            <w:pPr>
              <w:pStyle w:val="133"/>
              <w:rPr>
                <w:sz w:val="18"/>
                <w:szCs w:val="18"/>
              </w:rPr>
            </w:pPr>
          </w:p>
        </w:tc>
        <w:tc>
          <w:tcPr>
            <w:tcW w:w="251" w:type="pct"/>
            <w:vAlign w:val="center"/>
          </w:tcPr>
          <w:p w14:paraId="13948A94">
            <w:pPr>
              <w:pStyle w:val="133"/>
              <w:rPr>
                <w:sz w:val="18"/>
                <w:szCs w:val="18"/>
              </w:rPr>
            </w:pPr>
          </w:p>
        </w:tc>
      </w:tr>
      <w:tr w14:paraId="4E7F6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2750692B">
            <w:pPr>
              <w:pStyle w:val="133"/>
              <w:rPr>
                <w:sz w:val="18"/>
                <w:szCs w:val="18"/>
              </w:rPr>
            </w:pPr>
            <w:r>
              <w:rPr>
                <w:rFonts w:hint="eastAsia"/>
                <w:sz w:val="18"/>
                <w:szCs w:val="18"/>
              </w:rPr>
              <w:t>49</w:t>
            </w:r>
          </w:p>
        </w:tc>
        <w:tc>
          <w:tcPr>
            <w:tcW w:w="671" w:type="pct"/>
            <w:noWrap/>
            <w:vAlign w:val="center"/>
          </w:tcPr>
          <w:p w14:paraId="52DF4D05">
            <w:pPr>
              <w:pStyle w:val="133"/>
              <w:rPr>
                <w:sz w:val="18"/>
                <w:szCs w:val="18"/>
              </w:rPr>
            </w:pPr>
            <w:r>
              <w:rPr>
                <w:rFonts w:hint="eastAsia"/>
                <w:sz w:val="18"/>
                <w:szCs w:val="18"/>
              </w:rPr>
              <w:t>在建华钛原料料仓、输送及配料过程</w:t>
            </w:r>
          </w:p>
        </w:tc>
        <w:tc>
          <w:tcPr>
            <w:tcW w:w="324" w:type="pct"/>
            <w:vAlign w:val="center"/>
          </w:tcPr>
          <w:p w14:paraId="5B9A8DB5">
            <w:pPr>
              <w:pStyle w:val="133"/>
              <w:rPr>
                <w:sz w:val="18"/>
                <w:szCs w:val="18"/>
              </w:rPr>
            </w:pPr>
            <w:r>
              <w:rPr>
                <w:rFonts w:hint="eastAsia"/>
                <w:sz w:val="18"/>
                <w:szCs w:val="18"/>
              </w:rPr>
              <w:t>190</w:t>
            </w:r>
          </w:p>
        </w:tc>
        <w:tc>
          <w:tcPr>
            <w:tcW w:w="324" w:type="pct"/>
            <w:vAlign w:val="center"/>
          </w:tcPr>
          <w:p w14:paraId="533B513D">
            <w:pPr>
              <w:pStyle w:val="133"/>
              <w:rPr>
                <w:sz w:val="18"/>
                <w:szCs w:val="18"/>
              </w:rPr>
            </w:pPr>
            <w:r>
              <w:rPr>
                <w:rFonts w:hint="eastAsia"/>
                <w:sz w:val="18"/>
                <w:szCs w:val="18"/>
              </w:rPr>
              <w:t>-450</w:t>
            </w:r>
          </w:p>
        </w:tc>
        <w:tc>
          <w:tcPr>
            <w:tcW w:w="362" w:type="pct"/>
            <w:noWrap/>
            <w:vAlign w:val="center"/>
          </w:tcPr>
          <w:p w14:paraId="25A86E00">
            <w:pPr>
              <w:pStyle w:val="133"/>
              <w:rPr>
                <w:sz w:val="18"/>
                <w:szCs w:val="18"/>
              </w:rPr>
            </w:pPr>
            <w:r>
              <w:rPr>
                <w:rFonts w:hint="eastAsia"/>
                <w:sz w:val="18"/>
                <w:szCs w:val="18"/>
              </w:rPr>
              <w:t>15</w:t>
            </w:r>
          </w:p>
        </w:tc>
        <w:tc>
          <w:tcPr>
            <w:tcW w:w="359" w:type="pct"/>
            <w:noWrap/>
            <w:vAlign w:val="center"/>
          </w:tcPr>
          <w:p w14:paraId="4990AB80">
            <w:pPr>
              <w:pStyle w:val="133"/>
              <w:rPr>
                <w:sz w:val="18"/>
                <w:szCs w:val="18"/>
              </w:rPr>
            </w:pPr>
            <w:r>
              <w:rPr>
                <w:rFonts w:hint="eastAsia"/>
                <w:sz w:val="18"/>
                <w:szCs w:val="18"/>
              </w:rPr>
              <w:t>0.6</w:t>
            </w:r>
          </w:p>
        </w:tc>
        <w:tc>
          <w:tcPr>
            <w:tcW w:w="361" w:type="pct"/>
            <w:noWrap/>
            <w:vAlign w:val="center"/>
          </w:tcPr>
          <w:p w14:paraId="4E101B80">
            <w:pPr>
              <w:pStyle w:val="133"/>
              <w:rPr>
                <w:sz w:val="18"/>
                <w:szCs w:val="18"/>
              </w:rPr>
            </w:pPr>
            <w:r>
              <w:rPr>
                <w:rFonts w:hint="eastAsia"/>
                <w:sz w:val="18"/>
                <w:szCs w:val="18"/>
              </w:rPr>
              <w:t>20</w:t>
            </w:r>
          </w:p>
        </w:tc>
        <w:tc>
          <w:tcPr>
            <w:tcW w:w="329" w:type="pct"/>
            <w:vAlign w:val="center"/>
          </w:tcPr>
          <w:p w14:paraId="5AFBDAB6">
            <w:pPr>
              <w:pStyle w:val="133"/>
              <w:rPr>
                <w:sz w:val="18"/>
                <w:szCs w:val="18"/>
              </w:rPr>
            </w:pPr>
            <w:r>
              <w:rPr>
                <w:rFonts w:hint="eastAsia"/>
                <w:sz w:val="18"/>
                <w:szCs w:val="18"/>
              </w:rPr>
              <w:t>50000</w:t>
            </w:r>
          </w:p>
        </w:tc>
        <w:tc>
          <w:tcPr>
            <w:tcW w:w="254" w:type="pct"/>
            <w:vAlign w:val="center"/>
          </w:tcPr>
          <w:p w14:paraId="0B025076">
            <w:pPr>
              <w:pStyle w:val="133"/>
              <w:rPr>
                <w:sz w:val="18"/>
                <w:szCs w:val="18"/>
              </w:rPr>
            </w:pPr>
          </w:p>
        </w:tc>
        <w:tc>
          <w:tcPr>
            <w:tcW w:w="254" w:type="pct"/>
            <w:vAlign w:val="center"/>
          </w:tcPr>
          <w:p w14:paraId="72D57842">
            <w:pPr>
              <w:pStyle w:val="133"/>
              <w:rPr>
                <w:sz w:val="18"/>
                <w:szCs w:val="18"/>
              </w:rPr>
            </w:pPr>
          </w:p>
        </w:tc>
        <w:tc>
          <w:tcPr>
            <w:tcW w:w="254" w:type="pct"/>
            <w:noWrap/>
            <w:vAlign w:val="center"/>
          </w:tcPr>
          <w:p w14:paraId="0273816E">
            <w:pPr>
              <w:pStyle w:val="133"/>
              <w:rPr>
                <w:sz w:val="18"/>
                <w:szCs w:val="18"/>
              </w:rPr>
            </w:pPr>
            <w:r>
              <w:rPr>
                <w:rFonts w:hint="eastAsia"/>
                <w:sz w:val="18"/>
                <w:szCs w:val="18"/>
              </w:rPr>
              <w:t>1.5</w:t>
            </w:r>
          </w:p>
        </w:tc>
        <w:tc>
          <w:tcPr>
            <w:tcW w:w="254" w:type="pct"/>
            <w:noWrap/>
            <w:vAlign w:val="center"/>
          </w:tcPr>
          <w:p w14:paraId="2438F968">
            <w:pPr>
              <w:pStyle w:val="133"/>
              <w:rPr>
                <w:sz w:val="18"/>
                <w:szCs w:val="18"/>
              </w:rPr>
            </w:pPr>
            <w:r>
              <w:rPr>
                <w:rFonts w:hint="eastAsia"/>
                <w:sz w:val="18"/>
                <w:szCs w:val="18"/>
              </w:rPr>
              <w:t>0.75</w:t>
            </w:r>
          </w:p>
        </w:tc>
        <w:tc>
          <w:tcPr>
            <w:tcW w:w="254" w:type="pct"/>
            <w:vAlign w:val="center"/>
          </w:tcPr>
          <w:p w14:paraId="38C4D736">
            <w:pPr>
              <w:pStyle w:val="133"/>
              <w:rPr>
                <w:sz w:val="18"/>
                <w:szCs w:val="18"/>
              </w:rPr>
            </w:pPr>
          </w:p>
        </w:tc>
        <w:tc>
          <w:tcPr>
            <w:tcW w:w="254" w:type="pct"/>
            <w:vAlign w:val="center"/>
          </w:tcPr>
          <w:p w14:paraId="72810795">
            <w:pPr>
              <w:pStyle w:val="133"/>
              <w:rPr>
                <w:sz w:val="18"/>
                <w:szCs w:val="18"/>
              </w:rPr>
            </w:pPr>
          </w:p>
        </w:tc>
        <w:tc>
          <w:tcPr>
            <w:tcW w:w="254" w:type="pct"/>
            <w:vAlign w:val="center"/>
          </w:tcPr>
          <w:p w14:paraId="5B0CDE95">
            <w:pPr>
              <w:pStyle w:val="133"/>
              <w:rPr>
                <w:sz w:val="18"/>
                <w:szCs w:val="18"/>
              </w:rPr>
            </w:pPr>
          </w:p>
        </w:tc>
        <w:tc>
          <w:tcPr>
            <w:tcW w:w="251" w:type="pct"/>
            <w:vAlign w:val="center"/>
          </w:tcPr>
          <w:p w14:paraId="17C3D2EC">
            <w:pPr>
              <w:pStyle w:val="133"/>
              <w:rPr>
                <w:sz w:val="18"/>
                <w:szCs w:val="18"/>
              </w:rPr>
            </w:pPr>
          </w:p>
        </w:tc>
      </w:tr>
      <w:tr w14:paraId="2D2C6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08424821">
            <w:pPr>
              <w:pStyle w:val="133"/>
              <w:rPr>
                <w:sz w:val="18"/>
                <w:szCs w:val="18"/>
              </w:rPr>
            </w:pPr>
            <w:r>
              <w:rPr>
                <w:rFonts w:hint="eastAsia"/>
                <w:sz w:val="18"/>
                <w:szCs w:val="18"/>
              </w:rPr>
              <w:t>50</w:t>
            </w:r>
          </w:p>
        </w:tc>
        <w:tc>
          <w:tcPr>
            <w:tcW w:w="671" w:type="pct"/>
            <w:noWrap/>
            <w:vAlign w:val="center"/>
          </w:tcPr>
          <w:p w14:paraId="71D5BC9A">
            <w:pPr>
              <w:pStyle w:val="133"/>
              <w:rPr>
                <w:sz w:val="18"/>
                <w:szCs w:val="18"/>
              </w:rPr>
            </w:pPr>
            <w:r>
              <w:rPr>
                <w:rFonts w:hint="eastAsia"/>
                <w:sz w:val="18"/>
                <w:szCs w:val="18"/>
              </w:rPr>
              <w:t>在建华钛钛渣熔炼及冷却输送及配料过程</w:t>
            </w:r>
          </w:p>
        </w:tc>
        <w:tc>
          <w:tcPr>
            <w:tcW w:w="324" w:type="pct"/>
            <w:vAlign w:val="center"/>
          </w:tcPr>
          <w:p w14:paraId="2FB15D01">
            <w:pPr>
              <w:pStyle w:val="133"/>
              <w:rPr>
                <w:sz w:val="18"/>
                <w:szCs w:val="18"/>
              </w:rPr>
            </w:pPr>
            <w:r>
              <w:rPr>
                <w:rFonts w:hint="eastAsia"/>
                <w:sz w:val="18"/>
                <w:szCs w:val="18"/>
              </w:rPr>
              <w:t>190</w:t>
            </w:r>
          </w:p>
        </w:tc>
        <w:tc>
          <w:tcPr>
            <w:tcW w:w="324" w:type="pct"/>
            <w:vAlign w:val="center"/>
          </w:tcPr>
          <w:p w14:paraId="4249A8FC">
            <w:pPr>
              <w:pStyle w:val="133"/>
              <w:rPr>
                <w:sz w:val="18"/>
                <w:szCs w:val="18"/>
              </w:rPr>
            </w:pPr>
            <w:r>
              <w:rPr>
                <w:rFonts w:hint="eastAsia"/>
                <w:sz w:val="18"/>
                <w:szCs w:val="18"/>
              </w:rPr>
              <w:t>-705</w:t>
            </w:r>
          </w:p>
        </w:tc>
        <w:tc>
          <w:tcPr>
            <w:tcW w:w="362" w:type="pct"/>
            <w:noWrap/>
            <w:vAlign w:val="center"/>
          </w:tcPr>
          <w:p w14:paraId="1EE4992D">
            <w:pPr>
              <w:pStyle w:val="133"/>
              <w:rPr>
                <w:sz w:val="18"/>
                <w:szCs w:val="18"/>
              </w:rPr>
            </w:pPr>
            <w:r>
              <w:rPr>
                <w:rFonts w:hint="eastAsia"/>
                <w:sz w:val="18"/>
                <w:szCs w:val="18"/>
              </w:rPr>
              <w:t>15</w:t>
            </w:r>
          </w:p>
        </w:tc>
        <w:tc>
          <w:tcPr>
            <w:tcW w:w="359" w:type="pct"/>
            <w:noWrap/>
            <w:vAlign w:val="center"/>
          </w:tcPr>
          <w:p w14:paraId="42D50DB8">
            <w:pPr>
              <w:pStyle w:val="133"/>
              <w:rPr>
                <w:sz w:val="18"/>
                <w:szCs w:val="18"/>
              </w:rPr>
            </w:pPr>
            <w:r>
              <w:rPr>
                <w:rFonts w:hint="eastAsia"/>
                <w:sz w:val="18"/>
                <w:szCs w:val="18"/>
              </w:rPr>
              <w:t>0.5</w:t>
            </w:r>
          </w:p>
        </w:tc>
        <w:tc>
          <w:tcPr>
            <w:tcW w:w="361" w:type="pct"/>
            <w:noWrap/>
            <w:vAlign w:val="center"/>
          </w:tcPr>
          <w:p w14:paraId="027C126E">
            <w:pPr>
              <w:pStyle w:val="133"/>
              <w:rPr>
                <w:sz w:val="18"/>
                <w:szCs w:val="18"/>
              </w:rPr>
            </w:pPr>
            <w:r>
              <w:rPr>
                <w:rFonts w:hint="eastAsia"/>
                <w:sz w:val="18"/>
                <w:szCs w:val="18"/>
              </w:rPr>
              <w:t>20</w:t>
            </w:r>
          </w:p>
        </w:tc>
        <w:tc>
          <w:tcPr>
            <w:tcW w:w="329" w:type="pct"/>
            <w:vAlign w:val="center"/>
          </w:tcPr>
          <w:p w14:paraId="6CDBBD7B">
            <w:pPr>
              <w:pStyle w:val="133"/>
              <w:rPr>
                <w:sz w:val="18"/>
                <w:szCs w:val="18"/>
              </w:rPr>
            </w:pPr>
            <w:r>
              <w:rPr>
                <w:rFonts w:hint="eastAsia"/>
                <w:sz w:val="18"/>
                <w:szCs w:val="18"/>
              </w:rPr>
              <w:t>60000</w:t>
            </w:r>
          </w:p>
        </w:tc>
        <w:tc>
          <w:tcPr>
            <w:tcW w:w="254" w:type="pct"/>
            <w:vAlign w:val="center"/>
          </w:tcPr>
          <w:p w14:paraId="45010861">
            <w:pPr>
              <w:pStyle w:val="133"/>
              <w:rPr>
                <w:sz w:val="18"/>
                <w:szCs w:val="18"/>
              </w:rPr>
            </w:pPr>
          </w:p>
        </w:tc>
        <w:tc>
          <w:tcPr>
            <w:tcW w:w="254" w:type="pct"/>
            <w:vAlign w:val="center"/>
          </w:tcPr>
          <w:p w14:paraId="53AB42FC">
            <w:pPr>
              <w:pStyle w:val="133"/>
              <w:rPr>
                <w:sz w:val="18"/>
                <w:szCs w:val="18"/>
              </w:rPr>
            </w:pPr>
          </w:p>
        </w:tc>
        <w:tc>
          <w:tcPr>
            <w:tcW w:w="254" w:type="pct"/>
            <w:noWrap/>
            <w:vAlign w:val="center"/>
          </w:tcPr>
          <w:p w14:paraId="6C359DE7">
            <w:pPr>
              <w:pStyle w:val="133"/>
              <w:rPr>
                <w:sz w:val="18"/>
                <w:szCs w:val="18"/>
              </w:rPr>
            </w:pPr>
            <w:r>
              <w:rPr>
                <w:rFonts w:hint="eastAsia"/>
                <w:sz w:val="18"/>
                <w:szCs w:val="18"/>
              </w:rPr>
              <w:t>1.8</w:t>
            </w:r>
          </w:p>
        </w:tc>
        <w:tc>
          <w:tcPr>
            <w:tcW w:w="254" w:type="pct"/>
            <w:noWrap/>
            <w:vAlign w:val="center"/>
          </w:tcPr>
          <w:p w14:paraId="5FF79762">
            <w:pPr>
              <w:pStyle w:val="133"/>
              <w:rPr>
                <w:sz w:val="18"/>
                <w:szCs w:val="18"/>
              </w:rPr>
            </w:pPr>
            <w:r>
              <w:rPr>
                <w:rFonts w:hint="eastAsia"/>
                <w:sz w:val="18"/>
                <w:szCs w:val="18"/>
              </w:rPr>
              <w:t>0.9</w:t>
            </w:r>
          </w:p>
        </w:tc>
        <w:tc>
          <w:tcPr>
            <w:tcW w:w="254" w:type="pct"/>
            <w:vAlign w:val="center"/>
          </w:tcPr>
          <w:p w14:paraId="38777D2B">
            <w:pPr>
              <w:pStyle w:val="133"/>
              <w:rPr>
                <w:sz w:val="18"/>
                <w:szCs w:val="18"/>
              </w:rPr>
            </w:pPr>
          </w:p>
        </w:tc>
        <w:tc>
          <w:tcPr>
            <w:tcW w:w="254" w:type="pct"/>
            <w:vAlign w:val="center"/>
          </w:tcPr>
          <w:p w14:paraId="5B09AA0B">
            <w:pPr>
              <w:pStyle w:val="133"/>
              <w:rPr>
                <w:sz w:val="18"/>
                <w:szCs w:val="18"/>
              </w:rPr>
            </w:pPr>
          </w:p>
        </w:tc>
        <w:tc>
          <w:tcPr>
            <w:tcW w:w="254" w:type="pct"/>
            <w:vAlign w:val="center"/>
          </w:tcPr>
          <w:p w14:paraId="1CCD5685">
            <w:pPr>
              <w:pStyle w:val="133"/>
              <w:rPr>
                <w:sz w:val="18"/>
                <w:szCs w:val="18"/>
              </w:rPr>
            </w:pPr>
          </w:p>
        </w:tc>
        <w:tc>
          <w:tcPr>
            <w:tcW w:w="251" w:type="pct"/>
            <w:vAlign w:val="center"/>
          </w:tcPr>
          <w:p w14:paraId="0C7CDCB9">
            <w:pPr>
              <w:pStyle w:val="133"/>
              <w:rPr>
                <w:sz w:val="18"/>
                <w:szCs w:val="18"/>
              </w:rPr>
            </w:pPr>
          </w:p>
        </w:tc>
      </w:tr>
      <w:tr w14:paraId="21C3B5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1B472CBF">
            <w:pPr>
              <w:pStyle w:val="133"/>
              <w:rPr>
                <w:sz w:val="18"/>
                <w:szCs w:val="18"/>
              </w:rPr>
            </w:pPr>
            <w:r>
              <w:rPr>
                <w:rFonts w:hint="eastAsia"/>
                <w:sz w:val="18"/>
                <w:szCs w:val="18"/>
              </w:rPr>
              <w:t>51</w:t>
            </w:r>
          </w:p>
        </w:tc>
        <w:tc>
          <w:tcPr>
            <w:tcW w:w="671" w:type="pct"/>
            <w:noWrap/>
            <w:vAlign w:val="center"/>
          </w:tcPr>
          <w:p w14:paraId="148C5A41">
            <w:pPr>
              <w:pStyle w:val="133"/>
              <w:rPr>
                <w:sz w:val="18"/>
                <w:szCs w:val="18"/>
              </w:rPr>
            </w:pPr>
            <w:r>
              <w:rPr>
                <w:rFonts w:hint="eastAsia"/>
                <w:sz w:val="18"/>
                <w:szCs w:val="18"/>
              </w:rPr>
              <w:t>在建华钛钛渣破碎、筛分、输送、包装过程</w:t>
            </w:r>
          </w:p>
        </w:tc>
        <w:tc>
          <w:tcPr>
            <w:tcW w:w="324" w:type="pct"/>
            <w:vAlign w:val="center"/>
          </w:tcPr>
          <w:p w14:paraId="676F324C">
            <w:pPr>
              <w:pStyle w:val="133"/>
              <w:rPr>
                <w:sz w:val="18"/>
                <w:szCs w:val="18"/>
              </w:rPr>
            </w:pPr>
            <w:r>
              <w:rPr>
                <w:rFonts w:hint="eastAsia"/>
                <w:sz w:val="18"/>
                <w:szCs w:val="18"/>
              </w:rPr>
              <w:t>657</w:t>
            </w:r>
          </w:p>
        </w:tc>
        <w:tc>
          <w:tcPr>
            <w:tcW w:w="324" w:type="pct"/>
            <w:vAlign w:val="center"/>
          </w:tcPr>
          <w:p w14:paraId="2FE980C7">
            <w:pPr>
              <w:pStyle w:val="133"/>
              <w:rPr>
                <w:sz w:val="18"/>
                <w:szCs w:val="18"/>
              </w:rPr>
            </w:pPr>
            <w:r>
              <w:rPr>
                <w:rFonts w:hint="eastAsia"/>
                <w:sz w:val="18"/>
                <w:szCs w:val="18"/>
              </w:rPr>
              <w:t>-832</w:t>
            </w:r>
          </w:p>
        </w:tc>
        <w:tc>
          <w:tcPr>
            <w:tcW w:w="362" w:type="pct"/>
            <w:noWrap/>
            <w:vAlign w:val="center"/>
          </w:tcPr>
          <w:p w14:paraId="2BFE0CBD">
            <w:pPr>
              <w:pStyle w:val="133"/>
              <w:rPr>
                <w:sz w:val="18"/>
                <w:szCs w:val="18"/>
              </w:rPr>
            </w:pPr>
            <w:r>
              <w:rPr>
                <w:rFonts w:hint="eastAsia"/>
                <w:sz w:val="18"/>
                <w:szCs w:val="18"/>
              </w:rPr>
              <w:t>15</w:t>
            </w:r>
          </w:p>
        </w:tc>
        <w:tc>
          <w:tcPr>
            <w:tcW w:w="359" w:type="pct"/>
            <w:noWrap/>
            <w:vAlign w:val="center"/>
          </w:tcPr>
          <w:p w14:paraId="4C3B7C36">
            <w:pPr>
              <w:pStyle w:val="133"/>
              <w:rPr>
                <w:sz w:val="18"/>
                <w:szCs w:val="18"/>
              </w:rPr>
            </w:pPr>
            <w:r>
              <w:rPr>
                <w:rFonts w:hint="eastAsia"/>
                <w:sz w:val="18"/>
                <w:szCs w:val="18"/>
              </w:rPr>
              <w:t>0.6</w:t>
            </w:r>
          </w:p>
        </w:tc>
        <w:tc>
          <w:tcPr>
            <w:tcW w:w="361" w:type="pct"/>
            <w:noWrap/>
            <w:vAlign w:val="center"/>
          </w:tcPr>
          <w:p w14:paraId="2118FD62">
            <w:pPr>
              <w:pStyle w:val="133"/>
              <w:rPr>
                <w:sz w:val="18"/>
                <w:szCs w:val="18"/>
              </w:rPr>
            </w:pPr>
            <w:r>
              <w:rPr>
                <w:rFonts w:hint="eastAsia"/>
                <w:sz w:val="18"/>
                <w:szCs w:val="18"/>
              </w:rPr>
              <w:t>20</w:t>
            </w:r>
          </w:p>
        </w:tc>
        <w:tc>
          <w:tcPr>
            <w:tcW w:w="329" w:type="pct"/>
            <w:vAlign w:val="center"/>
          </w:tcPr>
          <w:p w14:paraId="56BD634E">
            <w:pPr>
              <w:pStyle w:val="133"/>
              <w:rPr>
                <w:sz w:val="18"/>
                <w:szCs w:val="18"/>
              </w:rPr>
            </w:pPr>
            <w:r>
              <w:rPr>
                <w:rFonts w:hint="eastAsia"/>
                <w:sz w:val="18"/>
                <w:szCs w:val="18"/>
              </w:rPr>
              <w:t>60000</w:t>
            </w:r>
          </w:p>
        </w:tc>
        <w:tc>
          <w:tcPr>
            <w:tcW w:w="254" w:type="pct"/>
            <w:vAlign w:val="center"/>
          </w:tcPr>
          <w:p w14:paraId="3A9784D9">
            <w:pPr>
              <w:pStyle w:val="133"/>
              <w:rPr>
                <w:sz w:val="18"/>
                <w:szCs w:val="18"/>
              </w:rPr>
            </w:pPr>
          </w:p>
        </w:tc>
        <w:tc>
          <w:tcPr>
            <w:tcW w:w="254" w:type="pct"/>
            <w:vAlign w:val="center"/>
          </w:tcPr>
          <w:p w14:paraId="61D046AE">
            <w:pPr>
              <w:pStyle w:val="133"/>
              <w:rPr>
                <w:sz w:val="18"/>
                <w:szCs w:val="18"/>
              </w:rPr>
            </w:pPr>
          </w:p>
        </w:tc>
        <w:tc>
          <w:tcPr>
            <w:tcW w:w="254" w:type="pct"/>
            <w:noWrap/>
            <w:vAlign w:val="center"/>
          </w:tcPr>
          <w:p w14:paraId="0E3476DA">
            <w:pPr>
              <w:pStyle w:val="133"/>
              <w:rPr>
                <w:sz w:val="18"/>
                <w:szCs w:val="18"/>
              </w:rPr>
            </w:pPr>
            <w:r>
              <w:rPr>
                <w:rFonts w:hint="eastAsia"/>
                <w:sz w:val="18"/>
                <w:szCs w:val="18"/>
              </w:rPr>
              <w:t>1.8</w:t>
            </w:r>
          </w:p>
        </w:tc>
        <w:tc>
          <w:tcPr>
            <w:tcW w:w="254" w:type="pct"/>
            <w:noWrap/>
            <w:vAlign w:val="center"/>
          </w:tcPr>
          <w:p w14:paraId="0DC0436B">
            <w:pPr>
              <w:pStyle w:val="133"/>
              <w:rPr>
                <w:sz w:val="18"/>
                <w:szCs w:val="18"/>
              </w:rPr>
            </w:pPr>
            <w:r>
              <w:rPr>
                <w:rFonts w:hint="eastAsia"/>
                <w:sz w:val="18"/>
                <w:szCs w:val="18"/>
              </w:rPr>
              <w:t>0.9</w:t>
            </w:r>
          </w:p>
        </w:tc>
        <w:tc>
          <w:tcPr>
            <w:tcW w:w="254" w:type="pct"/>
            <w:vAlign w:val="center"/>
          </w:tcPr>
          <w:p w14:paraId="23E71885">
            <w:pPr>
              <w:pStyle w:val="133"/>
              <w:rPr>
                <w:sz w:val="18"/>
                <w:szCs w:val="18"/>
              </w:rPr>
            </w:pPr>
          </w:p>
        </w:tc>
        <w:tc>
          <w:tcPr>
            <w:tcW w:w="254" w:type="pct"/>
            <w:vAlign w:val="center"/>
          </w:tcPr>
          <w:p w14:paraId="73A46614">
            <w:pPr>
              <w:pStyle w:val="133"/>
              <w:rPr>
                <w:sz w:val="18"/>
                <w:szCs w:val="18"/>
              </w:rPr>
            </w:pPr>
          </w:p>
        </w:tc>
        <w:tc>
          <w:tcPr>
            <w:tcW w:w="254" w:type="pct"/>
            <w:vAlign w:val="center"/>
          </w:tcPr>
          <w:p w14:paraId="04ECFD36">
            <w:pPr>
              <w:pStyle w:val="133"/>
              <w:rPr>
                <w:sz w:val="18"/>
                <w:szCs w:val="18"/>
              </w:rPr>
            </w:pPr>
          </w:p>
        </w:tc>
        <w:tc>
          <w:tcPr>
            <w:tcW w:w="251" w:type="pct"/>
            <w:vAlign w:val="center"/>
          </w:tcPr>
          <w:p w14:paraId="12BAC27B">
            <w:pPr>
              <w:pStyle w:val="133"/>
              <w:rPr>
                <w:sz w:val="18"/>
                <w:szCs w:val="18"/>
              </w:rPr>
            </w:pPr>
          </w:p>
        </w:tc>
      </w:tr>
      <w:tr w14:paraId="3B38F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6C1916B9">
            <w:pPr>
              <w:pStyle w:val="133"/>
              <w:rPr>
                <w:sz w:val="18"/>
                <w:szCs w:val="18"/>
              </w:rPr>
            </w:pPr>
            <w:r>
              <w:rPr>
                <w:rFonts w:hint="eastAsia"/>
                <w:sz w:val="18"/>
                <w:szCs w:val="18"/>
              </w:rPr>
              <w:t>52</w:t>
            </w:r>
          </w:p>
        </w:tc>
        <w:tc>
          <w:tcPr>
            <w:tcW w:w="671" w:type="pct"/>
            <w:noWrap/>
            <w:vAlign w:val="center"/>
          </w:tcPr>
          <w:p w14:paraId="1989A701">
            <w:pPr>
              <w:pStyle w:val="133"/>
              <w:rPr>
                <w:sz w:val="18"/>
                <w:szCs w:val="18"/>
              </w:rPr>
            </w:pPr>
            <w:r>
              <w:rPr>
                <w:rFonts w:hint="eastAsia"/>
                <w:sz w:val="18"/>
                <w:szCs w:val="18"/>
              </w:rPr>
              <w:t>在建华钛石油焦及高钛渣输送及配料过程</w:t>
            </w:r>
          </w:p>
        </w:tc>
        <w:tc>
          <w:tcPr>
            <w:tcW w:w="324" w:type="pct"/>
            <w:vAlign w:val="center"/>
          </w:tcPr>
          <w:p w14:paraId="50D88523">
            <w:pPr>
              <w:pStyle w:val="133"/>
              <w:rPr>
                <w:sz w:val="18"/>
                <w:szCs w:val="18"/>
              </w:rPr>
            </w:pPr>
            <w:r>
              <w:rPr>
                <w:rFonts w:hint="eastAsia"/>
                <w:sz w:val="18"/>
                <w:szCs w:val="18"/>
              </w:rPr>
              <w:t>77</w:t>
            </w:r>
          </w:p>
        </w:tc>
        <w:tc>
          <w:tcPr>
            <w:tcW w:w="324" w:type="pct"/>
            <w:vAlign w:val="center"/>
          </w:tcPr>
          <w:p w14:paraId="1D787D43">
            <w:pPr>
              <w:pStyle w:val="133"/>
              <w:rPr>
                <w:sz w:val="18"/>
                <w:szCs w:val="18"/>
              </w:rPr>
            </w:pPr>
            <w:r>
              <w:rPr>
                <w:rFonts w:hint="eastAsia"/>
                <w:sz w:val="18"/>
                <w:szCs w:val="18"/>
              </w:rPr>
              <w:t>-1101</w:t>
            </w:r>
          </w:p>
        </w:tc>
        <w:tc>
          <w:tcPr>
            <w:tcW w:w="362" w:type="pct"/>
            <w:noWrap/>
            <w:vAlign w:val="center"/>
          </w:tcPr>
          <w:p w14:paraId="326A3C3F">
            <w:pPr>
              <w:pStyle w:val="133"/>
              <w:rPr>
                <w:sz w:val="18"/>
                <w:szCs w:val="18"/>
              </w:rPr>
            </w:pPr>
            <w:r>
              <w:rPr>
                <w:rFonts w:hint="eastAsia"/>
                <w:sz w:val="18"/>
                <w:szCs w:val="18"/>
              </w:rPr>
              <w:t>15</w:t>
            </w:r>
          </w:p>
        </w:tc>
        <w:tc>
          <w:tcPr>
            <w:tcW w:w="359" w:type="pct"/>
            <w:noWrap/>
            <w:vAlign w:val="center"/>
          </w:tcPr>
          <w:p w14:paraId="30960C9D">
            <w:pPr>
              <w:pStyle w:val="133"/>
              <w:rPr>
                <w:sz w:val="18"/>
                <w:szCs w:val="18"/>
              </w:rPr>
            </w:pPr>
            <w:r>
              <w:rPr>
                <w:rFonts w:hint="eastAsia"/>
                <w:sz w:val="18"/>
                <w:szCs w:val="18"/>
              </w:rPr>
              <w:t>1</w:t>
            </w:r>
          </w:p>
        </w:tc>
        <w:tc>
          <w:tcPr>
            <w:tcW w:w="361" w:type="pct"/>
            <w:noWrap/>
            <w:vAlign w:val="center"/>
          </w:tcPr>
          <w:p w14:paraId="076EA0B4">
            <w:pPr>
              <w:pStyle w:val="133"/>
              <w:rPr>
                <w:sz w:val="18"/>
                <w:szCs w:val="18"/>
              </w:rPr>
            </w:pPr>
            <w:r>
              <w:rPr>
                <w:rFonts w:hint="eastAsia"/>
                <w:sz w:val="18"/>
                <w:szCs w:val="18"/>
              </w:rPr>
              <w:t>100</w:t>
            </w:r>
          </w:p>
        </w:tc>
        <w:tc>
          <w:tcPr>
            <w:tcW w:w="329" w:type="pct"/>
            <w:vAlign w:val="center"/>
          </w:tcPr>
          <w:p w14:paraId="3A17DFAD">
            <w:pPr>
              <w:pStyle w:val="133"/>
              <w:rPr>
                <w:sz w:val="18"/>
                <w:szCs w:val="18"/>
              </w:rPr>
            </w:pPr>
            <w:r>
              <w:rPr>
                <w:rFonts w:hint="eastAsia"/>
                <w:sz w:val="18"/>
                <w:szCs w:val="18"/>
              </w:rPr>
              <w:t>90000</w:t>
            </w:r>
          </w:p>
        </w:tc>
        <w:tc>
          <w:tcPr>
            <w:tcW w:w="254" w:type="pct"/>
            <w:vAlign w:val="center"/>
          </w:tcPr>
          <w:p w14:paraId="40ECB1DC">
            <w:pPr>
              <w:pStyle w:val="133"/>
              <w:rPr>
                <w:sz w:val="18"/>
                <w:szCs w:val="18"/>
              </w:rPr>
            </w:pPr>
          </w:p>
        </w:tc>
        <w:tc>
          <w:tcPr>
            <w:tcW w:w="254" w:type="pct"/>
            <w:vAlign w:val="center"/>
          </w:tcPr>
          <w:p w14:paraId="53701FBC">
            <w:pPr>
              <w:pStyle w:val="133"/>
              <w:rPr>
                <w:sz w:val="18"/>
                <w:szCs w:val="18"/>
              </w:rPr>
            </w:pPr>
          </w:p>
        </w:tc>
        <w:tc>
          <w:tcPr>
            <w:tcW w:w="254" w:type="pct"/>
            <w:noWrap/>
            <w:vAlign w:val="center"/>
          </w:tcPr>
          <w:p w14:paraId="0F7E4ED5">
            <w:pPr>
              <w:pStyle w:val="133"/>
              <w:rPr>
                <w:sz w:val="18"/>
                <w:szCs w:val="18"/>
              </w:rPr>
            </w:pPr>
            <w:r>
              <w:rPr>
                <w:rFonts w:hint="eastAsia"/>
                <w:sz w:val="18"/>
                <w:szCs w:val="18"/>
              </w:rPr>
              <w:t>2.7</w:t>
            </w:r>
          </w:p>
        </w:tc>
        <w:tc>
          <w:tcPr>
            <w:tcW w:w="254" w:type="pct"/>
            <w:noWrap/>
            <w:vAlign w:val="center"/>
          </w:tcPr>
          <w:p w14:paraId="7BA30B8E">
            <w:pPr>
              <w:pStyle w:val="133"/>
              <w:rPr>
                <w:sz w:val="18"/>
                <w:szCs w:val="18"/>
              </w:rPr>
            </w:pPr>
            <w:r>
              <w:rPr>
                <w:rFonts w:hint="eastAsia"/>
                <w:sz w:val="18"/>
                <w:szCs w:val="18"/>
              </w:rPr>
              <w:t>1.35</w:t>
            </w:r>
          </w:p>
        </w:tc>
        <w:tc>
          <w:tcPr>
            <w:tcW w:w="254" w:type="pct"/>
            <w:vAlign w:val="center"/>
          </w:tcPr>
          <w:p w14:paraId="38FF400C">
            <w:pPr>
              <w:pStyle w:val="133"/>
              <w:rPr>
                <w:sz w:val="18"/>
                <w:szCs w:val="18"/>
              </w:rPr>
            </w:pPr>
          </w:p>
        </w:tc>
        <w:tc>
          <w:tcPr>
            <w:tcW w:w="254" w:type="pct"/>
            <w:vAlign w:val="center"/>
          </w:tcPr>
          <w:p w14:paraId="3348D0C5">
            <w:pPr>
              <w:pStyle w:val="133"/>
              <w:rPr>
                <w:sz w:val="18"/>
                <w:szCs w:val="18"/>
              </w:rPr>
            </w:pPr>
          </w:p>
        </w:tc>
        <w:tc>
          <w:tcPr>
            <w:tcW w:w="254" w:type="pct"/>
            <w:vAlign w:val="center"/>
          </w:tcPr>
          <w:p w14:paraId="0B7DE931">
            <w:pPr>
              <w:pStyle w:val="133"/>
              <w:rPr>
                <w:sz w:val="18"/>
                <w:szCs w:val="18"/>
              </w:rPr>
            </w:pPr>
          </w:p>
        </w:tc>
        <w:tc>
          <w:tcPr>
            <w:tcW w:w="251" w:type="pct"/>
            <w:vAlign w:val="center"/>
          </w:tcPr>
          <w:p w14:paraId="7867A52F">
            <w:pPr>
              <w:pStyle w:val="133"/>
              <w:rPr>
                <w:sz w:val="18"/>
                <w:szCs w:val="18"/>
              </w:rPr>
            </w:pPr>
          </w:p>
        </w:tc>
      </w:tr>
      <w:tr w14:paraId="1EEC9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13A627F4">
            <w:pPr>
              <w:pStyle w:val="133"/>
              <w:rPr>
                <w:sz w:val="18"/>
                <w:szCs w:val="18"/>
              </w:rPr>
            </w:pPr>
            <w:r>
              <w:rPr>
                <w:rFonts w:hint="eastAsia"/>
                <w:sz w:val="18"/>
                <w:szCs w:val="18"/>
              </w:rPr>
              <w:t>53</w:t>
            </w:r>
          </w:p>
        </w:tc>
        <w:tc>
          <w:tcPr>
            <w:tcW w:w="671" w:type="pct"/>
            <w:noWrap/>
            <w:vAlign w:val="center"/>
          </w:tcPr>
          <w:p w14:paraId="685786B7">
            <w:pPr>
              <w:pStyle w:val="133"/>
              <w:rPr>
                <w:sz w:val="18"/>
                <w:szCs w:val="18"/>
              </w:rPr>
            </w:pPr>
            <w:r>
              <w:rPr>
                <w:rFonts w:hint="eastAsia"/>
                <w:sz w:val="18"/>
                <w:szCs w:val="18"/>
              </w:rPr>
              <w:t>在建华钛钛渣、铁水出炉</w:t>
            </w:r>
          </w:p>
        </w:tc>
        <w:tc>
          <w:tcPr>
            <w:tcW w:w="324" w:type="pct"/>
            <w:vAlign w:val="center"/>
          </w:tcPr>
          <w:p w14:paraId="00D81AD6">
            <w:pPr>
              <w:pStyle w:val="133"/>
              <w:rPr>
                <w:sz w:val="18"/>
                <w:szCs w:val="18"/>
              </w:rPr>
            </w:pPr>
            <w:r>
              <w:rPr>
                <w:rFonts w:hint="eastAsia"/>
                <w:sz w:val="18"/>
                <w:szCs w:val="18"/>
              </w:rPr>
              <w:t>699</w:t>
            </w:r>
          </w:p>
        </w:tc>
        <w:tc>
          <w:tcPr>
            <w:tcW w:w="324" w:type="pct"/>
            <w:vAlign w:val="center"/>
          </w:tcPr>
          <w:p w14:paraId="7D8A3CFC">
            <w:pPr>
              <w:pStyle w:val="133"/>
              <w:rPr>
                <w:sz w:val="18"/>
                <w:szCs w:val="18"/>
              </w:rPr>
            </w:pPr>
            <w:r>
              <w:rPr>
                <w:rFonts w:hint="eastAsia"/>
                <w:sz w:val="18"/>
                <w:szCs w:val="18"/>
              </w:rPr>
              <w:t>-1511</w:t>
            </w:r>
          </w:p>
        </w:tc>
        <w:tc>
          <w:tcPr>
            <w:tcW w:w="362" w:type="pct"/>
            <w:noWrap/>
            <w:vAlign w:val="center"/>
          </w:tcPr>
          <w:p w14:paraId="3B52870F">
            <w:pPr>
              <w:pStyle w:val="133"/>
              <w:rPr>
                <w:sz w:val="18"/>
                <w:szCs w:val="18"/>
              </w:rPr>
            </w:pPr>
            <w:r>
              <w:rPr>
                <w:rFonts w:hint="eastAsia"/>
                <w:sz w:val="18"/>
                <w:szCs w:val="18"/>
              </w:rPr>
              <w:t>35</w:t>
            </w:r>
          </w:p>
        </w:tc>
        <w:tc>
          <w:tcPr>
            <w:tcW w:w="359" w:type="pct"/>
            <w:noWrap/>
            <w:vAlign w:val="center"/>
          </w:tcPr>
          <w:p w14:paraId="68142509">
            <w:pPr>
              <w:pStyle w:val="133"/>
              <w:rPr>
                <w:sz w:val="18"/>
                <w:szCs w:val="18"/>
              </w:rPr>
            </w:pPr>
            <w:r>
              <w:rPr>
                <w:rFonts w:hint="eastAsia"/>
                <w:sz w:val="18"/>
                <w:szCs w:val="18"/>
              </w:rPr>
              <w:t>2</w:t>
            </w:r>
          </w:p>
        </w:tc>
        <w:tc>
          <w:tcPr>
            <w:tcW w:w="361" w:type="pct"/>
            <w:noWrap/>
            <w:vAlign w:val="center"/>
          </w:tcPr>
          <w:p w14:paraId="67DDBB42">
            <w:pPr>
              <w:pStyle w:val="133"/>
              <w:rPr>
                <w:sz w:val="18"/>
                <w:szCs w:val="18"/>
              </w:rPr>
            </w:pPr>
            <w:r>
              <w:rPr>
                <w:rFonts w:hint="eastAsia"/>
                <w:sz w:val="18"/>
                <w:szCs w:val="18"/>
              </w:rPr>
              <w:t>130</w:t>
            </w:r>
          </w:p>
        </w:tc>
        <w:tc>
          <w:tcPr>
            <w:tcW w:w="329" w:type="pct"/>
            <w:vAlign w:val="center"/>
          </w:tcPr>
          <w:p w14:paraId="4065CFE2">
            <w:pPr>
              <w:pStyle w:val="133"/>
              <w:rPr>
                <w:sz w:val="18"/>
                <w:szCs w:val="18"/>
              </w:rPr>
            </w:pPr>
            <w:r>
              <w:rPr>
                <w:rFonts w:hint="eastAsia"/>
                <w:sz w:val="18"/>
                <w:szCs w:val="18"/>
              </w:rPr>
              <w:t>100000</w:t>
            </w:r>
          </w:p>
        </w:tc>
        <w:tc>
          <w:tcPr>
            <w:tcW w:w="254" w:type="pct"/>
            <w:vAlign w:val="center"/>
          </w:tcPr>
          <w:p w14:paraId="1CE4E313">
            <w:pPr>
              <w:pStyle w:val="133"/>
              <w:rPr>
                <w:sz w:val="18"/>
                <w:szCs w:val="18"/>
              </w:rPr>
            </w:pPr>
          </w:p>
        </w:tc>
        <w:tc>
          <w:tcPr>
            <w:tcW w:w="254" w:type="pct"/>
            <w:vAlign w:val="center"/>
          </w:tcPr>
          <w:p w14:paraId="13E81ECE">
            <w:pPr>
              <w:pStyle w:val="133"/>
              <w:rPr>
                <w:sz w:val="18"/>
                <w:szCs w:val="18"/>
              </w:rPr>
            </w:pPr>
          </w:p>
        </w:tc>
        <w:tc>
          <w:tcPr>
            <w:tcW w:w="254" w:type="pct"/>
            <w:noWrap/>
            <w:vAlign w:val="center"/>
          </w:tcPr>
          <w:p w14:paraId="4AF28294">
            <w:pPr>
              <w:pStyle w:val="133"/>
              <w:rPr>
                <w:sz w:val="18"/>
                <w:szCs w:val="18"/>
              </w:rPr>
            </w:pPr>
            <w:r>
              <w:rPr>
                <w:rFonts w:hint="eastAsia"/>
                <w:sz w:val="18"/>
                <w:szCs w:val="18"/>
              </w:rPr>
              <w:t>5</w:t>
            </w:r>
          </w:p>
        </w:tc>
        <w:tc>
          <w:tcPr>
            <w:tcW w:w="254" w:type="pct"/>
            <w:noWrap/>
            <w:vAlign w:val="center"/>
          </w:tcPr>
          <w:p w14:paraId="54883504">
            <w:pPr>
              <w:pStyle w:val="133"/>
              <w:rPr>
                <w:sz w:val="18"/>
                <w:szCs w:val="18"/>
              </w:rPr>
            </w:pPr>
            <w:r>
              <w:rPr>
                <w:rFonts w:hint="eastAsia"/>
                <w:sz w:val="18"/>
                <w:szCs w:val="18"/>
              </w:rPr>
              <w:t>2.5</w:t>
            </w:r>
          </w:p>
        </w:tc>
        <w:tc>
          <w:tcPr>
            <w:tcW w:w="254" w:type="pct"/>
            <w:vAlign w:val="center"/>
          </w:tcPr>
          <w:p w14:paraId="0866BEB6">
            <w:pPr>
              <w:pStyle w:val="133"/>
              <w:rPr>
                <w:sz w:val="18"/>
                <w:szCs w:val="18"/>
              </w:rPr>
            </w:pPr>
          </w:p>
        </w:tc>
        <w:tc>
          <w:tcPr>
            <w:tcW w:w="254" w:type="pct"/>
            <w:vAlign w:val="center"/>
          </w:tcPr>
          <w:p w14:paraId="68AF00F1">
            <w:pPr>
              <w:pStyle w:val="133"/>
              <w:rPr>
                <w:sz w:val="18"/>
                <w:szCs w:val="18"/>
              </w:rPr>
            </w:pPr>
          </w:p>
        </w:tc>
        <w:tc>
          <w:tcPr>
            <w:tcW w:w="254" w:type="pct"/>
            <w:vAlign w:val="center"/>
          </w:tcPr>
          <w:p w14:paraId="1CC3F991">
            <w:pPr>
              <w:pStyle w:val="133"/>
              <w:rPr>
                <w:sz w:val="18"/>
                <w:szCs w:val="18"/>
              </w:rPr>
            </w:pPr>
          </w:p>
        </w:tc>
        <w:tc>
          <w:tcPr>
            <w:tcW w:w="251" w:type="pct"/>
            <w:vAlign w:val="center"/>
          </w:tcPr>
          <w:p w14:paraId="2549E540">
            <w:pPr>
              <w:pStyle w:val="133"/>
              <w:rPr>
                <w:sz w:val="18"/>
                <w:szCs w:val="18"/>
              </w:rPr>
            </w:pPr>
          </w:p>
        </w:tc>
      </w:tr>
      <w:tr w14:paraId="75939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7658466E">
            <w:pPr>
              <w:pStyle w:val="133"/>
              <w:rPr>
                <w:sz w:val="18"/>
                <w:szCs w:val="18"/>
              </w:rPr>
            </w:pPr>
            <w:r>
              <w:rPr>
                <w:rFonts w:hint="eastAsia"/>
                <w:sz w:val="18"/>
                <w:szCs w:val="18"/>
              </w:rPr>
              <w:t>54</w:t>
            </w:r>
          </w:p>
        </w:tc>
        <w:tc>
          <w:tcPr>
            <w:tcW w:w="671" w:type="pct"/>
            <w:noWrap/>
            <w:vAlign w:val="center"/>
          </w:tcPr>
          <w:p w14:paraId="3392E90A">
            <w:pPr>
              <w:pStyle w:val="133"/>
              <w:rPr>
                <w:sz w:val="18"/>
                <w:szCs w:val="18"/>
              </w:rPr>
            </w:pPr>
            <w:r>
              <w:rPr>
                <w:rFonts w:hint="eastAsia"/>
                <w:sz w:val="18"/>
                <w:szCs w:val="18"/>
              </w:rPr>
              <w:t>在建华钛VD炉、LF炉出炉烟气</w:t>
            </w:r>
          </w:p>
        </w:tc>
        <w:tc>
          <w:tcPr>
            <w:tcW w:w="324" w:type="pct"/>
            <w:vAlign w:val="center"/>
          </w:tcPr>
          <w:p w14:paraId="260300DF">
            <w:pPr>
              <w:pStyle w:val="133"/>
              <w:rPr>
                <w:sz w:val="18"/>
                <w:szCs w:val="18"/>
              </w:rPr>
            </w:pPr>
            <w:r>
              <w:rPr>
                <w:rFonts w:hint="eastAsia"/>
                <w:sz w:val="18"/>
                <w:szCs w:val="18"/>
              </w:rPr>
              <w:t>289</w:t>
            </w:r>
          </w:p>
        </w:tc>
        <w:tc>
          <w:tcPr>
            <w:tcW w:w="324" w:type="pct"/>
            <w:vAlign w:val="center"/>
          </w:tcPr>
          <w:p w14:paraId="5C45357D">
            <w:pPr>
              <w:pStyle w:val="133"/>
              <w:rPr>
                <w:sz w:val="18"/>
                <w:szCs w:val="18"/>
              </w:rPr>
            </w:pPr>
            <w:r>
              <w:rPr>
                <w:rFonts w:hint="eastAsia"/>
                <w:sz w:val="18"/>
                <w:szCs w:val="18"/>
              </w:rPr>
              <w:t>-1638</w:t>
            </w:r>
          </w:p>
        </w:tc>
        <w:tc>
          <w:tcPr>
            <w:tcW w:w="362" w:type="pct"/>
            <w:noWrap/>
            <w:vAlign w:val="center"/>
          </w:tcPr>
          <w:p w14:paraId="6621EB60">
            <w:pPr>
              <w:pStyle w:val="133"/>
              <w:rPr>
                <w:sz w:val="18"/>
                <w:szCs w:val="18"/>
              </w:rPr>
            </w:pPr>
            <w:r>
              <w:rPr>
                <w:rFonts w:hint="eastAsia"/>
                <w:sz w:val="18"/>
                <w:szCs w:val="18"/>
              </w:rPr>
              <w:t>35</w:t>
            </w:r>
          </w:p>
        </w:tc>
        <w:tc>
          <w:tcPr>
            <w:tcW w:w="359" w:type="pct"/>
            <w:noWrap/>
            <w:vAlign w:val="center"/>
          </w:tcPr>
          <w:p w14:paraId="3E4FC274">
            <w:pPr>
              <w:pStyle w:val="133"/>
              <w:rPr>
                <w:sz w:val="18"/>
                <w:szCs w:val="18"/>
              </w:rPr>
            </w:pPr>
            <w:r>
              <w:rPr>
                <w:rFonts w:hint="eastAsia"/>
                <w:sz w:val="18"/>
                <w:szCs w:val="18"/>
              </w:rPr>
              <w:t>1</w:t>
            </w:r>
          </w:p>
        </w:tc>
        <w:tc>
          <w:tcPr>
            <w:tcW w:w="361" w:type="pct"/>
            <w:noWrap/>
            <w:vAlign w:val="center"/>
          </w:tcPr>
          <w:p w14:paraId="14E3AA4B">
            <w:pPr>
              <w:pStyle w:val="133"/>
              <w:rPr>
                <w:sz w:val="18"/>
                <w:szCs w:val="18"/>
              </w:rPr>
            </w:pPr>
            <w:r>
              <w:rPr>
                <w:rFonts w:hint="eastAsia"/>
                <w:sz w:val="18"/>
                <w:szCs w:val="18"/>
              </w:rPr>
              <w:t>130</w:t>
            </w:r>
          </w:p>
        </w:tc>
        <w:tc>
          <w:tcPr>
            <w:tcW w:w="329" w:type="pct"/>
            <w:vAlign w:val="center"/>
          </w:tcPr>
          <w:p w14:paraId="7D08C407">
            <w:pPr>
              <w:pStyle w:val="133"/>
              <w:rPr>
                <w:sz w:val="18"/>
                <w:szCs w:val="18"/>
              </w:rPr>
            </w:pPr>
            <w:r>
              <w:rPr>
                <w:rFonts w:hint="eastAsia"/>
                <w:sz w:val="18"/>
                <w:szCs w:val="18"/>
              </w:rPr>
              <w:t>23000</w:t>
            </w:r>
          </w:p>
        </w:tc>
        <w:tc>
          <w:tcPr>
            <w:tcW w:w="254" w:type="pct"/>
            <w:vAlign w:val="center"/>
          </w:tcPr>
          <w:p w14:paraId="54553701">
            <w:pPr>
              <w:pStyle w:val="133"/>
              <w:rPr>
                <w:sz w:val="18"/>
                <w:szCs w:val="18"/>
              </w:rPr>
            </w:pPr>
          </w:p>
        </w:tc>
        <w:tc>
          <w:tcPr>
            <w:tcW w:w="254" w:type="pct"/>
            <w:vAlign w:val="center"/>
          </w:tcPr>
          <w:p w14:paraId="642C01F2">
            <w:pPr>
              <w:pStyle w:val="133"/>
              <w:rPr>
                <w:sz w:val="18"/>
                <w:szCs w:val="18"/>
              </w:rPr>
            </w:pPr>
          </w:p>
        </w:tc>
        <w:tc>
          <w:tcPr>
            <w:tcW w:w="254" w:type="pct"/>
            <w:noWrap/>
            <w:vAlign w:val="center"/>
          </w:tcPr>
          <w:p w14:paraId="07537FED">
            <w:pPr>
              <w:pStyle w:val="133"/>
              <w:rPr>
                <w:sz w:val="18"/>
                <w:szCs w:val="18"/>
              </w:rPr>
            </w:pPr>
            <w:r>
              <w:rPr>
                <w:rFonts w:hint="eastAsia"/>
                <w:sz w:val="18"/>
                <w:szCs w:val="18"/>
              </w:rPr>
              <w:t>0.575</w:t>
            </w:r>
          </w:p>
        </w:tc>
        <w:tc>
          <w:tcPr>
            <w:tcW w:w="254" w:type="pct"/>
            <w:noWrap/>
            <w:vAlign w:val="center"/>
          </w:tcPr>
          <w:p w14:paraId="295F66DD">
            <w:pPr>
              <w:pStyle w:val="133"/>
              <w:rPr>
                <w:sz w:val="18"/>
                <w:szCs w:val="18"/>
              </w:rPr>
            </w:pPr>
            <w:r>
              <w:rPr>
                <w:rFonts w:hint="eastAsia"/>
                <w:sz w:val="18"/>
                <w:szCs w:val="18"/>
              </w:rPr>
              <w:t>0.2875</w:t>
            </w:r>
          </w:p>
        </w:tc>
        <w:tc>
          <w:tcPr>
            <w:tcW w:w="254" w:type="pct"/>
            <w:vAlign w:val="center"/>
          </w:tcPr>
          <w:p w14:paraId="4BF9F5DD">
            <w:pPr>
              <w:pStyle w:val="133"/>
              <w:rPr>
                <w:sz w:val="18"/>
                <w:szCs w:val="18"/>
              </w:rPr>
            </w:pPr>
          </w:p>
        </w:tc>
        <w:tc>
          <w:tcPr>
            <w:tcW w:w="254" w:type="pct"/>
            <w:vAlign w:val="center"/>
          </w:tcPr>
          <w:p w14:paraId="4F5A075C">
            <w:pPr>
              <w:pStyle w:val="133"/>
              <w:rPr>
                <w:sz w:val="18"/>
                <w:szCs w:val="18"/>
              </w:rPr>
            </w:pPr>
          </w:p>
        </w:tc>
        <w:tc>
          <w:tcPr>
            <w:tcW w:w="254" w:type="pct"/>
            <w:vAlign w:val="center"/>
          </w:tcPr>
          <w:p w14:paraId="4BD939B9">
            <w:pPr>
              <w:pStyle w:val="133"/>
              <w:rPr>
                <w:sz w:val="18"/>
                <w:szCs w:val="18"/>
              </w:rPr>
            </w:pPr>
          </w:p>
        </w:tc>
        <w:tc>
          <w:tcPr>
            <w:tcW w:w="251" w:type="pct"/>
            <w:vAlign w:val="center"/>
          </w:tcPr>
          <w:p w14:paraId="67885E39">
            <w:pPr>
              <w:pStyle w:val="133"/>
              <w:rPr>
                <w:sz w:val="18"/>
                <w:szCs w:val="18"/>
              </w:rPr>
            </w:pPr>
          </w:p>
        </w:tc>
      </w:tr>
      <w:tr w14:paraId="32081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3B6469EF">
            <w:pPr>
              <w:pStyle w:val="133"/>
              <w:rPr>
                <w:sz w:val="18"/>
                <w:szCs w:val="18"/>
              </w:rPr>
            </w:pPr>
            <w:r>
              <w:rPr>
                <w:rFonts w:hint="eastAsia"/>
                <w:sz w:val="18"/>
                <w:szCs w:val="18"/>
              </w:rPr>
              <w:t>55</w:t>
            </w:r>
          </w:p>
        </w:tc>
        <w:tc>
          <w:tcPr>
            <w:tcW w:w="671" w:type="pct"/>
            <w:noWrap/>
            <w:vAlign w:val="center"/>
          </w:tcPr>
          <w:p w14:paraId="1640BFEE">
            <w:pPr>
              <w:pStyle w:val="133"/>
              <w:rPr>
                <w:sz w:val="18"/>
                <w:szCs w:val="18"/>
              </w:rPr>
            </w:pPr>
            <w:r>
              <w:rPr>
                <w:rFonts w:hint="eastAsia"/>
                <w:sz w:val="18"/>
                <w:szCs w:val="18"/>
              </w:rPr>
              <w:t>在建华钛熔炼电炉废气</w:t>
            </w:r>
          </w:p>
        </w:tc>
        <w:tc>
          <w:tcPr>
            <w:tcW w:w="324" w:type="pct"/>
            <w:vAlign w:val="center"/>
          </w:tcPr>
          <w:p w14:paraId="4D0FD996">
            <w:pPr>
              <w:pStyle w:val="133"/>
              <w:rPr>
                <w:sz w:val="18"/>
                <w:szCs w:val="18"/>
              </w:rPr>
            </w:pPr>
            <w:r>
              <w:rPr>
                <w:rFonts w:hint="eastAsia"/>
                <w:sz w:val="18"/>
                <w:szCs w:val="18"/>
              </w:rPr>
              <w:t>529</w:t>
            </w:r>
          </w:p>
        </w:tc>
        <w:tc>
          <w:tcPr>
            <w:tcW w:w="324" w:type="pct"/>
            <w:vAlign w:val="center"/>
          </w:tcPr>
          <w:p w14:paraId="741B3E4F">
            <w:pPr>
              <w:pStyle w:val="133"/>
              <w:rPr>
                <w:sz w:val="18"/>
                <w:szCs w:val="18"/>
              </w:rPr>
            </w:pPr>
            <w:r>
              <w:rPr>
                <w:rFonts w:hint="eastAsia"/>
                <w:sz w:val="18"/>
                <w:szCs w:val="18"/>
              </w:rPr>
              <w:t>-1794</w:t>
            </w:r>
          </w:p>
        </w:tc>
        <w:tc>
          <w:tcPr>
            <w:tcW w:w="362" w:type="pct"/>
            <w:noWrap/>
            <w:vAlign w:val="center"/>
          </w:tcPr>
          <w:p w14:paraId="54324F57">
            <w:pPr>
              <w:pStyle w:val="133"/>
              <w:rPr>
                <w:sz w:val="18"/>
                <w:szCs w:val="18"/>
              </w:rPr>
            </w:pPr>
            <w:r>
              <w:rPr>
                <w:rFonts w:hint="eastAsia"/>
                <w:sz w:val="18"/>
                <w:szCs w:val="18"/>
              </w:rPr>
              <w:t>35</w:t>
            </w:r>
          </w:p>
        </w:tc>
        <w:tc>
          <w:tcPr>
            <w:tcW w:w="359" w:type="pct"/>
            <w:noWrap/>
            <w:vAlign w:val="center"/>
          </w:tcPr>
          <w:p w14:paraId="291A9326">
            <w:pPr>
              <w:pStyle w:val="133"/>
              <w:rPr>
                <w:sz w:val="18"/>
                <w:szCs w:val="18"/>
              </w:rPr>
            </w:pPr>
            <w:r>
              <w:rPr>
                <w:rFonts w:hint="eastAsia"/>
                <w:sz w:val="18"/>
                <w:szCs w:val="18"/>
              </w:rPr>
              <w:t>1</w:t>
            </w:r>
          </w:p>
        </w:tc>
        <w:tc>
          <w:tcPr>
            <w:tcW w:w="361" w:type="pct"/>
            <w:noWrap/>
            <w:vAlign w:val="center"/>
          </w:tcPr>
          <w:p w14:paraId="7B8BEAC6">
            <w:pPr>
              <w:pStyle w:val="133"/>
              <w:rPr>
                <w:sz w:val="18"/>
                <w:szCs w:val="18"/>
              </w:rPr>
            </w:pPr>
            <w:r>
              <w:rPr>
                <w:rFonts w:hint="eastAsia"/>
                <w:sz w:val="18"/>
                <w:szCs w:val="18"/>
              </w:rPr>
              <w:t>250</w:t>
            </w:r>
          </w:p>
        </w:tc>
        <w:tc>
          <w:tcPr>
            <w:tcW w:w="329" w:type="pct"/>
            <w:vAlign w:val="center"/>
          </w:tcPr>
          <w:p w14:paraId="41BAA331">
            <w:pPr>
              <w:pStyle w:val="133"/>
              <w:rPr>
                <w:sz w:val="18"/>
                <w:szCs w:val="18"/>
              </w:rPr>
            </w:pPr>
            <w:r>
              <w:rPr>
                <w:rFonts w:hint="eastAsia"/>
                <w:sz w:val="18"/>
                <w:szCs w:val="18"/>
              </w:rPr>
              <w:t>25000</w:t>
            </w:r>
          </w:p>
        </w:tc>
        <w:tc>
          <w:tcPr>
            <w:tcW w:w="254" w:type="pct"/>
            <w:vAlign w:val="center"/>
          </w:tcPr>
          <w:p w14:paraId="301372FB">
            <w:pPr>
              <w:pStyle w:val="133"/>
              <w:rPr>
                <w:sz w:val="18"/>
                <w:szCs w:val="18"/>
              </w:rPr>
            </w:pPr>
          </w:p>
        </w:tc>
        <w:tc>
          <w:tcPr>
            <w:tcW w:w="254" w:type="pct"/>
            <w:vAlign w:val="center"/>
          </w:tcPr>
          <w:p w14:paraId="752EDB66">
            <w:pPr>
              <w:pStyle w:val="133"/>
              <w:rPr>
                <w:sz w:val="18"/>
                <w:szCs w:val="18"/>
              </w:rPr>
            </w:pPr>
          </w:p>
        </w:tc>
        <w:tc>
          <w:tcPr>
            <w:tcW w:w="254" w:type="pct"/>
            <w:noWrap/>
            <w:vAlign w:val="center"/>
          </w:tcPr>
          <w:p w14:paraId="21A3DE8E">
            <w:pPr>
              <w:pStyle w:val="133"/>
              <w:rPr>
                <w:sz w:val="18"/>
                <w:szCs w:val="18"/>
              </w:rPr>
            </w:pPr>
            <w:r>
              <w:rPr>
                <w:rFonts w:hint="eastAsia"/>
                <w:sz w:val="18"/>
                <w:szCs w:val="18"/>
              </w:rPr>
              <w:t>0.5</w:t>
            </w:r>
          </w:p>
        </w:tc>
        <w:tc>
          <w:tcPr>
            <w:tcW w:w="254" w:type="pct"/>
            <w:noWrap/>
            <w:vAlign w:val="center"/>
          </w:tcPr>
          <w:p w14:paraId="269DA2DD">
            <w:pPr>
              <w:pStyle w:val="133"/>
              <w:rPr>
                <w:sz w:val="18"/>
                <w:szCs w:val="18"/>
              </w:rPr>
            </w:pPr>
            <w:r>
              <w:rPr>
                <w:rFonts w:hint="eastAsia"/>
                <w:sz w:val="18"/>
                <w:szCs w:val="18"/>
              </w:rPr>
              <w:t>0.25</w:t>
            </w:r>
          </w:p>
        </w:tc>
        <w:tc>
          <w:tcPr>
            <w:tcW w:w="254" w:type="pct"/>
            <w:vAlign w:val="center"/>
          </w:tcPr>
          <w:p w14:paraId="087DB162">
            <w:pPr>
              <w:pStyle w:val="133"/>
              <w:rPr>
                <w:sz w:val="18"/>
                <w:szCs w:val="18"/>
              </w:rPr>
            </w:pPr>
          </w:p>
        </w:tc>
        <w:tc>
          <w:tcPr>
            <w:tcW w:w="254" w:type="pct"/>
            <w:vAlign w:val="center"/>
          </w:tcPr>
          <w:p w14:paraId="590ABFD0">
            <w:pPr>
              <w:pStyle w:val="133"/>
              <w:rPr>
                <w:sz w:val="18"/>
                <w:szCs w:val="18"/>
              </w:rPr>
            </w:pPr>
          </w:p>
        </w:tc>
        <w:tc>
          <w:tcPr>
            <w:tcW w:w="254" w:type="pct"/>
            <w:vAlign w:val="center"/>
          </w:tcPr>
          <w:p w14:paraId="0C6D65C8">
            <w:pPr>
              <w:pStyle w:val="133"/>
              <w:rPr>
                <w:sz w:val="18"/>
                <w:szCs w:val="18"/>
              </w:rPr>
            </w:pPr>
          </w:p>
        </w:tc>
        <w:tc>
          <w:tcPr>
            <w:tcW w:w="251" w:type="pct"/>
            <w:vAlign w:val="center"/>
          </w:tcPr>
          <w:p w14:paraId="5BE66D9D">
            <w:pPr>
              <w:pStyle w:val="133"/>
              <w:rPr>
                <w:sz w:val="18"/>
                <w:szCs w:val="18"/>
              </w:rPr>
            </w:pPr>
          </w:p>
        </w:tc>
      </w:tr>
      <w:tr w14:paraId="47616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7B56C683">
            <w:pPr>
              <w:pStyle w:val="133"/>
              <w:rPr>
                <w:sz w:val="18"/>
                <w:szCs w:val="18"/>
              </w:rPr>
            </w:pPr>
            <w:r>
              <w:rPr>
                <w:rFonts w:hint="eastAsia"/>
                <w:sz w:val="18"/>
                <w:szCs w:val="18"/>
              </w:rPr>
              <w:t>56</w:t>
            </w:r>
          </w:p>
        </w:tc>
        <w:tc>
          <w:tcPr>
            <w:tcW w:w="671" w:type="pct"/>
            <w:noWrap/>
            <w:vAlign w:val="center"/>
          </w:tcPr>
          <w:p w14:paraId="4B0A89DF">
            <w:pPr>
              <w:pStyle w:val="133"/>
              <w:rPr>
                <w:sz w:val="18"/>
                <w:szCs w:val="18"/>
              </w:rPr>
            </w:pPr>
            <w:r>
              <w:rPr>
                <w:rFonts w:hint="eastAsia"/>
                <w:sz w:val="18"/>
                <w:szCs w:val="18"/>
              </w:rPr>
              <w:t>在建华钛铸造抛丸机废气</w:t>
            </w:r>
          </w:p>
        </w:tc>
        <w:tc>
          <w:tcPr>
            <w:tcW w:w="324" w:type="pct"/>
            <w:vAlign w:val="center"/>
          </w:tcPr>
          <w:p w14:paraId="6E581AA2">
            <w:pPr>
              <w:pStyle w:val="133"/>
              <w:rPr>
                <w:sz w:val="18"/>
                <w:szCs w:val="18"/>
              </w:rPr>
            </w:pPr>
            <w:r>
              <w:rPr>
                <w:rFonts w:hint="eastAsia"/>
                <w:sz w:val="18"/>
                <w:szCs w:val="18"/>
              </w:rPr>
              <w:t>332</w:t>
            </w:r>
          </w:p>
        </w:tc>
        <w:tc>
          <w:tcPr>
            <w:tcW w:w="324" w:type="pct"/>
            <w:vAlign w:val="center"/>
          </w:tcPr>
          <w:p w14:paraId="4502A4E6">
            <w:pPr>
              <w:pStyle w:val="133"/>
              <w:rPr>
                <w:sz w:val="18"/>
                <w:szCs w:val="18"/>
              </w:rPr>
            </w:pPr>
            <w:r>
              <w:rPr>
                <w:rFonts w:hint="eastAsia"/>
                <w:sz w:val="18"/>
                <w:szCs w:val="18"/>
              </w:rPr>
              <w:t>-1681</w:t>
            </w:r>
          </w:p>
        </w:tc>
        <w:tc>
          <w:tcPr>
            <w:tcW w:w="362" w:type="pct"/>
            <w:noWrap/>
            <w:vAlign w:val="center"/>
          </w:tcPr>
          <w:p w14:paraId="117CE2B3">
            <w:pPr>
              <w:pStyle w:val="133"/>
              <w:rPr>
                <w:sz w:val="18"/>
                <w:szCs w:val="18"/>
              </w:rPr>
            </w:pPr>
            <w:r>
              <w:rPr>
                <w:rFonts w:hint="eastAsia"/>
                <w:sz w:val="18"/>
                <w:szCs w:val="18"/>
              </w:rPr>
              <w:t>15</w:t>
            </w:r>
          </w:p>
        </w:tc>
        <w:tc>
          <w:tcPr>
            <w:tcW w:w="359" w:type="pct"/>
            <w:noWrap/>
            <w:vAlign w:val="center"/>
          </w:tcPr>
          <w:p w14:paraId="7F11AA04">
            <w:pPr>
              <w:pStyle w:val="133"/>
              <w:rPr>
                <w:sz w:val="18"/>
                <w:szCs w:val="18"/>
              </w:rPr>
            </w:pPr>
            <w:r>
              <w:rPr>
                <w:rFonts w:hint="eastAsia"/>
                <w:sz w:val="18"/>
                <w:szCs w:val="18"/>
              </w:rPr>
              <w:t>0.5</w:t>
            </w:r>
          </w:p>
        </w:tc>
        <w:tc>
          <w:tcPr>
            <w:tcW w:w="361" w:type="pct"/>
            <w:noWrap/>
            <w:vAlign w:val="center"/>
          </w:tcPr>
          <w:p w14:paraId="63B4561C">
            <w:pPr>
              <w:pStyle w:val="133"/>
              <w:rPr>
                <w:sz w:val="18"/>
                <w:szCs w:val="18"/>
              </w:rPr>
            </w:pPr>
            <w:r>
              <w:rPr>
                <w:rFonts w:hint="eastAsia"/>
                <w:sz w:val="18"/>
                <w:szCs w:val="18"/>
              </w:rPr>
              <w:t>150</w:t>
            </w:r>
          </w:p>
        </w:tc>
        <w:tc>
          <w:tcPr>
            <w:tcW w:w="329" w:type="pct"/>
            <w:vAlign w:val="center"/>
          </w:tcPr>
          <w:p w14:paraId="1858575A">
            <w:pPr>
              <w:pStyle w:val="133"/>
              <w:rPr>
                <w:sz w:val="18"/>
                <w:szCs w:val="18"/>
              </w:rPr>
            </w:pPr>
            <w:r>
              <w:rPr>
                <w:rFonts w:hint="eastAsia"/>
                <w:sz w:val="18"/>
                <w:szCs w:val="18"/>
              </w:rPr>
              <w:t>8000</w:t>
            </w:r>
          </w:p>
        </w:tc>
        <w:tc>
          <w:tcPr>
            <w:tcW w:w="254" w:type="pct"/>
            <w:vAlign w:val="center"/>
          </w:tcPr>
          <w:p w14:paraId="101BCFBF">
            <w:pPr>
              <w:pStyle w:val="133"/>
              <w:rPr>
                <w:sz w:val="18"/>
                <w:szCs w:val="18"/>
              </w:rPr>
            </w:pPr>
          </w:p>
        </w:tc>
        <w:tc>
          <w:tcPr>
            <w:tcW w:w="254" w:type="pct"/>
            <w:vAlign w:val="center"/>
          </w:tcPr>
          <w:p w14:paraId="15FD80C5">
            <w:pPr>
              <w:pStyle w:val="133"/>
              <w:rPr>
                <w:sz w:val="18"/>
                <w:szCs w:val="18"/>
              </w:rPr>
            </w:pPr>
          </w:p>
        </w:tc>
        <w:tc>
          <w:tcPr>
            <w:tcW w:w="254" w:type="pct"/>
            <w:noWrap/>
            <w:vAlign w:val="center"/>
          </w:tcPr>
          <w:p w14:paraId="3941C9C0">
            <w:pPr>
              <w:pStyle w:val="133"/>
              <w:rPr>
                <w:sz w:val="18"/>
                <w:szCs w:val="18"/>
              </w:rPr>
            </w:pPr>
            <w:r>
              <w:rPr>
                <w:rFonts w:hint="eastAsia"/>
                <w:sz w:val="18"/>
                <w:szCs w:val="18"/>
              </w:rPr>
              <w:t>0.16</w:t>
            </w:r>
          </w:p>
        </w:tc>
        <w:tc>
          <w:tcPr>
            <w:tcW w:w="254" w:type="pct"/>
            <w:noWrap/>
            <w:vAlign w:val="center"/>
          </w:tcPr>
          <w:p w14:paraId="2BE5AFD4">
            <w:pPr>
              <w:pStyle w:val="133"/>
              <w:rPr>
                <w:sz w:val="18"/>
                <w:szCs w:val="18"/>
              </w:rPr>
            </w:pPr>
            <w:r>
              <w:rPr>
                <w:rFonts w:hint="eastAsia"/>
                <w:sz w:val="18"/>
                <w:szCs w:val="18"/>
              </w:rPr>
              <w:t>0.08</w:t>
            </w:r>
          </w:p>
        </w:tc>
        <w:tc>
          <w:tcPr>
            <w:tcW w:w="254" w:type="pct"/>
            <w:vAlign w:val="center"/>
          </w:tcPr>
          <w:p w14:paraId="25973321">
            <w:pPr>
              <w:pStyle w:val="133"/>
              <w:rPr>
                <w:sz w:val="18"/>
                <w:szCs w:val="18"/>
              </w:rPr>
            </w:pPr>
          </w:p>
        </w:tc>
        <w:tc>
          <w:tcPr>
            <w:tcW w:w="254" w:type="pct"/>
            <w:vAlign w:val="center"/>
          </w:tcPr>
          <w:p w14:paraId="34914E08">
            <w:pPr>
              <w:pStyle w:val="133"/>
              <w:rPr>
                <w:sz w:val="18"/>
                <w:szCs w:val="18"/>
              </w:rPr>
            </w:pPr>
          </w:p>
        </w:tc>
        <w:tc>
          <w:tcPr>
            <w:tcW w:w="254" w:type="pct"/>
            <w:vAlign w:val="center"/>
          </w:tcPr>
          <w:p w14:paraId="456B68F7">
            <w:pPr>
              <w:pStyle w:val="133"/>
              <w:rPr>
                <w:sz w:val="18"/>
                <w:szCs w:val="18"/>
              </w:rPr>
            </w:pPr>
          </w:p>
        </w:tc>
        <w:tc>
          <w:tcPr>
            <w:tcW w:w="251" w:type="pct"/>
            <w:vAlign w:val="center"/>
          </w:tcPr>
          <w:p w14:paraId="44A6A053">
            <w:pPr>
              <w:pStyle w:val="133"/>
              <w:rPr>
                <w:sz w:val="18"/>
                <w:szCs w:val="18"/>
              </w:rPr>
            </w:pPr>
          </w:p>
        </w:tc>
      </w:tr>
      <w:tr w14:paraId="408DB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7F966228">
            <w:pPr>
              <w:pStyle w:val="133"/>
              <w:rPr>
                <w:sz w:val="18"/>
                <w:szCs w:val="18"/>
              </w:rPr>
            </w:pPr>
            <w:r>
              <w:rPr>
                <w:rFonts w:hint="eastAsia"/>
                <w:sz w:val="18"/>
                <w:szCs w:val="18"/>
              </w:rPr>
              <w:t>57</w:t>
            </w:r>
          </w:p>
        </w:tc>
        <w:tc>
          <w:tcPr>
            <w:tcW w:w="671" w:type="pct"/>
            <w:noWrap/>
            <w:vAlign w:val="center"/>
          </w:tcPr>
          <w:p w14:paraId="47409942">
            <w:pPr>
              <w:pStyle w:val="133"/>
              <w:rPr>
                <w:sz w:val="18"/>
                <w:szCs w:val="18"/>
              </w:rPr>
            </w:pPr>
            <w:r>
              <w:rPr>
                <w:rFonts w:hint="eastAsia"/>
                <w:sz w:val="18"/>
                <w:szCs w:val="18"/>
              </w:rPr>
              <w:t>在建华钛落砂废气</w:t>
            </w:r>
          </w:p>
        </w:tc>
        <w:tc>
          <w:tcPr>
            <w:tcW w:w="324" w:type="pct"/>
            <w:vAlign w:val="center"/>
          </w:tcPr>
          <w:p w14:paraId="14445537">
            <w:pPr>
              <w:pStyle w:val="133"/>
              <w:rPr>
                <w:sz w:val="18"/>
                <w:szCs w:val="18"/>
              </w:rPr>
            </w:pPr>
            <w:r>
              <w:rPr>
                <w:rFonts w:hint="eastAsia"/>
                <w:sz w:val="18"/>
                <w:szCs w:val="18"/>
              </w:rPr>
              <w:t>459</w:t>
            </w:r>
          </w:p>
        </w:tc>
        <w:tc>
          <w:tcPr>
            <w:tcW w:w="324" w:type="pct"/>
            <w:vAlign w:val="center"/>
          </w:tcPr>
          <w:p w14:paraId="1C85E976">
            <w:pPr>
              <w:pStyle w:val="133"/>
              <w:rPr>
                <w:sz w:val="18"/>
                <w:szCs w:val="18"/>
              </w:rPr>
            </w:pPr>
            <w:r>
              <w:rPr>
                <w:rFonts w:hint="eastAsia"/>
                <w:sz w:val="18"/>
                <w:szCs w:val="18"/>
              </w:rPr>
              <w:t>-1808</w:t>
            </w:r>
          </w:p>
        </w:tc>
        <w:tc>
          <w:tcPr>
            <w:tcW w:w="362" w:type="pct"/>
            <w:noWrap/>
            <w:vAlign w:val="center"/>
          </w:tcPr>
          <w:p w14:paraId="585A1C79">
            <w:pPr>
              <w:pStyle w:val="133"/>
              <w:rPr>
                <w:sz w:val="18"/>
                <w:szCs w:val="18"/>
              </w:rPr>
            </w:pPr>
            <w:r>
              <w:rPr>
                <w:rFonts w:hint="eastAsia"/>
                <w:sz w:val="18"/>
                <w:szCs w:val="18"/>
              </w:rPr>
              <w:t>15</w:t>
            </w:r>
          </w:p>
        </w:tc>
        <w:tc>
          <w:tcPr>
            <w:tcW w:w="359" w:type="pct"/>
            <w:noWrap/>
            <w:vAlign w:val="center"/>
          </w:tcPr>
          <w:p w14:paraId="1403282C">
            <w:pPr>
              <w:pStyle w:val="133"/>
              <w:rPr>
                <w:sz w:val="18"/>
                <w:szCs w:val="18"/>
              </w:rPr>
            </w:pPr>
            <w:r>
              <w:rPr>
                <w:rFonts w:hint="eastAsia"/>
                <w:sz w:val="18"/>
                <w:szCs w:val="18"/>
              </w:rPr>
              <w:t>0.5</w:t>
            </w:r>
          </w:p>
        </w:tc>
        <w:tc>
          <w:tcPr>
            <w:tcW w:w="361" w:type="pct"/>
            <w:noWrap/>
            <w:vAlign w:val="center"/>
          </w:tcPr>
          <w:p w14:paraId="5828EE22">
            <w:pPr>
              <w:pStyle w:val="133"/>
              <w:rPr>
                <w:sz w:val="18"/>
                <w:szCs w:val="18"/>
              </w:rPr>
            </w:pPr>
            <w:r>
              <w:rPr>
                <w:rFonts w:hint="eastAsia"/>
                <w:sz w:val="18"/>
                <w:szCs w:val="18"/>
              </w:rPr>
              <w:t>150</w:t>
            </w:r>
          </w:p>
        </w:tc>
        <w:tc>
          <w:tcPr>
            <w:tcW w:w="329" w:type="pct"/>
            <w:vAlign w:val="center"/>
          </w:tcPr>
          <w:p w14:paraId="35447980">
            <w:pPr>
              <w:pStyle w:val="133"/>
              <w:rPr>
                <w:sz w:val="18"/>
                <w:szCs w:val="18"/>
              </w:rPr>
            </w:pPr>
            <w:r>
              <w:rPr>
                <w:rFonts w:hint="eastAsia"/>
                <w:sz w:val="18"/>
                <w:szCs w:val="18"/>
              </w:rPr>
              <w:t>5000</w:t>
            </w:r>
          </w:p>
        </w:tc>
        <w:tc>
          <w:tcPr>
            <w:tcW w:w="254" w:type="pct"/>
            <w:vAlign w:val="center"/>
          </w:tcPr>
          <w:p w14:paraId="1EF5F39A">
            <w:pPr>
              <w:pStyle w:val="133"/>
              <w:rPr>
                <w:sz w:val="18"/>
                <w:szCs w:val="18"/>
              </w:rPr>
            </w:pPr>
          </w:p>
        </w:tc>
        <w:tc>
          <w:tcPr>
            <w:tcW w:w="254" w:type="pct"/>
            <w:vAlign w:val="center"/>
          </w:tcPr>
          <w:p w14:paraId="5C8F1517">
            <w:pPr>
              <w:pStyle w:val="133"/>
              <w:rPr>
                <w:sz w:val="18"/>
                <w:szCs w:val="18"/>
              </w:rPr>
            </w:pPr>
          </w:p>
        </w:tc>
        <w:tc>
          <w:tcPr>
            <w:tcW w:w="254" w:type="pct"/>
            <w:noWrap/>
            <w:vAlign w:val="center"/>
          </w:tcPr>
          <w:p w14:paraId="7828EB65">
            <w:pPr>
              <w:pStyle w:val="133"/>
              <w:rPr>
                <w:sz w:val="18"/>
                <w:szCs w:val="18"/>
              </w:rPr>
            </w:pPr>
            <w:r>
              <w:rPr>
                <w:rFonts w:hint="eastAsia"/>
                <w:sz w:val="18"/>
                <w:szCs w:val="18"/>
              </w:rPr>
              <w:t>0.1</w:t>
            </w:r>
          </w:p>
        </w:tc>
        <w:tc>
          <w:tcPr>
            <w:tcW w:w="254" w:type="pct"/>
            <w:noWrap/>
            <w:vAlign w:val="center"/>
          </w:tcPr>
          <w:p w14:paraId="54DB6BF0">
            <w:pPr>
              <w:pStyle w:val="133"/>
              <w:rPr>
                <w:sz w:val="18"/>
                <w:szCs w:val="18"/>
              </w:rPr>
            </w:pPr>
            <w:r>
              <w:rPr>
                <w:rFonts w:hint="eastAsia"/>
                <w:sz w:val="18"/>
                <w:szCs w:val="18"/>
              </w:rPr>
              <w:t>0.05</w:t>
            </w:r>
          </w:p>
        </w:tc>
        <w:tc>
          <w:tcPr>
            <w:tcW w:w="254" w:type="pct"/>
            <w:vAlign w:val="center"/>
          </w:tcPr>
          <w:p w14:paraId="00C8C5E9">
            <w:pPr>
              <w:pStyle w:val="133"/>
              <w:rPr>
                <w:sz w:val="18"/>
                <w:szCs w:val="18"/>
              </w:rPr>
            </w:pPr>
          </w:p>
        </w:tc>
        <w:tc>
          <w:tcPr>
            <w:tcW w:w="254" w:type="pct"/>
            <w:vAlign w:val="center"/>
          </w:tcPr>
          <w:p w14:paraId="315D2874">
            <w:pPr>
              <w:pStyle w:val="133"/>
              <w:rPr>
                <w:sz w:val="18"/>
                <w:szCs w:val="18"/>
              </w:rPr>
            </w:pPr>
          </w:p>
        </w:tc>
        <w:tc>
          <w:tcPr>
            <w:tcW w:w="254" w:type="pct"/>
            <w:vAlign w:val="center"/>
          </w:tcPr>
          <w:p w14:paraId="5DE5B571">
            <w:pPr>
              <w:pStyle w:val="133"/>
              <w:rPr>
                <w:sz w:val="18"/>
                <w:szCs w:val="18"/>
              </w:rPr>
            </w:pPr>
          </w:p>
        </w:tc>
        <w:tc>
          <w:tcPr>
            <w:tcW w:w="251" w:type="pct"/>
            <w:vAlign w:val="center"/>
          </w:tcPr>
          <w:p w14:paraId="506EAA72">
            <w:pPr>
              <w:pStyle w:val="133"/>
              <w:rPr>
                <w:sz w:val="18"/>
                <w:szCs w:val="18"/>
              </w:rPr>
            </w:pPr>
          </w:p>
        </w:tc>
      </w:tr>
      <w:tr w14:paraId="671AA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18096E73">
            <w:pPr>
              <w:pStyle w:val="133"/>
              <w:rPr>
                <w:sz w:val="18"/>
                <w:szCs w:val="18"/>
              </w:rPr>
            </w:pPr>
            <w:r>
              <w:rPr>
                <w:rFonts w:hint="eastAsia"/>
                <w:sz w:val="18"/>
                <w:szCs w:val="18"/>
              </w:rPr>
              <w:t>58</w:t>
            </w:r>
          </w:p>
        </w:tc>
        <w:tc>
          <w:tcPr>
            <w:tcW w:w="671" w:type="pct"/>
            <w:noWrap/>
            <w:vAlign w:val="center"/>
          </w:tcPr>
          <w:p w14:paraId="3CDEF836">
            <w:pPr>
              <w:pStyle w:val="133"/>
              <w:rPr>
                <w:sz w:val="18"/>
                <w:szCs w:val="18"/>
              </w:rPr>
            </w:pPr>
            <w:r>
              <w:rPr>
                <w:rFonts w:hint="eastAsia"/>
                <w:sz w:val="18"/>
                <w:szCs w:val="18"/>
              </w:rPr>
              <w:t>在建华钛混砂废气</w:t>
            </w:r>
          </w:p>
        </w:tc>
        <w:tc>
          <w:tcPr>
            <w:tcW w:w="324" w:type="pct"/>
            <w:vAlign w:val="center"/>
          </w:tcPr>
          <w:p w14:paraId="50E4FF91">
            <w:pPr>
              <w:pStyle w:val="133"/>
              <w:rPr>
                <w:sz w:val="18"/>
                <w:szCs w:val="18"/>
              </w:rPr>
            </w:pPr>
            <w:r>
              <w:rPr>
                <w:rFonts w:hint="eastAsia"/>
                <w:sz w:val="18"/>
                <w:szCs w:val="18"/>
              </w:rPr>
              <w:t>247</w:t>
            </w:r>
          </w:p>
        </w:tc>
        <w:tc>
          <w:tcPr>
            <w:tcW w:w="324" w:type="pct"/>
            <w:vAlign w:val="center"/>
          </w:tcPr>
          <w:p w14:paraId="7C2D303E">
            <w:pPr>
              <w:pStyle w:val="133"/>
              <w:rPr>
                <w:sz w:val="18"/>
                <w:szCs w:val="18"/>
              </w:rPr>
            </w:pPr>
            <w:r>
              <w:rPr>
                <w:rFonts w:hint="eastAsia"/>
                <w:sz w:val="18"/>
                <w:szCs w:val="18"/>
              </w:rPr>
              <w:t>-1652</w:t>
            </w:r>
          </w:p>
        </w:tc>
        <w:tc>
          <w:tcPr>
            <w:tcW w:w="362" w:type="pct"/>
            <w:noWrap/>
            <w:vAlign w:val="center"/>
          </w:tcPr>
          <w:p w14:paraId="6CA0C12B">
            <w:pPr>
              <w:pStyle w:val="133"/>
              <w:rPr>
                <w:sz w:val="18"/>
                <w:szCs w:val="18"/>
              </w:rPr>
            </w:pPr>
            <w:r>
              <w:rPr>
                <w:rFonts w:hint="eastAsia"/>
                <w:sz w:val="18"/>
                <w:szCs w:val="18"/>
              </w:rPr>
              <w:t>15</w:t>
            </w:r>
          </w:p>
        </w:tc>
        <w:tc>
          <w:tcPr>
            <w:tcW w:w="359" w:type="pct"/>
            <w:noWrap/>
            <w:vAlign w:val="center"/>
          </w:tcPr>
          <w:p w14:paraId="6E1F7831">
            <w:pPr>
              <w:pStyle w:val="133"/>
              <w:rPr>
                <w:sz w:val="18"/>
                <w:szCs w:val="18"/>
              </w:rPr>
            </w:pPr>
            <w:r>
              <w:rPr>
                <w:rFonts w:hint="eastAsia"/>
                <w:sz w:val="18"/>
                <w:szCs w:val="18"/>
              </w:rPr>
              <w:t>0.5</w:t>
            </w:r>
          </w:p>
        </w:tc>
        <w:tc>
          <w:tcPr>
            <w:tcW w:w="361" w:type="pct"/>
            <w:noWrap/>
            <w:vAlign w:val="center"/>
          </w:tcPr>
          <w:p w14:paraId="4852ED75">
            <w:pPr>
              <w:pStyle w:val="133"/>
              <w:rPr>
                <w:sz w:val="18"/>
                <w:szCs w:val="18"/>
              </w:rPr>
            </w:pPr>
            <w:r>
              <w:rPr>
                <w:rFonts w:hint="eastAsia"/>
                <w:sz w:val="18"/>
                <w:szCs w:val="18"/>
              </w:rPr>
              <w:t>150</w:t>
            </w:r>
          </w:p>
        </w:tc>
        <w:tc>
          <w:tcPr>
            <w:tcW w:w="329" w:type="pct"/>
            <w:vAlign w:val="center"/>
          </w:tcPr>
          <w:p w14:paraId="306C6C82">
            <w:pPr>
              <w:pStyle w:val="133"/>
              <w:rPr>
                <w:sz w:val="18"/>
                <w:szCs w:val="18"/>
              </w:rPr>
            </w:pPr>
            <w:r>
              <w:rPr>
                <w:rFonts w:hint="eastAsia"/>
                <w:sz w:val="18"/>
                <w:szCs w:val="18"/>
              </w:rPr>
              <w:t>5000</w:t>
            </w:r>
          </w:p>
        </w:tc>
        <w:tc>
          <w:tcPr>
            <w:tcW w:w="254" w:type="pct"/>
            <w:vAlign w:val="center"/>
          </w:tcPr>
          <w:p w14:paraId="4A8B8A3F">
            <w:pPr>
              <w:pStyle w:val="133"/>
              <w:rPr>
                <w:sz w:val="18"/>
                <w:szCs w:val="18"/>
              </w:rPr>
            </w:pPr>
          </w:p>
        </w:tc>
        <w:tc>
          <w:tcPr>
            <w:tcW w:w="254" w:type="pct"/>
            <w:vAlign w:val="center"/>
          </w:tcPr>
          <w:p w14:paraId="6643769D">
            <w:pPr>
              <w:pStyle w:val="133"/>
              <w:rPr>
                <w:sz w:val="18"/>
                <w:szCs w:val="18"/>
              </w:rPr>
            </w:pPr>
          </w:p>
        </w:tc>
        <w:tc>
          <w:tcPr>
            <w:tcW w:w="254" w:type="pct"/>
            <w:noWrap/>
            <w:vAlign w:val="center"/>
          </w:tcPr>
          <w:p w14:paraId="452A5C2C">
            <w:pPr>
              <w:pStyle w:val="133"/>
              <w:rPr>
                <w:sz w:val="18"/>
                <w:szCs w:val="18"/>
              </w:rPr>
            </w:pPr>
            <w:r>
              <w:rPr>
                <w:rFonts w:hint="eastAsia"/>
                <w:sz w:val="18"/>
                <w:szCs w:val="18"/>
              </w:rPr>
              <w:t>0.1</w:t>
            </w:r>
          </w:p>
        </w:tc>
        <w:tc>
          <w:tcPr>
            <w:tcW w:w="254" w:type="pct"/>
            <w:noWrap/>
            <w:vAlign w:val="center"/>
          </w:tcPr>
          <w:p w14:paraId="051ED67C">
            <w:pPr>
              <w:pStyle w:val="133"/>
              <w:rPr>
                <w:sz w:val="18"/>
                <w:szCs w:val="18"/>
              </w:rPr>
            </w:pPr>
            <w:r>
              <w:rPr>
                <w:rFonts w:hint="eastAsia"/>
                <w:sz w:val="18"/>
                <w:szCs w:val="18"/>
              </w:rPr>
              <w:t>0.05</w:t>
            </w:r>
          </w:p>
        </w:tc>
        <w:tc>
          <w:tcPr>
            <w:tcW w:w="254" w:type="pct"/>
            <w:vAlign w:val="center"/>
          </w:tcPr>
          <w:p w14:paraId="0B170600">
            <w:pPr>
              <w:pStyle w:val="133"/>
              <w:rPr>
                <w:sz w:val="18"/>
                <w:szCs w:val="18"/>
              </w:rPr>
            </w:pPr>
          </w:p>
        </w:tc>
        <w:tc>
          <w:tcPr>
            <w:tcW w:w="254" w:type="pct"/>
            <w:vAlign w:val="center"/>
          </w:tcPr>
          <w:p w14:paraId="0D4DF543">
            <w:pPr>
              <w:pStyle w:val="133"/>
              <w:rPr>
                <w:sz w:val="18"/>
                <w:szCs w:val="18"/>
              </w:rPr>
            </w:pPr>
          </w:p>
        </w:tc>
        <w:tc>
          <w:tcPr>
            <w:tcW w:w="254" w:type="pct"/>
            <w:vAlign w:val="center"/>
          </w:tcPr>
          <w:p w14:paraId="02C6B4DB">
            <w:pPr>
              <w:pStyle w:val="133"/>
              <w:rPr>
                <w:sz w:val="18"/>
                <w:szCs w:val="18"/>
              </w:rPr>
            </w:pPr>
          </w:p>
        </w:tc>
        <w:tc>
          <w:tcPr>
            <w:tcW w:w="251" w:type="pct"/>
            <w:vAlign w:val="center"/>
          </w:tcPr>
          <w:p w14:paraId="1C14DACD">
            <w:pPr>
              <w:pStyle w:val="133"/>
              <w:rPr>
                <w:sz w:val="18"/>
                <w:szCs w:val="18"/>
              </w:rPr>
            </w:pPr>
          </w:p>
        </w:tc>
      </w:tr>
      <w:tr w14:paraId="013BD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241" w:type="pct"/>
            <w:noWrap/>
            <w:vAlign w:val="center"/>
          </w:tcPr>
          <w:p w14:paraId="04BFA9B9">
            <w:pPr>
              <w:pStyle w:val="133"/>
              <w:rPr>
                <w:sz w:val="18"/>
                <w:szCs w:val="18"/>
              </w:rPr>
            </w:pPr>
            <w:r>
              <w:rPr>
                <w:rFonts w:hint="eastAsia"/>
                <w:sz w:val="18"/>
                <w:szCs w:val="18"/>
              </w:rPr>
              <w:t>59</w:t>
            </w:r>
          </w:p>
        </w:tc>
        <w:tc>
          <w:tcPr>
            <w:tcW w:w="671" w:type="pct"/>
            <w:noWrap/>
            <w:vAlign w:val="center"/>
          </w:tcPr>
          <w:p w14:paraId="47DEC28C">
            <w:pPr>
              <w:pStyle w:val="133"/>
              <w:rPr>
                <w:sz w:val="18"/>
                <w:szCs w:val="18"/>
              </w:rPr>
            </w:pPr>
            <w:r>
              <w:rPr>
                <w:rFonts w:hint="eastAsia"/>
                <w:sz w:val="18"/>
                <w:szCs w:val="18"/>
              </w:rPr>
              <w:t>在建华钛铸造自动造型、浇注生产线废气</w:t>
            </w:r>
          </w:p>
        </w:tc>
        <w:tc>
          <w:tcPr>
            <w:tcW w:w="324" w:type="pct"/>
            <w:vAlign w:val="center"/>
          </w:tcPr>
          <w:p w14:paraId="47DA525F">
            <w:pPr>
              <w:pStyle w:val="133"/>
              <w:rPr>
                <w:sz w:val="18"/>
                <w:szCs w:val="18"/>
              </w:rPr>
            </w:pPr>
            <w:r>
              <w:rPr>
                <w:sz w:val="18"/>
                <w:szCs w:val="18"/>
              </w:rPr>
              <w:t>529</w:t>
            </w:r>
          </w:p>
        </w:tc>
        <w:tc>
          <w:tcPr>
            <w:tcW w:w="324" w:type="pct"/>
            <w:vAlign w:val="center"/>
          </w:tcPr>
          <w:p w14:paraId="1D96D45D">
            <w:pPr>
              <w:pStyle w:val="133"/>
              <w:rPr>
                <w:sz w:val="18"/>
                <w:szCs w:val="18"/>
              </w:rPr>
            </w:pPr>
            <w:r>
              <w:rPr>
                <w:sz w:val="18"/>
                <w:szCs w:val="18"/>
              </w:rPr>
              <w:t>-1780</w:t>
            </w:r>
          </w:p>
        </w:tc>
        <w:tc>
          <w:tcPr>
            <w:tcW w:w="362" w:type="pct"/>
            <w:noWrap/>
            <w:vAlign w:val="center"/>
          </w:tcPr>
          <w:p w14:paraId="3E5DC30F">
            <w:pPr>
              <w:pStyle w:val="133"/>
              <w:rPr>
                <w:sz w:val="18"/>
                <w:szCs w:val="18"/>
              </w:rPr>
            </w:pPr>
            <w:r>
              <w:rPr>
                <w:rFonts w:hint="eastAsia"/>
                <w:sz w:val="18"/>
                <w:szCs w:val="18"/>
              </w:rPr>
              <w:t>15</w:t>
            </w:r>
          </w:p>
        </w:tc>
        <w:tc>
          <w:tcPr>
            <w:tcW w:w="359" w:type="pct"/>
            <w:noWrap/>
            <w:vAlign w:val="center"/>
          </w:tcPr>
          <w:p w14:paraId="2E10F709">
            <w:pPr>
              <w:pStyle w:val="133"/>
              <w:rPr>
                <w:sz w:val="18"/>
                <w:szCs w:val="18"/>
              </w:rPr>
            </w:pPr>
            <w:r>
              <w:rPr>
                <w:rFonts w:hint="eastAsia"/>
                <w:sz w:val="18"/>
                <w:szCs w:val="18"/>
              </w:rPr>
              <w:t>0.5</w:t>
            </w:r>
          </w:p>
        </w:tc>
        <w:tc>
          <w:tcPr>
            <w:tcW w:w="361" w:type="pct"/>
            <w:noWrap/>
            <w:vAlign w:val="center"/>
          </w:tcPr>
          <w:p w14:paraId="5BE1CCEA">
            <w:pPr>
              <w:pStyle w:val="133"/>
              <w:rPr>
                <w:sz w:val="18"/>
                <w:szCs w:val="18"/>
              </w:rPr>
            </w:pPr>
            <w:r>
              <w:rPr>
                <w:rFonts w:hint="eastAsia"/>
                <w:sz w:val="18"/>
                <w:szCs w:val="18"/>
              </w:rPr>
              <w:t>150</w:t>
            </w:r>
          </w:p>
        </w:tc>
        <w:tc>
          <w:tcPr>
            <w:tcW w:w="329" w:type="pct"/>
            <w:vAlign w:val="center"/>
          </w:tcPr>
          <w:p w14:paraId="007F1324">
            <w:pPr>
              <w:pStyle w:val="133"/>
              <w:rPr>
                <w:sz w:val="18"/>
                <w:szCs w:val="18"/>
              </w:rPr>
            </w:pPr>
            <w:r>
              <w:rPr>
                <w:rFonts w:hint="eastAsia"/>
                <w:sz w:val="18"/>
                <w:szCs w:val="18"/>
              </w:rPr>
              <w:t>4000</w:t>
            </w:r>
          </w:p>
        </w:tc>
        <w:tc>
          <w:tcPr>
            <w:tcW w:w="254" w:type="pct"/>
            <w:vAlign w:val="center"/>
          </w:tcPr>
          <w:p w14:paraId="260DEF4C">
            <w:pPr>
              <w:pStyle w:val="133"/>
              <w:rPr>
                <w:sz w:val="18"/>
                <w:szCs w:val="18"/>
              </w:rPr>
            </w:pPr>
          </w:p>
        </w:tc>
        <w:tc>
          <w:tcPr>
            <w:tcW w:w="254" w:type="pct"/>
            <w:vAlign w:val="center"/>
          </w:tcPr>
          <w:p w14:paraId="7FA1F852">
            <w:pPr>
              <w:pStyle w:val="133"/>
              <w:rPr>
                <w:sz w:val="18"/>
                <w:szCs w:val="18"/>
              </w:rPr>
            </w:pPr>
          </w:p>
        </w:tc>
        <w:tc>
          <w:tcPr>
            <w:tcW w:w="254" w:type="pct"/>
            <w:noWrap/>
            <w:vAlign w:val="center"/>
          </w:tcPr>
          <w:p w14:paraId="03C05299">
            <w:pPr>
              <w:pStyle w:val="133"/>
              <w:rPr>
                <w:sz w:val="18"/>
                <w:szCs w:val="18"/>
              </w:rPr>
            </w:pPr>
            <w:r>
              <w:rPr>
                <w:rFonts w:hint="eastAsia"/>
                <w:sz w:val="18"/>
                <w:szCs w:val="18"/>
              </w:rPr>
              <w:t>0.08</w:t>
            </w:r>
          </w:p>
        </w:tc>
        <w:tc>
          <w:tcPr>
            <w:tcW w:w="254" w:type="pct"/>
            <w:noWrap/>
            <w:vAlign w:val="center"/>
          </w:tcPr>
          <w:p w14:paraId="042D6990">
            <w:pPr>
              <w:pStyle w:val="133"/>
              <w:rPr>
                <w:sz w:val="18"/>
                <w:szCs w:val="18"/>
              </w:rPr>
            </w:pPr>
            <w:r>
              <w:rPr>
                <w:rFonts w:hint="eastAsia"/>
                <w:sz w:val="18"/>
                <w:szCs w:val="18"/>
              </w:rPr>
              <w:t>0.04</w:t>
            </w:r>
          </w:p>
        </w:tc>
        <w:tc>
          <w:tcPr>
            <w:tcW w:w="254" w:type="pct"/>
            <w:vAlign w:val="center"/>
          </w:tcPr>
          <w:p w14:paraId="5D3772B5">
            <w:pPr>
              <w:pStyle w:val="133"/>
              <w:rPr>
                <w:sz w:val="18"/>
                <w:szCs w:val="18"/>
              </w:rPr>
            </w:pPr>
          </w:p>
        </w:tc>
        <w:tc>
          <w:tcPr>
            <w:tcW w:w="254" w:type="pct"/>
            <w:vAlign w:val="center"/>
          </w:tcPr>
          <w:p w14:paraId="333868D7">
            <w:pPr>
              <w:pStyle w:val="133"/>
              <w:rPr>
                <w:sz w:val="18"/>
                <w:szCs w:val="18"/>
              </w:rPr>
            </w:pPr>
          </w:p>
        </w:tc>
        <w:tc>
          <w:tcPr>
            <w:tcW w:w="254" w:type="pct"/>
            <w:vAlign w:val="center"/>
          </w:tcPr>
          <w:p w14:paraId="161AC6D7">
            <w:pPr>
              <w:pStyle w:val="133"/>
              <w:rPr>
                <w:sz w:val="18"/>
                <w:szCs w:val="18"/>
              </w:rPr>
            </w:pPr>
          </w:p>
        </w:tc>
        <w:tc>
          <w:tcPr>
            <w:tcW w:w="251" w:type="pct"/>
            <w:vAlign w:val="center"/>
          </w:tcPr>
          <w:p w14:paraId="1C4AEB91">
            <w:pPr>
              <w:pStyle w:val="133"/>
              <w:rPr>
                <w:sz w:val="18"/>
                <w:szCs w:val="18"/>
              </w:rPr>
            </w:pPr>
            <w:r>
              <w:rPr>
                <w:sz w:val="18"/>
                <w:szCs w:val="18"/>
              </w:rPr>
              <w:t>0.048</w:t>
            </w:r>
          </w:p>
        </w:tc>
      </w:tr>
      <w:tr w14:paraId="0E133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706AA99E">
            <w:pPr>
              <w:pStyle w:val="133"/>
              <w:rPr>
                <w:sz w:val="18"/>
                <w:szCs w:val="18"/>
              </w:rPr>
            </w:pPr>
            <w:r>
              <w:rPr>
                <w:rFonts w:hint="eastAsia"/>
                <w:sz w:val="18"/>
                <w:szCs w:val="18"/>
              </w:rPr>
              <w:t>60</w:t>
            </w:r>
          </w:p>
        </w:tc>
        <w:tc>
          <w:tcPr>
            <w:tcW w:w="671" w:type="pct"/>
            <w:noWrap/>
            <w:vAlign w:val="center"/>
          </w:tcPr>
          <w:p w14:paraId="46FA142D">
            <w:pPr>
              <w:pStyle w:val="133"/>
              <w:rPr>
                <w:sz w:val="18"/>
                <w:szCs w:val="18"/>
              </w:rPr>
            </w:pPr>
            <w:r>
              <w:rPr>
                <w:rFonts w:hint="eastAsia"/>
                <w:sz w:val="18"/>
                <w:szCs w:val="18"/>
              </w:rPr>
              <w:t>在建华钛打磨和抛丸机等</w:t>
            </w:r>
          </w:p>
        </w:tc>
        <w:tc>
          <w:tcPr>
            <w:tcW w:w="324" w:type="pct"/>
            <w:vAlign w:val="center"/>
          </w:tcPr>
          <w:p w14:paraId="02E4D872">
            <w:pPr>
              <w:pStyle w:val="133"/>
              <w:rPr>
                <w:sz w:val="18"/>
                <w:szCs w:val="18"/>
              </w:rPr>
            </w:pPr>
            <w:r>
              <w:rPr>
                <w:sz w:val="18"/>
                <w:szCs w:val="18"/>
              </w:rPr>
              <w:t>317</w:t>
            </w:r>
          </w:p>
        </w:tc>
        <w:tc>
          <w:tcPr>
            <w:tcW w:w="324" w:type="pct"/>
            <w:vAlign w:val="center"/>
          </w:tcPr>
          <w:p w14:paraId="20503594">
            <w:pPr>
              <w:pStyle w:val="133"/>
              <w:rPr>
                <w:sz w:val="18"/>
                <w:szCs w:val="18"/>
              </w:rPr>
            </w:pPr>
            <w:r>
              <w:rPr>
                <w:sz w:val="18"/>
                <w:szCs w:val="18"/>
              </w:rPr>
              <w:t>-1638</w:t>
            </w:r>
          </w:p>
        </w:tc>
        <w:tc>
          <w:tcPr>
            <w:tcW w:w="362" w:type="pct"/>
            <w:noWrap/>
            <w:vAlign w:val="center"/>
          </w:tcPr>
          <w:p w14:paraId="40243008">
            <w:pPr>
              <w:pStyle w:val="133"/>
              <w:rPr>
                <w:sz w:val="18"/>
                <w:szCs w:val="18"/>
              </w:rPr>
            </w:pPr>
            <w:r>
              <w:rPr>
                <w:rFonts w:hint="eastAsia"/>
                <w:sz w:val="18"/>
                <w:szCs w:val="18"/>
              </w:rPr>
              <w:t>15</w:t>
            </w:r>
          </w:p>
        </w:tc>
        <w:tc>
          <w:tcPr>
            <w:tcW w:w="359" w:type="pct"/>
            <w:noWrap/>
            <w:vAlign w:val="center"/>
          </w:tcPr>
          <w:p w14:paraId="47537567">
            <w:pPr>
              <w:pStyle w:val="133"/>
              <w:rPr>
                <w:sz w:val="18"/>
                <w:szCs w:val="18"/>
              </w:rPr>
            </w:pPr>
            <w:r>
              <w:rPr>
                <w:rFonts w:hint="eastAsia"/>
                <w:sz w:val="18"/>
                <w:szCs w:val="18"/>
              </w:rPr>
              <w:t>0.5</w:t>
            </w:r>
          </w:p>
        </w:tc>
        <w:tc>
          <w:tcPr>
            <w:tcW w:w="361" w:type="pct"/>
            <w:noWrap/>
            <w:vAlign w:val="center"/>
          </w:tcPr>
          <w:p w14:paraId="67CBC9BB">
            <w:pPr>
              <w:pStyle w:val="133"/>
              <w:rPr>
                <w:sz w:val="18"/>
                <w:szCs w:val="18"/>
              </w:rPr>
            </w:pPr>
            <w:r>
              <w:rPr>
                <w:rFonts w:hint="eastAsia"/>
                <w:sz w:val="18"/>
                <w:szCs w:val="18"/>
              </w:rPr>
              <w:t>150</w:t>
            </w:r>
          </w:p>
        </w:tc>
        <w:tc>
          <w:tcPr>
            <w:tcW w:w="329" w:type="pct"/>
            <w:vAlign w:val="center"/>
          </w:tcPr>
          <w:p w14:paraId="1006F88F">
            <w:pPr>
              <w:pStyle w:val="133"/>
              <w:rPr>
                <w:sz w:val="18"/>
                <w:szCs w:val="18"/>
              </w:rPr>
            </w:pPr>
            <w:r>
              <w:rPr>
                <w:rFonts w:hint="eastAsia"/>
                <w:sz w:val="18"/>
                <w:szCs w:val="18"/>
              </w:rPr>
              <w:t>2000</w:t>
            </w:r>
          </w:p>
        </w:tc>
        <w:tc>
          <w:tcPr>
            <w:tcW w:w="254" w:type="pct"/>
            <w:vAlign w:val="center"/>
          </w:tcPr>
          <w:p w14:paraId="767A2F75">
            <w:pPr>
              <w:pStyle w:val="133"/>
              <w:rPr>
                <w:sz w:val="18"/>
                <w:szCs w:val="18"/>
              </w:rPr>
            </w:pPr>
          </w:p>
        </w:tc>
        <w:tc>
          <w:tcPr>
            <w:tcW w:w="254" w:type="pct"/>
            <w:vAlign w:val="center"/>
          </w:tcPr>
          <w:p w14:paraId="487B8D78">
            <w:pPr>
              <w:pStyle w:val="133"/>
              <w:rPr>
                <w:sz w:val="18"/>
                <w:szCs w:val="18"/>
              </w:rPr>
            </w:pPr>
          </w:p>
        </w:tc>
        <w:tc>
          <w:tcPr>
            <w:tcW w:w="254" w:type="pct"/>
            <w:noWrap/>
            <w:vAlign w:val="center"/>
          </w:tcPr>
          <w:p w14:paraId="46EF1913">
            <w:pPr>
              <w:pStyle w:val="133"/>
              <w:rPr>
                <w:sz w:val="18"/>
                <w:szCs w:val="18"/>
              </w:rPr>
            </w:pPr>
            <w:r>
              <w:rPr>
                <w:rFonts w:hint="eastAsia"/>
                <w:sz w:val="18"/>
                <w:szCs w:val="18"/>
              </w:rPr>
              <w:t>0.04</w:t>
            </w:r>
          </w:p>
        </w:tc>
        <w:tc>
          <w:tcPr>
            <w:tcW w:w="254" w:type="pct"/>
            <w:noWrap/>
            <w:vAlign w:val="center"/>
          </w:tcPr>
          <w:p w14:paraId="5DA1B7A1">
            <w:pPr>
              <w:pStyle w:val="133"/>
              <w:rPr>
                <w:sz w:val="18"/>
                <w:szCs w:val="18"/>
              </w:rPr>
            </w:pPr>
            <w:r>
              <w:rPr>
                <w:rFonts w:hint="eastAsia"/>
                <w:sz w:val="18"/>
                <w:szCs w:val="18"/>
              </w:rPr>
              <w:t>0.02</w:t>
            </w:r>
          </w:p>
        </w:tc>
        <w:tc>
          <w:tcPr>
            <w:tcW w:w="254" w:type="pct"/>
            <w:vAlign w:val="center"/>
          </w:tcPr>
          <w:p w14:paraId="200E9181">
            <w:pPr>
              <w:pStyle w:val="133"/>
              <w:rPr>
                <w:sz w:val="18"/>
                <w:szCs w:val="18"/>
              </w:rPr>
            </w:pPr>
          </w:p>
        </w:tc>
        <w:tc>
          <w:tcPr>
            <w:tcW w:w="254" w:type="pct"/>
            <w:vAlign w:val="center"/>
          </w:tcPr>
          <w:p w14:paraId="69F0B88F">
            <w:pPr>
              <w:pStyle w:val="133"/>
              <w:rPr>
                <w:sz w:val="18"/>
                <w:szCs w:val="18"/>
              </w:rPr>
            </w:pPr>
          </w:p>
        </w:tc>
        <w:tc>
          <w:tcPr>
            <w:tcW w:w="254" w:type="pct"/>
            <w:vAlign w:val="center"/>
          </w:tcPr>
          <w:p w14:paraId="52E536B7">
            <w:pPr>
              <w:pStyle w:val="133"/>
              <w:rPr>
                <w:sz w:val="18"/>
                <w:szCs w:val="18"/>
              </w:rPr>
            </w:pPr>
          </w:p>
        </w:tc>
        <w:tc>
          <w:tcPr>
            <w:tcW w:w="251" w:type="pct"/>
            <w:vAlign w:val="center"/>
          </w:tcPr>
          <w:p w14:paraId="3E70F27B">
            <w:pPr>
              <w:pStyle w:val="133"/>
              <w:rPr>
                <w:sz w:val="18"/>
                <w:szCs w:val="18"/>
              </w:rPr>
            </w:pPr>
          </w:p>
        </w:tc>
      </w:tr>
      <w:tr w14:paraId="1D15B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41" w:type="pct"/>
            <w:noWrap/>
            <w:vAlign w:val="center"/>
          </w:tcPr>
          <w:p w14:paraId="12328898">
            <w:pPr>
              <w:pStyle w:val="133"/>
              <w:rPr>
                <w:sz w:val="18"/>
                <w:szCs w:val="18"/>
              </w:rPr>
            </w:pPr>
            <w:r>
              <w:rPr>
                <w:rFonts w:hint="eastAsia"/>
                <w:sz w:val="18"/>
                <w:szCs w:val="18"/>
              </w:rPr>
              <w:t>61</w:t>
            </w:r>
          </w:p>
        </w:tc>
        <w:tc>
          <w:tcPr>
            <w:tcW w:w="671" w:type="pct"/>
            <w:noWrap/>
            <w:vAlign w:val="center"/>
          </w:tcPr>
          <w:p w14:paraId="37AEF786">
            <w:pPr>
              <w:pStyle w:val="133"/>
              <w:rPr>
                <w:sz w:val="18"/>
                <w:szCs w:val="18"/>
              </w:rPr>
            </w:pPr>
            <w:r>
              <w:rPr>
                <w:rFonts w:hint="eastAsia"/>
                <w:sz w:val="18"/>
                <w:szCs w:val="18"/>
              </w:rPr>
              <w:t>在建华钛酸洗池和清洗槽</w:t>
            </w:r>
          </w:p>
        </w:tc>
        <w:tc>
          <w:tcPr>
            <w:tcW w:w="324" w:type="pct"/>
            <w:vAlign w:val="center"/>
          </w:tcPr>
          <w:p w14:paraId="4E5AB462">
            <w:pPr>
              <w:pStyle w:val="133"/>
              <w:rPr>
                <w:sz w:val="18"/>
                <w:szCs w:val="18"/>
              </w:rPr>
            </w:pPr>
            <w:r>
              <w:rPr>
                <w:sz w:val="18"/>
                <w:szCs w:val="18"/>
              </w:rPr>
              <w:t>544</w:t>
            </w:r>
          </w:p>
        </w:tc>
        <w:tc>
          <w:tcPr>
            <w:tcW w:w="324" w:type="pct"/>
            <w:vAlign w:val="center"/>
          </w:tcPr>
          <w:p w14:paraId="08C6F23D">
            <w:pPr>
              <w:pStyle w:val="133"/>
              <w:rPr>
                <w:sz w:val="18"/>
                <w:szCs w:val="18"/>
              </w:rPr>
            </w:pPr>
            <w:r>
              <w:rPr>
                <w:sz w:val="18"/>
                <w:szCs w:val="18"/>
              </w:rPr>
              <w:t>-1808</w:t>
            </w:r>
          </w:p>
        </w:tc>
        <w:tc>
          <w:tcPr>
            <w:tcW w:w="362" w:type="pct"/>
            <w:noWrap/>
            <w:vAlign w:val="center"/>
          </w:tcPr>
          <w:p w14:paraId="5347D172">
            <w:pPr>
              <w:pStyle w:val="133"/>
              <w:rPr>
                <w:sz w:val="18"/>
                <w:szCs w:val="18"/>
              </w:rPr>
            </w:pPr>
            <w:r>
              <w:rPr>
                <w:rFonts w:hint="eastAsia"/>
                <w:sz w:val="18"/>
                <w:szCs w:val="18"/>
              </w:rPr>
              <w:t>15</w:t>
            </w:r>
          </w:p>
        </w:tc>
        <w:tc>
          <w:tcPr>
            <w:tcW w:w="359" w:type="pct"/>
            <w:noWrap/>
            <w:vAlign w:val="center"/>
          </w:tcPr>
          <w:p w14:paraId="053AE09A">
            <w:pPr>
              <w:pStyle w:val="133"/>
              <w:rPr>
                <w:sz w:val="18"/>
                <w:szCs w:val="18"/>
              </w:rPr>
            </w:pPr>
            <w:r>
              <w:rPr>
                <w:rFonts w:hint="eastAsia"/>
                <w:sz w:val="18"/>
                <w:szCs w:val="18"/>
              </w:rPr>
              <w:t>0.5</w:t>
            </w:r>
          </w:p>
        </w:tc>
        <w:tc>
          <w:tcPr>
            <w:tcW w:w="361" w:type="pct"/>
            <w:noWrap/>
            <w:vAlign w:val="center"/>
          </w:tcPr>
          <w:p w14:paraId="3EC733C9">
            <w:pPr>
              <w:pStyle w:val="133"/>
              <w:rPr>
                <w:sz w:val="18"/>
                <w:szCs w:val="18"/>
              </w:rPr>
            </w:pPr>
            <w:r>
              <w:rPr>
                <w:rFonts w:hint="eastAsia"/>
                <w:sz w:val="18"/>
                <w:szCs w:val="18"/>
              </w:rPr>
              <w:t>150</w:t>
            </w:r>
          </w:p>
        </w:tc>
        <w:tc>
          <w:tcPr>
            <w:tcW w:w="329" w:type="pct"/>
            <w:vAlign w:val="center"/>
          </w:tcPr>
          <w:p w14:paraId="7B1A7690">
            <w:pPr>
              <w:pStyle w:val="133"/>
              <w:rPr>
                <w:sz w:val="18"/>
                <w:szCs w:val="18"/>
              </w:rPr>
            </w:pPr>
            <w:r>
              <w:rPr>
                <w:rFonts w:hint="eastAsia"/>
                <w:sz w:val="18"/>
                <w:szCs w:val="18"/>
              </w:rPr>
              <w:t>10000</w:t>
            </w:r>
          </w:p>
        </w:tc>
        <w:tc>
          <w:tcPr>
            <w:tcW w:w="254" w:type="pct"/>
            <w:vAlign w:val="center"/>
          </w:tcPr>
          <w:p w14:paraId="41437CA1">
            <w:pPr>
              <w:pStyle w:val="133"/>
              <w:rPr>
                <w:sz w:val="18"/>
                <w:szCs w:val="18"/>
              </w:rPr>
            </w:pPr>
          </w:p>
        </w:tc>
        <w:tc>
          <w:tcPr>
            <w:tcW w:w="254" w:type="pct"/>
            <w:vAlign w:val="center"/>
          </w:tcPr>
          <w:p w14:paraId="55111251">
            <w:pPr>
              <w:pStyle w:val="133"/>
              <w:rPr>
                <w:sz w:val="18"/>
                <w:szCs w:val="18"/>
              </w:rPr>
            </w:pPr>
          </w:p>
        </w:tc>
        <w:tc>
          <w:tcPr>
            <w:tcW w:w="254" w:type="pct"/>
            <w:noWrap/>
            <w:vAlign w:val="center"/>
          </w:tcPr>
          <w:p w14:paraId="0AF88180">
            <w:pPr>
              <w:pStyle w:val="133"/>
              <w:rPr>
                <w:sz w:val="18"/>
                <w:szCs w:val="18"/>
              </w:rPr>
            </w:pPr>
          </w:p>
        </w:tc>
        <w:tc>
          <w:tcPr>
            <w:tcW w:w="254" w:type="pct"/>
            <w:noWrap/>
            <w:vAlign w:val="center"/>
          </w:tcPr>
          <w:p w14:paraId="7A8CB754">
            <w:pPr>
              <w:pStyle w:val="133"/>
              <w:rPr>
                <w:sz w:val="18"/>
                <w:szCs w:val="18"/>
              </w:rPr>
            </w:pPr>
          </w:p>
        </w:tc>
        <w:tc>
          <w:tcPr>
            <w:tcW w:w="254" w:type="pct"/>
            <w:vAlign w:val="center"/>
          </w:tcPr>
          <w:p w14:paraId="03621BB0">
            <w:pPr>
              <w:pStyle w:val="133"/>
              <w:rPr>
                <w:sz w:val="18"/>
                <w:szCs w:val="18"/>
              </w:rPr>
            </w:pPr>
          </w:p>
        </w:tc>
        <w:tc>
          <w:tcPr>
            <w:tcW w:w="254" w:type="pct"/>
            <w:vAlign w:val="center"/>
          </w:tcPr>
          <w:p w14:paraId="65CCE050">
            <w:pPr>
              <w:pStyle w:val="133"/>
              <w:rPr>
                <w:sz w:val="18"/>
                <w:szCs w:val="18"/>
              </w:rPr>
            </w:pPr>
          </w:p>
        </w:tc>
        <w:tc>
          <w:tcPr>
            <w:tcW w:w="254" w:type="pct"/>
            <w:vAlign w:val="center"/>
          </w:tcPr>
          <w:p w14:paraId="7FC651CC">
            <w:pPr>
              <w:pStyle w:val="133"/>
              <w:rPr>
                <w:sz w:val="18"/>
                <w:szCs w:val="18"/>
              </w:rPr>
            </w:pPr>
          </w:p>
        </w:tc>
        <w:tc>
          <w:tcPr>
            <w:tcW w:w="251" w:type="pct"/>
            <w:vAlign w:val="center"/>
          </w:tcPr>
          <w:p w14:paraId="763CFF29">
            <w:pPr>
              <w:pStyle w:val="133"/>
              <w:rPr>
                <w:sz w:val="18"/>
                <w:szCs w:val="18"/>
              </w:rPr>
            </w:pPr>
          </w:p>
        </w:tc>
      </w:tr>
    </w:tbl>
    <w:p w14:paraId="645D1ED9">
      <w:pPr>
        <w:pStyle w:val="1086"/>
        <w:ind w:firstLine="420"/>
        <w:rPr>
          <w:rFonts w:cs="Times New Roman"/>
        </w:rPr>
      </w:pPr>
    </w:p>
    <w:p w14:paraId="457679A9">
      <w:pPr>
        <w:pStyle w:val="118"/>
      </w:pPr>
    </w:p>
    <w:p w14:paraId="6D6ECD46">
      <w:pPr>
        <w:pStyle w:val="118"/>
      </w:pPr>
    </w:p>
    <w:p w14:paraId="191B130D">
      <w:pPr>
        <w:pStyle w:val="118"/>
      </w:pPr>
    </w:p>
    <w:p w14:paraId="00F11A0D">
      <w:pPr>
        <w:pStyle w:val="118"/>
      </w:pPr>
    </w:p>
    <w:p w14:paraId="63756184">
      <w:pPr>
        <w:pStyle w:val="118"/>
      </w:pPr>
      <w:r>
        <w:t>表</w:t>
      </w:r>
      <w:r>
        <w:rPr>
          <w:rFonts w:hint="eastAsia"/>
        </w:rPr>
        <w:t>5.2-12</w:t>
      </w:r>
      <w:r>
        <w:t xml:space="preserve">  </w:t>
      </w:r>
      <w:r>
        <w:rPr>
          <w:rFonts w:hint="eastAsia"/>
        </w:rPr>
        <w:t>评价范围内拟建、在建</w:t>
      </w:r>
      <w:r>
        <w:t>项目无组织污染物计算参数选取值一览表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97"/>
        <w:gridCol w:w="2082"/>
        <w:gridCol w:w="761"/>
        <w:gridCol w:w="756"/>
        <w:gridCol w:w="761"/>
        <w:gridCol w:w="932"/>
        <w:gridCol w:w="890"/>
        <w:gridCol w:w="820"/>
        <w:gridCol w:w="925"/>
        <w:gridCol w:w="925"/>
        <w:gridCol w:w="925"/>
        <w:gridCol w:w="925"/>
        <w:gridCol w:w="925"/>
        <w:gridCol w:w="925"/>
        <w:gridCol w:w="939"/>
      </w:tblGrid>
      <w:tr w14:paraId="331FB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80" w:hRule="atLeast"/>
          <w:jc w:val="center"/>
        </w:trPr>
        <w:tc>
          <w:tcPr>
            <w:tcW w:w="0" w:type="auto"/>
            <w:vMerge w:val="restart"/>
            <w:vAlign w:val="center"/>
          </w:tcPr>
          <w:p w14:paraId="292AFA5E">
            <w:pPr>
              <w:pStyle w:val="125"/>
              <w:ind w:firstLine="0" w:firstLineChars="0"/>
              <w:rPr>
                <w:b/>
                <w:bCs/>
                <w:sz w:val="18"/>
                <w:szCs w:val="18"/>
              </w:rPr>
            </w:pPr>
            <w:r>
              <w:rPr>
                <w:b/>
                <w:bCs/>
                <w:sz w:val="18"/>
                <w:szCs w:val="18"/>
              </w:rPr>
              <w:t>序号</w:t>
            </w:r>
          </w:p>
        </w:tc>
        <w:tc>
          <w:tcPr>
            <w:tcW w:w="744" w:type="pct"/>
            <w:vMerge w:val="restart"/>
            <w:vAlign w:val="center"/>
          </w:tcPr>
          <w:p w14:paraId="70D3B3D3">
            <w:pPr>
              <w:pStyle w:val="125"/>
              <w:ind w:firstLine="0" w:firstLineChars="0"/>
              <w:rPr>
                <w:b/>
                <w:bCs/>
                <w:sz w:val="18"/>
                <w:szCs w:val="18"/>
              </w:rPr>
            </w:pPr>
            <w:r>
              <w:rPr>
                <w:b/>
                <w:bCs/>
                <w:sz w:val="18"/>
                <w:szCs w:val="18"/>
              </w:rPr>
              <w:t>面源名称</w:t>
            </w:r>
          </w:p>
        </w:tc>
        <w:tc>
          <w:tcPr>
            <w:tcW w:w="542" w:type="pct"/>
            <w:gridSpan w:val="2"/>
            <w:vAlign w:val="center"/>
          </w:tcPr>
          <w:p w14:paraId="04A69107">
            <w:pPr>
              <w:pStyle w:val="125"/>
              <w:ind w:firstLine="0" w:firstLineChars="0"/>
              <w:rPr>
                <w:b/>
                <w:bCs/>
                <w:sz w:val="18"/>
                <w:szCs w:val="18"/>
              </w:rPr>
            </w:pPr>
            <w:r>
              <w:rPr>
                <w:b/>
                <w:bCs/>
                <w:sz w:val="18"/>
                <w:szCs w:val="18"/>
              </w:rPr>
              <w:t>面源中心坐标</w:t>
            </w:r>
          </w:p>
        </w:tc>
        <w:tc>
          <w:tcPr>
            <w:tcW w:w="272" w:type="pct"/>
            <w:vMerge w:val="restart"/>
            <w:vAlign w:val="center"/>
          </w:tcPr>
          <w:p w14:paraId="05167843">
            <w:pPr>
              <w:pStyle w:val="125"/>
              <w:ind w:firstLine="0" w:firstLineChars="0"/>
              <w:rPr>
                <w:b/>
                <w:bCs/>
                <w:sz w:val="18"/>
                <w:szCs w:val="18"/>
              </w:rPr>
            </w:pPr>
            <w:r>
              <w:rPr>
                <w:b/>
                <w:bCs/>
                <w:sz w:val="18"/>
                <w:szCs w:val="18"/>
              </w:rPr>
              <w:t>面源</w:t>
            </w:r>
          </w:p>
          <w:p w14:paraId="4A105717">
            <w:pPr>
              <w:pStyle w:val="125"/>
              <w:ind w:firstLine="0" w:firstLineChars="0"/>
              <w:rPr>
                <w:b/>
                <w:bCs/>
                <w:sz w:val="18"/>
                <w:szCs w:val="18"/>
              </w:rPr>
            </w:pPr>
            <w:r>
              <w:rPr>
                <w:b/>
                <w:bCs/>
                <w:sz w:val="18"/>
                <w:szCs w:val="18"/>
              </w:rPr>
              <w:t>长度</w:t>
            </w:r>
          </w:p>
          <w:p w14:paraId="6FE9E265">
            <w:pPr>
              <w:pStyle w:val="125"/>
              <w:ind w:firstLine="0" w:firstLineChars="0"/>
              <w:rPr>
                <w:b/>
                <w:bCs/>
                <w:sz w:val="18"/>
                <w:szCs w:val="18"/>
              </w:rPr>
            </w:pPr>
            <w:r>
              <w:rPr>
                <w:b/>
                <w:bCs/>
                <w:sz w:val="18"/>
                <w:szCs w:val="18"/>
              </w:rPr>
              <w:t>L1（m）</w:t>
            </w:r>
          </w:p>
        </w:tc>
        <w:tc>
          <w:tcPr>
            <w:tcW w:w="333" w:type="pct"/>
            <w:vMerge w:val="restart"/>
            <w:vAlign w:val="center"/>
          </w:tcPr>
          <w:p w14:paraId="7A9F431C">
            <w:pPr>
              <w:pStyle w:val="125"/>
              <w:ind w:firstLine="0" w:firstLineChars="0"/>
              <w:rPr>
                <w:b/>
                <w:bCs/>
                <w:sz w:val="18"/>
                <w:szCs w:val="18"/>
              </w:rPr>
            </w:pPr>
            <w:r>
              <w:rPr>
                <w:b/>
                <w:bCs/>
                <w:sz w:val="18"/>
                <w:szCs w:val="18"/>
              </w:rPr>
              <w:t>面源</w:t>
            </w:r>
          </w:p>
          <w:p w14:paraId="4ADE8447">
            <w:pPr>
              <w:pStyle w:val="125"/>
              <w:ind w:firstLine="0" w:firstLineChars="0"/>
              <w:rPr>
                <w:b/>
                <w:bCs/>
                <w:sz w:val="18"/>
                <w:szCs w:val="18"/>
              </w:rPr>
            </w:pPr>
            <w:r>
              <w:rPr>
                <w:b/>
                <w:bCs/>
                <w:sz w:val="18"/>
                <w:szCs w:val="18"/>
              </w:rPr>
              <w:t>宽度</w:t>
            </w:r>
          </w:p>
          <w:p w14:paraId="5585826A">
            <w:pPr>
              <w:pStyle w:val="125"/>
              <w:ind w:firstLine="0" w:firstLineChars="0"/>
              <w:rPr>
                <w:b/>
                <w:bCs/>
                <w:sz w:val="18"/>
                <w:szCs w:val="18"/>
              </w:rPr>
            </w:pPr>
            <w:r>
              <w:rPr>
                <w:b/>
                <w:bCs/>
                <w:sz w:val="18"/>
                <w:szCs w:val="18"/>
              </w:rPr>
              <w:t>Lw（m）</w:t>
            </w:r>
          </w:p>
        </w:tc>
        <w:tc>
          <w:tcPr>
            <w:tcW w:w="318" w:type="pct"/>
            <w:vMerge w:val="restart"/>
            <w:vAlign w:val="center"/>
          </w:tcPr>
          <w:p w14:paraId="7DE9088D">
            <w:pPr>
              <w:pStyle w:val="125"/>
              <w:ind w:firstLine="0" w:firstLineChars="0"/>
              <w:rPr>
                <w:b/>
                <w:bCs/>
                <w:sz w:val="18"/>
                <w:szCs w:val="18"/>
              </w:rPr>
            </w:pPr>
            <w:r>
              <w:rPr>
                <w:b/>
                <w:bCs/>
                <w:sz w:val="18"/>
                <w:szCs w:val="18"/>
              </w:rPr>
              <w:t>与正北向夹角</w:t>
            </w:r>
          </w:p>
          <w:p w14:paraId="6FFA0693">
            <w:pPr>
              <w:pStyle w:val="125"/>
              <w:ind w:firstLine="0" w:firstLineChars="0"/>
              <w:rPr>
                <w:b/>
                <w:bCs/>
                <w:sz w:val="18"/>
                <w:szCs w:val="18"/>
              </w:rPr>
            </w:pPr>
            <w:r>
              <w:rPr>
                <w:b/>
                <w:bCs/>
                <w:sz w:val="18"/>
                <w:szCs w:val="18"/>
              </w:rPr>
              <w:t>（°）</w:t>
            </w:r>
          </w:p>
        </w:tc>
        <w:tc>
          <w:tcPr>
            <w:tcW w:w="293" w:type="pct"/>
            <w:vMerge w:val="restart"/>
            <w:vAlign w:val="center"/>
          </w:tcPr>
          <w:p w14:paraId="65DB3142">
            <w:pPr>
              <w:pStyle w:val="125"/>
              <w:ind w:firstLine="0" w:firstLineChars="0"/>
              <w:rPr>
                <w:b/>
                <w:bCs/>
                <w:sz w:val="18"/>
                <w:szCs w:val="18"/>
              </w:rPr>
            </w:pPr>
            <w:r>
              <w:rPr>
                <w:b/>
                <w:bCs/>
                <w:sz w:val="18"/>
                <w:szCs w:val="18"/>
              </w:rPr>
              <w:t>排放</w:t>
            </w:r>
          </w:p>
          <w:p w14:paraId="24FD948F">
            <w:pPr>
              <w:pStyle w:val="125"/>
              <w:ind w:firstLine="0" w:firstLineChars="0"/>
              <w:rPr>
                <w:b/>
                <w:bCs/>
                <w:sz w:val="18"/>
                <w:szCs w:val="18"/>
              </w:rPr>
            </w:pPr>
            <w:r>
              <w:rPr>
                <w:b/>
                <w:bCs/>
                <w:sz w:val="18"/>
                <w:szCs w:val="18"/>
              </w:rPr>
              <w:t>高度</w:t>
            </w:r>
          </w:p>
          <w:p w14:paraId="2F38F4C9">
            <w:pPr>
              <w:pStyle w:val="125"/>
              <w:ind w:firstLine="0" w:firstLineChars="0"/>
              <w:rPr>
                <w:b/>
                <w:bCs/>
                <w:sz w:val="18"/>
                <w:szCs w:val="18"/>
              </w:rPr>
            </w:pPr>
            <w:r>
              <w:rPr>
                <w:b/>
                <w:bCs/>
                <w:sz w:val="18"/>
                <w:szCs w:val="18"/>
              </w:rPr>
              <w:t>H</w:t>
            </w:r>
          </w:p>
          <w:p w14:paraId="37139DC2">
            <w:pPr>
              <w:pStyle w:val="125"/>
              <w:ind w:firstLine="0" w:firstLineChars="0"/>
              <w:rPr>
                <w:b/>
                <w:bCs/>
                <w:sz w:val="18"/>
                <w:szCs w:val="18"/>
              </w:rPr>
            </w:pPr>
            <w:r>
              <w:rPr>
                <w:b/>
                <w:bCs/>
                <w:sz w:val="18"/>
                <w:szCs w:val="18"/>
              </w:rPr>
              <w:t>（m）</w:t>
            </w:r>
          </w:p>
        </w:tc>
        <w:tc>
          <w:tcPr>
            <w:tcW w:w="0" w:type="auto"/>
            <w:vMerge w:val="restart"/>
            <w:vAlign w:val="center"/>
          </w:tcPr>
          <w:p w14:paraId="0697F40C">
            <w:pPr>
              <w:pStyle w:val="125"/>
              <w:ind w:firstLine="0" w:firstLineChars="0"/>
              <w:rPr>
                <w:b/>
                <w:bCs/>
                <w:sz w:val="18"/>
                <w:szCs w:val="18"/>
                <w:vertAlign w:val="subscript"/>
              </w:rPr>
            </w:pPr>
            <w:r>
              <w:rPr>
                <w:b/>
                <w:bCs/>
                <w:sz w:val="18"/>
                <w:szCs w:val="18"/>
              </w:rPr>
              <w:t>Q</w:t>
            </w:r>
            <w:r>
              <w:rPr>
                <w:b/>
                <w:bCs/>
                <w:sz w:val="18"/>
                <w:szCs w:val="18"/>
                <w:vertAlign w:val="subscript"/>
              </w:rPr>
              <w:t>SO2</w:t>
            </w:r>
          </w:p>
          <w:p w14:paraId="0E7A184D">
            <w:pPr>
              <w:pStyle w:val="125"/>
              <w:ind w:firstLine="0" w:firstLineChars="0"/>
              <w:rPr>
                <w:b/>
                <w:bCs/>
                <w:sz w:val="18"/>
                <w:szCs w:val="18"/>
              </w:rPr>
            </w:pPr>
            <w:r>
              <w:rPr>
                <w:b/>
                <w:bCs/>
                <w:sz w:val="18"/>
                <w:szCs w:val="18"/>
              </w:rPr>
              <w:t>（</w:t>
            </w:r>
            <w:r>
              <w:rPr>
                <w:rFonts w:hint="eastAsia"/>
                <w:b/>
                <w:bCs/>
                <w:sz w:val="18"/>
                <w:szCs w:val="18"/>
              </w:rPr>
              <w:t>kg/h</w:t>
            </w:r>
            <w:r>
              <w:rPr>
                <w:b/>
                <w:bCs/>
                <w:sz w:val="18"/>
                <w:szCs w:val="18"/>
              </w:rPr>
              <w:t>）</w:t>
            </w:r>
          </w:p>
        </w:tc>
        <w:tc>
          <w:tcPr>
            <w:tcW w:w="0" w:type="auto"/>
            <w:vMerge w:val="restart"/>
            <w:vAlign w:val="center"/>
          </w:tcPr>
          <w:p w14:paraId="7D02EE54">
            <w:pPr>
              <w:pStyle w:val="125"/>
              <w:ind w:firstLine="0" w:firstLineChars="0"/>
              <w:rPr>
                <w:b/>
                <w:bCs/>
                <w:sz w:val="18"/>
                <w:szCs w:val="18"/>
                <w:vertAlign w:val="subscript"/>
              </w:rPr>
            </w:pPr>
            <w:r>
              <w:rPr>
                <w:b/>
                <w:bCs/>
                <w:sz w:val="18"/>
                <w:szCs w:val="18"/>
              </w:rPr>
              <w:t>Q</w:t>
            </w:r>
            <w:r>
              <w:rPr>
                <w:b/>
                <w:bCs/>
                <w:sz w:val="18"/>
                <w:szCs w:val="18"/>
                <w:vertAlign w:val="subscript"/>
              </w:rPr>
              <w:t>NO2</w:t>
            </w:r>
          </w:p>
          <w:p w14:paraId="747DFABB">
            <w:pPr>
              <w:pStyle w:val="125"/>
              <w:ind w:firstLine="0" w:firstLineChars="0"/>
              <w:rPr>
                <w:b/>
                <w:bCs/>
                <w:sz w:val="18"/>
                <w:szCs w:val="18"/>
              </w:rPr>
            </w:pPr>
            <w:r>
              <w:rPr>
                <w:b/>
                <w:bCs/>
                <w:sz w:val="18"/>
                <w:szCs w:val="18"/>
              </w:rPr>
              <w:t>（</w:t>
            </w:r>
            <w:r>
              <w:rPr>
                <w:rFonts w:hint="eastAsia"/>
                <w:b/>
                <w:bCs/>
                <w:sz w:val="18"/>
                <w:szCs w:val="18"/>
              </w:rPr>
              <w:t>kg/h</w:t>
            </w:r>
            <w:r>
              <w:rPr>
                <w:b/>
                <w:bCs/>
                <w:sz w:val="18"/>
                <w:szCs w:val="18"/>
              </w:rPr>
              <w:t>）</w:t>
            </w:r>
          </w:p>
        </w:tc>
        <w:tc>
          <w:tcPr>
            <w:tcW w:w="0" w:type="auto"/>
            <w:vMerge w:val="restart"/>
            <w:vAlign w:val="center"/>
          </w:tcPr>
          <w:p w14:paraId="2008DFA2">
            <w:pPr>
              <w:pStyle w:val="125"/>
              <w:ind w:firstLine="0" w:firstLineChars="0"/>
              <w:rPr>
                <w:b/>
                <w:bCs/>
                <w:sz w:val="18"/>
                <w:szCs w:val="18"/>
                <w:vertAlign w:val="subscript"/>
              </w:rPr>
            </w:pPr>
            <w:r>
              <w:rPr>
                <w:b/>
                <w:bCs/>
                <w:sz w:val="18"/>
                <w:szCs w:val="18"/>
              </w:rPr>
              <w:t>Q</w:t>
            </w:r>
            <w:r>
              <w:rPr>
                <w:b/>
                <w:bCs/>
                <w:sz w:val="18"/>
                <w:szCs w:val="18"/>
                <w:vertAlign w:val="subscript"/>
              </w:rPr>
              <w:t>TSP</w:t>
            </w:r>
          </w:p>
          <w:p w14:paraId="0F77FB88">
            <w:pPr>
              <w:pStyle w:val="125"/>
              <w:ind w:firstLine="0" w:firstLineChars="0"/>
              <w:rPr>
                <w:b/>
                <w:bCs/>
                <w:sz w:val="18"/>
                <w:szCs w:val="18"/>
              </w:rPr>
            </w:pPr>
            <w:r>
              <w:rPr>
                <w:b/>
                <w:bCs/>
                <w:sz w:val="18"/>
                <w:szCs w:val="18"/>
              </w:rPr>
              <w:t>（</w:t>
            </w:r>
            <w:r>
              <w:rPr>
                <w:rFonts w:hint="eastAsia"/>
                <w:b/>
                <w:bCs/>
                <w:sz w:val="18"/>
                <w:szCs w:val="18"/>
              </w:rPr>
              <w:t>kg/h</w:t>
            </w:r>
            <w:r>
              <w:rPr>
                <w:b/>
                <w:bCs/>
                <w:sz w:val="18"/>
                <w:szCs w:val="18"/>
              </w:rPr>
              <w:t>）</w:t>
            </w:r>
          </w:p>
        </w:tc>
        <w:tc>
          <w:tcPr>
            <w:tcW w:w="0" w:type="auto"/>
            <w:vMerge w:val="restart"/>
            <w:vAlign w:val="center"/>
          </w:tcPr>
          <w:p w14:paraId="08F9544C">
            <w:pPr>
              <w:pStyle w:val="125"/>
              <w:ind w:firstLine="0" w:firstLineChars="0"/>
              <w:rPr>
                <w:b/>
                <w:bCs/>
                <w:sz w:val="18"/>
                <w:szCs w:val="18"/>
                <w:vertAlign w:val="subscript"/>
              </w:rPr>
            </w:pPr>
            <w:r>
              <w:rPr>
                <w:b/>
                <w:bCs/>
                <w:sz w:val="18"/>
                <w:szCs w:val="18"/>
              </w:rPr>
              <w:t>Q</w:t>
            </w:r>
            <w:r>
              <w:rPr>
                <w:b/>
                <w:bCs/>
                <w:sz w:val="18"/>
                <w:szCs w:val="18"/>
                <w:vertAlign w:val="subscript"/>
              </w:rPr>
              <w:t>BaP</w:t>
            </w:r>
          </w:p>
          <w:p w14:paraId="60238A73">
            <w:pPr>
              <w:pStyle w:val="125"/>
              <w:ind w:firstLine="0" w:firstLineChars="0"/>
              <w:rPr>
                <w:b/>
                <w:bCs/>
                <w:sz w:val="18"/>
                <w:szCs w:val="18"/>
              </w:rPr>
            </w:pPr>
            <w:r>
              <w:rPr>
                <w:b/>
                <w:bCs/>
                <w:sz w:val="18"/>
                <w:szCs w:val="18"/>
              </w:rPr>
              <w:t>（</w:t>
            </w:r>
            <w:r>
              <w:rPr>
                <w:rFonts w:hint="eastAsia"/>
                <w:b/>
                <w:bCs/>
                <w:sz w:val="18"/>
                <w:szCs w:val="18"/>
              </w:rPr>
              <w:t>kg/h</w:t>
            </w:r>
            <w:r>
              <w:rPr>
                <w:b/>
                <w:bCs/>
                <w:sz w:val="18"/>
                <w:szCs w:val="18"/>
              </w:rPr>
              <w:t>）</w:t>
            </w:r>
          </w:p>
        </w:tc>
        <w:tc>
          <w:tcPr>
            <w:tcW w:w="0" w:type="auto"/>
            <w:vMerge w:val="restart"/>
            <w:vAlign w:val="center"/>
          </w:tcPr>
          <w:p w14:paraId="4E834960">
            <w:pPr>
              <w:pStyle w:val="125"/>
              <w:ind w:firstLine="0" w:firstLineChars="0"/>
              <w:rPr>
                <w:b/>
                <w:bCs/>
                <w:sz w:val="18"/>
                <w:szCs w:val="18"/>
                <w:vertAlign w:val="subscript"/>
              </w:rPr>
            </w:pPr>
            <w:r>
              <w:rPr>
                <w:b/>
                <w:bCs/>
                <w:sz w:val="18"/>
                <w:szCs w:val="18"/>
              </w:rPr>
              <w:t>Q</w:t>
            </w:r>
            <w:r>
              <w:rPr>
                <w:b/>
                <w:bCs/>
                <w:sz w:val="18"/>
                <w:szCs w:val="18"/>
                <w:vertAlign w:val="subscript"/>
              </w:rPr>
              <w:t>NH3</w:t>
            </w:r>
          </w:p>
          <w:p w14:paraId="1DA2BB6C">
            <w:pPr>
              <w:pStyle w:val="125"/>
              <w:ind w:firstLine="0" w:firstLineChars="0"/>
              <w:rPr>
                <w:b/>
                <w:bCs/>
                <w:sz w:val="18"/>
                <w:szCs w:val="18"/>
              </w:rPr>
            </w:pPr>
            <w:r>
              <w:rPr>
                <w:b/>
                <w:bCs/>
                <w:sz w:val="18"/>
                <w:szCs w:val="18"/>
              </w:rPr>
              <w:t>（</w:t>
            </w:r>
            <w:r>
              <w:rPr>
                <w:rFonts w:hint="eastAsia"/>
                <w:b/>
                <w:bCs/>
                <w:sz w:val="18"/>
                <w:szCs w:val="18"/>
              </w:rPr>
              <w:t>kg/h</w:t>
            </w:r>
            <w:r>
              <w:rPr>
                <w:b/>
                <w:bCs/>
                <w:sz w:val="18"/>
                <w:szCs w:val="18"/>
              </w:rPr>
              <w:t>）</w:t>
            </w:r>
          </w:p>
        </w:tc>
        <w:tc>
          <w:tcPr>
            <w:tcW w:w="0" w:type="auto"/>
            <w:vMerge w:val="restart"/>
            <w:vAlign w:val="center"/>
          </w:tcPr>
          <w:p w14:paraId="06FCE605">
            <w:pPr>
              <w:pStyle w:val="125"/>
              <w:ind w:firstLine="0" w:firstLineChars="0"/>
              <w:rPr>
                <w:b/>
                <w:bCs/>
                <w:sz w:val="18"/>
                <w:szCs w:val="18"/>
                <w:vertAlign w:val="subscript"/>
              </w:rPr>
            </w:pPr>
            <w:r>
              <w:rPr>
                <w:b/>
                <w:bCs/>
                <w:sz w:val="18"/>
                <w:szCs w:val="18"/>
              </w:rPr>
              <w:t>Q</w:t>
            </w:r>
            <w:r>
              <w:rPr>
                <w:b/>
                <w:bCs/>
                <w:sz w:val="18"/>
                <w:szCs w:val="18"/>
                <w:vertAlign w:val="subscript"/>
              </w:rPr>
              <w:t>H2S</w:t>
            </w:r>
          </w:p>
          <w:p w14:paraId="2F1101BE">
            <w:pPr>
              <w:pStyle w:val="125"/>
              <w:ind w:firstLine="0" w:firstLineChars="0"/>
              <w:rPr>
                <w:b/>
                <w:bCs/>
                <w:sz w:val="18"/>
                <w:szCs w:val="18"/>
                <w:vertAlign w:val="subscript"/>
              </w:rPr>
            </w:pPr>
            <w:r>
              <w:rPr>
                <w:b/>
                <w:bCs/>
                <w:sz w:val="18"/>
                <w:szCs w:val="18"/>
              </w:rPr>
              <w:t>（</w:t>
            </w:r>
            <w:r>
              <w:rPr>
                <w:rFonts w:hint="eastAsia"/>
                <w:b/>
                <w:bCs/>
                <w:sz w:val="18"/>
                <w:szCs w:val="18"/>
              </w:rPr>
              <w:t>kg/h</w:t>
            </w:r>
            <w:r>
              <w:rPr>
                <w:b/>
                <w:bCs/>
                <w:sz w:val="18"/>
                <w:szCs w:val="18"/>
              </w:rPr>
              <w:t>）</w:t>
            </w:r>
          </w:p>
        </w:tc>
        <w:tc>
          <w:tcPr>
            <w:tcW w:w="0" w:type="auto"/>
            <w:vMerge w:val="restart"/>
            <w:vAlign w:val="center"/>
          </w:tcPr>
          <w:p w14:paraId="3A7CAB25">
            <w:pPr>
              <w:pStyle w:val="125"/>
              <w:ind w:firstLine="0" w:firstLineChars="0"/>
              <w:rPr>
                <w:b/>
                <w:bCs/>
                <w:sz w:val="18"/>
                <w:szCs w:val="18"/>
                <w:vertAlign w:val="subscript"/>
              </w:rPr>
            </w:pPr>
            <w:r>
              <w:rPr>
                <w:b/>
                <w:bCs/>
                <w:sz w:val="18"/>
                <w:szCs w:val="18"/>
              </w:rPr>
              <w:t>Q</w:t>
            </w:r>
            <w:r>
              <w:rPr>
                <w:b/>
                <w:bCs/>
                <w:sz w:val="18"/>
                <w:szCs w:val="18"/>
                <w:vertAlign w:val="subscript"/>
              </w:rPr>
              <w:t>NMHC</w:t>
            </w:r>
          </w:p>
          <w:p w14:paraId="5BBE6B1A">
            <w:pPr>
              <w:pStyle w:val="125"/>
              <w:ind w:firstLine="0" w:firstLineChars="0"/>
              <w:rPr>
                <w:b/>
                <w:bCs/>
                <w:sz w:val="18"/>
                <w:szCs w:val="18"/>
                <w:vertAlign w:val="subscript"/>
              </w:rPr>
            </w:pPr>
            <w:r>
              <w:rPr>
                <w:b/>
                <w:bCs/>
                <w:sz w:val="18"/>
                <w:szCs w:val="18"/>
              </w:rPr>
              <w:t>（</w:t>
            </w:r>
            <w:r>
              <w:rPr>
                <w:rFonts w:hint="eastAsia"/>
                <w:b/>
                <w:bCs/>
                <w:sz w:val="18"/>
                <w:szCs w:val="18"/>
              </w:rPr>
              <w:t>kg/h</w:t>
            </w:r>
            <w:r>
              <w:rPr>
                <w:b/>
                <w:bCs/>
                <w:sz w:val="18"/>
                <w:szCs w:val="18"/>
              </w:rPr>
              <w:t>）</w:t>
            </w:r>
          </w:p>
        </w:tc>
      </w:tr>
      <w:tr w14:paraId="0FAFB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63609624">
            <w:pPr>
              <w:pStyle w:val="125"/>
              <w:ind w:firstLine="0" w:firstLineChars="0"/>
              <w:rPr>
                <w:sz w:val="18"/>
                <w:szCs w:val="18"/>
              </w:rPr>
            </w:pPr>
          </w:p>
        </w:tc>
        <w:tc>
          <w:tcPr>
            <w:tcW w:w="744" w:type="pct"/>
            <w:vMerge w:val="continue"/>
            <w:vAlign w:val="center"/>
          </w:tcPr>
          <w:p w14:paraId="0B6CCCE1">
            <w:pPr>
              <w:pStyle w:val="125"/>
              <w:ind w:firstLine="0" w:firstLineChars="0"/>
              <w:rPr>
                <w:sz w:val="18"/>
                <w:szCs w:val="18"/>
              </w:rPr>
            </w:pPr>
          </w:p>
        </w:tc>
        <w:tc>
          <w:tcPr>
            <w:tcW w:w="272" w:type="pct"/>
            <w:vAlign w:val="center"/>
          </w:tcPr>
          <w:p w14:paraId="67FC997F">
            <w:pPr>
              <w:pStyle w:val="125"/>
              <w:ind w:firstLine="0" w:firstLineChars="0"/>
              <w:rPr>
                <w:b/>
                <w:bCs/>
                <w:sz w:val="18"/>
                <w:szCs w:val="18"/>
              </w:rPr>
            </w:pPr>
            <w:r>
              <w:rPr>
                <w:b/>
                <w:bCs/>
                <w:sz w:val="18"/>
                <w:szCs w:val="18"/>
              </w:rPr>
              <w:t>X</w:t>
            </w:r>
          </w:p>
          <w:p w14:paraId="60997B18">
            <w:pPr>
              <w:pStyle w:val="125"/>
              <w:ind w:firstLine="0" w:firstLineChars="0"/>
              <w:rPr>
                <w:b/>
                <w:bCs/>
                <w:sz w:val="18"/>
                <w:szCs w:val="18"/>
              </w:rPr>
            </w:pPr>
            <w:r>
              <w:rPr>
                <w:b/>
                <w:bCs/>
                <w:sz w:val="18"/>
                <w:szCs w:val="18"/>
              </w:rPr>
              <w:t>（m）</w:t>
            </w:r>
          </w:p>
        </w:tc>
        <w:tc>
          <w:tcPr>
            <w:tcW w:w="270" w:type="pct"/>
            <w:vAlign w:val="center"/>
          </w:tcPr>
          <w:p w14:paraId="7B143F60">
            <w:pPr>
              <w:pStyle w:val="125"/>
              <w:ind w:firstLine="0" w:firstLineChars="0"/>
              <w:rPr>
                <w:b/>
                <w:bCs/>
                <w:sz w:val="18"/>
                <w:szCs w:val="18"/>
              </w:rPr>
            </w:pPr>
            <w:r>
              <w:rPr>
                <w:b/>
                <w:bCs/>
                <w:sz w:val="18"/>
                <w:szCs w:val="18"/>
              </w:rPr>
              <w:t>Y</w:t>
            </w:r>
          </w:p>
          <w:p w14:paraId="52D04926">
            <w:pPr>
              <w:pStyle w:val="125"/>
              <w:ind w:firstLine="0" w:firstLineChars="0"/>
              <w:rPr>
                <w:b/>
                <w:bCs/>
                <w:sz w:val="18"/>
                <w:szCs w:val="18"/>
              </w:rPr>
            </w:pPr>
            <w:r>
              <w:rPr>
                <w:b/>
                <w:bCs/>
                <w:sz w:val="18"/>
                <w:szCs w:val="18"/>
              </w:rPr>
              <w:t>（m）</w:t>
            </w:r>
          </w:p>
        </w:tc>
        <w:tc>
          <w:tcPr>
            <w:tcW w:w="272" w:type="pct"/>
            <w:vMerge w:val="continue"/>
            <w:vAlign w:val="center"/>
          </w:tcPr>
          <w:p w14:paraId="1B9319A3">
            <w:pPr>
              <w:pStyle w:val="125"/>
              <w:ind w:firstLine="0" w:firstLineChars="0"/>
              <w:rPr>
                <w:b/>
                <w:bCs/>
                <w:sz w:val="18"/>
                <w:szCs w:val="18"/>
              </w:rPr>
            </w:pPr>
          </w:p>
        </w:tc>
        <w:tc>
          <w:tcPr>
            <w:tcW w:w="333" w:type="pct"/>
            <w:vMerge w:val="continue"/>
            <w:vAlign w:val="center"/>
          </w:tcPr>
          <w:p w14:paraId="754B4C17">
            <w:pPr>
              <w:pStyle w:val="125"/>
              <w:ind w:firstLine="0" w:firstLineChars="0"/>
              <w:rPr>
                <w:b/>
                <w:bCs/>
                <w:sz w:val="18"/>
                <w:szCs w:val="18"/>
              </w:rPr>
            </w:pPr>
          </w:p>
        </w:tc>
        <w:tc>
          <w:tcPr>
            <w:tcW w:w="318" w:type="pct"/>
            <w:vMerge w:val="continue"/>
            <w:vAlign w:val="center"/>
          </w:tcPr>
          <w:p w14:paraId="64B3124D">
            <w:pPr>
              <w:pStyle w:val="125"/>
              <w:ind w:firstLine="0" w:firstLineChars="0"/>
              <w:rPr>
                <w:b/>
                <w:bCs/>
                <w:sz w:val="18"/>
                <w:szCs w:val="18"/>
              </w:rPr>
            </w:pPr>
          </w:p>
        </w:tc>
        <w:tc>
          <w:tcPr>
            <w:tcW w:w="293" w:type="pct"/>
            <w:vMerge w:val="continue"/>
            <w:vAlign w:val="center"/>
          </w:tcPr>
          <w:p w14:paraId="44D20F3B">
            <w:pPr>
              <w:pStyle w:val="125"/>
              <w:ind w:firstLine="0" w:firstLineChars="0"/>
              <w:rPr>
                <w:b/>
                <w:bCs/>
                <w:sz w:val="18"/>
                <w:szCs w:val="18"/>
              </w:rPr>
            </w:pPr>
          </w:p>
        </w:tc>
        <w:tc>
          <w:tcPr>
            <w:tcW w:w="0" w:type="auto"/>
            <w:vMerge w:val="continue"/>
            <w:vAlign w:val="center"/>
          </w:tcPr>
          <w:p w14:paraId="499F1C8E">
            <w:pPr>
              <w:pStyle w:val="125"/>
              <w:ind w:firstLine="0" w:firstLineChars="0"/>
              <w:rPr>
                <w:b/>
                <w:bCs/>
                <w:sz w:val="18"/>
                <w:szCs w:val="18"/>
              </w:rPr>
            </w:pPr>
          </w:p>
        </w:tc>
        <w:tc>
          <w:tcPr>
            <w:tcW w:w="0" w:type="auto"/>
            <w:vMerge w:val="continue"/>
            <w:vAlign w:val="center"/>
          </w:tcPr>
          <w:p w14:paraId="7817506B">
            <w:pPr>
              <w:pStyle w:val="125"/>
              <w:ind w:firstLine="0" w:firstLineChars="0"/>
              <w:rPr>
                <w:b/>
                <w:bCs/>
                <w:sz w:val="18"/>
                <w:szCs w:val="18"/>
              </w:rPr>
            </w:pPr>
          </w:p>
        </w:tc>
        <w:tc>
          <w:tcPr>
            <w:tcW w:w="0" w:type="auto"/>
            <w:vMerge w:val="continue"/>
            <w:vAlign w:val="center"/>
          </w:tcPr>
          <w:p w14:paraId="31751B19">
            <w:pPr>
              <w:pStyle w:val="125"/>
              <w:ind w:firstLine="0" w:firstLineChars="0"/>
              <w:rPr>
                <w:b/>
                <w:bCs/>
                <w:sz w:val="18"/>
                <w:szCs w:val="18"/>
              </w:rPr>
            </w:pPr>
          </w:p>
        </w:tc>
        <w:tc>
          <w:tcPr>
            <w:tcW w:w="0" w:type="auto"/>
            <w:vMerge w:val="continue"/>
            <w:vAlign w:val="center"/>
          </w:tcPr>
          <w:p w14:paraId="749D5C3B">
            <w:pPr>
              <w:pStyle w:val="125"/>
              <w:ind w:firstLine="0" w:firstLineChars="0"/>
              <w:rPr>
                <w:b/>
                <w:bCs/>
                <w:sz w:val="18"/>
                <w:szCs w:val="18"/>
              </w:rPr>
            </w:pPr>
          </w:p>
        </w:tc>
        <w:tc>
          <w:tcPr>
            <w:tcW w:w="0" w:type="auto"/>
            <w:vMerge w:val="continue"/>
            <w:vAlign w:val="center"/>
          </w:tcPr>
          <w:p w14:paraId="53E82E95">
            <w:pPr>
              <w:pStyle w:val="125"/>
              <w:ind w:firstLine="0" w:firstLineChars="0"/>
              <w:rPr>
                <w:b/>
                <w:bCs/>
                <w:sz w:val="18"/>
                <w:szCs w:val="18"/>
              </w:rPr>
            </w:pPr>
          </w:p>
        </w:tc>
        <w:tc>
          <w:tcPr>
            <w:tcW w:w="0" w:type="auto"/>
            <w:vMerge w:val="continue"/>
            <w:vAlign w:val="center"/>
          </w:tcPr>
          <w:p w14:paraId="0D4FDA61">
            <w:pPr>
              <w:pStyle w:val="125"/>
              <w:ind w:firstLine="0" w:firstLineChars="0"/>
              <w:rPr>
                <w:b/>
                <w:bCs/>
                <w:sz w:val="18"/>
                <w:szCs w:val="18"/>
              </w:rPr>
            </w:pPr>
          </w:p>
        </w:tc>
        <w:tc>
          <w:tcPr>
            <w:tcW w:w="0" w:type="auto"/>
            <w:vMerge w:val="continue"/>
            <w:vAlign w:val="center"/>
          </w:tcPr>
          <w:p w14:paraId="4B798352">
            <w:pPr>
              <w:pStyle w:val="125"/>
              <w:ind w:firstLine="0" w:firstLineChars="0"/>
              <w:rPr>
                <w:b/>
                <w:bCs/>
                <w:sz w:val="18"/>
                <w:szCs w:val="18"/>
              </w:rPr>
            </w:pPr>
          </w:p>
        </w:tc>
      </w:tr>
      <w:tr w14:paraId="4A5C4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6216557D">
            <w:pPr>
              <w:pStyle w:val="125"/>
              <w:ind w:firstLine="0" w:firstLineChars="0"/>
              <w:rPr>
                <w:sz w:val="18"/>
                <w:szCs w:val="18"/>
              </w:rPr>
            </w:pPr>
            <w:r>
              <w:rPr>
                <w:rFonts w:hint="eastAsia"/>
                <w:sz w:val="18"/>
                <w:szCs w:val="18"/>
              </w:rPr>
              <w:t>1</w:t>
            </w:r>
          </w:p>
        </w:tc>
        <w:tc>
          <w:tcPr>
            <w:tcW w:w="744" w:type="pct"/>
            <w:vAlign w:val="center"/>
          </w:tcPr>
          <w:p w14:paraId="0DDA84F0">
            <w:pPr>
              <w:pStyle w:val="125"/>
              <w:ind w:firstLine="0" w:firstLineChars="0"/>
              <w:rPr>
                <w:sz w:val="18"/>
                <w:szCs w:val="18"/>
              </w:rPr>
            </w:pPr>
            <w:r>
              <w:rPr>
                <w:rFonts w:hint="eastAsia"/>
                <w:sz w:val="18"/>
                <w:szCs w:val="18"/>
              </w:rPr>
              <w:t>白云石仓库</w:t>
            </w:r>
          </w:p>
        </w:tc>
        <w:tc>
          <w:tcPr>
            <w:tcW w:w="272" w:type="pct"/>
            <w:vAlign w:val="center"/>
          </w:tcPr>
          <w:p w14:paraId="132AAD94">
            <w:pPr>
              <w:pStyle w:val="125"/>
              <w:ind w:firstLine="0" w:firstLineChars="0"/>
              <w:rPr>
                <w:sz w:val="18"/>
                <w:szCs w:val="18"/>
              </w:rPr>
            </w:pPr>
            <w:r>
              <w:rPr>
                <w:rFonts w:hint="eastAsia"/>
                <w:sz w:val="18"/>
                <w:szCs w:val="18"/>
              </w:rPr>
              <w:t>-714</w:t>
            </w:r>
          </w:p>
        </w:tc>
        <w:tc>
          <w:tcPr>
            <w:tcW w:w="270" w:type="pct"/>
            <w:vAlign w:val="center"/>
          </w:tcPr>
          <w:p w14:paraId="6751B7B1">
            <w:pPr>
              <w:pStyle w:val="125"/>
              <w:ind w:firstLine="0" w:firstLineChars="0"/>
              <w:rPr>
                <w:sz w:val="18"/>
                <w:szCs w:val="18"/>
              </w:rPr>
            </w:pPr>
            <w:r>
              <w:rPr>
                <w:rFonts w:hint="eastAsia"/>
                <w:sz w:val="18"/>
                <w:szCs w:val="18"/>
              </w:rPr>
              <w:t>-33</w:t>
            </w:r>
          </w:p>
        </w:tc>
        <w:tc>
          <w:tcPr>
            <w:tcW w:w="272" w:type="pct"/>
            <w:vAlign w:val="center"/>
          </w:tcPr>
          <w:p w14:paraId="4500F298">
            <w:pPr>
              <w:pStyle w:val="125"/>
              <w:ind w:firstLine="0" w:firstLineChars="0"/>
              <w:rPr>
                <w:sz w:val="18"/>
                <w:szCs w:val="18"/>
              </w:rPr>
            </w:pPr>
            <w:r>
              <w:rPr>
                <w:sz w:val="18"/>
                <w:szCs w:val="18"/>
              </w:rPr>
              <w:t>84</w:t>
            </w:r>
          </w:p>
        </w:tc>
        <w:tc>
          <w:tcPr>
            <w:tcW w:w="333" w:type="pct"/>
            <w:vAlign w:val="center"/>
          </w:tcPr>
          <w:p w14:paraId="50677D45">
            <w:pPr>
              <w:pStyle w:val="125"/>
              <w:ind w:firstLine="0" w:firstLineChars="0"/>
              <w:rPr>
                <w:sz w:val="18"/>
                <w:szCs w:val="18"/>
              </w:rPr>
            </w:pPr>
            <w:r>
              <w:rPr>
                <w:sz w:val="18"/>
                <w:szCs w:val="18"/>
              </w:rPr>
              <w:t>110</w:t>
            </w:r>
          </w:p>
        </w:tc>
        <w:tc>
          <w:tcPr>
            <w:tcW w:w="318" w:type="pct"/>
            <w:vAlign w:val="center"/>
          </w:tcPr>
          <w:p w14:paraId="2D3DA7EB">
            <w:pPr>
              <w:pStyle w:val="125"/>
              <w:ind w:firstLine="0" w:firstLineChars="0"/>
              <w:rPr>
                <w:sz w:val="18"/>
                <w:szCs w:val="18"/>
              </w:rPr>
            </w:pPr>
            <w:r>
              <w:rPr>
                <w:sz w:val="18"/>
                <w:szCs w:val="18"/>
              </w:rPr>
              <w:t>0</w:t>
            </w:r>
          </w:p>
        </w:tc>
        <w:tc>
          <w:tcPr>
            <w:tcW w:w="293" w:type="pct"/>
            <w:vAlign w:val="center"/>
          </w:tcPr>
          <w:p w14:paraId="315FB2C5">
            <w:pPr>
              <w:pStyle w:val="125"/>
              <w:ind w:firstLine="0" w:firstLineChars="0"/>
              <w:rPr>
                <w:sz w:val="18"/>
                <w:szCs w:val="18"/>
              </w:rPr>
            </w:pPr>
            <w:r>
              <w:rPr>
                <w:sz w:val="18"/>
                <w:szCs w:val="18"/>
              </w:rPr>
              <w:t>25</w:t>
            </w:r>
          </w:p>
        </w:tc>
        <w:tc>
          <w:tcPr>
            <w:tcW w:w="0" w:type="auto"/>
            <w:vAlign w:val="center"/>
          </w:tcPr>
          <w:p w14:paraId="3F5A0596">
            <w:pPr>
              <w:pStyle w:val="125"/>
              <w:ind w:firstLine="0" w:firstLineChars="0"/>
              <w:rPr>
                <w:sz w:val="18"/>
                <w:szCs w:val="18"/>
              </w:rPr>
            </w:pPr>
          </w:p>
        </w:tc>
        <w:tc>
          <w:tcPr>
            <w:tcW w:w="0" w:type="auto"/>
            <w:vAlign w:val="center"/>
          </w:tcPr>
          <w:p w14:paraId="7B95130C">
            <w:pPr>
              <w:pStyle w:val="125"/>
              <w:ind w:firstLine="0" w:firstLineChars="0"/>
              <w:rPr>
                <w:sz w:val="18"/>
                <w:szCs w:val="18"/>
              </w:rPr>
            </w:pPr>
          </w:p>
        </w:tc>
        <w:tc>
          <w:tcPr>
            <w:tcW w:w="0" w:type="auto"/>
            <w:vAlign w:val="center"/>
          </w:tcPr>
          <w:p w14:paraId="21089F1C">
            <w:pPr>
              <w:pStyle w:val="125"/>
              <w:ind w:firstLine="0" w:firstLineChars="0"/>
              <w:rPr>
                <w:sz w:val="18"/>
                <w:szCs w:val="18"/>
              </w:rPr>
            </w:pPr>
            <w:r>
              <w:rPr>
                <w:rFonts w:hint="eastAsia"/>
                <w:color w:val="000000"/>
                <w:sz w:val="18"/>
                <w:szCs w:val="18"/>
              </w:rPr>
              <w:t>1.922</w:t>
            </w:r>
          </w:p>
        </w:tc>
        <w:tc>
          <w:tcPr>
            <w:tcW w:w="0" w:type="auto"/>
            <w:vAlign w:val="center"/>
          </w:tcPr>
          <w:p w14:paraId="62CCB070">
            <w:pPr>
              <w:pStyle w:val="125"/>
              <w:ind w:firstLine="0" w:firstLineChars="0"/>
              <w:rPr>
                <w:sz w:val="18"/>
                <w:szCs w:val="18"/>
              </w:rPr>
            </w:pPr>
          </w:p>
        </w:tc>
        <w:tc>
          <w:tcPr>
            <w:tcW w:w="0" w:type="auto"/>
            <w:vAlign w:val="center"/>
          </w:tcPr>
          <w:p w14:paraId="6199AC86">
            <w:pPr>
              <w:pStyle w:val="125"/>
              <w:ind w:firstLine="0" w:firstLineChars="0"/>
              <w:rPr>
                <w:sz w:val="18"/>
                <w:szCs w:val="18"/>
              </w:rPr>
            </w:pPr>
          </w:p>
        </w:tc>
        <w:tc>
          <w:tcPr>
            <w:tcW w:w="0" w:type="auto"/>
            <w:vAlign w:val="center"/>
          </w:tcPr>
          <w:p w14:paraId="5F7C89D6">
            <w:pPr>
              <w:pStyle w:val="125"/>
              <w:ind w:firstLine="0" w:firstLineChars="0"/>
              <w:rPr>
                <w:sz w:val="18"/>
                <w:szCs w:val="18"/>
              </w:rPr>
            </w:pPr>
          </w:p>
        </w:tc>
        <w:tc>
          <w:tcPr>
            <w:tcW w:w="0" w:type="auto"/>
            <w:vAlign w:val="center"/>
          </w:tcPr>
          <w:p w14:paraId="47C0CBEE">
            <w:pPr>
              <w:pStyle w:val="125"/>
              <w:ind w:firstLine="0" w:firstLineChars="0"/>
              <w:rPr>
                <w:sz w:val="18"/>
                <w:szCs w:val="18"/>
              </w:rPr>
            </w:pPr>
          </w:p>
        </w:tc>
      </w:tr>
      <w:tr w14:paraId="025A9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510D2CF4">
            <w:pPr>
              <w:pStyle w:val="125"/>
              <w:ind w:firstLine="0" w:firstLineChars="0"/>
              <w:rPr>
                <w:sz w:val="18"/>
                <w:szCs w:val="18"/>
              </w:rPr>
            </w:pPr>
            <w:r>
              <w:rPr>
                <w:rFonts w:hint="eastAsia"/>
                <w:sz w:val="18"/>
                <w:szCs w:val="18"/>
              </w:rPr>
              <w:t>2</w:t>
            </w:r>
          </w:p>
        </w:tc>
        <w:tc>
          <w:tcPr>
            <w:tcW w:w="744" w:type="pct"/>
            <w:vAlign w:val="center"/>
          </w:tcPr>
          <w:p w14:paraId="01827086">
            <w:pPr>
              <w:pStyle w:val="125"/>
              <w:ind w:firstLine="0" w:firstLineChars="0"/>
              <w:rPr>
                <w:sz w:val="18"/>
                <w:szCs w:val="18"/>
              </w:rPr>
            </w:pPr>
            <w:r>
              <w:rPr>
                <w:rFonts w:hint="eastAsia"/>
                <w:sz w:val="18"/>
                <w:szCs w:val="18"/>
              </w:rPr>
              <w:t>窑头车间</w:t>
            </w:r>
          </w:p>
        </w:tc>
        <w:tc>
          <w:tcPr>
            <w:tcW w:w="272" w:type="pct"/>
            <w:vAlign w:val="center"/>
          </w:tcPr>
          <w:p w14:paraId="04237D08">
            <w:pPr>
              <w:pStyle w:val="125"/>
              <w:ind w:firstLine="0" w:firstLineChars="0"/>
              <w:rPr>
                <w:sz w:val="18"/>
                <w:szCs w:val="18"/>
              </w:rPr>
            </w:pPr>
            <w:r>
              <w:rPr>
                <w:rFonts w:hint="eastAsia"/>
                <w:sz w:val="18"/>
                <w:szCs w:val="18"/>
              </w:rPr>
              <w:t>-292</w:t>
            </w:r>
          </w:p>
        </w:tc>
        <w:tc>
          <w:tcPr>
            <w:tcW w:w="270" w:type="pct"/>
            <w:vAlign w:val="center"/>
          </w:tcPr>
          <w:p w14:paraId="60803FCC">
            <w:pPr>
              <w:pStyle w:val="125"/>
              <w:ind w:firstLine="0" w:firstLineChars="0"/>
              <w:rPr>
                <w:sz w:val="18"/>
                <w:szCs w:val="18"/>
              </w:rPr>
            </w:pPr>
            <w:r>
              <w:rPr>
                <w:rFonts w:hint="eastAsia"/>
                <w:sz w:val="18"/>
                <w:szCs w:val="18"/>
              </w:rPr>
              <w:t>32</w:t>
            </w:r>
          </w:p>
        </w:tc>
        <w:tc>
          <w:tcPr>
            <w:tcW w:w="272" w:type="pct"/>
            <w:vAlign w:val="center"/>
          </w:tcPr>
          <w:p w14:paraId="331C5AAC">
            <w:pPr>
              <w:pStyle w:val="125"/>
              <w:ind w:firstLine="0" w:firstLineChars="0"/>
              <w:rPr>
                <w:sz w:val="18"/>
                <w:szCs w:val="18"/>
              </w:rPr>
            </w:pPr>
            <w:r>
              <w:rPr>
                <w:sz w:val="18"/>
                <w:szCs w:val="18"/>
              </w:rPr>
              <w:t>23</w:t>
            </w:r>
          </w:p>
        </w:tc>
        <w:tc>
          <w:tcPr>
            <w:tcW w:w="333" w:type="pct"/>
            <w:vAlign w:val="center"/>
          </w:tcPr>
          <w:p w14:paraId="61CF3FBD">
            <w:pPr>
              <w:pStyle w:val="125"/>
              <w:ind w:firstLine="0" w:firstLineChars="0"/>
              <w:rPr>
                <w:sz w:val="18"/>
                <w:szCs w:val="18"/>
              </w:rPr>
            </w:pPr>
            <w:r>
              <w:rPr>
                <w:sz w:val="18"/>
                <w:szCs w:val="18"/>
              </w:rPr>
              <w:t>15</w:t>
            </w:r>
          </w:p>
        </w:tc>
        <w:tc>
          <w:tcPr>
            <w:tcW w:w="318" w:type="pct"/>
            <w:vAlign w:val="center"/>
          </w:tcPr>
          <w:p w14:paraId="66CD2BE5">
            <w:pPr>
              <w:pStyle w:val="125"/>
              <w:ind w:firstLine="0" w:firstLineChars="0"/>
              <w:rPr>
                <w:sz w:val="18"/>
                <w:szCs w:val="18"/>
              </w:rPr>
            </w:pPr>
            <w:r>
              <w:rPr>
                <w:sz w:val="18"/>
                <w:szCs w:val="18"/>
              </w:rPr>
              <w:t>0</w:t>
            </w:r>
          </w:p>
        </w:tc>
        <w:tc>
          <w:tcPr>
            <w:tcW w:w="293" w:type="pct"/>
            <w:vAlign w:val="center"/>
          </w:tcPr>
          <w:p w14:paraId="6819E228">
            <w:pPr>
              <w:pStyle w:val="125"/>
              <w:ind w:firstLine="0" w:firstLineChars="0"/>
              <w:rPr>
                <w:sz w:val="18"/>
                <w:szCs w:val="18"/>
              </w:rPr>
            </w:pPr>
            <w:r>
              <w:rPr>
                <w:sz w:val="18"/>
                <w:szCs w:val="18"/>
              </w:rPr>
              <w:t>14</w:t>
            </w:r>
          </w:p>
        </w:tc>
        <w:tc>
          <w:tcPr>
            <w:tcW w:w="0" w:type="auto"/>
            <w:vAlign w:val="center"/>
          </w:tcPr>
          <w:p w14:paraId="4405FCEF">
            <w:pPr>
              <w:pStyle w:val="125"/>
              <w:ind w:firstLine="0" w:firstLineChars="0"/>
              <w:rPr>
                <w:sz w:val="18"/>
                <w:szCs w:val="18"/>
              </w:rPr>
            </w:pPr>
          </w:p>
        </w:tc>
        <w:tc>
          <w:tcPr>
            <w:tcW w:w="0" w:type="auto"/>
            <w:vAlign w:val="center"/>
          </w:tcPr>
          <w:p w14:paraId="34C545F3">
            <w:pPr>
              <w:pStyle w:val="125"/>
              <w:ind w:firstLine="0" w:firstLineChars="0"/>
              <w:rPr>
                <w:sz w:val="18"/>
                <w:szCs w:val="18"/>
              </w:rPr>
            </w:pPr>
          </w:p>
        </w:tc>
        <w:tc>
          <w:tcPr>
            <w:tcW w:w="0" w:type="auto"/>
            <w:vAlign w:val="center"/>
          </w:tcPr>
          <w:p w14:paraId="0F194F0D">
            <w:pPr>
              <w:pStyle w:val="125"/>
              <w:ind w:firstLine="0" w:firstLineChars="0"/>
              <w:rPr>
                <w:sz w:val="18"/>
                <w:szCs w:val="18"/>
              </w:rPr>
            </w:pPr>
            <w:r>
              <w:rPr>
                <w:rFonts w:hint="eastAsia"/>
                <w:color w:val="000000"/>
                <w:sz w:val="18"/>
                <w:szCs w:val="18"/>
              </w:rPr>
              <w:t>0.279</w:t>
            </w:r>
          </w:p>
        </w:tc>
        <w:tc>
          <w:tcPr>
            <w:tcW w:w="0" w:type="auto"/>
            <w:vAlign w:val="center"/>
          </w:tcPr>
          <w:p w14:paraId="58FA5C0B">
            <w:pPr>
              <w:pStyle w:val="125"/>
              <w:ind w:firstLine="0" w:firstLineChars="0"/>
              <w:rPr>
                <w:sz w:val="18"/>
                <w:szCs w:val="18"/>
              </w:rPr>
            </w:pPr>
          </w:p>
        </w:tc>
        <w:tc>
          <w:tcPr>
            <w:tcW w:w="0" w:type="auto"/>
            <w:vAlign w:val="center"/>
          </w:tcPr>
          <w:p w14:paraId="17AA064A">
            <w:pPr>
              <w:pStyle w:val="125"/>
              <w:ind w:firstLine="0" w:firstLineChars="0"/>
              <w:rPr>
                <w:sz w:val="18"/>
                <w:szCs w:val="18"/>
              </w:rPr>
            </w:pPr>
          </w:p>
        </w:tc>
        <w:tc>
          <w:tcPr>
            <w:tcW w:w="0" w:type="auto"/>
            <w:vAlign w:val="center"/>
          </w:tcPr>
          <w:p w14:paraId="70BFF4C2">
            <w:pPr>
              <w:pStyle w:val="125"/>
              <w:ind w:firstLine="0" w:firstLineChars="0"/>
              <w:rPr>
                <w:sz w:val="18"/>
                <w:szCs w:val="18"/>
              </w:rPr>
            </w:pPr>
          </w:p>
        </w:tc>
        <w:tc>
          <w:tcPr>
            <w:tcW w:w="0" w:type="auto"/>
            <w:vAlign w:val="center"/>
          </w:tcPr>
          <w:p w14:paraId="0F1DB94E">
            <w:pPr>
              <w:pStyle w:val="125"/>
              <w:ind w:firstLine="0" w:firstLineChars="0"/>
              <w:rPr>
                <w:sz w:val="18"/>
                <w:szCs w:val="18"/>
              </w:rPr>
            </w:pPr>
          </w:p>
        </w:tc>
      </w:tr>
      <w:tr w14:paraId="43E52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697FAB67">
            <w:pPr>
              <w:pStyle w:val="125"/>
              <w:ind w:firstLine="0" w:firstLineChars="0"/>
              <w:rPr>
                <w:sz w:val="18"/>
                <w:szCs w:val="18"/>
              </w:rPr>
            </w:pPr>
            <w:r>
              <w:rPr>
                <w:rFonts w:hint="eastAsia"/>
                <w:sz w:val="18"/>
                <w:szCs w:val="18"/>
              </w:rPr>
              <w:t>3</w:t>
            </w:r>
          </w:p>
        </w:tc>
        <w:tc>
          <w:tcPr>
            <w:tcW w:w="744" w:type="pct"/>
            <w:vAlign w:val="center"/>
          </w:tcPr>
          <w:p w14:paraId="61DF87E1">
            <w:pPr>
              <w:pStyle w:val="125"/>
              <w:ind w:firstLine="0" w:firstLineChars="0"/>
              <w:rPr>
                <w:sz w:val="18"/>
                <w:szCs w:val="18"/>
              </w:rPr>
            </w:pPr>
            <w:r>
              <w:rPr>
                <w:rFonts w:hint="eastAsia"/>
                <w:sz w:val="18"/>
                <w:szCs w:val="18"/>
              </w:rPr>
              <w:t>锻白仓</w:t>
            </w:r>
          </w:p>
        </w:tc>
        <w:tc>
          <w:tcPr>
            <w:tcW w:w="272" w:type="pct"/>
            <w:vAlign w:val="center"/>
          </w:tcPr>
          <w:p w14:paraId="576C9E13">
            <w:pPr>
              <w:pStyle w:val="125"/>
              <w:ind w:firstLine="0" w:firstLineChars="0"/>
              <w:rPr>
                <w:sz w:val="18"/>
                <w:szCs w:val="18"/>
              </w:rPr>
            </w:pPr>
            <w:r>
              <w:rPr>
                <w:rFonts w:hint="eastAsia"/>
                <w:sz w:val="18"/>
                <w:szCs w:val="18"/>
              </w:rPr>
              <w:t>-389</w:t>
            </w:r>
          </w:p>
        </w:tc>
        <w:tc>
          <w:tcPr>
            <w:tcW w:w="270" w:type="pct"/>
            <w:vAlign w:val="center"/>
          </w:tcPr>
          <w:p w14:paraId="7CF928D9">
            <w:pPr>
              <w:pStyle w:val="125"/>
              <w:ind w:firstLine="0" w:firstLineChars="0"/>
              <w:rPr>
                <w:sz w:val="18"/>
                <w:szCs w:val="18"/>
              </w:rPr>
            </w:pPr>
            <w:r>
              <w:rPr>
                <w:rFonts w:hint="eastAsia"/>
                <w:sz w:val="18"/>
                <w:szCs w:val="18"/>
              </w:rPr>
              <w:t>0</w:t>
            </w:r>
          </w:p>
        </w:tc>
        <w:tc>
          <w:tcPr>
            <w:tcW w:w="272" w:type="pct"/>
            <w:vAlign w:val="center"/>
          </w:tcPr>
          <w:p w14:paraId="7DA106E3">
            <w:pPr>
              <w:pStyle w:val="125"/>
              <w:ind w:firstLine="0" w:firstLineChars="0"/>
              <w:rPr>
                <w:sz w:val="18"/>
                <w:szCs w:val="18"/>
              </w:rPr>
            </w:pPr>
            <w:r>
              <w:rPr>
                <w:sz w:val="18"/>
                <w:szCs w:val="18"/>
              </w:rPr>
              <w:t>20</w:t>
            </w:r>
          </w:p>
        </w:tc>
        <w:tc>
          <w:tcPr>
            <w:tcW w:w="333" w:type="pct"/>
            <w:vAlign w:val="center"/>
          </w:tcPr>
          <w:p w14:paraId="25922E9F">
            <w:pPr>
              <w:pStyle w:val="125"/>
              <w:ind w:firstLine="0" w:firstLineChars="0"/>
              <w:rPr>
                <w:sz w:val="18"/>
                <w:szCs w:val="18"/>
              </w:rPr>
            </w:pPr>
            <w:r>
              <w:rPr>
                <w:sz w:val="18"/>
                <w:szCs w:val="18"/>
              </w:rPr>
              <w:t>15</w:t>
            </w:r>
          </w:p>
        </w:tc>
        <w:tc>
          <w:tcPr>
            <w:tcW w:w="318" w:type="pct"/>
            <w:vAlign w:val="center"/>
          </w:tcPr>
          <w:p w14:paraId="741362D9">
            <w:pPr>
              <w:pStyle w:val="125"/>
              <w:ind w:firstLine="0" w:firstLineChars="0"/>
              <w:rPr>
                <w:sz w:val="18"/>
                <w:szCs w:val="18"/>
              </w:rPr>
            </w:pPr>
            <w:r>
              <w:rPr>
                <w:sz w:val="18"/>
                <w:szCs w:val="18"/>
              </w:rPr>
              <w:t>0</w:t>
            </w:r>
          </w:p>
        </w:tc>
        <w:tc>
          <w:tcPr>
            <w:tcW w:w="293" w:type="pct"/>
            <w:vAlign w:val="center"/>
          </w:tcPr>
          <w:p w14:paraId="26C41DEA">
            <w:pPr>
              <w:pStyle w:val="125"/>
              <w:ind w:firstLine="0" w:firstLineChars="0"/>
              <w:rPr>
                <w:sz w:val="18"/>
                <w:szCs w:val="18"/>
              </w:rPr>
            </w:pPr>
            <w:r>
              <w:rPr>
                <w:sz w:val="18"/>
                <w:szCs w:val="18"/>
              </w:rPr>
              <w:t>22</w:t>
            </w:r>
          </w:p>
        </w:tc>
        <w:tc>
          <w:tcPr>
            <w:tcW w:w="0" w:type="auto"/>
            <w:vAlign w:val="center"/>
          </w:tcPr>
          <w:p w14:paraId="4CBC4FE1">
            <w:pPr>
              <w:pStyle w:val="125"/>
              <w:ind w:firstLine="0" w:firstLineChars="0"/>
              <w:rPr>
                <w:sz w:val="18"/>
                <w:szCs w:val="18"/>
              </w:rPr>
            </w:pPr>
          </w:p>
        </w:tc>
        <w:tc>
          <w:tcPr>
            <w:tcW w:w="0" w:type="auto"/>
            <w:vAlign w:val="center"/>
          </w:tcPr>
          <w:p w14:paraId="6F515B94">
            <w:pPr>
              <w:pStyle w:val="125"/>
              <w:ind w:firstLine="0" w:firstLineChars="0"/>
              <w:rPr>
                <w:sz w:val="18"/>
                <w:szCs w:val="18"/>
              </w:rPr>
            </w:pPr>
          </w:p>
        </w:tc>
        <w:tc>
          <w:tcPr>
            <w:tcW w:w="0" w:type="auto"/>
            <w:vAlign w:val="center"/>
          </w:tcPr>
          <w:p w14:paraId="1F332BBD">
            <w:pPr>
              <w:pStyle w:val="125"/>
              <w:ind w:firstLine="0" w:firstLineChars="0"/>
              <w:rPr>
                <w:sz w:val="18"/>
                <w:szCs w:val="18"/>
              </w:rPr>
            </w:pPr>
            <w:r>
              <w:rPr>
                <w:rFonts w:hint="eastAsia"/>
                <w:color w:val="000000"/>
                <w:sz w:val="18"/>
                <w:szCs w:val="18"/>
              </w:rPr>
              <w:t>2.063</w:t>
            </w:r>
          </w:p>
        </w:tc>
        <w:tc>
          <w:tcPr>
            <w:tcW w:w="0" w:type="auto"/>
            <w:vAlign w:val="center"/>
          </w:tcPr>
          <w:p w14:paraId="0921A597">
            <w:pPr>
              <w:pStyle w:val="125"/>
              <w:ind w:firstLine="0" w:firstLineChars="0"/>
              <w:rPr>
                <w:sz w:val="18"/>
                <w:szCs w:val="18"/>
              </w:rPr>
            </w:pPr>
          </w:p>
        </w:tc>
        <w:tc>
          <w:tcPr>
            <w:tcW w:w="0" w:type="auto"/>
            <w:vAlign w:val="center"/>
          </w:tcPr>
          <w:p w14:paraId="6ADA409C">
            <w:pPr>
              <w:pStyle w:val="125"/>
              <w:ind w:firstLine="0" w:firstLineChars="0"/>
              <w:rPr>
                <w:sz w:val="18"/>
                <w:szCs w:val="18"/>
              </w:rPr>
            </w:pPr>
          </w:p>
        </w:tc>
        <w:tc>
          <w:tcPr>
            <w:tcW w:w="0" w:type="auto"/>
            <w:vAlign w:val="center"/>
          </w:tcPr>
          <w:p w14:paraId="51ED87B3">
            <w:pPr>
              <w:pStyle w:val="125"/>
              <w:ind w:firstLine="0" w:firstLineChars="0"/>
              <w:rPr>
                <w:sz w:val="18"/>
                <w:szCs w:val="18"/>
              </w:rPr>
            </w:pPr>
          </w:p>
        </w:tc>
        <w:tc>
          <w:tcPr>
            <w:tcW w:w="0" w:type="auto"/>
            <w:vAlign w:val="center"/>
          </w:tcPr>
          <w:p w14:paraId="207BAE94">
            <w:pPr>
              <w:pStyle w:val="125"/>
              <w:ind w:firstLine="0" w:firstLineChars="0"/>
              <w:rPr>
                <w:sz w:val="18"/>
                <w:szCs w:val="18"/>
              </w:rPr>
            </w:pPr>
          </w:p>
        </w:tc>
      </w:tr>
      <w:tr w14:paraId="17512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483D85BC">
            <w:pPr>
              <w:pStyle w:val="125"/>
              <w:ind w:firstLine="0" w:firstLineChars="0"/>
              <w:rPr>
                <w:sz w:val="18"/>
                <w:szCs w:val="18"/>
              </w:rPr>
            </w:pPr>
            <w:r>
              <w:rPr>
                <w:rFonts w:hint="eastAsia"/>
                <w:sz w:val="18"/>
                <w:szCs w:val="18"/>
              </w:rPr>
              <w:t>4</w:t>
            </w:r>
          </w:p>
        </w:tc>
        <w:tc>
          <w:tcPr>
            <w:tcW w:w="744" w:type="pct"/>
            <w:vAlign w:val="center"/>
          </w:tcPr>
          <w:p w14:paraId="7B4069CA">
            <w:pPr>
              <w:pStyle w:val="125"/>
              <w:ind w:firstLine="0" w:firstLineChars="0"/>
              <w:rPr>
                <w:sz w:val="18"/>
                <w:szCs w:val="18"/>
              </w:rPr>
            </w:pPr>
            <w:r>
              <w:rPr>
                <w:rFonts w:hint="eastAsia"/>
                <w:sz w:val="18"/>
                <w:szCs w:val="18"/>
              </w:rPr>
              <w:t>1#原料车间</w:t>
            </w:r>
          </w:p>
        </w:tc>
        <w:tc>
          <w:tcPr>
            <w:tcW w:w="272" w:type="pct"/>
            <w:vAlign w:val="center"/>
          </w:tcPr>
          <w:p w14:paraId="71276B2F">
            <w:pPr>
              <w:pStyle w:val="125"/>
              <w:ind w:firstLine="0" w:firstLineChars="0"/>
              <w:rPr>
                <w:sz w:val="18"/>
                <w:szCs w:val="18"/>
              </w:rPr>
            </w:pPr>
            <w:r>
              <w:rPr>
                <w:rFonts w:hint="eastAsia"/>
                <w:sz w:val="18"/>
                <w:szCs w:val="18"/>
              </w:rPr>
              <w:t>-380</w:t>
            </w:r>
          </w:p>
        </w:tc>
        <w:tc>
          <w:tcPr>
            <w:tcW w:w="270" w:type="pct"/>
            <w:vAlign w:val="center"/>
          </w:tcPr>
          <w:p w14:paraId="1047CD35">
            <w:pPr>
              <w:pStyle w:val="125"/>
              <w:ind w:firstLine="0" w:firstLineChars="0"/>
              <w:rPr>
                <w:sz w:val="18"/>
                <w:szCs w:val="18"/>
              </w:rPr>
            </w:pPr>
            <w:r>
              <w:rPr>
                <w:rFonts w:hint="eastAsia"/>
                <w:sz w:val="18"/>
                <w:szCs w:val="18"/>
              </w:rPr>
              <w:t>-100</w:t>
            </w:r>
          </w:p>
        </w:tc>
        <w:tc>
          <w:tcPr>
            <w:tcW w:w="272" w:type="pct"/>
            <w:vAlign w:val="center"/>
          </w:tcPr>
          <w:p w14:paraId="2D9829B8">
            <w:pPr>
              <w:pStyle w:val="125"/>
              <w:ind w:firstLine="0" w:firstLineChars="0"/>
              <w:rPr>
                <w:sz w:val="18"/>
                <w:szCs w:val="18"/>
              </w:rPr>
            </w:pPr>
            <w:r>
              <w:rPr>
                <w:sz w:val="18"/>
                <w:szCs w:val="18"/>
              </w:rPr>
              <w:t>32</w:t>
            </w:r>
          </w:p>
        </w:tc>
        <w:tc>
          <w:tcPr>
            <w:tcW w:w="333" w:type="pct"/>
            <w:vAlign w:val="center"/>
          </w:tcPr>
          <w:p w14:paraId="41854BEA">
            <w:pPr>
              <w:pStyle w:val="125"/>
              <w:ind w:firstLine="0" w:firstLineChars="0"/>
              <w:rPr>
                <w:sz w:val="18"/>
                <w:szCs w:val="18"/>
              </w:rPr>
            </w:pPr>
            <w:r>
              <w:rPr>
                <w:sz w:val="18"/>
                <w:szCs w:val="18"/>
              </w:rPr>
              <w:t>25</w:t>
            </w:r>
          </w:p>
        </w:tc>
        <w:tc>
          <w:tcPr>
            <w:tcW w:w="318" w:type="pct"/>
            <w:vAlign w:val="center"/>
          </w:tcPr>
          <w:p w14:paraId="31BE2235">
            <w:pPr>
              <w:pStyle w:val="125"/>
              <w:ind w:firstLine="0" w:firstLineChars="0"/>
              <w:rPr>
                <w:sz w:val="18"/>
                <w:szCs w:val="18"/>
              </w:rPr>
            </w:pPr>
            <w:r>
              <w:rPr>
                <w:sz w:val="18"/>
                <w:szCs w:val="18"/>
              </w:rPr>
              <w:t>0</w:t>
            </w:r>
          </w:p>
        </w:tc>
        <w:tc>
          <w:tcPr>
            <w:tcW w:w="293" w:type="pct"/>
            <w:vAlign w:val="center"/>
          </w:tcPr>
          <w:p w14:paraId="663308B1">
            <w:pPr>
              <w:pStyle w:val="125"/>
              <w:ind w:firstLine="0" w:firstLineChars="0"/>
              <w:rPr>
                <w:sz w:val="18"/>
                <w:szCs w:val="18"/>
              </w:rPr>
            </w:pPr>
            <w:r>
              <w:rPr>
                <w:sz w:val="18"/>
                <w:szCs w:val="18"/>
              </w:rPr>
              <w:t>20</w:t>
            </w:r>
          </w:p>
        </w:tc>
        <w:tc>
          <w:tcPr>
            <w:tcW w:w="0" w:type="auto"/>
            <w:vAlign w:val="center"/>
          </w:tcPr>
          <w:p w14:paraId="4EE16C68">
            <w:pPr>
              <w:pStyle w:val="125"/>
              <w:ind w:firstLine="0" w:firstLineChars="0"/>
              <w:rPr>
                <w:sz w:val="18"/>
                <w:szCs w:val="18"/>
              </w:rPr>
            </w:pPr>
          </w:p>
        </w:tc>
        <w:tc>
          <w:tcPr>
            <w:tcW w:w="0" w:type="auto"/>
            <w:vAlign w:val="center"/>
          </w:tcPr>
          <w:p w14:paraId="3908A028">
            <w:pPr>
              <w:pStyle w:val="125"/>
              <w:ind w:firstLine="0" w:firstLineChars="0"/>
              <w:rPr>
                <w:sz w:val="18"/>
                <w:szCs w:val="18"/>
              </w:rPr>
            </w:pPr>
          </w:p>
        </w:tc>
        <w:tc>
          <w:tcPr>
            <w:tcW w:w="0" w:type="auto"/>
            <w:vAlign w:val="center"/>
          </w:tcPr>
          <w:p w14:paraId="1AF4F839">
            <w:pPr>
              <w:pStyle w:val="125"/>
              <w:ind w:firstLine="0" w:firstLineChars="0"/>
              <w:rPr>
                <w:sz w:val="18"/>
                <w:szCs w:val="18"/>
              </w:rPr>
            </w:pPr>
            <w:r>
              <w:rPr>
                <w:rFonts w:hint="eastAsia"/>
                <w:color w:val="000000"/>
                <w:sz w:val="18"/>
                <w:szCs w:val="18"/>
              </w:rPr>
              <w:t>0.266</w:t>
            </w:r>
          </w:p>
        </w:tc>
        <w:tc>
          <w:tcPr>
            <w:tcW w:w="0" w:type="auto"/>
            <w:vAlign w:val="center"/>
          </w:tcPr>
          <w:p w14:paraId="42E36671">
            <w:pPr>
              <w:pStyle w:val="125"/>
              <w:ind w:firstLine="0" w:firstLineChars="0"/>
              <w:rPr>
                <w:sz w:val="18"/>
                <w:szCs w:val="18"/>
              </w:rPr>
            </w:pPr>
          </w:p>
        </w:tc>
        <w:tc>
          <w:tcPr>
            <w:tcW w:w="0" w:type="auto"/>
            <w:vAlign w:val="center"/>
          </w:tcPr>
          <w:p w14:paraId="28DDDEAF">
            <w:pPr>
              <w:pStyle w:val="125"/>
              <w:ind w:firstLine="0" w:firstLineChars="0"/>
              <w:rPr>
                <w:sz w:val="18"/>
                <w:szCs w:val="18"/>
              </w:rPr>
            </w:pPr>
          </w:p>
        </w:tc>
        <w:tc>
          <w:tcPr>
            <w:tcW w:w="0" w:type="auto"/>
            <w:vAlign w:val="center"/>
          </w:tcPr>
          <w:p w14:paraId="62B4AD0C">
            <w:pPr>
              <w:pStyle w:val="125"/>
              <w:ind w:firstLine="0" w:firstLineChars="0"/>
              <w:rPr>
                <w:sz w:val="18"/>
                <w:szCs w:val="18"/>
              </w:rPr>
            </w:pPr>
          </w:p>
        </w:tc>
        <w:tc>
          <w:tcPr>
            <w:tcW w:w="0" w:type="auto"/>
            <w:vAlign w:val="center"/>
          </w:tcPr>
          <w:p w14:paraId="485F9E85">
            <w:pPr>
              <w:pStyle w:val="125"/>
              <w:ind w:firstLine="0" w:firstLineChars="0"/>
              <w:rPr>
                <w:sz w:val="18"/>
                <w:szCs w:val="18"/>
              </w:rPr>
            </w:pPr>
          </w:p>
        </w:tc>
      </w:tr>
      <w:tr w14:paraId="20E2E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1EBDF937">
            <w:pPr>
              <w:pStyle w:val="125"/>
              <w:ind w:firstLine="0" w:firstLineChars="0"/>
              <w:rPr>
                <w:sz w:val="18"/>
                <w:szCs w:val="18"/>
              </w:rPr>
            </w:pPr>
            <w:r>
              <w:rPr>
                <w:rFonts w:hint="eastAsia"/>
                <w:sz w:val="18"/>
                <w:szCs w:val="18"/>
              </w:rPr>
              <w:t>5</w:t>
            </w:r>
          </w:p>
        </w:tc>
        <w:tc>
          <w:tcPr>
            <w:tcW w:w="744" w:type="pct"/>
            <w:vAlign w:val="center"/>
          </w:tcPr>
          <w:p w14:paraId="790E8459">
            <w:pPr>
              <w:pStyle w:val="125"/>
              <w:ind w:firstLine="0" w:firstLineChars="0"/>
              <w:rPr>
                <w:sz w:val="18"/>
                <w:szCs w:val="18"/>
              </w:rPr>
            </w:pPr>
            <w:r>
              <w:rPr>
                <w:rFonts w:hint="eastAsia"/>
                <w:sz w:val="18"/>
                <w:szCs w:val="18"/>
              </w:rPr>
              <w:t>2#原料车间</w:t>
            </w:r>
          </w:p>
        </w:tc>
        <w:tc>
          <w:tcPr>
            <w:tcW w:w="272" w:type="pct"/>
            <w:vAlign w:val="center"/>
          </w:tcPr>
          <w:p w14:paraId="3CF85493">
            <w:pPr>
              <w:pStyle w:val="125"/>
              <w:ind w:firstLine="0" w:firstLineChars="0"/>
              <w:rPr>
                <w:sz w:val="18"/>
                <w:szCs w:val="18"/>
              </w:rPr>
            </w:pPr>
            <w:r>
              <w:rPr>
                <w:rFonts w:hint="eastAsia"/>
                <w:sz w:val="18"/>
                <w:szCs w:val="18"/>
              </w:rPr>
              <w:t>-290</w:t>
            </w:r>
          </w:p>
        </w:tc>
        <w:tc>
          <w:tcPr>
            <w:tcW w:w="270" w:type="pct"/>
            <w:vAlign w:val="center"/>
          </w:tcPr>
          <w:p w14:paraId="1DD16A30">
            <w:pPr>
              <w:pStyle w:val="125"/>
              <w:ind w:firstLine="0" w:firstLineChars="0"/>
              <w:rPr>
                <w:sz w:val="18"/>
                <w:szCs w:val="18"/>
              </w:rPr>
            </w:pPr>
            <w:r>
              <w:rPr>
                <w:rFonts w:hint="eastAsia"/>
                <w:sz w:val="18"/>
                <w:szCs w:val="18"/>
              </w:rPr>
              <w:t>-100</w:t>
            </w:r>
          </w:p>
        </w:tc>
        <w:tc>
          <w:tcPr>
            <w:tcW w:w="272" w:type="pct"/>
            <w:vAlign w:val="center"/>
          </w:tcPr>
          <w:p w14:paraId="05E384AA">
            <w:pPr>
              <w:pStyle w:val="125"/>
              <w:ind w:firstLine="0" w:firstLineChars="0"/>
              <w:rPr>
                <w:sz w:val="18"/>
                <w:szCs w:val="18"/>
              </w:rPr>
            </w:pPr>
            <w:r>
              <w:rPr>
                <w:sz w:val="18"/>
                <w:szCs w:val="18"/>
              </w:rPr>
              <w:t>32</w:t>
            </w:r>
          </w:p>
        </w:tc>
        <w:tc>
          <w:tcPr>
            <w:tcW w:w="333" w:type="pct"/>
            <w:vAlign w:val="center"/>
          </w:tcPr>
          <w:p w14:paraId="04651D57">
            <w:pPr>
              <w:pStyle w:val="125"/>
              <w:ind w:firstLine="0" w:firstLineChars="0"/>
              <w:rPr>
                <w:sz w:val="18"/>
                <w:szCs w:val="18"/>
              </w:rPr>
            </w:pPr>
            <w:r>
              <w:rPr>
                <w:sz w:val="18"/>
                <w:szCs w:val="18"/>
              </w:rPr>
              <w:t>25</w:t>
            </w:r>
          </w:p>
        </w:tc>
        <w:tc>
          <w:tcPr>
            <w:tcW w:w="318" w:type="pct"/>
            <w:vAlign w:val="center"/>
          </w:tcPr>
          <w:p w14:paraId="36235332">
            <w:pPr>
              <w:pStyle w:val="125"/>
              <w:ind w:firstLine="0" w:firstLineChars="0"/>
              <w:rPr>
                <w:sz w:val="18"/>
                <w:szCs w:val="18"/>
              </w:rPr>
            </w:pPr>
            <w:r>
              <w:rPr>
                <w:sz w:val="18"/>
                <w:szCs w:val="18"/>
              </w:rPr>
              <w:t>0</w:t>
            </w:r>
          </w:p>
        </w:tc>
        <w:tc>
          <w:tcPr>
            <w:tcW w:w="293" w:type="pct"/>
            <w:vAlign w:val="center"/>
          </w:tcPr>
          <w:p w14:paraId="043B6EAC">
            <w:pPr>
              <w:pStyle w:val="125"/>
              <w:ind w:firstLine="0" w:firstLineChars="0"/>
              <w:rPr>
                <w:sz w:val="18"/>
                <w:szCs w:val="18"/>
              </w:rPr>
            </w:pPr>
            <w:r>
              <w:rPr>
                <w:sz w:val="18"/>
                <w:szCs w:val="18"/>
              </w:rPr>
              <w:t>20</w:t>
            </w:r>
          </w:p>
        </w:tc>
        <w:tc>
          <w:tcPr>
            <w:tcW w:w="0" w:type="auto"/>
            <w:vAlign w:val="center"/>
          </w:tcPr>
          <w:p w14:paraId="7711773A">
            <w:pPr>
              <w:pStyle w:val="125"/>
              <w:ind w:firstLine="0" w:firstLineChars="0"/>
              <w:rPr>
                <w:sz w:val="18"/>
                <w:szCs w:val="18"/>
              </w:rPr>
            </w:pPr>
          </w:p>
        </w:tc>
        <w:tc>
          <w:tcPr>
            <w:tcW w:w="0" w:type="auto"/>
            <w:vAlign w:val="center"/>
          </w:tcPr>
          <w:p w14:paraId="7417D57E">
            <w:pPr>
              <w:pStyle w:val="125"/>
              <w:ind w:firstLine="0" w:firstLineChars="0"/>
              <w:rPr>
                <w:sz w:val="18"/>
                <w:szCs w:val="18"/>
              </w:rPr>
            </w:pPr>
          </w:p>
        </w:tc>
        <w:tc>
          <w:tcPr>
            <w:tcW w:w="0" w:type="auto"/>
            <w:vAlign w:val="center"/>
          </w:tcPr>
          <w:p w14:paraId="5166327E">
            <w:pPr>
              <w:pStyle w:val="125"/>
              <w:ind w:firstLine="0" w:firstLineChars="0"/>
              <w:rPr>
                <w:sz w:val="18"/>
                <w:szCs w:val="18"/>
              </w:rPr>
            </w:pPr>
            <w:r>
              <w:rPr>
                <w:rFonts w:hint="eastAsia"/>
                <w:color w:val="000000"/>
                <w:sz w:val="18"/>
                <w:szCs w:val="18"/>
              </w:rPr>
              <w:t>0.266</w:t>
            </w:r>
          </w:p>
        </w:tc>
        <w:tc>
          <w:tcPr>
            <w:tcW w:w="0" w:type="auto"/>
            <w:vAlign w:val="center"/>
          </w:tcPr>
          <w:p w14:paraId="58ABDF05">
            <w:pPr>
              <w:pStyle w:val="125"/>
              <w:ind w:firstLine="0" w:firstLineChars="0"/>
              <w:rPr>
                <w:sz w:val="18"/>
                <w:szCs w:val="18"/>
              </w:rPr>
            </w:pPr>
          </w:p>
        </w:tc>
        <w:tc>
          <w:tcPr>
            <w:tcW w:w="0" w:type="auto"/>
            <w:vAlign w:val="center"/>
          </w:tcPr>
          <w:p w14:paraId="54979516">
            <w:pPr>
              <w:pStyle w:val="125"/>
              <w:ind w:firstLine="0" w:firstLineChars="0"/>
              <w:rPr>
                <w:sz w:val="18"/>
                <w:szCs w:val="18"/>
              </w:rPr>
            </w:pPr>
          </w:p>
        </w:tc>
        <w:tc>
          <w:tcPr>
            <w:tcW w:w="0" w:type="auto"/>
            <w:vAlign w:val="center"/>
          </w:tcPr>
          <w:p w14:paraId="563F57C4">
            <w:pPr>
              <w:pStyle w:val="125"/>
              <w:ind w:firstLine="0" w:firstLineChars="0"/>
              <w:rPr>
                <w:sz w:val="18"/>
                <w:szCs w:val="18"/>
              </w:rPr>
            </w:pPr>
          </w:p>
        </w:tc>
        <w:tc>
          <w:tcPr>
            <w:tcW w:w="0" w:type="auto"/>
            <w:vAlign w:val="center"/>
          </w:tcPr>
          <w:p w14:paraId="5716CDD2">
            <w:pPr>
              <w:pStyle w:val="125"/>
              <w:ind w:firstLine="0" w:firstLineChars="0"/>
              <w:rPr>
                <w:sz w:val="18"/>
                <w:szCs w:val="18"/>
              </w:rPr>
            </w:pPr>
          </w:p>
        </w:tc>
      </w:tr>
      <w:tr w14:paraId="0C1C8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3BADD396">
            <w:pPr>
              <w:pStyle w:val="125"/>
              <w:ind w:firstLine="0" w:firstLineChars="0"/>
              <w:rPr>
                <w:sz w:val="18"/>
                <w:szCs w:val="18"/>
              </w:rPr>
            </w:pPr>
            <w:r>
              <w:rPr>
                <w:rFonts w:hint="eastAsia"/>
                <w:sz w:val="18"/>
                <w:szCs w:val="18"/>
              </w:rPr>
              <w:t>6</w:t>
            </w:r>
          </w:p>
        </w:tc>
        <w:tc>
          <w:tcPr>
            <w:tcW w:w="744" w:type="pct"/>
            <w:vAlign w:val="center"/>
          </w:tcPr>
          <w:p w14:paraId="169AF6FD">
            <w:pPr>
              <w:pStyle w:val="125"/>
              <w:ind w:firstLine="0" w:firstLineChars="0"/>
              <w:rPr>
                <w:sz w:val="18"/>
                <w:szCs w:val="18"/>
              </w:rPr>
            </w:pPr>
            <w:r>
              <w:rPr>
                <w:rFonts w:hint="eastAsia"/>
                <w:sz w:val="18"/>
                <w:szCs w:val="18"/>
              </w:rPr>
              <w:t>1#还原车间</w:t>
            </w:r>
          </w:p>
        </w:tc>
        <w:tc>
          <w:tcPr>
            <w:tcW w:w="272" w:type="pct"/>
            <w:vAlign w:val="center"/>
          </w:tcPr>
          <w:p w14:paraId="5202050D">
            <w:pPr>
              <w:pStyle w:val="125"/>
              <w:ind w:firstLine="0" w:firstLineChars="0"/>
              <w:rPr>
                <w:sz w:val="18"/>
                <w:szCs w:val="18"/>
              </w:rPr>
            </w:pPr>
            <w:r>
              <w:rPr>
                <w:rFonts w:hint="eastAsia"/>
                <w:sz w:val="18"/>
                <w:szCs w:val="18"/>
              </w:rPr>
              <w:t>-380</w:t>
            </w:r>
          </w:p>
        </w:tc>
        <w:tc>
          <w:tcPr>
            <w:tcW w:w="270" w:type="pct"/>
            <w:vAlign w:val="center"/>
          </w:tcPr>
          <w:p w14:paraId="3288A5F4">
            <w:pPr>
              <w:pStyle w:val="125"/>
              <w:ind w:firstLine="0" w:firstLineChars="0"/>
              <w:rPr>
                <w:sz w:val="18"/>
                <w:szCs w:val="18"/>
              </w:rPr>
            </w:pPr>
            <w:r>
              <w:rPr>
                <w:rFonts w:hint="eastAsia"/>
                <w:sz w:val="18"/>
                <w:szCs w:val="18"/>
              </w:rPr>
              <w:t>-180</w:t>
            </w:r>
          </w:p>
        </w:tc>
        <w:tc>
          <w:tcPr>
            <w:tcW w:w="272" w:type="pct"/>
            <w:vAlign w:val="center"/>
          </w:tcPr>
          <w:p w14:paraId="3F536080">
            <w:pPr>
              <w:pStyle w:val="125"/>
              <w:ind w:firstLine="0" w:firstLineChars="0"/>
              <w:rPr>
                <w:sz w:val="18"/>
                <w:szCs w:val="18"/>
              </w:rPr>
            </w:pPr>
            <w:r>
              <w:rPr>
                <w:sz w:val="18"/>
                <w:szCs w:val="18"/>
              </w:rPr>
              <w:t>21</w:t>
            </w:r>
          </w:p>
        </w:tc>
        <w:tc>
          <w:tcPr>
            <w:tcW w:w="333" w:type="pct"/>
            <w:vAlign w:val="center"/>
          </w:tcPr>
          <w:p w14:paraId="7CA9E6B0">
            <w:pPr>
              <w:pStyle w:val="125"/>
              <w:ind w:firstLine="0" w:firstLineChars="0"/>
              <w:rPr>
                <w:sz w:val="18"/>
                <w:szCs w:val="18"/>
              </w:rPr>
            </w:pPr>
            <w:r>
              <w:rPr>
                <w:sz w:val="18"/>
                <w:szCs w:val="18"/>
              </w:rPr>
              <w:t>115</w:t>
            </w:r>
          </w:p>
        </w:tc>
        <w:tc>
          <w:tcPr>
            <w:tcW w:w="318" w:type="pct"/>
            <w:vAlign w:val="center"/>
          </w:tcPr>
          <w:p w14:paraId="1D03E620">
            <w:pPr>
              <w:pStyle w:val="125"/>
              <w:ind w:firstLine="0" w:firstLineChars="0"/>
              <w:rPr>
                <w:sz w:val="18"/>
                <w:szCs w:val="18"/>
              </w:rPr>
            </w:pPr>
            <w:r>
              <w:rPr>
                <w:sz w:val="18"/>
                <w:szCs w:val="18"/>
              </w:rPr>
              <w:t>0</w:t>
            </w:r>
          </w:p>
        </w:tc>
        <w:tc>
          <w:tcPr>
            <w:tcW w:w="293" w:type="pct"/>
            <w:vAlign w:val="center"/>
          </w:tcPr>
          <w:p w14:paraId="39A01A97">
            <w:pPr>
              <w:pStyle w:val="125"/>
              <w:ind w:firstLine="0" w:firstLineChars="0"/>
              <w:rPr>
                <w:sz w:val="18"/>
                <w:szCs w:val="18"/>
              </w:rPr>
            </w:pPr>
            <w:r>
              <w:rPr>
                <w:sz w:val="18"/>
                <w:szCs w:val="18"/>
              </w:rPr>
              <w:t>30</w:t>
            </w:r>
          </w:p>
        </w:tc>
        <w:tc>
          <w:tcPr>
            <w:tcW w:w="0" w:type="auto"/>
            <w:vAlign w:val="center"/>
          </w:tcPr>
          <w:p w14:paraId="4E28D8D7">
            <w:pPr>
              <w:pStyle w:val="125"/>
              <w:ind w:firstLine="0" w:firstLineChars="0"/>
              <w:rPr>
                <w:sz w:val="18"/>
                <w:szCs w:val="18"/>
              </w:rPr>
            </w:pPr>
          </w:p>
        </w:tc>
        <w:tc>
          <w:tcPr>
            <w:tcW w:w="0" w:type="auto"/>
            <w:vAlign w:val="center"/>
          </w:tcPr>
          <w:p w14:paraId="10137C9C">
            <w:pPr>
              <w:pStyle w:val="125"/>
              <w:ind w:firstLine="0" w:firstLineChars="0"/>
              <w:rPr>
                <w:sz w:val="18"/>
                <w:szCs w:val="18"/>
              </w:rPr>
            </w:pPr>
          </w:p>
        </w:tc>
        <w:tc>
          <w:tcPr>
            <w:tcW w:w="0" w:type="auto"/>
            <w:vAlign w:val="center"/>
          </w:tcPr>
          <w:p w14:paraId="56A0319B">
            <w:pPr>
              <w:pStyle w:val="125"/>
              <w:ind w:firstLine="0" w:firstLineChars="0"/>
              <w:rPr>
                <w:sz w:val="18"/>
                <w:szCs w:val="18"/>
              </w:rPr>
            </w:pPr>
            <w:r>
              <w:rPr>
                <w:rFonts w:hint="eastAsia"/>
                <w:color w:val="000000"/>
                <w:sz w:val="18"/>
                <w:szCs w:val="18"/>
              </w:rPr>
              <w:t>0.225</w:t>
            </w:r>
          </w:p>
        </w:tc>
        <w:tc>
          <w:tcPr>
            <w:tcW w:w="0" w:type="auto"/>
            <w:vAlign w:val="center"/>
          </w:tcPr>
          <w:p w14:paraId="5A9BE558">
            <w:pPr>
              <w:pStyle w:val="125"/>
              <w:ind w:firstLine="0" w:firstLineChars="0"/>
              <w:rPr>
                <w:sz w:val="18"/>
                <w:szCs w:val="18"/>
              </w:rPr>
            </w:pPr>
          </w:p>
        </w:tc>
        <w:tc>
          <w:tcPr>
            <w:tcW w:w="0" w:type="auto"/>
            <w:vAlign w:val="center"/>
          </w:tcPr>
          <w:p w14:paraId="29BA393C">
            <w:pPr>
              <w:pStyle w:val="125"/>
              <w:ind w:firstLine="0" w:firstLineChars="0"/>
              <w:rPr>
                <w:sz w:val="18"/>
                <w:szCs w:val="18"/>
              </w:rPr>
            </w:pPr>
          </w:p>
        </w:tc>
        <w:tc>
          <w:tcPr>
            <w:tcW w:w="0" w:type="auto"/>
            <w:vAlign w:val="center"/>
          </w:tcPr>
          <w:p w14:paraId="68328B96">
            <w:pPr>
              <w:pStyle w:val="125"/>
              <w:ind w:firstLine="0" w:firstLineChars="0"/>
              <w:rPr>
                <w:sz w:val="18"/>
                <w:szCs w:val="18"/>
              </w:rPr>
            </w:pPr>
          </w:p>
        </w:tc>
        <w:tc>
          <w:tcPr>
            <w:tcW w:w="0" w:type="auto"/>
            <w:vAlign w:val="center"/>
          </w:tcPr>
          <w:p w14:paraId="7621DCB2">
            <w:pPr>
              <w:pStyle w:val="125"/>
              <w:ind w:firstLine="0" w:firstLineChars="0"/>
              <w:rPr>
                <w:sz w:val="18"/>
                <w:szCs w:val="18"/>
              </w:rPr>
            </w:pPr>
          </w:p>
        </w:tc>
      </w:tr>
      <w:tr w14:paraId="191C7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3D35F005">
            <w:pPr>
              <w:pStyle w:val="125"/>
              <w:ind w:firstLine="0" w:firstLineChars="0"/>
              <w:rPr>
                <w:sz w:val="18"/>
                <w:szCs w:val="18"/>
              </w:rPr>
            </w:pPr>
            <w:r>
              <w:rPr>
                <w:rFonts w:hint="eastAsia"/>
                <w:sz w:val="18"/>
                <w:szCs w:val="18"/>
              </w:rPr>
              <w:t>7</w:t>
            </w:r>
          </w:p>
        </w:tc>
        <w:tc>
          <w:tcPr>
            <w:tcW w:w="744" w:type="pct"/>
            <w:vAlign w:val="center"/>
          </w:tcPr>
          <w:p w14:paraId="5945CD7A">
            <w:pPr>
              <w:pStyle w:val="125"/>
              <w:ind w:firstLine="0" w:firstLineChars="0"/>
              <w:rPr>
                <w:sz w:val="18"/>
                <w:szCs w:val="18"/>
              </w:rPr>
            </w:pPr>
            <w:r>
              <w:rPr>
                <w:rFonts w:hint="eastAsia"/>
                <w:sz w:val="18"/>
                <w:szCs w:val="18"/>
              </w:rPr>
              <w:t>2#还原车间</w:t>
            </w:r>
          </w:p>
        </w:tc>
        <w:tc>
          <w:tcPr>
            <w:tcW w:w="272" w:type="pct"/>
            <w:vAlign w:val="center"/>
          </w:tcPr>
          <w:p w14:paraId="65E89D1B">
            <w:pPr>
              <w:pStyle w:val="125"/>
              <w:ind w:firstLine="0" w:firstLineChars="0"/>
              <w:rPr>
                <w:sz w:val="18"/>
                <w:szCs w:val="18"/>
              </w:rPr>
            </w:pPr>
            <w:r>
              <w:rPr>
                <w:rFonts w:hint="eastAsia"/>
                <w:sz w:val="18"/>
                <w:szCs w:val="18"/>
              </w:rPr>
              <w:t>-290</w:t>
            </w:r>
          </w:p>
        </w:tc>
        <w:tc>
          <w:tcPr>
            <w:tcW w:w="270" w:type="pct"/>
            <w:vAlign w:val="center"/>
          </w:tcPr>
          <w:p w14:paraId="27E00235">
            <w:pPr>
              <w:pStyle w:val="125"/>
              <w:ind w:firstLine="0" w:firstLineChars="0"/>
              <w:rPr>
                <w:sz w:val="18"/>
                <w:szCs w:val="18"/>
              </w:rPr>
            </w:pPr>
            <w:r>
              <w:rPr>
                <w:rFonts w:hint="eastAsia"/>
                <w:sz w:val="18"/>
                <w:szCs w:val="18"/>
              </w:rPr>
              <w:t>-180</w:t>
            </w:r>
          </w:p>
        </w:tc>
        <w:tc>
          <w:tcPr>
            <w:tcW w:w="272" w:type="pct"/>
            <w:vAlign w:val="center"/>
          </w:tcPr>
          <w:p w14:paraId="57C16639">
            <w:pPr>
              <w:pStyle w:val="125"/>
              <w:ind w:firstLine="0" w:firstLineChars="0"/>
              <w:rPr>
                <w:sz w:val="18"/>
                <w:szCs w:val="18"/>
              </w:rPr>
            </w:pPr>
            <w:r>
              <w:rPr>
                <w:sz w:val="18"/>
                <w:szCs w:val="18"/>
              </w:rPr>
              <w:t>21</w:t>
            </w:r>
          </w:p>
        </w:tc>
        <w:tc>
          <w:tcPr>
            <w:tcW w:w="333" w:type="pct"/>
            <w:vAlign w:val="center"/>
          </w:tcPr>
          <w:p w14:paraId="317B70AD">
            <w:pPr>
              <w:pStyle w:val="125"/>
              <w:ind w:firstLine="0" w:firstLineChars="0"/>
              <w:rPr>
                <w:sz w:val="18"/>
                <w:szCs w:val="18"/>
              </w:rPr>
            </w:pPr>
            <w:r>
              <w:rPr>
                <w:sz w:val="18"/>
                <w:szCs w:val="18"/>
              </w:rPr>
              <w:t>115</w:t>
            </w:r>
          </w:p>
        </w:tc>
        <w:tc>
          <w:tcPr>
            <w:tcW w:w="318" w:type="pct"/>
            <w:vAlign w:val="center"/>
          </w:tcPr>
          <w:p w14:paraId="679E59C3">
            <w:pPr>
              <w:pStyle w:val="125"/>
              <w:ind w:firstLine="0" w:firstLineChars="0"/>
              <w:rPr>
                <w:sz w:val="18"/>
                <w:szCs w:val="18"/>
              </w:rPr>
            </w:pPr>
            <w:r>
              <w:rPr>
                <w:sz w:val="18"/>
                <w:szCs w:val="18"/>
              </w:rPr>
              <w:t>0</w:t>
            </w:r>
          </w:p>
        </w:tc>
        <w:tc>
          <w:tcPr>
            <w:tcW w:w="293" w:type="pct"/>
            <w:vAlign w:val="center"/>
          </w:tcPr>
          <w:p w14:paraId="40E68188">
            <w:pPr>
              <w:pStyle w:val="125"/>
              <w:ind w:firstLine="0" w:firstLineChars="0"/>
              <w:rPr>
                <w:sz w:val="18"/>
                <w:szCs w:val="18"/>
              </w:rPr>
            </w:pPr>
            <w:r>
              <w:rPr>
                <w:sz w:val="18"/>
                <w:szCs w:val="18"/>
              </w:rPr>
              <w:t>30</w:t>
            </w:r>
          </w:p>
        </w:tc>
        <w:tc>
          <w:tcPr>
            <w:tcW w:w="0" w:type="auto"/>
            <w:vAlign w:val="center"/>
          </w:tcPr>
          <w:p w14:paraId="66040343">
            <w:pPr>
              <w:pStyle w:val="125"/>
              <w:ind w:firstLine="0" w:firstLineChars="0"/>
              <w:rPr>
                <w:sz w:val="18"/>
                <w:szCs w:val="18"/>
              </w:rPr>
            </w:pPr>
          </w:p>
        </w:tc>
        <w:tc>
          <w:tcPr>
            <w:tcW w:w="0" w:type="auto"/>
            <w:vAlign w:val="center"/>
          </w:tcPr>
          <w:p w14:paraId="42FE1EC5">
            <w:pPr>
              <w:pStyle w:val="125"/>
              <w:ind w:firstLine="0" w:firstLineChars="0"/>
              <w:rPr>
                <w:sz w:val="18"/>
                <w:szCs w:val="18"/>
              </w:rPr>
            </w:pPr>
          </w:p>
        </w:tc>
        <w:tc>
          <w:tcPr>
            <w:tcW w:w="0" w:type="auto"/>
            <w:vAlign w:val="center"/>
          </w:tcPr>
          <w:p w14:paraId="29EF47F4">
            <w:pPr>
              <w:pStyle w:val="125"/>
              <w:ind w:firstLine="0" w:firstLineChars="0"/>
              <w:rPr>
                <w:sz w:val="18"/>
                <w:szCs w:val="18"/>
              </w:rPr>
            </w:pPr>
            <w:r>
              <w:rPr>
                <w:rFonts w:hint="eastAsia"/>
                <w:color w:val="000000"/>
                <w:sz w:val="18"/>
                <w:szCs w:val="18"/>
              </w:rPr>
              <w:t>0.225</w:t>
            </w:r>
          </w:p>
        </w:tc>
        <w:tc>
          <w:tcPr>
            <w:tcW w:w="0" w:type="auto"/>
            <w:vAlign w:val="center"/>
          </w:tcPr>
          <w:p w14:paraId="5BA8340E">
            <w:pPr>
              <w:pStyle w:val="125"/>
              <w:ind w:firstLine="0" w:firstLineChars="0"/>
              <w:rPr>
                <w:sz w:val="18"/>
                <w:szCs w:val="18"/>
              </w:rPr>
            </w:pPr>
          </w:p>
        </w:tc>
        <w:tc>
          <w:tcPr>
            <w:tcW w:w="0" w:type="auto"/>
            <w:vAlign w:val="center"/>
          </w:tcPr>
          <w:p w14:paraId="5EE1E3D0">
            <w:pPr>
              <w:pStyle w:val="125"/>
              <w:ind w:firstLine="0" w:firstLineChars="0"/>
              <w:rPr>
                <w:sz w:val="18"/>
                <w:szCs w:val="18"/>
              </w:rPr>
            </w:pPr>
          </w:p>
        </w:tc>
        <w:tc>
          <w:tcPr>
            <w:tcW w:w="0" w:type="auto"/>
            <w:vAlign w:val="center"/>
          </w:tcPr>
          <w:p w14:paraId="1AED7D87">
            <w:pPr>
              <w:pStyle w:val="125"/>
              <w:ind w:firstLine="0" w:firstLineChars="0"/>
              <w:rPr>
                <w:sz w:val="18"/>
                <w:szCs w:val="18"/>
              </w:rPr>
            </w:pPr>
          </w:p>
        </w:tc>
        <w:tc>
          <w:tcPr>
            <w:tcW w:w="0" w:type="auto"/>
            <w:vAlign w:val="center"/>
          </w:tcPr>
          <w:p w14:paraId="23F56B27">
            <w:pPr>
              <w:pStyle w:val="125"/>
              <w:ind w:firstLine="0" w:firstLineChars="0"/>
              <w:rPr>
                <w:sz w:val="18"/>
                <w:szCs w:val="18"/>
              </w:rPr>
            </w:pPr>
          </w:p>
        </w:tc>
      </w:tr>
      <w:tr w14:paraId="7F062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745ED4A7">
            <w:pPr>
              <w:pStyle w:val="125"/>
              <w:ind w:firstLine="0" w:firstLineChars="0"/>
              <w:rPr>
                <w:sz w:val="18"/>
                <w:szCs w:val="18"/>
              </w:rPr>
            </w:pPr>
            <w:r>
              <w:rPr>
                <w:rFonts w:hint="eastAsia"/>
                <w:sz w:val="18"/>
                <w:szCs w:val="18"/>
              </w:rPr>
              <w:t>8</w:t>
            </w:r>
          </w:p>
        </w:tc>
        <w:tc>
          <w:tcPr>
            <w:tcW w:w="744" w:type="pct"/>
            <w:vAlign w:val="center"/>
          </w:tcPr>
          <w:p w14:paraId="7510EE52">
            <w:pPr>
              <w:pStyle w:val="125"/>
              <w:ind w:firstLine="0" w:firstLineChars="0"/>
              <w:rPr>
                <w:sz w:val="18"/>
                <w:szCs w:val="18"/>
              </w:rPr>
            </w:pPr>
            <w:r>
              <w:rPr>
                <w:rFonts w:hint="eastAsia"/>
                <w:sz w:val="18"/>
                <w:szCs w:val="18"/>
              </w:rPr>
              <w:t>冷渣车间</w:t>
            </w:r>
          </w:p>
        </w:tc>
        <w:tc>
          <w:tcPr>
            <w:tcW w:w="272" w:type="pct"/>
            <w:vAlign w:val="center"/>
          </w:tcPr>
          <w:p w14:paraId="2593B01C">
            <w:pPr>
              <w:pStyle w:val="125"/>
              <w:ind w:firstLine="0" w:firstLineChars="0"/>
              <w:rPr>
                <w:sz w:val="18"/>
                <w:szCs w:val="18"/>
              </w:rPr>
            </w:pPr>
            <w:r>
              <w:rPr>
                <w:rFonts w:hint="eastAsia"/>
                <w:sz w:val="18"/>
                <w:szCs w:val="18"/>
              </w:rPr>
              <w:t>-55</w:t>
            </w:r>
          </w:p>
        </w:tc>
        <w:tc>
          <w:tcPr>
            <w:tcW w:w="270" w:type="pct"/>
            <w:vAlign w:val="center"/>
          </w:tcPr>
          <w:p w14:paraId="2DD7E070">
            <w:pPr>
              <w:pStyle w:val="125"/>
              <w:ind w:firstLine="0" w:firstLineChars="0"/>
              <w:rPr>
                <w:sz w:val="18"/>
                <w:szCs w:val="18"/>
              </w:rPr>
            </w:pPr>
            <w:r>
              <w:rPr>
                <w:rFonts w:hint="eastAsia"/>
                <w:sz w:val="18"/>
                <w:szCs w:val="18"/>
              </w:rPr>
              <w:t>-240</w:t>
            </w:r>
          </w:p>
        </w:tc>
        <w:tc>
          <w:tcPr>
            <w:tcW w:w="272" w:type="pct"/>
            <w:vAlign w:val="center"/>
          </w:tcPr>
          <w:p w14:paraId="4DCA005A">
            <w:pPr>
              <w:pStyle w:val="125"/>
              <w:ind w:firstLine="0" w:firstLineChars="0"/>
              <w:rPr>
                <w:sz w:val="18"/>
                <w:szCs w:val="18"/>
              </w:rPr>
            </w:pPr>
            <w:r>
              <w:rPr>
                <w:sz w:val="18"/>
                <w:szCs w:val="18"/>
              </w:rPr>
              <w:t>25</w:t>
            </w:r>
          </w:p>
        </w:tc>
        <w:tc>
          <w:tcPr>
            <w:tcW w:w="333" w:type="pct"/>
            <w:vAlign w:val="center"/>
          </w:tcPr>
          <w:p w14:paraId="597C6A77">
            <w:pPr>
              <w:pStyle w:val="125"/>
              <w:ind w:firstLine="0" w:firstLineChars="0"/>
              <w:rPr>
                <w:sz w:val="18"/>
                <w:szCs w:val="18"/>
              </w:rPr>
            </w:pPr>
            <w:r>
              <w:rPr>
                <w:sz w:val="18"/>
                <w:szCs w:val="18"/>
              </w:rPr>
              <w:t>43</w:t>
            </w:r>
          </w:p>
        </w:tc>
        <w:tc>
          <w:tcPr>
            <w:tcW w:w="318" w:type="pct"/>
            <w:vAlign w:val="center"/>
          </w:tcPr>
          <w:p w14:paraId="150D350B">
            <w:pPr>
              <w:pStyle w:val="125"/>
              <w:ind w:firstLine="0" w:firstLineChars="0"/>
              <w:rPr>
                <w:sz w:val="18"/>
                <w:szCs w:val="18"/>
              </w:rPr>
            </w:pPr>
            <w:r>
              <w:rPr>
                <w:sz w:val="18"/>
                <w:szCs w:val="18"/>
              </w:rPr>
              <w:t>0</w:t>
            </w:r>
          </w:p>
        </w:tc>
        <w:tc>
          <w:tcPr>
            <w:tcW w:w="293" w:type="pct"/>
            <w:vAlign w:val="center"/>
          </w:tcPr>
          <w:p w14:paraId="36B8AA5C">
            <w:pPr>
              <w:pStyle w:val="125"/>
              <w:ind w:firstLine="0" w:firstLineChars="0"/>
              <w:rPr>
                <w:sz w:val="18"/>
                <w:szCs w:val="18"/>
              </w:rPr>
            </w:pPr>
            <w:r>
              <w:rPr>
                <w:sz w:val="18"/>
                <w:szCs w:val="18"/>
              </w:rPr>
              <w:t>25</w:t>
            </w:r>
          </w:p>
        </w:tc>
        <w:tc>
          <w:tcPr>
            <w:tcW w:w="0" w:type="auto"/>
            <w:vAlign w:val="center"/>
          </w:tcPr>
          <w:p w14:paraId="656C4A36">
            <w:pPr>
              <w:pStyle w:val="125"/>
              <w:ind w:firstLine="0" w:firstLineChars="0"/>
              <w:rPr>
                <w:sz w:val="18"/>
                <w:szCs w:val="18"/>
              </w:rPr>
            </w:pPr>
          </w:p>
        </w:tc>
        <w:tc>
          <w:tcPr>
            <w:tcW w:w="0" w:type="auto"/>
            <w:vAlign w:val="center"/>
          </w:tcPr>
          <w:p w14:paraId="0667DBB4">
            <w:pPr>
              <w:pStyle w:val="125"/>
              <w:ind w:firstLine="0" w:firstLineChars="0"/>
              <w:rPr>
                <w:sz w:val="18"/>
                <w:szCs w:val="18"/>
              </w:rPr>
            </w:pPr>
          </w:p>
        </w:tc>
        <w:tc>
          <w:tcPr>
            <w:tcW w:w="0" w:type="auto"/>
            <w:vAlign w:val="center"/>
          </w:tcPr>
          <w:p w14:paraId="596432F3">
            <w:pPr>
              <w:pStyle w:val="125"/>
              <w:ind w:firstLine="0" w:firstLineChars="0"/>
              <w:rPr>
                <w:sz w:val="18"/>
                <w:szCs w:val="18"/>
              </w:rPr>
            </w:pPr>
            <w:r>
              <w:rPr>
                <w:rFonts w:hint="eastAsia"/>
                <w:color w:val="000000"/>
                <w:sz w:val="18"/>
                <w:szCs w:val="18"/>
              </w:rPr>
              <w:t>0.119</w:t>
            </w:r>
          </w:p>
        </w:tc>
        <w:tc>
          <w:tcPr>
            <w:tcW w:w="0" w:type="auto"/>
            <w:vAlign w:val="center"/>
          </w:tcPr>
          <w:p w14:paraId="740374B5">
            <w:pPr>
              <w:pStyle w:val="125"/>
              <w:ind w:firstLine="0" w:firstLineChars="0"/>
              <w:rPr>
                <w:sz w:val="18"/>
                <w:szCs w:val="18"/>
              </w:rPr>
            </w:pPr>
          </w:p>
        </w:tc>
        <w:tc>
          <w:tcPr>
            <w:tcW w:w="0" w:type="auto"/>
            <w:vAlign w:val="center"/>
          </w:tcPr>
          <w:p w14:paraId="43A13B31">
            <w:pPr>
              <w:pStyle w:val="125"/>
              <w:ind w:firstLine="0" w:firstLineChars="0"/>
              <w:rPr>
                <w:sz w:val="18"/>
                <w:szCs w:val="18"/>
              </w:rPr>
            </w:pPr>
          </w:p>
        </w:tc>
        <w:tc>
          <w:tcPr>
            <w:tcW w:w="0" w:type="auto"/>
            <w:vAlign w:val="center"/>
          </w:tcPr>
          <w:p w14:paraId="1B688EF6">
            <w:pPr>
              <w:pStyle w:val="125"/>
              <w:ind w:firstLine="0" w:firstLineChars="0"/>
              <w:rPr>
                <w:sz w:val="18"/>
                <w:szCs w:val="18"/>
              </w:rPr>
            </w:pPr>
          </w:p>
        </w:tc>
        <w:tc>
          <w:tcPr>
            <w:tcW w:w="0" w:type="auto"/>
            <w:vAlign w:val="center"/>
          </w:tcPr>
          <w:p w14:paraId="154123C6">
            <w:pPr>
              <w:pStyle w:val="125"/>
              <w:ind w:firstLine="0" w:firstLineChars="0"/>
              <w:rPr>
                <w:sz w:val="18"/>
                <w:szCs w:val="18"/>
              </w:rPr>
            </w:pPr>
          </w:p>
        </w:tc>
      </w:tr>
      <w:tr w14:paraId="0E461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298A8EF4">
            <w:pPr>
              <w:pStyle w:val="125"/>
              <w:ind w:firstLine="0" w:firstLineChars="0"/>
              <w:rPr>
                <w:sz w:val="18"/>
                <w:szCs w:val="18"/>
              </w:rPr>
            </w:pPr>
            <w:r>
              <w:rPr>
                <w:rFonts w:hint="eastAsia"/>
                <w:sz w:val="18"/>
                <w:szCs w:val="18"/>
              </w:rPr>
              <w:t>9</w:t>
            </w:r>
          </w:p>
        </w:tc>
        <w:tc>
          <w:tcPr>
            <w:tcW w:w="744" w:type="pct"/>
            <w:vAlign w:val="center"/>
          </w:tcPr>
          <w:p w14:paraId="439AE581">
            <w:pPr>
              <w:pStyle w:val="125"/>
              <w:ind w:firstLine="0" w:firstLineChars="0"/>
              <w:rPr>
                <w:sz w:val="18"/>
                <w:szCs w:val="18"/>
              </w:rPr>
            </w:pPr>
            <w:r>
              <w:rPr>
                <w:rFonts w:hint="eastAsia"/>
                <w:sz w:val="18"/>
                <w:szCs w:val="18"/>
              </w:rPr>
              <w:t>精炼车间</w:t>
            </w:r>
          </w:p>
        </w:tc>
        <w:tc>
          <w:tcPr>
            <w:tcW w:w="272" w:type="pct"/>
            <w:vAlign w:val="center"/>
          </w:tcPr>
          <w:p w14:paraId="28636EEA">
            <w:pPr>
              <w:pStyle w:val="125"/>
              <w:ind w:firstLine="0" w:firstLineChars="0"/>
              <w:rPr>
                <w:sz w:val="18"/>
                <w:szCs w:val="18"/>
              </w:rPr>
            </w:pPr>
            <w:r>
              <w:rPr>
                <w:rFonts w:hint="eastAsia"/>
                <w:sz w:val="18"/>
                <w:szCs w:val="18"/>
              </w:rPr>
              <w:t>-655</w:t>
            </w:r>
          </w:p>
        </w:tc>
        <w:tc>
          <w:tcPr>
            <w:tcW w:w="270" w:type="pct"/>
            <w:vAlign w:val="center"/>
          </w:tcPr>
          <w:p w14:paraId="09A2D3D0">
            <w:pPr>
              <w:pStyle w:val="125"/>
              <w:ind w:firstLine="0" w:firstLineChars="0"/>
              <w:rPr>
                <w:sz w:val="18"/>
                <w:szCs w:val="18"/>
              </w:rPr>
            </w:pPr>
            <w:r>
              <w:rPr>
                <w:rFonts w:hint="eastAsia"/>
                <w:sz w:val="18"/>
                <w:szCs w:val="18"/>
              </w:rPr>
              <w:t>-120</w:t>
            </w:r>
          </w:p>
        </w:tc>
        <w:tc>
          <w:tcPr>
            <w:tcW w:w="272" w:type="pct"/>
            <w:vAlign w:val="center"/>
          </w:tcPr>
          <w:p w14:paraId="46A48D02">
            <w:pPr>
              <w:pStyle w:val="125"/>
              <w:ind w:firstLine="0" w:firstLineChars="0"/>
              <w:rPr>
                <w:sz w:val="18"/>
                <w:szCs w:val="18"/>
              </w:rPr>
            </w:pPr>
            <w:r>
              <w:rPr>
                <w:sz w:val="18"/>
                <w:szCs w:val="18"/>
              </w:rPr>
              <w:t>152</w:t>
            </w:r>
          </w:p>
        </w:tc>
        <w:tc>
          <w:tcPr>
            <w:tcW w:w="333" w:type="pct"/>
            <w:vAlign w:val="center"/>
          </w:tcPr>
          <w:p w14:paraId="31C25347">
            <w:pPr>
              <w:pStyle w:val="125"/>
              <w:ind w:firstLine="0" w:firstLineChars="0"/>
              <w:rPr>
                <w:sz w:val="18"/>
                <w:szCs w:val="18"/>
              </w:rPr>
            </w:pPr>
            <w:r>
              <w:rPr>
                <w:sz w:val="18"/>
                <w:szCs w:val="18"/>
              </w:rPr>
              <w:t>31</w:t>
            </w:r>
          </w:p>
        </w:tc>
        <w:tc>
          <w:tcPr>
            <w:tcW w:w="318" w:type="pct"/>
            <w:vAlign w:val="center"/>
          </w:tcPr>
          <w:p w14:paraId="0701A490">
            <w:pPr>
              <w:pStyle w:val="125"/>
              <w:ind w:firstLine="0" w:firstLineChars="0"/>
              <w:rPr>
                <w:sz w:val="18"/>
                <w:szCs w:val="18"/>
              </w:rPr>
            </w:pPr>
            <w:r>
              <w:rPr>
                <w:sz w:val="18"/>
                <w:szCs w:val="18"/>
              </w:rPr>
              <w:t>0</w:t>
            </w:r>
          </w:p>
        </w:tc>
        <w:tc>
          <w:tcPr>
            <w:tcW w:w="293" w:type="pct"/>
            <w:vAlign w:val="center"/>
          </w:tcPr>
          <w:p w14:paraId="6512CCA7">
            <w:pPr>
              <w:pStyle w:val="125"/>
              <w:ind w:firstLine="0" w:firstLineChars="0"/>
              <w:rPr>
                <w:sz w:val="18"/>
                <w:szCs w:val="18"/>
              </w:rPr>
            </w:pPr>
            <w:r>
              <w:rPr>
                <w:sz w:val="18"/>
                <w:szCs w:val="18"/>
              </w:rPr>
              <w:t>25</w:t>
            </w:r>
          </w:p>
        </w:tc>
        <w:tc>
          <w:tcPr>
            <w:tcW w:w="0" w:type="auto"/>
            <w:vAlign w:val="center"/>
          </w:tcPr>
          <w:p w14:paraId="1D42002E">
            <w:pPr>
              <w:pStyle w:val="125"/>
              <w:ind w:firstLine="0" w:firstLineChars="0"/>
              <w:rPr>
                <w:sz w:val="18"/>
                <w:szCs w:val="18"/>
              </w:rPr>
            </w:pPr>
            <w:r>
              <w:rPr>
                <w:rFonts w:hint="eastAsia"/>
                <w:color w:val="000000"/>
                <w:sz w:val="18"/>
                <w:szCs w:val="18"/>
              </w:rPr>
              <w:t>0.189</w:t>
            </w:r>
          </w:p>
        </w:tc>
        <w:tc>
          <w:tcPr>
            <w:tcW w:w="0" w:type="auto"/>
            <w:vAlign w:val="center"/>
          </w:tcPr>
          <w:p w14:paraId="080DB291">
            <w:pPr>
              <w:pStyle w:val="125"/>
              <w:ind w:firstLine="0" w:firstLineChars="0"/>
              <w:rPr>
                <w:sz w:val="18"/>
                <w:szCs w:val="18"/>
              </w:rPr>
            </w:pPr>
          </w:p>
        </w:tc>
        <w:tc>
          <w:tcPr>
            <w:tcW w:w="0" w:type="auto"/>
            <w:vAlign w:val="center"/>
          </w:tcPr>
          <w:p w14:paraId="10880D97">
            <w:pPr>
              <w:pStyle w:val="125"/>
              <w:ind w:firstLine="0" w:firstLineChars="0"/>
              <w:rPr>
                <w:sz w:val="18"/>
                <w:szCs w:val="18"/>
              </w:rPr>
            </w:pPr>
            <w:r>
              <w:rPr>
                <w:rFonts w:hint="eastAsia"/>
                <w:color w:val="000000"/>
                <w:sz w:val="18"/>
                <w:szCs w:val="18"/>
              </w:rPr>
              <w:t>0.024</w:t>
            </w:r>
          </w:p>
        </w:tc>
        <w:tc>
          <w:tcPr>
            <w:tcW w:w="0" w:type="auto"/>
            <w:vAlign w:val="center"/>
          </w:tcPr>
          <w:p w14:paraId="4E7E1413">
            <w:pPr>
              <w:pStyle w:val="125"/>
              <w:ind w:firstLine="0" w:firstLineChars="0"/>
              <w:rPr>
                <w:sz w:val="18"/>
                <w:szCs w:val="18"/>
              </w:rPr>
            </w:pPr>
          </w:p>
        </w:tc>
        <w:tc>
          <w:tcPr>
            <w:tcW w:w="0" w:type="auto"/>
            <w:vAlign w:val="center"/>
          </w:tcPr>
          <w:p w14:paraId="55D4FBE9">
            <w:pPr>
              <w:pStyle w:val="125"/>
              <w:ind w:firstLine="0" w:firstLineChars="0"/>
              <w:rPr>
                <w:sz w:val="18"/>
                <w:szCs w:val="18"/>
              </w:rPr>
            </w:pPr>
          </w:p>
        </w:tc>
        <w:tc>
          <w:tcPr>
            <w:tcW w:w="0" w:type="auto"/>
            <w:vAlign w:val="center"/>
          </w:tcPr>
          <w:p w14:paraId="66D0FFC5">
            <w:pPr>
              <w:pStyle w:val="125"/>
              <w:ind w:firstLine="0" w:firstLineChars="0"/>
              <w:rPr>
                <w:sz w:val="18"/>
                <w:szCs w:val="18"/>
              </w:rPr>
            </w:pPr>
          </w:p>
        </w:tc>
        <w:tc>
          <w:tcPr>
            <w:tcW w:w="0" w:type="auto"/>
            <w:vAlign w:val="center"/>
          </w:tcPr>
          <w:p w14:paraId="7AF11882">
            <w:pPr>
              <w:pStyle w:val="125"/>
              <w:ind w:firstLine="0" w:firstLineChars="0"/>
              <w:rPr>
                <w:sz w:val="18"/>
                <w:szCs w:val="18"/>
              </w:rPr>
            </w:pPr>
          </w:p>
        </w:tc>
      </w:tr>
      <w:tr w14:paraId="73C3E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32923E5A">
            <w:pPr>
              <w:pStyle w:val="125"/>
              <w:ind w:firstLine="0" w:firstLineChars="0"/>
              <w:rPr>
                <w:sz w:val="18"/>
                <w:szCs w:val="18"/>
              </w:rPr>
            </w:pPr>
            <w:r>
              <w:rPr>
                <w:rFonts w:hint="eastAsia"/>
                <w:sz w:val="18"/>
                <w:szCs w:val="18"/>
              </w:rPr>
              <w:t>10</w:t>
            </w:r>
          </w:p>
        </w:tc>
        <w:tc>
          <w:tcPr>
            <w:tcW w:w="744" w:type="pct"/>
            <w:vAlign w:val="center"/>
          </w:tcPr>
          <w:p w14:paraId="2F6ED352">
            <w:pPr>
              <w:pStyle w:val="125"/>
              <w:ind w:firstLine="0" w:firstLineChars="0"/>
              <w:rPr>
                <w:sz w:val="18"/>
                <w:szCs w:val="18"/>
              </w:rPr>
            </w:pPr>
            <w:r>
              <w:rPr>
                <w:rFonts w:hint="eastAsia"/>
                <w:sz w:val="18"/>
                <w:szCs w:val="18"/>
              </w:rPr>
              <w:t>压铸车间</w:t>
            </w:r>
          </w:p>
        </w:tc>
        <w:tc>
          <w:tcPr>
            <w:tcW w:w="272" w:type="pct"/>
            <w:vAlign w:val="center"/>
          </w:tcPr>
          <w:p w14:paraId="49ADB559">
            <w:pPr>
              <w:pStyle w:val="125"/>
              <w:ind w:firstLine="0" w:firstLineChars="0"/>
              <w:rPr>
                <w:sz w:val="18"/>
                <w:szCs w:val="18"/>
              </w:rPr>
            </w:pPr>
            <w:r>
              <w:rPr>
                <w:rFonts w:hint="eastAsia"/>
                <w:sz w:val="18"/>
                <w:szCs w:val="18"/>
              </w:rPr>
              <w:t>-746</w:t>
            </w:r>
          </w:p>
        </w:tc>
        <w:tc>
          <w:tcPr>
            <w:tcW w:w="270" w:type="pct"/>
            <w:vAlign w:val="center"/>
          </w:tcPr>
          <w:p w14:paraId="2812F8E4">
            <w:pPr>
              <w:pStyle w:val="125"/>
              <w:ind w:firstLine="0" w:firstLineChars="0"/>
              <w:rPr>
                <w:sz w:val="18"/>
                <w:szCs w:val="18"/>
              </w:rPr>
            </w:pPr>
            <w:r>
              <w:rPr>
                <w:rFonts w:hint="eastAsia"/>
                <w:sz w:val="18"/>
                <w:szCs w:val="18"/>
              </w:rPr>
              <w:t>259</w:t>
            </w:r>
          </w:p>
        </w:tc>
        <w:tc>
          <w:tcPr>
            <w:tcW w:w="272" w:type="pct"/>
            <w:vAlign w:val="center"/>
          </w:tcPr>
          <w:p w14:paraId="7AE30955">
            <w:pPr>
              <w:pStyle w:val="125"/>
              <w:ind w:firstLine="0" w:firstLineChars="0"/>
              <w:rPr>
                <w:sz w:val="18"/>
                <w:szCs w:val="18"/>
              </w:rPr>
            </w:pPr>
            <w:r>
              <w:rPr>
                <w:sz w:val="18"/>
                <w:szCs w:val="18"/>
              </w:rPr>
              <w:t>42</w:t>
            </w:r>
          </w:p>
        </w:tc>
        <w:tc>
          <w:tcPr>
            <w:tcW w:w="333" w:type="pct"/>
            <w:vAlign w:val="center"/>
          </w:tcPr>
          <w:p w14:paraId="72E9FF28">
            <w:pPr>
              <w:pStyle w:val="125"/>
              <w:ind w:firstLine="0" w:firstLineChars="0"/>
              <w:rPr>
                <w:sz w:val="18"/>
                <w:szCs w:val="18"/>
              </w:rPr>
            </w:pPr>
            <w:r>
              <w:rPr>
                <w:sz w:val="18"/>
                <w:szCs w:val="18"/>
              </w:rPr>
              <w:t>90</w:t>
            </w:r>
          </w:p>
        </w:tc>
        <w:tc>
          <w:tcPr>
            <w:tcW w:w="318" w:type="pct"/>
            <w:vAlign w:val="center"/>
          </w:tcPr>
          <w:p w14:paraId="15EE9659">
            <w:pPr>
              <w:pStyle w:val="125"/>
              <w:ind w:firstLine="0" w:firstLineChars="0"/>
              <w:rPr>
                <w:sz w:val="18"/>
                <w:szCs w:val="18"/>
              </w:rPr>
            </w:pPr>
            <w:r>
              <w:rPr>
                <w:sz w:val="18"/>
                <w:szCs w:val="18"/>
              </w:rPr>
              <w:t>0</w:t>
            </w:r>
          </w:p>
        </w:tc>
        <w:tc>
          <w:tcPr>
            <w:tcW w:w="293" w:type="pct"/>
            <w:vAlign w:val="center"/>
          </w:tcPr>
          <w:p w14:paraId="7D0A8EB3">
            <w:pPr>
              <w:pStyle w:val="125"/>
              <w:ind w:firstLine="0" w:firstLineChars="0"/>
              <w:rPr>
                <w:sz w:val="18"/>
                <w:szCs w:val="18"/>
              </w:rPr>
            </w:pPr>
            <w:r>
              <w:rPr>
                <w:sz w:val="18"/>
                <w:szCs w:val="18"/>
              </w:rPr>
              <w:t>10</w:t>
            </w:r>
          </w:p>
        </w:tc>
        <w:tc>
          <w:tcPr>
            <w:tcW w:w="0" w:type="auto"/>
            <w:vAlign w:val="center"/>
          </w:tcPr>
          <w:p w14:paraId="191155FA">
            <w:pPr>
              <w:pStyle w:val="125"/>
              <w:ind w:firstLine="0" w:firstLineChars="0"/>
              <w:rPr>
                <w:sz w:val="18"/>
                <w:szCs w:val="18"/>
              </w:rPr>
            </w:pPr>
          </w:p>
        </w:tc>
        <w:tc>
          <w:tcPr>
            <w:tcW w:w="0" w:type="auto"/>
            <w:vAlign w:val="center"/>
          </w:tcPr>
          <w:p w14:paraId="491C0F7E">
            <w:pPr>
              <w:pStyle w:val="125"/>
              <w:ind w:firstLine="0" w:firstLineChars="0"/>
              <w:rPr>
                <w:sz w:val="18"/>
                <w:szCs w:val="18"/>
              </w:rPr>
            </w:pPr>
          </w:p>
        </w:tc>
        <w:tc>
          <w:tcPr>
            <w:tcW w:w="0" w:type="auto"/>
            <w:vAlign w:val="center"/>
          </w:tcPr>
          <w:p w14:paraId="548B2D0A">
            <w:pPr>
              <w:pStyle w:val="125"/>
              <w:ind w:firstLine="0" w:firstLineChars="0"/>
              <w:rPr>
                <w:sz w:val="18"/>
                <w:szCs w:val="18"/>
              </w:rPr>
            </w:pPr>
          </w:p>
        </w:tc>
        <w:tc>
          <w:tcPr>
            <w:tcW w:w="0" w:type="auto"/>
            <w:vAlign w:val="center"/>
          </w:tcPr>
          <w:p w14:paraId="7A4BB16B">
            <w:pPr>
              <w:pStyle w:val="125"/>
              <w:ind w:firstLine="0" w:firstLineChars="0"/>
              <w:rPr>
                <w:sz w:val="18"/>
                <w:szCs w:val="18"/>
              </w:rPr>
            </w:pPr>
          </w:p>
        </w:tc>
        <w:tc>
          <w:tcPr>
            <w:tcW w:w="0" w:type="auto"/>
            <w:vAlign w:val="center"/>
          </w:tcPr>
          <w:p w14:paraId="44E25F71">
            <w:pPr>
              <w:pStyle w:val="125"/>
              <w:ind w:firstLine="0" w:firstLineChars="0"/>
              <w:rPr>
                <w:sz w:val="18"/>
                <w:szCs w:val="18"/>
              </w:rPr>
            </w:pPr>
          </w:p>
        </w:tc>
        <w:tc>
          <w:tcPr>
            <w:tcW w:w="0" w:type="auto"/>
            <w:vAlign w:val="center"/>
          </w:tcPr>
          <w:p w14:paraId="3B743869">
            <w:pPr>
              <w:pStyle w:val="125"/>
              <w:ind w:firstLine="0" w:firstLineChars="0"/>
              <w:rPr>
                <w:sz w:val="18"/>
                <w:szCs w:val="18"/>
              </w:rPr>
            </w:pPr>
          </w:p>
        </w:tc>
        <w:tc>
          <w:tcPr>
            <w:tcW w:w="0" w:type="auto"/>
            <w:vAlign w:val="center"/>
          </w:tcPr>
          <w:p w14:paraId="74A4DD1F">
            <w:pPr>
              <w:pStyle w:val="125"/>
              <w:ind w:firstLine="0" w:firstLineChars="0"/>
              <w:rPr>
                <w:sz w:val="18"/>
                <w:szCs w:val="18"/>
              </w:rPr>
            </w:pPr>
            <w:r>
              <w:rPr>
                <w:rFonts w:hint="eastAsia"/>
                <w:sz w:val="18"/>
                <w:szCs w:val="18"/>
              </w:rPr>
              <w:t>0.018</w:t>
            </w:r>
          </w:p>
        </w:tc>
      </w:tr>
      <w:tr w14:paraId="472B9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3E276269">
            <w:pPr>
              <w:pStyle w:val="125"/>
              <w:ind w:firstLine="0" w:firstLineChars="0"/>
              <w:rPr>
                <w:sz w:val="18"/>
                <w:szCs w:val="18"/>
              </w:rPr>
            </w:pPr>
            <w:r>
              <w:rPr>
                <w:rFonts w:hint="eastAsia"/>
                <w:sz w:val="18"/>
                <w:szCs w:val="18"/>
              </w:rPr>
              <w:t>11</w:t>
            </w:r>
          </w:p>
        </w:tc>
        <w:tc>
          <w:tcPr>
            <w:tcW w:w="744" w:type="pct"/>
            <w:vAlign w:val="center"/>
          </w:tcPr>
          <w:p w14:paraId="07F723D9">
            <w:pPr>
              <w:pStyle w:val="125"/>
              <w:ind w:firstLine="0" w:firstLineChars="0"/>
              <w:rPr>
                <w:sz w:val="18"/>
                <w:szCs w:val="18"/>
              </w:rPr>
            </w:pPr>
            <w:r>
              <w:rPr>
                <w:rFonts w:hint="eastAsia"/>
                <w:sz w:val="18"/>
                <w:szCs w:val="18"/>
              </w:rPr>
              <w:t>白云石堆场</w:t>
            </w:r>
          </w:p>
        </w:tc>
        <w:tc>
          <w:tcPr>
            <w:tcW w:w="272" w:type="pct"/>
            <w:vAlign w:val="center"/>
          </w:tcPr>
          <w:p w14:paraId="2F26FD2C">
            <w:pPr>
              <w:pStyle w:val="125"/>
              <w:ind w:firstLine="0" w:firstLineChars="0"/>
              <w:rPr>
                <w:sz w:val="18"/>
                <w:szCs w:val="18"/>
              </w:rPr>
            </w:pPr>
            <w:r>
              <w:rPr>
                <w:rFonts w:hint="eastAsia"/>
                <w:sz w:val="18"/>
                <w:szCs w:val="18"/>
              </w:rPr>
              <w:t>0</w:t>
            </w:r>
          </w:p>
        </w:tc>
        <w:tc>
          <w:tcPr>
            <w:tcW w:w="270" w:type="pct"/>
            <w:vAlign w:val="center"/>
          </w:tcPr>
          <w:p w14:paraId="05CB4373">
            <w:pPr>
              <w:pStyle w:val="125"/>
              <w:ind w:firstLine="0" w:firstLineChars="0"/>
              <w:rPr>
                <w:sz w:val="18"/>
                <w:szCs w:val="18"/>
              </w:rPr>
            </w:pPr>
            <w:r>
              <w:rPr>
                <w:rFonts w:hint="eastAsia"/>
                <w:sz w:val="18"/>
                <w:szCs w:val="18"/>
              </w:rPr>
              <w:t>-33</w:t>
            </w:r>
          </w:p>
        </w:tc>
        <w:tc>
          <w:tcPr>
            <w:tcW w:w="272" w:type="pct"/>
            <w:vAlign w:val="center"/>
          </w:tcPr>
          <w:p w14:paraId="61E74AAC">
            <w:pPr>
              <w:pStyle w:val="125"/>
              <w:ind w:firstLine="0" w:firstLineChars="0"/>
              <w:rPr>
                <w:sz w:val="18"/>
                <w:szCs w:val="18"/>
              </w:rPr>
            </w:pPr>
            <w:r>
              <w:rPr>
                <w:sz w:val="18"/>
                <w:szCs w:val="18"/>
              </w:rPr>
              <w:t>160</w:t>
            </w:r>
          </w:p>
        </w:tc>
        <w:tc>
          <w:tcPr>
            <w:tcW w:w="333" w:type="pct"/>
            <w:vAlign w:val="center"/>
          </w:tcPr>
          <w:p w14:paraId="012895A9">
            <w:pPr>
              <w:pStyle w:val="125"/>
              <w:ind w:firstLine="0" w:firstLineChars="0"/>
              <w:rPr>
                <w:sz w:val="18"/>
                <w:szCs w:val="18"/>
              </w:rPr>
            </w:pPr>
            <w:r>
              <w:rPr>
                <w:sz w:val="18"/>
                <w:szCs w:val="18"/>
              </w:rPr>
              <w:t>38</w:t>
            </w:r>
          </w:p>
        </w:tc>
        <w:tc>
          <w:tcPr>
            <w:tcW w:w="318" w:type="pct"/>
            <w:vAlign w:val="center"/>
          </w:tcPr>
          <w:p w14:paraId="0D021A76">
            <w:pPr>
              <w:pStyle w:val="125"/>
              <w:ind w:firstLine="0" w:firstLineChars="0"/>
              <w:rPr>
                <w:sz w:val="18"/>
                <w:szCs w:val="18"/>
              </w:rPr>
            </w:pPr>
            <w:r>
              <w:rPr>
                <w:sz w:val="18"/>
                <w:szCs w:val="18"/>
              </w:rPr>
              <w:t>0</w:t>
            </w:r>
          </w:p>
        </w:tc>
        <w:tc>
          <w:tcPr>
            <w:tcW w:w="293" w:type="pct"/>
            <w:vAlign w:val="center"/>
          </w:tcPr>
          <w:p w14:paraId="24BDDED6">
            <w:pPr>
              <w:pStyle w:val="125"/>
              <w:ind w:firstLine="0" w:firstLineChars="0"/>
              <w:rPr>
                <w:sz w:val="18"/>
                <w:szCs w:val="18"/>
              </w:rPr>
            </w:pPr>
            <w:r>
              <w:rPr>
                <w:sz w:val="18"/>
                <w:szCs w:val="18"/>
              </w:rPr>
              <w:t>15</w:t>
            </w:r>
          </w:p>
        </w:tc>
        <w:tc>
          <w:tcPr>
            <w:tcW w:w="0" w:type="auto"/>
            <w:vAlign w:val="center"/>
          </w:tcPr>
          <w:p w14:paraId="231A7F0A">
            <w:pPr>
              <w:pStyle w:val="125"/>
              <w:ind w:firstLine="0" w:firstLineChars="0"/>
              <w:rPr>
                <w:sz w:val="18"/>
                <w:szCs w:val="18"/>
              </w:rPr>
            </w:pPr>
          </w:p>
        </w:tc>
        <w:tc>
          <w:tcPr>
            <w:tcW w:w="0" w:type="auto"/>
            <w:vAlign w:val="center"/>
          </w:tcPr>
          <w:p w14:paraId="4A8862CF">
            <w:pPr>
              <w:pStyle w:val="125"/>
              <w:ind w:firstLine="0" w:firstLineChars="0"/>
              <w:rPr>
                <w:sz w:val="18"/>
                <w:szCs w:val="18"/>
              </w:rPr>
            </w:pPr>
          </w:p>
        </w:tc>
        <w:tc>
          <w:tcPr>
            <w:tcW w:w="0" w:type="auto"/>
            <w:vAlign w:val="center"/>
          </w:tcPr>
          <w:p w14:paraId="6D437BEC">
            <w:pPr>
              <w:pStyle w:val="125"/>
              <w:ind w:firstLine="0" w:firstLineChars="0"/>
              <w:rPr>
                <w:sz w:val="18"/>
                <w:szCs w:val="18"/>
              </w:rPr>
            </w:pPr>
            <w:r>
              <w:rPr>
                <w:rFonts w:hint="eastAsia"/>
                <w:color w:val="000000"/>
                <w:sz w:val="18"/>
                <w:szCs w:val="18"/>
              </w:rPr>
              <w:t>0.155</w:t>
            </w:r>
          </w:p>
        </w:tc>
        <w:tc>
          <w:tcPr>
            <w:tcW w:w="0" w:type="auto"/>
            <w:vAlign w:val="center"/>
          </w:tcPr>
          <w:p w14:paraId="50F5F14A">
            <w:pPr>
              <w:pStyle w:val="125"/>
              <w:ind w:firstLine="0" w:firstLineChars="0"/>
              <w:rPr>
                <w:sz w:val="18"/>
                <w:szCs w:val="18"/>
              </w:rPr>
            </w:pPr>
          </w:p>
        </w:tc>
        <w:tc>
          <w:tcPr>
            <w:tcW w:w="0" w:type="auto"/>
            <w:vAlign w:val="center"/>
          </w:tcPr>
          <w:p w14:paraId="063674BC">
            <w:pPr>
              <w:pStyle w:val="125"/>
              <w:ind w:firstLine="0" w:firstLineChars="0"/>
              <w:rPr>
                <w:sz w:val="18"/>
                <w:szCs w:val="18"/>
              </w:rPr>
            </w:pPr>
          </w:p>
        </w:tc>
        <w:tc>
          <w:tcPr>
            <w:tcW w:w="0" w:type="auto"/>
            <w:vAlign w:val="center"/>
          </w:tcPr>
          <w:p w14:paraId="72290365">
            <w:pPr>
              <w:pStyle w:val="125"/>
              <w:ind w:firstLine="0" w:firstLineChars="0"/>
              <w:rPr>
                <w:sz w:val="18"/>
                <w:szCs w:val="18"/>
              </w:rPr>
            </w:pPr>
          </w:p>
        </w:tc>
        <w:tc>
          <w:tcPr>
            <w:tcW w:w="0" w:type="auto"/>
            <w:vAlign w:val="center"/>
          </w:tcPr>
          <w:p w14:paraId="2A743540">
            <w:pPr>
              <w:pStyle w:val="125"/>
              <w:ind w:firstLine="0" w:firstLineChars="0"/>
              <w:rPr>
                <w:sz w:val="18"/>
                <w:szCs w:val="18"/>
              </w:rPr>
            </w:pPr>
          </w:p>
        </w:tc>
      </w:tr>
      <w:tr w14:paraId="53469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6FA44D52">
            <w:pPr>
              <w:pStyle w:val="125"/>
              <w:ind w:firstLine="0" w:firstLineChars="0"/>
              <w:rPr>
                <w:sz w:val="18"/>
                <w:szCs w:val="18"/>
              </w:rPr>
            </w:pPr>
            <w:r>
              <w:rPr>
                <w:rFonts w:hint="eastAsia"/>
                <w:sz w:val="18"/>
                <w:szCs w:val="18"/>
              </w:rPr>
              <w:t>12</w:t>
            </w:r>
          </w:p>
        </w:tc>
        <w:tc>
          <w:tcPr>
            <w:tcW w:w="744" w:type="pct"/>
            <w:vAlign w:val="center"/>
          </w:tcPr>
          <w:p w14:paraId="0D374265">
            <w:pPr>
              <w:pStyle w:val="125"/>
              <w:ind w:firstLine="0" w:firstLineChars="0"/>
              <w:rPr>
                <w:sz w:val="18"/>
                <w:szCs w:val="18"/>
              </w:rPr>
            </w:pPr>
            <w:r>
              <w:rPr>
                <w:rFonts w:hint="eastAsia"/>
                <w:sz w:val="18"/>
                <w:szCs w:val="18"/>
              </w:rPr>
              <w:t>机修车间</w:t>
            </w:r>
          </w:p>
        </w:tc>
        <w:tc>
          <w:tcPr>
            <w:tcW w:w="272" w:type="pct"/>
            <w:vAlign w:val="center"/>
          </w:tcPr>
          <w:p w14:paraId="1BFADD0F">
            <w:pPr>
              <w:pStyle w:val="125"/>
              <w:ind w:firstLine="0" w:firstLineChars="0"/>
              <w:rPr>
                <w:sz w:val="18"/>
                <w:szCs w:val="18"/>
              </w:rPr>
            </w:pPr>
            <w:r>
              <w:rPr>
                <w:rFonts w:hint="eastAsia"/>
                <w:sz w:val="18"/>
                <w:szCs w:val="18"/>
              </w:rPr>
              <w:t>-600</w:t>
            </w:r>
          </w:p>
        </w:tc>
        <w:tc>
          <w:tcPr>
            <w:tcW w:w="270" w:type="pct"/>
            <w:vAlign w:val="center"/>
          </w:tcPr>
          <w:p w14:paraId="01FF3D0E">
            <w:pPr>
              <w:pStyle w:val="125"/>
              <w:ind w:firstLine="0" w:firstLineChars="0"/>
              <w:rPr>
                <w:sz w:val="18"/>
                <w:szCs w:val="18"/>
              </w:rPr>
            </w:pPr>
            <w:r>
              <w:rPr>
                <w:rFonts w:hint="eastAsia"/>
                <w:sz w:val="18"/>
                <w:szCs w:val="18"/>
              </w:rPr>
              <w:t>-70</w:t>
            </w:r>
          </w:p>
        </w:tc>
        <w:tc>
          <w:tcPr>
            <w:tcW w:w="272" w:type="pct"/>
            <w:vAlign w:val="center"/>
          </w:tcPr>
          <w:p w14:paraId="37D5E2D5">
            <w:pPr>
              <w:pStyle w:val="125"/>
              <w:ind w:firstLine="0" w:firstLineChars="0"/>
              <w:rPr>
                <w:sz w:val="18"/>
                <w:szCs w:val="18"/>
              </w:rPr>
            </w:pPr>
            <w:r>
              <w:rPr>
                <w:sz w:val="18"/>
                <w:szCs w:val="18"/>
              </w:rPr>
              <w:t>100</w:t>
            </w:r>
          </w:p>
        </w:tc>
        <w:tc>
          <w:tcPr>
            <w:tcW w:w="333" w:type="pct"/>
            <w:vAlign w:val="center"/>
          </w:tcPr>
          <w:p w14:paraId="236BC752">
            <w:pPr>
              <w:pStyle w:val="125"/>
              <w:ind w:firstLine="0" w:firstLineChars="0"/>
              <w:rPr>
                <w:sz w:val="18"/>
                <w:szCs w:val="18"/>
              </w:rPr>
            </w:pPr>
            <w:r>
              <w:rPr>
                <w:sz w:val="18"/>
                <w:szCs w:val="18"/>
              </w:rPr>
              <w:t>142</w:t>
            </w:r>
          </w:p>
        </w:tc>
        <w:tc>
          <w:tcPr>
            <w:tcW w:w="318" w:type="pct"/>
            <w:vAlign w:val="center"/>
          </w:tcPr>
          <w:p w14:paraId="78CA5945">
            <w:pPr>
              <w:pStyle w:val="125"/>
              <w:ind w:firstLine="0" w:firstLineChars="0"/>
              <w:rPr>
                <w:sz w:val="18"/>
                <w:szCs w:val="18"/>
              </w:rPr>
            </w:pPr>
            <w:r>
              <w:rPr>
                <w:sz w:val="18"/>
                <w:szCs w:val="18"/>
              </w:rPr>
              <w:t>0</w:t>
            </w:r>
          </w:p>
        </w:tc>
        <w:tc>
          <w:tcPr>
            <w:tcW w:w="293" w:type="pct"/>
            <w:vAlign w:val="center"/>
          </w:tcPr>
          <w:p w14:paraId="05CFAD06">
            <w:pPr>
              <w:pStyle w:val="125"/>
              <w:ind w:firstLine="0" w:firstLineChars="0"/>
              <w:rPr>
                <w:sz w:val="18"/>
                <w:szCs w:val="18"/>
              </w:rPr>
            </w:pPr>
            <w:r>
              <w:rPr>
                <w:sz w:val="18"/>
                <w:szCs w:val="18"/>
              </w:rPr>
              <w:t>18</w:t>
            </w:r>
          </w:p>
        </w:tc>
        <w:tc>
          <w:tcPr>
            <w:tcW w:w="0" w:type="auto"/>
            <w:vAlign w:val="center"/>
          </w:tcPr>
          <w:p w14:paraId="0B2D6386">
            <w:pPr>
              <w:pStyle w:val="125"/>
              <w:ind w:firstLine="0" w:firstLineChars="0"/>
              <w:rPr>
                <w:sz w:val="18"/>
                <w:szCs w:val="18"/>
              </w:rPr>
            </w:pPr>
          </w:p>
        </w:tc>
        <w:tc>
          <w:tcPr>
            <w:tcW w:w="0" w:type="auto"/>
            <w:vAlign w:val="center"/>
          </w:tcPr>
          <w:p w14:paraId="674FC2D3">
            <w:pPr>
              <w:pStyle w:val="125"/>
              <w:ind w:firstLine="0" w:firstLineChars="0"/>
              <w:rPr>
                <w:sz w:val="18"/>
                <w:szCs w:val="18"/>
              </w:rPr>
            </w:pPr>
          </w:p>
        </w:tc>
        <w:tc>
          <w:tcPr>
            <w:tcW w:w="0" w:type="auto"/>
            <w:vAlign w:val="center"/>
          </w:tcPr>
          <w:p w14:paraId="79F20CDD">
            <w:pPr>
              <w:pStyle w:val="125"/>
              <w:ind w:firstLine="0" w:firstLineChars="0"/>
              <w:rPr>
                <w:sz w:val="18"/>
                <w:szCs w:val="18"/>
              </w:rPr>
            </w:pPr>
            <w:r>
              <w:rPr>
                <w:rFonts w:hint="eastAsia"/>
                <w:color w:val="000000"/>
                <w:sz w:val="18"/>
                <w:szCs w:val="18"/>
              </w:rPr>
              <w:t>0.209</w:t>
            </w:r>
          </w:p>
        </w:tc>
        <w:tc>
          <w:tcPr>
            <w:tcW w:w="0" w:type="auto"/>
            <w:vAlign w:val="center"/>
          </w:tcPr>
          <w:p w14:paraId="55E46FEC">
            <w:pPr>
              <w:pStyle w:val="125"/>
              <w:ind w:firstLine="0" w:firstLineChars="0"/>
              <w:rPr>
                <w:sz w:val="18"/>
                <w:szCs w:val="18"/>
              </w:rPr>
            </w:pPr>
          </w:p>
        </w:tc>
        <w:tc>
          <w:tcPr>
            <w:tcW w:w="0" w:type="auto"/>
            <w:vAlign w:val="center"/>
          </w:tcPr>
          <w:p w14:paraId="37A69178">
            <w:pPr>
              <w:pStyle w:val="125"/>
              <w:ind w:firstLine="0" w:firstLineChars="0"/>
              <w:rPr>
                <w:sz w:val="18"/>
                <w:szCs w:val="18"/>
              </w:rPr>
            </w:pPr>
          </w:p>
        </w:tc>
        <w:tc>
          <w:tcPr>
            <w:tcW w:w="0" w:type="auto"/>
            <w:vAlign w:val="center"/>
          </w:tcPr>
          <w:p w14:paraId="0C276F2E">
            <w:pPr>
              <w:pStyle w:val="125"/>
              <w:ind w:firstLine="0" w:firstLineChars="0"/>
              <w:rPr>
                <w:sz w:val="18"/>
                <w:szCs w:val="18"/>
              </w:rPr>
            </w:pPr>
          </w:p>
        </w:tc>
        <w:tc>
          <w:tcPr>
            <w:tcW w:w="0" w:type="auto"/>
            <w:vAlign w:val="center"/>
          </w:tcPr>
          <w:p w14:paraId="5FE0EF3B">
            <w:pPr>
              <w:pStyle w:val="125"/>
              <w:ind w:firstLine="0" w:firstLineChars="0"/>
              <w:rPr>
                <w:sz w:val="18"/>
                <w:szCs w:val="18"/>
              </w:rPr>
            </w:pPr>
          </w:p>
        </w:tc>
      </w:tr>
      <w:tr w14:paraId="7DDE3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56B9FBA8">
            <w:pPr>
              <w:pStyle w:val="133"/>
              <w:rPr>
                <w:sz w:val="18"/>
                <w:szCs w:val="18"/>
              </w:rPr>
            </w:pPr>
            <w:r>
              <w:rPr>
                <w:rFonts w:hint="eastAsia"/>
                <w:sz w:val="18"/>
                <w:szCs w:val="18"/>
              </w:rPr>
              <w:t>13</w:t>
            </w:r>
          </w:p>
        </w:tc>
        <w:tc>
          <w:tcPr>
            <w:tcW w:w="744" w:type="pct"/>
            <w:vAlign w:val="center"/>
          </w:tcPr>
          <w:p w14:paraId="37F83E7D">
            <w:pPr>
              <w:pStyle w:val="133"/>
              <w:rPr>
                <w:sz w:val="18"/>
                <w:szCs w:val="18"/>
              </w:rPr>
            </w:pPr>
            <w:r>
              <w:rPr>
                <w:rFonts w:hint="eastAsia"/>
                <w:sz w:val="18"/>
                <w:szCs w:val="18"/>
              </w:rPr>
              <w:t>在建湘晟原料棚</w:t>
            </w:r>
          </w:p>
        </w:tc>
        <w:tc>
          <w:tcPr>
            <w:tcW w:w="272" w:type="pct"/>
            <w:vAlign w:val="center"/>
          </w:tcPr>
          <w:p w14:paraId="49820ED0">
            <w:pPr>
              <w:pStyle w:val="133"/>
              <w:rPr>
                <w:sz w:val="18"/>
                <w:szCs w:val="18"/>
              </w:rPr>
            </w:pPr>
            <w:r>
              <w:rPr>
                <w:rFonts w:hint="eastAsia"/>
                <w:sz w:val="18"/>
                <w:szCs w:val="18"/>
              </w:rPr>
              <w:t>1327</w:t>
            </w:r>
          </w:p>
        </w:tc>
        <w:tc>
          <w:tcPr>
            <w:tcW w:w="270" w:type="pct"/>
            <w:vAlign w:val="center"/>
          </w:tcPr>
          <w:p w14:paraId="1D7F0D64">
            <w:pPr>
              <w:pStyle w:val="133"/>
              <w:rPr>
                <w:sz w:val="18"/>
                <w:szCs w:val="18"/>
              </w:rPr>
            </w:pPr>
            <w:r>
              <w:rPr>
                <w:rFonts w:hint="eastAsia"/>
                <w:sz w:val="18"/>
                <w:szCs w:val="18"/>
              </w:rPr>
              <w:t>-3189</w:t>
            </w:r>
          </w:p>
        </w:tc>
        <w:tc>
          <w:tcPr>
            <w:tcW w:w="272" w:type="pct"/>
            <w:vAlign w:val="center"/>
          </w:tcPr>
          <w:p w14:paraId="2E318846">
            <w:pPr>
              <w:pStyle w:val="133"/>
              <w:rPr>
                <w:sz w:val="18"/>
                <w:szCs w:val="18"/>
              </w:rPr>
            </w:pPr>
            <w:r>
              <w:rPr>
                <w:rFonts w:hint="eastAsia"/>
                <w:sz w:val="18"/>
                <w:szCs w:val="18"/>
              </w:rPr>
              <w:t>72</w:t>
            </w:r>
          </w:p>
        </w:tc>
        <w:tc>
          <w:tcPr>
            <w:tcW w:w="333" w:type="pct"/>
            <w:vAlign w:val="center"/>
          </w:tcPr>
          <w:p w14:paraId="3D45C231">
            <w:pPr>
              <w:pStyle w:val="133"/>
              <w:rPr>
                <w:sz w:val="18"/>
                <w:szCs w:val="18"/>
              </w:rPr>
            </w:pPr>
            <w:r>
              <w:rPr>
                <w:rFonts w:hint="eastAsia"/>
                <w:sz w:val="18"/>
                <w:szCs w:val="18"/>
              </w:rPr>
              <w:t>152</w:t>
            </w:r>
          </w:p>
        </w:tc>
        <w:tc>
          <w:tcPr>
            <w:tcW w:w="318" w:type="pct"/>
            <w:vAlign w:val="center"/>
          </w:tcPr>
          <w:p w14:paraId="3837A6B2">
            <w:pPr>
              <w:pStyle w:val="133"/>
              <w:rPr>
                <w:sz w:val="18"/>
                <w:szCs w:val="18"/>
              </w:rPr>
            </w:pPr>
            <w:r>
              <w:rPr>
                <w:rFonts w:hint="eastAsia"/>
                <w:sz w:val="18"/>
                <w:szCs w:val="18"/>
              </w:rPr>
              <w:t>0</w:t>
            </w:r>
          </w:p>
        </w:tc>
        <w:tc>
          <w:tcPr>
            <w:tcW w:w="293" w:type="pct"/>
            <w:vAlign w:val="center"/>
          </w:tcPr>
          <w:p w14:paraId="4A02CCC9">
            <w:pPr>
              <w:pStyle w:val="133"/>
              <w:rPr>
                <w:sz w:val="18"/>
                <w:szCs w:val="18"/>
              </w:rPr>
            </w:pPr>
            <w:r>
              <w:rPr>
                <w:rFonts w:hint="eastAsia"/>
                <w:sz w:val="18"/>
                <w:szCs w:val="18"/>
              </w:rPr>
              <w:t>6</w:t>
            </w:r>
          </w:p>
        </w:tc>
        <w:tc>
          <w:tcPr>
            <w:tcW w:w="0" w:type="auto"/>
            <w:vAlign w:val="center"/>
          </w:tcPr>
          <w:p w14:paraId="687717DB">
            <w:pPr>
              <w:pStyle w:val="133"/>
              <w:rPr>
                <w:sz w:val="18"/>
                <w:szCs w:val="18"/>
              </w:rPr>
            </w:pPr>
          </w:p>
        </w:tc>
        <w:tc>
          <w:tcPr>
            <w:tcW w:w="0" w:type="auto"/>
            <w:vAlign w:val="center"/>
          </w:tcPr>
          <w:p w14:paraId="3BDB086C">
            <w:pPr>
              <w:pStyle w:val="133"/>
              <w:rPr>
                <w:sz w:val="18"/>
                <w:szCs w:val="18"/>
              </w:rPr>
            </w:pPr>
          </w:p>
        </w:tc>
        <w:tc>
          <w:tcPr>
            <w:tcW w:w="0" w:type="auto"/>
            <w:vAlign w:val="center"/>
          </w:tcPr>
          <w:p w14:paraId="5CDEE53C">
            <w:pPr>
              <w:pStyle w:val="133"/>
              <w:rPr>
                <w:sz w:val="18"/>
                <w:szCs w:val="18"/>
              </w:rPr>
            </w:pPr>
            <w:r>
              <w:rPr>
                <w:rFonts w:hint="eastAsia"/>
                <w:sz w:val="18"/>
                <w:szCs w:val="18"/>
              </w:rPr>
              <w:t>1.507</w:t>
            </w:r>
          </w:p>
        </w:tc>
        <w:tc>
          <w:tcPr>
            <w:tcW w:w="0" w:type="auto"/>
            <w:vAlign w:val="center"/>
          </w:tcPr>
          <w:p w14:paraId="6E0D0C01">
            <w:pPr>
              <w:pStyle w:val="133"/>
              <w:rPr>
                <w:sz w:val="18"/>
                <w:szCs w:val="18"/>
              </w:rPr>
            </w:pPr>
          </w:p>
        </w:tc>
        <w:tc>
          <w:tcPr>
            <w:tcW w:w="0" w:type="auto"/>
            <w:vAlign w:val="center"/>
          </w:tcPr>
          <w:p w14:paraId="05928112">
            <w:pPr>
              <w:pStyle w:val="133"/>
              <w:rPr>
                <w:sz w:val="18"/>
                <w:szCs w:val="18"/>
              </w:rPr>
            </w:pPr>
          </w:p>
        </w:tc>
        <w:tc>
          <w:tcPr>
            <w:tcW w:w="0" w:type="auto"/>
            <w:vAlign w:val="center"/>
          </w:tcPr>
          <w:p w14:paraId="606E4902">
            <w:pPr>
              <w:pStyle w:val="133"/>
              <w:rPr>
                <w:sz w:val="18"/>
                <w:szCs w:val="18"/>
              </w:rPr>
            </w:pPr>
          </w:p>
        </w:tc>
        <w:tc>
          <w:tcPr>
            <w:tcW w:w="0" w:type="auto"/>
            <w:vAlign w:val="center"/>
          </w:tcPr>
          <w:p w14:paraId="01F3B7C8">
            <w:pPr>
              <w:pStyle w:val="133"/>
              <w:rPr>
                <w:sz w:val="18"/>
                <w:szCs w:val="18"/>
              </w:rPr>
            </w:pPr>
          </w:p>
        </w:tc>
      </w:tr>
      <w:tr w14:paraId="46873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0" w:type="auto"/>
            <w:vAlign w:val="center"/>
          </w:tcPr>
          <w:p w14:paraId="50D4BAE7">
            <w:pPr>
              <w:pStyle w:val="133"/>
              <w:rPr>
                <w:sz w:val="18"/>
                <w:szCs w:val="18"/>
              </w:rPr>
            </w:pPr>
            <w:r>
              <w:rPr>
                <w:rFonts w:hint="eastAsia"/>
                <w:sz w:val="18"/>
                <w:szCs w:val="18"/>
              </w:rPr>
              <w:t>14</w:t>
            </w:r>
          </w:p>
        </w:tc>
        <w:tc>
          <w:tcPr>
            <w:tcW w:w="744" w:type="pct"/>
            <w:vAlign w:val="center"/>
          </w:tcPr>
          <w:p w14:paraId="0C130591">
            <w:pPr>
              <w:pStyle w:val="133"/>
              <w:rPr>
                <w:sz w:val="18"/>
                <w:szCs w:val="18"/>
              </w:rPr>
            </w:pPr>
            <w:r>
              <w:rPr>
                <w:rFonts w:hint="eastAsia"/>
                <w:sz w:val="18"/>
                <w:szCs w:val="18"/>
              </w:rPr>
              <w:t>在建湘晟成品库</w:t>
            </w:r>
          </w:p>
        </w:tc>
        <w:tc>
          <w:tcPr>
            <w:tcW w:w="272" w:type="pct"/>
            <w:vAlign w:val="center"/>
          </w:tcPr>
          <w:p w14:paraId="50C93064">
            <w:pPr>
              <w:pStyle w:val="133"/>
              <w:rPr>
                <w:sz w:val="18"/>
                <w:szCs w:val="18"/>
              </w:rPr>
            </w:pPr>
            <w:r>
              <w:rPr>
                <w:rFonts w:cs="Times New Roman"/>
                <w:sz w:val="18"/>
                <w:szCs w:val="18"/>
              </w:rPr>
              <w:t>589</w:t>
            </w:r>
          </w:p>
        </w:tc>
        <w:tc>
          <w:tcPr>
            <w:tcW w:w="270" w:type="pct"/>
            <w:vAlign w:val="center"/>
          </w:tcPr>
          <w:p w14:paraId="51524651">
            <w:pPr>
              <w:pStyle w:val="133"/>
              <w:rPr>
                <w:sz w:val="18"/>
                <w:szCs w:val="18"/>
              </w:rPr>
            </w:pPr>
            <w:r>
              <w:rPr>
                <w:rFonts w:cs="Times New Roman"/>
                <w:sz w:val="18"/>
                <w:szCs w:val="18"/>
              </w:rPr>
              <w:t>-2634</w:t>
            </w:r>
          </w:p>
        </w:tc>
        <w:tc>
          <w:tcPr>
            <w:tcW w:w="272" w:type="pct"/>
            <w:vAlign w:val="center"/>
          </w:tcPr>
          <w:p w14:paraId="5C607108">
            <w:pPr>
              <w:pStyle w:val="133"/>
              <w:rPr>
                <w:sz w:val="18"/>
                <w:szCs w:val="18"/>
              </w:rPr>
            </w:pPr>
            <w:r>
              <w:rPr>
                <w:rFonts w:hint="eastAsia"/>
                <w:sz w:val="18"/>
                <w:szCs w:val="18"/>
              </w:rPr>
              <w:t>33</w:t>
            </w:r>
          </w:p>
        </w:tc>
        <w:tc>
          <w:tcPr>
            <w:tcW w:w="333" w:type="pct"/>
            <w:vAlign w:val="center"/>
          </w:tcPr>
          <w:p w14:paraId="7ADD376A">
            <w:pPr>
              <w:pStyle w:val="133"/>
              <w:rPr>
                <w:sz w:val="18"/>
                <w:szCs w:val="18"/>
              </w:rPr>
            </w:pPr>
            <w:r>
              <w:rPr>
                <w:rFonts w:hint="eastAsia"/>
                <w:sz w:val="18"/>
                <w:szCs w:val="18"/>
              </w:rPr>
              <w:t>285</w:t>
            </w:r>
          </w:p>
        </w:tc>
        <w:tc>
          <w:tcPr>
            <w:tcW w:w="318" w:type="pct"/>
            <w:vAlign w:val="center"/>
          </w:tcPr>
          <w:p w14:paraId="13A3D2D9">
            <w:pPr>
              <w:pStyle w:val="133"/>
              <w:rPr>
                <w:sz w:val="18"/>
                <w:szCs w:val="18"/>
              </w:rPr>
            </w:pPr>
            <w:r>
              <w:rPr>
                <w:rFonts w:hint="eastAsia"/>
                <w:sz w:val="18"/>
                <w:szCs w:val="18"/>
              </w:rPr>
              <w:t>0</w:t>
            </w:r>
          </w:p>
        </w:tc>
        <w:tc>
          <w:tcPr>
            <w:tcW w:w="293" w:type="pct"/>
            <w:vAlign w:val="center"/>
          </w:tcPr>
          <w:p w14:paraId="0EDC93B2">
            <w:pPr>
              <w:pStyle w:val="133"/>
              <w:rPr>
                <w:sz w:val="18"/>
                <w:szCs w:val="18"/>
              </w:rPr>
            </w:pPr>
            <w:r>
              <w:rPr>
                <w:rFonts w:hint="eastAsia"/>
                <w:sz w:val="18"/>
                <w:szCs w:val="18"/>
              </w:rPr>
              <w:t>5.5</w:t>
            </w:r>
          </w:p>
        </w:tc>
        <w:tc>
          <w:tcPr>
            <w:tcW w:w="0" w:type="auto"/>
            <w:vAlign w:val="center"/>
          </w:tcPr>
          <w:p w14:paraId="3F1AC45E">
            <w:pPr>
              <w:pStyle w:val="133"/>
              <w:rPr>
                <w:sz w:val="18"/>
                <w:szCs w:val="18"/>
              </w:rPr>
            </w:pPr>
          </w:p>
        </w:tc>
        <w:tc>
          <w:tcPr>
            <w:tcW w:w="0" w:type="auto"/>
            <w:vAlign w:val="center"/>
          </w:tcPr>
          <w:p w14:paraId="00EC268A">
            <w:pPr>
              <w:pStyle w:val="133"/>
              <w:rPr>
                <w:sz w:val="18"/>
                <w:szCs w:val="18"/>
              </w:rPr>
            </w:pPr>
          </w:p>
        </w:tc>
        <w:tc>
          <w:tcPr>
            <w:tcW w:w="0" w:type="auto"/>
            <w:vAlign w:val="center"/>
          </w:tcPr>
          <w:p w14:paraId="7E8F2E2E">
            <w:pPr>
              <w:pStyle w:val="133"/>
              <w:rPr>
                <w:sz w:val="18"/>
                <w:szCs w:val="18"/>
              </w:rPr>
            </w:pPr>
            <w:r>
              <w:rPr>
                <w:rFonts w:hint="eastAsia"/>
                <w:sz w:val="18"/>
                <w:szCs w:val="18"/>
              </w:rPr>
              <w:t>1.516</w:t>
            </w:r>
          </w:p>
        </w:tc>
        <w:tc>
          <w:tcPr>
            <w:tcW w:w="0" w:type="auto"/>
            <w:vAlign w:val="center"/>
          </w:tcPr>
          <w:p w14:paraId="55EBA7CD">
            <w:pPr>
              <w:pStyle w:val="133"/>
              <w:rPr>
                <w:sz w:val="18"/>
                <w:szCs w:val="18"/>
              </w:rPr>
            </w:pPr>
          </w:p>
        </w:tc>
        <w:tc>
          <w:tcPr>
            <w:tcW w:w="0" w:type="auto"/>
            <w:vAlign w:val="center"/>
          </w:tcPr>
          <w:p w14:paraId="4C914A0D">
            <w:pPr>
              <w:pStyle w:val="133"/>
              <w:rPr>
                <w:sz w:val="18"/>
                <w:szCs w:val="18"/>
              </w:rPr>
            </w:pPr>
          </w:p>
        </w:tc>
        <w:tc>
          <w:tcPr>
            <w:tcW w:w="0" w:type="auto"/>
            <w:vAlign w:val="center"/>
          </w:tcPr>
          <w:p w14:paraId="7CD2A1BF">
            <w:pPr>
              <w:pStyle w:val="133"/>
              <w:rPr>
                <w:sz w:val="18"/>
                <w:szCs w:val="18"/>
              </w:rPr>
            </w:pPr>
          </w:p>
        </w:tc>
        <w:tc>
          <w:tcPr>
            <w:tcW w:w="0" w:type="auto"/>
            <w:vAlign w:val="center"/>
          </w:tcPr>
          <w:p w14:paraId="3794121A">
            <w:pPr>
              <w:pStyle w:val="133"/>
              <w:rPr>
                <w:sz w:val="18"/>
                <w:szCs w:val="18"/>
              </w:rPr>
            </w:pPr>
          </w:p>
        </w:tc>
      </w:tr>
      <w:tr w14:paraId="3FC6D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0" w:type="auto"/>
            <w:vAlign w:val="center"/>
          </w:tcPr>
          <w:p w14:paraId="4B64719C">
            <w:pPr>
              <w:pStyle w:val="133"/>
              <w:rPr>
                <w:sz w:val="18"/>
                <w:szCs w:val="18"/>
              </w:rPr>
            </w:pPr>
            <w:r>
              <w:rPr>
                <w:rFonts w:hint="eastAsia"/>
                <w:sz w:val="18"/>
                <w:szCs w:val="18"/>
              </w:rPr>
              <w:t>15</w:t>
            </w:r>
          </w:p>
        </w:tc>
        <w:tc>
          <w:tcPr>
            <w:tcW w:w="744" w:type="pct"/>
            <w:vAlign w:val="center"/>
          </w:tcPr>
          <w:p w14:paraId="6767500D">
            <w:pPr>
              <w:pStyle w:val="133"/>
              <w:rPr>
                <w:sz w:val="18"/>
                <w:szCs w:val="18"/>
              </w:rPr>
            </w:pPr>
            <w:r>
              <w:rPr>
                <w:rFonts w:hint="eastAsia"/>
                <w:sz w:val="18"/>
                <w:szCs w:val="18"/>
              </w:rPr>
              <w:t>在建湘晟钛渣熔炼车间</w:t>
            </w:r>
          </w:p>
        </w:tc>
        <w:tc>
          <w:tcPr>
            <w:tcW w:w="272" w:type="pct"/>
            <w:vAlign w:val="center"/>
          </w:tcPr>
          <w:p w14:paraId="0176EF86">
            <w:pPr>
              <w:pStyle w:val="133"/>
              <w:rPr>
                <w:sz w:val="18"/>
                <w:szCs w:val="18"/>
              </w:rPr>
            </w:pPr>
            <w:r>
              <w:rPr>
                <w:rFonts w:hint="eastAsia"/>
                <w:sz w:val="18"/>
                <w:szCs w:val="18"/>
              </w:rPr>
              <w:t>917</w:t>
            </w:r>
          </w:p>
        </w:tc>
        <w:tc>
          <w:tcPr>
            <w:tcW w:w="270" w:type="pct"/>
            <w:vAlign w:val="center"/>
          </w:tcPr>
          <w:p w14:paraId="4ACF9144">
            <w:pPr>
              <w:pStyle w:val="133"/>
              <w:rPr>
                <w:sz w:val="18"/>
                <w:szCs w:val="18"/>
              </w:rPr>
            </w:pPr>
            <w:r>
              <w:rPr>
                <w:rFonts w:hint="eastAsia"/>
                <w:sz w:val="18"/>
                <w:szCs w:val="18"/>
              </w:rPr>
              <w:t>-2856</w:t>
            </w:r>
          </w:p>
        </w:tc>
        <w:tc>
          <w:tcPr>
            <w:tcW w:w="272" w:type="pct"/>
            <w:vAlign w:val="center"/>
          </w:tcPr>
          <w:p w14:paraId="1804B047">
            <w:pPr>
              <w:pStyle w:val="133"/>
              <w:rPr>
                <w:sz w:val="18"/>
                <w:szCs w:val="18"/>
              </w:rPr>
            </w:pPr>
            <w:r>
              <w:rPr>
                <w:rFonts w:hint="eastAsia"/>
                <w:sz w:val="18"/>
                <w:szCs w:val="18"/>
              </w:rPr>
              <w:t>138.7</w:t>
            </w:r>
          </w:p>
        </w:tc>
        <w:tc>
          <w:tcPr>
            <w:tcW w:w="333" w:type="pct"/>
            <w:vAlign w:val="center"/>
          </w:tcPr>
          <w:p w14:paraId="06EB592E">
            <w:pPr>
              <w:pStyle w:val="133"/>
              <w:rPr>
                <w:sz w:val="18"/>
                <w:szCs w:val="18"/>
              </w:rPr>
            </w:pPr>
            <w:r>
              <w:rPr>
                <w:rFonts w:hint="eastAsia"/>
                <w:sz w:val="18"/>
                <w:szCs w:val="18"/>
              </w:rPr>
              <w:t>24</w:t>
            </w:r>
          </w:p>
        </w:tc>
        <w:tc>
          <w:tcPr>
            <w:tcW w:w="318" w:type="pct"/>
            <w:vAlign w:val="center"/>
          </w:tcPr>
          <w:p w14:paraId="0DC8F4D5">
            <w:pPr>
              <w:pStyle w:val="133"/>
              <w:rPr>
                <w:sz w:val="18"/>
                <w:szCs w:val="18"/>
              </w:rPr>
            </w:pPr>
            <w:r>
              <w:rPr>
                <w:rFonts w:hint="eastAsia"/>
                <w:sz w:val="18"/>
                <w:szCs w:val="18"/>
              </w:rPr>
              <w:t>0</w:t>
            </w:r>
          </w:p>
        </w:tc>
        <w:tc>
          <w:tcPr>
            <w:tcW w:w="293" w:type="pct"/>
            <w:vAlign w:val="center"/>
          </w:tcPr>
          <w:p w14:paraId="71654EEA">
            <w:pPr>
              <w:pStyle w:val="133"/>
              <w:rPr>
                <w:sz w:val="18"/>
                <w:szCs w:val="18"/>
              </w:rPr>
            </w:pPr>
            <w:r>
              <w:rPr>
                <w:rFonts w:hint="eastAsia"/>
                <w:sz w:val="18"/>
                <w:szCs w:val="18"/>
              </w:rPr>
              <w:t>12</w:t>
            </w:r>
          </w:p>
        </w:tc>
        <w:tc>
          <w:tcPr>
            <w:tcW w:w="0" w:type="auto"/>
            <w:vAlign w:val="center"/>
          </w:tcPr>
          <w:p w14:paraId="56916868">
            <w:pPr>
              <w:pStyle w:val="133"/>
              <w:rPr>
                <w:sz w:val="18"/>
                <w:szCs w:val="18"/>
              </w:rPr>
            </w:pPr>
            <w:r>
              <w:rPr>
                <w:rFonts w:hint="eastAsia"/>
                <w:sz w:val="18"/>
                <w:szCs w:val="18"/>
              </w:rPr>
              <w:t>0.002</w:t>
            </w:r>
          </w:p>
        </w:tc>
        <w:tc>
          <w:tcPr>
            <w:tcW w:w="0" w:type="auto"/>
            <w:vAlign w:val="center"/>
          </w:tcPr>
          <w:p w14:paraId="235F524C">
            <w:pPr>
              <w:pStyle w:val="133"/>
              <w:rPr>
                <w:sz w:val="18"/>
                <w:szCs w:val="18"/>
              </w:rPr>
            </w:pPr>
            <w:r>
              <w:rPr>
                <w:rFonts w:hint="eastAsia"/>
                <w:sz w:val="18"/>
                <w:szCs w:val="18"/>
              </w:rPr>
              <w:t>0.0477</w:t>
            </w:r>
          </w:p>
        </w:tc>
        <w:tc>
          <w:tcPr>
            <w:tcW w:w="0" w:type="auto"/>
            <w:vAlign w:val="center"/>
          </w:tcPr>
          <w:p w14:paraId="1AE4F265">
            <w:pPr>
              <w:pStyle w:val="133"/>
              <w:rPr>
                <w:sz w:val="18"/>
                <w:szCs w:val="18"/>
              </w:rPr>
            </w:pPr>
            <w:r>
              <w:rPr>
                <w:rFonts w:hint="eastAsia"/>
                <w:sz w:val="18"/>
                <w:szCs w:val="18"/>
              </w:rPr>
              <w:t>0.016</w:t>
            </w:r>
          </w:p>
        </w:tc>
        <w:tc>
          <w:tcPr>
            <w:tcW w:w="0" w:type="auto"/>
            <w:vAlign w:val="center"/>
          </w:tcPr>
          <w:p w14:paraId="5C33DCCA">
            <w:pPr>
              <w:pStyle w:val="133"/>
              <w:rPr>
                <w:sz w:val="18"/>
                <w:szCs w:val="18"/>
              </w:rPr>
            </w:pPr>
          </w:p>
        </w:tc>
        <w:tc>
          <w:tcPr>
            <w:tcW w:w="0" w:type="auto"/>
            <w:vAlign w:val="center"/>
          </w:tcPr>
          <w:p w14:paraId="4CAA11E4">
            <w:pPr>
              <w:pStyle w:val="133"/>
              <w:rPr>
                <w:sz w:val="18"/>
                <w:szCs w:val="18"/>
              </w:rPr>
            </w:pPr>
          </w:p>
        </w:tc>
        <w:tc>
          <w:tcPr>
            <w:tcW w:w="0" w:type="auto"/>
            <w:vAlign w:val="center"/>
          </w:tcPr>
          <w:p w14:paraId="337D2FDF">
            <w:pPr>
              <w:pStyle w:val="133"/>
              <w:rPr>
                <w:sz w:val="18"/>
                <w:szCs w:val="18"/>
              </w:rPr>
            </w:pPr>
          </w:p>
        </w:tc>
        <w:tc>
          <w:tcPr>
            <w:tcW w:w="0" w:type="auto"/>
            <w:vAlign w:val="center"/>
          </w:tcPr>
          <w:p w14:paraId="64A241E5">
            <w:pPr>
              <w:pStyle w:val="133"/>
              <w:rPr>
                <w:sz w:val="18"/>
                <w:szCs w:val="18"/>
              </w:rPr>
            </w:pPr>
          </w:p>
        </w:tc>
      </w:tr>
      <w:tr w14:paraId="56A8D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jc w:val="center"/>
        </w:trPr>
        <w:tc>
          <w:tcPr>
            <w:tcW w:w="0" w:type="auto"/>
            <w:vAlign w:val="center"/>
          </w:tcPr>
          <w:p w14:paraId="4B364713">
            <w:pPr>
              <w:pStyle w:val="133"/>
              <w:rPr>
                <w:sz w:val="18"/>
                <w:szCs w:val="18"/>
              </w:rPr>
            </w:pPr>
            <w:r>
              <w:rPr>
                <w:rFonts w:hint="eastAsia"/>
                <w:sz w:val="18"/>
                <w:szCs w:val="18"/>
              </w:rPr>
              <w:t>16</w:t>
            </w:r>
          </w:p>
        </w:tc>
        <w:tc>
          <w:tcPr>
            <w:tcW w:w="744" w:type="pct"/>
            <w:vAlign w:val="center"/>
          </w:tcPr>
          <w:p w14:paraId="7C517772">
            <w:pPr>
              <w:pStyle w:val="133"/>
              <w:rPr>
                <w:sz w:val="18"/>
                <w:szCs w:val="18"/>
              </w:rPr>
            </w:pPr>
            <w:r>
              <w:rPr>
                <w:rFonts w:hint="eastAsia"/>
                <w:sz w:val="18"/>
                <w:szCs w:val="18"/>
              </w:rPr>
              <w:t>在建湘晟2#钛渣冷却及初破车间</w:t>
            </w:r>
          </w:p>
        </w:tc>
        <w:tc>
          <w:tcPr>
            <w:tcW w:w="272" w:type="pct"/>
            <w:vAlign w:val="center"/>
          </w:tcPr>
          <w:p w14:paraId="5C603E8F">
            <w:pPr>
              <w:pStyle w:val="133"/>
              <w:rPr>
                <w:sz w:val="18"/>
                <w:szCs w:val="18"/>
              </w:rPr>
            </w:pPr>
            <w:r>
              <w:rPr>
                <w:rFonts w:hint="eastAsia"/>
                <w:sz w:val="18"/>
                <w:szCs w:val="18"/>
              </w:rPr>
              <w:t>1081</w:t>
            </w:r>
          </w:p>
        </w:tc>
        <w:tc>
          <w:tcPr>
            <w:tcW w:w="270" w:type="pct"/>
            <w:vAlign w:val="center"/>
          </w:tcPr>
          <w:p w14:paraId="734CCE63">
            <w:pPr>
              <w:pStyle w:val="133"/>
              <w:rPr>
                <w:sz w:val="18"/>
                <w:szCs w:val="18"/>
              </w:rPr>
            </w:pPr>
            <w:r>
              <w:rPr>
                <w:rFonts w:hint="eastAsia"/>
                <w:sz w:val="18"/>
                <w:szCs w:val="18"/>
              </w:rPr>
              <w:t>-2745</w:t>
            </w:r>
          </w:p>
        </w:tc>
        <w:tc>
          <w:tcPr>
            <w:tcW w:w="272" w:type="pct"/>
            <w:vAlign w:val="center"/>
          </w:tcPr>
          <w:p w14:paraId="64968F05">
            <w:pPr>
              <w:pStyle w:val="133"/>
              <w:rPr>
                <w:sz w:val="18"/>
                <w:szCs w:val="18"/>
              </w:rPr>
            </w:pPr>
            <w:r>
              <w:rPr>
                <w:rFonts w:hint="eastAsia"/>
                <w:sz w:val="18"/>
                <w:szCs w:val="18"/>
              </w:rPr>
              <w:t>78</w:t>
            </w:r>
          </w:p>
        </w:tc>
        <w:tc>
          <w:tcPr>
            <w:tcW w:w="333" w:type="pct"/>
            <w:vAlign w:val="center"/>
          </w:tcPr>
          <w:p w14:paraId="7EF991BF">
            <w:pPr>
              <w:pStyle w:val="133"/>
              <w:rPr>
                <w:sz w:val="18"/>
                <w:szCs w:val="18"/>
              </w:rPr>
            </w:pPr>
            <w:r>
              <w:rPr>
                <w:rFonts w:hint="eastAsia"/>
                <w:sz w:val="18"/>
                <w:szCs w:val="18"/>
              </w:rPr>
              <w:t>30</w:t>
            </w:r>
          </w:p>
        </w:tc>
        <w:tc>
          <w:tcPr>
            <w:tcW w:w="318" w:type="pct"/>
            <w:vAlign w:val="center"/>
          </w:tcPr>
          <w:p w14:paraId="475951E9">
            <w:pPr>
              <w:pStyle w:val="133"/>
              <w:rPr>
                <w:sz w:val="18"/>
                <w:szCs w:val="18"/>
              </w:rPr>
            </w:pPr>
            <w:r>
              <w:rPr>
                <w:rFonts w:hint="eastAsia"/>
                <w:sz w:val="18"/>
                <w:szCs w:val="18"/>
              </w:rPr>
              <w:t>0</w:t>
            </w:r>
          </w:p>
        </w:tc>
        <w:tc>
          <w:tcPr>
            <w:tcW w:w="293" w:type="pct"/>
            <w:vAlign w:val="center"/>
          </w:tcPr>
          <w:p w14:paraId="48A8257F">
            <w:pPr>
              <w:pStyle w:val="133"/>
              <w:rPr>
                <w:sz w:val="18"/>
                <w:szCs w:val="18"/>
              </w:rPr>
            </w:pPr>
            <w:r>
              <w:rPr>
                <w:rFonts w:hint="eastAsia"/>
                <w:sz w:val="18"/>
                <w:szCs w:val="18"/>
              </w:rPr>
              <w:t>11</w:t>
            </w:r>
          </w:p>
        </w:tc>
        <w:tc>
          <w:tcPr>
            <w:tcW w:w="0" w:type="auto"/>
            <w:vAlign w:val="center"/>
          </w:tcPr>
          <w:p w14:paraId="75B34868">
            <w:pPr>
              <w:pStyle w:val="133"/>
              <w:rPr>
                <w:sz w:val="18"/>
                <w:szCs w:val="18"/>
              </w:rPr>
            </w:pPr>
          </w:p>
        </w:tc>
        <w:tc>
          <w:tcPr>
            <w:tcW w:w="0" w:type="auto"/>
            <w:vAlign w:val="center"/>
          </w:tcPr>
          <w:p w14:paraId="79EDC4B9">
            <w:pPr>
              <w:pStyle w:val="133"/>
              <w:rPr>
                <w:sz w:val="18"/>
                <w:szCs w:val="18"/>
              </w:rPr>
            </w:pPr>
          </w:p>
        </w:tc>
        <w:tc>
          <w:tcPr>
            <w:tcW w:w="0" w:type="auto"/>
            <w:vAlign w:val="center"/>
          </w:tcPr>
          <w:p w14:paraId="31A0F2A8">
            <w:pPr>
              <w:pStyle w:val="133"/>
              <w:rPr>
                <w:sz w:val="18"/>
                <w:szCs w:val="18"/>
              </w:rPr>
            </w:pPr>
            <w:r>
              <w:rPr>
                <w:rFonts w:hint="eastAsia"/>
                <w:sz w:val="18"/>
                <w:szCs w:val="18"/>
              </w:rPr>
              <w:t>0.017</w:t>
            </w:r>
          </w:p>
        </w:tc>
        <w:tc>
          <w:tcPr>
            <w:tcW w:w="0" w:type="auto"/>
            <w:vAlign w:val="center"/>
          </w:tcPr>
          <w:p w14:paraId="0689DDD8">
            <w:pPr>
              <w:pStyle w:val="133"/>
              <w:rPr>
                <w:sz w:val="18"/>
                <w:szCs w:val="18"/>
              </w:rPr>
            </w:pPr>
          </w:p>
        </w:tc>
        <w:tc>
          <w:tcPr>
            <w:tcW w:w="0" w:type="auto"/>
            <w:vAlign w:val="center"/>
          </w:tcPr>
          <w:p w14:paraId="72104D88">
            <w:pPr>
              <w:pStyle w:val="133"/>
              <w:rPr>
                <w:sz w:val="18"/>
                <w:szCs w:val="18"/>
              </w:rPr>
            </w:pPr>
          </w:p>
        </w:tc>
        <w:tc>
          <w:tcPr>
            <w:tcW w:w="0" w:type="auto"/>
            <w:vAlign w:val="center"/>
          </w:tcPr>
          <w:p w14:paraId="767B3EBB">
            <w:pPr>
              <w:pStyle w:val="133"/>
              <w:rPr>
                <w:sz w:val="18"/>
                <w:szCs w:val="18"/>
              </w:rPr>
            </w:pPr>
          </w:p>
        </w:tc>
        <w:tc>
          <w:tcPr>
            <w:tcW w:w="0" w:type="auto"/>
            <w:vAlign w:val="center"/>
          </w:tcPr>
          <w:p w14:paraId="71229486">
            <w:pPr>
              <w:pStyle w:val="133"/>
              <w:rPr>
                <w:sz w:val="18"/>
                <w:szCs w:val="18"/>
              </w:rPr>
            </w:pPr>
          </w:p>
        </w:tc>
      </w:tr>
    </w:tbl>
    <w:p w14:paraId="0DDAB0C2">
      <w:pPr>
        <w:pStyle w:val="133"/>
        <w:jc w:val="both"/>
        <w:rPr>
          <w:highlight w:val="green"/>
        </w:rPr>
      </w:pPr>
    </w:p>
    <w:p w14:paraId="19BBBFB2">
      <w:pPr>
        <w:pStyle w:val="782"/>
        <w:ind w:firstLine="512"/>
        <w:rPr>
          <w:rFonts w:hint="eastAsia"/>
          <w:spacing w:val="8"/>
        </w:rPr>
        <w:sectPr>
          <w:pgSz w:w="16838" w:h="11906" w:orient="landscape"/>
          <w:pgMar w:top="1800" w:right="1440" w:bottom="1800" w:left="1440" w:header="851" w:footer="850" w:gutter="0"/>
          <w:cols w:space="425" w:num="1"/>
          <w:docGrid w:type="lines" w:linePitch="326" w:charSpace="0"/>
        </w:sectPr>
      </w:pPr>
    </w:p>
    <w:p w14:paraId="52B5D280">
      <w:pPr>
        <w:pStyle w:val="138"/>
        <w:rPr>
          <w:rFonts w:hint="eastAsia"/>
        </w:rPr>
      </w:pPr>
      <w:r>
        <w:rPr>
          <w:rFonts w:hint="eastAsia"/>
        </w:rPr>
        <w:t>评价等级及评价范围确定</w:t>
      </w:r>
    </w:p>
    <w:p w14:paraId="2459533D">
      <w:pPr>
        <w:pStyle w:val="257"/>
        <w:ind w:firstLine="480"/>
        <w:rPr>
          <w:rFonts w:eastAsia="宋体"/>
        </w:rPr>
      </w:pPr>
      <w:r>
        <w:rPr>
          <w:rFonts w:hint="eastAsia" w:eastAsia="宋体"/>
        </w:rPr>
        <w:t>根据估算结果，本项目</w:t>
      </w:r>
      <w:r>
        <w:rPr>
          <w:rFonts w:hint="eastAsia" w:ascii="宋体" w:hAnsi="宋体" w:eastAsia="宋体" w:cs="宋体"/>
        </w:rPr>
        <w:t>硅铁冶炼车间无组织排放的</w:t>
      </w:r>
      <w:r>
        <w:rPr>
          <w:rFonts w:hint="eastAsia"/>
        </w:rPr>
        <w:t>SO</w:t>
      </w:r>
      <w:r>
        <w:rPr>
          <w:rFonts w:hint="eastAsia"/>
          <w:vertAlign w:val="subscript"/>
        </w:rPr>
        <w:t>2</w:t>
      </w:r>
      <w:r>
        <w:rPr>
          <w:rFonts w:hint="eastAsia" w:eastAsia="宋体"/>
        </w:rPr>
        <w:t>占标率最大，最大占标率</w:t>
      </w:r>
      <w:r>
        <w:rPr>
          <w:rFonts w:hint="eastAsia"/>
        </w:rPr>
        <w:t>Pmax</w:t>
      </w:r>
      <w:r>
        <w:rPr>
          <w:rFonts w:hint="eastAsia" w:eastAsia="宋体"/>
        </w:rPr>
        <w:t>为96.78</w:t>
      </w:r>
      <w:r>
        <w:rPr>
          <w:rFonts w:hint="eastAsia"/>
        </w:rPr>
        <w:t>%</w:t>
      </w:r>
      <w:r>
        <w:rPr>
          <w:rFonts w:hint="eastAsia" w:eastAsia="宋体"/>
        </w:rPr>
        <w:t>，因此本项目大气环境影响评价等级为一级。本项目所排放的各污染物中，</w:t>
      </w:r>
      <w:r>
        <w:rPr>
          <w:rFonts w:hint="eastAsia" w:ascii="宋体" w:hAnsi="宋体" w:eastAsia="宋体" w:cs="宋体"/>
        </w:rPr>
        <w:t>焚烧炉烟气中排放的</w:t>
      </w:r>
      <w:r>
        <w:rPr>
          <w:rFonts w:hint="eastAsia"/>
        </w:rPr>
        <w:t>NO</w:t>
      </w:r>
      <w:r>
        <w:rPr>
          <w:rFonts w:hint="eastAsia"/>
          <w:vertAlign w:val="subscript"/>
        </w:rPr>
        <w:t>2</w:t>
      </w:r>
      <w:r>
        <w:rPr>
          <w:rFonts w:hint="eastAsia" w:eastAsia="宋体"/>
        </w:rPr>
        <w:t>占对应的</w:t>
      </w:r>
      <w:r>
        <w:rPr>
          <w:rFonts w:hint="eastAsia"/>
        </w:rPr>
        <w:t>D</w:t>
      </w:r>
      <w:r>
        <w:rPr>
          <w:rFonts w:hint="eastAsia"/>
          <w:vertAlign w:val="subscript"/>
        </w:rPr>
        <w:t>10%</w:t>
      </w:r>
      <w:r>
        <w:rPr>
          <w:rFonts w:hint="eastAsia" w:eastAsia="宋体"/>
        </w:rPr>
        <w:t>最大，为1925</w:t>
      </w:r>
      <w:r>
        <w:rPr>
          <w:rFonts w:hint="eastAsia"/>
        </w:rPr>
        <w:t>m</w:t>
      </w:r>
      <w:r>
        <w:rPr>
          <w:rFonts w:hint="eastAsia" w:eastAsia="宋体"/>
        </w:rPr>
        <w:t>，因此根据《环境影响评价技术导则大气环境》（</w:t>
      </w:r>
      <w:r>
        <w:rPr>
          <w:rFonts w:hint="eastAsia"/>
        </w:rPr>
        <w:t>HJ2.2-2018</w:t>
      </w:r>
      <w:r>
        <w:rPr>
          <w:rFonts w:hint="eastAsia" w:eastAsia="宋体"/>
        </w:rPr>
        <w:t>），即本次大气环境影响评价范围为以厂址为中心，边长为东西5.0</w:t>
      </w:r>
      <w:r>
        <w:rPr>
          <w:rFonts w:hint="eastAsia"/>
        </w:rPr>
        <w:t>km×</w:t>
      </w:r>
      <w:r>
        <w:rPr>
          <w:rFonts w:hint="eastAsia" w:eastAsia="宋体"/>
        </w:rPr>
        <w:t>南北5.0</w:t>
      </w:r>
      <w:r>
        <w:rPr>
          <w:rFonts w:hint="eastAsia"/>
        </w:rPr>
        <w:t>km</w:t>
      </w:r>
      <w:r>
        <w:rPr>
          <w:rFonts w:hint="eastAsia" w:eastAsia="宋体"/>
        </w:rPr>
        <w:t>的矩形区域。</w:t>
      </w:r>
    </w:p>
    <w:p w14:paraId="11DB23BB">
      <w:pPr>
        <w:pStyle w:val="138"/>
        <w:rPr>
          <w:rFonts w:hint="eastAsia"/>
        </w:rPr>
      </w:pPr>
      <w:r>
        <w:t>预测因子</w:t>
      </w:r>
      <w:r>
        <w:rPr>
          <w:rFonts w:hint="eastAsia"/>
        </w:rPr>
        <w:t>、</w:t>
      </w:r>
      <w:r>
        <w:t>模式</w:t>
      </w:r>
      <w:r>
        <w:rPr>
          <w:rFonts w:hint="eastAsia"/>
        </w:rPr>
        <w:t>和相关参数</w:t>
      </w:r>
    </w:p>
    <w:p w14:paraId="1EF664DF">
      <w:pPr>
        <w:pStyle w:val="944"/>
      </w:pPr>
      <w:r>
        <w:rPr>
          <w:rFonts w:hint="eastAsia"/>
        </w:rPr>
        <w:t>预测因子</w:t>
      </w:r>
    </w:p>
    <w:p w14:paraId="04736500">
      <w:pPr>
        <w:pStyle w:val="102"/>
        <w:spacing w:line="360" w:lineRule="auto"/>
        <w:ind w:firstLine="480"/>
        <w:rPr>
          <w:rFonts w:ascii="Times New Roman" w:hAnsi="Times New Roman" w:eastAsia="宋体"/>
        </w:rPr>
      </w:pPr>
      <w:r>
        <w:rPr>
          <w:rFonts w:hint="eastAsia" w:ascii="Times New Roman" w:hAnsi="Times New Roman" w:eastAsia="宋体"/>
        </w:rPr>
        <w:t>本项目SO</w:t>
      </w:r>
      <w:r>
        <w:rPr>
          <w:rFonts w:hint="eastAsia" w:ascii="Times New Roman" w:hAnsi="Times New Roman" w:eastAsia="宋体"/>
          <w:vertAlign w:val="subscript"/>
        </w:rPr>
        <w:t>2</w:t>
      </w:r>
      <w:r>
        <w:rPr>
          <w:rFonts w:hint="eastAsia" w:ascii="Times New Roman" w:hAnsi="Times New Roman" w:eastAsia="宋体"/>
        </w:rPr>
        <w:t>和NO</w:t>
      </w:r>
      <w:r>
        <w:rPr>
          <w:rFonts w:hint="eastAsia" w:ascii="Times New Roman" w:hAnsi="Times New Roman" w:eastAsia="宋体"/>
          <w:vertAlign w:val="subscript"/>
        </w:rPr>
        <w:t>2</w:t>
      </w:r>
      <w:r>
        <w:rPr>
          <w:rFonts w:hint="eastAsia" w:ascii="Times New Roman" w:hAnsi="Times New Roman" w:eastAsia="宋体"/>
        </w:rPr>
        <w:t>年排放量大于500t/a，评价因子增加二次PM</w:t>
      </w:r>
      <w:r>
        <w:rPr>
          <w:rFonts w:hint="eastAsia" w:ascii="Times New Roman" w:hAnsi="Times New Roman" w:eastAsia="宋体"/>
          <w:vertAlign w:val="subscript"/>
        </w:rPr>
        <w:t>2.5</w:t>
      </w:r>
      <w:r>
        <w:rPr>
          <w:rFonts w:hint="eastAsia" w:ascii="Times New Roman" w:hAnsi="Times New Roman" w:eastAsia="宋体"/>
        </w:rPr>
        <w:t>。</w:t>
      </w:r>
    </w:p>
    <w:p w14:paraId="6D8891BB">
      <w:pPr>
        <w:pStyle w:val="102"/>
        <w:spacing w:line="360" w:lineRule="auto"/>
        <w:ind w:firstLine="480"/>
        <w:rPr>
          <w:rFonts w:ascii="Times New Roman" w:hAnsi="Times New Roman" w:eastAsia="宋体"/>
        </w:rPr>
      </w:pPr>
      <w:r>
        <w:rPr>
          <w:rFonts w:hint="eastAsia" w:ascii="Times New Roman" w:hAnsi="Times New Roman" w:eastAsia="宋体"/>
        </w:rPr>
        <w:t>正常工况下的预测因子：SO</w:t>
      </w:r>
      <w:r>
        <w:rPr>
          <w:rFonts w:hint="eastAsia" w:ascii="Times New Roman" w:hAnsi="Times New Roman" w:eastAsia="宋体"/>
          <w:vertAlign w:val="subscript"/>
        </w:rPr>
        <w:t>2</w:t>
      </w:r>
      <w:r>
        <w:rPr>
          <w:rFonts w:hint="eastAsia" w:ascii="Times New Roman" w:hAnsi="Times New Roman" w:eastAsia="宋体"/>
        </w:rPr>
        <w:t>、NO</w:t>
      </w:r>
      <w:r>
        <w:rPr>
          <w:rFonts w:hint="eastAsia" w:ascii="Times New Roman" w:hAnsi="Times New Roman" w:eastAsia="宋体"/>
          <w:vertAlign w:val="subscript"/>
        </w:rPr>
        <w:t>2</w:t>
      </w:r>
      <w:r>
        <w:rPr>
          <w:rFonts w:hint="eastAsia" w:ascii="Times New Roman" w:hAnsi="Times New Roman" w:eastAsia="宋体"/>
        </w:rPr>
        <w:t>、T</w:t>
      </w:r>
      <w:r>
        <w:rPr>
          <w:rFonts w:ascii="Times New Roman" w:hAnsi="Times New Roman" w:eastAsia="宋体"/>
        </w:rPr>
        <w:t>SP</w:t>
      </w:r>
      <w:r>
        <w:rPr>
          <w:rFonts w:hint="eastAsia" w:ascii="Times New Roman" w:hAnsi="Times New Roman" w:eastAsia="宋体"/>
        </w:rPr>
        <w:t>、PM</w:t>
      </w:r>
      <w:r>
        <w:rPr>
          <w:rFonts w:hint="eastAsia" w:ascii="Times New Roman" w:hAnsi="Times New Roman" w:eastAsia="宋体"/>
          <w:vertAlign w:val="subscript"/>
        </w:rPr>
        <w:t>10</w:t>
      </w:r>
      <w:r>
        <w:rPr>
          <w:rFonts w:hint="eastAsia" w:ascii="Times New Roman" w:hAnsi="Times New Roman" w:eastAsia="宋体"/>
        </w:rPr>
        <w:t>、PM</w:t>
      </w:r>
      <w:r>
        <w:rPr>
          <w:rFonts w:hint="eastAsia" w:ascii="Times New Roman" w:hAnsi="Times New Roman" w:eastAsia="宋体"/>
          <w:vertAlign w:val="subscript"/>
        </w:rPr>
        <w:t>2.5</w:t>
      </w:r>
      <w:r>
        <w:rPr>
          <w:rFonts w:hint="eastAsia" w:ascii="Times New Roman" w:hAnsi="Times New Roman" w:eastAsia="宋体"/>
        </w:rPr>
        <w:t>、BaP、二次PM</w:t>
      </w:r>
      <w:r>
        <w:rPr>
          <w:rFonts w:hint="eastAsia" w:ascii="Times New Roman" w:hAnsi="Times New Roman" w:eastAsia="宋体"/>
          <w:vertAlign w:val="subscript"/>
        </w:rPr>
        <w:t>2.5</w:t>
      </w:r>
      <w:r>
        <w:rPr>
          <w:rFonts w:hint="eastAsia" w:ascii="Times New Roman" w:hAnsi="Times New Roman" w:eastAsia="宋体"/>
        </w:rPr>
        <w:t>、</w:t>
      </w:r>
      <w:r>
        <w:rPr>
          <w:rFonts w:ascii="Times New Roman" w:hAnsi="Times New Roman" w:eastAsia="宋体"/>
        </w:rPr>
        <w:t>NH</w:t>
      </w:r>
      <w:r>
        <w:rPr>
          <w:rFonts w:ascii="Times New Roman" w:hAnsi="Times New Roman" w:eastAsia="宋体"/>
          <w:vertAlign w:val="subscript"/>
        </w:rPr>
        <w:t>3</w:t>
      </w:r>
      <w:r>
        <w:rPr>
          <w:rFonts w:hint="eastAsia" w:ascii="Times New Roman" w:hAnsi="Times New Roman" w:eastAsia="宋体"/>
        </w:rPr>
        <w:t>、</w:t>
      </w:r>
      <w:r>
        <w:rPr>
          <w:rFonts w:ascii="Times New Roman" w:hAnsi="Times New Roman" w:eastAsia="宋体"/>
        </w:rPr>
        <w:t>H</w:t>
      </w:r>
      <w:r>
        <w:rPr>
          <w:rFonts w:ascii="Times New Roman" w:hAnsi="Times New Roman" w:eastAsia="宋体"/>
          <w:vertAlign w:val="subscript"/>
        </w:rPr>
        <w:t>2</w:t>
      </w:r>
      <w:r>
        <w:rPr>
          <w:rFonts w:ascii="Times New Roman" w:hAnsi="Times New Roman" w:eastAsia="宋体"/>
        </w:rPr>
        <w:t>S</w:t>
      </w:r>
      <w:r>
        <w:rPr>
          <w:rFonts w:hint="eastAsia" w:ascii="Times New Roman" w:hAnsi="Times New Roman" w:eastAsia="宋体"/>
        </w:rPr>
        <w:t>和非甲烷总烃等9个；</w:t>
      </w:r>
      <w:r>
        <w:rPr>
          <w:rFonts w:ascii="Times New Roman" w:hAnsi="Times New Roman" w:eastAsia="宋体"/>
        </w:rPr>
        <w:t>非正常工况下的预测因子：</w:t>
      </w:r>
      <w:r>
        <w:rPr>
          <w:rFonts w:hint="eastAsia" w:ascii="Times New Roman" w:hAnsi="Times New Roman" w:eastAsia="宋体"/>
        </w:rPr>
        <w:t>SO</w:t>
      </w:r>
      <w:r>
        <w:rPr>
          <w:rFonts w:hint="eastAsia" w:ascii="Times New Roman" w:hAnsi="Times New Roman" w:eastAsia="宋体"/>
          <w:vertAlign w:val="subscript"/>
        </w:rPr>
        <w:t>2</w:t>
      </w:r>
      <w:r>
        <w:rPr>
          <w:rFonts w:hint="eastAsia" w:ascii="Times New Roman" w:hAnsi="Times New Roman" w:eastAsia="宋体"/>
        </w:rPr>
        <w:t>、NO</w:t>
      </w:r>
      <w:r>
        <w:rPr>
          <w:rFonts w:hint="eastAsia" w:ascii="Times New Roman" w:hAnsi="Times New Roman" w:eastAsia="宋体"/>
          <w:vertAlign w:val="subscript"/>
        </w:rPr>
        <w:t>2</w:t>
      </w:r>
      <w:r>
        <w:rPr>
          <w:rFonts w:hint="eastAsia" w:ascii="Times New Roman" w:hAnsi="Times New Roman" w:eastAsia="宋体"/>
        </w:rPr>
        <w:t>等2个。</w:t>
      </w:r>
    </w:p>
    <w:p w14:paraId="73958E11">
      <w:pPr>
        <w:pStyle w:val="404"/>
        <w:rPr>
          <w:rFonts w:hint="eastAsia" w:ascii="华文仿宋" w:hAnsi="华文仿宋" w:eastAsia="华文仿宋"/>
        </w:rPr>
      </w:pPr>
      <w:r>
        <w:rPr>
          <w:rFonts w:hint="eastAsia"/>
        </w:rPr>
        <w:t>按照《环境影响评价技术导则大气环境》（</w:t>
      </w:r>
      <w:r>
        <w:t>HJ2.2-2018</w:t>
      </w:r>
      <w:r>
        <w:rPr>
          <w:rFonts w:hint="eastAsia"/>
        </w:rPr>
        <w:t>）的要求，开展进一步预测。</w:t>
      </w:r>
    </w:p>
    <w:p w14:paraId="0F723681">
      <w:pPr>
        <w:pStyle w:val="944"/>
      </w:pPr>
      <w:r>
        <w:rPr>
          <w:rFonts w:hint="eastAsia"/>
        </w:rPr>
        <w:t>预测方法</w:t>
      </w:r>
    </w:p>
    <w:p w14:paraId="2BA1A478">
      <w:pPr>
        <w:pStyle w:val="257"/>
        <w:ind w:firstLine="480"/>
      </w:pPr>
      <w:r>
        <w:rPr>
          <w:rFonts w:hint="eastAsia" w:ascii="宋体" w:hAnsi="宋体" w:eastAsia="宋体" w:cs="宋体"/>
        </w:rPr>
        <w:t>按照《环境影响评价技术导则</w:t>
      </w:r>
      <w:r>
        <w:t>·</w:t>
      </w:r>
      <w:r>
        <w:rPr>
          <w:rFonts w:hint="eastAsia" w:ascii="宋体" w:hAnsi="宋体" w:eastAsia="宋体" w:cs="宋体"/>
        </w:rPr>
        <w:t>大气环境》（</w:t>
      </w:r>
      <w:r>
        <w:rPr>
          <w:rFonts w:hint="eastAsia"/>
        </w:rPr>
        <w:t>HJ2.2-2018</w:t>
      </w:r>
      <w:r>
        <w:rPr>
          <w:rFonts w:hint="eastAsia" w:ascii="宋体" w:hAnsi="宋体" w:eastAsia="宋体" w:cs="宋体"/>
        </w:rPr>
        <w:t>）的要求，本项目进行一级评价。</w:t>
      </w:r>
    </w:p>
    <w:p w14:paraId="732F4C82">
      <w:pPr>
        <w:pStyle w:val="257"/>
        <w:ind w:firstLine="480"/>
        <w:rPr>
          <w:rFonts w:hint="eastAsia" w:ascii="宋体" w:hAnsi="宋体" w:eastAsia="宋体" w:cs="宋体"/>
        </w:rPr>
      </w:pPr>
      <w:r>
        <w:rPr>
          <w:rFonts w:hint="eastAsia" w:ascii="宋体" w:hAnsi="宋体" w:eastAsia="宋体" w:cs="宋体"/>
        </w:rPr>
        <w:t>根据估算结果，本项目最大影响范围为</w:t>
      </w:r>
      <w:r>
        <w:rPr>
          <w:rFonts w:hint="eastAsia" w:eastAsia="宋体"/>
        </w:rPr>
        <w:t>东西5.0</w:t>
      </w:r>
      <w:r>
        <w:rPr>
          <w:rFonts w:hint="eastAsia"/>
        </w:rPr>
        <w:t>km×</w:t>
      </w:r>
      <w:r>
        <w:rPr>
          <w:rFonts w:hint="eastAsia" w:eastAsia="宋体"/>
        </w:rPr>
        <w:t>南北5.0</w:t>
      </w:r>
      <w:r>
        <w:rPr>
          <w:rFonts w:hint="eastAsia"/>
        </w:rPr>
        <w:t>km</w:t>
      </w:r>
      <w:r>
        <w:rPr>
          <w:rFonts w:hint="eastAsia" w:ascii="宋体" w:hAnsi="宋体" w:eastAsia="宋体" w:cs="宋体"/>
        </w:rPr>
        <w:t>。根据基准年气象资料统计，区域最大持续静风时长为</w:t>
      </w:r>
      <w:r>
        <w:rPr>
          <w:rFonts w:hint="eastAsia" w:eastAsia="宋体"/>
        </w:rPr>
        <w:t>4</w:t>
      </w:r>
      <w:r>
        <w:rPr>
          <w:rFonts w:hint="eastAsia"/>
        </w:rPr>
        <w:t>h</w:t>
      </w:r>
      <w:r>
        <w:rPr>
          <w:rFonts w:hint="eastAsia" w:ascii="宋体" w:hAnsi="宋体" w:eastAsia="宋体" w:cs="宋体"/>
        </w:rPr>
        <w:t>，小于</w:t>
      </w:r>
      <w:r>
        <w:rPr>
          <w:rFonts w:hint="eastAsia"/>
        </w:rPr>
        <w:t>72h</w:t>
      </w:r>
      <w:r>
        <w:rPr>
          <w:rFonts w:hint="eastAsia" w:ascii="宋体" w:hAnsi="宋体" w:eastAsia="宋体" w:cs="宋体"/>
        </w:rPr>
        <w:t>。</w:t>
      </w:r>
    </w:p>
    <w:p w14:paraId="5D7DDE39">
      <w:pPr>
        <w:pStyle w:val="257"/>
        <w:ind w:firstLine="480"/>
        <w:rPr>
          <w:rFonts w:eastAsia="宋体"/>
        </w:rPr>
      </w:pPr>
      <w:r>
        <w:rPr>
          <w:rFonts w:eastAsia="宋体"/>
        </w:rPr>
        <w:t>根据</w:t>
      </w:r>
      <w:r>
        <w:rPr>
          <w:rFonts w:eastAsia="宋体"/>
          <w:lang w:val="en-US"/>
        </w:rPr>
        <w:t>《环境影响评价技术导则·大气环境》（HJ2.2-2018）表4，本次二次PM</w:t>
      </w:r>
      <w:r>
        <w:rPr>
          <w:rFonts w:eastAsia="宋体"/>
          <w:vertAlign w:val="subscript"/>
          <w:lang w:val="en-US"/>
        </w:rPr>
        <w:t>2.5</w:t>
      </w:r>
      <w:r>
        <w:rPr>
          <w:rFonts w:eastAsia="宋体"/>
          <w:lang w:val="en-US"/>
        </w:rPr>
        <w:t>可采用AERMOD(系数法)进行预测</w:t>
      </w:r>
      <w:r>
        <w:rPr>
          <w:rFonts w:hint="eastAsia" w:eastAsia="宋体"/>
          <w:lang w:val="en-US"/>
        </w:rPr>
        <w:t>，预测时，将</w:t>
      </w:r>
      <w:r>
        <w:rPr>
          <w:rFonts w:eastAsia="宋体"/>
          <w:lang w:val="en-US"/>
        </w:rPr>
        <w:t>PM</w:t>
      </w:r>
      <w:r>
        <w:rPr>
          <w:rFonts w:eastAsia="宋体"/>
          <w:vertAlign w:val="subscript"/>
          <w:lang w:val="en-US"/>
        </w:rPr>
        <w:t>2.5</w:t>
      </w:r>
      <w:r>
        <w:rPr>
          <w:rFonts w:hint="eastAsia" w:eastAsia="宋体"/>
          <w:lang w:val="en-US"/>
        </w:rPr>
        <w:t>一次污染物的质量浓度同步叠加按</w:t>
      </w:r>
      <w:r>
        <w:rPr>
          <w:rFonts w:eastAsia="宋体"/>
          <w:lang w:val="en-US"/>
        </w:rPr>
        <w:t>SO</w:t>
      </w:r>
      <w:r>
        <w:rPr>
          <w:rFonts w:eastAsia="宋体"/>
          <w:vertAlign w:val="subscript"/>
          <w:lang w:val="en-US"/>
        </w:rPr>
        <w:t>2</w:t>
      </w:r>
      <w:r>
        <w:rPr>
          <w:rFonts w:eastAsia="宋体"/>
          <w:lang w:val="en-US"/>
        </w:rPr>
        <w:t>与NO</w:t>
      </w:r>
      <w:r>
        <w:rPr>
          <w:rFonts w:eastAsia="宋体"/>
          <w:vertAlign w:val="subscript"/>
          <w:lang w:val="en-US"/>
        </w:rPr>
        <w:t>X</w:t>
      </w:r>
      <w:r>
        <w:rPr>
          <w:rFonts w:hint="eastAsia" w:eastAsia="宋体"/>
          <w:lang w:val="en-US"/>
        </w:rPr>
        <w:t>等前体物转化比率估算二次</w:t>
      </w:r>
      <w:r>
        <w:rPr>
          <w:rFonts w:eastAsia="宋体"/>
          <w:lang w:val="en-US"/>
        </w:rPr>
        <w:t>PM</w:t>
      </w:r>
      <w:r>
        <w:rPr>
          <w:rFonts w:eastAsia="宋体"/>
          <w:vertAlign w:val="subscript"/>
          <w:lang w:val="en-US"/>
        </w:rPr>
        <w:t>2.5</w:t>
      </w:r>
      <w:r>
        <w:rPr>
          <w:rFonts w:hint="eastAsia" w:eastAsia="宋体"/>
          <w:lang w:val="en-US"/>
        </w:rPr>
        <w:t>质量浓度，得到</w:t>
      </w:r>
      <w:r>
        <w:rPr>
          <w:rFonts w:eastAsia="宋体"/>
          <w:lang w:val="en-US"/>
        </w:rPr>
        <w:t>PM</w:t>
      </w:r>
      <w:r>
        <w:rPr>
          <w:rFonts w:eastAsia="宋体"/>
          <w:vertAlign w:val="subscript"/>
          <w:lang w:val="en-US"/>
        </w:rPr>
        <w:t>2.5</w:t>
      </w:r>
      <w:r>
        <w:rPr>
          <w:rFonts w:hint="eastAsia" w:eastAsia="宋体"/>
          <w:lang w:val="en-US"/>
        </w:rPr>
        <w:t>的贡献浓度（</w:t>
      </w:r>
      <w:r>
        <w:rPr>
          <w:rFonts w:eastAsia="宋体"/>
          <w:lang w:val="en-US"/>
        </w:rPr>
        <w:t>其中前体物转化率采用导则推荐的ΦSO</w:t>
      </w:r>
      <w:r>
        <w:rPr>
          <w:rFonts w:eastAsia="宋体"/>
          <w:vertAlign w:val="subscript"/>
          <w:lang w:val="en-US"/>
        </w:rPr>
        <w:t>2</w:t>
      </w:r>
      <w:r>
        <w:rPr>
          <w:rFonts w:eastAsia="宋体"/>
          <w:lang w:val="en-US"/>
        </w:rPr>
        <w:t xml:space="preserve"> 0.58、ΦNO</w:t>
      </w:r>
      <w:r>
        <w:rPr>
          <w:rFonts w:eastAsia="宋体"/>
          <w:vertAlign w:val="subscript"/>
          <w:lang w:val="en-US"/>
        </w:rPr>
        <w:t>2</w:t>
      </w:r>
      <w:r>
        <w:rPr>
          <w:rFonts w:eastAsia="宋体"/>
          <w:lang w:val="en-US"/>
        </w:rPr>
        <w:t xml:space="preserve"> 0.44</w:t>
      </w:r>
      <w:r>
        <w:rPr>
          <w:rFonts w:hint="eastAsia" w:eastAsia="宋体"/>
          <w:lang w:val="en-US"/>
        </w:rPr>
        <w:t>）</w:t>
      </w:r>
      <w:r>
        <w:rPr>
          <w:rFonts w:eastAsia="宋体"/>
          <w:lang w:val="en-US"/>
        </w:rPr>
        <w:t>。</w:t>
      </w:r>
    </w:p>
    <w:p w14:paraId="78970AEA">
      <w:pPr>
        <w:pStyle w:val="257"/>
        <w:ind w:firstLine="480"/>
      </w:pPr>
      <w:r>
        <w:rPr>
          <w:rFonts w:hint="eastAsia" w:ascii="宋体" w:hAnsi="宋体" w:eastAsia="宋体" w:cs="宋体"/>
        </w:rPr>
        <w:t>因此，本次评价采用导则中推荐的</w:t>
      </w:r>
      <w:r>
        <w:rPr>
          <w:rFonts w:hint="eastAsia"/>
        </w:rPr>
        <w:t>AERMOD</w:t>
      </w:r>
      <w:r>
        <w:rPr>
          <w:rFonts w:hint="eastAsia" w:ascii="宋体" w:hAnsi="宋体" w:eastAsia="宋体" w:cs="宋体"/>
        </w:rPr>
        <w:t>模型进行预测。</w:t>
      </w:r>
    </w:p>
    <w:p w14:paraId="558A9E3B">
      <w:pPr>
        <w:pStyle w:val="257"/>
        <w:ind w:firstLine="480"/>
        <w:rPr>
          <w:rFonts w:eastAsia="宋体"/>
        </w:rPr>
      </w:pPr>
      <w:r>
        <w:rPr>
          <w:rFonts w:hint="eastAsia" w:ascii="宋体" w:hAnsi="宋体" w:eastAsia="宋体" w:cs="宋体"/>
        </w:rPr>
        <w:t>根据设计资料及建筑物下洗判定公式，本次预测各排气筒排放均不考虑建筑物下洗影响。进一步预测模式考虑污染物化学转化，不考虑干、湿沉降。</w:t>
      </w:r>
    </w:p>
    <w:p w14:paraId="41E51493">
      <w:pPr>
        <w:pStyle w:val="5"/>
      </w:pPr>
      <w:r>
        <w:t>气象数据</w:t>
      </w:r>
    </w:p>
    <w:p w14:paraId="0C532EC3">
      <w:pPr>
        <w:pStyle w:val="102"/>
        <w:spacing w:line="360" w:lineRule="auto"/>
        <w:ind w:firstLine="480"/>
        <w:rPr>
          <w:rFonts w:ascii="Times New Roman" w:hAnsi="Times New Roman" w:eastAsia="宋体"/>
        </w:rPr>
      </w:pPr>
      <w:r>
        <w:rPr>
          <w:rFonts w:ascii="Times New Roman" w:hAnsi="Times New Roman" w:eastAsia="宋体"/>
        </w:rPr>
        <w:t>本项目位于</w:t>
      </w:r>
      <w:r>
        <w:rPr>
          <w:rFonts w:hint="eastAsia" w:ascii="Times New Roman" w:hAnsi="Times New Roman" w:eastAsia="宋体"/>
        </w:rPr>
        <w:t>哈密高新技术产业开发区</w:t>
      </w:r>
      <w:r>
        <w:rPr>
          <w:rFonts w:ascii="Times New Roman" w:hAnsi="Times New Roman" w:eastAsia="宋体"/>
        </w:rPr>
        <w:t>，本次评价</w:t>
      </w:r>
      <w:r>
        <w:rPr>
          <w:rFonts w:hint="eastAsia" w:ascii="Times New Roman" w:hAnsi="Times New Roman" w:eastAsia="宋体"/>
        </w:rPr>
        <w:t>采用</w:t>
      </w:r>
      <w:r>
        <w:rPr>
          <w:rFonts w:ascii="Times New Roman" w:hAnsi="Times New Roman" w:eastAsia="宋体"/>
        </w:rPr>
        <w:t>的</w:t>
      </w:r>
      <w:r>
        <w:rPr>
          <w:rFonts w:hint="eastAsia" w:ascii="Times New Roman" w:hAnsi="Times New Roman" w:eastAsia="宋体"/>
        </w:rPr>
        <w:t>地面</w:t>
      </w:r>
      <w:r>
        <w:rPr>
          <w:rFonts w:ascii="Times New Roman" w:hAnsi="Times New Roman" w:eastAsia="宋体"/>
        </w:rPr>
        <w:t>气象观测数据信息见表</w:t>
      </w:r>
      <w:r>
        <w:rPr>
          <w:rFonts w:hint="eastAsia" w:ascii="Times New Roman" w:hAnsi="Times New Roman" w:eastAsia="宋体"/>
        </w:rPr>
        <w:t>5</w:t>
      </w:r>
      <w:r>
        <w:rPr>
          <w:rFonts w:ascii="Times New Roman" w:hAnsi="Times New Roman" w:eastAsia="宋体"/>
        </w:rPr>
        <w:t>.2-1</w:t>
      </w:r>
      <w:r>
        <w:rPr>
          <w:rFonts w:hint="eastAsia" w:ascii="Times New Roman" w:hAnsi="Times New Roman" w:eastAsia="宋体"/>
        </w:rPr>
        <w:t>3</w:t>
      </w:r>
      <w:r>
        <w:rPr>
          <w:rFonts w:ascii="Times New Roman" w:hAnsi="Times New Roman" w:eastAsia="宋体"/>
        </w:rPr>
        <w:t>。</w:t>
      </w:r>
    </w:p>
    <w:p w14:paraId="6E359CC5">
      <w:pPr>
        <w:widowControl/>
        <w:spacing w:line="240" w:lineRule="auto"/>
        <w:ind w:firstLine="0" w:firstLineChars="0"/>
        <w:jc w:val="left"/>
        <w:rPr>
          <w:b/>
          <w:color w:val="000000"/>
          <w:szCs w:val="28"/>
        </w:rPr>
      </w:pPr>
      <w:r>
        <w:br w:type="page"/>
      </w:r>
    </w:p>
    <w:p w14:paraId="19CC18AC">
      <w:pPr>
        <w:pStyle w:val="118"/>
      </w:pPr>
      <w:r>
        <w:t>表</w:t>
      </w:r>
      <w:r>
        <w:rPr>
          <w:rFonts w:hint="eastAsia"/>
        </w:rPr>
        <w:t>5</w:t>
      </w:r>
      <w:r>
        <w:t>.2-1</w:t>
      </w:r>
      <w:r>
        <w:rPr>
          <w:rFonts w:hint="eastAsia"/>
        </w:rPr>
        <w:t>3</w:t>
      </w:r>
      <w:r>
        <w:t xml:space="preserve">  </w:t>
      </w:r>
      <w:r>
        <w:rPr>
          <w:rFonts w:hint="eastAsia"/>
        </w:rPr>
        <w:t>区域地面</w:t>
      </w:r>
      <w:r>
        <w:t>观测气象数据信息</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979"/>
        <w:gridCol w:w="576"/>
        <w:gridCol w:w="702"/>
        <w:gridCol w:w="745"/>
        <w:gridCol w:w="695"/>
        <w:gridCol w:w="999"/>
        <w:gridCol w:w="883"/>
        <w:gridCol w:w="846"/>
        <w:gridCol w:w="1911"/>
      </w:tblGrid>
      <w:tr w14:paraId="319C2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72" w:type="dxa"/>
            <w:vMerge w:val="restart"/>
            <w:vAlign w:val="center"/>
          </w:tcPr>
          <w:p w14:paraId="45DB2F90">
            <w:pPr>
              <w:pStyle w:val="133"/>
            </w:pPr>
            <w:r>
              <w:t>气象站名称</w:t>
            </w:r>
          </w:p>
        </w:tc>
        <w:tc>
          <w:tcPr>
            <w:tcW w:w="572" w:type="dxa"/>
            <w:vMerge w:val="restart"/>
            <w:vAlign w:val="center"/>
          </w:tcPr>
          <w:p w14:paraId="04BC802E">
            <w:pPr>
              <w:pStyle w:val="133"/>
            </w:pPr>
            <w:r>
              <w:t>气象站编号</w:t>
            </w:r>
          </w:p>
        </w:tc>
        <w:tc>
          <w:tcPr>
            <w:tcW w:w="697" w:type="dxa"/>
            <w:vMerge w:val="restart"/>
            <w:vAlign w:val="center"/>
          </w:tcPr>
          <w:p w14:paraId="4E8E2885">
            <w:pPr>
              <w:pStyle w:val="133"/>
            </w:pPr>
            <w:r>
              <w:t>气象站等级</w:t>
            </w:r>
          </w:p>
        </w:tc>
        <w:tc>
          <w:tcPr>
            <w:tcW w:w="1430" w:type="dxa"/>
            <w:gridSpan w:val="2"/>
            <w:vAlign w:val="center"/>
          </w:tcPr>
          <w:p w14:paraId="3EB55EEB">
            <w:pPr>
              <w:pStyle w:val="133"/>
            </w:pPr>
            <w:r>
              <w:t>气象站坐标/m</w:t>
            </w:r>
          </w:p>
        </w:tc>
        <w:tc>
          <w:tcPr>
            <w:tcW w:w="992" w:type="dxa"/>
            <w:vMerge w:val="restart"/>
            <w:vAlign w:val="center"/>
          </w:tcPr>
          <w:p w14:paraId="4F0726BA">
            <w:pPr>
              <w:pStyle w:val="133"/>
            </w:pPr>
            <w:r>
              <w:t>相对距离/km</w:t>
            </w:r>
          </w:p>
        </w:tc>
        <w:tc>
          <w:tcPr>
            <w:tcW w:w="877" w:type="dxa"/>
            <w:vMerge w:val="restart"/>
            <w:vAlign w:val="center"/>
          </w:tcPr>
          <w:p w14:paraId="606580BD">
            <w:pPr>
              <w:pStyle w:val="133"/>
            </w:pPr>
            <w:r>
              <w:t>海拔高度</w:t>
            </w:r>
          </w:p>
          <w:p w14:paraId="3108C454">
            <w:pPr>
              <w:pStyle w:val="133"/>
            </w:pPr>
            <w:r>
              <w:t>/m</w:t>
            </w:r>
          </w:p>
        </w:tc>
        <w:tc>
          <w:tcPr>
            <w:tcW w:w="840" w:type="dxa"/>
            <w:vMerge w:val="restart"/>
            <w:vAlign w:val="center"/>
          </w:tcPr>
          <w:p w14:paraId="3860930C">
            <w:pPr>
              <w:pStyle w:val="133"/>
            </w:pPr>
            <w:r>
              <w:t>数据</w:t>
            </w:r>
          </w:p>
          <w:p w14:paraId="6BF6069A">
            <w:pPr>
              <w:pStyle w:val="133"/>
            </w:pPr>
            <w:r>
              <w:t>年份</w:t>
            </w:r>
          </w:p>
        </w:tc>
        <w:tc>
          <w:tcPr>
            <w:tcW w:w="1896" w:type="dxa"/>
            <w:vMerge w:val="restart"/>
            <w:vAlign w:val="center"/>
          </w:tcPr>
          <w:p w14:paraId="58683A94">
            <w:pPr>
              <w:pStyle w:val="133"/>
            </w:pPr>
            <w:r>
              <w:t>气象要素</w:t>
            </w:r>
          </w:p>
        </w:tc>
      </w:tr>
      <w:tr w14:paraId="4CBB3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72" w:type="dxa"/>
            <w:vMerge w:val="continue"/>
            <w:vAlign w:val="center"/>
          </w:tcPr>
          <w:p w14:paraId="4F1E837E">
            <w:pPr>
              <w:pStyle w:val="133"/>
            </w:pPr>
          </w:p>
        </w:tc>
        <w:tc>
          <w:tcPr>
            <w:tcW w:w="572" w:type="dxa"/>
            <w:vMerge w:val="continue"/>
            <w:vAlign w:val="center"/>
          </w:tcPr>
          <w:p w14:paraId="60A765A4">
            <w:pPr>
              <w:pStyle w:val="133"/>
            </w:pPr>
          </w:p>
        </w:tc>
        <w:tc>
          <w:tcPr>
            <w:tcW w:w="697" w:type="dxa"/>
            <w:vMerge w:val="continue"/>
            <w:vAlign w:val="center"/>
          </w:tcPr>
          <w:p w14:paraId="10F341DD">
            <w:pPr>
              <w:pStyle w:val="133"/>
            </w:pPr>
          </w:p>
        </w:tc>
        <w:tc>
          <w:tcPr>
            <w:tcW w:w="740" w:type="dxa"/>
            <w:vAlign w:val="center"/>
          </w:tcPr>
          <w:p w14:paraId="5F32635F">
            <w:pPr>
              <w:pStyle w:val="133"/>
            </w:pPr>
            <w:r>
              <w:t>X</w:t>
            </w:r>
          </w:p>
        </w:tc>
        <w:tc>
          <w:tcPr>
            <w:tcW w:w="690" w:type="dxa"/>
            <w:vAlign w:val="center"/>
          </w:tcPr>
          <w:p w14:paraId="2B1B142C">
            <w:pPr>
              <w:pStyle w:val="133"/>
            </w:pPr>
            <w:r>
              <w:t>Y</w:t>
            </w:r>
          </w:p>
        </w:tc>
        <w:tc>
          <w:tcPr>
            <w:tcW w:w="992" w:type="dxa"/>
            <w:vMerge w:val="continue"/>
            <w:vAlign w:val="center"/>
          </w:tcPr>
          <w:p w14:paraId="48E19B99">
            <w:pPr>
              <w:pStyle w:val="133"/>
            </w:pPr>
          </w:p>
        </w:tc>
        <w:tc>
          <w:tcPr>
            <w:tcW w:w="877" w:type="dxa"/>
            <w:vMerge w:val="continue"/>
            <w:vAlign w:val="center"/>
          </w:tcPr>
          <w:p w14:paraId="121B1E97">
            <w:pPr>
              <w:pStyle w:val="133"/>
            </w:pPr>
          </w:p>
        </w:tc>
        <w:tc>
          <w:tcPr>
            <w:tcW w:w="840" w:type="dxa"/>
            <w:vMerge w:val="continue"/>
            <w:vAlign w:val="center"/>
          </w:tcPr>
          <w:p w14:paraId="357150D0">
            <w:pPr>
              <w:pStyle w:val="133"/>
            </w:pPr>
          </w:p>
        </w:tc>
        <w:tc>
          <w:tcPr>
            <w:tcW w:w="1896" w:type="dxa"/>
            <w:vMerge w:val="continue"/>
            <w:vAlign w:val="center"/>
          </w:tcPr>
          <w:p w14:paraId="5735F9C0">
            <w:pPr>
              <w:pStyle w:val="133"/>
            </w:pPr>
          </w:p>
        </w:tc>
      </w:tr>
      <w:tr w14:paraId="260C46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rPr>
        <w:tc>
          <w:tcPr>
            <w:tcW w:w="972" w:type="dxa"/>
            <w:vAlign w:val="center"/>
          </w:tcPr>
          <w:p w14:paraId="4472C417">
            <w:pPr>
              <w:pStyle w:val="133"/>
              <w:rPr>
                <w:rStyle w:val="499"/>
                <w:rFonts w:ascii="Times New Roman" w:hAnsi="Times New Roman" w:eastAsia="宋体"/>
                <w:bCs w:val="0"/>
                <w:sz w:val="21"/>
                <w:szCs w:val="24"/>
              </w:rPr>
            </w:pPr>
            <w:r>
              <w:rPr>
                <w:rStyle w:val="499"/>
                <w:rFonts w:ascii="Times New Roman" w:hAnsi="Times New Roman" w:eastAsia="宋体"/>
                <w:bCs w:val="0"/>
                <w:sz w:val="21"/>
                <w:szCs w:val="24"/>
              </w:rPr>
              <w:t>哈密气象站</w:t>
            </w:r>
          </w:p>
        </w:tc>
        <w:tc>
          <w:tcPr>
            <w:tcW w:w="572" w:type="dxa"/>
            <w:vAlign w:val="center"/>
          </w:tcPr>
          <w:p w14:paraId="01D983CC">
            <w:pPr>
              <w:pStyle w:val="133"/>
              <w:rPr>
                <w:rStyle w:val="499"/>
                <w:rFonts w:ascii="Times New Roman" w:hAnsi="Times New Roman" w:eastAsia="宋体"/>
                <w:bCs w:val="0"/>
                <w:sz w:val="21"/>
                <w:szCs w:val="24"/>
              </w:rPr>
            </w:pPr>
            <w:r>
              <w:t>52203</w:t>
            </w:r>
          </w:p>
        </w:tc>
        <w:tc>
          <w:tcPr>
            <w:tcW w:w="697" w:type="dxa"/>
            <w:vAlign w:val="center"/>
          </w:tcPr>
          <w:p w14:paraId="10A1C9A2">
            <w:pPr>
              <w:pStyle w:val="133"/>
              <w:rPr>
                <w:rStyle w:val="499"/>
                <w:rFonts w:ascii="Times New Roman" w:hAnsi="Times New Roman" w:eastAsia="宋体"/>
                <w:bCs w:val="0"/>
                <w:sz w:val="21"/>
                <w:szCs w:val="24"/>
              </w:rPr>
            </w:pPr>
            <w:r>
              <w:rPr>
                <w:rStyle w:val="499"/>
                <w:rFonts w:ascii="Times New Roman" w:hAnsi="Times New Roman" w:eastAsia="宋体"/>
                <w:bCs w:val="0"/>
                <w:sz w:val="21"/>
                <w:szCs w:val="24"/>
              </w:rPr>
              <w:t>基本站</w:t>
            </w:r>
          </w:p>
        </w:tc>
        <w:tc>
          <w:tcPr>
            <w:tcW w:w="740" w:type="dxa"/>
            <w:vAlign w:val="center"/>
          </w:tcPr>
          <w:p w14:paraId="29C0F8E3">
            <w:pPr>
              <w:pStyle w:val="133"/>
              <w:rPr>
                <w:rStyle w:val="499"/>
                <w:rFonts w:ascii="Times New Roman" w:hAnsi="Times New Roman" w:eastAsia="宋体"/>
                <w:bCs w:val="0"/>
                <w:sz w:val="21"/>
                <w:szCs w:val="24"/>
              </w:rPr>
            </w:pPr>
            <w:r>
              <w:t>14163</w:t>
            </w:r>
          </w:p>
        </w:tc>
        <w:tc>
          <w:tcPr>
            <w:tcW w:w="690" w:type="dxa"/>
            <w:vAlign w:val="center"/>
          </w:tcPr>
          <w:p w14:paraId="6B18ED4F">
            <w:pPr>
              <w:pStyle w:val="133"/>
              <w:rPr>
                <w:rStyle w:val="499"/>
                <w:rFonts w:ascii="Times New Roman" w:hAnsi="Times New Roman" w:eastAsia="宋体"/>
                <w:bCs w:val="0"/>
                <w:sz w:val="21"/>
                <w:szCs w:val="24"/>
              </w:rPr>
            </w:pPr>
            <w:r>
              <w:t>10358</w:t>
            </w:r>
          </w:p>
        </w:tc>
        <w:tc>
          <w:tcPr>
            <w:tcW w:w="992" w:type="dxa"/>
            <w:vAlign w:val="center"/>
          </w:tcPr>
          <w:p w14:paraId="3654EF87">
            <w:pPr>
              <w:pStyle w:val="133"/>
              <w:rPr>
                <w:rStyle w:val="499"/>
                <w:rFonts w:ascii="Times New Roman" w:hAnsi="Times New Roman" w:eastAsia="宋体"/>
                <w:bCs w:val="0"/>
                <w:sz w:val="21"/>
                <w:szCs w:val="24"/>
              </w:rPr>
            </w:pPr>
            <w:r>
              <w:rPr>
                <w:rStyle w:val="499"/>
                <w:rFonts w:hint="eastAsia" w:ascii="Times New Roman" w:hAnsi="Times New Roman" w:eastAsia="宋体"/>
                <w:bCs w:val="0"/>
                <w:sz w:val="21"/>
                <w:szCs w:val="24"/>
              </w:rPr>
              <w:t>16.9</w:t>
            </w:r>
          </w:p>
        </w:tc>
        <w:tc>
          <w:tcPr>
            <w:tcW w:w="877" w:type="dxa"/>
            <w:vAlign w:val="center"/>
          </w:tcPr>
          <w:p w14:paraId="7375E362">
            <w:pPr>
              <w:pStyle w:val="133"/>
              <w:rPr>
                <w:rStyle w:val="499"/>
                <w:rFonts w:ascii="Times New Roman" w:hAnsi="Times New Roman" w:eastAsia="宋体"/>
                <w:bCs w:val="0"/>
                <w:sz w:val="21"/>
                <w:szCs w:val="24"/>
              </w:rPr>
            </w:pPr>
            <w:r>
              <w:rPr>
                <w:rStyle w:val="499"/>
                <w:rFonts w:hint="eastAsia" w:ascii="Times New Roman" w:hAnsi="Times New Roman" w:eastAsia="宋体"/>
                <w:bCs w:val="0"/>
                <w:sz w:val="21"/>
                <w:szCs w:val="24"/>
              </w:rPr>
              <w:t>7</w:t>
            </w:r>
            <w:r>
              <w:rPr>
                <w:rStyle w:val="499"/>
                <w:rFonts w:hint="eastAsia" w:ascii="Times New Roman" w:hAnsi="Times New Roman" w:eastAsia="宋体"/>
                <w:sz w:val="21"/>
                <w:szCs w:val="24"/>
              </w:rPr>
              <w:t>41</w:t>
            </w:r>
          </w:p>
        </w:tc>
        <w:tc>
          <w:tcPr>
            <w:tcW w:w="840" w:type="dxa"/>
            <w:vAlign w:val="center"/>
          </w:tcPr>
          <w:p w14:paraId="0CA12289">
            <w:pPr>
              <w:pStyle w:val="133"/>
              <w:rPr>
                <w:rStyle w:val="499"/>
                <w:rFonts w:ascii="Times New Roman" w:hAnsi="Times New Roman" w:eastAsia="宋体"/>
                <w:bCs w:val="0"/>
                <w:sz w:val="21"/>
                <w:szCs w:val="24"/>
              </w:rPr>
            </w:pPr>
            <w:r>
              <w:rPr>
                <w:rStyle w:val="499"/>
                <w:rFonts w:hint="eastAsia" w:ascii="Times New Roman" w:hAnsi="Times New Roman" w:eastAsia="宋体"/>
                <w:bCs w:val="0"/>
                <w:sz w:val="21"/>
                <w:szCs w:val="24"/>
              </w:rPr>
              <w:t>2023</w:t>
            </w:r>
          </w:p>
        </w:tc>
        <w:tc>
          <w:tcPr>
            <w:tcW w:w="1896" w:type="dxa"/>
            <w:vAlign w:val="center"/>
          </w:tcPr>
          <w:p w14:paraId="1CB6A608">
            <w:pPr>
              <w:pStyle w:val="133"/>
              <w:rPr>
                <w:rStyle w:val="499"/>
                <w:rFonts w:ascii="Times New Roman" w:hAnsi="Times New Roman" w:eastAsia="宋体"/>
                <w:bCs w:val="0"/>
                <w:sz w:val="21"/>
                <w:szCs w:val="24"/>
              </w:rPr>
            </w:pPr>
            <w:r>
              <w:rPr>
                <w:rStyle w:val="499"/>
                <w:rFonts w:ascii="Times New Roman" w:hAnsi="Times New Roman" w:eastAsia="宋体"/>
                <w:bCs w:val="0"/>
                <w:sz w:val="21"/>
                <w:szCs w:val="24"/>
              </w:rPr>
              <w:t>风向、风速、总云、低云、干球温度</w:t>
            </w:r>
          </w:p>
        </w:tc>
      </w:tr>
    </w:tbl>
    <w:p w14:paraId="3FFCE5D9">
      <w:pPr>
        <w:pStyle w:val="133"/>
      </w:pPr>
    </w:p>
    <w:p w14:paraId="640A8B40">
      <w:pPr>
        <w:pStyle w:val="117"/>
        <w:ind w:firstLine="480"/>
      </w:pPr>
      <w:r>
        <w:rPr>
          <w:rFonts w:hint="eastAsia"/>
        </w:rPr>
        <w:t>本次评价在收集地面气象观测数据的同时，也收集了哈密气象站2023年全年00时、12时5000m以下高空气象模拟数据。高空气象模拟数据内容包括日期、时间、层数、气压、离地高度和干球温度等，可满足本次大气环境影响预测的需要。</w:t>
      </w:r>
    </w:p>
    <w:p w14:paraId="038CF2CA">
      <w:pPr>
        <w:pStyle w:val="5"/>
      </w:pPr>
      <w:r>
        <w:rPr>
          <w:rFonts w:hint="eastAsia"/>
        </w:rPr>
        <w:t>地形数据</w:t>
      </w:r>
    </w:p>
    <w:p w14:paraId="514AEF5F">
      <w:pPr>
        <w:pStyle w:val="257"/>
        <w:ind w:firstLine="480"/>
      </w:pPr>
      <w:r>
        <w:rPr>
          <w:rFonts w:hint="eastAsia" w:ascii="宋体" w:hAnsi="宋体" w:eastAsia="宋体" w:cs="宋体"/>
        </w:rPr>
        <w:t>本项目在预测过程中考虑实际地形影响，其中地形数据来自美国地理调查局（</w:t>
      </w:r>
      <w:r>
        <w:rPr>
          <w:rFonts w:hint="eastAsia"/>
        </w:rPr>
        <w:t>USGS</w:t>
      </w:r>
      <w:r>
        <w:rPr>
          <w:rFonts w:hint="eastAsia" w:ascii="宋体" w:hAnsi="宋体" w:eastAsia="宋体" w:cs="宋体"/>
        </w:rPr>
        <w:t>），精度为</w:t>
      </w:r>
      <w:r>
        <w:rPr>
          <w:rFonts w:hint="eastAsia"/>
        </w:rPr>
        <w:t>90m</w:t>
      </w:r>
      <w:r>
        <w:rPr>
          <w:rFonts w:hint="eastAsia" w:ascii="宋体" w:hAnsi="宋体" w:eastAsia="宋体" w:cs="宋体"/>
        </w:rPr>
        <w:t>，如</w:t>
      </w:r>
      <w:r>
        <w:rPr>
          <w:rFonts w:hint="eastAsia" w:eastAsia="宋体"/>
        </w:rPr>
        <w:t>图5</w:t>
      </w:r>
      <w:r>
        <w:rPr>
          <w:rFonts w:eastAsia="宋体"/>
        </w:rPr>
        <w:t>.2-</w:t>
      </w:r>
      <w:r>
        <w:rPr>
          <w:rFonts w:hint="eastAsia" w:eastAsia="宋体"/>
        </w:rPr>
        <w:t>4</w:t>
      </w:r>
      <w:r>
        <w:rPr>
          <w:rFonts w:hint="eastAsia" w:ascii="宋体" w:hAnsi="宋体" w:eastAsia="宋体" w:cs="宋体"/>
        </w:rPr>
        <w:t>所示。</w:t>
      </w:r>
    </w:p>
    <w:p w14:paraId="42CDEDFF">
      <w:pPr>
        <w:pStyle w:val="133"/>
      </w:pPr>
      <w:r>
        <w:object>
          <v:shape id="_x0000_i1028" o:spt="75" type="#_x0000_t75" style="height:265.9pt;width:417.25pt;" o:ole="t" filled="f" o:preferrelative="t" stroked="f" coordsize="21600,21600">
            <v:path/>
            <v:fill on="f" focussize="0,0"/>
            <v:stroke on="f" joinstyle="miter"/>
            <v:imagedata r:id="rId55" embosscolor="#FFFFFF" o:title=""/>
            <o:lock v:ext="edit" aspectratio="t"/>
            <w10:wrap type="none"/>
            <w10:anchorlock/>
          </v:shape>
          <o:OLEObject Type="Embed" ProgID="Excel.Sheet.8" ShapeID="_x0000_i1028" DrawAspect="Content" ObjectID="_1468075728" r:id="rId54">
            <o:LockedField>false</o:LockedField>
          </o:OLEObject>
        </w:object>
      </w:r>
    </w:p>
    <w:p w14:paraId="71302B59">
      <w:pPr>
        <w:pStyle w:val="118"/>
      </w:pPr>
      <w:r>
        <w:rPr>
          <w:rFonts w:hint="eastAsia"/>
        </w:rPr>
        <w:t>图5</w:t>
      </w:r>
      <w:r>
        <w:t>.2-</w:t>
      </w:r>
      <w:r>
        <w:rPr>
          <w:rFonts w:hint="eastAsia"/>
        </w:rPr>
        <w:t>4  评价范围地形高程示意图</w:t>
      </w:r>
    </w:p>
    <w:p w14:paraId="5FFBDBC2">
      <w:pPr>
        <w:pStyle w:val="133"/>
      </w:pPr>
    </w:p>
    <w:p w14:paraId="5C2A8701">
      <w:pPr>
        <w:pStyle w:val="5"/>
      </w:pPr>
      <w:r>
        <w:t>预测范围及预测点方案</w:t>
      </w:r>
    </w:p>
    <w:p w14:paraId="668A0FEC">
      <w:pPr>
        <w:pStyle w:val="257"/>
        <w:ind w:firstLine="480"/>
        <w:rPr>
          <w:rFonts w:eastAsia="宋体"/>
        </w:rPr>
      </w:pPr>
      <w:r>
        <w:rPr>
          <w:rFonts w:hint="eastAsia" w:eastAsia="宋体"/>
          <w:lang w:val="en-US"/>
        </w:rPr>
        <w:t>本次评价预测网格点间距采用近密远疏法进行设置，具体为：距离源中心</w:t>
      </w:r>
      <w:r>
        <w:rPr>
          <w:rFonts w:eastAsia="宋体"/>
          <w:lang w:val="en-US"/>
        </w:rPr>
        <w:t>5km</w:t>
      </w:r>
      <w:r>
        <w:rPr>
          <w:rFonts w:hint="eastAsia" w:eastAsia="宋体"/>
          <w:lang w:val="en-US"/>
        </w:rPr>
        <w:t>以内的网格间距为</w:t>
      </w:r>
      <w:r>
        <w:rPr>
          <w:rFonts w:eastAsia="宋体"/>
          <w:lang w:val="en-US"/>
        </w:rPr>
        <w:t>100m</w:t>
      </w:r>
      <w:r>
        <w:rPr>
          <w:rFonts w:hint="eastAsia" w:eastAsia="宋体"/>
        </w:rPr>
        <w:t>。</w:t>
      </w:r>
    </w:p>
    <w:p w14:paraId="5991B36A">
      <w:pPr>
        <w:pStyle w:val="102"/>
        <w:spacing w:line="360" w:lineRule="auto"/>
        <w:ind w:firstLine="480"/>
        <w:rPr>
          <w:rFonts w:ascii="Times New Roman" w:hAnsi="Times New Roman" w:eastAsia="宋体"/>
        </w:rPr>
      </w:pPr>
      <w:r>
        <w:rPr>
          <w:rFonts w:hint="eastAsia" w:ascii="Times New Roman" w:hAnsi="Times New Roman" w:eastAsia="宋体"/>
        </w:rPr>
        <w:t>评价范围内无环境空气保护目标。</w:t>
      </w:r>
    </w:p>
    <w:p w14:paraId="459CCBD0">
      <w:pPr>
        <w:pStyle w:val="257"/>
        <w:ind w:firstLine="480"/>
      </w:pPr>
      <w:r>
        <w:rPr>
          <w:rFonts w:hint="eastAsia" w:ascii="宋体" w:hAnsi="宋体" w:eastAsia="宋体" w:cs="宋体"/>
        </w:rPr>
        <w:t>大气防护距离预测范围为厂界外</w:t>
      </w:r>
      <w:r>
        <w:rPr>
          <w:rFonts w:hint="eastAsia"/>
        </w:rPr>
        <w:t>2km</w:t>
      </w:r>
      <w:r>
        <w:rPr>
          <w:rFonts w:hint="eastAsia" w:ascii="宋体" w:hAnsi="宋体" w:eastAsia="宋体" w:cs="宋体"/>
        </w:rPr>
        <w:t>范围内的矩形区域，预测网格点间距为</w:t>
      </w:r>
      <w:r>
        <w:rPr>
          <w:rFonts w:hint="eastAsia"/>
        </w:rPr>
        <w:t>50m</w:t>
      </w:r>
      <w:r>
        <w:rPr>
          <w:rFonts w:hint="eastAsia" w:ascii="宋体" w:hAnsi="宋体" w:eastAsia="宋体" w:cs="宋体"/>
        </w:rPr>
        <w:t>。</w:t>
      </w:r>
    </w:p>
    <w:p w14:paraId="2B43D064">
      <w:pPr>
        <w:pStyle w:val="138"/>
        <w:rPr>
          <w:rFonts w:hint="eastAsia"/>
        </w:rPr>
      </w:pPr>
      <w:r>
        <w:t>预测内容</w:t>
      </w:r>
    </w:p>
    <w:p w14:paraId="639E6065">
      <w:pPr>
        <w:pStyle w:val="117"/>
        <w:ind w:firstLine="480"/>
      </w:pPr>
      <w:r>
        <w:t>本项目所在区域</w:t>
      </w:r>
      <w:r>
        <w:rPr>
          <w:rFonts w:hint="eastAsia"/>
        </w:rPr>
        <w:t>2023年</w:t>
      </w:r>
      <w:r>
        <w:t>为</w:t>
      </w:r>
      <w:r>
        <w:rPr>
          <w:rFonts w:hint="eastAsia"/>
        </w:rPr>
        <w:t>非</w:t>
      </w:r>
      <w:r>
        <w:t>达标区，项目大气环境影响评价等级为一级，根据《环境影响评价技术导则大气环境》（HJ2.2-2018）要求需采用进一步预测模式分析项目排放的污染物对周边环境的影响。大气环境影响预测内容见表5.</w:t>
      </w:r>
      <w:r>
        <w:rPr>
          <w:rFonts w:hint="eastAsia"/>
        </w:rPr>
        <w:t>2</w:t>
      </w:r>
      <w:r>
        <w:t>-1</w:t>
      </w:r>
      <w:r>
        <w:rPr>
          <w:rFonts w:hint="eastAsia"/>
        </w:rPr>
        <w:t>4</w:t>
      </w:r>
      <w:r>
        <w:t>。</w:t>
      </w:r>
    </w:p>
    <w:p w14:paraId="4DE4FB40">
      <w:pPr>
        <w:pStyle w:val="118"/>
      </w:pPr>
      <w:r>
        <w:t>表</w:t>
      </w:r>
      <w:r>
        <w:rPr>
          <w:rFonts w:hint="eastAsia"/>
        </w:rPr>
        <w:t>5.2-14</w:t>
      </w:r>
      <w:r>
        <w:t xml:space="preserve">  大气环境影响预测与评价内容一览表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09"/>
        <w:gridCol w:w="2406"/>
        <w:gridCol w:w="997"/>
        <w:gridCol w:w="1000"/>
        <w:gridCol w:w="2924"/>
      </w:tblGrid>
      <w:tr w14:paraId="4C3ED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605" w:type="pct"/>
            <w:vAlign w:val="center"/>
          </w:tcPr>
          <w:p w14:paraId="6487AA0D">
            <w:pPr>
              <w:pStyle w:val="133"/>
              <w:rPr>
                <w:b/>
                <w:bCs/>
              </w:rPr>
            </w:pPr>
            <w:r>
              <w:rPr>
                <w:b/>
                <w:bCs/>
              </w:rPr>
              <w:t>评价对象</w:t>
            </w:r>
          </w:p>
        </w:tc>
        <w:tc>
          <w:tcPr>
            <w:tcW w:w="1443" w:type="pct"/>
            <w:vAlign w:val="center"/>
          </w:tcPr>
          <w:p w14:paraId="4393B2D4">
            <w:pPr>
              <w:pStyle w:val="133"/>
              <w:rPr>
                <w:b/>
                <w:bCs/>
              </w:rPr>
            </w:pPr>
            <w:r>
              <w:rPr>
                <w:b/>
                <w:bCs/>
              </w:rPr>
              <w:t>污染源</w:t>
            </w:r>
          </w:p>
        </w:tc>
        <w:tc>
          <w:tcPr>
            <w:tcW w:w="598" w:type="pct"/>
            <w:vAlign w:val="center"/>
          </w:tcPr>
          <w:p w14:paraId="14403D65">
            <w:pPr>
              <w:pStyle w:val="133"/>
              <w:rPr>
                <w:b/>
                <w:bCs/>
              </w:rPr>
            </w:pPr>
            <w:r>
              <w:rPr>
                <w:b/>
                <w:bCs/>
              </w:rPr>
              <w:t>排放形式</w:t>
            </w:r>
          </w:p>
        </w:tc>
        <w:tc>
          <w:tcPr>
            <w:tcW w:w="600" w:type="pct"/>
            <w:vAlign w:val="center"/>
          </w:tcPr>
          <w:p w14:paraId="7F7FFF04">
            <w:pPr>
              <w:pStyle w:val="133"/>
              <w:rPr>
                <w:b/>
                <w:bCs/>
              </w:rPr>
            </w:pPr>
            <w:r>
              <w:rPr>
                <w:b/>
                <w:bCs/>
              </w:rPr>
              <w:t>预测内容</w:t>
            </w:r>
          </w:p>
        </w:tc>
        <w:tc>
          <w:tcPr>
            <w:tcW w:w="1754" w:type="pct"/>
            <w:vAlign w:val="center"/>
          </w:tcPr>
          <w:p w14:paraId="6C67268D">
            <w:pPr>
              <w:pStyle w:val="133"/>
              <w:rPr>
                <w:b/>
                <w:bCs/>
              </w:rPr>
            </w:pPr>
            <w:r>
              <w:rPr>
                <w:b/>
                <w:bCs/>
              </w:rPr>
              <w:t>评价内容</w:t>
            </w:r>
          </w:p>
        </w:tc>
      </w:tr>
      <w:tr w14:paraId="64418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605" w:type="pct"/>
            <w:vMerge w:val="restart"/>
            <w:vAlign w:val="center"/>
          </w:tcPr>
          <w:p w14:paraId="20DF2F1D">
            <w:pPr>
              <w:pStyle w:val="133"/>
            </w:pPr>
            <w:r>
              <w:t>达标区</w:t>
            </w:r>
          </w:p>
          <w:p w14:paraId="2D1F1EF0">
            <w:pPr>
              <w:pStyle w:val="133"/>
            </w:pPr>
            <w:r>
              <w:t>评价项目</w:t>
            </w:r>
          </w:p>
        </w:tc>
        <w:tc>
          <w:tcPr>
            <w:tcW w:w="1443" w:type="pct"/>
            <w:vAlign w:val="center"/>
          </w:tcPr>
          <w:p w14:paraId="1DF2A7E5">
            <w:pPr>
              <w:pStyle w:val="133"/>
            </w:pPr>
            <w:r>
              <w:t>新增污染源</w:t>
            </w:r>
          </w:p>
        </w:tc>
        <w:tc>
          <w:tcPr>
            <w:tcW w:w="598" w:type="pct"/>
            <w:vAlign w:val="center"/>
          </w:tcPr>
          <w:p w14:paraId="011FB358">
            <w:pPr>
              <w:pStyle w:val="133"/>
            </w:pPr>
            <w:r>
              <w:t>正常排放</w:t>
            </w:r>
          </w:p>
        </w:tc>
        <w:tc>
          <w:tcPr>
            <w:tcW w:w="600" w:type="pct"/>
            <w:vAlign w:val="center"/>
          </w:tcPr>
          <w:p w14:paraId="382FDE75">
            <w:pPr>
              <w:pStyle w:val="133"/>
            </w:pPr>
            <w:r>
              <w:t>短期浓度</w:t>
            </w:r>
          </w:p>
          <w:p w14:paraId="1F75FDC8">
            <w:pPr>
              <w:pStyle w:val="133"/>
            </w:pPr>
            <w:r>
              <w:t>长期浓度</w:t>
            </w:r>
          </w:p>
        </w:tc>
        <w:tc>
          <w:tcPr>
            <w:tcW w:w="1754" w:type="pct"/>
            <w:vAlign w:val="center"/>
          </w:tcPr>
          <w:p w14:paraId="0C95A758">
            <w:pPr>
              <w:pStyle w:val="133"/>
            </w:pPr>
            <w:r>
              <w:t>最大浓度占标率</w:t>
            </w:r>
          </w:p>
        </w:tc>
      </w:tr>
      <w:tr w14:paraId="70003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605" w:type="pct"/>
            <w:vMerge w:val="continue"/>
            <w:vAlign w:val="center"/>
          </w:tcPr>
          <w:p w14:paraId="41954200">
            <w:pPr>
              <w:pStyle w:val="133"/>
            </w:pPr>
          </w:p>
        </w:tc>
        <w:tc>
          <w:tcPr>
            <w:tcW w:w="1443" w:type="pct"/>
            <w:vAlign w:val="center"/>
          </w:tcPr>
          <w:p w14:paraId="1611D68A">
            <w:pPr>
              <w:pStyle w:val="133"/>
            </w:pPr>
            <w:r>
              <w:t>新增污染源</w:t>
            </w:r>
          </w:p>
          <w:p w14:paraId="45602C1F">
            <w:pPr>
              <w:pStyle w:val="133"/>
            </w:pPr>
            <w:r>
              <w:rPr>
                <w:rFonts w:hint="eastAsia"/>
              </w:rPr>
              <w:t>-</w:t>
            </w:r>
          </w:p>
          <w:p w14:paraId="15897FC0">
            <w:pPr>
              <w:pStyle w:val="133"/>
            </w:pPr>
            <w:r>
              <w:rPr>
                <w:rFonts w:hint="eastAsia"/>
              </w:rPr>
              <w:t>“以新带老”污染源</w:t>
            </w:r>
          </w:p>
          <w:p w14:paraId="788AD415">
            <w:pPr>
              <w:pStyle w:val="133"/>
            </w:pPr>
            <w:r>
              <w:rPr>
                <w:rFonts w:hint="eastAsia"/>
              </w:rPr>
              <w:t>+</w:t>
            </w:r>
          </w:p>
          <w:p w14:paraId="4E1C0B82">
            <w:pPr>
              <w:pStyle w:val="133"/>
            </w:pPr>
            <w:r>
              <w:t>其他在建、拟建的污染源</w:t>
            </w:r>
          </w:p>
        </w:tc>
        <w:tc>
          <w:tcPr>
            <w:tcW w:w="598" w:type="pct"/>
            <w:vAlign w:val="center"/>
          </w:tcPr>
          <w:p w14:paraId="24F25FAE">
            <w:pPr>
              <w:pStyle w:val="133"/>
            </w:pPr>
            <w:r>
              <w:t>正常排放</w:t>
            </w:r>
          </w:p>
        </w:tc>
        <w:tc>
          <w:tcPr>
            <w:tcW w:w="600" w:type="pct"/>
            <w:vAlign w:val="center"/>
          </w:tcPr>
          <w:p w14:paraId="014D6DCE">
            <w:pPr>
              <w:pStyle w:val="133"/>
            </w:pPr>
            <w:r>
              <w:t>短期浓度</w:t>
            </w:r>
          </w:p>
          <w:p w14:paraId="127A3847">
            <w:pPr>
              <w:pStyle w:val="133"/>
            </w:pPr>
            <w:r>
              <w:t>长期浓度</w:t>
            </w:r>
          </w:p>
        </w:tc>
        <w:tc>
          <w:tcPr>
            <w:tcW w:w="1754" w:type="pct"/>
            <w:vAlign w:val="center"/>
          </w:tcPr>
          <w:p w14:paraId="75CDB75C">
            <w:pPr>
              <w:pStyle w:val="133"/>
            </w:pPr>
            <w:r>
              <w:t>叠加现状背景浓度后的保证率日平均质量浓度和年平均质量浓度的占标率，或短期浓度的达标情况</w:t>
            </w:r>
          </w:p>
        </w:tc>
      </w:tr>
      <w:tr w14:paraId="4EC7F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605" w:type="pct"/>
            <w:vMerge w:val="continue"/>
            <w:vAlign w:val="center"/>
          </w:tcPr>
          <w:p w14:paraId="53A2036D">
            <w:pPr>
              <w:pStyle w:val="133"/>
            </w:pPr>
          </w:p>
        </w:tc>
        <w:tc>
          <w:tcPr>
            <w:tcW w:w="1443" w:type="pct"/>
            <w:vAlign w:val="center"/>
          </w:tcPr>
          <w:p w14:paraId="096A5414">
            <w:pPr>
              <w:pStyle w:val="133"/>
            </w:pPr>
            <w:r>
              <w:t>新增污染源</w:t>
            </w:r>
          </w:p>
        </w:tc>
        <w:tc>
          <w:tcPr>
            <w:tcW w:w="598" w:type="pct"/>
            <w:vAlign w:val="center"/>
          </w:tcPr>
          <w:p w14:paraId="4F2830D2">
            <w:pPr>
              <w:pStyle w:val="133"/>
            </w:pPr>
            <w:r>
              <w:t>非正常排放</w:t>
            </w:r>
          </w:p>
        </w:tc>
        <w:tc>
          <w:tcPr>
            <w:tcW w:w="600" w:type="pct"/>
            <w:vAlign w:val="center"/>
          </w:tcPr>
          <w:p w14:paraId="53E5D2E9">
            <w:pPr>
              <w:pStyle w:val="133"/>
            </w:pPr>
            <w:r>
              <w:t>1h平均质量浓度</w:t>
            </w:r>
          </w:p>
        </w:tc>
        <w:tc>
          <w:tcPr>
            <w:tcW w:w="1754" w:type="pct"/>
            <w:vAlign w:val="center"/>
          </w:tcPr>
          <w:p w14:paraId="32D920B1">
            <w:pPr>
              <w:pStyle w:val="133"/>
            </w:pPr>
            <w:r>
              <w:t>最大浓度占标率</w:t>
            </w:r>
          </w:p>
        </w:tc>
      </w:tr>
      <w:tr w14:paraId="28560B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605" w:type="pct"/>
            <w:vAlign w:val="center"/>
          </w:tcPr>
          <w:p w14:paraId="694CFBAA">
            <w:pPr>
              <w:pStyle w:val="133"/>
            </w:pPr>
            <w:r>
              <w:t>大气环境防护距离</w:t>
            </w:r>
          </w:p>
        </w:tc>
        <w:tc>
          <w:tcPr>
            <w:tcW w:w="1443" w:type="pct"/>
            <w:vAlign w:val="center"/>
          </w:tcPr>
          <w:p w14:paraId="495F854B">
            <w:pPr>
              <w:pStyle w:val="133"/>
            </w:pPr>
            <w:r>
              <w:t>新增污染源</w:t>
            </w:r>
          </w:p>
          <w:p w14:paraId="70897498">
            <w:pPr>
              <w:pStyle w:val="133"/>
            </w:pPr>
            <w:r>
              <w:t>全厂现有污染源</w:t>
            </w:r>
          </w:p>
        </w:tc>
        <w:tc>
          <w:tcPr>
            <w:tcW w:w="598" w:type="pct"/>
            <w:vAlign w:val="center"/>
          </w:tcPr>
          <w:p w14:paraId="644AF011">
            <w:pPr>
              <w:pStyle w:val="133"/>
            </w:pPr>
            <w:r>
              <w:t>正常排放</w:t>
            </w:r>
          </w:p>
        </w:tc>
        <w:tc>
          <w:tcPr>
            <w:tcW w:w="600" w:type="pct"/>
            <w:vAlign w:val="center"/>
          </w:tcPr>
          <w:p w14:paraId="29E897F7">
            <w:pPr>
              <w:pStyle w:val="133"/>
            </w:pPr>
            <w:r>
              <w:t>短期浓度</w:t>
            </w:r>
          </w:p>
        </w:tc>
        <w:tc>
          <w:tcPr>
            <w:tcW w:w="1754" w:type="pct"/>
            <w:vAlign w:val="center"/>
          </w:tcPr>
          <w:p w14:paraId="5B1AA5C3">
            <w:pPr>
              <w:pStyle w:val="133"/>
            </w:pPr>
            <w:r>
              <w:t>大气环境防护距离</w:t>
            </w:r>
          </w:p>
        </w:tc>
      </w:tr>
    </w:tbl>
    <w:p w14:paraId="07F76EF4">
      <w:pPr>
        <w:pStyle w:val="133"/>
      </w:pPr>
    </w:p>
    <w:p w14:paraId="3A68438F">
      <w:pPr>
        <w:pStyle w:val="117"/>
        <w:ind w:firstLine="480"/>
      </w:pPr>
      <w:r>
        <w:t>具体预测内容主要包括：</w:t>
      </w:r>
    </w:p>
    <w:p w14:paraId="4CF49246">
      <w:pPr>
        <w:pStyle w:val="117"/>
        <w:ind w:firstLine="480"/>
      </w:pPr>
      <w:r>
        <w:t>（1）项目正常排放条件下，预测环境空气保护目标和网格点主要污染物的短期浓度和长期年均浓度贡献值，评价其最大浓度占标率。</w:t>
      </w:r>
    </w:p>
    <w:p w14:paraId="5D9C72A7">
      <w:pPr>
        <w:pStyle w:val="117"/>
        <w:ind w:firstLine="480"/>
      </w:pPr>
      <w:r>
        <w:t>（2）项目正常排放条件下，预测评价叠加环境空气质量现状浓度、同时叠加在建、拟建项目的环境影响后环境空气保护目标和网格点主要污染物保证率日平均浓度和年平均质量浓度的达标情况；对于NH</w:t>
      </w:r>
      <w:r>
        <w:rPr>
          <w:vertAlign w:val="subscript"/>
        </w:rPr>
        <w:t>3</w:t>
      </w:r>
      <w:r>
        <w:rPr>
          <w:rFonts w:hint="eastAsia"/>
        </w:rPr>
        <w:t>、</w:t>
      </w:r>
      <w:r>
        <w:t>H</w:t>
      </w:r>
      <w:r>
        <w:rPr>
          <w:vertAlign w:val="subscript"/>
        </w:rPr>
        <w:t>2</w:t>
      </w:r>
      <w:r>
        <w:t>S</w:t>
      </w:r>
      <w:r>
        <w:rPr>
          <w:rFonts w:hint="eastAsia"/>
        </w:rPr>
        <w:t>和非甲烷总烃</w:t>
      </w:r>
      <w:r>
        <w:t>等仅有短期浓度限值的，评价其短期浓度叠加后的达标情况。</w:t>
      </w:r>
    </w:p>
    <w:p w14:paraId="000CE668">
      <w:pPr>
        <w:pStyle w:val="117"/>
        <w:ind w:firstLine="480"/>
      </w:pPr>
      <w:r>
        <w:rPr>
          <w:rFonts w:hint="eastAsia"/>
        </w:rPr>
        <w:t>（3）</w:t>
      </w:r>
      <w:r>
        <w:t>项目正常排放条件下，</w:t>
      </w:r>
      <w:r>
        <w:rPr>
          <w:rFonts w:hint="eastAsia"/>
        </w:rPr>
        <w:t>预测二次PM2.5</w:t>
      </w:r>
      <w:r>
        <w:t>短期浓度和长期年均浓度贡献值，评价其最大浓度占标率。</w:t>
      </w:r>
    </w:p>
    <w:p w14:paraId="55E747BC">
      <w:pPr>
        <w:pStyle w:val="117"/>
        <w:ind w:firstLine="480"/>
      </w:pPr>
      <w:r>
        <w:t>（</w:t>
      </w:r>
      <w:r>
        <w:rPr>
          <w:rFonts w:hint="eastAsia"/>
        </w:rPr>
        <w:t>4</w:t>
      </w:r>
      <w:r>
        <w:t>）项目非正常排放条件下，预测环境空气保护目标和网格点主要污染物</w:t>
      </w:r>
      <w:r>
        <w:rPr>
          <w:rStyle w:val="162"/>
        </w:rPr>
        <w:t>SO</w:t>
      </w:r>
      <w:r>
        <w:rPr>
          <w:rStyle w:val="162"/>
          <w:vertAlign w:val="subscript"/>
        </w:rPr>
        <w:t>2</w:t>
      </w:r>
      <w:r>
        <w:rPr>
          <w:rStyle w:val="162"/>
        </w:rPr>
        <w:t>、NO</w:t>
      </w:r>
      <w:r>
        <w:rPr>
          <w:rStyle w:val="162"/>
          <w:vertAlign w:val="subscript"/>
        </w:rPr>
        <w:t>2</w:t>
      </w:r>
      <w:r>
        <w:t>等的1h最大浓度贡献值，评价其最大浓度占标率。</w:t>
      </w:r>
    </w:p>
    <w:p w14:paraId="24B7D3AF">
      <w:pPr>
        <w:pStyle w:val="117"/>
        <w:ind w:firstLine="480"/>
      </w:pPr>
      <w:r>
        <w:t>（</w:t>
      </w:r>
      <w:r>
        <w:rPr>
          <w:rFonts w:hint="eastAsia"/>
        </w:rPr>
        <w:t>5</w:t>
      </w:r>
      <w:r>
        <w:t>）项目正常排放条件下，预测主要污染物在厂界附近的短期浓度，计算大气环境防护距离。</w:t>
      </w:r>
    </w:p>
    <w:p w14:paraId="21BCAF7E">
      <w:pPr>
        <w:pStyle w:val="117"/>
        <w:ind w:firstLine="480"/>
      </w:pPr>
      <w:r>
        <w:rPr>
          <w:rFonts w:hint="eastAsia"/>
        </w:rPr>
        <w:t>（6）评价区域环境质量的整体变化情况。</w:t>
      </w:r>
    </w:p>
    <w:p w14:paraId="3B40B8FD">
      <w:pPr>
        <w:pStyle w:val="138"/>
        <w:rPr>
          <w:rFonts w:hint="eastAsia"/>
        </w:rPr>
      </w:pPr>
      <w:r>
        <w:t>预测评价标准</w:t>
      </w:r>
    </w:p>
    <w:p w14:paraId="3D05A8A3">
      <w:pPr>
        <w:pStyle w:val="102"/>
        <w:spacing w:line="360" w:lineRule="auto"/>
        <w:ind w:firstLine="480"/>
        <w:rPr>
          <w:rFonts w:ascii="Times New Roman" w:hAnsi="Times New Roman" w:eastAsia="宋体"/>
        </w:rPr>
      </w:pPr>
      <w:r>
        <w:rPr>
          <w:rFonts w:hint="eastAsia" w:ascii="Times New Roman" w:hAnsi="Times New Roman" w:eastAsia="宋体"/>
        </w:rPr>
        <w:t>项目排放的SO</w:t>
      </w:r>
      <w:r>
        <w:rPr>
          <w:rFonts w:hint="eastAsia" w:ascii="Times New Roman" w:hAnsi="Times New Roman" w:eastAsia="宋体"/>
          <w:vertAlign w:val="subscript"/>
        </w:rPr>
        <w:t>2</w:t>
      </w:r>
      <w:r>
        <w:rPr>
          <w:rFonts w:hint="eastAsia" w:ascii="Times New Roman" w:hAnsi="Times New Roman" w:eastAsia="宋体"/>
        </w:rPr>
        <w:t>、NO</w:t>
      </w:r>
      <w:r>
        <w:rPr>
          <w:rFonts w:hint="eastAsia" w:ascii="Times New Roman" w:hAnsi="Times New Roman" w:eastAsia="宋体"/>
          <w:vertAlign w:val="subscript"/>
        </w:rPr>
        <w:t>2</w:t>
      </w:r>
      <w:r>
        <w:rPr>
          <w:rFonts w:hint="eastAsia" w:ascii="Times New Roman" w:hAnsi="Times New Roman" w:eastAsia="宋体"/>
        </w:rPr>
        <w:t>、PM</w:t>
      </w:r>
      <w:r>
        <w:rPr>
          <w:rFonts w:hint="eastAsia" w:ascii="Times New Roman" w:hAnsi="Times New Roman" w:eastAsia="宋体"/>
          <w:vertAlign w:val="subscript"/>
        </w:rPr>
        <w:t>10</w:t>
      </w:r>
      <w:r>
        <w:rPr>
          <w:rFonts w:hint="eastAsia" w:ascii="Times New Roman" w:hAnsi="Times New Roman" w:eastAsia="宋体"/>
        </w:rPr>
        <w:t>、PM</w:t>
      </w:r>
      <w:r>
        <w:rPr>
          <w:rFonts w:hint="eastAsia" w:ascii="Times New Roman" w:hAnsi="Times New Roman" w:eastAsia="宋体"/>
          <w:vertAlign w:val="subscript"/>
        </w:rPr>
        <w:t>2.5</w:t>
      </w:r>
      <w:r>
        <w:rPr>
          <w:rFonts w:hint="eastAsia" w:ascii="Times New Roman" w:hAnsi="Times New Roman" w:eastAsia="宋体"/>
        </w:rPr>
        <w:t>、T</w:t>
      </w:r>
      <w:r>
        <w:rPr>
          <w:rFonts w:ascii="Times New Roman" w:hAnsi="Times New Roman" w:eastAsia="宋体"/>
        </w:rPr>
        <w:t>SP</w:t>
      </w:r>
      <w:r>
        <w:rPr>
          <w:rFonts w:hint="eastAsia" w:ascii="Times New Roman" w:hAnsi="Times New Roman" w:eastAsia="宋体"/>
        </w:rPr>
        <w:t>、BaP等污染物执行《环境空气质量标准》（GB3095-2012）二级标准。NH</w:t>
      </w:r>
      <w:r>
        <w:rPr>
          <w:rFonts w:hint="eastAsia" w:ascii="Times New Roman" w:hAnsi="Times New Roman" w:eastAsia="宋体"/>
          <w:vertAlign w:val="subscript"/>
        </w:rPr>
        <w:t>3</w:t>
      </w:r>
      <w:r>
        <w:rPr>
          <w:rFonts w:hint="eastAsia" w:ascii="Times New Roman" w:hAnsi="Times New Roman" w:eastAsia="宋体"/>
        </w:rPr>
        <w:t>、H</w:t>
      </w:r>
      <w:r>
        <w:rPr>
          <w:rFonts w:hint="eastAsia" w:ascii="Times New Roman" w:hAnsi="Times New Roman" w:eastAsia="宋体"/>
          <w:vertAlign w:val="subscript"/>
        </w:rPr>
        <w:t>2</w:t>
      </w:r>
      <w:r>
        <w:rPr>
          <w:rFonts w:hint="eastAsia" w:ascii="Times New Roman" w:hAnsi="Times New Roman" w:eastAsia="宋体"/>
        </w:rPr>
        <w:t>S执行《环境影响评价技术导则 大气环境》（HJ2.2-2018）附录D中表D.1其他污染物空气质量浓度参考限值；NMHC执行《大气污染物综合排放标准详解》中一次浓度限值。具体见表5.2-15。</w:t>
      </w:r>
    </w:p>
    <w:p w14:paraId="1D23502E">
      <w:pPr>
        <w:pStyle w:val="118"/>
      </w:pPr>
      <w:r>
        <w:t>表</w:t>
      </w:r>
      <w:r>
        <w:rPr>
          <w:rFonts w:hint="eastAsia"/>
        </w:rPr>
        <w:t>5</w:t>
      </w:r>
      <w:r>
        <w:t>.2-1</w:t>
      </w:r>
      <w:r>
        <w:rPr>
          <w:rFonts w:hint="eastAsia"/>
        </w:rPr>
        <w:t>5</w:t>
      </w:r>
      <w:r>
        <w:t xml:space="preserve">  大气预测评价标准一览表单位</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33"/>
        <w:gridCol w:w="1416"/>
        <w:gridCol w:w="1986"/>
        <w:gridCol w:w="1703"/>
        <w:gridCol w:w="2884"/>
      </w:tblGrid>
      <w:tr w14:paraId="1095F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5462BE02">
            <w:pPr>
              <w:pStyle w:val="133"/>
              <w:rPr>
                <w:b/>
                <w:bCs/>
              </w:rPr>
            </w:pPr>
            <w:r>
              <w:rPr>
                <w:rFonts w:hint="eastAsia"/>
                <w:b/>
                <w:bCs/>
              </w:rPr>
              <w:t>序号</w:t>
            </w:r>
          </w:p>
        </w:tc>
        <w:tc>
          <w:tcPr>
            <w:tcW w:w="831" w:type="pct"/>
            <w:vMerge w:val="restart"/>
            <w:vAlign w:val="center"/>
          </w:tcPr>
          <w:p w14:paraId="6B204690">
            <w:pPr>
              <w:pStyle w:val="133"/>
              <w:rPr>
                <w:b/>
                <w:bCs/>
              </w:rPr>
            </w:pPr>
            <w:r>
              <w:rPr>
                <w:rFonts w:hint="eastAsia"/>
                <w:b/>
                <w:bCs/>
              </w:rPr>
              <w:t>污染物名称</w:t>
            </w:r>
          </w:p>
        </w:tc>
        <w:tc>
          <w:tcPr>
            <w:tcW w:w="1165" w:type="pct"/>
            <w:vMerge w:val="restart"/>
            <w:vAlign w:val="center"/>
          </w:tcPr>
          <w:p w14:paraId="503FFB79">
            <w:pPr>
              <w:pStyle w:val="133"/>
              <w:rPr>
                <w:b/>
                <w:bCs/>
              </w:rPr>
            </w:pPr>
            <w:r>
              <w:rPr>
                <w:rFonts w:hint="eastAsia"/>
                <w:b/>
                <w:bCs/>
              </w:rPr>
              <w:t>取值时间</w:t>
            </w:r>
          </w:p>
        </w:tc>
        <w:tc>
          <w:tcPr>
            <w:tcW w:w="2691" w:type="pct"/>
            <w:gridSpan w:val="2"/>
            <w:vAlign w:val="center"/>
          </w:tcPr>
          <w:p w14:paraId="419F1FDB">
            <w:pPr>
              <w:pStyle w:val="133"/>
              <w:rPr>
                <w:b/>
                <w:bCs/>
              </w:rPr>
            </w:pPr>
            <w:r>
              <w:rPr>
                <w:rFonts w:hint="eastAsia"/>
                <w:b/>
                <w:bCs/>
              </w:rPr>
              <w:t>本次评价标准</w:t>
            </w:r>
          </w:p>
        </w:tc>
      </w:tr>
      <w:tr w14:paraId="0B896F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64715F02">
            <w:pPr>
              <w:pStyle w:val="133"/>
              <w:rPr>
                <w:b/>
                <w:bCs/>
              </w:rPr>
            </w:pPr>
          </w:p>
        </w:tc>
        <w:tc>
          <w:tcPr>
            <w:tcW w:w="831" w:type="pct"/>
            <w:vMerge w:val="continue"/>
            <w:vAlign w:val="center"/>
          </w:tcPr>
          <w:p w14:paraId="6C56B3FA">
            <w:pPr>
              <w:pStyle w:val="133"/>
              <w:rPr>
                <w:b/>
                <w:bCs/>
              </w:rPr>
            </w:pPr>
          </w:p>
        </w:tc>
        <w:tc>
          <w:tcPr>
            <w:tcW w:w="1165" w:type="pct"/>
            <w:vMerge w:val="continue"/>
            <w:vAlign w:val="center"/>
          </w:tcPr>
          <w:p w14:paraId="55437F5F">
            <w:pPr>
              <w:pStyle w:val="133"/>
              <w:rPr>
                <w:b/>
                <w:bCs/>
              </w:rPr>
            </w:pPr>
          </w:p>
        </w:tc>
        <w:tc>
          <w:tcPr>
            <w:tcW w:w="999" w:type="pct"/>
            <w:vAlign w:val="center"/>
          </w:tcPr>
          <w:p w14:paraId="197A3B9A">
            <w:pPr>
              <w:pStyle w:val="133"/>
              <w:rPr>
                <w:b/>
                <w:bCs/>
              </w:rPr>
            </w:pPr>
            <w:r>
              <w:rPr>
                <w:rFonts w:hint="eastAsia"/>
                <w:b/>
                <w:bCs/>
              </w:rPr>
              <w:t>标准值（</w:t>
            </w:r>
            <w:r>
              <w:rPr>
                <w:rFonts w:cs="Times New Roman"/>
                <w:b/>
                <w:bCs/>
              </w:rPr>
              <w:t>μ</w:t>
            </w:r>
            <w:r>
              <w:rPr>
                <w:rFonts w:hint="eastAsia"/>
                <w:b/>
                <w:bCs/>
              </w:rPr>
              <w:t>g/m</w:t>
            </w:r>
            <w:r>
              <w:rPr>
                <w:rFonts w:hint="eastAsia"/>
                <w:b/>
                <w:bCs/>
                <w:vertAlign w:val="superscript"/>
              </w:rPr>
              <w:t>3</w:t>
            </w:r>
            <w:r>
              <w:rPr>
                <w:rFonts w:hint="eastAsia"/>
                <w:b/>
                <w:bCs/>
              </w:rPr>
              <w:t>）</w:t>
            </w:r>
          </w:p>
        </w:tc>
        <w:tc>
          <w:tcPr>
            <w:tcW w:w="1692" w:type="pct"/>
            <w:vAlign w:val="center"/>
          </w:tcPr>
          <w:p w14:paraId="014D3F7E">
            <w:pPr>
              <w:pStyle w:val="133"/>
              <w:rPr>
                <w:b/>
                <w:bCs/>
              </w:rPr>
            </w:pPr>
            <w:r>
              <w:rPr>
                <w:rFonts w:hint="eastAsia"/>
                <w:b/>
                <w:bCs/>
              </w:rPr>
              <w:t>标准来源</w:t>
            </w:r>
          </w:p>
        </w:tc>
      </w:tr>
      <w:tr w14:paraId="3EEAD7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327E1071">
            <w:pPr>
              <w:pStyle w:val="133"/>
            </w:pPr>
            <w:r>
              <w:rPr>
                <w:rFonts w:hint="eastAsia"/>
              </w:rPr>
              <w:t>1</w:t>
            </w:r>
          </w:p>
        </w:tc>
        <w:tc>
          <w:tcPr>
            <w:tcW w:w="831" w:type="pct"/>
            <w:vMerge w:val="restart"/>
            <w:vAlign w:val="center"/>
          </w:tcPr>
          <w:p w14:paraId="29499FBF">
            <w:pPr>
              <w:pStyle w:val="133"/>
            </w:pPr>
            <w:r>
              <w:rPr>
                <w:rFonts w:hint="eastAsia"/>
              </w:rPr>
              <w:t>PM</w:t>
            </w:r>
            <w:r>
              <w:rPr>
                <w:rFonts w:hint="eastAsia"/>
                <w:vertAlign w:val="subscript"/>
              </w:rPr>
              <w:t>2.5</w:t>
            </w:r>
          </w:p>
        </w:tc>
        <w:tc>
          <w:tcPr>
            <w:tcW w:w="1165" w:type="pct"/>
            <w:vAlign w:val="center"/>
          </w:tcPr>
          <w:p w14:paraId="088238AC">
            <w:pPr>
              <w:pStyle w:val="133"/>
            </w:pPr>
            <w:r>
              <w:rPr>
                <w:rFonts w:hint="eastAsia"/>
              </w:rPr>
              <w:t>年平均</w:t>
            </w:r>
          </w:p>
        </w:tc>
        <w:tc>
          <w:tcPr>
            <w:tcW w:w="999" w:type="pct"/>
            <w:vAlign w:val="center"/>
          </w:tcPr>
          <w:p w14:paraId="06C4C4E4">
            <w:pPr>
              <w:pStyle w:val="133"/>
            </w:pPr>
            <w:r>
              <w:rPr>
                <w:rFonts w:hint="eastAsia"/>
              </w:rPr>
              <w:t>35</w:t>
            </w:r>
          </w:p>
        </w:tc>
        <w:tc>
          <w:tcPr>
            <w:tcW w:w="1692" w:type="pct"/>
            <w:vMerge w:val="restart"/>
            <w:vAlign w:val="center"/>
          </w:tcPr>
          <w:p w14:paraId="45C2029B">
            <w:pPr>
              <w:pStyle w:val="133"/>
            </w:pPr>
            <w:r>
              <w:rPr>
                <w:rFonts w:hint="eastAsia"/>
              </w:rPr>
              <w:t>《环境空气质量标准》（GB3095-2012）</w:t>
            </w:r>
          </w:p>
        </w:tc>
      </w:tr>
      <w:tr w14:paraId="1260DD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524ADA0F">
            <w:pPr>
              <w:pStyle w:val="133"/>
            </w:pPr>
          </w:p>
        </w:tc>
        <w:tc>
          <w:tcPr>
            <w:tcW w:w="831" w:type="pct"/>
            <w:vMerge w:val="continue"/>
            <w:vAlign w:val="center"/>
          </w:tcPr>
          <w:p w14:paraId="1C9C5495">
            <w:pPr>
              <w:pStyle w:val="133"/>
            </w:pPr>
          </w:p>
        </w:tc>
        <w:tc>
          <w:tcPr>
            <w:tcW w:w="1165" w:type="pct"/>
            <w:vAlign w:val="center"/>
          </w:tcPr>
          <w:p w14:paraId="34659785">
            <w:pPr>
              <w:pStyle w:val="133"/>
            </w:pPr>
            <w:r>
              <w:rPr>
                <w:rFonts w:hint="eastAsia"/>
              </w:rPr>
              <w:t>24小时平均</w:t>
            </w:r>
          </w:p>
        </w:tc>
        <w:tc>
          <w:tcPr>
            <w:tcW w:w="999" w:type="pct"/>
            <w:vAlign w:val="center"/>
          </w:tcPr>
          <w:p w14:paraId="3872966B">
            <w:pPr>
              <w:pStyle w:val="133"/>
            </w:pPr>
            <w:r>
              <w:rPr>
                <w:rFonts w:hint="eastAsia"/>
              </w:rPr>
              <w:t>75</w:t>
            </w:r>
          </w:p>
        </w:tc>
        <w:tc>
          <w:tcPr>
            <w:tcW w:w="1692" w:type="pct"/>
            <w:vMerge w:val="continue"/>
            <w:vAlign w:val="center"/>
          </w:tcPr>
          <w:p w14:paraId="1F015D31">
            <w:pPr>
              <w:pStyle w:val="133"/>
            </w:pPr>
          </w:p>
        </w:tc>
      </w:tr>
      <w:tr w14:paraId="0B0486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292C68EA">
            <w:pPr>
              <w:pStyle w:val="133"/>
            </w:pPr>
            <w:r>
              <w:rPr>
                <w:rFonts w:hint="eastAsia"/>
              </w:rPr>
              <w:t>2</w:t>
            </w:r>
          </w:p>
        </w:tc>
        <w:tc>
          <w:tcPr>
            <w:tcW w:w="831" w:type="pct"/>
            <w:vMerge w:val="restart"/>
            <w:vAlign w:val="center"/>
          </w:tcPr>
          <w:p w14:paraId="27C195A0">
            <w:pPr>
              <w:pStyle w:val="133"/>
            </w:pPr>
            <w:r>
              <w:rPr>
                <w:rFonts w:hint="eastAsia"/>
              </w:rPr>
              <w:t>PM</w:t>
            </w:r>
            <w:r>
              <w:rPr>
                <w:rFonts w:hint="eastAsia"/>
                <w:vertAlign w:val="subscript"/>
              </w:rPr>
              <w:t>10</w:t>
            </w:r>
          </w:p>
        </w:tc>
        <w:tc>
          <w:tcPr>
            <w:tcW w:w="1165" w:type="pct"/>
            <w:vAlign w:val="center"/>
          </w:tcPr>
          <w:p w14:paraId="4895F2F1">
            <w:pPr>
              <w:pStyle w:val="133"/>
            </w:pPr>
            <w:r>
              <w:rPr>
                <w:rFonts w:hint="eastAsia"/>
              </w:rPr>
              <w:t>年平均</w:t>
            </w:r>
          </w:p>
        </w:tc>
        <w:tc>
          <w:tcPr>
            <w:tcW w:w="999" w:type="pct"/>
            <w:vAlign w:val="center"/>
          </w:tcPr>
          <w:p w14:paraId="3B95DCE5">
            <w:pPr>
              <w:pStyle w:val="133"/>
            </w:pPr>
            <w:r>
              <w:rPr>
                <w:rFonts w:hint="eastAsia"/>
              </w:rPr>
              <w:t>70</w:t>
            </w:r>
          </w:p>
        </w:tc>
        <w:tc>
          <w:tcPr>
            <w:tcW w:w="1692" w:type="pct"/>
            <w:vMerge w:val="continue"/>
            <w:vAlign w:val="center"/>
          </w:tcPr>
          <w:p w14:paraId="7F4812C2">
            <w:pPr>
              <w:pStyle w:val="133"/>
            </w:pPr>
          </w:p>
        </w:tc>
      </w:tr>
      <w:tr w14:paraId="67DE4B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47B9F676">
            <w:pPr>
              <w:pStyle w:val="133"/>
            </w:pPr>
          </w:p>
        </w:tc>
        <w:tc>
          <w:tcPr>
            <w:tcW w:w="831" w:type="pct"/>
            <w:vMerge w:val="continue"/>
            <w:vAlign w:val="center"/>
          </w:tcPr>
          <w:p w14:paraId="4430F312">
            <w:pPr>
              <w:pStyle w:val="133"/>
            </w:pPr>
          </w:p>
        </w:tc>
        <w:tc>
          <w:tcPr>
            <w:tcW w:w="1165" w:type="pct"/>
            <w:vAlign w:val="center"/>
          </w:tcPr>
          <w:p w14:paraId="24E9CA17">
            <w:pPr>
              <w:pStyle w:val="133"/>
            </w:pPr>
            <w:r>
              <w:rPr>
                <w:rFonts w:hint="eastAsia"/>
              </w:rPr>
              <w:t>24小时平均</w:t>
            </w:r>
          </w:p>
        </w:tc>
        <w:tc>
          <w:tcPr>
            <w:tcW w:w="999" w:type="pct"/>
            <w:vAlign w:val="center"/>
          </w:tcPr>
          <w:p w14:paraId="37FA91F3">
            <w:pPr>
              <w:pStyle w:val="133"/>
            </w:pPr>
            <w:r>
              <w:rPr>
                <w:rFonts w:hint="eastAsia"/>
              </w:rPr>
              <w:t>150</w:t>
            </w:r>
          </w:p>
        </w:tc>
        <w:tc>
          <w:tcPr>
            <w:tcW w:w="1692" w:type="pct"/>
            <w:vMerge w:val="continue"/>
            <w:vAlign w:val="center"/>
          </w:tcPr>
          <w:p w14:paraId="22BDD698">
            <w:pPr>
              <w:pStyle w:val="133"/>
            </w:pPr>
          </w:p>
        </w:tc>
      </w:tr>
      <w:tr w14:paraId="508681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55FD9622">
            <w:pPr>
              <w:pStyle w:val="133"/>
            </w:pPr>
            <w:r>
              <w:rPr>
                <w:rFonts w:hint="eastAsia"/>
              </w:rPr>
              <w:t>3</w:t>
            </w:r>
          </w:p>
        </w:tc>
        <w:tc>
          <w:tcPr>
            <w:tcW w:w="831" w:type="pct"/>
            <w:vMerge w:val="restart"/>
            <w:vAlign w:val="center"/>
          </w:tcPr>
          <w:p w14:paraId="7C757967">
            <w:pPr>
              <w:pStyle w:val="133"/>
            </w:pPr>
            <w:r>
              <w:rPr>
                <w:rFonts w:hint="eastAsia"/>
              </w:rPr>
              <w:t>SO</w:t>
            </w:r>
            <w:r>
              <w:rPr>
                <w:rFonts w:hint="eastAsia"/>
                <w:vertAlign w:val="subscript"/>
              </w:rPr>
              <w:t>2</w:t>
            </w:r>
          </w:p>
        </w:tc>
        <w:tc>
          <w:tcPr>
            <w:tcW w:w="1165" w:type="pct"/>
            <w:vAlign w:val="center"/>
          </w:tcPr>
          <w:p w14:paraId="41BF6991">
            <w:pPr>
              <w:pStyle w:val="133"/>
            </w:pPr>
            <w:r>
              <w:rPr>
                <w:rFonts w:hint="eastAsia"/>
              </w:rPr>
              <w:t>年平均</w:t>
            </w:r>
          </w:p>
        </w:tc>
        <w:tc>
          <w:tcPr>
            <w:tcW w:w="999" w:type="pct"/>
            <w:vAlign w:val="center"/>
          </w:tcPr>
          <w:p w14:paraId="6741B0F9">
            <w:pPr>
              <w:pStyle w:val="133"/>
            </w:pPr>
            <w:r>
              <w:rPr>
                <w:rFonts w:hint="eastAsia"/>
              </w:rPr>
              <w:t>60</w:t>
            </w:r>
          </w:p>
        </w:tc>
        <w:tc>
          <w:tcPr>
            <w:tcW w:w="1692" w:type="pct"/>
            <w:vMerge w:val="continue"/>
            <w:vAlign w:val="center"/>
          </w:tcPr>
          <w:p w14:paraId="5E2F1D5E">
            <w:pPr>
              <w:pStyle w:val="133"/>
            </w:pPr>
          </w:p>
        </w:tc>
      </w:tr>
      <w:tr w14:paraId="746D7B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53354410">
            <w:pPr>
              <w:pStyle w:val="133"/>
            </w:pPr>
          </w:p>
        </w:tc>
        <w:tc>
          <w:tcPr>
            <w:tcW w:w="831" w:type="pct"/>
            <w:vMerge w:val="continue"/>
            <w:vAlign w:val="center"/>
          </w:tcPr>
          <w:p w14:paraId="3D80F766">
            <w:pPr>
              <w:pStyle w:val="133"/>
            </w:pPr>
          </w:p>
        </w:tc>
        <w:tc>
          <w:tcPr>
            <w:tcW w:w="1165" w:type="pct"/>
            <w:vAlign w:val="center"/>
          </w:tcPr>
          <w:p w14:paraId="179FD8E0">
            <w:pPr>
              <w:pStyle w:val="133"/>
            </w:pPr>
            <w:r>
              <w:rPr>
                <w:rFonts w:hint="eastAsia"/>
              </w:rPr>
              <w:t>24小时平均</w:t>
            </w:r>
          </w:p>
        </w:tc>
        <w:tc>
          <w:tcPr>
            <w:tcW w:w="999" w:type="pct"/>
            <w:vAlign w:val="center"/>
          </w:tcPr>
          <w:p w14:paraId="6A4FD487">
            <w:pPr>
              <w:pStyle w:val="133"/>
            </w:pPr>
            <w:r>
              <w:rPr>
                <w:rFonts w:hint="eastAsia"/>
              </w:rPr>
              <w:t>150</w:t>
            </w:r>
          </w:p>
        </w:tc>
        <w:tc>
          <w:tcPr>
            <w:tcW w:w="1692" w:type="pct"/>
            <w:vMerge w:val="continue"/>
            <w:vAlign w:val="center"/>
          </w:tcPr>
          <w:p w14:paraId="13992001">
            <w:pPr>
              <w:pStyle w:val="133"/>
            </w:pPr>
          </w:p>
        </w:tc>
      </w:tr>
      <w:tr w14:paraId="320101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27273BEF">
            <w:pPr>
              <w:pStyle w:val="133"/>
            </w:pPr>
          </w:p>
        </w:tc>
        <w:tc>
          <w:tcPr>
            <w:tcW w:w="831" w:type="pct"/>
            <w:vMerge w:val="continue"/>
            <w:vAlign w:val="center"/>
          </w:tcPr>
          <w:p w14:paraId="27330B47">
            <w:pPr>
              <w:pStyle w:val="133"/>
            </w:pPr>
          </w:p>
        </w:tc>
        <w:tc>
          <w:tcPr>
            <w:tcW w:w="1165" w:type="pct"/>
            <w:vAlign w:val="center"/>
          </w:tcPr>
          <w:p w14:paraId="6C447942">
            <w:pPr>
              <w:pStyle w:val="133"/>
            </w:pPr>
            <w:r>
              <w:rPr>
                <w:rFonts w:hint="eastAsia"/>
              </w:rPr>
              <w:t>1小时平均</w:t>
            </w:r>
          </w:p>
        </w:tc>
        <w:tc>
          <w:tcPr>
            <w:tcW w:w="999" w:type="pct"/>
            <w:vAlign w:val="center"/>
          </w:tcPr>
          <w:p w14:paraId="19ECCA59">
            <w:pPr>
              <w:pStyle w:val="133"/>
            </w:pPr>
            <w:r>
              <w:rPr>
                <w:rFonts w:hint="eastAsia"/>
              </w:rPr>
              <w:t>500</w:t>
            </w:r>
          </w:p>
        </w:tc>
        <w:tc>
          <w:tcPr>
            <w:tcW w:w="1692" w:type="pct"/>
            <w:vMerge w:val="continue"/>
            <w:vAlign w:val="center"/>
          </w:tcPr>
          <w:p w14:paraId="2C1B6511">
            <w:pPr>
              <w:pStyle w:val="133"/>
            </w:pPr>
          </w:p>
        </w:tc>
      </w:tr>
      <w:tr w14:paraId="200AB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6BA3CB3D">
            <w:pPr>
              <w:pStyle w:val="133"/>
            </w:pPr>
            <w:r>
              <w:rPr>
                <w:rFonts w:hint="eastAsia"/>
              </w:rPr>
              <w:t>4</w:t>
            </w:r>
          </w:p>
        </w:tc>
        <w:tc>
          <w:tcPr>
            <w:tcW w:w="831" w:type="pct"/>
            <w:vMerge w:val="restart"/>
            <w:vAlign w:val="center"/>
          </w:tcPr>
          <w:p w14:paraId="05B8DC66">
            <w:pPr>
              <w:pStyle w:val="133"/>
            </w:pPr>
            <w:r>
              <w:rPr>
                <w:rFonts w:hint="eastAsia"/>
              </w:rPr>
              <w:t>NO</w:t>
            </w:r>
            <w:r>
              <w:rPr>
                <w:rFonts w:hint="eastAsia"/>
                <w:vertAlign w:val="subscript"/>
              </w:rPr>
              <w:t>2</w:t>
            </w:r>
          </w:p>
        </w:tc>
        <w:tc>
          <w:tcPr>
            <w:tcW w:w="1165" w:type="pct"/>
            <w:vAlign w:val="center"/>
          </w:tcPr>
          <w:p w14:paraId="1FEBE4A3">
            <w:pPr>
              <w:pStyle w:val="133"/>
            </w:pPr>
            <w:r>
              <w:rPr>
                <w:rFonts w:hint="eastAsia"/>
              </w:rPr>
              <w:t>年平均</w:t>
            </w:r>
          </w:p>
        </w:tc>
        <w:tc>
          <w:tcPr>
            <w:tcW w:w="999" w:type="pct"/>
            <w:vAlign w:val="center"/>
          </w:tcPr>
          <w:p w14:paraId="37AF01CE">
            <w:pPr>
              <w:pStyle w:val="133"/>
            </w:pPr>
            <w:r>
              <w:rPr>
                <w:rFonts w:hint="eastAsia"/>
              </w:rPr>
              <w:t>40</w:t>
            </w:r>
          </w:p>
        </w:tc>
        <w:tc>
          <w:tcPr>
            <w:tcW w:w="1692" w:type="pct"/>
            <w:vMerge w:val="continue"/>
            <w:vAlign w:val="center"/>
          </w:tcPr>
          <w:p w14:paraId="4FE50557">
            <w:pPr>
              <w:pStyle w:val="133"/>
            </w:pPr>
          </w:p>
        </w:tc>
      </w:tr>
      <w:tr w14:paraId="399216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56D01E8A">
            <w:pPr>
              <w:pStyle w:val="133"/>
            </w:pPr>
          </w:p>
        </w:tc>
        <w:tc>
          <w:tcPr>
            <w:tcW w:w="831" w:type="pct"/>
            <w:vMerge w:val="continue"/>
            <w:vAlign w:val="center"/>
          </w:tcPr>
          <w:p w14:paraId="093083C8">
            <w:pPr>
              <w:pStyle w:val="133"/>
            </w:pPr>
          </w:p>
        </w:tc>
        <w:tc>
          <w:tcPr>
            <w:tcW w:w="1165" w:type="pct"/>
            <w:vAlign w:val="center"/>
          </w:tcPr>
          <w:p w14:paraId="253C357F">
            <w:pPr>
              <w:pStyle w:val="133"/>
            </w:pPr>
            <w:r>
              <w:rPr>
                <w:rFonts w:hint="eastAsia"/>
              </w:rPr>
              <w:t>24小时平均</w:t>
            </w:r>
          </w:p>
        </w:tc>
        <w:tc>
          <w:tcPr>
            <w:tcW w:w="999" w:type="pct"/>
            <w:vAlign w:val="center"/>
          </w:tcPr>
          <w:p w14:paraId="11DD1890">
            <w:pPr>
              <w:pStyle w:val="133"/>
            </w:pPr>
            <w:r>
              <w:rPr>
                <w:rFonts w:hint="eastAsia"/>
              </w:rPr>
              <w:t>80</w:t>
            </w:r>
          </w:p>
        </w:tc>
        <w:tc>
          <w:tcPr>
            <w:tcW w:w="1692" w:type="pct"/>
            <w:vMerge w:val="continue"/>
            <w:vAlign w:val="center"/>
          </w:tcPr>
          <w:p w14:paraId="6A041477">
            <w:pPr>
              <w:pStyle w:val="133"/>
            </w:pPr>
          </w:p>
        </w:tc>
      </w:tr>
      <w:tr w14:paraId="7419ED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3470AE4D">
            <w:pPr>
              <w:pStyle w:val="133"/>
            </w:pPr>
          </w:p>
        </w:tc>
        <w:tc>
          <w:tcPr>
            <w:tcW w:w="831" w:type="pct"/>
            <w:vMerge w:val="continue"/>
            <w:vAlign w:val="center"/>
          </w:tcPr>
          <w:p w14:paraId="61DB8282">
            <w:pPr>
              <w:pStyle w:val="133"/>
            </w:pPr>
          </w:p>
        </w:tc>
        <w:tc>
          <w:tcPr>
            <w:tcW w:w="1165" w:type="pct"/>
            <w:vAlign w:val="center"/>
          </w:tcPr>
          <w:p w14:paraId="3D2A9A75">
            <w:pPr>
              <w:pStyle w:val="133"/>
            </w:pPr>
            <w:r>
              <w:rPr>
                <w:rFonts w:hint="eastAsia"/>
              </w:rPr>
              <w:t>1小时平均</w:t>
            </w:r>
          </w:p>
        </w:tc>
        <w:tc>
          <w:tcPr>
            <w:tcW w:w="999" w:type="pct"/>
            <w:vAlign w:val="center"/>
          </w:tcPr>
          <w:p w14:paraId="26743D31">
            <w:pPr>
              <w:pStyle w:val="133"/>
            </w:pPr>
            <w:r>
              <w:rPr>
                <w:rFonts w:hint="eastAsia"/>
              </w:rPr>
              <w:t>200</w:t>
            </w:r>
          </w:p>
        </w:tc>
        <w:tc>
          <w:tcPr>
            <w:tcW w:w="1692" w:type="pct"/>
            <w:vMerge w:val="continue"/>
            <w:vAlign w:val="center"/>
          </w:tcPr>
          <w:p w14:paraId="545C4D9A">
            <w:pPr>
              <w:pStyle w:val="133"/>
            </w:pPr>
          </w:p>
        </w:tc>
      </w:tr>
      <w:tr w14:paraId="5D7587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21C2D2AB">
            <w:pPr>
              <w:pStyle w:val="133"/>
            </w:pPr>
            <w:r>
              <w:rPr>
                <w:rFonts w:hint="eastAsia"/>
              </w:rPr>
              <w:t>5</w:t>
            </w:r>
          </w:p>
        </w:tc>
        <w:tc>
          <w:tcPr>
            <w:tcW w:w="831" w:type="pct"/>
            <w:vMerge w:val="restart"/>
            <w:vAlign w:val="center"/>
          </w:tcPr>
          <w:p w14:paraId="4A189D99">
            <w:pPr>
              <w:pStyle w:val="133"/>
            </w:pPr>
            <w:r>
              <w:rPr>
                <w:rFonts w:hint="eastAsia"/>
              </w:rPr>
              <w:t>CO</w:t>
            </w:r>
          </w:p>
        </w:tc>
        <w:tc>
          <w:tcPr>
            <w:tcW w:w="1165" w:type="pct"/>
            <w:vAlign w:val="center"/>
          </w:tcPr>
          <w:p w14:paraId="2D62C841">
            <w:pPr>
              <w:pStyle w:val="133"/>
            </w:pPr>
            <w:r>
              <w:rPr>
                <w:rFonts w:hint="eastAsia"/>
              </w:rPr>
              <w:t>1小时平均</w:t>
            </w:r>
          </w:p>
        </w:tc>
        <w:tc>
          <w:tcPr>
            <w:tcW w:w="999" w:type="pct"/>
            <w:vAlign w:val="center"/>
          </w:tcPr>
          <w:p w14:paraId="41A93F01">
            <w:pPr>
              <w:pStyle w:val="133"/>
            </w:pPr>
            <w:r>
              <w:rPr>
                <w:rFonts w:hint="eastAsia"/>
              </w:rPr>
              <w:t>10mg/m</w:t>
            </w:r>
            <w:r>
              <w:rPr>
                <w:rFonts w:hint="eastAsia"/>
                <w:vertAlign w:val="superscript"/>
              </w:rPr>
              <w:t>3</w:t>
            </w:r>
          </w:p>
        </w:tc>
        <w:tc>
          <w:tcPr>
            <w:tcW w:w="1692" w:type="pct"/>
            <w:vMerge w:val="continue"/>
            <w:vAlign w:val="center"/>
          </w:tcPr>
          <w:p w14:paraId="14E2D797">
            <w:pPr>
              <w:pStyle w:val="133"/>
            </w:pPr>
          </w:p>
        </w:tc>
      </w:tr>
      <w:tr w14:paraId="2F661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00E037A7">
            <w:pPr>
              <w:pStyle w:val="133"/>
            </w:pPr>
          </w:p>
        </w:tc>
        <w:tc>
          <w:tcPr>
            <w:tcW w:w="831" w:type="pct"/>
            <w:vMerge w:val="continue"/>
            <w:vAlign w:val="center"/>
          </w:tcPr>
          <w:p w14:paraId="34C3BC30">
            <w:pPr>
              <w:pStyle w:val="133"/>
            </w:pPr>
          </w:p>
        </w:tc>
        <w:tc>
          <w:tcPr>
            <w:tcW w:w="1165" w:type="pct"/>
            <w:vAlign w:val="center"/>
          </w:tcPr>
          <w:p w14:paraId="541751F5">
            <w:pPr>
              <w:pStyle w:val="133"/>
            </w:pPr>
            <w:r>
              <w:rPr>
                <w:rFonts w:hint="eastAsia"/>
              </w:rPr>
              <w:t>24小时平均</w:t>
            </w:r>
          </w:p>
        </w:tc>
        <w:tc>
          <w:tcPr>
            <w:tcW w:w="999" w:type="pct"/>
            <w:vAlign w:val="center"/>
          </w:tcPr>
          <w:p w14:paraId="1DB00527">
            <w:pPr>
              <w:pStyle w:val="133"/>
            </w:pPr>
            <w:r>
              <w:rPr>
                <w:rFonts w:hint="eastAsia"/>
              </w:rPr>
              <w:t>4mg/m</w:t>
            </w:r>
            <w:r>
              <w:rPr>
                <w:rFonts w:hint="eastAsia"/>
                <w:vertAlign w:val="superscript"/>
              </w:rPr>
              <w:t>3</w:t>
            </w:r>
          </w:p>
        </w:tc>
        <w:tc>
          <w:tcPr>
            <w:tcW w:w="1692" w:type="pct"/>
            <w:vMerge w:val="continue"/>
            <w:vAlign w:val="center"/>
          </w:tcPr>
          <w:p w14:paraId="04C25C93">
            <w:pPr>
              <w:pStyle w:val="133"/>
            </w:pPr>
          </w:p>
        </w:tc>
      </w:tr>
      <w:tr w14:paraId="303555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7AA9B188">
            <w:pPr>
              <w:pStyle w:val="133"/>
            </w:pPr>
            <w:r>
              <w:rPr>
                <w:rFonts w:hint="eastAsia"/>
              </w:rPr>
              <w:t>6</w:t>
            </w:r>
          </w:p>
        </w:tc>
        <w:tc>
          <w:tcPr>
            <w:tcW w:w="831" w:type="pct"/>
            <w:vMerge w:val="restart"/>
            <w:vAlign w:val="center"/>
          </w:tcPr>
          <w:p w14:paraId="5B0CA29E">
            <w:pPr>
              <w:pStyle w:val="133"/>
            </w:pPr>
            <w:r>
              <w:rPr>
                <w:rFonts w:hint="eastAsia"/>
              </w:rPr>
              <w:t>O</w:t>
            </w:r>
            <w:r>
              <w:rPr>
                <w:rFonts w:hint="eastAsia"/>
                <w:vertAlign w:val="subscript"/>
              </w:rPr>
              <w:t>3</w:t>
            </w:r>
          </w:p>
        </w:tc>
        <w:tc>
          <w:tcPr>
            <w:tcW w:w="1165" w:type="pct"/>
            <w:vAlign w:val="center"/>
          </w:tcPr>
          <w:p w14:paraId="0EC77D1D">
            <w:pPr>
              <w:pStyle w:val="133"/>
            </w:pPr>
            <w:r>
              <w:rPr>
                <w:rFonts w:hint="eastAsia"/>
              </w:rPr>
              <w:t>日最大8小时平均</w:t>
            </w:r>
          </w:p>
        </w:tc>
        <w:tc>
          <w:tcPr>
            <w:tcW w:w="999" w:type="pct"/>
            <w:vAlign w:val="center"/>
          </w:tcPr>
          <w:p w14:paraId="161782BA">
            <w:pPr>
              <w:pStyle w:val="133"/>
            </w:pPr>
            <w:r>
              <w:rPr>
                <w:rFonts w:hint="eastAsia"/>
              </w:rPr>
              <w:t>160</w:t>
            </w:r>
          </w:p>
        </w:tc>
        <w:tc>
          <w:tcPr>
            <w:tcW w:w="1692" w:type="pct"/>
            <w:vMerge w:val="continue"/>
            <w:vAlign w:val="center"/>
          </w:tcPr>
          <w:p w14:paraId="1EFECE19">
            <w:pPr>
              <w:pStyle w:val="133"/>
            </w:pPr>
          </w:p>
        </w:tc>
      </w:tr>
      <w:tr w14:paraId="12F928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091331C5">
            <w:pPr>
              <w:pStyle w:val="133"/>
            </w:pPr>
          </w:p>
        </w:tc>
        <w:tc>
          <w:tcPr>
            <w:tcW w:w="831" w:type="pct"/>
            <w:vMerge w:val="continue"/>
            <w:vAlign w:val="center"/>
          </w:tcPr>
          <w:p w14:paraId="4068FFAC">
            <w:pPr>
              <w:pStyle w:val="133"/>
            </w:pPr>
          </w:p>
        </w:tc>
        <w:tc>
          <w:tcPr>
            <w:tcW w:w="1165" w:type="pct"/>
            <w:vAlign w:val="center"/>
          </w:tcPr>
          <w:p w14:paraId="172550AA">
            <w:pPr>
              <w:pStyle w:val="133"/>
            </w:pPr>
            <w:r>
              <w:rPr>
                <w:rFonts w:hint="eastAsia"/>
              </w:rPr>
              <w:t>1小时平均</w:t>
            </w:r>
          </w:p>
        </w:tc>
        <w:tc>
          <w:tcPr>
            <w:tcW w:w="999" w:type="pct"/>
            <w:vAlign w:val="center"/>
          </w:tcPr>
          <w:p w14:paraId="0D9441CF">
            <w:pPr>
              <w:pStyle w:val="133"/>
            </w:pPr>
            <w:r>
              <w:rPr>
                <w:rFonts w:hint="eastAsia"/>
              </w:rPr>
              <w:t>200</w:t>
            </w:r>
          </w:p>
        </w:tc>
        <w:tc>
          <w:tcPr>
            <w:tcW w:w="1692" w:type="pct"/>
            <w:vMerge w:val="continue"/>
            <w:vAlign w:val="center"/>
          </w:tcPr>
          <w:p w14:paraId="0BAD5095">
            <w:pPr>
              <w:pStyle w:val="133"/>
            </w:pPr>
          </w:p>
        </w:tc>
      </w:tr>
      <w:tr w14:paraId="67EEA8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7B8C6A23">
            <w:pPr>
              <w:pStyle w:val="133"/>
            </w:pPr>
            <w:r>
              <w:rPr>
                <w:rFonts w:hint="eastAsia"/>
              </w:rPr>
              <w:t>7</w:t>
            </w:r>
          </w:p>
        </w:tc>
        <w:tc>
          <w:tcPr>
            <w:tcW w:w="831" w:type="pct"/>
            <w:vMerge w:val="restart"/>
            <w:vAlign w:val="center"/>
          </w:tcPr>
          <w:p w14:paraId="54D0C231">
            <w:pPr>
              <w:pStyle w:val="133"/>
            </w:pPr>
            <w:r>
              <w:rPr>
                <w:rFonts w:hint="eastAsia"/>
              </w:rPr>
              <w:t>TSP</w:t>
            </w:r>
          </w:p>
        </w:tc>
        <w:tc>
          <w:tcPr>
            <w:tcW w:w="1165" w:type="pct"/>
            <w:vAlign w:val="center"/>
          </w:tcPr>
          <w:p w14:paraId="67B6A6D8">
            <w:pPr>
              <w:pStyle w:val="133"/>
            </w:pPr>
            <w:r>
              <w:rPr>
                <w:rFonts w:hint="eastAsia"/>
              </w:rPr>
              <w:t>年平均</w:t>
            </w:r>
          </w:p>
        </w:tc>
        <w:tc>
          <w:tcPr>
            <w:tcW w:w="999" w:type="pct"/>
            <w:vAlign w:val="center"/>
          </w:tcPr>
          <w:p w14:paraId="652B8C86">
            <w:pPr>
              <w:pStyle w:val="133"/>
            </w:pPr>
            <w:r>
              <w:rPr>
                <w:rFonts w:hint="eastAsia"/>
              </w:rPr>
              <w:t>200</w:t>
            </w:r>
          </w:p>
        </w:tc>
        <w:tc>
          <w:tcPr>
            <w:tcW w:w="1692" w:type="pct"/>
            <w:vMerge w:val="continue"/>
            <w:vAlign w:val="center"/>
          </w:tcPr>
          <w:p w14:paraId="52BAEBA3">
            <w:pPr>
              <w:pStyle w:val="133"/>
            </w:pPr>
          </w:p>
        </w:tc>
      </w:tr>
      <w:tr w14:paraId="705265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49CF93F9">
            <w:pPr>
              <w:pStyle w:val="133"/>
            </w:pPr>
          </w:p>
        </w:tc>
        <w:tc>
          <w:tcPr>
            <w:tcW w:w="831" w:type="pct"/>
            <w:vMerge w:val="continue"/>
            <w:vAlign w:val="center"/>
          </w:tcPr>
          <w:p w14:paraId="3B6C91D2">
            <w:pPr>
              <w:pStyle w:val="133"/>
            </w:pPr>
          </w:p>
        </w:tc>
        <w:tc>
          <w:tcPr>
            <w:tcW w:w="1165" w:type="pct"/>
            <w:vAlign w:val="center"/>
          </w:tcPr>
          <w:p w14:paraId="4F230160">
            <w:pPr>
              <w:pStyle w:val="133"/>
            </w:pPr>
            <w:r>
              <w:rPr>
                <w:rFonts w:hint="eastAsia"/>
              </w:rPr>
              <w:t>24小时平均</w:t>
            </w:r>
          </w:p>
        </w:tc>
        <w:tc>
          <w:tcPr>
            <w:tcW w:w="999" w:type="pct"/>
            <w:vAlign w:val="center"/>
          </w:tcPr>
          <w:p w14:paraId="0CF8A2C9">
            <w:pPr>
              <w:pStyle w:val="133"/>
            </w:pPr>
            <w:r>
              <w:rPr>
                <w:rFonts w:hint="eastAsia"/>
              </w:rPr>
              <w:t>300</w:t>
            </w:r>
          </w:p>
        </w:tc>
        <w:tc>
          <w:tcPr>
            <w:tcW w:w="1692" w:type="pct"/>
            <w:vMerge w:val="continue"/>
            <w:vAlign w:val="center"/>
          </w:tcPr>
          <w:p w14:paraId="3989A381">
            <w:pPr>
              <w:pStyle w:val="133"/>
            </w:pPr>
          </w:p>
        </w:tc>
      </w:tr>
      <w:tr w14:paraId="7C3E4D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24061CB6">
            <w:pPr>
              <w:pStyle w:val="133"/>
            </w:pPr>
            <w:r>
              <w:rPr>
                <w:rFonts w:hint="eastAsia"/>
              </w:rPr>
              <w:t>8</w:t>
            </w:r>
          </w:p>
        </w:tc>
        <w:tc>
          <w:tcPr>
            <w:tcW w:w="831" w:type="pct"/>
            <w:vMerge w:val="restart"/>
            <w:vAlign w:val="center"/>
          </w:tcPr>
          <w:p w14:paraId="198839D4">
            <w:pPr>
              <w:pStyle w:val="133"/>
            </w:pPr>
            <w:r>
              <w:rPr>
                <w:rFonts w:hint="eastAsia"/>
              </w:rPr>
              <w:t>苯并[a]芘</w:t>
            </w:r>
          </w:p>
        </w:tc>
        <w:tc>
          <w:tcPr>
            <w:tcW w:w="1165" w:type="pct"/>
            <w:vAlign w:val="center"/>
          </w:tcPr>
          <w:p w14:paraId="1A1F26FA">
            <w:pPr>
              <w:pStyle w:val="133"/>
            </w:pPr>
            <w:r>
              <w:rPr>
                <w:rFonts w:hint="eastAsia"/>
              </w:rPr>
              <w:t>年平均</w:t>
            </w:r>
          </w:p>
        </w:tc>
        <w:tc>
          <w:tcPr>
            <w:tcW w:w="999" w:type="pct"/>
            <w:vAlign w:val="center"/>
          </w:tcPr>
          <w:p w14:paraId="3826F7B3">
            <w:pPr>
              <w:pStyle w:val="133"/>
            </w:pPr>
            <w:r>
              <w:rPr>
                <w:rFonts w:hint="eastAsia"/>
              </w:rPr>
              <w:t>0.001</w:t>
            </w:r>
          </w:p>
        </w:tc>
        <w:tc>
          <w:tcPr>
            <w:tcW w:w="1692" w:type="pct"/>
            <w:vMerge w:val="continue"/>
            <w:vAlign w:val="center"/>
          </w:tcPr>
          <w:p w14:paraId="49F94E51">
            <w:pPr>
              <w:pStyle w:val="133"/>
            </w:pPr>
          </w:p>
        </w:tc>
      </w:tr>
      <w:tr w14:paraId="66DE2E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7D2CF375">
            <w:pPr>
              <w:pStyle w:val="133"/>
            </w:pPr>
          </w:p>
        </w:tc>
        <w:tc>
          <w:tcPr>
            <w:tcW w:w="831" w:type="pct"/>
            <w:vMerge w:val="continue"/>
            <w:vAlign w:val="center"/>
          </w:tcPr>
          <w:p w14:paraId="4084DDCB">
            <w:pPr>
              <w:pStyle w:val="133"/>
            </w:pPr>
          </w:p>
        </w:tc>
        <w:tc>
          <w:tcPr>
            <w:tcW w:w="1165" w:type="pct"/>
            <w:vAlign w:val="center"/>
          </w:tcPr>
          <w:p w14:paraId="443D8C30">
            <w:pPr>
              <w:pStyle w:val="133"/>
            </w:pPr>
            <w:r>
              <w:rPr>
                <w:rFonts w:hint="eastAsia"/>
              </w:rPr>
              <w:t>24小时平均</w:t>
            </w:r>
          </w:p>
        </w:tc>
        <w:tc>
          <w:tcPr>
            <w:tcW w:w="999" w:type="pct"/>
            <w:vAlign w:val="center"/>
          </w:tcPr>
          <w:p w14:paraId="0837E64E">
            <w:pPr>
              <w:pStyle w:val="133"/>
            </w:pPr>
            <w:r>
              <w:rPr>
                <w:rFonts w:hint="eastAsia"/>
              </w:rPr>
              <w:t>0.0025</w:t>
            </w:r>
          </w:p>
        </w:tc>
        <w:tc>
          <w:tcPr>
            <w:tcW w:w="1692" w:type="pct"/>
            <w:vMerge w:val="continue"/>
            <w:vAlign w:val="center"/>
          </w:tcPr>
          <w:p w14:paraId="638B0225">
            <w:pPr>
              <w:pStyle w:val="133"/>
            </w:pPr>
          </w:p>
        </w:tc>
      </w:tr>
      <w:tr w14:paraId="0EE715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74992559">
            <w:pPr>
              <w:pStyle w:val="133"/>
            </w:pPr>
            <w:r>
              <w:rPr>
                <w:rFonts w:hint="eastAsia"/>
              </w:rPr>
              <w:t>9</w:t>
            </w:r>
          </w:p>
        </w:tc>
        <w:tc>
          <w:tcPr>
            <w:tcW w:w="831" w:type="pct"/>
            <w:vAlign w:val="center"/>
          </w:tcPr>
          <w:p w14:paraId="323AC0DE">
            <w:pPr>
              <w:pStyle w:val="133"/>
            </w:pPr>
            <w:r>
              <w:rPr>
                <w:rFonts w:hint="eastAsia"/>
              </w:rPr>
              <w:t>非甲烷总烃</w:t>
            </w:r>
          </w:p>
        </w:tc>
        <w:tc>
          <w:tcPr>
            <w:tcW w:w="1165" w:type="pct"/>
            <w:vAlign w:val="center"/>
          </w:tcPr>
          <w:p w14:paraId="1305D01B">
            <w:pPr>
              <w:pStyle w:val="133"/>
            </w:pPr>
            <w:r>
              <w:rPr>
                <w:rFonts w:hint="eastAsia"/>
              </w:rPr>
              <w:t>1小时平均</w:t>
            </w:r>
          </w:p>
        </w:tc>
        <w:tc>
          <w:tcPr>
            <w:tcW w:w="999" w:type="pct"/>
            <w:vAlign w:val="center"/>
          </w:tcPr>
          <w:p w14:paraId="610D4BE9">
            <w:pPr>
              <w:pStyle w:val="133"/>
            </w:pPr>
            <w:r>
              <w:rPr>
                <w:rFonts w:hint="eastAsia"/>
              </w:rPr>
              <w:t>2.0mg/m</w:t>
            </w:r>
            <w:r>
              <w:rPr>
                <w:rFonts w:hint="eastAsia"/>
                <w:vertAlign w:val="superscript"/>
              </w:rPr>
              <w:t>3</w:t>
            </w:r>
          </w:p>
        </w:tc>
        <w:tc>
          <w:tcPr>
            <w:tcW w:w="1692" w:type="pct"/>
            <w:vMerge w:val="restart"/>
            <w:vAlign w:val="center"/>
          </w:tcPr>
          <w:p w14:paraId="56261B03">
            <w:pPr>
              <w:pStyle w:val="133"/>
            </w:pPr>
            <w:r>
              <w:rPr>
                <w:rFonts w:hint="eastAsia"/>
              </w:rPr>
              <w:t>《大气污染物综合排放标准详解》</w:t>
            </w:r>
          </w:p>
        </w:tc>
      </w:tr>
      <w:tr w14:paraId="3FA23E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5221B6E7">
            <w:pPr>
              <w:pStyle w:val="133"/>
            </w:pPr>
            <w:r>
              <w:rPr>
                <w:rFonts w:hint="eastAsia"/>
              </w:rPr>
              <w:t>10</w:t>
            </w:r>
          </w:p>
        </w:tc>
        <w:tc>
          <w:tcPr>
            <w:tcW w:w="831" w:type="pct"/>
            <w:vAlign w:val="center"/>
          </w:tcPr>
          <w:p w14:paraId="72728CB0">
            <w:pPr>
              <w:pStyle w:val="133"/>
            </w:pPr>
            <w:r>
              <w:rPr>
                <w:rFonts w:hint="eastAsia"/>
              </w:rPr>
              <w:t>酚类</w:t>
            </w:r>
          </w:p>
        </w:tc>
        <w:tc>
          <w:tcPr>
            <w:tcW w:w="1165" w:type="pct"/>
            <w:vAlign w:val="center"/>
          </w:tcPr>
          <w:p w14:paraId="2F8C34CC">
            <w:pPr>
              <w:pStyle w:val="133"/>
            </w:pPr>
            <w:r>
              <w:rPr>
                <w:rFonts w:hint="eastAsia"/>
              </w:rPr>
              <w:t>1小时平均</w:t>
            </w:r>
          </w:p>
        </w:tc>
        <w:tc>
          <w:tcPr>
            <w:tcW w:w="999" w:type="pct"/>
            <w:vAlign w:val="center"/>
          </w:tcPr>
          <w:p w14:paraId="30D24F80">
            <w:pPr>
              <w:pStyle w:val="133"/>
            </w:pPr>
            <w:r>
              <w:rPr>
                <w:rFonts w:hint="eastAsia"/>
              </w:rPr>
              <w:t>0.02</w:t>
            </w:r>
          </w:p>
        </w:tc>
        <w:tc>
          <w:tcPr>
            <w:tcW w:w="1692" w:type="pct"/>
            <w:vMerge w:val="continue"/>
            <w:vAlign w:val="center"/>
          </w:tcPr>
          <w:p w14:paraId="0F40AFBA">
            <w:pPr>
              <w:pStyle w:val="133"/>
            </w:pPr>
          </w:p>
        </w:tc>
      </w:tr>
      <w:tr w14:paraId="3C11B1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4E3DC221">
            <w:pPr>
              <w:pStyle w:val="133"/>
            </w:pPr>
            <w:r>
              <w:rPr>
                <w:rFonts w:hint="eastAsia"/>
              </w:rPr>
              <w:t>11</w:t>
            </w:r>
          </w:p>
        </w:tc>
        <w:tc>
          <w:tcPr>
            <w:tcW w:w="831" w:type="pct"/>
            <w:vAlign w:val="center"/>
          </w:tcPr>
          <w:p w14:paraId="324D4CDF">
            <w:pPr>
              <w:pStyle w:val="133"/>
            </w:pPr>
            <w:r>
              <w:rPr>
                <w:rFonts w:hint="eastAsia"/>
              </w:rPr>
              <w:t>氰化氢</w:t>
            </w:r>
          </w:p>
        </w:tc>
        <w:tc>
          <w:tcPr>
            <w:tcW w:w="1165" w:type="pct"/>
            <w:vAlign w:val="center"/>
          </w:tcPr>
          <w:p w14:paraId="5A8ADB88">
            <w:pPr>
              <w:pStyle w:val="133"/>
            </w:pPr>
            <w:r>
              <w:rPr>
                <w:rFonts w:hint="eastAsia"/>
              </w:rPr>
              <w:t>1小时平均</w:t>
            </w:r>
          </w:p>
        </w:tc>
        <w:tc>
          <w:tcPr>
            <w:tcW w:w="999" w:type="pct"/>
            <w:vAlign w:val="center"/>
          </w:tcPr>
          <w:p w14:paraId="1C14C60D">
            <w:pPr>
              <w:pStyle w:val="133"/>
            </w:pPr>
            <w:r>
              <w:rPr>
                <w:rFonts w:hint="eastAsia"/>
              </w:rPr>
              <w:t>0.03</w:t>
            </w:r>
          </w:p>
        </w:tc>
        <w:tc>
          <w:tcPr>
            <w:tcW w:w="1692" w:type="pct"/>
            <w:vMerge w:val="continue"/>
            <w:vAlign w:val="center"/>
          </w:tcPr>
          <w:p w14:paraId="63FEABCD">
            <w:pPr>
              <w:pStyle w:val="133"/>
            </w:pPr>
          </w:p>
        </w:tc>
      </w:tr>
      <w:tr w14:paraId="3E57D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0DD1DB7B">
            <w:pPr>
              <w:pStyle w:val="133"/>
            </w:pPr>
            <w:r>
              <w:rPr>
                <w:rFonts w:hint="eastAsia"/>
              </w:rPr>
              <w:t>12</w:t>
            </w:r>
          </w:p>
        </w:tc>
        <w:tc>
          <w:tcPr>
            <w:tcW w:w="831" w:type="pct"/>
            <w:vAlign w:val="center"/>
          </w:tcPr>
          <w:p w14:paraId="46DDA878">
            <w:pPr>
              <w:pStyle w:val="133"/>
            </w:pPr>
            <w:r>
              <w:rPr>
                <w:rFonts w:hint="eastAsia"/>
              </w:rPr>
              <w:t>N</w:t>
            </w:r>
            <w:r>
              <w:t>H</w:t>
            </w:r>
            <w:r>
              <w:rPr>
                <w:vertAlign w:val="subscript"/>
              </w:rPr>
              <w:t>3</w:t>
            </w:r>
          </w:p>
        </w:tc>
        <w:tc>
          <w:tcPr>
            <w:tcW w:w="1165" w:type="pct"/>
            <w:vAlign w:val="center"/>
          </w:tcPr>
          <w:p w14:paraId="4094D292">
            <w:pPr>
              <w:pStyle w:val="133"/>
            </w:pPr>
            <w:r>
              <w:rPr>
                <w:rFonts w:hint="eastAsia"/>
              </w:rPr>
              <w:t>1小时平均</w:t>
            </w:r>
          </w:p>
        </w:tc>
        <w:tc>
          <w:tcPr>
            <w:tcW w:w="999" w:type="pct"/>
            <w:vAlign w:val="center"/>
          </w:tcPr>
          <w:p w14:paraId="285EEFC0">
            <w:pPr>
              <w:pStyle w:val="133"/>
            </w:pPr>
            <w:r>
              <w:rPr>
                <w:rFonts w:hint="eastAsia"/>
              </w:rPr>
              <w:t>200</w:t>
            </w:r>
          </w:p>
        </w:tc>
        <w:tc>
          <w:tcPr>
            <w:tcW w:w="1692" w:type="pct"/>
            <w:vMerge w:val="restart"/>
            <w:vAlign w:val="center"/>
          </w:tcPr>
          <w:p w14:paraId="5D2061E1">
            <w:pPr>
              <w:pStyle w:val="133"/>
            </w:pPr>
            <w:r>
              <w:rPr>
                <w:rFonts w:hint="eastAsia"/>
              </w:rPr>
              <w:t>《环境影响评价技术导则 大气环境》（HJ2.2-2018）附录D</w:t>
            </w:r>
          </w:p>
        </w:tc>
      </w:tr>
      <w:tr w14:paraId="18CE8A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Align w:val="center"/>
          </w:tcPr>
          <w:p w14:paraId="4B3AC2D0">
            <w:pPr>
              <w:pStyle w:val="133"/>
            </w:pPr>
            <w:r>
              <w:rPr>
                <w:rFonts w:hint="eastAsia"/>
              </w:rPr>
              <w:t>13</w:t>
            </w:r>
          </w:p>
        </w:tc>
        <w:tc>
          <w:tcPr>
            <w:tcW w:w="831" w:type="pct"/>
            <w:vAlign w:val="center"/>
          </w:tcPr>
          <w:p w14:paraId="28509356">
            <w:pPr>
              <w:pStyle w:val="133"/>
            </w:pPr>
            <w:r>
              <w:rPr>
                <w:rFonts w:hint="eastAsia"/>
              </w:rPr>
              <w:t>H</w:t>
            </w:r>
            <w:r>
              <w:rPr>
                <w:vertAlign w:val="subscript"/>
              </w:rPr>
              <w:t>2</w:t>
            </w:r>
            <w:r>
              <w:t>S</w:t>
            </w:r>
          </w:p>
        </w:tc>
        <w:tc>
          <w:tcPr>
            <w:tcW w:w="1165" w:type="pct"/>
            <w:vAlign w:val="center"/>
          </w:tcPr>
          <w:p w14:paraId="363101B1">
            <w:pPr>
              <w:pStyle w:val="133"/>
            </w:pPr>
            <w:r>
              <w:rPr>
                <w:rFonts w:hint="eastAsia"/>
              </w:rPr>
              <w:t>1小时平均</w:t>
            </w:r>
          </w:p>
        </w:tc>
        <w:tc>
          <w:tcPr>
            <w:tcW w:w="999" w:type="pct"/>
            <w:vAlign w:val="center"/>
          </w:tcPr>
          <w:p w14:paraId="111AA6AA">
            <w:pPr>
              <w:pStyle w:val="133"/>
            </w:pPr>
            <w:r>
              <w:rPr>
                <w:rFonts w:hint="eastAsia"/>
              </w:rPr>
              <w:t>10</w:t>
            </w:r>
          </w:p>
        </w:tc>
        <w:tc>
          <w:tcPr>
            <w:tcW w:w="1692" w:type="pct"/>
            <w:vMerge w:val="continue"/>
            <w:vAlign w:val="center"/>
          </w:tcPr>
          <w:p w14:paraId="4678868C">
            <w:pPr>
              <w:pStyle w:val="133"/>
            </w:pPr>
          </w:p>
        </w:tc>
      </w:tr>
      <w:tr w14:paraId="5018CC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restart"/>
            <w:vAlign w:val="center"/>
          </w:tcPr>
          <w:p w14:paraId="46B51079">
            <w:pPr>
              <w:pStyle w:val="133"/>
            </w:pPr>
            <w:r>
              <w:rPr>
                <w:rFonts w:hint="eastAsia"/>
              </w:rPr>
              <w:t>14</w:t>
            </w:r>
          </w:p>
        </w:tc>
        <w:tc>
          <w:tcPr>
            <w:tcW w:w="831" w:type="pct"/>
            <w:vMerge w:val="restart"/>
            <w:vAlign w:val="center"/>
          </w:tcPr>
          <w:p w14:paraId="2B45D264">
            <w:pPr>
              <w:pStyle w:val="133"/>
            </w:pPr>
            <w:r>
              <w:rPr>
                <w:rFonts w:hint="eastAsia"/>
              </w:rPr>
              <w:t>HCl</w:t>
            </w:r>
          </w:p>
        </w:tc>
        <w:tc>
          <w:tcPr>
            <w:tcW w:w="1165" w:type="pct"/>
            <w:vAlign w:val="center"/>
          </w:tcPr>
          <w:p w14:paraId="30A51767">
            <w:pPr>
              <w:pStyle w:val="133"/>
            </w:pPr>
            <w:r>
              <w:rPr>
                <w:rFonts w:hint="eastAsia"/>
              </w:rPr>
              <w:t>1小时平均</w:t>
            </w:r>
          </w:p>
        </w:tc>
        <w:tc>
          <w:tcPr>
            <w:tcW w:w="999" w:type="pct"/>
            <w:vAlign w:val="center"/>
          </w:tcPr>
          <w:p w14:paraId="487F926D">
            <w:pPr>
              <w:pStyle w:val="133"/>
            </w:pPr>
            <w:r>
              <w:rPr>
                <w:rFonts w:hint="eastAsia"/>
              </w:rPr>
              <w:t>50</w:t>
            </w:r>
          </w:p>
        </w:tc>
        <w:tc>
          <w:tcPr>
            <w:tcW w:w="1692" w:type="pct"/>
            <w:vMerge w:val="continue"/>
            <w:vAlign w:val="center"/>
          </w:tcPr>
          <w:p w14:paraId="6121286D">
            <w:pPr>
              <w:pStyle w:val="133"/>
            </w:pPr>
          </w:p>
        </w:tc>
      </w:tr>
      <w:tr w14:paraId="2B7D1E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13" w:type="pct"/>
            <w:vMerge w:val="continue"/>
            <w:vAlign w:val="center"/>
          </w:tcPr>
          <w:p w14:paraId="627270A1">
            <w:pPr>
              <w:pStyle w:val="133"/>
            </w:pPr>
          </w:p>
        </w:tc>
        <w:tc>
          <w:tcPr>
            <w:tcW w:w="831" w:type="pct"/>
            <w:vMerge w:val="continue"/>
            <w:vAlign w:val="center"/>
          </w:tcPr>
          <w:p w14:paraId="5B57BCC2">
            <w:pPr>
              <w:pStyle w:val="133"/>
            </w:pPr>
          </w:p>
        </w:tc>
        <w:tc>
          <w:tcPr>
            <w:tcW w:w="1165" w:type="pct"/>
            <w:vAlign w:val="center"/>
          </w:tcPr>
          <w:p w14:paraId="4FF14A5F">
            <w:pPr>
              <w:pStyle w:val="133"/>
            </w:pPr>
            <w:r>
              <w:rPr>
                <w:rFonts w:hint="eastAsia"/>
              </w:rPr>
              <w:t>24小时平均</w:t>
            </w:r>
          </w:p>
        </w:tc>
        <w:tc>
          <w:tcPr>
            <w:tcW w:w="999" w:type="pct"/>
            <w:vAlign w:val="center"/>
          </w:tcPr>
          <w:p w14:paraId="76BF0DED">
            <w:pPr>
              <w:pStyle w:val="133"/>
            </w:pPr>
            <w:r>
              <w:rPr>
                <w:rFonts w:hint="eastAsia"/>
              </w:rPr>
              <w:t>15</w:t>
            </w:r>
          </w:p>
        </w:tc>
        <w:tc>
          <w:tcPr>
            <w:tcW w:w="1692" w:type="pct"/>
            <w:vMerge w:val="continue"/>
            <w:vAlign w:val="center"/>
          </w:tcPr>
          <w:p w14:paraId="1A864120">
            <w:pPr>
              <w:pStyle w:val="133"/>
            </w:pPr>
          </w:p>
        </w:tc>
      </w:tr>
    </w:tbl>
    <w:p w14:paraId="22ACA5D6">
      <w:pPr>
        <w:pStyle w:val="38"/>
        <w:ind w:firstLine="480"/>
      </w:pPr>
    </w:p>
    <w:p w14:paraId="01FBC272">
      <w:pPr>
        <w:pStyle w:val="138"/>
        <w:rPr>
          <w:rFonts w:hint="eastAsia"/>
        </w:rPr>
      </w:pPr>
      <w:r>
        <w:t>预测结果</w:t>
      </w:r>
    </w:p>
    <w:p w14:paraId="325F37E0">
      <w:pPr>
        <w:pStyle w:val="5"/>
      </w:pPr>
      <w:r>
        <w:rPr>
          <w:rFonts w:hint="eastAsia"/>
        </w:rPr>
        <w:t>主要污染物浓度贡献值</w:t>
      </w:r>
    </w:p>
    <w:p w14:paraId="09EF6984">
      <w:pPr>
        <w:pStyle w:val="117"/>
        <w:ind w:firstLine="512"/>
        <w:rPr>
          <w:spacing w:val="8"/>
        </w:rPr>
      </w:pPr>
      <w:r>
        <w:rPr>
          <w:rFonts w:hint="eastAsia"/>
          <w:spacing w:val="8"/>
        </w:rPr>
        <w:t>项目正常排放条件下，主要污染物在环境空气保护目标和网格点的最大浓度贡献值、发生的时间及占标率见表5.2-16至表5.2-26。</w:t>
      </w:r>
    </w:p>
    <w:p w14:paraId="40AFAEF7">
      <w:pPr>
        <w:pStyle w:val="117"/>
        <w:ind w:firstLine="512"/>
        <w:rPr>
          <w:spacing w:val="8"/>
        </w:rPr>
      </w:pPr>
    </w:p>
    <w:p w14:paraId="2ED8148C">
      <w:pPr>
        <w:pStyle w:val="117"/>
        <w:ind w:firstLine="512"/>
        <w:rPr>
          <w:spacing w:val="8"/>
        </w:rPr>
        <w:sectPr>
          <w:pgSz w:w="11906" w:h="16838"/>
          <w:pgMar w:top="1440" w:right="1800" w:bottom="1440" w:left="1800" w:header="851" w:footer="850" w:gutter="0"/>
          <w:cols w:space="425" w:num="1"/>
          <w:docGrid w:type="lines" w:linePitch="326" w:charSpace="0"/>
        </w:sectPr>
      </w:pPr>
    </w:p>
    <w:p w14:paraId="3298F808">
      <w:pPr>
        <w:pStyle w:val="118"/>
      </w:pPr>
      <w:r>
        <w:rPr>
          <w:rFonts w:hint="eastAsia"/>
          <w:spacing w:val="8"/>
        </w:rPr>
        <w:t>表5.2-16</w:t>
      </w:r>
      <w:r>
        <w:t xml:space="preserve">  SO</w:t>
      </w:r>
      <w:r>
        <w:rPr>
          <w:vertAlign w:val="subscript"/>
        </w:rPr>
        <w:t>2</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1E065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31701516">
            <w:pPr>
              <w:pStyle w:val="133"/>
              <w:rPr>
                <w:b/>
                <w:bCs/>
              </w:rPr>
            </w:pPr>
            <w:r>
              <w:rPr>
                <w:rFonts w:hint="eastAsia"/>
                <w:b/>
                <w:bCs/>
              </w:rPr>
              <w:t>序号</w:t>
            </w:r>
          </w:p>
        </w:tc>
        <w:tc>
          <w:tcPr>
            <w:tcW w:w="1221" w:type="dxa"/>
            <w:noWrap/>
            <w:vAlign w:val="center"/>
          </w:tcPr>
          <w:p w14:paraId="33E5C017">
            <w:pPr>
              <w:pStyle w:val="133"/>
              <w:rPr>
                <w:b/>
                <w:bCs/>
              </w:rPr>
            </w:pPr>
            <w:r>
              <w:rPr>
                <w:rFonts w:hint="eastAsia"/>
                <w:b/>
                <w:bCs/>
              </w:rPr>
              <w:t>点名称</w:t>
            </w:r>
          </w:p>
        </w:tc>
        <w:tc>
          <w:tcPr>
            <w:tcW w:w="1533" w:type="dxa"/>
            <w:noWrap/>
            <w:vAlign w:val="center"/>
          </w:tcPr>
          <w:p w14:paraId="1006F6B1">
            <w:pPr>
              <w:pStyle w:val="133"/>
              <w:rPr>
                <w:b/>
                <w:bCs/>
              </w:rPr>
            </w:pPr>
            <w:r>
              <w:rPr>
                <w:rFonts w:hint="eastAsia"/>
                <w:b/>
                <w:bCs/>
              </w:rPr>
              <w:t>点坐标</w:t>
            </w:r>
          </w:p>
          <w:p w14:paraId="7632B0F3">
            <w:pPr>
              <w:pStyle w:val="133"/>
              <w:jc w:val="both"/>
              <w:rPr>
                <w:b/>
                <w:bCs/>
              </w:rPr>
            </w:pPr>
            <w:r>
              <w:rPr>
                <w:rFonts w:hint="eastAsia"/>
                <w:b/>
                <w:bCs/>
              </w:rPr>
              <w:t>（x或r,y或a）</w:t>
            </w:r>
          </w:p>
        </w:tc>
        <w:tc>
          <w:tcPr>
            <w:tcW w:w="1219" w:type="dxa"/>
            <w:noWrap/>
            <w:vAlign w:val="center"/>
          </w:tcPr>
          <w:p w14:paraId="11BB5384">
            <w:pPr>
              <w:pStyle w:val="133"/>
              <w:rPr>
                <w:b/>
                <w:bCs/>
              </w:rPr>
            </w:pPr>
            <w:r>
              <w:rPr>
                <w:rFonts w:hint="eastAsia"/>
                <w:b/>
                <w:bCs/>
              </w:rPr>
              <w:t>地面高程</w:t>
            </w:r>
          </w:p>
          <w:p w14:paraId="5A7F9E88">
            <w:pPr>
              <w:pStyle w:val="133"/>
              <w:rPr>
                <w:b/>
                <w:bCs/>
              </w:rPr>
            </w:pPr>
            <w:r>
              <w:rPr>
                <w:rFonts w:hint="eastAsia"/>
                <w:b/>
                <w:bCs/>
              </w:rPr>
              <w:t>（m）</w:t>
            </w:r>
          </w:p>
        </w:tc>
        <w:tc>
          <w:tcPr>
            <w:tcW w:w="1219" w:type="dxa"/>
            <w:noWrap/>
            <w:vAlign w:val="center"/>
          </w:tcPr>
          <w:p w14:paraId="6CF1AE5B">
            <w:pPr>
              <w:pStyle w:val="133"/>
              <w:rPr>
                <w:b/>
                <w:bCs/>
              </w:rPr>
            </w:pPr>
            <w:r>
              <w:rPr>
                <w:rFonts w:hint="eastAsia"/>
                <w:b/>
                <w:bCs/>
              </w:rPr>
              <w:t>离地高度</w:t>
            </w:r>
          </w:p>
          <w:p w14:paraId="0EBAC8EE">
            <w:pPr>
              <w:pStyle w:val="133"/>
              <w:rPr>
                <w:b/>
                <w:bCs/>
              </w:rPr>
            </w:pPr>
            <w:r>
              <w:rPr>
                <w:rFonts w:hint="eastAsia"/>
                <w:b/>
                <w:bCs/>
              </w:rPr>
              <w:t>（m）</w:t>
            </w:r>
          </w:p>
        </w:tc>
        <w:tc>
          <w:tcPr>
            <w:tcW w:w="1171" w:type="dxa"/>
            <w:noWrap/>
            <w:vAlign w:val="center"/>
          </w:tcPr>
          <w:p w14:paraId="2EBB0D48">
            <w:pPr>
              <w:pStyle w:val="133"/>
              <w:rPr>
                <w:b/>
                <w:bCs/>
              </w:rPr>
            </w:pPr>
            <w:r>
              <w:rPr>
                <w:rFonts w:hint="eastAsia"/>
                <w:b/>
                <w:bCs/>
              </w:rPr>
              <w:t>浓度类型</w:t>
            </w:r>
          </w:p>
        </w:tc>
        <w:tc>
          <w:tcPr>
            <w:tcW w:w="1417" w:type="dxa"/>
            <w:noWrap/>
            <w:vAlign w:val="center"/>
          </w:tcPr>
          <w:p w14:paraId="58F94D2F">
            <w:pPr>
              <w:pStyle w:val="133"/>
              <w:rPr>
                <w:b/>
                <w:bCs/>
              </w:rPr>
            </w:pPr>
            <w:r>
              <w:rPr>
                <w:rFonts w:hint="eastAsia"/>
                <w:b/>
                <w:bCs/>
              </w:rPr>
              <w:t>浓度增量（mg/m^3）</w:t>
            </w:r>
          </w:p>
        </w:tc>
        <w:tc>
          <w:tcPr>
            <w:tcW w:w="1985" w:type="dxa"/>
            <w:noWrap/>
            <w:vAlign w:val="center"/>
          </w:tcPr>
          <w:p w14:paraId="6F12EF98">
            <w:pPr>
              <w:pStyle w:val="133"/>
              <w:rPr>
                <w:b/>
                <w:bCs/>
              </w:rPr>
            </w:pPr>
            <w:r>
              <w:rPr>
                <w:rFonts w:hint="eastAsia"/>
                <w:b/>
                <w:bCs/>
              </w:rPr>
              <w:t>出现时间</w:t>
            </w:r>
          </w:p>
          <w:p w14:paraId="447E8D29">
            <w:pPr>
              <w:pStyle w:val="133"/>
              <w:rPr>
                <w:b/>
                <w:bCs/>
              </w:rPr>
            </w:pPr>
            <w:r>
              <w:rPr>
                <w:rFonts w:hint="eastAsia"/>
                <w:b/>
                <w:bCs/>
              </w:rPr>
              <w:t>（YYMMDDHH）</w:t>
            </w:r>
          </w:p>
        </w:tc>
        <w:tc>
          <w:tcPr>
            <w:tcW w:w="1276" w:type="dxa"/>
            <w:noWrap/>
            <w:vAlign w:val="center"/>
          </w:tcPr>
          <w:p w14:paraId="45FA29F2">
            <w:pPr>
              <w:pStyle w:val="133"/>
              <w:rPr>
                <w:b/>
                <w:bCs/>
              </w:rPr>
            </w:pPr>
            <w:r>
              <w:rPr>
                <w:rFonts w:hint="eastAsia"/>
                <w:b/>
                <w:bCs/>
              </w:rPr>
              <w:t>评价标准</w:t>
            </w:r>
          </w:p>
          <w:p w14:paraId="292810C4">
            <w:pPr>
              <w:pStyle w:val="133"/>
              <w:jc w:val="both"/>
              <w:rPr>
                <w:b/>
                <w:bCs/>
              </w:rPr>
            </w:pPr>
            <w:r>
              <w:rPr>
                <w:rFonts w:hint="eastAsia"/>
                <w:b/>
                <w:bCs/>
              </w:rPr>
              <w:t>（mg/m^3）</w:t>
            </w:r>
          </w:p>
        </w:tc>
        <w:tc>
          <w:tcPr>
            <w:tcW w:w="1134" w:type="dxa"/>
            <w:noWrap/>
            <w:vAlign w:val="center"/>
          </w:tcPr>
          <w:p w14:paraId="0117FF9B">
            <w:pPr>
              <w:pStyle w:val="133"/>
              <w:rPr>
                <w:b/>
                <w:bCs/>
              </w:rPr>
            </w:pPr>
            <w:r>
              <w:rPr>
                <w:rFonts w:hint="eastAsia"/>
                <w:b/>
                <w:bCs/>
              </w:rPr>
              <w:t>占标率</w:t>
            </w:r>
          </w:p>
          <w:p w14:paraId="10B58CF7">
            <w:pPr>
              <w:pStyle w:val="133"/>
              <w:rPr>
                <w:b/>
                <w:bCs/>
              </w:rPr>
            </w:pPr>
            <w:r>
              <w:rPr>
                <w:rFonts w:hint="eastAsia"/>
                <w:b/>
                <w:bCs/>
              </w:rPr>
              <w:t>%</w:t>
            </w:r>
          </w:p>
        </w:tc>
        <w:tc>
          <w:tcPr>
            <w:tcW w:w="1043" w:type="dxa"/>
            <w:noWrap/>
            <w:vAlign w:val="center"/>
          </w:tcPr>
          <w:p w14:paraId="1FEDA74A">
            <w:pPr>
              <w:pStyle w:val="133"/>
              <w:rPr>
                <w:b/>
                <w:bCs/>
              </w:rPr>
            </w:pPr>
            <w:r>
              <w:rPr>
                <w:rFonts w:hint="eastAsia"/>
                <w:b/>
                <w:bCs/>
              </w:rPr>
              <w:t>是否</w:t>
            </w:r>
          </w:p>
          <w:p w14:paraId="7B3792C4">
            <w:pPr>
              <w:pStyle w:val="133"/>
              <w:rPr>
                <w:b/>
                <w:bCs/>
              </w:rPr>
            </w:pPr>
            <w:r>
              <w:rPr>
                <w:rFonts w:hint="eastAsia"/>
                <w:b/>
                <w:bCs/>
              </w:rPr>
              <w:t>超标</w:t>
            </w:r>
          </w:p>
        </w:tc>
      </w:tr>
      <w:tr w14:paraId="3B7FC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restart"/>
            <w:noWrap/>
            <w:vAlign w:val="center"/>
          </w:tcPr>
          <w:p w14:paraId="749DF84E">
            <w:pPr>
              <w:pStyle w:val="133"/>
            </w:pPr>
            <w:r>
              <w:rPr>
                <w:rFonts w:hint="eastAsia"/>
              </w:rPr>
              <w:t>1</w:t>
            </w:r>
          </w:p>
        </w:tc>
        <w:tc>
          <w:tcPr>
            <w:tcW w:w="1221" w:type="dxa"/>
            <w:vMerge w:val="restart"/>
            <w:noWrap/>
            <w:vAlign w:val="center"/>
          </w:tcPr>
          <w:p w14:paraId="6B4BADC9">
            <w:pPr>
              <w:pStyle w:val="133"/>
            </w:pPr>
            <w:r>
              <w:rPr>
                <w:rFonts w:hint="eastAsia"/>
              </w:rPr>
              <w:t>网格</w:t>
            </w:r>
          </w:p>
        </w:tc>
        <w:tc>
          <w:tcPr>
            <w:tcW w:w="1533" w:type="dxa"/>
            <w:noWrap/>
            <w:vAlign w:val="center"/>
          </w:tcPr>
          <w:p w14:paraId="5156F620">
            <w:pPr>
              <w:pStyle w:val="133"/>
            </w:pPr>
            <w:r>
              <w:rPr>
                <w:rFonts w:hint="eastAsia"/>
              </w:rPr>
              <w:t>600</w:t>
            </w:r>
            <w:r>
              <w:t>,</w:t>
            </w:r>
            <w:r>
              <w:rPr>
                <w:rFonts w:hint="eastAsia"/>
              </w:rPr>
              <w:t>100</w:t>
            </w:r>
          </w:p>
        </w:tc>
        <w:tc>
          <w:tcPr>
            <w:tcW w:w="1219" w:type="dxa"/>
            <w:noWrap/>
            <w:vAlign w:val="center"/>
          </w:tcPr>
          <w:p w14:paraId="102CF814">
            <w:pPr>
              <w:pStyle w:val="133"/>
            </w:pPr>
            <w:r>
              <w:rPr>
                <w:rFonts w:hint="eastAsia"/>
              </w:rPr>
              <w:t>691.60</w:t>
            </w:r>
          </w:p>
        </w:tc>
        <w:tc>
          <w:tcPr>
            <w:tcW w:w="1219" w:type="dxa"/>
            <w:noWrap/>
            <w:vAlign w:val="center"/>
          </w:tcPr>
          <w:p w14:paraId="2835D190">
            <w:pPr>
              <w:pStyle w:val="133"/>
            </w:pPr>
            <w:r>
              <w:rPr>
                <w:rFonts w:hint="eastAsia"/>
              </w:rPr>
              <w:t>0</w:t>
            </w:r>
          </w:p>
        </w:tc>
        <w:tc>
          <w:tcPr>
            <w:tcW w:w="1171" w:type="dxa"/>
            <w:noWrap/>
            <w:vAlign w:val="center"/>
          </w:tcPr>
          <w:p w14:paraId="33B540ED">
            <w:pPr>
              <w:pStyle w:val="133"/>
            </w:pPr>
            <w:r>
              <w:rPr>
                <w:rFonts w:hint="eastAsia"/>
              </w:rPr>
              <w:t>1小时</w:t>
            </w:r>
          </w:p>
        </w:tc>
        <w:tc>
          <w:tcPr>
            <w:tcW w:w="1417" w:type="dxa"/>
            <w:noWrap/>
          </w:tcPr>
          <w:p w14:paraId="4B88A61A">
            <w:pPr>
              <w:pStyle w:val="133"/>
            </w:pPr>
            <w:r>
              <w:t>0.252742</w:t>
            </w:r>
          </w:p>
        </w:tc>
        <w:tc>
          <w:tcPr>
            <w:tcW w:w="1985" w:type="dxa"/>
            <w:noWrap/>
          </w:tcPr>
          <w:p w14:paraId="545923C3">
            <w:pPr>
              <w:pStyle w:val="133"/>
            </w:pPr>
            <w:r>
              <w:t>23073106</w:t>
            </w:r>
          </w:p>
        </w:tc>
        <w:tc>
          <w:tcPr>
            <w:tcW w:w="1276" w:type="dxa"/>
            <w:noWrap/>
            <w:vAlign w:val="center"/>
          </w:tcPr>
          <w:p w14:paraId="7ABDD464">
            <w:pPr>
              <w:pStyle w:val="133"/>
            </w:pPr>
            <w:r>
              <w:rPr>
                <w:rFonts w:hint="eastAsia"/>
              </w:rPr>
              <w:t>0.5</w:t>
            </w:r>
          </w:p>
        </w:tc>
        <w:tc>
          <w:tcPr>
            <w:tcW w:w="1134" w:type="dxa"/>
            <w:noWrap/>
          </w:tcPr>
          <w:p w14:paraId="5F89F763">
            <w:pPr>
              <w:pStyle w:val="133"/>
            </w:pPr>
            <w:r>
              <w:t>50.55</w:t>
            </w:r>
          </w:p>
        </w:tc>
        <w:tc>
          <w:tcPr>
            <w:tcW w:w="1043" w:type="dxa"/>
            <w:noWrap/>
            <w:vAlign w:val="center"/>
          </w:tcPr>
          <w:p w14:paraId="4AE482EE">
            <w:pPr>
              <w:pStyle w:val="133"/>
            </w:pPr>
            <w:r>
              <w:rPr>
                <w:rFonts w:hint="eastAsia"/>
              </w:rPr>
              <w:t>达标</w:t>
            </w:r>
          </w:p>
        </w:tc>
      </w:tr>
      <w:tr w14:paraId="6DCF24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continue"/>
            <w:noWrap/>
            <w:vAlign w:val="center"/>
          </w:tcPr>
          <w:p w14:paraId="3049AF69">
            <w:pPr>
              <w:pStyle w:val="133"/>
            </w:pPr>
          </w:p>
        </w:tc>
        <w:tc>
          <w:tcPr>
            <w:tcW w:w="1221" w:type="dxa"/>
            <w:vMerge w:val="continue"/>
            <w:noWrap/>
            <w:vAlign w:val="center"/>
          </w:tcPr>
          <w:p w14:paraId="15DB22EB">
            <w:pPr>
              <w:pStyle w:val="133"/>
            </w:pPr>
          </w:p>
        </w:tc>
        <w:tc>
          <w:tcPr>
            <w:tcW w:w="1533" w:type="dxa"/>
            <w:noWrap/>
            <w:vAlign w:val="center"/>
          </w:tcPr>
          <w:p w14:paraId="12D747B2">
            <w:pPr>
              <w:pStyle w:val="133"/>
            </w:pPr>
            <w:r>
              <w:rPr>
                <w:rFonts w:hint="eastAsia"/>
              </w:rPr>
              <w:t>500,0</w:t>
            </w:r>
          </w:p>
        </w:tc>
        <w:tc>
          <w:tcPr>
            <w:tcW w:w="1219" w:type="dxa"/>
            <w:noWrap/>
            <w:vAlign w:val="center"/>
          </w:tcPr>
          <w:p w14:paraId="67E64596">
            <w:pPr>
              <w:pStyle w:val="133"/>
            </w:pPr>
            <w:r>
              <w:rPr>
                <w:rFonts w:hint="eastAsia"/>
              </w:rPr>
              <w:t>694.40</w:t>
            </w:r>
          </w:p>
        </w:tc>
        <w:tc>
          <w:tcPr>
            <w:tcW w:w="1219" w:type="dxa"/>
            <w:noWrap/>
            <w:vAlign w:val="center"/>
          </w:tcPr>
          <w:p w14:paraId="0808881A">
            <w:pPr>
              <w:pStyle w:val="133"/>
            </w:pPr>
            <w:r>
              <w:rPr>
                <w:rFonts w:hint="eastAsia"/>
              </w:rPr>
              <w:t>0</w:t>
            </w:r>
          </w:p>
        </w:tc>
        <w:tc>
          <w:tcPr>
            <w:tcW w:w="1171" w:type="dxa"/>
            <w:noWrap/>
            <w:vAlign w:val="center"/>
          </w:tcPr>
          <w:p w14:paraId="4A5A038B">
            <w:pPr>
              <w:pStyle w:val="133"/>
            </w:pPr>
            <w:r>
              <w:rPr>
                <w:rFonts w:hint="eastAsia"/>
              </w:rPr>
              <w:t>日平均</w:t>
            </w:r>
          </w:p>
        </w:tc>
        <w:tc>
          <w:tcPr>
            <w:tcW w:w="1417" w:type="dxa"/>
            <w:noWrap/>
          </w:tcPr>
          <w:p w14:paraId="7A46CAE0">
            <w:pPr>
              <w:pStyle w:val="133"/>
            </w:pPr>
            <w:r>
              <w:t>0.037087</w:t>
            </w:r>
          </w:p>
        </w:tc>
        <w:tc>
          <w:tcPr>
            <w:tcW w:w="1985" w:type="dxa"/>
            <w:noWrap/>
          </w:tcPr>
          <w:p w14:paraId="08E1FC59">
            <w:pPr>
              <w:pStyle w:val="133"/>
            </w:pPr>
            <w:r>
              <w:t>230801</w:t>
            </w:r>
          </w:p>
        </w:tc>
        <w:tc>
          <w:tcPr>
            <w:tcW w:w="1276" w:type="dxa"/>
            <w:noWrap/>
            <w:vAlign w:val="center"/>
          </w:tcPr>
          <w:p w14:paraId="609A974E">
            <w:pPr>
              <w:pStyle w:val="133"/>
            </w:pPr>
            <w:r>
              <w:rPr>
                <w:rFonts w:hint="eastAsia"/>
              </w:rPr>
              <w:t>0.15</w:t>
            </w:r>
          </w:p>
        </w:tc>
        <w:tc>
          <w:tcPr>
            <w:tcW w:w="1134" w:type="dxa"/>
            <w:noWrap/>
          </w:tcPr>
          <w:p w14:paraId="25AB7549">
            <w:pPr>
              <w:pStyle w:val="133"/>
            </w:pPr>
            <w:r>
              <w:t>24.72</w:t>
            </w:r>
          </w:p>
        </w:tc>
        <w:tc>
          <w:tcPr>
            <w:tcW w:w="1043" w:type="dxa"/>
            <w:noWrap/>
            <w:vAlign w:val="center"/>
          </w:tcPr>
          <w:p w14:paraId="3DBF4537">
            <w:pPr>
              <w:pStyle w:val="133"/>
            </w:pPr>
            <w:r>
              <w:rPr>
                <w:rFonts w:hint="eastAsia"/>
              </w:rPr>
              <w:t>达标</w:t>
            </w:r>
          </w:p>
        </w:tc>
      </w:tr>
      <w:tr w14:paraId="4F4CE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continue"/>
            <w:noWrap/>
            <w:vAlign w:val="center"/>
          </w:tcPr>
          <w:p w14:paraId="3EBFB913">
            <w:pPr>
              <w:pStyle w:val="133"/>
            </w:pPr>
          </w:p>
        </w:tc>
        <w:tc>
          <w:tcPr>
            <w:tcW w:w="1221" w:type="dxa"/>
            <w:vMerge w:val="continue"/>
            <w:noWrap/>
            <w:vAlign w:val="center"/>
          </w:tcPr>
          <w:p w14:paraId="5C2BE3D8">
            <w:pPr>
              <w:pStyle w:val="133"/>
            </w:pPr>
          </w:p>
        </w:tc>
        <w:tc>
          <w:tcPr>
            <w:tcW w:w="1533" w:type="dxa"/>
            <w:noWrap/>
            <w:vAlign w:val="center"/>
          </w:tcPr>
          <w:p w14:paraId="1AD0BC6C">
            <w:pPr>
              <w:pStyle w:val="133"/>
            </w:pPr>
            <w:r>
              <w:rPr>
                <w:rFonts w:hint="eastAsia"/>
              </w:rPr>
              <w:t>400,0</w:t>
            </w:r>
          </w:p>
        </w:tc>
        <w:tc>
          <w:tcPr>
            <w:tcW w:w="1219" w:type="dxa"/>
            <w:noWrap/>
            <w:vAlign w:val="center"/>
          </w:tcPr>
          <w:p w14:paraId="54D944BD">
            <w:pPr>
              <w:pStyle w:val="133"/>
            </w:pPr>
            <w:r>
              <w:rPr>
                <w:rFonts w:hint="eastAsia"/>
              </w:rPr>
              <w:t>692.40</w:t>
            </w:r>
          </w:p>
        </w:tc>
        <w:tc>
          <w:tcPr>
            <w:tcW w:w="1219" w:type="dxa"/>
            <w:noWrap/>
            <w:vAlign w:val="center"/>
          </w:tcPr>
          <w:p w14:paraId="2E2EE7C5">
            <w:pPr>
              <w:pStyle w:val="133"/>
            </w:pPr>
            <w:r>
              <w:rPr>
                <w:rFonts w:hint="eastAsia"/>
              </w:rPr>
              <w:t>0</w:t>
            </w:r>
          </w:p>
        </w:tc>
        <w:tc>
          <w:tcPr>
            <w:tcW w:w="1171" w:type="dxa"/>
            <w:noWrap/>
            <w:vAlign w:val="center"/>
          </w:tcPr>
          <w:p w14:paraId="587E33A0">
            <w:pPr>
              <w:pStyle w:val="133"/>
            </w:pPr>
            <w:r>
              <w:rPr>
                <w:rFonts w:hint="eastAsia"/>
              </w:rPr>
              <w:t>年平均</w:t>
            </w:r>
          </w:p>
        </w:tc>
        <w:tc>
          <w:tcPr>
            <w:tcW w:w="1417" w:type="dxa"/>
            <w:noWrap/>
          </w:tcPr>
          <w:p w14:paraId="7C8F70C4">
            <w:pPr>
              <w:pStyle w:val="133"/>
            </w:pPr>
            <w:r>
              <w:rPr>
                <w:rFonts w:hint="eastAsia"/>
              </w:rPr>
              <w:t>0.009661</w:t>
            </w:r>
          </w:p>
        </w:tc>
        <w:tc>
          <w:tcPr>
            <w:tcW w:w="1985" w:type="dxa"/>
            <w:noWrap/>
          </w:tcPr>
          <w:p w14:paraId="25E601C5">
            <w:pPr>
              <w:pStyle w:val="133"/>
            </w:pPr>
            <w:r>
              <w:rPr>
                <w:rFonts w:hint="eastAsia"/>
              </w:rPr>
              <w:t>平均值</w:t>
            </w:r>
          </w:p>
        </w:tc>
        <w:tc>
          <w:tcPr>
            <w:tcW w:w="1276" w:type="dxa"/>
            <w:noWrap/>
            <w:vAlign w:val="center"/>
          </w:tcPr>
          <w:p w14:paraId="03DEB212">
            <w:pPr>
              <w:pStyle w:val="133"/>
            </w:pPr>
            <w:r>
              <w:rPr>
                <w:rFonts w:hint="eastAsia"/>
              </w:rPr>
              <w:t>0.06</w:t>
            </w:r>
          </w:p>
        </w:tc>
        <w:tc>
          <w:tcPr>
            <w:tcW w:w="1134" w:type="dxa"/>
            <w:noWrap/>
          </w:tcPr>
          <w:p w14:paraId="1162054E">
            <w:pPr>
              <w:pStyle w:val="133"/>
            </w:pPr>
            <w:r>
              <w:t>16.10</w:t>
            </w:r>
          </w:p>
        </w:tc>
        <w:tc>
          <w:tcPr>
            <w:tcW w:w="1043" w:type="dxa"/>
            <w:noWrap/>
            <w:vAlign w:val="center"/>
          </w:tcPr>
          <w:p w14:paraId="78722D9E">
            <w:pPr>
              <w:pStyle w:val="133"/>
            </w:pPr>
            <w:r>
              <w:rPr>
                <w:rFonts w:hint="eastAsia"/>
              </w:rPr>
              <w:t>达标</w:t>
            </w:r>
          </w:p>
        </w:tc>
      </w:tr>
    </w:tbl>
    <w:p w14:paraId="5545DED5">
      <w:pPr>
        <w:pStyle w:val="133"/>
      </w:pPr>
    </w:p>
    <w:p w14:paraId="74826FEF">
      <w:pPr>
        <w:pStyle w:val="118"/>
      </w:pPr>
      <w:r>
        <w:rPr>
          <w:rFonts w:hint="eastAsia"/>
          <w:spacing w:val="8"/>
        </w:rPr>
        <w:t>表5.2-17</w:t>
      </w:r>
      <w:r>
        <w:t xml:space="preserve">  NO</w:t>
      </w:r>
      <w:r>
        <w:rPr>
          <w:vertAlign w:val="subscript"/>
        </w:rPr>
        <w:t>2</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040CF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4B0D2CDE">
            <w:pPr>
              <w:pStyle w:val="133"/>
              <w:rPr>
                <w:b/>
                <w:bCs/>
              </w:rPr>
            </w:pPr>
            <w:r>
              <w:rPr>
                <w:rFonts w:hint="eastAsia"/>
                <w:b/>
                <w:bCs/>
              </w:rPr>
              <w:t>序号</w:t>
            </w:r>
          </w:p>
        </w:tc>
        <w:tc>
          <w:tcPr>
            <w:tcW w:w="1221" w:type="dxa"/>
            <w:noWrap/>
            <w:vAlign w:val="center"/>
          </w:tcPr>
          <w:p w14:paraId="537F2307">
            <w:pPr>
              <w:pStyle w:val="133"/>
              <w:rPr>
                <w:b/>
                <w:bCs/>
              </w:rPr>
            </w:pPr>
            <w:r>
              <w:rPr>
                <w:rFonts w:hint="eastAsia"/>
                <w:b/>
                <w:bCs/>
              </w:rPr>
              <w:t>点名称</w:t>
            </w:r>
          </w:p>
        </w:tc>
        <w:tc>
          <w:tcPr>
            <w:tcW w:w="1533" w:type="dxa"/>
            <w:noWrap/>
            <w:vAlign w:val="center"/>
          </w:tcPr>
          <w:p w14:paraId="4F6FB057">
            <w:pPr>
              <w:pStyle w:val="133"/>
              <w:rPr>
                <w:b/>
                <w:bCs/>
              </w:rPr>
            </w:pPr>
            <w:r>
              <w:rPr>
                <w:rFonts w:hint="eastAsia"/>
                <w:b/>
                <w:bCs/>
              </w:rPr>
              <w:t>点坐标</w:t>
            </w:r>
          </w:p>
          <w:p w14:paraId="0ACCC98F">
            <w:pPr>
              <w:pStyle w:val="133"/>
              <w:jc w:val="both"/>
              <w:rPr>
                <w:b/>
                <w:bCs/>
              </w:rPr>
            </w:pPr>
            <w:r>
              <w:rPr>
                <w:rFonts w:hint="eastAsia"/>
                <w:b/>
                <w:bCs/>
              </w:rPr>
              <w:t>（x或r,y或a）</w:t>
            </w:r>
          </w:p>
        </w:tc>
        <w:tc>
          <w:tcPr>
            <w:tcW w:w="1219" w:type="dxa"/>
            <w:noWrap/>
            <w:vAlign w:val="center"/>
          </w:tcPr>
          <w:p w14:paraId="6D5D1F28">
            <w:pPr>
              <w:pStyle w:val="133"/>
              <w:rPr>
                <w:b/>
                <w:bCs/>
              </w:rPr>
            </w:pPr>
            <w:r>
              <w:rPr>
                <w:rFonts w:hint="eastAsia"/>
                <w:b/>
                <w:bCs/>
              </w:rPr>
              <w:t>地面高程</w:t>
            </w:r>
          </w:p>
          <w:p w14:paraId="288121D1">
            <w:pPr>
              <w:pStyle w:val="133"/>
              <w:rPr>
                <w:b/>
                <w:bCs/>
              </w:rPr>
            </w:pPr>
            <w:r>
              <w:rPr>
                <w:rFonts w:hint="eastAsia"/>
                <w:b/>
                <w:bCs/>
              </w:rPr>
              <w:t>（m）</w:t>
            </w:r>
          </w:p>
        </w:tc>
        <w:tc>
          <w:tcPr>
            <w:tcW w:w="1219" w:type="dxa"/>
            <w:noWrap/>
            <w:vAlign w:val="center"/>
          </w:tcPr>
          <w:p w14:paraId="7CFB1222">
            <w:pPr>
              <w:pStyle w:val="133"/>
              <w:rPr>
                <w:b/>
                <w:bCs/>
              </w:rPr>
            </w:pPr>
            <w:r>
              <w:rPr>
                <w:rFonts w:hint="eastAsia"/>
                <w:b/>
                <w:bCs/>
              </w:rPr>
              <w:t>离地高度</w:t>
            </w:r>
          </w:p>
          <w:p w14:paraId="46F39FEE">
            <w:pPr>
              <w:pStyle w:val="133"/>
              <w:rPr>
                <w:b/>
                <w:bCs/>
              </w:rPr>
            </w:pPr>
            <w:r>
              <w:rPr>
                <w:rFonts w:hint="eastAsia"/>
                <w:b/>
                <w:bCs/>
              </w:rPr>
              <w:t>（m）</w:t>
            </w:r>
          </w:p>
        </w:tc>
        <w:tc>
          <w:tcPr>
            <w:tcW w:w="1171" w:type="dxa"/>
            <w:noWrap/>
            <w:vAlign w:val="center"/>
          </w:tcPr>
          <w:p w14:paraId="0B4B57CA">
            <w:pPr>
              <w:pStyle w:val="133"/>
              <w:rPr>
                <w:b/>
                <w:bCs/>
              </w:rPr>
            </w:pPr>
            <w:r>
              <w:rPr>
                <w:rFonts w:hint="eastAsia"/>
                <w:b/>
                <w:bCs/>
              </w:rPr>
              <w:t>浓度类型</w:t>
            </w:r>
          </w:p>
        </w:tc>
        <w:tc>
          <w:tcPr>
            <w:tcW w:w="1417" w:type="dxa"/>
            <w:noWrap/>
            <w:vAlign w:val="center"/>
          </w:tcPr>
          <w:p w14:paraId="64738A31">
            <w:pPr>
              <w:pStyle w:val="133"/>
              <w:rPr>
                <w:b/>
                <w:bCs/>
              </w:rPr>
            </w:pPr>
            <w:r>
              <w:rPr>
                <w:rFonts w:hint="eastAsia"/>
                <w:b/>
                <w:bCs/>
              </w:rPr>
              <w:t>浓度增量（mg/m^3）</w:t>
            </w:r>
          </w:p>
        </w:tc>
        <w:tc>
          <w:tcPr>
            <w:tcW w:w="1985" w:type="dxa"/>
            <w:noWrap/>
            <w:vAlign w:val="center"/>
          </w:tcPr>
          <w:p w14:paraId="3F896147">
            <w:pPr>
              <w:pStyle w:val="133"/>
              <w:rPr>
                <w:b/>
                <w:bCs/>
              </w:rPr>
            </w:pPr>
            <w:r>
              <w:rPr>
                <w:rFonts w:hint="eastAsia"/>
                <w:b/>
                <w:bCs/>
              </w:rPr>
              <w:t>出现时间</w:t>
            </w:r>
          </w:p>
          <w:p w14:paraId="1465B4B7">
            <w:pPr>
              <w:pStyle w:val="133"/>
              <w:rPr>
                <w:b/>
                <w:bCs/>
              </w:rPr>
            </w:pPr>
            <w:r>
              <w:rPr>
                <w:rFonts w:hint="eastAsia"/>
                <w:b/>
                <w:bCs/>
              </w:rPr>
              <w:t>（YYMMDDHH）</w:t>
            </w:r>
          </w:p>
        </w:tc>
        <w:tc>
          <w:tcPr>
            <w:tcW w:w="1276" w:type="dxa"/>
            <w:noWrap/>
            <w:vAlign w:val="center"/>
          </w:tcPr>
          <w:p w14:paraId="1CD294BE">
            <w:pPr>
              <w:pStyle w:val="133"/>
              <w:rPr>
                <w:b/>
                <w:bCs/>
              </w:rPr>
            </w:pPr>
            <w:r>
              <w:rPr>
                <w:rFonts w:hint="eastAsia"/>
                <w:b/>
                <w:bCs/>
              </w:rPr>
              <w:t>评价标准</w:t>
            </w:r>
          </w:p>
          <w:p w14:paraId="55A102B5">
            <w:pPr>
              <w:pStyle w:val="133"/>
              <w:jc w:val="both"/>
              <w:rPr>
                <w:b/>
                <w:bCs/>
              </w:rPr>
            </w:pPr>
            <w:r>
              <w:rPr>
                <w:rFonts w:hint="eastAsia"/>
                <w:b/>
                <w:bCs/>
              </w:rPr>
              <w:t>（mg/m^3）</w:t>
            </w:r>
          </w:p>
        </w:tc>
        <w:tc>
          <w:tcPr>
            <w:tcW w:w="1134" w:type="dxa"/>
            <w:noWrap/>
            <w:vAlign w:val="center"/>
          </w:tcPr>
          <w:p w14:paraId="1CF1B0C0">
            <w:pPr>
              <w:pStyle w:val="133"/>
              <w:rPr>
                <w:b/>
                <w:bCs/>
              </w:rPr>
            </w:pPr>
            <w:r>
              <w:rPr>
                <w:rFonts w:hint="eastAsia"/>
                <w:b/>
                <w:bCs/>
              </w:rPr>
              <w:t>占标率</w:t>
            </w:r>
          </w:p>
          <w:p w14:paraId="7F1664CD">
            <w:pPr>
              <w:pStyle w:val="133"/>
              <w:rPr>
                <w:b/>
                <w:bCs/>
              </w:rPr>
            </w:pPr>
            <w:r>
              <w:rPr>
                <w:rFonts w:hint="eastAsia"/>
                <w:b/>
                <w:bCs/>
              </w:rPr>
              <w:t>%</w:t>
            </w:r>
          </w:p>
        </w:tc>
        <w:tc>
          <w:tcPr>
            <w:tcW w:w="1043" w:type="dxa"/>
            <w:noWrap/>
            <w:vAlign w:val="center"/>
          </w:tcPr>
          <w:p w14:paraId="19260F60">
            <w:pPr>
              <w:pStyle w:val="133"/>
              <w:rPr>
                <w:b/>
                <w:bCs/>
              </w:rPr>
            </w:pPr>
            <w:r>
              <w:rPr>
                <w:rFonts w:hint="eastAsia"/>
                <w:b/>
                <w:bCs/>
              </w:rPr>
              <w:t>是否</w:t>
            </w:r>
          </w:p>
          <w:p w14:paraId="642895F0">
            <w:pPr>
              <w:pStyle w:val="133"/>
              <w:rPr>
                <w:b/>
                <w:bCs/>
              </w:rPr>
            </w:pPr>
            <w:r>
              <w:rPr>
                <w:rFonts w:hint="eastAsia"/>
                <w:b/>
                <w:bCs/>
              </w:rPr>
              <w:t>超标</w:t>
            </w:r>
          </w:p>
        </w:tc>
      </w:tr>
      <w:tr w14:paraId="029F5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restart"/>
            <w:noWrap/>
            <w:vAlign w:val="center"/>
          </w:tcPr>
          <w:p w14:paraId="016B542C">
            <w:pPr>
              <w:pStyle w:val="133"/>
            </w:pPr>
            <w:r>
              <w:rPr>
                <w:rFonts w:hint="eastAsia"/>
              </w:rPr>
              <w:t>1</w:t>
            </w:r>
          </w:p>
        </w:tc>
        <w:tc>
          <w:tcPr>
            <w:tcW w:w="1221" w:type="dxa"/>
            <w:vMerge w:val="restart"/>
            <w:noWrap/>
            <w:vAlign w:val="center"/>
          </w:tcPr>
          <w:p w14:paraId="0D88DC6D">
            <w:pPr>
              <w:pStyle w:val="133"/>
            </w:pPr>
            <w:r>
              <w:rPr>
                <w:rFonts w:hint="eastAsia"/>
              </w:rPr>
              <w:t>网格</w:t>
            </w:r>
          </w:p>
        </w:tc>
        <w:tc>
          <w:tcPr>
            <w:tcW w:w="1533" w:type="dxa"/>
            <w:noWrap/>
            <w:vAlign w:val="center"/>
          </w:tcPr>
          <w:p w14:paraId="567CFD2A">
            <w:pPr>
              <w:pStyle w:val="133"/>
            </w:pPr>
            <w:r>
              <w:rPr>
                <w:rFonts w:hint="eastAsia"/>
              </w:rPr>
              <w:t>-200,300</w:t>
            </w:r>
          </w:p>
        </w:tc>
        <w:tc>
          <w:tcPr>
            <w:tcW w:w="1219" w:type="dxa"/>
            <w:noWrap/>
            <w:vAlign w:val="center"/>
          </w:tcPr>
          <w:p w14:paraId="1409291D">
            <w:pPr>
              <w:pStyle w:val="133"/>
            </w:pPr>
            <w:r>
              <w:rPr>
                <w:rFonts w:hint="eastAsia"/>
              </w:rPr>
              <w:t>695.50</w:t>
            </w:r>
          </w:p>
        </w:tc>
        <w:tc>
          <w:tcPr>
            <w:tcW w:w="1219" w:type="dxa"/>
            <w:noWrap/>
            <w:vAlign w:val="center"/>
          </w:tcPr>
          <w:p w14:paraId="3E7AE818">
            <w:pPr>
              <w:pStyle w:val="133"/>
            </w:pPr>
            <w:r>
              <w:rPr>
                <w:rFonts w:hint="eastAsia"/>
              </w:rPr>
              <w:t>0</w:t>
            </w:r>
          </w:p>
        </w:tc>
        <w:tc>
          <w:tcPr>
            <w:tcW w:w="1171" w:type="dxa"/>
            <w:noWrap/>
            <w:vAlign w:val="center"/>
          </w:tcPr>
          <w:p w14:paraId="0C26C128">
            <w:pPr>
              <w:pStyle w:val="133"/>
            </w:pPr>
            <w:r>
              <w:rPr>
                <w:rFonts w:hint="eastAsia"/>
              </w:rPr>
              <w:t>1小时</w:t>
            </w:r>
          </w:p>
        </w:tc>
        <w:tc>
          <w:tcPr>
            <w:tcW w:w="1417" w:type="dxa"/>
            <w:noWrap/>
          </w:tcPr>
          <w:p w14:paraId="45CCC63E">
            <w:pPr>
              <w:pStyle w:val="133"/>
            </w:pPr>
            <w:r>
              <w:t>0.083738</w:t>
            </w:r>
          </w:p>
        </w:tc>
        <w:tc>
          <w:tcPr>
            <w:tcW w:w="1985" w:type="dxa"/>
            <w:noWrap/>
          </w:tcPr>
          <w:p w14:paraId="5BDE0087">
            <w:pPr>
              <w:pStyle w:val="133"/>
            </w:pPr>
            <w:r>
              <w:t>23082819</w:t>
            </w:r>
          </w:p>
        </w:tc>
        <w:tc>
          <w:tcPr>
            <w:tcW w:w="1276" w:type="dxa"/>
            <w:noWrap/>
            <w:vAlign w:val="center"/>
          </w:tcPr>
          <w:p w14:paraId="6EC72A3C">
            <w:pPr>
              <w:pStyle w:val="133"/>
            </w:pPr>
            <w:r>
              <w:rPr>
                <w:rFonts w:hint="eastAsia"/>
              </w:rPr>
              <w:t>0.2</w:t>
            </w:r>
          </w:p>
        </w:tc>
        <w:tc>
          <w:tcPr>
            <w:tcW w:w="1134" w:type="dxa"/>
            <w:noWrap/>
          </w:tcPr>
          <w:p w14:paraId="69AC2EEA">
            <w:pPr>
              <w:pStyle w:val="133"/>
            </w:pPr>
            <w:r>
              <w:t>41.87</w:t>
            </w:r>
          </w:p>
        </w:tc>
        <w:tc>
          <w:tcPr>
            <w:tcW w:w="1043" w:type="dxa"/>
            <w:noWrap/>
            <w:vAlign w:val="center"/>
          </w:tcPr>
          <w:p w14:paraId="0D90AF3D">
            <w:pPr>
              <w:pStyle w:val="133"/>
            </w:pPr>
            <w:r>
              <w:rPr>
                <w:rFonts w:hint="eastAsia"/>
              </w:rPr>
              <w:t>达标</w:t>
            </w:r>
          </w:p>
        </w:tc>
      </w:tr>
      <w:tr w14:paraId="406AD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trPr>
        <w:tc>
          <w:tcPr>
            <w:tcW w:w="710" w:type="dxa"/>
            <w:vMerge w:val="continue"/>
            <w:noWrap/>
            <w:vAlign w:val="center"/>
          </w:tcPr>
          <w:p w14:paraId="36D97743">
            <w:pPr>
              <w:pStyle w:val="133"/>
            </w:pPr>
          </w:p>
        </w:tc>
        <w:tc>
          <w:tcPr>
            <w:tcW w:w="1221" w:type="dxa"/>
            <w:vMerge w:val="continue"/>
            <w:noWrap/>
            <w:vAlign w:val="center"/>
          </w:tcPr>
          <w:p w14:paraId="4FC10EC5">
            <w:pPr>
              <w:pStyle w:val="133"/>
            </w:pPr>
          </w:p>
        </w:tc>
        <w:tc>
          <w:tcPr>
            <w:tcW w:w="1533" w:type="dxa"/>
            <w:noWrap/>
            <w:vAlign w:val="center"/>
          </w:tcPr>
          <w:p w14:paraId="3C608CB5">
            <w:pPr>
              <w:pStyle w:val="133"/>
            </w:pPr>
            <w:r>
              <w:rPr>
                <w:rFonts w:hint="eastAsia"/>
              </w:rPr>
              <w:t>-200,300</w:t>
            </w:r>
          </w:p>
        </w:tc>
        <w:tc>
          <w:tcPr>
            <w:tcW w:w="1219" w:type="dxa"/>
            <w:noWrap/>
            <w:vAlign w:val="center"/>
          </w:tcPr>
          <w:p w14:paraId="5F02E03B">
            <w:pPr>
              <w:pStyle w:val="133"/>
            </w:pPr>
            <w:r>
              <w:rPr>
                <w:rFonts w:hint="eastAsia"/>
              </w:rPr>
              <w:t>695.50</w:t>
            </w:r>
          </w:p>
        </w:tc>
        <w:tc>
          <w:tcPr>
            <w:tcW w:w="1219" w:type="dxa"/>
            <w:noWrap/>
            <w:vAlign w:val="center"/>
          </w:tcPr>
          <w:p w14:paraId="0C612788">
            <w:pPr>
              <w:pStyle w:val="133"/>
            </w:pPr>
            <w:r>
              <w:rPr>
                <w:rFonts w:hint="eastAsia"/>
              </w:rPr>
              <w:t>0</w:t>
            </w:r>
          </w:p>
        </w:tc>
        <w:tc>
          <w:tcPr>
            <w:tcW w:w="1171" w:type="dxa"/>
            <w:noWrap/>
            <w:vAlign w:val="center"/>
          </w:tcPr>
          <w:p w14:paraId="063635B2">
            <w:pPr>
              <w:pStyle w:val="133"/>
            </w:pPr>
            <w:r>
              <w:rPr>
                <w:rFonts w:hint="eastAsia"/>
              </w:rPr>
              <w:t>日平均</w:t>
            </w:r>
          </w:p>
        </w:tc>
        <w:tc>
          <w:tcPr>
            <w:tcW w:w="1417" w:type="dxa"/>
            <w:noWrap/>
          </w:tcPr>
          <w:p w14:paraId="68B6A45C">
            <w:pPr>
              <w:pStyle w:val="133"/>
            </w:pPr>
            <w:r>
              <w:t>0.048979</w:t>
            </w:r>
          </w:p>
        </w:tc>
        <w:tc>
          <w:tcPr>
            <w:tcW w:w="1985" w:type="dxa"/>
            <w:noWrap/>
          </w:tcPr>
          <w:p w14:paraId="41CC4E30">
            <w:pPr>
              <w:pStyle w:val="133"/>
            </w:pPr>
            <w:r>
              <w:t>230828</w:t>
            </w:r>
          </w:p>
        </w:tc>
        <w:tc>
          <w:tcPr>
            <w:tcW w:w="1276" w:type="dxa"/>
            <w:noWrap/>
            <w:vAlign w:val="center"/>
          </w:tcPr>
          <w:p w14:paraId="55E06F70">
            <w:pPr>
              <w:pStyle w:val="133"/>
            </w:pPr>
            <w:r>
              <w:rPr>
                <w:rFonts w:hint="eastAsia"/>
              </w:rPr>
              <w:t>0.08</w:t>
            </w:r>
          </w:p>
        </w:tc>
        <w:tc>
          <w:tcPr>
            <w:tcW w:w="1134" w:type="dxa"/>
            <w:noWrap/>
          </w:tcPr>
          <w:p w14:paraId="1E1FFA06">
            <w:pPr>
              <w:pStyle w:val="133"/>
            </w:pPr>
            <w:r>
              <w:t>61.22</w:t>
            </w:r>
          </w:p>
        </w:tc>
        <w:tc>
          <w:tcPr>
            <w:tcW w:w="1043" w:type="dxa"/>
            <w:noWrap/>
            <w:vAlign w:val="center"/>
          </w:tcPr>
          <w:p w14:paraId="4BC785F4">
            <w:pPr>
              <w:pStyle w:val="133"/>
            </w:pPr>
            <w:r>
              <w:rPr>
                <w:rFonts w:hint="eastAsia"/>
              </w:rPr>
              <w:t>达标</w:t>
            </w:r>
          </w:p>
        </w:tc>
      </w:tr>
      <w:tr w14:paraId="3059F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trPr>
        <w:tc>
          <w:tcPr>
            <w:tcW w:w="710" w:type="dxa"/>
            <w:vMerge w:val="continue"/>
            <w:noWrap/>
            <w:vAlign w:val="center"/>
          </w:tcPr>
          <w:p w14:paraId="5CC64B67">
            <w:pPr>
              <w:pStyle w:val="133"/>
            </w:pPr>
          </w:p>
        </w:tc>
        <w:tc>
          <w:tcPr>
            <w:tcW w:w="1221" w:type="dxa"/>
            <w:vMerge w:val="continue"/>
            <w:noWrap/>
            <w:vAlign w:val="center"/>
          </w:tcPr>
          <w:p w14:paraId="3E478D0E">
            <w:pPr>
              <w:pStyle w:val="133"/>
            </w:pPr>
          </w:p>
        </w:tc>
        <w:tc>
          <w:tcPr>
            <w:tcW w:w="1533" w:type="dxa"/>
            <w:noWrap/>
            <w:vAlign w:val="center"/>
          </w:tcPr>
          <w:p w14:paraId="59FB155F">
            <w:pPr>
              <w:pStyle w:val="133"/>
            </w:pPr>
            <w:r>
              <w:rPr>
                <w:rFonts w:hint="eastAsia"/>
              </w:rPr>
              <w:t>-200,300</w:t>
            </w:r>
          </w:p>
        </w:tc>
        <w:tc>
          <w:tcPr>
            <w:tcW w:w="1219" w:type="dxa"/>
            <w:noWrap/>
            <w:vAlign w:val="center"/>
          </w:tcPr>
          <w:p w14:paraId="106FBBB3">
            <w:pPr>
              <w:pStyle w:val="133"/>
            </w:pPr>
            <w:r>
              <w:rPr>
                <w:rFonts w:hint="eastAsia"/>
              </w:rPr>
              <w:t>695.50</w:t>
            </w:r>
          </w:p>
        </w:tc>
        <w:tc>
          <w:tcPr>
            <w:tcW w:w="1219" w:type="dxa"/>
            <w:noWrap/>
            <w:vAlign w:val="center"/>
          </w:tcPr>
          <w:p w14:paraId="298081DE">
            <w:pPr>
              <w:pStyle w:val="133"/>
            </w:pPr>
            <w:r>
              <w:rPr>
                <w:rFonts w:hint="eastAsia"/>
              </w:rPr>
              <w:t>0</w:t>
            </w:r>
          </w:p>
        </w:tc>
        <w:tc>
          <w:tcPr>
            <w:tcW w:w="1171" w:type="dxa"/>
            <w:noWrap/>
            <w:vAlign w:val="center"/>
          </w:tcPr>
          <w:p w14:paraId="4202F232">
            <w:pPr>
              <w:pStyle w:val="133"/>
            </w:pPr>
            <w:r>
              <w:rPr>
                <w:rFonts w:hint="eastAsia"/>
              </w:rPr>
              <w:t>年平均</w:t>
            </w:r>
          </w:p>
        </w:tc>
        <w:tc>
          <w:tcPr>
            <w:tcW w:w="1417" w:type="dxa"/>
            <w:noWrap/>
          </w:tcPr>
          <w:p w14:paraId="06124C1F">
            <w:pPr>
              <w:pStyle w:val="133"/>
            </w:pPr>
            <w:r>
              <w:rPr>
                <w:rFonts w:hint="eastAsia"/>
              </w:rPr>
              <w:t>0.003949</w:t>
            </w:r>
          </w:p>
        </w:tc>
        <w:tc>
          <w:tcPr>
            <w:tcW w:w="1985" w:type="dxa"/>
            <w:noWrap/>
          </w:tcPr>
          <w:p w14:paraId="06FF0094">
            <w:pPr>
              <w:pStyle w:val="133"/>
            </w:pPr>
            <w:r>
              <w:rPr>
                <w:rFonts w:hint="eastAsia"/>
              </w:rPr>
              <w:t>平均值</w:t>
            </w:r>
          </w:p>
        </w:tc>
        <w:tc>
          <w:tcPr>
            <w:tcW w:w="1276" w:type="dxa"/>
            <w:noWrap/>
            <w:vAlign w:val="center"/>
          </w:tcPr>
          <w:p w14:paraId="7FC5F3E5">
            <w:pPr>
              <w:pStyle w:val="133"/>
            </w:pPr>
            <w:r>
              <w:rPr>
                <w:rFonts w:hint="eastAsia"/>
              </w:rPr>
              <w:t>0.04</w:t>
            </w:r>
          </w:p>
        </w:tc>
        <w:tc>
          <w:tcPr>
            <w:tcW w:w="1134" w:type="dxa"/>
            <w:noWrap/>
          </w:tcPr>
          <w:p w14:paraId="682A98FE">
            <w:pPr>
              <w:pStyle w:val="133"/>
            </w:pPr>
            <w:r>
              <w:t>9.87</w:t>
            </w:r>
          </w:p>
        </w:tc>
        <w:tc>
          <w:tcPr>
            <w:tcW w:w="1043" w:type="dxa"/>
            <w:noWrap/>
            <w:vAlign w:val="center"/>
          </w:tcPr>
          <w:p w14:paraId="453C2B67">
            <w:pPr>
              <w:pStyle w:val="133"/>
            </w:pPr>
            <w:r>
              <w:rPr>
                <w:rFonts w:hint="eastAsia"/>
              </w:rPr>
              <w:t>达标</w:t>
            </w:r>
          </w:p>
        </w:tc>
      </w:tr>
    </w:tbl>
    <w:p w14:paraId="05F90917">
      <w:pPr>
        <w:pStyle w:val="133"/>
      </w:pPr>
    </w:p>
    <w:p w14:paraId="3DDE674F">
      <w:pPr>
        <w:pStyle w:val="118"/>
      </w:pPr>
      <w:r>
        <w:rPr>
          <w:rFonts w:hint="eastAsia"/>
          <w:spacing w:val="8"/>
        </w:rPr>
        <w:t>表5.2-18</w:t>
      </w:r>
      <w:r>
        <w:t xml:space="preserve">  PM</w:t>
      </w:r>
      <w:r>
        <w:rPr>
          <w:vertAlign w:val="subscript"/>
        </w:rPr>
        <w:t>10</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5FB61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182E2522">
            <w:pPr>
              <w:pStyle w:val="133"/>
              <w:rPr>
                <w:b/>
                <w:bCs/>
              </w:rPr>
            </w:pPr>
            <w:r>
              <w:rPr>
                <w:rFonts w:hint="eastAsia"/>
                <w:b/>
                <w:bCs/>
              </w:rPr>
              <w:t>序号</w:t>
            </w:r>
          </w:p>
        </w:tc>
        <w:tc>
          <w:tcPr>
            <w:tcW w:w="1221" w:type="dxa"/>
            <w:noWrap/>
            <w:vAlign w:val="center"/>
          </w:tcPr>
          <w:p w14:paraId="3D533E40">
            <w:pPr>
              <w:pStyle w:val="133"/>
              <w:rPr>
                <w:b/>
                <w:bCs/>
              </w:rPr>
            </w:pPr>
            <w:r>
              <w:rPr>
                <w:rFonts w:hint="eastAsia"/>
                <w:b/>
                <w:bCs/>
              </w:rPr>
              <w:t>点名称</w:t>
            </w:r>
          </w:p>
        </w:tc>
        <w:tc>
          <w:tcPr>
            <w:tcW w:w="1533" w:type="dxa"/>
            <w:noWrap/>
            <w:vAlign w:val="center"/>
          </w:tcPr>
          <w:p w14:paraId="3D88003B">
            <w:pPr>
              <w:pStyle w:val="133"/>
              <w:rPr>
                <w:b/>
                <w:bCs/>
              </w:rPr>
            </w:pPr>
            <w:r>
              <w:rPr>
                <w:rFonts w:hint="eastAsia"/>
                <w:b/>
                <w:bCs/>
              </w:rPr>
              <w:t>点坐标</w:t>
            </w:r>
          </w:p>
          <w:p w14:paraId="257DAF40">
            <w:pPr>
              <w:pStyle w:val="133"/>
              <w:jc w:val="both"/>
              <w:rPr>
                <w:b/>
                <w:bCs/>
              </w:rPr>
            </w:pPr>
            <w:r>
              <w:rPr>
                <w:rFonts w:hint="eastAsia"/>
                <w:b/>
                <w:bCs/>
              </w:rPr>
              <w:t>（x或r,y或a）</w:t>
            </w:r>
          </w:p>
        </w:tc>
        <w:tc>
          <w:tcPr>
            <w:tcW w:w="1219" w:type="dxa"/>
            <w:noWrap/>
            <w:vAlign w:val="center"/>
          </w:tcPr>
          <w:p w14:paraId="61B8FF97">
            <w:pPr>
              <w:pStyle w:val="133"/>
              <w:rPr>
                <w:b/>
                <w:bCs/>
              </w:rPr>
            </w:pPr>
            <w:r>
              <w:rPr>
                <w:rFonts w:hint="eastAsia"/>
                <w:b/>
                <w:bCs/>
              </w:rPr>
              <w:t>地面高程</w:t>
            </w:r>
          </w:p>
          <w:p w14:paraId="11323FCA">
            <w:pPr>
              <w:pStyle w:val="133"/>
              <w:rPr>
                <w:b/>
                <w:bCs/>
              </w:rPr>
            </w:pPr>
            <w:r>
              <w:rPr>
                <w:rFonts w:hint="eastAsia"/>
                <w:b/>
                <w:bCs/>
              </w:rPr>
              <w:t>（m）</w:t>
            </w:r>
          </w:p>
        </w:tc>
        <w:tc>
          <w:tcPr>
            <w:tcW w:w="1219" w:type="dxa"/>
            <w:noWrap/>
            <w:vAlign w:val="center"/>
          </w:tcPr>
          <w:p w14:paraId="4FC5EC7E">
            <w:pPr>
              <w:pStyle w:val="133"/>
              <w:rPr>
                <w:b/>
                <w:bCs/>
              </w:rPr>
            </w:pPr>
            <w:r>
              <w:rPr>
                <w:rFonts w:hint="eastAsia"/>
                <w:b/>
                <w:bCs/>
              </w:rPr>
              <w:t>离地高度</w:t>
            </w:r>
          </w:p>
          <w:p w14:paraId="770E7BE1">
            <w:pPr>
              <w:pStyle w:val="133"/>
              <w:rPr>
                <w:b/>
                <w:bCs/>
              </w:rPr>
            </w:pPr>
            <w:r>
              <w:rPr>
                <w:rFonts w:hint="eastAsia"/>
                <w:b/>
                <w:bCs/>
              </w:rPr>
              <w:t>（m）</w:t>
            </w:r>
          </w:p>
        </w:tc>
        <w:tc>
          <w:tcPr>
            <w:tcW w:w="1171" w:type="dxa"/>
            <w:noWrap/>
            <w:vAlign w:val="center"/>
          </w:tcPr>
          <w:p w14:paraId="01B36C57">
            <w:pPr>
              <w:pStyle w:val="133"/>
              <w:rPr>
                <w:b/>
                <w:bCs/>
              </w:rPr>
            </w:pPr>
            <w:r>
              <w:rPr>
                <w:rFonts w:hint="eastAsia"/>
                <w:b/>
                <w:bCs/>
              </w:rPr>
              <w:t>浓度类型</w:t>
            </w:r>
          </w:p>
        </w:tc>
        <w:tc>
          <w:tcPr>
            <w:tcW w:w="1417" w:type="dxa"/>
            <w:noWrap/>
            <w:vAlign w:val="center"/>
          </w:tcPr>
          <w:p w14:paraId="5B4FF3FC">
            <w:pPr>
              <w:pStyle w:val="133"/>
              <w:rPr>
                <w:b/>
                <w:bCs/>
              </w:rPr>
            </w:pPr>
            <w:r>
              <w:rPr>
                <w:rFonts w:hint="eastAsia"/>
                <w:b/>
                <w:bCs/>
              </w:rPr>
              <w:t>浓度增量（mg/m^3）</w:t>
            </w:r>
          </w:p>
        </w:tc>
        <w:tc>
          <w:tcPr>
            <w:tcW w:w="1985" w:type="dxa"/>
            <w:noWrap/>
            <w:vAlign w:val="center"/>
          </w:tcPr>
          <w:p w14:paraId="254FF519">
            <w:pPr>
              <w:pStyle w:val="133"/>
              <w:rPr>
                <w:b/>
                <w:bCs/>
              </w:rPr>
            </w:pPr>
            <w:r>
              <w:rPr>
                <w:rFonts w:hint="eastAsia"/>
                <w:b/>
                <w:bCs/>
              </w:rPr>
              <w:t>出现时间</w:t>
            </w:r>
          </w:p>
          <w:p w14:paraId="077A95CE">
            <w:pPr>
              <w:pStyle w:val="133"/>
              <w:rPr>
                <w:b/>
                <w:bCs/>
              </w:rPr>
            </w:pPr>
            <w:r>
              <w:rPr>
                <w:rFonts w:hint="eastAsia"/>
                <w:b/>
                <w:bCs/>
              </w:rPr>
              <w:t>（YYMMDDHH）</w:t>
            </w:r>
          </w:p>
        </w:tc>
        <w:tc>
          <w:tcPr>
            <w:tcW w:w="1276" w:type="dxa"/>
            <w:noWrap/>
            <w:vAlign w:val="center"/>
          </w:tcPr>
          <w:p w14:paraId="04D1AB86">
            <w:pPr>
              <w:pStyle w:val="133"/>
              <w:rPr>
                <w:b/>
                <w:bCs/>
              </w:rPr>
            </w:pPr>
            <w:r>
              <w:rPr>
                <w:rFonts w:hint="eastAsia"/>
                <w:b/>
                <w:bCs/>
              </w:rPr>
              <w:t>评价标准</w:t>
            </w:r>
          </w:p>
          <w:p w14:paraId="7AADE32E">
            <w:pPr>
              <w:pStyle w:val="133"/>
              <w:jc w:val="both"/>
              <w:rPr>
                <w:b/>
                <w:bCs/>
              </w:rPr>
            </w:pPr>
            <w:r>
              <w:rPr>
                <w:rFonts w:hint="eastAsia"/>
                <w:b/>
                <w:bCs/>
              </w:rPr>
              <w:t>（mg/m^3）</w:t>
            </w:r>
          </w:p>
        </w:tc>
        <w:tc>
          <w:tcPr>
            <w:tcW w:w="1134" w:type="dxa"/>
            <w:noWrap/>
            <w:vAlign w:val="center"/>
          </w:tcPr>
          <w:p w14:paraId="7BF1620E">
            <w:pPr>
              <w:pStyle w:val="133"/>
              <w:rPr>
                <w:b/>
                <w:bCs/>
              </w:rPr>
            </w:pPr>
            <w:r>
              <w:rPr>
                <w:rFonts w:hint="eastAsia"/>
                <w:b/>
                <w:bCs/>
              </w:rPr>
              <w:t>占标率</w:t>
            </w:r>
          </w:p>
          <w:p w14:paraId="764BA726">
            <w:pPr>
              <w:pStyle w:val="133"/>
              <w:rPr>
                <w:b/>
                <w:bCs/>
              </w:rPr>
            </w:pPr>
            <w:r>
              <w:rPr>
                <w:rFonts w:hint="eastAsia"/>
                <w:b/>
                <w:bCs/>
              </w:rPr>
              <w:t>%</w:t>
            </w:r>
          </w:p>
        </w:tc>
        <w:tc>
          <w:tcPr>
            <w:tcW w:w="1043" w:type="dxa"/>
            <w:noWrap/>
            <w:vAlign w:val="center"/>
          </w:tcPr>
          <w:p w14:paraId="4F584494">
            <w:pPr>
              <w:pStyle w:val="133"/>
              <w:rPr>
                <w:b/>
                <w:bCs/>
              </w:rPr>
            </w:pPr>
            <w:r>
              <w:rPr>
                <w:rFonts w:hint="eastAsia"/>
                <w:b/>
                <w:bCs/>
              </w:rPr>
              <w:t>是否</w:t>
            </w:r>
          </w:p>
          <w:p w14:paraId="084BD1A3">
            <w:pPr>
              <w:pStyle w:val="133"/>
              <w:rPr>
                <w:b/>
                <w:bCs/>
              </w:rPr>
            </w:pPr>
            <w:r>
              <w:rPr>
                <w:rFonts w:hint="eastAsia"/>
                <w:b/>
                <w:bCs/>
              </w:rPr>
              <w:t>超标</w:t>
            </w:r>
          </w:p>
        </w:tc>
      </w:tr>
      <w:tr w14:paraId="5C943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restart"/>
            <w:noWrap/>
            <w:vAlign w:val="center"/>
          </w:tcPr>
          <w:p w14:paraId="674EE46D">
            <w:pPr>
              <w:pStyle w:val="133"/>
            </w:pPr>
            <w:r>
              <w:rPr>
                <w:rFonts w:hint="eastAsia"/>
              </w:rPr>
              <w:t>1</w:t>
            </w:r>
          </w:p>
        </w:tc>
        <w:tc>
          <w:tcPr>
            <w:tcW w:w="1221" w:type="dxa"/>
            <w:vMerge w:val="restart"/>
            <w:noWrap/>
            <w:vAlign w:val="center"/>
          </w:tcPr>
          <w:p w14:paraId="589E193D">
            <w:pPr>
              <w:pStyle w:val="133"/>
            </w:pPr>
            <w:r>
              <w:rPr>
                <w:rFonts w:hint="eastAsia"/>
              </w:rPr>
              <w:t>网格</w:t>
            </w:r>
          </w:p>
        </w:tc>
        <w:tc>
          <w:tcPr>
            <w:tcW w:w="1533" w:type="dxa"/>
            <w:noWrap/>
            <w:vAlign w:val="center"/>
          </w:tcPr>
          <w:p w14:paraId="443B2BBA">
            <w:pPr>
              <w:pStyle w:val="133"/>
            </w:pPr>
            <w:r>
              <w:rPr>
                <w:rFonts w:hint="eastAsia"/>
              </w:rPr>
              <w:t>-200,300</w:t>
            </w:r>
          </w:p>
        </w:tc>
        <w:tc>
          <w:tcPr>
            <w:tcW w:w="1219" w:type="dxa"/>
            <w:noWrap/>
            <w:vAlign w:val="center"/>
          </w:tcPr>
          <w:p w14:paraId="2D094DFF">
            <w:pPr>
              <w:pStyle w:val="133"/>
            </w:pPr>
            <w:r>
              <w:rPr>
                <w:rFonts w:hint="eastAsia"/>
              </w:rPr>
              <w:t>695.50</w:t>
            </w:r>
          </w:p>
        </w:tc>
        <w:tc>
          <w:tcPr>
            <w:tcW w:w="1219" w:type="dxa"/>
            <w:noWrap/>
            <w:vAlign w:val="center"/>
          </w:tcPr>
          <w:p w14:paraId="5901F7CB">
            <w:pPr>
              <w:pStyle w:val="133"/>
            </w:pPr>
            <w:r>
              <w:rPr>
                <w:rFonts w:hint="eastAsia"/>
              </w:rPr>
              <w:t>0</w:t>
            </w:r>
          </w:p>
        </w:tc>
        <w:tc>
          <w:tcPr>
            <w:tcW w:w="1171" w:type="dxa"/>
            <w:noWrap/>
            <w:vAlign w:val="center"/>
          </w:tcPr>
          <w:p w14:paraId="3B8BFD83">
            <w:pPr>
              <w:pStyle w:val="133"/>
            </w:pPr>
            <w:r>
              <w:rPr>
                <w:rFonts w:hint="eastAsia"/>
              </w:rPr>
              <w:t>日平均</w:t>
            </w:r>
          </w:p>
        </w:tc>
        <w:tc>
          <w:tcPr>
            <w:tcW w:w="1417" w:type="dxa"/>
            <w:noWrap/>
          </w:tcPr>
          <w:p w14:paraId="04897178">
            <w:pPr>
              <w:pStyle w:val="133"/>
            </w:pPr>
            <w:r>
              <w:t>0.003994</w:t>
            </w:r>
          </w:p>
        </w:tc>
        <w:tc>
          <w:tcPr>
            <w:tcW w:w="1985" w:type="dxa"/>
            <w:noWrap/>
          </w:tcPr>
          <w:p w14:paraId="27D2CB22">
            <w:pPr>
              <w:pStyle w:val="133"/>
            </w:pPr>
            <w:r>
              <w:t>230828</w:t>
            </w:r>
          </w:p>
        </w:tc>
        <w:tc>
          <w:tcPr>
            <w:tcW w:w="1276" w:type="dxa"/>
            <w:noWrap/>
            <w:vAlign w:val="center"/>
          </w:tcPr>
          <w:p w14:paraId="5CC79637">
            <w:pPr>
              <w:pStyle w:val="133"/>
            </w:pPr>
            <w:r>
              <w:rPr>
                <w:rFonts w:hint="eastAsia"/>
              </w:rPr>
              <w:t>0.15</w:t>
            </w:r>
          </w:p>
        </w:tc>
        <w:tc>
          <w:tcPr>
            <w:tcW w:w="1134" w:type="dxa"/>
            <w:noWrap/>
          </w:tcPr>
          <w:p w14:paraId="6FDAA507">
            <w:pPr>
              <w:pStyle w:val="133"/>
            </w:pPr>
            <w:r>
              <w:t>2.66</w:t>
            </w:r>
          </w:p>
        </w:tc>
        <w:tc>
          <w:tcPr>
            <w:tcW w:w="1043" w:type="dxa"/>
            <w:noWrap/>
            <w:vAlign w:val="center"/>
          </w:tcPr>
          <w:p w14:paraId="31F9F0B5">
            <w:pPr>
              <w:pStyle w:val="133"/>
            </w:pPr>
            <w:r>
              <w:rPr>
                <w:rFonts w:hint="eastAsia"/>
              </w:rPr>
              <w:t>达标</w:t>
            </w:r>
          </w:p>
        </w:tc>
      </w:tr>
      <w:tr w14:paraId="6F058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continue"/>
            <w:noWrap/>
            <w:vAlign w:val="center"/>
          </w:tcPr>
          <w:p w14:paraId="3C1AB1BC">
            <w:pPr>
              <w:pStyle w:val="133"/>
            </w:pPr>
          </w:p>
        </w:tc>
        <w:tc>
          <w:tcPr>
            <w:tcW w:w="1221" w:type="dxa"/>
            <w:vMerge w:val="continue"/>
            <w:noWrap/>
            <w:vAlign w:val="center"/>
          </w:tcPr>
          <w:p w14:paraId="67214EF0">
            <w:pPr>
              <w:pStyle w:val="133"/>
            </w:pPr>
          </w:p>
        </w:tc>
        <w:tc>
          <w:tcPr>
            <w:tcW w:w="1533" w:type="dxa"/>
            <w:noWrap/>
            <w:vAlign w:val="center"/>
          </w:tcPr>
          <w:p w14:paraId="03DE3EA2">
            <w:pPr>
              <w:pStyle w:val="133"/>
            </w:pPr>
            <w:r>
              <w:rPr>
                <w:rFonts w:hint="eastAsia"/>
              </w:rPr>
              <w:t>-200,100</w:t>
            </w:r>
          </w:p>
        </w:tc>
        <w:tc>
          <w:tcPr>
            <w:tcW w:w="1219" w:type="dxa"/>
            <w:noWrap/>
            <w:vAlign w:val="center"/>
          </w:tcPr>
          <w:p w14:paraId="0015807B">
            <w:pPr>
              <w:pStyle w:val="133"/>
            </w:pPr>
            <w:r>
              <w:rPr>
                <w:rFonts w:hint="eastAsia"/>
              </w:rPr>
              <w:t>695.50</w:t>
            </w:r>
          </w:p>
        </w:tc>
        <w:tc>
          <w:tcPr>
            <w:tcW w:w="1219" w:type="dxa"/>
            <w:noWrap/>
            <w:vAlign w:val="center"/>
          </w:tcPr>
          <w:p w14:paraId="53EEA7EE">
            <w:pPr>
              <w:pStyle w:val="133"/>
            </w:pPr>
            <w:r>
              <w:rPr>
                <w:rFonts w:hint="eastAsia"/>
              </w:rPr>
              <w:t>0</w:t>
            </w:r>
          </w:p>
        </w:tc>
        <w:tc>
          <w:tcPr>
            <w:tcW w:w="1171" w:type="dxa"/>
            <w:noWrap/>
            <w:vAlign w:val="center"/>
          </w:tcPr>
          <w:p w14:paraId="05AD269D">
            <w:pPr>
              <w:pStyle w:val="133"/>
            </w:pPr>
            <w:r>
              <w:rPr>
                <w:rFonts w:hint="eastAsia"/>
              </w:rPr>
              <w:t>年平均</w:t>
            </w:r>
          </w:p>
        </w:tc>
        <w:tc>
          <w:tcPr>
            <w:tcW w:w="1417" w:type="dxa"/>
            <w:noWrap/>
          </w:tcPr>
          <w:p w14:paraId="5EAF0B48">
            <w:pPr>
              <w:pStyle w:val="133"/>
            </w:pPr>
            <w:r>
              <w:rPr>
                <w:rFonts w:hint="eastAsia"/>
              </w:rPr>
              <w:t>0.000557</w:t>
            </w:r>
          </w:p>
        </w:tc>
        <w:tc>
          <w:tcPr>
            <w:tcW w:w="1985" w:type="dxa"/>
            <w:noWrap/>
          </w:tcPr>
          <w:p w14:paraId="7C50B679">
            <w:pPr>
              <w:pStyle w:val="133"/>
            </w:pPr>
            <w:r>
              <w:rPr>
                <w:rFonts w:hint="eastAsia"/>
              </w:rPr>
              <w:t>平均值</w:t>
            </w:r>
          </w:p>
        </w:tc>
        <w:tc>
          <w:tcPr>
            <w:tcW w:w="1276" w:type="dxa"/>
            <w:noWrap/>
            <w:vAlign w:val="center"/>
          </w:tcPr>
          <w:p w14:paraId="3F7540AF">
            <w:pPr>
              <w:pStyle w:val="133"/>
            </w:pPr>
            <w:r>
              <w:rPr>
                <w:rFonts w:hint="eastAsia"/>
              </w:rPr>
              <w:t>0.07</w:t>
            </w:r>
          </w:p>
        </w:tc>
        <w:tc>
          <w:tcPr>
            <w:tcW w:w="1134" w:type="dxa"/>
            <w:noWrap/>
          </w:tcPr>
          <w:p w14:paraId="103F55D0">
            <w:pPr>
              <w:pStyle w:val="133"/>
            </w:pPr>
            <w:r>
              <w:t>0.80</w:t>
            </w:r>
          </w:p>
        </w:tc>
        <w:tc>
          <w:tcPr>
            <w:tcW w:w="1043" w:type="dxa"/>
            <w:noWrap/>
            <w:vAlign w:val="center"/>
          </w:tcPr>
          <w:p w14:paraId="68CBD70A">
            <w:pPr>
              <w:pStyle w:val="133"/>
            </w:pPr>
            <w:r>
              <w:rPr>
                <w:rFonts w:hint="eastAsia"/>
              </w:rPr>
              <w:t>达标</w:t>
            </w:r>
          </w:p>
        </w:tc>
      </w:tr>
    </w:tbl>
    <w:p w14:paraId="427CB329">
      <w:pPr>
        <w:pStyle w:val="133"/>
      </w:pPr>
    </w:p>
    <w:p w14:paraId="44F1FA0B">
      <w:pPr>
        <w:widowControl/>
        <w:spacing w:line="240" w:lineRule="auto"/>
        <w:ind w:firstLine="0" w:firstLineChars="0"/>
        <w:jc w:val="left"/>
        <w:rPr>
          <w:b/>
          <w:color w:val="000000"/>
          <w:spacing w:val="8"/>
          <w:szCs w:val="28"/>
        </w:rPr>
      </w:pPr>
      <w:r>
        <w:rPr>
          <w:spacing w:val="8"/>
        </w:rPr>
        <w:br w:type="page"/>
      </w:r>
    </w:p>
    <w:p w14:paraId="12126326">
      <w:pPr>
        <w:pStyle w:val="118"/>
      </w:pPr>
      <w:r>
        <w:rPr>
          <w:rFonts w:hint="eastAsia"/>
          <w:spacing w:val="8"/>
        </w:rPr>
        <w:t>表5.2-19</w:t>
      </w:r>
      <w:r>
        <w:t xml:space="preserve">  </w:t>
      </w:r>
      <w:r>
        <w:rPr>
          <w:rFonts w:hint="eastAsia"/>
        </w:rPr>
        <w:t>一次</w:t>
      </w:r>
      <w:r>
        <w:t>PM</w:t>
      </w:r>
      <w:r>
        <w:rPr>
          <w:rFonts w:hint="eastAsia"/>
          <w:vertAlign w:val="subscript"/>
        </w:rPr>
        <w:t>2.5</w:t>
      </w:r>
      <w:r>
        <w:rPr>
          <w:rFonts w:hint="eastAsia"/>
        </w:rPr>
        <w:t>叠加二次</w:t>
      </w:r>
      <w:r>
        <w:t>PM</w:t>
      </w:r>
      <w:r>
        <w:rPr>
          <w:rFonts w:hint="eastAsia"/>
          <w:vertAlign w:val="subscript"/>
        </w:rPr>
        <w:t>2.5</w:t>
      </w:r>
      <w:r>
        <w:rPr>
          <w:rFonts w:hint="eastAsia"/>
        </w:rPr>
        <w:t>质量浓度</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4B5D2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2" w:type="dxa"/>
            <w:noWrap/>
            <w:vAlign w:val="center"/>
          </w:tcPr>
          <w:p w14:paraId="6672528A">
            <w:pPr>
              <w:pStyle w:val="133"/>
              <w:rPr>
                <w:b/>
                <w:bCs/>
              </w:rPr>
            </w:pPr>
            <w:r>
              <w:rPr>
                <w:rFonts w:hint="eastAsia"/>
                <w:b/>
                <w:bCs/>
              </w:rPr>
              <w:t>序号</w:t>
            </w:r>
          </w:p>
        </w:tc>
        <w:tc>
          <w:tcPr>
            <w:tcW w:w="1242" w:type="dxa"/>
            <w:noWrap/>
            <w:vAlign w:val="center"/>
          </w:tcPr>
          <w:p w14:paraId="4AD558A4">
            <w:pPr>
              <w:pStyle w:val="133"/>
              <w:rPr>
                <w:b/>
                <w:bCs/>
              </w:rPr>
            </w:pPr>
            <w:r>
              <w:rPr>
                <w:rFonts w:hint="eastAsia"/>
                <w:b/>
                <w:bCs/>
              </w:rPr>
              <w:t>点名称</w:t>
            </w:r>
          </w:p>
        </w:tc>
        <w:tc>
          <w:tcPr>
            <w:tcW w:w="1560" w:type="dxa"/>
            <w:noWrap/>
            <w:vAlign w:val="center"/>
          </w:tcPr>
          <w:p w14:paraId="75B6639E">
            <w:pPr>
              <w:pStyle w:val="133"/>
              <w:rPr>
                <w:b/>
                <w:bCs/>
              </w:rPr>
            </w:pPr>
            <w:r>
              <w:rPr>
                <w:rFonts w:hint="eastAsia"/>
                <w:b/>
                <w:bCs/>
              </w:rPr>
              <w:t>点坐标</w:t>
            </w:r>
          </w:p>
          <w:p w14:paraId="71188EA5">
            <w:pPr>
              <w:pStyle w:val="133"/>
              <w:jc w:val="both"/>
              <w:rPr>
                <w:b/>
                <w:bCs/>
              </w:rPr>
            </w:pPr>
            <w:r>
              <w:rPr>
                <w:rFonts w:hint="eastAsia"/>
                <w:b/>
                <w:bCs/>
              </w:rPr>
              <w:t>（x或r,y或a）</w:t>
            </w:r>
          </w:p>
        </w:tc>
        <w:tc>
          <w:tcPr>
            <w:tcW w:w="1241" w:type="dxa"/>
            <w:noWrap/>
            <w:vAlign w:val="center"/>
          </w:tcPr>
          <w:p w14:paraId="56253FA9">
            <w:pPr>
              <w:pStyle w:val="133"/>
              <w:rPr>
                <w:b/>
                <w:bCs/>
              </w:rPr>
            </w:pPr>
            <w:r>
              <w:rPr>
                <w:rFonts w:hint="eastAsia"/>
                <w:b/>
                <w:bCs/>
              </w:rPr>
              <w:t>地面高程</w:t>
            </w:r>
          </w:p>
          <w:p w14:paraId="6E0809A3">
            <w:pPr>
              <w:pStyle w:val="133"/>
              <w:rPr>
                <w:b/>
                <w:bCs/>
              </w:rPr>
            </w:pPr>
            <w:r>
              <w:rPr>
                <w:rFonts w:hint="eastAsia"/>
                <w:b/>
                <w:bCs/>
              </w:rPr>
              <w:t>（m）</w:t>
            </w:r>
          </w:p>
        </w:tc>
        <w:tc>
          <w:tcPr>
            <w:tcW w:w="1241" w:type="dxa"/>
            <w:noWrap/>
            <w:vAlign w:val="center"/>
          </w:tcPr>
          <w:p w14:paraId="4566AAD9">
            <w:pPr>
              <w:pStyle w:val="133"/>
              <w:rPr>
                <w:b/>
                <w:bCs/>
              </w:rPr>
            </w:pPr>
            <w:r>
              <w:rPr>
                <w:rFonts w:hint="eastAsia"/>
                <w:b/>
                <w:bCs/>
              </w:rPr>
              <w:t>离地高度</w:t>
            </w:r>
          </w:p>
          <w:p w14:paraId="0EB531C2">
            <w:pPr>
              <w:pStyle w:val="133"/>
              <w:rPr>
                <w:b/>
                <w:bCs/>
              </w:rPr>
            </w:pPr>
            <w:r>
              <w:rPr>
                <w:rFonts w:hint="eastAsia"/>
                <w:b/>
                <w:bCs/>
              </w:rPr>
              <w:t>（m）</w:t>
            </w:r>
          </w:p>
        </w:tc>
        <w:tc>
          <w:tcPr>
            <w:tcW w:w="1192" w:type="dxa"/>
            <w:noWrap/>
            <w:vAlign w:val="center"/>
          </w:tcPr>
          <w:p w14:paraId="58429AAB">
            <w:pPr>
              <w:pStyle w:val="133"/>
              <w:rPr>
                <w:b/>
                <w:bCs/>
              </w:rPr>
            </w:pPr>
            <w:r>
              <w:rPr>
                <w:rFonts w:hint="eastAsia"/>
                <w:b/>
                <w:bCs/>
              </w:rPr>
              <w:t>浓度类型</w:t>
            </w:r>
          </w:p>
        </w:tc>
        <w:tc>
          <w:tcPr>
            <w:tcW w:w="1442" w:type="dxa"/>
            <w:noWrap/>
            <w:vAlign w:val="center"/>
          </w:tcPr>
          <w:p w14:paraId="0E347EFF">
            <w:pPr>
              <w:pStyle w:val="133"/>
              <w:rPr>
                <w:b/>
                <w:bCs/>
              </w:rPr>
            </w:pPr>
            <w:r>
              <w:rPr>
                <w:rFonts w:hint="eastAsia"/>
                <w:b/>
                <w:bCs/>
              </w:rPr>
              <w:t>浓度增量（mg/m^3）</w:t>
            </w:r>
          </w:p>
        </w:tc>
        <w:tc>
          <w:tcPr>
            <w:tcW w:w="2020" w:type="dxa"/>
            <w:noWrap/>
            <w:vAlign w:val="center"/>
          </w:tcPr>
          <w:p w14:paraId="0EF8AD32">
            <w:pPr>
              <w:pStyle w:val="133"/>
              <w:rPr>
                <w:b/>
                <w:bCs/>
              </w:rPr>
            </w:pPr>
            <w:r>
              <w:rPr>
                <w:rFonts w:hint="eastAsia"/>
                <w:b/>
                <w:bCs/>
              </w:rPr>
              <w:t>出现时间</w:t>
            </w:r>
          </w:p>
          <w:p w14:paraId="7518FF3F">
            <w:pPr>
              <w:pStyle w:val="133"/>
              <w:rPr>
                <w:b/>
                <w:bCs/>
              </w:rPr>
            </w:pPr>
            <w:r>
              <w:rPr>
                <w:rFonts w:hint="eastAsia"/>
                <w:b/>
                <w:bCs/>
              </w:rPr>
              <w:t>（YYMMDDHH）</w:t>
            </w:r>
          </w:p>
        </w:tc>
        <w:tc>
          <w:tcPr>
            <w:tcW w:w="1299" w:type="dxa"/>
            <w:noWrap/>
            <w:vAlign w:val="center"/>
          </w:tcPr>
          <w:p w14:paraId="5B051AE8">
            <w:pPr>
              <w:pStyle w:val="133"/>
              <w:rPr>
                <w:b/>
                <w:bCs/>
              </w:rPr>
            </w:pPr>
            <w:r>
              <w:rPr>
                <w:rFonts w:hint="eastAsia"/>
                <w:b/>
                <w:bCs/>
              </w:rPr>
              <w:t>评价标准</w:t>
            </w:r>
          </w:p>
          <w:p w14:paraId="6DE61C68">
            <w:pPr>
              <w:pStyle w:val="133"/>
              <w:jc w:val="both"/>
              <w:rPr>
                <w:b/>
                <w:bCs/>
              </w:rPr>
            </w:pPr>
            <w:r>
              <w:rPr>
                <w:rFonts w:hint="eastAsia"/>
                <w:b/>
                <w:bCs/>
              </w:rPr>
              <w:t>（mg/m^3）</w:t>
            </w:r>
          </w:p>
        </w:tc>
        <w:tc>
          <w:tcPr>
            <w:tcW w:w="1154" w:type="dxa"/>
            <w:noWrap/>
            <w:vAlign w:val="center"/>
          </w:tcPr>
          <w:p w14:paraId="2FDCB1BA">
            <w:pPr>
              <w:pStyle w:val="133"/>
              <w:rPr>
                <w:b/>
                <w:bCs/>
              </w:rPr>
            </w:pPr>
            <w:r>
              <w:rPr>
                <w:rFonts w:hint="eastAsia"/>
                <w:b/>
                <w:bCs/>
              </w:rPr>
              <w:t>占标率</w:t>
            </w:r>
          </w:p>
          <w:p w14:paraId="409AEE6F">
            <w:pPr>
              <w:pStyle w:val="133"/>
              <w:rPr>
                <w:b/>
                <w:bCs/>
              </w:rPr>
            </w:pPr>
            <w:r>
              <w:rPr>
                <w:rFonts w:hint="eastAsia"/>
                <w:b/>
                <w:bCs/>
              </w:rPr>
              <w:t>%</w:t>
            </w:r>
          </w:p>
        </w:tc>
        <w:tc>
          <w:tcPr>
            <w:tcW w:w="1061" w:type="dxa"/>
            <w:noWrap/>
            <w:vAlign w:val="center"/>
          </w:tcPr>
          <w:p w14:paraId="12B9E534">
            <w:pPr>
              <w:pStyle w:val="133"/>
              <w:rPr>
                <w:b/>
                <w:bCs/>
              </w:rPr>
            </w:pPr>
            <w:r>
              <w:rPr>
                <w:rFonts w:hint="eastAsia"/>
                <w:b/>
                <w:bCs/>
              </w:rPr>
              <w:t>是否</w:t>
            </w:r>
          </w:p>
          <w:p w14:paraId="009ABD4F">
            <w:pPr>
              <w:pStyle w:val="133"/>
              <w:rPr>
                <w:b/>
                <w:bCs/>
              </w:rPr>
            </w:pPr>
            <w:r>
              <w:rPr>
                <w:rFonts w:hint="eastAsia"/>
                <w:b/>
                <w:bCs/>
              </w:rPr>
              <w:t>超标</w:t>
            </w:r>
          </w:p>
        </w:tc>
      </w:tr>
      <w:tr w14:paraId="0FACA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2" w:type="dxa"/>
            <w:vMerge w:val="restart"/>
            <w:noWrap/>
            <w:vAlign w:val="center"/>
          </w:tcPr>
          <w:p w14:paraId="4F0B9358">
            <w:pPr>
              <w:pStyle w:val="133"/>
            </w:pPr>
            <w:r>
              <w:rPr>
                <w:rFonts w:hint="eastAsia"/>
              </w:rPr>
              <w:t>1</w:t>
            </w:r>
          </w:p>
        </w:tc>
        <w:tc>
          <w:tcPr>
            <w:tcW w:w="1242" w:type="dxa"/>
            <w:vMerge w:val="restart"/>
            <w:noWrap/>
            <w:vAlign w:val="center"/>
          </w:tcPr>
          <w:p w14:paraId="0A20699E">
            <w:pPr>
              <w:pStyle w:val="133"/>
            </w:pPr>
            <w:r>
              <w:rPr>
                <w:rFonts w:hint="eastAsia"/>
              </w:rPr>
              <w:t>网格</w:t>
            </w:r>
          </w:p>
        </w:tc>
        <w:tc>
          <w:tcPr>
            <w:tcW w:w="1560" w:type="dxa"/>
            <w:noWrap/>
            <w:vAlign w:val="center"/>
          </w:tcPr>
          <w:p w14:paraId="1880934A">
            <w:pPr>
              <w:pStyle w:val="133"/>
            </w:pPr>
            <w:r>
              <w:rPr>
                <w:rFonts w:hint="eastAsia"/>
              </w:rPr>
              <w:t>-200,300</w:t>
            </w:r>
          </w:p>
        </w:tc>
        <w:tc>
          <w:tcPr>
            <w:tcW w:w="1241" w:type="dxa"/>
            <w:noWrap/>
            <w:vAlign w:val="center"/>
          </w:tcPr>
          <w:p w14:paraId="179F3CE6">
            <w:pPr>
              <w:pStyle w:val="133"/>
            </w:pPr>
            <w:r>
              <w:rPr>
                <w:rFonts w:hint="eastAsia"/>
              </w:rPr>
              <w:t>695.50</w:t>
            </w:r>
          </w:p>
        </w:tc>
        <w:tc>
          <w:tcPr>
            <w:tcW w:w="1241" w:type="dxa"/>
            <w:noWrap/>
            <w:vAlign w:val="center"/>
          </w:tcPr>
          <w:p w14:paraId="52F0142D">
            <w:pPr>
              <w:pStyle w:val="133"/>
            </w:pPr>
            <w:r>
              <w:t>0</w:t>
            </w:r>
          </w:p>
        </w:tc>
        <w:tc>
          <w:tcPr>
            <w:tcW w:w="1192" w:type="dxa"/>
            <w:noWrap/>
            <w:vAlign w:val="center"/>
          </w:tcPr>
          <w:p w14:paraId="5F42ED45">
            <w:pPr>
              <w:pStyle w:val="133"/>
            </w:pPr>
            <w:r>
              <w:t>日平均</w:t>
            </w:r>
          </w:p>
        </w:tc>
        <w:tc>
          <w:tcPr>
            <w:tcW w:w="1442" w:type="dxa"/>
            <w:noWrap/>
            <w:vAlign w:val="center"/>
          </w:tcPr>
          <w:p w14:paraId="259551A0">
            <w:pPr>
              <w:pStyle w:val="133"/>
            </w:pPr>
            <w:r>
              <w:t>0.036135</w:t>
            </w:r>
          </w:p>
        </w:tc>
        <w:tc>
          <w:tcPr>
            <w:tcW w:w="2020" w:type="dxa"/>
            <w:noWrap/>
            <w:vAlign w:val="center"/>
          </w:tcPr>
          <w:p w14:paraId="6C692DA1">
            <w:pPr>
              <w:pStyle w:val="133"/>
            </w:pPr>
            <w:r>
              <w:t>230828</w:t>
            </w:r>
          </w:p>
        </w:tc>
        <w:tc>
          <w:tcPr>
            <w:tcW w:w="1299" w:type="dxa"/>
            <w:noWrap/>
            <w:vAlign w:val="center"/>
          </w:tcPr>
          <w:p w14:paraId="1A0876C5">
            <w:pPr>
              <w:pStyle w:val="133"/>
            </w:pPr>
            <w:r>
              <w:rPr>
                <w:rFonts w:hint="eastAsia"/>
              </w:rPr>
              <w:t>0.075</w:t>
            </w:r>
          </w:p>
        </w:tc>
        <w:tc>
          <w:tcPr>
            <w:tcW w:w="1154" w:type="dxa"/>
            <w:noWrap/>
            <w:vAlign w:val="center"/>
          </w:tcPr>
          <w:p w14:paraId="51C13204">
            <w:pPr>
              <w:pStyle w:val="133"/>
            </w:pPr>
            <w:r>
              <w:t>48.18</w:t>
            </w:r>
          </w:p>
        </w:tc>
        <w:tc>
          <w:tcPr>
            <w:tcW w:w="1061" w:type="dxa"/>
            <w:noWrap/>
            <w:vAlign w:val="center"/>
          </w:tcPr>
          <w:p w14:paraId="7BA8A41B">
            <w:pPr>
              <w:pStyle w:val="133"/>
            </w:pPr>
            <w:r>
              <w:rPr>
                <w:rFonts w:hint="eastAsia"/>
              </w:rPr>
              <w:t>达标</w:t>
            </w:r>
          </w:p>
        </w:tc>
      </w:tr>
      <w:tr w14:paraId="59AC9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2" w:type="dxa"/>
            <w:vMerge w:val="continue"/>
            <w:noWrap/>
            <w:vAlign w:val="center"/>
          </w:tcPr>
          <w:p w14:paraId="6E550FE2">
            <w:pPr>
              <w:pStyle w:val="133"/>
            </w:pPr>
          </w:p>
        </w:tc>
        <w:tc>
          <w:tcPr>
            <w:tcW w:w="1242" w:type="dxa"/>
            <w:vMerge w:val="continue"/>
            <w:noWrap/>
            <w:vAlign w:val="center"/>
          </w:tcPr>
          <w:p w14:paraId="504F4863">
            <w:pPr>
              <w:pStyle w:val="133"/>
            </w:pPr>
          </w:p>
        </w:tc>
        <w:tc>
          <w:tcPr>
            <w:tcW w:w="1560" w:type="dxa"/>
            <w:noWrap/>
            <w:vAlign w:val="center"/>
          </w:tcPr>
          <w:p w14:paraId="0C98DE67">
            <w:pPr>
              <w:pStyle w:val="133"/>
            </w:pPr>
            <w:r>
              <w:rPr>
                <w:rFonts w:hint="eastAsia"/>
              </w:rPr>
              <w:t>400,0</w:t>
            </w:r>
          </w:p>
        </w:tc>
        <w:tc>
          <w:tcPr>
            <w:tcW w:w="1241" w:type="dxa"/>
            <w:noWrap/>
            <w:vAlign w:val="center"/>
          </w:tcPr>
          <w:p w14:paraId="5F98C020">
            <w:pPr>
              <w:pStyle w:val="133"/>
            </w:pPr>
            <w:r>
              <w:rPr>
                <w:rFonts w:hint="eastAsia"/>
              </w:rPr>
              <w:t>692.40</w:t>
            </w:r>
          </w:p>
        </w:tc>
        <w:tc>
          <w:tcPr>
            <w:tcW w:w="1241" w:type="dxa"/>
            <w:noWrap/>
            <w:vAlign w:val="center"/>
          </w:tcPr>
          <w:p w14:paraId="020F7A00">
            <w:pPr>
              <w:pStyle w:val="133"/>
            </w:pPr>
            <w:r>
              <w:t>0</w:t>
            </w:r>
          </w:p>
        </w:tc>
        <w:tc>
          <w:tcPr>
            <w:tcW w:w="1192" w:type="dxa"/>
            <w:noWrap/>
            <w:vAlign w:val="center"/>
          </w:tcPr>
          <w:p w14:paraId="26C7F478">
            <w:pPr>
              <w:pStyle w:val="133"/>
            </w:pPr>
            <w:r>
              <w:t>年平均</w:t>
            </w:r>
          </w:p>
        </w:tc>
        <w:tc>
          <w:tcPr>
            <w:tcW w:w="1442" w:type="dxa"/>
            <w:noWrap/>
            <w:vAlign w:val="center"/>
          </w:tcPr>
          <w:p w14:paraId="5FFA685A">
            <w:pPr>
              <w:pStyle w:val="133"/>
            </w:pPr>
            <w:r>
              <w:rPr>
                <w:rFonts w:hint="eastAsia"/>
              </w:rPr>
              <w:t>0.006744</w:t>
            </w:r>
          </w:p>
        </w:tc>
        <w:tc>
          <w:tcPr>
            <w:tcW w:w="2020" w:type="dxa"/>
            <w:noWrap/>
            <w:vAlign w:val="center"/>
          </w:tcPr>
          <w:p w14:paraId="24821D7D">
            <w:pPr>
              <w:pStyle w:val="133"/>
            </w:pPr>
            <w:r>
              <w:rPr>
                <w:rFonts w:hint="eastAsia"/>
              </w:rPr>
              <w:t>平均值</w:t>
            </w:r>
          </w:p>
        </w:tc>
        <w:tc>
          <w:tcPr>
            <w:tcW w:w="1299" w:type="dxa"/>
            <w:noWrap/>
            <w:vAlign w:val="center"/>
          </w:tcPr>
          <w:p w14:paraId="2EB20141">
            <w:pPr>
              <w:pStyle w:val="133"/>
            </w:pPr>
            <w:r>
              <w:rPr>
                <w:rFonts w:hint="eastAsia"/>
              </w:rPr>
              <w:t>0.035</w:t>
            </w:r>
          </w:p>
        </w:tc>
        <w:tc>
          <w:tcPr>
            <w:tcW w:w="1154" w:type="dxa"/>
            <w:noWrap/>
            <w:vAlign w:val="center"/>
          </w:tcPr>
          <w:p w14:paraId="7DE6E0F8">
            <w:pPr>
              <w:pStyle w:val="133"/>
            </w:pPr>
            <w:r>
              <w:t>19.27</w:t>
            </w:r>
          </w:p>
        </w:tc>
        <w:tc>
          <w:tcPr>
            <w:tcW w:w="1061" w:type="dxa"/>
            <w:noWrap/>
            <w:vAlign w:val="center"/>
          </w:tcPr>
          <w:p w14:paraId="1D517971">
            <w:pPr>
              <w:pStyle w:val="133"/>
            </w:pPr>
            <w:r>
              <w:rPr>
                <w:rFonts w:hint="eastAsia"/>
              </w:rPr>
              <w:t>达标</w:t>
            </w:r>
          </w:p>
        </w:tc>
      </w:tr>
    </w:tbl>
    <w:p w14:paraId="4CCAECE3">
      <w:pPr>
        <w:pStyle w:val="133"/>
      </w:pPr>
    </w:p>
    <w:p w14:paraId="1FEEA53F">
      <w:pPr>
        <w:pStyle w:val="118"/>
      </w:pPr>
      <w:r>
        <w:rPr>
          <w:rFonts w:hint="eastAsia"/>
          <w:spacing w:val="8"/>
        </w:rPr>
        <w:t>表5.2-20</w:t>
      </w:r>
      <w:r>
        <w:t xml:space="preserve">  </w:t>
      </w:r>
      <w:r>
        <w:rPr>
          <w:rFonts w:hint="eastAsia"/>
        </w:rPr>
        <w:t>T</w:t>
      </w:r>
      <w:r>
        <w:t>SP最大落地浓度贡献值及其发生的时间统计一览表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78A7F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21462121">
            <w:pPr>
              <w:pStyle w:val="133"/>
              <w:rPr>
                <w:b/>
                <w:bCs/>
              </w:rPr>
            </w:pPr>
            <w:r>
              <w:rPr>
                <w:rFonts w:hint="eastAsia"/>
                <w:b/>
                <w:bCs/>
              </w:rPr>
              <w:t>序号</w:t>
            </w:r>
          </w:p>
        </w:tc>
        <w:tc>
          <w:tcPr>
            <w:tcW w:w="1221" w:type="dxa"/>
            <w:noWrap/>
            <w:vAlign w:val="center"/>
          </w:tcPr>
          <w:p w14:paraId="1A71AE28">
            <w:pPr>
              <w:pStyle w:val="133"/>
              <w:rPr>
                <w:b/>
                <w:bCs/>
              </w:rPr>
            </w:pPr>
            <w:r>
              <w:rPr>
                <w:rFonts w:hint="eastAsia"/>
                <w:b/>
                <w:bCs/>
              </w:rPr>
              <w:t>点名称</w:t>
            </w:r>
          </w:p>
        </w:tc>
        <w:tc>
          <w:tcPr>
            <w:tcW w:w="1533" w:type="dxa"/>
            <w:noWrap/>
            <w:vAlign w:val="center"/>
          </w:tcPr>
          <w:p w14:paraId="1632ECBB">
            <w:pPr>
              <w:pStyle w:val="133"/>
              <w:rPr>
                <w:b/>
                <w:bCs/>
              </w:rPr>
            </w:pPr>
            <w:r>
              <w:rPr>
                <w:rFonts w:hint="eastAsia"/>
                <w:b/>
                <w:bCs/>
              </w:rPr>
              <w:t>点坐标</w:t>
            </w:r>
          </w:p>
          <w:p w14:paraId="3AB07E40">
            <w:pPr>
              <w:pStyle w:val="133"/>
              <w:jc w:val="both"/>
              <w:rPr>
                <w:b/>
                <w:bCs/>
              </w:rPr>
            </w:pPr>
            <w:r>
              <w:rPr>
                <w:rFonts w:hint="eastAsia"/>
                <w:b/>
                <w:bCs/>
              </w:rPr>
              <w:t>（x或r,y或a）</w:t>
            </w:r>
          </w:p>
        </w:tc>
        <w:tc>
          <w:tcPr>
            <w:tcW w:w="1219" w:type="dxa"/>
            <w:noWrap/>
            <w:vAlign w:val="center"/>
          </w:tcPr>
          <w:p w14:paraId="1FE83F8F">
            <w:pPr>
              <w:pStyle w:val="133"/>
              <w:rPr>
                <w:b/>
                <w:bCs/>
              </w:rPr>
            </w:pPr>
            <w:r>
              <w:rPr>
                <w:rFonts w:hint="eastAsia"/>
                <w:b/>
                <w:bCs/>
              </w:rPr>
              <w:t>地面高程</w:t>
            </w:r>
          </w:p>
          <w:p w14:paraId="2BDB106A">
            <w:pPr>
              <w:pStyle w:val="133"/>
              <w:rPr>
                <w:b/>
                <w:bCs/>
              </w:rPr>
            </w:pPr>
            <w:r>
              <w:rPr>
                <w:rFonts w:hint="eastAsia"/>
                <w:b/>
                <w:bCs/>
              </w:rPr>
              <w:t>（m）</w:t>
            </w:r>
          </w:p>
        </w:tc>
        <w:tc>
          <w:tcPr>
            <w:tcW w:w="1219" w:type="dxa"/>
            <w:noWrap/>
            <w:vAlign w:val="center"/>
          </w:tcPr>
          <w:p w14:paraId="0E118695">
            <w:pPr>
              <w:pStyle w:val="133"/>
              <w:rPr>
                <w:b/>
                <w:bCs/>
              </w:rPr>
            </w:pPr>
            <w:r>
              <w:rPr>
                <w:rFonts w:hint="eastAsia"/>
                <w:b/>
                <w:bCs/>
              </w:rPr>
              <w:t>离地高度</w:t>
            </w:r>
          </w:p>
          <w:p w14:paraId="5164ADF6">
            <w:pPr>
              <w:pStyle w:val="133"/>
              <w:rPr>
                <w:b/>
                <w:bCs/>
              </w:rPr>
            </w:pPr>
            <w:r>
              <w:rPr>
                <w:rFonts w:hint="eastAsia"/>
                <w:b/>
                <w:bCs/>
              </w:rPr>
              <w:t>（m）</w:t>
            </w:r>
          </w:p>
        </w:tc>
        <w:tc>
          <w:tcPr>
            <w:tcW w:w="1171" w:type="dxa"/>
            <w:noWrap/>
            <w:vAlign w:val="center"/>
          </w:tcPr>
          <w:p w14:paraId="1E729A2D">
            <w:pPr>
              <w:pStyle w:val="133"/>
              <w:rPr>
                <w:b/>
                <w:bCs/>
              </w:rPr>
            </w:pPr>
            <w:r>
              <w:rPr>
                <w:rFonts w:hint="eastAsia"/>
                <w:b/>
                <w:bCs/>
              </w:rPr>
              <w:t>浓度类型</w:t>
            </w:r>
          </w:p>
        </w:tc>
        <w:tc>
          <w:tcPr>
            <w:tcW w:w="1417" w:type="dxa"/>
            <w:noWrap/>
            <w:vAlign w:val="center"/>
          </w:tcPr>
          <w:p w14:paraId="2D9161BA">
            <w:pPr>
              <w:pStyle w:val="133"/>
              <w:rPr>
                <w:b/>
                <w:bCs/>
              </w:rPr>
            </w:pPr>
            <w:r>
              <w:rPr>
                <w:rFonts w:hint="eastAsia"/>
                <w:b/>
                <w:bCs/>
              </w:rPr>
              <w:t>浓度增量（mg/m^3）</w:t>
            </w:r>
          </w:p>
        </w:tc>
        <w:tc>
          <w:tcPr>
            <w:tcW w:w="1985" w:type="dxa"/>
            <w:noWrap/>
            <w:vAlign w:val="center"/>
          </w:tcPr>
          <w:p w14:paraId="3D5EEAF2">
            <w:pPr>
              <w:pStyle w:val="133"/>
              <w:rPr>
                <w:b/>
                <w:bCs/>
              </w:rPr>
            </w:pPr>
            <w:r>
              <w:rPr>
                <w:rFonts w:hint="eastAsia"/>
                <w:b/>
                <w:bCs/>
              </w:rPr>
              <w:t>出现时间</w:t>
            </w:r>
          </w:p>
          <w:p w14:paraId="7D681F9A">
            <w:pPr>
              <w:pStyle w:val="133"/>
              <w:rPr>
                <w:b/>
                <w:bCs/>
              </w:rPr>
            </w:pPr>
            <w:r>
              <w:rPr>
                <w:rFonts w:hint="eastAsia"/>
                <w:b/>
                <w:bCs/>
              </w:rPr>
              <w:t>（YYMMDDHH）</w:t>
            </w:r>
          </w:p>
        </w:tc>
        <w:tc>
          <w:tcPr>
            <w:tcW w:w="1276" w:type="dxa"/>
            <w:noWrap/>
            <w:vAlign w:val="center"/>
          </w:tcPr>
          <w:p w14:paraId="1E91410C">
            <w:pPr>
              <w:pStyle w:val="133"/>
              <w:rPr>
                <w:b/>
                <w:bCs/>
              </w:rPr>
            </w:pPr>
            <w:r>
              <w:rPr>
                <w:rFonts w:hint="eastAsia"/>
                <w:b/>
                <w:bCs/>
              </w:rPr>
              <w:t>评价标准</w:t>
            </w:r>
          </w:p>
          <w:p w14:paraId="457924A1">
            <w:pPr>
              <w:pStyle w:val="133"/>
              <w:jc w:val="both"/>
              <w:rPr>
                <w:b/>
                <w:bCs/>
              </w:rPr>
            </w:pPr>
            <w:r>
              <w:rPr>
                <w:rFonts w:hint="eastAsia"/>
                <w:b/>
                <w:bCs/>
              </w:rPr>
              <w:t>（mg/m^3）</w:t>
            </w:r>
          </w:p>
        </w:tc>
        <w:tc>
          <w:tcPr>
            <w:tcW w:w="1134" w:type="dxa"/>
            <w:noWrap/>
            <w:vAlign w:val="center"/>
          </w:tcPr>
          <w:p w14:paraId="537F01F7">
            <w:pPr>
              <w:pStyle w:val="133"/>
              <w:rPr>
                <w:b/>
                <w:bCs/>
              </w:rPr>
            </w:pPr>
            <w:r>
              <w:rPr>
                <w:rFonts w:hint="eastAsia"/>
                <w:b/>
                <w:bCs/>
              </w:rPr>
              <w:t>占标率</w:t>
            </w:r>
          </w:p>
          <w:p w14:paraId="4A7B3387">
            <w:pPr>
              <w:pStyle w:val="133"/>
              <w:rPr>
                <w:b/>
                <w:bCs/>
              </w:rPr>
            </w:pPr>
            <w:r>
              <w:rPr>
                <w:rFonts w:hint="eastAsia"/>
                <w:b/>
                <w:bCs/>
              </w:rPr>
              <w:t>%</w:t>
            </w:r>
          </w:p>
        </w:tc>
        <w:tc>
          <w:tcPr>
            <w:tcW w:w="1043" w:type="dxa"/>
            <w:noWrap/>
            <w:vAlign w:val="center"/>
          </w:tcPr>
          <w:p w14:paraId="737490DD">
            <w:pPr>
              <w:pStyle w:val="133"/>
              <w:rPr>
                <w:b/>
                <w:bCs/>
              </w:rPr>
            </w:pPr>
            <w:r>
              <w:rPr>
                <w:rFonts w:hint="eastAsia"/>
                <w:b/>
                <w:bCs/>
              </w:rPr>
              <w:t>是否</w:t>
            </w:r>
          </w:p>
          <w:p w14:paraId="59E671C8">
            <w:pPr>
              <w:pStyle w:val="133"/>
              <w:rPr>
                <w:b/>
                <w:bCs/>
              </w:rPr>
            </w:pPr>
            <w:r>
              <w:rPr>
                <w:rFonts w:hint="eastAsia"/>
                <w:b/>
                <w:bCs/>
              </w:rPr>
              <w:t>超标</w:t>
            </w:r>
          </w:p>
        </w:tc>
      </w:tr>
      <w:tr w14:paraId="01E6E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restart"/>
            <w:noWrap/>
            <w:vAlign w:val="center"/>
          </w:tcPr>
          <w:p w14:paraId="5FB3A914">
            <w:pPr>
              <w:pStyle w:val="133"/>
            </w:pPr>
            <w:r>
              <w:rPr>
                <w:rFonts w:hint="eastAsia"/>
              </w:rPr>
              <w:t>1</w:t>
            </w:r>
          </w:p>
        </w:tc>
        <w:tc>
          <w:tcPr>
            <w:tcW w:w="1221" w:type="dxa"/>
            <w:vMerge w:val="restart"/>
            <w:noWrap/>
            <w:vAlign w:val="center"/>
          </w:tcPr>
          <w:p w14:paraId="0A6A3F02">
            <w:pPr>
              <w:pStyle w:val="133"/>
            </w:pPr>
            <w:r>
              <w:rPr>
                <w:rFonts w:hint="eastAsia"/>
              </w:rPr>
              <w:t>网格</w:t>
            </w:r>
          </w:p>
        </w:tc>
        <w:tc>
          <w:tcPr>
            <w:tcW w:w="1533" w:type="dxa"/>
            <w:noWrap/>
            <w:vAlign w:val="center"/>
          </w:tcPr>
          <w:p w14:paraId="28FFE1EE">
            <w:pPr>
              <w:pStyle w:val="133"/>
            </w:pPr>
            <w:r>
              <w:rPr>
                <w:rFonts w:hint="eastAsia"/>
              </w:rPr>
              <w:t>-800</w:t>
            </w:r>
            <w:r>
              <w:t>,</w:t>
            </w:r>
            <w:r>
              <w:rPr>
                <w:rFonts w:hint="eastAsia"/>
              </w:rPr>
              <w:t>-100</w:t>
            </w:r>
          </w:p>
        </w:tc>
        <w:tc>
          <w:tcPr>
            <w:tcW w:w="1219" w:type="dxa"/>
            <w:noWrap/>
            <w:vAlign w:val="center"/>
          </w:tcPr>
          <w:p w14:paraId="7B8B35C2">
            <w:pPr>
              <w:pStyle w:val="133"/>
            </w:pPr>
            <w:r>
              <w:rPr>
                <w:rFonts w:hint="eastAsia"/>
              </w:rPr>
              <w:t>694.40</w:t>
            </w:r>
          </w:p>
        </w:tc>
        <w:tc>
          <w:tcPr>
            <w:tcW w:w="1219" w:type="dxa"/>
            <w:noWrap/>
            <w:vAlign w:val="center"/>
          </w:tcPr>
          <w:p w14:paraId="269A4C90">
            <w:pPr>
              <w:pStyle w:val="133"/>
            </w:pPr>
            <w:r>
              <w:rPr>
                <w:rFonts w:hint="eastAsia"/>
              </w:rPr>
              <w:t>0</w:t>
            </w:r>
          </w:p>
        </w:tc>
        <w:tc>
          <w:tcPr>
            <w:tcW w:w="1171" w:type="dxa"/>
            <w:noWrap/>
            <w:vAlign w:val="center"/>
          </w:tcPr>
          <w:p w14:paraId="0877F82C">
            <w:pPr>
              <w:pStyle w:val="133"/>
            </w:pPr>
            <w:r>
              <w:rPr>
                <w:rFonts w:hint="eastAsia"/>
              </w:rPr>
              <w:t>日平均</w:t>
            </w:r>
          </w:p>
        </w:tc>
        <w:tc>
          <w:tcPr>
            <w:tcW w:w="1417" w:type="dxa"/>
            <w:noWrap/>
          </w:tcPr>
          <w:p w14:paraId="7D786AE0">
            <w:pPr>
              <w:pStyle w:val="133"/>
            </w:pPr>
            <w:r>
              <w:t>0.022171</w:t>
            </w:r>
          </w:p>
        </w:tc>
        <w:tc>
          <w:tcPr>
            <w:tcW w:w="1985" w:type="dxa"/>
            <w:noWrap/>
          </w:tcPr>
          <w:p w14:paraId="0FA90ABD">
            <w:pPr>
              <w:pStyle w:val="133"/>
            </w:pPr>
            <w:r>
              <w:t>231225</w:t>
            </w:r>
          </w:p>
        </w:tc>
        <w:tc>
          <w:tcPr>
            <w:tcW w:w="1276" w:type="dxa"/>
            <w:noWrap/>
            <w:vAlign w:val="center"/>
          </w:tcPr>
          <w:p w14:paraId="630DB5C5">
            <w:pPr>
              <w:pStyle w:val="133"/>
            </w:pPr>
            <w:r>
              <w:rPr>
                <w:rFonts w:hint="eastAsia"/>
              </w:rPr>
              <w:t>0.3</w:t>
            </w:r>
          </w:p>
        </w:tc>
        <w:tc>
          <w:tcPr>
            <w:tcW w:w="1134" w:type="dxa"/>
            <w:noWrap/>
          </w:tcPr>
          <w:p w14:paraId="200340DA">
            <w:pPr>
              <w:pStyle w:val="133"/>
            </w:pPr>
            <w:r>
              <w:t>7.39</w:t>
            </w:r>
          </w:p>
        </w:tc>
        <w:tc>
          <w:tcPr>
            <w:tcW w:w="1043" w:type="dxa"/>
            <w:noWrap/>
            <w:vAlign w:val="center"/>
          </w:tcPr>
          <w:p w14:paraId="37DBAF75">
            <w:pPr>
              <w:pStyle w:val="133"/>
            </w:pPr>
            <w:r>
              <w:rPr>
                <w:rFonts w:hint="eastAsia"/>
              </w:rPr>
              <w:t>达标</w:t>
            </w:r>
          </w:p>
        </w:tc>
      </w:tr>
      <w:tr w14:paraId="47FEF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continue"/>
            <w:noWrap/>
            <w:vAlign w:val="center"/>
          </w:tcPr>
          <w:p w14:paraId="1159C56F">
            <w:pPr>
              <w:pStyle w:val="133"/>
            </w:pPr>
          </w:p>
        </w:tc>
        <w:tc>
          <w:tcPr>
            <w:tcW w:w="1221" w:type="dxa"/>
            <w:vMerge w:val="continue"/>
            <w:noWrap/>
            <w:vAlign w:val="center"/>
          </w:tcPr>
          <w:p w14:paraId="3BF7E262">
            <w:pPr>
              <w:pStyle w:val="133"/>
            </w:pPr>
          </w:p>
        </w:tc>
        <w:tc>
          <w:tcPr>
            <w:tcW w:w="1533" w:type="dxa"/>
            <w:noWrap/>
            <w:vAlign w:val="center"/>
          </w:tcPr>
          <w:p w14:paraId="2FB496C7">
            <w:pPr>
              <w:pStyle w:val="133"/>
            </w:pPr>
            <w:r>
              <w:rPr>
                <w:rFonts w:hint="eastAsia"/>
              </w:rPr>
              <w:t>-500</w:t>
            </w:r>
            <w:r>
              <w:t>,</w:t>
            </w:r>
            <w:r>
              <w:rPr>
                <w:rFonts w:hint="eastAsia"/>
              </w:rPr>
              <w:t>100</w:t>
            </w:r>
          </w:p>
        </w:tc>
        <w:tc>
          <w:tcPr>
            <w:tcW w:w="1219" w:type="dxa"/>
            <w:noWrap/>
            <w:vAlign w:val="center"/>
          </w:tcPr>
          <w:p w14:paraId="3E092D94">
            <w:pPr>
              <w:pStyle w:val="133"/>
            </w:pPr>
            <w:r>
              <w:rPr>
                <w:rFonts w:hint="eastAsia"/>
              </w:rPr>
              <w:t>694.90</w:t>
            </w:r>
          </w:p>
        </w:tc>
        <w:tc>
          <w:tcPr>
            <w:tcW w:w="1219" w:type="dxa"/>
            <w:noWrap/>
            <w:vAlign w:val="center"/>
          </w:tcPr>
          <w:p w14:paraId="01266614">
            <w:pPr>
              <w:pStyle w:val="133"/>
            </w:pPr>
            <w:r>
              <w:rPr>
                <w:rFonts w:hint="eastAsia"/>
              </w:rPr>
              <w:t>0</w:t>
            </w:r>
          </w:p>
        </w:tc>
        <w:tc>
          <w:tcPr>
            <w:tcW w:w="1171" w:type="dxa"/>
            <w:noWrap/>
            <w:vAlign w:val="center"/>
          </w:tcPr>
          <w:p w14:paraId="3926C28A">
            <w:pPr>
              <w:pStyle w:val="133"/>
            </w:pPr>
            <w:r>
              <w:rPr>
                <w:rFonts w:hint="eastAsia"/>
              </w:rPr>
              <w:t>年平均</w:t>
            </w:r>
          </w:p>
        </w:tc>
        <w:tc>
          <w:tcPr>
            <w:tcW w:w="1417" w:type="dxa"/>
            <w:noWrap/>
          </w:tcPr>
          <w:p w14:paraId="1F020798">
            <w:pPr>
              <w:pStyle w:val="133"/>
            </w:pPr>
            <w:r>
              <w:rPr>
                <w:rFonts w:hint="eastAsia"/>
              </w:rPr>
              <w:t>0.00517</w:t>
            </w:r>
          </w:p>
        </w:tc>
        <w:tc>
          <w:tcPr>
            <w:tcW w:w="1985" w:type="dxa"/>
            <w:noWrap/>
          </w:tcPr>
          <w:p w14:paraId="2BEA20E5">
            <w:pPr>
              <w:pStyle w:val="133"/>
            </w:pPr>
            <w:r>
              <w:rPr>
                <w:rFonts w:hint="eastAsia"/>
              </w:rPr>
              <w:t>平均值</w:t>
            </w:r>
          </w:p>
        </w:tc>
        <w:tc>
          <w:tcPr>
            <w:tcW w:w="1276" w:type="dxa"/>
            <w:noWrap/>
            <w:vAlign w:val="center"/>
          </w:tcPr>
          <w:p w14:paraId="4FFCC064">
            <w:pPr>
              <w:pStyle w:val="133"/>
            </w:pPr>
            <w:r>
              <w:rPr>
                <w:rFonts w:hint="eastAsia"/>
              </w:rPr>
              <w:t>0.2</w:t>
            </w:r>
          </w:p>
        </w:tc>
        <w:tc>
          <w:tcPr>
            <w:tcW w:w="1134" w:type="dxa"/>
            <w:noWrap/>
          </w:tcPr>
          <w:p w14:paraId="2E6D95F2">
            <w:pPr>
              <w:pStyle w:val="133"/>
            </w:pPr>
            <w:r>
              <w:t>2.58</w:t>
            </w:r>
          </w:p>
        </w:tc>
        <w:tc>
          <w:tcPr>
            <w:tcW w:w="1043" w:type="dxa"/>
            <w:noWrap/>
            <w:vAlign w:val="center"/>
          </w:tcPr>
          <w:p w14:paraId="3D1E21AE">
            <w:pPr>
              <w:pStyle w:val="133"/>
            </w:pPr>
            <w:r>
              <w:rPr>
                <w:rFonts w:hint="eastAsia"/>
              </w:rPr>
              <w:t>达标</w:t>
            </w:r>
          </w:p>
        </w:tc>
      </w:tr>
    </w:tbl>
    <w:p w14:paraId="1B2ED1D6">
      <w:pPr>
        <w:pStyle w:val="133"/>
      </w:pPr>
    </w:p>
    <w:p w14:paraId="6E34AEB2">
      <w:pPr>
        <w:pStyle w:val="118"/>
      </w:pPr>
      <w:r>
        <w:rPr>
          <w:rFonts w:hint="eastAsia"/>
          <w:spacing w:val="8"/>
        </w:rPr>
        <w:t>表5.2-21</w:t>
      </w:r>
      <w:r>
        <w:t xml:space="preserve">  </w:t>
      </w:r>
      <w:r>
        <w:rPr>
          <w:rFonts w:hint="eastAsia"/>
        </w:rPr>
        <w:t>Ba</w:t>
      </w:r>
      <w:r>
        <w:t>P最大落地浓度贡献值及其发生的时间统计一览表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500E0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761EC617">
            <w:pPr>
              <w:pStyle w:val="133"/>
              <w:rPr>
                <w:b/>
                <w:bCs/>
              </w:rPr>
            </w:pPr>
            <w:r>
              <w:rPr>
                <w:rFonts w:hint="eastAsia"/>
                <w:b/>
                <w:bCs/>
              </w:rPr>
              <w:t>序号</w:t>
            </w:r>
          </w:p>
        </w:tc>
        <w:tc>
          <w:tcPr>
            <w:tcW w:w="1221" w:type="dxa"/>
            <w:noWrap/>
            <w:vAlign w:val="center"/>
          </w:tcPr>
          <w:p w14:paraId="15A2620F">
            <w:pPr>
              <w:pStyle w:val="133"/>
              <w:rPr>
                <w:b/>
                <w:bCs/>
              </w:rPr>
            </w:pPr>
            <w:r>
              <w:rPr>
                <w:rFonts w:hint="eastAsia"/>
                <w:b/>
                <w:bCs/>
              </w:rPr>
              <w:t>点名称</w:t>
            </w:r>
          </w:p>
        </w:tc>
        <w:tc>
          <w:tcPr>
            <w:tcW w:w="1533" w:type="dxa"/>
            <w:noWrap/>
            <w:vAlign w:val="center"/>
          </w:tcPr>
          <w:p w14:paraId="11989D1D">
            <w:pPr>
              <w:pStyle w:val="133"/>
              <w:rPr>
                <w:b/>
                <w:bCs/>
              </w:rPr>
            </w:pPr>
            <w:r>
              <w:rPr>
                <w:rFonts w:hint="eastAsia"/>
                <w:b/>
                <w:bCs/>
              </w:rPr>
              <w:t>点坐标</w:t>
            </w:r>
          </w:p>
          <w:p w14:paraId="26D015D6">
            <w:pPr>
              <w:pStyle w:val="133"/>
              <w:jc w:val="both"/>
              <w:rPr>
                <w:b/>
                <w:bCs/>
              </w:rPr>
            </w:pPr>
            <w:r>
              <w:rPr>
                <w:rFonts w:hint="eastAsia"/>
                <w:b/>
                <w:bCs/>
              </w:rPr>
              <w:t>（x或r,y或a）</w:t>
            </w:r>
          </w:p>
        </w:tc>
        <w:tc>
          <w:tcPr>
            <w:tcW w:w="1219" w:type="dxa"/>
            <w:noWrap/>
            <w:vAlign w:val="center"/>
          </w:tcPr>
          <w:p w14:paraId="17E28458">
            <w:pPr>
              <w:pStyle w:val="133"/>
              <w:rPr>
                <w:b/>
                <w:bCs/>
              </w:rPr>
            </w:pPr>
            <w:r>
              <w:rPr>
                <w:rFonts w:hint="eastAsia"/>
                <w:b/>
                <w:bCs/>
              </w:rPr>
              <w:t>地面高程</w:t>
            </w:r>
          </w:p>
          <w:p w14:paraId="67FBD006">
            <w:pPr>
              <w:pStyle w:val="133"/>
              <w:rPr>
                <w:b/>
                <w:bCs/>
              </w:rPr>
            </w:pPr>
            <w:r>
              <w:rPr>
                <w:rFonts w:hint="eastAsia"/>
                <w:b/>
                <w:bCs/>
              </w:rPr>
              <w:t>（m）</w:t>
            </w:r>
          </w:p>
        </w:tc>
        <w:tc>
          <w:tcPr>
            <w:tcW w:w="1219" w:type="dxa"/>
            <w:noWrap/>
            <w:vAlign w:val="center"/>
          </w:tcPr>
          <w:p w14:paraId="42686EE4">
            <w:pPr>
              <w:pStyle w:val="133"/>
              <w:rPr>
                <w:b/>
                <w:bCs/>
              </w:rPr>
            </w:pPr>
            <w:r>
              <w:rPr>
                <w:rFonts w:hint="eastAsia"/>
                <w:b/>
                <w:bCs/>
              </w:rPr>
              <w:t>离地高度</w:t>
            </w:r>
          </w:p>
          <w:p w14:paraId="3B72EC35">
            <w:pPr>
              <w:pStyle w:val="133"/>
              <w:rPr>
                <w:b/>
                <w:bCs/>
              </w:rPr>
            </w:pPr>
            <w:r>
              <w:rPr>
                <w:rFonts w:hint="eastAsia"/>
                <w:b/>
                <w:bCs/>
              </w:rPr>
              <w:t>（m）</w:t>
            </w:r>
          </w:p>
        </w:tc>
        <w:tc>
          <w:tcPr>
            <w:tcW w:w="1171" w:type="dxa"/>
            <w:noWrap/>
            <w:vAlign w:val="center"/>
          </w:tcPr>
          <w:p w14:paraId="42DC7CC1">
            <w:pPr>
              <w:pStyle w:val="133"/>
              <w:rPr>
                <w:b/>
                <w:bCs/>
              </w:rPr>
            </w:pPr>
            <w:r>
              <w:rPr>
                <w:rFonts w:hint="eastAsia"/>
                <w:b/>
                <w:bCs/>
              </w:rPr>
              <w:t>浓度类型</w:t>
            </w:r>
          </w:p>
        </w:tc>
        <w:tc>
          <w:tcPr>
            <w:tcW w:w="1417" w:type="dxa"/>
            <w:noWrap/>
            <w:vAlign w:val="center"/>
          </w:tcPr>
          <w:p w14:paraId="1FAAC73D">
            <w:pPr>
              <w:pStyle w:val="133"/>
              <w:rPr>
                <w:b/>
                <w:bCs/>
              </w:rPr>
            </w:pPr>
            <w:r>
              <w:rPr>
                <w:rFonts w:hint="eastAsia"/>
                <w:b/>
                <w:bCs/>
              </w:rPr>
              <w:t>浓度增量（mg/m^3）</w:t>
            </w:r>
          </w:p>
        </w:tc>
        <w:tc>
          <w:tcPr>
            <w:tcW w:w="1985" w:type="dxa"/>
            <w:noWrap/>
            <w:vAlign w:val="center"/>
          </w:tcPr>
          <w:p w14:paraId="75AA41CE">
            <w:pPr>
              <w:pStyle w:val="133"/>
              <w:rPr>
                <w:b/>
                <w:bCs/>
              </w:rPr>
            </w:pPr>
            <w:r>
              <w:rPr>
                <w:rFonts w:hint="eastAsia"/>
                <w:b/>
                <w:bCs/>
              </w:rPr>
              <w:t>出现时间</w:t>
            </w:r>
          </w:p>
          <w:p w14:paraId="1FAB6317">
            <w:pPr>
              <w:pStyle w:val="133"/>
              <w:rPr>
                <w:b/>
                <w:bCs/>
              </w:rPr>
            </w:pPr>
            <w:r>
              <w:rPr>
                <w:rFonts w:hint="eastAsia"/>
                <w:b/>
                <w:bCs/>
              </w:rPr>
              <w:t>（YYMMDDHH）</w:t>
            </w:r>
          </w:p>
        </w:tc>
        <w:tc>
          <w:tcPr>
            <w:tcW w:w="1276" w:type="dxa"/>
            <w:noWrap/>
            <w:vAlign w:val="center"/>
          </w:tcPr>
          <w:p w14:paraId="0D052886">
            <w:pPr>
              <w:pStyle w:val="133"/>
              <w:rPr>
                <w:b/>
                <w:bCs/>
              </w:rPr>
            </w:pPr>
            <w:r>
              <w:rPr>
                <w:rFonts w:hint="eastAsia"/>
                <w:b/>
                <w:bCs/>
              </w:rPr>
              <w:t>评价标准</w:t>
            </w:r>
          </w:p>
          <w:p w14:paraId="19F054E1">
            <w:pPr>
              <w:pStyle w:val="133"/>
              <w:jc w:val="both"/>
              <w:rPr>
                <w:b/>
                <w:bCs/>
              </w:rPr>
            </w:pPr>
            <w:r>
              <w:rPr>
                <w:rFonts w:hint="eastAsia"/>
                <w:b/>
                <w:bCs/>
              </w:rPr>
              <w:t>（mg/m^3）</w:t>
            </w:r>
          </w:p>
        </w:tc>
        <w:tc>
          <w:tcPr>
            <w:tcW w:w="1134" w:type="dxa"/>
            <w:noWrap/>
            <w:vAlign w:val="center"/>
          </w:tcPr>
          <w:p w14:paraId="33F4F80E">
            <w:pPr>
              <w:pStyle w:val="133"/>
              <w:rPr>
                <w:b/>
                <w:bCs/>
              </w:rPr>
            </w:pPr>
            <w:r>
              <w:rPr>
                <w:rFonts w:hint="eastAsia"/>
                <w:b/>
                <w:bCs/>
              </w:rPr>
              <w:t>占标率</w:t>
            </w:r>
          </w:p>
          <w:p w14:paraId="57DD1364">
            <w:pPr>
              <w:pStyle w:val="133"/>
              <w:rPr>
                <w:b/>
                <w:bCs/>
              </w:rPr>
            </w:pPr>
            <w:r>
              <w:rPr>
                <w:rFonts w:hint="eastAsia"/>
                <w:b/>
                <w:bCs/>
              </w:rPr>
              <w:t>%</w:t>
            </w:r>
          </w:p>
        </w:tc>
        <w:tc>
          <w:tcPr>
            <w:tcW w:w="1043" w:type="dxa"/>
            <w:noWrap/>
            <w:vAlign w:val="center"/>
          </w:tcPr>
          <w:p w14:paraId="573DC928">
            <w:pPr>
              <w:pStyle w:val="133"/>
              <w:rPr>
                <w:b/>
                <w:bCs/>
              </w:rPr>
            </w:pPr>
            <w:r>
              <w:rPr>
                <w:rFonts w:hint="eastAsia"/>
                <w:b/>
                <w:bCs/>
              </w:rPr>
              <w:t>是否</w:t>
            </w:r>
          </w:p>
          <w:p w14:paraId="785AD799">
            <w:pPr>
              <w:pStyle w:val="133"/>
              <w:rPr>
                <w:b/>
                <w:bCs/>
              </w:rPr>
            </w:pPr>
            <w:r>
              <w:rPr>
                <w:rFonts w:hint="eastAsia"/>
                <w:b/>
                <w:bCs/>
              </w:rPr>
              <w:t>超标</w:t>
            </w:r>
          </w:p>
        </w:tc>
      </w:tr>
      <w:tr w14:paraId="720B2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restart"/>
            <w:noWrap/>
            <w:vAlign w:val="center"/>
          </w:tcPr>
          <w:p w14:paraId="444EA5F5">
            <w:pPr>
              <w:pStyle w:val="133"/>
            </w:pPr>
            <w:r>
              <w:rPr>
                <w:rFonts w:hint="eastAsia"/>
              </w:rPr>
              <w:t>1</w:t>
            </w:r>
          </w:p>
        </w:tc>
        <w:tc>
          <w:tcPr>
            <w:tcW w:w="1221" w:type="dxa"/>
            <w:vMerge w:val="restart"/>
            <w:noWrap/>
            <w:vAlign w:val="center"/>
          </w:tcPr>
          <w:p w14:paraId="184186B7">
            <w:pPr>
              <w:pStyle w:val="133"/>
            </w:pPr>
            <w:r>
              <w:rPr>
                <w:rFonts w:hint="eastAsia"/>
              </w:rPr>
              <w:t>网格</w:t>
            </w:r>
          </w:p>
        </w:tc>
        <w:tc>
          <w:tcPr>
            <w:tcW w:w="1533" w:type="dxa"/>
            <w:noWrap/>
            <w:vAlign w:val="center"/>
          </w:tcPr>
          <w:p w14:paraId="24D9E4BD">
            <w:pPr>
              <w:pStyle w:val="133"/>
            </w:pPr>
            <w:r>
              <w:rPr>
                <w:rFonts w:hint="eastAsia"/>
              </w:rPr>
              <w:t>-400</w:t>
            </w:r>
            <w:r>
              <w:t>,</w:t>
            </w:r>
            <w:r>
              <w:rPr>
                <w:rFonts w:hint="eastAsia"/>
              </w:rPr>
              <w:t>0</w:t>
            </w:r>
          </w:p>
        </w:tc>
        <w:tc>
          <w:tcPr>
            <w:tcW w:w="1219" w:type="dxa"/>
            <w:noWrap/>
            <w:vAlign w:val="center"/>
          </w:tcPr>
          <w:p w14:paraId="5628DA5C">
            <w:pPr>
              <w:pStyle w:val="133"/>
            </w:pPr>
            <w:r>
              <w:rPr>
                <w:rFonts w:hint="eastAsia"/>
              </w:rPr>
              <w:t>694.20</w:t>
            </w:r>
          </w:p>
        </w:tc>
        <w:tc>
          <w:tcPr>
            <w:tcW w:w="1219" w:type="dxa"/>
            <w:noWrap/>
            <w:vAlign w:val="center"/>
          </w:tcPr>
          <w:p w14:paraId="784DE1FF">
            <w:pPr>
              <w:pStyle w:val="133"/>
            </w:pPr>
            <w:r>
              <w:rPr>
                <w:rFonts w:hint="eastAsia"/>
              </w:rPr>
              <w:t>0</w:t>
            </w:r>
          </w:p>
        </w:tc>
        <w:tc>
          <w:tcPr>
            <w:tcW w:w="1171" w:type="dxa"/>
            <w:noWrap/>
            <w:vAlign w:val="center"/>
          </w:tcPr>
          <w:p w14:paraId="5EE3E706">
            <w:pPr>
              <w:pStyle w:val="133"/>
            </w:pPr>
            <w:r>
              <w:rPr>
                <w:rFonts w:hint="eastAsia"/>
              </w:rPr>
              <w:t>日平均</w:t>
            </w:r>
          </w:p>
        </w:tc>
        <w:tc>
          <w:tcPr>
            <w:tcW w:w="1417" w:type="dxa"/>
            <w:noWrap/>
            <w:vAlign w:val="center"/>
          </w:tcPr>
          <w:p w14:paraId="6822C6E4">
            <w:pPr>
              <w:pStyle w:val="133"/>
            </w:pPr>
            <w:r>
              <w:t>5.60E-07</w:t>
            </w:r>
          </w:p>
        </w:tc>
        <w:tc>
          <w:tcPr>
            <w:tcW w:w="1985" w:type="dxa"/>
            <w:noWrap/>
            <w:vAlign w:val="center"/>
          </w:tcPr>
          <w:p w14:paraId="19350062">
            <w:pPr>
              <w:pStyle w:val="133"/>
            </w:pPr>
            <w:r>
              <w:t>231225</w:t>
            </w:r>
          </w:p>
        </w:tc>
        <w:tc>
          <w:tcPr>
            <w:tcW w:w="1276" w:type="dxa"/>
            <w:noWrap/>
            <w:vAlign w:val="center"/>
          </w:tcPr>
          <w:p w14:paraId="215C6421">
            <w:pPr>
              <w:pStyle w:val="133"/>
            </w:pPr>
            <w:r>
              <w:t>2.50E-06</w:t>
            </w:r>
          </w:p>
        </w:tc>
        <w:tc>
          <w:tcPr>
            <w:tcW w:w="1134" w:type="dxa"/>
            <w:noWrap/>
            <w:vAlign w:val="center"/>
          </w:tcPr>
          <w:p w14:paraId="707A0620">
            <w:pPr>
              <w:pStyle w:val="133"/>
            </w:pPr>
            <w:r>
              <w:t>22.40</w:t>
            </w:r>
          </w:p>
        </w:tc>
        <w:tc>
          <w:tcPr>
            <w:tcW w:w="1043" w:type="dxa"/>
            <w:noWrap/>
            <w:vAlign w:val="center"/>
          </w:tcPr>
          <w:p w14:paraId="1449E60D">
            <w:pPr>
              <w:pStyle w:val="133"/>
            </w:pPr>
            <w:r>
              <w:rPr>
                <w:rFonts w:hint="eastAsia"/>
              </w:rPr>
              <w:t>达标</w:t>
            </w:r>
          </w:p>
        </w:tc>
      </w:tr>
      <w:tr w14:paraId="0CFEC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vMerge w:val="continue"/>
            <w:noWrap/>
            <w:vAlign w:val="center"/>
          </w:tcPr>
          <w:p w14:paraId="31ECE510">
            <w:pPr>
              <w:pStyle w:val="133"/>
            </w:pPr>
          </w:p>
        </w:tc>
        <w:tc>
          <w:tcPr>
            <w:tcW w:w="1221" w:type="dxa"/>
            <w:vMerge w:val="continue"/>
            <w:noWrap/>
            <w:vAlign w:val="center"/>
          </w:tcPr>
          <w:p w14:paraId="681C7140">
            <w:pPr>
              <w:pStyle w:val="133"/>
            </w:pPr>
          </w:p>
        </w:tc>
        <w:tc>
          <w:tcPr>
            <w:tcW w:w="1533" w:type="dxa"/>
            <w:noWrap/>
            <w:vAlign w:val="center"/>
          </w:tcPr>
          <w:p w14:paraId="2631874F">
            <w:pPr>
              <w:pStyle w:val="133"/>
            </w:pPr>
            <w:r>
              <w:rPr>
                <w:rFonts w:hint="eastAsia"/>
              </w:rPr>
              <w:t>-100</w:t>
            </w:r>
            <w:r>
              <w:t>,</w:t>
            </w:r>
            <w:r>
              <w:rPr>
                <w:rFonts w:hint="eastAsia"/>
              </w:rPr>
              <w:t>100</w:t>
            </w:r>
          </w:p>
        </w:tc>
        <w:tc>
          <w:tcPr>
            <w:tcW w:w="1219" w:type="dxa"/>
            <w:noWrap/>
            <w:vAlign w:val="center"/>
          </w:tcPr>
          <w:p w14:paraId="55209A1F">
            <w:pPr>
              <w:pStyle w:val="133"/>
            </w:pPr>
            <w:r>
              <w:rPr>
                <w:rFonts w:hint="eastAsia"/>
              </w:rPr>
              <w:t>693.90</w:t>
            </w:r>
          </w:p>
        </w:tc>
        <w:tc>
          <w:tcPr>
            <w:tcW w:w="1219" w:type="dxa"/>
            <w:noWrap/>
            <w:vAlign w:val="center"/>
          </w:tcPr>
          <w:p w14:paraId="5EC5687C">
            <w:pPr>
              <w:pStyle w:val="133"/>
            </w:pPr>
            <w:r>
              <w:rPr>
                <w:rFonts w:hint="eastAsia"/>
              </w:rPr>
              <w:t>0</w:t>
            </w:r>
          </w:p>
        </w:tc>
        <w:tc>
          <w:tcPr>
            <w:tcW w:w="1171" w:type="dxa"/>
            <w:noWrap/>
            <w:vAlign w:val="center"/>
          </w:tcPr>
          <w:p w14:paraId="564632FD">
            <w:pPr>
              <w:pStyle w:val="133"/>
            </w:pPr>
            <w:r>
              <w:rPr>
                <w:rFonts w:hint="eastAsia"/>
              </w:rPr>
              <w:t>年平均</w:t>
            </w:r>
          </w:p>
        </w:tc>
        <w:tc>
          <w:tcPr>
            <w:tcW w:w="1417" w:type="dxa"/>
            <w:noWrap/>
            <w:vAlign w:val="center"/>
          </w:tcPr>
          <w:p w14:paraId="5E1EFADC">
            <w:pPr>
              <w:pStyle w:val="133"/>
            </w:pPr>
            <w:r>
              <w:rPr>
                <w:rFonts w:hint="eastAsia"/>
              </w:rPr>
              <w:t>1.50E-07</w:t>
            </w:r>
          </w:p>
        </w:tc>
        <w:tc>
          <w:tcPr>
            <w:tcW w:w="1985" w:type="dxa"/>
            <w:noWrap/>
            <w:vAlign w:val="center"/>
          </w:tcPr>
          <w:p w14:paraId="658AB9CA">
            <w:pPr>
              <w:pStyle w:val="133"/>
            </w:pPr>
            <w:r>
              <w:rPr>
                <w:rFonts w:hint="eastAsia"/>
              </w:rPr>
              <w:t>平均值</w:t>
            </w:r>
          </w:p>
        </w:tc>
        <w:tc>
          <w:tcPr>
            <w:tcW w:w="1276" w:type="dxa"/>
            <w:noWrap/>
            <w:vAlign w:val="center"/>
          </w:tcPr>
          <w:p w14:paraId="16065B7E">
            <w:pPr>
              <w:pStyle w:val="133"/>
            </w:pPr>
            <w:r>
              <w:t>1.00E-06</w:t>
            </w:r>
          </w:p>
        </w:tc>
        <w:tc>
          <w:tcPr>
            <w:tcW w:w="1134" w:type="dxa"/>
            <w:noWrap/>
            <w:vAlign w:val="center"/>
          </w:tcPr>
          <w:p w14:paraId="0CF0B3D6">
            <w:pPr>
              <w:pStyle w:val="133"/>
            </w:pPr>
            <w:r>
              <w:t>15.00</w:t>
            </w:r>
          </w:p>
        </w:tc>
        <w:tc>
          <w:tcPr>
            <w:tcW w:w="1043" w:type="dxa"/>
            <w:noWrap/>
            <w:vAlign w:val="center"/>
          </w:tcPr>
          <w:p w14:paraId="092FE207">
            <w:pPr>
              <w:pStyle w:val="133"/>
            </w:pPr>
            <w:r>
              <w:rPr>
                <w:rFonts w:hint="eastAsia"/>
              </w:rPr>
              <w:t>达标</w:t>
            </w:r>
          </w:p>
        </w:tc>
      </w:tr>
    </w:tbl>
    <w:p w14:paraId="25F39B07">
      <w:pPr>
        <w:pStyle w:val="133"/>
      </w:pPr>
    </w:p>
    <w:p w14:paraId="0D8F23B4">
      <w:pPr>
        <w:widowControl/>
        <w:spacing w:line="240" w:lineRule="auto"/>
        <w:ind w:firstLine="0" w:firstLineChars="0"/>
        <w:jc w:val="left"/>
        <w:rPr>
          <w:b/>
          <w:color w:val="000000"/>
          <w:spacing w:val="8"/>
          <w:szCs w:val="28"/>
        </w:rPr>
      </w:pPr>
      <w:r>
        <w:rPr>
          <w:spacing w:val="8"/>
        </w:rPr>
        <w:br w:type="page"/>
      </w:r>
    </w:p>
    <w:p w14:paraId="475960CB">
      <w:pPr>
        <w:pStyle w:val="118"/>
      </w:pPr>
      <w:r>
        <w:rPr>
          <w:rFonts w:hint="eastAsia"/>
          <w:spacing w:val="8"/>
        </w:rPr>
        <w:t>表5.2</w:t>
      </w:r>
      <w:r>
        <w:rPr>
          <w:spacing w:val="8"/>
        </w:rPr>
        <w:t>-2</w:t>
      </w:r>
      <w:r>
        <w:rPr>
          <w:rFonts w:hint="eastAsia"/>
          <w:spacing w:val="8"/>
        </w:rPr>
        <w:t>2</w:t>
      </w:r>
      <w:r>
        <w:t xml:space="preserve">  </w:t>
      </w:r>
      <w:r>
        <w:rPr>
          <w:rFonts w:hint="eastAsia"/>
        </w:rPr>
        <w:t>NH</w:t>
      </w:r>
      <w:r>
        <w:rPr>
          <w:rFonts w:hint="eastAsia"/>
          <w:vertAlign w:val="subscript"/>
        </w:rPr>
        <w:t>3</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1BB0A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4AE3329F">
            <w:pPr>
              <w:pStyle w:val="133"/>
              <w:rPr>
                <w:b/>
                <w:bCs/>
              </w:rPr>
            </w:pPr>
            <w:r>
              <w:rPr>
                <w:rFonts w:hint="eastAsia"/>
                <w:b/>
                <w:bCs/>
              </w:rPr>
              <w:t>序号</w:t>
            </w:r>
          </w:p>
        </w:tc>
        <w:tc>
          <w:tcPr>
            <w:tcW w:w="1221" w:type="dxa"/>
            <w:noWrap/>
            <w:vAlign w:val="center"/>
          </w:tcPr>
          <w:p w14:paraId="0919E6AA">
            <w:pPr>
              <w:pStyle w:val="133"/>
              <w:rPr>
                <w:b/>
                <w:bCs/>
              </w:rPr>
            </w:pPr>
            <w:r>
              <w:rPr>
                <w:rFonts w:hint="eastAsia"/>
                <w:b/>
                <w:bCs/>
              </w:rPr>
              <w:t>点名称</w:t>
            </w:r>
          </w:p>
        </w:tc>
        <w:tc>
          <w:tcPr>
            <w:tcW w:w="1533" w:type="dxa"/>
            <w:noWrap/>
            <w:vAlign w:val="center"/>
          </w:tcPr>
          <w:p w14:paraId="41B2C69F">
            <w:pPr>
              <w:pStyle w:val="133"/>
              <w:rPr>
                <w:b/>
                <w:bCs/>
              </w:rPr>
            </w:pPr>
            <w:r>
              <w:rPr>
                <w:rFonts w:hint="eastAsia"/>
                <w:b/>
                <w:bCs/>
              </w:rPr>
              <w:t>点坐标</w:t>
            </w:r>
          </w:p>
          <w:p w14:paraId="027AAAD1">
            <w:pPr>
              <w:pStyle w:val="133"/>
              <w:jc w:val="both"/>
              <w:rPr>
                <w:b/>
                <w:bCs/>
              </w:rPr>
            </w:pPr>
            <w:r>
              <w:rPr>
                <w:rFonts w:hint="eastAsia"/>
                <w:b/>
                <w:bCs/>
              </w:rPr>
              <w:t>（x或r,y或a）</w:t>
            </w:r>
          </w:p>
        </w:tc>
        <w:tc>
          <w:tcPr>
            <w:tcW w:w="1219" w:type="dxa"/>
            <w:noWrap/>
            <w:vAlign w:val="center"/>
          </w:tcPr>
          <w:p w14:paraId="36F7BA5D">
            <w:pPr>
              <w:pStyle w:val="133"/>
              <w:rPr>
                <w:b/>
                <w:bCs/>
              </w:rPr>
            </w:pPr>
            <w:r>
              <w:rPr>
                <w:rFonts w:hint="eastAsia"/>
                <w:b/>
                <w:bCs/>
              </w:rPr>
              <w:t>地面高程</w:t>
            </w:r>
          </w:p>
          <w:p w14:paraId="58B56298">
            <w:pPr>
              <w:pStyle w:val="133"/>
              <w:rPr>
                <w:b/>
                <w:bCs/>
              </w:rPr>
            </w:pPr>
            <w:r>
              <w:rPr>
                <w:rFonts w:hint="eastAsia"/>
                <w:b/>
                <w:bCs/>
              </w:rPr>
              <w:t>（m）</w:t>
            </w:r>
          </w:p>
        </w:tc>
        <w:tc>
          <w:tcPr>
            <w:tcW w:w="1219" w:type="dxa"/>
            <w:noWrap/>
            <w:vAlign w:val="center"/>
          </w:tcPr>
          <w:p w14:paraId="419445C6">
            <w:pPr>
              <w:pStyle w:val="133"/>
              <w:rPr>
                <w:b/>
                <w:bCs/>
              </w:rPr>
            </w:pPr>
            <w:r>
              <w:rPr>
                <w:rFonts w:hint="eastAsia"/>
                <w:b/>
                <w:bCs/>
              </w:rPr>
              <w:t>离地高度</w:t>
            </w:r>
          </w:p>
          <w:p w14:paraId="70458DA0">
            <w:pPr>
              <w:pStyle w:val="133"/>
              <w:rPr>
                <w:b/>
                <w:bCs/>
              </w:rPr>
            </w:pPr>
            <w:r>
              <w:rPr>
                <w:rFonts w:hint="eastAsia"/>
                <w:b/>
                <w:bCs/>
              </w:rPr>
              <w:t>（m）</w:t>
            </w:r>
          </w:p>
        </w:tc>
        <w:tc>
          <w:tcPr>
            <w:tcW w:w="1171" w:type="dxa"/>
            <w:noWrap/>
            <w:vAlign w:val="center"/>
          </w:tcPr>
          <w:p w14:paraId="37572504">
            <w:pPr>
              <w:pStyle w:val="133"/>
              <w:rPr>
                <w:b/>
                <w:bCs/>
              </w:rPr>
            </w:pPr>
            <w:r>
              <w:rPr>
                <w:rFonts w:hint="eastAsia"/>
                <w:b/>
                <w:bCs/>
              </w:rPr>
              <w:t>浓度类型</w:t>
            </w:r>
          </w:p>
        </w:tc>
        <w:tc>
          <w:tcPr>
            <w:tcW w:w="1417" w:type="dxa"/>
            <w:noWrap/>
            <w:vAlign w:val="center"/>
          </w:tcPr>
          <w:p w14:paraId="2533E7E4">
            <w:pPr>
              <w:pStyle w:val="133"/>
              <w:rPr>
                <w:b/>
                <w:bCs/>
              </w:rPr>
            </w:pPr>
            <w:r>
              <w:rPr>
                <w:rFonts w:hint="eastAsia"/>
                <w:b/>
                <w:bCs/>
              </w:rPr>
              <w:t>浓度增量（mg/m^3）</w:t>
            </w:r>
          </w:p>
        </w:tc>
        <w:tc>
          <w:tcPr>
            <w:tcW w:w="1985" w:type="dxa"/>
            <w:noWrap/>
            <w:vAlign w:val="center"/>
          </w:tcPr>
          <w:p w14:paraId="5353DCB6">
            <w:pPr>
              <w:pStyle w:val="133"/>
              <w:rPr>
                <w:b/>
                <w:bCs/>
              </w:rPr>
            </w:pPr>
            <w:r>
              <w:rPr>
                <w:rFonts w:hint="eastAsia"/>
                <w:b/>
                <w:bCs/>
              </w:rPr>
              <w:t>出现时间</w:t>
            </w:r>
          </w:p>
          <w:p w14:paraId="53470583">
            <w:pPr>
              <w:pStyle w:val="133"/>
              <w:rPr>
                <w:b/>
                <w:bCs/>
              </w:rPr>
            </w:pPr>
            <w:r>
              <w:rPr>
                <w:rFonts w:hint="eastAsia"/>
                <w:b/>
                <w:bCs/>
              </w:rPr>
              <w:t>（YYMMDDHH）</w:t>
            </w:r>
          </w:p>
        </w:tc>
        <w:tc>
          <w:tcPr>
            <w:tcW w:w="1276" w:type="dxa"/>
            <w:noWrap/>
            <w:vAlign w:val="center"/>
          </w:tcPr>
          <w:p w14:paraId="66AB52CC">
            <w:pPr>
              <w:pStyle w:val="133"/>
              <w:rPr>
                <w:b/>
                <w:bCs/>
              </w:rPr>
            </w:pPr>
            <w:r>
              <w:rPr>
                <w:rFonts w:hint="eastAsia"/>
                <w:b/>
                <w:bCs/>
              </w:rPr>
              <w:t>评价标准</w:t>
            </w:r>
          </w:p>
          <w:p w14:paraId="55943EA4">
            <w:pPr>
              <w:pStyle w:val="133"/>
              <w:jc w:val="both"/>
              <w:rPr>
                <w:b/>
                <w:bCs/>
              </w:rPr>
            </w:pPr>
            <w:r>
              <w:rPr>
                <w:rFonts w:hint="eastAsia"/>
                <w:b/>
                <w:bCs/>
              </w:rPr>
              <w:t>（mg/m^3）</w:t>
            </w:r>
          </w:p>
        </w:tc>
        <w:tc>
          <w:tcPr>
            <w:tcW w:w="1134" w:type="dxa"/>
            <w:noWrap/>
            <w:vAlign w:val="center"/>
          </w:tcPr>
          <w:p w14:paraId="3333EDF3">
            <w:pPr>
              <w:pStyle w:val="133"/>
              <w:rPr>
                <w:b/>
                <w:bCs/>
              </w:rPr>
            </w:pPr>
            <w:r>
              <w:rPr>
                <w:rFonts w:hint="eastAsia"/>
                <w:b/>
                <w:bCs/>
              </w:rPr>
              <w:t>占标率</w:t>
            </w:r>
          </w:p>
          <w:p w14:paraId="6A3C4AFB">
            <w:pPr>
              <w:pStyle w:val="133"/>
              <w:rPr>
                <w:b/>
                <w:bCs/>
              </w:rPr>
            </w:pPr>
            <w:r>
              <w:rPr>
                <w:rFonts w:hint="eastAsia"/>
                <w:b/>
                <w:bCs/>
              </w:rPr>
              <w:t>%</w:t>
            </w:r>
          </w:p>
        </w:tc>
        <w:tc>
          <w:tcPr>
            <w:tcW w:w="1043" w:type="dxa"/>
            <w:noWrap/>
            <w:vAlign w:val="center"/>
          </w:tcPr>
          <w:p w14:paraId="261578DE">
            <w:pPr>
              <w:pStyle w:val="133"/>
              <w:rPr>
                <w:b/>
                <w:bCs/>
              </w:rPr>
            </w:pPr>
            <w:r>
              <w:rPr>
                <w:rFonts w:hint="eastAsia"/>
                <w:b/>
                <w:bCs/>
              </w:rPr>
              <w:t>是否</w:t>
            </w:r>
          </w:p>
          <w:p w14:paraId="20CAB5E4">
            <w:pPr>
              <w:pStyle w:val="133"/>
              <w:rPr>
                <w:b/>
                <w:bCs/>
              </w:rPr>
            </w:pPr>
            <w:r>
              <w:rPr>
                <w:rFonts w:hint="eastAsia"/>
                <w:b/>
                <w:bCs/>
              </w:rPr>
              <w:t>超标</w:t>
            </w:r>
          </w:p>
        </w:tc>
      </w:tr>
      <w:tr w14:paraId="1F08E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63C7CEE4">
            <w:pPr>
              <w:pStyle w:val="133"/>
            </w:pPr>
            <w:r>
              <w:rPr>
                <w:rFonts w:hint="eastAsia"/>
              </w:rPr>
              <w:t>1</w:t>
            </w:r>
          </w:p>
        </w:tc>
        <w:tc>
          <w:tcPr>
            <w:tcW w:w="1221" w:type="dxa"/>
            <w:noWrap/>
            <w:vAlign w:val="center"/>
          </w:tcPr>
          <w:p w14:paraId="0358F26C">
            <w:pPr>
              <w:pStyle w:val="133"/>
            </w:pPr>
            <w:r>
              <w:rPr>
                <w:rFonts w:hint="eastAsia"/>
              </w:rPr>
              <w:t>网格</w:t>
            </w:r>
          </w:p>
        </w:tc>
        <w:tc>
          <w:tcPr>
            <w:tcW w:w="1533" w:type="dxa"/>
            <w:noWrap/>
            <w:vAlign w:val="center"/>
          </w:tcPr>
          <w:p w14:paraId="0658DACD">
            <w:pPr>
              <w:pStyle w:val="133"/>
            </w:pPr>
            <w:r>
              <w:rPr>
                <w:rFonts w:hint="eastAsia"/>
              </w:rPr>
              <w:t>-400</w:t>
            </w:r>
            <w:r>
              <w:t>,</w:t>
            </w:r>
            <w:r>
              <w:rPr>
                <w:rFonts w:hint="eastAsia"/>
              </w:rPr>
              <w:t xml:space="preserve"> 0</w:t>
            </w:r>
          </w:p>
        </w:tc>
        <w:tc>
          <w:tcPr>
            <w:tcW w:w="1219" w:type="dxa"/>
            <w:noWrap/>
            <w:vAlign w:val="center"/>
          </w:tcPr>
          <w:p w14:paraId="19CE9B7A">
            <w:pPr>
              <w:pStyle w:val="133"/>
            </w:pPr>
            <w:r>
              <w:rPr>
                <w:rFonts w:hint="eastAsia"/>
              </w:rPr>
              <w:t>694.20</w:t>
            </w:r>
          </w:p>
        </w:tc>
        <w:tc>
          <w:tcPr>
            <w:tcW w:w="1219" w:type="dxa"/>
            <w:noWrap/>
            <w:vAlign w:val="center"/>
          </w:tcPr>
          <w:p w14:paraId="262F6938">
            <w:pPr>
              <w:pStyle w:val="133"/>
            </w:pPr>
            <w:r>
              <w:rPr>
                <w:rFonts w:hint="eastAsia"/>
              </w:rPr>
              <w:t>0</w:t>
            </w:r>
          </w:p>
        </w:tc>
        <w:tc>
          <w:tcPr>
            <w:tcW w:w="1171" w:type="dxa"/>
            <w:noWrap/>
            <w:vAlign w:val="center"/>
          </w:tcPr>
          <w:p w14:paraId="03E45147">
            <w:pPr>
              <w:pStyle w:val="133"/>
            </w:pPr>
            <w:r>
              <w:rPr>
                <w:rFonts w:hint="eastAsia"/>
              </w:rPr>
              <w:t>1小时</w:t>
            </w:r>
          </w:p>
        </w:tc>
        <w:tc>
          <w:tcPr>
            <w:tcW w:w="1417" w:type="dxa"/>
            <w:noWrap/>
          </w:tcPr>
          <w:p w14:paraId="690ED2A7">
            <w:pPr>
              <w:pStyle w:val="133"/>
            </w:pPr>
            <w:r>
              <w:t>0.00223</w:t>
            </w:r>
          </w:p>
        </w:tc>
        <w:tc>
          <w:tcPr>
            <w:tcW w:w="1985" w:type="dxa"/>
            <w:noWrap/>
          </w:tcPr>
          <w:p w14:paraId="78B443E8">
            <w:pPr>
              <w:pStyle w:val="133"/>
            </w:pPr>
            <w:r>
              <w:t>23091307</w:t>
            </w:r>
          </w:p>
        </w:tc>
        <w:tc>
          <w:tcPr>
            <w:tcW w:w="1276" w:type="dxa"/>
            <w:noWrap/>
          </w:tcPr>
          <w:p w14:paraId="369E030F">
            <w:pPr>
              <w:pStyle w:val="133"/>
            </w:pPr>
            <w:r>
              <w:rPr>
                <w:rFonts w:hint="eastAsia"/>
              </w:rPr>
              <w:t>0.2</w:t>
            </w:r>
          </w:p>
        </w:tc>
        <w:tc>
          <w:tcPr>
            <w:tcW w:w="1134" w:type="dxa"/>
            <w:noWrap/>
          </w:tcPr>
          <w:p w14:paraId="66E81FF4">
            <w:pPr>
              <w:pStyle w:val="133"/>
            </w:pPr>
            <w:r>
              <w:rPr>
                <w:rFonts w:hint="eastAsia"/>
              </w:rPr>
              <w:t>1.11</w:t>
            </w:r>
          </w:p>
        </w:tc>
        <w:tc>
          <w:tcPr>
            <w:tcW w:w="1043" w:type="dxa"/>
            <w:noWrap/>
          </w:tcPr>
          <w:p w14:paraId="721EB4BF">
            <w:pPr>
              <w:pStyle w:val="133"/>
            </w:pPr>
            <w:r>
              <w:rPr>
                <w:rFonts w:hint="eastAsia"/>
              </w:rPr>
              <w:t>达标</w:t>
            </w:r>
          </w:p>
        </w:tc>
      </w:tr>
    </w:tbl>
    <w:p w14:paraId="3471B0EB">
      <w:pPr>
        <w:pStyle w:val="133"/>
      </w:pPr>
    </w:p>
    <w:p w14:paraId="089CFA8C">
      <w:pPr>
        <w:pStyle w:val="118"/>
      </w:pPr>
      <w:r>
        <w:rPr>
          <w:rFonts w:hint="eastAsia"/>
          <w:spacing w:val="8"/>
        </w:rPr>
        <w:t>表5.2</w:t>
      </w:r>
      <w:r>
        <w:rPr>
          <w:spacing w:val="8"/>
        </w:rPr>
        <w:t>-</w:t>
      </w:r>
      <w:r>
        <w:rPr>
          <w:rFonts w:hint="eastAsia"/>
          <w:spacing w:val="8"/>
        </w:rPr>
        <w:t>23</w:t>
      </w:r>
      <w:r>
        <w:t xml:space="preserve">  </w:t>
      </w:r>
      <w:r>
        <w:rPr>
          <w:rFonts w:hint="eastAsia"/>
        </w:rPr>
        <w:t>H</w:t>
      </w:r>
      <w:r>
        <w:rPr>
          <w:rFonts w:hint="eastAsia"/>
          <w:vertAlign w:val="subscript"/>
        </w:rPr>
        <w:t>2</w:t>
      </w:r>
      <w:r>
        <w:rPr>
          <w:rFonts w:hint="eastAsia"/>
        </w:rPr>
        <w:t>S</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7B69E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094471CD">
            <w:pPr>
              <w:pStyle w:val="133"/>
              <w:rPr>
                <w:b/>
                <w:bCs/>
              </w:rPr>
            </w:pPr>
            <w:r>
              <w:rPr>
                <w:rFonts w:hint="eastAsia"/>
                <w:b/>
                <w:bCs/>
              </w:rPr>
              <w:t>序号</w:t>
            </w:r>
          </w:p>
        </w:tc>
        <w:tc>
          <w:tcPr>
            <w:tcW w:w="1221" w:type="dxa"/>
            <w:noWrap/>
            <w:vAlign w:val="center"/>
          </w:tcPr>
          <w:p w14:paraId="21CE8E01">
            <w:pPr>
              <w:pStyle w:val="133"/>
              <w:rPr>
                <w:b/>
                <w:bCs/>
              </w:rPr>
            </w:pPr>
            <w:r>
              <w:rPr>
                <w:rFonts w:hint="eastAsia"/>
                <w:b/>
                <w:bCs/>
              </w:rPr>
              <w:t>点名称</w:t>
            </w:r>
          </w:p>
        </w:tc>
        <w:tc>
          <w:tcPr>
            <w:tcW w:w="1533" w:type="dxa"/>
            <w:noWrap/>
            <w:vAlign w:val="center"/>
          </w:tcPr>
          <w:p w14:paraId="0C2A8F9D">
            <w:pPr>
              <w:pStyle w:val="133"/>
              <w:rPr>
                <w:b/>
                <w:bCs/>
              </w:rPr>
            </w:pPr>
            <w:r>
              <w:rPr>
                <w:rFonts w:hint="eastAsia"/>
                <w:b/>
                <w:bCs/>
              </w:rPr>
              <w:t>点坐标</w:t>
            </w:r>
          </w:p>
          <w:p w14:paraId="57D425F1">
            <w:pPr>
              <w:pStyle w:val="133"/>
              <w:jc w:val="both"/>
              <w:rPr>
                <w:b/>
                <w:bCs/>
              </w:rPr>
            </w:pPr>
            <w:r>
              <w:rPr>
                <w:rFonts w:hint="eastAsia"/>
                <w:b/>
                <w:bCs/>
              </w:rPr>
              <w:t>（x或r,y或a）</w:t>
            </w:r>
          </w:p>
        </w:tc>
        <w:tc>
          <w:tcPr>
            <w:tcW w:w="1219" w:type="dxa"/>
            <w:noWrap/>
            <w:vAlign w:val="center"/>
          </w:tcPr>
          <w:p w14:paraId="00C07954">
            <w:pPr>
              <w:pStyle w:val="133"/>
              <w:rPr>
                <w:b/>
                <w:bCs/>
              </w:rPr>
            </w:pPr>
            <w:r>
              <w:rPr>
                <w:rFonts w:hint="eastAsia"/>
                <w:b/>
                <w:bCs/>
              </w:rPr>
              <w:t>地面高程</w:t>
            </w:r>
          </w:p>
          <w:p w14:paraId="72FB38C5">
            <w:pPr>
              <w:pStyle w:val="133"/>
              <w:rPr>
                <w:b/>
                <w:bCs/>
              </w:rPr>
            </w:pPr>
            <w:r>
              <w:rPr>
                <w:rFonts w:hint="eastAsia"/>
                <w:b/>
                <w:bCs/>
              </w:rPr>
              <w:t>（m）</w:t>
            </w:r>
          </w:p>
        </w:tc>
        <w:tc>
          <w:tcPr>
            <w:tcW w:w="1219" w:type="dxa"/>
            <w:noWrap/>
            <w:vAlign w:val="center"/>
          </w:tcPr>
          <w:p w14:paraId="2ABDD2AF">
            <w:pPr>
              <w:pStyle w:val="133"/>
              <w:rPr>
                <w:b/>
                <w:bCs/>
              </w:rPr>
            </w:pPr>
            <w:r>
              <w:rPr>
                <w:rFonts w:hint="eastAsia"/>
                <w:b/>
                <w:bCs/>
              </w:rPr>
              <w:t>离地高度</w:t>
            </w:r>
          </w:p>
          <w:p w14:paraId="4F483EFE">
            <w:pPr>
              <w:pStyle w:val="133"/>
              <w:rPr>
                <w:b/>
                <w:bCs/>
              </w:rPr>
            </w:pPr>
            <w:r>
              <w:rPr>
                <w:rFonts w:hint="eastAsia"/>
                <w:b/>
                <w:bCs/>
              </w:rPr>
              <w:t>（m）</w:t>
            </w:r>
          </w:p>
        </w:tc>
        <w:tc>
          <w:tcPr>
            <w:tcW w:w="1171" w:type="dxa"/>
            <w:noWrap/>
            <w:vAlign w:val="center"/>
          </w:tcPr>
          <w:p w14:paraId="21A571B0">
            <w:pPr>
              <w:pStyle w:val="133"/>
              <w:rPr>
                <w:b/>
                <w:bCs/>
              </w:rPr>
            </w:pPr>
            <w:r>
              <w:rPr>
                <w:rFonts w:hint="eastAsia"/>
                <w:b/>
                <w:bCs/>
              </w:rPr>
              <w:t>浓度类型</w:t>
            </w:r>
          </w:p>
        </w:tc>
        <w:tc>
          <w:tcPr>
            <w:tcW w:w="1417" w:type="dxa"/>
            <w:noWrap/>
            <w:vAlign w:val="center"/>
          </w:tcPr>
          <w:p w14:paraId="6307377D">
            <w:pPr>
              <w:pStyle w:val="133"/>
              <w:rPr>
                <w:b/>
                <w:bCs/>
              </w:rPr>
            </w:pPr>
            <w:r>
              <w:rPr>
                <w:rFonts w:hint="eastAsia"/>
                <w:b/>
                <w:bCs/>
              </w:rPr>
              <w:t>浓度增量（mg/m^3）</w:t>
            </w:r>
          </w:p>
        </w:tc>
        <w:tc>
          <w:tcPr>
            <w:tcW w:w="1985" w:type="dxa"/>
            <w:noWrap/>
            <w:vAlign w:val="center"/>
          </w:tcPr>
          <w:p w14:paraId="26E8AC59">
            <w:pPr>
              <w:pStyle w:val="133"/>
              <w:rPr>
                <w:b/>
                <w:bCs/>
              </w:rPr>
            </w:pPr>
            <w:r>
              <w:rPr>
                <w:rFonts w:hint="eastAsia"/>
                <w:b/>
                <w:bCs/>
              </w:rPr>
              <w:t>出现时间</w:t>
            </w:r>
          </w:p>
          <w:p w14:paraId="4728A86D">
            <w:pPr>
              <w:pStyle w:val="133"/>
              <w:rPr>
                <w:b/>
                <w:bCs/>
              </w:rPr>
            </w:pPr>
            <w:r>
              <w:rPr>
                <w:rFonts w:hint="eastAsia"/>
                <w:b/>
                <w:bCs/>
              </w:rPr>
              <w:t>（YYMMDDHH）</w:t>
            </w:r>
          </w:p>
        </w:tc>
        <w:tc>
          <w:tcPr>
            <w:tcW w:w="1276" w:type="dxa"/>
            <w:noWrap/>
            <w:vAlign w:val="center"/>
          </w:tcPr>
          <w:p w14:paraId="7DD22C1E">
            <w:pPr>
              <w:pStyle w:val="133"/>
              <w:rPr>
                <w:b/>
                <w:bCs/>
              </w:rPr>
            </w:pPr>
            <w:r>
              <w:rPr>
                <w:rFonts w:hint="eastAsia"/>
                <w:b/>
                <w:bCs/>
              </w:rPr>
              <w:t>评价标准</w:t>
            </w:r>
          </w:p>
          <w:p w14:paraId="02F388E4">
            <w:pPr>
              <w:pStyle w:val="133"/>
              <w:jc w:val="both"/>
              <w:rPr>
                <w:b/>
                <w:bCs/>
              </w:rPr>
            </w:pPr>
            <w:r>
              <w:rPr>
                <w:rFonts w:hint="eastAsia"/>
                <w:b/>
                <w:bCs/>
              </w:rPr>
              <w:t>（mg/m^3）</w:t>
            </w:r>
          </w:p>
        </w:tc>
        <w:tc>
          <w:tcPr>
            <w:tcW w:w="1134" w:type="dxa"/>
            <w:noWrap/>
            <w:vAlign w:val="center"/>
          </w:tcPr>
          <w:p w14:paraId="53D74E65">
            <w:pPr>
              <w:pStyle w:val="133"/>
              <w:rPr>
                <w:b/>
                <w:bCs/>
              </w:rPr>
            </w:pPr>
            <w:r>
              <w:rPr>
                <w:rFonts w:hint="eastAsia"/>
                <w:b/>
                <w:bCs/>
              </w:rPr>
              <w:t>占标率</w:t>
            </w:r>
          </w:p>
          <w:p w14:paraId="05E7620C">
            <w:pPr>
              <w:pStyle w:val="133"/>
              <w:rPr>
                <w:b/>
                <w:bCs/>
              </w:rPr>
            </w:pPr>
            <w:r>
              <w:rPr>
                <w:rFonts w:hint="eastAsia"/>
                <w:b/>
                <w:bCs/>
              </w:rPr>
              <w:t>%</w:t>
            </w:r>
          </w:p>
        </w:tc>
        <w:tc>
          <w:tcPr>
            <w:tcW w:w="1043" w:type="dxa"/>
            <w:noWrap/>
            <w:vAlign w:val="center"/>
          </w:tcPr>
          <w:p w14:paraId="18A91950">
            <w:pPr>
              <w:pStyle w:val="133"/>
              <w:rPr>
                <w:b/>
                <w:bCs/>
              </w:rPr>
            </w:pPr>
            <w:r>
              <w:rPr>
                <w:rFonts w:hint="eastAsia"/>
                <w:b/>
                <w:bCs/>
              </w:rPr>
              <w:t>是否</w:t>
            </w:r>
          </w:p>
          <w:p w14:paraId="2A3CD952">
            <w:pPr>
              <w:pStyle w:val="133"/>
              <w:rPr>
                <w:b/>
                <w:bCs/>
              </w:rPr>
            </w:pPr>
            <w:r>
              <w:rPr>
                <w:rFonts w:hint="eastAsia"/>
                <w:b/>
                <w:bCs/>
              </w:rPr>
              <w:t>超标</w:t>
            </w:r>
          </w:p>
        </w:tc>
      </w:tr>
      <w:tr w14:paraId="44AAC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29F5BB5D">
            <w:pPr>
              <w:pStyle w:val="133"/>
            </w:pPr>
            <w:r>
              <w:rPr>
                <w:rFonts w:hint="eastAsia"/>
              </w:rPr>
              <w:t>1</w:t>
            </w:r>
          </w:p>
        </w:tc>
        <w:tc>
          <w:tcPr>
            <w:tcW w:w="1221" w:type="dxa"/>
            <w:noWrap/>
            <w:vAlign w:val="center"/>
          </w:tcPr>
          <w:p w14:paraId="53219CE6">
            <w:pPr>
              <w:pStyle w:val="133"/>
            </w:pPr>
            <w:r>
              <w:rPr>
                <w:rFonts w:hint="eastAsia"/>
              </w:rPr>
              <w:t>网格</w:t>
            </w:r>
          </w:p>
        </w:tc>
        <w:tc>
          <w:tcPr>
            <w:tcW w:w="1533" w:type="dxa"/>
            <w:noWrap/>
            <w:vAlign w:val="center"/>
          </w:tcPr>
          <w:p w14:paraId="4B8D13A6">
            <w:pPr>
              <w:pStyle w:val="133"/>
            </w:pPr>
            <w:r>
              <w:rPr>
                <w:rFonts w:hint="eastAsia"/>
              </w:rPr>
              <w:t>-400</w:t>
            </w:r>
            <w:r>
              <w:t>,</w:t>
            </w:r>
            <w:r>
              <w:rPr>
                <w:rFonts w:hint="eastAsia"/>
              </w:rPr>
              <w:t xml:space="preserve"> 0</w:t>
            </w:r>
          </w:p>
        </w:tc>
        <w:tc>
          <w:tcPr>
            <w:tcW w:w="1219" w:type="dxa"/>
            <w:noWrap/>
            <w:vAlign w:val="center"/>
          </w:tcPr>
          <w:p w14:paraId="7E3796F3">
            <w:pPr>
              <w:pStyle w:val="133"/>
            </w:pPr>
            <w:r>
              <w:rPr>
                <w:rFonts w:hint="eastAsia"/>
              </w:rPr>
              <w:t>694.20</w:t>
            </w:r>
          </w:p>
        </w:tc>
        <w:tc>
          <w:tcPr>
            <w:tcW w:w="1219" w:type="dxa"/>
            <w:noWrap/>
            <w:vAlign w:val="center"/>
          </w:tcPr>
          <w:p w14:paraId="35A6EBB4">
            <w:pPr>
              <w:pStyle w:val="133"/>
            </w:pPr>
            <w:r>
              <w:rPr>
                <w:rFonts w:hint="eastAsia"/>
              </w:rPr>
              <w:t>0</w:t>
            </w:r>
          </w:p>
        </w:tc>
        <w:tc>
          <w:tcPr>
            <w:tcW w:w="1171" w:type="dxa"/>
            <w:noWrap/>
            <w:vAlign w:val="center"/>
          </w:tcPr>
          <w:p w14:paraId="5FAD22F1">
            <w:pPr>
              <w:pStyle w:val="133"/>
            </w:pPr>
            <w:r>
              <w:rPr>
                <w:rFonts w:hint="eastAsia"/>
              </w:rPr>
              <w:t>1小时</w:t>
            </w:r>
          </w:p>
        </w:tc>
        <w:tc>
          <w:tcPr>
            <w:tcW w:w="1417" w:type="dxa"/>
            <w:noWrap/>
          </w:tcPr>
          <w:p w14:paraId="10226D7E">
            <w:pPr>
              <w:pStyle w:val="133"/>
            </w:pPr>
            <w:r>
              <w:t>0.000</w:t>
            </w:r>
            <w:r>
              <w:rPr>
                <w:rFonts w:hint="eastAsia"/>
              </w:rPr>
              <w:t>587</w:t>
            </w:r>
          </w:p>
        </w:tc>
        <w:tc>
          <w:tcPr>
            <w:tcW w:w="1985" w:type="dxa"/>
            <w:noWrap/>
          </w:tcPr>
          <w:p w14:paraId="13CF2A81">
            <w:pPr>
              <w:pStyle w:val="133"/>
            </w:pPr>
            <w:r>
              <w:t>23091307</w:t>
            </w:r>
          </w:p>
        </w:tc>
        <w:tc>
          <w:tcPr>
            <w:tcW w:w="1276" w:type="dxa"/>
            <w:noWrap/>
          </w:tcPr>
          <w:p w14:paraId="0D9E6564">
            <w:pPr>
              <w:pStyle w:val="133"/>
            </w:pPr>
            <w:r>
              <w:rPr>
                <w:rFonts w:hint="eastAsia"/>
              </w:rPr>
              <w:t>0.01</w:t>
            </w:r>
          </w:p>
        </w:tc>
        <w:tc>
          <w:tcPr>
            <w:tcW w:w="1134" w:type="dxa"/>
            <w:noWrap/>
          </w:tcPr>
          <w:p w14:paraId="10A46E98">
            <w:pPr>
              <w:pStyle w:val="133"/>
            </w:pPr>
            <w:r>
              <w:rPr>
                <w:rFonts w:hint="eastAsia"/>
              </w:rPr>
              <w:t>5.87</w:t>
            </w:r>
          </w:p>
        </w:tc>
        <w:tc>
          <w:tcPr>
            <w:tcW w:w="1043" w:type="dxa"/>
            <w:noWrap/>
          </w:tcPr>
          <w:p w14:paraId="0F3378B7">
            <w:pPr>
              <w:pStyle w:val="133"/>
            </w:pPr>
            <w:r>
              <w:rPr>
                <w:rFonts w:hint="eastAsia"/>
              </w:rPr>
              <w:t>达标</w:t>
            </w:r>
          </w:p>
        </w:tc>
      </w:tr>
    </w:tbl>
    <w:p w14:paraId="65A7B4EE">
      <w:pPr>
        <w:pStyle w:val="133"/>
      </w:pPr>
    </w:p>
    <w:p w14:paraId="6DD504C5">
      <w:pPr>
        <w:pStyle w:val="118"/>
      </w:pPr>
      <w:bookmarkStart w:id="483" w:name="_Hlk211598045"/>
      <w:r>
        <w:rPr>
          <w:rFonts w:hint="eastAsia"/>
          <w:spacing w:val="8"/>
        </w:rPr>
        <w:t>表5.2</w:t>
      </w:r>
      <w:r>
        <w:rPr>
          <w:spacing w:val="8"/>
        </w:rPr>
        <w:t>-</w:t>
      </w:r>
      <w:r>
        <w:rPr>
          <w:rFonts w:hint="eastAsia"/>
          <w:spacing w:val="8"/>
        </w:rPr>
        <w:t xml:space="preserve">24 </w:t>
      </w:r>
      <w:r>
        <w:t xml:space="preserve"> </w:t>
      </w:r>
      <w:r>
        <w:rPr>
          <w:rFonts w:hint="eastAsia"/>
        </w:rPr>
        <w:t>NMHC</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7FA2B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2" w:type="dxa"/>
            <w:noWrap/>
            <w:vAlign w:val="center"/>
          </w:tcPr>
          <w:p w14:paraId="2024F281">
            <w:pPr>
              <w:pStyle w:val="133"/>
              <w:rPr>
                <w:b/>
                <w:bCs/>
              </w:rPr>
            </w:pPr>
            <w:r>
              <w:rPr>
                <w:rFonts w:hint="eastAsia"/>
                <w:b/>
                <w:bCs/>
              </w:rPr>
              <w:t>序号</w:t>
            </w:r>
          </w:p>
        </w:tc>
        <w:tc>
          <w:tcPr>
            <w:tcW w:w="1242" w:type="dxa"/>
            <w:noWrap/>
            <w:vAlign w:val="center"/>
          </w:tcPr>
          <w:p w14:paraId="4477F8EF">
            <w:pPr>
              <w:pStyle w:val="133"/>
              <w:rPr>
                <w:b/>
                <w:bCs/>
              </w:rPr>
            </w:pPr>
            <w:r>
              <w:rPr>
                <w:rFonts w:hint="eastAsia"/>
                <w:b/>
                <w:bCs/>
              </w:rPr>
              <w:t>点名称</w:t>
            </w:r>
          </w:p>
        </w:tc>
        <w:tc>
          <w:tcPr>
            <w:tcW w:w="1560" w:type="dxa"/>
            <w:noWrap/>
            <w:vAlign w:val="center"/>
          </w:tcPr>
          <w:p w14:paraId="4995B9E5">
            <w:pPr>
              <w:pStyle w:val="133"/>
              <w:rPr>
                <w:b/>
                <w:bCs/>
              </w:rPr>
            </w:pPr>
            <w:r>
              <w:rPr>
                <w:rFonts w:hint="eastAsia"/>
                <w:b/>
                <w:bCs/>
              </w:rPr>
              <w:t>点坐标</w:t>
            </w:r>
          </w:p>
          <w:p w14:paraId="10097490">
            <w:pPr>
              <w:pStyle w:val="133"/>
              <w:jc w:val="both"/>
              <w:rPr>
                <w:b/>
                <w:bCs/>
              </w:rPr>
            </w:pPr>
            <w:r>
              <w:rPr>
                <w:rFonts w:hint="eastAsia"/>
                <w:b/>
                <w:bCs/>
              </w:rPr>
              <w:t>（x或r,y或a）</w:t>
            </w:r>
          </w:p>
        </w:tc>
        <w:tc>
          <w:tcPr>
            <w:tcW w:w="1241" w:type="dxa"/>
            <w:noWrap/>
            <w:vAlign w:val="center"/>
          </w:tcPr>
          <w:p w14:paraId="55C98124">
            <w:pPr>
              <w:pStyle w:val="133"/>
              <w:rPr>
                <w:b/>
                <w:bCs/>
              </w:rPr>
            </w:pPr>
            <w:r>
              <w:rPr>
                <w:rFonts w:hint="eastAsia"/>
                <w:b/>
                <w:bCs/>
              </w:rPr>
              <w:t>地面高程</w:t>
            </w:r>
          </w:p>
          <w:p w14:paraId="2E6C3133">
            <w:pPr>
              <w:pStyle w:val="133"/>
              <w:rPr>
                <w:b/>
                <w:bCs/>
              </w:rPr>
            </w:pPr>
            <w:r>
              <w:rPr>
                <w:rFonts w:hint="eastAsia"/>
                <w:b/>
                <w:bCs/>
              </w:rPr>
              <w:t>（m）</w:t>
            </w:r>
          </w:p>
        </w:tc>
        <w:tc>
          <w:tcPr>
            <w:tcW w:w="1241" w:type="dxa"/>
            <w:noWrap/>
            <w:vAlign w:val="center"/>
          </w:tcPr>
          <w:p w14:paraId="07A83351">
            <w:pPr>
              <w:pStyle w:val="133"/>
              <w:rPr>
                <w:b/>
                <w:bCs/>
              </w:rPr>
            </w:pPr>
            <w:r>
              <w:rPr>
                <w:rFonts w:hint="eastAsia"/>
                <w:b/>
                <w:bCs/>
              </w:rPr>
              <w:t>离地高度</w:t>
            </w:r>
          </w:p>
          <w:p w14:paraId="5AC57055">
            <w:pPr>
              <w:pStyle w:val="133"/>
              <w:rPr>
                <w:b/>
                <w:bCs/>
              </w:rPr>
            </w:pPr>
            <w:r>
              <w:rPr>
                <w:rFonts w:hint="eastAsia"/>
                <w:b/>
                <w:bCs/>
              </w:rPr>
              <w:t>（m）</w:t>
            </w:r>
          </w:p>
        </w:tc>
        <w:tc>
          <w:tcPr>
            <w:tcW w:w="1192" w:type="dxa"/>
            <w:noWrap/>
            <w:vAlign w:val="center"/>
          </w:tcPr>
          <w:p w14:paraId="637358C6">
            <w:pPr>
              <w:pStyle w:val="133"/>
              <w:rPr>
                <w:b/>
                <w:bCs/>
              </w:rPr>
            </w:pPr>
            <w:r>
              <w:rPr>
                <w:rFonts w:hint="eastAsia"/>
                <w:b/>
                <w:bCs/>
              </w:rPr>
              <w:t>浓度类型</w:t>
            </w:r>
          </w:p>
        </w:tc>
        <w:tc>
          <w:tcPr>
            <w:tcW w:w="1442" w:type="dxa"/>
            <w:noWrap/>
            <w:vAlign w:val="center"/>
          </w:tcPr>
          <w:p w14:paraId="5B219359">
            <w:pPr>
              <w:pStyle w:val="133"/>
              <w:rPr>
                <w:b/>
                <w:bCs/>
              </w:rPr>
            </w:pPr>
            <w:r>
              <w:rPr>
                <w:rFonts w:hint="eastAsia"/>
                <w:b/>
                <w:bCs/>
              </w:rPr>
              <w:t>浓度增量（mg/m^3）</w:t>
            </w:r>
          </w:p>
        </w:tc>
        <w:tc>
          <w:tcPr>
            <w:tcW w:w="2020" w:type="dxa"/>
            <w:noWrap/>
            <w:vAlign w:val="center"/>
          </w:tcPr>
          <w:p w14:paraId="321E9AFE">
            <w:pPr>
              <w:pStyle w:val="133"/>
              <w:rPr>
                <w:b/>
                <w:bCs/>
              </w:rPr>
            </w:pPr>
            <w:r>
              <w:rPr>
                <w:rFonts w:hint="eastAsia"/>
                <w:b/>
                <w:bCs/>
              </w:rPr>
              <w:t>出现时间</w:t>
            </w:r>
          </w:p>
          <w:p w14:paraId="5B2CDE0F">
            <w:pPr>
              <w:pStyle w:val="133"/>
              <w:rPr>
                <w:b/>
                <w:bCs/>
              </w:rPr>
            </w:pPr>
            <w:r>
              <w:rPr>
                <w:rFonts w:hint="eastAsia"/>
                <w:b/>
                <w:bCs/>
              </w:rPr>
              <w:t>（YYMMDDHH）</w:t>
            </w:r>
          </w:p>
        </w:tc>
        <w:tc>
          <w:tcPr>
            <w:tcW w:w="1299" w:type="dxa"/>
            <w:noWrap/>
            <w:vAlign w:val="center"/>
          </w:tcPr>
          <w:p w14:paraId="634FD2D8">
            <w:pPr>
              <w:pStyle w:val="133"/>
              <w:rPr>
                <w:b/>
                <w:bCs/>
              </w:rPr>
            </w:pPr>
            <w:r>
              <w:rPr>
                <w:rFonts w:hint="eastAsia"/>
                <w:b/>
                <w:bCs/>
              </w:rPr>
              <w:t>评价标准</w:t>
            </w:r>
          </w:p>
          <w:p w14:paraId="085889CE">
            <w:pPr>
              <w:pStyle w:val="133"/>
              <w:jc w:val="both"/>
              <w:rPr>
                <w:b/>
                <w:bCs/>
              </w:rPr>
            </w:pPr>
            <w:r>
              <w:rPr>
                <w:rFonts w:hint="eastAsia"/>
                <w:b/>
                <w:bCs/>
              </w:rPr>
              <w:t>（mg/m^3）</w:t>
            </w:r>
          </w:p>
        </w:tc>
        <w:tc>
          <w:tcPr>
            <w:tcW w:w="1154" w:type="dxa"/>
            <w:noWrap/>
            <w:vAlign w:val="center"/>
          </w:tcPr>
          <w:p w14:paraId="47AB5570">
            <w:pPr>
              <w:pStyle w:val="133"/>
              <w:rPr>
                <w:b/>
                <w:bCs/>
              </w:rPr>
            </w:pPr>
            <w:r>
              <w:rPr>
                <w:rFonts w:hint="eastAsia"/>
                <w:b/>
                <w:bCs/>
              </w:rPr>
              <w:t>占标率</w:t>
            </w:r>
          </w:p>
          <w:p w14:paraId="12F98CF8">
            <w:pPr>
              <w:pStyle w:val="133"/>
              <w:rPr>
                <w:b/>
                <w:bCs/>
              </w:rPr>
            </w:pPr>
            <w:r>
              <w:rPr>
                <w:rFonts w:hint="eastAsia"/>
                <w:b/>
                <w:bCs/>
              </w:rPr>
              <w:t>%</w:t>
            </w:r>
          </w:p>
        </w:tc>
        <w:tc>
          <w:tcPr>
            <w:tcW w:w="1061" w:type="dxa"/>
            <w:noWrap/>
            <w:vAlign w:val="center"/>
          </w:tcPr>
          <w:p w14:paraId="0AA1D36C">
            <w:pPr>
              <w:pStyle w:val="133"/>
              <w:rPr>
                <w:b/>
                <w:bCs/>
              </w:rPr>
            </w:pPr>
            <w:r>
              <w:rPr>
                <w:rFonts w:hint="eastAsia"/>
                <w:b/>
                <w:bCs/>
              </w:rPr>
              <w:t>是否</w:t>
            </w:r>
          </w:p>
          <w:p w14:paraId="7D389B17">
            <w:pPr>
              <w:pStyle w:val="133"/>
              <w:rPr>
                <w:b/>
                <w:bCs/>
              </w:rPr>
            </w:pPr>
            <w:r>
              <w:rPr>
                <w:rFonts w:hint="eastAsia"/>
                <w:b/>
                <w:bCs/>
              </w:rPr>
              <w:t>超标</w:t>
            </w:r>
          </w:p>
        </w:tc>
      </w:tr>
      <w:tr w14:paraId="14BAD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2" w:type="dxa"/>
            <w:noWrap/>
            <w:vAlign w:val="center"/>
          </w:tcPr>
          <w:p w14:paraId="217E018F">
            <w:pPr>
              <w:pStyle w:val="133"/>
            </w:pPr>
            <w:r>
              <w:rPr>
                <w:rFonts w:hint="eastAsia"/>
              </w:rPr>
              <w:t>1</w:t>
            </w:r>
          </w:p>
        </w:tc>
        <w:tc>
          <w:tcPr>
            <w:tcW w:w="1242" w:type="dxa"/>
            <w:noWrap/>
            <w:vAlign w:val="center"/>
          </w:tcPr>
          <w:p w14:paraId="7A0E8B02">
            <w:pPr>
              <w:pStyle w:val="133"/>
            </w:pPr>
            <w:r>
              <w:rPr>
                <w:rFonts w:hint="eastAsia"/>
              </w:rPr>
              <w:t>网格</w:t>
            </w:r>
          </w:p>
        </w:tc>
        <w:tc>
          <w:tcPr>
            <w:tcW w:w="1560" w:type="dxa"/>
            <w:noWrap/>
            <w:vAlign w:val="center"/>
          </w:tcPr>
          <w:p w14:paraId="1AF7D78C">
            <w:pPr>
              <w:pStyle w:val="133"/>
            </w:pPr>
            <w:r>
              <w:rPr>
                <w:rFonts w:hint="eastAsia"/>
              </w:rPr>
              <w:t>-600</w:t>
            </w:r>
            <w:r>
              <w:t>,</w:t>
            </w:r>
            <w:r>
              <w:rPr>
                <w:rFonts w:hint="eastAsia"/>
              </w:rPr>
              <w:t>400</w:t>
            </w:r>
          </w:p>
        </w:tc>
        <w:tc>
          <w:tcPr>
            <w:tcW w:w="1241" w:type="dxa"/>
            <w:noWrap/>
            <w:vAlign w:val="center"/>
          </w:tcPr>
          <w:p w14:paraId="3114C73D">
            <w:pPr>
              <w:pStyle w:val="133"/>
            </w:pPr>
            <w:r>
              <w:rPr>
                <w:rFonts w:hint="eastAsia"/>
              </w:rPr>
              <w:t>693.80</w:t>
            </w:r>
          </w:p>
        </w:tc>
        <w:tc>
          <w:tcPr>
            <w:tcW w:w="1241" w:type="dxa"/>
            <w:noWrap/>
            <w:vAlign w:val="center"/>
          </w:tcPr>
          <w:p w14:paraId="052C3D8A">
            <w:pPr>
              <w:pStyle w:val="133"/>
            </w:pPr>
            <w:r>
              <w:rPr>
                <w:rFonts w:hint="eastAsia"/>
              </w:rPr>
              <w:t>0</w:t>
            </w:r>
          </w:p>
        </w:tc>
        <w:tc>
          <w:tcPr>
            <w:tcW w:w="1192" w:type="dxa"/>
            <w:noWrap/>
            <w:vAlign w:val="center"/>
          </w:tcPr>
          <w:p w14:paraId="0D418A76">
            <w:pPr>
              <w:pStyle w:val="133"/>
            </w:pPr>
            <w:r>
              <w:rPr>
                <w:rFonts w:hint="eastAsia"/>
              </w:rPr>
              <w:t>1小时</w:t>
            </w:r>
          </w:p>
        </w:tc>
        <w:tc>
          <w:tcPr>
            <w:tcW w:w="1442" w:type="dxa"/>
            <w:noWrap/>
          </w:tcPr>
          <w:p w14:paraId="2669949B">
            <w:pPr>
              <w:pStyle w:val="133"/>
            </w:pPr>
            <w:r>
              <w:t>0.06587</w:t>
            </w:r>
          </w:p>
        </w:tc>
        <w:tc>
          <w:tcPr>
            <w:tcW w:w="2020" w:type="dxa"/>
            <w:noWrap/>
          </w:tcPr>
          <w:p w14:paraId="3B76B994">
            <w:pPr>
              <w:pStyle w:val="133"/>
            </w:pPr>
            <w:r>
              <w:t>23052406</w:t>
            </w:r>
          </w:p>
        </w:tc>
        <w:tc>
          <w:tcPr>
            <w:tcW w:w="1299" w:type="dxa"/>
            <w:noWrap/>
          </w:tcPr>
          <w:p w14:paraId="54BA303E">
            <w:pPr>
              <w:pStyle w:val="133"/>
            </w:pPr>
            <w:r>
              <w:rPr>
                <w:rFonts w:hint="eastAsia"/>
              </w:rPr>
              <w:t>2.0</w:t>
            </w:r>
          </w:p>
        </w:tc>
        <w:tc>
          <w:tcPr>
            <w:tcW w:w="1154" w:type="dxa"/>
            <w:noWrap/>
          </w:tcPr>
          <w:p w14:paraId="05D98D53">
            <w:pPr>
              <w:pStyle w:val="133"/>
            </w:pPr>
            <w:r>
              <w:rPr>
                <w:rFonts w:hint="eastAsia"/>
              </w:rPr>
              <w:t>3.29</w:t>
            </w:r>
          </w:p>
        </w:tc>
        <w:tc>
          <w:tcPr>
            <w:tcW w:w="1061" w:type="dxa"/>
            <w:noWrap/>
          </w:tcPr>
          <w:p w14:paraId="060F519E">
            <w:pPr>
              <w:pStyle w:val="133"/>
            </w:pPr>
            <w:r>
              <w:rPr>
                <w:rFonts w:hint="eastAsia"/>
              </w:rPr>
              <w:t>达标</w:t>
            </w:r>
          </w:p>
        </w:tc>
      </w:tr>
      <w:bookmarkEnd w:id="483"/>
    </w:tbl>
    <w:p w14:paraId="2FA91ACF">
      <w:pPr>
        <w:pStyle w:val="118"/>
        <w:rPr>
          <w:spacing w:val="8"/>
        </w:rPr>
      </w:pPr>
    </w:p>
    <w:p w14:paraId="19B66797">
      <w:pPr>
        <w:pStyle w:val="118"/>
      </w:pPr>
      <w:r>
        <w:rPr>
          <w:rFonts w:hint="eastAsia"/>
          <w:spacing w:val="8"/>
        </w:rPr>
        <w:t>表5.2</w:t>
      </w:r>
      <w:r>
        <w:rPr>
          <w:spacing w:val="8"/>
        </w:rPr>
        <w:t>-</w:t>
      </w:r>
      <w:r>
        <w:rPr>
          <w:rFonts w:hint="eastAsia"/>
          <w:spacing w:val="8"/>
        </w:rPr>
        <w:t xml:space="preserve">25 </w:t>
      </w:r>
      <w:r>
        <w:t xml:space="preserve"> </w:t>
      </w:r>
      <w:r>
        <w:rPr>
          <w:rFonts w:hint="eastAsia"/>
        </w:rPr>
        <w:t>酚类</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7E8DE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2" w:type="dxa"/>
            <w:noWrap/>
            <w:vAlign w:val="center"/>
          </w:tcPr>
          <w:p w14:paraId="05B0CDB9">
            <w:pPr>
              <w:pStyle w:val="133"/>
              <w:rPr>
                <w:b/>
                <w:bCs/>
              </w:rPr>
            </w:pPr>
            <w:r>
              <w:rPr>
                <w:rFonts w:hint="eastAsia"/>
                <w:b/>
                <w:bCs/>
              </w:rPr>
              <w:t>序号</w:t>
            </w:r>
          </w:p>
        </w:tc>
        <w:tc>
          <w:tcPr>
            <w:tcW w:w="1242" w:type="dxa"/>
            <w:noWrap/>
            <w:vAlign w:val="center"/>
          </w:tcPr>
          <w:p w14:paraId="6AD0D8B8">
            <w:pPr>
              <w:pStyle w:val="133"/>
              <w:rPr>
                <w:b/>
                <w:bCs/>
              </w:rPr>
            </w:pPr>
            <w:r>
              <w:rPr>
                <w:rFonts w:hint="eastAsia"/>
                <w:b/>
                <w:bCs/>
              </w:rPr>
              <w:t>点名称</w:t>
            </w:r>
          </w:p>
        </w:tc>
        <w:tc>
          <w:tcPr>
            <w:tcW w:w="1560" w:type="dxa"/>
            <w:noWrap/>
            <w:vAlign w:val="center"/>
          </w:tcPr>
          <w:p w14:paraId="6916F29E">
            <w:pPr>
              <w:pStyle w:val="133"/>
              <w:rPr>
                <w:b/>
                <w:bCs/>
              </w:rPr>
            </w:pPr>
            <w:r>
              <w:rPr>
                <w:rFonts w:hint="eastAsia"/>
                <w:b/>
                <w:bCs/>
              </w:rPr>
              <w:t>点坐标</w:t>
            </w:r>
          </w:p>
          <w:p w14:paraId="30668745">
            <w:pPr>
              <w:pStyle w:val="133"/>
              <w:jc w:val="both"/>
              <w:rPr>
                <w:b/>
                <w:bCs/>
              </w:rPr>
            </w:pPr>
            <w:r>
              <w:rPr>
                <w:rFonts w:hint="eastAsia"/>
                <w:b/>
                <w:bCs/>
              </w:rPr>
              <w:t>（x或r,y或a）</w:t>
            </w:r>
          </w:p>
        </w:tc>
        <w:tc>
          <w:tcPr>
            <w:tcW w:w="1241" w:type="dxa"/>
            <w:noWrap/>
            <w:vAlign w:val="center"/>
          </w:tcPr>
          <w:p w14:paraId="68601CCF">
            <w:pPr>
              <w:pStyle w:val="133"/>
              <w:rPr>
                <w:b/>
                <w:bCs/>
              </w:rPr>
            </w:pPr>
            <w:r>
              <w:rPr>
                <w:rFonts w:hint="eastAsia"/>
                <w:b/>
                <w:bCs/>
              </w:rPr>
              <w:t>地面高程</w:t>
            </w:r>
          </w:p>
          <w:p w14:paraId="4A3E1A9F">
            <w:pPr>
              <w:pStyle w:val="133"/>
              <w:rPr>
                <w:b/>
                <w:bCs/>
              </w:rPr>
            </w:pPr>
            <w:r>
              <w:rPr>
                <w:rFonts w:hint="eastAsia"/>
                <w:b/>
                <w:bCs/>
              </w:rPr>
              <w:t>（m）</w:t>
            </w:r>
          </w:p>
        </w:tc>
        <w:tc>
          <w:tcPr>
            <w:tcW w:w="1241" w:type="dxa"/>
            <w:noWrap/>
            <w:vAlign w:val="center"/>
          </w:tcPr>
          <w:p w14:paraId="4B903568">
            <w:pPr>
              <w:pStyle w:val="133"/>
              <w:rPr>
                <w:b/>
                <w:bCs/>
              </w:rPr>
            </w:pPr>
            <w:r>
              <w:rPr>
                <w:rFonts w:hint="eastAsia"/>
                <w:b/>
                <w:bCs/>
              </w:rPr>
              <w:t>离地高度</w:t>
            </w:r>
          </w:p>
          <w:p w14:paraId="765DA2FB">
            <w:pPr>
              <w:pStyle w:val="133"/>
              <w:rPr>
                <w:b/>
                <w:bCs/>
              </w:rPr>
            </w:pPr>
            <w:r>
              <w:rPr>
                <w:rFonts w:hint="eastAsia"/>
                <w:b/>
                <w:bCs/>
              </w:rPr>
              <w:t>（m）</w:t>
            </w:r>
          </w:p>
        </w:tc>
        <w:tc>
          <w:tcPr>
            <w:tcW w:w="1192" w:type="dxa"/>
            <w:noWrap/>
            <w:vAlign w:val="center"/>
          </w:tcPr>
          <w:p w14:paraId="01426CFA">
            <w:pPr>
              <w:pStyle w:val="133"/>
              <w:rPr>
                <w:b/>
                <w:bCs/>
              </w:rPr>
            </w:pPr>
            <w:r>
              <w:rPr>
                <w:rFonts w:hint="eastAsia"/>
                <w:b/>
                <w:bCs/>
              </w:rPr>
              <w:t>浓度类型</w:t>
            </w:r>
          </w:p>
        </w:tc>
        <w:tc>
          <w:tcPr>
            <w:tcW w:w="1442" w:type="dxa"/>
            <w:noWrap/>
            <w:vAlign w:val="center"/>
          </w:tcPr>
          <w:p w14:paraId="6C5B549C">
            <w:pPr>
              <w:pStyle w:val="133"/>
              <w:rPr>
                <w:b/>
                <w:bCs/>
              </w:rPr>
            </w:pPr>
            <w:r>
              <w:rPr>
                <w:rFonts w:hint="eastAsia"/>
                <w:b/>
                <w:bCs/>
              </w:rPr>
              <w:t>浓度增量（mg/m^3）</w:t>
            </w:r>
          </w:p>
        </w:tc>
        <w:tc>
          <w:tcPr>
            <w:tcW w:w="2020" w:type="dxa"/>
            <w:noWrap/>
            <w:vAlign w:val="center"/>
          </w:tcPr>
          <w:p w14:paraId="06C9E1CF">
            <w:pPr>
              <w:pStyle w:val="133"/>
              <w:rPr>
                <w:b/>
                <w:bCs/>
              </w:rPr>
            </w:pPr>
            <w:r>
              <w:rPr>
                <w:rFonts w:hint="eastAsia"/>
                <w:b/>
                <w:bCs/>
              </w:rPr>
              <w:t>出现时间</w:t>
            </w:r>
          </w:p>
          <w:p w14:paraId="09E867E4">
            <w:pPr>
              <w:pStyle w:val="133"/>
              <w:rPr>
                <w:b/>
                <w:bCs/>
              </w:rPr>
            </w:pPr>
            <w:r>
              <w:rPr>
                <w:rFonts w:hint="eastAsia"/>
                <w:b/>
                <w:bCs/>
              </w:rPr>
              <w:t>（YYMMDDHH）</w:t>
            </w:r>
          </w:p>
        </w:tc>
        <w:tc>
          <w:tcPr>
            <w:tcW w:w="1299" w:type="dxa"/>
            <w:noWrap/>
            <w:vAlign w:val="center"/>
          </w:tcPr>
          <w:p w14:paraId="33E65751">
            <w:pPr>
              <w:pStyle w:val="133"/>
              <w:rPr>
                <w:b/>
                <w:bCs/>
              </w:rPr>
            </w:pPr>
            <w:r>
              <w:rPr>
                <w:rFonts w:hint="eastAsia"/>
                <w:b/>
                <w:bCs/>
              </w:rPr>
              <w:t>评价标准</w:t>
            </w:r>
          </w:p>
          <w:p w14:paraId="26B08ED3">
            <w:pPr>
              <w:pStyle w:val="133"/>
              <w:jc w:val="both"/>
              <w:rPr>
                <w:b/>
                <w:bCs/>
              </w:rPr>
            </w:pPr>
            <w:r>
              <w:rPr>
                <w:rFonts w:hint="eastAsia"/>
                <w:b/>
                <w:bCs/>
              </w:rPr>
              <w:t>（mg/m^3）</w:t>
            </w:r>
          </w:p>
        </w:tc>
        <w:tc>
          <w:tcPr>
            <w:tcW w:w="1154" w:type="dxa"/>
            <w:noWrap/>
            <w:vAlign w:val="center"/>
          </w:tcPr>
          <w:p w14:paraId="5E640AAB">
            <w:pPr>
              <w:pStyle w:val="133"/>
              <w:rPr>
                <w:b/>
                <w:bCs/>
              </w:rPr>
            </w:pPr>
            <w:r>
              <w:rPr>
                <w:rFonts w:hint="eastAsia"/>
                <w:b/>
                <w:bCs/>
              </w:rPr>
              <w:t>占标率</w:t>
            </w:r>
          </w:p>
          <w:p w14:paraId="3EFA300B">
            <w:pPr>
              <w:pStyle w:val="133"/>
              <w:rPr>
                <w:b/>
                <w:bCs/>
              </w:rPr>
            </w:pPr>
            <w:r>
              <w:rPr>
                <w:rFonts w:hint="eastAsia"/>
                <w:b/>
                <w:bCs/>
              </w:rPr>
              <w:t>%</w:t>
            </w:r>
          </w:p>
        </w:tc>
        <w:tc>
          <w:tcPr>
            <w:tcW w:w="1061" w:type="dxa"/>
            <w:noWrap/>
            <w:vAlign w:val="center"/>
          </w:tcPr>
          <w:p w14:paraId="1F11DB62">
            <w:pPr>
              <w:pStyle w:val="133"/>
              <w:rPr>
                <w:b/>
                <w:bCs/>
              </w:rPr>
            </w:pPr>
            <w:r>
              <w:rPr>
                <w:rFonts w:hint="eastAsia"/>
                <w:b/>
                <w:bCs/>
              </w:rPr>
              <w:t>是否</w:t>
            </w:r>
          </w:p>
          <w:p w14:paraId="0B19F9B9">
            <w:pPr>
              <w:pStyle w:val="133"/>
              <w:rPr>
                <w:b/>
                <w:bCs/>
              </w:rPr>
            </w:pPr>
            <w:r>
              <w:rPr>
                <w:rFonts w:hint="eastAsia"/>
                <w:b/>
                <w:bCs/>
              </w:rPr>
              <w:t>超标</w:t>
            </w:r>
          </w:p>
        </w:tc>
      </w:tr>
      <w:tr w14:paraId="3C95A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22" w:type="dxa"/>
            <w:noWrap/>
            <w:vAlign w:val="center"/>
          </w:tcPr>
          <w:p w14:paraId="25E6936D">
            <w:pPr>
              <w:pStyle w:val="133"/>
            </w:pPr>
            <w:r>
              <w:rPr>
                <w:rFonts w:hint="eastAsia"/>
              </w:rPr>
              <w:t>1</w:t>
            </w:r>
          </w:p>
        </w:tc>
        <w:tc>
          <w:tcPr>
            <w:tcW w:w="1242" w:type="dxa"/>
            <w:noWrap/>
            <w:vAlign w:val="center"/>
          </w:tcPr>
          <w:p w14:paraId="19B28AC0">
            <w:pPr>
              <w:pStyle w:val="133"/>
            </w:pPr>
            <w:r>
              <w:rPr>
                <w:rFonts w:hint="eastAsia"/>
              </w:rPr>
              <w:t>网格</w:t>
            </w:r>
          </w:p>
        </w:tc>
        <w:tc>
          <w:tcPr>
            <w:tcW w:w="1560" w:type="dxa"/>
            <w:noWrap/>
            <w:vAlign w:val="center"/>
          </w:tcPr>
          <w:p w14:paraId="7181AC88">
            <w:pPr>
              <w:pStyle w:val="133"/>
            </w:pPr>
            <w:r>
              <w:rPr>
                <w:rFonts w:hint="eastAsia"/>
              </w:rPr>
              <w:t>100</w:t>
            </w:r>
            <w:r>
              <w:t>,</w:t>
            </w:r>
            <w:r>
              <w:rPr>
                <w:rFonts w:hint="eastAsia"/>
              </w:rPr>
              <w:t>200</w:t>
            </w:r>
          </w:p>
        </w:tc>
        <w:tc>
          <w:tcPr>
            <w:tcW w:w="1241" w:type="dxa"/>
            <w:noWrap/>
            <w:vAlign w:val="center"/>
          </w:tcPr>
          <w:p w14:paraId="16C4D3DF">
            <w:pPr>
              <w:pStyle w:val="133"/>
            </w:pPr>
            <w:r>
              <w:rPr>
                <w:rFonts w:hint="eastAsia"/>
              </w:rPr>
              <w:t>693.80</w:t>
            </w:r>
          </w:p>
        </w:tc>
        <w:tc>
          <w:tcPr>
            <w:tcW w:w="1241" w:type="dxa"/>
            <w:noWrap/>
            <w:vAlign w:val="center"/>
          </w:tcPr>
          <w:p w14:paraId="1800CC3C">
            <w:pPr>
              <w:pStyle w:val="133"/>
            </w:pPr>
            <w:r>
              <w:rPr>
                <w:rFonts w:hint="eastAsia"/>
              </w:rPr>
              <w:t>0</w:t>
            </w:r>
          </w:p>
        </w:tc>
        <w:tc>
          <w:tcPr>
            <w:tcW w:w="1192" w:type="dxa"/>
            <w:noWrap/>
            <w:vAlign w:val="center"/>
          </w:tcPr>
          <w:p w14:paraId="71A7D271">
            <w:pPr>
              <w:pStyle w:val="133"/>
            </w:pPr>
            <w:r>
              <w:rPr>
                <w:rFonts w:hint="eastAsia"/>
              </w:rPr>
              <w:t>1小时</w:t>
            </w:r>
          </w:p>
        </w:tc>
        <w:tc>
          <w:tcPr>
            <w:tcW w:w="1442" w:type="dxa"/>
            <w:noWrap/>
          </w:tcPr>
          <w:p w14:paraId="4E411F2D">
            <w:pPr>
              <w:pStyle w:val="133"/>
            </w:pPr>
            <w:r>
              <w:rPr>
                <w:rFonts w:hint="eastAsia"/>
              </w:rPr>
              <w:t>0.000198</w:t>
            </w:r>
          </w:p>
        </w:tc>
        <w:tc>
          <w:tcPr>
            <w:tcW w:w="2020" w:type="dxa"/>
            <w:noWrap/>
          </w:tcPr>
          <w:p w14:paraId="3355F15E">
            <w:pPr>
              <w:pStyle w:val="133"/>
            </w:pPr>
            <w:r>
              <w:rPr>
                <w:rFonts w:hint="eastAsia"/>
              </w:rPr>
              <w:t>23073106</w:t>
            </w:r>
          </w:p>
        </w:tc>
        <w:tc>
          <w:tcPr>
            <w:tcW w:w="1299" w:type="dxa"/>
            <w:noWrap/>
          </w:tcPr>
          <w:p w14:paraId="03196BD5">
            <w:pPr>
              <w:pStyle w:val="133"/>
            </w:pPr>
            <w:r>
              <w:rPr>
                <w:rFonts w:hint="eastAsia"/>
              </w:rPr>
              <w:t>0.02</w:t>
            </w:r>
          </w:p>
        </w:tc>
        <w:tc>
          <w:tcPr>
            <w:tcW w:w="1154" w:type="dxa"/>
            <w:noWrap/>
          </w:tcPr>
          <w:p w14:paraId="014A8534">
            <w:pPr>
              <w:pStyle w:val="133"/>
            </w:pPr>
            <w:r>
              <w:rPr>
                <w:rFonts w:hint="eastAsia"/>
              </w:rPr>
              <w:t>0.99</w:t>
            </w:r>
          </w:p>
        </w:tc>
        <w:tc>
          <w:tcPr>
            <w:tcW w:w="1061" w:type="dxa"/>
            <w:noWrap/>
          </w:tcPr>
          <w:p w14:paraId="22E4BF90">
            <w:pPr>
              <w:pStyle w:val="133"/>
            </w:pPr>
            <w:r>
              <w:rPr>
                <w:rFonts w:hint="eastAsia"/>
              </w:rPr>
              <w:t>达标</w:t>
            </w:r>
          </w:p>
        </w:tc>
      </w:tr>
    </w:tbl>
    <w:p w14:paraId="3B0C804B">
      <w:pPr>
        <w:pStyle w:val="118"/>
        <w:rPr>
          <w:spacing w:val="8"/>
        </w:rPr>
      </w:pPr>
    </w:p>
    <w:p w14:paraId="2991F47D">
      <w:pPr>
        <w:pStyle w:val="118"/>
      </w:pPr>
      <w:r>
        <w:rPr>
          <w:rFonts w:hint="eastAsia"/>
          <w:spacing w:val="8"/>
        </w:rPr>
        <w:t>表5.2</w:t>
      </w:r>
      <w:r>
        <w:rPr>
          <w:spacing w:val="8"/>
        </w:rPr>
        <w:t>-</w:t>
      </w:r>
      <w:r>
        <w:rPr>
          <w:rFonts w:hint="eastAsia"/>
          <w:spacing w:val="8"/>
        </w:rPr>
        <w:t xml:space="preserve">26 </w:t>
      </w:r>
      <w:r>
        <w:t xml:space="preserve"> </w:t>
      </w:r>
      <w:r>
        <w:rPr>
          <w:rFonts w:hint="eastAsia"/>
        </w:rPr>
        <w:t>氰化氢</w:t>
      </w:r>
      <w:r>
        <w:t>最大落地浓度贡献值及其发生的时间统计一览表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42"/>
        <w:gridCol w:w="1560"/>
        <w:gridCol w:w="1241"/>
        <w:gridCol w:w="1241"/>
        <w:gridCol w:w="1192"/>
        <w:gridCol w:w="1442"/>
        <w:gridCol w:w="2020"/>
        <w:gridCol w:w="1299"/>
        <w:gridCol w:w="1154"/>
        <w:gridCol w:w="1061"/>
      </w:tblGrid>
      <w:tr w14:paraId="6E1D8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5F5D3ABF">
            <w:pPr>
              <w:pStyle w:val="133"/>
              <w:rPr>
                <w:b/>
                <w:bCs/>
              </w:rPr>
            </w:pPr>
            <w:r>
              <w:rPr>
                <w:rFonts w:hint="eastAsia"/>
                <w:b/>
                <w:bCs/>
              </w:rPr>
              <w:t>序号</w:t>
            </w:r>
          </w:p>
        </w:tc>
        <w:tc>
          <w:tcPr>
            <w:tcW w:w="1221" w:type="dxa"/>
            <w:noWrap/>
            <w:vAlign w:val="center"/>
          </w:tcPr>
          <w:p w14:paraId="16A39B57">
            <w:pPr>
              <w:pStyle w:val="133"/>
              <w:rPr>
                <w:b/>
                <w:bCs/>
              </w:rPr>
            </w:pPr>
            <w:r>
              <w:rPr>
                <w:rFonts w:hint="eastAsia"/>
                <w:b/>
                <w:bCs/>
              </w:rPr>
              <w:t>点名称</w:t>
            </w:r>
          </w:p>
        </w:tc>
        <w:tc>
          <w:tcPr>
            <w:tcW w:w="1533" w:type="dxa"/>
            <w:noWrap/>
            <w:vAlign w:val="center"/>
          </w:tcPr>
          <w:p w14:paraId="1D8B05F1">
            <w:pPr>
              <w:pStyle w:val="133"/>
              <w:rPr>
                <w:b/>
                <w:bCs/>
              </w:rPr>
            </w:pPr>
            <w:r>
              <w:rPr>
                <w:rFonts w:hint="eastAsia"/>
                <w:b/>
                <w:bCs/>
              </w:rPr>
              <w:t>点坐标</w:t>
            </w:r>
          </w:p>
          <w:p w14:paraId="796F9DE7">
            <w:pPr>
              <w:pStyle w:val="133"/>
              <w:jc w:val="both"/>
              <w:rPr>
                <w:b/>
                <w:bCs/>
              </w:rPr>
            </w:pPr>
            <w:r>
              <w:rPr>
                <w:rFonts w:hint="eastAsia"/>
                <w:b/>
                <w:bCs/>
              </w:rPr>
              <w:t>（x或r,y或a）</w:t>
            </w:r>
          </w:p>
        </w:tc>
        <w:tc>
          <w:tcPr>
            <w:tcW w:w="1219" w:type="dxa"/>
            <w:noWrap/>
            <w:vAlign w:val="center"/>
          </w:tcPr>
          <w:p w14:paraId="4A099F54">
            <w:pPr>
              <w:pStyle w:val="133"/>
              <w:rPr>
                <w:b/>
                <w:bCs/>
              </w:rPr>
            </w:pPr>
            <w:r>
              <w:rPr>
                <w:rFonts w:hint="eastAsia"/>
                <w:b/>
                <w:bCs/>
              </w:rPr>
              <w:t>地面高程</w:t>
            </w:r>
          </w:p>
          <w:p w14:paraId="6E322F75">
            <w:pPr>
              <w:pStyle w:val="133"/>
              <w:rPr>
                <w:b/>
                <w:bCs/>
              </w:rPr>
            </w:pPr>
            <w:r>
              <w:rPr>
                <w:rFonts w:hint="eastAsia"/>
                <w:b/>
                <w:bCs/>
              </w:rPr>
              <w:t>（m）</w:t>
            </w:r>
          </w:p>
        </w:tc>
        <w:tc>
          <w:tcPr>
            <w:tcW w:w="1219" w:type="dxa"/>
            <w:noWrap/>
            <w:vAlign w:val="center"/>
          </w:tcPr>
          <w:p w14:paraId="16538275">
            <w:pPr>
              <w:pStyle w:val="133"/>
              <w:rPr>
                <w:b/>
                <w:bCs/>
              </w:rPr>
            </w:pPr>
            <w:r>
              <w:rPr>
                <w:rFonts w:hint="eastAsia"/>
                <w:b/>
                <w:bCs/>
              </w:rPr>
              <w:t>离地高度</w:t>
            </w:r>
          </w:p>
          <w:p w14:paraId="1CC08C29">
            <w:pPr>
              <w:pStyle w:val="133"/>
              <w:rPr>
                <w:b/>
                <w:bCs/>
              </w:rPr>
            </w:pPr>
            <w:r>
              <w:rPr>
                <w:rFonts w:hint="eastAsia"/>
                <w:b/>
                <w:bCs/>
              </w:rPr>
              <w:t>（m）</w:t>
            </w:r>
          </w:p>
        </w:tc>
        <w:tc>
          <w:tcPr>
            <w:tcW w:w="1171" w:type="dxa"/>
            <w:noWrap/>
            <w:vAlign w:val="center"/>
          </w:tcPr>
          <w:p w14:paraId="21CDC994">
            <w:pPr>
              <w:pStyle w:val="133"/>
              <w:rPr>
                <w:b/>
                <w:bCs/>
              </w:rPr>
            </w:pPr>
            <w:r>
              <w:rPr>
                <w:rFonts w:hint="eastAsia"/>
                <w:b/>
                <w:bCs/>
              </w:rPr>
              <w:t>浓度类型</w:t>
            </w:r>
          </w:p>
        </w:tc>
        <w:tc>
          <w:tcPr>
            <w:tcW w:w="1417" w:type="dxa"/>
            <w:noWrap/>
            <w:vAlign w:val="center"/>
          </w:tcPr>
          <w:p w14:paraId="6EBAED95">
            <w:pPr>
              <w:pStyle w:val="133"/>
              <w:rPr>
                <w:b/>
                <w:bCs/>
              </w:rPr>
            </w:pPr>
            <w:r>
              <w:rPr>
                <w:rFonts w:hint="eastAsia"/>
                <w:b/>
                <w:bCs/>
              </w:rPr>
              <w:t>浓度增量（mg/m^3）</w:t>
            </w:r>
          </w:p>
        </w:tc>
        <w:tc>
          <w:tcPr>
            <w:tcW w:w="1985" w:type="dxa"/>
            <w:noWrap/>
            <w:vAlign w:val="center"/>
          </w:tcPr>
          <w:p w14:paraId="14395D86">
            <w:pPr>
              <w:pStyle w:val="133"/>
              <w:rPr>
                <w:b/>
                <w:bCs/>
              </w:rPr>
            </w:pPr>
            <w:r>
              <w:rPr>
                <w:rFonts w:hint="eastAsia"/>
                <w:b/>
                <w:bCs/>
              </w:rPr>
              <w:t>出现时间</w:t>
            </w:r>
          </w:p>
          <w:p w14:paraId="77C5A2D6">
            <w:pPr>
              <w:pStyle w:val="133"/>
              <w:rPr>
                <w:b/>
                <w:bCs/>
              </w:rPr>
            </w:pPr>
            <w:r>
              <w:rPr>
                <w:rFonts w:hint="eastAsia"/>
                <w:b/>
                <w:bCs/>
              </w:rPr>
              <w:t>（YYMMDDHH）</w:t>
            </w:r>
          </w:p>
        </w:tc>
        <w:tc>
          <w:tcPr>
            <w:tcW w:w="1276" w:type="dxa"/>
            <w:noWrap/>
            <w:vAlign w:val="center"/>
          </w:tcPr>
          <w:p w14:paraId="7404DEAE">
            <w:pPr>
              <w:pStyle w:val="133"/>
              <w:rPr>
                <w:b/>
                <w:bCs/>
              </w:rPr>
            </w:pPr>
            <w:r>
              <w:rPr>
                <w:rFonts w:hint="eastAsia"/>
                <w:b/>
                <w:bCs/>
              </w:rPr>
              <w:t>评价标准</w:t>
            </w:r>
          </w:p>
          <w:p w14:paraId="79DFABA0">
            <w:pPr>
              <w:pStyle w:val="133"/>
              <w:jc w:val="both"/>
              <w:rPr>
                <w:b/>
                <w:bCs/>
              </w:rPr>
            </w:pPr>
            <w:r>
              <w:rPr>
                <w:rFonts w:hint="eastAsia"/>
                <w:b/>
                <w:bCs/>
              </w:rPr>
              <w:t>（mg/m^3）</w:t>
            </w:r>
          </w:p>
        </w:tc>
        <w:tc>
          <w:tcPr>
            <w:tcW w:w="1134" w:type="dxa"/>
            <w:noWrap/>
            <w:vAlign w:val="center"/>
          </w:tcPr>
          <w:p w14:paraId="14C8010E">
            <w:pPr>
              <w:pStyle w:val="133"/>
              <w:rPr>
                <w:b/>
                <w:bCs/>
              </w:rPr>
            </w:pPr>
            <w:r>
              <w:rPr>
                <w:rFonts w:hint="eastAsia"/>
                <w:b/>
                <w:bCs/>
              </w:rPr>
              <w:t>占标率</w:t>
            </w:r>
          </w:p>
          <w:p w14:paraId="57DD272A">
            <w:pPr>
              <w:pStyle w:val="133"/>
              <w:rPr>
                <w:b/>
                <w:bCs/>
              </w:rPr>
            </w:pPr>
            <w:r>
              <w:rPr>
                <w:rFonts w:hint="eastAsia"/>
                <w:b/>
                <w:bCs/>
              </w:rPr>
              <w:t>%</w:t>
            </w:r>
          </w:p>
        </w:tc>
        <w:tc>
          <w:tcPr>
            <w:tcW w:w="1043" w:type="dxa"/>
            <w:noWrap/>
            <w:vAlign w:val="center"/>
          </w:tcPr>
          <w:p w14:paraId="5A344F1F">
            <w:pPr>
              <w:pStyle w:val="133"/>
              <w:rPr>
                <w:b/>
                <w:bCs/>
              </w:rPr>
            </w:pPr>
            <w:r>
              <w:rPr>
                <w:rFonts w:hint="eastAsia"/>
                <w:b/>
                <w:bCs/>
              </w:rPr>
              <w:t>是否</w:t>
            </w:r>
          </w:p>
          <w:p w14:paraId="23CC4270">
            <w:pPr>
              <w:pStyle w:val="133"/>
              <w:rPr>
                <w:b/>
                <w:bCs/>
              </w:rPr>
            </w:pPr>
            <w:r>
              <w:rPr>
                <w:rFonts w:hint="eastAsia"/>
                <w:b/>
                <w:bCs/>
              </w:rPr>
              <w:t>超标</w:t>
            </w:r>
          </w:p>
        </w:tc>
      </w:tr>
      <w:tr w14:paraId="43489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0" w:type="dxa"/>
            <w:noWrap/>
            <w:vAlign w:val="center"/>
          </w:tcPr>
          <w:p w14:paraId="7D814173">
            <w:pPr>
              <w:pStyle w:val="133"/>
            </w:pPr>
            <w:r>
              <w:rPr>
                <w:rFonts w:hint="eastAsia"/>
              </w:rPr>
              <w:t>1</w:t>
            </w:r>
          </w:p>
        </w:tc>
        <w:tc>
          <w:tcPr>
            <w:tcW w:w="1221" w:type="dxa"/>
            <w:noWrap/>
            <w:vAlign w:val="center"/>
          </w:tcPr>
          <w:p w14:paraId="62B8D262">
            <w:pPr>
              <w:pStyle w:val="133"/>
            </w:pPr>
            <w:r>
              <w:rPr>
                <w:rFonts w:hint="eastAsia"/>
              </w:rPr>
              <w:t>网格</w:t>
            </w:r>
          </w:p>
        </w:tc>
        <w:tc>
          <w:tcPr>
            <w:tcW w:w="1533" w:type="dxa"/>
            <w:noWrap/>
            <w:vAlign w:val="center"/>
          </w:tcPr>
          <w:p w14:paraId="676BF24F">
            <w:pPr>
              <w:pStyle w:val="133"/>
            </w:pPr>
            <w:r>
              <w:rPr>
                <w:rFonts w:hint="eastAsia"/>
              </w:rPr>
              <w:t>100</w:t>
            </w:r>
            <w:r>
              <w:t>,</w:t>
            </w:r>
            <w:r>
              <w:rPr>
                <w:rFonts w:hint="eastAsia"/>
              </w:rPr>
              <w:t>200</w:t>
            </w:r>
          </w:p>
        </w:tc>
        <w:tc>
          <w:tcPr>
            <w:tcW w:w="1219" w:type="dxa"/>
            <w:noWrap/>
            <w:vAlign w:val="center"/>
          </w:tcPr>
          <w:p w14:paraId="333BB271">
            <w:pPr>
              <w:pStyle w:val="133"/>
            </w:pPr>
            <w:r>
              <w:rPr>
                <w:rFonts w:hint="eastAsia"/>
              </w:rPr>
              <w:t>693.20</w:t>
            </w:r>
          </w:p>
        </w:tc>
        <w:tc>
          <w:tcPr>
            <w:tcW w:w="1219" w:type="dxa"/>
            <w:noWrap/>
            <w:vAlign w:val="center"/>
          </w:tcPr>
          <w:p w14:paraId="1439688D">
            <w:pPr>
              <w:pStyle w:val="133"/>
            </w:pPr>
            <w:r>
              <w:rPr>
                <w:rFonts w:hint="eastAsia"/>
              </w:rPr>
              <w:t>0</w:t>
            </w:r>
          </w:p>
        </w:tc>
        <w:tc>
          <w:tcPr>
            <w:tcW w:w="1171" w:type="dxa"/>
            <w:noWrap/>
            <w:vAlign w:val="center"/>
          </w:tcPr>
          <w:p w14:paraId="796CB858">
            <w:pPr>
              <w:pStyle w:val="133"/>
            </w:pPr>
            <w:r>
              <w:rPr>
                <w:rFonts w:hint="eastAsia"/>
              </w:rPr>
              <w:t>1小时</w:t>
            </w:r>
          </w:p>
        </w:tc>
        <w:tc>
          <w:tcPr>
            <w:tcW w:w="1417" w:type="dxa"/>
            <w:noWrap/>
          </w:tcPr>
          <w:p w14:paraId="5AE900FA">
            <w:pPr>
              <w:pStyle w:val="133"/>
            </w:pPr>
            <w:r>
              <w:rPr>
                <w:rFonts w:hint="eastAsia"/>
              </w:rPr>
              <w:t>0.0000377</w:t>
            </w:r>
          </w:p>
        </w:tc>
        <w:tc>
          <w:tcPr>
            <w:tcW w:w="1985" w:type="dxa"/>
            <w:noWrap/>
          </w:tcPr>
          <w:p w14:paraId="37D75E26">
            <w:pPr>
              <w:pStyle w:val="133"/>
            </w:pPr>
            <w:r>
              <w:rPr>
                <w:rFonts w:hint="eastAsia"/>
              </w:rPr>
              <w:t>23073106</w:t>
            </w:r>
          </w:p>
        </w:tc>
        <w:tc>
          <w:tcPr>
            <w:tcW w:w="1276" w:type="dxa"/>
            <w:noWrap/>
          </w:tcPr>
          <w:p w14:paraId="5C439DC9">
            <w:pPr>
              <w:pStyle w:val="133"/>
            </w:pPr>
            <w:r>
              <w:rPr>
                <w:rFonts w:hint="eastAsia"/>
              </w:rPr>
              <w:t>0.03</w:t>
            </w:r>
          </w:p>
        </w:tc>
        <w:tc>
          <w:tcPr>
            <w:tcW w:w="1134" w:type="dxa"/>
            <w:noWrap/>
          </w:tcPr>
          <w:p w14:paraId="29091AE3">
            <w:pPr>
              <w:pStyle w:val="133"/>
            </w:pPr>
            <w:r>
              <w:rPr>
                <w:rFonts w:hint="eastAsia"/>
              </w:rPr>
              <w:t>0.13</w:t>
            </w:r>
          </w:p>
        </w:tc>
        <w:tc>
          <w:tcPr>
            <w:tcW w:w="1043" w:type="dxa"/>
            <w:noWrap/>
          </w:tcPr>
          <w:p w14:paraId="5D593B66">
            <w:pPr>
              <w:pStyle w:val="133"/>
            </w:pPr>
            <w:r>
              <w:rPr>
                <w:rFonts w:hint="eastAsia"/>
              </w:rPr>
              <w:t>达标</w:t>
            </w:r>
          </w:p>
        </w:tc>
      </w:tr>
    </w:tbl>
    <w:p w14:paraId="5DF7565B">
      <w:pPr>
        <w:pStyle w:val="133"/>
      </w:pPr>
    </w:p>
    <w:p w14:paraId="74B8C4EF">
      <w:pPr>
        <w:pStyle w:val="782"/>
        <w:ind w:firstLine="480"/>
        <w:rPr>
          <w:rFonts w:hint="eastAsia"/>
        </w:rPr>
        <w:sectPr>
          <w:pgSz w:w="16838" w:h="11906" w:orient="landscape"/>
          <w:pgMar w:top="1800" w:right="1440" w:bottom="1800" w:left="1440" w:header="851" w:footer="850" w:gutter="0"/>
          <w:cols w:space="425" w:num="1"/>
          <w:docGrid w:type="lines" w:linePitch="326" w:charSpace="0"/>
        </w:sectPr>
      </w:pPr>
    </w:p>
    <w:p w14:paraId="6F6809E5">
      <w:pPr>
        <w:pStyle w:val="257"/>
        <w:ind w:firstLine="480"/>
      </w:pPr>
      <w:r>
        <w:rPr>
          <w:rFonts w:eastAsia="宋体"/>
        </w:rPr>
        <w:t>预测网格内的S</w:t>
      </w:r>
      <w:r>
        <w:t>O</w:t>
      </w:r>
      <w:r>
        <w:rPr>
          <w:vertAlign w:val="subscript"/>
        </w:rPr>
        <w:t>2</w:t>
      </w:r>
      <w:r>
        <w:rPr>
          <w:rFonts w:eastAsia="宋体"/>
        </w:rPr>
        <w:t>小时、日均、年均最大落地浓度贡献值分别为</w:t>
      </w:r>
      <w:r>
        <w:t>0.</w:t>
      </w:r>
      <w:r>
        <w:rPr>
          <w:rFonts w:hint="eastAsia" w:eastAsia="宋体"/>
        </w:rPr>
        <w:t>252742</w:t>
      </w:r>
      <w:r>
        <w:t>mg/m</w:t>
      </w:r>
      <w:r>
        <w:rPr>
          <w:vertAlign w:val="superscript"/>
        </w:rPr>
        <w:t>3</w:t>
      </w:r>
      <w:r>
        <w:rPr>
          <w:rFonts w:eastAsia="宋体"/>
        </w:rPr>
        <w:t>、</w:t>
      </w:r>
      <w:r>
        <w:t>0.</w:t>
      </w:r>
      <w:r>
        <w:rPr>
          <w:rFonts w:hint="eastAsia" w:eastAsia="宋体"/>
        </w:rPr>
        <w:t>037087</w:t>
      </w:r>
      <w:r>
        <w:t>mg/m</w:t>
      </w:r>
      <w:r>
        <w:rPr>
          <w:vertAlign w:val="superscript"/>
        </w:rPr>
        <w:t>3</w:t>
      </w:r>
      <w:r>
        <w:rPr>
          <w:rFonts w:eastAsia="宋体"/>
        </w:rPr>
        <w:t>、</w:t>
      </w:r>
      <w:r>
        <w:t>0.</w:t>
      </w:r>
      <w:r>
        <w:rPr>
          <w:rFonts w:hint="eastAsia" w:eastAsia="宋体"/>
        </w:rPr>
        <w:t>009661</w:t>
      </w:r>
      <w:r>
        <w:t>mg/m</w:t>
      </w:r>
      <w:r>
        <w:rPr>
          <w:vertAlign w:val="superscript"/>
        </w:rPr>
        <w:t>3</w:t>
      </w:r>
      <w:r>
        <w:rPr>
          <w:rFonts w:eastAsia="宋体"/>
        </w:rPr>
        <w:t>，其占标率分别为</w:t>
      </w:r>
      <w:r>
        <w:rPr>
          <w:rFonts w:hint="eastAsia" w:eastAsia="宋体"/>
        </w:rPr>
        <w:t>50.55</w:t>
      </w:r>
      <w:r>
        <w:t>%</w:t>
      </w:r>
      <w:r>
        <w:rPr>
          <w:rFonts w:eastAsia="宋体"/>
        </w:rPr>
        <w:t>、</w:t>
      </w:r>
      <w:r>
        <w:rPr>
          <w:rFonts w:hint="eastAsia" w:eastAsia="宋体"/>
        </w:rPr>
        <w:t>24.72</w:t>
      </w:r>
      <w:r>
        <w:t>%</w:t>
      </w:r>
      <w:r>
        <w:rPr>
          <w:rFonts w:eastAsia="宋体"/>
        </w:rPr>
        <w:t>、</w:t>
      </w:r>
      <w:r>
        <w:rPr>
          <w:rFonts w:hint="eastAsia" w:eastAsia="宋体"/>
        </w:rPr>
        <w:t>16.10</w:t>
      </w:r>
      <w:r>
        <w:t>%</w:t>
      </w:r>
      <w:r>
        <w:rPr>
          <w:rFonts w:eastAsia="宋体"/>
        </w:rPr>
        <w:t>。</w:t>
      </w:r>
    </w:p>
    <w:p w14:paraId="055086D0">
      <w:pPr>
        <w:pStyle w:val="257"/>
        <w:ind w:firstLine="480"/>
        <w:rPr>
          <w:rFonts w:eastAsia="宋体"/>
        </w:rPr>
      </w:pPr>
      <w:r>
        <w:rPr>
          <w:rFonts w:eastAsia="宋体"/>
        </w:rPr>
        <w:t>预测网格内的</w:t>
      </w:r>
      <w:r>
        <w:t>NO</w:t>
      </w:r>
      <w:r>
        <w:rPr>
          <w:vertAlign w:val="subscript"/>
        </w:rPr>
        <w:t>2</w:t>
      </w:r>
      <w:r>
        <w:rPr>
          <w:rFonts w:eastAsia="宋体"/>
        </w:rPr>
        <w:t>小时、日均、年均最大落地浓度贡献值分别为</w:t>
      </w:r>
      <w:r>
        <w:t>0.</w:t>
      </w:r>
      <w:r>
        <w:rPr>
          <w:rFonts w:hint="eastAsia" w:eastAsia="宋体"/>
        </w:rPr>
        <w:t>083738</w:t>
      </w:r>
      <w:r>
        <w:t>mg/m</w:t>
      </w:r>
      <w:r>
        <w:rPr>
          <w:vertAlign w:val="superscript"/>
        </w:rPr>
        <w:t>3</w:t>
      </w:r>
      <w:r>
        <w:rPr>
          <w:rFonts w:eastAsia="宋体"/>
        </w:rPr>
        <w:t>、</w:t>
      </w:r>
      <w:r>
        <w:t>0.0</w:t>
      </w:r>
      <w:r>
        <w:rPr>
          <w:rFonts w:hint="eastAsia" w:eastAsia="宋体"/>
        </w:rPr>
        <w:t>48979</w:t>
      </w:r>
      <w:r>
        <w:t>mg/m</w:t>
      </w:r>
      <w:r>
        <w:rPr>
          <w:vertAlign w:val="superscript"/>
        </w:rPr>
        <w:t>3</w:t>
      </w:r>
      <w:r>
        <w:rPr>
          <w:rFonts w:eastAsia="宋体"/>
        </w:rPr>
        <w:t>、</w:t>
      </w:r>
      <w:r>
        <w:t>0.00</w:t>
      </w:r>
      <w:r>
        <w:rPr>
          <w:rFonts w:hint="eastAsia" w:eastAsia="宋体"/>
        </w:rPr>
        <w:t>3949</w:t>
      </w:r>
      <w:r>
        <w:t>mg/m</w:t>
      </w:r>
      <w:r>
        <w:rPr>
          <w:vertAlign w:val="superscript"/>
        </w:rPr>
        <w:t>3</w:t>
      </w:r>
      <w:r>
        <w:rPr>
          <w:rFonts w:eastAsia="宋体"/>
        </w:rPr>
        <w:t>，其占标率分别为</w:t>
      </w:r>
      <w:r>
        <w:rPr>
          <w:rFonts w:hint="eastAsia" w:eastAsia="宋体"/>
        </w:rPr>
        <w:t>41.87</w:t>
      </w:r>
      <w:r>
        <w:t>%</w:t>
      </w:r>
      <w:r>
        <w:rPr>
          <w:rFonts w:eastAsia="宋体"/>
        </w:rPr>
        <w:t>、</w:t>
      </w:r>
      <w:r>
        <w:rPr>
          <w:rFonts w:hint="eastAsia" w:eastAsia="宋体"/>
        </w:rPr>
        <w:t>61.22</w:t>
      </w:r>
      <w:r>
        <w:t>%</w:t>
      </w:r>
      <w:r>
        <w:rPr>
          <w:rFonts w:eastAsia="宋体"/>
        </w:rPr>
        <w:t>、</w:t>
      </w:r>
      <w:r>
        <w:rPr>
          <w:rFonts w:hint="eastAsia" w:eastAsia="宋体"/>
        </w:rPr>
        <w:t>9.87</w:t>
      </w:r>
      <w:r>
        <w:t>%</w:t>
      </w:r>
      <w:r>
        <w:rPr>
          <w:rFonts w:eastAsia="宋体"/>
        </w:rPr>
        <w:t>。</w:t>
      </w:r>
    </w:p>
    <w:p w14:paraId="7D508D56">
      <w:pPr>
        <w:pStyle w:val="257"/>
        <w:ind w:firstLine="480"/>
      </w:pPr>
      <w:r>
        <w:rPr>
          <w:rFonts w:eastAsia="宋体"/>
        </w:rPr>
        <w:t>预测网格内</w:t>
      </w:r>
      <w:r>
        <w:t>PM</w:t>
      </w:r>
      <w:r>
        <w:rPr>
          <w:vertAlign w:val="subscript"/>
        </w:rPr>
        <w:t>10</w:t>
      </w:r>
      <w:r>
        <w:rPr>
          <w:rFonts w:eastAsia="宋体"/>
        </w:rPr>
        <w:t>日均、年均最大落地浓度贡献值分别为</w:t>
      </w:r>
      <w:r>
        <w:t>0.0</w:t>
      </w:r>
      <w:r>
        <w:rPr>
          <w:rFonts w:hint="eastAsia" w:eastAsia="宋体"/>
        </w:rPr>
        <w:t>03994</w:t>
      </w:r>
      <w:r>
        <w:t>mg/m</w:t>
      </w:r>
      <w:r>
        <w:rPr>
          <w:vertAlign w:val="superscript"/>
        </w:rPr>
        <w:t>3</w:t>
      </w:r>
      <w:r>
        <w:rPr>
          <w:rFonts w:eastAsia="宋体"/>
        </w:rPr>
        <w:t>、</w:t>
      </w:r>
      <w:r>
        <w:t>0.00</w:t>
      </w:r>
      <w:r>
        <w:rPr>
          <w:rFonts w:hint="eastAsia" w:eastAsia="宋体"/>
        </w:rPr>
        <w:t>0557</w:t>
      </w:r>
      <w:r>
        <w:t>mg/m</w:t>
      </w:r>
      <w:r>
        <w:rPr>
          <w:vertAlign w:val="superscript"/>
        </w:rPr>
        <w:t>3</w:t>
      </w:r>
      <w:r>
        <w:rPr>
          <w:rFonts w:eastAsia="宋体"/>
        </w:rPr>
        <w:t>，其占标率分别为</w:t>
      </w:r>
      <w:r>
        <w:rPr>
          <w:rFonts w:hint="eastAsia" w:eastAsia="宋体"/>
        </w:rPr>
        <w:t>2.66</w:t>
      </w:r>
      <w:r>
        <w:t>%</w:t>
      </w:r>
      <w:r>
        <w:rPr>
          <w:rFonts w:eastAsia="宋体"/>
        </w:rPr>
        <w:t>、</w:t>
      </w:r>
      <w:r>
        <w:rPr>
          <w:rFonts w:hint="eastAsia" w:eastAsia="宋体"/>
        </w:rPr>
        <w:t>0.80</w:t>
      </w:r>
      <w:r>
        <w:t>%</w:t>
      </w:r>
      <w:r>
        <w:rPr>
          <w:rFonts w:hint="eastAsia" w:eastAsia="宋体"/>
        </w:rPr>
        <w:t>。</w:t>
      </w:r>
    </w:p>
    <w:p w14:paraId="164B09CA">
      <w:pPr>
        <w:pStyle w:val="257"/>
        <w:ind w:firstLine="480"/>
        <w:rPr>
          <w:rFonts w:eastAsia="宋体"/>
        </w:rPr>
      </w:pPr>
      <w:r>
        <w:rPr>
          <w:rFonts w:eastAsia="宋体"/>
        </w:rPr>
        <w:t>预测网格内</w:t>
      </w:r>
      <w:r>
        <w:t>PM</w:t>
      </w:r>
      <w:r>
        <w:rPr>
          <w:rFonts w:eastAsia="宋体"/>
          <w:vertAlign w:val="subscript"/>
        </w:rPr>
        <w:t>2.5</w:t>
      </w:r>
      <w:r>
        <w:rPr>
          <w:rFonts w:hint="eastAsia" w:eastAsia="宋体"/>
        </w:rPr>
        <w:t>（一次</w:t>
      </w:r>
      <w:r>
        <w:t>PM</w:t>
      </w:r>
      <w:r>
        <w:rPr>
          <w:rFonts w:eastAsia="宋体"/>
          <w:vertAlign w:val="subscript"/>
        </w:rPr>
        <w:t>2.5</w:t>
      </w:r>
      <w:r>
        <w:t xml:space="preserve"> </w:t>
      </w:r>
      <w:r>
        <w:rPr>
          <w:rFonts w:hint="eastAsia" w:ascii="宋体" w:hAnsi="宋体" w:eastAsia="宋体" w:cs="宋体"/>
        </w:rPr>
        <w:t>叠加二次</w:t>
      </w:r>
      <w:r>
        <w:t>PM</w:t>
      </w:r>
      <w:r>
        <w:rPr>
          <w:rFonts w:eastAsia="宋体"/>
          <w:vertAlign w:val="subscript"/>
        </w:rPr>
        <w:t>2.5</w:t>
      </w:r>
      <w:r>
        <w:rPr>
          <w:rFonts w:hint="eastAsia" w:eastAsia="宋体"/>
        </w:rPr>
        <w:t>）</w:t>
      </w:r>
      <w:r>
        <w:rPr>
          <w:rFonts w:eastAsia="宋体"/>
        </w:rPr>
        <w:t>日均、年均最大落地浓度贡献值分别为</w:t>
      </w:r>
      <w:r>
        <w:rPr>
          <w:lang w:val="en-US"/>
        </w:rPr>
        <w:t>0.036135</w:t>
      </w:r>
      <w:r>
        <w:t>mg/m</w:t>
      </w:r>
      <w:r>
        <w:rPr>
          <w:vertAlign w:val="superscript"/>
        </w:rPr>
        <w:t>3</w:t>
      </w:r>
      <w:r>
        <w:rPr>
          <w:rFonts w:eastAsia="宋体"/>
        </w:rPr>
        <w:t>、</w:t>
      </w:r>
      <w:r>
        <w:rPr>
          <w:rFonts w:hint="eastAsia"/>
          <w:lang w:val="en-US"/>
        </w:rPr>
        <w:t>0.006744</w:t>
      </w:r>
      <w:r>
        <w:t>mg/m</w:t>
      </w:r>
      <w:r>
        <w:rPr>
          <w:vertAlign w:val="superscript"/>
        </w:rPr>
        <w:t>3</w:t>
      </w:r>
      <w:r>
        <w:rPr>
          <w:rFonts w:eastAsia="宋体"/>
        </w:rPr>
        <w:t>，其占标率分别为</w:t>
      </w:r>
      <w:r>
        <w:rPr>
          <w:rFonts w:hint="eastAsia" w:eastAsia="宋体"/>
        </w:rPr>
        <w:t>48.18</w:t>
      </w:r>
      <w:r>
        <w:t>%</w:t>
      </w:r>
      <w:r>
        <w:rPr>
          <w:rFonts w:eastAsia="宋体"/>
        </w:rPr>
        <w:t>、</w:t>
      </w:r>
      <w:r>
        <w:rPr>
          <w:rFonts w:hint="eastAsia" w:eastAsia="宋体"/>
        </w:rPr>
        <w:t>19.27</w:t>
      </w:r>
      <w:r>
        <w:t>%</w:t>
      </w:r>
      <w:r>
        <w:rPr>
          <w:rFonts w:hint="eastAsia" w:eastAsia="宋体"/>
        </w:rPr>
        <w:t>。</w:t>
      </w:r>
    </w:p>
    <w:p w14:paraId="57C35370">
      <w:pPr>
        <w:pStyle w:val="257"/>
        <w:ind w:firstLine="480"/>
        <w:rPr>
          <w:rFonts w:eastAsia="宋体"/>
        </w:rPr>
      </w:pPr>
      <w:r>
        <w:rPr>
          <w:rFonts w:eastAsia="宋体"/>
        </w:rPr>
        <w:t>预测网格内</w:t>
      </w:r>
      <w:r>
        <w:rPr>
          <w:rStyle w:val="162"/>
          <w:rFonts w:hint="eastAsia"/>
        </w:rPr>
        <w:t>T</w:t>
      </w:r>
      <w:r>
        <w:rPr>
          <w:rStyle w:val="162"/>
        </w:rPr>
        <w:t>SP</w:t>
      </w:r>
      <w:r>
        <w:rPr>
          <w:rFonts w:eastAsia="宋体"/>
        </w:rPr>
        <w:t>日均、年均最大落地浓度贡献值分别为</w:t>
      </w:r>
      <w:r>
        <w:t>0.0</w:t>
      </w:r>
      <w:r>
        <w:rPr>
          <w:rFonts w:hint="eastAsia" w:eastAsia="宋体"/>
        </w:rPr>
        <w:t>22171</w:t>
      </w:r>
      <w:r>
        <w:t>mg/m</w:t>
      </w:r>
      <w:r>
        <w:rPr>
          <w:vertAlign w:val="superscript"/>
        </w:rPr>
        <w:t>3</w:t>
      </w:r>
      <w:r>
        <w:rPr>
          <w:rFonts w:eastAsia="宋体"/>
        </w:rPr>
        <w:t>、</w:t>
      </w:r>
      <w:r>
        <w:t>0.0</w:t>
      </w:r>
      <w:r>
        <w:rPr>
          <w:rFonts w:hint="eastAsia" w:eastAsia="宋体"/>
        </w:rPr>
        <w:t>05170</w:t>
      </w:r>
      <w:r>
        <w:t>mg/m</w:t>
      </w:r>
      <w:r>
        <w:rPr>
          <w:vertAlign w:val="superscript"/>
        </w:rPr>
        <w:t>3</w:t>
      </w:r>
      <w:r>
        <w:rPr>
          <w:rFonts w:eastAsia="宋体"/>
        </w:rPr>
        <w:t>，其占标率分别为</w:t>
      </w:r>
      <w:r>
        <w:rPr>
          <w:rFonts w:hint="eastAsia" w:eastAsia="宋体"/>
        </w:rPr>
        <w:t>7.39</w:t>
      </w:r>
      <w:r>
        <w:t>%</w:t>
      </w:r>
      <w:r>
        <w:rPr>
          <w:rFonts w:eastAsia="宋体"/>
        </w:rPr>
        <w:t>、</w:t>
      </w:r>
      <w:r>
        <w:rPr>
          <w:rFonts w:hint="eastAsia" w:eastAsia="宋体"/>
        </w:rPr>
        <w:t>2.58</w:t>
      </w:r>
      <w:r>
        <w:t>%</w:t>
      </w:r>
      <w:r>
        <w:rPr>
          <w:rFonts w:hint="eastAsia" w:ascii="宋体" w:hAnsi="宋体" w:eastAsia="宋体" w:cs="宋体"/>
        </w:rPr>
        <w:t>。</w:t>
      </w:r>
    </w:p>
    <w:p w14:paraId="7B64CD58">
      <w:pPr>
        <w:pStyle w:val="257"/>
        <w:ind w:firstLine="480"/>
        <w:rPr>
          <w:rFonts w:eastAsia="宋体"/>
        </w:rPr>
      </w:pPr>
      <w:r>
        <w:rPr>
          <w:rFonts w:eastAsia="宋体"/>
        </w:rPr>
        <w:t>预测网格内</w:t>
      </w:r>
      <w:r>
        <w:rPr>
          <w:rStyle w:val="162"/>
          <w:rFonts w:hint="eastAsia"/>
        </w:rPr>
        <w:t>BaP</w:t>
      </w:r>
      <w:r>
        <w:rPr>
          <w:rFonts w:eastAsia="宋体"/>
        </w:rPr>
        <w:t>日均、年均最大落地浓度贡献值分别为</w:t>
      </w:r>
      <w:r>
        <w:rPr>
          <w:rFonts w:hint="eastAsia" w:eastAsia="宋体"/>
        </w:rPr>
        <w:t>5.60×10</w:t>
      </w:r>
      <w:r>
        <w:rPr>
          <w:rFonts w:hint="eastAsia" w:eastAsia="宋体"/>
          <w:vertAlign w:val="superscript"/>
        </w:rPr>
        <w:t>-7</w:t>
      </w:r>
      <w:r>
        <w:t>mg/m</w:t>
      </w:r>
      <w:r>
        <w:rPr>
          <w:vertAlign w:val="superscript"/>
        </w:rPr>
        <w:t>3</w:t>
      </w:r>
      <w:r>
        <w:rPr>
          <w:rFonts w:eastAsia="宋体"/>
        </w:rPr>
        <w:t>、</w:t>
      </w:r>
      <w:r>
        <w:rPr>
          <w:rFonts w:hint="eastAsia" w:eastAsia="宋体"/>
        </w:rPr>
        <w:t>1.50×10</w:t>
      </w:r>
      <w:r>
        <w:rPr>
          <w:rFonts w:hint="eastAsia" w:eastAsia="宋体"/>
          <w:vertAlign w:val="superscript"/>
        </w:rPr>
        <w:t>-7</w:t>
      </w:r>
      <w:r>
        <w:t>mg/m</w:t>
      </w:r>
      <w:r>
        <w:rPr>
          <w:vertAlign w:val="superscript"/>
        </w:rPr>
        <w:t>3</w:t>
      </w:r>
      <w:r>
        <w:rPr>
          <w:rFonts w:eastAsia="宋体"/>
        </w:rPr>
        <w:t>，其占标率分别为</w:t>
      </w:r>
      <w:r>
        <w:rPr>
          <w:rFonts w:hint="eastAsia" w:eastAsia="宋体"/>
        </w:rPr>
        <w:t>22.40</w:t>
      </w:r>
      <w:r>
        <w:t>%</w:t>
      </w:r>
      <w:r>
        <w:rPr>
          <w:rFonts w:eastAsia="宋体"/>
        </w:rPr>
        <w:t>、</w:t>
      </w:r>
      <w:r>
        <w:rPr>
          <w:rFonts w:hint="eastAsia" w:eastAsia="宋体"/>
        </w:rPr>
        <w:t>15.00</w:t>
      </w:r>
      <w:r>
        <w:t>%</w:t>
      </w:r>
      <w:r>
        <w:rPr>
          <w:rFonts w:hint="eastAsia" w:ascii="宋体" w:hAnsi="宋体" w:eastAsia="宋体" w:cs="宋体"/>
        </w:rPr>
        <w:t>。</w:t>
      </w:r>
    </w:p>
    <w:p w14:paraId="6526AB1E">
      <w:pPr>
        <w:pStyle w:val="117"/>
        <w:ind w:firstLine="480"/>
      </w:pPr>
      <w:r>
        <w:t>预测网格内的</w:t>
      </w:r>
      <w:r>
        <w:rPr>
          <w:rFonts w:hint="eastAsia"/>
        </w:rPr>
        <w:t>NH</w:t>
      </w:r>
      <w:r>
        <w:rPr>
          <w:rFonts w:hint="eastAsia"/>
          <w:vertAlign w:val="subscript"/>
        </w:rPr>
        <w:t>3</w:t>
      </w:r>
      <w:r>
        <w:t>的小时均最大落地浓度贡献值为0.</w:t>
      </w:r>
      <w:r>
        <w:rPr>
          <w:rFonts w:hint="eastAsia"/>
        </w:rPr>
        <w:t>002230</w:t>
      </w:r>
      <w:r>
        <w:t>mg/m</w:t>
      </w:r>
      <w:r>
        <w:rPr>
          <w:vertAlign w:val="superscript"/>
        </w:rPr>
        <w:t>3</w:t>
      </w:r>
      <w:r>
        <w:t>，占标率为</w:t>
      </w:r>
      <w:r>
        <w:rPr>
          <w:rFonts w:hint="eastAsia"/>
        </w:rPr>
        <w:t>1.11</w:t>
      </w:r>
      <w:r>
        <w:t>%</w:t>
      </w:r>
      <w:r>
        <w:rPr>
          <w:rFonts w:hint="eastAsia"/>
        </w:rPr>
        <w:t>。</w:t>
      </w:r>
    </w:p>
    <w:p w14:paraId="177F8B5F">
      <w:pPr>
        <w:pStyle w:val="117"/>
        <w:ind w:firstLine="480"/>
      </w:pPr>
      <w:r>
        <w:t>预测网格内的</w:t>
      </w:r>
      <w:r>
        <w:rPr>
          <w:rFonts w:hint="eastAsia"/>
        </w:rPr>
        <w:t>H</w:t>
      </w:r>
      <w:r>
        <w:rPr>
          <w:rFonts w:hint="eastAsia"/>
          <w:vertAlign w:val="subscript"/>
        </w:rPr>
        <w:t>2</w:t>
      </w:r>
      <w:r>
        <w:rPr>
          <w:rFonts w:hint="eastAsia"/>
        </w:rPr>
        <w:t>S</w:t>
      </w:r>
      <w:r>
        <w:t>的小时均最大落地浓度贡献值为0.000</w:t>
      </w:r>
      <w:r>
        <w:rPr>
          <w:rFonts w:hint="eastAsia"/>
        </w:rPr>
        <w:t>587</w:t>
      </w:r>
      <w:r>
        <w:t>mg/m</w:t>
      </w:r>
      <w:r>
        <w:rPr>
          <w:vertAlign w:val="superscript"/>
        </w:rPr>
        <w:t>3</w:t>
      </w:r>
      <w:r>
        <w:t>，占标率为</w:t>
      </w:r>
      <w:r>
        <w:rPr>
          <w:rFonts w:hint="eastAsia"/>
        </w:rPr>
        <w:t>5.87</w:t>
      </w:r>
      <w:r>
        <w:t>%</w:t>
      </w:r>
      <w:r>
        <w:rPr>
          <w:rFonts w:hint="eastAsia"/>
        </w:rPr>
        <w:t>。</w:t>
      </w:r>
    </w:p>
    <w:p w14:paraId="13127D74">
      <w:pPr>
        <w:pStyle w:val="117"/>
        <w:ind w:firstLine="480"/>
      </w:pPr>
      <w:r>
        <w:t>预测网格内的</w:t>
      </w:r>
      <w:r>
        <w:rPr>
          <w:rFonts w:hint="eastAsia"/>
        </w:rPr>
        <w:t>NMHC、酚类、氰化氢</w:t>
      </w:r>
      <w:r>
        <w:t>的小时均最大落地浓度贡献值为0.</w:t>
      </w:r>
      <w:r>
        <w:rPr>
          <w:rFonts w:hint="eastAsia"/>
        </w:rPr>
        <w:t>065870</w:t>
      </w:r>
      <w:r>
        <w:t>mg/m</w:t>
      </w:r>
      <w:r>
        <w:rPr>
          <w:vertAlign w:val="superscript"/>
        </w:rPr>
        <w:t>3</w:t>
      </w:r>
      <w:r>
        <w:rPr>
          <w:rFonts w:hint="eastAsia"/>
        </w:rPr>
        <w:t>、0.000198</w:t>
      </w:r>
      <w:r>
        <w:t>mg/m</w:t>
      </w:r>
      <w:r>
        <w:rPr>
          <w:vertAlign w:val="superscript"/>
        </w:rPr>
        <w:t>3</w:t>
      </w:r>
      <w:r>
        <w:rPr>
          <w:rFonts w:hint="eastAsia"/>
        </w:rPr>
        <w:t>、0.0000377</w:t>
      </w:r>
      <w:r>
        <w:t>mg/m</w:t>
      </w:r>
      <w:r>
        <w:rPr>
          <w:vertAlign w:val="superscript"/>
        </w:rPr>
        <w:t>3</w:t>
      </w:r>
      <w:r>
        <w:t>，占标率为</w:t>
      </w:r>
      <w:r>
        <w:rPr>
          <w:rFonts w:hint="eastAsia"/>
        </w:rPr>
        <w:t>3.29</w:t>
      </w:r>
      <w:r>
        <w:t>%</w:t>
      </w:r>
      <w:r>
        <w:rPr>
          <w:rFonts w:hint="eastAsia"/>
        </w:rPr>
        <w:t>、0.99</w:t>
      </w:r>
      <w:r>
        <w:t>%</w:t>
      </w:r>
      <w:r>
        <w:rPr>
          <w:rFonts w:hint="eastAsia"/>
        </w:rPr>
        <w:t>、0.13</w:t>
      </w:r>
      <w:r>
        <w:t>%</w:t>
      </w:r>
      <w:r>
        <w:rPr>
          <w:rFonts w:hint="eastAsia"/>
        </w:rPr>
        <w:t>。</w:t>
      </w:r>
    </w:p>
    <w:p w14:paraId="4763789F">
      <w:pPr>
        <w:pStyle w:val="257"/>
        <w:ind w:firstLine="480"/>
      </w:pPr>
      <w:r>
        <w:rPr>
          <w:rFonts w:hint="eastAsia" w:ascii="宋体" w:hAnsi="宋体" w:eastAsia="宋体" w:cs="宋体"/>
        </w:rPr>
        <w:t>综上分析，项目新增污染源正常排放下各污染物短期浓度贡献值的最大浓度占标率＜</w:t>
      </w:r>
      <w:r>
        <w:rPr>
          <w:rFonts w:hint="eastAsia"/>
        </w:rPr>
        <w:t>100%</w:t>
      </w:r>
      <w:r>
        <w:rPr>
          <w:rFonts w:hint="eastAsia" w:ascii="宋体" w:hAnsi="宋体" w:eastAsia="宋体" w:cs="宋体"/>
        </w:rPr>
        <w:t>，新增污染源正常排放下各污染物年均浓度贡献值的最大浓度占标率＜</w:t>
      </w:r>
      <w:r>
        <w:rPr>
          <w:rFonts w:hint="eastAsia"/>
        </w:rPr>
        <w:t>30%</w:t>
      </w:r>
      <w:r>
        <w:rPr>
          <w:rFonts w:hint="eastAsia" w:ascii="宋体" w:hAnsi="宋体" w:eastAsia="宋体" w:cs="宋体"/>
        </w:rPr>
        <w:t>。</w:t>
      </w:r>
    </w:p>
    <w:p w14:paraId="4E174F6A">
      <w:pPr>
        <w:pStyle w:val="944"/>
      </w:pPr>
      <w:r>
        <w:rPr>
          <w:rFonts w:hint="eastAsia"/>
        </w:rPr>
        <w:t>主要污染物环境影响叠加值</w:t>
      </w:r>
    </w:p>
    <w:p w14:paraId="6F4E85AC">
      <w:pPr>
        <w:pStyle w:val="257"/>
        <w:ind w:firstLine="480"/>
        <w:rPr>
          <w:rFonts w:hint="eastAsia" w:ascii="宋体" w:hAnsi="宋体" w:eastAsia="宋体" w:cs="宋体"/>
        </w:rPr>
      </w:pPr>
      <w:r>
        <w:rPr>
          <w:rFonts w:hint="eastAsia" w:ascii="宋体" w:hAnsi="宋体"/>
          <w:lang w:val="de-DE"/>
        </w:rPr>
        <w:t>项目正常排放条</w:t>
      </w:r>
      <w:r>
        <w:rPr>
          <w:rFonts w:hint="eastAsia" w:ascii="宋体" w:hAnsi="宋体" w:eastAsia="宋体" w:cs="宋体"/>
          <w:lang w:val="de-DE"/>
        </w:rPr>
        <w:t>件下，主要污染物叠加现状浓度、同时叠加在建及拟建污染源的环境影响后环境空气保护目标和网格点主要污染物保证率日平均浓度和年平均质量浓度预测结果见</w:t>
      </w:r>
      <w:r>
        <w:rPr>
          <w:rFonts w:hint="eastAsia" w:ascii="宋体" w:hAnsi="宋体" w:eastAsia="宋体" w:cs="宋体"/>
          <w:spacing w:val="8"/>
        </w:rPr>
        <w:t>表</w:t>
      </w:r>
      <w:r>
        <w:rPr>
          <w:rFonts w:hint="eastAsia" w:eastAsia="宋体"/>
          <w:spacing w:val="8"/>
        </w:rPr>
        <w:t>5.2</w:t>
      </w:r>
      <w:r>
        <w:rPr>
          <w:spacing w:val="8"/>
        </w:rPr>
        <w:t>-</w:t>
      </w:r>
      <w:r>
        <w:rPr>
          <w:rFonts w:hint="eastAsia" w:eastAsia="宋体"/>
          <w:spacing w:val="8"/>
        </w:rPr>
        <w:t>27</w:t>
      </w:r>
      <w:r>
        <w:rPr>
          <w:rFonts w:hint="eastAsia" w:ascii="宋体" w:hAnsi="宋体" w:eastAsia="宋体" w:cs="宋体"/>
          <w:lang w:val="de-DE"/>
        </w:rPr>
        <w:t>至</w:t>
      </w:r>
      <w:r>
        <w:rPr>
          <w:rFonts w:hint="eastAsia" w:ascii="宋体" w:hAnsi="宋体" w:eastAsia="宋体" w:cs="宋体"/>
          <w:spacing w:val="8"/>
        </w:rPr>
        <w:t>表</w:t>
      </w:r>
      <w:r>
        <w:rPr>
          <w:rFonts w:hint="eastAsia" w:eastAsia="宋体"/>
          <w:spacing w:val="8"/>
        </w:rPr>
        <w:t>5.2-35</w:t>
      </w:r>
      <w:r>
        <w:rPr>
          <w:rFonts w:hint="eastAsia" w:ascii="宋体" w:hAnsi="宋体" w:eastAsia="宋体" w:cs="宋体"/>
          <w:lang w:val="de-DE"/>
        </w:rPr>
        <w:t>，网格浓度分布见图</w:t>
      </w:r>
      <w:r>
        <w:rPr>
          <w:rFonts w:hint="eastAsia" w:eastAsia="宋体"/>
          <w:lang w:val="de-DE"/>
        </w:rPr>
        <w:t>5</w:t>
      </w:r>
      <w:r>
        <w:rPr>
          <w:lang w:val="de-DE"/>
        </w:rPr>
        <w:t>.2-</w:t>
      </w:r>
      <w:r>
        <w:rPr>
          <w:rFonts w:hint="eastAsia" w:eastAsia="宋体"/>
          <w:lang w:val="de-DE"/>
        </w:rPr>
        <w:t>5</w:t>
      </w:r>
      <w:r>
        <w:rPr>
          <w:rFonts w:hint="eastAsia" w:ascii="宋体" w:hAnsi="宋体" w:eastAsia="宋体" w:cs="宋体"/>
          <w:lang w:val="de-DE"/>
        </w:rPr>
        <w:t>至图</w:t>
      </w:r>
      <w:r>
        <w:rPr>
          <w:rFonts w:hint="eastAsia" w:eastAsia="宋体"/>
          <w:lang w:val="de-DE"/>
        </w:rPr>
        <w:t>5</w:t>
      </w:r>
      <w:r>
        <w:rPr>
          <w:lang w:val="de-DE"/>
        </w:rPr>
        <w:t>.2-</w:t>
      </w:r>
      <w:r>
        <w:rPr>
          <w:rFonts w:hint="eastAsia" w:eastAsia="宋体"/>
          <w:lang w:val="de-DE"/>
        </w:rPr>
        <w:t>17</w:t>
      </w:r>
      <w:r>
        <w:rPr>
          <w:rFonts w:hint="eastAsia" w:ascii="宋体" w:hAnsi="宋体" w:eastAsia="宋体" w:cs="宋体"/>
          <w:lang w:val="de-DE"/>
        </w:rPr>
        <w:t>。</w:t>
      </w:r>
    </w:p>
    <w:p w14:paraId="326B1477">
      <w:pPr>
        <w:pStyle w:val="117"/>
        <w:ind w:firstLine="480"/>
        <w:sectPr>
          <w:pgSz w:w="11906" w:h="16838"/>
          <w:pgMar w:top="1440" w:right="1800" w:bottom="1440" w:left="1800" w:header="851" w:footer="850" w:gutter="0"/>
          <w:cols w:space="425" w:num="1"/>
          <w:docGrid w:type="lines" w:linePitch="326" w:charSpace="0"/>
        </w:sectPr>
      </w:pPr>
    </w:p>
    <w:p w14:paraId="50FCF22B">
      <w:pPr>
        <w:pStyle w:val="118"/>
      </w:pPr>
      <w:r>
        <w:rPr>
          <w:rFonts w:hint="eastAsia"/>
          <w:spacing w:val="8"/>
        </w:rPr>
        <w:t>表5.2-27</w:t>
      </w:r>
      <w:r>
        <w:t xml:space="preserve">  环境保护目标和预测网格</w:t>
      </w:r>
      <w:r>
        <w:rPr>
          <w:rFonts w:hint="eastAsia"/>
        </w:rPr>
        <w:t>S</w:t>
      </w:r>
      <w:r>
        <w:t>O</w:t>
      </w:r>
      <w:r>
        <w:rPr>
          <w:rFonts w:hint="eastAsia"/>
          <w:vertAlign w:val="subscript"/>
        </w:rPr>
        <w:t>2</w:t>
      </w:r>
      <w:r>
        <w:t>浓度贡献值叠加背景值</w:t>
      </w:r>
      <w:r>
        <w:rPr>
          <w:rFonts w:hint="eastAsia"/>
        </w:rPr>
        <w:t>98%</w:t>
      </w:r>
      <w:r>
        <w:t>的保证率日均值和年均浓度预测结果一览表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4B695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12E34CC4">
            <w:pPr>
              <w:pStyle w:val="133"/>
              <w:rPr>
                <w:b/>
                <w:bCs/>
              </w:rPr>
            </w:pPr>
            <w:r>
              <w:rPr>
                <w:rFonts w:hint="eastAsia"/>
                <w:b/>
                <w:bCs/>
              </w:rPr>
              <w:t>序号</w:t>
            </w:r>
          </w:p>
        </w:tc>
        <w:tc>
          <w:tcPr>
            <w:tcW w:w="993" w:type="dxa"/>
            <w:noWrap/>
            <w:vAlign w:val="center"/>
          </w:tcPr>
          <w:p w14:paraId="3504B952">
            <w:pPr>
              <w:pStyle w:val="133"/>
              <w:rPr>
                <w:b/>
                <w:bCs/>
              </w:rPr>
            </w:pPr>
            <w:r>
              <w:rPr>
                <w:rFonts w:hint="eastAsia"/>
                <w:b/>
                <w:bCs/>
              </w:rPr>
              <w:t>点名称</w:t>
            </w:r>
          </w:p>
        </w:tc>
        <w:tc>
          <w:tcPr>
            <w:tcW w:w="1275" w:type="dxa"/>
            <w:noWrap/>
            <w:vAlign w:val="center"/>
          </w:tcPr>
          <w:p w14:paraId="11464886">
            <w:pPr>
              <w:pStyle w:val="133"/>
              <w:rPr>
                <w:b/>
                <w:bCs/>
              </w:rPr>
            </w:pPr>
            <w:r>
              <w:rPr>
                <w:rFonts w:hint="eastAsia"/>
                <w:b/>
                <w:bCs/>
              </w:rPr>
              <w:t>点坐标</w:t>
            </w:r>
          </w:p>
          <w:p w14:paraId="5058E5F7">
            <w:pPr>
              <w:pStyle w:val="133"/>
              <w:rPr>
                <w:b/>
                <w:bCs/>
              </w:rPr>
            </w:pPr>
            <w:r>
              <w:rPr>
                <w:rFonts w:hint="eastAsia"/>
                <w:b/>
                <w:bCs/>
              </w:rPr>
              <w:t>（x,y）</w:t>
            </w:r>
          </w:p>
        </w:tc>
        <w:tc>
          <w:tcPr>
            <w:tcW w:w="1134" w:type="dxa"/>
            <w:noWrap/>
            <w:vAlign w:val="center"/>
          </w:tcPr>
          <w:p w14:paraId="7D7B11CA">
            <w:pPr>
              <w:pStyle w:val="133"/>
              <w:rPr>
                <w:b/>
                <w:bCs/>
              </w:rPr>
            </w:pPr>
            <w:r>
              <w:rPr>
                <w:rFonts w:hint="eastAsia"/>
                <w:b/>
                <w:bCs/>
              </w:rPr>
              <w:t>地面高程</w:t>
            </w:r>
          </w:p>
          <w:p w14:paraId="75666326">
            <w:pPr>
              <w:pStyle w:val="133"/>
              <w:rPr>
                <w:b/>
                <w:bCs/>
              </w:rPr>
            </w:pPr>
            <w:r>
              <w:rPr>
                <w:rFonts w:hint="eastAsia"/>
                <w:b/>
                <w:bCs/>
              </w:rPr>
              <w:t>（m）</w:t>
            </w:r>
          </w:p>
        </w:tc>
        <w:tc>
          <w:tcPr>
            <w:tcW w:w="851" w:type="dxa"/>
            <w:noWrap/>
            <w:vAlign w:val="center"/>
          </w:tcPr>
          <w:p w14:paraId="73F690E1">
            <w:pPr>
              <w:pStyle w:val="133"/>
              <w:rPr>
                <w:b/>
                <w:bCs/>
              </w:rPr>
            </w:pPr>
            <w:r>
              <w:rPr>
                <w:rFonts w:hint="eastAsia"/>
                <w:b/>
                <w:bCs/>
              </w:rPr>
              <w:t>浓度</w:t>
            </w:r>
          </w:p>
          <w:p w14:paraId="5520ED1E">
            <w:pPr>
              <w:pStyle w:val="133"/>
              <w:rPr>
                <w:b/>
                <w:bCs/>
              </w:rPr>
            </w:pPr>
            <w:r>
              <w:rPr>
                <w:rFonts w:hint="eastAsia"/>
                <w:b/>
                <w:bCs/>
              </w:rPr>
              <w:t>类型</w:t>
            </w:r>
          </w:p>
        </w:tc>
        <w:tc>
          <w:tcPr>
            <w:tcW w:w="1276" w:type="dxa"/>
            <w:noWrap/>
            <w:vAlign w:val="center"/>
          </w:tcPr>
          <w:p w14:paraId="6B356898">
            <w:pPr>
              <w:pStyle w:val="133"/>
              <w:rPr>
                <w:b/>
                <w:bCs/>
              </w:rPr>
            </w:pPr>
            <w:r>
              <w:rPr>
                <w:rFonts w:hint="eastAsia"/>
                <w:b/>
                <w:bCs/>
              </w:rPr>
              <w:t>浓度增量</w:t>
            </w:r>
          </w:p>
          <w:p w14:paraId="7AFA811B">
            <w:pPr>
              <w:pStyle w:val="133"/>
              <w:jc w:val="both"/>
              <w:rPr>
                <w:b/>
                <w:bCs/>
              </w:rPr>
            </w:pPr>
            <w:r>
              <w:rPr>
                <w:rFonts w:hint="eastAsia"/>
                <w:b/>
                <w:bCs/>
              </w:rPr>
              <w:t>（mg/m^3）</w:t>
            </w:r>
          </w:p>
        </w:tc>
        <w:tc>
          <w:tcPr>
            <w:tcW w:w="1984" w:type="dxa"/>
            <w:noWrap/>
            <w:vAlign w:val="center"/>
          </w:tcPr>
          <w:p w14:paraId="7737EC9B">
            <w:pPr>
              <w:pStyle w:val="133"/>
              <w:rPr>
                <w:b/>
                <w:bCs/>
              </w:rPr>
            </w:pPr>
            <w:r>
              <w:rPr>
                <w:rFonts w:hint="eastAsia"/>
                <w:b/>
                <w:bCs/>
              </w:rPr>
              <w:t>出现时间（YYMMDDHH）</w:t>
            </w:r>
          </w:p>
        </w:tc>
        <w:tc>
          <w:tcPr>
            <w:tcW w:w="1276" w:type="dxa"/>
            <w:vAlign w:val="center"/>
          </w:tcPr>
          <w:p w14:paraId="377CE3A1">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4D3571ED">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16607428">
            <w:pPr>
              <w:pStyle w:val="133"/>
              <w:rPr>
                <w:b/>
                <w:bCs/>
              </w:rPr>
            </w:pPr>
            <w:r>
              <w:rPr>
                <w:rFonts w:hint="eastAsia"/>
                <w:b/>
                <w:bCs/>
              </w:rPr>
              <w:t>评价标准（mg/m^3）</w:t>
            </w:r>
          </w:p>
        </w:tc>
        <w:tc>
          <w:tcPr>
            <w:tcW w:w="992" w:type="dxa"/>
            <w:noWrap/>
            <w:vAlign w:val="center"/>
          </w:tcPr>
          <w:p w14:paraId="0D54DAF5">
            <w:pPr>
              <w:pStyle w:val="133"/>
              <w:rPr>
                <w:b/>
                <w:bCs/>
              </w:rPr>
            </w:pPr>
            <w:r>
              <w:rPr>
                <w:rFonts w:hint="eastAsia"/>
                <w:b/>
                <w:bCs/>
              </w:rPr>
              <w:t>占标率</w:t>
            </w:r>
          </w:p>
          <w:p w14:paraId="0B6093DE">
            <w:pPr>
              <w:pStyle w:val="133"/>
              <w:rPr>
                <w:b/>
                <w:bCs/>
              </w:rPr>
            </w:pPr>
            <w:r>
              <w:rPr>
                <w:rFonts w:hint="eastAsia"/>
                <w:b/>
                <w:bCs/>
              </w:rPr>
              <w:t>%</w:t>
            </w:r>
          </w:p>
        </w:tc>
        <w:tc>
          <w:tcPr>
            <w:tcW w:w="902" w:type="dxa"/>
            <w:noWrap/>
            <w:vAlign w:val="center"/>
          </w:tcPr>
          <w:p w14:paraId="13155B3B">
            <w:pPr>
              <w:pStyle w:val="133"/>
              <w:rPr>
                <w:b/>
                <w:bCs/>
              </w:rPr>
            </w:pPr>
            <w:r>
              <w:rPr>
                <w:rFonts w:hint="eastAsia"/>
                <w:b/>
                <w:bCs/>
              </w:rPr>
              <w:t>是否</w:t>
            </w:r>
          </w:p>
          <w:p w14:paraId="3559A706">
            <w:pPr>
              <w:pStyle w:val="133"/>
              <w:rPr>
                <w:b/>
                <w:bCs/>
              </w:rPr>
            </w:pPr>
            <w:r>
              <w:rPr>
                <w:rFonts w:hint="eastAsia"/>
                <w:b/>
                <w:bCs/>
              </w:rPr>
              <w:t>超标</w:t>
            </w:r>
          </w:p>
        </w:tc>
      </w:tr>
      <w:tr w14:paraId="71550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restart"/>
            <w:noWrap/>
            <w:vAlign w:val="center"/>
          </w:tcPr>
          <w:p w14:paraId="23C8CCAF">
            <w:pPr>
              <w:pStyle w:val="133"/>
            </w:pPr>
            <w:r>
              <w:rPr>
                <w:rFonts w:hint="eastAsia"/>
              </w:rPr>
              <w:t>1</w:t>
            </w:r>
          </w:p>
        </w:tc>
        <w:tc>
          <w:tcPr>
            <w:tcW w:w="993" w:type="dxa"/>
            <w:vMerge w:val="restart"/>
            <w:noWrap/>
            <w:vAlign w:val="center"/>
          </w:tcPr>
          <w:p w14:paraId="696118A2">
            <w:pPr>
              <w:pStyle w:val="133"/>
            </w:pPr>
            <w:r>
              <w:rPr>
                <w:rFonts w:hint="eastAsia"/>
              </w:rPr>
              <w:t>网格</w:t>
            </w:r>
          </w:p>
        </w:tc>
        <w:tc>
          <w:tcPr>
            <w:tcW w:w="1275" w:type="dxa"/>
            <w:noWrap/>
            <w:vAlign w:val="center"/>
          </w:tcPr>
          <w:p w14:paraId="4CFAEE7F">
            <w:pPr>
              <w:pStyle w:val="133"/>
              <w:rPr>
                <w:rFonts w:cs="Times New Roman"/>
              </w:rPr>
            </w:pPr>
            <w:r>
              <w:t>-</w:t>
            </w:r>
            <w:r>
              <w:rPr>
                <w:rFonts w:hint="eastAsia"/>
              </w:rPr>
              <w:t>8</w:t>
            </w:r>
            <w:r>
              <w:t>00</w:t>
            </w:r>
            <w:r>
              <w:rPr>
                <w:rFonts w:hint="eastAsia"/>
              </w:rPr>
              <w:t>,-100</w:t>
            </w:r>
          </w:p>
        </w:tc>
        <w:tc>
          <w:tcPr>
            <w:tcW w:w="1134" w:type="dxa"/>
            <w:noWrap/>
            <w:vAlign w:val="center"/>
          </w:tcPr>
          <w:p w14:paraId="519C4A57">
            <w:pPr>
              <w:pStyle w:val="133"/>
            </w:pPr>
            <w:r>
              <w:rPr>
                <w:rFonts w:hint="eastAsia"/>
              </w:rPr>
              <w:t>694.40</w:t>
            </w:r>
          </w:p>
        </w:tc>
        <w:tc>
          <w:tcPr>
            <w:tcW w:w="851" w:type="dxa"/>
            <w:noWrap/>
            <w:vAlign w:val="center"/>
          </w:tcPr>
          <w:p w14:paraId="73DCBB07">
            <w:pPr>
              <w:pStyle w:val="133"/>
            </w:pPr>
            <w:r>
              <w:rPr>
                <w:rFonts w:hint="eastAsia"/>
              </w:rPr>
              <w:t>日平均</w:t>
            </w:r>
          </w:p>
        </w:tc>
        <w:tc>
          <w:tcPr>
            <w:tcW w:w="1276" w:type="dxa"/>
            <w:noWrap/>
          </w:tcPr>
          <w:p w14:paraId="75FFEA0F">
            <w:pPr>
              <w:pStyle w:val="133"/>
            </w:pPr>
            <w:r>
              <w:rPr>
                <w:rFonts w:hint="eastAsia"/>
              </w:rPr>
              <w:t>0.03283</w:t>
            </w:r>
          </w:p>
        </w:tc>
        <w:tc>
          <w:tcPr>
            <w:tcW w:w="1984" w:type="dxa"/>
            <w:noWrap/>
          </w:tcPr>
          <w:p w14:paraId="75C33EA7">
            <w:pPr>
              <w:pStyle w:val="133"/>
            </w:pPr>
            <w:r>
              <w:rPr>
                <w:rFonts w:hint="eastAsia"/>
              </w:rPr>
              <w:t>231225</w:t>
            </w:r>
          </w:p>
        </w:tc>
        <w:tc>
          <w:tcPr>
            <w:tcW w:w="1276" w:type="dxa"/>
          </w:tcPr>
          <w:p w14:paraId="5E477A96">
            <w:pPr>
              <w:pStyle w:val="133"/>
            </w:pPr>
            <w:r>
              <w:rPr>
                <w:rFonts w:hint="eastAsia"/>
              </w:rPr>
              <w:t>0.008</w:t>
            </w:r>
          </w:p>
        </w:tc>
        <w:tc>
          <w:tcPr>
            <w:tcW w:w="1276" w:type="dxa"/>
          </w:tcPr>
          <w:p w14:paraId="7736B850">
            <w:pPr>
              <w:pStyle w:val="133"/>
            </w:pPr>
            <w:r>
              <w:rPr>
                <w:rFonts w:hint="eastAsia"/>
              </w:rPr>
              <w:t>0.04083</w:t>
            </w:r>
          </w:p>
        </w:tc>
        <w:tc>
          <w:tcPr>
            <w:tcW w:w="1417" w:type="dxa"/>
            <w:noWrap/>
          </w:tcPr>
          <w:p w14:paraId="0949BD84">
            <w:pPr>
              <w:pStyle w:val="133"/>
            </w:pPr>
            <w:r>
              <w:rPr>
                <w:rFonts w:hint="eastAsia"/>
              </w:rPr>
              <w:t>0.15</w:t>
            </w:r>
          </w:p>
        </w:tc>
        <w:tc>
          <w:tcPr>
            <w:tcW w:w="992" w:type="dxa"/>
            <w:noWrap/>
          </w:tcPr>
          <w:p w14:paraId="6CF82C85">
            <w:pPr>
              <w:pStyle w:val="133"/>
            </w:pPr>
            <w:r>
              <w:rPr>
                <w:rFonts w:hint="eastAsia"/>
              </w:rPr>
              <w:t>27.22</w:t>
            </w:r>
          </w:p>
        </w:tc>
        <w:tc>
          <w:tcPr>
            <w:tcW w:w="902" w:type="dxa"/>
            <w:noWrap/>
          </w:tcPr>
          <w:p w14:paraId="07D0D3AB">
            <w:pPr>
              <w:pStyle w:val="133"/>
            </w:pPr>
            <w:r>
              <w:rPr>
                <w:rFonts w:hint="eastAsia"/>
              </w:rPr>
              <w:t>达标</w:t>
            </w:r>
          </w:p>
        </w:tc>
      </w:tr>
      <w:tr w14:paraId="7D729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continue"/>
            <w:noWrap/>
            <w:vAlign w:val="center"/>
          </w:tcPr>
          <w:p w14:paraId="665D7763">
            <w:pPr>
              <w:pStyle w:val="133"/>
            </w:pPr>
          </w:p>
        </w:tc>
        <w:tc>
          <w:tcPr>
            <w:tcW w:w="993" w:type="dxa"/>
            <w:vMerge w:val="continue"/>
            <w:noWrap/>
            <w:vAlign w:val="center"/>
          </w:tcPr>
          <w:p w14:paraId="2AB9FE49">
            <w:pPr>
              <w:pStyle w:val="133"/>
              <w:rPr>
                <w:rFonts w:eastAsia="Times New Roman"/>
                <w:sz w:val="20"/>
                <w:szCs w:val="20"/>
              </w:rPr>
            </w:pPr>
          </w:p>
        </w:tc>
        <w:tc>
          <w:tcPr>
            <w:tcW w:w="1275" w:type="dxa"/>
            <w:noWrap/>
            <w:vAlign w:val="center"/>
          </w:tcPr>
          <w:p w14:paraId="3C5D10E2">
            <w:pPr>
              <w:pStyle w:val="133"/>
              <w:rPr>
                <w:rFonts w:cs="Times New Roman"/>
              </w:rPr>
            </w:pPr>
            <w:r>
              <w:rPr>
                <w:rFonts w:hint="eastAsia"/>
              </w:rPr>
              <w:t>-8</w:t>
            </w:r>
            <w:r>
              <w:t>00</w:t>
            </w:r>
            <w:r>
              <w:rPr>
                <w:rFonts w:hint="eastAsia"/>
              </w:rPr>
              <w:t>,</w:t>
            </w:r>
            <w:r>
              <w:t>-200</w:t>
            </w:r>
          </w:p>
        </w:tc>
        <w:tc>
          <w:tcPr>
            <w:tcW w:w="1134" w:type="dxa"/>
            <w:noWrap/>
            <w:vAlign w:val="center"/>
          </w:tcPr>
          <w:p w14:paraId="595D8A30">
            <w:pPr>
              <w:pStyle w:val="133"/>
            </w:pPr>
            <w:r>
              <w:rPr>
                <w:rFonts w:hint="eastAsia"/>
              </w:rPr>
              <w:t>693.50</w:t>
            </w:r>
          </w:p>
        </w:tc>
        <w:tc>
          <w:tcPr>
            <w:tcW w:w="851" w:type="dxa"/>
            <w:noWrap/>
            <w:vAlign w:val="center"/>
          </w:tcPr>
          <w:p w14:paraId="748B3657">
            <w:pPr>
              <w:pStyle w:val="133"/>
            </w:pPr>
            <w:r>
              <w:rPr>
                <w:rFonts w:hint="eastAsia"/>
              </w:rPr>
              <w:t>年平均</w:t>
            </w:r>
          </w:p>
        </w:tc>
        <w:tc>
          <w:tcPr>
            <w:tcW w:w="1276" w:type="dxa"/>
            <w:noWrap/>
          </w:tcPr>
          <w:p w14:paraId="1BB09ED2">
            <w:pPr>
              <w:pStyle w:val="133"/>
            </w:pPr>
            <w:r>
              <w:rPr>
                <w:rFonts w:hint="eastAsia"/>
              </w:rPr>
              <w:t>0.011837</w:t>
            </w:r>
          </w:p>
        </w:tc>
        <w:tc>
          <w:tcPr>
            <w:tcW w:w="1984" w:type="dxa"/>
            <w:noWrap/>
          </w:tcPr>
          <w:p w14:paraId="61C99177">
            <w:pPr>
              <w:pStyle w:val="133"/>
            </w:pPr>
            <w:r>
              <w:rPr>
                <w:rFonts w:hint="eastAsia"/>
              </w:rPr>
              <w:t>平均值</w:t>
            </w:r>
          </w:p>
        </w:tc>
        <w:tc>
          <w:tcPr>
            <w:tcW w:w="1276" w:type="dxa"/>
          </w:tcPr>
          <w:p w14:paraId="0CDE5E65">
            <w:pPr>
              <w:pStyle w:val="133"/>
            </w:pPr>
            <w:r>
              <w:rPr>
                <w:rFonts w:hint="eastAsia"/>
              </w:rPr>
              <w:t>0.005718</w:t>
            </w:r>
          </w:p>
        </w:tc>
        <w:tc>
          <w:tcPr>
            <w:tcW w:w="1276" w:type="dxa"/>
          </w:tcPr>
          <w:p w14:paraId="49D80C34">
            <w:pPr>
              <w:pStyle w:val="133"/>
            </w:pPr>
            <w:r>
              <w:rPr>
                <w:rFonts w:hint="eastAsia"/>
              </w:rPr>
              <w:t>0.017555</w:t>
            </w:r>
          </w:p>
        </w:tc>
        <w:tc>
          <w:tcPr>
            <w:tcW w:w="1417" w:type="dxa"/>
            <w:noWrap/>
          </w:tcPr>
          <w:p w14:paraId="0058F39F">
            <w:pPr>
              <w:pStyle w:val="133"/>
            </w:pPr>
            <w:r>
              <w:rPr>
                <w:rFonts w:hint="eastAsia"/>
              </w:rPr>
              <w:t>0.06</w:t>
            </w:r>
          </w:p>
        </w:tc>
        <w:tc>
          <w:tcPr>
            <w:tcW w:w="992" w:type="dxa"/>
            <w:noWrap/>
          </w:tcPr>
          <w:p w14:paraId="6F86CE3C">
            <w:pPr>
              <w:pStyle w:val="133"/>
            </w:pPr>
            <w:r>
              <w:rPr>
                <w:rFonts w:hint="eastAsia"/>
              </w:rPr>
              <w:t>29.26</w:t>
            </w:r>
          </w:p>
        </w:tc>
        <w:tc>
          <w:tcPr>
            <w:tcW w:w="902" w:type="dxa"/>
            <w:noWrap/>
          </w:tcPr>
          <w:p w14:paraId="21A2CBD6">
            <w:pPr>
              <w:pStyle w:val="133"/>
            </w:pPr>
            <w:r>
              <w:rPr>
                <w:rFonts w:hint="eastAsia"/>
              </w:rPr>
              <w:t>达标</w:t>
            </w:r>
          </w:p>
        </w:tc>
      </w:tr>
    </w:tbl>
    <w:p w14:paraId="2F5DD1F6">
      <w:pPr>
        <w:pStyle w:val="133"/>
      </w:pPr>
    </w:p>
    <w:p w14:paraId="3D4CA482">
      <w:pPr>
        <w:pStyle w:val="118"/>
      </w:pPr>
      <w:r>
        <w:rPr>
          <w:rFonts w:hint="eastAsia"/>
          <w:spacing w:val="8"/>
        </w:rPr>
        <w:t>表5.2-28</w:t>
      </w:r>
      <w:r>
        <w:t xml:space="preserve">  环境保护目标和预测网格</w:t>
      </w:r>
      <w:r>
        <w:rPr>
          <w:rFonts w:hint="eastAsia"/>
        </w:rPr>
        <w:t>N</w:t>
      </w:r>
      <w:r>
        <w:t>O</w:t>
      </w:r>
      <w:r>
        <w:rPr>
          <w:rFonts w:hint="eastAsia"/>
          <w:vertAlign w:val="subscript"/>
        </w:rPr>
        <w:t>2</w:t>
      </w:r>
      <w:r>
        <w:t>浓度贡献值叠加背景值</w:t>
      </w:r>
      <w:r>
        <w:rPr>
          <w:rFonts w:hint="eastAsia"/>
        </w:rPr>
        <w:t>98%</w:t>
      </w:r>
      <w:r>
        <w:t>的保证率日均值和年均浓度预测结果一览表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18486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404FD669">
            <w:pPr>
              <w:pStyle w:val="133"/>
              <w:rPr>
                <w:b/>
                <w:bCs/>
              </w:rPr>
            </w:pPr>
            <w:r>
              <w:rPr>
                <w:rFonts w:hint="eastAsia"/>
                <w:b/>
                <w:bCs/>
              </w:rPr>
              <w:t>序号</w:t>
            </w:r>
          </w:p>
        </w:tc>
        <w:tc>
          <w:tcPr>
            <w:tcW w:w="993" w:type="dxa"/>
            <w:noWrap/>
            <w:vAlign w:val="center"/>
          </w:tcPr>
          <w:p w14:paraId="51E1430D">
            <w:pPr>
              <w:pStyle w:val="133"/>
              <w:rPr>
                <w:b/>
                <w:bCs/>
              </w:rPr>
            </w:pPr>
            <w:r>
              <w:rPr>
                <w:rFonts w:hint="eastAsia"/>
                <w:b/>
                <w:bCs/>
              </w:rPr>
              <w:t>点名称</w:t>
            </w:r>
          </w:p>
        </w:tc>
        <w:tc>
          <w:tcPr>
            <w:tcW w:w="1275" w:type="dxa"/>
            <w:noWrap/>
            <w:vAlign w:val="center"/>
          </w:tcPr>
          <w:p w14:paraId="49D61972">
            <w:pPr>
              <w:pStyle w:val="133"/>
              <w:rPr>
                <w:b/>
                <w:bCs/>
              </w:rPr>
            </w:pPr>
            <w:r>
              <w:rPr>
                <w:rFonts w:hint="eastAsia"/>
                <w:b/>
                <w:bCs/>
              </w:rPr>
              <w:t>点坐标</w:t>
            </w:r>
          </w:p>
          <w:p w14:paraId="359B0E72">
            <w:pPr>
              <w:pStyle w:val="133"/>
              <w:rPr>
                <w:b/>
                <w:bCs/>
              </w:rPr>
            </w:pPr>
            <w:r>
              <w:rPr>
                <w:rFonts w:hint="eastAsia"/>
                <w:b/>
                <w:bCs/>
              </w:rPr>
              <w:t>（x,y）</w:t>
            </w:r>
          </w:p>
        </w:tc>
        <w:tc>
          <w:tcPr>
            <w:tcW w:w="1134" w:type="dxa"/>
            <w:noWrap/>
            <w:vAlign w:val="center"/>
          </w:tcPr>
          <w:p w14:paraId="1885F1B3">
            <w:pPr>
              <w:pStyle w:val="133"/>
              <w:rPr>
                <w:b/>
                <w:bCs/>
              </w:rPr>
            </w:pPr>
            <w:r>
              <w:rPr>
                <w:rFonts w:hint="eastAsia"/>
                <w:b/>
                <w:bCs/>
              </w:rPr>
              <w:t>地面高程</w:t>
            </w:r>
          </w:p>
          <w:p w14:paraId="6596220A">
            <w:pPr>
              <w:pStyle w:val="133"/>
              <w:rPr>
                <w:b/>
                <w:bCs/>
              </w:rPr>
            </w:pPr>
            <w:r>
              <w:rPr>
                <w:rFonts w:hint="eastAsia"/>
                <w:b/>
                <w:bCs/>
              </w:rPr>
              <w:t>（m）</w:t>
            </w:r>
          </w:p>
        </w:tc>
        <w:tc>
          <w:tcPr>
            <w:tcW w:w="851" w:type="dxa"/>
            <w:noWrap/>
            <w:vAlign w:val="center"/>
          </w:tcPr>
          <w:p w14:paraId="4BA4B472">
            <w:pPr>
              <w:pStyle w:val="133"/>
              <w:rPr>
                <w:b/>
                <w:bCs/>
              </w:rPr>
            </w:pPr>
            <w:r>
              <w:rPr>
                <w:rFonts w:hint="eastAsia"/>
                <w:b/>
                <w:bCs/>
              </w:rPr>
              <w:t>浓度</w:t>
            </w:r>
          </w:p>
          <w:p w14:paraId="08AB58F4">
            <w:pPr>
              <w:pStyle w:val="133"/>
              <w:rPr>
                <w:b/>
                <w:bCs/>
              </w:rPr>
            </w:pPr>
            <w:r>
              <w:rPr>
                <w:rFonts w:hint="eastAsia"/>
                <w:b/>
                <w:bCs/>
              </w:rPr>
              <w:t>类型</w:t>
            </w:r>
          </w:p>
        </w:tc>
        <w:tc>
          <w:tcPr>
            <w:tcW w:w="1276" w:type="dxa"/>
            <w:noWrap/>
            <w:vAlign w:val="center"/>
          </w:tcPr>
          <w:p w14:paraId="30802C75">
            <w:pPr>
              <w:pStyle w:val="133"/>
              <w:rPr>
                <w:b/>
                <w:bCs/>
              </w:rPr>
            </w:pPr>
            <w:r>
              <w:rPr>
                <w:rFonts w:hint="eastAsia"/>
                <w:b/>
                <w:bCs/>
              </w:rPr>
              <w:t>浓度增量</w:t>
            </w:r>
          </w:p>
          <w:p w14:paraId="4036579A">
            <w:pPr>
              <w:pStyle w:val="133"/>
              <w:jc w:val="both"/>
              <w:rPr>
                <w:b/>
                <w:bCs/>
              </w:rPr>
            </w:pPr>
            <w:r>
              <w:rPr>
                <w:rFonts w:hint="eastAsia"/>
                <w:b/>
                <w:bCs/>
              </w:rPr>
              <w:t>（mg/m^3）</w:t>
            </w:r>
          </w:p>
        </w:tc>
        <w:tc>
          <w:tcPr>
            <w:tcW w:w="1984" w:type="dxa"/>
            <w:noWrap/>
            <w:vAlign w:val="center"/>
          </w:tcPr>
          <w:p w14:paraId="7FCB7347">
            <w:pPr>
              <w:pStyle w:val="133"/>
              <w:rPr>
                <w:b/>
                <w:bCs/>
              </w:rPr>
            </w:pPr>
            <w:r>
              <w:rPr>
                <w:rFonts w:hint="eastAsia"/>
                <w:b/>
                <w:bCs/>
              </w:rPr>
              <w:t>出现时间（YYMMDDHH）</w:t>
            </w:r>
          </w:p>
        </w:tc>
        <w:tc>
          <w:tcPr>
            <w:tcW w:w="1276" w:type="dxa"/>
            <w:vAlign w:val="center"/>
          </w:tcPr>
          <w:p w14:paraId="3B125DCF">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4AA5A125">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4F23E534">
            <w:pPr>
              <w:pStyle w:val="133"/>
              <w:rPr>
                <w:b/>
                <w:bCs/>
              </w:rPr>
            </w:pPr>
            <w:r>
              <w:rPr>
                <w:rFonts w:hint="eastAsia"/>
                <w:b/>
                <w:bCs/>
              </w:rPr>
              <w:t>评价标准（mg/m^3）</w:t>
            </w:r>
          </w:p>
        </w:tc>
        <w:tc>
          <w:tcPr>
            <w:tcW w:w="992" w:type="dxa"/>
            <w:noWrap/>
            <w:vAlign w:val="center"/>
          </w:tcPr>
          <w:p w14:paraId="2F1CD0C9">
            <w:pPr>
              <w:pStyle w:val="133"/>
              <w:rPr>
                <w:b/>
                <w:bCs/>
              </w:rPr>
            </w:pPr>
            <w:r>
              <w:rPr>
                <w:rFonts w:hint="eastAsia"/>
                <w:b/>
                <w:bCs/>
              </w:rPr>
              <w:t>占标率</w:t>
            </w:r>
          </w:p>
          <w:p w14:paraId="7F828123">
            <w:pPr>
              <w:pStyle w:val="133"/>
              <w:rPr>
                <w:b/>
                <w:bCs/>
              </w:rPr>
            </w:pPr>
            <w:r>
              <w:rPr>
                <w:rFonts w:hint="eastAsia"/>
                <w:b/>
                <w:bCs/>
              </w:rPr>
              <w:t>%</w:t>
            </w:r>
          </w:p>
        </w:tc>
        <w:tc>
          <w:tcPr>
            <w:tcW w:w="902" w:type="dxa"/>
            <w:noWrap/>
            <w:vAlign w:val="center"/>
          </w:tcPr>
          <w:p w14:paraId="4CA11EEA">
            <w:pPr>
              <w:pStyle w:val="133"/>
              <w:rPr>
                <w:b/>
                <w:bCs/>
              </w:rPr>
            </w:pPr>
            <w:r>
              <w:rPr>
                <w:rFonts w:hint="eastAsia"/>
                <w:b/>
                <w:bCs/>
              </w:rPr>
              <w:t>是否</w:t>
            </w:r>
          </w:p>
          <w:p w14:paraId="5C2BD2F2">
            <w:pPr>
              <w:pStyle w:val="133"/>
              <w:rPr>
                <w:b/>
                <w:bCs/>
              </w:rPr>
            </w:pPr>
            <w:r>
              <w:rPr>
                <w:rFonts w:hint="eastAsia"/>
                <w:b/>
                <w:bCs/>
              </w:rPr>
              <w:t>超标</w:t>
            </w:r>
          </w:p>
        </w:tc>
      </w:tr>
      <w:tr w14:paraId="41132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restart"/>
            <w:noWrap/>
            <w:vAlign w:val="center"/>
          </w:tcPr>
          <w:p w14:paraId="2C065131">
            <w:pPr>
              <w:pStyle w:val="133"/>
            </w:pPr>
            <w:r>
              <w:rPr>
                <w:rFonts w:hint="eastAsia"/>
              </w:rPr>
              <w:t>1</w:t>
            </w:r>
          </w:p>
        </w:tc>
        <w:tc>
          <w:tcPr>
            <w:tcW w:w="993" w:type="dxa"/>
            <w:vMerge w:val="restart"/>
            <w:noWrap/>
            <w:vAlign w:val="center"/>
          </w:tcPr>
          <w:p w14:paraId="09659D85">
            <w:pPr>
              <w:pStyle w:val="133"/>
            </w:pPr>
            <w:r>
              <w:rPr>
                <w:rFonts w:hint="eastAsia"/>
              </w:rPr>
              <w:t>网格</w:t>
            </w:r>
          </w:p>
        </w:tc>
        <w:tc>
          <w:tcPr>
            <w:tcW w:w="1275" w:type="dxa"/>
            <w:noWrap/>
            <w:vAlign w:val="center"/>
          </w:tcPr>
          <w:p w14:paraId="1A58AD31">
            <w:pPr>
              <w:pStyle w:val="133"/>
              <w:rPr>
                <w:rFonts w:cs="Times New Roman"/>
              </w:rPr>
            </w:pPr>
            <w:r>
              <w:rPr>
                <w:rFonts w:hint="eastAsia"/>
              </w:rPr>
              <w:t>1</w:t>
            </w:r>
            <w:r>
              <w:t>00</w:t>
            </w:r>
            <w:r>
              <w:rPr>
                <w:rFonts w:hint="eastAsia"/>
              </w:rPr>
              <w:t>,-200</w:t>
            </w:r>
          </w:p>
        </w:tc>
        <w:tc>
          <w:tcPr>
            <w:tcW w:w="1134" w:type="dxa"/>
            <w:noWrap/>
            <w:vAlign w:val="center"/>
          </w:tcPr>
          <w:p w14:paraId="56F8FB47">
            <w:pPr>
              <w:pStyle w:val="133"/>
            </w:pPr>
            <w:r>
              <w:rPr>
                <w:rFonts w:hint="eastAsia"/>
              </w:rPr>
              <w:t>693.40</w:t>
            </w:r>
          </w:p>
        </w:tc>
        <w:tc>
          <w:tcPr>
            <w:tcW w:w="851" w:type="dxa"/>
            <w:noWrap/>
            <w:vAlign w:val="center"/>
          </w:tcPr>
          <w:p w14:paraId="28CCC1C3">
            <w:pPr>
              <w:pStyle w:val="133"/>
            </w:pPr>
            <w:r>
              <w:rPr>
                <w:rFonts w:hint="eastAsia"/>
              </w:rPr>
              <w:t>日平均</w:t>
            </w:r>
          </w:p>
        </w:tc>
        <w:tc>
          <w:tcPr>
            <w:tcW w:w="1276" w:type="dxa"/>
            <w:noWrap/>
          </w:tcPr>
          <w:p w14:paraId="5232300D">
            <w:pPr>
              <w:pStyle w:val="133"/>
            </w:pPr>
            <w:r>
              <w:rPr>
                <w:rFonts w:hint="eastAsia"/>
              </w:rPr>
              <w:t>0.002353</w:t>
            </w:r>
          </w:p>
        </w:tc>
        <w:tc>
          <w:tcPr>
            <w:tcW w:w="1984" w:type="dxa"/>
            <w:noWrap/>
          </w:tcPr>
          <w:p w14:paraId="6A6A573C">
            <w:pPr>
              <w:pStyle w:val="133"/>
            </w:pPr>
            <w:r>
              <w:rPr>
                <w:rFonts w:hint="eastAsia"/>
              </w:rPr>
              <w:t>230103</w:t>
            </w:r>
          </w:p>
        </w:tc>
        <w:tc>
          <w:tcPr>
            <w:tcW w:w="1276" w:type="dxa"/>
          </w:tcPr>
          <w:p w14:paraId="0CA183F3">
            <w:pPr>
              <w:pStyle w:val="133"/>
            </w:pPr>
            <w:r>
              <w:rPr>
                <w:rFonts w:hint="eastAsia"/>
              </w:rPr>
              <w:t>0.052</w:t>
            </w:r>
          </w:p>
        </w:tc>
        <w:tc>
          <w:tcPr>
            <w:tcW w:w="1276" w:type="dxa"/>
          </w:tcPr>
          <w:p w14:paraId="2B4FAB04">
            <w:pPr>
              <w:pStyle w:val="133"/>
            </w:pPr>
            <w:r>
              <w:rPr>
                <w:rFonts w:hint="eastAsia"/>
              </w:rPr>
              <w:t>0.054353</w:t>
            </w:r>
          </w:p>
        </w:tc>
        <w:tc>
          <w:tcPr>
            <w:tcW w:w="1417" w:type="dxa"/>
            <w:noWrap/>
          </w:tcPr>
          <w:p w14:paraId="2A607299">
            <w:pPr>
              <w:pStyle w:val="133"/>
            </w:pPr>
            <w:r>
              <w:rPr>
                <w:rFonts w:hint="eastAsia"/>
              </w:rPr>
              <w:t>0.08</w:t>
            </w:r>
          </w:p>
        </w:tc>
        <w:tc>
          <w:tcPr>
            <w:tcW w:w="992" w:type="dxa"/>
            <w:noWrap/>
          </w:tcPr>
          <w:p w14:paraId="51192F9F">
            <w:pPr>
              <w:pStyle w:val="133"/>
            </w:pPr>
            <w:r>
              <w:rPr>
                <w:rFonts w:hint="eastAsia"/>
              </w:rPr>
              <w:t>67.94</w:t>
            </w:r>
          </w:p>
        </w:tc>
        <w:tc>
          <w:tcPr>
            <w:tcW w:w="902" w:type="dxa"/>
            <w:noWrap/>
          </w:tcPr>
          <w:p w14:paraId="4E44D102">
            <w:pPr>
              <w:pStyle w:val="133"/>
            </w:pPr>
            <w:r>
              <w:rPr>
                <w:rFonts w:hint="eastAsia"/>
              </w:rPr>
              <w:t>达标</w:t>
            </w:r>
          </w:p>
        </w:tc>
      </w:tr>
      <w:tr w14:paraId="5E0AF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continue"/>
            <w:noWrap/>
            <w:vAlign w:val="center"/>
          </w:tcPr>
          <w:p w14:paraId="17240DD9">
            <w:pPr>
              <w:pStyle w:val="133"/>
            </w:pPr>
          </w:p>
        </w:tc>
        <w:tc>
          <w:tcPr>
            <w:tcW w:w="993" w:type="dxa"/>
            <w:vMerge w:val="continue"/>
            <w:noWrap/>
            <w:vAlign w:val="center"/>
          </w:tcPr>
          <w:p w14:paraId="5D33EB03">
            <w:pPr>
              <w:pStyle w:val="133"/>
              <w:rPr>
                <w:rFonts w:eastAsia="Times New Roman"/>
                <w:sz w:val="20"/>
                <w:szCs w:val="20"/>
              </w:rPr>
            </w:pPr>
          </w:p>
        </w:tc>
        <w:tc>
          <w:tcPr>
            <w:tcW w:w="1275" w:type="dxa"/>
            <w:noWrap/>
            <w:vAlign w:val="center"/>
          </w:tcPr>
          <w:p w14:paraId="2BCBC03C">
            <w:pPr>
              <w:pStyle w:val="133"/>
              <w:rPr>
                <w:rFonts w:cs="Times New Roman"/>
              </w:rPr>
            </w:pPr>
            <w:r>
              <w:rPr>
                <w:rFonts w:hint="eastAsia"/>
              </w:rPr>
              <w:t>-2</w:t>
            </w:r>
            <w:r>
              <w:t>00</w:t>
            </w:r>
            <w:r>
              <w:rPr>
                <w:rFonts w:hint="eastAsia"/>
              </w:rPr>
              <w:t>,3</w:t>
            </w:r>
            <w:r>
              <w:t>00</w:t>
            </w:r>
          </w:p>
        </w:tc>
        <w:tc>
          <w:tcPr>
            <w:tcW w:w="1134" w:type="dxa"/>
            <w:noWrap/>
            <w:vAlign w:val="center"/>
          </w:tcPr>
          <w:p w14:paraId="429A9816">
            <w:pPr>
              <w:pStyle w:val="133"/>
            </w:pPr>
            <w:r>
              <w:rPr>
                <w:rFonts w:hint="eastAsia"/>
              </w:rPr>
              <w:t>695.50</w:t>
            </w:r>
          </w:p>
        </w:tc>
        <w:tc>
          <w:tcPr>
            <w:tcW w:w="851" w:type="dxa"/>
            <w:noWrap/>
            <w:vAlign w:val="center"/>
          </w:tcPr>
          <w:p w14:paraId="3FC9591C">
            <w:pPr>
              <w:pStyle w:val="133"/>
            </w:pPr>
            <w:r>
              <w:rPr>
                <w:rFonts w:hint="eastAsia"/>
              </w:rPr>
              <w:t>年平均</w:t>
            </w:r>
          </w:p>
        </w:tc>
        <w:tc>
          <w:tcPr>
            <w:tcW w:w="1276" w:type="dxa"/>
            <w:noWrap/>
          </w:tcPr>
          <w:p w14:paraId="2A6C6E33">
            <w:pPr>
              <w:pStyle w:val="133"/>
            </w:pPr>
            <w:r>
              <w:rPr>
                <w:rFonts w:hint="eastAsia"/>
              </w:rPr>
              <w:t>0.005457</w:t>
            </w:r>
          </w:p>
        </w:tc>
        <w:tc>
          <w:tcPr>
            <w:tcW w:w="1984" w:type="dxa"/>
            <w:noWrap/>
          </w:tcPr>
          <w:p w14:paraId="1CCC6B01">
            <w:pPr>
              <w:pStyle w:val="133"/>
            </w:pPr>
            <w:r>
              <w:rPr>
                <w:rFonts w:hint="eastAsia"/>
              </w:rPr>
              <w:t>平均值</w:t>
            </w:r>
          </w:p>
        </w:tc>
        <w:tc>
          <w:tcPr>
            <w:tcW w:w="1276" w:type="dxa"/>
          </w:tcPr>
          <w:p w14:paraId="6931BBFC">
            <w:pPr>
              <w:pStyle w:val="133"/>
            </w:pPr>
            <w:r>
              <w:rPr>
                <w:rFonts w:hint="eastAsia"/>
              </w:rPr>
              <w:t>0.026784</w:t>
            </w:r>
          </w:p>
        </w:tc>
        <w:tc>
          <w:tcPr>
            <w:tcW w:w="1276" w:type="dxa"/>
          </w:tcPr>
          <w:p w14:paraId="34059C59">
            <w:pPr>
              <w:pStyle w:val="133"/>
            </w:pPr>
            <w:r>
              <w:rPr>
                <w:rFonts w:hint="eastAsia"/>
              </w:rPr>
              <w:t>0.032241</w:t>
            </w:r>
          </w:p>
        </w:tc>
        <w:tc>
          <w:tcPr>
            <w:tcW w:w="1417" w:type="dxa"/>
            <w:noWrap/>
          </w:tcPr>
          <w:p w14:paraId="564BC817">
            <w:pPr>
              <w:pStyle w:val="133"/>
            </w:pPr>
            <w:r>
              <w:rPr>
                <w:rFonts w:hint="eastAsia"/>
              </w:rPr>
              <w:t>0.04</w:t>
            </w:r>
          </w:p>
        </w:tc>
        <w:tc>
          <w:tcPr>
            <w:tcW w:w="992" w:type="dxa"/>
            <w:noWrap/>
          </w:tcPr>
          <w:p w14:paraId="3447F851">
            <w:pPr>
              <w:pStyle w:val="133"/>
            </w:pPr>
            <w:r>
              <w:rPr>
                <w:rFonts w:hint="eastAsia"/>
              </w:rPr>
              <w:t>80.60</w:t>
            </w:r>
          </w:p>
        </w:tc>
        <w:tc>
          <w:tcPr>
            <w:tcW w:w="902" w:type="dxa"/>
            <w:noWrap/>
          </w:tcPr>
          <w:p w14:paraId="480E0CB9">
            <w:pPr>
              <w:pStyle w:val="133"/>
            </w:pPr>
            <w:r>
              <w:rPr>
                <w:rFonts w:hint="eastAsia"/>
              </w:rPr>
              <w:t>达标</w:t>
            </w:r>
          </w:p>
        </w:tc>
      </w:tr>
    </w:tbl>
    <w:p w14:paraId="64F74BBA">
      <w:pPr>
        <w:pStyle w:val="422"/>
        <w:ind w:firstLine="480"/>
      </w:pPr>
    </w:p>
    <w:p w14:paraId="65F4805E">
      <w:pPr>
        <w:pStyle w:val="118"/>
        <w:rPr>
          <w:sz w:val="18"/>
          <w:szCs w:val="18"/>
        </w:rPr>
      </w:pPr>
      <w:r>
        <w:t>表</w:t>
      </w:r>
      <w:r>
        <w:rPr>
          <w:rFonts w:hint="eastAsia"/>
          <w:spacing w:val="8"/>
        </w:rPr>
        <w:t>5.2-29</w:t>
      </w:r>
      <w:r>
        <w:t xml:space="preserve">  环境保护目标和预测网格</w:t>
      </w:r>
      <w:r>
        <w:rPr>
          <w:rFonts w:hint="eastAsia"/>
        </w:rPr>
        <w:t>T</w:t>
      </w:r>
      <w:r>
        <w:t>SP浓度贡献值叠加背景值</w:t>
      </w:r>
      <w:r>
        <w:rPr>
          <w:rFonts w:hint="eastAsia"/>
        </w:rPr>
        <w:t>日</w:t>
      </w:r>
      <w:r>
        <w:t>均浓度预测结果一览表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404E9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6FED74C8">
            <w:pPr>
              <w:pStyle w:val="133"/>
              <w:rPr>
                <w:b/>
                <w:bCs/>
              </w:rPr>
            </w:pPr>
            <w:r>
              <w:rPr>
                <w:rFonts w:hint="eastAsia"/>
                <w:b/>
                <w:bCs/>
              </w:rPr>
              <w:t>序号</w:t>
            </w:r>
          </w:p>
        </w:tc>
        <w:tc>
          <w:tcPr>
            <w:tcW w:w="993" w:type="dxa"/>
            <w:noWrap/>
            <w:vAlign w:val="center"/>
          </w:tcPr>
          <w:p w14:paraId="03A6064F">
            <w:pPr>
              <w:pStyle w:val="133"/>
              <w:rPr>
                <w:b/>
                <w:bCs/>
              </w:rPr>
            </w:pPr>
            <w:r>
              <w:rPr>
                <w:rFonts w:hint="eastAsia"/>
                <w:b/>
                <w:bCs/>
              </w:rPr>
              <w:t>点名称</w:t>
            </w:r>
          </w:p>
        </w:tc>
        <w:tc>
          <w:tcPr>
            <w:tcW w:w="1275" w:type="dxa"/>
            <w:noWrap/>
            <w:vAlign w:val="center"/>
          </w:tcPr>
          <w:p w14:paraId="134CBCAC">
            <w:pPr>
              <w:pStyle w:val="133"/>
              <w:rPr>
                <w:b/>
                <w:bCs/>
              </w:rPr>
            </w:pPr>
            <w:r>
              <w:rPr>
                <w:rFonts w:hint="eastAsia"/>
                <w:b/>
                <w:bCs/>
              </w:rPr>
              <w:t>点坐标</w:t>
            </w:r>
          </w:p>
          <w:p w14:paraId="01EEE044">
            <w:pPr>
              <w:pStyle w:val="133"/>
              <w:rPr>
                <w:b/>
                <w:bCs/>
              </w:rPr>
            </w:pPr>
            <w:r>
              <w:rPr>
                <w:rFonts w:hint="eastAsia"/>
                <w:b/>
                <w:bCs/>
              </w:rPr>
              <w:t>（x,y）</w:t>
            </w:r>
          </w:p>
        </w:tc>
        <w:tc>
          <w:tcPr>
            <w:tcW w:w="1134" w:type="dxa"/>
            <w:noWrap/>
            <w:vAlign w:val="center"/>
          </w:tcPr>
          <w:p w14:paraId="441E32A5">
            <w:pPr>
              <w:pStyle w:val="133"/>
              <w:rPr>
                <w:b/>
                <w:bCs/>
              </w:rPr>
            </w:pPr>
            <w:r>
              <w:rPr>
                <w:rFonts w:hint="eastAsia"/>
                <w:b/>
                <w:bCs/>
              </w:rPr>
              <w:t>地面高程</w:t>
            </w:r>
          </w:p>
          <w:p w14:paraId="5589C8A5">
            <w:pPr>
              <w:pStyle w:val="133"/>
              <w:rPr>
                <w:b/>
                <w:bCs/>
              </w:rPr>
            </w:pPr>
            <w:r>
              <w:rPr>
                <w:rFonts w:hint="eastAsia"/>
                <w:b/>
                <w:bCs/>
              </w:rPr>
              <w:t>（m）</w:t>
            </w:r>
          </w:p>
        </w:tc>
        <w:tc>
          <w:tcPr>
            <w:tcW w:w="851" w:type="dxa"/>
            <w:noWrap/>
            <w:vAlign w:val="center"/>
          </w:tcPr>
          <w:p w14:paraId="21E35795">
            <w:pPr>
              <w:pStyle w:val="133"/>
              <w:rPr>
                <w:b/>
                <w:bCs/>
              </w:rPr>
            </w:pPr>
            <w:r>
              <w:rPr>
                <w:rFonts w:hint="eastAsia"/>
                <w:b/>
                <w:bCs/>
              </w:rPr>
              <w:t>浓度</w:t>
            </w:r>
          </w:p>
          <w:p w14:paraId="29A3A95A">
            <w:pPr>
              <w:pStyle w:val="133"/>
              <w:rPr>
                <w:b/>
                <w:bCs/>
              </w:rPr>
            </w:pPr>
            <w:r>
              <w:rPr>
                <w:rFonts w:hint="eastAsia"/>
                <w:b/>
                <w:bCs/>
              </w:rPr>
              <w:t>类型</w:t>
            </w:r>
          </w:p>
        </w:tc>
        <w:tc>
          <w:tcPr>
            <w:tcW w:w="1276" w:type="dxa"/>
            <w:noWrap/>
            <w:vAlign w:val="center"/>
          </w:tcPr>
          <w:p w14:paraId="06A49A58">
            <w:pPr>
              <w:pStyle w:val="133"/>
              <w:rPr>
                <w:b/>
                <w:bCs/>
              </w:rPr>
            </w:pPr>
            <w:r>
              <w:rPr>
                <w:rFonts w:hint="eastAsia"/>
                <w:b/>
                <w:bCs/>
              </w:rPr>
              <w:t>浓度增量</w:t>
            </w:r>
          </w:p>
          <w:p w14:paraId="73C1E1BB">
            <w:pPr>
              <w:pStyle w:val="133"/>
              <w:jc w:val="both"/>
              <w:rPr>
                <w:b/>
                <w:bCs/>
              </w:rPr>
            </w:pPr>
            <w:r>
              <w:rPr>
                <w:rFonts w:hint="eastAsia"/>
                <w:b/>
                <w:bCs/>
              </w:rPr>
              <w:t>（mg/m^3）</w:t>
            </w:r>
          </w:p>
        </w:tc>
        <w:tc>
          <w:tcPr>
            <w:tcW w:w="1984" w:type="dxa"/>
            <w:noWrap/>
            <w:vAlign w:val="center"/>
          </w:tcPr>
          <w:p w14:paraId="6FFDB2E0">
            <w:pPr>
              <w:pStyle w:val="133"/>
              <w:rPr>
                <w:b/>
                <w:bCs/>
              </w:rPr>
            </w:pPr>
            <w:r>
              <w:rPr>
                <w:rFonts w:hint="eastAsia"/>
                <w:b/>
                <w:bCs/>
              </w:rPr>
              <w:t>出现时间（YYMMDDHH）</w:t>
            </w:r>
          </w:p>
        </w:tc>
        <w:tc>
          <w:tcPr>
            <w:tcW w:w="1276" w:type="dxa"/>
            <w:vAlign w:val="center"/>
          </w:tcPr>
          <w:p w14:paraId="72C42399">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699697E5">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514E1B02">
            <w:pPr>
              <w:pStyle w:val="133"/>
              <w:rPr>
                <w:b/>
                <w:bCs/>
              </w:rPr>
            </w:pPr>
            <w:r>
              <w:rPr>
                <w:rFonts w:hint="eastAsia"/>
                <w:b/>
                <w:bCs/>
              </w:rPr>
              <w:t>评价标准（mg/m^3）</w:t>
            </w:r>
          </w:p>
        </w:tc>
        <w:tc>
          <w:tcPr>
            <w:tcW w:w="992" w:type="dxa"/>
            <w:noWrap/>
            <w:vAlign w:val="center"/>
          </w:tcPr>
          <w:p w14:paraId="3C6F0E5E">
            <w:pPr>
              <w:pStyle w:val="133"/>
              <w:rPr>
                <w:b/>
                <w:bCs/>
              </w:rPr>
            </w:pPr>
            <w:r>
              <w:rPr>
                <w:rFonts w:hint="eastAsia"/>
                <w:b/>
                <w:bCs/>
              </w:rPr>
              <w:t>占标率</w:t>
            </w:r>
          </w:p>
          <w:p w14:paraId="0B87028B">
            <w:pPr>
              <w:pStyle w:val="133"/>
              <w:rPr>
                <w:b/>
                <w:bCs/>
              </w:rPr>
            </w:pPr>
            <w:r>
              <w:rPr>
                <w:rFonts w:hint="eastAsia"/>
                <w:b/>
                <w:bCs/>
              </w:rPr>
              <w:t>%</w:t>
            </w:r>
          </w:p>
        </w:tc>
        <w:tc>
          <w:tcPr>
            <w:tcW w:w="902" w:type="dxa"/>
            <w:noWrap/>
            <w:vAlign w:val="center"/>
          </w:tcPr>
          <w:p w14:paraId="55795288">
            <w:pPr>
              <w:pStyle w:val="133"/>
              <w:rPr>
                <w:b/>
                <w:bCs/>
              </w:rPr>
            </w:pPr>
            <w:r>
              <w:rPr>
                <w:rFonts w:hint="eastAsia"/>
                <w:b/>
                <w:bCs/>
              </w:rPr>
              <w:t>是否</w:t>
            </w:r>
          </w:p>
          <w:p w14:paraId="2A60028D">
            <w:pPr>
              <w:pStyle w:val="133"/>
              <w:rPr>
                <w:b/>
                <w:bCs/>
              </w:rPr>
            </w:pPr>
            <w:r>
              <w:rPr>
                <w:rFonts w:hint="eastAsia"/>
                <w:b/>
                <w:bCs/>
              </w:rPr>
              <w:t>超标</w:t>
            </w:r>
          </w:p>
        </w:tc>
      </w:tr>
      <w:tr w14:paraId="05252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restart"/>
            <w:noWrap/>
            <w:vAlign w:val="center"/>
          </w:tcPr>
          <w:p w14:paraId="22324A47">
            <w:pPr>
              <w:pStyle w:val="133"/>
            </w:pPr>
            <w:r>
              <w:rPr>
                <w:rFonts w:hint="eastAsia"/>
              </w:rPr>
              <w:t>1</w:t>
            </w:r>
          </w:p>
        </w:tc>
        <w:tc>
          <w:tcPr>
            <w:tcW w:w="993" w:type="dxa"/>
            <w:vMerge w:val="restart"/>
            <w:noWrap/>
            <w:vAlign w:val="center"/>
          </w:tcPr>
          <w:p w14:paraId="7E584687">
            <w:pPr>
              <w:pStyle w:val="133"/>
            </w:pPr>
            <w:r>
              <w:rPr>
                <w:rFonts w:hint="eastAsia"/>
              </w:rPr>
              <w:t>网格</w:t>
            </w:r>
          </w:p>
        </w:tc>
        <w:tc>
          <w:tcPr>
            <w:tcW w:w="1275" w:type="dxa"/>
            <w:noWrap/>
            <w:vAlign w:val="center"/>
          </w:tcPr>
          <w:p w14:paraId="1B96A6DA">
            <w:pPr>
              <w:pStyle w:val="133"/>
              <w:rPr>
                <w:rFonts w:cs="Times New Roman"/>
              </w:rPr>
            </w:pPr>
            <w:r>
              <w:rPr>
                <w:rFonts w:hint="eastAsia"/>
              </w:rPr>
              <w:t>5</w:t>
            </w:r>
            <w:r>
              <w:t>00</w:t>
            </w:r>
            <w:r>
              <w:rPr>
                <w:rFonts w:hint="eastAsia"/>
              </w:rPr>
              <w:t>,-2500</w:t>
            </w:r>
          </w:p>
        </w:tc>
        <w:tc>
          <w:tcPr>
            <w:tcW w:w="1134" w:type="dxa"/>
            <w:noWrap/>
            <w:vAlign w:val="center"/>
          </w:tcPr>
          <w:p w14:paraId="7D8BABC5">
            <w:pPr>
              <w:pStyle w:val="133"/>
            </w:pPr>
            <w:r>
              <w:rPr>
                <w:rFonts w:hint="eastAsia"/>
              </w:rPr>
              <w:t>684.80</w:t>
            </w:r>
          </w:p>
        </w:tc>
        <w:tc>
          <w:tcPr>
            <w:tcW w:w="851" w:type="dxa"/>
            <w:noWrap/>
            <w:vAlign w:val="center"/>
          </w:tcPr>
          <w:p w14:paraId="724995B5">
            <w:pPr>
              <w:pStyle w:val="133"/>
            </w:pPr>
            <w:r>
              <w:rPr>
                <w:rFonts w:hint="eastAsia"/>
              </w:rPr>
              <w:t>日平均</w:t>
            </w:r>
          </w:p>
        </w:tc>
        <w:tc>
          <w:tcPr>
            <w:tcW w:w="1276" w:type="dxa"/>
            <w:noWrap/>
          </w:tcPr>
          <w:p w14:paraId="0C012563">
            <w:pPr>
              <w:pStyle w:val="133"/>
            </w:pPr>
            <w:r>
              <w:rPr>
                <w:rFonts w:hint="eastAsia"/>
              </w:rPr>
              <w:t>0.134139</w:t>
            </w:r>
          </w:p>
        </w:tc>
        <w:tc>
          <w:tcPr>
            <w:tcW w:w="1984" w:type="dxa"/>
            <w:noWrap/>
          </w:tcPr>
          <w:p w14:paraId="2303F858">
            <w:pPr>
              <w:pStyle w:val="133"/>
            </w:pPr>
            <w:r>
              <w:rPr>
                <w:rFonts w:hint="eastAsia"/>
              </w:rPr>
              <w:t>231230</w:t>
            </w:r>
          </w:p>
        </w:tc>
        <w:tc>
          <w:tcPr>
            <w:tcW w:w="1276" w:type="dxa"/>
          </w:tcPr>
          <w:p w14:paraId="6A5B1657">
            <w:pPr>
              <w:pStyle w:val="133"/>
            </w:pPr>
            <w:r>
              <w:rPr>
                <w:rFonts w:hint="eastAsia"/>
              </w:rPr>
              <w:t>0.111</w:t>
            </w:r>
          </w:p>
        </w:tc>
        <w:tc>
          <w:tcPr>
            <w:tcW w:w="1276" w:type="dxa"/>
          </w:tcPr>
          <w:p w14:paraId="437507A8">
            <w:pPr>
              <w:pStyle w:val="133"/>
            </w:pPr>
            <w:r>
              <w:rPr>
                <w:rFonts w:hint="eastAsia"/>
              </w:rPr>
              <w:t>0.245139</w:t>
            </w:r>
          </w:p>
        </w:tc>
        <w:tc>
          <w:tcPr>
            <w:tcW w:w="1417" w:type="dxa"/>
            <w:noWrap/>
          </w:tcPr>
          <w:p w14:paraId="7BB3A220">
            <w:pPr>
              <w:pStyle w:val="133"/>
            </w:pPr>
            <w:r>
              <w:rPr>
                <w:rFonts w:hint="eastAsia"/>
              </w:rPr>
              <w:t>0.3</w:t>
            </w:r>
          </w:p>
        </w:tc>
        <w:tc>
          <w:tcPr>
            <w:tcW w:w="992" w:type="dxa"/>
            <w:noWrap/>
          </w:tcPr>
          <w:p w14:paraId="355FAD9F">
            <w:pPr>
              <w:pStyle w:val="133"/>
            </w:pPr>
            <w:r>
              <w:rPr>
                <w:rFonts w:hint="eastAsia"/>
              </w:rPr>
              <w:t>81.71</w:t>
            </w:r>
          </w:p>
        </w:tc>
        <w:tc>
          <w:tcPr>
            <w:tcW w:w="902" w:type="dxa"/>
            <w:noWrap/>
          </w:tcPr>
          <w:p w14:paraId="32947A50">
            <w:pPr>
              <w:pStyle w:val="133"/>
            </w:pPr>
            <w:r>
              <w:rPr>
                <w:rFonts w:hint="eastAsia"/>
              </w:rPr>
              <w:t>达标</w:t>
            </w:r>
          </w:p>
        </w:tc>
      </w:tr>
      <w:tr w14:paraId="39ED0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continue"/>
            <w:noWrap/>
            <w:vAlign w:val="center"/>
          </w:tcPr>
          <w:p w14:paraId="7D9C17B7">
            <w:pPr>
              <w:pStyle w:val="133"/>
            </w:pPr>
          </w:p>
        </w:tc>
        <w:tc>
          <w:tcPr>
            <w:tcW w:w="993" w:type="dxa"/>
            <w:vMerge w:val="continue"/>
            <w:noWrap/>
            <w:vAlign w:val="center"/>
          </w:tcPr>
          <w:p w14:paraId="6846CB5A">
            <w:pPr>
              <w:pStyle w:val="133"/>
            </w:pPr>
          </w:p>
        </w:tc>
        <w:tc>
          <w:tcPr>
            <w:tcW w:w="1275" w:type="dxa"/>
            <w:noWrap/>
            <w:vAlign w:val="center"/>
          </w:tcPr>
          <w:p w14:paraId="7EF42FE8">
            <w:pPr>
              <w:pStyle w:val="133"/>
            </w:pPr>
            <w:r>
              <w:rPr>
                <w:rFonts w:hint="eastAsia"/>
              </w:rPr>
              <w:t>5</w:t>
            </w:r>
            <w:r>
              <w:t>00</w:t>
            </w:r>
            <w:r>
              <w:rPr>
                <w:rFonts w:hint="eastAsia"/>
              </w:rPr>
              <w:t>,-2500</w:t>
            </w:r>
          </w:p>
        </w:tc>
        <w:tc>
          <w:tcPr>
            <w:tcW w:w="1134" w:type="dxa"/>
            <w:noWrap/>
            <w:vAlign w:val="center"/>
          </w:tcPr>
          <w:p w14:paraId="78DECCEA">
            <w:pPr>
              <w:pStyle w:val="133"/>
            </w:pPr>
            <w:r>
              <w:rPr>
                <w:rFonts w:hint="eastAsia"/>
              </w:rPr>
              <w:t>684.80</w:t>
            </w:r>
          </w:p>
        </w:tc>
        <w:tc>
          <w:tcPr>
            <w:tcW w:w="851" w:type="dxa"/>
            <w:noWrap/>
            <w:vAlign w:val="center"/>
          </w:tcPr>
          <w:p w14:paraId="1668341B">
            <w:pPr>
              <w:pStyle w:val="133"/>
            </w:pPr>
            <w:r>
              <w:rPr>
                <w:rFonts w:hint="eastAsia"/>
              </w:rPr>
              <w:t>年平均</w:t>
            </w:r>
          </w:p>
        </w:tc>
        <w:tc>
          <w:tcPr>
            <w:tcW w:w="1276" w:type="dxa"/>
            <w:noWrap/>
          </w:tcPr>
          <w:p w14:paraId="36A3B678">
            <w:pPr>
              <w:pStyle w:val="133"/>
            </w:pPr>
            <w:r>
              <w:rPr>
                <w:rFonts w:hint="eastAsia"/>
              </w:rPr>
              <w:t>0.02298</w:t>
            </w:r>
          </w:p>
        </w:tc>
        <w:tc>
          <w:tcPr>
            <w:tcW w:w="1984" w:type="dxa"/>
            <w:noWrap/>
          </w:tcPr>
          <w:p w14:paraId="419BD816">
            <w:pPr>
              <w:pStyle w:val="133"/>
            </w:pPr>
            <w:r>
              <w:rPr>
                <w:rFonts w:hint="eastAsia"/>
              </w:rPr>
              <w:t>平均值</w:t>
            </w:r>
          </w:p>
        </w:tc>
        <w:tc>
          <w:tcPr>
            <w:tcW w:w="1276" w:type="dxa"/>
          </w:tcPr>
          <w:p w14:paraId="12BD8A34">
            <w:pPr>
              <w:pStyle w:val="133"/>
            </w:pPr>
            <w:r>
              <w:rPr>
                <w:rFonts w:hint="eastAsia"/>
              </w:rPr>
              <w:t>0.108714</w:t>
            </w:r>
          </w:p>
        </w:tc>
        <w:tc>
          <w:tcPr>
            <w:tcW w:w="1276" w:type="dxa"/>
          </w:tcPr>
          <w:p w14:paraId="0C6BA7F0">
            <w:pPr>
              <w:pStyle w:val="133"/>
            </w:pPr>
            <w:r>
              <w:rPr>
                <w:rFonts w:hint="eastAsia"/>
              </w:rPr>
              <w:t>0.131694</w:t>
            </w:r>
          </w:p>
        </w:tc>
        <w:tc>
          <w:tcPr>
            <w:tcW w:w="1417" w:type="dxa"/>
            <w:noWrap/>
          </w:tcPr>
          <w:p w14:paraId="19165AC3">
            <w:pPr>
              <w:pStyle w:val="133"/>
            </w:pPr>
            <w:r>
              <w:rPr>
                <w:rFonts w:hint="eastAsia"/>
              </w:rPr>
              <w:t>0.2</w:t>
            </w:r>
          </w:p>
        </w:tc>
        <w:tc>
          <w:tcPr>
            <w:tcW w:w="992" w:type="dxa"/>
            <w:noWrap/>
          </w:tcPr>
          <w:p w14:paraId="09A4A3A4">
            <w:pPr>
              <w:pStyle w:val="133"/>
            </w:pPr>
            <w:r>
              <w:rPr>
                <w:rFonts w:hint="eastAsia"/>
              </w:rPr>
              <w:t>65.85</w:t>
            </w:r>
          </w:p>
        </w:tc>
        <w:tc>
          <w:tcPr>
            <w:tcW w:w="902" w:type="dxa"/>
            <w:noWrap/>
          </w:tcPr>
          <w:p w14:paraId="0C2671EB">
            <w:pPr>
              <w:pStyle w:val="133"/>
            </w:pPr>
            <w:r>
              <w:rPr>
                <w:rFonts w:hint="eastAsia"/>
              </w:rPr>
              <w:t>达标</w:t>
            </w:r>
          </w:p>
        </w:tc>
      </w:tr>
    </w:tbl>
    <w:p w14:paraId="5500D994">
      <w:pPr>
        <w:pStyle w:val="422"/>
        <w:ind w:firstLine="480"/>
      </w:pPr>
    </w:p>
    <w:p w14:paraId="1CA7E107">
      <w:pPr>
        <w:pStyle w:val="118"/>
        <w:ind w:firstLine="480"/>
        <w:rPr>
          <w:sz w:val="18"/>
          <w:szCs w:val="18"/>
        </w:rPr>
      </w:pPr>
      <w:r>
        <w:t>表</w:t>
      </w:r>
      <w:r>
        <w:rPr>
          <w:rFonts w:hint="eastAsia"/>
          <w:spacing w:val="8"/>
        </w:rPr>
        <w:t>5.2-30</w:t>
      </w:r>
      <w:r>
        <w:t xml:space="preserve">  环境保护目标和预测网格</w:t>
      </w:r>
      <w:r>
        <w:rPr>
          <w:rFonts w:hint="eastAsia"/>
        </w:rPr>
        <w:t>BaP</w:t>
      </w:r>
      <w:r>
        <w:t>浓度贡献值叠加背景值</w:t>
      </w:r>
      <w:r>
        <w:rPr>
          <w:rFonts w:hint="eastAsia"/>
        </w:rPr>
        <w:t>日均</w:t>
      </w:r>
      <w:r>
        <w:t>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751AB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6F709059">
            <w:pPr>
              <w:pStyle w:val="133"/>
              <w:rPr>
                <w:b/>
                <w:bCs/>
              </w:rPr>
            </w:pPr>
            <w:r>
              <w:rPr>
                <w:rFonts w:hint="eastAsia"/>
                <w:b/>
                <w:bCs/>
              </w:rPr>
              <w:t>序号</w:t>
            </w:r>
          </w:p>
        </w:tc>
        <w:tc>
          <w:tcPr>
            <w:tcW w:w="993" w:type="dxa"/>
            <w:noWrap/>
            <w:vAlign w:val="center"/>
          </w:tcPr>
          <w:p w14:paraId="4C5E991F">
            <w:pPr>
              <w:pStyle w:val="133"/>
              <w:rPr>
                <w:b/>
                <w:bCs/>
              </w:rPr>
            </w:pPr>
            <w:r>
              <w:rPr>
                <w:rFonts w:hint="eastAsia"/>
                <w:b/>
                <w:bCs/>
              </w:rPr>
              <w:t>点名称</w:t>
            </w:r>
          </w:p>
        </w:tc>
        <w:tc>
          <w:tcPr>
            <w:tcW w:w="1275" w:type="dxa"/>
            <w:noWrap/>
            <w:vAlign w:val="center"/>
          </w:tcPr>
          <w:p w14:paraId="64251E97">
            <w:pPr>
              <w:pStyle w:val="133"/>
              <w:rPr>
                <w:b/>
                <w:bCs/>
              </w:rPr>
            </w:pPr>
            <w:r>
              <w:rPr>
                <w:rFonts w:hint="eastAsia"/>
                <w:b/>
                <w:bCs/>
              </w:rPr>
              <w:t>点坐标</w:t>
            </w:r>
          </w:p>
          <w:p w14:paraId="7F136902">
            <w:pPr>
              <w:pStyle w:val="133"/>
              <w:rPr>
                <w:b/>
                <w:bCs/>
              </w:rPr>
            </w:pPr>
            <w:r>
              <w:rPr>
                <w:rFonts w:hint="eastAsia"/>
                <w:b/>
                <w:bCs/>
              </w:rPr>
              <w:t>（x,y）</w:t>
            </w:r>
          </w:p>
        </w:tc>
        <w:tc>
          <w:tcPr>
            <w:tcW w:w="1134" w:type="dxa"/>
            <w:noWrap/>
            <w:vAlign w:val="center"/>
          </w:tcPr>
          <w:p w14:paraId="26B06FFC">
            <w:pPr>
              <w:pStyle w:val="133"/>
              <w:rPr>
                <w:b/>
                <w:bCs/>
              </w:rPr>
            </w:pPr>
            <w:r>
              <w:rPr>
                <w:rFonts w:hint="eastAsia"/>
                <w:b/>
                <w:bCs/>
              </w:rPr>
              <w:t>地面高程</w:t>
            </w:r>
          </w:p>
          <w:p w14:paraId="59C4CC92">
            <w:pPr>
              <w:pStyle w:val="133"/>
              <w:rPr>
                <w:b/>
                <w:bCs/>
              </w:rPr>
            </w:pPr>
            <w:r>
              <w:rPr>
                <w:rFonts w:hint="eastAsia"/>
                <w:b/>
                <w:bCs/>
              </w:rPr>
              <w:t>（m）</w:t>
            </w:r>
          </w:p>
        </w:tc>
        <w:tc>
          <w:tcPr>
            <w:tcW w:w="851" w:type="dxa"/>
            <w:noWrap/>
            <w:vAlign w:val="center"/>
          </w:tcPr>
          <w:p w14:paraId="6DE8D574">
            <w:pPr>
              <w:pStyle w:val="133"/>
              <w:rPr>
                <w:b/>
                <w:bCs/>
              </w:rPr>
            </w:pPr>
            <w:r>
              <w:rPr>
                <w:rFonts w:hint="eastAsia"/>
                <w:b/>
                <w:bCs/>
              </w:rPr>
              <w:t>浓度</w:t>
            </w:r>
          </w:p>
          <w:p w14:paraId="1851A9DF">
            <w:pPr>
              <w:pStyle w:val="133"/>
              <w:rPr>
                <w:b/>
                <w:bCs/>
              </w:rPr>
            </w:pPr>
            <w:r>
              <w:rPr>
                <w:rFonts w:hint="eastAsia"/>
                <w:b/>
                <w:bCs/>
              </w:rPr>
              <w:t>类型</w:t>
            </w:r>
          </w:p>
        </w:tc>
        <w:tc>
          <w:tcPr>
            <w:tcW w:w="1276" w:type="dxa"/>
            <w:noWrap/>
            <w:vAlign w:val="center"/>
          </w:tcPr>
          <w:p w14:paraId="0FEE84B1">
            <w:pPr>
              <w:pStyle w:val="133"/>
              <w:rPr>
                <w:b/>
                <w:bCs/>
              </w:rPr>
            </w:pPr>
            <w:r>
              <w:rPr>
                <w:rFonts w:hint="eastAsia"/>
                <w:b/>
                <w:bCs/>
              </w:rPr>
              <w:t>浓度增量</w:t>
            </w:r>
          </w:p>
          <w:p w14:paraId="4C652203">
            <w:pPr>
              <w:pStyle w:val="133"/>
              <w:jc w:val="both"/>
              <w:rPr>
                <w:b/>
                <w:bCs/>
              </w:rPr>
            </w:pPr>
            <w:r>
              <w:rPr>
                <w:rFonts w:hint="eastAsia"/>
                <w:b/>
                <w:bCs/>
              </w:rPr>
              <w:t>（mg/m^3）</w:t>
            </w:r>
          </w:p>
        </w:tc>
        <w:tc>
          <w:tcPr>
            <w:tcW w:w="1984" w:type="dxa"/>
            <w:noWrap/>
            <w:vAlign w:val="center"/>
          </w:tcPr>
          <w:p w14:paraId="5ED6B144">
            <w:pPr>
              <w:pStyle w:val="133"/>
              <w:rPr>
                <w:b/>
                <w:bCs/>
              </w:rPr>
            </w:pPr>
            <w:r>
              <w:rPr>
                <w:rFonts w:hint="eastAsia"/>
                <w:b/>
                <w:bCs/>
              </w:rPr>
              <w:t>出现时间（YYMMDDHH）</w:t>
            </w:r>
          </w:p>
        </w:tc>
        <w:tc>
          <w:tcPr>
            <w:tcW w:w="1276" w:type="dxa"/>
            <w:vAlign w:val="center"/>
          </w:tcPr>
          <w:p w14:paraId="6D5B7849">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692268A6">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6815AA4E">
            <w:pPr>
              <w:pStyle w:val="133"/>
              <w:rPr>
                <w:b/>
                <w:bCs/>
              </w:rPr>
            </w:pPr>
            <w:r>
              <w:rPr>
                <w:rFonts w:hint="eastAsia"/>
                <w:b/>
                <w:bCs/>
              </w:rPr>
              <w:t>评价标准（mg/m^3）</w:t>
            </w:r>
          </w:p>
        </w:tc>
        <w:tc>
          <w:tcPr>
            <w:tcW w:w="992" w:type="dxa"/>
            <w:noWrap/>
            <w:vAlign w:val="center"/>
          </w:tcPr>
          <w:p w14:paraId="223351CC">
            <w:pPr>
              <w:pStyle w:val="133"/>
              <w:rPr>
                <w:b/>
                <w:bCs/>
              </w:rPr>
            </w:pPr>
            <w:r>
              <w:rPr>
                <w:rFonts w:hint="eastAsia"/>
                <w:b/>
                <w:bCs/>
              </w:rPr>
              <w:t>占标率</w:t>
            </w:r>
          </w:p>
          <w:p w14:paraId="25D5C252">
            <w:pPr>
              <w:pStyle w:val="133"/>
              <w:rPr>
                <w:b/>
                <w:bCs/>
              </w:rPr>
            </w:pPr>
            <w:r>
              <w:rPr>
                <w:rFonts w:hint="eastAsia"/>
                <w:b/>
                <w:bCs/>
              </w:rPr>
              <w:t>%</w:t>
            </w:r>
          </w:p>
        </w:tc>
        <w:tc>
          <w:tcPr>
            <w:tcW w:w="902" w:type="dxa"/>
            <w:noWrap/>
            <w:vAlign w:val="center"/>
          </w:tcPr>
          <w:p w14:paraId="148C9B02">
            <w:pPr>
              <w:pStyle w:val="133"/>
              <w:rPr>
                <w:b/>
                <w:bCs/>
              </w:rPr>
            </w:pPr>
            <w:r>
              <w:rPr>
                <w:rFonts w:hint="eastAsia"/>
                <w:b/>
                <w:bCs/>
              </w:rPr>
              <w:t>是否</w:t>
            </w:r>
          </w:p>
          <w:p w14:paraId="71235FAF">
            <w:pPr>
              <w:pStyle w:val="133"/>
              <w:rPr>
                <w:b/>
                <w:bCs/>
              </w:rPr>
            </w:pPr>
            <w:r>
              <w:rPr>
                <w:rFonts w:hint="eastAsia"/>
                <w:b/>
                <w:bCs/>
              </w:rPr>
              <w:t>超标</w:t>
            </w:r>
          </w:p>
        </w:tc>
      </w:tr>
      <w:tr w14:paraId="3FB8B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restart"/>
            <w:noWrap/>
            <w:vAlign w:val="center"/>
          </w:tcPr>
          <w:p w14:paraId="1C5620CD">
            <w:pPr>
              <w:pStyle w:val="133"/>
            </w:pPr>
            <w:r>
              <w:rPr>
                <w:rFonts w:hint="eastAsia"/>
              </w:rPr>
              <w:t>1</w:t>
            </w:r>
          </w:p>
        </w:tc>
        <w:tc>
          <w:tcPr>
            <w:tcW w:w="993" w:type="dxa"/>
            <w:vMerge w:val="restart"/>
            <w:noWrap/>
            <w:vAlign w:val="center"/>
          </w:tcPr>
          <w:p w14:paraId="2F35140B">
            <w:pPr>
              <w:pStyle w:val="133"/>
            </w:pPr>
            <w:r>
              <w:rPr>
                <w:rFonts w:hint="eastAsia"/>
              </w:rPr>
              <w:t>网格</w:t>
            </w:r>
          </w:p>
        </w:tc>
        <w:tc>
          <w:tcPr>
            <w:tcW w:w="1275" w:type="dxa"/>
            <w:noWrap/>
            <w:vAlign w:val="center"/>
          </w:tcPr>
          <w:p w14:paraId="224EACFC">
            <w:pPr>
              <w:pStyle w:val="133"/>
              <w:rPr>
                <w:rFonts w:cs="Times New Roman"/>
              </w:rPr>
            </w:pPr>
            <w:r>
              <w:t>-</w:t>
            </w:r>
            <w:r>
              <w:rPr>
                <w:rFonts w:hint="eastAsia"/>
              </w:rPr>
              <w:t>4</w:t>
            </w:r>
            <w:r>
              <w:t>00</w:t>
            </w:r>
            <w:r>
              <w:rPr>
                <w:rFonts w:hint="eastAsia"/>
              </w:rPr>
              <w:t>,0</w:t>
            </w:r>
          </w:p>
        </w:tc>
        <w:tc>
          <w:tcPr>
            <w:tcW w:w="1134" w:type="dxa"/>
            <w:noWrap/>
            <w:vAlign w:val="center"/>
          </w:tcPr>
          <w:p w14:paraId="3F4F01DC">
            <w:pPr>
              <w:pStyle w:val="133"/>
            </w:pPr>
            <w:r>
              <w:rPr>
                <w:rFonts w:hint="eastAsia"/>
              </w:rPr>
              <w:t>694.20</w:t>
            </w:r>
          </w:p>
        </w:tc>
        <w:tc>
          <w:tcPr>
            <w:tcW w:w="851" w:type="dxa"/>
            <w:noWrap/>
            <w:vAlign w:val="center"/>
          </w:tcPr>
          <w:p w14:paraId="5507253E">
            <w:pPr>
              <w:pStyle w:val="133"/>
            </w:pPr>
            <w:r>
              <w:rPr>
                <w:rFonts w:hint="eastAsia"/>
              </w:rPr>
              <w:t>日平均</w:t>
            </w:r>
          </w:p>
        </w:tc>
        <w:tc>
          <w:tcPr>
            <w:tcW w:w="1276" w:type="dxa"/>
            <w:noWrap/>
          </w:tcPr>
          <w:p w14:paraId="0E2CB0F0">
            <w:pPr>
              <w:pStyle w:val="133"/>
            </w:pPr>
            <w:r>
              <w:rPr>
                <w:rFonts w:hint="eastAsia"/>
              </w:rPr>
              <w:t>5.60E-07</w:t>
            </w:r>
          </w:p>
        </w:tc>
        <w:tc>
          <w:tcPr>
            <w:tcW w:w="1984" w:type="dxa"/>
            <w:noWrap/>
          </w:tcPr>
          <w:p w14:paraId="638CB2DD">
            <w:pPr>
              <w:pStyle w:val="133"/>
            </w:pPr>
            <w:r>
              <w:rPr>
                <w:rFonts w:hint="eastAsia"/>
              </w:rPr>
              <w:t>231225</w:t>
            </w:r>
          </w:p>
        </w:tc>
        <w:tc>
          <w:tcPr>
            <w:tcW w:w="1276" w:type="dxa"/>
          </w:tcPr>
          <w:p w14:paraId="27B6B3A9">
            <w:pPr>
              <w:pStyle w:val="133"/>
            </w:pPr>
            <w:r>
              <w:rPr>
                <w:rFonts w:hint="eastAsia"/>
              </w:rPr>
              <w:t>4.50E-07</w:t>
            </w:r>
          </w:p>
        </w:tc>
        <w:tc>
          <w:tcPr>
            <w:tcW w:w="1276" w:type="dxa"/>
          </w:tcPr>
          <w:p w14:paraId="27171909">
            <w:pPr>
              <w:pStyle w:val="133"/>
            </w:pPr>
            <w:r>
              <w:rPr>
                <w:rFonts w:hint="eastAsia"/>
              </w:rPr>
              <w:t>1.01E-06</w:t>
            </w:r>
          </w:p>
        </w:tc>
        <w:tc>
          <w:tcPr>
            <w:tcW w:w="1417" w:type="dxa"/>
            <w:noWrap/>
          </w:tcPr>
          <w:p w14:paraId="3C28426A">
            <w:pPr>
              <w:pStyle w:val="133"/>
            </w:pPr>
            <w:r>
              <w:rPr>
                <w:rFonts w:hint="eastAsia"/>
              </w:rPr>
              <w:t>2.50E-06</w:t>
            </w:r>
          </w:p>
        </w:tc>
        <w:tc>
          <w:tcPr>
            <w:tcW w:w="992" w:type="dxa"/>
            <w:noWrap/>
          </w:tcPr>
          <w:p w14:paraId="6F88B5AB">
            <w:pPr>
              <w:pStyle w:val="133"/>
            </w:pPr>
            <w:r>
              <w:rPr>
                <w:rFonts w:hint="eastAsia"/>
              </w:rPr>
              <w:t>40.40</w:t>
            </w:r>
          </w:p>
        </w:tc>
        <w:tc>
          <w:tcPr>
            <w:tcW w:w="902" w:type="dxa"/>
            <w:noWrap/>
          </w:tcPr>
          <w:p w14:paraId="6AAE672A">
            <w:pPr>
              <w:pStyle w:val="133"/>
            </w:pPr>
            <w:r>
              <w:rPr>
                <w:rFonts w:hint="eastAsia"/>
              </w:rPr>
              <w:t>达标</w:t>
            </w:r>
          </w:p>
        </w:tc>
      </w:tr>
      <w:tr w14:paraId="43A80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vMerge w:val="continue"/>
            <w:noWrap/>
            <w:vAlign w:val="center"/>
          </w:tcPr>
          <w:p w14:paraId="2BFD6163">
            <w:pPr>
              <w:pStyle w:val="133"/>
            </w:pPr>
          </w:p>
        </w:tc>
        <w:tc>
          <w:tcPr>
            <w:tcW w:w="993" w:type="dxa"/>
            <w:vMerge w:val="continue"/>
            <w:noWrap/>
            <w:vAlign w:val="center"/>
          </w:tcPr>
          <w:p w14:paraId="328DD3EE">
            <w:pPr>
              <w:pStyle w:val="133"/>
            </w:pPr>
          </w:p>
        </w:tc>
        <w:tc>
          <w:tcPr>
            <w:tcW w:w="1275" w:type="dxa"/>
            <w:noWrap/>
            <w:vAlign w:val="center"/>
          </w:tcPr>
          <w:p w14:paraId="06081773">
            <w:pPr>
              <w:pStyle w:val="133"/>
            </w:pPr>
            <w:r>
              <w:rPr>
                <w:rFonts w:hint="eastAsia"/>
              </w:rPr>
              <w:t>-100,100</w:t>
            </w:r>
          </w:p>
        </w:tc>
        <w:tc>
          <w:tcPr>
            <w:tcW w:w="1134" w:type="dxa"/>
            <w:noWrap/>
            <w:vAlign w:val="center"/>
          </w:tcPr>
          <w:p w14:paraId="7F783CEA">
            <w:pPr>
              <w:pStyle w:val="133"/>
            </w:pPr>
            <w:r>
              <w:rPr>
                <w:rFonts w:hint="eastAsia"/>
              </w:rPr>
              <w:t>693.90</w:t>
            </w:r>
          </w:p>
        </w:tc>
        <w:tc>
          <w:tcPr>
            <w:tcW w:w="851" w:type="dxa"/>
            <w:noWrap/>
            <w:vAlign w:val="center"/>
          </w:tcPr>
          <w:p w14:paraId="42C5C84E">
            <w:pPr>
              <w:pStyle w:val="133"/>
            </w:pPr>
            <w:r>
              <w:rPr>
                <w:rFonts w:hint="eastAsia"/>
              </w:rPr>
              <w:t>年平均</w:t>
            </w:r>
          </w:p>
        </w:tc>
        <w:tc>
          <w:tcPr>
            <w:tcW w:w="1276" w:type="dxa"/>
            <w:noWrap/>
          </w:tcPr>
          <w:p w14:paraId="38A2365F">
            <w:pPr>
              <w:pStyle w:val="133"/>
            </w:pPr>
            <w:r>
              <w:rPr>
                <w:rFonts w:hint="eastAsia"/>
              </w:rPr>
              <w:t>1.50E-07</w:t>
            </w:r>
          </w:p>
        </w:tc>
        <w:tc>
          <w:tcPr>
            <w:tcW w:w="1984" w:type="dxa"/>
            <w:noWrap/>
          </w:tcPr>
          <w:p w14:paraId="420CB2C7">
            <w:pPr>
              <w:pStyle w:val="133"/>
            </w:pPr>
            <w:r>
              <w:rPr>
                <w:rFonts w:hint="eastAsia"/>
              </w:rPr>
              <w:t>平均值</w:t>
            </w:r>
          </w:p>
        </w:tc>
        <w:tc>
          <w:tcPr>
            <w:tcW w:w="1276" w:type="dxa"/>
          </w:tcPr>
          <w:p w14:paraId="7C335514">
            <w:pPr>
              <w:pStyle w:val="133"/>
            </w:pPr>
            <w:r>
              <w:rPr>
                <w:rFonts w:hint="eastAsia"/>
              </w:rPr>
              <w:t>4.50E-07</w:t>
            </w:r>
          </w:p>
        </w:tc>
        <w:tc>
          <w:tcPr>
            <w:tcW w:w="1276" w:type="dxa"/>
          </w:tcPr>
          <w:p w14:paraId="5853E9D5">
            <w:pPr>
              <w:pStyle w:val="133"/>
            </w:pPr>
            <w:r>
              <w:rPr>
                <w:rFonts w:hint="eastAsia"/>
              </w:rPr>
              <w:t>6.00E-07</w:t>
            </w:r>
          </w:p>
        </w:tc>
        <w:tc>
          <w:tcPr>
            <w:tcW w:w="1417" w:type="dxa"/>
            <w:noWrap/>
          </w:tcPr>
          <w:p w14:paraId="263E7D1A">
            <w:pPr>
              <w:pStyle w:val="133"/>
            </w:pPr>
            <w:r>
              <w:rPr>
                <w:rFonts w:hint="eastAsia"/>
              </w:rPr>
              <w:t>1.00E-06</w:t>
            </w:r>
          </w:p>
        </w:tc>
        <w:tc>
          <w:tcPr>
            <w:tcW w:w="992" w:type="dxa"/>
            <w:noWrap/>
          </w:tcPr>
          <w:p w14:paraId="4652176D">
            <w:pPr>
              <w:pStyle w:val="133"/>
            </w:pPr>
            <w:r>
              <w:rPr>
                <w:rFonts w:hint="eastAsia"/>
              </w:rPr>
              <w:t>60.00</w:t>
            </w:r>
          </w:p>
        </w:tc>
        <w:tc>
          <w:tcPr>
            <w:tcW w:w="902" w:type="dxa"/>
            <w:noWrap/>
          </w:tcPr>
          <w:p w14:paraId="5659874A">
            <w:pPr>
              <w:pStyle w:val="133"/>
            </w:pPr>
            <w:r>
              <w:rPr>
                <w:rFonts w:hint="eastAsia"/>
              </w:rPr>
              <w:t>达标</w:t>
            </w:r>
          </w:p>
        </w:tc>
      </w:tr>
    </w:tbl>
    <w:p w14:paraId="15BE0EA4">
      <w:pPr>
        <w:pStyle w:val="118"/>
        <w:ind w:firstLine="480"/>
        <w:rPr>
          <w:sz w:val="18"/>
          <w:szCs w:val="18"/>
        </w:rPr>
      </w:pPr>
      <w:r>
        <w:t>表</w:t>
      </w:r>
      <w:r>
        <w:rPr>
          <w:rFonts w:hint="eastAsia"/>
          <w:spacing w:val="8"/>
        </w:rPr>
        <w:t>5.2-31</w:t>
      </w:r>
      <w:r>
        <w:t xml:space="preserve">  环境保护目标和预测网格</w:t>
      </w:r>
      <w:r>
        <w:rPr>
          <w:rFonts w:hint="eastAsia"/>
        </w:rPr>
        <w:t>NH</w:t>
      </w:r>
      <w:r>
        <w:rPr>
          <w:rFonts w:hint="eastAsia"/>
          <w:vertAlign w:val="subscript"/>
        </w:rPr>
        <w:t>3</w:t>
      </w:r>
      <w:r>
        <w:t>浓度贡献值叠加背景值</w:t>
      </w:r>
      <w:r>
        <w:rPr>
          <w:rFonts w:hint="eastAsia"/>
        </w:rPr>
        <w:t>小时平均</w:t>
      </w:r>
      <w:r>
        <w:t>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3C7BF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3744649F">
            <w:pPr>
              <w:pStyle w:val="133"/>
              <w:rPr>
                <w:b/>
                <w:bCs/>
              </w:rPr>
            </w:pPr>
            <w:r>
              <w:rPr>
                <w:rFonts w:hint="eastAsia"/>
                <w:b/>
                <w:bCs/>
              </w:rPr>
              <w:t>序号</w:t>
            </w:r>
          </w:p>
        </w:tc>
        <w:tc>
          <w:tcPr>
            <w:tcW w:w="993" w:type="dxa"/>
            <w:noWrap/>
            <w:vAlign w:val="center"/>
          </w:tcPr>
          <w:p w14:paraId="55D506B2">
            <w:pPr>
              <w:pStyle w:val="133"/>
              <w:rPr>
                <w:b/>
                <w:bCs/>
              </w:rPr>
            </w:pPr>
            <w:r>
              <w:rPr>
                <w:rFonts w:hint="eastAsia"/>
                <w:b/>
                <w:bCs/>
              </w:rPr>
              <w:t>点名称</w:t>
            </w:r>
          </w:p>
        </w:tc>
        <w:tc>
          <w:tcPr>
            <w:tcW w:w="1275" w:type="dxa"/>
            <w:noWrap/>
            <w:vAlign w:val="center"/>
          </w:tcPr>
          <w:p w14:paraId="686EB9D2">
            <w:pPr>
              <w:pStyle w:val="133"/>
              <w:rPr>
                <w:b/>
                <w:bCs/>
              </w:rPr>
            </w:pPr>
            <w:r>
              <w:rPr>
                <w:rFonts w:hint="eastAsia"/>
                <w:b/>
                <w:bCs/>
              </w:rPr>
              <w:t>点坐标</w:t>
            </w:r>
          </w:p>
          <w:p w14:paraId="7ADBA15A">
            <w:pPr>
              <w:pStyle w:val="133"/>
              <w:rPr>
                <w:b/>
                <w:bCs/>
              </w:rPr>
            </w:pPr>
            <w:r>
              <w:rPr>
                <w:rFonts w:hint="eastAsia"/>
                <w:b/>
                <w:bCs/>
              </w:rPr>
              <w:t>（x,y）</w:t>
            </w:r>
          </w:p>
        </w:tc>
        <w:tc>
          <w:tcPr>
            <w:tcW w:w="1134" w:type="dxa"/>
            <w:noWrap/>
            <w:vAlign w:val="center"/>
          </w:tcPr>
          <w:p w14:paraId="56C9E165">
            <w:pPr>
              <w:pStyle w:val="133"/>
              <w:rPr>
                <w:b/>
                <w:bCs/>
              </w:rPr>
            </w:pPr>
            <w:r>
              <w:rPr>
                <w:rFonts w:hint="eastAsia"/>
                <w:b/>
                <w:bCs/>
              </w:rPr>
              <w:t>地面高程</w:t>
            </w:r>
          </w:p>
          <w:p w14:paraId="19D8C885">
            <w:pPr>
              <w:pStyle w:val="133"/>
              <w:rPr>
                <w:b/>
                <w:bCs/>
              </w:rPr>
            </w:pPr>
            <w:r>
              <w:rPr>
                <w:rFonts w:hint="eastAsia"/>
                <w:b/>
                <w:bCs/>
              </w:rPr>
              <w:t>（m）</w:t>
            </w:r>
          </w:p>
        </w:tc>
        <w:tc>
          <w:tcPr>
            <w:tcW w:w="851" w:type="dxa"/>
            <w:noWrap/>
            <w:vAlign w:val="center"/>
          </w:tcPr>
          <w:p w14:paraId="2C914E37">
            <w:pPr>
              <w:pStyle w:val="133"/>
              <w:rPr>
                <w:b/>
                <w:bCs/>
              </w:rPr>
            </w:pPr>
            <w:r>
              <w:rPr>
                <w:rFonts w:hint="eastAsia"/>
                <w:b/>
                <w:bCs/>
              </w:rPr>
              <w:t>浓度</w:t>
            </w:r>
          </w:p>
          <w:p w14:paraId="5D725AC9">
            <w:pPr>
              <w:pStyle w:val="133"/>
              <w:rPr>
                <w:b/>
                <w:bCs/>
              </w:rPr>
            </w:pPr>
            <w:r>
              <w:rPr>
                <w:rFonts w:hint="eastAsia"/>
                <w:b/>
                <w:bCs/>
              </w:rPr>
              <w:t>类型</w:t>
            </w:r>
          </w:p>
        </w:tc>
        <w:tc>
          <w:tcPr>
            <w:tcW w:w="1276" w:type="dxa"/>
            <w:noWrap/>
            <w:vAlign w:val="center"/>
          </w:tcPr>
          <w:p w14:paraId="0711C3D0">
            <w:pPr>
              <w:pStyle w:val="133"/>
              <w:rPr>
                <w:b/>
                <w:bCs/>
              </w:rPr>
            </w:pPr>
            <w:r>
              <w:rPr>
                <w:rFonts w:hint="eastAsia"/>
                <w:b/>
                <w:bCs/>
              </w:rPr>
              <w:t>浓度增量</w:t>
            </w:r>
          </w:p>
          <w:p w14:paraId="4F91C087">
            <w:pPr>
              <w:pStyle w:val="133"/>
              <w:jc w:val="both"/>
              <w:rPr>
                <w:b/>
                <w:bCs/>
              </w:rPr>
            </w:pPr>
            <w:r>
              <w:rPr>
                <w:rFonts w:hint="eastAsia"/>
                <w:b/>
                <w:bCs/>
              </w:rPr>
              <w:t>（mg/m^3）</w:t>
            </w:r>
          </w:p>
        </w:tc>
        <w:tc>
          <w:tcPr>
            <w:tcW w:w="1984" w:type="dxa"/>
            <w:noWrap/>
            <w:vAlign w:val="center"/>
          </w:tcPr>
          <w:p w14:paraId="2593DD33">
            <w:pPr>
              <w:pStyle w:val="133"/>
              <w:rPr>
                <w:b/>
                <w:bCs/>
              </w:rPr>
            </w:pPr>
            <w:r>
              <w:rPr>
                <w:rFonts w:hint="eastAsia"/>
                <w:b/>
                <w:bCs/>
              </w:rPr>
              <w:t>出现时间（YYMMDDHH）</w:t>
            </w:r>
          </w:p>
        </w:tc>
        <w:tc>
          <w:tcPr>
            <w:tcW w:w="1276" w:type="dxa"/>
            <w:vAlign w:val="center"/>
          </w:tcPr>
          <w:p w14:paraId="3499C56B">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0A377630">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0CBDBA86">
            <w:pPr>
              <w:pStyle w:val="133"/>
              <w:rPr>
                <w:b/>
                <w:bCs/>
              </w:rPr>
            </w:pPr>
            <w:r>
              <w:rPr>
                <w:rFonts w:hint="eastAsia"/>
                <w:b/>
                <w:bCs/>
              </w:rPr>
              <w:t>评价标准（mg/m^3）</w:t>
            </w:r>
          </w:p>
        </w:tc>
        <w:tc>
          <w:tcPr>
            <w:tcW w:w="992" w:type="dxa"/>
            <w:noWrap/>
            <w:vAlign w:val="center"/>
          </w:tcPr>
          <w:p w14:paraId="65A96B2A">
            <w:pPr>
              <w:pStyle w:val="133"/>
              <w:rPr>
                <w:b/>
                <w:bCs/>
              </w:rPr>
            </w:pPr>
            <w:r>
              <w:rPr>
                <w:rFonts w:hint="eastAsia"/>
                <w:b/>
                <w:bCs/>
              </w:rPr>
              <w:t>占标率</w:t>
            </w:r>
          </w:p>
          <w:p w14:paraId="2F8104D9">
            <w:pPr>
              <w:pStyle w:val="133"/>
              <w:rPr>
                <w:b/>
                <w:bCs/>
              </w:rPr>
            </w:pPr>
            <w:r>
              <w:rPr>
                <w:rFonts w:hint="eastAsia"/>
                <w:b/>
                <w:bCs/>
              </w:rPr>
              <w:t>%</w:t>
            </w:r>
          </w:p>
        </w:tc>
        <w:tc>
          <w:tcPr>
            <w:tcW w:w="902" w:type="dxa"/>
            <w:noWrap/>
            <w:vAlign w:val="center"/>
          </w:tcPr>
          <w:p w14:paraId="03A3C377">
            <w:pPr>
              <w:pStyle w:val="133"/>
              <w:rPr>
                <w:b/>
                <w:bCs/>
              </w:rPr>
            </w:pPr>
            <w:r>
              <w:rPr>
                <w:rFonts w:hint="eastAsia"/>
                <w:b/>
                <w:bCs/>
              </w:rPr>
              <w:t>是否</w:t>
            </w:r>
          </w:p>
          <w:p w14:paraId="3C8E5C69">
            <w:pPr>
              <w:pStyle w:val="133"/>
              <w:rPr>
                <w:b/>
                <w:bCs/>
              </w:rPr>
            </w:pPr>
            <w:r>
              <w:rPr>
                <w:rFonts w:hint="eastAsia"/>
                <w:b/>
                <w:bCs/>
              </w:rPr>
              <w:t>超标</w:t>
            </w:r>
          </w:p>
        </w:tc>
      </w:tr>
      <w:tr w14:paraId="0ABEB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7B371FCB">
            <w:pPr>
              <w:pStyle w:val="133"/>
            </w:pPr>
            <w:r>
              <w:rPr>
                <w:rFonts w:hint="eastAsia"/>
              </w:rPr>
              <w:t>1</w:t>
            </w:r>
          </w:p>
        </w:tc>
        <w:tc>
          <w:tcPr>
            <w:tcW w:w="993" w:type="dxa"/>
            <w:noWrap/>
            <w:vAlign w:val="center"/>
          </w:tcPr>
          <w:p w14:paraId="0CCBB938">
            <w:pPr>
              <w:pStyle w:val="133"/>
            </w:pPr>
            <w:r>
              <w:rPr>
                <w:rFonts w:hint="eastAsia"/>
              </w:rPr>
              <w:t>网格</w:t>
            </w:r>
          </w:p>
        </w:tc>
        <w:tc>
          <w:tcPr>
            <w:tcW w:w="1275" w:type="dxa"/>
            <w:noWrap/>
            <w:vAlign w:val="center"/>
          </w:tcPr>
          <w:p w14:paraId="7E8D403A">
            <w:pPr>
              <w:pStyle w:val="133"/>
              <w:rPr>
                <w:rFonts w:cs="Times New Roman"/>
              </w:rPr>
            </w:pPr>
            <w:r>
              <w:t>-</w:t>
            </w:r>
            <w:r>
              <w:rPr>
                <w:rFonts w:hint="eastAsia"/>
              </w:rPr>
              <w:t>4</w:t>
            </w:r>
            <w:r>
              <w:t>00</w:t>
            </w:r>
            <w:r>
              <w:rPr>
                <w:rFonts w:hint="eastAsia"/>
              </w:rPr>
              <w:t>,0</w:t>
            </w:r>
          </w:p>
        </w:tc>
        <w:tc>
          <w:tcPr>
            <w:tcW w:w="1134" w:type="dxa"/>
            <w:noWrap/>
            <w:vAlign w:val="center"/>
          </w:tcPr>
          <w:p w14:paraId="0BE5FBB1">
            <w:pPr>
              <w:pStyle w:val="133"/>
            </w:pPr>
            <w:r>
              <w:rPr>
                <w:rFonts w:hint="eastAsia"/>
              </w:rPr>
              <w:t>694.20</w:t>
            </w:r>
          </w:p>
        </w:tc>
        <w:tc>
          <w:tcPr>
            <w:tcW w:w="851" w:type="dxa"/>
            <w:noWrap/>
            <w:vAlign w:val="center"/>
          </w:tcPr>
          <w:p w14:paraId="10F56A47">
            <w:pPr>
              <w:pStyle w:val="133"/>
            </w:pPr>
            <w:r>
              <w:rPr>
                <w:rFonts w:hint="eastAsia"/>
              </w:rPr>
              <w:t>1小时</w:t>
            </w:r>
          </w:p>
        </w:tc>
        <w:tc>
          <w:tcPr>
            <w:tcW w:w="1276" w:type="dxa"/>
            <w:noWrap/>
          </w:tcPr>
          <w:p w14:paraId="31FAE961">
            <w:pPr>
              <w:pStyle w:val="133"/>
            </w:pPr>
            <w:r>
              <w:rPr>
                <w:rFonts w:hint="eastAsia"/>
              </w:rPr>
              <w:t>0.00223</w:t>
            </w:r>
          </w:p>
        </w:tc>
        <w:tc>
          <w:tcPr>
            <w:tcW w:w="1984" w:type="dxa"/>
            <w:noWrap/>
          </w:tcPr>
          <w:p w14:paraId="01D801F0">
            <w:pPr>
              <w:pStyle w:val="133"/>
            </w:pPr>
            <w:r>
              <w:rPr>
                <w:rFonts w:hint="eastAsia"/>
              </w:rPr>
              <w:t>23091307</w:t>
            </w:r>
          </w:p>
        </w:tc>
        <w:tc>
          <w:tcPr>
            <w:tcW w:w="1276" w:type="dxa"/>
          </w:tcPr>
          <w:p w14:paraId="56CF038B">
            <w:pPr>
              <w:pStyle w:val="133"/>
            </w:pPr>
            <w:r>
              <w:rPr>
                <w:rFonts w:hint="eastAsia"/>
              </w:rPr>
              <w:t>0.05</w:t>
            </w:r>
          </w:p>
        </w:tc>
        <w:tc>
          <w:tcPr>
            <w:tcW w:w="1276" w:type="dxa"/>
          </w:tcPr>
          <w:p w14:paraId="5EC7BD8B">
            <w:pPr>
              <w:pStyle w:val="133"/>
            </w:pPr>
            <w:r>
              <w:rPr>
                <w:rFonts w:hint="eastAsia"/>
              </w:rPr>
              <w:t>0.05223</w:t>
            </w:r>
          </w:p>
        </w:tc>
        <w:tc>
          <w:tcPr>
            <w:tcW w:w="1417" w:type="dxa"/>
            <w:noWrap/>
          </w:tcPr>
          <w:p w14:paraId="2FBF6A5E">
            <w:pPr>
              <w:pStyle w:val="133"/>
            </w:pPr>
            <w:r>
              <w:rPr>
                <w:rFonts w:hint="eastAsia"/>
              </w:rPr>
              <w:t>0.2</w:t>
            </w:r>
          </w:p>
        </w:tc>
        <w:tc>
          <w:tcPr>
            <w:tcW w:w="992" w:type="dxa"/>
            <w:noWrap/>
          </w:tcPr>
          <w:p w14:paraId="5D606F10">
            <w:pPr>
              <w:pStyle w:val="133"/>
            </w:pPr>
            <w:r>
              <w:rPr>
                <w:rFonts w:hint="eastAsia"/>
              </w:rPr>
              <w:t>26.11</w:t>
            </w:r>
          </w:p>
        </w:tc>
        <w:tc>
          <w:tcPr>
            <w:tcW w:w="902" w:type="dxa"/>
            <w:noWrap/>
          </w:tcPr>
          <w:p w14:paraId="5791ADA0">
            <w:pPr>
              <w:pStyle w:val="133"/>
            </w:pPr>
            <w:r>
              <w:rPr>
                <w:rFonts w:hint="eastAsia"/>
              </w:rPr>
              <w:t>达标</w:t>
            </w:r>
          </w:p>
        </w:tc>
      </w:tr>
    </w:tbl>
    <w:p w14:paraId="1D8D59DC">
      <w:pPr>
        <w:pStyle w:val="118"/>
        <w:ind w:firstLine="480"/>
        <w:rPr>
          <w:sz w:val="18"/>
          <w:szCs w:val="18"/>
        </w:rPr>
      </w:pPr>
      <w:r>
        <w:t>表</w:t>
      </w:r>
      <w:r>
        <w:rPr>
          <w:rFonts w:hint="eastAsia"/>
          <w:spacing w:val="8"/>
        </w:rPr>
        <w:t>5.2-32</w:t>
      </w:r>
      <w:r>
        <w:t xml:space="preserve">  环境保护目标和预测网格</w:t>
      </w:r>
      <w:r>
        <w:rPr>
          <w:rFonts w:hint="eastAsia"/>
        </w:rPr>
        <w:t>H</w:t>
      </w:r>
      <w:r>
        <w:rPr>
          <w:rFonts w:hint="eastAsia"/>
          <w:vertAlign w:val="subscript"/>
        </w:rPr>
        <w:t>2</w:t>
      </w:r>
      <w:r>
        <w:rPr>
          <w:rFonts w:hint="eastAsia"/>
        </w:rPr>
        <w:t>S</w:t>
      </w:r>
      <w:r>
        <w:t>浓度贡献值叠加背景值</w:t>
      </w:r>
      <w:r>
        <w:rPr>
          <w:rFonts w:hint="eastAsia"/>
        </w:rPr>
        <w:t>小时平均</w:t>
      </w:r>
      <w:r>
        <w:t>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26921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noWrap/>
            <w:vAlign w:val="center"/>
          </w:tcPr>
          <w:p w14:paraId="52BD16E0">
            <w:pPr>
              <w:pStyle w:val="133"/>
              <w:rPr>
                <w:b/>
                <w:bCs/>
              </w:rPr>
            </w:pPr>
            <w:r>
              <w:rPr>
                <w:rFonts w:hint="eastAsia"/>
                <w:b/>
                <w:bCs/>
              </w:rPr>
              <w:t>序号</w:t>
            </w:r>
          </w:p>
        </w:tc>
        <w:tc>
          <w:tcPr>
            <w:tcW w:w="1010" w:type="dxa"/>
            <w:noWrap/>
            <w:vAlign w:val="center"/>
          </w:tcPr>
          <w:p w14:paraId="3B2373EE">
            <w:pPr>
              <w:pStyle w:val="133"/>
              <w:rPr>
                <w:b/>
                <w:bCs/>
              </w:rPr>
            </w:pPr>
            <w:r>
              <w:rPr>
                <w:rFonts w:hint="eastAsia"/>
                <w:b/>
                <w:bCs/>
              </w:rPr>
              <w:t>点名称</w:t>
            </w:r>
          </w:p>
        </w:tc>
        <w:tc>
          <w:tcPr>
            <w:tcW w:w="1297" w:type="dxa"/>
            <w:noWrap/>
            <w:vAlign w:val="center"/>
          </w:tcPr>
          <w:p w14:paraId="5A234228">
            <w:pPr>
              <w:pStyle w:val="133"/>
              <w:rPr>
                <w:b/>
                <w:bCs/>
              </w:rPr>
            </w:pPr>
            <w:r>
              <w:rPr>
                <w:rFonts w:hint="eastAsia"/>
                <w:b/>
                <w:bCs/>
              </w:rPr>
              <w:t>点坐标</w:t>
            </w:r>
          </w:p>
          <w:p w14:paraId="15ADEA6D">
            <w:pPr>
              <w:pStyle w:val="133"/>
              <w:rPr>
                <w:b/>
                <w:bCs/>
              </w:rPr>
            </w:pPr>
            <w:r>
              <w:rPr>
                <w:rFonts w:hint="eastAsia"/>
                <w:b/>
                <w:bCs/>
              </w:rPr>
              <w:t>（x,y）</w:t>
            </w:r>
          </w:p>
        </w:tc>
        <w:tc>
          <w:tcPr>
            <w:tcW w:w="1154" w:type="dxa"/>
            <w:noWrap/>
            <w:vAlign w:val="center"/>
          </w:tcPr>
          <w:p w14:paraId="4C070EAB">
            <w:pPr>
              <w:pStyle w:val="133"/>
              <w:rPr>
                <w:b/>
                <w:bCs/>
              </w:rPr>
            </w:pPr>
            <w:r>
              <w:rPr>
                <w:rFonts w:hint="eastAsia"/>
                <w:b/>
                <w:bCs/>
              </w:rPr>
              <w:t>地面高程</w:t>
            </w:r>
          </w:p>
          <w:p w14:paraId="45CAA35E">
            <w:pPr>
              <w:pStyle w:val="133"/>
              <w:rPr>
                <w:b/>
                <w:bCs/>
              </w:rPr>
            </w:pPr>
            <w:r>
              <w:rPr>
                <w:rFonts w:hint="eastAsia"/>
                <w:b/>
                <w:bCs/>
              </w:rPr>
              <w:t>（m）</w:t>
            </w:r>
          </w:p>
        </w:tc>
        <w:tc>
          <w:tcPr>
            <w:tcW w:w="866" w:type="dxa"/>
            <w:noWrap/>
            <w:vAlign w:val="center"/>
          </w:tcPr>
          <w:p w14:paraId="09EA208C">
            <w:pPr>
              <w:pStyle w:val="133"/>
              <w:rPr>
                <w:b/>
                <w:bCs/>
              </w:rPr>
            </w:pPr>
            <w:r>
              <w:rPr>
                <w:rFonts w:hint="eastAsia"/>
                <w:b/>
                <w:bCs/>
              </w:rPr>
              <w:t>浓度</w:t>
            </w:r>
          </w:p>
          <w:p w14:paraId="75EF54B3">
            <w:pPr>
              <w:pStyle w:val="133"/>
              <w:rPr>
                <w:b/>
                <w:bCs/>
              </w:rPr>
            </w:pPr>
            <w:r>
              <w:rPr>
                <w:rFonts w:hint="eastAsia"/>
                <w:b/>
                <w:bCs/>
              </w:rPr>
              <w:t>类型</w:t>
            </w:r>
          </w:p>
        </w:tc>
        <w:tc>
          <w:tcPr>
            <w:tcW w:w="1299" w:type="dxa"/>
            <w:noWrap/>
            <w:vAlign w:val="center"/>
          </w:tcPr>
          <w:p w14:paraId="79915FEB">
            <w:pPr>
              <w:pStyle w:val="133"/>
              <w:rPr>
                <w:b/>
                <w:bCs/>
              </w:rPr>
            </w:pPr>
            <w:r>
              <w:rPr>
                <w:rFonts w:hint="eastAsia"/>
                <w:b/>
                <w:bCs/>
              </w:rPr>
              <w:t>浓度增量</w:t>
            </w:r>
          </w:p>
          <w:p w14:paraId="5919B52D">
            <w:pPr>
              <w:pStyle w:val="133"/>
              <w:jc w:val="both"/>
              <w:rPr>
                <w:b/>
                <w:bCs/>
              </w:rPr>
            </w:pPr>
            <w:r>
              <w:rPr>
                <w:rFonts w:hint="eastAsia"/>
                <w:b/>
                <w:bCs/>
              </w:rPr>
              <w:t>（mg/m^3）</w:t>
            </w:r>
          </w:p>
        </w:tc>
        <w:tc>
          <w:tcPr>
            <w:tcW w:w="2019" w:type="dxa"/>
            <w:noWrap/>
            <w:vAlign w:val="center"/>
          </w:tcPr>
          <w:p w14:paraId="4A487476">
            <w:pPr>
              <w:pStyle w:val="133"/>
              <w:rPr>
                <w:b/>
                <w:bCs/>
              </w:rPr>
            </w:pPr>
            <w:r>
              <w:rPr>
                <w:rFonts w:hint="eastAsia"/>
                <w:b/>
                <w:bCs/>
              </w:rPr>
              <w:t>出现时间（YYMMDDHH）</w:t>
            </w:r>
          </w:p>
        </w:tc>
        <w:tc>
          <w:tcPr>
            <w:tcW w:w="1299" w:type="dxa"/>
            <w:vAlign w:val="center"/>
          </w:tcPr>
          <w:p w14:paraId="58A8A909">
            <w:pPr>
              <w:pStyle w:val="133"/>
              <w:rPr>
                <w:b/>
                <w:bCs/>
              </w:rPr>
            </w:pPr>
            <w:r>
              <w:rPr>
                <w:rFonts w:hint="eastAsia"/>
                <w:b/>
                <w:bCs/>
              </w:rPr>
              <w:t>背景浓度（mg/m</w:t>
            </w:r>
            <w:r>
              <w:rPr>
                <w:b/>
                <w:bCs/>
                <w:vertAlign w:val="superscript"/>
              </w:rPr>
              <w:t>3</w:t>
            </w:r>
            <w:r>
              <w:rPr>
                <w:rFonts w:hint="eastAsia"/>
                <w:b/>
                <w:bCs/>
              </w:rPr>
              <w:t>）</w:t>
            </w:r>
          </w:p>
        </w:tc>
        <w:tc>
          <w:tcPr>
            <w:tcW w:w="1299" w:type="dxa"/>
            <w:vAlign w:val="center"/>
          </w:tcPr>
          <w:p w14:paraId="596993C3">
            <w:pPr>
              <w:pStyle w:val="133"/>
              <w:rPr>
                <w:b/>
                <w:bCs/>
              </w:rPr>
            </w:pPr>
            <w:r>
              <w:rPr>
                <w:rFonts w:hint="eastAsia"/>
                <w:b/>
                <w:bCs/>
              </w:rPr>
              <w:t>叠加背景后的浓度（mg/m</w:t>
            </w:r>
            <w:r>
              <w:rPr>
                <w:rFonts w:hint="eastAsia"/>
                <w:b/>
                <w:bCs/>
                <w:vertAlign w:val="superscript"/>
              </w:rPr>
              <w:t>3</w:t>
            </w:r>
            <w:r>
              <w:rPr>
                <w:rFonts w:hint="eastAsia"/>
                <w:b/>
                <w:bCs/>
              </w:rPr>
              <w:t>）</w:t>
            </w:r>
          </w:p>
        </w:tc>
        <w:tc>
          <w:tcPr>
            <w:tcW w:w="1442" w:type="dxa"/>
            <w:noWrap/>
            <w:vAlign w:val="center"/>
          </w:tcPr>
          <w:p w14:paraId="42568358">
            <w:pPr>
              <w:pStyle w:val="133"/>
              <w:rPr>
                <w:b/>
                <w:bCs/>
              </w:rPr>
            </w:pPr>
            <w:r>
              <w:rPr>
                <w:rFonts w:hint="eastAsia"/>
                <w:b/>
                <w:bCs/>
              </w:rPr>
              <w:t>评价标准（mg/m^3）</w:t>
            </w:r>
          </w:p>
        </w:tc>
        <w:tc>
          <w:tcPr>
            <w:tcW w:w="1010" w:type="dxa"/>
            <w:noWrap/>
            <w:vAlign w:val="center"/>
          </w:tcPr>
          <w:p w14:paraId="0BF9A934">
            <w:pPr>
              <w:pStyle w:val="133"/>
              <w:rPr>
                <w:b/>
                <w:bCs/>
              </w:rPr>
            </w:pPr>
            <w:r>
              <w:rPr>
                <w:rFonts w:hint="eastAsia"/>
                <w:b/>
                <w:bCs/>
              </w:rPr>
              <w:t>占标率</w:t>
            </w:r>
          </w:p>
          <w:p w14:paraId="03DCE864">
            <w:pPr>
              <w:pStyle w:val="133"/>
              <w:rPr>
                <w:b/>
                <w:bCs/>
              </w:rPr>
            </w:pPr>
            <w:r>
              <w:rPr>
                <w:rFonts w:hint="eastAsia"/>
                <w:b/>
                <w:bCs/>
              </w:rPr>
              <w:t>%</w:t>
            </w:r>
          </w:p>
        </w:tc>
        <w:tc>
          <w:tcPr>
            <w:tcW w:w="918" w:type="dxa"/>
            <w:noWrap/>
            <w:vAlign w:val="center"/>
          </w:tcPr>
          <w:p w14:paraId="4CCBF628">
            <w:pPr>
              <w:pStyle w:val="133"/>
              <w:rPr>
                <w:b/>
                <w:bCs/>
              </w:rPr>
            </w:pPr>
            <w:r>
              <w:rPr>
                <w:rFonts w:hint="eastAsia"/>
                <w:b/>
                <w:bCs/>
              </w:rPr>
              <w:t>是否</w:t>
            </w:r>
          </w:p>
          <w:p w14:paraId="47AF2E5A">
            <w:pPr>
              <w:pStyle w:val="133"/>
              <w:rPr>
                <w:b/>
                <w:bCs/>
              </w:rPr>
            </w:pPr>
            <w:r>
              <w:rPr>
                <w:rFonts w:hint="eastAsia"/>
                <w:b/>
                <w:bCs/>
              </w:rPr>
              <w:t>超标</w:t>
            </w:r>
          </w:p>
        </w:tc>
      </w:tr>
      <w:tr w14:paraId="226B9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dxa"/>
            <w:noWrap/>
            <w:vAlign w:val="center"/>
          </w:tcPr>
          <w:p w14:paraId="4DFD1E2A">
            <w:pPr>
              <w:pStyle w:val="133"/>
            </w:pPr>
            <w:r>
              <w:rPr>
                <w:rFonts w:hint="eastAsia"/>
              </w:rPr>
              <w:t>1</w:t>
            </w:r>
          </w:p>
        </w:tc>
        <w:tc>
          <w:tcPr>
            <w:tcW w:w="1010" w:type="dxa"/>
            <w:noWrap/>
            <w:vAlign w:val="center"/>
          </w:tcPr>
          <w:p w14:paraId="027AFDC4">
            <w:pPr>
              <w:pStyle w:val="133"/>
            </w:pPr>
            <w:r>
              <w:rPr>
                <w:rFonts w:hint="eastAsia"/>
              </w:rPr>
              <w:t>网格</w:t>
            </w:r>
          </w:p>
        </w:tc>
        <w:tc>
          <w:tcPr>
            <w:tcW w:w="1297" w:type="dxa"/>
            <w:noWrap/>
            <w:vAlign w:val="center"/>
          </w:tcPr>
          <w:p w14:paraId="4365E6C6">
            <w:pPr>
              <w:pStyle w:val="133"/>
              <w:rPr>
                <w:rFonts w:cs="Times New Roman"/>
              </w:rPr>
            </w:pPr>
            <w:r>
              <w:t>-</w:t>
            </w:r>
            <w:r>
              <w:rPr>
                <w:rFonts w:hint="eastAsia"/>
              </w:rPr>
              <w:t>4</w:t>
            </w:r>
            <w:r>
              <w:t>00</w:t>
            </w:r>
            <w:r>
              <w:rPr>
                <w:rFonts w:hint="eastAsia"/>
              </w:rPr>
              <w:t>,0</w:t>
            </w:r>
          </w:p>
        </w:tc>
        <w:tc>
          <w:tcPr>
            <w:tcW w:w="1154" w:type="dxa"/>
            <w:noWrap/>
            <w:vAlign w:val="center"/>
          </w:tcPr>
          <w:p w14:paraId="375317F8">
            <w:pPr>
              <w:pStyle w:val="133"/>
            </w:pPr>
            <w:r>
              <w:rPr>
                <w:rFonts w:hint="eastAsia"/>
              </w:rPr>
              <w:t>694.20</w:t>
            </w:r>
          </w:p>
        </w:tc>
        <w:tc>
          <w:tcPr>
            <w:tcW w:w="866" w:type="dxa"/>
            <w:noWrap/>
            <w:vAlign w:val="center"/>
          </w:tcPr>
          <w:p w14:paraId="09CB4E01">
            <w:pPr>
              <w:pStyle w:val="133"/>
            </w:pPr>
            <w:r>
              <w:rPr>
                <w:rFonts w:hint="eastAsia"/>
              </w:rPr>
              <w:t>1小时</w:t>
            </w:r>
          </w:p>
        </w:tc>
        <w:tc>
          <w:tcPr>
            <w:tcW w:w="1299" w:type="dxa"/>
            <w:noWrap/>
          </w:tcPr>
          <w:p w14:paraId="577C25B9">
            <w:pPr>
              <w:pStyle w:val="133"/>
            </w:pPr>
            <w:r>
              <w:rPr>
                <w:rFonts w:hint="eastAsia"/>
              </w:rPr>
              <w:t>0.000645</w:t>
            </w:r>
          </w:p>
        </w:tc>
        <w:tc>
          <w:tcPr>
            <w:tcW w:w="2019" w:type="dxa"/>
            <w:noWrap/>
          </w:tcPr>
          <w:p w14:paraId="50C00E3C">
            <w:pPr>
              <w:pStyle w:val="133"/>
            </w:pPr>
            <w:r>
              <w:rPr>
                <w:rFonts w:hint="eastAsia"/>
              </w:rPr>
              <w:t>23091307</w:t>
            </w:r>
          </w:p>
        </w:tc>
        <w:tc>
          <w:tcPr>
            <w:tcW w:w="1299" w:type="dxa"/>
          </w:tcPr>
          <w:p w14:paraId="72EF0071">
            <w:pPr>
              <w:pStyle w:val="133"/>
            </w:pPr>
            <w:r>
              <w:rPr>
                <w:rFonts w:hint="eastAsia"/>
              </w:rPr>
              <w:t>0.0025</w:t>
            </w:r>
          </w:p>
        </w:tc>
        <w:tc>
          <w:tcPr>
            <w:tcW w:w="1299" w:type="dxa"/>
          </w:tcPr>
          <w:p w14:paraId="55F0D76D">
            <w:pPr>
              <w:pStyle w:val="133"/>
            </w:pPr>
            <w:r>
              <w:rPr>
                <w:rFonts w:hint="eastAsia"/>
              </w:rPr>
              <w:t>0.003145</w:t>
            </w:r>
          </w:p>
        </w:tc>
        <w:tc>
          <w:tcPr>
            <w:tcW w:w="1442" w:type="dxa"/>
            <w:noWrap/>
          </w:tcPr>
          <w:p w14:paraId="13854B7D">
            <w:pPr>
              <w:pStyle w:val="133"/>
            </w:pPr>
            <w:r>
              <w:rPr>
                <w:rFonts w:hint="eastAsia"/>
              </w:rPr>
              <w:t>0.01</w:t>
            </w:r>
          </w:p>
        </w:tc>
        <w:tc>
          <w:tcPr>
            <w:tcW w:w="1010" w:type="dxa"/>
            <w:noWrap/>
          </w:tcPr>
          <w:p w14:paraId="7BADBA8C">
            <w:pPr>
              <w:pStyle w:val="133"/>
            </w:pPr>
            <w:r>
              <w:rPr>
                <w:rFonts w:hint="eastAsia"/>
              </w:rPr>
              <w:t>31.45</w:t>
            </w:r>
          </w:p>
        </w:tc>
        <w:tc>
          <w:tcPr>
            <w:tcW w:w="918" w:type="dxa"/>
            <w:noWrap/>
          </w:tcPr>
          <w:p w14:paraId="52DA7948">
            <w:pPr>
              <w:pStyle w:val="133"/>
            </w:pPr>
            <w:r>
              <w:rPr>
                <w:rFonts w:hint="eastAsia"/>
              </w:rPr>
              <w:t>达标</w:t>
            </w:r>
          </w:p>
        </w:tc>
      </w:tr>
    </w:tbl>
    <w:p w14:paraId="2BAE8FA3">
      <w:pPr>
        <w:pStyle w:val="118"/>
        <w:ind w:firstLine="480"/>
        <w:rPr>
          <w:sz w:val="18"/>
          <w:szCs w:val="18"/>
        </w:rPr>
      </w:pPr>
      <w:r>
        <w:t>表</w:t>
      </w:r>
      <w:r>
        <w:rPr>
          <w:rFonts w:hint="eastAsia"/>
          <w:spacing w:val="8"/>
        </w:rPr>
        <w:t>5.2-33</w:t>
      </w:r>
      <w:r>
        <w:t xml:space="preserve">  环境保护目标和预测网格</w:t>
      </w:r>
      <w:r>
        <w:rPr>
          <w:rFonts w:hint="eastAsia"/>
        </w:rPr>
        <w:t>NMHC</w:t>
      </w:r>
      <w:r>
        <w:t>浓度贡献值叠加背景值</w:t>
      </w:r>
      <w:r>
        <w:rPr>
          <w:rFonts w:hint="eastAsia"/>
        </w:rPr>
        <w:t>小时平均</w:t>
      </w:r>
      <w:r>
        <w:t>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40CF60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62C91DE1">
            <w:pPr>
              <w:pStyle w:val="133"/>
              <w:rPr>
                <w:b/>
                <w:bCs/>
              </w:rPr>
            </w:pPr>
            <w:r>
              <w:rPr>
                <w:rFonts w:hint="eastAsia"/>
                <w:b/>
                <w:bCs/>
              </w:rPr>
              <w:t>序号</w:t>
            </w:r>
          </w:p>
        </w:tc>
        <w:tc>
          <w:tcPr>
            <w:tcW w:w="993" w:type="dxa"/>
            <w:noWrap/>
            <w:vAlign w:val="center"/>
          </w:tcPr>
          <w:p w14:paraId="588C2D62">
            <w:pPr>
              <w:pStyle w:val="133"/>
              <w:rPr>
                <w:b/>
                <w:bCs/>
              </w:rPr>
            </w:pPr>
            <w:r>
              <w:rPr>
                <w:rFonts w:hint="eastAsia"/>
                <w:b/>
                <w:bCs/>
              </w:rPr>
              <w:t>点名称</w:t>
            </w:r>
          </w:p>
        </w:tc>
        <w:tc>
          <w:tcPr>
            <w:tcW w:w="1275" w:type="dxa"/>
            <w:noWrap/>
            <w:vAlign w:val="center"/>
          </w:tcPr>
          <w:p w14:paraId="14B5F0FB">
            <w:pPr>
              <w:pStyle w:val="133"/>
              <w:rPr>
                <w:b/>
                <w:bCs/>
              </w:rPr>
            </w:pPr>
            <w:r>
              <w:rPr>
                <w:rFonts w:hint="eastAsia"/>
                <w:b/>
                <w:bCs/>
              </w:rPr>
              <w:t>点坐标</w:t>
            </w:r>
          </w:p>
          <w:p w14:paraId="22EA81A3">
            <w:pPr>
              <w:pStyle w:val="133"/>
              <w:rPr>
                <w:b/>
                <w:bCs/>
              </w:rPr>
            </w:pPr>
            <w:r>
              <w:rPr>
                <w:rFonts w:hint="eastAsia"/>
                <w:b/>
                <w:bCs/>
              </w:rPr>
              <w:t>（x,y）</w:t>
            </w:r>
          </w:p>
        </w:tc>
        <w:tc>
          <w:tcPr>
            <w:tcW w:w="1134" w:type="dxa"/>
            <w:noWrap/>
            <w:vAlign w:val="center"/>
          </w:tcPr>
          <w:p w14:paraId="197C0363">
            <w:pPr>
              <w:pStyle w:val="133"/>
              <w:rPr>
                <w:b/>
                <w:bCs/>
              </w:rPr>
            </w:pPr>
            <w:r>
              <w:rPr>
                <w:rFonts w:hint="eastAsia"/>
                <w:b/>
                <w:bCs/>
              </w:rPr>
              <w:t>地面高程</w:t>
            </w:r>
          </w:p>
          <w:p w14:paraId="459AB725">
            <w:pPr>
              <w:pStyle w:val="133"/>
              <w:rPr>
                <w:b/>
                <w:bCs/>
              </w:rPr>
            </w:pPr>
            <w:r>
              <w:rPr>
                <w:rFonts w:hint="eastAsia"/>
                <w:b/>
                <w:bCs/>
              </w:rPr>
              <w:t>（m）</w:t>
            </w:r>
          </w:p>
        </w:tc>
        <w:tc>
          <w:tcPr>
            <w:tcW w:w="851" w:type="dxa"/>
            <w:noWrap/>
            <w:vAlign w:val="center"/>
          </w:tcPr>
          <w:p w14:paraId="5B70D989">
            <w:pPr>
              <w:pStyle w:val="133"/>
              <w:rPr>
                <w:b/>
                <w:bCs/>
              </w:rPr>
            </w:pPr>
            <w:r>
              <w:rPr>
                <w:rFonts w:hint="eastAsia"/>
                <w:b/>
                <w:bCs/>
              </w:rPr>
              <w:t>浓度</w:t>
            </w:r>
          </w:p>
          <w:p w14:paraId="13564778">
            <w:pPr>
              <w:pStyle w:val="133"/>
              <w:rPr>
                <w:b/>
                <w:bCs/>
              </w:rPr>
            </w:pPr>
            <w:r>
              <w:rPr>
                <w:rFonts w:hint="eastAsia"/>
                <w:b/>
                <w:bCs/>
              </w:rPr>
              <w:t>类型</w:t>
            </w:r>
          </w:p>
        </w:tc>
        <w:tc>
          <w:tcPr>
            <w:tcW w:w="1276" w:type="dxa"/>
            <w:noWrap/>
            <w:vAlign w:val="center"/>
          </w:tcPr>
          <w:p w14:paraId="7000933E">
            <w:pPr>
              <w:pStyle w:val="133"/>
              <w:rPr>
                <w:b/>
                <w:bCs/>
              </w:rPr>
            </w:pPr>
            <w:r>
              <w:rPr>
                <w:rFonts w:hint="eastAsia"/>
                <w:b/>
                <w:bCs/>
              </w:rPr>
              <w:t>浓度增量</w:t>
            </w:r>
          </w:p>
          <w:p w14:paraId="611DAAC1">
            <w:pPr>
              <w:pStyle w:val="133"/>
              <w:jc w:val="both"/>
              <w:rPr>
                <w:b/>
                <w:bCs/>
              </w:rPr>
            </w:pPr>
            <w:r>
              <w:rPr>
                <w:rFonts w:hint="eastAsia"/>
                <w:b/>
                <w:bCs/>
              </w:rPr>
              <w:t>（mg/m^3）</w:t>
            </w:r>
          </w:p>
        </w:tc>
        <w:tc>
          <w:tcPr>
            <w:tcW w:w="1984" w:type="dxa"/>
            <w:noWrap/>
            <w:vAlign w:val="center"/>
          </w:tcPr>
          <w:p w14:paraId="4A2CAA6B">
            <w:pPr>
              <w:pStyle w:val="133"/>
              <w:rPr>
                <w:b/>
                <w:bCs/>
              </w:rPr>
            </w:pPr>
            <w:r>
              <w:rPr>
                <w:rFonts w:hint="eastAsia"/>
                <w:b/>
                <w:bCs/>
              </w:rPr>
              <w:t>出现时间（YYMMDDHH）</w:t>
            </w:r>
          </w:p>
        </w:tc>
        <w:tc>
          <w:tcPr>
            <w:tcW w:w="1276" w:type="dxa"/>
            <w:vAlign w:val="center"/>
          </w:tcPr>
          <w:p w14:paraId="2E92B1D3">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4CBCB528">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7E7EA0A3">
            <w:pPr>
              <w:pStyle w:val="133"/>
              <w:rPr>
                <w:b/>
                <w:bCs/>
              </w:rPr>
            </w:pPr>
            <w:r>
              <w:rPr>
                <w:rFonts w:hint="eastAsia"/>
                <w:b/>
                <w:bCs/>
              </w:rPr>
              <w:t>评价标准（mg/m^3）</w:t>
            </w:r>
          </w:p>
        </w:tc>
        <w:tc>
          <w:tcPr>
            <w:tcW w:w="992" w:type="dxa"/>
            <w:noWrap/>
            <w:vAlign w:val="center"/>
          </w:tcPr>
          <w:p w14:paraId="5AE576A3">
            <w:pPr>
              <w:pStyle w:val="133"/>
              <w:rPr>
                <w:b/>
                <w:bCs/>
              </w:rPr>
            </w:pPr>
            <w:r>
              <w:rPr>
                <w:rFonts w:hint="eastAsia"/>
                <w:b/>
                <w:bCs/>
              </w:rPr>
              <w:t>占标率</w:t>
            </w:r>
          </w:p>
          <w:p w14:paraId="30053AEF">
            <w:pPr>
              <w:pStyle w:val="133"/>
              <w:rPr>
                <w:b/>
                <w:bCs/>
              </w:rPr>
            </w:pPr>
            <w:r>
              <w:rPr>
                <w:rFonts w:hint="eastAsia"/>
                <w:b/>
                <w:bCs/>
              </w:rPr>
              <w:t>%</w:t>
            </w:r>
          </w:p>
        </w:tc>
        <w:tc>
          <w:tcPr>
            <w:tcW w:w="902" w:type="dxa"/>
            <w:noWrap/>
            <w:vAlign w:val="center"/>
          </w:tcPr>
          <w:p w14:paraId="53B2B5FE">
            <w:pPr>
              <w:pStyle w:val="133"/>
              <w:rPr>
                <w:b/>
                <w:bCs/>
              </w:rPr>
            </w:pPr>
            <w:r>
              <w:rPr>
                <w:rFonts w:hint="eastAsia"/>
                <w:b/>
                <w:bCs/>
              </w:rPr>
              <w:t>是否</w:t>
            </w:r>
          </w:p>
          <w:p w14:paraId="09FCC2F1">
            <w:pPr>
              <w:pStyle w:val="133"/>
              <w:rPr>
                <w:b/>
                <w:bCs/>
              </w:rPr>
            </w:pPr>
            <w:r>
              <w:rPr>
                <w:rFonts w:hint="eastAsia"/>
                <w:b/>
                <w:bCs/>
              </w:rPr>
              <w:t>超标</w:t>
            </w:r>
          </w:p>
        </w:tc>
      </w:tr>
      <w:tr w14:paraId="376C7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6EA5D8DF">
            <w:pPr>
              <w:pStyle w:val="133"/>
            </w:pPr>
            <w:r>
              <w:rPr>
                <w:rFonts w:hint="eastAsia"/>
              </w:rPr>
              <w:t>1</w:t>
            </w:r>
          </w:p>
        </w:tc>
        <w:tc>
          <w:tcPr>
            <w:tcW w:w="993" w:type="dxa"/>
            <w:noWrap/>
            <w:vAlign w:val="center"/>
          </w:tcPr>
          <w:p w14:paraId="6B7DDBA5">
            <w:pPr>
              <w:pStyle w:val="133"/>
            </w:pPr>
            <w:r>
              <w:rPr>
                <w:rFonts w:hint="eastAsia"/>
              </w:rPr>
              <w:t>网格</w:t>
            </w:r>
          </w:p>
        </w:tc>
        <w:tc>
          <w:tcPr>
            <w:tcW w:w="1275" w:type="dxa"/>
            <w:noWrap/>
            <w:vAlign w:val="center"/>
          </w:tcPr>
          <w:p w14:paraId="566033DD">
            <w:pPr>
              <w:pStyle w:val="133"/>
              <w:rPr>
                <w:rFonts w:cs="Times New Roman"/>
              </w:rPr>
            </w:pPr>
            <w:r>
              <w:t>-</w:t>
            </w:r>
            <w:r>
              <w:rPr>
                <w:rFonts w:hint="eastAsia"/>
              </w:rPr>
              <w:t>6</w:t>
            </w:r>
            <w:r>
              <w:t>00</w:t>
            </w:r>
            <w:r>
              <w:rPr>
                <w:rFonts w:hint="eastAsia"/>
              </w:rPr>
              <w:t>,400</w:t>
            </w:r>
          </w:p>
        </w:tc>
        <w:tc>
          <w:tcPr>
            <w:tcW w:w="1134" w:type="dxa"/>
            <w:noWrap/>
            <w:vAlign w:val="center"/>
          </w:tcPr>
          <w:p w14:paraId="43B286EB">
            <w:pPr>
              <w:pStyle w:val="133"/>
            </w:pPr>
            <w:r>
              <w:rPr>
                <w:rFonts w:hint="eastAsia"/>
              </w:rPr>
              <w:t>693.80</w:t>
            </w:r>
          </w:p>
        </w:tc>
        <w:tc>
          <w:tcPr>
            <w:tcW w:w="851" w:type="dxa"/>
            <w:noWrap/>
            <w:vAlign w:val="center"/>
          </w:tcPr>
          <w:p w14:paraId="32EEB2D9">
            <w:pPr>
              <w:pStyle w:val="133"/>
            </w:pPr>
            <w:r>
              <w:rPr>
                <w:rFonts w:hint="eastAsia"/>
              </w:rPr>
              <w:t>1小时</w:t>
            </w:r>
          </w:p>
        </w:tc>
        <w:tc>
          <w:tcPr>
            <w:tcW w:w="1276" w:type="dxa"/>
            <w:noWrap/>
          </w:tcPr>
          <w:p w14:paraId="0A5001A2">
            <w:pPr>
              <w:pStyle w:val="133"/>
            </w:pPr>
            <w:r>
              <w:rPr>
                <w:rFonts w:hint="eastAsia"/>
              </w:rPr>
              <w:t>0.042546</w:t>
            </w:r>
          </w:p>
        </w:tc>
        <w:tc>
          <w:tcPr>
            <w:tcW w:w="1984" w:type="dxa"/>
            <w:noWrap/>
          </w:tcPr>
          <w:p w14:paraId="3A5B4C50">
            <w:pPr>
              <w:pStyle w:val="133"/>
            </w:pPr>
            <w:r>
              <w:rPr>
                <w:rFonts w:hint="eastAsia"/>
              </w:rPr>
              <w:t>23052406</w:t>
            </w:r>
          </w:p>
        </w:tc>
        <w:tc>
          <w:tcPr>
            <w:tcW w:w="1276" w:type="dxa"/>
          </w:tcPr>
          <w:p w14:paraId="5B8B7632">
            <w:pPr>
              <w:pStyle w:val="133"/>
            </w:pPr>
            <w:r>
              <w:rPr>
                <w:rFonts w:hint="eastAsia"/>
              </w:rPr>
              <w:t>0.55</w:t>
            </w:r>
          </w:p>
        </w:tc>
        <w:tc>
          <w:tcPr>
            <w:tcW w:w="1276" w:type="dxa"/>
          </w:tcPr>
          <w:p w14:paraId="104253E7">
            <w:pPr>
              <w:pStyle w:val="133"/>
            </w:pPr>
            <w:r>
              <w:rPr>
                <w:rFonts w:hint="eastAsia"/>
              </w:rPr>
              <w:t>0.592546</w:t>
            </w:r>
          </w:p>
        </w:tc>
        <w:tc>
          <w:tcPr>
            <w:tcW w:w="1417" w:type="dxa"/>
            <w:noWrap/>
          </w:tcPr>
          <w:p w14:paraId="5B99826F">
            <w:pPr>
              <w:pStyle w:val="133"/>
            </w:pPr>
            <w:r>
              <w:rPr>
                <w:rFonts w:hint="eastAsia"/>
              </w:rPr>
              <w:t>2.0</w:t>
            </w:r>
          </w:p>
        </w:tc>
        <w:tc>
          <w:tcPr>
            <w:tcW w:w="992" w:type="dxa"/>
            <w:noWrap/>
          </w:tcPr>
          <w:p w14:paraId="2B2DBB09">
            <w:pPr>
              <w:pStyle w:val="133"/>
            </w:pPr>
            <w:r>
              <w:rPr>
                <w:rFonts w:hint="eastAsia"/>
              </w:rPr>
              <w:t>29.63</w:t>
            </w:r>
          </w:p>
        </w:tc>
        <w:tc>
          <w:tcPr>
            <w:tcW w:w="902" w:type="dxa"/>
            <w:noWrap/>
          </w:tcPr>
          <w:p w14:paraId="146D1287">
            <w:pPr>
              <w:pStyle w:val="133"/>
            </w:pPr>
            <w:r>
              <w:rPr>
                <w:rFonts w:hint="eastAsia"/>
              </w:rPr>
              <w:t>达标</w:t>
            </w:r>
          </w:p>
        </w:tc>
      </w:tr>
    </w:tbl>
    <w:p w14:paraId="4ABC63D0">
      <w:pPr>
        <w:pStyle w:val="118"/>
        <w:ind w:firstLine="480"/>
      </w:pPr>
    </w:p>
    <w:p w14:paraId="5760F799">
      <w:pPr>
        <w:pStyle w:val="118"/>
        <w:ind w:firstLine="480"/>
        <w:rPr>
          <w:sz w:val="18"/>
          <w:szCs w:val="18"/>
        </w:rPr>
      </w:pPr>
      <w:r>
        <w:t>表</w:t>
      </w:r>
      <w:r>
        <w:rPr>
          <w:rFonts w:hint="eastAsia"/>
          <w:spacing w:val="8"/>
        </w:rPr>
        <w:t>5.2-34</w:t>
      </w:r>
      <w:r>
        <w:t xml:space="preserve">  环境保护目标和预测网格</w:t>
      </w:r>
      <w:r>
        <w:rPr>
          <w:rFonts w:hint="eastAsia"/>
        </w:rPr>
        <w:t>酚类</w:t>
      </w:r>
      <w:r>
        <w:t>浓度贡献值叠加背景值</w:t>
      </w:r>
      <w:r>
        <w:rPr>
          <w:rFonts w:hint="eastAsia"/>
        </w:rPr>
        <w:t>小时平均</w:t>
      </w:r>
      <w:r>
        <w:t>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455B9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3E079BF9">
            <w:pPr>
              <w:pStyle w:val="133"/>
              <w:rPr>
                <w:b/>
                <w:bCs/>
              </w:rPr>
            </w:pPr>
            <w:r>
              <w:rPr>
                <w:rFonts w:hint="eastAsia"/>
                <w:b/>
                <w:bCs/>
              </w:rPr>
              <w:t>序号</w:t>
            </w:r>
          </w:p>
        </w:tc>
        <w:tc>
          <w:tcPr>
            <w:tcW w:w="993" w:type="dxa"/>
            <w:noWrap/>
            <w:vAlign w:val="center"/>
          </w:tcPr>
          <w:p w14:paraId="44F76ECE">
            <w:pPr>
              <w:pStyle w:val="133"/>
              <w:rPr>
                <w:b/>
                <w:bCs/>
              </w:rPr>
            </w:pPr>
            <w:r>
              <w:rPr>
                <w:rFonts w:hint="eastAsia"/>
                <w:b/>
                <w:bCs/>
              </w:rPr>
              <w:t>点名称</w:t>
            </w:r>
          </w:p>
        </w:tc>
        <w:tc>
          <w:tcPr>
            <w:tcW w:w="1275" w:type="dxa"/>
            <w:noWrap/>
            <w:vAlign w:val="center"/>
          </w:tcPr>
          <w:p w14:paraId="6362BC63">
            <w:pPr>
              <w:pStyle w:val="133"/>
              <w:rPr>
                <w:b/>
                <w:bCs/>
              </w:rPr>
            </w:pPr>
            <w:r>
              <w:rPr>
                <w:rFonts w:hint="eastAsia"/>
                <w:b/>
                <w:bCs/>
              </w:rPr>
              <w:t>点坐标</w:t>
            </w:r>
          </w:p>
          <w:p w14:paraId="5DE1FCDA">
            <w:pPr>
              <w:pStyle w:val="133"/>
              <w:rPr>
                <w:b/>
                <w:bCs/>
              </w:rPr>
            </w:pPr>
            <w:r>
              <w:rPr>
                <w:rFonts w:hint="eastAsia"/>
                <w:b/>
                <w:bCs/>
              </w:rPr>
              <w:t>（x,y）</w:t>
            </w:r>
          </w:p>
        </w:tc>
        <w:tc>
          <w:tcPr>
            <w:tcW w:w="1134" w:type="dxa"/>
            <w:noWrap/>
            <w:vAlign w:val="center"/>
          </w:tcPr>
          <w:p w14:paraId="41AE1DB3">
            <w:pPr>
              <w:pStyle w:val="133"/>
              <w:rPr>
                <w:b/>
                <w:bCs/>
              </w:rPr>
            </w:pPr>
            <w:r>
              <w:rPr>
                <w:rFonts w:hint="eastAsia"/>
                <w:b/>
                <w:bCs/>
              </w:rPr>
              <w:t>地面高程</w:t>
            </w:r>
          </w:p>
          <w:p w14:paraId="4FB62216">
            <w:pPr>
              <w:pStyle w:val="133"/>
              <w:rPr>
                <w:b/>
                <w:bCs/>
              </w:rPr>
            </w:pPr>
            <w:r>
              <w:rPr>
                <w:rFonts w:hint="eastAsia"/>
                <w:b/>
                <w:bCs/>
              </w:rPr>
              <w:t>（m）</w:t>
            </w:r>
          </w:p>
        </w:tc>
        <w:tc>
          <w:tcPr>
            <w:tcW w:w="851" w:type="dxa"/>
            <w:noWrap/>
            <w:vAlign w:val="center"/>
          </w:tcPr>
          <w:p w14:paraId="19467977">
            <w:pPr>
              <w:pStyle w:val="133"/>
              <w:rPr>
                <w:b/>
                <w:bCs/>
              </w:rPr>
            </w:pPr>
            <w:r>
              <w:rPr>
                <w:rFonts w:hint="eastAsia"/>
                <w:b/>
                <w:bCs/>
              </w:rPr>
              <w:t>浓度</w:t>
            </w:r>
          </w:p>
          <w:p w14:paraId="3FAE8B0B">
            <w:pPr>
              <w:pStyle w:val="133"/>
              <w:rPr>
                <w:b/>
                <w:bCs/>
              </w:rPr>
            </w:pPr>
            <w:r>
              <w:rPr>
                <w:rFonts w:hint="eastAsia"/>
                <w:b/>
                <w:bCs/>
              </w:rPr>
              <w:t>类型</w:t>
            </w:r>
          </w:p>
        </w:tc>
        <w:tc>
          <w:tcPr>
            <w:tcW w:w="1276" w:type="dxa"/>
            <w:noWrap/>
            <w:vAlign w:val="center"/>
          </w:tcPr>
          <w:p w14:paraId="26190368">
            <w:pPr>
              <w:pStyle w:val="133"/>
              <w:rPr>
                <w:b/>
                <w:bCs/>
              </w:rPr>
            </w:pPr>
            <w:r>
              <w:rPr>
                <w:rFonts w:hint="eastAsia"/>
                <w:b/>
                <w:bCs/>
              </w:rPr>
              <w:t>浓度增量</w:t>
            </w:r>
          </w:p>
          <w:p w14:paraId="28A48187">
            <w:pPr>
              <w:pStyle w:val="133"/>
              <w:jc w:val="both"/>
              <w:rPr>
                <w:b/>
                <w:bCs/>
              </w:rPr>
            </w:pPr>
            <w:r>
              <w:rPr>
                <w:rFonts w:hint="eastAsia"/>
                <w:b/>
                <w:bCs/>
              </w:rPr>
              <w:t>（mg/m^3）</w:t>
            </w:r>
          </w:p>
        </w:tc>
        <w:tc>
          <w:tcPr>
            <w:tcW w:w="1984" w:type="dxa"/>
            <w:noWrap/>
            <w:vAlign w:val="center"/>
          </w:tcPr>
          <w:p w14:paraId="4A09DC3A">
            <w:pPr>
              <w:pStyle w:val="133"/>
              <w:rPr>
                <w:b/>
                <w:bCs/>
              </w:rPr>
            </w:pPr>
            <w:r>
              <w:rPr>
                <w:rFonts w:hint="eastAsia"/>
                <w:b/>
                <w:bCs/>
              </w:rPr>
              <w:t>出现时间（YYMMDDHH）</w:t>
            </w:r>
          </w:p>
        </w:tc>
        <w:tc>
          <w:tcPr>
            <w:tcW w:w="1276" w:type="dxa"/>
            <w:vAlign w:val="center"/>
          </w:tcPr>
          <w:p w14:paraId="77528225">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3357C6EB">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4976FA6A">
            <w:pPr>
              <w:pStyle w:val="133"/>
              <w:rPr>
                <w:b/>
                <w:bCs/>
              </w:rPr>
            </w:pPr>
            <w:r>
              <w:rPr>
                <w:rFonts w:hint="eastAsia"/>
                <w:b/>
                <w:bCs/>
              </w:rPr>
              <w:t>评价标准（mg/m^3）</w:t>
            </w:r>
          </w:p>
        </w:tc>
        <w:tc>
          <w:tcPr>
            <w:tcW w:w="992" w:type="dxa"/>
            <w:noWrap/>
            <w:vAlign w:val="center"/>
          </w:tcPr>
          <w:p w14:paraId="74719490">
            <w:pPr>
              <w:pStyle w:val="133"/>
              <w:rPr>
                <w:b/>
                <w:bCs/>
              </w:rPr>
            </w:pPr>
            <w:r>
              <w:rPr>
                <w:rFonts w:hint="eastAsia"/>
                <w:b/>
                <w:bCs/>
              </w:rPr>
              <w:t>占标率</w:t>
            </w:r>
          </w:p>
          <w:p w14:paraId="445D5345">
            <w:pPr>
              <w:pStyle w:val="133"/>
              <w:rPr>
                <w:b/>
                <w:bCs/>
              </w:rPr>
            </w:pPr>
            <w:r>
              <w:rPr>
                <w:rFonts w:hint="eastAsia"/>
                <w:b/>
                <w:bCs/>
              </w:rPr>
              <w:t>%</w:t>
            </w:r>
          </w:p>
        </w:tc>
        <w:tc>
          <w:tcPr>
            <w:tcW w:w="902" w:type="dxa"/>
            <w:noWrap/>
            <w:vAlign w:val="center"/>
          </w:tcPr>
          <w:p w14:paraId="4B505AC1">
            <w:pPr>
              <w:pStyle w:val="133"/>
              <w:rPr>
                <w:b/>
                <w:bCs/>
              </w:rPr>
            </w:pPr>
            <w:r>
              <w:rPr>
                <w:rFonts w:hint="eastAsia"/>
                <w:b/>
                <w:bCs/>
              </w:rPr>
              <w:t>是否</w:t>
            </w:r>
          </w:p>
          <w:p w14:paraId="64B66C09">
            <w:pPr>
              <w:pStyle w:val="133"/>
              <w:rPr>
                <w:b/>
                <w:bCs/>
              </w:rPr>
            </w:pPr>
            <w:r>
              <w:rPr>
                <w:rFonts w:hint="eastAsia"/>
                <w:b/>
                <w:bCs/>
              </w:rPr>
              <w:t>超标</w:t>
            </w:r>
          </w:p>
        </w:tc>
      </w:tr>
      <w:tr w14:paraId="15B8E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64F81AD6">
            <w:pPr>
              <w:pStyle w:val="133"/>
            </w:pPr>
            <w:r>
              <w:rPr>
                <w:rFonts w:hint="eastAsia"/>
              </w:rPr>
              <w:t>1</w:t>
            </w:r>
          </w:p>
        </w:tc>
        <w:tc>
          <w:tcPr>
            <w:tcW w:w="993" w:type="dxa"/>
            <w:noWrap/>
            <w:vAlign w:val="center"/>
          </w:tcPr>
          <w:p w14:paraId="1D2A6321">
            <w:pPr>
              <w:pStyle w:val="133"/>
            </w:pPr>
            <w:r>
              <w:rPr>
                <w:rFonts w:hint="eastAsia"/>
              </w:rPr>
              <w:t>网格</w:t>
            </w:r>
          </w:p>
        </w:tc>
        <w:tc>
          <w:tcPr>
            <w:tcW w:w="1275" w:type="dxa"/>
            <w:noWrap/>
            <w:vAlign w:val="center"/>
          </w:tcPr>
          <w:p w14:paraId="7E29A53A">
            <w:pPr>
              <w:pStyle w:val="133"/>
              <w:rPr>
                <w:rFonts w:cs="Times New Roman"/>
              </w:rPr>
            </w:pPr>
            <w:r>
              <w:rPr>
                <w:rFonts w:hint="eastAsia"/>
              </w:rPr>
              <w:t>100，200</w:t>
            </w:r>
          </w:p>
        </w:tc>
        <w:tc>
          <w:tcPr>
            <w:tcW w:w="1134" w:type="dxa"/>
            <w:noWrap/>
            <w:vAlign w:val="center"/>
          </w:tcPr>
          <w:p w14:paraId="1EB4A3C6">
            <w:pPr>
              <w:pStyle w:val="133"/>
            </w:pPr>
            <w:r>
              <w:rPr>
                <w:rFonts w:hint="eastAsia"/>
              </w:rPr>
              <w:t>693.20</w:t>
            </w:r>
          </w:p>
        </w:tc>
        <w:tc>
          <w:tcPr>
            <w:tcW w:w="851" w:type="dxa"/>
            <w:noWrap/>
            <w:vAlign w:val="center"/>
          </w:tcPr>
          <w:p w14:paraId="12FBA698">
            <w:pPr>
              <w:pStyle w:val="133"/>
            </w:pPr>
            <w:r>
              <w:rPr>
                <w:rFonts w:hint="eastAsia"/>
              </w:rPr>
              <w:t>1小时</w:t>
            </w:r>
          </w:p>
        </w:tc>
        <w:tc>
          <w:tcPr>
            <w:tcW w:w="1276" w:type="dxa"/>
            <w:noWrap/>
          </w:tcPr>
          <w:p w14:paraId="5B32C984">
            <w:pPr>
              <w:pStyle w:val="133"/>
            </w:pPr>
            <w:r>
              <w:rPr>
                <w:rFonts w:hint="eastAsia"/>
              </w:rPr>
              <w:t>0.000198</w:t>
            </w:r>
          </w:p>
        </w:tc>
        <w:tc>
          <w:tcPr>
            <w:tcW w:w="1984" w:type="dxa"/>
            <w:noWrap/>
          </w:tcPr>
          <w:p w14:paraId="4669C4EA">
            <w:pPr>
              <w:pStyle w:val="133"/>
            </w:pPr>
            <w:r>
              <w:rPr>
                <w:rFonts w:hint="eastAsia"/>
              </w:rPr>
              <w:t>23073106</w:t>
            </w:r>
          </w:p>
        </w:tc>
        <w:tc>
          <w:tcPr>
            <w:tcW w:w="1276" w:type="dxa"/>
          </w:tcPr>
          <w:p w14:paraId="62B4176D">
            <w:pPr>
              <w:pStyle w:val="133"/>
            </w:pPr>
            <w:r>
              <w:rPr>
                <w:rFonts w:hint="eastAsia"/>
              </w:rPr>
              <w:t>0.003</w:t>
            </w:r>
          </w:p>
        </w:tc>
        <w:tc>
          <w:tcPr>
            <w:tcW w:w="1276" w:type="dxa"/>
          </w:tcPr>
          <w:p w14:paraId="31F3A94F">
            <w:pPr>
              <w:pStyle w:val="133"/>
            </w:pPr>
            <w:r>
              <w:rPr>
                <w:rFonts w:hint="eastAsia"/>
              </w:rPr>
              <w:t>0.0032</w:t>
            </w:r>
          </w:p>
        </w:tc>
        <w:tc>
          <w:tcPr>
            <w:tcW w:w="1417" w:type="dxa"/>
            <w:noWrap/>
          </w:tcPr>
          <w:p w14:paraId="6BB30713">
            <w:pPr>
              <w:pStyle w:val="133"/>
            </w:pPr>
            <w:r>
              <w:rPr>
                <w:rFonts w:hint="eastAsia"/>
              </w:rPr>
              <w:t>0.02</w:t>
            </w:r>
          </w:p>
        </w:tc>
        <w:tc>
          <w:tcPr>
            <w:tcW w:w="992" w:type="dxa"/>
            <w:noWrap/>
          </w:tcPr>
          <w:p w14:paraId="4E2359C4">
            <w:pPr>
              <w:pStyle w:val="133"/>
            </w:pPr>
            <w:r>
              <w:rPr>
                <w:rFonts w:hint="eastAsia"/>
              </w:rPr>
              <w:t>15.99</w:t>
            </w:r>
          </w:p>
        </w:tc>
        <w:tc>
          <w:tcPr>
            <w:tcW w:w="902" w:type="dxa"/>
            <w:noWrap/>
          </w:tcPr>
          <w:p w14:paraId="3D378367">
            <w:pPr>
              <w:pStyle w:val="133"/>
            </w:pPr>
            <w:r>
              <w:rPr>
                <w:rFonts w:hint="eastAsia"/>
              </w:rPr>
              <w:t>达标</w:t>
            </w:r>
          </w:p>
        </w:tc>
      </w:tr>
    </w:tbl>
    <w:p w14:paraId="71261802">
      <w:pPr>
        <w:pStyle w:val="38"/>
        <w:ind w:firstLine="480"/>
      </w:pPr>
    </w:p>
    <w:p w14:paraId="3E6A3146">
      <w:pPr>
        <w:pStyle w:val="118"/>
        <w:ind w:firstLine="480"/>
        <w:rPr>
          <w:sz w:val="18"/>
          <w:szCs w:val="18"/>
        </w:rPr>
      </w:pPr>
      <w:r>
        <w:t>表</w:t>
      </w:r>
      <w:r>
        <w:rPr>
          <w:rFonts w:hint="eastAsia"/>
          <w:spacing w:val="8"/>
        </w:rPr>
        <w:t>5.2-35</w:t>
      </w:r>
      <w:r>
        <w:t xml:space="preserve">  环境保护目标和预测网格</w:t>
      </w:r>
      <w:r>
        <w:rPr>
          <w:rFonts w:hint="eastAsia"/>
        </w:rPr>
        <w:t>氰化氢</w:t>
      </w:r>
      <w:r>
        <w:t>浓度贡献值叠加背景值</w:t>
      </w:r>
      <w:r>
        <w:rPr>
          <w:rFonts w:hint="eastAsia"/>
        </w:rPr>
        <w:t>小时平均</w:t>
      </w:r>
      <w:r>
        <w:t>浓度预测结果一览表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010"/>
        <w:gridCol w:w="1297"/>
        <w:gridCol w:w="1154"/>
        <w:gridCol w:w="866"/>
        <w:gridCol w:w="1299"/>
        <w:gridCol w:w="2019"/>
        <w:gridCol w:w="1299"/>
        <w:gridCol w:w="1299"/>
        <w:gridCol w:w="1442"/>
        <w:gridCol w:w="1010"/>
        <w:gridCol w:w="918"/>
      </w:tblGrid>
      <w:tr w14:paraId="025F2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0AF11F8D">
            <w:pPr>
              <w:pStyle w:val="133"/>
              <w:rPr>
                <w:b/>
                <w:bCs/>
              </w:rPr>
            </w:pPr>
            <w:r>
              <w:rPr>
                <w:rFonts w:hint="eastAsia"/>
                <w:b/>
                <w:bCs/>
              </w:rPr>
              <w:t>序号</w:t>
            </w:r>
          </w:p>
        </w:tc>
        <w:tc>
          <w:tcPr>
            <w:tcW w:w="993" w:type="dxa"/>
            <w:noWrap/>
            <w:vAlign w:val="center"/>
          </w:tcPr>
          <w:p w14:paraId="5F5424E2">
            <w:pPr>
              <w:pStyle w:val="133"/>
              <w:rPr>
                <w:b/>
                <w:bCs/>
              </w:rPr>
            </w:pPr>
            <w:r>
              <w:rPr>
                <w:rFonts w:hint="eastAsia"/>
                <w:b/>
                <w:bCs/>
              </w:rPr>
              <w:t>点名称</w:t>
            </w:r>
          </w:p>
        </w:tc>
        <w:tc>
          <w:tcPr>
            <w:tcW w:w="1275" w:type="dxa"/>
            <w:noWrap/>
            <w:vAlign w:val="center"/>
          </w:tcPr>
          <w:p w14:paraId="3A17E8F0">
            <w:pPr>
              <w:pStyle w:val="133"/>
              <w:rPr>
                <w:b/>
                <w:bCs/>
              </w:rPr>
            </w:pPr>
            <w:r>
              <w:rPr>
                <w:rFonts w:hint="eastAsia"/>
                <w:b/>
                <w:bCs/>
              </w:rPr>
              <w:t>点坐标</w:t>
            </w:r>
          </w:p>
          <w:p w14:paraId="42501C2C">
            <w:pPr>
              <w:pStyle w:val="133"/>
              <w:rPr>
                <w:b/>
                <w:bCs/>
              </w:rPr>
            </w:pPr>
            <w:r>
              <w:rPr>
                <w:rFonts w:hint="eastAsia"/>
                <w:b/>
                <w:bCs/>
              </w:rPr>
              <w:t>（x,y）</w:t>
            </w:r>
          </w:p>
        </w:tc>
        <w:tc>
          <w:tcPr>
            <w:tcW w:w="1134" w:type="dxa"/>
            <w:noWrap/>
            <w:vAlign w:val="center"/>
          </w:tcPr>
          <w:p w14:paraId="1655ADC9">
            <w:pPr>
              <w:pStyle w:val="133"/>
              <w:rPr>
                <w:b/>
                <w:bCs/>
              </w:rPr>
            </w:pPr>
            <w:r>
              <w:rPr>
                <w:rFonts w:hint="eastAsia"/>
                <w:b/>
                <w:bCs/>
              </w:rPr>
              <w:t>地面高程</w:t>
            </w:r>
          </w:p>
          <w:p w14:paraId="6FF8BDC6">
            <w:pPr>
              <w:pStyle w:val="133"/>
              <w:rPr>
                <w:b/>
                <w:bCs/>
              </w:rPr>
            </w:pPr>
            <w:r>
              <w:rPr>
                <w:rFonts w:hint="eastAsia"/>
                <w:b/>
                <w:bCs/>
              </w:rPr>
              <w:t>（m）</w:t>
            </w:r>
          </w:p>
        </w:tc>
        <w:tc>
          <w:tcPr>
            <w:tcW w:w="851" w:type="dxa"/>
            <w:noWrap/>
            <w:vAlign w:val="center"/>
          </w:tcPr>
          <w:p w14:paraId="34955941">
            <w:pPr>
              <w:pStyle w:val="133"/>
              <w:rPr>
                <w:b/>
                <w:bCs/>
              </w:rPr>
            </w:pPr>
            <w:r>
              <w:rPr>
                <w:rFonts w:hint="eastAsia"/>
                <w:b/>
                <w:bCs/>
              </w:rPr>
              <w:t>浓度</w:t>
            </w:r>
          </w:p>
          <w:p w14:paraId="608DE40F">
            <w:pPr>
              <w:pStyle w:val="133"/>
              <w:rPr>
                <w:b/>
                <w:bCs/>
              </w:rPr>
            </w:pPr>
            <w:r>
              <w:rPr>
                <w:rFonts w:hint="eastAsia"/>
                <w:b/>
                <w:bCs/>
              </w:rPr>
              <w:t>类型</w:t>
            </w:r>
          </w:p>
        </w:tc>
        <w:tc>
          <w:tcPr>
            <w:tcW w:w="1276" w:type="dxa"/>
            <w:noWrap/>
            <w:vAlign w:val="center"/>
          </w:tcPr>
          <w:p w14:paraId="3E72FE4C">
            <w:pPr>
              <w:pStyle w:val="133"/>
              <w:rPr>
                <w:b/>
                <w:bCs/>
              </w:rPr>
            </w:pPr>
            <w:r>
              <w:rPr>
                <w:rFonts w:hint="eastAsia"/>
                <w:b/>
                <w:bCs/>
              </w:rPr>
              <w:t>浓度增量</w:t>
            </w:r>
          </w:p>
          <w:p w14:paraId="5C928432">
            <w:pPr>
              <w:pStyle w:val="133"/>
              <w:jc w:val="both"/>
              <w:rPr>
                <w:b/>
                <w:bCs/>
              </w:rPr>
            </w:pPr>
            <w:r>
              <w:rPr>
                <w:rFonts w:hint="eastAsia"/>
                <w:b/>
                <w:bCs/>
              </w:rPr>
              <w:t>（mg/m^3）</w:t>
            </w:r>
          </w:p>
        </w:tc>
        <w:tc>
          <w:tcPr>
            <w:tcW w:w="1984" w:type="dxa"/>
            <w:noWrap/>
            <w:vAlign w:val="center"/>
          </w:tcPr>
          <w:p w14:paraId="7BE66327">
            <w:pPr>
              <w:pStyle w:val="133"/>
              <w:rPr>
                <w:b/>
                <w:bCs/>
              </w:rPr>
            </w:pPr>
            <w:r>
              <w:rPr>
                <w:rFonts w:hint="eastAsia"/>
                <w:b/>
                <w:bCs/>
              </w:rPr>
              <w:t>出现时间（YYMMDDHH）</w:t>
            </w:r>
          </w:p>
        </w:tc>
        <w:tc>
          <w:tcPr>
            <w:tcW w:w="1276" w:type="dxa"/>
            <w:vAlign w:val="center"/>
          </w:tcPr>
          <w:p w14:paraId="5076CC13">
            <w:pPr>
              <w:pStyle w:val="133"/>
              <w:rPr>
                <w:b/>
                <w:bCs/>
              </w:rPr>
            </w:pPr>
            <w:r>
              <w:rPr>
                <w:rFonts w:hint="eastAsia"/>
                <w:b/>
                <w:bCs/>
              </w:rPr>
              <w:t>背景浓度（mg/m</w:t>
            </w:r>
            <w:r>
              <w:rPr>
                <w:b/>
                <w:bCs/>
                <w:vertAlign w:val="superscript"/>
              </w:rPr>
              <w:t>3</w:t>
            </w:r>
            <w:r>
              <w:rPr>
                <w:rFonts w:hint="eastAsia"/>
                <w:b/>
                <w:bCs/>
              </w:rPr>
              <w:t>）</w:t>
            </w:r>
          </w:p>
        </w:tc>
        <w:tc>
          <w:tcPr>
            <w:tcW w:w="1276" w:type="dxa"/>
            <w:vAlign w:val="center"/>
          </w:tcPr>
          <w:p w14:paraId="787FC6F2">
            <w:pPr>
              <w:pStyle w:val="133"/>
              <w:rPr>
                <w:b/>
                <w:bCs/>
              </w:rPr>
            </w:pPr>
            <w:r>
              <w:rPr>
                <w:rFonts w:hint="eastAsia"/>
                <w:b/>
                <w:bCs/>
              </w:rPr>
              <w:t>叠加背景后的浓度（mg/m</w:t>
            </w:r>
            <w:r>
              <w:rPr>
                <w:rFonts w:hint="eastAsia"/>
                <w:b/>
                <w:bCs/>
                <w:vertAlign w:val="superscript"/>
              </w:rPr>
              <w:t>3</w:t>
            </w:r>
            <w:r>
              <w:rPr>
                <w:rFonts w:hint="eastAsia"/>
                <w:b/>
                <w:bCs/>
              </w:rPr>
              <w:t>）</w:t>
            </w:r>
          </w:p>
        </w:tc>
        <w:tc>
          <w:tcPr>
            <w:tcW w:w="1417" w:type="dxa"/>
            <w:noWrap/>
            <w:vAlign w:val="center"/>
          </w:tcPr>
          <w:p w14:paraId="59002E25">
            <w:pPr>
              <w:pStyle w:val="133"/>
              <w:rPr>
                <w:b/>
                <w:bCs/>
              </w:rPr>
            </w:pPr>
            <w:r>
              <w:rPr>
                <w:rFonts w:hint="eastAsia"/>
                <w:b/>
                <w:bCs/>
              </w:rPr>
              <w:t>评价标准（mg/m^3）</w:t>
            </w:r>
          </w:p>
        </w:tc>
        <w:tc>
          <w:tcPr>
            <w:tcW w:w="992" w:type="dxa"/>
            <w:noWrap/>
            <w:vAlign w:val="center"/>
          </w:tcPr>
          <w:p w14:paraId="76F72192">
            <w:pPr>
              <w:pStyle w:val="133"/>
              <w:rPr>
                <w:b/>
                <w:bCs/>
              </w:rPr>
            </w:pPr>
            <w:r>
              <w:rPr>
                <w:rFonts w:hint="eastAsia"/>
                <w:b/>
                <w:bCs/>
              </w:rPr>
              <w:t>占标率</w:t>
            </w:r>
          </w:p>
          <w:p w14:paraId="01CFDFF8">
            <w:pPr>
              <w:pStyle w:val="133"/>
              <w:rPr>
                <w:b/>
                <w:bCs/>
              </w:rPr>
            </w:pPr>
            <w:r>
              <w:rPr>
                <w:rFonts w:hint="eastAsia"/>
                <w:b/>
                <w:bCs/>
              </w:rPr>
              <w:t>%</w:t>
            </w:r>
          </w:p>
        </w:tc>
        <w:tc>
          <w:tcPr>
            <w:tcW w:w="902" w:type="dxa"/>
            <w:noWrap/>
            <w:vAlign w:val="center"/>
          </w:tcPr>
          <w:p w14:paraId="1ECFDF5F">
            <w:pPr>
              <w:pStyle w:val="133"/>
              <w:rPr>
                <w:b/>
                <w:bCs/>
              </w:rPr>
            </w:pPr>
            <w:r>
              <w:rPr>
                <w:rFonts w:hint="eastAsia"/>
                <w:b/>
                <w:bCs/>
              </w:rPr>
              <w:t>是否</w:t>
            </w:r>
          </w:p>
          <w:p w14:paraId="27B914C9">
            <w:pPr>
              <w:pStyle w:val="133"/>
              <w:rPr>
                <w:b/>
                <w:bCs/>
              </w:rPr>
            </w:pPr>
            <w:r>
              <w:rPr>
                <w:rFonts w:hint="eastAsia"/>
                <w:b/>
                <w:bCs/>
              </w:rPr>
              <w:t>超标</w:t>
            </w:r>
          </w:p>
        </w:tc>
      </w:tr>
      <w:tr w14:paraId="47104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dxa"/>
            <w:noWrap/>
            <w:vAlign w:val="center"/>
          </w:tcPr>
          <w:p w14:paraId="16B22382">
            <w:pPr>
              <w:pStyle w:val="133"/>
            </w:pPr>
            <w:r>
              <w:rPr>
                <w:rFonts w:hint="eastAsia"/>
              </w:rPr>
              <w:t>1</w:t>
            </w:r>
          </w:p>
        </w:tc>
        <w:tc>
          <w:tcPr>
            <w:tcW w:w="993" w:type="dxa"/>
            <w:noWrap/>
            <w:vAlign w:val="center"/>
          </w:tcPr>
          <w:p w14:paraId="4B08EA6D">
            <w:pPr>
              <w:pStyle w:val="133"/>
            </w:pPr>
            <w:r>
              <w:rPr>
                <w:rFonts w:hint="eastAsia"/>
              </w:rPr>
              <w:t>网格</w:t>
            </w:r>
          </w:p>
        </w:tc>
        <w:tc>
          <w:tcPr>
            <w:tcW w:w="1275" w:type="dxa"/>
            <w:noWrap/>
            <w:vAlign w:val="center"/>
          </w:tcPr>
          <w:p w14:paraId="30162AEB">
            <w:pPr>
              <w:pStyle w:val="133"/>
              <w:rPr>
                <w:rFonts w:cs="Times New Roman"/>
              </w:rPr>
            </w:pPr>
            <w:r>
              <w:rPr>
                <w:rFonts w:hint="eastAsia"/>
              </w:rPr>
              <w:t>100,200</w:t>
            </w:r>
          </w:p>
        </w:tc>
        <w:tc>
          <w:tcPr>
            <w:tcW w:w="1134" w:type="dxa"/>
            <w:noWrap/>
            <w:vAlign w:val="center"/>
          </w:tcPr>
          <w:p w14:paraId="5D79529C">
            <w:pPr>
              <w:pStyle w:val="133"/>
            </w:pPr>
            <w:r>
              <w:rPr>
                <w:rFonts w:hint="eastAsia"/>
              </w:rPr>
              <w:t>693.20</w:t>
            </w:r>
          </w:p>
        </w:tc>
        <w:tc>
          <w:tcPr>
            <w:tcW w:w="851" w:type="dxa"/>
            <w:noWrap/>
            <w:vAlign w:val="center"/>
          </w:tcPr>
          <w:p w14:paraId="12631154">
            <w:pPr>
              <w:pStyle w:val="133"/>
            </w:pPr>
            <w:r>
              <w:rPr>
                <w:rFonts w:hint="eastAsia"/>
              </w:rPr>
              <w:t>1小时</w:t>
            </w:r>
          </w:p>
        </w:tc>
        <w:tc>
          <w:tcPr>
            <w:tcW w:w="1276" w:type="dxa"/>
            <w:noWrap/>
          </w:tcPr>
          <w:p w14:paraId="7D9C7125">
            <w:pPr>
              <w:pStyle w:val="133"/>
            </w:pPr>
            <w:r>
              <w:rPr>
                <w:rFonts w:hint="eastAsia"/>
              </w:rPr>
              <w:t>0.0000377</w:t>
            </w:r>
          </w:p>
        </w:tc>
        <w:tc>
          <w:tcPr>
            <w:tcW w:w="1984" w:type="dxa"/>
            <w:noWrap/>
          </w:tcPr>
          <w:p w14:paraId="75AD8A08">
            <w:pPr>
              <w:pStyle w:val="133"/>
            </w:pPr>
            <w:r>
              <w:rPr>
                <w:rFonts w:hint="eastAsia"/>
              </w:rPr>
              <w:t>23073106</w:t>
            </w:r>
          </w:p>
        </w:tc>
        <w:tc>
          <w:tcPr>
            <w:tcW w:w="1276" w:type="dxa"/>
          </w:tcPr>
          <w:p w14:paraId="1D953CD6">
            <w:pPr>
              <w:pStyle w:val="133"/>
            </w:pPr>
            <w:r>
              <w:rPr>
                <w:rFonts w:hint="eastAsia"/>
              </w:rPr>
              <w:t>0.002</w:t>
            </w:r>
          </w:p>
        </w:tc>
        <w:tc>
          <w:tcPr>
            <w:tcW w:w="1276" w:type="dxa"/>
          </w:tcPr>
          <w:p w14:paraId="014B8ED3">
            <w:pPr>
              <w:pStyle w:val="133"/>
            </w:pPr>
            <w:r>
              <w:rPr>
                <w:rFonts w:hint="eastAsia"/>
              </w:rPr>
              <w:t>0.00204</w:t>
            </w:r>
          </w:p>
        </w:tc>
        <w:tc>
          <w:tcPr>
            <w:tcW w:w="1417" w:type="dxa"/>
            <w:noWrap/>
          </w:tcPr>
          <w:p w14:paraId="4AB2E727">
            <w:pPr>
              <w:pStyle w:val="133"/>
            </w:pPr>
            <w:r>
              <w:rPr>
                <w:rFonts w:hint="eastAsia"/>
              </w:rPr>
              <w:t>0.03</w:t>
            </w:r>
          </w:p>
        </w:tc>
        <w:tc>
          <w:tcPr>
            <w:tcW w:w="992" w:type="dxa"/>
            <w:noWrap/>
          </w:tcPr>
          <w:p w14:paraId="4C5AAD58">
            <w:pPr>
              <w:pStyle w:val="133"/>
            </w:pPr>
            <w:r>
              <w:rPr>
                <w:rFonts w:hint="eastAsia"/>
              </w:rPr>
              <w:t>6.79</w:t>
            </w:r>
          </w:p>
        </w:tc>
        <w:tc>
          <w:tcPr>
            <w:tcW w:w="902" w:type="dxa"/>
            <w:noWrap/>
          </w:tcPr>
          <w:p w14:paraId="4DB8D6AB">
            <w:pPr>
              <w:pStyle w:val="133"/>
            </w:pPr>
            <w:r>
              <w:rPr>
                <w:rFonts w:hint="eastAsia"/>
              </w:rPr>
              <w:t>达标</w:t>
            </w:r>
          </w:p>
        </w:tc>
      </w:tr>
    </w:tbl>
    <w:p w14:paraId="7F119BCB">
      <w:pPr>
        <w:pStyle w:val="800"/>
        <w:sectPr>
          <w:pgSz w:w="16838" w:h="11906" w:orient="landscape"/>
          <w:pgMar w:top="1800" w:right="1440" w:bottom="1800" w:left="1440" w:header="851" w:footer="850" w:gutter="0"/>
          <w:cols w:space="425" w:num="1"/>
          <w:docGrid w:type="lines" w:linePitch="326" w:charSpace="0"/>
        </w:sectPr>
      </w:pPr>
    </w:p>
    <w:p w14:paraId="474805D1">
      <w:pPr>
        <w:pStyle w:val="133"/>
      </w:pPr>
    </w:p>
    <w:p w14:paraId="3113F652">
      <w:pPr>
        <w:pStyle w:val="117"/>
        <w:ind w:firstLine="480"/>
      </w:pPr>
      <w:r>
        <w:rPr>
          <w:rFonts w:hint="eastAsia"/>
        </w:rPr>
        <w:t>根据预测结果，可得出：</w:t>
      </w:r>
    </w:p>
    <w:p w14:paraId="65DD87FF">
      <w:pPr>
        <w:pStyle w:val="117"/>
        <w:ind w:firstLine="480"/>
      </w:pPr>
      <w:r>
        <w:rPr>
          <w:rFonts w:hint="eastAsia"/>
        </w:rPr>
        <w:t>项目排放的基本污染物SO</w:t>
      </w:r>
      <w:r>
        <w:rPr>
          <w:rFonts w:hint="eastAsia"/>
          <w:vertAlign w:val="subscript"/>
        </w:rPr>
        <w:t>2</w:t>
      </w:r>
      <w:r>
        <w:rPr>
          <w:rFonts w:hint="eastAsia"/>
        </w:rPr>
        <w:t>的贡献值叠加区域在建及拟建污染源落地浓度贡献值、区域背景值后的98%保证率日均浓度和年均浓度最大占标率分别为27.22%和29.26%，满足《环境空气质量标准》（GB3095-2012）中的二级标准。</w:t>
      </w:r>
    </w:p>
    <w:p w14:paraId="5CD02D21">
      <w:pPr>
        <w:pStyle w:val="117"/>
        <w:ind w:firstLine="480"/>
      </w:pPr>
      <w:r>
        <w:rPr>
          <w:rFonts w:hint="eastAsia"/>
        </w:rPr>
        <w:t>项目排放的基本污染物NO</w:t>
      </w:r>
      <w:r>
        <w:rPr>
          <w:rFonts w:hint="eastAsia"/>
          <w:vertAlign w:val="subscript"/>
        </w:rPr>
        <w:t>2</w:t>
      </w:r>
      <w:r>
        <w:rPr>
          <w:rFonts w:hint="eastAsia"/>
        </w:rPr>
        <w:t>的贡献值叠加区域在建及拟建污染源落地浓度贡献值、区域背景值后的98%保证率日均浓度和年均浓度最大占标率分别为67.94%和80.60%，满足《环境空气质量标准》（GB3095-2012）中的二级标准。</w:t>
      </w:r>
    </w:p>
    <w:p w14:paraId="39602C3F">
      <w:pPr>
        <w:pStyle w:val="117"/>
        <w:ind w:firstLine="480"/>
      </w:pPr>
      <w:r>
        <w:rPr>
          <w:rFonts w:hint="eastAsia"/>
        </w:rPr>
        <w:t>项目排放的污染物T</w:t>
      </w:r>
      <w:r>
        <w:t>SP</w:t>
      </w:r>
      <w:r>
        <w:rPr>
          <w:rFonts w:hint="eastAsia"/>
        </w:rPr>
        <w:t>的贡献值叠加区域在建及拟建污染源落地浓度贡献值、区域背景值后的日均浓度和年均浓度最大占标率分别为81.71%和65.85%，满足《环境空气质量标准》（GB3095-2012）中的二级标准。</w:t>
      </w:r>
    </w:p>
    <w:p w14:paraId="398E3DE3">
      <w:pPr>
        <w:pStyle w:val="117"/>
        <w:ind w:firstLine="480"/>
      </w:pPr>
      <w:r>
        <w:rPr>
          <w:rFonts w:hint="eastAsia"/>
        </w:rPr>
        <w:t>项目排放的污染物BaP的贡献值叠加区域在建及拟建污染源落地浓度贡献值、区域背景值后的日均浓度和年均浓度最大占标率分别为40.40%和60.00%，满足《环境空气质量标准》（GB3095-2012）中的二级标准。</w:t>
      </w:r>
    </w:p>
    <w:p w14:paraId="20E8EE81">
      <w:pPr>
        <w:pStyle w:val="117"/>
        <w:ind w:firstLine="480"/>
      </w:pPr>
      <w:r>
        <w:rPr>
          <w:rFonts w:hint="eastAsia"/>
        </w:rPr>
        <w:t>项目排放的特征污染NMHC、酚类、氰化氢贡献值叠加区域在建及拟建污染源落地浓度贡献值、区域背景值后的小时浓度最大占标率为29.63%、15.99%、6.79%，满足《大气污染物综合排放标准详解》中的要求。</w:t>
      </w:r>
    </w:p>
    <w:p w14:paraId="231297D1">
      <w:pPr>
        <w:pStyle w:val="117"/>
        <w:ind w:firstLine="480"/>
      </w:pPr>
      <w:r>
        <w:rPr>
          <w:rFonts w:hint="eastAsia"/>
        </w:rPr>
        <w:t>项目排放的特征污染物NH</w:t>
      </w:r>
      <w:r>
        <w:rPr>
          <w:rFonts w:hint="eastAsia"/>
          <w:vertAlign w:val="subscript"/>
        </w:rPr>
        <w:t>3</w:t>
      </w:r>
      <w:r>
        <w:rPr>
          <w:rFonts w:hint="eastAsia"/>
        </w:rPr>
        <w:t>、H</w:t>
      </w:r>
      <w:r>
        <w:rPr>
          <w:rFonts w:hint="eastAsia"/>
          <w:vertAlign w:val="subscript"/>
        </w:rPr>
        <w:t>2</w:t>
      </w:r>
      <w:r>
        <w:rPr>
          <w:rFonts w:hint="eastAsia"/>
        </w:rPr>
        <w:t>S的贡献值叠加区域在建及拟建污染源落地浓度贡献值、区域背景值后的小时均浓度最大占标率分别为26.11%、31.45%，满足《环境影响评价技术导则 大气环境》（HJ2.2-2018）附录D中质量浓度参考限值的要求。</w:t>
      </w:r>
    </w:p>
    <w:p w14:paraId="40A5FF1E">
      <w:pPr>
        <w:ind w:firstLine="480"/>
        <w:rPr>
          <w:lang w:val="de-DE"/>
        </w:rPr>
        <w:sectPr>
          <w:pgSz w:w="11906" w:h="16838"/>
          <w:pgMar w:top="1440" w:right="1800" w:bottom="1440" w:left="1800" w:header="851" w:footer="850" w:gutter="0"/>
          <w:cols w:space="425" w:num="1"/>
          <w:docGrid w:type="lines" w:linePitch="326" w:charSpace="0"/>
        </w:sectPr>
      </w:pPr>
    </w:p>
    <w:p w14:paraId="13CDD6F5">
      <w:pPr>
        <w:pStyle w:val="944"/>
      </w:pPr>
      <w:r>
        <w:t>非正常工况</w:t>
      </w:r>
      <w:r>
        <w:rPr>
          <w:rFonts w:hint="eastAsia"/>
        </w:rPr>
        <w:t>排放影响分析</w:t>
      </w:r>
    </w:p>
    <w:p w14:paraId="5ABC2854">
      <w:pPr>
        <w:pStyle w:val="257"/>
        <w:ind w:firstLine="480"/>
        <w:rPr>
          <w:rFonts w:eastAsia="宋体"/>
        </w:rPr>
      </w:pPr>
      <w:r>
        <w:rPr>
          <w:rFonts w:hint="eastAsia" w:ascii="宋体" w:hAnsi="宋体" w:eastAsia="宋体" w:cs="宋体"/>
        </w:rPr>
        <w:t>在全年气象条件下，项目非正常工况下污染物最大小时落地浓度预测结果见</w:t>
      </w:r>
      <w:r>
        <w:rPr>
          <w:rFonts w:hint="eastAsia" w:ascii="宋体" w:hAnsi="宋体" w:eastAsia="宋体" w:cs="宋体"/>
          <w:spacing w:val="8"/>
        </w:rPr>
        <w:t>表</w:t>
      </w:r>
      <w:r>
        <w:rPr>
          <w:rFonts w:hint="eastAsia" w:eastAsia="宋体"/>
          <w:spacing w:val="8"/>
        </w:rPr>
        <w:t>5.2-32</w:t>
      </w:r>
      <w:r>
        <w:rPr>
          <w:rFonts w:eastAsia="宋体"/>
        </w:rPr>
        <w:t>。</w:t>
      </w:r>
    </w:p>
    <w:p w14:paraId="7F64089C">
      <w:pPr>
        <w:pStyle w:val="118"/>
      </w:pPr>
      <w:r>
        <w:rPr>
          <w:rFonts w:hint="eastAsia"/>
          <w:spacing w:val="8"/>
        </w:rPr>
        <w:t>表5.2-32</w:t>
      </w:r>
      <w:r>
        <w:rPr>
          <w:spacing w:val="8"/>
        </w:rPr>
        <w:t xml:space="preserve"> </w:t>
      </w:r>
      <w:r>
        <w:t xml:space="preserve"> </w:t>
      </w:r>
      <w:r>
        <w:rPr>
          <w:rFonts w:hint="eastAsia"/>
        </w:rPr>
        <w:t>非正常工况最大小时落地浓度预测结果表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60"/>
        <w:gridCol w:w="934"/>
        <w:gridCol w:w="1282"/>
        <w:gridCol w:w="857"/>
        <w:gridCol w:w="1142"/>
        <w:gridCol w:w="1284"/>
        <w:gridCol w:w="1284"/>
        <w:gridCol w:w="857"/>
        <w:gridCol w:w="719"/>
      </w:tblGrid>
      <w:tr w14:paraId="45D41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noWrap/>
            <w:vAlign w:val="center"/>
          </w:tcPr>
          <w:p w14:paraId="3BAB50AB">
            <w:pPr>
              <w:pStyle w:val="133"/>
              <w:rPr>
                <w:b/>
                <w:bCs/>
              </w:rPr>
            </w:pPr>
            <w:r>
              <w:rPr>
                <w:b/>
                <w:bCs/>
              </w:rPr>
              <w:t>污染物</w:t>
            </w:r>
          </w:p>
        </w:tc>
        <w:tc>
          <w:tcPr>
            <w:tcW w:w="512" w:type="pct"/>
            <w:noWrap/>
            <w:vAlign w:val="center"/>
          </w:tcPr>
          <w:p w14:paraId="36427DAC">
            <w:pPr>
              <w:pStyle w:val="133"/>
              <w:rPr>
                <w:b/>
                <w:bCs/>
              </w:rPr>
            </w:pPr>
            <w:r>
              <w:rPr>
                <w:b/>
                <w:bCs/>
              </w:rPr>
              <w:t>点名称</w:t>
            </w:r>
          </w:p>
        </w:tc>
        <w:tc>
          <w:tcPr>
            <w:tcW w:w="703" w:type="pct"/>
            <w:noWrap/>
            <w:vAlign w:val="center"/>
          </w:tcPr>
          <w:p w14:paraId="2FDC0940">
            <w:pPr>
              <w:pStyle w:val="133"/>
              <w:rPr>
                <w:b/>
                <w:bCs/>
              </w:rPr>
            </w:pPr>
            <w:r>
              <w:rPr>
                <w:b/>
                <w:bCs/>
              </w:rPr>
              <w:t>点坐标</w:t>
            </w:r>
          </w:p>
          <w:p w14:paraId="275BA6F5">
            <w:pPr>
              <w:pStyle w:val="133"/>
              <w:rPr>
                <w:b/>
                <w:bCs/>
              </w:rPr>
            </w:pPr>
            <w:r>
              <w:rPr>
                <w:b/>
                <w:bCs/>
              </w:rPr>
              <w:t>（x,y）</w:t>
            </w:r>
          </w:p>
        </w:tc>
        <w:tc>
          <w:tcPr>
            <w:tcW w:w="470" w:type="pct"/>
            <w:noWrap/>
            <w:vAlign w:val="center"/>
          </w:tcPr>
          <w:p w14:paraId="0220BC28">
            <w:pPr>
              <w:pStyle w:val="133"/>
              <w:rPr>
                <w:b/>
                <w:bCs/>
              </w:rPr>
            </w:pPr>
            <w:r>
              <w:rPr>
                <w:b/>
                <w:bCs/>
              </w:rPr>
              <w:t>浓度</w:t>
            </w:r>
          </w:p>
          <w:p w14:paraId="3CDEF205">
            <w:pPr>
              <w:pStyle w:val="133"/>
              <w:rPr>
                <w:b/>
                <w:bCs/>
              </w:rPr>
            </w:pPr>
            <w:r>
              <w:rPr>
                <w:b/>
                <w:bCs/>
              </w:rPr>
              <w:t>类型</w:t>
            </w:r>
          </w:p>
        </w:tc>
        <w:tc>
          <w:tcPr>
            <w:tcW w:w="626" w:type="pct"/>
            <w:noWrap/>
            <w:vAlign w:val="center"/>
          </w:tcPr>
          <w:p w14:paraId="4FF77918">
            <w:pPr>
              <w:pStyle w:val="133"/>
              <w:rPr>
                <w:b/>
                <w:bCs/>
              </w:rPr>
            </w:pPr>
            <w:r>
              <w:rPr>
                <w:b/>
                <w:bCs/>
              </w:rPr>
              <w:t>浓度增量</w:t>
            </w:r>
          </w:p>
          <w:p w14:paraId="63ED5EF0">
            <w:pPr>
              <w:pStyle w:val="133"/>
              <w:rPr>
                <w:b/>
                <w:bCs/>
              </w:rPr>
            </w:pPr>
            <w:r>
              <w:rPr>
                <w:b/>
                <w:bCs/>
              </w:rPr>
              <w:t>（</w:t>
            </w:r>
            <w:r>
              <w:rPr>
                <w:rFonts w:hint="eastAsia"/>
                <w:b/>
                <w:bCs/>
              </w:rPr>
              <w:t>m</w:t>
            </w:r>
            <w:r>
              <w:rPr>
                <w:b/>
                <w:bCs/>
              </w:rPr>
              <w:t>g/m</w:t>
            </w:r>
            <w:r>
              <w:rPr>
                <w:b/>
                <w:bCs/>
                <w:vertAlign w:val="superscript"/>
              </w:rPr>
              <w:t>3</w:t>
            </w:r>
            <w:r>
              <w:rPr>
                <w:b/>
                <w:bCs/>
              </w:rPr>
              <w:t>）</w:t>
            </w:r>
          </w:p>
        </w:tc>
        <w:tc>
          <w:tcPr>
            <w:tcW w:w="704" w:type="pct"/>
            <w:noWrap/>
            <w:vAlign w:val="center"/>
          </w:tcPr>
          <w:p w14:paraId="2460197F">
            <w:pPr>
              <w:pStyle w:val="133"/>
              <w:rPr>
                <w:b/>
                <w:bCs/>
              </w:rPr>
            </w:pPr>
            <w:r>
              <w:rPr>
                <w:b/>
                <w:bCs/>
              </w:rPr>
              <w:t>出现时间</w:t>
            </w:r>
          </w:p>
        </w:tc>
        <w:tc>
          <w:tcPr>
            <w:tcW w:w="704" w:type="pct"/>
            <w:noWrap/>
            <w:vAlign w:val="center"/>
          </w:tcPr>
          <w:p w14:paraId="15BEDDBA">
            <w:pPr>
              <w:pStyle w:val="133"/>
              <w:rPr>
                <w:b/>
                <w:bCs/>
              </w:rPr>
            </w:pPr>
            <w:r>
              <w:rPr>
                <w:b/>
                <w:bCs/>
              </w:rPr>
              <w:t>评价标准（</w:t>
            </w:r>
            <w:r>
              <w:rPr>
                <w:rFonts w:hint="eastAsia"/>
                <w:b/>
                <w:bCs/>
              </w:rPr>
              <w:t>m</w:t>
            </w:r>
            <w:r>
              <w:rPr>
                <w:b/>
                <w:bCs/>
              </w:rPr>
              <w:t>g/m</w:t>
            </w:r>
            <w:r>
              <w:rPr>
                <w:b/>
                <w:bCs/>
                <w:vertAlign w:val="superscript"/>
              </w:rPr>
              <w:t>3</w:t>
            </w:r>
            <w:r>
              <w:rPr>
                <w:b/>
                <w:bCs/>
              </w:rPr>
              <w:t>）</w:t>
            </w:r>
          </w:p>
        </w:tc>
        <w:tc>
          <w:tcPr>
            <w:tcW w:w="470" w:type="pct"/>
            <w:noWrap/>
            <w:vAlign w:val="center"/>
          </w:tcPr>
          <w:p w14:paraId="564CF213">
            <w:pPr>
              <w:pStyle w:val="133"/>
              <w:rPr>
                <w:b/>
                <w:bCs/>
              </w:rPr>
            </w:pPr>
            <w:r>
              <w:rPr>
                <w:b/>
                <w:bCs/>
              </w:rPr>
              <w:t>占标率</w:t>
            </w:r>
          </w:p>
          <w:p w14:paraId="60EFA402">
            <w:pPr>
              <w:pStyle w:val="133"/>
              <w:rPr>
                <w:b/>
                <w:bCs/>
              </w:rPr>
            </w:pPr>
            <w:r>
              <w:rPr>
                <w:b/>
                <w:bCs/>
              </w:rPr>
              <w:t>%</w:t>
            </w:r>
          </w:p>
        </w:tc>
        <w:tc>
          <w:tcPr>
            <w:tcW w:w="394" w:type="pct"/>
            <w:noWrap/>
            <w:vAlign w:val="center"/>
          </w:tcPr>
          <w:p w14:paraId="6473CA26">
            <w:pPr>
              <w:pStyle w:val="133"/>
              <w:rPr>
                <w:b/>
                <w:bCs/>
              </w:rPr>
            </w:pPr>
            <w:r>
              <w:rPr>
                <w:b/>
                <w:bCs/>
              </w:rPr>
              <w:t>是否</w:t>
            </w:r>
          </w:p>
          <w:p w14:paraId="491F0373">
            <w:pPr>
              <w:pStyle w:val="133"/>
              <w:rPr>
                <w:b/>
                <w:bCs/>
              </w:rPr>
            </w:pPr>
            <w:r>
              <w:rPr>
                <w:b/>
                <w:bCs/>
              </w:rPr>
              <w:t>超标</w:t>
            </w:r>
          </w:p>
        </w:tc>
      </w:tr>
      <w:tr w14:paraId="482EF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9"/>
            <w:noWrap/>
            <w:vAlign w:val="center"/>
          </w:tcPr>
          <w:p w14:paraId="75B5529B">
            <w:pPr>
              <w:pStyle w:val="133"/>
            </w:pPr>
            <w:r>
              <w:rPr>
                <w:rFonts w:hint="eastAsia"/>
              </w:rPr>
              <w:t>净化煤气事故放散废气</w:t>
            </w:r>
          </w:p>
        </w:tc>
      </w:tr>
      <w:tr w14:paraId="6796F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noWrap/>
            <w:vAlign w:val="center"/>
          </w:tcPr>
          <w:p w14:paraId="4C2685DB">
            <w:pPr>
              <w:pStyle w:val="133"/>
            </w:pPr>
            <w:r>
              <w:rPr>
                <w:rFonts w:hint="eastAsia"/>
              </w:rPr>
              <w:t>SO</w:t>
            </w:r>
            <w:r>
              <w:rPr>
                <w:rFonts w:hint="eastAsia"/>
                <w:vertAlign w:val="subscript"/>
              </w:rPr>
              <w:t>2</w:t>
            </w:r>
          </w:p>
        </w:tc>
        <w:tc>
          <w:tcPr>
            <w:tcW w:w="512" w:type="pct"/>
            <w:noWrap/>
            <w:vAlign w:val="center"/>
          </w:tcPr>
          <w:p w14:paraId="7CEA1066">
            <w:pPr>
              <w:pStyle w:val="133"/>
            </w:pPr>
            <w:r>
              <w:rPr>
                <w:rFonts w:hint="eastAsia"/>
              </w:rPr>
              <w:t>网格</w:t>
            </w:r>
          </w:p>
        </w:tc>
        <w:tc>
          <w:tcPr>
            <w:tcW w:w="703" w:type="pct"/>
            <w:noWrap/>
            <w:vAlign w:val="center"/>
          </w:tcPr>
          <w:p w14:paraId="3A842432">
            <w:pPr>
              <w:pStyle w:val="133"/>
            </w:pPr>
            <w:r>
              <w:rPr>
                <w:rFonts w:hint="eastAsia"/>
              </w:rPr>
              <w:t>-800,100</w:t>
            </w:r>
          </w:p>
        </w:tc>
        <w:tc>
          <w:tcPr>
            <w:tcW w:w="470" w:type="pct"/>
            <w:noWrap/>
            <w:vAlign w:val="center"/>
          </w:tcPr>
          <w:p w14:paraId="7A6D77D7">
            <w:pPr>
              <w:pStyle w:val="133"/>
            </w:pPr>
            <w:r>
              <w:rPr>
                <w:rFonts w:hint="eastAsia"/>
              </w:rPr>
              <w:t>1小时</w:t>
            </w:r>
          </w:p>
        </w:tc>
        <w:tc>
          <w:tcPr>
            <w:tcW w:w="626" w:type="pct"/>
            <w:noWrap/>
            <w:vAlign w:val="center"/>
          </w:tcPr>
          <w:p w14:paraId="549B5F9A">
            <w:pPr>
              <w:pStyle w:val="133"/>
            </w:pPr>
            <w:r>
              <w:t>0.058968</w:t>
            </w:r>
          </w:p>
        </w:tc>
        <w:tc>
          <w:tcPr>
            <w:tcW w:w="704" w:type="pct"/>
            <w:noWrap/>
            <w:vAlign w:val="center"/>
          </w:tcPr>
          <w:p w14:paraId="67AF7162">
            <w:pPr>
              <w:pStyle w:val="133"/>
            </w:pPr>
            <w:r>
              <w:t>23061909</w:t>
            </w:r>
          </w:p>
        </w:tc>
        <w:tc>
          <w:tcPr>
            <w:tcW w:w="704" w:type="pct"/>
            <w:noWrap/>
            <w:vAlign w:val="center"/>
          </w:tcPr>
          <w:p w14:paraId="509D9FA8">
            <w:pPr>
              <w:pStyle w:val="133"/>
            </w:pPr>
            <w:r>
              <w:rPr>
                <w:rFonts w:hint="eastAsia"/>
              </w:rPr>
              <w:t>0.5</w:t>
            </w:r>
          </w:p>
        </w:tc>
        <w:tc>
          <w:tcPr>
            <w:tcW w:w="470" w:type="pct"/>
            <w:noWrap/>
            <w:vAlign w:val="center"/>
          </w:tcPr>
          <w:p w14:paraId="4A02CED1">
            <w:pPr>
              <w:pStyle w:val="133"/>
            </w:pPr>
            <w:r>
              <w:rPr>
                <w:rFonts w:hint="eastAsia"/>
              </w:rPr>
              <w:t>11.79</w:t>
            </w:r>
          </w:p>
        </w:tc>
        <w:tc>
          <w:tcPr>
            <w:tcW w:w="394" w:type="pct"/>
            <w:noWrap/>
            <w:vAlign w:val="center"/>
          </w:tcPr>
          <w:p w14:paraId="68C4F925">
            <w:pPr>
              <w:pStyle w:val="133"/>
            </w:pPr>
            <w:r>
              <w:rPr>
                <w:rFonts w:hint="eastAsia"/>
              </w:rPr>
              <w:t>达标</w:t>
            </w:r>
          </w:p>
        </w:tc>
      </w:tr>
      <w:tr w14:paraId="5CC033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noWrap/>
            <w:vAlign w:val="center"/>
          </w:tcPr>
          <w:p w14:paraId="266B1257">
            <w:pPr>
              <w:pStyle w:val="133"/>
            </w:pPr>
            <w:r>
              <w:rPr>
                <w:rFonts w:hint="eastAsia"/>
              </w:rPr>
              <w:t>NO</w:t>
            </w:r>
            <w:r>
              <w:rPr>
                <w:rFonts w:hint="eastAsia"/>
                <w:vertAlign w:val="subscript"/>
              </w:rPr>
              <w:t>2</w:t>
            </w:r>
          </w:p>
        </w:tc>
        <w:tc>
          <w:tcPr>
            <w:tcW w:w="512" w:type="pct"/>
            <w:noWrap/>
            <w:vAlign w:val="center"/>
          </w:tcPr>
          <w:p w14:paraId="74AB5D1B">
            <w:pPr>
              <w:pStyle w:val="133"/>
            </w:pPr>
            <w:r>
              <w:rPr>
                <w:rFonts w:hint="eastAsia"/>
              </w:rPr>
              <w:t>网格</w:t>
            </w:r>
          </w:p>
        </w:tc>
        <w:tc>
          <w:tcPr>
            <w:tcW w:w="703" w:type="pct"/>
            <w:noWrap/>
            <w:vAlign w:val="center"/>
          </w:tcPr>
          <w:p w14:paraId="6D1FDC47">
            <w:pPr>
              <w:pStyle w:val="133"/>
            </w:pPr>
            <w:r>
              <w:rPr>
                <w:rFonts w:hint="eastAsia"/>
              </w:rPr>
              <w:t>-800,100</w:t>
            </w:r>
          </w:p>
        </w:tc>
        <w:tc>
          <w:tcPr>
            <w:tcW w:w="470" w:type="pct"/>
            <w:noWrap/>
            <w:vAlign w:val="center"/>
          </w:tcPr>
          <w:p w14:paraId="7A527937">
            <w:pPr>
              <w:pStyle w:val="133"/>
            </w:pPr>
            <w:r>
              <w:rPr>
                <w:rFonts w:hint="eastAsia"/>
              </w:rPr>
              <w:t>1小时</w:t>
            </w:r>
          </w:p>
        </w:tc>
        <w:tc>
          <w:tcPr>
            <w:tcW w:w="626" w:type="pct"/>
            <w:noWrap/>
            <w:vAlign w:val="center"/>
          </w:tcPr>
          <w:p w14:paraId="490122B3">
            <w:pPr>
              <w:pStyle w:val="133"/>
            </w:pPr>
            <w:r>
              <w:t>0.059691</w:t>
            </w:r>
          </w:p>
        </w:tc>
        <w:tc>
          <w:tcPr>
            <w:tcW w:w="704" w:type="pct"/>
            <w:noWrap/>
            <w:vAlign w:val="center"/>
          </w:tcPr>
          <w:p w14:paraId="4B9D0046">
            <w:pPr>
              <w:pStyle w:val="133"/>
            </w:pPr>
            <w:r>
              <w:t>23061909</w:t>
            </w:r>
          </w:p>
        </w:tc>
        <w:tc>
          <w:tcPr>
            <w:tcW w:w="704" w:type="pct"/>
            <w:noWrap/>
            <w:vAlign w:val="center"/>
          </w:tcPr>
          <w:p w14:paraId="61204FB3">
            <w:pPr>
              <w:pStyle w:val="133"/>
            </w:pPr>
            <w:r>
              <w:rPr>
                <w:rFonts w:hint="eastAsia"/>
              </w:rPr>
              <w:t>0.2</w:t>
            </w:r>
          </w:p>
        </w:tc>
        <w:tc>
          <w:tcPr>
            <w:tcW w:w="470" w:type="pct"/>
            <w:noWrap/>
            <w:vAlign w:val="center"/>
          </w:tcPr>
          <w:p w14:paraId="2F9E70CD">
            <w:pPr>
              <w:pStyle w:val="133"/>
            </w:pPr>
            <w:r>
              <w:rPr>
                <w:rFonts w:hint="eastAsia"/>
              </w:rPr>
              <w:t>29.85</w:t>
            </w:r>
          </w:p>
        </w:tc>
        <w:tc>
          <w:tcPr>
            <w:tcW w:w="394" w:type="pct"/>
            <w:noWrap/>
            <w:vAlign w:val="center"/>
          </w:tcPr>
          <w:p w14:paraId="6C5A3C17">
            <w:pPr>
              <w:pStyle w:val="133"/>
            </w:pPr>
            <w:r>
              <w:rPr>
                <w:rFonts w:hint="eastAsia"/>
              </w:rPr>
              <w:t>达标</w:t>
            </w:r>
          </w:p>
        </w:tc>
      </w:tr>
    </w:tbl>
    <w:p w14:paraId="548358D6">
      <w:pPr>
        <w:pStyle w:val="133"/>
      </w:pPr>
    </w:p>
    <w:p w14:paraId="4DF3E634">
      <w:pPr>
        <w:pStyle w:val="257"/>
        <w:ind w:firstLine="480"/>
        <w:rPr>
          <w:rFonts w:eastAsia="宋体"/>
        </w:rPr>
      </w:pPr>
      <w:r>
        <w:rPr>
          <w:rFonts w:hint="eastAsia" w:eastAsia="宋体"/>
        </w:rPr>
        <w:t>从非正常工况1小时落地浓度预测结果可知，当废气治理系统故障时，主要污染物S</w:t>
      </w:r>
      <w:r>
        <w:rPr>
          <w:rFonts w:eastAsia="宋体"/>
        </w:rPr>
        <w:t>O</w:t>
      </w:r>
      <w:r>
        <w:rPr>
          <w:rFonts w:eastAsia="宋体"/>
          <w:vertAlign w:val="subscript"/>
        </w:rPr>
        <w:t>2</w:t>
      </w:r>
      <w:r>
        <w:rPr>
          <w:rFonts w:hint="eastAsia" w:eastAsia="宋体"/>
        </w:rPr>
        <w:t>、</w:t>
      </w:r>
      <w:r>
        <w:rPr>
          <w:rStyle w:val="162"/>
          <w:rFonts w:hint="eastAsia"/>
        </w:rPr>
        <w:t>NO</w:t>
      </w:r>
      <w:r>
        <w:rPr>
          <w:rStyle w:val="162"/>
          <w:rFonts w:hint="eastAsia"/>
          <w:vertAlign w:val="subscript"/>
        </w:rPr>
        <w:t>2</w:t>
      </w:r>
      <w:r>
        <w:rPr>
          <w:rFonts w:hint="eastAsia" w:eastAsia="宋体"/>
        </w:rPr>
        <w:t>非正常排放各污染物落地浓度相对于正常工况下明显提高，甚至出现超标，会对区域环境空气质量产生较大影响。</w:t>
      </w:r>
    </w:p>
    <w:p w14:paraId="20D33847">
      <w:pPr>
        <w:pStyle w:val="257"/>
        <w:ind w:firstLine="480"/>
        <w:rPr>
          <w:rFonts w:hint="eastAsia" w:ascii="宋体" w:hAnsi="宋体" w:eastAsia="宋体" w:cs="宋体"/>
        </w:rPr>
      </w:pPr>
      <w:r>
        <w:rPr>
          <w:rFonts w:hint="eastAsia" w:ascii="宋体" w:hAnsi="宋体" w:eastAsia="宋体" w:cs="宋体"/>
        </w:rPr>
        <w:t>项目运营需加强生产管理，尽量减少非计划装置开停车，并缩短开停车时间，同时加强设备维护，避免环保设施不正常运行，减少事故排放对周围大气环境及敏感目标的影响。</w:t>
      </w:r>
    </w:p>
    <w:p w14:paraId="6222B809">
      <w:pPr>
        <w:pStyle w:val="944"/>
      </w:pPr>
      <w:r>
        <w:t>交通运输粉尘影响分析</w:t>
      </w:r>
    </w:p>
    <w:p w14:paraId="68FB0C9B">
      <w:pPr>
        <w:pStyle w:val="257"/>
        <w:ind w:firstLine="480"/>
      </w:pPr>
      <w:r>
        <w:rPr>
          <w:rFonts w:eastAsia="宋体"/>
        </w:rPr>
        <w:t>一般来说，道路愈清洁、车速愈慢，产生的扬尘就愈小，运输道路扬尘在自然风作用下的影响范围一般在</w:t>
      </w:r>
      <w:r>
        <w:t>100m</w:t>
      </w:r>
      <w:r>
        <w:rPr>
          <w:rFonts w:eastAsia="宋体"/>
        </w:rPr>
        <w:t>以内。</w:t>
      </w:r>
      <w:r>
        <w:rPr>
          <w:rFonts w:hint="eastAsia" w:eastAsia="宋体"/>
        </w:rPr>
        <w:t>本</w:t>
      </w:r>
      <w:r>
        <w:rPr>
          <w:rFonts w:eastAsia="宋体"/>
        </w:rPr>
        <w:t>项目原料进厂</w:t>
      </w:r>
      <w:r>
        <w:rPr>
          <w:rFonts w:hint="eastAsia" w:eastAsia="宋体"/>
        </w:rPr>
        <w:t>、产品出厂</w:t>
      </w:r>
      <w:r>
        <w:rPr>
          <w:rFonts w:eastAsia="宋体"/>
        </w:rPr>
        <w:t>运输道路为硬化路，较清洁，扬尘产生量少，因此对沿线环境影响相对较小。汽车排放的含有</w:t>
      </w:r>
      <w:r>
        <w:t>CO</w:t>
      </w:r>
      <w:r>
        <w:rPr>
          <w:rFonts w:eastAsia="宋体"/>
        </w:rPr>
        <w:t>、</w:t>
      </w:r>
      <w:r>
        <w:t>NO</w:t>
      </w:r>
      <w:r>
        <w:rPr>
          <w:vertAlign w:val="subscript"/>
        </w:rPr>
        <w:t>X</w:t>
      </w:r>
      <w:r>
        <w:rPr>
          <w:rFonts w:eastAsia="宋体"/>
        </w:rPr>
        <w:t>等有害烟气是又一污染源，特别是载重汽车排放的烟气量较空车大，对公路附近和厂区物料场附近的环境空气质量形成一定影响。</w:t>
      </w:r>
    </w:p>
    <w:p w14:paraId="021F8043">
      <w:pPr>
        <w:pStyle w:val="257"/>
        <w:ind w:firstLine="480"/>
      </w:pPr>
      <w:r>
        <w:rPr>
          <w:rFonts w:eastAsia="宋体"/>
        </w:rPr>
        <w:t>另外，载重车辆频繁的进出评价区，而且装载的物料可能逸散，使汽车驶过的道路两边一定范围短时间内环境空气中飘尘污染较重，影响行人、附近城镇村民等的健康，飘尘还将使道路两旁近距离的植物页面透气孔受到堵塞，影响植物的光合作用，从而影响植物的正常生长。</w:t>
      </w:r>
    </w:p>
    <w:p w14:paraId="0D8837AD">
      <w:pPr>
        <w:pStyle w:val="944"/>
      </w:pPr>
      <w:r>
        <w:rPr>
          <w:rFonts w:hint="eastAsia"/>
        </w:rPr>
        <w:t>大气环境防护距离</w:t>
      </w:r>
    </w:p>
    <w:p w14:paraId="3DCC9735">
      <w:pPr>
        <w:pStyle w:val="117"/>
        <w:ind w:firstLine="480"/>
      </w:pPr>
      <w:r>
        <w:rPr>
          <w:rFonts w:hint="eastAsia"/>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6CD18EF0">
      <w:pPr>
        <w:pStyle w:val="117"/>
        <w:ind w:firstLine="480"/>
      </w:pPr>
      <w:r>
        <w:rPr>
          <w:rFonts w:hint="eastAsia"/>
        </w:rPr>
        <w:t>本项目为新建项目，全厂无现有污染源，采用进一步预测模型模拟评价基准年内本项目所有污染源对厂界外主要污染物的短期贡献浓度分布。根据预测结果，主要污染物SO</w:t>
      </w:r>
      <w:r>
        <w:rPr>
          <w:rFonts w:hint="eastAsia"/>
          <w:vertAlign w:val="subscript"/>
        </w:rPr>
        <w:t>2</w:t>
      </w:r>
      <w:r>
        <w:rPr>
          <w:rFonts w:hint="eastAsia"/>
        </w:rPr>
        <w:t>、NO</w:t>
      </w:r>
      <w:r>
        <w:rPr>
          <w:rFonts w:hint="eastAsia"/>
          <w:vertAlign w:val="subscript"/>
        </w:rPr>
        <w:t>2</w:t>
      </w:r>
      <w:r>
        <w:rPr>
          <w:rFonts w:hint="eastAsia"/>
        </w:rPr>
        <w:t>、</w:t>
      </w:r>
      <w:r>
        <w:t>PM</w:t>
      </w:r>
      <w:r>
        <w:rPr>
          <w:vertAlign w:val="subscript"/>
        </w:rPr>
        <w:t>10</w:t>
      </w:r>
      <w:r>
        <w:rPr>
          <w:rFonts w:hint="eastAsia"/>
        </w:rPr>
        <w:t>、P</w:t>
      </w:r>
      <w:r>
        <w:t>M</w:t>
      </w:r>
      <w:r>
        <w:rPr>
          <w:vertAlign w:val="subscript"/>
        </w:rPr>
        <w:t>2.5</w:t>
      </w:r>
      <w:r>
        <w:rPr>
          <w:rFonts w:hint="eastAsia"/>
        </w:rPr>
        <w:t>、T</w:t>
      </w:r>
      <w:r>
        <w:t>SP</w:t>
      </w:r>
      <w:r>
        <w:rPr>
          <w:rFonts w:hint="eastAsia"/>
        </w:rPr>
        <w:t>、BaP、NMHC、NH</w:t>
      </w:r>
      <w:r>
        <w:rPr>
          <w:rFonts w:hint="eastAsia"/>
          <w:vertAlign w:val="subscript"/>
        </w:rPr>
        <w:t>3</w:t>
      </w:r>
      <w:r>
        <w:rPr>
          <w:rFonts w:hint="eastAsia"/>
        </w:rPr>
        <w:t>、H</w:t>
      </w:r>
      <w:r>
        <w:rPr>
          <w:rFonts w:hint="eastAsia"/>
          <w:vertAlign w:val="subscript"/>
        </w:rPr>
        <w:t>2</w:t>
      </w:r>
      <w:r>
        <w:rPr>
          <w:rFonts w:hint="eastAsia"/>
        </w:rPr>
        <w:t>S等的短期贡献浓度均未超过环境质量浓度限值，在厂界附近不存在短期落地浓度贡献值超过环境质量短期浓度限值的网格点，大气环境防护距离计算为0m，即不设置大气环境防护距离。</w:t>
      </w:r>
    </w:p>
    <w:p w14:paraId="3E65805A">
      <w:pPr>
        <w:pStyle w:val="138"/>
        <w:rPr>
          <w:rFonts w:hint="eastAsia"/>
        </w:rPr>
      </w:pPr>
      <w:r>
        <w:t>污染物排放量核算</w:t>
      </w:r>
    </w:p>
    <w:p w14:paraId="56F9DD94">
      <w:pPr>
        <w:pStyle w:val="117"/>
        <w:ind w:firstLine="480"/>
      </w:pPr>
      <w:r>
        <w:t>本</w:t>
      </w:r>
      <w:r>
        <w:rPr>
          <w:rFonts w:hint="eastAsia"/>
        </w:rPr>
        <w:t>次</w:t>
      </w:r>
      <w:r>
        <w:t>按照导则8.8.7要求，根据最终确定的污染治理设施、预防措施及排污方案，确定本项目所有新增污染源大气排污节点、排放污染物、污染治理设施与预防措施以及大气排放口基本情况。</w:t>
      </w:r>
    </w:p>
    <w:p w14:paraId="4AB64B49">
      <w:pPr>
        <w:pStyle w:val="944"/>
      </w:pPr>
      <w:r>
        <w:t>有组织排放量核算</w:t>
      </w:r>
    </w:p>
    <w:p w14:paraId="4E730529">
      <w:pPr>
        <w:pStyle w:val="117"/>
        <w:ind w:firstLine="480"/>
      </w:pPr>
      <w:r>
        <w:rPr>
          <w:rFonts w:hint="eastAsia"/>
        </w:rPr>
        <w:t>本项目大气污染物有组织排放量核算见表5.2-33。</w:t>
      </w:r>
    </w:p>
    <w:p w14:paraId="2D99E756">
      <w:pPr>
        <w:pStyle w:val="118"/>
      </w:pPr>
      <w:r>
        <w:rPr>
          <w:rFonts w:hint="eastAsia"/>
        </w:rPr>
        <w:t>表5.2-33</w:t>
      </w:r>
      <w:r>
        <w:t xml:space="preserve">  大气污染物有组织排放</w:t>
      </w:r>
      <w:r>
        <w:rPr>
          <w:rFonts w:hint="eastAsia"/>
        </w:rPr>
        <w:t>核算</w:t>
      </w:r>
      <w:r>
        <w:t>表</w:t>
      </w:r>
    </w:p>
    <w:tbl>
      <w:tblPr>
        <w:tblStyle w:val="67"/>
        <w:tblW w:w="500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013"/>
        <w:gridCol w:w="1300"/>
        <w:gridCol w:w="1589"/>
        <w:gridCol w:w="1432"/>
        <w:gridCol w:w="1365"/>
      </w:tblGrid>
      <w:tr w14:paraId="417FD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29" w:type="pct"/>
            <w:vMerge w:val="restart"/>
            <w:vAlign w:val="center"/>
          </w:tcPr>
          <w:p w14:paraId="044CA83C">
            <w:pPr>
              <w:pStyle w:val="133"/>
              <w:rPr>
                <w:b/>
                <w:bCs/>
              </w:rPr>
            </w:pPr>
            <w:r>
              <w:rPr>
                <w:b/>
                <w:bCs/>
              </w:rPr>
              <w:t>序号</w:t>
            </w:r>
          </w:p>
        </w:tc>
        <w:tc>
          <w:tcPr>
            <w:tcW w:w="1618" w:type="pct"/>
            <w:vMerge w:val="restart"/>
            <w:vAlign w:val="center"/>
          </w:tcPr>
          <w:p w14:paraId="0BDEBF0C">
            <w:pPr>
              <w:pStyle w:val="133"/>
              <w:rPr>
                <w:b/>
                <w:bCs/>
              </w:rPr>
            </w:pPr>
            <w:r>
              <w:rPr>
                <w:b/>
                <w:bCs/>
              </w:rPr>
              <w:t>排放口</w:t>
            </w:r>
            <w:r>
              <w:rPr>
                <w:rFonts w:hint="eastAsia"/>
                <w:b/>
                <w:bCs/>
              </w:rPr>
              <w:t>名称</w:t>
            </w:r>
          </w:p>
        </w:tc>
        <w:tc>
          <w:tcPr>
            <w:tcW w:w="698" w:type="pct"/>
            <w:vMerge w:val="restart"/>
            <w:vAlign w:val="center"/>
          </w:tcPr>
          <w:p w14:paraId="7B53DA24">
            <w:pPr>
              <w:pStyle w:val="133"/>
              <w:rPr>
                <w:b/>
                <w:bCs/>
              </w:rPr>
            </w:pPr>
            <w:r>
              <w:rPr>
                <w:b/>
                <w:bCs/>
              </w:rPr>
              <w:t>污染物</w:t>
            </w:r>
          </w:p>
        </w:tc>
        <w:tc>
          <w:tcPr>
            <w:tcW w:w="853" w:type="pct"/>
            <w:vMerge w:val="restart"/>
            <w:vAlign w:val="center"/>
          </w:tcPr>
          <w:p w14:paraId="5AE48C6A">
            <w:pPr>
              <w:pStyle w:val="133"/>
              <w:rPr>
                <w:b/>
                <w:bCs/>
              </w:rPr>
            </w:pPr>
            <w:r>
              <w:rPr>
                <w:b/>
                <w:bCs/>
              </w:rPr>
              <w:t>核算排放浓度/（mg/m</w:t>
            </w:r>
            <w:r>
              <w:rPr>
                <w:b/>
                <w:bCs/>
                <w:vertAlign w:val="superscript"/>
              </w:rPr>
              <w:t>3</w:t>
            </w:r>
            <w:r>
              <w:rPr>
                <w:b/>
                <w:bCs/>
              </w:rPr>
              <w:t>）</w:t>
            </w:r>
          </w:p>
        </w:tc>
        <w:tc>
          <w:tcPr>
            <w:tcW w:w="769" w:type="pct"/>
            <w:vMerge w:val="restart"/>
            <w:vAlign w:val="center"/>
          </w:tcPr>
          <w:p w14:paraId="0CEBA9BC">
            <w:pPr>
              <w:pStyle w:val="133"/>
              <w:rPr>
                <w:b/>
                <w:bCs/>
              </w:rPr>
            </w:pPr>
            <w:r>
              <w:rPr>
                <w:b/>
                <w:bCs/>
              </w:rPr>
              <w:t>核算排放速率/（kg/h）</w:t>
            </w:r>
          </w:p>
        </w:tc>
        <w:tc>
          <w:tcPr>
            <w:tcW w:w="733" w:type="pct"/>
            <w:vMerge w:val="restart"/>
            <w:vAlign w:val="center"/>
          </w:tcPr>
          <w:p w14:paraId="47DB4200">
            <w:pPr>
              <w:pStyle w:val="133"/>
              <w:rPr>
                <w:b/>
                <w:bCs/>
              </w:rPr>
            </w:pPr>
            <w:r>
              <w:rPr>
                <w:b/>
                <w:bCs/>
              </w:rPr>
              <w:t>核算年排放量/（t/a）</w:t>
            </w:r>
          </w:p>
        </w:tc>
      </w:tr>
      <w:tr w14:paraId="7E60D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29" w:type="pct"/>
            <w:vMerge w:val="continue"/>
            <w:vAlign w:val="center"/>
          </w:tcPr>
          <w:p w14:paraId="60506C61">
            <w:pPr>
              <w:pStyle w:val="133"/>
            </w:pPr>
          </w:p>
        </w:tc>
        <w:tc>
          <w:tcPr>
            <w:tcW w:w="1618" w:type="pct"/>
            <w:vMerge w:val="continue"/>
            <w:vAlign w:val="center"/>
          </w:tcPr>
          <w:p w14:paraId="085AABF8">
            <w:pPr>
              <w:pStyle w:val="133"/>
            </w:pPr>
          </w:p>
        </w:tc>
        <w:tc>
          <w:tcPr>
            <w:tcW w:w="698" w:type="pct"/>
            <w:vMerge w:val="continue"/>
            <w:vAlign w:val="center"/>
          </w:tcPr>
          <w:p w14:paraId="1983FDB2">
            <w:pPr>
              <w:pStyle w:val="133"/>
            </w:pPr>
          </w:p>
        </w:tc>
        <w:tc>
          <w:tcPr>
            <w:tcW w:w="853" w:type="pct"/>
            <w:vMerge w:val="continue"/>
            <w:vAlign w:val="center"/>
          </w:tcPr>
          <w:p w14:paraId="77A85CC5">
            <w:pPr>
              <w:pStyle w:val="133"/>
            </w:pPr>
          </w:p>
        </w:tc>
        <w:tc>
          <w:tcPr>
            <w:tcW w:w="769" w:type="pct"/>
            <w:vMerge w:val="continue"/>
            <w:vAlign w:val="center"/>
          </w:tcPr>
          <w:p w14:paraId="10FBD9DF">
            <w:pPr>
              <w:pStyle w:val="133"/>
            </w:pPr>
          </w:p>
        </w:tc>
        <w:tc>
          <w:tcPr>
            <w:tcW w:w="733" w:type="pct"/>
            <w:vMerge w:val="continue"/>
            <w:vAlign w:val="center"/>
          </w:tcPr>
          <w:p w14:paraId="28E1ED7F">
            <w:pPr>
              <w:pStyle w:val="133"/>
            </w:pPr>
          </w:p>
        </w:tc>
      </w:tr>
      <w:tr w14:paraId="2CFE94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14:paraId="6541EBC3">
            <w:pPr>
              <w:pStyle w:val="133"/>
            </w:pPr>
            <w:r>
              <w:t>主要排放口</w:t>
            </w:r>
          </w:p>
        </w:tc>
      </w:tr>
      <w:tr w14:paraId="13ABA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14:paraId="3DA2F51A">
            <w:pPr>
              <w:pStyle w:val="133"/>
            </w:pPr>
            <w:r>
              <w:rPr>
                <w:rFonts w:hint="eastAsia"/>
              </w:rPr>
              <w:t>1</w:t>
            </w:r>
          </w:p>
        </w:tc>
        <w:tc>
          <w:tcPr>
            <w:tcW w:w="1618" w:type="pct"/>
            <w:vMerge w:val="restart"/>
            <w:vAlign w:val="center"/>
          </w:tcPr>
          <w:p w14:paraId="2FA1AD1B">
            <w:pPr>
              <w:pStyle w:val="133"/>
            </w:pPr>
            <w:r>
              <w:rPr>
                <w:rFonts w:hint="eastAsia"/>
              </w:rPr>
              <w:t>炭化装煤废气</w:t>
            </w:r>
          </w:p>
        </w:tc>
        <w:tc>
          <w:tcPr>
            <w:tcW w:w="698" w:type="pct"/>
            <w:vAlign w:val="center"/>
          </w:tcPr>
          <w:p w14:paraId="687AA34C">
            <w:pPr>
              <w:pStyle w:val="133"/>
            </w:pPr>
            <w:r>
              <w:rPr>
                <w:rFonts w:hint="eastAsia"/>
              </w:rPr>
              <w:t>颗粒物</w:t>
            </w:r>
          </w:p>
        </w:tc>
        <w:tc>
          <w:tcPr>
            <w:tcW w:w="853" w:type="pct"/>
            <w:vAlign w:val="center"/>
          </w:tcPr>
          <w:p w14:paraId="43D7872E">
            <w:pPr>
              <w:pStyle w:val="133"/>
            </w:pPr>
            <w:r>
              <w:rPr>
                <w:rFonts w:hint="eastAsia"/>
              </w:rPr>
              <w:t>5.8</w:t>
            </w:r>
          </w:p>
        </w:tc>
        <w:tc>
          <w:tcPr>
            <w:tcW w:w="769" w:type="pct"/>
            <w:vAlign w:val="center"/>
          </w:tcPr>
          <w:p w14:paraId="3E69D11E">
            <w:pPr>
              <w:pStyle w:val="133"/>
            </w:pPr>
            <w:r>
              <w:rPr>
                <w:rFonts w:hint="eastAsia"/>
              </w:rPr>
              <w:t>0.20</w:t>
            </w:r>
          </w:p>
        </w:tc>
        <w:tc>
          <w:tcPr>
            <w:tcW w:w="733" w:type="pct"/>
            <w:vAlign w:val="center"/>
          </w:tcPr>
          <w:p w14:paraId="7C884AD4">
            <w:pPr>
              <w:pStyle w:val="133"/>
              <w:rPr>
                <w:rFonts w:eastAsia="等线" w:cs="Times New Roman"/>
                <w:color w:val="000000"/>
              </w:rPr>
            </w:pPr>
            <w:r>
              <w:rPr>
                <w:rFonts w:eastAsia="等线" w:cs="Times New Roman"/>
                <w:color w:val="000000"/>
                <w:szCs w:val="21"/>
              </w:rPr>
              <w:t>0.8</w:t>
            </w:r>
          </w:p>
        </w:tc>
      </w:tr>
      <w:tr w14:paraId="4E6DF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3C06F7FC">
            <w:pPr>
              <w:pStyle w:val="133"/>
            </w:pPr>
          </w:p>
        </w:tc>
        <w:tc>
          <w:tcPr>
            <w:tcW w:w="1618" w:type="pct"/>
            <w:vMerge w:val="continue"/>
            <w:vAlign w:val="center"/>
          </w:tcPr>
          <w:p w14:paraId="72644DD1">
            <w:pPr>
              <w:pStyle w:val="133"/>
            </w:pPr>
          </w:p>
        </w:tc>
        <w:tc>
          <w:tcPr>
            <w:tcW w:w="698" w:type="pct"/>
            <w:vAlign w:val="center"/>
          </w:tcPr>
          <w:p w14:paraId="0D0A51E0">
            <w:pPr>
              <w:pStyle w:val="133"/>
            </w:pPr>
            <w:r>
              <w:rPr>
                <w:rFonts w:eastAsia="等线"/>
              </w:rPr>
              <w:t>SO</w:t>
            </w:r>
            <w:r>
              <w:rPr>
                <w:rFonts w:eastAsia="等线"/>
                <w:vertAlign w:val="subscript"/>
              </w:rPr>
              <w:t>2</w:t>
            </w:r>
          </w:p>
        </w:tc>
        <w:tc>
          <w:tcPr>
            <w:tcW w:w="853" w:type="pct"/>
            <w:vAlign w:val="center"/>
          </w:tcPr>
          <w:p w14:paraId="5FF3B718">
            <w:pPr>
              <w:pStyle w:val="133"/>
            </w:pPr>
            <w:r>
              <w:rPr>
                <w:rFonts w:hint="eastAsia"/>
              </w:rPr>
              <w:t>1.9</w:t>
            </w:r>
          </w:p>
        </w:tc>
        <w:tc>
          <w:tcPr>
            <w:tcW w:w="769" w:type="pct"/>
            <w:vAlign w:val="center"/>
          </w:tcPr>
          <w:p w14:paraId="23C400D1">
            <w:pPr>
              <w:pStyle w:val="133"/>
            </w:pPr>
            <w:r>
              <w:rPr>
                <w:rFonts w:hint="eastAsia"/>
              </w:rPr>
              <w:t>0.067</w:t>
            </w:r>
          </w:p>
        </w:tc>
        <w:tc>
          <w:tcPr>
            <w:tcW w:w="733" w:type="pct"/>
            <w:vAlign w:val="center"/>
          </w:tcPr>
          <w:p w14:paraId="31601763">
            <w:pPr>
              <w:pStyle w:val="133"/>
              <w:rPr>
                <w:rFonts w:eastAsia="等线" w:cs="Times New Roman"/>
                <w:color w:val="000000"/>
              </w:rPr>
            </w:pPr>
            <w:r>
              <w:rPr>
                <w:rFonts w:eastAsia="等线" w:cs="Times New Roman"/>
                <w:color w:val="000000"/>
                <w:szCs w:val="21"/>
              </w:rPr>
              <w:t>0.2</w:t>
            </w:r>
            <w:r>
              <w:rPr>
                <w:rFonts w:hint="eastAsia" w:eastAsia="等线" w:cs="Times New Roman"/>
                <w:color w:val="000000"/>
                <w:szCs w:val="21"/>
              </w:rPr>
              <w:t>68</w:t>
            </w:r>
          </w:p>
        </w:tc>
      </w:tr>
      <w:tr w14:paraId="30E38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6B121B80">
            <w:pPr>
              <w:pStyle w:val="133"/>
            </w:pPr>
          </w:p>
        </w:tc>
        <w:tc>
          <w:tcPr>
            <w:tcW w:w="1618" w:type="pct"/>
            <w:vMerge w:val="continue"/>
            <w:vAlign w:val="center"/>
          </w:tcPr>
          <w:p w14:paraId="30B5FF47">
            <w:pPr>
              <w:pStyle w:val="133"/>
            </w:pPr>
          </w:p>
        </w:tc>
        <w:tc>
          <w:tcPr>
            <w:tcW w:w="698" w:type="pct"/>
            <w:vAlign w:val="center"/>
          </w:tcPr>
          <w:p w14:paraId="510F1159">
            <w:pPr>
              <w:pStyle w:val="133"/>
            </w:pPr>
            <w:r>
              <w:rPr>
                <w:rFonts w:hint="eastAsia"/>
              </w:rPr>
              <w:t>BaP</w:t>
            </w:r>
          </w:p>
        </w:tc>
        <w:tc>
          <w:tcPr>
            <w:tcW w:w="853" w:type="pct"/>
            <w:vAlign w:val="center"/>
          </w:tcPr>
          <w:p w14:paraId="4A1952E8">
            <w:pPr>
              <w:pStyle w:val="133"/>
            </w:pPr>
            <w:r>
              <w:t>1.9E-06</w:t>
            </w:r>
          </w:p>
        </w:tc>
        <w:tc>
          <w:tcPr>
            <w:tcW w:w="769" w:type="pct"/>
            <w:vAlign w:val="center"/>
          </w:tcPr>
          <w:p w14:paraId="488E6460">
            <w:pPr>
              <w:pStyle w:val="133"/>
            </w:pPr>
            <w:r>
              <w:t>6.5E-08</w:t>
            </w:r>
          </w:p>
        </w:tc>
        <w:tc>
          <w:tcPr>
            <w:tcW w:w="733" w:type="pct"/>
            <w:vAlign w:val="center"/>
          </w:tcPr>
          <w:p w14:paraId="19AD8567">
            <w:pPr>
              <w:pStyle w:val="133"/>
              <w:rPr>
                <w:rFonts w:eastAsia="等线" w:cs="Times New Roman"/>
                <w:color w:val="000000"/>
              </w:rPr>
            </w:pPr>
            <w:r>
              <w:rPr>
                <w:rFonts w:eastAsia="等线" w:cs="Times New Roman"/>
                <w:color w:val="000000"/>
                <w:szCs w:val="21"/>
              </w:rPr>
              <w:t>0.00000026</w:t>
            </w:r>
          </w:p>
        </w:tc>
      </w:tr>
      <w:tr w14:paraId="3861D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restart"/>
            <w:vAlign w:val="center"/>
          </w:tcPr>
          <w:p w14:paraId="22F2D212">
            <w:pPr>
              <w:pStyle w:val="133"/>
            </w:pPr>
            <w:r>
              <w:rPr>
                <w:rFonts w:hint="eastAsia"/>
              </w:rPr>
              <w:t>主要排放口合计</w:t>
            </w:r>
          </w:p>
        </w:tc>
        <w:tc>
          <w:tcPr>
            <w:tcW w:w="2320" w:type="pct"/>
            <w:gridSpan w:val="3"/>
            <w:vAlign w:val="center"/>
          </w:tcPr>
          <w:p w14:paraId="5871B88E">
            <w:pPr>
              <w:pStyle w:val="133"/>
              <w:rPr>
                <w:rFonts w:eastAsia="等线" w:cs="Times New Roman"/>
                <w:color w:val="000000"/>
                <w:szCs w:val="21"/>
              </w:rPr>
            </w:pPr>
            <w:r>
              <w:rPr>
                <w:rFonts w:hint="eastAsia"/>
              </w:rPr>
              <w:t>颗粒物</w:t>
            </w:r>
          </w:p>
        </w:tc>
        <w:tc>
          <w:tcPr>
            <w:tcW w:w="733" w:type="pct"/>
            <w:vAlign w:val="center"/>
          </w:tcPr>
          <w:p w14:paraId="1DC20C62">
            <w:pPr>
              <w:pStyle w:val="133"/>
              <w:rPr>
                <w:rFonts w:eastAsia="等线" w:cs="Times New Roman"/>
                <w:color w:val="000000"/>
                <w:szCs w:val="21"/>
              </w:rPr>
            </w:pPr>
            <w:r>
              <w:rPr>
                <w:rFonts w:eastAsia="等线" w:cs="Times New Roman"/>
                <w:color w:val="000000"/>
                <w:szCs w:val="21"/>
              </w:rPr>
              <w:t>0.8</w:t>
            </w:r>
          </w:p>
        </w:tc>
      </w:tr>
      <w:tr w14:paraId="1F420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1D3082CC">
            <w:pPr>
              <w:pStyle w:val="133"/>
            </w:pPr>
          </w:p>
        </w:tc>
        <w:tc>
          <w:tcPr>
            <w:tcW w:w="2320" w:type="pct"/>
            <w:gridSpan w:val="3"/>
            <w:vAlign w:val="center"/>
          </w:tcPr>
          <w:p w14:paraId="69168607">
            <w:pPr>
              <w:pStyle w:val="133"/>
              <w:rPr>
                <w:rFonts w:eastAsia="等线" w:cs="Times New Roman"/>
                <w:color w:val="000000"/>
                <w:szCs w:val="21"/>
              </w:rPr>
            </w:pPr>
            <w:r>
              <w:rPr>
                <w:rFonts w:eastAsia="等线"/>
              </w:rPr>
              <w:t>SO</w:t>
            </w:r>
            <w:r>
              <w:rPr>
                <w:rFonts w:eastAsia="等线"/>
                <w:vertAlign w:val="subscript"/>
              </w:rPr>
              <w:t>2</w:t>
            </w:r>
          </w:p>
        </w:tc>
        <w:tc>
          <w:tcPr>
            <w:tcW w:w="733" w:type="pct"/>
            <w:vAlign w:val="center"/>
          </w:tcPr>
          <w:p w14:paraId="2020A40B">
            <w:pPr>
              <w:pStyle w:val="133"/>
              <w:rPr>
                <w:rFonts w:eastAsia="等线" w:cs="Times New Roman"/>
                <w:color w:val="000000"/>
                <w:szCs w:val="21"/>
              </w:rPr>
            </w:pPr>
            <w:r>
              <w:rPr>
                <w:rFonts w:eastAsia="等线" w:cs="Times New Roman"/>
                <w:color w:val="000000"/>
                <w:szCs w:val="21"/>
              </w:rPr>
              <w:t>0.2</w:t>
            </w:r>
            <w:r>
              <w:rPr>
                <w:rFonts w:hint="eastAsia" w:eastAsia="等线" w:cs="Times New Roman"/>
                <w:color w:val="000000"/>
                <w:szCs w:val="21"/>
              </w:rPr>
              <w:t>68</w:t>
            </w:r>
          </w:p>
        </w:tc>
      </w:tr>
      <w:tr w14:paraId="6095E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438FDAF8">
            <w:pPr>
              <w:pStyle w:val="133"/>
            </w:pPr>
          </w:p>
        </w:tc>
        <w:tc>
          <w:tcPr>
            <w:tcW w:w="2320" w:type="pct"/>
            <w:gridSpan w:val="3"/>
            <w:vAlign w:val="center"/>
          </w:tcPr>
          <w:p w14:paraId="00D02BE6">
            <w:pPr>
              <w:pStyle w:val="133"/>
              <w:rPr>
                <w:rFonts w:eastAsia="等线" w:cs="Times New Roman"/>
                <w:color w:val="000000"/>
                <w:szCs w:val="21"/>
              </w:rPr>
            </w:pPr>
            <w:r>
              <w:rPr>
                <w:rFonts w:hint="eastAsia"/>
              </w:rPr>
              <w:t>BaP</w:t>
            </w:r>
          </w:p>
        </w:tc>
        <w:tc>
          <w:tcPr>
            <w:tcW w:w="733" w:type="pct"/>
            <w:vAlign w:val="center"/>
          </w:tcPr>
          <w:p w14:paraId="4D30B4D3">
            <w:pPr>
              <w:pStyle w:val="133"/>
              <w:rPr>
                <w:rFonts w:eastAsia="等线" w:cs="Times New Roman"/>
                <w:color w:val="000000"/>
                <w:szCs w:val="21"/>
              </w:rPr>
            </w:pPr>
            <w:r>
              <w:rPr>
                <w:rFonts w:eastAsia="等线" w:cs="Times New Roman"/>
                <w:color w:val="000000"/>
                <w:szCs w:val="21"/>
              </w:rPr>
              <w:t>0.00000026</w:t>
            </w:r>
          </w:p>
        </w:tc>
      </w:tr>
      <w:tr w14:paraId="36EA9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14:paraId="726C118F">
            <w:pPr>
              <w:pStyle w:val="133"/>
            </w:pPr>
            <w:r>
              <w:rPr>
                <w:rFonts w:hint="eastAsia"/>
              </w:rPr>
              <w:t>一</w:t>
            </w:r>
            <w:r>
              <w:t>般排放口</w:t>
            </w:r>
          </w:p>
        </w:tc>
      </w:tr>
      <w:tr w14:paraId="23A9E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5FB9AB39">
            <w:pPr>
              <w:pStyle w:val="133"/>
            </w:pPr>
            <w:r>
              <w:rPr>
                <w:rFonts w:hint="eastAsia"/>
              </w:rPr>
              <w:t>1</w:t>
            </w:r>
          </w:p>
        </w:tc>
        <w:tc>
          <w:tcPr>
            <w:tcW w:w="1618" w:type="pct"/>
            <w:vAlign w:val="center"/>
          </w:tcPr>
          <w:p w14:paraId="70EA96A6">
            <w:pPr>
              <w:pStyle w:val="133"/>
            </w:pPr>
            <w:r>
              <w:rPr>
                <w:rFonts w:hint="eastAsia"/>
                <w:szCs w:val="21"/>
              </w:rPr>
              <w:t>备煤上料废气</w:t>
            </w:r>
          </w:p>
        </w:tc>
        <w:tc>
          <w:tcPr>
            <w:tcW w:w="698" w:type="pct"/>
            <w:vAlign w:val="center"/>
          </w:tcPr>
          <w:p w14:paraId="72A2628D">
            <w:pPr>
              <w:pStyle w:val="133"/>
              <w:rPr>
                <w:szCs w:val="21"/>
              </w:rPr>
            </w:pPr>
            <w:r>
              <w:rPr>
                <w:szCs w:val="21"/>
              </w:rPr>
              <w:t>颗粒物</w:t>
            </w:r>
          </w:p>
        </w:tc>
        <w:tc>
          <w:tcPr>
            <w:tcW w:w="853" w:type="pct"/>
            <w:vAlign w:val="center"/>
          </w:tcPr>
          <w:p w14:paraId="5AABABFD">
            <w:pPr>
              <w:pStyle w:val="133"/>
            </w:pPr>
            <w:r>
              <w:rPr>
                <w:rFonts w:hint="eastAsia" w:eastAsia="等线" w:cs="Times New Roman"/>
                <w:szCs w:val="21"/>
              </w:rPr>
              <w:t>1.3</w:t>
            </w:r>
          </w:p>
        </w:tc>
        <w:tc>
          <w:tcPr>
            <w:tcW w:w="769" w:type="pct"/>
            <w:vAlign w:val="center"/>
          </w:tcPr>
          <w:p w14:paraId="06F1F0FD">
            <w:pPr>
              <w:pStyle w:val="133"/>
            </w:pPr>
            <w:r>
              <w:rPr>
                <w:rFonts w:hint="eastAsia" w:eastAsia="等线" w:cs="Times New Roman"/>
                <w:szCs w:val="21"/>
              </w:rPr>
              <w:t>0.044</w:t>
            </w:r>
          </w:p>
        </w:tc>
        <w:tc>
          <w:tcPr>
            <w:tcW w:w="733" w:type="pct"/>
            <w:tcBorders>
              <w:top w:val="nil"/>
              <w:left w:val="nil"/>
              <w:bottom w:val="single" w:color="auto" w:sz="8" w:space="0"/>
              <w:right w:val="single" w:color="auto" w:sz="12" w:space="0"/>
            </w:tcBorders>
            <w:vAlign w:val="center"/>
          </w:tcPr>
          <w:p w14:paraId="0AB6D8DA">
            <w:pPr>
              <w:pStyle w:val="133"/>
            </w:pPr>
            <w:r>
              <w:rPr>
                <w:rFonts w:hint="eastAsia" w:eastAsia="等线" w:cs="Times New Roman"/>
                <w:color w:val="000000"/>
                <w:szCs w:val="21"/>
              </w:rPr>
              <w:t>0.348</w:t>
            </w:r>
          </w:p>
        </w:tc>
      </w:tr>
      <w:tr w14:paraId="5C3DC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48F02FE0">
            <w:pPr>
              <w:pStyle w:val="133"/>
            </w:pPr>
            <w:r>
              <w:rPr>
                <w:rFonts w:hint="eastAsia"/>
              </w:rPr>
              <w:t>2</w:t>
            </w:r>
          </w:p>
        </w:tc>
        <w:tc>
          <w:tcPr>
            <w:tcW w:w="1618" w:type="pct"/>
            <w:vAlign w:val="center"/>
          </w:tcPr>
          <w:p w14:paraId="4169858F">
            <w:pPr>
              <w:pStyle w:val="133"/>
            </w:pPr>
            <w:r>
              <w:rPr>
                <w:rFonts w:hint="eastAsia"/>
                <w:szCs w:val="21"/>
              </w:rPr>
              <w:t>破碎筛分废气</w:t>
            </w:r>
          </w:p>
        </w:tc>
        <w:tc>
          <w:tcPr>
            <w:tcW w:w="698" w:type="pct"/>
            <w:vAlign w:val="center"/>
          </w:tcPr>
          <w:p w14:paraId="083588FB">
            <w:pPr>
              <w:pStyle w:val="133"/>
              <w:rPr>
                <w:szCs w:val="21"/>
              </w:rPr>
            </w:pPr>
            <w:r>
              <w:rPr>
                <w:szCs w:val="21"/>
              </w:rPr>
              <w:t>颗粒物</w:t>
            </w:r>
          </w:p>
        </w:tc>
        <w:tc>
          <w:tcPr>
            <w:tcW w:w="853" w:type="pct"/>
            <w:vAlign w:val="center"/>
          </w:tcPr>
          <w:p w14:paraId="08D4CA59">
            <w:pPr>
              <w:pStyle w:val="133"/>
            </w:pPr>
            <w:r>
              <w:rPr>
                <w:rFonts w:hint="eastAsia" w:eastAsia="等线" w:cs="Times New Roman"/>
                <w:szCs w:val="21"/>
              </w:rPr>
              <w:t>0.9</w:t>
            </w:r>
          </w:p>
        </w:tc>
        <w:tc>
          <w:tcPr>
            <w:tcW w:w="769" w:type="pct"/>
            <w:vAlign w:val="center"/>
          </w:tcPr>
          <w:p w14:paraId="66635E8B">
            <w:pPr>
              <w:pStyle w:val="133"/>
            </w:pPr>
            <w:r>
              <w:rPr>
                <w:rFonts w:hint="eastAsia" w:eastAsia="等线" w:cs="Times New Roman"/>
                <w:szCs w:val="21"/>
              </w:rPr>
              <w:t>0.044</w:t>
            </w:r>
          </w:p>
        </w:tc>
        <w:tc>
          <w:tcPr>
            <w:tcW w:w="733" w:type="pct"/>
            <w:tcBorders>
              <w:top w:val="nil"/>
              <w:left w:val="nil"/>
              <w:bottom w:val="single" w:color="auto" w:sz="8" w:space="0"/>
              <w:right w:val="single" w:color="auto" w:sz="12" w:space="0"/>
            </w:tcBorders>
            <w:vAlign w:val="center"/>
          </w:tcPr>
          <w:p w14:paraId="0D2EECC4">
            <w:pPr>
              <w:pStyle w:val="133"/>
              <w:rPr>
                <w:rFonts w:eastAsia="等线"/>
                <w:szCs w:val="21"/>
              </w:rPr>
            </w:pPr>
            <w:r>
              <w:rPr>
                <w:rFonts w:hint="eastAsia" w:eastAsia="等线" w:cs="Times New Roman"/>
                <w:color w:val="000000"/>
                <w:szCs w:val="21"/>
              </w:rPr>
              <w:t>0.348</w:t>
            </w:r>
          </w:p>
        </w:tc>
      </w:tr>
      <w:tr w14:paraId="6F6C3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4A319AC1">
            <w:pPr>
              <w:pStyle w:val="133"/>
            </w:pPr>
            <w:r>
              <w:rPr>
                <w:rFonts w:hint="eastAsia"/>
              </w:rPr>
              <w:t>3</w:t>
            </w:r>
          </w:p>
        </w:tc>
        <w:tc>
          <w:tcPr>
            <w:tcW w:w="1618" w:type="pct"/>
            <w:vAlign w:val="center"/>
          </w:tcPr>
          <w:p w14:paraId="6C0AB361">
            <w:pPr>
              <w:pStyle w:val="133"/>
              <w:rPr>
                <w:szCs w:val="21"/>
              </w:rPr>
            </w:pPr>
            <w:r>
              <w:rPr>
                <w:rFonts w:hint="eastAsia"/>
              </w:rPr>
              <w:t>筛焦废气</w:t>
            </w:r>
          </w:p>
        </w:tc>
        <w:tc>
          <w:tcPr>
            <w:tcW w:w="698" w:type="pct"/>
            <w:vAlign w:val="center"/>
          </w:tcPr>
          <w:p w14:paraId="71908533">
            <w:pPr>
              <w:pStyle w:val="133"/>
              <w:rPr>
                <w:szCs w:val="21"/>
              </w:rPr>
            </w:pPr>
            <w:r>
              <w:rPr>
                <w:szCs w:val="21"/>
              </w:rPr>
              <w:t>颗粒物</w:t>
            </w:r>
          </w:p>
        </w:tc>
        <w:tc>
          <w:tcPr>
            <w:tcW w:w="853" w:type="pct"/>
            <w:vAlign w:val="center"/>
          </w:tcPr>
          <w:p w14:paraId="5052E432">
            <w:pPr>
              <w:pStyle w:val="133"/>
              <w:rPr>
                <w:rFonts w:eastAsia="等线" w:cs="Times New Roman"/>
                <w:szCs w:val="21"/>
              </w:rPr>
            </w:pPr>
            <w:r>
              <w:rPr>
                <w:rFonts w:eastAsia="等线" w:cs="Times New Roman"/>
                <w:szCs w:val="21"/>
              </w:rPr>
              <w:t>3.1</w:t>
            </w:r>
          </w:p>
        </w:tc>
        <w:tc>
          <w:tcPr>
            <w:tcW w:w="769" w:type="pct"/>
            <w:vAlign w:val="center"/>
          </w:tcPr>
          <w:p w14:paraId="170936F2">
            <w:pPr>
              <w:pStyle w:val="133"/>
              <w:rPr>
                <w:rFonts w:eastAsia="等线" w:cs="Times New Roman"/>
                <w:szCs w:val="21"/>
              </w:rPr>
            </w:pPr>
            <w:r>
              <w:rPr>
                <w:rFonts w:eastAsia="等线" w:cs="Times New Roman"/>
                <w:szCs w:val="21"/>
              </w:rPr>
              <w:t>0.06</w:t>
            </w:r>
          </w:p>
        </w:tc>
        <w:tc>
          <w:tcPr>
            <w:tcW w:w="733" w:type="pct"/>
            <w:tcBorders>
              <w:top w:val="nil"/>
              <w:left w:val="nil"/>
              <w:bottom w:val="single" w:color="auto" w:sz="8" w:space="0"/>
              <w:right w:val="single" w:color="auto" w:sz="12" w:space="0"/>
            </w:tcBorders>
            <w:vAlign w:val="center"/>
          </w:tcPr>
          <w:p w14:paraId="578DA127">
            <w:pPr>
              <w:pStyle w:val="133"/>
              <w:rPr>
                <w:rFonts w:eastAsia="等线"/>
                <w:szCs w:val="21"/>
              </w:rPr>
            </w:pPr>
            <w:r>
              <w:rPr>
                <w:rFonts w:eastAsia="等线" w:cs="Times New Roman"/>
                <w:color w:val="000000"/>
                <w:szCs w:val="21"/>
              </w:rPr>
              <w:t>0.475</w:t>
            </w:r>
          </w:p>
        </w:tc>
      </w:tr>
      <w:tr w14:paraId="08442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14:paraId="26149D3A">
            <w:pPr>
              <w:pStyle w:val="133"/>
            </w:pPr>
            <w:r>
              <w:rPr>
                <w:rFonts w:hint="eastAsia"/>
              </w:rPr>
              <w:t>4</w:t>
            </w:r>
          </w:p>
        </w:tc>
        <w:tc>
          <w:tcPr>
            <w:tcW w:w="1618" w:type="pct"/>
            <w:vMerge w:val="restart"/>
            <w:vAlign w:val="center"/>
          </w:tcPr>
          <w:p w14:paraId="7FE07689">
            <w:pPr>
              <w:pStyle w:val="133"/>
            </w:pPr>
            <w:r>
              <w:rPr>
                <w:rFonts w:hint="eastAsia"/>
              </w:rPr>
              <w:t>兰炭烘干废气</w:t>
            </w:r>
          </w:p>
        </w:tc>
        <w:tc>
          <w:tcPr>
            <w:tcW w:w="698" w:type="pct"/>
            <w:vAlign w:val="center"/>
          </w:tcPr>
          <w:p w14:paraId="61305603">
            <w:pPr>
              <w:pStyle w:val="133"/>
            </w:pPr>
            <w:r>
              <w:rPr>
                <w:rFonts w:hint="eastAsia"/>
              </w:rPr>
              <w:t>颗粒物</w:t>
            </w:r>
          </w:p>
        </w:tc>
        <w:tc>
          <w:tcPr>
            <w:tcW w:w="853" w:type="pct"/>
            <w:vAlign w:val="center"/>
          </w:tcPr>
          <w:p w14:paraId="16608ED4">
            <w:pPr>
              <w:pStyle w:val="133"/>
            </w:pPr>
            <w:r>
              <w:rPr>
                <w:rFonts w:eastAsia="等线" w:cs="Times New Roman"/>
                <w:szCs w:val="21"/>
              </w:rPr>
              <w:t>1.3</w:t>
            </w:r>
          </w:p>
        </w:tc>
        <w:tc>
          <w:tcPr>
            <w:tcW w:w="769" w:type="pct"/>
            <w:vAlign w:val="center"/>
          </w:tcPr>
          <w:p w14:paraId="11541769">
            <w:pPr>
              <w:pStyle w:val="133"/>
            </w:pPr>
            <w:r>
              <w:rPr>
                <w:rFonts w:eastAsia="等线" w:cs="Times New Roman"/>
                <w:szCs w:val="21"/>
              </w:rPr>
              <w:t>0.04</w:t>
            </w:r>
          </w:p>
        </w:tc>
        <w:tc>
          <w:tcPr>
            <w:tcW w:w="733" w:type="pct"/>
            <w:tcBorders>
              <w:top w:val="nil"/>
              <w:left w:val="nil"/>
              <w:bottom w:val="single" w:color="auto" w:sz="8" w:space="0"/>
              <w:right w:val="single" w:color="auto" w:sz="12" w:space="0"/>
            </w:tcBorders>
            <w:vAlign w:val="center"/>
          </w:tcPr>
          <w:p w14:paraId="6212DA0E">
            <w:pPr>
              <w:pStyle w:val="133"/>
            </w:pPr>
            <w:r>
              <w:rPr>
                <w:rFonts w:eastAsia="等线" w:cs="Times New Roman"/>
                <w:color w:val="000000"/>
                <w:szCs w:val="21"/>
              </w:rPr>
              <w:t>0.317</w:t>
            </w:r>
          </w:p>
        </w:tc>
      </w:tr>
      <w:tr w14:paraId="43DA4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3A773C31">
            <w:pPr>
              <w:pStyle w:val="133"/>
            </w:pPr>
          </w:p>
        </w:tc>
        <w:tc>
          <w:tcPr>
            <w:tcW w:w="1618" w:type="pct"/>
            <w:vMerge w:val="continue"/>
            <w:vAlign w:val="center"/>
          </w:tcPr>
          <w:p w14:paraId="0B4CF27B">
            <w:pPr>
              <w:pStyle w:val="133"/>
            </w:pPr>
          </w:p>
        </w:tc>
        <w:tc>
          <w:tcPr>
            <w:tcW w:w="698" w:type="pct"/>
            <w:vAlign w:val="center"/>
          </w:tcPr>
          <w:p w14:paraId="21FF0186">
            <w:pPr>
              <w:pStyle w:val="133"/>
            </w:pPr>
            <w:r>
              <w:rPr>
                <w:rFonts w:eastAsia="等线"/>
              </w:rPr>
              <w:t>SO</w:t>
            </w:r>
            <w:r>
              <w:rPr>
                <w:rFonts w:eastAsia="等线"/>
                <w:vertAlign w:val="subscript"/>
              </w:rPr>
              <w:t>2</w:t>
            </w:r>
          </w:p>
        </w:tc>
        <w:tc>
          <w:tcPr>
            <w:tcW w:w="853" w:type="pct"/>
            <w:vAlign w:val="center"/>
          </w:tcPr>
          <w:p w14:paraId="4EEA24EE">
            <w:pPr>
              <w:pStyle w:val="133"/>
            </w:pPr>
            <w:r>
              <w:rPr>
                <w:rFonts w:eastAsia="等线" w:cs="Times New Roman"/>
                <w:szCs w:val="21"/>
              </w:rPr>
              <w:t>10.8</w:t>
            </w:r>
          </w:p>
        </w:tc>
        <w:tc>
          <w:tcPr>
            <w:tcW w:w="769" w:type="pct"/>
            <w:vAlign w:val="center"/>
          </w:tcPr>
          <w:p w14:paraId="0797A198">
            <w:pPr>
              <w:pStyle w:val="133"/>
            </w:pPr>
            <w:r>
              <w:rPr>
                <w:rFonts w:eastAsia="等线" w:cs="Times New Roman"/>
                <w:szCs w:val="21"/>
              </w:rPr>
              <w:t>0.33</w:t>
            </w:r>
          </w:p>
        </w:tc>
        <w:tc>
          <w:tcPr>
            <w:tcW w:w="733" w:type="pct"/>
            <w:tcBorders>
              <w:top w:val="nil"/>
              <w:left w:val="nil"/>
              <w:bottom w:val="single" w:color="auto" w:sz="8" w:space="0"/>
              <w:right w:val="single" w:color="auto" w:sz="12" w:space="0"/>
            </w:tcBorders>
            <w:vAlign w:val="center"/>
          </w:tcPr>
          <w:p w14:paraId="5F1F039B">
            <w:pPr>
              <w:pStyle w:val="133"/>
            </w:pPr>
            <w:r>
              <w:rPr>
                <w:rFonts w:eastAsia="等线" w:cs="Times New Roman"/>
                <w:color w:val="000000"/>
                <w:szCs w:val="21"/>
              </w:rPr>
              <w:t>2.614</w:t>
            </w:r>
          </w:p>
        </w:tc>
      </w:tr>
      <w:tr w14:paraId="34B01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278D3640">
            <w:pPr>
              <w:pStyle w:val="133"/>
            </w:pPr>
          </w:p>
        </w:tc>
        <w:tc>
          <w:tcPr>
            <w:tcW w:w="1618" w:type="pct"/>
            <w:vMerge w:val="continue"/>
            <w:vAlign w:val="center"/>
          </w:tcPr>
          <w:p w14:paraId="6F66F250">
            <w:pPr>
              <w:pStyle w:val="133"/>
            </w:pPr>
          </w:p>
        </w:tc>
        <w:tc>
          <w:tcPr>
            <w:tcW w:w="698" w:type="pct"/>
            <w:vAlign w:val="center"/>
          </w:tcPr>
          <w:p w14:paraId="5B6AE8B0">
            <w:pPr>
              <w:pStyle w:val="133"/>
            </w:pPr>
            <w:r>
              <w:rPr>
                <w:rFonts w:eastAsia="等线"/>
              </w:rPr>
              <w:t>NO</w:t>
            </w:r>
            <w:r>
              <w:rPr>
                <w:rFonts w:eastAsia="等线"/>
                <w:vertAlign w:val="subscript"/>
              </w:rPr>
              <w:t>X</w:t>
            </w:r>
          </w:p>
        </w:tc>
        <w:tc>
          <w:tcPr>
            <w:tcW w:w="853" w:type="pct"/>
            <w:vAlign w:val="center"/>
          </w:tcPr>
          <w:p w14:paraId="2F6D8B12">
            <w:pPr>
              <w:pStyle w:val="133"/>
            </w:pPr>
            <w:r>
              <w:rPr>
                <w:rFonts w:eastAsia="等线" w:cs="Times New Roman"/>
                <w:szCs w:val="21"/>
              </w:rPr>
              <w:t>117.8</w:t>
            </w:r>
          </w:p>
        </w:tc>
        <w:tc>
          <w:tcPr>
            <w:tcW w:w="769" w:type="pct"/>
            <w:vAlign w:val="center"/>
          </w:tcPr>
          <w:p w14:paraId="187CF0EE">
            <w:pPr>
              <w:pStyle w:val="133"/>
            </w:pPr>
            <w:r>
              <w:rPr>
                <w:rFonts w:eastAsia="等线" w:cs="Times New Roman"/>
                <w:szCs w:val="21"/>
              </w:rPr>
              <w:t>3.61</w:t>
            </w:r>
          </w:p>
        </w:tc>
        <w:tc>
          <w:tcPr>
            <w:tcW w:w="733" w:type="pct"/>
            <w:tcBorders>
              <w:top w:val="nil"/>
              <w:left w:val="nil"/>
              <w:bottom w:val="single" w:color="auto" w:sz="8" w:space="0"/>
              <w:right w:val="single" w:color="auto" w:sz="12" w:space="0"/>
            </w:tcBorders>
            <w:vAlign w:val="center"/>
          </w:tcPr>
          <w:p w14:paraId="0C33A791">
            <w:pPr>
              <w:pStyle w:val="133"/>
            </w:pPr>
            <w:r>
              <w:rPr>
                <w:rFonts w:eastAsia="等线" w:cs="Times New Roman"/>
                <w:color w:val="000000"/>
                <w:szCs w:val="21"/>
              </w:rPr>
              <w:t>28.591</w:t>
            </w:r>
          </w:p>
        </w:tc>
      </w:tr>
      <w:tr w14:paraId="1210D7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623AA4EB">
            <w:pPr>
              <w:pStyle w:val="133"/>
            </w:pPr>
            <w:r>
              <w:rPr>
                <w:rFonts w:hint="eastAsia"/>
              </w:rPr>
              <w:t>5</w:t>
            </w:r>
          </w:p>
        </w:tc>
        <w:tc>
          <w:tcPr>
            <w:tcW w:w="1618" w:type="pct"/>
            <w:vAlign w:val="center"/>
          </w:tcPr>
          <w:p w14:paraId="7ED5A6A1">
            <w:pPr>
              <w:pStyle w:val="133"/>
            </w:pPr>
            <w:r>
              <w:rPr>
                <w:rFonts w:hint="eastAsia"/>
              </w:rPr>
              <w:t>兰炭筛分废气</w:t>
            </w:r>
          </w:p>
        </w:tc>
        <w:tc>
          <w:tcPr>
            <w:tcW w:w="698" w:type="pct"/>
            <w:vAlign w:val="center"/>
          </w:tcPr>
          <w:p w14:paraId="656677D4">
            <w:pPr>
              <w:pStyle w:val="133"/>
              <w:rPr>
                <w:rFonts w:eastAsia="等线"/>
              </w:rPr>
            </w:pPr>
            <w:r>
              <w:rPr>
                <w:rFonts w:hint="eastAsia"/>
              </w:rPr>
              <w:t>颗粒物</w:t>
            </w:r>
          </w:p>
        </w:tc>
        <w:tc>
          <w:tcPr>
            <w:tcW w:w="853" w:type="pct"/>
            <w:vAlign w:val="center"/>
          </w:tcPr>
          <w:p w14:paraId="270FFE46">
            <w:pPr>
              <w:pStyle w:val="133"/>
              <w:rPr>
                <w:rFonts w:eastAsia="等线" w:cs="Times New Roman"/>
                <w:szCs w:val="21"/>
              </w:rPr>
            </w:pPr>
            <w:r>
              <w:rPr>
                <w:rFonts w:eastAsia="等线" w:cs="Times New Roman"/>
                <w:szCs w:val="21"/>
              </w:rPr>
              <w:t>6.5</w:t>
            </w:r>
          </w:p>
        </w:tc>
        <w:tc>
          <w:tcPr>
            <w:tcW w:w="769" w:type="pct"/>
            <w:vAlign w:val="center"/>
          </w:tcPr>
          <w:p w14:paraId="2B9A7961">
            <w:pPr>
              <w:pStyle w:val="133"/>
              <w:rPr>
                <w:rFonts w:eastAsia="等线" w:cs="Times New Roman"/>
                <w:szCs w:val="21"/>
              </w:rPr>
            </w:pPr>
            <w:r>
              <w:rPr>
                <w:rFonts w:eastAsia="等线" w:cs="Times New Roman"/>
                <w:szCs w:val="21"/>
              </w:rPr>
              <w:t>0.12</w:t>
            </w:r>
            <w:r>
              <w:rPr>
                <w:rFonts w:hint="eastAsia" w:eastAsia="等线" w:cs="Times New Roman"/>
                <w:szCs w:val="21"/>
              </w:rPr>
              <w:t>4</w:t>
            </w:r>
          </w:p>
        </w:tc>
        <w:tc>
          <w:tcPr>
            <w:tcW w:w="733" w:type="pct"/>
            <w:tcBorders>
              <w:top w:val="nil"/>
              <w:left w:val="nil"/>
              <w:bottom w:val="single" w:color="auto" w:sz="8" w:space="0"/>
              <w:right w:val="single" w:color="auto" w:sz="12" w:space="0"/>
            </w:tcBorders>
            <w:vAlign w:val="center"/>
          </w:tcPr>
          <w:p w14:paraId="602F4FAF">
            <w:pPr>
              <w:pStyle w:val="133"/>
            </w:pPr>
            <w:r>
              <w:rPr>
                <w:rFonts w:eastAsia="等线" w:cs="Times New Roman"/>
                <w:color w:val="000000"/>
                <w:szCs w:val="21"/>
              </w:rPr>
              <w:t>0.982</w:t>
            </w:r>
          </w:p>
        </w:tc>
      </w:tr>
      <w:tr w14:paraId="40745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14:paraId="2B2524D3">
            <w:pPr>
              <w:pStyle w:val="133"/>
            </w:pPr>
            <w:r>
              <w:rPr>
                <w:rFonts w:hint="eastAsia"/>
              </w:rPr>
              <w:t>6</w:t>
            </w:r>
          </w:p>
        </w:tc>
        <w:tc>
          <w:tcPr>
            <w:tcW w:w="1618" w:type="pct"/>
            <w:vMerge w:val="restart"/>
            <w:vAlign w:val="center"/>
          </w:tcPr>
          <w:p w14:paraId="4B027D48">
            <w:pPr>
              <w:pStyle w:val="133"/>
            </w:pPr>
            <w:r>
              <w:rPr>
                <w:rFonts w:hint="eastAsia"/>
              </w:rPr>
              <w:t>焚烧炉烟气</w:t>
            </w:r>
          </w:p>
        </w:tc>
        <w:tc>
          <w:tcPr>
            <w:tcW w:w="698" w:type="pct"/>
            <w:vAlign w:val="center"/>
          </w:tcPr>
          <w:p w14:paraId="398D09B3">
            <w:pPr>
              <w:pStyle w:val="133"/>
            </w:pPr>
            <w:r>
              <w:rPr>
                <w:rFonts w:hint="eastAsia"/>
              </w:rPr>
              <w:t>颗粒物</w:t>
            </w:r>
          </w:p>
        </w:tc>
        <w:tc>
          <w:tcPr>
            <w:tcW w:w="853" w:type="pct"/>
            <w:vAlign w:val="center"/>
          </w:tcPr>
          <w:p w14:paraId="72B9E9FF">
            <w:pPr>
              <w:pStyle w:val="133"/>
              <w:rPr>
                <w:rFonts w:eastAsia="等线" w:cs="Times New Roman"/>
                <w:szCs w:val="21"/>
              </w:rPr>
            </w:pPr>
            <w:r>
              <w:rPr>
                <w:rFonts w:hint="eastAsia"/>
                <w:color w:val="000000"/>
                <w:szCs w:val="21"/>
              </w:rPr>
              <w:t>7.6</w:t>
            </w:r>
          </w:p>
        </w:tc>
        <w:tc>
          <w:tcPr>
            <w:tcW w:w="769" w:type="pct"/>
            <w:vAlign w:val="center"/>
          </w:tcPr>
          <w:p w14:paraId="6152D0E6">
            <w:pPr>
              <w:pStyle w:val="133"/>
              <w:rPr>
                <w:rFonts w:eastAsia="等线" w:cs="Times New Roman"/>
                <w:szCs w:val="21"/>
              </w:rPr>
            </w:pPr>
            <w:r>
              <w:rPr>
                <w:rFonts w:hint="eastAsia"/>
                <w:color w:val="000000"/>
                <w:szCs w:val="21"/>
              </w:rPr>
              <w:t>0.50</w:t>
            </w:r>
          </w:p>
        </w:tc>
        <w:tc>
          <w:tcPr>
            <w:tcW w:w="733" w:type="pct"/>
            <w:tcBorders>
              <w:top w:val="nil"/>
              <w:left w:val="nil"/>
              <w:bottom w:val="single" w:color="auto" w:sz="8" w:space="0"/>
              <w:right w:val="single" w:color="auto" w:sz="12" w:space="0"/>
            </w:tcBorders>
            <w:vAlign w:val="center"/>
          </w:tcPr>
          <w:p w14:paraId="4124EBBC">
            <w:pPr>
              <w:pStyle w:val="133"/>
            </w:pPr>
            <w:r>
              <w:rPr>
                <w:rFonts w:eastAsia="等线" w:cs="Times New Roman"/>
                <w:color w:val="000000"/>
                <w:szCs w:val="21"/>
              </w:rPr>
              <w:t>3.960</w:t>
            </w:r>
          </w:p>
        </w:tc>
      </w:tr>
      <w:tr w14:paraId="3D9A9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4B812B16">
            <w:pPr>
              <w:pStyle w:val="133"/>
            </w:pPr>
          </w:p>
        </w:tc>
        <w:tc>
          <w:tcPr>
            <w:tcW w:w="1618" w:type="pct"/>
            <w:vMerge w:val="continue"/>
            <w:vAlign w:val="center"/>
          </w:tcPr>
          <w:p w14:paraId="355EC68E">
            <w:pPr>
              <w:pStyle w:val="133"/>
            </w:pPr>
          </w:p>
        </w:tc>
        <w:tc>
          <w:tcPr>
            <w:tcW w:w="698" w:type="pct"/>
            <w:vAlign w:val="center"/>
          </w:tcPr>
          <w:p w14:paraId="0FF40E14">
            <w:pPr>
              <w:pStyle w:val="133"/>
            </w:pPr>
            <w:r>
              <w:rPr>
                <w:rFonts w:eastAsia="等线"/>
              </w:rPr>
              <w:t>SO</w:t>
            </w:r>
            <w:r>
              <w:rPr>
                <w:rFonts w:eastAsia="等线"/>
                <w:vertAlign w:val="subscript"/>
              </w:rPr>
              <w:t>2</w:t>
            </w:r>
          </w:p>
        </w:tc>
        <w:tc>
          <w:tcPr>
            <w:tcW w:w="853" w:type="pct"/>
            <w:vAlign w:val="center"/>
          </w:tcPr>
          <w:p w14:paraId="20CCDC99">
            <w:pPr>
              <w:pStyle w:val="133"/>
              <w:rPr>
                <w:rFonts w:eastAsia="等线" w:cs="Times New Roman"/>
                <w:szCs w:val="21"/>
              </w:rPr>
            </w:pPr>
            <w:r>
              <w:rPr>
                <w:rFonts w:hint="eastAsia"/>
                <w:color w:val="000000"/>
                <w:szCs w:val="21"/>
              </w:rPr>
              <w:t>28</w:t>
            </w:r>
          </w:p>
        </w:tc>
        <w:tc>
          <w:tcPr>
            <w:tcW w:w="769" w:type="pct"/>
            <w:vAlign w:val="center"/>
          </w:tcPr>
          <w:p w14:paraId="6E37B06C">
            <w:pPr>
              <w:pStyle w:val="133"/>
              <w:rPr>
                <w:rFonts w:eastAsia="等线" w:cs="Times New Roman"/>
                <w:szCs w:val="21"/>
              </w:rPr>
            </w:pPr>
            <w:r>
              <w:rPr>
                <w:rFonts w:hint="eastAsia"/>
                <w:color w:val="000000"/>
                <w:szCs w:val="21"/>
              </w:rPr>
              <w:t>1.80</w:t>
            </w:r>
          </w:p>
        </w:tc>
        <w:tc>
          <w:tcPr>
            <w:tcW w:w="733" w:type="pct"/>
            <w:tcBorders>
              <w:top w:val="nil"/>
              <w:left w:val="nil"/>
              <w:bottom w:val="single" w:color="auto" w:sz="8" w:space="0"/>
              <w:right w:val="single" w:color="auto" w:sz="12" w:space="0"/>
            </w:tcBorders>
            <w:vAlign w:val="center"/>
          </w:tcPr>
          <w:p w14:paraId="69780D14">
            <w:pPr>
              <w:pStyle w:val="133"/>
            </w:pPr>
            <w:r>
              <w:rPr>
                <w:rFonts w:eastAsia="等线" w:cs="Times New Roman"/>
                <w:color w:val="000000"/>
                <w:szCs w:val="21"/>
              </w:rPr>
              <w:t>14.256</w:t>
            </w:r>
          </w:p>
        </w:tc>
      </w:tr>
      <w:tr w14:paraId="66E54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6F8D5456">
            <w:pPr>
              <w:pStyle w:val="133"/>
            </w:pPr>
          </w:p>
        </w:tc>
        <w:tc>
          <w:tcPr>
            <w:tcW w:w="1618" w:type="pct"/>
            <w:vMerge w:val="continue"/>
            <w:vAlign w:val="center"/>
          </w:tcPr>
          <w:p w14:paraId="1BE96AE5">
            <w:pPr>
              <w:pStyle w:val="133"/>
            </w:pPr>
          </w:p>
        </w:tc>
        <w:tc>
          <w:tcPr>
            <w:tcW w:w="698" w:type="pct"/>
            <w:vAlign w:val="center"/>
          </w:tcPr>
          <w:p w14:paraId="64B68C36">
            <w:pPr>
              <w:pStyle w:val="133"/>
            </w:pPr>
            <w:r>
              <w:rPr>
                <w:rFonts w:eastAsia="等线"/>
              </w:rPr>
              <w:t>NO</w:t>
            </w:r>
            <w:r>
              <w:rPr>
                <w:rFonts w:eastAsia="等线"/>
                <w:vertAlign w:val="subscript"/>
              </w:rPr>
              <w:t>X</w:t>
            </w:r>
          </w:p>
        </w:tc>
        <w:tc>
          <w:tcPr>
            <w:tcW w:w="853" w:type="pct"/>
            <w:vAlign w:val="center"/>
          </w:tcPr>
          <w:p w14:paraId="4A2DD639">
            <w:pPr>
              <w:pStyle w:val="133"/>
              <w:rPr>
                <w:rFonts w:eastAsia="等线" w:cs="Times New Roman"/>
                <w:szCs w:val="21"/>
              </w:rPr>
            </w:pPr>
            <w:r>
              <w:rPr>
                <w:rFonts w:hint="eastAsia"/>
                <w:color w:val="000000"/>
                <w:szCs w:val="21"/>
              </w:rPr>
              <w:t>150</w:t>
            </w:r>
          </w:p>
        </w:tc>
        <w:tc>
          <w:tcPr>
            <w:tcW w:w="769" w:type="pct"/>
            <w:vAlign w:val="center"/>
          </w:tcPr>
          <w:p w14:paraId="5B80240B">
            <w:pPr>
              <w:pStyle w:val="133"/>
              <w:rPr>
                <w:rFonts w:eastAsia="等线" w:cs="Times New Roman"/>
                <w:szCs w:val="21"/>
              </w:rPr>
            </w:pPr>
            <w:r>
              <w:rPr>
                <w:rFonts w:hint="eastAsia"/>
                <w:color w:val="000000"/>
                <w:szCs w:val="21"/>
              </w:rPr>
              <w:t>9.76</w:t>
            </w:r>
          </w:p>
        </w:tc>
        <w:tc>
          <w:tcPr>
            <w:tcW w:w="733" w:type="pct"/>
            <w:tcBorders>
              <w:top w:val="nil"/>
              <w:left w:val="nil"/>
              <w:bottom w:val="single" w:color="auto" w:sz="8" w:space="0"/>
              <w:right w:val="single" w:color="auto" w:sz="12" w:space="0"/>
            </w:tcBorders>
            <w:vAlign w:val="center"/>
          </w:tcPr>
          <w:p w14:paraId="5DF3A3F1">
            <w:pPr>
              <w:pStyle w:val="133"/>
            </w:pPr>
            <w:r>
              <w:rPr>
                <w:rFonts w:eastAsia="等线" w:cs="Times New Roman"/>
                <w:color w:val="000000"/>
                <w:szCs w:val="21"/>
              </w:rPr>
              <w:t>77.299</w:t>
            </w:r>
          </w:p>
        </w:tc>
      </w:tr>
      <w:tr w14:paraId="4E624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14:paraId="06058C65">
            <w:pPr>
              <w:pStyle w:val="133"/>
            </w:pPr>
            <w:r>
              <w:rPr>
                <w:rFonts w:hint="eastAsia"/>
              </w:rPr>
              <w:t>7</w:t>
            </w:r>
          </w:p>
        </w:tc>
        <w:tc>
          <w:tcPr>
            <w:tcW w:w="1618" w:type="pct"/>
            <w:vMerge w:val="restart"/>
            <w:vAlign w:val="center"/>
          </w:tcPr>
          <w:p w14:paraId="1DE7AA61">
            <w:pPr>
              <w:pStyle w:val="133"/>
            </w:pPr>
            <w:r>
              <w:rPr>
                <w:rFonts w:hint="eastAsia"/>
              </w:rPr>
              <w:t>VOCs处理装置尾气1</w:t>
            </w:r>
          </w:p>
        </w:tc>
        <w:tc>
          <w:tcPr>
            <w:tcW w:w="698" w:type="pct"/>
            <w:vAlign w:val="center"/>
          </w:tcPr>
          <w:p w14:paraId="5B7FFABE">
            <w:pPr>
              <w:pStyle w:val="133"/>
            </w:pPr>
            <w:r>
              <w:rPr>
                <w:rFonts w:hint="eastAsia"/>
              </w:rPr>
              <w:t>颗粒物</w:t>
            </w:r>
          </w:p>
        </w:tc>
        <w:tc>
          <w:tcPr>
            <w:tcW w:w="853" w:type="pct"/>
            <w:vAlign w:val="center"/>
          </w:tcPr>
          <w:p w14:paraId="57C32B01">
            <w:pPr>
              <w:pStyle w:val="133"/>
            </w:pPr>
            <w:r>
              <w:rPr>
                <w:rFonts w:eastAsia="等线" w:cs="Times New Roman"/>
                <w:color w:val="000000"/>
                <w:szCs w:val="21"/>
              </w:rPr>
              <w:t>0.77</w:t>
            </w:r>
          </w:p>
        </w:tc>
        <w:tc>
          <w:tcPr>
            <w:tcW w:w="769" w:type="pct"/>
            <w:vAlign w:val="center"/>
          </w:tcPr>
          <w:p w14:paraId="7555B959">
            <w:pPr>
              <w:pStyle w:val="133"/>
            </w:pPr>
            <w:r>
              <w:rPr>
                <w:rFonts w:eastAsia="等线" w:cs="Times New Roman"/>
                <w:color w:val="000000"/>
                <w:szCs w:val="21"/>
              </w:rPr>
              <w:t>0.03</w:t>
            </w:r>
          </w:p>
        </w:tc>
        <w:tc>
          <w:tcPr>
            <w:tcW w:w="733" w:type="pct"/>
            <w:tcBorders>
              <w:top w:val="nil"/>
              <w:left w:val="nil"/>
              <w:bottom w:val="single" w:color="auto" w:sz="8" w:space="0"/>
              <w:right w:val="single" w:color="auto" w:sz="12" w:space="0"/>
            </w:tcBorders>
            <w:vAlign w:val="center"/>
          </w:tcPr>
          <w:p w14:paraId="74B4926D">
            <w:pPr>
              <w:pStyle w:val="133"/>
            </w:pPr>
            <w:r>
              <w:rPr>
                <w:rFonts w:eastAsia="等线" w:cs="Times New Roman"/>
                <w:color w:val="000000"/>
                <w:szCs w:val="21"/>
              </w:rPr>
              <w:t>0.238</w:t>
            </w:r>
          </w:p>
        </w:tc>
      </w:tr>
      <w:tr w14:paraId="4A7A20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2C222E54">
            <w:pPr>
              <w:pStyle w:val="133"/>
            </w:pPr>
          </w:p>
        </w:tc>
        <w:tc>
          <w:tcPr>
            <w:tcW w:w="1618" w:type="pct"/>
            <w:vMerge w:val="continue"/>
            <w:vAlign w:val="center"/>
          </w:tcPr>
          <w:p w14:paraId="365819B1">
            <w:pPr>
              <w:pStyle w:val="133"/>
            </w:pPr>
          </w:p>
        </w:tc>
        <w:tc>
          <w:tcPr>
            <w:tcW w:w="698" w:type="pct"/>
            <w:vAlign w:val="center"/>
          </w:tcPr>
          <w:p w14:paraId="6CDE7896">
            <w:pPr>
              <w:pStyle w:val="133"/>
            </w:pPr>
            <w:r>
              <w:rPr>
                <w:rFonts w:hint="eastAsia"/>
              </w:rPr>
              <w:t>SO</w:t>
            </w:r>
            <w:r>
              <w:rPr>
                <w:rFonts w:hint="eastAsia"/>
                <w:vertAlign w:val="subscript"/>
              </w:rPr>
              <w:t>2</w:t>
            </w:r>
          </w:p>
        </w:tc>
        <w:tc>
          <w:tcPr>
            <w:tcW w:w="853" w:type="pct"/>
            <w:vAlign w:val="center"/>
          </w:tcPr>
          <w:p w14:paraId="2DC4F1CD">
            <w:pPr>
              <w:pStyle w:val="133"/>
            </w:pPr>
            <w:r>
              <w:rPr>
                <w:rFonts w:eastAsia="等线" w:cs="Times New Roman"/>
                <w:color w:val="000000"/>
                <w:szCs w:val="21"/>
              </w:rPr>
              <w:t>5.67</w:t>
            </w:r>
          </w:p>
        </w:tc>
        <w:tc>
          <w:tcPr>
            <w:tcW w:w="769" w:type="pct"/>
            <w:vAlign w:val="center"/>
          </w:tcPr>
          <w:p w14:paraId="777D211B">
            <w:pPr>
              <w:pStyle w:val="133"/>
            </w:pPr>
            <w:r>
              <w:rPr>
                <w:rFonts w:eastAsia="等线" w:cs="Times New Roman"/>
                <w:color w:val="000000"/>
                <w:szCs w:val="21"/>
              </w:rPr>
              <w:t>0.23</w:t>
            </w:r>
          </w:p>
        </w:tc>
        <w:tc>
          <w:tcPr>
            <w:tcW w:w="733" w:type="pct"/>
            <w:tcBorders>
              <w:top w:val="nil"/>
              <w:left w:val="nil"/>
              <w:bottom w:val="single" w:color="auto" w:sz="8" w:space="0"/>
              <w:right w:val="single" w:color="auto" w:sz="12" w:space="0"/>
            </w:tcBorders>
            <w:vAlign w:val="center"/>
          </w:tcPr>
          <w:p w14:paraId="166C0EA2">
            <w:pPr>
              <w:pStyle w:val="133"/>
            </w:pPr>
            <w:r>
              <w:rPr>
                <w:rFonts w:eastAsia="等线" w:cs="Times New Roman"/>
                <w:color w:val="000000"/>
                <w:szCs w:val="21"/>
              </w:rPr>
              <w:t>1.822</w:t>
            </w:r>
          </w:p>
        </w:tc>
      </w:tr>
      <w:tr w14:paraId="67F8A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4A329CC5">
            <w:pPr>
              <w:pStyle w:val="133"/>
            </w:pPr>
          </w:p>
        </w:tc>
        <w:tc>
          <w:tcPr>
            <w:tcW w:w="1618" w:type="pct"/>
            <w:vMerge w:val="continue"/>
            <w:vAlign w:val="center"/>
          </w:tcPr>
          <w:p w14:paraId="12B513A7">
            <w:pPr>
              <w:pStyle w:val="133"/>
            </w:pPr>
          </w:p>
        </w:tc>
        <w:tc>
          <w:tcPr>
            <w:tcW w:w="698" w:type="pct"/>
            <w:vAlign w:val="center"/>
          </w:tcPr>
          <w:p w14:paraId="47BF983A">
            <w:pPr>
              <w:pStyle w:val="133"/>
            </w:pPr>
            <w:r>
              <w:t>BaP</w:t>
            </w:r>
          </w:p>
        </w:tc>
        <w:tc>
          <w:tcPr>
            <w:tcW w:w="853" w:type="pct"/>
            <w:vAlign w:val="center"/>
          </w:tcPr>
          <w:p w14:paraId="1C3FC981">
            <w:pPr>
              <w:pStyle w:val="133"/>
            </w:pPr>
            <w:r>
              <w:rPr>
                <w:rFonts w:eastAsia="等线" w:cs="Times New Roman"/>
                <w:color w:val="000000"/>
                <w:szCs w:val="21"/>
              </w:rPr>
              <w:t>0.0002</w:t>
            </w:r>
          </w:p>
        </w:tc>
        <w:tc>
          <w:tcPr>
            <w:tcW w:w="769" w:type="pct"/>
            <w:vAlign w:val="center"/>
          </w:tcPr>
          <w:p w14:paraId="56222AEF">
            <w:pPr>
              <w:pStyle w:val="133"/>
            </w:pPr>
            <w:r>
              <w:rPr>
                <w:rFonts w:eastAsia="等线" w:cs="Times New Roman"/>
                <w:color w:val="000000"/>
                <w:szCs w:val="21"/>
              </w:rPr>
              <w:t>0.0000</w:t>
            </w:r>
            <w:r>
              <w:rPr>
                <w:rFonts w:hint="eastAsia" w:eastAsia="等线" w:cs="Times New Roman"/>
                <w:color w:val="000000"/>
                <w:szCs w:val="21"/>
              </w:rPr>
              <w:t>08</w:t>
            </w:r>
          </w:p>
        </w:tc>
        <w:tc>
          <w:tcPr>
            <w:tcW w:w="733" w:type="pct"/>
            <w:tcBorders>
              <w:top w:val="nil"/>
              <w:left w:val="nil"/>
              <w:bottom w:val="single" w:color="auto" w:sz="8" w:space="0"/>
              <w:right w:val="single" w:color="auto" w:sz="12" w:space="0"/>
            </w:tcBorders>
            <w:vAlign w:val="center"/>
          </w:tcPr>
          <w:p w14:paraId="77D60131">
            <w:pPr>
              <w:pStyle w:val="133"/>
            </w:pPr>
            <w:r>
              <w:rPr>
                <w:rFonts w:eastAsia="等线" w:cs="Times New Roman"/>
                <w:color w:val="000000"/>
                <w:szCs w:val="21"/>
              </w:rPr>
              <w:t>0.00006</w:t>
            </w:r>
          </w:p>
        </w:tc>
      </w:tr>
      <w:tr w14:paraId="3BCEDF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48B83664">
            <w:pPr>
              <w:pStyle w:val="133"/>
            </w:pPr>
          </w:p>
        </w:tc>
        <w:tc>
          <w:tcPr>
            <w:tcW w:w="1618" w:type="pct"/>
            <w:vMerge w:val="continue"/>
            <w:vAlign w:val="center"/>
          </w:tcPr>
          <w:p w14:paraId="5E0B827A">
            <w:pPr>
              <w:pStyle w:val="133"/>
            </w:pPr>
          </w:p>
        </w:tc>
        <w:tc>
          <w:tcPr>
            <w:tcW w:w="698" w:type="pct"/>
            <w:vAlign w:val="center"/>
          </w:tcPr>
          <w:p w14:paraId="7A996E97">
            <w:pPr>
              <w:pStyle w:val="133"/>
            </w:pPr>
            <w:r>
              <w:rPr>
                <w:rFonts w:hint="eastAsia"/>
              </w:rPr>
              <w:t>氰化氢</w:t>
            </w:r>
          </w:p>
        </w:tc>
        <w:tc>
          <w:tcPr>
            <w:tcW w:w="853" w:type="pct"/>
            <w:vAlign w:val="center"/>
          </w:tcPr>
          <w:p w14:paraId="6B3482C0">
            <w:pPr>
              <w:pStyle w:val="133"/>
            </w:pPr>
            <w:r>
              <w:rPr>
                <w:rFonts w:eastAsia="等线" w:cs="Times New Roman"/>
                <w:color w:val="000000"/>
                <w:szCs w:val="21"/>
              </w:rPr>
              <w:t>0.00005</w:t>
            </w:r>
          </w:p>
        </w:tc>
        <w:tc>
          <w:tcPr>
            <w:tcW w:w="769" w:type="pct"/>
            <w:vAlign w:val="center"/>
          </w:tcPr>
          <w:p w14:paraId="5888EF2B">
            <w:pPr>
              <w:pStyle w:val="133"/>
            </w:pPr>
            <w:r>
              <w:rPr>
                <w:rFonts w:eastAsia="等线" w:cs="Times New Roman"/>
                <w:color w:val="000000"/>
                <w:szCs w:val="21"/>
              </w:rPr>
              <w:t>0.000002</w:t>
            </w:r>
          </w:p>
        </w:tc>
        <w:tc>
          <w:tcPr>
            <w:tcW w:w="733" w:type="pct"/>
            <w:tcBorders>
              <w:top w:val="nil"/>
              <w:left w:val="nil"/>
              <w:bottom w:val="single" w:color="auto" w:sz="8" w:space="0"/>
              <w:right w:val="single" w:color="auto" w:sz="12" w:space="0"/>
            </w:tcBorders>
            <w:vAlign w:val="center"/>
          </w:tcPr>
          <w:p w14:paraId="184C225C">
            <w:pPr>
              <w:pStyle w:val="133"/>
            </w:pPr>
            <w:r>
              <w:rPr>
                <w:rFonts w:eastAsia="等线" w:cs="Times New Roman"/>
                <w:color w:val="000000"/>
                <w:szCs w:val="21"/>
              </w:rPr>
              <w:t>0.00002</w:t>
            </w:r>
          </w:p>
        </w:tc>
      </w:tr>
      <w:tr w14:paraId="43822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0A6D17D7">
            <w:pPr>
              <w:pStyle w:val="133"/>
            </w:pPr>
          </w:p>
        </w:tc>
        <w:tc>
          <w:tcPr>
            <w:tcW w:w="1618" w:type="pct"/>
            <w:vMerge w:val="continue"/>
            <w:vAlign w:val="center"/>
          </w:tcPr>
          <w:p w14:paraId="16384E74">
            <w:pPr>
              <w:pStyle w:val="133"/>
            </w:pPr>
          </w:p>
        </w:tc>
        <w:tc>
          <w:tcPr>
            <w:tcW w:w="698" w:type="pct"/>
            <w:vAlign w:val="center"/>
          </w:tcPr>
          <w:p w14:paraId="0926663A">
            <w:pPr>
              <w:pStyle w:val="133"/>
            </w:pPr>
            <w:r>
              <w:rPr>
                <w:rFonts w:hint="eastAsia"/>
              </w:rPr>
              <w:t>酚类</w:t>
            </w:r>
          </w:p>
        </w:tc>
        <w:tc>
          <w:tcPr>
            <w:tcW w:w="853" w:type="pct"/>
            <w:vAlign w:val="center"/>
          </w:tcPr>
          <w:p w14:paraId="212C6762">
            <w:pPr>
              <w:pStyle w:val="133"/>
            </w:pPr>
            <w:r>
              <w:rPr>
                <w:rFonts w:eastAsia="等线" w:cs="Times New Roman"/>
                <w:color w:val="000000"/>
                <w:szCs w:val="21"/>
              </w:rPr>
              <w:t>0.01</w:t>
            </w:r>
          </w:p>
        </w:tc>
        <w:tc>
          <w:tcPr>
            <w:tcW w:w="769" w:type="pct"/>
            <w:vAlign w:val="center"/>
          </w:tcPr>
          <w:p w14:paraId="3F86E9CD">
            <w:pPr>
              <w:pStyle w:val="133"/>
            </w:pPr>
            <w:r>
              <w:rPr>
                <w:rFonts w:eastAsia="等线" w:cs="Times New Roman"/>
                <w:color w:val="000000"/>
                <w:szCs w:val="21"/>
              </w:rPr>
              <w:t>0.0004</w:t>
            </w:r>
          </w:p>
        </w:tc>
        <w:tc>
          <w:tcPr>
            <w:tcW w:w="733" w:type="pct"/>
            <w:tcBorders>
              <w:top w:val="nil"/>
              <w:left w:val="nil"/>
              <w:bottom w:val="single" w:color="auto" w:sz="8" w:space="0"/>
              <w:right w:val="single" w:color="auto" w:sz="12" w:space="0"/>
            </w:tcBorders>
            <w:vAlign w:val="center"/>
          </w:tcPr>
          <w:p w14:paraId="35C43716">
            <w:pPr>
              <w:pStyle w:val="133"/>
            </w:pPr>
            <w:r>
              <w:rPr>
                <w:rFonts w:eastAsia="等线" w:cs="Times New Roman"/>
                <w:color w:val="000000"/>
                <w:szCs w:val="21"/>
              </w:rPr>
              <w:t>0.003</w:t>
            </w:r>
          </w:p>
        </w:tc>
      </w:tr>
      <w:tr w14:paraId="6709E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7396CD03">
            <w:pPr>
              <w:pStyle w:val="133"/>
            </w:pPr>
          </w:p>
        </w:tc>
        <w:tc>
          <w:tcPr>
            <w:tcW w:w="1618" w:type="pct"/>
            <w:vMerge w:val="continue"/>
            <w:vAlign w:val="center"/>
          </w:tcPr>
          <w:p w14:paraId="7B43DF8D">
            <w:pPr>
              <w:pStyle w:val="133"/>
            </w:pPr>
          </w:p>
        </w:tc>
        <w:tc>
          <w:tcPr>
            <w:tcW w:w="698" w:type="pct"/>
            <w:vAlign w:val="center"/>
          </w:tcPr>
          <w:p w14:paraId="75E420FA">
            <w:pPr>
              <w:pStyle w:val="133"/>
            </w:pPr>
            <w:r>
              <w:rPr>
                <w:rFonts w:hint="eastAsia"/>
              </w:rPr>
              <w:t>NH</w:t>
            </w:r>
            <w:r>
              <w:rPr>
                <w:rFonts w:hint="eastAsia"/>
                <w:vertAlign w:val="subscript"/>
              </w:rPr>
              <w:t>3</w:t>
            </w:r>
          </w:p>
        </w:tc>
        <w:tc>
          <w:tcPr>
            <w:tcW w:w="853" w:type="pct"/>
            <w:vAlign w:val="center"/>
          </w:tcPr>
          <w:p w14:paraId="4BD2014B">
            <w:pPr>
              <w:pStyle w:val="133"/>
            </w:pPr>
            <w:r>
              <w:rPr>
                <w:rFonts w:eastAsia="等线" w:cs="Times New Roman"/>
                <w:color w:val="000000"/>
                <w:szCs w:val="21"/>
              </w:rPr>
              <w:t>0.11</w:t>
            </w:r>
          </w:p>
        </w:tc>
        <w:tc>
          <w:tcPr>
            <w:tcW w:w="769" w:type="pct"/>
            <w:vAlign w:val="center"/>
          </w:tcPr>
          <w:p w14:paraId="5288786E">
            <w:pPr>
              <w:pStyle w:val="133"/>
            </w:pPr>
            <w:r>
              <w:rPr>
                <w:rFonts w:eastAsia="等线" w:cs="Times New Roman"/>
                <w:color w:val="000000"/>
                <w:szCs w:val="21"/>
              </w:rPr>
              <w:t>0.0043</w:t>
            </w:r>
          </w:p>
        </w:tc>
        <w:tc>
          <w:tcPr>
            <w:tcW w:w="733" w:type="pct"/>
            <w:tcBorders>
              <w:top w:val="nil"/>
              <w:left w:val="nil"/>
              <w:bottom w:val="single" w:color="auto" w:sz="8" w:space="0"/>
              <w:right w:val="single" w:color="auto" w:sz="12" w:space="0"/>
            </w:tcBorders>
            <w:vAlign w:val="center"/>
          </w:tcPr>
          <w:p w14:paraId="5880FA29">
            <w:pPr>
              <w:pStyle w:val="133"/>
            </w:pPr>
            <w:r>
              <w:rPr>
                <w:rFonts w:eastAsia="等线" w:cs="Times New Roman"/>
                <w:color w:val="000000"/>
                <w:szCs w:val="21"/>
              </w:rPr>
              <w:t>0.034</w:t>
            </w:r>
          </w:p>
        </w:tc>
      </w:tr>
      <w:tr w14:paraId="0DAAA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02F4DBCB">
            <w:pPr>
              <w:pStyle w:val="133"/>
            </w:pPr>
          </w:p>
        </w:tc>
        <w:tc>
          <w:tcPr>
            <w:tcW w:w="1618" w:type="pct"/>
            <w:vMerge w:val="continue"/>
            <w:vAlign w:val="center"/>
          </w:tcPr>
          <w:p w14:paraId="06A0BA10">
            <w:pPr>
              <w:pStyle w:val="133"/>
            </w:pPr>
          </w:p>
        </w:tc>
        <w:tc>
          <w:tcPr>
            <w:tcW w:w="698" w:type="pct"/>
            <w:vAlign w:val="center"/>
          </w:tcPr>
          <w:p w14:paraId="5F0EBDF2">
            <w:pPr>
              <w:pStyle w:val="133"/>
            </w:pPr>
            <w:r>
              <w:rPr>
                <w:rFonts w:hint="eastAsia"/>
              </w:rPr>
              <w:t>H</w:t>
            </w:r>
            <w:r>
              <w:rPr>
                <w:rFonts w:hint="eastAsia"/>
                <w:vertAlign w:val="subscript"/>
              </w:rPr>
              <w:t>2</w:t>
            </w:r>
            <w:r>
              <w:rPr>
                <w:rFonts w:hint="eastAsia"/>
              </w:rPr>
              <w:t>S</w:t>
            </w:r>
          </w:p>
        </w:tc>
        <w:tc>
          <w:tcPr>
            <w:tcW w:w="853" w:type="pct"/>
            <w:vAlign w:val="center"/>
          </w:tcPr>
          <w:p w14:paraId="5399DE58">
            <w:pPr>
              <w:pStyle w:val="133"/>
            </w:pPr>
            <w:r>
              <w:rPr>
                <w:rFonts w:eastAsia="等线" w:cs="Times New Roman"/>
                <w:color w:val="000000"/>
                <w:szCs w:val="21"/>
              </w:rPr>
              <w:t>0.02</w:t>
            </w:r>
          </w:p>
        </w:tc>
        <w:tc>
          <w:tcPr>
            <w:tcW w:w="769" w:type="pct"/>
            <w:vAlign w:val="center"/>
          </w:tcPr>
          <w:p w14:paraId="50F3C709">
            <w:pPr>
              <w:pStyle w:val="133"/>
            </w:pPr>
            <w:r>
              <w:rPr>
                <w:rFonts w:eastAsia="等线" w:cs="Times New Roman"/>
                <w:color w:val="000000"/>
                <w:szCs w:val="21"/>
              </w:rPr>
              <w:t>0.0008</w:t>
            </w:r>
          </w:p>
        </w:tc>
        <w:tc>
          <w:tcPr>
            <w:tcW w:w="733" w:type="pct"/>
            <w:tcBorders>
              <w:top w:val="nil"/>
              <w:left w:val="nil"/>
              <w:bottom w:val="single" w:color="auto" w:sz="8" w:space="0"/>
              <w:right w:val="single" w:color="auto" w:sz="12" w:space="0"/>
            </w:tcBorders>
            <w:vAlign w:val="center"/>
          </w:tcPr>
          <w:p w14:paraId="332781C8">
            <w:pPr>
              <w:pStyle w:val="133"/>
            </w:pPr>
            <w:r>
              <w:rPr>
                <w:rFonts w:eastAsia="等线" w:cs="Times New Roman"/>
                <w:color w:val="000000"/>
                <w:szCs w:val="21"/>
              </w:rPr>
              <w:t>0.006</w:t>
            </w:r>
          </w:p>
        </w:tc>
      </w:tr>
      <w:tr w14:paraId="40131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664F8180">
            <w:pPr>
              <w:pStyle w:val="133"/>
            </w:pPr>
          </w:p>
        </w:tc>
        <w:tc>
          <w:tcPr>
            <w:tcW w:w="1618" w:type="pct"/>
            <w:vMerge w:val="continue"/>
            <w:vAlign w:val="center"/>
          </w:tcPr>
          <w:p w14:paraId="1327EC16">
            <w:pPr>
              <w:pStyle w:val="133"/>
            </w:pPr>
          </w:p>
        </w:tc>
        <w:tc>
          <w:tcPr>
            <w:tcW w:w="698" w:type="pct"/>
            <w:vAlign w:val="center"/>
          </w:tcPr>
          <w:p w14:paraId="7D98C0A2">
            <w:pPr>
              <w:pStyle w:val="133"/>
            </w:pPr>
            <w:r>
              <w:rPr>
                <w:rFonts w:hint="eastAsia"/>
              </w:rPr>
              <w:t>NMHC</w:t>
            </w:r>
          </w:p>
        </w:tc>
        <w:tc>
          <w:tcPr>
            <w:tcW w:w="853" w:type="pct"/>
            <w:vAlign w:val="center"/>
          </w:tcPr>
          <w:p w14:paraId="68231357">
            <w:pPr>
              <w:pStyle w:val="133"/>
            </w:pPr>
            <w:r>
              <w:rPr>
                <w:rFonts w:eastAsia="等线" w:cs="Times New Roman"/>
                <w:color w:val="000000"/>
                <w:szCs w:val="21"/>
              </w:rPr>
              <w:t>0.06</w:t>
            </w:r>
          </w:p>
        </w:tc>
        <w:tc>
          <w:tcPr>
            <w:tcW w:w="769" w:type="pct"/>
            <w:vAlign w:val="center"/>
          </w:tcPr>
          <w:p w14:paraId="24A9E0A0">
            <w:pPr>
              <w:pStyle w:val="133"/>
            </w:pPr>
            <w:r>
              <w:rPr>
                <w:rFonts w:eastAsia="等线" w:cs="Times New Roman"/>
                <w:color w:val="000000"/>
                <w:szCs w:val="21"/>
              </w:rPr>
              <w:t>0.0025</w:t>
            </w:r>
          </w:p>
        </w:tc>
        <w:tc>
          <w:tcPr>
            <w:tcW w:w="733" w:type="pct"/>
            <w:tcBorders>
              <w:top w:val="nil"/>
              <w:left w:val="nil"/>
              <w:bottom w:val="single" w:color="auto" w:sz="8" w:space="0"/>
              <w:right w:val="single" w:color="auto" w:sz="12" w:space="0"/>
            </w:tcBorders>
            <w:vAlign w:val="center"/>
          </w:tcPr>
          <w:p w14:paraId="241B22CF">
            <w:pPr>
              <w:pStyle w:val="133"/>
            </w:pPr>
            <w:r>
              <w:rPr>
                <w:rFonts w:eastAsia="等线" w:cs="Times New Roman"/>
                <w:color w:val="000000"/>
                <w:szCs w:val="21"/>
              </w:rPr>
              <w:t>0.020</w:t>
            </w:r>
          </w:p>
        </w:tc>
      </w:tr>
      <w:tr w14:paraId="45C44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37D9FBD9">
            <w:pPr>
              <w:pStyle w:val="133"/>
            </w:pPr>
            <w:r>
              <w:rPr>
                <w:rFonts w:hint="eastAsia"/>
              </w:rPr>
              <w:t>8</w:t>
            </w:r>
          </w:p>
        </w:tc>
        <w:tc>
          <w:tcPr>
            <w:tcW w:w="1618" w:type="pct"/>
            <w:vAlign w:val="center"/>
          </w:tcPr>
          <w:p w14:paraId="409F78FE">
            <w:pPr>
              <w:pStyle w:val="133"/>
            </w:pPr>
            <w:r>
              <w:rPr>
                <w:rFonts w:hint="eastAsia"/>
              </w:rPr>
              <w:t>VOCs处理装置尾气2</w:t>
            </w:r>
          </w:p>
        </w:tc>
        <w:tc>
          <w:tcPr>
            <w:tcW w:w="698" w:type="pct"/>
            <w:vAlign w:val="center"/>
          </w:tcPr>
          <w:p w14:paraId="40F174DA">
            <w:pPr>
              <w:pStyle w:val="133"/>
            </w:pPr>
            <w:r>
              <w:rPr>
                <w:rFonts w:hint="eastAsia"/>
              </w:rPr>
              <w:t>NMHC</w:t>
            </w:r>
          </w:p>
        </w:tc>
        <w:tc>
          <w:tcPr>
            <w:tcW w:w="853" w:type="pct"/>
            <w:vAlign w:val="center"/>
          </w:tcPr>
          <w:p w14:paraId="0A1C9B1A">
            <w:pPr>
              <w:pStyle w:val="133"/>
              <w:rPr>
                <w:rFonts w:eastAsia="等线" w:cs="Times New Roman"/>
                <w:color w:val="000000"/>
                <w:szCs w:val="21"/>
              </w:rPr>
            </w:pPr>
            <w:r>
              <w:rPr>
                <w:rFonts w:hint="eastAsia" w:eastAsia="等线" w:cs="Times New Roman"/>
                <w:color w:val="000000"/>
                <w:szCs w:val="21"/>
              </w:rPr>
              <w:t>45.80</w:t>
            </w:r>
          </w:p>
        </w:tc>
        <w:tc>
          <w:tcPr>
            <w:tcW w:w="769" w:type="pct"/>
            <w:vAlign w:val="center"/>
          </w:tcPr>
          <w:p w14:paraId="0676E800">
            <w:pPr>
              <w:pStyle w:val="133"/>
              <w:rPr>
                <w:rFonts w:eastAsia="等线" w:cs="Times New Roman"/>
                <w:color w:val="000000"/>
                <w:szCs w:val="21"/>
              </w:rPr>
            </w:pPr>
            <w:r>
              <w:rPr>
                <w:rFonts w:hint="eastAsia" w:eastAsia="等线" w:cs="Times New Roman"/>
                <w:color w:val="000000"/>
                <w:szCs w:val="21"/>
              </w:rPr>
              <w:t>0.046</w:t>
            </w:r>
          </w:p>
        </w:tc>
        <w:tc>
          <w:tcPr>
            <w:tcW w:w="733" w:type="pct"/>
            <w:tcBorders>
              <w:top w:val="nil"/>
              <w:left w:val="nil"/>
              <w:bottom w:val="single" w:color="auto" w:sz="8" w:space="0"/>
              <w:right w:val="single" w:color="auto" w:sz="12" w:space="0"/>
            </w:tcBorders>
            <w:vAlign w:val="center"/>
          </w:tcPr>
          <w:p w14:paraId="1AAEFA48">
            <w:pPr>
              <w:pStyle w:val="133"/>
            </w:pPr>
            <w:r>
              <w:rPr>
                <w:rFonts w:eastAsia="等线" w:cs="Times New Roman"/>
                <w:color w:val="000000"/>
                <w:szCs w:val="21"/>
              </w:rPr>
              <w:t>0.364</w:t>
            </w:r>
          </w:p>
        </w:tc>
      </w:tr>
      <w:tr w14:paraId="0B53F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1680736A">
            <w:pPr>
              <w:pStyle w:val="133"/>
            </w:pPr>
            <w:r>
              <w:rPr>
                <w:rFonts w:hint="eastAsia"/>
              </w:rPr>
              <w:t>9</w:t>
            </w:r>
          </w:p>
        </w:tc>
        <w:tc>
          <w:tcPr>
            <w:tcW w:w="1618" w:type="pct"/>
            <w:vAlign w:val="center"/>
          </w:tcPr>
          <w:p w14:paraId="58D871BD">
            <w:pPr>
              <w:pStyle w:val="133"/>
            </w:pPr>
            <w:r>
              <w:rPr>
                <w:rFonts w:hint="eastAsia"/>
              </w:rPr>
              <w:t>硅铁上料废气</w:t>
            </w:r>
          </w:p>
        </w:tc>
        <w:tc>
          <w:tcPr>
            <w:tcW w:w="698" w:type="pct"/>
            <w:vAlign w:val="center"/>
          </w:tcPr>
          <w:p w14:paraId="02903D66">
            <w:pPr>
              <w:pStyle w:val="133"/>
            </w:pPr>
            <w:r>
              <w:rPr>
                <w:szCs w:val="21"/>
              </w:rPr>
              <w:t>颗粒物</w:t>
            </w:r>
          </w:p>
        </w:tc>
        <w:tc>
          <w:tcPr>
            <w:tcW w:w="853" w:type="pct"/>
            <w:vAlign w:val="center"/>
          </w:tcPr>
          <w:p w14:paraId="72902E72">
            <w:pPr>
              <w:pStyle w:val="133"/>
              <w:rPr>
                <w:rFonts w:eastAsia="等线" w:cs="Times New Roman"/>
                <w:color w:val="000000"/>
                <w:szCs w:val="21"/>
              </w:rPr>
            </w:pPr>
            <w:r>
              <w:rPr>
                <w:rFonts w:hint="eastAsia" w:cs="Times New Roman"/>
              </w:rPr>
              <w:t>3.6</w:t>
            </w:r>
          </w:p>
        </w:tc>
        <w:tc>
          <w:tcPr>
            <w:tcW w:w="769" w:type="pct"/>
            <w:vAlign w:val="center"/>
          </w:tcPr>
          <w:p w14:paraId="2052B4B1">
            <w:pPr>
              <w:pStyle w:val="133"/>
              <w:rPr>
                <w:rFonts w:eastAsia="等线" w:cs="Times New Roman"/>
                <w:color w:val="000000"/>
                <w:szCs w:val="21"/>
              </w:rPr>
            </w:pPr>
            <w:r>
              <w:rPr>
                <w:rFonts w:hint="eastAsia" w:cs="Times New Roman"/>
              </w:rPr>
              <w:t>0.09</w:t>
            </w:r>
          </w:p>
        </w:tc>
        <w:tc>
          <w:tcPr>
            <w:tcW w:w="733" w:type="pct"/>
            <w:tcBorders>
              <w:top w:val="nil"/>
              <w:left w:val="nil"/>
              <w:bottom w:val="single" w:color="auto" w:sz="8" w:space="0"/>
              <w:right w:val="single" w:color="auto" w:sz="12" w:space="0"/>
            </w:tcBorders>
            <w:vAlign w:val="center"/>
          </w:tcPr>
          <w:p w14:paraId="1FEABCA6">
            <w:pPr>
              <w:pStyle w:val="133"/>
            </w:pPr>
            <w:r>
              <w:rPr>
                <w:rFonts w:eastAsia="等线" w:cs="Times New Roman"/>
                <w:color w:val="000000"/>
                <w:szCs w:val="21"/>
              </w:rPr>
              <w:t>0.360</w:t>
            </w:r>
          </w:p>
        </w:tc>
      </w:tr>
      <w:tr w14:paraId="21BAC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restart"/>
            <w:vAlign w:val="center"/>
          </w:tcPr>
          <w:p w14:paraId="2F51C413">
            <w:pPr>
              <w:pStyle w:val="133"/>
            </w:pPr>
            <w:r>
              <w:rPr>
                <w:rFonts w:hint="eastAsia"/>
              </w:rPr>
              <w:t>10</w:t>
            </w:r>
          </w:p>
        </w:tc>
        <w:tc>
          <w:tcPr>
            <w:tcW w:w="1618" w:type="pct"/>
            <w:vMerge w:val="restart"/>
            <w:vAlign w:val="center"/>
          </w:tcPr>
          <w:p w14:paraId="6EDBDC06">
            <w:pPr>
              <w:pStyle w:val="133"/>
            </w:pPr>
            <w:r>
              <w:rPr>
                <w:rFonts w:hint="eastAsia"/>
              </w:rPr>
              <w:t>硅铁</w:t>
            </w:r>
            <w:r>
              <w:t>矿热炉烟气</w:t>
            </w:r>
          </w:p>
        </w:tc>
        <w:tc>
          <w:tcPr>
            <w:tcW w:w="698" w:type="pct"/>
            <w:vAlign w:val="center"/>
          </w:tcPr>
          <w:p w14:paraId="0394CB31">
            <w:pPr>
              <w:pStyle w:val="133"/>
            </w:pPr>
            <w:r>
              <w:rPr>
                <w:szCs w:val="21"/>
              </w:rPr>
              <w:t>颗粒物</w:t>
            </w:r>
          </w:p>
        </w:tc>
        <w:tc>
          <w:tcPr>
            <w:tcW w:w="853" w:type="pct"/>
            <w:vAlign w:val="center"/>
          </w:tcPr>
          <w:p w14:paraId="7E43D7C3">
            <w:pPr>
              <w:pStyle w:val="133"/>
            </w:pPr>
            <w:r>
              <w:rPr>
                <w:rFonts w:hint="eastAsia" w:cs="Times New Roman"/>
              </w:rPr>
              <w:t>16.5</w:t>
            </w:r>
          </w:p>
        </w:tc>
        <w:tc>
          <w:tcPr>
            <w:tcW w:w="769" w:type="pct"/>
            <w:vAlign w:val="center"/>
          </w:tcPr>
          <w:p w14:paraId="0BB94031">
            <w:pPr>
              <w:pStyle w:val="133"/>
            </w:pPr>
            <w:r>
              <w:rPr>
                <w:rFonts w:hint="eastAsia" w:cs="Times New Roman"/>
              </w:rPr>
              <w:t>9.22</w:t>
            </w:r>
          </w:p>
        </w:tc>
        <w:tc>
          <w:tcPr>
            <w:tcW w:w="733" w:type="pct"/>
            <w:tcBorders>
              <w:top w:val="nil"/>
              <w:left w:val="nil"/>
              <w:bottom w:val="single" w:color="auto" w:sz="8" w:space="0"/>
              <w:right w:val="single" w:color="auto" w:sz="12" w:space="0"/>
            </w:tcBorders>
            <w:vAlign w:val="center"/>
          </w:tcPr>
          <w:p w14:paraId="5CE03E16">
            <w:pPr>
              <w:pStyle w:val="133"/>
            </w:pPr>
            <w:r>
              <w:rPr>
                <w:rFonts w:eastAsia="等线" w:cs="Times New Roman"/>
                <w:color w:val="000000"/>
                <w:szCs w:val="21"/>
              </w:rPr>
              <w:t>73.022</w:t>
            </w:r>
          </w:p>
        </w:tc>
      </w:tr>
      <w:tr w14:paraId="1EC11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161345DE">
            <w:pPr>
              <w:pStyle w:val="133"/>
            </w:pPr>
          </w:p>
        </w:tc>
        <w:tc>
          <w:tcPr>
            <w:tcW w:w="1618" w:type="pct"/>
            <w:vMerge w:val="continue"/>
            <w:vAlign w:val="center"/>
          </w:tcPr>
          <w:p w14:paraId="7C6C084C">
            <w:pPr>
              <w:pStyle w:val="133"/>
            </w:pPr>
          </w:p>
        </w:tc>
        <w:tc>
          <w:tcPr>
            <w:tcW w:w="698" w:type="pct"/>
            <w:vAlign w:val="center"/>
          </w:tcPr>
          <w:p w14:paraId="578743B8">
            <w:pPr>
              <w:pStyle w:val="133"/>
            </w:pPr>
            <w:r>
              <w:rPr>
                <w:rFonts w:eastAsia="等线"/>
              </w:rPr>
              <w:t>SO</w:t>
            </w:r>
            <w:r>
              <w:rPr>
                <w:rFonts w:eastAsia="等线"/>
                <w:vertAlign w:val="subscript"/>
              </w:rPr>
              <w:t>2</w:t>
            </w:r>
          </w:p>
        </w:tc>
        <w:tc>
          <w:tcPr>
            <w:tcW w:w="853" w:type="pct"/>
            <w:vAlign w:val="center"/>
          </w:tcPr>
          <w:p w14:paraId="7B3DCA46">
            <w:pPr>
              <w:pStyle w:val="133"/>
            </w:pPr>
            <w:r>
              <w:rPr>
                <w:rFonts w:hint="eastAsia" w:cs="Times New Roman"/>
              </w:rPr>
              <w:t>173.1</w:t>
            </w:r>
          </w:p>
        </w:tc>
        <w:tc>
          <w:tcPr>
            <w:tcW w:w="769" w:type="pct"/>
            <w:vAlign w:val="center"/>
          </w:tcPr>
          <w:p w14:paraId="0C85D6DE">
            <w:pPr>
              <w:pStyle w:val="133"/>
            </w:pPr>
            <w:r>
              <w:rPr>
                <w:rFonts w:hint="eastAsia" w:cs="Times New Roman"/>
              </w:rPr>
              <w:t>96.93</w:t>
            </w:r>
          </w:p>
        </w:tc>
        <w:tc>
          <w:tcPr>
            <w:tcW w:w="733" w:type="pct"/>
            <w:tcBorders>
              <w:top w:val="nil"/>
              <w:left w:val="nil"/>
              <w:bottom w:val="single" w:color="auto" w:sz="8" w:space="0"/>
              <w:right w:val="single" w:color="auto" w:sz="12" w:space="0"/>
            </w:tcBorders>
            <w:vAlign w:val="center"/>
          </w:tcPr>
          <w:p w14:paraId="0590CACF">
            <w:pPr>
              <w:pStyle w:val="133"/>
            </w:pPr>
            <w:r>
              <w:rPr>
                <w:rFonts w:eastAsia="等线" w:cs="Times New Roman"/>
                <w:color w:val="000000"/>
                <w:szCs w:val="21"/>
              </w:rPr>
              <w:t>767.686</w:t>
            </w:r>
          </w:p>
        </w:tc>
      </w:tr>
      <w:tr w14:paraId="7D000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Merge w:val="continue"/>
            <w:vAlign w:val="center"/>
          </w:tcPr>
          <w:p w14:paraId="70B355D2">
            <w:pPr>
              <w:pStyle w:val="133"/>
            </w:pPr>
          </w:p>
        </w:tc>
        <w:tc>
          <w:tcPr>
            <w:tcW w:w="1618" w:type="pct"/>
            <w:vMerge w:val="continue"/>
            <w:vAlign w:val="center"/>
          </w:tcPr>
          <w:p w14:paraId="2AF04231">
            <w:pPr>
              <w:pStyle w:val="133"/>
            </w:pPr>
          </w:p>
        </w:tc>
        <w:tc>
          <w:tcPr>
            <w:tcW w:w="698" w:type="pct"/>
            <w:vAlign w:val="center"/>
          </w:tcPr>
          <w:p w14:paraId="5E2810AA">
            <w:pPr>
              <w:pStyle w:val="133"/>
            </w:pPr>
            <w:r>
              <w:rPr>
                <w:rFonts w:eastAsia="等线"/>
              </w:rPr>
              <w:t>NO</w:t>
            </w:r>
            <w:r>
              <w:rPr>
                <w:rFonts w:eastAsia="等线"/>
                <w:vertAlign w:val="subscript"/>
              </w:rPr>
              <w:t>X</w:t>
            </w:r>
          </w:p>
        </w:tc>
        <w:tc>
          <w:tcPr>
            <w:tcW w:w="853" w:type="pct"/>
            <w:vAlign w:val="center"/>
          </w:tcPr>
          <w:p w14:paraId="421432CF">
            <w:pPr>
              <w:pStyle w:val="133"/>
            </w:pPr>
            <w:r>
              <w:rPr>
                <w:rFonts w:hint="eastAsia" w:cs="Times New Roman"/>
              </w:rPr>
              <w:t>34.8</w:t>
            </w:r>
          </w:p>
        </w:tc>
        <w:tc>
          <w:tcPr>
            <w:tcW w:w="769" w:type="pct"/>
            <w:vAlign w:val="center"/>
          </w:tcPr>
          <w:p w14:paraId="1BEDFC01">
            <w:pPr>
              <w:pStyle w:val="133"/>
            </w:pPr>
            <w:r>
              <w:rPr>
                <w:rFonts w:hint="eastAsia" w:cs="Times New Roman"/>
              </w:rPr>
              <w:t>19.47</w:t>
            </w:r>
          </w:p>
        </w:tc>
        <w:tc>
          <w:tcPr>
            <w:tcW w:w="733" w:type="pct"/>
            <w:tcBorders>
              <w:top w:val="nil"/>
              <w:left w:val="nil"/>
              <w:bottom w:val="single" w:color="auto" w:sz="8" w:space="0"/>
              <w:right w:val="single" w:color="auto" w:sz="12" w:space="0"/>
            </w:tcBorders>
            <w:vAlign w:val="center"/>
          </w:tcPr>
          <w:p w14:paraId="13E96CCF">
            <w:pPr>
              <w:pStyle w:val="133"/>
            </w:pPr>
            <w:r>
              <w:rPr>
                <w:rFonts w:eastAsia="等线" w:cs="Times New Roman"/>
                <w:color w:val="000000"/>
                <w:szCs w:val="21"/>
              </w:rPr>
              <w:t>154.202</w:t>
            </w:r>
          </w:p>
        </w:tc>
      </w:tr>
      <w:tr w14:paraId="3EC57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0642B585">
            <w:pPr>
              <w:pStyle w:val="133"/>
            </w:pPr>
            <w:r>
              <w:rPr>
                <w:rFonts w:hint="eastAsia"/>
              </w:rPr>
              <w:t>11</w:t>
            </w:r>
          </w:p>
        </w:tc>
        <w:tc>
          <w:tcPr>
            <w:tcW w:w="1618" w:type="pct"/>
            <w:vAlign w:val="center"/>
          </w:tcPr>
          <w:p w14:paraId="483A53CE">
            <w:pPr>
              <w:pStyle w:val="133"/>
            </w:pPr>
            <w:r>
              <w:t>出铁浇铸废气</w:t>
            </w:r>
          </w:p>
        </w:tc>
        <w:tc>
          <w:tcPr>
            <w:tcW w:w="698" w:type="pct"/>
            <w:vAlign w:val="center"/>
          </w:tcPr>
          <w:p w14:paraId="00ADF14A">
            <w:pPr>
              <w:pStyle w:val="133"/>
            </w:pPr>
            <w:r>
              <w:t>颗粒物</w:t>
            </w:r>
          </w:p>
        </w:tc>
        <w:tc>
          <w:tcPr>
            <w:tcW w:w="853" w:type="pct"/>
            <w:vAlign w:val="center"/>
          </w:tcPr>
          <w:p w14:paraId="2C0E4321">
            <w:pPr>
              <w:pStyle w:val="133"/>
            </w:pPr>
            <w:r>
              <w:rPr>
                <w:rFonts w:hint="eastAsia" w:cs="Times New Roman"/>
              </w:rPr>
              <w:t>1.6</w:t>
            </w:r>
          </w:p>
        </w:tc>
        <w:tc>
          <w:tcPr>
            <w:tcW w:w="769" w:type="pct"/>
            <w:vAlign w:val="center"/>
          </w:tcPr>
          <w:p w14:paraId="3A321903">
            <w:pPr>
              <w:pStyle w:val="133"/>
            </w:pPr>
            <w:r>
              <w:rPr>
                <w:rFonts w:hint="eastAsia" w:cs="Times New Roman"/>
              </w:rPr>
              <w:t>0.10</w:t>
            </w:r>
          </w:p>
        </w:tc>
        <w:tc>
          <w:tcPr>
            <w:tcW w:w="733" w:type="pct"/>
            <w:tcBorders>
              <w:top w:val="nil"/>
              <w:left w:val="nil"/>
              <w:bottom w:val="single" w:color="auto" w:sz="8" w:space="0"/>
              <w:right w:val="single" w:color="auto" w:sz="12" w:space="0"/>
            </w:tcBorders>
            <w:vAlign w:val="center"/>
          </w:tcPr>
          <w:p w14:paraId="2EF66D22">
            <w:pPr>
              <w:pStyle w:val="133"/>
            </w:pPr>
            <w:r>
              <w:rPr>
                <w:rFonts w:eastAsia="等线" w:cs="Times New Roman"/>
                <w:color w:val="000000"/>
                <w:szCs w:val="21"/>
              </w:rPr>
              <w:t>0.792</w:t>
            </w:r>
          </w:p>
        </w:tc>
      </w:tr>
      <w:tr w14:paraId="3F3A7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9" w:type="pct"/>
            <w:vAlign w:val="center"/>
          </w:tcPr>
          <w:p w14:paraId="38466D55">
            <w:pPr>
              <w:pStyle w:val="133"/>
            </w:pPr>
            <w:r>
              <w:rPr>
                <w:rFonts w:hint="eastAsia"/>
              </w:rPr>
              <w:t>12</w:t>
            </w:r>
          </w:p>
        </w:tc>
        <w:tc>
          <w:tcPr>
            <w:tcW w:w="1618" w:type="pct"/>
            <w:vAlign w:val="center"/>
          </w:tcPr>
          <w:p w14:paraId="00DD2083">
            <w:pPr>
              <w:pStyle w:val="133"/>
            </w:pPr>
            <w:r>
              <w:rPr>
                <w:rFonts w:hint="eastAsia"/>
              </w:rPr>
              <w:t>硅铁破碎废气</w:t>
            </w:r>
          </w:p>
        </w:tc>
        <w:tc>
          <w:tcPr>
            <w:tcW w:w="698" w:type="pct"/>
            <w:vAlign w:val="center"/>
          </w:tcPr>
          <w:p w14:paraId="3E34F1C5">
            <w:pPr>
              <w:pStyle w:val="133"/>
            </w:pPr>
            <w:r>
              <w:t>颗粒物</w:t>
            </w:r>
          </w:p>
        </w:tc>
        <w:tc>
          <w:tcPr>
            <w:tcW w:w="853" w:type="pct"/>
            <w:vAlign w:val="center"/>
          </w:tcPr>
          <w:p w14:paraId="102BE48B">
            <w:pPr>
              <w:pStyle w:val="133"/>
            </w:pPr>
            <w:r>
              <w:rPr>
                <w:rFonts w:hint="eastAsia" w:cs="Times New Roman"/>
              </w:rPr>
              <w:t>2.0</w:t>
            </w:r>
          </w:p>
        </w:tc>
        <w:tc>
          <w:tcPr>
            <w:tcW w:w="769" w:type="pct"/>
            <w:vAlign w:val="center"/>
          </w:tcPr>
          <w:p w14:paraId="7EEB5C7E">
            <w:pPr>
              <w:pStyle w:val="133"/>
            </w:pPr>
            <w:r>
              <w:rPr>
                <w:rFonts w:hint="eastAsia" w:cs="Times New Roman"/>
              </w:rPr>
              <w:t>0.02</w:t>
            </w:r>
          </w:p>
        </w:tc>
        <w:tc>
          <w:tcPr>
            <w:tcW w:w="733" w:type="pct"/>
            <w:tcBorders>
              <w:top w:val="nil"/>
              <w:left w:val="nil"/>
              <w:bottom w:val="single" w:color="auto" w:sz="8" w:space="0"/>
              <w:right w:val="single" w:color="auto" w:sz="12" w:space="0"/>
            </w:tcBorders>
            <w:vAlign w:val="center"/>
          </w:tcPr>
          <w:p w14:paraId="2648503A">
            <w:pPr>
              <w:pStyle w:val="133"/>
            </w:pPr>
            <w:r>
              <w:rPr>
                <w:rFonts w:eastAsia="等线" w:cs="Times New Roman"/>
                <w:color w:val="000000"/>
                <w:szCs w:val="21"/>
              </w:rPr>
              <w:t>0.080</w:t>
            </w:r>
          </w:p>
        </w:tc>
      </w:tr>
      <w:tr w14:paraId="64186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restart"/>
            <w:vAlign w:val="center"/>
          </w:tcPr>
          <w:p w14:paraId="41F4A0C1">
            <w:pPr>
              <w:pStyle w:val="133"/>
            </w:pPr>
            <w:r>
              <w:t>一般排放口合计</w:t>
            </w:r>
          </w:p>
        </w:tc>
        <w:tc>
          <w:tcPr>
            <w:tcW w:w="2320" w:type="pct"/>
            <w:gridSpan w:val="3"/>
            <w:vAlign w:val="center"/>
          </w:tcPr>
          <w:p w14:paraId="60C7E174">
            <w:pPr>
              <w:pStyle w:val="133"/>
            </w:pPr>
            <w:r>
              <w:t>颗粒物</w:t>
            </w:r>
          </w:p>
        </w:tc>
        <w:tc>
          <w:tcPr>
            <w:tcW w:w="733" w:type="pct"/>
            <w:vAlign w:val="center"/>
          </w:tcPr>
          <w:p w14:paraId="6F211B12">
            <w:pPr>
              <w:pStyle w:val="133"/>
            </w:pPr>
            <w:r>
              <w:rPr>
                <w:rFonts w:hint="eastAsia"/>
              </w:rPr>
              <w:t>80.922</w:t>
            </w:r>
          </w:p>
        </w:tc>
      </w:tr>
      <w:tr w14:paraId="1C620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17F48D47">
            <w:pPr>
              <w:pStyle w:val="133"/>
            </w:pPr>
          </w:p>
        </w:tc>
        <w:tc>
          <w:tcPr>
            <w:tcW w:w="2320" w:type="pct"/>
            <w:gridSpan w:val="3"/>
            <w:vAlign w:val="center"/>
          </w:tcPr>
          <w:p w14:paraId="1BDC9CA2">
            <w:pPr>
              <w:pStyle w:val="133"/>
            </w:pPr>
            <w:r>
              <w:rPr>
                <w:rFonts w:eastAsia="等线"/>
              </w:rPr>
              <w:t>SO</w:t>
            </w:r>
            <w:r>
              <w:rPr>
                <w:rFonts w:eastAsia="等线"/>
                <w:vertAlign w:val="subscript"/>
              </w:rPr>
              <w:t>2</w:t>
            </w:r>
          </w:p>
        </w:tc>
        <w:tc>
          <w:tcPr>
            <w:tcW w:w="733" w:type="pct"/>
            <w:vAlign w:val="center"/>
          </w:tcPr>
          <w:p w14:paraId="7971C365">
            <w:pPr>
              <w:pStyle w:val="133"/>
            </w:pPr>
            <w:r>
              <w:rPr>
                <w:rFonts w:hint="eastAsia"/>
              </w:rPr>
              <w:t>786.378</w:t>
            </w:r>
          </w:p>
        </w:tc>
      </w:tr>
      <w:tr w14:paraId="646C6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7740A68D">
            <w:pPr>
              <w:pStyle w:val="133"/>
            </w:pPr>
          </w:p>
        </w:tc>
        <w:tc>
          <w:tcPr>
            <w:tcW w:w="2320" w:type="pct"/>
            <w:gridSpan w:val="3"/>
            <w:vAlign w:val="center"/>
          </w:tcPr>
          <w:p w14:paraId="064269A9">
            <w:pPr>
              <w:pStyle w:val="133"/>
            </w:pPr>
            <w:r>
              <w:rPr>
                <w:rFonts w:eastAsia="等线"/>
              </w:rPr>
              <w:t>NO</w:t>
            </w:r>
            <w:r>
              <w:rPr>
                <w:rFonts w:eastAsia="等线"/>
                <w:vertAlign w:val="subscript"/>
              </w:rPr>
              <w:t>X</w:t>
            </w:r>
          </w:p>
        </w:tc>
        <w:tc>
          <w:tcPr>
            <w:tcW w:w="733" w:type="pct"/>
            <w:vAlign w:val="center"/>
          </w:tcPr>
          <w:p w14:paraId="3CDC2461">
            <w:pPr>
              <w:pStyle w:val="133"/>
            </w:pPr>
            <w:r>
              <w:rPr>
                <w:rFonts w:hint="eastAsia"/>
              </w:rPr>
              <w:t>260.092</w:t>
            </w:r>
          </w:p>
        </w:tc>
      </w:tr>
      <w:tr w14:paraId="0E083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2DF644E6">
            <w:pPr>
              <w:pStyle w:val="133"/>
            </w:pPr>
          </w:p>
        </w:tc>
        <w:tc>
          <w:tcPr>
            <w:tcW w:w="2320" w:type="pct"/>
            <w:gridSpan w:val="3"/>
            <w:vAlign w:val="center"/>
          </w:tcPr>
          <w:p w14:paraId="5BBDFAAD">
            <w:pPr>
              <w:pStyle w:val="133"/>
              <w:rPr>
                <w:rFonts w:eastAsia="等线"/>
              </w:rPr>
            </w:pPr>
            <w:r>
              <w:rPr>
                <w:rFonts w:hint="eastAsia"/>
              </w:rPr>
              <w:t>NMHC</w:t>
            </w:r>
          </w:p>
        </w:tc>
        <w:tc>
          <w:tcPr>
            <w:tcW w:w="733" w:type="pct"/>
            <w:vAlign w:val="center"/>
          </w:tcPr>
          <w:p w14:paraId="2246B7DC">
            <w:pPr>
              <w:pStyle w:val="133"/>
              <w:rPr>
                <w:rFonts w:eastAsia="等线"/>
                <w:szCs w:val="21"/>
              </w:rPr>
            </w:pPr>
            <w:r>
              <w:rPr>
                <w:rFonts w:hint="eastAsia" w:eastAsia="等线"/>
                <w:szCs w:val="21"/>
              </w:rPr>
              <w:t>0.384</w:t>
            </w:r>
          </w:p>
        </w:tc>
      </w:tr>
      <w:tr w14:paraId="0EA54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6BB87193">
            <w:pPr>
              <w:pStyle w:val="133"/>
            </w:pPr>
          </w:p>
        </w:tc>
        <w:tc>
          <w:tcPr>
            <w:tcW w:w="2320" w:type="pct"/>
            <w:gridSpan w:val="3"/>
            <w:vAlign w:val="center"/>
          </w:tcPr>
          <w:p w14:paraId="1DEA0B64">
            <w:pPr>
              <w:pStyle w:val="133"/>
              <w:rPr>
                <w:rFonts w:eastAsia="等线"/>
              </w:rPr>
            </w:pPr>
            <w:r>
              <w:t>BaP</w:t>
            </w:r>
          </w:p>
        </w:tc>
        <w:tc>
          <w:tcPr>
            <w:tcW w:w="733" w:type="pct"/>
            <w:vAlign w:val="center"/>
          </w:tcPr>
          <w:p w14:paraId="36C3BFE3">
            <w:pPr>
              <w:pStyle w:val="133"/>
              <w:rPr>
                <w:rFonts w:eastAsia="等线"/>
                <w:szCs w:val="21"/>
              </w:rPr>
            </w:pPr>
            <w:r>
              <w:rPr>
                <w:rFonts w:hint="eastAsia" w:eastAsia="等线"/>
                <w:szCs w:val="21"/>
              </w:rPr>
              <w:t>0.00006</w:t>
            </w:r>
          </w:p>
        </w:tc>
      </w:tr>
      <w:tr w14:paraId="5DFBA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75EF31AF">
            <w:pPr>
              <w:pStyle w:val="133"/>
            </w:pPr>
          </w:p>
        </w:tc>
        <w:tc>
          <w:tcPr>
            <w:tcW w:w="2320" w:type="pct"/>
            <w:gridSpan w:val="3"/>
            <w:vAlign w:val="center"/>
          </w:tcPr>
          <w:p w14:paraId="745203DA">
            <w:pPr>
              <w:pStyle w:val="133"/>
              <w:rPr>
                <w:rFonts w:eastAsia="等线"/>
              </w:rPr>
            </w:pPr>
            <w:r>
              <w:rPr>
                <w:rFonts w:hint="eastAsia"/>
              </w:rPr>
              <w:t>氰化氢</w:t>
            </w:r>
          </w:p>
        </w:tc>
        <w:tc>
          <w:tcPr>
            <w:tcW w:w="733" w:type="pct"/>
            <w:vAlign w:val="center"/>
          </w:tcPr>
          <w:p w14:paraId="096AB703">
            <w:pPr>
              <w:pStyle w:val="133"/>
              <w:rPr>
                <w:rFonts w:eastAsia="等线"/>
                <w:szCs w:val="21"/>
              </w:rPr>
            </w:pPr>
            <w:r>
              <w:rPr>
                <w:rFonts w:hint="eastAsia" w:eastAsia="等线"/>
                <w:szCs w:val="21"/>
              </w:rPr>
              <w:t>0.00002</w:t>
            </w:r>
          </w:p>
        </w:tc>
      </w:tr>
      <w:tr w14:paraId="0D31F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1A7A7D74">
            <w:pPr>
              <w:pStyle w:val="133"/>
            </w:pPr>
          </w:p>
        </w:tc>
        <w:tc>
          <w:tcPr>
            <w:tcW w:w="2320" w:type="pct"/>
            <w:gridSpan w:val="3"/>
            <w:vAlign w:val="center"/>
          </w:tcPr>
          <w:p w14:paraId="682B82A9">
            <w:pPr>
              <w:pStyle w:val="133"/>
              <w:rPr>
                <w:rFonts w:eastAsia="等线"/>
              </w:rPr>
            </w:pPr>
            <w:r>
              <w:rPr>
                <w:rFonts w:hint="eastAsia"/>
              </w:rPr>
              <w:t>酚类</w:t>
            </w:r>
          </w:p>
        </w:tc>
        <w:tc>
          <w:tcPr>
            <w:tcW w:w="733" w:type="pct"/>
            <w:vAlign w:val="center"/>
          </w:tcPr>
          <w:p w14:paraId="68407E16">
            <w:pPr>
              <w:pStyle w:val="133"/>
              <w:rPr>
                <w:rFonts w:eastAsia="等线"/>
                <w:szCs w:val="21"/>
              </w:rPr>
            </w:pPr>
            <w:r>
              <w:rPr>
                <w:rFonts w:hint="eastAsia" w:eastAsia="等线"/>
                <w:szCs w:val="21"/>
              </w:rPr>
              <w:t>0.003</w:t>
            </w:r>
          </w:p>
        </w:tc>
      </w:tr>
      <w:tr w14:paraId="55694E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50450FA3">
            <w:pPr>
              <w:pStyle w:val="133"/>
            </w:pPr>
          </w:p>
        </w:tc>
        <w:tc>
          <w:tcPr>
            <w:tcW w:w="2320" w:type="pct"/>
            <w:gridSpan w:val="3"/>
            <w:vAlign w:val="center"/>
          </w:tcPr>
          <w:p w14:paraId="0475AD9F">
            <w:pPr>
              <w:pStyle w:val="133"/>
              <w:rPr>
                <w:rFonts w:eastAsia="等线"/>
              </w:rPr>
            </w:pPr>
            <w:r>
              <w:rPr>
                <w:rFonts w:hint="eastAsia"/>
              </w:rPr>
              <w:t>NH</w:t>
            </w:r>
            <w:r>
              <w:rPr>
                <w:rFonts w:hint="eastAsia"/>
                <w:vertAlign w:val="subscript"/>
              </w:rPr>
              <w:t>3</w:t>
            </w:r>
          </w:p>
        </w:tc>
        <w:tc>
          <w:tcPr>
            <w:tcW w:w="733" w:type="pct"/>
            <w:vAlign w:val="center"/>
          </w:tcPr>
          <w:p w14:paraId="3192523A">
            <w:pPr>
              <w:pStyle w:val="133"/>
              <w:rPr>
                <w:rFonts w:eastAsia="等线"/>
                <w:szCs w:val="21"/>
              </w:rPr>
            </w:pPr>
            <w:r>
              <w:rPr>
                <w:rFonts w:hint="eastAsia" w:eastAsia="等线"/>
                <w:szCs w:val="21"/>
              </w:rPr>
              <w:t>0.034</w:t>
            </w:r>
          </w:p>
        </w:tc>
      </w:tr>
      <w:tr w14:paraId="444EF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43E2CC37">
            <w:pPr>
              <w:pStyle w:val="133"/>
            </w:pPr>
          </w:p>
        </w:tc>
        <w:tc>
          <w:tcPr>
            <w:tcW w:w="2320" w:type="pct"/>
            <w:gridSpan w:val="3"/>
            <w:vAlign w:val="center"/>
          </w:tcPr>
          <w:p w14:paraId="6EC12EDF">
            <w:pPr>
              <w:pStyle w:val="133"/>
              <w:rPr>
                <w:rFonts w:eastAsia="等线"/>
              </w:rPr>
            </w:pPr>
            <w:r>
              <w:rPr>
                <w:rFonts w:hint="eastAsia"/>
              </w:rPr>
              <w:t>H</w:t>
            </w:r>
            <w:r>
              <w:rPr>
                <w:rFonts w:hint="eastAsia"/>
                <w:vertAlign w:val="subscript"/>
              </w:rPr>
              <w:t>2</w:t>
            </w:r>
            <w:r>
              <w:rPr>
                <w:rFonts w:hint="eastAsia"/>
              </w:rPr>
              <w:t>S</w:t>
            </w:r>
          </w:p>
        </w:tc>
        <w:tc>
          <w:tcPr>
            <w:tcW w:w="733" w:type="pct"/>
            <w:vAlign w:val="center"/>
          </w:tcPr>
          <w:p w14:paraId="04301980">
            <w:pPr>
              <w:pStyle w:val="133"/>
              <w:rPr>
                <w:rFonts w:eastAsia="等线"/>
                <w:szCs w:val="21"/>
              </w:rPr>
            </w:pPr>
            <w:r>
              <w:rPr>
                <w:rFonts w:hint="eastAsia" w:eastAsia="等线"/>
                <w:szCs w:val="21"/>
              </w:rPr>
              <w:t>0.006</w:t>
            </w:r>
          </w:p>
        </w:tc>
      </w:tr>
      <w:tr w14:paraId="25B19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6"/>
            <w:vAlign w:val="center"/>
          </w:tcPr>
          <w:p w14:paraId="24D8A152">
            <w:pPr>
              <w:pStyle w:val="133"/>
            </w:pPr>
            <w:r>
              <w:t>有组织排放</w:t>
            </w:r>
          </w:p>
        </w:tc>
      </w:tr>
      <w:tr w14:paraId="43544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restart"/>
            <w:vAlign w:val="center"/>
          </w:tcPr>
          <w:p w14:paraId="28A5E698">
            <w:pPr>
              <w:pStyle w:val="133"/>
            </w:pPr>
            <w:r>
              <w:t>有组织排放总计</w:t>
            </w:r>
          </w:p>
        </w:tc>
        <w:tc>
          <w:tcPr>
            <w:tcW w:w="2320" w:type="pct"/>
            <w:gridSpan w:val="3"/>
            <w:vAlign w:val="center"/>
          </w:tcPr>
          <w:p w14:paraId="7F8C2D8E">
            <w:pPr>
              <w:pStyle w:val="133"/>
            </w:pPr>
            <w:r>
              <w:t>颗粒物</w:t>
            </w:r>
          </w:p>
        </w:tc>
        <w:tc>
          <w:tcPr>
            <w:tcW w:w="733" w:type="pct"/>
            <w:vAlign w:val="center"/>
          </w:tcPr>
          <w:p w14:paraId="3FBCA6B5">
            <w:pPr>
              <w:pStyle w:val="133"/>
            </w:pPr>
            <w:r>
              <w:rPr>
                <w:rFonts w:eastAsia="等线" w:cs="Times New Roman"/>
                <w:color w:val="000000"/>
                <w:szCs w:val="21"/>
              </w:rPr>
              <w:t>8</w:t>
            </w:r>
            <w:r>
              <w:rPr>
                <w:rFonts w:hint="eastAsia" w:eastAsia="等线" w:cs="Times New Roman"/>
                <w:color w:val="000000"/>
                <w:szCs w:val="21"/>
              </w:rPr>
              <w:t>2.142</w:t>
            </w:r>
          </w:p>
        </w:tc>
      </w:tr>
      <w:tr w14:paraId="5D2D7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141A5A95">
            <w:pPr>
              <w:pStyle w:val="133"/>
            </w:pPr>
          </w:p>
        </w:tc>
        <w:tc>
          <w:tcPr>
            <w:tcW w:w="2320" w:type="pct"/>
            <w:gridSpan w:val="3"/>
            <w:vAlign w:val="center"/>
          </w:tcPr>
          <w:p w14:paraId="5211C358">
            <w:pPr>
              <w:pStyle w:val="133"/>
            </w:pPr>
            <w:r>
              <w:rPr>
                <w:rFonts w:eastAsia="等线"/>
              </w:rPr>
              <w:t>SO</w:t>
            </w:r>
            <w:r>
              <w:rPr>
                <w:rFonts w:eastAsia="等线"/>
                <w:vertAlign w:val="subscript"/>
              </w:rPr>
              <w:t>2</w:t>
            </w:r>
          </w:p>
        </w:tc>
        <w:tc>
          <w:tcPr>
            <w:tcW w:w="733" w:type="pct"/>
            <w:vAlign w:val="center"/>
          </w:tcPr>
          <w:p w14:paraId="0E7FF02C">
            <w:pPr>
              <w:pStyle w:val="133"/>
            </w:pPr>
            <w:r>
              <w:rPr>
                <w:rFonts w:eastAsia="等线" w:cs="Times New Roman"/>
                <w:color w:val="000000"/>
                <w:szCs w:val="21"/>
              </w:rPr>
              <w:t>786.</w:t>
            </w:r>
            <w:r>
              <w:rPr>
                <w:rFonts w:hint="eastAsia" w:eastAsia="等线" w:cs="Times New Roman"/>
                <w:color w:val="000000"/>
                <w:szCs w:val="21"/>
              </w:rPr>
              <w:t>926</w:t>
            </w:r>
          </w:p>
        </w:tc>
      </w:tr>
      <w:tr w14:paraId="086CA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3508ADFD">
            <w:pPr>
              <w:pStyle w:val="133"/>
            </w:pPr>
          </w:p>
        </w:tc>
        <w:tc>
          <w:tcPr>
            <w:tcW w:w="2320" w:type="pct"/>
            <w:gridSpan w:val="3"/>
            <w:vAlign w:val="center"/>
          </w:tcPr>
          <w:p w14:paraId="29079136">
            <w:pPr>
              <w:pStyle w:val="133"/>
            </w:pPr>
            <w:r>
              <w:rPr>
                <w:rFonts w:eastAsia="等线"/>
              </w:rPr>
              <w:t>NO</w:t>
            </w:r>
            <w:r>
              <w:rPr>
                <w:rFonts w:eastAsia="等线"/>
                <w:vertAlign w:val="subscript"/>
              </w:rPr>
              <w:t>X</w:t>
            </w:r>
          </w:p>
        </w:tc>
        <w:tc>
          <w:tcPr>
            <w:tcW w:w="733" w:type="pct"/>
            <w:vAlign w:val="center"/>
          </w:tcPr>
          <w:p w14:paraId="225A9757">
            <w:pPr>
              <w:pStyle w:val="133"/>
            </w:pPr>
            <w:r>
              <w:rPr>
                <w:rFonts w:eastAsia="等线" w:cs="Times New Roman"/>
                <w:color w:val="000000"/>
                <w:szCs w:val="21"/>
              </w:rPr>
              <w:t>861.044</w:t>
            </w:r>
          </w:p>
        </w:tc>
      </w:tr>
      <w:tr w14:paraId="4231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4C210C20">
            <w:pPr>
              <w:pStyle w:val="133"/>
            </w:pPr>
          </w:p>
        </w:tc>
        <w:tc>
          <w:tcPr>
            <w:tcW w:w="2320" w:type="pct"/>
            <w:gridSpan w:val="3"/>
            <w:vAlign w:val="center"/>
          </w:tcPr>
          <w:p w14:paraId="2ADAF8A0">
            <w:pPr>
              <w:pStyle w:val="133"/>
            </w:pPr>
            <w:r>
              <w:rPr>
                <w:rFonts w:hint="eastAsia"/>
              </w:rPr>
              <w:t>NMHC</w:t>
            </w:r>
          </w:p>
        </w:tc>
        <w:tc>
          <w:tcPr>
            <w:tcW w:w="733" w:type="pct"/>
            <w:vAlign w:val="center"/>
          </w:tcPr>
          <w:p w14:paraId="2D80D32A">
            <w:pPr>
              <w:pStyle w:val="133"/>
              <w:rPr>
                <w:rFonts w:eastAsia="等线"/>
                <w:szCs w:val="21"/>
              </w:rPr>
            </w:pPr>
            <w:r>
              <w:rPr>
                <w:rFonts w:eastAsia="等线" w:cs="Times New Roman"/>
                <w:color w:val="000000"/>
                <w:szCs w:val="21"/>
              </w:rPr>
              <w:t>0.384</w:t>
            </w:r>
          </w:p>
        </w:tc>
      </w:tr>
      <w:tr w14:paraId="27A94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09814300">
            <w:pPr>
              <w:pStyle w:val="133"/>
            </w:pPr>
          </w:p>
        </w:tc>
        <w:tc>
          <w:tcPr>
            <w:tcW w:w="2320" w:type="pct"/>
            <w:gridSpan w:val="3"/>
            <w:vAlign w:val="center"/>
          </w:tcPr>
          <w:p w14:paraId="3EF41C4F">
            <w:pPr>
              <w:pStyle w:val="133"/>
            </w:pPr>
            <w:r>
              <w:t>BaP</w:t>
            </w:r>
          </w:p>
        </w:tc>
        <w:tc>
          <w:tcPr>
            <w:tcW w:w="733" w:type="pct"/>
            <w:vAlign w:val="center"/>
          </w:tcPr>
          <w:p w14:paraId="35EEDD37">
            <w:pPr>
              <w:pStyle w:val="133"/>
              <w:rPr>
                <w:rFonts w:eastAsia="等线"/>
                <w:szCs w:val="21"/>
              </w:rPr>
            </w:pPr>
            <w:r>
              <w:rPr>
                <w:rFonts w:eastAsia="等线" w:cs="Times New Roman"/>
                <w:color w:val="000000"/>
                <w:szCs w:val="21"/>
              </w:rPr>
              <w:t>0.00006</w:t>
            </w:r>
          </w:p>
        </w:tc>
      </w:tr>
      <w:tr w14:paraId="30D7D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24A1503E">
            <w:pPr>
              <w:pStyle w:val="133"/>
            </w:pPr>
          </w:p>
        </w:tc>
        <w:tc>
          <w:tcPr>
            <w:tcW w:w="2320" w:type="pct"/>
            <w:gridSpan w:val="3"/>
            <w:vAlign w:val="center"/>
          </w:tcPr>
          <w:p w14:paraId="5B902C1E">
            <w:pPr>
              <w:pStyle w:val="133"/>
            </w:pPr>
            <w:r>
              <w:rPr>
                <w:rFonts w:hint="eastAsia"/>
              </w:rPr>
              <w:t>氰化氢</w:t>
            </w:r>
          </w:p>
        </w:tc>
        <w:tc>
          <w:tcPr>
            <w:tcW w:w="733" w:type="pct"/>
            <w:vAlign w:val="center"/>
          </w:tcPr>
          <w:p w14:paraId="44F973AF">
            <w:pPr>
              <w:pStyle w:val="133"/>
              <w:rPr>
                <w:rFonts w:eastAsia="等线"/>
                <w:szCs w:val="21"/>
              </w:rPr>
            </w:pPr>
            <w:r>
              <w:rPr>
                <w:rFonts w:eastAsia="等线" w:cs="Times New Roman"/>
                <w:color w:val="000000"/>
                <w:szCs w:val="21"/>
              </w:rPr>
              <w:t>0.00002</w:t>
            </w:r>
          </w:p>
        </w:tc>
      </w:tr>
      <w:tr w14:paraId="34DA2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62C3731C">
            <w:pPr>
              <w:pStyle w:val="133"/>
            </w:pPr>
          </w:p>
        </w:tc>
        <w:tc>
          <w:tcPr>
            <w:tcW w:w="2320" w:type="pct"/>
            <w:gridSpan w:val="3"/>
            <w:vAlign w:val="center"/>
          </w:tcPr>
          <w:p w14:paraId="7F23EF08">
            <w:pPr>
              <w:pStyle w:val="133"/>
            </w:pPr>
            <w:r>
              <w:rPr>
                <w:rFonts w:hint="eastAsia"/>
              </w:rPr>
              <w:t>酚类</w:t>
            </w:r>
          </w:p>
        </w:tc>
        <w:tc>
          <w:tcPr>
            <w:tcW w:w="733" w:type="pct"/>
            <w:vAlign w:val="center"/>
          </w:tcPr>
          <w:p w14:paraId="2095FB65">
            <w:pPr>
              <w:pStyle w:val="133"/>
              <w:rPr>
                <w:rFonts w:eastAsia="等线"/>
                <w:szCs w:val="21"/>
              </w:rPr>
            </w:pPr>
            <w:r>
              <w:rPr>
                <w:rFonts w:eastAsia="等线" w:cs="Times New Roman"/>
                <w:color w:val="000000"/>
                <w:szCs w:val="21"/>
              </w:rPr>
              <w:t>0.003</w:t>
            </w:r>
          </w:p>
        </w:tc>
      </w:tr>
      <w:tr w14:paraId="06A4C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2FB0DE7F">
            <w:pPr>
              <w:pStyle w:val="133"/>
            </w:pPr>
          </w:p>
        </w:tc>
        <w:tc>
          <w:tcPr>
            <w:tcW w:w="2320" w:type="pct"/>
            <w:gridSpan w:val="3"/>
            <w:vAlign w:val="center"/>
          </w:tcPr>
          <w:p w14:paraId="2F546D27">
            <w:pPr>
              <w:pStyle w:val="133"/>
            </w:pPr>
            <w:r>
              <w:rPr>
                <w:rFonts w:hint="eastAsia"/>
              </w:rPr>
              <w:t>NH</w:t>
            </w:r>
            <w:r>
              <w:rPr>
                <w:rFonts w:hint="eastAsia"/>
                <w:vertAlign w:val="subscript"/>
              </w:rPr>
              <w:t>3</w:t>
            </w:r>
          </w:p>
        </w:tc>
        <w:tc>
          <w:tcPr>
            <w:tcW w:w="733" w:type="pct"/>
            <w:vAlign w:val="center"/>
          </w:tcPr>
          <w:p w14:paraId="54EC41CA">
            <w:pPr>
              <w:pStyle w:val="133"/>
              <w:rPr>
                <w:rFonts w:eastAsia="等线"/>
                <w:szCs w:val="21"/>
              </w:rPr>
            </w:pPr>
            <w:r>
              <w:rPr>
                <w:rFonts w:eastAsia="等线" w:cs="Times New Roman"/>
                <w:color w:val="000000"/>
                <w:szCs w:val="21"/>
              </w:rPr>
              <w:t>0.034</w:t>
            </w:r>
          </w:p>
        </w:tc>
      </w:tr>
      <w:tr w14:paraId="376F9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pct"/>
            <w:gridSpan w:val="2"/>
            <w:vMerge w:val="continue"/>
            <w:vAlign w:val="center"/>
          </w:tcPr>
          <w:p w14:paraId="7B650AE4">
            <w:pPr>
              <w:pStyle w:val="133"/>
            </w:pPr>
          </w:p>
        </w:tc>
        <w:tc>
          <w:tcPr>
            <w:tcW w:w="2320" w:type="pct"/>
            <w:gridSpan w:val="3"/>
            <w:vAlign w:val="center"/>
          </w:tcPr>
          <w:p w14:paraId="6E5FB9B2">
            <w:pPr>
              <w:pStyle w:val="133"/>
            </w:pPr>
            <w:r>
              <w:rPr>
                <w:rFonts w:hint="eastAsia"/>
              </w:rPr>
              <w:t>H</w:t>
            </w:r>
            <w:r>
              <w:rPr>
                <w:rFonts w:hint="eastAsia"/>
                <w:vertAlign w:val="subscript"/>
              </w:rPr>
              <w:t>2</w:t>
            </w:r>
            <w:r>
              <w:rPr>
                <w:rFonts w:hint="eastAsia"/>
              </w:rPr>
              <w:t>S</w:t>
            </w:r>
          </w:p>
        </w:tc>
        <w:tc>
          <w:tcPr>
            <w:tcW w:w="733" w:type="pct"/>
            <w:vAlign w:val="center"/>
          </w:tcPr>
          <w:p w14:paraId="6963DF04">
            <w:pPr>
              <w:pStyle w:val="133"/>
              <w:rPr>
                <w:rFonts w:eastAsia="等线"/>
                <w:szCs w:val="21"/>
              </w:rPr>
            </w:pPr>
            <w:r>
              <w:rPr>
                <w:rFonts w:eastAsia="等线" w:cs="Times New Roman"/>
                <w:color w:val="000000"/>
                <w:szCs w:val="21"/>
              </w:rPr>
              <w:t>0.006</w:t>
            </w:r>
          </w:p>
        </w:tc>
      </w:tr>
    </w:tbl>
    <w:p w14:paraId="4F32F234">
      <w:pPr>
        <w:pStyle w:val="133"/>
      </w:pPr>
    </w:p>
    <w:p w14:paraId="7082971E">
      <w:pPr>
        <w:pStyle w:val="944"/>
      </w:pPr>
      <w:r>
        <w:t>无组织排放量核算</w:t>
      </w:r>
    </w:p>
    <w:p w14:paraId="5CEC5F1F">
      <w:pPr>
        <w:pStyle w:val="117"/>
        <w:ind w:firstLine="480"/>
      </w:pPr>
      <w:r>
        <w:rPr>
          <w:rFonts w:hint="eastAsia"/>
        </w:rPr>
        <w:t>无组织排放量核算见表5.2-34。</w:t>
      </w:r>
    </w:p>
    <w:p w14:paraId="730A0099">
      <w:pPr>
        <w:pStyle w:val="118"/>
      </w:pPr>
      <w:r>
        <w:rPr>
          <w:rFonts w:hint="eastAsia"/>
        </w:rPr>
        <w:t>表5.2-34</w:t>
      </w:r>
      <w:r>
        <w:t xml:space="preserve">  项目大气污染物无组织排放量核算表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1" w:type="dxa"/>
          <w:bottom w:w="0" w:type="dxa"/>
          <w:right w:w="11" w:type="dxa"/>
        </w:tblCellMar>
      </w:tblPr>
      <w:tblGrid>
        <w:gridCol w:w="613"/>
        <w:gridCol w:w="1893"/>
        <w:gridCol w:w="1165"/>
        <w:gridCol w:w="773"/>
        <w:gridCol w:w="1977"/>
        <w:gridCol w:w="1406"/>
        <w:gridCol w:w="1292"/>
      </w:tblGrid>
      <w:tr w14:paraId="096C5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tblHeader/>
          <w:jc w:val="center"/>
        </w:trPr>
        <w:tc>
          <w:tcPr>
            <w:tcW w:w="336" w:type="pct"/>
            <w:vMerge w:val="restart"/>
            <w:vAlign w:val="center"/>
          </w:tcPr>
          <w:p w14:paraId="61C5F3B4">
            <w:pPr>
              <w:pStyle w:val="133"/>
              <w:rPr>
                <w:b/>
                <w:bCs/>
                <w:szCs w:val="21"/>
              </w:rPr>
            </w:pPr>
            <w:r>
              <w:rPr>
                <w:b/>
                <w:bCs/>
                <w:szCs w:val="21"/>
              </w:rPr>
              <w:t>序号</w:t>
            </w:r>
          </w:p>
        </w:tc>
        <w:tc>
          <w:tcPr>
            <w:tcW w:w="1038" w:type="pct"/>
            <w:vMerge w:val="restart"/>
            <w:vAlign w:val="center"/>
          </w:tcPr>
          <w:p w14:paraId="02231FA1">
            <w:pPr>
              <w:pStyle w:val="133"/>
              <w:rPr>
                <w:b/>
                <w:bCs/>
                <w:szCs w:val="21"/>
              </w:rPr>
            </w:pPr>
            <w:r>
              <w:rPr>
                <w:b/>
                <w:bCs/>
                <w:szCs w:val="21"/>
              </w:rPr>
              <w:t>产污环节</w:t>
            </w:r>
          </w:p>
        </w:tc>
        <w:tc>
          <w:tcPr>
            <w:tcW w:w="639" w:type="pct"/>
            <w:vMerge w:val="restart"/>
            <w:vAlign w:val="center"/>
          </w:tcPr>
          <w:p w14:paraId="188111CC">
            <w:pPr>
              <w:pStyle w:val="133"/>
              <w:rPr>
                <w:b/>
                <w:bCs/>
                <w:szCs w:val="21"/>
              </w:rPr>
            </w:pPr>
            <w:r>
              <w:rPr>
                <w:b/>
                <w:bCs/>
                <w:szCs w:val="21"/>
              </w:rPr>
              <w:t>污染物</w:t>
            </w:r>
          </w:p>
        </w:tc>
        <w:tc>
          <w:tcPr>
            <w:tcW w:w="424" w:type="pct"/>
            <w:vMerge w:val="restart"/>
            <w:vAlign w:val="center"/>
          </w:tcPr>
          <w:p w14:paraId="2A947C54">
            <w:pPr>
              <w:pStyle w:val="133"/>
              <w:rPr>
                <w:b/>
                <w:bCs/>
                <w:szCs w:val="21"/>
              </w:rPr>
            </w:pPr>
            <w:r>
              <w:rPr>
                <w:b/>
                <w:bCs/>
                <w:szCs w:val="21"/>
              </w:rPr>
              <w:t>主要污染防治措施</w:t>
            </w:r>
          </w:p>
        </w:tc>
        <w:tc>
          <w:tcPr>
            <w:tcW w:w="1855" w:type="pct"/>
            <w:gridSpan w:val="2"/>
            <w:vAlign w:val="center"/>
          </w:tcPr>
          <w:p w14:paraId="1D727C5B">
            <w:pPr>
              <w:pStyle w:val="133"/>
              <w:rPr>
                <w:b/>
                <w:bCs/>
                <w:szCs w:val="21"/>
              </w:rPr>
            </w:pPr>
            <w:r>
              <w:rPr>
                <w:b/>
                <w:bCs/>
                <w:szCs w:val="21"/>
              </w:rPr>
              <w:t>污染物排放标准</w:t>
            </w:r>
          </w:p>
        </w:tc>
        <w:tc>
          <w:tcPr>
            <w:tcW w:w="708" w:type="pct"/>
            <w:vMerge w:val="restart"/>
            <w:vAlign w:val="center"/>
          </w:tcPr>
          <w:p w14:paraId="4C1980BB">
            <w:pPr>
              <w:pStyle w:val="133"/>
              <w:rPr>
                <w:b/>
                <w:bCs/>
                <w:szCs w:val="21"/>
              </w:rPr>
            </w:pPr>
            <w:r>
              <w:rPr>
                <w:b/>
                <w:bCs/>
                <w:szCs w:val="21"/>
              </w:rPr>
              <w:t>申报年排放量/（t/a）</w:t>
            </w:r>
          </w:p>
        </w:tc>
      </w:tr>
      <w:tr w14:paraId="0CEC5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tblHeader/>
          <w:jc w:val="center"/>
        </w:trPr>
        <w:tc>
          <w:tcPr>
            <w:tcW w:w="0" w:type="auto"/>
            <w:vMerge w:val="continue"/>
            <w:vAlign w:val="center"/>
          </w:tcPr>
          <w:p w14:paraId="1D91C161">
            <w:pPr>
              <w:pStyle w:val="133"/>
              <w:rPr>
                <w:b/>
                <w:bCs/>
                <w:szCs w:val="21"/>
              </w:rPr>
            </w:pPr>
          </w:p>
        </w:tc>
        <w:tc>
          <w:tcPr>
            <w:tcW w:w="1038" w:type="pct"/>
            <w:vMerge w:val="continue"/>
            <w:vAlign w:val="center"/>
          </w:tcPr>
          <w:p w14:paraId="7BB471FD">
            <w:pPr>
              <w:pStyle w:val="133"/>
              <w:rPr>
                <w:b/>
                <w:bCs/>
                <w:szCs w:val="21"/>
              </w:rPr>
            </w:pPr>
          </w:p>
        </w:tc>
        <w:tc>
          <w:tcPr>
            <w:tcW w:w="639" w:type="pct"/>
            <w:vMerge w:val="continue"/>
            <w:vAlign w:val="center"/>
          </w:tcPr>
          <w:p w14:paraId="5485E940">
            <w:pPr>
              <w:pStyle w:val="133"/>
              <w:rPr>
                <w:b/>
                <w:bCs/>
                <w:szCs w:val="21"/>
              </w:rPr>
            </w:pPr>
          </w:p>
        </w:tc>
        <w:tc>
          <w:tcPr>
            <w:tcW w:w="424" w:type="pct"/>
            <w:vMerge w:val="continue"/>
            <w:vAlign w:val="center"/>
          </w:tcPr>
          <w:p w14:paraId="30521D49">
            <w:pPr>
              <w:pStyle w:val="133"/>
              <w:rPr>
                <w:b/>
                <w:bCs/>
                <w:szCs w:val="21"/>
              </w:rPr>
            </w:pPr>
          </w:p>
        </w:tc>
        <w:tc>
          <w:tcPr>
            <w:tcW w:w="1084" w:type="pct"/>
            <w:vAlign w:val="center"/>
          </w:tcPr>
          <w:p w14:paraId="593A359C">
            <w:pPr>
              <w:pStyle w:val="133"/>
              <w:rPr>
                <w:b/>
                <w:bCs/>
                <w:szCs w:val="21"/>
              </w:rPr>
            </w:pPr>
            <w:r>
              <w:rPr>
                <w:b/>
                <w:bCs/>
                <w:szCs w:val="21"/>
              </w:rPr>
              <w:t>标准名称</w:t>
            </w:r>
          </w:p>
        </w:tc>
        <w:tc>
          <w:tcPr>
            <w:tcW w:w="771" w:type="pct"/>
            <w:vAlign w:val="center"/>
          </w:tcPr>
          <w:p w14:paraId="29279570">
            <w:pPr>
              <w:pStyle w:val="133"/>
              <w:rPr>
                <w:b/>
                <w:bCs/>
                <w:szCs w:val="21"/>
              </w:rPr>
            </w:pPr>
            <w:r>
              <w:rPr>
                <w:b/>
                <w:bCs/>
                <w:szCs w:val="21"/>
              </w:rPr>
              <w:t>浓度限值（mg/m</w:t>
            </w:r>
            <w:r>
              <w:rPr>
                <w:b/>
                <w:bCs/>
                <w:szCs w:val="21"/>
                <w:vertAlign w:val="superscript"/>
              </w:rPr>
              <w:t>3</w:t>
            </w:r>
            <w:r>
              <w:rPr>
                <w:b/>
                <w:bCs/>
                <w:szCs w:val="21"/>
              </w:rPr>
              <w:t>）</w:t>
            </w:r>
          </w:p>
        </w:tc>
        <w:tc>
          <w:tcPr>
            <w:tcW w:w="0" w:type="auto"/>
            <w:vMerge w:val="continue"/>
            <w:vAlign w:val="center"/>
          </w:tcPr>
          <w:p w14:paraId="6E9CB583">
            <w:pPr>
              <w:pStyle w:val="133"/>
              <w:rPr>
                <w:szCs w:val="21"/>
              </w:rPr>
            </w:pPr>
          </w:p>
        </w:tc>
      </w:tr>
      <w:tr w14:paraId="79504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restart"/>
            <w:vAlign w:val="center"/>
          </w:tcPr>
          <w:p w14:paraId="628E6364">
            <w:pPr>
              <w:pStyle w:val="133"/>
              <w:rPr>
                <w:szCs w:val="21"/>
              </w:rPr>
            </w:pPr>
            <w:r>
              <w:rPr>
                <w:rFonts w:hint="eastAsia"/>
                <w:color w:val="000000"/>
                <w:szCs w:val="21"/>
              </w:rPr>
              <w:t>1</w:t>
            </w:r>
          </w:p>
        </w:tc>
        <w:tc>
          <w:tcPr>
            <w:tcW w:w="1038" w:type="pct"/>
            <w:vMerge w:val="restart"/>
            <w:vAlign w:val="center"/>
          </w:tcPr>
          <w:p w14:paraId="0B87CF32">
            <w:pPr>
              <w:pStyle w:val="133"/>
              <w:rPr>
                <w:szCs w:val="21"/>
              </w:rPr>
            </w:pPr>
            <w:r>
              <w:rPr>
                <w:rFonts w:hint="eastAsia"/>
                <w:color w:val="000000"/>
                <w:szCs w:val="21"/>
              </w:rPr>
              <w:t>炭化炉区</w:t>
            </w:r>
          </w:p>
        </w:tc>
        <w:tc>
          <w:tcPr>
            <w:tcW w:w="639" w:type="pct"/>
            <w:vAlign w:val="center"/>
          </w:tcPr>
          <w:p w14:paraId="742458CC">
            <w:pPr>
              <w:pStyle w:val="133"/>
              <w:rPr>
                <w:szCs w:val="21"/>
              </w:rPr>
            </w:pPr>
            <w:r>
              <w:rPr>
                <w:szCs w:val="21"/>
              </w:rPr>
              <w:t>颗粒物</w:t>
            </w:r>
          </w:p>
        </w:tc>
        <w:tc>
          <w:tcPr>
            <w:tcW w:w="424" w:type="pct"/>
            <w:vAlign w:val="center"/>
          </w:tcPr>
          <w:p w14:paraId="316F8DAF">
            <w:pPr>
              <w:pStyle w:val="133"/>
              <w:rPr>
                <w:szCs w:val="21"/>
              </w:rPr>
            </w:pPr>
            <w:r>
              <w:rPr>
                <w:szCs w:val="21"/>
              </w:rPr>
              <w:t>/</w:t>
            </w:r>
          </w:p>
        </w:tc>
        <w:tc>
          <w:tcPr>
            <w:tcW w:w="1084" w:type="pct"/>
            <w:vAlign w:val="center"/>
          </w:tcPr>
          <w:p w14:paraId="1F9B4AEB">
            <w:pPr>
              <w:pStyle w:val="133"/>
              <w:rPr>
                <w:szCs w:val="21"/>
              </w:rPr>
            </w:pPr>
            <w:r>
              <w:rPr>
                <w:szCs w:val="21"/>
              </w:rPr>
              <w:t>GB16171.1</w:t>
            </w:r>
            <w:r>
              <w:rPr>
                <w:rFonts w:hint="eastAsia"/>
                <w:szCs w:val="21"/>
              </w:rPr>
              <w:t>-</w:t>
            </w:r>
            <w:r>
              <w:rPr>
                <w:szCs w:val="21"/>
              </w:rPr>
              <w:t>2024</w:t>
            </w:r>
          </w:p>
        </w:tc>
        <w:tc>
          <w:tcPr>
            <w:tcW w:w="771" w:type="pct"/>
            <w:vAlign w:val="center"/>
          </w:tcPr>
          <w:p w14:paraId="2395D2C5">
            <w:pPr>
              <w:pStyle w:val="133"/>
              <w:rPr>
                <w:szCs w:val="21"/>
              </w:rPr>
            </w:pPr>
            <w:r>
              <w:rPr>
                <w:rFonts w:hint="eastAsia"/>
                <w:szCs w:val="21"/>
              </w:rPr>
              <w:t>2.5</w:t>
            </w:r>
          </w:p>
        </w:tc>
        <w:tc>
          <w:tcPr>
            <w:tcW w:w="708" w:type="pct"/>
            <w:vAlign w:val="center"/>
          </w:tcPr>
          <w:p w14:paraId="45C38849">
            <w:pPr>
              <w:pStyle w:val="133"/>
              <w:rPr>
                <w:szCs w:val="21"/>
              </w:rPr>
            </w:pPr>
            <w:r>
              <w:rPr>
                <w:rFonts w:hint="eastAsia"/>
                <w:szCs w:val="21"/>
              </w:rPr>
              <w:t>0.907</w:t>
            </w:r>
          </w:p>
        </w:tc>
      </w:tr>
      <w:tr w14:paraId="7D97D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178B83DC">
            <w:pPr>
              <w:pStyle w:val="133"/>
              <w:rPr>
                <w:color w:val="000000"/>
                <w:szCs w:val="21"/>
              </w:rPr>
            </w:pPr>
          </w:p>
        </w:tc>
        <w:tc>
          <w:tcPr>
            <w:tcW w:w="1038" w:type="pct"/>
            <w:vMerge w:val="continue"/>
            <w:vAlign w:val="center"/>
          </w:tcPr>
          <w:p w14:paraId="5E4E5115">
            <w:pPr>
              <w:pStyle w:val="133"/>
              <w:rPr>
                <w:color w:val="000000"/>
                <w:szCs w:val="21"/>
              </w:rPr>
            </w:pPr>
          </w:p>
        </w:tc>
        <w:tc>
          <w:tcPr>
            <w:tcW w:w="639" w:type="pct"/>
            <w:vAlign w:val="center"/>
          </w:tcPr>
          <w:p w14:paraId="7D897B60">
            <w:pPr>
              <w:pStyle w:val="133"/>
              <w:rPr>
                <w:szCs w:val="21"/>
              </w:rPr>
            </w:pPr>
            <w:r>
              <w:rPr>
                <w:rFonts w:eastAsia="等线"/>
                <w:szCs w:val="21"/>
              </w:rPr>
              <w:t>SO</w:t>
            </w:r>
            <w:r>
              <w:rPr>
                <w:rFonts w:eastAsia="等线"/>
                <w:szCs w:val="21"/>
                <w:vertAlign w:val="subscript"/>
              </w:rPr>
              <w:t>2</w:t>
            </w:r>
          </w:p>
        </w:tc>
        <w:tc>
          <w:tcPr>
            <w:tcW w:w="424" w:type="pct"/>
            <w:vAlign w:val="center"/>
          </w:tcPr>
          <w:p w14:paraId="1E4F0F88">
            <w:pPr>
              <w:pStyle w:val="133"/>
              <w:rPr>
                <w:szCs w:val="21"/>
              </w:rPr>
            </w:pPr>
            <w:r>
              <w:rPr>
                <w:szCs w:val="21"/>
              </w:rPr>
              <w:t>/</w:t>
            </w:r>
          </w:p>
        </w:tc>
        <w:tc>
          <w:tcPr>
            <w:tcW w:w="1084" w:type="pct"/>
            <w:vAlign w:val="center"/>
          </w:tcPr>
          <w:p w14:paraId="5A139F69">
            <w:pPr>
              <w:pStyle w:val="133"/>
              <w:rPr>
                <w:szCs w:val="21"/>
              </w:rPr>
            </w:pPr>
            <w:r>
              <w:rPr>
                <w:rFonts w:hint="eastAsia"/>
                <w:szCs w:val="21"/>
              </w:rPr>
              <w:t>GB25468-2010</w:t>
            </w:r>
          </w:p>
        </w:tc>
        <w:tc>
          <w:tcPr>
            <w:tcW w:w="771" w:type="pct"/>
            <w:vAlign w:val="center"/>
          </w:tcPr>
          <w:p w14:paraId="3DD7522A">
            <w:pPr>
              <w:pStyle w:val="133"/>
              <w:rPr>
                <w:szCs w:val="21"/>
              </w:rPr>
            </w:pPr>
            <w:r>
              <w:rPr>
                <w:rFonts w:hint="eastAsia"/>
                <w:szCs w:val="21"/>
              </w:rPr>
              <w:t>0.5</w:t>
            </w:r>
          </w:p>
        </w:tc>
        <w:tc>
          <w:tcPr>
            <w:tcW w:w="708" w:type="pct"/>
            <w:vAlign w:val="center"/>
          </w:tcPr>
          <w:p w14:paraId="0877F8FE">
            <w:pPr>
              <w:pStyle w:val="133"/>
              <w:rPr>
                <w:szCs w:val="21"/>
              </w:rPr>
            </w:pPr>
            <w:r>
              <w:rPr>
                <w:rFonts w:hint="eastAsia"/>
                <w:szCs w:val="21"/>
              </w:rPr>
              <w:t>6.658</w:t>
            </w:r>
          </w:p>
        </w:tc>
      </w:tr>
      <w:tr w14:paraId="2C2E6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447A5612">
            <w:pPr>
              <w:pStyle w:val="133"/>
              <w:rPr>
                <w:color w:val="000000"/>
                <w:szCs w:val="21"/>
              </w:rPr>
            </w:pPr>
          </w:p>
        </w:tc>
        <w:tc>
          <w:tcPr>
            <w:tcW w:w="1038" w:type="pct"/>
            <w:vMerge w:val="continue"/>
            <w:vAlign w:val="center"/>
          </w:tcPr>
          <w:p w14:paraId="2444C9EE">
            <w:pPr>
              <w:pStyle w:val="133"/>
              <w:rPr>
                <w:color w:val="000000"/>
                <w:szCs w:val="21"/>
              </w:rPr>
            </w:pPr>
          </w:p>
        </w:tc>
        <w:tc>
          <w:tcPr>
            <w:tcW w:w="639" w:type="pct"/>
            <w:vAlign w:val="center"/>
          </w:tcPr>
          <w:p w14:paraId="7E037DAF">
            <w:pPr>
              <w:pStyle w:val="133"/>
              <w:rPr>
                <w:szCs w:val="21"/>
              </w:rPr>
            </w:pPr>
            <w:r>
              <w:rPr>
                <w:rFonts w:hint="eastAsia"/>
                <w:szCs w:val="21"/>
              </w:rPr>
              <w:t>BaP</w:t>
            </w:r>
          </w:p>
        </w:tc>
        <w:tc>
          <w:tcPr>
            <w:tcW w:w="424" w:type="pct"/>
            <w:vAlign w:val="center"/>
          </w:tcPr>
          <w:p w14:paraId="66F994B0">
            <w:pPr>
              <w:pStyle w:val="133"/>
              <w:rPr>
                <w:szCs w:val="21"/>
              </w:rPr>
            </w:pPr>
            <w:r>
              <w:rPr>
                <w:szCs w:val="21"/>
              </w:rPr>
              <w:t>/</w:t>
            </w:r>
          </w:p>
        </w:tc>
        <w:tc>
          <w:tcPr>
            <w:tcW w:w="1084" w:type="pct"/>
            <w:vMerge w:val="restart"/>
            <w:vAlign w:val="center"/>
          </w:tcPr>
          <w:p w14:paraId="0FCA165B">
            <w:pPr>
              <w:pStyle w:val="133"/>
              <w:rPr>
                <w:szCs w:val="21"/>
              </w:rPr>
            </w:pPr>
            <w:r>
              <w:rPr>
                <w:szCs w:val="21"/>
              </w:rPr>
              <w:t>GB16171.1</w:t>
            </w:r>
            <w:r>
              <w:rPr>
                <w:rFonts w:hint="eastAsia"/>
                <w:szCs w:val="21"/>
              </w:rPr>
              <w:t>-</w:t>
            </w:r>
            <w:r>
              <w:rPr>
                <w:szCs w:val="21"/>
              </w:rPr>
              <w:t>2024</w:t>
            </w:r>
          </w:p>
        </w:tc>
        <w:tc>
          <w:tcPr>
            <w:tcW w:w="771" w:type="pct"/>
            <w:vAlign w:val="center"/>
          </w:tcPr>
          <w:p w14:paraId="56C8628B">
            <w:pPr>
              <w:pStyle w:val="133"/>
              <w:rPr>
                <w:rFonts w:cs="Times New Roman"/>
                <w:szCs w:val="21"/>
              </w:rPr>
            </w:pPr>
            <w:r>
              <w:rPr>
                <w:rFonts w:cs="Times New Roman"/>
                <w:szCs w:val="21"/>
              </w:rPr>
              <w:t>2.5μg/m</w:t>
            </w:r>
            <w:r>
              <w:rPr>
                <w:rFonts w:cs="Times New Roman"/>
                <w:szCs w:val="21"/>
                <w:vertAlign w:val="superscript"/>
              </w:rPr>
              <w:t>3</w:t>
            </w:r>
          </w:p>
        </w:tc>
        <w:tc>
          <w:tcPr>
            <w:tcW w:w="708" w:type="pct"/>
            <w:vAlign w:val="center"/>
          </w:tcPr>
          <w:p w14:paraId="60796541">
            <w:pPr>
              <w:pStyle w:val="133"/>
              <w:rPr>
                <w:szCs w:val="21"/>
              </w:rPr>
            </w:pPr>
            <w:r>
              <w:rPr>
                <w:rFonts w:hint="eastAsia"/>
                <w:szCs w:val="21"/>
              </w:rPr>
              <w:t>0.000001</w:t>
            </w:r>
          </w:p>
        </w:tc>
      </w:tr>
      <w:tr w14:paraId="5FE60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0BCB8032">
            <w:pPr>
              <w:pStyle w:val="133"/>
              <w:rPr>
                <w:color w:val="000000"/>
                <w:szCs w:val="21"/>
              </w:rPr>
            </w:pPr>
          </w:p>
        </w:tc>
        <w:tc>
          <w:tcPr>
            <w:tcW w:w="1038" w:type="pct"/>
            <w:vMerge w:val="continue"/>
            <w:vAlign w:val="center"/>
          </w:tcPr>
          <w:p w14:paraId="1901C38D">
            <w:pPr>
              <w:pStyle w:val="133"/>
              <w:rPr>
                <w:color w:val="000000"/>
                <w:szCs w:val="21"/>
              </w:rPr>
            </w:pPr>
          </w:p>
        </w:tc>
        <w:tc>
          <w:tcPr>
            <w:tcW w:w="639" w:type="pct"/>
            <w:vAlign w:val="center"/>
          </w:tcPr>
          <w:p w14:paraId="73B7B357">
            <w:pPr>
              <w:pStyle w:val="133"/>
              <w:rPr>
                <w:szCs w:val="21"/>
              </w:rPr>
            </w:pPr>
            <w:r>
              <w:rPr>
                <w:rFonts w:hint="eastAsia"/>
                <w:szCs w:val="21"/>
              </w:rPr>
              <w:t>酚类</w:t>
            </w:r>
          </w:p>
        </w:tc>
        <w:tc>
          <w:tcPr>
            <w:tcW w:w="424" w:type="pct"/>
            <w:vAlign w:val="center"/>
          </w:tcPr>
          <w:p w14:paraId="6967F681">
            <w:pPr>
              <w:pStyle w:val="133"/>
              <w:rPr>
                <w:szCs w:val="21"/>
              </w:rPr>
            </w:pPr>
            <w:r>
              <w:rPr>
                <w:szCs w:val="21"/>
              </w:rPr>
              <w:t>/</w:t>
            </w:r>
          </w:p>
        </w:tc>
        <w:tc>
          <w:tcPr>
            <w:tcW w:w="1084" w:type="pct"/>
            <w:vMerge w:val="continue"/>
            <w:vAlign w:val="center"/>
          </w:tcPr>
          <w:p w14:paraId="5468B443">
            <w:pPr>
              <w:pStyle w:val="133"/>
              <w:rPr>
                <w:szCs w:val="21"/>
              </w:rPr>
            </w:pPr>
          </w:p>
        </w:tc>
        <w:tc>
          <w:tcPr>
            <w:tcW w:w="771" w:type="pct"/>
            <w:vAlign w:val="center"/>
          </w:tcPr>
          <w:p w14:paraId="4FD862C7">
            <w:pPr>
              <w:pStyle w:val="133"/>
              <w:rPr>
                <w:szCs w:val="21"/>
              </w:rPr>
            </w:pPr>
            <w:r>
              <w:rPr>
                <w:rFonts w:hint="eastAsia"/>
                <w:szCs w:val="21"/>
              </w:rPr>
              <w:t>0.02</w:t>
            </w:r>
          </w:p>
        </w:tc>
        <w:tc>
          <w:tcPr>
            <w:tcW w:w="708" w:type="pct"/>
            <w:vAlign w:val="center"/>
          </w:tcPr>
          <w:p w14:paraId="3B525079">
            <w:pPr>
              <w:pStyle w:val="133"/>
              <w:rPr>
                <w:szCs w:val="21"/>
              </w:rPr>
            </w:pPr>
            <w:r>
              <w:rPr>
                <w:rFonts w:hint="eastAsia"/>
                <w:szCs w:val="21"/>
              </w:rPr>
              <w:t>0.0029</w:t>
            </w:r>
          </w:p>
        </w:tc>
      </w:tr>
      <w:tr w14:paraId="0901D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1687CC7C">
            <w:pPr>
              <w:pStyle w:val="133"/>
              <w:rPr>
                <w:color w:val="000000"/>
                <w:szCs w:val="21"/>
              </w:rPr>
            </w:pPr>
          </w:p>
        </w:tc>
        <w:tc>
          <w:tcPr>
            <w:tcW w:w="1038" w:type="pct"/>
            <w:vMerge w:val="continue"/>
            <w:vAlign w:val="center"/>
          </w:tcPr>
          <w:p w14:paraId="72BC663E">
            <w:pPr>
              <w:pStyle w:val="133"/>
              <w:rPr>
                <w:color w:val="000000"/>
                <w:szCs w:val="21"/>
              </w:rPr>
            </w:pPr>
          </w:p>
        </w:tc>
        <w:tc>
          <w:tcPr>
            <w:tcW w:w="639" w:type="pct"/>
            <w:vAlign w:val="center"/>
          </w:tcPr>
          <w:p w14:paraId="40AB5761">
            <w:pPr>
              <w:pStyle w:val="133"/>
              <w:rPr>
                <w:szCs w:val="21"/>
              </w:rPr>
            </w:pPr>
            <w:r>
              <w:rPr>
                <w:rFonts w:hint="eastAsia"/>
                <w:szCs w:val="21"/>
              </w:rPr>
              <w:t>NH</w:t>
            </w:r>
            <w:r>
              <w:rPr>
                <w:rFonts w:hint="eastAsia"/>
                <w:szCs w:val="21"/>
                <w:vertAlign w:val="subscript"/>
              </w:rPr>
              <w:t>3</w:t>
            </w:r>
          </w:p>
        </w:tc>
        <w:tc>
          <w:tcPr>
            <w:tcW w:w="424" w:type="pct"/>
            <w:vAlign w:val="center"/>
          </w:tcPr>
          <w:p w14:paraId="0843EBA6">
            <w:pPr>
              <w:pStyle w:val="133"/>
              <w:rPr>
                <w:szCs w:val="21"/>
              </w:rPr>
            </w:pPr>
            <w:r>
              <w:rPr>
                <w:szCs w:val="21"/>
              </w:rPr>
              <w:t>/</w:t>
            </w:r>
          </w:p>
        </w:tc>
        <w:tc>
          <w:tcPr>
            <w:tcW w:w="1084" w:type="pct"/>
            <w:vMerge w:val="continue"/>
            <w:vAlign w:val="center"/>
          </w:tcPr>
          <w:p w14:paraId="30B3F6C1">
            <w:pPr>
              <w:pStyle w:val="133"/>
              <w:rPr>
                <w:szCs w:val="21"/>
              </w:rPr>
            </w:pPr>
          </w:p>
        </w:tc>
        <w:tc>
          <w:tcPr>
            <w:tcW w:w="771" w:type="pct"/>
            <w:vAlign w:val="center"/>
          </w:tcPr>
          <w:p w14:paraId="030E0D7A">
            <w:pPr>
              <w:pStyle w:val="133"/>
              <w:rPr>
                <w:szCs w:val="21"/>
              </w:rPr>
            </w:pPr>
            <w:r>
              <w:rPr>
                <w:rFonts w:hint="eastAsia"/>
                <w:szCs w:val="21"/>
              </w:rPr>
              <w:t>2.0</w:t>
            </w:r>
          </w:p>
        </w:tc>
        <w:tc>
          <w:tcPr>
            <w:tcW w:w="708" w:type="pct"/>
            <w:vAlign w:val="center"/>
          </w:tcPr>
          <w:p w14:paraId="4D27C01C">
            <w:pPr>
              <w:pStyle w:val="133"/>
              <w:rPr>
                <w:szCs w:val="21"/>
              </w:rPr>
            </w:pPr>
            <w:r>
              <w:rPr>
                <w:rFonts w:hint="eastAsia"/>
                <w:szCs w:val="21"/>
              </w:rPr>
              <w:t>0.076</w:t>
            </w:r>
          </w:p>
        </w:tc>
      </w:tr>
      <w:tr w14:paraId="6210C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2638A98A">
            <w:pPr>
              <w:pStyle w:val="133"/>
              <w:rPr>
                <w:color w:val="000000"/>
                <w:szCs w:val="21"/>
              </w:rPr>
            </w:pPr>
          </w:p>
        </w:tc>
        <w:tc>
          <w:tcPr>
            <w:tcW w:w="1038" w:type="pct"/>
            <w:vMerge w:val="continue"/>
            <w:vAlign w:val="center"/>
          </w:tcPr>
          <w:p w14:paraId="66CCEA7F">
            <w:pPr>
              <w:pStyle w:val="133"/>
              <w:rPr>
                <w:color w:val="000000"/>
                <w:szCs w:val="21"/>
              </w:rPr>
            </w:pPr>
          </w:p>
        </w:tc>
        <w:tc>
          <w:tcPr>
            <w:tcW w:w="639" w:type="pct"/>
            <w:vAlign w:val="center"/>
          </w:tcPr>
          <w:p w14:paraId="5E4D0265">
            <w:pPr>
              <w:pStyle w:val="133"/>
              <w:rPr>
                <w:szCs w:val="21"/>
              </w:rPr>
            </w:pPr>
            <w:r>
              <w:rPr>
                <w:rFonts w:hint="eastAsia"/>
                <w:szCs w:val="21"/>
              </w:rPr>
              <w:t>H</w:t>
            </w:r>
            <w:r>
              <w:rPr>
                <w:rFonts w:hint="eastAsia"/>
                <w:szCs w:val="21"/>
                <w:vertAlign w:val="subscript"/>
              </w:rPr>
              <w:t>2</w:t>
            </w:r>
            <w:r>
              <w:rPr>
                <w:rFonts w:hint="eastAsia"/>
                <w:szCs w:val="21"/>
              </w:rPr>
              <w:t>S</w:t>
            </w:r>
          </w:p>
        </w:tc>
        <w:tc>
          <w:tcPr>
            <w:tcW w:w="424" w:type="pct"/>
            <w:vAlign w:val="center"/>
          </w:tcPr>
          <w:p w14:paraId="4B61CAFC">
            <w:pPr>
              <w:pStyle w:val="133"/>
              <w:rPr>
                <w:szCs w:val="21"/>
              </w:rPr>
            </w:pPr>
            <w:r>
              <w:rPr>
                <w:szCs w:val="21"/>
              </w:rPr>
              <w:t>/</w:t>
            </w:r>
          </w:p>
        </w:tc>
        <w:tc>
          <w:tcPr>
            <w:tcW w:w="1084" w:type="pct"/>
            <w:vMerge w:val="continue"/>
            <w:vAlign w:val="center"/>
          </w:tcPr>
          <w:p w14:paraId="01B50DC7">
            <w:pPr>
              <w:pStyle w:val="133"/>
              <w:rPr>
                <w:szCs w:val="21"/>
              </w:rPr>
            </w:pPr>
          </w:p>
        </w:tc>
        <w:tc>
          <w:tcPr>
            <w:tcW w:w="771" w:type="pct"/>
            <w:vAlign w:val="center"/>
          </w:tcPr>
          <w:p w14:paraId="19DE31CF">
            <w:pPr>
              <w:pStyle w:val="133"/>
              <w:rPr>
                <w:szCs w:val="21"/>
              </w:rPr>
            </w:pPr>
            <w:r>
              <w:rPr>
                <w:rFonts w:hint="eastAsia"/>
                <w:szCs w:val="21"/>
              </w:rPr>
              <w:t>0.1</w:t>
            </w:r>
          </w:p>
        </w:tc>
        <w:tc>
          <w:tcPr>
            <w:tcW w:w="708" w:type="pct"/>
            <w:vAlign w:val="center"/>
          </w:tcPr>
          <w:p w14:paraId="7C29939C">
            <w:pPr>
              <w:pStyle w:val="133"/>
              <w:rPr>
                <w:szCs w:val="21"/>
              </w:rPr>
            </w:pPr>
            <w:r>
              <w:rPr>
                <w:rFonts w:hint="eastAsia"/>
                <w:szCs w:val="21"/>
              </w:rPr>
              <w:t>0.02</w:t>
            </w:r>
          </w:p>
        </w:tc>
      </w:tr>
      <w:tr w14:paraId="0B1C2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restart"/>
            <w:vAlign w:val="center"/>
          </w:tcPr>
          <w:p w14:paraId="39CDA2BE">
            <w:pPr>
              <w:pStyle w:val="133"/>
              <w:rPr>
                <w:szCs w:val="21"/>
              </w:rPr>
            </w:pPr>
            <w:r>
              <w:rPr>
                <w:rFonts w:hint="eastAsia"/>
                <w:color w:val="000000"/>
                <w:szCs w:val="21"/>
              </w:rPr>
              <w:t>2</w:t>
            </w:r>
          </w:p>
        </w:tc>
        <w:tc>
          <w:tcPr>
            <w:tcW w:w="1038" w:type="pct"/>
            <w:vMerge w:val="restart"/>
            <w:vAlign w:val="center"/>
          </w:tcPr>
          <w:p w14:paraId="20E92200">
            <w:pPr>
              <w:pStyle w:val="133"/>
              <w:rPr>
                <w:szCs w:val="21"/>
              </w:rPr>
            </w:pPr>
            <w:r>
              <w:rPr>
                <w:rFonts w:hint="eastAsia"/>
                <w:color w:val="000000"/>
                <w:szCs w:val="21"/>
              </w:rPr>
              <w:t>煤气净化区</w:t>
            </w:r>
          </w:p>
        </w:tc>
        <w:tc>
          <w:tcPr>
            <w:tcW w:w="639" w:type="pct"/>
            <w:vAlign w:val="center"/>
          </w:tcPr>
          <w:p w14:paraId="2ACA1EB6">
            <w:pPr>
              <w:pStyle w:val="133"/>
              <w:rPr>
                <w:szCs w:val="21"/>
              </w:rPr>
            </w:pPr>
            <w:r>
              <w:rPr>
                <w:rFonts w:hint="eastAsia"/>
                <w:szCs w:val="21"/>
              </w:rPr>
              <w:t>BaP</w:t>
            </w:r>
          </w:p>
        </w:tc>
        <w:tc>
          <w:tcPr>
            <w:tcW w:w="424" w:type="pct"/>
            <w:vAlign w:val="center"/>
          </w:tcPr>
          <w:p w14:paraId="2708F540">
            <w:pPr>
              <w:pStyle w:val="133"/>
              <w:rPr>
                <w:szCs w:val="21"/>
              </w:rPr>
            </w:pPr>
            <w:r>
              <w:rPr>
                <w:szCs w:val="21"/>
              </w:rPr>
              <w:t>/</w:t>
            </w:r>
          </w:p>
        </w:tc>
        <w:tc>
          <w:tcPr>
            <w:tcW w:w="1084" w:type="pct"/>
            <w:vMerge w:val="restart"/>
            <w:vAlign w:val="center"/>
          </w:tcPr>
          <w:p w14:paraId="1DB55685">
            <w:pPr>
              <w:pStyle w:val="133"/>
              <w:rPr>
                <w:szCs w:val="21"/>
              </w:rPr>
            </w:pPr>
            <w:r>
              <w:rPr>
                <w:szCs w:val="21"/>
              </w:rPr>
              <w:t>GB16171.1</w:t>
            </w:r>
            <w:r>
              <w:rPr>
                <w:rFonts w:hint="eastAsia"/>
                <w:szCs w:val="21"/>
              </w:rPr>
              <w:t>-</w:t>
            </w:r>
            <w:r>
              <w:rPr>
                <w:szCs w:val="21"/>
              </w:rPr>
              <w:t>2024</w:t>
            </w:r>
          </w:p>
        </w:tc>
        <w:tc>
          <w:tcPr>
            <w:tcW w:w="771" w:type="pct"/>
            <w:vAlign w:val="center"/>
          </w:tcPr>
          <w:p w14:paraId="50C4DD9E">
            <w:pPr>
              <w:pStyle w:val="133"/>
              <w:rPr>
                <w:szCs w:val="21"/>
              </w:rPr>
            </w:pPr>
            <w:r>
              <w:rPr>
                <w:rFonts w:hint="eastAsia"/>
                <w:szCs w:val="21"/>
              </w:rPr>
              <w:t>0.01</w:t>
            </w:r>
            <w:r>
              <w:rPr>
                <w:rFonts w:cs="Times New Roman"/>
                <w:szCs w:val="21"/>
              </w:rPr>
              <w:t>μg/m</w:t>
            </w:r>
            <w:r>
              <w:rPr>
                <w:rFonts w:cs="Times New Roman"/>
                <w:szCs w:val="21"/>
                <w:vertAlign w:val="superscript"/>
              </w:rPr>
              <w:t>3</w:t>
            </w:r>
          </w:p>
        </w:tc>
        <w:tc>
          <w:tcPr>
            <w:tcW w:w="708" w:type="pct"/>
            <w:vAlign w:val="center"/>
          </w:tcPr>
          <w:p w14:paraId="2B76E42C">
            <w:pPr>
              <w:pStyle w:val="133"/>
              <w:rPr>
                <w:szCs w:val="21"/>
              </w:rPr>
            </w:pPr>
            <w:r>
              <w:rPr>
                <w:rFonts w:hint="eastAsia"/>
                <w:szCs w:val="21"/>
              </w:rPr>
              <w:t>0.00012</w:t>
            </w:r>
          </w:p>
        </w:tc>
      </w:tr>
      <w:tr w14:paraId="71288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51881CAF">
            <w:pPr>
              <w:pStyle w:val="133"/>
              <w:rPr>
                <w:color w:val="000000"/>
                <w:szCs w:val="21"/>
              </w:rPr>
            </w:pPr>
          </w:p>
        </w:tc>
        <w:tc>
          <w:tcPr>
            <w:tcW w:w="1038" w:type="pct"/>
            <w:vMerge w:val="continue"/>
            <w:vAlign w:val="center"/>
          </w:tcPr>
          <w:p w14:paraId="6DC14ABA">
            <w:pPr>
              <w:pStyle w:val="133"/>
              <w:rPr>
                <w:color w:val="000000"/>
                <w:szCs w:val="21"/>
              </w:rPr>
            </w:pPr>
          </w:p>
        </w:tc>
        <w:tc>
          <w:tcPr>
            <w:tcW w:w="639" w:type="pct"/>
            <w:vAlign w:val="center"/>
          </w:tcPr>
          <w:p w14:paraId="2B5CA3A7">
            <w:pPr>
              <w:pStyle w:val="133"/>
              <w:rPr>
                <w:szCs w:val="21"/>
              </w:rPr>
            </w:pPr>
            <w:r>
              <w:rPr>
                <w:rFonts w:hint="eastAsia"/>
                <w:szCs w:val="21"/>
              </w:rPr>
              <w:t>氰化氢</w:t>
            </w:r>
          </w:p>
        </w:tc>
        <w:tc>
          <w:tcPr>
            <w:tcW w:w="424" w:type="pct"/>
            <w:vAlign w:val="center"/>
          </w:tcPr>
          <w:p w14:paraId="1BFF0EAB">
            <w:pPr>
              <w:pStyle w:val="133"/>
              <w:rPr>
                <w:szCs w:val="21"/>
              </w:rPr>
            </w:pPr>
            <w:r>
              <w:rPr>
                <w:szCs w:val="21"/>
              </w:rPr>
              <w:t>/</w:t>
            </w:r>
          </w:p>
        </w:tc>
        <w:tc>
          <w:tcPr>
            <w:tcW w:w="1084" w:type="pct"/>
            <w:vMerge w:val="continue"/>
            <w:vAlign w:val="center"/>
          </w:tcPr>
          <w:p w14:paraId="22E27729">
            <w:pPr>
              <w:pStyle w:val="133"/>
              <w:rPr>
                <w:szCs w:val="21"/>
              </w:rPr>
            </w:pPr>
          </w:p>
        </w:tc>
        <w:tc>
          <w:tcPr>
            <w:tcW w:w="771" w:type="pct"/>
            <w:vAlign w:val="center"/>
          </w:tcPr>
          <w:p w14:paraId="65022CD8">
            <w:pPr>
              <w:pStyle w:val="133"/>
              <w:rPr>
                <w:szCs w:val="21"/>
              </w:rPr>
            </w:pPr>
            <w:r>
              <w:rPr>
                <w:rFonts w:hint="eastAsia"/>
                <w:szCs w:val="21"/>
              </w:rPr>
              <w:t>0.02</w:t>
            </w:r>
          </w:p>
        </w:tc>
        <w:tc>
          <w:tcPr>
            <w:tcW w:w="708" w:type="pct"/>
            <w:vAlign w:val="center"/>
          </w:tcPr>
          <w:p w14:paraId="1F7F4937">
            <w:pPr>
              <w:pStyle w:val="133"/>
              <w:rPr>
                <w:szCs w:val="21"/>
              </w:rPr>
            </w:pPr>
            <w:r>
              <w:rPr>
                <w:rFonts w:hint="eastAsia"/>
                <w:szCs w:val="21"/>
              </w:rPr>
              <w:t>0.00094</w:t>
            </w:r>
          </w:p>
        </w:tc>
      </w:tr>
      <w:tr w14:paraId="3C7A9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3B015966">
            <w:pPr>
              <w:pStyle w:val="133"/>
              <w:rPr>
                <w:color w:val="000000"/>
                <w:szCs w:val="21"/>
              </w:rPr>
            </w:pPr>
          </w:p>
        </w:tc>
        <w:tc>
          <w:tcPr>
            <w:tcW w:w="1038" w:type="pct"/>
            <w:vMerge w:val="continue"/>
            <w:vAlign w:val="center"/>
          </w:tcPr>
          <w:p w14:paraId="3DCF61B7">
            <w:pPr>
              <w:pStyle w:val="133"/>
              <w:rPr>
                <w:color w:val="000000"/>
                <w:szCs w:val="21"/>
              </w:rPr>
            </w:pPr>
          </w:p>
        </w:tc>
        <w:tc>
          <w:tcPr>
            <w:tcW w:w="639" w:type="pct"/>
            <w:vAlign w:val="center"/>
          </w:tcPr>
          <w:p w14:paraId="57E48424">
            <w:pPr>
              <w:pStyle w:val="133"/>
              <w:rPr>
                <w:szCs w:val="21"/>
              </w:rPr>
            </w:pPr>
            <w:r>
              <w:rPr>
                <w:rFonts w:hint="eastAsia"/>
                <w:szCs w:val="21"/>
              </w:rPr>
              <w:t>酚类</w:t>
            </w:r>
          </w:p>
        </w:tc>
        <w:tc>
          <w:tcPr>
            <w:tcW w:w="424" w:type="pct"/>
            <w:vAlign w:val="center"/>
          </w:tcPr>
          <w:p w14:paraId="74AE5109">
            <w:pPr>
              <w:pStyle w:val="133"/>
              <w:rPr>
                <w:szCs w:val="21"/>
              </w:rPr>
            </w:pPr>
            <w:r>
              <w:rPr>
                <w:szCs w:val="21"/>
              </w:rPr>
              <w:t>/</w:t>
            </w:r>
          </w:p>
        </w:tc>
        <w:tc>
          <w:tcPr>
            <w:tcW w:w="1084" w:type="pct"/>
            <w:vMerge w:val="continue"/>
            <w:vAlign w:val="center"/>
          </w:tcPr>
          <w:p w14:paraId="5E67BF0D">
            <w:pPr>
              <w:pStyle w:val="133"/>
              <w:rPr>
                <w:szCs w:val="21"/>
              </w:rPr>
            </w:pPr>
          </w:p>
        </w:tc>
        <w:tc>
          <w:tcPr>
            <w:tcW w:w="771" w:type="pct"/>
            <w:vAlign w:val="center"/>
          </w:tcPr>
          <w:p w14:paraId="4D194E6F">
            <w:pPr>
              <w:pStyle w:val="133"/>
              <w:rPr>
                <w:szCs w:val="21"/>
              </w:rPr>
            </w:pPr>
            <w:r>
              <w:rPr>
                <w:rFonts w:hint="eastAsia"/>
                <w:szCs w:val="21"/>
              </w:rPr>
              <w:t>0.02</w:t>
            </w:r>
          </w:p>
        </w:tc>
        <w:tc>
          <w:tcPr>
            <w:tcW w:w="708" w:type="pct"/>
            <w:vAlign w:val="center"/>
          </w:tcPr>
          <w:p w14:paraId="5EE2C3B3">
            <w:pPr>
              <w:pStyle w:val="133"/>
              <w:rPr>
                <w:szCs w:val="21"/>
              </w:rPr>
            </w:pPr>
            <w:r>
              <w:rPr>
                <w:rFonts w:hint="eastAsia"/>
                <w:szCs w:val="21"/>
              </w:rPr>
              <w:t>0.0047</w:t>
            </w:r>
          </w:p>
        </w:tc>
      </w:tr>
      <w:tr w14:paraId="2840B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4754BCF4">
            <w:pPr>
              <w:pStyle w:val="133"/>
              <w:rPr>
                <w:color w:val="000000"/>
                <w:szCs w:val="21"/>
              </w:rPr>
            </w:pPr>
          </w:p>
        </w:tc>
        <w:tc>
          <w:tcPr>
            <w:tcW w:w="1038" w:type="pct"/>
            <w:vMerge w:val="continue"/>
            <w:vAlign w:val="center"/>
          </w:tcPr>
          <w:p w14:paraId="18E1AF4A">
            <w:pPr>
              <w:pStyle w:val="133"/>
              <w:rPr>
                <w:color w:val="000000"/>
                <w:szCs w:val="21"/>
              </w:rPr>
            </w:pPr>
          </w:p>
        </w:tc>
        <w:tc>
          <w:tcPr>
            <w:tcW w:w="639" w:type="pct"/>
            <w:vAlign w:val="center"/>
          </w:tcPr>
          <w:p w14:paraId="250E6AC6">
            <w:pPr>
              <w:pStyle w:val="133"/>
              <w:rPr>
                <w:szCs w:val="21"/>
              </w:rPr>
            </w:pPr>
            <w:r>
              <w:rPr>
                <w:rFonts w:hint="eastAsia"/>
                <w:szCs w:val="21"/>
              </w:rPr>
              <w:t>NH</w:t>
            </w:r>
            <w:r>
              <w:rPr>
                <w:rFonts w:hint="eastAsia"/>
                <w:szCs w:val="21"/>
                <w:vertAlign w:val="subscript"/>
              </w:rPr>
              <w:t>3</w:t>
            </w:r>
          </w:p>
        </w:tc>
        <w:tc>
          <w:tcPr>
            <w:tcW w:w="424" w:type="pct"/>
            <w:vAlign w:val="center"/>
          </w:tcPr>
          <w:p w14:paraId="3522ECF2">
            <w:pPr>
              <w:pStyle w:val="133"/>
              <w:rPr>
                <w:szCs w:val="21"/>
              </w:rPr>
            </w:pPr>
            <w:r>
              <w:rPr>
                <w:szCs w:val="21"/>
              </w:rPr>
              <w:t>/</w:t>
            </w:r>
          </w:p>
        </w:tc>
        <w:tc>
          <w:tcPr>
            <w:tcW w:w="1084" w:type="pct"/>
            <w:vMerge w:val="continue"/>
            <w:vAlign w:val="center"/>
          </w:tcPr>
          <w:p w14:paraId="17E8D08A">
            <w:pPr>
              <w:pStyle w:val="133"/>
              <w:rPr>
                <w:szCs w:val="21"/>
              </w:rPr>
            </w:pPr>
          </w:p>
        </w:tc>
        <w:tc>
          <w:tcPr>
            <w:tcW w:w="771" w:type="pct"/>
            <w:vAlign w:val="center"/>
          </w:tcPr>
          <w:p w14:paraId="599502B1">
            <w:pPr>
              <w:pStyle w:val="133"/>
              <w:rPr>
                <w:szCs w:val="21"/>
              </w:rPr>
            </w:pPr>
            <w:r>
              <w:rPr>
                <w:rFonts w:hint="eastAsia"/>
                <w:szCs w:val="21"/>
              </w:rPr>
              <w:t>0.2</w:t>
            </w:r>
          </w:p>
        </w:tc>
        <w:tc>
          <w:tcPr>
            <w:tcW w:w="708" w:type="pct"/>
            <w:vAlign w:val="center"/>
          </w:tcPr>
          <w:p w14:paraId="449521DC">
            <w:pPr>
              <w:pStyle w:val="133"/>
              <w:rPr>
                <w:szCs w:val="21"/>
              </w:rPr>
            </w:pPr>
            <w:r>
              <w:rPr>
                <w:rFonts w:hint="eastAsia"/>
                <w:szCs w:val="21"/>
              </w:rPr>
              <w:t>0.023</w:t>
            </w:r>
          </w:p>
        </w:tc>
      </w:tr>
      <w:tr w14:paraId="61B90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566341E0">
            <w:pPr>
              <w:pStyle w:val="133"/>
              <w:rPr>
                <w:color w:val="000000"/>
                <w:szCs w:val="21"/>
              </w:rPr>
            </w:pPr>
          </w:p>
        </w:tc>
        <w:tc>
          <w:tcPr>
            <w:tcW w:w="1038" w:type="pct"/>
            <w:vMerge w:val="continue"/>
            <w:vAlign w:val="center"/>
          </w:tcPr>
          <w:p w14:paraId="38E32330">
            <w:pPr>
              <w:pStyle w:val="133"/>
              <w:rPr>
                <w:color w:val="000000"/>
                <w:szCs w:val="21"/>
              </w:rPr>
            </w:pPr>
          </w:p>
        </w:tc>
        <w:tc>
          <w:tcPr>
            <w:tcW w:w="639" w:type="pct"/>
            <w:vAlign w:val="center"/>
          </w:tcPr>
          <w:p w14:paraId="7CC9C917">
            <w:pPr>
              <w:pStyle w:val="133"/>
              <w:rPr>
                <w:szCs w:val="21"/>
              </w:rPr>
            </w:pPr>
            <w:r>
              <w:rPr>
                <w:rFonts w:hint="eastAsia"/>
                <w:szCs w:val="21"/>
              </w:rPr>
              <w:t>H</w:t>
            </w:r>
            <w:r>
              <w:rPr>
                <w:rFonts w:hint="eastAsia"/>
                <w:szCs w:val="21"/>
                <w:vertAlign w:val="subscript"/>
              </w:rPr>
              <w:t>2</w:t>
            </w:r>
            <w:r>
              <w:rPr>
                <w:rFonts w:hint="eastAsia"/>
                <w:szCs w:val="21"/>
              </w:rPr>
              <w:t>S</w:t>
            </w:r>
          </w:p>
        </w:tc>
        <w:tc>
          <w:tcPr>
            <w:tcW w:w="424" w:type="pct"/>
            <w:vAlign w:val="center"/>
          </w:tcPr>
          <w:p w14:paraId="643483B2">
            <w:pPr>
              <w:pStyle w:val="133"/>
              <w:rPr>
                <w:szCs w:val="21"/>
              </w:rPr>
            </w:pPr>
            <w:r>
              <w:rPr>
                <w:szCs w:val="21"/>
              </w:rPr>
              <w:t>/</w:t>
            </w:r>
          </w:p>
        </w:tc>
        <w:tc>
          <w:tcPr>
            <w:tcW w:w="1084" w:type="pct"/>
            <w:vMerge w:val="continue"/>
            <w:vAlign w:val="center"/>
          </w:tcPr>
          <w:p w14:paraId="4DAD25BF">
            <w:pPr>
              <w:pStyle w:val="133"/>
              <w:rPr>
                <w:szCs w:val="21"/>
              </w:rPr>
            </w:pPr>
          </w:p>
        </w:tc>
        <w:tc>
          <w:tcPr>
            <w:tcW w:w="771" w:type="pct"/>
            <w:vAlign w:val="center"/>
          </w:tcPr>
          <w:p w14:paraId="068DE150">
            <w:pPr>
              <w:pStyle w:val="133"/>
              <w:rPr>
                <w:szCs w:val="21"/>
              </w:rPr>
            </w:pPr>
            <w:r>
              <w:rPr>
                <w:rFonts w:hint="eastAsia"/>
                <w:szCs w:val="21"/>
              </w:rPr>
              <w:t>0.01</w:t>
            </w:r>
          </w:p>
        </w:tc>
        <w:tc>
          <w:tcPr>
            <w:tcW w:w="708" w:type="pct"/>
            <w:vAlign w:val="center"/>
          </w:tcPr>
          <w:p w14:paraId="0C097423">
            <w:pPr>
              <w:pStyle w:val="133"/>
              <w:rPr>
                <w:szCs w:val="21"/>
              </w:rPr>
            </w:pPr>
            <w:r>
              <w:rPr>
                <w:rFonts w:hint="eastAsia"/>
                <w:szCs w:val="21"/>
              </w:rPr>
              <w:t>0.0014</w:t>
            </w:r>
          </w:p>
        </w:tc>
      </w:tr>
      <w:tr w14:paraId="1857A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1344D69B">
            <w:pPr>
              <w:pStyle w:val="133"/>
              <w:rPr>
                <w:color w:val="000000"/>
                <w:szCs w:val="21"/>
              </w:rPr>
            </w:pPr>
          </w:p>
        </w:tc>
        <w:tc>
          <w:tcPr>
            <w:tcW w:w="1038" w:type="pct"/>
            <w:vMerge w:val="continue"/>
            <w:vAlign w:val="center"/>
          </w:tcPr>
          <w:p w14:paraId="52E9C123">
            <w:pPr>
              <w:pStyle w:val="133"/>
              <w:rPr>
                <w:color w:val="000000"/>
                <w:szCs w:val="21"/>
              </w:rPr>
            </w:pPr>
          </w:p>
        </w:tc>
        <w:tc>
          <w:tcPr>
            <w:tcW w:w="639" w:type="pct"/>
            <w:vAlign w:val="center"/>
          </w:tcPr>
          <w:p w14:paraId="6CA34AD5">
            <w:pPr>
              <w:pStyle w:val="133"/>
              <w:rPr>
                <w:szCs w:val="21"/>
              </w:rPr>
            </w:pPr>
            <w:r>
              <w:rPr>
                <w:rFonts w:hint="eastAsia"/>
                <w:szCs w:val="21"/>
              </w:rPr>
              <w:t>NMHC</w:t>
            </w:r>
          </w:p>
        </w:tc>
        <w:tc>
          <w:tcPr>
            <w:tcW w:w="424" w:type="pct"/>
            <w:vAlign w:val="center"/>
          </w:tcPr>
          <w:p w14:paraId="4F7AB587">
            <w:pPr>
              <w:pStyle w:val="133"/>
              <w:rPr>
                <w:szCs w:val="21"/>
              </w:rPr>
            </w:pPr>
            <w:r>
              <w:rPr>
                <w:szCs w:val="21"/>
              </w:rPr>
              <w:t>/</w:t>
            </w:r>
          </w:p>
        </w:tc>
        <w:tc>
          <w:tcPr>
            <w:tcW w:w="1084" w:type="pct"/>
            <w:vMerge w:val="restart"/>
            <w:vAlign w:val="center"/>
          </w:tcPr>
          <w:p w14:paraId="3192E877">
            <w:pPr>
              <w:pStyle w:val="133"/>
              <w:rPr>
                <w:szCs w:val="21"/>
              </w:rPr>
            </w:pPr>
            <w:r>
              <w:rPr>
                <w:rFonts w:hint="eastAsia"/>
                <w:szCs w:val="21"/>
              </w:rPr>
              <w:t>GB16297-1996</w:t>
            </w:r>
          </w:p>
        </w:tc>
        <w:tc>
          <w:tcPr>
            <w:tcW w:w="771" w:type="pct"/>
            <w:vAlign w:val="center"/>
          </w:tcPr>
          <w:p w14:paraId="6BECF0B3">
            <w:pPr>
              <w:pStyle w:val="133"/>
              <w:rPr>
                <w:szCs w:val="21"/>
              </w:rPr>
            </w:pPr>
            <w:r>
              <w:rPr>
                <w:rFonts w:hint="eastAsia"/>
                <w:szCs w:val="21"/>
              </w:rPr>
              <w:t>4.0</w:t>
            </w:r>
          </w:p>
        </w:tc>
        <w:tc>
          <w:tcPr>
            <w:tcW w:w="708" w:type="pct"/>
            <w:vAlign w:val="center"/>
          </w:tcPr>
          <w:p w14:paraId="7BDAEA33">
            <w:pPr>
              <w:pStyle w:val="133"/>
              <w:rPr>
                <w:szCs w:val="21"/>
              </w:rPr>
            </w:pPr>
            <w:r>
              <w:rPr>
                <w:rFonts w:hint="eastAsia"/>
                <w:szCs w:val="21"/>
              </w:rPr>
              <w:t>0.035</w:t>
            </w:r>
          </w:p>
        </w:tc>
      </w:tr>
      <w:tr w14:paraId="7F6AB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76565DA9">
            <w:pPr>
              <w:pStyle w:val="133"/>
              <w:rPr>
                <w:szCs w:val="21"/>
              </w:rPr>
            </w:pPr>
            <w:r>
              <w:rPr>
                <w:rFonts w:hint="eastAsia"/>
                <w:color w:val="000000"/>
                <w:szCs w:val="21"/>
              </w:rPr>
              <w:t>3</w:t>
            </w:r>
          </w:p>
        </w:tc>
        <w:tc>
          <w:tcPr>
            <w:tcW w:w="1038" w:type="pct"/>
            <w:vAlign w:val="center"/>
          </w:tcPr>
          <w:p w14:paraId="6A5409CA">
            <w:pPr>
              <w:pStyle w:val="133"/>
              <w:rPr>
                <w:szCs w:val="21"/>
              </w:rPr>
            </w:pPr>
            <w:r>
              <w:rPr>
                <w:rFonts w:hint="eastAsia"/>
                <w:color w:val="000000"/>
                <w:szCs w:val="21"/>
              </w:rPr>
              <w:t>焦油罐区</w:t>
            </w:r>
          </w:p>
        </w:tc>
        <w:tc>
          <w:tcPr>
            <w:tcW w:w="639" w:type="pct"/>
            <w:vAlign w:val="center"/>
          </w:tcPr>
          <w:p w14:paraId="35086BB7">
            <w:pPr>
              <w:pStyle w:val="133"/>
              <w:rPr>
                <w:szCs w:val="21"/>
              </w:rPr>
            </w:pPr>
            <w:r>
              <w:rPr>
                <w:rFonts w:hint="eastAsia"/>
                <w:szCs w:val="21"/>
              </w:rPr>
              <w:t>NMHC</w:t>
            </w:r>
          </w:p>
        </w:tc>
        <w:tc>
          <w:tcPr>
            <w:tcW w:w="424" w:type="pct"/>
            <w:vAlign w:val="center"/>
          </w:tcPr>
          <w:p w14:paraId="1F192373">
            <w:pPr>
              <w:pStyle w:val="133"/>
              <w:rPr>
                <w:szCs w:val="21"/>
              </w:rPr>
            </w:pPr>
            <w:r>
              <w:rPr>
                <w:szCs w:val="21"/>
              </w:rPr>
              <w:t>/</w:t>
            </w:r>
          </w:p>
        </w:tc>
        <w:tc>
          <w:tcPr>
            <w:tcW w:w="1084" w:type="pct"/>
            <w:vMerge w:val="continue"/>
            <w:vAlign w:val="center"/>
          </w:tcPr>
          <w:p w14:paraId="2271AFB2">
            <w:pPr>
              <w:pStyle w:val="133"/>
              <w:rPr>
                <w:szCs w:val="21"/>
              </w:rPr>
            </w:pPr>
          </w:p>
        </w:tc>
        <w:tc>
          <w:tcPr>
            <w:tcW w:w="771" w:type="pct"/>
            <w:vAlign w:val="center"/>
          </w:tcPr>
          <w:p w14:paraId="7E6E0CFD">
            <w:pPr>
              <w:pStyle w:val="133"/>
              <w:rPr>
                <w:szCs w:val="21"/>
              </w:rPr>
            </w:pPr>
            <w:r>
              <w:rPr>
                <w:rFonts w:hint="eastAsia"/>
                <w:szCs w:val="21"/>
              </w:rPr>
              <w:t>4.0</w:t>
            </w:r>
          </w:p>
        </w:tc>
        <w:tc>
          <w:tcPr>
            <w:tcW w:w="708" w:type="pct"/>
            <w:vAlign w:val="center"/>
          </w:tcPr>
          <w:p w14:paraId="5EF53122">
            <w:pPr>
              <w:pStyle w:val="133"/>
              <w:rPr>
                <w:szCs w:val="21"/>
              </w:rPr>
            </w:pPr>
            <w:r>
              <w:rPr>
                <w:rFonts w:hint="eastAsia" w:eastAsia="等线" w:cs="Times New Roman"/>
                <w:color w:val="000000"/>
                <w:szCs w:val="21"/>
              </w:rPr>
              <w:t>0.715</w:t>
            </w:r>
          </w:p>
        </w:tc>
      </w:tr>
      <w:tr w14:paraId="11A36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3CCE1121">
            <w:pPr>
              <w:pStyle w:val="133"/>
              <w:rPr>
                <w:szCs w:val="21"/>
              </w:rPr>
            </w:pPr>
            <w:r>
              <w:rPr>
                <w:rFonts w:hint="eastAsia"/>
                <w:color w:val="000000"/>
                <w:szCs w:val="21"/>
              </w:rPr>
              <w:t>4</w:t>
            </w:r>
          </w:p>
        </w:tc>
        <w:tc>
          <w:tcPr>
            <w:tcW w:w="1038" w:type="pct"/>
            <w:vAlign w:val="center"/>
          </w:tcPr>
          <w:p w14:paraId="4873F36F">
            <w:pPr>
              <w:pStyle w:val="133"/>
              <w:rPr>
                <w:szCs w:val="21"/>
              </w:rPr>
            </w:pPr>
            <w:r>
              <w:rPr>
                <w:rFonts w:hint="eastAsia"/>
                <w:color w:val="000000"/>
                <w:szCs w:val="21"/>
              </w:rPr>
              <w:t>装车站</w:t>
            </w:r>
          </w:p>
        </w:tc>
        <w:tc>
          <w:tcPr>
            <w:tcW w:w="639" w:type="pct"/>
            <w:vAlign w:val="center"/>
          </w:tcPr>
          <w:p w14:paraId="234EB800">
            <w:pPr>
              <w:pStyle w:val="133"/>
              <w:rPr>
                <w:szCs w:val="21"/>
              </w:rPr>
            </w:pPr>
            <w:r>
              <w:rPr>
                <w:rFonts w:hint="eastAsia"/>
                <w:szCs w:val="21"/>
              </w:rPr>
              <w:t>NMHC</w:t>
            </w:r>
          </w:p>
        </w:tc>
        <w:tc>
          <w:tcPr>
            <w:tcW w:w="424" w:type="pct"/>
            <w:vAlign w:val="center"/>
          </w:tcPr>
          <w:p w14:paraId="1DF5A734">
            <w:pPr>
              <w:pStyle w:val="133"/>
              <w:rPr>
                <w:szCs w:val="21"/>
              </w:rPr>
            </w:pPr>
            <w:r>
              <w:rPr>
                <w:szCs w:val="21"/>
              </w:rPr>
              <w:t>/</w:t>
            </w:r>
          </w:p>
        </w:tc>
        <w:tc>
          <w:tcPr>
            <w:tcW w:w="1084" w:type="pct"/>
            <w:vMerge w:val="continue"/>
            <w:vAlign w:val="center"/>
          </w:tcPr>
          <w:p w14:paraId="741C2924">
            <w:pPr>
              <w:pStyle w:val="133"/>
              <w:rPr>
                <w:szCs w:val="21"/>
              </w:rPr>
            </w:pPr>
          </w:p>
        </w:tc>
        <w:tc>
          <w:tcPr>
            <w:tcW w:w="771" w:type="pct"/>
            <w:vAlign w:val="center"/>
          </w:tcPr>
          <w:p w14:paraId="77632D35">
            <w:pPr>
              <w:pStyle w:val="133"/>
              <w:rPr>
                <w:szCs w:val="21"/>
              </w:rPr>
            </w:pPr>
            <w:r>
              <w:rPr>
                <w:rFonts w:hint="eastAsia"/>
                <w:szCs w:val="21"/>
              </w:rPr>
              <w:t>4.0</w:t>
            </w:r>
          </w:p>
        </w:tc>
        <w:tc>
          <w:tcPr>
            <w:tcW w:w="708" w:type="pct"/>
            <w:vAlign w:val="center"/>
          </w:tcPr>
          <w:p w14:paraId="32CA3015">
            <w:pPr>
              <w:pStyle w:val="133"/>
              <w:rPr>
                <w:szCs w:val="21"/>
              </w:rPr>
            </w:pPr>
            <w:r>
              <w:rPr>
                <w:rFonts w:eastAsia="等线" w:cs="Times New Roman"/>
                <w:color w:val="000000"/>
                <w:szCs w:val="21"/>
              </w:rPr>
              <w:t>0.</w:t>
            </w:r>
            <w:r>
              <w:rPr>
                <w:rFonts w:hint="eastAsia" w:eastAsia="等线" w:cs="Times New Roman"/>
                <w:color w:val="000000"/>
                <w:szCs w:val="21"/>
              </w:rPr>
              <w:t>305</w:t>
            </w:r>
          </w:p>
        </w:tc>
      </w:tr>
      <w:tr w14:paraId="7907C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451DAA18">
            <w:pPr>
              <w:pStyle w:val="133"/>
              <w:rPr>
                <w:szCs w:val="21"/>
              </w:rPr>
            </w:pPr>
            <w:r>
              <w:rPr>
                <w:rFonts w:hint="eastAsia"/>
                <w:color w:val="000000"/>
                <w:szCs w:val="21"/>
              </w:rPr>
              <w:t>5</w:t>
            </w:r>
          </w:p>
        </w:tc>
        <w:tc>
          <w:tcPr>
            <w:tcW w:w="1038" w:type="pct"/>
            <w:vAlign w:val="center"/>
          </w:tcPr>
          <w:p w14:paraId="1E133A68">
            <w:pPr>
              <w:pStyle w:val="133"/>
              <w:rPr>
                <w:szCs w:val="21"/>
              </w:rPr>
            </w:pPr>
            <w:r>
              <w:rPr>
                <w:rFonts w:hint="eastAsia"/>
                <w:szCs w:val="21"/>
              </w:rPr>
              <w:t>污水处理站</w:t>
            </w:r>
          </w:p>
        </w:tc>
        <w:tc>
          <w:tcPr>
            <w:tcW w:w="639" w:type="pct"/>
            <w:vAlign w:val="center"/>
          </w:tcPr>
          <w:p w14:paraId="62B45988">
            <w:pPr>
              <w:pStyle w:val="133"/>
              <w:rPr>
                <w:szCs w:val="21"/>
              </w:rPr>
            </w:pPr>
            <w:r>
              <w:rPr>
                <w:szCs w:val="21"/>
              </w:rPr>
              <w:t>颗粒物</w:t>
            </w:r>
          </w:p>
        </w:tc>
        <w:tc>
          <w:tcPr>
            <w:tcW w:w="424" w:type="pct"/>
            <w:vAlign w:val="center"/>
          </w:tcPr>
          <w:p w14:paraId="3BDBA7A0">
            <w:pPr>
              <w:pStyle w:val="133"/>
              <w:rPr>
                <w:szCs w:val="21"/>
              </w:rPr>
            </w:pPr>
            <w:r>
              <w:rPr>
                <w:szCs w:val="21"/>
              </w:rPr>
              <w:t>/</w:t>
            </w:r>
          </w:p>
        </w:tc>
        <w:tc>
          <w:tcPr>
            <w:tcW w:w="1084" w:type="pct"/>
            <w:vMerge w:val="restart"/>
            <w:vAlign w:val="center"/>
          </w:tcPr>
          <w:p w14:paraId="74BA6A35">
            <w:pPr>
              <w:pStyle w:val="133"/>
              <w:rPr>
                <w:szCs w:val="21"/>
              </w:rPr>
            </w:pPr>
            <w:r>
              <w:rPr>
                <w:rFonts w:hint="eastAsia"/>
                <w:szCs w:val="21"/>
              </w:rPr>
              <w:t>GB25468-2010</w:t>
            </w:r>
          </w:p>
        </w:tc>
        <w:tc>
          <w:tcPr>
            <w:tcW w:w="771" w:type="pct"/>
            <w:vAlign w:val="center"/>
          </w:tcPr>
          <w:p w14:paraId="2E895F3A">
            <w:pPr>
              <w:pStyle w:val="133"/>
              <w:rPr>
                <w:szCs w:val="21"/>
              </w:rPr>
            </w:pPr>
            <w:r>
              <w:rPr>
                <w:rFonts w:hint="eastAsia"/>
                <w:szCs w:val="21"/>
              </w:rPr>
              <w:t>1.0</w:t>
            </w:r>
          </w:p>
        </w:tc>
        <w:tc>
          <w:tcPr>
            <w:tcW w:w="708" w:type="pct"/>
            <w:vAlign w:val="center"/>
          </w:tcPr>
          <w:p w14:paraId="6717042B">
            <w:pPr>
              <w:pStyle w:val="133"/>
              <w:rPr>
                <w:szCs w:val="21"/>
              </w:rPr>
            </w:pPr>
            <w:r>
              <w:rPr>
                <w:rFonts w:hint="eastAsia" w:eastAsia="等线" w:cs="Times New Roman"/>
                <w:color w:val="000000"/>
                <w:szCs w:val="21"/>
              </w:rPr>
              <w:t>0.036</w:t>
            </w:r>
          </w:p>
        </w:tc>
      </w:tr>
      <w:tr w14:paraId="62DC6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3A48B808">
            <w:pPr>
              <w:pStyle w:val="133"/>
              <w:rPr>
                <w:szCs w:val="21"/>
              </w:rPr>
            </w:pPr>
            <w:r>
              <w:rPr>
                <w:rFonts w:hint="eastAsia"/>
                <w:color w:val="000000"/>
                <w:szCs w:val="21"/>
              </w:rPr>
              <w:t>6</w:t>
            </w:r>
          </w:p>
        </w:tc>
        <w:tc>
          <w:tcPr>
            <w:tcW w:w="1038" w:type="pct"/>
            <w:vAlign w:val="center"/>
          </w:tcPr>
          <w:p w14:paraId="12C8CEDF">
            <w:pPr>
              <w:pStyle w:val="133"/>
              <w:rPr>
                <w:szCs w:val="21"/>
              </w:rPr>
            </w:pPr>
            <w:r>
              <w:rPr>
                <w:rFonts w:hint="eastAsia"/>
                <w:color w:val="000000"/>
                <w:szCs w:val="21"/>
              </w:rPr>
              <w:t>原料堆场</w:t>
            </w:r>
          </w:p>
        </w:tc>
        <w:tc>
          <w:tcPr>
            <w:tcW w:w="639" w:type="pct"/>
            <w:vAlign w:val="center"/>
          </w:tcPr>
          <w:p w14:paraId="3CB4EAD2">
            <w:pPr>
              <w:pStyle w:val="133"/>
              <w:rPr>
                <w:szCs w:val="21"/>
              </w:rPr>
            </w:pPr>
            <w:r>
              <w:rPr>
                <w:szCs w:val="21"/>
              </w:rPr>
              <w:t>颗粒物</w:t>
            </w:r>
          </w:p>
        </w:tc>
        <w:tc>
          <w:tcPr>
            <w:tcW w:w="424" w:type="pct"/>
            <w:vAlign w:val="center"/>
          </w:tcPr>
          <w:p w14:paraId="03A161C5">
            <w:pPr>
              <w:pStyle w:val="133"/>
              <w:rPr>
                <w:szCs w:val="21"/>
              </w:rPr>
            </w:pPr>
            <w:r>
              <w:rPr>
                <w:szCs w:val="21"/>
              </w:rPr>
              <w:t>/</w:t>
            </w:r>
          </w:p>
        </w:tc>
        <w:tc>
          <w:tcPr>
            <w:tcW w:w="1084" w:type="pct"/>
            <w:vMerge w:val="continue"/>
            <w:vAlign w:val="center"/>
          </w:tcPr>
          <w:p w14:paraId="6130701F">
            <w:pPr>
              <w:pStyle w:val="133"/>
              <w:rPr>
                <w:szCs w:val="21"/>
              </w:rPr>
            </w:pPr>
          </w:p>
        </w:tc>
        <w:tc>
          <w:tcPr>
            <w:tcW w:w="771" w:type="pct"/>
            <w:vAlign w:val="center"/>
          </w:tcPr>
          <w:p w14:paraId="1A4A3FE3">
            <w:pPr>
              <w:pStyle w:val="133"/>
              <w:rPr>
                <w:szCs w:val="21"/>
              </w:rPr>
            </w:pPr>
            <w:r>
              <w:rPr>
                <w:rFonts w:hint="eastAsia"/>
                <w:szCs w:val="21"/>
              </w:rPr>
              <w:t>1.0</w:t>
            </w:r>
          </w:p>
        </w:tc>
        <w:tc>
          <w:tcPr>
            <w:tcW w:w="708" w:type="pct"/>
            <w:vAlign w:val="center"/>
          </w:tcPr>
          <w:p w14:paraId="2D81AD26">
            <w:pPr>
              <w:pStyle w:val="133"/>
              <w:rPr>
                <w:szCs w:val="21"/>
              </w:rPr>
            </w:pPr>
            <w:r>
              <w:rPr>
                <w:rFonts w:hint="eastAsia" w:cs="Times New Roman"/>
                <w:szCs w:val="21"/>
              </w:rPr>
              <w:t>3.01</w:t>
            </w:r>
          </w:p>
        </w:tc>
      </w:tr>
      <w:tr w14:paraId="6A242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3BA0A487">
            <w:pPr>
              <w:pStyle w:val="133"/>
              <w:rPr>
                <w:szCs w:val="21"/>
              </w:rPr>
            </w:pPr>
            <w:r>
              <w:rPr>
                <w:rFonts w:hint="eastAsia"/>
                <w:color w:val="000000"/>
                <w:szCs w:val="21"/>
              </w:rPr>
              <w:t>7</w:t>
            </w:r>
          </w:p>
        </w:tc>
        <w:tc>
          <w:tcPr>
            <w:tcW w:w="1038" w:type="pct"/>
            <w:vAlign w:val="center"/>
          </w:tcPr>
          <w:p w14:paraId="1CD4AB95">
            <w:pPr>
              <w:pStyle w:val="133"/>
              <w:rPr>
                <w:szCs w:val="21"/>
              </w:rPr>
            </w:pPr>
            <w:r>
              <w:rPr>
                <w:rFonts w:hint="eastAsia"/>
                <w:color w:val="000000"/>
                <w:szCs w:val="21"/>
              </w:rPr>
              <w:t>兰炭仓</w:t>
            </w:r>
          </w:p>
        </w:tc>
        <w:tc>
          <w:tcPr>
            <w:tcW w:w="639" w:type="pct"/>
            <w:vAlign w:val="center"/>
          </w:tcPr>
          <w:p w14:paraId="25C7331F">
            <w:pPr>
              <w:pStyle w:val="133"/>
              <w:rPr>
                <w:szCs w:val="21"/>
              </w:rPr>
            </w:pPr>
            <w:r>
              <w:rPr>
                <w:szCs w:val="21"/>
              </w:rPr>
              <w:t>颗粒物</w:t>
            </w:r>
          </w:p>
        </w:tc>
        <w:tc>
          <w:tcPr>
            <w:tcW w:w="424" w:type="pct"/>
            <w:vAlign w:val="center"/>
          </w:tcPr>
          <w:p w14:paraId="6600E462">
            <w:pPr>
              <w:pStyle w:val="133"/>
              <w:rPr>
                <w:szCs w:val="21"/>
              </w:rPr>
            </w:pPr>
            <w:r>
              <w:rPr>
                <w:szCs w:val="21"/>
              </w:rPr>
              <w:t>/</w:t>
            </w:r>
          </w:p>
        </w:tc>
        <w:tc>
          <w:tcPr>
            <w:tcW w:w="1084" w:type="pct"/>
            <w:vMerge w:val="continue"/>
            <w:vAlign w:val="center"/>
          </w:tcPr>
          <w:p w14:paraId="4B465F50">
            <w:pPr>
              <w:pStyle w:val="133"/>
              <w:rPr>
                <w:szCs w:val="21"/>
              </w:rPr>
            </w:pPr>
          </w:p>
        </w:tc>
        <w:tc>
          <w:tcPr>
            <w:tcW w:w="771" w:type="pct"/>
            <w:vAlign w:val="center"/>
          </w:tcPr>
          <w:p w14:paraId="65C3667D">
            <w:pPr>
              <w:pStyle w:val="133"/>
              <w:rPr>
                <w:szCs w:val="21"/>
              </w:rPr>
            </w:pPr>
            <w:r>
              <w:rPr>
                <w:rFonts w:hint="eastAsia"/>
                <w:szCs w:val="21"/>
              </w:rPr>
              <w:t>1.0</w:t>
            </w:r>
          </w:p>
        </w:tc>
        <w:tc>
          <w:tcPr>
            <w:tcW w:w="708" w:type="pct"/>
            <w:vAlign w:val="center"/>
          </w:tcPr>
          <w:p w14:paraId="143FAEDE">
            <w:pPr>
              <w:pStyle w:val="133"/>
              <w:rPr>
                <w:szCs w:val="21"/>
              </w:rPr>
            </w:pPr>
            <w:r>
              <w:rPr>
                <w:rFonts w:hint="eastAsia" w:cs="Times New Roman"/>
                <w:szCs w:val="21"/>
              </w:rPr>
              <w:t>3.24</w:t>
            </w:r>
          </w:p>
        </w:tc>
      </w:tr>
      <w:tr w14:paraId="51358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08B4172E">
            <w:pPr>
              <w:pStyle w:val="133"/>
              <w:rPr>
                <w:szCs w:val="21"/>
              </w:rPr>
            </w:pPr>
            <w:r>
              <w:rPr>
                <w:rFonts w:hint="eastAsia"/>
                <w:color w:val="000000"/>
                <w:szCs w:val="21"/>
              </w:rPr>
              <w:t>8</w:t>
            </w:r>
          </w:p>
        </w:tc>
        <w:tc>
          <w:tcPr>
            <w:tcW w:w="1038" w:type="pct"/>
            <w:vAlign w:val="center"/>
          </w:tcPr>
          <w:p w14:paraId="7FE9FB46">
            <w:pPr>
              <w:pStyle w:val="133"/>
              <w:rPr>
                <w:szCs w:val="21"/>
              </w:rPr>
            </w:pPr>
            <w:r>
              <w:rPr>
                <w:rFonts w:hint="eastAsia"/>
                <w:color w:val="000000"/>
                <w:szCs w:val="21"/>
              </w:rPr>
              <w:t>配料上料间</w:t>
            </w:r>
          </w:p>
        </w:tc>
        <w:tc>
          <w:tcPr>
            <w:tcW w:w="639" w:type="pct"/>
            <w:vAlign w:val="center"/>
          </w:tcPr>
          <w:p w14:paraId="4E59BC24">
            <w:pPr>
              <w:pStyle w:val="133"/>
              <w:rPr>
                <w:szCs w:val="21"/>
              </w:rPr>
            </w:pPr>
            <w:r>
              <w:rPr>
                <w:szCs w:val="21"/>
              </w:rPr>
              <w:t>颗粒物</w:t>
            </w:r>
          </w:p>
        </w:tc>
        <w:tc>
          <w:tcPr>
            <w:tcW w:w="424" w:type="pct"/>
            <w:vAlign w:val="center"/>
          </w:tcPr>
          <w:p w14:paraId="639399E7">
            <w:pPr>
              <w:pStyle w:val="133"/>
              <w:rPr>
                <w:szCs w:val="21"/>
              </w:rPr>
            </w:pPr>
            <w:r>
              <w:rPr>
                <w:szCs w:val="21"/>
              </w:rPr>
              <w:t>/</w:t>
            </w:r>
          </w:p>
        </w:tc>
        <w:tc>
          <w:tcPr>
            <w:tcW w:w="1084" w:type="pct"/>
            <w:vMerge w:val="continue"/>
            <w:vAlign w:val="center"/>
          </w:tcPr>
          <w:p w14:paraId="3084112E">
            <w:pPr>
              <w:pStyle w:val="133"/>
              <w:rPr>
                <w:szCs w:val="21"/>
              </w:rPr>
            </w:pPr>
          </w:p>
        </w:tc>
        <w:tc>
          <w:tcPr>
            <w:tcW w:w="771" w:type="pct"/>
            <w:vAlign w:val="center"/>
          </w:tcPr>
          <w:p w14:paraId="5593D884">
            <w:pPr>
              <w:pStyle w:val="133"/>
              <w:rPr>
                <w:szCs w:val="21"/>
              </w:rPr>
            </w:pPr>
            <w:r>
              <w:rPr>
                <w:rFonts w:hint="eastAsia"/>
                <w:szCs w:val="21"/>
              </w:rPr>
              <w:t>1.0</w:t>
            </w:r>
          </w:p>
        </w:tc>
        <w:tc>
          <w:tcPr>
            <w:tcW w:w="708" w:type="pct"/>
            <w:vAlign w:val="center"/>
          </w:tcPr>
          <w:p w14:paraId="23E632BF">
            <w:pPr>
              <w:pStyle w:val="133"/>
              <w:rPr>
                <w:szCs w:val="21"/>
              </w:rPr>
            </w:pPr>
            <w:r>
              <w:rPr>
                <w:rFonts w:hint="eastAsia" w:cs="Times New Roman"/>
                <w:szCs w:val="21"/>
              </w:rPr>
              <w:t>0.02</w:t>
            </w:r>
          </w:p>
        </w:tc>
      </w:tr>
      <w:tr w14:paraId="20AB6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restart"/>
            <w:vAlign w:val="center"/>
          </w:tcPr>
          <w:p w14:paraId="0D9669DB">
            <w:pPr>
              <w:pStyle w:val="133"/>
              <w:rPr>
                <w:szCs w:val="21"/>
              </w:rPr>
            </w:pPr>
            <w:r>
              <w:rPr>
                <w:rFonts w:hint="eastAsia"/>
                <w:color w:val="000000"/>
                <w:szCs w:val="21"/>
              </w:rPr>
              <w:t>9</w:t>
            </w:r>
          </w:p>
        </w:tc>
        <w:tc>
          <w:tcPr>
            <w:tcW w:w="1038" w:type="pct"/>
            <w:vMerge w:val="restart"/>
            <w:vAlign w:val="center"/>
          </w:tcPr>
          <w:p w14:paraId="5E67A816">
            <w:pPr>
              <w:pStyle w:val="133"/>
              <w:rPr>
                <w:szCs w:val="21"/>
              </w:rPr>
            </w:pPr>
            <w:r>
              <w:rPr>
                <w:rFonts w:hint="eastAsia"/>
                <w:color w:val="000000"/>
                <w:szCs w:val="21"/>
              </w:rPr>
              <w:t>冶炼车间</w:t>
            </w:r>
          </w:p>
        </w:tc>
        <w:tc>
          <w:tcPr>
            <w:tcW w:w="639" w:type="pct"/>
            <w:vAlign w:val="center"/>
          </w:tcPr>
          <w:p w14:paraId="49A8304E">
            <w:pPr>
              <w:pStyle w:val="133"/>
              <w:rPr>
                <w:szCs w:val="21"/>
              </w:rPr>
            </w:pPr>
            <w:r>
              <w:rPr>
                <w:szCs w:val="21"/>
              </w:rPr>
              <w:t>颗粒物</w:t>
            </w:r>
          </w:p>
        </w:tc>
        <w:tc>
          <w:tcPr>
            <w:tcW w:w="424" w:type="pct"/>
            <w:vAlign w:val="center"/>
          </w:tcPr>
          <w:p w14:paraId="5451F1C8">
            <w:pPr>
              <w:pStyle w:val="133"/>
              <w:rPr>
                <w:szCs w:val="21"/>
              </w:rPr>
            </w:pPr>
            <w:r>
              <w:rPr>
                <w:szCs w:val="21"/>
              </w:rPr>
              <w:t>/</w:t>
            </w:r>
          </w:p>
        </w:tc>
        <w:tc>
          <w:tcPr>
            <w:tcW w:w="1084" w:type="pct"/>
            <w:vMerge w:val="continue"/>
            <w:vAlign w:val="center"/>
          </w:tcPr>
          <w:p w14:paraId="66B57081">
            <w:pPr>
              <w:pStyle w:val="133"/>
              <w:rPr>
                <w:szCs w:val="21"/>
              </w:rPr>
            </w:pPr>
          </w:p>
        </w:tc>
        <w:tc>
          <w:tcPr>
            <w:tcW w:w="771" w:type="pct"/>
            <w:vAlign w:val="center"/>
          </w:tcPr>
          <w:p w14:paraId="59A9DF73">
            <w:pPr>
              <w:pStyle w:val="133"/>
              <w:rPr>
                <w:szCs w:val="21"/>
              </w:rPr>
            </w:pPr>
            <w:r>
              <w:rPr>
                <w:rFonts w:hint="eastAsia"/>
                <w:szCs w:val="21"/>
              </w:rPr>
              <w:t>1.0</w:t>
            </w:r>
          </w:p>
        </w:tc>
        <w:tc>
          <w:tcPr>
            <w:tcW w:w="708" w:type="pct"/>
            <w:vAlign w:val="center"/>
          </w:tcPr>
          <w:p w14:paraId="64EE2FC4">
            <w:pPr>
              <w:pStyle w:val="133"/>
              <w:rPr>
                <w:szCs w:val="21"/>
              </w:rPr>
            </w:pPr>
            <w:r>
              <w:rPr>
                <w:rFonts w:hint="eastAsia" w:cs="Times New Roman"/>
                <w:szCs w:val="21"/>
              </w:rPr>
              <w:t>0.78</w:t>
            </w:r>
          </w:p>
        </w:tc>
      </w:tr>
      <w:tr w14:paraId="1F9D1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6BD25724">
            <w:pPr>
              <w:pStyle w:val="133"/>
              <w:rPr>
                <w:color w:val="000000"/>
                <w:szCs w:val="21"/>
              </w:rPr>
            </w:pPr>
          </w:p>
        </w:tc>
        <w:tc>
          <w:tcPr>
            <w:tcW w:w="1038" w:type="pct"/>
            <w:vMerge w:val="continue"/>
            <w:vAlign w:val="center"/>
          </w:tcPr>
          <w:p w14:paraId="7F65F556">
            <w:pPr>
              <w:pStyle w:val="133"/>
              <w:rPr>
                <w:color w:val="000000"/>
                <w:szCs w:val="21"/>
              </w:rPr>
            </w:pPr>
          </w:p>
        </w:tc>
        <w:tc>
          <w:tcPr>
            <w:tcW w:w="639" w:type="pct"/>
            <w:vAlign w:val="center"/>
          </w:tcPr>
          <w:p w14:paraId="0581EECA">
            <w:pPr>
              <w:pStyle w:val="133"/>
              <w:rPr>
                <w:szCs w:val="21"/>
              </w:rPr>
            </w:pPr>
            <w:r>
              <w:rPr>
                <w:rFonts w:eastAsia="等线"/>
                <w:szCs w:val="21"/>
              </w:rPr>
              <w:t>SO</w:t>
            </w:r>
            <w:r>
              <w:rPr>
                <w:rFonts w:eastAsia="等线"/>
                <w:szCs w:val="21"/>
                <w:vertAlign w:val="subscript"/>
              </w:rPr>
              <w:t>2</w:t>
            </w:r>
          </w:p>
        </w:tc>
        <w:tc>
          <w:tcPr>
            <w:tcW w:w="424" w:type="pct"/>
            <w:vAlign w:val="center"/>
          </w:tcPr>
          <w:p w14:paraId="64B26950">
            <w:pPr>
              <w:pStyle w:val="133"/>
              <w:rPr>
                <w:szCs w:val="21"/>
              </w:rPr>
            </w:pPr>
            <w:r>
              <w:rPr>
                <w:szCs w:val="21"/>
              </w:rPr>
              <w:t>/</w:t>
            </w:r>
          </w:p>
        </w:tc>
        <w:tc>
          <w:tcPr>
            <w:tcW w:w="1084" w:type="pct"/>
            <w:vMerge w:val="continue"/>
            <w:vAlign w:val="center"/>
          </w:tcPr>
          <w:p w14:paraId="2B7F092A">
            <w:pPr>
              <w:pStyle w:val="133"/>
              <w:rPr>
                <w:szCs w:val="21"/>
              </w:rPr>
            </w:pPr>
          </w:p>
        </w:tc>
        <w:tc>
          <w:tcPr>
            <w:tcW w:w="771" w:type="pct"/>
            <w:vAlign w:val="center"/>
          </w:tcPr>
          <w:p w14:paraId="438F67B3">
            <w:pPr>
              <w:pStyle w:val="133"/>
              <w:rPr>
                <w:szCs w:val="21"/>
              </w:rPr>
            </w:pPr>
            <w:r>
              <w:rPr>
                <w:rFonts w:hint="eastAsia"/>
                <w:szCs w:val="21"/>
              </w:rPr>
              <w:t>0.5</w:t>
            </w:r>
          </w:p>
        </w:tc>
        <w:tc>
          <w:tcPr>
            <w:tcW w:w="708" w:type="pct"/>
            <w:vAlign w:val="center"/>
          </w:tcPr>
          <w:p w14:paraId="6F8A16E4">
            <w:pPr>
              <w:pStyle w:val="133"/>
              <w:rPr>
                <w:rFonts w:cs="Times New Roman"/>
                <w:szCs w:val="21"/>
              </w:rPr>
            </w:pPr>
            <w:r>
              <w:rPr>
                <w:rFonts w:hint="eastAsia" w:cs="Times New Roman"/>
                <w:szCs w:val="21"/>
              </w:rPr>
              <w:t>7.75</w:t>
            </w:r>
          </w:p>
        </w:tc>
      </w:tr>
      <w:tr w14:paraId="64EE8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Merge w:val="continue"/>
            <w:vAlign w:val="center"/>
          </w:tcPr>
          <w:p w14:paraId="67EECFAC">
            <w:pPr>
              <w:pStyle w:val="133"/>
              <w:rPr>
                <w:color w:val="000000"/>
                <w:szCs w:val="21"/>
              </w:rPr>
            </w:pPr>
          </w:p>
        </w:tc>
        <w:tc>
          <w:tcPr>
            <w:tcW w:w="1038" w:type="pct"/>
            <w:vMerge w:val="continue"/>
            <w:vAlign w:val="center"/>
          </w:tcPr>
          <w:p w14:paraId="4FA1F02C">
            <w:pPr>
              <w:pStyle w:val="133"/>
              <w:rPr>
                <w:color w:val="000000"/>
                <w:szCs w:val="21"/>
              </w:rPr>
            </w:pPr>
          </w:p>
        </w:tc>
        <w:tc>
          <w:tcPr>
            <w:tcW w:w="639" w:type="pct"/>
            <w:vAlign w:val="center"/>
          </w:tcPr>
          <w:p w14:paraId="12879709">
            <w:pPr>
              <w:pStyle w:val="133"/>
              <w:rPr>
                <w:szCs w:val="21"/>
              </w:rPr>
            </w:pPr>
            <w:r>
              <w:rPr>
                <w:rFonts w:eastAsia="等线"/>
                <w:szCs w:val="21"/>
              </w:rPr>
              <w:t>NO</w:t>
            </w:r>
            <w:r>
              <w:rPr>
                <w:rFonts w:eastAsia="等线"/>
                <w:szCs w:val="21"/>
                <w:vertAlign w:val="subscript"/>
              </w:rPr>
              <w:t>X</w:t>
            </w:r>
          </w:p>
        </w:tc>
        <w:tc>
          <w:tcPr>
            <w:tcW w:w="424" w:type="pct"/>
            <w:vAlign w:val="center"/>
          </w:tcPr>
          <w:p w14:paraId="76B9FFF2">
            <w:pPr>
              <w:pStyle w:val="133"/>
              <w:rPr>
                <w:szCs w:val="21"/>
              </w:rPr>
            </w:pPr>
            <w:r>
              <w:rPr>
                <w:szCs w:val="21"/>
              </w:rPr>
              <w:t>/</w:t>
            </w:r>
          </w:p>
        </w:tc>
        <w:tc>
          <w:tcPr>
            <w:tcW w:w="1084" w:type="pct"/>
            <w:vAlign w:val="center"/>
          </w:tcPr>
          <w:p w14:paraId="589CD249">
            <w:pPr>
              <w:pStyle w:val="133"/>
              <w:rPr>
                <w:szCs w:val="21"/>
              </w:rPr>
            </w:pPr>
            <w:r>
              <w:rPr>
                <w:rFonts w:hint="eastAsia"/>
                <w:szCs w:val="21"/>
              </w:rPr>
              <w:t>GB16297-1996</w:t>
            </w:r>
          </w:p>
        </w:tc>
        <w:tc>
          <w:tcPr>
            <w:tcW w:w="771" w:type="pct"/>
            <w:vAlign w:val="center"/>
          </w:tcPr>
          <w:p w14:paraId="133C1F9A">
            <w:pPr>
              <w:pStyle w:val="133"/>
              <w:rPr>
                <w:szCs w:val="21"/>
              </w:rPr>
            </w:pPr>
            <w:r>
              <w:rPr>
                <w:rFonts w:hint="eastAsia"/>
                <w:szCs w:val="21"/>
              </w:rPr>
              <w:t>0.12</w:t>
            </w:r>
          </w:p>
        </w:tc>
        <w:tc>
          <w:tcPr>
            <w:tcW w:w="708" w:type="pct"/>
            <w:vAlign w:val="center"/>
          </w:tcPr>
          <w:p w14:paraId="04950BB3">
            <w:pPr>
              <w:pStyle w:val="133"/>
              <w:rPr>
                <w:rFonts w:cs="Times New Roman"/>
                <w:szCs w:val="21"/>
              </w:rPr>
            </w:pPr>
            <w:r>
              <w:rPr>
                <w:rFonts w:hint="eastAsia" w:cs="Times New Roman"/>
                <w:szCs w:val="21"/>
              </w:rPr>
              <w:t>1.56</w:t>
            </w:r>
          </w:p>
        </w:tc>
      </w:tr>
      <w:tr w14:paraId="1A511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2CCC7FD0">
            <w:pPr>
              <w:pStyle w:val="133"/>
              <w:rPr>
                <w:szCs w:val="21"/>
              </w:rPr>
            </w:pPr>
            <w:r>
              <w:rPr>
                <w:rFonts w:hint="eastAsia"/>
                <w:color w:val="000000"/>
                <w:szCs w:val="21"/>
              </w:rPr>
              <w:t>10</w:t>
            </w:r>
          </w:p>
        </w:tc>
        <w:tc>
          <w:tcPr>
            <w:tcW w:w="1038" w:type="pct"/>
            <w:vAlign w:val="center"/>
          </w:tcPr>
          <w:p w14:paraId="3C502328">
            <w:pPr>
              <w:pStyle w:val="133"/>
              <w:rPr>
                <w:szCs w:val="21"/>
              </w:rPr>
            </w:pPr>
            <w:r>
              <w:rPr>
                <w:rFonts w:hint="eastAsia"/>
                <w:color w:val="000000"/>
                <w:szCs w:val="21"/>
              </w:rPr>
              <w:t>铸造车间</w:t>
            </w:r>
          </w:p>
        </w:tc>
        <w:tc>
          <w:tcPr>
            <w:tcW w:w="639" w:type="pct"/>
            <w:vAlign w:val="center"/>
          </w:tcPr>
          <w:p w14:paraId="69619224">
            <w:pPr>
              <w:pStyle w:val="133"/>
              <w:rPr>
                <w:szCs w:val="21"/>
              </w:rPr>
            </w:pPr>
            <w:r>
              <w:rPr>
                <w:szCs w:val="21"/>
              </w:rPr>
              <w:t>颗粒物</w:t>
            </w:r>
          </w:p>
        </w:tc>
        <w:tc>
          <w:tcPr>
            <w:tcW w:w="424" w:type="pct"/>
            <w:vAlign w:val="center"/>
          </w:tcPr>
          <w:p w14:paraId="5F305C66">
            <w:pPr>
              <w:pStyle w:val="133"/>
              <w:rPr>
                <w:szCs w:val="21"/>
              </w:rPr>
            </w:pPr>
            <w:r>
              <w:rPr>
                <w:szCs w:val="21"/>
              </w:rPr>
              <w:t>/</w:t>
            </w:r>
          </w:p>
        </w:tc>
        <w:tc>
          <w:tcPr>
            <w:tcW w:w="1084" w:type="pct"/>
            <w:vMerge w:val="restart"/>
            <w:vAlign w:val="center"/>
          </w:tcPr>
          <w:p w14:paraId="5D558F6B">
            <w:pPr>
              <w:pStyle w:val="133"/>
              <w:rPr>
                <w:szCs w:val="21"/>
              </w:rPr>
            </w:pPr>
            <w:r>
              <w:rPr>
                <w:rFonts w:hint="eastAsia"/>
                <w:szCs w:val="21"/>
              </w:rPr>
              <w:t>GB25468-2010</w:t>
            </w:r>
          </w:p>
        </w:tc>
        <w:tc>
          <w:tcPr>
            <w:tcW w:w="771" w:type="pct"/>
            <w:vAlign w:val="center"/>
          </w:tcPr>
          <w:p w14:paraId="366BD7F5">
            <w:pPr>
              <w:pStyle w:val="133"/>
              <w:rPr>
                <w:szCs w:val="21"/>
              </w:rPr>
            </w:pPr>
            <w:r>
              <w:rPr>
                <w:rFonts w:hint="eastAsia"/>
                <w:szCs w:val="21"/>
              </w:rPr>
              <w:t>1.0</w:t>
            </w:r>
          </w:p>
        </w:tc>
        <w:tc>
          <w:tcPr>
            <w:tcW w:w="708" w:type="pct"/>
            <w:vAlign w:val="center"/>
          </w:tcPr>
          <w:p w14:paraId="6248B4E8">
            <w:pPr>
              <w:pStyle w:val="133"/>
              <w:rPr>
                <w:szCs w:val="21"/>
              </w:rPr>
            </w:pPr>
            <w:r>
              <w:rPr>
                <w:rFonts w:hint="eastAsia" w:cs="Times New Roman"/>
                <w:szCs w:val="21"/>
              </w:rPr>
              <w:t>0.04</w:t>
            </w:r>
          </w:p>
        </w:tc>
      </w:tr>
      <w:tr w14:paraId="20CE2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3531FE3D">
            <w:pPr>
              <w:pStyle w:val="133"/>
              <w:rPr>
                <w:szCs w:val="21"/>
              </w:rPr>
            </w:pPr>
            <w:r>
              <w:rPr>
                <w:rFonts w:hint="eastAsia"/>
                <w:color w:val="000000"/>
                <w:szCs w:val="21"/>
              </w:rPr>
              <w:t>11</w:t>
            </w:r>
          </w:p>
        </w:tc>
        <w:tc>
          <w:tcPr>
            <w:tcW w:w="1038" w:type="pct"/>
            <w:vAlign w:val="center"/>
          </w:tcPr>
          <w:p w14:paraId="59F33F5A">
            <w:pPr>
              <w:pStyle w:val="133"/>
              <w:rPr>
                <w:szCs w:val="21"/>
              </w:rPr>
            </w:pPr>
            <w:r>
              <w:rPr>
                <w:rFonts w:hint="eastAsia"/>
                <w:color w:val="000000"/>
                <w:szCs w:val="21"/>
              </w:rPr>
              <w:t>成品破碎车间</w:t>
            </w:r>
          </w:p>
        </w:tc>
        <w:tc>
          <w:tcPr>
            <w:tcW w:w="639" w:type="pct"/>
            <w:vAlign w:val="center"/>
          </w:tcPr>
          <w:p w14:paraId="63D24DB0">
            <w:pPr>
              <w:pStyle w:val="133"/>
              <w:rPr>
                <w:szCs w:val="21"/>
              </w:rPr>
            </w:pPr>
            <w:r>
              <w:rPr>
                <w:szCs w:val="21"/>
              </w:rPr>
              <w:t>颗粒物</w:t>
            </w:r>
          </w:p>
        </w:tc>
        <w:tc>
          <w:tcPr>
            <w:tcW w:w="424" w:type="pct"/>
            <w:vAlign w:val="center"/>
          </w:tcPr>
          <w:p w14:paraId="15FB4BA8">
            <w:pPr>
              <w:pStyle w:val="133"/>
              <w:rPr>
                <w:szCs w:val="21"/>
              </w:rPr>
            </w:pPr>
            <w:r>
              <w:rPr>
                <w:szCs w:val="21"/>
              </w:rPr>
              <w:t>/</w:t>
            </w:r>
          </w:p>
        </w:tc>
        <w:tc>
          <w:tcPr>
            <w:tcW w:w="1084" w:type="pct"/>
            <w:vMerge w:val="continue"/>
            <w:vAlign w:val="center"/>
          </w:tcPr>
          <w:p w14:paraId="64922307">
            <w:pPr>
              <w:pStyle w:val="133"/>
              <w:rPr>
                <w:szCs w:val="21"/>
              </w:rPr>
            </w:pPr>
          </w:p>
        </w:tc>
        <w:tc>
          <w:tcPr>
            <w:tcW w:w="771" w:type="pct"/>
            <w:vAlign w:val="center"/>
          </w:tcPr>
          <w:p w14:paraId="5556A9D2">
            <w:pPr>
              <w:pStyle w:val="133"/>
              <w:rPr>
                <w:szCs w:val="21"/>
              </w:rPr>
            </w:pPr>
            <w:r>
              <w:rPr>
                <w:rFonts w:hint="eastAsia"/>
                <w:szCs w:val="21"/>
              </w:rPr>
              <w:t>1.0</w:t>
            </w:r>
          </w:p>
        </w:tc>
        <w:tc>
          <w:tcPr>
            <w:tcW w:w="708" w:type="pct"/>
            <w:vAlign w:val="center"/>
          </w:tcPr>
          <w:p w14:paraId="78BDB4CD">
            <w:pPr>
              <w:pStyle w:val="133"/>
              <w:rPr>
                <w:szCs w:val="21"/>
              </w:rPr>
            </w:pPr>
            <w:r>
              <w:rPr>
                <w:rFonts w:hint="eastAsia" w:cs="Times New Roman"/>
                <w:szCs w:val="21"/>
              </w:rPr>
              <w:t>0.003</w:t>
            </w:r>
          </w:p>
        </w:tc>
      </w:tr>
      <w:tr w14:paraId="51BA1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1F14E040">
            <w:pPr>
              <w:pStyle w:val="133"/>
              <w:rPr>
                <w:color w:val="000000"/>
                <w:szCs w:val="21"/>
              </w:rPr>
            </w:pPr>
            <w:r>
              <w:rPr>
                <w:rFonts w:hint="eastAsia"/>
                <w:color w:val="000000"/>
                <w:szCs w:val="21"/>
              </w:rPr>
              <w:t>12</w:t>
            </w:r>
          </w:p>
        </w:tc>
        <w:tc>
          <w:tcPr>
            <w:tcW w:w="1038" w:type="pct"/>
            <w:vAlign w:val="center"/>
          </w:tcPr>
          <w:p w14:paraId="7EEBC0D3">
            <w:pPr>
              <w:pStyle w:val="133"/>
              <w:rPr>
                <w:color w:val="000000"/>
                <w:szCs w:val="21"/>
              </w:rPr>
            </w:pPr>
            <w:r>
              <w:rPr>
                <w:rFonts w:hint="eastAsia"/>
                <w:color w:val="000000"/>
                <w:szCs w:val="21"/>
              </w:rPr>
              <w:t>煤棚</w:t>
            </w:r>
          </w:p>
        </w:tc>
        <w:tc>
          <w:tcPr>
            <w:tcW w:w="639" w:type="pct"/>
            <w:vAlign w:val="center"/>
          </w:tcPr>
          <w:p w14:paraId="35516D18">
            <w:pPr>
              <w:pStyle w:val="133"/>
              <w:rPr>
                <w:szCs w:val="21"/>
              </w:rPr>
            </w:pPr>
            <w:r>
              <w:rPr>
                <w:szCs w:val="21"/>
              </w:rPr>
              <w:t>颗粒物</w:t>
            </w:r>
          </w:p>
        </w:tc>
        <w:tc>
          <w:tcPr>
            <w:tcW w:w="424" w:type="pct"/>
            <w:vAlign w:val="center"/>
          </w:tcPr>
          <w:p w14:paraId="0FD2F0BD">
            <w:pPr>
              <w:pStyle w:val="133"/>
              <w:rPr>
                <w:szCs w:val="21"/>
              </w:rPr>
            </w:pPr>
            <w:r>
              <w:rPr>
                <w:szCs w:val="21"/>
              </w:rPr>
              <w:t>/</w:t>
            </w:r>
          </w:p>
        </w:tc>
        <w:tc>
          <w:tcPr>
            <w:tcW w:w="1084" w:type="pct"/>
            <w:vMerge w:val="continue"/>
            <w:vAlign w:val="center"/>
          </w:tcPr>
          <w:p w14:paraId="2A6A2CEC">
            <w:pPr>
              <w:pStyle w:val="133"/>
              <w:rPr>
                <w:szCs w:val="21"/>
              </w:rPr>
            </w:pPr>
          </w:p>
        </w:tc>
        <w:tc>
          <w:tcPr>
            <w:tcW w:w="771" w:type="pct"/>
            <w:vAlign w:val="center"/>
          </w:tcPr>
          <w:p w14:paraId="464A1E4B">
            <w:pPr>
              <w:pStyle w:val="133"/>
              <w:rPr>
                <w:szCs w:val="21"/>
              </w:rPr>
            </w:pPr>
            <w:r>
              <w:rPr>
                <w:rFonts w:hint="eastAsia"/>
                <w:szCs w:val="21"/>
              </w:rPr>
              <w:t>1.0</w:t>
            </w:r>
          </w:p>
        </w:tc>
        <w:tc>
          <w:tcPr>
            <w:tcW w:w="708" w:type="pct"/>
            <w:vAlign w:val="center"/>
          </w:tcPr>
          <w:p w14:paraId="247904CE">
            <w:pPr>
              <w:pStyle w:val="133"/>
              <w:rPr>
                <w:rFonts w:cs="Times New Roman"/>
                <w:szCs w:val="21"/>
              </w:rPr>
            </w:pPr>
            <w:r>
              <w:rPr>
                <w:rFonts w:hint="eastAsia" w:cs="Times New Roman"/>
                <w:szCs w:val="21"/>
              </w:rPr>
              <w:t>1.09</w:t>
            </w:r>
          </w:p>
        </w:tc>
      </w:tr>
      <w:tr w14:paraId="26572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336" w:type="pct"/>
            <w:vAlign w:val="center"/>
          </w:tcPr>
          <w:p w14:paraId="6B6B1BE2">
            <w:pPr>
              <w:pStyle w:val="133"/>
              <w:rPr>
                <w:color w:val="000000"/>
                <w:szCs w:val="21"/>
              </w:rPr>
            </w:pPr>
            <w:r>
              <w:rPr>
                <w:rFonts w:hint="eastAsia"/>
                <w:color w:val="000000"/>
                <w:szCs w:val="21"/>
              </w:rPr>
              <w:t>13</w:t>
            </w:r>
          </w:p>
        </w:tc>
        <w:tc>
          <w:tcPr>
            <w:tcW w:w="1038" w:type="pct"/>
            <w:vAlign w:val="center"/>
          </w:tcPr>
          <w:p w14:paraId="0719A1EB">
            <w:pPr>
              <w:pStyle w:val="133"/>
              <w:rPr>
                <w:color w:val="000000"/>
                <w:szCs w:val="21"/>
              </w:rPr>
            </w:pPr>
            <w:r>
              <w:rPr>
                <w:rFonts w:hint="eastAsia"/>
                <w:color w:val="000000"/>
                <w:szCs w:val="21"/>
              </w:rPr>
              <w:t>焦棚</w:t>
            </w:r>
          </w:p>
        </w:tc>
        <w:tc>
          <w:tcPr>
            <w:tcW w:w="639" w:type="pct"/>
            <w:vAlign w:val="center"/>
          </w:tcPr>
          <w:p w14:paraId="7D656EBD">
            <w:pPr>
              <w:pStyle w:val="133"/>
              <w:rPr>
                <w:szCs w:val="21"/>
              </w:rPr>
            </w:pPr>
            <w:r>
              <w:rPr>
                <w:szCs w:val="21"/>
              </w:rPr>
              <w:t>颗粒物</w:t>
            </w:r>
          </w:p>
        </w:tc>
        <w:tc>
          <w:tcPr>
            <w:tcW w:w="424" w:type="pct"/>
            <w:vAlign w:val="center"/>
          </w:tcPr>
          <w:p w14:paraId="3756359B">
            <w:pPr>
              <w:pStyle w:val="133"/>
              <w:rPr>
                <w:szCs w:val="21"/>
              </w:rPr>
            </w:pPr>
            <w:r>
              <w:rPr>
                <w:szCs w:val="21"/>
              </w:rPr>
              <w:t>/</w:t>
            </w:r>
          </w:p>
        </w:tc>
        <w:tc>
          <w:tcPr>
            <w:tcW w:w="1084" w:type="pct"/>
            <w:vMerge w:val="continue"/>
            <w:vAlign w:val="center"/>
          </w:tcPr>
          <w:p w14:paraId="01535959">
            <w:pPr>
              <w:pStyle w:val="133"/>
              <w:rPr>
                <w:szCs w:val="21"/>
              </w:rPr>
            </w:pPr>
          </w:p>
        </w:tc>
        <w:tc>
          <w:tcPr>
            <w:tcW w:w="771" w:type="pct"/>
            <w:vAlign w:val="center"/>
          </w:tcPr>
          <w:p w14:paraId="75975D3B">
            <w:pPr>
              <w:pStyle w:val="133"/>
              <w:rPr>
                <w:szCs w:val="21"/>
              </w:rPr>
            </w:pPr>
            <w:r>
              <w:rPr>
                <w:rFonts w:hint="eastAsia"/>
                <w:szCs w:val="21"/>
              </w:rPr>
              <w:t>1.0</w:t>
            </w:r>
          </w:p>
        </w:tc>
        <w:tc>
          <w:tcPr>
            <w:tcW w:w="708" w:type="pct"/>
            <w:vAlign w:val="center"/>
          </w:tcPr>
          <w:p w14:paraId="4AE09F96">
            <w:pPr>
              <w:pStyle w:val="133"/>
              <w:rPr>
                <w:rFonts w:cs="Times New Roman"/>
                <w:szCs w:val="21"/>
              </w:rPr>
            </w:pPr>
            <w:r>
              <w:rPr>
                <w:rFonts w:hint="eastAsia" w:cs="Times New Roman"/>
                <w:szCs w:val="21"/>
              </w:rPr>
              <w:t>2.5</w:t>
            </w:r>
          </w:p>
        </w:tc>
      </w:tr>
      <w:tr w14:paraId="72A1D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794BC556">
            <w:pPr>
              <w:pStyle w:val="133"/>
              <w:rPr>
                <w:szCs w:val="21"/>
              </w:rPr>
            </w:pPr>
            <w:r>
              <w:rPr>
                <w:szCs w:val="21"/>
              </w:rPr>
              <w:t>颗粒物</w:t>
            </w:r>
          </w:p>
        </w:tc>
        <w:tc>
          <w:tcPr>
            <w:tcW w:w="708" w:type="pct"/>
            <w:vAlign w:val="center"/>
          </w:tcPr>
          <w:p w14:paraId="6ADE70FF">
            <w:pPr>
              <w:pStyle w:val="133"/>
              <w:rPr>
                <w:szCs w:val="21"/>
              </w:rPr>
            </w:pPr>
            <w:r>
              <w:rPr>
                <w:rFonts w:hint="eastAsia" w:eastAsia="等线" w:cs="Times New Roman"/>
                <w:color w:val="000000"/>
                <w:szCs w:val="21"/>
              </w:rPr>
              <w:t>11.626</w:t>
            </w:r>
          </w:p>
        </w:tc>
      </w:tr>
      <w:tr w14:paraId="18BA2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44DFFD5B">
            <w:pPr>
              <w:pStyle w:val="133"/>
              <w:rPr>
                <w:szCs w:val="21"/>
              </w:rPr>
            </w:pPr>
            <w:r>
              <w:rPr>
                <w:rFonts w:eastAsia="等线"/>
                <w:szCs w:val="21"/>
              </w:rPr>
              <w:t>SO</w:t>
            </w:r>
            <w:r>
              <w:rPr>
                <w:rFonts w:eastAsia="等线"/>
                <w:szCs w:val="21"/>
                <w:vertAlign w:val="subscript"/>
              </w:rPr>
              <w:t>2</w:t>
            </w:r>
          </w:p>
        </w:tc>
        <w:tc>
          <w:tcPr>
            <w:tcW w:w="708" w:type="pct"/>
            <w:vAlign w:val="center"/>
          </w:tcPr>
          <w:p w14:paraId="60077256">
            <w:pPr>
              <w:pStyle w:val="133"/>
              <w:rPr>
                <w:szCs w:val="21"/>
              </w:rPr>
            </w:pPr>
            <w:r>
              <w:rPr>
                <w:rFonts w:hint="eastAsia" w:eastAsia="等线" w:cs="Times New Roman"/>
                <w:color w:val="000000"/>
                <w:szCs w:val="21"/>
              </w:rPr>
              <w:t>14.408</w:t>
            </w:r>
          </w:p>
        </w:tc>
      </w:tr>
      <w:tr w14:paraId="0C69B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38210650">
            <w:pPr>
              <w:pStyle w:val="133"/>
              <w:rPr>
                <w:szCs w:val="21"/>
              </w:rPr>
            </w:pPr>
            <w:r>
              <w:rPr>
                <w:rFonts w:eastAsia="等线"/>
                <w:szCs w:val="21"/>
              </w:rPr>
              <w:t>NO</w:t>
            </w:r>
            <w:r>
              <w:rPr>
                <w:rFonts w:eastAsia="等线"/>
                <w:szCs w:val="21"/>
                <w:vertAlign w:val="subscript"/>
              </w:rPr>
              <w:t>X</w:t>
            </w:r>
          </w:p>
        </w:tc>
        <w:tc>
          <w:tcPr>
            <w:tcW w:w="708" w:type="pct"/>
            <w:vAlign w:val="center"/>
          </w:tcPr>
          <w:p w14:paraId="65FBEAC0">
            <w:pPr>
              <w:pStyle w:val="133"/>
              <w:rPr>
                <w:szCs w:val="21"/>
              </w:rPr>
            </w:pPr>
            <w:r>
              <w:rPr>
                <w:rFonts w:eastAsia="等线" w:cs="Times New Roman"/>
                <w:color w:val="000000"/>
                <w:szCs w:val="21"/>
              </w:rPr>
              <w:t>1.56</w:t>
            </w:r>
          </w:p>
        </w:tc>
      </w:tr>
      <w:tr w14:paraId="7827A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4DAD9567">
            <w:pPr>
              <w:pStyle w:val="133"/>
              <w:rPr>
                <w:szCs w:val="21"/>
              </w:rPr>
            </w:pPr>
            <w:r>
              <w:rPr>
                <w:rFonts w:hint="eastAsia"/>
                <w:szCs w:val="21"/>
              </w:rPr>
              <w:t>NMHC</w:t>
            </w:r>
          </w:p>
        </w:tc>
        <w:tc>
          <w:tcPr>
            <w:tcW w:w="708" w:type="pct"/>
            <w:vAlign w:val="center"/>
          </w:tcPr>
          <w:p w14:paraId="17497559">
            <w:pPr>
              <w:pStyle w:val="133"/>
              <w:rPr>
                <w:szCs w:val="21"/>
              </w:rPr>
            </w:pPr>
            <w:r>
              <w:rPr>
                <w:rFonts w:eastAsia="等线" w:cs="Times New Roman"/>
                <w:color w:val="000000"/>
                <w:szCs w:val="21"/>
              </w:rPr>
              <w:t>1.</w:t>
            </w:r>
            <w:r>
              <w:rPr>
                <w:rFonts w:hint="eastAsia" w:eastAsia="等线" w:cs="Times New Roman"/>
                <w:color w:val="000000"/>
                <w:szCs w:val="21"/>
              </w:rPr>
              <w:t>055</w:t>
            </w:r>
          </w:p>
        </w:tc>
      </w:tr>
      <w:tr w14:paraId="1B43F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23DEEC84">
            <w:pPr>
              <w:pStyle w:val="133"/>
              <w:rPr>
                <w:szCs w:val="21"/>
              </w:rPr>
            </w:pPr>
            <w:r>
              <w:rPr>
                <w:szCs w:val="21"/>
              </w:rPr>
              <w:t>BaP</w:t>
            </w:r>
          </w:p>
        </w:tc>
        <w:tc>
          <w:tcPr>
            <w:tcW w:w="708" w:type="pct"/>
            <w:vAlign w:val="center"/>
          </w:tcPr>
          <w:p w14:paraId="3A243CF9">
            <w:pPr>
              <w:pStyle w:val="133"/>
              <w:rPr>
                <w:rFonts w:eastAsia="等线"/>
                <w:szCs w:val="21"/>
              </w:rPr>
            </w:pPr>
            <w:r>
              <w:rPr>
                <w:rFonts w:eastAsia="等线" w:cs="Times New Roman"/>
                <w:color w:val="000000"/>
                <w:szCs w:val="21"/>
              </w:rPr>
              <w:t>0.0001</w:t>
            </w:r>
            <w:r>
              <w:rPr>
                <w:rFonts w:hint="eastAsia" w:eastAsia="等线" w:cs="Times New Roman"/>
                <w:color w:val="000000"/>
                <w:szCs w:val="21"/>
              </w:rPr>
              <w:t>21</w:t>
            </w:r>
          </w:p>
        </w:tc>
      </w:tr>
      <w:tr w14:paraId="0971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1A9CE427">
            <w:pPr>
              <w:pStyle w:val="133"/>
              <w:rPr>
                <w:szCs w:val="21"/>
              </w:rPr>
            </w:pPr>
            <w:r>
              <w:rPr>
                <w:rFonts w:hint="eastAsia"/>
                <w:szCs w:val="21"/>
              </w:rPr>
              <w:t>氰化氢</w:t>
            </w:r>
          </w:p>
        </w:tc>
        <w:tc>
          <w:tcPr>
            <w:tcW w:w="708" w:type="pct"/>
            <w:vAlign w:val="center"/>
          </w:tcPr>
          <w:p w14:paraId="0FE96FC2">
            <w:pPr>
              <w:pStyle w:val="133"/>
              <w:rPr>
                <w:rFonts w:eastAsia="等线"/>
                <w:szCs w:val="21"/>
              </w:rPr>
            </w:pPr>
            <w:r>
              <w:rPr>
                <w:rFonts w:eastAsia="等线" w:cs="Times New Roman"/>
                <w:color w:val="000000"/>
                <w:szCs w:val="21"/>
              </w:rPr>
              <w:t>0.0009</w:t>
            </w:r>
            <w:r>
              <w:rPr>
                <w:rFonts w:hint="eastAsia" w:eastAsia="等线" w:cs="Times New Roman"/>
                <w:color w:val="000000"/>
                <w:szCs w:val="21"/>
              </w:rPr>
              <w:t>4</w:t>
            </w:r>
          </w:p>
        </w:tc>
      </w:tr>
      <w:tr w14:paraId="538BA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51EB64EB">
            <w:pPr>
              <w:pStyle w:val="133"/>
              <w:rPr>
                <w:szCs w:val="21"/>
              </w:rPr>
            </w:pPr>
            <w:r>
              <w:rPr>
                <w:rFonts w:hint="eastAsia"/>
                <w:szCs w:val="21"/>
              </w:rPr>
              <w:t>酚类</w:t>
            </w:r>
          </w:p>
        </w:tc>
        <w:tc>
          <w:tcPr>
            <w:tcW w:w="708" w:type="pct"/>
            <w:vAlign w:val="center"/>
          </w:tcPr>
          <w:p w14:paraId="4E8B5D6B">
            <w:pPr>
              <w:pStyle w:val="133"/>
              <w:rPr>
                <w:rFonts w:eastAsia="等线"/>
                <w:szCs w:val="21"/>
              </w:rPr>
            </w:pPr>
            <w:r>
              <w:rPr>
                <w:rFonts w:eastAsia="等线" w:cs="Times New Roman"/>
                <w:color w:val="000000"/>
                <w:szCs w:val="21"/>
              </w:rPr>
              <w:t>0.0076</w:t>
            </w:r>
          </w:p>
        </w:tc>
      </w:tr>
      <w:tr w14:paraId="76432B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2FAEDDA5">
            <w:pPr>
              <w:pStyle w:val="133"/>
              <w:rPr>
                <w:szCs w:val="21"/>
              </w:rPr>
            </w:pPr>
            <w:r>
              <w:rPr>
                <w:rFonts w:hint="eastAsia"/>
                <w:szCs w:val="21"/>
              </w:rPr>
              <w:t>NH</w:t>
            </w:r>
            <w:r>
              <w:rPr>
                <w:rFonts w:hint="eastAsia"/>
                <w:szCs w:val="21"/>
                <w:vertAlign w:val="subscript"/>
              </w:rPr>
              <w:t>3</w:t>
            </w:r>
          </w:p>
        </w:tc>
        <w:tc>
          <w:tcPr>
            <w:tcW w:w="708" w:type="pct"/>
            <w:vAlign w:val="center"/>
          </w:tcPr>
          <w:p w14:paraId="6279D091">
            <w:pPr>
              <w:pStyle w:val="133"/>
              <w:rPr>
                <w:rFonts w:eastAsia="等线"/>
                <w:szCs w:val="21"/>
              </w:rPr>
            </w:pPr>
            <w:r>
              <w:rPr>
                <w:rFonts w:eastAsia="等线" w:cs="Times New Roman"/>
                <w:color w:val="000000"/>
                <w:szCs w:val="21"/>
              </w:rPr>
              <w:t>0.099</w:t>
            </w:r>
          </w:p>
        </w:tc>
      </w:tr>
      <w:tr w14:paraId="1242A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92" w:type="pct"/>
            <w:gridSpan w:val="6"/>
            <w:vAlign w:val="center"/>
          </w:tcPr>
          <w:p w14:paraId="09E521BB">
            <w:pPr>
              <w:pStyle w:val="133"/>
              <w:rPr>
                <w:szCs w:val="21"/>
              </w:rPr>
            </w:pPr>
            <w:r>
              <w:rPr>
                <w:rFonts w:hint="eastAsia"/>
                <w:szCs w:val="21"/>
              </w:rPr>
              <w:t>H</w:t>
            </w:r>
            <w:r>
              <w:rPr>
                <w:rFonts w:hint="eastAsia"/>
                <w:szCs w:val="21"/>
                <w:vertAlign w:val="subscript"/>
              </w:rPr>
              <w:t>2</w:t>
            </w:r>
            <w:r>
              <w:rPr>
                <w:rFonts w:hint="eastAsia"/>
                <w:szCs w:val="21"/>
              </w:rPr>
              <w:t>S</w:t>
            </w:r>
          </w:p>
        </w:tc>
        <w:tc>
          <w:tcPr>
            <w:tcW w:w="708" w:type="pct"/>
            <w:vAlign w:val="center"/>
          </w:tcPr>
          <w:p w14:paraId="364BBA9B">
            <w:pPr>
              <w:pStyle w:val="133"/>
              <w:rPr>
                <w:rFonts w:eastAsia="等线"/>
                <w:szCs w:val="21"/>
              </w:rPr>
            </w:pPr>
            <w:r>
              <w:rPr>
                <w:rFonts w:eastAsia="等线" w:cs="Times New Roman"/>
                <w:color w:val="000000"/>
                <w:szCs w:val="21"/>
              </w:rPr>
              <w:t>0.02</w:t>
            </w:r>
            <w:r>
              <w:rPr>
                <w:rFonts w:hint="eastAsia" w:eastAsia="等线" w:cs="Times New Roman"/>
                <w:color w:val="000000"/>
                <w:szCs w:val="21"/>
              </w:rPr>
              <w:t>14</w:t>
            </w:r>
          </w:p>
        </w:tc>
      </w:tr>
    </w:tbl>
    <w:p w14:paraId="21B07432">
      <w:pPr>
        <w:pStyle w:val="133"/>
        <w:rPr>
          <w:highlight w:val="green"/>
        </w:rPr>
      </w:pPr>
    </w:p>
    <w:p w14:paraId="09665F02">
      <w:pPr>
        <w:pStyle w:val="5"/>
      </w:pPr>
      <w:r>
        <w:t>污染物年排放量核算</w:t>
      </w:r>
    </w:p>
    <w:p w14:paraId="37579616">
      <w:pPr>
        <w:pStyle w:val="117"/>
        <w:ind w:firstLine="480"/>
        <w:rPr>
          <w:rStyle w:val="258"/>
          <w:rFonts w:eastAsia="宋体"/>
        </w:rPr>
      </w:pPr>
      <w:r>
        <w:t>本项目污染物排放量核</w:t>
      </w:r>
      <w:r>
        <w:rPr>
          <w:rStyle w:val="258"/>
          <w:rFonts w:eastAsia="宋体"/>
        </w:rPr>
        <w:t>算见</w:t>
      </w:r>
      <w:r>
        <w:rPr>
          <w:rStyle w:val="258"/>
          <w:rFonts w:hint="eastAsia" w:eastAsia="宋体"/>
        </w:rPr>
        <w:t>表5.2-35</w:t>
      </w:r>
      <w:r>
        <w:rPr>
          <w:rStyle w:val="258"/>
          <w:rFonts w:eastAsia="宋体"/>
        </w:rPr>
        <w:t>。</w:t>
      </w:r>
    </w:p>
    <w:p w14:paraId="362592F9">
      <w:pPr>
        <w:pStyle w:val="118"/>
      </w:pPr>
      <w:r>
        <w:rPr>
          <w:rFonts w:hint="eastAsia"/>
        </w:rPr>
        <w:t>表5.2-35</w:t>
      </w:r>
      <w:r>
        <w:t xml:space="preserve">  大气污染物排放量核算一览表</w:t>
      </w:r>
    </w:p>
    <w:tbl>
      <w:tblPr>
        <w:tblStyle w:val="67"/>
        <w:tblW w:w="501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3758"/>
        <w:gridCol w:w="3759"/>
      </w:tblGrid>
      <w:tr w14:paraId="03BC7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75" w:type="pct"/>
            <w:vAlign w:val="center"/>
          </w:tcPr>
          <w:p w14:paraId="5A843126">
            <w:pPr>
              <w:pStyle w:val="133"/>
              <w:rPr>
                <w:b/>
                <w:bCs/>
              </w:rPr>
            </w:pPr>
            <w:r>
              <w:rPr>
                <w:b/>
                <w:bCs/>
              </w:rPr>
              <w:t>序号</w:t>
            </w:r>
          </w:p>
        </w:tc>
        <w:tc>
          <w:tcPr>
            <w:tcW w:w="2012" w:type="pct"/>
            <w:vAlign w:val="center"/>
          </w:tcPr>
          <w:p w14:paraId="1C5E5EB7">
            <w:pPr>
              <w:pStyle w:val="133"/>
              <w:rPr>
                <w:b/>
                <w:bCs/>
              </w:rPr>
            </w:pPr>
            <w:r>
              <w:rPr>
                <w:b/>
                <w:bCs/>
              </w:rPr>
              <w:t>污染物</w:t>
            </w:r>
          </w:p>
        </w:tc>
        <w:tc>
          <w:tcPr>
            <w:tcW w:w="2013" w:type="pct"/>
            <w:vAlign w:val="center"/>
          </w:tcPr>
          <w:p w14:paraId="6B645923">
            <w:pPr>
              <w:pStyle w:val="133"/>
              <w:rPr>
                <w:b/>
                <w:bCs/>
              </w:rPr>
            </w:pPr>
            <w:r>
              <w:rPr>
                <w:b/>
                <w:bCs/>
              </w:rPr>
              <w:t>年排放量/（t/a）</w:t>
            </w:r>
          </w:p>
        </w:tc>
      </w:tr>
      <w:tr w14:paraId="1AF7E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706A3F65">
            <w:pPr>
              <w:pStyle w:val="133"/>
            </w:pPr>
            <w:r>
              <w:t>1</w:t>
            </w:r>
          </w:p>
        </w:tc>
        <w:tc>
          <w:tcPr>
            <w:tcW w:w="2012" w:type="pct"/>
            <w:vAlign w:val="center"/>
          </w:tcPr>
          <w:p w14:paraId="370EF509">
            <w:pPr>
              <w:pStyle w:val="133"/>
            </w:pPr>
            <w:r>
              <w:t>颗粒物</w:t>
            </w:r>
          </w:p>
        </w:tc>
        <w:tc>
          <w:tcPr>
            <w:tcW w:w="2013" w:type="pct"/>
            <w:vAlign w:val="center"/>
          </w:tcPr>
          <w:p w14:paraId="53DB311C">
            <w:pPr>
              <w:pStyle w:val="133"/>
            </w:pPr>
            <w:r>
              <w:rPr>
                <w:rFonts w:hint="eastAsia"/>
              </w:rPr>
              <w:t>93.768</w:t>
            </w:r>
          </w:p>
        </w:tc>
      </w:tr>
      <w:tr w14:paraId="309D4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344C973C">
            <w:pPr>
              <w:pStyle w:val="133"/>
            </w:pPr>
            <w:r>
              <w:t>2</w:t>
            </w:r>
          </w:p>
        </w:tc>
        <w:tc>
          <w:tcPr>
            <w:tcW w:w="2012" w:type="pct"/>
            <w:vAlign w:val="center"/>
          </w:tcPr>
          <w:p w14:paraId="79529808">
            <w:pPr>
              <w:pStyle w:val="133"/>
            </w:pPr>
            <w:r>
              <w:rPr>
                <w:rFonts w:eastAsia="等线"/>
              </w:rPr>
              <w:t>SO</w:t>
            </w:r>
            <w:r>
              <w:rPr>
                <w:rFonts w:eastAsia="等线"/>
                <w:vertAlign w:val="subscript"/>
              </w:rPr>
              <w:t>2</w:t>
            </w:r>
          </w:p>
        </w:tc>
        <w:tc>
          <w:tcPr>
            <w:tcW w:w="2013" w:type="pct"/>
            <w:vAlign w:val="center"/>
          </w:tcPr>
          <w:p w14:paraId="709F76CB">
            <w:pPr>
              <w:pStyle w:val="133"/>
            </w:pPr>
            <w:r>
              <w:rPr>
                <w:rFonts w:hint="eastAsia"/>
              </w:rPr>
              <w:t>801.334</w:t>
            </w:r>
          </w:p>
        </w:tc>
      </w:tr>
      <w:tr w14:paraId="44E09A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1DE2B8C0">
            <w:pPr>
              <w:pStyle w:val="133"/>
            </w:pPr>
            <w:r>
              <w:t>3</w:t>
            </w:r>
          </w:p>
        </w:tc>
        <w:tc>
          <w:tcPr>
            <w:tcW w:w="2012" w:type="pct"/>
            <w:vAlign w:val="center"/>
          </w:tcPr>
          <w:p w14:paraId="1DD65C8B">
            <w:pPr>
              <w:pStyle w:val="133"/>
            </w:pPr>
            <w:r>
              <w:rPr>
                <w:rFonts w:eastAsia="等线"/>
              </w:rPr>
              <w:t>NO</w:t>
            </w:r>
            <w:r>
              <w:rPr>
                <w:rFonts w:eastAsia="等线"/>
                <w:vertAlign w:val="subscript"/>
              </w:rPr>
              <w:t>X</w:t>
            </w:r>
          </w:p>
        </w:tc>
        <w:tc>
          <w:tcPr>
            <w:tcW w:w="2013" w:type="pct"/>
            <w:vAlign w:val="center"/>
          </w:tcPr>
          <w:p w14:paraId="43A8FC37">
            <w:pPr>
              <w:pStyle w:val="133"/>
            </w:pPr>
            <w:r>
              <w:rPr>
                <w:rFonts w:hint="eastAsia"/>
              </w:rPr>
              <w:t>862.604</w:t>
            </w:r>
          </w:p>
        </w:tc>
      </w:tr>
      <w:tr w14:paraId="3C252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77A37059">
            <w:pPr>
              <w:pStyle w:val="133"/>
            </w:pPr>
            <w:r>
              <w:t>4</w:t>
            </w:r>
          </w:p>
        </w:tc>
        <w:tc>
          <w:tcPr>
            <w:tcW w:w="2012" w:type="pct"/>
            <w:vAlign w:val="center"/>
          </w:tcPr>
          <w:p w14:paraId="5419FDC4">
            <w:pPr>
              <w:pStyle w:val="133"/>
            </w:pPr>
            <w:r>
              <w:rPr>
                <w:rFonts w:hint="eastAsia"/>
              </w:rPr>
              <w:t>NMHC</w:t>
            </w:r>
          </w:p>
        </w:tc>
        <w:tc>
          <w:tcPr>
            <w:tcW w:w="2013" w:type="pct"/>
            <w:vAlign w:val="center"/>
          </w:tcPr>
          <w:p w14:paraId="042936BA">
            <w:pPr>
              <w:pStyle w:val="133"/>
            </w:pPr>
            <w:r>
              <w:rPr>
                <w:rFonts w:hint="eastAsia"/>
              </w:rPr>
              <w:t>1.439</w:t>
            </w:r>
          </w:p>
        </w:tc>
      </w:tr>
      <w:tr w14:paraId="692AA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79619055">
            <w:pPr>
              <w:pStyle w:val="133"/>
            </w:pPr>
            <w:r>
              <w:rPr>
                <w:rFonts w:hint="eastAsia"/>
              </w:rPr>
              <w:t>5</w:t>
            </w:r>
          </w:p>
        </w:tc>
        <w:tc>
          <w:tcPr>
            <w:tcW w:w="2012" w:type="pct"/>
            <w:vAlign w:val="center"/>
          </w:tcPr>
          <w:p w14:paraId="2EEAF5C8">
            <w:pPr>
              <w:pStyle w:val="133"/>
            </w:pPr>
            <w:r>
              <w:rPr>
                <w:rFonts w:hint="eastAsia" w:eastAsia="等线"/>
              </w:rPr>
              <w:t>HCl</w:t>
            </w:r>
          </w:p>
        </w:tc>
        <w:tc>
          <w:tcPr>
            <w:tcW w:w="2013" w:type="pct"/>
            <w:vAlign w:val="center"/>
          </w:tcPr>
          <w:p w14:paraId="06E3B886">
            <w:pPr>
              <w:pStyle w:val="133"/>
            </w:pPr>
            <w:r>
              <w:rPr>
                <w:rFonts w:hint="eastAsia"/>
              </w:rPr>
              <w:t>0.000182</w:t>
            </w:r>
          </w:p>
        </w:tc>
      </w:tr>
      <w:tr w14:paraId="3D1BEF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259675F4">
            <w:pPr>
              <w:pStyle w:val="133"/>
            </w:pPr>
            <w:r>
              <w:rPr>
                <w:rFonts w:hint="eastAsia"/>
              </w:rPr>
              <w:t>6</w:t>
            </w:r>
          </w:p>
        </w:tc>
        <w:tc>
          <w:tcPr>
            <w:tcW w:w="2012" w:type="pct"/>
            <w:vAlign w:val="center"/>
          </w:tcPr>
          <w:p w14:paraId="1837CC16">
            <w:pPr>
              <w:pStyle w:val="133"/>
            </w:pPr>
            <w:r>
              <w:t>BaP</w:t>
            </w:r>
          </w:p>
        </w:tc>
        <w:tc>
          <w:tcPr>
            <w:tcW w:w="2013" w:type="pct"/>
            <w:vAlign w:val="center"/>
          </w:tcPr>
          <w:p w14:paraId="2F9D358B">
            <w:pPr>
              <w:pStyle w:val="133"/>
            </w:pPr>
            <w:r>
              <w:rPr>
                <w:rFonts w:hint="eastAsia"/>
              </w:rPr>
              <w:t>0.00096</w:t>
            </w:r>
          </w:p>
        </w:tc>
      </w:tr>
      <w:tr w14:paraId="608D7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73B6A80A">
            <w:pPr>
              <w:pStyle w:val="133"/>
            </w:pPr>
            <w:r>
              <w:rPr>
                <w:rFonts w:hint="eastAsia"/>
              </w:rPr>
              <w:t>7</w:t>
            </w:r>
          </w:p>
        </w:tc>
        <w:tc>
          <w:tcPr>
            <w:tcW w:w="2012" w:type="pct"/>
            <w:vAlign w:val="center"/>
          </w:tcPr>
          <w:p w14:paraId="41598B82">
            <w:pPr>
              <w:pStyle w:val="133"/>
            </w:pPr>
            <w:r>
              <w:rPr>
                <w:rFonts w:hint="eastAsia"/>
              </w:rPr>
              <w:t>氰化氢</w:t>
            </w:r>
          </w:p>
        </w:tc>
        <w:tc>
          <w:tcPr>
            <w:tcW w:w="2013" w:type="pct"/>
            <w:vAlign w:val="center"/>
          </w:tcPr>
          <w:p w14:paraId="2349C814">
            <w:pPr>
              <w:pStyle w:val="133"/>
            </w:pPr>
            <w:r>
              <w:rPr>
                <w:rFonts w:hint="eastAsia"/>
              </w:rPr>
              <w:t>0.0106</w:t>
            </w:r>
          </w:p>
        </w:tc>
      </w:tr>
      <w:tr w14:paraId="7515F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2E096CB8">
            <w:pPr>
              <w:pStyle w:val="133"/>
            </w:pPr>
            <w:r>
              <w:rPr>
                <w:rFonts w:hint="eastAsia"/>
              </w:rPr>
              <w:t>8</w:t>
            </w:r>
          </w:p>
        </w:tc>
        <w:tc>
          <w:tcPr>
            <w:tcW w:w="2012" w:type="pct"/>
            <w:vAlign w:val="center"/>
          </w:tcPr>
          <w:p w14:paraId="3A9C877D">
            <w:pPr>
              <w:pStyle w:val="133"/>
            </w:pPr>
            <w:r>
              <w:rPr>
                <w:rFonts w:hint="eastAsia"/>
              </w:rPr>
              <w:t>酚类</w:t>
            </w:r>
          </w:p>
        </w:tc>
        <w:tc>
          <w:tcPr>
            <w:tcW w:w="2013" w:type="pct"/>
            <w:vAlign w:val="center"/>
          </w:tcPr>
          <w:p w14:paraId="2206AC8A">
            <w:pPr>
              <w:pStyle w:val="133"/>
            </w:pPr>
            <w:r>
              <w:rPr>
                <w:rFonts w:hint="eastAsia"/>
              </w:rPr>
              <w:t>0.133</w:t>
            </w:r>
          </w:p>
        </w:tc>
      </w:tr>
      <w:tr w14:paraId="36769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66337531">
            <w:pPr>
              <w:pStyle w:val="133"/>
            </w:pPr>
            <w:r>
              <w:rPr>
                <w:rFonts w:hint="eastAsia"/>
              </w:rPr>
              <w:t>9</w:t>
            </w:r>
          </w:p>
        </w:tc>
        <w:tc>
          <w:tcPr>
            <w:tcW w:w="2012" w:type="pct"/>
            <w:vAlign w:val="center"/>
          </w:tcPr>
          <w:p w14:paraId="5F23BE2D">
            <w:pPr>
              <w:pStyle w:val="133"/>
            </w:pPr>
            <w:r>
              <w:rPr>
                <w:rFonts w:hint="eastAsia"/>
              </w:rPr>
              <w:t>NH</w:t>
            </w:r>
            <w:r>
              <w:rPr>
                <w:rFonts w:hint="eastAsia"/>
                <w:vertAlign w:val="subscript"/>
              </w:rPr>
              <w:t>3</w:t>
            </w:r>
          </w:p>
        </w:tc>
        <w:tc>
          <w:tcPr>
            <w:tcW w:w="2013" w:type="pct"/>
            <w:vAlign w:val="center"/>
          </w:tcPr>
          <w:p w14:paraId="7943BB55">
            <w:pPr>
              <w:pStyle w:val="133"/>
            </w:pPr>
            <w:r>
              <w:rPr>
                <w:rFonts w:hint="eastAsia"/>
              </w:rPr>
              <w:t>0.0274</w:t>
            </w:r>
          </w:p>
        </w:tc>
      </w:tr>
      <w:tr w14:paraId="047661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5" w:type="pct"/>
            <w:vAlign w:val="center"/>
          </w:tcPr>
          <w:p w14:paraId="7E84181A">
            <w:pPr>
              <w:pStyle w:val="133"/>
            </w:pPr>
            <w:r>
              <w:rPr>
                <w:rFonts w:hint="eastAsia"/>
              </w:rPr>
              <w:t>10</w:t>
            </w:r>
          </w:p>
        </w:tc>
        <w:tc>
          <w:tcPr>
            <w:tcW w:w="2012" w:type="pct"/>
            <w:vAlign w:val="center"/>
          </w:tcPr>
          <w:p w14:paraId="2C9D9149">
            <w:pPr>
              <w:pStyle w:val="133"/>
            </w:pPr>
            <w:r>
              <w:rPr>
                <w:rFonts w:hint="eastAsia"/>
              </w:rPr>
              <w:t>H</w:t>
            </w:r>
            <w:r>
              <w:rPr>
                <w:rFonts w:hint="eastAsia"/>
                <w:vertAlign w:val="subscript"/>
              </w:rPr>
              <w:t>2</w:t>
            </w:r>
            <w:r>
              <w:rPr>
                <w:rFonts w:hint="eastAsia"/>
              </w:rPr>
              <w:t>S</w:t>
            </w:r>
          </w:p>
        </w:tc>
        <w:tc>
          <w:tcPr>
            <w:tcW w:w="2013" w:type="pct"/>
            <w:vAlign w:val="center"/>
          </w:tcPr>
          <w:p w14:paraId="33DB7077">
            <w:pPr>
              <w:pStyle w:val="133"/>
            </w:pPr>
            <w:r>
              <w:rPr>
                <w:rFonts w:hint="eastAsia"/>
              </w:rPr>
              <w:t>93.768</w:t>
            </w:r>
          </w:p>
        </w:tc>
      </w:tr>
    </w:tbl>
    <w:p w14:paraId="4C9A222B">
      <w:pPr>
        <w:pStyle w:val="133"/>
      </w:pPr>
    </w:p>
    <w:p w14:paraId="501D9DBE">
      <w:pPr>
        <w:pStyle w:val="944"/>
      </w:pPr>
      <w:r>
        <w:rPr>
          <w:rFonts w:hint="eastAsia"/>
        </w:rPr>
        <w:t>非正常排放量核算</w:t>
      </w:r>
    </w:p>
    <w:p w14:paraId="02F8F9CA">
      <w:pPr>
        <w:pStyle w:val="117"/>
        <w:ind w:firstLine="480"/>
        <w:rPr>
          <w:rFonts w:cs="Times New Roman"/>
          <w:szCs w:val="21"/>
          <w:lang w:val="zh-CN"/>
        </w:rPr>
      </w:pPr>
      <w:r>
        <w:rPr>
          <w:rFonts w:hint="eastAsia"/>
        </w:rPr>
        <w:t>非正常工况下，污染物排放量核</w:t>
      </w:r>
      <w:r>
        <w:rPr>
          <w:rStyle w:val="258"/>
          <w:rFonts w:eastAsia="宋体"/>
        </w:rPr>
        <w:t>算见</w:t>
      </w:r>
      <w:r>
        <w:rPr>
          <w:rStyle w:val="258"/>
          <w:rFonts w:hint="eastAsia" w:eastAsia="宋体"/>
        </w:rPr>
        <w:t>表5.2-36</w:t>
      </w:r>
      <w:r>
        <w:rPr>
          <w:rStyle w:val="258"/>
          <w:rFonts w:eastAsia="宋体"/>
        </w:rPr>
        <w:t>。</w:t>
      </w:r>
    </w:p>
    <w:p w14:paraId="24936206">
      <w:pPr>
        <w:pStyle w:val="118"/>
      </w:pPr>
      <w:r>
        <w:rPr>
          <w:rFonts w:hint="eastAsia"/>
        </w:rPr>
        <w:t>表5.2-36</w:t>
      </w:r>
      <w:r>
        <w:t xml:space="preserve">  </w:t>
      </w:r>
      <w:r>
        <w:rPr>
          <w:rFonts w:hint="eastAsia"/>
        </w:rPr>
        <w:t>污染源非正常</w:t>
      </w:r>
      <w:r>
        <w:t>排放量核算表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50"/>
        <w:gridCol w:w="1165"/>
        <w:gridCol w:w="874"/>
        <w:gridCol w:w="1258"/>
        <w:gridCol w:w="1113"/>
        <w:gridCol w:w="953"/>
        <w:gridCol w:w="795"/>
        <w:gridCol w:w="1997"/>
      </w:tblGrid>
      <w:tr w14:paraId="52B9EA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Align w:val="center"/>
          </w:tcPr>
          <w:p w14:paraId="45243708">
            <w:pPr>
              <w:pStyle w:val="133"/>
              <w:rPr>
                <w:b/>
                <w:bCs/>
                <w:szCs w:val="21"/>
              </w:rPr>
            </w:pPr>
            <w:r>
              <w:rPr>
                <w:b/>
                <w:bCs/>
                <w:szCs w:val="21"/>
              </w:rPr>
              <w:t>污染源</w:t>
            </w:r>
          </w:p>
        </w:tc>
        <w:tc>
          <w:tcPr>
            <w:tcW w:w="1134" w:type="dxa"/>
            <w:vAlign w:val="center"/>
          </w:tcPr>
          <w:p w14:paraId="195FF6E4">
            <w:pPr>
              <w:pStyle w:val="133"/>
              <w:rPr>
                <w:b/>
                <w:bCs/>
                <w:szCs w:val="21"/>
              </w:rPr>
            </w:pPr>
            <w:r>
              <w:rPr>
                <w:b/>
                <w:bCs/>
                <w:szCs w:val="21"/>
              </w:rPr>
              <w:t>非正常排放原因</w:t>
            </w:r>
          </w:p>
        </w:tc>
        <w:tc>
          <w:tcPr>
            <w:tcW w:w="851" w:type="dxa"/>
            <w:vAlign w:val="center"/>
          </w:tcPr>
          <w:p w14:paraId="118F3929">
            <w:pPr>
              <w:pStyle w:val="133"/>
              <w:rPr>
                <w:b/>
                <w:bCs/>
                <w:szCs w:val="21"/>
              </w:rPr>
            </w:pPr>
            <w:r>
              <w:rPr>
                <w:b/>
                <w:bCs/>
                <w:szCs w:val="21"/>
              </w:rPr>
              <w:t>污染物</w:t>
            </w:r>
          </w:p>
        </w:tc>
        <w:tc>
          <w:tcPr>
            <w:tcW w:w="1225" w:type="dxa"/>
            <w:vAlign w:val="center"/>
          </w:tcPr>
          <w:p w14:paraId="3E909371">
            <w:pPr>
              <w:pStyle w:val="133"/>
              <w:rPr>
                <w:b/>
                <w:bCs/>
                <w:szCs w:val="21"/>
              </w:rPr>
            </w:pPr>
            <w:r>
              <w:rPr>
                <w:b/>
                <w:bCs/>
                <w:szCs w:val="21"/>
              </w:rPr>
              <w:t>非正常排放浓度</w:t>
            </w:r>
            <w:r>
              <w:rPr>
                <w:rFonts w:hint="eastAsia"/>
                <w:b/>
                <w:bCs/>
                <w:szCs w:val="21"/>
              </w:rPr>
              <w:t>（m</w:t>
            </w:r>
            <w:r>
              <w:rPr>
                <w:b/>
                <w:bCs/>
                <w:szCs w:val="21"/>
              </w:rPr>
              <w:t>g/</w:t>
            </w:r>
            <w:r>
              <w:rPr>
                <w:rFonts w:hint="eastAsia"/>
                <w:b/>
                <w:bCs/>
                <w:szCs w:val="21"/>
              </w:rPr>
              <w:t>m</w:t>
            </w:r>
            <w:r>
              <w:rPr>
                <w:rFonts w:hint="eastAsia"/>
                <w:b/>
                <w:bCs/>
                <w:szCs w:val="21"/>
                <w:vertAlign w:val="superscript"/>
              </w:rPr>
              <w:t>3</w:t>
            </w:r>
            <w:r>
              <w:rPr>
                <w:rFonts w:hint="eastAsia"/>
                <w:b/>
                <w:bCs/>
                <w:szCs w:val="21"/>
              </w:rPr>
              <w:t>）</w:t>
            </w:r>
          </w:p>
        </w:tc>
        <w:tc>
          <w:tcPr>
            <w:tcW w:w="1084" w:type="dxa"/>
            <w:vAlign w:val="center"/>
          </w:tcPr>
          <w:p w14:paraId="4B751CB5">
            <w:pPr>
              <w:pStyle w:val="133"/>
              <w:rPr>
                <w:b/>
                <w:bCs/>
                <w:szCs w:val="21"/>
              </w:rPr>
            </w:pPr>
            <w:r>
              <w:rPr>
                <w:b/>
                <w:bCs/>
                <w:szCs w:val="21"/>
              </w:rPr>
              <w:t>非正常排放速率</w:t>
            </w:r>
            <w:r>
              <w:rPr>
                <w:rFonts w:hint="eastAsia"/>
                <w:b/>
                <w:bCs/>
                <w:szCs w:val="21"/>
              </w:rPr>
              <w:t>/（kg/h）</w:t>
            </w:r>
          </w:p>
        </w:tc>
        <w:tc>
          <w:tcPr>
            <w:tcW w:w="928" w:type="dxa"/>
            <w:vAlign w:val="center"/>
          </w:tcPr>
          <w:p w14:paraId="66DB309B">
            <w:pPr>
              <w:pStyle w:val="133"/>
              <w:rPr>
                <w:b/>
                <w:bCs/>
                <w:szCs w:val="21"/>
              </w:rPr>
            </w:pPr>
            <w:r>
              <w:rPr>
                <w:b/>
                <w:bCs/>
                <w:szCs w:val="21"/>
              </w:rPr>
              <w:t>单次持续时间</w:t>
            </w:r>
            <w:r>
              <w:rPr>
                <w:rFonts w:hint="eastAsia"/>
                <w:b/>
                <w:bCs/>
                <w:szCs w:val="21"/>
              </w:rPr>
              <w:t>/h</w:t>
            </w:r>
          </w:p>
        </w:tc>
        <w:tc>
          <w:tcPr>
            <w:tcW w:w="774" w:type="dxa"/>
            <w:vAlign w:val="center"/>
          </w:tcPr>
          <w:p w14:paraId="01E496E2">
            <w:pPr>
              <w:pStyle w:val="133"/>
              <w:rPr>
                <w:b/>
                <w:bCs/>
                <w:szCs w:val="21"/>
              </w:rPr>
            </w:pPr>
            <w:r>
              <w:rPr>
                <w:b/>
                <w:bCs/>
                <w:szCs w:val="21"/>
              </w:rPr>
              <w:t>年发生频次</w:t>
            </w:r>
            <w:r>
              <w:rPr>
                <w:rFonts w:hint="eastAsia"/>
                <w:b/>
                <w:bCs/>
                <w:szCs w:val="21"/>
              </w:rPr>
              <w:t>/次</w:t>
            </w:r>
          </w:p>
        </w:tc>
        <w:tc>
          <w:tcPr>
            <w:tcW w:w="1944" w:type="dxa"/>
            <w:vAlign w:val="center"/>
          </w:tcPr>
          <w:p w14:paraId="397D1725">
            <w:pPr>
              <w:pStyle w:val="133"/>
              <w:rPr>
                <w:b/>
                <w:bCs/>
                <w:szCs w:val="21"/>
              </w:rPr>
            </w:pPr>
            <w:r>
              <w:rPr>
                <w:b/>
                <w:bCs/>
                <w:szCs w:val="21"/>
              </w:rPr>
              <w:t>应对</w:t>
            </w:r>
          </w:p>
          <w:p w14:paraId="0EEDC562">
            <w:pPr>
              <w:pStyle w:val="133"/>
              <w:rPr>
                <w:b/>
                <w:bCs/>
                <w:szCs w:val="21"/>
              </w:rPr>
            </w:pPr>
            <w:r>
              <w:rPr>
                <w:b/>
                <w:bCs/>
                <w:szCs w:val="21"/>
              </w:rPr>
              <w:t>措施</w:t>
            </w:r>
          </w:p>
        </w:tc>
      </w:tr>
      <w:tr w14:paraId="36A55A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restart"/>
            <w:vAlign w:val="center"/>
          </w:tcPr>
          <w:p w14:paraId="41544644">
            <w:pPr>
              <w:pStyle w:val="133"/>
              <w:rPr>
                <w:szCs w:val="21"/>
              </w:rPr>
            </w:pPr>
            <w:r>
              <w:rPr>
                <w:rFonts w:hint="eastAsia"/>
                <w:szCs w:val="21"/>
              </w:rPr>
              <w:t>净化煤气事故放散废气1、2、3</w:t>
            </w:r>
          </w:p>
        </w:tc>
        <w:tc>
          <w:tcPr>
            <w:tcW w:w="1134" w:type="dxa"/>
            <w:vMerge w:val="restart"/>
            <w:vAlign w:val="center"/>
          </w:tcPr>
          <w:p w14:paraId="5918873A">
            <w:pPr>
              <w:pStyle w:val="133"/>
              <w:rPr>
                <w:szCs w:val="21"/>
              </w:rPr>
            </w:pPr>
            <w:r>
              <w:rPr>
                <w:rFonts w:hint="eastAsia"/>
                <w:szCs w:val="21"/>
              </w:rPr>
              <w:t>净化煤气事故放散</w:t>
            </w:r>
          </w:p>
        </w:tc>
        <w:tc>
          <w:tcPr>
            <w:tcW w:w="851" w:type="dxa"/>
            <w:vAlign w:val="center"/>
          </w:tcPr>
          <w:p w14:paraId="1D08A4D3">
            <w:pPr>
              <w:pStyle w:val="133"/>
              <w:rPr>
                <w:szCs w:val="21"/>
              </w:rPr>
            </w:pPr>
            <w:r>
              <w:rPr>
                <w:rFonts w:hint="eastAsia"/>
                <w:szCs w:val="21"/>
              </w:rPr>
              <w:t>颗粒物</w:t>
            </w:r>
          </w:p>
        </w:tc>
        <w:tc>
          <w:tcPr>
            <w:tcW w:w="1225" w:type="dxa"/>
            <w:vAlign w:val="center"/>
          </w:tcPr>
          <w:p w14:paraId="6FA7E394">
            <w:pPr>
              <w:pStyle w:val="133"/>
              <w:rPr>
                <w:szCs w:val="21"/>
              </w:rPr>
            </w:pPr>
            <w:r>
              <w:rPr>
                <w:rFonts w:hint="eastAsia"/>
              </w:rPr>
              <w:t>59</w:t>
            </w:r>
          </w:p>
        </w:tc>
        <w:tc>
          <w:tcPr>
            <w:tcW w:w="1084" w:type="dxa"/>
            <w:vAlign w:val="center"/>
          </w:tcPr>
          <w:p w14:paraId="16D2960F">
            <w:pPr>
              <w:pStyle w:val="133"/>
              <w:rPr>
                <w:szCs w:val="21"/>
              </w:rPr>
            </w:pPr>
            <w:r>
              <w:rPr>
                <w:rFonts w:hint="eastAsia"/>
              </w:rPr>
              <w:t>8.95</w:t>
            </w:r>
          </w:p>
        </w:tc>
        <w:tc>
          <w:tcPr>
            <w:tcW w:w="928" w:type="dxa"/>
            <w:vAlign w:val="center"/>
          </w:tcPr>
          <w:p w14:paraId="27D38981">
            <w:pPr>
              <w:pStyle w:val="133"/>
              <w:rPr>
                <w:szCs w:val="21"/>
              </w:rPr>
            </w:pPr>
            <w:r>
              <w:rPr>
                <w:rFonts w:hint="eastAsia"/>
                <w:szCs w:val="21"/>
              </w:rPr>
              <w:t>1</w:t>
            </w:r>
          </w:p>
        </w:tc>
        <w:tc>
          <w:tcPr>
            <w:tcW w:w="774" w:type="dxa"/>
            <w:vAlign w:val="center"/>
          </w:tcPr>
          <w:p w14:paraId="794EDB59">
            <w:pPr>
              <w:pStyle w:val="133"/>
              <w:rPr>
                <w:szCs w:val="21"/>
              </w:rPr>
            </w:pPr>
            <w:r>
              <w:rPr>
                <w:rFonts w:hint="eastAsia"/>
                <w:szCs w:val="21"/>
              </w:rPr>
              <w:t>1</w:t>
            </w:r>
          </w:p>
        </w:tc>
        <w:tc>
          <w:tcPr>
            <w:tcW w:w="1944" w:type="dxa"/>
            <w:vMerge w:val="restart"/>
            <w:vAlign w:val="center"/>
          </w:tcPr>
          <w:p w14:paraId="6141DC17">
            <w:pPr>
              <w:pStyle w:val="133"/>
              <w:rPr>
                <w:szCs w:val="21"/>
              </w:rPr>
            </w:pPr>
            <w:r>
              <w:rPr>
                <w:rFonts w:hint="eastAsia"/>
                <w:szCs w:val="21"/>
              </w:rPr>
              <w:t>加强环保设施维护，保障其稳定正常运行。</w:t>
            </w:r>
          </w:p>
        </w:tc>
      </w:tr>
      <w:tr w14:paraId="0970BE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0099AC17">
            <w:pPr>
              <w:pStyle w:val="133"/>
              <w:rPr>
                <w:szCs w:val="21"/>
              </w:rPr>
            </w:pPr>
          </w:p>
        </w:tc>
        <w:tc>
          <w:tcPr>
            <w:tcW w:w="1134" w:type="dxa"/>
            <w:vMerge w:val="continue"/>
            <w:vAlign w:val="center"/>
          </w:tcPr>
          <w:p w14:paraId="226BAF9F">
            <w:pPr>
              <w:pStyle w:val="133"/>
              <w:rPr>
                <w:szCs w:val="21"/>
              </w:rPr>
            </w:pPr>
          </w:p>
        </w:tc>
        <w:tc>
          <w:tcPr>
            <w:tcW w:w="851" w:type="dxa"/>
            <w:vAlign w:val="center"/>
          </w:tcPr>
          <w:p w14:paraId="183D2242">
            <w:pPr>
              <w:pStyle w:val="133"/>
              <w:rPr>
                <w:szCs w:val="21"/>
              </w:rPr>
            </w:pPr>
            <w:r>
              <w:rPr>
                <w:szCs w:val="21"/>
              </w:rPr>
              <w:t>SO</w:t>
            </w:r>
            <w:r>
              <w:rPr>
                <w:szCs w:val="21"/>
                <w:vertAlign w:val="subscript"/>
              </w:rPr>
              <w:t>2</w:t>
            </w:r>
          </w:p>
        </w:tc>
        <w:tc>
          <w:tcPr>
            <w:tcW w:w="1225" w:type="dxa"/>
            <w:vAlign w:val="center"/>
          </w:tcPr>
          <w:p w14:paraId="7C58057E">
            <w:pPr>
              <w:pStyle w:val="133"/>
              <w:rPr>
                <w:szCs w:val="21"/>
              </w:rPr>
            </w:pPr>
            <w:r>
              <w:rPr>
                <w:rFonts w:hint="eastAsia"/>
              </w:rPr>
              <w:t>309</w:t>
            </w:r>
          </w:p>
        </w:tc>
        <w:tc>
          <w:tcPr>
            <w:tcW w:w="1084" w:type="dxa"/>
            <w:vAlign w:val="center"/>
          </w:tcPr>
          <w:p w14:paraId="57D7AE37">
            <w:pPr>
              <w:pStyle w:val="133"/>
              <w:rPr>
                <w:szCs w:val="21"/>
              </w:rPr>
            </w:pPr>
            <w:r>
              <w:rPr>
                <w:rFonts w:hint="eastAsia"/>
              </w:rPr>
              <w:t>47.14</w:t>
            </w:r>
          </w:p>
        </w:tc>
        <w:tc>
          <w:tcPr>
            <w:tcW w:w="928" w:type="dxa"/>
            <w:vAlign w:val="center"/>
          </w:tcPr>
          <w:p w14:paraId="08436ABF">
            <w:pPr>
              <w:pStyle w:val="133"/>
              <w:rPr>
                <w:szCs w:val="21"/>
              </w:rPr>
            </w:pPr>
            <w:r>
              <w:rPr>
                <w:rFonts w:hint="eastAsia"/>
                <w:szCs w:val="21"/>
              </w:rPr>
              <w:t>1</w:t>
            </w:r>
          </w:p>
        </w:tc>
        <w:tc>
          <w:tcPr>
            <w:tcW w:w="774" w:type="dxa"/>
            <w:vAlign w:val="center"/>
          </w:tcPr>
          <w:p w14:paraId="1D62D10B">
            <w:pPr>
              <w:pStyle w:val="133"/>
              <w:rPr>
                <w:szCs w:val="21"/>
              </w:rPr>
            </w:pPr>
            <w:r>
              <w:rPr>
                <w:rFonts w:hint="eastAsia"/>
                <w:szCs w:val="21"/>
              </w:rPr>
              <w:t>1</w:t>
            </w:r>
          </w:p>
        </w:tc>
        <w:tc>
          <w:tcPr>
            <w:tcW w:w="1944" w:type="dxa"/>
            <w:vMerge w:val="continue"/>
            <w:vAlign w:val="center"/>
          </w:tcPr>
          <w:p w14:paraId="72FA5A8D">
            <w:pPr>
              <w:pStyle w:val="133"/>
              <w:rPr>
                <w:szCs w:val="21"/>
              </w:rPr>
            </w:pPr>
          </w:p>
        </w:tc>
      </w:tr>
      <w:tr w14:paraId="278206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455B11BA">
            <w:pPr>
              <w:pStyle w:val="133"/>
              <w:rPr>
                <w:szCs w:val="21"/>
              </w:rPr>
            </w:pPr>
          </w:p>
        </w:tc>
        <w:tc>
          <w:tcPr>
            <w:tcW w:w="1134" w:type="dxa"/>
            <w:vMerge w:val="continue"/>
            <w:vAlign w:val="center"/>
          </w:tcPr>
          <w:p w14:paraId="51C3DA0C">
            <w:pPr>
              <w:pStyle w:val="133"/>
              <w:rPr>
                <w:szCs w:val="21"/>
              </w:rPr>
            </w:pPr>
          </w:p>
        </w:tc>
        <w:tc>
          <w:tcPr>
            <w:tcW w:w="851" w:type="dxa"/>
            <w:vAlign w:val="center"/>
          </w:tcPr>
          <w:p w14:paraId="6190D127">
            <w:pPr>
              <w:pStyle w:val="133"/>
              <w:rPr>
                <w:szCs w:val="21"/>
              </w:rPr>
            </w:pPr>
            <w:r>
              <w:rPr>
                <w:szCs w:val="21"/>
              </w:rPr>
              <w:t>NO</w:t>
            </w:r>
            <w:r>
              <w:rPr>
                <w:szCs w:val="21"/>
                <w:vertAlign w:val="subscript"/>
              </w:rPr>
              <w:t>X</w:t>
            </w:r>
          </w:p>
        </w:tc>
        <w:tc>
          <w:tcPr>
            <w:tcW w:w="1225" w:type="dxa"/>
            <w:vAlign w:val="center"/>
          </w:tcPr>
          <w:p w14:paraId="0BB4BA5C">
            <w:pPr>
              <w:pStyle w:val="133"/>
              <w:rPr>
                <w:szCs w:val="21"/>
              </w:rPr>
            </w:pPr>
            <w:r>
              <w:rPr>
                <w:rFonts w:hint="eastAsia"/>
              </w:rPr>
              <w:t>347</w:t>
            </w:r>
          </w:p>
        </w:tc>
        <w:tc>
          <w:tcPr>
            <w:tcW w:w="1084" w:type="dxa"/>
            <w:vAlign w:val="center"/>
          </w:tcPr>
          <w:p w14:paraId="2F5E1232">
            <w:pPr>
              <w:pStyle w:val="133"/>
              <w:rPr>
                <w:szCs w:val="21"/>
              </w:rPr>
            </w:pPr>
            <w:r>
              <w:rPr>
                <w:rFonts w:hint="eastAsia"/>
              </w:rPr>
              <w:t>53.02</w:t>
            </w:r>
          </w:p>
        </w:tc>
        <w:tc>
          <w:tcPr>
            <w:tcW w:w="928" w:type="dxa"/>
            <w:vAlign w:val="center"/>
          </w:tcPr>
          <w:p w14:paraId="46ECD989">
            <w:pPr>
              <w:pStyle w:val="133"/>
              <w:rPr>
                <w:szCs w:val="21"/>
              </w:rPr>
            </w:pPr>
            <w:r>
              <w:rPr>
                <w:rFonts w:hint="eastAsia"/>
                <w:szCs w:val="21"/>
              </w:rPr>
              <w:t>1</w:t>
            </w:r>
          </w:p>
        </w:tc>
        <w:tc>
          <w:tcPr>
            <w:tcW w:w="774" w:type="dxa"/>
            <w:vAlign w:val="center"/>
          </w:tcPr>
          <w:p w14:paraId="076240A7">
            <w:pPr>
              <w:pStyle w:val="133"/>
              <w:rPr>
                <w:szCs w:val="21"/>
              </w:rPr>
            </w:pPr>
            <w:r>
              <w:rPr>
                <w:rFonts w:hint="eastAsia"/>
                <w:szCs w:val="21"/>
              </w:rPr>
              <w:t>1</w:t>
            </w:r>
          </w:p>
        </w:tc>
        <w:tc>
          <w:tcPr>
            <w:tcW w:w="1944" w:type="dxa"/>
            <w:vMerge w:val="continue"/>
            <w:vAlign w:val="center"/>
          </w:tcPr>
          <w:p w14:paraId="5F56FF03">
            <w:pPr>
              <w:pStyle w:val="133"/>
              <w:rPr>
                <w:szCs w:val="21"/>
              </w:rPr>
            </w:pPr>
          </w:p>
        </w:tc>
      </w:tr>
      <w:tr w14:paraId="7A6373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424827D1">
            <w:pPr>
              <w:pStyle w:val="133"/>
              <w:rPr>
                <w:szCs w:val="21"/>
              </w:rPr>
            </w:pPr>
          </w:p>
        </w:tc>
        <w:tc>
          <w:tcPr>
            <w:tcW w:w="1134" w:type="dxa"/>
            <w:vMerge w:val="continue"/>
            <w:vAlign w:val="center"/>
          </w:tcPr>
          <w:p w14:paraId="652C6380">
            <w:pPr>
              <w:pStyle w:val="133"/>
              <w:rPr>
                <w:szCs w:val="21"/>
              </w:rPr>
            </w:pPr>
          </w:p>
        </w:tc>
        <w:tc>
          <w:tcPr>
            <w:tcW w:w="851" w:type="dxa"/>
            <w:vAlign w:val="center"/>
          </w:tcPr>
          <w:p w14:paraId="72F218E3">
            <w:pPr>
              <w:pStyle w:val="133"/>
              <w:rPr>
                <w:szCs w:val="21"/>
              </w:rPr>
            </w:pPr>
            <w:r>
              <w:rPr>
                <w:rFonts w:hint="eastAsia"/>
                <w:szCs w:val="21"/>
              </w:rPr>
              <w:t>颗粒物</w:t>
            </w:r>
          </w:p>
        </w:tc>
        <w:tc>
          <w:tcPr>
            <w:tcW w:w="1225" w:type="dxa"/>
            <w:vAlign w:val="center"/>
          </w:tcPr>
          <w:p w14:paraId="4CB1B22D">
            <w:pPr>
              <w:pStyle w:val="133"/>
              <w:rPr>
                <w:szCs w:val="21"/>
              </w:rPr>
            </w:pPr>
            <w:r>
              <w:rPr>
                <w:rFonts w:hint="eastAsia"/>
              </w:rPr>
              <w:t>59</w:t>
            </w:r>
          </w:p>
        </w:tc>
        <w:tc>
          <w:tcPr>
            <w:tcW w:w="1084" w:type="dxa"/>
            <w:vAlign w:val="center"/>
          </w:tcPr>
          <w:p w14:paraId="580D4FF9">
            <w:pPr>
              <w:pStyle w:val="133"/>
              <w:rPr>
                <w:szCs w:val="21"/>
              </w:rPr>
            </w:pPr>
            <w:r>
              <w:rPr>
                <w:rFonts w:hint="eastAsia"/>
              </w:rPr>
              <w:t>8.95</w:t>
            </w:r>
          </w:p>
        </w:tc>
        <w:tc>
          <w:tcPr>
            <w:tcW w:w="928" w:type="dxa"/>
            <w:vAlign w:val="center"/>
          </w:tcPr>
          <w:p w14:paraId="11C1E551">
            <w:pPr>
              <w:pStyle w:val="133"/>
              <w:rPr>
                <w:szCs w:val="21"/>
              </w:rPr>
            </w:pPr>
            <w:r>
              <w:rPr>
                <w:rFonts w:hint="eastAsia"/>
                <w:szCs w:val="21"/>
              </w:rPr>
              <w:t>1</w:t>
            </w:r>
          </w:p>
        </w:tc>
        <w:tc>
          <w:tcPr>
            <w:tcW w:w="774" w:type="dxa"/>
            <w:vAlign w:val="center"/>
          </w:tcPr>
          <w:p w14:paraId="56871071">
            <w:pPr>
              <w:pStyle w:val="133"/>
              <w:rPr>
                <w:szCs w:val="21"/>
              </w:rPr>
            </w:pPr>
            <w:r>
              <w:rPr>
                <w:rFonts w:hint="eastAsia"/>
                <w:szCs w:val="21"/>
              </w:rPr>
              <w:t>1</w:t>
            </w:r>
          </w:p>
        </w:tc>
        <w:tc>
          <w:tcPr>
            <w:tcW w:w="1944" w:type="dxa"/>
            <w:vMerge w:val="continue"/>
            <w:vAlign w:val="center"/>
          </w:tcPr>
          <w:p w14:paraId="168EABD9">
            <w:pPr>
              <w:pStyle w:val="133"/>
              <w:rPr>
                <w:szCs w:val="21"/>
              </w:rPr>
            </w:pPr>
          </w:p>
        </w:tc>
      </w:tr>
      <w:tr w14:paraId="0F7EBC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545D923A">
            <w:pPr>
              <w:pStyle w:val="133"/>
              <w:rPr>
                <w:szCs w:val="21"/>
              </w:rPr>
            </w:pPr>
          </w:p>
        </w:tc>
        <w:tc>
          <w:tcPr>
            <w:tcW w:w="1134" w:type="dxa"/>
            <w:vMerge w:val="continue"/>
            <w:vAlign w:val="center"/>
          </w:tcPr>
          <w:p w14:paraId="24BF9B81">
            <w:pPr>
              <w:pStyle w:val="133"/>
              <w:rPr>
                <w:szCs w:val="21"/>
              </w:rPr>
            </w:pPr>
          </w:p>
        </w:tc>
        <w:tc>
          <w:tcPr>
            <w:tcW w:w="851" w:type="dxa"/>
            <w:vAlign w:val="center"/>
          </w:tcPr>
          <w:p w14:paraId="65BD74EF">
            <w:pPr>
              <w:pStyle w:val="133"/>
              <w:rPr>
                <w:szCs w:val="21"/>
              </w:rPr>
            </w:pPr>
            <w:r>
              <w:rPr>
                <w:szCs w:val="21"/>
              </w:rPr>
              <w:t>SO</w:t>
            </w:r>
            <w:r>
              <w:rPr>
                <w:szCs w:val="21"/>
                <w:vertAlign w:val="subscript"/>
              </w:rPr>
              <w:t>2</w:t>
            </w:r>
          </w:p>
        </w:tc>
        <w:tc>
          <w:tcPr>
            <w:tcW w:w="1225" w:type="dxa"/>
            <w:vAlign w:val="center"/>
          </w:tcPr>
          <w:p w14:paraId="303BE332">
            <w:pPr>
              <w:pStyle w:val="133"/>
              <w:rPr>
                <w:szCs w:val="21"/>
              </w:rPr>
            </w:pPr>
            <w:r>
              <w:rPr>
                <w:rFonts w:hint="eastAsia"/>
              </w:rPr>
              <w:t>309</w:t>
            </w:r>
          </w:p>
        </w:tc>
        <w:tc>
          <w:tcPr>
            <w:tcW w:w="1084" w:type="dxa"/>
            <w:vAlign w:val="center"/>
          </w:tcPr>
          <w:p w14:paraId="0487BE00">
            <w:pPr>
              <w:pStyle w:val="133"/>
              <w:rPr>
                <w:szCs w:val="21"/>
              </w:rPr>
            </w:pPr>
            <w:r>
              <w:rPr>
                <w:rFonts w:hint="eastAsia"/>
              </w:rPr>
              <w:t>47.14</w:t>
            </w:r>
          </w:p>
        </w:tc>
        <w:tc>
          <w:tcPr>
            <w:tcW w:w="928" w:type="dxa"/>
            <w:vAlign w:val="center"/>
          </w:tcPr>
          <w:p w14:paraId="6690A864">
            <w:pPr>
              <w:pStyle w:val="133"/>
              <w:rPr>
                <w:szCs w:val="21"/>
              </w:rPr>
            </w:pPr>
            <w:r>
              <w:rPr>
                <w:rFonts w:hint="eastAsia"/>
                <w:szCs w:val="21"/>
              </w:rPr>
              <w:t>1</w:t>
            </w:r>
          </w:p>
        </w:tc>
        <w:tc>
          <w:tcPr>
            <w:tcW w:w="774" w:type="dxa"/>
            <w:vAlign w:val="center"/>
          </w:tcPr>
          <w:p w14:paraId="5698EC7A">
            <w:pPr>
              <w:pStyle w:val="133"/>
              <w:rPr>
                <w:szCs w:val="21"/>
              </w:rPr>
            </w:pPr>
            <w:r>
              <w:rPr>
                <w:rFonts w:hint="eastAsia"/>
                <w:szCs w:val="21"/>
              </w:rPr>
              <w:t>1</w:t>
            </w:r>
          </w:p>
        </w:tc>
        <w:tc>
          <w:tcPr>
            <w:tcW w:w="1944" w:type="dxa"/>
            <w:vMerge w:val="continue"/>
            <w:vAlign w:val="center"/>
          </w:tcPr>
          <w:p w14:paraId="43B4F097">
            <w:pPr>
              <w:pStyle w:val="133"/>
              <w:rPr>
                <w:szCs w:val="21"/>
              </w:rPr>
            </w:pPr>
          </w:p>
        </w:tc>
      </w:tr>
      <w:tr w14:paraId="3365BC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0C1C012C">
            <w:pPr>
              <w:pStyle w:val="133"/>
              <w:rPr>
                <w:szCs w:val="21"/>
              </w:rPr>
            </w:pPr>
          </w:p>
        </w:tc>
        <w:tc>
          <w:tcPr>
            <w:tcW w:w="1134" w:type="dxa"/>
            <w:vMerge w:val="continue"/>
            <w:vAlign w:val="center"/>
          </w:tcPr>
          <w:p w14:paraId="2965AC48">
            <w:pPr>
              <w:pStyle w:val="133"/>
              <w:rPr>
                <w:szCs w:val="21"/>
              </w:rPr>
            </w:pPr>
          </w:p>
        </w:tc>
        <w:tc>
          <w:tcPr>
            <w:tcW w:w="851" w:type="dxa"/>
            <w:vAlign w:val="center"/>
          </w:tcPr>
          <w:p w14:paraId="3C8F21F2">
            <w:pPr>
              <w:pStyle w:val="133"/>
              <w:rPr>
                <w:szCs w:val="21"/>
              </w:rPr>
            </w:pPr>
            <w:r>
              <w:rPr>
                <w:szCs w:val="21"/>
              </w:rPr>
              <w:t>NO</w:t>
            </w:r>
            <w:r>
              <w:rPr>
                <w:szCs w:val="21"/>
                <w:vertAlign w:val="subscript"/>
              </w:rPr>
              <w:t>X</w:t>
            </w:r>
          </w:p>
        </w:tc>
        <w:tc>
          <w:tcPr>
            <w:tcW w:w="1225" w:type="dxa"/>
            <w:vAlign w:val="center"/>
          </w:tcPr>
          <w:p w14:paraId="5A1607F2">
            <w:pPr>
              <w:pStyle w:val="133"/>
              <w:rPr>
                <w:szCs w:val="21"/>
              </w:rPr>
            </w:pPr>
            <w:r>
              <w:rPr>
                <w:rFonts w:hint="eastAsia"/>
              </w:rPr>
              <w:t>347</w:t>
            </w:r>
          </w:p>
        </w:tc>
        <w:tc>
          <w:tcPr>
            <w:tcW w:w="1084" w:type="dxa"/>
            <w:vAlign w:val="center"/>
          </w:tcPr>
          <w:p w14:paraId="1A3BB040">
            <w:pPr>
              <w:pStyle w:val="133"/>
              <w:rPr>
                <w:szCs w:val="21"/>
              </w:rPr>
            </w:pPr>
            <w:r>
              <w:rPr>
                <w:rFonts w:hint="eastAsia"/>
              </w:rPr>
              <w:t>53.02</w:t>
            </w:r>
          </w:p>
        </w:tc>
        <w:tc>
          <w:tcPr>
            <w:tcW w:w="928" w:type="dxa"/>
            <w:vAlign w:val="center"/>
          </w:tcPr>
          <w:p w14:paraId="7EE538D9">
            <w:pPr>
              <w:pStyle w:val="133"/>
              <w:rPr>
                <w:szCs w:val="21"/>
              </w:rPr>
            </w:pPr>
            <w:r>
              <w:rPr>
                <w:rFonts w:hint="eastAsia"/>
                <w:szCs w:val="21"/>
              </w:rPr>
              <w:t>1</w:t>
            </w:r>
          </w:p>
        </w:tc>
        <w:tc>
          <w:tcPr>
            <w:tcW w:w="774" w:type="dxa"/>
            <w:vAlign w:val="center"/>
          </w:tcPr>
          <w:p w14:paraId="3AC2E67A">
            <w:pPr>
              <w:pStyle w:val="133"/>
              <w:rPr>
                <w:szCs w:val="21"/>
              </w:rPr>
            </w:pPr>
            <w:r>
              <w:rPr>
                <w:rFonts w:hint="eastAsia"/>
                <w:szCs w:val="21"/>
              </w:rPr>
              <w:t>1</w:t>
            </w:r>
          </w:p>
        </w:tc>
        <w:tc>
          <w:tcPr>
            <w:tcW w:w="1944" w:type="dxa"/>
            <w:vMerge w:val="continue"/>
            <w:vAlign w:val="center"/>
          </w:tcPr>
          <w:p w14:paraId="6210A3B8">
            <w:pPr>
              <w:pStyle w:val="133"/>
              <w:rPr>
                <w:szCs w:val="21"/>
              </w:rPr>
            </w:pPr>
          </w:p>
        </w:tc>
      </w:tr>
      <w:tr w14:paraId="68BEBF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60EB7837">
            <w:pPr>
              <w:pStyle w:val="133"/>
              <w:rPr>
                <w:szCs w:val="21"/>
              </w:rPr>
            </w:pPr>
          </w:p>
        </w:tc>
        <w:tc>
          <w:tcPr>
            <w:tcW w:w="1134" w:type="dxa"/>
            <w:vMerge w:val="continue"/>
            <w:vAlign w:val="center"/>
          </w:tcPr>
          <w:p w14:paraId="446FB2BE">
            <w:pPr>
              <w:pStyle w:val="133"/>
              <w:rPr>
                <w:szCs w:val="21"/>
              </w:rPr>
            </w:pPr>
          </w:p>
        </w:tc>
        <w:tc>
          <w:tcPr>
            <w:tcW w:w="851" w:type="dxa"/>
            <w:vAlign w:val="center"/>
          </w:tcPr>
          <w:p w14:paraId="0C28F7EC">
            <w:pPr>
              <w:pStyle w:val="133"/>
              <w:rPr>
                <w:szCs w:val="21"/>
              </w:rPr>
            </w:pPr>
            <w:r>
              <w:rPr>
                <w:rFonts w:hint="eastAsia"/>
                <w:szCs w:val="21"/>
              </w:rPr>
              <w:t>颗粒物</w:t>
            </w:r>
          </w:p>
        </w:tc>
        <w:tc>
          <w:tcPr>
            <w:tcW w:w="1225" w:type="dxa"/>
            <w:vAlign w:val="center"/>
          </w:tcPr>
          <w:p w14:paraId="1ABBC47F">
            <w:pPr>
              <w:pStyle w:val="133"/>
              <w:rPr>
                <w:szCs w:val="21"/>
              </w:rPr>
            </w:pPr>
            <w:r>
              <w:rPr>
                <w:rFonts w:hint="eastAsia"/>
              </w:rPr>
              <w:t>59</w:t>
            </w:r>
          </w:p>
        </w:tc>
        <w:tc>
          <w:tcPr>
            <w:tcW w:w="1084" w:type="dxa"/>
            <w:vAlign w:val="center"/>
          </w:tcPr>
          <w:p w14:paraId="306DF29C">
            <w:pPr>
              <w:pStyle w:val="133"/>
              <w:rPr>
                <w:szCs w:val="21"/>
              </w:rPr>
            </w:pPr>
            <w:r>
              <w:rPr>
                <w:rFonts w:hint="eastAsia"/>
              </w:rPr>
              <w:t>8.95</w:t>
            </w:r>
          </w:p>
        </w:tc>
        <w:tc>
          <w:tcPr>
            <w:tcW w:w="928" w:type="dxa"/>
            <w:vAlign w:val="center"/>
          </w:tcPr>
          <w:p w14:paraId="0501268A">
            <w:pPr>
              <w:pStyle w:val="133"/>
              <w:rPr>
                <w:szCs w:val="21"/>
              </w:rPr>
            </w:pPr>
            <w:r>
              <w:rPr>
                <w:rFonts w:hint="eastAsia"/>
                <w:szCs w:val="21"/>
              </w:rPr>
              <w:t>1</w:t>
            </w:r>
          </w:p>
        </w:tc>
        <w:tc>
          <w:tcPr>
            <w:tcW w:w="774" w:type="dxa"/>
            <w:vAlign w:val="center"/>
          </w:tcPr>
          <w:p w14:paraId="183023C6">
            <w:pPr>
              <w:pStyle w:val="133"/>
              <w:rPr>
                <w:szCs w:val="21"/>
              </w:rPr>
            </w:pPr>
            <w:r>
              <w:rPr>
                <w:rFonts w:hint="eastAsia"/>
                <w:szCs w:val="21"/>
              </w:rPr>
              <w:t>1</w:t>
            </w:r>
          </w:p>
        </w:tc>
        <w:tc>
          <w:tcPr>
            <w:tcW w:w="1944" w:type="dxa"/>
            <w:vMerge w:val="continue"/>
            <w:vAlign w:val="center"/>
          </w:tcPr>
          <w:p w14:paraId="09D919C8">
            <w:pPr>
              <w:pStyle w:val="133"/>
              <w:rPr>
                <w:szCs w:val="21"/>
              </w:rPr>
            </w:pPr>
          </w:p>
        </w:tc>
      </w:tr>
      <w:tr w14:paraId="7BCD98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78CA899B">
            <w:pPr>
              <w:pStyle w:val="133"/>
              <w:rPr>
                <w:szCs w:val="21"/>
              </w:rPr>
            </w:pPr>
          </w:p>
        </w:tc>
        <w:tc>
          <w:tcPr>
            <w:tcW w:w="1134" w:type="dxa"/>
            <w:vMerge w:val="continue"/>
            <w:vAlign w:val="center"/>
          </w:tcPr>
          <w:p w14:paraId="0D0E04C2">
            <w:pPr>
              <w:pStyle w:val="133"/>
              <w:rPr>
                <w:szCs w:val="21"/>
              </w:rPr>
            </w:pPr>
          </w:p>
        </w:tc>
        <w:tc>
          <w:tcPr>
            <w:tcW w:w="851" w:type="dxa"/>
            <w:vAlign w:val="center"/>
          </w:tcPr>
          <w:p w14:paraId="6DD94D48">
            <w:pPr>
              <w:pStyle w:val="133"/>
              <w:rPr>
                <w:szCs w:val="21"/>
              </w:rPr>
            </w:pPr>
            <w:r>
              <w:rPr>
                <w:szCs w:val="21"/>
              </w:rPr>
              <w:t>SO</w:t>
            </w:r>
            <w:r>
              <w:rPr>
                <w:szCs w:val="21"/>
                <w:vertAlign w:val="subscript"/>
              </w:rPr>
              <w:t>2</w:t>
            </w:r>
          </w:p>
        </w:tc>
        <w:tc>
          <w:tcPr>
            <w:tcW w:w="1225" w:type="dxa"/>
            <w:vAlign w:val="center"/>
          </w:tcPr>
          <w:p w14:paraId="4476B5F2">
            <w:pPr>
              <w:pStyle w:val="133"/>
              <w:rPr>
                <w:szCs w:val="21"/>
              </w:rPr>
            </w:pPr>
            <w:r>
              <w:rPr>
                <w:rFonts w:hint="eastAsia"/>
              </w:rPr>
              <w:t>309</w:t>
            </w:r>
          </w:p>
        </w:tc>
        <w:tc>
          <w:tcPr>
            <w:tcW w:w="1084" w:type="dxa"/>
            <w:vAlign w:val="center"/>
          </w:tcPr>
          <w:p w14:paraId="192EE93F">
            <w:pPr>
              <w:pStyle w:val="133"/>
              <w:rPr>
                <w:szCs w:val="21"/>
              </w:rPr>
            </w:pPr>
            <w:r>
              <w:rPr>
                <w:rFonts w:hint="eastAsia"/>
              </w:rPr>
              <w:t>47.14</w:t>
            </w:r>
          </w:p>
        </w:tc>
        <w:tc>
          <w:tcPr>
            <w:tcW w:w="928" w:type="dxa"/>
            <w:vAlign w:val="center"/>
          </w:tcPr>
          <w:p w14:paraId="37B6D1AE">
            <w:pPr>
              <w:pStyle w:val="133"/>
              <w:rPr>
                <w:szCs w:val="21"/>
              </w:rPr>
            </w:pPr>
            <w:r>
              <w:rPr>
                <w:rFonts w:hint="eastAsia"/>
                <w:szCs w:val="21"/>
              </w:rPr>
              <w:t>1</w:t>
            </w:r>
          </w:p>
        </w:tc>
        <w:tc>
          <w:tcPr>
            <w:tcW w:w="774" w:type="dxa"/>
            <w:vAlign w:val="center"/>
          </w:tcPr>
          <w:p w14:paraId="7B96D819">
            <w:pPr>
              <w:pStyle w:val="133"/>
              <w:rPr>
                <w:szCs w:val="21"/>
              </w:rPr>
            </w:pPr>
            <w:r>
              <w:rPr>
                <w:rFonts w:hint="eastAsia"/>
                <w:szCs w:val="21"/>
              </w:rPr>
              <w:t>1</w:t>
            </w:r>
          </w:p>
        </w:tc>
        <w:tc>
          <w:tcPr>
            <w:tcW w:w="1944" w:type="dxa"/>
            <w:vMerge w:val="continue"/>
            <w:vAlign w:val="center"/>
          </w:tcPr>
          <w:p w14:paraId="64ED39C1">
            <w:pPr>
              <w:pStyle w:val="133"/>
              <w:rPr>
                <w:szCs w:val="21"/>
              </w:rPr>
            </w:pPr>
          </w:p>
        </w:tc>
      </w:tr>
      <w:tr w14:paraId="137F15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19708096">
            <w:pPr>
              <w:pStyle w:val="133"/>
              <w:rPr>
                <w:szCs w:val="21"/>
              </w:rPr>
            </w:pPr>
          </w:p>
        </w:tc>
        <w:tc>
          <w:tcPr>
            <w:tcW w:w="1134" w:type="dxa"/>
            <w:vMerge w:val="continue"/>
            <w:vAlign w:val="center"/>
          </w:tcPr>
          <w:p w14:paraId="0C01AEDF">
            <w:pPr>
              <w:pStyle w:val="133"/>
              <w:rPr>
                <w:szCs w:val="21"/>
              </w:rPr>
            </w:pPr>
          </w:p>
        </w:tc>
        <w:tc>
          <w:tcPr>
            <w:tcW w:w="851" w:type="dxa"/>
            <w:vAlign w:val="center"/>
          </w:tcPr>
          <w:p w14:paraId="379E5337">
            <w:pPr>
              <w:pStyle w:val="133"/>
              <w:rPr>
                <w:szCs w:val="21"/>
              </w:rPr>
            </w:pPr>
            <w:r>
              <w:rPr>
                <w:szCs w:val="21"/>
              </w:rPr>
              <w:t>NO</w:t>
            </w:r>
            <w:r>
              <w:rPr>
                <w:szCs w:val="21"/>
                <w:vertAlign w:val="subscript"/>
              </w:rPr>
              <w:t>X</w:t>
            </w:r>
          </w:p>
        </w:tc>
        <w:tc>
          <w:tcPr>
            <w:tcW w:w="1225" w:type="dxa"/>
            <w:vAlign w:val="center"/>
          </w:tcPr>
          <w:p w14:paraId="4FEB3348">
            <w:pPr>
              <w:pStyle w:val="133"/>
              <w:rPr>
                <w:szCs w:val="21"/>
              </w:rPr>
            </w:pPr>
            <w:r>
              <w:rPr>
                <w:rFonts w:hint="eastAsia"/>
              </w:rPr>
              <w:t>347</w:t>
            </w:r>
          </w:p>
        </w:tc>
        <w:tc>
          <w:tcPr>
            <w:tcW w:w="1084" w:type="dxa"/>
            <w:vAlign w:val="center"/>
          </w:tcPr>
          <w:p w14:paraId="0D1B23E1">
            <w:pPr>
              <w:pStyle w:val="133"/>
              <w:rPr>
                <w:szCs w:val="21"/>
              </w:rPr>
            </w:pPr>
            <w:r>
              <w:rPr>
                <w:rFonts w:hint="eastAsia"/>
              </w:rPr>
              <w:t>53.02</w:t>
            </w:r>
          </w:p>
        </w:tc>
        <w:tc>
          <w:tcPr>
            <w:tcW w:w="928" w:type="dxa"/>
            <w:vAlign w:val="center"/>
          </w:tcPr>
          <w:p w14:paraId="653C3698">
            <w:pPr>
              <w:pStyle w:val="133"/>
              <w:rPr>
                <w:szCs w:val="21"/>
              </w:rPr>
            </w:pPr>
            <w:r>
              <w:rPr>
                <w:rFonts w:hint="eastAsia"/>
                <w:szCs w:val="21"/>
              </w:rPr>
              <w:t>1</w:t>
            </w:r>
          </w:p>
        </w:tc>
        <w:tc>
          <w:tcPr>
            <w:tcW w:w="774" w:type="dxa"/>
            <w:vAlign w:val="center"/>
          </w:tcPr>
          <w:p w14:paraId="5207467A">
            <w:pPr>
              <w:pStyle w:val="133"/>
              <w:rPr>
                <w:szCs w:val="21"/>
              </w:rPr>
            </w:pPr>
            <w:r>
              <w:rPr>
                <w:rFonts w:hint="eastAsia"/>
                <w:szCs w:val="21"/>
              </w:rPr>
              <w:t>1</w:t>
            </w:r>
          </w:p>
        </w:tc>
        <w:tc>
          <w:tcPr>
            <w:tcW w:w="1944" w:type="dxa"/>
            <w:vMerge w:val="continue"/>
            <w:vAlign w:val="center"/>
          </w:tcPr>
          <w:p w14:paraId="7C278750">
            <w:pPr>
              <w:pStyle w:val="133"/>
              <w:rPr>
                <w:szCs w:val="21"/>
              </w:rPr>
            </w:pPr>
          </w:p>
        </w:tc>
      </w:tr>
      <w:tr w14:paraId="2C614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restart"/>
            <w:vAlign w:val="center"/>
          </w:tcPr>
          <w:p w14:paraId="0D7532F8">
            <w:pPr>
              <w:pStyle w:val="133"/>
              <w:rPr>
                <w:szCs w:val="21"/>
              </w:rPr>
            </w:pPr>
            <w:r>
              <w:rPr>
                <w:rFonts w:cs="Times New Roman"/>
              </w:rPr>
              <w:t>矿热炉烟气（单套除尘故障）</w:t>
            </w:r>
          </w:p>
        </w:tc>
        <w:tc>
          <w:tcPr>
            <w:tcW w:w="1134" w:type="dxa"/>
            <w:vMerge w:val="restart"/>
            <w:vAlign w:val="center"/>
          </w:tcPr>
          <w:p w14:paraId="64311C79">
            <w:pPr>
              <w:pStyle w:val="133"/>
              <w:rPr>
                <w:szCs w:val="21"/>
              </w:rPr>
            </w:pPr>
            <w:r>
              <w:rPr>
                <w:rFonts w:hint="eastAsia"/>
                <w:szCs w:val="21"/>
              </w:rPr>
              <w:t>除尘器效率降低</w:t>
            </w:r>
          </w:p>
        </w:tc>
        <w:tc>
          <w:tcPr>
            <w:tcW w:w="851" w:type="dxa"/>
            <w:vAlign w:val="center"/>
          </w:tcPr>
          <w:p w14:paraId="4B1E39A1">
            <w:pPr>
              <w:pStyle w:val="133"/>
              <w:rPr>
                <w:szCs w:val="21"/>
              </w:rPr>
            </w:pPr>
            <w:r>
              <w:rPr>
                <w:rFonts w:hint="eastAsia"/>
                <w:szCs w:val="21"/>
              </w:rPr>
              <w:t>颗粒物</w:t>
            </w:r>
          </w:p>
        </w:tc>
        <w:tc>
          <w:tcPr>
            <w:tcW w:w="1225" w:type="dxa"/>
            <w:vAlign w:val="center"/>
          </w:tcPr>
          <w:p w14:paraId="6195B000">
            <w:pPr>
              <w:pStyle w:val="133"/>
              <w:rPr>
                <w:szCs w:val="21"/>
              </w:rPr>
            </w:pPr>
            <w:r>
              <w:rPr>
                <w:rFonts w:hint="eastAsia" w:cs="Times New Roman"/>
              </w:rPr>
              <w:t>415.66</w:t>
            </w:r>
          </w:p>
        </w:tc>
        <w:tc>
          <w:tcPr>
            <w:tcW w:w="1084" w:type="dxa"/>
            <w:vAlign w:val="center"/>
          </w:tcPr>
          <w:p w14:paraId="468DDA06">
            <w:pPr>
              <w:pStyle w:val="133"/>
              <w:rPr>
                <w:szCs w:val="21"/>
              </w:rPr>
            </w:pPr>
            <w:r>
              <w:rPr>
                <w:rFonts w:hint="eastAsia" w:cs="Times New Roman"/>
              </w:rPr>
              <w:t>232.77</w:t>
            </w:r>
          </w:p>
        </w:tc>
        <w:tc>
          <w:tcPr>
            <w:tcW w:w="928" w:type="dxa"/>
            <w:vAlign w:val="center"/>
          </w:tcPr>
          <w:p w14:paraId="4AF1F2D8">
            <w:pPr>
              <w:pStyle w:val="133"/>
              <w:rPr>
                <w:szCs w:val="21"/>
              </w:rPr>
            </w:pPr>
            <w:r>
              <w:rPr>
                <w:rFonts w:hint="eastAsia"/>
                <w:szCs w:val="21"/>
              </w:rPr>
              <w:t>1</w:t>
            </w:r>
          </w:p>
        </w:tc>
        <w:tc>
          <w:tcPr>
            <w:tcW w:w="774" w:type="dxa"/>
            <w:vAlign w:val="center"/>
          </w:tcPr>
          <w:p w14:paraId="3EFE1A11">
            <w:pPr>
              <w:pStyle w:val="133"/>
              <w:rPr>
                <w:szCs w:val="21"/>
              </w:rPr>
            </w:pPr>
            <w:r>
              <w:rPr>
                <w:rFonts w:hint="eastAsia"/>
                <w:szCs w:val="21"/>
              </w:rPr>
              <w:t>1</w:t>
            </w:r>
          </w:p>
        </w:tc>
        <w:tc>
          <w:tcPr>
            <w:tcW w:w="1944" w:type="dxa"/>
            <w:vMerge w:val="continue"/>
            <w:vAlign w:val="center"/>
          </w:tcPr>
          <w:p w14:paraId="353AD099">
            <w:pPr>
              <w:pStyle w:val="133"/>
              <w:rPr>
                <w:szCs w:val="21"/>
              </w:rPr>
            </w:pPr>
          </w:p>
        </w:tc>
      </w:tr>
      <w:tr w14:paraId="709F8E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2C4428D7">
            <w:pPr>
              <w:pStyle w:val="133"/>
              <w:rPr>
                <w:szCs w:val="21"/>
              </w:rPr>
            </w:pPr>
          </w:p>
        </w:tc>
        <w:tc>
          <w:tcPr>
            <w:tcW w:w="1134" w:type="dxa"/>
            <w:vMerge w:val="continue"/>
            <w:vAlign w:val="center"/>
          </w:tcPr>
          <w:p w14:paraId="4DDF8F9B">
            <w:pPr>
              <w:pStyle w:val="133"/>
              <w:rPr>
                <w:szCs w:val="21"/>
              </w:rPr>
            </w:pPr>
          </w:p>
        </w:tc>
        <w:tc>
          <w:tcPr>
            <w:tcW w:w="851" w:type="dxa"/>
            <w:vAlign w:val="center"/>
          </w:tcPr>
          <w:p w14:paraId="1494FC70">
            <w:pPr>
              <w:pStyle w:val="133"/>
              <w:rPr>
                <w:szCs w:val="21"/>
              </w:rPr>
            </w:pPr>
            <w:r>
              <w:rPr>
                <w:szCs w:val="21"/>
              </w:rPr>
              <w:t>SO</w:t>
            </w:r>
            <w:r>
              <w:rPr>
                <w:szCs w:val="21"/>
                <w:vertAlign w:val="subscript"/>
              </w:rPr>
              <w:t>2</w:t>
            </w:r>
          </w:p>
        </w:tc>
        <w:tc>
          <w:tcPr>
            <w:tcW w:w="1225" w:type="dxa"/>
            <w:vAlign w:val="center"/>
          </w:tcPr>
          <w:p w14:paraId="32A500F9">
            <w:pPr>
              <w:pStyle w:val="133"/>
              <w:rPr>
                <w:szCs w:val="21"/>
              </w:rPr>
            </w:pPr>
            <w:r>
              <w:rPr>
                <w:rFonts w:hint="eastAsia" w:cs="Times New Roman"/>
              </w:rPr>
              <w:t>173.08</w:t>
            </w:r>
          </w:p>
        </w:tc>
        <w:tc>
          <w:tcPr>
            <w:tcW w:w="1084" w:type="dxa"/>
            <w:vAlign w:val="center"/>
          </w:tcPr>
          <w:p w14:paraId="7F231157">
            <w:pPr>
              <w:pStyle w:val="133"/>
              <w:rPr>
                <w:szCs w:val="21"/>
              </w:rPr>
            </w:pPr>
            <w:r>
              <w:rPr>
                <w:rFonts w:hint="eastAsia" w:cs="Times New Roman"/>
              </w:rPr>
              <w:t>96.93</w:t>
            </w:r>
          </w:p>
        </w:tc>
        <w:tc>
          <w:tcPr>
            <w:tcW w:w="928" w:type="dxa"/>
            <w:vAlign w:val="center"/>
          </w:tcPr>
          <w:p w14:paraId="7F5D4258">
            <w:pPr>
              <w:pStyle w:val="133"/>
              <w:rPr>
                <w:szCs w:val="21"/>
              </w:rPr>
            </w:pPr>
            <w:r>
              <w:rPr>
                <w:rFonts w:hint="eastAsia"/>
                <w:szCs w:val="21"/>
              </w:rPr>
              <w:t>1</w:t>
            </w:r>
          </w:p>
        </w:tc>
        <w:tc>
          <w:tcPr>
            <w:tcW w:w="774" w:type="dxa"/>
            <w:vAlign w:val="center"/>
          </w:tcPr>
          <w:p w14:paraId="37C72108">
            <w:pPr>
              <w:pStyle w:val="133"/>
              <w:rPr>
                <w:szCs w:val="21"/>
              </w:rPr>
            </w:pPr>
            <w:r>
              <w:rPr>
                <w:rFonts w:hint="eastAsia"/>
                <w:szCs w:val="21"/>
              </w:rPr>
              <w:t>1</w:t>
            </w:r>
          </w:p>
        </w:tc>
        <w:tc>
          <w:tcPr>
            <w:tcW w:w="1944" w:type="dxa"/>
            <w:vMerge w:val="continue"/>
            <w:vAlign w:val="center"/>
          </w:tcPr>
          <w:p w14:paraId="6D4AFB82">
            <w:pPr>
              <w:pStyle w:val="133"/>
              <w:rPr>
                <w:szCs w:val="21"/>
              </w:rPr>
            </w:pPr>
          </w:p>
        </w:tc>
      </w:tr>
      <w:tr w14:paraId="700634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19" w:type="dxa"/>
            <w:vMerge w:val="continue"/>
            <w:vAlign w:val="center"/>
          </w:tcPr>
          <w:p w14:paraId="342F9F9D">
            <w:pPr>
              <w:pStyle w:val="133"/>
              <w:rPr>
                <w:szCs w:val="21"/>
              </w:rPr>
            </w:pPr>
          </w:p>
        </w:tc>
        <w:tc>
          <w:tcPr>
            <w:tcW w:w="1134" w:type="dxa"/>
            <w:vMerge w:val="continue"/>
            <w:vAlign w:val="center"/>
          </w:tcPr>
          <w:p w14:paraId="220B1DE2">
            <w:pPr>
              <w:pStyle w:val="133"/>
              <w:rPr>
                <w:szCs w:val="21"/>
              </w:rPr>
            </w:pPr>
          </w:p>
        </w:tc>
        <w:tc>
          <w:tcPr>
            <w:tcW w:w="851" w:type="dxa"/>
            <w:vAlign w:val="center"/>
          </w:tcPr>
          <w:p w14:paraId="1F862465">
            <w:pPr>
              <w:pStyle w:val="133"/>
              <w:rPr>
                <w:szCs w:val="21"/>
              </w:rPr>
            </w:pPr>
            <w:r>
              <w:rPr>
                <w:szCs w:val="21"/>
              </w:rPr>
              <w:t>NO</w:t>
            </w:r>
            <w:r>
              <w:rPr>
                <w:szCs w:val="21"/>
                <w:vertAlign w:val="subscript"/>
              </w:rPr>
              <w:t>X</w:t>
            </w:r>
          </w:p>
        </w:tc>
        <w:tc>
          <w:tcPr>
            <w:tcW w:w="1225" w:type="dxa"/>
            <w:vAlign w:val="center"/>
          </w:tcPr>
          <w:p w14:paraId="782F007E">
            <w:pPr>
              <w:pStyle w:val="133"/>
              <w:rPr>
                <w:szCs w:val="21"/>
              </w:rPr>
            </w:pPr>
            <w:r>
              <w:rPr>
                <w:rFonts w:hint="eastAsia" w:cs="Times New Roman"/>
              </w:rPr>
              <w:t>34.77</w:t>
            </w:r>
          </w:p>
        </w:tc>
        <w:tc>
          <w:tcPr>
            <w:tcW w:w="1084" w:type="dxa"/>
            <w:vAlign w:val="center"/>
          </w:tcPr>
          <w:p w14:paraId="3E32DEC1">
            <w:pPr>
              <w:pStyle w:val="133"/>
              <w:rPr>
                <w:szCs w:val="21"/>
              </w:rPr>
            </w:pPr>
            <w:r>
              <w:rPr>
                <w:rFonts w:hint="eastAsia" w:cs="Times New Roman"/>
              </w:rPr>
              <w:t>19.47</w:t>
            </w:r>
          </w:p>
        </w:tc>
        <w:tc>
          <w:tcPr>
            <w:tcW w:w="928" w:type="dxa"/>
            <w:vAlign w:val="center"/>
          </w:tcPr>
          <w:p w14:paraId="40986B0E">
            <w:pPr>
              <w:pStyle w:val="133"/>
              <w:rPr>
                <w:szCs w:val="21"/>
              </w:rPr>
            </w:pPr>
            <w:r>
              <w:rPr>
                <w:rFonts w:hint="eastAsia"/>
                <w:szCs w:val="21"/>
              </w:rPr>
              <w:t>1</w:t>
            </w:r>
          </w:p>
        </w:tc>
        <w:tc>
          <w:tcPr>
            <w:tcW w:w="774" w:type="dxa"/>
            <w:vAlign w:val="center"/>
          </w:tcPr>
          <w:p w14:paraId="324FC2DE">
            <w:pPr>
              <w:pStyle w:val="133"/>
              <w:rPr>
                <w:szCs w:val="21"/>
              </w:rPr>
            </w:pPr>
            <w:r>
              <w:rPr>
                <w:rFonts w:hint="eastAsia"/>
                <w:szCs w:val="21"/>
              </w:rPr>
              <w:t>1</w:t>
            </w:r>
          </w:p>
        </w:tc>
        <w:tc>
          <w:tcPr>
            <w:tcW w:w="1944" w:type="dxa"/>
            <w:vMerge w:val="continue"/>
            <w:vAlign w:val="center"/>
          </w:tcPr>
          <w:p w14:paraId="38F37CC4">
            <w:pPr>
              <w:pStyle w:val="133"/>
              <w:rPr>
                <w:szCs w:val="21"/>
              </w:rPr>
            </w:pPr>
          </w:p>
        </w:tc>
      </w:tr>
    </w:tbl>
    <w:p w14:paraId="39298479">
      <w:pPr>
        <w:pStyle w:val="133"/>
      </w:pPr>
    </w:p>
    <w:p w14:paraId="08CBF319">
      <w:pPr>
        <w:pStyle w:val="138"/>
        <w:rPr>
          <w:rFonts w:hint="eastAsia"/>
        </w:rPr>
      </w:pPr>
      <w:r>
        <w:t>大气环境影响评价自查表</w:t>
      </w:r>
    </w:p>
    <w:p w14:paraId="1339B118">
      <w:pPr>
        <w:widowControl/>
        <w:ind w:firstLine="480"/>
        <w:jc w:val="left"/>
      </w:pPr>
      <w:r>
        <w:t>建设项目大气环境影响评价自查表</w:t>
      </w:r>
      <w:r>
        <w:rPr>
          <w:rStyle w:val="258"/>
          <w:rFonts w:eastAsia="宋体"/>
        </w:rPr>
        <w:t>见表</w:t>
      </w:r>
      <w:r>
        <w:rPr>
          <w:rStyle w:val="258"/>
          <w:rFonts w:hint="eastAsia" w:eastAsia="宋体"/>
        </w:rPr>
        <w:t>5.2-37</w:t>
      </w:r>
      <w:r>
        <w:rPr>
          <w:rStyle w:val="258"/>
          <w:rFonts w:eastAsia="宋体"/>
        </w:rPr>
        <w:t>。</w:t>
      </w:r>
    </w:p>
    <w:p w14:paraId="274BA33D">
      <w:pPr>
        <w:pStyle w:val="118"/>
      </w:pPr>
      <w:r>
        <w:t>表</w:t>
      </w:r>
      <w:r>
        <w:rPr>
          <w:rFonts w:hint="eastAsia"/>
        </w:rPr>
        <w:t>5.2-37</w:t>
      </w:r>
      <w:r>
        <w:t xml:space="preserve">  建设项目大气环境影响评价自查表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40"/>
        <w:gridCol w:w="1592"/>
        <w:gridCol w:w="828"/>
        <w:gridCol w:w="146"/>
        <w:gridCol w:w="396"/>
        <w:gridCol w:w="62"/>
        <w:gridCol w:w="204"/>
        <w:gridCol w:w="199"/>
        <w:gridCol w:w="135"/>
        <w:gridCol w:w="819"/>
        <w:gridCol w:w="150"/>
        <w:gridCol w:w="305"/>
        <w:gridCol w:w="443"/>
        <w:gridCol w:w="505"/>
        <w:gridCol w:w="120"/>
        <w:gridCol w:w="288"/>
        <w:gridCol w:w="682"/>
        <w:gridCol w:w="233"/>
        <w:gridCol w:w="281"/>
        <w:gridCol w:w="452"/>
        <w:gridCol w:w="539"/>
      </w:tblGrid>
      <w:tr w14:paraId="007E4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79" w:type="pct"/>
            <w:gridSpan w:val="2"/>
            <w:vAlign w:val="center"/>
          </w:tcPr>
          <w:p w14:paraId="1BC21382">
            <w:pPr>
              <w:pStyle w:val="133"/>
              <w:rPr>
                <w:rFonts w:cs="Times New Roman"/>
                <w:szCs w:val="21"/>
              </w:rPr>
            </w:pPr>
            <w:r>
              <w:rPr>
                <w:rFonts w:cs="Times New Roman"/>
                <w:szCs w:val="21"/>
              </w:rPr>
              <w:t>工作内容</w:t>
            </w:r>
          </w:p>
        </w:tc>
        <w:tc>
          <w:tcPr>
            <w:tcW w:w="3721" w:type="pct"/>
            <w:gridSpan w:val="19"/>
            <w:vAlign w:val="center"/>
          </w:tcPr>
          <w:p w14:paraId="7F732C7A">
            <w:pPr>
              <w:pStyle w:val="133"/>
              <w:rPr>
                <w:rFonts w:cs="Times New Roman"/>
                <w:szCs w:val="21"/>
              </w:rPr>
            </w:pPr>
            <w:r>
              <w:rPr>
                <w:rFonts w:cs="Times New Roman"/>
                <w:szCs w:val="21"/>
              </w:rPr>
              <w:t>自查项目</w:t>
            </w:r>
          </w:p>
        </w:tc>
      </w:tr>
      <w:tr w14:paraId="13291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07203A1E">
            <w:pPr>
              <w:pStyle w:val="133"/>
              <w:rPr>
                <w:rFonts w:cs="Times New Roman"/>
                <w:szCs w:val="21"/>
              </w:rPr>
            </w:pPr>
            <w:r>
              <w:rPr>
                <w:rFonts w:cs="Times New Roman"/>
                <w:szCs w:val="21"/>
              </w:rPr>
              <w:t>评价等级与范围</w:t>
            </w:r>
          </w:p>
        </w:tc>
        <w:tc>
          <w:tcPr>
            <w:tcW w:w="873" w:type="pct"/>
            <w:vAlign w:val="center"/>
          </w:tcPr>
          <w:p w14:paraId="7A62457F">
            <w:pPr>
              <w:pStyle w:val="133"/>
              <w:rPr>
                <w:rFonts w:cs="Times New Roman"/>
                <w:szCs w:val="21"/>
              </w:rPr>
            </w:pPr>
            <w:r>
              <w:rPr>
                <w:rFonts w:cs="Times New Roman"/>
                <w:szCs w:val="21"/>
              </w:rPr>
              <w:t>评价等级</w:t>
            </w:r>
          </w:p>
        </w:tc>
        <w:tc>
          <w:tcPr>
            <w:tcW w:w="1080" w:type="pct"/>
            <w:gridSpan w:val="7"/>
            <w:vAlign w:val="center"/>
          </w:tcPr>
          <w:p w14:paraId="2711121C">
            <w:pPr>
              <w:pStyle w:val="133"/>
              <w:rPr>
                <w:rFonts w:cs="Times New Roman"/>
                <w:szCs w:val="21"/>
              </w:rPr>
            </w:pPr>
            <w:r>
              <w:rPr>
                <w:rFonts w:cs="Times New Roman"/>
                <w:szCs w:val="21"/>
              </w:rPr>
              <w:t>一级</w:t>
            </w:r>
            <w:r>
              <w:rPr>
                <w:rFonts w:cs="Times New Roman"/>
                <w:szCs w:val="21"/>
              </w:rPr>
              <w:sym w:font="Wingdings 2" w:char="0052"/>
            </w:r>
          </w:p>
        </w:tc>
        <w:tc>
          <w:tcPr>
            <w:tcW w:w="1442" w:type="pct"/>
            <w:gridSpan w:val="7"/>
            <w:vAlign w:val="center"/>
          </w:tcPr>
          <w:p w14:paraId="54F08CDE">
            <w:pPr>
              <w:pStyle w:val="133"/>
              <w:rPr>
                <w:rFonts w:cs="Times New Roman"/>
                <w:szCs w:val="21"/>
              </w:rPr>
            </w:pPr>
            <w:r>
              <w:rPr>
                <w:rFonts w:cs="Times New Roman"/>
                <w:szCs w:val="21"/>
              </w:rPr>
              <w:t>二级</w:t>
            </w:r>
            <w:r>
              <w:rPr>
                <w:rFonts w:cs="Times New Roman"/>
                <w:szCs w:val="21"/>
              </w:rPr>
              <w:sym w:font="Wingdings 2" w:char="00A3"/>
            </w:r>
          </w:p>
        </w:tc>
        <w:tc>
          <w:tcPr>
            <w:tcW w:w="1199" w:type="pct"/>
            <w:gridSpan w:val="5"/>
            <w:vAlign w:val="center"/>
          </w:tcPr>
          <w:p w14:paraId="2B59128B">
            <w:pPr>
              <w:pStyle w:val="133"/>
              <w:rPr>
                <w:rFonts w:cs="Times New Roman"/>
                <w:szCs w:val="21"/>
              </w:rPr>
            </w:pPr>
            <w:r>
              <w:rPr>
                <w:rFonts w:cs="Times New Roman"/>
                <w:szCs w:val="21"/>
              </w:rPr>
              <w:t>三级</w:t>
            </w:r>
            <w:r>
              <w:rPr>
                <w:rFonts w:cs="Times New Roman"/>
                <w:szCs w:val="21"/>
              </w:rPr>
              <w:sym w:font="Wingdings 2" w:char="00A3"/>
            </w:r>
          </w:p>
        </w:tc>
      </w:tr>
      <w:tr w14:paraId="3FB12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2A2D48EC">
            <w:pPr>
              <w:widowControl/>
              <w:ind w:firstLine="420"/>
              <w:jc w:val="left"/>
              <w:rPr>
                <w:sz w:val="21"/>
                <w:szCs w:val="21"/>
              </w:rPr>
            </w:pPr>
          </w:p>
        </w:tc>
        <w:tc>
          <w:tcPr>
            <w:tcW w:w="873" w:type="pct"/>
            <w:vAlign w:val="center"/>
          </w:tcPr>
          <w:p w14:paraId="26535922">
            <w:pPr>
              <w:pStyle w:val="133"/>
              <w:rPr>
                <w:rFonts w:cs="Times New Roman"/>
                <w:szCs w:val="21"/>
              </w:rPr>
            </w:pPr>
            <w:r>
              <w:rPr>
                <w:rFonts w:cs="Times New Roman"/>
                <w:szCs w:val="21"/>
              </w:rPr>
              <w:t>评价范围</w:t>
            </w:r>
          </w:p>
        </w:tc>
        <w:tc>
          <w:tcPr>
            <w:tcW w:w="1080" w:type="pct"/>
            <w:gridSpan w:val="7"/>
            <w:vAlign w:val="center"/>
          </w:tcPr>
          <w:p w14:paraId="668F2732">
            <w:pPr>
              <w:pStyle w:val="133"/>
              <w:rPr>
                <w:rFonts w:cs="Times New Roman"/>
                <w:szCs w:val="21"/>
              </w:rPr>
            </w:pPr>
            <w:r>
              <w:rPr>
                <w:rFonts w:cs="Times New Roman"/>
                <w:szCs w:val="21"/>
              </w:rPr>
              <w:t>边长=50km</w:t>
            </w:r>
            <w:r>
              <w:rPr>
                <w:rFonts w:cs="Times New Roman"/>
                <w:szCs w:val="21"/>
              </w:rPr>
              <w:sym w:font="Wingdings 2" w:char="00A3"/>
            </w:r>
          </w:p>
        </w:tc>
        <w:tc>
          <w:tcPr>
            <w:tcW w:w="1442" w:type="pct"/>
            <w:gridSpan w:val="7"/>
            <w:vAlign w:val="center"/>
          </w:tcPr>
          <w:p w14:paraId="1CDF8BB2">
            <w:pPr>
              <w:pStyle w:val="133"/>
              <w:rPr>
                <w:rFonts w:cs="Times New Roman"/>
                <w:szCs w:val="21"/>
              </w:rPr>
            </w:pPr>
            <w:r>
              <w:rPr>
                <w:rFonts w:cs="Times New Roman"/>
                <w:szCs w:val="21"/>
              </w:rPr>
              <w:t>边长5~50km</w:t>
            </w:r>
            <w:r>
              <w:rPr>
                <w:rFonts w:cs="Times New Roman"/>
                <w:szCs w:val="21"/>
              </w:rPr>
              <w:sym w:font="Wingdings 2" w:char="00A3"/>
            </w:r>
          </w:p>
        </w:tc>
        <w:tc>
          <w:tcPr>
            <w:tcW w:w="1199" w:type="pct"/>
            <w:gridSpan w:val="5"/>
            <w:vAlign w:val="center"/>
          </w:tcPr>
          <w:p w14:paraId="46FF0009">
            <w:pPr>
              <w:pStyle w:val="133"/>
              <w:rPr>
                <w:rFonts w:cs="Times New Roman"/>
                <w:szCs w:val="21"/>
              </w:rPr>
            </w:pPr>
            <w:r>
              <w:rPr>
                <w:rFonts w:cs="Times New Roman"/>
                <w:szCs w:val="21"/>
              </w:rPr>
              <w:t>边长=5km</w:t>
            </w:r>
            <w:r>
              <w:rPr>
                <w:rFonts w:cs="Times New Roman"/>
                <w:szCs w:val="21"/>
              </w:rPr>
              <w:sym w:font="Wingdings 2" w:char="0052"/>
            </w:r>
          </w:p>
        </w:tc>
      </w:tr>
      <w:tr w14:paraId="576D8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094AEA25">
            <w:pPr>
              <w:pStyle w:val="133"/>
              <w:rPr>
                <w:rFonts w:cs="Times New Roman"/>
                <w:szCs w:val="21"/>
              </w:rPr>
            </w:pPr>
            <w:r>
              <w:rPr>
                <w:rFonts w:cs="Times New Roman"/>
                <w:szCs w:val="21"/>
              </w:rPr>
              <w:t>评价</w:t>
            </w:r>
          </w:p>
          <w:p w14:paraId="1A054052">
            <w:pPr>
              <w:pStyle w:val="133"/>
              <w:rPr>
                <w:rFonts w:cs="Times New Roman"/>
                <w:szCs w:val="21"/>
              </w:rPr>
            </w:pPr>
            <w:r>
              <w:rPr>
                <w:rFonts w:cs="Times New Roman"/>
                <w:szCs w:val="21"/>
              </w:rPr>
              <w:t>因子</w:t>
            </w:r>
          </w:p>
        </w:tc>
        <w:tc>
          <w:tcPr>
            <w:tcW w:w="873" w:type="pct"/>
            <w:vAlign w:val="center"/>
          </w:tcPr>
          <w:p w14:paraId="56814A14">
            <w:pPr>
              <w:pStyle w:val="133"/>
              <w:rPr>
                <w:rFonts w:cs="Times New Roman"/>
                <w:szCs w:val="21"/>
              </w:rPr>
            </w:pPr>
            <w:r>
              <w:rPr>
                <w:rFonts w:cs="Times New Roman"/>
                <w:szCs w:val="21"/>
              </w:rPr>
              <w:t>SO</w:t>
            </w:r>
            <w:r>
              <w:rPr>
                <w:rFonts w:cs="Times New Roman"/>
                <w:szCs w:val="21"/>
                <w:vertAlign w:val="subscript"/>
              </w:rPr>
              <w:t>2</w:t>
            </w:r>
            <w:r>
              <w:rPr>
                <w:rFonts w:cs="Times New Roman"/>
                <w:szCs w:val="21"/>
              </w:rPr>
              <w:t>+NO</w:t>
            </w:r>
            <w:r>
              <w:rPr>
                <w:rFonts w:cs="Times New Roman"/>
                <w:szCs w:val="21"/>
                <w:vertAlign w:val="subscript"/>
              </w:rPr>
              <w:t>X</w:t>
            </w:r>
            <w:r>
              <w:rPr>
                <w:rFonts w:cs="Times New Roman"/>
                <w:szCs w:val="21"/>
              </w:rPr>
              <w:t>排放量</w:t>
            </w:r>
          </w:p>
        </w:tc>
        <w:tc>
          <w:tcPr>
            <w:tcW w:w="1080" w:type="pct"/>
            <w:gridSpan w:val="7"/>
            <w:vAlign w:val="center"/>
          </w:tcPr>
          <w:p w14:paraId="3903B543">
            <w:pPr>
              <w:pStyle w:val="133"/>
              <w:rPr>
                <w:rFonts w:cs="Times New Roman"/>
                <w:szCs w:val="21"/>
              </w:rPr>
            </w:pPr>
            <w:r>
              <w:rPr>
                <w:rFonts w:cs="Times New Roman"/>
                <w:szCs w:val="21"/>
              </w:rPr>
              <w:t>≥2000t/a</w:t>
            </w:r>
            <w:r>
              <w:rPr>
                <w:rFonts w:cs="Times New Roman"/>
                <w:szCs w:val="21"/>
              </w:rPr>
              <w:sym w:font="Wingdings 2" w:char="00A3"/>
            </w:r>
          </w:p>
        </w:tc>
        <w:tc>
          <w:tcPr>
            <w:tcW w:w="1442" w:type="pct"/>
            <w:gridSpan w:val="7"/>
            <w:vAlign w:val="center"/>
          </w:tcPr>
          <w:p w14:paraId="5E4D9691">
            <w:pPr>
              <w:pStyle w:val="133"/>
              <w:rPr>
                <w:rFonts w:cs="Times New Roman"/>
                <w:szCs w:val="21"/>
              </w:rPr>
            </w:pPr>
            <w:r>
              <w:rPr>
                <w:rFonts w:cs="Times New Roman"/>
                <w:szCs w:val="21"/>
              </w:rPr>
              <w:t>500~2000t/a</w:t>
            </w:r>
            <w:r>
              <w:rPr>
                <w:rFonts w:cs="Times New Roman"/>
                <w:szCs w:val="21"/>
              </w:rPr>
              <w:sym w:font="Wingdings 2" w:char="0052"/>
            </w:r>
          </w:p>
        </w:tc>
        <w:tc>
          <w:tcPr>
            <w:tcW w:w="1199" w:type="pct"/>
            <w:gridSpan w:val="5"/>
            <w:vAlign w:val="center"/>
          </w:tcPr>
          <w:p w14:paraId="61962099">
            <w:pPr>
              <w:pStyle w:val="133"/>
              <w:rPr>
                <w:rFonts w:cs="Times New Roman"/>
                <w:szCs w:val="21"/>
              </w:rPr>
            </w:pPr>
            <w:r>
              <w:rPr>
                <w:rFonts w:hint="eastAsia" w:cs="Times New Roman"/>
                <w:szCs w:val="21"/>
              </w:rPr>
              <w:t>&lt;</w:t>
            </w:r>
            <w:r>
              <w:rPr>
                <w:rFonts w:cs="Times New Roman"/>
                <w:szCs w:val="21"/>
              </w:rPr>
              <w:t>500t/a</w:t>
            </w:r>
            <w:r>
              <w:rPr>
                <w:rFonts w:cs="Times New Roman"/>
                <w:szCs w:val="21"/>
              </w:rPr>
              <w:sym w:font="Wingdings 2" w:char="00A3"/>
            </w:r>
          </w:p>
        </w:tc>
      </w:tr>
      <w:tr w14:paraId="19B55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20864DF6">
            <w:pPr>
              <w:widowControl/>
              <w:ind w:firstLine="420"/>
              <w:jc w:val="left"/>
              <w:rPr>
                <w:sz w:val="21"/>
                <w:szCs w:val="21"/>
              </w:rPr>
            </w:pPr>
          </w:p>
        </w:tc>
        <w:tc>
          <w:tcPr>
            <w:tcW w:w="873" w:type="pct"/>
            <w:vAlign w:val="center"/>
          </w:tcPr>
          <w:p w14:paraId="5B699E4C">
            <w:pPr>
              <w:pStyle w:val="133"/>
              <w:rPr>
                <w:rFonts w:cs="Times New Roman"/>
                <w:szCs w:val="21"/>
              </w:rPr>
            </w:pPr>
            <w:r>
              <w:rPr>
                <w:rFonts w:cs="Times New Roman"/>
                <w:szCs w:val="21"/>
              </w:rPr>
              <w:t>评价因子</w:t>
            </w:r>
          </w:p>
        </w:tc>
        <w:tc>
          <w:tcPr>
            <w:tcW w:w="2522" w:type="pct"/>
            <w:gridSpan w:val="14"/>
            <w:vAlign w:val="center"/>
          </w:tcPr>
          <w:p w14:paraId="7DEAB1D5">
            <w:pPr>
              <w:pStyle w:val="133"/>
              <w:rPr>
                <w:rFonts w:cs="Times New Roman"/>
                <w:szCs w:val="21"/>
              </w:rPr>
            </w:pPr>
            <w:r>
              <w:rPr>
                <w:rFonts w:cs="Times New Roman"/>
                <w:szCs w:val="21"/>
              </w:rPr>
              <w:t>基本污染物（SO</w:t>
            </w:r>
            <w:r>
              <w:rPr>
                <w:rFonts w:cs="Times New Roman"/>
                <w:szCs w:val="21"/>
                <w:vertAlign w:val="subscript"/>
              </w:rPr>
              <w:t>2</w:t>
            </w:r>
            <w:r>
              <w:rPr>
                <w:rFonts w:cs="Times New Roman"/>
                <w:szCs w:val="21"/>
              </w:rPr>
              <w:t>、NO</w:t>
            </w:r>
            <w:r>
              <w:rPr>
                <w:rFonts w:cs="Times New Roman"/>
                <w:szCs w:val="21"/>
                <w:vertAlign w:val="subscript"/>
              </w:rPr>
              <w:t>2</w:t>
            </w:r>
            <w:r>
              <w:rPr>
                <w:rFonts w:cs="Times New Roman"/>
                <w:szCs w:val="21"/>
              </w:rPr>
              <w:t>、PM</w:t>
            </w:r>
            <w:r>
              <w:rPr>
                <w:rFonts w:cs="Times New Roman"/>
                <w:szCs w:val="21"/>
                <w:vertAlign w:val="subscript"/>
              </w:rPr>
              <w:t>10</w:t>
            </w:r>
            <w:r>
              <w:rPr>
                <w:rFonts w:cs="Times New Roman"/>
                <w:szCs w:val="21"/>
              </w:rPr>
              <w:t>、PM</w:t>
            </w:r>
            <w:r>
              <w:rPr>
                <w:rFonts w:cs="Times New Roman"/>
                <w:szCs w:val="21"/>
                <w:vertAlign w:val="subscript"/>
              </w:rPr>
              <w:t>2.5</w:t>
            </w:r>
            <w:r>
              <w:rPr>
                <w:rFonts w:cs="Times New Roman"/>
                <w:szCs w:val="21"/>
              </w:rPr>
              <w:t>）</w:t>
            </w:r>
          </w:p>
          <w:p w14:paraId="2FB52B9F">
            <w:pPr>
              <w:pStyle w:val="133"/>
              <w:rPr>
                <w:rFonts w:cs="Times New Roman"/>
                <w:szCs w:val="21"/>
              </w:rPr>
            </w:pPr>
            <w:r>
              <w:rPr>
                <w:rFonts w:cs="Times New Roman"/>
                <w:szCs w:val="21"/>
              </w:rPr>
              <w:t>其他污染物（</w:t>
            </w:r>
            <w:r>
              <w:rPr>
                <w:rFonts w:hint="eastAsia" w:cs="Times New Roman"/>
                <w:szCs w:val="21"/>
              </w:rPr>
              <w:t>T</w:t>
            </w:r>
            <w:r>
              <w:rPr>
                <w:rFonts w:cs="Times New Roman"/>
                <w:szCs w:val="21"/>
              </w:rPr>
              <w:t>SP</w:t>
            </w:r>
            <w:r>
              <w:rPr>
                <w:rFonts w:hint="eastAsia" w:cs="Times New Roman"/>
                <w:szCs w:val="21"/>
              </w:rPr>
              <w:t>、BaP、NH</w:t>
            </w:r>
            <w:r>
              <w:rPr>
                <w:rFonts w:hint="eastAsia" w:cs="Times New Roman"/>
                <w:szCs w:val="21"/>
                <w:vertAlign w:val="subscript"/>
              </w:rPr>
              <w:t>3</w:t>
            </w:r>
            <w:r>
              <w:rPr>
                <w:rFonts w:hint="eastAsia" w:cs="Times New Roman"/>
                <w:szCs w:val="21"/>
              </w:rPr>
              <w:t>、H</w:t>
            </w:r>
            <w:r>
              <w:rPr>
                <w:rFonts w:hint="eastAsia" w:cs="Times New Roman"/>
                <w:szCs w:val="21"/>
                <w:vertAlign w:val="subscript"/>
              </w:rPr>
              <w:t>2</w:t>
            </w:r>
            <w:r>
              <w:rPr>
                <w:rFonts w:hint="eastAsia" w:cs="Times New Roman"/>
                <w:szCs w:val="21"/>
              </w:rPr>
              <w:t>S、NMHC</w:t>
            </w:r>
            <w:r>
              <w:rPr>
                <w:rFonts w:cs="Times New Roman"/>
                <w:szCs w:val="21"/>
              </w:rPr>
              <w:t>）</w:t>
            </w:r>
          </w:p>
        </w:tc>
        <w:tc>
          <w:tcPr>
            <w:tcW w:w="1199" w:type="pct"/>
            <w:gridSpan w:val="5"/>
            <w:vAlign w:val="center"/>
          </w:tcPr>
          <w:p w14:paraId="54573453">
            <w:pPr>
              <w:pStyle w:val="133"/>
              <w:rPr>
                <w:rFonts w:cs="Times New Roman"/>
                <w:szCs w:val="21"/>
              </w:rPr>
            </w:pPr>
            <w:r>
              <w:rPr>
                <w:rFonts w:cs="Times New Roman"/>
                <w:szCs w:val="21"/>
              </w:rPr>
              <w:t>包括二次PM</w:t>
            </w:r>
            <w:r>
              <w:rPr>
                <w:rFonts w:cs="Times New Roman"/>
                <w:szCs w:val="21"/>
                <w:vertAlign w:val="subscript"/>
              </w:rPr>
              <w:t>2.5</w:t>
            </w:r>
            <w:r>
              <w:rPr>
                <w:rFonts w:cs="Times New Roman"/>
                <w:szCs w:val="21"/>
              </w:rPr>
              <w:sym w:font="Wingdings 2" w:char="0052"/>
            </w:r>
          </w:p>
          <w:p w14:paraId="307F2B85">
            <w:pPr>
              <w:pStyle w:val="133"/>
              <w:rPr>
                <w:rFonts w:cs="Times New Roman"/>
                <w:szCs w:val="21"/>
              </w:rPr>
            </w:pPr>
            <w:r>
              <w:rPr>
                <w:rFonts w:cs="Times New Roman"/>
                <w:szCs w:val="21"/>
              </w:rPr>
              <w:t>不包括二次PM</w:t>
            </w:r>
            <w:r>
              <w:rPr>
                <w:rFonts w:cs="Times New Roman"/>
                <w:szCs w:val="21"/>
                <w:vertAlign w:val="subscript"/>
              </w:rPr>
              <w:t>2.5</w:t>
            </w:r>
            <w:r>
              <w:rPr>
                <w:rFonts w:cs="Times New Roman"/>
                <w:szCs w:val="21"/>
              </w:rPr>
              <w:sym w:font="Wingdings 2" w:char="00A3"/>
            </w:r>
          </w:p>
        </w:tc>
      </w:tr>
      <w:tr w14:paraId="469B3E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Align w:val="center"/>
          </w:tcPr>
          <w:p w14:paraId="5E1288E9">
            <w:pPr>
              <w:pStyle w:val="133"/>
              <w:rPr>
                <w:rFonts w:cs="Times New Roman"/>
                <w:szCs w:val="21"/>
              </w:rPr>
            </w:pPr>
            <w:r>
              <w:rPr>
                <w:rFonts w:cs="Times New Roman"/>
                <w:szCs w:val="21"/>
              </w:rPr>
              <w:t>评价</w:t>
            </w:r>
          </w:p>
          <w:p w14:paraId="081B3AE0">
            <w:pPr>
              <w:pStyle w:val="133"/>
              <w:rPr>
                <w:rFonts w:cs="Times New Roman"/>
                <w:szCs w:val="21"/>
              </w:rPr>
            </w:pPr>
            <w:r>
              <w:rPr>
                <w:rFonts w:cs="Times New Roman"/>
                <w:szCs w:val="21"/>
              </w:rPr>
              <w:t>标准</w:t>
            </w:r>
          </w:p>
        </w:tc>
        <w:tc>
          <w:tcPr>
            <w:tcW w:w="873" w:type="pct"/>
            <w:vAlign w:val="center"/>
          </w:tcPr>
          <w:p w14:paraId="17AE49E4">
            <w:pPr>
              <w:pStyle w:val="133"/>
              <w:rPr>
                <w:rFonts w:cs="Times New Roman"/>
                <w:szCs w:val="21"/>
              </w:rPr>
            </w:pPr>
            <w:r>
              <w:rPr>
                <w:rFonts w:cs="Times New Roman"/>
                <w:szCs w:val="21"/>
              </w:rPr>
              <w:t>评价标准</w:t>
            </w:r>
          </w:p>
        </w:tc>
        <w:tc>
          <w:tcPr>
            <w:tcW w:w="785" w:type="pct"/>
            <w:gridSpan w:val="4"/>
            <w:vAlign w:val="center"/>
          </w:tcPr>
          <w:p w14:paraId="1455713E">
            <w:pPr>
              <w:pStyle w:val="133"/>
              <w:rPr>
                <w:rFonts w:cs="Times New Roman"/>
                <w:szCs w:val="21"/>
              </w:rPr>
            </w:pPr>
            <w:r>
              <w:rPr>
                <w:rFonts w:cs="Times New Roman"/>
                <w:szCs w:val="21"/>
              </w:rPr>
              <w:t>国家标准</w:t>
            </w:r>
            <w:r>
              <w:rPr>
                <w:rFonts w:cs="Times New Roman"/>
                <w:szCs w:val="21"/>
              </w:rPr>
              <w:sym w:font="Wingdings 2" w:char="0052"/>
            </w:r>
          </w:p>
        </w:tc>
        <w:tc>
          <w:tcPr>
            <w:tcW w:w="993" w:type="pct"/>
            <w:gridSpan w:val="6"/>
            <w:vAlign w:val="center"/>
          </w:tcPr>
          <w:p w14:paraId="2CE620F4">
            <w:pPr>
              <w:pStyle w:val="133"/>
              <w:rPr>
                <w:rFonts w:cs="Times New Roman"/>
                <w:szCs w:val="21"/>
              </w:rPr>
            </w:pPr>
            <w:r>
              <w:rPr>
                <w:rFonts w:cs="Times New Roman"/>
                <w:szCs w:val="21"/>
              </w:rPr>
              <w:t>地方标准</w:t>
            </w:r>
            <w:r>
              <w:rPr>
                <w:rFonts w:cs="Times New Roman"/>
                <w:szCs w:val="21"/>
              </w:rPr>
              <w:sym w:font="Wingdings 2" w:char="00A3"/>
            </w:r>
          </w:p>
        </w:tc>
        <w:tc>
          <w:tcPr>
            <w:tcW w:w="1118" w:type="pct"/>
            <w:gridSpan w:val="5"/>
            <w:vAlign w:val="center"/>
          </w:tcPr>
          <w:p w14:paraId="138B0AC8">
            <w:pPr>
              <w:pStyle w:val="133"/>
              <w:rPr>
                <w:rFonts w:cs="Times New Roman"/>
                <w:szCs w:val="21"/>
              </w:rPr>
            </w:pPr>
            <w:r>
              <w:rPr>
                <w:rFonts w:cs="Times New Roman"/>
                <w:szCs w:val="21"/>
              </w:rPr>
              <w:t>附录D</w:t>
            </w:r>
            <w:r>
              <w:rPr>
                <w:rFonts w:cs="Times New Roman"/>
                <w:szCs w:val="21"/>
              </w:rPr>
              <w:sym w:font="Wingdings 2" w:char="0052"/>
            </w:r>
          </w:p>
        </w:tc>
        <w:tc>
          <w:tcPr>
            <w:tcW w:w="824" w:type="pct"/>
            <w:gridSpan w:val="4"/>
            <w:vAlign w:val="center"/>
          </w:tcPr>
          <w:p w14:paraId="582961D6">
            <w:pPr>
              <w:pStyle w:val="133"/>
              <w:rPr>
                <w:rFonts w:cs="Times New Roman"/>
                <w:szCs w:val="21"/>
              </w:rPr>
            </w:pPr>
            <w:r>
              <w:rPr>
                <w:rFonts w:cs="Times New Roman"/>
                <w:szCs w:val="21"/>
              </w:rPr>
              <w:t>其他标准</w:t>
            </w:r>
            <w:r>
              <w:rPr>
                <w:rFonts w:cs="Times New Roman"/>
                <w:szCs w:val="21"/>
              </w:rPr>
              <w:sym w:font="Wingdings 2" w:char="0052"/>
            </w:r>
          </w:p>
        </w:tc>
      </w:tr>
      <w:tr w14:paraId="0933A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4CA6C8D0">
            <w:pPr>
              <w:pStyle w:val="133"/>
              <w:rPr>
                <w:rFonts w:cs="Times New Roman"/>
                <w:szCs w:val="21"/>
              </w:rPr>
            </w:pPr>
            <w:r>
              <w:rPr>
                <w:rFonts w:cs="Times New Roman"/>
                <w:szCs w:val="21"/>
              </w:rPr>
              <w:t>现状</w:t>
            </w:r>
          </w:p>
          <w:p w14:paraId="3572B798">
            <w:pPr>
              <w:pStyle w:val="133"/>
              <w:rPr>
                <w:rFonts w:cs="Times New Roman"/>
                <w:szCs w:val="21"/>
              </w:rPr>
            </w:pPr>
            <w:r>
              <w:rPr>
                <w:rFonts w:cs="Times New Roman"/>
                <w:szCs w:val="21"/>
              </w:rPr>
              <w:t>评价</w:t>
            </w:r>
          </w:p>
        </w:tc>
        <w:tc>
          <w:tcPr>
            <w:tcW w:w="873" w:type="pct"/>
            <w:vAlign w:val="center"/>
          </w:tcPr>
          <w:p w14:paraId="0CFA0881">
            <w:pPr>
              <w:pStyle w:val="133"/>
              <w:rPr>
                <w:rFonts w:cs="Times New Roman"/>
                <w:szCs w:val="21"/>
              </w:rPr>
            </w:pPr>
            <w:r>
              <w:rPr>
                <w:rFonts w:cs="Times New Roman"/>
                <w:szCs w:val="21"/>
              </w:rPr>
              <w:t>环境功能区</w:t>
            </w:r>
          </w:p>
        </w:tc>
        <w:tc>
          <w:tcPr>
            <w:tcW w:w="1080" w:type="pct"/>
            <w:gridSpan w:val="7"/>
            <w:vAlign w:val="center"/>
          </w:tcPr>
          <w:p w14:paraId="6F24FEDF">
            <w:pPr>
              <w:pStyle w:val="133"/>
              <w:rPr>
                <w:rFonts w:cs="Times New Roman"/>
                <w:szCs w:val="21"/>
              </w:rPr>
            </w:pPr>
            <w:r>
              <w:rPr>
                <w:rFonts w:cs="Times New Roman"/>
                <w:szCs w:val="21"/>
              </w:rPr>
              <w:t>一类区</w:t>
            </w:r>
            <w:r>
              <w:rPr>
                <w:rFonts w:cs="Times New Roman"/>
                <w:szCs w:val="21"/>
              </w:rPr>
              <w:sym w:font="Wingdings 2" w:char="00A3"/>
            </w:r>
          </w:p>
        </w:tc>
        <w:tc>
          <w:tcPr>
            <w:tcW w:w="1442" w:type="pct"/>
            <w:gridSpan w:val="7"/>
            <w:vAlign w:val="center"/>
          </w:tcPr>
          <w:p w14:paraId="7952B22F">
            <w:pPr>
              <w:pStyle w:val="133"/>
              <w:rPr>
                <w:rFonts w:cs="Times New Roman"/>
                <w:szCs w:val="21"/>
              </w:rPr>
            </w:pPr>
            <w:r>
              <w:rPr>
                <w:rFonts w:cs="Times New Roman"/>
                <w:szCs w:val="21"/>
              </w:rPr>
              <w:t>二类区</w:t>
            </w:r>
            <w:r>
              <w:rPr>
                <w:rFonts w:cs="Times New Roman"/>
                <w:szCs w:val="21"/>
              </w:rPr>
              <w:sym w:font="Wingdings 2" w:char="0052"/>
            </w:r>
          </w:p>
        </w:tc>
        <w:tc>
          <w:tcPr>
            <w:tcW w:w="1199" w:type="pct"/>
            <w:gridSpan w:val="5"/>
            <w:vAlign w:val="center"/>
          </w:tcPr>
          <w:p w14:paraId="748ABAF8">
            <w:pPr>
              <w:pStyle w:val="133"/>
              <w:rPr>
                <w:rFonts w:cs="Times New Roman"/>
                <w:szCs w:val="21"/>
              </w:rPr>
            </w:pPr>
            <w:r>
              <w:rPr>
                <w:rFonts w:cs="Times New Roman"/>
                <w:szCs w:val="21"/>
              </w:rPr>
              <w:t>一类区和二类区</w:t>
            </w:r>
            <w:r>
              <w:rPr>
                <w:rFonts w:cs="Times New Roman"/>
                <w:szCs w:val="21"/>
              </w:rPr>
              <w:sym w:font="Wingdings 2" w:char="00A3"/>
            </w:r>
          </w:p>
        </w:tc>
      </w:tr>
      <w:tr w14:paraId="6470F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1E759C42">
            <w:pPr>
              <w:widowControl/>
              <w:ind w:firstLine="420"/>
              <w:jc w:val="left"/>
              <w:rPr>
                <w:sz w:val="21"/>
                <w:szCs w:val="21"/>
              </w:rPr>
            </w:pPr>
          </w:p>
        </w:tc>
        <w:tc>
          <w:tcPr>
            <w:tcW w:w="873" w:type="pct"/>
            <w:vAlign w:val="center"/>
          </w:tcPr>
          <w:p w14:paraId="20F85729">
            <w:pPr>
              <w:pStyle w:val="133"/>
              <w:rPr>
                <w:rFonts w:cs="Times New Roman"/>
                <w:szCs w:val="21"/>
              </w:rPr>
            </w:pPr>
            <w:r>
              <w:rPr>
                <w:rFonts w:cs="Times New Roman"/>
                <w:szCs w:val="21"/>
              </w:rPr>
              <w:t>评价基准年</w:t>
            </w:r>
          </w:p>
        </w:tc>
        <w:tc>
          <w:tcPr>
            <w:tcW w:w="3721" w:type="pct"/>
            <w:gridSpan w:val="19"/>
            <w:vAlign w:val="center"/>
          </w:tcPr>
          <w:p w14:paraId="723488CC">
            <w:pPr>
              <w:pStyle w:val="133"/>
              <w:rPr>
                <w:rFonts w:cs="Times New Roman"/>
                <w:szCs w:val="21"/>
              </w:rPr>
            </w:pPr>
            <w:r>
              <w:rPr>
                <w:rFonts w:cs="Times New Roman"/>
                <w:szCs w:val="21"/>
              </w:rPr>
              <w:t>（202</w:t>
            </w:r>
            <w:r>
              <w:rPr>
                <w:rFonts w:hint="eastAsia" w:cs="Times New Roman"/>
                <w:szCs w:val="21"/>
              </w:rPr>
              <w:t>3</w:t>
            </w:r>
            <w:r>
              <w:rPr>
                <w:rFonts w:cs="Times New Roman"/>
                <w:szCs w:val="21"/>
              </w:rPr>
              <w:t>）年</w:t>
            </w:r>
          </w:p>
        </w:tc>
      </w:tr>
      <w:tr w14:paraId="29DB2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5BBB9231">
            <w:pPr>
              <w:widowControl/>
              <w:ind w:firstLine="420"/>
              <w:jc w:val="left"/>
              <w:rPr>
                <w:sz w:val="21"/>
                <w:szCs w:val="21"/>
              </w:rPr>
            </w:pPr>
          </w:p>
        </w:tc>
        <w:tc>
          <w:tcPr>
            <w:tcW w:w="873" w:type="pct"/>
            <w:vAlign w:val="center"/>
          </w:tcPr>
          <w:p w14:paraId="45E44E72">
            <w:pPr>
              <w:pStyle w:val="133"/>
              <w:rPr>
                <w:rFonts w:cs="Times New Roman"/>
                <w:szCs w:val="21"/>
              </w:rPr>
            </w:pPr>
            <w:r>
              <w:rPr>
                <w:rFonts w:cs="Times New Roman"/>
                <w:szCs w:val="21"/>
              </w:rPr>
              <w:t>环境空气质量现状调查数据来源</w:t>
            </w:r>
          </w:p>
        </w:tc>
        <w:tc>
          <w:tcPr>
            <w:tcW w:w="1080" w:type="pct"/>
            <w:gridSpan w:val="7"/>
            <w:vAlign w:val="center"/>
          </w:tcPr>
          <w:p w14:paraId="62A253CA">
            <w:pPr>
              <w:pStyle w:val="133"/>
              <w:rPr>
                <w:rFonts w:cs="Times New Roman"/>
                <w:szCs w:val="21"/>
              </w:rPr>
            </w:pPr>
            <w:r>
              <w:rPr>
                <w:rFonts w:cs="Times New Roman"/>
                <w:szCs w:val="21"/>
              </w:rPr>
              <w:t>长期例行监测数据</w:t>
            </w:r>
            <w:r>
              <w:rPr>
                <w:rFonts w:cs="Times New Roman"/>
                <w:szCs w:val="21"/>
              </w:rPr>
              <w:sym w:font="Wingdings 2" w:char="0052"/>
            </w:r>
          </w:p>
        </w:tc>
        <w:tc>
          <w:tcPr>
            <w:tcW w:w="1442" w:type="pct"/>
            <w:gridSpan w:val="7"/>
            <w:vAlign w:val="center"/>
          </w:tcPr>
          <w:p w14:paraId="08754733">
            <w:pPr>
              <w:pStyle w:val="133"/>
              <w:rPr>
                <w:rFonts w:cs="Times New Roman"/>
                <w:szCs w:val="21"/>
              </w:rPr>
            </w:pPr>
            <w:r>
              <w:rPr>
                <w:rFonts w:cs="Times New Roman"/>
                <w:szCs w:val="21"/>
              </w:rPr>
              <w:t>主管部门发布的数据</w:t>
            </w:r>
            <w:r>
              <w:rPr>
                <w:rFonts w:cs="Times New Roman"/>
                <w:szCs w:val="21"/>
              </w:rPr>
              <w:sym w:font="Wingdings 2" w:char="00A3"/>
            </w:r>
          </w:p>
        </w:tc>
        <w:tc>
          <w:tcPr>
            <w:tcW w:w="1199" w:type="pct"/>
            <w:gridSpan w:val="5"/>
            <w:vAlign w:val="center"/>
          </w:tcPr>
          <w:p w14:paraId="163928B3">
            <w:pPr>
              <w:pStyle w:val="133"/>
              <w:rPr>
                <w:rFonts w:cs="Times New Roman"/>
                <w:szCs w:val="21"/>
              </w:rPr>
            </w:pPr>
            <w:r>
              <w:rPr>
                <w:rFonts w:cs="Times New Roman"/>
                <w:szCs w:val="21"/>
              </w:rPr>
              <w:t>现状补充监测</w:t>
            </w:r>
            <w:r>
              <w:rPr>
                <w:rFonts w:cs="Times New Roman"/>
                <w:szCs w:val="21"/>
              </w:rPr>
              <w:sym w:font="Wingdings 2" w:char="0052"/>
            </w:r>
          </w:p>
        </w:tc>
      </w:tr>
      <w:tr w14:paraId="49864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572F3559">
            <w:pPr>
              <w:widowControl/>
              <w:ind w:firstLine="420"/>
              <w:jc w:val="left"/>
              <w:rPr>
                <w:sz w:val="21"/>
                <w:szCs w:val="21"/>
              </w:rPr>
            </w:pPr>
          </w:p>
        </w:tc>
        <w:tc>
          <w:tcPr>
            <w:tcW w:w="873" w:type="pct"/>
            <w:vAlign w:val="center"/>
          </w:tcPr>
          <w:p w14:paraId="491E8208">
            <w:pPr>
              <w:pStyle w:val="133"/>
              <w:rPr>
                <w:rFonts w:cs="Times New Roman"/>
                <w:szCs w:val="21"/>
              </w:rPr>
            </w:pPr>
            <w:r>
              <w:rPr>
                <w:rFonts w:cs="Times New Roman"/>
                <w:szCs w:val="21"/>
              </w:rPr>
              <w:t>现状评价</w:t>
            </w:r>
          </w:p>
        </w:tc>
        <w:tc>
          <w:tcPr>
            <w:tcW w:w="1778" w:type="pct"/>
            <w:gridSpan w:val="10"/>
            <w:vAlign w:val="center"/>
          </w:tcPr>
          <w:p w14:paraId="326F398F">
            <w:pPr>
              <w:pStyle w:val="133"/>
              <w:rPr>
                <w:rFonts w:cs="Times New Roman"/>
                <w:szCs w:val="21"/>
              </w:rPr>
            </w:pPr>
            <w:r>
              <w:rPr>
                <w:rFonts w:cs="Times New Roman"/>
                <w:szCs w:val="21"/>
              </w:rPr>
              <w:t>达标区</w:t>
            </w:r>
            <w:r>
              <w:rPr>
                <w:rFonts w:cs="Times New Roman"/>
                <w:szCs w:val="21"/>
              </w:rPr>
              <w:sym w:font="Wingdings 2" w:char="0052"/>
            </w:r>
          </w:p>
        </w:tc>
        <w:tc>
          <w:tcPr>
            <w:tcW w:w="1942" w:type="pct"/>
            <w:gridSpan w:val="9"/>
            <w:vAlign w:val="center"/>
          </w:tcPr>
          <w:p w14:paraId="6FFFF5D1">
            <w:pPr>
              <w:pStyle w:val="133"/>
              <w:rPr>
                <w:rFonts w:cs="Times New Roman"/>
                <w:szCs w:val="21"/>
              </w:rPr>
            </w:pPr>
            <w:r>
              <w:rPr>
                <w:rFonts w:cs="Times New Roman"/>
                <w:szCs w:val="21"/>
              </w:rPr>
              <w:t>不达标区</w:t>
            </w:r>
            <w:r>
              <w:rPr>
                <w:rFonts w:cs="Times New Roman"/>
                <w:szCs w:val="21"/>
              </w:rPr>
              <w:sym w:font="Wingdings 2" w:char="00A3"/>
            </w:r>
          </w:p>
        </w:tc>
      </w:tr>
      <w:tr w14:paraId="4A250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Align w:val="center"/>
          </w:tcPr>
          <w:p w14:paraId="4094B1B8">
            <w:pPr>
              <w:pStyle w:val="133"/>
              <w:rPr>
                <w:rFonts w:cs="Times New Roman"/>
                <w:szCs w:val="21"/>
              </w:rPr>
            </w:pPr>
            <w:r>
              <w:rPr>
                <w:rFonts w:cs="Times New Roman"/>
                <w:szCs w:val="21"/>
              </w:rPr>
              <w:t>污染源</w:t>
            </w:r>
          </w:p>
          <w:p w14:paraId="2372B890">
            <w:pPr>
              <w:pStyle w:val="133"/>
              <w:rPr>
                <w:rFonts w:cs="Times New Roman"/>
                <w:szCs w:val="21"/>
              </w:rPr>
            </w:pPr>
            <w:r>
              <w:rPr>
                <w:rFonts w:cs="Times New Roman"/>
                <w:szCs w:val="21"/>
              </w:rPr>
              <w:t>调查</w:t>
            </w:r>
          </w:p>
        </w:tc>
        <w:tc>
          <w:tcPr>
            <w:tcW w:w="873" w:type="pct"/>
            <w:vAlign w:val="center"/>
          </w:tcPr>
          <w:p w14:paraId="031F2231">
            <w:pPr>
              <w:pStyle w:val="133"/>
              <w:rPr>
                <w:rFonts w:cs="Times New Roman"/>
                <w:szCs w:val="21"/>
              </w:rPr>
            </w:pPr>
            <w:r>
              <w:rPr>
                <w:rFonts w:cs="Times New Roman"/>
                <w:szCs w:val="21"/>
              </w:rPr>
              <w:t>调查内容</w:t>
            </w:r>
          </w:p>
        </w:tc>
        <w:tc>
          <w:tcPr>
            <w:tcW w:w="1006" w:type="pct"/>
            <w:gridSpan w:val="6"/>
            <w:vAlign w:val="center"/>
          </w:tcPr>
          <w:p w14:paraId="5C6F55EA">
            <w:pPr>
              <w:pStyle w:val="133"/>
              <w:rPr>
                <w:rFonts w:cs="Times New Roman"/>
                <w:szCs w:val="21"/>
              </w:rPr>
            </w:pPr>
            <w:r>
              <w:rPr>
                <w:rFonts w:cs="Times New Roman"/>
                <w:szCs w:val="21"/>
              </w:rPr>
              <w:t>本项目正常排放源</w:t>
            </w:r>
            <w:r>
              <w:rPr>
                <w:rFonts w:cs="Times New Roman"/>
                <w:szCs w:val="21"/>
              </w:rPr>
              <w:sym w:font="Wingdings 2" w:char="0052"/>
            </w:r>
          </w:p>
          <w:p w14:paraId="363FE0FB">
            <w:pPr>
              <w:pStyle w:val="133"/>
              <w:rPr>
                <w:rFonts w:cs="Times New Roman"/>
                <w:szCs w:val="21"/>
              </w:rPr>
            </w:pPr>
            <w:r>
              <w:rPr>
                <w:rFonts w:cs="Times New Roman"/>
                <w:szCs w:val="21"/>
              </w:rPr>
              <w:t>本项目非正常排放源</w:t>
            </w:r>
            <w:r>
              <w:rPr>
                <w:rFonts w:cs="Times New Roman"/>
                <w:szCs w:val="21"/>
              </w:rPr>
              <w:sym w:font="Wingdings 2" w:char="0052"/>
            </w:r>
          </w:p>
          <w:p w14:paraId="4BA6C809">
            <w:pPr>
              <w:pStyle w:val="133"/>
              <w:rPr>
                <w:rFonts w:cs="Times New Roman"/>
                <w:szCs w:val="21"/>
              </w:rPr>
            </w:pPr>
            <w:r>
              <w:rPr>
                <w:rFonts w:cs="Times New Roman"/>
                <w:szCs w:val="21"/>
              </w:rPr>
              <w:t>现有污染源</w:t>
            </w:r>
            <w:r>
              <w:rPr>
                <w:rFonts w:cs="Times New Roman"/>
                <w:szCs w:val="21"/>
              </w:rPr>
              <w:sym w:font="Wingdings 2" w:char="00A3"/>
            </w:r>
          </w:p>
        </w:tc>
        <w:tc>
          <w:tcPr>
            <w:tcW w:w="772" w:type="pct"/>
            <w:gridSpan w:val="4"/>
            <w:vAlign w:val="center"/>
          </w:tcPr>
          <w:p w14:paraId="5854ECB7">
            <w:pPr>
              <w:pStyle w:val="133"/>
              <w:rPr>
                <w:rFonts w:cs="Times New Roman"/>
                <w:szCs w:val="21"/>
              </w:rPr>
            </w:pPr>
            <w:r>
              <w:rPr>
                <w:rFonts w:cs="Times New Roman"/>
                <w:szCs w:val="21"/>
              </w:rPr>
              <w:t>拟替代的污染源</w:t>
            </w:r>
            <w:r>
              <w:rPr>
                <w:rFonts w:cs="Times New Roman"/>
                <w:szCs w:val="21"/>
              </w:rPr>
              <w:sym w:font="Wingdings 2" w:char="0052"/>
            </w:r>
          </w:p>
        </w:tc>
        <w:tc>
          <w:tcPr>
            <w:tcW w:w="1400" w:type="pct"/>
            <w:gridSpan w:val="7"/>
            <w:vAlign w:val="center"/>
          </w:tcPr>
          <w:p w14:paraId="4D0A1474">
            <w:pPr>
              <w:pStyle w:val="133"/>
              <w:rPr>
                <w:rFonts w:cs="Times New Roman"/>
                <w:szCs w:val="21"/>
              </w:rPr>
            </w:pPr>
            <w:r>
              <w:rPr>
                <w:rFonts w:cs="Times New Roman"/>
                <w:szCs w:val="21"/>
              </w:rPr>
              <w:t>其他在建、拟建项目污染源</w:t>
            </w:r>
            <w:r>
              <w:rPr>
                <w:rFonts w:cs="Times New Roman"/>
                <w:szCs w:val="21"/>
              </w:rPr>
              <w:sym w:font="Wingdings 2" w:char="0052"/>
            </w:r>
          </w:p>
        </w:tc>
        <w:tc>
          <w:tcPr>
            <w:tcW w:w="542" w:type="pct"/>
            <w:gridSpan w:val="2"/>
            <w:vAlign w:val="center"/>
          </w:tcPr>
          <w:p w14:paraId="16BF762B">
            <w:pPr>
              <w:pStyle w:val="133"/>
              <w:rPr>
                <w:rFonts w:cs="Times New Roman"/>
                <w:szCs w:val="21"/>
              </w:rPr>
            </w:pPr>
            <w:r>
              <w:rPr>
                <w:rFonts w:cs="Times New Roman"/>
                <w:szCs w:val="21"/>
              </w:rPr>
              <w:t>区域污染源</w:t>
            </w:r>
            <w:r>
              <w:rPr>
                <w:rFonts w:cs="Times New Roman"/>
                <w:szCs w:val="21"/>
              </w:rPr>
              <w:sym w:font="Wingdings 2" w:char="00A3"/>
            </w:r>
          </w:p>
        </w:tc>
      </w:tr>
      <w:tr w14:paraId="471A8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08E92846">
            <w:pPr>
              <w:pStyle w:val="133"/>
              <w:rPr>
                <w:rFonts w:cs="Times New Roman"/>
                <w:szCs w:val="21"/>
              </w:rPr>
            </w:pPr>
            <w:r>
              <w:rPr>
                <w:rFonts w:cs="Times New Roman"/>
                <w:szCs w:val="21"/>
              </w:rPr>
              <w:t>大气环境影响预测与评价</w:t>
            </w:r>
          </w:p>
        </w:tc>
        <w:tc>
          <w:tcPr>
            <w:tcW w:w="873" w:type="pct"/>
            <w:vAlign w:val="center"/>
          </w:tcPr>
          <w:p w14:paraId="73BAC8F0">
            <w:pPr>
              <w:pStyle w:val="133"/>
              <w:rPr>
                <w:rFonts w:cs="Times New Roman"/>
                <w:szCs w:val="21"/>
              </w:rPr>
            </w:pPr>
            <w:r>
              <w:rPr>
                <w:rFonts w:cs="Times New Roman"/>
                <w:szCs w:val="21"/>
              </w:rPr>
              <w:t>预测模型</w:t>
            </w:r>
          </w:p>
        </w:tc>
        <w:tc>
          <w:tcPr>
            <w:tcW w:w="534" w:type="pct"/>
            <w:gridSpan w:val="2"/>
            <w:vAlign w:val="center"/>
          </w:tcPr>
          <w:p w14:paraId="5FBB9247">
            <w:pPr>
              <w:pStyle w:val="133"/>
              <w:rPr>
                <w:rFonts w:cs="Times New Roman"/>
                <w:szCs w:val="21"/>
              </w:rPr>
            </w:pPr>
            <w:r>
              <w:rPr>
                <w:rFonts w:cs="Times New Roman"/>
                <w:szCs w:val="21"/>
              </w:rPr>
              <w:t>AERMOD</w:t>
            </w:r>
          </w:p>
          <w:p w14:paraId="39E787A2">
            <w:pPr>
              <w:pStyle w:val="133"/>
              <w:rPr>
                <w:rFonts w:cs="Times New Roman"/>
                <w:szCs w:val="21"/>
              </w:rPr>
            </w:pPr>
            <w:r>
              <w:rPr>
                <w:rFonts w:cs="Times New Roman"/>
                <w:szCs w:val="21"/>
              </w:rPr>
              <w:sym w:font="Wingdings 2" w:char="0052"/>
            </w:r>
          </w:p>
        </w:tc>
        <w:tc>
          <w:tcPr>
            <w:tcW w:w="363" w:type="pct"/>
            <w:gridSpan w:val="3"/>
            <w:vAlign w:val="center"/>
          </w:tcPr>
          <w:p w14:paraId="024B2387">
            <w:pPr>
              <w:pStyle w:val="133"/>
              <w:rPr>
                <w:rFonts w:cs="Times New Roman"/>
                <w:szCs w:val="21"/>
              </w:rPr>
            </w:pPr>
            <w:r>
              <w:rPr>
                <w:rFonts w:cs="Times New Roman"/>
                <w:szCs w:val="21"/>
              </w:rPr>
              <w:t>ADMS</w:t>
            </w:r>
          </w:p>
          <w:p w14:paraId="179EA512">
            <w:pPr>
              <w:pStyle w:val="133"/>
              <w:rPr>
                <w:rFonts w:cs="Times New Roman"/>
                <w:szCs w:val="21"/>
              </w:rPr>
            </w:pPr>
            <w:r>
              <w:rPr>
                <w:rFonts w:cs="Times New Roman"/>
                <w:szCs w:val="21"/>
              </w:rPr>
              <w:sym w:font="Wingdings 2" w:char="00A3"/>
            </w:r>
          </w:p>
        </w:tc>
        <w:tc>
          <w:tcPr>
            <w:tcW w:w="714" w:type="pct"/>
            <w:gridSpan w:val="4"/>
            <w:vAlign w:val="center"/>
          </w:tcPr>
          <w:p w14:paraId="3C2F71C4">
            <w:pPr>
              <w:pStyle w:val="133"/>
              <w:rPr>
                <w:rFonts w:cs="Times New Roman"/>
                <w:szCs w:val="21"/>
              </w:rPr>
            </w:pPr>
            <w:r>
              <w:rPr>
                <w:rFonts w:cs="Times New Roman"/>
                <w:szCs w:val="21"/>
              </w:rPr>
              <w:t>AUSTAL2000</w:t>
            </w:r>
          </w:p>
          <w:p w14:paraId="032C4EF6">
            <w:pPr>
              <w:pStyle w:val="133"/>
              <w:rPr>
                <w:rFonts w:cs="Times New Roman"/>
                <w:szCs w:val="21"/>
              </w:rPr>
            </w:pPr>
            <w:r>
              <w:rPr>
                <w:rFonts w:cs="Times New Roman"/>
                <w:szCs w:val="21"/>
              </w:rPr>
              <w:sym w:font="Wingdings 2" w:char="00A3"/>
            </w:r>
          </w:p>
        </w:tc>
        <w:tc>
          <w:tcPr>
            <w:tcW w:w="753" w:type="pct"/>
            <w:gridSpan w:val="4"/>
            <w:vAlign w:val="center"/>
          </w:tcPr>
          <w:p w14:paraId="55DDF647">
            <w:pPr>
              <w:pStyle w:val="133"/>
              <w:rPr>
                <w:rFonts w:cs="Times New Roman"/>
                <w:szCs w:val="21"/>
              </w:rPr>
            </w:pPr>
            <w:r>
              <w:rPr>
                <w:rFonts w:cs="Times New Roman"/>
                <w:szCs w:val="21"/>
              </w:rPr>
              <w:t>EDMS/AEDT</w:t>
            </w:r>
          </w:p>
          <w:p w14:paraId="3F3DE381">
            <w:pPr>
              <w:pStyle w:val="133"/>
              <w:rPr>
                <w:rFonts w:cs="Times New Roman"/>
                <w:szCs w:val="21"/>
              </w:rPr>
            </w:pPr>
            <w:r>
              <w:rPr>
                <w:rFonts w:cs="Times New Roman"/>
                <w:szCs w:val="21"/>
              </w:rPr>
              <w:sym w:font="Wingdings 2" w:char="00A3"/>
            </w:r>
          </w:p>
        </w:tc>
        <w:tc>
          <w:tcPr>
            <w:tcW w:w="652" w:type="pct"/>
            <w:gridSpan w:val="3"/>
            <w:vAlign w:val="center"/>
          </w:tcPr>
          <w:p w14:paraId="444D90F2">
            <w:pPr>
              <w:pStyle w:val="133"/>
              <w:rPr>
                <w:rFonts w:cs="Times New Roman"/>
                <w:szCs w:val="21"/>
              </w:rPr>
            </w:pPr>
            <w:r>
              <w:rPr>
                <w:rFonts w:cs="Times New Roman"/>
                <w:szCs w:val="21"/>
              </w:rPr>
              <w:t>CALPUFF</w:t>
            </w:r>
          </w:p>
          <w:p w14:paraId="6EBE7FE2">
            <w:pPr>
              <w:pStyle w:val="133"/>
              <w:rPr>
                <w:rFonts w:cs="Times New Roman"/>
                <w:szCs w:val="21"/>
              </w:rPr>
            </w:pPr>
            <w:r>
              <w:rPr>
                <w:rFonts w:cs="Times New Roman"/>
                <w:szCs w:val="21"/>
              </w:rPr>
              <w:sym w:font="Wingdings 2" w:char="00A3"/>
            </w:r>
          </w:p>
        </w:tc>
        <w:tc>
          <w:tcPr>
            <w:tcW w:w="402" w:type="pct"/>
            <w:gridSpan w:val="2"/>
            <w:vAlign w:val="center"/>
          </w:tcPr>
          <w:p w14:paraId="1D3CF77E">
            <w:pPr>
              <w:pStyle w:val="133"/>
              <w:rPr>
                <w:rFonts w:cs="Times New Roman"/>
                <w:szCs w:val="21"/>
              </w:rPr>
            </w:pPr>
            <w:r>
              <w:rPr>
                <w:rFonts w:cs="Times New Roman"/>
                <w:szCs w:val="21"/>
              </w:rPr>
              <w:t>网络模型</w:t>
            </w:r>
          </w:p>
          <w:p w14:paraId="46EF4FF3">
            <w:pPr>
              <w:pStyle w:val="133"/>
              <w:rPr>
                <w:rFonts w:cs="Times New Roman"/>
                <w:szCs w:val="21"/>
              </w:rPr>
            </w:pPr>
            <w:r>
              <w:rPr>
                <w:rFonts w:cs="Times New Roman"/>
                <w:szCs w:val="21"/>
              </w:rPr>
              <w:sym w:font="Wingdings 2" w:char="00A3"/>
            </w:r>
          </w:p>
        </w:tc>
        <w:tc>
          <w:tcPr>
            <w:tcW w:w="302" w:type="pct"/>
            <w:vAlign w:val="center"/>
          </w:tcPr>
          <w:p w14:paraId="65DAF970">
            <w:pPr>
              <w:pStyle w:val="133"/>
              <w:rPr>
                <w:rFonts w:cs="Times New Roman"/>
                <w:szCs w:val="21"/>
              </w:rPr>
            </w:pPr>
            <w:r>
              <w:rPr>
                <w:rFonts w:cs="Times New Roman"/>
                <w:szCs w:val="21"/>
              </w:rPr>
              <w:t>其他</w:t>
            </w:r>
          </w:p>
          <w:p w14:paraId="1CA02790">
            <w:pPr>
              <w:pStyle w:val="133"/>
              <w:rPr>
                <w:rFonts w:cs="Times New Roman"/>
                <w:szCs w:val="21"/>
              </w:rPr>
            </w:pPr>
            <w:r>
              <w:rPr>
                <w:rFonts w:cs="Times New Roman"/>
                <w:szCs w:val="21"/>
              </w:rPr>
              <w:sym w:font="Wingdings 2" w:char="00A3"/>
            </w:r>
          </w:p>
        </w:tc>
      </w:tr>
      <w:tr w14:paraId="2A35B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607B3578">
            <w:pPr>
              <w:widowControl/>
              <w:ind w:firstLine="420"/>
              <w:jc w:val="left"/>
              <w:rPr>
                <w:sz w:val="21"/>
                <w:szCs w:val="21"/>
              </w:rPr>
            </w:pPr>
          </w:p>
        </w:tc>
        <w:tc>
          <w:tcPr>
            <w:tcW w:w="873" w:type="pct"/>
            <w:vAlign w:val="center"/>
          </w:tcPr>
          <w:p w14:paraId="71BF34A0">
            <w:pPr>
              <w:pStyle w:val="133"/>
              <w:rPr>
                <w:rFonts w:cs="Times New Roman"/>
                <w:szCs w:val="21"/>
              </w:rPr>
            </w:pPr>
            <w:r>
              <w:rPr>
                <w:rFonts w:cs="Times New Roman"/>
                <w:szCs w:val="21"/>
              </w:rPr>
              <w:t>预测范围</w:t>
            </w:r>
          </w:p>
        </w:tc>
        <w:tc>
          <w:tcPr>
            <w:tcW w:w="1080" w:type="pct"/>
            <w:gridSpan w:val="7"/>
            <w:vAlign w:val="center"/>
          </w:tcPr>
          <w:p w14:paraId="4F52DDE1">
            <w:pPr>
              <w:pStyle w:val="133"/>
              <w:rPr>
                <w:rFonts w:cs="Times New Roman"/>
                <w:szCs w:val="21"/>
              </w:rPr>
            </w:pPr>
            <w:r>
              <w:rPr>
                <w:rFonts w:cs="Times New Roman"/>
                <w:szCs w:val="21"/>
              </w:rPr>
              <w:t>边长≥50km</w:t>
            </w:r>
            <w:r>
              <w:rPr>
                <w:rFonts w:cs="Times New Roman"/>
                <w:szCs w:val="21"/>
              </w:rPr>
              <w:sym w:font="Wingdings 2" w:char="00A3"/>
            </w:r>
          </w:p>
        </w:tc>
        <w:tc>
          <w:tcPr>
            <w:tcW w:w="1442" w:type="pct"/>
            <w:gridSpan w:val="7"/>
            <w:vAlign w:val="center"/>
          </w:tcPr>
          <w:p w14:paraId="3916CF0A">
            <w:pPr>
              <w:pStyle w:val="133"/>
              <w:rPr>
                <w:rFonts w:cs="Times New Roman"/>
                <w:szCs w:val="21"/>
              </w:rPr>
            </w:pPr>
            <w:r>
              <w:rPr>
                <w:rFonts w:cs="Times New Roman"/>
                <w:szCs w:val="21"/>
              </w:rPr>
              <w:t>边长5</w:t>
            </w:r>
            <w:r>
              <w:rPr>
                <w:rFonts w:hint="eastAsia" w:cs="Times New Roman"/>
                <w:szCs w:val="21"/>
              </w:rPr>
              <w:t>～</w:t>
            </w:r>
            <w:r>
              <w:rPr>
                <w:rFonts w:cs="Times New Roman"/>
                <w:szCs w:val="21"/>
              </w:rPr>
              <w:t>50km</w:t>
            </w:r>
            <w:r>
              <w:rPr>
                <w:rFonts w:cs="Times New Roman"/>
                <w:szCs w:val="21"/>
              </w:rPr>
              <w:sym w:font="Wingdings 2" w:char="00A3"/>
            </w:r>
          </w:p>
        </w:tc>
        <w:tc>
          <w:tcPr>
            <w:tcW w:w="1199" w:type="pct"/>
            <w:gridSpan w:val="5"/>
            <w:vAlign w:val="center"/>
          </w:tcPr>
          <w:p w14:paraId="3B11855B">
            <w:pPr>
              <w:pStyle w:val="133"/>
              <w:rPr>
                <w:rFonts w:cs="Times New Roman"/>
                <w:szCs w:val="21"/>
              </w:rPr>
            </w:pPr>
            <w:r>
              <w:rPr>
                <w:rFonts w:cs="Times New Roman"/>
                <w:szCs w:val="21"/>
              </w:rPr>
              <w:t>边长=5km</w:t>
            </w:r>
            <w:r>
              <w:rPr>
                <w:rFonts w:cs="Times New Roman"/>
                <w:szCs w:val="21"/>
              </w:rPr>
              <w:sym w:font="Wingdings 2" w:char="0052"/>
            </w:r>
          </w:p>
        </w:tc>
      </w:tr>
      <w:tr w14:paraId="5F68D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6A76E143">
            <w:pPr>
              <w:widowControl/>
              <w:ind w:firstLine="420"/>
              <w:jc w:val="left"/>
              <w:rPr>
                <w:sz w:val="21"/>
                <w:szCs w:val="21"/>
              </w:rPr>
            </w:pPr>
          </w:p>
        </w:tc>
        <w:tc>
          <w:tcPr>
            <w:tcW w:w="873" w:type="pct"/>
            <w:vAlign w:val="center"/>
          </w:tcPr>
          <w:p w14:paraId="6DACBEB3">
            <w:pPr>
              <w:pStyle w:val="133"/>
              <w:rPr>
                <w:rFonts w:cs="Times New Roman"/>
                <w:szCs w:val="21"/>
              </w:rPr>
            </w:pPr>
            <w:r>
              <w:rPr>
                <w:rFonts w:cs="Times New Roman"/>
                <w:szCs w:val="21"/>
              </w:rPr>
              <w:t>预测因子</w:t>
            </w:r>
          </w:p>
        </w:tc>
        <w:tc>
          <w:tcPr>
            <w:tcW w:w="2021" w:type="pct"/>
            <w:gridSpan w:val="11"/>
            <w:vAlign w:val="center"/>
          </w:tcPr>
          <w:p w14:paraId="171CC06E">
            <w:pPr>
              <w:pStyle w:val="133"/>
              <w:rPr>
                <w:rFonts w:cs="Times New Roman"/>
                <w:szCs w:val="21"/>
              </w:rPr>
            </w:pPr>
            <w:r>
              <w:rPr>
                <w:rFonts w:cs="Times New Roman"/>
                <w:szCs w:val="21"/>
              </w:rPr>
              <w:t>预测因子（SO</w:t>
            </w:r>
            <w:r>
              <w:rPr>
                <w:rFonts w:cs="Times New Roman"/>
                <w:szCs w:val="21"/>
                <w:vertAlign w:val="subscript"/>
              </w:rPr>
              <w:t>2</w:t>
            </w:r>
            <w:r>
              <w:rPr>
                <w:rFonts w:cs="Times New Roman"/>
                <w:szCs w:val="21"/>
              </w:rPr>
              <w:t>、NO</w:t>
            </w:r>
            <w:r>
              <w:rPr>
                <w:rFonts w:cs="Times New Roman"/>
                <w:szCs w:val="21"/>
                <w:vertAlign w:val="subscript"/>
              </w:rPr>
              <w:t>2</w:t>
            </w:r>
            <w:r>
              <w:rPr>
                <w:rFonts w:cs="Times New Roman"/>
                <w:szCs w:val="21"/>
              </w:rPr>
              <w:t>、PM</w:t>
            </w:r>
            <w:r>
              <w:rPr>
                <w:rFonts w:cs="Times New Roman"/>
                <w:szCs w:val="21"/>
                <w:vertAlign w:val="subscript"/>
              </w:rPr>
              <w:t>10</w:t>
            </w:r>
            <w:r>
              <w:rPr>
                <w:rFonts w:cs="Times New Roman"/>
                <w:szCs w:val="21"/>
              </w:rPr>
              <w:t>、PM</w:t>
            </w:r>
            <w:r>
              <w:rPr>
                <w:rFonts w:cs="Times New Roman"/>
                <w:szCs w:val="21"/>
                <w:vertAlign w:val="subscript"/>
              </w:rPr>
              <w:t>2.5</w:t>
            </w:r>
            <w:r>
              <w:rPr>
                <w:rFonts w:hint="eastAsia" w:cs="Times New Roman"/>
                <w:szCs w:val="21"/>
              </w:rPr>
              <w:t>、T</w:t>
            </w:r>
            <w:r>
              <w:rPr>
                <w:rFonts w:cs="Times New Roman"/>
                <w:szCs w:val="21"/>
              </w:rPr>
              <w:t>SP</w:t>
            </w:r>
            <w:r>
              <w:rPr>
                <w:rFonts w:hint="eastAsia" w:cs="Times New Roman"/>
                <w:szCs w:val="21"/>
              </w:rPr>
              <w:t>、BaP、NH</w:t>
            </w:r>
            <w:r>
              <w:rPr>
                <w:rFonts w:hint="eastAsia" w:cs="Times New Roman"/>
                <w:szCs w:val="21"/>
                <w:vertAlign w:val="subscript"/>
              </w:rPr>
              <w:t>3</w:t>
            </w:r>
            <w:r>
              <w:rPr>
                <w:rFonts w:hint="eastAsia" w:cs="Times New Roman"/>
                <w:szCs w:val="21"/>
              </w:rPr>
              <w:t>、H</w:t>
            </w:r>
            <w:r>
              <w:rPr>
                <w:rFonts w:hint="eastAsia" w:cs="Times New Roman"/>
                <w:szCs w:val="21"/>
                <w:vertAlign w:val="subscript"/>
              </w:rPr>
              <w:t>2</w:t>
            </w:r>
            <w:r>
              <w:rPr>
                <w:rFonts w:hint="eastAsia" w:cs="Times New Roman"/>
                <w:szCs w:val="21"/>
              </w:rPr>
              <w:t>S、NMHC</w:t>
            </w:r>
            <w:r>
              <w:rPr>
                <w:rFonts w:cs="Times New Roman"/>
                <w:szCs w:val="21"/>
              </w:rPr>
              <w:t>）</w:t>
            </w:r>
          </w:p>
        </w:tc>
        <w:tc>
          <w:tcPr>
            <w:tcW w:w="1699" w:type="pct"/>
            <w:gridSpan w:val="8"/>
            <w:vAlign w:val="center"/>
          </w:tcPr>
          <w:p w14:paraId="450F08EA">
            <w:pPr>
              <w:pStyle w:val="133"/>
              <w:rPr>
                <w:rFonts w:cs="Times New Roman"/>
                <w:szCs w:val="21"/>
              </w:rPr>
            </w:pPr>
            <w:r>
              <w:rPr>
                <w:rFonts w:cs="Times New Roman"/>
                <w:szCs w:val="21"/>
              </w:rPr>
              <w:t>包括二次PM</w:t>
            </w:r>
            <w:r>
              <w:rPr>
                <w:rFonts w:cs="Times New Roman"/>
                <w:szCs w:val="21"/>
                <w:vertAlign w:val="subscript"/>
              </w:rPr>
              <w:t>2.5</w:t>
            </w:r>
            <w:r>
              <w:rPr>
                <w:rFonts w:cs="Times New Roman"/>
                <w:szCs w:val="21"/>
              </w:rPr>
              <w:sym w:font="Wingdings 2" w:char="0052"/>
            </w:r>
          </w:p>
          <w:p w14:paraId="6CD5C163">
            <w:pPr>
              <w:pStyle w:val="133"/>
              <w:rPr>
                <w:rFonts w:cs="Times New Roman"/>
                <w:szCs w:val="21"/>
              </w:rPr>
            </w:pPr>
            <w:r>
              <w:rPr>
                <w:rFonts w:cs="Times New Roman"/>
                <w:szCs w:val="21"/>
              </w:rPr>
              <w:t>不包括二次PM</w:t>
            </w:r>
            <w:r>
              <w:rPr>
                <w:rFonts w:cs="Times New Roman"/>
                <w:szCs w:val="21"/>
                <w:vertAlign w:val="subscript"/>
              </w:rPr>
              <w:t>2.5</w:t>
            </w:r>
            <w:r>
              <w:rPr>
                <w:rFonts w:cs="Times New Roman"/>
                <w:szCs w:val="21"/>
              </w:rPr>
              <w:sym w:font="Wingdings 2" w:char="00A3"/>
            </w:r>
          </w:p>
        </w:tc>
      </w:tr>
      <w:tr w14:paraId="7F82C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5531EDCD">
            <w:pPr>
              <w:widowControl/>
              <w:ind w:firstLine="420"/>
              <w:jc w:val="left"/>
              <w:rPr>
                <w:sz w:val="21"/>
                <w:szCs w:val="21"/>
              </w:rPr>
            </w:pPr>
          </w:p>
        </w:tc>
        <w:tc>
          <w:tcPr>
            <w:tcW w:w="873" w:type="pct"/>
            <w:vAlign w:val="center"/>
          </w:tcPr>
          <w:p w14:paraId="777CC276">
            <w:pPr>
              <w:pStyle w:val="133"/>
              <w:rPr>
                <w:rFonts w:cs="Times New Roman"/>
                <w:szCs w:val="21"/>
              </w:rPr>
            </w:pPr>
            <w:r>
              <w:rPr>
                <w:rFonts w:cs="Times New Roman"/>
                <w:szCs w:val="21"/>
              </w:rPr>
              <w:t>正常排放短期浓度贡献值</w:t>
            </w:r>
          </w:p>
        </w:tc>
        <w:tc>
          <w:tcPr>
            <w:tcW w:w="2021" w:type="pct"/>
            <w:gridSpan w:val="11"/>
            <w:vAlign w:val="center"/>
          </w:tcPr>
          <w:p w14:paraId="083D25C7">
            <w:pPr>
              <w:pStyle w:val="133"/>
              <w:rPr>
                <w:rFonts w:cs="Times New Roman"/>
                <w:szCs w:val="21"/>
              </w:rPr>
            </w:pPr>
            <w:r>
              <w:rPr>
                <w:rFonts w:cs="Times New Roman"/>
                <w:iCs/>
                <w:szCs w:val="21"/>
              </w:rPr>
              <w:t>C</w:t>
            </w:r>
            <w:r>
              <w:rPr>
                <w:rFonts w:cs="Times New Roman"/>
                <w:szCs w:val="21"/>
                <w:vertAlign w:val="subscript"/>
              </w:rPr>
              <w:t>本项目</w:t>
            </w:r>
            <w:r>
              <w:rPr>
                <w:rFonts w:cs="Times New Roman"/>
                <w:szCs w:val="21"/>
              </w:rPr>
              <w:t>最大占标率≤100%</w:t>
            </w:r>
            <w:r>
              <w:rPr>
                <w:rFonts w:cs="Times New Roman"/>
                <w:szCs w:val="21"/>
              </w:rPr>
              <w:sym w:font="Wingdings 2" w:char="0052"/>
            </w:r>
          </w:p>
        </w:tc>
        <w:tc>
          <w:tcPr>
            <w:tcW w:w="1699" w:type="pct"/>
            <w:gridSpan w:val="8"/>
            <w:vAlign w:val="center"/>
          </w:tcPr>
          <w:p w14:paraId="2CDEEEFA">
            <w:pPr>
              <w:pStyle w:val="133"/>
              <w:rPr>
                <w:rFonts w:cs="Times New Roman"/>
                <w:szCs w:val="21"/>
              </w:rPr>
            </w:pPr>
            <w:r>
              <w:rPr>
                <w:rFonts w:cs="Times New Roman"/>
                <w:iCs/>
                <w:szCs w:val="21"/>
              </w:rPr>
              <w:t>C</w:t>
            </w:r>
            <w:r>
              <w:rPr>
                <w:rFonts w:cs="Times New Roman"/>
                <w:szCs w:val="21"/>
                <w:vertAlign w:val="subscript"/>
              </w:rPr>
              <w:t>本项目</w:t>
            </w:r>
            <w:r>
              <w:rPr>
                <w:rFonts w:cs="Times New Roman"/>
                <w:szCs w:val="21"/>
              </w:rPr>
              <w:t>最大占标率＞100%</w:t>
            </w:r>
            <w:r>
              <w:rPr>
                <w:rFonts w:cs="Times New Roman"/>
                <w:szCs w:val="21"/>
              </w:rPr>
              <w:sym w:font="Wingdings 2" w:char="00A3"/>
            </w:r>
          </w:p>
        </w:tc>
      </w:tr>
      <w:tr w14:paraId="4E26A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5673B9EB">
            <w:pPr>
              <w:widowControl/>
              <w:ind w:firstLine="420"/>
              <w:jc w:val="left"/>
              <w:rPr>
                <w:sz w:val="21"/>
                <w:szCs w:val="21"/>
              </w:rPr>
            </w:pPr>
          </w:p>
        </w:tc>
        <w:tc>
          <w:tcPr>
            <w:tcW w:w="873" w:type="pct"/>
            <w:vMerge w:val="restart"/>
            <w:vAlign w:val="center"/>
          </w:tcPr>
          <w:p w14:paraId="30B06070">
            <w:pPr>
              <w:pStyle w:val="133"/>
              <w:rPr>
                <w:rFonts w:cs="Times New Roman"/>
                <w:szCs w:val="21"/>
              </w:rPr>
            </w:pPr>
            <w:r>
              <w:rPr>
                <w:rFonts w:cs="Times New Roman"/>
                <w:szCs w:val="21"/>
              </w:rPr>
              <w:t>正常排放年均浓度贡献值</w:t>
            </w:r>
          </w:p>
        </w:tc>
        <w:tc>
          <w:tcPr>
            <w:tcW w:w="454" w:type="pct"/>
            <w:vAlign w:val="center"/>
          </w:tcPr>
          <w:p w14:paraId="79706A06">
            <w:pPr>
              <w:pStyle w:val="133"/>
              <w:rPr>
                <w:rFonts w:cs="Times New Roman"/>
                <w:szCs w:val="21"/>
              </w:rPr>
            </w:pPr>
            <w:r>
              <w:rPr>
                <w:rFonts w:cs="Times New Roman"/>
                <w:szCs w:val="21"/>
              </w:rPr>
              <w:t>一类区</w:t>
            </w:r>
          </w:p>
        </w:tc>
        <w:tc>
          <w:tcPr>
            <w:tcW w:w="1567" w:type="pct"/>
            <w:gridSpan w:val="10"/>
            <w:vAlign w:val="center"/>
          </w:tcPr>
          <w:p w14:paraId="68A05101">
            <w:pPr>
              <w:pStyle w:val="133"/>
              <w:rPr>
                <w:rFonts w:cs="Times New Roman"/>
                <w:szCs w:val="21"/>
              </w:rPr>
            </w:pPr>
            <w:r>
              <w:rPr>
                <w:rFonts w:cs="Times New Roman"/>
                <w:iCs/>
                <w:szCs w:val="21"/>
              </w:rPr>
              <w:t>C</w:t>
            </w:r>
            <w:r>
              <w:rPr>
                <w:rFonts w:cs="Times New Roman"/>
                <w:szCs w:val="21"/>
                <w:vertAlign w:val="subscript"/>
              </w:rPr>
              <w:t>本项目</w:t>
            </w:r>
            <w:r>
              <w:rPr>
                <w:rFonts w:cs="Times New Roman"/>
                <w:szCs w:val="21"/>
              </w:rPr>
              <w:t>最大占标率≤10%</w:t>
            </w:r>
            <w:r>
              <w:rPr>
                <w:rFonts w:cs="Times New Roman"/>
                <w:szCs w:val="21"/>
              </w:rPr>
              <w:sym w:font="Wingdings 2" w:char="00A3"/>
            </w:r>
          </w:p>
        </w:tc>
        <w:tc>
          <w:tcPr>
            <w:tcW w:w="1699" w:type="pct"/>
            <w:gridSpan w:val="8"/>
            <w:vAlign w:val="center"/>
          </w:tcPr>
          <w:p w14:paraId="695071B2">
            <w:pPr>
              <w:pStyle w:val="133"/>
              <w:rPr>
                <w:rFonts w:cs="Times New Roman"/>
                <w:szCs w:val="21"/>
              </w:rPr>
            </w:pPr>
            <w:r>
              <w:rPr>
                <w:rFonts w:cs="Times New Roman"/>
                <w:iCs/>
                <w:szCs w:val="21"/>
              </w:rPr>
              <w:t>C</w:t>
            </w:r>
            <w:r>
              <w:rPr>
                <w:rFonts w:cs="Times New Roman"/>
                <w:szCs w:val="21"/>
                <w:vertAlign w:val="subscript"/>
              </w:rPr>
              <w:t>本项目</w:t>
            </w:r>
            <w:r>
              <w:rPr>
                <w:rFonts w:cs="Times New Roman"/>
                <w:szCs w:val="21"/>
              </w:rPr>
              <w:t>最大占标率＞10%</w:t>
            </w:r>
            <w:r>
              <w:rPr>
                <w:rFonts w:cs="Times New Roman"/>
                <w:szCs w:val="21"/>
              </w:rPr>
              <w:sym w:font="Wingdings 2" w:char="00A3"/>
            </w:r>
          </w:p>
        </w:tc>
      </w:tr>
      <w:tr w14:paraId="432F1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3CE68024">
            <w:pPr>
              <w:widowControl/>
              <w:ind w:firstLine="420"/>
              <w:jc w:val="left"/>
              <w:rPr>
                <w:sz w:val="21"/>
                <w:szCs w:val="21"/>
              </w:rPr>
            </w:pPr>
          </w:p>
        </w:tc>
        <w:tc>
          <w:tcPr>
            <w:tcW w:w="0" w:type="auto"/>
            <w:vMerge w:val="continue"/>
            <w:vAlign w:val="center"/>
          </w:tcPr>
          <w:p w14:paraId="71CEC9C7">
            <w:pPr>
              <w:widowControl/>
              <w:ind w:firstLine="420"/>
              <w:jc w:val="left"/>
              <w:rPr>
                <w:sz w:val="21"/>
                <w:szCs w:val="21"/>
              </w:rPr>
            </w:pPr>
          </w:p>
        </w:tc>
        <w:tc>
          <w:tcPr>
            <w:tcW w:w="454" w:type="pct"/>
            <w:vAlign w:val="center"/>
          </w:tcPr>
          <w:p w14:paraId="251FDC4B">
            <w:pPr>
              <w:pStyle w:val="133"/>
              <w:rPr>
                <w:rFonts w:cs="Times New Roman"/>
                <w:szCs w:val="21"/>
              </w:rPr>
            </w:pPr>
            <w:r>
              <w:rPr>
                <w:rFonts w:cs="Times New Roman"/>
                <w:szCs w:val="21"/>
              </w:rPr>
              <w:t>二类区</w:t>
            </w:r>
          </w:p>
        </w:tc>
        <w:tc>
          <w:tcPr>
            <w:tcW w:w="1567" w:type="pct"/>
            <w:gridSpan w:val="10"/>
            <w:vAlign w:val="center"/>
          </w:tcPr>
          <w:p w14:paraId="5252EC9B">
            <w:pPr>
              <w:pStyle w:val="133"/>
              <w:rPr>
                <w:rFonts w:cs="Times New Roman"/>
                <w:szCs w:val="21"/>
              </w:rPr>
            </w:pPr>
            <w:r>
              <w:rPr>
                <w:rFonts w:cs="Times New Roman"/>
                <w:iCs/>
                <w:szCs w:val="21"/>
              </w:rPr>
              <w:t>C</w:t>
            </w:r>
            <w:r>
              <w:rPr>
                <w:rFonts w:cs="Times New Roman"/>
                <w:szCs w:val="21"/>
                <w:vertAlign w:val="subscript"/>
              </w:rPr>
              <w:t>本项目</w:t>
            </w:r>
            <w:r>
              <w:rPr>
                <w:rFonts w:cs="Times New Roman"/>
                <w:szCs w:val="21"/>
              </w:rPr>
              <w:t>最大占标率≤30%</w:t>
            </w:r>
            <w:r>
              <w:rPr>
                <w:rFonts w:cs="Times New Roman"/>
                <w:szCs w:val="21"/>
              </w:rPr>
              <w:sym w:font="Wingdings 2" w:char="0052"/>
            </w:r>
          </w:p>
        </w:tc>
        <w:tc>
          <w:tcPr>
            <w:tcW w:w="1699" w:type="pct"/>
            <w:gridSpan w:val="8"/>
            <w:vAlign w:val="center"/>
          </w:tcPr>
          <w:p w14:paraId="524BDB76">
            <w:pPr>
              <w:pStyle w:val="133"/>
              <w:rPr>
                <w:rFonts w:cs="Times New Roman"/>
                <w:szCs w:val="21"/>
              </w:rPr>
            </w:pPr>
            <w:r>
              <w:rPr>
                <w:rFonts w:cs="Times New Roman"/>
                <w:iCs/>
                <w:szCs w:val="21"/>
              </w:rPr>
              <w:t>C</w:t>
            </w:r>
            <w:r>
              <w:rPr>
                <w:rFonts w:cs="Times New Roman"/>
                <w:szCs w:val="21"/>
                <w:vertAlign w:val="subscript"/>
              </w:rPr>
              <w:t>本项目</w:t>
            </w:r>
            <w:r>
              <w:rPr>
                <w:rFonts w:cs="Times New Roman"/>
                <w:szCs w:val="21"/>
              </w:rPr>
              <w:t>最大占标率＞30%</w:t>
            </w:r>
            <w:r>
              <w:rPr>
                <w:rFonts w:cs="Times New Roman"/>
                <w:szCs w:val="21"/>
              </w:rPr>
              <w:sym w:font="Wingdings 2" w:char="00A3"/>
            </w:r>
          </w:p>
        </w:tc>
      </w:tr>
      <w:tr w14:paraId="752AC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01E97E34">
            <w:pPr>
              <w:widowControl/>
              <w:ind w:firstLine="420"/>
              <w:jc w:val="left"/>
              <w:rPr>
                <w:sz w:val="21"/>
                <w:szCs w:val="21"/>
              </w:rPr>
            </w:pPr>
          </w:p>
        </w:tc>
        <w:tc>
          <w:tcPr>
            <w:tcW w:w="873" w:type="pct"/>
            <w:vAlign w:val="center"/>
          </w:tcPr>
          <w:p w14:paraId="759B4AF5">
            <w:pPr>
              <w:pStyle w:val="133"/>
              <w:rPr>
                <w:rFonts w:cs="Times New Roman"/>
                <w:szCs w:val="21"/>
              </w:rPr>
            </w:pPr>
            <w:r>
              <w:rPr>
                <w:rFonts w:cs="Times New Roman"/>
                <w:szCs w:val="21"/>
              </w:rPr>
              <w:t>非正常排放1h浓度贡献值</w:t>
            </w:r>
          </w:p>
        </w:tc>
        <w:tc>
          <w:tcPr>
            <w:tcW w:w="743" w:type="pct"/>
            <w:gridSpan w:val="3"/>
            <w:vAlign w:val="center"/>
          </w:tcPr>
          <w:p w14:paraId="61979071">
            <w:pPr>
              <w:pStyle w:val="133"/>
              <w:rPr>
                <w:rFonts w:cs="Times New Roman"/>
                <w:szCs w:val="21"/>
              </w:rPr>
            </w:pPr>
            <w:r>
              <w:rPr>
                <w:rFonts w:cs="Times New Roman"/>
                <w:szCs w:val="21"/>
              </w:rPr>
              <w:t>非正常持续时长</w:t>
            </w:r>
          </w:p>
          <w:p w14:paraId="0E8D1E23">
            <w:pPr>
              <w:pStyle w:val="133"/>
              <w:rPr>
                <w:rFonts w:cs="Times New Roman"/>
                <w:szCs w:val="21"/>
              </w:rPr>
            </w:pPr>
            <w:r>
              <w:rPr>
                <w:rFonts w:cs="Times New Roman"/>
                <w:szCs w:val="21"/>
              </w:rPr>
              <w:t>（1）h</w:t>
            </w:r>
          </w:p>
        </w:tc>
        <w:tc>
          <w:tcPr>
            <w:tcW w:w="1547" w:type="pct"/>
            <w:gridSpan w:val="9"/>
            <w:vAlign w:val="center"/>
          </w:tcPr>
          <w:p w14:paraId="56C9EB72">
            <w:pPr>
              <w:pStyle w:val="133"/>
              <w:rPr>
                <w:rFonts w:cs="Times New Roman"/>
                <w:szCs w:val="21"/>
              </w:rPr>
            </w:pPr>
            <w:r>
              <w:rPr>
                <w:rFonts w:cs="Times New Roman"/>
                <w:iCs/>
                <w:szCs w:val="21"/>
              </w:rPr>
              <w:t>C</w:t>
            </w:r>
            <w:r>
              <w:rPr>
                <w:rFonts w:cs="Times New Roman"/>
                <w:szCs w:val="21"/>
                <w:vertAlign w:val="subscript"/>
              </w:rPr>
              <w:t>非正常</w:t>
            </w:r>
            <w:r>
              <w:rPr>
                <w:rFonts w:cs="Times New Roman"/>
                <w:szCs w:val="21"/>
              </w:rPr>
              <w:t>最大占标率≤100%</w:t>
            </w:r>
            <w:r>
              <w:rPr>
                <w:rFonts w:cs="Times New Roman"/>
                <w:szCs w:val="21"/>
              </w:rPr>
              <w:sym w:font="Wingdings 2" w:char="0052"/>
            </w:r>
          </w:p>
        </w:tc>
        <w:tc>
          <w:tcPr>
            <w:tcW w:w="1431" w:type="pct"/>
            <w:gridSpan w:val="7"/>
            <w:vAlign w:val="center"/>
          </w:tcPr>
          <w:p w14:paraId="1B5A603D">
            <w:pPr>
              <w:pStyle w:val="133"/>
              <w:rPr>
                <w:rFonts w:cs="Times New Roman"/>
                <w:szCs w:val="21"/>
              </w:rPr>
            </w:pPr>
            <w:r>
              <w:rPr>
                <w:rFonts w:cs="Times New Roman"/>
                <w:iCs/>
                <w:szCs w:val="21"/>
              </w:rPr>
              <w:t>C</w:t>
            </w:r>
            <w:r>
              <w:rPr>
                <w:rFonts w:cs="Times New Roman"/>
                <w:szCs w:val="21"/>
                <w:vertAlign w:val="subscript"/>
              </w:rPr>
              <w:t>非正常</w:t>
            </w:r>
            <w:r>
              <w:rPr>
                <w:rFonts w:cs="Times New Roman"/>
                <w:szCs w:val="21"/>
              </w:rPr>
              <w:t>最大占标率＞100%</w:t>
            </w:r>
            <w:r>
              <w:rPr>
                <w:rFonts w:cs="Times New Roman"/>
                <w:szCs w:val="21"/>
              </w:rPr>
              <w:sym w:font="Wingdings 2" w:char="00A3"/>
            </w:r>
          </w:p>
        </w:tc>
      </w:tr>
      <w:tr w14:paraId="11BEF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050440AC">
            <w:pPr>
              <w:widowControl/>
              <w:ind w:firstLine="420"/>
              <w:jc w:val="left"/>
              <w:rPr>
                <w:sz w:val="21"/>
                <w:szCs w:val="21"/>
              </w:rPr>
            </w:pPr>
          </w:p>
        </w:tc>
        <w:tc>
          <w:tcPr>
            <w:tcW w:w="873" w:type="pct"/>
            <w:vAlign w:val="center"/>
          </w:tcPr>
          <w:p w14:paraId="0F31BB9D">
            <w:pPr>
              <w:pStyle w:val="133"/>
              <w:rPr>
                <w:rFonts w:cs="Times New Roman"/>
                <w:szCs w:val="21"/>
              </w:rPr>
            </w:pPr>
            <w:r>
              <w:rPr>
                <w:rFonts w:cs="Times New Roman"/>
                <w:szCs w:val="21"/>
              </w:rPr>
              <w:t>保证率日平均浓度和年平均浓度叠加值</w:t>
            </w:r>
          </w:p>
        </w:tc>
        <w:tc>
          <w:tcPr>
            <w:tcW w:w="1778" w:type="pct"/>
            <w:gridSpan w:val="10"/>
            <w:vAlign w:val="center"/>
          </w:tcPr>
          <w:p w14:paraId="01F72133">
            <w:pPr>
              <w:pStyle w:val="133"/>
              <w:rPr>
                <w:rFonts w:cs="Times New Roman"/>
                <w:szCs w:val="21"/>
              </w:rPr>
            </w:pPr>
            <w:r>
              <w:rPr>
                <w:rFonts w:cs="Times New Roman"/>
                <w:iCs/>
                <w:szCs w:val="21"/>
              </w:rPr>
              <w:t>C</w:t>
            </w:r>
            <w:r>
              <w:rPr>
                <w:rFonts w:cs="Times New Roman"/>
                <w:szCs w:val="21"/>
                <w:vertAlign w:val="subscript"/>
              </w:rPr>
              <w:t>叠加</w:t>
            </w:r>
            <w:r>
              <w:rPr>
                <w:rFonts w:cs="Times New Roman"/>
                <w:szCs w:val="21"/>
              </w:rPr>
              <w:t>达标</w:t>
            </w:r>
            <w:r>
              <w:rPr>
                <w:rFonts w:cs="Times New Roman"/>
                <w:szCs w:val="21"/>
              </w:rPr>
              <w:sym w:font="Wingdings 2" w:char="00A3"/>
            </w:r>
          </w:p>
        </w:tc>
        <w:tc>
          <w:tcPr>
            <w:tcW w:w="1942" w:type="pct"/>
            <w:gridSpan w:val="9"/>
            <w:vAlign w:val="center"/>
          </w:tcPr>
          <w:p w14:paraId="00C1469F">
            <w:pPr>
              <w:pStyle w:val="133"/>
              <w:rPr>
                <w:rFonts w:cs="Times New Roman"/>
                <w:szCs w:val="21"/>
              </w:rPr>
            </w:pPr>
            <w:r>
              <w:rPr>
                <w:rFonts w:cs="Times New Roman"/>
                <w:iCs/>
                <w:szCs w:val="21"/>
              </w:rPr>
              <w:t>C</w:t>
            </w:r>
            <w:r>
              <w:rPr>
                <w:rFonts w:cs="Times New Roman"/>
                <w:szCs w:val="21"/>
                <w:vertAlign w:val="subscript"/>
              </w:rPr>
              <w:t>叠加</w:t>
            </w:r>
            <w:r>
              <w:rPr>
                <w:rFonts w:cs="Times New Roman"/>
                <w:szCs w:val="21"/>
              </w:rPr>
              <w:t>不达标</w:t>
            </w:r>
            <w:r>
              <w:rPr>
                <w:rFonts w:cs="Times New Roman"/>
                <w:szCs w:val="21"/>
              </w:rPr>
              <w:sym w:font="Wingdings 2" w:char="0052"/>
            </w:r>
          </w:p>
        </w:tc>
      </w:tr>
      <w:tr w14:paraId="05B68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6551B3A6">
            <w:pPr>
              <w:widowControl/>
              <w:ind w:firstLine="420"/>
              <w:jc w:val="left"/>
              <w:rPr>
                <w:sz w:val="21"/>
                <w:szCs w:val="21"/>
              </w:rPr>
            </w:pPr>
          </w:p>
        </w:tc>
        <w:tc>
          <w:tcPr>
            <w:tcW w:w="873" w:type="pct"/>
            <w:vAlign w:val="center"/>
          </w:tcPr>
          <w:p w14:paraId="0A65C480">
            <w:pPr>
              <w:pStyle w:val="133"/>
              <w:rPr>
                <w:rFonts w:cs="Times New Roman"/>
                <w:szCs w:val="21"/>
              </w:rPr>
            </w:pPr>
            <w:r>
              <w:rPr>
                <w:rFonts w:cs="Times New Roman"/>
                <w:szCs w:val="21"/>
              </w:rPr>
              <w:t>区域环境质量的整体变化情况</w:t>
            </w:r>
          </w:p>
        </w:tc>
        <w:tc>
          <w:tcPr>
            <w:tcW w:w="1778" w:type="pct"/>
            <w:gridSpan w:val="10"/>
            <w:vAlign w:val="center"/>
          </w:tcPr>
          <w:p w14:paraId="7D301C57">
            <w:pPr>
              <w:pStyle w:val="133"/>
              <w:rPr>
                <w:rFonts w:cs="Times New Roman"/>
                <w:szCs w:val="21"/>
              </w:rPr>
            </w:pPr>
            <w:r>
              <w:rPr>
                <w:rFonts w:cs="Times New Roman"/>
                <w:iCs/>
                <w:szCs w:val="21"/>
              </w:rPr>
              <w:t>k</w:t>
            </w:r>
            <w:r>
              <w:rPr>
                <w:rFonts w:cs="Times New Roman"/>
                <w:szCs w:val="21"/>
              </w:rPr>
              <w:t>≤-20%</w:t>
            </w:r>
            <w:r>
              <w:rPr>
                <w:rFonts w:cs="Times New Roman"/>
                <w:szCs w:val="21"/>
              </w:rPr>
              <w:sym w:font="Wingdings 2" w:char="00A3"/>
            </w:r>
          </w:p>
        </w:tc>
        <w:tc>
          <w:tcPr>
            <w:tcW w:w="1942" w:type="pct"/>
            <w:gridSpan w:val="9"/>
            <w:vAlign w:val="center"/>
          </w:tcPr>
          <w:p w14:paraId="39BC3E80">
            <w:pPr>
              <w:pStyle w:val="133"/>
              <w:rPr>
                <w:rFonts w:cs="Times New Roman"/>
                <w:szCs w:val="21"/>
              </w:rPr>
            </w:pPr>
            <w:r>
              <w:rPr>
                <w:rFonts w:cs="Times New Roman"/>
                <w:iCs/>
                <w:szCs w:val="21"/>
              </w:rPr>
              <w:t>k</w:t>
            </w:r>
            <w:r>
              <w:rPr>
                <w:rFonts w:hint="eastAsia" w:cs="Times New Roman"/>
                <w:iCs/>
                <w:szCs w:val="21"/>
              </w:rPr>
              <w:t>&gt;</w:t>
            </w:r>
            <w:r>
              <w:rPr>
                <w:rFonts w:cs="Times New Roman"/>
                <w:szCs w:val="21"/>
              </w:rPr>
              <w:t>20%</w:t>
            </w:r>
            <w:r>
              <w:rPr>
                <w:rFonts w:cs="Times New Roman"/>
                <w:szCs w:val="21"/>
              </w:rPr>
              <w:sym w:font="Wingdings 2" w:char="00A3"/>
            </w:r>
          </w:p>
        </w:tc>
      </w:tr>
      <w:tr w14:paraId="25F3D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46B07A97">
            <w:pPr>
              <w:pStyle w:val="133"/>
              <w:rPr>
                <w:rFonts w:cs="Times New Roman"/>
                <w:szCs w:val="21"/>
              </w:rPr>
            </w:pPr>
            <w:r>
              <w:rPr>
                <w:rFonts w:cs="Times New Roman"/>
                <w:szCs w:val="21"/>
              </w:rPr>
              <w:t>环境监测计划</w:t>
            </w:r>
          </w:p>
        </w:tc>
        <w:tc>
          <w:tcPr>
            <w:tcW w:w="873" w:type="pct"/>
            <w:vAlign w:val="center"/>
          </w:tcPr>
          <w:p w14:paraId="7B5BC20D">
            <w:pPr>
              <w:pStyle w:val="133"/>
              <w:rPr>
                <w:rFonts w:cs="Times New Roman"/>
                <w:szCs w:val="21"/>
              </w:rPr>
            </w:pPr>
            <w:r>
              <w:rPr>
                <w:rFonts w:cs="Times New Roman"/>
                <w:szCs w:val="21"/>
              </w:rPr>
              <w:t>污染源监测</w:t>
            </w:r>
          </w:p>
        </w:tc>
        <w:tc>
          <w:tcPr>
            <w:tcW w:w="1778" w:type="pct"/>
            <w:gridSpan w:val="10"/>
            <w:vAlign w:val="center"/>
          </w:tcPr>
          <w:p w14:paraId="0A306CB4">
            <w:pPr>
              <w:pStyle w:val="133"/>
              <w:rPr>
                <w:rFonts w:cs="Times New Roman"/>
                <w:szCs w:val="21"/>
              </w:rPr>
            </w:pPr>
            <w:r>
              <w:rPr>
                <w:rFonts w:cs="Times New Roman"/>
                <w:szCs w:val="21"/>
              </w:rPr>
              <w:t>监测因子（SO</w:t>
            </w:r>
            <w:r>
              <w:rPr>
                <w:rFonts w:cs="Times New Roman"/>
                <w:szCs w:val="21"/>
                <w:vertAlign w:val="subscript"/>
              </w:rPr>
              <w:t>2</w:t>
            </w:r>
            <w:r>
              <w:rPr>
                <w:rFonts w:cs="Times New Roman"/>
                <w:szCs w:val="21"/>
              </w:rPr>
              <w:t>、NO</w:t>
            </w:r>
            <w:r>
              <w:rPr>
                <w:rFonts w:cs="Times New Roman"/>
                <w:szCs w:val="21"/>
                <w:vertAlign w:val="subscript"/>
              </w:rPr>
              <w:t>2</w:t>
            </w:r>
            <w:r>
              <w:rPr>
                <w:rFonts w:cs="Times New Roman"/>
                <w:szCs w:val="21"/>
              </w:rPr>
              <w:t>、PM</w:t>
            </w:r>
            <w:r>
              <w:rPr>
                <w:rFonts w:cs="Times New Roman"/>
                <w:szCs w:val="21"/>
                <w:vertAlign w:val="subscript"/>
              </w:rPr>
              <w:t>10</w:t>
            </w:r>
            <w:r>
              <w:rPr>
                <w:rFonts w:cs="Times New Roman"/>
                <w:szCs w:val="21"/>
              </w:rPr>
              <w:t>、PM</w:t>
            </w:r>
            <w:r>
              <w:rPr>
                <w:rFonts w:cs="Times New Roman"/>
                <w:szCs w:val="21"/>
                <w:vertAlign w:val="subscript"/>
              </w:rPr>
              <w:t>2.5</w:t>
            </w:r>
            <w:r>
              <w:rPr>
                <w:rFonts w:hint="eastAsia" w:cs="Times New Roman"/>
                <w:szCs w:val="21"/>
              </w:rPr>
              <w:t>、T</w:t>
            </w:r>
            <w:r>
              <w:rPr>
                <w:rFonts w:cs="Times New Roman"/>
                <w:szCs w:val="21"/>
              </w:rPr>
              <w:t>SP</w:t>
            </w:r>
            <w:r>
              <w:rPr>
                <w:rFonts w:hint="eastAsia" w:cs="Times New Roman"/>
                <w:szCs w:val="21"/>
              </w:rPr>
              <w:t>、BaP、NH</w:t>
            </w:r>
            <w:r>
              <w:rPr>
                <w:rFonts w:hint="eastAsia" w:cs="Times New Roman"/>
                <w:szCs w:val="21"/>
                <w:vertAlign w:val="subscript"/>
              </w:rPr>
              <w:t>3</w:t>
            </w:r>
            <w:r>
              <w:rPr>
                <w:rFonts w:hint="eastAsia" w:cs="Times New Roman"/>
                <w:szCs w:val="21"/>
              </w:rPr>
              <w:t>、H</w:t>
            </w:r>
            <w:r>
              <w:rPr>
                <w:rFonts w:hint="eastAsia" w:cs="Times New Roman"/>
                <w:szCs w:val="21"/>
                <w:vertAlign w:val="subscript"/>
              </w:rPr>
              <w:t>2</w:t>
            </w:r>
            <w:r>
              <w:rPr>
                <w:rFonts w:hint="eastAsia" w:cs="Times New Roman"/>
                <w:szCs w:val="21"/>
              </w:rPr>
              <w:t>S、NMHC</w:t>
            </w:r>
            <w:r>
              <w:rPr>
                <w:rFonts w:cs="Times New Roman"/>
                <w:szCs w:val="21"/>
              </w:rPr>
              <w:t>）</w:t>
            </w:r>
          </w:p>
        </w:tc>
        <w:tc>
          <w:tcPr>
            <w:tcW w:w="1400" w:type="pct"/>
            <w:gridSpan w:val="7"/>
            <w:vAlign w:val="center"/>
          </w:tcPr>
          <w:p w14:paraId="7EC6F227">
            <w:pPr>
              <w:pStyle w:val="133"/>
              <w:rPr>
                <w:rFonts w:cs="Times New Roman"/>
                <w:szCs w:val="21"/>
              </w:rPr>
            </w:pPr>
            <w:r>
              <w:rPr>
                <w:rFonts w:cs="Times New Roman"/>
                <w:szCs w:val="21"/>
              </w:rPr>
              <w:t>有组织废气监测√</w:t>
            </w:r>
          </w:p>
          <w:p w14:paraId="3144CE49">
            <w:pPr>
              <w:pStyle w:val="133"/>
              <w:rPr>
                <w:rFonts w:cs="Times New Roman"/>
                <w:szCs w:val="21"/>
              </w:rPr>
            </w:pPr>
            <w:r>
              <w:rPr>
                <w:rFonts w:cs="Times New Roman"/>
                <w:szCs w:val="21"/>
              </w:rPr>
              <w:t>无组织废气监测√</w:t>
            </w:r>
          </w:p>
        </w:tc>
        <w:tc>
          <w:tcPr>
            <w:tcW w:w="542" w:type="pct"/>
            <w:gridSpan w:val="2"/>
            <w:vAlign w:val="center"/>
          </w:tcPr>
          <w:p w14:paraId="37AA93C5">
            <w:pPr>
              <w:pStyle w:val="133"/>
              <w:rPr>
                <w:rFonts w:cs="Times New Roman"/>
                <w:szCs w:val="21"/>
              </w:rPr>
            </w:pPr>
            <w:r>
              <w:rPr>
                <w:rFonts w:cs="Times New Roman"/>
                <w:szCs w:val="21"/>
              </w:rPr>
              <w:t>无监测</w:t>
            </w:r>
            <w:r>
              <w:rPr>
                <w:rFonts w:cs="Times New Roman"/>
                <w:szCs w:val="21"/>
              </w:rPr>
              <w:sym w:font="Wingdings 2" w:char="00A3"/>
            </w:r>
          </w:p>
        </w:tc>
      </w:tr>
      <w:tr w14:paraId="3A223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159EE37B">
            <w:pPr>
              <w:widowControl/>
              <w:ind w:firstLine="420"/>
              <w:jc w:val="left"/>
              <w:rPr>
                <w:sz w:val="21"/>
                <w:szCs w:val="21"/>
              </w:rPr>
            </w:pPr>
          </w:p>
        </w:tc>
        <w:tc>
          <w:tcPr>
            <w:tcW w:w="873" w:type="pct"/>
            <w:vAlign w:val="center"/>
          </w:tcPr>
          <w:p w14:paraId="0B899B56">
            <w:pPr>
              <w:pStyle w:val="133"/>
              <w:rPr>
                <w:rFonts w:cs="Times New Roman"/>
                <w:szCs w:val="21"/>
              </w:rPr>
            </w:pPr>
            <w:r>
              <w:rPr>
                <w:rFonts w:cs="Times New Roman"/>
                <w:szCs w:val="21"/>
              </w:rPr>
              <w:t>环境质量监测</w:t>
            </w:r>
          </w:p>
        </w:tc>
        <w:tc>
          <w:tcPr>
            <w:tcW w:w="1778" w:type="pct"/>
            <w:gridSpan w:val="10"/>
            <w:vAlign w:val="center"/>
          </w:tcPr>
          <w:p w14:paraId="3918E7D1">
            <w:pPr>
              <w:pStyle w:val="133"/>
              <w:rPr>
                <w:rFonts w:cs="Times New Roman"/>
                <w:szCs w:val="21"/>
              </w:rPr>
            </w:pPr>
            <w:r>
              <w:rPr>
                <w:rFonts w:cs="Times New Roman"/>
                <w:szCs w:val="21"/>
              </w:rPr>
              <w:t>监测因子（SO</w:t>
            </w:r>
            <w:r>
              <w:rPr>
                <w:rFonts w:cs="Times New Roman"/>
                <w:szCs w:val="21"/>
                <w:vertAlign w:val="subscript"/>
              </w:rPr>
              <w:t>2</w:t>
            </w:r>
            <w:r>
              <w:rPr>
                <w:rFonts w:cs="Times New Roman"/>
                <w:szCs w:val="21"/>
              </w:rPr>
              <w:t>、NO</w:t>
            </w:r>
            <w:r>
              <w:rPr>
                <w:rFonts w:cs="Times New Roman"/>
                <w:szCs w:val="21"/>
                <w:vertAlign w:val="subscript"/>
              </w:rPr>
              <w:t>2</w:t>
            </w:r>
            <w:r>
              <w:rPr>
                <w:rFonts w:cs="Times New Roman"/>
                <w:szCs w:val="21"/>
              </w:rPr>
              <w:t>、PM</w:t>
            </w:r>
            <w:r>
              <w:rPr>
                <w:rFonts w:cs="Times New Roman"/>
                <w:szCs w:val="21"/>
                <w:vertAlign w:val="subscript"/>
              </w:rPr>
              <w:t>10</w:t>
            </w:r>
            <w:r>
              <w:rPr>
                <w:rFonts w:cs="Times New Roman"/>
                <w:szCs w:val="21"/>
              </w:rPr>
              <w:t>、PM</w:t>
            </w:r>
            <w:r>
              <w:rPr>
                <w:rFonts w:cs="Times New Roman"/>
                <w:szCs w:val="21"/>
                <w:vertAlign w:val="subscript"/>
              </w:rPr>
              <w:t>2.5</w:t>
            </w:r>
            <w:r>
              <w:rPr>
                <w:rFonts w:hint="eastAsia" w:cs="Times New Roman"/>
                <w:szCs w:val="21"/>
              </w:rPr>
              <w:t>、T</w:t>
            </w:r>
            <w:r>
              <w:rPr>
                <w:rFonts w:cs="Times New Roman"/>
                <w:szCs w:val="21"/>
              </w:rPr>
              <w:t>SP</w:t>
            </w:r>
            <w:r>
              <w:rPr>
                <w:rFonts w:hint="eastAsia" w:cs="Times New Roman"/>
                <w:szCs w:val="21"/>
              </w:rPr>
              <w:t>、BaP、NH</w:t>
            </w:r>
            <w:r>
              <w:rPr>
                <w:rFonts w:hint="eastAsia" w:cs="Times New Roman"/>
                <w:szCs w:val="21"/>
                <w:vertAlign w:val="subscript"/>
              </w:rPr>
              <w:t>3</w:t>
            </w:r>
            <w:r>
              <w:rPr>
                <w:rFonts w:hint="eastAsia" w:cs="Times New Roman"/>
                <w:szCs w:val="21"/>
              </w:rPr>
              <w:t>、H</w:t>
            </w:r>
            <w:r>
              <w:rPr>
                <w:rFonts w:hint="eastAsia" w:cs="Times New Roman"/>
                <w:szCs w:val="21"/>
                <w:vertAlign w:val="subscript"/>
              </w:rPr>
              <w:t>2</w:t>
            </w:r>
            <w:r>
              <w:rPr>
                <w:rFonts w:hint="eastAsia" w:cs="Times New Roman"/>
                <w:szCs w:val="21"/>
              </w:rPr>
              <w:t>S、NMHC</w:t>
            </w:r>
            <w:r>
              <w:rPr>
                <w:rFonts w:cs="Times New Roman"/>
                <w:szCs w:val="21"/>
              </w:rPr>
              <w:t>）</w:t>
            </w:r>
          </w:p>
        </w:tc>
        <w:tc>
          <w:tcPr>
            <w:tcW w:w="1400" w:type="pct"/>
            <w:gridSpan w:val="7"/>
            <w:vAlign w:val="center"/>
          </w:tcPr>
          <w:p w14:paraId="0B8211E6">
            <w:pPr>
              <w:pStyle w:val="133"/>
              <w:rPr>
                <w:rFonts w:cs="Times New Roman"/>
                <w:color w:val="FF0000"/>
                <w:szCs w:val="21"/>
              </w:rPr>
            </w:pPr>
            <w:r>
              <w:rPr>
                <w:rFonts w:cs="Times New Roman"/>
                <w:szCs w:val="21"/>
              </w:rPr>
              <w:t>监测点位数（1）</w:t>
            </w:r>
          </w:p>
        </w:tc>
        <w:tc>
          <w:tcPr>
            <w:tcW w:w="542" w:type="pct"/>
            <w:gridSpan w:val="2"/>
            <w:vAlign w:val="center"/>
          </w:tcPr>
          <w:p w14:paraId="17F55749">
            <w:pPr>
              <w:pStyle w:val="133"/>
              <w:rPr>
                <w:rFonts w:cs="Times New Roman"/>
                <w:szCs w:val="21"/>
              </w:rPr>
            </w:pPr>
            <w:r>
              <w:rPr>
                <w:rFonts w:cs="Times New Roman"/>
                <w:szCs w:val="21"/>
              </w:rPr>
              <w:t>无监测</w:t>
            </w:r>
            <w:r>
              <w:rPr>
                <w:rFonts w:cs="Times New Roman"/>
                <w:szCs w:val="21"/>
              </w:rPr>
              <w:sym w:font="Wingdings 2" w:char="00A3"/>
            </w:r>
          </w:p>
        </w:tc>
      </w:tr>
      <w:tr w14:paraId="27A79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6" w:type="pct"/>
            <w:vMerge w:val="restart"/>
            <w:vAlign w:val="center"/>
          </w:tcPr>
          <w:p w14:paraId="4EAC703F">
            <w:pPr>
              <w:pStyle w:val="133"/>
              <w:rPr>
                <w:rFonts w:cs="Times New Roman"/>
                <w:szCs w:val="21"/>
              </w:rPr>
            </w:pPr>
            <w:r>
              <w:rPr>
                <w:rFonts w:cs="Times New Roman"/>
                <w:szCs w:val="21"/>
              </w:rPr>
              <w:t>评价</w:t>
            </w:r>
          </w:p>
          <w:p w14:paraId="485B11BB">
            <w:pPr>
              <w:pStyle w:val="133"/>
              <w:rPr>
                <w:rFonts w:cs="Times New Roman"/>
                <w:szCs w:val="21"/>
              </w:rPr>
            </w:pPr>
            <w:r>
              <w:rPr>
                <w:rFonts w:cs="Times New Roman"/>
                <w:szCs w:val="21"/>
              </w:rPr>
              <w:t>结论</w:t>
            </w:r>
          </w:p>
        </w:tc>
        <w:tc>
          <w:tcPr>
            <w:tcW w:w="873" w:type="pct"/>
            <w:vAlign w:val="center"/>
          </w:tcPr>
          <w:p w14:paraId="68C3FB89">
            <w:pPr>
              <w:pStyle w:val="133"/>
              <w:rPr>
                <w:rFonts w:cs="Times New Roman"/>
                <w:szCs w:val="21"/>
              </w:rPr>
            </w:pPr>
            <w:r>
              <w:rPr>
                <w:rFonts w:cs="Times New Roman"/>
                <w:szCs w:val="21"/>
              </w:rPr>
              <w:t>环境影响</w:t>
            </w:r>
          </w:p>
        </w:tc>
        <w:tc>
          <w:tcPr>
            <w:tcW w:w="3721" w:type="pct"/>
            <w:gridSpan w:val="19"/>
            <w:vAlign w:val="center"/>
          </w:tcPr>
          <w:p w14:paraId="4195B759">
            <w:pPr>
              <w:pStyle w:val="133"/>
              <w:rPr>
                <w:rFonts w:cs="Times New Roman"/>
                <w:szCs w:val="21"/>
              </w:rPr>
            </w:pPr>
            <w:r>
              <w:rPr>
                <w:rFonts w:cs="Times New Roman"/>
                <w:szCs w:val="21"/>
              </w:rPr>
              <w:t>可以接受</w:t>
            </w:r>
            <w:r>
              <w:rPr>
                <w:rFonts w:cs="Times New Roman"/>
                <w:szCs w:val="21"/>
              </w:rPr>
              <w:sym w:font="Wingdings 2" w:char="0052"/>
            </w:r>
            <w:r>
              <w:rPr>
                <w:rFonts w:hint="eastAsia" w:cs="Times New Roman"/>
                <w:szCs w:val="21"/>
              </w:rPr>
              <w:t xml:space="preserve">    </w:t>
            </w:r>
            <w:r>
              <w:rPr>
                <w:rFonts w:cs="Times New Roman"/>
                <w:szCs w:val="21"/>
              </w:rPr>
              <w:t>不可以接受</w:t>
            </w:r>
            <w:r>
              <w:rPr>
                <w:rFonts w:cs="Times New Roman"/>
                <w:szCs w:val="21"/>
              </w:rPr>
              <w:sym w:font="Wingdings 2" w:char="00A3"/>
            </w:r>
          </w:p>
        </w:tc>
      </w:tr>
      <w:tr w14:paraId="07928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649E1CD4">
            <w:pPr>
              <w:widowControl/>
              <w:ind w:firstLine="420"/>
              <w:jc w:val="left"/>
              <w:rPr>
                <w:sz w:val="21"/>
                <w:szCs w:val="21"/>
              </w:rPr>
            </w:pPr>
          </w:p>
        </w:tc>
        <w:tc>
          <w:tcPr>
            <w:tcW w:w="873" w:type="pct"/>
            <w:vAlign w:val="center"/>
          </w:tcPr>
          <w:p w14:paraId="20C4E77B">
            <w:pPr>
              <w:pStyle w:val="133"/>
              <w:rPr>
                <w:rFonts w:cs="Times New Roman"/>
                <w:szCs w:val="21"/>
              </w:rPr>
            </w:pPr>
            <w:r>
              <w:rPr>
                <w:rFonts w:cs="Times New Roman"/>
                <w:szCs w:val="21"/>
              </w:rPr>
              <w:t>大气环境防护距离</w:t>
            </w:r>
          </w:p>
        </w:tc>
        <w:tc>
          <w:tcPr>
            <w:tcW w:w="3721" w:type="pct"/>
            <w:gridSpan w:val="19"/>
            <w:vAlign w:val="center"/>
          </w:tcPr>
          <w:p w14:paraId="3CF113D4">
            <w:pPr>
              <w:pStyle w:val="133"/>
              <w:rPr>
                <w:rFonts w:cs="Times New Roman"/>
                <w:szCs w:val="21"/>
              </w:rPr>
            </w:pPr>
            <w:r>
              <w:rPr>
                <w:rFonts w:cs="Times New Roman"/>
                <w:szCs w:val="21"/>
              </w:rPr>
              <w:t>距（</w:t>
            </w:r>
            <w:r>
              <w:rPr>
                <w:rFonts w:hint="eastAsia" w:cs="Times New Roman"/>
                <w:szCs w:val="21"/>
              </w:rPr>
              <w:t>－</w:t>
            </w:r>
            <w:r>
              <w:rPr>
                <w:rFonts w:cs="Times New Roman"/>
                <w:szCs w:val="21"/>
              </w:rPr>
              <w:t>）厂界最远（0）m</w:t>
            </w:r>
          </w:p>
        </w:tc>
      </w:tr>
      <w:tr w14:paraId="7BC1D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1AE0F756">
            <w:pPr>
              <w:widowControl/>
              <w:ind w:firstLine="420"/>
              <w:jc w:val="left"/>
              <w:rPr>
                <w:sz w:val="21"/>
                <w:szCs w:val="21"/>
              </w:rPr>
            </w:pPr>
          </w:p>
        </w:tc>
        <w:tc>
          <w:tcPr>
            <w:tcW w:w="873" w:type="pct"/>
            <w:vMerge w:val="restart"/>
            <w:vAlign w:val="center"/>
          </w:tcPr>
          <w:p w14:paraId="437D6772">
            <w:pPr>
              <w:pStyle w:val="133"/>
              <w:rPr>
                <w:rFonts w:cs="Times New Roman"/>
                <w:color w:val="FF0000"/>
                <w:szCs w:val="21"/>
              </w:rPr>
            </w:pPr>
            <w:r>
              <w:rPr>
                <w:rFonts w:cs="Times New Roman"/>
                <w:szCs w:val="21"/>
              </w:rPr>
              <w:t>污染源年排放量</w:t>
            </w:r>
          </w:p>
        </w:tc>
        <w:tc>
          <w:tcPr>
            <w:tcW w:w="751" w:type="pct"/>
            <w:gridSpan w:val="3"/>
            <w:vAlign w:val="center"/>
          </w:tcPr>
          <w:p w14:paraId="3CF66C03">
            <w:pPr>
              <w:pStyle w:val="133"/>
              <w:rPr>
                <w:rFonts w:cs="Times New Roman"/>
                <w:szCs w:val="21"/>
              </w:rPr>
            </w:pPr>
            <w:r>
              <w:rPr>
                <w:rFonts w:hint="eastAsia" w:cs="Times New Roman"/>
                <w:szCs w:val="21"/>
              </w:rPr>
              <w:t>颗粒物</w:t>
            </w:r>
            <w:r>
              <w:rPr>
                <w:rFonts w:cs="Times New Roman"/>
                <w:szCs w:val="21"/>
              </w:rPr>
              <w:t>：</w:t>
            </w:r>
          </w:p>
          <w:p w14:paraId="549A82A2">
            <w:pPr>
              <w:pStyle w:val="133"/>
              <w:rPr>
                <w:rFonts w:cs="Times New Roman"/>
                <w:szCs w:val="21"/>
              </w:rPr>
            </w:pPr>
            <w:r>
              <w:rPr>
                <w:rFonts w:cs="Times New Roman"/>
                <w:szCs w:val="21"/>
              </w:rPr>
              <w:t>（</w:t>
            </w:r>
            <w:r>
              <w:rPr>
                <w:rFonts w:hint="eastAsia" w:cs="Times New Roman"/>
                <w:szCs w:val="21"/>
              </w:rPr>
              <w:t>93.768</w:t>
            </w:r>
            <w:r>
              <w:rPr>
                <w:rFonts w:cs="Times New Roman"/>
                <w:szCs w:val="21"/>
              </w:rPr>
              <w:t>）t/a</w:t>
            </w:r>
          </w:p>
        </w:tc>
        <w:tc>
          <w:tcPr>
            <w:tcW w:w="778" w:type="pct"/>
            <w:gridSpan w:val="5"/>
            <w:vAlign w:val="center"/>
          </w:tcPr>
          <w:p w14:paraId="46926EFF">
            <w:pPr>
              <w:pStyle w:val="133"/>
              <w:rPr>
                <w:rFonts w:cs="Times New Roman"/>
                <w:szCs w:val="21"/>
              </w:rPr>
            </w:pPr>
            <w:r>
              <w:rPr>
                <w:rFonts w:cs="Times New Roman"/>
                <w:szCs w:val="21"/>
              </w:rPr>
              <w:t>SO</w:t>
            </w:r>
            <w:r>
              <w:rPr>
                <w:rFonts w:cs="Times New Roman"/>
                <w:szCs w:val="21"/>
                <w:vertAlign w:val="subscript"/>
              </w:rPr>
              <w:t>2</w:t>
            </w:r>
            <w:r>
              <w:rPr>
                <w:rFonts w:cs="Times New Roman"/>
                <w:szCs w:val="21"/>
              </w:rPr>
              <w:t>：</w:t>
            </w:r>
          </w:p>
          <w:p w14:paraId="7AB906EC">
            <w:pPr>
              <w:pStyle w:val="133"/>
              <w:jc w:val="both"/>
              <w:rPr>
                <w:rFonts w:cs="Times New Roman"/>
                <w:szCs w:val="21"/>
              </w:rPr>
            </w:pPr>
            <w:r>
              <w:rPr>
                <w:rFonts w:cs="Times New Roman"/>
                <w:szCs w:val="21"/>
              </w:rPr>
              <w:t>（</w:t>
            </w:r>
            <w:r>
              <w:rPr>
                <w:rFonts w:hint="eastAsia" w:cs="Times New Roman"/>
                <w:szCs w:val="21"/>
              </w:rPr>
              <w:t>801.334</w:t>
            </w:r>
            <w:r>
              <w:rPr>
                <w:rFonts w:cs="Times New Roman"/>
                <w:szCs w:val="21"/>
              </w:rPr>
              <w:t>）t/a</w:t>
            </w:r>
          </w:p>
        </w:tc>
        <w:tc>
          <w:tcPr>
            <w:tcW w:w="761" w:type="pct"/>
            <w:gridSpan w:val="4"/>
            <w:vAlign w:val="center"/>
          </w:tcPr>
          <w:p w14:paraId="274B8738">
            <w:pPr>
              <w:pStyle w:val="133"/>
              <w:rPr>
                <w:rFonts w:cs="Times New Roman"/>
                <w:szCs w:val="21"/>
              </w:rPr>
            </w:pPr>
            <w:r>
              <w:rPr>
                <w:rFonts w:cs="Times New Roman"/>
                <w:szCs w:val="21"/>
              </w:rPr>
              <w:t>NO</w:t>
            </w:r>
            <w:r>
              <w:rPr>
                <w:rFonts w:cs="Times New Roman"/>
                <w:szCs w:val="21"/>
                <w:vertAlign w:val="subscript"/>
              </w:rPr>
              <w:t>X</w:t>
            </w:r>
            <w:r>
              <w:rPr>
                <w:rFonts w:cs="Times New Roman"/>
                <w:szCs w:val="21"/>
              </w:rPr>
              <w:t>：</w:t>
            </w:r>
          </w:p>
          <w:p w14:paraId="178F3002">
            <w:pPr>
              <w:pStyle w:val="133"/>
              <w:jc w:val="both"/>
              <w:rPr>
                <w:rFonts w:cs="Times New Roman"/>
                <w:szCs w:val="21"/>
              </w:rPr>
            </w:pPr>
            <w:r>
              <w:rPr>
                <w:rFonts w:cs="Times New Roman"/>
                <w:szCs w:val="21"/>
              </w:rPr>
              <w:t>（</w:t>
            </w:r>
            <w:r>
              <w:rPr>
                <w:rFonts w:hint="eastAsia" w:cs="Times New Roman"/>
                <w:szCs w:val="21"/>
              </w:rPr>
              <w:t>862.604</w:t>
            </w:r>
            <w:r>
              <w:rPr>
                <w:rFonts w:cs="Times New Roman"/>
                <w:szCs w:val="21"/>
              </w:rPr>
              <w:t>）t/a</w:t>
            </w:r>
          </w:p>
        </w:tc>
        <w:tc>
          <w:tcPr>
            <w:tcW w:w="726" w:type="pct"/>
            <w:gridSpan w:val="4"/>
            <w:vAlign w:val="center"/>
          </w:tcPr>
          <w:p w14:paraId="6B318D32">
            <w:pPr>
              <w:pStyle w:val="133"/>
              <w:rPr>
                <w:rFonts w:cs="Times New Roman"/>
                <w:szCs w:val="21"/>
              </w:rPr>
            </w:pPr>
            <w:r>
              <w:rPr>
                <w:rFonts w:cs="Times New Roman"/>
                <w:szCs w:val="21"/>
              </w:rPr>
              <w:t>VOC</w:t>
            </w:r>
            <w:r>
              <w:rPr>
                <w:rFonts w:cs="Times New Roman"/>
                <w:szCs w:val="21"/>
                <w:vertAlign w:val="subscript"/>
              </w:rPr>
              <w:t>S</w:t>
            </w:r>
            <w:r>
              <w:rPr>
                <w:rFonts w:cs="Times New Roman"/>
                <w:szCs w:val="21"/>
              </w:rPr>
              <w:t>：</w:t>
            </w:r>
          </w:p>
          <w:p w14:paraId="6702BA83">
            <w:pPr>
              <w:pStyle w:val="133"/>
              <w:rPr>
                <w:rFonts w:cs="Times New Roman"/>
                <w:szCs w:val="21"/>
              </w:rPr>
            </w:pPr>
            <w:r>
              <w:rPr>
                <w:rFonts w:cs="Times New Roman"/>
                <w:szCs w:val="21"/>
              </w:rPr>
              <w:t>（</w:t>
            </w:r>
            <w:r>
              <w:rPr>
                <w:rFonts w:hint="eastAsia" w:cs="Times New Roman"/>
                <w:szCs w:val="21"/>
              </w:rPr>
              <w:t>1.439</w:t>
            </w:r>
            <w:r>
              <w:rPr>
                <w:rFonts w:cs="Times New Roman"/>
                <w:szCs w:val="21"/>
              </w:rPr>
              <w:t>）t/a</w:t>
            </w:r>
          </w:p>
        </w:tc>
        <w:tc>
          <w:tcPr>
            <w:tcW w:w="704" w:type="pct"/>
            <w:gridSpan w:val="3"/>
            <w:vAlign w:val="center"/>
          </w:tcPr>
          <w:p w14:paraId="6EBA1D76">
            <w:pPr>
              <w:pStyle w:val="133"/>
              <w:rPr>
                <w:rFonts w:cs="Times New Roman"/>
                <w:szCs w:val="21"/>
              </w:rPr>
            </w:pPr>
            <w:r>
              <w:rPr>
                <w:rFonts w:hint="eastAsia" w:cs="Times New Roman"/>
                <w:szCs w:val="21"/>
              </w:rPr>
              <w:t>BaP：</w:t>
            </w:r>
          </w:p>
          <w:p w14:paraId="75092AF4">
            <w:pPr>
              <w:pStyle w:val="133"/>
              <w:rPr>
                <w:rFonts w:cs="Times New Roman"/>
                <w:szCs w:val="21"/>
              </w:rPr>
            </w:pPr>
            <w:r>
              <w:rPr>
                <w:rFonts w:cs="Times New Roman"/>
                <w:szCs w:val="21"/>
              </w:rPr>
              <w:t>（</w:t>
            </w:r>
            <w:r>
              <w:rPr>
                <w:rFonts w:hint="eastAsia" w:cs="Times New Roman"/>
                <w:szCs w:val="21"/>
              </w:rPr>
              <w:t>0.000182</w:t>
            </w:r>
            <w:r>
              <w:rPr>
                <w:rFonts w:cs="Times New Roman"/>
                <w:szCs w:val="21"/>
              </w:rPr>
              <w:t>）t/a</w:t>
            </w:r>
          </w:p>
        </w:tc>
      </w:tr>
      <w:tr w14:paraId="032CE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0" w:type="auto"/>
            <w:vMerge w:val="continue"/>
            <w:vAlign w:val="center"/>
          </w:tcPr>
          <w:p w14:paraId="55C27A37">
            <w:pPr>
              <w:widowControl/>
              <w:ind w:firstLine="420"/>
              <w:jc w:val="left"/>
              <w:rPr>
                <w:sz w:val="21"/>
                <w:szCs w:val="21"/>
              </w:rPr>
            </w:pPr>
          </w:p>
        </w:tc>
        <w:tc>
          <w:tcPr>
            <w:tcW w:w="873" w:type="pct"/>
            <w:vMerge w:val="continue"/>
            <w:vAlign w:val="center"/>
          </w:tcPr>
          <w:p w14:paraId="20D7706A">
            <w:pPr>
              <w:pStyle w:val="133"/>
              <w:rPr>
                <w:rFonts w:cs="Times New Roman"/>
                <w:szCs w:val="21"/>
              </w:rPr>
            </w:pPr>
          </w:p>
        </w:tc>
        <w:tc>
          <w:tcPr>
            <w:tcW w:w="751" w:type="pct"/>
            <w:gridSpan w:val="3"/>
            <w:vAlign w:val="center"/>
          </w:tcPr>
          <w:p w14:paraId="04006396">
            <w:pPr>
              <w:pStyle w:val="133"/>
              <w:rPr>
                <w:rFonts w:cs="Times New Roman"/>
                <w:szCs w:val="21"/>
              </w:rPr>
            </w:pPr>
            <w:r>
              <w:rPr>
                <w:rFonts w:hint="eastAsia" w:cs="Times New Roman"/>
                <w:szCs w:val="21"/>
              </w:rPr>
              <w:t>氰化氢</w:t>
            </w:r>
          </w:p>
          <w:p w14:paraId="1DF91323">
            <w:pPr>
              <w:pStyle w:val="133"/>
              <w:rPr>
                <w:rFonts w:cs="Times New Roman"/>
                <w:szCs w:val="21"/>
              </w:rPr>
            </w:pPr>
            <w:r>
              <w:rPr>
                <w:rFonts w:cs="Times New Roman"/>
                <w:szCs w:val="21"/>
              </w:rPr>
              <w:t>（</w:t>
            </w:r>
            <w:r>
              <w:rPr>
                <w:rFonts w:hint="eastAsia" w:cs="Times New Roman"/>
                <w:szCs w:val="21"/>
              </w:rPr>
              <w:t>0.00096</w:t>
            </w:r>
            <w:r>
              <w:rPr>
                <w:rFonts w:cs="Times New Roman"/>
                <w:szCs w:val="21"/>
              </w:rPr>
              <w:t>）t/a</w:t>
            </w:r>
          </w:p>
        </w:tc>
        <w:tc>
          <w:tcPr>
            <w:tcW w:w="778" w:type="pct"/>
            <w:gridSpan w:val="5"/>
            <w:vAlign w:val="center"/>
          </w:tcPr>
          <w:p w14:paraId="775FEE8B">
            <w:pPr>
              <w:pStyle w:val="133"/>
              <w:rPr>
                <w:rFonts w:cs="Times New Roman"/>
                <w:szCs w:val="21"/>
              </w:rPr>
            </w:pPr>
            <w:r>
              <w:rPr>
                <w:rFonts w:hint="eastAsia" w:cs="Times New Roman"/>
                <w:szCs w:val="21"/>
              </w:rPr>
              <w:t>酚类</w:t>
            </w:r>
          </w:p>
          <w:p w14:paraId="364F399E">
            <w:pPr>
              <w:pStyle w:val="133"/>
              <w:rPr>
                <w:rFonts w:cs="Times New Roman"/>
                <w:szCs w:val="21"/>
              </w:rPr>
            </w:pPr>
            <w:r>
              <w:rPr>
                <w:rFonts w:cs="Times New Roman"/>
                <w:szCs w:val="21"/>
              </w:rPr>
              <w:t>（</w:t>
            </w:r>
            <w:r>
              <w:rPr>
                <w:rFonts w:hint="eastAsia" w:cs="Times New Roman"/>
                <w:szCs w:val="21"/>
              </w:rPr>
              <w:t>0.0106</w:t>
            </w:r>
            <w:r>
              <w:rPr>
                <w:rFonts w:cs="Times New Roman"/>
                <w:szCs w:val="21"/>
              </w:rPr>
              <w:t>）t/a</w:t>
            </w:r>
          </w:p>
        </w:tc>
        <w:tc>
          <w:tcPr>
            <w:tcW w:w="761" w:type="pct"/>
            <w:gridSpan w:val="4"/>
            <w:vAlign w:val="center"/>
          </w:tcPr>
          <w:p w14:paraId="18622443">
            <w:pPr>
              <w:pStyle w:val="133"/>
              <w:rPr>
                <w:rFonts w:cs="Times New Roman"/>
                <w:szCs w:val="21"/>
              </w:rPr>
            </w:pPr>
            <w:r>
              <w:rPr>
                <w:rFonts w:hint="eastAsia" w:cs="Times New Roman"/>
                <w:szCs w:val="21"/>
              </w:rPr>
              <w:t>NH</w:t>
            </w:r>
            <w:r>
              <w:rPr>
                <w:rFonts w:hint="eastAsia" w:cs="Times New Roman"/>
                <w:szCs w:val="21"/>
                <w:vertAlign w:val="subscript"/>
              </w:rPr>
              <w:t>3</w:t>
            </w:r>
          </w:p>
          <w:p w14:paraId="0815EB38">
            <w:pPr>
              <w:pStyle w:val="133"/>
              <w:rPr>
                <w:rFonts w:cs="Times New Roman"/>
                <w:szCs w:val="21"/>
              </w:rPr>
            </w:pPr>
            <w:r>
              <w:rPr>
                <w:rFonts w:cs="Times New Roman"/>
                <w:szCs w:val="21"/>
              </w:rPr>
              <w:t>（</w:t>
            </w:r>
            <w:r>
              <w:rPr>
                <w:rFonts w:hint="eastAsia" w:cs="Times New Roman"/>
                <w:szCs w:val="21"/>
              </w:rPr>
              <w:t>0.133</w:t>
            </w:r>
            <w:r>
              <w:rPr>
                <w:rFonts w:cs="Times New Roman"/>
                <w:szCs w:val="21"/>
              </w:rPr>
              <w:t>）t/a</w:t>
            </w:r>
          </w:p>
        </w:tc>
        <w:tc>
          <w:tcPr>
            <w:tcW w:w="726" w:type="pct"/>
            <w:gridSpan w:val="4"/>
            <w:vAlign w:val="center"/>
          </w:tcPr>
          <w:p w14:paraId="4BED84C1">
            <w:pPr>
              <w:pStyle w:val="133"/>
              <w:rPr>
                <w:rFonts w:cs="Times New Roman"/>
                <w:szCs w:val="21"/>
              </w:rPr>
            </w:pPr>
            <w:r>
              <w:rPr>
                <w:rFonts w:hint="eastAsia" w:cs="Times New Roman"/>
                <w:szCs w:val="21"/>
              </w:rPr>
              <w:t>H</w:t>
            </w:r>
            <w:r>
              <w:rPr>
                <w:rFonts w:hint="eastAsia" w:cs="Times New Roman"/>
                <w:szCs w:val="21"/>
                <w:vertAlign w:val="subscript"/>
              </w:rPr>
              <w:t>2</w:t>
            </w:r>
            <w:r>
              <w:rPr>
                <w:rFonts w:hint="eastAsia" w:cs="Times New Roman"/>
                <w:szCs w:val="21"/>
              </w:rPr>
              <w:t>S</w:t>
            </w:r>
          </w:p>
          <w:p w14:paraId="720ACFE7">
            <w:pPr>
              <w:pStyle w:val="133"/>
              <w:rPr>
                <w:rFonts w:cs="Times New Roman"/>
                <w:szCs w:val="21"/>
              </w:rPr>
            </w:pPr>
            <w:r>
              <w:rPr>
                <w:rFonts w:cs="Times New Roman"/>
                <w:szCs w:val="21"/>
              </w:rPr>
              <w:t>（</w:t>
            </w:r>
            <w:r>
              <w:rPr>
                <w:rFonts w:hint="eastAsia" w:cs="Times New Roman"/>
                <w:szCs w:val="21"/>
              </w:rPr>
              <w:t>0.0274</w:t>
            </w:r>
            <w:r>
              <w:rPr>
                <w:rFonts w:cs="Times New Roman"/>
                <w:szCs w:val="21"/>
              </w:rPr>
              <w:t>）t/a</w:t>
            </w:r>
          </w:p>
        </w:tc>
        <w:tc>
          <w:tcPr>
            <w:tcW w:w="704" w:type="pct"/>
            <w:gridSpan w:val="3"/>
            <w:vAlign w:val="center"/>
          </w:tcPr>
          <w:p w14:paraId="23D6D16C">
            <w:pPr>
              <w:pStyle w:val="133"/>
              <w:rPr>
                <w:rFonts w:cs="Times New Roman"/>
                <w:szCs w:val="21"/>
              </w:rPr>
            </w:pPr>
          </w:p>
        </w:tc>
      </w:tr>
      <w:tr w14:paraId="28C43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21"/>
            <w:vAlign w:val="center"/>
          </w:tcPr>
          <w:p w14:paraId="6C2028A5">
            <w:pPr>
              <w:pStyle w:val="133"/>
              <w:jc w:val="both"/>
              <w:rPr>
                <w:rFonts w:cs="Times New Roman"/>
                <w:szCs w:val="21"/>
              </w:rPr>
            </w:pPr>
            <w:r>
              <w:rPr>
                <w:rFonts w:cs="Times New Roman"/>
                <w:szCs w:val="21"/>
              </w:rPr>
              <w:t>注：“</w:t>
            </w:r>
            <w:r>
              <w:rPr>
                <w:rFonts w:cs="Times New Roman"/>
                <w:szCs w:val="21"/>
              </w:rPr>
              <w:sym w:font="Wingdings 2" w:char="00A3"/>
            </w:r>
            <w:r>
              <w:rPr>
                <w:rFonts w:cs="Times New Roman"/>
                <w:szCs w:val="21"/>
              </w:rPr>
              <w:t>”为勾选项，填“√”；“（）”为内容填写项</w:t>
            </w:r>
            <w:r>
              <w:rPr>
                <w:rFonts w:hint="eastAsia" w:cs="Times New Roman"/>
                <w:szCs w:val="21"/>
              </w:rPr>
              <w:t>。</w:t>
            </w:r>
          </w:p>
        </w:tc>
      </w:tr>
    </w:tbl>
    <w:p w14:paraId="0A0846B1">
      <w:pPr>
        <w:pStyle w:val="133"/>
      </w:pPr>
    </w:p>
    <w:p w14:paraId="7A8CADFE">
      <w:pPr>
        <w:pStyle w:val="3"/>
      </w:pPr>
      <w:bookmarkStart w:id="484" w:name="_Toc45970062"/>
      <w:bookmarkStart w:id="485" w:name="_Toc30526"/>
      <w:bookmarkStart w:id="486" w:name="_Toc11588"/>
      <w:bookmarkStart w:id="487" w:name="_Toc205291397"/>
      <w:r>
        <w:rPr>
          <w:rFonts w:hint="eastAsia"/>
        </w:rPr>
        <w:t>运营期地表水环境影响分析</w:t>
      </w:r>
      <w:bookmarkEnd w:id="484"/>
      <w:bookmarkEnd w:id="485"/>
      <w:bookmarkEnd w:id="486"/>
      <w:bookmarkEnd w:id="487"/>
    </w:p>
    <w:p w14:paraId="01FBE43C">
      <w:pPr>
        <w:pStyle w:val="138"/>
        <w:rPr>
          <w:rFonts w:hint="eastAsia"/>
        </w:rPr>
      </w:pPr>
      <w:bookmarkStart w:id="488" w:name="_Toc18030"/>
      <w:bookmarkStart w:id="489" w:name="_Toc13693"/>
      <w:r>
        <w:t>水污染控制和水环境影响减缓措施有效性评价</w:t>
      </w:r>
    </w:p>
    <w:p w14:paraId="376F881F">
      <w:pPr>
        <w:ind w:firstLine="480"/>
      </w:pPr>
      <w:r>
        <w:rPr>
          <w:rFonts w:hint="eastAsia"/>
        </w:rPr>
        <w:t>本项目主要废水为：剩余氨水、焚烧炉烟气脱硫废水、VOCs处理喷淋废水、</w:t>
      </w:r>
      <w:r>
        <w:t>余热锅炉排水</w:t>
      </w:r>
      <w:r>
        <w:rPr>
          <w:rFonts w:hint="eastAsia"/>
        </w:rPr>
        <w:t>、软水</w:t>
      </w:r>
      <w:r>
        <w:t>制备浓水</w:t>
      </w:r>
      <w:r>
        <w:rPr>
          <w:rFonts w:hint="eastAsia"/>
        </w:rPr>
        <w:t>、冷却水系统排污水等；其中，剩余氨水、焚烧炉烟气脱硫废水、VOCs处理喷淋废水经预处理后焚烧处理；</w:t>
      </w:r>
      <w:r>
        <w:t>余热锅炉排水</w:t>
      </w:r>
      <w:r>
        <w:rPr>
          <w:rFonts w:hint="eastAsia"/>
        </w:rPr>
        <w:t>、软水</w:t>
      </w:r>
      <w:r>
        <w:t>制备浓水</w:t>
      </w:r>
      <w:r>
        <w:rPr>
          <w:rFonts w:hint="eastAsia"/>
        </w:rPr>
        <w:t>、冷却水系统排污水处理后用于厂区绿化。</w:t>
      </w:r>
    </w:p>
    <w:p w14:paraId="4CC5DB30">
      <w:pPr>
        <w:pStyle w:val="138"/>
        <w:rPr>
          <w:rFonts w:hint="eastAsia"/>
        </w:rPr>
      </w:pPr>
      <w:r>
        <w:rPr>
          <w:rFonts w:hint="eastAsia"/>
        </w:rPr>
        <w:t>地表水环境影响自查表</w:t>
      </w:r>
    </w:p>
    <w:p w14:paraId="5D76ADAE">
      <w:pPr>
        <w:ind w:firstLine="480"/>
      </w:pPr>
      <w:r>
        <w:t>地表水环境影响自查表见表</w:t>
      </w:r>
      <w:r>
        <w:rPr>
          <w:rFonts w:hint="eastAsia"/>
        </w:rPr>
        <w:t>5</w:t>
      </w:r>
      <w:r>
        <w:t>.3-1</w:t>
      </w:r>
      <w:r>
        <w:rPr>
          <w:rFonts w:hint="eastAsia"/>
        </w:rPr>
        <w:t>。</w:t>
      </w:r>
    </w:p>
    <w:p w14:paraId="2CF1E5F9">
      <w:pPr>
        <w:ind w:firstLine="0" w:firstLineChars="0"/>
        <w:sectPr>
          <w:footerReference r:id="rId27" w:type="even"/>
          <w:pgSz w:w="11906" w:h="16838"/>
          <w:pgMar w:top="1418" w:right="1286" w:bottom="1418" w:left="1531" w:header="851" w:footer="992" w:gutter="0"/>
          <w:cols w:space="720" w:num="1"/>
          <w:docGrid w:linePitch="312" w:charSpace="0"/>
        </w:sectPr>
      </w:pPr>
    </w:p>
    <w:p w14:paraId="57103B4D">
      <w:pPr>
        <w:pStyle w:val="118"/>
        <w:rPr>
          <w:color w:val="auto"/>
        </w:rPr>
      </w:pPr>
      <w:r>
        <w:rPr>
          <w:rFonts w:hint="eastAsia"/>
          <w:color w:val="auto"/>
        </w:rPr>
        <w:t>表5.3-1  建设项目地表水环境影响评价自查表</w:t>
      </w:r>
    </w:p>
    <w:tbl>
      <w:tblPr>
        <w:tblStyle w:val="68"/>
        <w:tblW w:w="141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2677"/>
        <w:gridCol w:w="1852"/>
        <w:gridCol w:w="793"/>
        <w:gridCol w:w="956"/>
        <w:gridCol w:w="2114"/>
        <w:gridCol w:w="2225"/>
        <w:gridCol w:w="1704"/>
        <w:gridCol w:w="1427"/>
      </w:tblGrid>
      <w:tr w14:paraId="202C9D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3104" w:type="dxa"/>
            <w:gridSpan w:val="2"/>
            <w:vAlign w:val="center"/>
          </w:tcPr>
          <w:p w14:paraId="24BFDB81">
            <w:pPr>
              <w:pStyle w:val="133"/>
              <w:rPr>
                <w:b/>
                <w:bCs/>
              </w:rPr>
            </w:pPr>
            <w:r>
              <w:rPr>
                <w:rFonts w:hint="eastAsia"/>
                <w:b/>
                <w:bCs/>
              </w:rPr>
              <w:t>工作内容</w:t>
            </w:r>
          </w:p>
        </w:tc>
        <w:tc>
          <w:tcPr>
            <w:tcW w:w="11071" w:type="dxa"/>
            <w:gridSpan w:val="7"/>
            <w:vAlign w:val="center"/>
          </w:tcPr>
          <w:p w14:paraId="6F54B83B">
            <w:pPr>
              <w:pStyle w:val="133"/>
              <w:rPr>
                <w:b/>
                <w:bCs/>
              </w:rPr>
            </w:pPr>
            <w:r>
              <w:rPr>
                <w:rFonts w:hint="eastAsia"/>
                <w:b/>
                <w:bCs/>
              </w:rPr>
              <w:t>自查项目</w:t>
            </w:r>
          </w:p>
        </w:tc>
      </w:tr>
      <w:tr w14:paraId="2C9B00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restart"/>
            <w:vAlign w:val="center"/>
          </w:tcPr>
          <w:p w14:paraId="6AA33142">
            <w:pPr>
              <w:pStyle w:val="133"/>
            </w:pPr>
            <w:r>
              <w:rPr>
                <w:rFonts w:hint="eastAsia"/>
              </w:rPr>
              <w:t>影响识别</w:t>
            </w:r>
          </w:p>
        </w:tc>
        <w:tc>
          <w:tcPr>
            <w:tcW w:w="2677" w:type="dxa"/>
            <w:vAlign w:val="center"/>
          </w:tcPr>
          <w:p w14:paraId="11A59130">
            <w:pPr>
              <w:pStyle w:val="133"/>
            </w:pPr>
            <w:r>
              <w:rPr>
                <w:rFonts w:hint="eastAsia"/>
              </w:rPr>
              <w:t>影响类型</w:t>
            </w:r>
          </w:p>
        </w:tc>
        <w:tc>
          <w:tcPr>
            <w:tcW w:w="11071" w:type="dxa"/>
            <w:gridSpan w:val="7"/>
            <w:vAlign w:val="center"/>
          </w:tcPr>
          <w:p w14:paraId="17BF9A9C">
            <w:pPr>
              <w:pStyle w:val="133"/>
            </w:pPr>
            <w:r>
              <w:rPr>
                <w:rFonts w:hint="eastAsia"/>
              </w:rPr>
              <w:t>水污染影响型</w:t>
            </w:r>
            <w:r>
              <w:rPr>
                <w:rFonts w:ascii="Segoe UI Symbol" w:hAnsi="Segoe UI Symbol" w:cs="Segoe UI Symbol"/>
              </w:rPr>
              <w:t>☑</w:t>
            </w:r>
            <w:r>
              <w:rPr>
                <w:rFonts w:hint="eastAsia"/>
              </w:rPr>
              <w:t>；水文要素影响型□</w:t>
            </w:r>
          </w:p>
        </w:tc>
      </w:tr>
      <w:tr w14:paraId="6E4033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5175DAEB">
            <w:pPr>
              <w:pStyle w:val="133"/>
            </w:pPr>
          </w:p>
        </w:tc>
        <w:tc>
          <w:tcPr>
            <w:tcW w:w="2677" w:type="dxa"/>
            <w:vAlign w:val="center"/>
          </w:tcPr>
          <w:p w14:paraId="315C3CB1">
            <w:pPr>
              <w:pStyle w:val="133"/>
            </w:pPr>
            <w:r>
              <w:rPr>
                <w:rFonts w:hint="eastAsia"/>
              </w:rPr>
              <w:t>水环境保护目标</w:t>
            </w:r>
          </w:p>
        </w:tc>
        <w:tc>
          <w:tcPr>
            <w:tcW w:w="11071" w:type="dxa"/>
            <w:gridSpan w:val="7"/>
            <w:vAlign w:val="center"/>
          </w:tcPr>
          <w:p w14:paraId="3A912B8B">
            <w:pPr>
              <w:pStyle w:val="133"/>
            </w:pPr>
            <w:r>
              <w:rPr>
                <w:rFonts w:hint="eastAsia"/>
              </w:rPr>
              <w:t>饮用水水源保护区□；饮用水取水口□；涉水的自然保护区□；重要湿地□；重点保护与珍稀水生生物的栖息地□；重要水生生物的自然产卵地及索耳场、越冬场和洄游通道□；天然渔场等渔业水体□；水产种质资源保护区□；其他□</w:t>
            </w:r>
          </w:p>
        </w:tc>
      </w:tr>
      <w:tr w14:paraId="2137E6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300F7A04">
            <w:pPr>
              <w:pStyle w:val="133"/>
            </w:pPr>
          </w:p>
        </w:tc>
        <w:tc>
          <w:tcPr>
            <w:tcW w:w="2677" w:type="dxa"/>
            <w:vMerge w:val="restart"/>
            <w:vAlign w:val="center"/>
          </w:tcPr>
          <w:p w14:paraId="5CC8B6C1">
            <w:pPr>
              <w:pStyle w:val="133"/>
            </w:pPr>
            <w:r>
              <w:rPr>
                <w:rFonts w:hint="eastAsia"/>
              </w:rPr>
              <w:t>影响途径</w:t>
            </w:r>
          </w:p>
        </w:tc>
        <w:tc>
          <w:tcPr>
            <w:tcW w:w="5715" w:type="dxa"/>
            <w:gridSpan w:val="4"/>
            <w:vAlign w:val="center"/>
          </w:tcPr>
          <w:p w14:paraId="1B17F902">
            <w:pPr>
              <w:pStyle w:val="133"/>
            </w:pPr>
            <w:r>
              <w:rPr>
                <w:rFonts w:hint="eastAsia"/>
              </w:rPr>
              <w:t>水污染影响型</w:t>
            </w:r>
            <w:r>
              <w:rPr>
                <w:rFonts w:ascii="Segoe UI Symbol" w:hAnsi="Segoe UI Symbol" w:cs="Segoe UI Symbol"/>
              </w:rPr>
              <w:t>☑</w:t>
            </w:r>
          </w:p>
        </w:tc>
        <w:tc>
          <w:tcPr>
            <w:tcW w:w="5356" w:type="dxa"/>
            <w:gridSpan w:val="3"/>
            <w:vAlign w:val="center"/>
          </w:tcPr>
          <w:p w14:paraId="01B894FA">
            <w:pPr>
              <w:pStyle w:val="133"/>
            </w:pPr>
            <w:r>
              <w:rPr>
                <w:rFonts w:hint="eastAsia"/>
              </w:rPr>
              <w:t>水文要素影响型□</w:t>
            </w:r>
          </w:p>
        </w:tc>
      </w:tr>
      <w:tr w14:paraId="474073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789B5858">
            <w:pPr>
              <w:pStyle w:val="133"/>
            </w:pPr>
          </w:p>
        </w:tc>
        <w:tc>
          <w:tcPr>
            <w:tcW w:w="2677" w:type="dxa"/>
            <w:vMerge w:val="continue"/>
            <w:vAlign w:val="center"/>
          </w:tcPr>
          <w:p w14:paraId="7A991297">
            <w:pPr>
              <w:pStyle w:val="133"/>
            </w:pPr>
          </w:p>
        </w:tc>
        <w:tc>
          <w:tcPr>
            <w:tcW w:w="5715" w:type="dxa"/>
            <w:gridSpan w:val="4"/>
            <w:vAlign w:val="center"/>
          </w:tcPr>
          <w:p w14:paraId="5D6B16FA">
            <w:pPr>
              <w:pStyle w:val="133"/>
            </w:pPr>
            <w:r>
              <w:rPr>
                <w:rFonts w:hint="eastAsia"/>
              </w:rPr>
              <w:t>直接排放□；间接排放□；其他</w:t>
            </w:r>
            <w:r>
              <w:rPr>
                <w:rFonts w:ascii="Segoe UI Symbol" w:hAnsi="Segoe UI Symbol" w:cs="Segoe UI Symbol"/>
              </w:rPr>
              <w:t>☑</w:t>
            </w:r>
          </w:p>
        </w:tc>
        <w:tc>
          <w:tcPr>
            <w:tcW w:w="5356" w:type="dxa"/>
            <w:gridSpan w:val="3"/>
            <w:vAlign w:val="center"/>
          </w:tcPr>
          <w:p w14:paraId="705D52DA">
            <w:pPr>
              <w:pStyle w:val="133"/>
            </w:pPr>
            <w:r>
              <w:rPr>
                <w:rFonts w:hint="eastAsia"/>
              </w:rPr>
              <w:t>水温□；径流□；水域面积□</w:t>
            </w:r>
          </w:p>
        </w:tc>
      </w:tr>
      <w:tr w14:paraId="7871B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0EA83E98">
            <w:pPr>
              <w:pStyle w:val="133"/>
            </w:pPr>
          </w:p>
        </w:tc>
        <w:tc>
          <w:tcPr>
            <w:tcW w:w="2677" w:type="dxa"/>
            <w:vAlign w:val="center"/>
          </w:tcPr>
          <w:p w14:paraId="677617FF">
            <w:pPr>
              <w:pStyle w:val="133"/>
            </w:pPr>
            <w:r>
              <w:rPr>
                <w:rFonts w:hint="eastAsia"/>
              </w:rPr>
              <w:t>影响因子</w:t>
            </w:r>
          </w:p>
        </w:tc>
        <w:tc>
          <w:tcPr>
            <w:tcW w:w="5715" w:type="dxa"/>
            <w:gridSpan w:val="4"/>
            <w:vAlign w:val="center"/>
          </w:tcPr>
          <w:p w14:paraId="3883761E">
            <w:pPr>
              <w:pStyle w:val="133"/>
            </w:pPr>
            <w:r>
              <w:rPr>
                <w:rFonts w:hint="eastAsia"/>
              </w:rPr>
              <w:t>持久性污染物□；有毒有害污染物□；非持久性污染物</w:t>
            </w:r>
            <w:r>
              <w:rPr>
                <w:rFonts w:ascii="Segoe UI Symbol" w:hAnsi="Segoe UI Symbol" w:cs="Segoe UI Symbol"/>
              </w:rPr>
              <w:t>☑</w:t>
            </w:r>
            <w:r>
              <w:rPr>
                <w:rFonts w:hint="eastAsia"/>
              </w:rPr>
              <w:t>；pH值</w:t>
            </w:r>
            <w:r>
              <w:rPr>
                <w:rFonts w:ascii="Segoe UI Symbol" w:hAnsi="Segoe UI Symbol" w:cs="Segoe UI Symbol"/>
              </w:rPr>
              <w:t>☑</w:t>
            </w:r>
            <w:r>
              <w:rPr>
                <w:rFonts w:hint="eastAsia"/>
              </w:rPr>
              <w:t>；热污染□；富营养化□；其他</w:t>
            </w:r>
            <w:r>
              <w:rPr>
                <w:rFonts w:ascii="Segoe UI Symbol" w:hAnsi="Segoe UI Symbol" w:cs="Segoe UI Symbol"/>
              </w:rPr>
              <w:t>☑</w:t>
            </w:r>
          </w:p>
        </w:tc>
        <w:tc>
          <w:tcPr>
            <w:tcW w:w="5356" w:type="dxa"/>
            <w:gridSpan w:val="3"/>
            <w:vAlign w:val="center"/>
          </w:tcPr>
          <w:p w14:paraId="265726A1">
            <w:pPr>
              <w:pStyle w:val="133"/>
            </w:pPr>
            <w:r>
              <w:rPr>
                <w:rFonts w:hint="eastAsia"/>
              </w:rPr>
              <w:t>水温□；水位（水深）□；流速□；流量□；其他□</w:t>
            </w:r>
          </w:p>
        </w:tc>
      </w:tr>
      <w:tr w14:paraId="286D11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04" w:type="dxa"/>
            <w:gridSpan w:val="2"/>
            <w:vMerge w:val="restart"/>
            <w:vAlign w:val="center"/>
          </w:tcPr>
          <w:p w14:paraId="3E9821C7">
            <w:pPr>
              <w:pStyle w:val="133"/>
            </w:pPr>
            <w:r>
              <w:rPr>
                <w:rFonts w:hint="eastAsia"/>
              </w:rPr>
              <w:t>评价等级</w:t>
            </w:r>
          </w:p>
        </w:tc>
        <w:tc>
          <w:tcPr>
            <w:tcW w:w="5715" w:type="dxa"/>
            <w:gridSpan w:val="4"/>
            <w:vAlign w:val="center"/>
          </w:tcPr>
          <w:p w14:paraId="6D5499D8">
            <w:pPr>
              <w:pStyle w:val="133"/>
            </w:pPr>
            <w:r>
              <w:rPr>
                <w:rFonts w:hint="eastAsia"/>
              </w:rPr>
              <w:t>水污染影响型</w:t>
            </w:r>
          </w:p>
        </w:tc>
        <w:tc>
          <w:tcPr>
            <w:tcW w:w="5356" w:type="dxa"/>
            <w:gridSpan w:val="3"/>
            <w:vAlign w:val="center"/>
          </w:tcPr>
          <w:p w14:paraId="619EE967">
            <w:pPr>
              <w:pStyle w:val="133"/>
            </w:pPr>
            <w:r>
              <w:rPr>
                <w:rFonts w:hint="eastAsia"/>
              </w:rPr>
              <w:t>水文要素影响型</w:t>
            </w:r>
          </w:p>
        </w:tc>
      </w:tr>
      <w:tr w14:paraId="11E89B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04" w:type="dxa"/>
            <w:gridSpan w:val="2"/>
            <w:vMerge w:val="continue"/>
            <w:vAlign w:val="center"/>
          </w:tcPr>
          <w:p w14:paraId="7B32EFA3">
            <w:pPr>
              <w:pStyle w:val="133"/>
            </w:pPr>
          </w:p>
        </w:tc>
        <w:tc>
          <w:tcPr>
            <w:tcW w:w="5715" w:type="dxa"/>
            <w:gridSpan w:val="4"/>
            <w:vAlign w:val="center"/>
          </w:tcPr>
          <w:p w14:paraId="6C2045F6">
            <w:pPr>
              <w:pStyle w:val="133"/>
            </w:pPr>
            <w:r>
              <w:rPr>
                <w:rFonts w:hint="eastAsia"/>
              </w:rPr>
              <w:t xml:space="preserve">一级□；二级□；三级A□；三级B </w:t>
            </w:r>
            <w:r>
              <w:rPr>
                <w:rFonts w:ascii="Segoe UI Symbol" w:hAnsi="Segoe UI Symbol" w:cs="Segoe UI Symbol"/>
              </w:rPr>
              <w:t>☑</w:t>
            </w:r>
          </w:p>
        </w:tc>
        <w:tc>
          <w:tcPr>
            <w:tcW w:w="5356" w:type="dxa"/>
            <w:gridSpan w:val="3"/>
            <w:vAlign w:val="center"/>
          </w:tcPr>
          <w:p w14:paraId="2D28D10D">
            <w:pPr>
              <w:pStyle w:val="133"/>
            </w:pPr>
            <w:r>
              <w:rPr>
                <w:rFonts w:hint="eastAsia"/>
              </w:rPr>
              <w:t>一级□；二级□；三级□</w:t>
            </w:r>
          </w:p>
        </w:tc>
      </w:tr>
      <w:tr w14:paraId="7AF97A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restart"/>
            <w:vAlign w:val="center"/>
          </w:tcPr>
          <w:p w14:paraId="23AB8E75">
            <w:pPr>
              <w:pStyle w:val="133"/>
            </w:pPr>
            <w:r>
              <w:rPr>
                <w:rFonts w:hint="eastAsia"/>
              </w:rPr>
              <w:t>现状调查</w:t>
            </w:r>
          </w:p>
        </w:tc>
        <w:tc>
          <w:tcPr>
            <w:tcW w:w="2677" w:type="dxa"/>
            <w:vMerge w:val="restart"/>
            <w:vAlign w:val="center"/>
          </w:tcPr>
          <w:p w14:paraId="0784EE75">
            <w:pPr>
              <w:pStyle w:val="133"/>
            </w:pPr>
            <w:r>
              <w:rPr>
                <w:rFonts w:hint="eastAsia"/>
              </w:rPr>
              <w:t>区域污染源</w:t>
            </w:r>
          </w:p>
        </w:tc>
        <w:tc>
          <w:tcPr>
            <w:tcW w:w="5715" w:type="dxa"/>
            <w:gridSpan w:val="4"/>
            <w:vAlign w:val="center"/>
          </w:tcPr>
          <w:p w14:paraId="11BCAAB7">
            <w:pPr>
              <w:pStyle w:val="133"/>
            </w:pPr>
            <w:r>
              <w:rPr>
                <w:rFonts w:hint="eastAsia"/>
              </w:rPr>
              <w:t>调查项目</w:t>
            </w:r>
          </w:p>
        </w:tc>
        <w:tc>
          <w:tcPr>
            <w:tcW w:w="5356" w:type="dxa"/>
            <w:gridSpan w:val="3"/>
            <w:vAlign w:val="center"/>
          </w:tcPr>
          <w:p w14:paraId="0DEDE867">
            <w:pPr>
              <w:pStyle w:val="133"/>
            </w:pPr>
            <w:r>
              <w:rPr>
                <w:rFonts w:hint="eastAsia"/>
              </w:rPr>
              <w:t>数据来源</w:t>
            </w:r>
          </w:p>
        </w:tc>
      </w:tr>
      <w:tr w14:paraId="5C9340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4FDF69D5">
            <w:pPr>
              <w:pStyle w:val="133"/>
            </w:pPr>
          </w:p>
        </w:tc>
        <w:tc>
          <w:tcPr>
            <w:tcW w:w="2677" w:type="dxa"/>
            <w:vMerge w:val="continue"/>
            <w:vAlign w:val="center"/>
          </w:tcPr>
          <w:p w14:paraId="48EBFEE6">
            <w:pPr>
              <w:pStyle w:val="133"/>
            </w:pPr>
          </w:p>
        </w:tc>
        <w:tc>
          <w:tcPr>
            <w:tcW w:w="3601" w:type="dxa"/>
            <w:gridSpan w:val="3"/>
            <w:vAlign w:val="center"/>
          </w:tcPr>
          <w:p w14:paraId="209E9453">
            <w:pPr>
              <w:pStyle w:val="133"/>
            </w:pPr>
            <w:r>
              <w:rPr>
                <w:rFonts w:hint="eastAsia"/>
              </w:rPr>
              <w:t>已建□；在建□；拟建□；其他□</w:t>
            </w:r>
          </w:p>
        </w:tc>
        <w:tc>
          <w:tcPr>
            <w:tcW w:w="2114" w:type="dxa"/>
            <w:vAlign w:val="center"/>
          </w:tcPr>
          <w:p w14:paraId="7EACF4A9">
            <w:pPr>
              <w:pStyle w:val="133"/>
            </w:pPr>
            <w:r>
              <w:rPr>
                <w:rFonts w:hint="eastAsia"/>
              </w:rPr>
              <w:t>拟替代的污染源□</w:t>
            </w:r>
          </w:p>
        </w:tc>
        <w:tc>
          <w:tcPr>
            <w:tcW w:w="5356" w:type="dxa"/>
            <w:gridSpan w:val="3"/>
            <w:vAlign w:val="center"/>
          </w:tcPr>
          <w:p w14:paraId="4C3306A8">
            <w:pPr>
              <w:pStyle w:val="133"/>
            </w:pPr>
            <w:r>
              <w:rPr>
                <w:rFonts w:hint="eastAsia"/>
              </w:rPr>
              <w:t>排污许可证□；环评□；环保验收□；即有实测□；现场监测□；入河排放口数据□；其他□</w:t>
            </w:r>
          </w:p>
        </w:tc>
      </w:tr>
      <w:tr w14:paraId="37C16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18150D07">
            <w:pPr>
              <w:pStyle w:val="133"/>
            </w:pPr>
          </w:p>
        </w:tc>
        <w:tc>
          <w:tcPr>
            <w:tcW w:w="2677" w:type="dxa"/>
            <w:vMerge w:val="restart"/>
            <w:vAlign w:val="center"/>
          </w:tcPr>
          <w:p w14:paraId="7AA19257">
            <w:pPr>
              <w:pStyle w:val="133"/>
            </w:pPr>
            <w:r>
              <w:rPr>
                <w:rFonts w:hint="eastAsia"/>
              </w:rPr>
              <w:t>受影响水体水环境质量</w:t>
            </w:r>
          </w:p>
        </w:tc>
        <w:tc>
          <w:tcPr>
            <w:tcW w:w="5715" w:type="dxa"/>
            <w:gridSpan w:val="4"/>
            <w:vAlign w:val="center"/>
          </w:tcPr>
          <w:p w14:paraId="23781AC7">
            <w:pPr>
              <w:pStyle w:val="133"/>
            </w:pPr>
            <w:r>
              <w:rPr>
                <w:rFonts w:hint="eastAsia"/>
              </w:rPr>
              <w:t>调查时期</w:t>
            </w:r>
          </w:p>
        </w:tc>
        <w:tc>
          <w:tcPr>
            <w:tcW w:w="5356" w:type="dxa"/>
            <w:gridSpan w:val="3"/>
            <w:vAlign w:val="center"/>
          </w:tcPr>
          <w:p w14:paraId="51A811D8">
            <w:pPr>
              <w:pStyle w:val="133"/>
            </w:pPr>
            <w:r>
              <w:rPr>
                <w:rFonts w:hint="eastAsia"/>
              </w:rPr>
              <w:t>数据来源</w:t>
            </w:r>
          </w:p>
        </w:tc>
      </w:tr>
      <w:tr w14:paraId="5AFC5C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11557981">
            <w:pPr>
              <w:pStyle w:val="133"/>
            </w:pPr>
          </w:p>
        </w:tc>
        <w:tc>
          <w:tcPr>
            <w:tcW w:w="2677" w:type="dxa"/>
            <w:vMerge w:val="continue"/>
            <w:vAlign w:val="center"/>
          </w:tcPr>
          <w:p w14:paraId="17230103">
            <w:pPr>
              <w:pStyle w:val="133"/>
            </w:pPr>
          </w:p>
        </w:tc>
        <w:tc>
          <w:tcPr>
            <w:tcW w:w="5715" w:type="dxa"/>
            <w:gridSpan w:val="4"/>
            <w:vAlign w:val="center"/>
          </w:tcPr>
          <w:p w14:paraId="34EA9DF1">
            <w:pPr>
              <w:pStyle w:val="133"/>
            </w:pPr>
            <w:r>
              <w:rPr>
                <w:rFonts w:hint="eastAsia"/>
              </w:rPr>
              <w:t>丰水期□；平水期□；枯水期□；冰封期□；</w:t>
            </w:r>
          </w:p>
          <w:p w14:paraId="27B9F5D4">
            <w:pPr>
              <w:pStyle w:val="133"/>
            </w:pPr>
            <w:r>
              <w:rPr>
                <w:rFonts w:hint="eastAsia"/>
              </w:rPr>
              <w:t>春季□；夏季□；秋季□；冬季□</w:t>
            </w:r>
          </w:p>
        </w:tc>
        <w:tc>
          <w:tcPr>
            <w:tcW w:w="5356" w:type="dxa"/>
            <w:gridSpan w:val="3"/>
            <w:vAlign w:val="center"/>
          </w:tcPr>
          <w:p w14:paraId="2418803D">
            <w:pPr>
              <w:pStyle w:val="133"/>
            </w:pPr>
            <w:r>
              <w:rPr>
                <w:rFonts w:hint="eastAsia"/>
              </w:rPr>
              <w:t>生态环境保护主管部门□；补充监测□；其他□</w:t>
            </w:r>
          </w:p>
        </w:tc>
      </w:tr>
      <w:tr w14:paraId="46D47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1E8130F7">
            <w:pPr>
              <w:pStyle w:val="133"/>
            </w:pPr>
          </w:p>
        </w:tc>
        <w:tc>
          <w:tcPr>
            <w:tcW w:w="2677" w:type="dxa"/>
            <w:vAlign w:val="center"/>
          </w:tcPr>
          <w:p w14:paraId="5D403D4F">
            <w:pPr>
              <w:pStyle w:val="133"/>
            </w:pPr>
            <w:r>
              <w:rPr>
                <w:rFonts w:hint="eastAsia"/>
              </w:rPr>
              <w:t>区域水资源开发利用状况</w:t>
            </w:r>
          </w:p>
        </w:tc>
        <w:tc>
          <w:tcPr>
            <w:tcW w:w="11071" w:type="dxa"/>
            <w:gridSpan w:val="7"/>
            <w:vAlign w:val="center"/>
          </w:tcPr>
          <w:p w14:paraId="047CE7C7">
            <w:pPr>
              <w:pStyle w:val="133"/>
            </w:pPr>
            <w:r>
              <w:rPr>
                <w:rFonts w:hint="eastAsia"/>
              </w:rPr>
              <w:t>未开发□；开发量40%以下□；开发量40%以上□</w:t>
            </w:r>
          </w:p>
        </w:tc>
      </w:tr>
      <w:tr w14:paraId="62DD0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60AED373">
            <w:pPr>
              <w:pStyle w:val="133"/>
            </w:pPr>
          </w:p>
        </w:tc>
        <w:tc>
          <w:tcPr>
            <w:tcW w:w="2677" w:type="dxa"/>
            <w:vMerge w:val="restart"/>
            <w:vAlign w:val="center"/>
          </w:tcPr>
          <w:p w14:paraId="2DF2D1D3">
            <w:pPr>
              <w:pStyle w:val="133"/>
            </w:pPr>
            <w:r>
              <w:rPr>
                <w:rFonts w:hint="eastAsia"/>
              </w:rPr>
              <w:t>水文情势调查</w:t>
            </w:r>
          </w:p>
        </w:tc>
        <w:tc>
          <w:tcPr>
            <w:tcW w:w="5715" w:type="dxa"/>
            <w:gridSpan w:val="4"/>
            <w:vAlign w:val="center"/>
          </w:tcPr>
          <w:p w14:paraId="57684678">
            <w:pPr>
              <w:pStyle w:val="133"/>
            </w:pPr>
            <w:r>
              <w:rPr>
                <w:rFonts w:hint="eastAsia"/>
              </w:rPr>
              <w:t>调查时期</w:t>
            </w:r>
          </w:p>
        </w:tc>
        <w:tc>
          <w:tcPr>
            <w:tcW w:w="5356" w:type="dxa"/>
            <w:gridSpan w:val="3"/>
            <w:vAlign w:val="center"/>
          </w:tcPr>
          <w:p w14:paraId="566459FC">
            <w:pPr>
              <w:pStyle w:val="133"/>
            </w:pPr>
            <w:r>
              <w:rPr>
                <w:rFonts w:hint="eastAsia"/>
              </w:rPr>
              <w:t>数据来源</w:t>
            </w:r>
          </w:p>
        </w:tc>
      </w:tr>
      <w:tr w14:paraId="20E748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53F1F31D">
            <w:pPr>
              <w:pStyle w:val="133"/>
            </w:pPr>
          </w:p>
        </w:tc>
        <w:tc>
          <w:tcPr>
            <w:tcW w:w="2677" w:type="dxa"/>
            <w:vMerge w:val="continue"/>
            <w:vAlign w:val="center"/>
          </w:tcPr>
          <w:p w14:paraId="040891CE">
            <w:pPr>
              <w:pStyle w:val="133"/>
            </w:pPr>
          </w:p>
        </w:tc>
        <w:tc>
          <w:tcPr>
            <w:tcW w:w="5715" w:type="dxa"/>
            <w:gridSpan w:val="4"/>
            <w:vAlign w:val="center"/>
          </w:tcPr>
          <w:p w14:paraId="57CE3F63">
            <w:pPr>
              <w:pStyle w:val="133"/>
            </w:pPr>
            <w:r>
              <w:rPr>
                <w:rFonts w:hint="eastAsia"/>
              </w:rPr>
              <w:t>丰水期□；平水期□；枯水期□；冰封期□；</w:t>
            </w:r>
          </w:p>
          <w:p w14:paraId="1E62919B">
            <w:pPr>
              <w:pStyle w:val="133"/>
            </w:pPr>
            <w:r>
              <w:rPr>
                <w:rFonts w:hint="eastAsia"/>
              </w:rPr>
              <w:t>春季□；夏季□；秋季□；冬季□</w:t>
            </w:r>
          </w:p>
        </w:tc>
        <w:tc>
          <w:tcPr>
            <w:tcW w:w="5356" w:type="dxa"/>
            <w:gridSpan w:val="3"/>
            <w:vAlign w:val="center"/>
          </w:tcPr>
          <w:p w14:paraId="4678BC94">
            <w:pPr>
              <w:pStyle w:val="133"/>
            </w:pPr>
            <w:r>
              <w:rPr>
                <w:rFonts w:hint="eastAsia"/>
              </w:rPr>
              <w:t>水行政主管部门□；补充监测□；其他□</w:t>
            </w:r>
          </w:p>
        </w:tc>
      </w:tr>
      <w:tr w14:paraId="2BB96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63D00661">
            <w:pPr>
              <w:pStyle w:val="133"/>
            </w:pPr>
          </w:p>
        </w:tc>
        <w:tc>
          <w:tcPr>
            <w:tcW w:w="2677" w:type="dxa"/>
            <w:vMerge w:val="restart"/>
            <w:vAlign w:val="center"/>
          </w:tcPr>
          <w:p w14:paraId="3E9194F9">
            <w:pPr>
              <w:pStyle w:val="133"/>
            </w:pPr>
            <w:r>
              <w:rPr>
                <w:rFonts w:hint="eastAsia"/>
              </w:rPr>
              <w:t>补充监测</w:t>
            </w:r>
          </w:p>
        </w:tc>
        <w:tc>
          <w:tcPr>
            <w:tcW w:w="5715" w:type="dxa"/>
            <w:gridSpan w:val="4"/>
            <w:vAlign w:val="center"/>
          </w:tcPr>
          <w:p w14:paraId="720CF736">
            <w:pPr>
              <w:pStyle w:val="133"/>
            </w:pPr>
            <w:r>
              <w:rPr>
                <w:rFonts w:hint="eastAsia"/>
              </w:rPr>
              <w:t>监测时期</w:t>
            </w:r>
          </w:p>
        </w:tc>
        <w:tc>
          <w:tcPr>
            <w:tcW w:w="2225" w:type="dxa"/>
            <w:vAlign w:val="center"/>
          </w:tcPr>
          <w:p w14:paraId="7674BBE3">
            <w:pPr>
              <w:pStyle w:val="133"/>
            </w:pPr>
            <w:r>
              <w:rPr>
                <w:rFonts w:hint="eastAsia"/>
              </w:rPr>
              <w:t>监测因子</w:t>
            </w:r>
          </w:p>
        </w:tc>
        <w:tc>
          <w:tcPr>
            <w:tcW w:w="3131" w:type="dxa"/>
            <w:gridSpan w:val="2"/>
            <w:vAlign w:val="center"/>
          </w:tcPr>
          <w:p w14:paraId="7758FB9B">
            <w:pPr>
              <w:pStyle w:val="133"/>
            </w:pPr>
            <w:r>
              <w:rPr>
                <w:rFonts w:hint="eastAsia"/>
              </w:rPr>
              <w:t>监测断面或点位</w:t>
            </w:r>
          </w:p>
        </w:tc>
      </w:tr>
      <w:tr w14:paraId="40255A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0350D57F">
            <w:pPr>
              <w:pStyle w:val="133"/>
            </w:pPr>
          </w:p>
        </w:tc>
        <w:tc>
          <w:tcPr>
            <w:tcW w:w="2677" w:type="dxa"/>
            <w:vMerge w:val="continue"/>
            <w:vAlign w:val="center"/>
          </w:tcPr>
          <w:p w14:paraId="4F1B1532">
            <w:pPr>
              <w:pStyle w:val="133"/>
            </w:pPr>
          </w:p>
        </w:tc>
        <w:tc>
          <w:tcPr>
            <w:tcW w:w="5715" w:type="dxa"/>
            <w:gridSpan w:val="4"/>
            <w:vAlign w:val="center"/>
          </w:tcPr>
          <w:p w14:paraId="5D08F183">
            <w:pPr>
              <w:pStyle w:val="133"/>
            </w:pPr>
            <w:r>
              <w:rPr>
                <w:rFonts w:hint="eastAsia"/>
              </w:rPr>
              <w:t>丰水期□；平水期□；枯水期□；冰封期□；</w:t>
            </w:r>
          </w:p>
          <w:p w14:paraId="3B2610F9">
            <w:pPr>
              <w:pStyle w:val="133"/>
            </w:pPr>
            <w:r>
              <w:rPr>
                <w:rFonts w:hint="eastAsia"/>
              </w:rPr>
              <w:t>春季□；夏季□；秋季□；冬季□</w:t>
            </w:r>
          </w:p>
        </w:tc>
        <w:tc>
          <w:tcPr>
            <w:tcW w:w="2225" w:type="dxa"/>
            <w:vAlign w:val="center"/>
          </w:tcPr>
          <w:p w14:paraId="3E65E6E4">
            <w:pPr>
              <w:pStyle w:val="133"/>
            </w:pPr>
            <w:r>
              <w:rPr>
                <w:rFonts w:hint="eastAsia"/>
              </w:rPr>
              <w:t>（         ）</w:t>
            </w:r>
          </w:p>
        </w:tc>
        <w:tc>
          <w:tcPr>
            <w:tcW w:w="3131" w:type="dxa"/>
            <w:gridSpan w:val="2"/>
            <w:vAlign w:val="center"/>
          </w:tcPr>
          <w:p w14:paraId="665788C6">
            <w:pPr>
              <w:pStyle w:val="133"/>
            </w:pPr>
            <w:r>
              <w:rPr>
                <w:rFonts w:hint="eastAsia"/>
              </w:rPr>
              <w:t>监测断面或点位个数</w:t>
            </w:r>
          </w:p>
          <w:p w14:paraId="47270CDD">
            <w:pPr>
              <w:pStyle w:val="133"/>
            </w:pPr>
            <w:r>
              <w:rPr>
                <w:rFonts w:hint="eastAsia"/>
              </w:rPr>
              <w:t>（  ）个</w:t>
            </w:r>
          </w:p>
        </w:tc>
      </w:tr>
      <w:tr w14:paraId="51B216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restart"/>
            <w:vAlign w:val="center"/>
          </w:tcPr>
          <w:p w14:paraId="7410562C">
            <w:pPr>
              <w:pStyle w:val="133"/>
            </w:pPr>
            <w:r>
              <w:rPr>
                <w:rFonts w:hint="eastAsia"/>
              </w:rPr>
              <w:t>现状评价</w:t>
            </w:r>
          </w:p>
        </w:tc>
        <w:tc>
          <w:tcPr>
            <w:tcW w:w="2677" w:type="dxa"/>
            <w:vAlign w:val="center"/>
          </w:tcPr>
          <w:p w14:paraId="31C6CC99">
            <w:pPr>
              <w:pStyle w:val="133"/>
            </w:pPr>
            <w:r>
              <w:rPr>
                <w:rFonts w:hint="eastAsia"/>
              </w:rPr>
              <w:t>评价范围</w:t>
            </w:r>
          </w:p>
        </w:tc>
        <w:tc>
          <w:tcPr>
            <w:tcW w:w="11071" w:type="dxa"/>
            <w:gridSpan w:val="7"/>
            <w:vAlign w:val="center"/>
          </w:tcPr>
          <w:p w14:paraId="32A3D1BD">
            <w:pPr>
              <w:pStyle w:val="133"/>
            </w:pPr>
            <w:r>
              <w:rPr>
                <w:rFonts w:hint="eastAsia"/>
              </w:rPr>
              <w:t>河流：长度（）km；湖库、河口及近岸海域：面积（）km2</w:t>
            </w:r>
          </w:p>
        </w:tc>
      </w:tr>
      <w:tr w14:paraId="5B3B2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38133A7A">
            <w:pPr>
              <w:pStyle w:val="133"/>
            </w:pPr>
          </w:p>
        </w:tc>
        <w:tc>
          <w:tcPr>
            <w:tcW w:w="2677" w:type="dxa"/>
            <w:vAlign w:val="center"/>
          </w:tcPr>
          <w:p w14:paraId="54B71CDB">
            <w:pPr>
              <w:pStyle w:val="133"/>
            </w:pPr>
            <w:r>
              <w:rPr>
                <w:rFonts w:hint="eastAsia"/>
              </w:rPr>
              <w:t>评价因子</w:t>
            </w:r>
          </w:p>
        </w:tc>
        <w:tc>
          <w:tcPr>
            <w:tcW w:w="11071" w:type="dxa"/>
            <w:gridSpan w:val="7"/>
            <w:vAlign w:val="center"/>
          </w:tcPr>
          <w:p w14:paraId="0FDAE2CA">
            <w:pPr>
              <w:pStyle w:val="133"/>
            </w:pPr>
            <w:r>
              <w:rPr>
                <w:rFonts w:hint="eastAsia"/>
              </w:rPr>
              <w:t>（）</w:t>
            </w:r>
          </w:p>
        </w:tc>
      </w:tr>
      <w:tr w14:paraId="49AAFF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0696D958">
            <w:pPr>
              <w:pStyle w:val="133"/>
            </w:pPr>
          </w:p>
        </w:tc>
        <w:tc>
          <w:tcPr>
            <w:tcW w:w="2677" w:type="dxa"/>
            <w:vAlign w:val="center"/>
          </w:tcPr>
          <w:p w14:paraId="641CBF69">
            <w:pPr>
              <w:pStyle w:val="133"/>
            </w:pPr>
            <w:r>
              <w:rPr>
                <w:rFonts w:hint="eastAsia"/>
              </w:rPr>
              <w:t>评价标准</w:t>
            </w:r>
          </w:p>
        </w:tc>
        <w:tc>
          <w:tcPr>
            <w:tcW w:w="11071" w:type="dxa"/>
            <w:gridSpan w:val="7"/>
            <w:vAlign w:val="center"/>
          </w:tcPr>
          <w:p w14:paraId="3DE8130F">
            <w:pPr>
              <w:pStyle w:val="133"/>
            </w:pPr>
            <w:r>
              <w:rPr>
                <w:rFonts w:hint="eastAsia"/>
              </w:rPr>
              <w:t>河流、湖库、河口：Ⅰ类□；Ⅱ类□；Ⅲ类□；Ⅳ类□；Ⅴ类</w:t>
            </w:r>
            <w:r>
              <w:rPr>
                <w:rFonts w:ascii="Segoe UI Symbol" w:hAnsi="Segoe UI Symbol" w:cs="Segoe UI Symbol"/>
              </w:rPr>
              <w:t>☑</w:t>
            </w:r>
            <w:r>
              <w:rPr>
                <w:rFonts w:hint="eastAsia"/>
              </w:rPr>
              <w:t>；</w:t>
            </w:r>
          </w:p>
          <w:p w14:paraId="0B300038">
            <w:pPr>
              <w:pStyle w:val="133"/>
            </w:pPr>
            <w:r>
              <w:rPr>
                <w:rFonts w:hint="eastAsia"/>
              </w:rPr>
              <w:t>近岸海域：第一类□；第二类□；第三类□；第四类□</w:t>
            </w:r>
          </w:p>
          <w:p w14:paraId="4B8508AF">
            <w:pPr>
              <w:pStyle w:val="133"/>
            </w:pPr>
            <w:r>
              <w:rPr>
                <w:rFonts w:hint="eastAsia"/>
              </w:rPr>
              <w:t>规划年评价标准（）</w:t>
            </w:r>
          </w:p>
        </w:tc>
      </w:tr>
      <w:tr w14:paraId="48E75C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4008BCD8">
            <w:pPr>
              <w:pStyle w:val="133"/>
            </w:pPr>
          </w:p>
        </w:tc>
        <w:tc>
          <w:tcPr>
            <w:tcW w:w="2677" w:type="dxa"/>
            <w:vAlign w:val="center"/>
          </w:tcPr>
          <w:p w14:paraId="2A4179BF">
            <w:pPr>
              <w:pStyle w:val="133"/>
            </w:pPr>
            <w:r>
              <w:rPr>
                <w:rFonts w:hint="eastAsia"/>
              </w:rPr>
              <w:t>评价时期</w:t>
            </w:r>
          </w:p>
        </w:tc>
        <w:tc>
          <w:tcPr>
            <w:tcW w:w="11071" w:type="dxa"/>
            <w:gridSpan w:val="7"/>
            <w:vAlign w:val="center"/>
          </w:tcPr>
          <w:p w14:paraId="2CE84E9C">
            <w:pPr>
              <w:pStyle w:val="133"/>
            </w:pPr>
            <w:r>
              <w:rPr>
                <w:rFonts w:hint="eastAsia"/>
              </w:rPr>
              <w:t>丰水期□；平水期□；枯水期□；冰封期□；</w:t>
            </w:r>
          </w:p>
          <w:p w14:paraId="671C6F51">
            <w:pPr>
              <w:pStyle w:val="133"/>
            </w:pPr>
            <w:r>
              <w:rPr>
                <w:rFonts w:hint="eastAsia"/>
              </w:rPr>
              <w:t>春季□；夏季□；秋季□；冬季□</w:t>
            </w:r>
          </w:p>
        </w:tc>
      </w:tr>
      <w:tr w14:paraId="47B330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6ED67D2A">
            <w:pPr>
              <w:pStyle w:val="133"/>
            </w:pPr>
          </w:p>
        </w:tc>
        <w:tc>
          <w:tcPr>
            <w:tcW w:w="2677" w:type="dxa"/>
            <w:vAlign w:val="center"/>
          </w:tcPr>
          <w:p w14:paraId="358C9C56">
            <w:pPr>
              <w:pStyle w:val="133"/>
            </w:pPr>
            <w:r>
              <w:rPr>
                <w:rFonts w:hint="eastAsia"/>
              </w:rPr>
              <w:t>评价结论</w:t>
            </w:r>
          </w:p>
        </w:tc>
        <w:tc>
          <w:tcPr>
            <w:tcW w:w="9644" w:type="dxa"/>
            <w:gridSpan w:val="6"/>
            <w:vAlign w:val="center"/>
          </w:tcPr>
          <w:p w14:paraId="6E564E41">
            <w:pPr>
              <w:pStyle w:val="133"/>
            </w:pPr>
            <w:r>
              <w:rPr>
                <w:rFonts w:hint="eastAsia"/>
              </w:rPr>
              <w:t>水环境功能区或水功能区、近岸海域环境功能区水质达标状况：达标□；不达标□</w:t>
            </w:r>
          </w:p>
          <w:p w14:paraId="00050A9B">
            <w:pPr>
              <w:pStyle w:val="133"/>
            </w:pPr>
            <w:r>
              <w:rPr>
                <w:rFonts w:hint="eastAsia"/>
              </w:rPr>
              <w:t>水环境控制单元或断面水质达标状况□：达标□；不达标□</w:t>
            </w:r>
          </w:p>
          <w:p w14:paraId="5C747A81">
            <w:pPr>
              <w:pStyle w:val="133"/>
            </w:pPr>
            <w:r>
              <w:rPr>
                <w:rFonts w:hint="eastAsia"/>
              </w:rPr>
              <w:t>水环境保护目标质量状况□：达标□；不达标口</w:t>
            </w:r>
          </w:p>
          <w:p w14:paraId="7B8C886B">
            <w:pPr>
              <w:pStyle w:val="133"/>
            </w:pPr>
            <w:r>
              <w:rPr>
                <w:rFonts w:hint="eastAsia"/>
              </w:rPr>
              <w:t>对照断面、控制断面等代表性断面的水质状况□：达标□；不达标□</w:t>
            </w:r>
          </w:p>
          <w:p w14:paraId="595A6B9A">
            <w:pPr>
              <w:pStyle w:val="133"/>
            </w:pPr>
            <w:r>
              <w:rPr>
                <w:rFonts w:hint="eastAsia"/>
              </w:rPr>
              <w:t>底泥污染评价□</w:t>
            </w:r>
          </w:p>
          <w:p w14:paraId="7CDEE129">
            <w:pPr>
              <w:pStyle w:val="133"/>
            </w:pPr>
            <w:r>
              <w:rPr>
                <w:rFonts w:hint="eastAsia"/>
              </w:rPr>
              <w:t>水资源与开发利用程度及其水文情势评价□</w:t>
            </w:r>
          </w:p>
          <w:p w14:paraId="0D70E985">
            <w:pPr>
              <w:pStyle w:val="133"/>
            </w:pPr>
            <w:r>
              <w:rPr>
                <w:rFonts w:hint="eastAsia"/>
              </w:rPr>
              <w:t>水环境质量回顾评价□</w:t>
            </w:r>
          </w:p>
          <w:p w14:paraId="3FBB3E1A">
            <w:pPr>
              <w:pStyle w:val="133"/>
            </w:pPr>
            <w:r>
              <w:rPr>
                <w:rFonts w:hint="eastAsia"/>
              </w:rPr>
              <w:t>流域（区域）水资源（包括水能资源）与开发利用总体状况、生态流量管理要求与现状满足程度、建设项目占用水域空间的水流状况与河湖演变状况□</w:t>
            </w:r>
          </w:p>
          <w:p w14:paraId="0D4A3A6C">
            <w:pPr>
              <w:pStyle w:val="133"/>
            </w:pPr>
            <w:r>
              <w:rPr>
                <w:rFonts w:hint="eastAsia"/>
              </w:rPr>
              <w:t>依托污水处理设施稳定达标排放评价□</w:t>
            </w:r>
          </w:p>
        </w:tc>
        <w:tc>
          <w:tcPr>
            <w:tcW w:w="1427" w:type="dxa"/>
            <w:vAlign w:val="center"/>
          </w:tcPr>
          <w:p w14:paraId="73B005F1">
            <w:pPr>
              <w:pStyle w:val="133"/>
            </w:pPr>
            <w:r>
              <w:rPr>
                <w:rFonts w:hint="eastAsia"/>
              </w:rPr>
              <w:t>达标区□</w:t>
            </w:r>
          </w:p>
          <w:p w14:paraId="42E0DE0B">
            <w:pPr>
              <w:pStyle w:val="133"/>
            </w:pPr>
            <w:r>
              <w:rPr>
                <w:rFonts w:hint="eastAsia"/>
              </w:rPr>
              <w:t>不达标区□</w:t>
            </w:r>
          </w:p>
        </w:tc>
      </w:tr>
      <w:tr w14:paraId="2E0871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restart"/>
            <w:vAlign w:val="center"/>
          </w:tcPr>
          <w:p w14:paraId="405D41CB">
            <w:pPr>
              <w:pStyle w:val="133"/>
            </w:pPr>
            <w:r>
              <w:rPr>
                <w:rFonts w:hint="eastAsia"/>
              </w:rPr>
              <w:t>影响预测</w:t>
            </w:r>
          </w:p>
        </w:tc>
        <w:tc>
          <w:tcPr>
            <w:tcW w:w="2677" w:type="dxa"/>
            <w:vAlign w:val="center"/>
          </w:tcPr>
          <w:p w14:paraId="54B1D027">
            <w:pPr>
              <w:pStyle w:val="133"/>
            </w:pPr>
            <w:r>
              <w:rPr>
                <w:rFonts w:hint="eastAsia"/>
              </w:rPr>
              <w:t>预测范围</w:t>
            </w:r>
          </w:p>
        </w:tc>
        <w:tc>
          <w:tcPr>
            <w:tcW w:w="11071" w:type="dxa"/>
            <w:gridSpan w:val="7"/>
            <w:vAlign w:val="center"/>
          </w:tcPr>
          <w:p w14:paraId="448B45FA">
            <w:pPr>
              <w:pStyle w:val="133"/>
            </w:pPr>
            <w:r>
              <w:rPr>
                <w:rFonts w:hint="eastAsia"/>
              </w:rPr>
              <w:t>河流：长度（）km；湖库、河口及近岸海域：面积）（）km2</w:t>
            </w:r>
          </w:p>
        </w:tc>
      </w:tr>
      <w:tr w14:paraId="734962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14F8C6A7">
            <w:pPr>
              <w:pStyle w:val="133"/>
            </w:pPr>
          </w:p>
        </w:tc>
        <w:tc>
          <w:tcPr>
            <w:tcW w:w="2677" w:type="dxa"/>
            <w:vAlign w:val="center"/>
          </w:tcPr>
          <w:p w14:paraId="26E9B063">
            <w:pPr>
              <w:pStyle w:val="133"/>
            </w:pPr>
            <w:r>
              <w:rPr>
                <w:rFonts w:hint="eastAsia"/>
              </w:rPr>
              <w:t>预测因子</w:t>
            </w:r>
          </w:p>
        </w:tc>
        <w:tc>
          <w:tcPr>
            <w:tcW w:w="11071" w:type="dxa"/>
            <w:gridSpan w:val="7"/>
            <w:vAlign w:val="center"/>
          </w:tcPr>
          <w:p w14:paraId="6E2096E3">
            <w:pPr>
              <w:pStyle w:val="133"/>
            </w:pPr>
            <w:r>
              <w:rPr>
                <w:rFonts w:hint="eastAsia"/>
              </w:rPr>
              <w:t>（）</w:t>
            </w:r>
          </w:p>
        </w:tc>
      </w:tr>
      <w:tr w14:paraId="43AB93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6163E2B3">
            <w:pPr>
              <w:pStyle w:val="133"/>
            </w:pPr>
          </w:p>
        </w:tc>
        <w:tc>
          <w:tcPr>
            <w:tcW w:w="2677" w:type="dxa"/>
            <w:vAlign w:val="center"/>
          </w:tcPr>
          <w:p w14:paraId="4FFCE270">
            <w:pPr>
              <w:pStyle w:val="133"/>
            </w:pPr>
            <w:r>
              <w:rPr>
                <w:rFonts w:hint="eastAsia"/>
              </w:rPr>
              <w:t>预测时期</w:t>
            </w:r>
          </w:p>
        </w:tc>
        <w:tc>
          <w:tcPr>
            <w:tcW w:w="11071" w:type="dxa"/>
            <w:gridSpan w:val="7"/>
            <w:vAlign w:val="center"/>
          </w:tcPr>
          <w:p w14:paraId="3387D4BB">
            <w:pPr>
              <w:pStyle w:val="133"/>
            </w:pPr>
            <w:r>
              <w:rPr>
                <w:rFonts w:hint="eastAsia"/>
              </w:rPr>
              <w:t>丰水期□；平水期□；枯水期□；冰封期□；</w:t>
            </w:r>
          </w:p>
          <w:p w14:paraId="7CF8CEF0">
            <w:pPr>
              <w:pStyle w:val="133"/>
            </w:pPr>
            <w:r>
              <w:rPr>
                <w:rFonts w:hint="eastAsia"/>
              </w:rPr>
              <w:t>春季□；夏季□；秋季□；冬季□</w:t>
            </w:r>
          </w:p>
          <w:p w14:paraId="7027D88D">
            <w:pPr>
              <w:pStyle w:val="133"/>
            </w:pPr>
            <w:r>
              <w:rPr>
                <w:rFonts w:hint="eastAsia"/>
              </w:rPr>
              <w:t>设计水文条件□</w:t>
            </w:r>
          </w:p>
        </w:tc>
      </w:tr>
      <w:tr w14:paraId="3949D0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284F462D">
            <w:pPr>
              <w:pStyle w:val="133"/>
            </w:pPr>
          </w:p>
        </w:tc>
        <w:tc>
          <w:tcPr>
            <w:tcW w:w="2677" w:type="dxa"/>
            <w:vAlign w:val="center"/>
          </w:tcPr>
          <w:p w14:paraId="0443ECA4">
            <w:pPr>
              <w:pStyle w:val="133"/>
            </w:pPr>
            <w:r>
              <w:rPr>
                <w:rFonts w:hint="eastAsia"/>
              </w:rPr>
              <w:t>预测情景</w:t>
            </w:r>
          </w:p>
        </w:tc>
        <w:tc>
          <w:tcPr>
            <w:tcW w:w="11071" w:type="dxa"/>
            <w:gridSpan w:val="7"/>
            <w:vAlign w:val="center"/>
          </w:tcPr>
          <w:p w14:paraId="3CD9FD36">
            <w:pPr>
              <w:pStyle w:val="133"/>
            </w:pPr>
            <w:r>
              <w:rPr>
                <w:rFonts w:hint="eastAsia"/>
              </w:rPr>
              <w:t>建设期□；生产运行期□；服务期满后□</w:t>
            </w:r>
          </w:p>
          <w:p w14:paraId="11D3CBD9">
            <w:pPr>
              <w:pStyle w:val="133"/>
            </w:pPr>
            <w:r>
              <w:rPr>
                <w:rFonts w:hint="eastAsia"/>
              </w:rPr>
              <w:t>正常工况□；非正常工况□</w:t>
            </w:r>
          </w:p>
          <w:p w14:paraId="05400566">
            <w:pPr>
              <w:pStyle w:val="133"/>
            </w:pPr>
            <w:r>
              <w:rPr>
                <w:rFonts w:hint="eastAsia"/>
              </w:rPr>
              <w:t>污染控制可减缓措施方案□</w:t>
            </w:r>
          </w:p>
          <w:p w14:paraId="041BCB10">
            <w:pPr>
              <w:pStyle w:val="133"/>
            </w:pPr>
            <w:r>
              <w:rPr>
                <w:rFonts w:hint="eastAsia"/>
              </w:rPr>
              <w:t>区（流）域环境质量改善目标要求情景□</w:t>
            </w:r>
          </w:p>
        </w:tc>
      </w:tr>
      <w:tr w14:paraId="738995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5FCAAE43">
            <w:pPr>
              <w:pStyle w:val="133"/>
            </w:pPr>
          </w:p>
        </w:tc>
        <w:tc>
          <w:tcPr>
            <w:tcW w:w="2677" w:type="dxa"/>
            <w:vAlign w:val="center"/>
          </w:tcPr>
          <w:p w14:paraId="7D8C2890">
            <w:pPr>
              <w:pStyle w:val="133"/>
            </w:pPr>
            <w:r>
              <w:rPr>
                <w:rFonts w:hint="eastAsia"/>
              </w:rPr>
              <w:t>预测方法</w:t>
            </w:r>
          </w:p>
        </w:tc>
        <w:tc>
          <w:tcPr>
            <w:tcW w:w="11071" w:type="dxa"/>
            <w:gridSpan w:val="7"/>
            <w:vAlign w:val="center"/>
          </w:tcPr>
          <w:p w14:paraId="04FD0F8E">
            <w:pPr>
              <w:pStyle w:val="133"/>
            </w:pPr>
            <w:r>
              <w:rPr>
                <w:rFonts w:hint="eastAsia"/>
              </w:rPr>
              <w:t>数值解□；解析解□；其他□</w:t>
            </w:r>
          </w:p>
          <w:p w14:paraId="7B4A7C25">
            <w:pPr>
              <w:pStyle w:val="133"/>
            </w:pPr>
            <w:r>
              <w:rPr>
                <w:rFonts w:hint="eastAsia"/>
              </w:rPr>
              <w:t>导则推荐模式□；其他□</w:t>
            </w:r>
          </w:p>
        </w:tc>
      </w:tr>
      <w:tr w14:paraId="28EFD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restart"/>
            <w:vAlign w:val="center"/>
          </w:tcPr>
          <w:p w14:paraId="002C8B09">
            <w:pPr>
              <w:pStyle w:val="133"/>
            </w:pPr>
            <w:r>
              <w:rPr>
                <w:rFonts w:hint="eastAsia"/>
              </w:rPr>
              <w:t>影响评价</w:t>
            </w:r>
          </w:p>
        </w:tc>
        <w:tc>
          <w:tcPr>
            <w:tcW w:w="2677" w:type="dxa"/>
            <w:vAlign w:val="center"/>
          </w:tcPr>
          <w:p w14:paraId="47DE87D9">
            <w:pPr>
              <w:pStyle w:val="133"/>
            </w:pPr>
            <w:r>
              <w:rPr>
                <w:rFonts w:hint="eastAsia"/>
              </w:rPr>
              <w:t>水污染控制和水环境影响减缓措施有效性评价</w:t>
            </w:r>
          </w:p>
        </w:tc>
        <w:tc>
          <w:tcPr>
            <w:tcW w:w="11071" w:type="dxa"/>
            <w:gridSpan w:val="7"/>
            <w:vAlign w:val="center"/>
          </w:tcPr>
          <w:p w14:paraId="3F0E76C9">
            <w:pPr>
              <w:pStyle w:val="133"/>
            </w:pPr>
            <w:r>
              <w:rPr>
                <w:rFonts w:hint="eastAsia"/>
              </w:rPr>
              <w:t>区（流）域环境质量改善目标□；替代消减源□</w:t>
            </w:r>
          </w:p>
        </w:tc>
      </w:tr>
      <w:tr w14:paraId="60E275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13C7CAF6">
            <w:pPr>
              <w:pStyle w:val="133"/>
            </w:pPr>
          </w:p>
        </w:tc>
        <w:tc>
          <w:tcPr>
            <w:tcW w:w="2677" w:type="dxa"/>
            <w:vAlign w:val="center"/>
          </w:tcPr>
          <w:p w14:paraId="72C1EA73">
            <w:pPr>
              <w:pStyle w:val="133"/>
            </w:pPr>
            <w:r>
              <w:rPr>
                <w:rFonts w:hint="eastAsia"/>
              </w:rPr>
              <w:t>水环境影响评价</w:t>
            </w:r>
          </w:p>
        </w:tc>
        <w:tc>
          <w:tcPr>
            <w:tcW w:w="11071" w:type="dxa"/>
            <w:gridSpan w:val="7"/>
            <w:vAlign w:val="center"/>
          </w:tcPr>
          <w:p w14:paraId="144C28A1">
            <w:pPr>
              <w:pStyle w:val="133"/>
            </w:pPr>
            <w:r>
              <w:rPr>
                <w:rFonts w:hint="eastAsia"/>
              </w:rPr>
              <w:t>排放口混合区外满足水环境管理要求□</w:t>
            </w:r>
          </w:p>
          <w:p w14:paraId="48BF5CDD">
            <w:pPr>
              <w:pStyle w:val="133"/>
            </w:pPr>
            <w:r>
              <w:rPr>
                <w:rFonts w:hint="eastAsia"/>
              </w:rPr>
              <w:t>水环境功能区或水功能区、近岸海域环境功能区水质达标□</w:t>
            </w:r>
          </w:p>
          <w:p w14:paraId="705A62D9">
            <w:pPr>
              <w:pStyle w:val="133"/>
            </w:pPr>
            <w:r>
              <w:rPr>
                <w:rFonts w:hint="eastAsia"/>
              </w:rPr>
              <w:t>满足水环境保护目标水域水环境质量要求□</w:t>
            </w:r>
          </w:p>
          <w:p w14:paraId="568F137F">
            <w:pPr>
              <w:pStyle w:val="133"/>
            </w:pPr>
            <w:r>
              <w:rPr>
                <w:rFonts w:hint="eastAsia"/>
              </w:rPr>
              <w:t>水环境控制单元或断面水质达标□</w:t>
            </w:r>
          </w:p>
          <w:p w14:paraId="49EBC1EF">
            <w:pPr>
              <w:pStyle w:val="133"/>
            </w:pPr>
            <w:r>
              <w:rPr>
                <w:rFonts w:hint="eastAsia"/>
              </w:rPr>
              <w:t>满足重点水污染物排放总量控制指标要求，重点行业建设项目，主要污染物排放满足等量或减量替代要求□</w:t>
            </w:r>
          </w:p>
          <w:p w14:paraId="747BBCA5">
            <w:pPr>
              <w:pStyle w:val="133"/>
            </w:pPr>
            <w:r>
              <w:rPr>
                <w:rFonts w:hint="eastAsia"/>
              </w:rPr>
              <w:t>满足区（流）域水环境质量改善目标要求□</w:t>
            </w:r>
          </w:p>
          <w:p w14:paraId="4A010971">
            <w:pPr>
              <w:pStyle w:val="133"/>
            </w:pPr>
            <w:r>
              <w:rPr>
                <w:rFonts w:hint="eastAsia"/>
              </w:rPr>
              <w:t>水文要素影响型建设项目同时应包括水文情势变化评价、主要水文特征值影响评价、生态流量符合性评价□</w:t>
            </w:r>
          </w:p>
          <w:p w14:paraId="24D40580">
            <w:pPr>
              <w:pStyle w:val="133"/>
            </w:pPr>
            <w:r>
              <w:rPr>
                <w:rFonts w:hint="eastAsia"/>
              </w:rPr>
              <w:t>对于新设或调整入河（湖库、近岸海域）排放口的建设项目，应包括排放口设置的环境合理性评价□</w:t>
            </w:r>
          </w:p>
          <w:p w14:paraId="74E3C3FB">
            <w:pPr>
              <w:pStyle w:val="133"/>
            </w:pPr>
            <w:r>
              <w:rPr>
                <w:rFonts w:hint="eastAsia"/>
              </w:rPr>
              <w:t>满足生态保护红线、水环境质量底线、资源利用上线和环境准入清单管理要求□</w:t>
            </w:r>
          </w:p>
        </w:tc>
      </w:tr>
      <w:tr w14:paraId="13259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6AB48A6B">
            <w:pPr>
              <w:pStyle w:val="133"/>
            </w:pPr>
          </w:p>
        </w:tc>
        <w:tc>
          <w:tcPr>
            <w:tcW w:w="2677" w:type="dxa"/>
            <w:vMerge w:val="restart"/>
            <w:vAlign w:val="center"/>
          </w:tcPr>
          <w:p w14:paraId="2B2F0862">
            <w:pPr>
              <w:pStyle w:val="133"/>
            </w:pPr>
            <w:r>
              <w:rPr>
                <w:rFonts w:hint="eastAsia"/>
              </w:rPr>
              <w:t>污染物排放量核算</w:t>
            </w:r>
          </w:p>
        </w:tc>
        <w:tc>
          <w:tcPr>
            <w:tcW w:w="3601" w:type="dxa"/>
            <w:gridSpan w:val="3"/>
            <w:vAlign w:val="center"/>
          </w:tcPr>
          <w:p w14:paraId="46616574">
            <w:pPr>
              <w:pStyle w:val="133"/>
            </w:pPr>
            <w:r>
              <w:rPr>
                <w:rFonts w:hint="eastAsia"/>
              </w:rPr>
              <w:t>污染物名称</w:t>
            </w:r>
          </w:p>
        </w:tc>
        <w:tc>
          <w:tcPr>
            <w:tcW w:w="2114" w:type="dxa"/>
            <w:vAlign w:val="center"/>
          </w:tcPr>
          <w:p w14:paraId="217DE26B">
            <w:pPr>
              <w:pStyle w:val="133"/>
            </w:pPr>
            <w:r>
              <w:rPr>
                <w:rFonts w:hint="eastAsia"/>
              </w:rPr>
              <w:t>排放量（t/a）</w:t>
            </w:r>
          </w:p>
        </w:tc>
        <w:tc>
          <w:tcPr>
            <w:tcW w:w="5356" w:type="dxa"/>
            <w:gridSpan w:val="3"/>
            <w:vAlign w:val="center"/>
          </w:tcPr>
          <w:p w14:paraId="7563DD16">
            <w:pPr>
              <w:pStyle w:val="133"/>
            </w:pPr>
            <w:r>
              <w:rPr>
                <w:rFonts w:hint="eastAsia"/>
              </w:rPr>
              <w:t>排放浓度（mg/L）</w:t>
            </w:r>
          </w:p>
        </w:tc>
      </w:tr>
      <w:tr w14:paraId="1B4904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249FC7EA">
            <w:pPr>
              <w:pStyle w:val="133"/>
            </w:pPr>
          </w:p>
        </w:tc>
        <w:tc>
          <w:tcPr>
            <w:tcW w:w="2677" w:type="dxa"/>
            <w:vMerge w:val="continue"/>
            <w:vAlign w:val="center"/>
          </w:tcPr>
          <w:p w14:paraId="20C52597">
            <w:pPr>
              <w:pStyle w:val="133"/>
            </w:pPr>
          </w:p>
        </w:tc>
        <w:tc>
          <w:tcPr>
            <w:tcW w:w="3601" w:type="dxa"/>
            <w:gridSpan w:val="3"/>
            <w:vAlign w:val="center"/>
          </w:tcPr>
          <w:p w14:paraId="463FD391">
            <w:pPr>
              <w:pStyle w:val="133"/>
            </w:pPr>
            <w:r>
              <w:rPr>
                <w:rFonts w:hint="eastAsia"/>
              </w:rPr>
              <w:t>（）</w:t>
            </w:r>
          </w:p>
        </w:tc>
        <w:tc>
          <w:tcPr>
            <w:tcW w:w="2114" w:type="dxa"/>
            <w:vAlign w:val="center"/>
          </w:tcPr>
          <w:p w14:paraId="19A446FB">
            <w:pPr>
              <w:pStyle w:val="133"/>
            </w:pPr>
            <w:r>
              <w:rPr>
                <w:rFonts w:hint="eastAsia"/>
              </w:rPr>
              <w:t>（）</w:t>
            </w:r>
          </w:p>
        </w:tc>
        <w:tc>
          <w:tcPr>
            <w:tcW w:w="5356" w:type="dxa"/>
            <w:gridSpan w:val="3"/>
            <w:vAlign w:val="center"/>
          </w:tcPr>
          <w:p w14:paraId="4E43D4D6">
            <w:pPr>
              <w:pStyle w:val="133"/>
            </w:pPr>
            <w:r>
              <w:rPr>
                <w:rFonts w:hint="eastAsia"/>
              </w:rPr>
              <w:t>（）</w:t>
            </w:r>
          </w:p>
        </w:tc>
      </w:tr>
      <w:tr w14:paraId="6C26D2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5B497433">
            <w:pPr>
              <w:pStyle w:val="133"/>
            </w:pPr>
          </w:p>
        </w:tc>
        <w:tc>
          <w:tcPr>
            <w:tcW w:w="2677" w:type="dxa"/>
            <w:vMerge w:val="restart"/>
            <w:vAlign w:val="center"/>
          </w:tcPr>
          <w:p w14:paraId="2BFBB8EC">
            <w:pPr>
              <w:pStyle w:val="133"/>
            </w:pPr>
            <w:r>
              <w:rPr>
                <w:rFonts w:hint="eastAsia"/>
              </w:rPr>
              <w:t>替代源排放情况</w:t>
            </w:r>
          </w:p>
        </w:tc>
        <w:tc>
          <w:tcPr>
            <w:tcW w:w="1852" w:type="dxa"/>
            <w:vAlign w:val="center"/>
          </w:tcPr>
          <w:p w14:paraId="72F1FAE4">
            <w:pPr>
              <w:pStyle w:val="133"/>
            </w:pPr>
            <w:r>
              <w:rPr>
                <w:rFonts w:hint="eastAsia"/>
              </w:rPr>
              <w:t>污染源名称</w:t>
            </w:r>
          </w:p>
        </w:tc>
        <w:tc>
          <w:tcPr>
            <w:tcW w:w="1749" w:type="dxa"/>
            <w:gridSpan w:val="2"/>
            <w:vAlign w:val="center"/>
          </w:tcPr>
          <w:p w14:paraId="4832EFC5">
            <w:pPr>
              <w:pStyle w:val="133"/>
            </w:pPr>
            <w:r>
              <w:rPr>
                <w:rFonts w:hint="eastAsia"/>
              </w:rPr>
              <w:t>排污许可证编号</w:t>
            </w:r>
          </w:p>
        </w:tc>
        <w:tc>
          <w:tcPr>
            <w:tcW w:w="2114" w:type="dxa"/>
            <w:vAlign w:val="center"/>
          </w:tcPr>
          <w:p w14:paraId="6525249E">
            <w:pPr>
              <w:pStyle w:val="133"/>
            </w:pPr>
            <w:r>
              <w:rPr>
                <w:rFonts w:hint="eastAsia"/>
              </w:rPr>
              <w:t>污染物名称</w:t>
            </w:r>
          </w:p>
        </w:tc>
        <w:tc>
          <w:tcPr>
            <w:tcW w:w="2225" w:type="dxa"/>
            <w:vAlign w:val="center"/>
          </w:tcPr>
          <w:p w14:paraId="5CFAA93F">
            <w:pPr>
              <w:pStyle w:val="133"/>
            </w:pPr>
            <w:r>
              <w:rPr>
                <w:rFonts w:hint="eastAsia"/>
              </w:rPr>
              <w:t>排放量（t/a）</w:t>
            </w:r>
          </w:p>
        </w:tc>
        <w:tc>
          <w:tcPr>
            <w:tcW w:w="3131" w:type="dxa"/>
            <w:gridSpan w:val="2"/>
            <w:vAlign w:val="center"/>
          </w:tcPr>
          <w:p w14:paraId="173BCCA7">
            <w:pPr>
              <w:pStyle w:val="133"/>
            </w:pPr>
            <w:r>
              <w:rPr>
                <w:rFonts w:hint="eastAsia"/>
              </w:rPr>
              <w:t>排放浓度（mg/L）</w:t>
            </w:r>
          </w:p>
        </w:tc>
      </w:tr>
      <w:tr w14:paraId="2F6524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285F81B6">
            <w:pPr>
              <w:pStyle w:val="133"/>
            </w:pPr>
          </w:p>
        </w:tc>
        <w:tc>
          <w:tcPr>
            <w:tcW w:w="2677" w:type="dxa"/>
            <w:vMerge w:val="continue"/>
            <w:vAlign w:val="center"/>
          </w:tcPr>
          <w:p w14:paraId="72FFE893">
            <w:pPr>
              <w:pStyle w:val="133"/>
            </w:pPr>
          </w:p>
        </w:tc>
        <w:tc>
          <w:tcPr>
            <w:tcW w:w="1852" w:type="dxa"/>
            <w:vAlign w:val="center"/>
          </w:tcPr>
          <w:p w14:paraId="5E8A37DA">
            <w:pPr>
              <w:pStyle w:val="133"/>
            </w:pPr>
          </w:p>
        </w:tc>
        <w:tc>
          <w:tcPr>
            <w:tcW w:w="1749" w:type="dxa"/>
            <w:gridSpan w:val="2"/>
            <w:vAlign w:val="center"/>
          </w:tcPr>
          <w:p w14:paraId="778D8820">
            <w:pPr>
              <w:pStyle w:val="133"/>
            </w:pPr>
          </w:p>
        </w:tc>
        <w:tc>
          <w:tcPr>
            <w:tcW w:w="2114" w:type="dxa"/>
            <w:vAlign w:val="center"/>
          </w:tcPr>
          <w:p w14:paraId="0BAC1CFA">
            <w:pPr>
              <w:pStyle w:val="133"/>
            </w:pPr>
          </w:p>
        </w:tc>
        <w:tc>
          <w:tcPr>
            <w:tcW w:w="2225" w:type="dxa"/>
            <w:vAlign w:val="center"/>
          </w:tcPr>
          <w:p w14:paraId="64E06548">
            <w:pPr>
              <w:pStyle w:val="133"/>
            </w:pPr>
          </w:p>
        </w:tc>
        <w:tc>
          <w:tcPr>
            <w:tcW w:w="3131" w:type="dxa"/>
            <w:gridSpan w:val="2"/>
            <w:vAlign w:val="center"/>
          </w:tcPr>
          <w:p w14:paraId="0F9A596B">
            <w:pPr>
              <w:pStyle w:val="133"/>
            </w:pPr>
          </w:p>
        </w:tc>
      </w:tr>
      <w:tr w14:paraId="513D8E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563CF3A3">
            <w:pPr>
              <w:pStyle w:val="133"/>
            </w:pPr>
          </w:p>
        </w:tc>
        <w:tc>
          <w:tcPr>
            <w:tcW w:w="2677" w:type="dxa"/>
            <w:vAlign w:val="center"/>
          </w:tcPr>
          <w:p w14:paraId="7B5B988A">
            <w:pPr>
              <w:pStyle w:val="133"/>
            </w:pPr>
            <w:r>
              <w:rPr>
                <w:rFonts w:hint="eastAsia"/>
              </w:rPr>
              <w:t>生态流量确定</w:t>
            </w:r>
          </w:p>
        </w:tc>
        <w:tc>
          <w:tcPr>
            <w:tcW w:w="11071" w:type="dxa"/>
            <w:gridSpan w:val="7"/>
            <w:vAlign w:val="center"/>
          </w:tcPr>
          <w:p w14:paraId="03F7EEA8">
            <w:pPr>
              <w:pStyle w:val="133"/>
            </w:pPr>
            <w:r>
              <w:rPr>
                <w:rFonts w:hint="eastAsia"/>
              </w:rPr>
              <w:t>生态流量：一般水期（）m3/s；鱼类繁殖期（）m3/s；其他（）m3/s</w:t>
            </w:r>
          </w:p>
          <w:p w14:paraId="598B54B5">
            <w:pPr>
              <w:pStyle w:val="133"/>
            </w:pPr>
            <w:r>
              <w:rPr>
                <w:rFonts w:hint="eastAsia"/>
              </w:rPr>
              <w:t>生态水位：一般水期（）m；鱼类繁殖期（）m；其他（）m</w:t>
            </w:r>
          </w:p>
        </w:tc>
      </w:tr>
      <w:tr w14:paraId="1BA83D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restart"/>
            <w:vAlign w:val="center"/>
          </w:tcPr>
          <w:p w14:paraId="417D8592">
            <w:pPr>
              <w:pStyle w:val="133"/>
            </w:pPr>
            <w:r>
              <w:rPr>
                <w:rFonts w:hint="eastAsia"/>
              </w:rPr>
              <w:t>防治措施</w:t>
            </w:r>
          </w:p>
        </w:tc>
        <w:tc>
          <w:tcPr>
            <w:tcW w:w="2677" w:type="dxa"/>
            <w:vAlign w:val="center"/>
          </w:tcPr>
          <w:p w14:paraId="0779F747">
            <w:pPr>
              <w:pStyle w:val="133"/>
            </w:pPr>
            <w:r>
              <w:rPr>
                <w:rFonts w:hint="eastAsia"/>
              </w:rPr>
              <w:t>环保措施</w:t>
            </w:r>
          </w:p>
        </w:tc>
        <w:tc>
          <w:tcPr>
            <w:tcW w:w="11071" w:type="dxa"/>
            <w:gridSpan w:val="7"/>
            <w:vAlign w:val="center"/>
          </w:tcPr>
          <w:p w14:paraId="6D100BF9">
            <w:pPr>
              <w:pStyle w:val="133"/>
            </w:pPr>
            <w:r>
              <w:rPr>
                <w:rFonts w:hint="eastAsia"/>
              </w:rPr>
              <w:t>污水处理设施□；水文减缓设施□；生态流量保障设施□；区域削减□；依托其他工程措施□；其他□</w:t>
            </w:r>
          </w:p>
        </w:tc>
      </w:tr>
      <w:tr w14:paraId="610CC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20501763">
            <w:pPr>
              <w:pStyle w:val="133"/>
            </w:pPr>
          </w:p>
        </w:tc>
        <w:tc>
          <w:tcPr>
            <w:tcW w:w="2677" w:type="dxa"/>
            <w:vMerge w:val="restart"/>
            <w:vAlign w:val="center"/>
          </w:tcPr>
          <w:p w14:paraId="3B9DEDA8">
            <w:pPr>
              <w:pStyle w:val="133"/>
            </w:pPr>
            <w:r>
              <w:rPr>
                <w:rFonts w:hint="eastAsia"/>
              </w:rPr>
              <w:t>监测计划</w:t>
            </w:r>
          </w:p>
        </w:tc>
        <w:tc>
          <w:tcPr>
            <w:tcW w:w="2645" w:type="dxa"/>
            <w:gridSpan w:val="2"/>
            <w:vAlign w:val="center"/>
          </w:tcPr>
          <w:p w14:paraId="34B324D1">
            <w:pPr>
              <w:pStyle w:val="133"/>
            </w:pPr>
          </w:p>
        </w:tc>
        <w:tc>
          <w:tcPr>
            <w:tcW w:w="3070" w:type="dxa"/>
            <w:gridSpan w:val="2"/>
            <w:vAlign w:val="center"/>
          </w:tcPr>
          <w:p w14:paraId="57983726">
            <w:pPr>
              <w:pStyle w:val="133"/>
            </w:pPr>
            <w:r>
              <w:rPr>
                <w:rFonts w:hint="eastAsia"/>
              </w:rPr>
              <w:t>环境质量</w:t>
            </w:r>
          </w:p>
        </w:tc>
        <w:tc>
          <w:tcPr>
            <w:tcW w:w="5356" w:type="dxa"/>
            <w:gridSpan w:val="3"/>
            <w:vAlign w:val="center"/>
          </w:tcPr>
          <w:p w14:paraId="058882C0">
            <w:pPr>
              <w:pStyle w:val="133"/>
            </w:pPr>
            <w:r>
              <w:rPr>
                <w:rFonts w:hint="eastAsia"/>
              </w:rPr>
              <w:t>污染源</w:t>
            </w:r>
          </w:p>
        </w:tc>
      </w:tr>
      <w:tr w14:paraId="700104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413B931C">
            <w:pPr>
              <w:pStyle w:val="133"/>
            </w:pPr>
          </w:p>
        </w:tc>
        <w:tc>
          <w:tcPr>
            <w:tcW w:w="2677" w:type="dxa"/>
            <w:vMerge w:val="continue"/>
            <w:vAlign w:val="center"/>
          </w:tcPr>
          <w:p w14:paraId="25877A48">
            <w:pPr>
              <w:pStyle w:val="133"/>
            </w:pPr>
          </w:p>
        </w:tc>
        <w:tc>
          <w:tcPr>
            <w:tcW w:w="2645" w:type="dxa"/>
            <w:gridSpan w:val="2"/>
            <w:vAlign w:val="center"/>
          </w:tcPr>
          <w:p w14:paraId="596ADF37">
            <w:pPr>
              <w:pStyle w:val="133"/>
            </w:pPr>
            <w:r>
              <w:rPr>
                <w:rFonts w:hint="eastAsia"/>
              </w:rPr>
              <w:t>监测方式</w:t>
            </w:r>
          </w:p>
        </w:tc>
        <w:tc>
          <w:tcPr>
            <w:tcW w:w="3070" w:type="dxa"/>
            <w:gridSpan w:val="2"/>
            <w:vAlign w:val="center"/>
          </w:tcPr>
          <w:p w14:paraId="7402309F">
            <w:pPr>
              <w:pStyle w:val="133"/>
            </w:pPr>
            <w:r>
              <w:rPr>
                <w:rFonts w:hint="eastAsia"/>
              </w:rPr>
              <w:t>手动□；自动□；无监测□</w:t>
            </w:r>
          </w:p>
        </w:tc>
        <w:tc>
          <w:tcPr>
            <w:tcW w:w="5356" w:type="dxa"/>
            <w:gridSpan w:val="3"/>
            <w:vAlign w:val="center"/>
          </w:tcPr>
          <w:p w14:paraId="13103655">
            <w:pPr>
              <w:pStyle w:val="133"/>
            </w:pPr>
            <w:r>
              <w:rPr>
                <w:rFonts w:hint="eastAsia"/>
              </w:rPr>
              <w:t>手动□；自动□；无监测□</w:t>
            </w:r>
          </w:p>
        </w:tc>
      </w:tr>
      <w:tr w14:paraId="1AFB1A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7203DC93">
            <w:pPr>
              <w:pStyle w:val="133"/>
            </w:pPr>
          </w:p>
        </w:tc>
        <w:tc>
          <w:tcPr>
            <w:tcW w:w="2677" w:type="dxa"/>
            <w:vMerge w:val="continue"/>
            <w:vAlign w:val="center"/>
          </w:tcPr>
          <w:p w14:paraId="1931EC6A">
            <w:pPr>
              <w:pStyle w:val="133"/>
            </w:pPr>
          </w:p>
        </w:tc>
        <w:tc>
          <w:tcPr>
            <w:tcW w:w="2645" w:type="dxa"/>
            <w:gridSpan w:val="2"/>
            <w:vAlign w:val="center"/>
          </w:tcPr>
          <w:p w14:paraId="2B475F79">
            <w:pPr>
              <w:pStyle w:val="133"/>
            </w:pPr>
            <w:r>
              <w:rPr>
                <w:rFonts w:hint="eastAsia"/>
              </w:rPr>
              <w:t>监测点位</w:t>
            </w:r>
          </w:p>
        </w:tc>
        <w:tc>
          <w:tcPr>
            <w:tcW w:w="3070" w:type="dxa"/>
            <w:gridSpan w:val="2"/>
            <w:vAlign w:val="center"/>
          </w:tcPr>
          <w:p w14:paraId="6C266AF0">
            <w:pPr>
              <w:pStyle w:val="133"/>
            </w:pPr>
            <w:r>
              <w:rPr>
                <w:rFonts w:hint="eastAsia"/>
              </w:rPr>
              <w:t>（）</w:t>
            </w:r>
          </w:p>
        </w:tc>
        <w:tc>
          <w:tcPr>
            <w:tcW w:w="5356" w:type="dxa"/>
            <w:gridSpan w:val="3"/>
            <w:vAlign w:val="center"/>
          </w:tcPr>
          <w:p w14:paraId="18E16C0E">
            <w:pPr>
              <w:pStyle w:val="133"/>
            </w:pPr>
            <w:r>
              <w:rPr>
                <w:rFonts w:hint="eastAsia"/>
              </w:rPr>
              <w:t>（）</w:t>
            </w:r>
          </w:p>
        </w:tc>
      </w:tr>
      <w:tr w14:paraId="791382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2E24EFB9">
            <w:pPr>
              <w:pStyle w:val="133"/>
            </w:pPr>
          </w:p>
        </w:tc>
        <w:tc>
          <w:tcPr>
            <w:tcW w:w="2677" w:type="dxa"/>
            <w:vMerge w:val="continue"/>
            <w:vAlign w:val="center"/>
          </w:tcPr>
          <w:p w14:paraId="5A0D605A">
            <w:pPr>
              <w:pStyle w:val="133"/>
            </w:pPr>
          </w:p>
        </w:tc>
        <w:tc>
          <w:tcPr>
            <w:tcW w:w="2645" w:type="dxa"/>
            <w:gridSpan w:val="2"/>
            <w:vAlign w:val="center"/>
          </w:tcPr>
          <w:p w14:paraId="4E3635DC">
            <w:pPr>
              <w:pStyle w:val="133"/>
            </w:pPr>
            <w:r>
              <w:rPr>
                <w:rFonts w:hint="eastAsia"/>
              </w:rPr>
              <w:t>监测因子</w:t>
            </w:r>
          </w:p>
        </w:tc>
        <w:tc>
          <w:tcPr>
            <w:tcW w:w="3070" w:type="dxa"/>
            <w:gridSpan w:val="2"/>
            <w:vAlign w:val="center"/>
          </w:tcPr>
          <w:p w14:paraId="10BD189C">
            <w:pPr>
              <w:pStyle w:val="133"/>
            </w:pPr>
            <w:r>
              <w:rPr>
                <w:rFonts w:hint="eastAsia"/>
              </w:rPr>
              <w:t>（）</w:t>
            </w:r>
          </w:p>
        </w:tc>
        <w:tc>
          <w:tcPr>
            <w:tcW w:w="5356" w:type="dxa"/>
            <w:gridSpan w:val="3"/>
            <w:vAlign w:val="center"/>
          </w:tcPr>
          <w:p w14:paraId="4165CA6D">
            <w:pPr>
              <w:pStyle w:val="133"/>
            </w:pPr>
            <w:r>
              <w:rPr>
                <w:rFonts w:hint="eastAsia"/>
              </w:rPr>
              <w:t>（）</w:t>
            </w:r>
          </w:p>
        </w:tc>
      </w:tr>
      <w:tr w14:paraId="6DB98C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27" w:type="dxa"/>
            <w:vMerge w:val="continue"/>
            <w:vAlign w:val="center"/>
          </w:tcPr>
          <w:p w14:paraId="7C806139">
            <w:pPr>
              <w:pStyle w:val="133"/>
            </w:pPr>
          </w:p>
        </w:tc>
        <w:tc>
          <w:tcPr>
            <w:tcW w:w="2677" w:type="dxa"/>
            <w:vAlign w:val="center"/>
          </w:tcPr>
          <w:p w14:paraId="641EB3D4">
            <w:pPr>
              <w:pStyle w:val="133"/>
            </w:pPr>
            <w:r>
              <w:rPr>
                <w:rFonts w:hint="eastAsia"/>
              </w:rPr>
              <w:t>污染物排放清单</w:t>
            </w:r>
          </w:p>
        </w:tc>
        <w:tc>
          <w:tcPr>
            <w:tcW w:w="11071" w:type="dxa"/>
            <w:gridSpan w:val="7"/>
            <w:vAlign w:val="center"/>
          </w:tcPr>
          <w:p w14:paraId="08E5AA0E">
            <w:pPr>
              <w:pStyle w:val="133"/>
            </w:pPr>
          </w:p>
        </w:tc>
      </w:tr>
      <w:tr w14:paraId="6D9DD0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04" w:type="dxa"/>
            <w:gridSpan w:val="2"/>
            <w:vAlign w:val="center"/>
          </w:tcPr>
          <w:p w14:paraId="02629EB4">
            <w:pPr>
              <w:pStyle w:val="133"/>
            </w:pPr>
            <w:r>
              <w:rPr>
                <w:rFonts w:hint="eastAsia"/>
              </w:rPr>
              <w:t>评价结论</w:t>
            </w:r>
          </w:p>
        </w:tc>
        <w:tc>
          <w:tcPr>
            <w:tcW w:w="11071" w:type="dxa"/>
            <w:gridSpan w:val="7"/>
            <w:vAlign w:val="center"/>
          </w:tcPr>
          <w:p w14:paraId="1C6F1C4F">
            <w:pPr>
              <w:pStyle w:val="133"/>
            </w:pPr>
            <w:r>
              <w:rPr>
                <w:rFonts w:hint="eastAsia"/>
              </w:rPr>
              <w:t>可以接受</w:t>
            </w:r>
            <w:r>
              <w:rPr>
                <w:rFonts w:ascii="Segoe UI Symbol" w:hAnsi="Segoe UI Symbol" w:cs="Segoe UI Symbol"/>
              </w:rPr>
              <w:t>☑</w:t>
            </w:r>
            <w:r>
              <w:rPr>
                <w:rFonts w:hint="eastAsia"/>
              </w:rPr>
              <w:t>；不可以接受□</w:t>
            </w:r>
          </w:p>
        </w:tc>
      </w:tr>
      <w:tr w14:paraId="4311FB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175" w:type="dxa"/>
            <w:gridSpan w:val="9"/>
            <w:vAlign w:val="center"/>
          </w:tcPr>
          <w:p w14:paraId="5A427867">
            <w:pPr>
              <w:pStyle w:val="133"/>
              <w:jc w:val="both"/>
            </w:pPr>
            <w:r>
              <w:rPr>
                <w:rFonts w:hint="eastAsia"/>
              </w:rPr>
              <w:t>注：“□”为勾选项，可打</w:t>
            </w:r>
            <w:r>
              <w:t>√</w:t>
            </w:r>
            <w:r>
              <w:rPr>
                <w:rFonts w:hint="eastAsia"/>
              </w:rPr>
              <w:t>；“（）”为内容填写项；“备注”为其他补充内容</w:t>
            </w:r>
          </w:p>
        </w:tc>
      </w:tr>
    </w:tbl>
    <w:p w14:paraId="23FAC49C">
      <w:pPr>
        <w:pStyle w:val="133"/>
      </w:pPr>
    </w:p>
    <w:p w14:paraId="665564C5">
      <w:pPr>
        <w:pStyle w:val="133"/>
        <w:sectPr>
          <w:pgSz w:w="16838" w:h="11906" w:orient="landscape"/>
          <w:pgMar w:top="1287" w:right="1418" w:bottom="1531" w:left="1418" w:header="851" w:footer="992" w:gutter="0"/>
          <w:cols w:space="720" w:num="1"/>
          <w:docGrid w:linePitch="312" w:charSpace="0"/>
        </w:sectPr>
      </w:pPr>
    </w:p>
    <w:p w14:paraId="7507BA12">
      <w:pPr>
        <w:pStyle w:val="3"/>
      </w:pPr>
      <w:bookmarkStart w:id="490" w:name="_Toc14700"/>
      <w:bookmarkStart w:id="491" w:name="_Toc205291398"/>
      <w:r>
        <w:rPr>
          <w:rFonts w:hint="eastAsia"/>
        </w:rPr>
        <w:t>地下水环境影响</w:t>
      </w:r>
      <w:bookmarkEnd w:id="490"/>
      <w:r>
        <w:rPr>
          <w:rFonts w:hint="eastAsia"/>
        </w:rPr>
        <w:t>预测与评价</w:t>
      </w:r>
      <w:bookmarkEnd w:id="491"/>
    </w:p>
    <w:p w14:paraId="447A42F1">
      <w:pPr>
        <w:pStyle w:val="138"/>
        <w:rPr>
          <w:rFonts w:hint="eastAsia"/>
        </w:rPr>
      </w:pPr>
      <w:r>
        <w:rPr>
          <w:rFonts w:hint="eastAsia"/>
        </w:rPr>
        <w:t>区域水文地质条件</w:t>
      </w:r>
    </w:p>
    <w:p w14:paraId="216701E0">
      <w:pPr>
        <w:pStyle w:val="5"/>
      </w:pPr>
      <w:r>
        <w:rPr>
          <w:rFonts w:hint="eastAsia"/>
        </w:rPr>
        <w:t>区域地质概况</w:t>
      </w:r>
    </w:p>
    <w:p w14:paraId="07BFBE8D">
      <w:pPr>
        <w:pStyle w:val="117"/>
        <w:ind w:firstLine="480"/>
        <w:rPr>
          <w:rStyle w:val="162"/>
        </w:rPr>
      </w:pPr>
      <w:r>
        <w:rPr>
          <w:rStyle w:val="162"/>
        </w:rPr>
        <w:t>哈密地区西起十三间房，东至山口、骆驼圈子</w:t>
      </w:r>
      <w:r>
        <w:rPr>
          <w:rStyle w:val="162"/>
          <w:rFonts w:hint="eastAsia"/>
        </w:rPr>
        <w:t>－</w:t>
      </w:r>
      <w:r>
        <w:rPr>
          <w:rStyle w:val="162"/>
        </w:rPr>
        <w:t xml:space="preserve"> </w:t>
      </w:r>
      <w:r>
        <w:rPr>
          <w:rStyle w:val="162"/>
          <w:rFonts w:hint="eastAsia"/>
        </w:rPr>
        <w:t>－</w:t>
      </w:r>
      <w:r>
        <w:rPr>
          <w:rStyle w:val="162"/>
        </w:rPr>
        <w:t>带，东西向长约410km</w:t>
      </w:r>
      <w:r>
        <w:rPr>
          <w:rStyle w:val="162"/>
          <w:rFonts w:hint="eastAsia"/>
        </w:rPr>
        <w:t>，</w:t>
      </w:r>
      <w:r>
        <w:rPr>
          <w:rStyle w:val="162"/>
        </w:rPr>
        <w:t>南北最宽达89km。地势北部高，南部低，总体为东北高，西南低，最低处在五堡乡境内，海拔仅有345m。哈密盆地地形特征如图</w:t>
      </w:r>
      <w:r>
        <w:rPr>
          <w:rStyle w:val="162"/>
          <w:rFonts w:hint="eastAsia"/>
        </w:rPr>
        <w:t>5.4-1</w:t>
      </w:r>
      <w:r>
        <w:rPr>
          <w:rStyle w:val="162"/>
        </w:rPr>
        <w:t>所示。</w:t>
      </w:r>
    </w:p>
    <w:p w14:paraId="4137B285">
      <w:pPr>
        <w:pStyle w:val="944"/>
      </w:pPr>
      <w:r>
        <w:rPr>
          <w:rFonts w:hint="eastAsia"/>
        </w:rPr>
        <w:t>地形</w:t>
      </w:r>
    </w:p>
    <w:p w14:paraId="10C85E01">
      <w:pPr>
        <w:ind w:firstLine="480"/>
      </w:pPr>
      <w:r>
        <w:t>哈密盆地具有南北高，中间低的全封闭地貌特征。按区域地貌成因和形态类型，哈密盆地地貌可划分为六个地貌单元区，分别为</w:t>
      </w:r>
      <w:r>
        <w:rPr>
          <w:rFonts w:hint="eastAsia"/>
        </w:rPr>
        <w:t>：</w:t>
      </w:r>
      <w:r>
        <w:t>冰蚀构造高山、侵蚀构造高中山、中山、低中山，构造剥蚀中低山、低</w:t>
      </w:r>
      <w:r>
        <w:rPr>
          <w:rFonts w:hint="eastAsia"/>
        </w:rPr>
        <w:t>山、构造剥蚀丘陵、风蚀丘陵、冲洪积平原、洪积平原、湖积平原、风积沙丘等地貌类型。</w:t>
      </w:r>
    </w:p>
    <w:p w14:paraId="71CAFCFD">
      <w:pPr>
        <w:ind w:firstLine="480"/>
      </w:pPr>
      <w:r>
        <w:t>1</w:t>
      </w:r>
      <w:r>
        <w:rPr>
          <w:rFonts w:hint="eastAsia"/>
        </w:rPr>
        <w:t>）</w:t>
      </w:r>
      <w:r>
        <w:t>侵蚀构造高中山、中山、低中山，主要分布在工作区北部巴里坤山、喀尔里克山和东南部大马庄山一带</w:t>
      </w:r>
      <w:r>
        <w:rPr>
          <w:rFonts w:hint="eastAsia"/>
        </w:rPr>
        <w:t>，</w:t>
      </w:r>
      <w:r>
        <w:t>山脊线与构造线、岩层走向基本</w:t>
      </w:r>
      <w:r>
        <w:rPr>
          <w:rFonts w:hint="eastAsia"/>
        </w:rPr>
        <w:t>一致</w:t>
      </w:r>
      <w:r>
        <w:t>，主要为NWW</w:t>
      </w:r>
      <w:r>
        <w:rPr>
          <w:rFonts w:hint="eastAsia"/>
        </w:rPr>
        <w:t>～</w:t>
      </w:r>
      <w:r>
        <w:t>SEE走向。岩石风化裂隙发育，侵蚀作用强烈，新构造运动对其形成当今地貌形态的影响尤为强烈，加之后期流水作用的侵蚀，造成山峦起伏，沟谷交错。</w:t>
      </w:r>
    </w:p>
    <w:p w14:paraId="135871B2">
      <w:pPr>
        <w:ind w:firstLine="480"/>
      </w:pPr>
      <w:r>
        <w:t>2</w:t>
      </w:r>
      <w:r>
        <w:rPr>
          <w:rFonts w:hint="eastAsia"/>
        </w:rPr>
        <w:t>）</w:t>
      </w:r>
      <w:r>
        <w:t>构造剥蚀中低山、低山，分布于觉罗塔格山北麓及喀尔里克山南麓。海拔为800～ 1000m</w:t>
      </w:r>
      <w:r>
        <w:rPr>
          <w:rFonts w:hint="eastAsia"/>
        </w:rPr>
        <w:t>，</w:t>
      </w:r>
      <w:r>
        <w:t>山脊与岩层褶皱迹线</w:t>
      </w:r>
      <w:r>
        <w:rPr>
          <w:rFonts w:hint="eastAsia"/>
        </w:rPr>
        <w:t>一致</w:t>
      </w:r>
      <w:r>
        <w:t>，岩石风化裂隙发育，山坡及沟底覆盖有薄层残积层。垂直于山脊多发育浅而开阔的沟谷。切割深度约400～ 600m。山顶形态多为浑圆状。燕山运动和喜马拉雅运动对该区地貌形成有不同程度的影响，加上流水侵蚀和风化剥蚀等外力地质作用，形成目前的地貌特征。</w:t>
      </w:r>
    </w:p>
    <w:p w14:paraId="430E6FD6">
      <w:pPr>
        <w:ind w:firstLine="480"/>
      </w:pPr>
      <w:r>
        <w:t>3</w:t>
      </w:r>
      <w:r>
        <w:rPr>
          <w:rFonts w:hint="eastAsia"/>
        </w:rPr>
        <w:t>）</w:t>
      </w:r>
      <w:r>
        <w:t>构造剥蚀丘陵，区内风化剥蚀作用强烈，丘陵顶部尖锐，山脊突出，山坡呈凹形，由于流水侵蚀作用，形成多条S-N向较宽大的沟谷。海拔高程一般在600～ 1000m</w:t>
      </w:r>
      <w:r>
        <w:rPr>
          <w:rFonts w:hint="eastAsia"/>
        </w:rPr>
        <w:t>，</w:t>
      </w:r>
      <w:r>
        <w:t>切割深度3～ 5m。</w:t>
      </w:r>
    </w:p>
    <w:p w14:paraId="1BE54B19">
      <w:pPr>
        <w:ind w:firstLine="480"/>
      </w:pPr>
      <w:r>
        <w:t>4</w:t>
      </w:r>
      <w:r>
        <w:rPr>
          <w:rFonts w:hint="eastAsia"/>
        </w:rPr>
        <w:t>）</w:t>
      </w:r>
      <w:r>
        <w:t>风蚀丘陵，主要分布在工作区西部，丘陵顶部多呈平顶状，多由新近系桃树园组红色泥岩组成，风蚀成蘑菇状、岛状等多种形态，区内有哈密著名风景区～魔鬼城。</w:t>
      </w:r>
    </w:p>
    <w:p w14:paraId="467EB634">
      <w:pPr>
        <w:ind w:firstLine="480"/>
      </w:pPr>
      <w:r>
        <w:t>5</w:t>
      </w:r>
      <w:r>
        <w:rPr>
          <w:rFonts w:hint="eastAsia"/>
        </w:rPr>
        <w:t>）</w:t>
      </w:r>
      <w:r>
        <w:t>冲洪积平原、洪积平原，分布于山前地带，由冲洪积砂砾石组成。地形平坦开阔，地势由北向南倾斜，地形坡降5‰～20‰</w:t>
      </w:r>
      <w:r>
        <w:rPr>
          <w:rFonts w:hint="eastAsia"/>
        </w:rPr>
        <w:t>，</w:t>
      </w:r>
      <w:r>
        <w:t>其上发育近南北向冲沟，冲沟宽15</w:t>
      </w:r>
      <w:r>
        <w:rPr>
          <w:rFonts w:hint="eastAsia"/>
        </w:rPr>
        <w:t>～</w:t>
      </w:r>
      <w:r>
        <w:t>28m</w:t>
      </w:r>
      <w:r>
        <w:rPr>
          <w:rFonts w:hint="eastAsia"/>
        </w:rPr>
        <w:t>，</w:t>
      </w:r>
      <w:r>
        <w:t>切割深度0.5～2m。</w:t>
      </w:r>
    </w:p>
    <w:p w14:paraId="0620C49B">
      <w:pPr>
        <w:ind w:firstLine="480"/>
      </w:pPr>
      <w:r>
        <w:t>6</w:t>
      </w:r>
      <w:r>
        <w:rPr>
          <w:rFonts w:hint="eastAsia"/>
        </w:rPr>
        <w:t>）</w:t>
      </w:r>
      <w:r>
        <w:t>湖积平原，分布于七角井盆地中部，</w:t>
      </w:r>
      <w:r>
        <w:rPr>
          <w:rFonts w:hint="eastAsia"/>
        </w:rPr>
        <w:t>海拔</w:t>
      </w:r>
      <w:r>
        <w:t>在850～ 980m之间，分布面积不大，约510km</w:t>
      </w:r>
      <w:r>
        <w:rPr>
          <w:vertAlign w:val="superscript"/>
        </w:rPr>
        <w:t>2</w:t>
      </w:r>
      <w:r>
        <w:t>。地形平缓</w:t>
      </w:r>
      <w:r>
        <w:rPr>
          <w:rFonts w:hint="eastAsia"/>
        </w:rPr>
        <w:t>，</w:t>
      </w:r>
      <w:r>
        <w:t>坡降在3‰～30‰左右。主要是由湖相沉积的粉砂质粘土、亚粘土组成</w:t>
      </w:r>
      <w:r>
        <w:rPr>
          <w:rFonts w:hint="eastAsia"/>
        </w:rPr>
        <w:t>，</w:t>
      </w:r>
      <w:r>
        <w:t>多盐渍化，沼泽发育。</w:t>
      </w:r>
    </w:p>
    <w:p w14:paraId="32232E60">
      <w:pPr>
        <w:ind w:firstLine="480"/>
      </w:pPr>
      <w:r>
        <w:t>7</w:t>
      </w:r>
      <w:r>
        <w:rPr>
          <w:rFonts w:hint="eastAsia"/>
        </w:rPr>
        <w:t>）</w:t>
      </w:r>
      <w:r>
        <w:t>风积沙丘</w:t>
      </w:r>
      <w:r>
        <w:rPr>
          <w:rFonts w:hint="eastAsia"/>
        </w:rPr>
        <w:t>，</w:t>
      </w:r>
      <w:r>
        <w:t>风积沙丘主要分布在工作区西南部</w:t>
      </w:r>
      <w:r>
        <w:rPr>
          <w:rFonts w:hint="eastAsia"/>
        </w:rPr>
        <w:t>，</w:t>
      </w:r>
      <w:r>
        <w:t>为南北向活动性的库木塔格沙垄和半活动性沙丘，其中沙垄由角锥状沙丘和新月形沙丘相连而成，呈南北向条带分布，东西宽1～2km</w:t>
      </w:r>
      <w:r>
        <w:rPr>
          <w:rFonts w:hint="eastAsia"/>
        </w:rPr>
        <w:t>，</w:t>
      </w:r>
      <w:r>
        <w:t>南北长约100km，沙丘高度20～100m。</w:t>
      </w:r>
    </w:p>
    <w:p w14:paraId="0AB6D7F8">
      <w:pPr>
        <w:pStyle w:val="944"/>
      </w:pPr>
      <w:r>
        <w:rPr>
          <w:rFonts w:hint="eastAsia"/>
        </w:rPr>
        <w:t>主要含水层</w:t>
      </w:r>
    </w:p>
    <w:p w14:paraId="2387F653">
      <w:pPr>
        <w:ind w:firstLine="480"/>
      </w:pPr>
      <w:r>
        <w:t>根据地下水储存介质、地下水动力特征、不同含水层系统之间的转化关系等，将哈密地区地下水类型简单概化成三大类型及相应的亚类</w:t>
      </w:r>
      <w:r>
        <w:rPr>
          <w:rFonts w:hint="eastAsia"/>
        </w:rPr>
        <w:t>：</w:t>
      </w:r>
      <w:r>
        <w:t>松散岩类孔隙水</w:t>
      </w:r>
      <w:r>
        <w:rPr>
          <w:rFonts w:hint="eastAsia"/>
        </w:rPr>
        <w:t>、</w:t>
      </w:r>
      <w:r>
        <w:t>碎屑岩类裂隙孔隙水</w:t>
      </w:r>
      <w:r>
        <w:rPr>
          <w:rFonts w:hint="eastAsia"/>
        </w:rPr>
        <w:t>、</w:t>
      </w:r>
      <w:r>
        <w:t>基岩裂隙水</w:t>
      </w:r>
      <w:r>
        <w:rPr>
          <w:rFonts w:hint="eastAsia"/>
        </w:rPr>
        <w:t>、</w:t>
      </w:r>
      <w:r>
        <w:t>冻结层水。哈密盆地山丘区范围内出露不多的志留系、二迭系、白垩系，未见有地下水天然露头，且未进行勘探</w:t>
      </w:r>
      <w:r>
        <w:rPr>
          <w:rFonts w:hint="eastAsia"/>
        </w:rPr>
        <w:t>，</w:t>
      </w:r>
      <w:r>
        <w:t>属含水性质不明的岩组。</w:t>
      </w:r>
    </w:p>
    <w:p w14:paraId="32018E98">
      <w:pPr>
        <w:pStyle w:val="118"/>
      </w:pPr>
      <w:r>
        <w:rPr>
          <w:rFonts w:hint="eastAsia"/>
        </w:rPr>
        <w:t>表5.4</w:t>
      </w:r>
      <w:r>
        <w:t>-</w:t>
      </w:r>
      <w:r>
        <w:rPr>
          <w:rFonts w:hint="eastAsia"/>
        </w:rPr>
        <w:t>2</w:t>
      </w:r>
      <w:r>
        <w:t xml:space="preserve">    </w:t>
      </w:r>
      <w:r>
        <w:rPr>
          <w:rFonts w:hint="eastAsia"/>
        </w:rPr>
        <w:t>哈密</w:t>
      </w:r>
      <w:r>
        <w:t>盆地地下水类型划分及分布特征统计一览表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91"/>
        <w:gridCol w:w="1897"/>
        <w:gridCol w:w="2044"/>
        <w:gridCol w:w="2990"/>
      </w:tblGrid>
      <w:tr w14:paraId="2F35A6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1545" w:type="dxa"/>
            <w:vAlign w:val="center"/>
          </w:tcPr>
          <w:p w14:paraId="00C818CA">
            <w:pPr>
              <w:pStyle w:val="133"/>
              <w:rPr>
                <w:b/>
                <w:bCs/>
              </w:rPr>
            </w:pPr>
            <w:r>
              <w:rPr>
                <w:rFonts w:hint="eastAsia"/>
                <w:b/>
                <w:bCs/>
              </w:rPr>
              <w:t>地下水类型</w:t>
            </w:r>
          </w:p>
        </w:tc>
        <w:tc>
          <w:tcPr>
            <w:tcW w:w="1842" w:type="dxa"/>
            <w:vAlign w:val="center"/>
          </w:tcPr>
          <w:p w14:paraId="176BC05F">
            <w:pPr>
              <w:pStyle w:val="133"/>
              <w:rPr>
                <w:b/>
                <w:bCs/>
              </w:rPr>
            </w:pPr>
            <w:r>
              <w:rPr>
                <w:rFonts w:hint="eastAsia"/>
                <w:b/>
                <w:bCs/>
              </w:rPr>
              <w:t>亚类</w:t>
            </w:r>
          </w:p>
        </w:tc>
        <w:tc>
          <w:tcPr>
            <w:tcW w:w="1985" w:type="dxa"/>
            <w:vAlign w:val="center"/>
          </w:tcPr>
          <w:p w14:paraId="1BBFBED4">
            <w:pPr>
              <w:pStyle w:val="133"/>
              <w:rPr>
                <w:b/>
                <w:bCs/>
              </w:rPr>
            </w:pPr>
            <w:r>
              <w:rPr>
                <w:rFonts w:hint="eastAsia"/>
                <w:b/>
                <w:bCs/>
              </w:rPr>
              <w:t>分布范围</w:t>
            </w:r>
          </w:p>
        </w:tc>
        <w:tc>
          <w:tcPr>
            <w:tcW w:w="2904" w:type="dxa"/>
            <w:vAlign w:val="center"/>
          </w:tcPr>
          <w:p w14:paraId="2608807B">
            <w:pPr>
              <w:pStyle w:val="133"/>
              <w:rPr>
                <w:b/>
                <w:bCs/>
              </w:rPr>
            </w:pPr>
            <w:r>
              <w:rPr>
                <w:rFonts w:hint="eastAsia"/>
                <w:b/>
                <w:bCs/>
              </w:rPr>
              <w:t>分布特征</w:t>
            </w:r>
          </w:p>
        </w:tc>
      </w:tr>
      <w:tr w14:paraId="5DB29B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5" w:type="dxa"/>
            <w:vMerge w:val="restart"/>
            <w:vAlign w:val="center"/>
          </w:tcPr>
          <w:p w14:paraId="382ED9E8">
            <w:pPr>
              <w:pStyle w:val="133"/>
            </w:pPr>
            <w:r>
              <w:rPr>
                <w:rFonts w:hint="eastAsia"/>
              </w:rPr>
              <w:t>松散岩类孔隙水</w:t>
            </w:r>
          </w:p>
        </w:tc>
        <w:tc>
          <w:tcPr>
            <w:tcW w:w="1842" w:type="dxa"/>
            <w:vAlign w:val="center"/>
          </w:tcPr>
          <w:p w14:paraId="786A716E">
            <w:pPr>
              <w:pStyle w:val="133"/>
            </w:pPr>
            <w:r>
              <w:rPr>
                <w:rFonts w:hint="eastAsia"/>
              </w:rPr>
              <w:t>砂砾石为主的含水层</w:t>
            </w:r>
          </w:p>
        </w:tc>
        <w:tc>
          <w:tcPr>
            <w:tcW w:w="1985" w:type="dxa"/>
            <w:vAlign w:val="center"/>
          </w:tcPr>
          <w:p w14:paraId="268E90E2">
            <w:pPr>
              <w:pStyle w:val="133"/>
            </w:pPr>
            <w:r>
              <w:rPr>
                <w:rFonts w:hint="eastAsia"/>
              </w:rPr>
              <w:t>山前戈壁砾质冲洪积平原</w:t>
            </w:r>
          </w:p>
        </w:tc>
        <w:tc>
          <w:tcPr>
            <w:tcW w:w="2904" w:type="dxa"/>
            <w:vAlign w:val="center"/>
          </w:tcPr>
          <w:p w14:paraId="4658F4C2">
            <w:pPr>
              <w:pStyle w:val="133"/>
            </w:pPr>
            <w:r>
              <w:rPr>
                <w:rFonts w:hint="eastAsia"/>
              </w:rPr>
              <w:t>为平原区地下水的补给－径流带，地下水埋深很大，富水性强</w:t>
            </w:r>
          </w:p>
        </w:tc>
      </w:tr>
      <w:tr w14:paraId="1A8446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5" w:type="dxa"/>
            <w:vMerge w:val="continue"/>
            <w:vAlign w:val="center"/>
          </w:tcPr>
          <w:p w14:paraId="27FDD217">
            <w:pPr>
              <w:pStyle w:val="133"/>
            </w:pPr>
          </w:p>
        </w:tc>
        <w:tc>
          <w:tcPr>
            <w:tcW w:w="1842" w:type="dxa"/>
            <w:vMerge w:val="restart"/>
            <w:vAlign w:val="center"/>
          </w:tcPr>
          <w:p w14:paraId="4F717766">
            <w:pPr>
              <w:pStyle w:val="133"/>
            </w:pPr>
            <w:r>
              <w:rPr>
                <w:rFonts w:hint="eastAsia"/>
              </w:rPr>
              <w:t>砂、粘土为主的多层结构含水层</w:t>
            </w:r>
          </w:p>
          <w:p w14:paraId="4EFE62FD">
            <w:pPr>
              <w:pStyle w:val="133"/>
            </w:pPr>
            <w:r>
              <w:rPr>
                <w:rFonts w:hint="eastAsia"/>
              </w:rPr>
              <w:t>上部潜水下部承压水</w:t>
            </w:r>
          </w:p>
        </w:tc>
        <w:tc>
          <w:tcPr>
            <w:tcW w:w="1985" w:type="dxa"/>
            <w:vAlign w:val="center"/>
          </w:tcPr>
          <w:p w14:paraId="10286313">
            <w:pPr>
              <w:pStyle w:val="133"/>
            </w:pPr>
            <w:r>
              <w:rPr>
                <w:rFonts w:hint="eastAsia"/>
              </w:rPr>
              <w:t>冲洪积平原细土带表层</w:t>
            </w:r>
          </w:p>
        </w:tc>
        <w:tc>
          <w:tcPr>
            <w:tcW w:w="2904" w:type="dxa"/>
            <w:vAlign w:val="center"/>
          </w:tcPr>
          <w:p w14:paraId="786D773D">
            <w:pPr>
              <w:pStyle w:val="133"/>
            </w:pPr>
            <w:r>
              <w:rPr>
                <w:rFonts w:hint="eastAsia"/>
              </w:rPr>
              <w:t>含水层厚度较小，富水性差，接受上部地表水入渗补给，与下层承压水以越流形式进行水量交换</w:t>
            </w:r>
          </w:p>
        </w:tc>
      </w:tr>
      <w:tr w14:paraId="1389F3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5" w:type="dxa"/>
            <w:vMerge w:val="continue"/>
            <w:vAlign w:val="center"/>
          </w:tcPr>
          <w:p w14:paraId="5F9F4EBF">
            <w:pPr>
              <w:pStyle w:val="133"/>
            </w:pPr>
          </w:p>
        </w:tc>
        <w:tc>
          <w:tcPr>
            <w:tcW w:w="1842" w:type="dxa"/>
            <w:vMerge w:val="continue"/>
            <w:vAlign w:val="center"/>
          </w:tcPr>
          <w:p w14:paraId="7D9CD3A5">
            <w:pPr>
              <w:pStyle w:val="133"/>
            </w:pPr>
          </w:p>
        </w:tc>
        <w:tc>
          <w:tcPr>
            <w:tcW w:w="1985" w:type="dxa"/>
            <w:vAlign w:val="center"/>
          </w:tcPr>
          <w:p w14:paraId="04704E1E">
            <w:pPr>
              <w:pStyle w:val="133"/>
            </w:pPr>
            <w:r>
              <w:rPr>
                <w:rFonts w:hint="eastAsia"/>
              </w:rPr>
              <w:t>冲洪积平原细土带下部</w:t>
            </w:r>
          </w:p>
        </w:tc>
        <w:tc>
          <w:tcPr>
            <w:tcW w:w="2904" w:type="dxa"/>
            <w:vAlign w:val="center"/>
          </w:tcPr>
          <w:p w14:paraId="63717B09">
            <w:pPr>
              <w:pStyle w:val="133"/>
            </w:pPr>
            <w:r>
              <w:rPr>
                <w:rFonts w:hint="eastAsia"/>
              </w:rPr>
              <w:t>为平原区径流－排泄带，也是经济带主要开采地段，地下水埋深适宜，富水性较强</w:t>
            </w:r>
          </w:p>
        </w:tc>
      </w:tr>
      <w:tr w14:paraId="6629BE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5" w:type="dxa"/>
            <w:vAlign w:val="center"/>
          </w:tcPr>
          <w:p w14:paraId="2E51DFB6">
            <w:pPr>
              <w:pStyle w:val="133"/>
            </w:pPr>
            <w:r>
              <w:rPr>
                <w:rFonts w:hint="eastAsia"/>
              </w:rPr>
              <w:t>碎屑岩类裂隙孔隙水</w:t>
            </w:r>
          </w:p>
        </w:tc>
        <w:tc>
          <w:tcPr>
            <w:tcW w:w="1842" w:type="dxa"/>
            <w:vAlign w:val="center"/>
          </w:tcPr>
          <w:p w14:paraId="16002163">
            <w:pPr>
              <w:pStyle w:val="133"/>
            </w:pPr>
            <w:r>
              <w:rPr>
                <w:rFonts w:hint="eastAsia"/>
              </w:rPr>
              <w:t>/</w:t>
            </w:r>
          </w:p>
        </w:tc>
        <w:tc>
          <w:tcPr>
            <w:tcW w:w="1985" w:type="dxa"/>
            <w:vAlign w:val="center"/>
          </w:tcPr>
          <w:p w14:paraId="1E0D8565">
            <w:pPr>
              <w:pStyle w:val="133"/>
            </w:pPr>
            <w:r>
              <w:rPr>
                <w:rFonts w:hint="eastAsia"/>
              </w:rPr>
              <w:t>新近系～古近系的砂岩、砾岩内</w:t>
            </w:r>
          </w:p>
        </w:tc>
        <w:tc>
          <w:tcPr>
            <w:tcW w:w="2904" w:type="dxa"/>
            <w:vAlign w:val="center"/>
          </w:tcPr>
          <w:p w14:paraId="07C33089">
            <w:pPr>
              <w:pStyle w:val="133"/>
            </w:pPr>
            <w:r>
              <w:rPr>
                <w:rFonts w:hint="eastAsia"/>
              </w:rPr>
              <w:t>与上伏第四系同源，埋深适宜，径流较缓慢，不宜单独开采。</w:t>
            </w:r>
          </w:p>
        </w:tc>
      </w:tr>
      <w:tr w14:paraId="342D9E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5" w:type="dxa"/>
            <w:vMerge w:val="restart"/>
            <w:vAlign w:val="center"/>
          </w:tcPr>
          <w:p w14:paraId="6A6FC0F7">
            <w:pPr>
              <w:pStyle w:val="133"/>
            </w:pPr>
            <w:r>
              <w:rPr>
                <w:rFonts w:hint="eastAsia"/>
              </w:rPr>
              <w:t>基岩裂隙水</w:t>
            </w:r>
          </w:p>
        </w:tc>
        <w:tc>
          <w:tcPr>
            <w:tcW w:w="1842" w:type="dxa"/>
            <w:vAlign w:val="center"/>
          </w:tcPr>
          <w:p w14:paraId="5C4AC0C9">
            <w:pPr>
              <w:pStyle w:val="133"/>
            </w:pPr>
            <w:r>
              <w:rPr>
                <w:rFonts w:hint="eastAsia"/>
              </w:rPr>
              <w:t>碳酸盐岩裂隙水</w:t>
            </w:r>
          </w:p>
        </w:tc>
        <w:tc>
          <w:tcPr>
            <w:tcW w:w="1985" w:type="dxa"/>
            <w:vAlign w:val="center"/>
          </w:tcPr>
          <w:p w14:paraId="3AD2BEEE">
            <w:pPr>
              <w:pStyle w:val="133"/>
            </w:pPr>
            <w:r>
              <w:rPr>
                <w:rFonts w:hint="eastAsia"/>
              </w:rPr>
              <w:t>分布于基岩山丘区泥盆系及石炭系中</w:t>
            </w:r>
          </w:p>
        </w:tc>
        <w:tc>
          <w:tcPr>
            <w:tcW w:w="2904" w:type="dxa"/>
            <w:vAlign w:val="center"/>
          </w:tcPr>
          <w:p w14:paraId="41F3771E">
            <w:pPr>
              <w:pStyle w:val="133"/>
            </w:pPr>
            <w:r>
              <w:rPr>
                <w:rFonts w:hint="eastAsia"/>
              </w:rPr>
              <w:t>富集于巴里坤山－哈尔里克山一带的高中山区，其他地带贫乏。</w:t>
            </w:r>
          </w:p>
        </w:tc>
      </w:tr>
      <w:tr w14:paraId="1E3AF2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5" w:type="dxa"/>
            <w:vMerge w:val="continue"/>
            <w:vAlign w:val="center"/>
          </w:tcPr>
          <w:p w14:paraId="55301852">
            <w:pPr>
              <w:pStyle w:val="133"/>
            </w:pPr>
          </w:p>
        </w:tc>
        <w:tc>
          <w:tcPr>
            <w:tcW w:w="1842" w:type="dxa"/>
            <w:vAlign w:val="center"/>
          </w:tcPr>
          <w:p w14:paraId="3121E332">
            <w:pPr>
              <w:pStyle w:val="133"/>
            </w:pPr>
            <w:r>
              <w:rPr>
                <w:rFonts w:hint="eastAsia"/>
              </w:rPr>
              <w:t>变质岩类裂隙水</w:t>
            </w:r>
          </w:p>
        </w:tc>
        <w:tc>
          <w:tcPr>
            <w:tcW w:w="1985" w:type="dxa"/>
            <w:vAlign w:val="center"/>
          </w:tcPr>
          <w:p w14:paraId="7C15D418">
            <w:pPr>
              <w:pStyle w:val="133"/>
            </w:pPr>
            <w:r>
              <w:rPr>
                <w:rFonts w:hint="eastAsia"/>
              </w:rPr>
              <w:t>分布于基岩山丘区侵入岩和火山岩</w:t>
            </w:r>
          </w:p>
        </w:tc>
        <w:tc>
          <w:tcPr>
            <w:tcW w:w="2904" w:type="dxa"/>
            <w:vAlign w:val="center"/>
          </w:tcPr>
          <w:p w14:paraId="6C76A23D">
            <w:pPr>
              <w:pStyle w:val="133"/>
            </w:pPr>
            <w:r>
              <w:rPr>
                <w:rFonts w:hint="eastAsia"/>
              </w:rPr>
              <w:t>富集于巴里坤山－哈尔里克山一带的中山区，其他地带贫乏。</w:t>
            </w:r>
          </w:p>
        </w:tc>
      </w:tr>
      <w:tr w14:paraId="73B2C3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45" w:type="dxa"/>
            <w:vAlign w:val="center"/>
          </w:tcPr>
          <w:p w14:paraId="56711C39">
            <w:pPr>
              <w:pStyle w:val="133"/>
            </w:pPr>
            <w:r>
              <w:rPr>
                <w:rFonts w:hint="eastAsia"/>
              </w:rPr>
              <w:t>冻结层水</w:t>
            </w:r>
          </w:p>
        </w:tc>
        <w:tc>
          <w:tcPr>
            <w:tcW w:w="1842" w:type="dxa"/>
            <w:vAlign w:val="center"/>
          </w:tcPr>
          <w:p w14:paraId="4C549E42">
            <w:pPr>
              <w:pStyle w:val="133"/>
            </w:pPr>
            <w:r>
              <w:rPr>
                <w:rFonts w:hint="eastAsia"/>
              </w:rPr>
              <w:t>/</w:t>
            </w:r>
          </w:p>
        </w:tc>
        <w:tc>
          <w:tcPr>
            <w:tcW w:w="1985" w:type="dxa"/>
            <w:vAlign w:val="center"/>
          </w:tcPr>
          <w:p w14:paraId="654824DD">
            <w:pPr>
              <w:pStyle w:val="133"/>
            </w:pPr>
            <w:r>
              <w:rPr>
                <w:rFonts w:hint="eastAsia"/>
              </w:rPr>
              <w:t>分布于高山区冰川及积雪层</w:t>
            </w:r>
          </w:p>
        </w:tc>
        <w:tc>
          <w:tcPr>
            <w:tcW w:w="2904" w:type="dxa"/>
            <w:vAlign w:val="center"/>
          </w:tcPr>
          <w:p w14:paraId="1BBB18CA">
            <w:pPr>
              <w:pStyle w:val="133"/>
            </w:pPr>
            <w:r>
              <w:rPr>
                <w:rFonts w:hint="eastAsia"/>
              </w:rPr>
              <w:t>富集于巴里坤山－哈尔里克山一带的高山区</w:t>
            </w:r>
          </w:p>
        </w:tc>
      </w:tr>
    </w:tbl>
    <w:p w14:paraId="2C009986">
      <w:pPr>
        <w:pStyle w:val="133"/>
      </w:pPr>
    </w:p>
    <w:p w14:paraId="2E0E6AA5">
      <w:pPr>
        <w:pStyle w:val="944"/>
      </w:pPr>
      <w:r>
        <w:t>区域地下水补径流排特征</w:t>
      </w:r>
    </w:p>
    <w:p w14:paraId="7A1E01EC">
      <w:pPr>
        <w:pStyle w:val="117"/>
        <w:ind w:firstLine="480"/>
      </w:pPr>
      <w:r>
        <w:t>哈密盆地地下水流动系统，从水流空间来看可分为补给区、径流区和排泄区三个部分，垂向上由第四系含水岩系的浅层含水岩组和深层含水岩组组成，该含水岩系底板为隔水的古近系新近系。它们的地下水流场特征有明显的差异，其中</w:t>
      </w:r>
      <w:r>
        <w:rPr>
          <w:rFonts w:hint="eastAsia"/>
        </w:rPr>
        <w:t>：</w:t>
      </w:r>
      <w:r>
        <w:t>第四系含水岩组中的浅层含水层具有水交替强烈，循环周期短的特点</w:t>
      </w:r>
      <w:r>
        <w:rPr>
          <w:rFonts w:hint="eastAsia"/>
        </w:rPr>
        <w:t>；</w:t>
      </w:r>
      <w:r>
        <w:t>深层承压含水层则具有水交替缓慢、中等循环周期的特点。</w:t>
      </w:r>
    </w:p>
    <w:p w14:paraId="6C3CAD99">
      <w:pPr>
        <w:pStyle w:val="117"/>
        <w:ind w:firstLine="480"/>
      </w:pPr>
      <w:r>
        <w:t>在自然变化和人类活动影响下，盆地平原区地下水的补给、排泄条件和地下水动力场发生了很大变化，因此这里主要对哈密盆地平原区地下水系统的循环与转化进行分析论述。</w:t>
      </w:r>
    </w:p>
    <w:p w14:paraId="6EDCB1F4">
      <w:pPr>
        <w:pStyle w:val="117"/>
        <w:ind w:firstLine="480"/>
      </w:pPr>
      <w:r>
        <w:t>1</w:t>
      </w:r>
      <w:r>
        <w:rPr>
          <w:rFonts w:hint="eastAsia"/>
        </w:rPr>
        <w:t>）</w:t>
      </w:r>
      <w:r>
        <w:t>地下水的补给，盆地内地下水接受大气降水、山前侧向、地表水水体转化和井灌回归补给。由于哈密盆地内气候干燥加之降水量少，大气降水对地下水的补给量极为有限，因此地下水资源的主要补给来源为后三项，即山前侧向、地表水体转化和井灌回归补给量。山前侧向补给量中包括山前各条河流的河床潜流和基岩裂隙水的补给，地表水体的转化补给主要包括河道、渠系、田间、库塘等地表水体对地下水的补给。井灌回归补给中包括机井、坎儿井及泉水对地下水的补给。</w:t>
      </w:r>
    </w:p>
    <w:p w14:paraId="23A3C2B9">
      <w:pPr>
        <w:pStyle w:val="117"/>
        <w:ind w:firstLine="480"/>
      </w:pPr>
      <w:r>
        <w:t>2</w:t>
      </w:r>
      <w:r>
        <w:rPr>
          <w:rFonts w:hint="eastAsia"/>
        </w:rPr>
        <w:t>）</w:t>
      </w:r>
      <w:r>
        <w:t>地下水的径流，受盆地地形、地貌等因素控制，径流方向基本与地形坡度的方向相</w:t>
      </w:r>
      <w:r>
        <w:rPr>
          <w:rFonts w:hint="eastAsia"/>
        </w:rPr>
        <w:t>一致</w:t>
      </w:r>
      <w:r>
        <w:t>，由北向南径流。由于山前倾斜平原为狭长条形</w:t>
      </w:r>
      <w:r>
        <w:rPr>
          <w:rFonts w:hint="eastAsia"/>
        </w:rPr>
        <w:t>，</w:t>
      </w:r>
      <w:r>
        <w:t>从径流带前缘至排泄带前缘距离不足40km</w:t>
      </w:r>
      <w:r>
        <w:rPr>
          <w:rFonts w:hint="eastAsia"/>
        </w:rPr>
        <w:t>，</w:t>
      </w:r>
      <w:r>
        <w:t>地下水径流途径短，地下水水质较好，矿化度低于1g/L。山前倾斜平原的前缘，即柳树泉至骆驼圈子一带为地下水排泄区，地层颗粒变细及地形坡度的变缓导致地下水的径流条件变差，潜水位升高。</w:t>
      </w:r>
    </w:p>
    <w:p w14:paraId="5C71E808">
      <w:pPr>
        <w:pStyle w:val="117"/>
        <w:ind w:firstLine="480"/>
      </w:pPr>
      <w:r>
        <w:t>3</w:t>
      </w:r>
      <w:r>
        <w:rPr>
          <w:rFonts w:hint="eastAsia"/>
        </w:rPr>
        <w:t>）</w:t>
      </w:r>
      <w:r>
        <w:t>地下水的排泄，盆地中地下水的排泄途径以实际开采量(包括机井、坎儿井)潜水蒸发及平原泉水排泄为主要排泄方式。其中实际开采量已成为盆地中地下水开采的主要排泄方式。哈密盆地内</w:t>
      </w:r>
      <w:r>
        <w:rPr>
          <w:rFonts w:hint="eastAsia"/>
        </w:rPr>
        <w:t>的</w:t>
      </w:r>
      <w:r>
        <w:t>戈壁带</w:t>
      </w:r>
      <w:r>
        <w:rPr>
          <w:rFonts w:hint="eastAsia"/>
        </w:rPr>
        <w:t>－</w:t>
      </w:r>
      <w:r>
        <w:t>细土带的径流</w:t>
      </w:r>
      <w:r>
        <w:rPr>
          <w:rFonts w:hint="eastAsia"/>
        </w:rPr>
        <w:t>－</w:t>
      </w:r>
      <w:r>
        <w:t>排泄区。北部山区、山前戈壁砾石带为戈壁砾石带前缘细土带，由于地形变缓</w:t>
      </w:r>
      <w:r>
        <w:rPr>
          <w:rFonts w:hint="eastAsia"/>
        </w:rPr>
        <w:t>，</w:t>
      </w:r>
      <w:r>
        <w:t>岩层颗粒变细，水平径流变弱，细土带</w:t>
      </w:r>
      <w:r>
        <w:rPr>
          <w:rFonts w:hint="eastAsia"/>
        </w:rPr>
        <w:t>－</w:t>
      </w:r>
      <w:r>
        <w:t>戈壁砾石带接触带潜水以泉水溢出及机井开采的形式排泄，在鄯善</w:t>
      </w:r>
      <w:r>
        <w:rPr>
          <w:rFonts w:hint="eastAsia"/>
        </w:rPr>
        <w:t>－</w:t>
      </w:r>
      <w:r>
        <w:t>三道岭-回庄子大断裂以南，地形坡度变缓</w:t>
      </w:r>
      <w:r>
        <w:rPr>
          <w:rFonts w:hint="eastAsia"/>
        </w:rPr>
        <w:t>，</w:t>
      </w:r>
      <w:r>
        <w:t>地下水埋深变浅，地下水运动减弱，以垂直运动为主，并以蒸发、植物蒸腾形式排泄。</w:t>
      </w:r>
    </w:p>
    <w:p w14:paraId="18DF56EC">
      <w:pPr>
        <w:pStyle w:val="5"/>
      </w:pPr>
      <w:r>
        <w:t>地下水水化学特征</w:t>
      </w:r>
    </w:p>
    <w:p w14:paraId="4B16514F">
      <w:pPr>
        <w:ind w:firstLine="480"/>
      </w:pPr>
      <w:r>
        <w:t>哈密盆地内，山区地下水化学成分的形成主要以离子交替作用为主。即由高中山区向低山丘陵区，地下水化学类型依次由HCO</w:t>
      </w:r>
      <w:r>
        <w:rPr>
          <w:vertAlign w:val="subscript"/>
        </w:rPr>
        <w:t>3</w:t>
      </w:r>
      <w:r>
        <w:t>型向SO</w:t>
      </w:r>
      <w:r>
        <w:rPr>
          <w:vertAlign w:val="subscript"/>
        </w:rPr>
        <w:t>4</w:t>
      </w:r>
      <w:r>
        <w:t>型及Cl型演变。</w:t>
      </w:r>
    </w:p>
    <w:p w14:paraId="323A18AB">
      <w:pPr>
        <w:ind w:firstLine="480"/>
      </w:pPr>
      <w:r>
        <w:t>山区地下水</w:t>
      </w:r>
      <w:r>
        <w:rPr>
          <w:rFonts w:hint="eastAsia"/>
        </w:rPr>
        <w:t>：</w:t>
      </w:r>
      <w:r>
        <w:t>巴里坤山</w:t>
      </w:r>
      <w:r>
        <w:rPr>
          <w:rFonts w:hint="eastAsia"/>
        </w:rPr>
        <w:t>－</w:t>
      </w:r>
      <w:r>
        <w:t>喀尔里克山海拔3000m以上的多年冻土区主要为冻结层上水，地下水化学类型多为HCO</w:t>
      </w:r>
      <w:r>
        <w:rPr>
          <w:vertAlign w:val="subscript"/>
        </w:rPr>
        <w:t>3</w:t>
      </w:r>
      <w:r>
        <w:t>型，溶解性总固体一般较低。巴里坤山</w:t>
      </w:r>
      <w:r>
        <w:rPr>
          <w:rFonts w:hint="eastAsia"/>
        </w:rPr>
        <w:t>－</w:t>
      </w:r>
      <w:r>
        <w:t>喀尔里克山海拔3000m以下的山区地下水主要为基岩裂隙水，水化学类型多为HCO3型。哈密盆地南部的沙尔湖、雅满苏低山丘陵区，七角井盆地和镜儿泉的低中山区，分布着块状或层状的石炭系基岩裂隙水，水化学作用以溶滤为主，地下水化学类型多呈SO</w:t>
      </w:r>
      <w:r>
        <w:rPr>
          <w:vertAlign w:val="subscript"/>
        </w:rPr>
        <w:t>4</w:t>
      </w:r>
      <w:r>
        <w:rPr>
          <w:rFonts w:hint="eastAsia"/>
        </w:rPr>
        <w:t>·</w:t>
      </w:r>
      <w:r>
        <w:t>Cl型、Cl·SO</w:t>
      </w:r>
      <w:r>
        <w:rPr>
          <w:vertAlign w:val="subscript"/>
        </w:rPr>
        <w:t>4</w:t>
      </w:r>
      <w:r>
        <w:t>型和Cl型，溶解性总固体多大于3g/L</w:t>
      </w:r>
      <w:r>
        <w:rPr>
          <w:rFonts w:hint="eastAsia"/>
        </w:rPr>
        <w:t>，</w:t>
      </w:r>
      <w:r>
        <w:t>甚至高达101g/L。</w:t>
      </w:r>
    </w:p>
    <w:p w14:paraId="79D13135">
      <w:pPr>
        <w:ind w:firstLine="480"/>
      </w:pPr>
      <w:r>
        <w:t>平原区地下水</w:t>
      </w:r>
      <w:r>
        <w:rPr>
          <w:rFonts w:hint="eastAsia"/>
        </w:rPr>
        <w:t>：</w:t>
      </w:r>
      <w:r>
        <w:t>哈密盆地内，巴里坤山～喀尔里克山南麓至盆地中部和七角井盆地山前地带，含水层岩性主要为粗颗粒的砂砾石层，地下水化学作用主要以离子交替吸附作用为主，水化学类型为HCO</w:t>
      </w:r>
      <w:r>
        <w:rPr>
          <w:vertAlign w:val="subscript"/>
        </w:rPr>
        <w:t>3</w:t>
      </w:r>
      <w:r>
        <w:t>型</w:t>
      </w:r>
      <w:r>
        <w:rPr>
          <w:rFonts w:hint="eastAsia"/>
        </w:rPr>
        <w:t>，</w:t>
      </w:r>
      <w:r>
        <w:t>溶解性总固体小于0.3g/L。大泉湾</w:t>
      </w:r>
      <w:r>
        <w:rPr>
          <w:rFonts w:hint="eastAsia"/>
        </w:rPr>
        <w:t>－</w:t>
      </w:r>
      <w:r>
        <w:t>骆驼圈子</w:t>
      </w:r>
      <w:r>
        <w:rPr>
          <w:rFonts w:hint="eastAsia"/>
        </w:rPr>
        <w:t>－</w:t>
      </w:r>
      <w:r>
        <w:t>东庙尔沟</w:t>
      </w:r>
      <w:r>
        <w:rPr>
          <w:rFonts w:hint="eastAsia"/>
        </w:rPr>
        <w:t>一</w:t>
      </w:r>
      <w:r>
        <w:t>带</w:t>
      </w:r>
      <w:r>
        <w:rPr>
          <w:rFonts w:hint="eastAsia"/>
        </w:rPr>
        <w:t>，</w:t>
      </w:r>
      <w:r>
        <w:t>水化学类型由HCO3型过渡为HCO</w:t>
      </w:r>
      <w:r>
        <w:rPr>
          <w:vertAlign w:val="subscript"/>
        </w:rPr>
        <w:t>3</w:t>
      </w:r>
      <w:r>
        <w:t>·S0</w:t>
      </w:r>
      <w:r>
        <w:rPr>
          <w:vertAlign w:val="subscript"/>
        </w:rPr>
        <w:t>4</w:t>
      </w:r>
      <w:r>
        <w:t>型，溶解性总固体小于0.5g/L。哈密盆地骆驼圈子、烟墩站、梧桐窝子泉地下水化学作用以溶滤混合</w:t>
      </w:r>
      <w:r>
        <w:rPr>
          <w:rFonts w:hint="eastAsia"/>
        </w:rPr>
        <w:t>－</w:t>
      </w:r>
      <w:r>
        <w:t>浓缩为主，地下水化学类型由北部的HCO</w:t>
      </w:r>
      <w:r>
        <w:rPr>
          <w:vertAlign w:val="subscript"/>
        </w:rPr>
        <w:t>3</w:t>
      </w:r>
      <w:r>
        <w:t>·SO4型向南过渡为S0</w:t>
      </w:r>
      <w:r>
        <w:rPr>
          <w:vertAlign w:val="subscript"/>
        </w:rPr>
        <w:t>4</w:t>
      </w:r>
      <w:r>
        <w:t>·HCO</w:t>
      </w:r>
      <w:r>
        <w:rPr>
          <w:vertAlign w:val="subscript"/>
        </w:rPr>
        <w:t>3</w:t>
      </w:r>
      <w:r>
        <w:t>型及Cl·S0</w:t>
      </w:r>
      <w:r>
        <w:rPr>
          <w:vertAlign w:val="subscript"/>
        </w:rPr>
        <w:t>4</w:t>
      </w:r>
      <w:r>
        <w:t>型，溶解性总固体0.3～3.89g/L。</w:t>
      </w:r>
    </w:p>
    <w:p w14:paraId="6959BD55">
      <w:pPr>
        <w:ind w:firstLine="480"/>
      </w:pPr>
      <w:r>
        <w:t>G312国道以南的细土平原区和七角井盆地中部地区，地下水为双层及多层结构潜水</w:t>
      </w:r>
      <w:r>
        <w:rPr>
          <w:rFonts w:hint="eastAsia"/>
        </w:rPr>
        <w:t>－</w:t>
      </w:r>
      <w:r>
        <w:t>承压水。水化学作用以溶滤</w:t>
      </w:r>
      <w:r>
        <w:rPr>
          <w:rFonts w:hint="eastAsia"/>
        </w:rPr>
        <w:t>－</w:t>
      </w:r>
      <w:r>
        <w:t>混合_浓缩作用为主，水化学类型由G312线北部的HCO</w:t>
      </w:r>
      <w:r>
        <w:rPr>
          <w:vertAlign w:val="subscript"/>
        </w:rPr>
        <w:t>3</w:t>
      </w:r>
      <w:r>
        <w:t>·SO</w:t>
      </w:r>
      <w:r>
        <w:rPr>
          <w:vertAlign w:val="subscript"/>
        </w:rPr>
        <w:t>4</w:t>
      </w:r>
      <w:r>
        <w:t>型水逐渐</w:t>
      </w:r>
      <w:r>
        <w:rPr>
          <w:rFonts w:hint="eastAsia"/>
        </w:rPr>
        <w:t>过渡</w:t>
      </w:r>
      <w:r>
        <w:t>至红星二场</w:t>
      </w:r>
      <w:r>
        <w:rPr>
          <w:rFonts w:hint="eastAsia"/>
        </w:rPr>
        <w:t>－</w:t>
      </w:r>
      <w:r>
        <w:t>回城乡</w:t>
      </w:r>
      <w:r>
        <w:rPr>
          <w:rFonts w:hint="eastAsia"/>
        </w:rPr>
        <w:t>－</w:t>
      </w:r>
      <w:r>
        <w:t>花园乡</w:t>
      </w:r>
      <w:r>
        <w:rPr>
          <w:rFonts w:hint="eastAsia"/>
        </w:rPr>
        <w:t>－</w:t>
      </w:r>
      <w:r>
        <w:t>红星四场一带的SO</w:t>
      </w:r>
      <w:r>
        <w:rPr>
          <w:vertAlign w:val="subscript"/>
        </w:rPr>
        <w:t>4</w:t>
      </w:r>
      <w:r>
        <w:rPr>
          <w:rFonts w:hint="eastAsia"/>
        </w:rPr>
        <w:t>·</w:t>
      </w:r>
      <w:r>
        <w:t>HCO</w:t>
      </w:r>
      <w:r>
        <w:rPr>
          <w:vertAlign w:val="subscript"/>
        </w:rPr>
        <w:t>3</w:t>
      </w:r>
      <w:r>
        <w:t>型及Cl·SO4型水</w:t>
      </w:r>
      <w:r>
        <w:rPr>
          <w:rFonts w:hint="eastAsia"/>
        </w:rPr>
        <w:t>，</w:t>
      </w:r>
      <w:r>
        <w:t>溶解性总固体也由0.3g/L</w:t>
      </w:r>
      <w:r>
        <w:rPr>
          <w:rFonts w:hint="eastAsia"/>
        </w:rPr>
        <w:t>过渡</w:t>
      </w:r>
      <w:r>
        <w:t>为大于3g/L。至五堡一带，地下水埋深变浅，水化学类型变为SO4·Cl型，溶解性总固体在1.3～2.9g/L之间。</w:t>
      </w:r>
    </w:p>
    <w:p w14:paraId="32C1421E">
      <w:pPr>
        <w:ind w:firstLine="480"/>
      </w:pPr>
      <w:r>
        <w:t>哈密盆地中部的细土平原区、镜儿泉中部平原区分布有碎屑岩类裂隙孔隙水。地</w:t>
      </w:r>
      <w:r>
        <w:rPr>
          <w:rFonts w:hint="eastAsia"/>
        </w:rPr>
        <w:t>下</w:t>
      </w:r>
      <w:r>
        <w:t>水化学类型主要有HCO</w:t>
      </w:r>
      <w:r>
        <w:rPr>
          <w:vertAlign w:val="subscript"/>
        </w:rPr>
        <w:t>3</w:t>
      </w:r>
      <w:r>
        <w:t>型、HCO</w:t>
      </w:r>
      <w:r>
        <w:rPr>
          <w:vertAlign w:val="subscript"/>
        </w:rPr>
        <w:t>3</w:t>
      </w:r>
      <w:r>
        <w:t>·SO</w:t>
      </w:r>
      <w:r>
        <w:rPr>
          <w:vertAlign w:val="subscript"/>
        </w:rPr>
        <w:t>4</w:t>
      </w:r>
      <w:r>
        <w:t>型</w:t>
      </w:r>
      <w:r>
        <w:rPr>
          <w:rFonts w:hint="eastAsia"/>
        </w:rPr>
        <w:t>、</w:t>
      </w:r>
      <w:r>
        <w:t>S0</w:t>
      </w:r>
      <w:r>
        <w:rPr>
          <w:vertAlign w:val="subscript"/>
        </w:rPr>
        <w:t>4</w:t>
      </w:r>
      <w:r>
        <w:t>·Cl型和Cl·SO</w:t>
      </w:r>
      <w:r>
        <w:rPr>
          <w:vertAlign w:val="subscript"/>
        </w:rPr>
        <w:t>4</w:t>
      </w:r>
      <w:r>
        <w:t>型4种，溶解性总固体为1～10g/L。</w:t>
      </w:r>
    </w:p>
    <w:p w14:paraId="3B124361">
      <w:pPr>
        <w:ind w:firstLine="480"/>
      </w:pPr>
      <w:r>
        <w:t>可以看出，哈密盆地碎屑岩类裂隙孔隙水由平原中部至南部边缘</w:t>
      </w:r>
      <w:r>
        <w:rPr>
          <w:rFonts w:hint="eastAsia"/>
        </w:rPr>
        <w:t>，</w:t>
      </w:r>
      <w:r>
        <w:t>地下水化学类型呈带状分布。HCO</w:t>
      </w:r>
      <w:r>
        <w:rPr>
          <w:vertAlign w:val="subscript"/>
        </w:rPr>
        <w:t>3</w:t>
      </w:r>
      <w:r>
        <w:t>型水分布在三道岭</w:t>
      </w:r>
      <w:r>
        <w:rPr>
          <w:rFonts w:hint="eastAsia"/>
        </w:rPr>
        <w:t>－</w:t>
      </w:r>
      <w:r>
        <w:t>带</w:t>
      </w:r>
      <w:r>
        <w:rPr>
          <w:rFonts w:hint="eastAsia"/>
        </w:rPr>
        <w:t>，</w:t>
      </w:r>
      <w:r>
        <w:t>HCO</w:t>
      </w:r>
      <w:r>
        <w:rPr>
          <w:vertAlign w:val="subscript"/>
        </w:rPr>
        <w:t>3</w:t>
      </w:r>
      <w:r>
        <w:t>·SO</w:t>
      </w:r>
      <w:r>
        <w:rPr>
          <w:vertAlign w:val="subscript"/>
        </w:rPr>
        <w:t>4</w:t>
      </w:r>
      <w:r>
        <w:t>型水分布在二堡、</w:t>
      </w:r>
      <w:r>
        <w:rPr>
          <w:rFonts w:hint="eastAsia"/>
        </w:rPr>
        <w:t>一</w:t>
      </w:r>
      <w:r>
        <w:t>碗泉、哈密市</w:t>
      </w:r>
      <w:r>
        <w:rPr>
          <w:rFonts w:hint="eastAsia"/>
        </w:rPr>
        <w:t>－</w:t>
      </w:r>
      <w:r>
        <w:t>骆驼圈子</w:t>
      </w:r>
      <w:r>
        <w:rPr>
          <w:rFonts w:hint="eastAsia"/>
        </w:rPr>
        <w:t>一</w:t>
      </w:r>
      <w:r>
        <w:t>带</w:t>
      </w:r>
      <w:r>
        <w:rPr>
          <w:rFonts w:hint="eastAsia"/>
        </w:rPr>
        <w:t>，</w:t>
      </w:r>
      <w:r>
        <w:t>SO</w:t>
      </w:r>
      <w:r>
        <w:rPr>
          <w:vertAlign w:val="subscript"/>
        </w:rPr>
        <w:t>4</w:t>
      </w:r>
      <w:r>
        <w:t>·Cl型水分布在十三间房、大南湖、梧桐窝子</w:t>
      </w:r>
      <w:r>
        <w:rPr>
          <w:rFonts w:hint="eastAsia"/>
        </w:rPr>
        <w:t>一</w:t>
      </w:r>
      <w:r>
        <w:t>带，Cl·S0</w:t>
      </w:r>
      <w:r>
        <w:rPr>
          <w:vertAlign w:val="subscript"/>
        </w:rPr>
        <w:t>4</w:t>
      </w:r>
      <w:r>
        <w:t>型水分布在沙尔湖、镜儿泉一带。</w:t>
      </w:r>
    </w:p>
    <w:p w14:paraId="46AFA8D8">
      <w:pPr>
        <w:pStyle w:val="5"/>
        <w:rPr>
          <w:rFonts w:hint="eastAsia" w:hAnsi="宋体"/>
        </w:rPr>
      </w:pPr>
      <w:r>
        <w:rPr>
          <w:rFonts w:hint="eastAsia" w:hAnsi="宋体"/>
        </w:rPr>
        <w:t>区域地下水</w:t>
      </w:r>
      <w:r>
        <w:rPr>
          <w:rFonts w:hAnsi="宋体"/>
        </w:rPr>
        <w:t>特性小结</w:t>
      </w:r>
    </w:p>
    <w:p w14:paraId="5BED40AE">
      <w:pPr>
        <w:ind w:firstLine="480"/>
      </w:pPr>
      <w:r>
        <w:t>哈密盆地为典型的内陆干旱盆地</w:t>
      </w:r>
      <w:r>
        <w:rPr>
          <w:rFonts w:hint="eastAsia"/>
        </w:rPr>
        <w:t>，</w:t>
      </w:r>
      <w:r>
        <w:t>水文地质条件具有内陆干旱盆地的一般规律</w:t>
      </w:r>
      <w:r>
        <w:rPr>
          <w:rFonts w:hint="eastAsia"/>
        </w:rPr>
        <w:t>，</w:t>
      </w:r>
      <w:r>
        <w:t>在山前倾斜砾质平原区为单一结构的第四系松散岩类孔</w:t>
      </w:r>
      <w:r>
        <w:rPr>
          <w:rFonts w:hint="eastAsia"/>
        </w:rPr>
        <w:t>隙潜水分布区，中部缓倾斜细土平原区为第四系松散岩类孔隙潜水、承压水的多层结构区和古近系</w:t>
      </w:r>
      <w:r>
        <w:t>-新近系碎屑岩类裂隙孔隙水分布区。</w:t>
      </w:r>
    </w:p>
    <w:p w14:paraId="37D747BA">
      <w:pPr>
        <w:ind w:firstLine="480"/>
      </w:pPr>
      <w:r>
        <w:t>哈密盆地潜水主要接受北部巴里坤山、哈尔里克山的冰川融水及少量大气降水补给，径流总体方向由北向南，排泄以侧向径流、机井开采、坎儿井取水、蒸发等方式排泄。山前水化学类型以HCO</w:t>
      </w:r>
      <w:r>
        <w:rPr>
          <w:vertAlign w:val="subscript"/>
        </w:rPr>
        <w:t>3</w:t>
      </w:r>
      <w:r>
        <w:t>或SO</w:t>
      </w:r>
      <w:r>
        <w:rPr>
          <w:vertAlign w:val="subscript"/>
        </w:rPr>
        <w:t>4</w:t>
      </w:r>
      <w:r>
        <w:t>型为主，南缓倾斜土质平原水化学类型以SO</w:t>
      </w:r>
      <w:r>
        <w:rPr>
          <w:vertAlign w:val="subscript"/>
        </w:rPr>
        <w:t>4</w:t>
      </w:r>
      <w:r>
        <w:t>型、Cl型为主。</w:t>
      </w:r>
    </w:p>
    <w:p w14:paraId="58E76F5A">
      <w:pPr>
        <w:pStyle w:val="138"/>
        <w:rPr>
          <w:rFonts w:hint="eastAsia"/>
        </w:rPr>
      </w:pPr>
      <w:r>
        <w:rPr>
          <w:rFonts w:hint="eastAsia"/>
        </w:rPr>
        <w:t>场地地层及水文地质条件</w:t>
      </w:r>
    </w:p>
    <w:p w14:paraId="41A7C628">
      <w:pPr>
        <w:pStyle w:val="944"/>
      </w:pPr>
      <w:bookmarkStart w:id="492" w:name="_Toc310675144"/>
      <w:bookmarkStart w:id="493" w:name="_Toc344110703"/>
      <w:bookmarkStart w:id="494" w:name="_Toc344110801"/>
      <w:r>
        <w:t>含水层特征</w:t>
      </w:r>
    </w:p>
    <w:p w14:paraId="5C69CD0A">
      <w:pPr>
        <w:ind w:firstLine="480"/>
      </w:pPr>
      <w:r>
        <w:t>伊州地下水资源主要分布于哈尔里克山山前冲洪积扇，根据地质时代、岩性、沉积物成因类型，水力性质及其岩石的透水性，地下水类型主要为第四系松散岩类孔隙潜水，含水层岩性主要为砂砾石，厚度一般在30</w:t>
      </w:r>
      <w:r>
        <w:rPr>
          <w:rFonts w:hint="eastAsia"/>
        </w:rPr>
        <w:t>～</w:t>
      </w:r>
      <w:r>
        <w:t>60m，其中心位于边关墩沉降中心，第四系含水层厚度大于100m，具有较大的地下水储存空间，其第四系含水层富水性均大于3000m</w:t>
      </w:r>
      <w:r>
        <w:rPr>
          <w:vertAlign w:val="superscript"/>
        </w:rPr>
        <w:t>3</w:t>
      </w:r>
      <w:r>
        <w:t>/d；第三系碎屑岩类孔隙一裂隙承压水，含水层岩性为砂岩、砾岩，含水层厚度30</w:t>
      </w:r>
      <w:r>
        <w:rPr>
          <w:rFonts w:hint="eastAsia"/>
        </w:rPr>
        <w:t>～</w:t>
      </w:r>
      <w:r>
        <w:t>60m富水性大于1000m</w:t>
      </w:r>
      <w:r>
        <w:rPr>
          <w:vertAlign w:val="superscript"/>
        </w:rPr>
        <w:t>3</w:t>
      </w:r>
      <w:r>
        <w:t>/d。</w:t>
      </w:r>
    </w:p>
    <w:p w14:paraId="61EBD0AC">
      <w:pPr>
        <w:ind w:firstLine="480"/>
      </w:pPr>
      <w:r>
        <w:t>北部山前的冲洪积平原，自山前向细土平原区第四系岩性由卵砾石过渡为砂砾石与亚砂土、亚粘土层，厚度由300</w:t>
      </w:r>
      <w:r>
        <w:rPr>
          <w:rFonts w:hint="eastAsia"/>
        </w:rPr>
        <w:t>～</w:t>
      </w:r>
      <w:r>
        <w:t>400m，过渡到小于20m。地下水位由大于60m变至1</w:t>
      </w:r>
      <w:r>
        <w:rPr>
          <w:rFonts w:hint="eastAsia"/>
        </w:rPr>
        <w:t>～</w:t>
      </w:r>
      <w:r>
        <w:t>5m，个别地段自流。地下水富水性由单井涌水量5000~3000m</w:t>
      </w:r>
      <w:r>
        <w:rPr>
          <w:vertAlign w:val="superscript"/>
        </w:rPr>
        <w:t>3</w:t>
      </w:r>
      <w:r>
        <w:t>/d，过渡到1000~3000m</w:t>
      </w:r>
      <w:r>
        <w:rPr>
          <w:vertAlign w:val="superscript"/>
        </w:rPr>
        <w:t>3</w:t>
      </w:r>
      <w:r>
        <w:t>/d及小于100m</w:t>
      </w:r>
      <w:r>
        <w:rPr>
          <w:vertAlign w:val="superscript"/>
        </w:rPr>
        <w:t>3</w:t>
      </w:r>
      <w:r>
        <w:t>/d。水质由好变差</w:t>
      </w:r>
      <w:r>
        <w:rPr>
          <w:rFonts w:hint="eastAsia"/>
        </w:rPr>
        <w:t>，</w:t>
      </w:r>
      <w:r>
        <w:t>矿化度由0.3g/L过渡为0.5~lg/L或大于3g/L。</w:t>
      </w:r>
    </w:p>
    <w:p w14:paraId="2EB140BC">
      <w:pPr>
        <w:ind w:firstLine="480"/>
      </w:pPr>
      <w:r>
        <w:t>第四系潜水及第三系浅层承压水主要接受北部山区侧向流入，干渠入渗、河道潜流、河道洪流、面洪入渗、支、斗渠入渗、田渗补给、地下水回归入渗等补给；在312国道以北的平原区中上部，含水层岩性为砂砾石、卵砾石、透水性极强，地下水循环交替强烈，地下水以平缓的坡度向下运移，水力坡度为5~8.5‰。兰新公路以南随含水层颗粒变细和细颗粒夹层透镜体的出现，粗颗粒的砾石层和砂砾石层趋于消失，透水性和富水性减弱，水循环交替滞缓，径流条件差。越往南，颗粒越细，地下水径流条件越差，地下水排泄主要为泉水溢出、蒸发、蒸腾、人工开采等。</w:t>
      </w:r>
    </w:p>
    <w:p w14:paraId="610D3580">
      <w:pPr>
        <w:pStyle w:val="944"/>
      </w:pPr>
      <w:r>
        <w:t>区域地下水动态</w:t>
      </w:r>
    </w:p>
    <w:p w14:paraId="52CA5B19">
      <w:pPr>
        <w:ind w:firstLine="480"/>
      </w:pPr>
      <w:r>
        <w:t>采用位于哈密市与红星一场之间的一眼长观井G10的长观资料来说明本区的地下水动态特征。G10长观井的地下水埋深在1990年</w:t>
      </w:r>
      <w:r>
        <w:rPr>
          <w:rFonts w:hint="eastAsia"/>
        </w:rPr>
        <w:t>—</w:t>
      </w:r>
      <w:r>
        <w:t>2010年近20年的时间里持续增大，尤其是在2004年以后，地下水埋深曲线出现了拐点，地下水的年际变幅加大，1990年</w:t>
      </w:r>
      <w:r>
        <w:rPr>
          <w:rFonts w:hint="eastAsia"/>
        </w:rPr>
        <w:t>—</w:t>
      </w:r>
      <w:r>
        <w:t>2004年，地下水埋深下降7.66m，平均下降速率0.55m/a；2004年</w:t>
      </w:r>
      <w:r>
        <w:rPr>
          <w:rFonts w:hint="eastAsia"/>
        </w:rPr>
        <w:t>—</w:t>
      </w:r>
      <w:r>
        <w:t>2010年，地下水埋深下降6.26m，平均下降速率1.25m/a；2004年以后地下水位下降速率2004年前增幅超过1 倍。</w:t>
      </w:r>
    </w:p>
    <w:p w14:paraId="3815A1A1">
      <w:pPr>
        <w:ind w:firstLine="480"/>
      </w:pPr>
      <w:r>
        <w:t>分析盆地内地下水埋深年内动态可知：地下水水位最小埋深集中在1~3月，随着4月机井的开采，地下水埋深开始增大；8~10月地下水埋深达到年内最大；11</w:t>
      </w:r>
      <w:r>
        <w:rPr>
          <w:rFonts w:hint="eastAsia"/>
        </w:rPr>
        <w:t>—</w:t>
      </w:r>
      <w:r>
        <w:t>12月机井停抽，地下水埋深开始减小，直到翌年3月。</w:t>
      </w:r>
    </w:p>
    <w:p w14:paraId="30E66545">
      <w:pPr>
        <w:pStyle w:val="944"/>
      </w:pPr>
      <w:r>
        <w:t>地下水的赋存及分布特征</w:t>
      </w:r>
    </w:p>
    <w:p w14:paraId="11C7E25C">
      <w:pPr>
        <w:ind w:firstLine="480"/>
      </w:pPr>
      <w:r>
        <w:rPr>
          <w:rFonts w:hint="eastAsia"/>
        </w:rPr>
        <w:t>哈密高新区</w:t>
      </w:r>
      <w:r>
        <w:t>化工产业集中区所在南部循环经济产业园位于喀尔里克山南石城子河流域冲洪积细土平原中下部，为地下水的排泄区，地下水赋存于第四系松散冲洪积物孔隙中，形成第四系孔隙潜水及承压含水层组的双层结构含水层，该处地层岩性以细颗粒物质，含水层岩性为：第四系松散层厚度较薄，岩性以亚砂土，含砾亚砂土为主。</w:t>
      </w:r>
    </w:p>
    <w:p w14:paraId="3C43922D">
      <w:pPr>
        <w:pStyle w:val="944"/>
      </w:pPr>
      <w:r>
        <w:t>含水层特征及富水性</w:t>
      </w:r>
    </w:p>
    <w:p w14:paraId="074BAF61">
      <w:pPr>
        <w:ind w:firstLine="480"/>
      </w:pPr>
      <w:r>
        <w:t>南部循环经济产业园内第四系厚度35～40m，水位埋深约5m，含水层厚度30～35m，潜水含水层岩性主要为中细砂。地下水径流速度缓慢，潜水含水层渗透系数5m/d，因第四系潜水含水层厚度较薄，水量中等，单井涌水量</w:t>
      </w:r>
      <w:r>
        <w:rPr>
          <w:rFonts w:hint="eastAsia"/>
        </w:rPr>
        <w:t>（</w:t>
      </w:r>
      <w:r>
        <w:t>换算为井径12寸、降深5m</w:t>
      </w:r>
      <w:r>
        <w:rPr>
          <w:rFonts w:hint="eastAsia"/>
        </w:rPr>
        <w:t>）</w:t>
      </w:r>
      <w:r>
        <w:t>为100～1000m³/d，承压含水层水量贫乏，单井涌水量</w:t>
      </w:r>
      <w:r>
        <w:rPr>
          <w:rFonts w:hint="eastAsia"/>
        </w:rPr>
        <w:t>（</w:t>
      </w:r>
      <w:r>
        <w:t>换算为井径12寸、降深5m</w:t>
      </w:r>
      <w:r>
        <w:rPr>
          <w:rFonts w:hint="eastAsia"/>
        </w:rPr>
        <w:t>）</w:t>
      </w:r>
      <w:r>
        <w:t>小于100m³/d，渗透系数4～6m/d。水文地质图见图5.3-1。</w:t>
      </w:r>
    </w:p>
    <w:p w14:paraId="7D93C658">
      <w:pPr>
        <w:pStyle w:val="944"/>
      </w:pPr>
      <w:r>
        <w:t>地下水的补给、径流、排泄条件</w:t>
      </w:r>
    </w:p>
    <w:p w14:paraId="292D2152">
      <w:pPr>
        <w:pStyle w:val="117"/>
        <w:ind w:firstLine="480"/>
        <w:rPr>
          <w:rFonts w:cs="Times New Roman"/>
        </w:rPr>
      </w:pPr>
      <w:r>
        <w:rPr>
          <w:rFonts w:cs="Times New Roman"/>
        </w:rPr>
        <w:t>（1）补给：南部循环经济产业园地下水的补给来源主要为上游地下水的侧向流入补给，其次为灌溉水垂向入渗补给。因该区降水量小蒸发大，无法形成有效降水量，对评价区地下水基本没有补给。</w:t>
      </w:r>
    </w:p>
    <w:p w14:paraId="43640A4D">
      <w:pPr>
        <w:pStyle w:val="117"/>
        <w:ind w:firstLine="480"/>
        <w:rPr>
          <w:rFonts w:cs="Times New Roman"/>
        </w:rPr>
      </w:pPr>
      <w:r>
        <w:rPr>
          <w:rFonts w:cs="Times New Roman"/>
        </w:rPr>
        <w:t>（2）径流：地下水的径流条件主要受地形地貌条件和含水介质所控制，区域内地下水整体流向为N20°E方向向 S20°W 流动。南部循环经济产业园流向与地形走向基本一致，水力坡度4‰，渗透系数5m/d，地下水流场较为简单。</w:t>
      </w:r>
    </w:p>
    <w:p w14:paraId="6FEBF8B2">
      <w:pPr>
        <w:pStyle w:val="117"/>
        <w:ind w:firstLine="480"/>
        <w:rPr>
          <w:rFonts w:cs="Times New Roman"/>
        </w:rPr>
      </w:pPr>
      <w:r>
        <w:rPr>
          <w:rFonts w:cs="Times New Roman"/>
        </w:rPr>
        <w:t>（3）区内地下水的排泄方式为地下水侧向流出排泄和人工开采。</w:t>
      </w:r>
    </w:p>
    <w:p w14:paraId="4AB0C4DE">
      <w:pPr>
        <w:pStyle w:val="944"/>
      </w:pPr>
      <w:r>
        <w:t>地下水水化学特征</w:t>
      </w:r>
    </w:p>
    <w:p w14:paraId="7A7D4A64">
      <w:pPr>
        <w:ind w:firstLine="480"/>
      </w:pPr>
      <w:r>
        <w:t>评价区地下水主要的补给来源为位于北部石城子沟河水的入渗，石城子沟水质较好，南部地下水化学类型为SO</w:t>
      </w:r>
      <w:r>
        <w:rPr>
          <w:vertAlign w:val="subscript"/>
        </w:rPr>
        <w:t>4</w:t>
      </w:r>
      <w:r>
        <w:t>-Ca-Na 型水，地下水矿化度均小于1g/L。</w:t>
      </w:r>
    </w:p>
    <w:p w14:paraId="339BE50D">
      <w:pPr>
        <w:pStyle w:val="944"/>
      </w:pPr>
      <w:r>
        <w:t>地下水动态</w:t>
      </w:r>
    </w:p>
    <w:p w14:paraId="7EAEEDF9">
      <w:pPr>
        <w:ind w:firstLine="480"/>
      </w:pPr>
      <w:r>
        <w:t>南部循环经济产业园地下水位动态为开采——蒸发型，地下水位动态变化与上游及周边地区过量开采地下水有直接关系。地下水位呈逐年连续性下降。</w:t>
      </w:r>
    </w:p>
    <w:bookmarkEnd w:id="492"/>
    <w:bookmarkEnd w:id="493"/>
    <w:bookmarkEnd w:id="494"/>
    <w:p w14:paraId="17EC69E3">
      <w:pPr>
        <w:pStyle w:val="138"/>
        <w:rPr>
          <w:rFonts w:hint="eastAsia"/>
        </w:rPr>
      </w:pPr>
      <w:r>
        <w:rPr>
          <w:rFonts w:hint="eastAsia"/>
        </w:rPr>
        <w:t>废水污染影响途径及影响判定</w:t>
      </w:r>
    </w:p>
    <w:p w14:paraId="63A6E9D4">
      <w:pPr>
        <w:pStyle w:val="117"/>
        <w:ind w:firstLine="512"/>
      </w:pPr>
      <w:r>
        <w:rPr>
          <w:rFonts w:hint="eastAsia"/>
          <w:spacing w:val="8"/>
        </w:rPr>
        <w:t>正常工况下，项目产生的</w:t>
      </w:r>
      <w:r>
        <w:rPr>
          <w:rFonts w:hint="eastAsia"/>
        </w:rPr>
        <w:t>剩余氨水、焚烧炉烟气脱硫废水、VOCs处理喷淋废水经预处理后焚烧处理；</w:t>
      </w:r>
      <w:r>
        <w:t>余热发电系统排</w:t>
      </w:r>
      <w:r>
        <w:rPr>
          <w:rFonts w:hint="eastAsia"/>
        </w:rPr>
        <w:t>水、软水</w:t>
      </w:r>
      <w:r>
        <w:t>制备浓水</w:t>
      </w:r>
      <w:r>
        <w:rPr>
          <w:rFonts w:hint="eastAsia"/>
        </w:rPr>
        <w:t>、冷却水系统排污水处理后用于厂区绿化；生活污水依托现有生活污水处理站处理后达到《城市污水再生利用 城市杂用水水质》（GB/T18920-2020）“绿化用水”标准后，部分用于绿化、煤场和贮焦场洒水抑尘，部分排至园区污水处理厂。</w:t>
      </w:r>
    </w:p>
    <w:p w14:paraId="156544FB">
      <w:pPr>
        <w:pStyle w:val="117"/>
        <w:ind w:firstLine="480"/>
      </w:pPr>
      <w:r>
        <w:t>非正常状况下，</w:t>
      </w:r>
      <w:r>
        <w:rPr>
          <w:rFonts w:hint="eastAsia"/>
        </w:rPr>
        <w:t>考虑剩余氨水罐罐底发生</w:t>
      </w:r>
      <w:r>
        <w:t>破损，</w:t>
      </w:r>
      <w:r>
        <w:rPr>
          <w:rFonts w:hint="eastAsia"/>
        </w:rPr>
        <w:t>剩余氨水</w:t>
      </w:r>
      <w:r>
        <w:t>存在着持续泄漏污染地下水的可能性。</w:t>
      </w:r>
    </w:p>
    <w:p w14:paraId="6914184A">
      <w:pPr>
        <w:pStyle w:val="117"/>
        <w:ind w:firstLine="480"/>
      </w:pPr>
      <w:r>
        <w:t>本项目地下水污染途径识别见</w:t>
      </w:r>
      <w:r>
        <w:rPr>
          <w:rFonts w:hint="eastAsia"/>
        </w:rPr>
        <w:t>表4</w:t>
      </w:r>
      <w:r>
        <w:t>.4-1。</w:t>
      </w:r>
    </w:p>
    <w:p w14:paraId="42F4B72F">
      <w:pPr>
        <w:pStyle w:val="118"/>
      </w:pPr>
      <w:r>
        <w:rPr>
          <w:rFonts w:hint="eastAsia"/>
        </w:rPr>
        <w:t>表4</w:t>
      </w:r>
      <w:r>
        <w:t>.4-1    地下水污染来源及途径识别</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22"/>
        <w:gridCol w:w="972"/>
        <w:gridCol w:w="1062"/>
        <w:gridCol w:w="2141"/>
        <w:gridCol w:w="2367"/>
        <w:gridCol w:w="1272"/>
      </w:tblGrid>
      <w:tr w14:paraId="6FD69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8" w:type="dxa"/>
            <w:vAlign w:val="center"/>
          </w:tcPr>
          <w:p w14:paraId="412459EB">
            <w:pPr>
              <w:pStyle w:val="133"/>
              <w:rPr>
                <w:b/>
                <w:bCs/>
              </w:rPr>
            </w:pPr>
            <w:r>
              <w:rPr>
                <w:b/>
                <w:bCs/>
              </w:rPr>
              <w:t>序号</w:t>
            </w:r>
          </w:p>
        </w:tc>
        <w:tc>
          <w:tcPr>
            <w:tcW w:w="965" w:type="dxa"/>
            <w:vAlign w:val="center"/>
          </w:tcPr>
          <w:p w14:paraId="2A9A7007">
            <w:pPr>
              <w:pStyle w:val="133"/>
              <w:rPr>
                <w:b/>
                <w:bCs/>
              </w:rPr>
            </w:pPr>
            <w:r>
              <w:rPr>
                <w:b/>
                <w:bCs/>
              </w:rPr>
              <w:t>污染来源</w:t>
            </w:r>
          </w:p>
        </w:tc>
        <w:tc>
          <w:tcPr>
            <w:tcW w:w="1054" w:type="dxa"/>
            <w:vAlign w:val="center"/>
          </w:tcPr>
          <w:p w14:paraId="01C8865A">
            <w:pPr>
              <w:pStyle w:val="133"/>
              <w:rPr>
                <w:b/>
                <w:bCs/>
              </w:rPr>
            </w:pPr>
            <w:r>
              <w:rPr>
                <w:b/>
                <w:bCs/>
              </w:rPr>
              <w:t>主要设备/污染源</w:t>
            </w:r>
          </w:p>
        </w:tc>
        <w:tc>
          <w:tcPr>
            <w:tcW w:w="2126" w:type="dxa"/>
            <w:vAlign w:val="center"/>
          </w:tcPr>
          <w:p w14:paraId="04D6DAF4">
            <w:pPr>
              <w:pStyle w:val="133"/>
              <w:rPr>
                <w:b/>
                <w:bCs/>
              </w:rPr>
            </w:pPr>
            <w:r>
              <w:rPr>
                <w:b/>
                <w:bCs/>
              </w:rPr>
              <w:t>特征因子</w:t>
            </w:r>
          </w:p>
        </w:tc>
        <w:tc>
          <w:tcPr>
            <w:tcW w:w="2350" w:type="dxa"/>
            <w:vAlign w:val="center"/>
          </w:tcPr>
          <w:p w14:paraId="419A7538">
            <w:pPr>
              <w:pStyle w:val="133"/>
              <w:rPr>
                <w:b/>
                <w:bCs/>
              </w:rPr>
            </w:pPr>
            <w:r>
              <w:rPr>
                <w:b/>
                <w:bCs/>
              </w:rPr>
              <w:t>污染途径识别</w:t>
            </w:r>
          </w:p>
        </w:tc>
        <w:tc>
          <w:tcPr>
            <w:tcW w:w="1263" w:type="dxa"/>
            <w:vAlign w:val="center"/>
          </w:tcPr>
          <w:p w14:paraId="5D8FC71D">
            <w:pPr>
              <w:pStyle w:val="133"/>
              <w:rPr>
                <w:b/>
                <w:bCs/>
              </w:rPr>
            </w:pPr>
            <w:r>
              <w:rPr>
                <w:b/>
                <w:bCs/>
              </w:rPr>
              <w:t>源强估算</w:t>
            </w:r>
          </w:p>
        </w:tc>
      </w:tr>
      <w:tr w14:paraId="06C49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18" w:type="dxa"/>
            <w:vAlign w:val="center"/>
          </w:tcPr>
          <w:p w14:paraId="16465300">
            <w:pPr>
              <w:pStyle w:val="133"/>
            </w:pPr>
            <w:r>
              <w:rPr>
                <w:rFonts w:hint="eastAsia"/>
              </w:rPr>
              <w:t>1</w:t>
            </w:r>
          </w:p>
        </w:tc>
        <w:tc>
          <w:tcPr>
            <w:tcW w:w="965" w:type="dxa"/>
            <w:vAlign w:val="center"/>
          </w:tcPr>
          <w:p w14:paraId="22EAF35B">
            <w:pPr>
              <w:pStyle w:val="133"/>
            </w:pPr>
            <w:r>
              <w:rPr>
                <w:rFonts w:hint="eastAsia"/>
              </w:rPr>
              <w:t>剩余氨水</w:t>
            </w:r>
          </w:p>
        </w:tc>
        <w:tc>
          <w:tcPr>
            <w:tcW w:w="1054" w:type="dxa"/>
            <w:vAlign w:val="center"/>
          </w:tcPr>
          <w:p w14:paraId="2A86A10F">
            <w:pPr>
              <w:pStyle w:val="133"/>
            </w:pPr>
            <w:r>
              <w:rPr>
                <w:rFonts w:hint="eastAsia"/>
              </w:rPr>
              <w:t>剩余氨水罐</w:t>
            </w:r>
          </w:p>
        </w:tc>
        <w:tc>
          <w:tcPr>
            <w:tcW w:w="2126" w:type="dxa"/>
            <w:vAlign w:val="center"/>
          </w:tcPr>
          <w:p w14:paraId="09DD7C5E">
            <w:pPr>
              <w:pStyle w:val="133"/>
            </w:pPr>
            <w:r>
              <w:rPr>
                <w:rFonts w:hint="eastAsia"/>
              </w:rPr>
              <w:t>COD、石油类、氨氮、挥发酚、氰化物、硫化物、氰化物、硫化物</w:t>
            </w:r>
          </w:p>
        </w:tc>
        <w:tc>
          <w:tcPr>
            <w:tcW w:w="2350" w:type="dxa"/>
            <w:vAlign w:val="center"/>
          </w:tcPr>
          <w:p w14:paraId="10F8D34E">
            <w:pPr>
              <w:pStyle w:val="133"/>
            </w:pPr>
            <w:r>
              <w:t>非正常工况下，废水持续泄漏，进而渗入包气带及地下水。</w:t>
            </w:r>
          </w:p>
        </w:tc>
        <w:tc>
          <w:tcPr>
            <w:tcW w:w="1263" w:type="dxa"/>
            <w:vAlign w:val="center"/>
          </w:tcPr>
          <w:p w14:paraId="34CF10CF">
            <w:pPr>
              <w:pStyle w:val="133"/>
            </w:pPr>
            <w:r>
              <w:t>按</w:t>
            </w:r>
            <w:r>
              <w:rPr>
                <w:rFonts w:hint="eastAsia"/>
              </w:rPr>
              <w:t>调节池的2</w:t>
            </w:r>
            <w:r>
              <w:t>0%考虑计算</w:t>
            </w:r>
          </w:p>
        </w:tc>
      </w:tr>
    </w:tbl>
    <w:p w14:paraId="3E90B171">
      <w:pPr>
        <w:pStyle w:val="133"/>
      </w:pPr>
    </w:p>
    <w:p w14:paraId="4FF401E2">
      <w:pPr>
        <w:pStyle w:val="117"/>
        <w:ind w:firstLine="480"/>
      </w:pPr>
      <w:r>
        <w:rPr>
          <w:rFonts w:hint="eastAsia"/>
        </w:rPr>
        <w:t>在</w:t>
      </w:r>
      <w:r>
        <w:t>风险事故情况下，污染物泄漏于地表，因降水等多种因素综合影响使污染物通过淋滤方式经过包气带向饱水带运动（如图4.4</w:t>
      </w:r>
      <w:r>
        <w:rPr>
          <w:rFonts w:hint="eastAsia"/>
        </w:rPr>
        <w:t>-</w:t>
      </w:r>
      <w:r>
        <w:t>1</w:t>
      </w:r>
      <w:r>
        <w:rPr>
          <w:rFonts w:hint="eastAsia"/>
        </w:rPr>
        <w:t>）</w:t>
      </w:r>
      <w:r>
        <w:t>，这个过程中，无论污染物为油水混合物还是饱和溶解污水，能够进入地下水并随之运动的最终都是溶解进入水中的部分。因此各种风险工况下，污染物若要对饱水带地下水产生不良影响，必须通过包气带。</w:t>
      </w:r>
    </w:p>
    <w:p w14:paraId="5EF92007">
      <w:pPr>
        <w:pStyle w:val="117"/>
        <w:ind w:firstLine="480"/>
        <w:jc w:val="center"/>
      </w:pPr>
      <w:r>
        <w:rPr>
          <w:szCs w:val="20"/>
        </w:rPr>
        <w:drawing>
          <wp:inline distT="0" distB="0" distL="0" distR="0">
            <wp:extent cx="3279140" cy="2337435"/>
            <wp:effectExtent l="0" t="0" r="0" b="5715"/>
            <wp:docPr id="1116" name="图片 13"/>
            <wp:cNvGraphicFramePr/>
            <a:graphic xmlns:a="http://schemas.openxmlformats.org/drawingml/2006/main">
              <a:graphicData uri="http://schemas.openxmlformats.org/drawingml/2006/picture">
                <pic:pic xmlns:pic="http://schemas.openxmlformats.org/drawingml/2006/picture">
                  <pic:nvPicPr>
                    <pic:cNvPr id="1116" name="图片 13"/>
                    <pic:cNvPicPr/>
                  </pic:nvPicPr>
                  <pic:blipFill>
                    <a:blip r:embed="rId56" cstate="print"/>
                    <a:srcRect b="3548"/>
                    <a:stretch>
                      <a:fillRect/>
                    </a:stretch>
                  </pic:blipFill>
                  <pic:spPr>
                    <a:xfrm>
                      <a:off x="0" y="0"/>
                      <a:ext cx="3279140" cy="2337435"/>
                    </a:xfrm>
                    <a:prstGeom prst="rect">
                      <a:avLst/>
                    </a:prstGeom>
                    <a:ln>
                      <a:noFill/>
                    </a:ln>
                  </pic:spPr>
                </pic:pic>
              </a:graphicData>
            </a:graphic>
          </wp:inline>
        </w:drawing>
      </w:r>
    </w:p>
    <w:p w14:paraId="164EA016">
      <w:pPr>
        <w:pStyle w:val="118"/>
      </w:pPr>
      <w:r>
        <w:t>图4.4</w:t>
      </w:r>
      <w:r>
        <w:rPr>
          <w:rFonts w:hint="eastAsia"/>
        </w:rPr>
        <w:t>-</w:t>
      </w:r>
      <w:r>
        <w:t>1    污染物在包气带、饱水带运动概化图</w:t>
      </w:r>
    </w:p>
    <w:p w14:paraId="616022EA">
      <w:pPr>
        <w:pStyle w:val="133"/>
      </w:pPr>
    </w:p>
    <w:p w14:paraId="40284A51">
      <w:pPr>
        <w:ind w:firstLine="480"/>
        <w:rPr>
          <w:color w:val="000000"/>
        </w:rPr>
      </w:pPr>
      <w:r>
        <w:t>包气带是连接大气和地下水的重要纽带，在大气降水补给地下水以及地下水通过包气带蒸发过程中扮演着重要的角色。包气带污染可进一步引起和促进水体、大气和生物等要素的污染，从而影响人体健康。所以有必要对包气带污染情况进行预测，为进一步采取预防措施提出科学依据。包气带的防污性能与包气带的岩性、结构、厚度以及地形坡度等有着密切的联系。其中岩性和厚度对防污性能影响较大，包气带土壤沉积物中的粘土矿物和有机碳在吸附无机离子组分和有机污染物过程中发挥着非常重要的作用。一般来说包气带土层对污染物的吸附可以阻滞有机污染物向地下水中迁移，包气带的厚度越大，污染物越难以迁移进入地下</w:t>
      </w:r>
      <w:r>
        <w:rPr>
          <w:color w:val="000000"/>
        </w:rPr>
        <w:t>水。</w:t>
      </w:r>
    </w:p>
    <w:p w14:paraId="64B7E110">
      <w:pPr>
        <w:pStyle w:val="517"/>
        <w:ind w:firstLine="480" w:firstLineChars="200"/>
        <w:rPr>
          <w:color w:val="000000"/>
        </w:rPr>
      </w:pPr>
      <w:r>
        <w:rPr>
          <w:color w:val="000000"/>
        </w:rPr>
        <w:t>本项目所在地包气带防污性能较弱，且本项目产生大量废水较为容易在短时间内穿越包气带进入地下水环境造成不良影响</w:t>
      </w:r>
      <w:r>
        <w:rPr>
          <w:rFonts w:hint="eastAsia"/>
          <w:color w:val="000000"/>
        </w:rPr>
        <w:t>，考虑到项目包气带厚度≥100m，本次评价着重预测</w:t>
      </w:r>
      <w:r>
        <w:rPr>
          <w:color w:val="000000"/>
        </w:rPr>
        <w:t>污废水在包气带中</w:t>
      </w:r>
      <w:r>
        <w:rPr>
          <w:rFonts w:hint="eastAsia"/>
          <w:color w:val="000000"/>
        </w:rPr>
        <w:t>运移，对包气带造成的影响</w:t>
      </w:r>
      <w:r>
        <w:rPr>
          <w:color w:val="000000"/>
        </w:rPr>
        <w:t>。</w:t>
      </w:r>
    </w:p>
    <w:p w14:paraId="7D420245">
      <w:pPr>
        <w:pStyle w:val="138"/>
        <w:rPr>
          <w:rFonts w:hint="eastAsia"/>
        </w:rPr>
      </w:pPr>
      <w:r>
        <w:t>项目正常运行对厂区周围地下水环境影响</w:t>
      </w:r>
    </w:p>
    <w:p w14:paraId="685DFAA3">
      <w:pPr>
        <w:pStyle w:val="117"/>
        <w:ind w:firstLine="480"/>
      </w:pPr>
      <w:r>
        <w:rPr>
          <w:rFonts w:hint="eastAsia" w:ascii="宋体" w:hAnsi="宋体"/>
        </w:rPr>
        <w:t>正常工况下，</w:t>
      </w:r>
      <w:r>
        <w:rPr>
          <w:rFonts w:hint="eastAsia"/>
          <w:spacing w:val="8"/>
        </w:rPr>
        <w:t>项目产生的</w:t>
      </w:r>
      <w:r>
        <w:rPr>
          <w:rFonts w:hint="eastAsia"/>
        </w:rPr>
        <w:t>剩余氨水、焚烧炉烟气脱硫废水、VOCs处理喷淋废水经预处理后焚烧处理；</w:t>
      </w:r>
      <w:r>
        <w:t>余热发电系统排</w:t>
      </w:r>
      <w:r>
        <w:rPr>
          <w:rFonts w:hint="eastAsia"/>
        </w:rPr>
        <w:t>水、软水</w:t>
      </w:r>
      <w:r>
        <w:t>制备浓水</w:t>
      </w:r>
      <w:r>
        <w:rPr>
          <w:rFonts w:hint="eastAsia"/>
        </w:rPr>
        <w:t>、冷却水系统排污水处理后用于厂区绿化和洒水抑尘；生活污水依托现有生活污水处理站处理后达到《城市污水再生利用 城市杂用水水质》（GB/T18920-2020）“绿化用水”标准后，部分用于绿化、煤场和贮焦场洒水抑尘，部分排至园区污水处理厂</w:t>
      </w:r>
      <w:r>
        <w:rPr>
          <w:rFonts w:hint="eastAsia" w:ascii="宋体" w:hAnsi="宋体"/>
          <w:spacing w:val="-2"/>
        </w:rPr>
        <w:t>。</w:t>
      </w:r>
    </w:p>
    <w:p w14:paraId="78653CDE">
      <w:pPr>
        <w:widowControl/>
        <w:ind w:firstLine="480"/>
      </w:pPr>
      <w:r>
        <w:t>项目厂区实行分区防渗，</w:t>
      </w:r>
      <w:r>
        <w:rPr>
          <w:rFonts w:hint="eastAsia"/>
        </w:rPr>
        <w:t>项目装置区、罐区等</w:t>
      </w:r>
      <w:r>
        <w:t>为重点防渗区；同时</w:t>
      </w:r>
      <w:r>
        <w:rPr>
          <w:rFonts w:hint="eastAsia"/>
        </w:rPr>
        <w:t>本次评价要求厂内设置</w:t>
      </w:r>
      <w:r>
        <w:t>事故水池，以防事故水的影响。在正常工况下，本项目生产废水的地下渗透将得到控制，不会对地下水环境质量造成功能类别的改变。</w:t>
      </w:r>
    </w:p>
    <w:p w14:paraId="5EDD01F0">
      <w:pPr>
        <w:widowControl/>
        <w:ind w:firstLine="480"/>
      </w:pPr>
      <w:r>
        <w:t>因此，污水通过各盛水设施渗透而污染地下水的可能性很小，对当地地下水不会造成污染，故本工程装置在正常生产情况下，对周围水环境影响不大。</w:t>
      </w:r>
    </w:p>
    <w:p w14:paraId="5FA0469A">
      <w:pPr>
        <w:pStyle w:val="138"/>
        <w:rPr>
          <w:rFonts w:hint="eastAsia"/>
        </w:rPr>
      </w:pPr>
      <w:r>
        <w:rPr>
          <w:rFonts w:hint="eastAsia"/>
        </w:rPr>
        <w:t>非正常工况地下水环境影响评价</w:t>
      </w:r>
    </w:p>
    <w:p w14:paraId="22C169CC">
      <w:pPr>
        <w:pStyle w:val="944"/>
      </w:pPr>
      <w:r>
        <w:rPr>
          <w:rFonts w:hint="eastAsia"/>
        </w:rPr>
        <w:t>地下水影响预测</w:t>
      </w:r>
    </w:p>
    <w:p w14:paraId="71048781">
      <w:pPr>
        <w:pStyle w:val="257"/>
        <w:ind w:firstLine="480"/>
      </w:pPr>
      <w:bookmarkStart w:id="495" w:name="_Hlk193110059"/>
      <w:r>
        <w:rPr>
          <w:rFonts w:hint="eastAsia" w:ascii="宋体" w:hAnsi="宋体" w:eastAsia="宋体" w:cs="宋体"/>
        </w:rPr>
        <w:t>（</w:t>
      </w:r>
      <w:r>
        <w:rPr>
          <w:rFonts w:hint="eastAsia"/>
        </w:rPr>
        <w:t>1</w:t>
      </w:r>
      <w:r>
        <w:rPr>
          <w:rFonts w:hint="eastAsia" w:ascii="宋体" w:hAnsi="宋体" w:eastAsia="宋体" w:cs="宋体"/>
        </w:rPr>
        <w:t>）非正常工况下污水泄漏量</w:t>
      </w:r>
    </w:p>
    <w:p w14:paraId="55CF5C3E">
      <w:pPr>
        <w:pStyle w:val="257"/>
        <w:ind w:firstLine="480"/>
        <w:rPr>
          <w:rFonts w:hint="eastAsia" w:ascii="宋体" w:hAnsi="宋体" w:eastAsia="宋体" w:cs="宋体"/>
          <w:snapToGrid w:val="0"/>
        </w:rPr>
      </w:pPr>
      <w:r>
        <w:rPr>
          <w:rFonts w:hint="eastAsia" w:ascii="宋体" w:hAnsi="宋体" w:eastAsia="宋体" w:cs="宋体"/>
        </w:rPr>
        <w:t>考虑到废水泄漏达到</w:t>
      </w:r>
      <w:r>
        <w:t>20%</w:t>
      </w:r>
      <w:r>
        <w:rPr>
          <w:rFonts w:hint="eastAsia" w:ascii="宋体" w:hAnsi="宋体" w:eastAsia="宋体" w:cs="宋体"/>
        </w:rPr>
        <w:t>以上时能够从水计量仪器的监测数据中发现，不能形成持续泄漏，故假设剩余氨水罐</w:t>
      </w:r>
      <w:r>
        <w:rPr>
          <w:rFonts w:hint="eastAsia" w:ascii="宋体" w:hAnsi="宋体" w:eastAsia="宋体" w:cs="宋体"/>
          <w:snapToGrid w:val="0"/>
        </w:rPr>
        <w:t>出现多点的裂缝，剩余氨水泄漏进入地下水的量按总污水量</w:t>
      </w:r>
      <w:r>
        <w:rPr>
          <w:snapToGrid w:val="0"/>
        </w:rPr>
        <w:t>20%</w:t>
      </w:r>
      <w:r>
        <w:rPr>
          <w:rFonts w:hint="eastAsia" w:ascii="宋体" w:hAnsi="宋体" w:eastAsia="宋体" w:cs="宋体"/>
          <w:snapToGrid w:val="0"/>
        </w:rPr>
        <w:t>考虑，</w:t>
      </w:r>
      <w:r>
        <w:rPr>
          <w:rFonts w:eastAsia="宋体"/>
          <w:snapToGrid w:val="0"/>
        </w:rPr>
        <w:t>约为</w:t>
      </w:r>
      <w:r>
        <w:rPr>
          <w:rFonts w:hint="eastAsia" w:eastAsia="宋体"/>
          <w:snapToGrid w:val="0"/>
        </w:rPr>
        <w:t>10</w:t>
      </w:r>
      <w:r>
        <w:rPr>
          <w:rFonts w:eastAsia="宋体"/>
          <w:snapToGrid w:val="0"/>
        </w:rPr>
        <w:t>0m</w:t>
      </w:r>
      <w:r>
        <w:rPr>
          <w:rFonts w:eastAsia="宋体"/>
          <w:snapToGrid w:val="0"/>
          <w:vertAlign w:val="superscript"/>
        </w:rPr>
        <w:t>3</w:t>
      </w:r>
      <w:r>
        <w:rPr>
          <w:rFonts w:hint="eastAsia" w:ascii="宋体" w:hAnsi="宋体" w:eastAsia="宋体" w:cs="宋体"/>
          <w:snapToGrid w:val="0"/>
        </w:rPr>
        <w:t>。</w:t>
      </w:r>
      <w:bookmarkStart w:id="496" w:name="_Hlk177835834"/>
    </w:p>
    <w:p w14:paraId="0F12A472">
      <w:pPr>
        <w:pStyle w:val="117"/>
        <w:ind w:firstLine="480"/>
        <w:rPr>
          <w:rFonts w:hint="eastAsia" w:ascii="宋体" w:hAnsi="宋体"/>
        </w:rPr>
      </w:pPr>
      <w:r>
        <w:rPr>
          <w:rFonts w:hint="eastAsia" w:ascii="宋体" w:hAnsi="宋体"/>
        </w:rPr>
        <w:t>根据剩余氨水水质，</w:t>
      </w:r>
      <w:r>
        <w:rPr>
          <w:rFonts w:hint="eastAsia"/>
        </w:rPr>
        <w:t>COD5500mg/L、石油类640mg/L、氨氮620mg/L、挥发酚1200mg/L、氰化物1.74mg/L、硫化物400mg/L。经计算，COD</w:t>
      </w:r>
      <w:r>
        <w:rPr>
          <w:rFonts w:hint="eastAsia" w:ascii="宋体" w:hAnsi="宋体"/>
          <w:snapToGrid w:val="0"/>
        </w:rPr>
        <w:t>泄漏量约为</w:t>
      </w:r>
      <w:r>
        <w:rPr>
          <w:rFonts w:hint="eastAsia"/>
          <w:snapToGrid w:val="0"/>
        </w:rPr>
        <w:t>8000</w:t>
      </w:r>
      <w:r>
        <w:t>kg</w:t>
      </w:r>
      <w:r>
        <w:rPr>
          <w:rFonts w:hint="eastAsia" w:ascii="宋体" w:hAnsi="宋体"/>
        </w:rPr>
        <w:t>、石油类</w:t>
      </w:r>
      <w:r>
        <w:rPr>
          <w:rFonts w:hint="eastAsia" w:ascii="宋体" w:hAnsi="宋体"/>
          <w:snapToGrid w:val="0"/>
        </w:rPr>
        <w:t>泄漏量约为</w:t>
      </w:r>
      <w:r>
        <w:rPr>
          <w:rFonts w:hint="eastAsia"/>
          <w:snapToGrid w:val="0"/>
        </w:rPr>
        <w:t>450</w:t>
      </w:r>
      <w:r>
        <w:rPr>
          <w:rFonts w:hint="eastAsia"/>
        </w:rPr>
        <w:t>k</w:t>
      </w:r>
      <w:r>
        <w:t>g</w:t>
      </w:r>
      <w:r>
        <w:rPr>
          <w:rFonts w:hint="eastAsia" w:ascii="宋体" w:hAnsi="宋体"/>
        </w:rPr>
        <w:t>、氨氮</w:t>
      </w:r>
      <w:r>
        <w:rPr>
          <w:rFonts w:hint="eastAsia" w:ascii="宋体" w:hAnsi="宋体"/>
          <w:snapToGrid w:val="0"/>
        </w:rPr>
        <w:t>泄漏量约为</w:t>
      </w:r>
      <w:r>
        <w:rPr>
          <w:rFonts w:hint="eastAsia"/>
          <w:snapToGrid w:val="0"/>
        </w:rPr>
        <w:t>310</w:t>
      </w:r>
      <w:r>
        <w:t>kg</w:t>
      </w:r>
      <w:r>
        <w:rPr>
          <w:rFonts w:hint="eastAsia" w:ascii="宋体" w:hAnsi="宋体"/>
        </w:rPr>
        <w:t>、挥发酚</w:t>
      </w:r>
      <w:r>
        <w:rPr>
          <w:rFonts w:hint="eastAsia" w:ascii="宋体" w:hAnsi="宋体"/>
          <w:snapToGrid w:val="0"/>
        </w:rPr>
        <w:t>泄漏量约为</w:t>
      </w:r>
      <w:bookmarkStart w:id="497" w:name="OLE_LINK12"/>
      <w:r>
        <w:rPr>
          <w:rFonts w:hint="eastAsia"/>
          <w:snapToGrid w:val="0"/>
        </w:rPr>
        <w:t>600</w:t>
      </w:r>
      <w:r>
        <w:t>kg</w:t>
      </w:r>
      <w:bookmarkEnd w:id="497"/>
      <w:r>
        <w:rPr>
          <w:rFonts w:hint="eastAsia" w:ascii="宋体" w:hAnsi="宋体"/>
        </w:rPr>
        <w:t>、氰化物</w:t>
      </w:r>
      <w:r>
        <w:rPr>
          <w:rFonts w:hint="eastAsia" w:ascii="宋体" w:hAnsi="宋体"/>
          <w:snapToGrid w:val="0"/>
        </w:rPr>
        <w:t>泄漏量约为</w:t>
      </w:r>
      <w:r>
        <w:rPr>
          <w:rFonts w:hint="eastAsia"/>
          <w:snapToGrid w:val="0"/>
        </w:rPr>
        <w:t>0.87</w:t>
      </w:r>
      <w:r>
        <w:t>kg</w:t>
      </w:r>
      <w:r>
        <w:rPr>
          <w:rFonts w:hint="eastAsia" w:ascii="宋体" w:hAnsi="宋体"/>
        </w:rPr>
        <w:t>、硫化物</w:t>
      </w:r>
      <w:r>
        <w:rPr>
          <w:rFonts w:hint="eastAsia" w:ascii="宋体" w:hAnsi="宋体"/>
          <w:snapToGrid w:val="0"/>
        </w:rPr>
        <w:t>泄漏量约为</w:t>
      </w:r>
      <w:r>
        <w:rPr>
          <w:rFonts w:hint="eastAsia"/>
          <w:snapToGrid w:val="0"/>
        </w:rPr>
        <w:t>200</w:t>
      </w:r>
      <w:r>
        <w:t>k</w:t>
      </w:r>
      <w:r>
        <w:rPr>
          <w:rFonts w:hint="eastAsia" w:ascii="宋体" w:hAnsi="宋体"/>
        </w:rPr>
        <w:t>g。</w:t>
      </w:r>
    </w:p>
    <w:bookmarkEnd w:id="496"/>
    <w:p w14:paraId="593B6ECC">
      <w:pPr>
        <w:pStyle w:val="257"/>
        <w:ind w:firstLine="480"/>
      </w:pPr>
      <w:bookmarkStart w:id="498" w:name="_Hlk192242074"/>
      <w:r>
        <w:rPr>
          <w:rFonts w:hint="eastAsia" w:ascii="宋体" w:hAnsi="宋体" w:eastAsia="宋体" w:cs="宋体"/>
        </w:rPr>
        <w:t>为了全面分析非正常工况，泄漏的污染物对地下水的影响，本次评价主要预测因子选取</w:t>
      </w:r>
      <w:r>
        <w:rPr>
          <w:rFonts w:hint="eastAsia"/>
        </w:rPr>
        <w:t>COD</w:t>
      </w:r>
      <w:r>
        <w:rPr>
          <w:rFonts w:hint="eastAsia" w:ascii="宋体" w:hAnsi="宋体" w:eastAsia="宋体" w:cs="宋体"/>
        </w:rPr>
        <w:t>、石油类、氨氮、挥发酚、硫化物、氰化物。</w:t>
      </w:r>
      <w:bookmarkEnd w:id="495"/>
      <w:bookmarkEnd w:id="498"/>
    </w:p>
    <w:p w14:paraId="58166997">
      <w:pPr>
        <w:pStyle w:val="944"/>
      </w:pPr>
      <w:bookmarkStart w:id="499" w:name="_Hlk165995864"/>
      <w:r>
        <w:rPr>
          <w:rFonts w:hint="eastAsia"/>
        </w:rPr>
        <w:t>数学模型</w:t>
      </w:r>
      <w:bookmarkEnd w:id="499"/>
    </w:p>
    <w:p w14:paraId="6EDDABC1">
      <w:pPr>
        <w:pStyle w:val="257"/>
        <w:ind w:firstLine="480"/>
      </w:pPr>
      <w:bookmarkStart w:id="500" w:name="_Hlk165995877"/>
      <w:r>
        <w:rPr>
          <w:rFonts w:hint="eastAsia" w:ascii="宋体" w:hAnsi="宋体" w:eastAsia="宋体" w:cs="宋体"/>
        </w:rPr>
        <w:t>考虑到厂区内地下水受到影响的为岩性粉细砂的孔隙潜水，水位埋深不大，当项目运转出现事故时，含有污染质的废水极可能沿着大孔隙以捷径式入渗的方式快速进入含水层从而随地下水流进行迁移，为此本次模拟计算过程忽略污染物在包气带的运移过程（最不利的情况），这样使计算结果更为保守，符合工程设计的思想。</w:t>
      </w:r>
    </w:p>
    <w:p w14:paraId="49130C84">
      <w:pPr>
        <w:pStyle w:val="257"/>
        <w:ind w:firstLine="480"/>
      </w:pPr>
      <w:r>
        <w:rPr>
          <w:rFonts w:hint="eastAsia" w:ascii="宋体" w:hAnsi="宋体" w:eastAsia="宋体" w:cs="宋体"/>
        </w:rPr>
        <w:t>由厂区附近孔隙水等水位线可知，在项目区的地下水主要是从</w:t>
      </w:r>
      <w:r>
        <w:rPr>
          <w:rFonts w:hint="eastAsia" w:ascii="宋体" w:hAnsi="宋体" w:eastAsia="宋体" w:cs="宋体"/>
          <w:spacing w:val="-3"/>
          <w:szCs w:val="24"/>
        </w:rPr>
        <w:t>东北向西南径流</w:t>
      </w:r>
      <w:r>
        <w:rPr>
          <w:rFonts w:hint="eastAsia" w:ascii="宋体" w:hAnsi="宋体" w:eastAsia="宋体" w:cs="宋体"/>
        </w:rPr>
        <w:t>呈一维流动，加之厂区以及附近区域并没有集中型供水水源地，地下水位动态稳定，因此污染物在浅层含水层中的迁移，可概化为瞬时注入示踪剂（平面瞬时点源）的一维稳定流动二维水动力弥散问题，当取平行地下水流动的方向为</w:t>
      </w:r>
      <w:r>
        <w:t>x</w:t>
      </w:r>
      <w:r>
        <w:rPr>
          <w:rFonts w:hint="eastAsia" w:ascii="宋体" w:hAnsi="宋体" w:eastAsia="宋体" w:cs="宋体"/>
        </w:rPr>
        <w:t>轴正方向，垂直地下水流向为</w:t>
      </w:r>
      <w:r>
        <w:t>y</w:t>
      </w:r>
      <w:r>
        <w:rPr>
          <w:rFonts w:hint="eastAsia" w:ascii="宋体" w:hAnsi="宋体" w:eastAsia="宋体" w:cs="宋体"/>
        </w:rPr>
        <w:t>方向时，则求取污染浓度分布模型如下：</w:t>
      </w:r>
    </w:p>
    <w:p w14:paraId="7AD3F21A">
      <w:pPr>
        <w:pStyle w:val="257"/>
        <w:ind w:firstLine="480"/>
        <w:jc w:val="center"/>
        <w:rPr>
          <w:b/>
          <w:bCs/>
        </w:rPr>
      </w:pPr>
      <w:r>
        <w:rPr>
          <w:lang w:val="en-US"/>
        </w:rPr>
        <w:drawing>
          <wp:inline distT="0" distB="0" distL="0" distR="0">
            <wp:extent cx="2560320" cy="609600"/>
            <wp:effectExtent l="0" t="0" r="0" b="0"/>
            <wp:docPr id="1117" name="图片 25" descr="未命名"/>
            <wp:cNvGraphicFramePr/>
            <a:graphic xmlns:a="http://schemas.openxmlformats.org/drawingml/2006/main">
              <a:graphicData uri="http://schemas.openxmlformats.org/drawingml/2006/picture">
                <pic:pic xmlns:pic="http://schemas.openxmlformats.org/drawingml/2006/picture">
                  <pic:nvPicPr>
                    <pic:cNvPr id="1117" name="图片 25" descr="未命名"/>
                    <pic:cNvPicPr/>
                  </pic:nvPicPr>
                  <pic:blipFill>
                    <a:blip r:embed="rId57" cstate="print"/>
                    <a:srcRect/>
                    <a:stretch>
                      <a:fillRect/>
                    </a:stretch>
                  </pic:blipFill>
                  <pic:spPr>
                    <a:xfrm>
                      <a:off x="0" y="0"/>
                      <a:ext cx="2560320" cy="609600"/>
                    </a:xfrm>
                    <a:prstGeom prst="rect">
                      <a:avLst/>
                    </a:prstGeom>
                    <a:ln>
                      <a:noFill/>
                    </a:ln>
                  </pic:spPr>
                </pic:pic>
              </a:graphicData>
            </a:graphic>
          </wp:inline>
        </w:drawing>
      </w:r>
    </w:p>
    <w:p w14:paraId="2FFBBA98">
      <w:pPr>
        <w:pStyle w:val="257"/>
        <w:ind w:firstLine="480"/>
        <w:rPr>
          <w:sz w:val="21"/>
        </w:rPr>
      </w:pPr>
      <w:r>
        <w:rPr>
          <w:rFonts w:hint="eastAsia" w:ascii="宋体" w:hAnsi="宋体" w:eastAsia="宋体" w:cs="宋体"/>
        </w:rPr>
        <w:t>式中：</w:t>
      </w:r>
      <w:r>
        <w:rPr>
          <w:sz w:val="21"/>
        </w:rPr>
        <w:t>x</w:t>
      </w:r>
      <w:r>
        <w:rPr>
          <w:rFonts w:hint="eastAsia" w:ascii="宋体" w:hAnsi="宋体" w:eastAsia="宋体" w:cs="宋体"/>
          <w:sz w:val="21"/>
        </w:rPr>
        <w:t>，</w:t>
      </w:r>
      <w:r>
        <w:rPr>
          <w:sz w:val="21"/>
        </w:rPr>
        <w:t>y—</w:t>
      </w:r>
      <w:r>
        <w:rPr>
          <w:rFonts w:hint="eastAsia" w:ascii="宋体" w:hAnsi="宋体" w:eastAsia="宋体" w:cs="宋体"/>
          <w:sz w:val="21"/>
        </w:rPr>
        <w:t>计算点处的位置坐标；</w:t>
      </w:r>
    </w:p>
    <w:p w14:paraId="67322977">
      <w:pPr>
        <w:pStyle w:val="257"/>
        <w:ind w:firstLine="1260" w:firstLineChars="600"/>
        <w:rPr>
          <w:sz w:val="21"/>
        </w:rPr>
      </w:pPr>
      <w:r>
        <w:rPr>
          <w:sz w:val="21"/>
        </w:rPr>
        <w:t>t—</w:t>
      </w:r>
      <w:r>
        <w:rPr>
          <w:rFonts w:hint="eastAsia" w:ascii="宋体" w:hAnsi="宋体" w:eastAsia="宋体" w:cs="宋体"/>
          <w:sz w:val="21"/>
        </w:rPr>
        <w:t>时间，</w:t>
      </w:r>
      <w:r>
        <w:rPr>
          <w:sz w:val="21"/>
        </w:rPr>
        <w:t>d</w:t>
      </w:r>
      <w:r>
        <w:rPr>
          <w:rFonts w:hint="eastAsia" w:ascii="宋体" w:hAnsi="宋体" w:eastAsia="宋体" w:cs="宋体"/>
          <w:sz w:val="21"/>
        </w:rPr>
        <w:t>；</w:t>
      </w:r>
    </w:p>
    <w:p w14:paraId="0A6DA8AE">
      <w:pPr>
        <w:pStyle w:val="257"/>
        <w:ind w:firstLine="1260" w:firstLineChars="600"/>
        <w:rPr>
          <w:sz w:val="21"/>
        </w:rPr>
      </w:pPr>
      <w:r>
        <w:rPr>
          <w:sz w:val="21"/>
        </w:rPr>
        <w:t>C(x</w:t>
      </w:r>
      <w:r>
        <w:rPr>
          <w:rFonts w:hint="eastAsia" w:ascii="宋体" w:hAnsi="宋体" w:eastAsia="宋体" w:cs="宋体"/>
          <w:sz w:val="21"/>
        </w:rPr>
        <w:t>，</w:t>
      </w:r>
      <w:r>
        <w:rPr>
          <w:sz w:val="21"/>
        </w:rPr>
        <w:t>y</w:t>
      </w:r>
      <w:r>
        <w:rPr>
          <w:rFonts w:hint="eastAsia" w:ascii="宋体" w:hAnsi="宋体" w:eastAsia="宋体" w:cs="宋体"/>
          <w:sz w:val="21"/>
        </w:rPr>
        <w:t>，</w:t>
      </w:r>
      <w:r>
        <w:rPr>
          <w:sz w:val="21"/>
        </w:rPr>
        <w:t>t)—t</w:t>
      </w:r>
      <w:r>
        <w:rPr>
          <w:rFonts w:hint="eastAsia" w:ascii="宋体" w:hAnsi="宋体" w:eastAsia="宋体" w:cs="宋体"/>
          <w:sz w:val="21"/>
        </w:rPr>
        <w:t>时刻点</w:t>
      </w:r>
      <w:r>
        <w:rPr>
          <w:sz w:val="21"/>
        </w:rPr>
        <w:t>x</w:t>
      </w:r>
      <w:r>
        <w:rPr>
          <w:rFonts w:hint="eastAsia" w:ascii="宋体" w:hAnsi="宋体" w:eastAsia="宋体" w:cs="宋体"/>
          <w:sz w:val="21"/>
        </w:rPr>
        <w:t>，</w:t>
      </w:r>
      <w:r>
        <w:rPr>
          <w:sz w:val="21"/>
        </w:rPr>
        <w:t>y</w:t>
      </w:r>
      <w:r>
        <w:rPr>
          <w:rFonts w:hint="eastAsia" w:ascii="宋体" w:hAnsi="宋体" w:eastAsia="宋体" w:cs="宋体"/>
          <w:sz w:val="21"/>
        </w:rPr>
        <w:t>处的示踪剂浓度，</w:t>
      </w:r>
      <w:r>
        <w:rPr>
          <w:sz w:val="21"/>
        </w:rPr>
        <w:t>g/L</w:t>
      </w:r>
      <w:r>
        <w:rPr>
          <w:rFonts w:hint="eastAsia" w:ascii="宋体" w:hAnsi="宋体" w:eastAsia="宋体" w:cs="宋体"/>
          <w:sz w:val="21"/>
        </w:rPr>
        <w:t>；</w:t>
      </w:r>
    </w:p>
    <w:p w14:paraId="2BECC4A6">
      <w:pPr>
        <w:pStyle w:val="257"/>
        <w:ind w:firstLine="1260" w:firstLineChars="600"/>
        <w:rPr>
          <w:sz w:val="21"/>
        </w:rPr>
      </w:pPr>
      <w:r>
        <w:rPr>
          <w:sz w:val="21"/>
        </w:rPr>
        <w:t>M—</w:t>
      </w:r>
      <w:r>
        <w:rPr>
          <w:rFonts w:hint="eastAsia" w:ascii="宋体" w:hAnsi="宋体" w:eastAsia="宋体" w:cs="宋体"/>
          <w:sz w:val="21"/>
        </w:rPr>
        <w:t>含水层的厚度，</w:t>
      </w:r>
      <w:r>
        <w:rPr>
          <w:sz w:val="21"/>
        </w:rPr>
        <w:t>m</w:t>
      </w:r>
      <w:r>
        <w:rPr>
          <w:rFonts w:hint="eastAsia" w:ascii="宋体" w:hAnsi="宋体" w:eastAsia="宋体" w:cs="宋体"/>
          <w:sz w:val="21"/>
        </w:rPr>
        <w:t>；</w:t>
      </w:r>
    </w:p>
    <w:p w14:paraId="3540D8F1">
      <w:pPr>
        <w:pStyle w:val="257"/>
        <w:ind w:firstLine="1260" w:firstLineChars="600"/>
        <w:rPr>
          <w:sz w:val="21"/>
        </w:rPr>
      </w:pPr>
      <w:r>
        <w:rPr>
          <w:sz w:val="21"/>
        </w:rPr>
        <w:t>m</w:t>
      </w:r>
      <w:r>
        <w:rPr>
          <w:sz w:val="21"/>
          <w:vertAlign w:val="subscript"/>
        </w:rPr>
        <w:t>M</w:t>
      </w:r>
      <w:r>
        <w:rPr>
          <w:sz w:val="21"/>
        </w:rPr>
        <w:t>—</w:t>
      </w:r>
      <w:r>
        <w:rPr>
          <w:rFonts w:hint="eastAsia" w:ascii="宋体" w:hAnsi="宋体" w:eastAsia="宋体" w:cs="宋体"/>
          <w:sz w:val="21"/>
        </w:rPr>
        <w:t>长度为</w:t>
      </w:r>
      <w:r>
        <w:rPr>
          <w:sz w:val="21"/>
        </w:rPr>
        <w:t>M</w:t>
      </w:r>
      <w:r>
        <w:rPr>
          <w:rFonts w:hint="eastAsia" w:ascii="宋体" w:hAnsi="宋体" w:eastAsia="宋体" w:cs="宋体"/>
          <w:sz w:val="21"/>
        </w:rPr>
        <w:t>的线源瞬时注入的示踪剂质量，</w:t>
      </w:r>
      <w:r>
        <w:rPr>
          <w:sz w:val="21"/>
        </w:rPr>
        <w:t>kg</w:t>
      </w:r>
      <w:r>
        <w:rPr>
          <w:rFonts w:hint="eastAsia" w:ascii="宋体" w:hAnsi="宋体" w:eastAsia="宋体" w:cs="宋体"/>
          <w:sz w:val="21"/>
        </w:rPr>
        <w:t>；</w:t>
      </w:r>
    </w:p>
    <w:p w14:paraId="13CF57B7">
      <w:pPr>
        <w:pStyle w:val="257"/>
        <w:ind w:firstLine="1260" w:firstLineChars="600"/>
        <w:rPr>
          <w:sz w:val="21"/>
        </w:rPr>
      </w:pPr>
      <w:r>
        <w:rPr>
          <w:sz w:val="21"/>
        </w:rPr>
        <w:t>u—</w:t>
      </w:r>
      <w:r>
        <w:rPr>
          <w:rFonts w:hint="eastAsia" w:ascii="宋体" w:hAnsi="宋体" w:eastAsia="宋体" w:cs="宋体"/>
          <w:sz w:val="21"/>
        </w:rPr>
        <w:t>水流速度，</w:t>
      </w:r>
      <w:r>
        <w:rPr>
          <w:sz w:val="21"/>
        </w:rPr>
        <w:t>m/d</w:t>
      </w:r>
      <w:r>
        <w:rPr>
          <w:rFonts w:hint="eastAsia" w:ascii="宋体" w:hAnsi="宋体" w:eastAsia="宋体" w:cs="宋体"/>
          <w:sz w:val="21"/>
        </w:rPr>
        <w:t>；</w:t>
      </w:r>
    </w:p>
    <w:p w14:paraId="1464C9DF">
      <w:pPr>
        <w:pStyle w:val="257"/>
        <w:ind w:firstLine="1260" w:firstLineChars="600"/>
        <w:rPr>
          <w:sz w:val="21"/>
        </w:rPr>
      </w:pPr>
      <w:r>
        <w:rPr>
          <w:sz w:val="21"/>
        </w:rPr>
        <w:t>n—</w:t>
      </w:r>
      <w:r>
        <w:rPr>
          <w:rFonts w:hint="eastAsia" w:ascii="宋体" w:hAnsi="宋体" w:eastAsia="宋体" w:cs="宋体"/>
          <w:sz w:val="21"/>
        </w:rPr>
        <w:t>有效孔隙度，无量纲；</w:t>
      </w:r>
    </w:p>
    <w:p w14:paraId="79A120F0">
      <w:pPr>
        <w:pStyle w:val="257"/>
        <w:ind w:firstLine="1260" w:firstLineChars="600"/>
        <w:rPr>
          <w:sz w:val="21"/>
        </w:rPr>
      </w:pPr>
      <w:r>
        <w:rPr>
          <w:sz w:val="21"/>
        </w:rPr>
        <w:t>D</w:t>
      </w:r>
      <w:r>
        <w:rPr>
          <w:sz w:val="21"/>
          <w:vertAlign w:val="subscript"/>
        </w:rPr>
        <w:t>L</w:t>
      </w:r>
      <w:r>
        <w:rPr>
          <w:sz w:val="21"/>
        </w:rPr>
        <w:t>—</w:t>
      </w:r>
      <w:r>
        <w:rPr>
          <w:rFonts w:hint="eastAsia" w:ascii="宋体" w:hAnsi="宋体" w:eastAsia="宋体" w:cs="宋体"/>
          <w:sz w:val="21"/>
        </w:rPr>
        <w:t>纵向</w:t>
      </w:r>
      <w:r>
        <w:rPr>
          <w:sz w:val="21"/>
        </w:rPr>
        <w:t>x</w:t>
      </w:r>
      <w:r>
        <w:rPr>
          <w:rFonts w:hint="eastAsia" w:ascii="宋体" w:hAnsi="宋体" w:eastAsia="宋体" w:cs="宋体"/>
          <w:sz w:val="21"/>
        </w:rPr>
        <w:t>方向的弥散系数，</w:t>
      </w:r>
      <w:r>
        <w:rPr>
          <w:sz w:val="21"/>
        </w:rPr>
        <w:t>m</w:t>
      </w:r>
      <w:r>
        <w:rPr>
          <w:sz w:val="21"/>
          <w:vertAlign w:val="superscript"/>
        </w:rPr>
        <w:t>2</w:t>
      </w:r>
      <w:r>
        <w:rPr>
          <w:sz w:val="21"/>
        </w:rPr>
        <w:t>/d</w:t>
      </w:r>
      <w:r>
        <w:rPr>
          <w:rFonts w:hint="eastAsia" w:ascii="宋体" w:hAnsi="宋体" w:eastAsia="宋体" w:cs="宋体"/>
          <w:sz w:val="21"/>
        </w:rPr>
        <w:t>；</w:t>
      </w:r>
    </w:p>
    <w:p w14:paraId="3579887B">
      <w:pPr>
        <w:pStyle w:val="257"/>
        <w:ind w:firstLine="1260" w:firstLineChars="600"/>
        <w:rPr>
          <w:sz w:val="21"/>
        </w:rPr>
      </w:pPr>
      <w:r>
        <w:rPr>
          <w:sz w:val="21"/>
        </w:rPr>
        <w:t>D</w:t>
      </w:r>
      <w:r>
        <w:rPr>
          <w:sz w:val="21"/>
          <w:vertAlign w:val="subscript"/>
        </w:rPr>
        <w:t>T</w:t>
      </w:r>
      <w:r>
        <w:rPr>
          <w:sz w:val="21"/>
        </w:rPr>
        <w:t>—</w:t>
      </w:r>
      <w:r>
        <w:rPr>
          <w:rFonts w:hint="eastAsia" w:ascii="宋体" w:hAnsi="宋体" w:eastAsia="宋体" w:cs="宋体"/>
          <w:sz w:val="21"/>
        </w:rPr>
        <w:t>横向</w:t>
      </w:r>
      <w:r>
        <w:rPr>
          <w:sz w:val="21"/>
        </w:rPr>
        <w:t>y</w:t>
      </w:r>
      <w:r>
        <w:rPr>
          <w:rFonts w:hint="eastAsia" w:ascii="宋体" w:hAnsi="宋体" w:eastAsia="宋体" w:cs="宋体"/>
          <w:sz w:val="21"/>
        </w:rPr>
        <w:t>方向的弥散系数，</w:t>
      </w:r>
      <w:r>
        <w:rPr>
          <w:sz w:val="21"/>
        </w:rPr>
        <w:t>m</w:t>
      </w:r>
      <w:r>
        <w:rPr>
          <w:sz w:val="21"/>
          <w:vertAlign w:val="superscript"/>
        </w:rPr>
        <w:t>2</w:t>
      </w:r>
      <w:r>
        <w:rPr>
          <w:sz w:val="21"/>
        </w:rPr>
        <w:t>/d</w:t>
      </w:r>
      <w:r>
        <w:rPr>
          <w:rFonts w:hint="eastAsia" w:ascii="宋体" w:hAnsi="宋体" w:eastAsia="宋体" w:cs="宋体"/>
          <w:sz w:val="21"/>
        </w:rPr>
        <w:t>；</w:t>
      </w:r>
    </w:p>
    <w:p w14:paraId="1275A2BD">
      <w:pPr>
        <w:pStyle w:val="257"/>
        <w:ind w:firstLine="1260" w:firstLineChars="600"/>
        <w:rPr>
          <w:sz w:val="21"/>
        </w:rPr>
      </w:pPr>
      <w:r>
        <w:rPr>
          <w:sz w:val="21"/>
        </w:rPr>
        <w:t>π—</w:t>
      </w:r>
      <w:r>
        <w:rPr>
          <w:rFonts w:hint="eastAsia" w:ascii="宋体" w:hAnsi="宋体" w:eastAsia="宋体" w:cs="宋体"/>
          <w:sz w:val="21"/>
        </w:rPr>
        <w:t>圆周率。</w:t>
      </w:r>
      <w:bookmarkEnd w:id="500"/>
    </w:p>
    <w:p w14:paraId="45F0EE26">
      <w:pPr>
        <w:pStyle w:val="944"/>
      </w:pPr>
      <w:bookmarkStart w:id="501" w:name="_Hlk165995900"/>
      <w:r>
        <w:rPr>
          <w:rFonts w:hint="eastAsia"/>
        </w:rPr>
        <w:t>预测参数选取</w:t>
      </w:r>
    </w:p>
    <w:bookmarkEnd w:id="501"/>
    <w:p w14:paraId="46ECF834">
      <w:pPr>
        <w:pStyle w:val="257"/>
        <w:ind w:firstLine="480"/>
      </w:pPr>
      <w:bookmarkStart w:id="502" w:name="_Hlk165995914"/>
      <w:r>
        <w:rPr>
          <w:rFonts w:hint="eastAsia" w:ascii="宋体" w:hAnsi="宋体" w:eastAsia="宋体" w:cs="宋体"/>
        </w:rPr>
        <w:t>模型需要的参数：含水层厚度</w:t>
      </w:r>
      <w:r>
        <w:rPr>
          <w:rFonts w:hint="eastAsia"/>
        </w:rPr>
        <w:t>M</w:t>
      </w:r>
      <w:r>
        <w:rPr>
          <w:rFonts w:hint="eastAsia" w:ascii="宋体" w:hAnsi="宋体" w:eastAsia="宋体" w:cs="宋体"/>
        </w:rPr>
        <w:t>、地下水流速</w:t>
      </w:r>
      <w:r>
        <w:rPr>
          <w:rFonts w:hint="eastAsia"/>
        </w:rPr>
        <w:t>u</w:t>
      </w:r>
      <w:r>
        <w:rPr>
          <w:rFonts w:hint="eastAsia" w:ascii="宋体" w:hAnsi="宋体" w:eastAsia="宋体" w:cs="宋体"/>
        </w:rPr>
        <w:t>、地下水流向、岩层的有效孔隙度</w:t>
      </w:r>
      <w:r>
        <w:rPr>
          <w:rFonts w:hint="eastAsia"/>
        </w:rPr>
        <w:t>n</w:t>
      </w:r>
      <w:r>
        <w:rPr>
          <w:rFonts w:hint="eastAsia" w:ascii="宋体" w:hAnsi="宋体" w:eastAsia="宋体" w:cs="宋体"/>
        </w:rPr>
        <w:t>、渗透系数</w:t>
      </w:r>
      <w:r>
        <w:rPr>
          <w:rFonts w:hint="eastAsia"/>
        </w:rPr>
        <w:t>k</w:t>
      </w:r>
      <w:r>
        <w:rPr>
          <w:rFonts w:hint="eastAsia" w:ascii="宋体" w:hAnsi="宋体" w:eastAsia="宋体" w:cs="宋体"/>
        </w:rPr>
        <w:t>、弥散系数、外泄污染物质量。这些参数主要来自园区规划环评。</w:t>
      </w:r>
    </w:p>
    <w:p w14:paraId="0BFAB8E9">
      <w:pPr>
        <w:pStyle w:val="257"/>
        <w:ind w:firstLine="480"/>
      </w:pPr>
      <w:r>
        <w:rPr>
          <w:rFonts w:hint="eastAsia" w:ascii="宋体" w:hAnsi="宋体" w:eastAsia="宋体" w:cs="宋体"/>
        </w:rPr>
        <w:t>各参数取值来自园区规划环评，具体见表</w:t>
      </w:r>
      <w:r>
        <w:rPr>
          <w:rFonts w:hint="eastAsia"/>
        </w:rPr>
        <w:t>5.</w:t>
      </w:r>
      <w:r>
        <w:rPr>
          <w:rFonts w:hint="eastAsia" w:eastAsia="宋体"/>
        </w:rPr>
        <w:t>4</w:t>
      </w:r>
      <w:r>
        <w:rPr>
          <w:rFonts w:hint="eastAsia"/>
        </w:rPr>
        <w:t>-</w:t>
      </w:r>
      <w:r>
        <w:rPr>
          <w:rFonts w:hint="eastAsia" w:eastAsia="宋体"/>
        </w:rPr>
        <w:t>3</w:t>
      </w:r>
      <w:r>
        <w:rPr>
          <w:rFonts w:hint="eastAsia" w:ascii="宋体" w:hAnsi="宋体" w:eastAsia="宋体" w:cs="宋体"/>
        </w:rPr>
        <w:t>。</w:t>
      </w:r>
    </w:p>
    <w:p w14:paraId="2C948A34">
      <w:pPr>
        <w:pStyle w:val="118"/>
      </w:pPr>
      <w:r>
        <w:rPr>
          <w:rFonts w:hint="eastAsia" w:ascii="宋体" w:hAnsi="宋体" w:cs="宋体"/>
        </w:rPr>
        <w:t>表</w:t>
      </w:r>
      <w:r>
        <w:rPr>
          <w:rFonts w:hint="eastAsia"/>
        </w:rPr>
        <w:t>5.4-3</w:t>
      </w:r>
      <w:r>
        <w:t xml:space="preserve">    水文地质参数取值一览表</w:t>
      </w:r>
    </w:p>
    <w:tbl>
      <w:tblPr>
        <w:tblStyle w:val="41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59"/>
        <w:gridCol w:w="1907"/>
        <w:gridCol w:w="2488"/>
        <w:gridCol w:w="2268"/>
      </w:tblGrid>
      <w:tr w14:paraId="1CAC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59" w:type="dxa"/>
            <w:vAlign w:val="center"/>
          </w:tcPr>
          <w:p w14:paraId="5986B246">
            <w:pPr>
              <w:pStyle w:val="133"/>
              <w:autoSpaceDE w:val="0"/>
              <w:autoSpaceDN w:val="0"/>
              <w:adjustRightInd w:val="0"/>
              <w:rPr>
                <w:b/>
                <w:bCs/>
              </w:rPr>
            </w:pPr>
            <w:r>
              <w:rPr>
                <w:b/>
                <w:bCs/>
              </w:rPr>
              <w:t>序号</w:t>
            </w:r>
          </w:p>
        </w:tc>
        <w:tc>
          <w:tcPr>
            <w:tcW w:w="1907" w:type="dxa"/>
            <w:vAlign w:val="center"/>
          </w:tcPr>
          <w:p w14:paraId="1F7208EA">
            <w:pPr>
              <w:pStyle w:val="133"/>
              <w:autoSpaceDE w:val="0"/>
              <w:autoSpaceDN w:val="0"/>
              <w:adjustRightInd w:val="0"/>
              <w:rPr>
                <w:b/>
                <w:bCs/>
              </w:rPr>
            </w:pPr>
            <w:r>
              <w:rPr>
                <w:b/>
                <w:bCs/>
              </w:rPr>
              <w:t>参数符号</w:t>
            </w:r>
          </w:p>
        </w:tc>
        <w:tc>
          <w:tcPr>
            <w:tcW w:w="2488" w:type="dxa"/>
            <w:vAlign w:val="center"/>
          </w:tcPr>
          <w:p w14:paraId="74CCB88B">
            <w:pPr>
              <w:pStyle w:val="133"/>
              <w:autoSpaceDE w:val="0"/>
              <w:autoSpaceDN w:val="0"/>
              <w:adjustRightInd w:val="0"/>
              <w:rPr>
                <w:b/>
                <w:bCs/>
              </w:rPr>
            </w:pPr>
            <w:r>
              <w:rPr>
                <w:b/>
                <w:bCs/>
              </w:rPr>
              <w:t>参数名称</w:t>
            </w:r>
          </w:p>
        </w:tc>
        <w:tc>
          <w:tcPr>
            <w:tcW w:w="2268" w:type="dxa"/>
            <w:vAlign w:val="center"/>
          </w:tcPr>
          <w:p w14:paraId="6CD0ADE5">
            <w:pPr>
              <w:pStyle w:val="133"/>
              <w:autoSpaceDE w:val="0"/>
              <w:autoSpaceDN w:val="0"/>
              <w:adjustRightInd w:val="0"/>
              <w:rPr>
                <w:b/>
                <w:bCs/>
              </w:rPr>
            </w:pPr>
            <w:r>
              <w:rPr>
                <w:b/>
                <w:bCs/>
              </w:rPr>
              <w:t>参数数值</w:t>
            </w:r>
          </w:p>
        </w:tc>
      </w:tr>
      <w:tr w14:paraId="35D7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59" w:type="dxa"/>
            <w:vAlign w:val="center"/>
          </w:tcPr>
          <w:p w14:paraId="1222CA9E">
            <w:pPr>
              <w:pStyle w:val="133"/>
              <w:autoSpaceDE w:val="0"/>
              <w:autoSpaceDN w:val="0"/>
              <w:adjustRightInd w:val="0"/>
            </w:pPr>
            <w:r>
              <w:t>1</w:t>
            </w:r>
          </w:p>
        </w:tc>
        <w:tc>
          <w:tcPr>
            <w:tcW w:w="1907" w:type="dxa"/>
            <w:vAlign w:val="center"/>
          </w:tcPr>
          <w:p w14:paraId="5BC3C01A">
            <w:pPr>
              <w:pStyle w:val="133"/>
              <w:autoSpaceDE w:val="0"/>
              <w:autoSpaceDN w:val="0"/>
              <w:adjustRightInd w:val="0"/>
            </w:pPr>
            <w:r>
              <w:t>u</w:t>
            </w:r>
          </w:p>
        </w:tc>
        <w:tc>
          <w:tcPr>
            <w:tcW w:w="2488" w:type="dxa"/>
            <w:vAlign w:val="center"/>
          </w:tcPr>
          <w:p w14:paraId="7FAD81D4">
            <w:pPr>
              <w:pStyle w:val="133"/>
              <w:autoSpaceDE w:val="0"/>
              <w:autoSpaceDN w:val="0"/>
              <w:adjustRightInd w:val="0"/>
            </w:pPr>
            <w:r>
              <w:t>水流速度</w:t>
            </w:r>
          </w:p>
        </w:tc>
        <w:tc>
          <w:tcPr>
            <w:tcW w:w="2268" w:type="dxa"/>
            <w:vAlign w:val="center"/>
          </w:tcPr>
          <w:p w14:paraId="3E5AA0CB">
            <w:pPr>
              <w:pStyle w:val="133"/>
              <w:autoSpaceDE w:val="0"/>
              <w:autoSpaceDN w:val="0"/>
              <w:adjustRightInd w:val="0"/>
            </w:pPr>
            <w:r>
              <w:rPr>
                <w:rFonts w:hint="eastAsia"/>
              </w:rPr>
              <w:t>0.08</w:t>
            </w:r>
            <w:r>
              <w:t>m</w:t>
            </w:r>
            <w:r>
              <w:rPr>
                <w:spacing w:val="3"/>
              </w:rPr>
              <w:t>/</w:t>
            </w:r>
            <w:r>
              <w:t>d</w:t>
            </w:r>
          </w:p>
        </w:tc>
      </w:tr>
      <w:tr w14:paraId="2B081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59" w:type="dxa"/>
            <w:vAlign w:val="center"/>
          </w:tcPr>
          <w:p w14:paraId="254F66EC">
            <w:pPr>
              <w:pStyle w:val="133"/>
              <w:autoSpaceDE w:val="0"/>
              <w:autoSpaceDN w:val="0"/>
              <w:adjustRightInd w:val="0"/>
            </w:pPr>
            <w:r>
              <w:t>2</w:t>
            </w:r>
          </w:p>
        </w:tc>
        <w:tc>
          <w:tcPr>
            <w:tcW w:w="1907" w:type="dxa"/>
            <w:vAlign w:val="center"/>
          </w:tcPr>
          <w:p w14:paraId="722C32D7">
            <w:pPr>
              <w:pStyle w:val="133"/>
              <w:autoSpaceDE w:val="0"/>
              <w:autoSpaceDN w:val="0"/>
              <w:adjustRightInd w:val="0"/>
            </w:pPr>
            <w:r>
              <w:t>D</w:t>
            </w:r>
            <w:r>
              <w:rPr>
                <w:vertAlign w:val="subscript"/>
              </w:rPr>
              <w:t>L</w:t>
            </w:r>
          </w:p>
        </w:tc>
        <w:tc>
          <w:tcPr>
            <w:tcW w:w="2488" w:type="dxa"/>
            <w:vAlign w:val="center"/>
          </w:tcPr>
          <w:p w14:paraId="24A74A68">
            <w:pPr>
              <w:pStyle w:val="133"/>
              <w:autoSpaceDE w:val="0"/>
              <w:autoSpaceDN w:val="0"/>
              <w:adjustRightInd w:val="0"/>
            </w:pPr>
            <w:r>
              <w:t>纵向弥散系数</w:t>
            </w:r>
          </w:p>
        </w:tc>
        <w:tc>
          <w:tcPr>
            <w:tcW w:w="2268" w:type="dxa"/>
            <w:vAlign w:val="center"/>
          </w:tcPr>
          <w:p w14:paraId="40DE4BA0">
            <w:pPr>
              <w:pStyle w:val="133"/>
              <w:autoSpaceDE w:val="0"/>
              <w:autoSpaceDN w:val="0"/>
              <w:adjustRightInd w:val="0"/>
            </w:pPr>
            <w:r>
              <w:rPr>
                <w:rFonts w:hint="eastAsia"/>
                <w:spacing w:val="7"/>
              </w:rPr>
              <w:t>0.4</w:t>
            </w:r>
            <w:r>
              <w:t>m</w:t>
            </w:r>
            <w:r>
              <w:rPr>
                <w:rFonts w:hint="eastAsia"/>
                <w:position w:val="7"/>
                <w:vertAlign w:val="subscript"/>
              </w:rPr>
              <w:t>2</w:t>
            </w:r>
            <w:r>
              <w:t>/d</w:t>
            </w:r>
          </w:p>
        </w:tc>
      </w:tr>
      <w:tr w14:paraId="48FC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59" w:type="dxa"/>
            <w:vAlign w:val="center"/>
          </w:tcPr>
          <w:p w14:paraId="7144EE75">
            <w:pPr>
              <w:pStyle w:val="133"/>
              <w:autoSpaceDE w:val="0"/>
              <w:autoSpaceDN w:val="0"/>
              <w:adjustRightInd w:val="0"/>
            </w:pPr>
            <w:r>
              <w:t>3</w:t>
            </w:r>
          </w:p>
        </w:tc>
        <w:tc>
          <w:tcPr>
            <w:tcW w:w="1907" w:type="dxa"/>
            <w:vAlign w:val="center"/>
          </w:tcPr>
          <w:p w14:paraId="7C7CFB7B">
            <w:pPr>
              <w:pStyle w:val="133"/>
              <w:autoSpaceDE w:val="0"/>
              <w:autoSpaceDN w:val="0"/>
              <w:adjustRightInd w:val="0"/>
            </w:pPr>
            <w:r>
              <w:t>M</w:t>
            </w:r>
          </w:p>
        </w:tc>
        <w:tc>
          <w:tcPr>
            <w:tcW w:w="2488" w:type="dxa"/>
            <w:vAlign w:val="center"/>
          </w:tcPr>
          <w:p w14:paraId="61C89CFC">
            <w:pPr>
              <w:pStyle w:val="133"/>
              <w:autoSpaceDE w:val="0"/>
              <w:autoSpaceDN w:val="0"/>
              <w:adjustRightInd w:val="0"/>
            </w:pPr>
            <w:r>
              <w:t>含水层厚度</w:t>
            </w:r>
          </w:p>
        </w:tc>
        <w:tc>
          <w:tcPr>
            <w:tcW w:w="2268" w:type="dxa"/>
            <w:vAlign w:val="center"/>
          </w:tcPr>
          <w:p w14:paraId="683B60C3">
            <w:pPr>
              <w:pStyle w:val="133"/>
              <w:autoSpaceDE w:val="0"/>
              <w:autoSpaceDN w:val="0"/>
              <w:adjustRightInd w:val="0"/>
            </w:pPr>
            <w:r>
              <w:t>30m</w:t>
            </w:r>
          </w:p>
        </w:tc>
      </w:tr>
      <w:tr w14:paraId="0AF6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59" w:type="dxa"/>
            <w:vAlign w:val="center"/>
          </w:tcPr>
          <w:p w14:paraId="073D507F">
            <w:pPr>
              <w:pStyle w:val="133"/>
              <w:autoSpaceDE w:val="0"/>
              <w:autoSpaceDN w:val="0"/>
              <w:adjustRightInd w:val="0"/>
            </w:pPr>
            <w:r>
              <w:t>4</w:t>
            </w:r>
          </w:p>
        </w:tc>
        <w:tc>
          <w:tcPr>
            <w:tcW w:w="1907" w:type="dxa"/>
            <w:vAlign w:val="center"/>
          </w:tcPr>
          <w:p w14:paraId="5645C1CC">
            <w:pPr>
              <w:pStyle w:val="133"/>
              <w:autoSpaceDE w:val="0"/>
              <w:autoSpaceDN w:val="0"/>
              <w:adjustRightInd w:val="0"/>
            </w:pPr>
            <w:r>
              <w:t>n</w:t>
            </w:r>
          </w:p>
        </w:tc>
        <w:tc>
          <w:tcPr>
            <w:tcW w:w="2488" w:type="dxa"/>
            <w:vAlign w:val="center"/>
          </w:tcPr>
          <w:p w14:paraId="4D2888A6">
            <w:pPr>
              <w:pStyle w:val="133"/>
              <w:autoSpaceDE w:val="0"/>
              <w:autoSpaceDN w:val="0"/>
              <w:adjustRightInd w:val="0"/>
            </w:pPr>
            <w:r>
              <w:t>有效孔隙度</w:t>
            </w:r>
          </w:p>
        </w:tc>
        <w:tc>
          <w:tcPr>
            <w:tcW w:w="2268" w:type="dxa"/>
            <w:vAlign w:val="center"/>
          </w:tcPr>
          <w:p w14:paraId="270F2478">
            <w:pPr>
              <w:pStyle w:val="133"/>
              <w:autoSpaceDE w:val="0"/>
              <w:autoSpaceDN w:val="0"/>
              <w:adjustRightInd w:val="0"/>
            </w:pPr>
            <w:r>
              <w:t>0.25</w:t>
            </w:r>
          </w:p>
        </w:tc>
      </w:tr>
      <w:tr w14:paraId="68C7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559" w:type="dxa"/>
            <w:vAlign w:val="center"/>
          </w:tcPr>
          <w:p w14:paraId="3A0D7F89">
            <w:pPr>
              <w:pStyle w:val="133"/>
              <w:autoSpaceDE w:val="0"/>
              <w:autoSpaceDN w:val="0"/>
              <w:adjustRightInd w:val="0"/>
            </w:pPr>
            <w:r>
              <w:rPr>
                <w:rFonts w:hint="eastAsia"/>
              </w:rPr>
              <w:t>5</w:t>
            </w:r>
          </w:p>
        </w:tc>
        <w:tc>
          <w:tcPr>
            <w:tcW w:w="1907" w:type="dxa"/>
            <w:vAlign w:val="center"/>
          </w:tcPr>
          <w:p w14:paraId="32E2849C">
            <w:pPr>
              <w:pStyle w:val="133"/>
              <w:autoSpaceDE w:val="0"/>
              <w:autoSpaceDN w:val="0"/>
              <w:adjustRightInd w:val="0"/>
            </w:pPr>
            <w:r>
              <w:rPr>
                <w:rFonts w:hint="eastAsia"/>
              </w:rPr>
              <w:t>k</w:t>
            </w:r>
          </w:p>
        </w:tc>
        <w:tc>
          <w:tcPr>
            <w:tcW w:w="2488" w:type="dxa"/>
            <w:vAlign w:val="center"/>
          </w:tcPr>
          <w:p w14:paraId="37062658">
            <w:pPr>
              <w:pStyle w:val="133"/>
              <w:autoSpaceDE w:val="0"/>
              <w:autoSpaceDN w:val="0"/>
              <w:adjustRightInd w:val="0"/>
            </w:pPr>
            <w:r>
              <w:rPr>
                <w:rFonts w:hint="eastAsia"/>
              </w:rPr>
              <w:t>渗透系数</w:t>
            </w:r>
          </w:p>
        </w:tc>
        <w:tc>
          <w:tcPr>
            <w:tcW w:w="2268" w:type="dxa"/>
            <w:vAlign w:val="center"/>
          </w:tcPr>
          <w:p w14:paraId="01F9D75D">
            <w:pPr>
              <w:pStyle w:val="133"/>
              <w:autoSpaceDE w:val="0"/>
              <w:autoSpaceDN w:val="0"/>
              <w:adjustRightInd w:val="0"/>
            </w:pPr>
            <w:r>
              <w:rPr>
                <w:rFonts w:hint="eastAsia"/>
              </w:rPr>
              <w:t>5m/d</w:t>
            </w:r>
          </w:p>
        </w:tc>
      </w:tr>
      <w:bookmarkEnd w:id="502"/>
    </w:tbl>
    <w:p w14:paraId="501D560F">
      <w:pPr>
        <w:pStyle w:val="944"/>
      </w:pPr>
      <w:r>
        <w:rPr>
          <w:rFonts w:hint="eastAsia"/>
        </w:rPr>
        <w:t>预测结果</w:t>
      </w:r>
    </w:p>
    <w:p w14:paraId="107B606F">
      <w:pPr>
        <w:pStyle w:val="257"/>
        <w:ind w:firstLine="480"/>
        <w:rPr>
          <w:rFonts w:hint="eastAsia" w:ascii="宋体" w:hAnsi="宋体" w:eastAsia="宋体" w:cs="宋体"/>
        </w:rPr>
      </w:pPr>
      <w:bookmarkStart w:id="503" w:name="_Hlk193110100"/>
      <w:r>
        <w:t>水污染物</w:t>
      </w:r>
      <w:r>
        <w:rPr>
          <w:rFonts w:hint="eastAsia"/>
        </w:rPr>
        <w:t>COD</w:t>
      </w:r>
      <w:r>
        <w:rPr>
          <w:rFonts w:hint="eastAsia" w:ascii="宋体" w:hAnsi="宋体" w:eastAsia="宋体" w:cs="宋体"/>
        </w:rPr>
        <w:t>、石油类、氨氮、挥发酚、硫化物、氰化物</w:t>
      </w:r>
      <w:r>
        <w:rPr>
          <w:rFonts w:hint="eastAsia"/>
        </w:rPr>
        <w:t>等</w:t>
      </w:r>
      <w:r>
        <w:t>在进入含水层100d、3</w:t>
      </w:r>
      <w:r>
        <w:rPr>
          <w:rFonts w:hint="eastAsia"/>
        </w:rPr>
        <w:t>65</w:t>
      </w:r>
      <w:r>
        <w:t>d</w:t>
      </w:r>
      <w:r>
        <w:rPr>
          <w:rFonts w:hint="eastAsia"/>
        </w:rPr>
        <w:t>、1000d、3</w:t>
      </w:r>
      <w:r>
        <w:t>650</w:t>
      </w:r>
      <w:r>
        <w:rPr>
          <w:rFonts w:hint="eastAsia"/>
        </w:rPr>
        <w:t>d</w:t>
      </w:r>
      <w:r>
        <w:t>的迁移预测结果见</w:t>
      </w:r>
      <w:r>
        <w:rPr>
          <w:rFonts w:hint="eastAsia"/>
        </w:rPr>
        <w:t>下图</w:t>
      </w:r>
      <w:r>
        <w:rPr>
          <w:rFonts w:hint="eastAsia" w:ascii="宋体" w:hAnsi="宋体" w:eastAsia="宋体" w:cs="宋体"/>
        </w:rPr>
        <w:t>。</w:t>
      </w:r>
    </w:p>
    <w:p w14:paraId="3B86812F">
      <w:pPr>
        <w:pStyle w:val="257"/>
        <w:ind w:firstLine="480"/>
        <w:rPr>
          <w:rFonts w:hint="eastAsia" w:ascii="宋体" w:hAnsi="宋体" w:eastAsia="宋体" w:cs="宋体"/>
        </w:rPr>
      </w:pPr>
    </w:p>
    <w:p w14:paraId="3216B481">
      <w:pPr>
        <w:pStyle w:val="257"/>
        <w:ind w:firstLine="480"/>
        <w:rPr>
          <w:rFonts w:hint="eastAsia" w:ascii="宋体" w:hAnsi="宋体" w:eastAsia="宋体" w:cs="宋体"/>
        </w:rPr>
      </w:pPr>
      <w:r>
        <w:rPr>
          <w:rFonts w:hint="eastAsia" w:ascii="宋体" w:hAnsi="宋体" w:eastAsia="宋体" w:cs="宋体"/>
        </w:rPr>
        <w:t>非正常工况下，水污染物</w:t>
      </w:r>
      <w:r>
        <w:t>COD</w:t>
      </w:r>
      <w:r>
        <w:rPr>
          <w:rFonts w:hint="eastAsia" w:ascii="宋体" w:hAnsi="宋体" w:eastAsia="宋体" w:cs="宋体"/>
        </w:rPr>
        <w:t>进入含水层</w:t>
      </w:r>
      <w:r>
        <w:t>100d</w:t>
      </w:r>
      <w:r>
        <w:rPr>
          <w:rFonts w:hint="eastAsia" w:ascii="宋体" w:hAnsi="宋体" w:eastAsia="宋体" w:cs="宋体"/>
        </w:rPr>
        <w:t>迁移：下游最大浓度为：</w:t>
      </w:r>
      <w:r>
        <w:rPr>
          <w:rFonts w:hint="eastAsia" w:eastAsia="宋体"/>
        </w:rPr>
        <w:t>6710.56</w:t>
      </w:r>
      <w:r>
        <w:t>mg/</w:t>
      </w:r>
      <w:r>
        <w:rPr>
          <w:rFonts w:hint="eastAsia"/>
        </w:rPr>
        <w:t>L</w:t>
      </w:r>
      <w:r>
        <w:rPr>
          <w:rFonts w:hint="eastAsia" w:ascii="宋体" w:hAnsi="宋体" w:eastAsia="宋体" w:cs="宋体"/>
        </w:rPr>
        <w:t>，超标距离最远为</w:t>
      </w:r>
      <w:r>
        <w:rPr>
          <w:rFonts w:hint="eastAsia" w:eastAsia="宋体"/>
        </w:rPr>
        <w:t>44</w:t>
      </w:r>
      <w:r>
        <w:t>m</w:t>
      </w:r>
      <w:r>
        <w:rPr>
          <w:rFonts w:hint="eastAsia" w:ascii="宋体" w:hAnsi="宋体" w:eastAsia="宋体" w:cs="宋体"/>
        </w:rPr>
        <w:t>，超标面积为</w:t>
      </w:r>
      <w:r>
        <w:rPr>
          <w:rFonts w:hint="eastAsia" w:eastAsia="宋体"/>
        </w:rPr>
        <w:t>1223</w:t>
      </w:r>
      <w:r>
        <w:t>m</w:t>
      </w:r>
      <w:r>
        <w:rPr>
          <w:vertAlign w:val="superscript"/>
        </w:rPr>
        <w:t>2</w:t>
      </w:r>
      <w:r>
        <w:rPr>
          <w:rFonts w:hint="eastAsia" w:ascii="宋体" w:hAnsi="宋体" w:eastAsia="宋体" w:cs="宋体"/>
        </w:rPr>
        <w:t>；水污染物</w:t>
      </w:r>
      <w:r>
        <w:t>COD</w:t>
      </w:r>
      <w:r>
        <w:rPr>
          <w:rFonts w:hint="eastAsia" w:ascii="宋体" w:hAnsi="宋体" w:eastAsia="宋体" w:cs="宋体"/>
        </w:rPr>
        <w:t>进入含水层</w:t>
      </w:r>
      <w:r>
        <w:rPr>
          <w:rFonts w:hint="eastAsia"/>
        </w:rPr>
        <w:t>365</w:t>
      </w:r>
      <w:r>
        <w:t>d</w:t>
      </w:r>
      <w:r>
        <w:rPr>
          <w:rFonts w:hint="eastAsia" w:ascii="宋体" w:hAnsi="宋体" w:eastAsia="宋体" w:cs="宋体"/>
        </w:rPr>
        <w:t>迁移：下游最大浓度为：</w:t>
      </w:r>
      <w:r>
        <w:rPr>
          <w:rFonts w:hint="eastAsia" w:eastAsia="宋体"/>
        </w:rPr>
        <w:t>1838.51</w:t>
      </w:r>
      <w:r>
        <w:t>mg/</w:t>
      </w:r>
      <w:r>
        <w:rPr>
          <w:rFonts w:hint="eastAsia"/>
        </w:rPr>
        <w:t>L</w:t>
      </w:r>
      <w:r>
        <w:rPr>
          <w:rFonts w:hint="eastAsia" w:ascii="宋体" w:hAnsi="宋体" w:eastAsia="宋体" w:cs="宋体"/>
        </w:rPr>
        <w:t>，超标距离最远为</w:t>
      </w:r>
      <w:r>
        <w:rPr>
          <w:rFonts w:hint="eastAsia" w:eastAsia="宋体"/>
        </w:rPr>
        <w:t>91.2</w:t>
      </w:r>
      <w:r>
        <w:t>m</w:t>
      </w:r>
      <w:r>
        <w:rPr>
          <w:rFonts w:hint="eastAsia" w:ascii="宋体" w:hAnsi="宋体" w:eastAsia="宋体" w:cs="宋体"/>
        </w:rPr>
        <w:t>，超标面积为</w:t>
      </w:r>
      <w:r>
        <w:rPr>
          <w:rFonts w:hint="eastAsia" w:eastAsia="宋体"/>
        </w:rPr>
        <w:t>3730</w:t>
      </w:r>
      <w:r>
        <w:t>m</w:t>
      </w:r>
      <w:r>
        <w:rPr>
          <w:vertAlign w:val="superscript"/>
        </w:rPr>
        <w:t>2</w:t>
      </w:r>
      <w:r>
        <w:rPr>
          <w:rFonts w:hint="eastAsia" w:ascii="宋体" w:hAnsi="宋体" w:eastAsia="宋体" w:cs="宋体"/>
        </w:rPr>
        <w:t>；水污染物</w:t>
      </w:r>
      <w:r>
        <w:t>COD</w:t>
      </w:r>
      <w:r>
        <w:rPr>
          <w:rFonts w:hint="eastAsia" w:ascii="宋体" w:hAnsi="宋体" w:eastAsia="宋体" w:cs="宋体"/>
        </w:rPr>
        <w:t>进入含水层</w:t>
      </w:r>
      <w:r>
        <w:rPr>
          <w:rFonts w:hint="eastAsia"/>
        </w:rPr>
        <w:t>1000</w:t>
      </w:r>
      <w:r>
        <w:t>d</w:t>
      </w:r>
      <w:r>
        <w:rPr>
          <w:rFonts w:hint="eastAsia" w:ascii="宋体" w:hAnsi="宋体" w:eastAsia="宋体" w:cs="宋体"/>
        </w:rPr>
        <w:t>迁移：下游最大浓度为：</w:t>
      </w:r>
      <w:r>
        <w:rPr>
          <w:rFonts w:hint="eastAsia" w:eastAsia="宋体"/>
        </w:rPr>
        <w:t>671.06</w:t>
      </w:r>
      <w:r>
        <w:t>mg/</w:t>
      </w:r>
      <w:r>
        <w:rPr>
          <w:rFonts w:hint="eastAsia"/>
        </w:rPr>
        <w:t>L</w:t>
      </w:r>
      <w:r>
        <w:rPr>
          <w:rFonts w:hint="eastAsia" w:ascii="宋体" w:hAnsi="宋体" w:eastAsia="宋体" w:cs="宋体"/>
        </w:rPr>
        <w:t>，超标距离最远为</w:t>
      </w:r>
      <w:r>
        <w:rPr>
          <w:rFonts w:hint="eastAsia" w:eastAsia="宋体"/>
        </w:rPr>
        <w:t>174</w:t>
      </w:r>
      <w:r>
        <w:t>m</w:t>
      </w:r>
      <w:r>
        <w:rPr>
          <w:rFonts w:hint="eastAsia" w:ascii="宋体" w:hAnsi="宋体" w:eastAsia="宋体" w:cs="宋体"/>
        </w:rPr>
        <w:t>，超标面积为</w:t>
      </w:r>
      <w:r>
        <w:rPr>
          <w:rFonts w:hint="eastAsia" w:eastAsia="宋体"/>
        </w:rPr>
        <w:t>8603</w:t>
      </w:r>
      <w:r>
        <w:t>m</w:t>
      </w:r>
      <w:r>
        <w:rPr>
          <w:vertAlign w:val="superscript"/>
        </w:rPr>
        <w:t>2</w:t>
      </w:r>
      <w:r>
        <w:rPr>
          <w:rFonts w:hint="eastAsia" w:ascii="宋体" w:hAnsi="宋体" w:eastAsia="宋体" w:cs="宋体"/>
        </w:rPr>
        <w:t>；水污染物</w:t>
      </w:r>
      <w:r>
        <w:t>COD</w:t>
      </w:r>
      <w:r>
        <w:rPr>
          <w:rFonts w:hint="eastAsia" w:ascii="宋体" w:hAnsi="宋体" w:eastAsia="宋体" w:cs="宋体"/>
        </w:rPr>
        <w:t>进入含水层</w:t>
      </w:r>
      <w:r>
        <w:t>3650d</w:t>
      </w:r>
      <w:r>
        <w:rPr>
          <w:rFonts w:hint="eastAsia" w:ascii="宋体" w:hAnsi="宋体" w:eastAsia="宋体" w:cs="宋体"/>
        </w:rPr>
        <w:t>迁移：下游最大浓度为：</w:t>
      </w:r>
      <w:r>
        <w:rPr>
          <w:rFonts w:hint="eastAsia" w:eastAsia="宋体"/>
        </w:rPr>
        <w:t>183.85</w:t>
      </w:r>
      <w:r>
        <w:t>mg/</w:t>
      </w:r>
      <w:r>
        <w:rPr>
          <w:rFonts w:hint="eastAsia"/>
        </w:rPr>
        <w:t>L</w:t>
      </w:r>
      <w:r>
        <w:rPr>
          <w:rFonts w:hint="eastAsia" w:ascii="宋体" w:hAnsi="宋体" w:eastAsia="宋体" w:cs="宋体"/>
        </w:rPr>
        <w:t>，超标距离最远为</w:t>
      </w:r>
      <w:r>
        <w:rPr>
          <w:rFonts w:hint="eastAsia" w:eastAsia="宋体"/>
        </w:rPr>
        <w:t>448</w:t>
      </w:r>
      <w:r>
        <w:t>m</w:t>
      </w:r>
      <w:r>
        <w:rPr>
          <w:rFonts w:hint="eastAsia" w:ascii="宋体" w:hAnsi="宋体" w:eastAsia="宋体" w:cs="宋体"/>
        </w:rPr>
        <w:t>，超标面积为</w:t>
      </w:r>
      <w:r>
        <w:rPr>
          <w:rFonts w:hint="eastAsia" w:eastAsia="宋体"/>
        </w:rPr>
        <w:t>23880.58</w:t>
      </w:r>
      <w:r>
        <w:t>m</w:t>
      </w:r>
      <w:r>
        <w:rPr>
          <w:vertAlign w:val="superscript"/>
        </w:rPr>
        <w:t>2</w:t>
      </w:r>
      <w:r>
        <w:rPr>
          <w:rFonts w:hint="eastAsia" w:ascii="宋体" w:hAnsi="宋体" w:eastAsia="宋体" w:cs="宋体"/>
        </w:rPr>
        <w:t>。</w:t>
      </w:r>
    </w:p>
    <w:p w14:paraId="2C1776D5">
      <w:pPr>
        <w:pStyle w:val="257"/>
        <w:ind w:firstLine="480"/>
        <w:rPr>
          <w:rFonts w:eastAsia="宋体"/>
        </w:rPr>
      </w:pPr>
      <w:r>
        <w:rPr>
          <w:rFonts w:hint="eastAsia" w:ascii="宋体" w:hAnsi="宋体" w:eastAsia="宋体" w:cs="宋体"/>
        </w:rPr>
        <w:t>非正常工况下，水污染物氨氮进入含水层</w:t>
      </w:r>
      <w:r>
        <w:rPr>
          <w:rFonts w:hint="eastAsia"/>
        </w:rPr>
        <w:t>100</w:t>
      </w:r>
      <w:r>
        <w:t>d</w:t>
      </w:r>
      <w:r>
        <w:rPr>
          <w:rFonts w:hint="eastAsia" w:ascii="宋体" w:hAnsi="宋体" w:eastAsia="宋体" w:cs="宋体"/>
        </w:rPr>
        <w:t>迁移：下游最大浓度为：</w:t>
      </w:r>
      <w:r>
        <w:rPr>
          <w:rFonts w:hint="eastAsia" w:eastAsia="宋体"/>
        </w:rPr>
        <w:t>754.94</w:t>
      </w:r>
      <w:r>
        <w:t>mg/</w:t>
      </w:r>
      <w:r>
        <w:rPr>
          <w:rFonts w:hint="eastAsia"/>
        </w:rPr>
        <w:t>L</w:t>
      </w:r>
      <w:r>
        <w:rPr>
          <w:rFonts w:hint="eastAsia" w:ascii="宋体" w:hAnsi="宋体" w:eastAsia="宋体" w:cs="宋体"/>
        </w:rPr>
        <w:t>，超标距离最远为</w:t>
      </w:r>
      <w:r>
        <w:rPr>
          <w:rFonts w:hint="eastAsia" w:eastAsia="宋体"/>
        </w:rPr>
        <w:t>43</w:t>
      </w:r>
      <w:r>
        <w:t>m</w:t>
      </w:r>
      <w:r>
        <w:rPr>
          <w:rFonts w:hint="eastAsia" w:ascii="宋体" w:hAnsi="宋体" w:eastAsia="宋体" w:cs="宋体"/>
        </w:rPr>
        <w:t>，超标面积为</w:t>
      </w:r>
      <w:r>
        <w:rPr>
          <w:rFonts w:hint="eastAsia" w:eastAsia="宋体"/>
        </w:rPr>
        <w:t>1166</w:t>
      </w:r>
      <w:r>
        <w:t>m</w:t>
      </w:r>
      <w:r>
        <w:rPr>
          <w:vertAlign w:val="superscript"/>
        </w:rPr>
        <w:t>2</w:t>
      </w:r>
      <w:r>
        <w:rPr>
          <w:rFonts w:hint="eastAsia" w:ascii="宋体" w:hAnsi="宋体" w:eastAsia="宋体" w:cs="宋体"/>
        </w:rPr>
        <w:t>；水污染物氨氮进入含水层</w:t>
      </w:r>
      <w:r>
        <w:rPr>
          <w:rFonts w:hint="eastAsia"/>
        </w:rPr>
        <w:t>365</w:t>
      </w:r>
      <w:r>
        <w:t>d</w:t>
      </w:r>
      <w:r>
        <w:rPr>
          <w:rFonts w:hint="eastAsia" w:ascii="宋体" w:hAnsi="宋体" w:eastAsia="宋体" w:cs="宋体"/>
        </w:rPr>
        <w:t>迁移：下游最大浓度为：</w:t>
      </w:r>
      <w:r>
        <w:rPr>
          <w:rFonts w:hint="eastAsia" w:eastAsia="宋体"/>
        </w:rPr>
        <w:t>206.83</w:t>
      </w:r>
      <w:r>
        <w:t>mg/</w:t>
      </w:r>
      <w:r>
        <w:rPr>
          <w:rFonts w:hint="eastAsia"/>
        </w:rPr>
        <w:t>L</w:t>
      </w:r>
      <w:r>
        <w:rPr>
          <w:rFonts w:hint="eastAsia" w:ascii="宋体" w:hAnsi="宋体" w:eastAsia="宋体" w:cs="宋体"/>
        </w:rPr>
        <w:t>，超标距离最远为</w:t>
      </w:r>
      <w:r>
        <w:rPr>
          <w:rFonts w:hint="eastAsia" w:eastAsia="宋体"/>
        </w:rPr>
        <w:t>89.2</w:t>
      </w:r>
      <w:r>
        <w:t>m</w:t>
      </w:r>
      <w:r>
        <w:rPr>
          <w:rFonts w:hint="eastAsia" w:ascii="宋体" w:hAnsi="宋体" w:eastAsia="宋体" w:cs="宋体"/>
        </w:rPr>
        <w:t>，超标面积为</w:t>
      </w:r>
      <w:r>
        <w:rPr>
          <w:rFonts w:hint="eastAsia" w:eastAsia="宋体"/>
        </w:rPr>
        <w:t>3489</w:t>
      </w:r>
      <w:r>
        <w:t>m</w:t>
      </w:r>
      <w:r>
        <w:rPr>
          <w:vertAlign w:val="superscript"/>
        </w:rPr>
        <w:t>2</w:t>
      </w:r>
      <w:r>
        <w:rPr>
          <w:rFonts w:hint="eastAsia" w:ascii="宋体" w:hAnsi="宋体" w:eastAsia="宋体" w:cs="宋体"/>
        </w:rPr>
        <w:t>；污染物氨氮进入含水层</w:t>
      </w:r>
      <w:r>
        <w:t>1000d</w:t>
      </w:r>
      <w:r>
        <w:rPr>
          <w:rFonts w:hint="eastAsia" w:ascii="宋体" w:hAnsi="宋体" w:eastAsia="宋体" w:cs="宋体"/>
        </w:rPr>
        <w:t>迁移：下游最大浓度为：</w:t>
      </w:r>
      <w:r>
        <w:rPr>
          <w:rFonts w:hint="eastAsia" w:eastAsia="宋体"/>
        </w:rPr>
        <w:t>75.49</w:t>
      </w:r>
      <w:r>
        <w:t>mg/</w:t>
      </w:r>
      <w:r>
        <w:rPr>
          <w:rFonts w:hint="eastAsia"/>
        </w:rPr>
        <w:t>L</w:t>
      </w:r>
      <w:r>
        <w:rPr>
          <w:rFonts w:hint="eastAsia" w:ascii="宋体" w:hAnsi="宋体" w:eastAsia="宋体" w:cs="宋体"/>
        </w:rPr>
        <w:t>，超标距离最远为</w:t>
      </w:r>
      <w:r>
        <w:rPr>
          <w:rFonts w:hint="eastAsia" w:eastAsia="宋体"/>
        </w:rPr>
        <w:t>170</w:t>
      </w:r>
      <w:r>
        <w:t>m</w:t>
      </w:r>
      <w:r>
        <w:rPr>
          <w:rFonts w:hint="eastAsia" w:ascii="宋体" w:hAnsi="宋体" w:eastAsia="宋体" w:cs="宋体"/>
        </w:rPr>
        <w:t>，超标面积为</w:t>
      </w:r>
      <w:r>
        <w:rPr>
          <w:rFonts w:hint="eastAsia" w:eastAsia="宋体"/>
        </w:rPr>
        <w:t>7966</w:t>
      </w:r>
      <w:r>
        <w:t>m</w:t>
      </w:r>
      <w:r>
        <w:rPr>
          <w:vertAlign w:val="superscript"/>
        </w:rPr>
        <w:t>2</w:t>
      </w:r>
      <w:r>
        <w:rPr>
          <w:rFonts w:hint="eastAsia" w:ascii="宋体" w:hAnsi="宋体" w:eastAsia="宋体" w:cs="宋体"/>
        </w:rPr>
        <w:t>；水污染物氨氮进入含水层</w:t>
      </w:r>
      <w:r>
        <w:t>3650d</w:t>
      </w:r>
      <w:r>
        <w:rPr>
          <w:rFonts w:hint="eastAsia" w:ascii="宋体" w:hAnsi="宋体" w:eastAsia="宋体" w:cs="宋体"/>
        </w:rPr>
        <w:t>迁移：下游最大浓度为：</w:t>
      </w:r>
      <w:r>
        <w:rPr>
          <w:rFonts w:hint="eastAsia" w:eastAsia="宋体"/>
        </w:rPr>
        <w:t>20.68</w:t>
      </w:r>
      <w:r>
        <w:t>mg/</w:t>
      </w:r>
      <w:r>
        <w:rPr>
          <w:rFonts w:hint="eastAsia"/>
        </w:rPr>
        <w:t>L</w:t>
      </w:r>
      <w:r>
        <w:rPr>
          <w:rFonts w:hint="eastAsia" w:ascii="宋体" w:hAnsi="宋体" w:eastAsia="宋体" w:cs="宋体"/>
        </w:rPr>
        <w:t>，超标距离最远为</w:t>
      </w:r>
      <w:r>
        <w:rPr>
          <w:rFonts w:hint="eastAsia" w:eastAsia="宋体"/>
        </w:rPr>
        <w:t>44</w:t>
      </w:r>
      <w:r>
        <w:rPr>
          <w:rFonts w:hint="eastAsia"/>
        </w:rPr>
        <w:t>0</w:t>
      </w:r>
      <w:r>
        <w:t>m</w:t>
      </w:r>
      <w:r>
        <w:rPr>
          <w:rFonts w:hint="eastAsia" w:ascii="宋体" w:hAnsi="宋体" w:eastAsia="宋体" w:cs="宋体"/>
        </w:rPr>
        <w:t>，超标面积为</w:t>
      </w:r>
      <w:r>
        <w:rPr>
          <w:rFonts w:hint="eastAsia" w:eastAsia="宋体"/>
        </w:rPr>
        <w:t>21596.2</w:t>
      </w:r>
      <w:r>
        <w:t>m</w:t>
      </w:r>
      <w:r>
        <w:rPr>
          <w:vertAlign w:val="superscript"/>
        </w:rPr>
        <w:t>2</w:t>
      </w:r>
      <w:r>
        <w:rPr>
          <w:rFonts w:hint="eastAsia" w:ascii="宋体" w:hAnsi="宋体" w:eastAsia="宋体" w:cs="宋体"/>
        </w:rPr>
        <w:t>。</w:t>
      </w:r>
    </w:p>
    <w:p w14:paraId="1B36852D">
      <w:pPr>
        <w:pStyle w:val="257"/>
        <w:ind w:firstLine="480"/>
        <w:rPr>
          <w:rFonts w:hint="eastAsia" w:ascii="宋体" w:hAnsi="宋体" w:eastAsia="宋体" w:cs="宋体"/>
        </w:rPr>
      </w:pPr>
      <w:r>
        <w:rPr>
          <w:rFonts w:hint="eastAsia" w:ascii="宋体" w:hAnsi="宋体" w:eastAsia="宋体" w:cs="宋体"/>
        </w:rPr>
        <w:t>非正常工况下，水污染物挥发酚进入含水层</w:t>
      </w:r>
      <w:r>
        <w:rPr>
          <w:rFonts w:hint="eastAsia"/>
        </w:rPr>
        <w:t>100</w:t>
      </w:r>
      <w:r>
        <w:t>d</w:t>
      </w:r>
      <w:r>
        <w:rPr>
          <w:rFonts w:hint="eastAsia" w:ascii="宋体" w:hAnsi="宋体" w:eastAsia="宋体" w:cs="宋体"/>
        </w:rPr>
        <w:t>迁移：下游最大浓度为：</w:t>
      </w:r>
      <w:r>
        <w:rPr>
          <w:rFonts w:hint="eastAsia" w:eastAsia="宋体"/>
        </w:rPr>
        <w:t>503.29</w:t>
      </w:r>
      <w:r>
        <w:t>mg/</w:t>
      </w:r>
      <w:r>
        <w:rPr>
          <w:rFonts w:hint="eastAsia"/>
        </w:rPr>
        <w:t>L</w:t>
      </w:r>
      <w:r>
        <w:rPr>
          <w:rFonts w:hint="eastAsia" w:ascii="宋体" w:hAnsi="宋体" w:eastAsia="宋体" w:cs="宋体"/>
        </w:rPr>
        <w:t>，超标距离最远为</w:t>
      </w:r>
      <w:r>
        <w:rPr>
          <w:rFonts w:hint="eastAsia" w:eastAsia="宋体"/>
        </w:rPr>
        <w:t>53</w:t>
      </w:r>
      <w:r>
        <w:t>m</w:t>
      </w:r>
      <w:r>
        <w:rPr>
          <w:rFonts w:hint="eastAsia" w:ascii="宋体" w:hAnsi="宋体" w:eastAsia="宋体" w:cs="宋体"/>
        </w:rPr>
        <w:t>，超标面积为</w:t>
      </w:r>
      <w:r>
        <w:rPr>
          <w:rFonts w:hint="eastAsia" w:eastAsia="宋体"/>
        </w:rPr>
        <w:t>1972</w:t>
      </w:r>
      <w:r>
        <w:t>m</w:t>
      </w:r>
      <w:r>
        <w:rPr>
          <w:vertAlign w:val="superscript"/>
        </w:rPr>
        <w:t>2</w:t>
      </w:r>
      <w:r>
        <w:rPr>
          <w:rFonts w:hint="eastAsia" w:ascii="宋体" w:hAnsi="宋体" w:eastAsia="宋体" w:cs="宋体"/>
        </w:rPr>
        <w:t>；水污染物挥发酚进入含水层</w:t>
      </w:r>
      <w:r>
        <w:t>365d</w:t>
      </w:r>
      <w:r>
        <w:rPr>
          <w:rFonts w:hint="eastAsia" w:ascii="宋体" w:hAnsi="宋体" w:eastAsia="宋体" w:cs="宋体"/>
        </w:rPr>
        <w:t>迁移：下游最大浓度为：</w:t>
      </w:r>
      <w:r>
        <w:rPr>
          <w:rFonts w:hint="eastAsia" w:eastAsia="宋体"/>
        </w:rPr>
        <w:t>137.89</w:t>
      </w:r>
      <w:r>
        <w:t>mg/</w:t>
      </w:r>
      <w:r>
        <w:rPr>
          <w:rFonts w:hint="eastAsia"/>
        </w:rPr>
        <w:t>L</w:t>
      </w:r>
      <w:r>
        <w:rPr>
          <w:rFonts w:hint="eastAsia" w:ascii="宋体" w:hAnsi="宋体" w:eastAsia="宋体" w:cs="宋体"/>
        </w:rPr>
        <w:t>，超标距离最远为</w:t>
      </w:r>
      <w:r>
        <w:rPr>
          <w:rFonts w:hint="eastAsia" w:eastAsia="宋体"/>
        </w:rPr>
        <w:t>110.2</w:t>
      </w:r>
      <w:r>
        <w:t>m</w:t>
      </w:r>
      <w:r>
        <w:rPr>
          <w:rFonts w:hint="eastAsia" w:ascii="宋体" w:hAnsi="宋体" w:eastAsia="宋体" w:cs="宋体"/>
        </w:rPr>
        <w:t>，超标面积为</w:t>
      </w:r>
      <w:r>
        <w:rPr>
          <w:rFonts w:hint="eastAsia" w:eastAsia="宋体"/>
        </w:rPr>
        <w:t>6462</w:t>
      </w:r>
      <w:r>
        <w:t>m</w:t>
      </w:r>
      <w:r>
        <w:rPr>
          <w:vertAlign w:val="superscript"/>
        </w:rPr>
        <w:t>2</w:t>
      </w:r>
      <w:r>
        <w:rPr>
          <w:rFonts w:hint="eastAsia" w:ascii="宋体" w:hAnsi="宋体" w:eastAsia="宋体" w:cs="宋体"/>
        </w:rPr>
        <w:t>；水污染物挥发酚进入含水层</w:t>
      </w:r>
      <w:r>
        <w:rPr>
          <w:rFonts w:hint="eastAsia"/>
        </w:rPr>
        <w:t>10</w:t>
      </w:r>
      <w:r>
        <w:t>0</w:t>
      </w:r>
      <w:r>
        <w:rPr>
          <w:rFonts w:hint="eastAsia"/>
        </w:rPr>
        <w:t>0</w:t>
      </w:r>
      <w:r>
        <w:t>d</w:t>
      </w:r>
      <w:r>
        <w:rPr>
          <w:rFonts w:hint="eastAsia" w:ascii="宋体" w:hAnsi="宋体" w:eastAsia="宋体" w:cs="宋体"/>
        </w:rPr>
        <w:t>迁移：下游最大浓度为：</w:t>
      </w:r>
      <w:r>
        <w:rPr>
          <w:rFonts w:hint="eastAsia" w:eastAsia="宋体"/>
        </w:rPr>
        <w:t>50.33</w:t>
      </w:r>
      <w:r>
        <w:t>mg/</w:t>
      </w:r>
      <w:r>
        <w:rPr>
          <w:rFonts w:hint="eastAsia"/>
        </w:rPr>
        <w:t>L</w:t>
      </w:r>
      <w:r>
        <w:rPr>
          <w:rFonts w:hint="eastAsia" w:ascii="宋体" w:hAnsi="宋体" w:eastAsia="宋体" w:cs="宋体"/>
        </w:rPr>
        <w:t>，超标距离最远为</w:t>
      </w:r>
      <w:r>
        <w:rPr>
          <w:rFonts w:hint="eastAsia" w:eastAsia="宋体"/>
        </w:rPr>
        <w:t>208</w:t>
      </w:r>
      <w:r>
        <w:t>m</w:t>
      </w:r>
      <w:r>
        <w:rPr>
          <w:rFonts w:hint="eastAsia" w:ascii="宋体" w:hAnsi="宋体" w:eastAsia="宋体" w:cs="宋体"/>
        </w:rPr>
        <w:t>，超标面积为</w:t>
      </w:r>
      <w:r>
        <w:rPr>
          <w:rFonts w:hint="eastAsia" w:eastAsia="宋体"/>
        </w:rPr>
        <w:t>16092</w:t>
      </w:r>
      <w:r>
        <w:t>m</w:t>
      </w:r>
      <w:r>
        <w:rPr>
          <w:vertAlign w:val="superscript"/>
        </w:rPr>
        <w:t>2</w:t>
      </w:r>
      <w:r>
        <w:rPr>
          <w:rFonts w:hint="eastAsia" w:ascii="宋体" w:hAnsi="宋体" w:eastAsia="宋体" w:cs="宋体"/>
        </w:rPr>
        <w:t>；水污染物挥发酚进入含水层</w:t>
      </w:r>
      <w:r>
        <w:t>3650d</w:t>
      </w:r>
      <w:r>
        <w:rPr>
          <w:rFonts w:hint="eastAsia" w:ascii="宋体" w:hAnsi="宋体" w:eastAsia="宋体" w:cs="宋体"/>
        </w:rPr>
        <w:t>迁移，下游最大浓度为：</w:t>
      </w:r>
      <w:r>
        <w:rPr>
          <w:rFonts w:hint="eastAsia" w:eastAsia="宋体"/>
        </w:rPr>
        <w:t>13.79</w:t>
      </w:r>
      <w:r>
        <w:t>mg/</w:t>
      </w:r>
      <w:r>
        <w:rPr>
          <w:rFonts w:hint="eastAsia"/>
        </w:rPr>
        <w:t>L</w:t>
      </w:r>
      <w:r>
        <w:rPr>
          <w:rFonts w:hint="eastAsia" w:ascii="宋体" w:hAnsi="宋体" w:eastAsia="宋体" w:cs="宋体"/>
        </w:rPr>
        <w:t>，超标距离最远为</w:t>
      </w:r>
      <w:r>
        <w:rPr>
          <w:rFonts w:hint="eastAsia" w:eastAsia="宋体"/>
        </w:rPr>
        <w:t>520</w:t>
      </w:r>
      <w:r>
        <w:t>m</w:t>
      </w:r>
      <w:r>
        <w:rPr>
          <w:rFonts w:hint="eastAsia" w:ascii="宋体" w:hAnsi="宋体" w:eastAsia="宋体" w:cs="宋体"/>
        </w:rPr>
        <w:t>，超标面积为</w:t>
      </w:r>
      <w:r>
        <w:rPr>
          <w:rFonts w:hint="eastAsia" w:eastAsia="宋体"/>
        </w:rPr>
        <w:t>51276.37</w:t>
      </w:r>
      <w:r>
        <w:t>m</w:t>
      </w:r>
      <w:r>
        <w:rPr>
          <w:vertAlign w:val="superscript"/>
        </w:rPr>
        <w:t>2</w:t>
      </w:r>
      <w:r>
        <w:rPr>
          <w:rFonts w:hint="eastAsia" w:eastAsia="宋体"/>
        </w:rPr>
        <w:t>.</w:t>
      </w:r>
    </w:p>
    <w:p w14:paraId="159FC0E1">
      <w:pPr>
        <w:pStyle w:val="257"/>
        <w:ind w:firstLine="480"/>
        <w:rPr>
          <w:rFonts w:hint="eastAsia" w:ascii="宋体" w:hAnsi="宋体" w:eastAsia="宋体" w:cs="宋体"/>
        </w:rPr>
      </w:pPr>
      <w:r>
        <w:rPr>
          <w:rFonts w:hint="eastAsia" w:ascii="宋体" w:hAnsi="宋体" w:eastAsia="宋体" w:cs="宋体"/>
        </w:rPr>
        <w:t>非正常工况下，水污染物硫化物进入含水层</w:t>
      </w:r>
      <w:r>
        <w:rPr>
          <w:rFonts w:hint="eastAsia"/>
        </w:rPr>
        <w:t>100</w:t>
      </w:r>
      <w:r>
        <w:t>d</w:t>
      </w:r>
      <w:r>
        <w:rPr>
          <w:rFonts w:hint="eastAsia" w:ascii="宋体" w:hAnsi="宋体" w:eastAsia="宋体" w:cs="宋体"/>
        </w:rPr>
        <w:t>迁移：下游最大浓度为：</w:t>
      </w:r>
      <w:r>
        <w:rPr>
          <w:rFonts w:hint="eastAsia" w:eastAsia="宋体"/>
        </w:rPr>
        <w:t>167.76</w:t>
      </w:r>
      <w:r>
        <w:t>mg/</w:t>
      </w:r>
      <w:r>
        <w:rPr>
          <w:rFonts w:hint="eastAsia"/>
        </w:rPr>
        <w:t>L</w:t>
      </w:r>
      <w:r>
        <w:rPr>
          <w:rFonts w:hint="eastAsia" w:ascii="宋体" w:hAnsi="宋体" w:eastAsia="宋体" w:cs="宋体"/>
        </w:rPr>
        <w:t>，超标距离最远为</w:t>
      </w:r>
      <w:r>
        <w:rPr>
          <w:rFonts w:hint="eastAsia" w:eastAsia="宋体"/>
        </w:rPr>
        <w:t>47</w:t>
      </w:r>
      <w:r>
        <w:t>m</w:t>
      </w:r>
      <w:r>
        <w:rPr>
          <w:rFonts w:hint="eastAsia" w:ascii="宋体" w:hAnsi="宋体" w:eastAsia="宋体" w:cs="宋体"/>
        </w:rPr>
        <w:t>，超标面积为</w:t>
      </w:r>
      <w:r>
        <w:rPr>
          <w:rFonts w:hint="eastAsia" w:eastAsia="宋体"/>
        </w:rPr>
        <w:t>1440</w:t>
      </w:r>
      <w:r>
        <w:t>m</w:t>
      </w:r>
      <w:r>
        <w:rPr>
          <w:vertAlign w:val="superscript"/>
        </w:rPr>
        <w:t>2</w:t>
      </w:r>
      <w:r>
        <w:rPr>
          <w:rFonts w:hint="eastAsia" w:ascii="宋体" w:hAnsi="宋体" w:eastAsia="宋体" w:cs="宋体"/>
        </w:rPr>
        <w:t>；水污染物硫化物进入含水层</w:t>
      </w:r>
      <w:r>
        <w:t>365d</w:t>
      </w:r>
      <w:r>
        <w:rPr>
          <w:rFonts w:hint="eastAsia" w:ascii="宋体" w:hAnsi="宋体" w:eastAsia="宋体" w:cs="宋体"/>
        </w:rPr>
        <w:t>迁移：下游最大浓度</w:t>
      </w:r>
      <w:r>
        <w:rPr>
          <w:rStyle w:val="162"/>
          <w:rFonts w:hint="eastAsia"/>
        </w:rPr>
        <w:t>为：45.96</w:t>
      </w:r>
      <w:r>
        <w:rPr>
          <w:rStyle w:val="162"/>
        </w:rPr>
        <w:t>mg</w:t>
      </w:r>
      <w:r>
        <w:t>/</w:t>
      </w:r>
      <w:r>
        <w:rPr>
          <w:rFonts w:hint="eastAsia"/>
        </w:rPr>
        <w:t>L</w:t>
      </w:r>
      <w:r>
        <w:rPr>
          <w:rFonts w:hint="eastAsia" w:ascii="宋体" w:hAnsi="宋体" w:eastAsia="宋体" w:cs="宋体"/>
        </w:rPr>
        <w:t>，超标距离最远为</w:t>
      </w:r>
      <w:r>
        <w:rPr>
          <w:rFonts w:hint="eastAsia" w:eastAsia="宋体"/>
        </w:rPr>
        <w:t>97.2</w:t>
      </w:r>
      <w:r>
        <w:t>m</w:t>
      </w:r>
      <w:r>
        <w:rPr>
          <w:rFonts w:hint="eastAsia" w:ascii="宋体" w:hAnsi="宋体" w:eastAsia="宋体" w:cs="宋体"/>
        </w:rPr>
        <w:t>，超标面积为</w:t>
      </w:r>
      <w:r>
        <w:rPr>
          <w:rFonts w:hint="eastAsia" w:eastAsia="宋体"/>
        </w:rPr>
        <w:t>4490</w:t>
      </w:r>
      <w:r>
        <w:t>m</w:t>
      </w:r>
      <w:r>
        <w:rPr>
          <w:vertAlign w:val="superscript"/>
        </w:rPr>
        <w:t>2</w:t>
      </w:r>
      <w:r>
        <w:rPr>
          <w:rFonts w:hint="eastAsia" w:ascii="宋体" w:hAnsi="宋体" w:eastAsia="宋体" w:cs="宋体"/>
        </w:rPr>
        <w:t>；水污染物硫化物进入含水层</w:t>
      </w:r>
      <w:r>
        <w:rPr>
          <w:rFonts w:hint="eastAsia"/>
        </w:rPr>
        <w:t>10</w:t>
      </w:r>
      <w:r>
        <w:t>0</w:t>
      </w:r>
      <w:r>
        <w:rPr>
          <w:rFonts w:hint="eastAsia"/>
        </w:rPr>
        <w:t>0</w:t>
      </w:r>
      <w:r>
        <w:t>d</w:t>
      </w:r>
      <w:r>
        <w:rPr>
          <w:rFonts w:hint="eastAsia" w:ascii="宋体" w:hAnsi="宋体" w:eastAsia="宋体" w:cs="宋体"/>
        </w:rPr>
        <w:t>迁移：下游最大浓度为：</w:t>
      </w:r>
      <w:r>
        <w:rPr>
          <w:rFonts w:hint="eastAsia" w:eastAsia="宋体"/>
        </w:rPr>
        <w:t>16.78</w:t>
      </w:r>
      <w:r>
        <w:t>mg/</w:t>
      </w:r>
      <w:r>
        <w:rPr>
          <w:rFonts w:hint="eastAsia"/>
        </w:rPr>
        <w:t>L</w:t>
      </w:r>
      <w:r>
        <w:rPr>
          <w:rFonts w:hint="eastAsia" w:ascii="宋体" w:hAnsi="宋体" w:eastAsia="宋体" w:cs="宋体"/>
        </w:rPr>
        <w:t>，超标距离最远为</w:t>
      </w:r>
      <w:r>
        <w:rPr>
          <w:rFonts w:hint="eastAsia" w:eastAsia="宋体"/>
        </w:rPr>
        <w:t>184</w:t>
      </w:r>
      <w:r>
        <w:t>m</w:t>
      </w:r>
      <w:r>
        <w:rPr>
          <w:rFonts w:hint="eastAsia" w:ascii="宋体" w:hAnsi="宋体" w:eastAsia="宋体" w:cs="宋体"/>
        </w:rPr>
        <w:t>，超标面积为</w:t>
      </w:r>
      <w:r>
        <w:rPr>
          <w:rFonts w:hint="eastAsia" w:eastAsia="宋体"/>
        </w:rPr>
        <w:t>10683</w:t>
      </w:r>
      <w:r>
        <w:t>m</w:t>
      </w:r>
      <w:r>
        <w:rPr>
          <w:vertAlign w:val="superscript"/>
        </w:rPr>
        <w:t>2</w:t>
      </w:r>
      <w:r>
        <w:rPr>
          <w:rFonts w:hint="eastAsia" w:ascii="宋体" w:hAnsi="宋体" w:eastAsia="宋体" w:cs="宋体"/>
        </w:rPr>
        <w:t>；水污染物硫化物进入含水层</w:t>
      </w:r>
      <w:r>
        <w:t>3650d</w:t>
      </w:r>
      <w:r>
        <w:rPr>
          <w:rFonts w:hint="eastAsia" w:ascii="宋体" w:hAnsi="宋体" w:eastAsia="宋体" w:cs="宋体"/>
        </w:rPr>
        <w:t>迁移，下游最大浓度为：</w:t>
      </w:r>
      <w:r>
        <w:rPr>
          <w:rFonts w:hint="eastAsia" w:eastAsia="宋体"/>
        </w:rPr>
        <w:t>4.60</w:t>
      </w:r>
      <w:r>
        <w:t>mg/</w:t>
      </w:r>
      <w:r>
        <w:rPr>
          <w:rFonts w:hint="eastAsia"/>
        </w:rPr>
        <w:t>L</w:t>
      </w:r>
      <w:r>
        <w:rPr>
          <w:rFonts w:hint="eastAsia" w:ascii="宋体" w:hAnsi="宋体" w:eastAsia="宋体" w:cs="宋体"/>
        </w:rPr>
        <w:t>，超标距离最远为</w:t>
      </w:r>
      <w:r>
        <w:rPr>
          <w:rFonts w:hint="eastAsia" w:eastAsia="宋体"/>
        </w:rPr>
        <w:t>471</w:t>
      </w:r>
      <w:r>
        <w:t>m</w:t>
      </w:r>
      <w:r>
        <w:rPr>
          <w:rFonts w:hint="eastAsia" w:ascii="宋体" w:hAnsi="宋体" w:eastAsia="宋体" w:cs="宋体"/>
        </w:rPr>
        <w:t>，超标面积为</w:t>
      </w:r>
      <w:r>
        <w:rPr>
          <w:rFonts w:hint="eastAsia" w:eastAsia="宋体"/>
        </w:rPr>
        <w:t>31532.8</w:t>
      </w:r>
      <w:r>
        <w:t>m</w:t>
      </w:r>
      <w:r>
        <w:rPr>
          <w:vertAlign w:val="superscript"/>
        </w:rPr>
        <w:t>2</w:t>
      </w:r>
      <w:r>
        <w:rPr>
          <w:rFonts w:hint="eastAsia" w:eastAsia="宋体"/>
        </w:rPr>
        <w:t>.</w:t>
      </w:r>
    </w:p>
    <w:p w14:paraId="2CB72DB0">
      <w:pPr>
        <w:pStyle w:val="257"/>
        <w:ind w:firstLine="480"/>
      </w:pPr>
      <w:r>
        <w:rPr>
          <w:rFonts w:hint="eastAsia" w:ascii="宋体" w:hAnsi="宋体" w:eastAsia="宋体" w:cs="宋体"/>
        </w:rPr>
        <w:t>非正常工况下，水污染物氰化物进入含水层</w:t>
      </w:r>
      <w:r>
        <w:rPr>
          <w:rFonts w:hint="eastAsia"/>
        </w:rPr>
        <w:t>100</w:t>
      </w:r>
      <w:r>
        <w:t>d</w:t>
      </w:r>
      <w:r>
        <w:rPr>
          <w:rFonts w:hint="eastAsia" w:ascii="宋体" w:hAnsi="宋体" w:eastAsia="宋体" w:cs="宋体"/>
        </w:rPr>
        <w:t>迁移：下游最大浓度为：</w:t>
      </w:r>
      <w:r>
        <w:rPr>
          <w:rFonts w:hint="eastAsia"/>
        </w:rPr>
        <w:t>0.</w:t>
      </w:r>
      <w:r>
        <w:rPr>
          <w:rFonts w:hint="eastAsia" w:eastAsia="宋体"/>
        </w:rPr>
        <w:t>73</w:t>
      </w:r>
      <w:r>
        <w:t>mg/</w:t>
      </w:r>
      <w:r>
        <w:rPr>
          <w:rFonts w:hint="eastAsia"/>
        </w:rPr>
        <w:t>L</w:t>
      </w:r>
      <w:r>
        <w:rPr>
          <w:rFonts w:hint="eastAsia" w:ascii="宋体" w:hAnsi="宋体" w:eastAsia="宋体" w:cs="宋体"/>
        </w:rPr>
        <w:t>，超标距离最远为</w:t>
      </w:r>
      <w:r>
        <w:rPr>
          <w:rFonts w:hint="eastAsia" w:eastAsia="宋体"/>
        </w:rPr>
        <w:t>29</w:t>
      </w:r>
      <w:r>
        <w:t>m</w:t>
      </w:r>
      <w:r>
        <w:rPr>
          <w:rFonts w:hint="eastAsia" w:ascii="宋体" w:hAnsi="宋体" w:eastAsia="宋体" w:cs="宋体"/>
        </w:rPr>
        <w:t>，超标面积为</w:t>
      </w:r>
      <w:r>
        <w:rPr>
          <w:rFonts w:hint="eastAsia" w:eastAsia="宋体"/>
        </w:rPr>
        <w:t>428</w:t>
      </w:r>
      <w:r>
        <w:t>m</w:t>
      </w:r>
      <w:r>
        <w:rPr>
          <w:vertAlign w:val="superscript"/>
        </w:rPr>
        <w:t>2</w:t>
      </w:r>
      <w:r>
        <w:rPr>
          <w:rFonts w:hint="eastAsia" w:ascii="宋体" w:hAnsi="宋体" w:eastAsia="宋体" w:cs="宋体"/>
        </w:rPr>
        <w:t>；水污染物氰化物进入含水层</w:t>
      </w:r>
      <w:r>
        <w:t>365d</w:t>
      </w:r>
      <w:r>
        <w:rPr>
          <w:rFonts w:hint="eastAsia" w:ascii="宋体" w:hAnsi="宋体" w:eastAsia="宋体" w:cs="宋体"/>
        </w:rPr>
        <w:t>迁移：下游最大浓度为：</w:t>
      </w:r>
      <w:r>
        <w:rPr>
          <w:rFonts w:hint="eastAsia"/>
        </w:rPr>
        <w:t>0.</w:t>
      </w:r>
      <w:r>
        <w:rPr>
          <w:rFonts w:hint="eastAsia" w:eastAsia="宋体"/>
        </w:rPr>
        <w:t>2</w:t>
      </w:r>
      <w:r>
        <w:t>mg/</w:t>
      </w:r>
      <w:r>
        <w:rPr>
          <w:rFonts w:hint="eastAsia"/>
        </w:rPr>
        <w:t>L</w:t>
      </w:r>
      <w:r>
        <w:rPr>
          <w:rFonts w:hint="eastAsia" w:ascii="宋体" w:hAnsi="宋体" w:eastAsia="宋体" w:cs="宋体"/>
        </w:rPr>
        <w:t>，超标距离最远为</w:t>
      </w:r>
      <w:r>
        <w:rPr>
          <w:rFonts w:hint="eastAsia" w:eastAsia="宋体"/>
        </w:rPr>
        <w:t>58.2</w:t>
      </w:r>
      <w:r>
        <w:t>m</w:t>
      </w:r>
      <w:r>
        <w:rPr>
          <w:rFonts w:hint="eastAsia" w:ascii="宋体" w:hAnsi="宋体" w:eastAsia="宋体" w:cs="宋体"/>
        </w:rPr>
        <w:t>，超标面积为</w:t>
      </w:r>
      <w:r>
        <w:rPr>
          <w:rFonts w:hint="eastAsia" w:eastAsia="宋体"/>
        </w:rPr>
        <w:t>803</w:t>
      </w:r>
      <w:r>
        <w:t>m</w:t>
      </w:r>
      <w:r>
        <w:rPr>
          <w:vertAlign w:val="superscript"/>
        </w:rPr>
        <w:t>2</w:t>
      </w:r>
      <w:r>
        <w:rPr>
          <w:rFonts w:hint="eastAsia" w:ascii="宋体" w:hAnsi="宋体" w:eastAsia="宋体" w:cs="宋体"/>
        </w:rPr>
        <w:t>；水污染物氰化物进入含水层</w:t>
      </w:r>
      <w:r>
        <w:rPr>
          <w:rFonts w:hint="eastAsia"/>
        </w:rPr>
        <w:t>10</w:t>
      </w:r>
      <w:r>
        <w:t>0</w:t>
      </w:r>
      <w:r>
        <w:rPr>
          <w:rFonts w:hint="eastAsia"/>
        </w:rPr>
        <w:t>0</w:t>
      </w:r>
      <w:r>
        <w:t>d</w:t>
      </w:r>
      <w:r>
        <w:rPr>
          <w:rFonts w:hint="eastAsia" w:ascii="宋体" w:hAnsi="宋体" w:eastAsia="宋体" w:cs="宋体"/>
        </w:rPr>
        <w:t>迁移：下游最大浓度为：</w:t>
      </w:r>
      <w:r>
        <w:rPr>
          <w:rFonts w:hint="eastAsia"/>
        </w:rPr>
        <w:t>0.</w:t>
      </w:r>
      <w:r>
        <w:rPr>
          <w:rFonts w:hint="eastAsia" w:eastAsia="宋体"/>
        </w:rPr>
        <w:t>07</w:t>
      </w:r>
      <w:r>
        <w:t>mg/</w:t>
      </w:r>
      <w:r>
        <w:rPr>
          <w:rFonts w:hint="eastAsia"/>
        </w:rPr>
        <w:t>L</w:t>
      </w:r>
      <w:r>
        <w:rPr>
          <w:rFonts w:hint="eastAsia" w:ascii="宋体" w:hAnsi="宋体" w:eastAsia="宋体" w:cs="宋体"/>
        </w:rPr>
        <w:t>，超标距离最远为</w:t>
      </w:r>
      <w:r>
        <w:rPr>
          <w:rFonts w:hint="eastAsia" w:eastAsia="宋体"/>
        </w:rPr>
        <w:t>105</w:t>
      </w:r>
      <w:r>
        <w:t>m</w:t>
      </w:r>
      <w:r>
        <w:rPr>
          <w:rFonts w:hint="eastAsia" w:ascii="宋体" w:hAnsi="宋体" w:eastAsia="宋体" w:cs="宋体"/>
        </w:rPr>
        <w:t>，超标面积为</w:t>
      </w:r>
      <w:r>
        <w:rPr>
          <w:rFonts w:hint="eastAsia" w:eastAsia="宋体"/>
        </w:rPr>
        <w:t>599</w:t>
      </w:r>
      <w:r>
        <w:t>m</w:t>
      </w:r>
      <w:r>
        <w:rPr>
          <w:vertAlign w:val="superscript"/>
        </w:rPr>
        <w:t>2</w:t>
      </w:r>
      <w:r>
        <w:rPr>
          <w:rFonts w:hint="eastAsia" w:ascii="宋体" w:hAnsi="宋体" w:eastAsia="宋体" w:cs="宋体"/>
        </w:rPr>
        <w:t>；水污染物氰化物进入含水层</w:t>
      </w:r>
      <w:r>
        <w:t>3650d</w:t>
      </w:r>
      <w:r>
        <w:rPr>
          <w:rFonts w:hint="eastAsia" w:ascii="宋体" w:hAnsi="宋体" w:eastAsia="宋体" w:cs="宋体"/>
        </w:rPr>
        <w:t>迁移，下游最大浓度为：</w:t>
      </w:r>
      <w:r>
        <w:rPr>
          <w:rFonts w:hint="eastAsia"/>
        </w:rPr>
        <w:t>0.</w:t>
      </w:r>
      <w:r>
        <w:rPr>
          <w:rFonts w:hint="eastAsia" w:eastAsia="宋体"/>
        </w:rPr>
        <w:t>02</w:t>
      </w:r>
      <w:r>
        <w:t>mg/</w:t>
      </w:r>
      <w:r>
        <w:rPr>
          <w:rFonts w:hint="eastAsia"/>
        </w:rPr>
        <w:t>L</w:t>
      </w:r>
      <w:r>
        <w:rPr>
          <w:rFonts w:hint="eastAsia" w:ascii="宋体" w:hAnsi="宋体" w:eastAsia="宋体" w:cs="宋体"/>
        </w:rPr>
        <w:t>，未超标。</w:t>
      </w:r>
    </w:p>
    <w:p w14:paraId="0A608A63">
      <w:pPr>
        <w:pStyle w:val="257"/>
        <w:ind w:firstLine="480"/>
      </w:pPr>
      <w:r>
        <w:rPr>
          <w:rFonts w:hint="eastAsia" w:ascii="宋体" w:hAnsi="宋体" w:eastAsia="宋体" w:cs="宋体"/>
        </w:rPr>
        <w:t>非正常工况下，水污染物石油类进入含水层</w:t>
      </w:r>
      <w:r>
        <w:rPr>
          <w:rFonts w:hint="eastAsia"/>
        </w:rPr>
        <w:t>100</w:t>
      </w:r>
      <w:r>
        <w:t>d</w:t>
      </w:r>
      <w:r>
        <w:rPr>
          <w:rFonts w:hint="eastAsia" w:ascii="宋体" w:hAnsi="宋体" w:eastAsia="宋体" w:cs="宋体"/>
        </w:rPr>
        <w:t>迁移：下游最大浓度为：</w:t>
      </w:r>
      <w:r>
        <w:rPr>
          <w:rFonts w:hint="eastAsia" w:eastAsia="宋体"/>
        </w:rPr>
        <w:t>377.47</w:t>
      </w:r>
      <w:r>
        <w:t>mg/</w:t>
      </w:r>
      <w:r>
        <w:rPr>
          <w:rFonts w:hint="eastAsia"/>
        </w:rPr>
        <w:t>L</w:t>
      </w:r>
      <w:r>
        <w:rPr>
          <w:rFonts w:hint="eastAsia" w:ascii="宋体" w:hAnsi="宋体" w:eastAsia="宋体" w:cs="宋体"/>
        </w:rPr>
        <w:t>，超标距离最远为</w:t>
      </w:r>
      <w:r>
        <w:rPr>
          <w:rFonts w:hint="eastAsia" w:eastAsia="宋体"/>
        </w:rPr>
        <w:t>46</w:t>
      </w:r>
      <w:r>
        <w:t>m</w:t>
      </w:r>
      <w:r>
        <w:rPr>
          <w:rFonts w:hint="eastAsia" w:ascii="宋体" w:hAnsi="宋体" w:eastAsia="宋体" w:cs="宋体"/>
        </w:rPr>
        <w:t>，超标面积为</w:t>
      </w:r>
      <w:r>
        <w:rPr>
          <w:rFonts w:hint="eastAsia" w:eastAsia="宋体"/>
        </w:rPr>
        <w:t>1424</w:t>
      </w:r>
      <w:r>
        <w:t>m</w:t>
      </w:r>
      <w:r>
        <w:rPr>
          <w:vertAlign w:val="superscript"/>
        </w:rPr>
        <w:t>2</w:t>
      </w:r>
      <w:r>
        <w:rPr>
          <w:rFonts w:hint="eastAsia" w:ascii="宋体" w:hAnsi="宋体" w:eastAsia="宋体" w:cs="宋体"/>
        </w:rPr>
        <w:t>；水污染物石油类进入含水层</w:t>
      </w:r>
      <w:r>
        <w:t>365d</w:t>
      </w:r>
      <w:r>
        <w:rPr>
          <w:rFonts w:hint="eastAsia" w:ascii="宋体" w:hAnsi="宋体" w:eastAsia="宋体" w:cs="宋体"/>
        </w:rPr>
        <w:t>迁移：下游最大浓度为：</w:t>
      </w:r>
      <w:r>
        <w:rPr>
          <w:rFonts w:hint="eastAsia" w:eastAsia="宋体"/>
        </w:rPr>
        <w:t>103.42</w:t>
      </w:r>
      <w:r>
        <w:t>mg/</w:t>
      </w:r>
      <w:r>
        <w:rPr>
          <w:rFonts w:hint="eastAsia"/>
        </w:rPr>
        <w:t>L</w:t>
      </w:r>
      <w:r>
        <w:rPr>
          <w:rFonts w:hint="eastAsia" w:ascii="宋体" w:hAnsi="宋体" w:eastAsia="宋体" w:cs="宋体"/>
        </w:rPr>
        <w:t>，超标距离最远为</w:t>
      </w:r>
      <w:r>
        <w:rPr>
          <w:rFonts w:hint="eastAsia" w:eastAsia="宋体"/>
        </w:rPr>
        <w:t>96.2</w:t>
      </w:r>
      <w:r>
        <w:t>m</w:t>
      </w:r>
      <w:r>
        <w:rPr>
          <w:rFonts w:hint="eastAsia" w:ascii="宋体" w:hAnsi="宋体" w:eastAsia="宋体" w:cs="宋体"/>
        </w:rPr>
        <w:t>，超标面积为</w:t>
      </w:r>
      <w:r>
        <w:rPr>
          <w:rFonts w:hint="eastAsia" w:eastAsia="宋体"/>
        </w:rPr>
        <w:t>4431</w:t>
      </w:r>
      <w:r>
        <w:t>m</w:t>
      </w:r>
      <w:r>
        <w:rPr>
          <w:vertAlign w:val="superscript"/>
        </w:rPr>
        <w:t>2</w:t>
      </w:r>
      <w:r>
        <w:rPr>
          <w:rFonts w:hint="eastAsia" w:ascii="宋体" w:hAnsi="宋体" w:eastAsia="宋体" w:cs="宋体"/>
        </w:rPr>
        <w:t>；水污染物石油类进入含水层</w:t>
      </w:r>
      <w:r>
        <w:rPr>
          <w:rFonts w:hint="eastAsia"/>
        </w:rPr>
        <w:t>10</w:t>
      </w:r>
      <w:r>
        <w:t>0</w:t>
      </w:r>
      <w:r>
        <w:rPr>
          <w:rFonts w:hint="eastAsia"/>
        </w:rPr>
        <w:t>0</w:t>
      </w:r>
      <w:r>
        <w:t>d</w:t>
      </w:r>
      <w:r>
        <w:rPr>
          <w:rFonts w:hint="eastAsia" w:ascii="宋体" w:hAnsi="宋体" w:eastAsia="宋体" w:cs="宋体"/>
        </w:rPr>
        <w:t>迁移：下游最大浓度为：</w:t>
      </w:r>
      <w:r>
        <w:rPr>
          <w:rFonts w:hint="eastAsia" w:eastAsia="宋体"/>
        </w:rPr>
        <w:t>37.75</w:t>
      </w:r>
      <w:r>
        <w:t>mg/</w:t>
      </w:r>
      <w:r>
        <w:rPr>
          <w:rFonts w:hint="eastAsia"/>
        </w:rPr>
        <w:t>L</w:t>
      </w:r>
      <w:r>
        <w:rPr>
          <w:rFonts w:hint="eastAsia" w:ascii="宋体" w:hAnsi="宋体" w:eastAsia="宋体" w:cs="宋体"/>
        </w:rPr>
        <w:t>，超标距离最远为</w:t>
      </w:r>
      <w:r>
        <w:rPr>
          <w:rFonts w:hint="eastAsia" w:eastAsia="宋体"/>
        </w:rPr>
        <w:t>183</w:t>
      </w:r>
      <w:r>
        <w:t>m</w:t>
      </w:r>
      <w:r>
        <w:rPr>
          <w:rFonts w:hint="eastAsia" w:ascii="宋体" w:hAnsi="宋体" w:eastAsia="宋体" w:cs="宋体"/>
        </w:rPr>
        <w:t>，超标面积为</w:t>
      </w:r>
      <w:r>
        <w:rPr>
          <w:rFonts w:hint="eastAsia" w:eastAsia="宋体"/>
        </w:rPr>
        <w:t>10534</w:t>
      </w:r>
      <w:r>
        <w:t>m</w:t>
      </w:r>
      <w:r>
        <w:rPr>
          <w:vertAlign w:val="superscript"/>
        </w:rPr>
        <w:t>2</w:t>
      </w:r>
      <w:r>
        <w:rPr>
          <w:rFonts w:hint="eastAsia" w:ascii="宋体" w:hAnsi="宋体" w:eastAsia="宋体" w:cs="宋体"/>
        </w:rPr>
        <w:t>；水污染物石油类进入含水层</w:t>
      </w:r>
      <w:r>
        <w:t>3650d</w:t>
      </w:r>
      <w:r>
        <w:rPr>
          <w:rFonts w:hint="eastAsia" w:ascii="宋体" w:hAnsi="宋体" w:eastAsia="宋体" w:cs="宋体"/>
        </w:rPr>
        <w:t>迁移，下游最大浓度为：</w:t>
      </w:r>
      <w:r>
        <w:rPr>
          <w:rFonts w:hint="eastAsia" w:eastAsia="宋体"/>
        </w:rPr>
        <w:t>10.34</w:t>
      </w:r>
      <w:r>
        <w:t>mg/</w:t>
      </w:r>
      <w:r>
        <w:rPr>
          <w:rFonts w:hint="eastAsia"/>
        </w:rPr>
        <w:t>L</w:t>
      </w:r>
      <w:r>
        <w:rPr>
          <w:rFonts w:hint="eastAsia" w:ascii="宋体" w:hAnsi="宋体" w:eastAsia="宋体" w:cs="宋体"/>
        </w:rPr>
        <w:t>，超标距离最远为</w:t>
      </w:r>
      <w:r>
        <w:rPr>
          <w:rFonts w:hint="eastAsia" w:eastAsia="宋体"/>
        </w:rPr>
        <w:t>469</w:t>
      </w:r>
      <w:r>
        <w:t>m</w:t>
      </w:r>
      <w:r>
        <w:rPr>
          <w:rFonts w:hint="eastAsia" w:ascii="宋体" w:hAnsi="宋体" w:eastAsia="宋体" w:cs="宋体"/>
        </w:rPr>
        <w:t>，超标面积为</w:t>
      </w:r>
      <w:r>
        <w:rPr>
          <w:rFonts w:hint="eastAsia" w:eastAsia="宋体"/>
        </w:rPr>
        <w:t>30945.7</w:t>
      </w:r>
      <w:r>
        <w:t>m</w:t>
      </w:r>
      <w:r>
        <w:rPr>
          <w:vertAlign w:val="superscript"/>
        </w:rPr>
        <w:t>2</w:t>
      </w:r>
      <w:r>
        <w:rPr>
          <w:rFonts w:hint="eastAsia" w:ascii="宋体" w:hAnsi="宋体" w:eastAsia="宋体" w:cs="宋体"/>
        </w:rPr>
        <w:t>。</w:t>
      </w:r>
    </w:p>
    <w:bookmarkEnd w:id="503"/>
    <w:p w14:paraId="34A9BC73">
      <w:pPr>
        <w:pStyle w:val="944"/>
        <w:rPr>
          <w:color w:val="000000"/>
        </w:rPr>
      </w:pPr>
      <w:bookmarkStart w:id="504" w:name="_Hlk98340736"/>
      <w:r>
        <w:rPr>
          <w:color w:val="000000"/>
        </w:rPr>
        <w:t>地下水影响评价小结</w:t>
      </w:r>
    </w:p>
    <w:bookmarkEnd w:id="504"/>
    <w:p w14:paraId="6EAF625D">
      <w:pPr>
        <w:pStyle w:val="257"/>
        <w:ind w:firstLine="480"/>
      </w:pPr>
      <w:r>
        <w:rPr>
          <w:rFonts w:hint="eastAsia" w:ascii="宋体" w:hAnsi="宋体" w:eastAsia="宋体" w:cs="宋体"/>
        </w:rPr>
        <w:t>根据预测结果，剩余氨水泄漏将对地下水环境造成一定影响，其</w:t>
      </w:r>
      <w:bookmarkStart w:id="505" w:name="_Hlk157444034"/>
      <w:r>
        <w:rPr>
          <w:rFonts w:hint="eastAsia" w:ascii="宋体" w:hAnsi="宋体" w:eastAsia="宋体" w:cs="宋体"/>
        </w:rPr>
        <w:t>超标距离已超出厂区边界，因此剩余氨水泄漏主要对厂区内及周边的地下水造成较明显的影响。</w:t>
      </w:r>
    </w:p>
    <w:bookmarkEnd w:id="505"/>
    <w:p w14:paraId="595D7AC7">
      <w:pPr>
        <w:pStyle w:val="257"/>
        <w:ind w:firstLine="480"/>
        <w:rPr>
          <w:rFonts w:hint="eastAsia" w:ascii="宋体" w:hAnsi="宋体" w:eastAsia="宋体" w:cs="宋体"/>
        </w:rPr>
      </w:pPr>
      <w:r>
        <w:rPr>
          <w:rFonts w:hint="eastAsia" w:ascii="宋体" w:hAnsi="宋体" w:eastAsia="宋体" w:cs="宋体"/>
        </w:rPr>
        <w:t>综合以上模拟预测可以看出，确保防渗措施和渗漏检测有效这两项工作对于防止地下水遭受污染具有非常重要的意义，监控井合理布设和适当的监控周期布设是控制非正常状况影响范围的重要手段，要通过各种措施避免跑冒滴漏、非正常工况时的泄漏等事故工况的发生，从源头入手保护地下水。</w:t>
      </w:r>
    </w:p>
    <w:p w14:paraId="723BFAD5">
      <w:pPr>
        <w:pStyle w:val="3"/>
      </w:pPr>
      <w:bookmarkStart w:id="506" w:name="_Toc20372"/>
      <w:bookmarkStart w:id="507" w:name="_Toc287"/>
      <w:bookmarkStart w:id="508" w:name="_Toc466035450"/>
      <w:bookmarkStart w:id="509" w:name="_Toc45970063"/>
      <w:bookmarkStart w:id="510" w:name="_Toc205291399"/>
      <w:r>
        <w:rPr>
          <w:rFonts w:hint="eastAsia"/>
        </w:rPr>
        <w:t>运营期声环境影响</w:t>
      </w:r>
      <w:bookmarkEnd w:id="506"/>
      <w:bookmarkEnd w:id="507"/>
      <w:bookmarkEnd w:id="508"/>
      <w:bookmarkEnd w:id="509"/>
      <w:r>
        <w:rPr>
          <w:rFonts w:hint="eastAsia"/>
        </w:rPr>
        <w:t>预测与评价</w:t>
      </w:r>
      <w:bookmarkEnd w:id="510"/>
    </w:p>
    <w:p w14:paraId="0212B5B8">
      <w:pPr>
        <w:ind w:firstLine="480"/>
      </w:pPr>
      <w:r>
        <w:rPr>
          <w:rFonts w:hint="eastAsia"/>
        </w:rPr>
        <w:t>本节</w:t>
      </w:r>
      <w:r>
        <w:t>主要预测项目运行时各主要声源对东、西、南、北厂界的噪声贡献值，并</w:t>
      </w:r>
      <w:r>
        <w:rPr>
          <w:rFonts w:hint="eastAsia"/>
        </w:rPr>
        <w:t>对</w:t>
      </w:r>
      <w:r>
        <w:t>照《工业企业厂界环境噪声排放标准》（GB12348-2008）评价本项目投产后厂界噪声</w:t>
      </w:r>
      <w:r>
        <w:rPr>
          <w:rFonts w:hint="eastAsia"/>
        </w:rPr>
        <w:t>达标情况</w:t>
      </w:r>
      <w:r>
        <w:t>。</w:t>
      </w:r>
    </w:p>
    <w:p w14:paraId="22D1FC88">
      <w:pPr>
        <w:pStyle w:val="138"/>
        <w:rPr>
          <w:rFonts w:hint="eastAsia"/>
        </w:rPr>
      </w:pPr>
      <w:r>
        <w:rPr>
          <w:rFonts w:hint="eastAsia"/>
        </w:rPr>
        <w:t>噪声源</w:t>
      </w:r>
    </w:p>
    <w:p w14:paraId="6CD1B915">
      <w:pPr>
        <w:ind w:firstLine="480"/>
      </w:pPr>
      <w:r>
        <w:rPr>
          <w:rFonts w:hint="eastAsia"/>
        </w:rPr>
        <w:t>本项目设备噪声较多，主要噪声源包括振动筛、破碎机、煤磨、球磨机、链斗输送机等设备产生的噪声和风机及各种泵产生的动力噪声。</w:t>
      </w:r>
    </w:p>
    <w:p w14:paraId="44B65D01">
      <w:pPr>
        <w:ind w:firstLine="480"/>
      </w:pPr>
      <w:r>
        <w:rPr>
          <w:rFonts w:hint="eastAsia"/>
        </w:rPr>
        <w:t>主要噪声源位置、声源源强、降噪措施等见表5</w:t>
      </w:r>
      <w:r>
        <w:t>.5-1</w:t>
      </w:r>
      <w:r>
        <w:rPr>
          <w:rFonts w:hint="eastAsia"/>
        </w:rPr>
        <w:t>和表5.5-2。</w:t>
      </w:r>
    </w:p>
    <w:p w14:paraId="231ACB4D">
      <w:pPr>
        <w:ind w:firstLine="480"/>
        <w:sectPr>
          <w:pgSz w:w="11906" w:h="16838"/>
          <w:pgMar w:top="1440" w:right="1800" w:bottom="1440" w:left="1800" w:header="851" w:footer="992" w:gutter="0"/>
          <w:cols w:space="425" w:num="1"/>
          <w:docGrid w:type="lines" w:linePitch="312" w:charSpace="0"/>
        </w:sectPr>
      </w:pPr>
    </w:p>
    <w:p w14:paraId="55F61DF1">
      <w:pPr>
        <w:pStyle w:val="118"/>
        <w:ind w:firstLine="480"/>
      </w:pPr>
      <w:r>
        <w:rPr>
          <w:rFonts w:hint="eastAsia"/>
        </w:rPr>
        <w:t>表5</w:t>
      </w:r>
      <w:r>
        <w:t xml:space="preserve">.5-1  </w:t>
      </w:r>
      <w:r>
        <w:rPr>
          <w:rFonts w:hint="eastAsia"/>
        </w:rPr>
        <w:t>工业企业噪声源强调查清单（室外声源）</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61"/>
        <w:gridCol w:w="2685"/>
        <w:gridCol w:w="1344"/>
        <w:gridCol w:w="1324"/>
        <w:gridCol w:w="1296"/>
        <w:gridCol w:w="2154"/>
        <w:gridCol w:w="2883"/>
        <w:gridCol w:w="1627"/>
      </w:tblGrid>
      <w:tr w14:paraId="04E450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Merge w:val="restart"/>
            <w:vAlign w:val="center"/>
          </w:tcPr>
          <w:p w14:paraId="5DE77FA4">
            <w:pPr>
              <w:pStyle w:val="133"/>
              <w:rPr>
                <w:b/>
                <w:bCs/>
              </w:rPr>
            </w:pPr>
            <w:r>
              <w:rPr>
                <w:rFonts w:hint="eastAsia"/>
                <w:b/>
                <w:bCs/>
              </w:rPr>
              <w:t>序号</w:t>
            </w:r>
          </w:p>
        </w:tc>
        <w:tc>
          <w:tcPr>
            <w:tcW w:w="947" w:type="pct"/>
            <w:vMerge w:val="restart"/>
            <w:vAlign w:val="center"/>
          </w:tcPr>
          <w:p w14:paraId="15188F4C">
            <w:pPr>
              <w:pStyle w:val="133"/>
              <w:rPr>
                <w:b/>
                <w:bCs/>
              </w:rPr>
            </w:pPr>
            <w:r>
              <w:rPr>
                <w:rFonts w:hint="eastAsia"/>
                <w:b/>
                <w:bCs/>
              </w:rPr>
              <w:t>声源名称</w:t>
            </w:r>
          </w:p>
        </w:tc>
        <w:tc>
          <w:tcPr>
            <w:tcW w:w="1398" w:type="pct"/>
            <w:gridSpan w:val="3"/>
            <w:vAlign w:val="center"/>
          </w:tcPr>
          <w:p w14:paraId="6A3E0C7B">
            <w:pPr>
              <w:pStyle w:val="133"/>
              <w:rPr>
                <w:b/>
                <w:bCs/>
              </w:rPr>
            </w:pPr>
            <w:r>
              <w:rPr>
                <w:rFonts w:hint="eastAsia"/>
                <w:b/>
                <w:bCs/>
              </w:rPr>
              <w:t>空间相对位置/m</w:t>
            </w:r>
          </w:p>
        </w:tc>
        <w:tc>
          <w:tcPr>
            <w:tcW w:w="760" w:type="pct"/>
            <w:vAlign w:val="center"/>
          </w:tcPr>
          <w:p w14:paraId="6971BB86">
            <w:pPr>
              <w:pStyle w:val="133"/>
              <w:rPr>
                <w:b/>
                <w:bCs/>
              </w:rPr>
            </w:pPr>
            <w:r>
              <w:rPr>
                <w:rFonts w:hint="eastAsia"/>
                <w:b/>
                <w:bCs/>
              </w:rPr>
              <w:t>声源源强</w:t>
            </w:r>
          </w:p>
        </w:tc>
        <w:tc>
          <w:tcPr>
            <w:tcW w:w="1017" w:type="pct"/>
            <w:vMerge w:val="restart"/>
            <w:vAlign w:val="center"/>
          </w:tcPr>
          <w:p w14:paraId="4B33F2A6">
            <w:pPr>
              <w:pStyle w:val="133"/>
              <w:rPr>
                <w:b/>
                <w:bCs/>
              </w:rPr>
            </w:pPr>
            <w:r>
              <w:rPr>
                <w:rFonts w:hint="eastAsia"/>
                <w:b/>
                <w:bCs/>
              </w:rPr>
              <w:t>声源控制措施</w:t>
            </w:r>
          </w:p>
        </w:tc>
        <w:tc>
          <w:tcPr>
            <w:tcW w:w="574" w:type="pct"/>
            <w:vMerge w:val="restart"/>
            <w:vAlign w:val="center"/>
          </w:tcPr>
          <w:p w14:paraId="22F0A485">
            <w:pPr>
              <w:pStyle w:val="133"/>
              <w:rPr>
                <w:b/>
                <w:bCs/>
              </w:rPr>
            </w:pPr>
            <w:r>
              <w:rPr>
                <w:rFonts w:hint="eastAsia"/>
                <w:b/>
                <w:bCs/>
              </w:rPr>
              <w:t>运行时段（h）</w:t>
            </w:r>
          </w:p>
        </w:tc>
      </w:tr>
      <w:tr w14:paraId="4A1E7A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Merge w:val="continue"/>
            <w:vAlign w:val="center"/>
          </w:tcPr>
          <w:p w14:paraId="45EFD061">
            <w:pPr>
              <w:pStyle w:val="133"/>
              <w:rPr>
                <w:b/>
                <w:bCs/>
              </w:rPr>
            </w:pPr>
          </w:p>
        </w:tc>
        <w:tc>
          <w:tcPr>
            <w:tcW w:w="947" w:type="pct"/>
            <w:vMerge w:val="continue"/>
            <w:vAlign w:val="center"/>
          </w:tcPr>
          <w:p w14:paraId="1C19E957">
            <w:pPr>
              <w:pStyle w:val="133"/>
              <w:rPr>
                <w:b/>
                <w:bCs/>
              </w:rPr>
            </w:pPr>
          </w:p>
        </w:tc>
        <w:tc>
          <w:tcPr>
            <w:tcW w:w="474" w:type="pct"/>
            <w:vAlign w:val="center"/>
          </w:tcPr>
          <w:p w14:paraId="291968C0">
            <w:pPr>
              <w:pStyle w:val="133"/>
              <w:rPr>
                <w:b/>
                <w:bCs/>
              </w:rPr>
            </w:pPr>
            <w:r>
              <w:rPr>
                <w:rFonts w:hint="eastAsia"/>
                <w:b/>
                <w:bCs/>
              </w:rPr>
              <w:t>X</w:t>
            </w:r>
          </w:p>
        </w:tc>
        <w:tc>
          <w:tcPr>
            <w:tcW w:w="467" w:type="pct"/>
            <w:vAlign w:val="center"/>
          </w:tcPr>
          <w:p w14:paraId="4ED465CA">
            <w:pPr>
              <w:pStyle w:val="133"/>
              <w:rPr>
                <w:b/>
                <w:bCs/>
              </w:rPr>
            </w:pPr>
            <w:r>
              <w:rPr>
                <w:rFonts w:hint="eastAsia"/>
                <w:b/>
                <w:bCs/>
              </w:rPr>
              <w:t>Y</w:t>
            </w:r>
          </w:p>
        </w:tc>
        <w:tc>
          <w:tcPr>
            <w:tcW w:w="457" w:type="pct"/>
            <w:vAlign w:val="center"/>
          </w:tcPr>
          <w:p w14:paraId="4551E0A2">
            <w:pPr>
              <w:pStyle w:val="133"/>
              <w:rPr>
                <w:b/>
                <w:bCs/>
              </w:rPr>
            </w:pPr>
            <w:r>
              <w:rPr>
                <w:rFonts w:hint="eastAsia"/>
                <w:b/>
                <w:bCs/>
              </w:rPr>
              <w:t>Z</w:t>
            </w:r>
          </w:p>
        </w:tc>
        <w:tc>
          <w:tcPr>
            <w:tcW w:w="760" w:type="pct"/>
            <w:vAlign w:val="center"/>
          </w:tcPr>
          <w:p w14:paraId="7123700E">
            <w:pPr>
              <w:pStyle w:val="133"/>
              <w:rPr>
                <w:b/>
                <w:bCs/>
              </w:rPr>
            </w:pPr>
            <w:r>
              <w:rPr>
                <w:rFonts w:hint="eastAsia"/>
                <w:b/>
                <w:bCs/>
              </w:rPr>
              <w:t>声功率级/d</w:t>
            </w:r>
            <w:r>
              <w:rPr>
                <w:b/>
                <w:bCs/>
              </w:rPr>
              <w:t>B</w:t>
            </w:r>
            <w:r>
              <w:rPr>
                <w:rFonts w:hint="eastAsia"/>
                <w:b/>
                <w:bCs/>
              </w:rPr>
              <w:t>（A）</w:t>
            </w:r>
          </w:p>
        </w:tc>
        <w:tc>
          <w:tcPr>
            <w:tcW w:w="1017" w:type="pct"/>
            <w:vMerge w:val="continue"/>
            <w:vAlign w:val="center"/>
          </w:tcPr>
          <w:p w14:paraId="778EB4AE">
            <w:pPr>
              <w:pStyle w:val="133"/>
            </w:pPr>
          </w:p>
        </w:tc>
        <w:tc>
          <w:tcPr>
            <w:tcW w:w="574" w:type="pct"/>
            <w:vMerge w:val="continue"/>
            <w:vAlign w:val="center"/>
          </w:tcPr>
          <w:p w14:paraId="38B6711F">
            <w:pPr>
              <w:pStyle w:val="133"/>
            </w:pPr>
          </w:p>
        </w:tc>
      </w:tr>
      <w:tr w14:paraId="46C67B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0E3FB229">
            <w:pPr>
              <w:pStyle w:val="133"/>
            </w:pPr>
            <w:r>
              <w:t>1</w:t>
            </w:r>
          </w:p>
        </w:tc>
        <w:tc>
          <w:tcPr>
            <w:tcW w:w="947" w:type="pct"/>
            <w:vAlign w:val="center"/>
          </w:tcPr>
          <w:p w14:paraId="3CA27987">
            <w:pPr>
              <w:pStyle w:val="133"/>
            </w:pPr>
            <w:r>
              <w:rPr>
                <w:rFonts w:hint="eastAsia"/>
              </w:rPr>
              <w:t>冷却塔，7台</w:t>
            </w:r>
          </w:p>
        </w:tc>
        <w:tc>
          <w:tcPr>
            <w:tcW w:w="474" w:type="pct"/>
            <w:vAlign w:val="center"/>
          </w:tcPr>
          <w:p w14:paraId="401D1772">
            <w:pPr>
              <w:pStyle w:val="133"/>
            </w:pPr>
            <w:r>
              <w:rPr>
                <w:rFonts w:hint="eastAsia"/>
              </w:rPr>
              <w:t>364</w:t>
            </w:r>
          </w:p>
        </w:tc>
        <w:tc>
          <w:tcPr>
            <w:tcW w:w="467" w:type="pct"/>
            <w:vAlign w:val="center"/>
          </w:tcPr>
          <w:p w14:paraId="37193D5E">
            <w:pPr>
              <w:pStyle w:val="133"/>
            </w:pPr>
            <w:r>
              <w:rPr>
                <w:rFonts w:hint="eastAsia"/>
              </w:rPr>
              <w:t>71</w:t>
            </w:r>
          </w:p>
        </w:tc>
        <w:tc>
          <w:tcPr>
            <w:tcW w:w="457" w:type="pct"/>
            <w:vAlign w:val="center"/>
          </w:tcPr>
          <w:p w14:paraId="5E540787">
            <w:pPr>
              <w:pStyle w:val="133"/>
            </w:pPr>
            <w:r>
              <w:rPr>
                <w:rFonts w:hint="eastAsia"/>
              </w:rPr>
              <w:t>691.36</w:t>
            </w:r>
          </w:p>
        </w:tc>
        <w:tc>
          <w:tcPr>
            <w:tcW w:w="760" w:type="pct"/>
            <w:vAlign w:val="center"/>
          </w:tcPr>
          <w:p w14:paraId="58B1B1B7">
            <w:pPr>
              <w:pStyle w:val="133"/>
            </w:pPr>
            <w:r>
              <w:rPr>
                <w:rFonts w:hint="eastAsia"/>
              </w:rPr>
              <w:t>93.5</w:t>
            </w:r>
          </w:p>
        </w:tc>
        <w:tc>
          <w:tcPr>
            <w:tcW w:w="1017" w:type="pct"/>
            <w:vMerge w:val="restart"/>
            <w:vAlign w:val="center"/>
          </w:tcPr>
          <w:p w14:paraId="33FB93FF">
            <w:pPr>
              <w:pStyle w:val="133"/>
            </w:pPr>
            <w:r>
              <w:rPr>
                <w:rFonts w:hint="eastAsia"/>
              </w:rPr>
              <w:t>优先选用低噪声设备、设备加装减振垫</w:t>
            </w:r>
          </w:p>
        </w:tc>
        <w:tc>
          <w:tcPr>
            <w:tcW w:w="574" w:type="pct"/>
            <w:vAlign w:val="center"/>
          </w:tcPr>
          <w:p w14:paraId="5569614C">
            <w:pPr>
              <w:pStyle w:val="133"/>
            </w:pPr>
            <w:r>
              <w:rPr>
                <w:rFonts w:hint="eastAsia"/>
              </w:rPr>
              <w:t>7920</w:t>
            </w:r>
          </w:p>
        </w:tc>
      </w:tr>
      <w:tr w14:paraId="545F30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4773FE07">
            <w:pPr>
              <w:pStyle w:val="133"/>
            </w:pPr>
            <w:r>
              <w:t>2</w:t>
            </w:r>
          </w:p>
        </w:tc>
        <w:tc>
          <w:tcPr>
            <w:tcW w:w="947" w:type="pct"/>
            <w:vAlign w:val="center"/>
          </w:tcPr>
          <w:p w14:paraId="47E524F7">
            <w:pPr>
              <w:pStyle w:val="133"/>
            </w:pPr>
            <w:r>
              <w:rPr>
                <w:rFonts w:hint="eastAsia"/>
              </w:rPr>
              <w:t>循环水泵，10台</w:t>
            </w:r>
          </w:p>
        </w:tc>
        <w:tc>
          <w:tcPr>
            <w:tcW w:w="474" w:type="pct"/>
            <w:vAlign w:val="center"/>
          </w:tcPr>
          <w:p w14:paraId="3CC7EA14">
            <w:pPr>
              <w:pStyle w:val="133"/>
            </w:pPr>
            <w:r>
              <w:rPr>
                <w:rFonts w:hint="eastAsia"/>
              </w:rPr>
              <w:t>406</w:t>
            </w:r>
          </w:p>
        </w:tc>
        <w:tc>
          <w:tcPr>
            <w:tcW w:w="467" w:type="pct"/>
            <w:vAlign w:val="center"/>
          </w:tcPr>
          <w:p w14:paraId="5C6BCCA4">
            <w:pPr>
              <w:pStyle w:val="133"/>
            </w:pPr>
            <w:r>
              <w:rPr>
                <w:rFonts w:hint="eastAsia"/>
              </w:rPr>
              <w:t>69</w:t>
            </w:r>
          </w:p>
        </w:tc>
        <w:tc>
          <w:tcPr>
            <w:tcW w:w="457" w:type="pct"/>
            <w:vAlign w:val="center"/>
          </w:tcPr>
          <w:p w14:paraId="2E96A571">
            <w:pPr>
              <w:pStyle w:val="133"/>
            </w:pPr>
            <w:r>
              <w:rPr>
                <w:rFonts w:hint="eastAsia"/>
              </w:rPr>
              <w:t>691.37</w:t>
            </w:r>
          </w:p>
        </w:tc>
        <w:tc>
          <w:tcPr>
            <w:tcW w:w="760" w:type="pct"/>
            <w:vAlign w:val="center"/>
          </w:tcPr>
          <w:p w14:paraId="6455AF2C">
            <w:pPr>
              <w:pStyle w:val="133"/>
            </w:pPr>
            <w:r>
              <w:rPr>
                <w:rFonts w:hint="eastAsia"/>
              </w:rPr>
              <w:t>95</w:t>
            </w:r>
          </w:p>
        </w:tc>
        <w:tc>
          <w:tcPr>
            <w:tcW w:w="1017" w:type="pct"/>
            <w:vMerge w:val="continue"/>
            <w:vAlign w:val="center"/>
          </w:tcPr>
          <w:p w14:paraId="462E23FE">
            <w:pPr>
              <w:pStyle w:val="133"/>
            </w:pPr>
          </w:p>
        </w:tc>
        <w:tc>
          <w:tcPr>
            <w:tcW w:w="574" w:type="pct"/>
            <w:vAlign w:val="center"/>
          </w:tcPr>
          <w:p w14:paraId="7327AE86">
            <w:pPr>
              <w:pStyle w:val="133"/>
            </w:pPr>
            <w:r>
              <w:rPr>
                <w:rFonts w:hint="eastAsia"/>
              </w:rPr>
              <w:t>7920</w:t>
            </w:r>
          </w:p>
        </w:tc>
      </w:tr>
      <w:tr w14:paraId="14C037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62C38025">
            <w:pPr>
              <w:pStyle w:val="133"/>
            </w:pPr>
            <w:r>
              <w:t>3</w:t>
            </w:r>
          </w:p>
        </w:tc>
        <w:tc>
          <w:tcPr>
            <w:tcW w:w="947" w:type="pct"/>
            <w:vAlign w:val="center"/>
          </w:tcPr>
          <w:p w14:paraId="0117FD56">
            <w:pPr>
              <w:pStyle w:val="133"/>
            </w:pPr>
            <w:r>
              <w:rPr>
                <w:rFonts w:hint="eastAsia"/>
              </w:rPr>
              <w:t>定压补水装置，8台</w:t>
            </w:r>
          </w:p>
        </w:tc>
        <w:tc>
          <w:tcPr>
            <w:tcW w:w="474" w:type="pct"/>
            <w:vAlign w:val="center"/>
          </w:tcPr>
          <w:p w14:paraId="105E8351">
            <w:pPr>
              <w:pStyle w:val="133"/>
            </w:pPr>
            <w:r>
              <w:rPr>
                <w:rFonts w:hint="eastAsia"/>
              </w:rPr>
              <w:t>380</w:t>
            </w:r>
          </w:p>
        </w:tc>
        <w:tc>
          <w:tcPr>
            <w:tcW w:w="467" w:type="pct"/>
            <w:vAlign w:val="center"/>
          </w:tcPr>
          <w:p w14:paraId="14E08150">
            <w:pPr>
              <w:pStyle w:val="133"/>
            </w:pPr>
            <w:r>
              <w:rPr>
                <w:rFonts w:hint="eastAsia"/>
              </w:rPr>
              <w:t>71</w:t>
            </w:r>
          </w:p>
        </w:tc>
        <w:tc>
          <w:tcPr>
            <w:tcW w:w="457" w:type="pct"/>
            <w:vAlign w:val="center"/>
          </w:tcPr>
          <w:p w14:paraId="03CD929A">
            <w:pPr>
              <w:pStyle w:val="133"/>
            </w:pPr>
            <w:r>
              <w:rPr>
                <w:rFonts w:hint="eastAsia"/>
              </w:rPr>
              <w:t>691.18</w:t>
            </w:r>
          </w:p>
        </w:tc>
        <w:tc>
          <w:tcPr>
            <w:tcW w:w="760" w:type="pct"/>
            <w:vAlign w:val="center"/>
          </w:tcPr>
          <w:p w14:paraId="007DC014">
            <w:pPr>
              <w:pStyle w:val="133"/>
            </w:pPr>
            <w:r>
              <w:rPr>
                <w:rFonts w:hint="eastAsia"/>
              </w:rPr>
              <w:t>94</w:t>
            </w:r>
          </w:p>
        </w:tc>
        <w:tc>
          <w:tcPr>
            <w:tcW w:w="1017" w:type="pct"/>
            <w:vMerge w:val="continue"/>
            <w:vAlign w:val="center"/>
          </w:tcPr>
          <w:p w14:paraId="733E7BD8">
            <w:pPr>
              <w:pStyle w:val="133"/>
            </w:pPr>
          </w:p>
        </w:tc>
        <w:tc>
          <w:tcPr>
            <w:tcW w:w="574" w:type="pct"/>
            <w:vAlign w:val="center"/>
          </w:tcPr>
          <w:p w14:paraId="3F21F4FC">
            <w:pPr>
              <w:pStyle w:val="133"/>
            </w:pPr>
            <w:r>
              <w:rPr>
                <w:rFonts w:hint="eastAsia"/>
              </w:rPr>
              <w:t>7920</w:t>
            </w:r>
          </w:p>
        </w:tc>
      </w:tr>
      <w:tr w14:paraId="048B6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2D1815F8">
            <w:pPr>
              <w:pStyle w:val="133"/>
            </w:pPr>
            <w:r>
              <w:t>4</w:t>
            </w:r>
          </w:p>
        </w:tc>
        <w:tc>
          <w:tcPr>
            <w:tcW w:w="947" w:type="pct"/>
            <w:vAlign w:val="center"/>
          </w:tcPr>
          <w:p w14:paraId="100F8D42">
            <w:pPr>
              <w:pStyle w:val="133"/>
            </w:pPr>
            <w:r>
              <w:rPr>
                <w:rFonts w:hint="eastAsia"/>
              </w:rPr>
              <w:t>复合型闭式冷却塔，2台</w:t>
            </w:r>
          </w:p>
        </w:tc>
        <w:tc>
          <w:tcPr>
            <w:tcW w:w="474" w:type="pct"/>
            <w:vAlign w:val="center"/>
          </w:tcPr>
          <w:p w14:paraId="3FAADF5D">
            <w:pPr>
              <w:pStyle w:val="133"/>
            </w:pPr>
            <w:r>
              <w:rPr>
                <w:rFonts w:hint="eastAsia"/>
              </w:rPr>
              <w:t>-194</w:t>
            </w:r>
          </w:p>
        </w:tc>
        <w:tc>
          <w:tcPr>
            <w:tcW w:w="467" w:type="pct"/>
            <w:vAlign w:val="center"/>
          </w:tcPr>
          <w:p w14:paraId="1947CA14">
            <w:pPr>
              <w:pStyle w:val="133"/>
            </w:pPr>
            <w:r>
              <w:rPr>
                <w:rFonts w:hint="eastAsia"/>
              </w:rPr>
              <w:t>107</w:t>
            </w:r>
          </w:p>
        </w:tc>
        <w:tc>
          <w:tcPr>
            <w:tcW w:w="457" w:type="pct"/>
            <w:vAlign w:val="center"/>
          </w:tcPr>
          <w:p w14:paraId="72202C31">
            <w:pPr>
              <w:pStyle w:val="133"/>
            </w:pPr>
            <w:r>
              <w:rPr>
                <w:rFonts w:hint="eastAsia"/>
              </w:rPr>
              <w:t>695.73</w:t>
            </w:r>
          </w:p>
        </w:tc>
        <w:tc>
          <w:tcPr>
            <w:tcW w:w="760" w:type="pct"/>
            <w:vAlign w:val="center"/>
          </w:tcPr>
          <w:p w14:paraId="574C4637">
            <w:pPr>
              <w:pStyle w:val="133"/>
            </w:pPr>
            <w:r>
              <w:rPr>
                <w:rFonts w:hint="eastAsia"/>
              </w:rPr>
              <w:t>88</w:t>
            </w:r>
          </w:p>
        </w:tc>
        <w:tc>
          <w:tcPr>
            <w:tcW w:w="1017" w:type="pct"/>
            <w:vMerge w:val="continue"/>
            <w:vAlign w:val="center"/>
          </w:tcPr>
          <w:p w14:paraId="242E93E8">
            <w:pPr>
              <w:pStyle w:val="133"/>
            </w:pPr>
          </w:p>
        </w:tc>
        <w:tc>
          <w:tcPr>
            <w:tcW w:w="574" w:type="pct"/>
            <w:vAlign w:val="center"/>
          </w:tcPr>
          <w:p w14:paraId="29ED02A6">
            <w:pPr>
              <w:pStyle w:val="133"/>
            </w:pPr>
            <w:r>
              <w:rPr>
                <w:rFonts w:hint="eastAsia"/>
              </w:rPr>
              <w:t>7920</w:t>
            </w:r>
          </w:p>
        </w:tc>
      </w:tr>
      <w:tr w14:paraId="38D6C7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73C2CED2">
            <w:pPr>
              <w:pStyle w:val="133"/>
            </w:pPr>
            <w:r>
              <w:rPr>
                <w:rFonts w:hint="eastAsia"/>
              </w:rPr>
              <w:t>5</w:t>
            </w:r>
          </w:p>
        </w:tc>
        <w:tc>
          <w:tcPr>
            <w:tcW w:w="947" w:type="pct"/>
            <w:vAlign w:val="center"/>
          </w:tcPr>
          <w:p w14:paraId="13853684">
            <w:pPr>
              <w:pStyle w:val="133"/>
            </w:pPr>
            <w:r>
              <w:rPr>
                <w:rFonts w:hint="eastAsia"/>
              </w:rPr>
              <w:t>地磅，1台</w:t>
            </w:r>
          </w:p>
        </w:tc>
        <w:tc>
          <w:tcPr>
            <w:tcW w:w="474" w:type="pct"/>
            <w:vAlign w:val="center"/>
          </w:tcPr>
          <w:p w14:paraId="788932E7">
            <w:pPr>
              <w:pStyle w:val="133"/>
            </w:pPr>
            <w:r>
              <w:rPr>
                <w:rFonts w:hint="eastAsia"/>
              </w:rPr>
              <w:t>-591</w:t>
            </w:r>
          </w:p>
        </w:tc>
        <w:tc>
          <w:tcPr>
            <w:tcW w:w="467" w:type="pct"/>
            <w:vAlign w:val="center"/>
          </w:tcPr>
          <w:p w14:paraId="4272B6AA">
            <w:pPr>
              <w:pStyle w:val="133"/>
            </w:pPr>
            <w:r>
              <w:rPr>
                <w:rFonts w:hint="eastAsia"/>
              </w:rPr>
              <w:t>8</w:t>
            </w:r>
          </w:p>
        </w:tc>
        <w:tc>
          <w:tcPr>
            <w:tcW w:w="457" w:type="pct"/>
            <w:vAlign w:val="center"/>
          </w:tcPr>
          <w:p w14:paraId="45D65D37">
            <w:pPr>
              <w:pStyle w:val="133"/>
            </w:pPr>
            <w:r>
              <w:rPr>
                <w:rFonts w:hint="eastAsia"/>
              </w:rPr>
              <w:t>693.41</w:t>
            </w:r>
          </w:p>
        </w:tc>
        <w:tc>
          <w:tcPr>
            <w:tcW w:w="760" w:type="pct"/>
            <w:vAlign w:val="center"/>
          </w:tcPr>
          <w:p w14:paraId="4BC2EF6E">
            <w:pPr>
              <w:pStyle w:val="133"/>
            </w:pPr>
            <w:r>
              <w:rPr>
                <w:rFonts w:hint="eastAsia"/>
              </w:rPr>
              <w:t>50</w:t>
            </w:r>
          </w:p>
        </w:tc>
        <w:tc>
          <w:tcPr>
            <w:tcW w:w="1017" w:type="pct"/>
            <w:vMerge w:val="continue"/>
            <w:vAlign w:val="center"/>
          </w:tcPr>
          <w:p w14:paraId="106830BF">
            <w:pPr>
              <w:pStyle w:val="133"/>
            </w:pPr>
          </w:p>
        </w:tc>
        <w:tc>
          <w:tcPr>
            <w:tcW w:w="574" w:type="pct"/>
            <w:vAlign w:val="center"/>
          </w:tcPr>
          <w:p w14:paraId="0822C471">
            <w:pPr>
              <w:pStyle w:val="133"/>
            </w:pPr>
            <w:r>
              <w:rPr>
                <w:rFonts w:hint="eastAsia"/>
              </w:rPr>
              <w:t>7920</w:t>
            </w:r>
          </w:p>
        </w:tc>
      </w:tr>
      <w:tr w14:paraId="1DE3EC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22A66519">
            <w:pPr>
              <w:pStyle w:val="133"/>
            </w:pPr>
            <w:r>
              <w:rPr>
                <w:rFonts w:hint="eastAsia"/>
              </w:rPr>
              <w:t>6</w:t>
            </w:r>
          </w:p>
        </w:tc>
        <w:tc>
          <w:tcPr>
            <w:tcW w:w="947" w:type="pct"/>
            <w:vAlign w:val="center"/>
          </w:tcPr>
          <w:p w14:paraId="6481462C">
            <w:pPr>
              <w:pStyle w:val="133"/>
            </w:pPr>
            <w:r>
              <w:rPr>
                <w:rFonts w:hint="eastAsia"/>
              </w:rPr>
              <w:t>冷却塔，7台</w:t>
            </w:r>
          </w:p>
        </w:tc>
        <w:tc>
          <w:tcPr>
            <w:tcW w:w="474" w:type="pct"/>
            <w:vAlign w:val="center"/>
          </w:tcPr>
          <w:p w14:paraId="4E6DFADF">
            <w:pPr>
              <w:pStyle w:val="133"/>
            </w:pPr>
            <w:r>
              <w:rPr>
                <w:rFonts w:hint="eastAsia"/>
              </w:rPr>
              <w:t>-210</w:t>
            </w:r>
          </w:p>
        </w:tc>
        <w:tc>
          <w:tcPr>
            <w:tcW w:w="467" w:type="pct"/>
            <w:vAlign w:val="center"/>
          </w:tcPr>
          <w:p w14:paraId="6C3E24A3">
            <w:pPr>
              <w:pStyle w:val="133"/>
            </w:pPr>
            <w:r>
              <w:rPr>
                <w:rFonts w:hint="eastAsia"/>
              </w:rPr>
              <w:t>-127</w:t>
            </w:r>
          </w:p>
        </w:tc>
        <w:tc>
          <w:tcPr>
            <w:tcW w:w="457" w:type="pct"/>
            <w:vAlign w:val="center"/>
          </w:tcPr>
          <w:p w14:paraId="27106313">
            <w:pPr>
              <w:pStyle w:val="133"/>
            </w:pPr>
            <w:r>
              <w:rPr>
                <w:rFonts w:hint="eastAsia"/>
              </w:rPr>
              <w:t>694.55</w:t>
            </w:r>
          </w:p>
        </w:tc>
        <w:tc>
          <w:tcPr>
            <w:tcW w:w="760" w:type="pct"/>
            <w:vAlign w:val="center"/>
          </w:tcPr>
          <w:p w14:paraId="3AB58C12">
            <w:pPr>
              <w:pStyle w:val="133"/>
            </w:pPr>
            <w:r>
              <w:rPr>
                <w:rFonts w:hint="eastAsia"/>
              </w:rPr>
              <w:t>93.5</w:t>
            </w:r>
          </w:p>
        </w:tc>
        <w:tc>
          <w:tcPr>
            <w:tcW w:w="1017" w:type="pct"/>
            <w:vMerge w:val="continue"/>
            <w:vAlign w:val="center"/>
          </w:tcPr>
          <w:p w14:paraId="61CB62E8">
            <w:pPr>
              <w:pStyle w:val="133"/>
            </w:pPr>
          </w:p>
        </w:tc>
        <w:tc>
          <w:tcPr>
            <w:tcW w:w="574" w:type="pct"/>
            <w:vAlign w:val="center"/>
          </w:tcPr>
          <w:p w14:paraId="529E4C5A">
            <w:pPr>
              <w:pStyle w:val="133"/>
            </w:pPr>
            <w:r>
              <w:rPr>
                <w:rFonts w:hint="eastAsia"/>
              </w:rPr>
              <w:t>7920</w:t>
            </w:r>
          </w:p>
        </w:tc>
      </w:tr>
      <w:tr w14:paraId="33F056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4BE22EB1">
            <w:pPr>
              <w:pStyle w:val="133"/>
            </w:pPr>
            <w:r>
              <w:rPr>
                <w:rFonts w:hint="eastAsia"/>
              </w:rPr>
              <w:t>7</w:t>
            </w:r>
          </w:p>
        </w:tc>
        <w:tc>
          <w:tcPr>
            <w:tcW w:w="947" w:type="pct"/>
            <w:vAlign w:val="center"/>
          </w:tcPr>
          <w:p w14:paraId="3F2622F4">
            <w:pPr>
              <w:pStyle w:val="133"/>
            </w:pPr>
            <w:r>
              <w:rPr>
                <w:rFonts w:hint="eastAsia"/>
              </w:rPr>
              <w:t>循环水泵，10台</w:t>
            </w:r>
          </w:p>
        </w:tc>
        <w:tc>
          <w:tcPr>
            <w:tcW w:w="474" w:type="pct"/>
            <w:vAlign w:val="center"/>
          </w:tcPr>
          <w:p w14:paraId="3517BEA3">
            <w:pPr>
              <w:pStyle w:val="133"/>
            </w:pPr>
            <w:r>
              <w:rPr>
                <w:rFonts w:hint="eastAsia"/>
              </w:rPr>
              <w:t>-208</w:t>
            </w:r>
          </w:p>
        </w:tc>
        <w:tc>
          <w:tcPr>
            <w:tcW w:w="467" w:type="pct"/>
            <w:vAlign w:val="center"/>
          </w:tcPr>
          <w:p w14:paraId="6AF93E71">
            <w:pPr>
              <w:pStyle w:val="133"/>
            </w:pPr>
            <w:r>
              <w:rPr>
                <w:rFonts w:hint="eastAsia"/>
              </w:rPr>
              <w:t>-120</w:t>
            </w:r>
          </w:p>
        </w:tc>
        <w:tc>
          <w:tcPr>
            <w:tcW w:w="457" w:type="pct"/>
            <w:vAlign w:val="center"/>
          </w:tcPr>
          <w:p w14:paraId="76DD5CF9">
            <w:pPr>
              <w:pStyle w:val="133"/>
            </w:pPr>
            <w:r>
              <w:rPr>
                <w:rFonts w:hint="eastAsia"/>
              </w:rPr>
              <w:t>694.64</w:t>
            </w:r>
          </w:p>
        </w:tc>
        <w:tc>
          <w:tcPr>
            <w:tcW w:w="760" w:type="pct"/>
            <w:vAlign w:val="center"/>
          </w:tcPr>
          <w:p w14:paraId="2544BA43">
            <w:pPr>
              <w:pStyle w:val="133"/>
            </w:pPr>
            <w:r>
              <w:rPr>
                <w:rFonts w:hint="eastAsia"/>
              </w:rPr>
              <w:t>95</w:t>
            </w:r>
          </w:p>
        </w:tc>
        <w:tc>
          <w:tcPr>
            <w:tcW w:w="1017" w:type="pct"/>
            <w:vMerge w:val="continue"/>
            <w:vAlign w:val="center"/>
          </w:tcPr>
          <w:p w14:paraId="58AA7547">
            <w:pPr>
              <w:pStyle w:val="133"/>
            </w:pPr>
          </w:p>
        </w:tc>
        <w:tc>
          <w:tcPr>
            <w:tcW w:w="574" w:type="pct"/>
            <w:vAlign w:val="center"/>
          </w:tcPr>
          <w:p w14:paraId="1E6215F0">
            <w:pPr>
              <w:pStyle w:val="133"/>
            </w:pPr>
            <w:r>
              <w:rPr>
                <w:rFonts w:hint="eastAsia"/>
              </w:rPr>
              <w:t>7920</w:t>
            </w:r>
          </w:p>
        </w:tc>
      </w:tr>
      <w:tr w14:paraId="05E62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04" w:type="pct"/>
            <w:vAlign w:val="center"/>
          </w:tcPr>
          <w:p w14:paraId="262BB811">
            <w:pPr>
              <w:pStyle w:val="133"/>
            </w:pPr>
            <w:r>
              <w:rPr>
                <w:rFonts w:hint="eastAsia"/>
              </w:rPr>
              <w:t>8</w:t>
            </w:r>
          </w:p>
        </w:tc>
        <w:tc>
          <w:tcPr>
            <w:tcW w:w="947" w:type="pct"/>
            <w:vAlign w:val="center"/>
          </w:tcPr>
          <w:p w14:paraId="764133D2">
            <w:pPr>
              <w:pStyle w:val="133"/>
            </w:pPr>
            <w:r>
              <w:rPr>
                <w:rFonts w:hint="eastAsia"/>
              </w:rPr>
              <w:t>定压补水装置，8台</w:t>
            </w:r>
          </w:p>
        </w:tc>
        <w:tc>
          <w:tcPr>
            <w:tcW w:w="474" w:type="pct"/>
            <w:vAlign w:val="center"/>
          </w:tcPr>
          <w:p w14:paraId="3E6E02B7">
            <w:pPr>
              <w:pStyle w:val="133"/>
            </w:pPr>
            <w:r>
              <w:rPr>
                <w:rFonts w:hint="eastAsia"/>
              </w:rPr>
              <w:t>-202</w:t>
            </w:r>
          </w:p>
        </w:tc>
        <w:tc>
          <w:tcPr>
            <w:tcW w:w="467" w:type="pct"/>
            <w:vAlign w:val="center"/>
          </w:tcPr>
          <w:p w14:paraId="1D6AF109">
            <w:pPr>
              <w:pStyle w:val="133"/>
            </w:pPr>
            <w:r>
              <w:rPr>
                <w:rFonts w:hint="eastAsia"/>
              </w:rPr>
              <w:t>-103</w:t>
            </w:r>
          </w:p>
        </w:tc>
        <w:tc>
          <w:tcPr>
            <w:tcW w:w="457" w:type="pct"/>
            <w:vAlign w:val="center"/>
          </w:tcPr>
          <w:p w14:paraId="2AADB5D8">
            <w:pPr>
              <w:pStyle w:val="133"/>
            </w:pPr>
            <w:r>
              <w:rPr>
                <w:rFonts w:hint="eastAsia"/>
              </w:rPr>
              <w:t>694.82</w:t>
            </w:r>
          </w:p>
        </w:tc>
        <w:tc>
          <w:tcPr>
            <w:tcW w:w="760" w:type="pct"/>
            <w:vAlign w:val="center"/>
          </w:tcPr>
          <w:p w14:paraId="6525F58F">
            <w:pPr>
              <w:pStyle w:val="133"/>
            </w:pPr>
            <w:r>
              <w:rPr>
                <w:rFonts w:hint="eastAsia"/>
              </w:rPr>
              <w:t>94</w:t>
            </w:r>
          </w:p>
        </w:tc>
        <w:tc>
          <w:tcPr>
            <w:tcW w:w="1017" w:type="pct"/>
            <w:vMerge w:val="continue"/>
            <w:vAlign w:val="center"/>
          </w:tcPr>
          <w:p w14:paraId="7C4A63D6">
            <w:pPr>
              <w:pStyle w:val="133"/>
            </w:pPr>
          </w:p>
        </w:tc>
        <w:tc>
          <w:tcPr>
            <w:tcW w:w="574" w:type="pct"/>
            <w:vAlign w:val="center"/>
          </w:tcPr>
          <w:p w14:paraId="4CE4F05E">
            <w:pPr>
              <w:pStyle w:val="133"/>
            </w:pPr>
            <w:r>
              <w:rPr>
                <w:rFonts w:hint="eastAsia"/>
              </w:rPr>
              <w:t>7920</w:t>
            </w:r>
          </w:p>
        </w:tc>
      </w:tr>
    </w:tbl>
    <w:p w14:paraId="699C709D">
      <w:pPr>
        <w:pStyle w:val="133"/>
        <w:ind w:firstLine="480"/>
      </w:pPr>
    </w:p>
    <w:p w14:paraId="36D1D8BC">
      <w:pPr>
        <w:pStyle w:val="118"/>
        <w:ind w:firstLine="480"/>
      </w:pPr>
    </w:p>
    <w:p w14:paraId="2EA7BB6F">
      <w:pPr>
        <w:pStyle w:val="118"/>
        <w:ind w:firstLine="480"/>
      </w:pPr>
    </w:p>
    <w:p w14:paraId="4C37D260">
      <w:pPr>
        <w:pStyle w:val="118"/>
        <w:ind w:firstLine="480"/>
      </w:pPr>
    </w:p>
    <w:p w14:paraId="3C0F1DED">
      <w:pPr>
        <w:pStyle w:val="118"/>
        <w:ind w:firstLine="480"/>
      </w:pPr>
    </w:p>
    <w:p w14:paraId="1DD44B7B">
      <w:pPr>
        <w:pStyle w:val="118"/>
        <w:ind w:firstLine="480"/>
      </w:pPr>
    </w:p>
    <w:p w14:paraId="338FD022">
      <w:pPr>
        <w:pStyle w:val="118"/>
        <w:ind w:firstLine="480"/>
      </w:pPr>
    </w:p>
    <w:p w14:paraId="31991FB6">
      <w:pPr>
        <w:pStyle w:val="118"/>
        <w:ind w:firstLine="480"/>
      </w:pPr>
      <w:r>
        <w:rPr>
          <w:rFonts w:hint="eastAsia"/>
        </w:rPr>
        <w:t>表5.5</w:t>
      </w:r>
      <w:r>
        <w:t>-</w:t>
      </w:r>
      <w:r>
        <w:rPr>
          <w:rFonts w:hint="eastAsia"/>
        </w:rPr>
        <w:t>2  工业企业噪声源强调查清单（室内声源）</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608"/>
        <w:gridCol w:w="2311"/>
        <w:gridCol w:w="1010"/>
        <w:gridCol w:w="1151"/>
        <w:gridCol w:w="720"/>
        <w:gridCol w:w="720"/>
        <w:gridCol w:w="865"/>
        <w:gridCol w:w="720"/>
        <w:gridCol w:w="865"/>
        <w:gridCol w:w="865"/>
        <w:gridCol w:w="1108"/>
        <w:gridCol w:w="907"/>
        <w:gridCol w:w="782"/>
      </w:tblGrid>
      <w:tr w14:paraId="5D1B4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1" w:type="pct"/>
            <w:vMerge w:val="restart"/>
            <w:noWrap/>
            <w:vAlign w:val="center"/>
          </w:tcPr>
          <w:p w14:paraId="5A625970">
            <w:pPr>
              <w:pStyle w:val="133"/>
              <w:rPr>
                <w:b/>
                <w:bCs/>
              </w:rPr>
            </w:pPr>
            <w:r>
              <w:rPr>
                <w:b/>
                <w:bCs/>
              </w:rPr>
              <w:t>序号</w:t>
            </w:r>
          </w:p>
        </w:tc>
        <w:tc>
          <w:tcPr>
            <w:tcW w:w="567" w:type="pct"/>
            <w:vMerge w:val="restart"/>
            <w:vAlign w:val="center"/>
          </w:tcPr>
          <w:p w14:paraId="0A0E131B">
            <w:pPr>
              <w:pStyle w:val="133"/>
              <w:rPr>
                <w:b/>
                <w:bCs/>
              </w:rPr>
            </w:pPr>
            <w:r>
              <w:rPr>
                <w:b/>
                <w:bCs/>
              </w:rPr>
              <w:t>建筑物名称</w:t>
            </w:r>
          </w:p>
        </w:tc>
        <w:tc>
          <w:tcPr>
            <w:tcW w:w="815" w:type="pct"/>
            <w:vMerge w:val="restart"/>
            <w:noWrap/>
            <w:vAlign w:val="center"/>
          </w:tcPr>
          <w:p w14:paraId="58FF981F">
            <w:pPr>
              <w:pStyle w:val="133"/>
              <w:rPr>
                <w:b/>
                <w:bCs/>
              </w:rPr>
            </w:pPr>
            <w:r>
              <w:rPr>
                <w:b/>
                <w:bCs/>
              </w:rPr>
              <w:t>声源名称</w:t>
            </w:r>
          </w:p>
        </w:tc>
        <w:tc>
          <w:tcPr>
            <w:tcW w:w="356" w:type="pct"/>
            <w:noWrap/>
            <w:vAlign w:val="center"/>
          </w:tcPr>
          <w:p w14:paraId="607BC8A2">
            <w:pPr>
              <w:pStyle w:val="133"/>
              <w:rPr>
                <w:b/>
                <w:bCs/>
              </w:rPr>
            </w:pPr>
            <w:r>
              <w:rPr>
                <w:b/>
                <w:bCs/>
              </w:rPr>
              <w:t>声源</w:t>
            </w:r>
          </w:p>
          <w:p w14:paraId="07CCD3DC">
            <w:pPr>
              <w:pStyle w:val="133"/>
              <w:rPr>
                <w:b/>
                <w:bCs/>
              </w:rPr>
            </w:pPr>
            <w:r>
              <w:rPr>
                <w:b/>
                <w:bCs/>
              </w:rPr>
              <w:t>源强</w:t>
            </w:r>
          </w:p>
        </w:tc>
        <w:tc>
          <w:tcPr>
            <w:tcW w:w="406" w:type="pct"/>
            <w:vMerge w:val="restart"/>
            <w:noWrap/>
            <w:vAlign w:val="center"/>
          </w:tcPr>
          <w:p w14:paraId="57E84CB4">
            <w:pPr>
              <w:pStyle w:val="133"/>
              <w:rPr>
                <w:b/>
                <w:bCs/>
              </w:rPr>
            </w:pPr>
            <w:r>
              <w:rPr>
                <w:b/>
                <w:bCs/>
              </w:rPr>
              <w:t>声源控制措施</w:t>
            </w:r>
          </w:p>
        </w:tc>
        <w:tc>
          <w:tcPr>
            <w:tcW w:w="813" w:type="pct"/>
            <w:gridSpan w:val="3"/>
            <w:noWrap/>
            <w:vAlign w:val="center"/>
          </w:tcPr>
          <w:p w14:paraId="05D36E8F">
            <w:pPr>
              <w:pStyle w:val="133"/>
              <w:rPr>
                <w:b/>
                <w:bCs/>
              </w:rPr>
            </w:pPr>
            <w:r>
              <w:rPr>
                <w:b/>
                <w:bCs/>
              </w:rPr>
              <w:t>空间相对位置/m</w:t>
            </w:r>
          </w:p>
        </w:tc>
        <w:tc>
          <w:tcPr>
            <w:tcW w:w="254" w:type="pct"/>
            <w:vMerge w:val="restart"/>
            <w:noWrap/>
            <w:vAlign w:val="center"/>
          </w:tcPr>
          <w:p w14:paraId="1B451D46">
            <w:pPr>
              <w:pStyle w:val="133"/>
              <w:rPr>
                <w:b/>
                <w:bCs/>
              </w:rPr>
            </w:pPr>
            <w:r>
              <w:rPr>
                <w:b/>
                <w:bCs/>
              </w:rPr>
              <w:t>距室内边界距离/m</w:t>
            </w:r>
          </w:p>
        </w:tc>
        <w:tc>
          <w:tcPr>
            <w:tcW w:w="305" w:type="pct"/>
            <w:vMerge w:val="restart"/>
            <w:noWrap/>
            <w:vAlign w:val="center"/>
          </w:tcPr>
          <w:p w14:paraId="4580B82F">
            <w:pPr>
              <w:pStyle w:val="133"/>
              <w:rPr>
                <w:b/>
                <w:bCs/>
              </w:rPr>
            </w:pPr>
            <w:r>
              <w:rPr>
                <w:b/>
                <w:bCs/>
              </w:rPr>
              <w:t>室内边界声级/dB(A)</w:t>
            </w:r>
          </w:p>
        </w:tc>
        <w:tc>
          <w:tcPr>
            <w:tcW w:w="305" w:type="pct"/>
            <w:vMerge w:val="restart"/>
            <w:noWrap/>
            <w:vAlign w:val="center"/>
          </w:tcPr>
          <w:p w14:paraId="7626ADED">
            <w:pPr>
              <w:pStyle w:val="133"/>
              <w:rPr>
                <w:b/>
                <w:bCs/>
              </w:rPr>
            </w:pPr>
            <w:r>
              <w:rPr>
                <w:b/>
                <w:bCs/>
              </w:rPr>
              <w:t>运行</w:t>
            </w:r>
          </w:p>
          <w:p w14:paraId="44EB488B">
            <w:pPr>
              <w:pStyle w:val="133"/>
              <w:rPr>
                <w:b/>
                <w:bCs/>
              </w:rPr>
            </w:pPr>
            <w:r>
              <w:rPr>
                <w:b/>
                <w:bCs/>
              </w:rPr>
              <w:t>时段</w:t>
            </w:r>
          </w:p>
        </w:tc>
        <w:tc>
          <w:tcPr>
            <w:tcW w:w="391" w:type="pct"/>
            <w:vMerge w:val="restart"/>
            <w:noWrap/>
            <w:vAlign w:val="center"/>
          </w:tcPr>
          <w:p w14:paraId="114AE89F">
            <w:pPr>
              <w:pStyle w:val="133"/>
              <w:rPr>
                <w:b/>
                <w:bCs/>
              </w:rPr>
            </w:pPr>
            <w:r>
              <w:rPr>
                <w:b/>
                <w:bCs/>
              </w:rPr>
              <w:t>建筑物插入损失/dB(A)</w:t>
            </w:r>
          </w:p>
        </w:tc>
        <w:tc>
          <w:tcPr>
            <w:tcW w:w="596" w:type="pct"/>
            <w:gridSpan w:val="2"/>
            <w:noWrap/>
            <w:vAlign w:val="center"/>
          </w:tcPr>
          <w:p w14:paraId="01CAD35D">
            <w:pPr>
              <w:pStyle w:val="133"/>
              <w:rPr>
                <w:b/>
                <w:bCs/>
              </w:rPr>
            </w:pPr>
            <w:r>
              <w:rPr>
                <w:b/>
                <w:bCs/>
              </w:rPr>
              <w:t>建筑物外噪声</w:t>
            </w:r>
          </w:p>
        </w:tc>
      </w:tr>
      <w:tr w14:paraId="58C61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1" w:type="pct"/>
            <w:vMerge w:val="continue"/>
            <w:vAlign w:val="center"/>
          </w:tcPr>
          <w:p w14:paraId="79B50CC1">
            <w:pPr>
              <w:pStyle w:val="133"/>
              <w:rPr>
                <w:b/>
                <w:bCs/>
              </w:rPr>
            </w:pPr>
          </w:p>
        </w:tc>
        <w:tc>
          <w:tcPr>
            <w:tcW w:w="567" w:type="pct"/>
            <w:vMerge w:val="continue"/>
            <w:vAlign w:val="center"/>
          </w:tcPr>
          <w:p w14:paraId="31B741F3">
            <w:pPr>
              <w:pStyle w:val="133"/>
              <w:rPr>
                <w:b/>
                <w:bCs/>
              </w:rPr>
            </w:pPr>
          </w:p>
        </w:tc>
        <w:tc>
          <w:tcPr>
            <w:tcW w:w="815" w:type="pct"/>
            <w:vMerge w:val="continue"/>
            <w:vAlign w:val="center"/>
          </w:tcPr>
          <w:p w14:paraId="5E69C83D">
            <w:pPr>
              <w:pStyle w:val="133"/>
              <w:rPr>
                <w:b/>
                <w:bCs/>
              </w:rPr>
            </w:pPr>
          </w:p>
        </w:tc>
        <w:tc>
          <w:tcPr>
            <w:tcW w:w="356" w:type="pct"/>
            <w:noWrap/>
            <w:vAlign w:val="center"/>
          </w:tcPr>
          <w:p w14:paraId="1B33B882">
            <w:pPr>
              <w:pStyle w:val="133"/>
              <w:rPr>
                <w:b/>
                <w:bCs/>
              </w:rPr>
            </w:pPr>
            <w:r>
              <w:rPr>
                <w:b/>
                <w:bCs/>
              </w:rPr>
              <w:t>声功</w:t>
            </w:r>
          </w:p>
          <w:p w14:paraId="2A3A1FBB">
            <w:pPr>
              <w:pStyle w:val="133"/>
              <w:rPr>
                <w:b/>
                <w:bCs/>
              </w:rPr>
            </w:pPr>
            <w:r>
              <w:rPr>
                <w:b/>
                <w:bCs/>
              </w:rPr>
              <w:t>率级/dB(A)</w:t>
            </w:r>
          </w:p>
        </w:tc>
        <w:tc>
          <w:tcPr>
            <w:tcW w:w="406" w:type="pct"/>
            <w:vMerge w:val="continue"/>
            <w:vAlign w:val="center"/>
          </w:tcPr>
          <w:p w14:paraId="12E00DDF">
            <w:pPr>
              <w:pStyle w:val="133"/>
              <w:rPr>
                <w:b/>
                <w:bCs/>
              </w:rPr>
            </w:pPr>
          </w:p>
        </w:tc>
        <w:tc>
          <w:tcPr>
            <w:tcW w:w="254" w:type="pct"/>
            <w:noWrap/>
            <w:vAlign w:val="center"/>
          </w:tcPr>
          <w:p w14:paraId="3880DBAF">
            <w:pPr>
              <w:pStyle w:val="133"/>
              <w:rPr>
                <w:b/>
                <w:bCs/>
              </w:rPr>
            </w:pPr>
            <w:r>
              <w:rPr>
                <w:b/>
                <w:bCs/>
              </w:rPr>
              <w:t>X</w:t>
            </w:r>
          </w:p>
        </w:tc>
        <w:tc>
          <w:tcPr>
            <w:tcW w:w="254" w:type="pct"/>
            <w:noWrap/>
            <w:vAlign w:val="center"/>
          </w:tcPr>
          <w:p w14:paraId="4278A0D7">
            <w:pPr>
              <w:pStyle w:val="133"/>
              <w:rPr>
                <w:b/>
                <w:bCs/>
              </w:rPr>
            </w:pPr>
            <w:r>
              <w:rPr>
                <w:b/>
                <w:bCs/>
              </w:rPr>
              <w:t>Y</w:t>
            </w:r>
          </w:p>
        </w:tc>
        <w:tc>
          <w:tcPr>
            <w:tcW w:w="305" w:type="pct"/>
            <w:noWrap/>
            <w:vAlign w:val="center"/>
          </w:tcPr>
          <w:p w14:paraId="28BF30E6">
            <w:pPr>
              <w:pStyle w:val="133"/>
              <w:rPr>
                <w:b/>
                <w:bCs/>
              </w:rPr>
            </w:pPr>
            <w:r>
              <w:rPr>
                <w:b/>
                <w:bCs/>
              </w:rPr>
              <w:t>Z</w:t>
            </w:r>
          </w:p>
        </w:tc>
        <w:tc>
          <w:tcPr>
            <w:tcW w:w="254" w:type="pct"/>
            <w:vMerge w:val="continue"/>
            <w:vAlign w:val="center"/>
          </w:tcPr>
          <w:p w14:paraId="49C3A465">
            <w:pPr>
              <w:pStyle w:val="133"/>
              <w:rPr>
                <w:b/>
                <w:bCs/>
              </w:rPr>
            </w:pPr>
          </w:p>
        </w:tc>
        <w:tc>
          <w:tcPr>
            <w:tcW w:w="305" w:type="pct"/>
            <w:vMerge w:val="continue"/>
            <w:vAlign w:val="center"/>
          </w:tcPr>
          <w:p w14:paraId="7186A369">
            <w:pPr>
              <w:pStyle w:val="133"/>
              <w:rPr>
                <w:b/>
                <w:bCs/>
              </w:rPr>
            </w:pPr>
          </w:p>
        </w:tc>
        <w:tc>
          <w:tcPr>
            <w:tcW w:w="305" w:type="pct"/>
            <w:vMerge w:val="continue"/>
            <w:vAlign w:val="center"/>
          </w:tcPr>
          <w:p w14:paraId="5537E27D">
            <w:pPr>
              <w:pStyle w:val="133"/>
              <w:rPr>
                <w:b/>
                <w:bCs/>
              </w:rPr>
            </w:pPr>
          </w:p>
        </w:tc>
        <w:tc>
          <w:tcPr>
            <w:tcW w:w="391" w:type="pct"/>
            <w:vMerge w:val="continue"/>
            <w:vAlign w:val="center"/>
          </w:tcPr>
          <w:p w14:paraId="5BF8AC40">
            <w:pPr>
              <w:pStyle w:val="133"/>
              <w:rPr>
                <w:b/>
                <w:bCs/>
              </w:rPr>
            </w:pPr>
          </w:p>
        </w:tc>
        <w:tc>
          <w:tcPr>
            <w:tcW w:w="320" w:type="pct"/>
            <w:noWrap/>
            <w:vAlign w:val="center"/>
          </w:tcPr>
          <w:p w14:paraId="6DF50118">
            <w:pPr>
              <w:pStyle w:val="133"/>
              <w:rPr>
                <w:b/>
                <w:bCs/>
              </w:rPr>
            </w:pPr>
            <w:r>
              <w:rPr>
                <w:b/>
                <w:bCs/>
              </w:rPr>
              <w:t>声压级/dB(A)</w:t>
            </w:r>
          </w:p>
        </w:tc>
        <w:tc>
          <w:tcPr>
            <w:tcW w:w="276" w:type="pct"/>
            <w:noWrap/>
            <w:vAlign w:val="center"/>
          </w:tcPr>
          <w:p w14:paraId="6B37DA7F">
            <w:pPr>
              <w:pStyle w:val="133"/>
              <w:rPr>
                <w:b/>
                <w:bCs/>
              </w:rPr>
            </w:pPr>
            <w:r>
              <w:rPr>
                <w:b/>
                <w:bCs/>
              </w:rPr>
              <w:t>建筑物外距离/m</w:t>
            </w:r>
          </w:p>
        </w:tc>
      </w:tr>
      <w:tr w14:paraId="54FD5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43BF5B22">
            <w:pPr>
              <w:pStyle w:val="133"/>
            </w:pPr>
            <w:r>
              <w:t>1</w:t>
            </w:r>
          </w:p>
        </w:tc>
        <w:tc>
          <w:tcPr>
            <w:tcW w:w="567" w:type="pct"/>
            <w:vMerge w:val="restart"/>
            <w:vAlign w:val="center"/>
          </w:tcPr>
          <w:p w14:paraId="1F1808C3">
            <w:pPr>
              <w:pStyle w:val="133"/>
            </w:pPr>
            <w:r>
              <w:t>煤棚</w:t>
            </w:r>
          </w:p>
        </w:tc>
        <w:tc>
          <w:tcPr>
            <w:tcW w:w="815" w:type="pct"/>
            <w:noWrap/>
            <w:vAlign w:val="center"/>
          </w:tcPr>
          <w:p w14:paraId="7814D968">
            <w:pPr>
              <w:pStyle w:val="133"/>
            </w:pPr>
            <w:r>
              <w:rPr>
                <w:rFonts w:hint="eastAsia"/>
              </w:rPr>
              <w:t>振动筛，3台</w:t>
            </w:r>
          </w:p>
        </w:tc>
        <w:tc>
          <w:tcPr>
            <w:tcW w:w="356" w:type="pct"/>
            <w:noWrap/>
            <w:vAlign w:val="center"/>
          </w:tcPr>
          <w:p w14:paraId="52E5704D">
            <w:pPr>
              <w:pStyle w:val="133"/>
            </w:pPr>
            <w:r>
              <w:t>99.8</w:t>
            </w:r>
          </w:p>
        </w:tc>
        <w:tc>
          <w:tcPr>
            <w:tcW w:w="406" w:type="pct"/>
            <w:vMerge w:val="restart"/>
            <w:noWrap/>
            <w:vAlign w:val="center"/>
          </w:tcPr>
          <w:p w14:paraId="47122E30">
            <w:pPr>
              <w:pStyle w:val="133"/>
            </w:pPr>
            <w:r>
              <w:t>优先选用低噪声设备、厂房隔声、设备加装减振垫</w:t>
            </w:r>
          </w:p>
        </w:tc>
        <w:tc>
          <w:tcPr>
            <w:tcW w:w="254" w:type="pct"/>
            <w:noWrap/>
            <w:vAlign w:val="center"/>
          </w:tcPr>
          <w:p w14:paraId="1F82B6B7">
            <w:pPr>
              <w:pStyle w:val="133"/>
            </w:pPr>
            <w:r>
              <w:rPr>
                <w:rFonts w:hint="eastAsia"/>
              </w:rPr>
              <w:t>-570</w:t>
            </w:r>
          </w:p>
        </w:tc>
        <w:tc>
          <w:tcPr>
            <w:tcW w:w="254" w:type="pct"/>
            <w:noWrap/>
            <w:vAlign w:val="center"/>
          </w:tcPr>
          <w:p w14:paraId="74A844B2">
            <w:pPr>
              <w:pStyle w:val="133"/>
            </w:pPr>
            <w:r>
              <w:rPr>
                <w:rFonts w:hint="eastAsia"/>
              </w:rPr>
              <w:t>160</w:t>
            </w:r>
          </w:p>
        </w:tc>
        <w:tc>
          <w:tcPr>
            <w:tcW w:w="305" w:type="pct"/>
            <w:noWrap/>
            <w:vAlign w:val="center"/>
          </w:tcPr>
          <w:p w14:paraId="76606609">
            <w:pPr>
              <w:pStyle w:val="133"/>
            </w:pPr>
            <w:r>
              <w:rPr>
                <w:rFonts w:hint="eastAsia"/>
              </w:rPr>
              <w:t>695.17</w:t>
            </w:r>
          </w:p>
        </w:tc>
        <w:tc>
          <w:tcPr>
            <w:tcW w:w="254" w:type="pct"/>
            <w:noWrap/>
            <w:vAlign w:val="center"/>
          </w:tcPr>
          <w:p w14:paraId="6B374D65">
            <w:pPr>
              <w:pStyle w:val="133"/>
            </w:pPr>
            <w:r>
              <w:t>6</w:t>
            </w:r>
          </w:p>
        </w:tc>
        <w:tc>
          <w:tcPr>
            <w:tcW w:w="305" w:type="pct"/>
            <w:noWrap/>
            <w:vAlign w:val="center"/>
          </w:tcPr>
          <w:p w14:paraId="43A10BB6">
            <w:pPr>
              <w:pStyle w:val="133"/>
            </w:pPr>
            <w:r>
              <w:t>83.8</w:t>
            </w:r>
          </w:p>
        </w:tc>
        <w:tc>
          <w:tcPr>
            <w:tcW w:w="305" w:type="pct"/>
            <w:noWrap/>
            <w:vAlign w:val="center"/>
          </w:tcPr>
          <w:p w14:paraId="144B0DE0">
            <w:pPr>
              <w:pStyle w:val="133"/>
            </w:pPr>
            <w:r>
              <w:rPr>
                <w:rFonts w:hint="eastAsia"/>
              </w:rPr>
              <w:t>7920</w:t>
            </w:r>
          </w:p>
        </w:tc>
        <w:tc>
          <w:tcPr>
            <w:tcW w:w="391" w:type="pct"/>
            <w:noWrap/>
            <w:vAlign w:val="center"/>
          </w:tcPr>
          <w:p w14:paraId="1E600C2A">
            <w:pPr>
              <w:pStyle w:val="133"/>
            </w:pPr>
            <w:r>
              <w:rPr>
                <w:rFonts w:hint="eastAsia"/>
              </w:rPr>
              <w:t>15</w:t>
            </w:r>
          </w:p>
        </w:tc>
        <w:tc>
          <w:tcPr>
            <w:tcW w:w="320" w:type="pct"/>
            <w:noWrap/>
            <w:vAlign w:val="center"/>
          </w:tcPr>
          <w:p w14:paraId="65BF6D2A">
            <w:pPr>
              <w:pStyle w:val="133"/>
            </w:pPr>
            <w:r>
              <w:rPr>
                <w:rFonts w:cs="Times New Roman"/>
                <w:color w:val="000000"/>
                <w:szCs w:val="21"/>
              </w:rPr>
              <w:t>68.8</w:t>
            </w:r>
          </w:p>
        </w:tc>
        <w:tc>
          <w:tcPr>
            <w:tcW w:w="276" w:type="pct"/>
            <w:noWrap/>
            <w:vAlign w:val="center"/>
          </w:tcPr>
          <w:p w14:paraId="7BCBD027">
            <w:pPr>
              <w:pStyle w:val="133"/>
            </w:pPr>
            <w:r>
              <w:t>1</w:t>
            </w:r>
          </w:p>
        </w:tc>
      </w:tr>
      <w:tr w14:paraId="7D3C5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1615F33B">
            <w:pPr>
              <w:pStyle w:val="133"/>
            </w:pPr>
            <w:r>
              <w:t>2</w:t>
            </w:r>
          </w:p>
        </w:tc>
        <w:tc>
          <w:tcPr>
            <w:tcW w:w="567" w:type="pct"/>
            <w:vMerge w:val="continue"/>
            <w:vAlign w:val="center"/>
          </w:tcPr>
          <w:p w14:paraId="6320DAD3">
            <w:pPr>
              <w:pStyle w:val="133"/>
            </w:pPr>
          </w:p>
        </w:tc>
        <w:tc>
          <w:tcPr>
            <w:tcW w:w="815" w:type="pct"/>
            <w:noWrap/>
            <w:vAlign w:val="center"/>
          </w:tcPr>
          <w:p w14:paraId="7E77B9EC">
            <w:pPr>
              <w:pStyle w:val="133"/>
            </w:pPr>
            <w:r>
              <w:rPr>
                <w:rFonts w:hint="eastAsia"/>
              </w:rPr>
              <w:t>装载机，8台</w:t>
            </w:r>
          </w:p>
        </w:tc>
        <w:tc>
          <w:tcPr>
            <w:tcW w:w="356" w:type="pct"/>
            <w:noWrap/>
            <w:vAlign w:val="center"/>
          </w:tcPr>
          <w:p w14:paraId="52249ACE">
            <w:pPr>
              <w:pStyle w:val="133"/>
            </w:pPr>
            <w:r>
              <w:t>94.0</w:t>
            </w:r>
          </w:p>
        </w:tc>
        <w:tc>
          <w:tcPr>
            <w:tcW w:w="406" w:type="pct"/>
            <w:vMerge w:val="continue"/>
            <w:noWrap/>
            <w:vAlign w:val="center"/>
          </w:tcPr>
          <w:p w14:paraId="6153A547">
            <w:pPr>
              <w:pStyle w:val="133"/>
            </w:pPr>
          </w:p>
        </w:tc>
        <w:tc>
          <w:tcPr>
            <w:tcW w:w="254" w:type="pct"/>
            <w:noWrap/>
            <w:vAlign w:val="center"/>
          </w:tcPr>
          <w:p w14:paraId="60F889D4">
            <w:pPr>
              <w:pStyle w:val="133"/>
            </w:pPr>
            <w:r>
              <w:rPr>
                <w:rFonts w:hint="eastAsia"/>
              </w:rPr>
              <w:t>-555</w:t>
            </w:r>
          </w:p>
        </w:tc>
        <w:tc>
          <w:tcPr>
            <w:tcW w:w="254" w:type="pct"/>
            <w:noWrap/>
            <w:vAlign w:val="center"/>
          </w:tcPr>
          <w:p w14:paraId="39CC7F94">
            <w:pPr>
              <w:pStyle w:val="133"/>
            </w:pPr>
            <w:r>
              <w:rPr>
                <w:rFonts w:hint="eastAsia"/>
              </w:rPr>
              <w:t>145</w:t>
            </w:r>
          </w:p>
        </w:tc>
        <w:tc>
          <w:tcPr>
            <w:tcW w:w="305" w:type="pct"/>
            <w:noWrap/>
            <w:vAlign w:val="center"/>
          </w:tcPr>
          <w:p w14:paraId="75472A60">
            <w:pPr>
              <w:pStyle w:val="133"/>
            </w:pPr>
            <w:r>
              <w:rPr>
                <w:rFonts w:hint="eastAsia"/>
              </w:rPr>
              <w:t>695.1</w:t>
            </w:r>
          </w:p>
        </w:tc>
        <w:tc>
          <w:tcPr>
            <w:tcW w:w="254" w:type="pct"/>
            <w:noWrap/>
            <w:vAlign w:val="center"/>
          </w:tcPr>
          <w:p w14:paraId="4631AE5E">
            <w:pPr>
              <w:pStyle w:val="133"/>
            </w:pPr>
            <w:r>
              <w:t>8</w:t>
            </w:r>
          </w:p>
        </w:tc>
        <w:tc>
          <w:tcPr>
            <w:tcW w:w="305" w:type="pct"/>
            <w:noWrap/>
            <w:vAlign w:val="center"/>
          </w:tcPr>
          <w:p w14:paraId="7AFB31F9">
            <w:pPr>
              <w:pStyle w:val="133"/>
            </w:pPr>
            <w:r>
              <w:t>76.0</w:t>
            </w:r>
          </w:p>
        </w:tc>
        <w:tc>
          <w:tcPr>
            <w:tcW w:w="305" w:type="pct"/>
            <w:noWrap/>
            <w:vAlign w:val="center"/>
          </w:tcPr>
          <w:p w14:paraId="11B917E5">
            <w:pPr>
              <w:pStyle w:val="133"/>
            </w:pPr>
            <w:r>
              <w:rPr>
                <w:rFonts w:hint="eastAsia"/>
              </w:rPr>
              <w:t>7920</w:t>
            </w:r>
          </w:p>
        </w:tc>
        <w:tc>
          <w:tcPr>
            <w:tcW w:w="391" w:type="pct"/>
            <w:noWrap/>
            <w:vAlign w:val="center"/>
          </w:tcPr>
          <w:p w14:paraId="04D6582E">
            <w:pPr>
              <w:pStyle w:val="133"/>
            </w:pPr>
            <w:r>
              <w:rPr>
                <w:rFonts w:hint="eastAsia"/>
              </w:rPr>
              <w:t>15</w:t>
            </w:r>
          </w:p>
        </w:tc>
        <w:tc>
          <w:tcPr>
            <w:tcW w:w="320" w:type="pct"/>
            <w:noWrap/>
            <w:vAlign w:val="center"/>
          </w:tcPr>
          <w:p w14:paraId="2E0181BA">
            <w:pPr>
              <w:pStyle w:val="133"/>
            </w:pPr>
            <w:r>
              <w:rPr>
                <w:rFonts w:cs="Times New Roman"/>
                <w:color w:val="000000"/>
                <w:szCs w:val="21"/>
              </w:rPr>
              <w:t>61.0</w:t>
            </w:r>
          </w:p>
        </w:tc>
        <w:tc>
          <w:tcPr>
            <w:tcW w:w="276" w:type="pct"/>
            <w:noWrap/>
            <w:vAlign w:val="center"/>
          </w:tcPr>
          <w:p w14:paraId="0ADA8C13">
            <w:pPr>
              <w:pStyle w:val="133"/>
            </w:pPr>
            <w:r>
              <w:t>1</w:t>
            </w:r>
          </w:p>
        </w:tc>
      </w:tr>
      <w:tr w14:paraId="06B25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0FE21568">
            <w:pPr>
              <w:pStyle w:val="133"/>
            </w:pPr>
            <w:r>
              <w:t>3</w:t>
            </w:r>
          </w:p>
        </w:tc>
        <w:tc>
          <w:tcPr>
            <w:tcW w:w="567" w:type="pct"/>
            <w:vMerge w:val="continue"/>
            <w:vAlign w:val="center"/>
          </w:tcPr>
          <w:p w14:paraId="6F5BF7BE">
            <w:pPr>
              <w:pStyle w:val="133"/>
            </w:pPr>
          </w:p>
        </w:tc>
        <w:tc>
          <w:tcPr>
            <w:tcW w:w="815" w:type="pct"/>
            <w:noWrap/>
            <w:vAlign w:val="center"/>
          </w:tcPr>
          <w:p w14:paraId="363C205F">
            <w:pPr>
              <w:pStyle w:val="133"/>
            </w:pPr>
            <w:r>
              <w:rPr>
                <w:rFonts w:hint="eastAsia"/>
              </w:rPr>
              <w:t>破碎机，1台</w:t>
            </w:r>
          </w:p>
        </w:tc>
        <w:tc>
          <w:tcPr>
            <w:tcW w:w="356" w:type="pct"/>
            <w:noWrap/>
            <w:vAlign w:val="center"/>
          </w:tcPr>
          <w:p w14:paraId="3BB2A92A">
            <w:pPr>
              <w:pStyle w:val="133"/>
            </w:pPr>
            <w:r>
              <w:t>80.0</w:t>
            </w:r>
          </w:p>
        </w:tc>
        <w:tc>
          <w:tcPr>
            <w:tcW w:w="406" w:type="pct"/>
            <w:vMerge w:val="continue"/>
            <w:noWrap/>
            <w:vAlign w:val="center"/>
          </w:tcPr>
          <w:p w14:paraId="50108321">
            <w:pPr>
              <w:pStyle w:val="133"/>
            </w:pPr>
          </w:p>
        </w:tc>
        <w:tc>
          <w:tcPr>
            <w:tcW w:w="254" w:type="pct"/>
            <w:noWrap/>
            <w:vAlign w:val="center"/>
          </w:tcPr>
          <w:p w14:paraId="24835EC8">
            <w:pPr>
              <w:pStyle w:val="133"/>
            </w:pPr>
            <w:r>
              <w:rPr>
                <w:rFonts w:hint="eastAsia"/>
              </w:rPr>
              <w:t>-545</w:t>
            </w:r>
          </w:p>
        </w:tc>
        <w:tc>
          <w:tcPr>
            <w:tcW w:w="254" w:type="pct"/>
            <w:noWrap/>
            <w:vAlign w:val="center"/>
          </w:tcPr>
          <w:p w14:paraId="5ED7F7AB">
            <w:pPr>
              <w:pStyle w:val="133"/>
            </w:pPr>
            <w:r>
              <w:rPr>
                <w:rFonts w:hint="eastAsia"/>
              </w:rPr>
              <w:t>116</w:t>
            </w:r>
          </w:p>
        </w:tc>
        <w:tc>
          <w:tcPr>
            <w:tcW w:w="305" w:type="pct"/>
            <w:noWrap/>
            <w:vAlign w:val="center"/>
          </w:tcPr>
          <w:p w14:paraId="1E45533C">
            <w:pPr>
              <w:pStyle w:val="133"/>
            </w:pPr>
            <w:r>
              <w:rPr>
                <w:rFonts w:hint="eastAsia"/>
              </w:rPr>
              <w:t>694.85</w:t>
            </w:r>
          </w:p>
        </w:tc>
        <w:tc>
          <w:tcPr>
            <w:tcW w:w="254" w:type="pct"/>
            <w:noWrap/>
            <w:vAlign w:val="center"/>
          </w:tcPr>
          <w:p w14:paraId="6496DECA">
            <w:pPr>
              <w:pStyle w:val="133"/>
            </w:pPr>
            <w:r>
              <w:t>6</w:t>
            </w:r>
          </w:p>
        </w:tc>
        <w:tc>
          <w:tcPr>
            <w:tcW w:w="305" w:type="pct"/>
            <w:noWrap/>
            <w:vAlign w:val="center"/>
          </w:tcPr>
          <w:p w14:paraId="0AEDDBDB">
            <w:pPr>
              <w:pStyle w:val="133"/>
            </w:pPr>
            <w:r>
              <w:t>64.0</w:t>
            </w:r>
          </w:p>
        </w:tc>
        <w:tc>
          <w:tcPr>
            <w:tcW w:w="305" w:type="pct"/>
            <w:noWrap/>
            <w:vAlign w:val="center"/>
          </w:tcPr>
          <w:p w14:paraId="62180652">
            <w:pPr>
              <w:pStyle w:val="133"/>
            </w:pPr>
            <w:r>
              <w:rPr>
                <w:rFonts w:hint="eastAsia"/>
              </w:rPr>
              <w:t>7920</w:t>
            </w:r>
          </w:p>
        </w:tc>
        <w:tc>
          <w:tcPr>
            <w:tcW w:w="391" w:type="pct"/>
            <w:noWrap/>
            <w:vAlign w:val="center"/>
          </w:tcPr>
          <w:p w14:paraId="4EB7669C">
            <w:pPr>
              <w:pStyle w:val="133"/>
            </w:pPr>
            <w:r>
              <w:rPr>
                <w:rFonts w:hint="eastAsia"/>
              </w:rPr>
              <w:t>15</w:t>
            </w:r>
          </w:p>
        </w:tc>
        <w:tc>
          <w:tcPr>
            <w:tcW w:w="320" w:type="pct"/>
            <w:noWrap/>
            <w:vAlign w:val="center"/>
          </w:tcPr>
          <w:p w14:paraId="6CE83AF2">
            <w:pPr>
              <w:pStyle w:val="133"/>
            </w:pPr>
            <w:r>
              <w:rPr>
                <w:rFonts w:cs="Times New Roman"/>
                <w:color w:val="000000"/>
                <w:szCs w:val="21"/>
              </w:rPr>
              <w:t>49.0</w:t>
            </w:r>
          </w:p>
        </w:tc>
        <w:tc>
          <w:tcPr>
            <w:tcW w:w="276" w:type="pct"/>
            <w:noWrap/>
            <w:vAlign w:val="center"/>
          </w:tcPr>
          <w:p w14:paraId="242A52AC">
            <w:pPr>
              <w:pStyle w:val="133"/>
            </w:pPr>
            <w:r>
              <w:t>1</w:t>
            </w:r>
          </w:p>
        </w:tc>
      </w:tr>
      <w:tr w14:paraId="320E3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02642955">
            <w:pPr>
              <w:pStyle w:val="133"/>
            </w:pPr>
            <w:r>
              <w:t>4</w:t>
            </w:r>
          </w:p>
        </w:tc>
        <w:tc>
          <w:tcPr>
            <w:tcW w:w="567" w:type="pct"/>
            <w:vAlign w:val="center"/>
          </w:tcPr>
          <w:p w14:paraId="57925AC0">
            <w:pPr>
              <w:pStyle w:val="133"/>
            </w:pPr>
            <w:r>
              <w:t>废水</w:t>
            </w:r>
            <w:r>
              <w:rPr>
                <w:rFonts w:hint="eastAsia"/>
              </w:rPr>
              <w:t>处理车间</w:t>
            </w:r>
          </w:p>
        </w:tc>
        <w:tc>
          <w:tcPr>
            <w:tcW w:w="815" w:type="pct"/>
            <w:noWrap/>
            <w:vAlign w:val="center"/>
          </w:tcPr>
          <w:p w14:paraId="24B04C6C">
            <w:pPr>
              <w:pStyle w:val="133"/>
            </w:pPr>
            <w:r>
              <w:rPr>
                <w:rFonts w:hint="eastAsia"/>
              </w:rPr>
              <w:t>泵类，34台</w:t>
            </w:r>
          </w:p>
        </w:tc>
        <w:tc>
          <w:tcPr>
            <w:tcW w:w="356" w:type="pct"/>
            <w:noWrap/>
            <w:vAlign w:val="center"/>
          </w:tcPr>
          <w:p w14:paraId="1A709F75">
            <w:pPr>
              <w:pStyle w:val="133"/>
            </w:pPr>
            <w:r>
              <w:t>95.3</w:t>
            </w:r>
          </w:p>
        </w:tc>
        <w:tc>
          <w:tcPr>
            <w:tcW w:w="406" w:type="pct"/>
            <w:vMerge w:val="continue"/>
            <w:noWrap/>
            <w:vAlign w:val="center"/>
          </w:tcPr>
          <w:p w14:paraId="6DA20545">
            <w:pPr>
              <w:pStyle w:val="133"/>
            </w:pPr>
          </w:p>
        </w:tc>
        <w:tc>
          <w:tcPr>
            <w:tcW w:w="254" w:type="pct"/>
            <w:noWrap/>
            <w:vAlign w:val="center"/>
          </w:tcPr>
          <w:p w14:paraId="7BB129FD">
            <w:pPr>
              <w:pStyle w:val="133"/>
            </w:pPr>
            <w:r>
              <w:rPr>
                <w:rFonts w:hint="eastAsia"/>
              </w:rPr>
              <w:t>-215</w:t>
            </w:r>
          </w:p>
        </w:tc>
        <w:tc>
          <w:tcPr>
            <w:tcW w:w="254" w:type="pct"/>
            <w:noWrap/>
            <w:vAlign w:val="center"/>
          </w:tcPr>
          <w:p w14:paraId="56A4CDEA">
            <w:pPr>
              <w:pStyle w:val="133"/>
            </w:pPr>
            <w:r>
              <w:rPr>
                <w:rFonts w:hint="eastAsia"/>
              </w:rPr>
              <w:t>124</w:t>
            </w:r>
          </w:p>
        </w:tc>
        <w:tc>
          <w:tcPr>
            <w:tcW w:w="305" w:type="pct"/>
            <w:noWrap/>
            <w:vAlign w:val="center"/>
          </w:tcPr>
          <w:p w14:paraId="0B7C5F5B">
            <w:pPr>
              <w:pStyle w:val="133"/>
            </w:pPr>
            <w:r>
              <w:rPr>
                <w:rFonts w:hint="eastAsia"/>
              </w:rPr>
              <w:t>695.22</w:t>
            </w:r>
          </w:p>
        </w:tc>
        <w:tc>
          <w:tcPr>
            <w:tcW w:w="254" w:type="pct"/>
            <w:noWrap/>
            <w:vAlign w:val="center"/>
          </w:tcPr>
          <w:p w14:paraId="3D62D544">
            <w:pPr>
              <w:pStyle w:val="133"/>
            </w:pPr>
            <w:r>
              <w:t>7</w:t>
            </w:r>
          </w:p>
        </w:tc>
        <w:tc>
          <w:tcPr>
            <w:tcW w:w="305" w:type="pct"/>
            <w:noWrap/>
            <w:vAlign w:val="center"/>
          </w:tcPr>
          <w:p w14:paraId="139C55D1">
            <w:pPr>
              <w:pStyle w:val="133"/>
            </w:pPr>
            <w:r>
              <w:t>78.3</w:t>
            </w:r>
          </w:p>
        </w:tc>
        <w:tc>
          <w:tcPr>
            <w:tcW w:w="305" w:type="pct"/>
            <w:noWrap/>
            <w:vAlign w:val="center"/>
          </w:tcPr>
          <w:p w14:paraId="6F94EAAB">
            <w:pPr>
              <w:pStyle w:val="133"/>
            </w:pPr>
            <w:r>
              <w:rPr>
                <w:rFonts w:hint="eastAsia"/>
              </w:rPr>
              <w:t>7920</w:t>
            </w:r>
          </w:p>
        </w:tc>
        <w:tc>
          <w:tcPr>
            <w:tcW w:w="391" w:type="pct"/>
            <w:noWrap/>
            <w:vAlign w:val="center"/>
          </w:tcPr>
          <w:p w14:paraId="3EFBA7B8">
            <w:pPr>
              <w:pStyle w:val="133"/>
            </w:pPr>
            <w:r>
              <w:rPr>
                <w:rFonts w:hint="eastAsia"/>
              </w:rPr>
              <w:t>15</w:t>
            </w:r>
          </w:p>
        </w:tc>
        <w:tc>
          <w:tcPr>
            <w:tcW w:w="320" w:type="pct"/>
            <w:noWrap/>
            <w:vAlign w:val="center"/>
          </w:tcPr>
          <w:p w14:paraId="575E1296">
            <w:pPr>
              <w:pStyle w:val="133"/>
            </w:pPr>
            <w:r>
              <w:rPr>
                <w:rFonts w:cs="Times New Roman"/>
                <w:color w:val="000000"/>
                <w:szCs w:val="21"/>
              </w:rPr>
              <w:t>63.3</w:t>
            </w:r>
          </w:p>
        </w:tc>
        <w:tc>
          <w:tcPr>
            <w:tcW w:w="276" w:type="pct"/>
            <w:noWrap/>
            <w:vAlign w:val="center"/>
          </w:tcPr>
          <w:p w14:paraId="4EFBEF0A">
            <w:pPr>
              <w:pStyle w:val="133"/>
            </w:pPr>
            <w:r>
              <w:t>1</w:t>
            </w:r>
          </w:p>
        </w:tc>
      </w:tr>
      <w:tr w14:paraId="4D5CA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667C1C3A">
            <w:pPr>
              <w:pStyle w:val="133"/>
            </w:pPr>
            <w:r>
              <w:t>5</w:t>
            </w:r>
          </w:p>
        </w:tc>
        <w:tc>
          <w:tcPr>
            <w:tcW w:w="567" w:type="pct"/>
            <w:vMerge w:val="restart"/>
            <w:vAlign w:val="center"/>
          </w:tcPr>
          <w:p w14:paraId="4253D87A">
            <w:pPr>
              <w:pStyle w:val="133"/>
            </w:pPr>
            <w:r>
              <w:t>炭化车间</w:t>
            </w:r>
          </w:p>
        </w:tc>
        <w:tc>
          <w:tcPr>
            <w:tcW w:w="815" w:type="pct"/>
            <w:noWrap/>
            <w:vAlign w:val="center"/>
          </w:tcPr>
          <w:p w14:paraId="25A4A061">
            <w:pPr>
              <w:pStyle w:val="133"/>
            </w:pPr>
            <w:r>
              <w:rPr>
                <w:rFonts w:hint="eastAsia"/>
              </w:rPr>
              <w:t>刮板机，8台</w:t>
            </w:r>
          </w:p>
        </w:tc>
        <w:tc>
          <w:tcPr>
            <w:tcW w:w="356" w:type="pct"/>
            <w:noWrap/>
            <w:vAlign w:val="center"/>
          </w:tcPr>
          <w:p w14:paraId="37A97DD5">
            <w:pPr>
              <w:pStyle w:val="133"/>
            </w:pPr>
            <w:r>
              <w:t>99.0</w:t>
            </w:r>
          </w:p>
        </w:tc>
        <w:tc>
          <w:tcPr>
            <w:tcW w:w="406" w:type="pct"/>
            <w:vMerge w:val="continue"/>
            <w:noWrap/>
            <w:vAlign w:val="center"/>
          </w:tcPr>
          <w:p w14:paraId="7C4D30FD">
            <w:pPr>
              <w:pStyle w:val="133"/>
            </w:pPr>
          </w:p>
        </w:tc>
        <w:tc>
          <w:tcPr>
            <w:tcW w:w="254" w:type="pct"/>
            <w:noWrap/>
            <w:vAlign w:val="center"/>
          </w:tcPr>
          <w:p w14:paraId="385D473B">
            <w:pPr>
              <w:pStyle w:val="133"/>
            </w:pPr>
            <w:r>
              <w:rPr>
                <w:rFonts w:hint="eastAsia"/>
              </w:rPr>
              <w:t>-427</w:t>
            </w:r>
          </w:p>
        </w:tc>
        <w:tc>
          <w:tcPr>
            <w:tcW w:w="254" w:type="pct"/>
            <w:noWrap/>
            <w:vAlign w:val="center"/>
          </w:tcPr>
          <w:p w14:paraId="6D827CDF">
            <w:pPr>
              <w:pStyle w:val="133"/>
            </w:pPr>
            <w:r>
              <w:rPr>
                <w:rFonts w:hint="eastAsia"/>
              </w:rPr>
              <w:t>143</w:t>
            </w:r>
          </w:p>
        </w:tc>
        <w:tc>
          <w:tcPr>
            <w:tcW w:w="305" w:type="pct"/>
            <w:noWrap/>
            <w:vAlign w:val="center"/>
          </w:tcPr>
          <w:p w14:paraId="41FD5A11">
            <w:pPr>
              <w:pStyle w:val="133"/>
            </w:pPr>
            <w:r>
              <w:rPr>
                <w:rFonts w:hint="eastAsia"/>
              </w:rPr>
              <w:t>695.27</w:t>
            </w:r>
          </w:p>
        </w:tc>
        <w:tc>
          <w:tcPr>
            <w:tcW w:w="254" w:type="pct"/>
            <w:noWrap/>
            <w:vAlign w:val="center"/>
          </w:tcPr>
          <w:p w14:paraId="2F751D1C">
            <w:pPr>
              <w:pStyle w:val="133"/>
            </w:pPr>
            <w:r>
              <w:t>8</w:t>
            </w:r>
          </w:p>
        </w:tc>
        <w:tc>
          <w:tcPr>
            <w:tcW w:w="305" w:type="pct"/>
            <w:noWrap/>
            <w:vAlign w:val="center"/>
          </w:tcPr>
          <w:p w14:paraId="3AEA9A55">
            <w:pPr>
              <w:pStyle w:val="133"/>
            </w:pPr>
            <w:r>
              <w:t>81.0</w:t>
            </w:r>
          </w:p>
        </w:tc>
        <w:tc>
          <w:tcPr>
            <w:tcW w:w="305" w:type="pct"/>
            <w:noWrap/>
            <w:vAlign w:val="center"/>
          </w:tcPr>
          <w:p w14:paraId="552F7C94">
            <w:pPr>
              <w:pStyle w:val="133"/>
            </w:pPr>
            <w:r>
              <w:rPr>
                <w:rFonts w:hint="eastAsia"/>
              </w:rPr>
              <w:t>7920</w:t>
            </w:r>
          </w:p>
        </w:tc>
        <w:tc>
          <w:tcPr>
            <w:tcW w:w="391" w:type="pct"/>
            <w:noWrap/>
            <w:vAlign w:val="center"/>
          </w:tcPr>
          <w:p w14:paraId="19CB2178">
            <w:pPr>
              <w:pStyle w:val="133"/>
            </w:pPr>
            <w:r>
              <w:rPr>
                <w:rFonts w:hint="eastAsia"/>
              </w:rPr>
              <w:t>15</w:t>
            </w:r>
          </w:p>
        </w:tc>
        <w:tc>
          <w:tcPr>
            <w:tcW w:w="320" w:type="pct"/>
            <w:noWrap/>
            <w:vAlign w:val="center"/>
          </w:tcPr>
          <w:p w14:paraId="20CFBB0F">
            <w:pPr>
              <w:pStyle w:val="133"/>
            </w:pPr>
            <w:r>
              <w:rPr>
                <w:rFonts w:cs="Times New Roman"/>
                <w:color w:val="000000"/>
                <w:szCs w:val="21"/>
              </w:rPr>
              <w:t>66.0</w:t>
            </w:r>
          </w:p>
        </w:tc>
        <w:tc>
          <w:tcPr>
            <w:tcW w:w="276" w:type="pct"/>
            <w:noWrap/>
            <w:vAlign w:val="center"/>
          </w:tcPr>
          <w:p w14:paraId="5C47E658">
            <w:pPr>
              <w:pStyle w:val="133"/>
            </w:pPr>
            <w:r>
              <w:t>1</w:t>
            </w:r>
          </w:p>
        </w:tc>
      </w:tr>
      <w:tr w14:paraId="147F0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771E5080">
            <w:pPr>
              <w:pStyle w:val="133"/>
            </w:pPr>
            <w:r>
              <w:t>6</w:t>
            </w:r>
          </w:p>
        </w:tc>
        <w:tc>
          <w:tcPr>
            <w:tcW w:w="567" w:type="pct"/>
            <w:vMerge w:val="continue"/>
            <w:vAlign w:val="center"/>
          </w:tcPr>
          <w:p w14:paraId="61034931">
            <w:pPr>
              <w:pStyle w:val="133"/>
            </w:pPr>
          </w:p>
        </w:tc>
        <w:tc>
          <w:tcPr>
            <w:tcW w:w="815" w:type="pct"/>
            <w:noWrap/>
            <w:vAlign w:val="center"/>
          </w:tcPr>
          <w:p w14:paraId="561BBF08">
            <w:pPr>
              <w:pStyle w:val="133"/>
            </w:pPr>
            <w:r>
              <w:rPr>
                <w:rFonts w:hint="eastAsia"/>
              </w:rPr>
              <w:t>空气风机，3台</w:t>
            </w:r>
          </w:p>
        </w:tc>
        <w:tc>
          <w:tcPr>
            <w:tcW w:w="356" w:type="pct"/>
            <w:noWrap/>
            <w:vAlign w:val="center"/>
          </w:tcPr>
          <w:p w14:paraId="017C74C5">
            <w:pPr>
              <w:pStyle w:val="133"/>
            </w:pPr>
            <w:r>
              <w:t>84.8</w:t>
            </w:r>
          </w:p>
        </w:tc>
        <w:tc>
          <w:tcPr>
            <w:tcW w:w="406" w:type="pct"/>
            <w:vMerge w:val="continue"/>
            <w:noWrap/>
            <w:vAlign w:val="center"/>
          </w:tcPr>
          <w:p w14:paraId="1E985B65">
            <w:pPr>
              <w:pStyle w:val="133"/>
            </w:pPr>
          </w:p>
        </w:tc>
        <w:tc>
          <w:tcPr>
            <w:tcW w:w="254" w:type="pct"/>
            <w:noWrap/>
            <w:vAlign w:val="center"/>
          </w:tcPr>
          <w:p w14:paraId="55F70383">
            <w:pPr>
              <w:pStyle w:val="133"/>
            </w:pPr>
            <w:r>
              <w:rPr>
                <w:rFonts w:hint="eastAsia"/>
              </w:rPr>
              <w:t>-343</w:t>
            </w:r>
          </w:p>
        </w:tc>
        <w:tc>
          <w:tcPr>
            <w:tcW w:w="254" w:type="pct"/>
            <w:noWrap/>
            <w:vAlign w:val="center"/>
          </w:tcPr>
          <w:p w14:paraId="004EAB6C">
            <w:pPr>
              <w:pStyle w:val="133"/>
            </w:pPr>
            <w:r>
              <w:rPr>
                <w:rFonts w:hint="eastAsia"/>
              </w:rPr>
              <w:t>90</w:t>
            </w:r>
          </w:p>
        </w:tc>
        <w:tc>
          <w:tcPr>
            <w:tcW w:w="305" w:type="pct"/>
            <w:noWrap/>
            <w:vAlign w:val="center"/>
          </w:tcPr>
          <w:p w14:paraId="6512FC8A">
            <w:pPr>
              <w:pStyle w:val="133"/>
            </w:pPr>
            <w:r>
              <w:rPr>
                <w:rFonts w:hint="eastAsia"/>
              </w:rPr>
              <w:t>696.06</w:t>
            </w:r>
          </w:p>
        </w:tc>
        <w:tc>
          <w:tcPr>
            <w:tcW w:w="254" w:type="pct"/>
            <w:noWrap/>
            <w:vAlign w:val="center"/>
          </w:tcPr>
          <w:p w14:paraId="246F1DB7">
            <w:pPr>
              <w:pStyle w:val="133"/>
            </w:pPr>
            <w:r>
              <w:t>4</w:t>
            </w:r>
          </w:p>
        </w:tc>
        <w:tc>
          <w:tcPr>
            <w:tcW w:w="305" w:type="pct"/>
            <w:noWrap/>
            <w:vAlign w:val="center"/>
          </w:tcPr>
          <w:p w14:paraId="55D3C6B4">
            <w:pPr>
              <w:pStyle w:val="133"/>
            </w:pPr>
            <w:r>
              <w:t>72.8</w:t>
            </w:r>
          </w:p>
        </w:tc>
        <w:tc>
          <w:tcPr>
            <w:tcW w:w="305" w:type="pct"/>
            <w:noWrap/>
            <w:vAlign w:val="center"/>
          </w:tcPr>
          <w:p w14:paraId="387ABD56">
            <w:pPr>
              <w:pStyle w:val="133"/>
            </w:pPr>
            <w:r>
              <w:rPr>
                <w:rFonts w:hint="eastAsia"/>
              </w:rPr>
              <w:t>7920</w:t>
            </w:r>
          </w:p>
        </w:tc>
        <w:tc>
          <w:tcPr>
            <w:tcW w:w="391" w:type="pct"/>
            <w:noWrap/>
            <w:vAlign w:val="center"/>
          </w:tcPr>
          <w:p w14:paraId="57BE4CD4">
            <w:pPr>
              <w:pStyle w:val="133"/>
            </w:pPr>
            <w:r>
              <w:rPr>
                <w:rFonts w:hint="eastAsia"/>
              </w:rPr>
              <w:t>15</w:t>
            </w:r>
          </w:p>
        </w:tc>
        <w:tc>
          <w:tcPr>
            <w:tcW w:w="320" w:type="pct"/>
            <w:noWrap/>
            <w:vAlign w:val="center"/>
          </w:tcPr>
          <w:p w14:paraId="3A9650E2">
            <w:pPr>
              <w:pStyle w:val="133"/>
            </w:pPr>
            <w:r>
              <w:rPr>
                <w:rFonts w:cs="Times New Roman"/>
                <w:color w:val="000000"/>
                <w:szCs w:val="21"/>
              </w:rPr>
              <w:t>57.8</w:t>
            </w:r>
          </w:p>
        </w:tc>
        <w:tc>
          <w:tcPr>
            <w:tcW w:w="276" w:type="pct"/>
            <w:noWrap/>
            <w:vAlign w:val="center"/>
          </w:tcPr>
          <w:p w14:paraId="33A9CF36">
            <w:pPr>
              <w:pStyle w:val="133"/>
            </w:pPr>
            <w:r>
              <w:t>1</w:t>
            </w:r>
          </w:p>
        </w:tc>
      </w:tr>
      <w:tr w14:paraId="00007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693C957D">
            <w:pPr>
              <w:pStyle w:val="133"/>
            </w:pPr>
            <w:r>
              <w:t>7</w:t>
            </w:r>
          </w:p>
        </w:tc>
        <w:tc>
          <w:tcPr>
            <w:tcW w:w="567" w:type="pct"/>
            <w:vMerge w:val="continue"/>
            <w:vAlign w:val="center"/>
          </w:tcPr>
          <w:p w14:paraId="543FCEF9">
            <w:pPr>
              <w:pStyle w:val="133"/>
            </w:pPr>
          </w:p>
        </w:tc>
        <w:tc>
          <w:tcPr>
            <w:tcW w:w="815" w:type="pct"/>
            <w:noWrap/>
            <w:vAlign w:val="center"/>
          </w:tcPr>
          <w:p w14:paraId="2EF41C3F">
            <w:pPr>
              <w:pStyle w:val="133"/>
            </w:pPr>
            <w:r>
              <w:rPr>
                <w:rFonts w:hint="eastAsia"/>
              </w:rPr>
              <w:t>煤气风机，3台</w:t>
            </w:r>
          </w:p>
        </w:tc>
        <w:tc>
          <w:tcPr>
            <w:tcW w:w="356" w:type="pct"/>
            <w:noWrap/>
            <w:vAlign w:val="center"/>
          </w:tcPr>
          <w:p w14:paraId="65EC650A">
            <w:pPr>
              <w:pStyle w:val="133"/>
            </w:pPr>
            <w:r>
              <w:t>84.8</w:t>
            </w:r>
          </w:p>
        </w:tc>
        <w:tc>
          <w:tcPr>
            <w:tcW w:w="406" w:type="pct"/>
            <w:vMerge w:val="continue"/>
            <w:noWrap/>
            <w:vAlign w:val="center"/>
          </w:tcPr>
          <w:p w14:paraId="38ED2DC4">
            <w:pPr>
              <w:pStyle w:val="133"/>
            </w:pPr>
          </w:p>
        </w:tc>
        <w:tc>
          <w:tcPr>
            <w:tcW w:w="254" w:type="pct"/>
            <w:noWrap/>
            <w:vAlign w:val="center"/>
          </w:tcPr>
          <w:p w14:paraId="7E0178B7">
            <w:pPr>
              <w:pStyle w:val="133"/>
            </w:pPr>
            <w:r>
              <w:rPr>
                <w:rFonts w:hint="eastAsia"/>
              </w:rPr>
              <w:t>-379</w:t>
            </w:r>
          </w:p>
        </w:tc>
        <w:tc>
          <w:tcPr>
            <w:tcW w:w="254" w:type="pct"/>
            <w:noWrap/>
            <w:vAlign w:val="center"/>
          </w:tcPr>
          <w:p w14:paraId="1980ED62">
            <w:pPr>
              <w:pStyle w:val="133"/>
            </w:pPr>
            <w:r>
              <w:rPr>
                <w:rFonts w:hint="eastAsia"/>
              </w:rPr>
              <w:t>103</w:t>
            </w:r>
          </w:p>
        </w:tc>
        <w:tc>
          <w:tcPr>
            <w:tcW w:w="305" w:type="pct"/>
            <w:noWrap/>
            <w:vAlign w:val="center"/>
          </w:tcPr>
          <w:p w14:paraId="021F8778">
            <w:pPr>
              <w:pStyle w:val="133"/>
            </w:pPr>
            <w:r>
              <w:rPr>
                <w:rFonts w:hint="eastAsia"/>
              </w:rPr>
              <w:t>695.87</w:t>
            </w:r>
          </w:p>
        </w:tc>
        <w:tc>
          <w:tcPr>
            <w:tcW w:w="254" w:type="pct"/>
            <w:noWrap/>
            <w:vAlign w:val="center"/>
          </w:tcPr>
          <w:p w14:paraId="0E9CC949">
            <w:pPr>
              <w:pStyle w:val="133"/>
            </w:pPr>
            <w:r>
              <w:t>4</w:t>
            </w:r>
          </w:p>
        </w:tc>
        <w:tc>
          <w:tcPr>
            <w:tcW w:w="305" w:type="pct"/>
            <w:noWrap/>
            <w:vAlign w:val="center"/>
          </w:tcPr>
          <w:p w14:paraId="2FE29BF6">
            <w:pPr>
              <w:pStyle w:val="133"/>
            </w:pPr>
            <w:r>
              <w:t>72.8</w:t>
            </w:r>
          </w:p>
        </w:tc>
        <w:tc>
          <w:tcPr>
            <w:tcW w:w="305" w:type="pct"/>
            <w:noWrap/>
            <w:vAlign w:val="center"/>
          </w:tcPr>
          <w:p w14:paraId="2385FDD1">
            <w:pPr>
              <w:pStyle w:val="133"/>
            </w:pPr>
            <w:r>
              <w:rPr>
                <w:rFonts w:hint="eastAsia"/>
              </w:rPr>
              <w:t>7920</w:t>
            </w:r>
          </w:p>
        </w:tc>
        <w:tc>
          <w:tcPr>
            <w:tcW w:w="391" w:type="pct"/>
            <w:noWrap/>
            <w:vAlign w:val="center"/>
          </w:tcPr>
          <w:p w14:paraId="6666FF69">
            <w:pPr>
              <w:pStyle w:val="133"/>
            </w:pPr>
            <w:r>
              <w:rPr>
                <w:rFonts w:hint="eastAsia"/>
              </w:rPr>
              <w:t>15</w:t>
            </w:r>
          </w:p>
        </w:tc>
        <w:tc>
          <w:tcPr>
            <w:tcW w:w="320" w:type="pct"/>
            <w:noWrap/>
            <w:vAlign w:val="center"/>
          </w:tcPr>
          <w:p w14:paraId="186139BC">
            <w:pPr>
              <w:pStyle w:val="133"/>
            </w:pPr>
            <w:r>
              <w:rPr>
                <w:rFonts w:cs="Times New Roman"/>
                <w:color w:val="000000"/>
                <w:szCs w:val="21"/>
              </w:rPr>
              <w:t>57.8</w:t>
            </w:r>
          </w:p>
        </w:tc>
        <w:tc>
          <w:tcPr>
            <w:tcW w:w="276" w:type="pct"/>
            <w:noWrap/>
            <w:vAlign w:val="center"/>
          </w:tcPr>
          <w:p w14:paraId="64F0ABEC">
            <w:pPr>
              <w:pStyle w:val="133"/>
            </w:pPr>
            <w:r>
              <w:t>1</w:t>
            </w:r>
          </w:p>
        </w:tc>
      </w:tr>
      <w:tr w14:paraId="1714B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2D475A8D">
            <w:pPr>
              <w:pStyle w:val="133"/>
            </w:pPr>
            <w:r>
              <w:t>8</w:t>
            </w:r>
          </w:p>
        </w:tc>
        <w:tc>
          <w:tcPr>
            <w:tcW w:w="567" w:type="pct"/>
            <w:vMerge w:val="continue"/>
            <w:vAlign w:val="center"/>
          </w:tcPr>
          <w:p w14:paraId="2569A220">
            <w:pPr>
              <w:pStyle w:val="133"/>
            </w:pPr>
          </w:p>
        </w:tc>
        <w:tc>
          <w:tcPr>
            <w:tcW w:w="815" w:type="pct"/>
            <w:noWrap/>
            <w:vAlign w:val="center"/>
          </w:tcPr>
          <w:p w14:paraId="607D7127">
            <w:pPr>
              <w:pStyle w:val="133"/>
            </w:pPr>
            <w:r>
              <w:rPr>
                <w:rFonts w:hint="eastAsia"/>
              </w:rPr>
              <w:t>电捕焦油器，6台</w:t>
            </w:r>
          </w:p>
        </w:tc>
        <w:tc>
          <w:tcPr>
            <w:tcW w:w="356" w:type="pct"/>
            <w:noWrap/>
            <w:vAlign w:val="center"/>
          </w:tcPr>
          <w:p w14:paraId="476AC29A">
            <w:pPr>
              <w:pStyle w:val="133"/>
            </w:pPr>
            <w:r>
              <w:t>97.8</w:t>
            </w:r>
          </w:p>
        </w:tc>
        <w:tc>
          <w:tcPr>
            <w:tcW w:w="406" w:type="pct"/>
            <w:vMerge w:val="continue"/>
            <w:noWrap/>
            <w:vAlign w:val="center"/>
          </w:tcPr>
          <w:p w14:paraId="65B87B30">
            <w:pPr>
              <w:pStyle w:val="133"/>
            </w:pPr>
          </w:p>
        </w:tc>
        <w:tc>
          <w:tcPr>
            <w:tcW w:w="254" w:type="pct"/>
            <w:noWrap/>
            <w:vAlign w:val="center"/>
          </w:tcPr>
          <w:p w14:paraId="715ADA31">
            <w:pPr>
              <w:pStyle w:val="133"/>
            </w:pPr>
            <w:r>
              <w:rPr>
                <w:rFonts w:hint="eastAsia"/>
              </w:rPr>
              <w:t>-263</w:t>
            </w:r>
          </w:p>
        </w:tc>
        <w:tc>
          <w:tcPr>
            <w:tcW w:w="254" w:type="pct"/>
            <w:noWrap/>
            <w:vAlign w:val="center"/>
          </w:tcPr>
          <w:p w14:paraId="4571905F">
            <w:pPr>
              <w:pStyle w:val="133"/>
            </w:pPr>
            <w:r>
              <w:rPr>
                <w:rFonts w:hint="eastAsia"/>
              </w:rPr>
              <w:t>126</w:t>
            </w:r>
          </w:p>
        </w:tc>
        <w:tc>
          <w:tcPr>
            <w:tcW w:w="305" w:type="pct"/>
            <w:noWrap/>
            <w:vAlign w:val="center"/>
          </w:tcPr>
          <w:p w14:paraId="30BC6F0B">
            <w:pPr>
              <w:pStyle w:val="133"/>
            </w:pPr>
            <w:r>
              <w:rPr>
                <w:rFonts w:hint="eastAsia"/>
              </w:rPr>
              <w:t>694.26</w:t>
            </w:r>
          </w:p>
        </w:tc>
        <w:tc>
          <w:tcPr>
            <w:tcW w:w="254" w:type="pct"/>
            <w:noWrap/>
            <w:vAlign w:val="center"/>
          </w:tcPr>
          <w:p w14:paraId="47FCCD5D">
            <w:pPr>
              <w:pStyle w:val="133"/>
            </w:pPr>
            <w:r>
              <w:t>6</w:t>
            </w:r>
          </w:p>
        </w:tc>
        <w:tc>
          <w:tcPr>
            <w:tcW w:w="305" w:type="pct"/>
            <w:noWrap/>
            <w:vAlign w:val="center"/>
          </w:tcPr>
          <w:p w14:paraId="485F56DB">
            <w:pPr>
              <w:pStyle w:val="133"/>
            </w:pPr>
            <w:r>
              <w:t>81.8</w:t>
            </w:r>
          </w:p>
        </w:tc>
        <w:tc>
          <w:tcPr>
            <w:tcW w:w="305" w:type="pct"/>
            <w:noWrap/>
            <w:vAlign w:val="center"/>
          </w:tcPr>
          <w:p w14:paraId="0C93E2E2">
            <w:pPr>
              <w:pStyle w:val="133"/>
            </w:pPr>
            <w:r>
              <w:rPr>
                <w:rFonts w:hint="eastAsia"/>
              </w:rPr>
              <w:t>7920</w:t>
            </w:r>
          </w:p>
        </w:tc>
        <w:tc>
          <w:tcPr>
            <w:tcW w:w="391" w:type="pct"/>
            <w:noWrap/>
            <w:vAlign w:val="center"/>
          </w:tcPr>
          <w:p w14:paraId="2073AAFB">
            <w:pPr>
              <w:pStyle w:val="133"/>
            </w:pPr>
            <w:r>
              <w:rPr>
                <w:rFonts w:hint="eastAsia"/>
              </w:rPr>
              <w:t>15</w:t>
            </w:r>
          </w:p>
        </w:tc>
        <w:tc>
          <w:tcPr>
            <w:tcW w:w="320" w:type="pct"/>
            <w:noWrap/>
            <w:vAlign w:val="center"/>
          </w:tcPr>
          <w:p w14:paraId="10731F7A">
            <w:pPr>
              <w:pStyle w:val="133"/>
            </w:pPr>
            <w:r>
              <w:rPr>
                <w:rFonts w:cs="Times New Roman"/>
                <w:color w:val="000000"/>
                <w:szCs w:val="21"/>
              </w:rPr>
              <w:t>66.8</w:t>
            </w:r>
          </w:p>
        </w:tc>
        <w:tc>
          <w:tcPr>
            <w:tcW w:w="276" w:type="pct"/>
            <w:noWrap/>
            <w:vAlign w:val="center"/>
          </w:tcPr>
          <w:p w14:paraId="2B8B38F4">
            <w:pPr>
              <w:pStyle w:val="133"/>
            </w:pPr>
            <w:r>
              <w:t>1</w:t>
            </w:r>
          </w:p>
        </w:tc>
      </w:tr>
      <w:tr w14:paraId="4DA93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10453394">
            <w:pPr>
              <w:pStyle w:val="133"/>
            </w:pPr>
            <w:r>
              <w:t>9</w:t>
            </w:r>
          </w:p>
        </w:tc>
        <w:tc>
          <w:tcPr>
            <w:tcW w:w="567" w:type="pct"/>
            <w:vMerge w:val="restart"/>
            <w:vAlign w:val="center"/>
          </w:tcPr>
          <w:p w14:paraId="49D865C5">
            <w:pPr>
              <w:pStyle w:val="133"/>
            </w:pPr>
            <w:r>
              <w:t>硅铁冶炼车间</w:t>
            </w:r>
          </w:p>
        </w:tc>
        <w:tc>
          <w:tcPr>
            <w:tcW w:w="815" w:type="pct"/>
            <w:noWrap/>
            <w:vAlign w:val="center"/>
          </w:tcPr>
          <w:p w14:paraId="0DC50877">
            <w:pPr>
              <w:pStyle w:val="133"/>
            </w:pPr>
            <w:r>
              <w:rPr>
                <w:rFonts w:hint="eastAsia"/>
              </w:rPr>
              <w:t>振动筛，3台</w:t>
            </w:r>
          </w:p>
        </w:tc>
        <w:tc>
          <w:tcPr>
            <w:tcW w:w="356" w:type="pct"/>
            <w:noWrap/>
            <w:vAlign w:val="center"/>
          </w:tcPr>
          <w:p w14:paraId="5AE28529">
            <w:pPr>
              <w:pStyle w:val="133"/>
            </w:pPr>
            <w:r>
              <w:t>94.8</w:t>
            </w:r>
          </w:p>
        </w:tc>
        <w:tc>
          <w:tcPr>
            <w:tcW w:w="406" w:type="pct"/>
            <w:vMerge w:val="continue"/>
            <w:noWrap/>
            <w:vAlign w:val="center"/>
          </w:tcPr>
          <w:p w14:paraId="3F1B5E1F">
            <w:pPr>
              <w:pStyle w:val="133"/>
            </w:pPr>
          </w:p>
        </w:tc>
        <w:tc>
          <w:tcPr>
            <w:tcW w:w="254" w:type="pct"/>
            <w:noWrap/>
            <w:vAlign w:val="center"/>
          </w:tcPr>
          <w:p w14:paraId="17F69824">
            <w:pPr>
              <w:pStyle w:val="133"/>
            </w:pPr>
            <w:r>
              <w:rPr>
                <w:rFonts w:hint="eastAsia"/>
              </w:rPr>
              <w:t>291</w:t>
            </w:r>
          </w:p>
        </w:tc>
        <w:tc>
          <w:tcPr>
            <w:tcW w:w="254" w:type="pct"/>
            <w:noWrap/>
            <w:vAlign w:val="center"/>
          </w:tcPr>
          <w:p w14:paraId="6A375E7D">
            <w:pPr>
              <w:pStyle w:val="133"/>
            </w:pPr>
            <w:r>
              <w:rPr>
                <w:rFonts w:hint="eastAsia"/>
              </w:rPr>
              <w:t>14</w:t>
            </w:r>
          </w:p>
        </w:tc>
        <w:tc>
          <w:tcPr>
            <w:tcW w:w="305" w:type="pct"/>
            <w:noWrap/>
            <w:vAlign w:val="center"/>
          </w:tcPr>
          <w:p w14:paraId="6930D133">
            <w:pPr>
              <w:pStyle w:val="133"/>
            </w:pPr>
            <w:r>
              <w:rPr>
                <w:rFonts w:hint="eastAsia"/>
              </w:rPr>
              <w:t>693.66</w:t>
            </w:r>
          </w:p>
        </w:tc>
        <w:tc>
          <w:tcPr>
            <w:tcW w:w="254" w:type="pct"/>
            <w:noWrap/>
            <w:vAlign w:val="center"/>
          </w:tcPr>
          <w:p w14:paraId="10D69208">
            <w:pPr>
              <w:pStyle w:val="133"/>
            </w:pPr>
            <w:r>
              <w:t>6</w:t>
            </w:r>
          </w:p>
        </w:tc>
        <w:tc>
          <w:tcPr>
            <w:tcW w:w="305" w:type="pct"/>
            <w:noWrap/>
            <w:vAlign w:val="center"/>
          </w:tcPr>
          <w:p w14:paraId="12AD0417">
            <w:pPr>
              <w:pStyle w:val="133"/>
            </w:pPr>
            <w:r>
              <w:t>78.8</w:t>
            </w:r>
          </w:p>
        </w:tc>
        <w:tc>
          <w:tcPr>
            <w:tcW w:w="305" w:type="pct"/>
            <w:noWrap/>
            <w:vAlign w:val="center"/>
          </w:tcPr>
          <w:p w14:paraId="1282AF44">
            <w:pPr>
              <w:pStyle w:val="133"/>
            </w:pPr>
            <w:r>
              <w:rPr>
                <w:rFonts w:hint="eastAsia"/>
              </w:rPr>
              <w:t>7920</w:t>
            </w:r>
          </w:p>
        </w:tc>
        <w:tc>
          <w:tcPr>
            <w:tcW w:w="391" w:type="pct"/>
            <w:noWrap/>
            <w:vAlign w:val="center"/>
          </w:tcPr>
          <w:p w14:paraId="3A8A6D10">
            <w:pPr>
              <w:pStyle w:val="133"/>
            </w:pPr>
            <w:r>
              <w:rPr>
                <w:rFonts w:hint="eastAsia"/>
              </w:rPr>
              <w:t>15</w:t>
            </w:r>
          </w:p>
        </w:tc>
        <w:tc>
          <w:tcPr>
            <w:tcW w:w="320" w:type="pct"/>
            <w:noWrap/>
            <w:vAlign w:val="center"/>
          </w:tcPr>
          <w:p w14:paraId="6B86E2D7">
            <w:pPr>
              <w:pStyle w:val="133"/>
            </w:pPr>
            <w:r>
              <w:rPr>
                <w:rFonts w:cs="Times New Roman"/>
                <w:color w:val="000000"/>
                <w:szCs w:val="21"/>
              </w:rPr>
              <w:t>63.8</w:t>
            </w:r>
          </w:p>
        </w:tc>
        <w:tc>
          <w:tcPr>
            <w:tcW w:w="276" w:type="pct"/>
            <w:noWrap/>
            <w:vAlign w:val="center"/>
          </w:tcPr>
          <w:p w14:paraId="30B93EC1">
            <w:pPr>
              <w:pStyle w:val="133"/>
            </w:pPr>
            <w:r>
              <w:t>1</w:t>
            </w:r>
          </w:p>
        </w:tc>
      </w:tr>
      <w:tr w14:paraId="17191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6F474A2D">
            <w:pPr>
              <w:pStyle w:val="133"/>
            </w:pPr>
            <w:r>
              <w:t>10</w:t>
            </w:r>
          </w:p>
        </w:tc>
        <w:tc>
          <w:tcPr>
            <w:tcW w:w="567" w:type="pct"/>
            <w:vMerge w:val="continue"/>
            <w:vAlign w:val="center"/>
          </w:tcPr>
          <w:p w14:paraId="1CF59E01">
            <w:pPr>
              <w:pStyle w:val="133"/>
            </w:pPr>
          </w:p>
        </w:tc>
        <w:tc>
          <w:tcPr>
            <w:tcW w:w="815" w:type="pct"/>
            <w:noWrap/>
            <w:vAlign w:val="center"/>
          </w:tcPr>
          <w:p w14:paraId="15BB575F">
            <w:pPr>
              <w:pStyle w:val="133"/>
            </w:pPr>
            <w:r>
              <w:rPr>
                <w:rFonts w:hint="eastAsia"/>
              </w:rPr>
              <w:t>除尘风机，1台</w:t>
            </w:r>
          </w:p>
        </w:tc>
        <w:tc>
          <w:tcPr>
            <w:tcW w:w="356" w:type="pct"/>
            <w:noWrap/>
            <w:vAlign w:val="center"/>
          </w:tcPr>
          <w:p w14:paraId="4F13842B">
            <w:pPr>
              <w:pStyle w:val="133"/>
            </w:pPr>
            <w:r>
              <w:t>88.0</w:t>
            </w:r>
          </w:p>
        </w:tc>
        <w:tc>
          <w:tcPr>
            <w:tcW w:w="406" w:type="pct"/>
            <w:vMerge w:val="continue"/>
            <w:noWrap/>
            <w:vAlign w:val="center"/>
          </w:tcPr>
          <w:p w14:paraId="3AC2495A">
            <w:pPr>
              <w:pStyle w:val="133"/>
            </w:pPr>
          </w:p>
        </w:tc>
        <w:tc>
          <w:tcPr>
            <w:tcW w:w="254" w:type="pct"/>
            <w:noWrap/>
            <w:vAlign w:val="center"/>
          </w:tcPr>
          <w:p w14:paraId="4A84D278">
            <w:pPr>
              <w:pStyle w:val="133"/>
            </w:pPr>
            <w:r>
              <w:rPr>
                <w:rFonts w:hint="eastAsia"/>
              </w:rPr>
              <w:t>362</w:t>
            </w:r>
          </w:p>
        </w:tc>
        <w:tc>
          <w:tcPr>
            <w:tcW w:w="254" w:type="pct"/>
            <w:noWrap/>
            <w:vAlign w:val="center"/>
          </w:tcPr>
          <w:p w14:paraId="648B1817">
            <w:pPr>
              <w:pStyle w:val="133"/>
            </w:pPr>
            <w:r>
              <w:rPr>
                <w:rFonts w:hint="eastAsia"/>
              </w:rPr>
              <w:t>-21</w:t>
            </w:r>
          </w:p>
        </w:tc>
        <w:tc>
          <w:tcPr>
            <w:tcW w:w="305" w:type="pct"/>
            <w:noWrap/>
            <w:vAlign w:val="center"/>
          </w:tcPr>
          <w:p w14:paraId="472803AB">
            <w:pPr>
              <w:pStyle w:val="133"/>
            </w:pPr>
            <w:r>
              <w:rPr>
                <w:rFonts w:hint="eastAsia"/>
              </w:rPr>
              <w:t>693.33</w:t>
            </w:r>
          </w:p>
        </w:tc>
        <w:tc>
          <w:tcPr>
            <w:tcW w:w="254" w:type="pct"/>
            <w:noWrap/>
            <w:vAlign w:val="center"/>
          </w:tcPr>
          <w:p w14:paraId="6521A4BD">
            <w:pPr>
              <w:pStyle w:val="133"/>
            </w:pPr>
            <w:r>
              <w:t>4</w:t>
            </w:r>
          </w:p>
        </w:tc>
        <w:tc>
          <w:tcPr>
            <w:tcW w:w="305" w:type="pct"/>
            <w:noWrap/>
            <w:vAlign w:val="center"/>
          </w:tcPr>
          <w:p w14:paraId="56B9DCE5">
            <w:pPr>
              <w:pStyle w:val="133"/>
            </w:pPr>
            <w:r>
              <w:t>76.0</w:t>
            </w:r>
          </w:p>
        </w:tc>
        <w:tc>
          <w:tcPr>
            <w:tcW w:w="305" w:type="pct"/>
            <w:noWrap/>
            <w:vAlign w:val="center"/>
          </w:tcPr>
          <w:p w14:paraId="335C2F29">
            <w:pPr>
              <w:pStyle w:val="133"/>
            </w:pPr>
            <w:r>
              <w:rPr>
                <w:rFonts w:hint="eastAsia"/>
              </w:rPr>
              <w:t>7920</w:t>
            </w:r>
          </w:p>
        </w:tc>
        <w:tc>
          <w:tcPr>
            <w:tcW w:w="391" w:type="pct"/>
            <w:noWrap/>
            <w:vAlign w:val="center"/>
          </w:tcPr>
          <w:p w14:paraId="7289F5EF">
            <w:pPr>
              <w:pStyle w:val="133"/>
            </w:pPr>
            <w:r>
              <w:rPr>
                <w:rFonts w:hint="eastAsia"/>
              </w:rPr>
              <w:t>15</w:t>
            </w:r>
          </w:p>
        </w:tc>
        <w:tc>
          <w:tcPr>
            <w:tcW w:w="320" w:type="pct"/>
            <w:noWrap/>
            <w:vAlign w:val="center"/>
          </w:tcPr>
          <w:p w14:paraId="31ACBAF3">
            <w:pPr>
              <w:pStyle w:val="133"/>
            </w:pPr>
            <w:r>
              <w:rPr>
                <w:rFonts w:cs="Times New Roman"/>
                <w:color w:val="000000"/>
                <w:szCs w:val="21"/>
              </w:rPr>
              <w:t>61.0</w:t>
            </w:r>
          </w:p>
        </w:tc>
        <w:tc>
          <w:tcPr>
            <w:tcW w:w="276" w:type="pct"/>
            <w:noWrap/>
            <w:vAlign w:val="center"/>
          </w:tcPr>
          <w:p w14:paraId="4A8CD01F">
            <w:pPr>
              <w:pStyle w:val="133"/>
            </w:pPr>
            <w:r>
              <w:t>1</w:t>
            </w:r>
          </w:p>
        </w:tc>
      </w:tr>
      <w:tr w14:paraId="784F6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38DDB92D">
            <w:pPr>
              <w:pStyle w:val="133"/>
            </w:pPr>
            <w:r>
              <w:t>11</w:t>
            </w:r>
          </w:p>
        </w:tc>
        <w:tc>
          <w:tcPr>
            <w:tcW w:w="567" w:type="pct"/>
            <w:vMerge w:val="continue"/>
            <w:vAlign w:val="center"/>
          </w:tcPr>
          <w:p w14:paraId="2D15C9F7">
            <w:pPr>
              <w:pStyle w:val="133"/>
            </w:pPr>
          </w:p>
        </w:tc>
        <w:tc>
          <w:tcPr>
            <w:tcW w:w="815" w:type="pct"/>
            <w:noWrap/>
            <w:vAlign w:val="center"/>
          </w:tcPr>
          <w:p w14:paraId="37F1E1AC">
            <w:pPr>
              <w:pStyle w:val="133"/>
            </w:pPr>
            <w:r>
              <w:rPr>
                <w:rFonts w:hint="eastAsia"/>
              </w:rPr>
              <w:t>炉前卷扬机，12台</w:t>
            </w:r>
          </w:p>
        </w:tc>
        <w:tc>
          <w:tcPr>
            <w:tcW w:w="356" w:type="pct"/>
            <w:noWrap/>
            <w:vAlign w:val="center"/>
          </w:tcPr>
          <w:p w14:paraId="556B4E43">
            <w:pPr>
              <w:pStyle w:val="133"/>
            </w:pPr>
            <w:r>
              <w:t>100.8</w:t>
            </w:r>
          </w:p>
        </w:tc>
        <w:tc>
          <w:tcPr>
            <w:tcW w:w="406" w:type="pct"/>
            <w:vMerge w:val="continue"/>
            <w:noWrap/>
            <w:vAlign w:val="center"/>
          </w:tcPr>
          <w:p w14:paraId="10A644D2">
            <w:pPr>
              <w:pStyle w:val="133"/>
            </w:pPr>
          </w:p>
        </w:tc>
        <w:tc>
          <w:tcPr>
            <w:tcW w:w="254" w:type="pct"/>
            <w:noWrap/>
            <w:vAlign w:val="center"/>
          </w:tcPr>
          <w:p w14:paraId="55AAF604">
            <w:pPr>
              <w:pStyle w:val="133"/>
            </w:pPr>
            <w:r>
              <w:rPr>
                <w:rFonts w:hint="eastAsia"/>
              </w:rPr>
              <w:t>361</w:t>
            </w:r>
          </w:p>
        </w:tc>
        <w:tc>
          <w:tcPr>
            <w:tcW w:w="254" w:type="pct"/>
            <w:noWrap/>
            <w:vAlign w:val="center"/>
          </w:tcPr>
          <w:p w14:paraId="1AACED78">
            <w:pPr>
              <w:pStyle w:val="133"/>
            </w:pPr>
            <w:r>
              <w:rPr>
                <w:rFonts w:hint="eastAsia"/>
              </w:rPr>
              <w:t>12</w:t>
            </w:r>
          </w:p>
        </w:tc>
        <w:tc>
          <w:tcPr>
            <w:tcW w:w="305" w:type="pct"/>
            <w:noWrap/>
            <w:vAlign w:val="center"/>
          </w:tcPr>
          <w:p w14:paraId="771ECB4A">
            <w:pPr>
              <w:pStyle w:val="133"/>
            </w:pPr>
            <w:r>
              <w:rPr>
                <w:rFonts w:hint="eastAsia"/>
              </w:rPr>
              <w:t>691.7</w:t>
            </w:r>
          </w:p>
        </w:tc>
        <w:tc>
          <w:tcPr>
            <w:tcW w:w="254" w:type="pct"/>
            <w:noWrap/>
            <w:vAlign w:val="center"/>
          </w:tcPr>
          <w:p w14:paraId="7369C6A6">
            <w:pPr>
              <w:pStyle w:val="133"/>
            </w:pPr>
            <w:r>
              <w:t>10</w:t>
            </w:r>
          </w:p>
        </w:tc>
        <w:tc>
          <w:tcPr>
            <w:tcW w:w="305" w:type="pct"/>
            <w:noWrap/>
            <w:vAlign w:val="center"/>
          </w:tcPr>
          <w:p w14:paraId="3BF6B661">
            <w:pPr>
              <w:pStyle w:val="133"/>
            </w:pPr>
            <w:r>
              <w:t>80.8</w:t>
            </w:r>
          </w:p>
        </w:tc>
        <w:tc>
          <w:tcPr>
            <w:tcW w:w="305" w:type="pct"/>
            <w:noWrap/>
            <w:vAlign w:val="center"/>
          </w:tcPr>
          <w:p w14:paraId="02BF8C9F">
            <w:pPr>
              <w:pStyle w:val="133"/>
            </w:pPr>
            <w:r>
              <w:rPr>
                <w:rFonts w:hint="eastAsia"/>
              </w:rPr>
              <w:t>7920</w:t>
            </w:r>
          </w:p>
        </w:tc>
        <w:tc>
          <w:tcPr>
            <w:tcW w:w="391" w:type="pct"/>
            <w:noWrap/>
            <w:vAlign w:val="center"/>
          </w:tcPr>
          <w:p w14:paraId="09825A06">
            <w:pPr>
              <w:pStyle w:val="133"/>
            </w:pPr>
            <w:r>
              <w:rPr>
                <w:rFonts w:hint="eastAsia"/>
              </w:rPr>
              <w:t>15</w:t>
            </w:r>
          </w:p>
        </w:tc>
        <w:tc>
          <w:tcPr>
            <w:tcW w:w="320" w:type="pct"/>
            <w:noWrap/>
            <w:vAlign w:val="center"/>
          </w:tcPr>
          <w:p w14:paraId="68C45CBD">
            <w:pPr>
              <w:pStyle w:val="133"/>
            </w:pPr>
            <w:r>
              <w:rPr>
                <w:rFonts w:cs="Times New Roman"/>
                <w:color w:val="000000"/>
                <w:szCs w:val="21"/>
              </w:rPr>
              <w:t>65.8</w:t>
            </w:r>
          </w:p>
        </w:tc>
        <w:tc>
          <w:tcPr>
            <w:tcW w:w="276" w:type="pct"/>
            <w:noWrap/>
            <w:vAlign w:val="center"/>
          </w:tcPr>
          <w:p w14:paraId="5026B736">
            <w:pPr>
              <w:pStyle w:val="133"/>
            </w:pPr>
            <w:r>
              <w:t>1</w:t>
            </w:r>
          </w:p>
        </w:tc>
      </w:tr>
      <w:tr w14:paraId="338FB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19347F5C">
            <w:pPr>
              <w:pStyle w:val="133"/>
            </w:pPr>
            <w:r>
              <w:t>12</w:t>
            </w:r>
          </w:p>
        </w:tc>
        <w:tc>
          <w:tcPr>
            <w:tcW w:w="567" w:type="pct"/>
            <w:vMerge w:val="continue"/>
            <w:vAlign w:val="center"/>
          </w:tcPr>
          <w:p w14:paraId="0E06B794">
            <w:pPr>
              <w:pStyle w:val="133"/>
            </w:pPr>
          </w:p>
        </w:tc>
        <w:tc>
          <w:tcPr>
            <w:tcW w:w="815" w:type="pct"/>
            <w:noWrap/>
            <w:vAlign w:val="center"/>
          </w:tcPr>
          <w:p w14:paraId="32BD635C">
            <w:pPr>
              <w:pStyle w:val="133"/>
            </w:pPr>
            <w:r>
              <w:rPr>
                <w:rFonts w:hint="eastAsia"/>
              </w:rPr>
              <w:t>除尘风机，1台</w:t>
            </w:r>
          </w:p>
        </w:tc>
        <w:tc>
          <w:tcPr>
            <w:tcW w:w="356" w:type="pct"/>
            <w:noWrap/>
            <w:vAlign w:val="center"/>
          </w:tcPr>
          <w:p w14:paraId="26999BE9">
            <w:pPr>
              <w:pStyle w:val="133"/>
            </w:pPr>
            <w:r>
              <w:t>88.0</w:t>
            </w:r>
          </w:p>
        </w:tc>
        <w:tc>
          <w:tcPr>
            <w:tcW w:w="406" w:type="pct"/>
            <w:vMerge w:val="continue"/>
            <w:noWrap/>
            <w:vAlign w:val="center"/>
          </w:tcPr>
          <w:p w14:paraId="6DFF0B2A">
            <w:pPr>
              <w:pStyle w:val="133"/>
            </w:pPr>
          </w:p>
        </w:tc>
        <w:tc>
          <w:tcPr>
            <w:tcW w:w="254" w:type="pct"/>
            <w:noWrap/>
            <w:vAlign w:val="center"/>
          </w:tcPr>
          <w:p w14:paraId="6C5C3C12">
            <w:pPr>
              <w:pStyle w:val="133"/>
            </w:pPr>
            <w:r>
              <w:rPr>
                <w:rFonts w:hint="eastAsia"/>
              </w:rPr>
              <w:t>395</w:t>
            </w:r>
          </w:p>
        </w:tc>
        <w:tc>
          <w:tcPr>
            <w:tcW w:w="254" w:type="pct"/>
            <w:noWrap/>
            <w:vAlign w:val="center"/>
          </w:tcPr>
          <w:p w14:paraId="29797B72">
            <w:pPr>
              <w:pStyle w:val="133"/>
            </w:pPr>
            <w:r>
              <w:rPr>
                <w:rFonts w:hint="eastAsia"/>
              </w:rPr>
              <w:t>-15</w:t>
            </w:r>
          </w:p>
        </w:tc>
        <w:tc>
          <w:tcPr>
            <w:tcW w:w="305" w:type="pct"/>
            <w:noWrap/>
            <w:vAlign w:val="center"/>
          </w:tcPr>
          <w:p w14:paraId="34819676">
            <w:pPr>
              <w:pStyle w:val="133"/>
            </w:pPr>
            <w:r>
              <w:rPr>
                <w:rFonts w:hint="eastAsia"/>
              </w:rPr>
              <w:t>692.81</w:t>
            </w:r>
          </w:p>
        </w:tc>
        <w:tc>
          <w:tcPr>
            <w:tcW w:w="254" w:type="pct"/>
            <w:noWrap/>
            <w:vAlign w:val="center"/>
          </w:tcPr>
          <w:p w14:paraId="6A7602BC">
            <w:pPr>
              <w:pStyle w:val="133"/>
            </w:pPr>
            <w:r>
              <w:t>4</w:t>
            </w:r>
          </w:p>
        </w:tc>
        <w:tc>
          <w:tcPr>
            <w:tcW w:w="305" w:type="pct"/>
            <w:noWrap/>
            <w:vAlign w:val="center"/>
          </w:tcPr>
          <w:p w14:paraId="4C53C648">
            <w:pPr>
              <w:pStyle w:val="133"/>
            </w:pPr>
            <w:r>
              <w:t>76.0</w:t>
            </w:r>
          </w:p>
        </w:tc>
        <w:tc>
          <w:tcPr>
            <w:tcW w:w="305" w:type="pct"/>
            <w:noWrap/>
            <w:vAlign w:val="center"/>
          </w:tcPr>
          <w:p w14:paraId="44EA85C8">
            <w:pPr>
              <w:pStyle w:val="133"/>
            </w:pPr>
            <w:r>
              <w:rPr>
                <w:rFonts w:hint="eastAsia"/>
              </w:rPr>
              <w:t>7920</w:t>
            </w:r>
          </w:p>
        </w:tc>
        <w:tc>
          <w:tcPr>
            <w:tcW w:w="391" w:type="pct"/>
            <w:noWrap/>
            <w:vAlign w:val="center"/>
          </w:tcPr>
          <w:p w14:paraId="741B2A63">
            <w:pPr>
              <w:pStyle w:val="133"/>
            </w:pPr>
            <w:r>
              <w:rPr>
                <w:rFonts w:hint="eastAsia"/>
              </w:rPr>
              <w:t>15</w:t>
            </w:r>
          </w:p>
        </w:tc>
        <w:tc>
          <w:tcPr>
            <w:tcW w:w="320" w:type="pct"/>
            <w:noWrap/>
            <w:vAlign w:val="center"/>
          </w:tcPr>
          <w:p w14:paraId="513604E9">
            <w:pPr>
              <w:pStyle w:val="133"/>
            </w:pPr>
            <w:r>
              <w:rPr>
                <w:rFonts w:cs="Times New Roman"/>
                <w:color w:val="000000"/>
                <w:szCs w:val="21"/>
              </w:rPr>
              <w:t>61.0</w:t>
            </w:r>
          </w:p>
        </w:tc>
        <w:tc>
          <w:tcPr>
            <w:tcW w:w="276" w:type="pct"/>
            <w:noWrap/>
            <w:vAlign w:val="center"/>
          </w:tcPr>
          <w:p w14:paraId="20673CAF">
            <w:pPr>
              <w:pStyle w:val="133"/>
            </w:pPr>
            <w:r>
              <w:t>1</w:t>
            </w:r>
          </w:p>
        </w:tc>
      </w:tr>
      <w:tr w14:paraId="56B68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2B7E9C1D">
            <w:pPr>
              <w:pStyle w:val="133"/>
            </w:pPr>
            <w:r>
              <w:t>13</w:t>
            </w:r>
          </w:p>
        </w:tc>
        <w:tc>
          <w:tcPr>
            <w:tcW w:w="567" w:type="pct"/>
            <w:vMerge w:val="continue"/>
            <w:vAlign w:val="center"/>
          </w:tcPr>
          <w:p w14:paraId="3337C161">
            <w:pPr>
              <w:pStyle w:val="133"/>
            </w:pPr>
          </w:p>
        </w:tc>
        <w:tc>
          <w:tcPr>
            <w:tcW w:w="815" w:type="pct"/>
            <w:noWrap/>
            <w:vAlign w:val="center"/>
          </w:tcPr>
          <w:p w14:paraId="7D026C98">
            <w:pPr>
              <w:pStyle w:val="133"/>
            </w:pPr>
            <w:r>
              <w:rPr>
                <w:rFonts w:hint="eastAsia"/>
              </w:rPr>
              <w:t>除尘风机，2台</w:t>
            </w:r>
          </w:p>
        </w:tc>
        <w:tc>
          <w:tcPr>
            <w:tcW w:w="356" w:type="pct"/>
            <w:noWrap/>
            <w:vAlign w:val="center"/>
          </w:tcPr>
          <w:p w14:paraId="610CF28F">
            <w:pPr>
              <w:pStyle w:val="133"/>
            </w:pPr>
            <w:r>
              <w:t>91.0</w:t>
            </w:r>
          </w:p>
        </w:tc>
        <w:tc>
          <w:tcPr>
            <w:tcW w:w="406" w:type="pct"/>
            <w:vMerge w:val="continue"/>
            <w:noWrap/>
            <w:vAlign w:val="center"/>
          </w:tcPr>
          <w:p w14:paraId="48C25527">
            <w:pPr>
              <w:pStyle w:val="133"/>
            </w:pPr>
          </w:p>
        </w:tc>
        <w:tc>
          <w:tcPr>
            <w:tcW w:w="254" w:type="pct"/>
            <w:noWrap/>
            <w:vAlign w:val="center"/>
          </w:tcPr>
          <w:p w14:paraId="6249A703">
            <w:pPr>
              <w:pStyle w:val="133"/>
            </w:pPr>
            <w:r>
              <w:rPr>
                <w:rFonts w:hint="eastAsia"/>
              </w:rPr>
              <w:t>357</w:t>
            </w:r>
          </w:p>
        </w:tc>
        <w:tc>
          <w:tcPr>
            <w:tcW w:w="254" w:type="pct"/>
            <w:noWrap/>
            <w:vAlign w:val="center"/>
          </w:tcPr>
          <w:p w14:paraId="3E9902DE">
            <w:pPr>
              <w:pStyle w:val="133"/>
            </w:pPr>
            <w:r>
              <w:rPr>
                <w:rFonts w:hint="eastAsia"/>
              </w:rPr>
              <w:t>-19</w:t>
            </w:r>
          </w:p>
        </w:tc>
        <w:tc>
          <w:tcPr>
            <w:tcW w:w="305" w:type="pct"/>
            <w:noWrap/>
            <w:vAlign w:val="center"/>
          </w:tcPr>
          <w:p w14:paraId="0F0FE441">
            <w:pPr>
              <w:pStyle w:val="133"/>
            </w:pPr>
            <w:r>
              <w:rPr>
                <w:rFonts w:hint="eastAsia"/>
              </w:rPr>
              <w:t>693.19</w:t>
            </w:r>
          </w:p>
        </w:tc>
        <w:tc>
          <w:tcPr>
            <w:tcW w:w="254" w:type="pct"/>
            <w:noWrap/>
            <w:vAlign w:val="center"/>
          </w:tcPr>
          <w:p w14:paraId="6FB450C6">
            <w:pPr>
              <w:pStyle w:val="133"/>
            </w:pPr>
            <w:r>
              <w:t>4</w:t>
            </w:r>
          </w:p>
        </w:tc>
        <w:tc>
          <w:tcPr>
            <w:tcW w:w="305" w:type="pct"/>
            <w:noWrap/>
            <w:vAlign w:val="center"/>
          </w:tcPr>
          <w:p w14:paraId="738BC0DA">
            <w:pPr>
              <w:pStyle w:val="133"/>
            </w:pPr>
            <w:r>
              <w:t>79.0</w:t>
            </w:r>
          </w:p>
        </w:tc>
        <w:tc>
          <w:tcPr>
            <w:tcW w:w="305" w:type="pct"/>
            <w:noWrap/>
            <w:vAlign w:val="center"/>
          </w:tcPr>
          <w:p w14:paraId="53724E06">
            <w:pPr>
              <w:pStyle w:val="133"/>
            </w:pPr>
            <w:r>
              <w:rPr>
                <w:rFonts w:hint="eastAsia"/>
              </w:rPr>
              <w:t>7920</w:t>
            </w:r>
          </w:p>
        </w:tc>
        <w:tc>
          <w:tcPr>
            <w:tcW w:w="391" w:type="pct"/>
            <w:noWrap/>
            <w:vAlign w:val="center"/>
          </w:tcPr>
          <w:p w14:paraId="63282C7F">
            <w:pPr>
              <w:pStyle w:val="133"/>
            </w:pPr>
            <w:r>
              <w:rPr>
                <w:rFonts w:hint="eastAsia"/>
              </w:rPr>
              <w:t>15</w:t>
            </w:r>
          </w:p>
        </w:tc>
        <w:tc>
          <w:tcPr>
            <w:tcW w:w="320" w:type="pct"/>
            <w:noWrap/>
            <w:vAlign w:val="center"/>
          </w:tcPr>
          <w:p w14:paraId="173FE8B1">
            <w:pPr>
              <w:pStyle w:val="133"/>
            </w:pPr>
            <w:r>
              <w:rPr>
                <w:rFonts w:cs="Times New Roman"/>
                <w:color w:val="000000"/>
                <w:szCs w:val="21"/>
              </w:rPr>
              <w:t>64.0</w:t>
            </w:r>
          </w:p>
        </w:tc>
        <w:tc>
          <w:tcPr>
            <w:tcW w:w="276" w:type="pct"/>
            <w:noWrap/>
            <w:vAlign w:val="center"/>
          </w:tcPr>
          <w:p w14:paraId="09CE9F01">
            <w:pPr>
              <w:pStyle w:val="133"/>
            </w:pPr>
            <w:r>
              <w:t>1</w:t>
            </w:r>
          </w:p>
        </w:tc>
      </w:tr>
      <w:tr w14:paraId="727D9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3486AE7B">
            <w:pPr>
              <w:pStyle w:val="133"/>
            </w:pPr>
            <w:r>
              <w:t>14</w:t>
            </w:r>
          </w:p>
        </w:tc>
        <w:tc>
          <w:tcPr>
            <w:tcW w:w="567" w:type="pct"/>
            <w:vMerge w:val="continue"/>
            <w:vAlign w:val="center"/>
          </w:tcPr>
          <w:p w14:paraId="2DE06B91">
            <w:pPr>
              <w:pStyle w:val="133"/>
            </w:pPr>
          </w:p>
        </w:tc>
        <w:tc>
          <w:tcPr>
            <w:tcW w:w="815" w:type="pct"/>
            <w:noWrap/>
            <w:vAlign w:val="center"/>
          </w:tcPr>
          <w:p w14:paraId="158B6D13">
            <w:pPr>
              <w:pStyle w:val="133"/>
            </w:pPr>
            <w:r>
              <w:rPr>
                <w:rFonts w:hint="eastAsia"/>
              </w:rPr>
              <w:t>加密风机，1台</w:t>
            </w:r>
          </w:p>
        </w:tc>
        <w:tc>
          <w:tcPr>
            <w:tcW w:w="356" w:type="pct"/>
            <w:noWrap/>
            <w:vAlign w:val="center"/>
          </w:tcPr>
          <w:p w14:paraId="20E42BC0">
            <w:pPr>
              <w:pStyle w:val="133"/>
            </w:pPr>
            <w:r>
              <w:t>88.0</w:t>
            </w:r>
          </w:p>
        </w:tc>
        <w:tc>
          <w:tcPr>
            <w:tcW w:w="406" w:type="pct"/>
            <w:vMerge w:val="continue"/>
            <w:noWrap/>
            <w:vAlign w:val="center"/>
          </w:tcPr>
          <w:p w14:paraId="6C6F20EA">
            <w:pPr>
              <w:pStyle w:val="133"/>
            </w:pPr>
          </w:p>
        </w:tc>
        <w:tc>
          <w:tcPr>
            <w:tcW w:w="254" w:type="pct"/>
            <w:noWrap/>
            <w:vAlign w:val="center"/>
          </w:tcPr>
          <w:p w14:paraId="7E4EABBD">
            <w:pPr>
              <w:pStyle w:val="133"/>
            </w:pPr>
            <w:r>
              <w:rPr>
                <w:rFonts w:hint="eastAsia"/>
              </w:rPr>
              <w:t>433</w:t>
            </w:r>
          </w:p>
        </w:tc>
        <w:tc>
          <w:tcPr>
            <w:tcW w:w="254" w:type="pct"/>
            <w:noWrap/>
            <w:vAlign w:val="center"/>
          </w:tcPr>
          <w:p w14:paraId="2B1F5FE2">
            <w:pPr>
              <w:pStyle w:val="133"/>
            </w:pPr>
            <w:r>
              <w:rPr>
                <w:rFonts w:hint="eastAsia"/>
              </w:rPr>
              <w:t>-11</w:t>
            </w:r>
          </w:p>
        </w:tc>
        <w:tc>
          <w:tcPr>
            <w:tcW w:w="305" w:type="pct"/>
            <w:noWrap/>
            <w:vAlign w:val="center"/>
          </w:tcPr>
          <w:p w14:paraId="6DAE1C11">
            <w:pPr>
              <w:pStyle w:val="133"/>
            </w:pPr>
            <w:r>
              <w:rPr>
                <w:rFonts w:hint="eastAsia"/>
              </w:rPr>
              <w:t>693.08</w:t>
            </w:r>
          </w:p>
        </w:tc>
        <w:tc>
          <w:tcPr>
            <w:tcW w:w="254" w:type="pct"/>
            <w:noWrap/>
            <w:vAlign w:val="center"/>
          </w:tcPr>
          <w:p w14:paraId="4B77B681">
            <w:pPr>
              <w:pStyle w:val="133"/>
            </w:pPr>
            <w:r>
              <w:t>4</w:t>
            </w:r>
          </w:p>
        </w:tc>
        <w:tc>
          <w:tcPr>
            <w:tcW w:w="305" w:type="pct"/>
            <w:noWrap/>
            <w:vAlign w:val="center"/>
          </w:tcPr>
          <w:p w14:paraId="4AA1564B">
            <w:pPr>
              <w:pStyle w:val="133"/>
            </w:pPr>
            <w:r>
              <w:t>76.0</w:t>
            </w:r>
          </w:p>
        </w:tc>
        <w:tc>
          <w:tcPr>
            <w:tcW w:w="305" w:type="pct"/>
            <w:noWrap/>
            <w:vAlign w:val="center"/>
          </w:tcPr>
          <w:p w14:paraId="2A785683">
            <w:pPr>
              <w:pStyle w:val="133"/>
            </w:pPr>
            <w:r>
              <w:rPr>
                <w:rFonts w:hint="eastAsia"/>
              </w:rPr>
              <w:t>7920</w:t>
            </w:r>
          </w:p>
        </w:tc>
        <w:tc>
          <w:tcPr>
            <w:tcW w:w="391" w:type="pct"/>
            <w:noWrap/>
            <w:vAlign w:val="center"/>
          </w:tcPr>
          <w:p w14:paraId="659B9C34">
            <w:pPr>
              <w:pStyle w:val="133"/>
            </w:pPr>
            <w:r>
              <w:rPr>
                <w:rFonts w:hint="eastAsia"/>
              </w:rPr>
              <w:t>15</w:t>
            </w:r>
          </w:p>
        </w:tc>
        <w:tc>
          <w:tcPr>
            <w:tcW w:w="320" w:type="pct"/>
            <w:noWrap/>
            <w:vAlign w:val="center"/>
          </w:tcPr>
          <w:p w14:paraId="1DC47513">
            <w:pPr>
              <w:pStyle w:val="133"/>
            </w:pPr>
            <w:r>
              <w:rPr>
                <w:rFonts w:cs="Times New Roman"/>
                <w:color w:val="000000"/>
                <w:szCs w:val="21"/>
              </w:rPr>
              <w:t>61.0</w:t>
            </w:r>
          </w:p>
        </w:tc>
        <w:tc>
          <w:tcPr>
            <w:tcW w:w="276" w:type="pct"/>
            <w:noWrap/>
            <w:vAlign w:val="center"/>
          </w:tcPr>
          <w:p w14:paraId="14CC08E3">
            <w:pPr>
              <w:pStyle w:val="133"/>
            </w:pPr>
            <w:r>
              <w:t>1</w:t>
            </w:r>
          </w:p>
        </w:tc>
      </w:tr>
      <w:tr w14:paraId="2E1AC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57C9D998">
            <w:pPr>
              <w:pStyle w:val="133"/>
            </w:pPr>
            <w:r>
              <w:t>15</w:t>
            </w:r>
          </w:p>
        </w:tc>
        <w:tc>
          <w:tcPr>
            <w:tcW w:w="567" w:type="pct"/>
            <w:vMerge w:val="restart"/>
            <w:vAlign w:val="center"/>
          </w:tcPr>
          <w:p w14:paraId="75AD7A67">
            <w:pPr>
              <w:pStyle w:val="133"/>
            </w:pPr>
            <w:r>
              <w:t>硅铁破碎车间</w:t>
            </w:r>
          </w:p>
        </w:tc>
        <w:tc>
          <w:tcPr>
            <w:tcW w:w="815" w:type="pct"/>
            <w:noWrap/>
            <w:vAlign w:val="center"/>
          </w:tcPr>
          <w:p w14:paraId="1B3DA79F">
            <w:pPr>
              <w:pStyle w:val="133"/>
            </w:pPr>
            <w:r>
              <w:rPr>
                <w:rFonts w:hint="eastAsia"/>
              </w:rPr>
              <w:t>破碎机，1台</w:t>
            </w:r>
          </w:p>
        </w:tc>
        <w:tc>
          <w:tcPr>
            <w:tcW w:w="356" w:type="pct"/>
            <w:noWrap/>
            <w:vAlign w:val="center"/>
          </w:tcPr>
          <w:p w14:paraId="27544F50">
            <w:pPr>
              <w:pStyle w:val="133"/>
            </w:pPr>
            <w:r>
              <w:t>95.0</w:t>
            </w:r>
          </w:p>
        </w:tc>
        <w:tc>
          <w:tcPr>
            <w:tcW w:w="406" w:type="pct"/>
            <w:vMerge w:val="continue"/>
            <w:noWrap/>
            <w:vAlign w:val="center"/>
          </w:tcPr>
          <w:p w14:paraId="68736DA7">
            <w:pPr>
              <w:pStyle w:val="133"/>
            </w:pPr>
          </w:p>
        </w:tc>
        <w:tc>
          <w:tcPr>
            <w:tcW w:w="254" w:type="pct"/>
            <w:noWrap/>
            <w:vAlign w:val="center"/>
          </w:tcPr>
          <w:p w14:paraId="2F428559">
            <w:pPr>
              <w:pStyle w:val="133"/>
            </w:pPr>
            <w:r>
              <w:rPr>
                <w:rFonts w:hint="eastAsia"/>
              </w:rPr>
              <w:t>265</w:t>
            </w:r>
          </w:p>
        </w:tc>
        <w:tc>
          <w:tcPr>
            <w:tcW w:w="254" w:type="pct"/>
            <w:noWrap/>
            <w:vAlign w:val="center"/>
          </w:tcPr>
          <w:p w14:paraId="26026D78">
            <w:pPr>
              <w:pStyle w:val="133"/>
            </w:pPr>
            <w:r>
              <w:rPr>
                <w:rFonts w:hint="eastAsia"/>
              </w:rPr>
              <w:t>8</w:t>
            </w:r>
          </w:p>
        </w:tc>
        <w:tc>
          <w:tcPr>
            <w:tcW w:w="305" w:type="pct"/>
            <w:noWrap/>
            <w:vAlign w:val="center"/>
          </w:tcPr>
          <w:p w14:paraId="462E48AB">
            <w:pPr>
              <w:pStyle w:val="133"/>
            </w:pPr>
            <w:r>
              <w:rPr>
                <w:rFonts w:hint="eastAsia"/>
              </w:rPr>
              <w:t>693.29</w:t>
            </w:r>
          </w:p>
        </w:tc>
        <w:tc>
          <w:tcPr>
            <w:tcW w:w="254" w:type="pct"/>
            <w:noWrap/>
            <w:vAlign w:val="center"/>
          </w:tcPr>
          <w:p w14:paraId="78A6AB2C">
            <w:pPr>
              <w:pStyle w:val="133"/>
            </w:pPr>
            <w:r>
              <w:t>5</w:t>
            </w:r>
          </w:p>
        </w:tc>
        <w:tc>
          <w:tcPr>
            <w:tcW w:w="305" w:type="pct"/>
            <w:noWrap/>
            <w:vAlign w:val="center"/>
          </w:tcPr>
          <w:p w14:paraId="2D01BC22">
            <w:pPr>
              <w:pStyle w:val="133"/>
            </w:pPr>
            <w:r>
              <w:t>81.0</w:t>
            </w:r>
          </w:p>
        </w:tc>
        <w:tc>
          <w:tcPr>
            <w:tcW w:w="305" w:type="pct"/>
            <w:noWrap/>
            <w:vAlign w:val="center"/>
          </w:tcPr>
          <w:p w14:paraId="369B35A6">
            <w:pPr>
              <w:pStyle w:val="133"/>
            </w:pPr>
            <w:r>
              <w:rPr>
                <w:rFonts w:hint="eastAsia"/>
              </w:rPr>
              <w:t>7920</w:t>
            </w:r>
          </w:p>
        </w:tc>
        <w:tc>
          <w:tcPr>
            <w:tcW w:w="391" w:type="pct"/>
            <w:noWrap/>
            <w:vAlign w:val="center"/>
          </w:tcPr>
          <w:p w14:paraId="7B65FE36">
            <w:pPr>
              <w:pStyle w:val="133"/>
            </w:pPr>
            <w:r>
              <w:rPr>
                <w:rFonts w:hint="eastAsia"/>
              </w:rPr>
              <w:t>15</w:t>
            </w:r>
          </w:p>
        </w:tc>
        <w:tc>
          <w:tcPr>
            <w:tcW w:w="320" w:type="pct"/>
            <w:noWrap/>
            <w:vAlign w:val="center"/>
          </w:tcPr>
          <w:p w14:paraId="12D666D0">
            <w:pPr>
              <w:pStyle w:val="133"/>
            </w:pPr>
            <w:r>
              <w:rPr>
                <w:rFonts w:cs="Times New Roman"/>
                <w:color w:val="000000"/>
                <w:szCs w:val="21"/>
              </w:rPr>
              <w:t>66.0</w:t>
            </w:r>
          </w:p>
        </w:tc>
        <w:tc>
          <w:tcPr>
            <w:tcW w:w="276" w:type="pct"/>
            <w:noWrap/>
            <w:vAlign w:val="center"/>
          </w:tcPr>
          <w:p w14:paraId="46330384">
            <w:pPr>
              <w:pStyle w:val="133"/>
            </w:pPr>
            <w:r>
              <w:t>1</w:t>
            </w:r>
          </w:p>
        </w:tc>
      </w:tr>
      <w:tr w14:paraId="7A4A1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53CB22EC">
            <w:pPr>
              <w:pStyle w:val="133"/>
            </w:pPr>
            <w:r>
              <w:t>16</w:t>
            </w:r>
          </w:p>
        </w:tc>
        <w:tc>
          <w:tcPr>
            <w:tcW w:w="567" w:type="pct"/>
            <w:vMerge w:val="continue"/>
            <w:vAlign w:val="center"/>
          </w:tcPr>
          <w:p w14:paraId="3307A9A0">
            <w:pPr>
              <w:pStyle w:val="133"/>
            </w:pPr>
          </w:p>
        </w:tc>
        <w:tc>
          <w:tcPr>
            <w:tcW w:w="815" w:type="pct"/>
            <w:noWrap/>
            <w:vAlign w:val="center"/>
          </w:tcPr>
          <w:p w14:paraId="48033C8F">
            <w:pPr>
              <w:pStyle w:val="133"/>
            </w:pPr>
            <w:r>
              <w:rPr>
                <w:rFonts w:hint="eastAsia"/>
              </w:rPr>
              <w:t>除尘风机，1台</w:t>
            </w:r>
          </w:p>
        </w:tc>
        <w:tc>
          <w:tcPr>
            <w:tcW w:w="356" w:type="pct"/>
            <w:noWrap/>
            <w:vAlign w:val="center"/>
          </w:tcPr>
          <w:p w14:paraId="3F372732">
            <w:pPr>
              <w:pStyle w:val="133"/>
            </w:pPr>
            <w:r>
              <w:t>88.0</w:t>
            </w:r>
          </w:p>
        </w:tc>
        <w:tc>
          <w:tcPr>
            <w:tcW w:w="406" w:type="pct"/>
            <w:vMerge w:val="continue"/>
            <w:noWrap/>
            <w:vAlign w:val="center"/>
          </w:tcPr>
          <w:p w14:paraId="41E77C8F">
            <w:pPr>
              <w:pStyle w:val="133"/>
            </w:pPr>
          </w:p>
        </w:tc>
        <w:tc>
          <w:tcPr>
            <w:tcW w:w="254" w:type="pct"/>
            <w:noWrap/>
            <w:vAlign w:val="center"/>
          </w:tcPr>
          <w:p w14:paraId="68A25A28">
            <w:pPr>
              <w:pStyle w:val="133"/>
            </w:pPr>
            <w:r>
              <w:rPr>
                <w:rFonts w:hint="eastAsia"/>
              </w:rPr>
              <w:t>254</w:t>
            </w:r>
          </w:p>
        </w:tc>
        <w:tc>
          <w:tcPr>
            <w:tcW w:w="254" w:type="pct"/>
            <w:noWrap/>
            <w:vAlign w:val="center"/>
          </w:tcPr>
          <w:p w14:paraId="37699310">
            <w:pPr>
              <w:pStyle w:val="133"/>
            </w:pPr>
            <w:r>
              <w:rPr>
                <w:rFonts w:hint="eastAsia"/>
              </w:rPr>
              <w:t>-9</w:t>
            </w:r>
          </w:p>
        </w:tc>
        <w:tc>
          <w:tcPr>
            <w:tcW w:w="305" w:type="pct"/>
            <w:noWrap/>
            <w:vAlign w:val="center"/>
          </w:tcPr>
          <w:p w14:paraId="683BA12E">
            <w:pPr>
              <w:pStyle w:val="133"/>
            </w:pPr>
            <w:r>
              <w:rPr>
                <w:rFonts w:hint="eastAsia"/>
              </w:rPr>
              <w:t>692.93</w:t>
            </w:r>
          </w:p>
        </w:tc>
        <w:tc>
          <w:tcPr>
            <w:tcW w:w="254" w:type="pct"/>
            <w:noWrap/>
            <w:vAlign w:val="center"/>
          </w:tcPr>
          <w:p w14:paraId="52A34FC8">
            <w:pPr>
              <w:pStyle w:val="133"/>
            </w:pPr>
            <w:r>
              <w:t>4</w:t>
            </w:r>
          </w:p>
        </w:tc>
        <w:tc>
          <w:tcPr>
            <w:tcW w:w="305" w:type="pct"/>
            <w:noWrap/>
            <w:vAlign w:val="center"/>
          </w:tcPr>
          <w:p w14:paraId="5E387EFA">
            <w:pPr>
              <w:pStyle w:val="133"/>
            </w:pPr>
            <w:r>
              <w:t>76.0</w:t>
            </w:r>
          </w:p>
        </w:tc>
        <w:tc>
          <w:tcPr>
            <w:tcW w:w="305" w:type="pct"/>
            <w:noWrap/>
            <w:vAlign w:val="center"/>
          </w:tcPr>
          <w:p w14:paraId="386C1610">
            <w:pPr>
              <w:pStyle w:val="133"/>
            </w:pPr>
            <w:r>
              <w:rPr>
                <w:rFonts w:hint="eastAsia"/>
              </w:rPr>
              <w:t>7920</w:t>
            </w:r>
          </w:p>
        </w:tc>
        <w:tc>
          <w:tcPr>
            <w:tcW w:w="391" w:type="pct"/>
            <w:noWrap/>
            <w:vAlign w:val="center"/>
          </w:tcPr>
          <w:p w14:paraId="2597241A">
            <w:pPr>
              <w:pStyle w:val="133"/>
            </w:pPr>
            <w:r>
              <w:rPr>
                <w:rFonts w:hint="eastAsia"/>
              </w:rPr>
              <w:t>15</w:t>
            </w:r>
          </w:p>
        </w:tc>
        <w:tc>
          <w:tcPr>
            <w:tcW w:w="320" w:type="pct"/>
            <w:noWrap/>
            <w:vAlign w:val="center"/>
          </w:tcPr>
          <w:p w14:paraId="3250CD71">
            <w:pPr>
              <w:pStyle w:val="133"/>
            </w:pPr>
            <w:r>
              <w:rPr>
                <w:rFonts w:cs="Times New Roman"/>
                <w:color w:val="000000"/>
                <w:szCs w:val="21"/>
              </w:rPr>
              <w:t>61.0</w:t>
            </w:r>
          </w:p>
        </w:tc>
        <w:tc>
          <w:tcPr>
            <w:tcW w:w="276" w:type="pct"/>
            <w:noWrap/>
            <w:vAlign w:val="center"/>
          </w:tcPr>
          <w:p w14:paraId="60E63347">
            <w:pPr>
              <w:pStyle w:val="133"/>
            </w:pPr>
            <w:r>
              <w:t>1</w:t>
            </w:r>
          </w:p>
        </w:tc>
      </w:tr>
      <w:tr w14:paraId="0B7BD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06BCF437">
            <w:pPr>
              <w:pStyle w:val="133"/>
            </w:pPr>
            <w:r>
              <w:t>17</w:t>
            </w:r>
          </w:p>
        </w:tc>
        <w:tc>
          <w:tcPr>
            <w:tcW w:w="567" w:type="pct"/>
            <w:vAlign w:val="center"/>
          </w:tcPr>
          <w:p w14:paraId="19F18DAB">
            <w:pPr>
              <w:pStyle w:val="133"/>
            </w:pPr>
            <w:r>
              <w:t>空压站</w:t>
            </w:r>
          </w:p>
        </w:tc>
        <w:tc>
          <w:tcPr>
            <w:tcW w:w="815" w:type="pct"/>
            <w:noWrap/>
            <w:vAlign w:val="center"/>
          </w:tcPr>
          <w:p w14:paraId="62D488A0">
            <w:pPr>
              <w:pStyle w:val="133"/>
            </w:pPr>
            <w:r>
              <w:rPr>
                <w:rFonts w:hint="eastAsia"/>
              </w:rPr>
              <w:t>空压机，1台</w:t>
            </w:r>
          </w:p>
        </w:tc>
        <w:tc>
          <w:tcPr>
            <w:tcW w:w="356" w:type="pct"/>
            <w:noWrap/>
            <w:vAlign w:val="center"/>
          </w:tcPr>
          <w:p w14:paraId="0E8A421D">
            <w:pPr>
              <w:pStyle w:val="133"/>
            </w:pPr>
            <w:r>
              <w:t>105.0</w:t>
            </w:r>
          </w:p>
        </w:tc>
        <w:tc>
          <w:tcPr>
            <w:tcW w:w="406" w:type="pct"/>
            <w:vMerge w:val="continue"/>
            <w:noWrap/>
            <w:vAlign w:val="center"/>
          </w:tcPr>
          <w:p w14:paraId="6916F9CC">
            <w:pPr>
              <w:pStyle w:val="133"/>
            </w:pPr>
          </w:p>
        </w:tc>
        <w:tc>
          <w:tcPr>
            <w:tcW w:w="254" w:type="pct"/>
            <w:noWrap/>
            <w:vAlign w:val="center"/>
          </w:tcPr>
          <w:p w14:paraId="3179E7D8">
            <w:pPr>
              <w:pStyle w:val="133"/>
            </w:pPr>
            <w:r>
              <w:rPr>
                <w:rFonts w:hint="eastAsia"/>
              </w:rPr>
              <w:t>239</w:t>
            </w:r>
          </w:p>
        </w:tc>
        <w:tc>
          <w:tcPr>
            <w:tcW w:w="254" w:type="pct"/>
            <w:noWrap/>
            <w:vAlign w:val="center"/>
          </w:tcPr>
          <w:p w14:paraId="2CC0100D">
            <w:pPr>
              <w:pStyle w:val="133"/>
            </w:pPr>
            <w:r>
              <w:rPr>
                <w:rFonts w:hint="eastAsia"/>
              </w:rPr>
              <w:t>-6</w:t>
            </w:r>
          </w:p>
        </w:tc>
        <w:tc>
          <w:tcPr>
            <w:tcW w:w="305" w:type="pct"/>
            <w:noWrap/>
            <w:vAlign w:val="center"/>
          </w:tcPr>
          <w:p w14:paraId="5F34A09B">
            <w:pPr>
              <w:pStyle w:val="133"/>
            </w:pPr>
            <w:r>
              <w:rPr>
                <w:rFonts w:hint="eastAsia"/>
              </w:rPr>
              <w:t>693.02</w:t>
            </w:r>
          </w:p>
        </w:tc>
        <w:tc>
          <w:tcPr>
            <w:tcW w:w="254" w:type="pct"/>
            <w:noWrap/>
            <w:vAlign w:val="center"/>
          </w:tcPr>
          <w:p w14:paraId="01024B01">
            <w:pPr>
              <w:pStyle w:val="133"/>
            </w:pPr>
            <w:r>
              <w:t>6</w:t>
            </w:r>
          </w:p>
        </w:tc>
        <w:tc>
          <w:tcPr>
            <w:tcW w:w="305" w:type="pct"/>
            <w:noWrap/>
            <w:vAlign w:val="center"/>
          </w:tcPr>
          <w:p w14:paraId="50042008">
            <w:pPr>
              <w:pStyle w:val="133"/>
            </w:pPr>
            <w:r>
              <w:t>89.0</w:t>
            </w:r>
          </w:p>
        </w:tc>
        <w:tc>
          <w:tcPr>
            <w:tcW w:w="305" w:type="pct"/>
            <w:noWrap/>
            <w:vAlign w:val="center"/>
          </w:tcPr>
          <w:p w14:paraId="494DB55D">
            <w:pPr>
              <w:pStyle w:val="133"/>
            </w:pPr>
            <w:r>
              <w:rPr>
                <w:rFonts w:hint="eastAsia"/>
              </w:rPr>
              <w:t>7920</w:t>
            </w:r>
          </w:p>
        </w:tc>
        <w:tc>
          <w:tcPr>
            <w:tcW w:w="391" w:type="pct"/>
            <w:noWrap/>
            <w:vAlign w:val="center"/>
          </w:tcPr>
          <w:p w14:paraId="453389A6">
            <w:pPr>
              <w:pStyle w:val="133"/>
            </w:pPr>
            <w:r>
              <w:rPr>
                <w:rFonts w:hint="eastAsia"/>
              </w:rPr>
              <w:t>15</w:t>
            </w:r>
          </w:p>
        </w:tc>
        <w:tc>
          <w:tcPr>
            <w:tcW w:w="320" w:type="pct"/>
            <w:noWrap/>
            <w:vAlign w:val="center"/>
          </w:tcPr>
          <w:p w14:paraId="65348F7A">
            <w:pPr>
              <w:pStyle w:val="133"/>
            </w:pPr>
            <w:r>
              <w:rPr>
                <w:rFonts w:cs="Times New Roman"/>
                <w:color w:val="000000"/>
                <w:szCs w:val="21"/>
              </w:rPr>
              <w:t>74.0</w:t>
            </w:r>
          </w:p>
        </w:tc>
        <w:tc>
          <w:tcPr>
            <w:tcW w:w="276" w:type="pct"/>
            <w:noWrap/>
            <w:vAlign w:val="center"/>
          </w:tcPr>
          <w:p w14:paraId="2C7123EC">
            <w:pPr>
              <w:pStyle w:val="133"/>
            </w:pPr>
            <w:r>
              <w:t>1</w:t>
            </w:r>
          </w:p>
        </w:tc>
      </w:tr>
      <w:tr w14:paraId="79375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2A03EB87">
            <w:pPr>
              <w:pStyle w:val="133"/>
            </w:pPr>
            <w:r>
              <w:rPr>
                <w:rFonts w:hint="eastAsia"/>
              </w:rPr>
              <w:t>18</w:t>
            </w:r>
          </w:p>
        </w:tc>
        <w:tc>
          <w:tcPr>
            <w:tcW w:w="567" w:type="pct"/>
            <w:vMerge w:val="restart"/>
            <w:vAlign w:val="center"/>
          </w:tcPr>
          <w:p w14:paraId="736F6558">
            <w:pPr>
              <w:pStyle w:val="133"/>
            </w:pPr>
            <w:r>
              <w:t>软水制备间</w:t>
            </w:r>
          </w:p>
        </w:tc>
        <w:tc>
          <w:tcPr>
            <w:tcW w:w="815" w:type="pct"/>
            <w:noWrap/>
            <w:vAlign w:val="center"/>
          </w:tcPr>
          <w:p w14:paraId="138FCFDE">
            <w:pPr>
              <w:pStyle w:val="133"/>
            </w:pPr>
            <w:r>
              <w:rPr>
                <w:rFonts w:hint="eastAsia"/>
              </w:rPr>
              <w:t>全自动软水器，1台</w:t>
            </w:r>
          </w:p>
        </w:tc>
        <w:tc>
          <w:tcPr>
            <w:tcW w:w="356" w:type="pct"/>
            <w:noWrap/>
            <w:vAlign w:val="center"/>
          </w:tcPr>
          <w:p w14:paraId="0F262489">
            <w:pPr>
              <w:pStyle w:val="133"/>
            </w:pPr>
            <w:r>
              <w:t>80.0</w:t>
            </w:r>
          </w:p>
        </w:tc>
        <w:tc>
          <w:tcPr>
            <w:tcW w:w="406" w:type="pct"/>
            <w:vMerge w:val="continue"/>
            <w:noWrap/>
            <w:vAlign w:val="center"/>
          </w:tcPr>
          <w:p w14:paraId="455447AD">
            <w:pPr>
              <w:pStyle w:val="133"/>
            </w:pPr>
          </w:p>
        </w:tc>
        <w:tc>
          <w:tcPr>
            <w:tcW w:w="254" w:type="pct"/>
            <w:noWrap/>
            <w:vAlign w:val="center"/>
          </w:tcPr>
          <w:p w14:paraId="4D4EA29F">
            <w:pPr>
              <w:pStyle w:val="133"/>
            </w:pPr>
            <w:r>
              <w:rPr>
                <w:rFonts w:hint="eastAsia"/>
              </w:rPr>
              <w:t>-253</w:t>
            </w:r>
          </w:p>
        </w:tc>
        <w:tc>
          <w:tcPr>
            <w:tcW w:w="254" w:type="pct"/>
            <w:noWrap/>
            <w:vAlign w:val="center"/>
          </w:tcPr>
          <w:p w14:paraId="5CC18161">
            <w:pPr>
              <w:pStyle w:val="133"/>
            </w:pPr>
            <w:r>
              <w:rPr>
                <w:rFonts w:hint="eastAsia"/>
              </w:rPr>
              <w:t>2</w:t>
            </w:r>
          </w:p>
        </w:tc>
        <w:tc>
          <w:tcPr>
            <w:tcW w:w="305" w:type="pct"/>
            <w:noWrap/>
            <w:vAlign w:val="center"/>
          </w:tcPr>
          <w:p w14:paraId="068D5B5B">
            <w:pPr>
              <w:pStyle w:val="133"/>
            </w:pPr>
            <w:r>
              <w:rPr>
                <w:rFonts w:hint="eastAsia"/>
              </w:rPr>
              <w:t>696.66</w:t>
            </w:r>
          </w:p>
        </w:tc>
        <w:tc>
          <w:tcPr>
            <w:tcW w:w="254" w:type="pct"/>
            <w:noWrap/>
            <w:vAlign w:val="center"/>
          </w:tcPr>
          <w:p w14:paraId="77F661DC">
            <w:pPr>
              <w:pStyle w:val="133"/>
            </w:pPr>
            <w:r>
              <w:t>2</w:t>
            </w:r>
          </w:p>
        </w:tc>
        <w:tc>
          <w:tcPr>
            <w:tcW w:w="305" w:type="pct"/>
            <w:noWrap/>
            <w:vAlign w:val="center"/>
          </w:tcPr>
          <w:p w14:paraId="421530C7">
            <w:pPr>
              <w:pStyle w:val="133"/>
            </w:pPr>
            <w:r>
              <w:t>74.0</w:t>
            </w:r>
          </w:p>
        </w:tc>
        <w:tc>
          <w:tcPr>
            <w:tcW w:w="305" w:type="pct"/>
            <w:noWrap/>
            <w:vAlign w:val="center"/>
          </w:tcPr>
          <w:p w14:paraId="41FD25DF">
            <w:pPr>
              <w:pStyle w:val="133"/>
            </w:pPr>
            <w:r>
              <w:rPr>
                <w:rFonts w:hint="eastAsia"/>
              </w:rPr>
              <w:t>7920</w:t>
            </w:r>
          </w:p>
        </w:tc>
        <w:tc>
          <w:tcPr>
            <w:tcW w:w="391" w:type="pct"/>
            <w:noWrap/>
            <w:vAlign w:val="center"/>
          </w:tcPr>
          <w:p w14:paraId="27A2C536">
            <w:pPr>
              <w:pStyle w:val="133"/>
            </w:pPr>
            <w:r>
              <w:rPr>
                <w:rFonts w:hint="eastAsia"/>
              </w:rPr>
              <w:t>15</w:t>
            </w:r>
          </w:p>
        </w:tc>
        <w:tc>
          <w:tcPr>
            <w:tcW w:w="320" w:type="pct"/>
            <w:noWrap/>
            <w:vAlign w:val="center"/>
          </w:tcPr>
          <w:p w14:paraId="2A74835B">
            <w:pPr>
              <w:pStyle w:val="133"/>
            </w:pPr>
            <w:r>
              <w:rPr>
                <w:rFonts w:cs="Times New Roman"/>
                <w:color w:val="000000"/>
                <w:szCs w:val="21"/>
              </w:rPr>
              <w:t>59.0</w:t>
            </w:r>
          </w:p>
        </w:tc>
        <w:tc>
          <w:tcPr>
            <w:tcW w:w="276" w:type="pct"/>
            <w:noWrap/>
            <w:vAlign w:val="center"/>
          </w:tcPr>
          <w:p w14:paraId="52E0129F">
            <w:pPr>
              <w:pStyle w:val="133"/>
            </w:pPr>
            <w:r>
              <w:t>1</w:t>
            </w:r>
          </w:p>
        </w:tc>
      </w:tr>
      <w:tr w14:paraId="3F9647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5A61F251">
            <w:pPr>
              <w:pStyle w:val="133"/>
            </w:pPr>
            <w:r>
              <w:rPr>
                <w:rFonts w:hint="eastAsia"/>
              </w:rPr>
              <w:t>19</w:t>
            </w:r>
          </w:p>
        </w:tc>
        <w:tc>
          <w:tcPr>
            <w:tcW w:w="567" w:type="pct"/>
            <w:vMerge w:val="continue"/>
            <w:vAlign w:val="center"/>
          </w:tcPr>
          <w:p w14:paraId="7A99FBA4">
            <w:pPr>
              <w:pStyle w:val="133"/>
            </w:pPr>
          </w:p>
        </w:tc>
        <w:tc>
          <w:tcPr>
            <w:tcW w:w="815" w:type="pct"/>
            <w:noWrap/>
            <w:vAlign w:val="center"/>
          </w:tcPr>
          <w:p w14:paraId="0057CA34">
            <w:pPr>
              <w:pStyle w:val="133"/>
            </w:pPr>
            <w:r>
              <w:rPr>
                <w:rFonts w:hint="eastAsia"/>
              </w:rPr>
              <w:t>软化水加压泵，1台</w:t>
            </w:r>
          </w:p>
        </w:tc>
        <w:tc>
          <w:tcPr>
            <w:tcW w:w="356" w:type="pct"/>
            <w:noWrap/>
            <w:vAlign w:val="center"/>
          </w:tcPr>
          <w:p w14:paraId="42F4D7AD">
            <w:pPr>
              <w:pStyle w:val="133"/>
            </w:pPr>
            <w:r>
              <w:t>85.0</w:t>
            </w:r>
          </w:p>
        </w:tc>
        <w:tc>
          <w:tcPr>
            <w:tcW w:w="406" w:type="pct"/>
            <w:vMerge w:val="continue"/>
            <w:noWrap/>
            <w:vAlign w:val="center"/>
          </w:tcPr>
          <w:p w14:paraId="4602D6D3">
            <w:pPr>
              <w:pStyle w:val="133"/>
            </w:pPr>
          </w:p>
        </w:tc>
        <w:tc>
          <w:tcPr>
            <w:tcW w:w="254" w:type="pct"/>
            <w:noWrap/>
            <w:vAlign w:val="center"/>
          </w:tcPr>
          <w:p w14:paraId="75F82FBF">
            <w:pPr>
              <w:pStyle w:val="133"/>
            </w:pPr>
            <w:r>
              <w:rPr>
                <w:rFonts w:hint="eastAsia"/>
              </w:rPr>
              <w:t>-265</w:t>
            </w:r>
          </w:p>
        </w:tc>
        <w:tc>
          <w:tcPr>
            <w:tcW w:w="254" w:type="pct"/>
            <w:noWrap/>
            <w:vAlign w:val="center"/>
          </w:tcPr>
          <w:p w14:paraId="4D4C9D16">
            <w:pPr>
              <w:pStyle w:val="133"/>
            </w:pPr>
            <w:r>
              <w:rPr>
                <w:rFonts w:hint="eastAsia"/>
              </w:rPr>
              <w:t>-32</w:t>
            </w:r>
          </w:p>
        </w:tc>
        <w:tc>
          <w:tcPr>
            <w:tcW w:w="305" w:type="pct"/>
            <w:noWrap/>
            <w:vAlign w:val="center"/>
          </w:tcPr>
          <w:p w14:paraId="0F3321A6">
            <w:pPr>
              <w:pStyle w:val="133"/>
            </w:pPr>
            <w:r>
              <w:rPr>
                <w:rFonts w:hint="eastAsia"/>
              </w:rPr>
              <w:t>696.12</w:t>
            </w:r>
          </w:p>
        </w:tc>
        <w:tc>
          <w:tcPr>
            <w:tcW w:w="254" w:type="pct"/>
            <w:noWrap/>
            <w:vAlign w:val="center"/>
          </w:tcPr>
          <w:p w14:paraId="379E89D0">
            <w:pPr>
              <w:pStyle w:val="133"/>
            </w:pPr>
            <w:r>
              <w:t>2</w:t>
            </w:r>
          </w:p>
        </w:tc>
        <w:tc>
          <w:tcPr>
            <w:tcW w:w="305" w:type="pct"/>
            <w:noWrap/>
            <w:vAlign w:val="center"/>
          </w:tcPr>
          <w:p w14:paraId="5819C65B">
            <w:pPr>
              <w:pStyle w:val="133"/>
            </w:pPr>
            <w:r>
              <w:t>79.0</w:t>
            </w:r>
          </w:p>
        </w:tc>
        <w:tc>
          <w:tcPr>
            <w:tcW w:w="305" w:type="pct"/>
            <w:noWrap/>
            <w:vAlign w:val="center"/>
          </w:tcPr>
          <w:p w14:paraId="6FDB6A12">
            <w:pPr>
              <w:pStyle w:val="133"/>
            </w:pPr>
            <w:r>
              <w:rPr>
                <w:rFonts w:hint="eastAsia"/>
              </w:rPr>
              <w:t>7920</w:t>
            </w:r>
          </w:p>
        </w:tc>
        <w:tc>
          <w:tcPr>
            <w:tcW w:w="391" w:type="pct"/>
            <w:noWrap/>
            <w:vAlign w:val="center"/>
          </w:tcPr>
          <w:p w14:paraId="4F812CA6">
            <w:pPr>
              <w:pStyle w:val="133"/>
            </w:pPr>
            <w:r>
              <w:rPr>
                <w:rFonts w:hint="eastAsia"/>
              </w:rPr>
              <w:t>15</w:t>
            </w:r>
          </w:p>
        </w:tc>
        <w:tc>
          <w:tcPr>
            <w:tcW w:w="320" w:type="pct"/>
            <w:noWrap/>
            <w:vAlign w:val="center"/>
          </w:tcPr>
          <w:p w14:paraId="299ABCBD">
            <w:pPr>
              <w:pStyle w:val="133"/>
            </w:pPr>
            <w:r>
              <w:rPr>
                <w:rFonts w:cs="Times New Roman"/>
                <w:color w:val="000000"/>
                <w:szCs w:val="21"/>
              </w:rPr>
              <w:t>64.0</w:t>
            </w:r>
          </w:p>
        </w:tc>
        <w:tc>
          <w:tcPr>
            <w:tcW w:w="276" w:type="pct"/>
            <w:noWrap/>
            <w:vAlign w:val="center"/>
          </w:tcPr>
          <w:p w14:paraId="30476FBC">
            <w:pPr>
              <w:pStyle w:val="133"/>
            </w:pPr>
            <w:r>
              <w:t>1</w:t>
            </w:r>
          </w:p>
        </w:tc>
      </w:tr>
      <w:tr w14:paraId="668AA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033A442C">
            <w:pPr>
              <w:pStyle w:val="133"/>
            </w:pPr>
            <w:r>
              <w:rPr>
                <w:rFonts w:hint="eastAsia"/>
              </w:rPr>
              <w:t>20</w:t>
            </w:r>
          </w:p>
        </w:tc>
        <w:tc>
          <w:tcPr>
            <w:tcW w:w="567" w:type="pct"/>
            <w:vMerge w:val="restart"/>
            <w:vAlign w:val="center"/>
          </w:tcPr>
          <w:p w14:paraId="6D55EE60">
            <w:pPr>
              <w:pStyle w:val="133"/>
            </w:pPr>
            <w:r>
              <w:t>全厂空压站</w:t>
            </w:r>
          </w:p>
        </w:tc>
        <w:tc>
          <w:tcPr>
            <w:tcW w:w="815" w:type="pct"/>
            <w:noWrap/>
            <w:vAlign w:val="center"/>
          </w:tcPr>
          <w:p w14:paraId="14A6C108">
            <w:pPr>
              <w:pStyle w:val="133"/>
            </w:pPr>
            <w:r>
              <w:rPr>
                <w:rFonts w:hint="eastAsia"/>
              </w:rPr>
              <w:t>离心式空气压缩机，3台</w:t>
            </w:r>
          </w:p>
        </w:tc>
        <w:tc>
          <w:tcPr>
            <w:tcW w:w="356" w:type="pct"/>
            <w:noWrap/>
            <w:vAlign w:val="center"/>
          </w:tcPr>
          <w:p w14:paraId="5C480687">
            <w:pPr>
              <w:pStyle w:val="133"/>
            </w:pPr>
            <w:r>
              <w:t>94.8</w:t>
            </w:r>
          </w:p>
        </w:tc>
        <w:tc>
          <w:tcPr>
            <w:tcW w:w="406" w:type="pct"/>
            <w:vMerge w:val="continue"/>
            <w:noWrap/>
            <w:vAlign w:val="center"/>
          </w:tcPr>
          <w:p w14:paraId="522F52D7">
            <w:pPr>
              <w:pStyle w:val="133"/>
            </w:pPr>
          </w:p>
        </w:tc>
        <w:tc>
          <w:tcPr>
            <w:tcW w:w="254" w:type="pct"/>
            <w:noWrap/>
            <w:vAlign w:val="center"/>
          </w:tcPr>
          <w:p w14:paraId="7C89EE39">
            <w:pPr>
              <w:pStyle w:val="133"/>
            </w:pPr>
            <w:r>
              <w:rPr>
                <w:rFonts w:hint="eastAsia"/>
              </w:rPr>
              <w:t>-213</w:t>
            </w:r>
          </w:p>
        </w:tc>
        <w:tc>
          <w:tcPr>
            <w:tcW w:w="254" w:type="pct"/>
            <w:noWrap/>
            <w:vAlign w:val="center"/>
          </w:tcPr>
          <w:p w14:paraId="52850508">
            <w:pPr>
              <w:pStyle w:val="133"/>
            </w:pPr>
            <w:r>
              <w:rPr>
                <w:rFonts w:hint="eastAsia"/>
              </w:rPr>
              <w:t>-93</w:t>
            </w:r>
          </w:p>
        </w:tc>
        <w:tc>
          <w:tcPr>
            <w:tcW w:w="305" w:type="pct"/>
            <w:noWrap/>
            <w:vAlign w:val="center"/>
          </w:tcPr>
          <w:p w14:paraId="541ED55A">
            <w:pPr>
              <w:pStyle w:val="133"/>
            </w:pPr>
            <w:r>
              <w:rPr>
                <w:rFonts w:hint="eastAsia"/>
              </w:rPr>
              <w:t>694.85</w:t>
            </w:r>
          </w:p>
        </w:tc>
        <w:tc>
          <w:tcPr>
            <w:tcW w:w="254" w:type="pct"/>
            <w:noWrap/>
            <w:vAlign w:val="center"/>
          </w:tcPr>
          <w:p w14:paraId="3DEBC88B">
            <w:pPr>
              <w:pStyle w:val="133"/>
            </w:pPr>
            <w:r>
              <w:t>2</w:t>
            </w:r>
          </w:p>
        </w:tc>
        <w:tc>
          <w:tcPr>
            <w:tcW w:w="305" w:type="pct"/>
            <w:noWrap/>
            <w:vAlign w:val="center"/>
          </w:tcPr>
          <w:p w14:paraId="19795716">
            <w:pPr>
              <w:pStyle w:val="133"/>
            </w:pPr>
            <w:r>
              <w:t>88.8</w:t>
            </w:r>
          </w:p>
        </w:tc>
        <w:tc>
          <w:tcPr>
            <w:tcW w:w="305" w:type="pct"/>
            <w:noWrap/>
            <w:vAlign w:val="center"/>
          </w:tcPr>
          <w:p w14:paraId="5F0EB19F">
            <w:pPr>
              <w:pStyle w:val="133"/>
            </w:pPr>
            <w:r>
              <w:rPr>
                <w:rFonts w:hint="eastAsia"/>
              </w:rPr>
              <w:t>7920</w:t>
            </w:r>
          </w:p>
        </w:tc>
        <w:tc>
          <w:tcPr>
            <w:tcW w:w="391" w:type="pct"/>
            <w:noWrap/>
            <w:vAlign w:val="center"/>
          </w:tcPr>
          <w:p w14:paraId="51C0F74E">
            <w:pPr>
              <w:pStyle w:val="133"/>
            </w:pPr>
            <w:r>
              <w:rPr>
                <w:rFonts w:hint="eastAsia"/>
              </w:rPr>
              <w:t>15</w:t>
            </w:r>
          </w:p>
        </w:tc>
        <w:tc>
          <w:tcPr>
            <w:tcW w:w="320" w:type="pct"/>
            <w:noWrap/>
            <w:vAlign w:val="center"/>
          </w:tcPr>
          <w:p w14:paraId="72DC3D4E">
            <w:pPr>
              <w:pStyle w:val="133"/>
            </w:pPr>
            <w:r>
              <w:rPr>
                <w:rFonts w:cs="Times New Roman"/>
                <w:color w:val="000000"/>
                <w:szCs w:val="21"/>
              </w:rPr>
              <w:t>73.8</w:t>
            </w:r>
          </w:p>
        </w:tc>
        <w:tc>
          <w:tcPr>
            <w:tcW w:w="276" w:type="pct"/>
            <w:noWrap/>
            <w:vAlign w:val="center"/>
          </w:tcPr>
          <w:p w14:paraId="0628CE9A">
            <w:pPr>
              <w:pStyle w:val="133"/>
            </w:pPr>
            <w:r>
              <w:t>1</w:t>
            </w:r>
          </w:p>
        </w:tc>
      </w:tr>
      <w:tr w14:paraId="29800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7052B80E">
            <w:pPr>
              <w:pStyle w:val="133"/>
            </w:pPr>
            <w:r>
              <w:rPr>
                <w:rFonts w:hint="eastAsia"/>
              </w:rPr>
              <w:t>21</w:t>
            </w:r>
          </w:p>
        </w:tc>
        <w:tc>
          <w:tcPr>
            <w:tcW w:w="567" w:type="pct"/>
            <w:vMerge w:val="continue"/>
            <w:vAlign w:val="center"/>
          </w:tcPr>
          <w:p w14:paraId="306BF795">
            <w:pPr>
              <w:pStyle w:val="133"/>
            </w:pPr>
          </w:p>
        </w:tc>
        <w:tc>
          <w:tcPr>
            <w:tcW w:w="815" w:type="pct"/>
            <w:noWrap/>
            <w:vAlign w:val="center"/>
          </w:tcPr>
          <w:p w14:paraId="3905EAC4">
            <w:pPr>
              <w:pStyle w:val="133"/>
            </w:pPr>
            <w:r>
              <w:rPr>
                <w:rFonts w:hint="eastAsia"/>
              </w:rPr>
              <w:t>制氮机，2台</w:t>
            </w:r>
          </w:p>
        </w:tc>
        <w:tc>
          <w:tcPr>
            <w:tcW w:w="356" w:type="pct"/>
            <w:noWrap/>
            <w:vAlign w:val="center"/>
          </w:tcPr>
          <w:p w14:paraId="330C40AA">
            <w:pPr>
              <w:pStyle w:val="133"/>
            </w:pPr>
            <w:r>
              <w:t>93.0</w:t>
            </w:r>
          </w:p>
        </w:tc>
        <w:tc>
          <w:tcPr>
            <w:tcW w:w="406" w:type="pct"/>
            <w:vMerge w:val="continue"/>
            <w:noWrap/>
            <w:vAlign w:val="center"/>
          </w:tcPr>
          <w:p w14:paraId="78197CF7">
            <w:pPr>
              <w:pStyle w:val="133"/>
            </w:pPr>
          </w:p>
        </w:tc>
        <w:tc>
          <w:tcPr>
            <w:tcW w:w="254" w:type="pct"/>
            <w:noWrap/>
            <w:vAlign w:val="center"/>
          </w:tcPr>
          <w:p w14:paraId="04DC0D50">
            <w:pPr>
              <w:pStyle w:val="133"/>
            </w:pPr>
            <w:r>
              <w:rPr>
                <w:rFonts w:hint="eastAsia"/>
              </w:rPr>
              <w:t>-192</w:t>
            </w:r>
          </w:p>
        </w:tc>
        <w:tc>
          <w:tcPr>
            <w:tcW w:w="254" w:type="pct"/>
            <w:noWrap/>
            <w:vAlign w:val="center"/>
          </w:tcPr>
          <w:p w14:paraId="08F77A07">
            <w:pPr>
              <w:pStyle w:val="133"/>
            </w:pPr>
            <w:r>
              <w:rPr>
                <w:rFonts w:hint="eastAsia"/>
              </w:rPr>
              <w:t>38</w:t>
            </w:r>
          </w:p>
        </w:tc>
        <w:tc>
          <w:tcPr>
            <w:tcW w:w="305" w:type="pct"/>
            <w:noWrap/>
            <w:vAlign w:val="center"/>
          </w:tcPr>
          <w:p w14:paraId="1911085B">
            <w:pPr>
              <w:pStyle w:val="133"/>
            </w:pPr>
            <w:r>
              <w:rPr>
                <w:rFonts w:hint="eastAsia"/>
              </w:rPr>
              <w:t>695.06</w:t>
            </w:r>
          </w:p>
        </w:tc>
        <w:tc>
          <w:tcPr>
            <w:tcW w:w="254" w:type="pct"/>
            <w:noWrap/>
            <w:vAlign w:val="center"/>
          </w:tcPr>
          <w:p w14:paraId="3D7A4C2C">
            <w:pPr>
              <w:pStyle w:val="133"/>
            </w:pPr>
            <w:r>
              <w:t>4</w:t>
            </w:r>
          </w:p>
        </w:tc>
        <w:tc>
          <w:tcPr>
            <w:tcW w:w="305" w:type="pct"/>
            <w:noWrap/>
            <w:vAlign w:val="center"/>
          </w:tcPr>
          <w:p w14:paraId="17C907E8">
            <w:pPr>
              <w:pStyle w:val="133"/>
            </w:pPr>
            <w:r>
              <w:t>81.0</w:t>
            </w:r>
          </w:p>
        </w:tc>
        <w:tc>
          <w:tcPr>
            <w:tcW w:w="305" w:type="pct"/>
            <w:noWrap/>
            <w:vAlign w:val="center"/>
          </w:tcPr>
          <w:p w14:paraId="1641138B">
            <w:pPr>
              <w:pStyle w:val="133"/>
            </w:pPr>
            <w:r>
              <w:rPr>
                <w:rFonts w:hint="eastAsia"/>
              </w:rPr>
              <w:t>7920</w:t>
            </w:r>
          </w:p>
        </w:tc>
        <w:tc>
          <w:tcPr>
            <w:tcW w:w="391" w:type="pct"/>
            <w:noWrap/>
            <w:vAlign w:val="center"/>
          </w:tcPr>
          <w:p w14:paraId="5997812E">
            <w:pPr>
              <w:pStyle w:val="133"/>
            </w:pPr>
            <w:r>
              <w:rPr>
                <w:rFonts w:hint="eastAsia"/>
              </w:rPr>
              <w:t>15</w:t>
            </w:r>
          </w:p>
        </w:tc>
        <w:tc>
          <w:tcPr>
            <w:tcW w:w="320" w:type="pct"/>
            <w:noWrap/>
            <w:vAlign w:val="center"/>
          </w:tcPr>
          <w:p w14:paraId="244398B4">
            <w:pPr>
              <w:pStyle w:val="133"/>
            </w:pPr>
            <w:r>
              <w:rPr>
                <w:rFonts w:cs="Times New Roman"/>
                <w:color w:val="000000"/>
                <w:szCs w:val="21"/>
              </w:rPr>
              <w:t>66.0</w:t>
            </w:r>
          </w:p>
        </w:tc>
        <w:tc>
          <w:tcPr>
            <w:tcW w:w="276" w:type="pct"/>
            <w:noWrap/>
            <w:vAlign w:val="center"/>
          </w:tcPr>
          <w:p w14:paraId="504606CF">
            <w:pPr>
              <w:pStyle w:val="133"/>
            </w:pPr>
            <w:r>
              <w:t>1</w:t>
            </w:r>
          </w:p>
        </w:tc>
      </w:tr>
      <w:tr w14:paraId="057C8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 w:type="pct"/>
            <w:noWrap/>
            <w:vAlign w:val="center"/>
          </w:tcPr>
          <w:p w14:paraId="30E885A6">
            <w:pPr>
              <w:pStyle w:val="133"/>
            </w:pPr>
            <w:r>
              <w:rPr>
                <w:rFonts w:hint="eastAsia"/>
              </w:rPr>
              <w:t>22</w:t>
            </w:r>
          </w:p>
        </w:tc>
        <w:tc>
          <w:tcPr>
            <w:tcW w:w="567" w:type="pct"/>
            <w:vMerge w:val="continue"/>
            <w:vAlign w:val="center"/>
          </w:tcPr>
          <w:p w14:paraId="635C0FCA">
            <w:pPr>
              <w:pStyle w:val="133"/>
            </w:pPr>
          </w:p>
        </w:tc>
        <w:tc>
          <w:tcPr>
            <w:tcW w:w="815" w:type="pct"/>
            <w:noWrap/>
            <w:vAlign w:val="center"/>
          </w:tcPr>
          <w:p w14:paraId="5DD69418">
            <w:pPr>
              <w:pStyle w:val="133"/>
            </w:pPr>
            <w:r>
              <w:rPr>
                <w:rFonts w:hint="eastAsia"/>
              </w:rPr>
              <w:t>螺杆空压机，5台</w:t>
            </w:r>
          </w:p>
        </w:tc>
        <w:tc>
          <w:tcPr>
            <w:tcW w:w="356" w:type="pct"/>
            <w:noWrap/>
            <w:vAlign w:val="center"/>
          </w:tcPr>
          <w:p w14:paraId="0BFC4326">
            <w:pPr>
              <w:pStyle w:val="133"/>
            </w:pPr>
            <w:r>
              <w:t>97.0</w:t>
            </w:r>
          </w:p>
        </w:tc>
        <w:tc>
          <w:tcPr>
            <w:tcW w:w="406" w:type="pct"/>
            <w:vMerge w:val="continue"/>
            <w:noWrap/>
            <w:vAlign w:val="center"/>
          </w:tcPr>
          <w:p w14:paraId="67A8C7E4">
            <w:pPr>
              <w:pStyle w:val="133"/>
            </w:pPr>
          </w:p>
        </w:tc>
        <w:tc>
          <w:tcPr>
            <w:tcW w:w="254" w:type="pct"/>
            <w:noWrap/>
            <w:vAlign w:val="center"/>
          </w:tcPr>
          <w:p w14:paraId="510973C8">
            <w:pPr>
              <w:pStyle w:val="133"/>
            </w:pPr>
            <w:r>
              <w:t>-301</w:t>
            </w:r>
          </w:p>
        </w:tc>
        <w:tc>
          <w:tcPr>
            <w:tcW w:w="254" w:type="pct"/>
            <w:noWrap/>
            <w:vAlign w:val="center"/>
          </w:tcPr>
          <w:p w14:paraId="72ABA675">
            <w:pPr>
              <w:pStyle w:val="133"/>
            </w:pPr>
            <w:r>
              <w:t>6</w:t>
            </w:r>
          </w:p>
        </w:tc>
        <w:tc>
          <w:tcPr>
            <w:tcW w:w="305" w:type="pct"/>
            <w:noWrap/>
            <w:vAlign w:val="center"/>
          </w:tcPr>
          <w:p w14:paraId="3E1DB870">
            <w:pPr>
              <w:pStyle w:val="133"/>
            </w:pPr>
            <w:r>
              <w:t>696.97</w:t>
            </w:r>
          </w:p>
        </w:tc>
        <w:tc>
          <w:tcPr>
            <w:tcW w:w="254" w:type="pct"/>
            <w:noWrap/>
            <w:vAlign w:val="center"/>
          </w:tcPr>
          <w:p w14:paraId="153963C0">
            <w:pPr>
              <w:pStyle w:val="133"/>
            </w:pPr>
            <w:r>
              <w:t>6</w:t>
            </w:r>
          </w:p>
        </w:tc>
        <w:tc>
          <w:tcPr>
            <w:tcW w:w="305" w:type="pct"/>
            <w:noWrap/>
            <w:vAlign w:val="center"/>
          </w:tcPr>
          <w:p w14:paraId="55B48607">
            <w:pPr>
              <w:pStyle w:val="133"/>
            </w:pPr>
            <w:r>
              <w:rPr>
                <w:rFonts w:hint="eastAsia"/>
              </w:rPr>
              <w:t>81.0</w:t>
            </w:r>
          </w:p>
        </w:tc>
        <w:tc>
          <w:tcPr>
            <w:tcW w:w="305" w:type="pct"/>
            <w:noWrap/>
            <w:vAlign w:val="center"/>
          </w:tcPr>
          <w:p w14:paraId="0986AD1D">
            <w:pPr>
              <w:pStyle w:val="133"/>
            </w:pPr>
            <w:r>
              <w:rPr>
                <w:rFonts w:hint="eastAsia"/>
              </w:rPr>
              <w:t>7920</w:t>
            </w:r>
          </w:p>
        </w:tc>
        <w:tc>
          <w:tcPr>
            <w:tcW w:w="391" w:type="pct"/>
            <w:noWrap/>
            <w:vAlign w:val="center"/>
          </w:tcPr>
          <w:p w14:paraId="0EABDA99">
            <w:pPr>
              <w:pStyle w:val="133"/>
            </w:pPr>
            <w:r>
              <w:rPr>
                <w:rFonts w:hint="eastAsia"/>
              </w:rPr>
              <w:t>15</w:t>
            </w:r>
          </w:p>
        </w:tc>
        <w:tc>
          <w:tcPr>
            <w:tcW w:w="320" w:type="pct"/>
            <w:noWrap/>
            <w:vAlign w:val="center"/>
          </w:tcPr>
          <w:p w14:paraId="71EDE7BC">
            <w:pPr>
              <w:pStyle w:val="133"/>
            </w:pPr>
            <w:r>
              <w:rPr>
                <w:rFonts w:cs="Times New Roman"/>
                <w:color w:val="000000"/>
                <w:szCs w:val="21"/>
              </w:rPr>
              <w:t>66.0</w:t>
            </w:r>
          </w:p>
        </w:tc>
        <w:tc>
          <w:tcPr>
            <w:tcW w:w="276" w:type="pct"/>
            <w:noWrap/>
            <w:vAlign w:val="center"/>
          </w:tcPr>
          <w:p w14:paraId="4EE0146D">
            <w:pPr>
              <w:pStyle w:val="133"/>
            </w:pPr>
            <w:r>
              <w:t>1</w:t>
            </w:r>
          </w:p>
        </w:tc>
      </w:tr>
    </w:tbl>
    <w:p w14:paraId="145F4A9A">
      <w:pPr>
        <w:pStyle w:val="133"/>
        <w:ind w:firstLine="480"/>
      </w:pPr>
    </w:p>
    <w:p w14:paraId="26BDAC92">
      <w:pPr>
        <w:pStyle w:val="133"/>
        <w:ind w:firstLine="480"/>
        <w:sectPr>
          <w:pgSz w:w="16838" w:h="11906" w:orient="landscape"/>
          <w:pgMar w:top="1800" w:right="1440" w:bottom="1800" w:left="1440" w:header="851" w:footer="992" w:gutter="0"/>
          <w:cols w:space="425" w:num="1"/>
          <w:docGrid w:type="lines" w:linePitch="326" w:charSpace="0"/>
        </w:sectPr>
      </w:pPr>
    </w:p>
    <w:p w14:paraId="55922079">
      <w:pPr>
        <w:pStyle w:val="138"/>
        <w:rPr>
          <w:rFonts w:hint="eastAsia"/>
        </w:rPr>
      </w:pPr>
      <w:r>
        <w:t>预测模式</w:t>
      </w:r>
    </w:p>
    <w:p w14:paraId="61F4AE14">
      <w:pPr>
        <w:pStyle w:val="117"/>
        <w:ind w:firstLine="480"/>
      </w:pPr>
      <w:r>
        <w:t>采用《环境影响评价技术导则－声环境》</w:t>
      </w:r>
      <w:r>
        <w:rPr>
          <w:rFonts w:hint="eastAsia"/>
        </w:rPr>
        <w:t>（</w:t>
      </w:r>
      <w:r>
        <w:t>HJ2.4</w:t>
      </w:r>
      <w:r>
        <w:rPr>
          <w:rFonts w:hint="eastAsia"/>
        </w:rPr>
        <w:t>-</w:t>
      </w:r>
      <w:r>
        <w:t>2021</w:t>
      </w:r>
      <w:r>
        <w:rPr>
          <w:rFonts w:hint="eastAsia"/>
        </w:rPr>
        <w:t>）</w:t>
      </w:r>
      <w:r>
        <w:t>中的工业噪声预测模式。本次预测模式不考虑雨、雪、雾和温度梯度等因素，以保证未来实际噪声环境较预测结果优越。</w:t>
      </w:r>
    </w:p>
    <w:p w14:paraId="02C7133B">
      <w:pPr>
        <w:pStyle w:val="117"/>
        <w:ind w:firstLine="480"/>
      </w:pPr>
      <w:r>
        <w:t>（1）室外声源</w:t>
      </w:r>
    </w:p>
    <w:p w14:paraId="2A39695F">
      <w:pPr>
        <w:pStyle w:val="117"/>
        <w:ind w:firstLine="480"/>
      </w:pPr>
      <w:r>
        <w:rPr>
          <w:position w:val="-14"/>
        </w:rPr>
        <w:object>
          <v:shape id="_x0000_i1029" o:spt="75" type="#_x0000_t75" style="height:22.1pt;width:166.1pt;" o:ole="t" filled="f" o:preferrelative="t" stroked="f" coordsize="21600,21600">
            <v:path/>
            <v:fill on="f" focussize="0,0"/>
            <v:stroke on="f" joinstyle="miter"/>
            <v:imagedata r:id="rId59" embosscolor="#FFFFFF" o:title=""/>
            <o:lock v:ext="edit" aspectratio="t"/>
            <w10:wrap type="none"/>
            <w10:anchorlock/>
          </v:shape>
          <o:OLEObject Type="Embed" ProgID="Equation.DSMT4" ShapeID="_x0000_i1029" DrawAspect="Content" ObjectID="_1468075729" r:id="rId58">
            <o:LockedField>false</o:LockedField>
          </o:OLEObject>
        </w:object>
      </w:r>
    </w:p>
    <w:p w14:paraId="778C180F">
      <w:pPr>
        <w:pStyle w:val="117"/>
        <w:ind w:firstLine="0" w:firstLineChars="0"/>
        <w:rPr>
          <w:szCs w:val="21"/>
        </w:rPr>
      </w:pPr>
      <w:r>
        <w:t>式中：</w:t>
      </w:r>
      <w:r>
        <w:rPr>
          <w:position w:val="-14"/>
          <w:szCs w:val="21"/>
        </w:rPr>
        <w:object>
          <v:shape id="_x0000_i1030" o:spt="75" type="#_x0000_t75" style="height:13.9pt;width:28.65pt;" o:ole="t" filled="f" o:preferrelative="t" stroked="f" coordsize="21600,21600">
            <v:path/>
            <v:fill on="f" focussize="0,0"/>
            <v:stroke on="f" joinstyle="miter"/>
            <v:imagedata r:id="rId61" embosscolor="#FFFFFF" o:title=""/>
            <o:lock v:ext="edit" aspectratio="t"/>
            <w10:wrap type="none"/>
            <w10:anchorlock/>
          </v:shape>
          <o:OLEObject Type="Embed" ProgID="Equation.DSMT4" ShapeID="_x0000_i1030" DrawAspect="Content" ObjectID="_1468075730" r:id="rId60">
            <o:LockedField>false</o:LockedField>
          </o:OLEObject>
        </w:object>
      </w:r>
      <w:r>
        <w:rPr>
          <w:szCs w:val="21"/>
        </w:rPr>
        <w:t>—噪声源在预测点的声压级，dB(A)；</w:t>
      </w:r>
    </w:p>
    <w:p w14:paraId="5483F148">
      <w:pPr>
        <w:pStyle w:val="117"/>
        <w:ind w:firstLine="480"/>
        <w:rPr>
          <w:szCs w:val="21"/>
        </w:rPr>
      </w:pPr>
      <w:r>
        <w:rPr>
          <w:szCs w:val="21"/>
        </w:rPr>
        <w:t xml:space="preserve"> </w:t>
      </w:r>
      <w:r>
        <w:rPr>
          <w:position w:val="-14"/>
          <w:szCs w:val="21"/>
        </w:rPr>
        <w:object>
          <v:shape id="_x0000_i1031" o:spt="75" type="#_x0000_t75" style="height:13.9pt;width:36pt;" o:ole="t" filled="f" o:preferrelative="t" stroked="f" coordsize="21600,21600">
            <v:path/>
            <v:fill on="f" focussize="0,0"/>
            <v:stroke on="f" joinstyle="miter"/>
            <v:imagedata r:id="rId63" embosscolor="#FFFFFF" o:title=""/>
            <o:lock v:ext="edit" aspectratio="t"/>
            <w10:wrap type="none"/>
            <w10:anchorlock/>
          </v:shape>
          <o:OLEObject Type="Embed" ProgID="Equation.DSMT4" ShapeID="_x0000_i1031" DrawAspect="Content" ObjectID="_1468075731" r:id="rId62">
            <o:LockedField>false</o:LockedField>
          </o:OLEObject>
        </w:object>
      </w:r>
      <w:r>
        <w:rPr>
          <w:szCs w:val="21"/>
        </w:rPr>
        <w:t>—参考位置</w:t>
      </w:r>
      <w:r>
        <w:rPr>
          <w:position w:val="-12"/>
          <w:szCs w:val="21"/>
        </w:rPr>
        <w:object>
          <v:shape id="_x0000_i1032" o:spt="75" type="#_x0000_t75" style="height:22.1pt;width:13.9pt;" o:ole="t" filled="f" o:preferrelative="t" stroked="f" coordsize="21600,21600">
            <v:path/>
            <v:fill on="f" focussize="0,0"/>
            <v:stroke on="f" joinstyle="miter"/>
            <v:imagedata r:id="rId65" embosscolor="#FFFFFF" o:title=""/>
            <o:lock v:ext="edit" aspectratio="t"/>
            <w10:wrap type="none"/>
            <w10:anchorlock/>
          </v:shape>
          <o:OLEObject Type="Embed" ProgID="Equation.DSMT4" ShapeID="_x0000_i1032" DrawAspect="Content" ObjectID="_1468075732" r:id="rId64">
            <o:LockedField>false</o:LockedField>
          </o:OLEObject>
        </w:object>
      </w:r>
      <w:r>
        <w:rPr>
          <w:szCs w:val="21"/>
        </w:rPr>
        <w:t>处的声压级，dB(A)；</w:t>
      </w:r>
    </w:p>
    <w:p w14:paraId="64CC3E7B">
      <w:pPr>
        <w:pStyle w:val="117"/>
        <w:ind w:firstLine="1200" w:firstLineChars="500"/>
        <w:rPr>
          <w:szCs w:val="21"/>
        </w:rPr>
      </w:pPr>
      <w:r>
        <w:rPr>
          <w:position w:val="-12"/>
          <w:szCs w:val="21"/>
        </w:rPr>
        <w:object>
          <v:shape id="_x0000_i1033" o:spt="75" type="#_x0000_t75" style="height:22.1pt;width:13.9pt;" o:ole="t" filled="f" o:preferrelative="t" stroked="f" coordsize="21600,21600">
            <v:path/>
            <v:fill on="f" focussize="0,0"/>
            <v:stroke on="f" joinstyle="miter"/>
            <v:imagedata r:id="rId65" embosscolor="#FFFFFF" o:title=""/>
            <o:lock v:ext="edit" aspectratio="t"/>
            <w10:wrap type="none"/>
            <w10:anchorlock/>
          </v:shape>
          <o:OLEObject Type="Embed" ProgID="Equation.DSMT4" ShapeID="_x0000_i1033" DrawAspect="Content" ObjectID="_1468075733" r:id="rId66">
            <o:LockedField>false</o:LockedField>
          </o:OLEObject>
        </w:object>
      </w:r>
      <w:r>
        <w:rPr>
          <w:szCs w:val="21"/>
        </w:rPr>
        <w:t>—参考位置距声源中心的位置，m；</w:t>
      </w:r>
    </w:p>
    <w:p w14:paraId="0A85E109">
      <w:pPr>
        <w:pStyle w:val="117"/>
        <w:ind w:firstLine="1200" w:firstLineChars="500"/>
        <w:rPr>
          <w:szCs w:val="21"/>
        </w:rPr>
      </w:pPr>
      <w:r>
        <w:rPr>
          <w:position w:val="-4"/>
          <w:szCs w:val="21"/>
        </w:rPr>
        <w:object>
          <v:shape id="_x0000_i1034" o:spt="75" type="#_x0000_t75" style="height:13.9pt;width:13.9pt;" o:ole="t" filled="f" o:preferrelative="t" stroked="f" coordsize="21600,21600">
            <v:path/>
            <v:fill on="f" focussize="0,0"/>
            <v:stroke on="f" joinstyle="miter"/>
            <v:imagedata r:id="rId68" embosscolor="#FFFFFF" o:title=""/>
            <o:lock v:ext="edit" aspectratio="t"/>
            <w10:wrap type="none"/>
            <w10:anchorlock/>
          </v:shape>
          <o:OLEObject Type="Embed" ProgID="Equation.DSMT4" ShapeID="_x0000_i1034" DrawAspect="Content" ObjectID="_1468075734" r:id="rId67">
            <o:LockedField>false</o:LockedField>
          </o:OLEObject>
        </w:object>
      </w:r>
      <w:r>
        <w:rPr>
          <w:szCs w:val="21"/>
        </w:rPr>
        <w:t>—声源中心至预测点的距离，m；</w:t>
      </w:r>
    </w:p>
    <w:p w14:paraId="4D16BC68">
      <w:pPr>
        <w:pStyle w:val="117"/>
        <w:ind w:firstLine="960" w:firstLineChars="400"/>
        <w:rPr>
          <w:szCs w:val="21"/>
        </w:rPr>
      </w:pPr>
      <w:r>
        <w:rPr>
          <w:position w:val="-4"/>
          <w:szCs w:val="21"/>
        </w:rPr>
        <w:object>
          <v:shape id="_x0000_i1035" o:spt="75" type="#_x0000_t75" style="height:13.9pt;width:22.1pt;" o:ole="t" filled="f" o:preferrelative="t" stroked="f" coordsize="21600,21600">
            <v:path/>
            <v:fill on="f" focussize="0,0"/>
            <v:stroke on="f" joinstyle="miter"/>
            <v:imagedata r:id="rId70" embosscolor="#FFFFFF" o:title=""/>
            <o:lock v:ext="edit" aspectratio="t"/>
            <w10:wrap type="none"/>
            <w10:anchorlock/>
          </v:shape>
          <o:OLEObject Type="Embed" ProgID="Equation.DSMT4" ShapeID="_x0000_i1035" DrawAspect="Content" ObjectID="_1468075735" r:id="rId69">
            <o:LockedField>false</o:LockedField>
          </o:OLEObject>
        </w:object>
      </w:r>
      <w:r>
        <w:rPr>
          <w:szCs w:val="21"/>
        </w:rPr>
        <w:t>—各种因素引起的声衰减量（如声屏障，遮挡物，空气吸收，地面吸收等引起的声衰减），dB(A)。</w:t>
      </w:r>
    </w:p>
    <w:p w14:paraId="7C46CD13">
      <w:pPr>
        <w:pStyle w:val="117"/>
        <w:ind w:firstLine="480"/>
      </w:pPr>
      <w:r>
        <w:t>（2）室内声源</w:t>
      </w:r>
    </w:p>
    <w:p w14:paraId="4336564D">
      <w:pPr>
        <w:pStyle w:val="117"/>
        <w:ind w:firstLine="480"/>
      </w:pPr>
      <w:r>
        <w:t>A.车间室内声源靠近围护结构处产生的声压级：</w:t>
      </w:r>
    </w:p>
    <w:p w14:paraId="1699A051">
      <w:pPr>
        <w:pStyle w:val="117"/>
        <w:ind w:firstLine="480"/>
      </w:pPr>
      <w:r>
        <w:rPr>
          <w:position w:val="-32"/>
        </w:rPr>
        <w:object>
          <v:shape id="_x0000_i1036" o:spt="75" type="#_x0000_t75" style="height:36pt;width:130.1pt;" o:ole="t" filled="f" o:preferrelative="t" stroked="f" coordsize="21600,21600">
            <v:path/>
            <v:fill on="f" focussize="0,0"/>
            <v:stroke on="f" joinstyle="miter"/>
            <v:imagedata r:id="rId72" embosscolor="#FFFFFF" o:title=""/>
            <o:lock v:ext="edit" aspectratio="t"/>
            <w10:wrap type="none"/>
            <w10:anchorlock/>
          </v:shape>
          <o:OLEObject Type="Embed" ProgID="Equation.3" ShapeID="_x0000_i1036" DrawAspect="Content" ObjectID="_1468075736" r:id="rId71">
            <o:LockedField>false</o:LockedField>
          </o:OLEObject>
        </w:object>
      </w:r>
    </w:p>
    <w:p w14:paraId="1EA7FCD3">
      <w:pPr>
        <w:pStyle w:val="117"/>
        <w:ind w:firstLine="480"/>
        <w:rPr>
          <w:szCs w:val="21"/>
        </w:rPr>
      </w:pPr>
      <w:r>
        <w:t>式中：</w:t>
      </w:r>
      <w:r>
        <w:rPr>
          <w:position w:val="-10"/>
          <w:szCs w:val="21"/>
        </w:rPr>
        <w:object>
          <v:shape id="_x0000_i1037" o:spt="75" type="#_x0000_t75" style="height:22.1pt;width:13.9pt;" o:ole="t" filled="f" o:preferrelative="t" stroked="f" coordsize="21600,21600">
            <v:path/>
            <v:fill on="f" focussize="0,0"/>
            <v:stroke on="f" joinstyle="miter"/>
            <v:imagedata r:id="rId74" embosscolor="#FFFFFF" o:title=""/>
            <o:lock v:ext="edit" aspectratio="t"/>
            <w10:wrap type="none"/>
            <w10:anchorlock/>
          </v:shape>
          <o:OLEObject Type="Embed" ProgID="Equation.DSMT4" ShapeID="_x0000_i1037" DrawAspect="Content" ObjectID="_1468075737" r:id="rId73">
            <o:LockedField>false</o:LockedField>
          </o:OLEObject>
        </w:object>
      </w:r>
      <w:r>
        <w:rPr>
          <w:szCs w:val="21"/>
        </w:rPr>
        <w:t>—指向性因子；</w:t>
      </w:r>
    </w:p>
    <w:p w14:paraId="2D9AE360">
      <w:pPr>
        <w:pStyle w:val="117"/>
        <w:ind w:firstLine="480"/>
        <w:rPr>
          <w:szCs w:val="21"/>
        </w:rPr>
      </w:pPr>
      <w:r>
        <w:rPr>
          <w:szCs w:val="21"/>
        </w:rPr>
        <w:t>L</w:t>
      </w:r>
      <w:r>
        <w:rPr>
          <w:szCs w:val="21"/>
          <w:vertAlign w:val="subscript"/>
        </w:rPr>
        <w:t>W</w:t>
      </w:r>
      <w:r>
        <w:rPr>
          <w:szCs w:val="21"/>
        </w:rPr>
        <w:t>—室内声源声功率级，dB；</w:t>
      </w:r>
    </w:p>
    <w:p w14:paraId="2A11A09C">
      <w:pPr>
        <w:pStyle w:val="117"/>
        <w:ind w:firstLine="480"/>
        <w:rPr>
          <w:szCs w:val="21"/>
        </w:rPr>
      </w:pPr>
      <w:r>
        <w:rPr>
          <w:position w:val="-4"/>
          <w:szCs w:val="21"/>
        </w:rPr>
        <w:object>
          <v:shape id="_x0000_i1038" o:spt="75" type="#_x0000_t75" style="height:13.9pt;width:13.9pt;" o:ole="t" filled="f" o:preferrelative="t" stroked="f" coordsize="21600,21600">
            <v:path/>
            <v:fill on="f" focussize="0,0"/>
            <v:stroke on="f" joinstyle="miter"/>
            <v:imagedata r:id="rId76" embosscolor="#FFFFFF" o:title=""/>
            <o:lock v:ext="edit" aspectratio="t"/>
            <w10:wrap type="none"/>
            <w10:anchorlock/>
          </v:shape>
          <o:OLEObject Type="Embed" ProgID="Equation.DSMT4" ShapeID="_x0000_i1038" DrawAspect="Content" ObjectID="_1468075738" r:id="rId75">
            <o:LockedField>false</o:LockedField>
          </o:OLEObject>
        </w:object>
      </w:r>
      <w:r>
        <w:rPr>
          <w:szCs w:val="21"/>
        </w:rPr>
        <w:t>—房间常数；</w:t>
      </w:r>
    </w:p>
    <w:p w14:paraId="014B4622">
      <w:pPr>
        <w:pStyle w:val="117"/>
        <w:ind w:firstLine="480"/>
        <w:rPr>
          <w:szCs w:val="21"/>
        </w:rPr>
      </w:pPr>
      <w:r>
        <w:rPr>
          <w:position w:val="-12"/>
          <w:szCs w:val="21"/>
        </w:rPr>
        <w:object>
          <v:shape id="_x0000_i1039" o:spt="75" type="#_x0000_t75" style="height:22.1pt;width:13.9pt;" o:ole="t" filled="f" o:preferrelative="t" stroked="f" coordsize="21600,21600">
            <v:path/>
            <v:fill on="f" focussize="0,0"/>
            <v:stroke on="f" joinstyle="miter"/>
            <v:imagedata r:id="rId78" embosscolor="#FFFFFF" o:title=""/>
            <o:lock v:ext="edit" aspectratio="t"/>
            <w10:wrap type="none"/>
            <w10:anchorlock/>
          </v:shape>
          <o:OLEObject Type="Embed" ProgID="Equation.DSMT4" ShapeID="_x0000_i1039" DrawAspect="Content" ObjectID="_1468075739" r:id="rId77">
            <o:LockedField>false</o:LockedField>
          </o:OLEObject>
        </w:object>
      </w:r>
      <w:r>
        <w:rPr>
          <w:szCs w:val="21"/>
        </w:rPr>
        <w:t>—声源到靠近围护结构某点处的距离，m。</w:t>
      </w:r>
    </w:p>
    <w:p w14:paraId="3FCE4870">
      <w:pPr>
        <w:pStyle w:val="117"/>
        <w:ind w:firstLine="480"/>
      </w:pPr>
      <w:r>
        <w:t>B. 计算所有室内声源在围护结构处产生的叠加声压级：</w:t>
      </w:r>
    </w:p>
    <w:p w14:paraId="67BDD278">
      <w:pPr>
        <w:pStyle w:val="117"/>
        <w:ind w:firstLine="480"/>
      </w:pPr>
      <w:r>
        <w:rPr>
          <w:position w:val="-30"/>
        </w:rPr>
        <w:object>
          <v:shape id="_x0000_i1040" o:spt="75" type="#_x0000_t75" style="height:36pt;width:121.9pt;" o:ole="t" filled="f" o:preferrelative="t" stroked="f" coordsize="21600,21600">
            <v:path/>
            <v:fill on="f" focussize="0,0"/>
            <v:stroke on="f" joinstyle="miter"/>
            <v:imagedata r:id="rId80" embosscolor="#FFFFFF" o:title=""/>
            <o:lock v:ext="edit" aspectratio="t"/>
            <w10:wrap type="none"/>
            <w10:anchorlock/>
          </v:shape>
          <o:OLEObject Type="Embed" ProgID="Equation.3" ShapeID="_x0000_i1040" DrawAspect="Content" ObjectID="_1468075740" r:id="rId79">
            <o:LockedField>false</o:LockedField>
          </o:OLEObject>
        </w:object>
      </w:r>
    </w:p>
    <w:p w14:paraId="78402C78">
      <w:pPr>
        <w:pStyle w:val="117"/>
        <w:ind w:firstLine="480"/>
        <w:rPr>
          <w:szCs w:val="21"/>
        </w:rPr>
      </w:pPr>
      <w:r>
        <w:t>式中：</w:t>
      </w:r>
      <w:r>
        <w:rPr>
          <w:szCs w:val="21"/>
        </w:rPr>
        <w:t>L</w:t>
      </w:r>
      <w:r>
        <w:rPr>
          <w:szCs w:val="21"/>
          <w:vertAlign w:val="subscript"/>
        </w:rPr>
        <w:t>p1</w:t>
      </w:r>
      <w:r>
        <w:rPr>
          <w:szCs w:val="21"/>
        </w:rPr>
        <w:t>(T)—靠近围护结构处室内N个声源的叠加声压级，dB；</w:t>
      </w:r>
    </w:p>
    <w:p w14:paraId="50F6E07E">
      <w:pPr>
        <w:pStyle w:val="117"/>
        <w:ind w:firstLine="480"/>
        <w:rPr>
          <w:szCs w:val="21"/>
        </w:rPr>
      </w:pPr>
      <w:r>
        <w:rPr>
          <w:szCs w:val="21"/>
        </w:rPr>
        <w:t>L</w:t>
      </w:r>
      <w:r>
        <w:rPr>
          <w:szCs w:val="21"/>
          <w:vertAlign w:val="subscript"/>
        </w:rPr>
        <w:t>p1j</w:t>
      </w:r>
      <w:r>
        <w:rPr>
          <w:szCs w:val="21"/>
        </w:rPr>
        <w:t>(T)—室内j声源声压级，dB；</w:t>
      </w:r>
    </w:p>
    <w:p w14:paraId="2A0F2701">
      <w:pPr>
        <w:pStyle w:val="117"/>
        <w:ind w:firstLine="480"/>
        <w:rPr>
          <w:szCs w:val="21"/>
        </w:rPr>
      </w:pPr>
      <w:r>
        <w:rPr>
          <w:szCs w:val="21"/>
        </w:rPr>
        <w:t>N—室内声源总数。</w:t>
      </w:r>
    </w:p>
    <w:p w14:paraId="2258140D">
      <w:pPr>
        <w:pStyle w:val="117"/>
        <w:ind w:firstLine="480"/>
      </w:pPr>
      <w:r>
        <w:t>C.计算靠近室外</w:t>
      </w:r>
      <w:r>
        <w:rPr>
          <w:rFonts w:hint="eastAsia"/>
        </w:rPr>
        <w:t>围护结构</w:t>
      </w:r>
      <w:r>
        <w:t>处的声压级：</w:t>
      </w:r>
    </w:p>
    <w:p w14:paraId="28060387">
      <w:pPr>
        <w:pStyle w:val="117"/>
        <w:ind w:firstLine="480"/>
      </w:pPr>
      <w:r>
        <w:rPr>
          <w:position w:val="-14"/>
        </w:rPr>
        <w:object>
          <v:shape id="_x0000_i1041" o:spt="75" type="#_x0000_t75" style="height:22.1pt;width:130.1pt;" o:ole="t" filled="f" o:preferrelative="t" stroked="f" coordsize="21600,21600">
            <v:path/>
            <v:fill on="f" focussize="0,0"/>
            <v:stroke on="f" joinstyle="miter"/>
            <v:imagedata r:id="rId82" embosscolor="#FFFFFF" o:title=""/>
            <o:lock v:ext="edit" aspectratio="t"/>
            <w10:wrap type="none"/>
            <w10:anchorlock/>
          </v:shape>
          <o:OLEObject Type="Embed" ProgID="Equation.3" ShapeID="_x0000_i1041" DrawAspect="Content" ObjectID="_1468075741" r:id="rId81">
            <o:LockedField>false</o:LockedField>
          </o:OLEObject>
        </w:object>
      </w:r>
    </w:p>
    <w:p w14:paraId="09C20C7E">
      <w:pPr>
        <w:pStyle w:val="117"/>
        <w:ind w:firstLine="480"/>
        <w:rPr>
          <w:szCs w:val="21"/>
        </w:rPr>
      </w:pPr>
      <w:r>
        <w:t>式中：</w:t>
      </w:r>
      <w:r>
        <w:rPr>
          <w:szCs w:val="21"/>
        </w:rPr>
        <w:t>L</w:t>
      </w:r>
      <w:r>
        <w:rPr>
          <w:szCs w:val="21"/>
          <w:vertAlign w:val="subscript"/>
        </w:rPr>
        <w:t>p2i</w:t>
      </w:r>
      <w:r>
        <w:rPr>
          <w:szCs w:val="21"/>
        </w:rPr>
        <w:t>(T)—靠近围护结构处室内N个声源的叠加声压级，dB；</w:t>
      </w:r>
    </w:p>
    <w:p w14:paraId="7465E4F5">
      <w:pPr>
        <w:pStyle w:val="117"/>
        <w:ind w:firstLine="480"/>
        <w:rPr>
          <w:szCs w:val="21"/>
        </w:rPr>
      </w:pPr>
      <w:r>
        <w:rPr>
          <w:szCs w:val="21"/>
        </w:rPr>
        <w:t>TL—围护结构的隔声量，dB；</w:t>
      </w:r>
    </w:p>
    <w:p w14:paraId="040D8B23">
      <w:pPr>
        <w:pStyle w:val="117"/>
        <w:ind w:firstLine="480"/>
      </w:pPr>
      <w:r>
        <w:t>D.将室外声源的声压级和透过面积换算成等效的室外声源，计算中心位置位于透声面积处的等效声源的声功率级：</w:t>
      </w:r>
    </w:p>
    <w:p w14:paraId="169F6235">
      <w:pPr>
        <w:pStyle w:val="117"/>
        <w:ind w:firstLine="480"/>
      </w:pPr>
      <w:r>
        <w:rPr>
          <w:position w:val="-12"/>
        </w:rPr>
        <w:object>
          <v:shape id="_x0000_i1042" o:spt="75" type="#_x0000_t75" style="height:22.1pt;width:108pt;" o:ole="t" filled="f" o:preferrelative="t" stroked="f" coordsize="21600,21600">
            <v:path/>
            <v:fill on="f" focussize="0,0"/>
            <v:stroke on="f" joinstyle="miter"/>
            <v:imagedata r:id="rId84" embosscolor="#FFFFFF" o:title=""/>
            <o:lock v:ext="edit" aspectratio="t"/>
            <w10:wrap type="none"/>
            <w10:anchorlock/>
          </v:shape>
          <o:OLEObject Type="Embed" ProgID="Equation.3" ShapeID="_x0000_i1042" DrawAspect="Content" ObjectID="_1468075742" r:id="rId83">
            <o:LockedField>false</o:LockedField>
          </o:OLEObject>
        </w:object>
      </w:r>
    </w:p>
    <w:p w14:paraId="7B875056">
      <w:pPr>
        <w:pStyle w:val="117"/>
        <w:ind w:firstLine="480"/>
      </w:pPr>
      <w:r>
        <w:t>E.按室外声源预测方法计算预测点处的声压级。</w:t>
      </w:r>
    </w:p>
    <w:p w14:paraId="1121DF38">
      <w:pPr>
        <w:pStyle w:val="117"/>
        <w:ind w:firstLine="480"/>
      </w:pPr>
      <w:r>
        <w:rPr>
          <w:position w:val="-14"/>
        </w:rPr>
        <w:object>
          <v:shape id="_x0000_i1043" o:spt="75" type="#_x0000_t75" style="height:22.1pt;width:136.65pt;" o:ole="t" filled="f" o:preferrelative="t" stroked="f" coordsize="21600,21600">
            <v:path/>
            <v:fill on="f" focussize="0,0"/>
            <v:stroke on="f" joinstyle="miter"/>
            <v:imagedata r:id="rId86" embosscolor="#FFFFFF" o:title=""/>
            <o:lock v:ext="edit" aspectratio="t"/>
            <w10:wrap type="none"/>
            <w10:anchorlock/>
          </v:shape>
          <o:OLEObject Type="Embed" ProgID="Equation.DSMT4" ShapeID="_x0000_i1043" DrawAspect="Content" ObjectID="_1468075743" r:id="rId85">
            <o:LockedField>false</o:LockedField>
          </o:OLEObject>
        </w:object>
      </w:r>
    </w:p>
    <w:p w14:paraId="5B7D1114">
      <w:pPr>
        <w:pStyle w:val="117"/>
        <w:ind w:firstLine="480"/>
      </w:pPr>
      <w:r>
        <w:t>F. 如预测点在靠近声源处，但不能满足声源条件时，需按线声源或面声源模式计算。</w:t>
      </w:r>
    </w:p>
    <w:p w14:paraId="68050CC5">
      <w:pPr>
        <w:pStyle w:val="117"/>
        <w:ind w:firstLine="480"/>
      </w:pPr>
      <w:r>
        <w:t>（3）总声压级</w:t>
      </w:r>
    </w:p>
    <w:p w14:paraId="24C7DFF9">
      <w:pPr>
        <w:pStyle w:val="117"/>
        <w:ind w:firstLine="480"/>
      </w:pPr>
      <w:r>
        <w:rPr>
          <w:position w:val="-30"/>
        </w:rPr>
        <w:object>
          <v:shape id="_x0000_i1044" o:spt="75" type="#_x0000_t75" style="height:36pt;width:244.65pt;" o:ole="t" filled="f" o:preferrelative="t" stroked="f" coordsize="21600,21600">
            <v:path/>
            <v:fill on="f" focussize="0,0"/>
            <v:stroke on="f" joinstyle="miter"/>
            <v:imagedata r:id="rId88" embosscolor="#FFFFFF" o:title=""/>
            <o:lock v:ext="edit" aspectratio="t"/>
            <w10:wrap type="none"/>
            <w10:anchorlock/>
          </v:shape>
          <o:OLEObject Type="Embed" ProgID="Equation.DSMT4" ShapeID="_x0000_i1044" DrawAspect="Content" ObjectID="_1468075744" r:id="rId87">
            <o:LockedField>false</o:LockedField>
          </o:OLEObject>
        </w:object>
      </w:r>
    </w:p>
    <w:p w14:paraId="22E81758">
      <w:pPr>
        <w:pStyle w:val="117"/>
        <w:ind w:firstLine="480"/>
        <w:rPr>
          <w:szCs w:val="21"/>
        </w:rPr>
      </w:pPr>
      <w:r>
        <w:t>式中</w:t>
      </w:r>
      <w:r>
        <w:rPr>
          <w:rFonts w:hint="eastAsia"/>
        </w:rPr>
        <w:t>：</w:t>
      </w:r>
      <w:r>
        <w:rPr>
          <w:szCs w:val="21"/>
        </w:rPr>
        <w:t xml:space="preserve"> T为计算等效声级的时间；</w:t>
      </w:r>
    </w:p>
    <w:p w14:paraId="3CD4542D">
      <w:pPr>
        <w:pStyle w:val="117"/>
        <w:ind w:firstLine="480"/>
        <w:rPr>
          <w:szCs w:val="21"/>
        </w:rPr>
      </w:pPr>
      <w:r>
        <w:rPr>
          <w:szCs w:val="21"/>
        </w:rPr>
        <w:t>M为室外声源个数；N为室内声源个数；</w:t>
      </w:r>
    </w:p>
    <w:p w14:paraId="38AE0795">
      <w:pPr>
        <w:pStyle w:val="117"/>
        <w:ind w:firstLine="480"/>
        <w:rPr>
          <w:szCs w:val="21"/>
        </w:rPr>
      </w:pPr>
      <w:r>
        <w:rPr>
          <w:position w:val="-14"/>
          <w:szCs w:val="21"/>
        </w:rPr>
        <w:object>
          <v:shape id="_x0000_i1045" o:spt="75" type="#_x0000_t75" style="height:13.9pt;width:22.1pt;" o:ole="t" filled="f" o:preferrelative="t" stroked="f" coordsize="21600,21600">
            <v:path/>
            <v:fill on="f" focussize="0,0"/>
            <v:stroke on="f" joinstyle="miter"/>
            <v:imagedata r:id="rId90" embosscolor="#FFFFFF" o:title=""/>
            <o:lock v:ext="edit" aspectratio="t"/>
            <w10:wrap type="none"/>
            <w10:anchorlock/>
          </v:shape>
          <o:OLEObject Type="Embed" ProgID="Equation.DSMT4" ShapeID="_x0000_i1045" DrawAspect="Content" ObjectID="_1468075745" r:id="rId89">
            <o:LockedField>false</o:LockedField>
          </o:OLEObject>
        </w:object>
      </w:r>
      <w:r>
        <w:rPr>
          <w:szCs w:val="21"/>
        </w:rPr>
        <w:t>为T时间内第i个室外声源的工作时间；</w:t>
      </w:r>
    </w:p>
    <w:p w14:paraId="0765B2AD">
      <w:pPr>
        <w:pStyle w:val="117"/>
        <w:ind w:firstLine="480"/>
        <w:rPr>
          <w:szCs w:val="21"/>
        </w:rPr>
      </w:pPr>
      <w:r>
        <w:rPr>
          <w:position w:val="-14"/>
          <w:szCs w:val="21"/>
        </w:rPr>
        <w:object>
          <v:shape id="_x0000_i1046" o:spt="75" type="#_x0000_t75" style="height:22.1pt;width:22.1pt;" o:ole="t" filled="f" o:preferrelative="t" stroked="f" coordsize="21600,21600">
            <v:path/>
            <v:fill on="f" focussize="0,0"/>
            <v:stroke on="f" joinstyle="miter"/>
            <v:imagedata r:id="rId92" embosscolor="#FFFFFF" o:title=""/>
            <o:lock v:ext="edit" aspectratio="t"/>
            <w10:wrap type="none"/>
            <w10:anchorlock/>
          </v:shape>
          <o:OLEObject Type="Embed" ProgID="Equation.DSMT4" ShapeID="_x0000_i1046" DrawAspect="Content" ObjectID="_1468075746" r:id="rId91">
            <o:LockedField>false</o:LockedField>
          </o:OLEObject>
        </w:object>
      </w:r>
      <w:r>
        <w:rPr>
          <w:szCs w:val="21"/>
        </w:rPr>
        <w:t>为T时间内第j个室内声源的工作时间。</w:t>
      </w:r>
    </w:p>
    <w:p w14:paraId="63845EA1">
      <w:pPr>
        <w:pStyle w:val="117"/>
        <w:ind w:firstLine="480"/>
        <w:rPr>
          <w:szCs w:val="21"/>
        </w:rPr>
      </w:pPr>
      <w:r>
        <w:rPr>
          <w:szCs w:val="21"/>
        </w:rPr>
        <w:object>
          <v:shape id="_x0000_i1047" o:spt="75" type="#_x0000_t75" style="height:22.1pt;width:22.1pt;" o:ole="t" filled="f" o:preferrelative="t" stroked="f" coordsize="21600,21600">
            <v:path/>
            <v:fill on="f" focussize="0,0"/>
            <v:stroke on="f" joinstyle="miter"/>
            <v:imagedata r:id="rId94" embosscolor="#FFFFFF" o:title=""/>
            <o:lock v:ext="edit" aspectratio="t"/>
            <w10:wrap type="none"/>
            <w10:anchorlock/>
          </v:shape>
          <o:OLEObject Type="Embed" ProgID="Equation.DSMT4" ShapeID="_x0000_i1047" DrawAspect="Content" ObjectID="_1468075747" r:id="rId93">
            <o:LockedField>false</o:LockedField>
          </o:OLEObject>
        </w:object>
      </w:r>
      <w:r>
        <w:rPr>
          <w:szCs w:val="21"/>
        </w:rPr>
        <w:t>和</w:t>
      </w:r>
      <w:r>
        <w:rPr>
          <w:szCs w:val="21"/>
        </w:rPr>
        <w:object>
          <v:shape id="_x0000_i1048" o:spt="75" type="#_x0000_t75" style="height:22.1pt;width:13.9pt;" o:ole="t" filled="f" o:preferrelative="t" stroked="f" coordsize="21600,21600">
            <v:path/>
            <v:fill on="f" focussize="0,0"/>
            <v:stroke on="f" joinstyle="miter"/>
            <v:imagedata r:id="rId96" embosscolor="#FFFFFF" o:title=""/>
            <o:lock v:ext="edit" aspectratio="t"/>
            <w10:wrap type="none"/>
            <w10:anchorlock/>
          </v:shape>
          <o:OLEObject Type="Embed" ProgID="Equation.DSMT4" ShapeID="_x0000_i1048" DrawAspect="Content" ObjectID="_1468075748" r:id="rId95">
            <o:LockedField>false</o:LockedField>
          </o:OLEObject>
        </w:object>
      </w:r>
      <w:r>
        <w:rPr>
          <w:szCs w:val="21"/>
        </w:rPr>
        <w:t>均按T时间内实际工作时间计算。</w:t>
      </w:r>
    </w:p>
    <w:p w14:paraId="682F20C6">
      <w:pPr>
        <w:pStyle w:val="138"/>
        <w:ind w:firstLine="480"/>
        <w:rPr>
          <w:rFonts w:hint="eastAsia"/>
        </w:rPr>
      </w:pPr>
      <w:r>
        <w:rPr>
          <w:rFonts w:hint="eastAsia"/>
        </w:rPr>
        <w:t>声环境影响预测结果及分析</w:t>
      </w:r>
    </w:p>
    <w:p w14:paraId="73094769">
      <w:pPr>
        <w:ind w:firstLine="480"/>
      </w:pPr>
      <w:r>
        <w:t>根据对声环境现状的监测结果，并叠加本项目建成后对周围声环境的贡献值，便得到厂界噪声叠加值，</w:t>
      </w:r>
      <w:r>
        <w:rPr>
          <w:rFonts w:hint="eastAsia"/>
        </w:rPr>
        <w:t>声环境影响</w:t>
      </w:r>
      <w:r>
        <w:t>预测结果见表</w:t>
      </w:r>
      <w:r>
        <w:rPr>
          <w:rFonts w:hint="eastAsia"/>
        </w:rPr>
        <w:t>5.5</w:t>
      </w:r>
      <w:r>
        <w:t>-</w:t>
      </w:r>
      <w:r>
        <w:rPr>
          <w:rFonts w:hint="eastAsia"/>
        </w:rPr>
        <w:t>3</w:t>
      </w:r>
      <w:r>
        <w:t>。</w:t>
      </w:r>
    </w:p>
    <w:p w14:paraId="46056E2C">
      <w:pPr>
        <w:ind w:firstLine="480"/>
        <w:sectPr>
          <w:pgSz w:w="11906" w:h="16838"/>
          <w:pgMar w:top="1440" w:right="1800" w:bottom="1440" w:left="1800" w:header="851" w:footer="992" w:gutter="0"/>
          <w:cols w:space="425" w:num="1"/>
          <w:docGrid w:type="lines" w:linePitch="312" w:charSpace="0"/>
        </w:sectPr>
      </w:pPr>
    </w:p>
    <w:p w14:paraId="59605E88">
      <w:pPr>
        <w:pStyle w:val="118"/>
        <w:ind w:firstLine="480"/>
      </w:pPr>
      <w:r>
        <w:t>表</w:t>
      </w:r>
      <w:r>
        <w:rPr>
          <w:rFonts w:hint="eastAsia"/>
        </w:rPr>
        <w:t>5.5</w:t>
      </w:r>
      <w:r>
        <w:t>-</w:t>
      </w:r>
      <w:r>
        <w:rPr>
          <w:rFonts w:hint="eastAsia"/>
        </w:rPr>
        <w:t>3</w:t>
      </w:r>
      <w:r>
        <w:t xml:space="preserve">  </w:t>
      </w:r>
      <w:r>
        <w:rPr>
          <w:rFonts w:hint="eastAsia"/>
        </w:rPr>
        <w:t>项目</w:t>
      </w:r>
      <w:r>
        <w:t>厂界噪声预测结果</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020"/>
        <w:gridCol w:w="1394"/>
        <w:gridCol w:w="1394"/>
        <w:gridCol w:w="1394"/>
        <w:gridCol w:w="1541"/>
        <w:gridCol w:w="1431"/>
        <w:gridCol w:w="1431"/>
        <w:gridCol w:w="1431"/>
        <w:gridCol w:w="1432"/>
      </w:tblGrid>
      <w:tr w14:paraId="63A0C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4" w:type="dxa"/>
            <w:noWrap/>
            <w:vAlign w:val="center"/>
          </w:tcPr>
          <w:p w14:paraId="61176B5C">
            <w:pPr>
              <w:pStyle w:val="133"/>
              <w:rPr>
                <w:b/>
                <w:bCs/>
              </w:rPr>
            </w:pPr>
            <w:r>
              <w:rPr>
                <w:rFonts w:hint="eastAsia"/>
                <w:b/>
                <w:bCs/>
              </w:rPr>
              <w:t>序号</w:t>
            </w:r>
          </w:p>
        </w:tc>
        <w:tc>
          <w:tcPr>
            <w:tcW w:w="1985" w:type="dxa"/>
            <w:noWrap/>
            <w:vAlign w:val="center"/>
          </w:tcPr>
          <w:p w14:paraId="5A7E8E19">
            <w:pPr>
              <w:pStyle w:val="133"/>
              <w:rPr>
                <w:b/>
                <w:bCs/>
              </w:rPr>
            </w:pPr>
            <w:r>
              <w:rPr>
                <w:rFonts w:hint="eastAsia"/>
                <w:b/>
                <w:bCs/>
              </w:rPr>
              <w:t>点名称</w:t>
            </w:r>
          </w:p>
        </w:tc>
        <w:tc>
          <w:tcPr>
            <w:tcW w:w="1370" w:type="dxa"/>
            <w:noWrap/>
            <w:vAlign w:val="center"/>
          </w:tcPr>
          <w:p w14:paraId="441E4194">
            <w:pPr>
              <w:pStyle w:val="133"/>
              <w:rPr>
                <w:b/>
                <w:bCs/>
              </w:rPr>
            </w:pPr>
            <w:r>
              <w:rPr>
                <w:rFonts w:hint="eastAsia"/>
                <w:b/>
                <w:bCs/>
              </w:rPr>
              <w:t>定义坐标</w:t>
            </w:r>
          </w:p>
          <w:p w14:paraId="57C6A534">
            <w:pPr>
              <w:pStyle w:val="133"/>
              <w:rPr>
                <w:b/>
                <w:bCs/>
              </w:rPr>
            </w:pPr>
            <w:r>
              <w:rPr>
                <w:rFonts w:hint="eastAsia"/>
                <w:b/>
                <w:bCs/>
              </w:rPr>
              <w:t>(x,y)</w:t>
            </w:r>
          </w:p>
        </w:tc>
        <w:tc>
          <w:tcPr>
            <w:tcW w:w="1370" w:type="dxa"/>
            <w:noWrap/>
            <w:vAlign w:val="center"/>
          </w:tcPr>
          <w:p w14:paraId="7ABC9EF1">
            <w:pPr>
              <w:pStyle w:val="133"/>
              <w:rPr>
                <w:b/>
                <w:bCs/>
              </w:rPr>
            </w:pPr>
            <w:r>
              <w:rPr>
                <w:rFonts w:hint="eastAsia"/>
                <w:b/>
                <w:bCs/>
              </w:rPr>
              <w:t>地面高程</w:t>
            </w:r>
          </w:p>
          <w:p w14:paraId="312A88B3">
            <w:pPr>
              <w:pStyle w:val="133"/>
              <w:rPr>
                <w:b/>
                <w:bCs/>
              </w:rPr>
            </w:pPr>
            <w:r>
              <w:rPr>
                <w:rFonts w:hint="eastAsia"/>
                <w:b/>
                <w:bCs/>
              </w:rPr>
              <w:t>(m)</w:t>
            </w:r>
          </w:p>
        </w:tc>
        <w:tc>
          <w:tcPr>
            <w:tcW w:w="1370" w:type="dxa"/>
            <w:noWrap/>
            <w:vAlign w:val="center"/>
          </w:tcPr>
          <w:p w14:paraId="47CB0C53">
            <w:pPr>
              <w:pStyle w:val="133"/>
              <w:rPr>
                <w:b/>
                <w:bCs/>
              </w:rPr>
            </w:pPr>
            <w:r>
              <w:rPr>
                <w:rFonts w:hint="eastAsia"/>
                <w:b/>
                <w:bCs/>
              </w:rPr>
              <w:t>离地高度</w:t>
            </w:r>
          </w:p>
          <w:p w14:paraId="53A4A910">
            <w:pPr>
              <w:pStyle w:val="133"/>
              <w:rPr>
                <w:b/>
                <w:bCs/>
              </w:rPr>
            </w:pPr>
            <w:r>
              <w:rPr>
                <w:rFonts w:hint="eastAsia"/>
                <w:b/>
                <w:bCs/>
              </w:rPr>
              <w:t>(m)</w:t>
            </w:r>
          </w:p>
        </w:tc>
        <w:tc>
          <w:tcPr>
            <w:tcW w:w="1514" w:type="dxa"/>
            <w:noWrap/>
            <w:vAlign w:val="center"/>
          </w:tcPr>
          <w:p w14:paraId="6EF6ADA4">
            <w:pPr>
              <w:pStyle w:val="133"/>
              <w:rPr>
                <w:b/>
                <w:bCs/>
              </w:rPr>
            </w:pPr>
            <w:r>
              <w:rPr>
                <w:rFonts w:hint="eastAsia"/>
                <w:b/>
                <w:bCs/>
              </w:rPr>
              <w:t>噪声时段</w:t>
            </w:r>
          </w:p>
        </w:tc>
        <w:tc>
          <w:tcPr>
            <w:tcW w:w="1406" w:type="dxa"/>
            <w:noWrap/>
            <w:vAlign w:val="center"/>
          </w:tcPr>
          <w:p w14:paraId="08705CD3">
            <w:pPr>
              <w:pStyle w:val="133"/>
              <w:rPr>
                <w:b/>
                <w:bCs/>
              </w:rPr>
            </w:pPr>
            <w:r>
              <w:rPr>
                <w:rFonts w:hint="eastAsia"/>
                <w:b/>
                <w:bCs/>
              </w:rPr>
              <w:t>贡献值</w:t>
            </w:r>
          </w:p>
          <w:p w14:paraId="59A5C206">
            <w:pPr>
              <w:pStyle w:val="133"/>
              <w:rPr>
                <w:b/>
                <w:bCs/>
              </w:rPr>
            </w:pPr>
            <w:r>
              <w:rPr>
                <w:rFonts w:hint="eastAsia"/>
                <w:b/>
                <w:bCs/>
              </w:rPr>
              <w:t>dB（A）</w:t>
            </w:r>
          </w:p>
        </w:tc>
        <w:tc>
          <w:tcPr>
            <w:tcW w:w="1406" w:type="dxa"/>
            <w:noWrap/>
            <w:vAlign w:val="center"/>
          </w:tcPr>
          <w:p w14:paraId="471142EF">
            <w:pPr>
              <w:pStyle w:val="133"/>
              <w:rPr>
                <w:b/>
                <w:bCs/>
              </w:rPr>
            </w:pPr>
            <w:r>
              <w:rPr>
                <w:rFonts w:hint="eastAsia"/>
                <w:b/>
                <w:bCs/>
              </w:rPr>
              <w:t>评价标准</w:t>
            </w:r>
          </w:p>
          <w:p w14:paraId="7C41B418">
            <w:pPr>
              <w:pStyle w:val="133"/>
              <w:rPr>
                <w:b/>
                <w:bCs/>
              </w:rPr>
            </w:pPr>
            <w:r>
              <w:rPr>
                <w:rFonts w:hint="eastAsia"/>
                <w:b/>
                <w:bCs/>
              </w:rPr>
              <w:t>dB（A）</w:t>
            </w:r>
          </w:p>
        </w:tc>
        <w:tc>
          <w:tcPr>
            <w:tcW w:w="1406" w:type="dxa"/>
            <w:noWrap/>
            <w:vAlign w:val="center"/>
          </w:tcPr>
          <w:p w14:paraId="7FA704C9">
            <w:pPr>
              <w:pStyle w:val="133"/>
              <w:rPr>
                <w:b/>
                <w:bCs/>
              </w:rPr>
            </w:pPr>
            <w:r>
              <w:rPr>
                <w:rFonts w:hint="eastAsia"/>
                <w:b/>
                <w:bCs/>
              </w:rPr>
              <w:t>占标率%</w:t>
            </w:r>
          </w:p>
        </w:tc>
        <w:tc>
          <w:tcPr>
            <w:tcW w:w="1407" w:type="dxa"/>
            <w:noWrap/>
            <w:vAlign w:val="center"/>
          </w:tcPr>
          <w:p w14:paraId="456F8DD4">
            <w:pPr>
              <w:pStyle w:val="133"/>
              <w:rPr>
                <w:b/>
                <w:bCs/>
              </w:rPr>
            </w:pPr>
            <w:r>
              <w:rPr>
                <w:rFonts w:hint="eastAsia"/>
                <w:b/>
                <w:bCs/>
              </w:rPr>
              <w:t>是否超标</w:t>
            </w:r>
          </w:p>
        </w:tc>
      </w:tr>
      <w:tr w14:paraId="706F9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4" w:type="dxa"/>
            <w:noWrap/>
            <w:vAlign w:val="center"/>
          </w:tcPr>
          <w:p w14:paraId="2ADC515F">
            <w:pPr>
              <w:pStyle w:val="133"/>
            </w:pPr>
            <w:r>
              <w:rPr>
                <w:rFonts w:hint="eastAsia"/>
              </w:rPr>
              <w:t>1</w:t>
            </w:r>
          </w:p>
        </w:tc>
        <w:tc>
          <w:tcPr>
            <w:tcW w:w="1985" w:type="dxa"/>
            <w:noWrap/>
            <w:vAlign w:val="center"/>
          </w:tcPr>
          <w:p w14:paraId="612A7F01">
            <w:pPr>
              <w:pStyle w:val="133"/>
            </w:pPr>
            <w:r>
              <w:rPr>
                <w:rFonts w:hint="eastAsia"/>
              </w:rPr>
              <w:t>北</w:t>
            </w:r>
          </w:p>
        </w:tc>
        <w:tc>
          <w:tcPr>
            <w:tcW w:w="1370" w:type="dxa"/>
            <w:noWrap/>
            <w:vAlign w:val="center"/>
          </w:tcPr>
          <w:p w14:paraId="36572CDE">
            <w:pPr>
              <w:pStyle w:val="133"/>
            </w:pPr>
            <w:r>
              <w:rPr>
                <w:rFonts w:hint="eastAsia"/>
              </w:rPr>
              <w:t>-206,238</w:t>
            </w:r>
          </w:p>
        </w:tc>
        <w:tc>
          <w:tcPr>
            <w:tcW w:w="1370" w:type="dxa"/>
            <w:noWrap/>
            <w:vAlign w:val="center"/>
          </w:tcPr>
          <w:p w14:paraId="496122E1">
            <w:pPr>
              <w:pStyle w:val="133"/>
            </w:pPr>
            <w:r>
              <w:rPr>
                <w:rFonts w:hint="eastAsia"/>
              </w:rPr>
              <w:t>694.71</w:t>
            </w:r>
          </w:p>
        </w:tc>
        <w:tc>
          <w:tcPr>
            <w:tcW w:w="1370" w:type="dxa"/>
            <w:noWrap/>
            <w:vAlign w:val="center"/>
          </w:tcPr>
          <w:p w14:paraId="2E83F099">
            <w:pPr>
              <w:pStyle w:val="133"/>
            </w:pPr>
            <w:r>
              <w:rPr>
                <w:rFonts w:hint="eastAsia"/>
              </w:rPr>
              <w:t>0</w:t>
            </w:r>
          </w:p>
        </w:tc>
        <w:tc>
          <w:tcPr>
            <w:tcW w:w="1514" w:type="dxa"/>
            <w:noWrap/>
            <w:vAlign w:val="center"/>
          </w:tcPr>
          <w:p w14:paraId="16B1F5C7">
            <w:pPr>
              <w:pStyle w:val="133"/>
            </w:pPr>
            <w:r>
              <w:rPr>
                <w:rFonts w:hint="eastAsia"/>
              </w:rPr>
              <w:t>昼夜等效噪声</w:t>
            </w:r>
          </w:p>
        </w:tc>
        <w:tc>
          <w:tcPr>
            <w:tcW w:w="1406" w:type="dxa"/>
            <w:noWrap/>
            <w:vAlign w:val="center"/>
          </w:tcPr>
          <w:p w14:paraId="442E7EC0">
            <w:pPr>
              <w:pStyle w:val="133"/>
            </w:pPr>
            <w:r>
              <w:rPr>
                <w:rFonts w:hint="eastAsia"/>
              </w:rPr>
              <w:t>36.87</w:t>
            </w:r>
          </w:p>
        </w:tc>
        <w:tc>
          <w:tcPr>
            <w:tcW w:w="1406" w:type="dxa"/>
            <w:noWrap/>
            <w:vAlign w:val="center"/>
          </w:tcPr>
          <w:p w14:paraId="46C17313">
            <w:pPr>
              <w:pStyle w:val="133"/>
            </w:pPr>
            <w:r>
              <w:rPr>
                <w:rFonts w:hint="eastAsia"/>
              </w:rPr>
              <w:t>55</w:t>
            </w:r>
          </w:p>
        </w:tc>
        <w:tc>
          <w:tcPr>
            <w:tcW w:w="1406" w:type="dxa"/>
            <w:noWrap/>
            <w:vAlign w:val="center"/>
          </w:tcPr>
          <w:p w14:paraId="06688C41">
            <w:pPr>
              <w:pStyle w:val="133"/>
            </w:pPr>
            <w:r>
              <w:rPr>
                <w:rFonts w:hint="eastAsia"/>
              </w:rPr>
              <w:t>67.04</w:t>
            </w:r>
          </w:p>
        </w:tc>
        <w:tc>
          <w:tcPr>
            <w:tcW w:w="1407" w:type="dxa"/>
            <w:noWrap/>
            <w:vAlign w:val="center"/>
          </w:tcPr>
          <w:p w14:paraId="73D93FC0">
            <w:pPr>
              <w:pStyle w:val="133"/>
            </w:pPr>
            <w:r>
              <w:rPr>
                <w:rFonts w:hint="eastAsia"/>
              </w:rPr>
              <w:t>达标</w:t>
            </w:r>
          </w:p>
        </w:tc>
      </w:tr>
      <w:tr w14:paraId="353C2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4" w:type="dxa"/>
            <w:noWrap/>
            <w:vAlign w:val="center"/>
          </w:tcPr>
          <w:p w14:paraId="038F6E66">
            <w:pPr>
              <w:pStyle w:val="133"/>
            </w:pPr>
            <w:r>
              <w:rPr>
                <w:rFonts w:hint="eastAsia"/>
              </w:rPr>
              <w:t>2</w:t>
            </w:r>
          </w:p>
        </w:tc>
        <w:tc>
          <w:tcPr>
            <w:tcW w:w="1985" w:type="dxa"/>
            <w:noWrap/>
            <w:vAlign w:val="center"/>
          </w:tcPr>
          <w:p w14:paraId="308AF108">
            <w:pPr>
              <w:pStyle w:val="133"/>
            </w:pPr>
            <w:r>
              <w:rPr>
                <w:rFonts w:hint="eastAsia"/>
              </w:rPr>
              <w:t>东</w:t>
            </w:r>
          </w:p>
        </w:tc>
        <w:tc>
          <w:tcPr>
            <w:tcW w:w="1370" w:type="dxa"/>
            <w:noWrap/>
            <w:vAlign w:val="center"/>
          </w:tcPr>
          <w:p w14:paraId="5D4D9FAA">
            <w:pPr>
              <w:pStyle w:val="133"/>
            </w:pPr>
            <w:r>
              <w:rPr>
                <w:rFonts w:hint="eastAsia"/>
              </w:rPr>
              <w:t>595,-44</w:t>
            </w:r>
          </w:p>
        </w:tc>
        <w:tc>
          <w:tcPr>
            <w:tcW w:w="1370" w:type="dxa"/>
            <w:noWrap/>
            <w:vAlign w:val="center"/>
          </w:tcPr>
          <w:p w14:paraId="05F31BD8">
            <w:pPr>
              <w:pStyle w:val="133"/>
            </w:pPr>
            <w:r>
              <w:rPr>
                <w:rFonts w:hint="eastAsia"/>
              </w:rPr>
              <w:t>694.02</w:t>
            </w:r>
          </w:p>
        </w:tc>
        <w:tc>
          <w:tcPr>
            <w:tcW w:w="1370" w:type="dxa"/>
            <w:noWrap/>
            <w:vAlign w:val="center"/>
          </w:tcPr>
          <w:p w14:paraId="5A7FF433">
            <w:pPr>
              <w:pStyle w:val="133"/>
            </w:pPr>
            <w:r>
              <w:rPr>
                <w:rFonts w:hint="eastAsia"/>
              </w:rPr>
              <w:t>0</w:t>
            </w:r>
          </w:p>
        </w:tc>
        <w:tc>
          <w:tcPr>
            <w:tcW w:w="1514" w:type="dxa"/>
            <w:noWrap/>
            <w:vAlign w:val="center"/>
          </w:tcPr>
          <w:p w14:paraId="79C83459">
            <w:pPr>
              <w:pStyle w:val="133"/>
            </w:pPr>
            <w:r>
              <w:rPr>
                <w:rFonts w:hint="eastAsia"/>
              </w:rPr>
              <w:t>昼夜等效噪声</w:t>
            </w:r>
          </w:p>
        </w:tc>
        <w:tc>
          <w:tcPr>
            <w:tcW w:w="1406" w:type="dxa"/>
            <w:noWrap/>
            <w:vAlign w:val="center"/>
          </w:tcPr>
          <w:p w14:paraId="108D22C9">
            <w:pPr>
              <w:pStyle w:val="133"/>
            </w:pPr>
            <w:r>
              <w:rPr>
                <w:rFonts w:hint="eastAsia"/>
              </w:rPr>
              <w:t>37.91</w:t>
            </w:r>
          </w:p>
        </w:tc>
        <w:tc>
          <w:tcPr>
            <w:tcW w:w="1406" w:type="dxa"/>
            <w:noWrap/>
            <w:vAlign w:val="center"/>
          </w:tcPr>
          <w:p w14:paraId="117C3497">
            <w:pPr>
              <w:pStyle w:val="133"/>
            </w:pPr>
            <w:r>
              <w:rPr>
                <w:rFonts w:hint="eastAsia"/>
              </w:rPr>
              <w:t>55</w:t>
            </w:r>
          </w:p>
        </w:tc>
        <w:tc>
          <w:tcPr>
            <w:tcW w:w="1406" w:type="dxa"/>
            <w:noWrap/>
            <w:vAlign w:val="center"/>
          </w:tcPr>
          <w:p w14:paraId="64FA47D7">
            <w:pPr>
              <w:pStyle w:val="133"/>
            </w:pPr>
            <w:r>
              <w:rPr>
                <w:rFonts w:hint="eastAsia"/>
              </w:rPr>
              <w:t>68.93</w:t>
            </w:r>
          </w:p>
        </w:tc>
        <w:tc>
          <w:tcPr>
            <w:tcW w:w="1407" w:type="dxa"/>
            <w:noWrap/>
            <w:vAlign w:val="center"/>
          </w:tcPr>
          <w:p w14:paraId="70A2EBC7">
            <w:pPr>
              <w:pStyle w:val="133"/>
            </w:pPr>
            <w:r>
              <w:rPr>
                <w:rFonts w:hint="eastAsia"/>
              </w:rPr>
              <w:t>达标</w:t>
            </w:r>
          </w:p>
        </w:tc>
      </w:tr>
      <w:tr w14:paraId="58256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4" w:type="dxa"/>
            <w:noWrap/>
            <w:vAlign w:val="center"/>
          </w:tcPr>
          <w:p w14:paraId="5FD6973B">
            <w:pPr>
              <w:pStyle w:val="133"/>
            </w:pPr>
            <w:r>
              <w:rPr>
                <w:rFonts w:hint="eastAsia"/>
              </w:rPr>
              <w:t>3</w:t>
            </w:r>
          </w:p>
        </w:tc>
        <w:tc>
          <w:tcPr>
            <w:tcW w:w="1985" w:type="dxa"/>
            <w:noWrap/>
            <w:vAlign w:val="center"/>
          </w:tcPr>
          <w:p w14:paraId="4674A479">
            <w:pPr>
              <w:pStyle w:val="133"/>
            </w:pPr>
            <w:r>
              <w:rPr>
                <w:rFonts w:hint="eastAsia"/>
              </w:rPr>
              <w:t>南</w:t>
            </w:r>
          </w:p>
        </w:tc>
        <w:tc>
          <w:tcPr>
            <w:tcW w:w="1370" w:type="dxa"/>
            <w:noWrap/>
            <w:vAlign w:val="center"/>
          </w:tcPr>
          <w:p w14:paraId="03D6A155">
            <w:pPr>
              <w:pStyle w:val="133"/>
            </w:pPr>
            <w:r>
              <w:rPr>
                <w:rFonts w:hint="eastAsia"/>
              </w:rPr>
              <w:t>-72,-230</w:t>
            </w:r>
          </w:p>
        </w:tc>
        <w:tc>
          <w:tcPr>
            <w:tcW w:w="1370" w:type="dxa"/>
            <w:noWrap/>
            <w:vAlign w:val="center"/>
          </w:tcPr>
          <w:p w14:paraId="5BF7F885">
            <w:pPr>
              <w:pStyle w:val="133"/>
            </w:pPr>
            <w:r>
              <w:rPr>
                <w:rFonts w:hint="eastAsia"/>
              </w:rPr>
              <w:t>692.78</w:t>
            </w:r>
          </w:p>
        </w:tc>
        <w:tc>
          <w:tcPr>
            <w:tcW w:w="1370" w:type="dxa"/>
            <w:noWrap/>
            <w:vAlign w:val="center"/>
          </w:tcPr>
          <w:p w14:paraId="5305DA76">
            <w:pPr>
              <w:pStyle w:val="133"/>
            </w:pPr>
            <w:r>
              <w:rPr>
                <w:rFonts w:hint="eastAsia"/>
              </w:rPr>
              <w:t>0</w:t>
            </w:r>
          </w:p>
        </w:tc>
        <w:tc>
          <w:tcPr>
            <w:tcW w:w="1514" w:type="dxa"/>
            <w:noWrap/>
            <w:vAlign w:val="center"/>
          </w:tcPr>
          <w:p w14:paraId="229ABA09">
            <w:pPr>
              <w:pStyle w:val="133"/>
            </w:pPr>
            <w:r>
              <w:rPr>
                <w:rFonts w:hint="eastAsia"/>
              </w:rPr>
              <w:t>昼夜等效噪声</w:t>
            </w:r>
          </w:p>
        </w:tc>
        <w:tc>
          <w:tcPr>
            <w:tcW w:w="1406" w:type="dxa"/>
            <w:noWrap/>
            <w:vAlign w:val="center"/>
          </w:tcPr>
          <w:p w14:paraId="24DFA497">
            <w:pPr>
              <w:pStyle w:val="133"/>
            </w:pPr>
            <w:r>
              <w:rPr>
                <w:rFonts w:hint="eastAsia"/>
              </w:rPr>
              <w:t>40.61</w:t>
            </w:r>
          </w:p>
        </w:tc>
        <w:tc>
          <w:tcPr>
            <w:tcW w:w="1406" w:type="dxa"/>
            <w:noWrap/>
            <w:vAlign w:val="center"/>
          </w:tcPr>
          <w:p w14:paraId="32BA0CF9">
            <w:pPr>
              <w:pStyle w:val="133"/>
            </w:pPr>
            <w:r>
              <w:rPr>
                <w:rFonts w:hint="eastAsia"/>
              </w:rPr>
              <w:t>55</w:t>
            </w:r>
          </w:p>
        </w:tc>
        <w:tc>
          <w:tcPr>
            <w:tcW w:w="1406" w:type="dxa"/>
            <w:noWrap/>
            <w:vAlign w:val="center"/>
          </w:tcPr>
          <w:p w14:paraId="26907750">
            <w:pPr>
              <w:pStyle w:val="133"/>
            </w:pPr>
            <w:r>
              <w:rPr>
                <w:rFonts w:hint="eastAsia"/>
              </w:rPr>
              <w:t>73.84</w:t>
            </w:r>
          </w:p>
        </w:tc>
        <w:tc>
          <w:tcPr>
            <w:tcW w:w="1407" w:type="dxa"/>
            <w:noWrap/>
            <w:vAlign w:val="center"/>
          </w:tcPr>
          <w:p w14:paraId="0F3DFD26">
            <w:pPr>
              <w:pStyle w:val="133"/>
            </w:pPr>
            <w:r>
              <w:rPr>
                <w:rFonts w:hint="eastAsia"/>
              </w:rPr>
              <w:t>达标</w:t>
            </w:r>
          </w:p>
        </w:tc>
      </w:tr>
      <w:tr w14:paraId="1AE5F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4" w:type="dxa"/>
            <w:noWrap/>
            <w:vAlign w:val="center"/>
          </w:tcPr>
          <w:p w14:paraId="2CF09288">
            <w:pPr>
              <w:pStyle w:val="133"/>
            </w:pPr>
            <w:r>
              <w:rPr>
                <w:rFonts w:hint="eastAsia"/>
              </w:rPr>
              <w:t>4</w:t>
            </w:r>
          </w:p>
        </w:tc>
        <w:tc>
          <w:tcPr>
            <w:tcW w:w="1985" w:type="dxa"/>
            <w:noWrap/>
            <w:vAlign w:val="center"/>
          </w:tcPr>
          <w:p w14:paraId="243244F3">
            <w:pPr>
              <w:pStyle w:val="133"/>
            </w:pPr>
            <w:r>
              <w:rPr>
                <w:rFonts w:hint="eastAsia"/>
              </w:rPr>
              <w:t>西</w:t>
            </w:r>
          </w:p>
        </w:tc>
        <w:tc>
          <w:tcPr>
            <w:tcW w:w="1370" w:type="dxa"/>
            <w:noWrap/>
            <w:vAlign w:val="center"/>
          </w:tcPr>
          <w:p w14:paraId="378BD414">
            <w:pPr>
              <w:pStyle w:val="133"/>
            </w:pPr>
            <w:r>
              <w:rPr>
                <w:rFonts w:hint="eastAsia"/>
              </w:rPr>
              <w:t>-747,17</w:t>
            </w:r>
          </w:p>
        </w:tc>
        <w:tc>
          <w:tcPr>
            <w:tcW w:w="1370" w:type="dxa"/>
            <w:noWrap/>
            <w:vAlign w:val="center"/>
          </w:tcPr>
          <w:p w14:paraId="0A53C6C8">
            <w:pPr>
              <w:pStyle w:val="133"/>
            </w:pPr>
            <w:r>
              <w:rPr>
                <w:rFonts w:hint="eastAsia"/>
              </w:rPr>
              <w:t>694.37</w:t>
            </w:r>
          </w:p>
        </w:tc>
        <w:tc>
          <w:tcPr>
            <w:tcW w:w="1370" w:type="dxa"/>
            <w:noWrap/>
            <w:vAlign w:val="center"/>
          </w:tcPr>
          <w:p w14:paraId="4AFD8D05">
            <w:pPr>
              <w:pStyle w:val="133"/>
            </w:pPr>
            <w:r>
              <w:rPr>
                <w:rFonts w:hint="eastAsia"/>
              </w:rPr>
              <w:t>0</w:t>
            </w:r>
          </w:p>
        </w:tc>
        <w:tc>
          <w:tcPr>
            <w:tcW w:w="1514" w:type="dxa"/>
            <w:noWrap/>
            <w:vAlign w:val="center"/>
          </w:tcPr>
          <w:p w14:paraId="7C17D2A7">
            <w:pPr>
              <w:pStyle w:val="133"/>
            </w:pPr>
            <w:r>
              <w:rPr>
                <w:rFonts w:hint="eastAsia"/>
              </w:rPr>
              <w:t>昼夜等效噪声</w:t>
            </w:r>
          </w:p>
        </w:tc>
        <w:tc>
          <w:tcPr>
            <w:tcW w:w="1406" w:type="dxa"/>
            <w:noWrap/>
            <w:vAlign w:val="center"/>
          </w:tcPr>
          <w:p w14:paraId="38F948B4">
            <w:pPr>
              <w:pStyle w:val="133"/>
            </w:pPr>
            <w:r>
              <w:rPr>
                <w:rFonts w:hint="eastAsia"/>
              </w:rPr>
              <w:t>31.35</w:t>
            </w:r>
          </w:p>
        </w:tc>
        <w:tc>
          <w:tcPr>
            <w:tcW w:w="1406" w:type="dxa"/>
            <w:noWrap/>
            <w:vAlign w:val="center"/>
          </w:tcPr>
          <w:p w14:paraId="4E66FAEE">
            <w:pPr>
              <w:pStyle w:val="133"/>
            </w:pPr>
            <w:r>
              <w:rPr>
                <w:rFonts w:hint="eastAsia"/>
              </w:rPr>
              <w:t>55</w:t>
            </w:r>
          </w:p>
        </w:tc>
        <w:tc>
          <w:tcPr>
            <w:tcW w:w="1406" w:type="dxa"/>
            <w:noWrap/>
            <w:vAlign w:val="center"/>
          </w:tcPr>
          <w:p w14:paraId="5FB5589F">
            <w:pPr>
              <w:pStyle w:val="133"/>
            </w:pPr>
            <w:r>
              <w:rPr>
                <w:rFonts w:hint="eastAsia"/>
              </w:rPr>
              <w:t>57</w:t>
            </w:r>
          </w:p>
        </w:tc>
        <w:tc>
          <w:tcPr>
            <w:tcW w:w="1407" w:type="dxa"/>
            <w:noWrap/>
            <w:vAlign w:val="center"/>
          </w:tcPr>
          <w:p w14:paraId="4B15B5A3">
            <w:pPr>
              <w:pStyle w:val="133"/>
            </w:pPr>
            <w:r>
              <w:rPr>
                <w:rFonts w:hint="eastAsia"/>
              </w:rPr>
              <w:t>达标</w:t>
            </w:r>
          </w:p>
        </w:tc>
      </w:tr>
      <w:tr w14:paraId="11374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4" w:type="dxa"/>
            <w:noWrap/>
            <w:vAlign w:val="center"/>
          </w:tcPr>
          <w:p w14:paraId="03D8C965">
            <w:pPr>
              <w:pStyle w:val="133"/>
            </w:pPr>
            <w:r>
              <w:rPr>
                <w:rFonts w:hint="eastAsia"/>
              </w:rPr>
              <w:t>5</w:t>
            </w:r>
          </w:p>
        </w:tc>
        <w:tc>
          <w:tcPr>
            <w:tcW w:w="1985" w:type="dxa"/>
            <w:noWrap/>
            <w:vAlign w:val="center"/>
          </w:tcPr>
          <w:p w14:paraId="2EB2D300">
            <w:pPr>
              <w:pStyle w:val="133"/>
            </w:pPr>
            <w:r>
              <w:rPr>
                <w:rFonts w:hint="eastAsia"/>
              </w:rPr>
              <w:t>网格（水平网格）</w:t>
            </w:r>
          </w:p>
        </w:tc>
        <w:tc>
          <w:tcPr>
            <w:tcW w:w="1370" w:type="dxa"/>
            <w:noWrap/>
            <w:vAlign w:val="center"/>
          </w:tcPr>
          <w:p w14:paraId="1D558064">
            <w:pPr>
              <w:pStyle w:val="133"/>
            </w:pPr>
            <w:r>
              <w:rPr>
                <w:rFonts w:hint="eastAsia"/>
              </w:rPr>
              <w:t>380,120</w:t>
            </w:r>
          </w:p>
        </w:tc>
        <w:tc>
          <w:tcPr>
            <w:tcW w:w="1370" w:type="dxa"/>
            <w:noWrap/>
            <w:vAlign w:val="center"/>
          </w:tcPr>
          <w:p w14:paraId="742B4A8D">
            <w:pPr>
              <w:pStyle w:val="133"/>
            </w:pPr>
            <w:r>
              <w:rPr>
                <w:rFonts w:hint="eastAsia"/>
              </w:rPr>
              <w:t>691.19</w:t>
            </w:r>
          </w:p>
        </w:tc>
        <w:tc>
          <w:tcPr>
            <w:tcW w:w="1370" w:type="dxa"/>
            <w:noWrap/>
            <w:vAlign w:val="center"/>
          </w:tcPr>
          <w:p w14:paraId="3BD7F557">
            <w:pPr>
              <w:pStyle w:val="133"/>
            </w:pPr>
            <w:r>
              <w:rPr>
                <w:rFonts w:hint="eastAsia"/>
              </w:rPr>
              <w:t>1.2</w:t>
            </w:r>
          </w:p>
        </w:tc>
        <w:tc>
          <w:tcPr>
            <w:tcW w:w="1514" w:type="dxa"/>
            <w:noWrap/>
            <w:vAlign w:val="center"/>
          </w:tcPr>
          <w:p w14:paraId="66EBD6A8">
            <w:pPr>
              <w:pStyle w:val="133"/>
            </w:pPr>
            <w:r>
              <w:rPr>
                <w:rFonts w:hint="eastAsia"/>
              </w:rPr>
              <w:t>昼夜等效噪声</w:t>
            </w:r>
          </w:p>
        </w:tc>
        <w:tc>
          <w:tcPr>
            <w:tcW w:w="1406" w:type="dxa"/>
            <w:noWrap/>
            <w:vAlign w:val="center"/>
          </w:tcPr>
          <w:p w14:paraId="0096D2E3">
            <w:pPr>
              <w:pStyle w:val="133"/>
            </w:pPr>
            <w:r>
              <w:rPr>
                <w:rFonts w:hint="eastAsia"/>
              </w:rPr>
              <w:t>51.31</w:t>
            </w:r>
          </w:p>
        </w:tc>
        <w:tc>
          <w:tcPr>
            <w:tcW w:w="1406" w:type="dxa"/>
            <w:noWrap/>
            <w:vAlign w:val="center"/>
          </w:tcPr>
          <w:p w14:paraId="3524F880">
            <w:pPr>
              <w:pStyle w:val="133"/>
            </w:pPr>
            <w:r>
              <w:rPr>
                <w:rFonts w:hint="eastAsia"/>
              </w:rPr>
              <w:t>55</w:t>
            </w:r>
          </w:p>
        </w:tc>
        <w:tc>
          <w:tcPr>
            <w:tcW w:w="1406" w:type="dxa"/>
            <w:noWrap/>
            <w:vAlign w:val="center"/>
          </w:tcPr>
          <w:p w14:paraId="665E1C84">
            <w:pPr>
              <w:pStyle w:val="133"/>
            </w:pPr>
            <w:r>
              <w:rPr>
                <w:rFonts w:hint="eastAsia"/>
              </w:rPr>
              <w:t>93.29</w:t>
            </w:r>
          </w:p>
        </w:tc>
        <w:tc>
          <w:tcPr>
            <w:tcW w:w="1407" w:type="dxa"/>
            <w:noWrap/>
            <w:vAlign w:val="center"/>
          </w:tcPr>
          <w:p w14:paraId="4378ED60">
            <w:pPr>
              <w:pStyle w:val="133"/>
            </w:pPr>
            <w:r>
              <w:rPr>
                <w:rFonts w:hint="eastAsia"/>
              </w:rPr>
              <w:t>达标</w:t>
            </w:r>
          </w:p>
        </w:tc>
      </w:tr>
    </w:tbl>
    <w:p w14:paraId="1202C91D">
      <w:pPr>
        <w:pStyle w:val="133"/>
        <w:ind w:firstLine="480"/>
      </w:pPr>
    </w:p>
    <w:p w14:paraId="0FEA1AFB">
      <w:pPr>
        <w:pStyle w:val="133"/>
        <w:ind w:firstLine="480"/>
        <w:sectPr>
          <w:pgSz w:w="16838" w:h="11906" w:orient="landscape"/>
          <w:pgMar w:top="1800" w:right="1440" w:bottom="1800" w:left="1440" w:header="851" w:footer="992" w:gutter="0"/>
          <w:cols w:space="425" w:num="1"/>
          <w:docGrid w:type="lines" w:linePitch="326" w:charSpace="0"/>
        </w:sectPr>
      </w:pPr>
    </w:p>
    <w:p w14:paraId="2319C090">
      <w:pPr>
        <w:pStyle w:val="257"/>
        <w:ind w:firstLine="480"/>
        <w:rPr>
          <w:rFonts w:eastAsia="宋体"/>
        </w:rPr>
      </w:pPr>
      <w:r>
        <w:rPr>
          <w:rFonts w:eastAsia="宋体"/>
        </w:rPr>
        <w:t>由</w:t>
      </w:r>
      <w:r>
        <w:rPr>
          <w:rFonts w:hint="eastAsia" w:eastAsia="宋体"/>
        </w:rPr>
        <w:t>预测结果</w:t>
      </w:r>
      <w:r>
        <w:rPr>
          <w:rFonts w:eastAsia="宋体"/>
        </w:rPr>
        <w:t>可得：本项目投入运行后，运营期噪声污染源对厂界各评价点的</w:t>
      </w:r>
      <w:r>
        <w:rPr>
          <w:rFonts w:hint="eastAsia" w:eastAsia="宋体"/>
        </w:rPr>
        <w:t>贡献</w:t>
      </w:r>
      <w:r>
        <w:rPr>
          <w:rFonts w:eastAsia="宋体"/>
        </w:rPr>
        <w:t>值满足《工业企业厂界环境噪声排放标准》（GB12348-2008）3类区标准要求；项目周边200m范围内没有敏感点分布，因此，不会造成噪声扰民现象，但建设单位仍应重视</w:t>
      </w:r>
      <w:r>
        <w:rPr>
          <w:rFonts w:hint="eastAsia" w:eastAsia="宋体"/>
        </w:rPr>
        <w:t>对区域声环境的影响</w:t>
      </w:r>
      <w:r>
        <w:rPr>
          <w:rFonts w:eastAsia="宋体"/>
        </w:rPr>
        <w:t>，合理布置产噪设备，进一步完善降噪措施，降低噪声对环境的影响。</w:t>
      </w:r>
    </w:p>
    <w:p w14:paraId="2DFD22B0">
      <w:pPr>
        <w:pStyle w:val="138"/>
        <w:rPr>
          <w:rFonts w:hint="eastAsia"/>
        </w:rPr>
      </w:pPr>
      <w:r>
        <w:rPr>
          <w:rFonts w:hint="eastAsia"/>
        </w:rPr>
        <w:t>自查表</w:t>
      </w:r>
    </w:p>
    <w:p w14:paraId="632893A0">
      <w:pPr>
        <w:pStyle w:val="257"/>
        <w:ind w:firstLine="480"/>
        <w:rPr>
          <w:rFonts w:eastAsia="宋体"/>
        </w:rPr>
      </w:pPr>
      <w:r>
        <w:rPr>
          <w:rFonts w:hint="eastAsia" w:eastAsia="宋体"/>
        </w:rPr>
        <w:t>声环境影响自查见表4</w:t>
      </w:r>
      <w:r>
        <w:rPr>
          <w:rFonts w:eastAsia="宋体"/>
        </w:rPr>
        <w:t>.5-3</w:t>
      </w:r>
      <w:r>
        <w:rPr>
          <w:rFonts w:hint="eastAsia" w:eastAsia="宋体"/>
        </w:rPr>
        <w:t>。</w:t>
      </w:r>
    </w:p>
    <w:p w14:paraId="26B44B3A">
      <w:pPr>
        <w:pStyle w:val="118"/>
      </w:pPr>
      <w:r>
        <w:rPr>
          <w:rFonts w:hint="eastAsia"/>
        </w:rPr>
        <w:t>表</w:t>
      </w:r>
      <w:r>
        <w:t>4.5</w:t>
      </w:r>
      <w:r>
        <w:noBreakHyphen/>
      </w:r>
      <w:r>
        <w:t xml:space="preserve">3  </w:t>
      </w:r>
      <w:r>
        <w:rPr>
          <w:rFonts w:hint="eastAsia"/>
        </w:rPr>
        <w:t>声环境影响自查表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1149"/>
        <w:gridCol w:w="1560"/>
        <w:gridCol w:w="992"/>
        <w:gridCol w:w="992"/>
        <w:gridCol w:w="864"/>
        <w:gridCol w:w="554"/>
        <w:gridCol w:w="283"/>
        <w:gridCol w:w="992"/>
        <w:gridCol w:w="950"/>
      </w:tblGrid>
      <w:tr w14:paraId="5F085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2709" w:type="dxa"/>
            <w:gridSpan w:val="2"/>
            <w:vAlign w:val="center"/>
          </w:tcPr>
          <w:p w14:paraId="6DB6AB56">
            <w:pPr>
              <w:pStyle w:val="133"/>
              <w:rPr>
                <w:b/>
                <w:bCs/>
              </w:rPr>
            </w:pPr>
            <w:r>
              <w:rPr>
                <w:rFonts w:hint="eastAsia"/>
                <w:b/>
                <w:bCs/>
              </w:rPr>
              <w:t>工作内容</w:t>
            </w:r>
          </w:p>
        </w:tc>
        <w:tc>
          <w:tcPr>
            <w:tcW w:w="5627" w:type="dxa"/>
            <w:gridSpan w:val="7"/>
            <w:vAlign w:val="center"/>
          </w:tcPr>
          <w:p w14:paraId="13D7F616">
            <w:pPr>
              <w:pStyle w:val="133"/>
              <w:rPr>
                <w:b/>
                <w:bCs/>
              </w:rPr>
            </w:pPr>
            <w:r>
              <w:rPr>
                <w:rFonts w:hint="eastAsia"/>
                <w:b/>
                <w:bCs/>
              </w:rPr>
              <w:t>自查项目</w:t>
            </w:r>
          </w:p>
        </w:tc>
      </w:tr>
      <w:tr w14:paraId="778E9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restart"/>
            <w:vAlign w:val="center"/>
          </w:tcPr>
          <w:p w14:paraId="5DEE2229">
            <w:pPr>
              <w:pStyle w:val="133"/>
            </w:pPr>
            <w:r>
              <w:rPr>
                <w:rFonts w:hint="eastAsia"/>
              </w:rPr>
              <w:t>评价等级</w:t>
            </w:r>
          </w:p>
          <w:p w14:paraId="13A17A28">
            <w:pPr>
              <w:pStyle w:val="133"/>
            </w:pPr>
            <w:r>
              <w:rPr>
                <w:rFonts w:hint="eastAsia"/>
              </w:rPr>
              <w:t>与范围</w:t>
            </w:r>
          </w:p>
        </w:tc>
        <w:tc>
          <w:tcPr>
            <w:tcW w:w="1560" w:type="dxa"/>
            <w:vAlign w:val="center"/>
          </w:tcPr>
          <w:p w14:paraId="34D7FC4A">
            <w:pPr>
              <w:pStyle w:val="133"/>
            </w:pPr>
            <w:r>
              <w:rPr>
                <w:rFonts w:hint="eastAsia"/>
              </w:rPr>
              <w:t>评价等级</w:t>
            </w:r>
          </w:p>
        </w:tc>
        <w:tc>
          <w:tcPr>
            <w:tcW w:w="5627" w:type="dxa"/>
            <w:gridSpan w:val="7"/>
            <w:vAlign w:val="center"/>
          </w:tcPr>
          <w:p w14:paraId="5CF67FB8">
            <w:pPr>
              <w:pStyle w:val="133"/>
            </w:pPr>
            <w:r>
              <w:rPr>
                <w:rFonts w:hint="eastAsia"/>
              </w:rPr>
              <w:t>一级□             二级□           三级</w:t>
            </w:r>
            <w:r>
              <w:rPr>
                <w:rFonts w:hint="eastAsia"/>
                <w:lang w:val="de-DE"/>
              </w:rPr>
              <w:sym w:font="Wingdings 2" w:char="F052"/>
            </w:r>
          </w:p>
        </w:tc>
      </w:tr>
      <w:tr w14:paraId="6E242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33789AC1">
            <w:pPr>
              <w:pStyle w:val="133"/>
            </w:pPr>
          </w:p>
        </w:tc>
        <w:tc>
          <w:tcPr>
            <w:tcW w:w="1560" w:type="dxa"/>
            <w:vAlign w:val="center"/>
          </w:tcPr>
          <w:p w14:paraId="34D5BB66">
            <w:pPr>
              <w:pStyle w:val="133"/>
            </w:pPr>
            <w:r>
              <w:rPr>
                <w:rFonts w:hint="eastAsia"/>
              </w:rPr>
              <w:t>评价范围</w:t>
            </w:r>
          </w:p>
        </w:tc>
        <w:tc>
          <w:tcPr>
            <w:tcW w:w="5627" w:type="dxa"/>
            <w:gridSpan w:val="7"/>
            <w:vAlign w:val="center"/>
          </w:tcPr>
          <w:p w14:paraId="0683175E">
            <w:pPr>
              <w:pStyle w:val="133"/>
            </w:pPr>
            <w:r>
              <w:rPr>
                <w:rFonts w:hint="eastAsia"/>
              </w:rPr>
              <w:t>200m</w:t>
            </w:r>
            <w:r>
              <w:rPr>
                <w:rFonts w:hint="eastAsia"/>
                <w:lang w:val="de-DE"/>
              </w:rPr>
              <w:sym w:font="Wingdings 2" w:char="F052"/>
            </w:r>
            <w:r>
              <w:rPr>
                <w:rFonts w:hint="eastAsia"/>
              </w:rPr>
              <w:t xml:space="preserve">        大于200m□   小于200m□</w:t>
            </w:r>
          </w:p>
        </w:tc>
      </w:tr>
      <w:tr w14:paraId="76367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Align w:val="center"/>
          </w:tcPr>
          <w:p w14:paraId="7BE2DCB1">
            <w:pPr>
              <w:pStyle w:val="133"/>
            </w:pPr>
            <w:r>
              <w:rPr>
                <w:rFonts w:hint="eastAsia"/>
              </w:rPr>
              <w:t>评价因子</w:t>
            </w:r>
          </w:p>
        </w:tc>
        <w:tc>
          <w:tcPr>
            <w:tcW w:w="1560" w:type="dxa"/>
            <w:vAlign w:val="center"/>
          </w:tcPr>
          <w:p w14:paraId="49395C06">
            <w:pPr>
              <w:pStyle w:val="133"/>
            </w:pPr>
            <w:r>
              <w:rPr>
                <w:rFonts w:hint="eastAsia"/>
              </w:rPr>
              <w:t>评价因子</w:t>
            </w:r>
          </w:p>
        </w:tc>
        <w:tc>
          <w:tcPr>
            <w:tcW w:w="5627" w:type="dxa"/>
            <w:gridSpan w:val="7"/>
            <w:vAlign w:val="center"/>
          </w:tcPr>
          <w:p w14:paraId="388C3769">
            <w:pPr>
              <w:pStyle w:val="133"/>
            </w:pPr>
            <w:r>
              <w:rPr>
                <w:rFonts w:hint="eastAsia"/>
              </w:rPr>
              <w:t>等效连续A声级</w:t>
            </w:r>
            <w:r>
              <w:rPr>
                <w:rFonts w:hint="eastAsia"/>
                <w:lang w:val="de-DE"/>
              </w:rPr>
              <w:sym w:font="Wingdings 2" w:char="F052"/>
            </w:r>
            <w:r>
              <w:rPr>
                <w:rFonts w:hint="eastAsia"/>
              </w:rPr>
              <w:t>最大A声级□ 计权等效连续感觉噪声级□</w:t>
            </w:r>
          </w:p>
        </w:tc>
      </w:tr>
      <w:tr w14:paraId="42D88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Align w:val="center"/>
          </w:tcPr>
          <w:p w14:paraId="22ECAD2F">
            <w:pPr>
              <w:pStyle w:val="133"/>
            </w:pPr>
            <w:r>
              <w:rPr>
                <w:rFonts w:hint="eastAsia"/>
              </w:rPr>
              <w:t>评价标准</w:t>
            </w:r>
          </w:p>
        </w:tc>
        <w:tc>
          <w:tcPr>
            <w:tcW w:w="1560" w:type="dxa"/>
            <w:vAlign w:val="center"/>
          </w:tcPr>
          <w:p w14:paraId="6CBC9E97">
            <w:pPr>
              <w:pStyle w:val="133"/>
            </w:pPr>
            <w:r>
              <w:rPr>
                <w:rFonts w:hint="eastAsia"/>
              </w:rPr>
              <w:t>评价标准</w:t>
            </w:r>
          </w:p>
        </w:tc>
        <w:tc>
          <w:tcPr>
            <w:tcW w:w="5627" w:type="dxa"/>
            <w:gridSpan w:val="7"/>
            <w:vAlign w:val="center"/>
          </w:tcPr>
          <w:p w14:paraId="1B1D01BE">
            <w:pPr>
              <w:pStyle w:val="133"/>
            </w:pPr>
            <w:r>
              <w:rPr>
                <w:rFonts w:hint="eastAsia"/>
              </w:rPr>
              <w:t>国家标准</w:t>
            </w:r>
            <w:r>
              <w:rPr>
                <w:rFonts w:hint="eastAsia"/>
                <w:lang w:val="de-DE"/>
              </w:rPr>
              <w:sym w:font="Wingdings 2" w:char="F052"/>
            </w:r>
            <w:r>
              <w:rPr>
                <w:rFonts w:hint="eastAsia"/>
              </w:rPr>
              <w:t xml:space="preserve"> 地方标准□    国外标准□</w:t>
            </w:r>
          </w:p>
        </w:tc>
      </w:tr>
      <w:tr w14:paraId="1A899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restart"/>
            <w:vAlign w:val="center"/>
          </w:tcPr>
          <w:p w14:paraId="077ECC6B">
            <w:pPr>
              <w:pStyle w:val="133"/>
            </w:pPr>
            <w:r>
              <w:rPr>
                <w:rFonts w:hint="eastAsia"/>
              </w:rPr>
              <w:t>现状评价</w:t>
            </w:r>
          </w:p>
        </w:tc>
        <w:tc>
          <w:tcPr>
            <w:tcW w:w="1560" w:type="dxa"/>
            <w:vAlign w:val="center"/>
          </w:tcPr>
          <w:p w14:paraId="2674D880">
            <w:pPr>
              <w:pStyle w:val="133"/>
            </w:pPr>
            <w:r>
              <w:rPr>
                <w:rFonts w:hint="eastAsia"/>
              </w:rPr>
              <w:t>环境功能区</w:t>
            </w:r>
          </w:p>
        </w:tc>
        <w:tc>
          <w:tcPr>
            <w:tcW w:w="992" w:type="dxa"/>
            <w:vAlign w:val="center"/>
          </w:tcPr>
          <w:p w14:paraId="6BA25FBE">
            <w:pPr>
              <w:pStyle w:val="133"/>
            </w:pPr>
            <w:r>
              <w:rPr>
                <w:rFonts w:hint="eastAsia"/>
              </w:rPr>
              <w:t>0类区□</w:t>
            </w:r>
          </w:p>
        </w:tc>
        <w:tc>
          <w:tcPr>
            <w:tcW w:w="992" w:type="dxa"/>
            <w:vAlign w:val="center"/>
          </w:tcPr>
          <w:p w14:paraId="4F3FF389">
            <w:pPr>
              <w:pStyle w:val="133"/>
            </w:pPr>
            <w:r>
              <w:rPr>
                <w:rFonts w:hint="eastAsia"/>
              </w:rPr>
              <w:t>1类区□</w:t>
            </w:r>
          </w:p>
        </w:tc>
        <w:tc>
          <w:tcPr>
            <w:tcW w:w="864" w:type="dxa"/>
            <w:vAlign w:val="center"/>
          </w:tcPr>
          <w:p w14:paraId="636E9DD1">
            <w:pPr>
              <w:pStyle w:val="133"/>
            </w:pPr>
            <w:r>
              <w:rPr>
                <w:rFonts w:hint="eastAsia"/>
              </w:rPr>
              <w:t>2类区□</w:t>
            </w:r>
          </w:p>
        </w:tc>
        <w:tc>
          <w:tcPr>
            <w:tcW w:w="837" w:type="dxa"/>
            <w:gridSpan w:val="2"/>
            <w:vAlign w:val="center"/>
          </w:tcPr>
          <w:p w14:paraId="25A94CF8">
            <w:pPr>
              <w:pStyle w:val="133"/>
            </w:pPr>
            <w:r>
              <w:rPr>
                <w:rFonts w:hint="eastAsia"/>
              </w:rPr>
              <w:t>3类区</w:t>
            </w:r>
            <w:r>
              <w:rPr>
                <w:rFonts w:hint="eastAsia"/>
                <w:lang w:val="de-DE"/>
              </w:rPr>
              <w:sym w:font="Wingdings 2" w:char="F052"/>
            </w:r>
          </w:p>
        </w:tc>
        <w:tc>
          <w:tcPr>
            <w:tcW w:w="992" w:type="dxa"/>
            <w:vAlign w:val="center"/>
          </w:tcPr>
          <w:p w14:paraId="6AFA8B1A">
            <w:pPr>
              <w:pStyle w:val="133"/>
            </w:pPr>
            <w:r>
              <w:rPr>
                <w:rFonts w:hint="eastAsia"/>
              </w:rPr>
              <w:t>4a类区□</w:t>
            </w:r>
          </w:p>
        </w:tc>
        <w:tc>
          <w:tcPr>
            <w:tcW w:w="950" w:type="dxa"/>
            <w:vAlign w:val="center"/>
          </w:tcPr>
          <w:p w14:paraId="28B74973">
            <w:pPr>
              <w:pStyle w:val="133"/>
            </w:pPr>
            <w:r>
              <w:rPr>
                <w:rFonts w:hint="eastAsia"/>
              </w:rPr>
              <w:t>4b类区□</w:t>
            </w:r>
          </w:p>
        </w:tc>
      </w:tr>
      <w:tr w14:paraId="52494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2B22FAE7">
            <w:pPr>
              <w:pStyle w:val="133"/>
            </w:pPr>
          </w:p>
        </w:tc>
        <w:tc>
          <w:tcPr>
            <w:tcW w:w="1560" w:type="dxa"/>
            <w:vAlign w:val="center"/>
          </w:tcPr>
          <w:p w14:paraId="7800293C">
            <w:pPr>
              <w:pStyle w:val="133"/>
            </w:pPr>
            <w:r>
              <w:rPr>
                <w:rFonts w:hint="eastAsia"/>
              </w:rPr>
              <w:t>评价年度</w:t>
            </w:r>
          </w:p>
        </w:tc>
        <w:tc>
          <w:tcPr>
            <w:tcW w:w="992" w:type="dxa"/>
            <w:vAlign w:val="center"/>
          </w:tcPr>
          <w:p w14:paraId="393AE147">
            <w:pPr>
              <w:pStyle w:val="133"/>
            </w:pPr>
            <w:r>
              <w:rPr>
                <w:rFonts w:hint="eastAsia"/>
              </w:rPr>
              <w:t>初期</w:t>
            </w:r>
            <w:r>
              <w:rPr>
                <w:rFonts w:hint="eastAsia"/>
                <w:lang w:val="de-DE"/>
              </w:rPr>
              <w:sym w:font="Wingdings 2" w:char="F052"/>
            </w:r>
          </w:p>
        </w:tc>
        <w:tc>
          <w:tcPr>
            <w:tcW w:w="992" w:type="dxa"/>
            <w:vAlign w:val="center"/>
          </w:tcPr>
          <w:p w14:paraId="22E12BA6">
            <w:pPr>
              <w:pStyle w:val="133"/>
            </w:pPr>
            <w:r>
              <w:rPr>
                <w:rFonts w:hint="eastAsia"/>
              </w:rPr>
              <w:t>近期□</w:t>
            </w:r>
          </w:p>
        </w:tc>
        <w:tc>
          <w:tcPr>
            <w:tcW w:w="1418" w:type="dxa"/>
            <w:gridSpan w:val="2"/>
            <w:vAlign w:val="center"/>
          </w:tcPr>
          <w:p w14:paraId="33544464">
            <w:pPr>
              <w:pStyle w:val="133"/>
            </w:pPr>
            <w:r>
              <w:rPr>
                <w:rFonts w:hint="eastAsia"/>
              </w:rPr>
              <w:t>中期□</w:t>
            </w:r>
          </w:p>
        </w:tc>
        <w:tc>
          <w:tcPr>
            <w:tcW w:w="2225" w:type="dxa"/>
            <w:gridSpan w:val="3"/>
            <w:vAlign w:val="center"/>
          </w:tcPr>
          <w:p w14:paraId="42D075F0">
            <w:pPr>
              <w:pStyle w:val="133"/>
            </w:pPr>
            <w:r>
              <w:rPr>
                <w:rFonts w:hint="eastAsia"/>
              </w:rPr>
              <w:t>远期□</w:t>
            </w:r>
          </w:p>
        </w:tc>
      </w:tr>
      <w:tr w14:paraId="5642E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60641928">
            <w:pPr>
              <w:pStyle w:val="133"/>
            </w:pPr>
          </w:p>
        </w:tc>
        <w:tc>
          <w:tcPr>
            <w:tcW w:w="1560" w:type="dxa"/>
            <w:vAlign w:val="center"/>
          </w:tcPr>
          <w:p w14:paraId="7B25EFB1">
            <w:pPr>
              <w:pStyle w:val="133"/>
            </w:pPr>
            <w:r>
              <w:rPr>
                <w:rFonts w:hint="eastAsia"/>
              </w:rPr>
              <w:t>现状调查方法</w:t>
            </w:r>
          </w:p>
        </w:tc>
        <w:tc>
          <w:tcPr>
            <w:tcW w:w="5627" w:type="dxa"/>
            <w:gridSpan w:val="7"/>
            <w:vAlign w:val="center"/>
          </w:tcPr>
          <w:p w14:paraId="7969432C">
            <w:pPr>
              <w:pStyle w:val="133"/>
            </w:pPr>
            <w:r>
              <w:rPr>
                <w:rFonts w:hint="eastAsia"/>
              </w:rPr>
              <w:t>现场实测法</w:t>
            </w:r>
            <w:r>
              <w:rPr>
                <w:rFonts w:hint="eastAsia"/>
                <w:lang w:val="de-DE"/>
              </w:rPr>
              <w:sym w:font="Wingdings 2" w:char="F052"/>
            </w:r>
            <w:r>
              <w:rPr>
                <w:rFonts w:hint="eastAsia"/>
              </w:rPr>
              <w:t xml:space="preserve">  现场实测加模型计算法□  收集资料□</w:t>
            </w:r>
          </w:p>
        </w:tc>
      </w:tr>
      <w:tr w14:paraId="74BCE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5EEAACAF">
            <w:pPr>
              <w:pStyle w:val="133"/>
            </w:pPr>
          </w:p>
        </w:tc>
        <w:tc>
          <w:tcPr>
            <w:tcW w:w="1560" w:type="dxa"/>
            <w:vAlign w:val="center"/>
          </w:tcPr>
          <w:p w14:paraId="6BEFB074">
            <w:pPr>
              <w:pStyle w:val="133"/>
            </w:pPr>
            <w:r>
              <w:rPr>
                <w:rFonts w:hint="eastAsia"/>
              </w:rPr>
              <w:t>现状评价</w:t>
            </w:r>
          </w:p>
        </w:tc>
        <w:tc>
          <w:tcPr>
            <w:tcW w:w="1984" w:type="dxa"/>
            <w:gridSpan w:val="2"/>
            <w:vAlign w:val="center"/>
          </w:tcPr>
          <w:p w14:paraId="65514E25">
            <w:pPr>
              <w:pStyle w:val="133"/>
            </w:pPr>
            <w:r>
              <w:rPr>
                <w:rFonts w:hint="eastAsia"/>
              </w:rPr>
              <w:t>达标百分比</w:t>
            </w:r>
          </w:p>
        </w:tc>
        <w:tc>
          <w:tcPr>
            <w:tcW w:w="3643" w:type="dxa"/>
            <w:gridSpan w:val="5"/>
            <w:vAlign w:val="center"/>
          </w:tcPr>
          <w:p w14:paraId="7B2FD2F4">
            <w:pPr>
              <w:pStyle w:val="133"/>
            </w:pPr>
            <w:r>
              <w:rPr>
                <w:rFonts w:hint="eastAsia"/>
              </w:rPr>
              <w:t>100%</w:t>
            </w:r>
          </w:p>
        </w:tc>
      </w:tr>
      <w:tr w14:paraId="5C1ED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Align w:val="center"/>
          </w:tcPr>
          <w:p w14:paraId="0D357602">
            <w:pPr>
              <w:pStyle w:val="133"/>
            </w:pPr>
            <w:r>
              <w:rPr>
                <w:rFonts w:hint="eastAsia"/>
              </w:rPr>
              <w:t>噪声源调查</w:t>
            </w:r>
          </w:p>
        </w:tc>
        <w:tc>
          <w:tcPr>
            <w:tcW w:w="1560" w:type="dxa"/>
            <w:vAlign w:val="center"/>
          </w:tcPr>
          <w:p w14:paraId="56FCE3E5">
            <w:pPr>
              <w:pStyle w:val="133"/>
            </w:pPr>
            <w:r>
              <w:rPr>
                <w:rFonts w:hint="eastAsia"/>
              </w:rPr>
              <w:t>噪声源调查法</w:t>
            </w:r>
          </w:p>
        </w:tc>
        <w:tc>
          <w:tcPr>
            <w:tcW w:w="5627" w:type="dxa"/>
            <w:gridSpan w:val="7"/>
            <w:vAlign w:val="center"/>
          </w:tcPr>
          <w:p w14:paraId="3EBFB8BC">
            <w:pPr>
              <w:pStyle w:val="133"/>
            </w:pPr>
            <w:r>
              <w:rPr>
                <w:rFonts w:hint="eastAsia"/>
              </w:rPr>
              <w:t>现场实测□  已有资料</w:t>
            </w:r>
            <w:r>
              <w:rPr>
                <w:rFonts w:hint="eastAsia"/>
                <w:lang w:val="de-DE"/>
              </w:rPr>
              <w:sym w:font="Wingdings 2" w:char="F052"/>
            </w:r>
            <w:r>
              <w:rPr>
                <w:rFonts w:hint="eastAsia"/>
              </w:rPr>
              <w:t xml:space="preserve">  研究成果□</w:t>
            </w:r>
          </w:p>
        </w:tc>
      </w:tr>
      <w:tr w14:paraId="46369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restart"/>
            <w:vAlign w:val="center"/>
          </w:tcPr>
          <w:p w14:paraId="263A0207">
            <w:pPr>
              <w:pStyle w:val="133"/>
            </w:pPr>
            <w:r>
              <w:rPr>
                <w:rFonts w:hint="eastAsia"/>
              </w:rPr>
              <w:t>声环境影</w:t>
            </w:r>
          </w:p>
          <w:p w14:paraId="1A6C9332">
            <w:pPr>
              <w:pStyle w:val="133"/>
            </w:pPr>
            <w:r>
              <w:rPr>
                <w:rFonts w:hint="eastAsia"/>
              </w:rPr>
              <w:t>响预测与</w:t>
            </w:r>
          </w:p>
          <w:p w14:paraId="5257B809">
            <w:pPr>
              <w:pStyle w:val="133"/>
            </w:pPr>
            <w:r>
              <w:rPr>
                <w:rFonts w:hint="eastAsia"/>
              </w:rPr>
              <w:t>评价</w:t>
            </w:r>
          </w:p>
        </w:tc>
        <w:tc>
          <w:tcPr>
            <w:tcW w:w="1560" w:type="dxa"/>
            <w:vAlign w:val="center"/>
          </w:tcPr>
          <w:p w14:paraId="0A3C0711">
            <w:pPr>
              <w:pStyle w:val="133"/>
            </w:pPr>
            <w:r>
              <w:rPr>
                <w:rFonts w:hint="eastAsia"/>
              </w:rPr>
              <w:t>预测模型</w:t>
            </w:r>
          </w:p>
        </w:tc>
        <w:tc>
          <w:tcPr>
            <w:tcW w:w="5627" w:type="dxa"/>
            <w:gridSpan w:val="7"/>
            <w:vAlign w:val="center"/>
          </w:tcPr>
          <w:p w14:paraId="3BE7C9D4">
            <w:pPr>
              <w:pStyle w:val="133"/>
            </w:pPr>
            <w:r>
              <w:rPr>
                <w:rFonts w:hint="eastAsia"/>
              </w:rPr>
              <w:t>导则推荐模型</w:t>
            </w:r>
            <w:r>
              <w:rPr>
                <w:rFonts w:hint="eastAsia"/>
                <w:lang w:val="de-DE"/>
              </w:rPr>
              <w:sym w:font="Wingdings 2" w:char="F052"/>
            </w:r>
            <w:r>
              <w:rPr>
                <w:rFonts w:hint="eastAsia"/>
              </w:rPr>
              <w:t xml:space="preserve">   其他□                    </w:t>
            </w:r>
          </w:p>
        </w:tc>
      </w:tr>
      <w:tr w14:paraId="13E25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38026833">
            <w:pPr>
              <w:pStyle w:val="133"/>
            </w:pPr>
          </w:p>
        </w:tc>
        <w:tc>
          <w:tcPr>
            <w:tcW w:w="1560" w:type="dxa"/>
            <w:vAlign w:val="center"/>
          </w:tcPr>
          <w:p w14:paraId="4F6436A1">
            <w:pPr>
              <w:pStyle w:val="133"/>
            </w:pPr>
            <w:r>
              <w:rPr>
                <w:rFonts w:hint="eastAsia"/>
              </w:rPr>
              <w:t>预测范围</w:t>
            </w:r>
          </w:p>
        </w:tc>
        <w:tc>
          <w:tcPr>
            <w:tcW w:w="5627" w:type="dxa"/>
            <w:gridSpan w:val="7"/>
            <w:vAlign w:val="center"/>
          </w:tcPr>
          <w:p w14:paraId="5290B0FA">
            <w:pPr>
              <w:pStyle w:val="133"/>
            </w:pPr>
            <w:r>
              <w:rPr>
                <w:rFonts w:hint="eastAsia"/>
              </w:rPr>
              <w:t>200 m</w:t>
            </w:r>
            <w:r>
              <w:rPr>
                <w:rFonts w:hint="eastAsia"/>
                <w:lang w:val="de-DE"/>
              </w:rPr>
              <w:sym w:font="Wingdings 2" w:char="F052"/>
            </w:r>
            <w:r>
              <w:rPr>
                <w:rFonts w:hint="eastAsia"/>
              </w:rPr>
              <w:t xml:space="preserve">      大于 200 m□ </w:t>
            </w:r>
            <w:r>
              <w:t xml:space="preserve">  </w:t>
            </w:r>
            <w:r>
              <w:rPr>
                <w:rFonts w:hint="eastAsia"/>
              </w:rPr>
              <w:t xml:space="preserve">  小于200 m□</w:t>
            </w:r>
          </w:p>
        </w:tc>
      </w:tr>
      <w:tr w14:paraId="659D86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6CFC40DA">
            <w:pPr>
              <w:pStyle w:val="133"/>
            </w:pPr>
          </w:p>
        </w:tc>
        <w:tc>
          <w:tcPr>
            <w:tcW w:w="1560" w:type="dxa"/>
            <w:vAlign w:val="center"/>
          </w:tcPr>
          <w:p w14:paraId="2450E7F4">
            <w:pPr>
              <w:pStyle w:val="133"/>
            </w:pPr>
            <w:r>
              <w:rPr>
                <w:rFonts w:hint="eastAsia"/>
              </w:rPr>
              <w:t>预测因子</w:t>
            </w:r>
          </w:p>
        </w:tc>
        <w:tc>
          <w:tcPr>
            <w:tcW w:w="5627" w:type="dxa"/>
            <w:gridSpan w:val="7"/>
            <w:vAlign w:val="center"/>
          </w:tcPr>
          <w:p w14:paraId="4EDF3FC0">
            <w:pPr>
              <w:pStyle w:val="133"/>
            </w:pPr>
            <w:r>
              <w:rPr>
                <w:rFonts w:hint="eastAsia"/>
              </w:rPr>
              <w:t>等效连续A声级</w:t>
            </w:r>
            <w:r>
              <w:rPr>
                <w:rFonts w:hint="eastAsia"/>
                <w:lang w:val="de-DE"/>
              </w:rPr>
              <w:sym w:font="Wingdings 2" w:char="F052"/>
            </w:r>
            <w:r>
              <w:rPr>
                <w:rFonts w:hint="eastAsia"/>
              </w:rPr>
              <w:t>最大A声级□ 计权等效连续感觉噪声级□</w:t>
            </w:r>
          </w:p>
        </w:tc>
      </w:tr>
      <w:tr w14:paraId="35A6A1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674B8527">
            <w:pPr>
              <w:pStyle w:val="133"/>
            </w:pPr>
          </w:p>
        </w:tc>
        <w:tc>
          <w:tcPr>
            <w:tcW w:w="1560" w:type="dxa"/>
            <w:vAlign w:val="center"/>
          </w:tcPr>
          <w:p w14:paraId="57402433">
            <w:pPr>
              <w:pStyle w:val="133"/>
            </w:pPr>
            <w:r>
              <w:rPr>
                <w:rFonts w:hint="eastAsia"/>
              </w:rPr>
              <w:t>厂界噪声贡献值</w:t>
            </w:r>
          </w:p>
        </w:tc>
        <w:tc>
          <w:tcPr>
            <w:tcW w:w="5627" w:type="dxa"/>
            <w:gridSpan w:val="7"/>
            <w:vAlign w:val="center"/>
          </w:tcPr>
          <w:p w14:paraId="52B99C1B">
            <w:pPr>
              <w:pStyle w:val="133"/>
            </w:pPr>
            <w:r>
              <w:rPr>
                <w:rFonts w:hint="eastAsia"/>
              </w:rPr>
              <w:t>达标</w:t>
            </w:r>
            <w:r>
              <w:rPr>
                <w:rFonts w:hint="eastAsia"/>
                <w:lang w:val="de-DE"/>
              </w:rPr>
              <w:sym w:font="Wingdings 2" w:char="F052"/>
            </w:r>
            <w:r>
              <w:rPr>
                <w:rFonts w:hint="eastAsia"/>
              </w:rPr>
              <w:t xml:space="preserve">  </w:t>
            </w:r>
            <w:r>
              <w:t xml:space="preserve"> </w:t>
            </w:r>
            <w:r>
              <w:rPr>
                <w:rFonts w:hint="eastAsia"/>
              </w:rPr>
              <w:t xml:space="preserve">  不达标□</w:t>
            </w:r>
          </w:p>
        </w:tc>
      </w:tr>
      <w:tr w14:paraId="58777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547BA477">
            <w:pPr>
              <w:pStyle w:val="133"/>
            </w:pPr>
          </w:p>
        </w:tc>
        <w:tc>
          <w:tcPr>
            <w:tcW w:w="1560" w:type="dxa"/>
            <w:vAlign w:val="center"/>
          </w:tcPr>
          <w:p w14:paraId="266141CC">
            <w:pPr>
              <w:pStyle w:val="133"/>
            </w:pPr>
            <w:r>
              <w:rPr>
                <w:rFonts w:hint="eastAsia"/>
              </w:rPr>
              <w:t>声环境保护目标处噪声值</w:t>
            </w:r>
          </w:p>
        </w:tc>
        <w:tc>
          <w:tcPr>
            <w:tcW w:w="5627" w:type="dxa"/>
            <w:gridSpan w:val="7"/>
            <w:vAlign w:val="center"/>
          </w:tcPr>
          <w:p w14:paraId="7C25FD68">
            <w:pPr>
              <w:pStyle w:val="133"/>
            </w:pPr>
            <w:r>
              <w:rPr>
                <w:rFonts w:hint="eastAsia"/>
              </w:rPr>
              <w:t>达标□     不达标□</w:t>
            </w:r>
          </w:p>
        </w:tc>
      </w:tr>
      <w:tr w14:paraId="4F1F9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restart"/>
            <w:vAlign w:val="center"/>
          </w:tcPr>
          <w:p w14:paraId="7A3E4780">
            <w:pPr>
              <w:pStyle w:val="133"/>
            </w:pPr>
            <w:r>
              <w:rPr>
                <w:rFonts w:hint="eastAsia"/>
              </w:rPr>
              <w:t>环境监测</w:t>
            </w:r>
          </w:p>
          <w:p w14:paraId="424A011F">
            <w:pPr>
              <w:pStyle w:val="133"/>
            </w:pPr>
            <w:r>
              <w:rPr>
                <w:rFonts w:hint="eastAsia"/>
              </w:rPr>
              <w:t>计划</w:t>
            </w:r>
          </w:p>
        </w:tc>
        <w:tc>
          <w:tcPr>
            <w:tcW w:w="1560" w:type="dxa"/>
            <w:vAlign w:val="center"/>
          </w:tcPr>
          <w:p w14:paraId="2C19D369">
            <w:pPr>
              <w:pStyle w:val="133"/>
            </w:pPr>
            <w:r>
              <w:rPr>
                <w:rFonts w:hint="eastAsia"/>
              </w:rPr>
              <w:t>排放监测</w:t>
            </w:r>
          </w:p>
        </w:tc>
        <w:tc>
          <w:tcPr>
            <w:tcW w:w="5627" w:type="dxa"/>
            <w:gridSpan w:val="7"/>
            <w:vAlign w:val="center"/>
          </w:tcPr>
          <w:p w14:paraId="75D0321E">
            <w:pPr>
              <w:pStyle w:val="133"/>
            </w:pPr>
            <w:r>
              <w:rPr>
                <w:rFonts w:hint="eastAsia"/>
              </w:rPr>
              <w:t>厂界监测</w:t>
            </w:r>
            <w:r>
              <w:rPr>
                <w:rFonts w:hint="eastAsia"/>
                <w:lang w:val="de-DE"/>
              </w:rPr>
              <w:sym w:font="Wingdings 2" w:char="F052"/>
            </w:r>
            <w:r>
              <w:rPr>
                <w:rFonts w:hint="eastAsia"/>
              </w:rPr>
              <w:t>固定位置监测□自动监测□手动监测</w:t>
            </w:r>
            <w:r>
              <w:rPr>
                <w:rFonts w:hint="eastAsia"/>
                <w:lang w:val="de-DE"/>
              </w:rPr>
              <w:sym w:font="Wingdings 2" w:char="F052"/>
            </w:r>
            <w:r>
              <w:rPr>
                <w:rFonts w:hint="eastAsia"/>
              </w:rPr>
              <w:t>无监测□</w:t>
            </w:r>
          </w:p>
        </w:tc>
      </w:tr>
      <w:tr w14:paraId="0B5B2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Merge w:val="continue"/>
            <w:vAlign w:val="center"/>
          </w:tcPr>
          <w:p w14:paraId="097C80AA">
            <w:pPr>
              <w:pStyle w:val="133"/>
            </w:pPr>
          </w:p>
        </w:tc>
        <w:tc>
          <w:tcPr>
            <w:tcW w:w="1560" w:type="dxa"/>
            <w:vAlign w:val="center"/>
          </w:tcPr>
          <w:p w14:paraId="0860BEFF">
            <w:pPr>
              <w:pStyle w:val="133"/>
            </w:pPr>
            <w:r>
              <w:rPr>
                <w:rFonts w:hint="eastAsia"/>
              </w:rPr>
              <w:t>声环境保护目</w:t>
            </w:r>
          </w:p>
          <w:p w14:paraId="028BE9D3">
            <w:pPr>
              <w:pStyle w:val="133"/>
            </w:pPr>
            <w:r>
              <w:rPr>
                <w:rFonts w:hint="eastAsia"/>
              </w:rPr>
              <w:t>标处噪声监测</w:t>
            </w:r>
          </w:p>
        </w:tc>
        <w:tc>
          <w:tcPr>
            <w:tcW w:w="1984" w:type="dxa"/>
            <w:gridSpan w:val="2"/>
            <w:vAlign w:val="center"/>
          </w:tcPr>
          <w:p w14:paraId="4C95E512">
            <w:pPr>
              <w:pStyle w:val="133"/>
            </w:pPr>
            <w:r>
              <w:rPr>
                <w:rFonts w:hint="eastAsia"/>
              </w:rPr>
              <w:t>监测因子：</w:t>
            </w:r>
          </w:p>
          <w:p w14:paraId="2D81BDD5">
            <w:pPr>
              <w:pStyle w:val="133"/>
            </w:pPr>
            <w:r>
              <w:rPr>
                <w:rFonts w:hint="eastAsia"/>
              </w:rPr>
              <w:t>（等效连续A声级）</w:t>
            </w:r>
          </w:p>
        </w:tc>
        <w:tc>
          <w:tcPr>
            <w:tcW w:w="1701" w:type="dxa"/>
            <w:gridSpan w:val="3"/>
            <w:vAlign w:val="center"/>
          </w:tcPr>
          <w:p w14:paraId="655C5A23">
            <w:pPr>
              <w:pStyle w:val="133"/>
            </w:pPr>
            <w:r>
              <w:rPr>
                <w:rFonts w:hint="eastAsia"/>
              </w:rPr>
              <w:t>监测点位</w:t>
            </w:r>
          </w:p>
          <w:p w14:paraId="22FACEAD">
            <w:pPr>
              <w:pStyle w:val="133"/>
            </w:pPr>
            <w:r>
              <w:rPr>
                <w:rFonts w:hint="eastAsia"/>
              </w:rPr>
              <w:t>（厂界四周）</w:t>
            </w:r>
          </w:p>
        </w:tc>
        <w:tc>
          <w:tcPr>
            <w:tcW w:w="1942" w:type="dxa"/>
            <w:gridSpan w:val="2"/>
            <w:vAlign w:val="center"/>
          </w:tcPr>
          <w:p w14:paraId="0AD79426">
            <w:pPr>
              <w:pStyle w:val="133"/>
            </w:pPr>
            <w:r>
              <w:rPr>
                <w:rFonts w:hint="eastAsia"/>
              </w:rPr>
              <w:t>无监测□</w:t>
            </w:r>
          </w:p>
        </w:tc>
      </w:tr>
      <w:tr w14:paraId="301F7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1149" w:type="dxa"/>
            <w:vAlign w:val="center"/>
          </w:tcPr>
          <w:p w14:paraId="43C15B87">
            <w:pPr>
              <w:pStyle w:val="133"/>
            </w:pPr>
            <w:r>
              <w:rPr>
                <w:rFonts w:hint="eastAsia"/>
              </w:rPr>
              <w:t>评价结论</w:t>
            </w:r>
          </w:p>
        </w:tc>
        <w:tc>
          <w:tcPr>
            <w:tcW w:w="1560" w:type="dxa"/>
            <w:vAlign w:val="center"/>
          </w:tcPr>
          <w:p w14:paraId="6BE113EB">
            <w:pPr>
              <w:pStyle w:val="133"/>
            </w:pPr>
            <w:r>
              <w:rPr>
                <w:rFonts w:hint="eastAsia"/>
              </w:rPr>
              <w:t>环境影响</w:t>
            </w:r>
          </w:p>
        </w:tc>
        <w:tc>
          <w:tcPr>
            <w:tcW w:w="5627" w:type="dxa"/>
            <w:gridSpan w:val="7"/>
            <w:vAlign w:val="center"/>
          </w:tcPr>
          <w:p w14:paraId="34C62252">
            <w:pPr>
              <w:pStyle w:val="133"/>
            </w:pPr>
            <w:r>
              <w:rPr>
                <w:rFonts w:hint="eastAsia"/>
              </w:rPr>
              <w:t>可行</w:t>
            </w:r>
            <w:r>
              <w:rPr>
                <w:rFonts w:hint="eastAsia"/>
                <w:lang w:val="de-DE"/>
              </w:rPr>
              <w:sym w:font="Wingdings 2" w:char="F052"/>
            </w:r>
            <w:r>
              <w:rPr>
                <w:rFonts w:hint="eastAsia"/>
              </w:rPr>
              <w:t xml:space="preserve">        不可行□</w:t>
            </w:r>
          </w:p>
        </w:tc>
      </w:tr>
      <w:tr w14:paraId="5045C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8336" w:type="dxa"/>
            <w:gridSpan w:val="9"/>
            <w:vAlign w:val="center"/>
          </w:tcPr>
          <w:p w14:paraId="4265A3B2">
            <w:pPr>
              <w:pStyle w:val="133"/>
              <w:jc w:val="both"/>
            </w:pPr>
            <w:r>
              <w:rPr>
                <w:rFonts w:hint="eastAsia"/>
              </w:rPr>
              <w:t>注：“□”  为勾选项  ，可√  ；“（    ）”  为内容填写项。</w:t>
            </w:r>
          </w:p>
        </w:tc>
      </w:tr>
    </w:tbl>
    <w:p w14:paraId="1EF6CA5D">
      <w:pPr>
        <w:pStyle w:val="3"/>
      </w:pPr>
      <w:bookmarkStart w:id="511" w:name="_Toc205291400"/>
      <w:bookmarkStart w:id="512" w:name="_Toc186000295"/>
      <w:bookmarkStart w:id="513" w:name="_Toc1227"/>
      <w:bookmarkStart w:id="514" w:name="_Toc45970067"/>
      <w:bookmarkStart w:id="515" w:name="_Toc213446819"/>
      <w:bookmarkStart w:id="516" w:name="_Toc18094"/>
      <w:r>
        <w:rPr>
          <w:rFonts w:hint="eastAsia"/>
        </w:rPr>
        <w:t>运营期固体废物影响分析</w:t>
      </w:r>
      <w:bookmarkEnd w:id="511"/>
    </w:p>
    <w:p w14:paraId="7CBE1FC8">
      <w:pPr>
        <w:pStyle w:val="138"/>
        <w:rPr>
          <w:rFonts w:hint="eastAsia"/>
        </w:rPr>
      </w:pPr>
      <w:r>
        <w:rPr>
          <w:rFonts w:hint="eastAsia"/>
        </w:rPr>
        <w:t>固体废物处理方式</w:t>
      </w:r>
    </w:p>
    <w:p w14:paraId="24D63F3B">
      <w:pPr>
        <w:pStyle w:val="5"/>
      </w:pPr>
      <w:r>
        <w:rPr>
          <w:rFonts w:hint="eastAsia"/>
        </w:rPr>
        <w:t>危险废物、一般固废</w:t>
      </w:r>
    </w:p>
    <w:p w14:paraId="4A4492C6">
      <w:pPr>
        <w:pStyle w:val="117"/>
        <w:ind w:firstLine="480"/>
      </w:pPr>
      <w:r>
        <w:rPr>
          <w:rFonts w:hint="eastAsia"/>
        </w:rPr>
        <w:t>危险废物主要包含：煤焦油、煤气净化工段焦油渣、焦油罐区焦油渣、废活性炭、废润滑油等。</w:t>
      </w:r>
    </w:p>
    <w:p w14:paraId="43BF95B0">
      <w:pPr>
        <w:pStyle w:val="117"/>
        <w:ind w:firstLine="480"/>
      </w:pPr>
      <w:r>
        <w:rPr>
          <w:rFonts w:hint="eastAsia"/>
        </w:rPr>
        <w:t>一般固废主要包含：煤尘、焦粉、硫酸钠滤饼、废催化剂、废水处理硫酸铵溶液、</w:t>
      </w:r>
      <w:r>
        <w:rPr>
          <w:rFonts w:cs="Times New Roman"/>
          <w:szCs w:val="21"/>
        </w:rPr>
        <w:t>车辆冲洗</w:t>
      </w:r>
      <w:r>
        <w:rPr>
          <w:rFonts w:hint="eastAsia" w:cs="Times New Roman"/>
          <w:szCs w:val="21"/>
        </w:rPr>
        <w:t>煤泥、</w:t>
      </w:r>
      <w:r>
        <w:rPr>
          <w:rFonts w:cs="Times New Roman"/>
        </w:rPr>
        <w:t>原料系统收尘灰</w:t>
      </w:r>
      <w:r>
        <w:rPr>
          <w:rFonts w:hint="eastAsia" w:cs="Times New Roman"/>
        </w:rPr>
        <w:t>、</w:t>
      </w:r>
      <w:r>
        <w:rPr>
          <w:rFonts w:cs="Times New Roman"/>
        </w:rPr>
        <w:t>车间落料</w:t>
      </w:r>
      <w:r>
        <w:rPr>
          <w:rFonts w:hint="eastAsia" w:cs="Times New Roman"/>
        </w:rPr>
        <w:t>、</w:t>
      </w:r>
      <w:r>
        <w:rPr>
          <w:rFonts w:cs="Times New Roman"/>
        </w:rPr>
        <w:t>矿热炉硅渣</w:t>
      </w:r>
      <w:r>
        <w:rPr>
          <w:rFonts w:hint="eastAsia" w:cs="Times New Roman"/>
        </w:rPr>
        <w:t>、</w:t>
      </w:r>
      <w:r>
        <w:rPr>
          <w:rFonts w:cs="Times New Roman"/>
        </w:rPr>
        <w:t>废耐火材料</w:t>
      </w:r>
      <w:r>
        <w:rPr>
          <w:rFonts w:hint="eastAsia" w:cs="Times New Roman"/>
        </w:rPr>
        <w:t>、</w:t>
      </w:r>
      <w:r>
        <w:rPr>
          <w:rFonts w:cs="Times New Roman"/>
        </w:rPr>
        <w:t>废锭模</w:t>
      </w:r>
      <w:r>
        <w:rPr>
          <w:rFonts w:hint="eastAsia" w:cs="Times New Roman"/>
        </w:rPr>
        <w:t>、</w:t>
      </w:r>
      <w:r>
        <w:rPr>
          <w:rFonts w:hint="eastAsia"/>
        </w:rPr>
        <w:t>废离子交换树脂、</w:t>
      </w:r>
      <w:r>
        <w:rPr>
          <w:rFonts w:hint="eastAsia"/>
          <w:snapToGrid w:val="0"/>
        </w:rPr>
        <w:t>废滤芯</w:t>
      </w:r>
      <w:r>
        <w:rPr>
          <w:rFonts w:hint="eastAsia"/>
        </w:rPr>
        <w:t>、废布袋等。</w:t>
      </w:r>
    </w:p>
    <w:p w14:paraId="27DE6006">
      <w:pPr>
        <w:pStyle w:val="117"/>
        <w:ind w:firstLine="480"/>
      </w:pPr>
      <w:r>
        <w:rPr>
          <w:rFonts w:hint="eastAsia"/>
        </w:rPr>
        <w:t>全厂固废产排情况及去向见表5.6-1.</w:t>
      </w:r>
    </w:p>
    <w:p w14:paraId="19168CEA">
      <w:pPr>
        <w:pStyle w:val="117"/>
        <w:ind w:firstLine="480"/>
        <w:sectPr>
          <w:pgSz w:w="11906" w:h="16838"/>
          <w:pgMar w:top="1440" w:right="1800" w:bottom="1440" w:left="1800" w:header="851" w:footer="992" w:gutter="0"/>
          <w:cols w:space="425" w:num="1"/>
          <w:docGrid w:type="lines" w:linePitch="312" w:charSpace="0"/>
        </w:sectPr>
      </w:pPr>
    </w:p>
    <w:p w14:paraId="1128B278">
      <w:pPr>
        <w:pStyle w:val="118"/>
      </w:pPr>
      <w:r>
        <w:rPr>
          <w:rFonts w:hint="eastAsia"/>
        </w:rPr>
        <w:t>表5.6-1    全厂固废产排情况及去向一览表</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2446"/>
        <w:gridCol w:w="1800"/>
        <w:gridCol w:w="1701"/>
        <w:gridCol w:w="1519"/>
        <w:gridCol w:w="1519"/>
        <w:gridCol w:w="1803"/>
        <w:gridCol w:w="2623"/>
      </w:tblGrid>
      <w:tr w14:paraId="2AA20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615367AE">
            <w:pPr>
              <w:pStyle w:val="133"/>
              <w:rPr>
                <w:b/>
                <w:bCs/>
                <w:szCs w:val="21"/>
              </w:rPr>
            </w:pPr>
            <w:r>
              <w:rPr>
                <w:b/>
                <w:bCs/>
                <w:szCs w:val="21"/>
              </w:rPr>
              <w:t>编号</w:t>
            </w:r>
          </w:p>
        </w:tc>
        <w:tc>
          <w:tcPr>
            <w:tcW w:w="863" w:type="pct"/>
            <w:vAlign w:val="center"/>
          </w:tcPr>
          <w:p w14:paraId="57BD5FFE">
            <w:pPr>
              <w:pStyle w:val="133"/>
              <w:rPr>
                <w:b/>
                <w:bCs/>
                <w:szCs w:val="21"/>
              </w:rPr>
            </w:pPr>
            <w:r>
              <w:rPr>
                <w:b/>
                <w:bCs/>
                <w:szCs w:val="21"/>
              </w:rPr>
              <w:t>名称</w:t>
            </w:r>
          </w:p>
        </w:tc>
        <w:tc>
          <w:tcPr>
            <w:tcW w:w="635" w:type="pct"/>
            <w:vAlign w:val="center"/>
          </w:tcPr>
          <w:p w14:paraId="17186EB0">
            <w:pPr>
              <w:pStyle w:val="133"/>
              <w:rPr>
                <w:b/>
                <w:bCs/>
                <w:szCs w:val="21"/>
              </w:rPr>
            </w:pPr>
            <w:r>
              <w:rPr>
                <w:b/>
                <w:bCs/>
                <w:szCs w:val="21"/>
              </w:rPr>
              <w:t>产生量（t/a）</w:t>
            </w:r>
          </w:p>
        </w:tc>
        <w:tc>
          <w:tcPr>
            <w:tcW w:w="600" w:type="pct"/>
            <w:vAlign w:val="center"/>
          </w:tcPr>
          <w:p w14:paraId="1F5B207E">
            <w:pPr>
              <w:pStyle w:val="133"/>
              <w:rPr>
                <w:b/>
                <w:bCs/>
                <w:szCs w:val="21"/>
              </w:rPr>
            </w:pPr>
            <w:r>
              <w:rPr>
                <w:b/>
                <w:bCs/>
                <w:szCs w:val="21"/>
              </w:rPr>
              <w:t>主要组成</w:t>
            </w:r>
          </w:p>
        </w:tc>
        <w:tc>
          <w:tcPr>
            <w:tcW w:w="536" w:type="pct"/>
            <w:vAlign w:val="center"/>
          </w:tcPr>
          <w:p w14:paraId="05FA515A">
            <w:pPr>
              <w:pStyle w:val="133"/>
              <w:rPr>
                <w:b/>
                <w:bCs/>
                <w:szCs w:val="21"/>
              </w:rPr>
            </w:pPr>
            <w:r>
              <w:rPr>
                <w:rFonts w:hint="eastAsia"/>
                <w:b/>
                <w:bCs/>
                <w:szCs w:val="21"/>
              </w:rPr>
              <w:t>废物属性</w:t>
            </w:r>
          </w:p>
        </w:tc>
        <w:tc>
          <w:tcPr>
            <w:tcW w:w="536" w:type="pct"/>
            <w:vAlign w:val="center"/>
          </w:tcPr>
          <w:p w14:paraId="6F0F996C">
            <w:pPr>
              <w:pStyle w:val="133"/>
              <w:rPr>
                <w:b/>
                <w:bCs/>
                <w:szCs w:val="21"/>
              </w:rPr>
            </w:pPr>
            <w:r>
              <w:rPr>
                <w:b/>
                <w:bCs/>
                <w:szCs w:val="21"/>
              </w:rPr>
              <w:t>废物类别</w:t>
            </w:r>
          </w:p>
        </w:tc>
        <w:tc>
          <w:tcPr>
            <w:tcW w:w="636" w:type="pct"/>
            <w:vAlign w:val="center"/>
          </w:tcPr>
          <w:p w14:paraId="447DB91F">
            <w:pPr>
              <w:pStyle w:val="133"/>
              <w:rPr>
                <w:b/>
                <w:bCs/>
                <w:szCs w:val="21"/>
              </w:rPr>
            </w:pPr>
            <w:r>
              <w:rPr>
                <w:b/>
                <w:bCs/>
                <w:szCs w:val="21"/>
              </w:rPr>
              <w:t>废物代码</w:t>
            </w:r>
          </w:p>
        </w:tc>
        <w:tc>
          <w:tcPr>
            <w:tcW w:w="925" w:type="pct"/>
            <w:vAlign w:val="center"/>
          </w:tcPr>
          <w:p w14:paraId="2633C1E4">
            <w:pPr>
              <w:pStyle w:val="133"/>
              <w:rPr>
                <w:b/>
                <w:bCs/>
                <w:szCs w:val="21"/>
              </w:rPr>
            </w:pPr>
            <w:r>
              <w:rPr>
                <w:b/>
                <w:bCs/>
                <w:szCs w:val="21"/>
              </w:rPr>
              <w:t>措施及去向</w:t>
            </w:r>
          </w:p>
        </w:tc>
      </w:tr>
      <w:tr w14:paraId="41071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2466432C">
            <w:pPr>
              <w:pStyle w:val="133"/>
              <w:rPr>
                <w:szCs w:val="21"/>
              </w:rPr>
            </w:pPr>
            <w:r>
              <w:rPr>
                <w:szCs w:val="21"/>
              </w:rPr>
              <w:t>S</w:t>
            </w:r>
            <w:r>
              <w:rPr>
                <w:rFonts w:hint="eastAsia"/>
                <w:szCs w:val="21"/>
              </w:rPr>
              <w:t>1-</w:t>
            </w:r>
            <w:r>
              <w:rPr>
                <w:szCs w:val="21"/>
              </w:rPr>
              <w:t>1</w:t>
            </w:r>
          </w:p>
        </w:tc>
        <w:tc>
          <w:tcPr>
            <w:tcW w:w="863" w:type="pct"/>
            <w:vAlign w:val="center"/>
          </w:tcPr>
          <w:p w14:paraId="022BB56C">
            <w:pPr>
              <w:pStyle w:val="133"/>
              <w:rPr>
                <w:szCs w:val="21"/>
              </w:rPr>
            </w:pPr>
            <w:r>
              <w:rPr>
                <w:rFonts w:hint="eastAsia"/>
                <w:szCs w:val="21"/>
              </w:rPr>
              <w:t>煤尘</w:t>
            </w:r>
          </w:p>
        </w:tc>
        <w:tc>
          <w:tcPr>
            <w:tcW w:w="635" w:type="pct"/>
            <w:vAlign w:val="center"/>
          </w:tcPr>
          <w:p w14:paraId="61DB99D1">
            <w:pPr>
              <w:pStyle w:val="133"/>
              <w:rPr>
                <w:szCs w:val="21"/>
              </w:rPr>
            </w:pPr>
            <w:r>
              <w:rPr>
                <w:rFonts w:hint="eastAsia"/>
                <w:szCs w:val="21"/>
              </w:rPr>
              <w:t>678</w:t>
            </w:r>
          </w:p>
        </w:tc>
        <w:tc>
          <w:tcPr>
            <w:tcW w:w="600" w:type="pct"/>
            <w:vAlign w:val="center"/>
          </w:tcPr>
          <w:p w14:paraId="40A8DFDD">
            <w:pPr>
              <w:pStyle w:val="133"/>
              <w:rPr>
                <w:szCs w:val="21"/>
              </w:rPr>
            </w:pPr>
            <w:r>
              <w:rPr>
                <w:rFonts w:hint="eastAsia"/>
                <w:szCs w:val="21"/>
              </w:rPr>
              <w:t>粉煤</w:t>
            </w:r>
          </w:p>
        </w:tc>
        <w:tc>
          <w:tcPr>
            <w:tcW w:w="536" w:type="pct"/>
            <w:vAlign w:val="center"/>
          </w:tcPr>
          <w:p w14:paraId="29A0F236">
            <w:pPr>
              <w:pStyle w:val="133"/>
              <w:rPr>
                <w:szCs w:val="21"/>
              </w:rPr>
            </w:pPr>
            <w:r>
              <w:rPr>
                <w:rFonts w:hint="eastAsia"/>
                <w:szCs w:val="21"/>
              </w:rPr>
              <w:t>一般固废</w:t>
            </w:r>
          </w:p>
        </w:tc>
        <w:tc>
          <w:tcPr>
            <w:tcW w:w="536" w:type="pct"/>
            <w:vAlign w:val="center"/>
          </w:tcPr>
          <w:p w14:paraId="1E78BBB0">
            <w:pPr>
              <w:pStyle w:val="133"/>
              <w:rPr>
                <w:szCs w:val="21"/>
              </w:rPr>
            </w:pPr>
            <w:r>
              <w:rPr>
                <w:szCs w:val="21"/>
              </w:rPr>
              <w:t>SW59</w:t>
            </w:r>
          </w:p>
        </w:tc>
        <w:tc>
          <w:tcPr>
            <w:tcW w:w="636" w:type="pct"/>
            <w:vAlign w:val="center"/>
          </w:tcPr>
          <w:p w14:paraId="18C52003">
            <w:pPr>
              <w:pStyle w:val="133"/>
              <w:rPr>
                <w:szCs w:val="21"/>
              </w:rPr>
            </w:pPr>
            <w:r>
              <w:rPr>
                <w:rFonts w:hint="eastAsia"/>
                <w:szCs w:val="21"/>
              </w:rPr>
              <w:t>252</w:t>
            </w:r>
            <w:r>
              <w:rPr>
                <w:szCs w:val="21"/>
              </w:rPr>
              <w:t>-099-S59</w:t>
            </w:r>
          </w:p>
        </w:tc>
        <w:tc>
          <w:tcPr>
            <w:tcW w:w="925" w:type="pct"/>
            <w:vAlign w:val="center"/>
          </w:tcPr>
          <w:p w14:paraId="5D69DB18">
            <w:pPr>
              <w:pStyle w:val="133"/>
              <w:rPr>
                <w:szCs w:val="21"/>
              </w:rPr>
            </w:pPr>
            <w:r>
              <w:rPr>
                <w:rFonts w:hint="eastAsia"/>
                <w:szCs w:val="21"/>
              </w:rPr>
              <w:t>沫煤外售</w:t>
            </w:r>
          </w:p>
        </w:tc>
      </w:tr>
      <w:tr w14:paraId="168EB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4806D7C3">
            <w:pPr>
              <w:pStyle w:val="133"/>
              <w:rPr>
                <w:szCs w:val="21"/>
              </w:rPr>
            </w:pPr>
            <w:r>
              <w:rPr>
                <w:szCs w:val="21"/>
              </w:rPr>
              <w:t>S</w:t>
            </w:r>
            <w:r>
              <w:rPr>
                <w:rFonts w:hint="eastAsia"/>
                <w:szCs w:val="21"/>
              </w:rPr>
              <w:t>1-</w:t>
            </w:r>
            <w:r>
              <w:rPr>
                <w:szCs w:val="21"/>
              </w:rPr>
              <w:t>2</w:t>
            </w:r>
          </w:p>
        </w:tc>
        <w:tc>
          <w:tcPr>
            <w:tcW w:w="863" w:type="pct"/>
            <w:vAlign w:val="center"/>
          </w:tcPr>
          <w:p w14:paraId="49903BFD">
            <w:pPr>
              <w:pStyle w:val="133"/>
              <w:rPr>
                <w:szCs w:val="21"/>
              </w:rPr>
            </w:pPr>
            <w:r>
              <w:rPr>
                <w:rFonts w:hint="eastAsia"/>
                <w:szCs w:val="21"/>
              </w:rPr>
              <w:t>焦粉</w:t>
            </w:r>
          </w:p>
        </w:tc>
        <w:tc>
          <w:tcPr>
            <w:tcW w:w="635" w:type="pct"/>
            <w:vAlign w:val="center"/>
          </w:tcPr>
          <w:p w14:paraId="3D5A452F">
            <w:pPr>
              <w:pStyle w:val="133"/>
              <w:rPr>
                <w:szCs w:val="21"/>
              </w:rPr>
            </w:pPr>
            <w:r>
              <w:rPr>
                <w:rFonts w:hint="eastAsia"/>
                <w:szCs w:val="21"/>
              </w:rPr>
              <w:t>178</w:t>
            </w:r>
          </w:p>
        </w:tc>
        <w:tc>
          <w:tcPr>
            <w:tcW w:w="600" w:type="pct"/>
            <w:vAlign w:val="center"/>
          </w:tcPr>
          <w:p w14:paraId="4B1CE19B">
            <w:pPr>
              <w:pStyle w:val="133"/>
              <w:rPr>
                <w:szCs w:val="21"/>
              </w:rPr>
            </w:pPr>
            <w:r>
              <w:rPr>
                <w:rFonts w:hint="eastAsia"/>
                <w:szCs w:val="21"/>
              </w:rPr>
              <w:t>粉焦</w:t>
            </w:r>
          </w:p>
        </w:tc>
        <w:tc>
          <w:tcPr>
            <w:tcW w:w="536" w:type="pct"/>
            <w:vAlign w:val="center"/>
          </w:tcPr>
          <w:p w14:paraId="2E07E6BA">
            <w:pPr>
              <w:pStyle w:val="133"/>
              <w:rPr>
                <w:szCs w:val="21"/>
              </w:rPr>
            </w:pPr>
            <w:r>
              <w:rPr>
                <w:rFonts w:hint="eastAsia"/>
                <w:szCs w:val="21"/>
              </w:rPr>
              <w:t>一般固废</w:t>
            </w:r>
          </w:p>
        </w:tc>
        <w:tc>
          <w:tcPr>
            <w:tcW w:w="536" w:type="pct"/>
            <w:vAlign w:val="center"/>
          </w:tcPr>
          <w:p w14:paraId="002B4B3C">
            <w:pPr>
              <w:pStyle w:val="133"/>
              <w:rPr>
                <w:szCs w:val="21"/>
              </w:rPr>
            </w:pPr>
            <w:r>
              <w:rPr>
                <w:szCs w:val="21"/>
              </w:rPr>
              <w:t>SW59</w:t>
            </w:r>
          </w:p>
        </w:tc>
        <w:tc>
          <w:tcPr>
            <w:tcW w:w="636" w:type="pct"/>
            <w:vAlign w:val="center"/>
          </w:tcPr>
          <w:p w14:paraId="17F1F239">
            <w:pPr>
              <w:pStyle w:val="133"/>
              <w:rPr>
                <w:szCs w:val="21"/>
              </w:rPr>
            </w:pPr>
            <w:r>
              <w:rPr>
                <w:rFonts w:hint="eastAsia"/>
                <w:szCs w:val="21"/>
              </w:rPr>
              <w:t>252</w:t>
            </w:r>
            <w:r>
              <w:rPr>
                <w:szCs w:val="21"/>
              </w:rPr>
              <w:t>-099-S59</w:t>
            </w:r>
          </w:p>
        </w:tc>
        <w:tc>
          <w:tcPr>
            <w:tcW w:w="925" w:type="pct"/>
            <w:vAlign w:val="center"/>
          </w:tcPr>
          <w:p w14:paraId="37E63BBE">
            <w:pPr>
              <w:pStyle w:val="133"/>
              <w:rPr>
                <w:szCs w:val="21"/>
              </w:rPr>
            </w:pPr>
            <w:r>
              <w:rPr>
                <w:rFonts w:hint="eastAsia"/>
                <w:szCs w:val="21"/>
              </w:rPr>
              <w:t>焦粉外售</w:t>
            </w:r>
          </w:p>
        </w:tc>
      </w:tr>
      <w:tr w14:paraId="66934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7B36F175">
            <w:pPr>
              <w:pStyle w:val="133"/>
              <w:rPr>
                <w:szCs w:val="21"/>
              </w:rPr>
            </w:pPr>
            <w:r>
              <w:rPr>
                <w:szCs w:val="21"/>
              </w:rPr>
              <w:t>S</w:t>
            </w:r>
            <w:r>
              <w:rPr>
                <w:rFonts w:hint="eastAsia"/>
                <w:szCs w:val="21"/>
              </w:rPr>
              <w:t>1-</w:t>
            </w:r>
            <w:r>
              <w:rPr>
                <w:szCs w:val="21"/>
              </w:rPr>
              <w:t>3</w:t>
            </w:r>
          </w:p>
        </w:tc>
        <w:tc>
          <w:tcPr>
            <w:tcW w:w="863" w:type="pct"/>
            <w:vAlign w:val="center"/>
          </w:tcPr>
          <w:p w14:paraId="05DA09F2">
            <w:pPr>
              <w:pStyle w:val="133"/>
              <w:rPr>
                <w:szCs w:val="21"/>
              </w:rPr>
            </w:pPr>
            <w:r>
              <w:rPr>
                <w:rFonts w:hint="eastAsia"/>
                <w:szCs w:val="21"/>
              </w:rPr>
              <w:t>硫酸钠滤饼</w:t>
            </w:r>
          </w:p>
        </w:tc>
        <w:tc>
          <w:tcPr>
            <w:tcW w:w="635" w:type="pct"/>
            <w:vAlign w:val="center"/>
          </w:tcPr>
          <w:p w14:paraId="18BC46E2">
            <w:pPr>
              <w:pStyle w:val="133"/>
              <w:rPr>
                <w:szCs w:val="21"/>
              </w:rPr>
            </w:pPr>
            <w:r>
              <w:rPr>
                <w:rFonts w:hint="eastAsia"/>
                <w:szCs w:val="21"/>
              </w:rPr>
              <w:t>2320</w:t>
            </w:r>
          </w:p>
        </w:tc>
        <w:tc>
          <w:tcPr>
            <w:tcW w:w="600" w:type="pct"/>
            <w:vAlign w:val="center"/>
          </w:tcPr>
          <w:p w14:paraId="09F807E6">
            <w:pPr>
              <w:pStyle w:val="133"/>
              <w:rPr>
                <w:szCs w:val="21"/>
              </w:rPr>
            </w:pPr>
            <w:r>
              <w:rPr>
                <w:rFonts w:hint="eastAsia"/>
                <w:szCs w:val="21"/>
              </w:rPr>
              <w:t>硫酸钠盐、水30%</w:t>
            </w:r>
          </w:p>
        </w:tc>
        <w:tc>
          <w:tcPr>
            <w:tcW w:w="536" w:type="pct"/>
            <w:vAlign w:val="center"/>
          </w:tcPr>
          <w:p w14:paraId="0B53B416">
            <w:pPr>
              <w:pStyle w:val="133"/>
              <w:rPr>
                <w:szCs w:val="21"/>
              </w:rPr>
            </w:pPr>
            <w:r>
              <w:rPr>
                <w:rFonts w:hint="eastAsia"/>
                <w:szCs w:val="21"/>
              </w:rPr>
              <w:t>一般固废</w:t>
            </w:r>
          </w:p>
        </w:tc>
        <w:tc>
          <w:tcPr>
            <w:tcW w:w="536" w:type="pct"/>
            <w:vAlign w:val="center"/>
          </w:tcPr>
          <w:p w14:paraId="253065F1">
            <w:pPr>
              <w:pStyle w:val="133"/>
              <w:rPr>
                <w:szCs w:val="21"/>
              </w:rPr>
            </w:pPr>
            <w:r>
              <w:rPr>
                <w:rFonts w:hint="eastAsia"/>
                <w:szCs w:val="21"/>
              </w:rPr>
              <w:t>SW16</w:t>
            </w:r>
          </w:p>
        </w:tc>
        <w:tc>
          <w:tcPr>
            <w:tcW w:w="636" w:type="pct"/>
            <w:vAlign w:val="center"/>
          </w:tcPr>
          <w:p w14:paraId="4CC39FFF">
            <w:pPr>
              <w:pStyle w:val="133"/>
              <w:rPr>
                <w:szCs w:val="21"/>
              </w:rPr>
            </w:pPr>
            <w:r>
              <w:rPr>
                <w:rFonts w:hint="eastAsia"/>
                <w:szCs w:val="21"/>
              </w:rPr>
              <w:t>252-005-S16</w:t>
            </w:r>
          </w:p>
        </w:tc>
        <w:tc>
          <w:tcPr>
            <w:tcW w:w="925" w:type="pct"/>
            <w:vAlign w:val="center"/>
          </w:tcPr>
          <w:p w14:paraId="07DDE47D">
            <w:pPr>
              <w:pStyle w:val="133"/>
              <w:rPr>
                <w:szCs w:val="21"/>
              </w:rPr>
            </w:pPr>
            <w:bookmarkStart w:id="517" w:name="_Hlk193792768"/>
            <w:r>
              <w:rPr>
                <w:rFonts w:hint="eastAsia"/>
                <w:szCs w:val="21"/>
              </w:rPr>
              <w:t>厂外综合利用</w:t>
            </w:r>
            <w:bookmarkEnd w:id="517"/>
          </w:p>
        </w:tc>
      </w:tr>
      <w:tr w14:paraId="2F53C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3A968ED8">
            <w:pPr>
              <w:pStyle w:val="133"/>
              <w:rPr>
                <w:szCs w:val="21"/>
              </w:rPr>
            </w:pPr>
            <w:r>
              <w:rPr>
                <w:szCs w:val="21"/>
              </w:rPr>
              <w:t>S</w:t>
            </w:r>
            <w:r>
              <w:rPr>
                <w:rFonts w:hint="eastAsia"/>
                <w:szCs w:val="21"/>
              </w:rPr>
              <w:t>1-4</w:t>
            </w:r>
          </w:p>
        </w:tc>
        <w:tc>
          <w:tcPr>
            <w:tcW w:w="863" w:type="pct"/>
            <w:vAlign w:val="center"/>
          </w:tcPr>
          <w:p w14:paraId="3CF2CB03">
            <w:pPr>
              <w:pStyle w:val="133"/>
              <w:rPr>
                <w:szCs w:val="21"/>
              </w:rPr>
            </w:pPr>
            <w:r>
              <w:rPr>
                <w:rFonts w:hint="eastAsia"/>
                <w:szCs w:val="21"/>
              </w:rPr>
              <w:t>煤焦油</w:t>
            </w:r>
          </w:p>
        </w:tc>
        <w:tc>
          <w:tcPr>
            <w:tcW w:w="635" w:type="pct"/>
            <w:vAlign w:val="center"/>
          </w:tcPr>
          <w:p w14:paraId="49630410">
            <w:pPr>
              <w:pStyle w:val="133"/>
              <w:rPr>
                <w:szCs w:val="21"/>
              </w:rPr>
            </w:pPr>
            <w:r>
              <w:rPr>
                <w:rFonts w:hint="eastAsia"/>
                <w:szCs w:val="21"/>
              </w:rPr>
              <w:t>97000</w:t>
            </w:r>
          </w:p>
        </w:tc>
        <w:tc>
          <w:tcPr>
            <w:tcW w:w="600" w:type="pct"/>
            <w:vAlign w:val="center"/>
          </w:tcPr>
          <w:p w14:paraId="769FA8B6">
            <w:pPr>
              <w:pStyle w:val="133"/>
              <w:rPr>
                <w:szCs w:val="21"/>
              </w:rPr>
            </w:pPr>
            <w:r>
              <w:rPr>
                <w:rFonts w:hint="eastAsia"/>
                <w:szCs w:val="21"/>
              </w:rPr>
              <w:t>矿物油</w:t>
            </w:r>
          </w:p>
        </w:tc>
        <w:tc>
          <w:tcPr>
            <w:tcW w:w="536" w:type="pct"/>
            <w:vAlign w:val="center"/>
          </w:tcPr>
          <w:p w14:paraId="66183238">
            <w:pPr>
              <w:pStyle w:val="133"/>
              <w:rPr>
                <w:color w:val="FF0000"/>
                <w:szCs w:val="21"/>
              </w:rPr>
            </w:pPr>
            <w:r>
              <w:rPr>
                <w:rFonts w:hint="eastAsia" w:cs="Times New Roman"/>
              </w:rPr>
              <w:t>危险废物</w:t>
            </w:r>
          </w:p>
        </w:tc>
        <w:tc>
          <w:tcPr>
            <w:tcW w:w="536" w:type="pct"/>
            <w:vAlign w:val="center"/>
          </w:tcPr>
          <w:p w14:paraId="494B81F5">
            <w:pPr>
              <w:pStyle w:val="133"/>
              <w:rPr>
                <w:color w:val="000000"/>
                <w:szCs w:val="21"/>
              </w:rPr>
            </w:pPr>
            <w:r>
              <w:rPr>
                <w:color w:val="000000"/>
                <w:szCs w:val="21"/>
              </w:rPr>
              <w:t>HW</w:t>
            </w:r>
            <w:r>
              <w:rPr>
                <w:rFonts w:hint="eastAsia"/>
                <w:color w:val="000000"/>
                <w:szCs w:val="21"/>
              </w:rPr>
              <w:t>11</w:t>
            </w:r>
          </w:p>
        </w:tc>
        <w:tc>
          <w:tcPr>
            <w:tcW w:w="636" w:type="pct"/>
            <w:vAlign w:val="center"/>
          </w:tcPr>
          <w:p w14:paraId="70C57841">
            <w:pPr>
              <w:pStyle w:val="133"/>
              <w:rPr>
                <w:color w:val="000000"/>
                <w:szCs w:val="21"/>
              </w:rPr>
            </w:pPr>
            <w:r>
              <w:rPr>
                <w:snapToGrid w:val="0"/>
                <w:color w:val="000000"/>
                <w:szCs w:val="21"/>
              </w:rPr>
              <w:t>25</w:t>
            </w:r>
            <w:r>
              <w:rPr>
                <w:rFonts w:hint="eastAsia"/>
                <w:snapToGrid w:val="0"/>
                <w:color w:val="000000"/>
                <w:szCs w:val="21"/>
              </w:rPr>
              <w:t>2</w:t>
            </w:r>
            <w:r>
              <w:rPr>
                <w:snapToGrid w:val="0"/>
                <w:color w:val="000000"/>
                <w:szCs w:val="21"/>
              </w:rPr>
              <w:t>-</w:t>
            </w:r>
            <w:r>
              <w:rPr>
                <w:rFonts w:hint="eastAsia"/>
                <w:snapToGrid w:val="0"/>
                <w:color w:val="000000"/>
                <w:szCs w:val="21"/>
              </w:rPr>
              <w:t>002-11</w:t>
            </w:r>
          </w:p>
        </w:tc>
        <w:tc>
          <w:tcPr>
            <w:tcW w:w="925" w:type="pct"/>
            <w:vAlign w:val="center"/>
          </w:tcPr>
          <w:p w14:paraId="62A3572A">
            <w:pPr>
              <w:pStyle w:val="133"/>
              <w:rPr>
                <w:szCs w:val="21"/>
              </w:rPr>
            </w:pPr>
            <w:bookmarkStart w:id="518" w:name="_Hlk193792692"/>
            <w:r>
              <w:rPr>
                <w:rFonts w:hint="eastAsia"/>
                <w:szCs w:val="21"/>
              </w:rPr>
              <w:t>危险废物处置单位综合利用</w:t>
            </w:r>
            <w:bookmarkEnd w:id="518"/>
          </w:p>
        </w:tc>
      </w:tr>
      <w:tr w14:paraId="1CACA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3B538CE0">
            <w:pPr>
              <w:pStyle w:val="133"/>
              <w:rPr>
                <w:szCs w:val="21"/>
              </w:rPr>
            </w:pPr>
            <w:r>
              <w:rPr>
                <w:szCs w:val="21"/>
              </w:rPr>
              <w:t>S</w:t>
            </w:r>
            <w:r>
              <w:rPr>
                <w:rFonts w:hint="eastAsia"/>
                <w:szCs w:val="21"/>
              </w:rPr>
              <w:t>1-5</w:t>
            </w:r>
          </w:p>
        </w:tc>
        <w:tc>
          <w:tcPr>
            <w:tcW w:w="863" w:type="pct"/>
            <w:vAlign w:val="center"/>
          </w:tcPr>
          <w:p w14:paraId="0F503E3A">
            <w:pPr>
              <w:pStyle w:val="133"/>
              <w:rPr>
                <w:szCs w:val="21"/>
              </w:rPr>
            </w:pPr>
            <w:r>
              <w:rPr>
                <w:rFonts w:hint="eastAsia"/>
                <w:szCs w:val="21"/>
              </w:rPr>
              <w:t>焦油渣</w:t>
            </w:r>
          </w:p>
        </w:tc>
        <w:tc>
          <w:tcPr>
            <w:tcW w:w="635" w:type="pct"/>
            <w:vAlign w:val="center"/>
          </w:tcPr>
          <w:p w14:paraId="146FEA2D">
            <w:pPr>
              <w:pStyle w:val="133"/>
              <w:rPr>
                <w:szCs w:val="21"/>
              </w:rPr>
            </w:pPr>
            <w:r>
              <w:rPr>
                <w:rFonts w:hint="eastAsia"/>
                <w:szCs w:val="21"/>
              </w:rPr>
              <w:t>360</w:t>
            </w:r>
          </w:p>
        </w:tc>
        <w:tc>
          <w:tcPr>
            <w:tcW w:w="600" w:type="pct"/>
            <w:vAlign w:val="center"/>
          </w:tcPr>
          <w:p w14:paraId="24776F2E">
            <w:pPr>
              <w:pStyle w:val="133"/>
              <w:rPr>
                <w:szCs w:val="21"/>
              </w:rPr>
            </w:pPr>
            <w:r>
              <w:rPr>
                <w:rFonts w:hint="eastAsia"/>
                <w:szCs w:val="21"/>
              </w:rPr>
              <w:t>矿物油</w:t>
            </w:r>
          </w:p>
        </w:tc>
        <w:tc>
          <w:tcPr>
            <w:tcW w:w="536" w:type="pct"/>
            <w:vAlign w:val="center"/>
          </w:tcPr>
          <w:p w14:paraId="14F0FF58">
            <w:pPr>
              <w:pStyle w:val="133"/>
              <w:rPr>
                <w:color w:val="FF0000"/>
                <w:szCs w:val="21"/>
              </w:rPr>
            </w:pPr>
            <w:r>
              <w:rPr>
                <w:rFonts w:hint="eastAsia" w:cs="Times New Roman"/>
              </w:rPr>
              <w:t>危险废物</w:t>
            </w:r>
          </w:p>
        </w:tc>
        <w:tc>
          <w:tcPr>
            <w:tcW w:w="536" w:type="pct"/>
            <w:vAlign w:val="center"/>
          </w:tcPr>
          <w:p w14:paraId="7C809F51">
            <w:pPr>
              <w:pStyle w:val="133"/>
              <w:rPr>
                <w:color w:val="000000"/>
                <w:szCs w:val="21"/>
              </w:rPr>
            </w:pPr>
            <w:r>
              <w:rPr>
                <w:color w:val="000000"/>
                <w:szCs w:val="21"/>
              </w:rPr>
              <w:t>HW</w:t>
            </w:r>
            <w:r>
              <w:rPr>
                <w:rFonts w:hint="eastAsia"/>
                <w:color w:val="000000"/>
                <w:szCs w:val="21"/>
              </w:rPr>
              <w:t>11</w:t>
            </w:r>
          </w:p>
        </w:tc>
        <w:tc>
          <w:tcPr>
            <w:tcW w:w="636" w:type="pct"/>
            <w:vAlign w:val="center"/>
          </w:tcPr>
          <w:p w14:paraId="6D6CEA26">
            <w:pPr>
              <w:pStyle w:val="133"/>
              <w:rPr>
                <w:color w:val="000000"/>
                <w:szCs w:val="21"/>
              </w:rPr>
            </w:pPr>
            <w:r>
              <w:rPr>
                <w:snapToGrid w:val="0"/>
                <w:color w:val="000000"/>
                <w:szCs w:val="21"/>
              </w:rPr>
              <w:t>25</w:t>
            </w:r>
            <w:r>
              <w:rPr>
                <w:rFonts w:hint="eastAsia"/>
                <w:snapToGrid w:val="0"/>
                <w:color w:val="000000"/>
                <w:szCs w:val="21"/>
              </w:rPr>
              <w:t>2</w:t>
            </w:r>
            <w:r>
              <w:rPr>
                <w:snapToGrid w:val="0"/>
                <w:color w:val="000000"/>
                <w:szCs w:val="21"/>
              </w:rPr>
              <w:t>-</w:t>
            </w:r>
            <w:r>
              <w:rPr>
                <w:rFonts w:hint="eastAsia"/>
                <w:snapToGrid w:val="0"/>
                <w:color w:val="000000"/>
                <w:szCs w:val="21"/>
              </w:rPr>
              <w:t>002-11</w:t>
            </w:r>
          </w:p>
        </w:tc>
        <w:tc>
          <w:tcPr>
            <w:tcW w:w="925" w:type="pct"/>
            <w:vMerge w:val="restart"/>
            <w:vAlign w:val="center"/>
          </w:tcPr>
          <w:p w14:paraId="065F9A3C">
            <w:pPr>
              <w:pStyle w:val="133"/>
              <w:rPr>
                <w:szCs w:val="21"/>
              </w:rPr>
            </w:pPr>
            <w:bookmarkStart w:id="519" w:name="_Hlk193792705"/>
            <w:r>
              <w:rPr>
                <w:rFonts w:hint="eastAsia"/>
                <w:szCs w:val="21"/>
              </w:rPr>
              <w:t>备煤工段掺烧</w:t>
            </w:r>
            <w:bookmarkEnd w:id="519"/>
          </w:p>
        </w:tc>
      </w:tr>
      <w:tr w14:paraId="17CE3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27C0F1EE">
            <w:pPr>
              <w:pStyle w:val="133"/>
              <w:rPr>
                <w:szCs w:val="21"/>
              </w:rPr>
            </w:pPr>
            <w:r>
              <w:rPr>
                <w:szCs w:val="21"/>
              </w:rPr>
              <w:t>S</w:t>
            </w:r>
            <w:r>
              <w:rPr>
                <w:rFonts w:hint="eastAsia"/>
                <w:szCs w:val="21"/>
              </w:rPr>
              <w:t>1-6</w:t>
            </w:r>
          </w:p>
        </w:tc>
        <w:tc>
          <w:tcPr>
            <w:tcW w:w="863" w:type="pct"/>
            <w:vAlign w:val="center"/>
          </w:tcPr>
          <w:p w14:paraId="300DF3C8">
            <w:pPr>
              <w:pStyle w:val="133"/>
              <w:rPr>
                <w:szCs w:val="21"/>
              </w:rPr>
            </w:pPr>
            <w:r>
              <w:rPr>
                <w:rFonts w:hint="eastAsia"/>
                <w:szCs w:val="21"/>
              </w:rPr>
              <w:t>焦油渣</w:t>
            </w:r>
          </w:p>
        </w:tc>
        <w:tc>
          <w:tcPr>
            <w:tcW w:w="635" w:type="pct"/>
            <w:vAlign w:val="center"/>
          </w:tcPr>
          <w:p w14:paraId="224DFB9A">
            <w:pPr>
              <w:pStyle w:val="133"/>
              <w:rPr>
                <w:szCs w:val="21"/>
              </w:rPr>
            </w:pPr>
            <w:r>
              <w:rPr>
                <w:rFonts w:hint="eastAsia"/>
                <w:szCs w:val="21"/>
              </w:rPr>
              <w:t>240</w:t>
            </w:r>
          </w:p>
        </w:tc>
        <w:tc>
          <w:tcPr>
            <w:tcW w:w="600" w:type="pct"/>
            <w:vAlign w:val="center"/>
          </w:tcPr>
          <w:p w14:paraId="24BA0269">
            <w:pPr>
              <w:pStyle w:val="133"/>
              <w:rPr>
                <w:szCs w:val="21"/>
              </w:rPr>
            </w:pPr>
            <w:r>
              <w:rPr>
                <w:rFonts w:hint="eastAsia"/>
                <w:szCs w:val="21"/>
              </w:rPr>
              <w:t>矿物油</w:t>
            </w:r>
          </w:p>
        </w:tc>
        <w:tc>
          <w:tcPr>
            <w:tcW w:w="536" w:type="pct"/>
            <w:vAlign w:val="center"/>
          </w:tcPr>
          <w:p w14:paraId="0EFB4A38">
            <w:pPr>
              <w:pStyle w:val="133"/>
              <w:rPr>
                <w:color w:val="FF0000"/>
                <w:szCs w:val="21"/>
              </w:rPr>
            </w:pPr>
            <w:r>
              <w:rPr>
                <w:rFonts w:hint="eastAsia" w:cs="Times New Roman"/>
              </w:rPr>
              <w:t>危险废物</w:t>
            </w:r>
          </w:p>
        </w:tc>
        <w:tc>
          <w:tcPr>
            <w:tcW w:w="536" w:type="pct"/>
            <w:vAlign w:val="center"/>
          </w:tcPr>
          <w:p w14:paraId="595AF22D">
            <w:pPr>
              <w:pStyle w:val="133"/>
              <w:rPr>
                <w:color w:val="000000"/>
                <w:szCs w:val="21"/>
              </w:rPr>
            </w:pPr>
            <w:r>
              <w:rPr>
                <w:color w:val="000000"/>
                <w:szCs w:val="21"/>
              </w:rPr>
              <w:t>HW</w:t>
            </w:r>
            <w:r>
              <w:rPr>
                <w:rFonts w:hint="eastAsia"/>
                <w:color w:val="000000"/>
                <w:szCs w:val="21"/>
              </w:rPr>
              <w:t>11</w:t>
            </w:r>
          </w:p>
        </w:tc>
        <w:tc>
          <w:tcPr>
            <w:tcW w:w="636" w:type="pct"/>
            <w:vAlign w:val="center"/>
          </w:tcPr>
          <w:p w14:paraId="11098C28">
            <w:pPr>
              <w:pStyle w:val="133"/>
              <w:rPr>
                <w:color w:val="000000"/>
                <w:szCs w:val="21"/>
              </w:rPr>
            </w:pPr>
            <w:r>
              <w:rPr>
                <w:snapToGrid w:val="0"/>
                <w:color w:val="000000"/>
                <w:szCs w:val="21"/>
              </w:rPr>
              <w:t>25</w:t>
            </w:r>
            <w:r>
              <w:rPr>
                <w:rFonts w:hint="eastAsia"/>
                <w:snapToGrid w:val="0"/>
                <w:color w:val="000000"/>
                <w:szCs w:val="21"/>
              </w:rPr>
              <w:t>2</w:t>
            </w:r>
            <w:r>
              <w:rPr>
                <w:snapToGrid w:val="0"/>
                <w:color w:val="000000"/>
                <w:szCs w:val="21"/>
              </w:rPr>
              <w:t>-</w:t>
            </w:r>
            <w:r>
              <w:rPr>
                <w:rFonts w:hint="eastAsia"/>
                <w:snapToGrid w:val="0"/>
                <w:color w:val="000000"/>
                <w:szCs w:val="21"/>
              </w:rPr>
              <w:t>004-11</w:t>
            </w:r>
          </w:p>
        </w:tc>
        <w:tc>
          <w:tcPr>
            <w:tcW w:w="925" w:type="pct"/>
            <w:vMerge w:val="continue"/>
            <w:vAlign w:val="center"/>
          </w:tcPr>
          <w:p w14:paraId="36528BE9">
            <w:pPr>
              <w:pStyle w:val="133"/>
              <w:rPr>
                <w:szCs w:val="21"/>
              </w:rPr>
            </w:pPr>
          </w:p>
        </w:tc>
      </w:tr>
      <w:tr w14:paraId="76DDB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5D47F181">
            <w:pPr>
              <w:pStyle w:val="133"/>
              <w:rPr>
                <w:szCs w:val="21"/>
              </w:rPr>
            </w:pPr>
            <w:r>
              <w:rPr>
                <w:szCs w:val="21"/>
              </w:rPr>
              <w:t>S</w:t>
            </w:r>
            <w:r>
              <w:rPr>
                <w:rFonts w:hint="eastAsia"/>
                <w:szCs w:val="21"/>
              </w:rPr>
              <w:t>1-7</w:t>
            </w:r>
          </w:p>
        </w:tc>
        <w:tc>
          <w:tcPr>
            <w:tcW w:w="863" w:type="pct"/>
            <w:vAlign w:val="center"/>
          </w:tcPr>
          <w:p w14:paraId="2C08CBF7">
            <w:pPr>
              <w:pStyle w:val="133"/>
              <w:rPr>
                <w:szCs w:val="21"/>
              </w:rPr>
            </w:pPr>
            <w:r>
              <w:rPr>
                <w:szCs w:val="21"/>
              </w:rPr>
              <w:t>废活性炭</w:t>
            </w:r>
          </w:p>
        </w:tc>
        <w:tc>
          <w:tcPr>
            <w:tcW w:w="635" w:type="pct"/>
            <w:vAlign w:val="center"/>
          </w:tcPr>
          <w:p w14:paraId="68857DFF">
            <w:pPr>
              <w:pStyle w:val="133"/>
              <w:rPr>
                <w:szCs w:val="21"/>
              </w:rPr>
            </w:pPr>
            <w:r>
              <w:rPr>
                <w:rFonts w:hint="eastAsia"/>
                <w:szCs w:val="21"/>
              </w:rPr>
              <w:t>4</w:t>
            </w:r>
          </w:p>
        </w:tc>
        <w:tc>
          <w:tcPr>
            <w:tcW w:w="600" w:type="pct"/>
            <w:vAlign w:val="center"/>
          </w:tcPr>
          <w:p w14:paraId="643F9379">
            <w:pPr>
              <w:pStyle w:val="133"/>
              <w:rPr>
                <w:szCs w:val="21"/>
              </w:rPr>
            </w:pPr>
            <w:r>
              <w:rPr>
                <w:szCs w:val="21"/>
              </w:rPr>
              <w:t>活性炭</w:t>
            </w:r>
          </w:p>
        </w:tc>
        <w:tc>
          <w:tcPr>
            <w:tcW w:w="536" w:type="pct"/>
            <w:vAlign w:val="center"/>
          </w:tcPr>
          <w:p w14:paraId="7609821D">
            <w:pPr>
              <w:pStyle w:val="133"/>
              <w:rPr>
                <w:color w:val="FF0000"/>
                <w:szCs w:val="21"/>
              </w:rPr>
            </w:pPr>
            <w:r>
              <w:rPr>
                <w:rFonts w:hint="eastAsia" w:cs="Times New Roman"/>
              </w:rPr>
              <w:t>危险废物</w:t>
            </w:r>
          </w:p>
        </w:tc>
        <w:tc>
          <w:tcPr>
            <w:tcW w:w="536" w:type="pct"/>
            <w:vAlign w:val="center"/>
          </w:tcPr>
          <w:p w14:paraId="65D187B9">
            <w:pPr>
              <w:pStyle w:val="133"/>
              <w:rPr>
                <w:color w:val="000000"/>
                <w:szCs w:val="21"/>
              </w:rPr>
            </w:pPr>
            <w:r>
              <w:rPr>
                <w:color w:val="000000"/>
                <w:szCs w:val="21"/>
              </w:rPr>
              <w:t>HW49</w:t>
            </w:r>
          </w:p>
        </w:tc>
        <w:tc>
          <w:tcPr>
            <w:tcW w:w="636" w:type="pct"/>
            <w:vAlign w:val="center"/>
          </w:tcPr>
          <w:p w14:paraId="3250A158">
            <w:pPr>
              <w:pStyle w:val="133"/>
              <w:rPr>
                <w:color w:val="000000"/>
                <w:szCs w:val="21"/>
              </w:rPr>
            </w:pPr>
            <w:r>
              <w:rPr>
                <w:color w:val="000000"/>
                <w:szCs w:val="21"/>
              </w:rPr>
              <w:t>900-039-49</w:t>
            </w:r>
          </w:p>
        </w:tc>
        <w:tc>
          <w:tcPr>
            <w:tcW w:w="925" w:type="pct"/>
            <w:vAlign w:val="center"/>
          </w:tcPr>
          <w:p w14:paraId="5A4A7E57">
            <w:pPr>
              <w:pStyle w:val="133"/>
              <w:rPr>
                <w:szCs w:val="21"/>
              </w:rPr>
            </w:pPr>
            <w:bookmarkStart w:id="520" w:name="_Hlk193792777"/>
            <w:r>
              <w:rPr>
                <w:rFonts w:hint="eastAsia"/>
                <w:szCs w:val="21"/>
              </w:rPr>
              <w:t>备煤工段掺烧</w:t>
            </w:r>
            <w:bookmarkEnd w:id="520"/>
          </w:p>
        </w:tc>
      </w:tr>
      <w:tr w14:paraId="5968C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323B7AC2">
            <w:pPr>
              <w:pStyle w:val="133"/>
              <w:rPr>
                <w:szCs w:val="21"/>
              </w:rPr>
            </w:pPr>
            <w:r>
              <w:rPr>
                <w:szCs w:val="21"/>
              </w:rPr>
              <w:t>S</w:t>
            </w:r>
            <w:r>
              <w:rPr>
                <w:rFonts w:hint="eastAsia"/>
                <w:szCs w:val="21"/>
              </w:rPr>
              <w:t>1-8</w:t>
            </w:r>
          </w:p>
        </w:tc>
        <w:tc>
          <w:tcPr>
            <w:tcW w:w="863" w:type="pct"/>
            <w:vAlign w:val="center"/>
          </w:tcPr>
          <w:p w14:paraId="2EE12EBB">
            <w:pPr>
              <w:pStyle w:val="133"/>
              <w:rPr>
                <w:szCs w:val="21"/>
              </w:rPr>
            </w:pPr>
            <w:bookmarkStart w:id="521" w:name="_Hlk193792757"/>
            <w:r>
              <w:rPr>
                <w:rFonts w:hint="eastAsia"/>
                <w:szCs w:val="21"/>
              </w:rPr>
              <w:t>废催化剂</w:t>
            </w:r>
            <w:bookmarkEnd w:id="521"/>
          </w:p>
        </w:tc>
        <w:tc>
          <w:tcPr>
            <w:tcW w:w="635" w:type="pct"/>
            <w:vAlign w:val="center"/>
          </w:tcPr>
          <w:p w14:paraId="0FCA9600">
            <w:pPr>
              <w:pStyle w:val="133"/>
              <w:rPr>
                <w:szCs w:val="21"/>
              </w:rPr>
            </w:pPr>
            <w:r>
              <w:rPr>
                <w:rFonts w:hint="eastAsia"/>
                <w:szCs w:val="21"/>
              </w:rPr>
              <w:t>3</w:t>
            </w:r>
          </w:p>
        </w:tc>
        <w:tc>
          <w:tcPr>
            <w:tcW w:w="600" w:type="pct"/>
            <w:vAlign w:val="center"/>
          </w:tcPr>
          <w:p w14:paraId="69E93E36">
            <w:pPr>
              <w:pStyle w:val="133"/>
              <w:rPr>
                <w:szCs w:val="21"/>
              </w:rPr>
            </w:pPr>
            <w:r>
              <w:rPr>
                <w:rFonts w:cs="Times New Roman"/>
                <w:szCs w:val="21"/>
              </w:rPr>
              <w:t>贵金属</w:t>
            </w:r>
            <w:r>
              <w:rPr>
                <w:rFonts w:hint="eastAsia"/>
                <w:szCs w:val="21"/>
              </w:rPr>
              <w:t>铂</w:t>
            </w:r>
          </w:p>
        </w:tc>
        <w:tc>
          <w:tcPr>
            <w:tcW w:w="536" w:type="pct"/>
            <w:vAlign w:val="center"/>
          </w:tcPr>
          <w:p w14:paraId="34049102">
            <w:pPr>
              <w:pStyle w:val="133"/>
              <w:rPr>
                <w:szCs w:val="21"/>
              </w:rPr>
            </w:pPr>
            <w:r>
              <w:rPr>
                <w:rFonts w:hint="eastAsia"/>
                <w:szCs w:val="21"/>
              </w:rPr>
              <w:t>一般固废</w:t>
            </w:r>
          </w:p>
        </w:tc>
        <w:tc>
          <w:tcPr>
            <w:tcW w:w="536" w:type="pct"/>
            <w:vAlign w:val="center"/>
          </w:tcPr>
          <w:p w14:paraId="2E3BC914">
            <w:pPr>
              <w:pStyle w:val="133"/>
              <w:rPr>
                <w:szCs w:val="21"/>
              </w:rPr>
            </w:pPr>
            <w:r>
              <w:rPr>
                <w:rFonts w:hint="eastAsia"/>
                <w:szCs w:val="21"/>
              </w:rPr>
              <w:t>SW59</w:t>
            </w:r>
          </w:p>
        </w:tc>
        <w:tc>
          <w:tcPr>
            <w:tcW w:w="636" w:type="pct"/>
            <w:vAlign w:val="center"/>
          </w:tcPr>
          <w:p w14:paraId="469DC574">
            <w:pPr>
              <w:pStyle w:val="133"/>
              <w:rPr>
                <w:szCs w:val="21"/>
              </w:rPr>
            </w:pPr>
            <w:r>
              <w:rPr>
                <w:rFonts w:hint="eastAsia"/>
                <w:szCs w:val="21"/>
              </w:rPr>
              <w:t>252-004-S59</w:t>
            </w:r>
          </w:p>
        </w:tc>
        <w:tc>
          <w:tcPr>
            <w:tcW w:w="925" w:type="pct"/>
            <w:vAlign w:val="center"/>
          </w:tcPr>
          <w:p w14:paraId="2DACCE08">
            <w:pPr>
              <w:pStyle w:val="133"/>
              <w:rPr>
                <w:szCs w:val="21"/>
              </w:rPr>
            </w:pPr>
            <w:bookmarkStart w:id="522" w:name="_Hlk193792788"/>
            <w:r>
              <w:rPr>
                <w:rFonts w:hint="eastAsia"/>
                <w:szCs w:val="21"/>
              </w:rPr>
              <w:t>厂家回收</w:t>
            </w:r>
            <w:bookmarkEnd w:id="522"/>
          </w:p>
        </w:tc>
      </w:tr>
      <w:tr w14:paraId="65EC7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23F5976B">
            <w:pPr>
              <w:pStyle w:val="133"/>
              <w:rPr>
                <w:szCs w:val="21"/>
              </w:rPr>
            </w:pPr>
            <w:r>
              <w:rPr>
                <w:szCs w:val="21"/>
              </w:rPr>
              <w:t>S</w:t>
            </w:r>
            <w:r>
              <w:rPr>
                <w:rFonts w:hint="eastAsia"/>
                <w:szCs w:val="21"/>
              </w:rPr>
              <w:t>1-9</w:t>
            </w:r>
          </w:p>
        </w:tc>
        <w:tc>
          <w:tcPr>
            <w:tcW w:w="863" w:type="pct"/>
            <w:vAlign w:val="center"/>
          </w:tcPr>
          <w:p w14:paraId="1FBEB758">
            <w:pPr>
              <w:pStyle w:val="133"/>
              <w:rPr>
                <w:szCs w:val="21"/>
              </w:rPr>
            </w:pPr>
            <w:r>
              <w:rPr>
                <w:rFonts w:hint="eastAsia"/>
                <w:szCs w:val="21"/>
              </w:rPr>
              <w:t>硫酸铵溶液</w:t>
            </w:r>
          </w:p>
        </w:tc>
        <w:tc>
          <w:tcPr>
            <w:tcW w:w="635" w:type="pct"/>
            <w:vAlign w:val="center"/>
          </w:tcPr>
          <w:p w14:paraId="728C6BC7">
            <w:pPr>
              <w:pStyle w:val="133"/>
              <w:rPr>
                <w:szCs w:val="21"/>
              </w:rPr>
            </w:pPr>
            <w:r>
              <w:rPr>
                <w:rFonts w:hint="eastAsia"/>
                <w:szCs w:val="21"/>
              </w:rPr>
              <w:t>2128</w:t>
            </w:r>
          </w:p>
        </w:tc>
        <w:tc>
          <w:tcPr>
            <w:tcW w:w="600" w:type="pct"/>
            <w:vAlign w:val="center"/>
          </w:tcPr>
          <w:p w14:paraId="100FB612">
            <w:pPr>
              <w:pStyle w:val="133"/>
              <w:rPr>
                <w:szCs w:val="21"/>
              </w:rPr>
            </w:pPr>
            <w:r>
              <w:rPr>
                <w:rFonts w:hint="eastAsia"/>
                <w:szCs w:val="21"/>
              </w:rPr>
              <w:t>硫酸铵</w:t>
            </w:r>
          </w:p>
        </w:tc>
        <w:tc>
          <w:tcPr>
            <w:tcW w:w="536" w:type="pct"/>
            <w:vAlign w:val="center"/>
          </w:tcPr>
          <w:p w14:paraId="45C87EEB">
            <w:pPr>
              <w:pStyle w:val="133"/>
              <w:rPr>
                <w:szCs w:val="21"/>
              </w:rPr>
            </w:pPr>
            <w:r>
              <w:rPr>
                <w:rFonts w:hint="eastAsia"/>
                <w:szCs w:val="21"/>
              </w:rPr>
              <w:t>一般固废</w:t>
            </w:r>
          </w:p>
        </w:tc>
        <w:tc>
          <w:tcPr>
            <w:tcW w:w="536" w:type="pct"/>
            <w:vAlign w:val="center"/>
          </w:tcPr>
          <w:p w14:paraId="37B9E7EC">
            <w:pPr>
              <w:pStyle w:val="133"/>
              <w:rPr>
                <w:szCs w:val="21"/>
              </w:rPr>
            </w:pPr>
            <w:r>
              <w:rPr>
                <w:rFonts w:hint="eastAsia"/>
                <w:szCs w:val="21"/>
              </w:rPr>
              <w:t>SW16</w:t>
            </w:r>
          </w:p>
        </w:tc>
        <w:tc>
          <w:tcPr>
            <w:tcW w:w="636" w:type="pct"/>
            <w:vAlign w:val="center"/>
          </w:tcPr>
          <w:p w14:paraId="72030772">
            <w:pPr>
              <w:pStyle w:val="133"/>
              <w:rPr>
                <w:szCs w:val="21"/>
              </w:rPr>
            </w:pPr>
            <w:r>
              <w:rPr>
                <w:rFonts w:hint="eastAsia"/>
                <w:szCs w:val="21"/>
              </w:rPr>
              <w:t>252-005-S16</w:t>
            </w:r>
          </w:p>
        </w:tc>
        <w:tc>
          <w:tcPr>
            <w:tcW w:w="925" w:type="pct"/>
            <w:vAlign w:val="center"/>
          </w:tcPr>
          <w:p w14:paraId="7941A1E3">
            <w:pPr>
              <w:pStyle w:val="133"/>
              <w:rPr>
                <w:szCs w:val="21"/>
              </w:rPr>
            </w:pPr>
            <w:r>
              <w:rPr>
                <w:rFonts w:hint="eastAsia"/>
                <w:szCs w:val="21"/>
              </w:rPr>
              <w:t>肥料生产企业综合利用</w:t>
            </w:r>
          </w:p>
        </w:tc>
      </w:tr>
      <w:tr w14:paraId="2F003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3C7F5725">
            <w:pPr>
              <w:pStyle w:val="133"/>
              <w:rPr>
                <w:szCs w:val="21"/>
              </w:rPr>
            </w:pPr>
            <w:r>
              <w:rPr>
                <w:szCs w:val="21"/>
              </w:rPr>
              <w:t>S</w:t>
            </w:r>
            <w:r>
              <w:rPr>
                <w:rFonts w:hint="eastAsia"/>
                <w:szCs w:val="21"/>
              </w:rPr>
              <w:t>1-10</w:t>
            </w:r>
          </w:p>
        </w:tc>
        <w:tc>
          <w:tcPr>
            <w:tcW w:w="863" w:type="pct"/>
            <w:vAlign w:val="center"/>
          </w:tcPr>
          <w:p w14:paraId="7C3F0200">
            <w:pPr>
              <w:pStyle w:val="133"/>
              <w:rPr>
                <w:szCs w:val="21"/>
              </w:rPr>
            </w:pPr>
            <w:r>
              <w:rPr>
                <w:rFonts w:hint="eastAsia"/>
                <w:szCs w:val="21"/>
              </w:rPr>
              <w:t>煤泥</w:t>
            </w:r>
          </w:p>
        </w:tc>
        <w:tc>
          <w:tcPr>
            <w:tcW w:w="635" w:type="pct"/>
            <w:vAlign w:val="center"/>
          </w:tcPr>
          <w:p w14:paraId="183CB8DB">
            <w:pPr>
              <w:pStyle w:val="133"/>
              <w:rPr>
                <w:szCs w:val="21"/>
              </w:rPr>
            </w:pPr>
            <w:r>
              <w:rPr>
                <w:rFonts w:hint="eastAsia"/>
                <w:szCs w:val="21"/>
              </w:rPr>
              <w:t>991</w:t>
            </w:r>
          </w:p>
        </w:tc>
        <w:tc>
          <w:tcPr>
            <w:tcW w:w="600" w:type="pct"/>
            <w:vAlign w:val="center"/>
          </w:tcPr>
          <w:p w14:paraId="6C8C70F6">
            <w:pPr>
              <w:pStyle w:val="133"/>
              <w:rPr>
                <w:szCs w:val="21"/>
              </w:rPr>
            </w:pPr>
            <w:r>
              <w:rPr>
                <w:rFonts w:hint="eastAsia"/>
                <w:szCs w:val="21"/>
              </w:rPr>
              <w:t>煤粉、焦粉等</w:t>
            </w:r>
            <w:r>
              <w:rPr>
                <w:rFonts w:cs="Times New Roman"/>
                <w:szCs w:val="21"/>
              </w:rPr>
              <w:t>，含水约</w:t>
            </w:r>
            <w:r>
              <w:rPr>
                <w:rFonts w:hint="eastAsia" w:cs="Times New Roman"/>
                <w:szCs w:val="21"/>
              </w:rPr>
              <w:t>3</w:t>
            </w:r>
            <w:r>
              <w:rPr>
                <w:rFonts w:cs="Times New Roman"/>
                <w:szCs w:val="21"/>
              </w:rPr>
              <w:t>0%</w:t>
            </w:r>
          </w:p>
        </w:tc>
        <w:tc>
          <w:tcPr>
            <w:tcW w:w="536" w:type="pct"/>
            <w:vAlign w:val="center"/>
          </w:tcPr>
          <w:p w14:paraId="62D6918A">
            <w:pPr>
              <w:pStyle w:val="133"/>
              <w:rPr>
                <w:szCs w:val="21"/>
              </w:rPr>
            </w:pPr>
            <w:r>
              <w:rPr>
                <w:rFonts w:hint="eastAsia"/>
                <w:szCs w:val="21"/>
              </w:rPr>
              <w:t>一般固废</w:t>
            </w:r>
          </w:p>
        </w:tc>
        <w:tc>
          <w:tcPr>
            <w:tcW w:w="536" w:type="pct"/>
            <w:vAlign w:val="center"/>
          </w:tcPr>
          <w:p w14:paraId="5C9A44DB">
            <w:pPr>
              <w:pStyle w:val="133"/>
              <w:rPr>
                <w:szCs w:val="21"/>
              </w:rPr>
            </w:pPr>
            <w:r>
              <w:rPr>
                <w:szCs w:val="21"/>
              </w:rPr>
              <w:t>SW59</w:t>
            </w:r>
          </w:p>
        </w:tc>
        <w:tc>
          <w:tcPr>
            <w:tcW w:w="636" w:type="pct"/>
            <w:vAlign w:val="center"/>
          </w:tcPr>
          <w:p w14:paraId="25506AB7">
            <w:pPr>
              <w:pStyle w:val="133"/>
              <w:rPr>
                <w:szCs w:val="21"/>
              </w:rPr>
            </w:pPr>
            <w:r>
              <w:rPr>
                <w:rFonts w:hint="eastAsia"/>
                <w:szCs w:val="21"/>
              </w:rPr>
              <w:t>252</w:t>
            </w:r>
            <w:r>
              <w:rPr>
                <w:rFonts w:cs="Times New Roman"/>
                <w:szCs w:val="21"/>
              </w:rPr>
              <w:t>-099-S59</w:t>
            </w:r>
          </w:p>
        </w:tc>
        <w:tc>
          <w:tcPr>
            <w:tcW w:w="925" w:type="pct"/>
            <w:vAlign w:val="center"/>
          </w:tcPr>
          <w:p w14:paraId="191AAA33">
            <w:pPr>
              <w:pStyle w:val="133"/>
              <w:rPr>
                <w:rFonts w:cs="华文仿宋"/>
                <w:szCs w:val="21"/>
              </w:rPr>
            </w:pPr>
            <w:r>
              <w:rPr>
                <w:rFonts w:hint="eastAsia"/>
                <w:szCs w:val="21"/>
              </w:rPr>
              <w:t>备煤工段掺烧</w:t>
            </w:r>
          </w:p>
        </w:tc>
      </w:tr>
      <w:tr w14:paraId="14D38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365C1736">
            <w:pPr>
              <w:pStyle w:val="133"/>
              <w:rPr>
                <w:szCs w:val="21"/>
              </w:rPr>
            </w:pPr>
            <w:r>
              <w:rPr>
                <w:rFonts w:cs="Times New Roman"/>
              </w:rPr>
              <w:t>S</w:t>
            </w:r>
            <w:r>
              <w:rPr>
                <w:rFonts w:hint="eastAsia"/>
              </w:rPr>
              <w:t>2-</w:t>
            </w:r>
            <w:r>
              <w:rPr>
                <w:rFonts w:cs="Times New Roman"/>
              </w:rPr>
              <w:t>1</w:t>
            </w:r>
          </w:p>
        </w:tc>
        <w:tc>
          <w:tcPr>
            <w:tcW w:w="863" w:type="pct"/>
            <w:vAlign w:val="center"/>
          </w:tcPr>
          <w:p w14:paraId="05F343B2">
            <w:pPr>
              <w:pStyle w:val="133"/>
              <w:rPr>
                <w:szCs w:val="21"/>
              </w:rPr>
            </w:pPr>
            <w:r>
              <w:rPr>
                <w:rFonts w:cs="Times New Roman"/>
              </w:rPr>
              <w:t>原料系统收尘灰</w:t>
            </w:r>
          </w:p>
        </w:tc>
        <w:tc>
          <w:tcPr>
            <w:tcW w:w="635" w:type="pct"/>
            <w:vAlign w:val="center"/>
          </w:tcPr>
          <w:p w14:paraId="6078A54E">
            <w:pPr>
              <w:pStyle w:val="133"/>
              <w:rPr>
                <w:szCs w:val="21"/>
              </w:rPr>
            </w:pPr>
            <w:r>
              <w:rPr>
                <w:rFonts w:eastAsia="等线" w:cs="Times New Roman"/>
                <w:color w:val="000000"/>
                <w:szCs w:val="21"/>
              </w:rPr>
              <w:t>36.10</w:t>
            </w:r>
          </w:p>
        </w:tc>
        <w:tc>
          <w:tcPr>
            <w:tcW w:w="600" w:type="pct"/>
            <w:vAlign w:val="center"/>
          </w:tcPr>
          <w:p w14:paraId="0F6A9088">
            <w:pPr>
              <w:pStyle w:val="133"/>
              <w:rPr>
                <w:szCs w:val="21"/>
              </w:rPr>
            </w:pPr>
            <w:r>
              <w:rPr>
                <w:rFonts w:cs="Times New Roman"/>
              </w:rPr>
              <w:t>硅石、兰炭、球团</w:t>
            </w:r>
          </w:p>
        </w:tc>
        <w:tc>
          <w:tcPr>
            <w:tcW w:w="536" w:type="pct"/>
            <w:vAlign w:val="center"/>
          </w:tcPr>
          <w:p w14:paraId="06377A2A">
            <w:pPr>
              <w:pStyle w:val="133"/>
              <w:rPr>
                <w:rFonts w:cs="Times New Roman"/>
              </w:rPr>
            </w:pPr>
            <w:r>
              <w:rPr>
                <w:rFonts w:hint="eastAsia"/>
                <w:szCs w:val="21"/>
              </w:rPr>
              <w:t>一般固废</w:t>
            </w:r>
          </w:p>
        </w:tc>
        <w:tc>
          <w:tcPr>
            <w:tcW w:w="536" w:type="pct"/>
            <w:vAlign w:val="center"/>
          </w:tcPr>
          <w:p w14:paraId="19565F0C">
            <w:pPr>
              <w:pStyle w:val="133"/>
              <w:rPr>
                <w:szCs w:val="21"/>
              </w:rPr>
            </w:pPr>
            <w:r>
              <w:rPr>
                <w:rFonts w:cs="Times New Roman"/>
              </w:rPr>
              <w:t>SW59</w:t>
            </w:r>
          </w:p>
        </w:tc>
        <w:tc>
          <w:tcPr>
            <w:tcW w:w="636" w:type="pct"/>
            <w:vAlign w:val="center"/>
          </w:tcPr>
          <w:p w14:paraId="21891545">
            <w:pPr>
              <w:pStyle w:val="133"/>
              <w:rPr>
                <w:szCs w:val="21"/>
              </w:rPr>
            </w:pPr>
            <w:r>
              <w:rPr>
                <w:rFonts w:cs="Times New Roman"/>
              </w:rPr>
              <w:t>314-099-S59</w:t>
            </w:r>
          </w:p>
        </w:tc>
        <w:tc>
          <w:tcPr>
            <w:tcW w:w="925" w:type="pct"/>
            <w:vAlign w:val="center"/>
          </w:tcPr>
          <w:p w14:paraId="2301BD9A">
            <w:pPr>
              <w:pStyle w:val="133"/>
              <w:rPr>
                <w:szCs w:val="21"/>
              </w:rPr>
            </w:pPr>
            <w:r>
              <w:rPr>
                <w:rFonts w:cs="Times New Roman"/>
              </w:rPr>
              <w:t>回用于矿热炉</w:t>
            </w:r>
          </w:p>
        </w:tc>
      </w:tr>
      <w:tr w14:paraId="6D066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11C88BAA">
            <w:pPr>
              <w:pStyle w:val="133"/>
              <w:rPr>
                <w:szCs w:val="21"/>
              </w:rPr>
            </w:pPr>
            <w:r>
              <w:rPr>
                <w:rFonts w:cs="Times New Roman"/>
              </w:rPr>
              <w:t>S</w:t>
            </w:r>
            <w:r>
              <w:rPr>
                <w:rFonts w:hint="eastAsia"/>
              </w:rPr>
              <w:t>2-</w:t>
            </w:r>
            <w:r>
              <w:rPr>
                <w:rFonts w:cs="Times New Roman"/>
              </w:rPr>
              <w:t>2</w:t>
            </w:r>
          </w:p>
        </w:tc>
        <w:tc>
          <w:tcPr>
            <w:tcW w:w="863" w:type="pct"/>
            <w:vAlign w:val="center"/>
          </w:tcPr>
          <w:p w14:paraId="55A2AE2E">
            <w:pPr>
              <w:pStyle w:val="133"/>
              <w:rPr>
                <w:szCs w:val="21"/>
              </w:rPr>
            </w:pPr>
            <w:r>
              <w:rPr>
                <w:rFonts w:cs="Times New Roman"/>
              </w:rPr>
              <w:t>车间落料</w:t>
            </w:r>
          </w:p>
        </w:tc>
        <w:tc>
          <w:tcPr>
            <w:tcW w:w="635" w:type="pct"/>
            <w:vAlign w:val="center"/>
          </w:tcPr>
          <w:p w14:paraId="5D01081B">
            <w:pPr>
              <w:pStyle w:val="133"/>
              <w:rPr>
                <w:szCs w:val="21"/>
              </w:rPr>
            </w:pPr>
            <w:r>
              <w:rPr>
                <w:rFonts w:eastAsia="等线" w:cs="Times New Roman"/>
                <w:color w:val="000000"/>
                <w:szCs w:val="21"/>
              </w:rPr>
              <w:t>79.4</w:t>
            </w:r>
            <w:r>
              <w:rPr>
                <w:rFonts w:hint="eastAsia" w:eastAsia="等线" w:cs="Times New Roman"/>
                <w:color w:val="000000"/>
                <w:szCs w:val="21"/>
              </w:rPr>
              <w:t>4</w:t>
            </w:r>
          </w:p>
        </w:tc>
        <w:tc>
          <w:tcPr>
            <w:tcW w:w="600" w:type="pct"/>
            <w:vAlign w:val="center"/>
          </w:tcPr>
          <w:p w14:paraId="0BA0D525">
            <w:pPr>
              <w:pStyle w:val="133"/>
              <w:rPr>
                <w:szCs w:val="21"/>
              </w:rPr>
            </w:pPr>
            <w:r>
              <w:rPr>
                <w:rFonts w:cs="Times New Roman"/>
              </w:rPr>
              <w:t>硅石、兰炭、球团、硅铁</w:t>
            </w:r>
          </w:p>
        </w:tc>
        <w:tc>
          <w:tcPr>
            <w:tcW w:w="536" w:type="pct"/>
            <w:vAlign w:val="center"/>
          </w:tcPr>
          <w:p w14:paraId="341D9E0C">
            <w:pPr>
              <w:pStyle w:val="133"/>
              <w:rPr>
                <w:rFonts w:cs="Times New Roman"/>
              </w:rPr>
            </w:pPr>
            <w:r>
              <w:rPr>
                <w:rFonts w:hint="eastAsia"/>
                <w:szCs w:val="21"/>
              </w:rPr>
              <w:t>一般固废</w:t>
            </w:r>
          </w:p>
        </w:tc>
        <w:tc>
          <w:tcPr>
            <w:tcW w:w="536" w:type="pct"/>
            <w:vAlign w:val="center"/>
          </w:tcPr>
          <w:p w14:paraId="6F44EF46">
            <w:pPr>
              <w:pStyle w:val="133"/>
              <w:rPr>
                <w:szCs w:val="21"/>
              </w:rPr>
            </w:pPr>
            <w:r>
              <w:rPr>
                <w:rFonts w:cs="Times New Roman"/>
              </w:rPr>
              <w:t>SW59</w:t>
            </w:r>
          </w:p>
        </w:tc>
        <w:tc>
          <w:tcPr>
            <w:tcW w:w="636" w:type="pct"/>
            <w:vAlign w:val="center"/>
          </w:tcPr>
          <w:p w14:paraId="429C441E">
            <w:pPr>
              <w:pStyle w:val="133"/>
              <w:rPr>
                <w:szCs w:val="21"/>
              </w:rPr>
            </w:pPr>
            <w:r>
              <w:rPr>
                <w:rFonts w:cs="Times New Roman"/>
              </w:rPr>
              <w:t>314-099-S59</w:t>
            </w:r>
          </w:p>
        </w:tc>
        <w:tc>
          <w:tcPr>
            <w:tcW w:w="925" w:type="pct"/>
            <w:vAlign w:val="center"/>
          </w:tcPr>
          <w:p w14:paraId="7FEE1E1E">
            <w:pPr>
              <w:pStyle w:val="133"/>
              <w:rPr>
                <w:szCs w:val="21"/>
              </w:rPr>
            </w:pPr>
            <w:r>
              <w:rPr>
                <w:rFonts w:cs="Times New Roman"/>
              </w:rPr>
              <w:t>回用于矿热炉</w:t>
            </w:r>
          </w:p>
        </w:tc>
      </w:tr>
      <w:tr w14:paraId="78E80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28F70D0E">
            <w:pPr>
              <w:pStyle w:val="133"/>
              <w:rPr>
                <w:szCs w:val="21"/>
              </w:rPr>
            </w:pPr>
            <w:r>
              <w:rPr>
                <w:rFonts w:cs="Times New Roman"/>
              </w:rPr>
              <w:t>S</w:t>
            </w:r>
            <w:r>
              <w:rPr>
                <w:rFonts w:hint="eastAsia"/>
              </w:rPr>
              <w:t>2-</w:t>
            </w:r>
            <w:r>
              <w:rPr>
                <w:rFonts w:cs="Times New Roman"/>
              </w:rPr>
              <w:t>3</w:t>
            </w:r>
          </w:p>
        </w:tc>
        <w:tc>
          <w:tcPr>
            <w:tcW w:w="863" w:type="pct"/>
            <w:vAlign w:val="center"/>
          </w:tcPr>
          <w:p w14:paraId="28BC9227">
            <w:pPr>
              <w:pStyle w:val="133"/>
              <w:rPr>
                <w:szCs w:val="21"/>
              </w:rPr>
            </w:pPr>
            <w:r>
              <w:rPr>
                <w:rFonts w:cs="Times New Roman"/>
              </w:rPr>
              <w:t>矿热炉硅渣</w:t>
            </w:r>
          </w:p>
        </w:tc>
        <w:tc>
          <w:tcPr>
            <w:tcW w:w="635" w:type="pct"/>
            <w:vAlign w:val="center"/>
          </w:tcPr>
          <w:p w14:paraId="653FA141">
            <w:pPr>
              <w:pStyle w:val="133"/>
              <w:rPr>
                <w:szCs w:val="21"/>
              </w:rPr>
            </w:pPr>
            <w:r>
              <w:rPr>
                <w:rFonts w:eastAsia="等线" w:cs="Times New Roman"/>
                <w:color w:val="000000"/>
                <w:szCs w:val="21"/>
              </w:rPr>
              <w:t>3360</w:t>
            </w:r>
          </w:p>
        </w:tc>
        <w:tc>
          <w:tcPr>
            <w:tcW w:w="600" w:type="pct"/>
            <w:vAlign w:val="center"/>
          </w:tcPr>
          <w:p w14:paraId="551A3891">
            <w:pPr>
              <w:pStyle w:val="133"/>
              <w:rPr>
                <w:szCs w:val="21"/>
              </w:rPr>
            </w:pPr>
            <w:r>
              <w:rPr>
                <w:rFonts w:cs="Times New Roman"/>
              </w:rPr>
              <w:t>Si、Al、SiO</w:t>
            </w:r>
            <w:r>
              <w:rPr>
                <w:rFonts w:cs="Times New Roman"/>
                <w:vertAlign w:val="subscript"/>
              </w:rPr>
              <w:t>2</w:t>
            </w:r>
            <w:r>
              <w:rPr>
                <w:rFonts w:cs="Times New Roman"/>
              </w:rPr>
              <w:t>、SiC、FeSi、Fe</w:t>
            </w:r>
            <w:r>
              <w:rPr>
                <w:rFonts w:cs="Times New Roman"/>
                <w:vertAlign w:val="subscript"/>
              </w:rPr>
              <w:t>2</w:t>
            </w:r>
            <w:r>
              <w:rPr>
                <w:rFonts w:cs="Times New Roman"/>
              </w:rPr>
              <w:t>O</w:t>
            </w:r>
            <w:r>
              <w:rPr>
                <w:rFonts w:cs="Times New Roman"/>
                <w:vertAlign w:val="subscript"/>
              </w:rPr>
              <w:t>3</w:t>
            </w:r>
            <w:r>
              <w:rPr>
                <w:rFonts w:cs="Times New Roman"/>
              </w:rPr>
              <w:t>、CaO</w:t>
            </w:r>
          </w:p>
        </w:tc>
        <w:tc>
          <w:tcPr>
            <w:tcW w:w="536" w:type="pct"/>
            <w:vAlign w:val="center"/>
          </w:tcPr>
          <w:p w14:paraId="69F8F97A">
            <w:pPr>
              <w:pStyle w:val="133"/>
              <w:rPr>
                <w:rFonts w:cs="Times New Roman"/>
              </w:rPr>
            </w:pPr>
            <w:r>
              <w:rPr>
                <w:rFonts w:hint="eastAsia"/>
                <w:szCs w:val="21"/>
              </w:rPr>
              <w:t>一般固废</w:t>
            </w:r>
          </w:p>
        </w:tc>
        <w:tc>
          <w:tcPr>
            <w:tcW w:w="536" w:type="pct"/>
            <w:vAlign w:val="center"/>
          </w:tcPr>
          <w:p w14:paraId="0F879F41">
            <w:pPr>
              <w:pStyle w:val="133"/>
              <w:rPr>
                <w:szCs w:val="21"/>
              </w:rPr>
            </w:pPr>
            <w:r>
              <w:rPr>
                <w:rFonts w:cs="Times New Roman"/>
              </w:rPr>
              <w:t>SW01</w:t>
            </w:r>
          </w:p>
        </w:tc>
        <w:tc>
          <w:tcPr>
            <w:tcW w:w="636" w:type="pct"/>
            <w:vAlign w:val="center"/>
          </w:tcPr>
          <w:p w14:paraId="60F54399">
            <w:pPr>
              <w:pStyle w:val="133"/>
              <w:rPr>
                <w:szCs w:val="21"/>
              </w:rPr>
            </w:pPr>
            <w:r>
              <w:rPr>
                <w:rFonts w:cs="Times New Roman"/>
              </w:rPr>
              <w:t>314-001-S01</w:t>
            </w:r>
          </w:p>
        </w:tc>
        <w:tc>
          <w:tcPr>
            <w:tcW w:w="925" w:type="pct"/>
            <w:vAlign w:val="center"/>
          </w:tcPr>
          <w:p w14:paraId="3C2F2D42">
            <w:pPr>
              <w:pStyle w:val="133"/>
              <w:rPr>
                <w:szCs w:val="21"/>
              </w:rPr>
            </w:pPr>
            <w:r>
              <w:rPr>
                <w:rFonts w:hint="eastAsia" w:cs="Times New Roman"/>
              </w:rPr>
              <w:t>厂外</w:t>
            </w:r>
            <w:r>
              <w:rPr>
                <w:rFonts w:cs="Times New Roman"/>
              </w:rPr>
              <w:t>综合利用</w:t>
            </w:r>
          </w:p>
        </w:tc>
      </w:tr>
      <w:tr w14:paraId="1B588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79531205">
            <w:pPr>
              <w:pStyle w:val="133"/>
              <w:rPr>
                <w:szCs w:val="21"/>
              </w:rPr>
            </w:pPr>
            <w:r>
              <w:rPr>
                <w:rFonts w:cs="Times New Roman"/>
              </w:rPr>
              <w:t>S</w:t>
            </w:r>
            <w:r>
              <w:rPr>
                <w:rFonts w:hint="eastAsia"/>
              </w:rPr>
              <w:t>2-</w:t>
            </w:r>
            <w:r>
              <w:rPr>
                <w:rFonts w:cs="Times New Roman"/>
              </w:rPr>
              <w:t>4</w:t>
            </w:r>
          </w:p>
        </w:tc>
        <w:tc>
          <w:tcPr>
            <w:tcW w:w="863" w:type="pct"/>
            <w:vAlign w:val="center"/>
          </w:tcPr>
          <w:p w14:paraId="02E73BF0">
            <w:pPr>
              <w:pStyle w:val="133"/>
              <w:rPr>
                <w:szCs w:val="21"/>
              </w:rPr>
            </w:pPr>
            <w:r>
              <w:rPr>
                <w:rFonts w:cs="Times New Roman"/>
              </w:rPr>
              <w:t>废耐火材料</w:t>
            </w:r>
          </w:p>
        </w:tc>
        <w:tc>
          <w:tcPr>
            <w:tcW w:w="635" w:type="pct"/>
            <w:vAlign w:val="center"/>
          </w:tcPr>
          <w:p w14:paraId="7BF30BE0">
            <w:pPr>
              <w:pStyle w:val="133"/>
              <w:rPr>
                <w:szCs w:val="21"/>
              </w:rPr>
            </w:pPr>
            <w:r>
              <w:rPr>
                <w:rFonts w:eastAsia="等线" w:cs="Times New Roman"/>
                <w:color w:val="000000"/>
                <w:szCs w:val="21"/>
              </w:rPr>
              <w:t>160</w:t>
            </w:r>
          </w:p>
        </w:tc>
        <w:tc>
          <w:tcPr>
            <w:tcW w:w="600" w:type="pct"/>
            <w:vAlign w:val="center"/>
          </w:tcPr>
          <w:p w14:paraId="361B783B">
            <w:pPr>
              <w:pStyle w:val="133"/>
              <w:rPr>
                <w:szCs w:val="21"/>
              </w:rPr>
            </w:pPr>
            <w:r>
              <w:rPr>
                <w:rFonts w:cs="Times New Roman"/>
              </w:rPr>
              <w:t>SiO</w:t>
            </w:r>
            <w:r>
              <w:rPr>
                <w:rFonts w:cs="Times New Roman"/>
                <w:vertAlign w:val="subscript"/>
              </w:rPr>
              <w:t>2</w:t>
            </w:r>
          </w:p>
        </w:tc>
        <w:tc>
          <w:tcPr>
            <w:tcW w:w="536" w:type="pct"/>
            <w:vAlign w:val="center"/>
          </w:tcPr>
          <w:p w14:paraId="56E0308C">
            <w:pPr>
              <w:pStyle w:val="133"/>
              <w:rPr>
                <w:rFonts w:cs="Times New Roman"/>
              </w:rPr>
            </w:pPr>
            <w:r>
              <w:rPr>
                <w:rFonts w:hint="eastAsia"/>
                <w:szCs w:val="21"/>
              </w:rPr>
              <w:t>一般固废</w:t>
            </w:r>
          </w:p>
        </w:tc>
        <w:tc>
          <w:tcPr>
            <w:tcW w:w="536" w:type="pct"/>
            <w:vAlign w:val="center"/>
          </w:tcPr>
          <w:p w14:paraId="71B33EC7">
            <w:pPr>
              <w:pStyle w:val="133"/>
              <w:rPr>
                <w:szCs w:val="21"/>
              </w:rPr>
            </w:pPr>
            <w:r>
              <w:rPr>
                <w:rFonts w:cs="Times New Roman"/>
              </w:rPr>
              <w:t>SW59</w:t>
            </w:r>
          </w:p>
        </w:tc>
        <w:tc>
          <w:tcPr>
            <w:tcW w:w="636" w:type="pct"/>
            <w:vAlign w:val="center"/>
          </w:tcPr>
          <w:p w14:paraId="047C42EB">
            <w:pPr>
              <w:pStyle w:val="133"/>
              <w:rPr>
                <w:szCs w:val="21"/>
              </w:rPr>
            </w:pPr>
            <w:r>
              <w:rPr>
                <w:rFonts w:cs="Times New Roman"/>
              </w:rPr>
              <w:t>314-003-S59</w:t>
            </w:r>
          </w:p>
        </w:tc>
        <w:tc>
          <w:tcPr>
            <w:tcW w:w="925" w:type="pct"/>
            <w:vAlign w:val="center"/>
          </w:tcPr>
          <w:p w14:paraId="2E1FF721">
            <w:pPr>
              <w:pStyle w:val="133"/>
              <w:rPr>
                <w:szCs w:val="21"/>
              </w:rPr>
            </w:pPr>
            <w:r>
              <w:rPr>
                <w:rFonts w:hint="eastAsia" w:cs="Times New Roman"/>
              </w:rPr>
              <w:t>厂外综合利用</w:t>
            </w:r>
          </w:p>
        </w:tc>
      </w:tr>
      <w:tr w14:paraId="6ABAF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2ED75D93">
            <w:pPr>
              <w:pStyle w:val="133"/>
              <w:rPr>
                <w:szCs w:val="21"/>
              </w:rPr>
            </w:pPr>
            <w:r>
              <w:rPr>
                <w:rFonts w:cs="Times New Roman"/>
              </w:rPr>
              <w:t>S</w:t>
            </w:r>
            <w:r>
              <w:rPr>
                <w:rFonts w:hint="eastAsia"/>
              </w:rPr>
              <w:t>2-</w:t>
            </w:r>
            <w:r>
              <w:rPr>
                <w:rFonts w:cs="Times New Roman"/>
              </w:rPr>
              <w:t>5</w:t>
            </w:r>
          </w:p>
        </w:tc>
        <w:tc>
          <w:tcPr>
            <w:tcW w:w="863" w:type="pct"/>
            <w:vAlign w:val="center"/>
          </w:tcPr>
          <w:p w14:paraId="172DAD51">
            <w:pPr>
              <w:pStyle w:val="133"/>
              <w:rPr>
                <w:szCs w:val="21"/>
              </w:rPr>
            </w:pPr>
            <w:r>
              <w:rPr>
                <w:rFonts w:cs="Times New Roman"/>
              </w:rPr>
              <w:t>废锭模</w:t>
            </w:r>
          </w:p>
        </w:tc>
        <w:tc>
          <w:tcPr>
            <w:tcW w:w="635" w:type="pct"/>
            <w:vAlign w:val="center"/>
          </w:tcPr>
          <w:p w14:paraId="4E5EB8E4">
            <w:pPr>
              <w:pStyle w:val="133"/>
              <w:rPr>
                <w:szCs w:val="21"/>
              </w:rPr>
            </w:pPr>
            <w:r>
              <w:rPr>
                <w:rFonts w:eastAsia="等线" w:cs="Times New Roman"/>
                <w:color w:val="000000"/>
                <w:szCs w:val="21"/>
              </w:rPr>
              <w:t>280</w:t>
            </w:r>
          </w:p>
        </w:tc>
        <w:tc>
          <w:tcPr>
            <w:tcW w:w="600" w:type="pct"/>
            <w:vAlign w:val="center"/>
          </w:tcPr>
          <w:p w14:paraId="22E7F313">
            <w:pPr>
              <w:pStyle w:val="133"/>
              <w:rPr>
                <w:szCs w:val="21"/>
              </w:rPr>
            </w:pPr>
            <w:r>
              <w:rPr>
                <w:rFonts w:cs="Times New Roman"/>
              </w:rPr>
              <w:t>铸铁</w:t>
            </w:r>
          </w:p>
        </w:tc>
        <w:tc>
          <w:tcPr>
            <w:tcW w:w="536" w:type="pct"/>
            <w:vAlign w:val="center"/>
          </w:tcPr>
          <w:p w14:paraId="3764D720">
            <w:pPr>
              <w:pStyle w:val="133"/>
              <w:rPr>
                <w:rFonts w:cs="Times New Roman"/>
              </w:rPr>
            </w:pPr>
            <w:r>
              <w:rPr>
                <w:rFonts w:hint="eastAsia"/>
                <w:szCs w:val="21"/>
              </w:rPr>
              <w:t>一般固废</w:t>
            </w:r>
          </w:p>
        </w:tc>
        <w:tc>
          <w:tcPr>
            <w:tcW w:w="536" w:type="pct"/>
            <w:vAlign w:val="center"/>
          </w:tcPr>
          <w:p w14:paraId="329DBB72">
            <w:pPr>
              <w:pStyle w:val="133"/>
              <w:rPr>
                <w:szCs w:val="21"/>
              </w:rPr>
            </w:pPr>
            <w:r>
              <w:rPr>
                <w:rFonts w:cs="Times New Roman"/>
              </w:rPr>
              <w:t>SW59</w:t>
            </w:r>
          </w:p>
        </w:tc>
        <w:tc>
          <w:tcPr>
            <w:tcW w:w="636" w:type="pct"/>
            <w:vAlign w:val="center"/>
          </w:tcPr>
          <w:p w14:paraId="682CCF91">
            <w:pPr>
              <w:pStyle w:val="133"/>
              <w:rPr>
                <w:szCs w:val="21"/>
              </w:rPr>
            </w:pPr>
            <w:r>
              <w:rPr>
                <w:rFonts w:cs="Times New Roman"/>
              </w:rPr>
              <w:t>314-099-S59</w:t>
            </w:r>
          </w:p>
        </w:tc>
        <w:tc>
          <w:tcPr>
            <w:tcW w:w="925" w:type="pct"/>
            <w:vAlign w:val="center"/>
          </w:tcPr>
          <w:p w14:paraId="1A23CEA3">
            <w:pPr>
              <w:pStyle w:val="133"/>
              <w:rPr>
                <w:szCs w:val="21"/>
              </w:rPr>
            </w:pPr>
            <w:r>
              <w:rPr>
                <w:rFonts w:cs="Times New Roman"/>
              </w:rPr>
              <w:t>外售</w:t>
            </w:r>
          </w:p>
        </w:tc>
      </w:tr>
      <w:tr w14:paraId="6A207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21D5F321">
            <w:pPr>
              <w:pStyle w:val="133"/>
              <w:rPr>
                <w:rFonts w:cs="Times New Roman"/>
              </w:rPr>
            </w:pPr>
            <w:r>
              <w:rPr>
                <w:rFonts w:hint="eastAsia"/>
              </w:rPr>
              <w:t>S4-</w:t>
            </w:r>
            <w:r>
              <w:t>1</w:t>
            </w:r>
          </w:p>
        </w:tc>
        <w:tc>
          <w:tcPr>
            <w:tcW w:w="863" w:type="pct"/>
            <w:vAlign w:val="center"/>
          </w:tcPr>
          <w:p w14:paraId="27DD0471">
            <w:pPr>
              <w:pStyle w:val="133"/>
              <w:rPr>
                <w:szCs w:val="21"/>
              </w:rPr>
            </w:pPr>
            <w:r>
              <w:rPr>
                <w:rFonts w:hint="eastAsia"/>
              </w:rPr>
              <w:t>废离子交换树脂</w:t>
            </w:r>
          </w:p>
        </w:tc>
        <w:tc>
          <w:tcPr>
            <w:tcW w:w="635" w:type="pct"/>
            <w:vAlign w:val="center"/>
          </w:tcPr>
          <w:p w14:paraId="65003984">
            <w:pPr>
              <w:pStyle w:val="133"/>
              <w:rPr>
                <w:rFonts w:eastAsia="等线" w:cs="Times New Roman"/>
                <w:color w:val="000000"/>
                <w:szCs w:val="21"/>
              </w:rPr>
            </w:pPr>
            <w:r>
              <w:rPr>
                <w:rFonts w:hint="eastAsia"/>
              </w:rPr>
              <w:t>0.25</w:t>
            </w:r>
          </w:p>
        </w:tc>
        <w:tc>
          <w:tcPr>
            <w:tcW w:w="600" w:type="pct"/>
            <w:vAlign w:val="center"/>
          </w:tcPr>
          <w:p w14:paraId="54AB6E52">
            <w:pPr>
              <w:pStyle w:val="133"/>
              <w:rPr>
                <w:rFonts w:cs="Times New Roman"/>
              </w:rPr>
            </w:pPr>
            <w:r>
              <w:rPr>
                <w:rFonts w:hint="eastAsia" w:cs="Times New Roman"/>
              </w:rPr>
              <w:t>/</w:t>
            </w:r>
          </w:p>
        </w:tc>
        <w:tc>
          <w:tcPr>
            <w:tcW w:w="536" w:type="pct"/>
            <w:vAlign w:val="center"/>
          </w:tcPr>
          <w:p w14:paraId="4FB412CF">
            <w:pPr>
              <w:pStyle w:val="133"/>
              <w:rPr>
                <w:rFonts w:cs="Times New Roman"/>
              </w:rPr>
            </w:pPr>
            <w:r>
              <w:rPr>
                <w:rFonts w:hint="eastAsia"/>
                <w:szCs w:val="21"/>
              </w:rPr>
              <w:t>一般固废</w:t>
            </w:r>
          </w:p>
        </w:tc>
        <w:tc>
          <w:tcPr>
            <w:tcW w:w="536" w:type="pct"/>
            <w:vAlign w:val="center"/>
          </w:tcPr>
          <w:p w14:paraId="4A4272EE">
            <w:pPr>
              <w:pStyle w:val="133"/>
              <w:rPr>
                <w:rFonts w:cs="Times New Roman"/>
              </w:rPr>
            </w:pPr>
            <w:r>
              <w:rPr>
                <w:rFonts w:hint="eastAsia"/>
              </w:rPr>
              <w:t>SW59</w:t>
            </w:r>
          </w:p>
        </w:tc>
        <w:tc>
          <w:tcPr>
            <w:tcW w:w="636" w:type="pct"/>
            <w:vAlign w:val="center"/>
          </w:tcPr>
          <w:p w14:paraId="723FE53B">
            <w:pPr>
              <w:pStyle w:val="133"/>
              <w:rPr>
                <w:rFonts w:cs="Times New Roman"/>
              </w:rPr>
            </w:pPr>
            <w:r>
              <w:rPr>
                <w:rFonts w:hint="eastAsia"/>
              </w:rPr>
              <w:t>9</w:t>
            </w:r>
            <w:r>
              <w:t>00-</w:t>
            </w:r>
            <w:r>
              <w:rPr>
                <w:rFonts w:hint="eastAsia"/>
              </w:rPr>
              <w:t>008</w:t>
            </w:r>
            <w:r>
              <w:t>-</w:t>
            </w:r>
            <w:r>
              <w:rPr>
                <w:rFonts w:hint="eastAsia"/>
              </w:rPr>
              <w:t>S5</w:t>
            </w:r>
            <w:r>
              <w:t>9</w:t>
            </w:r>
          </w:p>
        </w:tc>
        <w:tc>
          <w:tcPr>
            <w:tcW w:w="925" w:type="pct"/>
            <w:vAlign w:val="center"/>
          </w:tcPr>
          <w:p w14:paraId="184A014C">
            <w:pPr>
              <w:pStyle w:val="133"/>
              <w:rPr>
                <w:rFonts w:cs="Times New Roman"/>
              </w:rPr>
            </w:pPr>
            <w:r>
              <w:rPr>
                <w:rFonts w:hint="eastAsia"/>
              </w:rPr>
              <w:t>由厂家回收</w:t>
            </w:r>
          </w:p>
        </w:tc>
      </w:tr>
      <w:tr w14:paraId="5C440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7A010270">
            <w:pPr>
              <w:pStyle w:val="133"/>
              <w:rPr>
                <w:rFonts w:cs="Times New Roman"/>
              </w:rPr>
            </w:pPr>
            <w:r>
              <w:rPr>
                <w:rFonts w:hint="eastAsia"/>
              </w:rPr>
              <w:t>S4-</w:t>
            </w:r>
            <w:r>
              <w:t>2</w:t>
            </w:r>
          </w:p>
        </w:tc>
        <w:tc>
          <w:tcPr>
            <w:tcW w:w="863" w:type="pct"/>
            <w:vAlign w:val="center"/>
          </w:tcPr>
          <w:p w14:paraId="13C774CE">
            <w:pPr>
              <w:pStyle w:val="133"/>
              <w:rPr>
                <w:szCs w:val="21"/>
              </w:rPr>
            </w:pPr>
            <w:r>
              <w:rPr>
                <w:rFonts w:hint="eastAsia"/>
              </w:rPr>
              <w:t>废滤芯</w:t>
            </w:r>
          </w:p>
        </w:tc>
        <w:tc>
          <w:tcPr>
            <w:tcW w:w="635" w:type="pct"/>
            <w:vAlign w:val="center"/>
          </w:tcPr>
          <w:p w14:paraId="65D8CEE3">
            <w:pPr>
              <w:pStyle w:val="133"/>
              <w:rPr>
                <w:rFonts w:eastAsia="等线" w:cs="Times New Roman"/>
                <w:color w:val="000000"/>
                <w:szCs w:val="21"/>
              </w:rPr>
            </w:pPr>
            <w:r>
              <w:t>1</w:t>
            </w:r>
          </w:p>
        </w:tc>
        <w:tc>
          <w:tcPr>
            <w:tcW w:w="600" w:type="pct"/>
            <w:vAlign w:val="center"/>
          </w:tcPr>
          <w:p w14:paraId="4985C251">
            <w:pPr>
              <w:pStyle w:val="133"/>
              <w:rPr>
                <w:rFonts w:cs="Times New Roman"/>
              </w:rPr>
            </w:pPr>
            <w:r>
              <w:rPr>
                <w:rFonts w:hint="eastAsia" w:cs="Times New Roman"/>
              </w:rPr>
              <w:t>/</w:t>
            </w:r>
          </w:p>
        </w:tc>
        <w:tc>
          <w:tcPr>
            <w:tcW w:w="536" w:type="pct"/>
            <w:vAlign w:val="center"/>
          </w:tcPr>
          <w:p w14:paraId="2B7C6DD3">
            <w:pPr>
              <w:pStyle w:val="133"/>
              <w:rPr>
                <w:rFonts w:cs="Times New Roman"/>
              </w:rPr>
            </w:pPr>
            <w:r>
              <w:rPr>
                <w:rFonts w:hint="eastAsia"/>
                <w:szCs w:val="21"/>
              </w:rPr>
              <w:t>一般固废</w:t>
            </w:r>
          </w:p>
        </w:tc>
        <w:tc>
          <w:tcPr>
            <w:tcW w:w="536" w:type="pct"/>
            <w:vAlign w:val="center"/>
          </w:tcPr>
          <w:p w14:paraId="5F8E0DAB">
            <w:pPr>
              <w:pStyle w:val="133"/>
              <w:rPr>
                <w:rFonts w:cs="Times New Roman"/>
              </w:rPr>
            </w:pPr>
            <w:r>
              <w:rPr>
                <w:rFonts w:hint="eastAsia"/>
              </w:rPr>
              <w:t>SW59</w:t>
            </w:r>
          </w:p>
        </w:tc>
        <w:tc>
          <w:tcPr>
            <w:tcW w:w="636" w:type="pct"/>
            <w:vAlign w:val="center"/>
          </w:tcPr>
          <w:p w14:paraId="67AF470A">
            <w:pPr>
              <w:pStyle w:val="133"/>
              <w:rPr>
                <w:rFonts w:cs="Times New Roman"/>
              </w:rPr>
            </w:pPr>
            <w:r>
              <w:rPr>
                <w:rFonts w:hint="eastAsia"/>
              </w:rPr>
              <w:t>9</w:t>
            </w:r>
            <w:r>
              <w:t>00-</w:t>
            </w:r>
            <w:r>
              <w:rPr>
                <w:rFonts w:hint="eastAsia"/>
              </w:rPr>
              <w:t>009</w:t>
            </w:r>
            <w:r>
              <w:t>-</w:t>
            </w:r>
            <w:r>
              <w:rPr>
                <w:rFonts w:hint="eastAsia"/>
              </w:rPr>
              <w:t>S5</w:t>
            </w:r>
            <w:r>
              <w:t>9</w:t>
            </w:r>
          </w:p>
        </w:tc>
        <w:tc>
          <w:tcPr>
            <w:tcW w:w="925" w:type="pct"/>
            <w:vAlign w:val="center"/>
          </w:tcPr>
          <w:p w14:paraId="4A453661">
            <w:pPr>
              <w:pStyle w:val="133"/>
              <w:rPr>
                <w:rFonts w:cs="Times New Roman"/>
              </w:rPr>
            </w:pPr>
            <w:r>
              <w:rPr>
                <w:rFonts w:hint="eastAsia"/>
              </w:rPr>
              <w:t>由厂家回收</w:t>
            </w:r>
          </w:p>
        </w:tc>
      </w:tr>
      <w:tr w14:paraId="1C7E5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390F60BF">
            <w:pPr>
              <w:pStyle w:val="133"/>
              <w:rPr>
                <w:rFonts w:cs="Times New Roman"/>
              </w:rPr>
            </w:pPr>
            <w:r>
              <w:rPr>
                <w:rFonts w:hint="eastAsia"/>
              </w:rPr>
              <w:t>S4-</w:t>
            </w:r>
            <w:r>
              <w:t>3</w:t>
            </w:r>
          </w:p>
        </w:tc>
        <w:tc>
          <w:tcPr>
            <w:tcW w:w="863" w:type="pct"/>
            <w:vAlign w:val="center"/>
          </w:tcPr>
          <w:p w14:paraId="1DFF5A6D">
            <w:pPr>
              <w:pStyle w:val="133"/>
              <w:rPr>
                <w:szCs w:val="21"/>
              </w:rPr>
            </w:pPr>
            <w:r>
              <w:rPr>
                <w:rFonts w:hint="eastAsia"/>
              </w:rPr>
              <w:t>废润滑油</w:t>
            </w:r>
          </w:p>
        </w:tc>
        <w:tc>
          <w:tcPr>
            <w:tcW w:w="635" w:type="pct"/>
            <w:vAlign w:val="center"/>
          </w:tcPr>
          <w:p w14:paraId="683CD5AC">
            <w:pPr>
              <w:pStyle w:val="133"/>
              <w:rPr>
                <w:rFonts w:eastAsia="等线" w:cs="Times New Roman"/>
                <w:color w:val="000000"/>
                <w:szCs w:val="21"/>
              </w:rPr>
            </w:pPr>
            <w:r>
              <w:rPr>
                <w:rFonts w:hint="eastAsia"/>
              </w:rPr>
              <w:t>2</w:t>
            </w:r>
          </w:p>
        </w:tc>
        <w:tc>
          <w:tcPr>
            <w:tcW w:w="600" w:type="pct"/>
            <w:vAlign w:val="center"/>
          </w:tcPr>
          <w:p w14:paraId="00DE0BAB">
            <w:pPr>
              <w:pStyle w:val="133"/>
              <w:rPr>
                <w:rFonts w:cs="Times New Roman"/>
              </w:rPr>
            </w:pPr>
            <w:r>
              <w:rPr>
                <w:rFonts w:hint="eastAsia" w:cs="Times New Roman"/>
              </w:rPr>
              <w:t>/</w:t>
            </w:r>
          </w:p>
        </w:tc>
        <w:tc>
          <w:tcPr>
            <w:tcW w:w="536" w:type="pct"/>
            <w:vAlign w:val="center"/>
          </w:tcPr>
          <w:p w14:paraId="61724CFA">
            <w:pPr>
              <w:pStyle w:val="133"/>
              <w:rPr>
                <w:rFonts w:cs="Times New Roman"/>
              </w:rPr>
            </w:pPr>
            <w:r>
              <w:rPr>
                <w:rFonts w:hint="eastAsia" w:cs="Times New Roman"/>
              </w:rPr>
              <w:t>危险废物</w:t>
            </w:r>
          </w:p>
        </w:tc>
        <w:tc>
          <w:tcPr>
            <w:tcW w:w="536" w:type="pct"/>
            <w:vAlign w:val="center"/>
          </w:tcPr>
          <w:p w14:paraId="78FFF2F4">
            <w:pPr>
              <w:pStyle w:val="133"/>
              <w:rPr>
                <w:rFonts w:cs="Times New Roman"/>
              </w:rPr>
            </w:pPr>
            <w:r>
              <w:rPr>
                <w:rFonts w:hint="eastAsia"/>
              </w:rPr>
              <w:t>HW08</w:t>
            </w:r>
          </w:p>
        </w:tc>
        <w:tc>
          <w:tcPr>
            <w:tcW w:w="636" w:type="pct"/>
            <w:vAlign w:val="center"/>
          </w:tcPr>
          <w:p w14:paraId="0E1861AC">
            <w:pPr>
              <w:pStyle w:val="133"/>
              <w:rPr>
                <w:rFonts w:cs="Times New Roman"/>
              </w:rPr>
            </w:pPr>
            <w:r>
              <w:rPr>
                <w:rFonts w:hint="eastAsia"/>
              </w:rPr>
              <w:t>9</w:t>
            </w:r>
            <w:r>
              <w:t>00-217-08</w:t>
            </w:r>
          </w:p>
        </w:tc>
        <w:tc>
          <w:tcPr>
            <w:tcW w:w="925" w:type="pct"/>
            <w:vAlign w:val="center"/>
          </w:tcPr>
          <w:p w14:paraId="5867ADAB">
            <w:pPr>
              <w:pStyle w:val="133"/>
              <w:rPr>
                <w:rFonts w:cs="Times New Roman"/>
              </w:rPr>
            </w:pPr>
            <w:r>
              <w:rPr>
                <w:rFonts w:hint="eastAsia"/>
              </w:rPr>
              <w:t>收集后暂存于危险废物暂存间，委托有资质的单位定期拉运走处置</w:t>
            </w:r>
          </w:p>
        </w:tc>
      </w:tr>
      <w:tr w14:paraId="1109B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9" w:type="pct"/>
            <w:vAlign w:val="center"/>
          </w:tcPr>
          <w:p w14:paraId="36C58795">
            <w:pPr>
              <w:pStyle w:val="133"/>
              <w:rPr>
                <w:rFonts w:cs="Times New Roman"/>
              </w:rPr>
            </w:pPr>
            <w:r>
              <w:rPr>
                <w:rFonts w:hint="eastAsia"/>
              </w:rPr>
              <w:t>S4-</w:t>
            </w:r>
            <w:r>
              <w:t>4</w:t>
            </w:r>
          </w:p>
        </w:tc>
        <w:tc>
          <w:tcPr>
            <w:tcW w:w="863" w:type="pct"/>
            <w:vAlign w:val="center"/>
          </w:tcPr>
          <w:p w14:paraId="52EF2543">
            <w:pPr>
              <w:pStyle w:val="133"/>
              <w:rPr>
                <w:szCs w:val="21"/>
              </w:rPr>
            </w:pPr>
            <w:r>
              <w:rPr>
                <w:rFonts w:hint="eastAsia"/>
              </w:rPr>
              <w:t>废布袋</w:t>
            </w:r>
          </w:p>
        </w:tc>
        <w:tc>
          <w:tcPr>
            <w:tcW w:w="635" w:type="pct"/>
            <w:vAlign w:val="center"/>
          </w:tcPr>
          <w:p w14:paraId="3B7555C7">
            <w:pPr>
              <w:pStyle w:val="133"/>
              <w:rPr>
                <w:rFonts w:eastAsia="等线" w:cs="Times New Roman"/>
                <w:color w:val="000000"/>
                <w:szCs w:val="21"/>
              </w:rPr>
            </w:pPr>
            <w:r>
              <w:rPr>
                <w:rFonts w:hint="eastAsia"/>
              </w:rPr>
              <w:t>3</w:t>
            </w:r>
          </w:p>
        </w:tc>
        <w:tc>
          <w:tcPr>
            <w:tcW w:w="600" w:type="pct"/>
            <w:vAlign w:val="center"/>
          </w:tcPr>
          <w:p w14:paraId="1F68965A">
            <w:pPr>
              <w:pStyle w:val="133"/>
              <w:rPr>
                <w:rFonts w:cs="Times New Roman"/>
              </w:rPr>
            </w:pPr>
            <w:r>
              <w:rPr>
                <w:rFonts w:hint="eastAsia" w:cs="Times New Roman"/>
              </w:rPr>
              <w:t>/</w:t>
            </w:r>
          </w:p>
        </w:tc>
        <w:tc>
          <w:tcPr>
            <w:tcW w:w="536" w:type="pct"/>
            <w:vAlign w:val="center"/>
          </w:tcPr>
          <w:p w14:paraId="0A5CB31F">
            <w:pPr>
              <w:pStyle w:val="133"/>
              <w:rPr>
                <w:rFonts w:cs="Times New Roman"/>
              </w:rPr>
            </w:pPr>
            <w:r>
              <w:rPr>
                <w:rFonts w:hint="eastAsia"/>
                <w:szCs w:val="21"/>
              </w:rPr>
              <w:t>一般固废</w:t>
            </w:r>
          </w:p>
        </w:tc>
        <w:tc>
          <w:tcPr>
            <w:tcW w:w="536" w:type="pct"/>
            <w:vAlign w:val="center"/>
          </w:tcPr>
          <w:p w14:paraId="2150571F">
            <w:pPr>
              <w:pStyle w:val="133"/>
              <w:rPr>
                <w:rFonts w:cs="Times New Roman"/>
              </w:rPr>
            </w:pPr>
            <w:r>
              <w:rPr>
                <w:rFonts w:hint="eastAsia"/>
              </w:rPr>
              <w:t>SW59</w:t>
            </w:r>
          </w:p>
        </w:tc>
        <w:tc>
          <w:tcPr>
            <w:tcW w:w="636" w:type="pct"/>
            <w:vAlign w:val="center"/>
          </w:tcPr>
          <w:p w14:paraId="222B1635">
            <w:pPr>
              <w:pStyle w:val="133"/>
              <w:rPr>
                <w:rFonts w:cs="Times New Roman"/>
              </w:rPr>
            </w:pPr>
            <w:r>
              <w:rPr>
                <w:rFonts w:hint="eastAsia"/>
              </w:rPr>
              <w:t>9</w:t>
            </w:r>
            <w:r>
              <w:t>00-</w:t>
            </w:r>
            <w:r>
              <w:rPr>
                <w:rFonts w:hint="eastAsia"/>
              </w:rPr>
              <w:t>009</w:t>
            </w:r>
            <w:r>
              <w:t>-</w:t>
            </w:r>
            <w:r>
              <w:rPr>
                <w:rFonts w:hint="eastAsia"/>
              </w:rPr>
              <w:t>S5</w:t>
            </w:r>
            <w:r>
              <w:t>9</w:t>
            </w:r>
          </w:p>
        </w:tc>
        <w:tc>
          <w:tcPr>
            <w:tcW w:w="925" w:type="pct"/>
            <w:vAlign w:val="center"/>
          </w:tcPr>
          <w:p w14:paraId="69FFAFD7">
            <w:pPr>
              <w:pStyle w:val="133"/>
              <w:rPr>
                <w:rFonts w:cs="Times New Roman"/>
              </w:rPr>
            </w:pPr>
            <w:r>
              <w:rPr>
                <w:rFonts w:hint="eastAsia"/>
              </w:rPr>
              <w:t>由运维公司回收</w:t>
            </w:r>
          </w:p>
        </w:tc>
      </w:tr>
    </w:tbl>
    <w:p w14:paraId="3D56C391">
      <w:pPr>
        <w:pStyle w:val="117"/>
        <w:ind w:firstLine="480"/>
      </w:pPr>
    </w:p>
    <w:p w14:paraId="449954BD">
      <w:pPr>
        <w:pStyle w:val="117"/>
        <w:ind w:firstLine="480"/>
        <w:sectPr>
          <w:pgSz w:w="16838" w:h="11906" w:orient="landscape"/>
          <w:pgMar w:top="1800" w:right="1440" w:bottom="1800" w:left="1440" w:header="851" w:footer="992" w:gutter="0"/>
          <w:cols w:space="425" w:num="1"/>
          <w:docGrid w:type="lines" w:linePitch="326" w:charSpace="0"/>
        </w:sectPr>
      </w:pPr>
    </w:p>
    <w:p w14:paraId="49549FF1">
      <w:pPr>
        <w:pStyle w:val="5"/>
      </w:pPr>
      <w:r>
        <w:rPr>
          <w:rFonts w:hint="eastAsia"/>
        </w:rPr>
        <w:t>固体废物环境影响分析</w:t>
      </w:r>
    </w:p>
    <w:p w14:paraId="4E88ACC1">
      <w:pPr>
        <w:pStyle w:val="117"/>
        <w:ind w:firstLine="480"/>
        <w:rPr>
          <w:rFonts w:cs="Times New Roman"/>
        </w:rPr>
      </w:pPr>
      <w:r>
        <w:rPr>
          <w:rFonts w:cs="Times New Roman"/>
        </w:rPr>
        <w:t>（1）一般固废处理的影响分析</w:t>
      </w:r>
    </w:p>
    <w:p w14:paraId="6C583789">
      <w:pPr>
        <w:pStyle w:val="117"/>
        <w:ind w:firstLine="480"/>
        <w:rPr>
          <w:rFonts w:cs="Times New Roman"/>
        </w:rPr>
      </w:pPr>
      <w:r>
        <w:rPr>
          <w:rFonts w:cs="Times New Roman"/>
        </w:rPr>
        <w:t>本项目</w:t>
      </w:r>
      <w:r>
        <w:rPr>
          <w:rFonts w:hint="eastAsia" w:cs="Times New Roman"/>
        </w:rPr>
        <w:t>一般固废中，</w:t>
      </w:r>
      <w:r>
        <w:rPr>
          <w:rFonts w:hint="eastAsia"/>
        </w:rPr>
        <w:t>煤尘、焦粉、</w:t>
      </w:r>
      <w:r>
        <w:rPr>
          <w:rFonts w:cs="Times New Roman"/>
        </w:rPr>
        <w:t>废锭模</w:t>
      </w:r>
      <w:r>
        <w:rPr>
          <w:rFonts w:hint="eastAsia"/>
        </w:rPr>
        <w:t>外售处理；硫酸钠滤饼、矿热炉硅渣、废耐火材料厂外综合利用；</w:t>
      </w:r>
      <w:r>
        <w:rPr>
          <w:rFonts w:hint="eastAsia" w:cs="Times New Roman"/>
          <w:szCs w:val="21"/>
        </w:rPr>
        <w:t>硫酸铵溶液送肥料生产企业综合利用；</w:t>
      </w:r>
      <w:r>
        <w:rPr>
          <w:rFonts w:hint="eastAsia"/>
        </w:rPr>
        <w:t>废催化剂、废离子交换树脂、废滤芯厂家回收处理；</w:t>
      </w:r>
      <w:r>
        <w:rPr>
          <w:rFonts w:cs="Times New Roman"/>
          <w:szCs w:val="21"/>
        </w:rPr>
        <w:t>车辆冲洗</w:t>
      </w:r>
      <w:r>
        <w:rPr>
          <w:rFonts w:hint="eastAsia" w:cs="Times New Roman"/>
          <w:szCs w:val="21"/>
        </w:rPr>
        <w:t>煤泥送备煤工段掺烧；</w:t>
      </w:r>
      <w:r>
        <w:rPr>
          <w:rFonts w:hint="eastAsia"/>
        </w:rPr>
        <w:t>原料系统收尘灰、车间落料回用于矿热炉；</w:t>
      </w:r>
      <w:r>
        <w:rPr>
          <w:rFonts w:hint="eastAsia" w:cs="Times New Roman"/>
          <w:szCs w:val="21"/>
        </w:rPr>
        <w:t>废布袋由运维公司回收</w:t>
      </w:r>
      <w:r>
        <w:rPr>
          <w:rFonts w:hint="eastAsia" w:cs="Times New Roman"/>
        </w:rPr>
        <w:t>，</w:t>
      </w:r>
      <w:r>
        <w:rPr>
          <w:rFonts w:cs="Times New Roman"/>
        </w:rPr>
        <w:t>对环境影响不明显。</w:t>
      </w:r>
    </w:p>
    <w:p w14:paraId="0F57714B">
      <w:pPr>
        <w:pStyle w:val="117"/>
        <w:ind w:firstLine="480"/>
        <w:rPr>
          <w:rFonts w:cs="Times New Roman"/>
        </w:rPr>
      </w:pPr>
      <w:r>
        <w:rPr>
          <w:rFonts w:cs="Times New Roman"/>
        </w:rPr>
        <w:t>（2）危险废物贮存、处理处置等环节的环境影响分析</w:t>
      </w:r>
    </w:p>
    <w:p w14:paraId="28A1FABA">
      <w:pPr>
        <w:pStyle w:val="117"/>
        <w:ind w:firstLine="480"/>
        <w:rPr>
          <w:rFonts w:cs="Times New Roman"/>
        </w:rPr>
      </w:pPr>
      <w:r>
        <w:rPr>
          <w:rFonts w:cs="Times New Roman"/>
        </w:rPr>
        <w:t>本项目</w:t>
      </w:r>
      <w:r>
        <w:rPr>
          <w:rFonts w:hint="eastAsia" w:cs="Times New Roman"/>
        </w:rPr>
        <w:t>危险废物</w:t>
      </w:r>
      <w:r>
        <w:rPr>
          <w:rFonts w:cs="Times New Roman"/>
        </w:rPr>
        <w:t>贮存、处理处置等环节的环境影响按照《建设项目危险废物环境影响评价指南》</w:t>
      </w:r>
      <w:r>
        <w:rPr>
          <w:rFonts w:hint="eastAsia" w:cs="Times New Roman"/>
        </w:rPr>
        <w:t>要求进行分析。</w:t>
      </w:r>
    </w:p>
    <w:p w14:paraId="691C790D">
      <w:pPr>
        <w:pStyle w:val="257"/>
        <w:ind w:firstLine="480"/>
      </w:pPr>
      <w:r>
        <w:rPr>
          <w:rFonts w:hint="eastAsia" w:ascii="宋体" w:hAnsi="宋体" w:eastAsia="宋体" w:cs="宋体"/>
        </w:rPr>
        <w:t>危险废物贮存过程的环境影响分析</w:t>
      </w:r>
    </w:p>
    <w:p w14:paraId="045CCC81">
      <w:pPr>
        <w:pStyle w:val="257"/>
        <w:ind w:firstLine="480"/>
      </w:pPr>
      <w:r>
        <w:rPr>
          <w:rFonts w:ascii="宋体" w:hAnsi="宋体"/>
        </w:rPr>
        <w:t>1</w:t>
      </w:r>
      <w:r>
        <w:rPr>
          <w:rFonts w:hint="eastAsia" w:ascii="宋体" w:hAnsi="宋体" w:eastAsia="宋体" w:cs="宋体"/>
        </w:rPr>
        <w:t>）危险废物贮存场所</w:t>
      </w:r>
    </w:p>
    <w:p w14:paraId="771E301A">
      <w:pPr>
        <w:pStyle w:val="117"/>
        <w:ind w:firstLine="480"/>
      </w:pPr>
      <w:r>
        <w:rPr>
          <w:rFonts w:hint="eastAsia" w:ascii="宋体" w:hAnsi="宋体"/>
        </w:rPr>
        <w:t>本项目</w:t>
      </w:r>
      <w:r>
        <w:rPr>
          <w:rFonts w:hint="eastAsia"/>
        </w:rPr>
        <w:t>新建一座危险废物暂存库，面积为162m</w:t>
      </w:r>
      <w:r>
        <w:rPr>
          <w:rFonts w:hint="eastAsia"/>
          <w:vertAlign w:val="superscript"/>
        </w:rPr>
        <w:t>2</w:t>
      </w:r>
      <w:r>
        <w:rPr>
          <w:rFonts w:hint="eastAsia"/>
        </w:rPr>
        <w:t>，用于存放本项目产生的废活性炭、废润滑油等。</w:t>
      </w:r>
      <w:r>
        <w:rPr>
          <w:rFonts w:hint="eastAsia" w:ascii="宋体" w:hAnsi="宋体"/>
        </w:rPr>
        <w:t>危险废物暂存间基础必须防渗，人工衬层的材料渗透系数不大于</w:t>
      </w:r>
      <w:r>
        <w:rPr>
          <w:rFonts w:hint="eastAsia"/>
        </w:rPr>
        <w:t>1.0</w:t>
      </w:r>
      <w:r>
        <w:t>×</w:t>
      </w:r>
      <w:r>
        <w:rPr>
          <w:rFonts w:hint="eastAsia"/>
        </w:rPr>
        <w:t>10</w:t>
      </w:r>
      <w:r>
        <w:rPr>
          <w:rFonts w:hint="eastAsia"/>
          <w:vertAlign w:val="superscript"/>
        </w:rPr>
        <w:t>-1</w:t>
      </w:r>
      <w:r>
        <w:rPr>
          <w:vertAlign w:val="superscript"/>
        </w:rPr>
        <w:t>0</w:t>
      </w:r>
      <w:r>
        <w:rPr>
          <w:rFonts w:hint="eastAsia"/>
        </w:rPr>
        <w:t>cm/s</w:t>
      </w:r>
      <w:r>
        <w:rPr>
          <w:rFonts w:hint="eastAsia" w:ascii="宋体" w:hAnsi="宋体"/>
        </w:rPr>
        <w:t>，需满足《危险废物贮存污染控制标准》（</w:t>
      </w:r>
      <w:r>
        <w:rPr>
          <w:rFonts w:hint="eastAsia"/>
        </w:rPr>
        <w:t>GB 18597-2023</w:t>
      </w:r>
      <w:r>
        <w:rPr>
          <w:rFonts w:hint="eastAsia" w:ascii="宋体" w:hAnsi="宋体"/>
        </w:rPr>
        <w:t>）进行防渗、防雨淋等相关设计和管理要求，对地下水和土壤环境造成的影响不大。</w:t>
      </w:r>
      <w:r>
        <w:rPr>
          <w:rFonts w:hint="eastAsia" w:ascii="宋体" w:hAnsi="宋体"/>
          <w:lang w:bidi="en-US"/>
        </w:rPr>
        <w:t>危废的贮存场所设置明显标志；贮存场所内禁止混放不相容危险废物。</w:t>
      </w:r>
    </w:p>
    <w:p w14:paraId="5C283AF9">
      <w:pPr>
        <w:pStyle w:val="117"/>
        <w:ind w:firstLine="480"/>
      </w:pPr>
      <w:r>
        <w:t>2</w:t>
      </w:r>
      <w:r>
        <w:rPr>
          <w:rFonts w:hint="eastAsia"/>
        </w:rPr>
        <w:t>）危险废物贮存场所环境影响</w:t>
      </w:r>
    </w:p>
    <w:p w14:paraId="0E6B4118">
      <w:pPr>
        <w:pStyle w:val="257"/>
        <w:ind w:firstLine="480"/>
      </w:pPr>
      <w:r>
        <w:rPr>
          <w:rFonts w:hint="eastAsia" w:ascii="宋体" w:hAnsi="宋体" w:eastAsia="宋体" w:cs="宋体"/>
        </w:rPr>
        <w:t>本项目所在地区地质结构稳定，地震烈度不超过</w:t>
      </w:r>
      <w:r>
        <w:rPr>
          <w:rFonts w:hint="eastAsia"/>
        </w:rPr>
        <w:t>7</w:t>
      </w:r>
      <w:r>
        <w:rPr>
          <w:rFonts w:hint="eastAsia" w:ascii="宋体" w:hAnsi="宋体" w:eastAsia="宋体" w:cs="宋体"/>
        </w:rPr>
        <w:t>度，设施底部高于地下水最高水位，在易燃易爆等危险品仓库、高压输电线路防护区域以外，符合《危险废物贮存污染控制标准》（</w:t>
      </w:r>
      <w:r>
        <w:rPr>
          <w:rFonts w:hint="eastAsia"/>
        </w:rPr>
        <w:t>GB 18597-2023</w:t>
      </w:r>
      <w:r>
        <w:rPr>
          <w:rFonts w:hint="eastAsia" w:ascii="宋体" w:hAnsi="宋体" w:eastAsia="宋体" w:cs="宋体"/>
        </w:rPr>
        <w:t>）及修改单对选址的要求。</w:t>
      </w:r>
    </w:p>
    <w:p w14:paraId="43ACF901">
      <w:pPr>
        <w:pStyle w:val="257"/>
        <w:ind w:firstLine="480"/>
      </w:pPr>
      <w:r>
        <w:rPr>
          <w:rFonts w:hint="eastAsia" w:ascii="宋体" w:hAnsi="宋体" w:eastAsia="宋体" w:cs="宋体"/>
        </w:rPr>
        <w:t>危险废物暂存间的设计参照《危险废物贮存污染控制标准》（</w:t>
      </w:r>
      <w:r>
        <w:rPr>
          <w:rFonts w:hint="eastAsia"/>
        </w:rPr>
        <w:t>GB18597-2023</w:t>
      </w:r>
      <w:r>
        <w:rPr>
          <w:rFonts w:hint="eastAsia" w:ascii="宋体" w:hAnsi="宋体" w:eastAsia="宋体" w:cs="宋体"/>
        </w:rPr>
        <w:t>）及修改单的要求进行，危险废物暂存间污染防治分区按重点污染区域考虑，地面进行耐腐和硬化处理，并按《环境保护图形标志－固体废物贮存（处置）场》</w:t>
      </w:r>
      <w:r>
        <w:rPr>
          <w:rFonts w:hint="eastAsia"/>
        </w:rPr>
        <w:t>GB15562.2</w:t>
      </w:r>
      <w:r>
        <w:rPr>
          <w:rFonts w:hint="eastAsia" w:ascii="宋体" w:hAnsi="宋体" w:eastAsia="宋体" w:cs="宋体"/>
        </w:rPr>
        <w:t>的规定设置警示标志。</w:t>
      </w:r>
    </w:p>
    <w:p w14:paraId="5DD9798C">
      <w:pPr>
        <w:pStyle w:val="257"/>
        <w:ind w:firstLine="480"/>
      </w:pPr>
      <w:r>
        <w:rPr>
          <w:rFonts w:hint="eastAsia" w:ascii="宋体" w:hAnsi="宋体" w:eastAsia="宋体" w:cs="宋体"/>
        </w:rPr>
        <w:t>危废暂存库设围堰，收集在消防事故发生过程中产生的泄漏物料、污染消防水等。库内清理出来的泄漏物，一律按危险废物处理。</w:t>
      </w:r>
    </w:p>
    <w:p w14:paraId="7B18D60F">
      <w:pPr>
        <w:pStyle w:val="117"/>
        <w:ind w:firstLine="480"/>
      </w:pPr>
      <w:r>
        <w:rPr>
          <w:rFonts w:hint="eastAsia"/>
        </w:rPr>
        <w:t>3）危险废物贮存管理要求</w:t>
      </w:r>
    </w:p>
    <w:p w14:paraId="02D8F45D">
      <w:pPr>
        <w:pStyle w:val="257"/>
        <w:ind w:firstLine="480"/>
        <w:rPr>
          <w:rFonts w:hint="eastAsia" w:ascii="宋体" w:hAnsi="宋体" w:eastAsia="宋体" w:cs="宋体"/>
        </w:rPr>
      </w:pPr>
      <w:r>
        <w:rPr>
          <w:rFonts w:hint="eastAsia" w:ascii="宋体" w:hAnsi="宋体" w:eastAsia="宋体" w:cs="宋体"/>
        </w:rPr>
        <w:t>本项目对危险固体废物进行全过程严格管理，必须交由有资质的单位安全处理处置，严</w:t>
      </w:r>
      <w:r>
        <w:rPr>
          <w:rStyle w:val="162"/>
          <w:rFonts w:hint="eastAsia"/>
        </w:rPr>
        <w:t>禁随意堆放和扩散，必须设置专用贮存场所，并按照《危险废物贮存污染控制标准》（GB 18597-20</w:t>
      </w:r>
      <w:r>
        <w:rPr>
          <w:rStyle w:val="162"/>
        </w:rPr>
        <w:t>23</w:t>
      </w:r>
      <w:r>
        <w:rPr>
          <w:rStyle w:val="162"/>
          <w:rFonts w:hint="eastAsia"/>
        </w:rPr>
        <w:t>）及《危险废物污染防治技术政策》的有关规定贮存及管理，有防扬散、防流失、防渗漏等措施，由专业人员操作，单独收集和储运，对本项目产生的固</w:t>
      </w:r>
      <w:r>
        <w:rPr>
          <w:rFonts w:hint="eastAsia" w:ascii="宋体" w:hAnsi="宋体" w:eastAsia="宋体" w:cs="宋体"/>
        </w:rPr>
        <w:t>体废物特别是危险废物进行全过程严格管理和安全处置。</w:t>
      </w:r>
    </w:p>
    <w:p w14:paraId="58235173">
      <w:pPr>
        <w:pStyle w:val="257"/>
        <w:ind w:firstLine="480"/>
        <w:rPr>
          <w:rFonts w:hint="eastAsia" w:ascii="宋体" w:hAnsi="宋体" w:eastAsia="宋体" w:cs="宋体"/>
        </w:rPr>
      </w:pPr>
      <w:r>
        <w:rPr>
          <w:rFonts w:hint="eastAsia" w:ascii="宋体" w:hAnsi="宋体" w:eastAsia="宋体" w:cs="宋体"/>
        </w:rPr>
        <w:t>为杜绝危险废物在转运过程中对环境的潜在性污染风险，各危险废物处置单位应实行“上门取货制”和危险废物的转运联单制，配备专用的危险废物转运车辆，实行从废物产生源头装车，到最终的处理处置设施进行全程监控和管理。废物进场时首先要对废物进行物理和化学性质分析，分类并登记造册，禁止将不相容废物装入同一容器。盛装危险废物的容器上要粘贴符合标准的标签。</w:t>
      </w:r>
    </w:p>
    <w:p w14:paraId="5DF8956D">
      <w:pPr>
        <w:pStyle w:val="257"/>
        <w:ind w:firstLine="480"/>
      </w:pPr>
      <w:r>
        <w:rPr>
          <w:rFonts w:hint="eastAsia" w:ascii="宋体" w:hAnsi="宋体" w:eastAsia="宋体" w:cs="宋体"/>
        </w:rPr>
        <w:t>综上所述，本项目危险废物贮存设施可靠，贮存环节对环境产生的影响较小。</w:t>
      </w:r>
    </w:p>
    <w:p w14:paraId="24894F9D">
      <w:pPr>
        <w:pStyle w:val="117"/>
        <w:ind w:firstLine="480"/>
      </w:pPr>
      <w:r>
        <w:rPr>
          <w:rFonts w:hint="eastAsia"/>
        </w:rPr>
        <w:t>（3）对</w:t>
      </w:r>
      <w:r>
        <w:t>大气环境的影响</w:t>
      </w:r>
    </w:p>
    <w:p w14:paraId="42C00BC8">
      <w:pPr>
        <w:pStyle w:val="117"/>
        <w:ind w:firstLine="480"/>
      </w:pPr>
      <w:r>
        <w:t>固体废物在堆放过程中，废物所含的细粒、粉末随风扬散；在废物运输及处理过程中缺少相应的防护和净化设施，释放有害气体和粉尘。</w:t>
      </w:r>
      <w:r>
        <w:rPr>
          <w:rFonts w:hint="eastAsia"/>
        </w:rPr>
        <w:t>本项目</w:t>
      </w:r>
      <w:r>
        <w:t>危废暂存于满足《危险废物贮存污染控制标准》（GB18597-2023）要求的危废</w:t>
      </w:r>
      <w:r>
        <w:rPr>
          <w:rFonts w:hint="eastAsia"/>
        </w:rPr>
        <w:t>原料库</w:t>
      </w:r>
      <w:r>
        <w:t>，并采取防风、防雨、防漏等措施，暂存能力满足要求，危险废物</w:t>
      </w:r>
      <w:r>
        <w:rPr>
          <w:rFonts w:hint="eastAsia"/>
        </w:rPr>
        <w:t>收集后均掺入原料中送侧吹炉处理。</w:t>
      </w:r>
      <w:r>
        <w:t>因此，</w:t>
      </w:r>
      <w:r>
        <w:rPr>
          <w:rFonts w:hint="eastAsia"/>
        </w:rPr>
        <w:t>镁合金产业循环经济建设技改提升项目</w:t>
      </w:r>
      <w:r>
        <w:t>固体废物对大气环境的影响较小。</w:t>
      </w:r>
    </w:p>
    <w:p w14:paraId="5C90D803">
      <w:pPr>
        <w:pStyle w:val="117"/>
        <w:ind w:firstLine="480"/>
      </w:pPr>
      <w:r>
        <w:t>（4）</w:t>
      </w:r>
      <w:r>
        <w:rPr>
          <w:rFonts w:hint="eastAsia"/>
        </w:rPr>
        <w:t>对地下水、</w:t>
      </w:r>
      <w:r>
        <w:t>土壤环境的影响</w:t>
      </w:r>
    </w:p>
    <w:p w14:paraId="3BBBDB8F">
      <w:pPr>
        <w:pStyle w:val="404"/>
      </w:pPr>
      <w:r>
        <w:t>固体废物的长期露天堆放</w:t>
      </w:r>
      <w:r>
        <w:rPr>
          <w:rFonts w:hint="eastAsia"/>
        </w:rPr>
        <w:t>。</w:t>
      </w:r>
      <w:r>
        <w:t>其有害成分通过地表径流和雨水的淋溶、渗透作用，通过土壤孔隙向四周和纵深的土壤迁移。在迁移过程中，由于土壤的吸附能力和吸附容量很大，固体废物随着渗滤水在地下水中的迁移，使有害成分在土壤固相中呈现不同程度的积累，导致土壤成分和结构的改变，间接又对在该土壤上生长的植物及土壤中的动物、微生物产生了危害。拟建项目产生一般固废和危险废物均暂存于满足要求的暂存间或库内，采取防风、防雨措施，不存在露天堆放，因此，固体废物特别是危险废物的有害成分进入土壤环境的可能性较小，对周边土壤环境的影响较小。</w:t>
      </w:r>
    </w:p>
    <w:p w14:paraId="30E2C914">
      <w:pPr>
        <w:pStyle w:val="404"/>
      </w:pPr>
      <w:r>
        <w:rPr>
          <w:rFonts w:hint="eastAsia"/>
        </w:rPr>
        <w:t>本次评价</w:t>
      </w:r>
      <w:r>
        <w:t>要求在厂区内暂时存放固体废物特别是危险废物期间应加强管理，分类收集，及时处理，严格执行《危险废物贮存污染控制标准》（GB18597-2023）、《一般工业固体废物贮存</w:t>
      </w:r>
      <w:r>
        <w:rPr>
          <w:rFonts w:hint="eastAsia"/>
        </w:rPr>
        <w:t>和填埋</w:t>
      </w:r>
      <w:r>
        <w:t>污染控制标准》（GB18599-20</w:t>
      </w:r>
      <w:r>
        <w:rPr>
          <w:rFonts w:hint="eastAsia"/>
        </w:rPr>
        <w:t>20</w:t>
      </w:r>
      <w:r>
        <w:t>）等相关要求，堆放场地应设有防渗、防流失措施；在清运过程中，要求做好密闭措施，防止固废散发出臭味或抛洒遗漏而导致污染扩散。</w:t>
      </w:r>
    </w:p>
    <w:p w14:paraId="0748CCBA">
      <w:pPr>
        <w:pStyle w:val="117"/>
        <w:ind w:firstLine="480"/>
      </w:pPr>
      <w:r>
        <w:t>综上所述，本项目在生产中严格落实固废危废防治措施，加强环保管理，各固体废物均得到妥善处理、处置，不会造成二次污染。</w:t>
      </w:r>
    </w:p>
    <w:p w14:paraId="0EE2A17D">
      <w:pPr>
        <w:pStyle w:val="138"/>
        <w:rPr>
          <w:rFonts w:hint="eastAsia"/>
        </w:rPr>
      </w:pPr>
      <w:r>
        <w:rPr>
          <w:rFonts w:hint="eastAsia"/>
        </w:rPr>
        <w:t>固体废物环境影响分析</w:t>
      </w:r>
    </w:p>
    <w:p w14:paraId="2759E871">
      <w:pPr>
        <w:pStyle w:val="117"/>
        <w:ind w:firstLine="480"/>
      </w:pPr>
      <w:r>
        <w:rPr>
          <w:rFonts w:hint="eastAsia"/>
        </w:rPr>
        <w:t>本项目产生的固体废物对环境的影响主要表现在固废在周转及临时贮存过程。</w:t>
      </w:r>
    </w:p>
    <w:p w14:paraId="3F36FB16">
      <w:pPr>
        <w:pStyle w:val="117"/>
        <w:ind w:firstLine="480"/>
      </w:pPr>
      <w:r>
        <w:rPr>
          <w:rFonts w:hint="eastAsia"/>
        </w:rPr>
        <w:t>危险废物临时储存于危废暂存间内，设立危险废物警示标志，由专人负责管理，采取相应地采取相应的防渗、防漏措施。管理人员每月统计废物的产生量，确保危险废物的运输安全可靠，减少或避免运输过程中的二次污染和可能造成的环境风险。</w:t>
      </w:r>
    </w:p>
    <w:p w14:paraId="3B4B5222">
      <w:pPr>
        <w:pStyle w:val="117"/>
        <w:ind w:firstLine="480"/>
      </w:pPr>
      <w:r>
        <w:rPr>
          <w:rFonts w:hint="eastAsia"/>
        </w:rPr>
        <w:t>综上所述，在加强管理，并在落实好各项污染防治措施和固体废物综合利用等安全处置措施的前提下，镁合金产业循环经济建设技改提升项目固体废物均得到了合理、有效地处理和利用，固体废物暂存和处理满足《危险废物贮存污染控制标准》（</w:t>
      </w:r>
      <w:r>
        <w:t>GB18597-2023</w:t>
      </w:r>
      <w:r>
        <w:rPr>
          <w:rFonts w:hint="eastAsia"/>
        </w:rPr>
        <w:t>）的要求，镁合金产业循环经济建设技改提升项目的固体废弃物对周边环境影响不大。</w:t>
      </w:r>
    </w:p>
    <w:p w14:paraId="539AC5B5">
      <w:pPr>
        <w:pStyle w:val="3"/>
      </w:pPr>
      <w:bookmarkStart w:id="523" w:name="_Toc22636"/>
      <w:bookmarkStart w:id="524" w:name="_Toc205291401"/>
      <w:bookmarkStart w:id="525" w:name="_Toc45970065"/>
      <w:bookmarkStart w:id="526" w:name="_Toc3411"/>
      <w:bookmarkStart w:id="527" w:name="_Toc321348071"/>
      <w:bookmarkStart w:id="528" w:name="_Toc358216634"/>
      <w:bookmarkStart w:id="529" w:name="_Toc321331407"/>
      <w:bookmarkStart w:id="530" w:name="_Toc331608722"/>
      <w:bookmarkStart w:id="531" w:name="_Toc331607151"/>
      <w:bookmarkStart w:id="532" w:name="_Toc332626128"/>
      <w:bookmarkStart w:id="533" w:name="_Toc195602441"/>
      <w:bookmarkStart w:id="534" w:name="_Toc213446839"/>
      <w:r>
        <w:rPr>
          <w:rFonts w:hint="eastAsia"/>
        </w:rPr>
        <w:t>运营期生态环境影响分析</w:t>
      </w:r>
      <w:bookmarkEnd w:id="523"/>
      <w:bookmarkEnd w:id="524"/>
      <w:bookmarkEnd w:id="525"/>
      <w:bookmarkEnd w:id="526"/>
    </w:p>
    <w:p w14:paraId="739F850C">
      <w:pPr>
        <w:pStyle w:val="138"/>
        <w:rPr>
          <w:rFonts w:hint="eastAsia"/>
        </w:rPr>
      </w:pPr>
      <w:bookmarkStart w:id="535" w:name="_Hlk129687933"/>
      <w:r>
        <w:rPr>
          <w:rFonts w:hint="eastAsia"/>
        </w:rPr>
        <w:t>占地影响分析</w:t>
      </w:r>
    </w:p>
    <w:p w14:paraId="49C00476">
      <w:pPr>
        <w:pStyle w:val="117"/>
        <w:ind w:firstLine="480"/>
      </w:pPr>
      <w:r>
        <w:rPr>
          <w:rFonts w:hint="eastAsia"/>
        </w:rPr>
        <w:t>拟建</w:t>
      </w:r>
      <w:r>
        <w:t>项目位于</w:t>
      </w:r>
      <w:r>
        <w:rPr>
          <w:rFonts w:hint="eastAsia" w:ascii="宋体" w:hAnsi="宋体"/>
        </w:rPr>
        <w:t>哈密高新技术产业开发区南部循环经济产业园</w:t>
      </w:r>
      <w:r>
        <w:rPr>
          <w:rFonts w:hint="eastAsia"/>
        </w:rPr>
        <w:t>新疆金盛镁业有限公司现有厂区内</w:t>
      </w:r>
      <w:r>
        <w:t>，</w:t>
      </w:r>
      <w:r>
        <w:rPr>
          <w:rFonts w:hint="eastAsia"/>
        </w:rPr>
        <w:t>不新增占地</w:t>
      </w:r>
      <w:r>
        <w:t>。</w:t>
      </w:r>
    </w:p>
    <w:p w14:paraId="6677FA4E">
      <w:pPr>
        <w:pStyle w:val="138"/>
        <w:rPr>
          <w:rFonts w:hint="eastAsia"/>
        </w:rPr>
      </w:pPr>
      <w:r>
        <w:rPr>
          <w:rFonts w:hint="eastAsia"/>
        </w:rPr>
        <w:t>动植物影响分析</w:t>
      </w:r>
    </w:p>
    <w:p w14:paraId="23CA8191">
      <w:pPr>
        <w:pStyle w:val="257"/>
        <w:ind w:firstLine="480"/>
      </w:pPr>
      <w:r>
        <w:rPr>
          <w:rFonts w:hint="eastAsia" w:ascii="宋体" w:hAnsi="宋体" w:cs="宋体"/>
        </w:rPr>
        <w:t>根据园区规划环评，园区陆生植被覆盖率低，部分区域可见芨芨草、猪毛菜、驼绒藜、沙生针茅和琵琶柴等植物。陆生动物种类主要是啮齿类和爬行类的小型野生动物，部分区域有少量鸟类分布，大中型野生动物种类匮乏。</w:t>
      </w:r>
    </w:p>
    <w:p w14:paraId="2AD95B7D">
      <w:pPr>
        <w:pStyle w:val="117"/>
        <w:ind w:firstLine="480"/>
      </w:pPr>
      <w:r>
        <w:rPr>
          <w:rStyle w:val="162"/>
          <w:rFonts w:hint="eastAsia"/>
        </w:rPr>
        <w:t>运营期排放的大气污染物主要有SO</w:t>
      </w:r>
      <w:r>
        <w:rPr>
          <w:rStyle w:val="162"/>
          <w:rFonts w:hint="eastAsia"/>
          <w:vertAlign w:val="subscript"/>
        </w:rPr>
        <w:t>2</w:t>
      </w:r>
      <w:r>
        <w:rPr>
          <w:rStyle w:val="162"/>
          <w:rFonts w:hint="eastAsia"/>
        </w:rPr>
        <w:t>、NO</w:t>
      </w:r>
      <w:r>
        <w:rPr>
          <w:rStyle w:val="162"/>
          <w:rFonts w:hint="eastAsia"/>
          <w:vertAlign w:val="subscript"/>
        </w:rPr>
        <w:t>X</w:t>
      </w:r>
      <w:r>
        <w:rPr>
          <w:rStyle w:val="162"/>
          <w:rFonts w:hint="eastAsia"/>
        </w:rPr>
        <w:t>、粉尘（烟尘）、氟化物、</w:t>
      </w:r>
      <w:r>
        <w:rPr>
          <w:rStyle w:val="162"/>
        </w:rPr>
        <w:t>Ni+Sn+Sb+Cu+Mn+Co</w:t>
      </w:r>
      <w:r>
        <w:rPr>
          <w:rStyle w:val="162"/>
          <w:rFonts w:hint="eastAsia"/>
        </w:rPr>
        <w:t>、</w:t>
      </w:r>
      <w:r>
        <w:rPr>
          <w:rStyle w:val="162"/>
        </w:rPr>
        <w:t>Cd</w:t>
      </w:r>
      <w:r>
        <w:rPr>
          <w:rStyle w:val="162"/>
          <w:rFonts w:hint="eastAsia"/>
        </w:rPr>
        <w:t>、</w:t>
      </w:r>
      <w:r>
        <w:rPr>
          <w:rStyle w:val="162"/>
        </w:rPr>
        <w:t>Tl</w:t>
      </w:r>
      <w:r>
        <w:rPr>
          <w:rStyle w:val="162"/>
          <w:rFonts w:hint="eastAsia"/>
        </w:rPr>
        <w:t>、</w:t>
      </w:r>
      <w:r>
        <w:rPr>
          <w:rStyle w:val="162"/>
        </w:rPr>
        <w:t>Pb</w:t>
      </w:r>
      <w:r>
        <w:rPr>
          <w:rStyle w:val="162"/>
          <w:rFonts w:hint="eastAsia"/>
        </w:rPr>
        <w:t>、</w:t>
      </w:r>
      <w:r>
        <w:rPr>
          <w:rStyle w:val="162"/>
        </w:rPr>
        <w:t>As</w:t>
      </w:r>
      <w:r>
        <w:rPr>
          <w:rStyle w:val="162"/>
          <w:rFonts w:hint="eastAsia"/>
        </w:rPr>
        <w:t>、二噁英等，这些废气通</w:t>
      </w:r>
      <w:r>
        <w:rPr>
          <w:rFonts w:hint="eastAsia"/>
        </w:rPr>
        <w:t>过叶表面气孔进入植物组织，干扰酶的作用和代谢机能，抑制植被光合作用与呼吸作用，导致植物的生长发育减退及叶面伤害、坏死等，在芽、花、果实和枝梢上会突然出现大量伤斑。被空气污染后的植物，生长减缓，抵抗性削弱，也容易造成易受病、虫侵袭的间接危害。二氧化硫和空气中的水蒸气结合，变成</w:t>
      </w:r>
      <w:r>
        <w:t>“</w:t>
      </w:r>
      <w:r>
        <w:rPr>
          <w:rFonts w:hint="eastAsia"/>
        </w:rPr>
        <w:t>硫酸烟雾</w:t>
      </w:r>
      <w:r>
        <w:t>”</w:t>
      </w:r>
      <w:r>
        <w:rPr>
          <w:rFonts w:hint="eastAsia"/>
        </w:rPr>
        <w:t>，除了直接伤害植物以外，随雨雪降到地面上以后，可使土壤酸化，从而危害植物的正常生长。经过长时间积累影响，使得植物群落生长破碎化，动物栖息地质量下降，影响动植物的正常生长。</w:t>
      </w:r>
    </w:p>
    <w:p w14:paraId="6F978CA5">
      <w:pPr>
        <w:pStyle w:val="117"/>
        <w:ind w:firstLine="480"/>
      </w:pPr>
      <w:r>
        <w:t>（1）SO</w:t>
      </w:r>
      <w:r>
        <w:rPr>
          <w:vertAlign w:val="subscript"/>
        </w:rPr>
        <w:t>2</w:t>
      </w:r>
      <w:r>
        <w:t>的影响</w:t>
      </w:r>
    </w:p>
    <w:p w14:paraId="23FB85A9">
      <w:pPr>
        <w:pStyle w:val="117"/>
        <w:ind w:firstLine="480"/>
      </w:pPr>
      <w:r>
        <w:t>根据相关研究（汪赛</w:t>
      </w:r>
      <w:r>
        <w:rPr>
          <w:rFonts w:hint="eastAsia"/>
        </w:rPr>
        <w:t>，</w:t>
      </w:r>
      <w:r>
        <w:t>伊力塔</w:t>
      </w:r>
      <w:r>
        <w:rPr>
          <w:rFonts w:hint="eastAsia"/>
        </w:rPr>
        <w:t>，</w:t>
      </w:r>
      <w:r>
        <w:t>余树全</w:t>
      </w:r>
      <w:r>
        <w:rPr>
          <w:rFonts w:hint="eastAsia"/>
        </w:rPr>
        <w:t>，</w:t>
      </w:r>
      <w:r>
        <w:t>等</w:t>
      </w:r>
      <w:r>
        <w:rPr>
          <w:rFonts w:hint="eastAsia"/>
        </w:rPr>
        <w:t>.</w:t>
      </w:r>
      <w:r>
        <w:t>酸雾的形成及其对植物影响的研究进展[J].世界林业研究</w:t>
      </w:r>
      <w:r>
        <w:rPr>
          <w:rFonts w:hint="eastAsia"/>
        </w:rPr>
        <w:t>，</w:t>
      </w:r>
      <w:r>
        <w:t>2011</w:t>
      </w:r>
      <w:r>
        <w:rPr>
          <w:rFonts w:hint="eastAsia"/>
        </w:rPr>
        <w:t>，</w:t>
      </w:r>
      <w:r>
        <w:t>24（6）</w:t>
      </w:r>
      <w:r>
        <w:rPr>
          <w:rFonts w:hint="eastAsia"/>
        </w:rPr>
        <w:t>：</w:t>
      </w:r>
      <w:r>
        <w:t>23-28.），酸雾的出现会改变水、土壤和大气特征等，一旦植物的这些环境因子受到污染甚至被酸化，其生长必定受到影响。酸雾排入大气后会造成大气环境中的酸沉降，不仅危及工人及厂房周围居民的身体健康，还会对周边植物的生存环境带来不良影响，直接危害表现在：植被叶子表面的腊被、角质层和气孔等受到酸雾侵蚀，造成营养元素流失，而使得被的光合作用及正常代谢受到干扰及破坏，引发植被死亡；间接危害就是酸雾通过酸沉降对区域土壤或与土壤中的其他污染物发生联合作用而影响植物的生长。</w:t>
      </w:r>
    </w:p>
    <w:p w14:paraId="034377A5">
      <w:pPr>
        <w:pStyle w:val="117"/>
        <w:ind w:firstLine="480"/>
      </w:pPr>
      <w:r>
        <w:t>由于自然界的生物多样性，各种生物的特征各不相同，对SO</w:t>
      </w:r>
      <w:r>
        <w:rPr>
          <w:vertAlign w:val="subscript"/>
        </w:rPr>
        <w:t>2</w:t>
      </w:r>
      <w:r>
        <w:t>的抗性差异也很大。根据目前的研究结果，大气中SO</w:t>
      </w:r>
      <w:r>
        <w:rPr>
          <w:vertAlign w:val="subscript"/>
        </w:rPr>
        <w:t>2</w:t>
      </w:r>
      <w:r>
        <w:t>浓度达到0.3ppm时，植物就出现伤害症状，对SO</w:t>
      </w:r>
      <w:r>
        <w:rPr>
          <w:vertAlign w:val="subscript"/>
        </w:rPr>
        <w:t>2</w:t>
      </w:r>
      <w:r>
        <w:t>伤害较为敏感的植物在SO</w:t>
      </w:r>
      <w:r>
        <w:rPr>
          <w:vertAlign w:val="subscript"/>
        </w:rPr>
        <w:t>2</w:t>
      </w:r>
      <w:r>
        <w:t>浓度为3.25mg/</w:t>
      </w:r>
      <w:r>
        <w:rPr>
          <w:rFonts w:hint="eastAsia"/>
        </w:rPr>
        <w:t>m</w:t>
      </w:r>
      <w:r>
        <w:rPr>
          <w:vertAlign w:val="superscript"/>
        </w:rPr>
        <w:t>3</w:t>
      </w:r>
      <w:r>
        <w:t>空气中暴露1小时产生初始可见伤害，即其可见伤害的阈值剂量为3.25mg/</w:t>
      </w:r>
      <w:r>
        <w:rPr>
          <w:rFonts w:hint="eastAsia"/>
        </w:rPr>
        <w:t>m</w:t>
      </w:r>
      <w:r>
        <w:rPr>
          <w:vertAlign w:val="superscript"/>
        </w:rPr>
        <w:t>3</w:t>
      </w:r>
      <w:r>
        <w:t>。一般情况下，SO</w:t>
      </w:r>
      <w:r>
        <w:rPr>
          <w:vertAlign w:val="subscript"/>
        </w:rPr>
        <w:t>2</w:t>
      </w:r>
      <w:r>
        <w:t>平均浓度不超过18.13、1.05、0.68、0.47mg/m</w:t>
      </w:r>
      <w:r>
        <w:rPr>
          <w:vertAlign w:val="superscript"/>
        </w:rPr>
        <w:t>3</w:t>
      </w:r>
      <w:r>
        <w:t>，暴露时间相应为1、2、4、8小时，则植物可避免出现叶部伤害。植物的隐性伤害表现为生理干扰，或对生长和产量的影响，但植物不呈现外部可见伤害症状。据研究，敏感作物光合作用受抑制的平均阈值剂量为0.65mg/m</w:t>
      </w:r>
      <w:r>
        <w:rPr>
          <w:vertAlign w:val="superscript"/>
        </w:rPr>
        <w:t>3</w:t>
      </w:r>
      <w:r>
        <w:t>·h。导致敏感作物光合作用速率减低10%的平均暴露剂量为1.17mg/</w:t>
      </w:r>
      <w:r>
        <w:rPr>
          <w:rFonts w:hint="eastAsia"/>
        </w:rPr>
        <w:t>m</w:t>
      </w:r>
      <w:r>
        <w:rPr>
          <w:vertAlign w:val="superscript"/>
        </w:rPr>
        <w:t>3</w:t>
      </w:r>
      <w:r>
        <w:t>·h。</w:t>
      </w:r>
    </w:p>
    <w:p w14:paraId="4E51A0D9">
      <w:pPr>
        <w:pStyle w:val="117"/>
        <w:ind w:firstLine="480"/>
      </w:pPr>
      <w:r>
        <w:t>大气预测结果表明，SO</w:t>
      </w:r>
      <w:r>
        <w:rPr>
          <w:vertAlign w:val="subscript"/>
        </w:rPr>
        <w:t>2</w:t>
      </w:r>
      <w:r>
        <w:t>年均浓度贡献值的最大增值为</w:t>
      </w:r>
      <w:r>
        <w:rPr>
          <w:rFonts w:hint="eastAsia"/>
        </w:rPr>
        <w:t>0.000169m</w:t>
      </w:r>
      <w:r>
        <w:t>g/</w:t>
      </w:r>
      <w:r>
        <w:rPr>
          <w:rFonts w:hint="eastAsia"/>
        </w:rPr>
        <w:t>m</w:t>
      </w:r>
      <w:r>
        <w:rPr>
          <w:vertAlign w:val="superscript"/>
        </w:rPr>
        <w:t>3</w:t>
      </w:r>
      <w:r>
        <w:t>，远低于上述研究的伤害阈值，因此本项目排放的SO</w:t>
      </w:r>
      <w:r>
        <w:rPr>
          <w:vertAlign w:val="subscript"/>
        </w:rPr>
        <w:t>2</w:t>
      </w:r>
      <w:r>
        <w:t>不会对区域植被产生危害影响。</w:t>
      </w:r>
    </w:p>
    <w:p w14:paraId="2C948F9C">
      <w:pPr>
        <w:pStyle w:val="117"/>
        <w:ind w:firstLine="480"/>
      </w:pPr>
      <w:r>
        <w:t>（2）颗粒物的影响</w:t>
      </w:r>
    </w:p>
    <w:p w14:paraId="5A5617EE">
      <w:pPr>
        <w:pStyle w:val="117"/>
        <w:ind w:firstLine="480"/>
      </w:pPr>
      <w:r>
        <w:t>颗粒物对植物的危害主要体现在：沉积在绿色植物叶面，堵塞气孔，阻碍光合作用、呼吸作用、蒸腾作用等，危害植物健康；且颗粒</w:t>
      </w:r>
      <w:r>
        <w:rPr>
          <w:rFonts w:hint="eastAsia"/>
        </w:rPr>
        <w:t>尘</w:t>
      </w:r>
      <w:r>
        <w:t>中一些有毒物质可通过溶解渗透，进入植物体内，产生毒害作用。</w:t>
      </w:r>
    </w:p>
    <w:p w14:paraId="33E0F182">
      <w:pPr>
        <w:pStyle w:val="117"/>
        <w:ind w:firstLine="480"/>
      </w:pPr>
      <w:r>
        <w:t>大气预测结果表明，PM</w:t>
      </w:r>
      <w:r>
        <w:rPr>
          <w:vertAlign w:val="subscript"/>
        </w:rPr>
        <w:t>10</w:t>
      </w:r>
      <w:r>
        <w:t>年均浓度</w:t>
      </w:r>
      <w:r>
        <w:rPr>
          <w:rFonts w:hint="eastAsia"/>
        </w:rPr>
        <w:t>预测</w:t>
      </w:r>
      <w:r>
        <w:t>值可满足环境空气质量标准要求，对区域植被的影响不大。</w:t>
      </w:r>
      <w:r>
        <w:rPr>
          <w:rFonts w:hint="eastAsia"/>
        </w:rPr>
        <w:t>正常情况下，</w:t>
      </w:r>
      <w:r>
        <w:t>空气中的颗粒物在植物叶片上沉积的量不会太大，对区域植被的生长产生的影响很小。</w:t>
      </w:r>
    </w:p>
    <w:p w14:paraId="579DDF38">
      <w:pPr>
        <w:pStyle w:val="117"/>
        <w:ind w:firstLine="480"/>
      </w:pPr>
      <w:r>
        <w:t>（3）HCl对植物的影响分析</w:t>
      </w:r>
    </w:p>
    <w:p w14:paraId="5E893CC3">
      <w:pPr>
        <w:pStyle w:val="117"/>
        <w:ind w:firstLine="480"/>
      </w:pPr>
      <w:r>
        <w:t>HCl对植物的影响主要是盐酸的酸性作用。植物受HCl伤害后，叶片背面呈半透明状，随HCl暴露的持续，受害叶片边缘或叶脉间产生不规则带状或块状坏死伤斑，呈黄棕、红棕甚至黑色。植物叶片吸收HCl后，大多积累在叶尖和叶缘部位。在模拟自然条件生伏的熏气实验中，一些敏感的落叶树和灌木经平均浓度0.08</w:t>
      </w:r>
      <w:r>
        <w:rPr>
          <w:rFonts w:hint="eastAsia"/>
        </w:rPr>
        <w:t>～</w:t>
      </w:r>
      <w:r>
        <w:t>2.11mg/</w:t>
      </w:r>
      <w:r>
        <w:rPr>
          <w:rFonts w:hint="eastAsia"/>
        </w:rPr>
        <w:t>m</w:t>
      </w:r>
      <w:r>
        <w:rPr>
          <w:vertAlign w:val="superscript"/>
        </w:rPr>
        <w:t>3</w:t>
      </w:r>
      <w:r>
        <w:t>的HCl熏气90</w:t>
      </w:r>
      <w:r>
        <w:rPr>
          <w:rFonts w:hint="eastAsia"/>
        </w:rPr>
        <w:t>～</w:t>
      </w:r>
      <w:r>
        <w:t>230h，叶子就出现可见伤害。这意味着长期的HCl 气体暴露会导致植物生长不良和产量下降。</w:t>
      </w:r>
    </w:p>
    <w:p w14:paraId="51ECE160">
      <w:pPr>
        <w:pStyle w:val="117"/>
        <w:ind w:firstLine="480"/>
      </w:pPr>
      <w:r>
        <w:t>一般认为，植物经受间歇的0.05mg/</w:t>
      </w:r>
      <w:r>
        <w:rPr>
          <w:rFonts w:hint="eastAsia"/>
        </w:rPr>
        <w:t>m</w:t>
      </w:r>
      <w:r>
        <w:rPr>
          <w:vertAlign w:val="superscript"/>
        </w:rPr>
        <w:t>3</w:t>
      </w:r>
      <w:r>
        <w:t>HCl气体暴露，受到伤害的危险和造成产量损失的可能性很小。但是由于累积效应，连续长期的低浓度HCl暴露将对植物造成不利的影响。</w:t>
      </w:r>
    </w:p>
    <w:p w14:paraId="078F063B">
      <w:pPr>
        <w:pStyle w:val="117"/>
        <w:ind w:firstLine="480"/>
      </w:pPr>
      <w:r>
        <w:t>植物对于急性高浓度HCl暴露具有比慢性低浓度</w:t>
      </w:r>
      <w:r>
        <w:rPr>
          <w:rFonts w:hint="eastAsia"/>
        </w:rPr>
        <w:t>暴露</w:t>
      </w:r>
      <w:r>
        <w:t>强得多的抗御能力。HCl对植物急性伤害的临界剂量为：番茄1.04mg/</w:t>
      </w:r>
      <w:r>
        <w:rPr>
          <w:rFonts w:hint="eastAsia"/>
        </w:rPr>
        <w:t>m</w:t>
      </w:r>
      <w:r>
        <w:rPr>
          <w:vertAlign w:val="superscript"/>
        </w:rPr>
        <w:t>3</w:t>
      </w:r>
      <w:r>
        <w:t>接触2d；敏感阔叶植物，5.97mg/</w:t>
      </w:r>
      <w:r>
        <w:rPr>
          <w:rFonts w:hint="eastAsia"/>
        </w:rPr>
        <w:t>m</w:t>
      </w:r>
      <w:r>
        <w:rPr>
          <w:vertAlign w:val="superscript"/>
        </w:rPr>
        <w:t>3</w:t>
      </w:r>
      <w:r>
        <w:t>接触2</w:t>
      </w:r>
      <w:r>
        <w:rPr>
          <w:rFonts w:hint="eastAsia"/>
        </w:rPr>
        <w:t>～</w:t>
      </w:r>
      <w:r>
        <w:t>4h（高湿度条件下），14.93mg/</w:t>
      </w:r>
      <w:r>
        <w:rPr>
          <w:rFonts w:hint="eastAsia"/>
        </w:rPr>
        <w:t>m</w:t>
      </w:r>
      <w:r>
        <w:rPr>
          <w:vertAlign w:val="superscript"/>
        </w:rPr>
        <w:t>3</w:t>
      </w:r>
      <w:r>
        <w:t>，接触2</w:t>
      </w:r>
      <w:r>
        <w:rPr>
          <w:rFonts w:hint="eastAsia"/>
        </w:rPr>
        <w:t>～</w:t>
      </w:r>
      <w:r>
        <w:t>4h（相对湿度小于50%条件下）；抗性植物如菊花，5.97</w:t>
      </w:r>
      <w:r>
        <w:rPr>
          <w:rFonts w:hint="eastAsia"/>
        </w:rPr>
        <w:t>～</w:t>
      </w:r>
      <w:r>
        <w:t>13.44mg/m</w:t>
      </w:r>
      <w:r>
        <w:rPr>
          <w:vertAlign w:val="superscript"/>
        </w:rPr>
        <w:t>3</w:t>
      </w:r>
      <w:r>
        <w:rPr>
          <w:rFonts w:hint="eastAsia"/>
        </w:rPr>
        <w:t>，</w:t>
      </w:r>
      <w:r>
        <w:t>接触3h；抗性阔叶树，19.4mg/m</w:t>
      </w:r>
      <w:r>
        <w:rPr>
          <w:vertAlign w:val="superscript"/>
        </w:rPr>
        <w:t>3</w:t>
      </w:r>
      <w:r>
        <w:rPr>
          <w:rFonts w:hint="eastAsia"/>
        </w:rPr>
        <w:t>，</w:t>
      </w:r>
      <w:r>
        <w:t>接触4h；针叶树，11.9mg/m</w:t>
      </w:r>
      <w:r>
        <w:rPr>
          <w:vertAlign w:val="superscript"/>
        </w:rPr>
        <w:t>3</w:t>
      </w:r>
      <w:r>
        <w:rPr>
          <w:rFonts w:hint="eastAsia"/>
        </w:rPr>
        <w:t>，</w:t>
      </w:r>
      <w:r>
        <w:t>接触4h。</w:t>
      </w:r>
    </w:p>
    <w:p w14:paraId="14EEBD8F">
      <w:pPr>
        <w:pStyle w:val="117"/>
        <w:ind w:firstLine="480"/>
      </w:pPr>
      <w:r>
        <w:t>根据大气预测结果，HCl最大小时浓度增值远低于研究的慢性伤害</w:t>
      </w:r>
      <w:r>
        <w:rPr>
          <w:rFonts w:hint="eastAsia"/>
        </w:rPr>
        <w:t>阈值</w:t>
      </w:r>
      <w:r>
        <w:t>，因此本项目HCl排放对区域植物和周边区域植物的危害影响很小。</w:t>
      </w:r>
    </w:p>
    <w:p w14:paraId="25EACC4D">
      <w:pPr>
        <w:pStyle w:val="117"/>
        <w:ind w:firstLine="480"/>
      </w:pPr>
      <w:r>
        <w:t>综上所述，本项目拟对各种废气污染物采取严格的治理措施，保证各种废气达标排放。在严格环保措施的情况下，本项目废气污染物的排放对区域植被的影响不大，不会影响周边区域的植被生长。</w:t>
      </w:r>
    </w:p>
    <w:bookmarkEnd w:id="527"/>
    <w:bookmarkEnd w:id="528"/>
    <w:bookmarkEnd w:id="529"/>
    <w:bookmarkEnd w:id="530"/>
    <w:bookmarkEnd w:id="531"/>
    <w:bookmarkEnd w:id="532"/>
    <w:bookmarkEnd w:id="533"/>
    <w:bookmarkEnd w:id="534"/>
    <w:bookmarkEnd w:id="535"/>
    <w:p w14:paraId="3BAC6609">
      <w:pPr>
        <w:pStyle w:val="3"/>
      </w:pPr>
      <w:bookmarkStart w:id="536" w:name="_Toc5651"/>
      <w:bookmarkStart w:id="537" w:name="_Toc25801"/>
      <w:bookmarkStart w:id="538" w:name="_Toc45970066"/>
      <w:bookmarkStart w:id="539" w:name="_Toc205291402"/>
      <w:r>
        <w:rPr>
          <w:rFonts w:hint="eastAsia"/>
        </w:rPr>
        <w:t>运营期土壤环境影响分析</w:t>
      </w:r>
      <w:bookmarkEnd w:id="536"/>
      <w:bookmarkEnd w:id="537"/>
      <w:bookmarkEnd w:id="538"/>
      <w:bookmarkEnd w:id="539"/>
    </w:p>
    <w:p w14:paraId="5FD34CB9">
      <w:pPr>
        <w:pStyle w:val="117"/>
        <w:ind w:firstLine="480"/>
      </w:pPr>
      <w:bookmarkStart w:id="540" w:name="_Toc29524"/>
      <w:bookmarkStart w:id="541" w:name="_Toc13006"/>
      <w:r>
        <w:rPr>
          <w:rStyle w:val="162"/>
        </w:rPr>
        <w:t>根据土壤环境影响评价项目类别、占地规模与敏感程度，确定本项目土壤环境评价工作等级</w:t>
      </w:r>
      <w:r>
        <w:rPr>
          <w:rStyle w:val="162"/>
          <w:rFonts w:hint="eastAsia"/>
        </w:rPr>
        <w:t>为</w:t>
      </w:r>
      <w:r>
        <w:rPr>
          <w:rFonts w:hint="eastAsia"/>
        </w:rPr>
        <w:t>一级</w:t>
      </w:r>
      <w:r>
        <w:rPr>
          <w:rStyle w:val="162"/>
        </w:rPr>
        <w:t>。本项目对土壤环境的影响主要发生在营运期</w:t>
      </w:r>
      <w:r>
        <w:t>。</w:t>
      </w:r>
    </w:p>
    <w:p w14:paraId="48332CCC">
      <w:pPr>
        <w:pStyle w:val="118"/>
      </w:pPr>
      <w:r>
        <w:rPr>
          <w:rFonts w:hint="eastAsia"/>
        </w:rPr>
        <w:t>5.</w:t>
      </w:r>
      <w:r>
        <w:t>8-1   建设项目土壤环境影响类型与影响途径表</w:t>
      </w:r>
    </w:p>
    <w:tbl>
      <w:tblPr>
        <w:tblStyle w:val="67"/>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404"/>
        <w:gridCol w:w="1163"/>
        <w:gridCol w:w="1163"/>
        <w:gridCol w:w="1163"/>
        <w:gridCol w:w="682"/>
        <w:gridCol w:w="680"/>
        <w:gridCol w:w="680"/>
        <w:gridCol w:w="680"/>
        <w:gridCol w:w="678"/>
      </w:tblGrid>
      <w:tr w14:paraId="6AB5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1404" w:type="dxa"/>
            <w:vMerge w:val="restart"/>
            <w:vAlign w:val="center"/>
          </w:tcPr>
          <w:p w14:paraId="6E4A74E9">
            <w:pPr>
              <w:pStyle w:val="133"/>
              <w:rPr>
                <w:b/>
                <w:bCs/>
              </w:rPr>
            </w:pPr>
            <w:r>
              <w:rPr>
                <w:b/>
                <w:bCs/>
              </w:rPr>
              <w:t>不同时段</w:t>
            </w:r>
          </w:p>
        </w:tc>
        <w:tc>
          <w:tcPr>
            <w:tcW w:w="4171" w:type="dxa"/>
            <w:gridSpan w:val="4"/>
            <w:vAlign w:val="center"/>
          </w:tcPr>
          <w:p w14:paraId="3973F094">
            <w:pPr>
              <w:pStyle w:val="133"/>
              <w:rPr>
                <w:b/>
                <w:bCs/>
              </w:rPr>
            </w:pPr>
            <w:r>
              <w:rPr>
                <w:b/>
                <w:bCs/>
              </w:rPr>
              <w:t>污染影响型</w:t>
            </w:r>
          </w:p>
        </w:tc>
        <w:tc>
          <w:tcPr>
            <w:tcW w:w="2718" w:type="dxa"/>
            <w:gridSpan w:val="4"/>
            <w:vAlign w:val="center"/>
          </w:tcPr>
          <w:p w14:paraId="2FE120D4">
            <w:pPr>
              <w:pStyle w:val="133"/>
              <w:rPr>
                <w:b/>
                <w:bCs/>
              </w:rPr>
            </w:pPr>
            <w:r>
              <w:rPr>
                <w:b/>
                <w:bCs/>
              </w:rPr>
              <w:t>生态影响型</w:t>
            </w:r>
          </w:p>
        </w:tc>
      </w:tr>
      <w:tr w14:paraId="3358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1404" w:type="dxa"/>
            <w:vMerge w:val="continue"/>
            <w:vAlign w:val="center"/>
          </w:tcPr>
          <w:p w14:paraId="43BDE5D0">
            <w:pPr>
              <w:pStyle w:val="133"/>
              <w:rPr>
                <w:b/>
                <w:bCs/>
              </w:rPr>
            </w:pPr>
          </w:p>
        </w:tc>
        <w:tc>
          <w:tcPr>
            <w:tcW w:w="1163" w:type="dxa"/>
            <w:vAlign w:val="center"/>
          </w:tcPr>
          <w:p w14:paraId="67262BFC">
            <w:pPr>
              <w:pStyle w:val="133"/>
              <w:rPr>
                <w:b/>
                <w:bCs/>
              </w:rPr>
            </w:pPr>
            <w:r>
              <w:rPr>
                <w:b/>
                <w:bCs/>
              </w:rPr>
              <w:t>大气沉降</w:t>
            </w:r>
          </w:p>
        </w:tc>
        <w:tc>
          <w:tcPr>
            <w:tcW w:w="1163" w:type="dxa"/>
            <w:vAlign w:val="center"/>
          </w:tcPr>
          <w:p w14:paraId="3E725111">
            <w:pPr>
              <w:pStyle w:val="133"/>
              <w:rPr>
                <w:b/>
                <w:bCs/>
              </w:rPr>
            </w:pPr>
            <w:r>
              <w:rPr>
                <w:b/>
                <w:bCs/>
              </w:rPr>
              <w:t>地面漫流</w:t>
            </w:r>
          </w:p>
        </w:tc>
        <w:tc>
          <w:tcPr>
            <w:tcW w:w="1163" w:type="dxa"/>
            <w:vAlign w:val="center"/>
          </w:tcPr>
          <w:p w14:paraId="429CCFF1">
            <w:pPr>
              <w:pStyle w:val="133"/>
              <w:rPr>
                <w:b/>
                <w:bCs/>
              </w:rPr>
            </w:pPr>
            <w:r>
              <w:rPr>
                <w:b/>
                <w:bCs/>
              </w:rPr>
              <w:t>垂直入渗</w:t>
            </w:r>
          </w:p>
        </w:tc>
        <w:tc>
          <w:tcPr>
            <w:tcW w:w="682" w:type="dxa"/>
            <w:vAlign w:val="center"/>
          </w:tcPr>
          <w:p w14:paraId="14E2376E">
            <w:pPr>
              <w:pStyle w:val="133"/>
              <w:rPr>
                <w:b/>
                <w:bCs/>
              </w:rPr>
            </w:pPr>
            <w:r>
              <w:rPr>
                <w:b/>
                <w:bCs/>
              </w:rPr>
              <w:t>其他</w:t>
            </w:r>
          </w:p>
        </w:tc>
        <w:tc>
          <w:tcPr>
            <w:tcW w:w="680" w:type="dxa"/>
            <w:vAlign w:val="center"/>
          </w:tcPr>
          <w:p w14:paraId="4575397F">
            <w:pPr>
              <w:pStyle w:val="133"/>
              <w:rPr>
                <w:b/>
                <w:bCs/>
              </w:rPr>
            </w:pPr>
            <w:r>
              <w:rPr>
                <w:b/>
                <w:bCs/>
              </w:rPr>
              <w:t>盐化</w:t>
            </w:r>
          </w:p>
        </w:tc>
        <w:tc>
          <w:tcPr>
            <w:tcW w:w="680" w:type="dxa"/>
            <w:vAlign w:val="center"/>
          </w:tcPr>
          <w:p w14:paraId="3D2BA25E">
            <w:pPr>
              <w:pStyle w:val="133"/>
              <w:rPr>
                <w:b/>
                <w:bCs/>
              </w:rPr>
            </w:pPr>
            <w:r>
              <w:rPr>
                <w:b/>
                <w:bCs/>
              </w:rPr>
              <w:t>碱化</w:t>
            </w:r>
          </w:p>
        </w:tc>
        <w:tc>
          <w:tcPr>
            <w:tcW w:w="680" w:type="dxa"/>
            <w:vAlign w:val="center"/>
          </w:tcPr>
          <w:p w14:paraId="4E00B2D6">
            <w:pPr>
              <w:pStyle w:val="133"/>
              <w:rPr>
                <w:b/>
                <w:bCs/>
              </w:rPr>
            </w:pPr>
            <w:r>
              <w:rPr>
                <w:b/>
                <w:bCs/>
              </w:rPr>
              <w:t>酸化</w:t>
            </w:r>
          </w:p>
        </w:tc>
        <w:tc>
          <w:tcPr>
            <w:tcW w:w="678" w:type="dxa"/>
            <w:vAlign w:val="center"/>
          </w:tcPr>
          <w:p w14:paraId="0BD9888C">
            <w:pPr>
              <w:pStyle w:val="133"/>
              <w:rPr>
                <w:b/>
                <w:bCs/>
              </w:rPr>
            </w:pPr>
            <w:r>
              <w:rPr>
                <w:b/>
                <w:bCs/>
              </w:rPr>
              <w:t>其他</w:t>
            </w:r>
          </w:p>
        </w:tc>
      </w:tr>
      <w:tr w14:paraId="03AF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1404" w:type="dxa"/>
            <w:vAlign w:val="center"/>
          </w:tcPr>
          <w:p w14:paraId="566906E3">
            <w:pPr>
              <w:pStyle w:val="133"/>
            </w:pPr>
            <w:r>
              <w:t>建设期</w:t>
            </w:r>
          </w:p>
        </w:tc>
        <w:tc>
          <w:tcPr>
            <w:tcW w:w="1163" w:type="dxa"/>
            <w:vAlign w:val="center"/>
          </w:tcPr>
          <w:p w14:paraId="163A0C3B">
            <w:pPr>
              <w:pStyle w:val="133"/>
            </w:pPr>
          </w:p>
        </w:tc>
        <w:tc>
          <w:tcPr>
            <w:tcW w:w="1163" w:type="dxa"/>
            <w:vAlign w:val="center"/>
          </w:tcPr>
          <w:p w14:paraId="4BF3FE23">
            <w:pPr>
              <w:pStyle w:val="133"/>
            </w:pPr>
          </w:p>
        </w:tc>
        <w:tc>
          <w:tcPr>
            <w:tcW w:w="1163" w:type="dxa"/>
            <w:vAlign w:val="center"/>
          </w:tcPr>
          <w:p w14:paraId="6A696239">
            <w:pPr>
              <w:pStyle w:val="133"/>
            </w:pPr>
          </w:p>
        </w:tc>
        <w:tc>
          <w:tcPr>
            <w:tcW w:w="682" w:type="dxa"/>
            <w:vAlign w:val="center"/>
          </w:tcPr>
          <w:p w14:paraId="67EA18EB">
            <w:pPr>
              <w:pStyle w:val="133"/>
            </w:pPr>
          </w:p>
        </w:tc>
        <w:tc>
          <w:tcPr>
            <w:tcW w:w="680" w:type="dxa"/>
            <w:vAlign w:val="center"/>
          </w:tcPr>
          <w:p w14:paraId="1ACAE503">
            <w:pPr>
              <w:pStyle w:val="133"/>
            </w:pPr>
          </w:p>
        </w:tc>
        <w:tc>
          <w:tcPr>
            <w:tcW w:w="680" w:type="dxa"/>
            <w:vAlign w:val="center"/>
          </w:tcPr>
          <w:p w14:paraId="74C05E4E">
            <w:pPr>
              <w:pStyle w:val="133"/>
            </w:pPr>
          </w:p>
        </w:tc>
        <w:tc>
          <w:tcPr>
            <w:tcW w:w="680" w:type="dxa"/>
            <w:vAlign w:val="center"/>
          </w:tcPr>
          <w:p w14:paraId="12EEDBB6">
            <w:pPr>
              <w:pStyle w:val="133"/>
            </w:pPr>
          </w:p>
        </w:tc>
        <w:tc>
          <w:tcPr>
            <w:tcW w:w="678" w:type="dxa"/>
            <w:vAlign w:val="center"/>
          </w:tcPr>
          <w:p w14:paraId="706F94E1">
            <w:pPr>
              <w:pStyle w:val="133"/>
            </w:pPr>
          </w:p>
        </w:tc>
      </w:tr>
      <w:tr w14:paraId="6EC0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1404" w:type="dxa"/>
            <w:vAlign w:val="center"/>
          </w:tcPr>
          <w:p w14:paraId="7BC2DA6F">
            <w:pPr>
              <w:pStyle w:val="133"/>
            </w:pPr>
            <w:r>
              <w:t>运营期</w:t>
            </w:r>
          </w:p>
        </w:tc>
        <w:tc>
          <w:tcPr>
            <w:tcW w:w="1163" w:type="dxa"/>
            <w:vAlign w:val="center"/>
          </w:tcPr>
          <w:p w14:paraId="7D42C78F">
            <w:pPr>
              <w:pStyle w:val="133"/>
            </w:pPr>
            <w:r>
              <w:t>√</w:t>
            </w:r>
          </w:p>
        </w:tc>
        <w:tc>
          <w:tcPr>
            <w:tcW w:w="1163" w:type="dxa"/>
            <w:vAlign w:val="center"/>
          </w:tcPr>
          <w:p w14:paraId="05EEC73E">
            <w:pPr>
              <w:pStyle w:val="133"/>
            </w:pPr>
            <w:r>
              <w:t>√</w:t>
            </w:r>
          </w:p>
        </w:tc>
        <w:tc>
          <w:tcPr>
            <w:tcW w:w="1163" w:type="dxa"/>
            <w:vAlign w:val="center"/>
          </w:tcPr>
          <w:p w14:paraId="345E469A">
            <w:pPr>
              <w:pStyle w:val="133"/>
            </w:pPr>
            <w:r>
              <w:t>√</w:t>
            </w:r>
          </w:p>
        </w:tc>
        <w:tc>
          <w:tcPr>
            <w:tcW w:w="682" w:type="dxa"/>
            <w:vAlign w:val="center"/>
          </w:tcPr>
          <w:p w14:paraId="1FC75AD0">
            <w:pPr>
              <w:pStyle w:val="133"/>
            </w:pPr>
          </w:p>
        </w:tc>
        <w:tc>
          <w:tcPr>
            <w:tcW w:w="680" w:type="dxa"/>
            <w:vAlign w:val="center"/>
          </w:tcPr>
          <w:p w14:paraId="3DF3A160">
            <w:pPr>
              <w:pStyle w:val="133"/>
            </w:pPr>
          </w:p>
        </w:tc>
        <w:tc>
          <w:tcPr>
            <w:tcW w:w="680" w:type="dxa"/>
            <w:vAlign w:val="center"/>
          </w:tcPr>
          <w:p w14:paraId="4682A21D">
            <w:pPr>
              <w:pStyle w:val="133"/>
            </w:pPr>
          </w:p>
        </w:tc>
        <w:tc>
          <w:tcPr>
            <w:tcW w:w="680" w:type="dxa"/>
            <w:vAlign w:val="center"/>
          </w:tcPr>
          <w:p w14:paraId="1C91FBE4">
            <w:pPr>
              <w:pStyle w:val="133"/>
            </w:pPr>
          </w:p>
        </w:tc>
        <w:tc>
          <w:tcPr>
            <w:tcW w:w="678" w:type="dxa"/>
            <w:vAlign w:val="center"/>
          </w:tcPr>
          <w:p w14:paraId="27792D00">
            <w:pPr>
              <w:pStyle w:val="133"/>
            </w:pPr>
          </w:p>
        </w:tc>
      </w:tr>
      <w:tr w14:paraId="6578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4" w:type="dxa"/>
            <w:vAlign w:val="center"/>
          </w:tcPr>
          <w:p w14:paraId="5C3D8CDD">
            <w:pPr>
              <w:pStyle w:val="133"/>
            </w:pPr>
            <w:r>
              <w:t>服务期满后</w:t>
            </w:r>
          </w:p>
        </w:tc>
        <w:tc>
          <w:tcPr>
            <w:tcW w:w="1163" w:type="dxa"/>
            <w:vAlign w:val="center"/>
          </w:tcPr>
          <w:p w14:paraId="4051F3E5">
            <w:pPr>
              <w:pStyle w:val="133"/>
            </w:pPr>
          </w:p>
        </w:tc>
        <w:tc>
          <w:tcPr>
            <w:tcW w:w="1163" w:type="dxa"/>
            <w:vAlign w:val="center"/>
          </w:tcPr>
          <w:p w14:paraId="23066A77">
            <w:pPr>
              <w:pStyle w:val="133"/>
            </w:pPr>
          </w:p>
        </w:tc>
        <w:tc>
          <w:tcPr>
            <w:tcW w:w="1163" w:type="dxa"/>
            <w:vAlign w:val="center"/>
          </w:tcPr>
          <w:p w14:paraId="482F1BA4">
            <w:pPr>
              <w:pStyle w:val="133"/>
            </w:pPr>
          </w:p>
        </w:tc>
        <w:tc>
          <w:tcPr>
            <w:tcW w:w="682" w:type="dxa"/>
            <w:vAlign w:val="center"/>
          </w:tcPr>
          <w:p w14:paraId="52443633">
            <w:pPr>
              <w:pStyle w:val="133"/>
            </w:pPr>
          </w:p>
        </w:tc>
        <w:tc>
          <w:tcPr>
            <w:tcW w:w="680" w:type="dxa"/>
            <w:vAlign w:val="center"/>
          </w:tcPr>
          <w:p w14:paraId="1DE01148">
            <w:pPr>
              <w:pStyle w:val="133"/>
            </w:pPr>
          </w:p>
        </w:tc>
        <w:tc>
          <w:tcPr>
            <w:tcW w:w="680" w:type="dxa"/>
            <w:vAlign w:val="center"/>
          </w:tcPr>
          <w:p w14:paraId="3803A6F6">
            <w:pPr>
              <w:pStyle w:val="133"/>
            </w:pPr>
          </w:p>
        </w:tc>
        <w:tc>
          <w:tcPr>
            <w:tcW w:w="680" w:type="dxa"/>
            <w:vAlign w:val="center"/>
          </w:tcPr>
          <w:p w14:paraId="7F2900DB">
            <w:pPr>
              <w:pStyle w:val="133"/>
            </w:pPr>
          </w:p>
        </w:tc>
        <w:tc>
          <w:tcPr>
            <w:tcW w:w="678" w:type="dxa"/>
            <w:vAlign w:val="center"/>
          </w:tcPr>
          <w:p w14:paraId="6312DB6D">
            <w:pPr>
              <w:pStyle w:val="133"/>
            </w:pPr>
          </w:p>
        </w:tc>
      </w:tr>
      <w:tr w14:paraId="2A99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8293" w:type="dxa"/>
            <w:gridSpan w:val="9"/>
            <w:vAlign w:val="center"/>
          </w:tcPr>
          <w:p w14:paraId="657091DF">
            <w:pPr>
              <w:pStyle w:val="133"/>
            </w:pPr>
            <w:r>
              <w:t>注：在可能产生的土壤环境影响类型处打“√”，列表未涵盖的可自行设计。</w:t>
            </w:r>
          </w:p>
        </w:tc>
      </w:tr>
    </w:tbl>
    <w:p w14:paraId="4E038A7F">
      <w:pPr>
        <w:pStyle w:val="118"/>
      </w:pPr>
      <w:r>
        <w:t>表</w:t>
      </w:r>
      <w:r>
        <w:rPr>
          <w:rFonts w:hint="eastAsia"/>
        </w:rPr>
        <w:t>5</w:t>
      </w:r>
      <w:r>
        <w:t>.8-2  污染影响型建设项目土壤环境影响源及影响因子识别表</w:t>
      </w:r>
    </w:p>
    <w:tbl>
      <w:tblPr>
        <w:tblStyle w:val="67"/>
        <w:tblW w:w="8303"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04"/>
        <w:gridCol w:w="992"/>
        <w:gridCol w:w="1328"/>
        <w:gridCol w:w="2783"/>
        <w:gridCol w:w="1701"/>
        <w:gridCol w:w="795"/>
      </w:tblGrid>
      <w:tr w14:paraId="6E29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704" w:type="dxa"/>
            <w:vAlign w:val="center"/>
          </w:tcPr>
          <w:p w14:paraId="78E51176">
            <w:pPr>
              <w:pStyle w:val="133"/>
              <w:rPr>
                <w:b/>
                <w:bCs/>
              </w:rPr>
            </w:pPr>
            <w:r>
              <w:rPr>
                <w:b/>
                <w:bCs/>
              </w:rPr>
              <w:t>污染源</w:t>
            </w:r>
          </w:p>
        </w:tc>
        <w:tc>
          <w:tcPr>
            <w:tcW w:w="992" w:type="dxa"/>
            <w:vAlign w:val="center"/>
          </w:tcPr>
          <w:p w14:paraId="06DBC838">
            <w:pPr>
              <w:pStyle w:val="133"/>
              <w:rPr>
                <w:b/>
                <w:bCs/>
              </w:rPr>
            </w:pPr>
            <w:r>
              <w:rPr>
                <w:b/>
                <w:bCs/>
              </w:rPr>
              <w:t>工艺流程/节点</w:t>
            </w:r>
          </w:p>
        </w:tc>
        <w:tc>
          <w:tcPr>
            <w:tcW w:w="1328" w:type="dxa"/>
            <w:vAlign w:val="center"/>
          </w:tcPr>
          <w:p w14:paraId="389CB2A2">
            <w:pPr>
              <w:pStyle w:val="133"/>
              <w:rPr>
                <w:b/>
                <w:bCs/>
              </w:rPr>
            </w:pPr>
            <w:r>
              <w:rPr>
                <w:b/>
                <w:bCs/>
              </w:rPr>
              <w:t>污染途径</w:t>
            </w:r>
          </w:p>
        </w:tc>
        <w:tc>
          <w:tcPr>
            <w:tcW w:w="2783" w:type="dxa"/>
            <w:vAlign w:val="center"/>
          </w:tcPr>
          <w:p w14:paraId="6E7DC3B8">
            <w:pPr>
              <w:pStyle w:val="133"/>
              <w:rPr>
                <w:b/>
                <w:bCs/>
              </w:rPr>
            </w:pPr>
            <w:r>
              <w:rPr>
                <w:b/>
                <w:bCs/>
              </w:rPr>
              <w:t>全部污染物指标</w:t>
            </w:r>
          </w:p>
        </w:tc>
        <w:tc>
          <w:tcPr>
            <w:tcW w:w="1701" w:type="dxa"/>
            <w:vAlign w:val="center"/>
          </w:tcPr>
          <w:p w14:paraId="69CA65FF">
            <w:pPr>
              <w:pStyle w:val="133"/>
              <w:rPr>
                <w:b/>
                <w:bCs/>
              </w:rPr>
            </w:pPr>
            <w:r>
              <w:rPr>
                <w:b/>
                <w:bCs/>
              </w:rPr>
              <w:t>特征因子</w:t>
            </w:r>
          </w:p>
        </w:tc>
        <w:tc>
          <w:tcPr>
            <w:tcW w:w="795" w:type="dxa"/>
            <w:vAlign w:val="center"/>
          </w:tcPr>
          <w:p w14:paraId="14B7E718">
            <w:pPr>
              <w:pStyle w:val="133"/>
              <w:rPr>
                <w:b/>
                <w:bCs/>
              </w:rPr>
            </w:pPr>
            <w:r>
              <w:rPr>
                <w:b/>
                <w:bCs/>
              </w:rPr>
              <w:t>备注</w:t>
            </w:r>
          </w:p>
        </w:tc>
      </w:tr>
      <w:tr w14:paraId="1F6D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704" w:type="dxa"/>
            <w:vMerge w:val="restart"/>
            <w:vAlign w:val="center"/>
          </w:tcPr>
          <w:p w14:paraId="3E0C2CC7">
            <w:pPr>
              <w:pStyle w:val="133"/>
            </w:pPr>
            <w:r>
              <w:t>生产车间</w:t>
            </w:r>
          </w:p>
        </w:tc>
        <w:tc>
          <w:tcPr>
            <w:tcW w:w="992" w:type="dxa"/>
            <w:vAlign w:val="center"/>
          </w:tcPr>
          <w:p w14:paraId="741E98D8">
            <w:pPr>
              <w:pStyle w:val="133"/>
            </w:pPr>
            <w:r>
              <w:t>废气处理设施</w:t>
            </w:r>
          </w:p>
        </w:tc>
        <w:tc>
          <w:tcPr>
            <w:tcW w:w="1328" w:type="dxa"/>
            <w:vAlign w:val="center"/>
          </w:tcPr>
          <w:p w14:paraId="54DA8C68">
            <w:pPr>
              <w:pStyle w:val="133"/>
            </w:pPr>
            <w:r>
              <w:t>大气沉降</w:t>
            </w:r>
          </w:p>
        </w:tc>
        <w:tc>
          <w:tcPr>
            <w:tcW w:w="2783" w:type="dxa"/>
            <w:vAlign w:val="center"/>
          </w:tcPr>
          <w:p w14:paraId="5F494806">
            <w:pPr>
              <w:pStyle w:val="133"/>
            </w:pPr>
            <w:r>
              <w:rPr>
                <w:rFonts w:hint="eastAsia"/>
              </w:rP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、苯并芘、氰化氢、酚类、</w:t>
            </w:r>
            <w:r>
              <w:t>NH</w:t>
            </w:r>
            <w:r>
              <w:rPr>
                <w:vertAlign w:val="subscript"/>
              </w:rPr>
              <w:t>3</w:t>
            </w:r>
            <w:r>
              <w:rPr>
                <w:rFonts w:hint="eastAsia"/>
              </w:rPr>
              <w:t>、</w:t>
            </w:r>
            <w:r>
              <w:t>H</w:t>
            </w:r>
            <w:r>
              <w:rPr>
                <w:vertAlign w:val="subscript"/>
              </w:rPr>
              <w:t>2</w:t>
            </w:r>
            <w:r>
              <w:t>S</w:t>
            </w:r>
            <w:r>
              <w:rPr>
                <w:rFonts w:hint="eastAsia"/>
              </w:rPr>
              <w:t>、NMHC、T</w:t>
            </w:r>
            <w:r>
              <w:t>SP</w:t>
            </w:r>
          </w:p>
        </w:tc>
        <w:tc>
          <w:tcPr>
            <w:tcW w:w="1701" w:type="dxa"/>
            <w:vAlign w:val="center"/>
          </w:tcPr>
          <w:p w14:paraId="195CEAA5">
            <w:pPr>
              <w:pStyle w:val="133"/>
            </w:pPr>
            <w:r>
              <w:rPr>
                <w:rFonts w:hint="eastAsia"/>
              </w:rPr>
              <w:t>NMHC、苯并芘、氰化物</w:t>
            </w:r>
          </w:p>
        </w:tc>
        <w:tc>
          <w:tcPr>
            <w:tcW w:w="795" w:type="dxa"/>
            <w:vAlign w:val="center"/>
          </w:tcPr>
          <w:p w14:paraId="1CA274F7">
            <w:pPr>
              <w:pStyle w:val="133"/>
            </w:pPr>
            <w:r>
              <w:t>连续</w:t>
            </w:r>
          </w:p>
        </w:tc>
      </w:tr>
      <w:tr w14:paraId="3A45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704" w:type="dxa"/>
            <w:vMerge w:val="continue"/>
            <w:vAlign w:val="center"/>
          </w:tcPr>
          <w:p w14:paraId="55CFA2CB">
            <w:pPr>
              <w:pStyle w:val="133"/>
            </w:pPr>
          </w:p>
        </w:tc>
        <w:tc>
          <w:tcPr>
            <w:tcW w:w="992" w:type="dxa"/>
            <w:vAlign w:val="center"/>
          </w:tcPr>
          <w:p w14:paraId="19A52FB3">
            <w:pPr>
              <w:pStyle w:val="133"/>
            </w:pPr>
            <w:r>
              <w:rPr>
                <w:rFonts w:hint="eastAsia"/>
              </w:rPr>
              <w:t>剩余氨水罐</w:t>
            </w:r>
          </w:p>
        </w:tc>
        <w:tc>
          <w:tcPr>
            <w:tcW w:w="1328" w:type="dxa"/>
            <w:vAlign w:val="center"/>
          </w:tcPr>
          <w:p w14:paraId="7123935B">
            <w:pPr>
              <w:pStyle w:val="133"/>
            </w:pPr>
            <w:r>
              <w:t>地面漫流、垂直下渗</w:t>
            </w:r>
          </w:p>
        </w:tc>
        <w:tc>
          <w:tcPr>
            <w:tcW w:w="2783" w:type="dxa"/>
            <w:vAlign w:val="center"/>
          </w:tcPr>
          <w:p w14:paraId="7CD90623">
            <w:pPr>
              <w:pStyle w:val="133"/>
              <w:rPr>
                <w:highlight w:val="yellow"/>
              </w:rPr>
            </w:pPr>
            <w:r>
              <w:rPr>
                <w:rFonts w:hint="eastAsia"/>
              </w:rPr>
              <w:t>COD、石油类、氨氮、挥发酚、氰化物、硫化物</w:t>
            </w:r>
          </w:p>
        </w:tc>
        <w:tc>
          <w:tcPr>
            <w:tcW w:w="1701" w:type="dxa"/>
            <w:vAlign w:val="center"/>
          </w:tcPr>
          <w:p w14:paraId="2CCD6520">
            <w:pPr>
              <w:pStyle w:val="133"/>
              <w:rPr>
                <w:highlight w:val="yellow"/>
              </w:rPr>
            </w:pPr>
            <w:r>
              <w:rPr>
                <w:rFonts w:hint="eastAsia"/>
              </w:rPr>
              <w:t>石油类、氰化物</w:t>
            </w:r>
          </w:p>
        </w:tc>
        <w:tc>
          <w:tcPr>
            <w:tcW w:w="795" w:type="dxa"/>
            <w:vAlign w:val="center"/>
          </w:tcPr>
          <w:p w14:paraId="5EAD5291">
            <w:pPr>
              <w:pStyle w:val="133"/>
            </w:pPr>
            <w:r>
              <w:t>连续</w:t>
            </w:r>
          </w:p>
        </w:tc>
      </w:tr>
    </w:tbl>
    <w:p w14:paraId="143EC8FF">
      <w:pPr>
        <w:pStyle w:val="138"/>
        <w:rPr>
          <w:rFonts w:hint="eastAsia"/>
        </w:rPr>
      </w:pPr>
      <w:r>
        <w:t>废水渗漏对土壤影响分析</w:t>
      </w:r>
    </w:p>
    <w:p w14:paraId="47B19961">
      <w:pPr>
        <w:pStyle w:val="117"/>
        <w:ind w:firstLine="480"/>
      </w:pPr>
      <w:r>
        <w:t>本项目生产车间、危废仓库、污水管道等涉及生产的区域、道路若没有适当的防漏措施，危险废物、废水中的有害组分渗出后，易经过雨水淋溶、地表径流侵蚀而渗入土壤，破坏微生物与周围环境构成系统的平衡。同时这些水分经土壤渗入地下水，对地下水水质也造成污染。</w:t>
      </w:r>
    </w:p>
    <w:p w14:paraId="035607AB">
      <w:pPr>
        <w:pStyle w:val="117"/>
        <w:ind w:firstLine="480"/>
      </w:pPr>
      <w:r>
        <w:t>项目生产车间、危废仓库、污水管道等均严格按照《危险废物贮存污染控制标准》（GB18597-2023）有关规范进行设计、建设，废水收集系统各建构筑物按要求做好防渗措施，项目建成后对周边土壤的影响较小。同时本项目产生的危险废物也均得到安全处理和处置。因此只要各个环节得到良好控制，可以将本项目</w:t>
      </w:r>
      <w:r>
        <w:rPr>
          <w:rFonts w:hint="eastAsia"/>
        </w:rPr>
        <w:t>废水</w:t>
      </w:r>
      <w:r>
        <w:t>对土壤的影响降至最低。</w:t>
      </w:r>
    </w:p>
    <w:p w14:paraId="1670CE0A">
      <w:pPr>
        <w:pStyle w:val="138"/>
        <w:rPr>
          <w:rFonts w:hint="eastAsia"/>
        </w:rPr>
      </w:pPr>
      <w:r>
        <w:t>大气污染物对周边环境的影响预测</w:t>
      </w:r>
    </w:p>
    <w:p w14:paraId="009D21D7">
      <w:pPr>
        <w:pStyle w:val="944"/>
      </w:pPr>
      <w:r>
        <w:rPr>
          <w:rFonts w:hint="eastAsia"/>
        </w:rPr>
        <w:t>大气沉降</w:t>
      </w:r>
    </w:p>
    <w:p w14:paraId="2727DE2B">
      <w:pPr>
        <w:pStyle w:val="117"/>
        <w:ind w:firstLine="480"/>
      </w:pPr>
      <w:r>
        <w:rPr>
          <w:rFonts w:hint="eastAsia"/>
        </w:rPr>
        <w:t>本项目涉及的可能污染土壤环境的污染物为石油烃、苯并芘、氰化物。土壤环境污染途径为大气沉降进入土壤环境。本报告中要求建设范围做好重点区域的防腐防渗工作，防治污染物进入土壤环境，则本项目只需考虑通过污染物通过大气沉降进入土壤所产生的影响。</w:t>
      </w:r>
    </w:p>
    <w:p w14:paraId="3F82DFC7">
      <w:pPr>
        <w:pStyle w:val="117"/>
        <w:ind w:firstLine="480"/>
      </w:pPr>
      <w:r>
        <w:t>（1）预测评价范围</w:t>
      </w:r>
    </w:p>
    <w:p w14:paraId="1ACFB790">
      <w:pPr>
        <w:pStyle w:val="117"/>
        <w:ind w:firstLine="480"/>
      </w:pPr>
      <w:r>
        <w:t>占地范围内及占地范围外1.0km范围内。</w:t>
      </w:r>
    </w:p>
    <w:p w14:paraId="2DC1DE70">
      <w:pPr>
        <w:pStyle w:val="117"/>
        <w:ind w:firstLine="480"/>
      </w:pPr>
      <w:r>
        <w:t>（2）预测评价时</w:t>
      </w:r>
      <w:r>
        <w:rPr>
          <w:rFonts w:hint="eastAsia" w:ascii="宋体" w:hAnsi="宋体"/>
        </w:rPr>
        <w:t>段</w:t>
      </w:r>
    </w:p>
    <w:p w14:paraId="017F4156">
      <w:pPr>
        <w:pStyle w:val="117"/>
        <w:ind w:firstLine="480"/>
      </w:pPr>
      <w:r>
        <w:rPr>
          <w:rFonts w:hint="eastAsia" w:ascii="宋体" w:hAnsi="宋体"/>
        </w:rPr>
        <w:t>本项目预测时段为项目运营年开始至运营</w:t>
      </w:r>
      <w:r>
        <w:rPr>
          <w:rFonts w:hint="eastAsia"/>
        </w:rPr>
        <w:t>50</w:t>
      </w:r>
      <w:r>
        <w:rPr>
          <w:rFonts w:hint="eastAsia" w:ascii="宋体" w:hAnsi="宋体"/>
        </w:rPr>
        <w:t>年。</w:t>
      </w:r>
    </w:p>
    <w:p w14:paraId="09FA4122">
      <w:pPr>
        <w:pStyle w:val="117"/>
        <w:ind w:firstLine="480"/>
      </w:pPr>
      <w:r>
        <w:rPr>
          <w:rFonts w:hint="eastAsia" w:ascii="宋体" w:hAnsi="宋体"/>
        </w:rPr>
        <w:t>（</w:t>
      </w:r>
      <w:r>
        <w:rPr>
          <w:rFonts w:hint="eastAsia"/>
        </w:rPr>
        <w:t>3</w:t>
      </w:r>
      <w:r>
        <w:rPr>
          <w:rFonts w:hint="eastAsia" w:ascii="宋体" w:hAnsi="宋体"/>
        </w:rPr>
        <w:t>）情景设置</w:t>
      </w:r>
    </w:p>
    <w:p w14:paraId="60A1745E">
      <w:pPr>
        <w:pStyle w:val="117"/>
        <w:ind w:firstLine="480"/>
      </w:pPr>
      <w:r>
        <w:rPr>
          <w:rFonts w:hint="eastAsia" w:ascii="宋体" w:hAnsi="宋体"/>
        </w:rPr>
        <w:t>本项目运行后污染物通过排气筒和无组织排放的形式排放至大气中，通过大气沉降的形式至土壤表层。</w:t>
      </w:r>
    </w:p>
    <w:p w14:paraId="2CFA1646">
      <w:pPr>
        <w:pStyle w:val="117"/>
        <w:ind w:firstLine="480"/>
      </w:pPr>
      <w:r>
        <w:rPr>
          <w:rFonts w:hint="eastAsia" w:ascii="宋体" w:hAnsi="宋体"/>
        </w:rPr>
        <w:t>（</w:t>
      </w:r>
      <w:r>
        <w:rPr>
          <w:rFonts w:hint="eastAsia"/>
        </w:rPr>
        <w:t>4</w:t>
      </w:r>
      <w:r>
        <w:rPr>
          <w:rFonts w:hint="eastAsia" w:ascii="宋体" w:hAnsi="宋体"/>
        </w:rPr>
        <w:t>）预测评价因子</w:t>
      </w:r>
    </w:p>
    <w:p w14:paraId="11354E9A">
      <w:pPr>
        <w:pStyle w:val="117"/>
        <w:ind w:firstLine="480"/>
      </w:pPr>
      <w:r>
        <w:rPr>
          <w:rFonts w:hint="eastAsia" w:ascii="宋体" w:hAnsi="宋体"/>
        </w:rPr>
        <w:t>根据工程分析及环境影响识别结果，确定本项目环境影响要素的评价因子为</w:t>
      </w:r>
      <w:r>
        <w:rPr>
          <w:rFonts w:hint="eastAsia"/>
        </w:rPr>
        <w:t>NMHC、苯并芘、氰化物</w:t>
      </w:r>
      <w:r>
        <w:rPr>
          <w:rFonts w:hint="eastAsia" w:ascii="宋体" w:hAnsi="宋体"/>
        </w:rPr>
        <w:t>，见下表。</w:t>
      </w:r>
    </w:p>
    <w:p w14:paraId="45153540">
      <w:pPr>
        <w:pStyle w:val="118"/>
      </w:pPr>
      <w:r>
        <w:rPr>
          <w:rFonts w:hint="eastAsia"/>
        </w:rPr>
        <w:t xml:space="preserve">表 </w:t>
      </w:r>
      <w:r>
        <w:t>5.8</w:t>
      </w:r>
      <w:r>
        <w:rPr>
          <w:rFonts w:hint="eastAsia"/>
        </w:rPr>
        <w:t>-</w:t>
      </w:r>
      <w:r>
        <w:t xml:space="preserve">3    </w:t>
      </w:r>
      <w:r>
        <w:rPr>
          <w:rFonts w:hint="eastAsia"/>
        </w:rPr>
        <w:t>评级因子筛选</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82"/>
        <w:gridCol w:w="6640"/>
      </w:tblGrid>
      <w:tr w14:paraId="1762CF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828" w:type="dxa"/>
            <w:vAlign w:val="center"/>
          </w:tcPr>
          <w:p w14:paraId="59A8A0C8">
            <w:pPr>
              <w:pStyle w:val="133"/>
              <w:rPr>
                <w:b/>
                <w:bCs/>
              </w:rPr>
            </w:pPr>
            <w:r>
              <w:rPr>
                <w:rFonts w:hint="eastAsia"/>
                <w:b/>
                <w:bCs/>
              </w:rPr>
              <w:t>环境要素</w:t>
            </w:r>
          </w:p>
        </w:tc>
        <w:tc>
          <w:tcPr>
            <w:tcW w:w="6448" w:type="dxa"/>
            <w:vAlign w:val="center"/>
          </w:tcPr>
          <w:p w14:paraId="352CEBE7">
            <w:pPr>
              <w:pStyle w:val="133"/>
              <w:rPr>
                <w:b/>
                <w:bCs/>
              </w:rPr>
            </w:pPr>
            <w:r>
              <w:rPr>
                <w:rFonts w:hint="eastAsia"/>
                <w:b/>
                <w:bCs/>
              </w:rPr>
              <w:t>预测评价因子</w:t>
            </w:r>
          </w:p>
        </w:tc>
      </w:tr>
      <w:tr w14:paraId="4FAD58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828" w:type="dxa"/>
            <w:vAlign w:val="center"/>
          </w:tcPr>
          <w:p w14:paraId="44B34F36">
            <w:pPr>
              <w:pStyle w:val="133"/>
            </w:pPr>
            <w:r>
              <w:rPr>
                <w:rFonts w:hint="eastAsia"/>
              </w:rPr>
              <w:t>土壤环境</w:t>
            </w:r>
          </w:p>
        </w:tc>
        <w:tc>
          <w:tcPr>
            <w:tcW w:w="6448" w:type="dxa"/>
            <w:vAlign w:val="center"/>
          </w:tcPr>
          <w:p w14:paraId="2DF29E3D">
            <w:pPr>
              <w:pStyle w:val="133"/>
            </w:pPr>
            <w:r>
              <w:rPr>
                <w:rFonts w:hint="eastAsia"/>
              </w:rPr>
              <w:t>大气沉降：石油烃、苯并芘、氰化物，NMHC排放量为1.091t/a；苯并芘排放量为0.000121t/a；氰化物排放量为0.00094t/a；</w:t>
            </w:r>
          </w:p>
        </w:tc>
      </w:tr>
    </w:tbl>
    <w:p w14:paraId="4838B8D0">
      <w:pPr>
        <w:pStyle w:val="117"/>
        <w:ind w:firstLine="480"/>
      </w:pPr>
      <w:r>
        <w:rPr>
          <w:rFonts w:hint="eastAsia" w:cs="Times New Roman"/>
        </w:rPr>
        <w:t>（5）预测模型</w:t>
      </w:r>
    </w:p>
    <w:p w14:paraId="4316D90E">
      <w:pPr>
        <w:pStyle w:val="117"/>
        <w:ind w:firstLine="480"/>
      </w:pPr>
      <w:r>
        <w:rPr>
          <w:rFonts w:hint="eastAsia"/>
        </w:rPr>
        <w:t>本项目为污染影响型建设项目，评价工作等级为一级，根据《环境影响评价技术导则土壤环境》（HJ964-2018）8.7节</w:t>
      </w:r>
      <w:r>
        <w:t>“</w:t>
      </w:r>
      <w:r>
        <w:rPr>
          <w:rFonts w:hint="eastAsia"/>
        </w:rPr>
        <w:t>污染影响型建设项目，其评价工作等级为一级、二级的，预测方法可参见附录E或进行类比分析</w:t>
      </w:r>
      <w:r>
        <w:t>”</w:t>
      </w:r>
      <w:r>
        <w:rPr>
          <w:rFonts w:hint="eastAsia"/>
        </w:rPr>
        <w:t>，预测方法选用附录E中方法一进行预测，公式如下。</w:t>
      </w:r>
    </w:p>
    <w:p w14:paraId="5E91D197">
      <w:pPr>
        <w:pStyle w:val="117"/>
        <w:ind w:firstLine="480"/>
      </w:pPr>
      <w:r>
        <w:rPr>
          <w:rFonts w:hint="eastAsia"/>
        </w:rPr>
        <w:t>①单位质量土壤中某种物质的增量可用下式计算：</w:t>
      </w:r>
    </w:p>
    <w:p w14:paraId="1B227017">
      <w:pPr>
        <w:pStyle w:val="117"/>
        <w:ind w:firstLine="480"/>
      </w:pPr>
      <w:r>
        <w:rPr>
          <w:rFonts w:hint="eastAsia"/>
        </w:rPr>
        <w:t>ΔS=n（Is-Ls-Rs）/（</w:t>
      </w:r>
      <w:r>
        <w:t>ρ</w:t>
      </w:r>
      <w:r>
        <w:rPr>
          <w:rFonts w:hint="eastAsia"/>
          <w:vertAlign w:val="subscript"/>
        </w:rPr>
        <w:t>b</w:t>
      </w:r>
      <w:r>
        <w:rPr>
          <w:rFonts w:hint="eastAsia"/>
        </w:rPr>
        <w:t>×A×D）</w:t>
      </w:r>
    </w:p>
    <w:p w14:paraId="1332DADB">
      <w:pPr>
        <w:pStyle w:val="117"/>
        <w:ind w:firstLine="480"/>
      </w:pPr>
      <w:r>
        <w:rPr>
          <w:rFonts w:hint="eastAsia"/>
        </w:rPr>
        <w:t>式中：</w:t>
      </w:r>
    </w:p>
    <w:p w14:paraId="2102B563">
      <w:pPr>
        <w:pStyle w:val="117"/>
        <w:ind w:firstLine="420"/>
        <w:rPr>
          <w:sz w:val="21"/>
          <w:szCs w:val="21"/>
        </w:rPr>
      </w:pPr>
      <w:r>
        <w:rPr>
          <w:rFonts w:hint="eastAsia"/>
          <w:sz w:val="21"/>
          <w:szCs w:val="21"/>
        </w:rPr>
        <w:t>ΔS—单位质量表层土壤中某种物质的增量，g/kg；</w:t>
      </w:r>
    </w:p>
    <w:p w14:paraId="7FF568C8">
      <w:pPr>
        <w:pStyle w:val="117"/>
        <w:ind w:firstLine="420"/>
        <w:rPr>
          <w:sz w:val="21"/>
          <w:szCs w:val="21"/>
        </w:rPr>
      </w:pPr>
      <w:r>
        <w:rPr>
          <w:rFonts w:hint="eastAsia"/>
          <w:sz w:val="21"/>
          <w:szCs w:val="21"/>
        </w:rPr>
        <w:t>I</w:t>
      </w:r>
      <w:r>
        <w:rPr>
          <w:rFonts w:hint="eastAsia"/>
          <w:sz w:val="21"/>
          <w:szCs w:val="21"/>
          <w:vertAlign w:val="subscript"/>
        </w:rPr>
        <w:t>S</w:t>
      </w:r>
      <w:r>
        <w:rPr>
          <w:rFonts w:hint="eastAsia"/>
          <w:sz w:val="21"/>
          <w:szCs w:val="21"/>
        </w:rPr>
        <w:t>—预测评价范围内单位年份表层土壤中某种物质的输入量，g；</w:t>
      </w:r>
    </w:p>
    <w:p w14:paraId="04C1CE59">
      <w:pPr>
        <w:pStyle w:val="117"/>
        <w:ind w:firstLine="420"/>
        <w:rPr>
          <w:sz w:val="21"/>
          <w:szCs w:val="21"/>
        </w:rPr>
      </w:pPr>
      <w:r>
        <w:rPr>
          <w:rFonts w:hint="eastAsia"/>
          <w:sz w:val="21"/>
          <w:szCs w:val="21"/>
        </w:rPr>
        <w:t>L</w:t>
      </w:r>
      <w:r>
        <w:rPr>
          <w:rFonts w:hint="eastAsia"/>
          <w:sz w:val="21"/>
          <w:szCs w:val="21"/>
          <w:vertAlign w:val="subscript"/>
        </w:rPr>
        <w:t>S</w:t>
      </w:r>
      <w:r>
        <w:rPr>
          <w:rFonts w:hint="eastAsia"/>
          <w:sz w:val="21"/>
          <w:szCs w:val="21"/>
        </w:rPr>
        <w:t>—预测评价范围内单位年份表层土壤中某种物质经淋溶排出的量，g；</w:t>
      </w:r>
    </w:p>
    <w:p w14:paraId="1A15F265">
      <w:pPr>
        <w:pStyle w:val="117"/>
        <w:ind w:firstLine="420"/>
        <w:rPr>
          <w:sz w:val="21"/>
          <w:szCs w:val="21"/>
        </w:rPr>
      </w:pPr>
      <w:r>
        <w:rPr>
          <w:rFonts w:hint="eastAsia"/>
          <w:sz w:val="21"/>
          <w:szCs w:val="21"/>
        </w:rPr>
        <w:t>R</w:t>
      </w:r>
      <w:r>
        <w:rPr>
          <w:rFonts w:hint="eastAsia"/>
          <w:sz w:val="21"/>
          <w:szCs w:val="21"/>
          <w:vertAlign w:val="subscript"/>
        </w:rPr>
        <w:t>S</w:t>
      </w:r>
      <w:r>
        <w:rPr>
          <w:rFonts w:hint="eastAsia"/>
          <w:sz w:val="21"/>
          <w:szCs w:val="21"/>
        </w:rPr>
        <w:t>—预测评价范围内单位年份表层土壤中某种物质经径流排出的量，g；</w:t>
      </w:r>
    </w:p>
    <w:p w14:paraId="5700B9CC">
      <w:pPr>
        <w:pStyle w:val="117"/>
        <w:ind w:firstLine="420"/>
        <w:rPr>
          <w:sz w:val="21"/>
          <w:szCs w:val="21"/>
        </w:rPr>
      </w:pPr>
      <w:r>
        <w:rPr>
          <w:rFonts w:hint="eastAsia"/>
          <w:sz w:val="21"/>
          <w:szCs w:val="21"/>
        </w:rPr>
        <w:t>ρ</w:t>
      </w:r>
      <w:r>
        <w:rPr>
          <w:rFonts w:hint="eastAsia"/>
          <w:sz w:val="21"/>
          <w:szCs w:val="21"/>
          <w:vertAlign w:val="subscript"/>
        </w:rPr>
        <w:t>b</w:t>
      </w:r>
      <w:r>
        <w:rPr>
          <w:rFonts w:hint="eastAsia"/>
          <w:sz w:val="21"/>
          <w:szCs w:val="21"/>
        </w:rPr>
        <w:t>—表层土壤容重，kg/m</w:t>
      </w:r>
      <w:r>
        <w:rPr>
          <w:rFonts w:hint="eastAsia"/>
          <w:sz w:val="21"/>
          <w:szCs w:val="21"/>
          <w:vertAlign w:val="superscript"/>
        </w:rPr>
        <w:t>3</w:t>
      </w:r>
      <w:r>
        <w:rPr>
          <w:rFonts w:hint="eastAsia"/>
          <w:sz w:val="21"/>
          <w:szCs w:val="21"/>
        </w:rPr>
        <w:t>；</w:t>
      </w:r>
    </w:p>
    <w:p w14:paraId="51E4AE49">
      <w:pPr>
        <w:pStyle w:val="117"/>
        <w:ind w:firstLine="420"/>
        <w:rPr>
          <w:sz w:val="21"/>
          <w:szCs w:val="21"/>
        </w:rPr>
      </w:pPr>
      <w:r>
        <w:rPr>
          <w:rFonts w:hint="eastAsia"/>
          <w:sz w:val="21"/>
          <w:szCs w:val="21"/>
        </w:rPr>
        <w:t>A—预测评价范围，m</w:t>
      </w:r>
      <w:r>
        <w:rPr>
          <w:rFonts w:hint="eastAsia"/>
          <w:sz w:val="21"/>
          <w:szCs w:val="21"/>
          <w:vertAlign w:val="superscript"/>
        </w:rPr>
        <w:t>2</w:t>
      </w:r>
      <w:r>
        <w:rPr>
          <w:rFonts w:hint="eastAsia"/>
          <w:sz w:val="21"/>
          <w:szCs w:val="21"/>
        </w:rPr>
        <w:t>；</w:t>
      </w:r>
    </w:p>
    <w:p w14:paraId="4CFF04EE">
      <w:pPr>
        <w:pStyle w:val="117"/>
        <w:ind w:firstLine="420"/>
        <w:rPr>
          <w:sz w:val="21"/>
          <w:szCs w:val="21"/>
        </w:rPr>
      </w:pPr>
      <w:r>
        <w:rPr>
          <w:rFonts w:hint="eastAsia"/>
          <w:sz w:val="21"/>
          <w:szCs w:val="21"/>
        </w:rPr>
        <w:t>D—表层土壤深度，一般取0.2m，可根据实际情况适当调整；</w:t>
      </w:r>
    </w:p>
    <w:p w14:paraId="6E6CF334">
      <w:pPr>
        <w:pStyle w:val="117"/>
        <w:ind w:firstLine="420"/>
        <w:rPr>
          <w:sz w:val="21"/>
          <w:szCs w:val="21"/>
        </w:rPr>
      </w:pPr>
      <w:r>
        <w:rPr>
          <w:rFonts w:hint="eastAsia"/>
          <w:sz w:val="21"/>
          <w:szCs w:val="21"/>
        </w:rPr>
        <w:t>n—持续年份，a。</w:t>
      </w:r>
    </w:p>
    <w:p w14:paraId="64BAFC70">
      <w:pPr>
        <w:pStyle w:val="117"/>
        <w:ind w:firstLine="480"/>
      </w:pPr>
      <w:r>
        <w:rPr>
          <w:rFonts w:hint="eastAsia"/>
        </w:rPr>
        <w:t>根据土壤导则附录E，项目涉及大气沉降影响的，可不考虑输出量，因此上述公式可简化为如下：</w:t>
      </w:r>
    </w:p>
    <w:p w14:paraId="747339EA">
      <w:pPr>
        <w:pStyle w:val="117"/>
        <w:ind w:firstLine="480"/>
        <w:jc w:val="center"/>
      </w:pPr>
      <w:r>
        <w:t>ΔS=n</w:t>
      </w:r>
      <w:r>
        <w:rPr>
          <w:rFonts w:hint="eastAsia" w:ascii="宋体" w:hAnsi="宋体"/>
        </w:rPr>
        <w:t>（</w:t>
      </w:r>
      <w:r>
        <w:t>Is</w:t>
      </w:r>
      <w:r>
        <w:rPr>
          <w:rFonts w:hint="eastAsia" w:ascii="宋体" w:hAnsi="宋体"/>
        </w:rPr>
        <w:t>）</w:t>
      </w:r>
      <w:r>
        <w:t>/</w:t>
      </w:r>
      <w:r>
        <w:rPr>
          <w:rFonts w:hint="eastAsia" w:ascii="宋体" w:hAnsi="宋体"/>
        </w:rPr>
        <w:t>（</w:t>
      </w:r>
      <w:r>
        <w:t>ρ</w:t>
      </w:r>
      <w:r>
        <w:rPr>
          <w:vertAlign w:val="subscript"/>
        </w:rPr>
        <w:t>b</w:t>
      </w:r>
      <w:r>
        <w:t>×A×D</w:t>
      </w:r>
      <w:r>
        <w:rPr>
          <w:rFonts w:hint="eastAsia" w:ascii="宋体" w:hAnsi="宋体"/>
        </w:rPr>
        <w:t>）</w:t>
      </w:r>
    </w:p>
    <w:p w14:paraId="0381AF10">
      <w:pPr>
        <w:pStyle w:val="117"/>
        <w:ind w:firstLine="480"/>
      </w:pPr>
      <w:r>
        <w:rPr>
          <w:rFonts w:hint="eastAsia" w:ascii="宋体" w:hAnsi="宋体"/>
        </w:rPr>
        <w:t>②单位质量土壤中某种物质的预测值可根据其增量叠加现状值进行计算，如下：</w:t>
      </w:r>
    </w:p>
    <w:p w14:paraId="21259F67">
      <w:pPr>
        <w:pStyle w:val="117"/>
        <w:ind w:firstLine="480"/>
      </w:pPr>
      <w:r>
        <w:rPr>
          <w:rFonts w:hint="eastAsia"/>
        </w:rPr>
        <w:t>S=S</w:t>
      </w:r>
      <w:r>
        <w:rPr>
          <w:rFonts w:hint="eastAsia"/>
          <w:vertAlign w:val="subscript"/>
        </w:rPr>
        <w:t>b</w:t>
      </w:r>
      <w:r>
        <w:rPr>
          <w:rFonts w:hint="eastAsia"/>
        </w:rPr>
        <w:t>+ΔS</w:t>
      </w:r>
    </w:p>
    <w:p w14:paraId="3B60FACD">
      <w:pPr>
        <w:pStyle w:val="117"/>
        <w:ind w:firstLine="480"/>
      </w:pPr>
      <w:r>
        <w:rPr>
          <w:rFonts w:hint="eastAsia" w:ascii="宋体" w:hAnsi="宋体"/>
        </w:rPr>
        <w:t>式中：</w:t>
      </w:r>
    </w:p>
    <w:p w14:paraId="12824FC9">
      <w:pPr>
        <w:pStyle w:val="117"/>
        <w:ind w:firstLine="420"/>
        <w:rPr>
          <w:sz w:val="21"/>
        </w:rPr>
      </w:pPr>
      <w:r>
        <w:rPr>
          <w:rFonts w:hint="eastAsia"/>
          <w:sz w:val="21"/>
        </w:rPr>
        <w:t>S</w:t>
      </w:r>
      <w:r>
        <w:rPr>
          <w:rFonts w:hint="eastAsia"/>
          <w:sz w:val="21"/>
          <w:vertAlign w:val="subscript"/>
        </w:rPr>
        <w:t>b</w:t>
      </w:r>
      <w:r>
        <w:rPr>
          <w:rFonts w:hint="eastAsia"/>
          <w:sz w:val="21"/>
        </w:rPr>
        <w:t>—</w:t>
      </w:r>
      <w:r>
        <w:rPr>
          <w:rFonts w:hint="eastAsia" w:ascii="宋体" w:hAnsi="宋体"/>
          <w:sz w:val="21"/>
        </w:rPr>
        <w:t>单位质量土壤中某种物质的现状值，</w:t>
      </w:r>
      <w:r>
        <w:rPr>
          <w:rFonts w:hint="eastAsia"/>
          <w:sz w:val="21"/>
        </w:rPr>
        <w:t>g/kg</w:t>
      </w:r>
      <w:r>
        <w:rPr>
          <w:rFonts w:hint="eastAsia" w:ascii="宋体" w:hAnsi="宋体"/>
          <w:sz w:val="21"/>
        </w:rPr>
        <w:t>；</w:t>
      </w:r>
    </w:p>
    <w:p w14:paraId="2C3B862C">
      <w:pPr>
        <w:pStyle w:val="117"/>
        <w:ind w:firstLine="420"/>
      </w:pPr>
      <w:r>
        <w:rPr>
          <w:rFonts w:hint="eastAsia"/>
          <w:sz w:val="21"/>
        </w:rPr>
        <w:t>S—</w:t>
      </w:r>
      <w:r>
        <w:rPr>
          <w:rFonts w:hint="eastAsia" w:ascii="宋体" w:hAnsi="宋体"/>
          <w:sz w:val="21"/>
        </w:rPr>
        <w:t>单位质量土壤中某种物质的预测值，</w:t>
      </w:r>
      <w:r>
        <w:rPr>
          <w:rFonts w:hint="eastAsia"/>
          <w:sz w:val="21"/>
        </w:rPr>
        <w:t>g/kg</w:t>
      </w:r>
      <w:r>
        <w:rPr>
          <w:rFonts w:hint="eastAsia" w:ascii="宋体" w:hAnsi="宋体"/>
          <w:sz w:val="21"/>
        </w:rPr>
        <w:t>。</w:t>
      </w:r>
    </w:p>
    <w:p w14:paraId="029709A6">
      <w:pPr>
        <w:pStyle w:val="257"/>
        <w:ind w:firstLine="480"/>
        <w:rPr>
          <w:color w:val="000000"/>
        </w:rPr>
      </w:pPr>
      <w:r>
        <w:rPr>
          <w:rFonts w:hint="eastAsia" w:ascii="宋体" w:hAnsi="宋体"/>
          <w:color w:val="000000"/>
        </w:rPr>
        <w:t>（</w:t>
      </w:r>
      <w:r>
        <w:rPr>
          <w:rFonts w:hint="eastAsia"/>
          <w:color w:val="000000"/>
        </w:rPr>
        <w:t>6</w:t>
      </w:r>
      <w:r>
        <w:rPr>
          <w:rFonts w:hint="eastAsia" w:ascii="宋体" w:hAnsi="宋体"/>
          <w:color w:val="000000"/>
        </w:rPr>
        <w:t>）预测结果</w:t>
      </w:r>
    </w:p>
    <w:p w14:paraId="7759D99A">
      <w:pPr>
        <w:pStyle w:val="117"/>
        <w:ind w:firstLine="480"/>
        <w:rPr>
          <w:color w:val="000000"/>
        </w:rPr>
      </w:pPr>
      <w:r>
        <w:rPr>
          <w:rFonts w:hint="eastAsia" w:ascii="宋体" w:hAnsi="宋体"/>
          <w:color w:val="000000"/>
        </w:rPr>
        <w:t>本项目的预测评价范围为</w:t>
      </w:r>
      <w:r>
        <w:rPr>
          <w:rFonts w:hint="eastAsia"/>
          <w:color w:val="000000"/>
        </w:rPr>
        <w:t>7.11km</w:t>
      </w:r>
      <w:r>
        <w:rPr>
          <w:rFonts w:hint="eastAsia"/>
          <w:color w:val="000000"/>
          <w:vertAlign w:val="superscript"/>
        </w:rPr>
        <w:t>2</w:t>
      </w:r>
      <w:r>
        <w:rPr>
          <w:rFonts w:hint="eastAsia" w:ascii="宋体" w:hAnsi="宋体"/>
          <w:color w:val="000000"/>
        </w:rPr>
        <w:t>（即调查评价范围，含厂内），根据大气污染物扩散情况，假设污染物全部沉降至某一地块，设置不同的地块面积情形（分别占预测评价范围的</w:t>
      </w:r>
      <w:r>
        <w:rPr>
          <w:rFonts w:hint="eastAsia"/>
          <w:color w:val="000000"/>
        </w:rPr>
        <w:t>5%</w:t>
      </w:r>
      <w:r>
        <w:rPr>
          <w:rFonts w:hint="eastAsia" w:ascii="宋体" w:hAnsi="宋体"/>
          <w:color w:val="000000"/>
        </w:rPr>
        <w:t>、</w:t>
      </w:r>
      <w:r>
        <w:rPr>
          <w:rFonts w:hint="eastAsia"/>
          <w:color w:val="000000"/>
        </w:rPr>
        <w:t>10%</w:t>
      </w:r>
      <w:r>
        <w:rPr>
          <w:rFonts w:hint="eastAsia" w:ascii="宋体" w:hAnsi="宋体"/>
          <w:color w:val="000000"/>
        </w:rPr>
        <w:t>、</w:t>
      </w:r>
      <w:r>
        <w:rPr>
          <w:rFonts w:hint="eastAsia"/>
          <w:color w:val="000000"/>
        </w:rPr>
        <w:t>20%</w:t>
      </w:r>
      <w:r>
        <w:rPr>
          <w:rFonts w:hint="eastAsia" w:ascii="宋体" w:hAnsi="宋体"/>
          <w:color w:val="000000"/>
        </w:rPr>
        <w:t>、</w:t>
      </w:r>
      <w:r>
        <w:rPr>
          <w:rFonts w:hint="eastAsia"/>
          <w:color w:val="000000"/>
        </w:rPr>
        <w:t>35%</w:t>
      </w:r>
      <w:r>
        <w:rPr>
          <w:rFonts w:hint="eastAsia" w:ascii="宋体" w:hAnsi="宋体"/>
          <w:color w:val="000000"/>
        </w:rPr>
        <w:t>、</w:t>
      </w:r>
      <w:r>
        <w:rPr>
          <w:rFonts w:hint="eastAsia"/>
          <w:color w:val="000000"/>
        </w:rPr>
        <w:t>50%</w:t>
      </w:r>
      <w:r>
        <w:rPr>
          <w:rFonts w:hint="eastAsia" w:ascii="宋体" w:hAnsi="宋体"/>
          <w:color w:val="000000"/>
        </w:rPr>
        <w:t>和</w:t>
      </w:r>
      <w:r>
        <w:rPr>
          <w:rFonts w:hint="eastAsia"/>
          <w:color w:val="000000"/>
        </w:rPr>
        <w:t>100%</w:t>
      </w:r>
      <w:r>
        <w:rPr>
          <w:rFonts w:hint="eastAsia" w:ascii="宋体" w:hAnsi="宋体"/>
          <w:color w:val="000000"/>
        </w:rPr>
        <w:t>）和不同持续年份（分为</w:t>
      </w:r>
      <w:r>
        <w:rPr>
          <w:rFonts w:hint="eastAsia"/>
          <w:color w:val="000000"/>
        </w:rPr>
        <w:t>5</w:t>
      </w:r>
      <w:r>
        <w:rPr>
          <w:rFonts w:hint="eastAsia" w:ascii="宋体" w:hAnsi="宋体"/>
          <w:color w:val="000000"/>
        </w:rPr>
        <w:t>年、</w:t>
      </w:r>
      <w:r>
        <w:rPr>
          <w:rFonts w:hint="eastAsia"/>
          <w:color w:val="000000"/>
        </w:rPr>
        <w:t>10</w:t>
      </w:r>
      <w:r>
        <w:rPr>
          <w:rFonts w:hint="eastAsia" w:ascii="宋体" w:hAnsi="宋体"/>
          <w:color w:val="000000"/>
        </w:rPr>
        <w:t>年、</w:t>
      </w:r>
      <w:r>
        <w:rPr>
          <w:rFonts w:hint="eastAsia"/>
          <w:color w:val="000000"/>
        </w:rPr>
        <w:t>20</w:t>
      </w:r>
      <w:r>
        <w:rPr>
          <w:rFonts w:hint="eastAsia" w:ascii="宋体" w:hAnsi="宋体"/>
          <w:color w:val="000000"/>
        </w:rPr>
        <w:t>年、</w:t>
      </w:r>
      <w:r>
        <w:rPr>
          <w:rFonts w:hint="eastAsia"/>
          <w:color w:val="000000"/>
        </w:rPr>
        <w:t>50</w:t>
      </w:r>
      <w:r>
        <w:rPr>
          <w:rFonts w:hint="eastAsia" w:ascii="宋体" w:hAnsi="宋体"/>
          <w:color w:val="000000"/>
        </w:rPr>
        <w:t>年）的情形进行土壤增量预测</w:t>
      </w:r>
      <w:r>
        <w:rPr>
          <w:color w:val="000000"/>
        </w:rPr>
        <w:t>，</w:t>
      </w:r>
      <w:r>
        <w:rPr>
          <w:rFonts w:hint="eastAsia"/>
          <w:color w:val="000000"/>
        </w:rPr>
        <w:t>预测结果见表5.8-4至表5.8-6.</w:t>
      </w:r>
    </w:p>
    <w:p w14:paraId="4CFDE0E8">
      <w:pPr>
        <w:pStyle w:val="118"/>
      </w:pPr>
      <w:r>
        <w:rPr>
          <w:rFonts w:hint="eastAsia"/>
        </w:rPr>
        <w:t>表</w:t>
      </w:r>
      <w:r>
        <w:t>5.8</w:t>
      </w:r>
      <w:r>
        <w:rPr>
          <w:rFonts w:hint="eastAsia"/>
        </w:rPr>
        <w:t>-4</w:t>
      </w:r>
      <w:r>
        <w:t xml:space="preserve">    </w:t>
      </w:r>
      <w:bookmarkStart w:id="542" w:name="OLE_LINK9"/>
      <w:r>
        <w:rPr>
          <w:rFonts w:hint="eastAsia"/>
        </w:rPr>
        <w:t>石油烃</w:t>
      </w:r>
      <w:bookmarkEnd w:id="542"/>
      <w:r>
        <w:rPr>
          <w:rFonts w:hint="eastAsia"/>
        </w:rPr>
        <w:t>大气沉降预测结果</w:t>
      </w:r>
    </w:p>
    <w:tbl>
      <w:tblPr>
        <w:tblStyle w:val="67"/>
        <w:tblW w:w="5000" w:type="pct"/>
        <w:jc w:val="center"/>
        <w:tblLayout w:type="autofit"/>
        <w:tblCellMar>
          <w:top w:w="0" w:type="dxa"/>
          <w:left w:w="108" w:type="dxa"/>
          <w:bottom w:w="0" w:type="dxa"/>
          <w:right w:w="108" w:type="dxa"/>
        </w:tblCellMar>
      </w:tblPr>
      <w:tblGrid>
        <w:gridCol w:w="865"/>
        <w:gridCol w:w="1055"/>
        <w:gridCol w:w="1120"/>
        <w:gridCol w:w="741"/>
        <w:gridCol w:w="1020"/>
        <w:gridCol w:w="1129"/>
        <w:gridCol w:w="880"/>
        <w:gridCol w:w="880"/>
        <w:gridCol w:w="832"/>
      </w:tblGrid>
      <w:tr w14:paraId="6F5EB30C">
        <w:tblPrEx>
          <w:tblCellMar>
            <w:top w:w="0" w:type="dxa"/>
            <w:left w:w="108" w:type="dxa"/>
            <w:bottom w:w="0" w:type="dxa"/>
            <w:right w:w="108" w:type="dxa"/>
          </w:tblCellMar>
        </w:tblPrEx>
        <w:trPr>
          <w:trHeight w:val="397" w:hRule="atLeast"/>
          <w:jc w:val="center"/>
        </w:trPr>
        <w:tc>
          <w:tcPr>
            <w:tcW w:w="841" w:type="dxa"/>
            <w:tcBorders>
              <w:top w:val="single" w:color="000000" w:sz="8" w:space="0"/>
              <w:left w:val="single" w:color="000000" w:sz="8" w:space="0"/>
              <w:bottom w:val="single" w:color="000000" w:sz="8" w:space="0"/>
              <w:right w:val="single" w:color="000000" w:sz="8" w:space="0"/>
            </w:tcBorders>
            <w:vAlign w:val="center"/>
          </w:tcPr>
          <w:p w14:paraId="42AA0DB5">
            <w:pPr>
              <w:widowControl/>
              <w:spacing w:line="240" w:lineRule="auto"/>
              <w:ind w:firstLine="0" w:firstLineChars="0"/>
              <w:jc w:val="center"/>
              <w:rPr>
                <w:b/>
                <w:bCs/>
                <w:color w:val="000000"/>
                <w:sz w:val="18"/>
                <w:szCs w:val="18"/>
              </w:rPr>
            </w:pPr>
            <w:r>
              <w:rPr>
                <w:b/>
                <w:bCs/>
                <w:color w:val="000000"/>
                <w:sz w:val="18"/>
                <w:szCs w:val="18"/>
              </w:rPr>
              <w:t>n</w:t>
            </w:r>
            <w:r>
              <w:rPr>
                <w:rFonts w:ascii="宋体" w:hAnsi="宋体"/>
                <w:b/>
                <w:bCs/>
                <w:color w:val="000000"/>
                <w:sz w:val="18"/>
                <w:szCs w:val="18"/>
              </w:rPr>
              <w:t>年</w:t>
            </w:r>
          </w:p>
        </w:tc>
        <w:tc>
          <w:tcPr>
            <w:tcW w:w="1026" w:type="dxa"/>
            <w:tcBorders>
              <w:top w:val="single" w:color="000000" w:sz="8" w:space="0"/>
              <w:left w:val="nil"/>
              <w:bottom w:val="single" w:color="000000" w:sz="8" w:space="0"/>
              <w:right w:val="single" w:color="000000" w:sz="8" w:space="0"/>
            </w:tcBorders>
            <w:vAlign w:val="center"/>
          </w:tcPr>
          <w:p w14:paraId="10DCA209">
            <w:pPr>
              <w:widowControl/>
              <w:spacing w:line="240" w:lineRule="auto"/>
              <w:ind w:firstLine="0" w:firstLineChars="0"/>
              <w:jc w:val="center"/>
              <w:rPr>
                <w:b/>
                <w:bCs/>
                <w:color w:val="000000"/>
                <w:sz w:val="18"/>
                <w:szCs w:val="18"/>
              </w:rPr>
            </w:pPr>
            <w:r>
              <w:rPr>
                <w:b/>
                <w:bCs/>
                <w:color w:val="000000"/>
                <w:sz w:val="18"/>
                <w:szCs w:val="18"/>
              </w:rPr>
              <w:t>ρb</w:t>
            </w:r>
          </w:p>
          <w:p w14:paraId="7B40FF78">
            <w:pPr>
              <w:widowControl/>
              <w:spacing w:line="240" w:lineRule="auto"/>
              <w:ind w:firstLine="0" w:firstLineChars="0"/>
              <w:jc w:val="center"/>
              <w:rPr>
                <w:b/>
                <w:bCs/>
                <w:color w:val="000000"/>
                <w:sz w:val="18"/>
                <w:szCs w:val="18"/>
              </w:rPr>
            </w:pPr>
            <w:r>
              <w:rPr>
                <w:b/>
                <w:bCs/>
                <w:color w:val="000000"/>
                <w:sz w:val="18"/>
                <w:szCs w:val="18"/>
              </w:rPr>
              <w:t>kg/m</w:t>
            </w:r>
            <w:r>
              <w:rPr>
                <w:b/>
                <w:bCs/>
                <w:color w:val="000000"/>
                <w:sz w:val="18"/>
                <w:szCs w:val="18"/>
                <w:vertAlign w:val="superscript"/>
              </w:rPr>
              <w:t>3</w:t>
            </w:r>
          </w:p>
        </w:tc>
        <w:tc>
          <w:tcPr>
            <w:tcW w:w="1089" w:type="dxa"/>
            <w:tcBorders>
              <w:top w:val="single" w:color="000000" w:sz="8" w:space="0"/>
              <w:left w:val="nil"/>
              <w:bottom w:val="single" w:color="000000" w:sz="8" w:space="0"/>
              <w:right w:val="single" w:color="000000" w:sz="8" w:space="0"/>
            </w:tcBorders>
            <w:vAlign w:val="center"/>
          </w:tcPr>
          <w:p w14:paraId="07959463">
            <w:pPr>
              <w:widowControl/>
              <w:spacing w:line="240" w:lineRule="auto"/>
              <w:ind w:firstLine="0" w:firstLineChars="0"/>
              <w:jc w:val="center"/>
              <w:rPr>
                <w:b/>
                <w:bCs/>
                <w:color w:val="000000"/>
                <w:sz w:val="18"/>
                <w:szCs w:val="18"/>
              </w:rPr>
            </w:pPr>
            <w:r>
              <w:rPr>
                <w:b/>
                <w:bCs/>
                <w:color w:val="000000"/>
                <w:sz w:val="18"/>
                <w:szCs w:val="18"/>
              </w:rPr>
              <w:t>A</w:t>
            </w:r>
          </w:p>
          <w:p w14:paraId="106A3BC3">
            <w:pPr>
              <w:widowControl/>
              <w:spacing w:line="240" w:lineRule="auto"/>
              <w:ind w:firstLine="0" w:firstLineChars="0"/>
              <w:jc w:val="center"/>
              <w:rPr>
                <w:b/>
                <w:bCs/>
                <w:color w:val="000000"/>
                <w:sz w:val="18"/>
                <w:szCs w:val="18"/>
              </w:rPr>
            </w:pPr>
            <w:r>
              <w:rPr>
                <w:b/>
                <w:bCs/>
                <w:color w:val="000000"/>
                <w:sz w:val="18"/>
                <w:szCs w:val="18"/>
              </w:rPr>
              <w:t xml:space="preserve"> m</w:t>
            </w:r>
            <w:r>
              <w:rPr>
                <w:b/>
                <w:bCs/>
                <w:color w:val="000000"/>
                <w:sz w:val="18"/>
                <w:szCs w:val="18"/>
                <w:vertAlign w:val="superscript"/>
              </w:rPr>
              <w:t>2</w:t>
            </w:r>
          </w:p>
        </w:tc>
        <w:tc>
          <w:tcPr>
            <w:tcW w:w="720" w:type="dxa"/>
            <w:tcBorders>
              <w:top w:val="single" w:color="000000" w:sz="8" w:space="0"/>
              <w:left w:val="nil"/>
              <w:bottom w:val="single" w:color="000000" w:sz="8" w:space="0"/>
              <w:right w:val="single" w:color="000000" w:sz="8" w:space="0"/>
            </w:tcBorders>
            <w:vAlign w:val="center"/>
          </w:tcPr>
          <w:p w14:paraId="5683583E">
            <w:pPr>
              <w:widowControl/>
              <w:spacing w:line="240" w:lineRule="auto"/>
              <w:ind w:firstLine="0" w:firstLineChars="0"/>
              <w:jc w:val="center"/>
              <w:rPr>
                <w:b/>
                <w:bCs/>
                <w:color w:val="000000"/>
                <w:sz w:val="18"/>
                <w:szCs w:val="18"/>
              </w:rPr>
            </w:pPr>
            <w:r>
              <w:rPr>
                <w:b/>
                <w:bCs/>
                <w:color w:val="000000"/>
                <w:sz w:val="18"/>
                <w:szCs w:val="18"/>
              </w:rPr>
              <w:t>D</w:t>
            </w:r>
          </w:p>
          <w:p w14:paraId="07DD2967">
            <w:pPr>
              <w:widowControl/>
              <w:spacing w:line="240" w:lineRule="auto"/>
              <w:ind w:firstLine="0" w:firstLineChars="0"/>
              <w:jc w:val="center"/>
              <w:rPr>
                <w:b/>
                <w:bCs/>
                <w:color w:val="000000"/>
                <w:sz w:val="18"/>
                <w:szCs w:val="18"/>
              </w:rPr>
            </w:pPr>
            <w:r>
              <w:rPr>
                <w:b/>
                <w:bCs/>
                <w:color w:val="000000"/>
                <w:sz w:val="18"/>
                <w:szCs w:val="18"/>
              </w:rPr>
              <w:t>m</w:t>
            </w:r>
          </w:p>
        </w:tc>
        <w:tc>
          <w:tcPr>
            <w:tcW w:w="992" w:type="dxa"/>
            <w:tcBorders>
              <w:top w:val="single" w:color="000000" w:sz="8" w:space="0"/>
              <w:left w:val="nil"/>
              <w:bottom w:val="single" w:color="000000" w:sz="8" w:space="0"/>
              <w:right w:val="single" w:color="000000" w:sz="8" w:space="0"/>
            </w:tcBorders>
            <w:vAlign w:val="center"/>
          </w:tcPr>
          <w:p w14:paraId="4A8A16F4">
            <w:pPr>
              <w:widowControl/>
              <w:spacing w:line="240" w:lineRule="auto"/>
              <w:ind w:firstLine="0" w:firstLineChars="0"/>
              <w:jc w:val="center"/>
              <w:rPr>
                <w:b/>
                <w:bCs/>
                <w:color w:val="000000"/>
                <w:sz w:val="18"/>
                <w:szCs w:val="18"/>
                <w:vertAlign w:val="subscript"/>
              </w:rPr>
            </w:pPr>
            <w:r>
              <w:rPr>
                <w:b/>
                <w:bCs/>
                <w:color w:val="000000"/>
                <w:sz w:val="18"/>
                <w:szCs w:val="18"/>
              </w:rPr>
              <w:t>I</w:t>
            </w:r>
            <w:r>
              <w:rPr>
                <w:b/>
                <w:bCs/>
                <w:color w:val="000000"/>
                <w:sz w:val="18"/>
                <w:szCs w:val="18"/>
                <w:vertAlign w:val="subscript"/>
              </w:rPr>
              <w:t>S</w:t>
            </w:r>
          </w:p>
          <w:p w14:paraId="2E9F73DF">
            <w:pPr>
              <w:widowControl/>
              <w:spacing w:line="240" w:lineRule="auto"/>
              <w:ind w:firstLine="0" w:firstLineChars="0"/>
              <w:jc w:val="center"/>
              <w:rPr>
                <w:b/>
                <w:bCs/>
                <w:color w:val="000000"/>
                <w:sz w:val="18"/>
                <w:szCs w:val="18"/>
              </w:rPr>
            </w:pPr>
            <w:r>
              <w:rPr>
                <w:rFonts w:hint="eastAsia"/>
                <w:b/>
                <w:bCs/>
                <w:color w:val="000000"/>
                <w:sz w:val="18"/>
                <w:szCs w:val="18"/>
                <w:vertAlign w:val="subscript"/>
              </w:rPr>
              <w:t>g</w:t>
            </w:r>
          </w:p>
        </w:tc>
        <w:tc>
          <w:tcPr>
            <w:tcW w:w="1098" w:type="dxa"/>
            <w:tcBorders>
              <w:top w:val="single" w:color="000000" w:sz="8" w:space="0"/>
              <w:left w:val="single" w:color="000000" w:sz="8" w:space="0"/>
              <w:bottom w:val="single" w:color="000000" w:sz="8" w:space="0"/>
              <w:right w:val="single" w:color="000000" w:sz="8" w:space="0"/>
            </w:tcBorders>
            <w:vAlign w:val="center"/>
          </w:tcPr>
          <w:p w14:paraId="362CF4B3">
            <w:pPr>
              <w:widowControl/>
              <w:spacing w:line="240" w:lineRule="auto"/>
              <w:ind w:firstLine="0" w:firstLineChars="0"/>
              <w:jc w:val="center"/>
              <w:rPr>
                <w:rFonts w:hint="eastAsia" w:ascii="宋体" w:hAnsi="宋体" w:cs="宋体"/>
                <w:b/>
                <w:bCs/>
                <w:color w:val="000000"/>
                <w:sz w:val="18"/>
                <w:szCs w:val="18"/>
              </w:rPr>
            </w:pPr>
            <w:r>
              <w:rPr>
                <w:rFonts w:ascii="宋体" w:hAnsi="宋体" w:cs="宋体"/>
                <w:b/>
                <w:bCs/>
                <w:color w:val="000000"/>
                <w:sz w:val="18"/>
                <w:szCs w:val="18"/>
              </w:rPr>
              <w:t>背景最大值</w:t>
            </w:r>
            <w:r>
              <w:rPr>
                <w:b/>
                <w:bCs/>
                <w:color w:val="000000"/>
                <w:sz w:val="18"/>
                <w:szCs w:val="18"/>
              </w:rPr>
              <w:t>mg/kg</w:t>
            </w:r>
          </w:p>
        </w:tc>
        <w:tc>
          <w:tcPr>
            <w:tcW w:w="856" w:type="dxa"/>
            <w:tcBorders>
              <w:top w:val="single" w:color="000000" w:sz="8" w:space="0"/>
              <w:left w:val="nil"/>
              <w:bottom w:val="single" w:color="000000" w:sz="8" w:space="0"/>
              <w:right w:val="single" w:color="000000" w:sz="8" w:space="0"/>
            </w:tcBorders>
            <w:vAlign w:val="center"/>
          </w:tcPr>
          <w:p w14:paraId="75B443D3">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增量</w:t>
            </w:r>
          </w:p>
          <w:p w14:paraId="1F9AFCD3">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c>
          <w:tcPr>
            <w:tcW w:w="856" w:type="dxa"/>
            <w:tcBorders>
              <w:top w:val="single" w:color="000000" w:sz="8" w:space="0"/>
              <w:left w:val="nil"/>
              <w:bottom w:val="single" w:color="000000" w:sz="8" w:space="0"/>
              <w:right w:val="single" w:color="000000" w:sz="8" w:space="0"/>
            </w:tcBorders>
            <w:vAlign w:val="center"/>
          </w:tcPr>
          <w:p w14:paraId="17E1F835">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预测值</w:t>
            </w:r>
          </w:p>
          <w:p w14:paraId="52FBBCA7">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c>
          <w:tcPr>
            <w:tcW w:w="808" w:type="dxa"/>
            <w:tcBorders>
              <w:top w:val="single" w:color="000000" w:sz="8" w:space="0"/>
              <w:left w:val="nil"/>
              <w:bottom w:val="single" w:color="000000" w:sz="8" w:space="0"/>
              <w:right w:val="single" w:color="000000" w:sz="8" w:space="0"/>
            </w:tcBorders>
            <w:vAlign w:val="center"/>
          </w:tcPr>
          <w:p w14:paraId="1E8143BD">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标准值</w:t>
            </w:r>
          </w:p>
          <w:p w14:paraId="601060CE">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r>
      <w:tr w14:paraId="3E6B2E6C">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1F07C900">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08B6BF5F">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5D86618">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39D1849B">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35D8F8A3">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5FC7663F">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7FAA6157">
            <w:pPr>
              <w:widowControl/>
              <w:spacing w:line="240" w:lineRule="auto"/>
              <w:ind w:firstLine="0" w:firstLineChars="0"/>
              <w:jc w:val="center"/>
              <w:rPr>
                <w:color w:val="000000"/>
                <w:sz w:val="18"/>
                <w:szCs w:val="18"/>
              </w:rPr>
            </w:pPr>
            <w:r>
              <w:rPr>
                <w:color w:val="000000"/>
                <w:sz w:val="18"/>
                <w:szCs w:val="18"/>
              </w:rPr>
              <w:t xml:space="preserve">54.42 </w:t>
            </w:r>
          </w:p>
        </w:tc>
        <w:tc>
          <w:tcPr>
            <w:tcW w:w="856" w:type="dxa"/>
            <w:tcBorders>
              <w:top w:val="nil"/>
              <w:left w:val="nil"/>
              <w:bottom w:val="single" w:color="000000" w:sz="8" w:space="0"/>
              <w:right w:val="single" w:color="000000" w:sz="8" w:space="0"/>
            </w:tcBorders>
            <w:vAlign w:val="center"/>
          </w:tcPr>
          <w:p w14:paraId="46653A5F">
            <w:pPr>
              <w:widowControl/>
              <w:spacing w:line="240" w:lineRule="auto"/>
              <w:ind w:firstLine="0" w:firstLineChars="0"/>
              <w:jc w:val="center"/>
              <w:rPr>
                <w:color w:val="000000"/>
                <w:sz w:val="18"/>
                <w:szCs w:val="18"/>
              </w:rPr>
            </w:pPr>
            <w:r>
              <w:rPr>
                <w:color w:val="000000"/>
                <w:sz w:val="18"/>
                <w:szCs w:val="18"/>
              </w:rPr>
              <w:t xml:space="preserve">115.42 </w:t>
            </w:r>
          </w:p>
        </w:tc>
        <w:tc>
          <w:tcPr>
            <w:tcW w:w="808" w:type="dxa"/>
            <w:vMerge w:val="restart"/>
            <w:tcBorders>
              <w:top w:val="single" w:color="000000" w:sz="8" w:space="0"/>
              <w:left w:val="single" w:color="000000" w:sz="8" w:space="0"/>
              <w:bottom w:val="single" w:color="000000" w:sz="8" w:space="0"/>
              <w:right w:val="single" w:color="000000" w:sz="8" w:space="0"/>
            </w:tcBorders>
            <w:vAlign w:val="center"/>
          </w:tcPr>
          <w:p w14:paraId="347D1A6A">
            <w:pPr>
              <w:widowControl/>
              <w:spacing w:line="240" w:lineRule="auto"/>
              <w:ind w:firstLine="0" w:firstLineChars="0"/>
              <w:jc w:val="center"/>
              <w:rPr>
                <w:color w:val="000000"/>
                <w:sz w:val="18"/>
                <w:szCs w:val="18"/>
              </w:rPr>
            </w:pPr>
            <w:r>
              <w:rPr>
                <w:color w:val="000000"/>
                <w:sz w:val="18"/>
                <w:szCs w:val="18"/>
              </w:rPr>
              <w:t>4500</w:t>
            </w:r>
          </w:p>
        </w:tc>
      </w:tr>
      <w:tr w14:paraId="7EA32158">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30E0BDE0">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38E10FA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D21FB8B">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0BBBCBBB">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3E837C4E">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55449F17">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44981EA1">
            <w:pPr>
              <w:widowControl/>
              <w:spacing w:line="240" w:lineRule="auto"/>
              <w:ind w:firstLine="0" w:firstLineChars="0"/>
              <w:jc w:val="center"/>
              <w:rPr>
                <w:color w:val="000000"/>
                <w:sz w:val="18"/>
                <w:szCs w:val="18"/>
              </w:rPr>
            </w:pPr>
            <w:r>
              <w:rPr>
                <w:color w:val="000000"/>
                <w:sz w:val="18"/>
                <w:szCs w:val="18"/>
              </w:rPr>
              <w:t xml:space="preserve">27.21 </w:t>
            </w:r>
          </w:p>
        </w:tc>
        <w:tc>
          <w:tcPr>
            <w:tcW w:w="856" w:type="dxa"/>
            <w:tcBorders>
              <w:top w:val="nil"/>
              <w:left w:val="nil"/>
              <w:bottom w:val="single" w:color="000000" w:sz="8" w:space="0"/>
              <w:right w:val="single" w:color="000000" w:sz="8" w:space="0"/>
            </w:tcBorders>
            <w:vAlign w:val="center"/>
          </w:tcPr>
          <w:p w14:paraId="1ADBE833">
            <w:pPr>
              <w:widowControl/>
              <w:spacing w:line="240" w:lineRule="auto"/>
              <w:ind w:firstLine="0" w:firstLineChars="0"/>
              <w:jc w:val="center"/>
              <w:rPr>
                <w:color w:val="000000"/>
                <w:sz w:val="18"/>
                <w:szCs w:val="18"/>
              </w:rPr>
            </w:pPr>
            <w:r>
              <w:rPr>
                <w:color w:val="000000"/>
                <w:sz w:val="18"/>
                <w:szCs w:val="18"/>
              </w:rPr>
              <w:t xml:space="preserve">88.21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1679A9D">
            <w:pPr>
              <w:widowControl/>
              <w:spacing w:line="240" w:lineRule="auto"/>
              <w:ind w:firstLine="0" w:firstLineChars="0"/>
              <w:jc w:val="left"/>
              <w:rPr>
                <w:color w:val="000000"/>
                <w:sz w:val="18"/>
                <w:szCs w:val="18"/>
              </w:rPr>
            </w:pPr>
          </w:p>
        </w:tc>
      </w:tr>
      <w:tr w14:paraId="3667B2B0">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3432288">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5190A0A2">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46F4FE7">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2D591DB9">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ED5FCA7">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024A6039">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7A5A1E1B">
            <w:pPr>
              <w:widowControl/>
              <w:spacing w:line="240" w:lineRule="auto"/>
              <w:ind w:firstLine="0" w:firstLineChars="0"/>
              <w:jc w:val="center"/>
              <w:rPr>
                <w:color w:val="000000"/>
                <w:sz w:val="18"/>
                <w:szCs w:val="18"/>
              </w:rPr>
            </w:pPr>
            <w:r>
              <w:rPr>
                <w:color w:val="000000"/>
                <w:sz w:val="18"/>
                <w:szCs w:val="18"/>
              </w:rPr>
              <w:t xml:space="preserve">13.61 </w:t>
            </w:r>
          </w:p>
        </w:tc>
        <w:tc>
          <w:tcPr>
            <w:tcW w:w="856" w:type="dxa"/>
            <w:tcBorders>
              <w:top w:val="nil"/>
              <w:left w:val="nil"/>
              <w:bottom w:val="single" w:color="000000" w:sz="8" w:space="0"/>
              <w:right w:val="single" w:color="000000" w:sz="8" w:space="0"/>
            </w:tcBorders>
            <w:vAlign w:val="center"/>
          </w:tcPr>
          <w:p w14:paraId="6E41E2E0">
            <w:pPr>
              <w:widowControl/>
              <w:spacing w:line="240" w:lineRule="auto"/>
              <w:ind w:firstLine="0" w:firstLineChars="0"/>
              <w:jc w:val="center"/>
              <w:rPr>
                <w:color w:val="000000"/>
                <w:sz w:val="18"/>
                <w:szCs w:val="18"/>
              </w:rPr>
            </w:pPr>
            <w:r>
              <w:rPr>
                <w:color w:val="000000"/>
                <w:sz w:val="18"/>
                <w:szCs w:val="18"/>
              </w:rPr>
              <w:t xml:space="preserve">74.61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0A99FE3">
            <w:pPr>
              <w:widowControl/>
              <w:spacing w:line="240" w:lineRule="auto"/>
              <w:ind w:firstLine="0" w:firstLineChars="0"/>
              <w:jc w:val="left"/>
              <w:rPr>
                <w:color w:val="000000"/>
                <w:sz w:val="18"/>
                <w:szCs w:val="18"/>
              </w:rPr>
            </w:pPr>
          </w:p>
        </w:tc>
      </w:tr>
      <w:tr w14:paraId="2C3F3D91">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433EE114">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5E4D9F9E">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2F16B0E">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62A4DF2F">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A130BE0">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77BB8F9A">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7180F11E">
            <w:pPr>
              <w:widowControl/>
              <w:spacing w:line="240" w:lineRule="auto"/>
              <w:ind w:firstLine="0" w:firstLineChars="0"/>
              <w:jc w:val="center"/>
              <w:rPr>
                <w:color w:val="000000"/>
                <w:sz w:val="18"/>
                <w:szCs w:val="18"/>
              </w:rPr>
            </w:pPr>
            <w:r>
              <w:rPr>
                <w:color w:val="000000"/>
                <w:sz w:val="18"/>
                <w:szCs w:val="18"/>
              </w:rPr>
              <w:t xml:space="preserve">9.07 </w:t>
            </w:r>
          </w:p>
        </w:tc>
        <w:tc>
          <w:tcPr>
            <w:tcW w:w="856" w:type="dxa"/>
            <w:tcBorders>
              <w:top w:val="nil"/>
              <w:left w:val="nil"/>
              <w:bottom w:val="single" w:color="000000" w:sz="8" w:space="0"/>
              <w:right w:val="single" w:color="000000" w:sz="8" w:space="0"/>
            </w:tcBorders>
            <w:vAlign w:val="center"/>
          </w:tcPr>
          <w:p w14:paraId="7AAEF492">
            <w:pPr>
              <w:widowControl/>
              <w:spacing w:line="240" w:lineRule="auto"/>
              <w:ind w:firstLine="0" w:firstLineChars="0"/>
              <w:jc w:val="center"/>
              <w:rPr>
                <w:color w:val="000000"/>
                <w:sz w:val="18"/>
                <w:szCs w:val="18"/>
              </w:rPr>
            </w:pPr>
            <w:r>
              <w:rPr>
                <w:color w:val="000000"/>
                <w:sz w:val="18"/>
                <w:szCs w:val="18"/>
              </w:rPr>
              <w:t xml:space="preserve">70.07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24E97BCD">
            <w:pPr>
              <w:widowControl/>
              <w:spacing w:line="240" w:lineRule="auto"/>
              <w:ind w:firstLine="0" w:firstLineChars="0"/>
              <w:jc w:val="left"/>
              <w:rPr>
                <w:color w:val="000000"/>
                <w:sz w:val="18"/>
                <w:szCs w:val="18"/>
              </w:rPr>
            </w:pPr>
          </w:p>
        </w:tc>
      </w:tr>
      <w:tr w14:paraId="5D0CA257">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1129B234">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07A63628">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E785807">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39D5C090">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8491ABE">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0793E157">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4F3872D0">
            <w:pPr>
              <w:widowControl/>
              <w:spacing w:line="240" w:lineRule="auto"/>
              <w:ind w:firstLine="0" w:firstLineChars="0"/>
              <w:jc w:val="center"/>
              <w:rPr>
                <w:color w:val="000000"/>
                <w:sz w:val="18"/>
                <w:szCs w:val="18"/>
              </w:rPr>
            </w:pPr>
            <w:r>
              <w:rPr>
                <w:color w:val="000000"/>
                <w:sz w:val="18"/>
                <w:szCs w:val="18"/>
              </w:rPr>
              <w:t xml:space="preserve">5.44 </w:t>
            </w:r>
          </w:p>
        </w:tc>
        <w:tc>
          <w:tcPr>
            <w:tcW w:w="856" w:type="dxa"/>
            <w:tcBorders>
              <w:top w:val="nil"/>
              <w:left w:val="nil"/>
              <w:bottom w:val="single" w:color="000000" w:sz="8" w:space="0"/>
              <w:right w:val="single" w:color="000000" w:sz="8" w:space="0"/>
            </w:tcBorders>
            <w:vAlign w:val="center"/>
          </w:tcPr>
          <w:p w14:paraId="439975D8">
            <w:pPr>
              <w:widowControl/>
              <w:spacing w:line="240" w:lineRule="auto"/>
              <w:ind w:firstLine="0" w:firstLineChars="0"/>
              <w:jc w:val="center"/>
              <w:rPr>
                <w:color w:val="000000"/>
                <w:sz w:val="18"/>
                <w:szCs w:val="18"/>
              </w:rPr>
            </w:pPr>
            <w:r>
              <w:rPr>
                <w:color w:val="000000"/>
                <w:sz w:val="18"/>
                <w:szCs w:val="18"/>
              </w:rPr>
              <w:t xml:space="preserve">66.44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14AC8F7">
            <w:pPr>
              <w:widowControl/>
              <w:spacing w:line="240" w:lineRule="auto"/>
              <w:ind w:firstLine="0" w:firstLineChars="0"/>
              <w:jc w:val="left"/>
              <w:rPr>
                <w:color w:val="000000"/>
                <w:sz w:val="18"/>
                <w:szCs w:val="18"/>
              </w:rPr>
            </w:pPr>
          </w:p>
        </w:tc>
      </w:tr>
      <w:tr w14:paraId="0720F8A2">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48BCD220">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0ED5EC6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FDA9F34">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411A76CA">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F4C089D">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12F331B9">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16C75303">
            <w:pPr>
              <w:widowControl/>
              <w:spacing w:line="240" w:lineRule="auto"/>
              <w:ind w:firstLine="0" w:firstLineChars="0"/>
              <w:jc w:val="center"/>
              <w:rPr>
                <w:color w:val="000000"/>
                <w:sz w:val="18"/>
                <w:szCs w:val="18"/>
              </w:rPr>
            </w:pPr>
            <w:r>
              <w:rPr>
                <w:color w:val="000000"/>
                <w:sz w:val="18"/>
                <w:szCs w:val="18"/>
              </w:rPr>
              <w:t xml:space="preserve">2.72 </w:t>
            </w:r>
          </w:p>
        </w:tc>
        <w:tc>
          <w:tcPr>
            <w:tcW w:w="856" w:type="dxa"/>
            <w:tcBorders>
              <w:top w:val="nil"/>
              <w:left w:val="nil"/>
              <w:bottom w:val="single" w:color="000000" w:sz="8" w:space="0"/>
              <w:right w:val="single" w:color="000000" w:sz="8" w:space="0"/>
            </w:tcBorders>
            <w:vAlign w:val="center"/>
          </w:tcPr>
          <w:p w14:paraId="77C85488">
            <w:pPr>
              <w:widowControl/>
              <w:spacing w:line="240" w:lineRule="auto"/>
              <w:ind w:firstLine="0" w:firstLineChars="0"/>
              <w:jc w:val="center"/>
              <w:rPr>
                <w:color w:val="000000"/>
                <w:sz w:val="18"/>
                <w:szCs w:val="18"/>
              </w:rPr>
            </w:pPr>
            <w:r>
              <w:rPr>
                <w:color w:val="000000"/>
                <w:sz w:val="18"/>
                <w:szCs w:val="18"/>
              </w:rPr>
              <w:t xml:space="preserve">63.72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B5FD952">
            <w:pPr>
              <w:widowControl/>
              <w:spacing w:line="240" w:lineRule="auto"/>
              <w:ind w:firstLine="0" w:firstLineChars="0"/>
              <w:jc w:val="left"/>
              <w:rPr>
                <w:color w:val="000000"/>
                <w:sz w:val="18"/>
                <w:szCs w:val="18"/>
              </w:rPr>
            </w:pPr>
          </w:p>
        </w:tc>
      </w:tr>
      <w:tr w14:paraId="4BC217DF">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16EF0A2A">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6B65A048">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4C2DEBF">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32E81124">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BE65E0F">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1FB31FF8">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35DE419D">
            <w:pPr>
              <w:widowControl/>
              <w:spacing w:line="240" w:lineRule="auto"/>
              <w:ind w:firstLine="0" w:firstLineChars="0"/>
              <w:jc w:val="center"/>
              <w:rPr>
                <w:color w:val="000000"/>
                <w:sz w:val="18"/>
                <w:szCs w:val="18"/>
              </w:rPr>
            </w:pPr>
            <w:r>
              <w:rPr>
                <w:color w:val="000000"/>
                <w:sz w:val="18"/>
                <w:szCs w:val="18"/>
              </w:rPr>
              <w:t xml:space="preserve">108.85 </w:t>
            </w:r>
          </w:p>
        </w:tc>
        <w:tc>
          <w:tcPr>
            <w:tcW w:w="856" w:type="dxa"/>
            <w:tcBorders>
              <w:top w:val="nil"/>
              <w:left w:val="nil"/>
              <w:bottom w:val="single" w:color="000000" w:sz="8" w:space="0"/>
              <w:right w:val="single" w:color="000000" w:sz="8" w:space="0"/>
            </w:tcBorders>
            <w:vAlign w:val="center"/>
          </w:tcPr>
          <w:p w14:paraId="2A87F9AE">
            <w:pPr>
              <w:widowControl/>
              <w:spacing w:line="240" w:lineRule="auto"/>
              <w:ind w:firstLine="0" w:firstLineChars="0"/>
              <w:jc w:val="center"/>
              <w:rPr>
                <w:color w:val="000000"/>
                <w:sz w:val="18"/>
                <w:szCs w:val="18"/>
              </w:rPr>
            </w:pPr>
            <w:r>
              <w:rPr>
                <w:color w:val="000000"/>
                <w:sz w:val="18"/>
                <w:szCs w:val="18"/>
              </w:rPr>
              <w:t xml:space="preserve">169.85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3D82534A">
            <w:pPr>
              <w:widowControl/>
              <w:spacing w:line="240" w:lineRule="auto"/>
              <w:ind w:firstLine="0" w:firstLineChars="0"/>
              <w:jc w:val="left"/>
              <w:rPr>
                <w:color w:val="000000"/>
                <w:sz w:val="18"/>
                <w:szCs w:val="18"/>
              </w:rPr>
            </w:pPr>
          </w:p>
        </w:tc>
      </w:tr>
      <w:tr w14:paraId="085869B2">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701AA59E">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495095E9">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393DAB2">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4A39AA57">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148B6FB">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7DA079D2">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106E67CD">
            <w:pPr>
              <w:widowControl/>
              <w:spacing w:line="240" w:lineRule="auto"/>
              <w:ind w:firstLine="0" w:firstLineChars="0"/>
              <w:jc w:val="center"/>
              <w:rPr>
                <w:color w:val="000000"/>
                <w:sz w:val="18"/>
                <w:szCs w:val="18"/>
              </w:rPr>
            </w:pPr>
            <w:r>
              <w:rPr>
                <w:color w:val="000000"/>
                <w:sz w:val="18"/>
                <w:szCs w:val="18"/>
              </w:rPr>
              <w:t xml:space="preserve">54.42 </w:t>
            </w:r>
          </w:p>
        </w:tc>
        <w:tc>
          <w:tcPr>
            <w:tcW w:w="856" w:type="dxa"/>
            <w:tcBorders>
              <w:top w:val="nil"/>
              <w:left w:val="nil"/>
              <w:bottom w:val="single" w:color="000000" w:sz="8" w:space="0"/>
              <w:right w:val="single" w:color="000000" w:sz="8" w:space="0"/>
            </w:tcBorders>
            <w:vAlign w:val="center"/>
          </w:tcPr>
          <w:p w14:paraId="7690D659">
            <w:pPr>
              <w:widowControl/>
              <w:spacing w:line="240" w:lineRule="auto"/>
              <w:ind w:firstLine="0" w:firstLineChars="0"/>
              <w:jc w:val="center"/>
              <w:rPr>
                <w:color w:val="000000"/>
                <w:sz w:val="18"/>
                <w:szCs w:val="18"/>
              </w:rPr>
            </w:pPr>
            <w:r>
              <w:rPr>
                <w:color w:val="000000"/>
                <w:sz w:val="18"/>
                <w:szCs w:val="18"/>
              </w:rPr>
              <w:t xml:space="preserve">115.42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2D7BFAFC">
            <w:pPr>
              <w:widowControl/>
              <w:spacing w:line="240" w:lineRule="auto"/>
              <w:ind w:firstLine="0" w:firstLineChars="0"/>
              <w:jc w:val="left"/>
              <w:rPr>
                <w:color w:val="000000"/>
                <w:sz w:val="18"/>
                <w:szCs w:val="18"/>
              </w:rPr>
            </w:pPr>
          </w:p>
        </w:tc>
      </w:tr>
      <w:tr w14:paraId="0C6F35B7">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42DB8477">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7A75A8E9">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EDDF120">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7378237A">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2F5EAC4">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0F3C4D54">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176F471D">
            <w:pPr>
              <w:widowControl/>
              <w:spacing w:line="240" w:lineRule="auto"/>
              <w:ind w:firstLine="0" w:firstLineChars="0"/>
              <w:jc w:val="center"/>
              <w:rPr>
                <w:color w:val="000000"/>
                <w:sz w:val="18"/>
                <w:szCs w:val="18"/>
              </w:rPr>
            </w:pPr>
            <w:r>
              <w:rPr>
                <w:color w:val="000000"/>
                <w:sz w:val="18"/>
                <w:szCs w:val="18"/>
              </w:rPr>
              <w:t xml:space="preserve">27.21 </w:t>
            </w:r>
          </w:p>
        </w:tc>
        <w:tc>
          <w:tcPr>
            <w:tcW w:w="856" w:type="dxa"/>
            <w:tcBorders>
              <w:top w:val="nil"/>
              <w:left w:val="nil"/>
              <w:bottom w:val="single" w:color="000000" w:sz="8" w:space="0"/>
              <w:right w:val="single" w:color="000000" w:sz="8" w:space="0"/>
            </w:tcBorders>
            <w:vAlign w:val="center"/>
          </w:tcPr>
          <w:p w14:paraId="2307F4D6">
            <w:pPr>
              <w:widowControl/>
              <w:spacing w:line="240" w:lineRule="auto"/>
              <w:ind w:firstLine="0" w:firstLineChars="0"/>
              <w:jc w:val="center"/>
              <w:rPr>
                <w:color w:val="000000"/>
                <w:sz w:val="18"/>
                <w:szCs w:val="18"/>
              </w:rPr>
            </w:pPr>
            <w:r>
              <w:rPr>
                <w:color w:val="000000"/>
                <w:sz w:val="18"/>
                <w:szCs w:val="18"/>
              </w:rPr>
              <w:t xml:space="preserve">88.21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3486C4B">
            <w:pPr>
              <w:widowControl/>
              <w:spacing w:line="240" w:lineRule="auto"/>
              <w:ind w:firstLine="0" w:firstLineChars="0"/>
              <w:jc w:val="left"/>
              <w:rPr>
                <w:color w:val="000000"/>
                <w:sz w:val="18"/>
                <w:szCs w:val="18"/>
              </w:rPr>
            </w:pPr>
          </w:p>
        </w:tc>
      </w:tr>
      <w:tr w14:paraId="7ACD8332">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216C775D">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592BF900">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6FC57DF">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19C3C029">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5AF9693">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3C30494A">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23786517">
            <w:pPr>
              <w:widowControl/>
              <w:spacing w:line="240" w:lineRule="auto"/>
              <w:ind w:firstLine="0" w:firstLineChars="0"/>
              <w:jc w:val="center"/>
              <w:rPr>
                <w:color w:val="000000"/>
                <w:sz w:val="18"/>
                <w:szCs w:val="18"/>
              </w:rPr>
            </w:pPr>
            <w:r>
              <w:rPr>
                <w:color w:val="000000"/>
                <w:sz w:val="18"/>
                <w:szCs w:val="18"/>
              </w:rPr>
              <w:t xml:space="preserve">18.14 </w:t>
            </w:r>
          </w:p>
        </w:tc>
        <w:tc>
          <w:tcPr>
            <w:tcW w:w="856" w:type="dxa"/>
            <w:tcBorders>
              <w:top w:val="nil"/>
              <w:left w:val="nil"/>
              <w:bottom w:val="single" w:color="000000" w:sz="8" w:space="0"/>
              <w:right w:val="single" w:color="000000" w:sz="8" w:space="0"/>
            </w:tcBorders>
            <w:vAlign w:val="center"/>
          </w:tcPr>
          <w:p w14:paraId="5CCAE896">
            <w:pPr>
              <w:widowControl/>
              <w:spacing w:line="240" w:lineRule="auto"/>
              <w:ind w:firstLine="0" w:firstLineChars="0"/>
              <w:jc w:val="center"/>
              <w:rPr>
                <w:color w:val="000000"/>
                <w:sz w:val="18"/>
                <w:szCs w:val="18"/>
              </w:rPr>
            </w:pPr>
            <w:r>
              <w:rPr>
                <w:color w:val="000000"/>
                <w:sz w:val="18"/>
                <w:szCs w:val="18"/>
              </w:rPr>
              <w:t xml:space="preserve">79.14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6F49BC66">
            <w:pPr>
              <w:widowControl/>
              <w:spacing w:line="240" w:lineRule="auto"/>
              <w:ind w:firstLine="0" w:firstLineChars="0"/>
              <w:jc w:val="left"/>
              <w:rPr>
                <w:color w:val="000000"/>
                <w:sz w:val="18"/>
                <w:szCs w:val="18"/>
              </w:rPr>
            </w:pPr>
          </w:p>
        </w:tc>
      </w:tr>
      <w:tr w14:paraId="2590DD2D">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392F15F7">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5E6A87DC">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7EAE8AD">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49ED01F3">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4709D99">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0F5AB3A7">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25AAC292">
            <w:pPr>
              <w:widowControl/>
              <w:spacing w:line="240" w:lineRule="auto"/>
              <w:ind w:firstLine="0" w:firstLineChars="0"/>
              <w:jc w:val="center"/>
              <w:rPr>
                <w:color w:val="000000"/>
                <w:sz w:val="18"/>
                <w:szCs w:val="18"/>
              </w:rPr>
            </w:pPr>
            <w:r>
              <w:rPr>
                <w:color w:val="000000"/>
                <w:sz w:val="18"/>
                <w:szCs w:val="18"/>
              </w:rPr>
              <w:t xml:space="preserve">10.88 </w:t>
            </w:r>
          </w:p>
        </w:tc>
        <w:tc>
          <w:tcPr>
            <w:tcW w:w="856" w:type="dxa"/>
            <w:tcBorders>
              <w:top w:val="nil"/>
              <w:left w:val="nil"/>
              <w:bottom w:val="single" w:color="000000" w:sz="8" w:space="0"/>
              <w:right w:val="single" w:color="000000" w:sz="8" w:space="0"/>
            </w:tcBorders>
            <w:vAlign w:val="center"/>
          </w:tcPr>
          <w:p w14:paraId="22F717A8">
            <w:pPr>
              <w:widowControl/>
              <w:spacing w:line="240" w:lineRule="auto"/>
              <w:ind w:firstLine="0" w:firstLineChars="0"/>
              <w:jc w:val="center"/>
              <w:rPr>
                <w:color w:val="000000"/>
                <w:sz w:val="18"/>
                <w:szCs w:val="18"/>
              </w:rPr>
            </w:pPr>
            <w:r>
              <w:rPr>
                <w:color w:val="000000"/>
                <w:sz w:val="18"/>
                <w:szCs w:val="18"/>
              </w:rPr>
              <w:t xml:space="preserve">71.88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C535FD8">
            <w:pPr>
              <w:widowControl/>
              <w:spacing w:line="240" w:lineRule="auto"/>
              <w:ind w:firstLine="0" w:firstLineChars="0"/>
              <w:jc w:val="left"/>
              <w:rPr>
                <w:color w:val="000000"/>
                <w:sz w:val="18"/>
                <w:szCs w:val="18"/>
              </w:rPr>
            </w:pPr>
          </w:p>
        </w:tc>
      </w:tr>
      <w:tr w14:paraId="31390E7E">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4181DCFE">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2E07C75A">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7B77A1AE">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3782962F">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7C85A39">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4C3A0BAE">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69DEFD48">
            <w:pPr>
              <w:widowControl/>
              <w:spacing w:line="240" w:lineRule="auto"/>
              <w:ind w:firstLine="0" w:firstLineChars="0"/>
              <w:jc w:val="center"/>
              <w:rPr>
                <w:color w:val="000000"/>
                <w:sz w:val="18"/>
                <w:szCs w:val="18"/>
              </w:rPr>
            </w:pPr>
            <w:r>
              <w:rPr>
                <w:color w:val="000000"/>
                <w:sz w:val="18"/>
                <w:szCs w:val="18"/>
              </w:rPr>
              <w:t xml:space="preserve">5.44 </w:t>
            </w:r>
          </w:p>
        </w:tc>
        <w:tc>
          <w:tcPr>
            <w:tcW w:w="856" w:type="dxa"/>
            <w:tcBorders>
              <w:top w:val="nil"/>
              <w:left w:val="nil"/>
              <w:bottom w:val="single" w:color="000000" w:sz="8" w:space="0"/>
              <w:right w:val="single" w:color="000000" w:sz="8" w:space="0"/>
            </w:tcBorders>
            <w:vAlign w:val="center"/>
          </w:tcPr>
          <w:p w14:paraId="2AA7A2A7">
            <w:pPr>
              <w:widowControl/>
              <w:spacing w:line="240" w:lineRule="auto"/>
              <w:ind w:firstLine="0" w:firstLineChars="0"/>
              <w:jc w:val="center"/>
              <w:rPr>
                <w:color w:val="000000"/>
                <w:sz w:val="18"/>
                <w:szCs w:val="18"/>
              </w:rPr>
            </w:pPr>
            <w:r>
              <w:rPr>
                <w:color w:val="000000"/>
                <w:sz w:val="18"/>
                <w:szCs w:val="18"/>
              </w:rPr>
              <w:t xml:space="preserve">66.44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C179EEE">
            <w:pPr>
              <w:widowControl/>
              <w:spacing w:line="240" w:lineRule="auto"/>
              <w:ind w:firstLine="0" w:firstLineChars="0"/>
              <w:jc w:val="left"/>
              <w:rPr>
                <w:color w:val="000000"/>
                <w:sz w:val="18"/>
                <w:szCs w:val="18"/>
              </w:rPr>
            </w:pPr>
          </w:p>
        </w:tc>
      </w:tr>
      <w:tr w14:paraId="0FD25C2F">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74EDBF54">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5FD1E54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12551CF9">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664549E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B3228A0">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1E4D2A97">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116799A2">
            <w:pPr>
              <w:widowControl/>
              <w:spacing w:line="240" w:lineRule="auto"/>
              <w:ind w:firstLine="0" w:firstLineChars="0"/>
              <w:jc w:val="center"/>
              <w:rPr>
                <w:color w:val="000000"/>
                <w:sz w:val="18"/>
                <w:szCs w:val="18"/>
              </w:rPr>
            </w:pPr>
            <w:r>
              <w:rPr>
                <w:color w:val="000000"/>
                <w:sz w:val="18"/>
                <w:szCs w:val="18"/>
              </w:rPr>
              <w:t xml:space="preserve">217.69 </w:t>
            </w:r>
          </w:p>
        </w:tc>
        <w:tc>
          <w:tcPr>
            <w:tcW w:w="856" w:type="dxa"/>
            <w:tcBorders>
              <w:top w:val="nil"/>
              <w:left w:val="nil"/>
              <w:bottom w:val="single" w:color="000000" w:sz="8" w:space="0"/>
              <w:right w:val="single" w:color="000000" w:sz="8" w:space="0"/>
            </w:tcBorders>
            <w:vAlign w:val="center"/>
          </w:tcPr>
          <w:p w14:paraId="4E7D86DC">
            <w:pPr>
              <w:widowControl/>
              <w:spacing w:line="240" w:lineRule="auto"/>
              <w:ind w:firstLine="0" w:firstLineChars="0"/>
              <w:jc w:val="center"/>
              <w:rPr>
                <w:color w:val="000000"/>
                <w:sz w:val="18"/>
                <w:szCs w:val="18"/>
              </w:rPr>
            </w:pPr>
            <w:r>
              <w:rPr>
                <w:color w:val="000000"/>
                <w:sz w:val="18"/>
                <w:szCs w:val="18"/>
              </w:rPr>
              <w:t xml:space="preserve">278.69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40AB89CD">
            <w:pPr>
              <w:widowControl/>
              <w:spacing w:line="240" w:lineRule="auto"/>
              <w:ind w:firstLine="0" w:firstLineChars="0"/>
              <w:jc w:val="left"/>
              <w:rPr>
                <w:color w:val="000000"/>
                <w:sz w:val="18"/>
                <w:szCs w:val="18"/>
              </w:rPr>
            </w:pPr>
          </w:p>
        </w:tc>
      </w:tr>
      <w:tr w14:paraId="61814F32">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14274155">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41020D94">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6CFCD59">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6D0575F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58C86FD">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7B23592B">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1620CED8">
            <w:pPr>
              <w:widowControl/>
              <w:spacing w:line="240" w:lineRule="auto"/>
              <w:ind w:firstLine="0" w:firstLineChars="0"/>
              <w:jc w:val="center"/>
              <w:rPr>
                <w:color w:val="000000"/>
                <w:sz w:val="18"/>
                <w:szCs w:val="18"/>
              </w:rPr>
            </w:pPr>
            <w:r>
              <w:rPr>
                <w:color w:val="000000"/>
                <w:sz w:val="18"/>
                <w:szCs w:val="18"/>
              </w:rPr>
              <w:t xml:space="preserve">108.85 </w:t>
            </w:r>
          </w:p>
        </w:tc>
        <w:tc>
          <w:tcPr>
            <w:tcW w:w="856" w:type="dxa"/>
            <w:tcBorders>
              <w:top w:val="nil"/>
              <w:left w:val="nil"/>
              <w:bottom w:val="single" w:color="000000" w:sz="8" w:space="0"/>
              <w:right w:val="single" w:color="000000" w:sz="8" w:space="0"/>
            </w:tcBorders>
            <w:vAlign w:val="center"/>
          </w:tcPr>
          <w:p w14:paraId="03ABF0A4">
            <w:pPr>
              <w:widowControl/>
              <w:spacing w:line="240" w:lineRule="auto"/>
              <w:ind w:firstLine="0" w:firstLineChars="0"/>
              <w:jc w:val="center"/>
              <w:rPr>
                <w:color w:val="000000"/>
                <w:sz w:val="18"/>
                <w:szCs w:val="18"/>
              </w:rPr>
            </w:pPr>
            <w:r>
              <w:rPr>
                <w:color w:val="000000"/>
                <w:sz w:val="18"/>
                <w:szCs w:val="18"/>
              </w:rPr>
              <w:t xml:space="preserve">169.85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63B7195">
            <w:pPr>
              <w:widowControl/>
              <w:spacing w:line="240" w:lineRule="auto"/>
              <w:ind w:firstLine="0" w:firstLineChars="0"/>
              <w:jc w:val="left"/>
              <w:rPr>
                <w:color w:val="000000"/>
                <w:sz w:val="18"/>
                <w:szCs w:val="18"/>
              </w:rPr>
            </w:pPr>
          </w:p>
        </w:tc>
      </w:tr>
      <w:tr w14:paraId="398908F0">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38C82AEC">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72237FF1">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6F02315">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557EB112">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85BF493">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7AC2A0F6">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17A5FD6C">
            <w:pPr>
              <w:widowControl/>
              <w:spacing w:line="240" w:lineRule="auto"/>
              <w:ind w:firstLine="0" w:firstLineChars="0"/>
              <w:jc w:val="center"/>
              <w:rPr>
                <w:color w:val="000000"/>
                <w:sz w:val="18"/>
                <w:szCs w:val="18"/>
              </w:rPr>
            </w:pPr>
            <w:r>
              <w:rPr>
                <w:color w:val="000000"/>
                <w:sz w:val="18"/>
                <w:szCs w:val="18"/>
              </w:rPr>
              <w:t xml:space="preserve">54.42 </w:t>
            </w:r>
          </w:p>
        </w:tc>
        <w:tc>
          <w:tcPr>
            <w:tcW w:w="856" w:type="dxa"/>
            <w:tcBorders>
              <w:top w:val="nil"/>
              <w:left w:val="nil"/>
              <w:bottom w:val="single" w:color="000000" w:sz="8" w:space="0"/>
              <w:right w:val="single" w:color="000000" w:sz="8" w:space="0"/>
            </w:tcBorders>
            <w:vAlign w:val="center"/>
          </w:tcPr>
          <w:p w14:paraId="55F7DC0B">
            <w:pPr>
              <w:widowControl/>
              <w:spacing w:line="240" w:lineRule="auto"/>
              <w:ind w:firstLine="0" w:firstLineChars="0"/>
              <w:jc w:val="center"/>
              <w:rPr>
                <w:color w:val="000000"/>
                <w:sz w:val="18"/>
                <w:szCs w:val="18"/>
              </w:rPr>
            </w:pPr>
            <w:r>
              <w:rPr>
                <w:color w:val="000000"/>
                <w:sz w:val="18"/>
                <w:szCs w:val="18"/>
              </w:rPr>
              <w:t xml:space="preserve">115.42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20C17A99">
            <w:pPr>
              <w:widowControl/>
              <w:spacing w:line="240" w:lineRule="auto"/>
              <w:ind w:firstLine="0" w:firstLineChars="0"/>
              <w:jc w:val="left"/>
              <w:rPr>
                <w:color w:val="000000"/>
                <w:sz w:val="18"/>
                <w:szCs w:val="18"/>
              </w:rPr>
            </w:pPr>
          </w:p>
        </w:tc>
      </w:tr>
      <w:tr w14:paraId="34FFBEC9">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928B25B">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094F3EBA">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40262E1A">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13C36EB2">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B7A4E92">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2E2521D0">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618EFC2E">
            <w:pPr>
              <w:widowControl/>
              <w:spacing w:line="240" w:lineRule="auto"/>
              <w:ind w:firstLine="0" w:firstLineChars="0"/>
              <w:jc w:val="center"/>
              <w:rPr>
                <w:color w:val="000000"/>
                <w:sz w:val="18"/>
                <w:szCs w:val="18"/>
              </w:rPr>
            </w:pPr>
            <w:r>
              <w:rPr>
                <w:color w:val="000000"/>
                <w:sz w:val="18"/>
                <w:szCs w:val="18"/>
              </w:rPr>
              <w:t xml:space="preserve">36.28 </w:t>
            </w:r>
          </w:p>
        </w:tc>
        <w:tc>
          <w:tcPr>
            <w:tcW w:w="856" w:type="dxa"/>
            <w:tcBorders>
              <w:top w:val="nil"/>
              <w:left w:val="nil"/>
              <w:bottom w:val="single" w:color="000000" w:sz="8" w:space="0"/>
              <w:right w:val="single" w:color="000000" w:sz="8" w:space="0"/>
            </w:tcBorders>
            <w:vAlign w:val="center"/>
          </w:tcPr>
          <w:p w14:paraId="456D65D3">
            <w:pPr>
              <w:widowControl/>
              <w:spacing w:line="240" w:lineRule="auto"/>
              <w:ind w:firstLine="0" w:firstLineChars="0"/>
              <w:jc w:val="center"/>
              <w:rPr>
                <w:color w:val="000000"/>
                <w:sz w:val="18"/>
                <w:szCs w:val="18"/>
              </w:rPr>
            </w:pPr>
            <w:r>
              <w:rPr>
                <w:color w:val="000000"/>
                <w:sz w:val="18"/>
                <w:szCs w:val="18"/>
              </w:rPr>
              <w:t xml:space="preserve">97.28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10E825D3">
            <w:pPr>
              <w:widowControl/>
              <w:spacing w:line="240" w:lineRule="auto"/>
              <w:ind w:firstLine="0" w:firstLineChars="0"/>
              <w:jc w:val="left"/>
              <w:rPr>
                <w:color w:val="000000"/>
                <w:sz w:val="18"/>
                <w:szCs w:val="18"/>
              </w:rPr>
            </w:pPr>
          </w:p>
        </w:tc>
      </w:tr>
      <w:tr w14:paraId="4D482FAB">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246E229">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045F2121">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086A77C">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58D4183C">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BB2ADFB">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70C95D82">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78153092">
            <w:pPr>
              <w:widowControl/>
              <w:spacing w:line="240" w:lineRule="auto"/>
              <w:ind w:firstLine="0" w:firstLineChars="0"/>
              <w:jc w:val="center"/>
              <w:rPr>
                <w:color w:val="000000"/>
                <w:sz w:val="18"/>
                <w:szCs w:val="18"/>
              </w:rPr>
            </w:pPr>
            <w:r>
              <w:rPr>
                <w:color w:val="000000"/>
                <w:sz w:val="18"/>
                <w:szCs w:val="18"/>
              </w:rPr>
              <w:t xml:space="preserve">21.77 </w:t>
            </w:r>
          </w:p>
        </w:tc>
        <w:tc>
          <w:tcPr>
            <w:tcW w:w="856" w:type="dxa"/>
            <w:tcBorders>
              <w:top w:val="nil"/>
              <w:left w:val="nil"/>
              <w:bottom w:val="single" w:color="000000" w:sz="8" w:space="0"/>
              <w:right w:val="single" w:color="000000" w:sz="8" w:space="0"/>
            </w:tcBorders>
            <w:vAlign w:val="center"/>
          </w:tcPr>
          <w:p w14:paraId="5FF5440D">
            <w:pPr>
              <w:widowControl/>
              <w:spacing w:line="240" w:lineRule="auto"/>
              <w:ind w:firstLine="0" w:firstLineChars="0"/>
              <w:jc w:val="center"/>
              <w:rPr>
                <w:color w:val="000000"/>
                <w:sz w:val="18"/>
                <w:szCs w:val="18"/>
              </w:rPr>
            </w:pPr>
            <w:r>
              <w:rPr>
                <w:color w:val="000000"/>
                <w:sz w:val="18"/>
                <w:szCs w:val="18"/>
              </w:rPr>
              <w:t xml:space="preserve">82.77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F40A008">
            <w:pPr>
              <w:widowControl/>
              <w:spacing w:line="240" w:lineRule="auto"/>
              <w:ind w:firstLine="0" w:firstLineChars="0"/>
              <w:jc w:val="left"/>
              <w:rPr>
                <w:color w:val="000000"/>
                <w:sz w:val="18"/>
                <w:szCs w:val="18"/>
              </w:rPr>
            </w:pPr>
          </w:p>
        </w:tc>
      </w:tr>
      <w:tr w14:paraId="24F1816B">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65598803">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36C3D39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11988B3E">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24227F06">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A6FD72E">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0F9EDCED">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5C8E2213">
            <w:pPr>
              <w:widowControl/>
              <w:spacing w:line="240" w:lineRule="auto"/>
              <w:ind w:firstLine="0" w:firstLineChars="0"/>
              <w:jc w:val="center"/>
              <w:rPr>
                <w:color w:val="000000"/>
                <w:sz w:val="18"/>
                <w:szCs w:val="18"/>
              </w:rPr>
            </w:pPr>
            <w:r>
              <w:rPr>
                <w:color w:val="000000"/>
                <w:sz w:val="18"/>
                <w:szCs w:val="18"/>
              </w:rPr>
              <w:t xml:space="preserve">10.88 </w:t>
            </w:r>
          </w:p>
        </w:tc>
        <w:tc>
          <w:tcPr>
            <w:tcW w:w="856" w:type="dxa"/>
            <w:tcBorders>
              <w:top w:val="nil"/>
              <w:left w:val="nil"/>
              <w:bottom w:val="single" w:color="000000" w:sz="8" w:space="0"/>
              <w:right w:val="single" w:color="000000" w:sz="8" w:space="0"/>
            </w:tcBorders>
            <w:vAlign w:val="center"/>
          </w:tcPr>
          <w:p w14:paraId="53BE12A9">
            <w:pPr>
              <w:widowControl/>
              <w:spacing w:line="240" w:lineRule="auto"/>
              <w:ind w:firstLine="0" w:firstLineChars="0"/>
              <w:jc w:val="center"/>
              <w:rPr>
                <w:color w:val="000000"/>
                <w:sz w:val="18"/>
                <w:szCs w:val="18"/>
              </w:rPr>
            </w:pPr>
            <w:r>
              <w:rPr>
                <w:color w:val="000000"/>
                <w:sz w:val="18"/>
                <w:szCs w:val="18"/>
              </w:rPr>
              <w:t xml:space="preserve">71.88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3DDEBC7B">
            <w:pPr>
              <w:widowControl/>
              <w:spacing w:line="240" w:lineRule="auto"/>
              <w:ind w:firstLine="0" w:firstLineChars="0"/>
              <w:jc w:val="left"/>
              <w:rPr>
                <w:color w:val="000000"/>
                <w:sz w:val="18"/>
                <w:szCs w:val="18"/>
              </w:rPr>
            </w:pPr>
          </w:p>
        </w:tc>
      </w:tr>
      <w:tr w14:paraId="411EBF3B">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FFEAB54">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47FF9DF7">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45BEE83">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45D9F301">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54C37EA">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680A01F1">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62F97701">
            <w:pPr>
              <w:widowControl/>
              <w:spacing w:line="240" w:lineRule="auto"/>
              <w:ind w:firstLine="0" w:firstLineChars="0"/>
              <w:jc w:val="center"/>
              <w:rPr>
                <w:color w:val="000000"/>
                <w:sz w:val="18"/>
                <w:szCs w:val="18"/>
              </w:rPr>
            </w:pPr>
            <w:r>
              <w:rPr>
                <w:color w:val="000000"/>
                <w:sz w:val="18"/>
                <w:szCs w:val="18"/>
              </w:rPr>
              <w:t xml:space="preserve">544.23 </w:t>
            </w:r>
          </w:p>
        </w:tc>
        <w:tc>
          <w:tcPr>
            <w:tcW w:w="856" w:type="dxa"/>
            <w:tcBorders>
              <w:top w:val="nil"/>
              <w:left w:val="nil"/>
              <w:bottom w:val="single" w:color="000000" w:sz="8" w:space="0"/>
              <w:right w:val="single" w:color="000000" w:sz="8" w:space="0"/>
            </w:tcBorders>
            <w:vAlign w:val="center"/>
          </w:tcPr>
          <w:p w14:paraId="17575641">
            <w:pPr>
              <w:widowControl/>
              <w:spacing w:line="240" w:lineRule="auto"/>
              <w:ind w:firstLine="0" w:firstLineChars="0"/>
              <w:jc w:val="center"/>
              <w:rPr>
                <w:color w:val="000000"/>
                <w:sz w:val="18"/>
                <w:szCs w:val="18"/>
              </w:rPr>
            </w:pPr>
            <w:r>
              <w:rPr>
                <w:color w:val="000000"/>
                <w:sz w:val="18"/>
                <w:szCs w:val="18"/>
              </w:rPr>
              <w:t xml:space="preserve">605.23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C94BCE1">
            <w:pPr>
              <w:widowControl/>
              <w:spacing w:line="240" w:lineRule="auto"/>
              <w:ind w:firstLine="0" w:firstLineChars="0"/>
              <w:jc w:val="left"/>
              <w:rPr>
                <w:color w:val="000000"/>
                <w:sz w:val="18"/>
                <w:szCs w:val="18"/>
              </w:rPr>
            </w:pPr>
          </w:p>
        </w:tc>
      </w:tr>
      <w:tr w14:paraId="4F81892F">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39B1CD0">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00AD445D">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12244D60">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15B90816">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677F969">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73A8294A">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1544F2F2">
            <w:pPr>
              <w:widowControl/>
              <w:spacing w:line="240" w:lineRule="auto"/>
              <w:ind w:firstLine="0" w:firstLineChars="0"/>
              <w:jc w:val="center"/>
              <w:rPr>
                <w:color w:val="000000"/>
                <w:sz w:val="18"/>
                <w:szCs w:val="18"/>
              </w:rPr>
            </w:pPr>
            <w:r>
              <w:rPr>
                <w:color w:val="000000"/>
                <w:sz w:val="18"/>
                <w:szCs w:val="18"/>
              </w:rPr>
              <w:t xml:space="preserve">272.11 </w:t>
            </w:r>
          </w:p>
        </w:tc>
        <w:tc>
          <w:tcPr>
            <w:tcW w:w="856" w:type="dxa"/>
            <w:tcBorders>
              <w:top w:val="nil"/>
              <w:left w:val="nil"/>
              <w:bottom w:val="single" w:color="000000" w:sz="8" w:space="0"/>
              <w:right w:val="single" w:color="000000" w:sz="8" w:space="0"/>
            </w:tcBorders>
            <w:vAlign w:val="center"/>
          </w:tcPr>
          <w:p w14:paraId="1128F985">
            <w:pPr>
              <w:widowControl/>
              <w:spacing w:line="240" w:lineRule="auto"/>
              <w:ind w:firstLine="0" w:firstLineChars="0"/>
              <w:jc w:val="center"/>
              <w:rPr>
                <w:color w:val="000000"/>
                <w:sz w:val="18"/>
                <w:szCs w:val="18"/>
              </w:rPr>
            </w:pPr>
            <w:r>
              <w:rPr>
                <w:color w:val="000000"/>
                <w:sz w:val="18"/>
                <w:szCs w:val="18"/>
              </w:rPr>
              <w:t xml:space="preserve">333.11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6BF9215B">
            <w:pPr>
              <w:widowControl/>
              <w:spacing w:line="240" w:lineRule="auto"/>
              <w:ind w:firstLine="0" w:firstLineChars="0"/>
              <w:jc w:val="left"/>
              <w:rPr>
                <w:color w:val="000000"/>
                <w:sz w:val="18"/>
                <w:szCs w:val="18"/>
              </w:rPr>
            </w:pPr>
          </w:p>
        </w:tc>
      </w:tr>
      <w:tr w14:paraId="0ACA55E8">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3778A3EB">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2A355207">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A98A059">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2C4C4CF3">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630DF39">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1BF03220">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68BFB3BD">
            <w:pPr>
              <w:widowControl/>
              <w:spacing w:line="240" w:lineRule="auto"/>
              <w:ind w:firstLine="0" w:firstLineChars="0"/>
              <w:jc w:val="center"/>
              <w:rPr>
                <w:color w:val="000000"/>
                <w:sz w:val="18"/>
                <w:szCs w:val="18"/>
              </w:rPr>
            </w:pPr>
            <w:r>
              <w:rPr>
                <w:color w:val="000000"/>
                <w:sz w:val="18"/>
                <w:szCs w:val="18"/>
              </w:rPr>
              <w:t xml:space="preserve">136.06 </w:t>
            </w:r>
          </w:p>
        </w:tc>
        <w:tc>
          <w:tcPr>
            <w:tcW w:w="856" w:type="dxa"/>
            <w:tcBorders>
              <w:top w:val="nil"/>
              <w:left w:val="nil"/>
              <w:bottom w:val="single" w:color="000000" w:sz="8" w:space="0"/>
              <w:right w:val="single" w:color="000000" w:sz="8" w:space="0"/>
            </w:tcBorders>
            <w:vAlign w:val="center"/>
          </w:tcPr>
          <w:p w14:paraId="1D5F49C1">
            <w:pPr>
              <w:widowControl/>
              <w:spacing w:line="240" w:lineRule="auto"/>
              <w:ind w:firstLine="0" w:firstLineChars="0"/>
              <w:jc w:val="center"/>
              <w:rPr>
                <w:color w:val="000000"/>
                <w:sz w:val="18"/>
                <w:szCs w:val="18"/>
              </w:rPr>
            </w:pPr>
            <w:r>
              <w:rPr>
                <w:color w:val="000000"/>
                <w:sz w:val="18"/>
                <w:szCs w:val="18"/>
              </w:rPr>
              <w:t xml:space="preserve">197.06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6B9D40C2">
            <w:pPr>
              <w:widowControl/>
              <w:spacing w:line="240" w:lineRule="auto"/>
              <w:ind w:firstLine="0" w:firstLineChars="0"/>
              <w:jc w:val="left"/>
              <w:rPr>
                <w:color w:val="000000"/>
                <w:sz w:val="18"/>
                <w:szCs w:val="18"/>
              </w:rPr>
            </w:pPr>
          </w:p>
        </w:tc>
      </w:tr>
      <w:tr w14:paraId="0FF27571">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0F4E497A">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49657688">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481157F">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77229E06">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61533CF">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767147C4">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72DB138D">
            <w:pPr>
              <w:widowControl/>
              <w:spacing w:line="240" w:lineRule="auto"/>
              <w:ind w:firstLine="0" w:firstLineChars="0"/>
              <w:jc w:val="center"/>
              <w:rPr>
                <w:color w:val="000000"/>
                <w:sz w:val="18"/>
                <w:szCs w:val="18"/>
              </w:rPr>
            </w:pPr>
            <w:r>
              <w:rPr>
                <w:color w:val="000000"/>
                <w:sz w:val="18"/>
                <w:szCs w:val="18"/>
              </w:rPr>
              <w:t xml:space="preserve">90.70 </w:t>
            </w:r>
          </w:p>
        </w:tc>
        <w:tc>
          <w:tcPr>
            <w:tcW w:w="856" w:type="dxa"/>
            <w:tcBorders>
              <w:top w:val="nil"/>
              <w:left w:val="nil"/>
              <w:bottom w:val="single" w:color="000000" w:sz="8" w:space="0"/>
              <w:right w:val="single" w:color="000000" w:sz="8" w:space="0"/>
            </w:tcBorders>
            <w:vAlign w:val="center"/>
          </w:tcPr>
          <w:p w14:paraId="5989F10C">
            <w:pPr>
              <w:widowControl/>
              <w:spacing w:line="240" w:lineRule="auto"/>
              <w:ind w:firstLine="0" w:firstLineChars="0"/>
              <w:jc w:val="center"/>
              <w:rPr>
                <w:color w:val="000000"/>
                <w:sz w:val="18"/>
                <w:szCs w:val="18"/>
              </w:rPr>
            </w:pPr>
            <w:r>
              <w:rPr>
                <w:color w:val="000000"/>
                <w:sz w:val="18"/>
                <w:szCs w:val="18"/>
              </w:rPr>
              <w:t xml:space="preserve">151.70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1BF137B2">
            <w:pPr>
              <w:widowControl/>
              <w:spacing w:line="240" w:lineRule="auto"/>
              <w:ind w:firstLine="0" w:firstLineChars="0"/>
              <w:jc w:val="left"/>
              <w:rPr>
                <w:color w:val="000000"/>
                <w:sz w:val="18"/>
                <w:szCs w:val="18"/>
              </w:rPr>
            </w:pPr>
          </w:p>
        </w:tc>
      </w:tr>
      <w:tr w14:paraId="7A9B4BA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6390385B">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2ECEDFC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16B1A79">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14E37D9C">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656817E">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6FB2A4F9">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336FDB5F">
            <w:pPr>
              <w:widowControl/>
              <w:spacing w:line="240" w:lineRule="auto"/>
              <w:ind w:firstLine="0" w:firstLineChars="0"/>
              <w:jc w:val="center"/>
              <w:rPr>
                <w:color w:val="000000"/>
                <w:sz w:val="18"/>
                <w:szCs w:val="18"/>
              </w:rPr>
            </w:pPr>
            <w:r>
              <w:rPr>
                <w:color w:val="000000"/>
                <w:sz w:val="18"/>
                <w:szCs w:val="18"/>
              </w:rPr>
              <w:t xml:space="preserve">54.42 </w:t>
            </w:r>
          </w:p>
        </w:tc>
        <w:tc>
          <w:tcPr>
            <w:tcW w:w="856" w:type="dxa"/>
            <w:tcBorders>
              <w:top w:val="nil"/>
              <w:left w:val="nil"/>
              <w:bottom w:val="single" w:color="000000" w:sz="8" w:space="0"/>
              <w:right w:val="single" w:color="000000" w:sz="8" w:space="0"/>
            </w:tcBorders>
            <w:vAlign w:val="center"/>
          </w:tcPr>
          <w:p w14:paraId="653F892D">
            <w:pPr>
              <w:widowControl/>
              <w:spacing w:line="240" w:lineRule="auto"/>
              <w:ind w:firstLine="0" w:firstLineChars="0"/>
              <w:jc w:val="center"/>
              <w:rPr>
                <w:color w:val="000000"/>
                <w:sz w:val="18"/>
                <w:szCs w:val="18"/>
              </w:rPr>
            </w:pPr>
            <w:r>
              <w:rPr>
                <w:color w:val="000000"/>
                <w:sz w:val="18"/>
                <w:szCs w:val="18"/>
              </w:rPr>
              <w:t xml:space="preserve">115.42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17E6FFE">
            <w:pPr>
              <w:widowControl/>
              <w:spacing w:line="240" w:lineRule="auto"/>
              <w:ind w:firstLine="0" w:firstLineChars="0"/>
              <w:jc w:val="left"/>
              <w:rPr>
                <w:color w:val="000000"/>
                <w:sz w:val="18"/>
                <w:szCs w:val="18"/>
              </w:rPr>
            </w:pPr>
          </w:p>
        </w:tc>
      </w:tr>
      <w:tr w14:paraId="309FB61A">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32B1FA1E">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70D5306E">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DAFDC81">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1EAB141C">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42F4872">
            <w:pPr>
              <w:widowControl/>
              <w:spacing w:line="240" w:lineRule="auto"/>
              <w:ind w:firstLine="0" w:firstLineChars="0"/>
              <w:jc w:val="center"/>
              <w:rPr>
                <w:color w:val="000000"/>
                <w:sz w:val="18"/>
                <w:szCs w:val="18"/>
              </w:rPr>
            </w:pPr>
            <w:r>
              <w:rPr>
                <w:color w:val="000000"/>
                <w:sz w:val="18"/>
                <w:szCs w:val="18"/>
              </w:rPr>
              <w:t>1091000</w:t>
            </w:r>
          </w:p>
        </w:tc>
        <w:tc>
          <w:tcPr>
            <w:tcW w:w="1098" w:type="dxa"/>
            <w:tcBorders>
              <w:top w:val="nil"/>
              <w:left w:val="nil"/>
              <w:bottom w:val="single" w:color="000000" w:sz="8" w:space="0"/>
              <w:right w:val="single" w:color="000000" w:sz="8" w:space="0"/>
            </w:tcBorders>
            <w:vAlign w:val="center"/>
          </w:tcPr>
          <w:p w14:paraId="44FB01D3">
            <w:pPr>
              <w:widowControl/>
              <w:spacing w:line="240" w:lineRule="auto"/>
              <w:ind w:firstLine="0" w:firstLineChars="0"/>
              <w:jc w:val="center"/>
              <w:rPr>
                <w:color w:val="000000"/>
                <w:sz w:val="18"/>
                <w:szCs w:val="18"/>
              </w:rPr>
            </w:pPr>
            <w:r>
              <w:rPr>
                <w:color w:val="000000"/>
                <w:sz w:val="18"/>
                <w:szCs w:val="18"/>
              </w:rPr>
              <w:t>61</w:t>
            </w:r>
          </w:p>
        </w:tc>
        <w:tc>
          <w:tcPr>
            <w:tcW w:w="856" w:type="dxa"/>
            <w:tcBorders>
              <w:top w:val="nil"/>
              <w:left w:val="nil"/>
              <w:bottom w:val="single" w:color="000000" w:sz="8" w:space="0"/>
              <w:right w:val="single" w:color="000000" w:sz="8" w:space="0"/>
            </w:tcBorders>
            <w:vAlign w:val="center"/>
          </w:tcPr>
          <w:p w14:paraId="6C81CF45">
            <w:pPr>
              <w:widowControl/>
              <w:spacing w:line="240" w:lineRule="auto"/>
              <w:ind w:firstLine="0" w:firstLineChars="0"/>
              <w:jc w:val="center"/>
              <w:rPr>
                <w:color w:val="000000"/>
                <w:sz w:val="18"/>
                <w:szCs w:val="18"/>
              </w:rPr>
            </w:pPr>
            <w:r>
              <w:rPr>
                <w:color w:val="000000"/>
                <w:sz w:val="18"/>
                <w:szCs w:val="18"/>
              </w:rPr>
              <w:t xml:space="preserve">27.21 </w:t>
            </w:r>
          </w:p>
        </w:tc>
        <w:tc>
          <w:tcPr>
            <w:tcW w:w="856" w:type="dxa"/>
            <w:tcBorders>
              <w:top w:val="nil"/>
              <w:left w:val="nil"/>
              <w:bottom w:val="single" w:color="000000" w:sz="8" w:space="0"/>
              <w:right w:val="single" w:color="000000" w:sz="8" w:space="0"/>
            </w:tcBorders>
            <w:vAlign w:val="center"/>
          </w:tcPr>
          <w:p w14:paraId="4AF97F2E">
            <w:pPr>
              <w:widowControl/>
              <w:spacing w:line="240" w:lineRule="auto"/>
              <w:ind w:firstLine="0" w:firstLineChars="0"/>
              <w:jc w:val="center"/>
              <w:rPr>
                <w:color w:val="000000"/>
                <w:sz w:val="18"/>
                <w:szCs w:val="18"/>
              </w:rPr>
            </w:pPr>
            <w:r>
              <w:rPr>
                <w:color w:val="000000"/>
                <w:sz w:val="18"/>
                <w:szCs w:val="18"/>
              </w:rPr>
              <w:t xml:space="preserve">88.21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6090DDF4">
            <w:pPr>
              <w:widowControl/>
              <w:spacing w:line="240" w:lineRule="auto"/>
              <w:ind w:firstLine="0" w:firstLineChars="0"/>
              <w:jc w:val="left"/>
              <w:rPr>
                <w:color w:val="000000"/>
                <w:sz w:val="18"/>
                <w:szCs w:val="18"/>
              </w:rPr>
            </w:pPr>
          </w:p>
        </w:tc>
      </w:tr>
    </w:tbl>
    <w:p w14:paraId="7A19E2D3">
      <w:pPr>
        <w:pStyle w:val="118"/>
      </w:pPr>
      <w:r>
        <w:rPr>
          <w:rFonts w:hint="eastAsia"/>
        </w:rPr>
        <w:t>表</w:t>
      </w:r>
      <w:r>
        <w:t>5.8</w:t>
      </w:r>
      <w:r>
        <w:rPr>
          <w:rFonts w:hint="eastAsia"/>
        </w:rPr>
        <w:t>-5</w:t>
      </w:r>
      <w:r>
        <w:t xml:space="preserve">    </w:t>
      </w:r>
      <w:r>
        <w:rPr>
          <w:rFonts w:hint="eastAsia"/>
        </w:rPr>
        <w:t>苯并[a]芘大气沉降预测结果</w:t>
      </w:r>
    </w:p>
    <w:tbl>
      <w:tblPr>
        <w:tblStyle w:val="67"/>
        <w:tblW w:w="5000" w:type="pct"/>
        <w:jc w:val="center"/>
        <w:tblLayout w:type="autofit"/>
        <w:tblCellMar>
          <w:top w:w="0" w:type="dxa"/>
          <w:left w:w="108" w:type="dxa"/>
          <w:bottom w:w="0" w:type="dxa"/>
          <w:right w:w="108" w:type="dxa"/>
        </w:tblCellMar>
      </w:tblPr>
      <w:tblGrid>
        <w:gridCol w:w="865"/>
        <w:gridCol w:w="1055"/>
        <w:gridCol w:w="1120"/>
        <w:gridCol w:w="741"/>
        <w:gridCol w:w="1020"/>
        <w:gridCol w:w="1129"/>
        <w:gridCol w:w="880"/>
        <w:gridCol w:w="880"/>
        <w:gridCol w:w="832"/>
      </w:tblGrid>
      <w:tr w14:paraId="39F92E78">
        <w:tblPrEx>
          <w:tblCellMar>
            <w:top w:w="0" w:type="dxa"/>
            <w:left w:w="108" w:type="dxa"/>
            <w:bottom w:w="0" w:type="dxa"/>
            <w:right w:w="108" w:type="dxa"/>
          </w:tblCellMar>
        </w:tblPrEx>
        <w:trPr>
          <w:trHeight w:val="397" w:hRule="atLeast"/>
          <w:tblHeader/>
          <w:jc w:val="center"/>
        </w:trPr>
        <w:tc>
          <w:tcPr>
            <w:tcW w:w="841" w:type="dxa"/>
            <w:tcBorders>
              <w:top w:val="single" w:color="000000" w:sz="8" w:space="0"/>
              <w:left w:val="single" w:color="000000" w:sz="8" w:space="0"/>
              <w:bottom w:val="single" w:color="000000" w:sz="8" w:space="0"/>
              <w:right w:val="single" w:color="000000" w:sz="8" w:space="0"/>
            </w:tcBorders>
            <w:vAlign w:val="center"/>
          </w:tcPr>
          <w:p w14:paraId="4E1FC19F">
            <w:pPr>
              <w:widowControl/>
              <w:spacing w:line="240" w:lineRule="auto"/>
              <w:ind w:firstLine="0" w:firstLineChars="0"/>
              <w:jc w:val="center"/>
              <w:rPr>
                <w:b/>
                <w:bCs/>
                <w:color w:val="000000"/>
                <w:sz w:val="18"/>
                <w:szCs w:val="18"/>
              </w:rPr>
            </w:pPr>
            <w:r>
              <w:rPr>
                <w:b/>
                <w:bCs/>
                <w:color w:val="000000"/>
                <w:sz w:val="18"/>
                <w:szCs w:val="18"/>
              </w:rPr>
              <w:t>n</w:t>
            </w:r>
            <w:r>
              <w:rPr>
                <w:rFonts w:ascii="宋体" w:hAnsi="宋体"/>
                <w:b/>
                <w:bCs/>
                <w:color w:val="000000"/>
                <w:sz w:val="18"/>
                <w:szCs w:val="18"/>
              </w:rPr>
              <w:t>年</w:t>
            </w:r>
          </w:p>
        </w:tc>
        <w:tc>
          <w:tcPr>
            <w:tcW w:w="1026" w:type="dxa"/>
            <w:tcBorders>
              <w:top w:val="single" w:color="000000" w:sz="8" w:space="0"/>
              <w:left w:val="nil"/>
              <w:bottom w:val="single" w:color="000000" w:sz="8" w:space="0"/>
              <w:right w:val="single" w:color="000000" w:sz="8" w:space="0"/>
            </w:tcBorders>
            <w:vAlign w:val="center"/>
          </w:tcPr>
          <w:p w14:paraId="3353CC1A">
            <w:pPr>
              <w:widowControl/>
              <w:spacing w:line="240" w:lineRule="auto"/>
              <w:ind w:firstLine="0" w:firstLineChars="0"/>
              <w:jc w:val="center"/>
              <w:rPr>
                <w:b/>
                <w:bCs/>
                <w:color w:val="000000"/>
                <w:sz w:val="18"/>
                <w:szCs w:val="18"/>
              </w:rPr>
            </w:pPr>
            <w:r>
              <w:rPr>
                <w:b/>
                <w:bCs/>
                <w:color w:val="000000"/>
                <w:sz w:val="18"/>
                <w:szCs w:val="18"/>
              </w:rPr>
              <w:t>ρb</w:t>
            </w:r>
          </w:p>
          <w:p w14:paraId="30C9C508">
            <w:pPr>
              <w:widowControl/>
              <w:spacing w:line="240" w:lineRule="auto"/>
              <w:ind w:firstLine="0" w:firstLineChars="0"/>
              <w:jc w:val="center"/>
              <w:rPr>
                <w:b/>
                <w:bCs/>
                <w:color w:val="000000"/>
                <w:sz w:val="18"/>
                <w:szCs w:val="18"/>
              </w:rPr>
            </w:pPr>
            <w:r>
              <w:rPr>
                <w:b/>
                <w:bCs/>
                <w:color w:val="000000"/>
                <w:sz w:val="18"/>
                <w:szCs w:val="18"/>
              </w:rPr>
              <w:t>kg/m</w:t>
            </w:r>
            <w:r>
              <w:rPr>
                <w:b/>
                <w:bCs/>
                <w:color w:val="000000"/>
                <w:sz w:val="18"/>
                <w:szCs w:val="18"/>
                <w:vertAlign w:val="superscript"/>
              </w:rPr>
              <w:t>3</w:t>
            </w:r>
          </w:p>
        </w:tc>
        <w:tc>
          <w:tcPr>
            <w:tcW w:w="1089" w:type="dxa"/>
            <w:tcBorders>
              <w:top w:val="single" w:color="000000" w:sz="8" w:space="0"/>
              <w:left w:val="nil"/>
              <w:bottom w:val="single" w:color="000000" w:sz="8" w:space="0"/>
              <w:right w:val="single" w:color="000000" w:sz="8" w:space="0"/>
            </w:tcBorders>
            <w:vAlign w:val="center"/>
          </w:tcPr>
          <w:p w14:paraId="4798979A">
            <w:pPr>
              <w:widowControl/>
              <w:spacing w:line="240" w:lineRule="auto"/>
              <w:ind w:firstLine="0" w:firstLineChars="0"/>
              <w:jc w:val="center"/>
              <w:rPr>
                <w:b/>
                <w:bCs/>
                <w:color w:val="000000"/>
                <w:sz w:val="18"/>
                <w:szCs w:val="18"/>
              </w:rPr>
            </w:pPr>
            <w:r>
              <w:rPr>
                <w:b/>
                <w:bCs/>
                <w:color w:val="000000"/>
                <w:sz w:val="18"/>
                <w:szCs w:val="18"/>
              </w:rPr>
              <w:t>A</w:t>
            </w:r>
          </w:p>
          <w:p w14:paraId="43FCC4AA">
            <w:pPr>
              <w:widowControl/>
              <w:spacing w:line="240" w:lineRule="auto"/>
              <w:ind w:firstLine="0" w:firstLineChars="0"/>
              <w:jc w:val="center"/>
              <w:rPr>
                <w:b/>
                <w:bCs/>
                <w:color w:val="000000"/>
                <w:sz w:val="18"/>
                <w:szCs w:val="18"/>
              </w:rPr>
            </w:pPr>
            <w:r>
              <w:rPr>
                <w:b/>
                <w:bCs/>
                <w:color w:val="000000"/>
                <w:sz w:val="18"/>
                <w:szCs w:val="18"/>
              </w:rPr>
              <w:t xml:space="preserve"> m</w:t>
            </w:r>
            <w:r>
              <w:rPr>
                <w:b/>
                <w:bCs/>
                <w:color w:val="000000"/>
                <w:sz w:val="18"/>
                <w:szCs w:val="18"/>
                <w:vertAlign w:val="superscript"/>
              </w:rPr>
              <w:t>2</w:t>
            </w:r>
          </w:p>
        </w:tc>
        <w:tc>
          <w:tcPr>
            <w:tcW w:w="720" w:type="dxa"/>
            <w:tcBorders>
              <w:top w:val="single" w:color="000000" w:sz="8" w:space="0"/>
              <w:left w:val="nil"/>
              <w:bottom w:val="single" w:color="000000" w:sz="8" w:space="0"/>
              <w:right w:val="single" w:color="000000" w:sz="8" w:space="0"/>
            </w:tcBorders>
            <w:vAlign w:val="center"/>
          </w:tcPr>
          <w:p w14:paraId="53117FCE">
            <w:pPr>
              <w:widowControl/>
              <w:spacing w:line="240" w:lineRule="auto"/>
              <w:ind w:firstLine="0" w:firstLineChars="0"/>
              <w:jc w:val="center"/>
              <w:rPr>
                <w:b/>
                <w:bCs/>
                <w:color w:val="000000"/>
                <w:sz w:val="18"/>
                <w:szCs w:val="18"/>
              </w:rPr>
            </w:pPr>
            <w:r>
              <w:rPr>
                <w:b/>
                <w:bCs/>
                <w:color w:val="000000"/>
                <w:sz w:val="18"/>
                <w:szCs w:val="18"/>
              </w:rPr>
              <w:t>D</w:t>
            </w:r>
          </w:p>
          <w:p w14:paraId="6160D7B4">
            <w:pPr>
              <w:widowControl/>
              <w:spacing w:line="240" w:lineRule="auto"/>
              <w:ind w:firstLine="0" w:firstLineChars="0"/>
              <w:jc w:val="center"/>
              <w:rPr>
                <w:b/>
                <w:bCs/>
                <w:color w:val="000000"/>
                <w:sz w:val="18"/>
                <w:szCs w:val="18"/>
              </w:rPr>
            </w:pPr>
            <w:r>
              <w:rPr>
                <w:b/>
                <w:bCs/>
                <w:color w:val="000000"/>
                <w:sz w:val="18"/>
                <w:szCs w:val="18"/>
              </w:rPr>
              <w:t>m</w:t>
            </w:r>
          </w:p>
        </w:tc>
        <w:tc>
          <w:tcPr>
            <w:tcW w:w="992" w:type="dxa"/>
            <w:tcBorders>
              <w:top w:val="single" w:color="000000" w:sz="8" w:space="0"/>
              <w:left w:val="nil"/>
              <w:bottom w:val="single" w:color="000000" w:sz="8" w:space="0"/>
              <w:right w:val="single" w:color="000000" w:sz="8" w:space="0"/>
            </w:tcBorders>
            <w:vAlign w:val="center"/>
          </w:tcPr>
          <w:p w14:paraId="5B3FF45F">
            <w:pPr>
              <w:widowControl/>
              <w:spacing w:line="240" w:lineRule="auto"/>
              <w:ind w:firstLine="0" w:firstLineChars="0"/>
              <w:jc w:val="center"/>
              <w:rPr>
                <w:b/>
                <w:bCs/>
                <w:color w:val="000000"/>
                <w:sz w:val="18"/>
                <w:szCs w:val="18"/>
                <w:vertAlign w:val="subscript"/>
              </w:rPr>
            </w:pPr>
            <w:r>
              <w:rPr>
                <w:b/>
                <w:bCs/>
                <w:color w:val="000000"/>
                <w:sz w:val="18"/>
                <w:szCs w:val="18"/>
              </w:rPr>
              <w:t>I</w:t>
            </w:r>
            <w:r>
              <w:rPr>
                <w:b/>
                <w:bCs/>
                <w:color w:val="000000"/>
                <w:sz w:val="18"/>
                <w:szCs w:val="18"/>
                <w:vertAlign w:val="subscript"/>
              </w:rPr>
              <w:t>S</w:t>
            </w:r>
          </w:p>
          <w:p w14:paraId="3F8ED480">
            <w:pPr>
              <w:widowControl/>
              <w:spacing w:line="240" w:lineRule="auto"/>
              <w:ind w:firstLine="0" w:firstLineChars="0"/>
              <w:jc w:val="center"/>
              <w:rPr>
                <w:b/>
                <w:bCs/>
                <w:color w:val="000000"/>
                <w:sz w:val="18"/>
                <w:szCs w:val="18"/>
              </w:rPr>
            </w:pPr>
            <w:r>
              <w:rPr>
                <w:rFonts w:hint="eastAsia"/>
                <w:b/>
                <w:bCs/>
                <w:color w:val="000000"/>
                <w:sz w:val="18"/>
                <w:szCs w:val="18"/>
                <w:vertAlign w:val="subscript"/>
              </w:rPr>
              <w:t>g</w:t>
            </w:r>
          </w:p>
        </w:tc>
        <w:tc>
          <w:tcPr>
            <w:tcW w:w="1098" w:type="dxa"/>
            <w:tcBorders>
              <w:top w:val="single" w:color="000000" w:sz="8" w:space="0"/>
              <w:left w:val="single" w:color="000000" w:sz="8" w:space="0"/>
              <w:bottom w:val="single" w:color="000000" w:sz="8" w:space="0"/>
              <w:right w:val="single" w:color="000000" w:sz="8" w:space="0"/>
            </w:tcBorders>
            <w:vAlign w:val="center"/>
          </w:tcPr>
          <w:p w14:paraId="657B133B">
            <w:pPr>
              <w:widowControl/>
              <w:spacing w:line="240" w:lineRule="auto"/>
              <w:ind w:firstLine="0" w:firstLineChars="0"/>
              <w:jc w:val="center"/>
              <w:rPr>
                <w:rFonts w:hint="eastAsia" w:ascii="宋体" w:hAnsi="宋体" w:cs="宋体"/>
                <w:b/>
                <w:bCs/>
                <w:color w:val="000000"/>
                <w:sz w:val="18"/>
                <w:szCs w:val="18"/>
              </w:rPr>
            </w:pPr>
            <w:r>
              <w:rPr>
                <w:rFonts w:ascii="宋体" w:hAnsi="宋体" w:cs="宋体"/>
                <w:b/>
                <w:bCs/>
                <w:color w:val="000000"/>
                <w:sz w:val="18"/>
                <w:szCs w:val="18"/>
              </w:rPr>
              <w:t>背景最大值</w:t>
            </w:r>
            <w:r>
              <w:rPr>
                <w:b/>
                <w:bCs/>
                <w:color w:val="000000"/>
                <w:sz w:val="18"/>
                <w:szCs w:val="18"/>
              </w:rPr>
              <w:t>mg/kg</w:t>
            </w:r>
          </w:p>
        </w:tc>
        <w:tc>
          <w:tcPr>
            <w:tcW w:w="856" w:type="dxa"/>
            <w:tcBorders>
              <w:top w:val="single" w:color="000000" w:sz="8" w:space="0"/>
              <w:left w:val="nil"/>
              <w:bottom w:val="single" w:color="000000" w:sz="8" w:space="0"/>
              <w:right w:val="single" w:color="000000" w:sz="8" w:space="0"/>
            </w:tcBorders>
            <w:vAlign w:val="center"/>
          </w:tcPr>
          <w:p w14:paraId="3D9DAB61">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增量</w:t>
            </w:r>
          </w:p>
          <w:p w14:paraId="64C4861F">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c>
          <w:tcPr>
            <w:tcW w:w="856" w:type="dxa"/>
            <w:tcBorders>
              <w:top w:val="single" w:color="000000" w:sz="8" w:space="0"/>
              <w:left w:val="nil"/>
              <w:bottom w:val="single" w:color="000000" w:sz="8" w:space="0"/>
              <w:right w:val="single" w:color="000000" w:sz="8" w:space="0"/>
            </w:tcBorders>
            <w:vAlign w:val="center"/>
          </w:tcPr>
          <w:p w14:paraId="625A43F4">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预测值</w:t>
            </w:r>
          </w:p>
          <w:p w14:paraId="3BEDC8AC">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c>
          <w:tcPr>
            <w:tcW w:w="808" w:type="dxa"/>
            <w:tcBorders>
              <w:top w:val="single" w:color="000000" w:sz="8" w:space="0"/>
              <w:left w:val="nil"/>
              <w:bottom w:val="single" w:color="000000" w:sz="8" w:space="0"/>
              <w:right w:val="single" w:color="000000" w:sz="8" w:space="0"/>
            </w:tcBorders>
            <w:vAlign w:val="center"/>
          </w:tcPr>
          <w:p w14:paraId="2C3850F1">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标准值</w:t>
            </w:r>
          </w:p>
          <w:p w14:paraId="0785FAF5">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r>
      <w:tr w14:paraId="6BCBD623">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778848B">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55817EE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3EDEC15">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3986DA1D">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56A6760">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5E0C835F">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118C7E1">
            <w:pPr>
              <w:widowControl/>
              <w:spacing w:line="240" w:lineRule="auto"/>
              <w:ind w:firstLine="0" w:firstLineChars="0"/>
              <w:jc w:val="center"/>
              <w:rPr>
                <w:color w:val="000000"/>
                <w:sz w:val="18"/>
                <w:szCs w:val="18"/>
              </w:rPr>
            </w:pPr>
            <w:r>
              <w:rPr>
                <w:color w:val="000000"/>
                <w:sz w:val="18"/>
                <w:szCs w:val="18"/>
              </w:rPr>
              <w:t xml:space="preserve">0.006 </w:t>
            </w:r>
          </w:p>
        </w:tc>
        <w:tc>
          <w:tcPr>
            <w:tcW w:w="856" w:type="dxa"/>
            <w:tcBorders>
              <w:top w:val="nil"/>
              <w:left w:val="nil"/>
              <w:bottom w:val="single" w:color="000000" w:sz="8" w:space="0"/>
              <w:right w:val="single" w:color="000000" w:sz="8" w:space="0"/>
            </w:tcBorders>
            <w:vAlign w:val="center"/>
          </w:tcPr>
          <w:p w14:paraId="4EB8B996">
            <w:pPr>
              <w:widowControl/>
              <w:spacing w:line="240" w:lineRule="auto"/>
              <w:ind w:firstLine="0" w:firstLineChars="0"/>
              <w:jc w:val="center"/>
              <w:rPr>
                <w:color w:val="000000"/>
                <w:sz w:val="18"/>
                <w:szCs w:val="18"/>
              </w:rPr>
            </w:pPr>
            <w:r>
              <w:rPr>
                <w:color w:val="000000"/>
                <w:sz w:val="18"/>
                <w:szCs w:val="18"/>
              </w:rPr>
              <w:t xml:space="preserve">0.056 </w:t>
            </w:r>
          </w:p>
        </w:tc>
        <w:tc>
          <w:tcPr>
            <w:tcW w:w="808" w:type="dxa"/>
            <w:vMerge w:val="restart"/>
            <w:tcBorders>
              <w:top w:val="single" w:color="000000" w:sz="8" w:space="0"/>
              <w:left w:val="single" w:color="000000" w:sz="8" w:space="0"/>
              <w:bottom w:val="single" w:color="000000" w:sz="8" w:space="0"/>
              <w:right w:val="single" w:color="000000" w:sz="8" w:space="0"/>
            </w:tcBorders>
            <w:vAlign w:val="center"/>
          </w:tcPr>
          <w:p w14:paraId="1FB487D6">
            <w:pPr>
              <w:widowControl/>
              <w:spacing w:line="240" w:lineRule="auto"/>
              <w:ind w:firstLine="0" w:firstLineChars="0"/>
              <w:jc w:val="center"/>
              <w:rPr>
                <w:color w:val="000000"/>
                <w:sz w:val="18"/>
                <w:szCs w:val="18"/>
              </w:rPr>
            </w:pPr>
            <w:r>
              <w:rPr>
                <w:rFonts w:hint="eastAsia"/>
                <w:color w:val="000000"/>
                <w:sz w:val="18"/>
                <w:szCs w:val="18"/>
              </w:rPr>
              <w:t>1.5</w:t>
            </w:r>
          </w:p>
        </w:tc>
      </w:tr>
      <w:tr w14:paraId="36A9A191">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05E2DBCD">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6B170E47">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E8BAC95">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7F68B474">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EDFCEBB">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1B0AE13C">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0B6F73AC">
            <w:pPr>
              <w:widowControl/>
              <w:spacing w:line="240" w:lineRule="auto"/>
              <w:ind w:firstLine="0" w:firstLineChars="0"/>
              <w:jc w:val="center"/>
              <w:rPr>
                <w:color w:val="000000"/>
                <w:sz w:val="18"/>
                <w:szCs w:val="18"/>
              </w:rPr>
            </w:pPr>
            <w:r>
              <w:rPr>
                <w:color w:val="000000"/>
                <w:sz w:val="18"/>
                <w:szCs w:val="18"/>
              </w:rPr>
              <w:t xml:space="preserve">0.003 </w:t>
            </w:r>
          </w:p>
        </w:tc>
        <w:tc>
          <w:tcPr>
            <w:tcW w:w="856" w:type="dxa"/>
            <w:tcBorders>
              <w:top w:val="nil"/>
              <w:left w:val="nil"/>
              <w:bottom w:val="single" w:color="000000" w:sz="8" w:space="0"/>
              <w:right w:val="single" w:color="000000" w:sz="8" w:space="0"/>
            </w:tcBorders>
            <w:vAlign w:val="center"/>
          </w:tcPr>
          <w:p w14:paraId="4DB53BCA">
            <w:pPr>
              <w:widowControl/>
              <w:spacing w:line="240" w:lineRule="auto"/>
              <w:ind w:firstLine="0" w:firstLineChars="0"/>
              <w:jc w:val="center"/>
              <w:rPr>
                <w:color w:val="000000"/>
                <w:sz w:val="18"/>
                <w:szCs w:val="18"/>
              </w:rPr>
            </w:pPr>
            <w:r>
              <w:rPr>
                <w:color w:val="000000"/>
                <w:sz w:val="18"/>
                <w:szCs w:val="18"/>
              </w:rPr>
              <w:t xml:space="preserve">0.053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3CC397F7">
            <w:pPr>
              <w:widowControl/>
              <w:spacing w:line="240" w:lineRule="auto"/>
              <w:ind w:firstLine="0" w:firstLineChars="0"/>
              <w:jc w:val="left"/>
              <w:rPr>
                <w:color w:val="000000"/>
                <w:sz w:val="18"/>
                <w:szCs w:val="18"/>
              </w:rPr>
            </w:pPr>
          </w:p>
        </w:tc>
      </w:tr>
      <w:tr w14:paraId="548ED7D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4A8126A">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5ED74512">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381B835">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2284759D">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EA0CFE4">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0A543F17">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5D04FFFD">
            <w:pPr>
              <w:widowControl/>
              <w:spacing w:line="240" w:lineRule="auto"/>
              <w:ind w:firstLine="0" w:firstLineChars="0"/>
              <w:jc w:val="center"/>
              <w:rPr>
                <w:color w:val="000000"/>
                <w:sz w:val="18"/>
                <w:szCs w:val="18"/>
              </w:rPr>
            </w:pPr>
            <w:r>
              <w:rPr>
                <w:color w:val="000000"/>
                <w:sz w:val="18"/>
                <w:szCs w:val="18"/>
              </w:rPr>
              <w:t xml:space="preserve">0.002 </w:t>
            </w:r>
          </w:p>
        </w:tc>
        <w:tc>
          <w:tcPr>
            <w:tcW w:w="856" w:type="dxa"/>
            <w:tcBorders>
              <w:top w:val="nil"/>
              <w:left w:val="nil"/>
              <w:bottom w:val="single" w:color="000000" w:sz="8" w:space="0"/>
              <w:right w:val="single" w:color="000000" w:sz="8" w:space="0"/>
            </w:tcBorders>
            <w:vAlign w:val="center"/>
          </w:tcPr>
          <w:p w14:paraId="23DD7450">
            <w:pPr>
              <w:widowControl/>
              <w:spacing w:line="240" w:lineRule="auto"/>
              <w:ind w:firstLine="0" w:firstLineChars="0"/>
              <w:jc w:val="center"/>
              <w:rPr>
                <w:color w:val="000000"/>
                <w:sz w:val="18"/>
                <w:szCs w:val="18"/>
              </w:rPr>
            </w:pPr>
            <w:r>
              <w:rPr>
                <w:color w:val="000000"/>
                <w:sz w:val="18"/>
                <w:szCs w:val="18"/>
              </w:rPr>
              <w:t xml:space="preserve">0.052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1C3EE05">
            <w:pPr>
              <w:widowControl/>
              <w:spacing w:line="240" w:lineRule="auto"/>
              <w:ind w:firstLine="0" w:firstLineChars="0"/>
              <w:jc w:val="left"/>
              <w:rPr>
                <w:color w:val="000000"/>
                <w:sz w:val="18"/>
                <w:szCs w:val="18"/>
              </w:rPr>
            </w:pPr>
          </w:p>
        </w:tc>
      </w:tr>
      <w:tr w14:paraId="149649C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06FAF20F">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6424CE3D">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7308DB1D">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35CAE963">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4684C90">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704E02BB">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7BCBB8A4">
            <w:pPr>
              <w:widowControl/>
              <w:spacing w:line="240" w:lineRule="auto"/>
              <w:ind w:firstLine="0" w:firstLineChars="0"/>
              <w:jc w:val="center"/>
              <w:rPr>
                <w:color w:val="000000"/>
                <w:sz w:val="18"/>
                <w:szCs w:val="18"/>
              </w:rPr>
            </w:pPr>
            <w:r>
              <w:rPr>
                <w:color w:val="000000"/>
                <w:sz w:val="18"/>
                <w:szCs w:val="18"/>
              </w:rPr>
              <w:t xml:space="preserve">0.001 </w:t>
            </w:r>
          </w:p>
        </w:tc>
        <w:tc>
          <w:tcPr>
            <w:tcW w:w="856" w:type="dxa"/>
            <w:tcBorders>
              <w:top w:val="nil"/>
              <w:left w:val="nil"/>
              <w:bottom w:val="single" w:color="000000" w:sz="8" w:space="0"/>
              <w:right w:val="single" w:color="000000" w:sz="8" w:space="0"/>
            </w:tcBorders>
            <w:vAlign w:val="center"/>
          </w:tcPr>
          <w:p w14:paraId="51775D65">
            <w:pPr>
              <w:widowControl/>
              <w:spacing w:line="240" w:lineRule="auto"/>
              <w:ind w:firstLine="0" w:firstLineChars="0"/>
              <w:jc w:val="center"/>
              <w:rPr>
                <w:color w:val="000000"/>
                <w:sz w:val="18"/>
                <w:szCs w:val="18"/>
              </w:rPr>
            </w:pPr>
            <w:r>
              <w:rPr>
                <w:color w:val="000000"/>
                <w:sz w:val="18"/>
                <w:szCs w:val="18"/>
              </w:rPr>
              <w:t xml:space="preserve">0.051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6B46C23B">
            <w:pPr>
              <w:widowControl/>
              <w:spacing w:line="240" w:lineRule="auto"/>
              <w:ind w:firstLine="0" w:firstLineChars="0"/>
              <w:jc w:val="left"/>
              <w:rPr>
                <w:color w:val="000000"/>
                <w:sz w:val="18"/>
                <w:szCs w:val="18"/>
              </w:rPr>
            </w:pPr>
          </w:p>
        </w:tc>
      </w:tr>
      <w:tr w14:paraId="2F389713">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6498D99D">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56E14E1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1C7D1A47">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0665D470">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B937A79">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33CE26C2">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06B1C02A">
            <w:pPr>
              <w:widowControl/>
              <w:spacing w:line="240" w:lineRule="auto"/>
              <w:ind w:firstLine="0" w:firstLineChars="0"/>
              <w:jc w:val="center"/>
              <w:rPr>
                <w:color w:val="000000"/>
                <w:sz w:val="18"/>
                <w:szCs w:val="18"/>
              </w:rPr>
            </w:pPr>
            <w:r>
              <w:rPr>
                <w:color w:val="000000"/>
                <w:sz w:val="18"/>
                <w:szCs w:val="18"/>
              </w:rPr>
              <w:t xml:space="preserve">0.001 </w:t>
            </w:r>
          </w:p>
        </w:tc>
        <w:tc>
          <w:tcPr>
            <w:tcW w:w="856" w:type="dxa"/>
            <w:tcBorders>
              <w:top w:val="nil"/>
              <w:left w:val="nil"/>
              <w:bottom w:val="single" w:color="000000" w:sz="8" w:space="0"/>
              <w:right w:val="single" w:color="000000" w:sz="8" w:space="0"/>
            </w:tcBorders>
            <w:vAlign w:val="center"/>
          </w:tcPr>
          <w:p w14:paraId="6C25BD02">
            <w:pPr>
              <w:widowControl/>
              <w:spacing w:line="240" w:lineRule="auto"/>
              <w:ind w:firstLine="0" w:firstLineChars="0"/>
              <w:jc w:val="center"/>
              <w:rPr>
                <w:color w:val="000000"/>
                <w:sz w:val="18"/>
                <w:szCs w:val="18"/>
              </w:rPr>
            </w:pPr>
            <w:r>
              <w:rPr>
                <w:color w:val="000000"/>
                <w:sz w:val="18"/>
                <w:szCs w:val="18"/>
              </w:rPr>
              <w:t xml:space="preserve">0.051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ED0E6F1">
            <w:pPr>
              <w:widowControl/>
              <w:spacing w:line="240" w:lineRule="auto"/>
              <w:ind w:firstLine="0" w:firstLineChars="0"/>
              <w:jc w:val="left"/>
              <w:rPr>
                <w:color w:val="000000"/>
                <w:sz w:val="18"/>
                <w:szCs w:val="18"/>
              </w:rPr>
            </w:pPr>
          </w:p>
        </w:tc>
      </w:tr>
      <w:tr w14:paraId="464830AB">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908808E">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46389A7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48A504D">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49374CA0">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98367DF">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7134B65E">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0E45249F">
            <w:pPr>
              <w:widowControl/>
              <w:spacing w:line="240" w:lineRule="auto"/>
              <w:ind w:firstLine="0" w:firstLineChars="0"/>
              <w:jc w:val="center"/>
              <w:rPr>
                <w:color w:val="000000"/>
                <w:sz w:val="18"/>
                <w:szCs w:val="18"/>
              </w:rPr>
            </w:pPr>
            <w:r>
              <w:rPr>
                <w:color w:val="000000"/>
                <w:sz w:val="18"/>
                <w:szCs w:val="18"/>
              </w:rPr>
              <w:t xml:space="preserve">0.000 </w:t>
            </w:r>
          </w:p>
        </w:tc>
        <w:tc>
          <w:tcPr>
            <w:tcW w:w="856" w:type="dxa"/>
            <w:tcBorders>
              <w:top w:val="nil"/>
              <w:left w:val="nil"/>
              <w:bottom w:val="single" w:color="000000" w:sz="8" w:space="0"/>
              <w:right w:val="single" w:color="000000" w:sz="8" w:space="0"/>
            </w:tcBorders>
            <w:vAlign w:val="center"/>
          </w:tcPr>
          <w:p w14:paraId="0D9A8D9B">
            <w:pPr>
              <w:widowControl/>
              <w:spacing w:line="240" w:lineRule="auto"/>
              <w:ind w:firstLine="0" w:firstLineChars="0"/>
              <w:jc w:val="center"/>
              <w:rPr>
                <w:color w:val="000000"/>
                <w:sz w:val="18"/>
                <w:szCs w:val="18"/>
              </w:rPr>
            </w:pPr>
            <w:r>
              <w:rPr>
                <w:color w:val="000000"/>
                <w:sz w:val="18"/>
                <w:szCs w:val="18"/>
              </w:rPr>
              <w:t xml:space="preserve">0.050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D371C5E">
            <w:pPr>
              <w:widowControl/>
              <w:spacing w:line="240" w:lineRule="auto"/>
              <w:ind w:firstLine="0" w:firstLineChars="0"/>
              <w:jc w:val="left"/>
              <w:rPr>
                <w:color w:val="000000"/>
                <w:sz w:val="18"/>
                <w:szCs w:val="18"/>
              </w:rPr>
            </w:pPr>
          </w:p>
        </w:tc>
      </w:tr>
      <w:tr w14:paraId="46B2B1EA">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5A7FE6F6">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77CC593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75875165">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634A755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3A8583B8">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2F1B0B40">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3B8B752F">
            <w:pPr>
              <w:widowControl/>
              <w:spacing w:line="240" w:lineRule="auto"/>
              <w:ind w:firstLine="0" w:firstLineChars="0"/>
              <w:jc w:val="center"/>
              <w:rPr>
                <w:color w:val="000000"/>
                <w:sz w:val="18"/>
                <w:szCs w:val="18"/>
              </w:rPr>
            </w:pPr>
            <w:r>
              <w:rPr>
                <w:color w:val="000000"/>
                <w:sz w:val="18"/>
                <w:szCs w:val="18"/>
              </w:rPr>
              <w:t xml:space="preserve">0.012 </w:t>
            </w:r>
          </w:p>
        </w:tc>
        <w:tc>
          <w:tcPr>
            <w:tcW w:w="856" w:type="dxa"/>
            <w:tcBorders>
              <w:top w:val="nil"/>
              <w:left w:val="nil"/>
              <w:bottom w:val="single" w:color="000000" w:sz="8" w:space="0"/>
              <w:right w:val="single" w:color="000000" w:sz="8" w:space="0"/>
            </w:tcBorders>
            <w:vAlign w:val="center"/>
          </w:tcPr>
          <w:p w14:paraId="701B6B3B">
            <w:pPr>
              <w:widowControl/>
              <w:spacing w:line="240" w:lineRule="auto"/>
              <w:ind w:firstLine="0" w:firstLineChars="0"/>
              <w:jc w:val="center"/>
              <w:rPr>
                <w:color w:val="000000"/>
                <w:sz w:val="18"/>
                <w:szCs w:val="18"/>
              </w:rPr>
            </w:pPr>
            <w:r>
              <w:rPr>
                <w:color w:val="000000"/>
                <w:sz w:val="18"/>
                <w:szCs w:val="18"/>
              </w:rPr>
              <w:t xml:space="preserve">0.062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66EDAA7F">
            <w:pPr>
              <w:widowControl/>
              <w:spacing w:line="240" w:lineRule="auto"/>
              <w:ind w:firstLine="0" w:firstLineChars="0"/>
              <w:jc w:val="left"/>
              <w:rPr>
                <w:color w:val="000000"/>
                <w:sz w:val="18"/>
                <w:szCs w:val="18"/>
              </w:rPr>
            </w:pPr>
          </w:p>
        </w:tc>
      </w:tr>
      <w:tr w14:paraId="7B4D8584">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50602770">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13D5CDD4">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C460533">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75423E6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961F80D">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0E75C864">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57956A9C">
            <w:pPr>
              <w:widowControl/>
              <w:spacing w:line="240" w:lineRule="auto"/>
              <w:ind w:firstLine="0" w:firstLineChars="0"/>
              <w:jc w:val="center"/>
              <w:rPr>
                <w:color w:val="000000"/>
                <w:sz w:val="18"/>
                <w:szCs w:val="18"/>
              </w:rPr>
            </w:pPr>
            <w:r>
              <w:rPr>
                <w:color w:val="000000"/>
                <w:sz w:val="18"/>
                <w:szCs w:val="18"/>
              </w:rPr>
              <w:t xml:space="preserve">0.006 </w:t>
            </w:r>
          </w:p>
        </w:tc>
        <w:tc>
          <w:tcPr>
            <w:tcW w:w="856" w:type="dxa"/>
            <w:tcBorders>
              <w:top w:val="nil"/>
              <w:left w:val="nil"/>
              <w:bottom w:val="single" w:color="000000" w:sz="8" w:space="0"/>
              <w:right w:val="single" w:color="000000" w:sz="8" w:space="0"/>
            </w:tcBorders>
            <w:vAlign w:val="center"/>
          </w:tcPr>
          <w:p w14:paraId="1A27CB0D">
            <w:pPr>
              <w:widowControl/>
              <w:spacing w:line="240" w:lineRule="auto"/>
              <w:ind w:firstLine="0" w:firstLineChars="0"/>
              <w:jc w:val="center"/>
              <w:rPr>
                <w:color w:val="000000"/>
                <w:sz w:val="18"/>
                <w:szCs w:val="18"/>
              </w:rPr>
            </w:pPr>
            <w:r>
              <w:rPr>
                <w:color w:val="000000"/>
                <w:sz w:val="18"/>
                <w:szCs w:val="18"/>
              </w:rPr>
              <w:t xml:space="preserve">0.056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3A5662D">
            <w:pPr>
              <w:widowControl/>
              <w:spacing w:line="240" w:lineRule="auto"/>
              <w:ind w:firstLine="0" w:firstLineChars="0"/>
              <w:jc w:val="left"/>
              <w:rPr>
                <w:color w:val="000000"/>
                <w:sz w:val="18"/>
                <w:szCs w:val="18"/>
              </w:rPr>
            </w:pPr>
          </w:p>
        </w:tc>
      </w:tr>
      <w:tr w14:paraId="0E051951">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6808097E">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1761206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42421E0">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793452C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758BCA3">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5249AE54">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FB1A2AE">
            <w:pPr>
              <w:widowControl/>
              <w:spacing w:line="240" w:lineRule="auto"/>
              <w:ind w:firstLine="0" w:firstLineChars="0"/>
              <w:jc w:val="center"/>
              <w:rPr>
                <w:color w:val="000000"/>
                <w:sz w:val="18"/>
                <w:szCs w:val="18"/>
              </w:rPr>
            </w:pPr>
            <w:r>
              <w:rPr>
                <w:color w:val="000000"/>
                <w:sz w:val="18"/>
                <w:szCs w:val="18"/>
              </w:rPr>
              <w:t xml:space="preserve">0.003 </w:t>
            </w:r>
          </w:p>
        </w:tc>
        <w:tc>
          <w:tcPr>
            <w:tcW w:w="856" w:type="dxa"/>
            <w:tcBorders>
              <w:top w:val="nil"/>
              <w:left w:val="nil"/>
              <w:bottom w:val="single" w:color="000000" w:sz="8" w:space="0"/>
              <w:right w:val="single" w:color="000000" w:sz="8" w:space="0"/>
            </w:tcBorders>
            <w:vAlign w:val="center"/>
          </w:tcPr>
          <w:p w14:paraId="0CBAE912">
            <w:pPr>
              <w:widowControl/>
              <w:spacing w:line="240" w:lineRule="auto"/>
              <w:ind w:firstLine="0" w:firstLineChars="0"/>
              <w:jc w:val="center"/>
              <w:rPr>
                <w:color w:val="000000"/>
                <w:sz w:val="18"/>
                <w:szCs w:val="18"/>
              </w:rPr>
            </w:pPr>
            <w:r>
              <w:rPr>
                <w:color w:val="000000"/>
                <w:sz w:val="18"/>
                <w:szCs w:val="18"/>
              </w:rPr>
              <w:t xml:space="preserve">0.053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98C14C1">
            <w:pPr>
              <w:widowControl/>
              <w:spacing w:line="240" w:lineRule="auto"/>
              <w:ind w:firstLine="0" w:firstLineChars="0"/>
              <w:jc w:val="left"/>
              <w:rPr>
                <w:color w:val="000000"/>
                <w:sz w:val="18"/>
                <w:szCs w:val="18"/>
              </w:rPr>
            </w:pPr>
          </w:p>
        </w:tc>
      </w:tr>
      <w:tr w14:paraId="25A9E818">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74A8ECCC">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0F914D0B">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4454715">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00C4D14A">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199DC380">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5461C125">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453B7DE6">
            <w:pPr>
              <w:widowControl/>
              <w:spacing w:line="240" w:lineRule="auto"/>
              <w:ind w:firstLine="0" w:firstLineChars="0"/>
              <w:jc w:val="center"/>
              <w:rPr>
                <w:color w:val="000000"/>
                <w:sz w:val="18"/>
                <w:szCs w:val="18"/>
              </w:rPr>
            </w:pPr>
            <w:r>
              <w:rPr>
                <w:color w:val="000000"/>
                <w:sz w:val="18"/>
                <w:szCs w:val="18"/>
              </w:rPr>
              <w:t xml:space="preserve">0.002 </w:t>
            </w:r>
          </w:p>
        </w:tc>
        <w:tc>
          <w:tcPr>
            <w:tcW w:w="856" w:type="dxa"/>
            <w:tcBorders>
              <w:top w:val="nil"/>
              <w:left w:val="nil"/>
              <w:bottom w:val="single" w:color="000000" w:sz="8" w:space="0"/>
              <w:right w:val="single" w:color="000000" w:sz="8" w:space="0"/>
            </w:tcBorders>
            <w:vAlign w:val="center"/>
          </w:tcPr>
          <w:p w14:paraId="1659AD6F">
            <w:pPr>
              <w:widowControl/>
              <w:spacing w:line="240" w:lineRule="auto"/>
              <w:ind w:firstLine="0" w:firstLineChars="0"/>
              <w:jc w:val="center"/>
              <w:rPr>
                <w:color w:val="000000"/>
                <w:sz w:val="18"/>
                <w:szCs w:val="18"/>
              </w:rPr>
            </w:pPr>
            <w:r>
              <w:rPr>
                <w:color w:val="000000"/>
                <w:sz w:val="18"/>
                <w:szCs w:val="18"/>
              </w:rPr>
              <w:t xml:space="preserve">0.052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95F3CBE">
            <w:pPr>
              <w:widowControl/>
              <w:spacing w:line="240" w:lineRule="auto"/>
              <w:ind w:firstLine="0" w:firstLineChars="0"/>
              <w:jc w:val="left"/>
              <w:rPr>
                <w:color w:val="000000"/>
                <w:sz w:val="18"/>
                <w:szCs w:val="18"/>
              </w:rPr>
            </w:pPr>
          </w:p>
        </w:tc>
      </w:tr>
      <w:tr w14:paraId="44E8CE9F">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02399480">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76029351">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BDA79B2">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677B8863">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92C3F4B">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0184E75B">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2AC4FFE">
            <w:pPr>
              <w:widowControl/>
              <w:spacing w:line="240" w:lineRule="auto"/>
              <w:ind w:firstLine="0" w:firstLineChars="0"/>
              <w:jc w:val="center"/>
              <w:rPr>
                <w:color w:val="000000"/>
                <w:sz w:val="18"/>
                <w:szCs w:val="18"/>
              </w:rPr>
            </w:pPr>
            <w:r>
              <w:rPr>
                <w:color w:val="000000"/>
                <w:sz w:val="18"/>
                <w:szCs w:val="18"/>
              </w:rPr>
              <w:t xml:space="preserve">0.001 </w:t>
            </w:r>
          </w:p>
        </w:tc>
        <w:tc>
          <w:tcPr>
            <w:tcW w:w="856" w:type="dxa"/>
            <w:tcBorders>
              <w:top w:val="nil"/>
              <w:left w:val="nil"/>
              <w:bottom w:val="single" w:color="000000" w:sz="8" w:space="0"/>
              <w:right w:val="single" w:color="000000" w:sz="8" w:space="0"/>
            </w:tcBorders>
            <w:vAlign w:val="center"/>
          </w:tcPr>
          <w:p w14:paraId="0785BD7D">
            <w:pPr>
              <w:widowControl/>
              <w:spacing w:line="240" w:lineRule="auto"/>
              <w:ind w:firstLine="0" w:firstLineChars="0"/>
              <w:jc w:val="center"/>
              <w:rPr>
                <w:color w:val="000000"/>
                <w:sz w:val="18"/>
                <w:szCs w:val="18"/>
              </w:rPr>
            </w:pPr>
            <w:r>
              <w:rPr>
                <w:color w:val="000000"/>
                <w:sz w:val="18"/>
                <w:szCs w:val="18"/>
              </w:rPr>
              <w:t xml:space="preserve">0.051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30C306CE">
            <w:pPr>
              <w:widowControl/>
              <w:spacing w:line="240" w:lineRule="auto"/>
              <w:ind w:firstLine="0" w:firstLineChars="0"/>
              <w:jc w:val="left"/>
              <w:rPr>
                <w:color w:val="000000"/>
                <w:sz w:val="18"/>
                <w:szCs w:val="18"/>
              </w:rPr>
            </w:pPr>
          </w:p>
        </w:tc>
      </w:tr>
      <w:tr w14:paraId="2F2D5009">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324B9609">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18C79CCE">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CD753E4">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2BBA2F7D">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0BCAA33">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00DA2D90">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4D12A848">
            <w:pPr>
              <w:widowControl/>
              <w:spacing w:line="240" w:lineRule="auto"/>
              <w:ind w:firstLine="0" w:firstLineChars="0"/>
              <w:jc w:val="center"/>
              <w:rPr>
                <w:color w:val="000000"/>
                <w:sz w:val="18"/>
                <w:szCs w:val="18"/>
              </w:rPr>
            </w:pPr>
            <w:r>
              <w:rPr>
                <w:color w:val="000000"/>
                <w:sz w:val="18"/>
                <w:szCs w:val="18"/>
              </w:rPr>
              <w:t xml:space="preserve">0.001 </w:t>
            </w:r>
          </w:p>
        </w:tc>
        <w:tc>
          <w:tcPr>
            <w:tcW w:w="856" w:type="dxa"/>
            <w:tcBorders>
              <w:top w:val="nil"/>
              <w:left w:val="nil"/>
              <w:bottom w:val="single" w:color="000000" w:sz="8" w:space="0"/>
              <w:right w:val="single" w:color="000000" w:sz="8" w:space="0"/>
            </w:tcBorders>
            <w:vAlign w:val="center"/>
          </w:tcPr>
          <w:p w14:paraId="5FCEAA1F">
            <w:pPr>
              <w:widowControl/>
              <w:spacing w:line="240" w:lineRule="auto"/>
              <w:ind w:firstLine="0" w:firstLineChars="0"/>
              <w:jc w:val="center"/>
              <w:rPr>
                <w:color w:val="000000"/>
                <w:sz w:val="18"/>
                <w:szCs w:val="18"/>
              </w:rPr>
            </w:pPr>
            <w:r>
              <w:rPr>
                <w:color w:val="000000"/>
                <w:sz w:val="18"/>
                <w:szCs w:val="18"/>
              </w:rPr>
              <w:t xml:space="preserve">0.051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16615602">
            <w:pPr>
              <w:widowControl/>
              <w:spacing w:line="240" w:lineRule="auto"/>
              <w:ind w:firstLine="0" w:firstLineChars="0"/>
              <w:jc w:val="left"/>
              <w:rPr>
                <w:color w:val="000000"/>
                <w:sz w:val="18"/>
                <w:szCs w:val="18"/>
              </w:rPr>
            </w:pPr>
          </w:p>
        </w:tc>
      </w:tr>
      <w:tr w14:paraId="7FEF564A">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786443C8">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398939AE">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076A2F3">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42561CD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C9D58C4">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3B63504A">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C0BEEBD">
            <w:pPr>
              <w:widowControl/>
              <w:spacing w:line="240" w:lineRule="auto"/>
              <w:ind w:firstLine="0" w:firstLineChars="0"/>
              <w:jc w:val="center"/>
              <w:rPr>
                <w:color w:val="000000"/>
                <w:sz w:val="18"/>
                <w:szCs w:val="18"/>
              </w:rPr>
            </w:pPr>
            <w:r>
              <w:rPr>
                <w:color w:val="000000"/>
                <w:sz w:val="18"/>
                <w:szCs w:val="18"/>
              </w:rPr>
              <w:t xml:space="preserve">0.024 </w:t>
            </w:r>
          </w:p>
        </w:tc>
        <w:tc>
          <w:tcPr>
            <w:tcW w:w="856" w:type="dxa"/>
            <w:tcBorders>
              <w:top w:val="nil"/>
              <w:left w:val="nil"/>
              <w:bottom w:val="single" w:color="000000" w:sz="8" w:space="0"/>
              <w:right w:val="single" w:color="000000" w:sz="8" w:space="0"/>
            </w:tcBorders>
            <w:vAlign w:val="center"/>
          </w:tcPr>
          <w:p w14:paraId="20D2A9EB">
            <w:pPr>
              <w:widowControl/>
              <w:spacing w:line="240" w:lineRule="auto"/>
              <w:ind w:firstLine="0" w:firstLineChars="0"/>
              <w:jc w:val="center"/>
              <w:rPr>
                <w:color w:val="000000"/>
                <w:sz w:val="18"/>
                <w:szCs w:val="18"/>
              </w:rPr>
            </w:pPr>
            <w:r>
              <w:rPr>
                <w:color w:val="000000"/>
                <w:sz w:val="18"/>
                <w:szCs w:val="18"/>
              </w:rPr>
              <w:t xml:space="preserve">0.074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4CCD6D85">
            <w:pPr>
              <w:widowControl/>
              <w:spacing w:line="240" w:lineRule="auto"/>
              <w:ind w:firstLine="0" w:firstLineChars="0"/>
              <w:jc w:val="left"/>
              <w:rPr>
                <w:color w:val="000000"/>
                <w:sz w:val="18"/>
                <w:szCs w:val="18"/>
              </w:rPr>
            </w:pPr>
          </w:p>
        </w:tc>
      </w:tr>
      <w:tr w14:paraId="0378DB0F">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1BCE3FF5">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5278633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F82D3D9">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090625B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BE2B1E1">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52CEE5FF">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65A38A2">
            <w:pPr>
              <w:widowControl/>
              <w:spacing w:line="240" w:lineRule="auto"/>
              <w:ind w:firstLine="0" w:firstLineChars="0"/>
              <w:jc w:val="center"/>
              <w:rPr>
                <w:color w:val="000000"/>
                <w:sz w:val="18"/>
                <w:szCs w:val="18"/>
              </w:rPr>
            </w:pPr>
            <w:r>
              <w:rPr>
                <w:color w:val="000000"/>
                <w:sz w:val="18"/>
                <w:szCs w:val="18"/>
              </w:rPr>
              <w:t xml:space="preserve">0.012 </w:t>
            </w:r>
          </w:p>
        </w:tc>
        <w:tc>
          <w:tcPr>
            <w:tcW w:w="856" w:type="dxa"/>
            <w:tcBorders>
              <w:top w:val="nil"/>
              <w:left w:val="nil"/>
              <w:bottom w:val="single" w:color="000000" w:sz="8" w:space="0"/>
              <w:right w:val="single" w:color="000000" w:sz="8" w:space="0"/>
            </w:tcBorders>
            <w:vAlign w:val="center"/>
          </w:tcPr>
          <w:p w14:paraId="2E3B8641">
            <w:pPr>
              <w:widowControl/>
              <w:spacing w:line="240" w:lineRule="auto"/>
              <w:ind w:firstLine="0" w:firstLineChars="0"/>
              <w:jc w:val="center"/>
              <w:rPr>
                <w:color w:val="000000"/>
                <w:sz w:val="18"/>
                <w:szCs w:val="18"/>
              </w:rPr>
            </w:pPr>
            <w:r>
              <w:rPr>
                <w:color w:val="000000"/>
                <w:sz w:val="18"/>
                <w:szCs w:val="18"/>
              </w:rPr>
              <w:t xml:space="preserve">0.062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3C9A3891">
            <w:pPr>
              <w:widowControl/>
              <w:spacing w:line="240" w:lineRule="auto"/>
              <w:ind w:firstLine="0" w:firstLineChars="0"/>
              <w:jc w:val="left"/>
              <w:rPr>
                <w:color w:val="000000"/>
                <w:sz w:val="18"/>
                <w:szCs w:val="18"/>
              </w:rPr>
            </w:pPr>
          </w:p>
        </w:tc>
      </w:tr>
      <w:tr w14:paraId="251E8ECE">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4E7893C2">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02C953FE">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0A7FAF0">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47527D7D">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2A50D01">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50F0BBF9">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3E682CC7">
            <w:pPr>
              <w:widowControl/>
              <w:spacing w:line="240" w:lineRule="auto"/>
              <w:ind w:firstLine="0" w:firstLineChars="0"/>
              <w:jc w:val="center"/>
              <w:rPr>
                <w:color w:val="000000"/>
                <w:sz w:val="18"/>
                <w:szCs w:val="18"/>
              </w:rPr>
            </w:pPr>
            <w:r>
              <w:rPr>
                <w:color w:val="000000"/>
                <w:sz w:val="18"/>
                <w:szCs w:val="18"/>
              </w:rPr>
              <w:t xml:space="preserve">0.006 </w:t>
            </w:r>
          </w:p>
        </w:tc>
        <w:tc>
          <w:tcPr>
            <w:tcW w:w="856" w:type="dxa"/>
            <w:tcBorders>
              <w:top w:val="nil"/>
              <w:left w:val="nil"/>
              <w:bottom w:val="single" w:color="000000" w:sz="8" w:space="0"/>
              <w:right w:val="single" w:color="000000" w:sz="8" w:space="0"/>
            </w:tcBorders>
            <w:vAlign w:val="center"/>
          </w:tcPr>
          <w:p w14:paraId="3D8AA8A8">
            <w:pPr>
              <w:widowControl/>
              <w:spacing w:line="240" w:lineRule="auto"/>
              <w:ind w:firstLine="0" w:firstLineChars="0"/>
              <w:jc w:val="center"/>
              <w:rPr>
                <w:color w:val="000000"/>
                <w:sz w:val="18"/>
                <w:szCs w:val="18"/>
              </w:rPr>
            </w:pPr>
            <w:r>
              <w:rPr>
                <w:color w:val="000000"/>
                <w:sz w:val="18"/>
                <w:szCs w:val="18"/>
              </w:rPr>
              <w:t xml:space="preserve">0.056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B75111F">
            <w:pPr>
              <w:widowControl/>
              <w:spacing w:line="240" w:lineRule="auto"/>
              <w:ind w:firstLine="0" w:firstLineChars="0"/>
              <w:jc w:val="left"/>
              <w:rPr>
                <w:color w:val="000000"/>
                <w:sz w:val="18"/>
                <w:szCs w:val="18"/>
              </w:rPr>
            </w:pPr>
          </w:p>
        </w:tc>
      </w:tr>
      <w:tr w14:paraId="19979E2D">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05945B0">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1BD3240B">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E1A68D4">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263454A6">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0A030A8">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5C777A64">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E9F349A">
            <w:pPr>
              <w:widowControl/>
              <w:spacing w:line="240" w:lineRule="auto"/>
              <w:ind w:firstLine="0" w:firstLineChars="0"/>
              <w:jc w:val="center"/>
              <w:rPr>
                <w:color w:val="000000"/>
                <w:sz w:val="18"/>
                <w:szCs w:val="18"/>
              </w:rPr>
            </w:pPr>
            <w:r>
              <w:rPr>
                <w:color w:val="000000"/>
                <w:sz w:val="18"/>
                <w:szCs w:val="18"/>
              </w:rPr>
              <w:t xml:space="preserve">0.004 </w:t>
            </w:r>
          </w:p>
        </w:tc>
        <w:tc>
          <w:tcPr>
            <w:tcW w:w="856" w:type="dxa"/>
            <w:tcBorders>
              <w:top w:val="nil"/>
              <w:left w:val="nil"/>
              <w:bottom w:val="single" w:color="000000" w:sz="8" w:space="0"/>
              <w:right w:val="single" w:color="000000" w:sz="8" w:space="0"/>
            </w:tcBorders>
            <w:vAlign w:val="center"/>
          </w:tcPr>
          <w:p w14:paraId="6CB1F5D3">
            <w:pPr>
              <w:widowControl/>
              <w:spacing w:line="240" w:lineRule="auto"/>
              <w:ind w:firstLine="0" w:firstLineChars="0"/>
              <w:jc w:val="center"/>
              <w:rPr>
                <w:color w:val="000000"/>
                <w:sz w:val="18"/>
                <w:szCs w:val="18"/>
              </w:rPr>
            </w:pPr>
            <w:r>
              <w:rPr>
                <w:color w:val="000000"/>
                <w:sz w:val="18"/>
                <w:szCs w:val="18"/>
              </w:rPr>
              <w:t xml:space="preserve">0.054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2307F7D">
            <w:pPr>
              <w:widowControl/>
              <w:spacing w:line="240" w:lineRule="auto"/>
              <w:ind w:firstLine="0" w:firstLineChars="0"/>
              <w:jc w:val="left"/>
              <w:rPr>
                <w:color w:val="000000"/>
                <w:sz w:val="18"/>
                <w:szCs w:val="18"/>
              </w:rPr>
            </w:pPr>
          </w:p>
        </w:tc>
      </w:tr>
      <w:tr w14:paraId="7D4A5A73">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689BEDED">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41039C2D">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428B4696">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741FB2F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F21C30F">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4D45171A">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E9415A3">
            <w:pPr>
              <w:widowControl/>
              <w:spacing w:line="240" w:lineRule="auto"/>
              <w:ind w:firstLine="0" w:firstLineChars="0"/>
              <w:jc w:val="center"/>
              <w:rPr>
                <w:color w:val="000000"/>
                <w:sz w:val="18"/>
                <w:szCs w:val="18"/>
              </w:rPr>
            </w:pPr>
            <w:r>
              <w:rPr>
                <w:color w:val="000000"/>
                <w:sz w:val="18"/>
                <w:szCs w:val="18"/>
              </w:rPr>
              <w:t xml:space="preserve">0.002 </w:t>
            </w:r>
          </w:p>
        </w:tc>
        <w:tc>
          <w:tcPr>
            <w:tcW w:w="856" w:type="dxa"/>
            <w:tcBorders>
              <w:top w:val="nil"/>
              <w:left w:val="nil"/>
              <w:bottom w:val="single" w:color="000000" w:sz="8" w:space="0"/>
              <w:right w:val="single" w:color="000000" w:sz="8" w:space="0"/>
            </w:tcBorders>
            <w:vAlign w:val="center"/>
          </w:tcPr>
          <w:p w14:paraId="420EFC36">
            <w:pPr>
              <w:widowControl/>
              <w:spacing w:line="240" w:lineRule="auto"/>
              <w:ind w:firstLine="0" w:firstLineChars="0"/>
              <w:jc w:val="center"/>
              <w:rPr>
                <w:color w:val="000000"/>
                <w:sz w:val="18"/>
                <w:szCs w:val="18"/>
              </w:rPr>
            </w:pPr>
            <w:r>
              <w:rPr>
                <w:color w:val="000000"/>
                <w:sz w:val="18"/>
                <w:szCs w:val="18"/>
              </w:rPr>
              <w:t xml:space="preserve">0.052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3EE6FF8">
            <w:pPr>
              <w:widowControl/>
              <w:spacing w:line="240" w:lineRule="auto"/>
              <w:ind w:firstLine="0" w:firstLineChars="0"/>
              <w:jc w:val="left"/>
              <w:rPr>
                <w:color w:val="000000"/>
                <w:sz w:val="18"/>
                <w:szCs w:val="18"/>
              </w:rPr>
            </w:pPr>
          </w:p>
        </w:tc>
      </w:tr>
      <w:tr w14:paraId="12580CF4">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87CFA6B">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5D9FB276">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28E3FAB">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362D650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68A8D13">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0C52D438">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0A4124D">
            <w:pPr>
              <w:widowControl/>
              <w:spacing w:line="240" w:lineRule="auto"/>
              <w:ind w:firstLine="0" w:firstLineChars="0"/>
              <w:jc w:val="center"/>
              <w:rPr>
                <w:color w:val="000000"/>
                <w:sz w:val="18"/>
                <w:szCs w:val="18"/>
              </w:rPr>
            </w:pPr>
            <w:r>
              <w:rPr>
                <w:color w:val="000000"/>
                <w:sz w:val="18"/>
                <w:szCs w:val="18"/>
              </w:rPr>
              <w:t xml:space="preserve">0.001 </w:t>
            </w:r>
          </w:p>
        </w:tc>
        <w:tc>
          <w:tcPr>
            <w:tcW w:w="856" w:type="dxa"/>
            <w:tcBorders>
              <w:top w:val="nil"/>
              <w:left w:val="nil"/>
              <w:bottom w:val="single" w:color="000000" w:sz="8" w:space="0"/>
              <w:right w:val="single" w:color="000000" w:sz="8" w:space="0"/>
            </w:tcBorders>
            <w:vAlign w:val="center"/>
          </w:tcPr>
          <w:p w14:paraId="115F0963">
            <w:pPr>
              <w:widowControl/>
              <w:spacing w:line="240" w:lineRule="auto"/>
              <w:ind w:firstLine="0" w:firstLineChars="0"/>
              <w:jc w:val="center"/>
              <w:rPr>
                <w:color w:val="000000"/>
                <w:sz w:val="18"/>
                <w:szCs w:val="18"/>
              </w:rPr>
            </w:pPr>
            <w:r>
              <w:rPr>
                <w:color w:val="000000"/>
                <w:sz w:val="18"/>
                <w:szCs w:val="18"/>
              </w:rPr>
              <w:t xml:space="preserve">0.051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5F7E6A5">
            <w:pPr>
              <w:widowControl/>
              <w:spacing w:line="240" w:lineRule="auto"/>
              <w:ind w:firstLine="0" w:firstLineChars="0"/>
              <w:jc w:val="left"/>
              <w:rPr>
                <w:color w:val="000000"/>
                <w:sz w:val="18"/>
                <w:szCs w:val="18"/>
              </w:rPr>
            </w:pPr>
          </w:p>
        </w:tc>
      </w:tr>
      <w:tr w14:paraId="7FDA3607">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6F5AB48">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29B8BD4D">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F430C23">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3A357A66">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30A5732C">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564029D6">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7691E230">
            <w:pPr>
              <w:widowControl/>
              <w:spacing w:line="240" w:lineRule="auto"/>
              <w:ind w:firstLine="0" w:firstLineChars="0"/>
              <w:jc w:val="center"/>
              <w:rPr>
                <w:color w:val="000000"/>
                <w:sz w:val="18"/>
                <w:szCs w:val="18"/>
              </w:rPr>
            </w:pPr>
            <w:r>
              <w:rPr>
                <w:color w:val="000000"/>
                <w:sz w:val="18"/>
                <w:szCs w:val="18"/>
              </w:rPr>
              <w:t xml:space="preserve">0.060 </w:t>
            </w:r>
          </w:p>
        </w:tc>
        <w:tc>
          <w:tcPr>
            <w:tcW w:w="856" w:type="dxa"/>
            <w:tcBorders>
              <w:top w:val="nil"/>
              <w:left w:val="nil"/>
              <w:bottom w:val="single" w:color="000000" w:sz="8" w:space="0"/>
              <w:right w:val="single" w:color="000000" w:sz="8" w:space="0"/>
            </w:tcBorders>
            <w:vAlign w:val="center"/>
          </w:tcPr>
          <w:p w14:paraId="559F3768">
            <w:pPr>
              <w:widowControl/>
              <w:spacing w:line="240" w:lineRule="auto"/>
              <w:ind w:firstLine="0" w:firstLineChars="0"/>
              <w:jc w:val="center"/>
              <w:rPr>
                <w:color w:val="000000"/>
                <w:sz w:val="18"/>
                <w:szCs w:val="18"/>
              </w:rPr>
            </w:pPr>
            <w:r>
              <w:rPr>
                <w:color w:val="000000"/>
                <w:sz w:val="18"/>
                <w:szCs w:val="18"/>
              </w:rPr>
              <w:t xml:space="preserve">0.110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81D873E">
            <w:pPr>
              <w:widowControl/>
              <w:spacing w:line="240" w:lineRule="auto"/>
              <w:ind w:firstLine="0" w:firstLineChars="0"/>
              <w:jc w:val="left"/>
              <w:rPr>
                <w:color w:val="000000"/>
                <w:sz w:val="18"/>
                <w:szCs w:val="18"/>
              </w:rPr>
            </w:pPr>
          </w:p>
        </w:tc>
      </w:tr>
      <w:tr w14:paraId="74DAED23">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7157A8F2">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4AF9363D">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5A29268">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58D78E39">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07816DE">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7A122DA5">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66DFB78">
            <w:pPr>
              <w:widowControl/>
              <w:spacing w:line="240" w:lineRule="auto"/>
              <w:ind w:firstLine="0" w:firstLineChars="0"/>
              <w:jc w:val="center"/>
              <w:rPr>
                <w:color w:val="000000"/>
                <w:sz w:val="18"/>
                <w:szCs w:val="18"/>
              </w:rPr>
            </w:pPr>
            <w:r>
              <w:rPr>
                <w:color w:val="000000"/>
                <w:sz w:val="18"/>
                <w:szCs w:val="18"/>
              </w:rPr>
              <w:t xml:space="preserve">0.030 </w:t>
            </w:r>
          </w:p>
        </w:tc>
        <w:tc>
          <w:tcPr>
            <w:tcW w:w="856" w:type="dxa"/>
            <w:tcBorders>
              <w:top w:val="nil"/>
              <w:left w:val="nil"/>
              <w:bottom w:val="single" w:color="000000" w:sz="8" w:space="0"/>
              <w:right w:val="single" w:color="000000" w:sz="8" w:space="0"/>
            </w:tcBorders>
            <w:vAlign w:val="center"/>
          </w:tcPr>
          <w:p w14:paraId="6454ED0E">
            <w:pPr>
              <w:widowControl/>
              <w:spacing w:line="240" w:lineRule="auto"/>
              <w:ind w:firstLine="0" w:firstLineChars="0"/>
              <w:jc w:val="center"/>
              <w:rPr>
                <w:color w:val="000000"/>
                <w:sz w:val="18"/>
                <w:szCs w:val="18"/>
              </w:rPr>
            </w:pPr>
            <w:r>
              <w:rPr>
                <w:color w:val="000000"/>
                <w:sz w:val="18"/>
                <w:szCs w:val="18"/>
              </w:rPr>
              <w:t xml:space="preserve">0.080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29171059">
            <w:pPr>
              <w:widowControl/>
              <w:spacing w:line="240" w:lineRule="auto"/>
              <w:ind w:firstLine="0" w:firstLineChars="0"/>
              <w:jc w:val="left"/>
              <w:rPr>
                <w:color w:val="000000"/>
                <w:sz w:val="18"/>
                <w:szCs w:val="18"/>
              </w:rPr>
            </w:pPr>
          </w:p>
        </w:tc>
      </w:tr>
      <w:tr w14:paraId="54CDD153">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0DC84A82">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57DF1B31">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52308F5">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4C1B76E5">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4AD0B81">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0D9F2550">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D67328C">
            <w:pPr>
              <w:widowControl/>
              <w:spacing w:line="240" w:lineRule="auto"/>
              <w:ind w:firstLine="0" w:firstLineChars="0"/>
              <w:jc w:val="center"/>
              <w:rPr>
                <w:color w:val="000000"/>
                <w:sz w:val="18"/>
                <w:szCs w:val="18"/>
              </w:rPr>
            </w:pPr>
            <w:r>
              <w:rPr>
                <w:color w:val="000000"/>
                <w:sz w:val="18"/>
                <w:szCs w:val="18"/>
              </w:rPr>
              <w:t xml:space="preserve">0.015 </w:t>
            </w:r>
          </w:p>
        </w:tc>
        <w:tc>
          <w:tcPr>
            <w:tcW w:w="856" w:type="dxa"/>
            <w:tcBorders>
              <w:top w:val="nil"/>
              <w:left w:val="nil"/>
              <w:bottom w:val="single" w:color="000000" w:sz="8" w:space="0"/>
              <w:right w:val="single" w:color="000000" w:sz="8" w:space="0"/>
            </w:tcBorders>
            <w:vAlign w:val="center"/>
          </w:tcPr>
          <w:p w14:paraId="6B0AFF72">
            <w:pPr>
              <w:widowControl/>
              <w:spacing w:line="240" w:lineRule="auto"/>
              <w:ind w:firstLine="0" w:firstLineChars="0"/>
              <w:jc w:val="center"/>
              <w:rPr>
                <w:color w:val="000000"/>
                <w:sz w:val="18"/>
                <w:szCs w:val="18"/>
              </w:rPr>
            </w:pPr>
            <w:r>
              <w:rPr>
                <w:color w:val="000000"/>
                <w:sz w:val="18"/>
                <w:szCs w:val="18"/>
              </w:rPr>
              <w:t xml:space="preserve">0.065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1FF6A969">
            <w:pPr>
              <w:widowControl/>
              <w:spacing w:line="240" w:lineRule="auto"/>
              <w:ind w:firstLine="0" w:firstLineChars="0"/>
              <w:jc w:val="left"/>
              <w:rPr>
                <w:color w:val="000000"/>
                <w:sz w:val="18"/>
                <w:szCs w:val="18"/>
              </w:rPr>
            </w:pPr>
          </w:p>
        </w:tc>
      </w:tr>
      <w:tr w14:paraId="7B86CDB3">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76E42F1F">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2AF0AD87">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E3DD1DB">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54A8B924">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7D37A36">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3704452E">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39DECE34">
            <w:pPr>
              <w:widowControl/>
              <w:spacing w:line="240" w:lineRule="auto"/>
              <w:ind w:firstLine="0" w:firstLineChars="0"/>
              <w:jc w:val="center"/>
              <w:rPr>
                <w:color w:val="000000"/>
                <w:sz w:val="18"/>
                <w:szCs w:val="18"/>
              </w:rPr>
            </w:pPr>
            <w:r>
              <w:rPr>
                <w:color w:val="000000"/>
                <w:sz w:val="18"/>
                <w:szCs w:val="18"/>
              </w:rPr>
              <w:t xml:space="preserve">0.010 </w:t>
            </w:r>
          </w:p>
        </w:tc>
        <w:tc>
          <w:tcPr>
            <w:tcW w:w="856" w:type="dxa"/>
            <w:tcBorders>
              <w:top w:val="nil"/>
              <w:left w:val="nil"/>
              <w:bottom w:val="single" w:color="000000" w:sz="8" w:space="0"/>
              <w:right w:val="single" w:color="000000" w:sz="8" w:space="0"/>
            </w:tcBorders>
            <w:vAlign w:val="center"/>
          </w:tcPr>
          <w:p w14:paraId="33996839">
            <w:pPr>
              <w:widowControl/>
              <w:spacing w:line="240" w:lineRule="auto"/>
              <w:ind w:firstLine="0" w:firstLineChars="0"/>
              <w:jc w:val="center"/>
              <w:rPr>
                <w:color w:val="000000"/>
                <w:sz w:val="18"/>
                <w:szCs w:val="18"/>
              </w:rPr>
            </w:pPr>
            <w:r>
              <w:rPr>
                <w:color w:val="000000"/>
                <w:sz w:val="18"/>
                <w:szCs w:val="18"/>
              </w:rPr>
              <w:t xml:space="preserve">0.060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1F40298D">
            <w:pPr>
              <w:widowControl/>
              <w:spacing w:line="240" w:lineRule="auto"/>
              <w:ind w:firstLine="0" w:firstLineChars="0"/>
              <w:jc w:val="left"/>
              <w:rPr>
                <w:color w:val="000000"/>
                <w:sz w:val="18"/>
                <w:szCs w:val="18"/>
              </w:rPr>
            </w:pPr>
          </w:p>
        </w:tc>
      </w:tr>
      <w:tr w14:paraId="666CC59D">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7D8E572A">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58B2F24C">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4063A2E">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5DF2D81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859D5D5">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396D2B8A">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C2C1AD6">
            <w:pPr>
              <w:widowControl/>
              <w:spacing w:line="240" w:lineRule="auto"/>
              <w:ind w:firstLine="0" w:firstLineChars="0"/>
              <w:jc w:val="center"/>
              <w:rPr>
                <w:color w:val="000000"/>
                <w:sz w:val="18"/>
                <w:szCs w:val="18"/>
              </w:rPr>
            </w:pPr>
            <w:r>
              <w:rPr>
                <w:color w:val="000000"/>
                <w:sz w:val="18"/>
                <w:szCs w:val="18"/>
              </w:rPr>
              <w:t xml:space="preserve">0.006 </w:t>
            </w:r>
          </w:p>
        </w:tc>
        <w:tc>
          <w:tcPr>
            <w:tcW w:w="856" w:type="dxa"/>
            <w:tcBorders>
              <w:top w:val="nil"/>
              <w:left w:val="nil"/>
              <w:bottom w:val="single" w:color="000000" w:sz="8" w:space="0"/>
              <w:right w:val="single" w:color="000000" w:sz="8" w:space="0"/>
            </w:tcBorders>
            <w:vAlign w:val="center"/>
          </w:tcPr>
          <w:p w14:paraId="330E4515">
            <w:pPr>
              <w:widowControl/>
              <w:spacing w:line="240" w:lineRule="auto"/>
              <w:ind w:firstLine="0" w:firstLineChars="0"/>
              <w:jc w:val="center"/>
              <w:rPr>
                <w:color w:val="000000"/>
                <w:sz w:val="18"/>
                <w:szCs w:val="18"/>
              </w:rPr>
            </w:pPr>
            <w:r>
              <w:rPr>
                <w:color w:val="000000"/>
                <w:sz w:val="18"/>
                <w:szCs w:val="18"/>
              </w:rPr>
              <w:t xml:space="preserve">0.056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457CF917">
            <w:pPr>
              <w:widowControl/>
              <w:spacing w:line="240" w:lineRule="auto"/>
              <w:ind w:firstLine="0" w:firstLineChars="0"/>
              <w:jc w:val="left"/>
              <w:rPr>
                <w:color w:val="000000"/>
                <w:sz w:val="18"/>
                <w:szCs w:val="18"/>
              </w:rPr>
            </w:pPr>
          </w:p>
        </w:tc>
      </w:tr>
      <w:tr w14:paraId="1DC75914">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75E60534">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14628EAF">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4088D8B">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772AC949">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3F78F3C6">
            <w:pPr>
              <w:widowControl/>
              <w:spacing w:line="240" w:lineRule="auto"/>
              <w:ind w:firstLine="0" w:firstLineChars="0"/>
              <w:jc w:val="center"/>
              <w:rPr>
                <w:color w:val="000000"/>
                <w:sz w:val="18"/>
                <w:szCs w:val="18"/>
              </w:rPr>
            </w:pPr>
            <w:r>
              <w:rPr>
                <w:color w:val="000000"/>
                <w:sz w:val="18"/>
                <w:szCs w:val="18"/>
              </w:rPr>
              <w:t>121</w:t>
            </w:r>
          </w:p>
        </w:tc>
        <w:tc>
          <w:tcPr>
            <w:tcW w:w="1098" w:type="dxa"/>
            <w:tcBorders>
              <w:top w:val="nil"/>
              <w:left w:val="nil"/>
              <w:bottom w:val="single" w:color="000000" w:sz="8" w:space="0"/>
              <w:right w:val="single" w:color="000000" w:sz="8" w:space="0"/>
            </w:tcBorders>
            <w:vAlign w:val="center"/>
          </w:tcPr>
          <w:p w14:paraId="1E2CCF52">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381A2ED8">
            <w:pPr>
              <w:widowControl/>
              <w:spacing w:line="240" w:lineRule="auto"/>
              <w:ind w:firstLine="0" w:firstLineChars="0"/>
              <w:jc w:val="center"/>
              <w:rPr>
                <w:color w:val="000000"/>
                <w:sz w:val="18"/>
                <w:szCs w:val="18"/>
              </w:rPr>
            </w:pPr>
            <w:r>
              <w:rPr>
                <w:color w:val="000000"/>
                <w:sz w:val="18"/>
                <w:szCs w:val="18"/>
              </w:rPr>
              <w:t xml:space="preserve">0.003 </w:t>
            </w:r>
          </w:p>
        </w:tc>
        <w:tc>
          <w:tcPr>
            <w:tcW w:w="856" w:type="dxa"/>
            <w:tcBorders>
              <w:top w:val="nil"/>
              <w:left w:val="nil"/>
              <w:bottom w:val="single" w:color="000000" w:sz="8" w:space="0"/>
              <w:right w:val="single" w:color="000000" w:sz="8" w:space="0"/>
            </w:tcBorders>
            <w:vAlign w:val="center"/>
          </w:tcPr>
          <w:p w14:paraId="5F83D4D5">
            <w:pPr>
              <w:widowControl/>
              <w:spacing w:line="240" w:lineRule="auto"/>
              <w:ind w:firstLine="0" w:firstLineChars="0"/>
              <w:jc w:val="center"/>
              <w:rPr>
                <w:color w:val="000000"/>
                <w:sz w:val="18"/>
                <w:szCs w:val="18"/>
              </w:rPr>
            </w:pPr>
            <w:r>
              <w:rPr>
                <w:color w:val="000000"/>
                <w:sz w:val="18"/>
                <w:szCs w:val="18"/>
              </w:rPr>
              <w:t xml:space="preserve">0.053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F88CA57">
            <w:pPr>
              <w:widowControl/>
              <w:spacing w:line="240" w:lineRule="auto"/>
              <w:ind w:firstLine="0" w:firstLineChars="0"/>
              <w:jc w:val="left"/>
              <w:rPr>
                <w:color w:val="000000"/>
                <w:sz w:val="18"/>
                <w:szCs w:val="18"/>
              </w:rPr>
            </w:pPr>
          </w:p>
        </w:tc>
      </w:tr>
    </w:tbl>
    <w:p w14:paraId="03B11635">
      <w:pPr>
        <w:pStyle w:val="118"/>
      </w:pPr>
      <w:r>
        <w:rPr>
          <w:rFonts w:hint="eastAsia"/>
        </w:rPr>
        <w:t>表</w:t>
      </w:r>
      <w:r>
        <w:t>5.8</w:t>
      </w:r>
      <w:r>
        <w:rPr>
          <w:rFonts w:hint="eastAsia"/>
        </w:rPr>
        <w:t>-6</w:t>
      </w:r>
      <w:r>
        <w:t xml:space="preserve">    </w:t>
      </w:r>
      <w:r>
        <w:rPr>
          <w:rFonts w:hint="eastAsia"/>
        </w:rPr>
        <w:t>氰化物大气沉降预测结果</w:t>
      </w:r>
    </w:p>
    <w:tbl>
      <w:tblPr>
        <w:tblStyle w:val="67"/>
        <w:tblW w:w="5000" w:type="pct"/>
        <w:jc w:val="center"/>
        <w:tblLayout w:type="autofit"/>
        <w:tblCellMar>
          <w:top w:w="0" w:type="dxa"/>
          <w:left w:w="108" w:type="dxa"/>
          <w:bottom w:w="0" w:type="dxa"/>
          <w:right w:w="108" w:type="dxa"/>
        </w:tblCellMar>
      </w:tblPr>
      <w:tblGrid>
        <w:gridCol w:w="865"/>
        <w:gridCol w:w="1055"/>
        <w:gridCol w:w="1120"/>
        <w:gridCol w:w="741"/>
        <w:gridCol w:w="1020"/>
        <w:gridCol w:w="1129"/>
        <w:gridCol w:w="880"/>
        <w:gridCol w:w="880"/>
        <w:gridCol w:w="832"/>
      </w:tblGrid>
      <w:tr w14:paraId="716D0570">
        <w:tblPrEx>
          <w:tblCellMar>
            <w:top w:w="0" w:type="dxa"/>
            <w:left w:w="108" w:type="dxa"/>
            <w:bottom w:w="0" w:type="dxa"/>
            <w:right w:w="108" w:type="dxa"/>
          </w:tblCellMar>
        </w:tblPrEx>
        <w:trPr>
          <w:trHeight w:val="397" w:hRule="atLeast"/>
          <w:tblHeader/>
          <w:jc w:val="center"/>
        </w:trPr>
        <w:tc>
          <w:tcPr>
            <w:tcW w:w="841" w:type="dxa"/>
            <w:tcBorders>
              <w:top w:val="single" w:color="000000" w:sz="8" w:space="0"/>
              <w:left w:val="single" w:color="000000" w:sz="8" w:space="0"/>
              <w:bottom w:val="single" w:color="000000" w:sz="8" w:space="0"/>
              <w:right w:val="single" w:color="000000" w:sz="8" w:space="0"/>
            </w:tcBorders>
            <w:vAlign w:val="center"/>
          </w:tcPr>
          <w:p w14:paraId="3BAD9CBC">
            <w:pPr>
              <w:widowControl/>
              <w:spacing w:line="240" w:lineRule="auto"/>
              <w:ind w:firstLine="0" w:firstLineChars="0"/>
              <w:jc w:val="center"/>
              <w:rPr>
                <w:b/>
                <w:bCs/>
                <w:color w:val="000000"/>
                <w:sz w:val="18"/>
                <w:szCs w:val="18"/>
              </w:rPr>
            </w:pPr>
            <w:r>
              <w:rPr>
                <w:b/>
                <w:bCs/>
                <w:color w:val="000000"/>
                <w:sz w:val="18"/>
                <w:szCs w:val="18"/>
              </w:rPr>
              <w:t>n</w:t>
            </w:r>
            <w:r>
              <w:rPr>
                <w:rFonts w:ascii="宋体" w:hAnsi="宋体"/>
                <w:b/>
                <w:bCs/>
                <w:color w:val="000000"/>
                <w:sz w:val="18"/>
                <w:szCs w:val="18"/>
              </w:rPr>
              <w:t>年</w:t>
            </w:r>
          </w:p>
        </w:tc>
        <w:tc>
          <w:tcPr>
            <w:tcW w:w="1026" w:type="dxa"/>
            <w:tcBorders>
              <w:top w:val="single" w:color="000000" w:sz="8" w:space="0"/>
              <w:left w:val="nil"/>
              <w:bottom w:val="single" w:color="000000" w:sz="8" w:space="0"/>
              <w:right w:val="single" w:color="000000" w:sz="8" w:space="0"/>
            </w:tcBorders>
            <w:vAlign w:val="center"/>
          </w:tcPr>
          <w:p w14:paraId="0E62BBF4">
            <w:pPr>
              <w:widowControl/>
              <w:spacing w:line="240" w:lineRule="auto"/>
              <w:ind w:firstLine="0" w:firstLineChars="0"/>
              <w:jc w:val="center"/>
              <w:rPr>
                <w:b/>
                <w:bCs/>
                <w:color w:val="000000"/>
                <w:sz w:val="18"/>
                <w:szCs w:val="18"/>
              </w:rPr>
            </w:pPr>
            <w:r>
              <w:rPr>
                <w:b/>
                <w:bCs/>
                <w:color w:val="000000"/>
                <w:sz w:val="18"/>
                <w:szCs w:val="18"/>
              </w:rPr>
              <w:t>ρb</w:t>
            </w:r>
          </w:p>
          <w:p w14:paraId="7CD14971">
            <w:pPr>
              <w:widowControl/>
              <w:spacing w:line="240" w:lineRule="auto"/>
              <w:ind w:firstLine="0" w:firstLineChars="0"/>
              <w:jc w:val="center"/>
              <w:rPr>
                <w:b/>
                <w:bCs/>
                <w:color w:val="000000"/>
                <w:sz w:val="18"/>
                <w:szCs w:val="18"/>
              </w:rPr>
            </w:pPr>
            <w:r>
              <w:rPr>
                <w:b/>
                <w:bCs/>
                <w:color w:val="000000"/>
                <w:sz w:val="18"/>
                <w:szCs w:val="18"/>
              </w:rPr>
              <w:t>kg/m</w:t>
            </w:r>
            <w:r>
              <w:rPr>
                <w:b/>
                <w:bCs/>
                <w:color w:val="000000"/>
                <w:sz w:val="18"/>
                <w:szCs w:val="18"/>
                <w:vertAlign w:val="superscript"/>
              </w:rPr>
              <w:t>3</w:t>
            </w:r>
          </w:p>
        </w:tc>
        <w:tc>
          <w:tcPr>
            <w:tcW w:w="1089" w:type="dxa"/>
            <w:tcBorders>
              <w:top w:val="single" w:color="000000" w:sz="8" w:space="0"/>
              <w:left w:val="nil"/>
              <w:bottom w:val="single" w:color="000000" w:sz="8" w:space="0"/>
              <w:right w:val="single" w:color="000000" w:sz="8" w:space="0"/>
            </w:tcBorders>
            <w:vAlign w:val="center"/>
          </w:tcPr>
          <w:p w14:paraId="03FB7109">
            <w:pPr>
              <w:widowControl/>
              <w:spacing w:line="240" w:lineRule="auto"/>
              <w:ind w:firstLine="0" w:firstLineChars="0"/>
              <w:jc w:val="center"/>
              <w:rPr>
                <w:b/>
                <w:bCs/>
                <w:color w:val="000000"/>
                <w:sz w:val="18"/>
                <w:szCs w:val="18"/>
              </w:rPr>
            </w:pPr>
            <w:r>
              <w:rPr>
                <w:b/>
                <w:bCs/>
                <w:color w:val="000000"/>
                <w:sz w:val="18"/>
                <w:szCs w:val="18"/>
              </w:rPr>
              <w:t>A</w:t>
            </w:r>
          </w:p>
          <w:p w14:paraId="602C18D8">
            <w:pPr>
              <w:widowControl/>
              <w:spacing w:line="240" w:lineRule="auto"/>
              <w:ind w:firstLine="0" w:firstLineChars="0"/>
              <w:jc w:val="center"/>
              <w:rPr>
                <w:b/>
                <w:bCs/>
                <w:color w:val="000000"/>
                <w:sz w:val="18"/>
                <w:szCs w:val="18"/>
              </w:rPr>
            </w:pPr>
            <w:r>
              <w:rPr>
                <w:b/>
                <w:bCs/>
                <w:color w:val="000000"/>
                <w:sz w:val="18"/>
                <w:szCs w:val="18"/>
              </w:rPr>
              <w:t xml:space="preserve"> m</w:t>
            </w:r>
            <w:r>
              <w:rPr>
                <w:b/>
                <w:bCs/>
                <w:color w:val="000000"/>
                <w:sz w:val="18"/>
                <w:szCs w:val="18"/>
                <w:vertAlign w:val="superscript"/>
              </w:rPr>
              <w:t>2</w:t>
            </w:r>
          </w:p>
        </w:tc>
        <w:tc>
          <w:tcPr>
            <w:tcW w:w="720" w:type="dxa"/>
            <w:tcBorders>
              <w:top w:val="single" w:color="000000" w:sz="8" w:space="0"/>
              <w:left w:val="nil"/>
              <w:bottom w:val="single" w:color="000000" w:sz="8" w:space="0"/>
              <w:right w:val="single" w:color="000000" w:sz="8" w:space="0"/>
            </w:tcBorders>
            <w:vAlign w:val="center"/>
          </w:tcPr>
          <w:p w14:paraId="16C2079D">
            <w:pPr>
              <w:widowControl/>
              <w:spacing w:line="240" w:lineRule="auto"/>
              <w:ind w:firstLine="0" w:firstLineChars="0"/>
              <w:jc w:val="center"/>
              <w:rPr>
                <w:b/>
                <w:bCs/>
                <w:color w:val="000000"/>
                <w:sz w:val="18"/>
                <w:szCs w:val="18"/>
              </w:rPr>
            </w:pPr>
            <w:r>
              <w:rPr>
                <w:b/>
                <w:bCs/>
                <w:color w:val="000000"/>
                <w:sz w:val="18"/>
                <w:szCs w:val="18"/>
              </w:rPr>
              <w:t>D</w:t>
            </w:r>
          </w:p>
          <w:p w14:paraId="2CAAD027">
            <w:pPr>
              <w:widowControl/>
              <w:spacing w:line="240" w:lineRule="auto"/>
              <w:ind w:firstLine="0" w:firstLineChars="0"/>
              <w:jc w:val="center"/>
              <w:rPr>
                <w:b/>
                <w:bCs/>
                <w:color w:val="000000"/>
                <w:sz w:val="18"/>
                <w:szCs w:val="18"/>
              </w:rPr>
            </w:pPr>
            <w:r>
              <w:rPr>
                <w:b/>
                <w:bCs/>
                <w:color w:val="000000"/>
                <w:sz w:val="18"/>
                <w:szCs w:val="18"/>
              </w:rPr>
              <w:t>m</w:t>
            </w:r>
          </w:p>
        </w:tc>
        <w:tc>
          <w:tcPr>
            <w:tcW w:w="992" w:type="dxa"/>
            <w:tcBorders>
              <w:top w:val="single" w:color="000000" w:sz="8" w:space="0"/>
              <w:left w:val="nil"/>
              <w:bottom w:val="single" w:color="000000" w:sz="8" w:space="0"/>
              <w:right w:val="single" w:color="000000" w:sz="8" w:space="0"/>
            </w:tcBorders>
            <w:vAlign w:val="center"/>
          </w:tcPr>
          <w:p w14:paraId="300031E6">
            <w:pPr>
              <w:widowControl/>
              <w:spacing w:line="240" w:lineRule="auto"/>
              <w:ind w:firstLine="0" w:firstLineChars="0"/>
              <w:jc w:val="center"/>
              <w:rPr>
                <w:b/>
                <w:bCs/>
                <w:color w:val="000000"/>
                <w:sz w:val="18"/>
                <w:szCs w:val="18"/>
                <w:vertAlign w:val="subscript"/>
              </w:rPr>
            </w:pPr>
            <w:r>
              <w:rPr>
                <w:b/>
                <w:bCs/>
                <w:color w:val="000000"/>
                <w:sz w:val="18"/>
                <w:szCs w:val="18"/>
              </w:rPr>
              <w:t>I</w:t>
            </w:r>
            <w:r>
              <w:rPr>
                <w:b/>
                <w:bCs/>
                <w:color w:val="000000"/>
                <w:sz w:val="18"/>
                <w:szCs w:val="18"/>
                <w:vertAlign w:val="subscript"/>
              </w:rPr>
              <w:t>S</w:t>
            </w:r>
          </w:p>
          <w:p w14:paraId="12871435">
            <w:pPr>
              <w:widowControl/>
              <w:spacing w:line="240" w:lineRule="auto"/>
              <w:ind w:firstLine="0" w:firstLineChars="0"/>
              <w:jc w:val="center"/>
              <w:rPr>
                <w:b/>
                <w:bCs/>
                <w:color w:val="000000"/>
                <w:sz w:val="18"/>
                <w:szCs w:val="18"/>
              </w:rPr>
            </w:pPr>
            <w:r>
              <w:rPr>
                <w:rFonts w:hint="eastAsia"/>
                <w:b/>
                <w:bCs/>
                <w:color w:val="000000"/>
                <w:sz w:val="18"/>
                <w:szCs w:val="18"/>
                <w:vertAlign w:val="subscript"/>
              </w:rPr>
              <w:t>g</w:t>
            </w:r>
          </w:p>
        </w:tc>
        <w:tc>
          <w:tcPr>
            <w:tcW w:w="1098" w:type="dxa"/>
            <w:tcBorders>
              <w:top w:val="single" w:color="000000" w:sz="8" w:space="0"/>
              <w:left w:val="single" w:color="000000" w:sz="8" w:space="0"/>
              <w:bottom w:val="single" w:color="000000" w:sz="8" w:space="0"/>
              <w:right w:val="single" w:color="000000" w:sz="8" w:space="0"/>
            </w:tcBorders>
            <w:vAlign w:val="center"/>
          </w:tcPr>
          <w:p w14:paraId="631EEBF3">
            <w:pPr>
              <w:widowControl/>
              <w:spacing w:line="240" w:lineRule="auto"/>
              <w:ind w:firstLine="0" w:firstLineChars="0"/>
              <w:jc w:val="center"/>
              <w:rPr>
                <w:rFonts w:hint="eastAsia" w:ascii="宋体" w:hAnsi="宋体" w:cs="宋体"/>
                <w:b/>
                <w:bCs/>
                <w:color w:val="000000"/>
                <w:sz w:val="18"/>
                <w:szCs w:val="18"/>
              </w:rPr>
            </w:pPr>
            <w:r>
              <w:rPr>
                <w:rFonts w:ascii="宋体" w:hAnsi="宋体" w:cs="宋体"/>
                <w:b/>
                <w:bCs/>
                <w:color w:val="000000"/>
                <w:sz w:val="18"/>
                <w:szCs w:val="18"/>
              </w:rPr>
              <w:t>背景最大值</w:t>
            </w:r>
            <w:r>
              <w:rPr>
                <w:b/>
                <w:bCs/>
                <w:color w:val="000000"/>
                <w:sz w:val="18"/>
                <w:szCs w:val="18"/>
              </w:rPr>
              <w:t>mg/kg</w:t>
            </w:r>
          </w:p>
        </w:tc>
        <w:tc>
          <w:tcPr>
            <w:tcW w:w="856" w:type="dxa"/>
            <w:tcBorders>
              <w:top w:val="single" w:color="000000" w:sz="8" w:space="0"/>
              <w:left w:val="nil"/>
              <w:bottom w:val="single" w:color="000000" w:sz="8" w:space="0"/>
              <w:right w:val="single" w:color="000000" w:sz="8" w:space="0"/>
            </w:tcBorders>
            <w:vAlign w:val="center"/>
          </w:tcPr>
          <w:p w14:paraId="344EBA0C">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增量</w:t>
            </w:r>
          </w:p>
          <w:p w14:paraId="4B441FFF">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c>
          <w:tcPr>
            <w:tcW w:w="856" w:type="dxa"/>
            <w:tcBorders>
              <w:top w:val="single" w:color="000000" w:sz="8" w:space="0"/>
              <w:left w:val="nil"/>
              <w:bottom w:val="single" w:color="000000" w:sz="8" w:space="0"/>
              <w:right w:val="single" w:color="000000" w:sz="8" w:space="0"/>
            </w:tcBorders>
            <w:vAlign w:val="center"/>
          </w:tcPr>
          <w:p w14:paraId="0F8C57FA">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预测值</w:t>
            </w:r>
          </w:p>
          <w:p w14:paraId="1617B93C">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c>
          <w:tcPr>
            <w:tcW w:w="808" w:type="dxa"/>
            <w:tcBorders>
              <w:top w:val="single" w:color="000000" w:sz="8" w:space="0"/>
              <w:left w:val="nil"/>
              <w:bottom w:val="single" w:color="000000" w:sz="8" w:space="0"/>
              <w:right w:val="single" w:color="000000" w:sz="8" w:space="0"/>
            </w:tcBorders>
            <w:vAlign w:val="center"/>
          </w:tcPr>
          <w:p w14:paraId="2729FB1B">
            <w:pPr>
              <w:widowControl/>
              <w:spacing w:line="240" w:lineRule="auto"/>
              <w:ind w:firstLine="0" w:firstLineChars="0"/>
              <w:jc w:val="center"/>
              <w:rPr>
                <w:rFonts w:hint="eastAsia" w:ascii="宋体" w:hAnsi="宋体" w:cs="宋体"/>
                <w:b/>
                <w:bCs/>
                <w:color w:val="000000"/>
                <w:sz w:val="18"/>
                <w:szCs w:val="18"/>
              </w:rPr>
            </w:pPr>
            <w:r>
              <w:rPr>
                <w:rFonts w:hint="eastAsia" w:ascii="宋体" w:hAnsi="宋体" w:cs="宋体"/>
                <w:b/>
                <w:bCs/>
                <w:color w:val="000000"/>
                <w:sz w:val="18"/>
                <w:szCs w:val="18"/>
              </w:rPr>
              <w:t>标准值</w:t>
            </w:r>
          </w:p>
          <w:p w14:paraId="1092F927">
            <w:pPr>
              <w:widowControl/>
              <w:spacing w:line="240" w:lineRule="auto"/>
              <w:ind w:firstLine="0" w:firstLineChars="0"/>
              <w:jc w:val="center"/>
              <w:rPr>
                <w:rFonts w:hint="eastAsia" w:ascii="宋体" w:hAnsi="宋体" w:cs="宋体"/>
                <w:b/>
                <w:bCs/>
                <w:color w:val="000000"/>
                <w:sz w:val="18"/>
                <w:szCs w:val="18"/>
              </w:rPr>
            </w:pPr>
            <w:r>
              <w:rPr>
                <w:b/>
                <w:bCs/>
                <w:color w:val="000000"/>
                <w:sz w:val="18"/>
                <w:szCs w:val="18"/>
              </w:rPr>
              <w:t>mg/kg</w:t>
            </w:r>
          </w:p>
        </w:tc>
      </w:tr>
      <w:tr w14:paraId="7E2DBDCA">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7E768355">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23995894">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4CE7F39E">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7979C3AB">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F547E11">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77753142">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5EF9E12">
            <w:pPr>
              <w:widowControl/>
              <w:spacing w:line="240" w:lineRule="auto"/>
              <w:ind w:firstLine="0" w:firstLineChars="0"/>
              <w:jc w:val="center"/>
              <w:rPr>
                <w:color w:val="000000"/>
                <w:sz w:val="18"/>
                <w:szCs w:val="18"/>
              </w:rPr>
            </w:pPr>
            <w:r>
              <w:rPr>
                <w:color w:val="000000"/>
                <w:sz w:val="18"/>
                <w:szCs w:val="18"/>
              </w:rPr>
              <w:t xml:space="preserve">0.047 </w:t>
            </w:r>
          </w:p>
        </w:tc>
        <w:tc>
          <w:tcPr>
            <w:tcW w:w="856" w:type="dxa"/>
            <w:tcBorders>
              <w:top w:val="nil"/>
              <w:left w:val="nil"/>
              <w:bottom w:val="single" w:color="000000" w:sz="8" w:space="0"/>
              <w:right w:val="single" w:color="000000" w:sz="8" w:space="0"/>
            </w:tcBorders>
            <w:vAlign w:val="center"/>
          </w:tcPr>
          <w:p w14:paraId="3490045D">
            <w:pPr>
              <w:widowControl/>
              <w:spacing w:line="240" w:lineRule="auto"/>
              <w:ind w:firstLine="0" w:firstLineChars="0"/>
              <w:jc w:val="center"/>
              <w:rPr>
                <w:color w:val="000000"/>
                <w:sz w:val="18"/>
                <w:szCs w:val="18"/>
              </w:rPr>
            </w:pPr>
            <w:r>
              <w:rPr>
                <w:color w:val="000000"/>
                <w:sz w:val="18"/>
                <w:szCs w:val="18"/>
              </w:rPr>
              <w:t xml:space="preserve">0.097 </w:t>
            </w:r>
          </w:p>
        </w:tc>
        <w:tc>
          <w:tcPr>
            <w:tcW w:w="808" w:type="dxa"/>
            <w:vMerge w:val="restart"/>
            <w:tcBorders>
              <w:top w:val="single" w:color="000000" w:sz="8" w:space="0"/>
              <w:left w:val="single" w:color="000000" w:sz="8" w:space="0"/>
              <w:bottom w:val="single" w:color="000000" w:sz="8" w:space="0"/>
              <w:right w:val="single" w:color="000000" w:sz="8" w:space="0"/>
            </w:tcBorders>
            <w:vAlign w:val="center"/>
          </w:tcPr>
          <w:p w14:paraId="140425E0">
            <w:pPr>
              <w:widowControl/>
              <w:spacing w:line="240" w:lineRule="auto"/>
              <w:ind w:firstLine="0" w:firstLineChars="0"/>
              <w:jc w:val="center"/>
              <w:rPr>
                <w:color w:val="000000"/>
                <w:sz w:val="18"/>
                <w:szCs w:val="18"/>
              </w:rPr>
            </w:pPr>
            <w:r>
              <w:rPr>
                <w:rFonts w:hint="eastAsia"/>
                <w:color w:val="000000"/>
                <w:sz w:val="18"/>
                <w:szCs w:val="18"/>
              </w:rPr>
              <w:t>135</w:t>
            </w:r>
          </w:p>
        </w:tc>
      </w:tr>
      <w:tr w14:paraId="5419ECCF">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3BD6F029">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3FC81F7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7B6B4E59">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5EA9A8C9">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DBD1BFC">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AE75AC7">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8926208">
            <w:pPr>
              <w:widowControl/>
              <w:spacing w:line="240" w:lineRule="auto"/>
              <w:ind w:firstLine="0" w:firstLineChars="0"/>
              <w:jc w:val="center"/>
              <w:rPr>
                <w:color w:val="000000"/>
                <w:sz w:val="18"/>
                <w:szCs w:val="18"/>
              </w:rPr>
            </w:pPr>
            <w:r>
              <w:rPr>
                <w:color w:val="000000"/>
                <w:sz w:val="18"/>
                <w:szCs w:val="18"/>
              </w:rPr>
              <w:t xml:space="preserve">0.023 </w:t>
            </w:r>
          </w:p>
        </w:tc>
        <w:tc>
          <w:tcPr>
            <w:tcW w:w="856" w:type="dxa"/>
            <w:tcBorders>
              <w:top w:val="nil"/>
              <w:left w:val="nil"/>
              <w:bottom w:val="single" w:color="000000" w:sz="8" w:space="0"/>
              <w:right w:val="single" w:color="000000" w:sz="8" w:space="0"/>
            </w:tcBorders>
            <w:vAlign w:val="center"/>
          </w:tcPr>
          <w:p w14:paraId="12C7894D">
            <w:pPr>
              <w:widowControl/>
              <w:spacing w:line="240" w:lineRule="auto"/>
              <w:ind w:firstLine="0" w:firstLineChars="0"/>
              <w:jc w:val="center"/>
              <w:rPr>
                <w:color w:val="000000"/>
                <w:sz w:val="18"/>
                <w:szCs w:val="18"/>
              </w:rPr>
            </w:pPr>
            <w:r>
              <w:rPr>
                <w:color w:val="000000"/>
                <w:sz w:val="18"/>
                <w:szCs w:val="18"/>
              </w:rPr>
              <w:t xml:space="preserve">0.073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BEB11E3">
            <w:pPr>
              <w:widowControl/>
              <w:spacing w:line="240" w:lineRule="auto"/>
              <w:ind w:firstLine="0" w:firstLineChars="0"/>
              <w:jc w:val="left"/>
              <w:rPr>
                <w:color w:val="000000"/>
                <w:sz w:val="18"/>
                <w:szCs w:val="18"/>
              </w:rPr>
            </w:pPr>
          </w:p>
        </w:tc>
      </w:tr>
      <w:tr w14:paraId="49214DF6">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019E95A6">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3BDFA99E">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E7AE19A">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1B2D8FAA">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3DED2182">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D2B4D45">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11403021">
            <w:pPr>
              <w:widowControl/>
              <w:spacing w:line="240" w:lineRule="auto"/>
              <w:ind w:firstLine="0" w:firstLineChars="0"/>
              <w:jc w:val="center"/>
              <w:rPr>
                <w:color w:val="000000"/>
                <w:sz w:val="18"/>
                <w:szCs w:val="18"/>
              </w:rPr>
            </w:pPr>
            <w:r>
              <w:rPr>
                <w:color w:val="000000"/>
                <w:sz w:val="18"/>
                <w:szCs w:val="18"/>
              </w:rPr>
              <w:t xml:space="preserve">0.012 </w:t>
            </w:r>
          </w:p>
        </w:tc>
        <w:tc>
          <w:tcPr>
            <w:tcW w:w="856" w:type="dxa"/>
            <w:tcBorders>
              <w:top w:val="nil"/>
              <w:left w:val="nil"/>
              <w:bottom w:val="single" w:color="000000" w:sz="8" w:space="0"/>
              <w:right w:val="single" w:color="000000" w:sz="8" w:space="0"/>
            </w:tcBorders>
            <w:vAlign w:val="center"/>
          </w:tcPr>
          <w:p w14:paraId="66831038">
            <w:pPr>
              <w:widowControl/>
              <w:spacing w:line="240" w:lineRule="auto"/>
              <w:ind w:firstLine="0" w:firstLineChars="0"/>
              <w:jc w:val="center"/>
              <w:rPr>
                <w:color w:val="000000"/>
                <w:sz w:val="18"/>
                <w:szCs w:val="18"/>
              </w:rPr>
            </w:pPr>
            <w:r>
              <w:rPr>
                <w:color w:val="000000"/>
                <w:sz w:val="18"/>
                <w:szCs w:val="18"/>
              </w:rPr>
              <w:t xml:space="preserve">0.062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4D1210F4">
            <w:pPr>
              <w:widowControl/>
              <w:spacing w:line="240" w:lineRule="auto"/>
              <w:ind w:firstLine="0" w:firstLineChars="0"/>
              <w:jc w:val="left"/>
              <w:rPr>
                <w:color w:val="000000"/>
                <w:sz w:val="18"/>
                <w:szCs w:val="18"/>
              </w:rPr>
            </w:pPr>
          </w:p>
        </w:tc>
      </w:tr>
      <w:tr w14:paraId="50799C3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1DB8B0BC">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5160D20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0A65ECBA">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0337460F">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A87608C">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368FD66B">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4721A581">
            <w:pPr>
              <w:widowControl/>
              <w:spacing w:line="240" w:lineRule="auto"/>
              <w:ind w:firstLine="0" w:firstLineChars="0"/>
              <w:jc w:val="center"/>
              <w:rPr>
                <w:color w:val="000000"/>
                <w:sz w:val="18"/>
                <w:szCs w:val="18"/>
              </w:rPr>
            </w:pPr>
            <w:r>
              <w:rPr>
                <w:color w:val="000000"/>
                <w:sz w:val="18"/>
                <w:szCs w:val="18"/>
              </w:rPr>
              <w:t xml:space="preserve">0.008 </w:t>
            </w:r>
          </w:p>
        </w:tc>
        <w:tc>
          <w:tcPr>
            <w:tcW w:w="856" w:type="dxa"/>
            <w:tcBorders>
              <w:top w:val="nil"/>
              <w:left w:val="nil"/>
              <w:bottom w:val="single" w:color="000000" w:sz="8" w:space="0"/>
              <w:right w:val="single" w:color="000000" w:sz="8" w:space="0"/>
            </w:tcBorders>
            <w:vAlign w:val="center"/>
          </w:tcPr>
          <w:p w14:paraId="70D72F82">
            <w:pPr>
              <w:widowControl/>
              <w:spacing w:line="240" w:lineRule="auto"/>
              <w:ind w:firstLine="0" w:firstLineChars="0"/>
              <w:jc w:val="center"/>
              <w:rPr>
                <w:color w:val="000000"/>
                <w:sz w:val="18"/>
                <w:szCs w:val="18"/>
              </w:rPr>
            </w:pPr>
            <w:r>
              <w:rPr>
                <w:color w:val="000000"/>
                <w:sz w:val="18"/>
                <w:szCs w:val="18"/>
              </w:rPr>
              <w:t xml:space="preserve">0.058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A4692C7">
            <w:pPr>
              <w:widowControl/>
              <w:spacing w:line="240" w:lineRule="auto"/>
              <w:ind w:firstLine="0" w:firstLineChars="0"/>
              <w:jc w:val="left"/>
              <w:rPr>
                <w:color w:val="000000"/>
                <w:sz w:val="18"/>
                <w:szCs w:val="18"/>
              </w:rPr>
            </w:pPr>
          </w:p>
        </w:tc>
      </w:tr>
      <w:tr w14:paraId="5D3AF8A8">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646A74C5">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630E8966">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FB9F41B">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5BD698C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2B01CDA">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94FBC20">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12F0E4CE">
            <w:pPr>
              <w:widowControl/>
              <w:spacing w:line="240" w:lineRule="auto"/>
              <w:ind w:firstLine="0" w:firstLineChars="0"/>
              <w:jc w:val="center"/>
              <w:rPr>
                <w:color w:val="000000"/>
                <w:sz w:val="18"/>
                <w:szCs w:val="18"/>
              </w:rPr>
            </w:pPr>
            <w:r>
              <w:rPr>
                <w:color w:val="000000"/>
                <w:sz w:val="18"/>
                <w:szCs w:val="18"/>
              </w:rPr>
              <w:t xml:space="preserve">0.005 </w:t>
            </w:r>
          </w:p>
        </w:tc>
        <w:tc>
          <w:tcPr>
            <w:tcW w:w="856" w:type="dxa"/>
            <w:tcBorders>
              <w:top w:val="nil"/>
              <w:left w:val="nil"/>
              <w:bottom w:val="single" w:color="000000" w:sz="8" w:space="0"/>
              <w:right w:val="single" w:color="000000" w:sz="8" w:space="0"/>
            </w:tcBorders>
            <w:vAlign w:val="center"/>
          </w:tcPr>
          <w:p w14:paraId="3E8669C2">
            <w:pPr>
              <w:widowControl/>
              <w:spacing w:line="240" w:lineRule="auto"/>
              <w:ind w:firstLine="0" w:firstLineChars="0"/>
              <w:jc w:val="center"/>
              <w:rPr>
                <w:color w:val="000000"/>
                <w:sz w:val="18"/>
                <w:szCs w:val="18"/>
              </w:rPr>
            </w:pPr>
            <w:r>
              <w:rPr>
                <w:color w:val="000000"/>
                <w:sz w:val="18"/>
                <w:szCs w:val="18"/>
              </w:rPr>
              <w:t xml:space="preserve">0.055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459416C9">
            <w:pPr>
              <w:widowControl/>
              <w:spacing w:line="240" w:lineRule="auto"/>
              <w:ind w:firstLine="0" w:firstLineChars="0"/>
              <w:jc w:val="left"/>
              <w:rPr>
                <w:color w:val="000000"/>
                <w:sz w:val="18"/>
                <w:szCs w:val="18"/>
              </w:rPr>
            </w:pPr>
          </w:p>
        </w:tc>
      </w:tr>
      <w:tr w14:paraId="22D765F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3A62247E">
            <w:pPr>
              <w:widowControl/>
              <w:spacing w:line="240" w:lineRule="auto"/>
              <w:ind w:firstLine="0" w:firstLineChars="0"/>
              <w:jc w:val="center"/>
              <w:rPr>
                <w:color w:val="000000"/>
                <w:sz w:val="18"/>
                <w:szCs w:val="18"/>
              </w:rPr>
            </w:pPr>
            <w:r>
              <w:rPr>
                <w:color w:val="000000"/>
                <w:sz w:val="18"/>
                <w:szCs w:val="18"/>
              </w:rPr>
              <w:t>5</w:t>
            </w:r>
          </w:p>
        </w:tc>
        <w:tc>
          <w:tcPr>
            <w:tcW w:w="1026" w:type="dxa"/>
            <w:tcBorders>
              <w:top w:val="nil"/>
              <w:left w:val="nil"/>
              <w:bottom w:val="single" w:color="000000" w:sz="8" w:space="0"/>
              <w:right w:val="single" w:color="000000" w:sz="8" w:space="0"/>
            </w:tcBorders>
            <w:vAlign w:val="center"/>
          </w:tcPr>
          <w:p w14:paraId="621EB8FB">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4FAB72C3">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7F5E8D29">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95A546E">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965E796">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65724759">
            <w:pPr>
              <w:widowControl/>
              <w:spacing w:line="240" w:lineRule="auto"/>
              <w:ind w:firstLine="0" w:firstLineChars="0"/>
              <w:jc w:val="center"/>
              <w:rPr>
                <w:color w:val="000000"/>
                <w:sz w:val="18"/>
                <w:szCs w:val="18"/>
              </w:rPr>
            </w:pPr>
            <w:r>
              <w:rPr>
                <w:color w:val="000000"/>
                <w:sz w:val="18"/>
                <w:szCs w:val="18"/>
              </w:rPr>
              <w:t xml:space="preserve">0.002 </w:t>
            </w:r>
          </w:p>
        </w:tc>
        <w:tc>
          <w:tcPr>
            <w:tcW w:w="856" w:type="dxa"/>
            <w:tcBorders>
              <w:top w:val="nil"/>
              <w:left w:val="nil"/>
              <w:bottom w:val="single" w:color="000000" w:sz="8" w:space="0"/>
              <w:right w:val="single" w:color="000000" w:sz="8" w:space="0"/>
            </w:tcBorders>
            <w:vAlign w:val="center"/>
          </w:tcPr>
          <w:p w14:paraId="6C2803B6">
            <w:pPr>
              <w:widowControl/>
              <w:spacing w:line="240" w:lineRule="auto"/>
              <w:ind w:firstLine="0" w:firstLineChars="0"/>
              <w:jc w:val="center"/>
              <w:rPr>
                <w:color w:val="000000"/>
                <w:sz w:val="18"/>
                <w:szCs w:val="18"/>
              </w:rPr>
            </w:pPr>
            <w:r>
              <w:rPr>
                <w:color w:val="000000"/>
                <w:sz w:val="18"/>
                <w:szCs w:val="18"/>
              </w:rPr>
              <w:t xml:space="preserve">0.052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62349E9">
            <w:pPr>
              <w:widowControl/>
              <w:spacing w:line="240" w:lineRule="auto"/>
              <w:ind w:firstLine="0" w:firstLineChars="0"/>
              <w:jc w:val="left"/>
              <w:rPr>
                <w:color w:val="000000"/>
                <w:sz w:val="18"/>
                <w:szCs w:val="18"/>
              </w:rPr>
            </w:pPr>
          </w:p>
        </w:tc>
      </w:tr>
      <w:tr w14:paraId="3FEF83F0">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3C6F3A93">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1226F9B0">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7C459812">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14E7E127">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1EB55D54">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2ECA0FEC">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18D19140">
            <w:pPr>
              <w:widowControl/>
              <w:spacing w:line="240" w:lineRule="auto"/>
              <w:ind w:firstLine="0" w:firstLineChars="0"/>
              <w:jc w:val="center"/>
              <w:rPr>
                <w:color w:val="000000"/>
                <w:sz w:val="18"/>
                <w:szCs w:val="18"/>
              </w:rPr>
            </w:pPr>
            <w:r>
              <w:rPr>
                <w:color w:val="000000"/>
                <w:sz w:val="18"/>
                <w:szCs w:val="18"/>
              </w:rPr>
              <w:t xml:space="preserve">0.094 </w:t>
            </w:r>
          </w:p>
        </w:tc>
        <w:tc>
          <w:tcPr>
            <w:tcW w:w="856" w:type="dxa"/>
            <w:tcBorders>
              <w:top w:val="nil"/>
              <w:left w:val="nil"/>
              <w:bottom w:val="single" w:color="000000" w:sz="8" w:space="0"/>
              <w:right w:val="single" w:color="000000" w:sz="8" w:space="0"/>
            </w:tcBorders>
            <w:vAlign w:val="center"/>
          </w:tcPr>
          <w:p w14:paraId="3ABE06C9">
            <w:pPr>
              <w:widowControl/>
              <w:spacing w:line="240" w:lineRule="auto"/>
              <w:ind w:firstLine="0" w:firstLineChars="0"/>
              <w:jc w:val="center"/>
              <w:rPr>
                <w:color w:val="000000"/>
                <w:sz w:val="18"/>
                <w:szCs w:val="18"/>
              </w:rPr>
            </w:pPr>
            <w:r>
              <w:rPr>
                <w:color w:val="000000"/>
                <w:sz w:val="18"/>
                <w:szCs w:val="18"/>
              </w:rPr>
              <w:t xml:space="preserve">0.144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27173240">
            <w:pPr>
              <w:widowControl/>
              <w:spacing w:line="240" w:lineRule="auto"/>
              <w:ind w:firstLine="0" w:firstLineChars="0"/>
              <w:jc w:val="left"/>
              <w:rPr>
                <w:color w:val="000000"/>
                <w:sz w:val="18"/>
                <w:szCs w:val="18"/>
              </w:rPr>
            </w:pPr>
          </w:p>
        </w:tc>
      </w:tr>
      <w:tr w14:paraId="36E30D87">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62A55AFD">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7CA07CB7">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3DD6C65">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5094388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1498B14">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5D6957A7">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D549642">
            <w:pPr>
              <w:widowControl/>
              <w:spacing w:line="240" w:lineRule="auto"/>
              <w:ind w:firstLine="0" w:firstLineChars="0"/>
              <w:jc w:val="center"/>
              <w:rPr>
                <w:color w:val="000000"/>
                <w:sz w:val="18"/>
                <w:szCs w:val="18"/>
              </w:rPr>
            </w:pPr>
            <w:r>
              <w:rPr>
                <w:color w:val="000000"/>
                <w:sz w:val="18"/>
                <w:szCs w:val="18"/>
              </w:rPr>
              <w:t xml:space="preserve">0.047 </w:t>
            </w:r>
          </w:p>
        </w:tc>
        <w:tc>
          <w:tcPr>
            <w:tcW w:w="856" w:type="dxa"/>
            <w:tcBorders>
              <w:top w:val="nil"/>
              <w:left w:val="nil"/>
              <w:bottom w:val="single" w:color="000000" w:sz="8" w:space="0"/>
              <w:right w:val="single" w:color="000000" w:sz="8" w:space="0"/>
            </w:tcBorders>
            <w:vAlign w:val="center"/>
          </w:tcPr>
          <w:p w14:paraId="21152DBB">
            <w:pPr>
              <w:widowControl/>
              <w:spacing w:line="240" w:lineRule="auto"/>
              <w:ind w:firstLine="0" w:firstLineChars="0"/>
              <w:jc w:val="center"/>
              <w:rPr>
                <w:color w:val="000000"/>
                <w:sz w:val="18"/>
                <w:szCs w:val="18"/>
              </w:rPr>
            </w:pPr>
            <w:r>
              <w:rPr>
                <w:color w:val="000000"/>
                <w:sz w:val="18"/>
                <w:szCs w:val="18"/>
              </w:rPr>
              <w:t xml:space="preserve">0.097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44882AE9">
            <w:pPr>
              <w:widowControl/>
              <w:spacing w:line="240" w:lineRule="auto"/>
              <w:ind w:firstLine="0" w:firstLineChars="0"/>
              <w:jc w:val="left"/>
              <w:rPr>
                <w:color w:val="000000"/>
                <w:sz w:val="18"/>
                <w:szCs w:val="18"/>
              </w:rPr>
            </w:pPr>
          </w:p>
        </w:tc>
      </w:tr>
      <w:tr w14:paraId="41635646">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3F8AC890">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4A3D11F5">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3E6AF16">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63D7929E">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0209701">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5D4DF8DF">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1351785A">
            <w:pPr>
              <w:widowControl/>
              <w:spacing w:line="240" w:lineRule="auto"/>
              <w:ind w:firstLine="0" w:firstLineChars="0"/>
              <w:jc w:val="center"/>
              <w:rPr>
                <w:color w:val="000000"/>
                <w:sz w:val="18"/>
                <w:szCs w:val="18"/>
              </w:rPr>
            </w:pPr>
            <w:r>
              <w:rPr>
                <w:color w:val="000000"/>
                <w:sz w:val="18"/>
                <w:szCs w:val="18"/>
              </w:rPr>
              <w:t xml:space="preserve">0.023 </w:t>
            </w:r>
          </w:p>
        </w:tc>
        <w:tc>
          <w:tcPr>
            <w:tcW w:w="856" w:type="dxa"/>
            <w:tcBorders>
              <w:top w:val="nil"/>
              <w:left w:val="nil"/>
              <w:bottom w:val="single" w:color="000000" w:sz="8" w:space="0"/>
              <w:right w:val="single" w:color="000000" w:sz="8" w:space="0"/>
            </w:tcBorders>
            <w:vAlign w:val="center"/>
          </w:tcPr>
          <w:p w14:paraId="3782D968">
            <w:pPr>
              <w:widowControl/>
              <w:spacing w:line="240" w:lineRule="auto"/>
              <w:ind w:firstLine="0" w:firstLineChars="0"/>
              <w:jc w:val="center"/>
              <w:rPr>
                <w:color w:val="000000"/>
                <w:sz w:val="18"/>
                <w:szCs w:val="18"/>
              </w:rPr>
            </w:pPr>
            <w:r>
              <w:rPr>
                <w:color w:val="000000"/>
                <w:sz w:val="18"/>
                <w:szCs w:val="18"/>
              </w:rPr>
              <w:t xml:space="preserve">0.073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31DB33EA">
            <w:pPr>
              <w:widowControl/>
              <w:spacing w:line="240" w:lineRule="auto"/>
              <w:ind w:firstLine="0" w:firstLineChars="0"/>
              <w:jc w:val="left"/>
              <w:rPr>
                <w:color w:val="000000"/>
                <w:sz w:val="18"/>
                <w:szCs w:val="18"/>
              </w:rPr>
            </w:pPr>
          </w:p>
        </w:tc>
      </w:tr>
      <w:tr w14:paraId="5B548819">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1AF19319">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40A4ED7D">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1237B239">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7DBCF810">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5858954">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7EF23DBE">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E37A73F">
            <w:pPr>
              <w:widowControl/>
              <w:spacing w:line="240" w:lineRule="auto"/>
              <w:ind w:firstLine="0" w:firstLineChars="0"/>
              <w:jc w:val="center"/>
              <w:rPr>
                <w:color w:val="000000"/>
                <w:sz w:val="18"/>
                <w:szCs w:val="18"/>
              </w:rPr>
            </w:pPr>
            <w:r>
              <w:rPr>
                <w:color w:val="000000"/>
                <w:sz w:val="18"/>
                <w:szCs w:val="18"/>
              </w:rPr>
              <w:t xml:space="preserve">0.016 </w:t>
            </w:r>
          </w:p>
        </w:tc>
        <w:tc>
          <w:tcPr>
            <w:tcW w:w="856" w:type="dxa"/>
            <w:tcBorders>
              <w:top w:val="nil"/>
              <w:left w:val="nil"/>
              <w:bottom w:val="single" w:color="000000" w:sz="8" w:space="0"/>
              <w:right w:val="single" w:color="000000" w:sz="8" w:space="0"/>
            </w:tcBorders>
            <w:vAlign w:val="center"/>
          </w:tcPr>
          <w:p w14:paraId="2817F43B">
            <w:pPr>
              <w:widowControl/>
              <w:spacing w:line="240" w:lineRule="auto"/>
              <w:ind w:firstLine="0" w:firstLineChars="0"/>
              <w:jc w:val="center"/>
              <w:rPr>
                <w:color w:val="000000"/>
                <w:sz w:val="18"/>
                <w:szCs w:val="18"/>
              </w:rPr>
            </w:pPr>
            <w:r>
              <w:rPr>
                <w:color w:val="000000"/>
                <w:sz w:val="18"/>
                <w:szCs w:val="18"/>
              </w:rPr>
              <w:t xml:space="preserve">0.066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3A0134D4">
            <w:pPr>
              <w:widowControl/>
              <w:spacing w:line="240" w:lineRule="auto"/>
              <w:ind w:firstLine="0" w:firstLineChars="0"/>
              <w:jc w:val="left"/>
              <w:rPr>
                <w:color w:val="000000"/>
                <w:sz w:val="18"/>
                <w:szCs w:val="18"/>
              </w:rPr>
            </w:pPr>
          </w:p>
        </w:tc>
      </w:tr>
      <w:tr w14:paraId="77C18E44">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54F6142D">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7F70EE2A">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A6DD013">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51D4247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287F8F1">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5661E3A">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79A26764">
            <w:pPr>
              <w:widowControl/>
              <w:spacing w:line="240" w:lineRule="auto"/>
              <w:ind w:firstLine="0" w:firstLineChars="0"/>
              <w:jc w:val="center"/>
              <w:rPr>
                <w:color w:val="000000"/>
                <w:sz w:val="18"/>
                <w:szCs w:val="18"/>
              </w:rPr>
            </w:pPr>
            <w:r>
              <w:rPr>
                <w:color w:val="000000"/>
                <w:sz w:val="18"/>
                <w:szCs w:val="18"/>
              </w:rPr>
              <w:t xml:space="preserve">0.009 </w:t>
            </w:r>
          </w:p>
        </w:tc>
        <w:tc>
          <w:tcPr>
            <w:tcW w:w="856" w:type="dxa"/>
            <w:tcBorders>
              <w:top w:val="nil"/>
              <w:left w:val="nil"/>
              <w:bottom w:val="single" w:color="000000" w:sz="8" w:space="0"/>
              <w:right w:val="single" w:color="000000" w:sz="8" w:space="0"/>
            </w:tcBorders>
            <w:vAlign w:val="center"/>
          </w:tcPr>
          <w:p w14:paraId="66655CBD">
            <w:pPr>
              <w:widowControl/>
              <w:spacing w:line="240" w:lineRule="auto"/>
              <w:ind w:firstLine="0" w:firstLineChars="0"/>
              <w:jc w:val="center"/>
              <w:rPr>
                <w:color w:val="000000"/>
                <w:sz w:val="18"/>
                <w:szCs w:val="18"/>
              </w:rPr>
            </w:pPr>
            <w:r>
              <w:rPr>
                <w:color w:val="000000"/>
                <w:sz w:val="18"/>
                <w:szCs w:val="18"/>
              </w:rPr>
              <w:t xml:space="preserve">0.059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9A3B0C6">
            <w:pPr>
              <w:widowControl/>
              <w:spacing w:line="240" w:lineRule="auto"/>
              <w:ind w:firstLine="0" w:firstLineChars="0"/>
              <w:jc w:val="left"/>
              <w:rPr>
                <w:color w:val="000000"/>
                <w:sz w:val="18"/>
                <w:szCs w:val="18"/>
              </w:rPr>
            </w:pPr>
          </w:p>
        </w:tc>
      </w:tr>
      <w:tr w14:paraId="08B50E51">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noWrap/>
            <w:vAlign w:val="center"/>
          </w:tcPr>
          <w:p w14:paraId="577BCDF3">
            <w:pPr>
              <w:widowControl/>
              <w:spacing w:line="240" w:lineRule="auto"/>
              <w:ind w:firstLine="0" w:firstLineChars="0"/>
              <w:jc w:val="center"/>
              <w:rPr>
                <w:color w:val="000000"/>
                <w:sz w:val="18"/>
                <w:szCs w:val="18"/>
              </w:rPr>
            </w:pPr>
            <w:r>
              <w:rPr>
                <w:color w:val="000000"/>
                <w:sz w:val="18"/>
                <w:szCs w:val="18"/>
              </w:rPr>
              <w:t>10</w:t>
            </w:r>
          </w:p>
        </w:tc>
        <w:tc>
          <w:tcPr>
            <w:tcW w:w="1026" w:type="dxa"/>
            <w:tcBorders>
              <w:top w:val="nil"/>
              <w:left w:val="nil"/>
              <w:bottom w:val="single" w:color="000000" w:sz="8" w:space="0"/>
              <w:right w:val="single" w:color="000000" w:sz="8" w:space="0"/>
            </w:tcBorders>
            <w:vAlign w:val="center"/>
          </w:tcPr>
          <w:p w14:paraId="4398B7DF">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4D2C29F">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34813B15">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5CC46EFE">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76E2E25B">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7912C653">
            <w:pPr>
              <w:widowControl/>
              <w:spacing w:line="240" w:lineRule="auto"/>
              <w:ind w:firstLine="0" w:firstLineChars="0"/>
              <w:jc w:val="center"/>
              <w:rPr>
                <w:color w:val="000000"/>
                <w:sz w:val="18"/>
                <w:szCs w:val="18"/>
              </w:rPr>
            </w:pPr>
            <w:r>
              <w:rPr>
                <w:color w:val="000000"/>
                <w:sz w:val="18"/>
                <w:szCs w:val="18"/>
              </w:rPr>
              <w:t xml:space="preserve">0.005 </w:t>
            </w:r>
          </w:p>
        </w:tc>
        <w:tc>
          <w:tcPr>
            <w:tcW w:w="856" w:type="dxa"/>
            <w:tcBorders>
              <w:top w:val="nil"/>
              <w:left w:val="nil"/>
              <w:bottom w:val="single" w:color="000000" w:sz="8" w:space="0"/>
              <w:right w:val="single" w:color="000000" w:sz="8" w:space="0"/>
            </w:tcBorders>
            <w:vAlign w:val="center"/>
          </w:tcPr>
          <w:p w14:paraId="604F555D">
            <w:pPr>
              <w:widowControl/>
              <w:spacing w:line="240" w:lineRule="auto"/>
              <w:ind w:firstLine="0" w:firstLineChars="0"/>
              <w:jc w:val="center"/>
              <w:rPr>
                <w:color w:val="000000"/>
                <w:sz w:val="18"/>
                <w:szCs w:val="18"/>
              </w:rPr>
            </w:pPr>
            <w:r>
              <w:rPr>
                <w:color w:val="000000"/>
                <w:sz w:val="18"/>
                <w:szCs w:val="18"/>
              </w:rPr>
              <w:t xml:space="preserve">0.055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E8AAA53">
            <w:pPr>
              <w:widowControl/>
              <w:spacing w:line="240" w:lineRule="auto"/>
              <w:ind w:firstLine="0" w:firstLineChars="0"/>
              <w:jc w:val="left"/>
              <w:rPr>
                <w:color w:val="000000"/>
                <w:sz w:val="18"/>
                <w:szCs w:val="18"/>
              </w:rPr>
            </w:pPr>
          </w:p>
        </w:tc>
      </w:tr>
      <w:tr w14:paraId="394F173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4F2FCF0">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18DE4FEB">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3AC9DD9">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30305F81">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ACCB141">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29B8D8D7">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33637BDC">
            <w:pPr>
              <w:widowControl/>
              <w:spacing w:line="240" w:lineRule="auto"/>
              <w:ind w:firstLine="0" w:firstLineChars="0"/>
              <w:jc w:val="center"/>
              <w:rPr>
                <w:color w:val="000000"/>
                <w:sz w:val="18"/>
                <w:szCs w:val="18"/>
              </w:rPr>
            </w:pPr>
            <w:r>
              <w:rPr>
                <w:color w:val="000000"/>
                <w:sz w:val="18"/>
                <w:szCs w:val="18"/>
              </w:rPr>
              <w:t xml:space="preserve">0.188 </w:t>
            </w:r>
          </w:p>
        </w:tc>
        <w:tc>
          <w:tcPr>
            <w:tcW w:w="856" w:type="dxa"/>
            <w:tcBorders>
              <w:top w:val="nil"/>
              <w:left w:val="nil"/>
              <w:bottom w:val="single" w:color="000000" w:sz="8" w:space="0"/>
              <w:right w:val="single" w:color="000000" w:sz="8" w:space="0"/>
            </w:tcBorders>
            <w:vAlign w:val="center"/>
          </w:tcPr>
          <w:p w14:paraId="0A9372E7">
            <w:pPr>
              <w:widowControl/>
              <w:spacing w:line="240" w:lineRule="auto"/>
              <w:ind w:firstLine="0" w:firstLineChars="0"/>
              <w:jc w:val="center"/>
              <w:rPr>
                <w:color w:val="000000"/>
                <w:sz w:val="18"/>
                <w:szCs w:val="18"/>
              </w:rPr>
            </w:pPr>
            <w:r>
              <w:rPr>
                <w:color w:val="000000"/>
                <w:sz w:val="18"/>
                <w:szCs w:val="18"/>
              </w:rPr>
              <w:t xml:space="preserve">0.238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5ABC270">
            <w:pPr>
              <w:widowControl/>
              <w:spacing w:line="240" w:lineRule="auto"/>
              <w:ind w:firstLine="0" w:firstLineChars="0"/>
              <w:jc w:val="left"/>
              <w:rPr>
                <w:color w:val="000000"/>
                <w:sz w:val="18"/>
                <w:szCs w:val="18"/>
              </w:rPr>
            </w:pPr>
          </w:p>
        </w:tc>
      </w:tr>
      <w:tr w14:paraId="081473C6">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A3A21E6">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13333FA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01D03D7">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64292EB6">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1AF1F3A1">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F1C3676">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086237F2">
            <w:pPr>
              <w:widowControl/>
              <w:spacing w:line="240" w:lineRule="auto"/>
              <w:ind w:firstLine="0" w:firstLineChars="0"/>
              <w:jc w:val="center"/>
              <w:rPr>
                <w:color w:val="000000"/>
                <w:sz w:val="18"/>
                <w:szCs w:val="18"/>
              </w:rPr>
            </w:pPr>
            <w:r>
              <w:rPr>
                <w:color w:val="000000"/>
                <w:sz w:val="18"/>
                <w:szCs w:val="18"/>
              </w:rPr>
              <w:t xml:space="preserve">0.094 </w:t>
            </w:r>
          </w:p>
        </w:tc>
        <w:tc>
          <w:tcPr>
            <w:tcW w:w="856" w:type="dxa"/>
            <w:tcBorders>
              <w:top w:val="nil"/>
              <w:left w:val="nil"/>
              <w:bottom w:val="single" w:color="000000" w:sz="8" w:space="0"/>
              <w:right w:val="single" w:color="000000" w:sz="8" w:space="0"/>
            </w:tcBorders>
            <w:vAlign w:val="center"/>
          </w:tcPr>
          <w:p w14:paraId="3B08E1AE">
            <w:pPr>
              <w:widowControl/>
              <w:spacing w:line="240" w:lineRule="auto"/>
              <w:ind w:firstLine="0" w:firstLineChars="0"/>
              <w:jc w:val="center"/>
              <w:rPr>
                <w:color w:val="000000"/>
                <w:sz w:val="18"/>
                <w:szCs w:val="18"/>
              </w:rPr>
            </w:pPr>
            <w:r>
              <w:rPr>
                <w:color w:val="000000"/>
                <w:sz w:val="18"/>
                <w:szCs w:val="18"/>
              </w:rPr>
              <w:t xml:space="preserve">0.144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EC6B4D7">
            <w:pPr>
              <w:widowControl/>
              <w:spacing w:line="240" w:lineRule="auto"/>
              <w:ind w:firstLine="0" w:firstLineChars="0"/>
              <w:jc w:val="left"/>
              <w:rPr>
                <w:color w:val="000000"/>
                <w:sz w:val="18"/>
                <w:szCs w:val="18"/>
              </w:rPr>
            </w:pPr>
          </w:p>
        </w:tc>
      </w:tr>
      <w:tr w14:paraId="2DDB4BEB">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13AA3A57">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048CD30E">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9898373">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1B849192">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7D149C2">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3076866">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0E3CF17E">
            <w:pPr>
              <w:widowControl/>
              <w:spacing w:line="240" w:lineRule="auto"/>
              <w:ind w:firstLine="0" w:firstLineChars="0"/>
              <w:jc w:val="center"/>
              <w:rPr>
                <w:color w:val="000000"/>
                <w:sz w:val="18"/>
                <w:szCs w:val="18"/>
              </w:rPr>
            </w:pPr>
            <w:r>
              <w:rPr>
                <w:color w:val="000000"/>
                <w:sz w:val="18"/>
                <w:szCs w:val="18"/>
              </w:rPr>
              <w:t xml:space="preserve">0.047 </w:t>
            </w:r>
          </w:p>
        </w:tc>
        <w:tc>
          <w:tcPr>
            <w:tcW w:w="856" w:type="dxa"/>
            <w:tcBorders>
              <w:top w:val="nil"/>
              <w:left w:val="nil"/>
              <w:bottom w:val="single" w:color="000000" w:sz="8" w:space="0"/>
              <w:right w:val="single" w:color="000000" w:sz="8" w:space="0"/>
            </w:tcBorders>
            <w:vAlign w:val="center"/>
          </w:tcPr>
          <w:p w14:paraId="5309197B">
            <w:pPr>
              <w:widowControl/>
              <w:spacing w:line="240" w:lineRule="auto"/>
              <w:ind w:firstLine="0" w:firstLineChars="0"/>
              <w:jc w:val="center"/>
              <w:rPr>
                <w:color w:val="000000"/>
                <w:sz w:val="18"/>
                <w:szCs w:val="18"/>
              </w:rPr>
            </w:pPr>
            <w:r>
              <w:rPr>
                <w:color w:val="000000"/>
                <w:sz w:val="18"/>
                <w:szCs w:val="18"/>
              </w:rPr>
              <w:t xml:space="preserve">0.097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1F23720E">
            <w:pPr>
              <w:widowControl/>
              <w:spacing w:line="240" w:lineRule="auto"/>
              <w:ind w:firstLine="0" w:firstLineChars="0"/>
              <w:jc w:val="left"/>
              <w:rPr>
                <w:color w:val="000000"/>
                <w:sz w:val="18"/>
                <w:szCs w:val="18"/>
              </w:rPr>
            </w:pPr>
          </w:p>
        </w:tc>
      </w:tr>
      <w:tr w14:paraId="351632CE">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0FC3F20">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780E96C6">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2BB1633">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3E4F8E80">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0D1A9487">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4FC0B238">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2E81EA82">
            <w:pPr>
              <w:widowControl/>
              <w:spacing w:line="240" w:lineRule="auto"/>
              <w:ind w:firstLine="0" w:firstLineChars="0"/>
              <w:jc w:val="center"/>
              <w:rPr>
                <w:color w:val="000000"/>
                <w:sz w:val="18"/>
                <w:szCs w:val="18"/>
              </w:rPr>
            </w:pPr>
            <w:r>
              <w:rPr>
                <w:color w:val="000000"/>
                <w:sz w:val="18"/>
                <w:szCs w:val="18"/>
              </w:rPr>
              <w:t xml:space="preserve">0.031 </w:t>
            </w:r>
          </w:p>
        </w:tc>
        <w:tc>
          <w:tcPr>
            <w:tcW w:w="856" w:type="dxa"/>
            <w:tcBorders>
              <w:top w:val="nil"/>
              <w:left w:val="nil"/>
              <w:bottom w:val="single" w:color="000000" w:sz="8" w:space="0"/>
              <w:right w:val="single" w:color="000000" w:sz="8" w:space="0"/>
            </w:tcBorders>
            <w:vAlign w:val="center"/>
          </w:tcPr>
          <w:p w14:paraId="490E40BD">
            <w:pPr>
              <w:widowControl/>
              <w:spacing w:line="240" w:lineRule="auto"/>
              <w:ind w:firstLine="0" w:firstLineChars="0"/>
              <w:jc w:val="center"/>
              <w:rPr>
                <w:color w:val="000000"/>
                <w:sz w:val="18"/>
                <w:szCs w:val="18"/>
              </w:rPr>
            </w:pPr>
            <w:r>
              <w:rPr>
                <w:color w:val="000000"/>
                <w:sz w:val="18"/>
                <w:szCs w:val="18"/>
              </w:rPr>
              <w:t xml:space="preserve">0.081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42D65F63">
            <w:pPr>
              <w:widowControl/>
              <w:spacing w:line="240" w:lineRule="auto"/>
              <w:ind w:firstLine="0" w:firstLineChars="0"/>
              <w:jc w:val="left"/>
              <w:rPr>
                <w:color w:val="000000"/>
                <w:sz w:val="18"/>
                <w:szCs w:val="18"/>
              </w:rPr>
            </w:pPr>
          </w:p>
        </w:tc>
      </w:tr>
      <w:tr w14:paraId="0B190DB9">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FA7DA82">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5576869D">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F1729A0">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76A4AAE0">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263C45B8">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714B5E83">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7375AA0B">
            <w:pPr>
              <w:widowControl/>
              <w:spacing w:line="240" w:lineRule="auto"/>
              <w:ind w:firstLine="0" w:firstLineChars="0"/>
              <w:jc w:val="center"/>
              <w:rPr>
                <w:color w:val="000000"/>
                <w:sz w:val="18"/>
                <w:szCs w:val="18"/>
              </w:rPr>
            </w:pPr>
            <w:r>
              <w:rPr>
                <w:color w:val="000000"/>
                <w:sz w:val="18"/>
                <w:szCs w:val="18"/>
              </w:rPr>
              <w:t xml:space="preserve">0.019 </w:t>
            </w:r>
          </w:p>
        </w:tc>
        <w:tc>
          <w:tcPr>
            <w:tcW w:w="856" w:type="dxa"/>
            <w:tcBorders>
              <w:top w:val="nil"/>
              <w:left w:val="nil"/>
              <w:bottom w:val="single" w:color="000000" w:sz="8" w:space="0"/>
              <w:right w:val="single" w:color="000000" w:sz="8" w:space="0"/>
            </w:tcBorders>
            <w:vAlign w:val="center"/>
          </w:tcPr>
          <w:p w14:paraId="04095BEA">
            <w:pPr>
              <w:widowControl/>
              <w:spacing w:line="240" w:lineRule="auto"/>
              <w:ind w:firstLine="0" w:firstLineChars="0"/>
              <w:jc w:val="center"/>
              <w:rPr>
                <w:color w:val="000000"/>
                <w:sz w:val="18"/>
                <w:szCs w:val="18"/>
              </w:rPr>
            </w:pPr>
            <w:r>
              <w:rPr>
                <w:color w:val="000000"/>
                <w:sz w:val="18"/>
                <w:szCs w:val="18"/>
              </w:rPr>
              <w:t xml:space="preserve">0.069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7617D37B">
            <w:pPr>
              <w:widowControl/>
              <w:spacing w:line="240" w:lineRule="auto"/>
              <w:ind w:firstLine="0" w:firstLineChars="0"/>
              <w:jc w:val="left"/>
              <w:rPr>
                <w:color w:val="000000"/>
                <w:sz w:val="18"/>
                <w:szCs w:val="18"/>
              </w:rPr>
            </w:pPr>
          </w:p>
        </w:tc>
      </w:tr>
      <w:tr w14:paraId="1AF74898">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B302562">
            <w:pPr>
              <w:widowControl/>
              <w:spacing w:line="240" w:lineRule="auto"/>
              <w:ind w:firstLine="0" w:firstLineChars="0"/>
              <w:jc w:val="center"/>
              <w:rPr>
                <w:color w:val="000000"/>
                <w:sz w:val="18"/>
                <w:szCs w:val="18"/>
              </w:rPr>
            </w:pPr>
            <w:r>
              <w:rPr>
                <w:color w:val="000000"/>
                <w:sz w:val="18"/>
                <w:szCs w:val="18"/>
              </w:rPr>
              <w:t>20</w:t>
            </w:r>
          </w:p>
        </w:tc>
        <w:tc>
          <w:tcPr>
            <w:tcW w:w="1026" w:type="dxa"/>
            <w:tcBorders>
              <w:top w:val="nil"/>
              <w:left w:val="nil"/>
              <w:bottom w:val="single" w:color="000000" w:sz="8" w:space="0"/>
              <w:right w:val="single" w:color="000000" w:sz="8" w:space="0"/>
            </w:tcBorders>
            <w:vAlign w:val="center"/>
          </w:tcPr>
          <w:p w14:paraId="6116FCC3">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49EBAEB7">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719A6F34">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CA91E18">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0EF45078">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4DBFC596">
            <w:pPr>
              <w:widowControl/>
              <w:spacing w:line="240" w:lineRule="auto"/>
              <w:ind w:firstLine="0" w:firstLineChars="0"/>
              <w:jc w:val="center"/>
              <w:rPr>
                <w:color w:val="000000"/>
                <w:sz w:val="18"/>
                <w:szCs w:val="18"/>
              </w:rPr>
            </w:pPr>
            <w:r>
              <w:rPr>
                <w:color w:val="000000"/>
                <w:sz w:val="18"/>
                <w:szCs w:val="18"/>
              </w:rPr>
              <w:t xml:space="preserve">0.009 </w:t>
            </w:r>
          </w:p>
        </w:tc>
        <w:tc>
          <w:tcPr>
            <w:tcW w:w="856" w:type="dxa"/>
            <w:tcBorders>
              <w:top w:val="nil"/>
              <w:left w:val="nil"/>
              <w:bottom w:val="single" w:color="000000" w:sz="8" w:space="0"/>
              <w:right w:val="single" w:color="000000" w:sz="8" w:space="0"/>
            </w:tcBorders>
            <w:vAlign w:val="center"/>
          </w:tcPr>
          <w:p w14:paraId="510BFBF5">
            <w:pPr>
              <w:widowControl/>
              <w:spacing w:line="240" w:lineRule="auto"/>
              <w:ind w:firstLine="0" w:firstLineChars="0"/>
              <w:jc w:val="center"/>
              <w:rPr>
                <w:color w:val="000000"/>
                <w:sz w:val="18"/>
                <w:szCs w:val="18"/>
              </w:rPr>
            </w:pPr>
            <w:r>
              <w:rPr>
                <w:color w:val="000000"/>
                <w:sz w:val="18"/>
                <w:szCs w:val="18"/>
              </w:rPr>
              <w:t xml:space="preserve">0.059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3CDD87E">
            <w:pPr>
              <w:widowControl/>
              <w:spacing w:line="240" w:lineRule="auto"/>
              <w:ind w:firstLine="0" w:firstLineChars="0"/>
              <w:jc w:val="left"/>
              <w:rPr>
                <w:color w:val="000000"/>
                <w:sz w:val="18"/>
                <w:szCs w:val="18"/>
              </w:rPr>
            </w:pPr>
          </w:p>
        </w:tc>
      </w:tr>
      <w:tr w14:paraId="2165BA44">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1BA8BB80">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332DCD88">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7F329E70">
            <w:pPr>
              <w:widowControl/>
              <w:spacing w:line="240" w:lineRule="auto"/>
              <w:ind w:firstLine="0" w:firstLineChars="0"/>
              <w:jc w:val="center"/>
              <w:rPr>
                <w:color w:val="000000"/>
                <w:sz w:val="18"/>
                <w:szCs w:val="18"/>
              </w:rPr>
            </w:pPr>
            <w:r>
              <w:rPr>
                <w:color w:val="000000"/>
                <w:sz w:val="18"/>
                <w:szCs w:val="18"/>
              </w:rPr>
              <w:t xml:space="preserve">355440.56 </w:t>
            </w:r>
          </w:p>
        </w:tc>
        <w:tc>
          <w:tcPr>
            <w:tcW w:w="720" w:type="dxa"/>
            <w:tcBorders>
              <w:top w:val="nil"/>
              <w:left w:val="nil"/>
              <w:bottom w:val="single" w:color="000000" w:sz="8" w:space="0"/>
              <w:right w:val="single" w:color="000000" w:sz="8" w:space="0"/>
            </w:tcBorders>
            <w:noWrap/>
            <w:vAlign w:val="center"/>
          </w:tcPr>
          <w:p w14:paraId="53F52C31">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FAD373A">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332CADB3">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541068CB">
            <w:pPr>
              <w:widowControl/>
              <w:spacing w:line="240" w:lineRule="auto"/>
              <w:ind w:firstLine="0" w:firstLineChars="0"/>
              <w:jc w:val="center"/>
              <w:rPr>
                <w:color w:val="000000"/>
                <w:sz w:val="18"/>
                <w:szCs w:val="18"/>
              </w:rPr>
            </w:pPr>
            <w:r>
              <w:rPr>
                <w:color w:val="000000"/>
                <w:sz w:val="18"/>
                <w:szCs w:val="18"/>
              </w:rPr>
              <w:t xml:space="preserve">0.469 </w:t>
            </w:r>
          </w:p>
        </w:tc>
        <w:tc>
          <w:tcPr>
            <w:tcW w:w="856" w:type="dxa"/>
            <w:tcBorders>
              <w:top w:val="nil"/>
              <w:left w:val="nil"/>
              <w:bottom w:val="single" w:color="000000" w:sz="8" w:space="0"/>
              <w:right w:val="single" w:color="000000" w:sz="8" w:space="0"/>
            </w:tcBorders>
            <w:vAlign w:val="center"/>
          </w:tcPr>
          <w:p w14:paraId="14911980">
            <w:pPr>
              <w:widowControl/>
              <w:spacing w:line="240" w:lineRule="auto"/>
              <w:ind w:firstLine="0" w:firstLineChars="0"/>
              <w:jc w:val="center"/>
              <w:rPr>
                <w:color w:val="000000"/>
                <w:sz w:val="18"/>
                <w:szCs w:val="18"/>
              </w:rPr>
            </w:pPr>
            <w:r>
              <w:rPr>
                <w:color w:val="000000"/>
                <w:sz w:val="18"/>
                <w:szCs w:val="18"/>
              </w:rPr>
              <w:t xml:space="preserve">0.519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1D8C109B">
            <w:pPr>
              <w:widowControl/>
              <w:spacing w:line="240" w:lineRule="auto"/>
              <w:ind w:firstLine="0" w:firstLineChars="0"/>
              <w:jc w:val="left"/>
              <w:rPr>
                <w:color w:val="000000"/>
                <w:sz w:val="18"/>
                <w:szCs w:val="18"/>
              </w:rPr>
            </w:pPr>
          </w:p>
        </w:tc>
      </w:tr>
      <w:tr w14:paraId="4983562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56A77FC5">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72DD83D4">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37173EFF">
            <w:pPr>
              <w:widowControl/>
              <w:spacing w:line="240" w:lineRule="auto"/>
              <w:ind w:firstLine="0" w:firstLineChars="0"/>
              <w:jc w:val="center"/>
              <w:rPr>
                <w:color w:val="000000"/>
                <w:sz w:val="18"/>
                <w:szCs w:val="18"/>
              </w:rPr>
            </w:pPr>
            <w:r>
              <w:rPr>
                <w:color w:val="000000"/>
                <w:sz w:val="18"/>
                <w:szCs w:val="18"/>
              </w:rPr>
              <w:t xml:space="preserve">710881.11 </w:t>
            </w:r>
          </w:p>
        </w:tc>
        <w:tc>
          <w:tcPr>
            <w:tcW w:w="720" w:type="dxa"/>
            <w:tcBorders>
              <w:top w:val="nil"/>
              <w:left w:val="nil"/>
              <w:bottom w:val="single" w:color="000000" w:sz="8" w:space="0"/>
              <w:right w:val="single" w:color="000000" w:sz="8" w:space="0"/>
            </w:tcBorders>
            <w:noWrap/>
            <w:vAlign w:val="center"/>
          </w:tcPr>
          <w:p w14:paraId="11D8948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3CC6DB5B">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33DA0382">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4DC556B6">
            <w:pPr>
              <w:widowControl/>
              <w:spacing w:line="240" w:lineRule="auto"/>
              <w:ind w:firstLine="0" w:firstLineChars="0"/>
              <w:jc w:val="center"/>
              <w:rPr>
                <w:color w:val="000000"/>
                <w:sz w:val="18"/>
                <w:szCs w:val="18"/>
              </w:rPr>
            </w:pPr>
            <w:r>
              <w:rPr>
                <w:color w:val="000000"/>
                <w:sz w:val="18"/>
                <w:szCs w:val="18"/>
              </w:rPr>
              <w:t xml:space="preserve">0.234 </w:t>
            </w:r>
          </w:p>
        </w:tc>
        <w:tc>
          <w:tcPr>
            <w:tcW w:w="856" w:type="dxa"/>
            <w:tcBorders>
              <w:top w:val="nil"/>
              <w:left w:val="nil"/>
              <w:bottom w:val="single" w:color="000000" w:sz="8" w:space="0"/>
              <w:right w:val="single" w:color="000000" w:sz="8" w:space="0"/>
            </w:tcBorders>
            <w:vAlign w:val="center"/>
          </w:tcPr>
          <w:p w14:paraId="269C5EB5">
            <w:pPr>
              <w:widowControl/>
              <w:spacing w:line="240" w:lineRule="auto"/>
              <w:ind w:firstLine="0" w:firstLineChars="0"/>
              <w:jc w:val="center"/>
              <w:rPr>
                <w:color w:val="000000"/>
                <w:sz w:val="18"/>
                <w:szCs w:val="18"/>
              </w:rPr>
            </w:pPr>
            <w:r>
              <w:rPr>
                <w:color w:val="000000"/>
                <w:sz w:val="18"/>
                <w:szCs w:val="18"/>
              </w:rPr>
              <w:t xml:space="preserve">0.284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7EA1062">
            <w:pPr>
              <w:widowControl/>
              <w:spacing w:line="240" w:lineRule="auto"/>
              <w:ind w:firstLine="0" w:firstLineChars="0"/>
              <w:jc w:val="left"/>
              <w:rPr>
                <w:color w:val="000000"/>
                <w:sz w:val="18"/>
                <w:szCs w:val="18"/>
              </w:rPr>
            </w:pPr>
          </w:p>
        </w:tc>
      </w:tr>
      <w:tr w14:paraId="17969716">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4E8C9B6A">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03330069">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56A379E2">
            <w:pPr>
              <w:widowControl/>
              <w:spacing w:line="240" w:lineRule="auto"/>
              <w:ind w:firstLine="0" w:firstLineChars="0"/>
              <w:jc w:val="center"/>
              <w:rPr>
                <w:color w:val="000000"/>
                <w:sz w:val="18"/>
                <w:szCs w:val="18"/>
              </w:rPr>
            </w:pPr>
            <w:r>
              <w:rPr>
                <w:color w:val="000000"/>
                <w:sz w:val="18"/>
                <w:szCs w:val="18"/>
              </w:rPr>
              <w:t xml:space="preserve">1421762.22 </w:t>
            </w:r>
          </w:p>
        </w:tc>
        <w:tc>
          <w:tcPr>
            <w:tcW w:w="720" w:type="dxa"/>
            <w:tcBorders>
              <w:top w:val="nil"/>
              <w:left w:val="nil"/>
              <w:bottom w:val="single" w:color="000000" w:sz="8" w:space="0"/>
              <w:right w:val="single" w:color="000000" w:sz="8" w:space="0"/>
            </w:tcBorders>
            <w:noWrap/>
            <w:vAlign w:val="center"/>
          </w:tcPr>
          <w:p w14:paraId="5887C6B8">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6BDF55BC">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71E905C7">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138FA67F">
            <w:pPr>
              <w:widowControl/>
              <w:spacing w:line="240" w:lineRule="auto"/>
              <w:ind w:firstLine="0" w:firstLineChars="0"/>
              <w:jc w:val="center"/>
              <w:rPr>
                <w:color w:val="000000"/>
                <w:sz w:val="18"/>
                <w:szCs w:val="18"/>
              </w:rPr>
            </w:pPr>
            <w:r>
              <w:rPr>
                <w:color w:val="000000"/>
                <w:sz w:val="18"/>
                <w:szCs w:val="18"/>
              </w:rPr>
              <w:t xml:space="preserve">0.117 </w:t>
            </w:r>
          </w:p>
        </w:tc>
        <w:tc>
          <w:tcPr>
            <w:tcW w:w="856" w:type="dxa"/>
            <w:tcBorders>
              <w:top w:val="nil"/>
              <w:left w:val="nil"/>
              <w:bottom w:val="single" w:color="000000" w:sz="8" w:space="0"/>
              <w:right w:val="single" w:color="000000" w:sz="8" w:space="0"/>
            </w:tcBorders>
            <w:vAlign w:val="center"/>
          </w:tcPr>
          <w:p w14:paraId="08F30BB7">
            <w:pPr>
              <w:widowControl/>
              <w:spacing w:line="240" w:lineRule="auto"/>
              <w:ind w:firstLine="0" w:firstLineChars="0"/>
              <w:jc w:val="center"/>
              <w:rPr>
                <w:color w:val="000000"/>
                <w:sz w:val="18"/>
                <w:szCs w:val="18"/>
              </w:rPr>
            </w:pPr>
            <w:r>
              <w:rPr>
                <w:color w:val="000000"/>
                <w:sz w:val="18"/>
                <w:szCs w:val="18"/>
              </w:rPr>
              <w:t xml:space="preserve">0.167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6F151A15">
            <w:pPr>
              <w:widowControl/>
              <w:spacing w:line="240" w:lineRule="auto"/>
              <w:ind w:firstLine="0" w:firstLineChars="0"/>
              <w:jc w:val="left"/>
              <w:rPr>
                <w:color w:val="000000"/>
                <w:sz w:val="18"/>
                <w:szCs w:val="18"/>
              </w:rPr>
            </w:pPr>
          </w:p>
        </w:tc>
      </w:tr>
      <w:tr w14:paraId="6F1F7C80">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072ED96C">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2B57C114">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096E29F">
            <w:pPr>
              <w:widowControl/>
              <w:spacing w:line="240" w:lineRule="auto"/>
              <w:ind w:firstLine="0" w:firstLineChars="0"/>
              <w:jc w:val="center"/>
              <w:rPr>
                <w:color w:val="000000"/>
                <w:sz w:val="18"/>
                <w:szCs w:val="18"/>
              </w:rPr>
            </w:pPr>
            <w:r>
              <w:rPr>
                <w:color w:val="000000"/>
                <w:sz w:val="18"/>
                <w:szCs w:val="18"/>
              </w:rPr>
              <w:t xml:space="preserve">2132643.33 </w:t>
            </w:r>
          </w:p>
        </w:tc>
        <w:tc>
          <w:tcPr>
            <w:tcW w:w="720" w:type="dxa"/>
            <w:tcBorders>
              <w:top w:val="nil"/>
              <w:left w:val="nil"/>
              <w:bottom w:val="single" w:color="000000" w:sz="8" w:space="0"/>
              <w:right w:val="single" w:color="000000" w:sz="8" w:space="0"/>
            </w:tcBorders>
            <w:noWrap/>
            <w:vAlign w:val="center"/>
          </w:tcPr>
          <w:p w14:paraId="1780DD1C">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5AF2B80">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6C24AD68">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561D5BCD">
            <w:pPr>
              <w:widowControl/>
              <w:spacing w:line="240" w:lineRule="auto"/>
              <w:ind w:firstLine="0" w:firstLineChars="0"/>
              <w:jc w:val="center"/>
              <w:rPr>
                <w:color w:val="000000"/>
                <w:sz w:val="18"/>
                <w:szCs w:val="18"/>
              </w:rPr>
            </w:pPr>
            <w:r>
              <w:rPr>
                <w:color w:val="000000"/>
                <w:sz w:val="18"/>
                <w:szCs w:val="18"/>
              </w:rPr>
              <w:t xml:space="preserve">0.078 </w:t>
            </w:r>
          </w:p>
        </w:tc>
        <w:tc>
          <w:tcPr>
            <w:tcW w:w="856" w:type="dxa"/>
            <w:tcBorders>
              <w:top w:val="nil"/>
              <w:left w:val="nil"/>
              <w:bottom w:val="single" w:color="000000" w:sz="8" w:space="0"/>
              <w:right w:val="single" w:color="000000" w:sz="8" w:space="0"/>
            </w:tcBorders>
            <w:vAlign w:val="center"/>
          </w:tcPr>
          <w:p w14:paraId="3F57AC67">
            <w:pPr>
              <w:widowControl/>
              <w:spacing w:line="240" w:lineRule="auto"/>
              <w:ind w:firstLine="0" w:firstLineChars="0"/>
              <w:jc w:val="center"/>
              <w:rPr>
                <w:color w:val="000000"/>
                <w:sz w:val="18"/>
                <w:szCs w:val="18"/>
              </w:rPr>
            </w:pPr>
            <w:r>
              <w:rPr>
                <w:color w:val="000000"/>
                <w:sz w:val="18"/>
                <w:szCs w:val="18"/>
              </w:rPr>
              <w:t xml:space="preserve">0.128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217DB899">
            <w:pPr>
              <w:widowControl/>
              <w:spacing w:line="240" w:lineRule="auto"/>
              <w:ind w:firstLine="0" w:firstLineChars="0"/>
              <w:jc w:val="left"/>
              <w:rPr>
                <w:color w:val="000000"/>
                <w:sz w:val="18"/>
                <w:szCs w:val="18"/>
              </w:rPr>
            </w:pPr>
          </w:p>
        </w:tc>
      </w:tr>
      <w:tr w14:paraId="78E37D79">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25F8402D">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3FC2B39F">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2B71BA39">
            <w:pPr>
              <w:widowControl/>
              <w:spacing w:line="240" w:lineRule="auto"/>
              <w:ind w:firstLine="0" w:firstLineChars="0"/>
              <w:jc w:val="center"/>
              <w:rPr>
                <w:color w:val="000000"/>
                <w:sz w:val="18"/>
                <w:szCs w:val="18"/>
              </w:rPr>
            </w:pPr>
            <w:r>
              <w:rPr>
                <w:color w:val="000000"/>
                <w:sz w:val="18"/>
                <w:szCs w:val="18"/>
              </w:rPr>
              <w:t xml:space="preserve">3554405.56 </w:t>
            </w:r>
          </w:p>
        </w:tc>
        <w:tc>
          <w:tcPr>
            <w:tcW w:w="720" w:type="dxa"/>
            <w:tcBorders>
              <w:top w:val="nil"/>
              <w:left w:val="nil"/>
              <w:bottom w:val="single" w:color="000000" w:sz="8" w:space="0"/>
              <w:right w:val="single" w:color="000000" w:sz="8" w:space="0"/>
            </w:tcBorders>
            <w:noWrap/>
            <w:vAlign w:val="center"/>
          </w:tcPr>
          <w:p w14:paraId="4501DFEB">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73F81196">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0EC791D2">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1931CF2D">
            <w:pPr>
              <w:widowControl/>
              <w:spacing w:line="240" w:lineRule="auto"/>
              <w:ind w:firstLine="0" w:firstLineChars="0"/>
              <w:jc w:val="center"/>
              <w:rPr>
                <w:color w:val="000000"/>
                <w:sz w:val="18"/>
                <w:szCs w:val="18"/>
              </w:rPr>
            </w:pPr>
            <w:r>
              <w:rPr>
                <w:color w:val="000000"/>
                <w:sz w:val="18"/>
                <w:szCs w:val="18"/>
              </w:rPr>
              <w:t xml:space="preserve">0.047 </w:t>
            </w:r>
          </w:p>
        </w:tc>
        <w:tc>
          <w:tcPr>
            <w:tcW w:w="856" w:type="dxa"/>
            <w:tcBorders>
              <w:top w:val="nil"/>
              <w:left w:val="nil"/>
              <w:bottom w:val="single" w:color="000000" w:sz="8" w:space="0"/>
              <w:right w:val="single" w:color="000000" w:sz="8" w:space="0"/>
            </w:tcBorders>
            <w:vAlign w:val="center"/>
          </w:tcPr>
          <w:p w14:paraId="26E5B96E">
            <w:pPr>
              <w:widowControl/>
              <w:spacing w:line="240" w:lineRule="auto"/>
              <w:ind w:firstLine="0" w:firstLineChars="0"/>
              <w:jc w:val="center"/>
              <w:rPr>
                <w:color w:val="000000"/>
                <w:sz w:val="18"/>
                <w:szCs w:val="18"/>
              </w:rPr>
            </w:pPr>
            <w:r>
              <w:rPr>
                <w:color w:val="000000"/>
                <w:sz w:val="18"/>
                <w:szCs w:val="18"/>
              </w:rPr>
              <w:t xml:space="preserve">0.097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560780C2">
            <w:pPr>
              <w:widowControl/>
              <w:spacing w:line="240" w:lineRule="auto"/>
              <w:ind w:firstLine="0" w:firstLineChars="0"/>
              <w:jc w:val="left"/>
              <w:rPr>
                <w:color w:val="000000"/>
                <w:sz w:val="18"/>
                <w:szCs w:val="18"/>
              </w:rPr>
            </w:pPr>
          </w:p>
        </w:tc>
      </w:tr>
      <w:tr w14:paraId="321F3645">
        <w:tblPrEx>
          <w:tblCellMar>
            <w:top w:w="0" w:type="dxa"/>
            <w:left w:w="108" w:type="dxa"/>
            <w:bottom w:w="0" w:type="dxa"/>
            <w:right w:w="108" w:type="dxa"/>
          </w:tblCellMar>
        </w:tblPrEx>
        <w:trPr>
          <w:trHeight w:val="397" w:hRule="atLeast"/>
          <w:jc w:val="center"/>
        </w:trPr>
        <w:tc>
          <w:tcPr>
            <w:tcW w:w="841" w:type="dxa"/>
            <w:tcBorders>
              <w:top w:val="nil"/>
              <w:left w:val="single" w:color="000000" w:sz="8" w:space="0"/>
              <w:bottom w:val="single" w:color="000000" w:sz="8" w:space="0"/>
              <w:right w:val="single" w:color="000000" w:sz="8" w:space="0"/>
            </w:tcBorders>
            <w:vAlign w:val="center"/>
          </w:tcPr>
          <w:p w14:paraId="4A51737B">
            <w:pPr>
              <w:widowControl/>
              <w:spacing w:line="240" w:lineRule="auto"/>
              <w:ind w:firstLine="0" w:firstLineChars="0"/>
              <w:jc w:val="center"/>
              <w:rPr>
                <w:color w:val="000000"/>
                <w:sz w:val="18"/>
                <w:szCs w:val="18"/>
              </w:rPr>
            </w:pPr>
            <w:r>
              <w:rPr>
                <w:color w:val="000000"/>
                <w:sz w:val="18"/>
                <w:szCs w:val="18"/>
              </w:rPr>
              <w:t>50</w:t>
            </w:r>
          </w:p>
        </w:tc>
        <w:tc>
          <w:tcPr>
            <w:tcW w:w="1026" w:type="dxa"/>
            <w:tcBorders>
              <w:top w:val="nil"/>
              <w:left w:val="nil"/>
              <w:bottom w:val="single" w:color="000000" w:sz="8" w:space="0"/>
              <w:right w:val="single" w:color="000000" w:sz="8" w:space="0"/>
            </w:tcBorders>
            <w:vAlign w:val="center"/>
          </w:tcPr>
          <w:p w14:paraId="31C81E82">
            <w:pPr>
              <w:widowControl/>
              <w:spacing w:line="240" w:lineRule="auto"/>
              <w:ind w:firstLine="0" w:firstLineChars="0"/>
              <w:jc w:val="center"/>
              <w:rPr>
                <w:color w:val="000000"/>
                <w:sz w:val="18"/>
                <w:szCs w:val="18"/>
              </w:rPr>
            </w:pPr>
            <w:r>
              <w:rPr>
                <w:color w:val="000000"/>
                <w:sz w:val="18"/>
                <w:szCs w:val="18"/>
              </w:rPr>
              <w:t>1410</w:t>
            </w:r>
          </w:p>
        </w:tc>
        <w:tc>
          <w:tcPr>
            <w:tcW w:w="1089" w:type="dxa"/>
            <w:tcBorders>
              <w:top w:val="nil"/>
              <w:left w:val="nil"/>
              <w:bottom w:val="single" w:color="000000" w:sz="8" w:space="0"/>
              <w:right w:val="single" w:color="000000" w:sz="8" w:space="0"/>
            </w:tcBorders>
            <w:vAlign w:val="center"/>
          </w:tcPr>
          <w:p w14:paraId="65473F7C">
            <w:pPr>
              <w:widowControl/>
              <w:spacing w:line="240" w:lineRule="auto"/>
              <w:ind w:firstLine="0" w:firstLineChars="0"/>
              <w:jc w:val="center"/>
              <w:rPr>
                <w:color w:val="000000"/>
                <w:sz w:val="18"/>
                <w:szCs w:val="18"/>
              </w:rPr>
            </w:pPr>
            <w:r>
              <w:rPr>
                <w:color w:val="000000"/>
                <w:sz w:val="18"/>
                <w:szCs w:val="18"/>
              </w:rPr>
              <w:t xml:space="preserve">7108811.11 </w:t>
            </w:r>
          </w:p>
        </w:tc>
        <w:tc>
          <w:tcPr>
            <w:tcW w:w="720" w:type="dxa"/>
            <w:tcBorders>
              <w:top w:val="nil"/>
              <w:left w:val="nil"/>
              <w:bottom w:val="single" w:color="000000" w:sz="8" w:space="0"/>
              <w:right w:val="single" w:color="000000" w:sz="8" w:space="0"/>
            </w:tcBorders>
            <w:noWrap/>
            <w:vAlign w:val="center"/>
          </w:tcPr>
          <w:p w14:paraId="795B6537">
            <w:pPr>
              <w:widowControl/>
              <w:spacing w:line="240" w:lineRule="auto"/>
              <w:ind w:firstLine="0" w:firstLineChars="0"/>
              <w:jc w:val="center"/>
              <w:rPr>
                <w:color w:val="000000"/>
                <w:sz w:val="18"/>
                <w:szCs w:val="18"/>
              </w:rPr>
            </w:pPr>
            <w:r>
              <w:rPr>
                <w:color w:val="000000"/>
                <w:sz w:val="18"/>
                <w:szCs w:val="18"/>
              </w:rPr>
              <w:t>0.2</w:t>
            </w:r>
          </w:p>
        </w:tc>
        <w:tc>
          <w:tcPr>
            <w:tcW w:w="992" w:type="dxa"/>
            <w:tcBorders>
              <w:top w:val="nil"/>
              <w:left w:val="nil"/>
              <w:bottom w:val="single" w:color="000000" w:sz="8" w:space="0"/>
              <w:right w:val="single" w:color="000000" w:sz="8" w:space="0"/>
            </w:tcBorders>
            <w:vAlign w:val="center"/>
          </w:tcPr>
          <w:p w14:paraId="4246E1C5">
            <w:pPr>
              <w:widowControl/>
              <w:spacing w:line="240" w:lineRule="auto"/>
              <w:ind w:firstLine="0" w:firstLineChars="0"/>
              <w:jc w:val="center"/>
              <w:rPr>
                <w:color w:val="000000"/>
                <w:sz w:val="18"/>
                <w:szCs w:val="18"/>
              </w:rPr>
            </w:pPr>
            <w:r>
              <w:rPr>
                <w:color w:val="000000"/>
                <w:sz w:val="18"/>
                <w:szCs w:val="18"/>
              </w:rPr>
              <w:t>940</w:t>
            </w:r>
          </w:p>
        </w:tc>
        <w:tc>
          <w:tcPr>
            <w:tcW w:w="1098" w:type="dxa"/>
            <w:tcBorders>
              <w:top w:val="nil"/>
              <w:left w:val="nil"/>
              <w:bottom w:val="single" w:color="000000" w:sz="8" w:space="0"/>
              <w:right w:val="single" w:color="000000" w:sz="8" w:space="0"/>
            </w:tcBorders>
            <w:vAlign w:val="center"/>
          </w:tcPr>
          <w:p w14:paraId="345026E5">
            <w:pPr>
              <w:widowControl/>
              <w:spacing w:line="240" w:lineRule="auto"/>
              <w:ind w:firstLine="0" w:firstLineChars="0"/>
              <w:jc w:val="center"/>
              <w:rPr>
                <w:color w:val="000000"/>
                <w:sz w:val="18"/>
                <w:szCs w:val="18"/>
              </w:rPr>
            </w:pPr>
            <w:r>
              <w:rPr>
                <w:color w:val="000000"/>
                <w:sz w:val="18"/>
                <w:szCs w:val="18"/>
              </w:rPr>
              <w:t>0.05</w:t>
            </w:r>
          </w:p>
        </w:tc>
        <w:tc>
          <w:tcPr>
            <w:tcW w:w="856" w:type="dxa"/>
            <w:tcBorders>
              <w:top w:val="nil"/>
              <w:left w:val="nil"/>
              <w:bottom w:val="single" w:color="000000" w:sz="8" w:space="0"/>
              <w:right w:val="single" w:color="000000" w:sz="8" w:space="0"/>
            </w:tcBorders>
            <w:vAlign w:val="center"/>
          </w:tcPr>
          <w:p w14:paraId="01F1015A">
            <w:pPr>
              <w:widowControl/>
              <w:spacing w:line="240" w:lineRule="auto"/>
              <w:ind w:firstLine="0" w:firstLineChars="0"/>
              <w:jc w:val="center"/>
              <w:rPr>
                <w:color w:val="000000"/>
                <w:sz w:val="18"/>
                <w:szCs w:val="18"/>
              </w:rPr>
            </w:pPr>
            <w:r>
              <w:rPr>
                <w:color w:val="000000"/>
                <w:sz w:val="18"/>
                <w:szCs w:val="18"/>
              </w:rPr>
              <w:t xml:space="preserve">0.023 </w:t>
            </w:r>
          </w:p>
        </w:tc>
        <w:tc>
          <w:tcPr>
            <w:tcW w:w="856" w:type="dxa"/>
            <w:tcBorders>
              <w:top w:val="nil"/>
              <w:left w:val="nil"/>
              <w:bottom w:val="single" w:color="000000" w:sz="8" w:space="0"/>
              <w:right w:val="single" w:color="000000" w:sz="8" w:space="0"/>
            </w:tcBorders>
            <w:vAlign w:val="center"/>
          </w:tcPr>
          <w:p w14:paraId="15CD8B3A">
            <w:pPr>
              <w:widowControl/>
              <w:spacing w:line="240" w:lineRule="auto"/>
              <w:ind w:firstLine="0" w:firstLineChars="0"/>
              <w:jc w:val="center"/>
              <w:rPr>
                <w:color w:val="000000"/>
                <w:sz w:val="18"/>
                <w:szCs w:val="18"/>
              </w:rPr>
            </w:pPr>
            <w:r>
              <w:rPr>
                <w:color w:val="000000"/>
                <w:sz w:val="18"/>
                <w:szCs w:val="18"/>
              </w:rPr>
              <w:t xml:space="preserve">0.073 </w:t>
            </w:r>
          </w:p>
        </w:tc>
        <w:tc>
          <w:tcPr>
            <w:tcW w:w="808" w:type="dxa"/>
            <w:vMerge w:val="continue"/>
            <w:tcBorders>
              <w:top w:val="single" w:color="000000" w:sz="8" w:space="0"/>
              <w:left w:val="single" w:color="000000" w:sz="8" w:space="0"/>
              <w:bottom w:val="single" w:color="000000" w:sz="8" w:space="0"/>
              <w:right w:val="single" w:color="000000" w:sz="8" w:space="0"/>
            </w:tcBorders>
            <w:vAlign w:val="center"/>
          </w:tcPr>
          <w:p w14:paraId="0962E606">
            <w:pPr>
              <w:widowControl/>
              <w:spacing w:line="240" w:lineRule="auto"/>
              <w:ind w:firstLine="0" w:firstLineChars="0"/>
              <w:jc w:val="left"/>
              <w:rPr>
                <w:color w:val="000000"/>
                <w:sz w:val="18"/>
                <w:szCs w:val="18"/>
              </w:rPr>
            </w:pPr>
          </w:p>
        </w:tc>
      </w:tr>
    </w:tbl>
    <w:p w14:paraId="7271B07B">
      <w:pPr>
        <w:pStyle w:val="117"/>
        <w:ind w:firstLine="480"/>
      </w:pPr>
    </w:p>
    <w:p w14:paraId="0E8C6076">
      <w:pPr>
        <w:pStyle w:val="117"/>
        <w:ind w:firstLine="480"/>
      </w:pPr>
      <w:r>
        <w:t>根据</w:t>
      </w:r>
      <w:r>
        <w:rPr>
          <w:rFonts w:hint="eastAsia"/>
        </w:rPr>
        <w:t>预测结果</w:t>
      </w:r>
      <w:r>
        <w:t>可以看出，本项目</w:t>
      </w:r>
      <w:r>
        <w:rPr>
          <w:rFonts w:hint="eastAsia"/>
        </w:rPr>
        <w:t>石油烃、苯并[a]芘、氰化物</w:t>
      </w:r>
      <w:r>
        <w:t>累积增值较小，运行30至50年后，各污染物在厂区内土壤累积预测值均小于评价标准，不会对周边土壤产生明显影响。</w:t>
      </w:r>
    </w:p>
    <w:p w14:paraId="3A5D596C">
      <w:pPr>
        <w:pStyle w:val="944"/>
      </w:pPr>
      <w:r>
        <w:rPr>
          <w:rFonts w:hint="eastAsia"/>
        </w:rPr>
        <w:t>垂直入渗</w:t>
      </w:r>
    </w:p>
    <w:p w14:paraId="2A3C53CF">
      <w:pPr>
        <w:ind w:firstLine="480"/>
      </w:pPr>
      <w:r>
        <w:rPr>
          <w:rFonts w:hint="eastAsia"/>
        </w:rPr>
        <w:t>（</w:t>
      </w:r>
      <w:r>
        <w:t>1</w:t>
      </w:r>
      <w:r>
        <w:rPr>
          <w:rFonts w:hint="eastAsia"/>
        </w:rPr>
        <w:t>）预测模型</w:t>
      </w:r>
    </w:p>
    <w:p w14:paraId="6768024A">
      <w:pPr>
        <w:ind w:firstLine="480"/>
      </w:pPr>
      <w:r>
        <w:rPr>
          <w:rFonts w:hint="eastAsia" w:ascii="宋体" w:hAnsi="宋体" w:cs="宋体"/>
        </w:rPr>
        <w:t>脱硫废水垂直入渗对土壤环境的污染影响采用一维非饱和溶质运动模型：</w:t>
      </w:r>
    </w:p>
    <w:p w14:paraId="1C2CC5C6">
      <w:pPr>
        <w:ind w:firstLine="480"/>
        <w:rPr>
          <w:color w:val="000000"/>
        </w:rPr>
      </w:pPr>
      <w:r>
        <w:rPr>
          <w:rFonts w:hint="eastAsia" w:ascii="宋体" w:hAnsi="宋体" w:cs="宋体"/>
          <w:color w:val="000000"/>
        </w:rPr>
        <w:t>一维非饱和溶质垂向运移控制方程如下式所示：</w:t>
      </w:r>
    </w:p>
    <w:p w14:paraId="7CABFE30">
      <w:pPr>
        <w:ind w:firstLine="480"/>
      </w:pPr>
      <m:oMathPara>
        <m:oMath>
          <m:f>
            <m:fPr>
              <m:ctrlPr>
                <w:rPr>
                  <w:rFonts w:ascii="Cambria Math" w:hAnsi="Cambria Math"/>
                </w:rPr>
              </m:ctrlPr>
            </m:fPr>
            <m:num>
              <m:r>
                <m:rPr/>
                <w:rPr>
                  <w:rFonts w:ascii="Cambria Math" w:hAnsi="Cambria Math"/>
                </w:rPr>
                <m:t>∂</m:t>
              </m:r>
              <m:r>
                <m:rPr/>
                <w:rPr>
                  <w:rFonts w:hint="eastAsia" w:ascii="Cambria Math" w:hAnsi="Cambria Math"/>
                </w:rPr>
                <m:t>（</m:t>
              </m:r>
              <m:r>
                <m:rPr/>
                <w:rPr>
                  <w:rFonts w:ascii="Cambria Math" w:hAnsi="Cambria Math"/>
                </w:rPr>
                <m:t>θc</m:t>
              </m:r>
              <m:r>
                <m:rPr/>
                <w:rPr>
                  <w:rFonts w:hint="eastAsia" w:ascii="Cambria Math" w:hAnsi="Cambria Math"/>
                </w:rPr>
                <m:t>）</m:t>
              </m:r>
              <m:ctrlPr>
                <w:rPr>
                  <w:rFonts w:ascii="Cambria Math" w:hAnsi="Cambria Math"/>
                </w:rPr>
              </m:ctrlPr>
            </m:num>
            <m:den>
              <m:r>
                <m:rPr/>
                <w:rPr>
                  <w:rFonts w:ascii="Cambria Math" w:hAnsi="Cambria Math"/>
                </w:rPr>
                <m:t>∂t</m:t>
              </m:r>
              <m:ctrlPr>
                <w:rPr>
                  <w:rFonts w:ascii="Cambria Math" w:hAnsi="Cambria Math"/>
                </w:rPr>
              </m:ctrlPr>
            </m:den>
          </m:f>
          <m:r>
            <m:rPr/>
            <w:rPr>
              <w:rFonts w:hint="eastAsia" w:ascii="Cambria Math" w:hAnsi="Cambria Math"/>
            </w:rPr>
            <m:t>=</m:t>
          </m:r>
          <m:f>
            <m:fPr>
              <m:ctrlPr>
                <w:rPr>
                  <w:rFonts w:ascii="Cambria Math" w:hAnsi="Cambria Math"/>
                  <w:i/>
                </w:rPr>
              </m:ctrlPr>
            </m:fPr>
            <m:num>
              <m:r>
                <m:rPr/>
                <w:rPr>
                  <w:rFonts w:ascii="Cambria Math" w:hAnsi="Cambria Math"/>
                </w:rPr>
                <m:t>∂</m:t>
              </m:r>
              <m:ctrlPr>
                <w:rPr>
                  <w:rFonts w:ascii="Cambria Math" w:hAnsi="Cambria Math"/>
                  <w:i/>
                </w:rPr>
              </m:ctrlPr>
            </m:num>
            <m:den>
              <m:r>
                <m:rPr/>
                <w:rPr>
                  <w:rFonts w:ascii="Cambria Math" w:hAnsi="Cambria Math"/>
                </w:rPr>
                <m:t>∂z</m:t>
              </m:r>
              <m:ctrlPr>
                <w:rPr>
                  <w:rFonts w:ascii="Cambria Math" w:hAnsi="Cambria Math"/>
                  <w:i/>
                </w:rPr>
              </m:ctrlPr>
            </m:den>
          </m:f>
          <m:d>
            <m:dPr>
              <m:ctrlPr>
                <w:rPr>
                  <w:rFonts w:ascii="Cambria Math" w:hAnsi="Cambria Math"/>
                  <w:i/>
                </w:rPr>
              </m:ctrlPr>
            </m:dPr>
            <m:e>
              <m:r>
                <m:rPr/>
                <w:rPr>
                  <w:rFonts w:ascii="Cambria Math" w:hAnsi="Cambria Math"/>
                </w:rPr>
                <m:t>θD</m:t>
              </m:r>
              <m:f>
                <m:fPr>
                  <m:ctrlPr>
                    <w:rPr>
                      <w:rFonts w:ascii="Cambria Math" w:hAnsi="Cambria Math"/>
                      <w:i/>
                    </w:rPr>
                  </m:ctrlPr>
                </m:fPr>
                <m:num>
                  <m:r>
                    <m:rPr/>
                    <w:rPr>
                      <w:rFonts w:ascii="Cambria Math" w:hAnsi="Cambria Math"/>
                    </w:rPr>
                    <m:t>∂c</m:t>
                  </m:r>
                  <m:ctrlPr>
                    <w:rPr>
                      <w:rFonts w:ascii="Cambria Math" w:hAnsi="Cambria Math"/>
                      <w:i/>
                    </w:rPr>
                  </m:ctrlPr>
                </m:num>
                <m:den>
                  <m:r>
                    <m:rPr/>
                    <w:rPr>
                      <w:rFonts w:ascii="Cambria Math" w:hAnsi="Cambria Math"/>
                    </w:rPr>
                    <m:t>∂z</m:t>
                  </m:r>
                  <m:ctrlPr>
                    <w:rPr>
                      <w:rFonts w:ascii="Cambria Math" w:hAnsi="Cambria Math"/>
                      <w:i/>
                    </w:rPr>
                  </m:ctrlPr>
                </m:den>
              </m:f>
              <m:ctrlPr>
                <w:rPr>
                  <w:rFonts w:ascii="Cambria Math" w:hAnsi="Cambria Math"/>
                  <w:i/>
                </w:rPr>
              </m:ctrlPr>
            </m:e>
          </m:d>
          <m:r>
            <m:rPr/>
            <w:rPr>
              <w:rFonts w:ascii="Cambria Math" w:hAnsi="Cambria Math"/>
            </w:rPr>
            <m:t>−</m:t>
          </m:r>
          <m:f>
            <m:fPr>
              <m:ctrlPr>
                <w:rPr>
                  <w:rFonts w:ascii="Cambria Math" w:hAnsi="Cambria Math"/>
                  <w:i/>
                </w:rPr>
              </m:ctrlPr>
            </m:fPr>
            <m:num>
              <m:r>
                <m:rPr/>
                <w:rPr>
                  <w:rFonts w:ascii="Cambria Math" w:hAnsi="Cambria Math"/>
                </w:rPr>
                <m:t>∂</m:t>
              </m:r>
              <m:ctrlPr>
                <w:rPr>
                  <w:rFonts w:ascii="Cambria Math" w:hAnsi="Cambria Math"/>
                  <w:i/>
                </w:rPr>
              </m:ctrlPr>
            </m:num>
            <m:den>
              <m:r>
                <m:rPr/>
                <w:rPr>
                  <w:rFonts w:ascii="Cambria Math" w:hAnsi="Cambria Math"/>
                </w:rPr>
                <m:t>∂z</m:t>
              </m:r>
              <m:ctrlPr>
                <w:rPr>
                  <w:rFonts w:ascii="Cambria Math" w:hAnsi="Cambria Math"/>
                  <w:i/>
                </w:rPr>
              </m:ctrlPr>
            </m:den>
          </m:f>
          <m:r>
            <m:rPr/>
            <w:rPr>
              <w:rFonts w:hint="eastAsia" w:ascii="Cambria Math" w:hAnsi="Cambria Math"/>
            </w:rPr>
            <m:t>（qc）</m:t>
          </m:r>
          <m:r>
            <m:rPr/>
            <w:rPr>
              <w:rFonts w:ascii="Cambria Math" w:hAnsi="Cambria Math"/>
            </w:rPr>
            <m:t>]</m:t>
          </m:r>
        </m:oMath>
      </m:oMathPara>
    </w:p>
    <w:p w14:paraId="6D437FA8">
      <w:pPr>
        <w:ind w:firstLine="480"/>
      </w:pPr>
      <w:r>
        <w:rPr>
          <w:rFonts w:hint="eastAsia" w:ascii="宋体" w:hAnsi="宋体" w:cs="宋体"/>
        </w:rPr>
        <w:t>式中：</w:t>
      </w:r>
    </w:p>
    <w:p w14:paraId="51853290">
      <w:pPr>
        <w:ind w:firstLine="1260" w:firstLineChars="600"/>
        <w:rPr>
          <w:sz w:val="21"/>
        </w:rPr>
      </w:pPr>
      <w:r>
        <w:rPr>
          <w:rFonts w:hint="eastAsia"/>
          <w:sz w:val="21"/>
        </w:rPr>
        <w:t>c—</w:t>
      </w:r>
      <w:r>
        <w:rPr>
          <w:rFonts w:hint="eastAsia" w:ascii="宋体" w:hAnsi="宋体" w:cs="宋体"/>
          <w:sz w:val="21"/>
        </w:rPr>
        <w:t>污染物在包气带介质中的浓度，</w:t>
      </w:r>
      <w:r>
        <w:rPr>
          <w:rFonts w:hint="eastAsia"/>
          <w:sz w:val="21"/>
        </w:rPr>
        <w:t>mg/L</w:t>
      </w:r>
      <w:r>
        <w:rPr>
          <w:rFonts w:hint="eastAsia" w:ascii="宋体" w:hAnsi="宋体" w:cs="宋体"/>
          <w:sz w:val="21"/>
        </w:rPr>
        <w:t>；</w:t>
      </w:r>
    </w:p>
    <w:p w14:paraId="7DF192C1">
      <w:pPr>
        <w:ind w:firstLine="1260" w:firstLineChars="600"/>
        <w:rPr>
          <w:sz w:val="21"/>
        </w:rPr>
      </w:pPr>
      <w:r>
        <w:rPr>
          <w:rFonts w:hint="eastAsia"/>
          <w:sz w:val="21"/>
        </w:rPr>
        <w:t>D—</w:t>
      </w:r>
      <w:r>
        <w:rPr>
          <w:rFonts w:hint="eastAsia" w:ascii="宋体" w:hAnsi="宋体" w:cs="宋体"/>
          <w:sz w:val="21"/>
        </w:rPr>
        <w:t>包气带的弥散系数，</w:t>
      </w:r>
      <w:r>
        <w:rPr>
          <w:rFonts w:hint="eastAsia"/>
          <w:sz w:val="21"/>
        </w:rPr>
        <w:t>m</w:t>
      </w:r>
      <w:r>
        <w:rPr>
          <w:sz w:val="21"/>
        </w:rPr>
        <w:t>²</w:t>
      </w:r>
      <w:r>
        <w:rPr>
          <w:rFonts w:hint="eastAsia"/>
          <w:sz w:val="21"/>
        </w:rPr>
        <w:t>/d</w:t>
      </w:r>
      <w:r>
        <w:rPr>
          <w:rFonts w:hint="eastAsia" w:ascii="宋体" w:hAnsi="宋体" w:cs="宋体"/>
          <w:sz w:val="21"/>
        </w:rPr>
        <w:t>；</w:t>
      </w:r>
    </w:p>
    <w:p w14:paraId="3797EB27">
      <w:pPr>
        <w:ind w:firstLine="1260" w:firstLineChars="600"/>
        <w:rPr>
          <w:sz w:val="21"/>
        </w:rPr>
      </w:pPr>
      <w:r>
        <w:rPr>
          <w:rFonts w:hint="eastAsia"/>
          <w:sz w:val="21"/>
        </w:rPr>
        <w:t>q—</w:t>
      </w:r>
      <w:r>
        <w:rPr>
          <w:rFonts w:hint="eastAsia" w:ascii="宋体" w:hAnsi="宋体" w:cs="宋体"/>
          <w:sz w:val="21"/>
        </w:rPr>
        <w:t>包气带中水流的实际速度，</w:t>
      </w:r>
      <w:r>
        <w:rPr>
          <w:rFonts w:hint="eastAsia"/>
          <w:sz w:val="21"/>
        </w:rPr>
        <w:t>m/d</w:t>
      </w:r>
      <w:r>
        <w:rPr>
          <w:rFonts w:hint="eastAsia" w:ascii="宋体" w:hAnsi="宋体" w:cs="宋体"/>
          <w:sz w:val="21"/>
        </w:rPr>
        <w:t>；</w:t>
      </w:r>
    </w:p>
    <w:p w14:paraId="5A250684">
      <w:pPr>
        <w:ind w:firstLine="1260" w:firstLineChars="600"/>
        <w:rPr>
          <w:sz w:val="21"/>
        </w:rPr>
      </w:pPr>
      <w:r>
        <w:rPr>
          <w:rFonts w:hint="eastAsia"/>
          <w:sz w:val="21"/>
        </w:rPr>
        <w:t>z</w:t>
      </w:r>
      <w:r>
        <w:rPr>
          <w:sz w:val="21"/>
        </w:rPr>
        <w:t>—</w:t>
      </w:r>
      <w:r>
        <w:rPr>
          <w:rFonts w:hint="eastAsia" w:ascii="宋体" w:hAnsi="宋体" w:cs="宋体"/>
          <w:sz w:val="21"/>
        </w:rPr>
        <w:t>沿</w:t>
      </w:r>
      <w:r>
        <w:rPr>
          <w:rFonts w:hint="eastAsia"/>
          <w:sz w:val="21"/>
        </w:rPr>
        <w:t>z</w:t>
      </w:r>
      <w:r>
        <w:rPr>
          <w:rFonts w:hint="eastAsia" w:ascii="宋体" w:hAnsi="宋体" w:cs="宋体"/>
          <w:sz w:val="21"/>
        </w:rPr>
        <w:t>轴的距离，</w:t>
      </w:r>
      <w:r>
        <w:rPr>
          <w:rFonts w:hint="eastAsia"/>
          <w:sz w:val="21"/>
        </w:rPr>
        <w:t>m</w:t>
      </w:r>
      <w:r>
        <w:rPr>
          <w:rFonts w:hint="eastAsia" w:ascii="宋体" w:hAnsi="宋体" w:cs="宋体"/>
          <w:sz w:val="21"/>
        </w:rPr>
        <w:t>；</w:t>
      </w:r>
    </w:p>
    <w:p w14:paraId="5977DD81">
      <w:pPr>
        <w:ind w:firstLine="1260" w:firstLineChars="600"/>
        <w:rPr>
          <w:sz w:val="21"/>
        </w:rPr>
      </w:pPr>
      <w:r>
        <w:rPr>
          <w:rFonts w:hint="eastAsia"/>
          <w:sz w:val="21"/>
        </w:rPr>
        <w:t>t—</w:t>
      </w:r>
      <w:r>
        <w:rPr>
          <w:rFonts w:hint="eastAsia" w:ascii="宋体" w:hAnsi="宋体" w:cs="宋体"/>
          <w:sz w:val="21"/>
        </w:rPr>
        <w:t>时间变量，</w:t>
      </w:r>
      <w:r>
        <w:rPr>
          <w:rFonts w:hint="eastAsia"/>
          <w:sz w:val="21"/>
        </w:rPr>
        <w:t>d</w:t>
      </w:r>
      <w:r>
        <w:rPr>
          <w:rFonts w:hint="eastAsia" w:ascii="宋体" w:hAnsi="宋体" w:cs="宋体"/>
          <w:sz w:val="21"/>
        </w:rPr>
        <w:t>；</w:t>
      </w:r>
    </w:p>
    <w:p w14:paraId="667978C0">
      <w:pPr>
        <w:ind w:firstLine="1260" w:firstLineChars="600"/>
        <w:rPr>
          <w:sz w:val="21"/>
        </w:rPr>
      </w:pPr>
      <w:r>
        <w:rPr>
          <w:rFonts w:hint="eastAsia"/>
          <w:sz w:val="21"/>
        </w:rPr>
        <w:t>θ—</w:t>
      </w:r>
      <w:r>
        <w:rPr>
          <w:rFonts w:hint="eastAsia" w:ascii="宋体" w:hAnsi="宋体" w:cs="宋体"/>
          <w:sz w:val="21"/>
        </w:rPr>
        <w:t>土壤含水率，</w:t>
      </w:r>
      <w:r>
        <w:rPr>
          <w:rFonts w:hint="eastAsia"/>
          <w:sz w:val="21"/>
        </w:rPr>
        <w:t>%</w:t>
      </w:r>
      <w:r>
        <w:rPr>
          <w:rFonts w:hint="eastAsia" w:ascii="宋体" w:hAnsi="宋体" w:cs="宋体"/>
          <w:sz w:val="21"/>
        </w:rPr>
        <w:t>。</w:t>
      </w:r>
    </w:p>
    <w:p w14:paraId="5D1A4440">
      <w:pPr>
        <w:ind w:firstLine="480"/>
      </w:pPr>
      <w:r>
        <w:rPr>
          <w:rFonts w:hint="eastAsia" w:ascii="宋体" w:hAnsi="宋体" w:cs="宋体"/>
        </w:rPr>
        <w:t>初始条件：</w:t>
      </w:r>
    </w:p>
    <w:p w14:paraId="53B937AC">
      <w:pPr>
        <w:ind w:firstLine="480"/>
        <w:jc w:val="center"/>
      </w:pPr>
      <w:r>
        <w:rPr>
          <w:rFonts w:hint="eastAsia"/>
        </w:rPr>
        <w:t>c(z, t)=0   t=0, L</w:t>
      </w:r>
      <w:r>
        <w:t>≤</w:t>
      </w:r>
      <w:r>
        <w:rPr>
          <w:rFonts w:hint="eastAsia"/>
        </w:rPr>
        <w:t>z&lt;0</w:t>
      </w:r>
    </w:p>
    <w:p w14:paraId="039994F5">
      <w:pPr>
        <w:ind w:firstLine="480"/>
      </w:pPr>
      <w:r>
        <w:rPr>
          <w:rFonts w:hint="eastAsia" w:ascii="宋体" w:hAnsi="宋体" w:cs="宋体"/>
        </w:rPr>
        <w:t>边界条件：</w:t>
      </w:r>
    </w:p>
    <w:p w14:paraId="35F43BD1">
      <w:pPr>
        <w:ind w:firstLine="480"/>
      </w:pPr>
      <w:r>
        <w:rPr>
          <w:rFonts w:hint="eastAsia" w:ascii="宋体" w:hAnsi="宋体" w:cs="宋体"/>
        </w:rPr>
        <w:t>第一类</w:t>
      </w:r>
      <w:r>
        <w:rPr>
          <w:rFonts w:hint="eastAsia"/>
        </w:rPr>
        <w:t>Dirichlet</w:t>
      </w:r>
      <w:r>
        <w:rPr>
          <w:rFonts w:hint="eastAsia" w:ascii="宋体" w:hAnsi="宋体" w:cs="宋体"/>
        </w:rPr>
        <w:t>边界条件：</w:t>
      </w:r>
    </w:p>
    <w:p w14:paraId="75A79F55">
      <w:pPr>
        <w:ind w:firstLine="480"/>
      </w:pPr>
      <w:r>
        <w:rPr>
          <w:rFonts w:hint="eastAsia" w:ascii="宋体" w:hAnsi="宋体" w:cs="宋体"/>
        </w:rPr>
        <w:t>连续点源：</w:t>
      </w:r>
      <w:r>
        <w:rPr>
          <w:rFonts w:hint="eastAsia"/>
        </w:rPr>
        <w:t xml:space="preserve"> </w:t>
      </w:r>
      <w:r>
        <w:t xml:space="preserve">            </w:t>
      </w:r>
      <w:r>
        <w:rPr>
          <w:rFonts w:hint="eastAsia"/>
        </w:rPr>
        <w:t>c</w:t>
      </w:r>
      <w:r>
        <w:rPr>
          <w:rFonts w:hint="eastAsia" w:ascii="宋体" w:hAnsi="宋体" w:cs="宋体"/>
        </w:rPr>
        <w:t>（</w:t>
      </w:r>
      <w:r>
        <w:rPr>
          <w:rFonts w:hint="eastAsia"/>
        </w:rPr>
        <w:t>z</w:t>
      </w:r>
      <w:r>
        <w:rPr>
          <w:rFonts w:hint="eastAsia" w:ascii="宋体" w:hAnsi="宋体" w:cs="宋体"/>
        </w:rPr>
        <w:t>，</w:t>
      </w:r>
      <w:r>
        <w:rPr>
          <w:rFonts w:hint="eastAsia"/>
        </w:rPr>
        <w:t>t</w:t>
      </w:r>
      <w:r>
        <w:rPr>
          <w:rFonts w:hint="eastAsia" w:ascii="宋体" w:hAnsi="宋体" w:cs="宋体"/>
        </w:rPr>
        <w:t>）</w:t>
      </w:r>
      <w:r>
        <w:rPr>
          <w:rFonts w:hint="eastAsia"/>
        </w:rPr>
        <w:t>=c</w:t>
      </w:r>
      <w:r>
        <w:rPr>
          <w:rFonts w:hint="eastAsia"/>
          <w:vertAlign w:val="subscript"/>
        </w:rPr>
        <w:t>0</w:t>
      </w:r>
      <w:r>
        <w:rPr>
          <w:rFonts w:hint="eastAsia" w:ascii="宋体" w:hAnsi="宋体" w:cs="宋体"/>
        </w:rPr>
        <w:t>（</w:t>
      </w:r>
      <w:r>
        <w:rPr>
          <w:rFonts w:hint="eastAsia"/>
        </w:rPr>
        <w:t>t</w:t>
      </w:r>
      <w:r>
        <w:rPr>
          <w:rFonts w:hint="eastAsia" w:ascii="宋体" w:hAnsi="宋体" w:cs="宋体"/>
        </w:rPr>
        <w:t>＞</w:t>
      </w:r>
      <w:r>
        <w:rPr>
          <w:rFonts w:hint="eastAsia"/>
        </w:rPr>
        <w:t>0</w:t>
      </w:r>
      <w:r>
        <w:rPr>
          <w:rFonts w:hint="eastAsia" w:ascii="宋体" w:hAnsi="宋体" w:cs="宋体"/>
        </w:rPr>
        <w:t>，</w:t>
      </w:r>
      <w:r>
        <w:rPr>
          <w:rFonts w:hint="eastAsia"/>
        </w:rPr>
        <w:t>z=0</w:t>
      </w:r>
      <w:r>
        <w:rPr>
          <w:rFonts w:hint="eastAsia" w:ascii="宋体" w:hAnsi="宋体" w:cs="宋体"/>
        </w:rPr>
        <w:t>）</w:t>
      </w:r>
    </w:p>
    <w:p w14:paraId="3A987AFD">
      <w:pPr>
        <w:ind w:firstLine="480"/>
      </w:pPr>
      <w:r>
        <w:rPr>
          <w:rFonts w:hint="eastAsia" w:ascii="宋体" w:hAnsi="宋体" w:cs="宋体"/>
        </w:rPr>
        <w:t>非连续点源：</w:t>
      </w:r>
      <w:r>
        <w:rPr>
          <w:rFonts w:hint="eastAsia"/>
        </w:rPr>
        <w:t xml:space="preserve"> </w:t>
      </w:r>
      <w:r>
        <w:t xml:space="preserve">         </w:t>
      </w:r>
      <w:r>
        <w:rPr>
          <w:rFonts w:hint="eastAsia"/>
        </w:rPr>
        <w:t xml:space="preserve"> c</w:t>
      </w:r>
      <w:r>
        <w:rPr>
          <w:rFonts w:hint="eastAsia" w:ascii="宋体" w:hAnsi="宋体" w:cs="宋体"/>
        </w:rPr>
        <w:t>（</w:t>
      </w:r>
      <w:r>
        <w:rPr>
          <w:rFonts w:hint="eastAsia"/>
        </w:rPr>
        <w:t>z</w:t>
      </w:r>
      <w:r>
        <w:rPr>
          <w:rFonts w:hint="eastAsia" w:ascii="宋体" w:hAnsi="宋体" w:cs="宋体"/>
        </w:rPr>
        <w:t>，</w:t>
      </w:r>
      <w:r>
        <w:rPr>
          <w:rFonts w:hint="eastAsia"/>
        </w:rPr>
        <w:t>t</w:t>
      </w:r>
      <w:r>
        <w:rPr>
          <w:rFonts w:hint="eastAsia" w:ascii="宋体" w:hAnsi="宋体" w:cs="宋体"/>
        </w:rPr>
        <w:t>）</w:t>
      </w:r>
      <w:r>
        <w:rPr>
          <w:rFonts w:hint="eastAsia"/>
        </w:rPr>
        <w:t>={</w:t>
      </w: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m:rPr/>
                      <w:rPr>
                        <w:rFonts w:hint="eastAsia" w:ascii="Cambria Math" w:hAnsi="Cambria Math"/>
                      </w:rPr>
                      <m:t>c</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rPr>
                </m:ctrlPr>
              </m:e>
              <m:e>
                <m:r>
                  <m:rPr/>
                  <w:rPr>
                    <w:rFonts w:ascii="Cambria Math" w:hAnsi="Cambria Math"/>
                  </w:rPr>
                  <m:t>0</m:t>
                </m:r>
                <m:ctrlPr>
                  <w:rPr>
                    <w:rFonts w:ascii="Cambria Math" w:hAnsi="Cambria Math"/>
                  </w:rPr>
                </m:ctrlPr>
              </m:e>
            </m:eqArr>
            <m:ctrlPr>
              <w:rPr>
                <w:rFonts w:ascii="Cambria Math" w:hAnsi="Cambria Math"/>
              </w:rPr>
            </m:ctrlPr>
          </m:e>
        </m:d>
      </m:oMath>
      <w:r>
        <w:rPr>
          <w:rFonts w:hint="eastAsia"/>
        </w:rPr>
        <w:t>}</w:t>
      </w:r>
      <w:r>
        <w:rPr>
          <w:rFonts w:hint="eastAsia" w:ascii="宋体" w:hAnsi="宋体" w:cs="宋体"/>
        </w:rPr>
        <w:t>，（</w:t>
      </w:r>
      <w:r>
        <w:rPr>
          <w:rFonts w:hint="eastAsia"/>
        </w:rPr>
        <w:t>t=0</w:t>
      </w:r>
      <w:r>
        <w:rPr>
          <w:rFonts w:hint="eastAsia" w:ascii="宋体" w:hAnsi="宋体" w:cs="宋体"/>
        </w:rPr>
        <w:t>，</w:t>
      </w:r>
      <w:r>
        <w:rPr>
          <w:rFonts w:hint="eastAsia"/>
        </w:rPr>
        <w:t>0</w:t>
      </w:r>
      <w:r>
        <w:rPr>
          <w:rFonts w:hint="eastAsia" w:ascii="宋体" w:hAnsi="宋体" w:cs="宋体"/>
        </w:rPr>
        <w:t>＜</w:t>
      </w:r>
      <w:r>
        <w:rPr>
          <w:rFonts w:hint="eastAsia"/>
        </w:rPr>
        <w:t>z</w:t>
      </w:r>
      <w:r>
        <w:t>≤</w:t>
      </w:r>
      <w:r>
        <w:rPr>
          <w:rFonts w:hint="eastAsia"/>
        </w:rPr>
        <w:t>0</w:t>
      </w:r>
      <w:r>
        <w:rPr>
          <w:rFonts w:hint="eastAsia" w:ascii="宋体" w:hAnsi="宋体" w:cs="宋体"/>
        </w:rPr>
        <w:t>；</w:t>
      </w:r>
      <w:r>
        <w:rPr>
          <w:rFonts w:hint="eastAsia"/>
        </w:rPr>
        <w:t>t</w:t>
      </w:r>
      <w:r>
        <w:rPr>
          <w:rFonts w:hint="eastAsia" w:ascii="宋体" w:hAnsi="宋体" w:cs="宋体"/>
        </w:rPr>
        <w:t>＞</w:t>
      </w:r>
      <m:oMath>
        <m:sSub>
          <m:sSubPr>
            <m:ctrlPr>
              <w:rPr>
                <w:rFonts w:ascii="Cambria Math" w:hAnsi="Cambria Math"/>
              </w:rPr>
            </m:ctrlPr>
          </m:sSubPr>
          <m:e>
            <m:r>
              <m:rPr>
                <m:sty m:val="p"/>
              </m:rPr>
              <w:rPr>
                <w:rFonts w:hint="eastAsia" w:ascii="Cambria Math" w:hAnsi="Cambria Math"/>
              </w:rPr>
              <m:t>t</m:t>
            </m:r>
            <m:ctrlPr>
              <w:rPr>
                <w:rFonts w:ascii="Cambria Math" w:hAnsi="Cambria Math"/>
              </w:rPr>
            </m:ctrlPr>
          </m:e>
          <m:sub>
            <m:r>
              <m:rPr/>
              <w:rPr>
                <w:rFonts w:ascii="Cambria Math" w:hAnsi="Cambria Math"/>
              </w:rPr>
              <m:t>0</m:t>
            </m:r>
            <m:ctrlPr>
              <w:rPr>
                <w:rFonts w:ascii="Cambria Math" w:hAnsi="Cambria Math"/>
              </w:rPr>
            </m:ctrlPr>
          </m:sub>
        </m:sSub>
      </m:oMath>
      <w:r>
        <w:rPr>
          <w:rFonts w:hint="eastAsia" w:ascii="宋体" w:hAnsi="宋体" w:cs="宋体"/>
        </w:rPr>
        <w:t>）</w:t>
      </w:r>
    </w:p>
    <w:p w14:paraId="06B3002C">
      <w:pPr>
        <w:ind w:firstLine="480"/>
      </w:pPr>
      <w:r>
        <w:rPr>
          <w:rFonts w:hint="eastAsia" w:ascii="宋体" w:hAnsi="宋体" w:cs="宋体"/>
        </w:rPr>
        <w:t>第二类</w:t>
      </w:r>
      <w:r>
        <w:rPr>
          <w:rFonts w:hint="eastAsia"/>
        </w:rPr>
        <w:t>Neumann</w:t>
      </w:r>
      <w:r>
        <w:rPr>
          <w:rFonts w:hint="eastAsia" w:ascii="宋体" w:hAnsi="宋体" w:cs="宋体"/>
        </w:rPr>
        <w:t>零梯度边界：</w:t>
      </w:r>
    </w:p>
    <w:p w14:paraId="1C1A5DAC">
      <w:pPr>
        <w:ind w:firstLine="480"/>
        <w:jc w:val="center"/>
        <w:rPr>
          <w:color w:val="000000"/>
        </w:rPr>
      </w:pPr>
      <m:oMath>
        <m:r>
          <m:rPr/>
          <w:rPr>
            <w:rFonts w:ascii="Cambria Math" w:hAnsi="Cambria Math"/>
          </w:rPr>
          <m:t>−θD</m:t>
        </m:r>
        <m:f>
          <m:fPr>
            <m:ctrlPr>
              <w:rPr>
                <w:rFonts w:ascii="Cambria Math" w:hAnsi="Cambria Math"/>
              </w:rPr>
            </m:ctrlPr>
          </m:fPr>
          <m:num>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c</m:t>
                </m:r>
                <m:ctrlPr>
                  <w:rPr>
                    <w:rFonts w:ascii="Cambria Math" w:hAnsi="Cambria Math"/>
                    <w:i/>
                  </w:rPr>
                </m:ctrlPr>
              </m:sub>
            </m:sSub>
            <m:ctrlPr>
              <w:rPr>
                <w:rFonts w:ascii="Cambria Math" w:hAnsi="Cambria Math"/>
              </w:rPr>
            </m:ctrlPr>
          </m:num>
          <m:den>
            <m:sSub>
              <m:sSubPr>
                <m:ctrlPr>
                  <w:rPr>
                    <w:rFonts w:ascii="Cambria Math" w:hAnsi="Cambria Math"/>
                    <w:i/>
                  </w:rPr>
                </m:ctrlPr>
              </m:sSubPr>
              <m:e>
                <m:r>
                  <m:rPr/>
                  <w:rPr>
                    <w:rFonts w:ascii="Cambria Math" w:hAnsi="Cambria Math"/>
                  </w:rPr>
                  <m:t>∂</m:t>
                </m:r>
                <m:ctrlPr>
                  <w:rPr>
                    <w:rFonts w:ascii="Cambria Math" w:hAnsi="Cambria Math"/>
                    <w:i/>
                  </w:rPr>
                </m:ctrlPr>
              </m:e>
              <m:sub>
                <m:r>
                  <m:rPr/>
                  <w:rPr>
                    <w:rFonts w:ascii="Cambria Math" w:hAnsi="Cambria Math"/>
                  </w:rPr>
                  <m:t>z</m:t>
                </m:r>
                <m:ctrlPr>
                  <w:rPr>
                    <w:rFonts w:ascii="Cambria Math" w:hAnsi="Cambria Math"/>
                    <w:i/>
                  </w:rPr>
                </m:ctrlPr>
              </m:sub>
            </m:sSub>
            <m:ctrlPr>
              <w:rPr>
                <w:rFonts w:ascii="Cambria Math" w:hAnsi="Cambria Math"/>
              </w:rPr>
            </m:ctrlPr>
          </m:den>
        </m:f>
      </m:oMath>
      <w:r>
        <w:rPr>
          <w:rFonts w:hint="eastAsia"/>
        </w:rPr>
        <w:t xml:space="preserve"> =0,(t&gt;0</w:t>
      </w:r>
      <w:r>
        <w:t xml:space="preserve">       </w:t>
      </w:r>
      <w:r>
        <w:rPr>
          <w:rFonts w:hint="eastAsia"/>
        </w:rPr>
        <w:t>z=1）</w:t>
      </w:r>
    </w:p>
    <w:p w14:paraId="3A88401D">
      <w:pPr>
        <w:ind w:firstLine="480"/>
      </w:pPr>
      <w:r>
        <w:rPr>
          <w:rFonts w:hint="eastAsia"/>
        </w:rPr>
        <w:t>（2</w:t>
      </w:r>
      <w:r>
        <w:rPr>
          <w:rFonts w:hint="eastAsia" w:ascii="宋体" w:hAnsi="宋体" w:cs="宋体"/>
        </w:rPr>
        <w:t>）情景设置</w:t>
      </w:r>
    </w:p>
    <w:p w14:paraId="18106DF5">
      <w:pPr>
        <w:ind w:firstLine="480"/>
        <w:rPr>
          <w:rFonts w:hint="eastAsia" w:ascii="宋体" w:hAnsi="宋体" w:cs="宋体"/>
          <w:color w:val="000000"/>
        </w:rPr>
      </w:pPr>
      <w:r>
        <w:rPr>
          <w:rFonts w:hint="eastAsia" w:ascii="宋体" w:hAnsi="宋体" w:cs="宋体"/>
        </w:rPr>
        <w:t>在非正常状况下，以垂直入渗方式对土壤环境造成影响装置和设施主要是</w:t>
      </w:r>
      <w:r>
        <w:rPr>
          <w:rFonts w:hint="eastAsia" w:ascii="宋体" w:hAnsi="宋体" w:cs="宋体"/>
          <w:color w:val="000000"/>
        </w:rPr>
        <w:t>剩余氨水罐。</w:t>
      </w:r>
    </w:p>
    <w:p w14:paraId="4957062D">
      <w:pPr>
        <w:ind w:firstLine="480"/>
      </w:pPr>
      <w:bookmarkStart w:id="543" w:name="_Hlk157101413"/>
      <w:r>
        <w:rPr>
          <w:rFonts w:hint="eastAsia" w:ascii="宋体" w:hAnsi="宋体" w:cs="宋体"/>
          <w:color w:val="000000"/>
        </w:rPr>
        <w:t>剩余氨水通过垂直入渗方式排入土壤，</w:t>
      </w:r>
      <w:r>
        <w:rPr>
          <w:rFonts w:hint="eastAsia"/>
        </w:rPr>
        <w:t>废水中污染物主要为COD、石油类、氨氮、挥发酚、氰化物、硫化物。</w:t>
      </w:r>
      <w:bookmarkEnd w:id="543"/>
      <w:r>
        <w:rPr>
          <w:rFonts w:hint="eastAsia"/>
        </w:rPr>
        <w:t>本次土壤预测因子选择</w:t>
      </w:r>
      <w:r>
        <w:t>氟化物</w:t>
      </w:r>
      <w:r>
        <w:rPr>
          <w:rFonts w:hint="eastAsia"/>
        </w:rPr>
        <w:t>、石油烃。</w:t>
      </w:r>
    </w:p>
    <w:p w14:paraId="2A94D2B4">
      <w:pPr>
        <w:ind w:firstLine="480"/>
      </w:pPr>
      <w:r>
        <w:rPr>
          <w:rFonts w:hint="eastAsia" w:ascii="宋体" w:hAnsi="宋体" w:cs="宋体"/>
          <w:color w:val="000000"/>
        </w:rPr>
        <w:t>剩余氨水</w:t>
      </w:r>
      <w:r>
        <w:rPr>
          <w:color w:val="000000"/>
        </w:rPr>
        <w:t>，</w:t>
      </w:r>
      <w:r>
        <w:rPr>
          <w:rFonts w:hint="eastAsia"/>
          <w:color w:val="000000"/>
        </w:rPr>
        <w:t>氟化物</w:t>
      </w:r>
      <w:r>
        <w:rPr>
          <w:color w:val="000000"/>
        </w:rPr>
        <w:t>浓度</w:t>
      </w:r>
      <w:r>
        <w:rPr>
          <w:rFonts w:hint="eastAsia"/>
          <w:color w:val="000000"/>
        </w:rPr>
        <w:t>1.74</w:t>
      </w:r>
      <w:r>
        <w:rPr>
          <w:color w:val="000000"/>
        </w:rPr>
        <w:t>mg/L</w:t>
      </w:r>
      <w:r>
        <w:rPr>
          <w:rFonts w:hint="eastAsia"/>
          <w:color w:val="000000"/>
        </w:rPr>
        <w:t>，硫化物浓度400mg/L。</w:t>
      </w:r>
    </w:p>
    <w:p w14:paraId="2A63FB83">
      <w:pPr>
        <w:ind w:firstLine="480"/>
      </w:pPr>
      <w:r>
        <w:rPr>
          <w:rFonts w:hint="eastAsia"/>
        </w:rPr>
        <w:t>（</w:t>
      </w:r>
      <w:r>
        <w:t>3</w:t>
      </w:r>
      <w:r>
        <w:rPr>
          <w:rFonts w:hint="eastAsia"/>
        </w:rPr>
        <w:t>）</w:t>
      </w:r>
      <w:r>
        <w:rPr>
          <w:rFonts w:hint="eastAsia" w:ascii="宋体" w:hAnsi="宋体" w:cs="宋体"/>
        </w:rPr>
        <w:t>土壤环境影响预测</w:t>
      </w:r>
    </w:p>
    <w:p w14:paraId="58B4AC4D">
      <w:pPr>
        <w:ind w:firstLine="480"/>
      </w:pPr>
      <w:r>
        <w:rPr>
          <w:rFonts w:hint="eastAsia" w:ascii="宋体" w:hAnsi="宋体"/>
        </w:rPr>
        <w:t>①</w:t>
      </w:r>
      <w:r>
        <w:rPr>
          <w:rFonts w:hint="eastAsia" w:ascii="宋体" w:hAnsi="宋体" w:cs="宋体"/>
        </w:rPr>
        <w:t>软件选取</w:t>
      </w:r>
    </w:p>
    <w:p w14:paraId="2642EC67">
      <w:pPr>
        <w:ind w:firstLine="480"/>
      </w:pPr>
      <w:r>
        <w:rPr>
          <w:rFonts w:hint="eastAsia" w:ascii="宋体" w:hAnsi="宋体" w:cs="宋体"/>
        </w:rPr>
        <w:t>在本次评价中应用</w:t>
      </w:r>
      <w:r>
        <w:rPr>
          <w:rFonts w:hint="eastAsia"/>
        </w:rPr>
        <w:t>HYDRUS</w:t>
      </w:r>
      <w:r>
        <w:rPr>
          <w:rFonts w:hint="eastAsia" w:ascii="宋体" w:hAnsi="宋体" w:cs="宋体"/>
        </w:rPr>
        <w:t>软件求解非饱和带中的水分与溶质迁移方程。</w:t>
      </w:r>
      <w:r>
        <w:rPr>
          <w:rFonts w:hint="eastAsia"/>
        </w:rPr>
        <w:t>HYDRUS</w:t>
      </w:r>
      <w:r>
        <w:rPr>
          <w:rFonts w:hint="eastAsia" w:ascii="宋体" w:hAnsi="宋体" w:cs="宋体"/>
        </w:rPr>
        <w:t>是由美国国家盐改中心（</w:t>
      </w:r>
      <w:r>
        <w:rPr>
          <w:rFonts w:hint="eastAsia"/>
        </w:rPr>
        <w:t>US Salinity laboratory</w:t>
      </w:r>
      <w:r>
        <w:rPr>
          <w:rFonts w:hint="eastAsia" w:ascii="宋体" w:hAnsi="宋体" w:cs="宋体"/>
        </w:rPr>
        <w:t>）于</w:t>
      </w:r>
      <w:r>
        <w:rPr>
          <w:rFonts w:hint="eastAsia"/>
        </w:rPr>
        <w:t>1991</w:t>
      </w:r>
      <w:r>
        <w:rPr>
          <w:rFonts w:hint="eastAsia" w:ascii="宋体" w:hAnsi="宋体" w:cs="宋体"/>
        </w:rPr>
        <w:t>成功开发的一套用于模拟变饱和多孔介质中水分、能量、溶质运移的数值模型。经改进与完善，得到了广泛的认可与应用。能够较好地模拟水分、溶质与能量在土壤中的分布，时空变化，运移规律，分析人们普遍关注的农田灌溉、田间施肥、环境污染等实际问题。它也可以与其他地下水、地表水模型相结合，从宏观上分析水资源的转化规律。后经过众多学者的开发研究，</w:t>
      </w:r>
      <w:r>
        <w:rPr>
          <w:rFonts w:hint="eastAsia"/>
        </w:rPr>
        <w:t>HYDRUS</w:t>
      </w:r>
      <w:r>
        <w:rPr>
          <w:rFonts w:hint="eastAsia" w:ascii="宋体" w:hAnsi="宋体" w:cs="宋体"/>
        </w:rPr>
        <w:t>的功能更加完善，已经非常成功地应用于世界各地地下饱和、非饱和带污染物运移研究。</w:t>
      </w:r>
    </w:p>
    <w:p w14:paraId="7073EA81">
      <w:pPr>
        <w:ind w:firstLine="480"/>
      </w:pPr>
      <w:r>
        <w:rPr>
          <w:rFonts w:hint="eastAsia" w:ascii="宋体" w:hAnsi="宋体"/>
        </w:rPr>
        <w:t>②</w:t>
      </w:r>
      <w:r>
        <w:rPr>
          <w:rFonts w:hint="eastAsia" w:ascii="宋体" w:hAnsi="宋体" w:cs="宋体"/>
        </w:rPr>
        <w:t>初始条件和边界条件</w:t>
      </w:r>
    </w:p>
    <w:p w14:paraId="29F854D2">
      <w:pPr>
        <w:pStyle w:val="257"/>
        <w:ind w:firstLine="480"/>
        <w:rPr>
          <w:color w:val="000000"/>
        </w:rPr>
      </w:pPr>
      <w:r>
        <w:rPr>
          <w:rFonts w:hint="eastAsia"/>
          <w:color w:val="000000"/>
        </w:rPr>
        <w:t>（3）预测结果</w:t>
      </w:r>
    </w:p>
    <w:p w14:paraId="36DABCCE">
      <w:pPr>
        <w:pStyle w:val="257"/>
        <w:ind w:firstLine="480"/>
        <w:rPr>
          <w:color w:val="000000"/>
        </w:rPr>
      </w:pPr>
      <w:r>
        <w:rPr>
          <w:rFonts w:hint="eastAsia" w:ascii="宋体" w:hAnsi="宋体"/>
          <w:color w:val="000000"/>
        </w:rPr>
        <w:t>①初始条件和边界条件</w:t>
      </w:r>
    </w:p>
    <w:p w14:paraId="0089ED60">
      <w:pPr>
        <w:pStyle w:val="257"/>
        <w:ind w:firstLine="480"/>
        <w:rPr>
          <w:color w:val="000000"/>
        </w:rPr>
      </w:pPr>
      <w:r>
        <w:rPr>
          <w:color w:val="000000"/>
        </w:rPr>
        <w:t>a.</w:t>
      </w:r>
      <w:r>
        <w:rPr>
          <w:rFonts w:hint="eastAsia" w:ascii="宋体" w:hAnsi="宋体" w:cs="宋体"/>
          <w:color w:val="000000"/>
        </w:rPr>
        <w:t>水流模型</w:t>
      </w:r>
    </w:p>
    <w:p w14:paraId="46643ABD">
      <w:pPr>
        <w:pStyle w:val="257"/>
        <w:ind w:firstLine="480"/>
        <w:rPr>
          <w:color w:val="000000"/>
        </w:rPr>
      </w:pPr>
      <w:r>
        <w:rPr>
          <w:rFonts w:hint="eastAsia" w:ascii="宋体" w:hAnsi="宋体" w:cs="宋体"/>
          <w:color w:val="000000"/>
        </w:rPr>
        <w:t>初始条件：先使用插值的含水率、压力水头值进行</w:t>
      </w:r>
      <w:r>
        <w:rPr>
          <w:color w:val="000000"/>
        </w:rPr>
        <w:t>0</w:t>
      </w:r>
      <w:r>
        <w:rPr>
          <w:rFonts w:hint="eastAsia" w:ascii="宋体" w:hAnsi="宋体" w:cs="宋体"/>
          <w:color w:val="000000"/>
        </w:rPr>
        <w:t>天的计算，以</w:t>
      </w:r>
      <w:r>
        <w:rPr>
          <w:color w:val="000000"/>
        </w:rPr>
        <w:t>0</w:t>
      </w:r>
      <w:r>
        <w:rPr>
          <w:rFonts w:hint="eastAsia" w:ascii="宋体" w:hAnsi="宋体" w:cs="宋体"/>
          <w:color w:val="000000"/>
        </w:rPr>
        <w:t>天时的稳定计算结果作为初始条件。</w:t>
      </w:r>
    </w:p>
    <w:p w14:paraId="0E2E4DB7">
      <w:pPr>
        <w:pStyle w:val="257"/>
        <w:ind w:firstLine="480"/>
        <w:rPr>
          <w:color w:val="000000"/>
        </w:rPr>
      </w:pPr>
      <w:r>
        <w:rPr>
          <w:rFonts w:hint="eastAsia" w:ascii="宋体" w:hAnsi="宋体" w:cs="宋体"/>
          <w:color w:val="000000"/>
        </w:rPr>
        <w:t>边界条件：上边界为定水头边界，设定上边界压强为调节池水深（假设储水深度为</w:t>
      </w:r>
      <w:r>
        <w:rPr>
          <w:color w:val="000000"/>
        </w:rPr>
        <w:t>2.0m</w:t>
      </w:r>
      <w:r>
        <w:rPr>
          <w:rFonts w:hint="eastAsia" w:ascii="宋体" w:hAnsi="宋体" w:cs="宋体"/>
          <w:color w:val="000000"/>
        </w:rPr>
        <w:t>，压力水头取</w:t>
      </w:r>
      <w:r>
        <w:rPr>
          <w:color w:val="000000"/>
        </w:rPr>
        <w:t>200.0cm</w:t>
      </w:r>
      <w:r>
        <w:rPr>
          <w:rFonts w:hint="eastAsia" w:ascii="宋体" w:hAnsi="宋体" w:cs="宋体"/>
          <w:color w:val="000000"/>
        </w:rPr>
        <w:t>）；下边界为自由排水边界。</w:t>
      </w:r>
    </w:p>
    <w:p w14:paraId="21681763">
      <w:pPr>
        <w:pStyle w:val="257"/>
        <w:ind w:firstLine="480"/>
        <w:rPr>
          <w:color w:val="000000"/>
        </w:rPr>
      </w:pPr>
      <w:r>
        <w:rPr>
          <w:color w:val="000000"/>
        </w:rPr>
        <w:t>b.</w:t>
      </w:r>
      <w:r>
        <w:rPr>
          <w:rFonts w:hint="eastAsia" w:ascii="宋体" w:hAnsi="宋体" w:cs="宋体"/>
          <w:color w:val="000000"/>
        </w:rPr>
        <w:t>溶质运移模型</w:t>
      </w:r>
    </w:p>
    <w:p w14:paraId="3155E365">
      <w:pPr>
        <w:pStyle w:val="257"/>
        <w:ind w:firstLine="480"/>
        <w:rPr>
          <w:color w:val="000000"/>
        </w:rPr>
      </w:pPr>
      <w:r>
        <w:rPr>
          <w:rFonts w:hint="eastAsia" w:ascii="宋体" w:hAnsi="宋体" w:cs="宋体"/>
          <w:color w:val="000000"/>
        </w:rPr>
        <w:t>初始条件：初始条件用原始土层污染物浓度表示，本模型中为零。</w:t>
      </w:r>
    </w:p>
    <w:p w14:paraId="47015688">
      <w:pPr>
        <w:pStyle w:val="257"/>
        <w:ind w:firstLine="480"/>
        <w:rPr>
          <w:color w:val="000000"/>
          <w:shd w:val="clear" w:color="auto" w:fill="FFFFFF"/>
        </w:rPr>
      </w:pPr>
      <w:r>
        <w:rPr>
          <w:rFonts w:hint="eastAsia" w:ascii="宋体" w:hAnsi="宋体" w:cs="宋体"/>
          <w:color w:val="000000"/>
          <w:shd w:val="clear" w:color="auto" w:fill="FFFFFF"/>
        </w:rPr>
        <w:t>边界条件：上边界为定溶质通量边界。下边界为零梯度浓度边界。</w:t>
      </w:r>
    </w:p>
    <w:p w14:paraId="19618C21">
      <w:pPr>
        <w:pStyle w:val="257"/>
        <w:ind w:firstLine="480"/>
        <w:rPr>
          <w:color w:val="000000"/>
        </w:rPr>
      </w:pPr>
      <w:r>
        <w:rPr>
          <w:rFonts w:hint="eastAsia" w:ascii="宋体" w:hAnsi="宋体" w:eastAsia="宋体"/>
          <w:color w:val="000000"/>
        </w:rPr>
        <w:t>②</w:t>
      </w:r>
      <w:r>
        <w:rPr>
          <w:rFonts w:hint="eastAsia" w:ascii="宋体" w:hAnsi="宋体" w:cs="宋体"/>
          <w:color w:val="000000"/>
        </w:rPr>
        <w:t>参数选取</w:t>
      </w:r>
    </w:p>
    <w:p w14:paraId="4E4996F8">
      <w:pPr>
        <w:pStyle w:val="117"/>
        <w:ind w:firstLine="480"/>
        <w:rPr>
          <w:color w:val="000000"/>
        </w:rPr>
      </w:pPr>
      <w:r>
        <w:rPr>
          <w:rFonts w:hint="eastAsia"/>
          <w:color w:val="000000"/>
        </w:rPr>
        <w:t>参考</w:t>
      </w:r>
      <w:r>
        <w:rPr>
          <w:color w:val="000000"/>
        </w:rPr>
        <w:t>HYDRUS-1D</w:t>
      </w:r>
      <w:r>
        <w:rPr>
          <w:rFonts w:hint="eastAsia"/>
          <w:color w:val="000000"/>
        </w:rPr>
        <w:t>程序中所附的美国农业部使用的包气带基本岩性参数、本次试验和工勘结果综合取值。</w:t>
      </w:r>
    </w:p>
    <w:p w14:paraId="78317EC8">
      <w:pPr>
        <w:pStyle w:val="257"/>
        <w:ind w:firstLine="480"/>
        <w:rPr>
          <w:rFonts w:hint="eastAsia" w:ascii="宋体" w:hAnsi="宋体" w:eastAsia="宋体" w:cs="宋体"/>
          <w:color w:val="000000"/>
        </w:rPr>
      </w:pPr>
      <w:r>
        <w:rPr>
          <w:rFonts w:hint="eastAsia" w:ascii="宋体" w:hAnsi="宋体" w:eastAsia="宋体"/>
          <w:color w:val="000000"/>
        </w:rPr>
        <w:t>③</w:t>
      </w:r>
      <w:r>
        <w:rPr>
          <w:rFonts w:hint="eastAsia" w:ascii="宋体" w:hAnsi="宋体" w:eastAsia="宋体" w:cs="宋体"/>
          <w:color w:val="000000"/>
        </w:rPr>
        <w:t>预测结果</w:t>
      </w:r>
    </w:p>
    <w:p w14:paraId="1DD9C4EE">
      <w:pPr>
        <w:pStyle w:val="257"/>
        <w:ind w:firstLine="480"/>
        <w:rPr>
          <w:rFonts w:ascii="宋体" w:hAnsi="宋体"/>
          <w:color w:val="000000"/>
        </w:rPr>
      </w:pPr>
      <w:r>
        <w:rPr>
          <w:rFonts w:hint="eastAsia" w:ascii="宋体" w:hAnsi="宋体" w:eastAsia="宋体" w:cs="宋体"/>
          <w:color w:val="000000"/>
        </w:rPr>
        <w:t>剩余氨水罐破损，持续泄漏</w:t>
      </w:r>
      <w:r>
        <w:rPr>
          <w:rFonts w:hint="eastAsia" w:eastAsia="宋体"/>
          <w:color w:val="000000"/>
        </w:rPr>
        <w:t>100</w:t>
      </w:r>
      <w:r>
        <w:rPr>
          <w:rFonts w:hint="eastAsia" w:ascii="宋体" w:hAnsi="宋体" w:eastAsia="宋体" w:cs="宋体"/>
          <w:color w:val="000000"/>
        </w:rPr>
        <w:t>天，地面以下</w:t>
      </w:r>
      <w:r>
        <w:rPr>
          <w:rFonts w:hint="eastAsia" w:eastAsia="宋体"/>
          <w:color w:val="000000"/>
        </w:rPr>
        <w:t>1</w:t>
      </w:r>
      <w:r>
        <w:rPr>
          <w:color w:val="000000"/>
        </w:rPr>
        <w:t>0m</w:t>
      </w:r>
      <w:r>
        <w:rPr>
          <w:rFonts w:hint="eastAsia" w:ascii="宋体" w:hAnsi="宋体" w:eastAsia="宋体" w:cs="宋体"/>
          <w:color w:val="000000"/>
        </w:rPr>
        <w:t>的</w:t>
      </w:r>
      <w:r>
        <w:rPr>
          <w:rFonts w:hint="eastAsia" w:ascii="宋体" w:hAnsi="宋体"/>
          <w:color w:val="000000"/>
        </w:rPr>
        <w:t>包气带中</w:t>
      </w:r>
      <w:r>
        <w:rPr>
          <w:rFonts w:hint="eastAsia" w:ascii="宋体" w:hAnsi="宋体" w:eastAsia="宋体" w:cs="宋体"/>
          <w:color w:val="000000"/>
        </w:rPr>
        <w:t>污染物浓度随深度变化曲线预测结果见下图。</w:t>
      </w:r>
      <w:r>
        <w:rPr>
          <w:rFonts w:hint="eastAsia" w:ascii="宋体" w:hAnsi="宋体" w:eastAsia="宋体"/>
          <w:color w:val="000000"/>
        </w:rPr>
        <w:t>图中为</w:t>
      </w:r>
      <w:bookmarkStart w:id="544" w:name="OLE_LINK11"/>
      <w:r>
        <w:rPr>
          <w:rStyle w:val="162"/>
          <w:rFonts w:hint="eastAsia"/>
        </w:rPr>
        <w:t>20d、40d、60d、80d、100d</w:t>
      </w:r>
      <w:bookmarkEnd w:id="544"/>
      <w:r>
        <w:rPr>
          <w:rFonts w:hint="eastAsia" w:ascii="宋体" w:hAnsi="宋体" w:eastAsia="宋体"/>
          <w:color w:val="000000"/>
        </w:rPr>
        <w:t>污染物入渗深度与浓度的关系图。</w:t>
      </w:r>
    </w:p>
    <w:p w14:paraId="68A87039">
      <w:pPr>
        <w:pStyle w:val="257"/>
        <w:ind w:firstLine="480"/>
      </w:pPr>
      <w:r>
        <w:rPr>
          <w:rFonts w:hint="eastAsia" w:ascii="宋体" w:hAnsi="宋体" w:eastAsia="宋体" w:cs="宋体"/>
        </w:rPr>
        <w:t>由上图可以看出，剩余氨水罐破损，导致</w:t>
      </w:r>
      <w:r>
        <w:rPr>
          <w:rFonts w:hint="eastAsia" w:ascii="宋体" w:hAnsi="宋体" w:eastAsia="宋体" w:cs="宋体"/>
          <w:color w:val="000000"/>
        </w:rPr>
        <w:t>氰化物</w:t>
      </w:r>
      <w:r>
        <w:rPr>
          <w:rFonts w:hint="eastAsia" w:ascii="宋体" w:hAnsi="宋体" w:eastAsia="宋体" w:cs="宋体"/>
        </w:rPr>
        <w:t>、</w:t>
      </w:r>
      <w:r>
        <w:rPr>
          <w:rFonts w:hint="eastAsia" w:ascii="宋体" w:hAnsi="宋体" w:eastAsia="宋体" w:cs="宋体"/>
          <w:color w:val="000000"/>
        </w:rPr>
        <w:t>石油烃</w:t>
      </w:r>
      <w:r>
        <w:rPr>
          <w:rFonts w:hint="eastAsia" w:ascii="宋体" w:hAnsi="宋体" w:eastAsia="宋体" w:cs="宋体"/>
        </w:rPr>
        <w:t>等污染物持续泄漏，泄漏</w:t>
      </w:r>
      <w:r>
        <w:rPr>
          <w:rStyle w:val="162"/>
          <w:rFonts w:hint="eastAsia"/>
        </w:rPr>
        <w:t>20d、40d、60d、80d、100d</w:t>
      </w:r>
      <w:r>
        <w:rPr>
          <w:rFonts w:hint="eastAsia" w:ascii="宋体" w:hAnsi="宋体" w:eastAsia="宋体" w:cs="宋体"/>
        </w:rPr>
        <w:t>污染物影响范围均为地表以下</w:t>
      </w:r>
      <w:r>
        <w:rPr>
          <w:rFonts w:hint="eastAsia"/>
        </w:rPr>
        <w:t>5m</w:t>
      </w:r>
      <w:r>
        <w:rPr>
          <w:rFonts w:hint="eastAsia" w:ascii="宋体" w:hAnsi="宋体" w:eastAsia="宋体" w:cs="宋体"/>
        </w:rPr>
        <w:t>范围内。</w:t>
      </w:r>
    </w:p>
    <w:p w14:paraId="20E6227C">
      <w:pPr>
        <w:pStyle w:val="138"/>
        <w:rPr>
          <w:rFonts w:hint="eastAsia"/>
        </w:rPr>
      </w:pPr>
      <w:r>
        <w:t>小结</w:t>
      </w:r>
    </w:p>
    <w:p w14:paraId="37C5B87A">
      <w:pPr>
        <w:pStyle w:val="117"/>
        <w:ind w:firstLine="480"/>
      </w:pPr>
      <w:r>
        <w:rPr>
          <w:rFonts w:hint="eastAsia"/>
        </w:rPr>
        <w:t>本项目对土壤环境的影响主要是正常状况下大气沉降影响和非正常状况下污水处理站综合调节池污染物垂直入渗影响，预测结论如下：</w:t>
      </w:r>
    </w:p>
    <w:p w14:paraId="3742FA76">
      <w:pPr>
        <w:pStyle w:val="117"/>
        <w:ind w:firstLine="480"/>
      </w:pPr>
      <w:r>
        <w:t>（1）大气沉降不会引起</w:t>
      </w:r>
      <w:r>
        <w:rPr>
          <w:rFonts w:hint="eastAsia"/>
        </w:rPr>
        <w:t>评级范围内</w:t>
      </w:r>
      <w:r>
        <w:t>表层土壤中</w:t>
      </w:r>
      <w:r>
        <w:rPr>
          <w:rFonts w:hint="eastAsia"/>
        </w:rPr>
        <w:t>石油烃等污染物</w:t>
      </w:r>
      <w:r>
        <w:t>浓度</w:t>
      </w:r>
      <w:r>
        <w:rPr>
          <w:rFonts w:hint="eastAsia"/>
        </w:rPr>
        <w:t>超标</w:t>
      </w:r>
      <w:r>
        <w:t>，对周边土壤环境的影响较小，对周边土壤环境敏感目标影响程度有限。</w:t>
      </w:r>
    </w:p>
    <w:p w14:paraId="1F8F480D">
      <w:pPr>
        <w:pStyle w:val="117"/>
        <w:ind w:firstLine="480"/>
      </w:pPr>
      <w:r>
        <w:t>（2）</w:t>
      </w:r>
      <w:r>
        <w:rPr>
          <w:rFonts w:hint="eastAsia" w:ascii="宋体" w:hAnsi="宋体"/>
        </w:rPr>
        <w:t>剩余氨水罐</w:t>
      </w:r>
      <w:r>
        <w:rPr>
          <w:rFonts w:hint="eastAsia"/>
        </w:rPr>
        <w:t>破损，导致</w:t>
      </w:r>
      <w:r>
        <w:rPr>
          <w:rFonts w:hint="eastAsia" w:ascii="宋体" w:hAnsi="宋体"/>
          <w:color w:val="000000"/>
        </w:rPr>
        <w:t>氰化物</w:t>
      </w:r>
      <w:r>
        <w:rPr>
          <w:rFonts w:hint="eastAsia" w:ascii="宋体" w:hAnsi="宋体"/>
        </w:rPr>
        <w:t>、</w:t>
      </w:r>
      <w:r>
        <w:rPr>
          <w:rFonts w:hint="eastAsia" w:ascii="宋体" w:hAnsi="宋体"/>
          <w:color w:val="000000"/>
        </w:rPr>
        <w:t>石油烃</w:t>
      </w:r>
      <w:r>
        <w:rPr>
          <w:rFonts w:hint="eastAsia"/>
        </w:rPr>
        <w:t>等污染物持续泄漏，泄漏</w:t>
      </w:r>
      <w:r>
        <w:rPr>
          <w:rStyle w:val="162"/>
          <w:rFonts w:hint="eastAsia"/>
        </w:rPr>
        <w:t>20d、40d、60d、80d、100d</w:t>
      </w:r>
      <w:r>
        <w:rPr>
          <w:rFonts w:hint="eastAsia"/>
        </w:rPr>
        <w:t>污染物影响范围均为地表以下5m范围内。</w:t>
      </w:r>
    </w:p>
    <w:p w14:paraId="56CBE3A0">
      <w:pPr>
        <w:pStyle w:val="257"/>
        <w:ind w:firstLine="480"/>
      </w:pPr>
      <w:r>
        <w:rPr>
          <w:rFonts w:hint="eastAsia" w:ascii="宋体" w:hAnsi="宋体" w:cs="宋体"/>
        </w:rPr>
        <w:t>根据预测结果可以知道，项目场地包气带土层渗透性强，防污性能弱，垂直入渗泄漏的污染物很容易穿透包气带</w:t>
      </w:r>
      <w:r>
        <w:rPr>
          <w:rFonts w:hint="eastAsia" w:ascii="宋体" w:hAnsi="宋体" w:eastAsia="宋体" w:cs="宋体"/>
        </w:rPr>
        <w:t>进入</w:t>
      </w:r>
      <w:r>
        <w:rPr>
          <w:rFonts w:hint="eastAsia" w:ascii="宋体" w:hAnsi="宋体" w:cs="宋体"/>
        </w:rPr>
        <w:t>下部的含水层中，在建设项目施工中，应注意防渗层、防渗措施等隐蔽工程的施工，同时在尽可能加大防渗层的厚度和降低其渗透系数的同时，采用柔性</w:t>
      </w:r>
      <w:r>
        <w:rPr>
          <w:rFonts w:hint="eastAsia"/>
        </w:rPr>
        <w:t>+</w:t>
      </w:r>
      <w:r>
        <w:rPr>
          <w:rFonts w:hint="eastAsia" w:ascii="宋体" w:hAnsi="宋体" w:cs="宋体"/>
        </w:rPr>
        <w:t>刚性复合防渗结构设置防渗，增加防渗措施的可靠性，</w:t>
      </w:r>
      <w:r>
        <w:rPr>
          <w:rFonts w:hint="eastAsia" w:ascii="宋体" w:hAnsi="宋体" w:eastAsia="宋体" w:cs="宋体"/>
        </w:rPr>
        <w:t>减少</w:t>
      </w:r>
      <w:r>
        <w:rPr>
          <w:rFonts w:hint="eastAsia" w:ascii="宋体" w:hAnsi="宋体" w:cs="宋体"/>
        </w:rPr>
        <w:t>污染物迅速穿过防渗层从而污染地下水的风险。</w:t>
      </w:r>
    </w:p>
    <w:p w14:paraId="66E86736">
      <w:pPr>
        <w:pStyle w:val="257"/>
        <w:ind w:firstLine="480"/>
        <w:rPr>
          <w:rFonts w:ascii="宋体" w:hAnsi="宋体" w:cs="宋体"/>
        </w:rPr>
      </w:pPr>
      <w:r>
        <w:rPr>
          <w:rFonts w:hint="eastAsia" w:ascii="宋体" w:hAnsi="宋体" w:cs="宋体"/>
        </w:rPr>
        <w:t>针对工程可能发生的土壤污染，按照</w:t>
      </w:r>
      <w:r>
        <w:t>“</w:t>
      </w:r>
      <w:r>
        <w:rPr>
          <w:rFonts w:hint="eastAsia" w:ascii="宋体" w:hAnsi="宋体" w:cs="宋体"/>
        </w:rPr>
        <w:t>源头控制、末端防治、污染监控、应急响应</w:t>
      </w:r>
      <w:r>
        <w:t>”</w:t>
      </w:r>
      <w:r>
        <w:rPr>
          <w:rFonts w:hint="eastAsia" w:ascii="宋体" w:hAnsi="宋体" w:cs="宋体"/>
        </w:rPr>
        <w:t>相结合的原则，从污染物的产生、入渗、扩散、应急响应全阶段进行控制；进行污染防治分区，按照《石油化工工程防渗技术规范》（</w:t>
      </w:r>
      <w:r>
        <w:rPr>
          <w:rFonts w:hint="eastAsia"/>
        </w:rPr>
        <w:t>GB/T50934-2013</w:t>
      </w:r>
      <w:r>
        <w:rPr>
          <w:rFonts w:hint="eastAsia" w:ascii="宋体" w:hAnsi="宋体" w:cs="宋体"/>
        </w:rPr>
        <w:t>）要求分区防渗处理；另外，本项目已制定地下水环境跟踪监测措施，制定跟踪监测计划，建立完善的跟踪监测制度，以便及时发现并有效控制。</w:t>
      </w:r>
    </w:p>
    <w:p w14:paraId="7CCC66A5">
      <w:pPr>
        <w:pStyle w:val="257"/>
        <w:ind w:firstLine="480"/>
      </w:pPr>
      <w:r>
        <w:rPr>
          <w:rFonts w:hint="eastAsia" w:ascii="宋体" w:hAnsi="宋体" w:cs="宋体"/>
        </w:rPr>
        <w:t>根据建设项目的土壤环境现状、预测评价结果，从土壤环境影响的角度，项目可行。</w:t>
      </w:r>
    </w:p>
    <w:p w14:paraId="488AB496">
      <w:pPr>
        <w:pStyle w:val="138"/>
        <w:rPr>
          <w:rFonts w:hint="eastAsia"/>
        </w:rPr>
      </w:pPr>
      <w:r>
        <w:rPr>
          <w:rFonts w:hint="eastAsia"/>
        </w:rPr>
        <w:t>土壤环境影响评价自查表</w:t>
      </w:r>
    </w:p>
    <w:p w14:paraId="0C3EC705">
      <w:pPr>
        <w:pStyle w:val="117"/>
        <w:ind w:firstLine="480"/>
      </w:pPr>
      <w:r>
        <w:rPr>
          <w:rFonts w:hint="eastAsia"/>
        </w:rPr>
        <w:t>项目土壤环境影响评价自查表见表5</w:t>
      </w:r>
      <w:r>
        <w:t>.8</w:t>
      </w:r>
      <w:r>
        <w:rPr>
          <w:rFonts w:hint="eastAsia"/>
        </w:rPr>
        <w:t>-7。</w:t>
      </w:r>
    </w:p>
    <w:p w14:paraId="5F65CD34">
      <w:pPr>
        <w:pStyle w:val="118"/>
        <w:rPr>
          <w:snapToGrid w:val="0"/>
        </w:rPr>
      </w:pPr>
      <w:r>
        <w:rPr>
          <w:rFonts w:hint="eastAsia"/>
          <w:snapToGrid w:val="0"/>
        </w:rPr>
        <w:t>表5</w:t>
      </w:r>
      <w:r>
        <w:rPr>
          <w:snapToGrid w:val="0"/>
        </w:rPr>
        <w:t>.8</w:t>
      </w:r>
      <w:r>
        <w:rPr>
          <w:rFonts w:hint="eastAsia"/>
          <w:snapToGrid w:val="0"/>
        </w:rPr>
        <w:t>-7</w:t>
      </w:r>
      <w:r>
        <w:rPr>
          <w:snapToGrid w:val="0"/>
        </w:rPr>
        <w:t xml:space="preserve">    </w:t>
      </w:r>
      <w:r>
        <w:rPr>
          <w:rFonts w:hint="eastAsia"/>
          <w:snapToGrid w:val="0"/>
        </w:rPr>
        <w:t>土壤环境影响评价自查表</w:t>
      </w:r>
    </w:p>
    <w:tbl>
      <w:tblPr>
        <w:tblStyle w:val="68"/>
        <w:tblW w:w="829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368"/>
        <w:gridCol w:w="1555"/>
        <w:gridCol w:w="1248"/>
        <w:gridCol w:w="417"/>
        <w:gridCol w:w="832"/>
        <w:gridCol w:w="1249"/>
        <w:gridCol w:w="128"/>
        <w:gridCol w:w="1428"/>
        <w:gridCol w:w="1071"/>
      </w:tblGrid>
      <w:tr w14:paraId="0FDC41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1923" w:type="dxa"/>
            <w:gridSpan w:val="2"/>
            <w:vAlign w:val="center"/>
          </w:tcPr>
          <w:p w14:paraId="5F7E1B2E">
            <w:pPr>
              <w:pStyle w:val="133"/>
              <w:rPr>
                <w:b/>
                <w:bCs/>
                <w:snapToGrid w:val="0"/>
                <w:u w:color="000000"/>
              </w:rPr>
            </w:pPr>
            <w:r>
              <w:rPr>
                <w:b/>
                <w:bCs/>
                <w:snapToGrid w:val="0"/>
                <w:u w:color="000000"/>
              </w:rPr>
              <w:t>工作内容</w:t>
            </w:r>
          </w:p>
        </w:tc>
        <w:tc>
          <w:tcPr>
            <w:tcW w:w="5302" w:type="dxa"/>
            <w:gridSpan w:val="6"/>
            <w:vAlign w:val="center"/>
          </w:tcPr>
          <w:p w14:paraId="03E5A502">
            <w:pPr>
              <w:pStyle w:val="133"/>
              <w:rPr>
                <w:b/>
                <w:bCs/>
                <w:snapToGrid w:val="0"/>
                <w:u w:color="000000"/>
              </w:rPr>
            </w:pPr>
            <w:r>
              <w:rPr>
                <w:b/>
                <w:bCs/>
                <w:snapToGrid w:val="0"/>
                <w:u w:color="000000"/>
              </w:rPr>
              <w:t>完成情况</w:t>
            </w:r>
          </w:p>
        </w:tc>
        <w:tc>
          <w:tcPr>
            <w:tcW w:w="1071" w:type="dxa"/>
            <w:vAlign w:val="center"/>
          </w:tcPr>
          <w:p w14:paraId="1BF7E36B">
            <w:pPr>
              <w:pStyle w:val="133"/>
              <w:rPr>
                <w:b/>
                <w:bCs/>
                <w:snapToGrid w:val="0"/>
                <w:u w:color="000000"/>
              </w:rPr>
            </w:pPr>
            <w:r>
              <w:rPr>
                <w:b/>
                <w:bCs/>
                <w:snapToGrid w:val="0"/>
                <w:u w:color="000000"/>
              </w:rPr>
              <w:t>备注</w:t>
            </w:r>
          </w:p>
        </w:tc>
      </w:tr>
      <w:tr w14:paraId="02D4A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0FC436D3">
            <w:pPr>
              <w:pStyle w:val="133"/>
              <w:rPr>
                <w:snapToGrid w:val="0"/>
                <w:u w:color="000000"/>
              </w:rPr>
            </w:pPr>
            <w:r>
              <w:rPr>
                <w:snapToGrid w:val="0"/>
                <w:u w:color="000000"/>
              </w:rPr>
              <w:t>影</w:t>
            </w:r>
          </w:p>
          <w:p w14:paraId="7577EC4E">
            <w:pPr>
              <w:pStyle w:val="133"/>
              <w:rPr>
                <w:snapToGrid w:val="0"/>
                <w:u w:color="000000"/>
              </w:rPr>
            </w:pPr>
            <w:r>
              <w:rPr>
                <w:snapToGrid w:val="0"/>
                <w:u w:color="000000"/>
              </w:rPr>
              <w:t>响</w:t>
            </w:r>
          </w:p>
          <w:p w14:paraId="14B15A42">
            <w:pPr>
              <w:pStyle w:val="133"/>
              <w:rPr>
                <w:snapToGrid w:val="0"/>
                <w:u w:color="000000"/>
              </w:rPr>
            </w:pPr>
            <w:r>
              <w:rPr>
                <w:snapToGrid w:val="0"/>
                <w:u w:color="000000"/>
              </w:rPr>
              <w:t>识</w:t>
            </w:r>
          </w:p>
          <w:p w14:paraId="72E05B6F">
            <w:pPr>
              <w:pStyle w:val="133"/>
              <w:rPr>
                <w:snapToGrid w:val="0"/>
                <w:u w:color="000000"/>
              </w:rPr>
            </w:pPr>
            <w:r>
              <w:rPr>
                <w:snapToGrid w:val="0"/>
                <w:u w:color="000000"/>
              </w:rPr>
              <w:t>别</w:t>
            </w:r>
          </w:p>
        </w:tc>
        <w:tc>
          <w:tcPr>
            <w:tcW w:w="1555" w:type="dxa"/>
            <w:vAlign w:val="center"/>
          </w:tcPr>
          <w:p w14:paraId="242099C7">
            <w:pPr>
              <w:pStyle w:val="133"/>
              <w:rPr>
                <w:snapToGrid w:val="0"/>
                <w:u w:color="000000"/>
              </w:rPr>
            </w:pPr>
            <w:r>
              <w:rPr>
                <w:snapToGrid w:val="0"/>
                <w:u w:color="000000"/>
              </w:rPr>
              <w:t>影响类型</w:t>
            </w:r>
          </w:p>
        </w:tc>
        <w:tc>
          <w:tcPr>
            <w:tcW w:w="5302" w:type="dxa"/>
            <w:gridSpan w:val="6"/>
            <w:vAlign w:val="center"/>
          </w:tcPr>
          <w:p w14:paraId="11B822DD">
            <w:pPr>
              <w:pStyle w:val="133"/>
              <w:rPr>
                <w:snapToGrid w:val="0"/>
                <w:u w:color="000000"/>
              </w:rPr>
            </w:pPr>
            <w:r>
              <w:rPr>
                <w:snapToGrid w:val="0"/>
                <w:u w:color="000000"/>
              </w:rPr>
              <w:t>污染影响型</w:t>
            </w:r>
            <w:r>
              <w:rPr>
                <w:rFonts w:hint="eastAsia"/>
                <w:snapToGrid w:val="0"/>
                <w:u w:color="000000"/>
              </w:rPr>
              <w:sym w:font="Wingdings 2" w:char="F052"/>
            </w:r>
            <w:r>
              <w:rPr>
                <w:snapToGrid w:val="0"/>
                <w:u w:color="000000"/>
              </w:rPr>
              <w:t>；生态影响型□；两种兼有□</w:t>
            </w:r>
          </w:p>
        </w:tc>
        <w:tc>
          <w:tcPr>
            <w:tcW w:w="1071" w:type="dxa"/>
            <w:vAlign w:val="center"/>
          </w:tcPr>
          <w:p w14:paraId="601E3B45">
            <w:pPr>
              <w:pStyle w:val="133"/>
              <w:rPr>
                <w:snapToGrid w:val="0"/>
                <w:u w:color="000000"/>
              </w:rPr>
            </w:pPr>
            <w:r>
              <w:rPr>
                <w:snapToGrid w:val="0"/>
                <w:u w:color="000000"/>
              </w:rPr>
              <w:t>/</w:t>
            </w:r>
          </w:p>
        </w:tc>
      </w:tr>
      <w:tr w14:paraId="76DB1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4407F59">
            <w:pPr>
              <w:pStyle w:val="133"/>
              <w:rPr>
                <w:snapToGrid w:val="0"/>
                <w:u w:color="000000"/>
              </w:rPr>
            </w:pPr>
          </w:p>
        </w:tc>
        <w:tc>
          <w:tcPr>
            <w:tcW w:w="1555" w:type="dxa"/>
            <w:vAlign w:val="center"/>
          </w:tcPr>
          <w:p w14:paraId="29624863">
            <w:pPr>
              <w:pStyle w:val="133"/>
              <w:rPr>
                <w:snapToGrid w:val="0"/>
                <w:u w:color="000000"/>
              </w:rPr>
            </w:pPr>
            <w:r>
              <w:rPr>
                <w:snapToGrid w:val="0"/>
                <w:u w:color="000000"/>
              </w:rPr>
              <w:t>土地利用类型</w:t>
            </w:r>
          </w:p>
        </w:tc>
        <w:tc>
          <w:tcPr>
            <w:tcW w:w="5302" w:type="dxa"/>
            <w:gridSpan w:val="6"/>
            <w:vAlign w:val="center"/>
          </w:tcPr>
          <w:p w14:paraId="3A7FBA48">
            <w:pPr>
              <w:pStyle w:val="133"/>
              <w:rPr>
                <w:snapToGrid w:val="0"/>
                <w:u w:color="000000"/>
              </w:rPr>
            </w:pPr>
            <w:r>
              <w:rPr>
                <w:snapToGrid w:val="0"/>
                <w:u w:color="000000"/>
              </w:rPr>
              <w:t>建设用地</w:t>
            </w:r>
            <w:r>
              <w:rPr>
                <w:rFonts w:hint="eastAsia"/>
                <w:snapToGrid w:val="0"/>
                <w:u w:color="000000"/>
              </w:rPr>
              <w:sym w:font="Wingdings 2" w:char="F052"/>
            </w:r>
            <w:r>
              <w:rPr>
                <w:snapToGrid w:val="0"/>
                <w:u w:color="000000"/>
              </w:rPr>
              <w:t>；农用地□；未利用地□</w:t>
            </w:r>
          </w:p>
        </w:tc>
        <w:tc>
          <w:tcPr>
            <w:tcW w:w="1071" w:type="dxa"/>
            <w:vAlign w:val="center"/>
          </w:tcPr>
          <w:p w14:paraId="511A3E76">
            <w:pPr>
              <w:pStyle w:val="133"/>
              <w:rPr>
                <w:snapToGrid w:val="0"/>
                <w:u w:color="000000"/>
              </w:rPr>
            </w:pPr>
            <w:r>
              <w:rPr>
                <w:snapToGrid w:val="0"/>
                <w:u w:color="000000"/>
              </w:rPr>
              <w:t>有土地利用类型图</w:t>
            </w:r>
          </w:p>
        </w:tc>
      </w:tr>
      <w:tr w14:paraId="7F7DF0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E9BF2BC">
            <w:pPr>
              <w:pStyle w:val="133"/>
              <w:rPr>
                <w:snapToGrid w:val="0"/>
                <w:u w:color="000000"/>
              </w:rPr>
            </w:pPr>
          </w:p>
        </w:tc>
        <w:tc>
          <w:tcPr>
            <w:tcW w:w="1555" w:type="dxa"/>
            <w:vAlign w:val="center"/>
          </w:tcPr>
          <w:p w14:paraId="4FBBE8A4">
            <w:pPr>
              <w:pStyle w:val="133"/>
              <w:rPr>
                <w:snapToGrid w:val="0"/>
                <w:u w:color="000000"/>
              </w:rPr>
            </w:pPr>
            <w:r>
              <w:rPr>
                <w:snapToGrid w:val="0"/>
                <w:u w:color="000000"/>
              </w:rPr>
              <w:t>占地规模</w:t>
            </w:r>
          </w:p>
        </w:tc>
        <w:tc>
          <w:tcPr>
            <w:tcW w:w="5302" w:type="dxa"/>
            <w:gridSpan w:val="6"/>
            <w:vAlign w:val="center"/>
          </w:tcPr>
          <w:p w14:paraId="76D8CD51">
            <w:pPr>
              <w:pStyle w:val="133"/>
              <w:rPr>
                <w:snapToGrid w:val="0"/>
                <w:u w:color="000000"/>
              </w:rPr>
            </w:pPr>
            <w:r>
              <w:rPr>
                <w:rFonts w:hint="eastAsia"/>
                <w:snapToGrid w:val="0"/>
                <w:u w:color="000000"/>
              </w:rPr>
              <w:t>总占地面积为</w:t>
            </w:r>
            <w:r>
              <w:rPr>
                <w:rFonts w:hint="eastAsia"/>
              </w:rPr>
              <w:t>67.99</w:t>
            </w:r>
            <w:r>
              <w:rPr>
                <w:rFonts w:hint="eastAsia"/>
                <w:snapToGrid w:val="0"/>
                <w:u w:color="000000"/>
              </w:rPr>
              <w:t>hm</w:t>
            </w:r>
            <w:r>
              <w:rPr>
                <w:rFonts w:hint="eastAsia"/>
                <w:snapToGrid w:val="0"/>
                <w:u w:color="000000"/>
                <w:vertAlign w:val="superscript"/>
              </w:rPr>
              <w:t>2</w:t>
            </w:r>
            <w:r>
              <w:rPr>
                <w:rFonts w:hint="eastAsia"/>
                <w:snapToGrid w:val="0"/>
                <w:u w:color="000000"/>
              </w:rPr>
              <w:t>，占地规模属于“大型（≥50 hm</w:t>
            </w:r>
            <w:r>
              <w:rPr>
                <w:rFonts w:hint="eastAsia"/>
                <w:snapToGrid w:val="0"/>
                <w:u w:color="000000"/>
                <w:vertAlign w:val="superscript"/>
              </w:rPr>
              <w:t>2</w:t>
            </w:r>
            <w:r>
              <w:rPr>
                <w:rFonts w:hint="eastAsia"/>
                <w:snapToGrid w:val="0"/>
                <w:u w:color="000000"/>
              </w:rPr>
              <w:t>）”。</w:t>
            </w:r>
          </w:p>
        </w:tc>
        <w:tc>
          <w:tcPr>
            <w:tcW w:w="1071" w:type="dxa"/>
            <w:vAlign w:val="center"/>
          </w:tcPr>
          <w:p w14:paraId="76499249">
            <w:pPr>
              <w:pStyle w:val="133"/>
              <w:rPr>
                <w:snapToGrid w:val="0"/>
                <w:u w:color="000000"/>
              </w:rPr>
            </w:pPr>
          </w:p>
        </w:tc>
      </w:tr>
      <w:tr w14:paraId="2D0EF9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D702F52">
            <w:pPr>
              <w:pStyle w:val="133"/>
              <w:rPr>
                <w:snapToGrid w:val="0"/>
                <w:u w:color="000000"/>
              </w:rPr>
            </w:pPr>
          </w:p>
        </w:tc>
        <w:tc>
          <w:tcPr>
            <w:tcW w:w="1555" w:type="dxa"/>
            <w:vAlign w:val="center"/>
          </w:tcPr>
          <w:p w14:paraId="73D42099">
            <w:pPr>
              <w:pStyle w:val="133"/>
              <w:rPr>
                <w:snapToGrid w:val="0"/>
                <w:u w:color="000000"/>
              </w:rPr>
            </w:pPr>
            <w:r>
              <w:rPr>
                <w:snapToGrid w:val="0"/>
                <w:u w:color="000000"/>
              </w:rPr>
              <w:t>敏感目标信息</w:t>
            </w:r>
          </w:p>
        </w:tc>
        <w:tc>
          <w:tcPr>
            <w:tcW w:w="5302" w:type="dxa"/>
            <w:gridSpan w:val="6"/>
            <w:vAlign w:val="center"/>
          </w:tcPr>
          <w:p w14:paraId="2BF3762F">
            <w:pPr>
              <w:pStyle w:val="133"/>
              <w:rPr>
                <w:snapToGrid w:val="0"/>
                <w:u w:color="000000"/>
              </w:rPr>
            </w:pPr>
            <w:r>
              <w:rPr>
                <w:snapToGrid w:val="0"/>
                <w:u w:color="000000"/>
              </w:rPr>
              <w:t>敏感目标（无）、方位（</w:t>
            </w:r>
            <w:r>
              <w:rPr>
                <w:rFonts w:hint="eastAsia"/>
                <w:snapToGrid w:val="0"/>
                <w:u w:color="000000"/>
              </w:rPr>
              <w:t>－</w:t>
            </w:r>
            <w:r>
              <w:rPr>
                <w:snapToGrid w:val="0"/>
                <w:u w:color="000000"/>
              </w:rPr>
              <w:t>）、距离（</w:t>
            </w:r>
            <w:r>
              <w:rPr>
                <w:rFonts w:hint="eastAsia"/>
                <w:snapToGrid w:val="0"/>
                <w:u w:color="000000"/>
              </w:rPr>
              <w:t>－</w:t>
            </w:r>
            <w:r>
              <w:rPr>
                <w:snapToGrid w:val="0"/>
                <w:u w:color="000000"/>
              </w:rPr>
              <w:t>）</w:t>
            </w:r>
          </w:p>
        </w:tc>
        <w:tc>
          <w:tcPr>
            <w:tcW w:w="1071" w:type="dxa"/>
            <w:vAlign w:val="center"/>
          </w:tcPr>
          <w:p w14:paraId="3609B26E">
            <w:pPr>
              <w:pStyle w:val="133"/>
              <w:rPr>
                <w:snapToGrid w:val="0"/>
                <w:u w:color="000000"/>
              </w:rPr>
            </w:pPr>
          </w:p>
        </w:tc>
      </w:tr>
      <w:tr w14:paraId="56E20F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27858A8">
            <w:pPr>
              <w:pStyle w:val="133"/>
              <w:rPr>
                <w:snapToGrid w:val="0"/>
                <w:u w:color="000000"/>
              </w:rPr>
            </w:pPr>
          </w:p>
        </w:tc>
        <w:tc>
          <w:tcPr>
            <w:tcW w:w="1555" w:type="dxa"/>
            <w:vAlign w:val="center"/>
          </w:tcPr>
          <w:p w14:paraId="4DEDED90">
            <w:pPr>
              <w:pStyle w:val="133"/>
              <w:rPr>
                <w:snapToGrid w:val="0"/>
                <w:u w:color="000000"/>
              </w:rPr>
            </w:pPr>
            <w:r>
              <w:rPr>
                <w:snapToGrid w:val="0"/>
                <w:u w:color="000000"/>
              </w:rPr>
              <w:t>影响途径</w:t>
            </w:r>
          </w:p>
        </w:tc>
        <w:tc>
          <w:tcPr>
            <w:tcW w:w="5302" w:type="dxa"/>
            <w:gridSpan w:val="6"/>
            <w:vAlign w:val="center"/>
          </w:tcPr>
          <w:p w14:paraId="3BBF808F">
            <w:pPr>
              <w:pStyle w:val="133"/>
              <w:rPr>
                <w:snapToGrid w:val="0"/>
                <w:u w:color="000000"/>
              </w:rPr>
            </w:pPr>
            <w:r>
              <w:rPr>
                <w:snapToGrid w:val="0"/>
                <w:u w:color="000000"/>
              </w:rPr>
              <w:t>大气沉降</w:t>
            </w:r>
            <w:r>
              <w:rPr>
                <w:rFonts w:hint="eastAsia"/>
                <w:snapToGrid w:val="0"/>
                <w:u w:color="000000"/>
              </w:rPr>
              <w:sym w:font="Wingdings 2" w:char="F052"/>
            </w:r>
            <w:r>
              <w:rPr>
                <w:snapToGrid w:val="0"/>
                <w:u w:color="000000"/>
              </w:rPr>
              <w:t>；地面漫流□；垂直入渗</w:t>
            </w:r>
            <w:r>
              <w:rPr>
                <w:rFonts w:hint="eastAsia"/>
                <w:snapToGrid w:val="0"/>
                <w:u w:color="000000"/>
              </w:rPr>
              <w:sym w:font="Wingdings 2" w:char="F052"/>
            </w:r>
            <w:r>
              <w:rPr>
                <w:snapToGrid w:val="0"/>
                <w:u w:color="000000"/>
              </w:rPr>
              <w:t>；地下水位□；其他（）</w:t>
            </w:r>
          </w:p>
        </w:tc>
        <w:tc>
          <w:tcPr>
            <w:tcW w:w="1071" w:type="dxa"/>
            <w:vAlign w:val="center"/>
          </w:tcPr>
          <w:p w14:paraId="3CB3C039">
            <w:pPr>
              <w:pStyle w:val="133"/>
              <w:rPr>
                <w:snapToGrid w:val="0"/>
                <w:u w:color="000000"/>
              </w:rPr>
            </w:pPr>
          </w:p>
        </w:tc>
      </w:tr>
      <w:tr w14:paraId="7127A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96AC585">
            <w:pPr>
              <w:pStyle w:val="133"/>
              <w:rPr>
                <w:snapToGrid w:val="0"/>
                <w:u w:color="000000"/>
              </w:rPr>
            </w:pPr>
          </w:p>
        </w:tc>
        <w:tc>
          <w:tcPr>
            <w:tcW w:w="1555" w:type="dxa"/>
            <w:vAlign w:val="center"/>
          </w:tcPr>
          <w:p w14:paraId="50284E11">
            <w:pPr>
              <w:pStyle w:val="133"/>
              <w:rPr>
                <w:snapToGrid w:val="0"/>
                <w:u w:color="000000"/>
              </w:rPr>
            </w:pPr>
            <w:r>
              <w:rPr>
                <w:snapToGrid w:val="0"/>
                <w:u w:color="000000"/>
              </w:rPr>
              <w:t>全部污染物</w:t>
            </w:r>
          </w:p>
        </w:tc>
        <w:tc>
          <w:tcPr>
            <w:tcW w:w="5302" w:type="dxa"/>
            <w:gridSpan w:val="6"/>
            <w:vAlign w:val="center"/>
          </w:tcPr>
          <w:p w14:paraId="3547B858">
            <w:pPr>
              <w:pStyle w:val="133"/>
              <w:rPr>
                <w:snapToGrid w:val="0"/>
                <w:u w:color="000000"/>
              </w:rPr>
            </w:pPr>
            <w:r>
              <w:rPr>
                <w:rFonts w:hint="eastAsia"/>
                <w:snapToGrid w:val="0"/>
                <w:u w:color="000000"/>
              </w:rPr>
              <w:t>废气：SO</w:t>
            </w:r>
            <w:r>
              <w:rPr>
                <w:rFonts w:hint="eastAsia"/>
                <w:snapToGrid w:val="0"/>
                <w:u w:color="000000"/>
                <w:vertAlign w:val="subscript"/>
              </w:rPr>
              <w:t>2</w:t>
            </w:r>
            <w:r>
              <w:rPr>
                <w:rFonts w:hint="eastAsia"/>
                <w:snapToGrid w:val="0"/>
                <w:u w:color="000000"/>
              </w:rPr>
              <w:t>、NO</w:t>
            </w:r>
            <w:r>
              <w:rPr>
                <w:rFonts w:hint="eastAsia"/>
                <w:snapToGrid w:val="0"/>
                <w:u w:color="000000"/>
                <w:vertAlign w:val="subscript"/>
              </w:rPr>
              <w:t>X</w:t>
            </w:r>
            <w:r>
              <w:rPr>
                <w:rFonts w:hint="eastAsia"/>
                <w:snapToGrid w:val="0"/>
                <w:u w:color="000000"/>
              </w:rPr>
              <w:t>、PM</w:t>
            </w:r>
            <w:r>
              <w:rPr>
                <w:rFonts w:hint="eastAsia"/>
                <w:snapToGrid w:val="0"/>
                <w:u w:color="000000"/>
                <w:vertAlign w:val="subscript"/>
              </w:rPr>
              <w:t>10</w:t>
            </w:r>
            <w:r>
              <w:rPr>
                <w:rFonts w:hint="eastAsia"/>
                <w:snapToGrid w:val="0"/>
                <w:u w:color="000000"/>
              </w:rPr>
              <w:t>、NH</w:t>
            </w:r>
            <w:r>
              <w:rPr>
                <w:rFonts w:hint="eastAsia"/>
                <w:snapToGrid w:val="0"/>
                <w:u w:color="000000"/>
                <w:vertAlign w:val="subscript"/>
              </w:rPr>
              <w:t>3</w:t>
            </w:r>
            <w:r>
              <w:rPr>
                <w:rFonts w:hint="eastAsia"/>
                <w:snapToGrid w:val="0"/>
                <w:u w:color="000000"/>
              </w:rPr>
              <w:t>、H</w:t>
            </w:r>
            <w:r>
              <w:rPr>
                <w:rFonts w:hint="eastAsia"/>
                <w:snapToGrid w:val="0"/>
                <w:u w:color="000000"/>
                <w:vertAlign w:val="subscript"/>
              </w:rPr>
              <w:t>2</w:t>
            </w:r>
            <w:r>
              <w:rPr>
                <w:rFonts w:hint="eastAsia"/>
                <w:snapToGrid w:val="0"/>
                <w:u w:color="000000"/>
              </w:rPr>
              <w:t>S、</w:t>
            </w:r>
            <w:bookmarkStart w:id="545" w:name="OLE_LINK27"/>
            <w:r>
              <w:rPr>
                <w:rFonts w:hint="eastAsia"/>
                <w:snapToGrid w:val="0"/>
                <w:u w:color="000000"/>
              </w:rPr>
              <w:t>NMHC、苯并芘、氰化物、</w:t>
            </w:r>
            <w:bookmarkEnd w:id="545"/>
            <w:r>
              <w:rPr>
                <w:rFonts w:hint="eastAsia"/>
                <w:snapToGrid w:val="0"/>
                <w:u w:color="000000"/>
              </w:rPr>
              <w:t>酚类</w:t>
            </w:r>
          </w:p>
          <w:p w14:paraId="1B77DD77">
            <w:pPr>
              <w:pStyle w:val="133"/>
              <w:rPr>
                <w:snapToGrid w:val="0"/>
                <w:u w:color="000000"/>
              </w:rPr>
            </w:pPr>
            <w:r>
              <w:rPr>
                <w:rFonts w:hint="eastAsia"/>
                <w:snapToGrid w:val="0"/>
                <w:u w:color="000000"/>
              </w:rPr>
              <w:t>废水：COD、氨氮、SS、石油类、氰化物、硫化物、挥发酚</w:t>
            </w:r>
          </w:p>
        </w:tc>
        <w:tc>
          <w:tcPr>
            <w:tcW w:w="1071" w:type="dxa"/>
            <w:vAlign w:val="center"/>
          </w:tcPr>
          <w:p w14:paraId="6077DB5F">
            <w:pPr>
              <w:pStyle w:val="133"/>
              <w:rPr>
                <w:snapToGrid w:val="0"/>
                <w:u w:color="000000"/>
              </w:rPr>
            </w:pPr>
          </w:p>
        </w:tc>
      </w:tr>
      <w:tr w14:paraId="7525ED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1A4130E3">
            <w:pPr>
              <w:pStyle w:val="133"/>
              <w:rPr>
                <w:snapToGrid w:val="0"/>
                <w:u w:color="000000"/>
              </w:rPr>
            </w:pPr>
          </w:p>
        </w:tc>
        <w:tc>
          <w:tcPr>
            <w:tcW w:w="1555" w:type="dxa"/>
            <w:vAlign w:val="center"/>
          </w:tcPr>
          <w:p w14:paraId="51FD2671">
            <w:pPr>
              <w:pStyle w:val="133"/>
              <w:rPr>
                <w:snapToGrid w:val="0"/>
                <w:u w:color="000000"/>
              </w:rPr>
            </w:pPr>
            <w:r>
              <w:rPr>
                <w:snapToGrid w:val="0"/>
                <w:u w:color="000000"/>
              </w:rPr>
              <w:t>特征因子</w:t>
            </w:r>
          </w:p>
        </w:tc>
        <w:tc>
          <w:tcPr>
            <w:tcW w:w="5302" w:type="dxa"/>
            <w:gridSpan w:val="6"/>
            <w:vAlign w:val="center"/>
          </w:tcPr>
          <w:p w14:paraId="77B89CCE">
            <w:pPr>
              <w:pStyle w:val="133"/>
              <w:rPr>
                <w:snapToGrid w:val="0"/>
                <w:u w:color="000000"/>
              </w:rPr>
            </w:pPr>
            <w:bookmarkStart w:id="546" w:name="OLE_LINK40"/>
            <w:r>
              <w:rPr>
                <w:rFonts w:hint="eastAsia"/>
                <w:snapToGrid w:val="0"/>
                <w:u w:color="000000"/>
              </w:rPr>
              <w:t>大气沉降：石油烃、苯并芘、氰化物</w:t>
            </w:r>
          </w:p>
          <w:p w14:paraId="0064904A">
            <w:pPr>
              <w:pStyle w:val="133"/>
              <w:rPr>
                <w:snapToGrid w:val="0"/>
                <w:u w:color="000000"/>
              </w:rPr>
            </w:pPr>
            <w:r>
              <w:rPr>
                <w:rFonts w:hint="eastAsia"/>
                <w:snapToGrid w:val="0"/>
                <w:u w:color="000000"/>
              </w:rPr>
              <w:t>垂直入渗：</w:t>
            </w:r>
            <w:bookmarkStart w:id="547" w:name="OLE_LINK29"/>
            <w:r>
              <w:rPr>
                <w:rFonts w:hint="eastAsia"/>
                <w:snapToGrid w:val="0"/>
                <w:u w:color="000000"/>
              </w:rPr>
              <w:t>石油烃</w:t>
            </w:r>
            <w:bookmarkEnd w:id="547"/>
            <w:r>
              <w:rPr>
                <w:rFonts w:hint="eastAsia"/>
                <w:snapToGrid w:val="0"/>
                <w:u w:color="000000"/>
              </w:rPr>
              <w:t>、氰化物</w:t>
            </w:r>
            <w:bookmarkEnd w:id="546"/>
          </w:p>
        </w:tc>
        <w:tc>
          <w:tcPr>
            <w:tcW w:w="1071" w:type="dxa"/>
            <w:vAlign w:val="center"/>
          </w:tcPr>
          <w:p w14:paraId="2D000754">
            <w:pPr>
              <w:pStyle w:val="133"/>
              <w:rPr>
                <w:snapToGrid w:val="0"/>
                <w:u w:color="000000"/>
              </w:rPr>
            </w:pPr>
          </w:p>
        </w:tc>
      </w:tr>
      <w:tr w14:paraId="05638B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B262944">
            <w:pPr>
              <w:pStyle w:val="133"/>
              <w:rPr>
                <w:snapToGrid w:val="0"/>
                <w:u w:color="000000"/>
              </w:rPr>
            </w:pPr>
          </w:p>
        </w:tc>
        <w:tc>
          <w:tcPr>
            <w:tcW w:w="1555" w:type="dxa"/>
            <w:vAlign w:val="center"/>
          </w:tcPr>
          <w:p w14:paraId="1209F324">
            <w:pPr>
              <w:pStyle w:val="133"/>
              <w:rPr>
                <w:snapToGrid w:val="0"/>
                <w:u w:color="000000"/>
              </w:rPr>
            </w:pPr>
            <w:r>
              <w:rPr>
                <w:snapToGrid w:val="0"/>
                <w:u w:color="000000"/>
              </w:rPr>
              <w:t>所属土壤环境影响评价项目类别</w:t>
            </w:r>
          </w:p>
        </w:tc>
        <w:tc>
          <w:tcPr>
            <w:tcW w:w="5302" w:type="dxa"/>
            <w:gridSpan w:val="6"/>
            <w:vAlign w:val="center"/>
          </w:tcPr>
          <w:p w14:paraId="22C172F6">
            <w:pPr>
              <w:pStyle w:val="133"/>
              <w:rPr>
                <w:snapToGrid w:val="0"/>
                <w:u w:color="000000"/>
              </w:rPr>
            </w:pPr>
            <w:r>
              <w:rPr>
                <w:snapToGrid w:val="0"/>
                <w:u w:color="000000"/>
              </w:rPr>
              <w:t>Ⅰ类</w:t>
            </w:r>
            <w:r>
              <w:rPr>
                <w:rFonts w:hint="eastAsia"/>
                <w:snapToGrid w:val="0"/>
                <w:u w:color="000000"/>
              </w:rPr>
              <w:sym w:font="Wingdings 2" w:char="F052"/>
            </w:r>
            <w:r>
              <w:rPr>
                <w:snapToGrid w:val="0"/>
                <w:u w:color="000000"/>
              </w:rPr>
              <w:t>；Ⅱ类□；Ⅲ类□；Ⅳ类□</w:t>
            </w:r>
          </w:p>
        </w:tc>
        <w:tc>
          <w:tcPr>
            <w:tcW w:w="1071" w:type="dxa"/>
            <w:vAlign w:val="center"/>
          </w:tcPr>
          <w:p w14:paraId="72641AC2">
            <w:pPr>
              <w:pStyle w:val="133"/>
              <w:rPr>
                <w:snapToGrid w:val="0"/>
                <w:u w:color="000000"/>
              </w:rPr>
            </w:pPr>
          </w:p>
        </w:tc>
      </w:tr>
      <w:tr w14:paraId="5625C9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56DA2DE4">
            <w:pPr>
              <w:pStyle w:val="133"/>
              <w:rPr>
                <w:snapToGrid w:val="0"/>
                <w:u w:color="000000"/>
              </w:rPr>
            </w:pPr>
          </w:p>
        </w:tc>
        <w:tc>
          <w:tcPr>
            <w:tcW w:w="1555" w:type="dxa"/>
            <w:vAlign w:val="center"/>
          </w:tcPr>
          <w:p w14:paraId="0B1F5833">
            <w:pPr>
              <w:pStyle w:val="133"/>
              <w:rPr>
                <w:snapToGrid w:val="0"/>
                <w:u w:color="000000"/>
              </w:rPr>
            </w:pPr>
            <w:r>
              <w:rPr>
                <w:snapToGrid w:val="0"/>
                <w:u w:color="000000"/>
              </w:rPr>
              <w:t>敏感程度</w:t>
            </w:r>
          </w:p>
        </w:tc>
        <w:tc>
          <w:tcPr>
            <w:tcW w:w="5302" w:type="dxa"/>
            <w:gridSpan w:val="6"/>
            <w:vAlign w:val="center"/>
          </w:tcPr>
          <w:p w14:paraId="4C87643C">
            <w:pPr>
              <w:pStyle w:val="133"/>
              <w:rPr>
                <w:snapToGrid w:val="0"/>
                <w:u w:color="000000"/>
              </w:rPr>
            </w:pPr>
            <w:r>
              <w:rPr>
                <w:snapToGrid w:val="0"/>
                <w:u w:color="000000"/>
              </w:rPr>
              <w:t>敏感</w:t>
            </w:r>
            <w:bookmarkStart w:id="548" w:name="OLE_LINK30"/>
            <w:r>
              <w:rPr>
                <w:snapToGrid w:val="0"/>
                <w:u w:color="000000"/>
              </w:rPr>
              <w:t>□</w:t>
            </w:r>
            <w:bookmarkEnd w:id="548"/>
            <w:r>
              <w:rPr>
                <w:snapToGrid w:val="0"/>
                <w:u w:color="000000"/>
              </w:rPr>
              <w:t>；较敏感□；不敏感</w:t>
            </w:r>
            <w:r>
              <w:rPr>
                <w:rFonts w:hint="eastAsia"/>
                <w:snapToGrid w:val="0"/>
                <w:u w:color="000000"/>
              </w:rPr>
              <w:sym w:font="Wingdings 2" w:char="F052"/>
            </w:r>
          </w:p>
        </w:tc>
        <w:tc>
          <w:tcPr>
            <w:tcW w:w="1071" w:type="dxa"/>
            <w:vAlign w:val="center"/>
          </w:tcPr>
          <w:p w14:paraId="011D251F">
            <w:pPr>
              <w:pStyle w:val="133"/>
              <w:rPr>
                <w:snapToGrid w:val="0"/>
                <w:u w:color="000000"/>
              </w:rPr>
            </w:pPr>
          </w:p>
        </w:tc>
      </w:tr>
      <w:tr w14:paraId="2A87B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923" w:type="dxa"/>
            <w:gridSpan w:val="2"/>
            <w:vAlign w:val="center"/>
          </w:tcPr>
          <w:p w14:paraId="02A22A5F">
            <w:pPr>
              <w:pStyle w:val="133"/>
              <w:rPr>
                <w:snapToGrid w:val="0"/>
                <w:u w:color="000000"/>
              </w:rPr>
            </w:pPr>
            <w:r>
              <w:rPr>
                <w:snapToGrid w:val="0"/>
                <w:u w:color="000000"/>
              </w:rPr>
              <w:t>评价工作等级</w:t>
            </w:r>
          </w:p>
        </w:tc>
        <w:tc>
          <w:tcPr>
            <w:tcW w:w="5302" w:type="dxa"/>
            <w:gridSpan w:val="6"/>
            <w:vAlign w:val="center"/>
          </w:tcPr>
          <w:p w14:paraId="2240379C">
            <w:pPr>
              <w:pStyle w:val="133"/>
              <w:rPr>
                <w:snapToGrid w:val="0"/>
                <w:u w:color="000000"/>
              </w:rPr>
            </w:pPr>
            <w:r>
              <w:rPr>
                <w:snapToGrid w:val="0"/>
                <w:u w:color="000000"/>
              </w:rPr>
              <w:t>一级</w:t>
            </w:r>
            <w:r>
              <w:rPr>
                <w:rFonts w:hint="eastAsia"/>
                <w:snapToGrid w:val="0"/>
                <w:u w:color="000000"/>
              </w:rPr>
              <w:sym w:font="Wingdings 2" w:char="F052"/>
            </w:r>
            <w:r>
              <w:rPr>
                <w:snapToGrid w:val="0"/>
                <w:u w:color="000000"/>
              </w:rPr>
              <w:t>；二级□；三级□</w:t>
            </w:r>
          </w:p>
        </w:tc>
        <w:tc>
          <w:tcPr>
            <w:tcW w:w="1071" w:type="dxa"/>
            <w:vAlign w:val="center"/>
          </w:tcPr>
          <w:p w14:paraId="14A21EE3">
            <w:pPr>
              <w:pStyle w:val="133"/>
              <w:rPr>
                <w:snapToGrid w:val="0"/>
                <w:u w:color="000000"/>
              </w:rPr>
            </w:pPr>
          </w:p>
        </w:tc>
      </w:tr>
      <w:tr w14:paraId="4C5B3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32D0D50C">
            <w:pPr>
              <w:pStyle w:val="133"/>
              <w:rPr>
                <w:snapToGrid w:val="0"/>
                <w:u w:color="000000"/>
              </w:rPr>
            </w:pPr>
            <w:r>
              <w:rPr>
                <w:snapToGrid w:val="0"/>
                <w:u w:color="000000"/>
              </w:rPr>
              <w:t>现状调查内容</w:t>
            </w:r>
          </w:p>
        </w:tc>
        <w:tc>
          <w:tcPr>
            <w:tcW w:w="1555" w:type="dxa"/>
            <w:vAlign w:val="center"/>
          </w:tcPr>
          <w:p w14:paraId="1089FE5C">
            <w:pPr>
              <w:pStyle w:val="133"/>
              <w:rPr>
                <w:snapToGrid w:val="0"/>
                <w:u w:color="000000"/>
              </w:rPr>
            </w:pPr>
            <w:r>
              <w:rPr>
                <w:snapToGrid w:val="0"/>
                <w:u w:color="000000"/>
              </w:rPr>
              <w:t>资料收集</w:t>
            </w:r>
          </w:p>
        </w:tc>
        <w:tc>
          <w:tcPr>
            <w:tcW w:w="5302" w:type="dxa"/>
            <w:gridSpan w:val="6"/>
            <w:vAlign w:val="center"/>
          </w:tcPr>
          <w:p w14:paraId="18EFD076">
            <w:pPr>
              <w:pStyle w:val="133"/>
              <w:rPr>
                <w:snapToGrid w:val="0"/>
                <w:u w:color="000000"/>
              </w:rPr>
            </w:pPr>
            <w:r>
              <w:rPr>
                <w:snapToGrid w:val="0"/>
                <w:u w:color="000000"/>
              </w:rPr>
              <w:t>a）</w:t>
            </w:r>
            <w:r>
              <w:rPr>
                <w:rFonts w:hint="eastAsia"/>
                <w:snapToGrid w:val="0"/>
                <w:u w:color="000000"/>
              </w:rPr>
              <w:sym w:font="Wingdings 2" w:char="F052"/>
            </w:r>
            <w:r>
              <w:rPr>
                <w:rFonts w:hint="eastAsia"/>
                <w:snapToGrid w:val="0"/>
                <w:u w:color="000000"/>
              </w:rPr>
              <w:t xml:space="preserve">; </w:t>
            </w:r>
            <w:r>
              <w:rPr>
                <w:snapToGrid w:val="0"/>
                <w:u w:color="000000"/>
              </w:rPr>
              <w:t>b</w:t>
            </w:r>
            <w:r>
              <w:rPr>
                <w:rFonts w:hint="eastAsia"/>
                <w:snapToGrid w:val="0"/>
                <w:u w:color="000000"/>
              </w:rPr>
              <w:t>)</w:t>
            </w:r>
            <w:r>
              <w:rPr>
                <w:rFonts w:hint="eastAsia"/>
                <w:snapToGrid w:val="0"/>
                <w:u w:color="000000"/>
              </w:rPr>
              <w:sym w:font="Wingdings 2" w:char="F052"/>
            </w:r>
            <w:r>
              <w:rPr>
                <w:rFonts w:hint="eastAsia"/>
                <w:snapToGrid w:val="0"/>
                <w:u w:color="000000"/>
              </w:rPr>
              <w:t xml:space="preserve">; </w:t>
            </w:r>
            <w:r>
              <w:rPr>
                <w:snapToGrid w:val="0"/>
                <w:u w:color="000000"/>
              </w:rPr>
              <w:t>c</w:t>
            </w:r>
            <w:r>
              <w:rPr>
                <w:rFonts w:hint="eastAsia"/>
                <w:snapToGrid w:val="0"/>
                <w:u w:color="000000"/>
              </w:rPr>
              <w:t>)</w:t>
            </w:r>
            <w:r>
              <w:rPr>
                <w:rFonts w:hint="eastAsia"/>
                <w:snapToGrid w:val="0"/>
                <w:u w:color="000000"/>
              </w:rPr>
              <w:sym w:font="Wingdings 2" w:char="F052"/>
            </w:r>
            <w:r>
              <w:rPr>
                <w:rFonts w:hint="eastAsia"/>
                <w:snapToGrid w:val="0"/>
                <w:u w:color="000000"/>
              </w:rPr>
              <w:t xml:space="preserve">; </w:t>
            </w:r>
            <w:r>
              <w:rPr>
                <w:snapToGrid w:val="0"/>
                <w:u w:color="000000"/>
              </w:rPr>
              <w:t>d）□</w:t>
            </w:r>
          </w:p>
        </w:tc>
        <w:tc>
          <w:tcPr>
            <w:tcW w:w="1071" w:type="dxa"/>
            <w:vAlign w:val="center"/>
          </w:tcPr>
          <w:p w14:paraId="431D0BD2">
            <w:pPr>
              <w:pStyle w:val="133"/>
              <w:rPr>
                <w:snapToGrid w:val="0"/>
                <w:u w:color="000000"/>
              </w:rPr>
            </w:pPr>
          </w:p>
        </w:tc>
      </w:tr>
      <w:tr w14:paraId="3DD57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63A66ECB">
            <w:pPr>
              <w:pStyle w:val="133"/>
              <w:rPr>
                <w:snapToGrid w:val="0"/>
                <w:u w:color="000000"/>
              </w:rPr>
            </w:pPr>
          </w:p>
        </w:tc>
        <w:tc>
          <w:tcPr>
            <w:tcW w:w="1555" w:type="dxa"/>
            <w:vAlign w:val="center"/>
          </w:tcPr>
          <w:p w14:paraId="02F53C43">
            <w:pPr>
              <w:pStyle w:val="133"/>
              <w:rPr>
                <w:snapToGrid w:val="0"/>
                <w:u w:color="000000"/>
              </w:rPr>
            </w:pPr>
            <w:r>
              <w:rPr>
                <w:snapToGrid w:val="0"/>
                <w:u w:color="000000"/>
              </w:rPr>
              <w:t>理化特性</w:t>
            </w:r>
          </w:p>
        </w:tc>
        <w:tc>
          <w:tcPr>
            <w:tcW w:w="5302" w:type="dxa"/>
            <w:gridSpan w:val="6"/>
            <w:vAlign w:val="center"/>
          </w:tcPr>
          <w:p w14:paraId="15159A01">
            <w:pPr>
              <w:pStyle w:val="133"/>
              <w:rPr>
                <w:snapToGrid w:val="0"/>
                <w:u w:color="000000"/>
              </w:rPr>
            </w:pPr>
            <w:r>
              <w:rPr>
                <w:snapToGrid w:val="0"/>
                <w:u w:color="000000"/>
              </w:rPr>
              <w:t>已按要求调查</w:t>
            </w:r>
          </w:p>
        </w:tc>
        <w:tc>
          <w:tcPr>
            <w:tcW w:w="1071" w:type="dxa"/>
            <w:vAlign w:val="center"/>
          </w:tcPr>
          <w:p w14:paraId="78C1CCAA">
            <w:pPr>
              <w:pStyle w:val="133"/>
              <w:rPr>
                <w:snapToGrid w:val="0"/>
                <w:u w:color="000000"/>
              </w:rPr>
            </w:pPr>
          </w:p>
        </w:tc>
      </w:tr>
      <w:tr w14:paraId="7A1CE1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25D58C7">
            <w:pPr>
              <w:pStyle w:val="133"/>
              <w:rPr>
                <w:snapToGrid w:val="0"/>
                <w:u w:color="000000"/>
              </w:rPr>
            </w:pPr>
          </w:p>
        </w:tc>
        <w:tc>
          <w:tcPr>
            <w:tcW w:w="1555" w:type="dxa"/>
            <w:vMerge w:val="restart"/>
            <w:vAlign w:val="center"/>
          </w:tcPr>
          <w:p w14:paraId="12239D77">
            <w:pPr>
              <w:pStyle w:val="133"/>
              <w:rPr>
                <w:snapToGrid w:val="0"/>
                <w:u w:color="000000"/>
              </w:rPr>
            </w:pPr>
            <w:r>
              <w:rPr>
                <w:snapToGrid w:val="0"/>
                <w:u w:color="000000"/>
              </w:rPr>
              <w:t>现状监测点位</w:t>
            </w:r>
          </w:p>
        </w:tc>
        <w:tc>
          <w:tcPr>
            <w:tcW w:w="1248" w:type="dxa"/>
            <w:vAlign w:val="center"/>
          </w:tcPr>
          <w:p w14:paraId="7B5CA988">
            <w:pPr>
              <w:pStyle w:val="133"/>
              <w:rPr>
                <w:snapToGrid w:val="0"/>
                <w:u w:color="000000"/>
              </w:rPr>
            </w:pPr>
          </w:p>
        </w:tc>
        <w:tc>
          <w:tcPr>
            <w:tcW w:w="1249" w:type="dxa"/>
            <w:gridSpan w:val="2"/>
            <w:vAlign w:val="center"/>
          </w:tcPr>
          <w:p w14:paraId="2CE0B54D">
            <w:pPr>
              <w:pStyle w:val="133"/>
              <w:rPr>
                <w:snapToGrid w:val="0"/>
                <w:u w:color="000000"/>
              </w:rPr>
            </w:pPr>
            <w:r>
              <w:rPr>
                <w:snapToGrid w:val="0"/>
                <w:u w:color="000000"/>
              </w:rPr>
              <w:t>占地范围内</w:t>
            </w:r>
          </w:p>
        </w:tc>
        <w:tc>
          <w:tcPr>
            <w:tcW w:w="1249" w:type="dxa"/>
            <w:vAlign w:val="center"/>
          </w:tcPr>
          <w:p w14:paraId="43981E38">
            <w:pPr>
              <w:pStyle w:val="133"/>
              <w:rPr>
                <w:snapToGrid w:val="0"/>
                <w:u w:color="000000"/>
              </w:rPr>
            </w:pPr>
            <w:r>
              <w:rPr>
                <w:snapToGrid w:val="0"/>
                <w:u w:color="000000"/>
              </w:rPr>
              <w:t>占地范围外</w:t>
            </w:r>
          </w:p>
        </w:tc>
        <w:tc>
          <w:tcPr>
            <w:tcW w:w="1556" w:type="dxa"/>
            <w:gridSpan w:val="2"/>
            <w:vAlign w:val="center"/>
          </w:tcPr>
          <w:p w14:paraId="3DCC1C9E">
            <w:pPr>
              <w:pStyle w:val="133"/>
              <w:rPr>
                <w:snapToGrid w:val="0"/>
                <w:u w:color="000000"/>
              </w:rPr>
            </w:pPr>
            <w:r>
              <w:rPr>
                <w:snapToGrid w:val="0"/>
                <w:u w:color="000000"/>
              </w:rPr>
              <w:t>深度</w:t>
            </w:r>
          </w:p>
        </w:tc>
        <w:tc>
          <w:tcPr>
            <w:tcW w:w="1071" w:type="dxa"/>
            <w:vMerge w:val="restart"/>
            <w:vAlign w:val="center"/>
          </w:tcPr>
          <w:p w14:paraId="5A729DCF">
            <w:pPr>
              <w:pStyle w:val="133"/>
              <w:rPr>
                <w:snapToGrid w:val="0"/>
                <w:u w:color="000000"/>
              </w:rPr>
            </w:pPr>
            <w:r>
              <w:rPr>
                <w:snapToGrid w:val="0"/>
                <w:u w:color="000000"/>
              </w:rPr>
              <w:t>有监测点位分布图</w:t>
            </w:r>
          </w:p>
        </w:tc>
      </w:tr>
      <w:tr w14:paraId="17BDB1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110040A">
            <w:pPr>
              <w:pStyle w:val="133"/>
              <w:rPr>
                <w:snapToGrid w:val="0"/>
                <w:u w:color="000000"/>
              </w:rPr>
            </w:pPr>
          </w:p>
        </w:tc>
        <w:tc>
          <w:tcPr>
            <w:tcW w:w="1555" w:type="dxa"/>
            <w:vMerge w:val="continue"/>
            <w:vAlign w:val="center"/>
          </w:tcPr>
          <w:p w14:paraId="1E77C9E1">
            <w:pPr>
              <w:pStyle w:val="133"/>
              <w:rPr>
                <w:snapToGrid w:val="0"/>
                <w:u w:color="000000"/>
              </w:rPr>
            </w:pPr>
          </w:p>
        </w:tc>
        <w:tc>
          <w:tcPr>
            <w:tcW w:w="1248" w:type="dxa"/>
            <w:vAlign w:val="center"/>
          </w:tcPr>
          <w:p w14:paraId="748872D5">
            <w:pPr>
              <w:pStyle w:val="133"/>
              <w:rPr>
                <w:snapToGrid w:val="0"/>
                <w:u w:color="000000"/>
              </w:rPr>
            </w:pPr>
            <w:r>
              <w:rPr>
                <w:snapToGrid w:val="0"/>
                <w:u w:color="000000"/>
              </w:rPr>
              <w:t>表层样点数</w:t>
            </w:r>
          </w:p>
        </w:tc>
        <w:tc>
          <w:tcPr>
            <w:tcW w:w="1249" w:type="dxa"/>
            <w:gridSpan w:val="2"/>
            <w:vAlign w:val="center"/>
          </w:tcPr>
          <w:p w14:paraId="31AA5B21">
            <w:pPr>
              <w:pStyle w:val="133"/>
              <w:rPr>
                <w:snapToGrid w:val="0"/>
                <w:u w:color="000000"/>
              </w:rPr>
            </w:pPr>
            <w:r>
              <w:rPr>
                <w:rFonts w:hint="eastAsia"/>
                <w:snapToGrid w:val="0"/>
                <w:u w:color="000000"/>
              </w:rPr>
              <w:t>2</w:t>
            </w:r>
          </w:p>
        </w:tc>
        <w:tc>
          <w:tcPr>
            <w:tcW w:w="1249" w:type="dxa"/>
            <w:vAlign w:val="center"/>
          </w:tcPr>
          <w:p w14:paraId="6F76BD4E">
            <w:pPr>
              <w:pStyle w:val="133"/>
              <w:rPr>
                <w:snapToGrid w:val="0"/>
                <w:u w:color="000000"/>
              </w:rPr>
            </w:pPr>
            <w:r>
              <w:rPr>
                <w:rFonts w:hint="eastAsia"/>
                <w:snapToGrid w:val="0"/>
                <w:u w:color="000000"/>
              </w:rPr>
              <w:t>4</w:t>
            </w:r>
          </w:p>
        </w:tc>
        <w:tc>
          <w:tcPr>
            <w:tcW w:w="1556" w:type="dxa"/>
            <w:gridSpan w:val="2"/>
            <w:vAlign w:val="center"/>
          </w:tcPr>
          <w:p w14:paraId="39493BA5">
            <w:pPr>
              <w:pStyle w:val="133"/>
              <w:rPr>
                <w:snapToGrid w:val="0"/>
                <w:u w:color="000000"/>
              </w:rPr>
            </w:pPr>
            <w:r>
              <w:rPr>
                <w:snapToGrid w:val="0"/>
                <w:u w:color="000000"/>
              </w:rPr>
              <w:t>0-0.2m</w:t>
            </w:r>
          </w:p>
        </w:tc>
        <w:tc>
          <w:tcPr>
            <w:tcW w:w="1071" w:type="dxa"/>
            <w:vMerge w:val="continue"/>
            <w:vAlign w:val="center"/>
          </w:tcPr>
          <w:p w14:paraId="4981E868">
            <w:pPr>
              <w:pStyle w:val="133"/>
              <w:rPr>
                <w:snapToGrid w:val="0"/>
                <w:u w:color="000000"/>
              </w:rPr>
            </w:pPr>
          </w:p>
        </w:tc>
      </w:tr>
      <w:tr w14:paraId="394020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635CCA64">
            <w:pPr>
              <w:pStyle w:val="133"/>
              <w:rPr>
                <w:snapToGrid w:val="0"/>
                <w:u w:color="000000"/>
              </w:rPr>
            </w:pPr>
          </w:p>
        </w:tc>
        <w:tc>
          <w:tcPr>
            <w:tcW w:w="1555" w:type="dxa"/>
            <w:vMerge w:val="continue"/>
            <w:vAlign w:val="center"/>
          </w:tcPr>
          <w:p w14:paraId="79CD4221">
            <w:pPr>
              <w:pStyle w:val="133"/>
              <w:rPr>
                <w:snapToGrid w:val="0"/>
                <w:u w:color="000000"/>
              </w:rPr>
            </w:pPr>
          </w:p>
        </w:tc>
        <w:tc>
          <w:tcPr>
            <w:tcW w:w="1248" w:type="dxa"/>
            <w:vAlign w:val="center"/>
          </w:tcPr>
          <w:p w14:paraId="526EEA18">
            <w:pPr>
              <w:pStyle w:val="133"/>
              <w:rPr>
                <w:snapToGrid w:val="0"/>
                <w:u w:color="000000"/>
              </w:rPr>
            </w:pPr>
            <w:r>
              <w:rPr>
                <w:snapToGrid w:val="0"/>
                <w:u w:color="000000"/>
              </w:rPr>
              <w:t>柱状样点数</w:t>
            </w:r>
          </w:p>
        </w:tc>
        <w:tc>
          <w:tcPr>
            <w:tcW w:w="1249" w:type="dxa"/>
            <w:gridSpan w:val="2"/>
            <w:vAlign w:val="center"/>
          </w:tcPr>
          <w:p w14:paraId="0417692C">
            <w:pPr>
              <w:pStyle w:val="133"/>
              <w:rPr>
                <w:snapToGrid w:val="0"/>
                <w:u w:color="000000"/>
              </w:rPr>
            </w:pPr>
            <w:r>
              <w:rPr>
                <w:rFonts w:hint="eastAsia"/>
                <w:snapToGrid w:val="0"/>
                <w:u w:color="000000"/>
              </w:rPr>
              <w:t>5</w:t>
            </w:r>
          </w:p>
        </w:tc>
        <w:tc>
          <w:tcPr>
            <w:tcW w:w="1249" w:type="dxa"/>
            <w:vAlign w:val="center"/>
          </w:tcPr>
          <w:p w14:paraId="112A7748">
            <w:pPr>
              <w:pStyle w:val="133"/>
              <w:rPr>
                <w:snapToGrid w:val="0"/>
                <w:u w:color="000000"/>
              </w:rPr>
            </w:pPr>
            <w:r>
              <w:rPr>
                <w:snapToGrid w:val="0"/>
                <w:u w:color="000000"/>
              </w:rPr>
              <w:t>0</w:t>
            </w:r>
          </w:p>
        </w:tc>
        <w:tc>
          <w:tcPr>
            <w:tcW w:w="1556" w:type="dxa"/>
            <w:gridSpan w:val="2"/>
            <w:vAlign w:val="center"/>
          </w:tcPr>
          <w:p w14:paraId="252EC4C6">
            <w:pPr>
              <w:pStyle w:val="133"/>
              <w:rPr>
                <w:snapToGrid w:val="0"/>
                <w:u w:color="000000"/>
              </w:rPr>
            </w:pPr>
            <w:r>
              <w:rPr>
                <w:snapToGrid w:val="0"/>
                <w:u w:color="000000"/>
              </w:rPr>
              <w:t>0-3m</w:t>
            </w:r>
          </w:p>
        </w:tc>
        <w:tc>
          <w:tcPr>
            <w:tcW w:w="1071" w:type="dxa"/>
            <w:vMerge w:val="continue"/>
            <w:vAlign w:val="center"/>
          </w:tcPr>
          <w:p w14:paraId="0E3F9B93">
            <w:pPr>
              <w:pStyle w:val="133"/>
              <w:rPr>
                <w:snapToGrid w:val="0"/>
                <w:u w:color="000000"/>
              </w:rPr>
            </w:pPr>
          </w:p>
        </w:tc>
      </w:tr>
      <w:tr w14:paraId="02F12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6C26279C">
            <w:pPr>
              <w:pStyle w:val="133"/>
              <w:rPr>
                <w:snapToGrid w:val="0"/>
                <w:u w:color="000000"/>
              </w:rPr>
            </w:pPr>
          </w:p>
        </w:tc>
        <w:tc>
          <w:tcPr>
            <w:tcW w:w="1555" w:type="dxa"/>
            <w:vAlign w:val="center"/>
          </w:tcPr>
          <w:p w14:paraId="0ECA82BC">
            <w:pPr>
              <w:pStyle w:val="133"/>
              <w:rPr>
                <w:snapToGrid w:val="0"/>
                <w:u w:color="000000"/>
              </w:rPr>
            </w:pPr>
            <w:r>
              <w:rPr>
                <w:snapToGrid w:val="0"/>
                <w:u w:color="000000"/>
              </w:rPr>
              <w:t>现状监测因子</w:t>
            </w:r>
          </w:p>
        </w:tc>
        <w:tc>
          <w:tcPr>
            <w:tcW w:w="5302" w:type="dxa"/>
            <w:gridSpan w:val="6"/>
            <w:vAlign w:val="center"/>
          </w:tcPr>
          <w:p w14:paraId="0A0631E7">
            <w:pPr>
              <w:pStyle w:val="133"/>
              <w:rPr>
                <w:snapToGrid w:val="0"/>
                <w:u w:color="000000"/>
              </w:rPr>
            </w:pPr>
            <w:r>
              <w:rPr>
                <w:snapToGrid w:val="0"/>
                <w:u w:color="000000"/>
              </w:rPr>
              <w:t>GB36600中表1</w:t>
            </w:r>
            <w:r>
              <w:t>基本45项</w:t>
            </w:r>
            <w:r>
              <w:rPr>
                <w:rFonts w:hint="eastAsia"/>
              </w:rPr>
              <w:t>+</w:t>
            </w:r>
            <w:r>
              <w:t>pH</w:t>
            </w:r>
            <w:r>
              <w:rPr>
                <w:rFonts w:hint="eastAsia"/>
              </w:rPr>
              <w:t>+石油烃+氰化物</w:t>
            </w:r>
          </w:p>
        </w:tc>
        <w:tc>
          <w:tcPr>
            <w:tcW w:w="1071" w:type="dxa"/>
            <w:vAlign w:val="center"/>
          </w:tcPr>
          <w:p w14:paraId="2AB528F6">
            <w:pPr>
              <w:pStyle w:val="133"/>
              <w:rPr>
                <w:snapToGrid w:val="0"/>
                <w:u w:color="000000"/>
              </w:rPr>
            </w:pPr>
          </w:p>
        </w:tc>
      </w:tr>
      <w:tr w14:paraId="4F8CE2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789D4DC1">
            <w:pPr>
              <w:pStyle w:val="133"/>
              <w:rPr>
                <w:snapToGrid w:val="0"/>
                <w:u w:color="000000"/>
              </w:rPr>
            </w:pPr>
            <w:r>
              <w:rPr>
                <w:snapToGrid w:val="0"/>
                <w:u w:color="000000"/>
              </w:rPr>
              <w:t>现状评价</w:t>
            </w:r>
          </w:p>
        </w:tc>
        <w:tc>
          <w:tcPr>
            <w:tcW w:w="1555" w:type="dxa"/>
            <w:vAlign w:val="center"/>
          </w:tcPr>
          <w:p w14:paraId="45BCE82A">
            <w:pPr>
              <w:pStyle w:val="133"/>
              <w:rPr>
                <w:snapToGrid w:val="0"/>
                <w:u w:color="000000"/>
              </w:rPr>
            </w:pPr>
            <w:r>
              <w:rPr>
                <w:snapToGrid w:val="0"/>
                <w:u w:color="000000"/>
              </w:rPr>
              <w:t>评价因子</w:t>
            </w:r>
          </w:p>
        </w:tc>
        <w:tc>
          <w:tcPr>
            <w:tcW w:w="5302" w:type="dxa"/>
            <w:gridSpan w:val="6"/>
            <w:vAlign w:val="center"/>
          </w:tcPr>
          <w:p w14:paraId="7B23782F">
            <w:pPr>
              <w:pStyle w:val="133"/>
              <w:rPr>
                <w:snapToGrid w:val="0"/>
                <w:u w:color="000000"/>
              </w:rPr>
            </w:pPr>
            <w:r>
              <w:rPr>
                <w:snapToGrid w:val="0"/>
                <w:u w:color="000000"/>
              </w:rPr>
              <w:t>GB36600中表1</w:t>
            </w:r>
            <w:r>
              <w:t>基本45项</w:t>
            </w:r>
            <w:r>
              <w:rPr>
                <w:rFonts w:hint="eastAsia"/>
              </w:rPr>
              <w:t>+</w:t>
            </w:r>
            <w:r>
              <w:t>pH</w:t>
            </w:r>
            <w:r>
              <w:rPr>
                <w:rFonts w:hint="eastAsia"/>
              </w:rPr>
              <w:t>+</w:t>
            </w:r>
            <w:bookmarkStart w:id="549" w:name="OLE_LINK41"/>
            <w:r>
              <w:rPr>
                <w:rFonts w:hint="eastAsia"/>
              </w:rPr>
              <w:t>石油烃+氰化物</w:t>
            </w:r>
            <w:bookmarkEnd w:id="549"/>
          </w:p>
        </w:tc>
        <w:tc>
          <w:tcPr>
            <w:tcW w:w="1071" w:type="dxa"/>
            <w:vAlign w:val="center"/>
          </w:tcPr>
          <w:p w14:paraId="1AC6969E">
            <w:pPr>
              <w:pStyle w:val="133"/>
              <w:rPr>
                <w:snapToGrid w:val="0"/>
                <w:u w:color="000000"/>
              </w:rPr>
            </w:pPr>
          </w:p>
        </w:tc>
      </w:tr>
      <w:tr w14:paraId="5425B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6AD902D6">
            <w:pPr>
              <w:pStyle w:val="133"/>
              <w:rPr>
                <w:snapToGrid w:val="0"/>
                <w:u w:color="000000"/>
              </w:rPr>
            </w:pPr>
          </w:p>
        </w:tc>
        <w:tc>
          <w:tcPr>
            <w:tcW w:w="1555" w:type="dxa"/>
            <w:vAlign w:val="center"/>
          </w:tcPr>
          <w:p w14:paraId="224EC581">
            <w:pPr>
              <w:pStyle w:val="133"/>
              <w:rPr>
                <w:snapToGrid w:val="0"/>
                <w:u w:color="000000"/>
              </w:rPr>
            </w:pPr>
            <w:r>
              <w:rPr>
                <w:snapToGrid w:val="0"/>
                <w:u w:color="000000"/>
              </w:rPr>
              <w:t>评价标准</w:t>
            </w:r>
          </w:p>
        </w:tc>
        <w:tc>
          <w:tcPr>
            <w:tcW w:w="5302" w:type="dxa"/>
            <w:gridSpan w:val="6"/>
            <w:vAlign w:val="center"/>
          </w:tcPr>
          <w:p w14:paraId="42FB9FC8">
            <w:pPr>
              <w:pStyle w:val="133"/>
              <w:rPr>
                <w:snapToGrid w:val="0"/>
                <w:u w:color="000000"/>
              </w:rPr>
            </w:pPr>
            <w:r>
              <w:rPr>
                <w:snapToGrid w:val="0"/>
                <w:u w:color="000000"/>
              </w:rPr>
              <w:t>GB15618√；GB36600□；表D.1□；表D.2□；其他□</w:t>
            </w:r>
          </w:p>
        </w:tc>
        <w:tc>
          <w:tcPr>
            <w:tcW w:w="1071" w:type="dxa"/>
            <w:vAlign w:val="center"/>
          </w:tcPr>
          <w:p w14:paraId="4A2DA528">
            <w:pPr>
              <w:pStyle w:val="133"/>
              <w:rPr>
                <w:snapToGrid w:val="0"/>
                <w:u w:color="000000"/>
              </w:rPr>
            </w:pPr>
          </w:p>
        </w:tc>
      </w:tr>
      <w:tr w14:paraId="4EA9B1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73B23BD">
            <w:pPr>
              <w:pStyle w:val="133"/>
              <w:rPr>
                <w:snapToGrid w:val="0"/>
                <w:u w:color="000000"/>
              </w:rPr>
            </w:pPr>
          </w:p>
        </w:tc>
        <w:tc>
          <w:tcPr>
            <w:tcW w:w="1555" w:type="dxa"/>
            <w:vAlign w:val="center"/>
          </w:tcPr>
          <w:p w14:paraId="42D6D975">
            <w:pPr>
              <w:pStyle w:val="133"/>
              <w:rPr>
                <w:snapToGrid w:val="0"/>
                <w:u w:color="000000"/>
              </w:rPr>
            </w:pPr>
            <w:r>
              <w:rPr>
                <w:snapToGrid w:val="0"/>
                <w:u w:color="000000"/>
              </w:rPr>
              <w:t>现状评价结论</w:t>
            </w:r>
          </w:p>
        </w:tc>
        <w:tc>
          <w:tcPr>
            <w:tcW w:w="5302" w:type="dxa"/>
            <w:gridSpan w:val="6"/>
            <w:vAlign w:val="center"/>
          </w:tcPr>
          <w:p w14:paraId="47614880">
            <w:pPr>
              <w:pStyle w:val="133"/>
              <w:rPr>
                <w:snapToGrid w:val="0"/>
                <w:u w:color="000000"/>
              </w:rPr>
            </w:pPr>
            <w:r>
              <w:rPr>
                <w:snapToGrid w:val="0"/>
                <w:u w:color="000000"/>
              </w:rPr>
              <w:t>项目区土壤满足《土壤环境质量建设用地土壤污染风险管控标准（试行）》（GB36600-2018）中筛选值第二类标准限值</w:t>
            </w:r>
          </w:p>
        </w:tc>
        <w:tc>
          <w:tcPr>
            <w:tcW w:w="1071" w:type="dxa"/>
            <w:vAlign w:val="center"/>
          </w:tcPr>
          <w:p w14:paraId="7A273F06">
            <w:pPr>
              <w:pStyle w:val="133"/>
              <w:rPr>
                <w:snapToGrid w:val="0"/>
                <w:u w:color="000000"/>
              </w:rPr>
            </w:pPr>
          </w:p>
        </w:tc>
      </w:tr>
      <w:tr w14:paraId="1A5EE8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5F1BCEE7">
            <w:pPr>
              <w:pStyle w:val="133"/>
              <w:rPr>
                <w:snapToGrid w:val="0"/>
                <w:u w:color="000000"/>
              </w:rPr>
            </w:pPr>
            <w:r>
              <w:rPr>
                <w:snapToGrid w:val="0"/>
                <w:u w:color="000000"/>
              </w:rPr>
              <w:t>影响预测</w:t>
            </w:r>
          </w:p>
        </w:tc>
        <w:tc>
          <w:tcPr>
            <w:tcW w:w="1555" w:type="dxa"/>
            <w:vAlign w:val="center"/>
          </w:tcPr>
          <w:p w14:paraId="48DD4CC8">
            <w:pPr>
              <w:pStyle w:val="133"/>
              <w:rPr>
                <w:snapToGrid w:val="0"/>
                <w:u w:color="000000"/>
              </w:rPr>
            </w:pPr>
            <w:r>
              <w:rPr>
                <w:snapToGrid w:val="0"/>
                <w:u w:color="000000"/>
              </w:rPr>
              <w:t>预测因子</w:t>
            </w:r>
          </w:p>
        </w:tc>
        <w:tc>
          <w:tcPr>
            <w:tcW w:w="5302" w:type="dxa"/>
            <w:gridSpan w:val="6"/>
            <w:vAlign w:val="center"/>
          </w:tcPr>
          <w:p w14:paraId="6CD77ED4">
            <w:pPr>
              <w:pStyle w:val="133"/>
              <w:ind w:firstLine="480"/>
              <w:rPr>
                <w:snapToGrid w:val="0"/>
                <w:u w:color="000000"/>
              </w:rPr>
            </w:pPr>
            <w:r>
              <w:rPr>
                <w:rFonts w:hint="eastAsia"/>
                <w:snapToGrid w:val="0"/>
                <w:u w:color="000000"/>
              </w:rPr>
              <w:t>大气沉降：石油烃、苯并芘、氰化物</w:t>
            </w:r>
          </w:p>
          <w:p w14:paraId="2229739E">
            <w:pPr>
              <w:pStyle w:val="133"/>
              <w:rPr>
                <w:snapToGrid w:val="0"/>
                <w:u w:color="000000"/>
              </w:rPr>
            </w:pPr>
            <w:r>
              <w:rPr>
                <w:rFonts w:hint="eastAsia"/>
                <w:snapToGrid w:val="0"/>
                <w:u w:color="000000"/>
              </w:rPr>
              <w:t>垂直入渗：石油烃、氰化物</w:t>
            </w:r>
          </w:p>
        </w:tc>
        <w:tc>
          <w:tcPr>
            <w:tcW w:w="1071" w:type="dxa"/>
            <w:vAlign w:val="center"/>
          </w:tcPr>
          <w:p w14:paraId="2B453DC1">
            <w:pPr>
              <w:pStyle w:val="133"/>
              <w:rPr>
                <w:snapToGrid w:val="0"/>
                <w:u w:color="000000"/>
              </w:rPr>
            </w:pPr>
          </w:p>
        </w:tc>
      </w:tr>
      <w:tr w14:paraId="31051A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460203D3">
            <w:pPr>
              <w:pStyle w:val="133"/>
              <w:rPr>
                <w:snapToGrid w:val="0"/>
                <w:u w:color="000000"/>
              </w:rPr>
            </w:pPr>
          </w:p>
        </w:tc>
        <w:tc>
          <w:tcPr>
            <w:tcW w:w="1555" w:type="dxa"/>
            <w:vAlign w:val="center"/>
          </w:tcPr>
          <w:p w14:paraId="56597E2F">
            <w:pPr>
              <w:pStyle w:val="133"/>
              <w:rPr>
                <w:snapToGrid w:val="0"/>
                <w:u w:color="000000"/>
              </w:rPr>
            </w:pPr>
            <w:r>
              <w:rPr>
                <w:snapToGrid w:val="0"/>
                <w:u w:color="000000"/>
              </w:rPr>
              <w:t>预测方法</w:t>
            </w:r>
          </w:p>
        </w:tc>
        <w:tc>
          <w:tcPr>
            <w:tcW w:w="5302" w:type="dxa"/>
            <w:gridSpan w:val="6"/>
            <w:vAlign w:val="center"/>
          </w:tcPr>
          <w:p w14:paraId="424AA452">
            <w:pPr>
              <w:pStyle w:val="133"/>
              <w:rPr>
                <w:snapToGrid w:val="0"/>
                <w:u w:color="000000"/>
              </w:rPr>
            </w:pPr>
            <w:r>
              <w:rPr>
                <w:snapToGrid w:val="0"/>
                <w:u w:color="000000"/>
              </w:rPr>
              <w:t>附录E</w:t>
            </w:r>
            <w:r>
              <w:rPr>
                <w:rFonts w:hint="eastAsia"/>
                <w:snapToGrid w:val="0"/>
                <w:u w:color="000000"/>
              </w:rPr>
              <w:sym w:font="Wingdings 2" w:char="F052"/>
            </w:r>
            <w:r>
              <w:rPr>
                <w:snapToGrid w:val="0"/>
                <w:u w:color="000000"/>
              </w:rPr>
              <w:t>；附录F□；其他□</w:t>
            </w:r>
          </w:p>
        </w:tc>
        <w:tc>
          <w:tcPr>
            <w:tcW w:w="1071" w:type="dxa"/>
            <w:vAlign w:val="center"/>
          </w:tcPr>
          <w:p w14:paraId="448EB00F">
            <w:pPr>
              <w:pStyle w:val="133"/>
              <w:rPr>
                <w:snapToGrid w:val="0"/>
                <w:u w:color="000000"/>
              </w:rPr>
            </w:pPr>
          </w:p>
        </w:tc>
      </w:tr>
      <w:tr w14:paraId="766AF7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2BCBD054">
            <w:pPr>
              <w:pStyle w:val="133"/>
              <w:rPr>
                <w:snapToGrid w:val="0"/>
                <w:u w:color="000000"/>
              </w:rPr>
            </w:pPr>
          </w:p>
        </w:tc>
        <w:tc>
          <w:tcPr>
            <w:tcW w:w="1555" w:type="dxa"/>
            <w:vAlign w:val="center"/>
          </w:tcPr>
          <w:p w14:paraId="4503F544">
            <w:pPr>
              <w:pStyle w:val="133"/>
              <w:rPr>
                <w:snapToGrid w:val="0"/>
                <w:u w:color="000000"/>
              </w:rPr>
            </w:pPr>
            <w:r>
              <w:rPr>
                <w:snapToGrid w:val="0"/>
                <w:u w:color="000000"/>
              </w:rPr>
              <w:t>预测分析内容</w:t>
            </w:r>
          </w:p>
        </w:tc>
        <w:tc>
          <w:tcPr>
            <w:tcW w:w="5302" w:type="dxa"/>
            <w:gridSpan w:val="6"/>
            <w:vAlign w:val="center"/>
          </w:tcPr>
          <w:p w14:paraId="43E507DF">
            <w:pPr>
              <w:pStyle w:val="133"/>
              <w:rPr>
                <w:snapToGrid w:val="0"/>
                <w:u w:color="000000"/>
              </w:rPr>
            </w:pPr>
            <w:r>
              <w:rPr>
                <w:snapToGrid w:val="0"/>
                <w:u w:color="000000"/>
              </w:rPr>
              <w:t>影响范围（厂界内）影响程度（较小）</w:t>
            </w:r>
          </w:p>
        </w:tc>
        <w:tc>
          <w:tcPr>
            <w:tcW w:w="1071" w:type="dxa"/>
            <w:vAlign w:val="center"/>
          </w:tcPr>
          <w:p w14:paraId="446BCB81">
            <w:pPr>
              <w:pStyle w:val="133"/>
              <w:rPr>
                <w:snapToGrid w:val="0"/>
                <w:u w:color="000000"/>
              </w:rPr>
            </w:pPr>
          </w:p>
        </w:tc>
      </w:tr>
      <w:tr w14:paraId="3738A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00A0B362">
            <w:pPr>
              <w:pStyle w:val="133"/>
              <w:rPr>
                <w:snapToGrid w:val="0"/>
                <w:u w:color="000000"/>
              </w:rPr>
            </w:pPr>
          </w:p>
        </w:tc>
        <w:tc>
          <w:tcPr>
            <w:tcW w:w="1555" w:type="dxa"/>
            <w:vAlign w:val="center"/>
          </w:tcPr>
          <w:p w14:paraId="300E6F2C">
            <w:pPr>
              <w:pStyle w:val="133"/>
              <w:rPr>
                <w:snapToGrid w:val="0"/>
                <w:u w:color="000000"/>
              </w:rPr>
            </w:pPr>
            <w:r>
              <w:rPr>
                <w:snapToGrid w:val="0"/>
                <w:u w:color="000000"/>
              </w:rPr>
              <w:t>预测结论</w:t>
            </w:r>
          </w:p>
        </w:tc>
        <w:tc>
          <w:tcPr>
            <w:tcW w:w="5302" w:type="dxa"/>
            <w:gridSpan w:val="6"/>
            <w:vAlign w:val="center"/>
          </w:tcPr>
          <w:p w14:paraId="34CBCA25">
            <w:pPr>
              <w:pStyle w:val="133"/>
              <w:rPr>
                <w:snapToGrid w:val="0"/>
                <w:u w:color="000000"/>
              </w:rPr>
            </w:pPr>
            <w:r>
              <w:rPr>
                <w:snapToGrid w:val="0"/>
                <w:u w:color="000000"/>
              </w:rPr>
              <w:t>达标结论：a）</w:t>
            </w:r>
            <w:r>
              <w:rPr>
                <w:rFonts w:hint="eastAsia"/>
                <w:snapToGrid w:val="0"/>
                <w:u w:color="000000"/>
              </w:rPr>
              <w:sym w:font="Wingdings 2" w:char="F052"/>
            </w:r>
            <w:r>
              <w:rPr>
                <w:snapToGrid w:val="0"/>
                <w:u w:color="000000"/>
              </w:rPr>
              <w:t>；b）□；c）□</w:t>
            </w:r>
          </w:p>
          <w:p w14:paraId="0916C6A6">
            <w:pPr>
              <w:pStyle w:val="133"/>
              <w:rPr>
                <w:snapToGrid w:val="0"/>
                <w:u w:color="000000"/>
              </w:rPr>
            </w:pPr>
            <w:r>
              <w:rPr>
                <w:snapToGrid w:val="0"/>
                <w:u w:color="000000"/>
              </w:rPr>
              <w:t>不达标结论：a）□；b）□</w:t>
            </w:r>
          </w:p>
        </w:tc>
        <w:tc>
          <w:tcPr>
            <w:tcW w:w="1071" w:type="dxa"/>
            <w:vAlign w:val="center"/>
          </w:tcPr>
          <w:p w14:paraId="49CF77ED">
            <w:pPr>
              <w:pStyle w:val="133"/>
              <w:rPr>
                <w:snapToGrid w:val="0"/>
                <w:u w:color="000000"/>
              </w:rPr>
            </w:pPr>
          </w:p>
        </w:tc>
      </w:tr>
      <w:tr w14:paraId="1198EC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restart"/>
            <w:vAlign w:val="center"/>
          </w:tcPr>
          <w:p w14:paraId="139EB653">
            <w:pPr>
              <w:pStyle w:val="133"/>
              <w:rPr>
                <w:snapToGrid w:val="0"/>
                <w:u w:color="000000"/>
              </w:rPr>
            </w:pPr>
            <w:r>
              <w:rPr>
                <w:snapToGrid w:val="0"/>
                <w:u w:color="000000"/>
              </w:rPr>
              <w:t>防治措施</w:t>
            </w:r>
          </w:p>
        </w:tc>
        <w:tc>
          <w:tcPr>
            <w:tcW w:w="1555" w:type="dxa"/>
            <w:vAlign w:val="center"/>
          </w:tcPr>
          <w:p w14:paraId="4AC541C7">
            <w:pPr>
              <w:pStyle w:val="133"/>
              <w:rPr>
                <w:snapToGrid w:val="0"/>
                <w:u w:color="000000"/>
              </w:rPr>
            </w:pPr>
            <w:r>
              <w:rPr>
                <w:snapToGrid w:val="0"/>
                <w:u w:color="000000"/>
              </w:rPr>
              <w:t>防控措施</w:t>
            </w:r>
          </w:p>
        </w:tc>
        <w:tc>
          <w:tcPr>
            <w:tcW w:w="5302" w:type="dxa"/>
            <w:gridSpan w:val="6"/>
            <w:vAlign w:val="center"/>
          </w:tcPr>
          <w:p w14:paraId="0C794EE8">
            <w:pPr>
              <w:pStyle w:val="133"/>
              <w:rPr>
                <w:snapToGrid w:val="0"/>
                <w:u w:color="000000"/>
              </w:rPr>
            </w:pPr>
            <w:r>
              <w:rPr>
                <w:snapToGrid w:val="0"/>
                <w:u w:color="000000"/>
              </w:rPr>
              <w:t>土壤环境质量现状保障□；源头控制</w:t>
            </w:r>
            <w:r>
              <w:rPr>
                <w:rFonts w:hint="eastAsia"/>
                <w:snapToGrid w:val="0"/>
                <w:u w:color="000000"/>
              </w:rPr>
              <w:sym w:font="Wingdings 2" w:char="F052"/>
            </w:r>
            <w:r>
              <w:rPr>
                <w:snapToGrid w:val="0"/>
                <w:u w:color="000000"/>
              </w:rPr>
              <w:t>；过程防控</w:t>
            </w:r>
            <w:r>
              <w:rPr>
                <w:rFonts w:hint="eastAsia"/>
                <w:snapToGrid w:val="0"/>
                <w:u w:color="000000"/>
              </w:rPr>
              <w:sym w:font="Wingdings 2" w:char="F052"/>
            </w:r>
            <w:r>
              <w:rPr>
                <w:snapToGrid w:val="0"/>
                <w:u w:color="000000"/>
              </w:rPr>
              <w:t>；其他（）</w:t>
            </w:r>
          </w:p>
        </w:tc>
        <w:tc>
          <w:tcPr>
            <w:tcW w:w="1071" w:type="dxa"/>
            <w:vAlign w:val="center"/>
          </w:tcPr>
          <w:p w14:paraId="24D4C511">
            <w:pPr>
              <w:pStyle w:val="133"/>
              <w:rPr>
                <w:snapToGrid w:val="0"/>
                <w:u w:color="000000"/>
              </w:rPr>
            </w:pPr>
          </w:p>
        </w:tc>
      </w:tr>
      <w:tr w14:paraId="25220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32A858E1">
            <w:pPr>
              <w:pStyle w:val="133"/>
              <w:rPr>
                <w:snapToGrid w:val="0"/>
                <w:u w:color="000000"/>
              </w:rPr>
            </w:pPr>
          </w:p>
        </w:tc>
        <w:tc>
          <w:tcPr>
            <w:tcW w:w="1555" w:type="dxa"/>
            <w:vMerge w:val="restart"/>
            <w:vAlign w:val="center"/>
          </w:tcPr>
          <w:p w14:paraId="7F6678DD">
            <w:pPr>
              <w:pStyle w:val="133"/>
              <w:rPr>
                <w:snapToGrid w:val="0"/>
                <w:u w:color="000000"/>
              </w:rPr>
            </w:pPr>
            <w:r>
              <w:rPr>
                <w:snapToGrid w:val="0"/>
                <w:u w:color="000000"/>
              </w:rPr>
              <w:t>跟踪监测</w:t>
            </w:r>
          </w:p>
        </w:tc>
        <w:tc>
          <w:tcPr>
            <w:tcW w:w="1665" w:type="dxa"/>
            <w:gridSpan w:val="2"/>
            <w:vAlign w:val="center"/>
          </w:tcPr>
          <w:p w14:paraId="1937C148">
            <w:pPr>
              <w:pStyle w:val="133"/>
              <w:rPr>
                <w:snapToGrid w:val="0"/>
                <w:u w:color="000000"/>
              </w:rPr>
            </w:pPr>
            <w:r>
              <w:rPr>
                <w:snapToGrid w:val="0"/>
                <w:u w:color="000000"/>
              </w:rPr>
              <w:t>监测点数</w:t>
            </w:r>
          </w:p>
        </w:tc>
        <w:tc>
          <w:tcPr>
            <w:tcW w:w="2209" w:type="dxa"/>
            <w:gridSpan w:val="3"/>
            <w:vAlign w:val="center"/>
          </w:tcPr>
          <w:p w14:paraId="0AFE988A">
            <w:pPr>
              <w:pStyle w:val="133"/>
              <w:rPr>
                <w:snapToGrid w:val="0"/>
                <w:u w:color="000000"/>
              </w:rPr>
            </w:pPr>
            <w:r>
              <w:rPr>
                <w:snapToGrid w:val="0"/>
                <w:u w:color="000000"/>
              </w:rPr>
              <w:t>监测指标</w:t>
            </w:r>
          </w:p>
        </w:tc>
        <w:tc>
          <w:tcPr>
            <w:tcW w:w="1428" w:type="dxa"/>
            <w:vAlign w:val="center"/>
          </w:tcPr>
          <w:p w14:paraId="642E8E25">
            <w:pPr>
              <w:pStyle w:val="133"/>
              <w:rPr>
                <w:snapToGrid w:val="0"/>
                <w:u w:color="000000"/>
              </w:rPr>
            </w:pPr>
            <w:r>
              <w:rPr>
                <w:snapToGrid w:val="0"/>
                <w:u w:color="000000"/>
              </w:rPr>
              <w:t>监测频次</w:t>
            </w:r>
          </w:p>
        </w:tc>
        <w:tc>
          <w:tcPr>
            <w:tcW w:w="1071" w:type="dxa"/>
            <w:vMerge w:val="restart"/>
            <w:vAlign w:val="center"/>
          </w:tcPr>
          <w:p w14:paraId="690FFB21">
            <w:pPr>
              <w:pStyle w:val="133"/>
              <w:rPr>
                <w:snapToGrid w:val="0"/>
                <w:u w:color="000000"/>
              </w:rPr>
            </w:pPr>
          </w:p>
        </w:tc>
      </w:tr>
      <w:tr w14:paraId="606AC1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26102CA0">
            <w:pPr>
              <w:pStyle w:val="133"/>
              <w:rPr>
                <w:snapToGrid w:val="0"/>
                <w:u w:color="000000"/>
              </w:rPr>
            </w:pPr>
          </w:p>
        </w:tc>
        <w:tc>
          <w:tcPr>
            <w:tcW w:w="1555" w:type="dxa"/>
            <w:vMerge w:val="continue"/>
            <w:vAlign w:val="center"/>
          </w:tcPr>
          <w:p w14:paraId="558CC39A">
            <w:pPr>
              <w:pStyle w:val="133"/>
              <w:rPr>
                <w:snapToGrid w:val="0"/>
                <w:u w:color="000000"/>
              </w:rPr>
            </w:pPr>
          </w:p>
        </w:tc>
        <w:tc>
          <w:tcPr>
            <w:tcW w:w="1665" w:type="dxa"/>
            <w:gridSpan w:val="2"/>
            <w:vAlign w:val="center"/>
          </w:tcPr>
          <w:p w14:paraId="1438BDBE">
            <w:pPr>
              <w:pStyle w:val="133"/>
              <w:rPr>
                <w:snapToGrid w:val="0"/>
                <w:u w:color="000000"/>
              </w:rPr>
            </w:pPr>
            <w:r>
              <w:rPr>
                <w:snapToGrid w:val="0"/>
                <w:u w:color="000000"/>
              </w:rPr>
              <w:t>2</w:t>
            </w:r>
          </w:p>
        </w:tc>
        <w:tc>
          <w:tcPr>
            <w:tcW w:w="2209" w:type="dxa"/>
            <w:gridSpan w:val="3"/>
            <w:vAlign w:val="center"/>
          </w:tcPr>
          <w:p w14:paraId="5FD3F0D9">
            <w:pPr>
              <w:pStyle w:val="133"/>
              <w:rPr>
                <w:snapToGrid w:val="0"/>
                <w:u w:color="000000"/>
              </w:rPr>
            </w:pPr>
            <w:r>
              <w:rPr>
                <w:snapToGrid w:val="0"/>
                <w:u w:color="000000"/>
              </w:rPr>
              <w:t>GB36600中表1基本45项、pH</w:t>
            </w:r>
            <w:r>
              <w:rPr>
                <w:rFonts w:hint="eastAsia"/>
                <w:snapToGrid w:val="0"/>
                <w:u w:color="000000"/>
              </w:rPr>
              <w:t>、</w:t>
            </w:r>
            <w:r>
              <w:rPr>
                <w:snapToGrid w:val="0"/>
                <w:u w:color="000000"/>
              </w:rPr>
              <w:t>氰化物</w:t>
            </w:r>
            <w:r>
              <w:rPr>
                <w:rFonts w:hint="eastAsia"/>
                <w:snapToGrid w:val="0"/>
                <w:u w:color="000000"/>
              </w:rPr>
              <w:t>、</w:t>
            </w:r>
            <w:r>
              <w:rPr>
                <w:snapToGrid w:val="0"/>
                <w:u w:color="000000"/>
              </w:rPr>
              <w:t>石油烃</w:t>
            </w:r>
            <w:r>
              <w:rPr>
                <w:rFonts w:hint="eastAsia"/>
                <w:snapToGrid w:val="0"/>
                <w:u w:color="000000"/>
              </w:rPr>
              <w:t>（C</w:t>
            </w:r>
            <w:r>
              <w:rPr>
                <w:rFonts w:hint="eastAsia"/>
                <w:snapToGrid w:val="0"/>
                <w:u w:color="000000"/>
                <w:vertAlign w:val="subscript"/>
              </w:rPr>
              <w:t>10</w:t>
            </w:r>
            <w:r>
              <w:rPr>
                <w:rFonts w:hint="eastAsia"/>
                <w:snapToGrid w:val="0"/>
                <w:u w:color="000000"/>
              </w:rPr>
              <w:t>-C</w:t>
            </w:r>
            <w:r>
              <w:rPr>
                <w:rFonts w:hint="eastAsia"/>
                <w:snapToGrid w:val="0"/>
                <w:u w:color="000000"/>
                <w:vertAlign w:val="subscript"/>
              </w:rPr>
              <w:t>40</w:t>
            </w:r>
            <w:r>
              <w:rPr>
                <w:rFonts w:hint="eastAsia"/>
                <w:snapToGrid w:val="0"/>
                <w:u w:color="000000"/>
              </w:rPr>
              <w:t>）</w:t>
            </w:r>
          </w:p>
        </w:tc>
        <w:tc>
          <w:tcPr>
            <w:tcW w:w="1428" w:type="dxa"/>
            <w:vAlign w:val="center"/>
          </w:tcPr>
          <w:p w14:paraId="60CB91F7">
            <w:pPr>
              <w:pStyle w:val="133"/>
              <w:rPr>
                <w:snapToGrid w:val="0"/>
                <w:u w:color="000000"/>
              </w:rPr>
            </w:pPr>
            <w:r>
              <w:rPr>
                <w:snapToGrid w:val="0"/>
                <w:u w:color="000000"/>
              </w:rPr>
              <w:t>1次/1年</w:t>
            </w:r>
          </w:p>
        </w:tc>
        <w:tc>
          <w:tcPr>
            <w:tcW w:w="1071" w:type="dxa"/>
            <w:vMerge w:val="continue"/>
            <w:vAlign w:val="center"/>
          </w:tcPr>
          <w:p w14:paraId="7CABA876">
            <w:pPr>
              <w:pStyle w:val="133"/>
              <w:rPr>
                <w:snapToGrid w:val="0"/>
                <w:u w:color="000000"/>
              </w:rPr>
            </w:pPr>
          </w:p>
        </w:tc>
      </w:tr>
      <w:tr w14:paraId="6AFF65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368" w:type="dxa"/>
            <w:vMerge w:val="continue"/>
            <w:vAlign w:val="center"/>
          </w:tcPr>
          <w:p w14:paraId="7A7F2DF4">
            <w:pPr>
              <w:pStyle w:val="133"/>
              <w:rPr>
                <w:snapToGrid w:val="0"/>
                <w:u w:color="000000"/>
              </w:rPr>
            </w:pPr>
          </w:p>
        </w:tc>
        <w:tc>
          <w:tcPr>
            <w:tcW w:w="1555" w:type="dxa"/>
            <w:vAlign w:val="center"/>
          </w:tcPr>
          <w:p w14:paraId="7C12E139">
            <w:pPr>
              <w:pStyle w:val="133"/>
              <w:rPr>
                <w:snapToGrid w:val="0"/>
                <w:u w:color="000000"/>
              </w:rPr>
            </w:pPr>
            <w:r>
              <w:rPr>
                <w:snapToGrid w:val="0"/>
                <w:u w:color="000000"/>
              </w:rPr>
              <w:t>信息公开指标</w:t>
            </w:r>
          </w:p>
        </w:tc>
        <w:tc>
          <w:tcPr>
            <w:tcW w:w="5302" w:type="dxa"/>
            <w:gridSpan w:val="6"/>
            <w:vAlign w:val="center"/>
          </w:tcPr>
          <w:p w14:paraId="7B574403">
            <w:pPr>
              <w:pStyle w:val="133"/>
              <w:rPr>
                <w:snapToGrid w:val="0"/>
                <w:u w:color="000000"/>
              </w:rPr>
            </w:pPr>
            <w:r>
              <w:rPr>
                <w:snapToGrid w:val="0"/>
                <w:u w:color="000000"/>
              </w:rPr>
              <w:t>GB36600中表1基本45项+pH</w:t>
            </w:r>
            <w:r>
              <w:rPr>
                <w:rFonts w:hint="eastAsia"/>
                <w:snapToGrid w:val="0"/>
                <w:u w:color="000000"/>
              </w:rPr>
              <w:t>、</w:t>
            </w:r>
            <w:r>
              <w:rPr>
                <w:snapToGrid w:val="0"/>
                <w:u w:color="000000"/>
              </w:rPr>
              <w:t>氰化物</w:t>
            </w:r>
            <w:r>
              <w:rPr>
                <w:rFonts w:hint="eastAsia"/>
                <w:snapToGrid w:val="0"/>
                <w:u w:color="000000"/>
              </w:rPr>
              <w:t>、</w:t>
            </w:r>
            <w:r>
              <w:rPr>
                <w:snapToGrid w:val="0"/>
                <w:u w:color="000000"/>
              </w:rPr>
              <w:t>石油烃</w:t>
            </w:r>
            <w:r>
              <w:rPr>
                <w:rFonts w:hint="eastAsia"/>
                <w:snapToGrid w:val="0"/>
                <w:u w:color="000000"/>
              </w:rPr>
              <w:t>（C</w:t>
            </w:r>
            <w:r>
              <w:rPr>
                <w:rFonts w:hint="eastAsia"/>
                <w:snapToGrid w:val="0"/>
                <w:u w:color="000000"/>
                <w:vertAlign w:val="subscript"/>
              </w:rPr>
              <w:t>10</w:t>
            </w:r>
            <w:r>
              <w:rPr>
                <w:rFonts w:hint="eastAsia"/>
                <w:snapToGrid w:val="0"/>
                <w:u w:color="000000"/>
              </w:rPr>
              <w:t>-C</w:t>
            </w:r>
            <w:r>
              <w:rPr>
                <w:rFonts w:hint="eastAsia"/>
                <w:snapToGrid w:val="0"/>
                <w:u w:color="000000"/>
                <w:vertAlign w:val="subscript"/>
              </w:rPr>
              <w:t>40</w:t>
            </w:r>
            <w:r>
              <w:rPr>
                <w:rFonts w:hint="eastAsia"/>
                <w:snapToGrid w:val="0"/>
                <w:u w:color="000000"/>
              </w:rPr>
              <w:t>）</w:t>
            </w:r>
          </w:p>
        </w:tc>
        <w:tc>
          <w:tcPr>
            <w:tcW w:w="1071" w:type="dxa"/>
            <w:vMerge w:val="continue"/>
            <w:vAlign w:val="center"/>
          </w:tcPr>
          <w:p w14:paraId="5DD90E1D">
            <w:pPr>
              <w:pStyle w:val="133"/>
              <w:rPr>
                <w:snapToGrid w:val="0"/>
                <w:u w:color="000000"/>
              </w:rPr>
            </w:pPr>
          </w:p>
        </w:tc>
      </w:tr>
      <w:tr w14:paraId="553044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923" w:type="dxa"/>
            <w:gridSpan w:val="2"/>
            <w:vAlign w:val="center"/>
          </w:tcPr>
          <w:p w14:paraId="62E3AA5E">
            <w:pPr>
              <w:pStyle w:val="133"/>
              <w:rPr>
                <w:snapToGrid w:val="0"/>
                <w:u w:color="000000"/>
              </w:rPr>
            </w:pPr>
            <w:r>
              <w:rPr>
                <w:snapToGrid w:val="0"/>
                <w:u w:color="000000"/>
              </w:rPr>
              <w:t>评价结论</w:t>
            </w:r>
          </w:p>
        </w:tc>
        <w:tc>
          <w:tcPr>
            <w:tcW w:w="5302" w:type="dxa"/>
            <w:gridSpan w:val="6"/>
            <w:vAlign w:val="center"/>
          </w:tcPr>
          <w:p w14:paraId="530BBDFA">
            <w:pPr>
              <w:pStyle w:val="133"/>
              <w:rPr>
                <w:snapToGrid w:val="0"/>
                <w:u w:color="000000"/>
              </w:rPr>
            </w:pPr>
            <w:r>
              <w:rPr>
                <w:snapToGrid w:val="0"/>
                <w:u w:color="000000"/>
              </w:rPr>
              <w:t>土壤环境影响可以接受，区域土壤环境质量不因本项目的建设产生恶化。</w:t>
            </w:r>
          </w:p>
        </w:tc>
        <w:tc>
          <w:tcPr>
            <w:tcW w:w="1071" w:type="dxa"/>
            <w:vAlign w:val="center"/>
          </w:tcPr>
          <w:p w14:paraId="0483F3E5">
            <w:pPr>
              <w:pStyle w:val="133"/>
              <w:rPr>
                <w:snapToGrid w:val="0"/>
                <w:u w:color="000000"/>
              </w:rPr>
            </w:pPr>
          </w:p>
        </w:tc>
      </w:tr>
    </w:tbl>
    <w:p w14:paraId="37AE7DFC">
      <w:pPr>
        <w:pStyle w:val="133"/>
      </w:pPr>
    </w:p>
    <w:p w14:paraId="3C24044A">
      <w:pPr>
        <w:pStyle w:val="257"/>
        <w:ind w:firstLine="480"/>
        <w:rPr>
          <w:lang w:val="en-US"/>
        </w:rPr>
      </w:pPr>
    </w:p>
    <w:bookmarkEnd w:id="512"/>
    <w:bookmarkEnd w:id="513"/>
    <w:bookmarkEnd w:id="514"/>
    <w:bookmarkEnd w:id="515"/>
    <w:bookmarkEnd w:id="516"/>
    <w:bookmarkEnd w:id="540"/>
    <w:bookmarkEnd w:id="541"/>
    <w:p w14:paraId="4CC55942">
      <w:pPr>
        <w:pStyle w:val="133"/>
        <w:sectPr>
          <w:pgSz w:w="11906" w:h="16838"/>
          <w:pgMar w:top="1440" w:right="1800" w:bottom="1440" w:left="1800" w:header="851" w:footer="992" w:gutter="0"/>
          <w:cols w:space="425" w:num="1"/>
          <w:docGrid w:type="lines" w:linePitch="312" w:charSpace="0"/>
        </w:sectPr>
      </w:pPr>
    </w:p>
    <w:p w14:paraId="49FE12AA">
      <w:pPr>
        <w:pStyle w:val="2"/>
        <w:spacing w:before="326"/>
      </w:pPr>
      <w:bookmarkStart w:id="550" w:name="_Toc205291403"/>
      <w:r>
        <w:rPr>
          <w:rFonts w:hint="eastAsia"/>
        </w:rPr>
        <w:t>环境保护措施及其可行性论证</w:t>
      </w:r>
      <w:bookmarkEnd w:id="488"/>
      <w:bookmarkEnd w:id="489"/>
      <w:bookmarkEnd w:id="550"/>
    </w:p>
    <w:p w14:paraId="331EEDDB">
      <w:pPr>
        <w:pStyle w:val="3"/>
      </w:pPr>
      <w:bookmarkStart w:id="551" w:name="_Toc33302864"/>
      <w:bookmarkStart w:id="552" w:name="_Toc172432947"/>
      <w:bookmarkStart w:id="553" w:name="_Toc45970069"/>
      <w:bookmarkStart w:id="554" w:name="_Toc1801"/>
      <w:bookmarkStart w:id="555" w:name="_Toc205291404"/>
      <w:bookmarkStart w:id="556" w:name="_Toc28489"/>
      <w:bookmarkStart w:id="557" w:name="_Toc351031380"/>
      <w:bookmarkStart w:id="558" w:name="_Toc326330687"/>
      <w:bookmarkStart w:id="559" w:name="_Toc322424143"/>
      <w:bookmarkStart w:id="560" w:name="_Toc329688304"/>
      <w:bookmarkStart w:id="561" w:name="_Toc319512511"/>
      <w:bookmarkStart w:id="562" w:name="_Toc234129289"/>
      <w:bookmarkStart w:id="563" w:name="_Toc329612638"/>
      <w:bookmarkStart w:id="564" w:name="_Toc317089471"/>
      <w:bookmarkStart w:id="565" w:name="_Toc234584815"/>
      <w:bookmarkStart w:id="566" w:name="_Toc322370415"/>
      <w:bookmarkStart w:id="567" w:name="_Toc312768285"/>
      <w:bookmarkStart w:id="568" w:name="_Toc266383332"/>
      <w:bookmarkStart w:id="569" w:name="_Toc269735100"/>
      <w:bookmarkStart w:id="570" w:name="_Toc329871204"/>
      <w:bookmarkStart w:id="571" w:name="_Toc321999850"/>
      <w:bookmarkStart w:id="572" w:name="_Toc232227627"/>
      <w:bookmarkStart w:id="573" w:name="_Toc269733906"/>
      <w:bookmarkStart w:id="574" w:name="_Toc234128684"/>
      <w:bookmarkStart w:id="575" w:name="_Toc322424017"/>
      <w:bookmarkStart w:id="576" w:name="_Toc326330781"/>
      <w:bookmarkStart w:id="577" w:name="_Toc334793317"/>
      <w:r>
        <w:rPr>
          <w:rFonts w:hint="eastAsia"/>
        </w:rPr>
        <w:t>施工期环境保护措施</w:t>
      </w:r>
      <w:bookmarkEnd w:id="551"/>
      <w:bookmarkEnd w:id="552"/>
      <w:bookmarkEnd w:id="553"/>
      <w:bookmarkEnd w:id="554"/>
      <w:bookmarkEnd w:id="555"/>
      <w:bookmarkEnd w:id="556"/>
    </w:p>
    <w:p w14:paraId="4497CC31">
      <w:pPr>
        <w:pStyle w:val="138"/>
        <w:rPr>
          <w:rFonts w:hint="eastAsia"/>
        </w:rPr>
      </w:pPr>
      <w:bookmarkStart w:id="578" w:name="_Toc16415"/>
      <w:r>
        <w:rPr>
          <w:rFonts w:hint="eastAsia"/>
        </w:rPr>
        <w:t>施工扬尘污染防治措施</w:t>
      </w:r>
      <w:bookmarkEnd w:id="578"/>
    </w:p>
    <w:p w14:paraId="0E814148">
      <w:pPr>
        <w:pStyle w:val="117"/>
        <w:ind w:firstLine="480"/>
      </w:pPr>
      <w:r>
        <w:rPr>
          <w:rFonts w:hint="eastAsia"/>
        </w:rPr>
        <w:t>（1）为减轻施工期间产生的扬尘影响，需要对施工现场进行围护，本次评价要求施工区域设置围栏。</w:t>
      </w:r>
    </w:p>
    <w:p w14:paraId="0FB21398">
      <w:pPr>
        <w:pStyle w:val="117"/>
        <w:ind w:firstLine="480"/>
      </w:pPr>
      <w:r>
        <w:rPr>
          <w:rFonts w:hint="eastAsia"/>
        </w:rPr>
        <w:t>（2）施工单位要按计划及时将弃土用于场地平整。对运输建筑垃圾的汽车采取帆布覆盖车厢（保持车辆封闭式运输）和在非土质路面的运输路线上洒水的方法，同时尽量避免在起风的情况下开挖土方和装卸物料。</w:t>
      </w:r>
    </w:p>
    <w:p w14:paraId="3DA656AE">
      <w:pPr>
        <w:pStyle w:val="117"/>
        <w:ind w:firstLine="480"/>
      </w:pPr>
      <w:r>
        <w:rPr>
          <w:rFonts w:hint="eastAsia"/>
        </w:rPr>
        <w:t>（3）装运车辆不要超载，保证残土运输车沿途不洒落。</w:t>
      </w:r>
    </w:p>
    <w:p w14:paraId="31582E59">
      <w:pPr>
        <w:pStyle w:val="117"/>
        <w:ind w:firstLine="480"/>
      </w:pPr>
      <w:r>
        <w:rPr>
          <w:rFonts w:hint="eastAsia"/>
        </w:rPr>
        <w:t>（4）车辆驶出前将轮子上的泥土清洗干净，同时施工道路实行保洁制度，一旦有尘土应及时清扫。</w:t>
      </w:r>
    </w:p>
    <w:p w14:paraId="1EF6DDB5">
      <w:pPr>
        <w:pStyle w:val="117"/>
        <w:ind w:firstLine="480"/>
      </w:pPr>
      <w:r>
        <w:rPr>
          <w:rFonts w:hint="eastAsia"/>
        </w:rPr>
        <w:t>（5）选择具有一定实力的施工单位，采用商品水泥以及封闭式的运输车辆。</w:t>
      </w:r>
    </w:p>
    <w:p w14:paraId="7FA42644">
      <w:pPr>
        <w:pStyle w:val="117"/>
        <w:ind w:firstLine="480"/>
      </w:pPr>
      <w:r>
        <w:rPr>
          <w:rFonts w:hint="eastAsia"/>
        </w:rPr>
        <w:t>（6）加强对施工人员的环保教育，提高施工人员的环保意识，坚持文明施工、科学施工，减少施工期的大气污染。</w:t>
      </w:r>
    </w:p>
    <w:p w14:paraId="575D03C6">
      <w:pPr>
        <w:pStyle w:val="138"/>
        <w:rPr>
          <w:rFonts w:hint="eastAsia"/>
        </w:rPr>
      </w:pPr>
      <w:bookmarkStart w:id="579" w:name="_Toc14746"/>
      <w:r>
        <w:rPr>
          <w:rFonts w:hint="eastAsia"/>
        </w:rPr>
        <w:t>废水治理措施</w:t>
      </w:r>
      <w:bookmarkEnd w:id="579"/>
    </w:p>
    <w:p w14:paraId="2666B38C">
      <w:pPr>
        <w:pStyle w:val="117"/>
        <w:ind w:firstLine="480"/>
      </w:pPr>
      <w:r>
        <w:rPr>
          <w:rFonts w:hint="eastAsia"/>
        </w:rPr>
        <w:t>（1）施工单位在施工期间应设沉淀池，使施工过程中产生的雨污水、打桩泥浆水和场地积水等经沉淀处理综合利用。</w:t>
      </w:r>
    </w:p>
    <w:p w14:paraId="4D02DBEC">
      <w:pPr>
        <w:pStyle w:val="117"/>
        <w:ind w:firstLine="480"/>
      </w:pPr>
      <w:r>
        <w:rPr>
          <w:rFonts w:hint="eastAsia"/>
        </w:rPr>
        <w:t>（2）施工场地应加强管理，尽量保持场地平整，土石方堆放坡面应平整，及时回填。</w:t>
      </w:r>
    </w:p>
    <w:p w14:paraId="01BBD351">
      <w:pPr>
        <w:pStyle w:val="117"/>
        <w:ind w:firstLine="480"/>
      </w:pPr>
      <w:r>
        <w:rPr>
          <w:rFonts w:hint="eastAsia"/>
        </w:rPr>
        <w:t>（3）施工材料如油料等环境风险物质应集中堆放，并备有临时遮挡的帆布，防止大风暴雨冲刷而进入水体；加强环境管理，防止施工机械油料泄漏或废油料倾倒进入水体后引起水污染，建议采取接漏的方式接收施工机械等漏油。</w:t>
      </w:r>
    </w:p>
    <w:p w14:paraId="1DA67117">
      <w:pPr>
        <w:pStyle w:val="117"/>
        <w:ind w:firstLine="480"/>
      </w:pPr>
      <w:r>
        <w:rPr>
          <w:rFonts w:hint="eastAsia"/>
        </w:rPr>
        <w:t>（4）施工期生活污水依托厂区现有生活污水收集、处理设施处理。</w:t>
      </w:r>
    </w:p>
    <w:p w14:paraId="154D4EB6">
      <w:pPr>
        <w:pStyle w:val="138"/>
        <w:rPr>
          <w:rFonts w:hint="eastAsia"/>
        </w:rPr>
      </w:pPr>
      <w:bookmarkStart w:id="580" w:name="_Toc24229"/>
      <w:r>
        <w:rPr>
          <w:rFonts w:hint="eastAsia"/>
        </w:rPr>
        <w:t>噪声治理措施</w:t>
      </w:r>
      <w:bookmarkEnd w:id="580"/>
    </w:p>
    <w:p w14:paraId="51D14DF2">
      <w:pPr>
        <w:pStyle w:val="117"/>
        <w:ind w:firstLine="480"/>
      </w:pPr>
      <w:r>
        <w:rPr>
          <w:rFonts w:hint="eastAsia"/>
        </w:rPr>
        <w:t>由施工期声环境影响分析可以看出，施工场地噪声对周围声环境影响较大，因此项目建设和施工单位应采取相应的噪声防治措施，最大限度地减少噪声对环境的影响。</w:t>
      </w:r>
    </w:p>
    <w:p w14:paraId="65A80EBC">
      <w:pPr>
        <w:pStyle w:val="117"/>
        <w:ind w:firstLine="480"/>
      </w:pPr>
      <w:r>
        <w:rPr>
          <w:rFonts w:hint="eastAsia"/>
        </w:rPr>
        <w:t>（1）合理安排施工时间</w:t>
      </w:r>
    </w:p>
    <w:p w14:paraId="7B4A299F">
      <w:pPr>
        <w:pStyle w:val="117"/>
        <w:ind w:firstLine="480"/>
      </w:pPr>
      <w:r>
        <w:rPr>
          <w:rFonts w:hint="eastAsia"/>
        </w:rPr>
        <w:t>制订科学的施工计划，应尽可能避免大量高噪声设备同时使用，除此之外，高噪声设备的施工时间尽量安排在日间，减少夜间施工。</w:t>
      </w:r>
    </w:p>
    <w:p w14:paraId="672BA51B">
      <w:pPr>
        <w:pStyle w:val="117"/>
        <w:ind w:firstLine="480"/>
      </w:pPr>
      <w:r>
        <w:rPr>
          <w:rFonts w:hint="eastAsia"/>
        </w:rPr>
        <w:t>（2）合理布局施工现场</w:t>
      </w:r>
    </w:p>
    <w:p w14:paraId="1069EFD4">
      <w:pPr>
        <w:pStyle w:val="117"/>
        <w:ind w:firstLine="480"/>
      </w:pPr>
      <w:r>
        <w:rPr>
          <w:rFonts w:hint="eastAsia"/>
        </w:rPr>
        <w:t>避免在同一地点安排大量动力机械设备，以避免局部声级过高。</w:t>
      </w:r>
    </w:p>
    <w:p w14:paraId="4B224486">
      <w:pPr>
        <w:pStyle w:val="117"/>
        <w:ind w:firstLine="480"/>
      </w:pPr>
      <w:r>
        <w:rPr>
          <w:rFonts w:hint="eastAsia"/>
        </w:rPr>
        <w:t>（3）降低设备声级</w:t>
      </w:r>
    </w:p>
    <w:p w14:paraId="7CAB9E78">
      <w:pPr>
        <w:pStyle w:val="117"/>
        <w:ind w:firstLine="480"/>
      </w:pPr>
      <w:r>
        <w:rPr>
          <w:rFonts w:hint="eastAsia"/>
        </w:rPr>
        <w:t>①设备选型上尽量采用低噪声设备，如以液压机械代替燃油机械，振捣器采用高频振捣器等。</w:t>
      </w:r>
    </w:p>
    <w:p w14:paraId="5EEB60F8">
      <w:pPr>
        <w:pStyle w:val="117"/>
        <w:ind w:firstLine="480"/>
      </w:pPr>
      <w:r>
        <w:rPr>
          <w:rFonts w:hint="eastAsia"/>
        </w:rPr>
        <w:t>②固定机械设备与挖土、运土机械，如挖土机、推土机等，可以通过排气管消音器和隔离发动机振动部件的方法降低噪声。</w:t>
      </w:r>
    </w:p>
    <w:p w14:paraId="06F40235">
      <w:pPr>
        <w:pStyle w:val="117"/>
        <w:ind w:firstLine="480"/>
      </w:pPr>
      <w:r>
        <w:rPr>
          <w:rFonts w:hint="eastAsia"/>
        </w:rPr>
        <w:t>③由于机械设备会由于松动部件的振动或消音器的损坏而增加其工作时的声级，因此对动力机械设备应进行定期的维修、养护。</w:t>
      </w:r>
    </w:p>
    <w:p w14:paraId="5A05653F">
      <w:pPr>
        <w:pStyle w:val="117"/>
        <w:ind w:firstLine="480"/>
      </w:pPr>
      <w:r>
        <w:rPr>
          <w:rFonts w:hint="eastAsia"/>
        </w:rPr>
        <w:t>④闲置不用的设备应立即关闭，运输车辆进入现场应减速，并减少鸣笛。</w:t>
      </w:r>
    </w:p>
    <w:p w14:paraId="1C0A125B">
      <w:pPr>
        <w:pStyle w:val="117"/>
        <w:ind w:firstLine="480"/>
      </w:pPr>
      <w:r>
        <w:rPr>
          <w:rFonts w:hint="eastAsia"/>
        </w:rPr>
        <w:t>（4）降低人为噪声</w:t>
      </w:r>
    </w:p>
    <w:p w14:paraId="496EF92F">
      <w:pPr>
        <w:pStyle w:val="117"/>
        <w:ind w:firstLine="480"/>
      </w:pPr>
      <w:r>
        <w:rPr>
          <w:rFonts w:hint="eastAsia"/>
        </w:rPr>
        <w:t>①按照规定操作机械设备，在挡板、支架拆卸过程中，应遵守作业规定，减少碰撞噪声。</w:t>
      </w:r>
    </w:p>
    <w:p w14:paraId="415A6EE5">
      <w:pPr>
        <w:pStyle w:val="117"/>
        <w:ind w:firstLine="480"/>
      </w:pPr>
      <w:r>
        <w:rPr>
          <w:rFonts w:hint="eastAsia"/>
        </w:rPr>
        <w:t>②尽量少用哨子、钟、笛等指挥作业，而采用现代化设备。</w:t>
      </w:r>
    </w:p>
    <w:p w14:paraId="455D1378">
      <w:pPr>
        <w:pStyle w:val="117"/>
        <w:ind w:firstLine="480"/>
      </w:pPr>
      <w:r>
        <w:rPr>
          <w:rFonts w:hint="eastAsia"/>
        </w:rPr>
        <w:t>（5）建立临时声障</w:t>
      </w:r>
    </w:p>
    <w:p w14:paraId="1EC0B8FD">
      <w:pPr>
        <w:pStyle w:val="117"/>
        <w:ind w:firstLine="480"/>
      </w:pPr>
      <w:r>
        <w:rPr>
          <w:rFonts w:hint="eastAsia"/>
        </w:rPr>
        <w:t>对位置相对固定的机械设备，能在棚内操作的尽量进入操作间，不能入棚的，可适当建立单面声障。</w:t>
      </w:r>
    </w:p>
    <w:p w14:paraId="628585F1">
      <w:pPr>
        <w:pStyle w:val="117"/>
        <w:ind w:firstLine="480"/>
      </w:pPr>
      <w:r>
        <w:rPr>
          <w:rFonts w:hint="eastAsia"/>
        </w:rPr>
        <w:t>对施工场地噪声除采取以上减噪措施以外，还应与附近企业建立良好的社会关系，对受施工干扰的单位应在作业前予以通知，并随时向他们汇报施工进度及施工中对降低噪声采取的措施，求得大家的共同理解。</w:t>
      </w:r>
    </w:p>
    <w:p w14:paraId="37706C0E">
      <w:pPr>
        <w:pStyle w:val="138"/>
        <w:rPr>
          <w:rFonts w:hint="eastAsia"/>
        </w:rPr>
      </w:pPr>
      <w:bookmarkStart w:id="581" w:name="_Toc31745"/>
      <w:r>
        <w:rPr>
          <w:rFonts w:hint="eastAsia"/>
        </w:rPr>
        <w:t>生态保护、恢复措施</w:t>
      </w:r>
      <w:bookmarkEnd w:id="581"/>
    </w:p>
    <w:p w14:paraId="6EEE3870">
      <w:pPr>
        <w:pStyle w:val="117"/>
        <w:ind w:firstLine="480"/>
      </w:pPr>
      <w:r>
        <w:rPr>
          <w:rFonts w:hint="eastAsia"/>
        </w:rPr>
        <w:t>项目建设对生态环境的影响主要是施工期地基的开挖、修建构筑物等对地表土壤及植被的破坏，从而影响到区域生态系统的变化或引发相关环境问题。为了将这些负面影响降低到最低程度，实现开发建设与生态保护协调发展，在工程实施全过程中，采取一定的环保对策与措施，是工程设计中必不可少的工作，为此提出以下要求：</w:t>
      </w:r>
    </w:p>
    <w:p w14:paraId="43F81B58">
      <w:pPr>
        <w:pStyle w:val="117"/>
        <w:ind w:firstLine="480"/>
      </w:pPr>
      <w:r>
        <w:rPr>
          <w:rFonts w:hint="eastAsia"/>
        </w:rPr>
        <w:t>（</w:t>
      </w:r>
      <w:r>
        <w:t>1</w:t>
      </w:r>
      <w:r>
        <w:rPr>
          <w:rFonts w:hint="eastAsia"/>
        </w:rPr>
        <w:t>）强化生态环境保护意识，对施工人员进行环境保护知识教育。</w:t>
      </w:r>
    </w:p>
    <w:p w14:paraId="203DE626">
      <w:pPr>
        <w:pStyle w:val="117"/>
        <w:ind w:firstLine="480"/>
      </w:pPr>
      <w:r>
        <w:rPr>
          <w:rFonts w:hint="eastAsia"/>
        </w:rPr>
        <w:t>（</w:t>
      </w:r>
      <w:r>
        <w:t>2</w:t>
      </w:r>
      <w:r>
        <w:rPr>
          <w:rFonts w:hint="eastAsia"/>
        </w:rPr>
        <w:t>）施工时尽量减少场地外施工临时占地，在满足施工要求的前提下，施工场地要尽量小，以减轻对施工场地周围土壤、植被和道路的影响，不得随意扩大范围，尽量减少对附近的植被和道路的破坏。</w:t>
      </w:r>
    </w:p>
    <w:p w14:paraId="01B2F7DB">
      <w:pPr>
        <w:pStyle w:val="117"/>
        <w:ind w:firstLine="480"/>
      </w:pPr>
      <w:r>
        <w:rPr>
          <w:rFonts w:hint="eastAsia"/>
        </w:rPr>
        <w:t>（</w:t>
      </w:r>
      <w:r>
        <w:t>3</w:t>
      </w:r>
      <w:r>
        <w:rPr>
          <w:rFonts w:hint="eastAsia"/>
        </w:rPr>
        <w:t>）在施工过程中，对物料、堆土、弃渣等应就近选择平坦地段集中堆放，并设置土工布围栏，以免造成水土流失。</w:t>
      </w:r>
    </w:p>
    <w:p w14:paraId="49DB3AF0">
      <w:pPr>
        <w:pStyle w:val="117"/>
        <w:ind w:firstLine="480"/>
      </w:pPr>
      <w:r>
        <w:rPr>
          <w:rFonts w:hint="eastAsia"/>
        </w:rPr>
        <w:t>（</w:t>
      </w:r>
      <w:r>
        <w:t>4</w:t>
      </w:r>
      <w:r>
        <w:rPr>
          <w:rFonts w:hint="eastAsia"/>
        </w:rPr>
        <w:t>）对临时占地的开挖土方实行分层堆放，全部表土都应分开堆放并标注清楚，至少地表</w:t>
      </w:r>
      <w:r>
        <w:t>0.3m</w:t>
      </w:r>
      <w:r>
        <w:rPr>
          <w:rFonts w:hint="eastAsia"/>
        </w:rPr>
        <w:t>厚的土层应被视作表土。填埋时，也应分层回填，尽可能保持原有地表植被的生长环境、土壤肥力，以便于今后开展环境绿化。</w:t>
      </w:r>
    </w:p>
    <w:p w14:paraId="7A70F3BC">
      <w:pPr>
        <w:pStyle w:val="117"/>
        <w:ind w:firstLine="480"/>
      </w:pPr>
      <w:r>
        <w:rPr>
          <w:rFonts w:hint="eastAsia"/>
        </w:rPr>
        <w:t>（</w:t>
      </w:r>
      <w:r>
        <w:t>5</w:t>
      </w:r>
      <w:r>
        <w:rPr>
          <w:rFonts w:hint="eastAsia"/>
        </w:rPr>
        <w:t>）对完工的裸露地面要尽早平整，及时绿化场地。</w:t>
      </w:r>
    </w:p>
    <w:p w14:paraId="5A436F60">
      <w:pPr>
        <w:pStyle w:val="138"/>
        <w:rPr>
          <w:rFonts w:hint="eastAsia"/>
        </w:rPr>
      </w:pPr>
      <w:bookmarkStart w:id="582" w:name="_Toc31651"/>
      <w:r>
        <w:rPr>
          <w:rFonts w:hint="eastAsia"/>
        </w:rPr>
        <w:t>固体废物治理措施</w:t>
      </w:r>
      <w:bookmarkEnd w:id="582"/>
    </w:p>
    <w:p w14:paraId="6814AE48">
      <w:pPr>
        <w:pStyle w:val="117"/>
        <w:ind w:firstLine="480"/>
      </w:pPr>
      <w:r>
        <w:rPr>
          <w:rFonts w:hint="eastAsia"/>
        </w:rPr>
        <w:t>（1）建筑垃圾（如废钢筋、包装带、废砖瓦、砂石和建筑边角料等）应按照市政、规划部门要求在指定地点进行填筑或送哈密市建筑垃圾填埋场处置。</w:t>
      </w:r>
    </w:p>
    <w:p w14:paraId="7C6EFC62">
      <w:pPr>
        <w:pStyle w:val="117"/>
        <w:ind w:firstLine="480"/>
      </w:pPr>
      <w:r>
        <w:rPr>
          <w:rFonts w:hint="eastAsia"/>
        </w:rPr>
        <w:t>（2）生活垃圾依托厂区现有收集设施收集，由园区环卫部门收集处理。</w:t>
      </w:r>
    </w:p>
    <w:p w14:paraId="48D541F3">
      <w:pPr>
        <w:pStyle w:val="117"/>
        <w:ind w:firstLine="480"/>
      </w:pPr>
      <w:r>
        <w:rPr>
          <w:rFonts w:hint="eastAsia"/>
        </w:rPr>
        <w:t>（3）施工遗弃的沙石、建材、钢材、包装材料等应由专人管理回收，及时清洁工作面，不留后遗症。</w:t>
      </w:r>
    </w:p>
    <w:p w14:paraId="384FD4FB">
      <w:pPr>
        <w:pStyle w:val="3"/>
      </w:pPr>
      <w:bookmarkStart w:id="583" w:name="_Toc15879"/>
      <w:bookmarkStart w:id="584" w:name="_Toc45970070"/>
      <w:bookmarkStart w:id="585" w:name="_Toc9260"/>
      <w:bookmarkStart w:id="586" w:name="_Toc205291405"/>
      <w:r>
        <w:rPr>
          <w:rFonts w:hint="eastAsia"/>
        </w:rPr>
        <w:t>运营期废气污染防治措施</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83"/>
      <w:bookmarkEnd w:id="584"/>
      <w:bookmarkEnd w:id="585"/>
      <w:bookmarkEnd w:id="586"/>
    </w:p>
    <w:p w14:paraId="69AA6285">
      <w:pPr>
        <w:pStyle w:val="138"/>
        <w:rPr>
          <w:rFonts w:hint="eastAsia"/>
        </w:rPr>
      </w:pPr>
      <w:r>
        <w:rPr>
          <w:rFonts w:hint="eastAsia"/>
        </w:rPr>
        <w:t>兰炭生产线</w:t>
      </w:r>
    </w:p>
    <w:p w14:paraId="48927124">
      <w:pPr>
        <w:pStyle w:val="944"/>
      </w:pPr>
      <w:r>
        <w:rPr>
          <w:rFonts w:hint="eastAsia"/>
        </w:rPr>
        <w:t>VOCS废气治理</w:t>
      </w:r>
    </w:p>
    <w:p w14:paraId="350B5057">
      <w:pPr>
        <w:pStyle w:val="117"/>
        <w:ind w:firstLine="480"/>
      </w:pPr>
      <w:r>
        <w:rPr>
          <w:rFonts w:hint="eastAsia"/>
        </w:rPr>
        <w:t>经有效收集后的VOCs废气通过管道依次输送进入酸洗喷淋塔、碱洗喷淋塔</w:t>
      </w:r>
      <w:r>
        <w:t>，</w:t>
      </w:r>
      <w:r>
        <w:rPr>
          <w:rFonts w:hint="eastAsia"/>
        </w:rPr>
        <w:t>通过喷淋泵雾化喷淋药剂溶液去除VOCs废气中携带的焦粉、煤焦油、水蒸气及其他</w:t>
      </w:r>
      <w:r>
        <w:t>易溶于</w:t>
      </w:r>
      <w:r>
        <w:rPr>
          <w:rFonts w:hint="eastAsia"/>
        </w:rPr>
        <w:t>酸碱溶液</w:t>
      </w:r>
      <w:r>
        <w:t>的无机</w:t>
      </w:r>
      <w:r>
        <w:rPr>
          <w:rFonts w:hint="eastAsia"/>
        </w:rPr>
        <w:t>、</w:t>
      </w:r>
      <w:r>
        <w:t>有机</w:t>
      </w:r>
      <w:r>
        <w:rPr>
          <w:rFonts w:hint="eastAsia"/>
        </w:rPr>
        <w:t>废气。VOCs废气中剩余的</w:t>
      </w:r>
      <w:r>
        <w:t>难溶于水</w:t>
      </w:r>
      <w:r>
        <w:rPr>
          <w:rFonts w:hint="eastAsia"/>
        </w:rPr>
        <w:t>、酸、碱液</w:t>
      </w:r>
      <w:r>
        <w:t>的气体进入</w:t>
      </w:r>
      <w:r>
        <w:rPr>
          <w:rFonts w:hint="eastAsia"/>
        </w:rPr>
        <w:t>干燥过滤塔，干燥过滤塔</w:t>
      </w:r>
      <w:r>
        <w:t>能更为精细</w:t>
      </w:r>
      <w:r>
        <w:rPr>
          <w:rFonts w:hint="eastAsia"/>
        </w:rPr>
        <w:t>地去</w:t>
      </w:r>
      <w:r>
        <w:t>废气中的</w:t>
      </w:r>
      <w:r>
        <w:rPr>
          <w:rFonts w:hint="eastAsia"/>
        </w:rPr>
        <w:t>水分、</w:t>
      </w:r>
      <w:r>
        <w:t>粉尘和杂质。经</w:t>
      </w:r>
      <w:r>
        <w:rPr>
          <w:rFonts w:hint="eastAsia"/>
        </w:rPr>
        <w:t>干燥</w:t>
      </w:r>
      <w:r>
        <w:t>后的废气进入</w:t>
      </w:r>
      <w:r>
        <w:rPr>
          <w:rFonts w:hint="eastAsia"/>
        </w:rPr>
        <w:t>吸附脱附催化热解设备的前端过滤器及</w:t>
      </w:r>
      <w:r>
        <w:t>活性炭吸附</w:t>
      </w:r>
      <w:r>
        <w:rPr>
          <w:rFonts w:hint="eastAsia"/>
        </w:rPr>
        <w:t>床</w:t>
      </w:r>
      <w:r>
        <w:t>，利用活性炭吸附净化废气中的有机成分，净化后洁净气体通过引风机</w:t>
      </w:r>
      <w:r>
        <w:rPr>
          <w:rFonts w:hint="eastAsia"/>
        </w:rPr>
        <w:t>送至25m高排气筒</w:t>
      </w:r>
      <w:r>
        <w:t>达标排放。</w:t>
      </w:r>
    </w:p>
    <w:p w14:paraId="0E15E06B">
      <w:pPr>
        <w:pStyle w:val="117"/>
        <w:ind w:firstLine="480"/>
      </w:pPr>
      <w:r>
        <w:rPr>
          <w:rFonts w:hint="eastAsia"/>
        </w:rPr>
        <w:t>催化热解设备的</w:t>
      </w:r>
      <w:r>
        <w:t>活性炭吸附接近饱和时，系统将自动切换到备用活性炭吸附</w:t>
      </w:r>
      <w:r>
        <w:rPr>
          <w:rFonts w:hint="eastAsia"/>
        </w:rPr>
        <w:t>床</w:t>
      </w:r>
      <w:r>
        <w:t>（此时饱和活性炭吸附</w:t>
      </w:r>
      <w:r>
        <w:rPr>
          <w:rFonts w:hint="eastAsia"/>
        </w:rPr>
        <w:t>床</w:t>
      </w:r>
      <w:r>
        <w:t>停止吸附操作），然后用热气流对饱和活性炭吸附</w:t>
      </w:r>
      <w:r>
        <w:rPr>
          <w:rFonts w:hint="eastAsia"/>
        </w:rPr>
        <w:t>床</w:t>
      </w:r>
      <w:r>
        <w:t>进行解</w:t>
      </w:r>
      <w:r>
        <w:rPr>
          <w:rFonts w:hint="eastAsia"/>
        </w:rPr>
        <w:t>析</w:t>
      </w:r>
      <w:r>
        <w:t>脱附</w:t>
      </w:r>
      <w:r>
        <w:rPr>
          <w:rFonts w:hint="eastAsia"/>
        </w:rPr>
        <w:t>及原位再生</w:t>
      </w:r>
      <w:r>
        <w:t>，将有机物从活性炭上脱附下来。在脱附过程中，有机废气已被浓缩，浓缩后的浓度较原浓度提高几十倍</w:t>
      </w:r>
      <w:r>
        <w:rPr>
          <w:rFonts w:hint="eastAsia"/>
        </w:rPr>
        <w:t>。</w:t>
      </w:r>
      <w:r>
        <w:t>浓缩</w:t>
      </w:r>
      <w:r>
        <w:rPr>
          <w:rFonts w:hint="eastAsia"/>
        </w:rPr>
        <w:t>后的有机废气被脱附风机输</w:t>
      </w:r>
      <w:r>
        <w:t>送</w:t>
      </w:r>
      <w:r>
        <w:rPr>
          <w:rFonts w:hint="eastAsia"/>
        </w:rPr>
        <w:t>至</w:t>
      </w:r>
      <w:r>
        <w:t>催化</w:t>
      </w:r>
      <w:r>
        <w:rPr>
          <w:rFonts w:hint="eastAsia"/>
        </w:rPr>
        <w:t>热解</w:t>
      </w:r>
      <w:r>
        <w:t>装置</w:t>
      </w:r>
      <w:r>
        <w:rPr>
          <w:rFonts w:hint="eastAsia"/>
        </w:rPr>
        <w:t>，经加热管加热到300～400℃，通过催化剂床时，</w:t>
      </w:r>
      <w:r>
        <w:t>最后被</w:t>
      </w:r>
      <w:r>
        <w:rPr>
          <w:rFonts w:hint="eastAsia"/>
        </w:rPr>
        <w:t>催化氧化</w:t>
      </w:r>
      <w:r>
        <w:t>分解成CO</w:t>
      </w:r>
      <w:r>
        <w:rPr>
          <w:vertAlign w:val="subscript"/>
        </w:rPr>
        <w:t>2</w:t>
      </w:r>
      <w:r>
        <w:t>与H</w:t>
      </w:r>
      <w:r>
        <w:rPr>
          <w:vertAlign w:val="subscript"/>
        </w:rPr>
        <w:t>2</w:t>
      </w:r>
      <w:r>
        <w:t>O</w:t>
      </w:r>
      <w:r>
        <w:rPr>
          <w:rFonts w:hint="eastAsia"/>
        </w:rPr>
        <w:t>，催化热解</w:t>
      </w:r>
      <w:r>
        <w:t>后</w:t>
      </w:r>
      <w:r>
        <w:rPr>
          <w:rFonts w:hint="eastAsia"/>
        </w:rPr>
        <w:t>，</w:t>
      </w:r>
      <w:r>
        <w:t>洁净气体通过引风机</w:t>
      </w:r>
      <w:r>
        <w:rPr>
          <w:rFonts w:hint="eastAsia"/>
        </w:rPr>
        <w:t>送至25m高排气筒</w:t>
      </w:r>
      <w:r>
        <w:t>达标排放。</w:t>
      </w:r>
    </w:p>
    <w:p w14:paraId="784F0EEE">
      <w:pPr>
        <w:pStyle w:val="117"/>
        <w:ind w:firstLine="480"/>
      </w:pPr>
      <w:r>
        <w:t>完成解</w:t>
      </w:r>
      <w:r>
        <w:rPr>
          <w:rFonts w:hint="eastAsia"/>
        </w:rPr>
        <w:t>析</w:t>
      </w:r>
      <w:r>
        <w:t>脱附</w:t>
      </w:r>
      <w:r>
        <w:rPr>
          <w:rFonts w:hint="eastAsia"/>
        </w:rPr>
        <w:t>及原位再生</w:t>
      </w:r>
      <w:r>
        <w:t>后，活性炭吸附</w:t>
      </w:r>
      <w:r>
        <w:rPr>
          <w:rFonts w:hint="eastAsia"/>
        </w:rPr>
        <w:t>床</w:t>
      </w:r>
      <w:r>
        <w:t>进入待用状态，待其他活性炭吸附</w:t>
      </w:r>
      <w:r>
        <w:rPr>
          <w:rFonts w:hint="eastAsia"/>
        </w:rPr>
        <w:t>床</w:t>
      </w:r>
      <w:r>
        <w:t>接近饱和时，系统再自动切换回来，同时对饱和活性炭吸附</w:t>
      </w:r>
      <w:r>
        <w:rPr>
          <w:rFonts w:hint="eastAsia"/>
        </w:rPr>
        <w:t>床</w:t>
      </w:r>
      <w:r>
        <w:t>进行解吸脱附</w:t>
      </w:r>
      <w:r>
        <w:rPr>
          <w:rFonts w:hint="eastAsia"/>
        </w:rPr>
        <w:t>及原位再生</w:t>
      </w:r>
      <w:r>
        <w:t>，如此循环工作，最后净化后的洁净气体由引风机</w:t>
      </w:r>
      <w:r>
        <w:rPr>
          <w:rFonts w:hint="eastAsia"/>
        </w:rPr>
        <w:t>送至25m高排气筒</w:t>
      </w:r>
      <w:r>
        <w:t>排入大气中。</w:t>
      </w:r>
    </w:p>
    <w:p w14:paraId="6779F3E7">
      <w:pPr>
        <w:pStyle w:val="117"/>
        <w:ind w:firstLine="480"/>
      </w:pPr>
      <w:r>
        <w:rPr>
          <w:rFonts w:hint="eastAsia"/>
        </w:rPr>
        <w:t>类比同类企业巴里坤天汇利能源有限公司例行监测数据（监测报告见附件），采用“酸洗+碱洗+活性炭吸附-脱附+催化燃烧”措施处理后可达标排放，且“活性炭吸附-脱附+催化燃烧”为《主要污染物总量减排核算技术指南》中推荐的处理VOCs的可行技术。</w:t>
      </w:r>
    </w:p>
    <w:p w14:paraId="09DEF730">
      <w:pPr>
        <w:pStyle w:val="117"/>
        <w:ind w:firstLine="480"/>
      </w:pPr>
      <w:r>
        <w:rPr>
          <w:rFonts w:hint="eastAsia"/>
        </w:rPr>
        <w:t>综上所述，本项目采用“酸洗+碱洗+活性炭吸附-脱附+催化燃烧”技术处理VOCs可行。</w:t>
      </w:r>
    </w:p>
    <w:p w14:paraId="0BFCCB28">
      <w:pPr>
        <w:pStyle w:val="944"/>
      </w:pPr>
      <w:r>
        <w:rPr>
          <w:rFonts w:hint="eastAsia"/>
        </w:rPr>
        <w:t>兰炭烘干烟气治理</w:t>
      </w:r>
    </w:p>
    <w:p w14:paraId="7C0A7965">
      <w:pPr>
        <w:pStyle w:val="117"/>
        <w:ind w:firstLine="480"/>
      </w:pPr>
      <w:r>
        <w:t>兰炭烘干窑采用企业自产煤气作为燃料，采用低氮燃烧器，燃烧器的设计低氮排放，采用多头燃烧，火焰中心分散，浓淡燃烧，燃料分级，空气分级，特殊的结构设计使烟气中氮氧化物产生较低；</w:t>
      </w:r>
      <w:r>
        <w:rPr>
          <w:color w:val="000000"/>
          <w:spacing w:val="-1"/>
        </w:rPr>
        <w:t>含有氨基的尿素溶液均匀喷入烘干窑温度范围为850~1050℃的区域，</w:t>
      </w:r>
      <w:r>
        <w:t>选择性</w:t>
      </w:r>
      <w:r>
        <w:rPr>
          <w:rFonts w:hint="eastAsia"/>
        </w:rPr>
        <w:t>地</w:t>
      </w:r>
      <w:r>
        <w:t>把烟气中的NOx还原为无害的N</w:t>
      </w:r>
      <w:r>
        <w:rPr>
          <w:vertAlign w:val="subscript"/>
        </w:rPr>
        <w:t>2</w:t>
      </w:r>
      <w:r>
        <w:t>和H</w:t>
      </w:r>
      <w:r>
        <w:rPr>
          <w:vertAlign w:val="subscript"/>
        </w:rPr>
        <w:t>2</w:t>
      </w:r>
      <w:r>
        <w:t>O，以达到减排NOx的目的，尿素溶液通过尿素脱硝站配置提供。</w:t>
      </w:r>
    </w:p>
    <w:p w14:paraId="38E01CEA">
      <w:pPr>
        <w:pStyle w:val="117"/>
        <w:ind w:firstLine="480"/>
        <w:rPr>
          <w:lang w:val="sq-AL"/>
        </w:rPr>
      </w:pPr>
      <w:r>
        <w:rPr>
          <w:rFonts w:hint="eastAsia"/>
        </w:rPr>
        <w:t>脱硝后</w:t>
      </w:r>
      <w:r>
        <w:t>烘干烟气经</w:t>
      </w:r>
      <w:r>
        <w:rPr>
          <w:rFonts w:hint="eastAsia"/>
        </w:rPr>
        <w:t>旋风除尘器+喷淋洗涤塔+布袋除尘器除尘处理后达标排放，喷淋洗涤塔底部灰尘浆液经除灰装置沉淀后由脱水机固液分离，滤液返回喷淋系统循环利用，灰饼企业回收。本项目</w:t>
      </w:r>
      <w:r>
        <w:t>烟气中颗粒物、二氧化硫</w:t>
      </w:r>
      <w:r>
        <w:rPr>
          <w:rFonts w:hint="eastAsia"/>
        </w:rPr>
        <w:t>、</w:t>
      </w:r>
      <w:r>
        <w:t>氨氧化物</w:t>
      </w:r>
      <w:r>
        <w:rPr>
          <w:rFonts w:hint="eastAsia"/>
        </w:rPr>
        <w:t>经处理后满足</w:t>
      </w:r>
      <w:r>
        <w:rPr>
          <w:lang w:val="sq-AL"/>
        </w:rPr>
        <w:t>《炼焦化学工业污染物排放标准》（GB16171-2012）表</w:t>
      </w:r>
      <w:r>
        <w:rPr>
          <w:rFonts w:hint="eastAsia"/>
        </w:rPr>
        <w:t>5</w:t>
      </w:r>
      <w:r>
        <w:rPr>
          <w:lang w:val="sq-AL"/>
        </w:rPr>
        <w:t>中燃用焦炉煤气的设施排放</w:t>
      </w:r>
      <w:r>
        <w:rPr>
          <w:rFonts w:hint="eastAsia"/>
        </w:rPr>
        <w:t>限值</w:t>
      </w:r>
      <w:r>
        <w:rPr>
          <w:rFonts w:hint="eastAsia"/>
          <w:lang w:val="sq-AL"/>
        </w:rPr>
        <w:t>及</w:t>
      </w:r>
      <w:r>
        <w:rPr>
          <w:bCs/>
        </w:rPr>
        <w:t>《关于推进实施焦化行业超低排放的意见》（环大气〔2024〕5号）</w:t>
      </w:r>
      <w:r>
        <w:rPr>
          <w:rFonts w:hint="eastAsia"/>
          <w:bCs/>
        </w:rPr>
        <w:t>附表1规定：有组织排放指标限值（燃用煤气的加热炉）</w:t>
      </w:r>
      <w:r>
        <w:rPr>
          <w:lang w:val="sq-AL"/>
        </w:rPr>
        <w:t>。</w:t>
      </w:r>
    </w:p>
    <w:p w14:paraId="68C7F154">
      <w:pPr>
        <w:pStyle w:val="117"/>
        <w:ind w:firstLine="480"/>
      </w:pPr>
      <w:r>
        <w:rPr>
          <w:rFonts w:hint="eastAsia"/>
        </w:rPr>
        <w:t>综上所述，本项目兰炭烘干烟气采用“旋风除尘器+喷淋洗涤塔+布袋除尘器除尘”处理措施可行。</w:t>
      </w:r>
    </w:p>
    <w:p w14:paraId="08C2155A">
      <w:pPr>
        <w:pStyle w:val="944"/>
      </w:pPr>
      <w:r>
        <w:rPr>
          <w:rFonts w:hint="eastAsia"/>
        </w:rPr>
        <w:t>重污染天气应急减排措施</w:t>
      </w:r>
    </w:p>
    <w:p w14:paraId="18B9D718">
      <w:pPr>
        <w:pStyle w:val="117"/>
        <w:ind w:firstLine="480"/>
      </w:pPr>
      <w:r>
        <w:rPr>
          <w:rFonts w:hint="eastAsia"/>
        </w:rPr>
        <w:t>本项目按照</w:t>
      </w:r>
      <w:bookmarkStart w:id="587" w:name="_Hlk198461197"/>
      <w:r>
        <w:rPr>
          <w:rFonts w:hint="eastAsia"/>
        </w:rPr>
        <w:t>《重污染天气重点行业应急减排措施制定技术指南（2020年修订版）》（环办大气函〔2020〕340号）</w:t>
      </w:r>
      <w:bookmarkEnd w:id="587"/>
      <w:r>
        <w:rPr>
          <w:rFonts w:hint="eastAsia"/>
        </w:rPr>
        <w:t>中</w:t>
      </w:r>
      <w:r>
        <w:t>A</w:t>
      </w:r>
      <w:r>
        <w:rPr>
          <w:rFonts w:hint="eastAsia"/>
        </w:rPr>
        <w:t>级绩效评级工作制定重污染天气应急减排措施，见表6.2-1。</w:t>
      </w:r>
    </w:p>
    <w:p w14:paraId="2C7D6C71">
      <w:pPr>
        <w:pStyle w:val="118"/>
      </w:pPr>
      <w:r>
        <w:rPr>
          <w:rFonts w:hint="eastAsia"/>
        </w:rPr>
        <w:t>表6.2-1  本项目重污染天气应急减排措施汇总表</w:t>
      </w:r>
    </w:p>
    <w:tbl>
      <w:tblPr>
        <w:tblStyle w:val="6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164"/>
        <w:gridCol w:w="6052"/>
      </w:tblGrid>
      <w:tr w14:paraId="6675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62B5F1C8">
            <w:pPr>
              <w:pStyle w:val="392"/>
              <w:rPr>
                <w:b/>
                <w:bCs/>
              </w:rPr>
            </w:pPr>
            <w:r>
              <w:rPr>
                <w:rFonts w:hint="eastAsia"/>
                <w:b/>
                <w:bCs/>
              </w:rPr>
              <w:t>差异化指标</w:t>
            </w:r>
          </w:p>
        </w:tc>
        <w:tc>
          <w:tcPr>
            <w:tcW w:w="683" w:type="pct"/>
            <w:vAlign w:val="center"/>
          </w:tcPr>
          <w:p w14:paraId="7909717A">
            <w:pPr>
              <w:pStyle w:val="392"/>
              <w:rPr>
                <w:b/>
                <w:bCs/>
              </w:rPr>
            </w:pPr>
            <w:r>
              <w:rPr>
                <w:rFonts w:hint="eastAsia"/>
                <w:b/>
                <w:bCs/>
              </w:rPr>
              <w:t>具体指标</w:t>
            </w:r>
          </w:p>
        </w:tc>
        <w:tc>
          <w:tcPr>
            <w:tcW w:w="3551" w:type="pct"/>
            <w:vAlign w:val="center"/>
          </w:tcPr>
          <w:p w14:paraId="7A533DC4">
            <w:pPr>
              <w:pStyle w:val="392"/>
              <w:rPr>
                <w:b/>
                <w:bCs/>
              </w:rPr>
            </w:pPr>
            <w:r>
              <w:rPr>
                <w:rFonts w:hint="eastAsia"/>
                <w:b/>
                <w:bCs/>
              </w:rPr>
              <w:t>本项目采取的污染防控措施</w:t>
            </w:r>
          </w:p>
        </w:tc>
      </w:tr>
      <w:tr w14:paraId="6051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47354190">
            <w:pPr>
              <w:pStyle w:val="392"/>
            </w:pPr>
            <w:r>
              <w:rPr>
                <w:rFonts w:hint="eastAsia"/>
              </w:rPr>
              <w:t>装备水平</w:t>
            </w:r>
          </w:p>
        </w:tc>
        <w:tc>
          <w:tcPr>
            <w:tcW w:w="683" w:type="pct"/>
            <w:vAlign w:val="center"/>
          </w:tcPr>
          <w:p w14:paraId="6120FA97">
            <w:pPr>
              <w:pStyle w:val="392"/>
            </w:pPr>
            <w:r>
              <w:rPr>
                <w:rFonts w:hint="eastAsia"/>
              </w:rPr>
              <w:t>产能</w:t>
            </w:r>
          </w:p>
        </w:tc>
        <w:tc>
          <w:tcPr>
            <w:tcW w:w="3551" w:type="pct"/>
            <w:vAlign w:val="center"/>
          </w:tcPr>
          <w:p w14:paraId="493A656C">
            <w:pPr>
              <w:pStyle w:val="392"/>
            </w:pPr>
            <w:r>
              <w:rPr>
                <w:rFonts w:hint="eastAsia"/>
              </w:rPr>
              <w:t>单炉生产能力15万吨/年</w:t>
            </w:r>
          </w:p>
        </w:tc>
      </w:tr>
      <w:tr w14:paraId="1F75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Align w:val="center"/>
          </w:tcPr>
          <w:p w14:paraId="38CCAE8D">
            <w:pPr>
              <w:pStyle w:val="392"/>
            </w:pPr>
            <w:r>
              <w:rPr>
                <w:rFonts w:hint="eastAsia"/>
              </w:rPr>
              <w:t>生产工艺</w:t>
            </w:r>
          </w:p>
        </w:tc>
        <w:tc>
          <w:tcPr>
            <w:tcW w:w="683" w:type="pct"/>
            <w:vAlign w:val="center"/>
          </w:tcPr>
          <w:p w14:paraId="1F512DFE">
            <w:pPr>
              <w:pStyle w:val="392"/>
            </w:pPr>
            <w:r>
              <w:rPr>
                <w:rFonts w:hint="eastAsia"/>
              </w:rPr>
              <w:t>熄焦方式</w:t>
            </w:r>
          </w:p>
        </w:tc>
        <w:tc>
          <w:tcPr>
            <w:tcW w:w="3551" w:type="pct"/>
            <w:vAlign w:val="center"/>
          </w:tcPr>
          <w:p w14:paraId="085E29CA">
            <w:pPr>
              <w:pStyle w:val="392"/>
            </w:pPr>
            <w:r>
              <w:rPr>
                <w:rFonts w:hint="eastAsia"/>
              </w:rPr>
              <w:t>采用蒸汽熄焦、熄焦废气收集后送VOCs废气治理装置处理后排放。</w:t>
            </w:r>
          </w:p>
        </w:tc>
      </w:tr>
      <w:tr w14:paraId="399B0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Merge w:val="restart"/>
            <w:vAlign w:val="center"/>
          </w:tcPr>
          <w:p w14:paraId="0A0ED89A">
            <w:pPr>
              <w:pStyle w:val="392"/>
            </w:pPr>
            <w:r>
              <w:rPr>
                <w:rFonts w:hint="eastAsia"/>
              </w:rPr>
              <w:t>无组织排放</w:t>
            </w:r>
          </w:p>
        </w:tc>
        <w:tc>
          <w:tcPr>
            <w:tcW w:w="683" w:type="pct"/>
            <w:vAlign w:val="center"/>
          </w:tcPr>
          <w:p w14:paraId="76984EA1">
            <w:pPr>
              <w:pStyle w:val="392"/>
            </w:pPr>
            <w:r>
              <w:rPr>
                <w:rFonts w:hint="eastAsia"/>
              </w:rPr>
              <w:t>煤气净化系统VOCs收集与治理</w:t>
            </w:r>
          </w:p>
        </w:tc>
        <w:tc>
          <w:tcPr>
            <w:tcW w:w="3551" w:type="pct"/>
            <w:vAlign w:val="center"/>
          </w:tcPr>
          <w:p w14:paraId="4C0D69A7">
            <w:pPr>
              <w:pStyle w:val="392"/>
            </w:pPr>
            <w:bookmarkStart w:id="588" w:name="_Hlk177580289"/>
            <w:r>
              <w:rPr>
                <w:rFonts w:hint="eastAsia"/>
              </w:rPr>
              <w:t>煤气净化系统各储罐、槽、池逸散VOCs废气经密闭收集，送VOCs集中处理，采用“酸洗+碱洗+活性炭吸附-脱附+催化燃烧”组合工艺处理后排放，现场没有明显异味。按《挥发性有机物无组织排放控制标准》(GB 37822-2019)要求开展设备和管线泄漏检测与修复(LDAR)工作。无组织VOCs满足《挥发性有机物无组织排放控制标准》(GB37822-2019)排放限值要求。</w:t>
            </w:r>
            <w:bookmarkEnd w:id="588"/>
          </w:p>
        </w:tc>
      </w:tr>
      <w:tr w14:paraId="176A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Merge w:val="continue"/>
            <w:vAlign w:val="center"/>
          </w:tcPr>
          <w:p w14:paraId="0C3D51BF">
            <w:pPr>
              <w:pStyle w:val="392"/>
            </w:pPr>
          </w:p>
        </w:tc>
        <w:tc>
          <w:tcPr>
            <w:tcW w:w="683" w:type="pct"/>
            <w:vAlign w:val="center"/>
          </w:tcPr>
          <w:p w14:paraId="2775BBAB">
            <w:pPr>
              <w:pStyle w:val="392"/>
            </w:pPr>
            <w:r>
              <w:rPr>
                <w:rFonts w:hint="eastAsia"/>
              </w:rPr>
              <w:t>焦化废水处理逸散恶臭的收集与治理</w:t>
            </w:r>
          </w:p>
        </w:tc>
        <w:tc>
          <w:tcPr>
            <w:tcW w:w="3551" w:type="pct"/>
            <w:vAlign w:val="center"/>
          </w:tcPr>
          <w:p w14:paraId="6AAD5A32">
            <w:pPr>
              <w:pStyle w:val="392"/>
            </w:pPr>
            <w:r>
              <w:rPr>
                <w:rFonts w:hint="eastAsia"/>
              </w:rPr>
              <w:t>集水井(池)、调节池、气浮池、隔油池等采取密闭措施，逸散废气收集后送VOCs集中处理，采用“酸洗+碱洗+活性炭吸附-脱附+催化燃烧”组合工艺处理后排放。</w:t>
            </w:r>
          </w:p>
        </w:tc>
      </w:tr>
      <w:tr w14:paraId="7B51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pct"/>
            <w:vMerge w:val="continue"/>
            <w:vAlign w:val="center"/>
          </w:tcPr>
          <w:p w14:paraId="5FD4178F">
            <w:pPr>
              <w:pStyle w:val="392"/>
            </w:pPr>
          </w:p>
        </w:tc>
        <w:tc>
          <w:tcPr>
            <w:tcW w:w="683" w:type="pct"/>
            <w:vAlign w:val="center"/>
          </w:tcPr>
          <w:p w14:paraId="6698C075">
            <w:pPr>
              <w:pStyle w:val="392"/>
            </w:pPr>
            <w:r>
              <w:rPr>
                <w:rFonts w:hint="eastAsia"/>
              </w:rPr>
              <w:t>粉尘治理</w:t>
            </w:r>
          </w:p>
        </w:tc>
        <w:tc>
          <w:tcPr>
            <w:tcW w:w="3551" w:type="pct"/>
            <w:vAlign w:val="center"/>
          </w:tcPr>
          <w:p w14:paraId="0D1C3DD8">
            <w:pPr>
              <w:pStyle w:val="392"/>
              <w:jc w:val="left"/>
            </w:pPr>
            <w:r>
              <w:rPr>
                <w:rFonts w:hint="eastAsia"/>
              </w:rPr>
              <w:t>1、</w:t>
            </w:r>
            <w:bookmarkStart w:id="589" w:name="_Hlk198461326"/>
            <w:r>
              <w:rPr>
                <w:rFonts w:hint="eastAsia"/>
              </w:rPr>
              <w:t>卸煤坑及破碎间配套高效布袋除尘器，卸煤坑、破碎间及筛分楼采用高效布袋除尘器；煤、焦采用封闭料棚方式贮存，内设喷雾抑尘装置，做到无死角全覆盖；</w:t>
            </w:r>
            <w:bookmarkEnd w:id="589"/>
          </w:p>
          <w:p w14:paraId="0F7D4C2E">
            <w:pPr>
              <w:pStyle w:val="392"/>
              <w:jc w:val="left"/>
            </w:pPr>
            <w:r>
              <w:rPr>
                <w:rFonts w:hint="eastAsia"/>
              </w:rPr>
              <w:t>2、煤、提质煤采用皮带通廊方式封闭输送；</w:t>
            </w:r>
          </w:p>
          <w:p w14:paraId="54E049D7">
            <w:pPr>
              <w:pStyle w:val="392"/>
              <w:jc w:val="left"/>
            </w:pPr>
            <w:r>
              <w:rPr>
                <w:rFonts w:hint="eastAsia"/>
              </w:rPr>
              <w:t>3、物料输送落料点采取喷雾等抑尘措施；</w:t>
            </w:r>
          </w:p>
          <w:p w14:paraId="3B7DA1BC">
            <w:pPr>
              <w:pStyle w:val="392"/>
              <w:jc w:val="left"/>
            </w:pPr>
            <w:r>
              <w:rPr>
                <w:rFonts w:hint="eastAsia"/>
              </w:rPr>
              <w:t>4、采用双室双闸装煤方式，装煤时无可见烟尘外溢；</w:t>
            </w:r>
          </w:p>
          <w:p w14:paraId="5DB280F6">
            <w:pPr>
              <w:pStyle w:val="392"/>
              <w:jc w:val="left"/>
            </w:pPr>
            <w:r>
              <w:rPr>
                <w:rFonts w:hint="eastAsia"/>
              </w:rPr>
              <w:t>5、无半焦烘干工序；</w:t>
            </w:r>
          </w:p>
          <w:p w14:paraId="240A4B24">
            <w:pPr>
              <w:pStyle w:val="392"/>
              <w:jc w:val="left"/>
            </w:pPr>
            <w:r>
              <w:rPr>
                <w:rFonts w:hint="eastAsia"/>
              </w:rPr>
              <w:t>6、焦炉生产时炉体无可见烟尘外溢；</w:t>
            </w:r>
          </w:p>
          <w:p w14:paraId="39F15B87">
            <w:pPr>
              <w:pStyle w:val="392"/>
              <w:jc w:val="left"/>
            </w:pPr>
            <w:r>
              <w:rPr>
                <w:rFonts w:hint="eastAsia"/>
              </w:rPr>
              <w:t>7、厂区无裸露地面，硬化区域内无散状物料露天堆放，焦炉操作平台、车间外部及厂区道路无明显积尘。</w:t>
            </w:r>
          </w:p>
        </w:tc>
      </w:tr>
      <w:tr w14:paraId="1B2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gridSpan w:val="2"/>
            <w:vAlign w:val="center"/>
          </w:tcPr>
          <w:p w14:paraId="6F7C0D92">
            <w:pPr>
              <w:pStyle w:val="392"/>
            </w:pPr>
            <w:r>
              <w:rPr>
                <w:rFonts w:hint="eastAsia"/>
              </w:rPr>
              <w:t>环境管理水平</w:t>
            </w:r>
          </w:p>
        </w:tc>
        <w:tc>
          <w:tcPr>
            <w:tcW w:w="3551" w:type="pct"/>
            <w:vAlign w:val="center"/>
          </w:tcPr>
          <w:p w14:paraId="05217C46">
            <w:pPr>
              <w:pStyle w:val="392"/>
              <w:jc w:val="left"/>
            </w:pPr>
            <w:r>
              <w:rPr>
                <w:rFonts w:hint="eastAsia"/>
              </w:rPr>
              <w:t>环保档案齐全：</w:t>
            </w:r>
          </w:p>
          <w:p w14:paraId="70A941FF">
            <w:pPr>
              <w:pStyle w:val="392"/>
              <w:jc w:val="left"/>
            </w:pPr>
            <w:r>
              <w:rPr>
                <w:rFonts w:hint="eastAsia"/>
              </w:rPr>
              <w:t>1、环评批复文件；</w:t>
            </w:r>
          </w:p>
          <w:p w14:paraId="2855D929">
            <w:pPr>
              <w:pStyle w:val="392"/>
              <w:jc w:val="left"/>
            </w:pPr>
            <w:r>
              <w:rPr>
                <w:rFonts w:hint="eastAsia"/>
              </w:rPr>
              <w:t>2、排污许可证及季度、年度执行报告；</w:t>
            </w:r>
          </w:p>
          <w:p w14:paraId="0078C7C0">
            <w:pPr>
              <w:pStyle w:val="392"/>
              <w:jc w:val="left"/>
            </w:pPr>
            <w:r>
              <w:rPr>
                <w:rFonts w:hint="eastAsia"/>
              </w:rPr>
              <w:t>3、竣工验收文件；</w:t>
            </w:r>
          </w:p>
          <w:p w14:paraId="3493B9A9">
            <w:pPr>
              <w:pStyle w:val="392"/>
              <w:jc w:val="left"/>
            </w:pPr>
            <w:r>
              <w:rPr>
                <w:rFonts w:hint="eastAsia"/>
              </w:rPr>
              <w:t>4、废气治理设施运行管理规程；</w:t>
            </w:r>
          </w:p>
          <w:p w14:paraId="224668FB">
            <w:pPr>
              <w:pStyle w:val="392"/>
              <w:jc w:val="left"/>
            </w:pPr>
            <w:r>
              <w:rPr>
                <w:rFonts w:hint="eastAsia"/>
              </w:rPr>
              <w:t>5、一年内废气监测报告</w:t>
            </w:r>
          </w:p>
          <w:p w14:paraId="02362956">
            <w:pPr>
              <w:pStyle w:val="392"/>
              <w:jc w:val="left"/>
            </w:pPr>
            <w:r>
              <w:rPr>
                <w:rFonts w:hint="eastAsia"/>
              </w:rPr>
              <w:t>台账记录：</w:t>
            </w:r>
          </w:p>
          <w:p w14:paraId="72DC704A">
            <w:pPr>
              <w:pStyle w:val="392"/>
              <w:jc w:val="left"/>
            </w:pPr>
            <w:r>
              <w:rPr>
                <w:rFonts w:hint="eastAsia"/>
              </w:rPr>
              <w:t>1、完整生产管理台账：生产设备运行台账，原辅材料、燃料使用量，产品产量等；</w:t>
            </w:r>
          </w:p>
          <w:p w14:paraId="0DCCB73E">
            <w:pPr>
              <w:pStyle w:val="392"/>
              <w:jc w:val="left"/>
            </w:pPr>
            <w:r>
              <w:rPr>
                <w:rFonts w:hint="eastAsia"/>
              </w:rPr>
              <w:t>2、设备维护记录；</w:t>
            </w:r>
          </w:p>
          <w:p w14:paraId="019E8B23">
            <w:pPr>
              <w:pStyle w:val="392"/>
              <w:jc w:val="left"/>
            </w:pPr>
            <w:r>
              <w:rPr>
                <w:rFonts w:hint="eastAsia"/>
              </w:rPr>
              <w:t>3、废气治理设备清单：主要污染治理设备、设计说明书、运行记录、CEMS小时数据等；</w:t>
            </w:r>
          </w:p>
          <w:p w14:paraId="3A4C6760">
            <w:pPr>
              <w:pStyle w:val="392"/>
              <w:jc w:val="left"/>
            </w:pPr>
            <w:r>
              <w:rPr>
                <w:rFonts w:hint="eastAsia"/>
              </w:rPr>
              <w:t>4、耗材记录；</w:t>
            </w:r>
          </w:p>
          <w:p w14:paraId="2026A76B">
            <w:pPr>
              <w:pStyle w:val="392"/>
              <w:jc w:val="left"/>
            </w:pPr>
            <w:r>
              <w:rPr>
                <w:rFonts w:hint="eastAsia"/>
              </w:rPr>
              <w:t>5、固废、危废处理记录；</w:t>
            </w:r>
          </w:p>
          <w:p w14:paraId="05F17523">
            <w:pPr>
              <w:pStyle w:val="392"/>
              <w:jc w:val="left"/>
            </w:pPr>
            <w:r>
              <w:rPr>
                <w:rFonts w:hint="eastAsia"/>
              </w:rPr>
              <w:t>6、LDAR报告。</w:t>
            </w:r>
          </w:p>
        </w:tc>
      </w:tr>
      <w:tr w14:paraId="7885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gridSpan w:val="2"/>
            <w:vAlign w:val="center"/>
          </w:tcPr>
          <w:p w14:paraId="54AE82A2">
            <w:pPr>
              <w:pStyle w:val="392"/>
            </w:pPr>
            <w:r>
              <w:rPr>
                <w:rFonts w:hint="eastAsia"/>
              </w:rPr>
              <w:t>运输方式</w:t>
            </w:r>
          </w:p>
        </w:tc>
        <w:tc>
          <w:tcPr>
            <w:tcW w:w="3551" w:type="pct"/>
            <w:vAlign w:val="center"/>
          </w:tcPr>
          <w:p w14:paraId="45D66DA6">
            <w:pPr>
              <w:pStyle w:val="392"/>
              <w:jc w:val="left"/>
            </w:pPr>
            <w:bookmarkStart w:id="590" w:name="_Hlk177580500"/>
            <w:r>
              <w:rPr>
                <w:rFonts w:hint="eastAsia"/>
              </w:rPr>
              <w:t>1、</w:t>
            </w:r>
            <w:bookmarkStart w:id="591" w:name="_Hlk177580493"/>
            <w:r>
              <w:rPr>
                <w:rFonts w:hint="eastAsia"/>
              </w:rPr>
              <w:t>物料公路运输全部使用达到国六排放标准重型载货车辆(含燃气)或新能源车辆；</w:t>
            </w:r>
            <w:bookmarkEnd w:id="591"/>
          </w:p>
          <w:p w14:paraId="4E394941">
            <w:pPr>
              <w:pStyle w:val="392"/>
              <w:jc w:val="left"/>
            </w:pPr>
            <w:r>
              <w:rPr>
                <w:rFonts w:hint="eastAsia"/>
              </w:rPr>
              <w:t>2、厂内运输车辆全部达到国六排放标准或新能源车辆；</w:t>
            </w:r>
          </w:p>
          <w:p w14:paraId="06BC1530">
            <w:pPr>
              <w:pStyle w:val="392"/>
              <w:jc w:val="left"/>
            </w:pPr>
            <w:r>
              <w:rPr>
                <w:rFonts w:hint="eastAsia"/>
              </w:rPr>
              <w:t>3、厂内非道路移动机械全部达到国四排放标准或新能源车辆</w:t>
            </w:r>
            <w:bookmarkEnd w:id="590"/>
            <w:r>
              <w:rPr>
                <w:rFonts w:hint="eastAsia"/>
              </w:rPr>
              <w:t>。</w:t>
            </w:r>
          </w:p>
        </w:tc>
      </w:tr>
      <w:tr w14:paraId="74E8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pct"/>
            <w:gridSpan w:val="2"/>
            <w:vAlign w:val="center"/>
          </w:tcPr>
          <w:p w14:paraId="3666688F">
            <w:pPr>
              <w:pStyle w:val="392"/>
            </w:pPr>
            <w:r>
              <w:rPr>
                <w:rFonts w:hint="eastAsia"/>
              </w:rPr>
              <w:t>运输监管</w:t>
            </w:r>
          </w:p>
        </w:tc>
        <w:tc>
          <w:tcPr>
            <w:tcW w:w="3551" w:type="pct"/>
            <w:vAlign w:val="center"/>
          </w:tcPr>
          <w:p w14:paraId="11C60633">
            <w:pPr>
              <w:pStyle w:val="392"/>
            </w:pPr>
            <w:r>
              <w:rPr>
                <w:rFonts w:hint="eastAsia"/>
              </w:rPr>
              <w:t>参照《重污染天气重点行业移动源应急管理技术指南》建立门禁系统和电子台账。</w:t>
            </w:r>
          </w:p>
        </w:tc>
      </w:tr>
    </w:tbl>
    <w:p w14:paraId="1A802279">
      <w:pPr>
        <w:pStyle w:val="138"/>
        <w:rPr>
          <w:rFonts w:hint="eastAsia"/>
        </w:rPr>
      </w:pPr>
      <w:r>
        <w:rPr>
          <w:rFonts w:hint="eastAsia"/>
        </w:rPr>
        <w:t>硅铁生产线</w:t>
      </w:r>
    </w:p>
    <w:p w14:paraId="40B740AB">
      <w:pPr>
        <w:pStyle w:val="117"/>
        <w:ind w:firstLine="480"/>
      </w:pPr>
      <w:r>
        <w:rPr>
          <w:rFonts w:hint="eastAsia"/>
        </w:rPr>
        <w:t>硅铁生产线废气中主要污染物为颗粒物，采用布袋除尘，根据</w:t>
      </w:r>
      <w:r>
        <w:t xml:space="preserve">《排污许可证申请与核发技术规范 </w:t>
      </w:r>
      <w:r>
        <w:rPr>
          <w:rFonts w:hint="eastAsia"/>
        </w:rPr>
        <w:t>铁合金、电解锰工业</w:t>
      </w:r>
      <w:r>
        <w:t>》（HJ</w:t>
      </w:r>
      <w:r>
        <w:rPr>
          <w:rFonts w:hint="eastAsia"/>
        </w:rPr>
        <w:t>1117</w:t>
      </w:r>
      <w:r>
        <w:t>-20</w:t>
      </w:r>
      <w:r>
        <w:rPr>
          <w:rFonts w:hint="eastAsia"/>
        </w:rPr>
        <w:t>20</w:t>
      </w:r>
      <w:r>
        <w:t>）</w:t>
      </w:r>
      <w:r>
        <w:rPr>
          <w:rFonts w:hint="eastAsia"/>
        </w:rPr>
        <w:t>附录B 铁合金、电解锰排污单位废气污染防治可行技术参考表，布袋除尘器属于列明的对颗粒物治理的可行技术。</w:t>
      </w:r>
    </w:p>
    <w:p w14:paraId="5138A940">
      <w:pPr>
        <w:pStyle w:val="3"/>
      </w:pPr>
      <w:bookmarkStart w:id="592" w:name="_Toc351031383"/>
      <w:bookmarkStart w:id="593" w:name="_Toc186000312"/>
      <w:bookmarkStart w:id="594" w:name="_Toc145501414"/>
      <w:bookmarkStart w:id="595" w:name="_Toc259454533"/>
      <w:bookmarkStart w:id="596" w:name="_Toc16352"/>
      <w:bookmarkStart w:id="597" w:name="_Toc205291406"/>
      <w:bookmarkStart w:id="598" w:name="_Toc45970071"/>
      <w:bookmarkStart w:id="599" w:name="_Toc31416"/>
      <w:bookmarkStart w:id="600" w:name="_Toc182027121"/>
      <w:bookmarkStart w:id="601" w:name="_Toc185325747"/>
      <w:bookmarkStart w:id="602" w:name="_Toc27652515"/>
      <w:r>
        <w:rPr>
          <w:rFonts w:hint="eastAsia"/>
        </w:rPr>
        <w:t>运营期水污染防治</w:t>
      </w:r>
      <w:bookmarkEnd w:id="592"/>
      <w:bookmarkEnd w:id="593"/>
      <w:bookmarkEnd w:id="594"/>
      <w:bookmarkEnd w:id="595"/>
      <w:r>
        <w:rPr>
          <w:rFonts w:hint="eastAsia"/>
        </w:rPr>
        <w:t>措施</w:t>
      </w:r>
      <w:bookmarkEnd w:id="596"/>
      <w:bookmarkEnd w:id="597"/>
      <w:bookmarkEnd w:id="598"/>
      <w:bookmarkEnd w:id="599"/>
    </w:p>
    <w:p w14:paraId="05C1E0E2">
      <w:pPr>
        <w:pStyle w:val="138"/>
        <w:rPr>
          <w:rFonts w:hint="eastAsia"/>
        </w:rPr>
      </w:pPr>
      <w:bookmarkStart w:id="603" w:name="_Toc24419"/>
      <w:r>
        <w:rPr>
          <w:rFonts w:hint="eastAsia"/>
        </w:rPr>
        <w:t>废水来源主要构成及</w:t>
      </w:r>
      <w:bookmarkEnd w:id="603"/>
      <w:r>
        <w:rPr>
          <w:rFonts w:hint="eastAsia"/>
        </w:rPr>
        <w:t>处理措施</w:t>
      </w:r>
    </w:p>
    <w:p w14:paraId="79DCEF67">
      <w:pPr>
        <w:pStyle w:val="117"/>
        <w:ind w:firstLine="480"/>
      </w:pPr>
      <w:r>
        <w:rPr>
          <w:rFonts w:hint="eastAsia"/>
        </w:rPr>
        <w:t>本项目产生的废水包含生产废水、清净下水和生活污水。</w:t>
      </w:r>
    </w:p>
    <w:p w14:paraId="2BD93031">
      <w:pPr>
        <w:pStyle w:val="944"/>
      </w:pPr>
      <w:r>
        <w:rPr>
          <w:rFonts w:hint="eastAsia"/>
        </w:rPr>
        <w:t>生产废水</w:t>
      </w:r>
    </w:p>
    <w:p w14:paraId="461A7F53">
      <w:pPr>
        <w:pStyle w:val="117"/>
        <w:ind w:firstLine="480"/>
      </w:pPr>
      <w:r>
        <w:rPr>
          <w:rFonts w:hint="eastAsia"/>
        </w:rPr>
        <w:t>生产废水主要产生于兰炭生产线，根据</w:t>
      </w:r>
      <w:r>
        <w:t>《焦化行业规范条件》第三条“环境保护”中的第（六）条规定：“</w:t>
      </w:r>
      <w:r>
        <w:rPr>
          <w:rFonts w:hint="eastAsia"/>
        </w:rPr>
        <w:t>2.</w:t>
      </w:r>
      <w:r>
        <w:t>焦化生产企业须配套建设废水处理设施</w:t>
      </w:r>
      <w:r>
        <w:rPr>
          <w:rFonts w:hint="eastAsia"/>
        </w:rPr>
        <w:t>。</w:t>
      </w:r>
      <w:r>
        <w:t>半焦（兰炭）企业氨水循环水池、焦油分离池应建在地面以上，配套建设事故储槽（池）及初期雨水收集装置，生产废水处理采用焚烧或其他有效处理方法。”</w:t>
      </w:r>
    </w:p>
    <w:p w14:paraId="01935D7C">
      <w:pPr>
        <w:pStyle w:val="117"/>
        <w:ind w:firstLine="480"/>
      </w:pPr>
      <w:r>
        <w:rPr>
          <w:rFonts w:hint="eastAsia"/>
        </w:rPr>
        <w:t>兰炭生产线生产废水主要为剩余氨水，进行预处理+焚烧处理，处理措施属于</w:t>
      </w:r>
      <w:r>
        <w:t>《焦化行业规范条件》</w:t>
      </w:r>
      <w:r>
        <w:rPr>
          <w:rFonts w:hint="eastAsia"/>
        </w:rPr>
        <w:t>列明的可行措施。</w:t>
      </w:r>
    </w:p>
    <w:p w14:paraId="0D7618B8">
      <w:pPr>
        <w:pStyle w:val="117"/>
        <w:ind w:firstLine="480"/>
      </w:pPr>
      <w:r>
        <w:rPr>
          <w:rFonts w:hint="eastAsia"/>
        </w:rPr>
        <w:t>（1）预处理工艺</w:t>
      </w:r>
    </w:p>
    <w:p w14:paraId="069F06F1">
      <w:pPr>
        <w:pStyle w:val="117"/>
        <w:ind w:firstLine="480"/>
      </w:pPr>
      <w:r>
        <w:rPr>
          <w:rFonts w:hint="eastAsia"/>
        </w:rPr>
        <w:t>废水</w:t>
      </w:r>
      <w:r>
        <w:t>处理采用“絮凝除油+气浮除油+酸化除油池+袋式过滤器+萃取脱酚+集水箱+高效复合脱氮塔”组合工艺。</w:t>
      </w:r>
    </w:p>
    <w:p w14:paraId="1DD9FE18">
      <w:pPr>
        <w:pStyle w:val="117"/>
        <w:ind w:firstLine="480"/>
      </w:pPr>
      <w:r>
        <w:rPr>
          <w:rFonts w:hint="eastAsia"/>
        </w:rPr>
        <w:t>1）除油</w:t>
      </w:r>
    </w:p>
    <w:p w14:paraId="4EF592D5">
      <w:pPr>
        <w:pStyle w:val="117"/>
        <w:ind w:firstLine="480"/>
      </w:pPr>
      <w:r>
        <w:t>污水中的油类</w:t>
      </w:r>
      <w:r>
        <w:rPr>
          <w:rFonts w:hint="eastAsia"/>
        </w:rPr>
        <w:t>经隔油池</w:t>
      </w:r>
      <w:r>
        <w:t>初步回收</w:t>
      </w:r>
      <w:r>
        <w:rPr>
          <w:rFonts w:hint="eastAsia"/>
        </w:rPr>
        <w:t>，</w:t>
      </w:r>
      <w:r>
        <w:t>使污水中的含油量降低至设计进水标准值要求。废水提升至絮凝除油池，对浮油、重油及油灰进行初步去除，然后再进入气浮除油池进一步对水中油类进行分离，油水分离后的废水通过提升泵进入酸化除油池，通过投加稀硫酸对废水进行酸化及破乳，将废水中的焦油分层处置并大幅度将废水中的乳化油和分散油形成浮油或重油；浮油定期撇油至除油池，底部重油进行重力排油至除油池，当储油池满时，进行焦油回收。通过三级除油，来减少水中油类对后续萃取工段的影响，</w:t>
      </w:r>
      <w:r>
        <w:rPr>
          <w:rFonts w:hint="eastAsia"/>
        </w:rPr>
        <w:t>大大提高</w:t>
      </w:r>
      <w:r>
        <w:t>萃取脱酚效率。</w:t>
      </w:r>
    </w:p>
    <w:p w14:paraId="3E0EC8BD">
      <w:pPr>
        <w:pStyle w:val="117"/>
        <w:ind w:firstLine="480"/>
      </w:pPr>
      <w:r>
        <w:rPr>
          <w:rFonts w:hint="eastAsia"/>
        </w:rPr>
        <w:t>2）脱酚</w:t>
      </w:r>
    </w:p>
    <w:p w14:paraId="5837C43D">
      <w:pPr>
        <w:pStyle w:val="117"/>
        <w:ind w:firstLine="480"/>
      </w:pPr>
      <w:r>
        <w:t>通过提升泵将集水池中的废水提升进入过滤器进行去除悬浮物，然后进入萃取</w:t>
      </w:r>
      <w:r>
        <w:rPr>
          <w:rFonts w:hint="eastAsia"/>
        </w:rPr>
        <w:t>脱酚</w:t>
      </w:r>
      <w:r>
        <w:t>设备进行脱酚，脱酚工艺采用络合萃取与离心分离设备组合，当萃取剂萃取酚后，在离心分离设备的作用下将废水与负载络合萃取剂分离，脱酚废水自流进入萃取剂回收池进行回收萃取剂后进入脱酚后废水槽，负载络合萃取剂进入反萃设备，通过加碱再生萃取剂，通过离心分离，再生剂通过闭合系统再进入萃取设备继续使用，形成的酚钠液自流进入酚钠液储存池，</w:t>
      </w:r>
      <w:r>
        <w:rPr>
          <w:rFonts w:hint="eastAsia"/>
        </w:rPr>
        <w:t>送资质单位处理</w:t>
      </w:r>
      <w:r>
        <w:t>。</w:t>
      </w:r>
    </w:p>
    <w:p w14:paraId="6E70403C">
      <w:pPr>
        <w:pStyle w:val="117"/>
        <w:ind w:firstLine="480"/>
      </w:pPr>
      <w:r>
        <w:rPr>
          <w:rFonts w:hint="eastAsia"/>
        </w:rPr>
        <w:t>3）脱氮</w:t>
      </w:r>
    </w:p>
    <w:p w14:paraId="635D2319">
      <w:pPr>
        <w:pStyle w:val="117"/>
        <w:ind w:firstLine="480"/>
      </w:pPr>
      <w:r>
        <w:t>废水经提升泵输送至袋式过滤器进一步去除杂质后进入高效复合脱氮装置，同时向塔内投加碱液及脱氮剂，利用板式换热器对高效复合脱氮装置内废水进行加温至55~60℃，利用高压离心风机吹脱氮气，氨气通过引风机引入氨气吸收塔，在氨气吸收塔内通过两级硫酸溶液喷淋，形成硫酸铵溶液，硫酸铵溶液</w:t>
      </w:r>
      <w:r>
        <w:rPr>
          <w:rFonts w:hint="eastAsia"/>
        </w:rPr>
        <w:t>送圣大一方腐殖酸盐项目综合利用</w:t>
      </w:r>
      <w:r>
        <w:t>。</w:t>
      </w:r>
    </w:p>
    <w:p w14:paraId="0718661B">
      <w:pPr>
        <w:ind w:firstLine="480"/>
      </w:pPr>
      <w:r>
        <w:rPr>
          <w:rFonts w:hint="eastAsia"/>
        </w:rPr>
        <w:t>（2）废水焚烧处理方案</w:t>
      </w:r>
    </w:p>
    <w:p w14:paraId="4E11BC20">
      <w:pPr>
        <w:ind w:firstLine="480"/>
      </w:pPr>
      <w:r>
        <w:rPr>
          <w:rFonts w:hint="eastAsia"/>
        </w:rPr>
        <w:t>预处理后废水通过提升泵及压缩空气将废水输送至卧式焚烧炉进行焚烧处理，通过雾化喷枪，进入焚烧炉，荒煤气通过2000万大卡的燃烧器，将焚烧炉的炉膛温度升至850~1100℃，在此温度下将废水中有机污染物彻底分解。</w:t>
      </w:r>
    </w:p>
    <w:p w14:paraId="196AF8CF">
      <w:pPr>
        <w:ind w:firstLine="480"/>
      </w:pPr>
      <w:r>
        <w:t>利用煤气燃烧产生的高温，使废水中的各种碳氢化合物、酚类及微量的氰等污染物发生化学和物理化学变化，转化为无毒的高温气态无机物，同时使煤气中微量的H</w:t>
      </w:r>
      <w:r>
        <w:rPr>
          <w:vertAlign w:val="subscript"/>
        </w:rPr>
        <w:t>2</w:t>
      </w:r>
      <w:r>
        <w:t>S转化为SO</w:t>
      </w:r>
      <w:r>
        <w:rPr>
          <w:vertAlign w:val="subscript"/>
        </w:rPr>
        <w:t>2</w:t>
      </w:r>
      <w:r>
        <w:t>。由废水成分可推知，废水中的污染物在燃烧处理装置内可能发生以下主要反应：</w:t>
      </w:r>
    </w:p>
    <w:p w14:paraId="37D7E73B">
      <w:pPr>
        <w:ind w:firstLine="480"/>
      </w:pPr>
      <w:r>
        <mc:AlternateContent>
          <mc:Choice Requires="wps">
            <w:drawing>
              <wp:anchor distT="0" distB="0" distL="114300" distR="114300" simplePos="0" relativeHeight="251663360" behindDoc="0" locked="0" layoutInCell="1" allowOverlap="1">
                <wp:simplePos x="0" y="0"/>
                <wp:positionH relativeFrom="column">
                  <wp:posOffset>1697990</wp:posOffset>
                </wp:positionH>
                <wp:positionV relativeFrom="paragraph">
                  <wp:posOffset>179705</wp:posOffset>
                </wp:positionV>
                <wp:extent cx="428625" cy="0"/>
                <wp:effectExtent l="0" t="38100" r="9525" b="38100"/>
                <wp:wrapNone/>
                <wp:docPr id="1166" name="直接箭头连接符 4"/>
                <wp:cNvGraphicFramePr/>
                <a:graphic xmlns:a="http://schemas.openxmlformats.org/drawingml/2006/main">
                  <a:graphicData uri="http://schemas.microsoft.com/office/word/2010/wordprocessingShape">
                    <wps:wsp>
                      <wps:cNvCnPr/>
                      <wps:spPr>
                        <a:xfrm>
                          <a:off x="0" y="0"/>
                          <a:ext cx="428625" cy="0"/>
                        </a:xfrm>
                        <a:prstGeom prst="straightConnector1">
                          <a:avLst/>
                        </a:prstGeom>
                        <a:ln w="12700" cap="flat" cmpd="sng">
                          <a:solidFill>
                            <a:srgbClr val="000000"/>
                          </a:solidFill>
                          <a:prstDash val="solid"/>
                          <a:round/>
                          <a:headEnd type="none" w="med" len="med"/>
                          <a:tailEnd type="triangle" w="med" len="med"/>
                        </a:ln>
                        <a:effectLst/>
                      </wps:spPr>
                      <wps:bodyPr/>
                    </wps:wsp>
                  </a:graphicData>
                </a:graphic>
              </wp:anchor>
            </w:drawing>
          </mc:Choice>
          <mc:Fallback>
            <w:pict>
              <v:shape id="直接箭头连接符 4" o:spid="_x0000_s1026" o:spt="32" type="#_x0000_t32" style="position:absolute;left:0pt;margin-left:133.7pt;margin-top:14.15pt;height:0pt;width:33.75pt;z-index:251663360;mso-width-relative:page;mso-height-relative:page;" filled="f" stroked="t" coordsize="21600,21600" o:gfxdata="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LI0+tYAAAAJAQAADwAAAAAAAAAB&#10;ACAAAAAiAAAAZHJzL2Rvd25yZXYueG1sUEsBAhQAFAAAAAgAh07iQD91KLMSAgAACwQAAA4AAAAA&#10;AAAAAQAgAAAAJQEAAGRycy9lMm9Eb2MueG1sUEsFBgAAAAAGAAYAWQEAAKkFAAAAAA==&#10;">
                <v:fill on="f" focussize="0,0"/>
                <v:stroke weight="1pt" color="#000000" joinstyle="round" endarrow="block"/>
                <v:imagedata o:title=""/>
                <o:lock v:ext="edit" aspectratio="f"/>
              </v:shape>
            </w:pict>
          </mc:Fallback>
        </mc:AlternateContent>
      </w:r>
      <w:r>
        <w:t>C</w:t>
      </w:r>
      <w:r>
        <w:rPr>
          <w:vertAlign w:val="subscript"/>
        </w:rPr>
        <w:t>n</w:t>
      </w:r>
      <w:r>
        <w:t>H</w:t>
      </w:r>
      <w:r>
        <w:rPr>
          <w:vertAlign w:val="subscript"/>
        </w:rPr>
        <w:t>m</w:t>
      </w:r>
      <w:r>
        <w:t>+（n+m/4）O</w:t>
      </w:r>
      <w:r>
        <w:rPr>
          <w:vertAlign w:val="subscript"/>
        </w:rPr>
        <w:t xml:space="preserve">2             </w:t>
      </w:r>
      <w:r>
        <w:t>nCO</w:t>
      </w:r>
      <w:r>
        <w:rPr>
          <w:vertAlign w:val="subscript"/>
        </w:rPr>
        <w:t>2</w:t>
      </w:r>
      <w:r>
        <w:t>+m/2H</w:t>
      </w:r>
      <w:r>
        <w:rPr>
          <w:vertAlign w:val="subscript"/>
        </w:rPr>
        <w:t>2</w:t>
      </w:r>
      <w:r>
        <w:t>O</w:t>
      </w:r>
    </w:p>
    <w:p w14:paraId="70CE8797">
      <w:pPr>
        <w:ind w:firstLine="480"/>
        <w:rPr>
          <w:vertAlign w:val="subscript"/>
        </w:rPr>
      </w:pPr>
      <w:r>
        <mc:AlternateContent>
          <mc:Choice Requires="wps">
            <w:drawing>
              <wp:anchor distT="0" distB="0" distL="114300" distR="114300" simplePos="0" relativeHeight="251666432" behindDoc="0" locked="0" layoutInCell="1" allowOverlap="1">
                <wp:simplePos x="0" y="0"/>
                <wp:positionH relativeFrom="column">
                  <wp:posOffset>1015365</wp:posOffset>
                </wp:positionH>
                <wp:positionV relativeFrom="paragraph">
                  <wp:posOffset>172085</wp:posOffset>
                </wp:positionV>
                <wp:extent cx="428625" cy="0"/>
                <wp:effectExtent l="0" t="38100" r="9525" b="38100"/>
                <wp:wrapNone/>
                <wp:docPr id="1167" name="直接箭头连接符 3"/>
                <wp:cNvGraphicFramePr/>
                <a:graphic xmlns:a="http://schemas.openxmlformats.org/drawingml/2006/main">
                  <a:graphicData uri="http://schemas.microsoft.com/office/word/2010/wordprocessingShape">
                    <wps:wsp>
                      <wps:cNvCnPr/>
                      <wps:spPr>
                        <a:xfrm>
                          <a:off x="0" y="0"/>
                          <a:ext cx="428625" cy="0"/>
                        </a:xfrm>
                        <a:prstGeom prst="straightConnector1">
                          <a:avLst/>
                        </a:prstGeom>
                        <a:ln w="12700" cap="flat" cmpd="sng">
                          <a:solidFill>
                            <a:srgbClr val="000000"/>
                          </a:solidFill>
                          <a:prstDash val="solid"/>
                          <a:round/>
                          <a:headEnd type="none" w="med" len="med"/>
                          <a:tailEnd type="triangle" w="med" len="med"/>
                        </a:ln>
                        <a:effectLst/>
                      </wps:spPr>
                      <wps:bodyPr/>
                    </wps:wsp>
                  </a:graphicData>
                </a:graphic>
              </wp:anchor>
            </w:drawing>
          </mc:Choice>
          <mc:Fallback>
            <w:pict>
              <v:shape id="直接箭头连接符 3" o:spid="_x0000_s1026" o:spt="32" type="#_x0000_t32" style="position:absolute;left:0pt;margin-left:79.95pt;margin-top:13.55pt;height:0pt;width:33.75pt;z-index:251666432;mso-width-relative:page;mso-height-relative:page;" filled="f" stroked="t" coordsize="21600,21600" o:gfxdata="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TNfQr1QAAAAkBAAAPAAAAAAAAAAEA&#10;IAAAACIAAABkcnMvZG93bnJldi54bWxQSwECFAAUAAAACACHTuJAZ1pVVhICAAALBAAADgAAAAAA&#10;AAABACAAAAAkAQAAZHJzL2Uyb0RvYy54bWxQSwUGAAAAAAYABgBZAQAAqAUAAAAA&#10;">
                <v:fill on="f" focussize="0,0"/>
                <v:stroke weight="1pt" color="#000000" joinstyle="round" endarrow="block"/>
                <v:imagedata o:title=""/>
                <o:lock v:ext="edit" aspectratio="f"/>
              </v:shape>
            </w:pict>
          </mc:Fallback>
        </mc:AlternateContent>
      </w:r>
      <w:r>
        <w:t>2CN</w:t>
      </w:r>
      <w:r>
        <w:rPr>
          <w:vertAlign w:val="superscript"/>
        </w:rPr>
        <w:t>-</w:t>
      </w:r>
      <w:r>
        <w:t>+2O</w:t>
      </w:r>
      <w:r>
        <w:rPr>
          <w:vertAlign w:val="subscript"/>
        </w:rPr>
        <w:t xml:space="preserve">2           </w:t>
      </w:r>
      <w:r>
        <w:t>N</w:t>
      </w:r>
      <w:r>
        <w:rPr>
          <w:vertAlign w:val="subscript"/>
        </w:rPr>
        <w:t>2</w:t>
      </w:r>
      <w:r>
        <w:t>+2CO</w:t>
      </w:r>
      <w:r>
        <w:rPr>
          <w:vertAlign w:val="subscript"/>
        </w:rPr>
        <w:t>2</w:t>
      </w:r>
    </w:p>
    <w:p w14:paraId="3E349ECC">
      <w:pPr>
        <w:ind w:firstLine="480"/>
      </w:pPr>
      <w:r>
        <mc:AlternateContent>
          <mc:Choice Requires="wps">
            <w:drawing>
              <wp:anchor distT="0" distB="0" distL="114300" distR="114300" simplePos="0" relativeHeight="251669504" behindDoc="0" locked="0" layoutInCell="1" allowOverlap="1">
                <wp:simplePos x="0" y="0"/>
                <wp:positionH relativeFrom="column">
                  <wp:posOffset>1021080</wp:posOffset>
                </wp:positionH>
                <wp:positionV relativeFrom="paragraph">
                  <wp:posOffset>173990</wp:posOffset>
                </wp:positionV>
                <wp:extent cx="428625" cy="0"/>
                <wp:effectExtent l="0" t="38100" r="9525" b="38100"/>
                <wp:wrapNone/>
                <wp:docPr id="1168" name="直接箭头连接符 2"/>
                <wp:cNvGraphicFramePr/>
                <a:graphic xmlns:a="http://schemas.openxmlformats.org/drawingml/2006/main">
                  <a:graphicData uri="http://schemas.microsoft.com/office/word/2010/wordprocessingShape">
                    <wps:wsp>
                      <wps:cNvCnPr/>
                      <wps:spPr>
                        <a:xfrm>
                          <a:off x="0" y="0"/>
                          <a:ext cx="428625" cy="0"/>
                        </a:xfrm>
                        <a:prstGeom prst="straightConnector1">
                          <a:avLst/>
                        </a:prstGeom>
                        <a:ln w="12700" cap="flat" cmpd="sng">
                          <a:solidFill>
                            <a:srgbClr val="000000"/>
                          </a:solidFill>
                          <a:prstDash val="solid"/>
                          <a:round/>
                          <a:headEnd type="none" w="med" len="med"/>
                          <a:tailEnd type="triangle" w="med" len="med"/>
                        </a:ln>
                        <a:effectLst/>
                      </wps:spPr>
                      <wps:bodyPr/>
                    </wps:wsp>
                  </a:graphicData>
                </a:graphic>
              </wp:anchor>
            </w:drawing>
          </mc:Choice>
          <mc:Fallback>
            <w:pict>
              <v:shape id="直接箭头连接符 2" o:spid="_x0000_s1026" o:spt="32" type="#_x0000_t32" style="position:absolute;left:0pt;margin-left:80.4pt;margin-top:13.7pt;height:0pt;width:33.75pt;z-index:251669504;mso-width-relative:page;mso-height-relative:page;" filled="f" stroked="t" coordsize="21600,21600" o:gfxdata="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oQvdtUAAAAJAQAADwAAAAAAAAABACAA&#10;AAAiAAAAZHJzL2Rvd25yZXYueG1sUEsBAhQAFAAAAAgAh07iQAE9EmgQAgAACwQAAA4AAAAAAAAA&#10;AQAgAAAAJAEAAGRycy9lMm9Eb2MueG1sUEsFBgAAAAAGAAYAWQEAAKYFAAAAAA==&#10;">
                <v:fill on="f" focussize="0,0"/>
                <v:stroke weight="1pt" color="#000000" joinstyle="round" endarrow="block"/>
                <v:imagedata o:title=""/>
                <o:lock v:ext="edit" aspectratio="f"/>
              </v:shape>
            </w:pict>
          </mc:Fallback>
        </mc:AlternateContent>
      </w:r>
      <w:r>
        <w:t>2H</w:t>
      </w:r>
      <w:r>
        <w:rPr>
          <w:vertAlign w:val="subscript"/>
        </w:rPr>
        <w:t>2</w:t>
      </w:r>
      <w:r>
        <w:t>S+3O</w:t>
      </w:r>
      <w:r>
        <w:rPr>
          <w:vertAlign w:val="subscript"/>
        </w:rPr>
        <w:t xml:space="preserve">2           </w:t>
      </w:r>
      <w:r>
        <w:t>2SO</w:t>
      </w:r>
      <w:r>
        <w:rPr>
          <w:vertAlign w:val="subscript"/>
        </w:rPr>
        <w:t>2</w:t>
      </w:r>
      <w:r>
        <w:t>+2H</w:t>
      </w:r>
      <w:r>
        <w:rPr>
          <w:vertAlign w:val="subscript"/>
        </w:rPr>
        <w:t>2</w:t>
      </w:r>
      <w:r>
        <w:t>O</w:t>
      </w:r>
    </w:p>
    <w:p w14:paraId="03BCC42A">
      <w:pPr>
        <w:ind w:firstLine="480"/>
      </w:pPr>
      <w:r>
        <w:t>从上述反应可看出，焚烧过程中，有机物在高温下主要转化为CO</w:t>
      </w:r>
      <w:r>
        <w:rPr>
          <w:vertAlign w:val="subscript"/>
        </w:rPr>
        <w:t>2</w:t>
      </w:r>
      <w:r>
        <w:t>和H</w:t>
      </w:r>
      <w:r>
        <w:rPr>
          <w:vertAlign w:val="subscript"/>
        </w:rPr>
        <w:t>2</w:t>
      </w:r>
      <w:r>
        <w:t>O；CN</w:t>
      </w:r>
      <w:r>
        <w:rPr>
          <w:vertAlign w:val="superscript"/>
        </w:rPr>
        <w:t>-</w:t>
      </w:r>
      <w:r>
        <w:t>、H</w:t>
      </w:r>
      <w:r>
        <w:rPr>
          <w:vertAlign w:val="subscript"/>
        </w:rPr>
        <w:t>2</w:t>
      </w:r>
      <w:r>
        <w:t>S等无机物污染物转化成CO</w:t>
      </w:r>
      <w:r>
        <w:rPr>
          <w:vertAlign w:val="subscript"/>
        </w:rPr>
        <w:t>2</w:t>
      </w:r>
      <w:r>
        <w:t>、N</w:t>
      </w:r>
      <w:r>
        <w:rPr>
          <w:vertAlign w:val="subscript"/>
        </w:rPr>
        <w:t>2</w:t>
      </w:r>
      <w:r>
        <w:t>、SO</w:t>
      </w:r>
      <w:r>
        <w:rPr>
          <w:vertAlign w:val="subscript"/>
        </w:rPr>
        <w:t>2</w:t>
      </w:r>
      <w:r>
        <w:t>和H</w:t>
      </w:r>
      <w:r>
        <w:rPr>
          <w:vertAlign w:val="subscript"/>
        </w:rPr>
        <w:t>2</w:t>
      </w:r>
      <w:r>
        <w:t>O；水全部汽化。焚烧过程中不产生二次有毒污染物。</w:t>
      </w:r>
    </w:p>
    <w:p w14:paraId="7BBE40BE">
      <w:pPr>
        <w:ind w:firstLine="480"/>
        <w:rPr>
          <w:spacing w:val="-1"/>
        </w:rPr>
      </w:pPr>
      <w:r>
        <w:rPr>
          <w:rFonts w:hint="eastAsia"/>
        </w:rPr>
        <w:t>预处理后的生产废水</w:t>
      </w:r>
      <w:r>
        <w:t>用高压泵经过污水喷嘴进入废水焚烧炉。焚烧炉以厂区煤气为热源，煤气和空气经过混合烧嘴后，污水中的污染物经过高温焚烧，焚烧后的烟气采用SNCR</w:t>
      </w:r>
      <w:r>
        <w:rPr>
          <w:rFonts w:hint="eastAsia"/>
        </w:rPr>
        <w:t>脱硝，烟气经余热蒸汽锅炉换热后，经过液态催化氧化脱硝+钠碱法脱硫处理，处理后的烟气经</w:t>
      </w:r>
      <w:r>
        <w:t>15m</w:t>
      </w:r>
      <w:r>
        <w:rPr>
          <w:rFonts w:hint="eastAsia"/>
        </w:rPr>
        <w:t>排气筒排放。</w:t>
      </w:r>
    </w:p>
    <w:p w14:paraId="4CC6AFC9">
      <w:pPr>
        <w:ind w:firstLine="476"/>
        <w:rPr>
          <w:spacing w:val="-1"/>
        </w:rPr>
      </w:pPr>
      <w:r>
        <w:rPr>
          <w:rFonts w:hint="eastAsia"/>
          <w:spacing w:val="-1"/>
        </w:rPr>
        <w:t>（3）废水焚烧处理工艺</w:t>
      </w:r>
    </w:p>
    <w:p w14:paraId="7D52881C">
      <w:pPr>
        <w:ind w:firstLine="480"/>
      </w:pPr>
      <w:r>
        <w:rPr>
          <w:rFonts w:hint="eastAsia"/>
        </w:rPr>
        <w:t>兰炭炉煤气通过管路输送到燃烧系统，由自动点火系统点燃使炉内温度缓慢升高，当炉内温度达到设定温度（</w:t>
      </w:r>
      <w:r>
        <w:t>850~1100℃）时，自动开启废液输送系统，将</w:t>
      </w:r>
      <w:r>
        <w:rPr>
          <w:rFonts w:hint="eastAsia"/>
        </w:rPr>
        <w:t>预处理后的生产废水</w:t>
      </w:r>
      <w:r>
        <w:t>喷入炉体内焚烧。</w:t>
      </w:r>
    </w:p>
    <w:p w14:paraId="623C8F0F">
      <w:pPr>
        <w:ind w:firstLine="480"/>
      </w:pPr>
      <w:r>
        <w:rPr>
          <w:rFonts w:hint="eastAsia"/>
        </w:rPr>
        <w:t>生产废水与高温气体急剧搅动，迅速发生氧化反应，焚烧按照三</w:t>
      </w:r>
      <w:r>
        <w:t>T原则（温度、时间、涡流）设计，在煤气的燃烧下，</w:t>
      </w:r>
      <w:r>
        <w:rPr>
          <w:rFonts w:hint="eastAsia"/>
        </w:rPr>
        <w:t>水变为高温干烟气</w:t>
      </w:r>
      <w:r>
        <w:t>，</w:t>
      </w:r>
      <w:r>
        <w:rPr>
          <w:rFonts w:hint="eastAsia"/>
        </w:rPr>
        <w:t>氨氮</w:t>
      </w:r>
      <w:r>
        <w:t>被氧化为氮氧化物，挥发酚被氧化为CO</w:t>
      </w:r>
      <w:r>
        <w:rPr>
          <w:vertAlign w:val="subscript"/>
        </w:rPr>
        <w:t>2</w:t>
      </w:r>
      <w:r>
        <w:t>和H</w:t>
      </w:r>
      <w:r>
        <w:rPr>
          <w:vertAlign w:val="subscript"/>
        </w:rPr>
        <w:t>2</w:t>
      </w:r>
      <w:r>
        <w:t>O；反应完成后，燃烧产生的高温烟气进入焚烧炉配套的余热蒸汽锅炉系统进行热交换，进行余热回收。余热蒸汽锅炉产生的蒸汽用于厂区生产用蒸汽。</w:t>
      </w:r>
    </w:p>
    <w:p w14:paraId="48491A13">
      <w:pPr>
        <w:ind w:firstLine="480"/>
      </w:pPr>
      <w:r>
        <w:rPr>
          <w:rFonts w:hint="eastAsia"/>
        </w:rPr>
        <w:t>废水焚烧及废气处理工艺流程，见图6.3-1。</w:t>
      </w:r>
    </w:p>
    <w:p w14:paraId="490BEE5B">
      <w:pPr>
        <w:pStyle w:val="133"/>
      </w:pPr>
    </w:p>
    <w:p w14:paraId="69C3E901">
      <w:pPr>
        <w:pStyle w:val="117"/>
        <w:ind w:firstLine="480"/>
      </w:pPr>
      <w:r>
        <w:rPr>
          <w:rFonts w:hint="eastAsia"/>
        </w:rPr>
        <w:t>（4）废水焚烧可行性分析</w:t>
      </w:r>
    </w:p>
    <w:p w14:paraId="1BCEC44D">
      <w:pPr>
        <w:pStyle w:val="117"/>
        <w:ind w:firstLine="480"/>
        <w:rPr>
          <w:rFonts w:cs="Times New Roman"/>
          <w:szCs w:val="22"/>
        </w:rPr>
      </w:pPr>
      <w:r>
        <w:rPr>
          <w:rFonts w:hint="eastAsia" w:cs="Times New Roman"/>
        </w:rPr>
        <w:t>根据《焦化废水治理工程技术规范》</w:t>
      </w:r>
      <w:r>
        <w:rPr>
          <w:rFonts w:cs="Times New Roman"/>
        </w:rPr>
        <w:t>（HJ 2022-2012）</w:t>
      </w:r>
      <w:r>
        <w:rPr>
          <w:rFonts w:hint="eastAsia" w:cs="Times New Roman"/>
          <w:szCs w:val="22"/>
        </w:rPr>
        <w:t xml:space="preserve"> “5</w:t>
      </w:r>
      <w:r>
        <w:rPr>
          <w:rFonts w:cs="Times New Roman"/>
          <w:szCs w:val="22"/>
        </w:rPr>
        <w:t>.1.6</w:t>
      </w:r>
      <w:r>
        <w:rPr>
          <w:rFonts w:hint="eastAsia" w:cs="Times New Roman"/>
          <w:szCs w:val="22"/>
        </w:rPr>
        <w:t>，兰炭废水、富含多元酚的酚精制油水分离水、规模较少或品种较少的高浓度化工产品精制废水，在技术经济合理的情况下，可按照相关规定，采用焚烧的方法进行处理。”“6</w:t>
      </w:r>
      <w:r>
        <w:rPr>
          <w:rFonts w:cs="Times New Roman"/>
          <w:szCs w:val="22"/>
        </w:rPr>
        <w:t>.7.1.1焦化废水治理过程中所产生的废水、废气、废渣、噪声及其他二次污染物的防治与排放应符合现行的国家环境保护法规和标准要求。</w:t>
      </w:r>
      <w:r>
        <w:rPr>
          <w:rFonts w:hint="eastAsia" w:cs="Times New Roman"/>
          <w:szCs w:val="22"/>
        </w:rPr>
        <w:t>”“6</w:t>
      </w:r>
      <w:r>
        <w:rPr>
          <w:rFonts w:cs="Times New Roman"/>
          <w:szCs w:val="22"/>
        </w:rPr>
        <w:t>.7.1.2</w:t>
      </w:r>
      <w:r>
        <w:rPr>
          <w:rFonts w:hint="eastAsia" w:cs="Times New Roman"/>
          <w:szCs w:val="22"/>
        </w:rPr>
        <w:t>废水焚烧和提盐过程中产生的废气，应经过净化合格后再排放。”</w:t>
      </w:r>
    </w:p>
    <w:p w14:paraId="664D77E4">
      <w:pPr>
        <w:pStyle w:val="117"/>
        <w:ind w:firstLine="480"/>
        <w:rPr>
          <w:rFonts w:cs="Times New Roman"/>
        </w:rPr>
      </w:pPr>
      <w:r>
        <w:rPr>
          <w:rFonts w:hint="eastAsia"/>
        </w:rPr>
        <w:t>根据《工业排污许可证申请与核发</w:t>
      </w:r>
      <w:r>
        <w:rPr>
          <w:rFonts w:cs="Times New Roman"/>
        </w:rPr>
        <w:t>技术规范</w:t>
      </w:r>
      <w:r>
        <w:rPr>
          <w:rFonts w:hint="eastAsia" w:cs="Times New Roman"/>
        </w:rPr>
        <w:t xml:space="preserve"> </w:t>
      </w:r>
      <w:r>
        <w:rPr>
          <w:rFonts w:hint="eastAsia"/>
        </w:rPr>
        <w:t>炼焦化学</w:t>
      </w:r>
      <w:r>
        <w:rPr>
          <w:rFonts w:cs="Times New Roman"/>
        </w:rPr>
        <w:t>》（HJ854-2017）</w:t>
      </w:r>
      <w:r>
        <w:rPr>
          <w:rFonts w:hint="eastAsia" w:cs="Times New Roman"/>
        </w:rPr>
        <w:t>，“半焦</w:t>
      </w:r>
      <w:r>
        <w:rPr>
          <w:rFonts w:cs="Times New Roman"/>
        </w:rPr>
        <w:t>（兰炭）生产废水应采用除</w:t>
      </w:r>
      <w:r>
        <w:rPr>
          <w:rFonts w:hint="eastAsia" w:cs="Times New Roman"/>
        </w:rPr>
        <w:t>油、脱酚、蒸氨处理后方可进入酚氰污水处理系统，或直接返回炭化炉焚烧处理”。炼焦化学采用蒸氨、焚烧处理剩余氨水，为可行技术。</w:t>
      </w:r>
    </w:p>
    <w:p w14:paraId="44FD4F54">
      <w:pPr>
        <w:pStyle w:val="117"/>
        <w:ind w:firstLine="480"/>
        <w:rPr>
          <w:rFonts w:cs="Times New Roman"/>
        </w:rPr>
      </w:pPr>
      <w:r>
        <w:rPr>
          <w:rFonts w:cs="Times New Roman"/>
        </w:rPr>
        <w:t>根据《焦化行业规范条件》第三条第（六）款第</w:t>
      </w:r>
      <w:r>
        <w:rPr>
          <w:rFonts w:hint="eastAsia" w:cs="Times New Roman"/>
        </w:rPr>
        <w:t>2</w:t>
      </w:r>
      <w:r>
        <w:rPr>
          <w:rFonts w:cs="Times New Roman"/>
        </w:rPr>
        <w:t>条要求：半焦（兰炭）企业氨水循环水池、焦油分离池应建在地面以上，配套建设事故储槽（池）及初期雨水收集装置，生产废水处理采用焚烧</w:t>
      </w:r>
      <w:r>
        <w:rPr>
          <w:rFonts w:hint="eastAsia" w:cs="Times New Roman"/>
        </w:rPr>
        <w:t>处理</w:t>
      </w:r>
      <w:r>
        <w:rPr>
          <w:rFonts w:cs="Times New Roman"/>
        </w:rPr>
        <w:t>或其他有效废水处理方法。</w:t>
      </w:r>
    </w:p>
    <w:p w14:paraId="44D919C4">
      <w:pPr>
        <w:pStyle w:val="117"/>
        <w:ind w:firstLine="480"/>
        <w:rPr>
          <w:rFonts w:cs="Times New Roman"/>
        </w:rPr>
      </w:pPr>
      <w:r>
        <w:rPr>
          <w:rFonts w:hint="eastAsia" w:cs="Times New Roman"/>
        </w:rPr>
        <w:t>根据</w:t>
      </w:r>
      <w:r>
        <w:rPr>
          <w:rFonts w:cs="Times New Roman"/>
        </w:rPr>
        <w:t>《清洁生产标准半焦行业》（DB65/T3210-2020）</w:t>
      </w:r>
      <w:r>
        <w:rPr>
          <w:rFonts w:hint="eastAsia" w:cs="Times New Roman"/>
        </w:rPr>
        <w:t>表</w:t>
      </w:r>
      <w:r>
        <w:rPr>
          <w:rFonts w:cs="Times New Roman"/>
        </w:rPr>
        <w:t>1半焦生产工艺与装备指标</w:t>
      </w:r>
      <w:r>
        <w:rPr>
          <w:rFonts w:hint="eastAsia" w:cs="Times New Roman"/>
        </w:rPr>
        <w:t>，</w:t>
      </w:r>
      <w:r>
        <w:rPr>
          <w:rFonts w:cs="Times New Roman"/>
        </w:rPr>
        <w:t>生产废水处理装置建设废水焚烧处理设施，并按照设计规范配套建设事故储槽（池）及初期雨水收集装置，满足了国内清洁生产领先水平一级指标。</w:t>
      </w:r>
    </w:p>
    <w:p w14:paraId="57BE3C48">
      <w:pPr>
        <w:pStyle w:val="117"/>
        <w:ind w:firstLine="480"/>
        <w:rPr>
          <w:b/>
          <w:bCs/>
        </w:rPr>
      </w:pPr>
      <w:r>
        <w:rPr>
          <w:rFonts w:hint="eastAsia"/>
        </w:rPr>
        <w:t>废水焚烧法主要用于高浓度有机废水的处理，其实质是对废水进行高温空气氧化，使有机物转化为无害的</w:t>
      </w:r>
      <w:r>
        <w:t>H</w:t>
      </w:r>
      <w:r>
        <w:rPr>
          <w:vertAlign w:val="subscript"/>
        </w:rPr>
        <w:t>2</w:t>
      </w:r>
      <w:r>
        <w:t>O、CO</w:t>
      </w:r>
      <w:r>
        <w:rPr>
          <w:vertAlign w:val="subscript"/>
        </w:rPr>
        <w:t>2</w:t>
      </w:r>
      <w:r>
        <w:t>等小分子。焚烧法一般用于高浓度有机废水的处理，主要设备为焚烧炉，污染物经焚烧处理后可转化为无害的二氧化碳和水，实际是利用高温进行有机物的深度氧化。含酚废水中除酚外，还含有多种其他高浓度有机污染物、组成复杂，酚的回收困难或不经济时，可考虑采用焚烧法进行高温燃烧氧化，实现无害化。但是由于实际废水组成复杂，焚烧后产生SO</w:t>
      </w:r>
      <w:r>
        <w:rPr>
          <w:vertAlign w:val="subscript"/>
        </w:rPr>
        <w:t>2</w:t>
      </w:r>
      <w:r>
        <w:t>、NOx等污染物，导致二次污染。本项目焚烧炉焚烧的物质为已经除油、脱氮后的废水，</w:t>
      </w:r>
      <w:r>
        <w:rPr>
          <w:rFonts w:hint="eastAsia"/>
        </w:rPr>
        <w:t>已经大大降低了废水中氨氮等有机物浓度，且焚烧炉产生的焚烧烟气经烟气净化设施处理，可消除二次污染。</w:t>
      </w:r>
    </w:p>
    <w:p w14:paraId="381B8C52">
      <w:pPr>
        <w:pStyle w:val="117"/>
        <w:ind w:firstLine="480"/>
      </w:pPr>
      <w:r>
        <w:rPr>
          <w:rFonts w:hint="eastAsia"/>
        </w:rPr>
        <w:t>本项目焚烧炉安装有在线热电偶，时刻监测焚烧炉内温度，当温度低于设定温度值时，</w:t>
      </w:r>
      <w:r>
        <w:t>PLC发出指令，燃烧机将煤气进气阀组开启度加大，进入焚烧炉的煤气随即加大供应量，焚烧炉内燃烧热值持续增加，当炉膛内温度升至设定值时，煤气进气阀组开启度不再增加，随后整个焚烧炉燃烧保持恒定燃烧，炉膛内温度保持恒定设定值。</w:t>
      </w:r>
    </w:p>
    <w:p w14:paraId="13E2EA6D">
      <w:pPr>
        <w:pStyle w:val="117"/>
        <w:ind w:firstLine="480"/>
        <w:rPr>
          <w:rFonts w:cs="Times New Roman"/>
        </w:rPr>
      </w:pPr>
      <w:r>
        <w:rPr>
          <w:rFonts w:hint="eastAsia" w:cs="Times New Roman"/>
        </w:rPr>
        <w:t>综上分析，</w:t>
      </w:r>
      <w:r>
        <w:rPr>
          <w:rFonts w:cs="Times New Roman"/>
        </w:rPr>
        <w:t>本项目采用废水焚烧的方式处理</w:t>
      </w:r>
      <w:r>
        <w:rPr>
          <w:rFonts w:hint="eastAsia" w:cs="Times New Roman"/>
        </w:rPr>
        <w:t>生产</w:t>
      </w:r>
      <w:r>
        <w:rPr>
          <w:rFonts w:cs="Times New Roman"/>
        </w:rPr>
        <w:t>废水</w:t>
      </w:r>
      <w:r>
        <w:rPr>
          <w:rFonts w:hint="eastAsia" w:cs="Times New Roman"/>
        </w:rPr>
        <w:t>是可行的</w:t>
      </w:r>
      <w:r>
        <w:rPr>
          <w:rFonts w:cs="Times New Roman"/>
        </w:rPr>
        <w:t>。</w:t>
      </w:r>
    </w:p>
    <w:p w14:paraId="034819C3">
      <w:pPr>
        <w:pStyle w:val="944"/>
      </w:pPr>
      <w:r>
        <w:rPr>
          <w:rFonts w:hint="eastAsia"/>
        </w:rPr>
        <w:t>清净下水</w:t>
      </w:r>
    </w:p>
    <w:p w14:paraId="0011103B">
      <w:pPr>
        <w:pStyle w:val="117"/>
        <w:ind w:firstLine="480"/>
      </w:pPr>
      <w:r>
        <w:rPr>
          <w:rFonts w:hint="eastAsia"/>
        </w:rPr>
        <w:t>厂区冷却系统排污水、软水制备系统浓水为清净下水，主要污染物为盐类，采用石英砂过滤器过滤后，用于煤场、贮焦场洒水抑尘，不外排。</w:t>
      </w:r>
    </w:p>
    <w:p w14:paraId="29A8585E">
      <w:pPr>
        <w:pStyle w:val="944"/>
      </w:pPr>
      <w:r>
        <w:rPr>
          <w:rFonts w:hint="eastAsia"/>
        </w:rPr>
        <w:t>生活污水</w:t>
      </w:r>
    </w:p>
    <w:p w14:paraId="3A52C9B6">
      <w:pPr>
        <w:pStyle w:val="117"/>
        <w:ind w:firstLine="480"/>
      </w:pPr>
      <w:r>
        <w:rPr>
          <w:rFonts w:hint="eastAsia"/>
        </w:rPr>
        <w:t>生活污水经现有生活污水处理站处理后，达到《城市污水再生利用 城市杂用水水质》（GB/T18920-2020）“绿化用水”标准后，部分用于绿化、煤场和贮焦场洒水抑尘，部分排至园区污水处理厂。</w:t>
      </w:r>
    </w:p>
    <w:p w14:paraId="15112380">
      <w:pPr>
        <w:pStyle w:val="117"/>
        <w:ind w:firstLine="480"/>
      </w:pPr>
      <w:r>
        <w:rPr>
          <w:rFonts w:hint="eastAsia"/>
        </w:rPr>
        <w:t>生活污水处理站设计处理规模</w:t>
      </w:r>
      <w:r>
        <w:t>220m</w:t>
      </w:r>
      <w:r>
        <w:rPr>
          <w:vertAlign w:val="superscript"/>
        </w:rPr>
        <w:t>3</w:t>
      </w:r>
      <w:r>
        <w:t>/d</w:t>
      </w:r>
      <w:r>
        <w:rPr>
          <w:rFonts w:hint="eastAsia"/>
        </w:rPr>
        <w:t>，现状处理量最大为140</w:t>
      </w:r>
      <w:r>
        <w:t>m</w:t>
      </w:r>
      <w:r>
        <w:rPr>
          <w:vertAlign w:val="superscript"/>
        </w:rPr>
        <w:t>3</w:t>
      </w:r>
      <w:r>
        <w:t>/d</w:t>
      </w:r>
      <w:r>
        <w:rPr>
          <w:rFonts w:hint="eastAsia"/>
        </w:rPr>
        <w:t>，剩余处理能力可满足本次技改后新增人员生活污水处理需求。生活污水处理站采用二级生化处理工艺：污水先进入厌氧消化池进行厌氧消化后，通过厌氧生物滤池至接触氧化池进行氧化分解，最后通过消毒池处理后用于厂区绿化或煤场、贮焦场洒水抑尘。生活污水处理工艺见图</w:t>
      </w:r>
      <w:r>
        <w:t>6.</w:t>
      </w:r>
      <w:r>
        <w:rPr>
          <w:rFonts w:hint="eastAsia"/>
        </w:rPr>
        <w:t>3</w:t>
      </w:r>
      <w:r>
        <w:t>-2</w:t>
      </w:r>
      <w:r>
        <w:rPr>
          <w:rFonts w:hint="eastAsia"/>
        </w:rPr>
        <w:t>。</w:t>
      </w:r>
    </w:p>
    <w:p w14:paraId="5EDE0B7C">
      <w:pPr>
        <w:pStyle w:val="133"/>
      </w:pPr>
    </w:p>
    <w:p w14:paraId="076B7E13">
      <w:pPr>
        <w:pStyle w:val="138"/>
        <w:rPr>
          <w:rFonts w:hint="eastAsia"/>
        </w:rPr>
      </w:pPr>
      <w:bookmarkStart w:id="604" w:name="_Toc7470"/>
      <w:r>
        <w:rPr>
          <w:rFonts w:hint="eastAsia"/>
        </w:rPr>
        <w:t>地下水污染防治措施</w:t>
      </w:r>
      <w:bookmarkEnd w:id="604"/>
    </w:p>
    <w:p w14:paraId="41D05334">
      <w:pPr>
        <w:pStyle w:val="117"/>
        <w:ind w:firstLine="480"/>
      </w:pPr>
      <w:r>
        <w:rPr>
          <w:rFonts w:hint="eastAsia"/>
        </w:rPr>
        <w:t>防渗处理是防止地下水污染的重要环保保护措施，也是杜绝地下水污染的最后一道防线。本次评价参考</w:t>
      </w:r>
      <w:r>
        <w:t>《危险废物贮存污染控制标准》（GB18597-2023）</w:t>
      </w:r>
      <w:r>
        <w:rPr>
          <w:rFonts w:hint="eastAsia"/>
        </w:rPr>
        <w:t>及有关地下水污染防治的资料，依据项目区域水文地质情况及项目特点，对项目的防渗措施的合理性进行简单的分析。</w:t>
      </w:r>
    </w:p>
    <w:p w14:paraId="7014C37C">
      <w:pPr>
        <w:pStyle w:val="5"/>
      </w:pPr>
      <w:r>
        <w:rPr>
          <w:rFonts w:hint="eastAsia"/>
        </w:rPr>
        <w:t>地下水防治分区</w:t>
      </w:r>
    </w:p>
    <w:p w14:paraId="679C64D4">
      <w:pPr>
        <w:pStyle w:val="117"/>
        <w:ind w:firstLine="480"/>
      </w:pPr>
      <w:r>
        <w:rPr>
          <w:rFonts w:hint="eastAsia"/>
        </w:rPr>
        <w:t>本项目厂区应划分为重点污染防治区、一般污染防治区和非污染防治区。</w:t>
      </w:r>
    </w:p>
    <w:p w14:paraId="75D511B9">
      <w:pPr>
        <w:pStyle w:val="117"/>
        <w:ind w:firstLine="480"/>
      </w:pPr>
      <w:r>
        <w:rPr>
          <w:rFonts w:hint="eastAsia"/>
        </w:rPr>
        <w:t>一般情况下，应以水平防渗为主，防控措施应满足以下要求：</w:t>
      </w:r>
    </w:p>
    <w:p w14:paraId="0A15D7F4">
      <w:pPr>
        <w:pStyle w:val="117"/>
        <w:ind w:firstLine="480"/>
      </w:pPr>
      <w:r>
        <w:rPr>
          <w:rFonts w:hint="eastAsia"/>
        </w:rPr>
        <w:t>a）已颁布污染控制国家标准或防渗技术规范的行业，水平防渗技术要求按照相应标准或规范执行，如GB16889、GB18597、GB18598、GB18599、GB/T50934等；</w:t>
      </w:r>
    </w:p>
    <w:p w14:paraId="030A54EE">
      <w:pPr>
        <w:pStyle w:val="117"/>
        <w:ind w:firstLine="480"/>
      </w:pPr>
      <w:r>
        <w:rPr>
          <w:rFonts w:hint="eastAsia"/>
        </w:rPr>
        <w:t>b）未颁布相关标准的行业，根据预测结果和场地包气带特征及其防污性能，提出防渗技术要求；或根据建设项目场地天然包气带防污性能、污染控制难易程度和污染物特性，参照表</w:t>
      </w:r>
      <w:r>
        <w:t>5.3-1</w:t>
      </w:r>
      <w:r>
        <w:rPr>
          <w:rFonts w:hint="eastAsia"/>
        </w:rPr>
        <w:t>提出防渗技术要求。</w:t>
      </w:r>
    </w:p>
    <w:p w14:paraId="3E68E529">
      <w:pPr>
        <w:pStyle w:val="117"/>
        <w:ind w:firstLine="480"/>
      </w:pPr>
      <w:r>
        <w:rPr>
          <w:rFonts w:hint="eastAsia"/>
        </w:rPr>
        <w:t>据此划定本项目地下水防治分区见表6.3-1和图6.3-3。</w:t>
      </w:r>
    </w:p>
    <w:p w14:paraId="592C204D">
      <w:pPr>
        <w:pStyle w:val="118"/>
        <w:rPr>
          <w:rStyle w:val="124"/>
          <w:b/>
          <w:color w:val="auto"/>
          <w:szCs w:val="28"/>
        </w:rPr>
      </w:pPr>
      <w:r>
        <w:rPr>
          <w:rStyle w:val="124"/>
          <w:rFonts w:hint="eastAsia"/>
          <w:b/>
          <w:color w:val="auto"/>
          <w:szCs w:val="28"/>
        </w:rPr>
        <w:t>表6.3-3  地下水防治分区一览表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272"/>
        <w:gridCol w:w="3571"/>
        <w:gridCol w:w="2679"/>
      </w:tblGrid>
      <w:tr w14:paraId="4932CB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3" w:type="pct"/>
            <w:vAlign w:val="center"/>
          </w:tcPr>
          <w:p w14:paraId="0CE0029E">
            <w:pPr>
              <w:pStyle w:val="133"/>
              <w:rPr>
                <w:b/>
                <w:bCs/>
              </w:rPr>
            </w:pPr>
            <w:bookmarkStart w:id="605" w:name="OLE_LINK10"/>
            <w:r>
              <w:rPr>
                <w:rFonts w:hint="eastAsia"/>
                <w:b/>
                <w:bCs/>
              </w:rPr>
              <w:t>分区</w:t>
            </w:r>
          </w:p>
        </w:tc>
        <w:tc>
          <w:tcPr>
            <w:tcW w:w="2095" w:type="pct"/>
            <w:vAlign w:val="center"/>
          </w:tcPr>
          <w:p w14:paraId="08D1164F">
            <w:pPr>
              <w:pStyle w:val="133"/>
              <w:rPr>
                <w:b/>
                <w:bCs/>
              </w:rPr>
            </w:pPr>
            <w:r>
              <w:rPr>
                <w:rFonts w:hint="eastAsia"/>
                <w:b/>
                <w:bCs/>
              </w:rPr>
              <w:t>定义</w:t>
            </w:r>
          </w:p>
        </w:tc>
        <w:tc>
          <w:tcPr>
            <w:tcW w:w="1572" w:type="pct"/>
            <w:vAlign w:val="center"/>
          </w:tcPr>
          <w:p w14:paraId="58517CEF">
            <w:pPr>
              <w:pStyle w:val="133"/>
              <w:rPr>
                <w:b/>
                <w:bCs/>
              </w:rPr>
            </w:pPr>
            <w:r>
              <w:rPr>
                <w:rFonts w:hint="eastAsia"/>
                <w:b/>
                <w:bCs/>
              </w:rPr>
              <w:t>厂内分区</w:t>
            </w:r>
          </w:p>
        </w:tc>
      </w:tr>
      <w:tr w14:paraId="1082DE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3" w:type="pct"/>
            <w:vAlign w:val="center"/>
          </w:tcPr>
          <w:p w14:paraId="3CB2A59B">
            <w:pPr>
              <w:pStyle w:val="133"/>
            </w:pPr>
            <w:r>
              <w:rPr>
                <w:rFonts w:hint="eastAsia"/>
              </w:rPr>
              <w:t>非污染防治区</w:t>
            </w:r>
          </w:p>
        </w:tc>
        <w:tc>
          <w:tcPr>
            <w:tcW w:w="2095" w:type="pct"/>
            <w:vAlign w:val="center"/>
          </w:tcPr>
          <w:p w14:paraId="2C880E11">
            <w:pPr>
              <w:pStyle w:val="133"/>
            </w:pPr>
            <w:r>
              <w:rPr>
                <w:rFonts w:hint="eastAsia"/>
              </w:rPr>
              <w:t>一般和重点污染防治区以外的区域或部位。</w:t>
            </w:r>
          </w:p>
        </w:tc>
        <w:tc>
          <w:tcPr>
            <w:tcW w:w="1572" w:type="pct"/>
            <w:vAlign w:val="center"/>
          </w:tcPr>
          <w:p w14:paraId="7A906515">
            <w:pPr>
              <w:pStyle w:val="133"/>
            </w:pPr>
            <w:r>
              <w:rPr>
                <w:rFonts w:hint="eastAsia"/>
              </w:rPr>
              <w:t>综合楼、员工食堂、员工宿舍、变电站</w:t>
            </w:r>
          </w:p>
        </w:tc>
      </w:tr>
      <w:tr w14:paraId="34ADB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3" w:type="pct"/>
            <w:vAlign w:val="center"/>
          </w:tcPr>
          <w:p w14:paraId="07A64D7A">
            <w:pPr>
              <w:pStyle w:val="133"/>
            </w:pPr>
            <w:r>
              <w:rPr>
                <w:rFonts w:hint="eastAsia"/>
              </w:rPr>
              <w:t>一般污染防治区</w:t>
            </w:r>
          </w:p>
        </w:tc>
        <w:tc>
          <w:tcPr>
            <w:tcW w:w="2095" w:type="pct"/>
            <w:vAlign w:val="center"/>
          </w:tcPr>
          <w:p w14:paraId="11F6E9A3">
            <w:pPr>
              <w:pStyle w:val="133"/>
            </w:pPr>
            <w:r>
              <w:rPr>
                <w:rFonts w:hint="eastAsia"/>
              </w:rPr>
              <w:t>对地下水环境有污染的物料或污染物泄漏后，可及时发现和处理的区域或部位，主要包括架空设备、容器、管道、地面、明沟等。</w:t>
            </w:r>
          </w:p>
        </w:tc>
        <w:tc>
          <w:tcPr>
            <w:tcW w:w="1572" w:type="pct"/>
            <w:vAlign w:val="center"/>
          </w:tcPr>
          <w:p w14:paraId="486DBB0D">
            <w:pPr>
              <w:pStyle w:val="133"/>
            </w:pPr>
            <w:r>
              <w:rPr>
                <w:rFonts w:hint="eastAsia"/>
              </w:rPr>
              <w:t>辅料库房、辅料堆场、循环水池、还原车间、机修车间、硅铁冶炼车间、制罐车间、成品库</w:t>
            </w:r>
          </w:p>
        </w:tc>
      </w:tr>
      <w:tr w14:paraId="2EBED9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333" w:type="pct"/>
            <w:vAlign w:val="center"/>
          </w:tcPr>
          <w:p w14:paraId="07F8B560">
            <w:pPr>
              <w:pStyle w:val="133"/>
            </w:pPr>
            <w:r>
              <w:rPr>
                <w:rFonts w:hint="eastAsia"/>
              </w:rPr>
              <w:t>重点污染防治区</w:t>
            </w:r>
          </w:p>
        </w:tc>
        <w:tc>
          <w:tcPr>
            <w:tcW w:w="2095" w:type="pct"/>
            <w:vAlign w:val="center"/>
          </w:tcPr>
          <w:p w14:paraId="6B52E343">
            <w:pPr>
              <w:pStyle w:val="133"/>
            </w:pPr>
            <w:r>
              <w:rPr>
                <w:rFonts w:hint="eastAsia"/>
              </w:rPr>
              <w:t>对地下水环境有污染的物料或污染物泄漏后，不能及时发现和处理的区域或部位，主要包括地下管道、地下容器（储罐）、（半）地下污水池、油品储罐的环墙式罐基础等。</w:t>
            </w:r>
          </w:p>
        </w:tc>
        <w:tc>
          <w:tcPr>
            <w:tcW w:w="1572" w:type="pct"/>
            <w:vAlign w:val="center"/>
          </w:tcPr>
          <w:p w14:paraId="65E574CD">
            <w:pPr>
              <w:pStyle w:val="133"/>
            </w:pPr>
            <w:r>
              <w:rPr>
                <w:rFonts w:hint="eastAsia"/>
              </w:rPr>
              <w:t>危险废物暂存间、焦油罐区、生产废水预处理设施、事故池</w:t>
            </w:r>
          </w:p>
        </w:tc>
      </w:tr>
      <w:bookmarkEnd w:id="605"/>
    </w:tbl>
    <w:p w14:paraId="6AA07077">
      <w:pPr>
        <w:pStyle w:val="133"/>
      </w:pPr>
    </w:p>
    <w:p w14:paraId="08295FF7">
      <w:pPr>
        <w:pStyle w:val="133"/>
        <w:jc w:val="both"/>
      </w:pPr>
    </w:p>
    <w:p w14:paraId="36534778">
      <w:pPr>
        <w:pStyle w:val="38"/>
        <w:ind w:firstLine="480"/>
        <w:sectPr>
          <w:pgSz w:w="11906" w:h="16838"/>
          <w:pgMar w:top="1440" w:right="1800" w:bottom="1440" w:left="1800" w:header="851" w:footer="992" w:gutter="0"/>
          <w:cols w:space="425" w:num="1"/>
          <w:docGrid w:type="lines" w:linePitch="326" w:charSpace="0"/>
        </w:sectPr>
      </w:pPr>
    </w:p>
    <w:p w14:paraId="33E99E09">
      <w:pPr>
        <w:pStyle w:val="944"/>
        <w:rPr>
          <w:spacing w:val="8"/>
          <w:lang w:val="sq-AL"/>
        </w:rPr>
      </w:pPr>
      <w:r>
        <w:rPr>
          <w:rFonts w:hint="eastAsia"/>
        </w:rPr>
        <w:t>地下水环境监测与管理</w:t>
      </w:r>
    </w:p>
    <w:p w14:paraId="24609823">
      <w:pPr>
        <w:pStyle w:val="117"/>
        <w:ind w:firstLine="480"/>
      </w:pPr>
      <w:r>
        <w:t>根据《环境影响评价技术导则</w:t>
      </w:r>
      <w:r>
        <w:rPr>
          <w:rFonts w:hint="eastAsia"/>
        </w:rPr>
        <w:t xml:space="preserve"> </w:t>
      </w:r>
      <w:r>
        <w:t>地下水环境》（HJ610-2016），本项目需要制定地下水污染监控措施：</w:t>
      </w:r>
    </w:p>
    <w:p w14:paraId="28B93A87">
      <w:pPr>
        <w:pStyle w:val="117"/>
        <w:ind w:firstLine="480"/>
      </w:pPr>
      <w:r>
        <mc:AlternateContent>
          <mc:Choice Requires="wps">
            <w:drawing>
              <wp:anchor distT="0" distB="0" distL="114300" distR="114300" simplePos="0" relativeHeight="251670528" behindDoc="0" locked="0" layoutInCell="1" allowOverlap="1">
                <wp:simplePos x="0" y="0"/>
                <wp:positionH relativeFrom="column">
                  <wp:posOffset>6797675</wp:posOffset>
                </wp:positionH>
                <wp:positionV relativeFrom="paragraph">
                  <wp:posOffset>433705</wp:posOffset>
                </wp:positionV>
                <wp:extent cx="857250" cy="1258570"/>
                <wp:effectExtent l="4445" t="4445" r="14605" b="13335"/>
                <wp:wrapNone/>
                <wp:docPr id="1174" name="AutoShape 3572"/>
                <wp:cNvGraphicFramePr/>
                <a:graphic xmlns:a="http://schemas.openxmlformats.org/drawingml/2006/main">
                  <a:graphicData uri="http://schemas.microsoft.com/office/word/2010/wordprocessingShape">
                    <wps:wsp>
                      <wps:cNvSpPr/>
                      <wps:spPr>
                        <a:xfrm>
                          <a:off x="0" y="0"/>
                          <a:ext cx="857250" cy="1258570"/>
                        </a:xfrm>
                        <a:prstGeom prst="flowChartProcess">
                          <a:avLst/>
                        </a:prstGeom>
                        <a:solidFill>
                          <a:srgbClr val="FFFF00">
                            <a:alpha val="6000"/>
                          </a:srgbClr>
                        </a:solidFill>
                        <a:ln w="9525" cap="flat" cmpd="sng">
                          <a:solidFill>
                            <a:srgbClr val="00B050"/>
                          </a:solidFill>
                          <a:prstDash val="solid"/>
                          <a:miter/>
                          <a:headEnd type="none" w="med" len="med"/>
                          <a:tailEnd type="none" w="med" len="med"/>
                        </a:ln>
                        <a:effectLst/>
                      </wps:spPr>
                      <wps:bodyPr/>
                    </wps:wsp>
                  </a:graphicData>
                </a:graphic>
              </wp:anchor>
            </w:drawing>
          </mc:Choice>
          <mc:Fallback>
            <w:pict>
              <v:shape id="AutoShape 3572" o:spid="_x0000_s1026" o:spt="109" type="#_x0000_t109" style="position:absolute;left:0pt;margin-left:535.25pt;margin-top:34.15pt;height:99.1pt;width:67.5pt;z-index:251670528;mso-width-relative:page;mso-height-relative:page;" fillcolor="#FFFF00" filled="t" stroked="t" coordsize="21600,21600" o:gfxdata="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fIVW2gAAAAwBAAAPAAAAAAAAAAEA&#10;IAAAACIAAABkcnMvZG93bnJldi54bWxQSwECFAAUAAAACACHTuJAnLjhXA0CAABVBAAADgAAAAAA&#10;AAABACAAAAApAQAAZHJzL2Uyb0RvYy54bWxQSwUGAAAAAAYABgBZAQAAqAUAAAAA&#10;">
                <v:fill on="t" opacity="3932f" focussize="0,0"/>
                <v:stroke color="#00B050" joinstyle="miter"/>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6645275</wp:posOffset>
                </wp:positionH>
                <wp:positionV relativeFrom="paragraph">
                  <wp:posOffset>281305</wp:posOffset>
                </wp:positionV>
                <wp:extent cx="857250" cy="1258570"/>
                <wp:effectExtent l="4445" t="4445" r="14605" b="13335"/>
                <wp:wrapNone/>
                <wp:docPr id="1175" name="AutoShape 3571"/>
                <wp:cNvGraphicFramePr/>
                <a:graphic xmlns:a="http://schemas.openxmlformats.org/drawingml/2006/main">
                  <a:graphicData uri="http://schemas.microsoft.com/office/word/2010/wordprocessingShape">
                    <wps:wsp>
                      <wps:cNvSpPr/>
                      <wps:spPr>
                        <a:xfrm>
                          <a:off x="0" y="0"/>
                          <a:ext cx="857250" cy="1258570"/>
                        </a:xfrm>
                        <a:prstGeom prst="flowChartProcess">
                          <a:avLst/>
                        </a:prstGeom>
                        <a:solidFill>
                          <a:srgbClr val="FFFF00">
                            <a:alpha val="6000"/>
                          </a:srgbClr>
                        </a:solidFill>
                        <a:ln w="9525" cap="flat" cmpd="sng">
                          <a:solidFill>
                            <a:srgbClr val="00B050"/>
                          </a:solidFill>
                          <a:prstDash val="solid"/>
                          <a:miter/>
                          <a:headEnd type="none" w="med" len="med"/>
                          <a:tailEnd type="none" w="med" len="med"/>
                        </a:ln>
                        <a:effectLst/>
                      </wps:spPr>
                      <wps:bodyPr/>
                    </wps:wsp>
                  </a:graphicData>
                </a:graphic>
              </wp:anchor>
            </w:drawing>
          </mc:Choice>
          <mc:Fallback>
            <w:pict>
              <v:shape id="AutoShape 3571" o:spid="_x0000_s1026" o:spt="109" type="#_x0000_t109" style="position:absolute;left:0pt;margin-left:523.25pt;margin-top:22.15pt;height:99.1pt;width:67.5pt;z-index:251671552;mso-width-relative:page;mso-height-relative:page;" fillcolor="#FFFF00" filled="t" stroked="t" coordsize="21600,21600" o:gfxdata="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vhl8X3AAAAAwBAAAPAAAAAAAA&#10;AAEAIAAAACIAAABkcnMvZG93bnJldi54bWxQSwECFAAUAAAACACHTuJAr2JS4g4CAABVBAAADgAA&#10;AAAAAAABACAAAAArAQAAZHJzL2Uyb0RvYy54bWxQSwUGAAAAAAYABgBZAQAAqwUAAAAA&#10;">
                <v:fill on="t" opacity="3932f" focussize="0,0"/>
                <v:stroke color="#00B050"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6492875</wp:posOffset>
                </wp:positionH>
                <wp:positionV relativeFrom="paragraph">
                  <wp:posOffset>128905</wp:posOffset>
                </wp:positionV>
                <wp:extent cx="857250" cy="1258570"/>
                <wp:effectExtent l="4445" t="4445" r="14605" b="13335"/>
                <wp:wrapNone/>
                <wp:docPr id="1176" name="AutoShape 3570"/>
                <wp:cNvGraphicFramePr/>
                <a:graphic xmlns:a="http://schemas.openxmlformats.org/drawingml/2006/main">
                  <a:graphicData uri="http://schemas.microsoft.com/office/word/2010/wordprocessingShape">
                    <wps:wsp>
                      <wps:cNvSpPr/>
                      <wps:spPr>
                        <a:xfrm>
                          <a:off x="0" y="0"/>
                          <a:ext cx="857250" cy="1258570"/>
                        </a:xfrm>
                        <a:prstGeom prst="flowChartProcess">
                          <a:avLst/>
                        </a:prstGeom>
                        <a:solidFill>
                          <a:srgbClr val="FFFF00">
                            <a:alpha val="6000"/>
                          </a:srgbClr>
                        </a:solidFill>
                        <a:ln w="9525" cap="flat" cmpd="sng">
                          <a:solidFill>
                            <a:srgbClr val="00B050"/>
                          </a:solidFill>
                          <a:prstDash val="solid"/>
                          <a:miter/>
                          <a:headEnd type="none" w="med" len="med"/>
                          <a:tailEnd type="none" w="med" len="med"/>
                        </a:ln>
                        <a:effectLst/>
                      </wps:spPr>
                      <wps:bodyPr/>
                    </wps:wsp>
                  </a:graphicData>
                </a:graphic>
              </wp:anchor>
            </w:drawing>
          </mc:Choice>
          <mc:Fallback>
            <w:pict>
              <v:shape id="AutoShape 3570" o:spid="_x0000_s1026" o:spt="109" type="#_x0000_t109" style="position:absolute;left:0pt;margin-left:511.25pt;margin-top:10.15pt;height:99.1pt;width:67.5pt;z-index:251672576;mso-width-relative:page;mso-height-relative:page;" fillcolor="#FFFF00" filled="t" stroked="t" coordsize="21600,21600" o:gfxdata="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wIgO7aAAAADAEAAA8AAAAAAAAAAQAg&#10;AAAAIgAAAGRycy9kb3ducmV2LnhtbFBLAQIUABQAAAAIAIdO4kAIuvLdDAIAAFUEAAAOAAAAAAAA&#10;AAEAIAAAACkBAABkcnMvZTJvRG9jLnhtbFBLBQYAAAAABgAGAFkBAACnBQAAAAA=&#10;">
                <v:fill on="t" opacity="3932f" focussize="0,0"/>
                <v:stroke color="#00B050" joinstyle="miter"/>
                <v:imagedata o:title=""/>
                <o:lock v:ext="edit" aspectratio="f"/>
              </v:shape>
            </w:pict>
          </mc:Fallback>
        </mc:AlternateContent>
      </w:r>
      <w:r>
        <w:t>（1）地下水监测计划</w:t>
      </w:r>
    </w:p>
    <w:p w14:paraId="65070F47">
      <w:pPr>
        <w:pStyle w:val="117"/>
        <w:ind w:firstLine="480"/>
      </w:pPr>
      <w:r>
        <mc:AlternateContent>
          <mc:Choice Requires="wps">
            <w:drawing>
              <wp:anchor distT="0" distB="0" distL="114300" distR="114300" simplePos="0" relativeHeight="251673600" behindDoc="0" locked="0" layoutInCell="1" allowOverlap="1">
                <wp:simplePos x="0" y="0"/>
                <wp:positionH relativeFrom="column">
                  <wp:posOffset>7407275</wp:posOffset>
                </wp:positionH>
                <wp:positionV relativeFrom="paragraph">
                  <wp:posOffset>732790</wp:posOffset>
                </wp:positionV>
                <wp:extent cx="857250" cy="1258570"/>
                <wp:effectExtent l="4445" t="4445" r="14605" b="13335"/>
                <wp:wrapNone/>
                <wp:docPr id="1177" name="AutoShape 3576"/>
                <wp:cNvGraphicFramePr/>
                <a:graphic xmlns:a="http://schemas.openxmlformats.org/drawingml/2006/main">
                  <a:graphicData uri="http://schemas.microsoft.com/office/word/2010/wordprocessingShape">
                    <wps:wsp>
                      <wps:cNvSpPr/>
                      <wps:spPr>
                        <a:xfrm>
                          <a:off x="0" y="0"/>
                          <a:ext cx="857250" cy="1258569"/>
                        </a:xfrm>
                        <a:prstGeom prst="flowChartProcess">
                          <a:avLst/>
                        </a:prstGeom>
                        <a:solidFill>
                          <a:srgbClr val="FFFF00">
                            <a:alpha val="6000"/>
                          </a:srgbClr>
                        </a:solidFill>
                        <a:ln w="9525" cap="flat" cmpd="sng">
                          <a:solidFill>
                            <a:srgbClr val="00B050"/>
                          </a:solidFill>
                          <a:prstDash val="solid"/>
                          <a:miter/>
                          <a:headEnd type="none" w="med" len="med"/>
                          <a:tailEnd type="none" w="med" len="med"/>
                        </a:ln>
                        <a:effectLst/>
                      </wps:spPr>
                      <wps:bodyPr/>
                    </wps:wsp>
                  </a:graphicData>
                </a:graphic>
              </wp:anchor>
            </w:drawing>
          </mc:Choice>
          <mc:Fallback>
            <w:pict>
              <v:shape id="AutoShape 3576" o:spid="_x0000_s1026" o:spt="109" type="#_x0000_t109" style="position:absolute;left:0pt;margin-left:583.25pt;margin-top:57.7pt;height:99.1pt;width:67.5pt;z-index:251673600;mso-width-relative:page;mso-height-relative:page;" fillcolor="#FFFF00" filled="t" stroked="t" coordsize="21600,21600" o:gfxdata="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0vTjbAAAADQEAAA8AAAAAAAAA&#10;AQAgAAAAIgAAAGRycy9kb3ducmV2LnhtbFBLAQIUABQAAAAIAIdO4kB/C/b0DgIAAFUEAAAOAAAA&#10;AAAAAAEAIAAAACoBAABkcnMvZTJvRG9jLnhtbFBLBQYAAAAABgAGAFkBAACqBQAAAAA=&#10;">
                <v:fill on="t" opacity="3932f" focussize="0,0"/>
                <v:stroke color="#00B050"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7254875</wp:posOffset>
                </wp:positionH>
                <wp:positionV relativeFrom="paragraph">
                  <wp:posOffset>580390</wp:posOffset>
                </wp:positionV>
                <wp:extent cx="857250" cy="1258570"/>
                <wp:effectExtent l="4445" t="4445" r="14605" b="13335"/>
                <wp:wrapNone/>
                <wp:docPr id="1178" name="AutoShape 3575"/>
                <wp:cNvGraphicFramePr/>
                <a:graphic xmlns:a="http://schemas.openxmlformats.org/drawingml/2006/main">
                  <a:graphicData uri="http://schemas.microsoft.com/office/word/2010/wordprocessingShape">
                    <wps:wsp>
                      <wps:cNvSpPr/>
                      <wps:spPr>
                        <a:xfrm>
                          <a:off x="0" y="0"/>
                          <a:ext cx="857250" cy="1258570"/>
                        </a:xfrm>
                        <a:prstGeom prst="flowChartProcess">
                          <a:avLst/>
                        </a:prstGeom>
                        <a:solidFill>
                          <a:srgbClr val="FFFF00">
                            <a:alpha val="6000"/>
                          </a:srgbClr>
                        </a:solidFill>
                        <a:ln w="9525" cap="flat" cmpd="sng">
                          <a:solidFill>
                            <a:srgbClr val="00B050"/>
                          </a:solidFill>
                          <a:prstDash val="solid"/>
                          <a:miter/>
                          <a:headEnd type="none" w="med" len="med"/>
                          <a:tailEnd type="none" w="med" len="med"/>
                        </a:ln>
                        <a:effectLst/>
                      </wps:spPr>
                      <wps:bodyPr/>
                    </wps:wsp>
                  </a:graphicData>
                </a:graphic>
              </wp:anchor>
            </w:drawing>
          </mc:Choice>
          <mc:Fallback>
            <w:pict>
              <v:shape id="AutoShape 3575" o:spid="_x0000_s1026" o:spt="109" type="#_x0000_t109" style="position:absolute;left:0pt;margin-left:571.25pt;margin-top:45.7pt;height:99.1pt;width:67.5pt;z-index:251674624;mso-width-relative:page;mso-height-relative:page;" fillcolor="#FFFF00" filled="t" stroked="t" coordsize="21600,21600" o:gfxdata="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QpLz3AAAAAwBAAAPAAAAAAAA&#10;AAEAIAAAACIAAABkcnMvZG93bnJldi54bWxQSwECFAAUAAAACACHTuJA5S/9zg4CAABVBAAADgAA&#10;AAAAAAABACAAAAArAQAAZHJzL2Uyb0RvYy54bWxQSwUGAAAAAAYABgBZAQAAqwUAAAAA&#10;">
                <v:fill on="t" opacity="3932f" focussize="0,0"/>
                <v:stroke color="#00B050"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7102475</wp:posOffset>
                </wp:positionH>
                <wp:positionV relativeFrom="paragraph">
                  <wp:posOffset>427990</wp:posOffset>
                </wp:positionV>
                <wp:extent cx="857250" cy="1258570"/>
                <wp:effectExtent l="4445" t="4445" r="14605" b="13335"/>
                <wp:wrapNone/>
                <wp:docPr id="1179" name="AutoShape 3574"/>
                <wp:cNvGraphicFramePr/>
                <a:graphic xmlns:a="http://schemas.openxmlformats.org/drawingml/2006/main">
                  <a:graphicData uri="http://schemas.microsoft.com/office/word/2010/wordprocessingShape">
                    <wps:wsp>
                      <wps:cNvSpPr/>
                      <wps:spPr>
                        <a:xfrm>
                          <a:off x="0" y="0"/>
                          <a:ext cx="857250" cy="1258570"/>
                        </a:xfrm>
                        <a:prstGeom prst="flowChartProcess">
                          <a:avLst/>
                        </a:prstGeom>
                        <a:solidFill>
                          <a:srgbClr val="FFFF00">
                            <a:alpha val="6000"/>
                          </a:srgbClr>
                        </a:solidFill>
                        <a:ln w="9525" cap="flat" cmpd="sng">
                          <a:solidFill>
                            <a:srgbClr val="00B050"/>
                          </a:solidFill>
                          <a:prstDash val="solid"/>
                          <a:miter/>
                          <a:headEnd type="none" w="med" len="med"/>
                          <a:tailEnd type="none" w="med" len="med"/>
                        </a:ln>
                        <a:effectLst/>
                      </wps:spPr>
                      <wps:bodyPr/>
                    </wps:wsp>
                  </a:graphicData>
                </a:graphic>
              </wp:anchor>
            </w:drawing>
          </mc:Choice>
          <mc:Fallback>
            <w:pict>
              <v:shape id="AutoShape 3574" o:spid="_x0000_s1026" o:spt="109" type="#_x0000_t109" style="position:absolute;left:0pt;margin-left:559.25pt;margin-top:33.7pt;height:99.1pt;width:67.5pt;z-index:251675648;mso-width-relative:page;mso-height-relative:page;" fillcolor="#FFFF00" filled="t" stroked="t" coordsize="21600,21600" o:gfxdata="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hGPE2wAAAAwBAAAPAAAAAAAA&#10;AAEAIAAAACIAAABkcnMvZG93bnJldi54bWxQSwECFAAUAAAACACHTuJAr650jg8CAABVBAAADgAA&#10;AAAAAAABACAAAAAqAQAAZHJzL2Uyb0RvYy54bWxQSwUGAAAAAAYABgBZAQAAqwUAAAAA&#10;">
                <v:fill on="t" opacity="3932f" focussize="0,0"/>
                <v:stroke color="#00B050" joinstyle="miter"/>
                <v:imagedata o:title=""/>
                <o:lock v:ext="edit" aspectratio="f"/>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6950075</wp:posOffset>
                </wp:positionH>
                <wp:positionV relativeFrom="paragraph">
                  <wp:posOffset>275590</wp:posOffset>
                </wp:positionV>
                <wp:extent cx="857250" cy="1258570"/>
                <wp:effectExtent l="4445" t="4445" r="14605" b="13335"/>
                <wp:wrapNone/>
                <wp:docPr id="1180" name="AutoShape 3573"/>
                <wp:cNvGraphicFramePr/>
                <a:graphic xmlns:a="http://schemas.openxmlformats.org/drawingml/2006/main">
                  <a:graphicData uri="http://schemas.microsoft.com/office/word/2010/wordprocessingShape">
                    <wps:wsp>
                      <wps:cNvSpPr/>
                      <wps:spPr>
                        <a:xfrm>
                          <a:off x="0" y="0"/>
                          <a:ext cx="857250" cy="1258570"/>
                        </a:xfrm>
                        <a:prstGeom prst="flowChartProcess">
                          <a:avLst/>
                        </a:prstGeom>
                        <a:solidFill>
                          <a:srgbClr val="FFFF00">
                            <a:alpha val="6000"/>
                          </a:srgbClr>
                        </a:solidFill>
                        <a:ln w="9525" cap="flat" cmpd="sng">
                          <a:solidFill>
                            <a:srgbClr val="00B050"/>
                          </a:solidFill>
                          <a:prstDash val="solid"/>
                          <a:miter/>
                          <a:headEnd type="none" w="med" len="med"/>
                          <a:tailEnd type="none" w="med" len="med"/>
                        </a:ln>
                        <a:effectLst/>
                      </wps:spPr>
                      <wps:bodyPr/>
                    </wps:wsp>
                  </a:graphicData>
                </a:graphic>
              </wp:anchor>
            </w:drawing>
          </mc:Choice>
          <mc:Fallback>
            <w:pict>
              <v:shape id="AutoShape 3573" o:spid="_x0000_s1026" o:spt="109" type="#_x0000_t109" style="position:absolute;left:0pt;margin-left:547.25pt;margin-top:21.7pt;height:99.1pt;width:67.5pt;z-index:251676672;mso-width-relative:page;mso-height-relative:page;" fillcolor="#FFFF00" filled="t" stroked="t" coordsize="21600,21600" o:gfxdata="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mJD+3bAAAADAEAAA8AAAAAAAAA&#10;AQAgAAAAIgAAAGRycy9kb3ducmV2LnhtbFBLAQIUABQAAAAIAIdO4kAD8rgqDgIAAFUEAAAOAAAA&#10;AAAAAAEAIAAAACoBAABkcnMvZTJvRG9jLnhtbFBLBQYAAAAABgAGAFkBAACqBQAAAAA=&#10;">
                <v:fill on="t" opacity="3932f" focussize="0,0"/>
                <v:stroke color="#00B050" joinstyle="miter"/>
                <v:imagedata o:title=""/>
                <o:lock v:ext="edit" aspectratio="f"/>
              </v:shape>
            </w:pict>
          </mc:Fallback>
        </mc:AlternateContent>
      </w:r>
      <w:r>
        <w:t>本项目地下水环境监测主要参考《地下水环境监测技术规范》（HJ/T164</w:t>
      </w:r>
      <w:r>
        <w:rPr>
          <w:rFonts w:hint="eastAsia"/>
        </w:rPr>
        <w:t>-2020</w:t>
      </w:r>
      <w:r>
        <w:t>），结合区域含水层系统和地下水径流系统特征，考虑潜在污染源、环境保护目标等因素，并结合模型模拟预测的结果来布置地下水监测点。</w:t>
      </w:r>
    </w:p>
    <w:p w14:paraId="5AE20682">
      <w:pPr>
        <w:pStyle w:val="117"/>
        <w:ind w:firstLine="480"/>
      </w:pPr>
      <w:r>
        <w:t>（2）监测井布置</w:t>
      </w:r>
    </w:p>
    <w:p w14:paraId="2C20A2C3">
      <w:pPr>
        <w:pStyle w:val="117"/>
        <w:ind w:firstLine="480"/>
      </w:pPr>
      <w:bookmarkStart w:id="606" w:name="_Hlk98257608"/>
      <w:r>
        <w:t>依据地下水监测原则，结合区域水文地质条件，在厂区周边至少应设置三口</w:t>
      </w:r>
      <w:r>
        <w:rPr>
          <w:rFonts w:hint="eastAsia"/>
        </w:rPr>
        <w:t>（场地、地下水流向上游、下游）</w:t>
      </w:r>
      <w:r>
        <w:t>地下水水质监控井。</w:t>
      </w:r>
    </w:p>
    <w:p w14:paraId="7B10DE24">
      <w:pPr>
        <w:pStyle w:val="117"/>
        <w:ind w:firstLine="480"/>
      </w:pPr>
      <w:r>
        <w:t>监测项目：</w:t>
      </w:r>
      <w:r>
        <w:rPr>
          <w:rFonts w:hint="eastAsia"/>
        </w:rPr>
        <w:t>pH值、耗氧量、氨氮、硫酸盐、氯化物、硫化物、铁、锰、铜、锌、铝、钠、硝酸盐、氰化物、氟化物、汞、砷、镉、铬、六价铬、铅</w:t>
      </w:r>
      <w:r>
        <w:t>。</w:t>
      </w:r>
    </w:p>
    <w:p w14:paraId="5126F9F9">
      <w:pPr>
        <w:pStyle w:val="117"/>
        <w:ind w:firstLine="480"/>
      </w:pPr>
      <w:r>
        <w:t>监测层位为孔隙潜水；监测频次：</w:t>
      </w:r>
      <w:r>
        <w:rPr>
          <w:rFonts w:hint="eastAsia"/>
        </w:rPr>
        <w:t>每年</w:t>
      </w:r>
      <w:r>
        <w:t>一次。</w:t>
      </w:r>
    </w:p>
    <w:bookmarkEnd w:id="606"/>
    <w:p w14:paraId="5F5098B3">
      <w:pPr>
        <w:pStyle w:val="117"/>
        <w:ind w:firstLine="480"/>
      </w:pPr>
      <w:r>
        <w:t>（3）地下水监测管理</w:t>
      </w:r>
    </w:p>
    <w:p w14:paraId="31FF03AA">
      <w:pPr>
        <w:pStyle w:val="117"/>
        <w:ind w:firstLine="480"/>
      </w:pPr>
      <w:r>
        <w:t>为保证地下水监测有效、有序管理，须制定相关规定、明确职责，采取以下管理措施和技术措施：</w:t>
      </w:r>
    </w:p>
    <w:p w14:paraId="1F3C552B">
      <w:pPr>
        <w:pStyle w:val="117"/>
        <w:ind w:firstLine="480"/>
      </w:pPr>
      <w:r>
        <w:t>1）管理措施</w:t>
      </w:r>
    </w:p>
    <w:p w14:paraId="689C263D">
      <w:pPr>
        <w:pStyle w:val="117"/>
        <w:ind w:firstLine="480"/>
      </w:pPr>
      <w:r>
        <w:rPr>
          <w:rFonts w:hint="eastAsia"/>
        </w:rPr>
        <w:t>①</w:t>
      </w:r>
      <w:r>
        <w:t>防止地下水污染管理的职责属于环保管理部门的职责之一，应指派专人负责</w:t>
      </w:r>
      <w:r>
        <w:rPr>
          <w:rFonts w:hint="eastAsia"/>
        </w:rPr>
        <w:t>防治</w:t>
      </w:r>
      <w:r>
        <w:t>地下水污染管理工作。</w:t>
      </w:r>
    </w:p>
    <w:p w14:paraId="4973E746">
      <w:pPr>
        <w:pStyle w:val="117"/>
        <w:ind w:firstLine="480"/>
      </w:pPr>
      <w:r>
        <w:rPr>
          <w:rFonts w:hint="eastAsia"/>
        </w:rPr>
        <w:t>②</w:t>
      </w:r>
      <w:r>
        <w:t>应委托具有监测资质的单位负责地下水监测工作，按要求及时分析整理原始资料、监测报告的编写工作。</w:t>
      </w:r>
    </w:p>
    <w:p w14:paraId="7E7C3E98">
      <w:pPr>
        <w:pStyle w:val="117"/>
        <w:ind w:firstLine="480"/>
      </w:pPr>
      <w:r>
        <w:rPr>
          <w:rFonts w:hint="eastAsia"/>
        </w:rPr>
        <w:t>③</w:t>
      </w:r>
      <w:r>
        <w:t>建立地下水监测数据信息管理系统。</w:t>
      </w:r>
    </w:p>
    <w:p w14:paraId="7F7A4912">
      <w:pPr>
        <w:pStyle w:val="117"/>
        <w:ind w:firstLine="480"/>
      </w:pPr>
      <w:r>
        <w:rPr>
          <w:rFonts w:hint="eastAsia"/>
        </w:rPr>
        <w:t>④</w:t>
      </w:r>
      <w:r>
        <w:t>根据实际情况，按事故的性质、类型、影响范围、严重后果分等级地制订相应的预案。在制定预案时要根据项目环境污染事故潜在威胁的情况，认真细致地考虑各项影响因素，适当的时候组织有关部门、人员进行演练，不断补充完善。</w:t>
      </w:r>
    </w:p>
    <w:p w14:paraId="1152417C">
      <w:pPr>
        <w:pStyle w:val="117"/>
        <w:ind w:firstLine="480"/>
      </w:pPr>
      <w:r>
        <w:t>2）技术措施：</w:t>
      </w:r>
    </w:p>
    <w:p w14:paraId="1BA6F4F6">
      <w:pPr>
        <w:pStyle w:val="117"/>
        <w:ind w:firstLine="480"/>
      </w:pPr>
      <w:r>
        <w:rPr>
          <w:rFonts w:hint="eastAsia"/>
        </w:rPr>
        <w:t>①</w:t>
      </w:r>
      <w:r>
        <w:t>按照《地下水环境监测技术规范》（HJ/T164-20</w:t>
      </w:r>
      <w:r>
        <w:rPr>
          <w:rFonts w:hint="eastAsia"/>
        </w:rPr>
        <w:t>20</w:t>
      </w:r>
      <w:r>
        <w:t>）要求，及时上报监测数据和有关表格。</w:t>
      </w:r>
    </w:p>
    <w:p w14:paraId="6F103CB5">
      <w:pPr>
        <w:pStyle w:val="117"/>
        <w:ind w:firstLine="480"/>
      </w:pPr>
      <w:r>
        <w:rPr>
          <w:rFonts w:hint="eastAsia"/>
        </w:rPr>
        <w:t>②</w:t>
      </w:r>
      <w:r>
        <w:t>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应采取的措施如下：</w:t>
      </w:r>
    </w:p>
    <w:p w14:paraId="5CF5E68F">
      <w:pPr>
        <w:pStyle w:val="117"/>
        <w:ind w:firstLine="480"/>
      </w:pPr>
      <w:r>
        <w:t>了解项目运行是否出现异常情况，出现异常情况的装置、原因。加大监测密度，分析变化动向。</w:t>
      </w:r>
    </w:p>
    <w:p w14:paraId="609AF10F">
      <w:pPr>
        <w:pStyle w:val="117"/>
        <w:ind w:firstLine="480"/>
      </w:pPr>
      <w:r>
        <w:rPr>
          <w:rFonts w:hint="eastAsia"/>
        </w:rPr>
        <w:t>③</w:t>
      </w:r>
      <w:r>
        <w:t>周期性地编写地下水动态监测报告。</w:t>
      </w:r>
    </w:p>
    <w:p w14:paraId="331EC8FB">
      <w:pPr>
        <w:pStyle w:val="117"/>
        <w:ind w:firstLine="480"/>
      </w:pPr>
      <w:r>
        <w:rPr>
          <w:rFonts w:hint="eastAsia"/>
        </w:rPr>
        <w:t>④</w:t>
      </w:r>
      <w:r>
        <w:t>定期对污染区的储罐、法兰、阀门、管道等进行检查。</w:t>
      </w:r>
    </w:p>
    <w:p w14:paraId="3F111AAD">
      <w:pPr>
        <w:pStyle w:val="117"/>
        <w:ind w:firstLine="480"/>
      </w:pPr>
      <w:r>
        <w:t>制定风险事故应急预案的</w:t>
      </w:r>
      <w:r>
        <w:rPr>
          <w:rFonts w:hint="eastAsia"/>
        </w:rPr>
        <w:t>目的是</w:t>
      </w:r>
      <w:r>
        <w:t>在发生风险事故时，能以最快的速度发挥最大的效能，有序地实施救援，尽快控制事态的发展，降低事故对潜水和承压水含水层的污染。针对应急工作需要，参照相关技术导则，结合地下水污染治理的技术特点，制定地下水污染应急治理程序。</w:t>
      </w:r>
    </w:p>
    <w:p w14:paraId="0E39425B">
      <w:pPr>
        <w:pStyle w:val="117"/>
        <w:ind w:firstLine="480"/>
      </w:pPr>
      <w:r>
        <w:t>应采取如下污染治理措施：</w:t>
      </w:r>
    </w:p>
    <w:p w14:paraId="45B358ED">
      <w:pPr>
        <w:pStyle w:val="117"/>
        <w:ind w:firstLine="480"/>
      </w:pPr>
      <w:r>
        <w:t>1）一旦发生地下水污染事故，应立即启动应急预案。</w:t>
      </w:r>
    </w:p>
    <w:p w14:paraId="0C675AF6">
      <w:pPr>
        <w:pStyle w:val="117"/>
        <w:ind w:firstLine="480"/>
      </w:pPr>
      <w:r>
        <w:t>2）查明并切断水污染源。</w:t>
      </w:r>
    </w:p>
    <w:p w14:paraId="74194131">
      <w:pPr>
        <w:pStyle w:val="117"/>
        <w:ind w:firstLine="480"/>
      </w:pPr>
      <w:r>
        <w:t>3）探明地下水污染深度、范围和污染程度。</w:t>
      </w:r>
    </w:p>
    <w:p w14:paraId="07E6ECFD">
      <w:pPr>
        <w:pStyle w:val="117"/>
        <w:ind w:firstLine="480"/>
      </w:pPr>
      <w:r>
        <w:t>4）依据探明的地下水污染情况，合理布置截渗井，并进行试抽工作。</w:t>
      </w:r>
    </w:p>
    <w:p w14:paraId="411E66E0">
      <w:pPr>
        <w:pStyle w:val="117"/>
        <w:ind w:firstLine="480"/>
      </w:pPr>
      <w:r>
        <w:t>5）依据抽水设计方案进行施工，抽取被污染的地下水体，并依据各井孔出水情况进行调整。</w:t>
      </w:r>
    </w:p>
    <w:p w14:paraId="465D655C">
      <w:pPr>
        <w:pStyle w:val="117"/>
        <w:ind w:firstLine="480"/>
      </w:pPr>
      <w:r>
        <w:t>6）将抽取的地下水进行集中收集处理，并送化验室进行化验分析。</w:t>
      </w:r>
    </w:p>
    <w:p w14:paraId="080646ED">
      <w:pPr>
        <w:pStyle w:val="117"/>
        <w:ind w:firstLine="480"/>
      </w:pPr>
      <w:r>
        <w:t>7）当地下水中的特征污染物浓度满足地下水功能区划的标准后，逐步停止抽水，并进行土壤修复治理工作。</w:t>
      </w:r>
    </w:p>
    <w:bookmarkEnd w:id="600"/>
    <w:bookmarkEnd w:id="601"/>
    <w:bookmarkEnd w:id="602"/>
    <w:p w14:paraId="73DBB707">
      <w:pPr>
        <w:pStyle w:val="3"/>
      </w:pPr>
      <w:bookmarkStart w:id="607" w:name="_Toc351031384"/>
      <w:bookmarkStart w:id="608" w:name="_Toc45970072"/>
      <w:bookmarkStart w:id="609" w:name="_Toc23071"/>
      <w:bookmarkStart w:id="610" w:name="_Toc205291407"/>
      <w:bookmarkStart w:id="611" w:name="_Toc7896"/>
      <w:bookmarkStart w:id="612" w:name="_Toc27652514"/>
      <w:bookmarkStart w:id="613" w:name="_Toc149410323"/>
      <w:bookmarkStart w:id="614" w:name="_Toc128119027"/>
      <w:bookmarkStart w:id="615" w:name="_Toc108116273"/>
      <w:bookmarkStart w:id="616" w:name="_Toc186000313"/>
      <w:bookmarkStart w:id="617" w:name="_Toc185325750"/>
      <w:bookmarkStart w:id="618" w:name="_Toc182027124"/>
      <w:bookmarkStart w:id="619" w:name="_Toc27652516"/>
      <w:r>
        <w:rPr>
          <w:rFonts w:hint="eastAsia"/>
        </w:rPr>
        <w:t>运营期噪声污染防治</w:t>
      </w:r>
      <w:bookmarkEnd w:id="607"/>
      <w:r>
        <w:rPr>
          <w:rFonts w:hint="eastAsia"/>
        </w:rPr>
        <w:t>措施</w:t>
      </w:r>
      <w:bookmarkEnd w:id="608"/>
      <w:bookmarkEnd w:id="609"/>
      <w:bookmarkEnd w:id="610"/>
      <w:bookmarkEnd w:id="611"/>
    </w:p>
    <w:p w14:paraId="4F098BF1">
      <w:pPr>
        <w:pStyle w:val="117"/>
        <w:ind w:firstLine="480"/>
      </w:pPr>
      <w:r>
        <w:rPr>
          <w:rFonts w:hint="eastAsia"/>
        </w:rPr>
        <w:t>为了保护车间内生产工人的身体健康，同时减少对厂区外环境的影响，对本项目噪声防治分别从声源的控制、噪声传播途径的控制及受影响人个人防护三方面进行，拟采取的防护措施如下：</w:t>
      </w:r>
    </w:p>
    <w:p w14:paraId="3C4A74E4">
      <w:pPr>
        <w:pStyle w:val="138"/>
        <w:rPr>
          <w:rFonts w:hint="eastAsia"/>
        </w:rPr>
      </w:pPr>
      <w:bookmarkStart w:id="620" w:name="_Toc11630"/>
      <w:r>
        <w:rPr>
          <w:rFonts w:hint="eastAsia"/>
        </w:rPr>
        <w:t>对各种设备噪声要求</w:t>
      </w:r>
      <w:bookmarkEnd w:id="620"/>
    </w:p>
    <w:p w14:paraId="0F732E97">
      <w:pPr>
        <w:pStyle w:val="117"/>
        <w:ind w:firstLine="480"/>
      </w:pPr>
      <w:r>
        <w:rPr>
          <w:rFonts w:hint="eastAsia"/>
        </w:rPr>
        <w:t>首先从设备选型入手，从声源上控制噪声。设备选型是噪声控制的重要环节，在设备招标中向设备制造厂家提出噪声限值要求，要求供货厂商对高噪声设备采取减噪措施，对高噪声设备采取必要的消音、隔音措施，以达到降低设备噪声水平的目的。</w:t>
      </w:r>
    </w:p>
    <w:p w14:paraId="50CF0F93">
      <w:pPr>
        <w:pStyle w:val="138"/>
        <w:rPr>
          <w:rFonts w:hint="eastAsia"/>
        </w:rPr>
      </w:pPr>
      <w:bookmarkStart w:id="621" w:name="_Toc14561"/>
      <w:r>
        <w:rPr>
          <w:rFonts w:hint="eastAsia"/>
        </w:rPr>
        <w:t>对生产区噪声防范措施</w:t>
      </w:r>
      <w:bookmarkEnd w:id="621"/>
    </w:p>
    <w:p w14:paraId="32956780">
      <w:pPr>
        <w:pStyle w:val="117"/>
        <w:ind w:firstLine="480"/>
      </w:pPr>
      <w:r>
        <w:rPr>
          <w:rFonts w:hint="eastAsia"/>
        </w:rPr>
        <w:t>（1）对运行噪声较大且无法控制产生噪声的设备，将其安放在单独车间内。在引风机进出口等处加装消声器，以降低引风机出口的气流噪声，消声器的消声量不小于</w:t>
      </w:r>
      <w:r>
        <w:t>20dB</w:t>
      </w:r>
      <w:r>
        <w:rPr>
          <w:rFonts w:hint="eastAsia"/>
        </w:rPr>
        <w:t>（</w:t>
      </w:r>
      <w:r>
        <w:t>A</w:t>
      </w:r>
      <w:r>
        <w:rPr>
          <w:rFonts w:hint="eastAsia"/>
        </w:rPr>
        <w:t>）；机泵等均加装隔声罩；送风机、引风机安装消声器，风管包扎阻尼材料，并取得一定的降噪效果；各种汽、水、通风道合理布置，考虑隔振措施，减轻振动和空气动力性噪声，通过采取上述措施，噪声降低到</w:t>
      </w:r>
      <w:r>
        <w:t>75dB</w:t>
      </w:r>
      <w:r>
        <w:rPr>
          <w:rFonts w:hint="eastAsia"/>
        </w:rPr>
        <w:t>（</w:t>
      </w:r>
      <w:r>
        <w:t>A</w:t>
      </w:r>
      <w:r>
        <w:rPr>
          <w:rFonts w:hint="eastAsia"/>
        </w:rPr>
        <w:t>）以下。</w:t>
      </w:r>
    </w:p>
    <w:p w14:paraId="28B05EF6">
      <w:pPr>
        <w:pStyle w:val="117"/>
        <w:ind w:firstLine="480"/>
      </w:pPr>
      <w:r>
        <w:rPr>
          <w:rFonts w:hint="eastAsia"/>
        </w:rPr>
        <w:t>（2）对引风机等装置，由于设备外形几何尺寸较大，产生噪声声压级强，加之厂房大部分空间贯通，另外有些部位因生产工艺要求在设备上无法采取隔、吸、消音处理措施，直接对操作人员长期工作有害。因此，设计时，在操作人员较多的场所，设集中的隔声控制室，流动值班工作人员佩戴耳塞或耳罩，对建筑物、围护物的外门、外窗要求做隔声型或设双层，减少室内噪声传至室外。</w:t>
      </w:r>
    </w:p>
    <w:p w14:paraId="1137C575">
      <w:pPr>
        <w:pStyle w:val="117"/>
        <w:ind w:firstLine="480"/>
      </w:pPr>
      <w:r>
        <w:rPr>
          <w:rFonts w:hint="eastAsia"/>
        </w:rPr>
        <w:t>（3）所有转动机械部位加装减振装置，减轻振动引起的噪声。各种泵的进、出口均采用减振软接头，以减少泵的振动和噪声经管道传播。</w:t>
      </w:r>
    </w:p>
    <w:p w14:paraId="239ED4ED">
      <w:pPr>
        <w:pStyle w:val="117"/>
        <w:ind w:firstLine="480"/>
      </w:pPr>
      <w:r>
        <w:rPr>
          <w:rFonts w:hint="eastAsia"/>
        </w:rPr>
        <w:t>（4）设备与地面或楼板连接处要采用隔振基础或弹性软连接的减振装置，以减少振动和设备噪声的传播。</w:t>
      </w:r>
    </w:p>
    <w:p w14:paraId="1F5B3D26">
      <w:pPr>
        <w:pStyle w:val="117"/>
        <w:ind w:firstLine="480"/>
      </w:pPr>
      <w:r>
        <w:rPr>
          <w:rFonts w:hint="eastAsia"/>
        </w:rPr>
        <w:t>（5）集中控制室设门斗及双层玻璃隔音门窗，内墙采用吸声、隔音材料、屋顶采用吸声吊顶，在结构设计中采用减震平顶、减震内壁和减震地板等。</w:t>
      </w:r>
    </w:p>
    <w:p w14:paraId="0A45A55D">
      <w:pPr>
        <w:pStyle w:val="117"/>
        <w:ind w:firstLine="480"/>
      </w:pPr>
      <w:r>
        <w:rPr>
          <w:rFonts w:hint="eastAsia"/>
        </w:rPr>
        <w:t>（6）加强车间周围及厂区空地绿化建设，尽量提高绿地率，以降低噪声的影响。采取以上措施，可有效地降低噪声源噪声。</w:t>
      </w:r>
    </w:p>
    <w:p w14:paraId="2CE589FF">
      <w:pPr>
        <w:pStyle w:val="117"/>
        <w:ind w:firstLine="480"/>
      </w:pPr>
      <w:r>
        <w:rPr>
          <w:rFonts w:hint="eastAsia"/>
        </w:rPr>
        <w:t>（7）噪声设备尽可能安装在车间内，生产时，车间可起到隔声的作用。</w:t>
      </w:r>
    </w:p>
    <w:p w14:paraId="7CEBD1BA">
      <w:pPr>
        <w:pStyle w:val="117"/>
        <w:ind w:firstLine="480"/>
      </w:pPr>
      <w:r>
        <w:rPr>
          <w:rFonts w:hint="eastAsia"/>
        </w:rPr>
        <w:t>（8）</w:t>
      </w:r>
      <w:r>
        <w:t>加强设备的维护，确保设备处于良好的运转状态，杜绝因设备不正常运转时产生的高噪声现象。</w:t>
      </w:r>
    </w:p>
    <w:p w14:paraId="7DD9C174">
      <w:pPr>
        <w:pStyle w:val="138"/>
        <w:rPr>
          <w:rFonts w:hint="eastAsia"/>
        </w:rPr>
      </w:pPr>
      <w:r>
        <w:rPr>
          <w:rFonts w:hint="eastAsia"/>
        </w:rPr>
        <w:t>保护目标防护措施</w:t>
      </w:r>
    </w:p>
    <w:p w14:paraId="25DF8D22">
      <w:pPr>
        <w:pStyle w:val="117"/>
        <w:ind w:firstLine="480"/>
      </w:pPr>
      <w:r>
        <w:rPr>
          <w:rFonts w:hint="eastAsia"/>
        </w:rPr>
        <w:t>本项目距离环境保护目标较远，正常情况下，本项目对其影响很小。为避免企业内人员受到噪声损害，通过岗位操作管理，严格规定高噪车间不可长期停留。对必须在高噪声环境中作业的人员应配备个人防护用品。</w:t>
      </w:r>
    </w:p>
    <w:p w14:paraId="0C360CEC">
      <w:pPr>
        <w:pStyle w:val="138"/>
        <w:rPr>
          <w:rFonts w:hint="eastAsia"/>
          <w:lang w:val="de-DE"/>
        </w:rPr>
      </w:pPr>
      <w:r>
        <w:rPr>
          <w:rFonts w:hint="eastAsia"/>
          <w:lang w:val="de-DE"/>
        </w:rPr>
        <w:t>小结</w:t>
      </w:r>
    </w:p>
    <w:p w14:paraId="109A7CB9">
      <w:pPr>
        <w:pStyle w:val="117"/>
        <w:ind w:firstLine="480"/>
        <w:rPr>
          <w:lang w:val="de-DE"/>
        </w:rPr>
      </w:pPr>
      <w:r>
        <w:rPr>
          <w:rFonts w:hint="eastAsia"/>
          <w:lang w:val="de-DE"/>
        </w:rPr>
        <w:t>本项目通过声源控制、传播途径控制、保护目标防护等措施，有效降低噪声对周边环境影响。预测四周厂界昼间、夜间的噪声值均可满足《工业企业厂界环境噪声排放标准》（</w:t>
      </w:r>
      <w:r>
        <w:rPr>
          <w:lang w:val="de-DE"/>
        </w:rPr>
        <w:t>GB12348-2008</w:t>
      </w:r>
      <w:r>
        <w:rPr>
          <w:rFonts w:hint="eastAsia"/>
          <w:lang w:val="de-DE"/>
        </w:rPr>
        <w:t>）中</w:t>
      </w:r>
      <w:r>
        <w:rPr>
          <w:lang w:val="de-DE"/>
        </w:rPr>
        <w:t>3</w:t>
      </w:r>
      <w:r>
        <w:rPr>
          <w:rFonts w:hint="eastAsia"/>
          <w:lang w:val="de-DE"/>
        </w:rPr>
        <w:t>类标准（昼间</w:t>
      </w:r>
      <w:r>
        <w:rPr>
          <w:lang w:val="de-DE"/>
        </w:rPr>
        <w:t>65dB（A）</w:t>
      </w:r>
      <w:r>
        <w:rPr>
          <w:rFonts w:hint="eastAsia"/>
          <w:lang w:val="de-DE"/>
        </w:rPr>
        <w:t>，夜间</w:t>
      </w:r>
      <w:r>
        <w:rPr>
          <w:lang w:val="de-DE"/>
        </w:rPr>
        <w:t>55dB（A）</w:t>
      </w:r>
      <w:r>
        <w:rPr>
          <w:rFonts w:hint="eastAsia"/>
          <w:lang w:val="de-DE"/>
        </w:rPr>
        <w:t>）的限值要求，治理措施可行。</w:t>
      </w:r>
    </w:p>
    <w:bookmarkEnd w:id="612"/>
    <w:bookmarkEnd w:id="613"/>
    <w:bookmarkEnd w:id="614"/>
    <w:bookmarkEnd w:id="615"/>
    <w:bookmarkEnd w:id="616"/>
    <w:p w14:paraId="11AF8786">
      <w:pPr>
        <w:pStyle w:val="3"/>
      </w:pPr>
      <w:bookmarkStart w:id="622" w:name="_Toc186000314"/>
      <w:bookmarkStart w:id="623" w:name="_Toc149410324"/>
      <w:bookmarkStart w:id="624" w:name="_Toc205291408"/>
      <w:bookmarkStart w:id="625" w:name="_Toc11776"/>
      <w:bookmarkStart w:id="626" w:name="_Toc23320"/>
      <w:bookmarkStart w:id="627" w:name="_Toc45970073"/>
      <w:r>
        <w:rPr>
          <w:rFonts w:hint="eastAsia"/>
        </w:rPr>
        <w:t>运营期固体废物防治</w:t>
      </w:r>
      <w:bookmarkEnd w:id="622"/>
      <w:bookmarkEnd w:id="623"/>
      <w:r>
        <w:rPr>
          <w:rFonts w:hint="eastAsia"/>
        </w:rPr>
        <w:t>措施</w:t>
      </w:r>
      <w:bookmarkEnd w:id="624"/>
      <w:bookmarkEnd w:id="625"/>
      <w:bookmarkEnd w:id="626"/>
      <w:bookmarkEnd w:id="627"/>
    </w:p>
    <w:p w14:paraId="15EEC9A4">
      <w:pPr>
        <w:ind w:firstLine="480"/>
      </w:pPr>
      <w:r>
        <w:rPr>
          <w:rStyle w:val="162"/>
          <w:rFonts w:hint="eastAsia"/>
        </w:rPr>
        <w:t>固体废物处理以“资源化、减量化、无害化”为原则，对项目产生的固体废物进行分类收集，对可利用的固体废物尽可能采取多种措施进行资源化利用</w:t>
      </w:r>
      <w:r>
        <w:rPr>
          <w:rFonts w:hint="eastAsia"/>
        </w:rPr>
        <w:t>。</w:t>
      </w:r>
    </w:p>
    <w:p w14:paraId="04BA67A2">
      <w:pPr>
        <w:pStyle w:val="138"/>
        <w:rPr>
          <w:rFonts w:hint="eastAsia"/>
        </w:rPr>
      </w:pPr>
      <w:bookmarkStart w:id="628" w:name="_Toc10285"/>
      <w:r>
        <w:rPr>
          <w:rFonts w:hint="eastAsia"/>
        </w:rPr>
        <w:t>固废的收集、暂存及运输</w:t>
      </w:r>
      <w:bookmarkEnd w:id="628"/>
      <w:r>
        <w:rPr>
          <w:rFonts w:hint="eastAsia"/>
        </w:rPr>
        <w:t>措施</w:t>
      </w:r>
    </w:p>
    <w:p w14:paraId="7E26572A">
      <w:pPr>
        <w:pStyle w:val="944"/>
      </w:pPr>
      <w:r>
        <w:rPr>
          <w:rFonts w:hint="eastAsia"/>
        </w:rPr>
        <w:t>危险废物暂存</w:t>
      </w:r>
    </w:p>
    <w:p w14:paraId="1FEAD1A2">
      <w:pPr>
        <w:pStyle w:val="117"/>
        <w:ind w:firstLine="480"/>
      </w:pPr>
      <w:r>
        <w:rPr>
          <w:rFonts w:hint="eastAsia"/>
        </w:rPr>
        <w:t>（1）设置危险废物暂存仓库。暂存仓库根据危险废物的类别、数量、形态、物理化学性质和污染防治等要求设置必要的贮存分区，避免不相容的危险废物接触、混合。</w:t>
      </w:r>
    </w:p>
    <w:p w14:paraId="0E78F292">
      <w:pPr>
        <w:pStyle w:val="117"/>
        <w:ind w:firstLine="480"/>
      </w:pPr>
      <w:r>
        <w:rPr>
          <w:rFonts w:hint="eastAsia"/>
        </w:rPr>
        <w:t>（2）危险废物暂存仓库内地面、墙面裙脚、堵截泄漏的围堰、接触危险废物的隔板和墙体等采用坚固的材料建造，表面无裂缝。</w:t>
      </w:r>
    </w:p>
    <w:p w14:paraId="50FE7FCA">
      <w:pPr>
        <w:pStyle w:val="117"/>
        <w:ind w:firstLine="480"/>
      </w:pPr>
      <w:r>
        <w:rPr>
          <w:rFonts w:hint="eastAsia"/>
        </w:rPr>
        <w:t>（3）危险废物暂存仓库地面与裙脚应采取表面防渗措施；表面防渗材料与所接触的物料或污染物相容，可采用抗渗混凝土、高密度聚乙烯膜、钠基膨润土防水毯或其他防渗性能等效的材料。贮存的危险废物直接接触地面的，进行基础防渗，防渗层为至少1m厚黏土层（渗透系数不大于10</w:t>
      </w:r>
      <w:r>
        <w:rPr>
          <w:rFonts w:hint="eastAsia"/>
          <w:vertAlign w:val="superscript"/>
        </w:rPr>
        <w:t>-7</w:t>
      </w:r>
      <w:r>
        <w:rPr>
          <w:rFonts w:hint="eastAsia"/>
        </w:rPr>
        <w:t>cm/s），或至少2mm厚高密度聚乙烯膜等人工防渗材料（渗透系数不大于10</w:t>
      </w:r>
      <w:r>
        <w:rPr>
          <w:rFonts w:hint="eastAsia"/>
          <w:vertAlign w:val="superscript"/>
        </w:rPr>
        <w:t>-10</w:t>
      </w:r>
      <w:r>
        <w:rPr>
          <w:rFonts w:hint="eastAsia"/>
        </w:rPr>
        <w:t>cm/s），或其他防渗性能等效的材料。</w:t>
      </w:r>
    </w:p>
    <w:p w14:paraId="4E793D6D">
      <w:pPr>
        <w:pStyle w:val="117"/>
        <w:ind w:firstLine="480"/>
      </w:pPr>
      <w:r>
        <w:rPr>
          <w:rFonts w:hint="eastAsia"/>
        </w:rPr>
        <w:t>（4）同一座危险废物暂存仓库采用相同的防渗、防腐工艺（包括防渗、防腐结构或材料），防渗、防腐材料应覆盖所有可能与废物及其渗滤液、渗漏液等接触的构筑物表面；采用不同防渗、防腐工艺应分别建设贮存分区。</w:t>
      </w:r>
    </w:p>
    <w:p w14:paraId="1C365EA9">
      <w:pPr>
        <w:pStyle w:val="117"/>
        <w:ind w:firstLine="480"/>
      </w:pPr>
      <w:r>
        <w:rPr>
          <w:rFonts w:hint="eastAsia"/>
        </w:rPr>
        <w:t>（5）采取技术和管理措施防止无关人员进入。</w:t>
      </w:r>
    </w:p>
    <w:p w14:paraId="6CDA279F">
      <w:pPr>
        <w:pStyle w:val="944"/>
      </w:pPr>
      <w:r>
        <w:rPr>
          <w:rFonts w:hint="eastAsia"/>
        </w:rPr>
        <w:t>危险废物内部转运</w:t>
      </w:r>
    </w:p>
    <w:p w14:paraId="082F01BD">
      <w:pPr>
        <w:pStyle w:val="117"/>
        <w:ind w:firstLine="480"/>
      </w:pPr>
      <w:r>
        <w:rPr>
          <w:rFonts w:hint="eastAsia"/>
        </w:rPr>
        <w:t>（1）</w:t>
      </w:r>
      <w:r>
        <w:t>危险废物内部转运应综合考虑厂区的实际情况确定转运路线，尽量避开办公区。</w:t>
      </w:r>
    </w:p>
    <w:p w14:paraId="0E62769F">
      <w:pPr>
        <w:pStyle w:val="117"/>
        <w:ind w:firstLine="480"/>
      </w:pPr>
      <w:r>
        <w:rPr>
          <w:rFonts w:hint="eastAsia"/>
        </w:rPr>
        <w:t>（2）</w:t>
      </w:r>
      <w:r>
        <w:t>危险废物内部转运作业应采用专用的工具，危险废物内部转运应填写《危险废物厂内转运记录表》。</w:t>
      </w:r>
    </w:p>
    <w:p w14:paraId="726D65C2">
      <w:pPr>
        <w:pStyle w:val="117"/>
        <w:ind w:firstLine="480"/>
      </w:pPr>
      <w:r>
        <w:rPr>
          <w:rFonts w:hint="eastAsia"/>
        </w:rPr>
        <w:t>（3）</w:t>
      </w:r>
      <w:r>
        <w:t>危险废物内部转运结束后，应对转运路线进行检查和清理，确保无危险废物遗失在转运路线上，并对转运工具进行清洗。</w:t>
      </w:r>
    </w:p>
    <w:p w14:paraId="69E5C5ED">
      <w:pPr>
        <w:pStyle w:val="138"/>
        <w:rPr>
          <w:rFonts w:hint="eastAsia"/>
        </w:rPr>
      </w:pPr>
      <w:bookmarkStart w:id="629" w:name="_Toc24941"/>
      <w:r>
        <w:rPr>
          <w:rFonts w:hint="eastAsia"/>
        </w:rPr>
        <w:t>固废处置方式</w:t>
      </w:r>
      <w:bookmarkEnd w:id="629"/>
    </w:p>
    <w:p w14:paraId="2EE6F814">
      <w:pPr>
        <w:pStyle w:val="117"/>
        <w:ind w:firstLine="480"/>
      </w:pPr>
      <w:r>
        <w:rPr>
          <w:rFonts w:hint="eastAsia"/>
        </w:rPr>
        <w:t>本项目产生的固体废物包括：危险废物、一般工业固体废物。</w:t>
      </w:r>
    </w:p>
    <w:p w14:paraId="6DC7EF14">
      <w:pPr>
        <w:pStyle w:val="117"/>
        <w:ind w:firstLine="480"/>
      </w:pPr>
      <w:r>
        <w:t>危险废物：</w:t>
      </w:r>
      <w:r>
        <w:rPr>
          <w:rFonts w:hint="eastAsia"/>
        </w:rPr>
        <w:t>主要为煤焦油、焦油渣、废活性炭和废润滑油等。焦油渣和废活性炭送备煤工段掺烧，其他危险废物收集后暂存于危险废物暂存间，定期委托有资质的单位拉运处置。</w:t>
      </w:r>
    </w:p>
    <w:p w14:paraId="2A2BCDF9">
      <w:pPr>
        <w:pStyle w:val="117"/>
        <w:ind w:firstLine="480"/>
      </w:pPr>
      <w:r>
        <w:rPr>
          <w:rFonts w:hint="eastAsia"/>
        </w:rPr>
        <w:t>一般工业固体废物：主要为粉煤、粉焦、硫酸钠滤饼、废催化剂、硫酸铵溶液、煤泥、收尘灰、硅渣、废耐火材料、废锭模、废离子交换树脂、废滤芯、废布袋等。其中，粉煤、粉焦、硫酸钠滤饼、硫酸铵溶液、硅渣、废耐火材料、废锭模外售综合利用；煤泥送备煤工段掺烧；收尘灰送矿热炉作为原料；废催化剂、废离子交换树脂、废滤芯、废布袋更换时由厂家回收。</w:t>
      </w:r>
    </w:p>
    <w:p w14:paraId="6D899F19">
      <w:pPr>
        <w:pStyle w:val="138"/>
        <w:rPr>
          <w:rFonts w:hint="eastAsia"/>
        </w:rPr>
      </w:pPr>
      <w:bookmarkStart w:id="630" w:name="_Toc30937"/>
      <w:r>
        <w:rPr>
          <w:rFonts w:hint="eastAsia"/>
        </w:rPr>
        <w:t>危险废物管理</w:t>
      </w:r>
      <w:bookmarkEnd w:id="630"/>
    </w:p>
    <w:p w14:paraId="53A97386">
      <w:pPr>
        <w:pStyle w:val="944"/>
      </w:pPr>
      <w:r>
        <w:rPr>
          <w:rFonts w:hint="eastAsia"/>
        </w:rPr>
        <w:t>设计</w:t>
      </w:r>
    </w:p>
    <w:p w14:paraId="26C1B5D2">
      <w:pPr>
        <w:pStyle w:val="117"/>
        <w:ind w:firstLine="480"/>
      </w:pPr>
      <w:r>
        <w:rPr>
          <w:rFonts w:hint="eastAsia"/>
        </w:rPr>
        <w:t>（1）贮存设施的选址与设计方面</w:t>
      </w:r>
    </w:p>
    <w:p w14:paraId="70690078">
      <w:pPr>
        <w:pStyle w:val="117"/>
        <w:ind w:firstLine="480"/>
      </w:pPr>
      <w:r>
        <w:rPr>
          <w:rFonts w:hint="eastAsia"/>
        </w:rPr>
        <w:t>①设施底部高于地下水最高水位。</w:t>
      </w:r>
    </w:p>
    <w:p w14:paraId="0743EADE">
      <w:pPr>
        <w:pStyle w:val="117"/>
        <w:ind w:firstLine="480"/>
      </w:pPr>
      <w:r>
        <w:rPr>
          <w:rFonts w:hint="eastAsia"/>
        </w:rPr>
        <w:t>②地面与裙脚用坚固、防渗的材料建造，建筑材料与危险废物相容。</w:t>
      </w:r>
    </w:p>
    <w:p w14:paraId="5395F015">
      <w:pPr>
        <w:pStyle w:val="117"/>
        <w:ind w:firstLine="480"/>
      </w:pPr>
      <w:r>
        <w:rPr>
          <w:rFonts w:hint="eastAsia"/>
        </w:rPr>
        <w:t>③用以存放危险废物容器的地方，必须有耐腐蚀的硬化地面，且表面无裂隙。基础必须防渗，防渗层为至少1米厚黏土层（渗透系数≤10</w:t>
      </w:r>
      <w:r>
        <w:rPr>
          <w:rFonts w:hint="eastAsia"/>
          <w:vertAlign w:val="superscript"/>
        </w:rPr>
        <w:t>-7</w:t>
      </w:r>
      <w:r>
        <w:rPr>
          <w:rFonts w:hint="eastAsia"/>
        </w:rPr>
        <w:t>cm/s），或2mm厚高密度聚乙烯，或至少2mm厚的其他人工材料，渗透系数≤10</w:t>
      </w:r>
      <w:r>
        <w:rPr>
          <w:rFonts w:hint="eastAsia"/>
          <w:vertAlign w:val="superscript"/>
        </w:rPr>
        <w:t>-10</w:t>
      </w:r>
      <w:r>
        <w:rPr>
          <w:rFonts w:hint="eastAsia"/>
        </w:rPr>
        <w:t>cm/s。</w:t>
      </w:r>
    </w:p>
    <w:p w14:paraId="3A2840A1">
      <w:pPr>
        <w:pStyle w:val="117"/>
        <w:ind w:firstLine="480"/>
      </w:pPr>
      <w:r>
        <w:rPr>
          <w:rFonts w:hint="eastAsia"/>
        </w:rPr>
        <w:t>④设计堵截泄漏的裙脚，地面与裙脚所围建的容积不低于堵截最大容器的最大储量或总储量的五分之一。</w:t>
      </w:r>
    </w:p>
    <w:p w14:paraId="354422A7">
      <w:pPr>
        <w:pStyle w:val="117"/>
        <w:ind w:firstLine="480"/>
      </w:pPr>
      <w:r>
        <w:rPr>
          <w:rFonts w:hint="eastAsia"/>
        </w:rPr>
        <w:t>⑤有泄漏液体收集装置、气体导出口。要有安全照明设施和观察窗口。</w:t>
      </w:r>
    </w:p>
    <w:p w14:paraId="11F2230F">
      <w:pPr>
        <w:pStyle w:val="117"/>
        <w:ind w:firstLine="480"/>
      </w:pPr>
      <w:r>
        <w:rPr>
          <w:rFonts w:hint="eastAsia"/>
        </w:rPr>
        <w:t>（2）危险废物贮存设施的安全防护</w:t>
      </w:r>
    </w:p>
    <w:p w14:paraId="1137A761">
      <w:pPr>
        <w:pStyle w:val="117"/>
        <w:ind w:firstLine="480"/>
      </w:pPr>
      <w:r>
        <w:rPr>
          <w:rFonts w:hint="eastAsia"/>
        </w:rPr>
        <w:t>①危险废物贮存设施都按GB15562.2的规定设置警示标志。</w:t>
      </w:r>
    </w:p>
    <w:p w14:paraId="1F1CFF2B">
      <w:pPr>
        <w:pStyle w:val="117"/>
        <w:ind w:firstLine="480"/>
      </w:pPr>
      <w:r>
        <w:rPr>
          <w:rFonts w:hint="eastAsia"/>
        </w:rPr>
        <w:t>②危险废物贮存设施周围设置围墙或其他防护栅栏。</w:t>
      </w:r>
    </w:p>
    <w:p w14:paraId="3675E0AD">
      <w:pPr>
        <w:pStyle w:val="117"/>
        <w:ind w:firstLine="480"/>
      </w:pPr>
      <w:r>
        <w:rPr>
          <w:rFonts w:hint="eastAsia"/>
        </w:rPr>
        <w:t>③危险废物贮存设施应配备通讯设备、照明设施、安全防护服装及工具，并设有应急防护设施。</w:t>
      </w:r>
    </w:p>
    <w:p w14:paraId="63390E55">
      <w:pPr>
        <w:pStyle w:val="117"/>
        <w:ind w:firstLine="480"/>
      </w:pPr>
      <w:r>
        <w:rPr>
          <w:rFonts w:hint="eastAsia"/>
        </w:rPr>
        <w:t>④危险废物贮存设施内清理出来的泄漏物，一律按危险废物处理。</w:t>
      </w:r>
    </w:p>
    <w:p w14:paraId="1EE7C9A5">
      <w:pPr>
        <w:pStyle w:val="944"/>
      </w:pPr>
      <w:r>
        <w:rPr>
          <w:rFonts w:hint="eastAsia"/>
        </w:rPr>
        <w:t>管理要求</w:t>
      </w:r>
    </w:p>
    <w:p w14:paraId="3D2F6E99">
      <w:pPr>
        <w:pStyle w:val="117"/>
        <w:ind w:firstLine="480"/>
      </w:pPr>
      <w:r>
        <w:t>危险废物管理包括危险废物贮存措施、危险废物转运措施、危险废物安全处置措施等环节。本次环评要求严格按照《危险废物贮存污染控制标准》（GB18597-2023）、《危险废物收集贮存运输技术规范》（HJ2025-2012）和</w:t>
      </w:r>
      <w:r>
        <w:rPr>
          <w:rFonts w:hint="eastAsia"/>
        </w:rPr>
        <w:t>《危险废物转移管理办法》（生态环境部、公安部、交通运输部令第23号）</w:t>
      </w:r>
      <w:r>
        <w:t>相关要求对</w:t>
      </w:r>
      <w:r>
        <w:rPr>
          <w:rFonts w:hint="eastAsia"/>
        </w:rPr>
        <w:t>原料及产生的危险废物</w:t>
      </w:r>
      <w:r>
        <w:t>进行贮存、转移及制度性管理。</w:t>
      </w:r>
    </w:p>
    <w:p w14:paraId="5FB2AB23">
      <w:pPr>
        <w:pStyle w:val="257"/>
        <w:ind w:firstLine="480"/>
        <w:rPr>
          <w:rFonts w:eastAsia="宋体"/>
        </w:rPr>
      </w:pPr>
      <w:r>
        <w:rPr>
          <w:rFonts w:hint="eastAsia"/>
        </w:rPr>
        <w:t>建设单位同时作为</w:t>
      </w:r>
      <w:r>
        <w:t>产生危险废物的单位应当</w:t>
      </w:r>
      <w:r>
        <w:rPr>
          <w:rFonts w:eastAsia="宋体"/>
        </w:rPr>
        <w:t>按照《“十四五”全国危险废物规范化环境管理评估工作方案》“表2危险废物规范化环境管理评估指标（工业危险废物产生单位）”运行管理，规范化危险废物的管理制度和落实。</w:t>
      </w:r>
    </w:p>
    <w:p w14:paraId="645C4976">
      <w:pPr>
        <w:pStyle w:val="257"/>
        <w:ind w:firstLine="480"/>
        <w:rPr>
          <w:rFonts w:eastAsia="宋体"/>
        </w:rPr>
      </w:pPr>
      <w:r>
        <w:rPr>
          <w:rFonts w:hint="eastAsia" w:ascii="宋体" w:hAnsi="宋体" w:eastAsia="宋体" w:cs="宋体"/>
        </w:rPr>
        <w:t>①</w:t>
      </w:r>
      <w:r>
        <w:rPr>
          <w:rFonts w:eastAsia="宋体"/>
        </w:rPr>
        <w:t>污染环境防治责任制度</w:t>
      </w:r>
    </w:p>
    <w:p w14:paraId="437B1559">
      <w:pPr>
        <w:pStyle w:val="257"/>
        <w:ind w:firstLine="480"/>
        <w:rPr>
          <w:rFonts w:eastAsia="宋体"/>
        </w:rPr>
      </w:pPr>
      <w:r>
        <w:rPr>
          <w:rFonts w:eastAsia="宋体"/>
        </w:rPr>
        <w:t>产生工业固体废物的单位应当建立健全工业固体废物产生、收集、贮存、利用、处置全过程的污染环境防治责任制度，采取防治工业固体废物污染环境的措施。具体要求如下：</w:t>
      </w:r>
    </w:p>
    <w:p w14:paraId="63EEDD3C">
      <w:pPr>
        <w:pStyle w:val="257"/>
        <w:ind w:firstLine="480"/>
        <w:rPr>
          <w:rFonts w:eastAsia="宋体"/>
        </w:rPr>
      </w:pPr>
      <w:r>
        <w:rPr>
          <w:rFonts w:eastAsia="宋体"/>
        </w:rPr>
        <w:t>a</w:t>
      </w:r>
      <w:r>
        <w:rPr>
          <w:rFonts w:hint="eastAsia" w:eastAsia="宋体"/>
        </w:rPr>
        <w:t>.</w:t>
      </w:r>
      <w:r>
        <w:rPr>
          <w:rFonts w:eastAsia="宋体"/>
        </w:rPr>
        <w:t>建立涵盖全过程的责任制度，负责人明确，各项责任分解清晰；负责人熟悉危险废物环境管理相关法规、制度、标准、规范；制定的制度得到落实，采取了防治工业固体废物污染环境的措施。</w:t>
      </w:r>
    </w:p>
    <w:p w14:paraId="5DAA21D5">
      <w:pPr>
        <w:pStyle w:val="257"/>
        <w:ind w:firstLine="480"/>
        <w:rPr>
          <w:rFonts w:eastAsia="宋体"/>
        </w:rPr>
      </w:pPr>
      <w:r>
        <w:rPr>
          <w:rFonts w:eastAsia="宋体"/>
        </w:rPr>
        <w:t>b</w:t>
      </w:r>
      <w:r>
        <w:rPr>
          <w:rFonts w:hint="eastAsia" w:eastAsia="宋体"/>
        </w:rPr>
        <w:t>.</w:t>
      </w:r>
      <w:r>
        <w:rPr>
          <w:rFonts w:eastAsia="宋体"/>
        </w:rPr>
        <w:t>执行危险废物污染防治责任信息公开制度，在显著位置张贴危险废物污染防治责任信息。张贴信息能够表明危险废物产生环节、危害特性、去向及责任人等。</w:t>
      </w:r>
    </w:p>
    <w:p w14:paraId="62E0DCD1">
      <w:pPr>
        <w:pStyle w:val="257"/>
        <w:ind w:firstLine="480"/>
        <w:rPr>
          <w:rFonts w:eastAsia="宋体"/>
        </w:rPr>
      </w:pPr>
      <w:r>
        <w:rPr>
          <w:rFonts w:hint="eastAsia" w:ascii="宋体" w:hAnsi="宋体" w:eastAsia="宋体" w:cs="宋体"/>
        </w:rPr>
        <w:t>②</w:t>
      </w:r>
      <w:r>
        <w:rPr>
          <w:rFonts w:eastAsia="宋体"/>
        </w:rPr>
        <w:t>标志制度</w:t>
      </w:r>
    </w:p>
    <w:p w14:paraId="6784221A">
      <w:pPr>
        <w:pStyle w:val="257"/>
        <w:ind w:firstLine="480"/>
        <w:rPr>
          <w:rFonts w:eastAsia="宋体"/>
        </w:rPr>
      </w:pPr>
      <w:r>
        <w:rPr>
          <w:rFonts w:eastAsia="宋体"/>
        </w:rPr>
        <w:t>危险废物的容器和包装物应当按照规定设置危险废物识别标志。具体要求如下：</w:t>
      </w:r>
    </w:p>
    <w:p w14:paraId="531D3A07">
      <w:pPr>
        <w:pStyle w:val="257"/>
        <w:ind w:firstLine="480"/>
        <w:rPr>
          <w:rFonts w:eastAsia="宋体"/>
        </w:rPr>
      </w:pPr>
      <w:r>
        <w:rPr>
          <w:rFonts w:eastAsia="宋体"/>
        </w:rPr>
        <w:t>a</w:t>
      </w:r>
      <w:r>
        <w:rPr>
          <w:rFonts w:hint="eastAsia" w:eastAsia="宋体"/>
        </w:rPr>
        <w:t>.</w:t>
      </w:r>
      <w:r>
        <w:rPr>
          <w:rFonts w:eastAsia="宋体"/>
        </w:rPr>
        <w:t>危险废物的容器和包装物应当按照规定设置危险废物识别标志。危险废物识别标志样式正确、内容填写真实完整。</w:t>
      </w:r>
    </w:p>
    <w:p w14:paraId="2347FEAE">
      <w:pPr>
        <w:pStyle w:val="257"/>
        <w:ind w:firstLine="480"/>
        <w:rPr>
          <w:rFonts w:eastAsia="宋体"/>
        </w:rPr>
      </w:pPr>
      <w:r>
        <w:rPr>
          <w:rFonts w:eastAsia="宋体"/>
        </w:rPr>
        <w:t>b</w:t>
      </w:r>
      <w:r>
        <w:rPr>
          <w:rFonts w:hint="eastAsia" w:eastAsia="宋体"/>
        </w:rPr>
        <w:t>.</w:t>
      </w:r>
      <w:r>
        <w:rPr>
          <w:rFonts w:eastAsia="宋体"/>
        </w:rPr>
        <w:t>收集、贮存、利用、处置危险废物的设施、场所，应当按照规定设置危险废物识别标志。在收集、贮存、利用、处置危险废物的设施、场所均需设置规范（形状、颜色、图案均正确）的危险废物识别标志。</w:t>
      </w:r>
    </w:p>
    <w:p w14:paraId="1C020E6A">
      <w:pPr>
        <w:pStyle w:val="257"/>
        <w:ind w:firstLine="480"/>
        <w:rPr>
          <w:rFonts w:eastAsia="宋体"/>
        </w:rPr>
      </w:pPr>
      <w:r>
        <w:rPr>
          <w:rFonts w:hint="eastAsia" w:ascii="宋体" w:hAnsi="宋体" w:eastAsia="宋体" w:cs="宋体"/>
        </w:rPr>
        <w:t>③</w:t>
      </w:r>
      <w:r>
        <w:rPr>
          <w:rFonts w:eastAsia="宋体"/>
        </w:rPr>
        <w:t>管理计划</w:t>
      </w:r>
    </w:p>
    <w:p w14:paraId="15EFAAA3">
      <w:pPr>
        <w:pStyle w:val="257"/>
        <w:ind w:firstLine="480"/>
        <w:rPr>
          <w:rFonts w:eastAsia="宋体"/>
        </w:rPr>
      </w:pPr>
      <w:r>
        <w:rPr>
          <w:rFonts w:eastAsia="宋体"/>
        </w:rPr>
        <w:t>依法制定危险废物管理计划，危险废物管理计划包括减少危险废物产生量和降低危险废物危害性的措施，以及危险废物贮存、利用、处置措施。具体要求如下：</w:t>
      </w:r>
    </w:p>
    <w:p w14:paraId="2671F68C">
      <w:pPr>
        <w:pStyle w:val="257"/>
        <w:ind w:firstLine="480"/>
        <w:rPr>
          <w:rFonts w:eastAsia="宋体"/>
        </w:rPr>
      </w:pPr>
      <w:r>
        <w:rPr>
          <w:rFonts w:eastAsia="宋体"/>
        </w:rPr>
        <w:t>a</w:t>
      </w:r>
      <w:r>
        <w:rPr>
          <w:rFonts w:hint="eastAsia" w:eastAsia="宋体"/>
        </w:rPr>
        <w:t>.</w:t>
      </w:r>
      <w:r>
        <w:rPr>
          <w:rFonts w:eastAsia="宋体"/>
        </w:rPr>
        <w:t>管理计划要求内容齐全，危险废物的产生环节、种类、危害特性、产生量、利用处置方式描述清晰。管理计划包括以下内容：危险废物的产生环节、种类描述清晰；危险废物产生量预测依据充分，且提出了减少产生量的措施；危险废物的危害特性描述准确，且提出了降低危害性的措施；危险废物贮存、利用、处置措施描述清晰。</w:t>
      </w:r>
    </w:p>
    <w:p w14:paraId="7D0C2FB3">
      <w:pPr>
        <w:pStyle w:val="257"/>
        <w:ind w:firstLine="480"/>
        <w:rPr>
          <w:rFonts w:eastAsia="宋体"/>
        </w:rPr>
      </w:pPr>
      <w:r>
        <w:rPr>
          <w:rFonts w:eastAsia="宋体"/>
        </w:rPr>
        <w:t>b</w:t>
      </w:r>
      <w:r>
        <w:rPr>
          <w:rFonts w:hint="eastAsia" w:eastAsia="宋体"/>
        </w:rPr>
        <w:t>.</w:t>
      </w:r>
      <w:r>
        <w:rPr>
          <w:rFonts w:eastAsia="宋体"/>
        </w:rPr>
        <w:t>通过国家危险废物信息管理系统报所在地生态环境主管部门备案；内容发生变更时及时变更相关备案内容。</w:t>
      </w:r>
    </w:p>
    <w:p w14:paraId="578ED3DF">
      <w:pPr>
        <w:pStyle w:val="257"/>
        <w:ind w:firstLine="480"/>
        <w:rPr>
          <w:rFonts w:eastAsia="宋体"/>
        </w:rPr>
      </w:pPr>
      <w:r>
        <w:rPr>
          <w:rFonts w:hint="eastAsia" w:ascii="宋体" w:hAnsi="宋体" w:eastAsia="宋体" w:cs="宋体"/>
        </w:rPr>
        <w:t>④</w:t>
      </w:r>
      <w:r>
        <w:rPr>
          <w:rFonts w:eastAsia="宋体"/>
        </w:rPr>
        <w:t>排污许可制度</w:t>
      </w:r>
    </w:p>
    <w:p w14:paraId="1D62F6F1">
      <w:pPr>
        <w:pStyle w:val="257"/>
        <w:ind w:firstLine="480"/>
        <w:rPr>
          <w:rFonts w:eastAsia="宋体"/>
        </w:rPr>
      </w:pPr>
      <w:r>
        <w:rPr>
          <w:rFonts w:eastAsia="宋体"/>
        </w:rPr>
        <w:t>依法取得排污许可证并按证排污。许可证中按照技术规范对工业固体废物提出明确环境管理要求，对工业固体废物的贮存、自行利用处置和委托外单位利用处置符合许可证要求，按要求及时提交台账记录和执行报告。</w:t>
      </w:r>
    </w:p>
    <w:p w14:paraId="78A848B9">
      <w:pPr>
        <w:pStyle w:val="257"/>
        <w:ind w:firstLine="480"/>
        <w:rPr>
          <w:rFonts w:eastAsia="宋体"/>
        </w:rPr>
      </w:pPr>
      <w:r>
        <w:rPr>
          <w:rFonts w:hint="eastAsia" w:ascii="宋体" w:hAnsi="宋体" w:eastAsia="宋体" w:cs="宋体"/>
        </w:rPr>
        <w:t>⑤</w:t>
      </w:r>
      <w:r>
        <w:rPr>
          <w:rFonts w:eastAsia="宋体"/>
        </w:rPr>
        <w:t>台账和申报制度</w:t>
      </w:r>
    </w:p>
    <w:p w14:paraId="6AFAE4DB">
      <w:pPr>
        <w:pStyle w:val="257"/>
        <w:ind w:firstLine="480"/>
        <w:rPr>
          <w:rFonts w:eastAsia="宋体"/>
        </w:rPr>
      </w:pPr>
      <w:r>
        <w:rPr>
          <w:rFonts w:eastAsia="宋体"/>
        </w:rPr>
        <w:t>按照国家有关规定建立危险废物管理台账，如实记录有关信息。具体要求如下：</w:t>
      </w:r>
    </w:p>
    <w:p w14:paraId="362A84F1">
      <w:pPr>
        <w:pStyle w:val="257"/>
        <w:ind w:firstLine="480"/>
        <w:rPr>
          <w:rFonts w:eastAsia="宋体"/>
        </w:rPr>
      </w:pPr>
      <w:r>
        <w:rPr>
          <w:rFonts w:eastAsia="宋体"/>
        </w:rPr>
        <w:t>a</w:t>
      </w:r>
      <w:r>
        <w:rPr>
          <w:rFonts w:hint="eastAsia" w:eastAsia="宋体"/>
        </w:rPr>
        <w:t>.</w:t>
      </w:r>
      <w:r>
        <w:rPr>
          <w:rFonts w:eastAsia="宋体"/>
        </w:rPr>
        <w:t>全面、准确地记录了危险废物产生、入库、出库、自行利用处置等各环节危险废物在企业内部流转情况；且可提供各环节台账记录表等证明材料。</w:t>
      </w:r>
    </w:p>
    <w:p w14:paraId="183AF43C">
      <w:pPr>
        <w:pStyle w:val="257"/>
        <w:ind w:firstLine="480"/>
        <w:rPr>
          <w:rFonts w:eastAsia="宋体"/>
        </w:rPr>
      </w:pPr>
      <w:r>
        <w:rPr>
          <w:rFonts w:eastAsia="宋体"/>
        </w:rPr>
        <w:t>b</w:t>
      </w:r>
      <w:r>
        <w:rPr>
          <w:rFonts w:hint="eastAsia" w:eastAsia="宋体"/>
        </w:rPr>
        <w:t>.</w:t>
      </w:r>
      <w:r>
        <w:rPr>
          <w:rFonts w:eastAsia="宋体"/>
        </w:rPr>
        <w:t>通过国家危险废物信息管理系统向所在地生态环境主管部门如实申报危险废物的种类、产生量、流向、贮存、处置等有关情况，提供证明材料（如危险废物管理台账、环评文件、竣工验收文件、危险废物转移联单、危险废物利用处置合同、财务数据等）。</w:t>
      </w:r>
    </w:p>
    <w:p w14:paraId="28B85DBE">
      <w:pPr>
        <w:pStyle w:val="257"/>
        <w:ind w:firstLine="480"/>
        <w:rPr>
          <w:rFonts w:eastAsia="宋体"/>
        </w:rPr>
      </w:pPr>
      <w:r>
        <w:rPr>
          <w:rFonts w:hint="eastAsia" w:ascii="宋体" w:hAnsi="宋体" w:eastAsia="宋体" w:cs="宋体"/>
        </w:rPr>
        <w:t>⑥</w:t>
      </w:r>
      <w:r>
        <w:rPr>
          <w:rFonts w:eastAsia="宋体"/>
        </w:rPr>
        <w:t>源头分类制度</w:t>
      </w:r>
    </w:p>
    <w:p w14:paraId="43F1017D">
      <w:pPr>
        <w:pStyle w:val="257"/>
        <w:ind w:firstLine="480"/>
        <w:rPr>
          <w:rFonts w:eastAsia="宋体"/>
        </w:rPr>
      </w:pPr>
      <w:r>
        <w:rPr>
          <w:rFonts w:eastAsia="宋体"/>
        </w:rPr>
        <w:t>按照危险废物特性分类进行收集。危险废物按种类分别收集、贮存。a.所有危险废物产生环节均按种类分别收集。b.危险废物按种类分别存放，不同废物间有明显间隔。</w:t>
      </w:r>
    </w:p>
    <w:p w14:paraId="0FD2EC7C">
      <w:pPr>
        <w:pStyle w:val="257"/>
        <w:ind w:firstLine="480"/>
        <w:rPr>
          <w:rFonts w:eastAsia="宋体"/>
        </w:rPr>
      </w:pPr>
      <w:r>
        <w:rPr>
          <w:rFonts w:hint="eastAsia" w:ascii="宋体" w:hAnsi="宋体" w:eastAsia="宋体" w:cs="宋体"/>
        </w:rPr>
        <w:t>⑦</w:t>
      </w:r>
      <w:r>
        <w:rPr>
          <w:rFonts w:eastAsia="宋体"/>
        </w:rPr>
        <w:t>转移制度</w:t>
      </w:r>
    </w:p>
    <w:p w14:paraId="29C6FCE2">
      <w:pPr>
        <w:pStyle w:val="257"/>
        <w:ind w:firstLine="480"/>
        <w:rPr>
          <w:rFonts w:eastAsia="宋体"/>
        </w:rPr>
      </w:pPr>
      <w:r>
        <w:rPr>
          <w:rFonts w:eastAsia="宋体"/>
        </w:rPr>
        <w:t>a</w:t>
      </w:r>
      <w:r>
        <w:rPr>
          <w:rFonts w:hint="eastAsia" w:eastAsia="宋体"/>
        </w:rPr>
        <w:t>.</w:t>
      </w:r>
      <w:r>
        <w:rPr>
          <w:rFonts w:eastAsia="宋体"/>
        </w:rPr>
        <w:t>产生工业固体废物的单位委托他人运输、利用、处置工业固体废物的，应当对受托方的主体资格和技术能力进行核实，依法签订书面合同，在合同中约定污染防治要求。a.对受托方的主体资格和技术能力进行核实，且可提供证明材料。b.及时核对受托方收集、利用或者处置相关危险废物情况，且可提供证明材料。</w:t>
      </w:r>
    </w:p>
    <w:p w14:paraId="51E0278B">
      <w:pPr>
        <w:pStyle w:val="257"/>
        <w:ind w:firstLine="480"/>
        <w:rPr>
          <w:rFonts w:eastAsia="宋体"/>
        </w:rPr>
      </w:pPr>
      <w:r>
        <w:rPr>
          <w:rFonts w:eastAsia="宋体"/>
        </w:rPr>
        <w:t>b</w:t>
      </w:r>
      <w:r>
        <w:rPr>
          <w:rFonts w:hint="eastAsia" w:eastAsia="宋体"/>
        </w:rPr>
        <w:t>.</w:t>
      </w:r>
      <w:r>
        <w:rPr>
          <w:rFonts w:eastAsia="宋体"/>
        </w:rPr>
        <w:t>转移危险废物的，按照危险废物转移有关规定，按照危险废物转移有关规定通过国家危险废物信息管理系统如实填写、运行电子联单。</w:t>
      </w:r>
    </w:p>
    <w:p w14:paraId="1F59D73D">
      <w:pPr>
        <w:pStyle w:val="257"/>
        <w:ind w:firstLine="480"/>
        <w:rPr>
          <w:rFonts w:eastAsia="宋体"/>
        </w:rPr>
      </w:pPr>
      <w:r>
        <w:rPr>
          <w:rFonts w:eastAsia="宋体"/>
        </w:rPr>
        <w:t>c</w:t>
      </w:r>
      <w:r>
        <w:rPr>
          <w:rFonts w:hint="eastAsia" w:eastAsia="宋体"/>
        </w:rPr>
        <w:t>.</w:t>
      </w:r>
      <w:r>
        <w:rPr>
          <w:rFonts w:eastAsia="宋体"/>
        </w:rPr>
        <w:t>跨省、自治区、直辖市转移危险废物的，应当向危险废物移出地省、自治区、直辖市人民政府生态环境主管部门申请并得到批准。</w:t>
      </w:r>
    </w:p>
    <w:p w14:paraId="54A30D89">
      <w:pPr>
        <w:pStyle w:val="257"/>
        <w:ind w:firstLine="480"/>
        <w:rPr>
          <w:rFonts w:eastAsia="宋体"/>
        </w:rPr>
      </w:pPr>
      <w:r>
        <w:rPr>
          <w:rFonts w:hint="eastAsia" w:ascii="宋体" w:hAnsi="宋体" w:eastAsia="宋体" w:cs="宋体"/>
        </w:rPr>
        <w:t>⑧</w:t>
      </w:r>
      <w:r>
        <w:rPr>
          <w:rFonts w:eastAsia="宋体"/>
        </w:rPr>
        <w:t>环境应急预案备案制度</w:t>
      </w:r>
    </w:p>
    <w:p w14:paraId="0E4B1A76">
      <w:pPr>
        <w:pStyle w:val="257"/>
        <w:ind w:firstLine="480"/>
        <w:rPr>
          <w:rFonts w:eastAsia="宋体"/>
        </w:rPr>
      </w:pPr>
      <w:r>
        <w:rPr>
          <w:rFonts w:eastAsia="宋体"/>
        </w:rPr>
        <w:t>a</w:t>
      </w:r>
      <w:r>
        <w:rPr>
          <w:rFonts w:hint="eastAsia" w:eastAsia="宋体"/>
        </w:rPr>
        <w:t>.</w:t>
      </w:r>
      <w:r>
        <w:rPr>
          <w:rFonts w:eastAsia="宋体"/>
        </w:rPr>
        <w:t>依法制定了意外事故的环境污染防范措施和应急预案。a.应急预案有明确的管理机构及负责人。b.有意外事故的情形及相应的处理措施。c.有应急预案中要求配置的应急装备及物资。d.内部及外部环境发生改变时，及时对应急预案进行修订。</w:t>
      </w:r>
    </w:p>
    <w:p w14:paraId="7242E49A">
      <w:pPr>
        <w:pStyle w:val="257"/>
        <w:ind w:firstLine="480"/>
        <w:rPr>
          <w:rFonts w:eastAsia="宋体"/>
        </w:rPr>
      </w:pPr>
      <w:r>
        <w:rPr>
          <w:rFonts w:eastAsia="宋体"/>
        </w:rPr>
        <w:t>b</w:t>
      </w:r>
      <w:r>
        <w:rPr>
          <w:rFonts w:hint="eastAsia" w:eastAsia="宋体"/>
        </w:rPr>
        <w:t>.</w:t>
      </w:r>
      <w:r>
        <w:rPr>
          <w:rFonts w:eastAsia="宋体"/>
        </w:rPr>
        <w:t>向所在地生态环境主管部门和其他负有固体废物污染环境防治监督管理职责的部门</w:t>
      </w:r>
      <w:r>
        <w:rPr>
          <w:rFonts w:hint="eastAsia" w:eastAsia="宋体"/>
        </w:rPr>
        <w:t>备案</w:t>
      </w:r>
      <w:r>
        <w:rPr>
          <w:rFonts w:eastAsia="宋体"/>
        </w:rPr>
        <w:t>，且有相关证明材料。</w:t>
      </w:r>
    </w:p>
    <w:p w14:paraId="0B48C995">
      <w:pPr>
        <w:pStyle w:val="257"/>
        <w:ind w:firstLine="480"/>
        <w:rPr>
          <w:rFonts w:eastAsia="宋体"/>
        </w:rPr>
      </w:pPr>
      <w:r>
        <w:rPr>
          <w:rFonts w:eastAsia="宋体"/>
        </w:rPr>
        <w:t>c</w:t>
      </w:r>
      <w:r>
        <w:rPr>
          <w:rFonts w:hint="eastAsia" w:eastAsia="宋体"/>
        </w:rPr>
        <w:t>.</w:t>
      </w:r>
      <w:r>
        <w:rPr>
          <w:rFonts w:eastAsia="宋体"/>
        </w:rPr>
        <w:t>按照预案要求每年组织应急演练。本公司是危险废物产生10吨以上的企业，需按照以下要求开展应急演练：有详细的演练计划；有演练的图片、文字或视频记录；有演练后的总结材料；参加演练人员熟悉意外事故的环境污染防范措施。</w:t>
      </w:r>
    </w:p>
    <w:p w14:paraId="026A0052">
      <w:pPr>
        <w:pStyle w:val="257"/>
        <w:ind w:firstLine="480"/>
        <w:rPr>
          <w:rFonts w:eastAsia="宋体"/>
        </w:rPr>
      </w:pPr>
      <w:r>
        <w:rPr>
          <w:rFonts w:hint="eastAsia" w:ascii="宋体" w:hAnsi="宋体" w:eastAsia="宋体" w:cs="宋体"/>
        </w:rPr>
        <w:t>⑨</w:t>
      </w:r>
      <w:r>
        <w:rPr>
          <w:rFonts w:eastAsia="宋体"/>
        </w:rPr>
        <w:t>贮存设施环境管理</w:t>
      </w:r>
    </w:p>
    <w:p w14:paraId="379AFD31">
      <w:pPr>
        <w:pStyle w:val="257"/>
        <w:ind w:firstLine="480"/>
        <w:rPr>
          <w:rFonts w:eastAsia="宋体"/>
        </w:rPr>
      </w:pPr>
      <w:r>
        <w:rPr>
          <w:rFonts w:eastAsia="宋体"/>
        </w:rPr>
        <w:t>a</w:t>
      </w:r>
      <w:r>
        <w:rPr>
          <w:rFonts w:hint="eastAsia" w:eastAsia="宋体"/>
        </w:rPr>
        <w:t>.</w:t>
      </w:r>
      <w:r>
        <w:rPr>
          <w:rFonts w:eastAsia="宋体"/>
        </w:rPr>
        <w:t>依法进行环境影响评价，完成“三同时”验收。</w:t>
      </w:r>
    </w:p>
    <w:p w14:paraId="4FF00B82">
      <w:pPr>
        <w:pStyle w:val="257"/>
        <w:ind w:firstLine="480"/>
        <w:rPr>
          <w:rFonts w:eastAsia="宋体"/>
        </w:rPr>
      </w:pPr>
      <w:r>
        <w:rPr>
          <w:rFonts w:eastAsia="宋体"/>
        </w:rPr>
        <w:t>b</w:t>
      </w:r>
      <w:r>
        <w:rPr>
          <w:rFonts w:hint="eastAsia" w:eastAsia="宋体"/>
        </w:rPr>
        <w:t>.</w:t>
      </w:r>
      <w:r>
        <w:rPr>
          <w:rFonts w:eastAsia="宋体"/>
        </w:rPr>
        <w:t>按照国家有关规定和环境保护标准要求贮存危险废物。根据危险废物贮存设施使用功能及贮存废物的种类、数量、特性和环境风险防控要求进行设置，选址、建设、贮存、运行、监测和退役等过程的环境保护符合《危险废物贮存污染控制标准》有关要求。</w:t>
      </w:r>
    </w:p>
    <w:p w14:paraId="46F64860">
      <w:pPr>
        <w:pStyle w:val="257"/>
        <w:ind w:firstLine="480"/>
        <w:rPr>
          <w:rFonts w:eastAsia="宋体"/>
        </w:rPr>
      </w:pPr>
      <w:r>
        <w:rPr>
          <w:rFonts w:hint="eastAsia" w:ascii="宋体" w:hAnsi="宋体" w:eastAsia="宋体" w:cs="宋体"/>
        </w:rPr>
        <w:t>⑩</w:t>
      </w:r>
      <w:r>
        <w:rPr>
          <w:rFonts w:eastAsia="宋体"/>
        </w:rPr>
        <w:t>信息发布</w:t>
      </w:r>
    </w:p>
    <w:p w14:paraId="71437605">
      <w:pPr>
        <w:pStyle w:val="257"/>
        <w:ind w:firstLine="480"/>
        <w:rPr>
          <w:rFonts w:eastAsia="宋体"/>
        </w:rPr>
      </w:pPr>
      <w:r>
        <w:rPr>
          <w:rFonts w:eastAsia="宋体"/>
        </w:rPr>
        <w:t>产生固体废物的单位，应当依法及时公开固体废物污染环境防治信息，主动接受社会监督。可通过企业网站等途径依法公开当年危险废物污染环境防治信息。</w:t>
      </w:r>
    </w:p>
    <w:p w14:paraId="44139447">
      <w:pPr>
        <w:pStyle w:val="138"/>
        <w:rPr>
          <w:rFonts w:hint="eastAsia"/>
        </w:rPr>
      </w:pPr>
      <w:r>
        <w:rPr>
          <w:rFonts w:hint="eastAsia"/>
        </w:rPr>
        <w:t>一般工业固体废物的管理</w:t>
      </w:r>
    </w:p>
    <w:p w14:paraId="3E2C4860">
      <w:pPr>
        <w:pStyle w:val="117"/>
        <w:ind w:firstLine="480"/>
      </w:pPr>
      <w:r>
        <w:rPr>
          <w:rFonts w:hint="eastAsia"/>
        </w:rPr>
        <w:t>一般工业固体废物主要为废交换树脂，采取厂家回收的方式处理。在厂内暂存期间，应按照《一般工业固体废物贮存和填埋污染控制标准》（GB18599-2020）的技术要求和运行要求进行设计和管理。</w:t>
      </w:r>
    </w:p>
    <w:p w14:paraId="43E169E2">
      <w:pPr>
        <w:pStyle w:val="138"/>
        <w:rPr>
          <w:rFonts w:hint="eastAsia"/>
        </w:rPr>
      </w:pPr>
      <w:r>
        <w:rPr>
          <w:rFonts w:hint="eastAsia"/>
        </w:rPr>
        <w:t>小结</w:t>
      </w:r>
    </w:p>
    <w:p w14:paraId="39A7E93B">
      <w:pPr>
        <w:pStyle w:val="257"/>
        <w:ind w:firstLine="480"/>
      </w:pPr>
      <w:r>
        <w:rPr>
          <w:rFonts w:eastAsia="宋体"/>
        </w:rPr>
        <w:t>按照上述规定对</w:t>
      </w:r>
      <w:r>
        <w:rPr>
          <w:rFonts w:hint="eastAsia" w:eastAsia="宋体"/>
        </w:rPr>
        <w:t>固体废物</w:t>
      </w:r>
      <w:r>
        <w:rPr>
          <w:rFonts w:eastAsia="宋体"/>
        </w:rPr>
        <w:t>进行</w:t>
      </w:r>
      <w:r>
        <w:rPr>
          <w:rFonts w:hint="eastAsia" w:eastAsia="宋体"/>
        </w:rPr>
        <w:t>分类</w:t>
      </w:r>
      <w:r>
        <w:rPr>
          <w:rFonts w:eastAsia="宋体"/>
        </w:rPr>
        <w:t>妥善处置后，在加强管理，并在落实好各项污染防治措施和固体废物综合利用等安全处置措施的前提下</w:t>
      </w:r>
      <w:r>
        <w:rPr>
          <w:rFonts w:hint="eastAsia" w:eastAsia="宋体"/>
        </w:rPr>
        <w:t>，项目运行</w:t>
      </w:r>
      <w:r>
        <w:rPr>
          <w:rFonts w:eastAsia="宋体"/>
        </w:rPr>
        <w:t>产生的</w:t>
      </w:r>
      <w:r>
        <w:rPr>
          <w:rFonts w:hint="eastAsia" w:eastAsia="宋体"/>
        </w:rPr>
        <w:t>固体废物</w:t>
      </w:r>
      <w:r>
        <w:rPr>
          <w:rFonts w:eastAsia="宋体"/>
        </w:rPr>
        <w:t>对周围环境的影响较小。</w:t>
      </w:r>
    </w:p>
    <w:bookmarkEnd w:id="617"/>
    <w:bookmarkEnd w:id="618"/>
    <w:p w14:paraId="79AB4603">
      <w:pPr>
        <w:pStyle w:val="3"/>
      </w:pPr>
      <w:bookmarkStart w:id="631" w:name="_Toc19054"/>
      <w:bookmarkStart w:id="632" w:name="_Toc351031387"/>
      <w:bookmarkStart w:id="633" w:name="_Toc259454537"/>
      <w:bookmarkStart w:id="634" w:name="_Toc205291409"/>
      <w:bookmarkStart w:id="635" w:name="_Toc45970074"/>
      <w:bookmarkStart w:id="636" w:name="_Toc182027125"/>
      <w:bookmarkStart w:id="637" w:name="_Toc25002"/>
      <w:bookmarkStart w:id="638" w:name="_Toc185325751"/>
      <w:r>
        <w:rPr>
          <w:rFonts w:hint="eastAsia"/>
        </w:rPr>
        <w:t>运营期生态环境保护措施</w:t>
      </w:r>
      <w:bookmarkEnd w:id="631"/>
      <w:bookmarkEnd w:id="632"/>
      <w:bookmarkEnd w:id="633"/>
      <w:bookmarkEnd w:id="634"/>
      <w:bookmarkEnd w:id="635"/>
      <w:bookmarkEnd w:id="636"/>
      <w:bookmarkEnd w:id="637"/>
      <w:bookmarkEnd w:id="638"/>
    </w:p>
    <w:p w14:paraId="3AA9C92A">
      <w:pPr>
        <w:pStyle w:val="117"/>
        <w:ind w:firstLine="480"/>
        <w:rPr>
          <w:lang w:val="de-DE"/>
        </w:rPr>
      </w:pPr>
      <w:r>
        <w:rPr>
          <w:rFonts w:hint="eastAsia"/>
          <w:lang w:val="de-DE"/>
        </w:rPr>
        <w:t>本项目宜在不影响安全和生产的前提下，改善生产环境，提高绿化覆盖面积，在厂界区和装置之间的空地上等可绿化之处种植草坪和树木进行绿化。按</w:t>
      </w:r>
      <w:r>
        <w:rPr>
          <w:lang w:val="de-DE"/>
        </w:rPr>
        <w:t>“</w:t>
      </w:r>
      <w:r>
        <w:rPr>
          <w:rFonts w:hint="eastAsia"/>
          <w:lang w:val="de-DE"/>
        </w:rPr>
        <w:t>适地适树、适地适草</w:t>
      </w:r>
      <w:r>
        <w:rPr>
          <w:lang w:val="de-DE"/>
        </w:rPr>
        <w:t>”</w:t>
      </w:r>
      <w:r>
        <w:rPr>
          <w:rFonts w:hint="eastAsia"/>
          <w:lang w:val="de-DE"/>
        </w:rPr>
        <w:t>的原则，选择植物树种遵循耐旱、耐瘠薄、抗逆性及防风固沙能力强、易栽培管理并具有良好的景观效果；草种需耐寒、耐瘠薄、抗逆性强、根系发达、繁殖力强、生长快易形成生态绿地的品种。</w:t>
      </w:r>
    </w:p>
    <w:p w14:paraId="1E9735A3">
      <w:pPr>
        <w:pStyle w:val="117"/>
        <w:ind w:firstLine="480"/>
        <w:rPr>
          <w:lang w:val="de-DE"/>
        </w:rPr>
      </w:pPr>
      <w:r>
        <w:rPr>
          <w:rFonts w:hint="eastAsia"/>
          <w:lang w:val="de-DE"/>
        </w:rPr>
        <w:t>厂区绿化以道路两侧和办公区为主，点、线、面相结合，树木、草坪相结合。办公区建（构）筑物所占面积相对较少，空地较大，是绿化美化的重点区域。楼前设置装饰性绿地，对办公楼主要起到装饰和衬托作用，从环境上看是办公楼楼前与绿地的衔接过渡，使绿化更加自然和谐。楼前基础种植采用绿篱与便道相隔。厂前区其它区域的绿化应做到乔、灌、草坪的合理结合。在草坪适当位置以孤植或丛植形式配置一些低矮灌木或高大乔木，将草坪的四周设置低矮的灌木绿篱。</w:t>
      </w:r>
    </w:p>
    <w:p w14:paraId="29F17ED7">
      <w:pPr>
        <w:pStyle w:val="117"/>
        <w:ind w:firstLine="480"/>
        <w:rPr>
          <w:lang w:val="de-DE"/>
        </w:rPr>
      </w:pPr>
      <w:r>
        <w:rPr>
          <w:rFonts w:hint="eastAsia"/>
          <w:lang w:val="de-DE"/>
        </w:rPr>
        <w:t>生产装置区是项目生产的核心，也是厂区噪声的主要来源，为了配合工程噪声防治对策，进一步减弱噪声，绿化措施一方面注意与厂区整体绿化相协调，另一方面适当配置防噪能力强的绿化植物种。</w:t>
      </w:r>
    </w:p>
    <w:p w14:paraId="309BC2AB">
      <w:pPr>
        <w:pStyle w:val="117"/>
        <w:ind w:firstLine="480"/>
        <w:rPr>
          <w:lang w:val="de-DE"/>
        </w:rPr>
      </w:pPr>
      <w:r>
        <w:rPr>
          <w:rFonts w:hint="eastAsia"/>
          <w:lang w:val="de-DE"/>
        </w:rPr>
        <w:t>采取上述措施后，项目运行对生态环境的影响较小。</w:t>
      </w:r>
    </w:p>
    <w:p w14:paraId="6287D550">
      <w:pPr>
        <w:pStyle w:val="3"/>
      </w:pPr>
      <w:bookmarkStart w:id="639" w:name="_Toc205291410"/>
      <w:bookmarkStart w:id="640" w:name="_Toc45970075"/>
      <w:bookmarkStart w:id="641" w:name="_Toc31228"/>
      <w:bookmarkStart w:id="642" w:name="_Toc27933"/>
      <w:r>
        <w:rPr>
          <w:rFonts w:hint="eastAsia"/>
        </w:rPr>
        <w:t>运营期土壤保护措施</w:t>
      </w:r>
      <w:bookmarkEnd w:id="639"/>
      <w:bookmarkEnd w:id="640"/>
      <w:bookmarkEnd w:id="641"/>
      <w:bookmarkEnd w:id="642"/>
    </w:p>
    <w:p w14:paraId="100F4AF0">
      <w:pPr>
        <w:pStyle w:val="138"/>
        <w:rPr>
          <w:rFonts w:hint="eastAsia"/>
        </w:rPr>
      </w:pPr>
      <w:bookmarkStart w:id="643" w:name="_Toc20646"/>
      <w:r>
        <w:rPr>
          <w:rFonts w:hint="eastAsia"/>
        </w:rPr>
        <w:t>保护对象及目标</w:t>
      </w:r>
      <w:bookmarkEnd w:id="643"/>
    </w:p>
    <w:p w14:paraId="35BA89BE">
      <w:pPr>
        <w:pStyle w:val="117"/>
        <w:ind w:firstLine="480"/>
      </w:pPr>
      <w:r>
        <w:rPr>
          <w:rFonts w:hint="eastAsia"/>
        </w:rPr>
        <w:t>本项目厂界外0.2km范围内不存在土壤环境保护对象。项目施工、运营期间，建设用地应满足《土壤环境质量建设用地土壤污染风险管控标准（试行）》</w:t>
      </w:r>
      <w:r>
        <w:t>（GB36600-2018）</w:t>
      </w:r>
      <w:r>
        <w:rPr>
          <w:rFonts w:hint="eastAsia"/>
        </w:rPr>
        <w:t>中第二类用地筛选值要求。</w:t>
      </w:r>
    </w:p>
    <w:p w14:paraId="50430C79">
      <w:pPr>
        <w:pStyle w:val="138"/>
        <w:rPr>
          <w:rFonts w:hint="eastAsia"/>
        </w:rPr>
      </w:pPr>
      <w:bookmarkStart w:id="644" w:name="_Toc26102"/>
      <w:r>
        <w:rPr>
          <w:rFonts w:hint="eastAsia"/>
        </w:rPr>
        <w:t>源头控制措施</w:t>
      </w:r>
      <w:bookmarkEnd w:id="644"/>
    </w:p>
    <w:p w14:paraId="37425E9E">
      <w:pPr>
        <w:pStyle w:val="117"/>
        <w:ind w:firstLine="480"/>
      </w:pPr>
      <w:r>
        <w:rPr>
          <w:rFonts w:hint="eastAsia"/>
        </w:rPr>
        <w:t>项目建设运营过程中，对土壤环境污染的主要途径为大气沉降、地面漫流和入渗。</w:t>
      </w:r>
    </w:p>
    <w:p w14:paraId="08349304">
      <w:pPr>
        <w:pStyle w:val="117"/>
        <w:ind w:firstLine="480"/>
      </w:pPr>
      <w:r>
        <w:rPr>
          <w:rFonts w:hint="eastAsia"/>
        </w:rPr>
        <w:t>（1）本项目对产生的废气采取了技术可行、经济合理的治理措施，尽可能从源头上减少废气污染物排放，从而降低大气沉降对土壤环境的影响。</w:t>
      </w:r>
    </w:p>
    <w:p w14:paraId="63F8BC18">
      <w:pPr>
        <w:pStyle w:val="117"/>
        <w:ind w:firstLine="480"/>
      </w:pPr>
      <w:r>
        <w:rPr>
          <w:rFonts w:hint="eastAsia"/>
        </w:rPr>
        <w:t>（2）本项目对生产用原辅材料、产生的废水、固体废物严格管理，杜绝发生散落、跑、冒、滴、漏等情况，从源头防范厂区物料经冲刷或泄漏造成的废水或废液通过地面漫流污染土壤环境。</w:t>
      </w:r>
    </w:p>
    <w:p w14:paraId="5854D509">
      <w:pPr>
        <w:pStyle w:val="138"/>
        <w:rPr>
          <w:rFonts w:hint="eastAsia"/>
        </w:rPr>
      </w:pPr>
      <w:bookmarkStart w:id="645" w:name="_Toc12681"/>
      <w:r>
        <w:rPr>
          <w:rFonts w:hint="eastAsia"/>
        </w:rPr>
        <w:t>过程防控措施</w:t>
      </w:r>
      <w:bookmarkEnd w:id="645"/>
    </w:p>
    <w:p w14:paraId="497D9ED3">
      <w:pPr>
        <w:pStyle w:val="117"/>
        <w:ind w:firstLine="480"/>
      </w:pPr>
      <w:r>
        <w:rPr>
          <w:rFonts w:hint="eastAsia"/>
        </w:rPr>
        <w:t>（1）在项目占地范围内采取绿化措施，以种植具有较强吸附能力的植物为主。</w:t>
      </w:r>
    </w:p>
    <w:p w14:paraId="7342D559">
      <w:pPr>
        <w:pStyle w:val="117"/>
        <w:ind w:firstLine="480"/>
      </w:pPr>
      <w:r>
        <w:rPr>
          <w:rFonts w:hint="eastAsia"/>
        </w:rPr>
        <w:t>（2）根据所在地的地形特点优化地面布局，设置地面硬化、围堰或围墙，以防止土壤环境污染。</w:t>
      </w:r>
    </w:p>
    <w:p w14:paraId="65FFA939">
      <w:pPr>
        <w:pStyle w:val="117"/>
        <w:ind w:firstLine="480"/>
      </w:pPr>
      <w:r>
        <w:rPr>
          <w:rFonts w:hint="eastAsia"/>
        </w:rPr>
        <w:t>（3）对厂区采取分区防渗：对涉及有毒有害污染物、污染控制较难、难的区域采取重点防渗；对涉及有毒有害污染物、污染控制容易的区域以及涉及其他类型污染物、污染控制较难、难的区域采取一般防渗；对涉及其他类型污染物、污染控制容易的区域，采取简单防渗。</w:t>
      </w:r>
    </w:p>
    <w:p w14:paraId="1C0BCD25">
      <w:pPr>
        <w:pStyle w:val="138"/>
        <w:rPr>
          <w:rFonts w:hint="eastAsia"/>
        </w:rPr>
      </w:pPr>
      <w:r>
        <w:rPr>
          <w:rFonts w:hint="eastAsia"/>
        </w:rPr>
        <w:t>跟踪监测</w:t>
      </w:r>
    </w:p>
    <w:p w14:paraId="0BC9CB54">
      <w:pPr>
        <w:pStyle w:val="117"/>
        <w:ind w:firstLine="480"/>
      </w:pPr>
      <w:r>
        <w:rPr>
          <w:rFonts w:hint="eastAsia"/>
        </w:rPr>
        <w:t>制定跟踪监测计划、建立跟踪监测制度，以便及时发现问题，采取措施。具体监测计划见8</w:t>
      </w:r>
      <w:r>
        <w:t>.3节</w:t>
      </w:r>
      <w:r>
        <w:rPr>
          <w:rFonts w:hint="eastAsia"/>
        </w:rPr>
        <w:t>。</w:t>
      </w:r>
    </w:p>
    <w:p w14:paraId="578A028C">
      <w:pPr>
        <w:pStyle w:val="138"/>
        <w:rPr>
          <w:rFonts w:hint="eastAsia"/>
        </w:rPr>
      </w:pPr>
      <w:bookmarkStart w:id="646" w:name="5.7.6结论"/>
      <w:bookmarkEnd w:id="646"/>
      <w:r>
        <w:rPr>
          <w:rFonts w:hint="eastAsia"/>
        </w:rPr>
        <w:t>小结</w:t>
      </w:r>
    </w:p>
    <w:p w14:paraId="64909511">
      <w:pPr>
        <w:pStyle w:val="117"/>
        <w:ind w:firstLine="480"/>
      </w:pPr>
      <w:r>
        <w:rPr>
          <w:rFonts w:hint="eastAsia"/>
        </w:rPr>
        <w:t>本次土壤质量现状监测结果及影响预测结果显示，土壤各采样区、预测点相关因子均满足相应的标准要求。</w:t>
      </w:r>
    </w:p>
    <w:p w14:paraId="19B38FB6">
      <w:pPr>
        <w:pStyle w:val="117"/>
        <w:ind w:firstLine="480"/>
      </w:pPr>
      <w:r>
        <w:rPr>
          <w:rFonts w:hint="eastAsia"/>
        </w:rPr>
        <w:t>本项目运行过程中应保障废气治理设施稳定、有效，保障污染物达标排放并采取绿化措施，降低大气沉降对土壤环境的影响；加强管理杜绝物料发生散落、跑、冒、滴、漏等情况并设置地面硬化、围堰，以防止地面漫流对土壤环境的影响；按照设计要求进行分区防渗，防止入渗对土壤环境的影响。</w:t>
      </w:r>
      <w:bookmarkEnd w:id="619"/>
      <w:r>
        <w:rPr>
          <w:rFonts w:hint="eastAsia"/>
        </w:rPr>
        <w:t>建立跟踪监测以便及时发现问题，采取措施。</w:t>
      </w:r>
    </w:p>
    <w:p w14:paraId="189CE720">
      <w:pPr>
        <w:pStyle w:val="117"/>
        <w:ind w:firstLine="480"/>
      </w:pPr>
      <w:r>
        <w:rPr>
          <w:rFonts w:hint="eastAsia"/>
        </w:rPr>
        <w:t>采取上述措施后，项目运行对土壤环境影响较小。</w:t>
      </w:r>
    </w:p>
    <w:p w14:paraId="1A99BBC5">
      <w:pPr>
        <w:ind w:firstLine="480"/>
        <w:sectPr>
          <w:pgSz w:w="11906" w:h="16838"/>
          <w:pgMar w:top="1440" w:right="1800" w:bottom="1440" w:left="1800" w:header="851" w:footer="992" w:gutter="0"/>
          <w:cols w:space="425" w:num="1"/>
          <w:docGrid w:type="lines" w:linePitch="312" w:charSpace="0"/>
        </w:sectPr>
      </w:pPr>
    </w:p>
    <w:p w14:paraId="16C534DC">
      <w:pPr>
        <w:pStyle w:val="2"/>
        <w:spacing w:before="240"/>
      </w:pPr>
      <w:bookmarkStart w:id="647" w:name="_Toc205291411"/>
      <w:bookmarkStart w:id="648" w:name="_Toc369453760"/>
      <w:bookmarkStart w:id="649" w:name="_Toc358216705"/>
      <w:bookmarkStart w:id="650" w:name="_Toc2383"/>
      <w:bookmarkStart w:id="651" w:name="_Toc215859209"/>
      <w:bookmarkStart w:id="652" w:name="_Toc213448267"/>
      <w:bookmarkStart w:id="653" w:name="_Toc213448589"/>
      <w:bookmarkStart w:id="654" w:name="_Toc321348145"/>
      <w:bookmarkStart w:id="655" w:name="_Toc279011492"/>
      <w:bookmarkStart w:id="656" w:name="_Toc361060024"/>
      <w:bookmarkStart w:id="657" w:name="_Toc199569314"/>
      <w:bookmarkStart w:id="658" w:name="_Toc213446891"/>
      <w:bookmarkStart w:id="659" w:name="_Toc213448855"/>
      <w:bookmarkStart w:id="660" w:name="_Toc128119049"/>
      <w:bookmarkStart w:id="661" w:name="_Toc369110355"/>
      <w:bookmarkStart w:id="662" w:name="_Toc186000349"/>
      <w:bookmarkStart w:id="663" w:name="_Toc331607225"/>
      <w:bookmarkStart w:id="664" w:name="_Toc332626199"/>
      <w:bookmarkStart w:id="665" w:name="_Toc215858938"/>
      <w:bookmarkStart w:id="666" w:name="_Toc361055855"/>
      <w:bookmarkStart w:id="667" w:name="_Toc192913608"/>
      <w:bookmarkStart w:id="668" w:name="_Toc213447330"/>
      <w:bookmarkStart w:id="669" w:name="_Toc45970077"/>
      <w:bookmarkStart w:id="670" w:name="_Toc18370"/>
      <w:bookmarkStart w:id="671" w:name="_Toc27652552"/>
      <w:bookmarkStart w:id="672" w:name="_Toc321331481"/>
      <w:bookmarkStart w:id="673" w:name="_Toc331608796"/>
      <w:bookmarkStart w:id="674" w:name="_Toc215859292"/>
      <w:bookmarkStart w:id="675" w:name="_Toc213448422"/>
      <w:bookmarkStart w:id="676" w:name="_Toc213448285"/>
      <w:bookmarkStart w:id="677" w:name="_Toc213448440"/>
      <w:r>
        <w:rPr>
          <w:rFonts w:hint="eastAsia"/>
        </w:rPr>
        <w:t>环境风险评价</w:t>
      </w:r>
      <w:bookmarkEnd w:id="647"/>
    </w:p>
    <w:p w14:paraId="2689898E">
      <w:pPr>
        <w:pStyle w:val="3"/>
      </w:pPr>
      <w:bookmarkStart w:id="678" w:name="_Toc155627739"/>
      <w:bookmarkStart w:id="679" w:name="_Toc205291412"/>
      <w:r>
        <w:rPr>
          <w:rFonts w:hint="eastAsia"/>
        </w:rPr>
        <w:t>综述</w:t>
      </w:r>
      <w:bookmarkEnd w:id="678"/>
      <w:bookmarkEnd w:id="679"/>
    </w:p>
    <w:p w14:paraId="056ED7D1">
      <w:pPr>
        <w:ind w:firstLine="480"/>
      </w:pPr>
      <w:r>
        <w:rPr>
          <w:rFonts w:hint="eastAsia"/>
        </w:rPr>
        <w:t>环境风险是指突发性事故对环境造成的危害程度及可能性。根据《建设项目环境风险评价技术导则》（</w:t>
      </w:r>
      <w:r>
        <w:t>HJ169-2018</w:t>
      </w:r>
      <w:r>
        <w:rPr>
          <w:rFonts w:hint="eastAsia"/>
        </w:rPr>
        <w:t>），建设项目环境风险评价基本内容包括风险调查、环境风险潜势初判、风险识别、风险事故情形分析、风险预测与评价、环境风险管理等。</w:t>
      </w:r>
    </w:p>
    <w:p w14:paraId="085A2E7E">
      <w:pPr>
        <w:pStyle w:val="138"/>
        <w:ind w:firstLine="480"/>
        <w:rPr>
          <w:rFonts w:hint="eastAsia"/>
        </w:rPr>
      </w:pPr>
      <w:r>
        <w:rPr>
          <w:rFonts w:hint="eastAsia"/>
        </w:rPr>
        <w:t>评价原则</w:t>
      </w:r>
    </w:p>
    <w:p w14:paraId="06B648C8">
      <w:pPr>
        <w:ind w:firstLine="480"/>
      </w:pPr>
      <w: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r>
        <w:rPr>
          <w:rFonts w:hint="eastAsia"/>
        </w:rPr>
        <w:t>。</w:t>
      </w:r>
    </w:p>
    <w:p w14:paraId="1A12CC31">
      <w:pPr>
        <w:pStyle w:val="138"/>
        <w:ind w:firstLine="480"/>
        <w:rPr>
          <w:rFonts w:hint="eastAsia"/>
        </w:rPr>
      </w:pPr>
      <w:r>
        <w:rPr>
          <w:rFonts w:hint="eastAsia"/>
        </w:rPr>
        <w:t>评价工作程序</w:t>
      </w:r>
    </w:p>
    <w:p w14:paraId="5E303BBB">
      <w:pPr>
        <w:ind w:firstLine="480"/>
      </w:pPr>
      <w:r>
        <w:rPr>
          <w:rFonts w:hint="eastAsia"/>
        </w:rPr>
        <w:t>环境风险评价工作程序见</w:t>
      </w:r>
      <w:r>
        <w:rPr>
          <w:rFonts w:hint="eastAsia" w:ascii="宋体" w:hAnsi="宋体"/>
        </w:rPr>
        <w:t>图</w:t>
      </w:r>
      <w:r>
        <w:rPr>
          <w:rFonts w:hint="eastAsia"/>
        </w:rPr>
        <w:t>7.1-1。</w:t>
      </w:r>
    </w:p>
    <w:p w14:paraId="03B3FF7F">
      <w:pPr>
        <w:pStyle w:val="3"/>
      </w:pPr>
      <w:bookmarkStart w:id="680" w:name="_Toc155627740"/>
      <w:bookmarkStart w:id="681" w:name="_Toc205291413"/>
      <w:r>
        <w:rPr>
          <w:rFonts w:hint="eastAsia"/>
        </w:rPr>
        <w:t>风险调查</w:t>
      </w:r>
      <w:bookmarkEnd w:id="680"/>
      <w:bookmarkEnd w:id="681"/>
    </w:p>
    <w:p w14:paraId="2B5D5C24">
      <w:pPr>
        <w:pStyle w:val="138"/>
        <w:ind w:firstLine="480"/>
        <w:rPr>
          <w:rFonts w:hint="eastAsia"/>
        </w:rPr>
      </w:pPr>
      <w:bookmarkStart w:id="682" w:name="_Hlk152699102"/>
      <w:r>
        <w:rPr>
          <w:rFonts w:hint="eastAsia"/>
        </w:rPr>
        <w:t>物质危险性识别</w:t>
      </w:r>
    </w:p>
    <w:p w14:paraId="37A4A2FA">
      <w:pPr>
        <w:pStyle w:val="117"/>
        <w:ind w:firstLine="480"/>
        <w:rPr>
          <w:rFonts w:hint="eastAsia" w:ascii="宋体" w:hAnsi="宋体"/>
        </w:rPr>
      </w:pPr>
      <w:r>
        <w:t>根据</w:t>
      </w:r>
      <w:r>
        <w:rPr>
          <w:rFonts w:hint="eastAsia"/>
        </w:rPr>
        <w:t>本项目</w:t>
      </w:r>
      <w:r>
        <w:t>工程分析</w:t>
      </w:r>
      <w:r>
        <w:rPr>
          <w:rFonts w:hint="eastAsia"/>
        </w:rPr>
        <w:t>、</w:t>
      </w:r>
      <w:r>
        <w:rPr>
          <w:rFonts w:hint="eastAsia" w:ascii="宋体" w:hAnsi="宋体"/>
        </w:rPr>
        <w:t>《危险化学品目录（</w:t>
      </w:r>
      <w:r>
        <w:rPr>
          <w:rFonts w:hint="eastAsia"/>
        </w:rPr>
        <w:t>20</w:t>
      </w:r>
      <w:r>
        <w:t>22</w:t>
      </w:r>
      <w:r>
        <w:rPr>
          <w:rFonts w:hint="eastAsia" w:ascii="宋体" w:hAnsi="宋体"/>
        </w:rPr>
        <w:t>版）》及</w:t>
      </w:r>
      <w:r>
        <w:rPr>
          <w:rFonts w:hint="eastAsia"/>
        </w:rPr>
        <w:t>《建设项目环境风险评价技术导则》（</w:t>
      </w:r>
      <w:r>
        <w:t>HJ169-2018</w:t>
      </w:r>
      <w:r>
        <w:rPr>
          <w:rFonts w:hint="eastAsia"/>
        </w:rPr>
        <w:t>）</w:t>
      </w:r>
      <w:r>
        <w:t>附录C.1.1要求，本项目涉及的危险物质主要包括</w:t>
      </w:r>
      <w:r>
        <w:rPr>
          <w:rFonts w:hint="eastAsia"/>
        </w:rPr>
        <w:t>煤气</w:t>
      </w:r>
      <w:r>
        <w:rPr>
          <w:rFonts w:hint="eastAsia" w:ascii="宋体" w:hAnsi="宋体"/>
        </w:rPr>
        <w:t>、氨、硫化氢、</w:t>
      </w:r>
      <w:r>
        <w:rPr>
          <w:rFonts w:cs="Times New Roman"/>
        </w:rPr>
        <w:t>煤焦油、93%浓硫酸</w:t>
      </w:r>
      <w:r>
        <w:rPr>
          <w:rFonts w:hint="eastAsia"/>
        </w:rPr>
        <w:t>等</w:t>
      </w:r>
      <w:r>
        <w:rPr>
          <w:rFonts w:hint="eastAsia" w:ascii="宋体" w:hAnsi="宋体"/>
        </w:rPr>
        <w:t>。</w:t>
      </w:r>
    </w:p>
    <w:p w14:paraId="420D18C0">
      <w:pPr>
        <w:pStyle w:val="117"/>
        <w:ind w:firstLine="480"/>
      </w:pPr>
      <w:r>
        <w:rPr>
          <w:rFonts w:hint="eastAsia"/>
        </w:rPr>
        <w:t>根据《建设项目环境风险评价技术导则》（</w:t>
      </w:r>
      <w:r>
        <w:t>HJ169-2018</w:t>
      </w:r>
      <w:r>
        <w:rPr>
          <w:rFonts w:hint="eastAsia"/>
        </w:rPr>
        <w:t>），危险物质定义为：具有易燃易爆、有毒有害等特性，会对环境造成危害的物质。根据《建设项目环境风险评价技术导则》（</w:t>
      </w:r>
      <w:r>
        <w:t>HJ169-2018</w:t>
      </w:r>
      <w:r>
        <w:rPr>
          <w:rFonts w:hint="eastAsia"/>
        </w:rPr>
        <w:t>）附录</w:t>
      </w:r>
      <w:r>
        <w:t>B</w:t>
      </w:r>
      <w:r>
        <w:rPr>
          <w:rFonts w:hint="eastAsia"/>
        </w:rPr>
        <w:t>，本项目生产过程中涉及的物质中属于重点关注的危险物质见表7</w:t>
      </w:r>
      <w:r>
        <w:t>.2-</w:t>
      </w:r>
      <w:r>
        <w:rPr>
          <w:rFonts w:hint="eastAsia"/>
        </w:rPr>
        <w:t>1。</w:t>
      </w:r>
    </w:p>
    <w:p w14:paraId="0B7B65FB">
      <w:pPr>
        <w:pStyle w:val="118"/>
        <w:ind w:firstLine="480"/>
      </w:pPr>
      <w:r>
        <w:rPr>
          <w:rFonts w:hint="eastAsia"/>
        </w:rPr>
        <w:t>表7.2-1</w:t>
      </w:r>
      <w:r>
        <w:t xml:space="preserve">    </w:t>
      </w:r>
      <w:r>
        <w:rPr>
          <w:rFonts w:hint="eastAsia"/>
        </w:rPr>
        <w:t>重点关注的危险物质存储量及分布情况一览表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0"/>
        <w:gridCol w:w="2120"/>
        <w:gridCol w:w="1579"/>
        <w:gridCol w:w="2050"/>
        <w:gridCol w:w="1960"/>
        <w:gridCol w:w="936"/>
      </w:tblGrid>
      <w:tr w14:paraId="215D66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vAlign w:val="center"/>
          </w:tcPr>
          <w:p w14:paraId="1803F4B3">
            <w:pPr>
              <w:pStyle w:val="133"/>
              <w:rPr>
                <w:b/>
                <w:bCs/>
              </w:rPr>
            </w:pPr>
            <w:r>
              <w:rPr>
                <w:rFonts w:hint="eastAsia"/>
                <w:b/>
                <w:bCs/>
              </w:rPr>
              <w:t>序号</w:t>
            </w:r>
          </w:p>
        </w:tc>
        <w:tc>
          <w:tcPr>
            <w:tcW w:w="2064" w:type="dxa"/>
            <w:vAlign w:val="center"/>
          </w:tcPr>
          <w:p w14:paraId="6ACF3870">
            <w:pPr>
              <w:pStyle w:val="133"/>
              <w:rPr>
                <w:b/>
                <w:bCs/>
              </w:rPr>
            </w:pPr>
            <w:r>
              <w:rPr>
                <w:rFonts w:hint="eastAsia"/>
                <w:b/>
                <w:bCs/>
              </w:rPr>
              <w:t>分类</w:t>
            </w:r>
          </w:p>
        </w:tc>
        <w:tc>
          <w:tcPr>
            <w:tcW w:w="1537" w:type="dxa"/>
            <w:vAlign w:val="center"/>
          </w:tcPr>
          <w:p w14:paraId="2AB5107B">
            <w:pPr>
              <w:pStyle w:val="133"/>
              <w:rPr>
                <w:b/>
                <w:bCs/>
              </w:rPr>
            </w:pPr>
            <w:r>
              <w:rPr>
                <w:rFonts w:hint="eastAsia"/>
                <w:b/>
                <w:bCs/>
              </w:rPr>
              <w:t>风险物质名称</w:t>
            </w:r>
          </w:p>
        </w:tc>
        <w:tc>
          <w:tcPr>
            <w:tcW w:w="1996" w:type="dxa"/>
            <w:vAlign w:val="center"/>
          </w:tcPr>
          <w:p w14:paraId="7F4618D2">
            <w:pPr>
              <w:pStyle w:val="133"/>
              <w:rPr>
                <w:b/>
                <w:bCs/>
              </w:rPr>
            </w:pPr>
            <w:r>
              <w:rPr>
                <w:rFonts w:hint="eastAsia"/>
                <w:b/>
                <w:bCs/>
              </w:rPr>
              <w:t>存放地点</w:t>
            </w:r>
          </w:p>
        </w:tc>
        <w:tc>
          <w:tcPr>
            <w:tcW w:w="1908" w:type="dxa"/>
            <w:vAlign w:val="center"/>
          </w:tcPr>
          <w:p w14:paraId="3F331DD6">
            <w:pPr>
              <w:pStyle w:val="133"/>
              <w:rPr>
                <w:b/>
                <w:bCs/>
              </w:rPr>
            </w:pPr>
            <w:r>
              <w:rPr>
                <w:rFonts w:hint="eastAsia"/>
                <w:b/>
                <w:bCs/>
              </w:rPr>
              <w:t>判定依据</w:t>
            </w:r>
          </w:p>
        </w:tc>
        <w:tc>
          <w:tcPr>
            <w:tcW w:w="911" w:type="dxa"/>
            <w:vAlign w:val="center"/>
          </w:tcPr>
          <w:p w14:paraId="270C63CD">
            <w:pPr>
              <w:pStyle w:val="133"/>
              <w:rPr>
                <w:b/>
                <w:bCs/>
              </w:rPr>
            </w:pPr>
            <w:r>
              <w:rPr>
                <w:rFonts w:hint="eastAsia"/>
                <w:b/>
                <w:bCs/>
              </w:rPr>
              <w:t>临界量</w:t>
            </w:r>
            <w:r>
              <w:rPr>
                <w:b/>
                <w:bCs/>
              </w:rPr>
              <w:t>/t</w:t>
            </w:r>
          </w:p>
        </w:tc>
      </w:tr>
      <w:tr w14:paraId="40C1BB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vAlign w:val="center"/>
          </w:tcPr>
          <w:p w14:paraId="173C6F5B">
            <w:pPr>
              <w:pStyle w:val="133"/>
            </w:pPr>
            <w:r>
              <w:rPr>
                <w:rFonts w:hint="eastAsia"/>
              </w:rPr>
              <w:t>1</w:t>
            </w:r>
          </w:p>
        </w:tc>
        <w:tc>
          <w:tcPr>
            <w:tcW w:w="2064" w:type="dxa"/>
            <w:vMerge w:val="restart"/>
            <w:vAlign w:val="center"/>
          </w:tcPr>
          <w:p w14:paraId="0488BD18">
            <w:pPr>
              <w:pStyle w:val="133"/>
            </w:pPr>
            <w:r>
              <w:rPr>
                <w:rFonts w:hint="eastAsia"/>
              </w:rPr>
              <w:t>兰炭生产线</w:t>
            </w:r>
          </w:p>
        </w:tc>
        <w:tc>
          <w:tcPr>
            <w:tcW w:w="1537" w:type="dxa"/>
            <w:tcBorders>
              <w:bottom w:val="single" w:color="auto" w:sz="4" w:space="0"/>
            </w:tcBorders>
            <w:vAlign w:val="center"/>
          </w:tcPr>
          <w:p w14:paraId="0CCAFCB1">
            <w:pPr>
              <w:pStyle w:val="133"/>
            </w:pPr>
            <w:r>
              <w:rPr>
                <w:rFonts w:hint="eastAsia"/>
              </w:rPr>
              <w:t>煤气</w:t>
            </w:r>
          </w:p>
        </w:tc>
        <w:tc>
          <w:tcPr>
            <w:tcW w:w="1996" w:type="dxa"/>
            <w:vAlign w:val="center"/>
          </w:tcPr>
          <w:p w14:paraId="624CC3E7">
            <w:pPr>
              <w:pStyle w:val="133"/>
            </w:pPr>
            <w:r>
              <w:rPr>
                <w:rFonts w:hint="eastAsia"/>
              </w:rPr>
              <w:t>煤气管道</w:t>
            </w:r>
          </w:p>
        </w:tc>
        <w:tc>
          <w:tcPr>
            <w:tcW w:w="1908" w:type="dxa"/>
            <w:vAlign w:val="center"/>
          </w:tcPr>
          <w:p w14:paraId="36045833">
            <w:pPr>
              <w:pStyle w:val="133"/>
            </w:pPr>
            <w:r>
              <w:rPr>
                <w:rFonts w:hint="eastAsia"/>
              </w:rPr>
              <w:t>附录表</w:t>
            </w:r>
            <w:r>
              <w:t>B.1</w:t>
            </w:r>
          </w:p>
        </w:tc>
        <w:tc>
          <w:tcPr>
            <w:tcW w:w="911" w:type="dxa"/>
            <w:vAlign w:val="center"/>
          </w:tcPr>
          <w:p w14:paraId="5FB869DA">
            <w:pPr>
              <w:pStyle w:val="133"/>
            </w:pPr>
            <w:r>
              <w:t>7.5</w:t>
            </w:r>
          </w:p>
        </w:tc>
      </w:tr>
      <w:tr w14:paraId="574707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vAlign w:val="center"/>
          </w:tcPr>
          <w:p w14:paraId="633FCEF0">
            <w:pPr>
              <w:pStyle w:val="133"/>
            </w:pPr>
            <w:r>
              <w:rPr>
                <w:rFonts w:hint="eastAsia"/>
              </w:rPr>
              <w:t>2</w:t>
            </w:r>
          </w:p>
        </w:tc>
        <w:tc>
          <w:tcPr>
            <w:tcW w:w="2064" w:type="dxa"/>
            <w:vMerge w:val="continue"/>
            <w:vAlign w:val="center"/>
          </w:tcPr>
          <w:p w14:paraId="21F2A994">
            <w:pPr>
              <w:pStyle w:val="133"/>
            </w:pPr>
          </w:p>
        </w:tc>
        <w:tc>
          <w:tcPr>
            <w:tcW w:w="1537" w:type="dxa"/>
            <w:tcBorders>
              <w:top w:val="single" w:color="auto" w:sz="4" w:space="0"/>
            </w:tcBorders>
            <w:vAlign w:val="center"/>
          </w:tcPr>
          <w:p w14:paraId="756044D1">
            <w:pPr>
              <w:pStyle w:val="133"/>
            </w:pPr>
            <w:r>
              <w:rPr>
                <w:rFonts w:hint="eastAsia" w:ascii="宋体" w:hAnsi="宋体"/>
              </w:rPr>
              <w:t>氨</w:t>
            </w:r>
          </w:p>
        </w:tc>
        <w:tc>
          <w:tcPr>
            <w:tcW w:w="1996" w:type="dxa"/>
            <w:vAlign w:val="center"/>
          </w:tcPr>
          <w:p w14:paraId="093CECA8">
            <w:pPr>
              <w:pStyle w:val="133"/>
            </w:pPr>
            <w:r>
              <w:rPr>
                <w:rFonts w:hint="eastAsia"/>
              </w:rPr>
              <w:t>煤气管道</w:t>
            </w:r>
          </w:p>
        </w:tc>
        <w:tc>
          <w:tcPr>
            <w:tcW w:w="1908" w:type="dxa"/>
            <w:vAlign w:val="center"/>
          </w:tcPr>
          <w:p w14:paraId="014F9DB6">
            <w:pPr>
              <w:pStyle w:val="133"/>
            </w:pPr>
            <w:r>
              <w:rPr>
                <w:rFonts w:hint="eastAsia"/>
              </w:rPr>
              <w:t>附录表</w:t>
            </w:r>
            <w:r>
              <w:t>B.1</w:t>
            </w:r>
          </w:p>
        </w:tc>
        <w:tc>
          <w:tcPr>
            <w:tcW w:w="911" w:type="dxa"/>
            <w:vAlign w:val="center"/>
          </w:tcPr>
          <w:p w14:paraId="6661F6D4">
            <w:pPr>
              <w:pStyle w:val="133"/>
            </w:pPr>
            <w:r>
              <w:rPr>
                <w:rFonts w:hint="eastAsia"/>
              </w:rPr>
              <w:t>5</w:t>
            </w:r>
          </w:p>
        </w:tc>
      </w:tr>
      <w:tr w14:paraId="71248F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vAlign w:val="center"/>
          </w:tcPr>
          <w:p w14:paraId="5AEBE8D9">
            <w:pPr>
              <w:pStyle w:val="133"/>
            </w:pPr>
            <w:r>
              <w:rPr>
                <w:rFonts w:hint="eastAsia"/>
              </w:rPr>
              <w:t>3</w:t>
            </w:r>
          </w:p>
        </w:tc>
        <w:tc>
          <w:tcPr>
            <w:tcW w:w="2064" w:type="dxa"/>
            <w:vMerge w:val="continue"/>
            <w:vAlign w:val="center"/>
          </w:tcPr>
          <w:p w14:paraId="2750A4F3">
            <w:pPr>
              <w:pStyle w:val="133"/>
            </w:pPr>
          </w:p>
        </w:tc>
        <w:tc>
          <w:tcPr>
            <w:tcW w:w="1537" w:type="dxa"/>
            <w:vAlign w:val="center"/>
          </w:tcPr>
          <w:p w14:paraId="5BD4C921">
            <w:pPr>
              <w:pStyle w:val="133"/>
            </w:pPr>
            <w:r>
              <w:rPr>
                <w:rFonts w:hint="eastAsia"/>
              </w:rPr>
              <w:t>硫化氢</w:t>
            </w:r>
          </w:p>
        </w:tc>
        <w:tc>
          <w:tcPr>
            <w:tcW w:w="1996" w:type="dxa"/>
            <w:vAlign w:val="center"/>
          </w:tcPr>
          <w:p w14:paraId="0D34E270">
            <w:pPr>
              <w:pStyle w:val="133"/>
            </w:pPr>
            <w:r>
              <w:rPr>
                <w:rFonts w:hint="eastAsia"/>
              </w:rPr>
              <w:t>煤气管道</w:t>
            </w:r>
          </w:p>
        </w:tc>
        <w:tc>
          <w:tcPr>
            <w:tcW w:w="1908" w:type="dxa"/>
            <w:vAlign w:val="center"/>
          </w:tcPr>
          <w:p w14:paraId="40DFA84C">
            <w:pPr>
              <w:pStyle w:val="133"/>
            </w:pPr>
            <w:r>
              <w:rPr>
                <w:rFonts w:hint="eastAsia"/>
              </w:rPr>
              <w:t>附录表</w:t>
            </w:r>
            <w:r>
              <w:t>B.1</w:t>
            </w:r>
          </w:p>
        </w:tc>
        <w:tc>
          <w:tcPr>
            <w:tcW w:w="911" w:type="dxa"/>
            <w:vAlign w:val="center"/>
          </w:tcPr>
          <w:p w14:paraId="5F483BA2">
            <w:pPr>
              <w:pStyle w:val="133"/>
            </w:pPr>
            <w:r>
              <w:rPr>
                <w:rFonts w:hint="eastAsia"/>
              </w:rPr>
              <w:t>2.5</w:t>
            </w:r>
          </w:p>
        </w:tc>
      </w:tr>
      <w:tr w14:paraId="005568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vAlign w:val="center"/>
          </w:tcPr>
          <w:p w14:paraId="229DCB7E">
            <w:pPr>
              <w:pStyle w:val="133"/>
            </w:pPr>
            <w:r>
              <w:rPr>
                <w:rFonts w:hint="eastAsia"/>
              </w:rPr>
              <w:t>4</w:t>
            </w:r>
          </w:p>
        </w:tc>
        <w:tc>
          <w:tcPr>
            <w:tcW w:w="2064" w:type="dxa"/>
            <w:vAlign w:val="center"/>
          </w:tcPr>
          <w:p w14:paraId="1A946470">
            <w:pPr>
              <w:pStyle w:val="133"/>
            </w:pPr>
            <w:r>
              <w:rPr>
                <w:rFonts w:hint="eastAsia"/>
              </w:rPr>
              <w:t>焦油罐区</w:t>
            </w:r>
          </w:p>
        </w:tc>
        <w:tc>
          <w:tcPr>
            <w:tcW w:w="1537" w:type="dxa"/>
            <w:vAlign w:val="center"/>
          </w:tcPr>
          <w:p w14:paraId="49DDD0FD">
            <w:pPr>
              <w:pStyle w:val="133"/>
            </w:pPr>
            <w:r>
              <w:rPr>
                <w:rFonts w:cs="Times New Roman"/>
              </w:rPr>
              <w:t>煤焦油</w:t>
            </w:r>
          </w:p>
        </w:tc>
        <w:tc>
          <w:tcPr>
            <w:tcW w:w="1996" w:type="dxa"/>
            <w:vAlign w:val="center"/>
          </w:tcPr>
          <w:p w14:paraId="5DA74B81">
            <w:pPr>
              <w:pStyle w:val="133"/>
            </w:pPr>
            <w:r>
              <w:rPr>
                <w:rFonts w:hint="eastAsia"/>
              </w:rPr>
              <w:t>焦油储罐</w:t>
            </w:r>
          </w:p>
        </w:tc>
        <w:tc>
          <w:tcPr>
            <w:tcW w:w="1908" w:type="dxa"/>
            <w:vAlign w:val="center"/>
          </w:tcPr>
          <w:p w14:paraId="76088CA5">
            <w:pPr>
              <w:pStyle w:val="133"/>
            </w:pPr>
            <w:r>
              <w:rPr>
                <w:rFonts w:hint="eastAsia"/>
              </w:rPr>
              <w:t>附录表</w:t>
            </w:r>
            <w:r>
              <w:t>B.1</w:t>
            </w:r>
          </w:p>
        </w:tc>
        <w:tc>
          <w:tcPr>
            <w:tcW w:w="911" w:type="dxa"/>
            <w:vAlign w:val="center"/>
          </w:tcPr>
          <w:p w14:paraId="41088EA7">
            <w:pPr>
              <w:pStyle w:val="133"/>
            </w:pPr>
            <w:r>
              <w:rPr>
                <w:rFonts w:hint="eastAsia"/>
              </w:rPr>
              <w:t>2500</w:t>
            </w:r>
          </w:p>
        </w:tc>
      </w:tr>
      <w:tr w14:paraId="0064D9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43" w:type="dxa"/>
            <w:vAlign w:val="center"/>
          </w:tcPr>
          <w:p w14:paraId="678843BA">
            <w:pPr>
              <w:pStyle w:val="133"/>
            </w:pPr>
            <w:r>
              <w:rPr>
                <w:rFonts w:hint="eastAsia"/>
              </w:rPr>
              <w:t>5</w:t>
            </w:r>
          </w:p>
        </w:tc>
        <w:tc>
          <w:tcPr>
            <w:tcW w:w="2064" w:type="dxa"/>
            <w:vAlign w:val="center"/>
          </w:tcPr>
          <w:p w14:paraId="719B27F0">
            <w:pPr>
              <w:pStyle w:val="133"/>
            </w:pPr>
            <w:r>
              <w:rPr>
                <w:rFonts w:hint="eastAsia"/>
              </w:rPr>
              <w:t>化学品库</w:t>
            </w:r>
          </w:p>
        </w:tc>
        <w:tc>
          <w:tcPr>
            <w:tcW w:w="1537" w:type="dxa"/>
            <w:vAlign w:val="center"/>
          </w:tcPr>
          <w:p w14:paraId="68580398">
            <w:pPr>
              <w:pStyle w:val="133"/>
              <w:rPr>
                <w:rFonts w:cs="Times New Roman"/>
              </w:rPr>
            </w:pPr>
            <w:r>
              <w:rPr>
                <w:rFonts w:cs="Times New Roman"/>
              </w:rPr>
              <w:t>93%浓硫酸</w:t>
            </w:r>
          </w:p>
        </w:tc>
        <w:tc>
          <w:tcPr>
            <w:tcW w:w="1996" w:type="dxa"/>
            <w:vAlign w:val="center"/>
          </w:tcPr>
          <w:p w14:paraId="138EBD28">
            <w:pPr>
              <w:pStyle w:val="133"/>
            </w:pPr>
            <w:r>
              <w:rPr>
                <w:rFonts w:hint="eastAsia"/>
              </w:rPr>
              <w:t>化学品库</w:t>
            </w:r>
          </w:p>
        </w:tc>
        <w:tc>
          <w:tcPr>
            <w:tcW w:w="1908" w:type="dxa"/>
            <w:vAlign w:val="center"/>
          </w:tcPr>
          <w:p w14:paraId="65FB6053">
            <w:pPr>
              <w:pStyle w:val="133"/>
            </w:pPr>
            <w:r>
              <w:rPr>
                <w:rFonts w:hint="eastAsia"/>
              </w:rPr>
              <w:t>附录表</w:t>
            </w:r>
            <w:r>
              <w:t>B.1</w:t>
            </w:r>
          </w:p>
        </w:tc>
        <w:tc>
          <w:tcPr>
            <w:tcW w:w="911" w:type="dxa"/>
            <w:vAlign w:val="center"/>
          </w:tcPr>
          <w:p w14:paraId="77AB4437">
            <w:pPr>
              <w:pStyle w:val="133"/>
            </w:pPr>
            <w:r>
              <w:rPr>
                <w:rFonts w:hint="eastAsia"/>
              </w:rPr>
              <w:t>10</w:t>
            </w:r>
          </w:p>
        </w:tc>
      </w:tr>
    </w:tbl>
    <w:p w14:paraId="37FFD109">
      <w:pPr>
        <w:pStyle w:val="422"/>
      </w:pPr>
    </w:p>
    <w:p w14:paraId="6C032487">
      <w:pPr>
        <w:pStyle w:val="138"/>
        <w:ind w:firstLine="480"/>
        <w:rPr>
          <w:rFonts w:hint="eastAsia"/>
        </w:rPr>
      </w:pPr>
      <w:r>
        <w:rPr>
          <w:rFonts w:hint="eastAsia"/>
        </w:rPr>
        <w:t>工艺特点</w:t>
      </w:r>
    </w:p>
    <w:p w14:paraId="4F9D4A99">
      <w:pPr>
        <w:ind w:firstLine="480"/>
      </w:pPr>
      <w:r>
        <w:rPr>
          <w:rFonts w:hint="eastAsia"/>
        </w:rPr>
        <w:t>本项目生产涉及</w:t>
      </w:r>
      <w:r>
        <w:rPr>
          <w:rFonts w:hint="eastAsia"/>
          <w:color w:val="000000"/>
        </w:rPr>
        <w:t>其他高温，且涉及危险物质的工艺过程。</w:t>
      </w:r>
    </w:p>
    <w:p w14:paraId="6043BDA6">
      <w:pPr>
        <w:pStyle w:val="138"/>
        <w:ind w:firstLine="480"/>
        <w:rPr>
          <w:rFonts w:hint="eastAsia"/>
        </w:rPr>
      </w:pPr>
      <w:r>
        <w:rPr>
          <w:rFonts w:hint="eastAsia"/>
        </w:rPr>
        <w:t>环境敏感特征</w:t>
      </w:r>
    </w:p>
    <w:p w14:paraId="21CF82FE">
      <w:pPr>
        <w:pStyle w:val="404"/>
      </w:pPr>
      <w:bookmarkStart w:id="683" w:name="_Hlk150643144"/>
      <w:r>
        <w:rPr>
          <w:rFonts w:hint="eastAsia"/>
        </w:rPr>
        <w:t>根据项目涉及的危险物质可能的影响途径和所在区域的实际环境特点，本项目位于</w:t>
      </w:r>
      <w:r>
        <w:rPr>
          <w:rFonts w:hint="eastAsia"/>
          <w:lang w:val="en-US"/>
        </w:rPr>
        <w:t>哈密高新技术产业开发区</w:t>
      </w:r>
      <w:r>
        <w:rPr>
          <w:rFonts w:hint="eastAsia"/>
        </w:rPr>
        <w:t>南部循环经济产业园，环境风险敏感目标见下表。</w:t>
      </w:r>
    </w:p>
    <w:p w14:paraId="30E0FD27">
      <w:pPr>
        <w:pStyle w:val="118"/>
        <w:ind w:firstLine="480"/>
      </w:pPr>
      <w:r>
        <w:rPr>
          <w:rFonts w:hint="eastAsia"/>
        </w:rPr>
        <w:t>表7.2</w:t>
      </w:r>
      <w:r>
        <w:t>-</w:t>
      </w:r>
      <w:r>
        <w:rPr>
          <w:rFonts w:hint="eastAsia"/>
        </w:rPr>
        <w:t>2    环境敏感点</w:t>
      </w:r>
    </w:p>
    <w:tbl>
      <w:tblPr>
        <w:tblStyle w:val="68"/>
        <w:tblW w:w="850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733"/>
        <w:gridCol w:w="1677"/>
        <w:gridCol w:w="1417"/>
        <w:gridCol w:w="703"/>
        <w:gridCol w:w="1301"/>
        <w:gridCol w:w="1970"/>
      </w:tblGrid>
      <w:tr w14:paraId="1BADAE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704" w:type="dxa"/>
            <w:vAlign w:val="center"/>
          </w:tcPr>
          <w:p w14:paraId="425C8175">
            <w:pPr>
              <w:pStyle w:val="133"/>
              <w:rPr>
                <w:b/>
                <w:bCs/>
              </w:rPr>
            </w:pPr>
            <w:r>
              <w:rPr>
                <w:rFonts w:hint="eastAsia"/>
                <w:b/>
                <w:bCs/>
              </w:rPr>
              <w:t>类别</w:t>
            </w:r>
          </w:p>
        </w:tc>
        <w:tc>
          <w:tcPr>
            <w:tcW w:w="7801" w:type="dxa"/>
            <w:gridSpan w:val="6"/>
            <w:vAlign w:val="center"/>
          </w:tcPr>
          <w:p w14:paraId="71DF397F">
            <w:pPr>
              <w:pStyle w:val="133"/>
              <w:rPr>
                <w:b/>
                <w:bCs/>
              </w:rPr>
            </w:pPr>
            <w:r>
              <w:rPr>
                <w:rFonts w:hint="eastAsia"/>
                <w:b/>
                <w:bCs/>
              </w:rPr>
              <w:t>环境敏感特征</w:t>
            </w:r>
          </w:p>
        </w:tc>
      </w:tr>
      <w:tr w14:paraId="3C11C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7114FD7E">
            <w:pPr>
              <w:pStyle w:val="133"/>
            </w:pPr>
            <w:r>
              <w:rPr>
                <w:rFonts w:hint="eastAsia"/>
              </w:rPr>
              <w:t>环境空气</w:t>
            </w:r>
          </w:p>
        </w:tc>
        <w:tc>
          <w:tcPr>
            <w:tcW w:w="7801" w:type="dxa"/>
            <w:gridSpan w:val="6"/>
            <w:vAlign w:val="center"/>
          </w:tcPr>
          <w:p w14:paraId="4D4DC881">
            <w:pPr>
              <w:pStyle w:val="133"/>
            </w:pPr>
            <w:r>
              <w:rPr>
                <w:rFonts w:hint="eastAsia"/>
              </w:rPr>
              <w:t>厂址周边</w:t>
            </w:r>
            <w:r>
              <w:t>5km</w:t>
            </w:r>
            <w:r>
              <w:rPr>
                <w:rFonts w:hint="eastAsia"/>
              </w:rPr>
              <w:t>范围内</w:t>
            </w:r>
          </w:p>
        </w:tc>
      </w:tr>
      <w:tr w14:paraId="355699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23B9684">
            <w:pPr>
              <w:pStyle w:val="133"/>
            </w:pPr>
          </w:p>
        </w:tc>
        <w:tc>
          <w:tcPr>
            <w:tcW w:w="733" w:type="dxa"/>
            <w:vAlign w:val="center"/>
          </w:tcPr>
          <w:p w14:paraId="1309FF93">
            <w:pPr>
              <w:pStyle w:val="133"/>
            </w:pPr>
            <w:r>
              <w:rPr>
                <w:rFonts w:hint="eastAsia"/>
              </w:rPr>
              <w:t>序号</w:t>
            </w:r>
          </w:p>
        </w:tc>
        <w:tc>
          <w:tcPr>
            <w:tcW w:w="1677" w:type="dxa"/>
            <w:vAlign w:val="center"/>
          </w:tcPr>
          <w:p w14:paraId="019E7808">
            <w:pPr>
              <w:pStyle w:val="133"/>
            </w:pPr>
            <w:r>
              <w:rPr>
                <w:rFonts w:hint="eastAsia"/>
              </w:rPr>
              <w:t>敏感目标名称</w:t>
            </w:r>
          </w:p>
        </w:tc>
        <w:tc>
          <w:tcPr>
            <w:tcW w:w="1417" w:type="dxa"/>
            <w:vAlign w:val="center"/>
          </w:tcPr>
          <w:p w14:paraId="376F8547">
            <w:pPr>
              <w:pStyle w:val="133"/>
            </w:pPr>
            <w:r>
              <w:rPr>
                <w:rFonts w:hint="eastAsia"/>
              </w:rPr>
              <w:t>相对方位</w:t>
            </w:r>
          </w:p>
        </w:tc>
        <w:tc>
          <w:tcPr>
            <w:tcW w:w="703" w:type="dxa"/>
            <w:vAlign w:val="center"/>
          </w:tcPr>
          <w:p w14:paraId="4C58BB60">
            <w:pPr>
              <w:pStyle w:val="133"/>
            </w:pPr>
            <w:r>
              <w:rPr>
                <w:rFonts w:hint="eastAsia"/>
              </w:rPr>
              <w:t>距离</w:t>
            </w:r>
            <w:r>
              <w:t>/</w:t>
            </w:r>
            <w:r>
              <w:rPr>
                <w:rFonts w:hint="eastAsia"/>
              </w:rPr>
              <w:t>k</w:t>
            </w:r>
            <w:r>
              <w:t>m</w:t>
            </w:r>
          </w:p>
        </w:tc>
        <w:tc>
          <w:tcPr>
            <w:tcW w:w="1301" w:type="dxa"/>
            <w:vAlign w:val="center"/>
          </w:tcPr>
          <w:p w14:paraId="03193B3A">
            <w:pPr>
              <w:pStyle w:val="133"/>
            </w:pPr>
            <w:r>
              <w:rPr>
                <w:rFonts w:hint="eastAsia"/>
              </w:rPr>
              <w:t>属性</w:t>
            </w:r>
          </w:p>
        </w:tc>
        <w:tc>
          <w:tcPr>
            <w:tcW w:w="1970" w:type="dxa"/>
            <w:vAlign w:val="center"/>
          </w:tcPr>
          <w:p w14:paraId="7A01E261">
            <w:pPr>
              <w:pStyle w:val="133"/>
            </w:pPr>
            <w:r>
              <w:rPr>
                <w:rFonts w:hint="eastAsia"/>
              </w:rPr>
              <w:t>人口数</w:t>
            </w:r>
          </w:p>
        </w:tc>
      </w:tr>
      <w:tr w14:paraId="3BC45C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65BFF39">
            <w:pPr>
              <w:pStyle w:val="133"/>
            </w:pPr>
          </w:p>
        </w:tc>
        <w:tc>
          <w:tcPr>
            <w:tcW w:w="733" w:type="dxa"/>
            <w:vAlign w:val="center"/>
          </w:tcPr>
          <w:p w14:paraId="225B1DA7">
            <w:pPr>
              <w:pStyle w:val="133"/>
            </w:pPr>
            <w:r>
              <w:rPr>
                <w:rFonts w:hint="eastAsia"/>
              </w:rPr>
              <w:t>-</w:t>
            </w:r>
          </w:p>
        </w:tc>
        <w:tc>
          <w:tcPr>
            <w:tcW w:w="1677" w:type="dxa"/>
            <w:vAlign w:val="center"/>
          </w:tcPr>
          <w:p w14:paraId="1C8D5162">
            <w:pPr>
              <w:pStyle w:val="133"/>
            </w:pPr>
            <w:r>
              <w:rPr>
                <w:rFonts w:hint="eastAsia"/>
              </w:rPr>
              <w:t>-</w:t>
            </w:r>
          </w:p>
        </w:tc>
        <w:tc>
          <w:tcPr>
            <w:tcW w:w="1417" w:type="dxa"/>
            <w:vAlign w:val="center"/>
          </w:tcPr>
          <w:p w14:paraId="7477DB8A">
            <w:pPr>
              <w:pStyle w:val="133"/>
            </w:pPr>
            <w:r>
              <w:rPr>
                <w:rFonts w:hint="eastAsia"/>
              </w:rPr>
              <w:t>-</w:t>
            </w:r>
          </w:p>
        </w:tc>
        <w:tc>
          <w:tcPr>
            <w:tcW w:w="703" w:type="dxa"/>
            <w:vAlign w:val="center"/>
          </w:tcPr>
          <w:p w14:paraId="352E2D27">
            <w:pPr>
              <w:pStyle w:val="133"/>
            </w:pPr>
            <w:r>
              <w:rPr>
                <w:rFonts w:hint="eastAsia"/>
              </w:rPr>
              <w:t>-</w:t>
            </w:r>
          </w:p>
        </w:tc>
        <w:tc>
          <w:tcPr>
            <w:tcW w:w="1301" w:type="dxa"/>
            <w:vAlign w:val="center"/>
          </w:tcPr>
          <w:p w14:paraId="4786F9EC">
            <w:pPr>
              <w:pStyle w:val="133"/>
            </w:pPr>
            <w:r>
              <w:rPr>
                <w:rFonts w:hint="eastAsia"/>
              </w:rPr>
              <w:t>-</w:t>
            </w:r>
          </w:p>
        </w:tc>
        <w:tc>
          <w:tcPr>
            <w:tcW w:w="1970" w:type="dxa"/>
            <w:vAlign w:val="center"/>
          </w:tcPr>
          <w:p w14:paraId="202EBAE3">
            <w:pPr>
              <w:pStyle w:val="133"/>
            </w:pPr>
            <w:r>
              <w:rPr>
                <w:rFonts w:hint="eastAsia"/>
              </w:rPr>
              <w:t>-</w:t>
            </w:r>
          </w:p>
        </w:tc>
      </w:tr>
      <w:tr w14:paraId="12867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77189468">
            <w:pPr>
              <w:pStyle w:val="133"/>
            </w:pPr>
          </w:p>
        </w:tc>
        <w:tc>
          <w:tcPr>
            <w:tcW w:w="5831" w:type="dxa"/>
            <w:gridSpan w:val="5"/>
            <w:vAlign w:val="center"/>
          </w:tcPr>
          <w:p w14:paraId="05024934">
            <w:pPr>
              <w:pStyle w:val="133"/>
            </w:pPr>
            <w:r>
              <w:rPr>
                <w:rFonts w:hint="eastAsia"/>
              </w:rPr>
              <w:t>厂址周边</w:t>
            </w:r>
            <w:r>
              <w:t>500m</w:t>
            </w:r>
            <w:r>
              <w:rPr>
                <w:rFonts w:hint="eastAsia"/>
              </w:rPr>
              <w:t>范围内人口数小计</w:t>
            </w:r>
          </w:p>
        </w:tc>
        <w:tc>
          <w:tcPr>
            <w:tcW w:w="1970" w:type="dxa"/>
            <w:vAlign w:val="center"/>
          </w:tcPr>
          <w:p w14:paraId="43BF0743">
            <w:pPr>
              <w:pStyle w:val="133"/>
            </w:pPr>
            <w:r>
              <w:rPr>
                <w:rFonts w:hint="eastAsia"/>
              </w:rPr>
              <w:t>0</w:t>
            </w:r>
          </w:p>
        </w:tc>
      </w:tr>
      <w:tr w14:paraId="3854B2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4BBA19FE">
            <w:pPr>
              <w:pStyle w:val="133"/>
            </w:pPr>
          </w:p>
        </w:tc>
        <w:tc>
          <w:tcPr>
            <w:tcW w:w="5831" w:type="dxa"/>
            <w:gridSpan w:val="5"/>
            <w:vAlign w:val="center"/>
          </w:tcPr>
          <w:p w14:paraId="3D8406FB">
            <w:pPr>
              <w:pStyle w:val="133"/>
            </w:pPr>
            <w:r>
              <w:rPr>
                <w:rFonts w:hint="eastAsia"/>
              </w:rPr>
              <w:t>厂址周边</w:t>
            </w:r>
            <w:r>
              <w:t>5km</w:t>
            </w:r>
            <w:r>
              <w:rPr>
                <w:rFonts w:hint="eastAsia"/>
              </w:rPr>
              <w:t>范围内人口数小计</w:t>
            </w:r>
          </w:p>
        </w:tc>
        <w:tc>
          <w:tcPr>
            <w:tcW w:w="1970" w:type="dxa"/>
            <w:vAlign w:val="center"/>
          </w:tcPr>
          <w:p w14:paraId="0D0C9FA2">
            <w:pPr>
              <w:pStyle w:val="133"/>
            </w:pPr>
            <w:r>
              <w:rPr>
                <w:rFonts w:hint="eastAsia"/>
              </w:rPr>
              <w:t>0</w:t>
            </w:r>
          </w:p>
        </w:tc>
      </w:tr>
      <w:tr w14:paraId="0E9252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443C476">
            <w:pPr>
              <w:pStyle w:val="133"/>
            </w:pPr>
          </w:p>
        </w:tc>
        <w:tc>
          <w:tcPr>
            <w:tcW w:w="5831" w:type="dxa"/>
            <w:gridSpan w:val="5"/>
            <w:vAlign w:val="center"/>
          </w:tcPr>
          <w:p w14:paraId="56D4961E">
            <w:pPr>
              <w:pStyle w:val="133"/>
            </w:pPr>
            <w:r>
              <w:rPr>
                <w:rFonts w:hint="eastAsia"/>
              </w:rPr>
              <w:t>大气环境敏感程度</w:t>
            </w:r>
            <w:r>
              <w:t>E</w:t>
            </w:r>
            <w:r>
              <w:rPr>
                <w:rFonts w:hint="eastAsia"/>
              </w:rPr>
              <w:t>值</w:t>
            </w:r>
          </w:p>
        </w:tc>
        <w:tc>
          <w:tcPr>
            <w:tcW w:w="1970" w:type="dxa"/>
            <w:vAlign w:val="center"/>
          </w:tcPr>
          <w:p w14:paraId="348FE008">
            <w:pPr>
              <w:pStyle w:val="133"/>
            </w:pPr>
            <w:r>
              <w:rPr>
                <w:rFonts w:hint="eastAsia"/>
              </w:rPr>
              <w:t>E</w:t>
            </w:r>
            <w:r>
              <w:t>3</w:t>
            </w:r>
          </w:p>
        </w:tc>
      </w:tr>
      <w:tr w14:paraId="0D30FB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1E6BFAB7">
            <w:pPr>
              <w:pStyle w:val="133"/>
            </w:pPr>
            <w:r>
              <w:rPr>
                <w:rFonts w:hint="eastAsia"/>
              </w:rPr>
              <w:t>地表水</w:t>
            </w:r>
          </w:p>
        </w:tc>
        <w:tc>
          <w:tcPr>
            <w:tcW w:w="7801" w:type="dxa"/>
            <w:gridSpan w:val="6"/>
            <w:vAlign w:val="center"/>
          </w:tcPr>
          <w:p w14:paraId="2F7DEE70">
            <w:pPr>
              <w:pStyle w:val="133"/>
            </w:pPr>
            <w:r>
              <w:rPr>
                <w:rFonts w:hint="eastAsia"/>
              </w:rPr>
              <w:t>受纳水体</w:t>
            </w:r>
          </w:p>
        </w:tc>
      </w:tr>
      <w:tr w14:paraId="0C8EE2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B36F661">
            <w:pPr>
              <w:pStyle w:val="133"/>
            </w:pPr>
          </w:p>
        </w:tc>
        <w:tc>
          <w:tcPr>
            <w:tcW w:w="733" w:type="dxa"/>
            <w:vAlign w:val="center"/>
          </w:tcPr>
          <w:p w14:paraId="7696A3DA">
            <w:pPr>
              <w:pStyle w:val="133"/>
            </w:pPr>
            <w:r>
              <w:rPr>
                <w:rFonts w:hint="eastAsia"/>
              </w:rPr>
              <w:t>序号</w:t>
            </w:r>
          </w:p>
        </w:tc>
        <w:tc>
          <w:tcPr>
            <w:tcW w:w="3094" w:type="dxa"/>
            <w:gridSpan w:val="2"/>
            <w:vAlign w:val="center"/>
          </w:tcPr>
          <w:p w14:paraId="0C18E061">
            <w:pPr>
              <w:pStyle w:val="133"/>
            </w:pPr>
            <w:r>
              <w:rPr>
                <w:rFonts w:hint="eastAsia"/>
              </w:rPr>
              <w:t>受纳水体名称</w:t>
            </w:r>
          </w:p>
        </w:tc>
        <w:tc>
          <w:tcPr>
            <w:tcW w:w="2004" w:type="dxa"/>
            <w:gridSpan w:val="2"/>
            <w:vAlign w:val="center"/>
          </w:tcPr>
          <w:p w14:paraId="31649838">
            <w:pPr>
              <w:pStyle w:val="133"/>
            </w:pPr>
            <w:r>
              <w:rPr>
                <w:rFonts w:hint="eastAsia"/>
              </w:rPr>
              <w:t>排放点水域环境功能</w:t>
            </w:r>
          </w:p>
        </w:tc>
        <w:tc>
          <w:tcPr>
            <w:tcW w:w="1970" w:type="dxa"/>
            <w:vAlign w:val="center"/>
          </w:tcPr>
          <w:p w14:paraId="7B3071E9">
            <w:pPr>
              <w:pStyle w:val="133"/>
            </w:pPr>
            <w:r>
              <w:t>24h</w:t>
            </w:r>
            <w:r>
              <w:rPr>
                <w:rFonts w:hint="eastAsia"/>
              </w:rPr>
              <w:t>内流经范围</w:t>
            </w:r>
            <w:r>
              <w:t>/km</w:t>
            </w:r>
          </w:p>
        </w:tc>
      </w:tr>
      <w:tr w14:paraId="08146C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0857715">
            <w:pPr>
              <w:pStyle w:val="133"/>
            </w:pPr>
          </w:p>
        </w:tc>
        <w:tc>
          <w:tcPr>
            <w:tcW w:w="733" w:type="dxa"/>
            <w:vAlign w:val="center"/>
          </w:tcPr>
          <w:p w14:paraId="7B3646D4">
            <w:pPr>
              <w:pStyle w:val="133"/>
            </w:pPr>
            <w:r>
              <w:rPr>
                <w:rFonts w:hint="eastAsia"/>
              </w:rPr>
              <w:t>/</w:t>
            </w:r>
          </w:p>
        </w:tc>
        <w:tc>
          <w:tcPr>
            <w:tcW w:w="3094" w:type="dxa"/>
            <w:gridSpan w:val="2"/>
            <w:vAlign w:val="center"/>
          </w:tcPr>
          <w:p w14:paraId="6C4829ED">
            <w:pPr>
              <w:pStyle w:val="133"/>
            </w:pPr>
            <w:r>
              <w:rPr>
                <w:rFonts w:hint="eastAsia"/>
              </w:rPr>
              <w:t>/</w:t>
            </w:r>
          </w:p>
        </w:tc>
        <w:tc>
          <w:tcPr>
            <w:tcW w:w="2004" w:type="dxa"/>
            <w:gridSpan w:val="2"/>
            <w:vAlign w:val="center"/>
          </w:tcPr>
          <w:p w14:paraId="277D4D21">
            <w:pPr>
              <w:pStyle w:val="133"/>
            </w:pPr>
            <w:r>
              <w:rPr>
                <w:rFonts w:hint="eastAsia"/>
              </w:rPr>
              <w:t>/</w:t>
            </w:r>
          </w:p>
        </w:tc>
        <w:tc>
          <w:tcPr>
            <w:tcW w:w="1970" w:type="dxa"/>
            <w:vAlign w:val="center"/>
          </w:tcPr>
          <w:p w14:paraId="0D04B159">
            <w:pPr>
              <w:pStyle w:val="133"/>
            </w:pPr>
            <w:r>
              <w:rPr>
                <w:rFonts w:hint="eastAsia"/>
              </w:rPr>
              <w:t>/</w:t>
            </w:r>
          </w:p>
        </w:tc>
      </w:tr>
      <w:tr w14:paraId="558F8F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128C0FC2">
            <w:pPr>
              <w:pStyle w:val="133"/>
            </w:pPr>
          </w:p>
        </w:tc>
        <w:tc>
          <w:tcPr>
            <w:tcW w:w="7801" w:type="dxa"/>
            <w:gridSpan w:val="6"/>
            <w:vAlign w:val="center"/>
          </w:tcPr>
          <w:p w14:paraId="22453F06">
            <w:pPr>
              <w:pStyle w:val="133"/>
            </w:pPr>
            <w:r>
              <w:rPr>
                <w:rFonts w:hint="eastAsia"/>
              </w:rPr>
              <w:t>内陆水体排放点下游</w:t>
            </w:r>
            <w:r>
              <w:t>10km</w:t>
            </w:r>
            <w:r>
              <w:rPr>
                <w:rFonts w:hint="eastAsia"/>
              </w:rPr>
              <w:t>（近岸海域一个潮周期最大水平距离两倍）范围内敏感目标</w:t>
            </w:r>
          </w:p>
        </w:tc>
      </w:tr>
      <w:tr w14:paraId="797709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7F8DE998">
            <w:pPr>
              <w:pStyle w:val="133"/>
            </w:pPr>
          </w:p>
        </w:tc>
        <w:tc>
          <w:tcPr>
            <w:tcW w:w="733" w:type="dxa"/>
            <w:vAlign w:val="center"/>
          </w:tcPr>
          <w:p w14:paraId="024758CB">
            <w:pPr>
              <w:pStyle w:val="133"/>
            </w:pPr>
            <w:r>
              <w:rPr>
                <w:rFonts w:hint="eastAsia"/>
              </w:rPr>
              <w:t>序号</w:t>
            </w:r>
          </w:p>
        </w:tc>
        <w:tc>
          <w:tcPr>
            <w:tcW w:w="1677" w:type="dxa"/>
            <w:vAlign w:val="center"/>
          </w:tcPr>
          <w:p w14:paraId="06261EDE">
            <w:pPr>
              <w:pStyle w:val="133"/>
            </w:pPr>
            <w:r>
              <w:rPr>
                <w:rFonts w:hint="eastAsia"/>
              </w:rPr>
              <w:t>敏感目标名称</w:t>
            </w:r>
          </w:p>
        </w:tc>
        <w:tc>
          <w:tcPr>
            <w:tcW w:w="1417" w:type="dxa"/>
            <w:vAlign w:val="center"/>
          </w:tcPr>
          <w:p w14:paraId="7F7AEA30">
            <w:pPr>
              <w:pStyle w:val="133"/>
            </w:pPr>
            <w:r>
              <w:rPr>
                <w:rFonts w:hint="eastAsia"/>
              </w:rPr>
              <w:t>环境敏感</w:t>
            </w:r>
          </w:p>
          <w:p w14:paraId="29772579">
            <w:pPr>
              <w:pStyle w:val="133"/>
            </w:pPr>
            <w:r>
              <w:rPr>
                <w:rFonts w:hint="eastAsia"/>
              </w:rPr>
              <w:t>特征</w:t>
            </w:r>
          </w:p>
        </w:tc>
        <w:tc>
          <w:tcPr>
            <w:tcW w:w="2004" w:type="dxa"/>
            <w:gridSpan w:val="2"/>
            <w:vAlign w:val="center"/>
          </w:tcPr>
          <w:p w14:paraId="5AE548D4">
            <w:pPr>
              <w:pStyle w:val="133"/>
            </w:pPr>
            <w:r>
              <w:rPr>
                <w:rFonts w:hint="eastAsia"/>
              </w:rPr>
              <w:t>水质目标</w:t>
            </w:r>
          </w:p>
        </w:tc>
        <w:tc>
          <w:tcPr>
            <w:tcW w:w="1970" w:type="dxa"/>
            <w:vAlign w:val="center"/>
          </w:tcPr>
          <w:p w14:paraId="2927DDDC">
            <w:pPr>
              <w:pStyle w:val="133"/>
            </w:pPr>
            <w:r>
              <w:rPr>
                <w:rFonts w:hint="eastAsia"/>
              </w:rPr>
              <w:t>与排放点距离</w:t>
            </w:r>
            <w:r>
              <w:t>/m</w:t>
            </w:r>
          </w:p>
        </w:tc>
      </w:tr>
      <w:tr w14:paraId="2CA899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66B55A41">
            <w:pPr>
              <w:pStyle w:val="133"/>
            </w:pPr>
          </w:p>
        </w:tc>
        <w:tc>
          <w:tcPr>
            <w:tcW w:w="733" w:type="dxa"/>
            <w:vAlign w:val="center"/>
          </w:tcPr>
          <w:p w14:paraId="56546420">
            <w:pPr>
              <w:pStyle w:val="133"/>
            </w:pPr>
            <w:r>
              <w:rPr>
                <w:rFonts w:hint="eastAsia"/>
              </w:rPr>
              <w:t>/</w:t>
            </w:r>
          </w:p>
        </w:tc>
        <w:tc>
          <w:tcPr>
            <w:tcW w:w="1677" w:type="dxa"/>
            <w:vAlign w:val="center"/>
          </w:tcPr>
          <w:p w14:paraId="7E920AC5">
            <w:pPr>
              <w:pStyle w:val="133"/>
            </w:pPr>
            <w:r>
              <w:rPr>
                <w:rFonts w:hint="eastAsia"/>
              </w:rPr>
              <w:t>/</w:t>
            </w:r>
          </w:p>
        </w:tc>
        <w:tc>
          <w:tcPr>
            <w:tcW w:w="1417" w:type="dxa"/>
            <w:vAlign w:val="center"/>
          </w:tcPr>
          <w:p w14:paraId="43B41E07">
            <w:pPr>
              <w:pStyle w:val="133"/>
            </w:pPr>
            <w:r>
              <w:rPr>
                <w:rFonts w:hint="eastAsia"/>
              </w:rPr>
              <w:t>/</w:t>
            </w:r>
          </w:p>
        </w:tc>
        <w:tc>
          <w:tcPr>
            <w:tcW w:w="2004" w:type="dxa"/>
            <w:gridSpan w:val="2"/>
            <w:vAlign w:val="center"/>
          </w:tcPr>
          <w:p w14:paraId="6FF0D31F">
            <w:pPr>
              <w:pStyle w:val="133"/>
            </w:pPr>
            <w:r>
              <w:rPr>
                <w:rFonts w:hint="eastAsia"/>
              </w:rPr>
              <w:t>/</w:t>
            </w:r>
          </w:p>
        </w:tc>
        <w:tc>
          <w:tcPr>
            <w:tcW w:w="1970" w:type="dxa"/>
            <w:vAlign w:val="center"/>
          </w:tcPr>
          <w:p w14:paraId="04E051A3">
            <w:pPr>
              <w:pStyle w:val="133"/>
            </w:pPr>
            <w:r>
              <w:rPr>
                <w:rFonts w:hint="eastAsia"/>
              </w:rPr>
              <w:t>/</w:t>
            </w:r>
          </w:p>
        </w:tc>
      </w:tr>
      <w:tr w14:paraId="4C9C2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B27FBC3">
            <w:pPr>
              <w:pStyle w:val="133"/>
            </w:pPr>
          </w:p>
        </w:tc>
        <w:tc>
          <w:tcPr>
            <w:tcW w:w="5831" w:type="dxa"/>
            <w:gridSpan w:val="5"/>
            <w:vAlign w:val="center"/>
          </w:tcPr>
          <w:p w14:paraId="27F24FEB">
            <w:pPr>
              <w:pStyle w:val="133"/>
            </w:pPr>
            <w:r>
              <w:rPr>
                <w:rFonts w:hint="eastAsia"/>
              </w:rPr>
              <w:t>地表水环境敏感程度</w:t>
            </w:r>
            <w:r>
              <w:t>E</w:t>
            </w:r>
            <w:r>
              <w:rPr>
                <w:rFonts w:hint="eastAsia"/>
              </w:rPr>
              <w:t>值</w:t>
            </w:r>
          </w:p>
        </w:tc>
        <w:tc>
          <w:tcPr>
            <w:tcW w:w="1970" w:type="dxa"/>
            <w:vAlign w:val="center"/>
          </w:tcPr>
          <w:p w14:paraId="15F0A950">
            <w:pPr>
              <w:pStyle w:val="133"/>
            </w:pPr>
            <w:r>
              <w:rPr>
                <w:rFonts w:hint="eastAsia"/>
              </w:rPr>
              <w:t>E3</w:t>
            </w:r>
          </w:p>
        </w:tc>
      </w:tr>
      <w:tr w14:paraId="346BE8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restart"/>
            <w:vAlign w:val="center"/>
          </w:tcPr>
          <w:p w14:paraId="1E45FA87">
            <w:pPr>
              <w:pStyle w:val="133"/>
            </w:pPr>
            <w:r>
              <w:rPr>
                <w:rFonts w:hint="eastAsia"/>
              </w:rPr>
              <w:t>地下水</w:t>
            </w:r>
          </w:p>
        </w:tc>
        <w:tc>
          <w:tcPr>
            <w:tcW w:w="733" w:type="dxa"/>
            <w:vAlign w:val="center"/>
          </w:tcPr>
          <w:p w14:paraId="7DA8C7DC">
            <w:pPr>
              <w:pStyle w:val="133"/>
            </w:pPr>
            <w:r>
              <w:rPr>
                <w:rFonts w:hint="eastAsia"/>
              </w:rPr>
              <w:t>序号</w:t>
            </w:r>
          </w:p>
        </w:tc>
        <w:tc>
          <w:tcPr>
            <w:tcW w:w="1677" w:type="dxa"/>
            <w:vAlign w:val="center"/>
          </w:tcPr>
          <w:p w14:paraId="4F083350">
            <w:pPr>
              <w:pStyle w:val="133"/>
            </w:pPr>
            <w:r>
              <w:rPr>
                <w:rFonts w:hint="eastAsia"/>
              </w:rPr>
              <w:t>环境敏感区</w:t>
            </w:r>
          </w:p>
          <w:p w14:paraId="08A56F97">
            <w:pPr>
              <w:pStyle w:val="133"/>
            </w:pPr>
            <w:r>
              <w:rPr>
                <w:rFonts w:hint="eastAsia"/>
              </w:rPr>
              <w:t>名称</w:t>
            </w:r>
          </w:p>
        </w:tc>
        <w:tc>
          <w:tcPr>
            <w:tcW w:w="1417" w:type="dxa"/>
            <w:vAlign w:val="center"/>
          </w:tcPr>
          <w:p w14:paraId="4DB69A12">
            <w:pPr>
              <w:pStyle w:val="133"/>
            </w:pPr>
            <w:r>
              <w:rPr>
                <w:rFonts w:hint="eastAsia"/>
              </w:rPr>
              <w:t>环境敏感</w:t>
            </w:r>
          </w:p>
          <w:p w14:paraId="71417070">
            <w:pPr>
              <w:pStyle w:val="133"/>
            </w:pPr>
            <w:r>
              <w:rPr>
                <w:rFonts w:hint="eastAsia"/>
              </w:rPr>
              <w:t>特征</w:t>
            </w:r>
          </w:p>
        </w:tc>
        <w:tc>
          <w:tcPr>
            <w:tcW w:w="703" w:type="dxa"/>
            <w:vAlign w:val="center"/>
          </w:tcPr>
          <w:p w14:paraId="768378F6">
            <w:pPr>
              <w:pStyle w:val="133"/>
            </w:pPr>
            <w:r>
              <w:rPr>
                <w:rFonts w:hint="eastAsia"/>
              </w:rPr>
              <w:t>水质目标</w:t>
            </w:r>
          </w:p>
        </w:tc>
        <w:tc>
          <w:tcPr>
            <w:tcW w:w="1301" w:type="dxa"/>
            <w:vAlign w:val="center"/>
          </w:tcPr>
          <w:p w14:paraId="2CC4745F">
            <w:pPr>
              <w:pStyle w:val="133"/>
            </w:pPr>
            <w:r>
              <w:rPr>
                <w:rFonts w:hint="eastAsia"/>
              </w:rPr>
              <w:t>包气带防污性能</w:t>
            </w:r>
          </w:p>
        </w:tc>
        <w:tc>
          <w:tcPr>
            <w:tcW w:w="1970" w:type="dxa"/>
            <w:vAlign w:val="center"/>
          </w:tcPr>
          <w:p w14:paraId="07B135DC">
            <w:pPr>
              <w:pStyle w:val="133"/>
            </w:pPr>
            <w:r>
              <w:rPr>
                <w:rFonts w:hint="eastAsia"/>
              </w:rPr>
              <w:t>与下游厂界距离</w:t>
            </w:r>
            <w:r>
              <w:t>/m</w:t>
            </w:r>
          </w:p>
        </w:tc>
      </w:tr>
      <w:tr w14:paraId="18C82D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2AB4FE1A">
            <w:pPr>
              <w:pStyle w:val="133"/>
            </w:pPr>
          </w:p>
        </w:tc>
        <w:tc>
          <w:tcPr>
            <w:tcW w:w="733" w:type="dxa"/>
            <w:vAlign w:val="center"/>
          </w:tcPr>
          <w:p w14:paraId="7C84E330">
            <w:pPr>
              <w:pStyle w:val="133"/>
            </w:pPr>
            <w:r>
              <w:rPr>
                <w:rFonts w:hint="eastAsia"/>
              </w:rPr>
              <w:t>/</w:t>
            </w:r>
          </w:p>
        </w:tc>
        <w:tc>
          <w:tcPr>
            <w:tcW w:w="1677" w:type="dxa"/>
            <w:vAlign w:val="center"/>
          </w:tcPr>
          <w:p w14:paraId="110CAE0A">
            <w:pPr>
              <w:pStyle w:val="133"/>
            </w:pPr>
            <w:r>
              <w:rPr>
                <w:rFonts w:hint="eastAsia"/>
              </w:rPr>
              <w:t>/</w:t>
            </w:r>
          </w:p>
        </w:tc>
        <w:tc>
          <w:tcPr>
            <w:tcW w:w="1417" w:type="dxa"/>
            <w:vAlign w:val="center"/>
          </w:tcPr>
          <w:p w14:paraId="2E7D6404">
            <w:pPr>
              <w:pStyle w:val="133"/>
            </w:pPr>
            <w:r>
              <w:rPr>
                <w:rFonts w:hint="eastAsia"/>
              </w:rPr>
              <w:t>/</w:t>
            </w:r>
          </w:p>
        </w:tc>
        <w:tc>
          <w:tcPr>
            <w:tcW w:w="703" w:type="dxa"/>
            <w:vAlign w:val="center"/>
          </w:tcPr>
          <w:p w14:paraId="1B72B1A4">
            <w:pPr>
              <w:pStyle w:val="133"/>
            </w:pPr>
            <w:r>
              <w:rPr>
                <w:rFonts w:hint="eastAsia"/>
              </w:rPr>
              <w:t>/</w:t>
            </w:r>
          </w:p>
        </w:tc>
        <w:tc>
          <w:tcPr>
            <w:tcW w:w="1301" w:type="dxa"/>
            <w:vAlign w:val="center"/>
          </w:tcPr>
          <w:p w14:paraId="1A159F4C">
            <w:pPr>
              <w:pStyle w:val="133"/>
            </w:pPr>
            <w:r>
              <w:rPr>
                <w:rFonts w:hint="eastAsia"/>
              </w:rPr>
              <w:t>/</w:t>
            </w:r>
          </w:p>
        </w:tc>
        <w:tc>
          <w:tcPr>
            <w:tcW w:w="1970" w:type="dxa"/>
            <w:vAlign w:val="center"/>
          </w:tcPr>
          <w:p w14:paraId="4A8CDB5C">
            <w:pPr>
              <w:pStyle w:val="133"/>
            </w:pPr>
            <w:r>
              <w:rPr>
                <w:rFonts w:hint="eastAsia"/>
              </w:rPr>
              <w:t>/</w:t>
            </w:r>
          </w:p>
        </w:tc>
      </w:tr>
      <w:tr w14:paraId="71A874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04" w:type="dxa"/>
            <w:vMerge w:val="continue"/>
            <w:vAlign w:val="center"/>
          </w:tcPr>
          <w:p w14:paraId="52850E4A">
            <w:pPr>
              <w:pStyle w:val="133"/>
            </w:pPr>
          </w:p>
        </w:tc>
        <w:tc>
          <w:tcPr>
            <w:tcW w:w="5831" w:type="dxa"/>
            <w:gridSpan w:val="5"/>
            <w:vAlign w:val="center"/>
          </w:tcPr>
          <w:p w14:paraId="5582017A">
            <w:pPr>
              <w:pStyle w:val="133"/>
            </w:pPr>
            <w:r>
              <w:rPr>
                <w:rFonts w:hint="eastAsia"/>
              </w:rPr>
              <w:t>地下水环境敏感程度</w:t>
            </w:r>
            <w:r>
              <w:t>E</w:t>
            </w:r>
            <w:r>
              <w:rPr>
                <w:rFonts w:hint="eastAsia"/>
              </w:rPr>
              <w:t>值</w:t>
            </w:r>
          </w:p>
        </w:tc>
        <w:tc>
          <w:tcPr>
            <w:tcW w:w="1970" w:type="dxa"/>
            <w:vAlign w:val="center"/>
          </w:tcPr>
          <w:p w14:paraId="777F81EE">
            <w:pPr>
              <w:pStyle w:val="133"/>
            </w:pPr>
            <w:r>
              <w:t>E2</w:t>
            </w:r>
          </w:p>
        </w:tc>
      </w:tr>
    </w:tbl>
    <w:p w14:paraId="6694F718">
      <w:pPr>
        <w:pStyle w:val="38"/>
        <w:ind w:firstLine="0" w:firstLineChars="0"/>
        <w:jc w:val="center"/>
      </w:pPr>
    </w:p>
    <w:bookmarkEnd w:id="682"/>
    <w:bookmarkEnd w:id="683"/>
    <w:p w14:paraId="7BD836D8">
      <w:pPr>
        <w:pStyle w:val="3"/>
      </w:pPr>
      <w:bookmarkStart w:id="684" w:name="_Toc155627741"/>
      <w:bookmarkStart w:id="685" w:name="_Toc205291414"/>
      <w:r>
        <w:rPr>
          <w:rFonts w:hint="eastAsia"/>
        </w:rPr>
        <w:t>环境风险潜势初判</w:t>
      </w:r>
      <w:bookmarkEnd w:id="684"/>
      <w:bookmarkEnd w:id="685"/>
    </w:p>
    <w:p w14:paraId="30BD0896">
      <w:pPr>
        <w:pStyle w:val="138"/>
        <w:ind w:firstLine="480"/>
        <w:rPr>
          <w:rFonts w:hint="eastAsia"/>
        </w:rPr>
      </w:pPr>
      <w:r>
        <w:rPr>
          <w:rFonts w:hint="eastAsia"/>
        </w:rPr>
        <w:t>环境风险潜势划分依据</w:t>
      </w:r>
    </w:p>
    <w:p w14:paraId="5EFF2FBE">
      <w:pPr>
        <w:pStyle w:val="117"/>
        <w:ind w:firstLine="480"/>
      </w:pPr>
      <w:r>
        <w:rPr>
          <w:rFonts w:hint="eastAsia"/>
        </w:rPr>
        <w:t>根据《建设项目环境风险评价技术导则》（HJ 169-2018），建设项目环境风险潜势划分为</w:t>
      </w:r>
      <w:r>
        <w:t>Ⅰ</w:t>
      </w:r>
      <w:r>
        <w:rPr>
          <w:rFonts w:hint="eastAsia"/>
        </w:rPr>
        <w:t>、Ⅱ、Ⅲ、Ⅳ</w:t>
      </w:r>
      <w:r>
        <w:t>/</w:t>
      </w:r>
      <w:r>
        <w:rPr>
          <w:rFonts w:hint="eastAsia"/>
        </w:rPr>
        <w:t>Ⅳ</w:t>
      </w:r>
      <w:r>
        <w:t>+</w:t>
      </w:r>
      <w:r>
        <w:rPr>
          <w:rFonts w:hint="eastAsia"/>
        </w:rPr>
        <w:t>级。</w:t>
      </w:r>
    </w:p>
    <w:p w14:paraId="7ED77046">
      <w:pPr>
        <w:pStyle w:val="117"/>
        <w:ind w:firstLine="480"/>
      </w:pPr>
      <w:r>
        <w:rPr>
          <w:rFonts w:hint="eastAsia"/>
        </w:rPr>
        <w:t>根据建设项目涉及的物质和工艺系统的危险性及其所在地的环境敏感程度，结合事故环境影响途径，对建设项目潜在环境危害程度进行概化分析，进而确定环境风险潜势，确定依据，见7.3-1。</w:t>
      </w:r>
    </w:p>
    <w:p w14:paraId="29FB2EFB">
      <w:pPr>
        <w:pStyle w:val="118"/>
        <w:ind w:firstLine="480"/>
      </w:pPr>
      <w:bookmarkStart w:id="686" w:name="_Ref69750092"/>
      <w:r>
        <w:rPr>
          <w:rFonts w:hint="eastAsia"/>
        </w:rPr>
        <w:t>表7.3</w:t>
      </w:r>
      <w:bookmarkEnd w:id="686"/>
      <w:r>
        <w:rPr>
          <w:rFonts w:hint="eastAsia"/>
        </w:rPr>
        <w:t xml:space="preserve">-1  </w:t>
      </w:r>
      <w:r>
        <w:t xml:space="preserve">  </w:t>
      </w:r>
      <w:r>
        <w:rPr>
          <w:rFonts w:hint="eastAsia"/>
        </w:rPr>
        <w:t>项目环境风险潜势划分依据一览表</w:t>
      </w:r>
    </w:p>
    <w:tbl>
      <w:tblPr>
        <w:tblStyle w:val="6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9"/>
        <w:gridCol w:w="1711"/>
        <w:gridCol w:w="1724"/>
        <w:gridCol w:w="1740"/>
        <w:gridCol w:w="1641"/>
      </w:tblGrid>
      <w:tr w14:paraId="41E5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3" w:type="dxa"/>
            <w:vMerge w:val="restart"/>
            <w:tcBorders>
              <w:top w:val="single" w:color="auto" w:sz="12" w:space="0"/>
              <w:left w:val="single" w:color="auto" w:sz="12" w:space="0"/>
            </w:tcBorders>
            <w:vAlign w:val="center"/>
          </w:tcPr>
          <w:p w14:paraId="24462F46">
            <w:pPr>
              <w:pStyle w:val="133"/>
              <w:rPr>
                <w:b/>
                <w:bCs/>
                <w:lang w:eastAsia="en-US"/>
              </w:rPr>
            </w:pPr>
            <w:r>
              <w:rPr>
                <w:b/>
                <w:bCs/>
                <w:lang w:eastAsia="en-US"/>
              </w:rPr>
              <w:t>环境敏感程度</w:t>
            </w:r>
          </w:p>
        </w:tc>
        <w:tc>
          <w:tcPr>
            <w:tcW w:w="6196" w:type="dxa"/>
            <w:gridSpan w:val="4"/>
            <w:tcBorders>
              <w:top w:val="single" w:color="auto" w:sz="12" w:space="0"/>
              <w:right w:val="single" w:color="auto" w:sz="12" w:space="0"/>
            </w:tcBorders>
            <w:vAlign w:val="center"/>
          </w:tcPr>
          <w:p w14:paraId="33904CF9">
            <w:pPr>
              <w:pStyle w:val="133"/>
              <w:rPr>
                <w:b/>
                <w:bCs/>
              </w:rPr>
            </w:pPr>
            <w:r>
              <w:rPr>
                <w:b/>
                <w:bCs/>
              </w:rPr>
              <w:t>危险物质及工艺系统危险性P</w:t>
            </w:r>
          </w:p>
        </w:tc>
      </w:tr>
      <w:tr w14:paraId="3023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3" w:type="dxa"/>
            <w:vMerge w:val="continue"/>
            <w:tcBorders>
              <w:left w:val="single" w:color="auto" w:sz="12" w:space="0"/>
            </w:tcBorders>
            <w:vAlign w:val="center"/>
          </w:tcPr>
          <w:p w14:paraId="259C32CD">
            <w:pPr>
              <w:pStyle w:val="133"/>
              <w:rPr>
                <w:b/>
                <w:bCs/>
              </w:rPr>
            </w:pPr>
          </w:p>
        </w:tc>
        <w:tc>
          <w:tcPr>
            <w:tcW w:w="1555" w:type="dxa"/>
            <w:vAlign w:val="center"/>
          </w:tcPr>
          <w:p w14:paraId="7455B7AA">
            <w:pPr>
              <w:pStyle w:val="133"/>
              <w:rPr>
                <w:b/>
                <w:bCs/>
                <w:lang w:eastAsia="en-US"/>
              </w:rPr>
            </w:pPr>
            <w:r>
              <w:rPr>
                <w:b/>
                <w:bCs/>
                <w:lang w:eastAsia="en-US"/>
              </w:rPr>
              <w:t>极高危害（P1）</w:t>
            </w:r>
          </w:p>
        </w:tc>
        <w:tc>
          <w:tcPr>
            <w:tcW w:w="1567" w:type="dxa"/>
            <w:vAlign w:val="center"/>
          </w:tcPr>
          <w:p w14:paraId="1773E2C1">
            <w:pPr>
              <w:pStyle w:val="133"/>
              <w:rPr>
                <w:b/>
                <w:bCs/>
                <w:lang w:eastAsia="en-US"/>
              </w:rPr>
            </w:pPr>
            <w:r>
              <w:rPr>
                <w:b/>
                <w:bCs/>
                <w:lang w:eastAsia="en-US"/>
              </w:rPr>
              <w:t>高度危害（P2）</w:t>
            </w:r>
          </w:p>
        </w:tc>
        <w:tc>
          <w:tcPr>
            <w:tcW w:w="1582" w:type="dxa"/>
            <w:vAlign w:val="center"/>
          </w:tcPr>
          <w:p w14:paraId="53CED277">
            <w:pPr>
              <w:pStyle w:val="133"/>
              <w:rPr>
                <w:b/>
                <w:bCs/>
                <w:lang w:eastAsia="en-US"/>
              </w:rPr>
            </w:pPr>
            <w:r>
              <w:rPr>
                <w:b/>
                <w:bCs/>
                <w:lang w:eastAsia="en-US"/>
              </w:rPr>
              <w:t>中度危害（P3）</w:t>
            </w:r>
          </w:p>
        </w:tc>
        <w:tc>
          <w:tcPr>
            <w:tcW w:w="1492" w:type="dxa"/>
            <w:tcBorders>
              <w:right w:val="single" w:color="auto" w:sz="12" w:space="0"/>
            </w:tcBorders>
            <w:vAlign w:val="center"/>
          </w:tcPr>
          <w:p w14:paraId="406CFC97">
            <w:pPr>
              <w:pStyle w:val="133"/>
              <w:rPr>
                <w:b/>
                <w:bCs/>
                <w:lang w:eastAsia="en-US"/>
              </w:rPr>
            </w:pPr>
            <w:r>
              <w:rPr>
                <w:b/>
                <w:bCs/>
                <w:lang w:eastAsia="en-US"/>
              </w:rPr>
              <w:t>轻度危害（P4）</w:t>
            </w:r>
          </w:p>
        </w:tc>
      </w:tr>
      <w:tr w14:paraId="532A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3" w:type="dxa"/>
            <w:tcBorders>
              <w:left w:val="single" w:color="auto" w:sz="12" w:space="0"/>
            </w:tcBorders>
            <w:vAlign w:val="center"/>
          </w:tcPr>
          <w:p w14:paraId="4CA1D6DE">
            <w:pPr>
              <w:pStyle w:val="133"/>
            </w:pPr>
            <w:r>
              <w:t>环境高敏感度区（E1）</w:t>
            </w:r>
          </w:p>
        </w:tc>
        <w:tc>
          <w:tcPr>
            <w:tcW w:w="1555" w:type="dxa"/>
            <w:vAlign w:val="center"/>
          </w:tcPr>
          <w:p w14:paraId="77BCE27B">
            <w:pPr>
              <w:pStyle w:val="133"/>
              <w:rPr>
                <w:lang w:eastAsia="en-US"/>
              </w:rPr>
            </w:pPr>
            <w:r>
              <w:rPr>
                <w:lang w:eastAsia="en-US"/>
              </w:rPr>
              <w:t>IV</w:t>
            </w:r>
            <w:r>
              <w:rPr>
                <w:vertAlign w:val="superscript"/>
                <w:lang w:eastAsia="en-US"/>
              </w:rPr>
              <w:t>+</w:t>
            </w:r>
          </w:p>
        </w:tc>
        <w:tc>
          <w:tcPr>
            <w:tcW w:w="1567" w:type="dxa"/>
            <w:vAlign w:val="center"/>
          </w:tcPr>
          <w:p w14:paraId="24496EBD">
            <w:pPr>
              <w:pStyle w:val="133"/>
              <w:rPr>
                <w:lang w:eastAsia="en-US"/>
              </w:rPr>
            </w:pPr>
            <w:r>
              <w:rPr>
                <w:lang w:eastAsia="en-US"/>
              </w:rPr>
              <w:t>IV</w:t>
            </w:r>
          </w:p>
        </w:tc>
        <w:tc>
          <w:tcPr>
            <w:tcW w:w="1582" w:type="dxa"/>
            <w:vAlign w:val="center"/>
          </w:tcPr>
          <w:p w14:paraId="302A0B6C">
            <w:pPr>
              <w:pStyle w:val="133"/>
              <w:rPr>
                <w:lang w:eastAsia="en-US"/>
              </w:rPr>
            </w:pPr>
            <w:r>
              <w:rPr>
                <w:rFonts w:hint="eastAsia"/>
              </w:rPr>
              <w:t>Ⅲ</w:t>
            </w:r>
          </w:p>
        </w:tc>
        <w:tc>
          <w:tcPr>
            <w:tcW w:w="1492" w:type="dxa"/>
            <w:tcBorders>
              <w:right w:val="single" w:color="auto" w:sz="12" w:space="0"/>
            </w:tcBorders>
            <w:vAlign w:val="center"/>
          </w:tcPr>
          <w:p w14:paraId="58050201">
            <w:pPr>
              <w:pStyle w:val="133"/>
              <w:rPr>
                <w:lang w:eastAsia="en-US"/>
              </w:rPr>
            </w:pPr>
            <w:r>
              <w:rPr>
                <w:rFonts w:hint="eastAsia"/>
              </w:rPr>
              <w:t>Ⅲ</w:t>
            </w:r>
          </w:p>
        </w:tc>
      </w:tr>
      <w:tr w14:paraId="50EE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3" w:type="dxa"/>
            <w:tcBorders>
              <w:left w:val="single" w:color="auto" w:sz="12" w:space="0"/>
            </w:tcBorders>
            <w:vAlign w:val="center"/>
          </w:tcPr>
          <w:p w14:paraId="29A369A6">
            <w:pPr>
              <w:pStyle w:val="133"/>
            </w:pPr>
            <w:r>
              <w:t>环境中敏感度区（E2）</w:t>
            </w:r>
          </w:p>
        </w:tc>
        <w:tc>
          <w:tcPr>
            <w:tcW w:w="1555" w:type="dxa"/>
            <w:vAlign w:val="center"/>
          </w:tcPr>
          <w:p w14:paraId="7D18DB8B">
            <w:pPr>
              <w:pStyle w:val="133"/>
              <w:rPr>
                <w:lang w:eastAsia="en-US"/>
              </w:rPr>
            </w:pPr>
            <w:r>
              <w:rPr>
                <w:lang w:eastAsia="en-US"/>
              </w:rPr>
              <w:t>IV</w:t>
            </w:r>
          </w:p>
        </w:tc>
        <w:tc>
          <w:tcPr>
            <w:tcW w:w="1567" w:type="dxa"/>
            <w:vAlign w:val="center"/>
          </w:tcPr>
          <w:p w14:paraId="3DAB6652">
            <w:pPr>
              <w:pStyle w:val="133"/>
              <w:rPr>
                <w:lang w:eastAsia="en-US"/>
              </w:rPr>
            </w:pPr>
            <w:r>
              <w:rPr>
                <w:rFonts w:hint="eastAsia"/>
              </w:rPr>
              <w:t>Ⅲ</w:t>
            </w:r>
          </w:p>
        </w:tc>
        <w:tc>
          <w:tcPr>
            <w:tcW w:w="1582" w:type="dxa"/>
            <w:vAlign w:val="center"/>
          </w:tcPr>
          <w:p w14:paraId="73813752">
            <w:pPr>
              <w:pStyle w:val="133"/>
              <w:rPr>
                <w:lang w:eastAsia="en-US"/>
              </w:rPr>
            </w:pPr>
            <w:r>
              <w:rPr>
                <w:rFonts w:hint="eastAsia"/>
              </w:rPr>
              <w:t>Ⅲ</w:t>
            </w:r>
          </w:p>
        </w:tc>
        <w:tc>
          <w:tcPr>
            <w:tcW w:w="1492" w:type="dxa"/>
            <w:tcBorders>
              <w:right w:val="single" w:color="auto" w:sz="12" w:space="0"/>
            </w:tcBorders>
            <w:vAlign w:val="center"/>
          </w:tcPr>
          <w:p w14:paraId="3F343555">
            <w:pPr>
              <w:pStyle w:val="133"/>
              <w:rPr>
                <w:lang w:eastAsia="en-US"/>
              </w:rPr>
            </w:pPr>
            <w:r>
              <w:rPr>
                <w:lang w:eastAsia="en-US"/>
              </w:rPr>
              <w:t>II</w:t>
            </w:r>
          </w:p>
        </w:tc>
      </w:tr>
      <w:tr w14:paraId="092D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3" w:type="dxa"/>
            <w:tcBorders>
              <w:left w:val="single" w:color="auto" w:sz="12" w:space="0"/>
            </w:tcBorders>
            <w:vAlign w:val="center"/>
          </w:tcPr>
          <w:p w14:paraId="74D98AE5">
            <w:pPr>
              <w:pStyle w:val="133"/>
            </w:pPr>
            <w:r>
              <w:t>环境低敏感度区（E3）</w:t>
            </w:r>
          </w:p>
        </w:tc>
        <w:tc>
          <w:tcPr>
            <w:tcW w:w="1555" w:type="dxa"/>
            <w:vAlign w:val="center"/>
          </w:tcPr>
          <w:p w14:paraId="58B25DF7">
            <w:pPr>
              <w:pStyle w:val="133"/>
              <w:rPr>
                <w:lang w:eastAsia="en-US"/>
              </w:rPr>
            </w:pPr>
            <w:r>
              <w:rPr>
                <w:rFonts w:hint="eastAsia"/>
              </w:rPr>
              <w:t>Ⅲ</w:t>
            </w:r>
          </w:p>
        </w:tc>
        <w:tc>
          <w:tcPr>
            <w:tcW w:w="1567" w:type="dxa"/>
            <w:vAlign w:val="center"/>
          </w:tcPr>
          <w:p w14:paraId="4DCBA06D">
            <w:pPr>
              <w:pStyle w:val="133"/>
              <w:rPr>
                <w:lang w:eastAsia="en-US"/>
              </w:rPr>
            </w:pPr>
            <w:r>
              <w:rPr>
                <w:rFonts w:hint="eastAsia"/>
              </w:rPr>
              <w:t>Ⅲ</w:t>
            </w:r>
          </w:p>
        </w:tc>
        <w:tc>
          <w:tcPr>
            <w:tcW w:w="1582" w:type="dxa"/>
            <w:vAlign w:val="center"/>
          </w:tcPr>
          <w:p w14:paraId="17D64B52">
            <w:pPr>
              <w:pStyle w:val="133"/>
              <w:rPr>
                <w:lang w:eastAsia="en-US"/>
              </w:rPr>
            </w:pPr>
            <w:r>
              <w:rPr>
                <w:lang w:eastAsia="en-US"/>
              </w:rPr>
              <w:t>II</w:t>
            </w:r>
          </w:p>
        </w:tc>
        <w:tc>
          <w:tcPr>
            <w:tcW w:w="1492" w:type="dxa"/>
            <w:tcBorders>
              <w:right w:val="single" w:color="auto" w:sz="12" w:space="0"/>
            </w:tcBorders>
            <w:vAlign w:val="center"/>
          </w:tcPr>
          <w:p w14:paraId="1314347A">
            <w:pPr>
              <w:pStyle w:val="133"/>
              <w:rPr>
                <w:lang w:eastAsia="en-US"/>
              </w:rPr>
            </w:pPr>
            <w:r>
              <w:rPr>
                <w:lang w:eastAsia="en-US"/>
              </w:rPr>
              <w:t>I</w:t>
            </w:r>
          </w:p>
        </w:tc>
      </w:tr>
      <w:tr w14:paraId="09B2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59" w:type="dxa"/>
            <w:gridSpan w:val="5"/>
            <w:tcBorders>
              <w:left w:val="single" w:color="auto" w:sz="12" w:space="0"/>
              <w:bottom w:val="single" w:color="auto" w:sz="12" w:space="0"/>
              <w:right w:val="single" w:color="auto" w:sz="12" w:space="0"/>
            </w:tcBorders>
            <w:vAlign w:val="center"/>
          </w:tcPr>
          <w:p w14:paraId="3F570DA3">
            <w:pPr>
              <w:pStyle w:val="133"/>
              <w:jc w:val="both"/>
            </w:pPr>
            <w:r>
              <w:t>注：</w:t>
            </w:r>
            <w:r>
              <w:rPr>
                <w:rFonts w:hint="eastAsia"/>
              </w:rPr>
              <w:t>Ⅳ</w:t>
            </w:r>
            <w:r>
              <w:rPr>
                <w:vertAlign w:val="superscript"/>
              </w:rPr>
              <w:t>+</w:t>
            </w:r>
            <w:r>
              <w:t>为极高环境风险</w:t>
            </w:r>
          </w:p>
        </w:tc>
      </w:tr>
    </w:tbl>
    <w:p w14:paraId="31415FD7">
      <w:pPr>
        <w:ind w:firstLine="480"/>
      </w:pPr>
    </w:p>
    <w:p w14:paraId="340681B0">
      <w:pPr>
        <w:pStyle w:val="138"/>
        <w:ind w:firstLine="480"/>
        <w:rPr>
          <w:rFonts w:hint="eastAsia"/>
        </w:rPr>
      </w:pPr>
      <w:r>
        <w:rPr>
          <w:rFonts w:hint="eastAsia"/>
        </w:rPr>
        <w:t>危险物质及工艺系统危险性（P）分级</w:t>
      </w:r>
    </w:p>
    <w:p w14:paraId="78AA1AD2">
      <w:pPr>
        <w:pStyle w:val="117"/>
        <w:ind w:firstLine="480"/>
      </w:pPr>
      <w:r>
        <w:rPr>
          <w:rFonts w:hint="eastAsia"/>
        </w:rPr>
        <w:t>根据《建设项目环境风险评价技术导则》（HJ169-2018）的规定，分析建设项目生产、使用、储存过程中涉及的有毒有害、易燃易爆物质，参见附录B确定危险物质的临界量。定量分析危险物质数量与临界量的比值（Q）和所属行业及生产工艺特点（M），按附录C对危险物质及工艺系统危险性（P）等级进行判断。</w:t>
      </w:r>
    </w:p>
    <w:p w14:paraId="30D3DAFC">
      <w:pPr>
        <w:pStyle w:val="117"/>
        <w:ind w:firstLine="480"/>
      </w:pPr>
      <w:r>
        <w:rPr>
          <w:rFonts w:hint="eastAsia"/>
        </w:rPr>
        <w:t>（1）危险物质数量与临界量比值（Q）</w:t>
      </w:r>
    </w:p>
    <w:p w14:paraId="4A84B037">
      <w:pPr>
        <w:pStyle w:val="117"/>
        <w:ind w:firstLine="480"/>
      </w:pPr>
      <w:r>
        <w:rPr>
          <w:rFonts w:hint="eastAsia"/>
        </w:rPr>
        <w:t>计算所涉及的每种危险物质在厂界内的最大存在总量与其在《建设项目环境风险评价技术导则》（HJ169-2018）附录B中对应临界量的比值Q。在不同厂区的同一种物质，按其在厂界内的最大存在总量计算。根据《建设项目环境风险评价技术导则》（HJ 169-2018）附录C，当只涉及一种危险物质时，计算该物质的总量与其临界值比值，即为Q；当存在多种危险物质时，则按下式计算物质总量与其临界量比值（Q）：Q 按下式进行计算：</w:t>
      </w:r>
    </w:p>
    <w:p w14:paraId="5F69106F">
      <w:pPr>
        <w:ind w:firstLine="1200" w:firstLineChars="500"/>
        <w:rPr>
          <w:rFonts w:hint="eastAsia" w:ascii="宋体" w:hAnsi="宋体" w:cs="宋体"/>
        </w:rPr>
      </w:pPr>
      <m:oMathPara>
        <m:oMath>
          <m:r>
            <m:rPr/>
            <w:rPr>
              <w:rStyle w:val="407"/>
              <w:rFonts w:ascii="Cambria Math" w:hAnsi="宋体" w:cs="宋体"/>
            </w:rPr>
            <m:t>Q</m:t>
          </m:r>
          <m:r>
            <m:rPr/>
            <w:rPr>
              <w:rStyle w:val="407"/>
              <w:rFonts w:ascii="Cambria Math" w:hAnsi="Cambria Math" w:cs="宋体"/>
            </w:rPr>
            <m:t>=</m:t>
          </m:r>
          <m:f>
            <m:fPr>
              <m:ctrlPr>
                <w:rPr>
                  <w:rStyle w:val="407"/>
                  <w:rFonts w:ascii="Cambria Math" w:hAnsi="宋体" w:cs="宋体"/>
                  <w:i/>
                  <w:color w:val="auto"/>
                </w:rPr>
              </m:ctrlPr>
            </m:fPr>
            <m:num>
              <m:sSub>
                <m:sSubPr>
                  <m:ctrlPr>
                    <w:rPr>
                      <w:rStyle w:val="407"/>
                      <w:rFonts w:ascii="Cambria Math" w:hAnsi="宋体" w:cs="宋体"/>
                      <w:i/>
                      <w:color w:val="auto"/>
                    </w:rPr>
                  </m:ctrlPr>
                </m:sSubPr>
                <m:e>
                  <m:r>
                    <m:rPr/>
                    <w:rPr>
                      <w:rStyle w:val="407"/>
                      <w:rFonts w:hint="eastAsia" w:ascii="Cambria Math" w:hAnsi="宋体" w:cs="宋体"/>
                    </w:rPr>
                    <m:t>q</m:t>
                  </m:r>
                  <m:ctrlPr>
                    <w:rPr>
                      <w:rStyle w:val="407"/>
                      <w:rFonts w:ascii="Cambria Math" w:hAnsi="宋体" w:cs="宋体"/>
                      <w:i/>
                      <w:color w:val="auto"/>
                    </w:rPr>
                  </m:ctrlPr>
                </m:e>
                <m:sub>
                  <m:r>
                    <m:rPr/>
                    <w:rPr>
                      <w:rStyle w:val="407"/>
                      <w:rFonts w:ascii="Cambria Math" w:hAnsi="宋体" w:cs="宋体"/>
                    </w:rPr>
                    <m:t>1</m:t>
                  </m:r>
                  <m:ctrlPr>
                    <w:rPr>
                      <w:rStyle w:val="407"/>
                      <w:rFonts w:ascii="Cambria Math" w:hAnsi="宋体" w:cs="宋体"/>
                      <w:i/>
                      <w:color w:val="auto"/>
                    </w:rPr>
                  </m:ctrlPr>
                </m:sub>
              </m:sSub>
              <m:ctrlPr>
                <w:rPr>
                  <w:rStyle w:val="407"/>
                  <w:rFonts w:ascii="Cambria Math" w:hAnsi="宋体" w:cs="宋体"/>
                  <w:i/>
                  <w:color w:val="auto"/>
                </w:rPr>
              </m:ctrlPr>
            </m:num>
            <m:den>
              <m:sSub>
                <m:sSubPr>
                  <m:ctrlPr>
                    <w:rPr>
                      <w:rStyle w:val="407"/>
                      <w:rFonts w:ascii="Cambria Math" w:hAnsi="宋体" w:cs="宋体"/>
                      <w:i/>
                      <w:color w:val="auto"/>
                    </w:rPr>
                  </m:ctrlPr>
                </m:sSubPr>
                <m:e>
                  <m:r>
                    <m:rPr/>
                    <w:rPr>
                      <w:rStyle w:val="407"/>
                      <w:rFonts w:ascii="Cambria Math" w:hAnsi="宋体" w:cs="宋体"/>
                    </w:rPr>
                    <m:t>Q</m:t>
                  </m:r>
                  <m:ctrlPr>
                    <w:rPr>
                      <w:rStyle w:val="407"/>
                      <w:rFonts w:ascii="Cambria Math" w:hAnsi="宋体" w:cs="宋体"/>
                      <w:i/>
                      <w:color w:val="auto"/>
                    </w:rPr>
                  </m:ctrlPr>
                </m:e>
                <m:sub>
                  <m:r>
                    <m:rPr/>
                    <w:rPr>
                      <w:rStyle w:val="407"/>
                      <w:rFonts w:ascii="Cambria Math" w:hAnsi="宋体" w:cs="宋体"/>
                    </w:rPr>
                    <m:t>1</m:t>
                  </m:r>
                  <m:ctrlPr>
                    <w:rPr>
                      <w:rStyle w:val="407"/>
                      <w:rFonts w:ascii="Cambria Math" w:hAnsi="宋体" w:cs="宋体"/>
                      <w:i/>
                      <w:color w:val="auto"/>
                    </w:rPr>
                  </m:ctrlPr>
                </m:sub>
              </m:sSub>
              <m:ctrlPr>
                <w:rPr>
                  <w:rStyle w:val="407"/>
                  <w:rFonts w:ascii="Cambria Math" w:hAnsi="宋体" w:cs="宋体"/>
                  <w:i/>
                  <w:color w:val="auto"/>
                </w:rPr>
              </m:ctrlPr>
            </m:den>
          </m:f>
          <m:r>
            <m:rPr/>
            <w:rPr>
              <w:rStyle w:val="407"/>
              <w:rFonts w:ascii="Cambria Math" w:hAnsi="Cambria Math" w:cs="宋体"/>
            </w:rPr>
            <m:t>+</m:t>
          </m:r>
          <m:f>
            <m:fPr>
              <m:ctrlPr>
                <w:rPr>
                  <w:rStyle w:val="407"/>
                  <w:rFonts w:ascii="Cambria Math" w:hAnsi="宋体" w:cs="宋体"/>
                  <w:i/>
                  <w:color w:val="auto"/>
                </w:rPr>
              </m:ctrlPr>
            </m:fPr>
            <m:num>
              <m:sSub>
                <m:sSubPr>
                  <m:ctrlPr>
                    <w:rPr>
                      <w:rStyle w:val="407"/>
                      <w:rFonts w:ascii="Cambria Math" w:hAnsi="宋体" w:cs="宋体"/>
                      <w:i/>
                      <w:color w:val="auto"/>
                    </w:rPr>
                  </m:ctrlPr>
                </m:sSubPr>
                <m:e>
                  <m:r>
                    <m:rPr/>
                    <w:rPr>
                      <w:rStyle w:val="407"/>
                      <w:rFonts w:hint="eastAsia" w:ascii="Cambria Math" w:hAnsi="宋体" w:cs="宋体"/>
                    </w:rPr>
                    <m:t>q</m:t>
                  </m:r>
                  <m:ctrlPr>
                    <w:rPr>
                      <w:rStyle w:val="407"/>
                      <w:rFonts w:ascii="Cambria Math" w:hAnsi="宋体" w:cs="宋体"/>
                      <w:i/>
                      <w:color w:val="auto"/>
                    </w:rPr>
                  </m:ctrlPr>
                </m:e>
                <m:sub>
                  <m:r>
                    <m:rPr/>
                    <w:rPr>
                      <w:rStyle w:val="407"/>
                      <w:rFonts w:ascii="Cambria Math" w:hAnsi="宋体" w:cs="宋体"/>
                    </w:rPr>
                    <m:t>2</m:t>
                  </m:r>
                  <m:ctrlPr>
                    <w:rPr>
                      <w:rStyle w:val="407"/>
                      <w:rFonts w:ascii="Cambria Math" w:hAnsi="宋体" w:cs="宋体"/>
                      <w:i/>
                      <w:color w:val="auto"/>
                    </w:rPr>
                  </m:ctrlPr>
                </m:sub>
              </m:sSub>
              <m:ctrlPr>
                <w:rPr>
                  <w:rStyle w:val="407"/>
                  <w:rFonts w:ascii="Cambria Math" w:hAnsi="宋体" w:cs="宋体"/>
                  <w:i/>
                  <w:color w:val="auto"/>
                </w:rPr>
              </m:ctrlPr>
            </m:num>
            <m:den>
              <m:sSub>
                <m:sSubPr>
                  <m:ctrlPr>
                    <w:rPr>
                      <w:rStyle w:val="407"/>
                      <w:rFonts w:ascii="Cambria Math" w:hAnsi="宋体" w:cs="宋体"/>
                      <w:i/>
                      <w:color w:val="auto"/>
                    </w:rPr>
                  </m:ctrlPr>
                </m:sSubPr>
                <m:e>
                  <m:r>
                    <m:rPr/>
                    <w:rPr>
                      <w:rStyle w:val="407"/>
                      <w:rFonts w:ascii="Cambria Math" w:hAnsi="宋体" w:cs="宋体"/>
                    </w:rPr>
                    <m:t>Q</m:t>
                  </m:r>
                  <m:ctrlPr>
                    <w:rPr>
                      <w:rStyle w:val="407"/>
                      <w:rFonts w:ascii="Cambria Math" w:hAnsi="宋体" w:cs="宋体"/>
                      <w:i/>
                      <w:color w:val="auto"/>
                    </w:rPr>
                  </m:ctrlPr>
                </m:e>
                <m:sub>
                  <m:r>
                    <m:rPr/>
                    <w:rPr>
                      <w:rStyle w:val="407"/>
                      <w:rFonts w:ascii="Cambria Math" w:hAnsi="宋体" w:cs="宋体"/>
                    </w:rPr>
                    <m:t>2</m:t>
                  </m:r>
                  <m:ctrlPr>
                    <w:rPr>
                      <w:rStyle w:val="407"/>
                      <w:rFonts w:ascii="Cambria Math" w:hAnsi="宋体" w:cs="宋体"/>
                      <w:i/>
                      <w:color w:val="auto"/>
                    </w:rPr>
                  </m:ctrlPr>
                </m:sub>
              </m:sSub>
              <m:ctrlPr>
                <w:rPr>
                  <w:rStyle w:val="407"/>
                  <w:rFonts w:ascii="Cambria Math" w:hAnsi="宋体" w:cs="宋体"/>
                  <w:i/>
                  <w:color w:val="auto"/>
                </w:rPr>
              </m:ctrlPr>
            </m:den>
          </m:f>
          <m:r>
            <m:rPr/>
            <w:rPr>
              <w:rStyle w:val="407"/>
              <w:rFonts w:ascii="Cambria Math" w:hAnsi="Cambria Math" w:cs="宋体"/>
            </w:rPr>
            <m:t>+…+</m:t>
          </m:r>
          <m:f>
            <m:fPr>
              <m:ctrlPr>
                <w:rPr>
                  <w:rStyle w:val="407"/>
                  <w:rFonts w:ascii="Cambria Math" w:hAnsi="宋体" w:cs="宋体"/>
                  <w:i/>
                  <w:color w:val="auto"/>
                </w:rPr>
              </m:ctrlPr>
            </m:fPr>
            <m:num>
              <m:sSub>
                <m:sSubPr>
                  <m:ctrlPr>
                    <w:rPr>
                      <w:rStyle w:val="407"/>
                      <w:rFonts w:ascii="Cambria Math" w:hAnsi="宋体" w:cs="宋体"/>
                      <w:i/>
                      <w:color w:val="auto"/>
                    </w:rPr>
                  </m:ctrlPr>
                </m:sSubPr>
                <m:e>
                  <m:r>
                    <m:rPr/>
                    <w:rPr>
                      <w:rStyle w:val="407"/>
                      <w:rFonts w:hint="eastAsia" w:ascii="Cambria Math" w:hAnsi="宋体" w:cs="宋体"/>
                    </w:rPr>
                    <m:t>q</m:t>
                  </m:r>
                  <m:ctrlPr>
                    <w:rPr>
                      <w:rStyle w:val="407"/>
                      <w:rFonts w:ascii="Cambria Math" w:hAnsi="宋体" w:cs="宋体"/>
                      <w:i/>
                      <w:color w:val="auto"/>
                    </w:rPr>
                  </m:ctrlPr>
                </m:e>
                <m:sub>
                  <m:r>
                    <m:rPr/>
                    <w:rPr>
                      <w:rStyle w:val="407"/>
                      <w:rFonts w:hint="eastAsia" w:ascii="Cambria Math" w:hAnsi="宋体" w:cs="宋体"/>
                    </w:rPr>
                    <m:t>n</m:t>
                  </m:r>
                  <m:ctrlPr>
                    <w:rPr>
                      <w:rStyle w:val="407"/>
                      <w:rFonts w:ascii="Cambria Math" w:hAnsi="宋体" w:cs="宋体"/>
                      <w:i/>
                      <w:color w:val="auto"/>
                    </w:rPr>
                  </m:ctrlPr>
                </m:sub>
              </m:sSub>
              <m:ctrlPr>
                <w:rPr>
                  <w:rStyle w:val="407"/>
                  <w:rFonts w:ascii="Cambria Math" w:hAnsi="宋体" w:cs="宋体"/>
                  <w:i/>
                  <w:color w:val="auto"/>
                </w:rPr>
              </m:ctrlPr>
            </m:num>
            <m:den>
              <m:sSub>
                <m:sSubPr>
                  <m:ctrlPr>
                    <w:rPr>
                      <w:rStyle w:val="407"/>
                      <w:rFonts w:ascii="Cambria Math" w:hAnsi="宋体" w:cs="宋体"/>
                      <w:i/>
                      <w:color w:val="auto"/>
                    </w:rPr>
                  </m:ctrlPr>
                </m:sSubPr>
                <m:e>
                  <m:r>
                    <m:rPr/>
                    <w:rPr>
                      <w:rStyle w:val="407"/>
                      <w:rFonts w:ascii="Cambria Math" w:hAnsi="宋体" w:cs="宋体"/>
                    </w:rPr>
                    <m:t>Q</m:t>
                  </m:r>
                  <m:ctrlPr>
                    <w:rPr>
                      <w:rStyle w:val="407"/>
                      <w:rFonts w:ascii="Cambria Math" w:hAnsi="宋体" w:cs="宋体"/>
                      <w:i/>
                      <w:color w:val="auto"/>
                    </w:rPr>
                  </m:ctrlPr>
                </m:e>
                <m:sub>
                  <m:r>
                    <m:rPr/>
                    <w:rPr>
                      <w:rStyle w:val="407"/>
                      <w:rFonts w:hint="eastAsia" w:ascii="Cambria Math" w:hAnsi="宋体" w:cs="宋体"/>
                    </w:rPr>
                    <m:t>n</m:t>
                  </m:r>
                  <m:ctrlPr>
                    <w:rPr>
                      <w:rStyle w:val="407"/>
                      <w:rFonts w:ascii="Cambria Math" w:hAnsi="宋体" w:cs="宋体"/>
                      <w:i/>
                      <w:color w:val="auto"/>
                    </w:rPr>
                  </m:ctrlPr>
                </m:sub>
              </m:sSub>
              <m:ctrlPr>
                <w:rPr>
                  <w:rStyle w:val="407"/>
                  <w:rFonts w:ascii="Cambria Math" w:hAnsi="宋体" w:cs="宋体"/>
                  <w:i/>
                  <w:color w:val="auto"/>
                </w:rPr>
              </m:ctrlPr>
            </m:den>
          </m:f>
        </m:oMath>
      </m:oMathPara>
    </w:p>
    <w:p w14:paraId="5CA86616">
      <w:pPr>
        <w:ind w:firstLine="480"/>
      </w:pPr>
      <w:r>
        <w:rPr>
          <w:rFonts w:hint="eastAsia" w:ascii="宋体" w:hAnsi="宋体" w:cs="宋体"/>
        </w:rPr>
        <w:t>式中：</w:t>
      </w:r>
      <w:r>
        <w:t>q</w:t>
      </w:r>
      <w:r>
        <w:rPr>
          <w:vertAlign w:val="subscript"/>
        </w:rPr>
        <w:t>1</w:t>
      </w:r>
      <w:r>
        <w:rPr>
          <w:rFonts w:hint="eastAsia" w:ascii="宋体" w:hAnsi="宋体" w:cs="宋体"/>
        </w:rPr>
        <w:t>，</w:t>
      </w:r>
      <w:r>
        <w:t>q</w:t>
      </w:r>
      <w:r>
        <w:rPr>
          <w:vertAlign w:val="subscript"/>
        </w:rPr>
        <w:t>2</w:t>
      </w:r>
      <w:r>
        <w:rPr>
          <w:rFonts w:hint="eastAsia" w:ascii="宋体" w:hAnsi="宋体" w:cs="宋体"/>
        </w:rPr>
        <w:t>，</w:t>
      </w:r>
      <w:r>
        <w:t>…q</w:t>
      </w:r>
      <w:r>
        <w:rPr>
          <w:vertAlign w:val="subscript"/>
        </w:rPr>
        <w:t>n</w:t>
      </w:r>
      <w:r>
        <w:t>—</w:t>
      </w:r>
      <w:r>
        <w:rPr>
          <w:rFonts w:hint="eastAsia" w:ascii="宋体" w:hAnsi="宋体" w:cs="宋体"/>
        </w:rPr>
        <w:t>每种危险物质的最大存在总量，</w:t>
      </w:r>
      <w:r>
        <w:t>t</w:t>
      </w:r>
      <w:r>
        <w:rPr>
          <w:rFonts w:hint="eastAsia" w:ascii="宋体" w:hAnsi="宋体" w:cs="宋体"/>
        </w:rPr>
        <w:t>；</w:t>
      </w:r>
    </w:p>
    <w:p w14:paraId="43614C2F">
      <w:pPr>
        <w:ind w:firstLine="1200" w:firstLineChars="500"/>
        <w:rPr>
          <w:rFonts w:hint="eastAsia" w:ascii="宋体" w:hAnsi="宋体" w:cs="宋体"/>
        </w:rPr>
      </w:pPr>
      <w:r>
        <w:t>Q</w:t>
      </w:r>
      <w:r>
        <w:rPr>
          <w:vertAlign w:val="subscript"/>
        </w:rPr>
        <w:t>1</w:t>
      </w:r>
      <w:r>
        <w:rPr>
          <w:rFonts w:hint="eastAsia" w:ascii="宋体" w:hAnsi="宋体" w:cs="宋体"/>
        </w:rPr>
        <w:t>，</w:t>
      </w:r>
      <w:r>
        <w:t>Q</w:t>
      </w:r>
      <w:r>
        <w:rPr>
          <w:vertAlign w:val="subscript"/>
        </w:rPr>
        <w:t>2</w:t>
      </w:r>
      <w:r>
        <w:rPr>
          <w:rFonts w:hint="eastAsia" w:ascii="宋体" w:hAnsi="宋体" w:cs="宋体"/>
        </w:rPr>
        <w:t>，</w:t>
      </w:r>
      <w:r>
        <w:t>…Q</w:t>
      </w:r>
      <w:r>
        <w:rPr>
          <w:vertAlign w:val="subscript"/>
        </w:rPr>
        <w:t>n</w:t>
      </w:r>
      <w:r>
        <w:t>—</w:t>
      </w:r>
      <w:r>
        <w:rPr>
          <w:rFonts w:hint="eastAsia"/>
        </w:rPr>
        <w:t>—</w:t>
      </w:r>
      <w:r>
        <w:rPr>
          <w:rFonts w:hint="eastAsia" w:ascii="宋体" w:hAnsi="宋体" w:cs="宋体"/>
        </w:rPr>
        <w:t>每种危险物质的临界量，</w:t>
      </w:r>
      <w:r>
        <w:t>t</w:t>
      </w:r>
      <w:r>
        <w:rPr>
          <w:rFonts w:hint="eastAsia" w:ascii="宋体" w:hAnsi="宋体" w:cs="宋体"/>
        </w:rPr>
        <w:t>。</w:t>
      </w:r>
    </w:p>
    <w:p w14:paraId="06B47A06">
      <w:pPr>
        <w:ind w:firstLine="436" w:firstLineChars="182"/>
      </w:pPr>
      <w:r>
        <w:rPr>
          <w:rFonts w:hint="eastAsia" w:ascii="宋体" w:hAnsi="宋体" w:cs="宋体"/>
        </w:rPr>
        <w:t>当</w:t>
      </w:r>
      <w:r>
        <w:rPr>
          <w:rFonts w:hint="eastAsia"/>
        </w:rPr>
        <w:t>Q</w:t>
      </w:r>
      <w:r>
        <w:rPr>
          <w:rFonts w:hint="eastAsia" w:ascii="宋体" w:hAnsi="宋体" w:cs="宋体"/>
        </w:rPr>
        <w:t>＜</w:t>
      </w:r>
      <w:r>
        <w:rPr>
          <w:rFonts w:hint="eastAsia"/>
        </w:rPr>
        <w:t xml:space="preserve">1 </w:t>
      </w:r>
      <w:r>
        <w:rPr>
          <w:rFonts w:hint="eastAsia" w:ascii="宋体" w:hAnsi="宋体" w:cs="宋体"/>
        </w:rPr>
        <w:t>时，该项目环境风险潜势为</w:t>
      </w:r>
      <w:r>
        <w:t>Ⅰ</w:t>
      </w:r>
      <w:r>
        <w:rPr>
          <w:rFonts w:hint="eastAsia" w:ascii="宋体" w:hAnsi="宋体" w:cs="宋体"/>
        </w:rPr>
        <w:t>。</w:t>
      </w:r>
    </w:p>
    <w:p w14:paraId="54B9EE94">
      <w:pPr>
        <w:ind w:firstLine="480"/>
      </w:pPr>
      <w:r>
        <w:rPr>
          <w:rFonts w:hint="eastAsia" w:ascii="宋体" w:hAnsi="宋体" w:cs="宋体"/>
        </w:rPr>
        <w:t>当</w:t>
      </w:r>
      <w:r>
        <w:rPr>
          <w:rFonts w:hint="eastAsia"/>
        </w:rPr>
        <w:t>Q</w:t>
      </w:r>
      <w:r>
        <w:t>≥</w:t>
      </w:r>
      <w:r>
        <w:rPr>
          <w:rFonts w:hint="eastAsia"/>
        </w:rPr>
        <w:t>1</w:t>
      </w:r>
      <w:r>
        <w:rPr>
          <w:rFonts w:hint="eastAsia" w:ascii="宋体" w:hAnsi="宋体" w:cs="宋体"/>
        </w:rPr>
        <w:t>时，将</w:t>
      </w:r>
      <w:r>
        <w:rPr>
          <w:rFonts w:hint="eastAsia"/>
        </w:rPr>
        <w:t>Q</w:t>
      </w:r>
      <w:r>
        <w:rPr>
          <w:rFonts w:hint="eastAsia" w:ascii="宋体" w:hAnsi="宋体" w:cs="宋体"/>
        </w:rPr>
        <w:t>值划分为：</w:t>
      </w:r>
      <w:r>
        <w:fldChar w:fldCharType="begin"/>
      </w:r>
      <w:r>
        <w:rPr>
          <w:rFonts w:hint="eastAsia"/>
        </w:rPr>
        <w:instrText xml:space="preserve">= 1 \* GB3</w:instrText>
      </w:r>
      <w:r>
        <w:fldChar w:fldCharType="separate"/>
      </w:r>
      <w:r>
        <w:rPr>
          <w:rFonts w:hint="eastAsia" w:ascii="宋体" w:hAnsi="宋体" w:cs="宋体"/>
        </w:rPr>
        <w:t>①</w:t>
      </w:r>
      <w:r>
        <w:fldChar w:fldCharType="end"/>
      </w:r>
      <w:r>
        <w:rPr>
          <w:rFonts w:hint="eastAsia"/>
        </w:rPr>
        <w:t>1≤Q</w:t>
      </w:r>
      <w:r>
        <w:rPr>
          <w:rFonts w:hint="eastAsia" w:ascii="宋体" w:hAnsi="宋体" w:cs="宋体"/>
        </w:rPr>
        <w:t>＜</w:t>
      </w:r>
      <w:r>
        <w:rPr>
          <w:rFonts w:hint="eastAsia"/>
        </w:rPr>
        <w:t>10</w:t>
      </w:r>
      <w:r>
        <w:rPr>
          <w:rFonts w:hint="eastAsia" w:ascii="宋体" w:hAnsi="宋体" w:cs="宋体"/>
        </w:rPr>
        <w:t>；</w:t>
      </w:r>
      <w:r>
        <w:fldChar w:fldCharType="begin"/>
      </w:r>
      <w:r>
        <w:rPr>
          <w:rFonts w:hint="eastAsia"/>
        </w:rPr>
        <w:instrText xml:space="preserve">= 2 \* GB3</w:instrText>
      </w:r>
      <w:r>
        <w:fldChar w:fldCharType="separate"/>
      </w:r>
      <w:r>
        <w:rPr>
          <w:rFonts w:hint="eastAsia" w:ascii="宋体" w:hAnsi="宋体" w:cs="宋体"/>
        </w:rPr>
        <w:t>②</w:t>
      </w:r>
      <w:r>
        <w:fldChar w:fldCharType="end"/>
      </w:r>
      <w:r>
        <w:rPr>
          <w:rFonts w:hint="eastAsia"/>
        </w:rPr>
        <w:t>10≤Q</w:t>
      </w:r>
      <w:r>
        <w:rPr>
          <w:rFonts w:hint="eastAsia" w:ascii="宋体" w:hAnsi="宋体" w:cs="宋体"/>
        </w:rPr>
        <w:t>＜</w:t>
      </w:r>
      <w:r>
        <w:rPr>
          <w:rFonts w:hint="eastAsia"/>
        </w:rPr>
        <w:t>100</w:t>
      </w:r>
      <w:r>
        <w:rPr>
          <w:rFonts w:hint="eastAsia" w:ascii="宋体" w:hAnsi="宋体" w:cs="宋体"/>
        </w:rPr>
        <w:t>；</w:t>
      </w:r>
      <w:r>
        <w:fldChar w:fldCharType="begin"/>
      </w:r>
      <w:r>
        <w:rPr>
          <w:rFonts w:hint="eastAsia"/>
        </w:rPr>
        <w:instrText xml:space="preserve">= 3 \* GB3</w:instrText>
      </w:r>
      <w:r>
        <w:fldChar w:fldCharType="separate"/>
      </w:r>
      <w:r>
        <w:rPr>
          <w:rFonts w:hint="eastAsia" w:ascii="宋体" w:hAnsi="宋体" w:cs="宋体"/>
        </w:rPr>
        <w:t>③</w:t>
      </w:r>
      <w:r>
        <w:fldChar w:fldCharType="end"/>
      </w:r>
      <w:r>
        <w:rPr>
          <w:rFonts w:hint="eastAsia"/>
        </w:rPr>
        <w:t>Q≥100</w:t>
      </w:r>
      <w:r>
        <w:rPr>
          <w:rFonts w:hint="eastAsia" w:ascii="宋体" w:hAnsi="宋体" w:cs="宋体"/>
        </w:rPr>
        <w:t>。</w:t>
      </w:r>
    </w:p>
    <w:p w14:paraId="7C0278A8">
      <w:pPr>
        <w:ind w:firstLine="480"/>
      </w:pPr>
      <w:r>
        <w:rPr>
          <w:rFonts w:hint="eastAsia"/>
        </w:rPr>
        <w:t>本项目生产、使用、储存过程中涉及的有毒有害、易燃易爆危险物质主要为煤气、</w:t>
      </w:r>
      <w:r>
        <w:rPr>
          <w:rFonts w:hint="eastAsia" w:ascii="宋体" w:hAnsi="宋体"/>
        </w:rPr>
        <w:t>氨、硫化氢、</w:t>
      </w:r>
      <w:r>
        <w:t>煤焦油、93%浓硫酸</w:t>
      </w:r>
      <w:r>
        <w:rPr>
          <w:rFonts w:hint="eastAsia"/>
        </w:rPr>
        <w:t>，拟建项目设计的危险物质最大储存量与临界量比值（Q）计算结果见</w:t>
      </w:r>
      <w:bookmarkStart w:id="687" w:name="_Hlk140174886"/>
      <w:r>
        <w:rPr>
          <w:rFonts w:hint="eastAsia"/>
        </w:rPr>
        <w:t>表7</w:t>
      </w:r>
      <w:r>
        <w:t>.3-2</w:t>
      </w:r>
      <w:bookmarkEnd w:id="687"/>
      <w:r>
        <w:rPr>
          <w:rFonts w:hint="eastAsia"/>
        </w:rPr>
        <w:t>。</w:t>
      </w:r>
    </w:p>
    <w:p w14:paraId="05DBBD85">
      <w:pPr>
        <w:pStyle w:val="118"/>
        <w:ind w:firstLine="480"/>
      </w:pPr>
      <w:r>
        <w:rPr>
          <w:rFonts w:hint="eastAsia"/>
        </w:rPr>
        <w:t>表7.3-2    全厂Q值确定表</w:t>
      </w:r>
    </w:p>
    <w:tbl>
      <w:tblPr>
        <w:tblStyle w:val="67"/>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701"/>
        <w:gridCol w:w="1701"/>
        <w:gridCol w:w="1701"/>
      </w:tblGrid>
      <w:tr w14:paraId="115CB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shd w:val="clear" w:color="auto" w:fill="FFFFFF"/>
            <w:vAlign w:val="center"/>
          </w:tcPr>
          <w:p w14:paraId="5A024DCA">
            <w:pPr>
              <w:pStyle w:val="133"/>
              <w:rPr>
                <w:b/>
                <w:bCs/>
              </w:rPr>
            </w:pPr>
            <w:r>
              <w:rPr>
                <w:b/>
                <w:bCs/>
              </w:rPr>
              <w:t>装置单元</w:t>
            </w:r>
          </w:p>
        </w:tc>
        <w:tc>
          <w:tcPr>
            <w:tcW w:w="1701" w:type="dxa"/>
            <w:vAlign w:val="center"/>
          </w:tcPr>
          <w:p w14:paraId="256F1A3F">
            <w:pPr>
              <w:pStyle w:val="133"/>
              <w:rPr>
                <w:b/>
                <w:bCs/>
              </w:rPr>
            </w:pPr>
            <w:r>
              <w:rPr>
                <w:b/>
                <w:bCs/>
              </w:rPr>
              <w:t>危险化学品名称</w:t>
            </w:r>
          </w:p>
        </w:tc>
        <w:tc>
          <w:tcPr>
            <w:tcW w:w="1701" w:type="dxa"/>
            <w:vAlign w:val="center"/>
          </w:tcPr>
          <w:p w14:paraId="324EB0E3">
            <w:pPr>
              <w:pStyle w:val="133"/>
              <w:rPr>
                <w:b/>
                <w:bCs/>
              </w:rPr>
            </w:pPr>
            <w:r>
              <w:rPr>
                <w:b/>
                <w:bCs/>
              </w:rPr>
              <w:t>临界量Qn（t）</w:t>
            </w:r>
          </w:p>
        </w:tc>
        <w:tc>
          <w:tcPr>
            <w:tcW w:w="1701" w:type="dxa"/>
            <w:vAlign w:val="center"/>
          </w:tcPr>
          <w:p w14:paraId="0FE4D1AE">
            <w:pPr>
              <w:pStyle w:val="133"/>
              <w:rPr>
                <w:b/>
                <w:bCs/>
              </w:rPr>
            </w:pPr>
            <w:r>
              <w:rPr>
                <w:b/>
                <w:bCs/>
              </w:rPr>
              <w:t>实际存在量（t）</w:t>
            </w:r>
          </w:p>
        </w:tc>
        <w:tc>
          <w:tcPr>
            <w:tcW w:w="1701" w:type="dxa"/>
            <w:vAlign w:val="center"/>
          </w:tcPr>
          <w:p w14:paraId="584CB230">
            <w:pPr>
              <w:pStyle w:val="133"/>
              <w:rPr>
                <w:b/>
                <w:bCs/>
              </w:rPr>
            </w:pPr>
            <w:r>
              <w:rPr>
                <w:b/>
                <w:bCs/>
              </w:rPr>
              <w:t>存在量/临界量</w:t>
            </w:r>
          </w:p>
        </w:tc>
      </w:tr>
      <w:tr w14:paraId="6E74B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restart"/>
            <w:vAlign w:val="center"/>
          </w:tcPr>
          <w:p w14:paraId="2D864C40">
            <w:pPr>
              <w:pStyle w:val="133"/>
            </w:pPr>
            <w:r>
              <w:rPr>
                <w:rFonts w:hint="eastAsia"/>
              </w:rPr>
              <w:t>兰炭生产线</w:t>
            </w:r>
          </w:p>
        </w:tc>
        <w:tc>
          <w:tcPr>
            <w:tcW w:w="1701" w:type="dxa"/>
            <w:vAlign w:val="center"/>
          </w:tcPr>
          <w:p w14:paraId="1427F9FC">
            <w:pPr>
              <w:pStyle w:val="133"/>
            </w:pPr>
            <w:r>
              <w:t>煤气</w:t>
            </w:r>
          </w:p>
        </w:tc>
        <w:tc>
          <w:tcPr>
            <w:tcW w:w="1701" w:type="dxa"/>
            <w:vAlign w:val="center"/>
          </w:tcPr>
          <w:p w14:paraId="5CADFE01">
            <w:pPr>
              <w:pStyle w:val="133"/>
            </w:pPr>
            <w:r>
              <w:t>7.5</w:t>
            </w:r>
          </w:p>
        </w:tc>
        <w:tc>
          <w:tcPr>
            <w:tcW w:w="1701" w:type="dxa"/>
            <w:noWrap/>
            <w:vAlign w:val="center"/>
          </w:tcPr>
          <w:p w14:paraId="19F654D1">
            <w:pPr>
              <w:pStyle w:val="133"/>
            </w:pPr>
            <w:r>
              <w:rPr>
                <w:rFonts w:hint="eastAsia"/>
              </w:rPr>
              <w:t>231.77</w:t>
            </w:r>
          </w:p>
        </w:tc>
        <w:tc>
          <w:tcPr>
            <w:tcW w:w="1701" w:type="dxa"/>
            <w:noWrap/>
            <w:vAlign w:val="center"/>
          </w:tcPr>
          <w:p w14:paraId="1A209159">
            <w:pPr>
              <w:pStyle w:val="133"/>
            </w:pPr>
            <w:r>
              <w:rPr>
                <w:rFonts w:hint="eastAsia"/>
              </w:rPr>
              <w:t>30.903</w:t>
            </w:r>
          </w:p>
        </w:tc>
      </w:tr>
      <w:tr w14:paraId="56A0A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14:paraId="0ED25229">
            <w:pPr>
              <w:pStyle w:val="133"/>
            </w:pPr>
          </w:p>
        </w:tc>
        <w:tc>
          <w:tcPr>
            <w:tcW w:w="1701" w:type="dxa"/>
            <w:vAlign w:val="center"/>
          </w:tcPr>
          <w:p w14:paraId="35A6982E">
            <w:pPr>
              <w:pStyle w:val="133"/>
            </w:pPr>
            <w:r>
              <w:rPr>
                <w:rFonts w:hint="eastAsia"/>
              </w:rPr>
              <w:t>氨</w:t>
            </w:r>
          </w:p>
        </w:tc>
        <w:tc>
          <w:tcPr>
            <w:tcW w:w="1701" w:type="dxa"/>
            <w:vAlign w:val="center"/>
          </w:tcPr>
          <w:p w14:paraId="5328F9C5">
            <w:pPr>
              <w:pStyle w:val="133"/>
            </w:pPr>
            <w:r>
              <w:rPr>
                <w:rFonts w:hint="eastAsia"/>
              </w:rPr>
              <w:t>5</w:t>
            </w:r>
          </w:p>
        </w:tc>
        <w:tc>
          <w:tcPr>
            <w:tcW w:w="1701" w:type="dxa"/>
            <w:noWrap/>
            <w:vAlign w:val="center"/>
          </w:tcPr>
          <w:p w14:paraId="6602EB55">
            <w:pPr>
              <w:pStyle w:val="133"/>
            </w:pPr>
            <w:r>
              <w:rPr>
                <w:rFonts w:cs="Times New Roman"/>
                <w:color w:val="000000"/>
                <w:szCs w:val="21"/>
              </w:rPr>
              <w:t>20.65</w:t>
            </w:r>
          </w:p>
        </w:tc>
        <w:tc>
          <w:tcPr>
            <w:tcW w:w="1701" w:type="dxa"/>
            <w:noWrap/>
            <w:vAlign w:val="center"/>
          </w:tcPr>
          <w:p w14:paraId="190B03E2">
            <w:pPr>
              <w:pStyle w:val="133"/>
            </w:pPr>
            <w:r>
              <w:rPr>
                <w:rFonts w:cs="Times New Roman"/>
                <w:color w:val="000000"/>
                <w:szCs w:val="21"/>
              </w:rPr>
              <w:t>4.13</w:t>
            </w:r>
          </w:p>
        </w:tc>
      </w:tr>
      <w:tr w14:paraId="79CF8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14:paraId="6D1C7FAD">
            <w:pPr>
              <w:pStyle w:val="133"/>
            </w:pPr>
          </w:p>
        </w:tc>
        <w:tc>
          <w:tcPr>
            <w:tcW w:w="1701" w:type="dxa"/>
            <w:vAlign w:val="center"/>
          </w:tcPr>
          <w:p w14:paraId="795AFE83">
            <w:pPr>
              <w:pStyle w:val="133"/>
            </w:pPr>
            <w:r>
              <w:t>硫化氢</w:t>
            </w:r>
          </w:p>
        </w:tc>
        <w:tc>
          <w:tcPr>
            <w:tcW w:w="1701" w:type="dxa"/>
            <w:vAlign w:val="center"/>
          </w:tcPr>
          <w:p w14:paraId="32E2F2BC">
            <w:pPr>
              <w:pStyle w:val="133"/>
            </w:pPr>
            <w:r>
              <w:t>2.5</w:t>
            </w:r>
          </w:p>
        </w:tc>
        <w:tc>
          <w:tcPr>
            <w:tcW w:w="1701" w:type="dxa"/>
            <w:noWrap/>
            <w:vAlign w:val="center"/>
          </w:tcPr>
          <w:p w14:paraId="4786D59C">
            <w:pPr>
              <w:pStyle w:val="133"/>
            </w:pPr>
            <w:r>
              <w:rPr>
                <w:rFonts w:cs="Times New Roman"/>
                <w:color w:val="000000"/>
                <w:szCs w:val="21"/>
              </w:rPr>
              <w:t>23.57</w:t>
            </w:r>
          </w:p>
        </w:tc>
        <w:tc>
          <w:tcPr>
            <w:tcW w:w="1701" w:type="dxa"/>
            <w:noWrap/>
            <w:vAlign w:val="center"/>
          </w:tcPr>
          <w:p w14:paraId="1ABDAE2C">
            <w:pPr>
              <w:pStyle w:val="133"/>
            </w:pPr>
            <w:r>
              <w:rPr>
                <w:rFonts w:cs="Times New Roman"/>
                <w:color w:val="000000"/>
                <w:szCs w:val="21"/>
              </w:rPr>
              <w:t>9.428</w:t>
            </w:r>
          </w:p>
        </w:tc>
      </w:tr>
      <w:tr w14:paraId="5A7C3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Align w:val="center"/>
          </w:tcPr>
          <w:p w14:paraId="28BD5C82">
            <w:pPr>
              <w:pStyle w:val="133"/>
            </w:pPr>
            <w:r>
              <w:t>焦油罐区</w:t>
            </w:r>
          </w:p>
        </w:tc>
        <w:tc>
          <w:tcPr>
            <w:tcW w:w="1701" w:type="dxa"/>
            <w:vAlign w:val="center"/>
          </w:tcPr>
          <w:p w14:paraId="03929FCD">
            <w:pPr>
              <w:pStyle w:val="133"/>
            </w:pPr>
            <w:r>
              <w:rPr>
                <w:rFonts w:hint="eastAsia"/>
              </w:rPr>
              <w:t>煤焦油</w:t>
            </w:r>
          </w:p>
        </w:tc>
        <w:tc>
          <w:tcPr>
            <w:tcW w:w="1701" w:type="dxa"/>
            <w:vAlign w:val="center"/>
          </w:tcPr>
          <w:p w14:paraId="2B093445">
            <w:pPr>
              <w:pStyle w:val="133"/>
            </w:pPr>
            <w:r>
              <w:rPr>
                <w:rFonts w:hint="eastAsia"/>
              </w:rPr>
              <w:t>2500</w:t>
            </w:r>
          </w:p>
        </w:tc>
        <w:tc>
          <w:tcPr>
            <w:tcW w:w="1701" w:type="dxa"/>
            <w:noWrap/>
            <w:vAlign w:val="center"/>
          </w:tcPr>
          <w:p w14:paraId="1B2708C5">
            <w:pPr>
              <w:pStyle w:val="133"/>
            </w:pPr>
            <w:r>
              <w:rPr>
                <w:rFonts w:hint="eastAsia"/>
              </w:rPr>
              <w:t>21960</w:t>
            </w:r>
          </w:p>
        </w:tc>
        <w:tc>
          <w:tcPr>
            <w:tcW w:w="1701" w:type="dxa"/>
            <w:noWrap/>
            <w:vAlign w:val="center"/>
          </w:tcPr>
          <w:p w14:paraId="43882EE7">
            <w:pPr>
              <w:pStyle w:val="133"/>
            </w:pPr>
            <w:r>
              <w:rPr>
                <w:rFonts w:hint="eastAsia"/>
              </w:rPr>
              <w:t>8.784</w:t>
            </w:r>
          </w:p>
        </w:tc>
      </w:tr>
      <w:tr w14:paraId="706D9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Align w:val="center"/>
          </w:tcPr>
          <w:p w14:paraId="6B332348">
            <w:pPr>
              <w:pStyle w:val="133"/>
            </w:pPr>
            <w:r>
              <w:rPr>
                <w:rFonts w:hint="eastAsia"/>
              </w:rPr>
              <w:t>煤气总管</w:t>
            </w:r>
          </w:p>
        </w:tc>
        <w:tc>
          <w:tcPr>
            <w:tcW w:w="1701" w:type="dxa"/>
            <w:vAlign w:val="center"/>
          </w:tcPr>
          <w:p w14:paraId="23DD6E54">
            <w:pPr>
              <w:pStyle w:val="133"/>
            </w:pPr>
            <w:r>
              <w:rPr>
                <w:rFonts w:hint="eastAsia"/>
              </w:rPr>
              <w:t>净化煤气</w:t>
            </w:r>
          </w:p>
        </w:tc>
        <w:tc>
          <w:tcPr>
            <w:tcW w:w="1701" w:type="dxa"/>
            <w:vAlign w:val="center"/>
          </w:tcPr>
          <w:p w14:paraId="00DE5906">
            <w:pPr>
              <w:pStyle w:val="133"/>
            </w:pPr>
            <w:r>
              <w:t>7.5</w:t>
            </w:r>
          </w:p>
        </w:tc>
        <w:tc>
          <w:tcPr>
            <w:tcW w:w="1701" w:type="dxa"/>
            <w:noWrap/>
            <w:vAlign w:val="center"/>
          </w:tcPr>
          <w:p w14:paraId="6D09D9BF">
            <w:pPr>
              <w:pStyle w:val="133"/>
            </w:pPr>
            <w:r>
              <w:rPr>
                <w:rFonts w:hint="eastAsia"/>
              </w:rPr>
              <w:t>231.77</w:t>
            </w:r>
          </w:p>
        </w:tc>
        <w:tc>
          <w:tcPr>
            <w:tcW w:w="1701" w:type="dxa"/>
            <w:noWrap/>
            <w:vAlign w:val="center"/>
          </w:tcPr>
          <w:p w14:paraId="2DF378CA">
            <w:pPr>
              <w:pStyle w:val="133"/>
            </w:pPr>
            <w:r>
              <w:rPr>
                <w:rFonts w:hint="eastAsia"/>
              </w:rPr>
              <w:t>30.903</w:t>
            </w:r>
          </w:p>
        </w:tc>
      </w:tr>
      <w:tr w14:paraId="2B618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Align w:val="center"/>
          </w:tcPr>
          <w:p w14:paraId="37DC4844">
            <w:pPr>
              <w:pStyle w:val="133"/>
            </w:pPr>
            <w:r>
              <w:rPr>
                <w:rFonts w:hint="eastAsia"/>
              </w:rPr>
              <w:t>化学品库</w:t>
            </w:r>
          </w:p>
        </w:tc>
        <w:tc>
          <w:tcPr>
            <w:tcW w:w="1701" w:type="dxa"/>
            <w:vAlign w:val="center"/>
          </w:tcPr>
          <w:p w14:paraId="18CD22F6">
            <w:pPr>
              <w:pStyle w:val="133"/>
            </w:pPr>
            <w:r>
              <w:rPr>
                <w:rFonts w:hint="eastAsia"/>
              </w:rPr>
              <w:t>93%浓硫酸</w:t>
            </w:r>
          </w:p>
        </w:tc>
        <w:tc>
          <w:tcPr>
            <w:tcW w:w="1701" w:type="dxa"/>
            <w:vAlign w:val="center"/>
          </w:tcPr>
          <w:p w14:paraId="10C2EB12">
            <w:pPr>
              <w:pStyle w:val="133"/>
            </w:pPr>
            <w:r>
              <w:rPr>
                <w:rFonts w:hint="eastAsia"/>
              </w:rPr>
              <w:t>10</w:t>
            </w:r>
          </w:p>
        </w:tc>
        <w:tc>
          <w:tcPr>
            <w:tcW w:w="1701" w:type="dxa"/>
            <w:noWrap/>
            <w:vAlign w:val="center"/>
          </w:tcPr>
          <w:p w14:paraId="20C0D1C1">
            <w:pPr>
              <w:pStyle w:val="133"/>
            </w:pPr>
            <w:r>
              <w:rPr>
                <w:rFonts w:hint="eastAsia"/>
              </w:rPr>
              <w:t>18.3</w:t>
            </w:r>
          </w:p>
        </w:tc>
        <w:tc>
          <w:tcPr>
            <w:tcW w:w="1701" w:type="dxa"/>
            <w:noWrap/>
            <w:vAlign w:val="center"/>
          </w:tcPr>
          <w:p w14:paraId="203BA624">
            <w:pPr>
              <w:pStyle w:val="133"/>
            </w:pPr>
            <w:r>
              <w:rPr>
                <w:rFonts w:hint="eastAsia"/>
              </w:rPr>
              <w:t>1.83</w:t>
            </w:r>
          </w:p>
        </w:tc>
      </w:tr>
      <w:tr w14:paraId="5596A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restart"/>
            <w:vAlign w:val="center"/>
          </w:tcPr>
          <w:p w14:paraId="56D57726">
            <w:pPr>
              <w:pStyle w:val="133"/>
            </w:pPr>
            <w:r>
              <w:rPr>
                <w:rFonts w:hint="eastAsia"/>
              </w:rPr>
              <w:t>现有兰炭生产线</w:t>
            </w:r>
          </w:p>
        </w:tc>
        <w:tc>
          <w:tcPr>
            <w:tcW w:w="1701" w:type="dxa"/>
            <w:vAlign w:val="center"/>
          </w:tcPr>
          <w:p w14:paraId="5648C7B1">
            <w:pPr>
              <w:pStyle w:val="133"/>
            </w:pPr>
            <w:r>
              <w:t>煤气</w:t>
            </w:r>
          </w:p>
        </w:tc>
        <w:tc>
          <w:tcPr>
            <w:tcW w:w="1701" w:type="dxa"/>
            <w:vAlign w:val="center"/>
          </w:tcPr>
          <w:p w14:paraId="4121B7CE">
            <w:pPr>
              <w:pStyle w:val="133"/>
            </w:pPr>
            <w:r>
              <w:t>7.5</w:t>
            </w:r>
          </w:p>
        </w:tc>
        <w:tc>
          <w:tcPr>
            <w:tcW w:w="1701" w:type="dxa"/>
            <w:noWrap/>
            <w:vAlign w:val="center"/>
          </w:tcPr>
          <w:p w14:paraId="45951FE5">
            <w:pPr>
              <w:pStyle w:val="133"/>
            </w:pPr>
            <w:r>
              <w:rPr>
                <w:rFonts w:cs="Times New Roman"/>
                <w:color w:val="000000"/>
                <w:szCs w:val="21"/>
              </w:rPr>
              <w:t>298.77</w:t>
            </w:r>
          </w:p>
        </w:tc>
        <w:tc>
          <w:tcPr>
            <w:tcW w:w="1701" w:type="dxa"/>
            <w:noWrap/>
            <w:vAlign w:val="center"/>
          </w:tcPr>
          <w:p w14:paraId="04F567AA">
            <w:pPr>
              <w:pStyle w:val="133"/>
            </w:pPr>
            <w:r>
              <w:rPr>
                <w:rFonts w:cs="Times New Roman"/>
                <w:color w:val="000000"/>
                <w:szCs w:val="21"/>
              </w:rPr>
              <w:t>39.836</w:t>
            </w:r>
          </w:p>
        </w:tc>
      </w:tr>
      <w:tr w14:paraId="5ED24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14:paraId="0F5AB074">
            <w:pPr>
              <w:pStyle w:val="133"/>
            </w:pPr>
          </w:p>
        </w:tc>
        <w:tc>
          <w:tcPr>
            <w:tcW w:w="1701" w:type="dxa"/>
            <w:vAlign w:val="center"/>
          </w:tcPr>
          <w:p w14:paraId="25300086">
            <w:pPr>
              <w:pStyle w:val="133"/>
            </w:pPr>
            <w:r>
              <w:rPr>
                <w:rFonts w:hint="eastAsia"/>
              </w:rPr>
              <w:t>氨</w:t>
            </w:r>
          </w:p>
        </w:tc>
        <w:tc>
          <w:tcPr>
            <w:tcW w:w="1701" w:type="dxa"/>
            <w:vAlign w:val="center"/>
          </w:tcPr>
          <w:p w14:paraId="3D90D8DD">
            <w:pPr>
              <w:pStyle w:val="133"/>
            </w:pPr>
            <w:r>
              <w:rPr>
                <w:rFonts w:hint="eastAsia"/>
              </w:rPr>
              <w:t>5</w:t>
            </w:r>
          </w:p>
        </w:tc>
        <w:tc>
          <w:tcPr>
            <w:tcW w:w="1701" w:type="dxa"/>
            <w:noWrap/>
            <w:vAlign w:val="center"/>
          </w:tcPr>
          <w:p w14:paraId="78DC7B5C">
            <w:pPr>
              <w:pStyle w:val="133"/>
            </w:pPr>
            <w:r>
              <w:rPr>
                <w:rFonts w:cs="Times New Roman"/>
                <w:color w:val="000000"/>
                <w:szCs w:val="21"/>
              </w:rPr>
              <w:t>15.5</w:t>
            </w:r>
          </w:p>
        </w:tc>
        <w:tc>
          <w:tcPr>
            <w:tcW w:w="1701" w:type="dxa"/>
            <w:noWrap/>
            <w:vAlign w:val="center"/>
          </w:tcPr>
          <w:p w14:paraId="3D7579E6">
            <w:pPr>
              <w:pStyle w:val="133"/>
            </w:pPr>
            <w:r>
              <w:rPr>
                <w:rFonts w:cs="Times New Roman"/>
                <w:color w:val="000000"/>
                <w:szCs w:val="21"/>
              </w:rPr>
              <w:t>0.000009</w:t>
            </w:r>
          </w:p>
        </w:tc>
      </w:tr>
      <w:tr w14:paraId="10D6E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Merge w:val="continue"/>
            <w:vAlign w:val="center"/>
          </w:tcPr>
          <w:p w14:paraId="432B6AA4">
            <w:pPr>
              <w:pStyle w:val="133"/>
            </w:pPr>
          </w:p>
        </w:tc>
        <w:tc>
          <w:tcPr>
            <w:tcW w:w="1701" w:type="dxa"/>
            <w:vAlign w:val="center"/>
          </w:tcPr>
          <w:p w14:paraId="73A6EA2B">
            <w:pPr>
              <w:pStyle w:val="133"/>
            </w:pPr>
            <w:r>
              <w:t>硫化氢</w:t>
            </w:r>
          </w:p>
        </w:tc>
        <w:tc>
          <w:tcPr>
            <w:tcW w:w="1701" w:type="dxa"/>
            <w:vAlign w:val="center"/>
          </w:tcPr>
          <w:p w14:paraId="65727698">
            <w:pPr>
              <w:pStyle w:val="133"/>
            </w:pPr>
            <w:r>
              <w:t>2.5</w:t>
            </w:r>
          </w:p>
        </w:tc>
        <w:tc>
          <w:tcPr>
            <w:tcW w:w="1701" w:type="dxa"/>
            <w:noWrap/>
            <w:vAlign w:val="center"/>
          </w:tcPr>
          <w:p w14:paraId="733C9289">
            <w:pPr>
              <w:pStyle w:val="133"/>
            </w:pPr>
            <w:r>
              <w:rPr>
                <w:rFonts w:cs="Times New Roman"/>
                <w:color w:val="000000"/>
                <w:szCs w:val="21"/>
              </w:rPr>
              <w:t>10.9</w:t>
            </w:r>
          </w:p>
        </w:tc>
        <w:tc>
          <w:tcPr>
            <w:tcW w:w="1701" w:type="dxa"/>
            <w:noWrap/>
            <w:vAlign w:val="center"/>
          </w:tcPr>
          <w:p w14:paraId="75CE927E">
            <w:pPr>
              <w:pStyle w:val="133"/>
            </w:pPr>
            <w:r>
              <w:rPr>
                <w:rFonts w:cs="Times New Roman"/>
                <w:color w:val="000000"/>
                <w:szCs w:val="21"/>
              </w:rPr>
              <w:t>0.000009</w:t>
            </w:r>
          </w:p>
        </w:tc>
      </w:tr>
      <w:tr w14:paraId="5AB1E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1" w:type="dxa"/>
            <w:vAlign w:val="center"/>
          </w:tcPr>
          <w:p w14:paraId="2083A36E">
            <w:pPr>
              <w:pStyle w:val="133"/>
            </w:pPr>
            <w:r>
              <w:rPr>
                <w:rFonts w:hint="eastAsia"/>
              </w:rPr>
              <w:t>现有罐区</w:t>
            </w:r>
          </w:p>
        </w:tc>
        <w:tc>
          <w:tcPr>
            <w:tcW w:w="1701" w:type="dxa"/>
            <w:vAlign w:val="center"/>
          </w:tcPr>
          <w:p w14:paraId="75218288">
            <w:pPr>
              <w:pStyle w:val="133"/>
            </w:pPr>
            <w:r>
              <w:rPr>
                <w:rFonts w:hint="eastAsia"/>
              </w:rPr>
              <w:t>煤焦油</w:t>
            </w:r>
          </w:p>
        </w:tc>
        <w:tc>
          <w:tcPr>
            <w:tcW w:w="1701" w:type="dxa"/>
            <w:vAlign w:val="center"/>
          </w:tcPr>
          <w:p w14:paraId="219997DD">
            <w:pPr>
              <w:pStyle w:val="133"/>
            </w:pPr>
            <w:r>
              <w:rPr>
                <w:rFonts w:hint="eastAsia"/>
              </w:rPr>
              <w:t>2500</w:t>
            </w:r>
          </w:p>
        </w:tc>
        <w:tc>
          <w:tcPr>
            <w:tcW w:w="1701" w:type="dxa"/>
            <w:noWrap/>
            <w:vAlign w:val="center"/>
          </w:tcPr>
          <w:p w14:paraId="1C63C7E3">
            <w:pPr>
              <w:pStyle w:val="133"/>
            </w:pPr>
            <w:r>
              <w:rPr>
                <w:rFonts w:hint="eastAsia"/>
              </w:rPr>
              <w:t>7320</w:t>
            </w:r>
          </w:p>
        </w:tc>
        <w:tc>
          <w:tcPr>
            <w:tcW w:w="1701" w:type="dxa"/>
            <w:noWrap/>
            <w:vAlign w:val="center"/>
          </w:tcPr>
          <w:p w14:paraId="3AF817B2">
            <w:pPr>
              <w:pStyle w:val="133"/>
            </w:pPr>
            <w:r>
              <w:rPr>
                <w:rFonts w:hint="eastAsia"/>
              </w:rPr>
              <w:t>2.928</w:t>
            </w:r>
          </w:p>
        </w:tc>
      </w:tr>
      <w:tr w14:paraId="28A6B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4" w:type="dxa"/>
            <w:gridSpan w:val="4"/>
            <w:vAlign w:val="center"/>
          </w:tcPr>
          <w:p w14:paraId="75BA5CCF">
            <w:pPr>
              <w:pStyle w:val="133"/>
            </w:pPr>
            <w:r>
              <w:rPr>
                <w:rFonts w:hint="eastAsia"/>
                <w:color w:val="000000"/>
              </w:rPr>
              <w:t>项目Q值</w:t>
            </w:r>
            <w:r>
              <w:rPr>
                <w:color w:val="000000"/>
              </w:rPr>
              <w:t>Σ</w:t>
            </w:r>
          </w:p>
        </w:tc>
        <w:tc>
          <w:tcPr>
            <w:tcW w:w="1701" w:type="dxa"/>
            <w:noWrap/>
            <w:vAlign w:val="center"/>
          </w:tcPr>
          <w:p w14:paraId="09875A7A">
            <w:pPr>
              <w:pStyle w:val="133"/>
            </w:pPr>
            <w:r>
              <w:rPr>
                <w:rFonts w:hint="eastAsia"/>
              </w:rPr>
              <w:t>128.74</w:t>
            </w:r>
          </w:p>
        </w:tc>
      </w:tr>
    </w:tbl>
    <w:p w14:paraId="1E96EF13">
      <w:pPr>
        <w:pStyle w:val="38"/>
        <w:ind w:firstLine="0" w:firstLineChars="0"/>
        <w:jc w:val="center"/>
      </w:pPr>
    </w:p>
    <w:p w14:paraId="1F5E7675">
      <w:pPr>
        <w:ind w:firstLine="480"/>
      </w:pPr>
      <w:r>
        <w:rPr>
          <w:rFonts w:hint="eastAsia" w:ascii="宋体" w:hAnsi="宋体" w:cs="宋体"/>
        </w:rPr>
        <w:t>由表</w:t>
      </w:r>
      <w:r>
        <w:rPr>
          <w:rFonts w:hint="eastAsia"/>
        </w:rPr>
        <w:t>7.3-</w:t>
      </w:r>
      <w:r>
        <w:t>2</w:t>
      </w:r>
      <w:r>
        <w:rPr>
          <w:rFonts w:hint="eastAsia" w:ascii="宋体" w:hAnsi="宋体" w:cs="宋体"/>
        </w:rPr>
        <w:t>可知，本项目危险物质存在量与临界量比值</w:t>
      </w:r>
      <w:r>
        <w:rPr>
          <w:rFonts w:hint="eastAsia"/>
        </w:rPr>
        <w:t>Q</w:t>
      </w:r>
      <w:r>
        <w:rPr>
          <w:rFonts w:hint="eastAsia" w:ascii="宋体" w:hAnsi="宋体" w:cs="宋体"/>
        </w:rPr>
        <w:t>为</w:t>
      </w:r>
      <w:r>
        <w:rPr>
          <w:rFonts w:hint="eastAsia" w:eastAsia="等线"/>
          <w:color w:val="000000"/>
          <w:szCs w:val="21"/>
        </w:rPr>
        <w:t>128.74</w:t>
      </w:r>
      <w:r>
        <w:rPr>
          <w:rFonts w:hint="eastAsia" w:ascii="宋体" w:hAnsi="宋体" w:cs="宋体"/>
        </w:rPr>
        <w:t>，</w:t>
      </w:r>
      <w:r>
        <w:rPr>
          <w:rFonts w:hint="eastAsia"/>
        </w:rPr>
        <w:t>Q</w:t>
      </w:r>
      <w:r>
        <w:rPr>
          <w:rFonts w:hint="eastAsia" w:ascii="宋体" w:hAnsi="宋体" w:cs="宋体"/>
        </w:rPr>
        <w:t>≥</w:t>
      </w:r>
      <w:r>
        <w:rPr>
          <w:rFonts w:hint="eastAsia"/>
        </w:rPr>
        <w:t>100</w:t>
      </w:r>
      <w:r>
        <w:rPr>
          <w:rFonts w:hint="eastAsia" w:ascii="宋体" w:hAnsi="宋体" w:cs="宋体"/>
        </w:rPr>
        <w:t>。</w:t>
      </w:r>
    </w:p>
    <w:p w14:paraId="05F33615">
      <w:pPr>
        <w:ind w:firstLine="480"/>
      </w:pPr>
      <w:r>
        <w:rPr>
          <w:rFonts w:hint="eastAsia" w:ascii="宋体" w:hAnsi="宋体" w:cs="宋体"/>
        </w:rPr>
        <w:t>（</w:t>
      </w:r>
      <w:r>
        <w:rPr>
          <w:rFonts w:hint="eastAsia"/>
        </w:rPr>
        <w:t>2</w:t>
      </w:r>
      <w:r>
        <w:rPr>
          <w:rFonts w:hint="eastAsia" w:ascii="宋体" w:hAnsi="宋体" w:cs="宋体"/>
        </w:rPr>
        <w:t>）行业及生产工艺（</w:t>
      </w:r>
      <w:r>
        <w:rPr>
          <w:rFonts w:hint="eastAsia"/>
        </w:rPr>
        <w:t>M</w:t>
      </w:r>
      <w:r>
        <w:rPr>
          <w:rFonts w:hint="eastAsia" w:ascii="宋体" w:hAnsi="宋体" w:cs="宋体"/>
        </w:rPr>
        <w:t>）</w:t>
      </w:r>
    </w:p>
    <w:p w14:paraId="5E6E735B">
      <w:pPr>
        <w:ind w:firstLine="480"/>
        <w:rPr>
          <w:rFonts w:hint="eastAsia" w:ascii="宋体" w:hAnsi="宋体" w:cs="宋体"/>
        </w:rPr>
      </w:pPr>
      <w:r>
        <w:rPr>
          <w:rFonts w:hint="eastAsia" w:ascii="宋体" w:hAnsi="宋体" w:cs="宋体"/>
        </w:rPr>
        <w:t>分析项目所属行业及生产工艺特点，按照表</w:t>
      </w:r>
      <w:r>
        <w:rPr>
          <w:rFonts w:hint="eastAsia"/>
        </w:rPr>
        <w:t>7.3-3</w:t>
      </w:r>
      <w:r>
        <w:rPr>
          <w:rFonts w:hint="eastAsia" w:ascii="宋体" w:hAnsi="宋体" w:cs="宋体"/>
        </w:rPr>
        <w:t>评估生产工艺情况。具有多套工艺单元的项目，对每套生产工艺分别评分并求和。将</w:t>
      </w:r>
      <w:r>
        <w:rPr>
          <w:rFonts w:hint="eastAsia"/>
        </w:rPr>
        <w:t>M</w:t>
      </w:r>
      <w:r>
        <w:rPr>
          <w:rFonts w:hint="eastAsia" w:ascii="宋体" w:hAnsi="宋体" w:cs="宋体"/>
        </w:rPr>
        <w:t>划分为（</w:t>
      </w:r>
      <w:r>
        <w:rPr>
          <w:rFonts w:hint="eastAsia"/>
        </w:rPr>
        <w:t>1</w:t>
      </w:r>
      <w:r>
        <w:rPr>
          <w:rFonts w:hint="eastAsia" w:ascii="宋体" w:hAnsi="宋体" w:cs="宋体"/>
        </w:rPr>
        <w:t>）</w:t>
      </w:r>
      <w:r>
        <w:rPr>
          <w:rFonts w:hint="eastAsia"/>
        </w:rPr>
        <w:t>M</w:t>
      </w:r>
      <w:r>
        <w:rPr>
          <w:rFonts w:hint="eastAsia" w:ascii="宋体" w:hAnsi="宋体" w:cs="宋体"/>
        </w:rPr>
        <w:t>＞</w:t>
      </w:r>
      <w:r>
        <w:rPr>
          <w:rFonts w:hint="eastAsia"/>
        </w:rPr>
        <w:t>20</w:t>
      </w:r>
      <w:r>
        <w:rPr>
          <w:rFonts w:hint="eastAsia" w:ascii="宋体" w:hAnsi="宋体" w:cs="宋体"/>
        </w:rPr>
        <w:t>；（</w:t>
      </w:r>
      <w:r>
        <w:rPr>
          <w:rFonts w:hint="eastAsia"/>
        </w:rPr>
        <w:t>2</w:t>
      </w:r>
      <w:r>
        <w:rPr>
          <w:rFonts w:hint="eastAsia" w:ascii="宋体" w:hAnsi="宋体" w:cs="宋体"/>
        </w:rPr>
        <w:t>）</w:t>
      </w:r>
      <w:r>
        <w:rPr>
          <w:rFonts w:hint="eastAsia"/>
        </w:rPr>
        <w:t>10</w:t>
      </w:r>
      <w:r>
        <w:rPr>
          <w:rFonts w:hint="eastAsia" w:ascii="宋体" w:hAnsi="宋体" w:cs="宋体"/>
        </w:rPr>
        <w:t>＜</w:t>
      </w:r>
      <w:r>
        <w:rPr>
          <w:rFonts w:hint="eastAsia"/>
        </w:rPr>
        <w:t>M</w:t>
      </w:r>
      <w:r>
        <w:t>≤</w:t>
      </w:r>
      <w:r>
        <w:rPr>
          <w:rFonts w:hint="eastAsia"/>
        </w:rPr>
        <w:t>20</w:t>
      </w:r>
      <w:r>
        <w:rPr>
          <w:rFonts w:hint="eastAsia" w:ascii="宋体" w:hAnsi="宋体" w:cs="宋体"/>
        </w:rPr>
        <w:t>；（</w:t>
      </w:r>
      <w:r>
        <w:rPr>
          <w:rFonts w:hint="eastAsia"/>
        </w:rPr>
        <w:t>3</w:t>
      </w:r>
      <w:r>
        <w:rPr>
          <w:rFonts w:hint="eastAsia" w:ascii="宋体" w:hAnsi="宋体" w:cs="宋体"/>
        </w:rPr>
        <w:t>）</w:t>
      </w:r>
      <w:r>
        <w:rPr>
          <w:rFonts w:hint="eastAsia"/>
        </w:rPr>
        <w:t>5</w:t>
      </w:r>
      <w:r>
        <w:rPr>
          <w:rFonts w:hint="eastAsia" w:ascii="宋体" w:hAnsi="宋体" w:cs="宋体"/>
        </w:rPr>
        <w:t>＜</w:t>
      </w:r>
      <w:r>
        <w:rPr>
          <w:rFonts w:hint="eastAsia"/>
        </w:rPr>
        <w:t>M≤10</w:t>
      </w:r>
      <w:r>
        <w:rPr>
          <w:rFonts w:hint="eastAsia" w:ascii="宋体" w:hAnsi="宋体" w:cs="宋体"/>
        </w:rPr>
        <w:t>；（</w:t>
      </w:r>
      <w:r>
        <w:rPr>
          <w:rFonts w:hint="eastAsia"/>
        </w:rPr>
        <w:t>4</w:t>
      </w:r>
      <w:r>
        <w:rPr>
          <w:rFonts w:hint="eastAsia" w:ascii="宋体" w:hAnsi="宋体" w:cs="宋体"/>
        </w:rPr>
        <w:t>）</w:t>
      </w:r>
      <w:r>
        <w:rPr>
          <w:rFonts w:hint="eastAsia"/>
        </w:rPr>
        <w:t>M=5</w:t>
      </w:r>
      <w:r>
        <w:rPr>
          <w:rFonts w:hint="eastAsia" w:ascii="宋体" w:hAnsi="宋体" w:cs="宋体"/>
        </w:rPr>
        <w:t>，分别以</w:t>
      </w:r>
      <w:r>
        <w:rPr>
          <w:rFonts w:hint="eastAsia"/>
        </w:rPr>
        <w:t>M1</w:t>
      </w:r>
      <w:r>
        <w:rPr>
          <w:rFonts w:hint="eastAsia" w:ascii="宋体" w:hAnsi="宋体" w:cs="宋体"/>
        </w:rPr>
        <w:t>、</w:t>
      </w:r>
      <w:r>
        <w:rPr>
          <w:rFonts w:hint="eastAsia"/>
        </w:rPr>
        <w:t>M2</w:t>
      </w:r>
      <w:r>
        <w:rPr>
          <w:rFonts w:hint="eastAsia" w:ascii="宋体" w:hAnsi="宋体" w:cs="宋体"/>
        </w:rPr>
        <w:t>、</w:t>
      </w:r>
      <w:r>
        <w:rPr>
          <w:rFonts w:hint="eastAsia"/>
        </w:rPr>
        <w:t>M3</w:t>
      </w:r>
      <w:r>
        <w:rPr>
          <w:rFonts w:hint="eastAsia" w:ascii="宋体" w:hAnsi="宋体" w:cs="宋体"/>
        </w:rPr>
        <w:t>、和</w:t>
      </w:r>
      <w:r>
        <w:rPr>
          <w:rFonts w:hint="eastAsia"/>
        </w:rPr>
        <w:t>M4表示。企业生产工艺过程评估分值详见表7.3-</w:t>
      </w:r>
      <w:r>
        <w:t>3</w:t>
      </w:r>
      <w:r>
        <w:rPr>
          <w:rFonts w:hint="eastAsia" w:ascii="宋体" w:hAnsi="宋体" w:cs="宋体"/>
        </w:rPr>
        <w:t>。</w:t>
      </w:r>
    </w:p>
    <w:p w14:paraId="4E4C5EF2">
      <w:pPr>
        <w:pStyle w:val="118"/>
        <w:ind w:firstLine="480"/>
      </w:pPr>
      <w:r>
        <w:rPr>
          <w:rFonts w:hint="eastAsia"/>
        </w:rPr>
        <w:t>表7.3-</w:t>
      </w:r>
      <w:r>
        <w:t xml:space="preserve">3 </w:t>
      </w:r>
      <w:r>
        <w:rPr>
          <w:rFonts w:hint="eastAsia"/>
        </w:rPr>
        <w:t xml:space="preserve"> 企业生产工艺过程评估分值表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5767"/>
        <w:gridCol w:w="1453"/>
      </w:tblGrid>
      <w:tr w14:paraId="1478F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1" w:type="dxa"/>
            <w:vAlign w:val="center"/>
          </w:tcPr>
          <w:p w14:paraId="62E3518A">
            <w:pPr>
              <w:pStyle w:val="133"/>
              <w:rPr>
                <w:b/>
                <w:bCs/>
                <w:color w:val="000000"/>
              </w:rPr>
            </w:pPr>
            <w:r>
              <w:rPr>
                <w:rFonts w:hint="eastAsia"/>
                <w:b/>
                <w:bCs/>
                <w:color w:val="000000"/>
              </w:rPr>
              <w:t>行业</w:t>
            </w:r>
          </w:p>
        </w:tc>
        <w:tc>
          <w:tcPr>
            <w:tcW w:w="5285" w:type="dxa"/>
            <w:vAlign w:val="center"/>
          </w:tcPr>
          <w:p w14:paraId="45BBFCFD">
            <w:pPr>
              <w:pStyle w:val="133"/>
              <w:rPr>
                <w:b/>
                <w:bCs/>
                <w:color w:val="000000"/>
              </w:rPr>
            </w:pPr>
            <w:r>
              <w:rPr>
                <w:rFonts w:hint="eastAsia"/>
                <w:b/>
                <w:bCs/>
                <w:color w:val="000000"/>
              </w:rPr>
              <w:t>评估依据</w:t>
            </w:r>
          </w:p>
        </w:tc>
        <w:tc>
          <w:tcPr>
            <w:tcW w:w="1332" w:type="dxa"/>
            <w:vAlign w:val="center"/>
          </w:tcPr>
          <w:p w14:paraId="57E5584A">
            <w:pPr>
              <w:pStyle w:val="133"/>
              <w:rPr>
                <w:b/>
                <w:bCs/>
                <w:color w:val="000000"/>
              </w:rPr>
            </w:pPr>
            <w:r>
              <w:rPr>
                <w:rFonts w:hint="eastAsia"/>
                <w:b/>
                <w:bCs/>
                <w:color w:val="000000"/>
              </w:rPr>
              <w:t>分值</w:t>
            </w:r>
          </w:p>
        </w:tc>
      </w:tr>
      <w:tr w14:paraId="5541A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1" w:type="dxa"/>
            <w:vMerge w:val="restart"/>
            <w:vAlign w:val="center"/>
          </w:tcPr>
          <w:p w14:paraId="005C122A">
            <w:pPr>
              <w:pStyle w:val="133"/>
              <w:rPr>
                <w:color w:val="000000"/>
              </w:rPr>
            </w:pPr>
            <w:r>
              <w:rPr>
                <w:rFonts w:hint="eastAsia"/>
                <w:color w:val="000000"/>
              </w:rPr>
              <w:t>石化、化工、医药、轻工、化纤、有色冶炼等</w:t>
            </w:r>
          </w:p>
        </w:tc>
        <w:tc>
          <w:tcPr>
            <w:tcW w:w="5285" w:type="dxa"/>
            <w:vAlign w:val="center"/>
          </w:tcPr>
          <w:p w14:paraId="67318177">
            <w:pPr>
              <w:pStyle w:val="133"/>
              <w:rPr>
                <w:color w:val="000000"/>
              </w:rPr>
            </w:pPr>
            <w:r>
              <w:rPr>
                <w:rFonts w:hint="eastAsia"/>
                <w:color w:val="00000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332" w:type="dxa"/>
            <w:vAlign w:val="center"/>
          </w:tcPr>
          <w:p w14:paraId="71409283">
            <w:pPr>
              <w:pStyle w:val="133"/>
              <w:rPr>
                <w:color w:val="000000"/>
              </w:rPr>
            </w:pPr>
            <w:r>
              <w:rPr>
                <w:rFonts w:hint="eastAsia"/>
                <w:color w:val="000000"/>
              </w:rPr>
              <w:t>10/套</w:t>
            </w:r>
          </w:p>
        </w:tc>
      </w:tr>
      <w:tr w14:paraId="2E32D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1" w:type="dxa"/>
            <w:vMerge w:val="continue"/>
            <w:vAlign w:val="center"/>
          </w:tcPr>
          <w:p w14:paraId="52294AC6">
            <w:pPr>
              <w:pStyle w:val="133"/>
              <w:rPr>
                <w:color w:val="000000"/>
              </w:rPr>
            </w:pPr>
          </w:p>
        </w:tc>
        <w:tc>
          <w:tcPr>
            <w:tcW w:w="5285" w:type="dxa"/>
            <w:vAlign w:val="center"/>
          </w:tcPr>
          <w:p w14:paraId="15266466">
            <w:pPr>
              <w:pStyle w:val="133"/>
              <w:rPr>
                <w:color w:val="000000"/>
              </w:rPr>
            </w:pPr>
            <w:r>
              <w:rPr>
                <w:rFonts w:hint="eastAsia"/>
                <w:color w:val="000000"/>
              </w:rPr>
              <w:t>无机酸制酸工艺、焦化工艺</w:t>
            </w:r>
          </w:p>
        </w:tc>
        <w:tc>
          <w:tcPr>
            <w:tcW w:w="1332" w:type="dxa"/>
            <w:vAlign w:val="center"/>
          </w:tcPr>
          <w:p w14:paraId="7CE6680E">
            <w:pPr>
              <w:pStyle w:val="133"/>
              <w:rPr>
                <w:color w:val="000000"/>
              </w:rPr>
            </w:pPr>
            <w:r>
              <w:rPr>
                <w:rFonts w:hint="eastAsia"/>
                <w:color w:val="000000"/>
              </w:rPr>
              <w:t>5/套</w:t>
            </w:r>
          </w:p>
        </w:tc>
      </w:tr>
      <w:tr w14:paraId="0A67F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1" w:type="dxa"/>
            <w:vMerge w:val="continue"/>
            <w:vAlign w:val="center"/>
          </w:tcPr>
          <w:p w14:paraId="6FF41152">
            <w:pPr>
              <w:pStyle w:val="133"/>
              <w:rPr>
                <w:color w:val="000000"/>
              </w:rPr>
            </w:pPr>
          </w:p>
        </w:tc>
        <w:tc>
          <w:tcPr>
            <w:tcW w:w="5285" w:type="dxa"/>
            <w:vAlign w:val="center"/>
          </w:tcPr>
          <w:p w14:paraId="01496DEE">
            <w:pPr>
              <w:pStyle w:val="133"/>
              <w:rPr>
                <w:color w:val="000000"/>
              </w:rPr>
            </w:pPr>
            <w:r>
              <w:rPr>
                <w:rFonts w:hint="eastAsia"/>
                <w:color w:val="000000"/>
              </w:rPr>
              <w:t>其他高温或高压，且涉及危险物质的工艺过程a、危险物质贮存罐区</w:t>
            </w:r>
          </w:p>
        </w:tc>
        <w:tc>
          <w:tcPr>
            <w:tcW w:w="1332" w:type="dxa"/>
            <w:vAlign w:val="center"/>
          </w:tcPr>
          <w:p w14:paraId="790AEFBE">
            <w:pPr>
              <w:pStyle w:val="133"/>
              <w:rPr>
                <w:color w:val="000000"/>
              </w:rPr>
            </w:pPr>
            <w:r>
              <w:rPr>
                <w:rFonts w:hint="eastAsia"/>
                <w:color w:val="000000"/>
              </w:rPr>
              <w:t>5/套</w:t>
            </w:r>
          </w:p>
          <w:p w14:paraId="339C3347">
            <w:pPr>
              <w:pStyle w:val="133"/>
              <w:rPr>
                <w:color w:val="000000"/>
              </w:rPr>
            </w:pPr>
            <w:r>
              <w:rPr>
                <w:rFonts w:hint="eastAsia"/>
                <w:color w:val="000000"/>
              </w:rPr>
              <w:t>（罐区）</w:t>
            </w:r>
          </w:p>
        </w:tc>
      </w:tr>
      <w:tr w14:paraId="4631A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1" w:type="dxa"/>
            <w:vAlign w:val="center"/>
          </w:tcPr>
          <w:p w14:paraId="513C26E8">
            <w:pPr>
              <w:pStyle w:val="133"/>
              <w:rPr>
                <w:color w:val="000000"/>
              </w:rPr>
            </w:pPr>
            <w:r>
              <w:rPr>
                <w:rFonts w:hint="eastAsia"/>
                <w:color w:val="000000"/>
              </w:rPr>
              <w:t>管道、港口/码头等</w:t>
            </w:r>
          </w:p>
        </w:tc>
        <w:tc>
          <w:tcPr>
            <w:tcW w:w="5285" w:type="dxa"/>
            <w:vAlign w:val="center"/>
          </w:tcPr>
          <w:p w14:paraId="0BAD6861">
            <w:pPr>
              <w:pStyle w:val="133"/>
              <w:rPr>
                <w:color w:val="000000"/>
              </w:rPr>
            </w:pPr>
            <w:r>
              <w:rPr>
                <w:rFonts w:hint="eastAsia"/>
                <w:color w:val="000000"/>
              </w:rPr>
              <w:t>涉及危险物质管道运输项目、港口/码头等</w:t>
            </w:r>
          </w:p>
        </w:tc>
        <w:tc>
          <w:tcPr>
            <w:tcW w:w="1332" w:type="dxa"/>
            <w:vAlign w:val="center"/>
          </w:tcPr>
          <w:p w14:paraId="1689F967">
            <w:pPr>
              <w:pStyle w:val="133"/>
              <w:rPr>
                <w:color w:val="000000"/>
              </w:rPr>
            </w:pPr>
            <w:r>
              <w:rPr>
                <w:rFonts w:hint="eastAsia"/>
                <w:color w:val="000000"/>
              </w:rPr>
              <w:t>10</w:t>
            </w:r>
          </w:p>
        </w:tc>
      </w:tr>
      <w:tr w14:paraId="0DAC1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1" w:type="dxa"/>
            <w:vAlign w:val="center"/>
          </w:tcPr>
          <w:p w14:paraId="79ADE610">
            <w:pPr>
              <w:pStyle w:val="133"/>
              <w:rPr>
                <w:color w:val="000000"/>
              </w:rPr>
            </w:pPr>
            <w:r>
              <w:rPr>
                <w:rFonts w:hint="eastAsia"/>
                <w:color w:val="000000"/>
              </w:rPr>
              <w:t>石油天然气</w:t>
            </w:r>
          </w:p>
        </w:tc>
        <w:tc>
          <w:tcPr>
            <w:tcW w:w="5285" w:type="dxa"/>
            <w:vAlign w:val="center"/>
          </w:tcPr>
          <w:p w14:paraId="1F5FFC8F">
            <w:pPr>
              <w:pStyle w:val="133"/>
              <w:rPr>
                <w:color w:val="000000"/>
              </w:rPr>
            </w:pPr>
            <w:r>
              <w:rPr>
                <w:rFonts w:hint="eastAsia"/>
                <w:color w:val="000000"/>
              </w:rPr>
              <w:t>石油、天然气、页岩气开采（含净化），气库（不含加气站的气库），油库（不含加气站的油库）、油气管线b（不含城镇燃气管线）</w:t>
            </w:r>
          </w:p>
        </w:tc>
        <w:tc>
          <w:tcPr>
            <w:tcW w:w="1332" w:type="dxa"/>
            <w:vAlign w:val="center"/>
          </w:tcPr>
          <w:p w14:paraId="4068C075">
            <w:pPr>
              <w:pStyle w:val="133"/>
              <w:rPr>
                <w:color w:val="000000"/>
              </w:rPr>
            </w:pPr>
            <w:r>
              <w:rPr>
                <w:rFonts w:hint="eastAsia"/>
                <w:color w:val="000000"/>
              </w:rPr>
              <w:t>10</w:t>
            </w:r>
          </w:p>
        </w:tc>
      </w:tr>
      <w:tr w14:paraId="402CF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1" w:type="dxa"/>
            <w:vAlign w:val="center"/>
          </w:tcPr>
          <w:p w14:paraId="1F3E40B0">
            <w:pPr>
              <w:pStyle w:val="133"/>
              <w:rPr>
                <w:color w:val="000000"/>
              </w:rPr>
            </w:pPr>
            <w:r>
              <w:rPr>
                <w:rFonts w:hint="eastAsia"/>
                <w:color w:val="000000"/>
              </w:rPr>
              <w:t>其他</w:t>
            </w:r>
          </w:p>
        </w:tc>
        <w:tc>
          <w:tcPr>
            <w:tcW w:w="5285" w:type="dxa"/>
            <w:vAlign w:val="center"/>
          </w:tcPr>
          <w:p w14:paraId="32445A3C">
            <w:pPr>
              <w:pStyle w:val="133"/>
              <w:rPr>
                <w:color w:val="000000"/>
              </w:rPr>
            </w:pPr>
            <w:r>
              <w:rPr>
                <w:rFonts w:hint="eastAsia"/>
                <w:color w:val="000000"/>
              </w:rPr>
              <w:t>涉及危险物质使用、贮存的项目</w:t>
            </w:r>
          </w:p>
        </w:tc>
        <w:tc>
          <w:tcPr>
            <w:tcW w:w="1332" w:type="dxa"/>
            <w:vAlign w:val="center"/>
          </w:tcPr>
          <w:p w14:paraId="03466F6A">
            <w:pPr>
              <w:pStyle w:val="133"/>
              <w:rPr>
                <w:color w:val="000000"/>
              </w:rPr>
            </w:pPr>
            <w:r>
              <w:rPr>
                <w:rFonts w:hint="eastAsia"/>
                <w:color w:val="000000"/>
              </w:rPr>
              <w:t>5</w:t>
            </w:r>
          </w:p>
        </w:tc>
      </w:tr>
      <w:tr w14:paraId="6FB74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3"/>
            <w:vAlign w:val="center"/>
          </w:tcPr>
          <w:p w14:paraId="172C2F21">
            <w:pPr>
              <w:pStyle w:val="133"/>
              <w:jc w:val="both"/>
              <w:rPr>
                <w:color w:val="000000"/>
              </w:rPr>
            </w:pPr>
            <w:r>
              <w:rPr>
                <w:rFonts w:hint="eastAsia"/>
                <w:color w:val="000000"/>
              </w:rPr>
              <w:t>a.温度≥300℃，高压指压力容器的设计压力（P）≥10.0MPa；</w:t>
            </w:r>
          </w:p>
          <w:p w14:paraId="1518B3D2">
            <w:pPr>
              <w:pStyle w:val="133"/>
              <w:jc w:val="both"/>
              <w:rPr>
                <w:color w:val="000000"/>
              </w:rPr>
            </w:pPr>
            <w:r>
              <w:rPr>
                <w:rFonts w:hint="eastAsia"/>
                <w:color w:val="000000"/>
              </w:rPr>
              <w:t>b.长输管道运输项目应按站场、管线分段进行评价。</w:t>
            </w:r>
          </w:p>
        </w:tc>
      </w:tr>
    </w:tbl>
    <w:p w14:paraId="65289816">
      <w:pPr>
        <w:pStyle w:val="409"/>
        <w:rPr>
          <w:color w:val="FF0000"/>
        </w:rPr>
      </w:pPr>
    </w:p>
    <w:p w14:paraId="615F616D">
      <w:pPr>
        <w:ind w:firstLine="480"/>
        <w:rPr>
          <w:color w:val="000000"/>
        </w:rPr>
      </w:pPr>
      <w:r>
        <w:rPr>
          <w:color w:val="000000"/>
        </w:rPr>
        <w:t>本项目为</w:t>
      </w:r>
      <w:r>
        <w:rPr>
          <w:rFonts w:hint="eastAsia"/>
          <w:color w:val="000000"/>
        </w:rPr>
        <w:t>危险废物处置</w:t>
      </w:r>
      <w:r>
        <w:rPr>
          <w:color w:val="000000"/>
        </w:rPr>
        <w:t>行业</w:t>
      </w:r>
      <w:r>
        <w:rPr>
          <w:rFonts w:hint="eastAsia"/>
          <w:color w:val="000000"/>
        </w:rPr>
        <w:t>，生产工艺M值计算见下表。</w:t>
      </w:r>
    </w:p>
    <w:p w14:paraId="23297FD8">
      <w:pPr>
        <w:pStyle w:val="118"/>
        <w:ind w:firstLine="480"/>
      </w:pPr>
      <w:r>
        <w:rPr>
          <w:rFonts w:hint="eastAsia"/>
        </w:rPr>
        <w:t>表7.3-</w:t>
      </w:r>
      <w:r>
        <w:t xml:space="preserve">4   </w:t>
      </w:r>
      <w:r>
        <w:rPr>
          <w:rFonts w:hint="eastAsia"/>
        </w:rPr>
        <w:t>本项目生产工艺M值计算表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2189"/>
        <w:gridCol w:w="4658"/>
        <w:gridCol w:w="687"/>
        <w:gridCol w:w="1064"/>
      </w:tblGrid>
      <w:tr w14:paraId="5F280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0A1A54DE">
            <w:pPr>
              <w:pStyle w:val="133"/>
              <w:rPr>
                <w:b/>
                <w:bCs/>
                <w:color w:val="000000"/>
              </w:rPr>
            </w:pPr>
            <w:r>
              <w:rPr>
                <w:rFonts w:hint="eastAsia"/>
                <w:b/>
                <w:bCs/>
                <w:color w:val="000000"/>
              </w:rPr>
              <w:t>序号</w:t>
            </w:r>
          </w:p>
        </w:tc>
        <w:tc>
          <w:tcPr>
            <w:tcW w:w="1176" w:type="pct"/>
            <w:vAlign w:val="center"/>
          </w:tcPr>
          <w:p w14:paraId="2F36827F">
            <w:pPr>
              <w:pStyle w:val="133"/>
              <w:rPr>
                <w:b/>
                <w:bCs/>
                <w:color w:val="000000"/>
              </w:rPr>
            </w:pPr>
            <w:r>
              <w:rPr>
                <w:rFonts w:hint="eastAsia"/>
                <w:b/>
                <w:bCs/>
                <w:color w:val="000000"/>
              </w:rPr>
              <w:t>单元名称</w:t>
            </w:r>
          </w:p>
        </w:tc>
        <w:tc>
          <w:tcPr>
            <w:tcW w:w="2503" w:type="pct"/>
            <w:vAlign w:val="center"/>
          </w:tcPr>
          <w:p w14:paraId="5938FE4E">
            <w:pPr>
              <w:pStyle w:val="133"/>
              <w:rPr>
                <w:b/>
                <w:bCs/>
                <w:color w:val="000000"/>
              </w:rPr>
            </w:pPr>
            <w:r>
              <w:rPr>
                <w:rFonts w:hint="eastAsia"/>
                <w:b/>
                <w:bCs/>
                <w:color w:val="000000"/>
              </w:rPr>
              <w:t>生产工艺</w:t>
            </w:r>
          </w:p>
        </w:tc>
        <w:tc>
          <w:tcPr>
            <w:tcW w:w="369" w:type="pct"/>
            <w:vAlign w:val="center"/>
          </w:tcPr>
          <w:p w14:paraId="7A80CAB4">
            <w:pPr>
              <w:pStyle w:val="133"/>
              <w:rPr>
                <w:b/>
                <w:bCs/>
                <w:color w:val="000000"/>
              </w:rPr>
            </w:pPr>
            <w:r>
              <w:rPr>
                <w:rFonts w:hint="eastAsia"/>
                <w:b/>
                <w:bCs/>
                <w:color w:val="000000"/>
              </w:rPr>
              <w:t>数量</w:t>
            </w:r>
          </w:p>
        </w:tc>
        <w:tc>
          <w:tcPr>
            <w:tcW w:w="572" w:type="pct"/>
            <w:vAlign w:val="center"/>
          </w:tcPr>
          <w:p w14:paraId="39ED4976">
            <w:pPr>
              <w:pStyle w:val="133"/>
              <w:rPr>
                <w:b/>
                <w:bCs/>
                <w:color w:val="000000"/>
              </w:rPr>
            </w:pPr>
            <w:r>
              <w:rPr>
                <w:rFonts w:hint="eastAsia"/>
                <w:b/>
                <w:bCs/>
                <w:color w:val="000000"/>
              </w:rPr>
              <w:t>M分值</w:t>
            </w:r>
          </w:p>
        </w:tc>
      </w:tr>
      <w:tr w14:paraId="03EFE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1DAB758D">
            <w:pPr>
              <w:pStyle w:val="133"/>
              <w:rPr>
                <w:color w:val="000000"/>
              </w:rPr>
            </w:pPr>
            <w:r>
              <w:rPr>
                <w:rFonts w:hint="eastAsia"/>
                <w:color w:val="000000"/>
              </w:rPr>
              <w:t>1</w:t>
            </w:r>
          </w:p>
        </w:tc>
        <w:tc>
          <w:tcPr>
            <w:tcW w:w="1176" w:type="pct"/>
            <w:vAlign w:val="center"/>
          </w:tcPr>
          <w:p w14:paraId="55C95E64">
            <w:pPr>
              <w:pStyle w:val="133"/>
              <w:rPr>
                <w:color w:val="000000"/>
              </w:rPr>
            </w:pPr>
            <w:r>
              <w:rPr>
                <w:rFonts w:hint="eastAsia"/>
                <w:color w:val="000000"/>
              </w:rPr>
              <w:t>炭化炉</w:t>
            </w:r>
          </w:p>
        </w:tc>
        <w:tc>
          <w:tcPr>
            <w:tcW w:w="2503" w:type="pct"/>
            <w:vAlign w:val="center"/>
          </w:tcPr>
          <w:p w14:paraId="2936F6B3">
            <w:pPr>
              <w:pStyle w:val="133"/>
              <w:rPr>
                <w:color w:val="000000"/>
              </w:rPr>
            </w:pPr>
            <w:r>
              <w:rPr>
                <w:rFonts w:hint="eastAsia"/>
              </w:rPr>
              <w:t>其他高温，且涉及危险物质的工艺过程</w:t>
            </w:r>
          </w:p>
        </w:tc>
        <w:tc>
          <w:tcPr>
            <w:tcW w:w="369" w:type="pct"/>
            <w:vAlign w:val="center"/>
          </w:tcPr>
          <w:p w14:paraId="3CA2F8BC">
            <w:pPr>
              <w:pStyle w:val="133"/>
              <w:rPr>
                <w:color w:val="000000"/>
              </w:rPr>
            </w:pPr>
            <w:r>
              <w:rPr>
                <w:rFonts w:hint="eastAsia"/>
                <w:color w:val="000000"/>
              </w:rPr>
              <w:t>4</w:t>
            </w:r>
          </w:p>
        </w:tc>
        <w:tc>
          <w:tcPr>
            <w:tcW w:w="572" w:type="pct"/>
            <w:vAlign w:val="center"/>
          </w:tcPr>
          <w:p w14:paraId="532D179E">
            <w:pPr>
              <w:pStyle w:val="133"/>
              <w:rPr>
                <w:color w:val="000000"/>
              </w:rPr>
            </w:pPr>
            <w:r>
              <w:rPr>
                <w:rFonts w:hint="eastAsia"/>
                <w:color w:val="000000"/>
              </w:rPr>
              <w:t>5</w:t>
            </w:r>
          </w:p>
        </w:tc>
      </w:tr>
      <w:tr w14:paraId="431CA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24B010DE">
            <w:pPr>
              <w:pStyle w:val="133"/>
              <w:rPr>
                <w:color w:val="000000"/>
              </w:rPr>
            </w:pPr>
            <w:r>
              <w:rPr>
                <w:rFonts w:hint="eastAsia"/>
                <w:color w:val="000000"/>
              </w:rPr>
              <w:t>2</w:t>
            </w:r>
          </w:p>
        </w:tc>
        <w:tc>
          <w:tcPr>
            <w:tcW w:w="1176" w:type="pct"/>
            <w:vAlign w:val="center"/>
          </w:tcPr>
          <w:p w14:paraId="1183E8A5">
            <w:pPr>
              <w:pStyle w:val="133"/>
              <w:rPr>
                <w:color w:val="000000"/>
              </w:rPr>
            </w:pPr>
            <w:r>
              <w:rPr>
                <w:rFonts w:hint="eastAsia" w:cs="Times New Roman"/>
                <w:color w:val="000000"/>
              </w:rPr>
              <w:t>危险物质贮存罐区</w:t>
            </w:r>
          </w:p>
        </w:tc>
        <w:tc>
          <w:tcPr>
            <w:tcW w:w="2503" w:type="pct"/>
            <w:vAlign w:val="center"/>
          </w:tcPr>
          <w:p w14:paraId="0C80CD2C">
            <w:pPr>
              <w:pStyle w:val="133"/>
              <w:rPr>
                <w:color w:val="000000"/>
              </w:rPr>
            </w:pPr>
            <w:r>
              <w:rPr>
                <w:rFonts w:hint="eastAsia"/>
                <w:color w:val="000000"/>
              </w:rPr>
              <w:t>项目涉及危险物质贮存罐区：焦油罐区</w:t>
            </w:r>
          </w:p>
        </w:tc>
        <w:tc>
          <w:tcPr>
            <w:tcW w:w="369" w:type="pct"/>
            <w:vAlign w:val="center"/>
          </w:tcPr>
          <w:p w14:paraId="444BD28C">
            <w:pPr>
              <w:pStyle w:val="133"/>
              <w:rPr>
                <w:color w:val="000000"/>
              </w:rPr>
            </w:pPr>
            <w:r>
              <w:rPr>
                <w:rFonts w:hint="eastAsia"/>
                <w:color w:val="000000"/>
              </w:rPr>
              <w:t>4</w:t>
            </w:r>
          </w:p>
        </w:tc>
        <w:tc>
          <w:tcPr>
            <w:tcW w:w="572" w:type="pct"/>
            <w:vAlign w:val="center"/>
          </w:tcPr>
          <w:p w14:paraId="2BD91C3A">
            <w:pPr>
              <w:pStyle w:val="133"/>
              <w:rPr>
                <w:color w:val="000000"/>
              </w:rPr>
            </w:pPr>
            <w:r>
              <w:rPr>
                <w:rFonts w:hint="eastAsia"/>
                <w:color w:val="000000"/>
              </w:rPr>
              <w:t>5</w:t>
            </w:r>
          </w:p>
        </w:tc>
      </w:tr>
      <w:tr w14:paraId="4AB3A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3E712806">
            <w:pPr>
              <w:pStyle w:val="133"/>
              <w:rPr>
                <w:color w:val="000000"/>
              </w:rPr>
            </w:pPr>
            <w:r>
              <w:rPr>
                <w:rFonts w:hint="eastAsia"/>
                <w:color w:val="000000"/>
              </w:rPr>
              <w:t>3</w:t>
            </w:r>
          </w:p>
        </w:tc>
        <w:tc>
          <w:tcPr>
            <w:tcW w:w="1176" w:type="pct"/>
            <w:vAlign w:val="center"/>
          </w:tcPr>
          <w:p w14:paraId="16195668">
            <w:pPr>
              <w:pStyle w:val="133"/>
              <w:rPr>
                <w:color w:val="000000"/>
              </w:rPr>
            </w:pPr>
            <w:r>
              <w:rPr>
                <w:rFonts w:hint="eastAsia"/>
              </w:rPr>
              <w:t>白云石煅烧炉</w:t>
            </w:r>
          </w:p>
        </w:tc>
        <w:tc>
          <w:tcPr>
            <w:tcW w:w="2503" w:type="pct"/>
            <w:vAlign w:val="center"/>
          </w:tcPr>
          <w:p w14:paraId="6514A0A8">
            <w:pPr>
              <w:pStyle w:val="133"/>
              <w:rPr>
                <w:color w:val="000000"/>
              </w:rPr>
            </w:pPr>
            <w:r>
              <w:rPr>
                <w:rFonts w:hint="eastAsia"/>
              </w:rPr>
              <w:t>其他高温，且涉及危险物质的工艺过程</w:t>
            </w:r>
          </w:p>
        </w:tc>
        <w:tc>
          <w:tcPr>
            <w:tcW w:w="369" w:type="pct"/>
            <w:vAlign w:val="center"/>
          </w:tcPr>
          <w:p w14:paraId="636434CE">
            <w:pPr>
              <w:pStyle w:val="133"/>
              <w:rPr>
                <w:color w:val="000000"/>
              </w:rPr>
            </w:pPr>
            <w:r>
              <w:rPr>
                <w:rFonts w:hint="eastAsia"/>
              </w:rPr>
              <w:t>1</w:t>
            </w:r>
          </w:p>
        </w:tc>
        <w:tc>
          <w:tcPr>
            <w:tcW w:w="572" w:type="pct"/>
            <w:vAlign w:val="center"/>
          </w:tcPr>
          <w:p w14:paraId="164AB2A2">
            <w:pPr>
              <w:pStyle w:val="133"/>
              <w:rPr>
                <w:color w:val="000000"/>
              </w:rPr>
            </w:pPr>
            <w:r>
              <w:rPr>
                <w:rFonts w:hint="eastAsia"/>
              </w:rPr>
              <w:t>5</w:t>
            </w:r>
          </w:p>
        </w:tc>
      </w:tr>
      <w:tr w14:paraId="28D95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68BF7BAB">
            <w:pPr>
              <w:pStyle w:val="133"/>
              <w:rPr>
                <w:color w:val="000000"/>
              </w:rPr>
            </w:pPr>
            <w:r>
              <w:rPr>
                <w:rFonts w:hint="eastAsia"/>
                <w:color w:val="000000"/>
              </w:rPr>
              <w:t>4</w:t>
            </w:r>
          </w:p>
        </w:tc>
        <w:tc>
          <w:tcPr>
            <w:tcW w:w="1176" w:type="pct"/>
            <w:vAlign w:val="center"/>
          </w:tcPr>
          <w:p w14:paraId="14F83E64">
            <w:pPr>
              <w:pStyle w:val="133"/>
              <w:rPr>
                <w:color w:val="000000"/>
              </w:rPr>
            </w:pPr>
            <w:r>
              <w:rPr>
                <w:rFonts w:hint="eastAsia"/>
              </w:rPr>
              <w:t>还原炉</w:t>
            </w:r>
          </w:p>
        </w:tc>
        <w:tc>
          <w:tcPr>
            <w:tcW w:w="2503" w:type="pct"/>
            <w:vAlign w:val="center"/>
          </w:tcPr>
          <w:p w14:paraId="127E520E">
            <w:pPr>
              <w:pStyle w:val="133"/>
              <w:rPr>
                <w:color w:val="000000"/>
              </w:rPr>
            </w:pPr>
            <w:r>
              <w:rPr>
                <w:rFonts w:hint="eastAsia"/>
              </w:rPr>
              <w:t>其他高温，且涉及危险物质的工艺过程</w:t>
            </w:r>
          </w:p>
        </w:tc>
        <w:tc>
          <w:tcPr>
            <w:tcW w:w="369" w:type="pct"/>
            <w:vAlign w:val="center"/>
          </w:tcPr>
          <w:p w14:paraId="131EA0C1">
            <w:pPr>
              <w:pStyle w:val="133"/>
              <w:rPr>
                <w:color w:val="000000"/>
              </w:rPr>
            </w:pPr>
            <w:r>
              <w:rPr>
                <w:rFonts w:hint="eastAsia"/>
              </w:rPr>
              <w:t>6</w:t>
            </w:r>
          </w:p>
        </w:tc>
        <w:tc>
          <w:tcPr>
            <w:tcW w:w="572" w:type="pct"/>
            <w:vAlign w:val="center"/>
          </w:tcPr>
          <w:p w14:paraId="1909D266">
            <w:pPr>
              <w:pStyle w:val="133"/>
              <w:rPr>
                <w:color w:val="000000"/>
              </w:rPr>
            </w:pPr>
            <w:r>
              <w:rPr>
                <w:rFonts w:hint="eastAsia"/>
              </w:rPr>
              <w:t>5</w:t>
            </w:r>
          </w:p>
        </w:tc>
      </w:tr>
      <w:tr w14:paraId="7CBB0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0" w:type="pct"/>
            <w:vAlign w:val="center"/>
          </w:tcPr>
          <w:p w14:paraId="34A147FD">
            <w:pPr>
              <w:pStyle w:val="133"/>
              <w:rPr>
                <w:color w:val="000000"/>
              </w:rPr>
            </w:pPr>
            <w:r>
              <w:rPr>
                <w:rFonts w:hint="eastAsia"/>
                <w:color w:val="000000"/>
              </w:rPr>
              <w:t>5</w:t>
            </w:r>
          </w:p>
        </w:tc>
        <w:tc>
          <w:tcPr>
            <w:tcW w:w="1176" w:type="pct"/>
            <w:vAlign w:val="center"/>
          </w:tcPr>
          <w:p w14:paraId="2A539472">
            <w:pPr>
              <w:pStyle w:val="133"/>
              <w:rPr>
                <w:color w:val="000000"/>
              </w:rPr>
            </w:pPr>
            <w:r>
              <w:rPr>
                <w:rFonts w:hint="eastAsia"/>
              </w:rPr>
              <w:t>精炼炉</w:t>
            </w:r>
          </w:p>
        </w:tc>
        <w:tc>
          <w:tcPr>
            <w:tcW w:w="2503" w:type="pct"/>
            <w:vAlign w:val="center"/>
          </w:tcPr>
          <w:p w14:paraId="6372A397">
            <w:pPr>
              <w:pStyle w:val="133"/>
              <w:rPr>
                <w:color w:val="000000"/>
              </w:rPr>
            </w:pPr>
            <w:r>
              <w:rPr>
                <w:rFonts w:hint="eastAsia"/>
              </w:rPr>
              <w:t>其他高温，且涉及危险物质的工艺过程</w:t>
            </w:r>
          </w:p>
        </w:tc>
        <w:tc>
          <w:tcPr>
            <w:tcW w:w="369" w:type="pct"/>
            <w:vAlign w:val="center"/>
          </w:tcPr>
          <w:p w14:paraId="3FFAD151">
            <w:pPr>
              <w:pStyle w:val="133"/>
              <w:rPr>
                <w:color w:val="000000"/>
              </w:rPr>
            </w:pPr>
            <w:r>
              <w:rPr>
                <w:rFonts w:hint="eastAsia"/>
              </w:rPr>
              <w:t>16</w:t>
            </w:r>
          </w:p>
        </w:tc>
        <w:tc>
          <w:tcPr>
            <w:tcW w:w="572" w:type="pct"/>
            <w:vAlign w:val="center"/>
          </w:tcPr>
          <w:p w14:paraId="143CD4C3">
            <w:pPr>
              <w:pStyle w:val="133"/>
              <w:rPr>
                <w:color w:val="000000"/>
              </w:rPr>
            </w:pPr>
            <w:r>
              <w:rPr>
                <w:rFonts w:hint="eastAsia"/>
              </w:rPr>
              <w:t>5</w:t>
            </w:r>
          </w:p>
        </w:tc>
      </w:tr>
      <w:tr w14:paraId="65E10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2E67F9A5">
            <w:pPr>
              <w:pStyle w:val="133"/>
              <w:rPr>
                <w:color w:val="FF0000"/>
              </w:rPr>
            </w:pPr>
            <w:r>
              <w:rPr>
                <w:rFonts w:hint="eastAsia"/>
                <w:color w:val="000000"/>
              </w:rPr>
              <w:t>M=∑Mi=155，即行业及生产工艺为M1。</w:t>
            </w:r>
          </w:p>
        </w:tc>
      </w:tr>
    </w:tbl>
    <w:p w14:paraId="0485390F">
      <w:pPr>
        <w:pStyle w:val="410"/>
        <w:ind w:left="5250" w:firstLine="480"/>
        <w:rPr>
          <w:color w:val="FF0000"/>
        </w:rPr>
      </w:pPr>
    </w:p>
    <w:p w14:paraId="05EA9798">
      <w:pPr>
        <w:pStyle w:val="117"/>
        <w:ind w:firstLine="480"/>
        <w:rPr>
          <w:color w:val="000000"/>
        </w:rPr>
      </w:pPr>
      <w:r>
        <w:rPr>
          <w:rFonts w:hint="eastAsia"/>
          <w:color w:val="000000"/>
        </w:rPr>
        <w:t>（3）危险物质及工艺系数危险性（P）值的确定</w:t>
      </w:r>
    </w:p>
    <w:p w14:paraId="13C65CF7">
      <w:pPr>
        <w:pStyle w:val="117"/>
        <w:ind w:firstLine="480"/>
        <w:rPr>
          <w:color w:val="000000"/>
        </w:rPr>
      </w:pPr>
      <w:r>
        <w:rPr>
          <w:rFonts w:hint="eastAsia"/>
          <w:color w:val="000000"/>
        </w:rPr>
        <w:t>根据危险物质数量与临界量比值（Q）和行业及生产工艺（M）确定危险物质及工艺系统危险性等级（P）判断，其判断依据，见表7.3-</w:t>
      </w:r>
      <w:r>
        <w:rPr>
          <w:color w:val="000000"/>
        </w:rPr>
        <w:t>5</w:t>
      </w:r>
      <w:r>
        <w:rPr>
          <w:rFonts w:hint="eastAsia"/>
          <w:color w:val="000000"/>
        </w:rPr>
        <w:t>。</w:t>
      </w:r>
    </w:p>
    <w:p w14:paraId="3BE932CB">
      <w:pPr>
        <w:pStyle w:val="118"/>
        <w:ind w:firstLine="480"/>
      </w:pPr>
      <w:r>
        <w:rPr>
          <w:rFonts w:hint="eastAsia"/>
        </w:rPr>
        <w:t>表7.3-</w:t>
      </w:r>
      <w:r>
        <w:t>5</w:t>
      </w:r>
      <w:r>
        <w:rPr>
          <w:rFonts w:hint="eastAsia"/>
        </w:rPr>
        <w:t xml:space="preserve">  危险物质及工艺系统危险性等级判断（P）</w:t>
      </w:r>
    </w:p>
    <w:tbl>
      <w:tblPr>
        <w:tblStyle w:val="6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3"/>
        <w:gridCol w:w="1699"/>
        <w:gridCol w:w="1861"/>
        <w:gridCol w:w="1861"/>
        <w:gridCol w:w="1861"/>
      </w:tblGrid>
      <w:tr w14:paraId="53EC7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7" w:type="pct"/>
            <w:vMerge w:val="restart"/>
            <w:vAlign w:val="center"/>
          </w:tcPr>
          <w:p w14:paraId="7C4E5F06">
            <w:pPr>
              <w:pStyle w:val="133"/>
              <w:rPr>
                <w:b/>
                <w:bCs/>
                <w:color w:val="000000"/>
              </w:rPr>
            </w:pPr>
            <w:r>
              <w:rPr>
                <w:b/>
                <w:bCs/>
                <w:color w:val="000000"/>
              </w:rPr>
              <w:t>危险物质数量与临界量比值（Q）</w:t>
            </w:r>
          </w:p>
        </w:tc>
        <w:tc>
          <w:tcPr>
            <w:tcW w:w="3913" w:type="pct"/>
            <w:gridSpan w:val="4"/>
            <w:vAlign w:val="center"/>
          </w:tcPr>
          <w:p w14:paraId="65A05BBE">
            <w:pPr>
              <w:pStyle w:val="133"/>
              <w:rPr>
                <w:b/>
                <w:bCs/>
                <w:color w:val="000000"/>
              </w:rPr>
            </w:pPr>
            <w:r>
              <w:rPr>
                <w:b/>
                <w:bCs/>
                <w:color w:val="000000"/>
              </w:rPr>
              <w:t>行业及生产工艺（P）</w:t>
            </w:r>
          </w:p>
        </w:tc>
      </w:tr>
      <w:tr w14:paraId="3190C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7" w:type="pct"/>
            <w:vMerge w:val="continue"/>
            <w:vAlign w:val="center"/>
          </w:tcPr>
          <w:p w14:paraId="32A63C97">
            <w:pPr>
              <w:pStyle w:val="133"/>
              <w:rPr>
                <w:b/>
                <w:bCs/>
                <w:color w:val="000000"/>
              </w:rPr>
            </w:pPr>
          </w:p>
        </w:tc>
        <w:tc>
          <w:tcPr>
            <w:tcW w:w="913" w:type="pct"/>
            <w:shd w:val="clear" w:color="auto" w:fill="FFFFFF"/>
            <w:vAlign w:val="center"/>
          </w:tcPr>
          <w:p w14:paraId="2E6F3F81">
            <w:pPr>
              <w:pStyle w:val="133"/>
              <w:rPr>
                <w:b/>
                <w:bCs/>
                <w:color w:val="000000"/>
                <w:lang w:eastAsia="en-US"/>
              </w:rPr>
            </w:pPr>
            <w:r>
              <w:rPr>
                <w:b/>
                <w:bCs/>
                <w:color w:val="000000"/>
                <w:lang w:eastAsia="en-US"/>
              </w:rPr>
              <w:t>M1</w:t>
            </w:r>
          </w:p>
        </w:tc>
        <w:tc>
          <w:tcPr>
            <w:tcW w:w="1000" w:type="pct"/>
            <w:vAlign w:val="center"/>
          </w:tcPr>
          <w:p w14:paraId="7CE3F8BF">
            <w:pPr>
              <w:pStyle w:val="133"/>
              <w:rPr>
                <w:b/>
                <w:bCs/>
                <w:color w:val="000000"/>
                <w:lang w:eastAsia="en-US"/>
              </w:rPr>
            </w:pPr>
            <w:r>
              <w:rPr>
                <w:b/>
                <w:bCs/>
                <w:color w:val="000000"/>
                <w:lang w:eastAsia="en-US"/>
              </w:rPr>
              <w:t>M2</w:t>
            </w:r>
          </w:p>
        </w:tc>
        <w:tc>
          <w:tcPr>
            <w:tcW w:w="1000" w:type="pct"/>
            <w:vAlign w:val="center"/>
          </w:tcPr>
          <w:p w14:paraId="50CAC321">
            <w:pPr>
              <w:pStyle w:val="133"/>
              <w:rPr>
                <w:b/>
                <w:bCs/>
                <w:color w:val="000000"/>
                <w:lang w:eastAsia="en-US"/>
              </w:rPr>
            </w:pPr>
            <w:r>
              <w:rPr>
                <w:b/>
                <w:bCs/>
                <w:color w:val="000000"/>
                <w:lang w:eastAsia="en-US"/>
              </w:rPr>
              <w:t>M3</w:t>
            </w:r>
          </w:p>
        </w:tc>
        <w:tc>
          <w:tcPr>
            <w:tcW w:w="999" w:type="pct"/>
            <w:vAlign w:val="center"/>
          </w:tcPr>
          <w:p w14:paraId="0DAC99B0">
            <w:pPr>
              <w:pStyle w:val="133"/>
              <w:rPr>
                <w:b/>
                <w:bCs/>
                <w:color w:val="000000"/>
                <w:lang w:eastAsia="en-US"/>
              </w:rPr>
            </w:pPr>
            <w:r>
              <w:rPr>
                <w:b/>
                <w:bCs/>
                <w:color w:val="000000"/>
                <w:lang w:eastAsia="en-US"/>
              </w:rPr>
              <w:t>M4</w:t>
            </w:r>
          </w:p>
        </w:tc>
      </w:tr>
      <w:tr w14:paraId="57E08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7" w:type="pct"/>
            <w:vAlign w:val="center"/>
          </w:tcPr>
          <w:p w14:paraId="193472AB">
            <w:pPr>
              <w:pStyle w:val="133"/>
              <w:rPr>
                <w:color w:val="000000"/>
                <w:lang w:eastAsia="en-US"/>
              </w:rPr>
            </w:pPr>
            <w:r>
              <w:rPr>
                <w:color w:val="000000"/>
                <w:lang w:eastAsia="en-US"/>
              </w:rPr>
              <w:t>Q≥100</w:t>
            </w:r>
          </w:p>
        </w:tc>
        <w:tc>
          <w:tcPr>
            <w:tcW w:w="913" w:type="pct"/>
            <w:shd w:val="clear" w:color="auto" w:fill="DDD9C3"/>
            <w:vAlign w:val="center"/>
          </w:tcPr>
          <w:p w14:paraId="0C1FD102">
            <w:pPr>
              <w:pStyle w:val="133"/>
              <w:rPr>
                <w:color w:val="000000"/>
                <w:lang w:eastAsia="en-US"/>
              </w:rPr>
            </w:pPr>
            <w:r>
              <w:rPr>
                <w:color w:val="000000"/>
                <w:lang w:eastAsia="en-US"/>
              </w:rPr>
              <w:t>P1</w:t>
            </w:r>
          </w:p>
        </w:tc>
        <w:tc>
          <w:tcPr>
            <w:tcW w:w="1000" w:type="pct"/>
            <w:shd w:val="clear" w:color="auto" w:fill="FFFFFF"/>
            <w:vAlign w:val="center"/>
          </w:tcPr>
          <w:p w14:paraId="3BA1E6C2">
            <w:pPr>
              <w:pStyle w:val="133"/>
              <w:rPr>
                <w:color w:val="000000"/>
                <w:lang w:eastAsia="en-US"/>
              </w:rPr>
            </w:pPr>
            <w:r>
              <w:rPr>
                <w:color w:val="000000"/>
                <w:lang w:eastAsia="en-US"/>
              </w:rPr>
              <w:t>P1</w:t>
            </w:r>
          </w:p>
        </w:tc>
        <w:tc>
          <w:tcPr>
            <w:tcW w:w="1000" w:type="pct"/>
            <w:vAlign w:val="center"/>
          </w:tcPr>
          <w:p w14:paraId="4D1E80AF">
            <w:pPr>
              <w:pStyle w:val="133"/>
              <w:rPr>
                <w:color w:val="000000"/>
                <w:lang w:eastAsia="en-US"/>
              </w:rPr>
            </w:pPr>
            <w:r>
              <w:rPr>
                <w:color w:val="000000"/>
                <w:lang w:eastAsia="en-US"/>
              </w:rPr>
              <w:t>P2</w:t>
            </w:r>
          </w:p>
        </w:tc>
        <w:tc>
          <w:tcPr>
            <w:tcW w:w="999" w:type="pct"/>
            <w:shd w:val="clear" w:color="auto" w:fill="FFFFFF"/>
            <w:vAlign w:val="center"/>
          </w:tcPr>
          <w:p w14:paraId="263B9C1B">
            <w:pPr>
              <w:pStyle w:val="133"/>
              <w:rPr>
                <w:color w:val="000000"/>
                <w:lang w:eastAsia="en-US"/>
              </w:rPr>
            </w:pPr>
            <w:r>
              <w:rPr>
                <w:color w:val="000000"/>
                <w:lang w:eastAsia="en-US"/>
              </w:rPr>
              <w:t>P3</w:t>
            </w:r>
          </w:p>
        </w:tc>
      </w:tr>
      <w:tr w14:paraId="116B5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7" w:type="pct"/>
            <w:vAlign w:val="center"/>
          </w:tcPr>
          <w:p w14:paraId="5C6E886A">
            <w:pPr>
              <w:pStyle w:val="133"/>
              <w:rPr>
                <w:color w:val="000000"/>
                <w:lang w:eastAsia="en-US"/>
              </w:rPr>
            </w:pPr>
            <w:r>
              <w:rPr>
                <w:color w:val="000000"/>
                <w:lang w:eastAsia="en-US"/>
              </w:rPr>
              <w:t>10≤Q</w:t>
            </w:r>
            <w:r>
              <w:rPr>
                <w:rFonts w:hint="eastAsia"/>
                <w:color w:val="000000"/>
              </w:rPr>
              <w:t>&lt;</w:t>
            </w:r>
            <w:r>
              <w:rPr>
                <w:color w:val="000000"/>
                <w:lang w:eastAsia="en-US"/>
              </w:rPr>
              <w:t>100</w:t>
            </w:r>
          </w:p>
        </w:tc>
        <w:tc>
          <w:tcPr>
            <w:tcW w:w="913" w:type="pct"/>
            <w:vAlign w:val="center"/>
          </w:tcPr>
          <w:p w14:paraId="17744432">
            <w:pPr>
              <w:pStyle w:val="133"/>
              <w:rPr>
                <w:color w:val="000000"/>
                <w:lang w:eastAsia="en-US"/>
              </w:rPr>
            </w:pPr>
            <w:r>
              <w:rPr>
                <w:color w:val="000000"/>
                <w:lang w:eastAsia="en-US"/>
              </w:rPr>
              <w:t>P1</w:t>
            </w:r>
          </w:p>
        </w:tc>
        <w:tc>
          <w:tcPr>
            <w:tcW w:w="1000" w:type="pct"/>
            <w:vAlign w:val="center"/>
          </w:tcPr>
          <w:p w14:paraId="6268E50A">
            <w:pPr>
              <w:pStyle w:val="133"/>
              <w:rPr>
                <w:color w:val="000000"/>
                <w:lang w:eastAsia="en-US"/>
              </w:rPr>
            </w:pPr>
            <w:r>
              <w:rPr>
                <w:color w:val="000000"/>
                <w:lang w:eastAsia="en-US"/>
              </w:rPr>
              <w:t>P2</w:t>
            </w:r>
          </w:p>
        </w:tc>
        <w:tc>
          <w:tcPr>
            <w:tcW w:w="1000" w:type="pct"/>
            <w:vAlign w:val="center"/>
          </w:tcPr>
          <w:p w14:paraId="6D279748">
            <w:pPr>
              <w:pStyle w:val="133"/>
              <w:rPr>
                <w:color w:val="000000"/>
                <w:lang w:eastAsia="en-US"/>
              </w:rPr>
            </w:pPr>
            <w:r>
              <w:rPr>
                <w:color w:val="000000"/>
                <w:lang w:eastAsia="en-US"/>
              </w:rPr>
              <w:t>P3</w:t>
            </w:r>
          </w:p>
        </w:tc>
        <w:tc>
          <w:tcPr>
            <w:tcW w:w="999" w:type="pct"/>
            <w:vAlign w:val="center"/>
          </w:tcPr>
          <w:p w14:paraId="22E39F84">
            <w:pPr>
              <w:pStyle w:val="133"/>
              <w:rPr>
                <w:color w:val="000000"/>
                <w:lang w:eastAsia="en-US"/>
              </w:rPr>
            </w:pPr>
            <w:r>
              <w:rPr>
                <w:color w:val="000000"/>
                <w:lang w:eastAsia="en-US"/>
              </w:rPr>
              <w:t>P4</w:t>
            </w:r>
          </w:p>
        </w:tc>
      </w:tr>
      <w:tr w14:paraId="7CF23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087" w:type="pct"/>
            <w:vAlign w:val="center"/>
          </w:tcPr>
          <w:p w14:paraId="5DD8EA81">
            <w:pPr>
              <w:pStyle w:val="133"/>
              <w:rPr>
                <w:color w:val="000000"/>
                <w:lang w:eastAsia="en-US"/>
              </w:rPr>
            </w:pPr>
            <w:r>
              <w:rPr>
                <w:color w:val="000000"/>
                <w:lang w:eastAsia="en-US"/>
              </w:rPr>
              <w:t>1≤Q</w:t>
            </w:r>
            <w:r>
              <w:rPr>
                <w:rFonts w:hint="eastAsia"/>
                <w:color w:val="000000"/>
              </w:rPr>
              <w:t>&lt;</w:t>
            </w:r>
            <w:r>
              <w:rPr>
                <w:color w:val="000000"/>
                <w:lang w:eastAsia="en-US"/>
              </w:rPr>
              <w:t>10</w:t>
            </w:r>
          </w:p>
        </w:tc>
        <w:tc>
          <w:tcPr>
            <w:tcW w:w="913" w:type="pct"/>
            <w:vAlign w:val="center"/>
          </w:tcPr>
          <w:p w14:paraId="65A95078">
            <w:pPr>
              <w:pStyle w:val="133"/>
              <w:rPr>
                <w:color w:val="000000"/>
                <w:lang w:eastAsia="en-US"/>
              </w:rPr>
            </w:pPr>
            <w:r>
              <w:rPr>
                <w:color w:val="000000"/>
                <w:lang w:eastAsia="en-US"/>
              </w:rPr>
              <w:t>P2</w:t>
            </w:r>
          </w:p>
        </w:tc>
        <w:tc>
          <w:tcPr>
            <w:tcW w:w="1000" w:type="pct"/>
            <w:vAlign w:val="center"/>
          </w:tcPr>
          <w:p w14:paraId="2B81043B">
            <w:pPr>
              <w:pStyle w:val="133"/>
              <w:rPr>
                <w:color w:val="000000"/>
                <w:lang w:eastAsia="en-US"/>
              </w:rPr>
            </w:pPr>
            <w:r>
              <w:rPr>
                <w:color w:val="000000"/>
                <w:lang w:eastAsia="en-US"/>
              </w:rPr>
              <w:t>P3</w:t>
            </w:r>
          </w:p>
        </w:tc>
        <w:tc>
          <w:tcPr>
            <w:tcW w:w="1000" w:type="pct"/>
            <w:vAlign w:val="center"/>
          </w:tcPr>
          <w:p w14:paraId="0F8C0FD9">
            <w:pPr>
              <w:pStyle w:val="133"/>
              <w:rPr>
                <w:color w:val="000000"/>
                <w:lang w:eastAsia="en-US"/>
              </w:rPr>
            </w:pPr>
            <w:r>
              <w:rPr>
                <w:color w:val="000000"/>
                <w:lang w:eastAsia="en-US"/>
              </w:rPr>
              <w:t>P4</w:t>
            </w:r>
          </w:p>
        </w:tc>
        <w:tc>
          <w:tcPr>
            <w:tcW w:w="999" w:type="pct"/>
            <w:vAlign w:val="center"/>
          </w:tcPr>
          <w:p w14:paraId="0B48A518">
            <w:pPr>
              <w:pStyle w:val="133"/>
              <w:rPr>
                <w:color w:val="000000"/>
                <w:lang w:eastAsia="en-US"/>
              </w:rPr>
            </w:pPr>
            <w:r>
              <w:rPr>
                <w:color w:val="000000"/>
                <w:lang w:eastAsia="en-US"/>
              </w:rPr>
              <w:t>P4</w:t>
            </w:r>
          </w:p>
        </w:tc>
      </w:tr>
    </w:tbl>
    <w:p w14:paraId="72790BF9">
      <w:pPr>
        <w:pStyle w:val="117"/>
        <w:ind w:firstLine="480"/>
        <w:rPr>
          <w:color w:val="000000"/>
        </w:rPr>
      </w:pPr>
      <w:r>
        <w:rPr>
          <w:rFonts w:hint="eastAsia"/>
          <w:color w:val="000000"/>
        </w:rPr>
        <w:t>通过表7.3</w:t>
      </w:r>
      <w:r>
        <w:rPr>
          <w:color w:val="000000"/>
        </w:rPr>
        <w:t>.2</w:t>
      </w:r>
      <w:r>
        <w:rPr>
          <w:rFonts w:hint="eastAsia"/>
          <w:color w:val="000000"/>
        </w:rPr>
        <w:t>和表7.3</w:t>
      </w:r>
      <w:r>
        <w:rPr>
          <w:color w:val="000000"/>
        </w:rPr>
        <w:t>-5</w:t>
      </w:r>
      <w:r>
        <w:rPr>
          <w:rFonts w:hint="eastAsia"/>
          <w:color w:val="000000"/>
        </w:rPr>
        <w:t>分析结果可知，本项目的Q≥100，M以M1表示，根据表7.3-</w:t>
      </w:r>
      <w:r>
        <w:rPr>
          <w:color w:val="000000"/>
        </w:rPr>
        <w:t>5</w:t>
      </w:r>
      <w:r>
        <w:rPr>
          <w:rFonts w:hint="eastAsia"/>
          <w:color w:val="000000"/>
        </w:rPr>
        <w:t>判断，本项目的P值以P1表示。</w:t>
      </w:r>
    </w:p>
    <w:p w14:paraId="28CD4B77">
      <w:pPr>
        <w:pStyle w:val="138"/>
        <w:ind w:firstLine="480"/>
        <w:rPr>
          <w:rFonts w:hint="eastAsia"/>
          <w:color w:val="000000"/>
        </w:rPr>
      </w:pPr>
      <w:r>
        <w:rPr>
          <w:rFonts w:hint="eastAsia"/>
          <w:color w:val="000000"/>
        </w:rPr>
        <w:t>环境敏感程度（E）的确定</w:t>
      </w:r>
    </w:p>
    <w:p w14:paraId="66D4DF62">
      <w:pPr>
        <w:pStyle w:val="117"/>
        <w:ind w:firstLine="480"/>
        <w:rPr>
          <w:color w:val="000000"/>
        </w:rPr>
      </w:pPr>
      <w:r>
        <w:rPr>
          <w:rFonts w:hint="eastAsia"/>
          <w:color w:val="000000"/>
        </w:rPr>
        <w:t>（1）大气环境</w:t>
      </w:r>
    </w:p>
    <w:p w14:paraId="0F8A9390">
      <w:pPr>
        <w:pStyle w:val="117"/>
        <w:ind w:firstLine="480"/>
        <w:rPr>
          <w:color w:val="000000"/>
        </w:rPr>
      </w:pPr>
      <w:r>
        <w:rPr>
          <w:rFonts w:hint="eastAsia"/>
          <w:color w:val="000000"/>
        </w:rPr>
        <w:t>根据《建设项目环境风险评价技术导则》（HJ169-2018）附录D：项目所在区域大气环境敏感程度是依据环境敏感目标环境敏感性及人口密度划分环境风险受体的敏感性来确定。大气环境敏感程度共分为三种类型：E1为环境高度敏感区，E2为环境中度敏感区，E3为环境低度敏感区。</w:t>
      </w:r>
    </w:p>
    <w:p w14:paraId="524BB070">
      <w:pPr>
        <w:pStyle w:val="117"/>
        <w:ind w:firstLine="480"/>
        <w:rPr>
          <w:color w:val="000000"/>
        </w:rPr>
      </w:pPr>
      <w:r>
        <w:rPr>
          <w:rFonts w:hint="eastAsia"/>
          <w:color w:val="000000"/>
        </w:rPr>
        <w:t>区域大气环境敏感程度判定一览表，见表7.3-</w:t>
      </w:r>
      <w:r>
        <w:rPr>
          <w:color w:val="000000"/>
        </w:rPr>
        <w:t>6</w:t>
      </w:r>
      <w:r>
        <w:rPr>
          <w:rFonts w:hint="eastAsia"/>
          <w:color w:val="000000"/>
        </w:rPr>
        <w:t>。</w:t>
      </w:r>
    </w:p>
    <w:p w14:paraId="3CBC8A36">
      <w:pPr>
        <w:pStyle w:val="118"/>
        <w:ind w:firstLine="480"/>
      </w:pPr>
      <w:r>
        <w:rPr>
          <w:rFonts w:hint="eastAsia"/>
        </w:rPr>
        <w:t>表7.3-</w:t>
      </w:r>
      <w:r>
        <w:t>6</w:t>
      </w:r>
      <w:r>
        <w:rPr>
          <w:rFonts w:hint="eastAsia"/>
        </w:rPr>
        <w:t xml:space="preserve"> </w:t>
      </w:r>
      <w:r>
        <w:t xml:space="preserve">  </w:t>
      </w:r>
      <w:r>
        <w:rPr>
          <w:rFonts w:hint="eastAsia"/>
        </w:rPr>
        <w:t xml:space="preserve"> 区域大气环境敏感程度判定一览表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78"/>
        <w:gridCol w:w="6256"/>
        <w:gridCol w:w="2285"/>
      </w:tblGrid>
      <w:tr w14:paraId="71DED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vAlign w:val="center"/>
          </w:tcPr>
          <w:p w14:paraId="280F0512">
            <w:pPr>
              <w:pStyle w:val="133"/>
              <w:rPr>
                <w:b/>
                <w:bCs/>
                <w:color w:val="000000"/>
              </w:rPr>
            </w:pPr>
            <w:r>
              <w:rPr>
                <w:b/>
                <w:bCs/>
                <w:color w:val="000000"/>
              </w:rPr>
              <w:t>分级</w:t>
            </w:r>
          </w:p>
        </w:tc>
        <w:tc>
          <w:tcPr>
            <w:tcW w:w="3430" w:type="pct"/>
            <w:vAlign w:val="center"/>
          </w:tcPr>
          <w:p w14:paraId="63425A01">
            <w:pPr>
              <w:pStyle w:val="133"/>
              <w:rPr>
                <w:b/>
                <w:bCs/>
                <w:color w:val="000000"/>
              </w:rPr>
            </w:pPr>
            <w:r>
              <w:rPr>
                <w:b/>
                <w:bCs/>
                <w:color w:val="000000"/>
              </w:rPr>
              <w:t>大气环境敏感性</w:t>
            </w:r>
          </w:p>
        </w:tc>
        <w:tc>
          <w:tcPr>
            <w:tcW w:w="1253" w:type="pct"/>
            <w:vAlign w:val="center"/>
          </w:tcPr>
          <w:p w14:paraId="0383C9BC">
            <w:pPr>
              <w:pStyle w:val="133"/>
              <w:rPr>
                <w:b/>
                <w:bCs/>
                <w:color w:val="000000"/>
              </w:rPr>
            </w:pPr>
            <w:r>
              <w:rPr>
                <w:b/>
                <w:bCs/>
                <w:color w:val="000000"/>
              </w:rPr>
              <w:t>项目所在区域判定情况</w:t>
            </w:r>
          </w:p>
        </w:tc>
      </w:tr>
      <w:tr w14:paraId="64329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vAlign w:val="center"/>
          </w:tcPr>
          <w:p w14:paraId="0DF5BD60">
            <w:pPr>
              <w:pStyle w:val="133"/>
              <w:rPr>
                <w:color w:val="000000"/>
              </w:rPr>
            </w:pPr>
            <w:r>
              <w:rPr>
                <w:color w:val="000000"/>
              </w:rPr>
              <w:t>E1</w:t>
            </w:r>
          </w:p>
        </w:tc>
        <w:tc>
          <w:tcPr>
            <w:tcW w:w="3430" w:type="pct"/>
            <w:vAlign w:val="center"/>
          </w:tcPr>
          <w:p w14:paraId="276EB65C">
            <w:pPr>
              <w:pStyle w:val="133"/>
              <w:rPr>
                <w:color w:val="000000"/>
              </w:rPr>
            </w:pPr>
            <w:r>
              <w:rPr>
                <w:color w:val="000000"/>
              </w:rPr>
              <w:t>周边5km范围内居住区、医疗卫生、文化教育、科研、行政办公等机构人口总数大于5万人，或其他需要特殊保护区域；或周边500m范围内人口总数大于1000人；油气、化学品输送管线管段周边200 m范围内，每千米管段人口数大于200人</w:t>
            </w:r>
          </w:p>
        </w:tc>
        <w:tc>
          <w:tcPr>
            <w:tcW w:w="1253" w:type="pct"/>
            <w:vMerge w:val="restart"/>
            <w:vAlign w:val="center"/>
          </w:tcPr>
          <w:p w14:paraId="5D56C0E3">
            <w:pPr>
              <w:pStyle w:val="133"/>
              <w:rPr>
                <w:color w:val="000000"/>
              </w:rPr>
            </w:pPr>
            <w:r>
              <w:rPr>
                <w:rFonts w:hint="eastAsia"/>
                <w:color w:val="000000"/>
                <w:kern w:val="2"/>
                <w:szCs w:val="22"/>
              </w:rPr>
              <w:t>项目位于</w:t>
            </w:r>
            <w:r>
              <w:rPr>
                <w:rFonts w:hint="eastAsia"/>
                <w:color w:val="000000"/>
              </w:rPr>
              <w:t>哈密高新技术产业开发区－</w:t>
            </w:r>
            <w:r>
              <w:rPr>
                <w:rFonts w:hint="eastAsia"/>
                <w:color w:val="000000"/>
                <w:szCs w:val="22"/>
              </w:rPr>
              <w:t>南部循环经济产业园</w:t>
            </w:r>
            <w:r>
              <w:rPr>
                <w:rFonts w:hint="eastAsia"/>
                <w:color w:val="000000"/>
                <w:kern w:val="2"/>
                <w:szCs w:val="22"/>
              </w:rPr>
              <w:t>，项目周边5km范围内无居住区，</w:t>
            </w:r>
            <w:r>
              <w:rPr>
                <w:color w:val="000000"/>
              </w:rPr>
              <w:t>人口总数小于1万人</w:t>
            </w:r>
            <w:r>
              <w:rPr>
                <w:rFonts w:hint="eastAsia"/>
                <w:color w:val="000000"/>
                <w:kern w:val="2"/>
                <w:szCs w:val="22"/>
              </w:rPr>
              <w:t>。</w:t>
            </w:r>
          </w:p>
        </w:tc>
      </w:tr>
      <w:tr w14:paraId="7124C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vAlign w:val="center"/>
          </w:tcPr>
          <w:p w14:paraId="043DB008">
            <w:pPr>
              <w:pStyle w:val="133"/>
              <w:rPr>
                <w:color w:val="000000"/>
              </w:rPr>
            </w:pPr>
            <w:r>
              <w:rPr>
                <w:color w:val="000000"/>
              </w:rPr>
              <w:t>E2</w:t>
            </w:r>
          </w:p>
        </w:tc>
        <w:tc>
          <w:tcPr>
            <w:tcW w:w="3430" w:type="pct"/>
            <w:vAlign w:val="center"/>
          </w:tcPr>
          <w:p w14:paraId="4D96C8E5">
            <w:pPr>
              <w:pStyle w:val="133"/>
              <w:rPr>
                <w:color w:val="000000"/>
              </w:rPr>
            </w:pPr>
            <w:r>
              <w:rPr>
                <w:color w:val="000000"/>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c>
          <w:tcPr>
            <w:tcW w:w="1253" w:type="pct"/>
            <w:vMerge w:val="continue"/>
            <w:vAlign w:val="center"/>
          </w:tcPr>
          <w:p w14:paraId="2CA5D68E">
            <w:pPr>
              <w:pStyle w:val="133"/>
              <w:rPr>
                <w:color w:val="000000"/>
              </w:rPr>
            </w:pPr>
          </w:p>
        </w:tc>
      </w:tr>
      <w:tr w14:paraId="3C107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17" w:type="pct"/>
            <w:vAlign w:val="center"/>
          </w:tcPr>
          <w:p w14:paraId="2AB99705">
            <w:pPr>
              <w:pStyle w:val="133"/>
              <w:rPr>
                <w:color w:val="000000"/>
              </w:rPr>
            </w:pPr>
            <w:r>
              <w:rPr>
                <w:color w:val="000000"/>
              </w:rPr>
              <w:t>E3</w:t>
            </w:r>
          </w:p>
        </w:tc>
        <w:tc>
          <w:tcPr>
            <w:tcW w:w="3430" w:type="pct"/>
            <w:vAlign w:val="center"/>
          </w:tcPr>
          <w:p w14:paraId="2CE3544A">
            <w:pPr>
              <w:pStyle w:val="133"/>
              <w:rPr>
                <w:color w:val="000000"/>
              </w:rPr>
            </w:pPr>
            <w:r>
              <w:rPr>
                <w:color w:val="000000"/>
              </w:rPr>
              <w:t>周边5km范围内居住区、医疗卫生、文化教育、科研、行政办公等机构人口总数小于1万人；或周边500m范围内人口总数小于500人；油气、化学品输送管线管段周边200m范围内，每千米管段人口数小于100人</w:t>
            </w:r>
          </w:p>
        </w:tc>
        <w:tc>
          <w:tcPr>
            <w:tcW w:w="1253" w:type="pct"/>
            <w:vMerge w:val="continue"/>
            <w:vAlign w:val="center"/>
          </w:tcPr>
          <w:p w14:paraId="28255A93">
            <w:pPr>
              <w:pStyle w:val="133"/>
              <w:rPr>
                <w:color w:val="000000"/>
              </w:rPr>
            </w:pPr>
          </w:p>
        </w:tc>
      </w:tr>
      <w:tr w14:paraId="3B396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747" w:type="pct"/>
            <w:gridSpan w:val="2"/>
            <w:vAlign w:val="center"/>
          </w:tcPr>
          <w:p w14:paraId="5F726B49">
            <w:pPr>
              <w:pStyle w:val="133"/>
              <w:rPr>
                <w:color w:val="000000"/>
              </w:rPr>
            </w:pPr>
            <w:r>
              <w:rPr>
                <w:color w:val="000000"/>
              </w:rPr>
              <w:t>区域大气环境敏感程度判定</w:t>
            </w:r>
          </w:p>
        </w:tc>
        <w:tc>
          <w:tcPr>
            <w:tcW w:w="1253" w:type="pct"/>
            <w:vAlign w:val="center"/>
          </w:tcPr>
          <w:p w14:paraId="438AB473">
            <w:pPr>
              <w:pStyle w:val="133"/>
              <w:rPr>
                <w:color w:val="000000"/>
              </w:rPr>
            </w:pPr>
            <w:r>
              <w:rPr>
                <w:rFonts w:hint="eastAsia"/>
                <w:color w:val="000000"/>
              </w:rPr>
              <w:t>E3</w:t>
            </w:r>
          </w:p>
        </w:tc>
      </w:tr>
    </w:tbl>
    <w:p w14:paraId="2515A9EE">
      <w:pPr>
        <w:pStyle w:val="409"/>
        <w:rPr>
          <w:color w:val="FF0000"/>
        </w:rPr>
      </w:pPr>
    </w:p>
    <w:p w14:paraId="4B24C868">
      <w:pPr>
        <w:ind w:firstLine="480"/>
        <w:rPr>
          <w:color w:val="000000"/>
        </w:rPr>
      </w:pPr>
      <w:r>
        <w:rPr>
          <w:rFonts w:hint="eastAsia"/>
          <w:color w:val="000000"/>
        </w:rPr>
        <w:t>（2）地表水环境</w:t>
      </w:r>
    </w:p>
    <w:p w14:paraId="5D29196B">
      <w:pPr>
        <w:ind w:firstLine="480"/>
        <w:rPr>
          <w:color w:val="000000"/>
        </w:rPr>
      </w:pPr>
      <w:r>
        <w:rPr>
          <w:rFonts w:hint="eastAsia"/>
          <w:color w:val="000000"/>
        </w:rPr>
        <w:t>区域地表水环境敏感程度分级原则见表7.3-</w:t>
      </w:r>
      <w:r>
        <w:rPr>
          <w:color w:val="000000"/>
        </w:rPr>
        <w:t>7</w:t>
      </w:r>
      <w:r>
        <w:rPr>
          <w:rFonts w:hint="eastAsia"/>
          <w:color w:val="000000"/>
        </w:rPr>
        <w:t>。地表水环境敏感目标分级判定、地表水功能敏感性分区判定分别见表7.3-</w:t>
      </w:r>
      <w:r>
        <w:rPr>
          <w:color w:val="000000"/>
        </w:rPr>
        <w:t>8</w:t>
      </w:r>
      <w:r>
        <w:rPr>
          <w:rFonts w:hint="eastAsia"/>
          <w:color w:val="000000"/>
        </w:rPr>
        <w:t>和表7.3-</w:t>
      </w:r>
      <w:r>
        <w:rPr>
          <w:color w:val="000000"/>
        </w:rPr>
        <w:t>9</w:t>
      </w:r>
      <w:r>
        <w:rPr>
          <w:rFonts w:hint="eastAsia"/>
          <w:color w:val="000000"/>
        </w:rPr>
        <w:t>。</w:t>
      </w:r>
    </w:p>
    <w:p w14:paraId="0CC0FD55">
      <w:pPr>
        <w:pStyle w:val="118"/>
        <w:ind w:firstLine="480"/>
      </w:pPr>
      <w:r>
        <w:rPr>
          <w:rFonts w:hint="eastAsia"/>
        </w:rPr>
        <w:t>表7.3-</w:t>
      </w:r>
      <w:r>
        <w:t xml:space="preserve">7    </w:t>
      </w:r>
      <w:r>
        <w:rPr>
          <w:rFonts w:hint="eastAsia"/>
        </w:rPr>
        <w:t>地表水环境敏感程度分级原则一览表</w:t>
      </w:r>
    </w:p>
    <w:tbl>
      <w:tblPr>
        <w:tblStyle w:val="6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521"/>
        <w:gridCol w:w="2327"/>
        <w:gridCol w:w="2327"/>
      </w:tblGrid>
      <w:tr w14:paraId="01D5C1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1" w:type="dxa"/>
            <w:vMerge w:val="restart"/>
            <w:vAlign w:val="center"/>
          </w:tcPr>
          <w:p w14:paraId="62C36916">
            <w:pPr>
              <w:pStyle w:val="133"/>
              <w:rPr>
                <w:b/>
                <w:bCs/>
                <w:color w:val="000000"/>
              </w:rPr>
            </w:pPr>
            <w:r>
              <w:rPr>
                <w:rFonts w:hint="eastAsia"/>
                <w:b/>
                <w:bCs/>
                <w:color w:val="000000"/>
              </w:rPr>
              <w:t>环境敏感目标</w:t>
            </w:r>
          </w:p>
        </w:tc>
        <w:tc>
          <w:tcPr>
            <w:tcW w:w="6571" w:type="dxa"/>
            <w:gridSpan w:val="3"/>
            <w:vAlign w:val="center"/>
          </w:tcPr>
          <w:p w14:paraId="7DA36E92">
            <w:pPr>
              <w:pStyle w:val="133"/>
              <w:rPr>
                <w:b/>
                <w:bCs/>
                <w:color w:val="000000"/>
              </w:rPr>
            </w:pPr>
            <w:r>
              <w:rPr>
                <w:rFonts w:hint="eastAsia"/>
                <w:b/>
                <w:bCs/>
                <w:color w:val="000000"/>
              </w:rPr>
              <w:t>地表水功能敏感性</w:t>
            </w:r>
          </w:p>
        </w:tc>
      </w:tr>
      <w:tr w14:paraId="4CC7C2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vAlign w:val="center"/>
          </w:tcPr>
          <w:p w14:paraId="0067DD0A">
            <w:pPr>
              <w:pStyle w:val="133"/>
              <w:rPr>
                <w:rFonts w:hint="eastAsia" w:ascii="宋体" w:hAnsi="宋体" w:cs="Tahoma"/>
                <w:b/>
                <w:bCs/>
                <w:color w:val="000000"/>
                <w:szCs w:val="21"/>
              </w:rPr>
            </w:pPr>
          </w:p>
        </w:tc>
        <w:tc>
          <w:tcPr>
            <w:tcW w:w="2309" w:type="dxa"/>
            <w:vAlign w:val="center"/>
          </w:tcPr>
          <w:p w14:paraId="2B976A5B">
            <w:pPr>
              <w:pStyle w:val="133"/>
              <w:rPr>
                <w:b/>
                <w:bCs/>
                <w:color w:val="000000"/>
              </w:rPr>
            </w:pPr>
            <w:r>
              <w:rPr>
                <w:rFonts w:hint="eastAsia"/>
                <w:b/>
                <w:bCs/>
                <w:color w:val="000000"/>
              </w:rPr>
              <w:t>F1</w:t>
            </w:r>
          </w:p>
        </w:tc>
        <w:tc>
          <w:tcPr>
            <w:tcW w:w="2131" w:type="dxa"/>
            <w:vAlign w:val="center"/>
          </w:tcPr>
          <w:p w14:paraId="6AD7E57D">
            <w:pPr>
              <w:pStyle w:val="133"/>
              <w:rPr>
                <w:b/>
                <w:bCs/>
                <w:color w:val="000000"/>
              </w:rPr>
            </w:pPr>
            <w:r>
              <w:rPr>
                <w:rFonts w:hint="eastAsia"/>
                <w:b/>
                <w:bCs/>
                <w:color w:val="000000"/>
              </w:rPr>
              <w:t>F2</w:t>
            </w:r>
          </w:p>
        </w:tc>
        <w:tc>
          <w:tcPr>
            <w:tcW w:w="2131" w:type="dxa"/>
            <w:vAlign w:val="center"/>
          </w:tcPr>
          <w:p w14:paraId="778BE471">
            <w:pPr>
              <w:pStyle w:val="133"/>
              <w:rPr>
                <w:b/>
                <w:bCs/>
                <w:color w:val="000000"/>
              </w:rPr>
            </w:pPr>
            <w:r>
              <w:rPr>
                <w:rFonts w:hint="eastAsia"/>
                <w:b/>
                <w:bCs/>
                <w:color w:val="000000"/>
              </w:rPr>
              <w:t>F3</w:t>
            </w:r>
          </w:p>
        </w:tc>
      </w:tr>
      <w:tr w14:paraId="41E53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1" w:type="dxa"/>
            <w:vAlign w:val="center"/>
          </w:tcPr>
          <w:p w14:paraId="268EE6E1">
            <w:pPr>
              <w:pStyle w:val="133"/>
              <w:rPr>
                <w:color w:val="000000"/>
              </w:rPr>
            </w:pPr>
            <w:r>
              <w:rPr>
                <w:rFonts w:hint="eastAsia"/>
                <w:color w:val="000000"/>
              </w:rPr>
              <w:t>S1</w:t>
            </w:r>
          </w:p>
        </w:tc>
        <w:tc>
          <w:tcPr>
            <w:tcW w:w="2309" w:type="dxa"/>
            <w:vAlign w:val="center"/>
          </w:tcPr>
          <w:p w14:paraId="533C1037">
            <w:pPr>
              <w:pStyle w:val="133"/>
              <w:rPr>
                <w:color w:val="000000"/>
              </w:rPr>
            </w:pPr>
            <w:r>
              <w:rPr>
                <w:rFonts w:hint="eastAsia"/>
                <w:color w:val="000000"/>
              </w:rPr>
              <w:t>E1</w:t>
            </w:r>
          </w:p>
        </w:tc>
        <w:tc>
          <w:tcPr>
            <w:tcW w:w="2131" w:type="dxa"/>
            <w:vAlign w:val="center"/>
          </w:tcPr>
          <w:p w14:paraId="4246FCF3">
            <w:pPr>
              <w:pStyle w:val="133"/>
              <w:rPr>
                <w:color w:val="000000"/>
              </w:rPr>
            </w:pPr>
            <w:r>
              <w:rPr>
                <w:rFonts w:hint="eastAsia"/>
                <w:color w:val="000000"/>
              </w:rPr>
              <w:t>E1</w:t>
            </w:r>
          </w:p>
        </w:tc>
        <w:tc>
          <w:tcPr>
            <w:tcW w:w="2131" w:type="dxa"/>
            <w:vAlign w:val="center"/>
          </w:tcPr>
          <w:p w14:paraId="3862D07E">
            <w:pPr>
              <w:pStyle w:val="133"/>
              <w:rPr>
                <w:color w:val="000000"/>
              </w:rPr>
            </w:pPr>
            <w:r>
              <w:rPr>
                <w:rFonts w:hint="eastAsia"/>
                <w:color w:val="000000"/>
              </w:rPr>
              <w:t>E2</w:t>
            </w:r>
          </w:p>
        </w:tc>
      </w:tr>
      <w:tr w14:paraId="658F7C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1" w:type="dxa"/>
            <w:vAlign w:val="center"/>
          </w:tcPr>
          <w:p w14:paraId="12D22BE3">
            <w:pPr>
              <w:pStyle w:val="133"/>
              <w:rPr>
                <w:color w:val="000000"/>
              </w:rPr>
            </w:pPr>
            <w:r>
              <w:rPr>
                <w:rFonts w:hint="eastAsia"/>
                <w:color w:val="000000"/>
              </w:rPr>
              <w:t>S2</w:t>
            </w:r>
          </w:p>
        </w:tc>
        <w:tc>
          <w:tcPr>
            <w:tcW w:w="2309" w:type="dxa"/>
            <w:vAlign w:val="center"/>
          </w:tcPr>
          <w:p w14:paraId="23EA4D34">
            <w:pPr>
              <w:pStyle w:val="133"/>
              <w:rPr>
                <w:color w:val="000000"/>
              </w:rPr>
            </w:pPr>
            <w:r>
              <w:rPr>
                <w:rFonts w:hint="eastAsia"/>
                <w:color w:val="000000"/>
              </w:rPr>
              <w:t>E1</w:t>
            </w:r>
          </w:p>
        </w:tc>
        <w:tc>
          <w:tcPr>
            <w:tcW w:w="2131" w:type="dxa"/>
            <w:vAlign w:val="center"/>
          </w:tcPr>
          <w:p w14:paraId="6EA07E08">
            <w:pPr>
              <w:pStyle w:val="133"/>
              <w:rPr>
                <w:color w:val="000000"/>
              </w:rPr>
            </w:pPr>
            <w:r>
              <w:rPr>
                <w:rFonts w:hint="eastAsia"/>
                <w:color w:val="000000"/>
              </w:rPr>
              <w:t>E2</w:t>
            </w:r>
          </w:p>
        </w:tc>
        <w:tc>
          <w:tcPr>
            <w:tcW w:w="2131" w:type="dxa"/>
            <w:vAlign w:val="center"/>
          </w:tcPr>
          <w:p w14:paraId="1E0FF750">
            <w:pPr>
              <w:pStyle w:val="133"/>
              <w:rPr>
                <w:color w:val="000000"/>
              </w:rPr>
            </w:pPr>
            <w:r>
              <w:rPr>
                <w:rFonts w:hint="eastAsia"/>
                <w:color w:val="000000"/>
              </w:rPr>
              <w:t>E3</w:t>
            </w:r>
          </w:p>
        </w:tc>
      </w:tr>
      <w:tr w14:paraId="0FC95B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1" w:type="dxa"/>
            <w:vAlign w:val="center"/>
          </w:tcPr>
          <w:p w14:paraId="4C95C25A">
            <w:pPr>
              <w:pStyle w:val="133"/>
              <w:rPr>
                <w:color w:val="000000"/>
              </w:rPr>
            </w:pPr>
            <w:r>
              <w:rPr>
                <w:rFonts w:hint="eastAsia"/>
                <w:color w:val="000000"/>
              </w:rPr>
              <w:t>S3</w:t>
            </w:r>
          </w:p>
        </w:tc>
        <w:tc>
          <w:tcPr>
            <w:tcW w:w="2309" w:type="dxa"/>
            <w:vAlign w:val="center"/>
          </w:tcPr>
          <w:p w14:paraId="284DDE2C">
            <w:pPr>
              <w:pStyle w:val="133"/>
              <w:rPr>
                <w:color w:val="000000"/>
              </w:rPr>
            </w:pPr>
            <w:r>
              <w:rPr>
                <w:rFonts w:hint="eastAsia"/>
                <w:color w:val="000000"/>
              </w:rPr>
              <w:t>E2</w:t>
            </w:r>
          </w:p>
        </w:tc>
        <w:tc>
          <w:tcPr>
            <w:tcW w:w="2131" w:type="dxa"/>
            <w:vAlign w:val="center"/>
          </w:tcPr>
          <w:p w14:paraId="4E5111E7">
            <w:pPr>
              <w:pStyle w:val="133"/>
              <w:rPr>
                <w:color w:val="000000"/>
              </w:rPr>
            </w:pPr>
            <w:r>
              <w:rPr>
                <w:rFonts w:hint="eastAsia"/>
                <w:color w:val="000000"/>
              </w:rPr>
              <w:t>E2</w:t>
            </w:r>
          </w:p>
        </w:tc>
        <w:tc>
          <w:tcPr>
            <w:tcW w:w="2131" w:type="dxa"/>
            <w:shd w:val="clear" w:color="auto" w:fill="DDD9C3"/>
            <w:vAlign w:val="center"/>
          </w:tcPr>
          <w:p w14:paraId="1728B58B">
            <w:pPr>
              <w:pStyle w:val="133"/>
              <w:rPr>
                <w:color w:val="000000"/>
              </w:rPr>
            </w:pPr>
            <w:r>
              <w:rPr>
                <w:rFonts w:hint="eastAsia"/>
                <w:color w:val="000000"/>
              </w:rPr>
              <w:t>E3</w:t>
            </w:r>
          </w:p>
        </w:tc>
      </w:tr>
    </w:tbl>
    <w:p w14:paraId="3ABBCAB4">
      <w:pPr>
        <w:pStyle w:val="118"/>
        <w:ind w:firstLine="480"/>
        <w:rPr>
          <w:color w:val="FF0000"/>
        </w:rPr>
      </w:pPr>
    </w:p>
    <w:p w14:paraId="515C30CF">
      <w:pPr>
        <w:pStyle w:val="118"/>
        <w:ind w:firstLine="480"/>
      </w:pPr>
      <w:r>
        <w:rPr>
          <w:rFonts w:hint="eastAsia"/>
        </w:rPr>
        <w:t>表7.3-</w:t>
      </w:r>
      <w:r>
        <w:t xml:space="preserve">8    </w:t>
      </w:r>
      <w:r>
        <w:rPr>
          <w:rFonts w:hint="eastAsia"/>
        </w:rPr>
        <w:t>地表水环境敏感目标分级判定一览表</w:t>
      </w:r>
    </w:p>
    <w:tbl>
      <w:tblPr>
        <w:tblStyle w:val="6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6" w:type="dxa"/>
          <w:bottom w:w="0" w:type="dxa"/>
          <w:right w:w="6" w:type="dxa"/>
        </w:tblCellMar>
      </w:tblPr>
      <w:tblGrid>
        <w:gridCol w:w="627"/>
        <w:gridCol w:w="5117"/>
        <w:gridCol w:w="3375"/>
      </w:tblGrid>
      <w:tr w14:paraId="6BD4DE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573" w:type="dxa"/>
            <w:tcBorders>
              <w:top w:val="single" w:color="000000" w:sz="12" w:space="0"/>
              <w:bottom w:val="single" w:color="000000" w:sz="4" w:space="0"/>
            </w:tcBorders>
            <w:vAlign w:val="center"/>
          </w:tcPr>
          <w:p w14:paraId="58C951BC">
            <w:pPr>
              <w:pStyle w:val="133"/>
              <w:rPr>
                <w:b/>
                <w:bCs/>
                <w:color w:val="000000"/>
              </w:rPr>
            </w:pPr>
            <w:r>
              <w:rPr>
                <w:rFonts w:hint="eastAsia"/>
                <w:b/>
                <w:bCs/>
                <w:color w:val="000000"/>
              </w:rPr>
              <w:t>分级</w:t>
            </w:r>
          </w:p>
        </w:tc>
        <w:tc>
          <w:tcPr>
            <w:tcW w:w="4678" w:type="dxa"/>
            <w:tcBorders>
              <w:top w:val="single" w:color="000000" w:sz="12" w:space="0"/>
              <w:bottom w:val="single" w:color="000000" w:sz="4" w:space="0"/>
            </w:tcBorders>
            <w:vAlign w:val="center"/>
          </w:tcPr>
          <w:p w14:paraId="3E517FA6">
            <w:pPr>
              <w:pStyle w:val="133"/>
              <w:rPr>
                <w:b/>
                <w:bCs/>
                <w:color w:val="000000"/>
              </w:rPr>
            </w:pPr>
            <w:r>
              <w:rPr>
                <w:rFonts w:hint="eastAsia"/>
                <w:b/>
                <w:bCs/>
                <w:color w:val="000000"/>
              </w:rPr>
              <w:t>地表水环境敏感目标</w:t>
            </w:r>
          </w:p>
        </w:tc>
        <w:tc>
          <w:tcPr>
            <w:tcW w:w="3085" w:type="dxa"/>
            <w:tcBorders>
              <w:top w:val="single" w:color="000000" w:sz="12" w:space="0"/>
              <w:bottom w:val="single" w:color="000000" w:sz="4" w:space="0"/>
            </w:tcBorders>
            <w:vAlign w:val="center"/>
          </w:tcPr>
          <w:p w14:paraId="579AE1CA">
            <w:pPr>
              <w:pStyle w:val="133"/>
              <w:rPr>
                <w:b/>
                <w:bCs/>
                <w:color w:val="000000"/>
              </w:rPr>
            </w:pPr>
            <w:r>
              <w:rPr>
                <w:rFonts w:hint="eastAsia"/>
                <w:b/>
                <w:bCs/>
                <w:color w:val="000000"/>
              </w:rPr>
              <w:t>项目判定情况</w:t>
            </w:r>
          </w:p>
        </w:tc>
      </w:tr>
      <w:tr w14:paraId="5D527A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573" w:type="dxa"/>
            <w:tcBorders>
              <w:top w:val="single" w:color="000000" w:sz="4" w:space="0"/>
              <w:bottom w:val="single" w:color="000000" w:sz="4" w:space="0"/>
            </w:tcBorders>
            <w:vAlign w:val="center"/>
          </w:tcPr>
          <w:p w14:paraId="60592525">
            <w:pPr>
              <w:pStyle w:val="133"/>
              <w:rPr>
                <w:color w:val="000000"/>
              </w:rPr>
            </w:pPr>
            <w:r>
              <w:rPr>
                <w:rFonts w:hint="eastAsia"/>
                <w:color w:val="000000"/>
              </w:rPr>
              <w:t>S1</w:t>
            </w:r>
          </w:p>
        </w:tc>
        <w:tc>
          <w:tcPr>
            <w:tcW w:w="4678" w:type="dxa"/>
            <w:tcBorders>
              <w:top w:val="single" w:color="000000" w:sz="4" w:space="0"/>
              <w:bottom w:val="single" w:color="000000" w:sz="4" w:space="0"/>
            </w:tcBorders>
            <w:vAlign w:val="center"/>
          </w:tcPr>
          <w:p w14:paraId="56F2E1F8">
            <w:pPr>
              <w:pStyle w:val="133"/>
              <w:rPr>
                <w:color w:val="000000"/>
              </w:rPr>
            </w:pPr>
            <w:r>
              <w:rPr>
                <w:rFonts w:hint="eastAsia"/>
                <w:color w:val="000000"/>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3085" w:type="dxa"/>
            <w:vMerge w:val="restart"/>
            <w:tcBorders>
              <w:top w:val="single" w:color="000000" w:sz="4" w:space="0"/>
              <w:bottom w:val="single" w:color="000000" w:sz="4" w:space="0"/>
            </w:tcBorders>
            <w:vAlign w:val="center"/>
          </w:tcPr>
          <w:p w14:paraId="3ED3C5A7">
            <w:pPr>
              <w:pStyle w:val="133"/>
              <w:rPr>
                <w:color w:val="000000"/>
              </w:rPr>
            </w:pPr>
            <w:r>
              <w:rPr>
                <w:rFonts w:hint="eastAsia"/>
                <w:color w:val="000000"/>
                <w:kern w:val="2"/>
                <w:szCs w:val="22"/>
              </w:rPr>
              <w:t>项目位于</w:t>
            </w:r>
            <w:r>
              <w:rPr>
                <w:rFonts w:hint="eastAsia"/>
                <w:color w:val="000000"/>
              </w:rPr>
              <w:t>哈密高新技术产业开发区－南部循环经济产业园</w:t>
            </w:r>
            <w:r>
              <w:rPr>
                <w:rFonts w:hint="eastAsia"/>
                <w:color w:val="000000"/>
                <w:kern w:val="2"/>
                <w:szCs w:val="22"/>
              </w:rPr>
              <w:t>，项目东南侧7.0km为南湖水库。本项目发生事故时，危险物质由事故水池收集，不会泄漏至地表水体。</w:t>
            </w:r>
          </w:p>
        </w:tc>
      </w:tr>
      <w:tr w14:paraId="2BB18D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573" w:type="dxa"/>
            <w:tcBorders>
              <w:top w:val="single" w:color="000000" w:sz="4" w:space="0"/>
              <w:bottom w:val="single" w:color="000000" w:sz="4" w:space="0"/>
            </w:tcBorders>
            <w:vAlign w:val="center"/>
          </w:tcPr>
          <w:p w14:paraId="402C8AA3">
            <w:pPr>
              <w:pStyle w:val="133"/>
              <w:rPr>
                <w:color w:val="000000"/>
              </w:rPr>
            </w:pPr>
            <w:r>
              <w:rPr>
                <w:rFonts w:hint="eastAsia"/>
                <w:color w:val="000000"/>
              </w:rPr>
              <w:t>S2</w:t>
            </w:r>
          </w:p>
        </w:tc>
        <w:tc>
          <w:tcPr>
            <w:tcW w:w="4678" w:type="dxa"/>
            <w:tcBorders>
              <w:top w:val="single" w:color="000000" w:sz="4" w:space="0"/>
              <w:bottom w:val="single" w:color="000000" w:sz="4" w:space="0"/>
            </w:tcBorders>
            <w:vAlign w:val="center"/>
          </w:tcPr>
          <w:p w14:paraId="07CF750C">
            <w:pPr>
              <w:pStyle w:val="133"/>
              <w:rPr>
                <w:color w:val="000000"/>
              </w:rPr>
            </w:pPr>
            <w:r>
              <w:rPr>
                <w:rFonts w:hint="eastAsia"/>
                <w:color w:val="000000"/>
              </w:rPr>
              <w:t>发生事故时，危险物质泄漏到内陆水体的排放点下游（顺水流向）10 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c>
          <w:tcPr>
            <w:tcW w:w="3085" w:type="dxa"/>
            <w:vMerge w:val="continue"/>
            <w:tcBorders>
              <w:top w:val="single" w:color="000000" w:sz="4" w:space="0"/>
              <w:bottom w:val="single" w:color="000000" w:sz="4" w:space="0"/>
            </w:tcBorders>
            <w:vAlign w:val="center"/>
          </w:tcPr>
          <w:p w14:paraId="3CC9FB11">
            <w:pPr>
              <w:pStyle w:val="133"/>
              <w:rPr>
                <w:color w:val="FF0000"/>
              </w:rPr>
            </w:pPr>
          </w:p>
        </w:tc>
      </w:tr>
      <w:tr w14:paraId="1DADC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573" w:type="dxa"/>
            <w:tcBorders>
              <w:top w:val="single" w:color="000000" w:sz="4" w:space="0"/>
              <w:bottom w:val="single" w:color="000000" w:sz="4" w:space="0"/>
            </w:tcBorders>
            <w:vAlign w:val="center"/>
          </w:tcPr>
          <w:p w14:paraId="55895951">
            <w:pPr>
              <w:pStyle w:val="133"/>
              <w:rPr>
                <w:color w:val="000000"/>
              </w:rPr>
            </w:pPr>
            <w:r>
              <w:rPr>
                <w:rFonts w:hint="eastAsia"/>
                <w:color w:val="000000"/>
              </w:rPr>
              <w:t>S3</w:t>
            </w:r>
          </w:p>
        </w:tc>
        <w:tc>
          <w:tcPr>
            <w:tcW w:w="4678" w:type="dxa"/>
            <w:tcBorders>
              <w:top w:val="single" w:color="000000" w:sz="4" w:space="0"/>
              <w:bottom w:val="single" w:color="000000" w:sz="4" w:space="0"/>
            </w:tcBorders>
            <w:vAlign w:val="center"/>
          </w:tcPr>
          <w:p w14:paraId="1134502C">
            <w:pPr>
              <w:pStyle w:val="133"/>
              <w:rPr>
                <w:color w:val="000000"/>
              </w:rPr>
            </w:pPr>
            <w:r>
              <w:rPr>
                <w:rFonts w:hint="eastAsia"/>
                <w:color w:val="000000"/>
              </w:rPr>
              <w:t>排放点下游（顺水流向）10 km范围、近岸海域一个潮周期水质点可能达到的最大水平距离的两倍范围内无上述类型1和类型2包括的敏感保护目标</w:t>
            </w:r>
          </w:p>
        </w:tc>
        <w:tc>
          <w:tcPr>
            <w:tcW w:w="3085" w:type="dxa"/>
            <w:vMerge w:val="continue"/>
            <w:tcBorders>
              <w:top w:val="single" w:color="000000" w:sz="4" w:space="0"/>
              <w:bottom w:val="single" w:color="000000" w:sz="4" w:space="0"/>
            </w:tcBorders>
            <w:vAlign w:val="center"/>
          </w:tcPr>
          <w:p w14:paraId="1EF45000">
            <w:pPr>
              <w:pStyle w:val="133"/>
              <w:rPr>
                <w:color w:val="FF0000"/>
              </w:rPr>
            </w:pPr>
          </w:p>
        </w:tc>
      </w:tr>
      <w:tr w14:paraId="7A3EBC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5251" w:type="dxa"/>
            <w:gridSpan w:val="2"/>
            <w:tcBorders>
              <w:top w:val="single" w:color="000000" w:sz="4" w:space="0"/>
              <w:bottom w:val="single" w:color="000000" w:sz="12" w:space="0"/>
            </w:tcBorders>
            <w:vAlign w:val="center"/>
          </w:tcPr>
          <w:p w14:paraId="2E2B3141">
            <w:pPr>
              <w:pStyle w:val="133"/>
              <w:rPr>
                <w:color w:val="000000"/>
              </w:rPr>
            </w:pPr>
            <w:r>
              <w:rPr>
                <w:rFonts w:hint="eastAsia"/>
                <w:color w:val="000000"/>
              </w:rPr>
              <w:t>地表水环境敏感目标判定</w:t>
            </w:r>
          </w:p>
        </w:tc>
        <w:tc>
          <w:tcPr>
            <w:tcW w:w="3085" w:type="dxa"/>
            <w:tcBorders>
              <w:top w:val="single" w:color="000000" w:sz="4" w:space="0"/>
              <w:bottom w:val="single" w:color="000000" w:sz="12" w:space="0"/>
            </w:tcBorders>
            <w:vAlign w:val="center"/>
          </w:tcPr>
          <w:p w14:paraId="4A0D45E2">
            <w:pPr>
              <w:pStyle w:val="133"/>
              <w:rPr>
                <w:color w:val="000000"/>
              </w:rPr>
            </w:pPr>
            <w:r>
              <w:rPr>
                <w:rFonts w:hint="eastAsia"/>
                <w:color w:val="000000"/>
              </w:rPr>
              <w:t>S3</w:t>
            </w:r>
          </w:p>
        </w:tc>
      </w:tr>
    </w:tbl>
    <w:p w14:paraId="53D54C8F">
      <w:pPr>
        <w:pStyle w:val="133"/>
        <w:ind w:firstLine="480"/>
        <w:rPr>
          <w:color w:val="FF0000"/>
        </w:rPr>
      </w:pPr>
    </w:p>
    <w:p w14:paraId="38E6FF36">
      <w:pPr>
        <w:pStyle w:val="118"/>
        <w:ind w:firstLine="480"/>
      </w:pPr>
      <w:r>
        <w:rPr>
          <w:rFonts w:hint="eastAsia"/>
        </w:rPr>
        <w:t>表7.3-</w:t>
      </w:r>
      <w:r>
        <w:t>9   地表水环境敏感程度判定一览</w:t>
      </w:r>
      <w:r>
        <w:rPr>
          <w:rFonts w:hint="eastAsia" w:ascii="宋体" w:hAnsi="宋体" w:cs="宋体"/>
        </w:rPr>
        <w:t>表</w:t>
      </w:r>
    </w:p>
    <w:tbl>
      <w:tblPr>
        <w:tblStyle w:val="6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6" w:type="dxa"/>
          <w:bottom w:w="0" w:type="dxa"/>
          <w:right w:w="6" w:type="dxa"/>
        </w:tblCellMar>
      </w:tblPr>
      <w:tblGrid>
        <w:gridCol w:w="524"/>
        <w:gridCol w:w="6476"/>
        <w:gridCol w:w="2119"/>
      </w:tblGrid>
      <w:tr w14:paraId="42AE7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478" w:type="dxa"/>
            <w:tcBorders>
              <w:top w:val="single" w:color="000000" w:sz="12" w:space="0"/>
              <w:left w:val="single" w:color="000000" w:sz="12" w:space="0"/>
              <w:bottom w:val="single" w:color="000000" w:sz="4" w:space="0"/>
              <w:right w:val="single" w:color="000000" w:sz="4" w:space="0"/>
            </w:tcBorders>
            <w:vAlign w:val="center"/>
          </w:tcPr>
          <w:p w14:paraId="10D99EB9">
            <w:pPr>
              <w:pStyle w:val="133"/>
              <w:rPr>
                <w:b/>
                <w:bCs/>
                <w:color w:val="000000"/>
              </w:rPr>
            </w:pPr>
            <w:r>
              <w:rPr>
                <w:rFonts w:hint="eastAsia"/>
                <w:b/>
                <w:bCs/>
                <w:color w:val="000000"/>
              </w:rPr>
              <w:t>分级</w:t>
            </w:r>
          </w:p>
        </w:tc>
        <w:tc>
          <w:tcPr>
            <w:tcW w:w="5907" w:type="dxa"/>
            <w:tcBorders>
              <w:top w:val="single" w:color="000000" w:sz="12" w:space="0"/>
              <w:left w:val="single" w:color="000000" w:sz="4" w:space="0"/>
              <w:bottom w:val="single" w:color="000000" w:sz="4" w:space="0"/>
              <w:right w:val="single" w:color="000000" w:sz="4" w:space="0"/>
            </w:tcBorders>
            <w:vAlign w:val="center"/>
          </w:tcPr>
          <w:p w14:paraId="07AAEC76">
            <w:pPr>
              <w:pStyle w:val="133"/>
              <w:rPr>
                <w:b/>
                <w:bCs/>
                <w:color w:val="000000"/>
              </w:rPr>
            </w:pPr>
            <w:r>
              <w:rPr>
                <w:rFonts w:hint="eastAsia"/>
                <w:b/>
                <w:bCs/>
                <w:color w:val="000000"/>
              </w:rPr>
              <w:t>地表水环境敏感性</w:t>
            </w:r>
          </w:p>
        </w:tc>
        <w:tc>
          <w:tcPr>
            <w:tcW w:w="1933" w:type="dxa"/>
            <w:tcBorders>
              <w:top w:val="single" w:color="000000" w:sz="12" w:space="0"/>
              <w:left w:val="single" w:color="000000" w:sz="4" w:space="0"/>
              <w:bottom w:val="single" w:color="000000" w:sz="4" w:space="0"/>
              <w:right w:val="single" w:color="000000" w:sz="12" w:space="0"/>
            </w:tcBorders>
            <w:vAlign w:val="center"/>
          </w:tcPr>
          <w:p w14:paraId="433E28C2">
            <w:pPr>
              <w:pStyle w:val="133"/>
              <w:rPr>
                <w:b/>
                <w:bCs/>
                <w:color w:val="000000"/>
              </w:rPr>
            </w:pPr>
            <w:r>
              <w:rPr>
                <w:rFonts w:hint="eastAsia"/>
                <w:b/>
                <w:bCs/>
                <w:color w:val="000000"/>
              </w:rPr>
              <w:t>项目判定情况</w:t>
            </w:r>
          </w:p>
        </w:tc>
      </w:tr>
      <w:tr w14:paraId="037D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478" w:type="dxa"/>
            <w:tcBorders>
              <w:top w:val="single" w:color="000000" w:sz="4" w:space="0"/>
              <w:left w:val="single" w:color="000000" w:sz="12" w:space="0"/>
              <w:bottom w:val="single" w:color="000000" w:sz="4" w:space="0"/>
              <w:right w:val="single" w:color="000000" w:sz="4" w:space="0"/>
            </w:tcBorders>
            <w:vAlign w:val="center"/>
          </w:tcPr>
          <w:p w14:paraId="39E4D6C5">
            <w:pPr>
              <w:pStyle w:val="133"/>
              <w:rPr>
                <w:color w:val="000000"/>
              </w:rPr>
            </w:pPr>
            <w:r>
              <w:rPr>
                <w:rFonts w:hint="eastAsia"/>
                <w:color w:val="000000"/>
              </w:rPr>
              <w:t>F1</w:t>
            </w:r>
          </w:p>
        </w:tc>
        <w:tc>
          <w:tcPr>
            <w:tcW w:w="5907" w:type="dxa"/>
            <w:tcBorders>
              <w:top w:val="single" w:color="000000" w:sz="4" w:space="0"/>
              <w:left w:val="single" w:color="000000" w:sz="4" w:space="0"/>
              <w:bottom w:val="single" w:color="000000" w:sz="4" w:space="0"/>
              <w:right w:val="single" w:color="000000" w:sz="4" w:space="0"/>
            </w:tcBorders>
            <w:vAlign w:val="center"/>
          </w:tcPr>
          <w:p w14:paraId="1B101F82">
            <w:pPr>
              <w:pStyle w:val="133"/>
              <w:rPr>
                <w:color w:val="000000"/>
              </w:rPr>
            </w:pPr>
            <w:r>
              <w:rPr>
                <w:rFonts w:hint="eastAsia"/>
                <w:color w:val="000000"/>
              </w:rPr>
              <w:t>排放点进入地表水水域环境功能为Ⅱ类及以上，或海水水质分类第一类； 或以发生事故时，危险物质泄漏到水体的排放点算起，排放进入受纳河流最大流速时，24 h流经范围内涉跨国界的</w:t>
            </w:r>
          </w:p>
        </w:tc>
        <w:tc>
          <w:tcPr>
            <w:tcW w:w="1933" w:type="dxa"/>
            <w:vMerge w:val="restart"/>
            <w:tcBorders>
              <w:top w:val="single" w:color="000000" w:sz="4" w:space="0"/>
              <w:left w:val="single" w:color="000000" w:sz="4" w:space="0"/>
              <w:bottom w:val="single" w:color="000000" w:sz="4" w:space="0"/>
              <w:right w:val="single" w:color="000000" w:sz="12" w:space="0"/>
            </w:tcBorders>
            <w:vAlign w:val="center"/>
          </w:tcPr>
          <w:p w14:paraId="54956CD5">
            <w:pPr>
              <w:pStyle w:val="133"/>
              <w:rPr>
                <w:color w:val="000000"/>
                <w:kern w:val="2"/>
                <w:szCs w:val="22"/>
              </w:rPr>
            </w:pPr>
            <w:r>
              <w:rPr>
                <w:rFonts w:hint="eastAsia"/>
                <w:color w:val="000000"/>
                <w:kern w:val="2"/>
                <w:szCs w:val="22"/>
              </w:rPr>
              <w:t>项目位于</w:t>
            </w:r>
            <w:r>
              <w:rPr>
                <w:rFonts w:hint="eastAsia"/>
                <w:color w:val="000000"/>
              </w:rPr>
              <w:t>哈密高新技术产业开发区－南部循环经济产业园</w:t>
            </w:r>
            <w:r>
              <w:rPr>
                <w:rFonts w:hint="eastAsia"/>
                <w:color w:val="000000"/>
                <w:kern w:val="2"/>
                <w:szCs w:val="22"/>
              </w:rPr>
              <w:t>，项目东南侧7.0km为南湖水库。</w:t>
            </w:r>
          </w:p>
        </w:tc>
      </w:tr>
      <w:tr w14:paraId="0B530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478" w:type="dxa"/>
            <w:tcBorders>
              <w:top w:val="single" w:color="000000" w:sz="4" w:space="0"/>
              <w:left w:val="single" w:color="000000" w:sz="12" w:space="0"/>
              <w:bottom w:val="single" w:color="000000" w:sz="4" w:space="0"/>
              <w:right w:val="single" w:color="000000" w:sz="4" w:space="0"/>
            </w:tcBorders>
            <w:vAlign w:val="center"/>
          </w:tcPr>
          <w:p w14:paraId="6D87D44E">
            <w:pPr>
              <w:pStyle w:val="133"/>
              <w:rPr>
                <w:color w:val="000000"/>
              </w:rPr>
            </w:pPr>
            <w:r>
              <w:rPr>
                <w:rFonts w:hint="eastAsia"/>
                <w:color w:val="000000"/>
              </w:rPr>
              <w:t>F2</w:t>
            </w:r>
          </w:p>
        </w:tc>
        <w:tc>
          <w:tcPr>
            <w:tcW w:w="5907" w:type="dxa"/>
            <w:tcBorders>
              <w:top w:val="single" w:color="000000" w:sz="4" w:space="0"/>
              <w:left w:val="single" w:color="000000" w:sz="4" w:space="0"/>
              <w:bottom w:val="single" w:color="000000" w:sz="4" w:space="0"/>
              <w:right w:val="single" w:color="000000" w:sz="4" w:space="0"/>
            </w:tcBorders>
            <w:vAlign w:val="center"/>
          </w:tcPr>
          <w:p w14:paraId="0EE8B6F0">
            <w:pPr>
              <w:pStyle w:val="133"/>
              <w:rPr>
                <w:color w:val="000000"/>
              </w:rPr>
            </w:pPr>
            <w:r>
              <w:rPr>
                <w:rFonts w:hint="eastAsia"/>
                <w:color w:val="000000"/>
              </w:rPr>
              <w:t>排放点进入地表水水域环境功能为Ⅲ类，或海水水质分类第二类；</w:t>
            </w:r>
          </w:p>
          <w:p w14:paraId="10BEDFBF">
            <w:pPr>
              <w:pStyle w:val="133"/>
              <w:rPr>
                <w:color w:val="000000"/>
              </w:rPr>
            </w:pPr>
            <w:r>
              <w:rPr>
                <w:rFonts w:hint="eastAsia"/>
                <w:color w:val="000000"/>
              </w:rPr>
              <w:t>或以发生事故时，危险物质泄漏到水体的排放点算起，排放进入受纳河流最大流速时，24 h 流经范围内涉跨省界的</w:t>
            </w:r>
          </w:p>
        </w:tc>
        <w:tc>
          <w:tcPr>
            <w:tcW w:w="1933" w:type="dxa"/>
            <w:vMerge w:val="continue"/>
            <w:tcBorders>
              <w:top w:val="single" w:color="000000" w:sz="4" w:space="0"/>
              <w:left w:val="single" w:color="000000" w:sz="4" w:space="0"/>
              <w:bottom w:val="single" w:color="000000" w:sz="4" w:space="0"/>
              <w:right w:val="single" w:color="000000" w:sz="12" w:space="0"/>
            </w:tcBorders>
            <w:vAlign w:val="center"/>
          </w:tcPr>
          <w:p w14:paraId="059A4B9A">
            <w:pPr>
              <w:pStyle w:val="133"/>
              <w:rPr>
                <w:color w:val="000000"/>
              </w:rPr>
            </w:pPr>
          </w:p>
        </w:tc>
      </w:tr>
      <w:tr w14:paraId="1EC7F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478" w:type="dxa"/>
            <w:tcBorders>
              <w:top w:val="single" w:color="000000" w:sz="4" w:space="0"/>
              <w:left w:val="single" w:color="000000" w:sz="12" w:space="0"/>
              <w:bottom w:val="single" w:color="000000" w:sz="4" w:space="0"/>
              <w:right w:val="single" w:color="000000" w:sz="4" w:space="0"/>
            </w:tcBorders>
            <w:vAlign w:val="center"/>
          </w:tcPr>
          <w:p w14:paraId="0A9A7560">
            <w:pPr>
              <w:pStyle w:val="133"/>
              <w:rPr>
                <w:color w:val="000000"/>
              </w:rPr>
            </w:pPr>
            <w:r>
              <w:rPr>
                <w:rFonts w:hint="eastAsia"/>
                <w:color w:val="000000"/>
              </w:rPr>
              <w:t>F3</w:t>
            </w:r>
          </w:p>
        </w:tc>
        <w:tc>
          <w:tcPr>
            <w:tcW w:w="5907" w:type="dxa"/>
            <w:tcBorders>
              <w:top w:val="single" w:color="000000" w:sz="4" w:space="0"/>
              <w:left w:val="single" w:color="000000" w:sz="4" w:space="0"/>
              <w:bottom w:val="single" w:color="000000" w:sz="4" w:space="0"/>
              <w:right w:val="single" w:color="000000" w:sz="4" w:space="0"/>
            </w:tcBorders>
            <w:vAlign w:val="center"/>
          </w:tcPr>
          <w:p w14:paraId="6295A523">
            <w:pPr>
              <w:pStyle w:val="133"/>
              <w:rPr>
                <w:color w:val="000000"/>
              </w:rPr>
            </w:pPr>
            <w:r>
              <w:rPr>
                <w:rFonts w:hint="eastAsia"/>
                <w:color w:val="000000"/>
              </w:rPr>
              <w:t>上述地区之外的其他地区</w:t>
            </w:r>
          </w:p>
        </w:tc>
        <w:tc>
          <w:tcPr>
            <w:tcW w:w="1933" w:type="dxa"/>
            <w:vMerge w:val="continue"/>
            <w:tcBorders>
              <w:top w:val="single" w:color="000000" w:sz="4" w:space="0"/>
              <w:left w:val="single" w:color="000000" w:sz="4" w:space="0"/>
              <w:bottom w:val="single" w:color="000000" w:sz="4" w:space="0"/>
              <w:right w:val="single" w:color="000000" w:sz="12" w:space="0"/>
            </w:tcBorders>
            <w:vAlign w:val="center"/>
          </w:tcPr>
          <w:p w14:paraId="21ED1193">
            <w:pPr>
              <w:pStyle w:val="133"/>
              <w:rPr>
                <w:color w:val="000000"/>
              </w:rPr>
            </w:pPr>
          </w:p>
        </w:tc>
      </w:tr>
      <w:tr w14:paraId="3FAB4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6" w:type="dxa"/>
            <w:bottom w:w="0" w:type="dxa"/>
            <w:right w:w="6" w:type="dxa"/>
          </w:tblCellMar>
        </w:tblPrEx>
        <w:trPr>
          <w:trHeight w:val="397" w:hRule="atLeast"/>
          <w:jc w:val="center"/>
        </w:trPr>
        <w:tc>
          <w:tcPr>
            <w:tcW w:w="6385" w:type="dxa"/>
            <w:gridSpan w:val="2"/>
            <w:tcBorders>
              <w:top w:val="single" w:color="000000" w:sz="4" w:space="0"/>
              <w:left w:val="single" w:color="000000" w:sz="12" w:space="0"/>
              <w:bottom w:val="single" w:color="000000" w:sz="12" w:space="0"/>
              <w:right w:val="single" w:color="000000" w:sz="4" w:space="0"/>
            </w:tcBorders>
            <w:vAlign w:val="center"/>
          </w:tcPr>
          <w:p w14:paraId="775F25AA">
            <w:pPr>
              <w:pStyle w:val="133"/>
              <w:rPr>
                <w:color w:val="000000"/>
              </w:rPr>
            </w:pPr>
            <w:r>
              <w:rPr>
                <w:rFonts w:hint="eastAsia"/>
                <w:color w:val="000000"/>
              </w:rPr>
              <w:t>区域地表水环境敏感性判定</w:t>
            </w:r>
          </w:p>
        </w:tc>
        <w:tc>
          <w:tcPr>
            <w:tcW w:w="1933" w:type="dxa"/>
            <w:tcBorders>
              <w:top w:val="single" w:color="000000" w:sz="4" w:space="0"/>
              <w:left w:val="single" w:color="000000" w:sz="4" w:space="0"/>
              <w:bottom w:val="single" w:color="000000" w:sz="12" w:space="0"/>
              <w:right w:val="single" w:color="000000" w:sz="12" w:space="0"/>
            </w:tcBorders>
            <w:vAlign w:val="center"/>
          </w:tcPr>
          <w:p w14:paraId="1834E113">
            <w:pPr>
              <w:pStyle w:val="133"/>
              <w:rPr>
                <w:color w:val="000000"/>
              </w:rPr>
            </w:pPr>
            <w:r>
              <w:rPr>
                <w:rFonts w:hint="eastAsia"/>
                <w:color w:val="000000"/>
              </w:rPr>
              <w:t>F3</w:t>
            </w:r>
          </w:p>
        </w:tc>
      </w:tr>
    </w:tbl>
    <w:p w14:paraId="2816EC54">
      <w:pPr>
        <w:pStyle w:val="117"/>
        <w:ind w:firstLine="480"/>
        <w:rPr>
          <w:color w:val="000000"/>
        </w:rPr>
      </w:pPr>
      <w:r>
        <w:rPr>
          <w:rFonts w:hint="eastAsia"/>
          <w:color w:val="000000"/>
        </w:rPr>
        <w:t>据表7</w:t>
      </w:r>
      <w:r>
        <w:rPr>
          <w:color w:val="000000"/>
        </w:rPr>
        <w:t>.</w:t>
      </w:r>
      <w:r>
        <w:rPr>
          <w:rFonts w:hint="eastAsia"/>
          <w:color w:val="000000"/>
        </w:rPr>
        <w:t>3-</w:t>
      </w:r>
      <w:r>
        <w:rPr>
          <w:color w:val="000000"/>
        </w:rPr>
        <w:t>9</w:t>
      </w:r>
      <w:r>
        <w:rPr>
          <w:rFonts w:hint="eastAsia"/>
          <w:color w:val="000000"/>
        </w:rPr>
        <w:t>判定依据，项目所在区域的地表水环境敏感程度分级为“</w:t>
      </w:r>
      <w:r>
        <w:rPr>
          <w:color w:val="000000"/>
        </w:rPr>
        <w:t>E3</w:t>
      </w:r>
      <w:r>
        <w:rPr>
          <w:rFonts w:hint="eastAsia"/>
          <w:color w:val="000000"/>
        </w:rPr>
        <w:t>”。</w:t>
      </w:r>
    </w:p>
    <w:p w14:paraId="12751189">
      <w:pPr>
        <w:pStyle w:val="117"/>
        <w:ind w:firstLine="480"/>
        <w:rPr>
          <w:color w:val="000000"/>
        </w:rPr>
      </w:pPr>
      <w:r>
        <w:rPr>
          <w:rFonts w:hint="eastAsia"/>
          <w:color w:val="000000"/>
        </w:rPr>
        <w:t>项目发生事故时含泄漏危险物质的事故水输送到事故水池，不排入地表水体。因此，本项目不考虑风险事故泄漏危险物质对地表水体的影响。</w:t>
      </w:r>
    </w:p>
    <w:p w14:paraId="302E5F08">
      <w:pPr>
        <w:pStyle w:val="117"/>
        <w:ind w:firstLine="480"/>
        <w:rPr>
          <w:color w:val="000000"/>
        </w:rPr>
      </w:pPr>
      <w:r>
        <w:rPr>
          <w:rFonts w:hint="eastAsia" w:ascii="宋体" w:hAnsi="宋体"/>
          <w:color w:val="000000"/>
        </w:rPr>
        <w:t>（</w:t>
      </w:r>
      <w:r>
        <w:rPr>
          <w:rFonts w:hint="eastAsia"/>
          <w:color w:val="000000"/>
        </w:rPr>
        <w:t>3</w:t>
      </w:r>
      <w:r>
        <w:rPr>
          <w:rFonts w:hint="eastAsia" w:ascii="宋体" w:hAnsi="宋体"/>
          <w:color w:val="000000"/>
        </w:rPr>
        <w:t>）地下水环境</w:t>
      </w:r>
    </w:p>
    <w:p w14:paraId="7E007A76">
      <w:pPr>
        <w:pStyle w:val="117"/>
        <w:ind w:firstLine="480"/>
        <w:rPr>
          <w:color w:val="000000"/>
        </w:rPr>
      </w:pPr>
      <w:r>
        <w:rPr>
          <w:rFonts w:hint="eastAsia"/>
          <w:color w:val="000000"/>
        </w:rPr>
        <w:t>根据《建设项目环境风险评价技术导则》（HJ169-2018）附录D的规定：项目所在区域地下水环境敏感程度依据地下水功能敏感性与包气带防污性能确定。区域地下水环境敏感程度共分为三种类型，E1为环境高度敏感区，E2为环境中度敏感区，E3为环境低度敏感区，其分级原则，见表7</w:t>
      </w:r>
      <w:r>
        <w:rPr>
          <w:color w:val="000000"/>
        </w:rPr>
        <w:t>.</w:t>
      </w:r>
      <w:r>
        <w:rPr>
          <w:rFonts w:hint="eastAsia"/>
          <w:color w:val="000000"/>
        </w:rPr>
        <w:t>3-</w:t>
      </w:r>
      <w:r>
        <w:rPr>
          <w:color w:val="000000"/>
        </w:rPr>
        <w:t>10</w:t>
      </w:r>
      <w:r>
        <w:rPr>
          <w:rFonts w:hint="eastAsia"/>
          <w:color w:val="000000"/>
        </w:rPr>
        <w:t>。其中区域地下水功能敏感性分区和区域包气带防污性能分级，分别见表7.3-</w:t>
      </w:r>
      <w:r>
        <w:rPr>
          <w:color w:val="000000"/>
        </w:rPr>
        <w:t>11</w:t>
      </w:r>
      <w:r>
        <w:rPr>
          <w:rFonts w:hint="eastAsia"/>
          <w:color w:val="000000"/>
        </w:rPr>
        <w:t>和表7.3-</w:t>
      </w:r>
      <w:r>
        <w:rPr>
          <w:color w:val="000000"/>
        </w:rPr>
        <w:t>12</w:t>
      </w:r>
      <w:r>
        <w:rPr>
          <w:rFonts w:hint="eastAsia"/>
          <w:color w:val="000000"/>
        </w:rPr>
        <w:t>。当同一建设项目涉及两个G分区或D分级及以上时，取相对值。</w:t>
      </w:r>
    </w:p>
    <w:p w14:paraId="736708C9">
      <w:pPr>
        <w:pStyle w:val="118"/>
        <w:ind w:firstLine="480"/>
      </w:pPr>
      <w:r>
        <w:rPr>
          <w:rFonts w:hint="eastAsia"/>
        </w:rPr>
        <w:t>表7.3-</w:t>
      </w:r>
      <w:r>
        <w:t xml:space="preserve">10    </w:t>
      </w:r>
      <w:r>
        <w:rPr>
          <w:rFonts w:hint="eastAsia"/>
        </w:rPr>
        <w:t xml:space="preserve"> 地下水环境敏感程度分级</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522"/>
        <w:gridCol w:w="2326"/>
        <w:gridCol w:w="2326"/>
      </w:tblGrid>
      <w:tr w14:paraId="7A20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pct"/>
            <w:vMerge w:val="restart"/>
            <w:tcBorders>
              <w:top w:val="single" w:color="auto" w:sz="12" w:space="0"/>
              <w:left w:val="single" w:color="auto" w:sz="12" w:space="0"/>
            </w:tcBorders>
            <w:vAlign w:val="center"/>
          </w:tcPr>
          <w:p w14:paraId="52C8F40A">
            <w:pPr>
              <w:pStyle w:val="133"/>
              <w:rPr>
                <w:b/>
                <w:bCs/>
                <w:color w:val="000000"/>
                <w:lang w:eastAsia="en-US"/>
              </w:rPr>
            </w:pPr>
            <w:r>
              <w:rPr>
                <w:b/>
                <w:bCs/>
                <w:color w:val="000000"/>
                <w:lang w:eastAsia="en-US"/>
              </w:rPr>
              <w:t>包气带防污性能</w:t>
            </w:r>
          </w:p>
        </w:tc>
        <w:tc>
          <w:tcPr>
            <w:tcW w:w="3855" w:type="pct"/>
            <w:gridSpan w:val="3"/>
            <w:tcBorders>
              <w:top w:val="single" w:color="auto" w:sz="12" w:space="0"/>
              <w:right w:val="single" w:color="auto" w:sz="12" w:space="0"/>
            </w:tcBorders>
            <w:vAlign w:val="center"/>
          </w:tcPr>
          <w:p w14:paraId="02470891">
            <w:pPr>
              <w:pStyle w:val="133"/>
              <w:rPr>
                <w:b/>
                <w:bCs/>
                <w:color w:val="000000"/>
                <w:lang w:eastAsia="en-US"/>
              </w:rPr>
            </w:pPr>
            <w:r>
              <w:rPr>
                <w:b/>
                <w:bCs/>
                <w:color w:val="000000"/>
                <w:lang w:eastAsia="en-US"/>
              </w:rPr>
              <w:t>地下水功能敏感性</w:t>
            </w:r>
          </w:p>
        </w:tc>
      </w:tr>
      <w:tr w14:paraId="4B14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pct"/>
            <w:vMerge w:val="continue"/>
            <w:tcBorders>
              <w:left w:val="single" w:color="auto" w:sz="12" w:space="0"/>
            </w:tcBorders>
            <w:vAlign w:val="center"/>
          </w:tcPr>
          <w:p w14:paraId="43B01DB3">
            <w:pPr>
              <w:pStyle w:val="133"/>
              <w:rPr>
                <w:b/>
                <w:bCs/>
                <w:color w:val="000000"/>
                <w:lang w:eastAsia="en-US"/>
              </w:rPr>
            </w:pPr>
          </w:p>
        </w:tc>
        <w:tc>
          <w:tcPr>
            <w:tcW w:w="1355" w:type="pct"/>
            <w:vAlign w:val="center"/>
          </w:tcPr>
          <w:p w14:paraId="56702BFA">
            <w:pPr>
              <w:pStyle w:val="133"/>
              <w:rPr>
                <w:b/>
                <w:bCs/>
                <w:color w:val="000000"/>
                <w:lang w:eastAsia="en-US"/>
              </w:rPr>
            </w:pPr>
            <w:r>
              <w:rPr>
                <w:b/>
                <w:bCs/>
                <w:color w:val="000000"/>
                <w:lang w:eastAsia="en-US"/>
              </w:rPr>
              <w:t>G1</w:t>
            </w:r>
          </w:p>
        </w:tc>
        <w:tc>
          <w:tcPr>
            <w:tcW w:w="1250" w:type="pct"/>
            <w:vAlign w:val="center"/>
          </w:tcPr>
          <w:p w14:paraId="2853E865">
            <w:pPr>
              <w:pStyle w:val="133"/>
              <w:rPr>
                <w:b/>
                <w:bCs/>
                <w:color w:val="000000"/>
                <w:lang w:eastAsia="en-US"/>
              </w:rPr>
            </w:pPr>
            <w:r>
              <w:rPr>
                <w:b/>
                <w:bCs/>
                <w:color w:val="000000"/>
                <w:lang w:eastAsia="en-US"/>
              </w:rPr>
              <w:t>G2</w:t>
            </w:r>
          </w:p>
        </w:tc>
        <w:tc>
          <w:tcPr>
            <w:tcW w:w="1250" w:type="pct"/>
            <w:tcBorders>
              <w:right w:val="single" w:color="auto" w:sz="12" w:space="0"/>
            </w:tcBorders>
            <w:vAlign w:val="center"/>
          </w:tcPr>
          <w:p w14:paraId="3607249D">
            <w:pPr>
              <w:pStyle w:val="133"/>
              <w:rPr>
                <w:b/>
                <w:bCs/>
                <w:color w:val="000000"/>
                <w:lang w:eastAsia="en-US"/>
              </w:rPr>
            </w:pPr>
            <w:r>
              <w:rPr>
                <w:b/>
                <w:bCs/>
                <w:color w:val="000000"/>
                <w:lang w:eastAsia="en-US"/>
              </w:rPr>
              <w:t>G3</w:t>
            </w:r>
          </w:p>
        </w:tc>
      </w:tr>
      <w:tr w14:paraId="045A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pct"/>
            <w:tcBorders>
              <w:left w:val="single" w:color="auto" w:sz="12" w:space="0"/>
            </w:tcBorders>
            <w:vAlign w:val="center"/>
          </w:tcPr>
          <w:p w14:paraId="676D8E3B">
            <w:pPr>
              <w:pStyle w:val="133"/>
              <w:rPr>
                <w:color w:val="000000"/>
                <w:lang w:eastAsia="en-US"/>
              </w:rPr>
            </w:pPr>
            <w:r>
              <w:rPr>
                <w:color w:val="000000"/>
                <w:lang w:eastAsia="en-US"/>
              </w:rPr>
              <w:t>D1</w:t>
            </w:r>
          </w:p>
        </w:tc>
        <w:tc>
          <w:tcPr>
            <w:tcW w:w="1355" w:type="pct"/>
            <w:vAlign w:val="center"/>
          </w:tcPr>
          <w:p w14:paraId="70F65BE0">
            <w:pPr>
              <w:pStyle w:val="133"/>
              <w:rPr>
                <w:color w:val="000000"/>
                <w:lang w:eastAsia="en-US"/>
              </w:rPr>
            </w:pPr>
            <w:r>
              <w:rPr>
                <w:color w:val="000000"/>
                <w:lang w:eastAsia="en-US"/>
              </w:rPr>
              <w:t>E1</w:t>
            </w:r>
          </w:p>
        </w:tc>
        <w:tc>
          <w:tcPr>
            <w:tcW w:w="1250" w:type="pct"/>
            <w:vAlign w:val="center"/>
          </w:tcPr>
          <w:p w14:paraId="362F968A">
            <w:pPr>
              <w:pStyle w:val="133"/>
              <w:rPr>
                <w:color w:val="000000"/>
                <w:lang w:eastAsia="en-US"/>
              </w:rPr>
            </w:pPr>
            <w:r>
              <w:rPr>
                <w:color w:val="000000"/>
                <w:lang w:eastAsia="en-US"/>
              </w:rPr>
              <w:t>E1</w:t>
            </w:r>
          </w:p>
        </w:tc>
        <w:tc>
          <w:tcPr>
            <w:tcW w:w="1250" w:type="pct"/>
            <w:tcBorders>
              <w:right w:val="single" w:color="auto" w:sz="12" w:space="0"/>
            </w:tcBorders>
            <w:shd w:val="clear" w:color="auto" w:fill="DDD9C3"/>
            <w:vAlign w:val="center"/>
          </w:tcPr>
          <w:p w14:paraId="5AAEF0D7">
            <w:pPr>
              <w:pStyle w:val="133"/>
              <w:rPr>
                <w:color w:val="000000"/>
                <w:lang w:eastAsia="en-US"/>
              </w:rPr>
            </w:pPr>
            <w:r>
              <w:rPr>
                <w:color w:val="000000"/>
                <w:lang w:eastAsia="en-US"/>
              </w:rPr>
              <w:t>E2</w:t>
            </w:r>
          </w:p>
        </w:tc>
      </w:tr>
      <w:tr w14:paraId="2D46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pct"/>
            <w:tcBorders>
              <w:left w:val="single" w:color="auto" w:sz="12" w:space="0"/>
            </w:tcBorders>
            <w:vAlign w:val="center"/>
          </w:tcPr>
          <w:p w14:paraId="18DF6D37">
            <w:pPr>
              <w:pStyle w:val="133"/>
              <w:rPr>
                <w:color w:val="000000"/>
                <w:lang w:eastAsia="en-US"/>
              </w:rPr>
            </w:pPr>
            <w:r>
              <w:rPr>
                <w:color w:val="000000"/>
                <w:lang w:eastAsia="en-US"/>
              </w:rPr>
              <w:t>D2</w:t>
            </w:r>
          </w:p>
        </w:tc>
        <w:tc>
          <w:tcPr>
            <w:tcW w:w="1355" w:type="pct"/>
            <w:vAlign w:val="center"/>
          </w:tcPr>
          <w:p w14:paraId="4E6D8848">
            <w:pPr>
              <w:pStyle w:val="133"/>
              <w:rPr>
                <w:color w:val="000000"/>
                <w:lang w:eastAsia="en-US"/>
              </w:rPr>
            </w:pPr>
            <w:r>
              <w:rPr>
                <w:color w:val="000000"/>
                <w:lang w:eastAsia="en-US"/>
              </w:rPr>
              <w:t>E1</w:t>
            </w:r>
          </w:p>
        </w:tc>
        <w:tc>
          <w:tcPr>
            <w:tcW w:w="1250" w:type="pct"/>
            <w:vAlign w:val="center"/>
          </w:tcPr>
          <w:p w14:paraId="5B121FED">
            <w:pPr>
              <w:pStyle w:val="133"/>
              <w:rPr>
                <w:color w:val="000000"/>
                <w:lang w:eastAsia="en-US"/>
              </w:rPr>
            </w:pPr>
            <w:r>
              <w:rPr>
                <w:color w:val="000000"/>
                <w:lang w:eastAsia="en-US"/>
              </w:rPr>
              <w:t>E2</w:t>
            </w:r>
          </w:p>
        </w:tc>
        <w:tc>
          <w:tcPr>
            <w:tcW w:w="1250" w:type="pct"/>
            <w:tcBorders>
              <w:right w:val="single" w:color="auto" w:sz="12" w:space="0"/>
            </w:tcBorders>
            <w:vAlign w:val="center"/>
          </w:tcPr>
          <w:p w14:paraId="615FA4E8">
            <w:pPr>
              <w:pStyle w:val="133"/>
              <w:rPr>
                <w:color w:val="000000"/>
                <w:lang w:eastAsia="en-US"/>
              </w:rPr>
            </w:pPr>
            <w:r>
              <w:rPr>
                <w:color w:val="000000"/>
                <w:lang w:eastAsia="en-US"/>
              </w:rPr>
              <w:t>E3</w:t>
            </w:r>
          </w:p>
        </w:tc>
      </w:tr>
      <w:tr w14:paraId="272E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5" w:type="pct"/>
            <w:tcBorders>
              <w:left w:val="single" w:color="auto" w:sz="12" w:space="0"/>
              <w:bottom w:val="single" w:color="auto" w:sz="12" w:space="0"/>
            </w:tcBorders>
            <w:vAlign w:val="center"/>
          </w:tcPr>
          <w:p w14:paraId="7B5F0583">
            <w:pPr>
              <w:pStyle w:val="133"/>
              <w:rPr>
                <w:color w:val="000000"/>
                <w:lang w:eastAsia="en-US"/>
              </w:rPr>
            </w:pPr>
            <w:r>
              <w:rPr>
                <w:color w:val="000000"/>
                <w:lang w:eastAsia="en-US"/>
              </w:rPr>
              <w:t>D3</w:t>
            </w:r>
          </w:p>
        </w:tc>
        <w:tc>
          <w:tcPr>
            <w:tcW w:w="1355" w:type="pct"/>
            <w:tcBorders>
              <w:bottom w:val="single" w:color="auto" w:sz="12" w:space="0"/>
            </w:tcBorders>
            <w:vAlign w:val="center"/>
          </w:tcPr>
          <w:p w14:paraId="07637B0A">
            <w:pPr>
              <w:pStyle w:val="133"/>
              <w:rPr>
                <w:color w:val="000000"/>
                <w:lang w:eastAsia="en-US"/>
              </w:rPr>
            </w:pPr>
            <w:r>
              <w:rPr>
                <w:color w:val="000000"/>
                <w:lang w:eastAsia="en-US"/>
              </w:rPr>
              <w:t>E2</w:t>
            </w:r>
          </w:p>
        </w:tc>
        <w:tc>
          <w:tcPr>
            <w:tcW w:w="1250" w:type="pct"/>
            <w:tcBorders>
              <w:bottom w:val="single" w:color="auto" w:sz="12" w:space="0"/>
            </w:tcBorders>
            <w:vAlign w:val="center"/>
          </w:tcPr>
          <w:p w14:paraId="0E73D945">
            <w:pPr>
              <w:pStyle w:val="133"/>
              <w:rPr>
                <w:color w:val="000000"/>
                <w:lang w:eastAsia="en-US"/>
              </w:rPr>
            </w:pPr>
            <w:r>
              <w:rPr>
                <w:color w:val="000000"/>
                <w:lang w:eastAsia="en-US"/>
              </w:rPr>
              <w:t>E3</w:t>
            </w:r>
          </w:p>
        </w:tc>
        <w:tc>
          <w:tcPr>
            <w:tcW w:w="1250" w:type="pct"/>
            <w:tcBorders>
              <w:bottom w:val="single" w:color="auto" w:sz="12" w:space="0"/>
              <w:right w:val="single" w:color="auto" w:sz="12" w:space="0"/>
            </w:tcBorders>
            <w:vAlign w:val="center"/>
          </w:tcPr>
          <w:p w14:paraId="0D62ED1C">
            <w:pPr>
              <w:pStyle w:val="133"/>
              <w:rPr>
                <w:color w:val="000000"/>
                <w:lang w:eastAsia="en-US"/>
              </w:rPr>
            </w:pPr>
            <w:r>
              <w:rPr>
                <w:color w:val="000000"/>
                <w:lang w:eastAsia="en-US"/>
              </w:rPr>
              <w:t>E3</w:t>
            </w:r>
          </w:p>
        </w:tc>
      </w:tr>
    </w:tbl>
    <w:p w14:paraId="4EFD8E38">
      <w:pPr>
        <w:pStyle w:val="118"/>
        <w:ind w:firstLine="480"/>
      </w:pPr>
      <w:r>
        <w:rPr>
          <w:rFonts w:hint="eastAsia"/>
        </w:rPr>
        <w:t>表7.3-</w:t>
      </w:r>
      <w:r>
        <w:t xml:space="preserve">11  </w:t>
      </w:r>
      <w:r>
        <w:rPr>
          <w:rFonts w:hint="eastAsia"/>
        </w:rPr>
        <w:t xml:space="preserve"> 区域地下水功能敏感性分区</w:t>
      </w:r>
    </w:p>
    <w:tbl>
      <w:tblPr>
        <w:tblStyle w:val="6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4900"/>
        <w:gridCol w:w="3147"/>
      </w:tblGrid>
      <w:tr w14:paraId="3CFE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tcBorders>
              <w:top w:val="single" w:color="auto" w:sz="12" w:space="0"/>
              <w:left w:val="single" w:color="auto" w:sz="12" w:space="0"/>
            </w:tcBorders>
            <w:vAlign w:val="center"/>
          </w:tcPr>
          <w:p w14:paraId="7045E603">
            <w:pPr>
              <w:pStyle w:val="133"/>
              <w:rPr>
                <w:b/>
                <w:bCs/>
                <w:color w:val="000000"/>
              </w:rPr>
            </w:pPr>
            <w:r>
              <w:rPr>
                <w:b/>
                <w:bCs/>
                <w:color w:val="000000"/>
              </w:rPr>
              <w:t>分级</w:t>
            </w:r>
          </w:p>
        </w:tc>
        <w:tc>
          <w:tcPr>
            <w:tcW w:w="2633" w:type="pct"/>
            <w:tcBorders>
              <w:top w:val="single" w:color="auto" w:sz="12" w:space="0"/>
            </w:tcBorders>
            <w:vAlign w:val="center"/>
          </w:tcPr>
          <w:p w14:paraId="449601F7">
            <w:pPr>
              <w:pStyle w:val="133"/>
              <w:rPr>
                <w:b/>
                <w:bCs/>
                <w:color w:val="000000"/>
              </w:rPr>
            </w:pPr>
            <w:r>
              <w:rPr>
                <w:b/>
                <w:bCs/>
                <w:color w:val="000000"/>
              </w:rPr>
              <w:t>地下水环境敏感特征</w:t>
            </w:r>
          </w:p>
        </w:tc>
        <w:tc>
          <w:tcPr>
            <w:tcW w:w="1691" w:type="pct"/>
            <w:tcBorders>
              <w:top w:val="single" w:color="auto" w:sz="12" w:space="0"/>
              <w:right w:val="single" w:color="auto" w:sz="12" w:space="0"/>
            </w:tcBorders>
            <w:vAlign w:val="center"/>
          </w:tcPr>
          <w:p w14:paraId="49D64AC1">
            <w:pPr>
              <w:pStyle w:val="133"/>
              <w:rPr>
                <w:b/>
                <w:bCs/>
                <w:color w:val="000000"/>
              </w:rPr>
            </w:pPr>
            <w:r>
              <w:rPr>
                <w:b/>
                <w:bCs/>
                <w:color w:val="000000"/>
              </w:rPr>
              <w:t>项目所在区域判定情况</w:t>
            </w:r>
          </w:p>
        </w:tc>
      </w:tr>
      <w:tr w14:paraId="0337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tcBorders>
              <w:left w:val="single" w:color="auto" w:sz="12" w:space="0"/>
            </w:tcBorders>
            <w:vAlign w:val="center"/>
          </w:tcPr>
          <w:p w14:paraId="109DABE5">
            <w:pPr>
              <w:pStyle w:val="133"/>
              <w:rPr>
                <w:color w:val="000000"/>
              </w:rPr>
            </w:pPr>
            <w:r>
              <w:rPr>
                <w:color w:val="000000"/>
              </w:rPr>
              <w:t>敏感G1</w:t>
            </w:r>
          </w:p>
        </w:tc>
        <w:tc>
          <w:tcPr>
            <w:tcW w:w="2633" w:type="pct"/>
            <w:vAlign w:val="center"/>
          </w:tcPr>
          <w:p w14:paraId="0BD81C41">
            <w:pPr>
              <w:pStyle w:val="133"/>
              <w:rPr>
                <w:color w:val="000000"/>
              </w:rPr>
            </w:pPr>
            <w:r>
              <w:rPr>
                <w:color w:val="000000"/>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c>
          <w:tcPr>
            <w:tcW w:w="1691" w:type="pct"/>
            <w:vMerge w:val="restart"/>
            <w:tcBorders>
              <w:right w:val="single" w:color="auto" w:sz="12" w:space="0"/>
            </w:tcBorders>
            <w:vAlign w:val="center"/>
          </w:tcPr>
          <w:p w14:paraId="7CC09598">
            <w:pPr>
              <w:pStyle w:val="133"/>
              <w:rPr>
                <w:color w:val="000000"/>
              </w:rPr>
            </w:pPr>
            <w:r>
              <w:rPr>
                <w:rFonts w:hint="eastAsia"/>
                <w:color w:val="000000"/>
                <w:kern w:val="2"/>
                <w:szCs w:val="22"/>
              </w:rPr>
              <w:t>项目所在区域既不属于集中式地下水饮用水水源准保护区和准保护区以外的补给径流区，也不属于除集中式饮用水水源以外的国家或地方政府设定的与地下水环境相关的其他保护区，如热水、矿泉水、温泉等特殊地下水资源保护区和其他保护区的补给径流区；同时也不属于未划定准保护区的集中式饮用水水源、分散式饮用水水源地</w:t>
            </w:r>
          </w:p>
        </w:tc>
      </w:tr>
      <w:tr w14:paraId="2DC5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tcBorders>
              <w:left w:val="single" w:color="auto" w:sz="12" w:space="0"/>
            </w:tcBorders>
            <w:vAlign w:val="center"/>
          </w:tcPr>
          <w:p w14:paraId="10B18205">
            <w:pPr>
              <w:pStyle w:val="133"/>
              <w:rPr>
                <w:color w:val="000000"/>
              </w:rPr>
            </w:pPr>
            <w:r>
              <w:rPr>
                <w:color w:val="000000"/>
              </w:rPr>
              <w:t>较敏感G2</w:t>
            </w:r>
          </w:p>
        </w:tc>
        <w:tc>
          <w:tcPr>
            <w:tcW w:w="2633" w:type="pct"/>
            <w:vAlign w:val="center"/>
          </w:tcPr>
          <w:p w14:paraId="04D5B085">
            <w:pPr>
              <w:pStyle w:val="133"/>
              <w:rPr>
                <w:color w:val="000000"/>
              </w:rPr>
            </w:pPr>
            <w:r>
              <w:rPr>
                <w:color w:val="000000"/>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color w:val="000000"/>
              </w:rPr>
              <w:t>a</w:t>
            </w:r>
          </w:p>
        </w:tc>
        <w:tc>
          <w:tcPr>
            <w:tcW w:w="1691" w:type="pct"/>
            <w:vMerge w:val="continue"/>
            <w:tcBorders>
              <w:right w:val="single" w:color="auto" w:sz="12" w:space="0"/>
            </w:tcBorders>
            <w:vAlign w:val="center"/>
          </w:tcPr>
          <w:p w14:paraId="14E1995D">
            <w:pPr>
              <w:pStyle w:val="133"/>
              <w:rPr>
                <w:color w:val="000000"/>
              </w:rPr>
            </w:pPr>
          </w:p>
        </w:tc>
      </w:tr>
      <w:tr w14:paraId="0C93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pct"/>
            <w:tcBorders>
              <w:left w:val="single" w:color="auto" w:sz="12" w:space="0"/>
            </w:tcBorders>
            <w:vAlign w:val="center"/>
          </w:tcPr>
          <w:p w14:paraId="02CFAB39">
            <w:pPr>
              <w:pStyle w:val="133"/>
              <w:rPr>
                <w:color w:val="000000"/>
              </w:rPr>
            </w:pPr>
            <w:r>
              <w:rPr>
                <w:color w:val="000000"/>
              </w:rPr>
              <w:t>不敏感G3</w:t>
            </w:r>
          </w:p>
        </w:tc>
        <w:tc>
          <w:tcPr>
            <w:tcW w:w="2633" w:type="pct"/>
            <w:vAlign w:val="center"/>
          </w:tcPr>
          <w:p w14:paraId="73E8510B">
            <w:pPr>
              <w:pStyle w:val="133"/>
              <w:rPr>
                <w:color w:val="000000"/>
              </w:rPr>
            </w:pPr>
            <w:r>
              <w:rPr>
                <w:color w:val="000000"/>
              </w:rPr>
              <w:t>上述地区之外的其他地区</w:t>
            </w:r>
          </w:p>
        </w:tc>
        <w:tc>
          <w:tcPr>
            <w:tcW w:w="1691" w:type="pct"/>
            <w:vMerge w:val="continue"/>
            <w:tcBorders>
              <w:right w:val="single" w:color="auto" w:sz="12" w:space="0"/>
            </w:tcBorders>
            <w:vAlign w:val="center"/>
          </w:tcPr>
          <w:p w14:paraId="3279FAB3">
            <w:pPr>
              <w:pStyle w:val="133"/>
              <w:rPr>
                <w:color w:val="000000"/>
              </w:rPr>
            </w:pPr>
          </w:p>
        </w:tc>
      </w:tr>
      <w:tr w14:paraId="3BF4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9" w:type="pct"/>
            <w:gridSpan w:val="2"/>
            <w:tcBorders>
              <w:left w:val="single" w:color="auto" w:sz="12" w:space="0"/>
            </w:tcBorders>
            <w:vAlign w:val="center"/>
          </w:tcPr>
          <w:p w14:paraId="116B5CD7">
            <w:pPr>
              <w:pStyle w:val="133"/>
              <w:rPr>
                <w:color w:val="000000"/>
              </w:rPr>
            </w:pPr>
            <w:r>
              <w:rPr>
                <w:rFonts w:hint="eastAsia"/>
                <w:color w:val="000000"/>
              </w:rPr>
              <w:t>a“</w:t>
            </w:r>
            <w:r>
              <w:rPr>
                <w:color w:val="000000"/>
              </w:rPr>
              <w:t>环境敏感区</w:t>
            </w:r>
            <w:r>
              <w:rPr>
                <w:rFonts w:hint="eastAsia"/>
                <w:color w:val="000000"/>
              </w:rPr>
              <w:t>”</w:t>
            </w:r>
            <w:r>
              <w:rPr>
                <w:color w:val="000000"/>
              </w:rPr>
              <w:t>是指《建设项目环境影响评价分类管理名录》中所界定的涉及地下水的环境敏感区</w:t>
            </w:r>
          </w:p>
        </w:tc>
        <w:tc>
          <w:tcPr>
            <w:tcW w:w="1691" w:type="pct"/>
            <w:vMerge w:val="continue"/>
            <w:tcBorders>
              <w:right w:val="single" w:color="auto" w:sz="12" w:space="0"/>
            </w:tcBorders>
            <w:vAlign w:val="center"/>
          </w:tcPr>
          <w:p w14:paraId="5ED5679D">
            <w:pPr>
              <w:pStyle w:val="133"/>
              <w:rPr>
                <w:color w:val="000000"/>
              </w:rPr>
            </w:pPr>
          </w:p>
        </w:tc>
      </w:tr>
      <w:tr w14:paraId="2251C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9" w:type="pct"/>
            <w:gridSpan w:val="2"/>
            <w:tcBorders>
              <w:left w:val="single" w:color="auto" w:sz="12" w:space="0"/>
              <w:bottom w:val="single" w:color="auto" w:sz="12" w:space="0"/>
            </w:tcBorders>
            <w:vAlign w:val="center"/>
          </w:tcPr>
          <w:p w14:paraId="3D06D677">
            <w:pPr>
              <w:pStyle w:val="133"/>
              <w:rPr>
                <w:color w:val="000000"/>
              </w:rPr>
            </w:pPr>
            <w:r>
              <w:rPr>
                <w:color w:val="000000"/>
              </w:rPr>
              <w:t>区域</w:t>
            </w:r>
            <w:r>
              <w:rPr>
                <w:rFonts w:hint="eastAsia"/>
                <w:color w:val="000000"/>
              </w:rPr>
              <w:t>地下水</w:t>
            </w:r>
            <w:r>
              <w:rPr>
                <w:color w:val="000000"/>
              </w:rPr>
              <w:t>环境敏感</w:t>
            </w:r>
            <w:r>
              <w:rPr>
                <w:rFonts w:hint="eastAsia"/>
                <w:color w:val="000000"/>
              </w:rPr>
              <w:t>性分区</w:t>
            </w:r>
            <w:r>
              <w:rPr>
                <w:color w:val="000000"/>
              </w:rPr>
              <w:t>判定</w:t>
            </w:r>
          </w:p>
        </w:tc>
        <w:tc>
          <w:tcPr>
            <w:tcW w:w="1691" w:type="pct"/>
            <w:tcBorders>
              <w:bottom w:val="single" w:color="auto" w:sz="12" w:space="0"/>
              <w:right w:val="single" w:color="auto" w:sz="12" w:space="0"/>
            </w:tcBorders>
            <w:vAlign w:val="center"/>
          </w:tcPr>
          <w:p w14:paraId="4A5E64E7">
            <w:pPr>
              <w:pStyle w:val="133"/>
              <w:rPr>
                <w:color w:val="000000"/>
              </w:rPr>
            </w:pPr>
            <w:r>
              <w:rPr>
                <w:rFonts w:hint="eastAsia"/>
                <w:color w:val="000000"/>
              </w:rPr>
              <w:t>G</w:t>
            </w:r>
            <w:r>
              <w:rPr>
                <w:rFonts w:hint="eastAsia"/>
                <w:color w:val="000000"/>
                <w:kern w:val="2"/>
                <w:szCs w:val="22"/>
              </w:rPr>
              <w:t>3</w:t>
            </w:r>
          </w:p>
        </w:tc>
      </w:tr>
    </w:tbl>
    <w:p w14:paraId="36F163ED">
      <w:pPr>
        <w:pStyle w:val="118"/>
        <w:ind w:firstLine="480"/>
      </w:pPr>
    </w:p>
    <w:p w14:paraId="659346D9">
      <w:pPr>
        <w:pStyle w:val="118"/>
        <w:ind w:firstLine="480"/>
      </w:pPr>
      <w:r>
        <w:rPr>
          <w:rFonts w:hint="eastAsia"/>
        </w:rPr>
        <w:t>表7.3-</w:t>
      </w:r>
      <w:r>
        <w:t xml:space="preserve">12  </w:t>
      </w:r>
      <w:r>
        <w:rPr>
          <w:rFonts w:hint="eastAsia"/>
        </w:rPr>
        <w:t xml:space="preserve"> 区域包气带防污性能分级原则一览表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6350"/>
        <w:gridCol w:w="2373"/>
      </w:tblGrid>
      <w:tr w14:paraId="0CAB0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vAlign w:val="center"/>
          </w:tcPr>
          <w:p w14:paraId="5E11E52C">
            <w:pPr>
              <w:pStyle w:val="133"/>
              <w:rPr>
                <w:b/>
                <w:bCs/>
                <w:color w:val="000000"/>
              </w:rPr>
            </w:pPr>
            <w:r>
              <w:rPr>
                <w:b/>
                <w:bCs/>
                <w:color w:val="000000"/>
              </w:rPr>
              <w:t>分级</w:t>
            </w:r>
          </w:p>
        </w:tc>
        <w:tc>
          <w:tcPr>
            <w:tcW w:w="3411" w:type="pct"/>
            <w:vAlign w:val="center"/>
          </w:tcPr>
          <w:p w14:paraId="6F91A9DD">
            <w:pPr>
              <w:pStyle w:val="133"/>
              <w:rPr>
                <w:b/>
                <w:bCs/>
                <w:color w:val="000000"/>
              </w:rPr>
            </w:pPr>
            <w:r>
              <w:rPr>
                <w:b/>
                <w:bCs/>
                <w:color w:val="000000"/>
              </w:rPr>
              <w:t>包气带岩土的渗透性能</w:t>
            </w:r>
          </w:p>
        </w:tc>
        <w:tc>
          <w:tcPr>
            <w:tcW w:w="1275" w:type="pct"/>
            <w:vAlign w:val="center"/>
          </w:tcPr>
          <w:p w14:paraId="422E7E2B">
            <w:pPr>
              <w:pStyle w:val="133"/>
              <w:rPr>
                <w:b/>
                <w:bCs/>
                <w:color w:val="000000"/>
              </w:rPr>
            </w:pPr>
            <w:r>
              <w:rPr>
                <w:b/>
                <w:bCs/>
                <w:color w:val="000000"/>
              </w:rPr>
              <w:t>项目所在区域判定情况</w:t>
            </w:r>
          </w:p>
        </w:tc>
      </w:tr>
      <w:tr w14:paraId="5294E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vAlign w:val="center"/>
          </w:tcPr>
          <w:p w14:paraId="1928B4C9">
            <w:pPr>
              <w:pStyle w:val="133"/>
              <w:rPr>
                <w:color w:val="000000"/>
              </w:rPr>
            </w:pPr>
            <w:r>
              <w:rPr>
                <w:color w:val="000000"/>
              </w:rPr>
              <w:t>D3</w:t>
            </w:r>
          </w:p>
        </w:tc>
        <w:tc>
          <w:tcPr>
            <w:tcW w:w="3411" w:type="pct"/>
            <w:vAlign w:val="center"/>
          </w:tcPr>
          <w:p w14:paraId="49AC36A5">
            <w:pPr>
              <w:pStyle w:val="133"/>
              <w:rPr>
                <w:color w:val="000000"/>
              </w:rPr>
            </w:pPr>
            <w:r>
              <w:rPr>
                <w:color w:val="000000"/>
              </w:rPr>
              <w:t>Mb≥1.0m，K≤1.0×10</w:t>
            </w:r>
            <w:r>
              <w:rPr>
                <w:color w:val="000000"/>
                <w:vertAlign w:val="superscript"/>
              </w:rPr>
              <w:t>-6</w:t>
            </w:r>
            <w:r>
              <w:rPr>
                <w:color w:val="000000"/>
              </w:rPr>
              <w:t>cm/s，且分布连续、稳定</w:t>
            </w:r>
          </w:p>
        </w:tc>
        <w:tc>
          <w:tcPr>
            <w:tcW w:w="1275" w:type="pct"/>
            <w:vMerge w:val="restart"/>
            <w:vAlign w:val="center"/>
          </w:tcPr>
          <w:p w14:paraId="6EB9378C">
            <w:pPr>
              <w:pStyle w:val="133"/>
              <w:rPr>
                <w:color w:val="000000"/>
              </w:rPr>
            </w:pPr>
            <w:r>
              <w:rPr>
                <w:color w:val="000000"/>
                <w:szCs w:val="22"/>
              </w:rPr>
              <w:t>Mb</w:t>
            </w:r>
            <w:r>
              <w:rPr>
                <w:rFonts w:hint="eastAsia"/>
                <w:color w:val="000000"/>
                <w:szCs w:val="22"/>
              </w:rPr>
              <w:t>≥</w:t>
            </w:r>
            <w:r>
              <w:rPr>
                <w:color w:val="000000"/>
                <w:szCs w:val="22"/>
              </w:rPr>
              <w:t>1.0m</w:t>
            </w:r>
            <w:r>
              <w:rPr>
                <w:rFonts w:hint="eastAsia"/>
                <w:color w:val="000000"/>
                <w:szCs w:val="22"/>
              </w:rPr>
              <w:t>且分布连续、稳定渗透系数约为</w:t>
            </w:r>
            <w:r>
              <w:rPr>
                <w:color w:val="000000"/>
                <w:szCs w:val="22"/>
              </w:rPr>
              <w:t>K=</w:t>
            </w:r>
            <w:r>
              <w:rPr>
                <w:rFonts w:hint="eastAsia"/>
                <w:color w:val="000000"/>
                <w:szCs w:val="22"/>
              </w:rPr>
              <w:t>0.156</w:t>
            </w:r>
            <w:r>
              <w:rPr>
                <w:color w:val="000000"/>
                <w:kern w:val="2"/>
                <w:szCs w:val="22"/>
              </w:rPr>
              <w:t>cm/s</w:t>
            </w:r>
          </w:p>
        </w:tc>
      </w:tr>
      <w:tr w14:paraId="3D220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vAlign w:val="center"/>
          </w:tcPr>
          <w:p w14:paraId="36632490">
            <w:pPr>
              <w:pStyle w:val="133"/>
              <w:rPr>
                <w:color w:val="000000"/>
              </w:rPr>
            </w:pPr>
            <w:r>
              <w:rPr>
                <w:color w:val="000000"/>
              </w:rPr>
              <w:t>D2</w:t>
            </w:r>
          </w:p>
        </w:tc>
        <w:tc>
          <w:tcPr>
            <w:tcW w:w="3411" w:type="pct"/>
            <w:vAlign w:val="center"/>
          </w:tcPr>
          <w:p w14:paraId="147E73FE">
            <w:pPr>
              <w:pStyle w:val="133"/>
              <w:rPr>
                <w:color w:val="000000"/>
              </w:rPr>
            </w:pPr>
            <w:r>
              <w:rPr>
                <w:color w:val="000000"/>
              </w:rPr>
              <w:t>0.5m≤Mb&lt;1.0m，K≤1.0×10</w:t>
            </w:r>
            <w:r>
              <w:rPr>
                <w:color w:val="000000"/>
                <w:vertAlign w:val="superscript"/>
              </w:rPr>
              <w:t>-6</w:t>
            </w:r>
            <w:r>
              <w:rPr>
                <w:color w:val="000000"/>
              </w:rPr>
              <w:t>cm/s，且分布连续、稳定</w:t>
            </w:r>
          </w:p>
          <w:p w14:paraId="52349C48">
            <w:pPr>
              <w:pStyle w:val="133"/>
              <w:rPr>
                <w:color w:val="000000"/>
              </w:rPr>
            </w:pPr>
            <w:r>
              <w:rPr>
                <w:color w:val="000000"/>
              </w:rPr>
              <w:t>Mb≥1.0m，1.0×10</w:t>
            </w:r>
            <w:r>
              <w:rPr>
                <w:color w:val="000000"/>
                <w:vertAlign w:val="superscript"/>
              </w:rPr>
              <w:t>-6</w:t>
            </w:r>
            <w:r>
              <w:rPr>
                <w:color w:val="000000"/>
              </w:rPr>
              <w:t>cm/s＜K≤1.0×10</w:t>
            </w:r>
            <w:r>
              <w:rPr>
                <w:color w:val="000000"/>
                <w:vertAlign w:val="superscript"/>
              </w:rPr>
              <w:t>-4</w:t>
            </w:r>
            <w:r>
              <w:rPr>
                <w:color w:val="000000"/>
              </w:rPr>
              <w:t>cm/s，且分布连续、稳定</w:t>
            </w:r>
          </w:p>
        </w:tc>
        <w:tc>
          <w:tcPr>
            <w:tcW w:w="1275" w:type="pct"/>
            <w:vMerge w:val="continue"/>
            <w:vAlign w:val="center"/>
          </w:tcPr>
          <w:p w14:paraId="475C5B29">
            <w:pPr>
              <w:pStyle w:val="133"/>
              <w:rPr>
                <w:color w:val="000000"/>
              </w:rPr>
            </w:pPr>
          </w:p>
        </w:tc>
      </w:tr>
      <w:tr w14:paraId="7A683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3" w:type="pct"/>
            <w:vAlign w:val="center"/>
          </w:tcPr>
          <w:p w14:paraId="5D9B40CC">
            <w:pPr>
              <w:pStyle w:val="133"/>
              <w:rPr>
                <w:color w:val="000000"/>
              </w:rPr>
            </w:pPr>
            <w:r>
              <w:rPr>
                <w:color w:val="000000"/>
              </w:rPr>
              <w:t>D1</w:t>
            </w:r>
          </w:p>
        </w:tc>
        <w:tc>
          <w:tcPr>
            <w:tcW w:w="3411" w:type="pct"/>
            <w:vAlign w:val="center"/>
          </w:tcPr>
          <w:p w14:paraId="2811B1CB">
            <w:pPr>
              <w:pStyle w:val="133"/>
              <w:rPr>
                <w:color w:val="000000"/>
              </w:rPr>
            </w:pPr>
            <w:r>
              <w:rPr>
                <w:color w:val="000000"/>
              </w:rPr>
              <w:t>岩（土）层不满足上述“D2”和“D3”条件</w:t>
            </w:r>
          </w:p>
        </w:tc>
        <w:tc>
          <w:tcPr>
            <w:tcW w:w="1275" w:type="pct"/>
            <w:vMerge w:val="continue"/>
            <w:vAlign w:val="center"/>
          </w:tcPr>
          <w:p w14:paraId="49DE90DD">
            <w:pPr>
              <w:pStyle w:val="133"/>
              <w:rPr>
                <w:color w:val="000000"/>
              </w:rPr>
            </w:pPr>
          </w:p>
        </w:tc>
      </w:tr>
      <w:tr w14:paraId="1156B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5" w:type="pct"/>
            <w:gridSpan w:val="2"/>
            <w:vAlign w:val="center"/>
          </w:tcPr>
          <w:p w14:paraId="0B64DF2A">
            <w:pPr>
              <w:pStyle w:val="133"/>
              <w:rPr>
                <w:color w:val="000000"/>
              </w:rPr>
            </w:pPr>
            <w:r>
              <w:rPr>
                <w:color w:val="000000"/>
              </w:rPr>
              <w:t>Mb：岩土层单层厚度。K：渗透系数。</w:t>
            </w:r>
          </w:p>
        </w:tc>
        <w:tc>
          <w:tcPr>
            <w:tcW w:w="1275" w:type="pct"/>
            <w:vMerge w:val="continue"/>
            <w:vAlign w:val="center"/>
          </w:tcPr>
          <w:p w14:paraId="37D21404">
            <w:pPr>
              <w:pStyle w:val="133"/>
              <w:rPr>
                <w:color w:val="000000"/>
              </w:rPr>
            </w:pPr>
          </w:p>
        </w:tc>
      </w:tr>
      <w:tr w14:paraId="3847A3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5" w:type="pct"/>
            <w:gridSpan w:val="2"/>
            <w:vAlign w:val="center"/>
          </w:tcPr>
          <w:p w14:paraId="4760A2CE">
            <w:pPr>
              <w:pStyle w:val="133"/>
              <w:rPr>
                <w:color w:val="000000"/>
              </w:rPr>
            </w:pPr>
            <w:r>
              <w:rPr>
                <w:color w:val="000000"/>
              </w:rPr>
              <w:t>区域</w:t>
            </w:r>
            <w:r>
              <w:rPr>
                <w:rFonts w:hint="eastAsia"/>
                <w:color w:val="000000"/>
              </w:rPr>
              <w:t>包气带防污性能</w:t>
            </w:r>
            <w:r>
              <w:rPr>
                <w:color w:val="000000"/>
              </w:rPr>
              <w:t>判定</w:t>
            </w:r>
          </w:p>
        </w:tc>
        <w:tc>
          <w:tcPr>
            <w:tcW w:w="1275" w:type="pct"/>
            <w:vAlign w:val="center"/>
          </w:tcPr>
          <w:p w14:paraId="615295BF">
            <w:pPr>
              <w:pStyle w:val="133"/>
              <w:rPr>
                <w:color w:val="000000"/>
              </w:rPr>
            </w:pPr>
            <w:r>
              <w:rPr>
                <w:color w:val="000000"/>
              </w:rPr>
              <w:t>D1</w:t>
            </w:r>
          </w:p>
        </w:tc>
      </w:tr>
    </w:tbl>
    <w:p w14:paraId="2F4D6539">
      <w:pPr>
        <w:ind w:firstLine="480"/>
        <w:rPr>
          <w:color w:val="FF0000"/>
        </w:rPr>
      </w:pPr>
    </w:p>
    <w:p w14:paraId="4731194B">
      <w:pPr>
        <w:ind w:firstLine="480"/>
        <w:rPr>
          <w:color w:val="000000"/>
        </w:rPr>
      </w:pPr>
      <w:r>
        <w:rPr>
          <w:rFonts w:hint="eastAsia"/>
          <w:color w:val="000000"/>
        </w:rPr>
        <w:t>项目所在区域的地下水环境敏感程度分级为</w:t>
      </w:r>
      <w:r>
        <w:rPr>
          <w:color w:val="000000"/>
        </w:rPr>
        <w:t>“</w:t>
      </w:r>
      <w:r>
        <w:rPr>
          <w:rFonts w:hint="eastAsia"/>
          <w:color w:val="000000"/>
        </w:rPr>
        <w:t>E2</w:t>
      </w:r>
      <w:r>
        <w:rPr>
          <w:color w:val="000000"/>
        </w:rPr>
        <w:t>”</w:t>
      </w:r>
      <w:r>
        <w:rPr>
          <w:rFonts w:hint="eastAsia"/>
          <w:color w:val="000000"/>
        </w:rPr>
        <w:t>。</w:t>
      </w:r>
    </w:p>
    <w:p w14:paraId="41A42711">
      <w:pPr>
        <w:pStyle w:val="138"/>
        <w:ind w:firstLine="480"/>
        <w:rPr>
          <w:rFonts w:hint="eastAsia"/>
          <w:color w:val="000000"/>
        </w:rPr>
      </w:pPr>
      <w:r>
        <w:rPr>
          <w:rFonts w:hint="eastAsia"/>
          <w:color w:val="000000"/>
        </w:rPr>
        <w:t>环境风险潜势判定</w:t>
      </w:r>
    </w:p>
    <w:p w14:paraId="517B8254">
      <w:pPr>
        <w:pStyle w:val="117"/>
        <w:ind w:firstLine="480"/>
        <w:rPr>
          <w:color w:val="000000"/>
        </w:rPr>
      </w:pPr>
      <w:r>
        <w:rPr>
          <w:rFonts w:hint="eastAsia"/>
          <w:color w:val="000000"/>
        </w:rPr>
        <w:t>经上述分析得知，本项目不考虑风险事故泄漏危险物质对地表水体的影响，其物质和工艺系统的危险性为高度危害</w:t>
      </w:r>
      <w:r>
        <w:rPr>
          <w:color w:val="000000"/>
        </w:rPr>
        <w:t>“P</w:t>
      </w:r>
      <w:r>
        <w:rPr>
          <w:rFonts w:hint="eastAsia"/>
          <w:color w:val="000000"/>
        </w:rPr>
        <w:t>1”，所在区域大气环境敏感程度为环境低敏感区</w:t>
      </w:r>
      <w:r>
        <w:rPr>
          <w:color w:val="000000"/>
        </w:rPr>
        <w:t>“</w:t>
      </w:r>
      <w:r>
        <w:rPr>
          <w:rFonts w:hint="eastAsia"/>
          <w:color w:val="000000"/>
        </w:rPr>
        <w:t>E3</w:t>
      </w:r>
      <w:r>
        <w:rPr>
          <w:color w:val="000000"/>
        </w:rPr>
        <w:t>”</w:t>
      </w:r>
      <w:r>
        <w:rPr>
          <w:rFonts w:hint="eastAsia"/>
          <w:color w:val="000000"/>
        </w:rPr>
        <w:t>，所在区域的地下水环境敏感程度为环境中度敏感区</w:t>
      </w:r>
      <w:r>
        <w:rPr>
          <w:color w:val="000000"/>
        </w:rPr>
        <w:t>“</w:t>
      </w:r>
      <w:r>
        <w:rPr>
          <w:rFonts w:hint="eastAsia"/>
          <w:color w:val="000000"/>
        </w:rPr>
        <w:t>E2</w:t>
      </w:r>
      <w:r>
        <w:rPr>
          <w:color w:val="000000"/>
        </w:rPr>
        <w:t>”</w:t>
      </w:r>
      <w:r>
        <w:rPr>
          <w:rFonts w:hint="eastAsia"/>
          <w:color w:val="000000"/>
        </w:rPr>
        <w:t>，其环境风险潜势判定结果一览表，其环境风险潜势判定结果一览表，见表7.3-1</w:t>
      </w:r>
      <w:r>
        <w:rPr>
          <w:color w:val="000000"/>
        </w:rPr>
        <w:t>3</w:t>
      </w:r>
      <w:r>
        <w:rPr>
          <w:rFonts w:hint="eastAsia"/>
          <w:color w:val="000000"/>
        </w:rPr>
        <w:t>。</w:t>
      </w:r>
    </w:p>
    <w:p w14:paraId="0A43B17A">
      <w:pPr>
        <w:pStyle w:val="118"/>
        <w:ind w:firstLine="480"/>
      </w:pPr>
      <w:r>
        <w:rPr>
          <w:rFonts w:hint="eastAsia"/>
        </w:rPr>
        <w:t>表7.3-1</w:t>
      </w:r>
      <w:r>
        <w:t xml:space="preserve">3  </w:t>
      </w:r>
      <w:r>
        <w:rPr>
          <w:rFonts w:hint="eastAsia"/>
        </w:rPr>
        <w:t xml:space="preserve">  项目环境风险潜势判定结果一览表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49"/>
        <w:gridCol w:w="5756"/>
      </w:tblGrid>
      <w:tr w14:paraId="4CE96A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7" w:type="pct"/>
            <w:vMerge w:val="restart"/>
            <w:vAlign w:val="center"/>
          </w:tcPr>
          <w:p w14:paraId="61FC4A71">
            <w:pPr>
              <w:pStyle w:val="133"/>
              <w:rPr>
                <w:b/>
                <w:bCs/>
                <w:color w:val="000000"/>
                <w:lang w:eastAsia="en-US"/>
              </w:rPr>
            </w:pPr>
            <w:r>
              <w:rPr>
                <w:b/>
                <w:bCs/>
                <w:color w:val="000000"/>
                <w:lang w:eastAsia="en-US"/>
              </w:rPr>
              <w:t>项目环境敏感程度</w:t>
            </w:r>
          </w:p>
        </w:tc>
        <w:tc>
          <w:tcPr>
            <w:tcW w:w="3093" w:type="pct"/>
            <w:vAlign w:val="center"/>
          </w:tcPr>
          <w:p w14:paraId="26C0C8F0">
            <w:pPr>
              <w:pStyle w:val="133"/>
              <w:rPr>
                <w:b/>
                <w:bCs/>
                <w:color w:val="000000"/>
              </w:rPr>
            </w:pPr>
            <w:r>
              <w:rPr>
                <w:b/>
                <w:bCs/>
                <w:color w:val="000000"/>
              </w:rPr>
              <w:t>项目危险物质及工艺系统危险性P</w:t>
            </w:r>
          </w:p>
        </w:tc>
      </w:tr>
      <w:tr w14:paraId="58D2E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7" w:type="pct"/>
            <w:vMerge w:val="continue"/>
            <w:vAlign w:val="center"/>
          </w:tcPr>
          <w:p w14:paraId="31ACEC0C">
            <w:pPr>
              <w:pStyle w:val="133"/>
              <w:rPr>
                <w:b/>
                <w:bCs/>
                <w:color w:val="000000"/>
              </w:rPr>
            </w:pPr>
          </w:p>
        </w:tc>
        <w:tc>
          <w:tcPr>
            <w:tcW w:w="3093" w:type="pct"/>
            <w:vAlign w:val="center"/>
          </w:tcPr>
          <w:p w14:paraId="51E8535D">
            <w:pPr>
              <w:pStyle w:val="133"/>
              <w:rPr>
                <w:rFonts w:cs="Times New Roman"/>
                <w:b/>
                <w:bCs/>
                <w:color w:val="000000"/>
              </w:rPr>
            </w:pPr>
            <w:r>
              <w:rPr>
                <w:b/>
                <w:bCs/>
                <w:color w:val="000000"/>
                <w:kern w:val="2"/>
                <w:szCs w:val="22"/>
                <w:lang w:eastAsia="en-US"/>
              </w:rPr>
              <w:t>极高危害（P</w:t>
            </w:r>
            <w:r>
              <w:rPr>
                <w:rFonts w:hint="eastAsia"/>
                <w:b/>
                <w:bCs/>
                <w:color w:val="000000"/>
                <w:kern w:val="2"/>
                <w:szCs w:val="22"/>
              </w:rPr>
              <w:t>1</w:t>
            </w:r>
            <w:r>
              <w:rPr>
                <w:b/>
                <w:bCs/>
                <w:color w:val="000000"/>
                <w:kern w:val="2"/>
                <w:szCs w:val="22"/>
                <w:lang w:eastAsia="en-US"/>
              </w:rPr>
              <w:t>）</w:t>
            </w:r>
          </w:p>
        </w:tc>
      </w:tr>
      <w:tr w14:paraId="06086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907" w:type="pct"/>
            <w:vAlign w:val="center"/>
          </w:tcPr>
          <w:p w14:paraId="2E606791">
            <w:pPr>
              <w:pStyle w:val="133"/>
              <w:rPr>
                <w:color w:val="000000"/>
              </w:rPr>
            </w:pPr>
            <w:r>
              <w:rPr>
                <w:color w:val="000000"/>
                <w:kern w:val="2"/>
                <w:szCs w:val="22"/>
              </w:rPr>
              <w:t>大气环境</w:t>
            </w:r>
            <w:r>
              <w:rPr>
                <w:rFonts w:hint="eastAsia"/>
                <w:color w:val="000000"/>
              </w:rPr>
              <w:t>低敏感区</w:t>
            </w:r>
            <w:r>
              <w:rPr>
                <w:color w:val="000000"/>
                <w:kern w:val="2"/>
                <w:szCs w:val="22"/>
              </w:rPr>
              <w:t>（E</w:t>
            </w:r>
            <w:r>
              <w:rPr>
                <w:rFonts w:hint="eastAsia"/>
                <w:color w:val="000000"/>
                <w:kern w:val="2"/>
                <w:szCs w:val="22"/>
              </w:rPr>
              <w:t>3</w:t>
            </w:r>
            <w:r>
              <w:rPr>
                <w:color w:val="000000"/>
                <w:kern w:val="2"/>
                <w:szCs w:val="22"/>
              </w:rPr>
              <w:t>）</w:t>
            </w:r>
          </w:p>
        </w:tc>
        <w:tc>
          <w:tcPr>
            <w:tcW w:w="3093" w:type="pct"/>
            <w:vAlign w:val="center"/>
          </w:tcPr>
          <w:p w14:paraId="4371F673">
            <w:pPr>
              <w:pStyle w:val="133"/>
              <w:rPr>
                <w:rFonts w:cs="Times New Roman"/>
                <w:color w:val="000000"/>
              </w:rPr>
            </w:pPr>
            <w:r>
              <w:rPr>
                <w:color w:val="000000"/>
                <w:kern w:val="2"/>
                <w:szCs w:val="22"/>
                <w:lang w:eastAsia="en-US"/>
              </w:rPr>
              <w:t>Ⅲ</w:t>
            </w:r>
          </w:p>
        </w:tc>
      </w:tr>
      <w:tr w14:paraId="7EAE3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907" w:type="pct"/>
            <w:vAlign w:val="center"/>
          </w:tcPr>
          <w:p w14:paraId="0C2E92BF">
            <w:pPr>
              <w:pStyle w:val="133"/>
              <w:rPr>
                <w:color w:val="000000"/>
              </w:rPr>
            </w:pPr>
            <w:r>
              <w:rPr>
                <w:color w:val="000000"/>
                <w:kern w:val="2"/>
                <w:szCs w:val="22"/>
              </w:rPr>
              <w:t>地下水环境中敏感度区（</w:t>
            </w:r>
            <w:r>
              <w:rPr>
                <w:rFonts w:hint="eastAsia"/>
                <w:color w:val="000000"/>
              </w:rPr>
              <w:t>E2</w:t>
            </w:r>
            <w:r>
              <w:rPr>
                <w:color w:val="000000"/>
                <w:kern w:val="2"/>
                <w:szCs w:val="22"/>
              </w:rPr>
              <w:t>）</w:t>
            </w:r>
          </w:p>
        </w:tc>
        <w:tc>
          <w:tcPr>
            <w:tcW w:w="3093" w:type="pct"/>
            <w:vAlign w:val="center"/>
          </w:tcPr>
          <w:p w14:paraId="71C070A4">
            <w:pPr>
              <w:pStyle w:val="133"/>
              <w:rPr>
                <w:rFonts w:cs="Times New Roman"/>
                <w:color w:val="000000"/>
              </w:rPr>
            </w:pPr>
            <w:r>
              <w:rPr>
                <w:color w:val="000000"/>
                <w:kern w:val="2"/>
                <w:szCs w:val="22"/>
                <w:lang w:eastAsia="en-US"/>
              </w:rPr>
              <w:t>Ⅳ</w:t>
            </w:r>
          </w:p>
        </w:tc>
      </w:tr>
    </w:tbl>
    <w:p w14:paraId="7CECD2AD">
      <w:pPr>
        <w:ind w:firstLine="480"/>
        <w:rPr>
          <w:color w:val="000000"/>
        </w:rPr>
      </w:pPr>
    </w:p>
    <w:p w14:paraId="245B2944">
      <w:pPr>
        <w:ind w:firstLine="480"/>
        <w:rPr>
          <w:color w:val="000000"/>
        </w:rPr>
      </w:pPr>
      <w:r>
        <w:rPr>
          <w:rFonts w:hint="eastAsia"/>
          <w:color w:val="000000"/>
        </w:rPr>
        <w:t>从上表可知，本项目的大气环境风险潜势为</w:t>
      </w:r>
      <w:r>
        <w:rPr>
          <w:color w:val="000000"/>
        </w:rPr>
        <w:t>Ⅲ</w:t>
      </w:r>
      <w:r>
        <w:rPr>
          <w:rFonts w:hint="eastAsia"/>
          <w:color w:val="000000"/>
        </w:rPr>
        <w:t>；地下水环境风险潜势为</w:t>
      </w:r>
      <w:r>
        <w:rPr>
          <w:color w:val="000000"/>
          <w:kern w:val="2"/>
          <w:szCs w:val="22"/>
        </w:rPr>
        <w:t>Ⅳ</w:t>
      </w:r>
      <w:r>
        <w:rPr>
          <w:rFonts w:hint="eastAsia"/>
          <w:color w:val="000000"/>
        </w:rPr>
        <w:t>。项目环境风险潜势为</w:t>
      </w:r>
      <w:r>
        <w:rPr>
          <w:color w:val="000000"/>
          <w:kern w:val="2"/>
          <w:szCs w:val="22"/>
        </w:rPr>
        <w:t>Ⅳ。</w:t>
      </w:r>
    </w:p>
    <w:p w14:paraId="584AD744">
      <w:pPr>
        <w:pStyle w:val="3"/>
        <w:rPr>
          <w:color w:val="000000"/>
        </w:rPr>
      </w:pPr>
      <w:bookmarkStart w:id="688" w:name="_Toc155627742"/>
      <w:bookmarkStart w:id="689" w:name="_Toc205291415"/>
      <w:r>
        <w:rPr>
          <w:rFonts w:hint="eastAsia"/>
          <w:color w:val="000000"/>
        </w:rPr>
        <w:t>评价等级及评价范围</w:t>
      </w:r>
      <w:bookmarkEnd w:id="688"/>
      <w:bookmarkEnd w:id="689"/>
    </w:p>
    <w:p w14:paraId="4A312312">
      <w:pPr>
        <w:pStyle w:val="138"/>
        <w:ind w:firstLine="480"/>
        <w:rPr>
          <w:rFonts w:hint="eastAsia"/>
          <w:color w:val="000000"/>
        </w:rPr>
      </w:pPr>
      <w:r>
        <w:rPr>
          <w:rFonts w:hint="eastAsia"/>
          <w:color w:val="000000"/>
        </w:rPr>
        <w:t>评价等级</w:t>
      </w:r>
    </w:p>
    <w:p w14:paraId="5A1B3B6F">
      <w:pPr>
        <w:pStyle w:val="117"/>
        <w:ind w:firstLine="480"/>
        <w:rPr>
          <w:color w:val="000000"/>
        </w:rPr>
      </w:pPr>
      <w:r>
        <w:rPr>
          <w:rFonts w:hint="eastAsia"/>
          <w:color w:val="000000"/>
        </w:rPr>
        <w:t>根据《建设项目环境风险评价技术导则》（HJ169-2018）规定：</w:t>
      </w:r>
      <w:r>
        <w:rPr>
          <w:color w:val="000000"/>
        </w:rPr>
        <w:t>“</w:t>
      </w:r>
      <w:r>
        <w:rPr>
          <w:rFonts w:hint="eastAsia"/>
          <w:color w:val="000000"/>
        </w:rPr>
        <w:t>环境风险评价工作是依据建设项目涉及的物质及工艺系统危险性和所在地的环境敏感性确定环境风险潜势进行分级，环境影响评价工作等级划分为一级、二级、三级</w:t>
      </w:r>
      <w:r>
        <w:rPr>
          <w:color w:val="000000"/>
        </w:rPr>
        <w:t>”</w:t>
      </w:r>
      <w:r>
        <w:rPr>
          <w:rFonts w:hint="eastAsia"/>
          <w:color w:val="000000"/>
        </w:rPr>
        <w:t>，其具体分级判据，见</w:t>
      </w:r>
      <w:r>
        <w:rPr>
          <w:color w:val="000000"/>
        </w:rPr>
        <w:t>表</w:t>
      </w:r>
      <w:r>
        <w:rPr>
          <w:rFonts w:hint="eastAsia"/>
          <w:color w:val="000000"/>
        </w:rPr>
        <w:t>7</w:t>
      </w:r>
      <w:r>
        <w:rPr>
          <w:color w:val="000000"/>
        </w:rPr>
        <w:t>.4</w:t>
      </w:r>
      <w:r>
        <w:rPr>
          <w:rFonts w:hint="eastAsia"/>
          <w:color w:val="000000"/>
        </w:rPr>
        <w:t>-1。</w:t>
      </w:r>
    </w:p>
    <w:p w14:paraId="61C3FF9E">
      <w:pPr>
        <w:pStyle w:val="118"/>
        <w:ind w:firstLine="480"/>
      </w:pPr>
    </w:p>
    <w:p w14:paraId="373238A0">
      <w:pPr>
        <w:pStyle w:val="118"/>
        <w:ind w:firstLine="480"/>
      </w:pPr>
      <w:r>
        <w:rPr>
          <w:rFonts w:hint="eastAsia"/>
        </w:rPr>
        <w:t>表7</w:t>
      </w:r>
      <w:r>
        <w:t>.4</w:t>
      </w:r>
      <w:r>
        <w:rPr>
          <w:rFonts w:hint="eastAsia"/>
        </w:rPr>
        <w:t>-1  项目环境影响评价等级判据一览表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02"/>
        <w:gridCol w:w="1749"/>
        <w:gridCol w:w="1752"/>
        <w:gridCol w:w="1750"/>
        <w:gridCol w:w="1752"/>
      </w:tblGrid>
      <w:tr w14:paraId="2F4BD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1CB31F01">
            <w:pPr>
              <w:pStyle w:val="133"/>
              <w:rPr>
                <w:b/>
                <w:bCs/>
                <w:color w:val="000000"/>
              </w:rPr>
            </w:pPr>
            <w:r>
              <w:rPr>
                <w:b/>
                <w:bCs/>
                <w:color w:val="000000"/>
              </w:rPr>
              <w:t>环境风险潜势</w:t>
            </w:r>
          </w:p>
        </w:tc>
        <w:tc>
          <w:tcPr>
            <w:tcW w:w="940" w:type="pct"/>
            <w:vAlign w:val="center"/>
          </w:tcPr>
          <w:p w14:paraId="1EB92AC7">
            <w:pPr>
              <w:pStyle w:val="133"/>
              <w:rPr>
                <w:b/>
                <w:bCs/>
                <w:color w:val="000000"/>
              </w:rPr>
            </w:pPr>
            <w:r>
              <w:rPr>
                <w:b/>
                <w:bCs/>
                <w:color w:val="000000"/>
              </w:rPr>
              <w:t>IV、IV+</w:t>
            </w:r>
          </w:p>
        </w:tc>
        <w:tc>
          <w:tcPr>
            <w:tcW w:w="941" w:type="pct"/>
            <w:vAlign w:val="center"/>
          </w:tcPr>
          <w:p w14:paraId="40AADDB9">
            <w:pPr>
              <w:pStyle w:val="133"/>
              <w:rPr>
                <w:b/>
                <w:bCs/>
                <w:color w:val="000000"/>
              </w:rPr>
            </w:pPr>
            <w:r>
              <w:rPr>
                <w:rFonts w:hint="eastAsia"/>
                <w:b/>
                <w:bCs/>
                <w:color w:val="000000"/>
              </w:rPr>
              <w:t>Ⅲ</w:t>
            </w:r>
          </w:p>
        </w:tc>
        <w:tc>
          <w:tcPr>
            <w:tcW w:w="940" w:type="pct"/>
            <w:vAlign w:val="center"/>
          </w:tcPr>
          <w:p w14:paraId="7608DC58">
            <w:pPr>
              <w:pStyle w:val="133"/>
              <w:rPr>
                <w:b/>
                <w:bCs/>
                <w:color w:val="000000"/>
              </w:rPr>
            </w:pPr>
            <w:r>
              <w:rPr>
                <w:b/>
                <w:bCs/>
                <w:color w:val="000000"/>
              </w:rPr>
              <w:t>II</w:t>
            </w:r>
          </w:p>
        </w:tc>
        <w:tc>
          <w:tcPr>
            <w:tcW w:w="941" w:type="pct"/>
            <w:vAlign w:val="center"/>
          </w:tcPr>
          <w:p w14:paraId="4CFA0983">
            <w:pPr>
              <w:pStyle w:val="133"/>
              <w:rPr>
                <w:b/>
                <w:bCs/>
                <w:color w:val="000000"/>
              </w:rPr>
            </w:pPr>
            <w:r>
              <w:rPr>
                <w:b/>
                <w:bCs/>
                <w:color w:val="000000"/>
              </w:rPr>
              <w:t>I</w:t>
            </w:r>
          </w:p>
        </w:tc>
      </w:tr>
      <w:tr w14:paraId="6F105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14:paraId="0B5DE864">
            <w:pPr>
              <w:pStyle w:val="133"/>
              <w:rPr>
                <w:color w:val="000000"/>
              </w:rPr>
            </w:pPr>
            <w:r>
              <w:rPr>
                <w:color w:val="000000"/>
              </w:rPr>
              <w:t>环境风险评价等级</w:t>
            </w:r>
          </w:p>
        </w:tc>
        <w:tc>
          <w:tcPr>
            <w:tcW w:w="940" w:type="pct"/>
            <w:vAlign w:val="center"/>
          </w:tcPr>
          <w:p w14:paraId="2CA8F9C1">
            <w:pPr>
              <w:pStyle w:val="133"/>
              <w:rPr>
                <w:color w:val="000000"/>
              </w:rPr>
            </w:pPr>
            <w:r>
              <w:rPr>
                <w:color w:val="000000"/>
              </w:rPr>
              <w:t>一</w:t>
            </w:r>
          </w:p>
        </w:tc>
        <w:tc>
          <w:tcPr>
            <w:tcW w:w="941" w:type="pct"/>
            <w:vAlign w:val="center"/>
          </w:tcPr>
          <w:p w14:paraId="69822825">
            <w:pPr>
              <w:pStyle w:val="133"/>
              <w:rPr>
                <w:color w:val="000000"/>
              </w:rPr>
            </w:pPr>
            <w:r>
              <w:rPr>
                <w:color w:val="000000"/>
              </w:rPr>
              <w:t>二</w:t>
            </w:r>
          </w:p>
        </w:tc>
        <w:tc>
          <w:tcPr>
            <w:tcW w:w="940" w:type="pct"/>
            <w:vAlign w:val="center"/>
          </w:tcPr>
          <w:p w14:paraId="414AF4C6">
            <w:pPr>
              <w:pStyle w:val="133"/>
              <w:rPr>
                <w:color w:val="000000"/>
              </w:rPr>
            </w:pPr>
            <w:r>
              <w:rPr>
                <w:color w:val="000000"/>
              </w:rPr>
              <w:t>三</w:t>
            </w:r>
          </w:p>
        </w:tc>
        <w:tc>
          <w:tcPr>
            <w:tcW w:w="941" w:type="pct"/>
            <w:vAlign w:val="center"/>
          </w:tcPr>
          <w:p w14:paraId="739D27E5">
            <w:pPr>
              <w:pStyle w:val="133"/>
              <w:rPr>
                <w:color w:val="000000"/>
              </w:rPr>
            </w:pPr>
            <w:r>
              <w:rPr>
                <w:color w:val="000000"/>
              </w:rPr>
              <w:t>简单分析</w:t>
            </w:r>
          </w:p>
        </w:tc>
      </w:tr>
    </w:tbl>
    <w:p w14:paraId="622B725B">
      <w:pPr>
        <w:pStyle w:val="117"/>
        <w:ind w:firstLine="480"/>
        <w:rPr>
          <w:color w:val="000000"/>
        </w:rPr>
      </w:pPr>
    </w:p>
    <w:p w14:paraId="37CEFF53">
      <w:pPr>
        <w:pStyle w:val="117"/>
        <w:ind w:firstLine="480"/>
        <w:rPr>
          <w:color w:val="000000"/>
        </w:rPr>
      </w:pPr>
      <w:r>
        <w:rPr>
          <w:rFonts w:hint="eastAsia"/>
          <w:color w:val="000000"/>
        </w:rPr>
        <w:t>根据风险潜势初判，项目环境风险潜势为Ⅳ，评价等级为一级。</w:t>
      </w:r>
    </w:p>
    <w:p w14:paraId="1B25ED12">
      <w:pPr>
        <w:pStyle w:val="138"/>
        <w:ind w:firstLine="480"/>
        <w:rPr>
          <w:rFonts w:hint="eastAsia"/>
          <w:color w:val="000000"/>
        </w:rPr>
      </w:pPr>
      <w:r>
        <w:rPr>
          <w:rFonts w:hint="eastAsia"/>
          <w:color w:val="000000"/>
        </w:rPr>
        <w:t>评价范围</w:t>
      </w:r>
    </w:p>
    <w:p w14:paraId="19047DD2">
      <w:pPr>
        <w:pStyle w:val="117"/>
        <w:ind w:firstLine="480"/>
        <w:rPr>
          <w:color w:val="000000"/>
        </w:rPr>
      </w:pPr>
      <w:r>
        <w:rPr>
          <w:color w:val="000000"/>
        </w:rPr>
        <w:t>根据《建设项目环境风险评价技术导则》（HJ169-2018）中评价范围的规定，项目的环境风险评价范围具体如下：</w:t>
      </w:r>
    </w:p>
    <w:p w14:paraId="5C5B9031">
      <w:pPr>
        <w:pStyle w:val="117"/>
        <w:ind w:firstLine="480"/>
        <w:rPr>
          <w:color w:val="000000"/>
        </w:rPr>
      </w:pPr>
      <w:r>
        <w:rPr>
          <w:color w:val="000000"/>
        </w:rPr>
        <w:t>（1）大气环境风险评价范围</w:t>
      </w:r>
    </w:p>
    <w:p w14:paraId="3FB79CC4">
      <w:pPr>
        <w:pStyle w:val="117"/>
        <w:ind w:firstLine="480"/>
        <w:rPr>
          <w:color w:val="000000"/>
        </w:rPr>
      </w:pPr>
      <w:r>
        <w:rPr>
          <w:rFonts w:hint="eastAsia"/>
          <w:color w:val="000000"/>
        </w:rPr>
        <w:t>距离建设项目边界</w:t>
      </w:r>
      <w:r>
        <w:rPr>
          <w:color w:val="000000"/>
        </w:rPr>
        <w:t>5.0</w:t>
      </w:r>
      <w:r>
        <w:rPr>
          <w:rFonts w:hint="eastAsia"/>
          <w:color w:val="000000"/>
        </w:rPr>
        <w:t>km范围内。</w:t>
      </w:r>
    </w:p>
    <w:p w14:paraId="0205D370">
      <w:pPr>
        <w:pStyle w:val="117"/>
        <w:ind w:firstLine="480"/>
        <w:rPr>
          <w:color w:val="000000"/>
        </w:rPr>
      </w:pPr>
      <w:r>
        <w:rPr>
          <w:color w:val="000000"/>
        </w:rPr>
        <w:t>（2）地表水环境风险评价范围</w:t>
      </w:r>
    </w:p>
    <w:p w14:paraId="348D270F">
      <w:pPr>
        <w:pStyle w:val="117"/>
        <w:ind w:firstLine="480"/>
        <w:rPr>
          <w:color w:val="000000"/>
        </w:rPr>
      </w:pPr>
      <w:r>
        <w:rPr>
          <w:color w:val="000000"/>
        </w:rPr>
        <w:t>本项目与地表水之间没有水力联系，不考虑风险事故泄漏危险物质对地表水体的影响，因此，不设地表水环境风险评价范围。</w:t>
      </w:r>
    </w:p>
    <w:p w14:paraId="26204D35">
      <w:pPr>
        <w:pStyle w:val="117"/>
        <w:ind w:firstLine="480"/>
        <w:rPr>
          <w:color w:val="000000"/>
        </w:rPr>
      </w:pPr>
      <w:r>
        <w:rPr>
          <w:color w:val="000000"/>
        </w:rPr>
        <w:t>（3）地下水环境风险评价范围</w:t>
      </w:r>
    </w:p>
    <w:p w14:paraId="403EC42B">
      <w:pPr>
        <w:pStyle w:val="117"/>
        <w:ind w:firstLine="480"/>
        <w:rPr>
          <w:color w:val="000000"/>
        </w:rPr>
      </w:pPr>
      <w:r>
        <w:rPr>
          <w:color w:val="000000"/>
        </w:rPr>
        <w:t>参照《环境影响评价技术导则 地下水环境》（HJ 610-2016）确定，本项目地下水环境风险评价范围：</w:t>
      </w:r>
      <w:r>
        <w:rPr>
          <w:rFonts w:hint="eastAsia"/>
          <w:color w:val="000000"/>
        </w:rPr>
        <w:t>上游东北方向1.0km、两侧各1.0km、下游西南方向3km，共计8km</w:t>
      </w:r>
      <w:r>
        <w:rPr>
          <w:rFonts w:hint="eastAsia"/>
          <w:color w:val="000000"/>
          <w:vertAlign w:val="superscript"/>
        </w:rPr>
        <w:t>2</w:t>
      </w:r>
      <w:r>
        <w:rPr>
          <w:rFonts w:hint="eastAsia"/>
          <w:color w:val="000000"/>
        </w:rPr>
        <w:t>的矩形</w:t>
      </w:r>
      <w:r>
        <w:rPr>
          <w:color w:val="000000"/>
        </w:rPr>
        <w:t>区域作为地下水环境评价范围。</w:t>
      </w:r>
    </w:p>
    <w:p w14:paraId="42F87E43">
      <w:pPr>
        <w:pStyle w:val="117"/>
        <w:ind w:firstLine="480"/>
        <w:rPr>
          <w:color w:val="000000"/>
        </w:rPr>
      </w:pPr>
      <w:r>
        <w:rPr>
          <w:color w:val="000000"/>
        </w:rPr>
        <w:t>本项目风险评价范围及敏感目标分布情况，见图</w:t>
      </w:r>
      <w:r>
        <w:rPr>
          <w:rFonts w:hint="eastAsia"/>
          <w:color w:val="000000"/>
        </w:rPr>
        <w:t>1.4</w:t>
      </w:r>
      <w:r>
        <w:rPr>
          <w:color w:val="000000"/>
        </w:rPr>
        <w:t>-1</w:t>
      </w:r>
      <w:r>
        <w:rPr>
          <w:rFonts w:hint="eastAsia"/>
          <w:color w:val="000000"/>
        </w:rPr>
        <w:t>。</w:t>
      </w:r>
    </w:p>
    <w:p w14:paraId="5210A59C">
      <w:pPr>
        <w:pStyle w:val="3"/>
        <w:rPr>
          <w:color w:val="000000"/>
        </w:rPr>
      </w:pPr>
      <w:bookmarkStart w:id="690" w:name="_Toc205291416"/>
      <w:r>
        <w:rPr>
          <w:rFonts w:hint="eastAsia"/>
          <w:color w:val="000000"/>
        </w:rPr>
        <w:t>环境风险识别</w:t>
      </w:r>
      <w:bookmarkEnd w:id="690"/>
    </w:p>
    <w:p w14:paraId="63AE2045">
      <w:pPr>
        <w:pStyle w:val="138"/>
        <w:ind w:firstLine="480"/>
        <w:rPr>
          <w:rFonts w:hint="eastAsia"/>
          <w:color w:val="000000"/>
        </w:rPr>
      </w:pPr>
      <w:r>
        <w:rPr>
          <w:rFonts w:hint="eastAsia"/>
          <w:color w:val="000000"/>
        </w:rPr>
        <w:t>物质风险识别</w:t>
      </w:r>
    </w:p>
    <w:p w14:paraId="2A18E5AA">
      <w:pPr>
        <w:pStyle w:val="117"/>
        <w:ind w:firstLine="480"/>
        <w:rPr>
          <w:color w:val="000000"/>
        </w:rPr>
      </w:pPr>
      <w:bookmarkStart w:id="691" w:name="_Toc155627743"/>
      <w:r>
        <w:rPr>
          <w:rFonts w:hint="eastAsia" w:ascii="宋体" w:hAnsi="宋体"/>
          <w:color w:val="000000"/>
        </w:rPr>
        <w:t>根据工程分析及《建设项</w:t>
      </w:r>
      <w:r>
        <w:rPr>
          <w:color w:val="000000"/>
        </w:rPr>
        <w:t>目环境风险评价技术导则》（HJ 169-2018）附录C.1.1要求，本项目涉及的危险物质主要包括</w:t>
      </w:r>
      <w:r>
        <w:rPr>
          <w:rFonts w:hint="eastAsia"/>
          <w:color w:val="000000"/>
        </w:rPr>
        <w:t>煤气</w:t>
      </w:r>
      <w:r>
        <w:rPr>
          <w:rFonts w:hint="eastAsia" w:ascii="宋体" w:hAnsi="宋体"/>
          <w:color w:val="000000"/>
        </w:rPr>
        <w:t>、氨、硫化氢、</w:t>
      </w:r>
      <w:r>
        <w:rPr>
          <w:rFonts w:cs="Times New Roman"/>
          <w:color w:val="000000"/>
        </w:rPr>
        <w:t>煤焦油、93%浓硫酸</w:t>
      </w:r>
      <w:r>
        <w:rPr>
          <w:color w:val="000000"/>
        </w:rPr>
        <w:t>等。</w:t>
      </w:r>
    </w:p>
    <w:p w14:paraId="182F6222">
      <w:pPr>
        <w:pStyle w:val="257"/>
        <w:ind w:firstLine="480"/>
        <w:rPr>
          <w:color w:val="000000"/>
          <w:lang w:val="en-US"/>
        </w:rPr>
      </w:pPr>
      <w:r>
        <w:rPr>
          <w:rFonts w:hint="eastAsia" w:ascii="宋体" w:hAnsi="宋体" w:eastAsia="宋体" w:cs="宋体"/>
          <w:color w:val="000000"/>
          <w:lang w:val="en-US"/>
        </w:rPr>
        <w:t>主要危险物质安全技术说明书（</w:t>
      </w:r>
      <w:r>
        <w:rPr>
          <w:rFonts w:hint="eastAsia"/>
          <w:color w:val="000000"/>
          <w:lang w:val="en-US"/>
        </w:rPr>
        <w:t>MSDS</w:t>
      </w:r>
      <w:r>
        <w:rPr>
          <w:rFonts w:hint="eastAsia" w:ascii="宋体" w:hAnsi="宋体" w:eastAsia="宋体" w:cs="宋体"/>
          <w:color w:val="000000"/>
          <w:lang w:val="en-US"/>
        </w:rPr>
        <w:t>）资料见下。</w:t>
      </w:r>
    </w:p>
    <w:p w14:paraId="6CD46EBE">
      <w:pPr>
        <w:pStyle w:val="118"/>
        <w:ind w:firstLine="480"/>
      </w:pPr>
      <w:r>
        <w:rPr>
          <w:rFonts w:hint="eastAsia"/>
        </w:rPr>
        <w:t>表7.5-1    煤气理化性质及危险特性表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697"/>
        <w:gridCol w:w="1254"/>
        <w:gridCol w:w="456"/>
        <w:gridCol w:w="2123"/>
        <w:gridCol w:w="238"/>
        <w:gridCol w:w="3039"/>
      </w:tblGrid>
      <w:tr w14:paraId="763E4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84" w:type="dxa"/>
            <w:vAlign w:val="center"/>
          </w:tcPr>
          <w:p w14:paraId="2CA9584D">
            <w:pPr>
              <w:pStyle w:val="133"/>
              <w:rPr>
                <w:b/>
                <w:bCs/>
                <w:color w:val="000000"/>
              </w:rPr>
            </w:pPr>
            <w:r>
              <w:rPr>
                <w:b/>
                <w:bCs/>
                <w:color w:val="000000"/>
              </w:rPr>
              <w:t>标识</w:t>
            </w:r>
          </w:p>
        </w:tc>
        <w:tc>
          <w:tcPr>
            <w:tcW w:w="5616" w:type="dxa"/>
            <w:gridSpan w:val="5"/>
            <w:vAlign w:val="center"/>
          </w:tcPr>
          <w:p w14:paraId="77AD3D63">
            <w:pPr>
              <w:pStyle w:val="133"/>
              <w:rPr>
                <w:b/>
                <w:bCs/>
                <w:color w:val="000000"/>
              </w:rPr>
            </w:pPr>
            <w:r>
              <w:rPr>
                <w:b/>
                <w:bCs/>
                <w:color w:val="000000"/>
              </w:rPr>
              <w:t>中文名：</w:t>
            </w:r>
            <w:r>
              <w:rPr>
                <w:rFonts w:hint="eastAsia"/>
                <w:b/>
                <w:bCs/>
                <w:color w:val="000000"/>
              </w:rPr>
              <w:t>煤气</w:t>
            </w:r>
          </w:p>
        </w:tc>
        <w:tc>
          <w:tcPr>
            <w:tcW w:w="2959" w:type="dxa"/>
            <w:vAlign w:val="center"/>
          </w:tcPr>
          <w:p w14:paraId="4C1900BD">
            <w:pPr>
              <w:pStyle w:val="133"/>
              <w:rPr>
                <w:b/>
                <w:bCs/>
                <w:color w:val="000000"/>
              </w:rPr>
            </w:pPr>
            <w:r>
              <w:rPr>
                <w:b/>
                <w:bCs/>
                <w:color w:val="000000"/>
              </w:rPr>
              <w:t>危险货物编号：-</w:t>
            </w:r>
          </w:p>
        </w:tc>
      </w:tr>
      <w:tr w14:paraId="530E1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restart"/>
            <w:vAlign w:val="center"/>
          </w:tcPr>
          <w:p w14:paraId="4DB35457">
            <w:pPr>
              <w:pStyle w:val="133"/>
              <w:rPr>
                <w:color w:val="000000"/>
              </w:rPr>
            </w:pPr>
            <w:r>
              <w:rPr>
                <w:color w:val="000000"/>
              </w:rPr>
              <w:t>理化性质</w:t>
            </w:r>
          </w:p>
        </w:tc>
        <w:tc>
          <w:tcPr>
            <w:tcW w:w="1652" w:type="dxa"/>
            <w:vAlign w:val="center"/>
          </w:tcPr>
          <w:p w14:paraId="73B763D8">
            <w:pPr>
              <w:pStyle w:val="133"/>
              <w:rPr>
                <w:color w:val="000000"/>
              </w:rPr>
            </w:pPr>
            <w:r>
              <w:rPr>
                <w:color w:val="000000"/>
              </w:rPr>
              <w:t>外观与性状</w:t>
            </w:r>
          </w:p>
        </w:tc>
        <w:tc>
          <w:tcPr>
            <w:tcW w:w="6923" w:type="dxa"/>
            <w:gridSpan w:val="5"/>
            <w:vAlign w:val="center"/>
          </w:tcPr>
          <w:p w14:paraId="5D7E584B">
            <w:pPr>
              <w:pStyle w:val="133"/>
              <w:rPr>
                <w:color w:val="000000"/>
              </w:rPr>
            </w:pPr>
            <w:r>
              <w:rPr>
                <w:rFonts w:hint="eastAsia" w:ascii="Arial" w:hAnsi="Arial" w:cs="Arial"/>
                <w:color w:val="000000"/>
                <w:shd w:val="clear" w:color="auto" w:fill="FFFFFF"/>
              </w:rPr>
              <w:t>无色</w:t>
            </w:r>
            <w:r>
              <w:rPr>
                <w:rFonts w:ascii="Arial" w:hAnsi="Arial" w:cs="Arial"/>
                <w:color w:val="000000"/>
                <w:shd w:val="clear" w:color="auto" w:fill="FFFFFF"/>
              </w:rPr>
              <w:t>无臭气体</w:t>
            </w:r>
            <w:r>
              <w:rPr>
                <w:rFonts w:hint="eastAsia" w:ascii="Arial" w:hAnsi="Arial" w:cs="Arial"/>
                <w:color w:val="000000"/>
                <w:shd w:val="clear" w:color="auto" w:fill="FFFFFF"/>
              </w:rPr>
              <w:t>。</w:t>
            </w:r>
          </w:p>
        </w:tc>
      </w:tr>
      <w:tr w14:paraId="5A668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5E4006D5">
            <w:pPr>
              <w:pStyle w:val="133"/>
              <w:rPr>
                <w:color w:val="000000"/>
              </w:rPr>
            </w:pPr>
          </w:p>
        </w:tc>
        <w:tc>
          <w:tcPr>
            <w:tcW w:w="1652" w:type="dxa"/>
            <w:vAlign w:val="center"/>
          </w:tcPr>
          <w:p w14:paraId="595312D6">
            <w:pPr>
              <w:pStyle w:val="133"/>
              <w:rPr>
                <w:color w:val="000000"/>
              </w:rPr>
            </w:pPr>
            <w:r>
              <w:rPr>
                <w:rFonts w:hint="eastAsia"/>
                <w:color w:val="000000"/>
              </w:rPr>
              <w:t>比重</w:t>
            </w:r>
          </w:p>
        </w:tc>
        <w:tc>
          <w:tcPr>
            <w:tcW w:w="1221" w:type="dxa"/>
            <w:vAlign w:val="center"/>
          </w:tcPr>
          <w:p w14:paraId="63068670">
            <w:pPr>
              <w:pStyle w:val="133"/>
              <w:rPr>
                <w:color w:val="000000"/>
              </w:rPr>
            </w:pPr>
            <w:r>
              <w:rPr>
                <w:color w:val="000000"/>
              </w:rPr>
              <w:t>1.295</w:t>
            </w:r>
          </w:p>
          <w:p w14:paraId="0C6069B5">
            <w:pPr>
              <w:pStyle w:val="133"/>
              <w:rPr>
                <w:color w:val="000000"/>
              </w:rPr>
            </w:pPr>
            <w:r>
              <w:rPr>
                <w:color w:val="000000"/>
              </w:rPr>
              <w:t>kg/Nm³</w:t>
            </w:r>
          </w:p>
        </w:tc>
        <w:tc>
          <w:tcPr>
            <w:tcW w:w="2743" w:type="dxa"/>
            <w:gridSpan w:val="3"/>
            <w:vAlign w:val="center"/>
          </w:tcPr>
          <w:p w14:paraId="69C3F142">
            <w:pPr>
              <w:pStyle w:val="133"/>
              <w:rPr>
                <w:color w:val="000000"/>
              </w:rPr>
            </w:pPr>
            <w:r>
              <w:rPr>
                <w:rFonts w:hint="eastAsia"/>
                <w:color w:val="000000"/>
              </w:rPr>
              <w:t>燃烧热</w:t>
            </w:r>
          </w:p>
        </w:tc>
        <w:tc>
          <w:tcPr>
            <w:tcW w:w="2959" w:type="dxa"/>
            <w:vAlign w:val="center"/>
          </w:tcPr>
          <w:p w14:paraId="1D0B6D23">
            <w:pPr>
              <w:pStyle w:val="133"/>
              <w:rPr>
                <w:color w:val="000000"/>
              </w:rPr>
            </w:pPr>
            <w:r>
              <w:rPr>
                <w:color w:val="000000"/>
              </w:rPr>
              <w:t>7100kJ/Nm³</w:t>
            </w:r>
          </w:p>
        </w:tc>
      </w:tr>
      <w:tr w14:paraId="7DC36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2AD709E6">
            <w:pPr>
              <w:pStyle w:val="133"/>
              <w:rPr>
                <w:color w:val="000000"/>
              </w:rPr>
            </w:pPr>
          </w:p>
        </w:tc>
        <w:tc>
          <w:tcPr>
            <w:tcW w:w="1652" w:type="dxa"/>
            <w:vAlign w:val="center"/>
          </w:tcPr>
          <w:p w14:paraId="16A3768D">
            <w:pPr>
              <w:pStyle w:val="133"/>
              <w:rPr>
                <w:color w:val="000000"/>
              </w:rPr>
            </w:pPr>
            <w:r>
              <w:rPr>
                <w:color w:val="000000"/>
              </w:rPr>
              <w:t>溶解性</w:t>
            </w:r>
          </w:p>
        </w:tc>
        <w:tc>
          <w:tcPr>
            <w:tcW w:w="6923" w:type="dxa"/>
            <w:gridSpan w:val="5"/>
            <w:vAlign w:val="center"/>
          </w:tcPr>
          <w:p w14:paraId="1807C954">
            <w:pPr>
              <w:pStyle w:val="133"/>
              <w:rPr>
                <w:color w:val="000000"/>
              </w:rPr>
            </w:pPr>
            <w:r>
              <w:rPr>
                <w:rFonts w:hint="eastAsia"/>
                <w:color w:val="000000"/>
              </w:rPr>
              <w:t>微溶于水、溶于乙醇、苯等多数有机溶剂。</w:t>
            </w:r>
          </w:p>
        </w:tc>
      </w:tr>
      <w:tr w14:paraId="034B3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restart"/>
            <w:vAlign w:val="center"/>
          </w:tcPr>
          <w:p w14:paraId="4C6BED66">
            <w:pPr>
              <w:pStyle w:val="133"/>
              <w:rPr>
                <w:color w:val="000000"/>
              </w:rPr>
            </w:pPr>
            <w:r>
              <w:rPr>
                <w:rFonts w:hint="eastAsia"/>
                <w:color w:val="000000"/>
              </w:rPr>
              <w:t>稳定性</w:t>
            </w:r>
            <w:r>
              <w:rPr>
                <w:color w:val="000000"/>
              </w:rPr>
              <w:t>及健康危害</w:t>
            </w:r>
          </w:p>
        </w:tc>
        <w:tc>
          <w:tcPr>
            <w:tcW w:w="1652" w:type="dxa"/>
            <w:vAlign w:val="center"/>
          </w:tcPr>
          <w:p w14:paraId="637F2E68">
            <w:pPr>
              <w:pStyle w:val="133"/>
              <w:rPr>
                <w:color w:val="000000"/>
              </w:rPr>
            </w:pPr>
            <w:r>
              <w:rPr>
                <w:rFonts w:hint="eastAsia"/>
                <w:color w:val="000000"/>
              </w:rPr>
              <w:t>稳定性</w:t>
            </w:r>
          </w:p>
        </w:tc>
        <w:tc>
          <w:tcPr>
            <w:tcW w:w="6923" w:type="dxa"/>
            <w:gridSpan w:val="5"/>
            <w:vAlign w:val="center"/>
          </w:tcPr>
          <w:p w14:paraId="21242925">
            <w:pPr>
              <w:pStyle w:val="133"/>
              <w:rPr>
                <w:color w:val="000000"/>
              </w:rPr>
            </w:pPr>
            <w:r>
              <w:rPr>
                <w:rFonts w:hint="eastAsia"/>
                <w:color w:val="000000"/>
              </w:rPr>
              <w:t>稳定</w:t>
            </w:r>
          </w:p>
        </w:tc>
      </w:tr>
      <w:tr w14:paraId="56BE4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768AEA92">
            <w:pPr>
              <w:pStyle w:val="133"/>
              <w:rPr>
                <w:color w:val="000000"/>
              </w:rPr>
            </w:pPr>
          </w:p>
        </w:tc>
        <w:tc>
          <w:tcPr>
            <w:tcW w:w="1652" w:type="dxa"/>
            <w:vAlign w:val="center"/>
          </w:tcPr>
          <w:p w14:paraId="4A55E93D">
            <w:pPr>
              <w:pStyle w:val="133"/>
              <w:rPr>
                <w:color w:val="000000"/>
              </w:rPr>
            </w:pPr>
            <w:r>
              <w:rPr>
                <w:color w:val="000000"/>
              </w:rPr>
              <w:t>健康危害</w:t>
            </w:r>
          </w:p>
        </w:tc>
        <w:tc>
          <w:tcPr>
            <w:tcW w:w="6923" w:type="dxa"/>
            <w:gridSpan w:val="5"/>
            <w:vAlign w:val="center"/>
          </w:tcPr>
          <w:p w14:paraId="5CE19FDA">
            <w:pPr>
              <w:pStyle w:val="133"/>
              <w:rPr>
                <w:color w:val="000000"/>
              </w:rPr>
            </w:pPr>
            <w:r>
              <w:rPr>
                <w:rFonts w:hint="eastAsia"/>
                <w:color w:val="000000"/>
              </w:rPr>
              <w:t>煤气中的一氧化碳在血液中与血红蛋白结合而造成组织缺氧。急性中毒：轻度中毒者出现头痛、头晕、耳鸣、心悸、恶心、呕吐、无力，血液碳氧血红蛋白浓度可高于10%；中度中毒者除上述症状外，还有皮肤黏膜呈樱红色、脉快、烦躁、步态不稳、浅至中度昏迷，血液碳氧血红蛋白浓度可高于30%；重度患者浓度昏迷、瞳孔缩小、肌张力增强、频繁抽搐、大小便失禁、休克、肺水肿、严重心肌损害等，血液碳氧血红蛋白浓度可高于50%。部分患者昏迷苏醒后，约经2～60天的症状缓解期后，又可能出现迟发性脑病，以意识精神障碍、锥体系或锥体外系损害为主。慢性影响：能否造成慢性中毒及对心血管影响无定论。</w:t>
            </w:r>
          </w:p>
        </w:tc>
      </w:tr>
      <w:tr w14:paraId="492D2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restart"/>
            <w:vAlign w:val="center"/>
          </w:tcPr>
          <w:p w14:paraId="5DC72877">
            <w:pPr>
              <w:pStyle w:val="133"/>
              <w:rPr>
                <w:color w:val="000000"/>
              </w:rPr>
            </w:pPr>
            <w:r>
              <w:rPr>
                <w:color w:val="000000"/>
              </w:rPr>
              <w:t>燃烧爆炸危险性</w:t>
            </w:r>
          </w:p>
        </w:tc>
        <w:tc>
          <w:tcPr>
            <w:tcW w:w="1652" w:type="dxa"/>
            <w:vAlign w:val="center"/>
          </w:tcPr>
          <w:p w14:paraId="3C684216">
            <w:pPr>
              <w:pStyle w:val="133"/>
              <w:rPr>
                <w:color w:val="000000"/>
              </w:rPr>
            </w:pPr>
            <w:r>
              <w:rPr>
                <w:color w:val="000000"/>
              </w:rPr>
              <w:t>燃烧性</w:t>
            </w:r>
          </w:p>
        </w:tc>
        <w:tc>
          <w:tcPr>
            <w:tcW w:w="1665" w:type="dxa"/>
            <w:gridSpan w:val="2"/>
            <w:vAlign w:val="center"/>
          </w:tcPr>
          <w:p w14:paraId="06BC0C34">
            <w:pPr>
              <w:pStyle w:val="133"/>
              <w:rPr>
                <w:color w:val="000000"/>
              </w:rPr>
            </w:pPr>
            <w:r>
              <w:rPr>
                <w:rFonts w:hint="eastAsia"/>
                <w:color w:val="000000"/>
              </w:rPr>
              <w:t>易</w:t>
            </w:r>
            <w:r>
              <w:rPr>
                <w:color w:val="000000"/>
              </w:rPr>
              <w:t>燃</w:t>
            </w:r>
          </w:p>
        </w:tc>
        <w:tc>
          <w:tcPr>
            <w:tcW w:w="2067" w:type="dxa"/>
            <w:vAlign w:val="center"/>
          </w:tcPr>
          <w:p w14:paraId="772CE1EE">
            <w:pPr>
              <w:pStyle w:val="133"/>
              <w:rPr>
                <w:color w:val="000000"/>
              </w:rPr>
            </w:pPr>
            <w:r>
              <w:rPr>
                <w:rFonts w:hint="eastAsia"/>
                <w:color w:val="000000"/>
              </w:rPr>
              <w:t>燃爆危害</w:t>
            </w:r>
          </w:p>
        </w:tc>
        <w:tc>
          <w:tcPr>
            <w:tcW w:w="3191" w:type="dxa"/>
            <w:gridSpan w:val="2"/>
            <w:vAlign w:val="center"/>
          </w:tcPr>
          <w:p w14:paraId="0FE46CC3">
            <w:pPr>
              <w:pStyle w:val="133"/>
              <w:rPr>
                <w:color w:val="000000"/>
              </w:rPr>
            </w:pPr>
            <w:r>
              <w:rPr>
                <w:rFonts w:hint="eastAsia"/>
                <w:color w:val="000000"/>
              </w:rPr>
              <w:t>有燃爆危险</w:t>
            </w:r>
          </w:p>
        </w:tc>
      </w:tr>
      <w:tr w14:paraId="31476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653F73C9">
            <w:pPr>
              <w:pStyle w:val="133"/>
              <w:rPr>
                <w:color w:val="000000"/>
              </w:rPr>
            </w:pPr>
          </w:p>
        </w:tc>
        <w:tc>
          <w:tcPr>
            <w:tcW w:w="1652" w:type="dxa"/>
            <w:vAlign w:val="center"/>
          </w:tcPr>
          <w:p w14:paraId="4E49C999">
            <w:pPr>
              <w:pStyle w:val="133"/>
              <w:rPr>
                <w:color w:val="000000"/>
              </w:rPr>
            </w:pPr>
            <w:r>
              <w:rPr>
                <w:rFonts w:hint="eastAsia"/>
                <w:color w:val="000000"/>
              </w:rPr>
              <w:t>侵入途径</w:t>
            </w:r>
          </w:p>
        </w:tc>
        <w:tc>
          <w:tcPr>
            <w:tcW w:w="6923" w:type="dxa"/>
            <w:gridSpan w:val="5"/>
            <w:vAlign w:val="center"/>
          </w:tcPr>
          <w:p w14:paraId="7FC7DBC7">
            <w:pPr>
              <w:pStyle w:val="133"/>
              <w:rPr>
                <w:color w:val="EE0000"/>
              </w:rPr>
            </w:pPr>
            <w:r>
              <w:rPr>
                <w:rFonts w:hint="eastAsia"/>
                <w:color w:val="000000"/>
              </w:rPr>
              <w:t>吸入</w:t>
            </w:r>
          </w:p>
        </w:tc>
      </w:tr>
      <w:tr w14:paraId="3E0B6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1A969556">
            <w:pPr>
              <w:pStyle w:val="133"/>
              <w:rPr>
                <w:color w:val="000000"/>
              </w:rPr>
            </w:pPr>
          </w:p>
        </w:tc>
        <w:tc>
          <w:tcPr>
            <w:tcW w:w="1652" w:type="dxa"/>
            <w:vAlign w:val="center"/>
          </w:tcPr>
          <w:p w14:paraId="1DEBB326">
            <w:pPr>
              <w:pStyle w:val="133"/>
              <w:rPr>
                <w:color w:val="000000"/>
              </w:rPr>
            </w:pPr>
            <w:r>
              <w:rPr>
                <w:color w:val="000000"/>
              </w:rPr>
              <w:t>危险特性</w:t>
            </w:r>
          </w:p>
        </w:tc>
        <w:tc>
          <w:tcPr>
            <w:tcW w:w="6923" w:type="dxa"/>
            <w:gridSpan w:val="5"/>
            <w:vAlign w:val="center"/>
          </w:tcPr>
          <w:p w14:paraId="76448767">
            <w:pPr>
              <w:pStyle w:val="133"/>
              <w:rPr>
                <w:color w:val="000000"/>
              </w:rPr>
            </w:pPr>
            <w:r>
              <w:rPr>
                <w:rFonts w:hint="eastAsia"/>
                <w:color w:val="000000"/>
              </w:rPr>
              <w:t>是一种易燃易爆气体。与空气混合能形成爆炸性混合物，遇明火、高热能引起燃烧爆炸。</w:t>
            </w:r>
          </w:p>
        </w:tc>
      </w:tr>
      <w:tr w14:paraId="7D3BD3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56C875D3">
            <w:pPr>
              <w:pStyle w:val="133"/>
              <w:rPr>
                <w:color w:val="000000"/>
              </w:rPr>
            </w:pPr>
          </w:p>
        </w:tc>
        <w:tc>
          <w:tcPr>
            <w:tcW w:w="1652" w:type="dxa"/>
            <w:vAlign w:val="center"/>
          </w:tcPr>
          <w:p w14:paraId="635D0268">
            <w:pPr>
              <w:pStyle w:val="133"/>
              <w:rPr>
                <w:color w:val="000000"/>
              </w:rPr>
            </w:pPr>
            <w:r>
              <w:rPr>
                <w:rFonts w:hint="eastAsia"/>
                <w:color w:val="000000"/>
              </w:rPr>
              <w:t>灭火方法及</w:t>
            </w:r>
          </w:p>
          <w:p w14:paraId="0232390F">
            <w:pPr>
              <w:pStyle w:val="133"/>
              <w:rPr>
                <w:color w:val="000000"/>
              </w:rPr>
            </w:pPr>
            <w:r>
              <w:rPr>
                <w:rFonts w:hint="eastAsia"/>
                <w:color w:val="000000"/>
              </w:rPr>
              <w:t>灭火剂</w:t>
            </w:r>
          </w:p>
        </w:tc>
        <w:tc>
          <w:tcPr>
            <w:tcW w:w="6923" w:type="dxa"/>
            <w:gridSpan w:val="5"/>
            <w:vAlign w:val="center"/>
          </w:tcPr>
          <w:p w14:paraId="5BC3AFCB">
            <w:pPr>
              <w:pStyle w:val="133"/>
              <w:rPr>
                <w:color w:val="000000"/>
              </w:rPr>
            </w:pPr>
            <w:r>
              <w:rPr>
                <w:rFonts w:hint="eastAsia"/>
                <w:color w:val="000000"/>
              </w:rPr>
              <w:t>雾状水、泡沫、二氧化碳、干粉。</w:t>
            </w:r>
          </w:p>
        </w:tc>
      </w:tr>
      <w:tr w14:paraId="662CF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Align w:val="center"/>
          </w:tcPr>
          <w:p w14:paraId="7B21E47A">
            <w:pPr>
              <w:pStyle w:val="133"/>
              <w:rPr>
                <w:color w:val="000000"/>
              </w:rPr>
            </w:pPr>
            <w:r>
              <w:rPr>
                <w:rFonts w:hint="eastAsia"/>
                <w:color w:val="000000"/>
              </w:rPr>
              <w:t>泄漏应急处理</w:t>
            </w:r>
          </w:p>
        </w:tc>
        <w:tc>
          <w:tcPr>
            <w:tcW w:w="8575" w:type="dxa"/>
            <w:gridSpan w:val="6"/>
            <w:vAlign w:val="center"/>
          </w:tcPr>
          <w:p w14:paraId="5E4708E4">
            <w:pPr>
              <w:pStyle w:val="133"/>
              <w:rPr>
                <w:color w:val="000000"/>
              </w:rPr>
            </w:pPr>
            <w:r>
              <w:rPr>
                <w:rFonts w:hint="eastAsia"/>
                <w:color w:val="000000"/>
              </w:rPr>
              <w:t>迅速撤离泄露污染区人员至上风处，并立即隔离150m，严格限制出入。切断火源。建议应急处理人员戴自给正压式呼吸器，穿消防防护服。尽可能切断泄露源。合理通风，加速扩散。喷物状水稀释，溶解。构筑围堤或挖坑收容生产的大量废水。如有可能，将漏出气用排风机送至空旷地方或装设适当喷头烧掉。也可用管路导至炉中、凹地焚之。漏气容器要妥善处理，检修、检验后再用。</w:t>
            </w:r>
          </w:p>
        </w:tc>
      </w:tr>
      <w:tr w14:paraId="39674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restart"/>
            <w:vAlign w:val="center"/>
          </w:tcPr>
          <w:p w14:paraId="65A5609A">
            <w:pPr>
              <w:pStyle w:val="133"/>
              <w:rPr>
                <w:rFonts w:cs="Times New Roman"/>
                <w:color w:val="000000"/>
                <w:szCs w:val="21"/>
              </w:rPr>
            </w:pPr>
            <w:r>
              <w:rPr>
                <w:rFonts w:hint="eastAsia" w:cs="Times New Roman"/>
                <w:color w:val="000000"/>
                <w:szCs w:val="21"/>
              </w:rPr>
              <w:t>防</w:t>
            </w:r>
          </w:p>
          <w:p w14:paraId="1477CEFC">
            <w:pPr>
              <w:pStyle w:val="133"/>
              <w:rPr>
                <w:rFonts w:cs="Times New Roman"/>
                <w:color w:val="000000"/>
                <w:szCs w:val="21"/>
              </w:rPr>
            </w:pPr>
            <w:r>
              <w:rPr>
                <w:rFonts w:hint="eastAsia" w:cs="Times New Roman"/>
                <w:color w:val="000000"/>
                <w:szCs w:val="21"/>
              </w:rPr>
              <w:t>护</w:t>
            </w:r>
          </w:p>
          <w:p w14:paraId="534C679F">
            <w:pPr>
              <w:pStyle w:val="133"/>
              <w:rPr>
                <w:rFonts w:cs="Times New Roman"/>
                <w:color w:val="000000"/>
                <w:szCs w:val="21"/>
              </w:rPr>
            </w:pPr>
            <w:r>
              <w:rPr>
                <w:rFonts w:hint="eastAsia" w:cs="Times New Roman"/>
                <w:color w:val="000000"/>
                <w:szCs w:val="21"/>
              </w:rPr>
              <w:t>措</w:t>
            </w:r>
          </w:p>
          <w:p w14:paraId="353022F1">
            <w:pPr>
              <w:pStyle w:val="133"/>
              <w:rPr>
                <w:color w:val="EE0000"/>
              </w:rPr>
            </w:pPr>
            <w:r>
              <w:rPr>
                <w:rFonts w:hint="eastAsia" w:cs="Times New Roman"/>
                <w:color w:val="000000"/>
                <w:szCs w:val="21"/>
              </w:rPr>
              <w:t>施</w:t>
            </w:r>
          </w:p>
        </w:tc>
        <w:tc>
          <w:tcPr>
            <w:tcW w:w="1652" w:type="dxa"/>
            <w:vAlign w:val="center"/>
          </w:tcPr>
          <w:p w14:paraId="12B94BC6">
            <w:pPr>
              <w:pStyle w:val="133"/>
              <w:rPr>
                <w:color w:val="EE0000"/>
              </w:rPr>
            </w:pPr>
            <w:r>
              <w:rPr>
                <w:rFonts w:hint="eastAsia" w:cs="Times New Roman"/>
                <w:color w:val="000000"/>
                <w:szCs w:val="21"/>
              </w:rPr>
              <w:t>呼吸系统防护</w:t>
            </w:r>
          </w:p>
        </w:tc>
        <w:tc>
          <w:tcPr>
            <w:tcW w:w="6923" w:type="dxa"/>
            <w:gridSpan w:val="5"/>
            <w:vAlign w:val="center"/>
          </w:tcPr>
          <w:p w14:paraId="699CA4B2">
            <w:pPr>
              <w:pStyle w:val="133"/>
              <w:rPr>
                <w:rFonts w:cs="Times New Roman"/>
                <w:color w:val="000000"/>
                <w:szCs w:val="21"/>
              </w:rPr>
            </w:pPr>
            <w:r>
              <w:rPr>
                <w:rFonts w:hint="eastAsia" w:cs="Times New Roman"/>
                <w:color w:val="000000"/>
                <w:szCs w:val="21"/>
              </w:rPr>
              <w:t>空气中浓度超标时，佩戴自吸过滤式防毒面具（半面罩）。紧急事态抢救或撤离时，建议佩戴氧气呼吸器、一氧化碳过滤式自救器。</w:t>
            </w:r>
          </w:p>
        </w:tc>
      </w:tr>
      <w:tr w14:paraId="7BECE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49727358">
            <w:pPr>
              <w:pStyle w:val="133"/>
              <w:rPr>
                <w:color w:val="EE0000"/>
              </w:rPr>
            </w:pPr>
          </w:p>
        </w:tc>
        <w:tc>
          <w:tcPr>
            <w:tcW w:w="1652" w:type="dxa"/>
            <w:vAlign w:val="center"/>
          </w:tcPr>
          <w:p w14:paraId="46BFE4AA">
            <w:pPr>
              <w:pStyle w:val="133"/>
              <w:rPr>
                <w:color w:val="EE0000"/>
              </w:rPr>
            </w:pPr>
            <w:r>
              <w:rPr>
                <w:rFonts w:hint="eastAsia" w:cs="Times New Roman"/>
                <w:color w:val="000000"/>
                <w:szCs w:val="21"/>
              </w:rPr>
              <w:t>眼睛防护</w:t>
            </w:r>
          </w:p>
        </w:tc>
        <w:tc>
          <w:tcPr>
            <w:tcW w:w="6923" w:type="dxa"/>
            <w:gridSpan w:val="5"/>
            <w:vAlign w:val="center"/>
          </w:tcPr>
          <w:p w14:paraId="4AB42499">
            <w:pPr>
              <w:pStyle w:val="133"/>
              <w:rPr>
                <w:color w:val="EE0000"/>
              </w:rPr>
            </w:pPr>
            <w:r>
              <w:rPr>
                <w:rFonts w:hint="eastAsia" w:cs="Times New Roman"/>
                <w:color w:val="000000"/>
                <w:szCs w:val="21"/>
              </w:rPr>
              <w:t>一般不需要特殊防护，高浓度接触时可戴安全防护眼镜。</w:t>
            </w:r>
          </w:p>
        </w:tc>
      </w:tr>
      <w:tr w14:paraId="3482EF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4BAA0D60">
            <w:pPr>
              <w:pStyle w:val="133"/>
              <w:rPr>
                <w:color w:val="EE0000"/>
              </w:rPr>
            </w:pPr>
          </w:p>
        </w:tc>
        <w:tc>
          <w:tcPr>
            <w:tcW w:w="1652" w:type="dxa"/>
            <w:vAlign w:val="center"/>
          </w:tcPr>
          <w:p w14:paraId="55D0018D">
            <w:pPr>
              <w:pStyle w:val="133"/>
              <w:rPr>
                <w:color w:val="EE0000"/>
              </w:rPr>
            </w:pPr>
            <w:r>
              <w:rPr>
                <w:rFonts w:hint="eastAsia" w:cs="Times New Roman"/>
                <w:color w:val="000000"/>
                <w:szCs w:val="21"/>
              </w:rPr>
              <w:t>身体防护</w:t>
            </w:r>
          </w:p>
        </w:tc>
        <w:tc>
          <w:tcPr>
            <w:tcW w:w="6923" w:type="dxa"/>
            <w:gridSpan w:val="5"/>
            <w:vAlign w:val="center"/>
          </w:tcPr>
          <w:p w14:paraId="27D86AB8">
            <w:pPr>
              <w:pStyle w:val="133"/>
              <w:rPr>
                <w:color w:val="EE0000"/>
              </w:rPr>
            </w:pPr>
            <w:r>
              <w:rPr>
                <w:rFonts w:hint="eastAsia" w:cs="Times New Roman"/>
                <w:color w:val="000000"/>
                <w:szCs w:val="21"/>
              </w:rPr>
              <w:t>穿防静电工作服。</w:t>
            </w:r>
          </w:p>
        </w:tc>
      </w:tr>
      <w:tr w14:paraId="77A84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1E228037">
            <w:pPr>
              <w:pStyle w:val="133"/>
              <w:rPr>
                <w:color w:val="EE0000"/>
              </w:rPr>
            </w:pPr>
          </w:p>
        </w:tc>
        <w:tc>
          <w:tcPr>
            <w:tcW w:w="1652" w:type="dxa"/>
            <w:vAlign w:val="center"/>
          </w:tcPr>
          <w:p w14:paraId="2C9D7667">
            <w:pPr>
              <w:pStyle w:val="133"/>
              <w:rPr>
                <w:color w:val="EE0000"/>
              </w:rPr>
            </w:pPr>
            <w:r>
              <w:rPr>
                <w:rFonts w:hint="eastAsia" w:cs="Times New Roman"/>
                <w:color w:val="000000"/>
                <w:szCs w:val="21"/>
              </w:rPr>
              <w:t>手防护</w:t>
            </w:r>
          </w:p>
        </w:tc>
        <w:tc>
          <w:tcPr>
            <w:tcW w:w="6923" w:type="dxa"/>
            <w:gridSpan w:val="5"/>
            <w:vAlign w:val="center"/>
          </w:tcPr>
          <w:p w14:paraId="2FD41EA4">
            <w:pPr>
              <w:pStyle w:val="133"/>
              <w:rPr>
                <w:color w:val="EE0000"/>
              </w:rPr>
            </w:pPr>
            <w:r>
              <w:rPr>
                <w:rFonts w:hint="eastAsia" w:cs="Times New Roman"/>
                <w:color w:val="000000"/>
                <w:szCs w:val="21"/>
              </w:rPr>
              <w:t>戴一般作业防护手套。</w:t>
            </w:r>
          </w:p>
        </w:tc>
      </w:tr>
      <w:tr w14:paraId="39118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0EFF8845">
            <w:pPr>
              <w:pStyle w:val="133"/>
              <w:rPr>
                <w:color w:val="EE0000"/>
              </w:rPr>
            </w:pPr>
          </w:p>
        </w:tc>
        <w:tc>
          <w:tcPr>
            <w:tcW w:w="1652" w:type="dxa"/>
            <w:vAlign w:val="center"/>
          </w:tcPr>
          <w:p w14:paraId="7C1B88B8">
            <w:pPr>
              <w:pStyle w:val="133"/>
              <w:rPr>
                <w:color w:val="EE0000"/>
              </w:rPr>
            </w:pPr>
            <w:r>
              <w:rPr>
                <w:rFonts w:hint="eastAsia" w:cs="Times New Roman"/>
                <w:color w:val="000000"/>
                <w:szCs w:val="21"/>
              </w:rPr>
              <w:t>其他防护</w:t>
            </w:r>
          </w:p>
        </w:tc>
        <w:tc>
          <w:tcPr>
            <w:tcW w:w="6923" w:type="dxa"/>
            <w:gridSpan w:val="5"/>
            <w:vAlign w:val="center"/>
          </w:tcPr>
          <w:p w14:paraId="4758E9E3">
            <w:pPr>
              <w:pStyle w:val="133"/>
              <w:rPr>
                <w:rFonts w:cs="Times New Roman"/>
                <w:color w:val="000000"/>
                <w:szCs w:val="21"/>
              </w:rPr>
            </w:pPr>
            <w:r>
              <w:rPr>
                <w:rFonts w:hint="eastAsia" w:cs="Times New Roman"/>
                <w:color w:val="000000"/>
                <w:szCs w:val="21"/>
              </w:rPr>
              <w:t>工作场所禁止吸烟。实行就业前和定期的体检。避免高浓度吸入。进入罐、限制性空间或其它高浓度区作业，须有人监护。</w:t>
            </w:r>
          </w:p>
        </w:tc>
      </w:tr>
      <w:tr w14:paraId="3B0BE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4" w:type="dxa"/>
            <w:vMerge w:val="continue"/>
            <w:vAlign w:val="center"/>
          </w:tcPr>
          <w:p w14:paraId="71068C13">
            <w:pPr>
              <w:pStyle w:val="133"/>
              <w:rPr>
                <w:color w:val="EE0000"/>
              </w:rPr>
            </w:pPr>
          </w:p>
        </w:tc>
        <w:tc>
          <w:tcPr>
            <w:tcW w:w="1652" w:type="dxa"/>
            <w:vAlign w:val="center"/>
          </w:tcPr>
          <w:p w14:paraId="2338982F">
            <w:pPr>
              <w:pStyle w:val="133"/>
              <w:rPr>
                <w:rFonts w:cs="Times New Roman"/>
                <w:color w:val="000000"/>
                <w:szCs w:val="21"/>
              </w:rPr>
            </w:pPr>
            <w:r>
              <w:rPr>
                <w:rFonts w:hint="eastAsia" w:cs="Times New Roman"/>
                <w:color w:val="000000"/>
                <w:szCs w:val="21"/>
              </w:rPr>
              <w:t>吸入</w:t>
            </w:r>
          </w:p>
        </w:tc>
        <w:tc>
          <w:tcPr>
            <w:tcW w:w="6923" w:type="dxa"/>
            <w:gridSpan w:val="5"/>
            <w:vAlign w:val="center"/>
          </w:tcPr>
          <w:p w14:paraId="4D33107A">
            <w:pPr>
              <w:pStyle w:val="133"/>
              <w:rPr>
                <w:rFonts w:cs="Times New Roman"/>
                <w:color w:val="000000"/>
                <w:szCs w:val="21"/>
              </w:rPr>
            </w:pPr>
            <w:r>
              <w:rPr>
                <w:rFonts w:hint="eastAsia" w:cs="Times New Roman"/>
                <w:color w:val="000000"/>
                <w:szCs w:val="21"/>
              </w:rPr>
              <w:t>脱离现场至空气新鲜处，保护呼吸道通畅。如呼吸困难，给输氧，呼吸心跳停止时，立即进行人工呼吸和胸外心脏按压术。就医。</w:t>
            </w:r>
          </w:p>
        </w:tc>
      </w:tr>
    </w:tbl>
    <w:p w14:paraId="523C58C0">
      <w:pPr>
        <w:pStyle w:val="38"/>
        <w:ind w:firstLine="480"/>
      </w:pPr>
    </w:p>
    <w:p w14:paraId="70259A82">
      <w:pPr>
        <w:pStyle w:val="118"/>
        <w:ind w:firstLine="480"/>
      </w:pPr>
      <w:r>
        <w:rPr>
          <w:rFonts w:hint="eastAsia"/>
        </w:rPr>
        <w:t>表7.5-2    一氧化碳理化性质及危险特性表</w:t>
      </w:r>
    </w:p>
    <w:tbl>
      <w:tblPr>
        <w:tblStyle w:val="6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327"/>
        <w:gridCol w:w="2443"/>
        <w:gridCol w:w="327"/>
        <w:gridCol w:w="3494"/>
      </w:tblGrid>
      <w:tr w14:paraId="262CE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14:paraId="6DA5687B">
            <w:pPr>
              <w:pStyle w:val="133"/>
              <w:rPr>
                <w:color w:val="000000"/>
              </w:rPr>
            </w:pPr>
            <w:r>
              <w:rPr>
                <w:rFonts w:hint="eastAsia"/>
                <w:color w:val="000000"/>
              </w:rPr>
              <w:t>标识</w:t>
            </w:r>
          </w:p>
        </w:tc>
        <w:tc>
          <w:tcPr>
            <w:tcW w:w="8382" w:type="dxa"/>
            <w:gridSpan w:val="4"/>
            <w:vAlign w:val="center"/>
          </w:tcPr>
          <w:p w14:paraId="7DA62F3D">
            <w:pPr>
              <w:pStyle w:val="133"/>
              <w:rPr>
                <w:color w:val="000000"/>
              </w:rPr>
            </w:pPr>
            <w:r>
              <w:rPr>
                <w:rFonts w:hint="eastAsia"/>
                <w:color w:val="000000"/>
              </w:rPr>
              <w:t>中文名：一氧化碳；英文名：</w:t>
            </w:r>
            <w:r>
              <w:rPr>
                <w:color w:val="000000"/>
              </w:rPr>
              <w:t>Carbon monoxide</w:t>
            </w:r>
            <w:r>
              <w:rPr>
                <w:rFonts w:hint="eastAsia"/>
                <w:color w:val="000000"/>
              </w:rPr>
              <w:t>；分子式：</w:t>
            </w:r>
            <w:r>
              <w:rPr>
                <w:color w:val="000000"/>
              </w:rPr>
              <w:t>CO</w:t>
            </w:r>
            <w:r>
              <w:rPr>
                <w:rFonts w:hint="eastAsia"/>
                <w:color w:val="000000"/>
              </w:rPr>
              <w:t>；</w:t>
            </w:r>
          </w:p>
          <w:p w14:paraId="6B6F4167">
            <w:pPr>
              <w:pStyle w:val="133"/>
              <w:rPr>
                <w:color w:val="000000"/>
              </w:rPr>
            </w:pPr>
            <w:r>
              <w:rPr>
                <w:rFonts w:hint="eastAsia"/>
                <w:color w:val="000000"/>
              </w:rPr>
              <w:t>分子量：</w:t>
            </w:r>
            <w:r>
              <w:rPr>
                <w:color w:val="000000"/>
              </w:rPr>
              <w:t>28.01</w:t>
            </w:r>
            <w:r>
              <w:rPr>
                <w:rFonts w:hint="eastAsia"/>
                <w:color w:val="000000"/>
              </w:rPr>
              <w:t>；危险性类别：第</w:t>
            </w:r>
            <w:r>
              <w:rPr>
                <w:color w:val="000000"/>
              </w:rPr>
              <w:t>2.2</w:t>
            </w:r>
            <w:r>
              <w:rPr>
                <w:rFonts w:hint="eastAsia"/>
                <w:color w:val="000000"/>
              </w:rPr>
              <w:t>类易燃气体；</w:t>
            </w:r>
            <w:r>
              <w:rPr>
                <w:color w:val="000000"/>
              </w:rPr>
              <w:t>CAS</w:t>
            </w:r>
            <w:r>
              <w:rPr>
                <w:rFonts w:hint="eastAsia"/>
                <w:color w:val="000000"/>
              </w:rPr>
              <w:t>：</w:t>
            </w:r>
            <w:r>
              <w:rPr>
                <w:color w:val="000000"/>
              </w:rPr>
              <w:t>630-08-0</w:t>
            </w:r>
            <w:r>
              <w:rPr>
                <w:rFonts w:hint="eastAsia"/>
                <w:color w:val="000000"/>
              </w:rPr>
              <w:t>；</w:t>
            </w:r>
          </w:p>
        </w:tc>
      </w:tr>
      <w:tr w14:paraId="21E28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14:paraId="2447FB31">
            <w:pPr>
              <w:pStyle w:val="133"/>
              <w:rPr>
                <w:color w:val="000000"/>
              </w:rPr>
            </w:pPr>
            <w:r>
              <w:rPr>
                <w:rFonts w:hint="eastAsia"/>
                <w:color w:val="000000"/>
              </w:rPr>
              <w:t>理化性质</w:t>
            </w:r>
          </w:p>
        </w:tc>
        <w:tc>
          <w:tcPr>
            <w:tcW w:w="8382" w:type="dxa"/>
            <w:gridSpan w:val="4"/>
            <w:vAlign w:val="center"/>
          </w:tcPr>
          <w:p w14:paraId="787C3D58">
            <w:pPr>
              <w:pStyle w:val="133"/>
              <w:rPr>
                <w:color w:val="000000"/>
              </w:rPr>
            </w:pPr>
            <w:r>
              <w:rPr>
                <w:rFonts w:hint="eastAsia"/>
                <w:color w:val="000000"/>
              </w:rPr>
              <w:t>外观与性状：无色无臭气体；溶解性：微溶于水，溶于乙醇、苯等多数有机溶剂；</w:t>
            </w:r>
          </w:p>
          <w:p w14:paraId="514A6229">
            <w:pPr>
              <w:pStyle w:val="133"/>
              <w:rPr>
                <w:color w:val="000000"/>
              </w:rPr>
            </w:pPr>
            <w:r>
              <w:rPr>
                <w:rFonts w:hint="eastAsia"/>
                <w:color w:val="000000"/>
              </w:rPr>
              <w:t>饱和蒸汽压（</w:t>
            </w:r>
            <w:r>
              <w:rPr>
                <w:color w:val="000000"/>
              </w:rPr>
              <w:t>Kpa</w:t>
            </w:r>
            <w:r>
              <w:rPr>
                <w:rFonts w:hint="eastAsia"/>
                <w:color w:val="000000"/>
              </w:rPr>
              <w:t>）：无资料；熔点</w:t>
            </w:r>
            <w:r>
              <w:rPr>
                <w:color w:val="000000"/>
              </w:rPr>
              <w:t>（</w:t>
            </w:r>
            <w:r>
              <w:rPr>
                <w:rFonts w:hint="eastAsia"/>
                <w:color w:val="000000"/>
              </w:rPr>
              <w:t>℃</w:t>
            </w:r>
            <w:r>
              <w:rPr>
                <w:color w:val="000000"/>
              </w:rPr>
              <w:t>）</w:t>
            </w:r>
            <w:r>
              <w:rPr>
                <w:rFonts w:hint="eastAsia"/>
                <w:color w:val="000000"/>
              </w:rPr>
              <w:t>：</w:t>
            </w:r>
            <w:r>
              <w:rPr>
                <w:color w:val="000000"/>
              </w:rPr>
              <w:t>-199.1</w:t>
            </w:r>
            <w:r>
              <w:rPr>
                <w:rFonts w:hint="eastAsia"/>
                <w:color w:val="000000"/>
              </w:rPr>
              <w:t>；沸点（℃）：</w:t>
            </w:r>
            <w:r>
              <w:rPr>
                <w:color w:val="000000"/>
              </w:rPr>
              <w:t>-191.4</w:t>
            </w:r>
            <w:r>
              <w:rPr>
                <w:rFonts w:hint="eastAsia"/>
                <w:color w:val="000000"/>
              </w:rPr>
              <w:t>；临界压力</w:t>
            </w:r>
            <w:r>
              <w:rPr>
                <w:color w:val="000000"/>
              </w:rPr>
              <w:t>（MPa）</w:t>
            </w:r>
            <w:r>
              <w:rPr>
                <w:rFonts w:hint="eastAsia"/>
                <w:color w:val="000000"/>
              </w:rPr>
              <w:t>：</w:t>
            </w:r>
            <w:r>
              <w:rPr>
                <w:color w:val="000000"/>
              </w:rPr>
              <w:t>3.5</w:t>
            </w:r>
            <w:r>
              <w:rPr>
                <w:rFonts w:hint="eastAsia"/>
                <w:color w:val="000000"/>
              </w:rPr>
              <w:t>；相对密度（水＝</w:t>
            </w:r>
            <w:r>
              <w:rPr>
                <w:color w:val="000000"/>
              </w:rPr>
              <w:t>1</w:t>
            </w:r>
            <w:r>
              <w:rPr>
                <w:rFonts w:hint="eastAsia"/>
                <w:color w:val="000000"/>
              </w:rPr>
              <w:t>）：</w:t>
            </w:r>
            <w:r>
              <w:rPr>
                <w:color w:val="000000"/>
              </w:rPr>
              <w:t>0.79</w:t>
            </w:r>
            <w:r>
              <w:rPr>
                <w:rFonts w:hint="eastAsia"/>
                <w:color w:val="000000"/>
              </w:rPr>
              <w:t>（空气＝</w:t>
            </w:r>
            <w:r>
              <w:rPr>
                <w:color w:val="000000"/>
              </w:rPr>
              <w:t>1</w:t>
            </w:r>
            <w:r>
              <w:rPr>
                <w:rFonts w:hint="eastAsia"/>
                <w:color w:val="000000"/>
              </w:rPr>
              <w:t>）：</w:t>
            </w:r>
            <w:r>
              <w:rPr>
                <w:color w:val="000000"/>
              </w:rPr>
              <w:t>0.97</w:t>
            </w:r>
            <w:r>
              <w:rPr>
                <w:rFonts w:hint="eastAsia"/>
                <w:color w:val="000000"/>
              </w:rPr>
              <w:t>；火险分级：乙类；</w:t>
            </w:r>
          </w:p>
          <w:p w14:paraId="2DA4AF37">
            <w:pPr>
              <w:pStyle w:val="133"/>
              <w:rPr>
                <w:color w:val="000000"/>
              </w:rPr>
            </w:pPr>
            <w:r>
              <w:rPr>
                <w:rFonts w:hint="eastAsia"/>
                <w:color w:val="000000"/>
              </w:rPr>
              <w:t>临界温度</w:t>
            </w:r>
            <w:r>
              <w:rPr>
                <w:color w:val="000000"/>
              </w:rPr>
              <w:t>（</w:t>
            </w:r>
            <w:r>
              <w:rPr>
                <w:rFonts w:hint="eastAsia"/>
                <w:color w:val="000000"/>
              </w:rPr>
              <w:t>℃</w:t>
            </w:r>
            <w:r>
              <w:rPr>
                <w:color w:val="000000"/>
              </w:rPr>
              <w:t>）</w:t>
            </w:r>
            <w:r>
              <w:rPr>
                <w:rFonts w:hint="eastAsia"/>
                <w:color w:val="000000"/>
              </w:rPr>
              <w:t>：</w:t>
            </w:r>
            <w:r>
              <w:rPr>
                <w:color w:val="000000"/>
              </w:rPr>
              <w:t>140</w:t>
            </w:r>
            <w:r>
              <w:rPr>
                <w:rFonts w:hint="eastAsia"/>
                <w:color w:val="000000"/>
              </w:rPr>
              <w:t>；</w:t>
            </w:r>
          </w:p>
        </w:tc>
      </w:tr>
      <w:tr w14:paraId="6285D2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restart"/>
            <w:vAlign w:val="center"/>
          </w:tcPr>
          <w:p w14:paraId="0B9B5BB0">
            <w:pPr>
              <w:pStyle w:val="133"/>
              <w:rPr>
                <w:color w:val="000000"/>
              </w:rPr>
            </w:pPr>
            <w:r>
              <w:rPr>
                <w:rFonts w:hint="eastAsia"/>
                <w:color w:val="000000"/>
              </w:rPr>
              <w:t>燃烧爆炸危险性</w:t>
            </w:r>
          </w:p>
        </w:tc>
        <w:tc>
          <w:tcPr>
            <w:tcW w:w="8382" w:type="dxa"/>
            <w:gridSpan w:val="4"/>
            <w:vAlign w:val="center"/>
          </w:tcPr>
          <w:p w14:paraId="6219141A">
            <w:pPr>
              <w:pStyle w:val="133"/>
              <w:rPr>
                <w:color w:val="000000"/>
              </w:rPr>
            </w:pPr>
            <w:r>
              <w:rPr>
                <w:rFonts w:hint="eastAsia"/>
                <w:color w:val="000000"/>
              </w:rPr>
              <w:t>燃烧性：易燃；自燃温度</w:t>
            </w:r>
            <w:r>
              <w:rPr>
                <w:color w:val="000000"/>
              </w:rPr>
              <w:t>（</w:t>
            </w:r>
            <w:r>
              <w:rPr>
                <w:rFonts w:hint="eastAsia"/>
                <w:color w:val="000000"/>
              </w:rPr>
              <w:t>℃</w:t>
            </w:r>
            <w:r>
              <w:rPr>
                <w:color w:val="000000"/>
              </w:rPr>
              <w:t>）</w:t>
            </w:r>
            <w:r>
              <w:rPr>
                <w:rFonts w:hint="eastAsia"/>
                <w:color w:val="000000"/>
              </w:rPr>
              <w:t>：</w:t>
            </w:r>
            <w:r>
              <w:rPr>
                <w:color w:val="000000"/>
              </w:rPr>
              <w:t>610</w:t>
            </w:r>
            <w:r>
              <w:rPr>
                <w:rFonts w:hint="eastAsia"/>
                <w:color w:val="000000"/>
              </w:rPr>
              <w:t>；闪点</w:t>
            </w:r>
            <w:r>
              <w:rPr>
                <w:color w:val="000000"/>
              </w:rPr>
              <w:t>（</w:t>
            </w:r>
            <w:r>
              <w:rPr>
                <w:rFonts w:hint="eastAsia"/>
                <w:color w:val="000000"/>
              </w:rPr>
              <w:t>℃</w:t>
            </w:r>
            <w:r>
              <w:rPr>
                <w:color w:val="000000"/>
              </w:rPr>
              <w:t>）</w:t>
            </w:r>
            <w:r>
              <w:rPr>
                <w:rFonts w:hint="eastAsia"/>
                <w:color w:val="000000"/>
              </w:rPr>
              <w:t>：</w:t>
            </w:r>
            <w:r>
              <w:rPr>
                <w:color w:val="000000"/>
              </w:rPr>
              <w:t>&lt;-50</w:t>
            </w:r>
            <w:r>
              <w:rPr>
                <w:rFonts w:hint="eastAsia"/>
                <w:color w:val="000000"/>
              </w:rPr>
              <w:t>；爆炸下限</w:t>
            </w:r>
            <w:r>
              <w:rPr>
                <w:color w:val="000000"/>
              </w:rPr>
              <w:t>（v%）</w:t>
            </w:r>
            <w:r>
              <w:rPr>
                <w:rFonts w:hint="eastAsia"/>
                <w:color w:val="000000"/>
              </w:rPr>
              <w:t>：</w:t>
            </w:r>
            <w:r>
              <w:rPr>
                <w:color w:val="000000"/>
              </w:rPr>
              <w:t>12.5</w:t>
            </w:r>
            <w:r>
              <w:rPr>
                <w:rFonts w:hint="eastAsia"/>
                <w:color w:val="000000"/>
              </w:rPr>
              <w:t>；</w:t>
            </w:r>
          </w:p>
          <w:p w14:paraId="772506E1">
            <w:pPr>
              <w:pStyle w:val="133"/>
              <w:rPr>
                <w:color w:val="000000"/>
              </w:rPr>
            </w:pPr>
            <w:r>
              <w:rPr>
                <w:rFonts w:hint="eastAsia"/>
                <w:color w:val="000000"/>
              </w:rPr>
              <w:t>爆炸上限</w:t>
            </w:r>
            <w:r>
              <w:rPr>
                <w:color w:val="000000"/>
              </w:rPr>
              <w:t>（%）</w:t>
            </w:r>
            <w:r>
              <w:rPr>
                <w:rFonts w:hint="eastAsia"/>
                <w:color w:val="000000"/>
              </w:rPr>
              <w:t>：</w:t>
            </w:r>
            <w:r>
              <w:rPr>
                <w:color w:val="000000"/>
              </w:rPr>
              <w:t>74.2</w:t>
            </w:r>
            <w:r>
              <w:rPr>
                <w:rFonts w:hint="eastAsia"/>
                <w:color w:val="000000"/>
              </w:rPr>
              <w:t>；燃烧（分解）产物：一氧化碳、二氧化碳</w:t>
            </w:r>
          </w:p>
        </w:tc>
      </w:tr>
      <w:tr w14:paraId="4A339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vAlign w:val="center"/>
          </w:tcPr>
          <w:p w14:paraId="42FBE118">
            <w:pPr>
              <w:pStyle w:val="133"/>
              <w:rPr>
                <w:color w:val="000000"/>
              </w:rPr>
            </w:pPr>
          </w:p>
        </w:tc>
        <w:tc>
          <w:tcPr>
            <w:tcW w:w="8382" w:type="dxa"/>
            <w:gridSpan w:val="4"/>
            <w:vAlign w:val="center"/>
          </w:tcPr>
          <w:p w14:paraId="53F71D80">
            <w:pPr>
              <w:pStyle w:val="133"/>
              <w:rPr>
                <w:color w:val="000000"/>
              </w:rPr>
            </w:pPr>
            <w:r>
              <w:rPr>
                <w:rFonts w:hint="eastAsia"/>
                <w:color w:val="000000"/>
              </w:rPr>
              <w:t>危险特性：与空气混合能形成爆炸性混合物，遇明火、高热能引起燃烧爆炸。若遇高热，容器内压增大，有开裂和爆炸的危险。</w:t>
            </w:r>
          </w:p>
        </w:tc>
      </w:tr>
      <w:tr w14:paraId="005CF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vAlign w:val="center"/>
          </w:tcPr>
          <w:p w14:paraId="376CC781">
            <w:pPr>
              <w:pStyle w:val="133"/>
              <w:rPr>
                <w:color w:val="000000"/>
              </w:rPr>
            </w:pPr>
          </w:p>
        </w:tc>
        <w:tc>
          <w:tcPr>
            <w:tcW w:w="2270" w:type="dxa"/>
            <w:vAlign w:val="center"/>
          </w:tcPr>
          <w:p w14:paraId="632E6086">
            <w:pPr>
              <w:pStyle w:val="133"/>
              <w:rPr>
                <w:color w:val="000000"/>
              </w:rPr>
            </w:pPr>
            <w:r>
              <w:rPr>
                <w:rFonts w:hint="eastAsia"/>
                <w:color w:val="000000"/>
              </w:rPr>
              <w:t>稳定性：稳定</w:t>
            </w:r>
          </w:p>
        </w:tc>
        <w:tc>
          <w:tcPr>
            <w:tcW w:w="2703" w:type="dxa"/>
            <w:gridSpan w:val="2"/>
            <w:vAlign w:val="center"/>
          </w:tcPr>
          <w:p w14:paraId="0539EB85">
            <w:pPr>
              <w:pStyle w:val="133"/>
              <w:rPr>
                <w:color w:val="000000"/>
              </w:rPr>
            </w:pPr>
            <w:r>
              <w:rPr>
                <w:rFonts w:hint="eastAsia"/>
                <w:color w:val="000000"/>
              </w:rPr>
              <w:t>聚合危害：不能出现</w:t>
            </w:r>
          </w:p>
        </w:tc>
        <w:tc>
          <w:tcPr>
            <w:tcW w:w="3409" w:type="dxa"/>
            <w:vAlign w:val="center"/>
          </w:tcPr>
          <w:p w14:paraId="1A0D03F1">
            <w:pPr>
              <w:pStyle w:val="133"/>
              <w:rPr>
                <w:color w:val="000000"/>
              </w:rPr>
            </w:pPr>
            <w:r>
              <w:rPr>
                <w:rFonts w:hint="eastAsia"/>
                <w:color w:val="000000"/>
              </w:rPr>
              <w:t>禁忌物：强氧化剂、碱类</w:t>
            </w:r>
          </w:p>
        </w:tc>
      </w:tr>
      <w:tr w14:paraId="3D870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vAlign w:val="center"/>
          </w:tcPr>
          <w:p w14:paraId="09A26AAC">
            <w:pPr>
              <w:pStyle w:val="133"/>
              <w:rPr>
                <w:color w:val="000000"/>
              </w:rPr>
            </w:pPr>
          </w:p>
        </w:tc>
        <w:tc>
          <w:tcPr>
            <w:tcW w:w="8382" w:type="dxa"/>
            <w:gridSpan w:val="4"/>
            <w:vAlign w:val="center"/>
          </w:tcPr>
          <w:p w14:paraId="36E30015">
            <w:pPr>
              <w:pStyle w:val="133"/>
              <w:rPr>
                <w:color w:val="000000"/>
              </w:rPr>
            </w:pPr>
            <w:r>
              <w:rPr>
                <w:rFonts w:hint="eastAsia"/>
                <w:color w:val="000000"/>
              </w:rPr>
              <w:t>消防措施：切断气源。若不能立即切断气源，则不允许熄灭正在燃烧的气体。喷水冷却容器，可能的话将容器从火场移至空旷处。灭火剂：雾状水、泡沫、二氧化碳。</w:t>
            </w:r>
          </w:p>
        </w:tc>
      </w:tr>
      <w:tr w14:paraId="44684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restart"/>
            <w:vAlign w:val="center"/>
          </w:tcPr>
          <w:p w14:paraId="7FE34A2A">
            <w:pPr>
              <w:pStyle w:val="133"/>
              <w:rPr>
                <w:color w:val="000000"/>
              </w:rPr>
            </w:pPr>
            <w:r>
              <w:rPr>
                <w:rFonts w:hint="eastAsia"/>
                <w:color w:val="000000"/>
              </w:rPr>
              <w:t>健康危害与急救方法</w:t>
            </w:r>
          </w:p>
        </w:tc>
        <w:tc>
          <w:tcPr>
            <w:tcW w:w="8382" w:type="dxa"/>
            <w:gridSpan w:val="4"/>
            <w:vAlign w:val="center"/>
          </w:tcPr>
          <w:p w14:paraId="4DA11C60">
            <w:pPr>
              <w:pStyle w:val="133"/>
              <w:rPr>
                <w:color w:val="000000"/>
              </w:rPr>
            </w:pPr>
            <w:r>
              <w:rPr>
                <w:rFonts w:hint="eastAsia"/>
                <w:color w:val="000000"/>
              </w:rPr>
              <w:t>接触限值：中国</w:t>
            </w:r>
            <w:r>
              <w:rPr>
                <w:color w:val="000000"/>
              </w:rPr>
              <w:t>MAC</w:t>
            </w:r>
            <w:r>
              <w:rPr>
                <w:rFonts w:hint="eastAsia"/>
                <w:color w:val="000000"/>
              </w:rPr>
              <w:t>：</w:t>
            </w:r>
            <w:r>
              <w:rPr>
                <w:color w:val="000000"/>
              </w:rPr>
              <w:t>30mg</w:t>
            </w:r>
            <w:r>
              <w:rPr>
                <w:rFonts w:hint="eastAsia"/>
                <w:color w:val="000000"/>
              </w:rPr>
              <w:t>/</w:t>
            </w:r>
            <w:r>
              <w:rPr>
                <w:color w:val="000000"/>
              </w:rPr>
              <w:t>m</w:t>
            </w:r>
            <w:r>
              <w:rPr>
                <w:color w:val="000000"/>
                <w:vertAlign w:val="superscript"/>
              </w:rPr>
              <w:t>3</w:t>
            </w:r>
            <w:r>
              <w:rPr>
                <w:rFonts w:hint="eastAsia"/>
                <w:color w:val="000000"/>
              </w:rPr>
              <w:t>；前苏联</w:t>
            </w:r>
            <w:r>
              <w:rPr>
                <w:color w:val="000000"/>
              </w:rPr>
              <w:t>MAC</w:t>
            </w:r>
            <w:r>
              <w:rPr>
                <w:rFonts w:hint="eastAsia"/>
                <w:color w:val="000000"/>
              </w:rPr>
              <w:t>：</w:t>
            </w:r>
            <w:r>
              <w:rPr>
                <w:color w:val="000000"/>
              </w:rPr>
              <w:t>20 mg</w:t>
            </w:r>
            <w:r>
              <w:rPr>
                <w:rFonts w:hint="eastAsia"/>
                <w:color w:val="000000"/>
              </w:rPr>
              <w:t>/</w:t>
            </w:r>
            <w:r>
              <w:rPr>
                <w:color w:val="000000"/>
              </w:rPr>
              <w:t>m</w:t>
            </w:r>
            <w:r>
              <w:rPr>
                <w:color w:val="000000"/>
                <w:vertAlign w:val="superscript"/>
              </w:rPr>
              <w:t>3</w:t>
            </w:r>
          </w:p>
          <w:p w14:paraId="38CA771A">
            <w:pPr>
              <w:pStyle w:val="133"/>
              <w:rPr>
                <w:color w:val="000000"/>
              </w:rPr>
            </w:pPr>
            <w:r>
              <w:rPr>
                <w:rFonts w:hint="eastAsia"/>
                <w:color w:val="000000"/>
              </w:rPr>
              <w:t>美国</w:t>
            </w:r>
            <w:r>
              <w:rPr>
                <w:color w:val="000000"/>
              </w:rPr>
              <w:t>TVL-TWA</w:t>
            </w:r>
            <w:r>
              <w:rPr>
                <w:rFonts w:hint="eastAsia"/>
                <w:color w:val="000000"/>
              </w:rPr>
              <w:t>；</w:t>
            </w:r>
            <w:r>
              <w:rPr>
                <w:color w:val="000000"/>
              </w:rPr>
              <w:t>O SHA</w:t>
            </w:r>
            <w:r>
              <w:rPr>
                <w:color w:val="000000"/>
              </w:rPr>
              <w:tab/>
            </w:r>
            <w:r>
              <w:rPr>
                <w:color w:val="000000"/>
              </w:rPr>
              <w:t>50ppm</w:t>
            </w:r>
            <w:r>
              <w:rPr>
                <w:rFonts w:hint="eastAsia"/>
                <w:color w:val="000000"/>
              </w:rPr>
              <w:t>，</w:t>
            </w:r>
            <w:r>
              <w:rPr>
                <w:color w:val="000000"/>
              </w:rPr>
              <w:t>57 mg</w:t>
            </w:r>
            <w:r>
              <w:rPr>
                <w:rFonts w:hint="eastAsia"/>
                <w:color w:val="000000"/>
              </w:rPr>
              <w:t>/</w:t>
            </w:r>
            <w:r>
              <w:rPr>
                <w:color w:val="000000"/>
              </w:rPr>
              <w:t>m</w:t>
            </w:r>
            <w:r>
              <w:rPr>
                <w:color w:val="000000"/>
                <w:vertAlign w:val="superscript"/>
              </w:rPr>
              <w:t>3</w:t>
            </w:r>
            <w:r>
              <w:rPr>
                <w:rFonts w:hint="eastAsia"/>
                <w:color w:val="000000"/>
              </w:rPr>
              <w:t>；</w:t>
            </w:r>
            <w:r>
              <w:rPr>
                <w:color w:val="000000"/>
              </w:rPr>
              <w:t>ACGIH 50ppm,57 mg</w:t>
            </w:r>
            <w:r>
              <w:rPr>
                <w:rFonts w:hint="eastAsia"/>
                <w:color w:val="000000"/>
              </w:rPr>
              <w:t>/</w:t>
            </w:r>
            <w:r>
              <w:rPr>
                <w:color w:val="000000"/>
              </w:rPr>
              <w:t>m</w:t>
            </w:r>
            <w:r>
              <w:rPr>
                <w:color w:val="000000"/>
                <w:vertAlign w:val="superscript"/>
              </w:rPr>
              <w:t>3</w:t>
            </w:r>
          </w:p>
          <w:p w14:paraId="4A47ED52">
            <w:pPr>
              <w:pStyle w:val="133"/>
              <w:rPr>
                <w:color w:val="000000"/>
              </w:rPr>
            </w:pPr>
            <w:r>
              <w:rPr>
                <w:rFonts w:hint="eastAsia"/>
                <w:color w:val="000000"/>
              </w:rPr>
              <w:t>美国</w:t>
            </w:r>
            <w:r>
              <w:rPr>
                <w:color w:val="000000"/>
              </w:rPr>
              <w:t>TLV-STEL</w:t>
            </w:r>
            <w:r>
              <w:rPr>
                <w:rFonts w:hint="eastAsia"/>
                <w:color w:val="000000"/>
              </w:rPr>
              <w:t>：</w:t>
            </w:r>
            <w:r>
              <w:rPr>
                <w:color w:val="000000"/>
              </w:rPr>
              <w:t>ACGIH</w:t>
            </w:r>
            <w:r>
              <w:rPr>
                <w:color w:val="000000"/>
              </w:rPr>
              <w:tab/>
            </w:r>
            <w:r>
              <w:rPr>
                <w:color w:val="000000"/>
              </w:rPr>
              <w:t>400ppm,458 mg</w:t>
            </w:r>
            <w:r>
              <w:rPr>
                <w:rFonts w:hint="eastAsia"/>
                <w:color w:val="000000"/>
              </w:rPr>
              <w:t>/</w:t>
            </w:r>
            <w:r>
              <w:rPr>
                <w:color w:val="000000"/>
              </w:rPr>
              <w:t>m</w:t>
            </w:r>
            <w:r>
              <w:rPr>
                <w:color w:val="000000"/>
                <w:vertAlign w:val="superscript"/>
              </w:rPr>
              <w:t>3</w:t>
            </w:r>
          </w:p>
        </w:tc>
      </w:tr>
      <w:tr w14:paraId="05B97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vAlign w:val="center"/>
          </w:tcPr>
          <w:p w14:paraId="7001661A">
            <w:pPr>
              <w:pStyle w:val="133"/>
              <w:rPr>
                <w:color w:val="000000"/>
              </w:rPr>
            </w:pPr>
          </w:p>
        </w:tc>
        <w:tc>
          <w:tcPr>
            <w:tcW w:w="8382" w:type="dxa"/>
            <w:gridSpan w:val="4"/>
            <w:vAlign w:val="center"/>
          </w:tcPr>
          <w:p w14:paraId="00B6F3F4">
            <w:pPr>
              <w:pStyle w:val="133"/>
              <w:rPr>
                <w:color w:val="000000"/>
              </w:rPr>
            </w:pPr>
            <w:r>
              <w:rPr>
                <w:rFonts w:hint="eastAsia"/>
                <w:color w:val="000000"/>
              </w:rPr>
              <w:t>侵入途径：吸入。</w:t>
            </w:r>
          </w:p>
        </w:tc>
      </w:tr>
      <w:tr w14:paraId="4901B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vAlign w:val="center"/>
          </w:tcPr>
          <w:p w14:paraId="3751EFA5">
            <w:pPr>
              <w:pStyle w:val="133"/>
              <w:rPr>
                <w:color w:val="000000"/>
              </w:rPr>
            </w:pPr>
          </w:p>
        </w:tc>
        <w:tc>
          <w:tcPr>
            <w:tcW w:w="8382" w:type="dxa"/>
            <w:gridSpan w:val="4"/>
            <w:vAlign w:val="center"/>
          </w:tcPr>
          <w:p w14:paraId="5D63640A">
            <w:pPr>
              <w:pStyle w:val="133"/>
              <w:rPr>
                <w:color w:val="000000"/>
              </w:rPr>
            </w:pPr>
            <w:r>
              <w:rPr>
                <w:rFonts w:hint="eastAsia"/>
                <w:color w:val="000000"/>
              </w:rPr>
              <w:t>毒性：Ⅱ级危害毒物；</w:t>
            </w:r>
            <w:r>
              <w:rPr>
                <w:color w:val="000000"/>
              </w:rPr>
              <w:t>TWA</w:t>
            </w:r>
            <w:r>
              <w:rPr>
                <w:rFonts w:hint="eastAsia"/>
                <w:color w:val="000000"/>
              </w:rPr>
              <w:t>：</w:t>
            </w:r>
            <w:r>
              <w:rPr>
                <w:color w:val="000000"/>
              </w:rPr>
              <w:t>20</w:t>
            </w:r>
            <w:r>
              <w:rPr>
                <w:rFonts w:hint="eastAsia"/>
                <w:color w:val="000000"/>
              </w:rPr>
              <w:t>；</w:t>
            </w:r>
            <w:r>
              <w:rPr>
                <w:color w:val="000000"/>
              </w:rPr>
              <w:t>STEL:30</w:t>
            </w:r>
            <w:r>
              <w:rPr>
                <w:rFonts w:hint="eastAsia"/>
                <w:color w:val="000000"/>
              </w:rPr>
              <w:t>；</w:t>
            </w:r>
            <w:r>
              <w:rPr>
                <w:color w:val="000000"/>
              </w:rPr>
              <w:t>LC</w:t>
            </w:r>
            <w:r>
              <w:rPr>
                <w:color w:val="000000"/>
                <w:vertAlign w:val="subscript"/>
              </w:rPr>
              <w:t>50</w:t>
            </w:r>
            <w:r>
              <w:rPr>
                <w:rFonts w:hint="eastAsia"/>
                <w:color w:val="000000"/>
              </w:rPr>
              <w:t>：</w:t>
            </w:r>
            <w:r>
              <w:rPr>
                <w:color w:val="000000"/>
              </w:rPr>
              <w:t>1807ppm</w:t>
            </w:r>
            <w:r>
              <w:rPr>
                <w:rFonts w:hint="eastAsia"/>
                <w:color w:val="000000"/>
              </w:rPr>
              <w:t xml:space="preserve"> </w:t>
            </w:r>
            <w:r>
              <w:rPr>
                <w:color w:val="000000"/>
              </w:rPr>
              <w:t xml:space="preserve"> 4</w:t>
            </w:r>
            <w:r>
              <w:rPr>
                <w:rFonts w:hint="eastAsia"/>
                <w:color w:val="000000"/>
              </w:rPr>
              <w:t>小时（大鼠吸入）</w:t>
            </w:r>
          </w:p>
        </w:tc>
      </w:tr>
      <w:tr w14:paraId="40C45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vAlign w:val="center"/>
          </w:tcPr>
          <w:p w14:paraId="630C4E3C">
            <w:pPr>
              <w:pStyle w:val="133"/>
              <w:rPr>
                <w:color w:val="000000"/>
              </w:rPr>
            </w:pPr>
          </w:p>
        </w:tc>
        <w:tc>
          <w:tcPr>
            <w:tcW w:w="8382" w:type="dxa"/>
            <w:gridSpan w:val="4"/>
            <w:vAlign w:val="center"/>
          </w:tcPr>
          <w:p w14:paraId="6A224A2E">
            <w:pPr>
              <w:pStyle w:val="133"/>
              <w:rPr>
                <w:color w:val="000000"/>
              </w:rPr>
            </w:pPr>
            <w:r>
              <w:rPr>
                <w:rFonts w:hint="eastAsia"/>
                <w:color w:val="000000"/>
              </w:rPr>
              <w:t>健康危害：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w:t>
            </w:r>
          </w:p>
          <w:p w14:paraId="4084C69D">
            <w:pPr>
              <w:pStyle w:val="133"/>
              <w:rPr>
                <w:color w:val="000000"/>
              </w:rPr>
            </w:pPr>
            <w:r>
              <w:rPr>
                <w:rFonts w:hint="eastAsia"/>
                <w:color w:val="000000"/>
              </w:rPr>
              <w:t>急救方法：迅速脱离现场至空气新鲜处。呼吸困难时给输氧。呼吸及心跳停止者立即进行人工呼吸和心脏按压术。就医。</w:t>
            </w:r>
          </w:p>
        </w:tc>
      </w:tr>
      <w:tr w14:paraId="15CEE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restart"/>
            <w:vAlign w:val="center"/>
          </w:tcPr>
          <w:p w14:paraId="466BD50A">
            <w:pPr>
              <w:pStyle w:val="133"/>
              <w:rPr>
                <w:color w:val="000000"/>
              </w:rPr>
            </w:pPr>
            <w:r>
              <w:rPr>
                <w:rFonts w:hint="eastAsia"/>
                <w:color w:val="000000"/>
              </w:rPr>
              <w:t>贮运</w:t>
            </w:r>
          </w:p>
        </w:tc>
        <w:tc>
          <w:tcPr>
            <w:tcW w:w="4654" w:type="dxa"/>
            <w:gridSpan w:val="2"/>
            <w:vAlign w:val="center"/>
          </w:tcPr>
          <w:p w14:paraId="31D8AD5C">
            <w:pPr>
              <w:pStyle w:val="133"/>
              <w:rPr>
                <w:color w:val="000000"/>
              </w:rPr>
            </w:pPr>
            <w:r>
              <w:rPr>
                <w:rFonts w:hint="eastAsia"/>
                <w:color w:val="000000"/>
              </w:rPr>
              <w:t>危险货物编号：</w:t>
            </w:r>
            <w:r>
              <w:rPr>
                <w:color w:val="000000"/>
              </w:rPr>
              <w:t>21005</w:t>
            </w:r>
          </w:p>
        </w:tc>
        <w:tc>
          <w:tcPr>
            <w:tcW w:w="3728" w:type="dxa"/>
            <w:gridSpan w:val="2"/>
            <w:vAlign w:val="center"/>
          </w:tcPr>
          <w:p w14:paraId="607F7C42">
            <w:pPr>
              <w:pStyle w:val="133"/>
              <w:rPr>
                <w:color w:val="000000"/>
              </w:rPr>
            </w:pPr>
            <w:r>
              <w:rPr>
                <w:color w:val="000000"/>
              </w:rPr>
              <w:t>UN</w:t>
            </w:r>
            <w:r>
              <w:rPr>
                <w:rFonts w:hint="eastAsia"/>
                <w:color w:val="000000"/>
              </w:rPr>
              <w:t>编号：</w:t>
            </w:r>
            <w:r>
              <w:rPr>
                <w:color w:val="000000"/>
              </w:rPr>
              <w:t>1016</w:t>
            </w:r>
          </w:p>
        </w:tc>
      </w:tr>
      <w:tr w14:paraId="2547B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Merge w:val="continue"/>
            <w:vAlign w:val="center"/>
          </w:tcPr>
          <w:p w14:paraId="3DA7947B">
            <w:pPr>
              <w:pStyle w:val="133"/>
              <w:rPr>
                <w:color w:val="000000"/>
              </w:rPr>
            </w:pPr>
          </w:p>
        </w:tc>
        <w:tc>
          <w:tcPr>
            <w:tcW w:w="8382" w:type="dxa"/>
            <w:gridSpan w:val="4"/>
            <w:vAlign w:val="center"/>
          </w:tcPr>
          <w:p w14:paraId="60F800E8">
            <w:pPr>
              <w:pStyle w:val="133"/>
              <w:rPr>
                <w:color w:val="000000"/>
              </w:rPr>
            </w:pPr>
            <w:r>
              <w:rPr>
                <w:rFonts w:hint="eastAsia"/>
                <w:color w:val="000000"/>
              </w:rPr>
              <w:t>易燃有毒的压缩气体。储存于阴凉、通风仓间内。仓温不宜超过</w:t>
            </w:r>
            <w:r>
              <w:rPr>
                <w:color w:val="000000"/>
              </w:rPr>
              <w:t>30</w:t>
            </w:r>
            <w:r>
              <w:rPr>
                <w:rFonts w:hint="eastAsia"/>
                <w:color w:val="000000"/>
              </w:rPr>
              <w:t>℃。远离火种、热源。防止阳光直射。应与氧气、压缩空气、氧化剂等分开存放。切忌混储混运。储存间内的照明、通风等设施应采用防爆型，开关设在仓外。配备相应品种和数量的消防器材。禁止使用易产生火花的机械设备和工具。验收时要注意品名，注意验瓶日期，先进仓的先发用。搬运时轻装轻卸，防止钢瓶及附件破损。运输按规定路线行驶，勿在居民区和人口稠密区停留。</w:t>
            </w:r>
          </w:p>
        </w:tc>
      </w:tr>
      <w:tr w14:paraId="783E0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vAlign w:val="center"/>
          </w:tcPr>
          <w:p w14:paraId="4B2D3308">
            <w:pPr>
              <w:pStyle w:val="133"/>
              <w:rPr>
                <w:color w:val="000000"/>
              </w:rPr>
            </w:pPr>
            <w:r>
              <w:rPr>
                <w:rFonts w:hint="eastAsia"/>
                <w:color w:val="000000"/>
              </w:rPr>
              <w:t>泄漏处置</w:t>
            </w:r>
          </w:p>
        </w:tc>
        <w:tc>
          <w:tcPr>
            <w:tcW w:w="8382" w:type="dxa"/>
            <w:gridSpan w:val="4"/>
            <w:vAlign w:val="center"/>
          </w:tcPr>
          <w:p w14:paraId="200B9ACA">
            <w:pPr>
              <w:pStyle w:val="133"/>
              <w:rPr>
                <w:color w:val="000000"/>
              </w:rPr>
            </w:pPr>
            <w:r>
              <w:rPr>
                <w:rFonts w:hint="eastAsia"/>
                <w:color w:val="000000"/>
              </w:rPr>
              <w:t>迅速撤离泄漏污染区人员至上风处，并隔离直至气体散尽，切断火源。建议应急处理人员戴正压自给式呼吸器，穿一般消防防护服。切断气源，喷雾状水稀释、溶解，抽排</w:t>
            </w:r>
            <w:r>
              <w:rPr>
                <w:color w:val="000000"/>
              </w:rPr>
              <w:t>（</w:t>
            </w:r>
            <w:r>
              <w:rPr>
                <w:rFonts w:hint="eastAsia"/>
                <w:color w:val="000000"/>
              </w:rPr>
              <w:t>室内</w:t>
            </w:r>
            <w:r>
              <w:rPr>
                <w:color w:val="000000"/>
              </w:rPr>
              <w:t>）</w:t>
            </w:r>
            <w:r>
              <w:rPr>
                <w:rFonts w:hint="eastAsia"/>
                <w:color w:val="000000"/>
              </w:rPr>
              <w:t>或强力通风</w:t>
            </w:r>
            <w:r>
              <w:rPr>
                <w:color w:val="000000"/>
              </w:rPr>
              <w:t>（</w:t>
            </w:r>
            <w:r>
              <w:rPr>
                <w:rFonts w:hint="eastAsia"/>
                <w:color w:val="000000"/>
              </w:rPr>
              <w:t>室外</w:t>
            </w:r>
            <w:r>
              <w:rPr>
                <w:color w:val="000000"/>
              </w:rPr>
              <w:t>）</w:t>
            </w:r>
            <w:r>
              <w:rPr>
                <w:rFonts w:hint="eastAsia"/>
                <w:color w:val="000000"/>
              </w:rPr>
              <w:t>。如有可能，将漏出气用排风机送至空旷地方或装设适当喷头烧掉。也可以用管路导至炉中、凹地焚之。漏气容器不能再用，且要经过技术处理以清除可能剩下的气体。</w:t>
            </w:r>
          </w:p>
        </w:tc>
      </w:tr>
    </w:tbl>
    <w:p w14:paraId="7F5B728F">
      <w:pPr>
        <w:pStyle w:val="118"/>
        <w:ind w:firstLine="480"/>
      </w:pPr>
      <w:r>
        <w:rPr>
          <w:rFonts w:hint="eastAsia"/>
        </w:rPr>
        <w:t>表7.5-</w:t>
      </w:r>
      <w:r>
        <w:t xml:space="preserve">3    </w:t>
      </w:r>
      <w:r>
        <w:rPr>
          <w:rFonts w:hint="eastAsia"/>
        </w:rPr>
        <w:t>硫化氢理化性质及危险特性表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18"/>
        <w:gridCol w:w="2777"/>
        <w:gridCol w:w="3523"/>
        <w:gridCol w:w="2287"/>
      </w:tblGrid>
      <w:tr w14:paraId="4E6EC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Align w:val="center"/>
          </w:tcPr>
          <w:p w14:paraId="7246C976">
            <w:pPr>
              <w:pStyle w:val="133"/>
            </w:pPr>
            <w:r>
              <w:rPr>
                <w:rFonts w:hint="eastAsia"/>
              </w:rPr>
              <w:t>标识</w:t>
            </w:r>
          </w:p>
        </w:tc>
        <w:tc>
          <w:tcPr>
            <w:tcW w:w="7848" w:type="dxa"/>
            <w:gridSpan w:val="3"/>
            <w:vAlign w:val="center"/>
          </w:tcPr>
          <w:p w14:paraId="20ABBB44">
            <w:pPr>
              <w:pStyle w:val="133"/>
            </w:pPr>
            <w:r>
              <w:rPr>
                <w:rFonts w:hint="eastAsia"/>
              </w:rPr>
              <w:t>中文名：硫化氢；英文名：</w:t>
            </w:r>
            <w:r>
              <w:t>Hydrogen Sulfide</w:t>
            </w:r>
            <w:r>
              <w:rPr>
                <w:rFonts w:hint="eastAsia"/>
              </w:rPr>
              <w:t>；分子式：</w:t>
            </w:r>
            <w:r>
              <w:t>H</w:t>
            </w:r>
            <w:r>
              <w:rPr>
                <w:vertAlign w:val="subscript"/>
              </w:rPr>
              <w:t>2</w:t>
            </w:r>
            <w:r>
              <w:t>S</w:t>
            </w:r>
            <w:r>
              <w:rPr>
                <w:rFonts w:hint="eastAsia"/>
              </w:rPr>
              <w:t>；分子量：</w:t>
            </w:r>
            <w:r>
              <w:t>34.076</w:t>
            </w:r>
            <w:r>
              <w:rPr>
                <w:rFonts w:hint="eastAsia"/>
              </w:rPr>
              <w:t>；</w:t>
            </w:r>
          </w:p>
          <w:p w14:paraId="773BDBDE">
            <w:pPr>
              <w:pStyle w:val="133"/>
            </w:pPr>
            <w:r>
              <w:rPr>
                <w:rFonts w:hint="eastAsia"/>
              </w:rPr>
              <w:t>危险性类别：第</w:t>
            </w:r>
            <w:r>
              <w:t>2.1</w:t>
            </w:r>
            <w:r>
              <w:rPr>
                <w:rFonts w:hint="eastAsia"/>
              </w:rPr>
              <w:t>类，易燃气体；第</w:t>
            </w:r>
            <w:r>
              <w:t>2.3</w:t>
            </w:r>
            <w:r>
              <w:rPr>
                <w:rFonts w:hint="eastAsia"/>
              </w:rPr>
              <w:t>类，有毒气体；</w:t>
            </w:r>
            <w:r>
              <w:t>CAS</w:t>
            </w:r>
            <w:r>
              <w:rPr>
                <w:rFonts w:hint="eastAsia"/>
              </w:rPr>
              <w:t>：</w:t>
            </w:r>
            <w:r>
              <w:t>7783-06-4</w:t>
            </w:r>
          </w:p>
        </w:tc>
      </w:tr>
      <w:tr w14:paraId="3B073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Align w:val="center"/>
          </w:tcPr>
          <w:p w14:paraId="0BF04D76">
            <w:pPr>
              <w:pStyle w:val="133"/>
            </w:pPr>
            <w:r>
              <w:rPr>
                <w:rFonts w:hint="eastAsia"/>
              </w:rPr>
              <w:t>理化性质</w:t>
            </w:r>
          </w:p>
        </w:tc>
        <w:tc>
          <w:tcPr>
            <w:tcW w:w="7848" w:type="dxa"/>
            <w:gridSpan w:val="3"/>
            <w:vAlign w:val="center"/>
          </w:tcPr>
          <w:p w14:paraId="1CD862C3">
            <w:pPr>
              <w:pStyle w:val="133"/>
            </w:pPr>
            <w:r>
              <w:rPr>
                <w:rFonts w:hint="eastAsia"/>
              </w:rPr>
              <w:t>外观与性状：可燃性无色气体，具有典型的臭鸡蛋味；相对密度（空气＝</w:t>
            </w:r>
            <w:r>
              <w:t>1</w:t>
            </w:r>
            <w:r>
              <w:rPr>
                <w:rFonts w:hint="eastAsia"/>
              </w:rPr>
              <w:t>）：</w:t>
            </w:r>
            <w:r>
              <w:t>1.19</w:t>
            </w:r>
            <w:r>
              <w:rPr>
                <w:rFonts w:hint="eastAsia"/>
              </w:rPr>
              <w:t>；</w:t>
            </w:r>
          </w:p>
          <w:p w14:paraId="3451A3D7">
            <w:pPr>
              <w:pStyle w:val="133"/>
            </w:pPr>
            <w:r>
              <w:rPr>
                <w:rFonts w:hint="eastAsia"/>
              </w:rPr>
              <w:t>溶解性：易溶于水，</w:t>
            </w:r>
            <w:r>
              <w:t>20</w:t>
            </w:r>
            <w:r>
              <w:rPr>
                <w:rFonts w:hint="eastAsia"/>
              </w:rPr>
              <w:t>℃时</w:t>
            </w:r>
            <w:r>
              <w:t>2.9</w:t>
            </w:r>
            <w:r>
              <w:rPr>
                <w:rFonts w:hint="eastAsia"/>
              </w:rPr>
              <w:t>体积气体溶于</w:t>
            </w:r>
            <w:r>
              <w:t>1</w:t>
            </w:r>
            <w:r>
              <w:rPr>
                <w:rFonts w:hint="eastAsia"/>
              </w:rPr>
              <w:t>体积水中，亦溶于醇类、二硫化碳、石油溶剂和原油中；饱和蒸汽压（kP</w:t>
            </w:r>
            <w:r>
              <w:t>a</w:t>
            </w:r>
            <w:r>
              <w:rPr>
                <w:rFonts w:hint="eastAsia"/>
              </w:rPr>
              <w:t>）：</w:t>
            </w:r>
            <w:r>
              <w:t>2026.5</w:t>
            </w:r>
            <w:r>
              <w:rPr>
                <w:rFonts w:hint="eastAsia"/>
              </w:rPr>
              <w:t>（</w:t>
            </w:r>
            <w:r>
              <w:t>25.5</w:t>
            </w:r>
            <w:r>
              <w:rPr>
                <w:rFonts w:hint="eastAsia"/>
              </w:rPr>
              <w:t>℃）；临界温度</w:t>
            </w:r>
            <w:r>
              <w:t>（</w:t>
            </w:r>
            <w:r>
              <w:rPr>
                <w:rFonts w:hint="eastAsia"/>
              </w:rPr>
              <w:t>℃</w:t>
            </w:r>
            <w:r>
              <w:t>）</w:t>
            </w:r>
            <w:r>
              <w:rPr>
                <w:rFonts w:hint="eastAsia"/>
              </w:rPr>
              <w:t>：</w:t>
            </w:r>
            <w:r>
              <w:t>132.4</w:t>
            </w:r>
            <w:r>
              <w:rPr>
                <w:rFonts w:hint="eastAsia"/>
              </w:rPr>
              <w:t>；临界压力</w:t>
            </w:r>
            <w:r>
              <w:t>（MPa）</w:t>
            </w:r>
            <w:r>
              <w:rPr>
                <w:rFonts w:hint="eastAsia"/>
              </w:rPr>
              <w:t>：</w:t>
            </w:r>
            <w:r>
              <w:t>11.20</w:t>
            </w:r>
            <w:r>
              <w:rPr>
                <w:rFonts w:hint="eastAsia"/>
              </w:rPr>
              <w:t>；熔点</w:t>
            </w:r>
            <w:r>
              <w:t>（</w:t>
            </w:r>
            <w:r>
              <w:rPr>
                <w:rFonts w:hint="eastAsia"/>
              </w:rPr>
              <w:t>℃</w:t>
            </w:r>
            <w:r>
              <w:t>）</w:t>
            </w:r>
            <w:r>
              <w:rPr>
                <w:rFonts w:hint="eastAsia"/>
              </w:rPr>
              <w:t>：</w:t>
            </w:r>
            <w:r>
              <w:t>-82.9</w:t>
            </w:r>
            <w:r>
              <w:rPr>
                <w:rFonts w:hint="eastAsia"/>
              </w:rPr>
              <w:t>；沸点（℃）：</w:t>
            </w:r>
            <w:r>
              <w:t>-60.3</w:t>
            </w:r>
            <w:r>
              <w:rPr>
                <w:rFonts w:hint="eastAsia"/>
              </w:rPr>
              <w:t>；</w:t>
            </w:r>
          </w:p>
        </w:tc>
      </w:tr>
      <w:tr w14:paraId="46EFB3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Merge w:val="restart"/>
            <w:vAlign w:val="center"/>
          </w:tcPr>
          <w:p w14:paraId="1DCEC865">
            <w:pPr>
              <w:pStyle w:val="133"/>
            </w:pPr>
            <w:r>
              <w:rPr>
                <w:rFonts w:hint="eastAsia"/>
              </w:rPr>
              <w:t>燃烧爆炸危险性</w:t>
            </w:r>
          </w:p>
        </w:tc>
        <w:tc>
          <w:tcPr>
            <w:tcW w:w="7848" w:type="dxa"/>
            <w:gridSpan w:val="3"/>
            <w:vAlign w:val="center"/>
          </w:tcPr>
          <w:p w14:paraId="20EA9313">
            <w:pPr>
              <w:pStyle w:val="133"/>
            </w:pPr>
            <w:r>
              <w:rPr>
                <w:rFonts w:hint="eastAsia"/>
              </w:rPr>
              <w:t>燃烧性：易燃；自燃温度</w:t>
            </w:r>
            <w:r>
              <w:t>（</w:t>
            </w:r>
            <w:r>
              <w:rPr>
                <w:rFonts w:hint="eastAsia"/>
              </w:rPr>
              <w:t>℃</w:t>
            </w:r>
            <w:r>
              <w:t>）</w:t>
            </w:r>
            <w:r>
              <w:rPr>
                <w:rFonts w:hint="eastAsia"/>
              </w:rPr>
              <w:t>：</w:t>
            </w:r>
            <w:r>
              <w:t>260</w:t>
            </w:r>
            <w:r>
              <w:rPr>
                <w:rFonts w:hint="eastAsia"/>
              </w:rPr>
              <w:t>；爆炸极限</w:t>
            </w:r>
            <w:r>
              <w:t>（%）</w:t>
            </w:r>
            <w:r>
              <w:rPr>
                <w:rFonts w:hint="eastAsia"/>
              </w:rPr>
              <w:t>：</w:t>
            </w:r>
            <w:r>
              <w:t>4.0~46</w:t>
            </w:r>
            <w:r>
              <w:rPr>
                <w:rFonts w:hint="eastAsia"/>
              </w:rPr>
              <w:t>（体积比）；</w:t>
            </w:r>
          </w:p>
          <w:p w14:paraId="62190536">
            <w:pPr>
              <w:pStyle w:val="133"/>
            </w:pPr>
            <w:r>
              <w:rPr>
                <w:rFonts w:hint="eastAsia"/>
              </w:rPr>
              <w:t>火险分级：甲类；闪点</w:t>
            </w:r>
            <w:r>
              <w:t>（</w:t>
            </w:r>
            <w:r>
              <w:rPr>
                <w:rFonts w:hint="eastAsia"/>
              </w:rPr>
              <w:t>℃</w:t>
            </w:r>
            <w:r>
              <w:t>）</w:t>
            </w:r>
            <w:r>
              <w:rPr>
                <w:rFonts w:hint="eastAsia"/>
              </w:rPr>
              <w:t>：无意义；稳定性：稳定；聚合危险性：不存在；</w:t>
            </w:r>
          </w:p>
          <w:p w14:paraId="74E9C321">
            <w:pPr>
              <w:pStyle w:val="133"/>
            </w:pPr>
            <w:r>
              <w:rPr>
                <w:rFonts w:hint="eastAsia"/>
              </w:rPr>
              <w:t>燃烧（分解）产物：氧化硫</w:t>
            </w:r>
          </w:p>
        </w:tc>
      </w:tr>
      <w:tr w14:paraId="4B771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Merge w:val="continue"/>
            <w:vAlign w:val="center"/>
          </w:tcPr>
          <w:p w14:paraId="74B354D3">
            <w:pPr>
              <w:pStyle w:val="133"/>
            </w:pPr>
          </w:p>
        </w:tc>
        <w:tc>
          <w:tcPr>
            <w:tcW w:w="7848" w:type="dxa"/>
            <w:gridSpan w:val="3"/>
            <w:vAlign w:val="center"/>
          </w:tcPr>
          <w:p w14:paraId="1ECA2195">
            <w:pPr>
              <w:pStyle w:val="133"/>
            </w:pPr>
            <w:r>
              <w:rPr>
                <w:rFonts w:hint="eastAsia"/>
              </w:rPr>
              <w:t>危险特性：与空气混合能形成爆炸性混合物，遇明火、高热能引起燃烧爆炸。与氟、氯等能发生剧烈的化学反应。若遇高热，容器内压增大，有开裂和爆炸的危险。</w:t>
            </w:r>
          </w:p>
        </w:tc>
      </w:tr>
      <w:tr w14:paraId="7E2B33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Merge w:val="continue"/>
            <w:vAlign w:val="center"/>
          </w:tcPr>
          <w:p w14:paraId="3403516D">
            <w:pPr>
              <w:pStyle w:val="133"/>
            </w:pPr>
          </w:p>
        </w:tc>
        <w:tc>
          <w:tcPr>
            <w:tcW w:w="7848" w:type="dxa"/>
            <w:gridSpan w:val="3"/>
            <w:vAlign w:val="center"/>
          </w:tcPr>
          <w:p w14:paraId="7E578235">
            <w:pPr>
              <w:pStyle w:val="133"/>
            </w:pPr>
            <w:r>
              <w:rPr>
                <w:rFonts w:hint="eastAsia"/>
              </w:rPr>
              <w:t>禁忌物：强氧化剂、碱类。</w:t>
            </w:r>
          </w:p>
        </w:tc>
      </w:tr>
      <w:tr w14:paraId="61F0F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Merge w:val="continue"/>
            <w:vAlign w:val="center"/>
          </w:tcPr>
          <w:p w14:paraId="5A684B14">
            <w:pPr>
              <w:pStyle w:val="133"/>
            </w:pPr>
          </w:p>
        </w:tc>
        <w:tc>
          <w:tcPr>
            <w:tcW w:w="7848" w:type="dxa"/>
            <w:gridSpan w:val="3"/>
            <w:vAlign w:val="center"/>
          </w:tcPr>
          <w:p w14:paraId="6E1522E4">
            <w:pPr>
              <w:pStyle w:val="133"/>
            </w:pPr>
            <w:r>
              <w:rPr>
                <w:rFonts w:hint="eastAsia"/>
              </w:rPr>
              <w:t>灭火方法：消防人员必须穿全身防火防毒服，在上风向灭火。切断气源。若不能切断气源，则不允许熄灭泄漏处的火焰。喷水冷却容器，可能的话将容器从火场移至空旷处。</w:t>
            </w:r>
          </w:p>
          <w:p w14:paraId="3BE882DC">
            <w:pPr>
              <w:pStyle w:val="133"/>
            </w:pPr>
            <w:r>
              <w:rPr>
                <w:rFonts w:hint="eastAsia"/>
              </w:rPr>
              <w:t>灭火剂：雾状水、抗溶性泡沫、干粉。</w:t>
            </w:r>
          </w:p>
        </w:tc>
      </w:tr>
      <w:tr w14:paraId="7C7FB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Merge w:val="restart"/>
            <w:vAlign w:val="center"/>
          </w:tcPr>
          <w:p w14:paraId="749FA910">
            <w:pPr>
              <w:pStyle w:val="133"/>
            </w:pPr>
            <w:r>
              <w:rPr>
                <w:rFonts w:hint="eastAsia"/>
              </w:rPr>
              <w:t>健康危害与急救方法</w:t>
            </w:r>
          </w:p>
        </w:tc>
        <w:tc>
          <w:tcPr>
            <w:tcW w:w="2538" w:type="dxa"/>
            <w:vAlign w:val="center"/>
          </w:tcPr>
          <w:p w14:paraId="2C25D2A9">
            <w:pPr>
              <w:pStyle w:val="133"/>
            </w:pPr>
            <w:r>
              <w:rPr>
                <w:rFonts w:hint="eastAsia"/>
              </w:rPr>
              <w:t>毒性：Ⅱ级危害毒物</w:t>
            </w:r>
          </w:p>
        </w:tc>
        <w:tc>
          <w:tcPr>
            <w:tcW w:w="3220" w:type="dxa"/>
            <w:vAlign w:val="center"/>
          </w:tcPr>
          <w:p w14:paraId="420F5D02">
            <w:pPr>
              <w:pStyle w:val="133"/>
            </w:pPr>
            <w:r>
              <w:rPr>
                <w:rFonts w:hint="eastAsia"/>
              </w:rPr>
              <w:t>职业接触限值：</w:t>
            </w:r>
            <w:r>
              <w:t>MAC</w:t>
            </w:r>
            <w:r>
              <w:rPr>
                <w:rFonts w:hint="eastAsia"/>
              </w:rPr>
              <w:t>：</w:t>
            </w:r>
            <w:r>
              <w:t>10mg</w:t>
            </w:r>
            <w:r>
              <w:rPr>
                <w:rFonts w:hint="eastAsia"/>
              </w:rPr>
              <w:t>/</w:t>
            </w:r>
            <w:r>
              <w:t>m</w:t>
            </w:r>
            <w:r>
              <w:rPr>
                <w:vertAlign w:val="superscript"/>
              </w:rPr>
              <w:t>3</w:t>
            </w:r>
          </w:p>
        </w:tc>
        <w:tc>
          <w:tcPr>
            <w:tcW w:w="2090" w:type="dxa"/>
            <w:vAlign w:val="center"/>
          </w:tcPr>
          <w:p w14:paraId="626FF7BB">
            <w:pPr>
              <w:pStyle w:val="133"/>
            </w:pPr>
            <w:r>
              <w:rPr>
                <w:rFonts w:hint="eastAsia"/>
              </w:rPr>
              <w:t>侵入途径：吸入</w:t>
            </w:r>
          </w:p>
        </w:tc>
      </w:tr>
      <w:tr w14:paraId="7C7AE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7" w:type="dxa"/>
            <w:vMerge w:val="continue"/>
            <w:vAlign w:val="center"/>
          </w:tcPr>
          <w:p w14:paraId="49BFC8CE">
            <w:pPr>
              <w:pStyle w:val="133"/>
            </w:pPr>
          </w:p>
        </w:tc>
        <w:tc>
          <w:tcPr>
            <w:tcW w:w="7848" w:type="dxa"/>
            <w:gridSpan w:val="3"/>
            <w:vAlign w:val="center"/>
          </w:tcPr>
          <w:p w14:paraId="5D8757AF">
            <w:pPr>
              <w:pStyle w:val="133"/>
            </w:pPr>
            <w:r>
              <w:rPr>
                <w:rFonts w:hint="eastAsia"/>
              </w:rPr>
              <w:t>健康危害：本品是强烈的神经毒物，对黏膜有强烈刺激作用。</w:t>
            </w:r>
          </w:p>
          <w:p w14:paraId="2C3BAE0A">
            <w:pPr>
              <w:pStyle w:val="133"/>
            </w:pPr>
            <w:r>
              <w:rPr>
                <w:rFonts w:hint="eastAsia"/>
              </w:rPr>
              <w:t>急性中毒：短期内吸入高浓度硫化氢后出现流泪、眼痛、眼内异物感、畏光、视物模糊、流涕、咽喉部灼热感、咳嗽、胸闷、头痛、头晕、乏力、意识模糊等。部分患者可有心肌损害。重者可出现脑水肿、肺水肿。极高浓度</w:t>
            </w:r>
            <w:r>
              <w:t>（1000mg/m</w:t>
            </w:r>
            <w:r>
              <w:rPr>
                <w:vertAlign w:val="superscript"/>
              </w:rPr>
              <w:t>3</w:t>
            </w:r>
            <w:r>
              <w:rPr>
                <w:rFonts w:hint="eastAsia"/>
              </w:rPr>
              <w:t>以上</w:t>
            </w:r>
            <w:r>
              <w:t>）</w:t>
            </w:r>
            <w:r>
              <w:rPr>
                <w:rFonts w:hint="eastAsia"/>
              </w:rPr>
              <w:t>时可在数秒钟内突然昏迷，呼吸和心跳骤停，发生闪电性死亡。</w:t>
            </w:r>
          </w:p>
          <w:p w14:paraId="08908AD4">
            <w:pPr>
              <w:pStyle w:val="133"/>
            </w:pPr>
            <w:r>
              <w:rPr>
                <w:rFonts w:hint="eastAsia"/>
              </w:rPr>
              <w:t>急救方法：皮肤接触：脱去污染的衣着，立即用流动清水彻底冲洗。接触液化气体，接触部位用温水浸泡复温。注意患者保温并且保持安静。吸入或接触该物质可引发迟发反应。确保医务人员了解该物质相关的个体防护知识，注意自身防护。眼睛接触：立即提起眼睑，用流动清水冲洗</w:t>
            </w:r>
            <w:r>
              <w:t>10min</w:t>
            </w:r>
            <w:r>
              <w:rPr>
                <w:rFonts w:hint="eastAsia"/>
              </w:rPr>
              <w:t>或用</w:t>
            </w:r>
            <w:r>
              <w:t>2%</w:t>
            </w:r>
            <w:r>
              <w:rPr>
                <w:rFonts w:hint="eastAsia"/>
              </w:rPr>
              <w:t>碳酸氢钠溶液冲洗。就医。</w:t>
            </w:r>
          </w:p>
          <w:p w14:paraId="2C2AAEA6">
            <w:pPr>
              <w:pStyle w:val="133"/>
            </w:pPr>
            <w:r>
              <w:rPr>
                <w:rFonts w:hint="eastAsia"/>
              </w:rPr>
              <w:t>吸入：迅速脱离现场至空气新鲜处。保持呼吸道通畅。呼吸困难时给输氧。呼吸停止者，立即进行人工呼吸（勿用口对口，可用单向阀小型呼吸器或其他适当的医疗呼吸器）。就医。</w:t>
            </w:r>
          </w:p>
        </w:tc>
      </w:tr>
    </w:tbl>
    <w:p w14:paraId="11562465">
      <w:pPr>
        <w:pStyle w:val="118"/>
        <w:ind w:firstLine="480"/>
      </w:pPr>
      <w:r>
        <w:rPr>
          <w:rFonts w:hint="eastAsia"/>
        </w:rPr>
        <w:t>表7.5-4</w:t>
      </w:r>
      <w:r>
        <w:t xml:space="preserve">    </w:t>
      </w:r>
      <w:r>
        <w:rPr>
          <w:rFonts w:hint="eastAsia"/>
        </w:rPr>
        <w:t>煤焦油理化性质及危险特性表</w:t>
      </w:r>
    </w:p>
    <w:tbl>
      <w:tblPr>
        <w:tblStyle w:val="67"/>
        <w:tblW w:w="90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7442"/>
      </w:tblGrid>
      <w:tr w14:paraId="79E6A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1" w:type="dxa"/>
            <w:vAlign w:val="center"/>
          </w:tcPr>
          <w:p w14:paraId="30BEF6C2">
            <w:pPr>
              <w:pStyle w:val="133"/>
            </w:pPr>
            <w:r>
              <w:t>中文名</w:t>
            </w:r>
          </w:p>
        </w:tc>
        <w:tc>
          <w:tcPr>
            <w:tcW w:w="7442" w:type="dxa"/>
            <w:vAlign w:val="center"/>
          </w:tcPr>
          <w:p w14:paraId="290D2F91">
            <w:pPr>
              <w:pStyle w:val="133"/>
            </w:pPr>
            <w:r>
              <w:rPr>
                <w:rFonts w:hint="eastAsia"/>
              </w:rPr>
              <w:t>轻油</w:t>
            </w:r>
          </w:p>
        </w:tc>
      </w:tr>
      <w:tr w14:paraId="2326F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1" w:type="dxa"/>
            <w:vAlign w:val="center"/>
          </w:tcPr>
          <w:p w14:paraId="205F0882">
            <w:pPr>
              <w:pStyle w:val="133"/>
              <w:rPr>
                <w:u w:color="000000"/>
                <w:lang w:bidi="en-US"/>
              </w:rPr>
            </w:pPr>
            <w:r>
              <w:rPr>
                <w:rFonts w:hint="eastAsia"/>
                <w:u w:color="000000"/>
                <w:lang w:bidi="en-US"/>
              </w:rPr>
              <w:t>理化性质</w:t>
            </w:r>
          </w:p>
        </w:tc>
        <w:tc>
          <w:tcPr>
            <w:tcW w:w="7442" w:type="dxa"/>
            <w:vAlign w:val="center"/>
          </w:tcPr>
          <w:p w14:paraId="78D61ECB">
            <w:pPr>
              <w:pStyle w:val="133"/>
              <w:rPr>
                <w:u w:color="000000"/>
                <w:lang w:bidi="en-US"/>
              </w:rPr>
            </w:pPr>
            <w:r>
              <w:rPr>
                <w:rFonts w:hint="eastAsia"/>
                <w:u w:color="000000"/>
                <w:lang w:bidi="en-US"/>
              </w:rPr>
              <w:t>外观与性状：黑色黏稠液体，具有特殊臭味。</w:t>
            </w:r>
          </w:p>
          <w:p w14:paraId="49683B18">
            <w:pPr>
              <w:pStyle w:val="133"/>
              <w:rPr>
                <w:u w:color="000000"/>
                <w:lang w:bidi="en-US"/>
              </w:rPr>
            </w:pPr>
            <w:r>
              <w:rPr>
                <w:rFonts w:hint="eastAsia"/>
                <w:u w:color="000000"/>
                <w:lang w:bidi="en-US"/>
              </w:rPr>
              <w:t>相对密度（水=1）：1.18~1.23 闪点（℃）：&lt;23</w:t>
            </w:r>
          </w:p>
          <w:p w14:paraId="3EAFF08B">
            <w:pPr>
              <w:pStyle w:val="133"/>
              <w:rPr>
                <w:u w:color="000000"/>
                <w:lang w:bidi="en-US"/>
              </w:rPr>
            </w:pPr>
            <w:r>
              <w:rPr>
                <w:rFonts w:hint="eastAsia"/>
                <w:u w:color="000000"/>
                <w:lang w:bidi="en-US"/>
              </w:rPr>
              <w:t>溶解性：微溶于水，溶于苯、乙醇、乙醚、氯仿、丙酮等多数有机溶剂。</w:t>
            </w:r>
          </w:p>
          <w:p w14:paraId="7EABE2C1">
            <w:pPr>
              <w:pStyle w:val="133"/>
              <w:rPr>
                <w:u w:color="000000"/>
                <w:lang w:bidi="en-US"/>
              </w:rPr>
            </w:pPr>
            <w:r>
              <w:rPr>
                <w:rFonts w:hint="eastAsia"/>
                <w:u w:color="000000"/>
                <w:lang w:bidi="en-US"/>
              </w:rPr>
              <w:t>主要用途：可分馏出各种芳香烃、烷烃、酚类等，也可制取油毡、燃料和炭黑。</w:t>
            </w:r>
          </w:p>
        </w:tc>
      </w:tr>
      <w:tr w14:paraId="2C317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1" w:type="dxa"/>
            <w:vAlign w:val="center"/>
          </w:tcPr>
          <w:p w14:paraId="28500406">
            <w:pPr>
              <w:pStyle w:val="133"/>
              <w:rPr>
                <w:u w:color="000000"/>
                <w:lang w:bidi="en-US"/>
              </w:rPr>
            </w:pPr>
            <w:r>
              <w:rPr>
                <w:rFonts w:hint="eastAsia"/>
                <w:u w:color="000000"/>
                <w:lang w:bidi="en-US"/>
              </w:rPr>
              <w:t>危险特性</w:t>
            </w:r>
          </w:p>
        </w:tc>
        <w:tc>
          <w:tcPr>
            <w:tcW w:w="7442" w:type="dxa"/>
            <w:vAlign w:val="center"/>
          </w:tcPr>
          <w:p w14:paraId="20B71F1E">
            <w:pPr>
              <w:pStyle w:val="133"/>
              <w:rPr>
                <w:u w:color="000000"/>
                <w:lang w:bidi="en-US"/>
              </w:rPr>
            </w:pPr>
            <w:r>
              <w:rPr>
                <w:rFonts w:hint="eastAsia"/>
                <w:u w:color="000000"/>
                <w:lang w:bidi="en-US"/>
              </w:rPr>
              <w:t>其蒸气与空气可形成爆炸性混合物，遇明火、高热极易燃烧爆炸。与氧化剂接触猛烈反应。若遇高热，容器内压增大，有开裂和爆炸的危险</w:t>
            </w:r>
          </w:p>
        </w:tc>
      </w:tr>
      <w:tr w14:paraId="32A97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1" w:type="dxa"/>
            <w:vAlign w:val="center"/>
          </w:tcPr>
          <w:p w14:paraId="0111AE4F">
            <w:pPr>
              <w:pStyle w:val="133"/>
              <w:rPr>
                <w:u w:color="000000"/>
                <w:lang w:bidi="en-US"/>
              </w:rPr>
            </w:pPr>
            <w:r>
              <w:rPr>
                <w:rFonts w:hint="eastAsia"/>
                <w:u w:color="000000"/>
                <w:lang w:bidi="en-US"/>
              </w:rPr>
              <w:t>急救措施</w:t>
            </w:r>
          </w:p>
        </w:tc>
        <w:tc>
          <w:tcPr>
            <w:tcW w:w="7442" w:type="dxa"/>
            <w:vAlign w:val="center"/>
          </w:tcPr>
          <w:p w14:paraId="1E58BF21">
            <w:pPr>
              <w:pStyle w:val="133"/>
              <w:rPr>
                <w:u w:color="000000"/>
                <w:lang w:bidi="en-US"/>
              </w:rPr>
            </w:pPr>
            <w:r>
              <w:rPr>
                <w:rFonts w:hint="eastAsia"/>
                <w:u w:color="000000"/>
                <w:lang w:bidi="en-US"/>
              </w:rPr>
              <w:t>皮肤接触：若有冻伤，就医治疗。</w:t>
            </w:r>
          </w:p>
          <w:p w14:paraId="4DA911D5">
            <w:pPr>
              <w:pStyle w:val="133"/>
              <w:rPr>
                <w:u w:color="000000"/>
                <w:lang w:bidi="en-US"/>
              </w:rPr>
            </w:pPr>
            <w:r>
              <w:rPr>
                <w:rFonts w:hint="eastAsia"/>
                <w:u w:color="000000"/>
                <w:lang w:bidi="en-US"/>
              </w:rPr>
              <w:t>眼睛接触：无</w:t>
            </w:r>
          </w:p>
          <w:p w14:paraId="6A1DEA3C">
            <w:pPr>
              <w:pStyle w:val="133"/>
              <w:rPr>
                <w:u w:color="000000"/>
                <w:lang w:bidi="en-US"/>
              </w:rPr>
            </w:pPr>
            <w:r>
              <w:rPr>
                <w:rFonts w:hint="eastAsia"/>
                <w:u w:color="000000"/>
                <w:lang w:bidi="en-US"/>
              </w:rPr>
              <w:t>吸入：迅速脱离现场至空气新鲜处。保持呼吸道通畅。如呼吸困难，给输氧。如呼吸停止，立即进行人工呼吸。就医。</w:t>
            </w:r>
          </w:p>
          <w:p w14:paraId="18AFFDD4">
            <w:pPr>
              <w:pStyle w:val="133"/>
              <w:rPr>
                <w:u w:color="000000"/>
                <w:lang w:bidi="en-US"/>
              </w:rPr>
            </w:pPr>
            <w:r>
              <w:rPr>
                <w:rFonts w:hint="eastAsia"/>
                <w:u w:color="000000"/>
                <w:lang w:bidi="en-US"/>
              </w:rPr>
              <w:t>食入：无</w:t>
            </w:r>
          </w:p>
        </w:tc>
      </w:tr>
      <w:tr w14:paraId="23AF0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1" w:type="dxa"/>
            <w:vAlign w:val="center"/>
          </w:tcPr>
          <w:p w14:paraId="2A0A8E0C">
            <w:pPr>
              <w:pStyle w:val="133"/>
            </w:pPr>
            <w:r>
              <w:rPr>
                <w:rFonts w:hint="eastAsia"/>
              </w:rPr>
              <w:t>消防措施</w:t>
            </w:r>
          </w:p>
        </w:tc>
        <w:tc>
          <w:tcPr>
            <w:tcW w:w="7442" w:type="dxa"/>
            <w:vAlign w:val="center"/>
          </w:tcPr>
          <w:p w14:paraId="71F825B8">
            <w:pPr>
              <w:pStyle w:val="133"/>
              <w:rPr>
                <w:u w:color="000000"/>
                <w:lang w:bidi="en-US"/>
              </w:rPr>
            </w:pPr>
            <w:r>
              <w:rPr>
                <w:rFonts w:hint="eastAsia"/>
                <w:u w:color="000000"/>
                <w:lang w:bidi="en-US"/>
              </w:rPr>
              <w:t>危险特性：易燃，与空气混合能形成爆炸性混合物，遇热源和明火有燃烧爆炸的危险。与五氧化溴、氯气、次氯酸、三氟化氮、液氧、二氟化氧及其他强氧化剂接触剧烈反应。</w:t>
            </w:r>
          </w:p>
          <w:p w14:paraId="57CBE8FF">
            <w:pPr>
              <w:pStyle w:val="133"/>
              <w:rPr>
                <w:u w:color="000000"/>
                <w:lang w:bidi="en-US"/>
              </w:rPr>
            </w:pPr>
            <w:r>
              <w:rPr>
                <w:rFonts w:hint="eastAsia"/>
                <w:u w:color="000000"/>
                <w:lang w:bidi="en-US"/>
              </w:rPr>
              <w:t>有害燃烧产物：一氧化碳、二氧化碳。</w:t>
            </w:r>
          </w:p>
          <w:p w14:paraId="44B660DE">
            <w:pPr>
              <w:pStyle w:val="133"/>
              <w:rPr>
                <w:u w:color="000000"/>
                <w:lang w:bidi="en-US"/>
              </w:rPr>
            </w:pPr>
            <w:r>
              <w:rPr>
                <w:rFonts w:hint="eastAsia"/>
                <w:u w:color="000000"/>
                <w:lang w:bidi="en-US"/>
              </w:rPr>
              <w:t>灭火方法：切断气源。若不能切断气源，则不允许熄灭泄漏处的火焰。喷水冷却容器，可能的话将容器从火场移至空旷处。灭火剂：雾状水、泡沫、二氧化碳、干粉。</w:t>
            </w:r>
          </w:p>
        </w:tc>
      </w:tr>
      <w:tr w14:paraId="3969D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1" w:type="dxa"/>
            <w:vAlign w:val="center"/>
          </w:tcPr>
          <w:p w14:paraId="0C266A6C">
            <w:pPr>
              <w:pStyle w:val="133"/>
              <w:rPr>
                <w:u w:color="000000"/>
                <w:lang w:bidi="en-US"/>
              </w:rPr>
            </w:pPr>
            <w:r>
              <w:rPr>
                <w:rFonts w:hint="eastAsia"/>
                <w:u w:color="000000"/>
                <w:lang w:bidi="en-US"/>
              </w:rPr>
              <w:t>泄漏应急处理</w:t>
            </w:r>
          </w:p>
        </w:tc>
        <w:tc>
          <w:tcPr>
            <w:tcW w:w="7442" w:type="dxa"/>
            <w:vAlign w:val="center"/>
          </w:tcPr>
          <w:p w14:paraId="38CD5CB2">
            <w:pPr>
              <w:pStyle w:val="133"/>
              <w:rPr>
                <w:u w:color="000000"/>
                <w:lang w:bidi="en-US"/>
              </w:rPr>
            </w:pPr>
            <w:r>
              <w:rPr>
                <w:rFonts w:hint="eastAsia"/>
                <w:u w:color="000000"/>
                <w:lang w:bidi="en-US"/>
              </w:rPr>
              <w:t>应急处理：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02976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1" w:type="dxa"/>
            <w:vAlign w:val="center"/>
          </w:tcPr>
          <w:p w14:paraId="2CCEBB79">
            <w:pPr>
              <w:pStyle w:val="133"/>
              <w:rPr>
                <w:u w:color="000000"/>
                <w:lang w:bidi="en-US"/>
              </w:rPr>
            </w:pPr>
            <w:r>
              <w:rPr>
                <w:rFonts w:hint="eastAsia"/>
                <w:u w:color="000000"/>
                <w:lang w:bidi="en-US"/>
              </w:rPr>
              <w:t>操作处置</w:t>
            </w:r>
          </w:p>
          <w:p w14:paraId="11FADD76">
            <w:pPr>
              <w:pStyle w:val="133"/>
              <w:rPr>
                <w:u w:color="000000"/>
                <w:lang w:bidi="en-US"/>
              </w:rPr>
            </w:pPr>
            <w:r>
              <w:rPr>
                <w:rFonts w:hint="eastAsia"/>
                <w:u w:color="000000"/>
                <w:lang w:bidi="en-US"/>
              </w:rPr>
              <w:t>与储存</w:t>
            </w:r>
          </w:p>
        </w:tc>
        <w:tc>
          <w:tcPr>
            <w:tcW w:w="7442" w:type="dxa"/>
            <w:vAlign w:val="center"/>
          </w:tcPr>
          <w:p w14:paraId="600EBCCD">
            <w:pPr>
              <w:pStyle w:val="133"/>
              <w:rPr>
                <w:u w:color="000000"/>
                <w:lang w:bidi="en-US"/>
              </w:rPr>
            </w:pPr>
            <w:r>
              <w:rPr>
                <w:rFonts w:hint="eastAsia"/>
                <w:u w:color="000000"/>
                <w:lang w:bidi="en-US"/>
              </w:rPr>
              <w:t>操作注意事项：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附件破损。配备相应品种和数量的消防器材及泄漏应急处理设备。</w:t>
            </w:r>
          </w:p>
          <w:p w14:paraId="306DE282">
            <w:pPr>
              <w:pStyle w:val="133"/>
              <w:rPr>
                <w:u w:color="000000"/>
                <w:lang w:bidi="en-US"/>
              </w:rPr>
            </w:pPr>
            <w:r>
              <w:rPr>
                <w:rFonts w:hint="eastAsia"/>
                <w:u w:color="000000"/>
                <w:lang w:bidi="en-US"/>
              </w:rPr>
              <w:t>储存注意事项：储存于阴凉、通风的库房。远离火种、热源。库温不宜超过30℃。应与氧化剂等分开存放，切忌混储。采用防爆型照明、通风设施。禁止使用易产生火花的机械设备和工具。储区应备有泄漏应急处理设备。</w:t>
            </w:r>
          </w:p>
        </w:tc>
      </w:tr>
    </w:tbl>
    <w:p w14:paraId="06505391">
      <w:pPr>
        <w:pStyle w:val="118"/>
        <w:ind w:firstLine="480"/>
      </w:pPr>
      <w:r>
        <w:rPr>
          <w:rFonts w:hint="eastAsia"/>
        </w:rPr>
        <w:t>表7.5-5</w:t>
      </w:r>
      <w:r>
        <w:t xml:space="preserve">    </w:t>
      </w:r>
      <w:r>
        <w:rPr>
          <w:rFonts w:hint="eastAsia"/>
        </w:rPr>
        <w:t>硫酸理化性质及危险特性表</w:t>
      </w:r>
    </w:p>
    <w:tbl>
      <w:tblPr>
        <w:tblStyle w:val="67"/>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554"/>
        <w:gridCol w:w="1149"/>
        <w:gridCol w:w="87"/>
        <w:gridCol w:w="331"/>
        <w:gridCol w:w="972"/>
        <w:gridCol w:w="293"/>
        <w:gridCol w:w="680"/>
        <w:gridCol w:w="218"/>
        <w:gridCol w:w="1280"/>
        <w:gridCol w:w="659"/>
        <w:gridCol w:w="1080"/>
      </w:tblGrid>
      <w:tr w14:paraId="07EF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restart"/>
            <w:tcBorders>
              <w:top w:val="single" w:color="auto" w:sz="12" w:space="0"/>
              <w:left w:val="single" w:color="auto" w:sz="12" w:space="0"/>
            </w:tcBorders>
            <w:vAlign w:val="center"/>
          </w:tcPr>
          <w:p w14:paraId="52A29E85">
            <w:pPr>
              <w:pStyle w:val="133"/>
              <w:rPr>
                <w:rFonts w:cs="Times New Roman"/>
                <w:color w:val="000000"/>
                <w:szCs w:val="21"/>
              </w:rPr>
            </w:pPr>
            <w:r>
              <w:rPr>
                <w:rFonts w:cs="Times New Roman"/>
                <w:color w:val="000000"/>
                <w:szCs w:val="21"/>
              </w:rPr>
              <w:t>标识</w:t>
            </w:r>
          </w:p>
        </w:tc>
        <w:tc>
          <w:tcPr>
            <w:tcW w:w="5284" w:type="dxa"/>
            <w:gridSpan w:val="8"/>
            <w:tcBorders>
              <w:top w:val="single" w:color="auto" w:sz="12" w:space="0"/>
            </w:tcBorders>
            <w:vAlign w:val="center"/>
          </w:tcPr>
          <w:p w14:paraId="43A831AB">
            <w:pPr>
              <w:pStyle w:val="133"/>
              <w:rPr>
                <w:rFonts w:cs="Times New Roman"/>
                <w:color w:val="000000"/>
                <w:szCs w:val="21"/>
              </w:rPr>
            </w:pPr>
            <w:r>
              <w:rPr>
                <w:rFonts w:cs="Times New Roman"/>
                <w:color w:val="000000"/>
                <w:szCs w:val="21"/>
              </w:rPr>
              <w:t>中文名：</w:t>
            </w:r>
            <w:r>
              <w:rPr>
                <w:rFonts w:hint="eastAsia" w:cs="Times New Roman"/>
                <w:color w:val="000000"/>
                <w:szCs w:val="21"/>
              </w:rPr>
              <w:t>硫酸</w:t>
            </w:r>
          </w:p>
        </w:tc>
        <w:tc>
          <w:tcPr>
            <w:tcW w:w="3019" w:type="dxa"/>
            <w:gridSpan w:val="3"/>
            <w:tcBorders>
              <w:top w:val="single" w:color="auto" w:sz="12" w:space="0"/>
              <w:right w:val="single" w:color="auto" w:sz="12" w:space="0"/>
            </w:tcBorders>
            <w:vAlign w:val="center"/>
          </w:tcPr>
          <w:p w14:paraId="2686441D">
            <w:pPr>
              <w:pStyle w:val="133"/>
              <w:rPr>
                <w:rFonts w:cs="Times New Roman"/>
                <w:color w:val="000000"/>
                <w:szCs w:val="21"/>
              </w:rPr>
            </w:pPr>
            <w:r>
              <w:rPr>
                <w:rFonts w:hint="eastAsia" w:cs="Times New Roman"/>
                <w:color w:val="000000"/>
                <w:szCs w:val="21"/>
              </w:rPr>
              <w:t>危险化学品目录序号：1302</w:t>
            </w:r>
          </w:p>
        </w:tc>
      </w:tr>
      <w:tr w14:paraId="15CE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18BC2A2E">
            <w:pPr>
              <w:pStyle w:val="133"/>
              <w:rPr>
                <w:rFonts w:cs="Times New Roman"/>
                <w:color w:val="000000"/>
                <w:szCs w:val="21"/>
              </w:rPr>
            </w:pPr>
          </w:p>
        </w:tc>
        <w:tc>
          <w:tcPr>
            <w:tcW w:w="5284" w:type="dxa"/>
            <w:gridSpan w:val="8"/>
            <w:vAlign w:val="center"/>
          </w:tcPr>
          <w:p w14:paraId="05AAE6B4">
            <w:pPr>
              <w:pStyle w:val="133"/>
              <w:rPr>
                <w:rFonts w:cs="Times New Roman"/>
                <w:color w:val="000000"/>
                <w:szCs w:val="21"/>
              </w:rPr>
            </w:pPr>
            <w:r>
              <w:rPr>
                <w:rFonts w:cs="Times New Roman"/>
                <w:color w:val="000000"/>
                <w:szCs w:val="21"/>
              </w:rPr>
              <w:t>英文名：sufuric aacid</w:t>
            </w:r>
          </w:p>
        </w:tc>
        <w:tc>
          <w:tcPr>
            <w:tcW w:w="3019" w:type="dxa"/>
            <w:gridSpan w:val="3"/>
            <w:tcBorders>
              <w:right w:val="single" w:color="auto" w:sz="12" w:space="0"/>
            </w:tcBorders>
            <w:vAlign w:val="center"/>
          </w:tcPr>
          <w:p w14:paraId="08613F84">
            <w:pPr>
              <w:pStyle w:val="133"/>
              <w:rPr>
                <w:rFonts w:cs="Times New Roman"/>
                <w:color w:val="000000"/>
                <w:szCs w:val="21"/>
              </w:rPr>
            </w:pPr>
            <w:r>
              <w:rPr>
                <w:rFonts w:cs="Times New Roman"/>
                <w:color w:val="000000"/>
                <w:szCs w:val="21"/>
              </w:rPr>
              <w:t>UN编号：1830</w:t>
            </w:r>
          </w:p>
        </w:tc>
      </w:tr>
      <w:tr w14:paraId="4982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29515067">
            <w:pPr>
              <w:pStyle w:val="133"/>
              <w:rPr>
                <w:rFonts w:cs="Times New Roman"/>
                <w:color w:val="000000"/>
                <w:szCs w:val="21"/>
              </w:rPr>
            </w:pPr>
          </w:p>
        </w:tc>
        <w:tc>
          <w:tcPr>
            <w:tcW w:w="2790" w:type="dxa"/>
            <w:gridSpan w:val="3"/>
            <w:vAlign w:val="center"/>
          </w:tcPr>
          <w:p w14:paraId="2F863E82">
            <w:pPr>
              <w:pStyle w:val="133"/>
              <w:rPr>
                <w:rFonts w:cs="Times New Roman"/>
                <w:color w:val="000000"/>
                <w:szCs w:val="21"/>
              </w:rPr>
            </w:pPr>
            <w:r>
              <w:rPr>
                <w:rFonts w:cs="Times New Roman"/>
                <w:color w:val="000000"/>
                <w:szCs w:val="21"/>
              </w:rPr>
              <w:t>分子式：H</w:t>
            </w:r>
            <w:r>
              <w:rPr>
                <w:rFonts w:cs="Times New Roman"/>
                <w:color w:val="000000"/>
                <w:szCs w:val="21"/>
                <w:vertAlign w:val="subscript"/>
              </w:rPr>
              <w:t>2</w:t>
            </w:r>
            <w:r>
              <w:rPr>
                <w:rFonts w:cs="Times New Roman"/>
                <w:color w:val="000000"/>
                <w:szCs w:val="21"/>
              </w:rPr>
              <w:t>SO</w:t>
            </w:r>
            <w:r>
              <w:rPr>
                <w:rFonts w:cs="Times New Roman"/>
                <w:color w:val="000000"/>
                <w:szCs w:val="21"/>
                <w:vertAlign w:val="subscript"/>
              </w:rPr>
              <w:t>4</w:t>
            </w:r>
          </w:p>
        </w:tc>
        <w:tc>
          <w:tcPr>
            <w:tcW w:w="2494" w:type="dxa"/>
            <w:gridSpan w:val="5"/>
            <w:vAlign w:val="center"/>
          </w:tcPr>
          <w:p w14:paraId="4C18D8D1">
            <w:pPr>
              <w:pStyle w:val="133"/>
              <w:rPr>
                <w:rFonts w:cs="Times New Roman"/>
                <w:color w:val="000000"/>
                <w:szCs w:val="21"/>
              </w:rPr>
            </w:pPr>
            <w:r>
              <w:rPr>
                <w:rFonts w:cs="Times New Roman"/>
                <w:color w:val="000000"/>
                <w:szCs w:val="21"/>
              </w:rPr>
              <w:t>分子量：98.08</w:t>
            </w:r>
          </w:p>
        </w:tc>
        <w:tc>
          <w:tcPr>
            <w:tcW w:w="3019" w:type="dxa"/>
            <w:gridSpan w:val="3"/>
            <w:tcBorders>
              <w:right w:val="single" w:color="auto" w:sz="12" w:space="0"/>
            </w:tcBorders>
            <w:vAlign w:val="center"/>
          </w:tcPr>
          <w:p w14:paraId="7042B0BA">
            <w:pPr>
              <w:pStyle w:val="133"/>
              <w:rPr>
                <w:rFonts w:cs="Times New Roman"/>
                <w:color w:val="000000"/>
                <w:szCs w:val="21"/>
              </w:rPr>
            </w:pPr>
            <w:r>
              <w:rPr>
                <w:rFonts w:cs="Times New Roman"/>
                <w:color w:val="000000"/>
                <w:szCs w:val="21"/>
              </w:rPr>
              <w:t>CAS号：7664-93-9</w:t>
            </w:r>
          </w:p>
        </w:tc>
      </w:tr>
      <w:tr w14:paraId="3EF1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restart"/>
            <w:tcBorders>
              <w:left w:val="single" w:color="auto" w:sz="12" w:space="0"/>
            </w:tcBorders>
            <w:vAlign w:val="center"/>
          </w:tcPr>
          <w:p w14:paraId="35E064ED">
            <w:pPr>
              <w:pStyle w:val="133"/>
              <w:rPr>
                <w:rFonts w:cs="Times New Roman"/>
                <w:color w:val="000000"/>
                <w:szCs w:val="21"/>
              </w:rPr>
            </w:pPr>
            <w:r>
              <w:rPr>
                <w:rFonts w:cs="Times New Roman"/>
                <w:color w:val="000000"/>
                <w:szCs w:val="21"/>
              </w:rPr>
              <w:t>理化性质</w:t>
            </w:r>
          </w:p>
        </w:tc>
        <w:tc>
          <w:tcPr>
            <w:tcW w:w="1554" w:type="dxa"/>
            <w:vAlign w:val="center"/>
          </w:tcPr>
          <w:p w14:paraId="7C8CA160">
            <w:pPr>
              <w:pStyle w:val="133"/>
              <w:rPr>
                <w:rFonts w:cs="Times New Roman"/>
                <w:color w:val="000000"/>
                <w:szCs w:val="21"/>
              </w:rPr>
            </w:pPr>
            <w:r>
              <w:rPr>
                <w:rFonts w:cs="Times New Roman"/>
                <w:color w:val="000000"/>
                <w:szCs w:val="21"/>
              </w:rPr>
              <w:t>外观与性状</w:t>
            </w:r>
          </w:p>
        </w:tc>
        <w:tc>
          <w:tcPr>
            <w:tcW w:w="6749" w:type="dxa"/>
            <w:gridSpan w:val="10"/>
            <w:tcBorders>
              <w:right w:val="single" w:color="auto" w:sz="12" w:space="0"/>
            </w:tcBorders>
            <w:vAlign w:val="center"/>
          </w:tcPr>
          <w:p w14:paraId="3A17D271">
            <w:pPr>
              <w:pStyle w:val="133"/>
              <w:rPr>
                <w:rFonts w:cs="Times New Roman"/>
                <w:color w:val="000000"/>
                <w:szCs w:val="21"/>
              </w:rPr>
            </w:pPr>
            <w:r>
              <w:rPr>
                <w:rFonts w:hint="eastAsia" w:cs="Times New Roman"/>
                <w:color w:val="000000"/>
                <w:szCs w:val="21"/>
              </w:rPr>
              <w:t>纯品为无色透明油状液体，无臭。</w:t>
            </w:r>
          </w:p>
        </w:tc>
      </w:tr>
      <w:tr w14:paraId="76C8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3FE1D859">
            <w:pPr>
              <w:pStyle w:val="133"/>
              <w:rPr>
                <w:rFonts w:cs="Times New Roman"/>
                <w:color w:val="000000"/>
                <w:szCs w:val="21"/>
              </w:rPr>
            </w:pPr>
          </w:p>
        </w:tc>
        <w:tc>
          <w:tcPr>
            <w:tcW w:w="1554" w:type="dxa"/>
            <w:vAlign w:val="center"/>
          </w:tcPr>
          <w:p w14:paraId="5635A0FA">
            <w:pPr>
              <w:pStyle w:val="133"/>
              <w:rPr>
                <w:rFonts w:cs="Times New Roman"/>
                <w:color w:val="000000"/>
                <w:szCs w:val="21"/>
              </w:rPr>
            </w:pPr>
            <w:r>
              <w:rPr>
                <w:rFonts w:cs="Times New Roman"/>
                <w:color w:val="000000"/>
                <w:szCs w:val="21"/>
              </w:rPr>
              <w:t>熔点（℃）</w:t>
            </w:r>
          </w:p>
        </w:tc>
        <w:tc>
          <w:tcPr>
            <w:tcW w:w="1149" w:type="dxa"/>
            <w:vAlign w:val="center"/>
          </w:tcPr>
          <w:p w14:paraId="626D7E12">
            <w:pPr>
              <w:pStyle w:val="133"/>
              <w:rPr>
                <w:rFonts w:cs="Times New Roman"/>
                <w:color w:val="000000"/>
                <w:szCs w:val="21"/>
              </w:rPr>
            </w:pPr>
            <w:r>
              <w:rPr>
                <w:rFonts w:cs="Times New Roman"/>
                <w:color w:val="000000"/>
                <w:szCs w:val="21"/>
              </w:rPr>
              <w:t>10.5</w:t>
            </w:r>
          </w:p>
        </w:tc>
        <w:tc>
          <w:tcPr>
            <w:tcW w:w="1683" w:type="dxa"/>
            <w:gridSpan w:val="4"/>
            <w:vAlign w:val="center"/>
          </w:tcPr>
          <w:p w14:paraId="1D8A5DEB">
            <w:pPr>
              <w:pStyle w:val="133"/>
              <w:rPr>
                <w:rFonts w:cs="Times New Roman"/>
                <w:color w:val="000000"/>
                <w:szCs w:val="21"/>
              </w:rPr>
            </w:pPr>
            <w:r>
              <w:rPr>
                <w:rFonts w:cs="Times New Roman"/>
                <w:color w:val="000000"/>
                <w:szCs w:val="21"/>
              </w:rPr>
              <w:t>相对密度（水=1）</w:t>
            </w:r>
          </w:p>
        </w:tc>
        <w:tc>
          <w:tcPr>
            <w:tcW w:w="898" w:type="dxa"/>
            <w:gridSpan w:val="2"/>
            <w:vAlign w:val="center"/>
          </w:tcPr>
          <w:p w14:paraId="6041D0FE">
            <w:pPr>
              <w:pStyle w:val="133"/>
              <w:rPr>
                <w:rFonts w:cs="Times New Roman"/>
                <w:color w:val="000000"/>
                <w:szCs w:val="21"/>
              </w:rPr>
            </w:pPr>
            <w:r>
              <w:rPr>
                <w:rFonts w:cs="Times New Roman"/>
                <w:color w:val="000000"/>
                <w:szCs w:val="21"/>
              </w:rPr>
              <w:t>1.83</w:t>
            </w:r>
          </w:p>
        </w:tc>
        <w:tc>
          <w:tcPr>
            <w:tcW w:w="1939" w:type="dxa"/>
            <w:gridSpan w:val="2"/>
            <w:vAlign w:val="center"/>
          </w:tcPr>
          <w:p w14:paraId="57FB8B32">
            <w:pPr>
              <w:pStyle w:val="133"/>
              <w:rPr>
                <w:rFonts w:cs="Times New Roman"/>
                <w:color w:val="000000"/>
                <w:szCs w:val="21"/>
              </w:rPr>
            </w:pPr>
            <w:r>
              <w:rPr>
                <w:rFonts w:cs="Times New Roman"/>
                <w:color w:val="000000"/>
                <w:szCs w:val="21"/>
              </w:rPr>
              <w:t>相对密度（空气=1）</w:t>
            </w:r>
          </w:p>
        </w:tc>
        <w:tc>
          <w:tcPr>
            <w:tcW w:w="1080" w:type="dxa"/>
            <w:tcBorders>
              <w:right w:val="single" w:color="auto" w:sz="12" w:space="0"/>
            </w:tcBorders>
            <w:vAlign w:val="center"/>
          </w:tcPr>
          <w:p w14:paraId="6817DEB8">
            <w:pPr>
              <w:pStyle w:val="133"/>
              <w:rPr>
                <w:rFonts w:cs="Times New Roman"/>
                <w:color w:val="000000"/>
                <w:szCs w:val="21"/>
              </w:rPr>
            </w:pPr>
            <w:r>
              <w:rPr>
                <w:rFonts w:cs="Times New Roman"/>
                <w:color w:val="000000"/>
                <w:szCs w:val="21"/>
              </w:rPr>
              <w:t>3.4</w:t>
            </w:r>
          </w:p>
        </w:tc>
      </w:tr>
      <w:tr w14:paraId="1F59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775BB465">
            <w:pPr>
              <w:pStyle w:val="133"/>
              <w:rPr>
                <w:rFonts w:cs="Times New Roman"/>
                <w:color w:val="000000"/>
                <w:szCs w:val="21"/>
              </w:rPr>
            </w:pPr>
          </w:p>
        </w:tc>
        <w:tc>
          <w:tcPr>
            <w:tcW w:w="1554" w:type="dxa"/>
            <w:vAlign w:val="center"/>
          </w:tcPr>
          <w:p w14:paraId="14247B82">
            <w:pPr>
              <w:pStyle w:val="133"/>
              <w:rPr>
                <w:rFonts w:cs="Times New Roman"/>
                <w:color w:val="000000"/>
                <w:szCs w:val="21"/>
              </w:rPr>
            </w:pPr>
            <w:r>
              <w:rPr>
                <w:rFonts w:cs="Times New Roman"/>
                <w:color w:val="000000"/>
                <w:szCs w:val="21"/>
              </w:rPr>
              <w:t>沸点（℃）</w:t>
            </w:r>
          </w:p>
        </w:tc>
        <w:tc>
          <w:tcPr>
            <w:tcW w:w="1149" w:type="dxa"/>
            <w:vAlign w:val="center"/>
          </w:tcPr>
          <w:p w14:paraId="56A2E498">
            <w:pPr>
              <w:pStyle w:val="133"/>
              <w:rPr>
                <w:rFonts w:cs="Times New Roman"/>
                <w:color w:val="000000"/>
                <w:szCs w:val="21"/>
              </w:rPr>
            </w:pPr>
            <w:r>
              <w:rPr>
                <w:rFonts w:cs="Times New Roman"/>
                <w:color w:val="000000"/>
                <w:szCs w:val="21"/>
              </w:rPr>
              <w:t>125</w:t>
            </w:r>
          </w:p>
        </w:tc>
        <w:tc>
          <w:tcPr>
            <w:tcW w:w="2581" w:type="dxa"/>
            <w:gridSpan w:val="6"/>
            <w:vAlign w:val="center"/>
          </w:tcPr>
          <w:p w14:paraId="4228882A">
            <w:pPr>
              <w:pStyle w:val="133"/>
              <w:rPr>
                <w:rFonts w:cs="Times New Roman"/>
                <w:color w:val="000000"/>
                <w:szCs w:val="21"/>
              </w:rPr>
            </w:pPr>
            <w:r>
              <w:rPr>
                <w:rFonts w:hint="eastAsia" w:cs="Times New Roman"/>
                <w:color w:val="000000"/>
                <w:szCs w:val="21"/>
              </w:rPr>
              <w:t>饱和蒸汽压</w:t>
            </w:r>
            <w:r>
              <w:rPr>
                <w:rFonts w:cs="Times New Roman"/>
                <w:color w:val="000000"/>
                <w:szCs w:val="21"/>
              </w:rPr>
              <w:t>（kPa）</w:t>
            </w:r>
          </w:p>
        </w:tc>
        <w:tc>
          <w:tcPr>
            <w:tcW w:w="3019" w:type="dxa"/>
            <w:gridSpan w:val="3"/>
            <w:tcBorders>
              <w:right w:val="single" w:color="auto" w:sz="12" w:space="0"/>
            </w:tcBorders>
            <w:vAlign w:val="center"/>
          </w:tcPr>
          <w:p w14:paraId="27FC9125">
            <w:pPr>
              <w:pStyle w:val="133"/>
              <w:rPr>
                <w:rFonts w:cs="Times New Roman"/>
                <w:color w:val="000000"/>
                <w:szCs w:val="21"/>
              </w:rPr>
            </w:pPr>
            <w:r>
              <w:rPr>
                <w:rFonts w:cs="Times New Roman"/>
                <w:color w:val="000000"/>
                <w:szCs w:val="21"/>
              </w:rPr>
              <w:t>0.21</w:t>
            </w:r>
            <w:r>
              <w:rPr>
                <w:rFonts w:hint="eastAsia" w:cs="Times New Roman"/>
                <w:color w:val="000000"/>
                <w:szCs w:val="21"/>
              </w:rPr>
              <w:t>(</w:t>
            </w:r>
            <w:r>
              <w:rPr>
                <w:rFonts w:cs="Times New Roman"/>
                <w:color w:val="000000"/>
                <w:szCs w:val="21"/>
              </w:rPr>
              <w:t>84.5℃</w:t>
            </w:r>
            <w:r>
              <w:rPr>
                <w:rFonts w:hint="eastAsia" w:cs="Times New Roman"/>
                <w:color w:val="000000"/>
                <w:szCs w:val="21"/>
              </w:rPr>
              <w:t>)</w:t>
            </w:r>
          </w:p>
        </w:tc>
      </w:tr>
      <w:tr w14:paraId="5F59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34CC2099">
            <w:pPr>
              <w:pStyle w:val="133"/>
              <w:rPr>
                <w:rFonts w:cs="Times New Roman"/>
                <w:color w:val="000000"/>
                <w:szCs w:val="21"/>
              </w:rPr>
            </w:pPr>
          </w:p>
        </w:tc>
        <w:tc>
          <w:tcPr>
            <w:tcW w:w="1554" w:type="dxa"/>
            <w:vAlign w:val="center"/>
          </w:tcPr>
          <w:p w14:paraId="160B700A">
            <w:pPr>
              <w:pStyle w:val="133"/>
              <w:rPr>
                <w:rFonts w:cs="Times New Roman"/>
                <w:color w:val="000000"/>
                <w:szCs w:val="21"/>
              </w:rPr>
            </w:pPr>
            <w:r>
              <w:rPr>
                <w:rFonts w:cs="Times New Roman"/>
                <w:color w:val="000000"/>
                <w:szCs w:val="21"/>
              </w:rPr>
              <w:t>溶解性</w:t>
            </w:r>
          </w:p>
        </w:tc>
        <w:tc>
          <w:tcPr>
            <w:tcW w:w="6749" w:type="dxa"/>
            <w:gridSpan w:val="10"/>
            <w:tcBorders>
              <w:right w:val="single" w:color="auto" w:sz="12" w:space="0"/>
            </w:tcBorders>
            <w:vAlign w:val="center"/>
          </w:tcPr>
          <w:p w14:paraId="4FD5FD08">
            <w:pPr>
              <w:pStyle w:val="133"/>
              <w:rPr>
                <w:rFonts w:cs="Times New Roman"/>
                <w:color w:val="000000"/>
                <w:szCs w:val="21"/>
              </w:rPr>
            </w:pPr>
            <w:r>
              <w:rPr>
                <w:rFonts w:hint="eastAsia" w:cs="Times New Roman"/>
                <w:color w:val="000000"/>
                <w:szCs w:val="21"/>
              </w:rPr>
              <w:t>与水混容</w:t>
            </w:r>
            <w:r>
              <w:rPr>
                <w:rFonts w:cs="Times New Roman"/>
                <w:color w:val="000000"/>
                <w:szCs w:val="21"/>
              </w:rPr>
              <w:t>。</w:t>
            </w:r>
          </w:p>
        </w:tc>
      </w:tr>
      <w:tr w14:paraId="2C6B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restart"/>
            <w:tcBorders>
              <w:left w:val="single" w:color="auto" w:sz="12" w:space="0"/>
            </w:tcBorders>
            <w:vAlign w:val="center"/>
          </w:tcPr>
          <w:p w14:paraId="767EA806">
            <w:pPr>
              <w:pStyle w:val="133"/>
              <w:rPr>
                <w:rFonts w:cs="Times New Roman"/>
                <w:color w:val="000000"/>
                <w:szCs w:val="21"/>
              </w:rPr>
            </w:pPr>
            <w:r>
              <w:rPr>
                <w:rFonts w:cs="Times New Roman"/>
                <w:color w:val="000000"/>
                <w:szCs w:val="21"/>
              </w:rPr>
              <w:t>毒性及健康危害</w:t>
            </w:r>
          </w:p>
        </w:tc>
        <w:tc>
          <w:tcPr>
            <w:tcW w:w="1554" w:type="dxa"/>
            <w:vAlign w:val="center"/>
          </w:tcPr>
          <w:p w14:paraId="7400F14D">
            <w:pPr>
              <w:pStyle w:val="133"/>
              <w:rPr>
                <w:rFonts w:cs="Times New Roman"/>
                <w:color w:val="000000"/>
                <w:szCs w:val="21"/>
              </w:rPr>
            </w:pPr>
            <w:r>
              <w:rPr>
                <w:rFonts w:cs="Times New Roman"/>
                <w:color w:val="000000"/>
                <w:szCs w:val="21"/>
              </w:rPr>
              <w:t>侵入途径</w:t>
            </w:r>
          </w:p>
        </w:tc>
        <w:tc>
          <w:tcPr>
            <w:tcW w:w="6749" w:type="dxa"/>
            <w:gridSpan w:val="10"/>
            <w:tcBorders>
              <w:right w:val="single" w:color="auto" w:sz="12" w:space="0"/>
            </w:tcBorders>
            <w:vAlign w:val="center"/>
          </w:tcPr>
          <w:p w14:paraId="63361261">
            <w:pPr>
              <w:pStyle w:val="133"/>
              <w:rPr>
                <w:rFonts w:cs="Times New Roman"/>
                <w:color w:val="000000"/>
                <w:szCs w:val="21"/>
              </w:rPr>
            </w:pPr>
            <w:r>
              <w:rPr>
                <w:rFonts w:hint="eastAsia" w:cs="Times New Roman"/>
                <w:color w:val="000000"/>
                <w:szCs w:val="21"/>
              </w:rPr>
              <w:t>吸入、食入</w:t>
            </w:r>
            <w:r>
              <w:rPr>
                <w:rFonts w:cs="Times New Roman"/>
                <w:color w:val="000000"/>
                <w:szCs w:val="21"/>
              </w:rPr>
              <w:t>。</w:t>
            </w:r>
          </w:p>
        </w:tc>
      </w:tr>
      <w:tr w14:paraId="3887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44645F13">
            <w:pPr>
              <w:pStyle w:val="133"/>
              <w:rPr>
                <w:rFonts w:cs="Times New Roman"/>
                <w:color w:val="000000"/>
                <w:szCs w:val="21"/>
              </w:rPr>
            </w:pPr>
          </w:p>
        </w:tc>
        <w:tc>
          <w:tcPr>
            <w:tcW w:w="1554" w:type="dxa"/>
            <w:vAlign w:val="center"/>
          </w:tcPr>
          <w:p w14:paraId="59A03464">
            <w:pPr>
              <w:pStyle w:val="133"/>
              <w:rPr>
                <w:rFonts w:cs="Times New Roman"/>
                <w:color w:val="000000"/>
                <w:szCs w:val="21"/>
              </w:rPr>
            </w:pPr>
            <w:r>
              <w:rPr>
                <w:rFonts w:cs="Times New Roman"/>
                <w:color w:val="000000"/>
                <w:szCs w:val="21"/>
              </w:rPr>
              <w:t>毒性</w:t>
            </w:r>
          </w:p>
        </w:tc>
        <w:tc>
          <w:tcPr>
            <w:tcW w:w="6749" w:type="dxa"/>
            <w:gridSpan w:val="10"/>
            <w:tcBorders>
              <w:right w:val="single" w:color="auto" w:sz="12" w:space="0"/>
            </w:tcBorders>
            <w:vAlign w:val="center"/>
          </w:tcPr>
          <w:p w14:paraId="7206CE05">
            <w:pPr>
              <w:pStyle w:val="133"/>
              <w:rPr>
                <w:rFonts w:cs="Times New Roman"/>
                <w:color w:val="000000"/>
                <w:szCs w:val="21"/>
              </w:rPr>
            </w:pPr>
            <w:r>
              <w:rPr>
                <w:rFonts w:hint="eastAsia" w:cs="Times New Roman"/>
                <w:color w:val="000000"/>
                <w:szCs w:val="21"/>
              </w:rPr>
              <w:t>LD</w:t>
            </w:r>
            <w:r>
              <w:rPr>
                <w:rFonts w:hint="eastAsia" w:cs="Times New Roman"/>
                <w:color w:val="000000"/>
                <w:szCs w:val="21"/>
                <w:vertAlign w:val="subscript"/>
              </w:rPr>
              <w:t>50:</w:t>
            </w:r>
            <w:r>
              <w:rPr>
                <w:rFonts w:hint="eastAsia" w:cs="Times New Roman"/>
                <w:color w:val="000000"/>
                <w:szCs w:val="21"/>
              </w:rPr>
              <w:t>2140mg/kg（大鼠经口）；</w:t>
            </w:r>
          </w:p>
          <w:p w14:paraId="0A1A9306">
            <w:pPr>
              <w:pStyle w:val="133"/>
              <w:rPr>
                <w:rFonts w:cs="Times New Roman"/>
                <w:color w:val="000000"/>
                <w:szCs w:val="21"/>
              </w:rPr>
            </w:pPr>
            <w:r>
              <w:rPr>
                <w:rFonts w:hint="eastAsia" w:cs="Times New Roman"/>
                <w:color w:val="000000"/>
                <w:szCs w:val="21"/>
              </w:rPr>
              <w:t>LC</w:t>
            </w:r>
            <w:r>
              <w:rPr>
                <w:rFonts w:hint="eastAsia" w:cs="Times New Roman"/>
                <w:color w:val="000000"/>
                <w:szCs w:val="21"/>
                <w:vertAlign w:val="subscript"/>
              </w:rPr>
              <w:t>50:</w:t>
            </w:r>
            <w:r>
              <w:rPr>
                <w:rFonts w:hint="eastAsia" w:cs="Times New Roman"/>
                <w:color w:val="000000"/>
                <w:szCs w:val="21"/>
              </w:rPr>
              <w:t xml:space="preserve">510mg/kg，2小时（小鼠吸入）； </w:t>
            </w:r>
          </w:p>
        </w:tc>
      </w:tr>
      <w:tr w14:paraId="3130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31335C0C">
            <w:pPr>
              <w:pStyle w:val="133"/>
              <w:rPr>
                <w:rFonts w:cs="Times New Roman"/>
                <w:color w:val="000000"/>
                <w:szCs w:val="21"/>
              </w:rPr>
            </w:pPr>
          </w:p>
        </w:tc>
        <w:tc>
          <w:tcPr>
            <w:tcW w:w="1554" w:type="dxa"/>
            <w:vAlign w:val="center"/>
          </w:tcPr>
          <w:p w14:paraId="1A5EF37B">
            <w:pPr>
              <w:pStyle w:val="133"/>
              <w:rPr>
                <w:rFonts w:cs="Times New Roman"/>
                <w:color w:val="000000"/>
                <w:szCs w:val="21"/>
              </w:rPr>
            </w:pPr>
            <w:r>
              <w:rPr>
                <w:rFonts w:cs="Times New Roman"/>
                <w:color w:val="000000"/>
                <w:szCs w:val="21"/>
              </w:rPr>
              <w:t>健康危害</w:t>
            </w:r>
          </w:p>
        </w:tc>
        <w:tc>
          <w:tcPr>
            <w:tcW w:w="6749" w:type="dxa"/>
            <w:gridSpan w:val="10"/>
            <w:tcBorders>
              <w:right w:val="single" w:color="auto" w:sz="12" w:space="0"/>
            </w:tcBorders>
            <w:vAlign w:val="center"/>
          </w:tcPr>
          <w:p w14:paraId="47AF7539">
            <w:pPr>
              <w:pStyle w:val="133"/>
              <w:rPr>
                <w:rFonts w:cs="Times New Roman"/>
                <w:color w:val="000000"/>
                <w:szCs w:val="21"/>
              </w:rPr>
            </w:pPr>
            <w:r>
              <w:rPr>
                <w:rFonts w:hint="eastAsia" w:cs="Times New Roman"/>
                <w:color w:val="000000"/>
                <w:szCs w:val="21"/>
              </w:rPr>
              <w:t>对皮肤、黏膜等组织有强烈的刺激和腐蚀作用。蒸气或雾可引起结膜炎、结膜水肿、角膜混浊，以致失明；引起呼吸道刺激，重者发生呼吸困难和肺水肿；高浓度引起痉挛或声门水肿而窒息死亡。口服后引起消化道烧伤以致溃疡形成；严重者可能有胃穿孔、腹膜炎、肾损害、 休克等。皮肤灼伤轻者出现红斑，重者形成溃疡，愈后瘢痕收缩影响功能。溅入眼内可造成灼伤，甚至角膜穿孔、全眼炎以致失明。慢性影响：牙齿酸蚀症、慢性支气管炎、肺气肿和肺硬化。</w:t>
            </w:r>
          </w:p>
        </w:tc>
      </w:tr>
      <w:tr w14:paraId="3726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restart"/>
            <w:tcBorders>
              <w:left w:val="single" w:color="auto" w:sz="12" w:space="0"/>
            </w:tcBorders>
            <w:vAlign w:val="center"/>
          </w:tcPr>
          <w:p w14:paraId="3C10FB76">
            <w:pPr>
              <w:pStyle w:val="133"/>
              <w:rPr>
                <w:rFonts w:cs="Times New Roman"/>
                <w:color w:val="000000"/>
                <w:szCs w:val="21"/>
              </w:rPr>
            </w:pPr>
            <w:r>
              <w:rPr>
                <w:rFonts w:cs="Times New Roman"/>
                <w:color w:val="000000"/>
                <w:szCs w:val="21"/>
              </w:rPr>
              <w:t>燃烧爆炸危险性</w:t>
            </w:r>
          </w:p>
        </w:tc>
        <w:tc>
          <w:tcPr>
            <w:tcW w:w="1554" w:type="dxa"/>
            <w:vAlign w:val="center"/>
          </w:tcPr>
          <w:p w14:paraId="728BC20B">
            <w:pPr>
              <w:pStyle w:val="133"/>
              <w:rPr>
                <w:rFonts w:cs="Times New Roman"/>
                <w:color w:val="000000"/>
                <w:szCs w:val="21"/>
              </w:rPr>
            </w:pPr>
            <w:r>
              <w:rPr>
                <w:rFonts w:cs="Times New Roman"/>
                <w:color w:val="000000"/>
                <w:szCs w:val="21"/>
              </w:rPr>
              <w:t>燃烧性</w:t>
            </w:r>
          </w:p>
        </w:tc>
        <w:tc>
          <w:tcPr>
            <w:tcW w:w="1567" w:type="dxa"/>
            <w:gridSpan w:val="3"/>
            <w:vAlign w:val="center"/>
          </w:tcPr>
          <w:p w14:paraId="76A01A93">
            <w:pPr>
              <w:pStyle w:val="133"/>
              <w:rPr>
                <w:rFonts w:cs="Times New Roman"/>
                <w:color w:val="000000"/>
                <w:szCs w:val="21"/>
              </w:rPr>
            </w:pPr>
            <w:r>
              <w:rPr>
                <w:rFonts w:hint="eastAsia" w:cs="Times New Roman"/>
                <w:color w:val="000000"/>
                <w:szCs w:val="21"/>
              </w:rPr>
              <w:t>不燃</w:t>
            </w:r>
          </w:p>
        </w:tc>
        <w:tc>
          <w:tcPr>
            <w:tcW w:w="1945" w:type="dxa"/>
            <w:gridSpan w:val="3"/>
            <w:vAlign w:val="center"/>
          </w:tcPr>
          <w:p w14:paraId="77287FE5">
            <w:pPr>
              <w:pStyle w:val="133"/>
              <w:rPr>
                <w:rFonts w:cs="Times New Roman"/>
                <w:color w:val="000000"/>
                <w:szCs w:val="21"/>
              </w:rPr>
            </w:pPr>
            <w:r>
              <w:rPr>
                <w:rFonts w:cs="Times New Roman"/>
                <w:color w:val="000000"/>
                <w:szCs w:val="21"/>
              </w:rPr>
              <w:t>燃烧分解物</w:t>
            </w:r>
          </w:p>
        </w:tc>
        <w:tc>
          <w:tcPr>
            <w:tcW w:w="3237" w:type="dxa"/>
            <w:gridSpan w:val="4"/>
            <w:tcBorders>
              <w:right w:val="single" w:color="auto" w:sz="12" w:space="0"/>
            </w:tcBorders>
            <w:vAlign w:val="center"/>
          </w:tcPr>
          <w:p w14:paraId="67BF7631">
            <w:pPr>
              <w:pStyle w:val="133"/>
              <w:rPr>
                <w:rFonts w:cs="Times New Roman"/>
                <w:color w:val="000000"/>
                <w:szCs w:val="21"/>
              </w:rPr>
            </w:pPr>
            <w:r>
              <w:rPr>
                <w:rFonts w:hint="eastAsia" w:cs="Times New Roman"/>
                <w:color w:val="000000"/>
                <w:szCs w:val="21"/>
              </w:rPr>
              <w:t>氧化硫</w:t>
            </w:r>
          </w:p>
        </w:tc>
      </w:tr>
      <w:tr w14:paraId="559C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4B0D4E6C">
            <w:pPr>
              <w:pStyle w:val="133"/>
              <w:rPr>
                <w:rFonts w:cs="Times New Roman"/>
                <w:color w:val="000000"/>
                <w:szCs w:val="21"/>
              </w:rPr>
            </w:pPr>
          </w:p>
        </w:tc>
        <w:tc>
          <w:tcPr>
            <w:tcW w:w="1554" w:type="dxa"/>
            <w:vAlign w:val="center"/>
          </w:tcPr>
          <w:p w14:paraId="58865854">
            <w:pPr>
              <w:pStyle w:val="133"/>
              <w:rPr>
                <w:rFonts w:cs="Times New Roman"/>
                <w:color w:val="000000"/>
                <w:szCs w:val="21"/>
              </w:rPr>
            </w:pPr>
            <w:r>
              <w:rPr>
                <w:rFonts w:cs="Times New Roman"/>
                <w:color w:val="000000"/>
                <w:szCs w:val="21"/>
              </w:rPr>
              <w:t>闪点（℃）</w:t>
            </w:r>
          </w:p>
        </w:tc>
        <w:tc>
          <w:tcPr>
            <w:tcW w:w="1567" w:type="dxa"/>
            <w:gridSpan w:val="3"/>
            <w:vAlign w:val="center"/>
          </w:tcPr>
          <w:p w14:paraId="34F77937">
            <w:pPr>
              <w:pStyle w:val="133"/>
              <w:rPr>
                <w:rFonts w:cs="Times New Roman"/>
                <w:color w:val="000000"/>
                <w:szCs w:val="21"/>
              </w:rPr>
            </w:pPr>
            <w:r>
              <w:rPr>
                <w:rFonts w:hint="eastAsia" w:cs="Times New Roman"/>
                <w:color w:val="000000"/>
                <w:szCs w:val="21"/>
              </w:rPr>
              <w:t>无意义</w:t>
            </w:r>
          </w:p>
        </w:tc>
        <w:tc>
          <w:tcPr>
            <w:tcW w:w="1945" w:type="dxa"/>
            <w:gridSpan w:val="3"/>
            <w:vAlign w:val="center"/>
          </w:tcPr>
          <w:p w14:paraId="14F1FFA3">
            <w:pPr>
              <w:pStyle w:val="133"/>
              <w:rPr>
                <w:rFonts w:cs="Times New Roman"/>
                <w:color w:val="000000"/>
                <w:szCs w:val="21"/>
              </w:rPr>
            </w:pPr>
            <w:r>
              <w:rPr>
                <w:rFonts w:cs="Times New Roman"/>
                <w:color w:val="000000"/>
                <w:szCs w:val="21"/>
              </w:rPr>
              <w:t>爆炸上限（v%）</w:t>
            </w:r>
          </w:p>
        </w:tc>
        <w:tc>
          <w:tcPr>
            <w:tcW w:w="3237" w:type="dxa"/>
            <w:gridSpan w:val="4"/>
            <w:tcBorders>
              <w:right w:val="single" w:color="auto" w:sz="12" w:space="0"/>
            </w:tcBorders>
            <w:vAlign w:val="center"/>
          </w:tcPr>
          <w:p w14:paraId="22E8BCB9">
            <w:pPr>
              <w:pStyle w:val="133"/>
              <w:rPr>
                <w:rFonts w:cs="Times New Roman"/>
                <w:color w:val="000000"/>
                <w:szCs w:val="21"/>
              </w:rPr>
            </w:pPr>
            <w:r>
              <w:rPr>
                <w:rFonts w:hint="eastAsia" w:cs="Times New Roman"/>
                <w:color w:val="000000"/>
                <w:szCs w:val="21"/>
              </w:rPr>
              <w:t>无资料</w:t>
            </w:r>
          </w:p>
        </w:tc>
      </w:tr>
      <w:tr w14:paraId="7B86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7D8A6803">
            <w:pPr>
              <w:pStyle w:val="133"/>
              <w:rPr>
                <w:rFonts w:cs="Times New Roman"/>
                <w:color w:val="000000"/>
                <w:szCs w:val="21"/>
              </w:rPr>
            </w:pPr>
          </w:p>
        </w:tc>
        <w:tc>
          <w:tcPr>
            <w:tcW w:w="1554" w:type="dxa"/>
            <w:vAlign w:val="center"/>
          </w:tcPr>
          <w:p w14:paraId="41C53333">
            <w:pPr>
              <w:pStyle w:val="133"/>
              <w:rPr>
                <w:rFonts w:cs="Times New Roman"/>
                <w:color w:val="000000"/>
                <w:szCs w:val="21"/>
              </w:rPr>
            </w:pPr>
            <w:r>
              <w:rPr>
                <w:rFonts w:cs="Times New Roman"/>
                <w:color w:val="000000"/>
                <w:szCs w:val="21"/>
              </w:rPr>
              <w:t>引燃温度（℃）</w:t>
            </w:r>
          </w:p>
        </w:tc>
        <w:tc>
          <w:tcPr>
            <w:tcW w:w="1567" w:type="dxa"/>
            <w:gridSpan w:val="3"/>
            <w:vAlign w:val="center"/>
          </w:tcPr>
          <w:p w14:paraId="454A0BF6">
            <w:pPr>
              <w:pStyle w:val="133"/>
              <w:rPr>
                <w:rFonts w:cs="Times New Roman"/>
                <w:color w:val="000000"/>
                <w:szCs w:val="21"/>
              </w:rPr>
            </w:pPr>
            <w:r>
              <w:rPr>
                <w:rFonts w:hint="eastAsia" w:cs="Times New Roman"/>
                <w:color w:val="000000"/>
                <w:szCs w:val="21"/>
              </w:rPr>
              <w:t>无资料</w:t>
            </w:r>
          </w:p>
        </w:tc>
        <w:tc>
          <w:tcPr>
            <w:tcW w:w="1945" w:type="dxa"/>
            <w:gridSpan w:val="3"/>
            <w:vAlign w:val="center"/>
          </w:tcPr>
          <w:p w14:paraId="44B9AD71">
            <w:pPr>
              <w:pStyle w:val="133"/>
              <w:rPr>
                <w:rFonts w:cs="Times New Roman"/>
                <w:color w:val="000000"/>
                <w:szCs w:val="21"/>
              </w:rPr>
            </w:pPr>
            <w:r>
              <w:rPr>
                <w:rFonts w:cs="Times New Roman"/>
                <w:color w:val="000000"/>
                <w:szCs w:val="21"/>
              </w:rPr>
              <w:t>爆炸下限（v%）</w:t>
            </w:r>
          </w:p>
        </w:tc>
        <w:tc>
          <w:tcPr>
            <w:tcW w:w="3237" w:type="dxa"/>
            <w:gridSpan w:val="4"/>
            <w:tcBorders>
              <w:right w:val="single" w:color="auto" w:sz="12" w:space="0"/>
            </w:tcBorders>
            <w:vAlign w:val="center"/>
          </w:tcPr>
          <w:p w14:paraId="223F900F">
            <w:pPr>
              <w:pStyle w:val="133"/>
              <w:rPr>
                <w:rFonts w:cs="Times New Roman"/>
                <w:color w:val="000000"/>
                <w:szCs w:val="21"/>
              </w:rPr>
            </w:pPr>
            <w:r>
              <w:rPr>
                <w:rFonts w:hint="eastAsia" w:cs="Times New Roman"/>
                <w:color w:val="000000"/>
                <w:szCs w:val="21"/>
              </w:rPr>
              <w:t>无资料</w:t>
            </w:r>
          </w:p>
        </w:tc>
      </w:tr>
      <w:tr w14:paraId="403E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6BF58AE9">
            <w:pPr>
              <w:pStyle w:val="133"/>
              <w:rPr>
                <w:rFonts w:cs="Times New Roman"/>
                <w:color w:val="000000"/>
                <w:szCs w:val="21"/>
              </w:rPr>
            </w:pPr>
          </w:p>
        </w:tc>
        <w:tc>
          <w:tcPr>
            <w:tcW w:w="1554" w:type="dxa"/>
            <w:vAlign w:val="center"/>
          </w:tcPr>
          <w:p w14:paraId="45DEF4DF">
            <w:pPr>
              <w:pStyle w:val="133"/>
              <w:rPr>
                <w:rFonts w:cs="Times New Roman"/>
                <w:color w:val="000000"/>
                <w:szCs w:val="21"/>
              </w:rPr>
            </w:pPr>
            <w:r>
              <w:rPr>
                <w:rFonts w:cs="Times New Roman"/>
                <w:color w:val="000000"/>
                <w:szCs w:val="21"/>
              </w:rPr>
              <w:t>建规火险分级</w:t>
            </w:r>
          </w:p>
        </w:tc>
        <w:tc>
          <w:tcPr>
            <w:tcW w:w="1567" w:type="dxa"/>
            <w:gridSpan w:val="3"/>
            <w:vAlign w:val="center"/>
          </w:tcPr>
          <w:p w14:paraId="1564DBF7">
            <w:pPr>
              <w:pStyle w:val="133"/>
              <w:rPr>
                <w:rFonts w:cs="Times New Roman"/>
                <w:color w:val="000000"/>
                <w:szCs w:val="21"/>
              </w:rPr>
            </w:pPr>
            <w:r>
              <w:rPr>
                <w:rFonts w:hint="eastAsia" w:cs="Times New Roman"/>
                <w:color w:val="000000"/>
                <w:szCs w:val="21"/>
              </w:rPr>
              <w:t>乙</w:t>
            </w:r>
          </w:p>
        </w:tc>
        <w:tc>
          <w:tcPr>
            <w:tcW w:w="972" w:type="dxa"/>
            <w:vAlign w:val="center"/>
          </w:tcPr>
          <w:p w14:paraId="59575B1C">
            <w:pPr>
              <w:pStyle w:val="133"/>
              <w:rPr>
                <w:rFonts w:cs="Times New Roman"/>
                <w:color w:val="000000"/>
                <w:szCs w:val="21"/>
              </w:rPr>
            </w:pPr>
            <w:r>
              <w:rPr>
                <w:rFonts w:cs="Times New Roman"/>
                <w:color w:val="000000"/>
                <w:szCs w:val="21"/>
              </w:rPr>
              <w:t>稳定性</w:t>
            </w:r>
          </w:p>
        </w:tc>
        <w:tc>
          <w:tcPr>
            <w:tcW w:w="973" w:type="dxa"/>
            <w:gridSpan w:val="2"/>
            <w:vAlign w:val="center"/>
          </w:tcPr>
          <w:p w14:paraId="074F2CD9">
            <w:pPr>
              <w:pStyle w:val="133"/>
              <w:rPr>
                <w:rFonts w:cs="Times New Roman"/>
                <w:color w:val="000000"/>
                <w:szCs w:val="21"/>
              </w:rPr>
            </w:pPr>
            <w:r>
              <w:rPr>
                <w:rFonts w:cs="Times New Roman"/>
                <w:color w:val="000000"/>
                <w:szCs w:val="21"/>
              </w:rPr>
              <w:t>稳定</w:t>
            </w:r>
          </w:p>
        </w:tc>
        <w:tc>
          <w:tcPr>
            <w:tcW w:w="1498" w:type="dxa"/>
            <w:gridSpan w:val="2"/>
            <w:vAlign w:val="center"/>
          </w:tcPr>
          <w:p w14:paraId="037834FC">
            <w:pPr>
              <w:pStyle w:val="133"/>
              <w:rPr>
                <w:rFonts w:cs="Times New Roman"/>
                <w:color w:val="000000"/>
                <w:szCs w:val="21"/>
              </w:rPr>
            </w:pPr>
            <w:r>
              <w:rPr>
                <w:rFonts w:cs="Times New Roman"/>
                <w:color w:val="000000"/>
                <w:szCs w:val="21"/>
              </w:rPr>
              <w:t>聚合危害</w:t>
            </w:r>
          </w:p>
        </w:tc>
        <w:tc>
          <w:tcPr>
            <w:tcW w:w="1739" w:type="dxa"/>
            <w:gridSpan w:val="2"/>
            <w:tcBorders>
              <w:right w:val="single" w:color="auto" w:sz="12" w:space="0"/>
            </w:tcBorders>
            <w:vAlign w:val="center"/>
          </w:tcPr>
          <w:p w14:paraId="35956B35">
            <w:pPr>
              <w:pStyle w:val="133"/>
              <w:rPr>
                <w:rFonts w:cs="Times New Roman"/>
                <w:color w:val="000000"/>
                <w:szCs w:val="21"/>
              </w:rPr>
            </w:pPr>
            <w:r>
              <w:rPr>
                <w:rFonts w:cs="Times New Roman"/>
                <w:color w:val="000000"/>
                <w:szCs w:val="21"/>
              </w:rPr>
              <w:t>不聚合</w:t>
            </w:r>
          </w:p>
        </w:tc>
      </w:tr>
      <w:tr w14:paraId="21D6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3F2FCAF8">
            <w:pPr>
              <w:pStyle w:val="133"/>
              <w:rPr>
                <w:rFonts w:cs="Times New Roman"/>
                <w:color w:val="000000"/>
                <w:szCs w:val="21"/>
              </w:rPr>
            </w:pPr>
          </w:p>
        </w:tc>
        <w:tc>
          <w:tcPr>
            <w:tcW w:w="1554" w:type="dxa"/>
            <w:vAlign w:val="center"/>
          </w:tcPr>
          <w:p w14:paraId="278A5E84">
            <w:pPr>
              <w:pStyle w:val="133"/>
              <w:rPr>
                <w:rFonts w:cs="Times New Roman"/>
                <w:color w:val="000000"/>
                <w:szCs w:val="21"/>
              </w:rPr>
            </w:pPr>
            <w:r>
              <w:rPr>
                <w:rFonts w:cs="Times New Roman"/>
                <w:color w:val="000000"/>
                <w:szCs w:val="21"/>
              </w:rPr>
              <w:t>禁忌物</w:t>
            </w:r>
          </w:p>
        </w:tc>
        <w:tc>
          <w:tcPr>
            <w:tcW w:w="6749" w:type="dxa"/>
            <w:gridSpan w:val="10"/>
            <w:tcBorders>
              <w:right w:val="single" w:color="auto" w:sz="12" w:space="0"/>
            </w:tcBorders>
            <w:vAlign w:val="center"/>
          </w:tcPr>
          <w:p w14:paraId="0258C04E">
            <w:pPr>
              <w:pStyle w:val="133"/>
              <w:rPr>
                <w:rFonts w:cs="Times New Roman"/>
                <w:color w:val="000000"/>
                <w:szCs w:val="21"/>
              </w:rPr>
            </w:pPr>
            <w:r>
              <w:rPr>
                <w:rFonts w:hint="eastAsia" w:cs="Times New Roman"/>
                <w:color w:val="000000"/>
                <w:szCs w:val="21"/>
              </w:rPr>
              <w:t>碱类、碱金属、水、强还原剂、易燃或可燃物</w:t>
            </w:r>
            <w:r>
              <w:rPr>
                <w:rFonts w:cs="Times New Roman"/>
                <w:color w:val="000000"/>
                <w:szCs w:val="21"/>
              </w:rPr>
              <w:t>。</w:t>
            </w:r>
          </w:p>
        </w:tc>
      </w:tr>
      <w:tr w14:paraId="09BE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2CFDED33">
            <w:pPr>
              <w:pStyle w:val="133"/>
              <w:rPr>
                <w:rFonts w:cs="Times New Roman"/>
                <w:color w:val="000000"/>
                <w:szCs w:val="21"/>
              </w:rPr>
            </w:pPr>
          </w:p>
        </w:tc>
        <w:tc>
          <w:tcPr>
            <w:tcW w:w="1554" w:type="dxa"/>
            <w:vAlign w:val="center"/>
          </w:tcPr>
          <w:p w14:paraId="24817D4B">
            <w:pPr>
              <w:pStyle w:val="133"/>
              <w:rPr>
                <w:rFonts w:cs="Times New Roman"/>
                <w:color w:val="000000"/>
                <w:szCs w:val="21"/>
              </w:rPr>
            </w:pPr>
            <w:r>
              <w:rPr>
                <w:rFonts w:hint="eastAsia" w:cs="Times New Roman"/>
                <w:color w:val="000000"/>
                <w:szCs w:val="21"/>
              </w:rPr>
              <w:t>灭火方法</w:t>
            </w:r>
          </w:p>
        </w:tc>
        <w:tc>
          <w:tcPr>
            <w:tcW w:w="6749" w:type="dxa"/>
            <w:gridSpan w:val="10"/>
            <w:tcBorders>
              <w:right w:val="single" w:color="auto" w:sz="12" w:space="0"/>
            </w:tcBorders>
            <w:vAlign w:val="center"/>
          </w:tcPr>
          <w:p w14:paraId="16B06FD4">
            <w:pPr>
              <w:pStyle w:val="133"/>
              <w:rPr>
                <w:rFonts w:cs="Times New Roman"/>
                <w:color w:val="000000"/>
                <w:szCs w:val="21"/>
              </w:rPr>
            </w:pPr>
            <w:r>
              <w:rPr>
                <w:rFonts w:hint="eastAsia" w:cs="Times New Roman"/>
                <w:color w:val="000000"/>
                <w:szCs w:val="21"/>
              </w:rPr>
              <w:t>砂土。禁止用水。</w:t>
            </w:r>
          </w:p>
        </w:tc>
      </w:tr>
      <w:tr w14:paraId="33F2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restart"/>
            <w:tcBorders>
              <w:left w:val="single" w:color="auto" w:sz="12" w:space="0"/>
            </w:tcBorders>
            <w:vAlign w:val="center"/>
          </w:tcPr>
          <w:p w14:paraId="79B399DF">
            <w:pPr>
              <w:pStyle w:val="133"/>
              <w:rPr>
                <w:rFonts w:cs="Times New Roman"/>
                <w:color w:val="000000"/>
                <w:szCs w:val="21"/>
              </w:rPr>
            </w:pPr>
            <w:r>
              <w:rPr>
                <w:rFonts w:hint="eastAsia" w:cs="Times New Roman"/>
                <w:color w:val="000000"/>
                <w:szCs w:val="21"/>
              </w:rPr>
              <w:t>防</w:t>
            </w:r>
          </w:p>
          <w:p w14:paraId="7A22F007">
            <w:pPr>
              <w:pStyle w:val="133"/>
              <w:rPr>
                <w:rFonts w:cs="Times New Roman"/>
                <w:color w:val="000000"/>
                <w:szCs w:val="21"/>
              </w:rPr>
            </w:pPr>
            <w:r>
              <w:rPr>
                <w:rFonts w:hint="eastAsia" w:cs="Times New Roman"/>
                <w:color w:val="000000"/>
                <w:szCs w:val="21"/>
              </w:rPr>
              <w:t>护</w:t>
            </w:r>
          </w:p>
          <w:p w14:paraId="295F2BAA">
            <w:pPr>
              <w:pStyle w:val="133"/>
              <w:rPr>
                <w:rFonts w:cs="Times New Roman"/>
                <w:color w:val="000000"/>
                <w:szCs w:val="21"/>
              </w:rPr>
            </w:pPr>
            <w:r>
              <w:rPr>
                <w:rFonts w:hint="eastAsia" w:cs="Times New Roman"/>
                <w:color w:val="000000"/>
                <w:szCs w:val="21"/>
              </w:rPr>
              <w:t>措</w:t>
            </w:r>
          </w:p>
          <w:p w14:paraId="431ADA9F">
            <w:pPr>
              <w:pStyle w:val="133"/>
              <w:rPr>
                <w:rFonts w:cs="Times New Roman"/>
                <w:color w:val="000000"/>
                <w:szCs w:val="21"/>
              </w:rPr>
            </w:pPr>
            <w:r>
              <w:rPr>
                <w:rFonts w:hint="eastAsia" w:cs="Times New Roman"/>
                <w:color w:val="000000"/>
                <w:szCs w:val="21"/>
              </w:rPr>
              <w:t>施</w:t>
            </w:r>
          </w:p>
        </w:tc>
        <w:tc>
          <w:tcPr>
            <w:tcW w:w="1554" w:type="dxa"/>
            <w:vAlign w:val="center"/>
          </w:tcPr>
          <w:p w14:paraId="7841D2A3">
            <w:pPr>
              <w:pStyle w:val="133"/>
              <w:rPr>
                <w:rFonts w:cs="Times New Roman"/>
                <w:color w:val="000000"/>
                <w:szCs w:val="21"/>
              </w:rPr>
            </w:pPr>
            <w:r>
              <w:rPr>
                <w:rFonts w:hint="eastAsia" w:cs="Times New Roman"/>
                <w:color w:val="000000"/>
                <w:szCs w:val="21"/>
              </w:rPr>
              <w:t>呼吸系统防护</w:t>
            </w:r>
          </w:p>
        </w:tc>
        <w:tc>
          <w:tcPr>
            <w:tcW w:w="6749" w:type="dxa"/>
            <w:gridSpan w:val="10"/>
            <w:tcBorders>
              <w:right w:val="single" w:color="auto" w:sz="12" w:space="0"/>
            </w:tcBorders>
            <w:vAlign w:val="center"/>
          </w:tcPr>
          <w:p w14:paraId="103A9EFE">
            <w:pPr>
              <w:pStyle w:val="133"/>
              <w:rPr>
                <w:rFonts w:cs="Times New Roman"/>
                <w:color w:val="000000"/>
                <w:szCs w:val="21"/>
              </w:rPr>
            </w:pPr>
            <w:r>
              <w:rPr>
                <w:rFonts w:hint="eastAsia" w:cs="Times New Roman"/>
                <w:color w:val="000000"/>
                <w:szCs w:val="21"/>
              </w:rPr>
              <w:t>可能接触其烟雾时，佩戴自吸过滤式防毒面具（全面罩）或空气呼吸器。紧急事态抢救或撤离时，建议佩戴氧气呼吸器。</w:t>
            </w:r>
          </w:p>
        </w:tc>
      </w:tr>
      <w:tr w14:paraId="2C8E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6F859666">
            <w:pPr>
              <w:pStyle w:val="133"/>
              <w:rPr>
                <w:rFonts w:cs="Times New Roman"/>
                <w:color w:val="000000"/>
                <w:szCs w:val="21"/>
              </w:rPr>
            </w:pPr>
          </w:p>
        </w:tc>
        <w:tc>
          <w:tcPr>
            <w:tcW w:w="1554" w:type="dxa"/>
            <w:vAlign w:val="center"/>
          </w:tcPr>
          <w:p w14:paraId="72E7B07A">
            <w:pPr>
              <w:pStyle w:val="133"/>
              <w:rPr>
                <w:rFonts w:cs="Times New Roman"/>
                <w:color w:val="000000"/>
                <w:szCs w:val="21"/>
              </w:rPr>
            </w:pPr>
            <w:r>
              <w:rPr>
                <w:rFonts w:hint="eastAsia" w:cs="Times New Roman"/>
                <w:color w:val="000000"/>
                <w:szCs w:val="21"/>
              </w:rPr>
              <w:t>眼睛防护</w:t>
            </w:r>
          </w:p>
        </w:tc>
        <w:tc>
          <w:tcPr>
            <w:tcW w:w="6749" w:type="dxa"/>
            <w:gridSpan w:val="10"/>
            <w:tcBorders>
              <w:right w:val="single" w:color="auto" w:sz="12" w:space="0"/>
            </w:tcBorders>
            <w:vAlign w:val="center"/>
          </w:tcPr>
          <w:p w14:paraId="3D6A280A">
            <w:pPr>
              <w:pStyle w:val="133"/>
              <w:rPr>
                <w:rFonts w:cs="Times New Roman"/>
                <w:color w:val="000000"/>
                <w:szCs w:val="21"/>
              </w:rPr>
            </w:pPr>
            <w:r>
              <w:rPr>
                <w:rFonts w:hint="eastAsia" w:cs="Times New Roman"/>
                <w:color w:val="000000"/>
                <w:szCs w:val="21"/>
              </w:rPr>
              <w:t>呼吸系统防护中已做防护。</w:t>
            </w:r>
          </w:p>
        </w:tc>
      </w:tr>
      <w:tr w14:paraId="7A0A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7F6FBC02">
            <w:pPr>
              <w:pStyle w:val="133"/>
              <w:rPr>
                <w:rFonts w:cs="Times New Roman"/>
                <w:color w:val="000000"/>
                <w:szCs w:val="21"/>
              </w:rPr>
            </w:pPr>
          </w:p>
        </w:tc>
        <w:tc>
          <w:tcPr>
            <w:tcW w:w="1554" w:type="dxa"/>
            <w:vAlign w:val="center"/>
          </w:tcPr>
          <w:p w14:paraId="7C8C837F">
            <w:pPr>
              <w:pStyle w:val="133"/>
              <w:rPr>
                <w:rFonts w:cs="Times New Roman"/>
                <w:color w:val="000000"/>
                <w:szCs w:val="21"/>
              </w:rPr>
            </w:pPr>
            <w:r>
              <w:rPr>
                <w:rFonts w:hint="eastAsia" w:cs="Times New Roman"/>
                <w:color w:val="000000"/>
                <w:szCs w:val="21"/>
              </w:rPr>
              <w:t>身体防护</w:t>
            </w:r>
          </w:p>
        </w:tc>
        <w:tc>
          <w:tcPr>
            <w:tcW w:w="6749" w:type="dxa"/>
            <w:gridSpan w:val="10"/>
            <w:tcBorders>
              <w:right w:val="single" w:color="auto" w:sz="12" w:space="0"/>
            </w:tcBorders>
            <w:vAlign w:val="center"/>
          </w:tcPr>
          <w:p w14:paraId="359D9932">
            <w:pPr>
              <w:pStyle w:val="133"/>
              <w:rPr>
                <w:rFonts w:cs="Times New Roman"/>
                <w:color w:val="000000"/>
                <w:szCs w:val="21"/>
              </w:rPr>
            </w:pPr>
            <w:r>
              <w:rPr>
                <w:rFonts w:hint="eastAsia" w:cs="Times New Roman"/>
                <w:color w:val="000000"/>
                <w:szCs w:val="21"/>
              </w:rPr>
              <w:t>穿橡胶耐酸碱服。</w:t>
            </w:r>
          </w:p>
        </w:tc>
      </w:tr>
      <w:tr w14:paraId="7B4D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0F97D806">
            <w:pPr>
              <w:pStyle w:val="133"/>
              <w:rPr>
                <w:rFonts w:cs="Times New Roman"/>
                <w:color w:val="000000"/>
                <w:szCs w:val="21"/>
              </w:rPr>
            </w:pPr>
          </w:p>
        </w:tc>
        <w:tc>
          <w:tcPr>
            <w:tcW w:w="1554" w:type="dxa"/>
            <w:vAlign w:val="center"/>
          </w:tcPr>
          <w:p w14:paraId="4F470990">
            <w:pPr>
              <w:pStyle w:val="133"/>
              <w:rPr>
                <w:rFonts w:cs="Times New Roman"/>
                <w:color w:val="000000"/>
                <w:szCs w:val="21"/>
              </w:rPr>
            </w:pPr>
            <w:r>
              <w:rPr>
                <w:rFonts w:hint="eastAsia" w:cs="Times New Roman"/>
                <w:color w:val="000000"/>
                <w:szCs w:val="21"/>
              </w:rPr>
              <w:t>手防护</w:t>
            </w:r>
          </w:p>
        </w:tc>
        <w:tc>
          <w:tcPr>
            <w:tcW w:w="6749" w:type="dxa"/>
            <w:gridSpan w:val="10"/>
            <w:tcBorders>
              <w:right w:val="single" w:color="auto" w:sz="12" w:space="0"/>
            </w:tcBorders>
            <w:vAlign w:val="center"/>
          </w:tcPr>
          <w:p w14:paraId="7346B9AB">
            <w:pPr>
              <w:pStyle w:val="133"/>
              <w:rPr>
                <w:rFonts w:cs="Times New Roman"/>
                <w:color w:val="000000"/>
                <w:szCs w:val="21"/>
              </w:rPr>
            </w:pPr>
            <w:r>
              <w:rPr>
                <w:rFonts w:hint="eastAsia" w:cs="Times New Roman"/>
                <w:color w:val="000000"/>
                <w:szCs w:val="21"/>
              </w:rPr>
              <w:t>戴橡胶耐酸碱手套。</w:t>
            </w:r>
          </w:p>
        </w:tc>
      </w:tr>
      <w:tr w14:paraId="3938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left w:val="single" w:color="auto" w:sz="12" w:space="0"/>
            </w:tcBorders>
            <w:vAlign w:val="center"/>
          </w:tcPr>
          <w:p w14:paraId="71A1FE0E">
            <w:pPr>
              <w:pStyle w:val="133"/>
              <w:rPr>
                <w:rFonts w:cs="Times New Roman"/>
                <w:color w:val="000000"/>
                <w:szCs w:val="21"/>
              </w:rPr>
            </w:pPr>
          </w:p>
        </w:tc>
        <w:tc>
          <w:tcPr>
            <w:tcW w:w="1554" w:type="dxa"/>
            <w:vAlign w:val="center"/>
          </w:tcPr>
          <w:p w14:paraId="6E9C54F2">
            <w:pPr>
              <w:pStyle w:val="133"/>
              <w:rPr>
                <w:rFonts w:cs="Times New Roman"/>
                <w:color w:val="000000"/>
                <w:szCs w:val="21"/>
              </w:rPr>
            </w:pPr>
            <w:r>
              <w:rPr>
                <w:rFonts w:hint="eastAsia" w:cs="Times New Roman"/>
                <w:color w:val="000000"/>
                <w:szCs w:val="21"/>
              </w:rPr>
              <w:t>其他防护</w:t>
            </w:r>
          </w:p>
        </w:tc>
        <w:tc>
          <w:tcPr>
            <w:tcW w:w="6749" w:type="dxa"/>
            <w:gridSpan w:val="10"/>
            <w:tcBorders>
              <w:right w:val="single" w:color="auto" w:sz="12" w:space="0"/>
            </w:tcBorders>
            <w:vAlign w:val="center"/>
          </w:tcPr>
          <w:p w14:paraId="7E73BD79">
            <w:pPr>
              <w:pStyle w:val="133"/>
              <w:rPr>
                <w:rFonts w:cs="Times New Roman"/>
                <w:color w:val="000000"/>
                <w:szCs w:val="21"/>
              </w:rPr>
            </w:pPr>
            <w:r>
              <w:rPr>
                <w:rFonts w:hint="eastAsia" w:cs="Times New Roman"/>
                <w:color w:val="000000"/>
                <w:szCs w:val="21"/>
              </w:rPr>
              <w:t>工作现场禁止吸烟、进食和饮水。工作完毕，淋浴更衣。单独存放被毒物污染的衣服，洗后备用。保持良好的卫生习惯。</w:t>
            </w:r>
          </w:p>
        </w:tc>
      </w:tr>
      <w:tr w14:paraId="197A0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8" w:type="dxa"/>
            <w:gridSpan w:val="2"/>
            <w:tcBorders>
              <w:left w:val="single" w:color="auto" w:sz="12" w:space="0"/>
            </w:tcBorders>
            <w:vAlign w:val="center"/>
          </w:tcPr>
          <w:p w14:paraId="52D0F5E6">
            <w:pPr>
              <w:pStyle w:val="133"/>
              <w:rPr>
                <w:rFonts w:cs="Times New Roman"/>
                <w:color w:val="000000"/>
                <w:szCs w:val="21"/>
              </w:rPr>
            </w:pPr>
            <w:r>
              <w:rPr>
                <w:rFonts w:hint="eastAsia" w:cs="Times New Roman"/>
                <w:color w:val="000000"/>
                <w:szCs w:val="21"/>
              </w:rPr>
              <w:t>包装方法</w:t>
            </w:r>
          </w:p>
        </w:tc>
        <w:tc>
          <w:tcPr>
            <w:tcW w:w="6749" w:type="dxa"/>
            <w:gridSpan w:val="10"/>
            <w:tcBorders>
              <w:right w:val="single" w:color="auto" w:sz="12" w:space="0"/>
            </w:tcBorders>
            <w:vAlign w:val="center"/>
          </w:tcPr>
          <w:p w14:paraId="35766128">
            <w:pPr>
              <w:pStyle w:val="133"/>
              <w:rPr>
                <w:rFonts w:cs="Times New Roman"/>
                <w:color w:val="000000"/>
                <w:szCs w:val="21"/>
              </w:rPr>
            </w:pPr>
            <w:r>
              <w:rPr>
                <w:rFonts w:hint="eastAsia" w:cs="Times New Roman"/>
                <w:color w:val="000000"/>
                <w:szCs w:val="21"/>
              </w:rPr>
              <w:t>耐酸坛或陶瓷瓶外普通木箱或半花格木箱；磨砂口玻璃瓶或螺纹口玻璃瓶外普通木箱。</w:t>
            </w:r>
          </w:p>
        </w:tc>
      </w:tr>
      <w:tr w14:paraId="71F9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308" w:type="dxa"/>
            <w:gridSpan w:val="2"/>
            <w:tcBorders>
              <w:left w:val="single" w:color="auto" w:sz="12" w:space="0"/>
            </w:tcBorders>
            <w:vAlign w:val="center"/>
          </w:tcPr>
          <w:p w14:paraId="791A4BA2">
            <w:pPr>
              <w:pStyle w:val="133"/>
              <w:rPr>
                <w:rFonts w:cs="Times New Roman"/>
                <w:color w:val="000000"/>
                <w:szCs w:val="21"/>
              </w:rPr>
            </w:pPr>
            <w:r>
              <w:rPr>
                <w:rFonts w:hint="eastAsia" w:cs="Times New Roman"/>
                <w:color w:val="000000"/>
                <w:szCs w:val="21"/>
              </w:rPr>
              <w:t>储存注意事项</w:t>
            </w:r>
          </w:p>
        </w:tc>
        <w:tc>
          <w:tcPr>
            <w:tcW w:w="6749" w:type="dxa"/>
            <w:gridSpan w:val="10"/>
            <w:tcBorders>
              <w:right w:val="single" w:color="auto" w:sz="12" w:space="0"/>
            </w:tcBorders>
            <w:vAlign w:val="center"/>
          </w:tcPr>
          <w:p w14:paraId="00D47786">
            <w:pPr>
              <w:pStyle w:val="133"/>
              <w:rPr>
                <w:rFonts w:cs="Times New Roman"/>
                <w:color w:val="000000"/>
                <w:szCs w:val="21"/>
              </w:rPr>
            </w:pPr>
            <w:r>
              <w:rPr>
                <w:rFonts w:hint="eastAsia" w:cs="Times New Roman"/>
                <w:color w:val="000000"/>
                <w:szCs w:val="21"/>
              </w:rPr>
              <w:t>储存于阴凉、通风的库房。库温不超过35℃，相对湿度不超过85％。 保持容器密封。应与易（可）燃物、还原剂、碱类、碱金属、食用化学品分开存放，切忌混储。储区应备有泄漏应急处理设备和合适的收容材料。</w:t>
            </w:r>
          </w:p>
        </w:tc>
      </w:tr>
      <w:tr w14:paraId="5BB2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tcBorders>
              <w:left w:val="single" w:color="auto" w:sz="12" w:space="0"/>
            </w:tcBorders>
            <w:vAlign w:val="center"/>
          </w:tcPr>
          <w:p w14:paraId="1CC2C4F4">
            <w:pPr>
              <w:pStyle w:val="133"/>
              <w:rPr>
                <w:rFonts w:cs="Times New Roman"/>
                <w:color w:val="000000"/>
                <w:szCs w:val="21"/>
              </w:rPr>
            </w:pPr>
            <w:r>
              <w:rPr>
                <w:rFonts w:hint="eastAsia" w:cs="Times New Roman"/>
                <w:color w:val="000000"/>
                <w:szCs w:val="21"/>
              </w:rPr>
              <w:t>泄</w:t>
            </w:r>
          </w:p>
          <w:p w14:paraId="770A77F7">
            <w:pPr>
              <w:pStyle w:val="133"/>
              <w:rPr>
                <w:rFonts w:cs="Times New Roman"/>
                <w:color w:val="000000"/>
                <w:szCs w:val="21"/>
              </w:rPr>
            </w:pPr>
            <w:r>
              <w:rPr>
                <w:rFonts w:hint="eastAsia" w:cs="Times New Roman"/>
                <w:color w:val="000000"/>
                <w:szCs w:val="21"/>
              </w:rPr>
              <w:t>漏</w:t>
            </w:r>
          </w:p>
          <w:p w14:paraId="67A928D4">
            <w:pPr>
              <w:pStyle w:val="133"/>
              <w:rPr>
                <w:rFonts w:cs="Times New Roman"/>
                <w:color w:val="000000"/>
                <w:szCs w:val="21"/>
              </w:rPr>
            </w:pPr>
            <w:r>
              <w:rPr>
                <w:rFonts w:hint="eastAsia" w:cs="Times New Roman"/>
                <w:color w:val="000000"/>
                <w:szCs w:val="21"/>
              </w:rPr>
              <w:t>处</w:t>
            </w:r>
          </w:p>
          <w:p w14:paraId="5F902EA5">
            <w:pPr>
              <w:pStyle w:val="133"/>
              <w:rPr>
                <w:rFonts w:cs="Times New Roman"/>
                <w:color w:val="000000"/>
                <w:szCs w:val="21"/>
              </w:rPr>
            </w:pPr>
            <w:r>
              <w:rPr>
                <w:rFonts w:hint="eastAsia" w:cs="Times New Roman"/>
                <w:color w:val="000000"/>
                <w:szCs w:val="21"/>
              </w:rPr>
              <w:t>理</w:t>
            </w:r>
          </w:p>
        </w:tc>
        <w:tc>
          <w:tcPr>
            <w:tcW w:w="8303" w:type="dxa"/>
            <w:gridSpan w:val="11"/>
            <w:tcBorders>
              <w:right w:val="single" w:color="auto" w:sz="12" w:space="0"/>
            </w:tcBorders>
            <w:vAlign w:val="center"/>
          </w:tcPr>
          <w:p w14:paraId="395A63C8">
            <w:pPr>
              <w:pStyle w:val="133"/>
              <w:rPr>
                <w:rFonts w:cs="Times New Roman"/>
                <w:color w:val="000000"/>
                <w:szCs w:val="21"/>
              </w:rPr>
            </w:pPr>
            <w:r>
              <w:rPr>
                <w:rFonts w:hint="eastAsia" w:cs="Times New Roman"/>
                <w:color w:val="000000"/>
                <w:szCs w:val="21"/>
              </w:rPr>
              <w:t>迅速撤离泄漏污染区人员至安全区，并进行隔离，严格限制出入。建议应急处理人员戴自给正压式呼吸器，穿防酸碱工作服。不要直接接触泄漏物。尽可能切断泄漏源。防止流入下水道、排洪沟等限制性空间。小量泄漏：用砂土、干燥石灰或苏打灰混合。也可以用大量水冲洗，洗水稀释后放入废水系统。大量泄漏：构筑围堤或挖坑收容。 用泵转移至槽车或专用收集器内，回收或运至废物处理场所处置。</w:t>
            </w:r>
          </w:p>
        </w:tc>
      </w:tr>
      <w:tr w14:paraId="18A8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tcBorders>
              <w:left w:val="single" w:color="auto" w:sz="12" w:space="0"/>
            </w:tcBorders>
            <w:vAlign w:val="center"/>
          </w:tcPr>
          <w:p w14:paraId="73DAAAF6">
            <w:pPr>
              <w:pStyle w:val="133"/>
              <w:rPr>
                <w:rFonts w:cs="Times New Roman"/>
                <w:color w:val="000000"/>
                <w:szCs w:val="21"/>
              </w:rPr>
            </w:pPr>
            <w:r>
              <w:rPr>
                <w:rFonts w:hint="eastAsia" w:cs="Times New Roman"/>
                <w:color w:val="000000"/>
                <w:szCs w:val="21"/>
              </w:rPr>
              <w:t>运</w:t>
            </w:r>
          </w:p>
          <w:p w14:paraId="26DDA2DE">
            <w:pPr>
              <w:pStyle w:val="133"/>
              <w:rPr>
                <w:rFonts w:cs="Times New Roman"/>
                <w:color w:val="000000"/>
                <w:szCs w:val="21"/>
              </w:rPr>
            </w:pPr>
            <w:r>
              <w:rPr>
                <w:rFonts w:hint="eastAsia" w:cs="Times New Roman"/>
                <w:color w:val="000000"/>
                <w:szCs w:val="21"/>
              </w:rPr>
              <w:t>输</w:t>
            </w:r>
          </w:p>
          <w:p w14:paraId="1FBDF019">
            <w:pPr>
              <w:pStyle w:val="133"/>
              <w:rPr>
                <w:rFonts w:cs="Times New Roman"/>
                <w:color w:val="000000"/>
                <w:szCs w:val="21"/>
              </w:rPr>
            </w:pPr>
            <w:r>
              <w:rPr>
                <w:rFonts w:hint="eastAsia" w:cs="Times New Roman"/>
                <w:color w:val="000000"/>
                <w:szCs w:val="21"/>
              </w:rPr>
              <w:t>信</w:t>
            </w:r>
          </w:p>
          <w:p w14:paraId="54B0B391">
            <w:pPr>
              <w:pStyle w:val="133"/>
              <w:rPr>
                <w:rFonts w:cs="Times New Roman"/>
                <w:color w:val="000000"/>
                <w:szCs w:val="21"/>
              </w:rPr>
            </w:pPr>
            <w:r>
              <w:rPr>
                <w:rFonts w:hint="eastAsia" w:cs="Times New Roman"/>
                <w:color w:val="000000"/>
                <w:szCs w:val="21"/>
              </w:rPr>
              <w:t>息</w:t>
            </w:r>
          </w:p>
        </w:tc>
        <w:tc>
          <w:tcPr>
            <w:tcW w:w="8303" w:type="dxa"/>
            <w:gridSpan w:val="11"/>
            <w:tcBorders>
              <w:right w:val="single" w:color="auto" w:sz="12" w:space="0"/>
            </w:tcBorders>
            <w:vAlign w:val="center"/>
          </w:tcPr>
          <w:p w14:paraId="19E59C44">
            <w:pPr>
              <w:pStyle w:val="133"/>
              <w:rPr>
                <w:rFonts w:cs="Times New Roman"/>
                <w:color w:val="000000"/>
                <w:szCs w:val="21"/>
              </w:rPr>
            </w:pPr>
            <w:r>
              <w:rPr>
                <w:rFonts w:hint="eastAsia" w:cs="Times New Roman"/>
                <w:color w:val="000000"/>
                <w:szCs w:val="21"/>
              </w:rPr>
              <w:t>本品铁路运输时限使用钢制企业自备罐车装运，装运前需报有关部门批准。铁路非罐装运输时应严格按照铁道部《危险货物运输规则》 中的危险货物配装表进行配装。起运时包装要完整，装载应稳妥。运输过程中要确保容器不泄漏、不倒塌、不坠落、不损坏。严禁与易燃物或可燃物、还原剂、碱类、碱金属、食用化学品等混装混运。运输时运输车辆应配备泄漏应急处理设备。运输途中应防暴晒、雨淋，防高温。公路运输时要按规定路线行驶，勿在居民区和人口稠密区停留。</w:t>
            </w:r>
          </w:p>
        </w:tc>
      </w:tr>
    </w:tbl>
    <w:p w14:paraId="19283E6C">
      <w:pPr>
        <w:pStyle w:val="38"/>
        <w:ind w:firstLine="0" w:firstLineChars="0"/>
        <w:jc w:val="center"/>
      </w:pPr>
    </w:p>
    <w:p w14:paraId="37EF8735">
      <w:pPr>
        <w:pStyle w:val="138"/>
        <w:ind w:firstLine="480"/>
        <w:rPr>
          <w:rFonts w:hint="eastAsia"/>
          <w:color w:val="000000"/>
        </w:rPr>
      </w:pPr>
      <w:r>
        <w:rPr>
          <w:rFonts w:hint="eastAsia"/>
          <w:color w:val="000000"/>
        </w:rPr>
        <w:t>生产系统风险识别</w:t>
      </w:r>
    </w:p>
    <w:p w14:paraId="7B22CB26">
      <w:pPr>
        <w:pStyle w:val="117"/>
        <w:ind w:firstLine="480"/>
        <w:rPr>
          <w:rStyle w:val="162"/>
        </w:rPr>
      </w:pPr>
      <w:r>
        <w:rPr>
          <w:rFonts w:hint="eastAsia" w:ascii="宋体" w:hAnsi="宋体"/>
          <w:color w:val="000000"/>
        </w:rPr>
        <w:t>根据《建设项</w:t>
      </w:r>
      <w:r>
        <w:rPr>
          <w:color w:val="000000"/>
        </w:rPr>
        <w:t>目环境风险评价技术导则》（HJ 169-2018）</w:t>
      </w:r>
      <w:r>
        <w:rPr>
          <w:rFonts w:hint="eastAsia" w:ascii="宋体" w:hAnsi="宋体"/>
          <w:color w:val="000000"/>
        </w:rPr>
        <w:t>附录</w:t>
      </w:r>
      <w:r>
        <w:rPr>
          <w:rFonts w:hint="eastAsia"/>
          <w:color w:val="000000"/>
        </w:rPr>
        <w:t>B</w:t>
      </w:r>
      <w:r>
        <w:rPr>
          <w:rFonts w:hint="eastAsia" w:ascii="宋体" w:hAnsi="宋体"/>
          <w:color w:val="000000"/>
        </w:rPr>
        <w:t>和《危险化学品目录（</w:t>
      </w:r>
      <w:r>
        <w:rPr>
          <w:rFonts w:hint="eastAsia"/>
          <w:color w:val="000000"/>
        </w:rPr>
        <w:t>20</w:t>
      </w:r>
      <w:r>
        <w:rPr>
          <w:color w:val="000000"/>
        </w:rPr>
        <w:t>22</w:t>
      </w:r>
      <w:r>
        <w:rPr>
          <w:rFonts w:hint="eastAsia" w:ascii="宋体" w:hAnsi="宋体"/>
          <w:color w:val="000000"/>
        </w:rPr>
        <w:t>版）》辨识</w:t>
      </w:r>
      <w:r>
        <w:rPr>
          <w:rStyle w:val="162"/>
          <w:rFonts w:hint="eastAsia"/>
        </w:rPr>
        <w:t>，本项目危险物质包括：</w:t>
      </w:r>
      <w:r>
        <w:rPr>
          <w:rFonts w:hint="eastAsia"/>
        </w:rPr>
        <w:t>煤气</w:t>
      </w:r>
      <w:r>
        <w:rPr>
          <w:rFonts w:hint="eastAsia" w:ascii="宋体" w:hAnsi="宋体"/>
        </w:rPr>
        <w:t>、氨、硫化氢、</w:t>
      </w:r>
      <w:r>
        <w:rPr>
          <w:rFonts w:cs="Times New Roman"/>
        </w:rPr>
        <w:t>煤焦油、93%浓硫酸</w:t>
      </w:r>
      <w:r>
        <w:rPr>
          <w:rStyle w:val="162"/>
          <w:rFonts w:hint="eastAsia"/>
        </w:rPr>
        <w:t>等，本项目主要危险物质分布情况见表7.5-6。</w:t>
      </w:r>
    </w:p>
    <w:p w14:paraId="00D87B47">
      <w:pPr>
        <w:pStyle w:val="118"/>
        <w:ind w:firstLine="480"/>
      </w:pPr>
      <w:r>
        <w:rPr>
          <w:rFonts w:hint="eastAsia"/>
        </w:rPr>
        <w:t>表7.5-6</w:t>
      </w:r>
      <w:r>
        <w:t xml:space="preserve">   生产设施主要涉及介质一览表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3203"/>
        <w:gridCol w:w="4952"/>
      </w:tblGrid>
      <w:tr w14:paraId="458CDD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8" w:type="pct"/>
            <w:vAlign w:val="center"/>
          </w:tcPr>
          <w:p w14:paraId="0BFDF9AF">
            <w:pPr>
              <w:pStyle w:val="133"/>
              <w:rPr>
                <w:b/>
                <w:bCs/>
              </w:rPr>
            </w:pPr>
            <w:r>
              <w:rPr>
                <w:rFonts w:hint="eastAsia"/>
                <w:b/>
                <w:bCs/>
              </w:rPr>
              <w:t>序号</w:t>
            </w:r>
          </w:p>
        </w:tc>
        <w:tc>
          <w:tcPr>
            <w:tcW w:w="1721" w:type="pct"/>
            <w:vAlign w:val="center"/>
          </w:tcPr>
          <w:p w14:paraId="29606C78">
            <w:pPr>
              <w:pStyle w:val="133"/>
              <w:rPr>
                <w:b/>
                <w:bCs/>
              </w:rPr>
            </w:pPr>
            <w:r>
              <w:rPr>
                <w:rFonts w:hint="eastAsia"/>
                <w:b/>
                <w:bCs/>
              </w:rPr>
              <w:t>装置名称</w:t>
            </w:r>
          </w:p>
        </w:tc>
        <w:tc>
          <w:tcPr>
            <w:tcW w:w="2661" w:type="pct"/>
            <w:vAlign w:val="center"/>
          </w:tcPr>
          <w:p w14:paraId="732DF7EB">
            <w:pPr>
              <w:pStyle w:val="133"/>
              <w:rPr>
                <w:b/>
                <w:bCs/>
              </w:rPr>
            </w:pPr>
            <w:r>
              <w:rPr>
                <w:rFonts w:hint="eastAsia"/>
                <w:b/>
                <w:bCs/>
              </w:rPr>
              <w:t>主要危险物质</w:t>
            </w:r>
          </w:p>
        </w:tc>
      </w:tr>
      <w:tr w14:paraId="6588F3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8" w:type="pct"/>
            <w:vAlign w:val="center"/>
          </w:tcPr>
          <w:p w14:paraId="4808584B">
            <w:pPr>
              <w:pStyle w:val="133"/>
            </w:pPr>
            <w:r>
              <w:rPr>
                <w:rFonts w:hint="eastAsia"/>
              </w:rPr>
              <w:t>一</w:t>
            </w:r>
          </w:p>
        </w:tc>
        <w:tc>
          <w:tcPr>
            <w:tcW w:w="4382" w:type="pct"/>
            <w:gridSpan w:val="2"/>
            <w:vAlign w:val="center"/>
          </w:tcPr>
          <w:p w14:paraId="03300DAA">
            <w:pPr>
              <w:pStyle w:val="133"/>
            </w:pPr>
            <w:r>
              <w:rPr>
                <w:rFonts w:hint="eastAsia"/>
              </w:rPr>
              <w:t>生产装置</w:t>
            </w:r>
          </w:p>
        </w:tc>
      </w:tr>
      <w:tr w14:paraId="51BC1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8" w:type="pct"/>
            <w:vAlign w:val="center"/>
          </w:tcPr>
          <w:p w14:paraId="51E3C73A">
            <w:pPr>
              <w:pStyle w:val="133"/>
            </w:pPr>
            <w:r>
              <w:rPr>
                <w:rFonts w:hint="eastAsia"/>
              </w:rPr>
              <w:t>1</w:t>
            </w:r>
          </w:p>
        </w:tc>
        <w:tc>
          <w:tcPr>
            <w:tcW w:w="1721" w:type="pct"/>
            <w:vMerge w:val="restart"/>
            <w:vAlign w:val="center"/>
          </w:tcPr>
          <w:p w14:paraId="2A5EDA2F">
            <w:pPr>
              <w:pStyle w:val="133"/>
            </w:pPr>
            <w:r>
              <w:rPr>
                <w:rFonts w:hint="eastAsia"/>
              </w:rPr>
              <w:t>兰炭生产线</w:t>
            </w:r>
          </w:p>
        </w:tc>
        <w:tc>
          <w:tcPr>
            <w:tcW w:w="2661" w:type="pct"/>
            <w:vAlign w:val="center"/>
          </w:tcPr>
          <w:p w14:paraId="13E4F5F3">
            <w:pPr>
              <w:pStyle w:val="133"/>
            </w:pPr>
            <w:r>
              <w:rPr>
                <w:rFonts w:hint="eastAsia"/>
              </w:rPr>
              <w:t>煤气</w:t>
            </w:r>
          </w:p>
        </w:tc>
      </w:tr>
      <w:tr w14:paraId="128F04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8" w:type="pct"/>
            <w:vAlign w:val="center"/>
          </w:tcPr>
          <w:p w14:paraId="382E4CB6">
            <w:pPr>
              <w:pStyle w:val="133"/>
            </w:pPr>
            <w:r>
              <w:rPr>
                <w:rFonts w:hint="eastAsia"/>
              </w:rPr>
              <w:t>2</w:t>
            </w:r>
          </w:p>
        </w:tc>
        <w:tc>
          <w:tcPr>
            <w:tcW w:w="1721" w:type="pct"/>
            <w:vMerge w:val="continue"/>
            <w:vAlign w:val="center"/>
          </w:tcPr>
          <w:p w14:paraId="6341A4F4">
            <w:pPr>
              <w:pStyle w:val="133"/>
            </w:pPr>
          </w:p>
        </w:tc>
        <w:tc>
          <w:tcPr>
            <w:tcW w:w="2661" w:type="pct"/>
            <w:vAlign w:val="center"/>
          </w:tcPr>
          <w:p w14:paraId="6861FF60">
            <w:pPr>
              <w:pStyle w:val="133"/>
            </w:pPr>
            <w:r>
              <w:rPr>
                <w:rFonts w:hint="eastAsia" w:ascii="宋体" w:hAnsi="宋体"/>
              </w:rPr>
              <w:t>氨</w:t>
            </w:r>
          </w:p>
        </w:tc>
      </w:tr>
      <w:tr w14:paraId="0E5C03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8" w:type="pct"/>
            <w:vAlign w:val="center"/>
          </w:tcPr>
          <w:p w14:paraId="13B82124">
            <w:pPr>
              <w:pStyle w:val="133"/>
            </w:pPr>
            <w:r>
              <w:rPr>
                <w:rFonts w:hint="eastAsia"/>
              </w:rPr>
              <w:t>3</w:t>
            </w:r>
          </w:p>
        </w:tc>
        <w:tc>
          <w:tcPr>
            <w:tcW w:w="1721" w:type="pct"/>
            <w:vMerge w:val="continue"/>
            <w:vAlign w:val="center"/>
          </w:tcPr>
          <w:p w14:paraId="19DC0E70">
            <w:pPr>
              <w:pStyle w:val="133"/>
            </w:pPr>
          </w:p>
        </w:tc>
        <w:tc>
          <w:tcPr>
            <w:tcW w:w="2661" w:type="pct"/>
            <w:vAlign w:val="center"/>
          </w:tcPr>
          <w:p w14:paraId="2A22A68C">
            <w:pPr>
              <w:pStyle w:val="133"/>
            </w:pPr>
            <w:r>
              <w:rPr>
                <w:rFonts w:hint="eastAsia"/>
              </w:rPr>
              <w:t>硫化氢</w:t>
            </w:r>
          </w:p>
        </w:tc>
      </w:tr>
      <w:tr w14:paraId="31E734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8" w:type="pct"/>
            <w:vAlign w:val="center"/>
          </w:tcPr>
          <w:p w14:paraId="7B08D41C">
            <w:pPr>
              <w:pStyle w:val="133"/>
            </w:pPr>
            <w:r>
              <w:rPr>
                <w:rFonts w:hint="eastAsia"/>
              </w:rPr>
              <w:t>4</w:t>
            </w:r>
          </w:p>
        </w:tc>
        <w:tc>
          <w:tcPr>
            <w:tcW w:w="1721" w:type="pct"/>
            <w:vAlign w:val="center"/>
          </w:tcPr>
          <w:p w14:paraId="1CBE1D93">
            <w:pPr>
              <w:pStyle w:val="133"/>
            </w:pPr>
            <w:r>
              <w:rPr>
                <w:rFonts w:hint="eastAsia"/>
              </w:rPr>
              <w:t>焦油罐区</w:t>
            </w:r>
          </w:p>
        </w:tc>
        <w:tc>
          <w:tcPr>
            <w:tcW w:w="2661" w:type="pct"/>
            <w:vAlign w:val="center"/>
          </w:tcPr>
          <w:p w14:paraId="44815D5B">
            <w:pPr>
              <w:pStyle w:val="133"/>
            </w:pPr>
            <w:r>
              <w:rPr>
                <w:rFonts w:cs="Times New Roman"/>
              </w:rPr>
              <w:t>煤焦油</w:t>
            </w:r>
          </w:p>
        </w:tc>
      </w:tr>
      <w:tr w14:paraId="229FE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18" w:type="pct"/>
            <w:vAlign w:val="center"/>
          </w:tcPr>
          <w:p w14:paraId="0DD3985D">
            <w:pPr>
              <w:pStyle w:val="133"/>
            </w:pPr>
            <w:r>
              <w:rPr>
                <w:rFonts w:hint="eastAsia"/>
              </w:rPr>
              <w:t>5</w:t>
            </w:r>
          </w:p>
        </w:tc>
        <w:tc>
          <w:tcPr>
            <w:tcW w:w="1721" w:type="pct"/>
            <w:vAlign w:val="center"/>
          </w:tcPr>
          <w:p w14:paraId="0988DBF0">
            <w:pPr>
              <w:pStyle w:val="133"/>
            </w:pPr>
            <w:r>
              <w:rPr>
                <w:rFonts w:hint="eastAsia"/>
              </w:rPr>
              <w:t>化学品库</w:t>
            </w:r>
          </w:p>
        </w:tc>
        <w:tc>
          <w:tcPr>
            <w:tcW w:w="2661" w:type="pct"/>
            <w:vAlign w:val="center"/>
          </w:tcPr>
          <w:p w14:paraId="626A49D9">
            <w:pPr>
              <w:pStyle w:val="133"/>
            </w:pPr>
            <w:r>
              <w:rPr>
                <w:rFonts w:cs="Times New Roman"/>
              </w:rPr>
              <w:t>93%浓硫酸</w:t>
            </w:r>
          </w:p>
        </w:tc>
      </w:tr>
    </w:tbl>
    <w:p w14:paraId="6B0DADBB">
      <w:pPr>
        <w:ind w:firstLine="480"/>
      </w:pPr>
    </w:p>
    <w:p w14:paraId="06CED7B9">
      <w:pPr>
        <w:pStyle w:val="944"/>
        <w:ind w:firstLine="480"/>
        <w:rPr>
          <w:color w:val="000000"/>
        </w:rPr>
      </w:pPr>
      <w:r>
        <w:rPr>
          <w:rFonts w:hint="eastAsia"/>
          <w:color w:val="000000"/>
        </w:rPr>
        <w:t>生产装置风险识别</w:t>
      </w:r>
    </w:p>
    <w:p w14:paraId="48368031">
      <w:pPr>
        <w:pStyle w:val="117"/>
        <w:ind w:firstLine="480"/>
        <w:rPr>
          <w:color w:val="000000"/>
        </w:rPr>
      </w:pPr>
      <w:r>
        <w:rPr>
          <w:rFonts w:hint="eastAsia"/>
          <w:color w:val="000000"/>
        </w:rPr>
        <w:t>输送煤气的管道和设备，如果产生静电火花或遇到外部火源，可能发生燃烧、爆炸事故；煤气中由于含有H</w:t>
      </w:r>
      <w:r>
        <w:rPr>
          <w:rFonts w:hint="eastAsia"/>
          <w:color w:val="000000"/>
          <w:vertAlign w:val="subscript"/>
        </w:rPr>
        <w:t>2</w:t>
      </w:r>
      <w:r>
        <w:rPr>
          <w:rFonts w:hint="eastAsia"/>
          <w:color w:val="000000"/>
        </w:rPr>
        <w:t>S气体，具有腐蚀性，如果管理维修维护不善、设备、管道材质、安装存在质量问题，腐蚀、沙眼、密闭不严可能造成煤气泄漏，在空气中达到一定浓度，遇火源会发生爆炸事故。</w:t>
      </w:r>
    </w:p>
    <w:p w14:paraId="6DE0A32D">
      <w:pPr>
        <w:pStyle w:val="944"/>
        <w:ind w:firstLine="480"/>
        <w:rPr>
          <w:color w:val="000000"/>
        </w:rPr>
      </w:pPr>
      <w:r>
        <w:rPr>
          <w:rFonts w:hint="eastAsia"/>
          <w:color w:val="000000"/>
        </w:rPr>
        <w:t>公用及环保设施</w:t>
      </w:r>
      <w:r>
        <w:rPr>
          <w:color w:val="000000"/>
        </w:rPr>
        <w:t>风险识别</w:t>
      </w:r>
    </w:p>
    <w:p w14:paraId="5DE0EB35">
      <w:pPr>
        <w:pStyle w:val="117"/>
        <w:ind w:firstLine="480"/>
        <w:rPr>
          <w:color w:val="000000"/>
          <w:lang w:val="zh-CN"/>
        </w:rPr>
      </w:pPr>
      <w:r>
        <w:rPr>
          <w:rFonts w:hint="eastAsia"/>
          <w:color w:val="000000"/>
          <w:lang w:val="zh-CN"/>
        </w:rPr>
        <w:t>本项目厂内工艺及公用工程外管均架空敷设，输送工艺物料的管线多为压力管道，且输送的介质具有燃爆性、毒害性及腐蚀性。在耐压强度、密封性和耐腐蚀性等方面设计不合理可能造成管道穿孔、破裂，从而导致有毒有害物料泄漏。</w:t>
      </w:r>
    </w:p>
    <w:p w14:paraId="18AC45D2">
      <w:pPr>
        <w:pStyle w:val="944"/>
        <w:ind w:firstLine="480"/>
        <w:rPr>
          <w:color w:val="000000"/>
        </w:rPr>
      </w:pPr>
      <w:r>
        <w:rPr>
          <w:rFonts w:hint="eastAsia"/>
          <w:color w:val="000000"/>
        </w:rPr>
        <w:t>储运设施风险识别</w:t>
      </w:r>
    </w:p>
    <w:p w14:paraId="23FF3C8B">
      <w:pPr>
        <w:pStyle w:val="117"/>
        <w:ind w:firstLine="480"/>
        <w:rPr>
          <w:color w:val="000000"/>
        </w:rPr>
      </w:pPr>
      <w:r>
        <w:rPr>
          <w:rFonts w:hint="eastAsia"/>
          <w:color w:val="000000"/>
        </w:rPr>
        <w:t>（1）储运罐区</w:t>
      </w:r>
    </w:p>
    <w:p w14:paraId="11C25D44">
      <w:pPr>
        <w:pStyle w:val="117"/>
        <w:ind w:firstLine="480"/>
        <w:rPr>
          <w:color w:val="000000"/>
        </w:rPr>
      </w:pPr>
      <w:r>
        <w:rPr>
          <w:rFonts w:hint="eastAsia"/>
          <w:color w:val="000000"/>
        </w:rPr>
        <w:t>本项目罐区存储物料量较大，煤焦油为易燃易爆物质，一旦发生事故后果严重。在生产运行中存在着由于静电积聚、设备失修、管道接口/阀门/机泵等泄漏、误操作和明火引起火灾爆炸事故的可能以及由于设备故障、失效等造成有毒物料泄漏的可能，从而引发环境事故。</w:t>
      </w:r>
    </w:p>
    <w:p w14:paraId="6880B917">
      <w:pPr>
        <w:pStyle w:val="117"/>
        <w:ind w:firstLine="480"/>
        <w:rPr>
          <w:color w:val="000000"/>
        </w:rPr>
      </w:pPr>
      <w:r>
        <w:rPr>
          <w:rFonts w:hint="eastAsia"/>
          <w:color w:val="000000"/>
        </w:rPr>
        <w:t>（2）装卸设施</w:t>
      </w:r>
    </w:p>
    <w:p w14:paraId="2D499AD2">
      <w:pPr>
        <w:pStyle w:val="117"/>
        <w:ind w:firstLine="480"/>
        <w:rPr>
          <w:color w:val="000000"/>
        </w:rPr>
      </w:pPr>
      <w:r>
        <w:rPr>
          <w:rFonts w:hint="eastAsia"/>
          <w:color w:val="000000"/>
        </w:rPr>
        <w:t>煤气净化工段分离出的煤焦油用管道输送到煤焦油罐区，经输送泵将产品抽出，经鹤管装入槽车外运。装卸作业较常见的事故类型是装卸软管破损导致易燃易爆、有毒物料泄漏引发火灾爆炸或人员中毒事故。</w:t>
      </w:r>
    </w:p>
    <w:p w14:paraId="7BC5409A">
      <w:pPr>
        <w:pStyle w:val="944"/>
        <w:ind w:firstLine="480"/>
        <w:rPr>
          <w:color w:val="000000"/>
        </w:rPr>
      </w:pPr>
      <w:r>
        <w:rPr>
          <w:rFonts w:hint="eastAsia"/>
          <w:color w:val="000000"/>
        </w:rPr>
        <w:t>设备事故风险识别</w:t>
      </w:r>
    </w:p>
    <w:p w14:paraId="594C5DBD">
      <w:pPr>
        <w:ind w:firstLine="480"/>
      </w:pPr>
      <w:r>
        <w:rPr>
          <w:rFonts w:hint="eastAsia"/>
        </w:rPr>
        <w:t>（1）设备因素</w:t>
      </w:r>
    </w:p>
    <w:p w14:paraId="61B4F6FF">
      <w:pPr>
        <w:ind w:firstLine="480"/>
      </w:pPr>
      <w:r>
        <w:rPr>
          <w:rFonts w:hint="eastAsia"/>
        </w:rPr>
        <w:t>设备类因素导致的事故发生主要为储存设备和辅助设备故障两类。</w:t>
      </w:r>
    </w:p>
    <w:p w14:paraId="76747E95">
      <w:pPr>
        <w:ind w:firstLine="480"/>
      </w:pPr>
      <w:r>
        <w:rPr>
          <w:rFonts w:hint="eastAsia"/>
        </w:rPr>
        <w:t>储存设备故障：当罐体腐蚀、材质不符合要求、存在制造缺陷、老化、年久失修设备故障时，都可能造成罐体损坏破裂，物质外溢。</w:t>
      </w:r>
    </w:p>
    <w:p w14:paraId="6E29142F">
      <w:pPr>
        <w:ind w:firstLine="480"/>
      </w:pPr>
      <w:r>
        <w:rPr>
          <w:rFonts w:hint="eastAsia"/>
        </w:rPr>
        <w:t>辅助设备故障：当阀门及管件、管道出现腐蚀、设备材质不符合要求、存在制造缺陷、老化、年久失修等情况时，都可能造成辅助设备管道、管件、阀门等的损坏破裂，导致大量物料外溢。</w:t>
      </w:r>
    </w:p>
    <w:p w14:paraId="38F84B3B">
      <w:pPr>
        <w:ind w:firstLine="480"/>
      </w:pPr>
      <w:r>
        <w:rPr>
          <w:rFonts w:hint="eastAsia"/>
        </w:rPr>
        <w:t>发生设备类故障的因素主要概括如下：</w:t>
      </w:r>
    </w:p>
    <w:p w14:paraId="286AEF86">
      <w:pPr>
        <w:ind w:firstLine="480"/>
      </w:pPr>
      <w:r>
        <w:rPr>
          <w:rFonts w:hint="eastAsia"/>
        </w:rPr>
        <w:t>①设备材料类因素；</w:t>
      </w:r>
    </w:p>
    <w:p w14:paraId="2973C066">
      <w:pPr>
        <w:ind w:firstLine="480"/>
      </w:pPr>
      <w:r>
        <w:rPr>
          <w:rFonts w:hint="eastAsia"/>
        </w:rPr>
        <w:t>②设备结构类因素；</w:t>
      </w:r>
    </w:p>
    <w:p w14:paraId="58A8BEED">
      <w:pPr>
        <w:ind w:firstLine="480"/>
      </w:pPr>
      <w:r>
        <w:rPr>
          <w:rFonts w:hint="eastAsia"/>
        </w:rPr>
        <w:t>③设备强度类因素；</w:t>
      </w:r>
    </w:p>
    <w:p w14:paraId="5CB17AF0">
      <w:pPr>
        <w:ind w:firstLine="480"/>
      </w:pPr>
      <w:r>
        <w:rPr>
          <w:rFonts w:hint="eastAsia"/>
        </w:rPr>
        <w:t>④设备腐蚀类因素；</w:t>
      </w:r>
    </w:p>
    <w:p w14:paraId="1FC63829">
      <w:pPr>
        <w:ind w:firstLine="480"/>
      </w:pPr>
      <w:r>
        <w:rPr>
          <w:rFonts w:hint="eastAsia"/>
        </w:rPr>
        <w:t>⑤安全装置或部件失效类因素。</w:t>
      </w:r>
    </w:p>
    <w:p w14:paraId="126530BF">
      <w:pPr>
        <w:ind w:firstLine="480"/>
      </w:pPr>
      <w:r>
        <w:rPr>
          <w:rFonts w:hint="eastAsia"/>
        </w:rPr>
        <w:t>（2）人为因素</w:t>
      </w:r>
    </w:p>
    <w:p w14:paraId="4F0BDD89">
      <w:pPr>
        <w:ind w:firstLine="480"/>
      </w:pPr>
      <w:r>
        <w:rPr>
          <w:rFonts w:hint="eastAsia"/>
        </w:rPr>
        <w:t>导致事故发生的原因中人为因素占很大的比重。人为错误操作常常是导致事故发生的直接因素和唯一因素。</w:t>
      </w:r>
    </w:p>
    <w:p w14:paraId="153EBBEC">
      <w:pPr>
        <w:ind w:firstLine="480"/>
      </w:pPr>
      <w:r>
        <w:rPr>
          <w:rFonts w:hint="eastAsia"/>
        </w:rPr>
        <w:t>①操作失误；</w:t>
      </w:r>
    </w:p>
    <w:p w14:paraId="22BBF679">
      <w:pPr>
        <w:ind w:firstLine="480"/>
      </w:pPr>
      <w:r>
        <w:rPr>
          <w:rFonts w:hint="eastAsia"/>
        </w:rPr>
        <w:t>②违反维修规程；</w:t>
      </w:r>
    </w:p>
    <w:p w14:paraId="1FEB3A1B">
      <w:pPr>
        <w:ind w:firstLine="480"/>
      </w:pPr>
      <w:r>
        <w:rPr>
          <w:rFonts w:hint="eastAsia"/>
        </w:rPr>
        <w:t>③设备维修不及时；</w:t>
      </w:r>
    </w:p>
    <w:p w14:paraId="1E20CF7D">
      <w:pPr>
        <w:ind w:firstLine="480"/>
      </w:pPr>
      <w:r>
        <w:rPr>
          <w:rFonts w:hint="eastAsia"/>
        </w:rPr>
        <w:t>④人为地丢弃或者违章处理有毒有害废弃物。</w:t>
      </w:r>
    </w:p>
    <w:p w14:paraId="6BC4B24B">
      <w:pPr>
        <w:ind w:firstLine="480"/>
      </w:pPr>
      <w:r>
        <w:rPr>
          <w:rFonts w:hint="eastAsia"/>
        </w:rPr>
        <w:t>（3）其他因素</w:t>
      </w:r>
    </w:p>
    <w:p w14:paraId="73F8D6D0">
      <w:pPr>
        <w:ind w:firstLine="480"/>
      </w:pPr>
      <w:r>
        <w:rPr>
          <w:rFonts w:hint="eastAsia"/>
        </w:rPr>
        <w:t>①静电放电</w:t>
      </w:r>
    </w:p>
    <w:p w14:paraId="2C55D53C">
      <w:pPr>
        <w:ind w:firstLine="480"/>
      </w:pPr>
      <w:r>
        <w:rPr>
          <w:rFonts w:hint="eastAsia"/>
        </w:rPr>
        <w:t>油品在储罐、汽车槽车及管道设备中进行装卸、输送作业时，由于流动和被搅动、冲击，易产生和积聚静电。若防静电措施不当将引起爆炸、火灾事故。此外，人体携带静电的危害也不容忽视。</w:t>
      </w:r>
    </w:p>
    <w:p w14:paraId="73E23962">
      <w:pPr>
        <w:ind w:firstLine="480"/>
      </w:pPr>
      <w:r>
        <w:rPr>
          <w:rFonts w:hint="eastAsia" w:ascii="宋体" w:hAnsi="宋体"/>
        </w:rPr>
        <w:t>②</w:t>
      </w:r>
      <w:r>
        <w:rPr>
          <w:rFonts w:hint="eastAsia"/>
        </w:rPr>
        <w:t>明火。</w:t>
      </w:r>
    </w:p>
    <w:p w14:paraId="48C05598">
      <w:pPr>
        <w:ind w:firstLine="480"/>
      </w:pPr>
      <w:r>
        <w:rPr>
          <w:rFonts w:hint="eastAsia"/>
        </w:rPr>
        <w:t>③其他起因：包括撞击与摩擦、交通肇事、人为蓄意破坏等。</w:t>
      </w:r>
    </w:p>
    <w:p w14:paraId="15A07EC4">
      <w:pPr>
        <w:pStyle w:val="138"/>
        <w:ind w:firstLine="480"/>
        <w:rPr>
          <w:rFonts w:hint="eastAsia"/>
          <w:color w:val="000000"/>
        </w:rPr>
      </w:pPr>
      <w:r>
        <w:rPr>
          <w:rFonts w:hint="eastAsia"/>
          <w:color w:val="000000"/>
        </w:rPr>
        <w:t>风险识别结果</w:t>
      </w:r>
    </w:p>
    <w:p w14:paraId="492BD0D0">
      <w:pPr>
        <w:pStyle w:val="117"/>
        <w:ind w:firstLine="480"/>
        <w:rPr>
          <w:color w:val="000000"/>
        </w:rPr>
      </w:pPr>
      <w:r>
        <w:rPr>
          <w:rFonts w:hint="eastAsia"/>
          <w:color w:val="000000"/>
        </w:rPr>
        <w:t>结合物质危险性识别和生产设施危险性识别，确定重点监控的环境风险单元的危险特性，确定可能出现的环境风险，项目环境风险识别结果一览表，见下表。</w:t>
      </w:r>
    </w:p>
    <w:p w14:paraId="30F68A77">
      <w:pPr>
        <w:pStyle w:val="118"/>
        <w:ind w:firstLine="480"/>
      </w:pPr>
      <w:r>
        <w:rPr>
          <w:rFonts w:hint="eastAsia"/>
        </w:rPr>
        <w:t>表7.5-7</w:t>
      </w:r>
      <w:r>
        <w:t xml:space="preserve"> </w:t>
      </w:r>
      <w:r>
        <w:rPr>
          <w:rFonts w:hint="eastAsia"/>
        </w:rPr>
        <w:t xml:space="preserve"> </w:t>
      </w:r>
      <w:r>
        <w:t xml:space="preserve"> </w:t>
      </w:r>
      <w:r>
        <w:rPr>
          <w:rFonts w:hint="eastAsia"/>
        </w:rPr>
        <w:t xml:space="preserve"> 项目环境风险识别结果一览表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2"/>
        <w:gridCol w:w="622"/>
        <w:gridCol w:w="713"/>
        <w:gridCol w:w="711"/>
        <w:gridCol w:w="711"/>
        <w:gridCol w:w="1567"/>
        <w:gridCol w:w="3675"/>
        <w:gridCol w:w="608"/>
      </w:tblGrid>
      <w:tr w14:paraId="6EA19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1" w:type="pct"/>
            <w:vAlign w:val="center"/>
          </w:tcPr>
          <w:p w14:paraId="7D2AB4F8">
            <w:pPr>
              <w:pStyle w:val="133"/>
              <w:rPr>
                <w:b/>
                <w:bCs/>
                <w:color w:val="000000"/>
              </w:rPr>
            </w:pPr>
            <w:r>
              <w:rPr>
                <w:b/>
                <w:bCs/>
                <w:color w:val="000000"/>
              </w:rPr>
              <w:t>序号</w:t>
            </w:r>
          </w:p>
        </w:tc>
        <w:tc>
          <w:tcPr>
            <w:tcW w:w="732" w:type="pct"/>
            <w:gridSpan w:val="2"/>
            <w:vAlign w:val="center"/>
          </w:tcPr>
          <w:p w14:paraId="6A6D81B5">
            <w:pPr>
              <w:pStyle w:val="133"/>
              <w:rPr>
                <w:b/>
                <w:bCs/>
                <w:color w:val="000000"/>
              </w:rPr>
            </w:pPr>
            <w:r>
              <w:rPr>
                <w:b/>
                <w:bCs/>
                <w:color w:val="000000"/>
              </w:rPr>
              <w:t>危险单元</w:t>
            </w:r>
          </w:p>
        </w:tc>
        <w:tc>
          <w:tcPr>
            <w:tcW w:w="390" w:type="pct"/>
            <w:vAlign w:val="center"/>
          </w:tcPr>
          <w:p w14:paraId="0615E116">
            <w:pPr>
              <w:pStyle w:val="133"/>
              <w:rPr>
                <w:b/>
                <w:bCs/>
                <w:color w:val="000000"/>
              </w:rPr>
            </w:pPr>
            <w:r>
              <w:rPr>
                <w:b/>
                <w:bCs/>
                <w:color w:val="000000"/>
              </w:rPr>
              <w:t>风险源</w:t>
            </w:r>
          </w:p>
        </w:tc>
        <w:tc>
          <w:tcPr>
            <w:tcW w:w="390" w:type="pct"/>
            <w:vAlign w:val="center"/>
          </w:tcPr>
          <w:p w14:paraId="1068C4CA">
            <w:pPr>
              <w:pStyle w:val="133"/>
              <w:rPr>
                <w:b/>
                <w:bCs/>
                <w:color w:val="000000"/>
              </w:rPr>
            </w:pPr>
            <w:r>
              <w:rPr>
                <w:b/>
                <w:bCs/>
                <w:color w:val="000000"/>
              </w:rPr>
              <w:t>主要危险物质</w:t>
            </w:r>
          </w:p>
        </w:tc>
        <w:tc>
          <w:tcPr>
            <w:tcW w:w="859" w:type="pct"/>
            <w:vAlign w:val="center"/>
          </w:tcPr>
          <w:p w14:paraId="1E522AEA">
            <w:pPr>
              <w:pStyle w:val="133"/>
              <w:rPr>
                <w:b/>
                <w:bCs/>
                <w:color w:val="000000"/>
              </w:rPr>
            </w:pPr>
            <w:r>
              <w:rPr>
                <w:b/>
                <w:bCs/>
                <w:color w:val="000000"/>
              </w:rPr>
              <w:t>环境风险类型</w:t>
            </w:r>
          </w:p>
        </w:tc>
        <w:tc>
          <w:tcPr>
            <w:tcW w:w="2015" w:type="pct"/>
            <w:vAlign w:val="center"/>
          </w:tcPr>
          <w:p w14:paraId="514508F5">
            <w:pPr>
              <w:pStyle w:val="133"/>
              <w:rPr>
                <w:b/>
                <w:bCs/>
                <w:color w:val="000000"/>
              </w:rPr>
            </w:pPr>
            <w:r>
              <w:rPr>
                <w:rFonts w:hint="eastAsia"/>
                <w:b/>
                <w:bCs/>
                <w:color w:val="000000"/>
              </w:rPr>
              <w:t>环境影响途经</w:t>
            </w:r>
          </w:p>
        </w:tc>
        <w:tc>
          <w:tcPr>
            <w:tcW w:w="333" w:type="pct"/>
            <w:vAlign w:val="center"/>
          </w:tcPr>
          <w:p w14:paraId="60757073">
            <w:pPr>
              <w:pStyle w:val="133"/>
              <w:rPr>
                <w:b/>
                <w:bCs/>
                <w:color w:val="000000"/>
              </w:rPr>
            </w:pPr>
            <w:r>
              <w:rPr>
                <w:rFonts w:hint="eastAsia"/>
                <w:b/>
                <w:bCs/>
                <w:color w:val="000000"/>
              </w:rPr>
              <w:t>可能受影响的环</w:t>
            </w:r>
          </w:p>
          <w:p w14:paraId="1467D6A1">
            <w:pPr>
              <w:pStyle w:val="133"/>
              <w:rPr>
                <w:b/>
                <w:bCs/>
                <w:color w:val="000000"/>
              </w:rPr>
            </w:pPr>
            <w:r>
              <w:rPr>
                <w:rFonts w:hint="eastAsia"/>
                <w:b/>
                <w:bCs/>
                <w:color w:val="000000"/>
              </w:rPr>
              <w:t>境敏感目标</w:t>
            </w:r>
          </w:p>
        </w:tc>
      </w:tr>
      <w:tr w14:paraId="5E1F1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1" w:type="pct"/>
            <w:vAlign w:val="center"/>
          </w:tcPr>
          <w:p w14:paraId="4786411C">
            <w:pPr>
              <w:pStyle w:val="133"/>
              <w:rPr>
                <w:color w:val="000000"/>
              </w:rPr>
            </w:pPr>
            <w:r>
              <w:rPr>
                <w:color w:val="000000"/>
              </w:rPr>
              <w:t>1</w:t>
            </w:r>
          </w:p>
        </w:tc>
        <w:tc>
          <w:tcPr>
            <w:tcW w:w="341" w:type="pct"/>
            <w:vAlign w:val="center"/>
          </w:tcPr>
          <w:p w14:paraId="047CA5B8">
            <w:pPr>
              <w:pStyle w:val="133"/>
              <w:rPr>
                <w:color w:val="000000"/>
              </w:rPr>
            </w:pPr>
            <w:r>
              <w:rPr>
                <w:rFonts w:hint="eastAsia"/>
                <w:color w:val="000000"/>
              </w:rPr>
              <w:t>危险单元1</w:t>
            </w:r>
          </w:p>
        </w:tc>
        <w:tc>
          <w:tcPr>
            <w:tcW w:w="391" w:type="pct"/>
            <w:vAlign w:val="center"/>
          </w:tcPr>
          <w:p w14:paraId="3CEE2F74">
            <w:pPr>
              <w:pStyle w:val="133"/>
              <w:rPr>
                <w:color w:val="000000"/>
              </w:rPr>
            </w:pPr>
            <w:r>
              <w:rPr>
                <w:rFonts w:hint="eastAsia"/>
                <w:color w:val="000000"/>
              </w:rPr>
              <w:t>兰炭</w:t>
            </w:r>
          </w:p>
          <w:p w14:paraId="189F440B">
            <w:pPr>
              <w:pStyle w:val="133"/>
              <w:rPr>
                <w:color w:val="000000"/>
              </w:rPr>
            </w:pPr>
            <w:r>
              <w:rPr>
                <w:rFonts w:hint="eastAsia"/>
                <w:color w:val="000000"/>
              </w:rPr>
              <w:t>生产线</w:t>
            </w:r>
          </w:p>
        </w:tc>
        <w:tc>
          <w:tcPr>
            <w:tcW w:w="390" w:type="pct"/>
            <w:vAlign w:val="center"/>
          </w:tcPr>
          <w:p w14:paraId="310217BD">
            <w:pPr>
              <w:pStyle w:val="133"/>
              <w:rPr>
                <w:color w:val="000000"/>
              </w:rPr>
            </w:pPr>
            <w:r>
              <w:rPr>
                <w:rFonts w:hint="eastAsia"/>
                <w:color w:val="000000"/>
              </w:rPr>
              <w:t>输气管道</w:t>
            </w:r>
          </w:p>
        </w:tc>
        <w:tc>
          <w:tcPr>
            <w:tcW w:w="390" w:type="pct"/>
            <w:vAlign w:val="center"/>
          </w:tcPr>
          <w:p w14:paraId="38557AE9">
            <w:pPr>
              <w:pStyle w:val="133"/>
              <w:rPr>
                <w:color w:val="000000"/>
              </w:rPr>
            </w:pPr>
            <w:r>
              <w:rPr>
                <w:rFonts w:hint="eastAsia"/>
                <w:color w:val="000000"/>
              </w:rPr>
              <w:t>煤气、氨、硫化氢</w:t>
            </w:r>
          </w:p>
        </w:tc>
        <w:tc>
          <w:tcPr>
            <w:tcW w:w="859" w:type="pct"/>
            <w:vAlign w:val="center"/>
          </w:tcPr>
          <w:p w14:paraId="425920E6">
            <w:pPr>
              <w:pStyle w:val="133"/>
              <w:rPr>
                <w:color w:val="000000"/>
              </w:rPr>
            </w:pPr>
            <w:r>
              <w:rPr>
                <w:rFonts w:hint="eastAsia"/>
                <w:color w:val="000000"/>
              </w:rPr>
              <w:t>①有毒有害气体泄漏②泄漏引发火灾、爆炸引发伴生</w:t>
            </w:r>
            <w:r>
              <w:rPr>
                <w:color w:val="000000"/>
              </w:rPr>
              <w:t>/</w:t>
            </w:r>
            <w:r>
              <w:rPr>
                <w:rFonts w:hint="eastAsia"/>
                <w:color w:val="000000"/>
              </w:rPr>
              <w:t>次生污染物排放</w:t>
            </w:r>
          </w:p>
        </w:tc>
        <w:tc>
          <w:tcPr>
            <w:tcW w:w="2015" w:type="pct"/>
            <w:vMerge w:val="restart"/>
            <w:vAlign w:val="center"/>
          </w:tcPr>
          <w:p w14:paraId="704FF2BD">
            <w:pPr>
              <w:pStyle w:val="133"/>
              <w:rPr>
                <w:color w:val="000000"/>
              </w:rPr>
            </w:pPr>
            <w:r>
              <w:rPr>
                <w:rFonts w:hint="eastAsia"/>
                <w:color w:val="000000"/>
              </w:rPr>
              <w:t>对环境的影响：①因腐蚀、容器管线破损、管理不规范等造成储罐、工艺设备及管道等有毒有害或易燃物质泄漏，并遇火发生火灾、爆炸事故并引发伴生</w:t>
            </w:r>
            <w:r>
              <w:rPr>
                <w:color w:val="000000"/>
              </w:rPr>
              <w:t>/</w:t>
            </w:r>
            <w:r>
              <w:rPr>
                <w:rFonts w:hint="eastAsia"/>
                <w:color w:val="000000"/>
              </w:rPr>
              <w:t>次生污染物排放对周边大气环境影响、地表水、地下水及土壤环境的影响，甚至造成人员伤害；②储存及输送煤焦油等的储罐、反应设备及管道等因温度和压力控制不当、误操作、装置破损等原因造成泄漏，对周边地表水、地下水及土壤环境的影响；</w:t>
            </w:r>
          </w:p>
        </w:tc>
        <w:tc>
          <w:tcPr>
            <w:tcW w:w="333" w:type="pct"/>
            <w:vMerge w:val="restart"/>
            <w:vAlign w:val="center"/>
          </w:tcPr>
          <w:p w14:paraId="46203F09">
            <w:pPr>
              <w:pStyle w:val="133"/>
              <w:rPr>
                <w:color w:val="000000"/>
              </w:rPr>
            </w:pPr>
            <w:r>
              <w:rPr>
                <w:rFonts w:hint="eastAsia"/>
                <w:color w:val="000000"/>
              </w:rPr>
              <w:t>项目周边</w:t>
            </w:r>
            <w:r>
              <w:rPr>
                <w:color w:val="000000"/>
              </w:rPr>
              <w:t>大气</w:t>
            </w:r>
            <w:r>
              <w:rPr>
                <w:rFonts w:hint="eastAsia"/>
                <w:color w:val="000000"/>
              </w:rPr>
              <w:t>、</w:t>
            </w:r>
            <w:r>
              <w:rPr>
                <w:color w:val="000000"/>
              </w:rPr>
              <w:t>地下水</w:t>
            </w:r>
            <w:r>
              <w:rPr>
                <w:rFonts w:hint="eastAsia"/>
                <w:color w:val="000000"/>
              </w:rPr>
              <w:t>、</w:t>
            </w:r>
            <w:r>
              <w:rPr>
                <w:color w:val="000000"/>
              </w:rPr>
              <w:t>土壤</w:t>
            </w:r>
          </w:p>
        </w:tc>
      </w:tr>
      <w:tr w14:paraId="679DA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1" w:type="pct"/>
            <w:vAlign w:val="center"/>
          </w:tcPr>
          <w:p w14:paraId="69F07E38">
            <w:pPr>
              <w:pStyle w:val="133"/>
              <w:rPr>
                <w:color w:val="000000"/>
              </w:rPr>
            </w:pPr>
            <w:r>
              <w:rPr>
                <w:rFonts w:hint="eastAsia"/>
                <w:color w:val="000000"/>
              </w:rPr>
              <w:t>2</w:t>
            </w:r>
          </w:p>
        </w:tc>
        <w:tc>
          <w:tcPr>
            <w:tcW w:w="341" w:type="pct"/>
            <w:vAlign w:val="center"/>
          </w:tcPr>
          <w:p w14:paraId="4A2729CC">
            <w:pPr>
              <w:pStyle w:val="133"/>
              <w:rPr>
                <w:color w:val="000000"/>
              </w:rPr>
            </w:pPr>
            <w:r>
              <w:rPr>
                <w:rFonts w:hint="eastAsia"/>
                <w:color w:val="000000"/>
              </w:rPr>
              <w:t>危险单元2</w:t>
            </w:r>
          </w:p>
        </w:tc>
        <w:tc>
          <w:tcPr>
            <w:tcW w:w="391" w:type="pct"/>
            <w:vAlign w:val="center"/>
          </w:tcPr>
          <w:p w14:paraId="5B7B4FD3">
            <w:pPr>
              <w:pStyle w:val="133"/>
              <w:rPr>
                <w:color w:val="000000"/>
              </w:rPr>
            </w:pPr>
            <w:r>
              <w:rPr>
                <w:rFonts w:hint="eastAsia"/>
                <w:color w:val="000000"/>
              </w:rPr>
              <w:t>焦油</w:t>
            </w:r>
          </w:p>
          <w:p w14:paraId="24B22DE4">
            <w:pPr>
              <w:pStyle w:val="133"/>
              <w:rPr>
                <w:color w:val="000000"/>
              </w:rPr>
            </w:pPr>
            <w:r>
              <w:rPr>
                <w:rFonts w:hint="eastAsia"/>
                <w:color w:val="000000"/>
              </w:rPr>
              <w:t>罐区</w:t>
            </w:r>
          </w:p>
        </w:tc>
        <w:tc>
          <w:tcPr>
            <w:tcW w:w="390" w:type="pct"/>
            <w:vAlign w:val="center"/>
          </w:tcPr>
          <w:p w14:paraId="62974E4E">
            <w:pPr>
              <w:pStyle w:val="133"/>
              <w:rPr>
                <w:color w:val="000000"/>
              </w:rPr>
            </w:pPr>
            <w:r>
              <w:rPr>
                <w:rFonts w:hint="eastAsia"/>
                <w:color w:val="000000"/>
              </w:rPr>
              <w:t>罐区</w:t>
            </w:r>
          </w:p>
        </w:tc>
        <w:tc>
          <w:tcPr>
            <w:tcW w:w="390" w:type="pct"/>
            <w:vAlign w:val="center"/>
          </w:tcPr>
          <w:p w14:paraId="61A3F54E">
            <w:pPr>
              <w:pStyle w:val="133"/>
              <w:rPr>
                <w:color w:val="000000"/>
              </w:rPr>
            </w:pPr>
            <w:r>
              <w:rPr>
                <w:rFonts w:hint="eastAsia"/>
                <w:color w:val="000000"/>
              </w:rPr>
              <w:t>煤焦油</w:t>
            </w:r>
          </w:p>
        </w:tc>
        <w:tc>
          <w:tcPr>
            <w:tcW w:w="859" w:type="pct"/>
            <w:vAlign w:val="center"/>
          </w:tcPr>
          <w:p w14:paraId="6A068B8C">
            <w:pPr>
              <w:pStyle w:val="133"/>
              <w:rPr>
                <w:color w:val="000000"/>
              </w:rPr>
            </w:pPr>
            <w:r>
              <w:rPr>
                <w:rFonts w:hint="eastAsia"/>
                <w:color w:val="000000"/>
              </w:rPr>
              <w:t>泄漏引发火灾、爆炸引发伴生</w:t>
            </w:r>
            <w:r>
              <w:rPr>
                <w:color w:val="000000"/>
              </w:rPr>
              <w:t>/</w:t>
            </w:r>
            <w:r>
              <w:rPr>
                <w:rFonts w:hint="eastAsia"/>
                <w:color w:val="000000"/>
              </w:rPr>
              <w:t>次生污染物排放</w:t>
            </w:r>
          </w:p>
        </w:tc>
        <w:tc>
          <w:tcPr>
            <w:tcW w:w="2015" w:type="pct"/>
            <w:vMerge w:val="continue"/>
            <w:vAlign w:val="center"/>
          </w:tcPr>
          <w:p w14:paraId="18246E60">
            <w:pPr>
              <w:pStyle w:val="133"/>
              <w:rPr>
                <w:color w:val="000000"/>
              </w:rPr>
            </w:pPr>
          </w:p>
        </w:tc>
        <w:tc>
          <w:tcPr>
            <w:tcW w:w="333" w:type="pct"/>
            <w:vMerge w:val="continue"/>
            <w:vAlign w:val="center"/>
          </w:tcPr>
          <w:p w14:paraId="48AB1DA9">
            <w:pPr>
              <w:pStyle w:val="133"/>
              <w:rPr>
                <w:color w:val="000000"/>
              </w:rPr>
            </w:pPr>
          </w:p>
        </w:tc>
      </w:tr>
    </w:tbl>
    <w:p w14:paraId="26EF3E48">
      <w:pPr>
        <w:pStyle w:val="117"/>
        <w:ind w:firstLine="480"/>
        <w:rPr>
          <w:color w:val="FF0000"/>
        </w:rPr>
      </w:pPr>
    </w:p>
    <w:p w14:paraId="43352832">
      <w:pPr>
        <w:pStyle w:val="3"/>
      </w:pPr>
      <w:bookmarkStart w:id="692" w:name="_Toc205291417"/>
      <w:r>
        <w:rPr>
          <w:rFonts w:hint="eastAsia"/>
        </w:rPr>
        <w:t>环境风险分析</w:t>
      </w:r>
      <w:bookmarkEnd w:id="691"/>
      <w:bookmarkEnd w:id="692"/>
    </w:p>
    <w:p w14:paraId="6953F069">
      <w:pPr>
        <w:pStyle w:val="138"/>
        <w:ind w:firstLine="480"/>
        <w:rPr>
          <w:rFonts w:hint="eastAsia"/>
        </w:rPr>
      </w:pPr>
      <w:r>
        <w:rPr>
          <w:rFonts w:hint="eastAsia"/>
        </w:rPr>
        <w:t>风险事故情形设定</w:t>
      </w:r>
    </w:p>
    <w:p w14:paraId="543ADBB6">
      <w:pPr>
        <w:pStyle w:val="944"/>
        <w:ind w:firstLine="480"/>
      </w:pPr>
      <w:r>
        <w:rPr>
          <w:rFonts w:hint="eastAsia"/>
        </w:rPr>
        <w:t>最大可信事故</w:t>
      </w:r>
    </w:p>
    <w:p w14:paraId="710BC0B6">
      <w:pPr>
        <w:pStyle w:val="257"/>
        <w:ind w:firstLine="480"/>
        <w:rPr>
          <w:color w:val="000000"/>
        </w:rPr>
      </w:pPr>
      <w:r>
        <w:rPr>
          <w:rFonts w:hint="eastAsia" w:eastAsia="宋体"/>
          <w:color w:val="000000"/>
        </w:rPr>
        <w:t>根据《建设项目环境风险评价技术导则》（</w:t>
      </w:r>
      <w:r>
        <w:rPr>
          <w:color w:val="000000"/>
        </w:rPr>
        <w:t>HJ169-2018</w:t>
      </w:r>
      <w:r>
        <w:rPr>
          <w:rFonts w:hint="eastAsia" w:eastAsia="宋体"/>
          <w:color w:val="000000"/>
        </w:rPr>
        <w:t>）的要求，风险事故情形的设定是在风险识别的基础上，选择对环境影响较大并具有代表性的事故类型，设定风险事故情形。</w:t>
      </w:r>
    </w:p>
    <w:p w14:paraId="6AED0006">
      <w:pPr>
        <w:pStyle w:val="257"/>
        <w:ind w:firstLine="480"/>
        <w:rPr>
          <w:color w:val="000000"/>
        </w:rPr>
      </w:pPr>
      <w:r>
        <w:rPr>
          <w:rFonts w:hint="eastAsia" w:eastAsia="宋体"/>
          <w:color w:val="000000"/>
        </w:rPr>
        <w:t>根据风险识别结果，本项目环境影响较大并具有代表性的事故类型有：</w:t>
      </w:r>
    </w:p>
    <w:p w14:paraId="2126D467">
      <w:pPr>
        <w:pStyle w:val="117"/>
        <w:ind w:firstLine="480"/>
        <w:rPr>
          <w:rFonts w:cs="Times New Roman"/>
          <w:b/>
          <w:bCs/>
          <w:color w:val="000000"/>
        </w:rPr>
      </w:pPr>
      <w:r>
        <w:rPr>
          <w:color w:val="000000"/>
        </w:rPr>
        <w:t>煤气输送过程中因操作失误、设备缺陷等造成煤气泄漏，并遇火引发火灾、爆炸事故进而燃烧过程中产生的伴生/次生污染物对周边大气环境的污染影响。</w:t>
      </w:r>
    </w:p>
    <w:p w14:paraId="69AF2E62">
      <w:pPr>
        <w:pStyle w:val="944"/>
        <w:ind w:firstLine="480"/>
        <w:rPr>
          <w:color w:val="000000"/>
        </w:rPr>
      </w:pPr>
      <w:r>
        <w:rPr>
          <w:rFonts w:hint="eastAsia"/>
          <w:color w:val="000000"/>
        </w:rPr>
        <w:t>事故概率</w:t>
      </w:r>
    </w:p>
    <w:p w14:paraId="009363EF">
      <w:pPr>
        <w:pStyle w:val="257"/>
        <w:ind w:firstLine="480"/>
        <w:rPr>
          <w:rFonts w:hint="eastAsia" w:ascii="宋体" w:hAnsi="宋体" w:eastAsia="宋体" w:cs="宋体"/>
          <w:color w:val="000000"/>
        </w:rPr>
      </w:pPr>
      <w:r>
        <w:rPr>
          <w:rFonts w:hint="eastAsia" w:ascii="宋体" w:hAnsi="宋体" w:eastAsia="宋体" w:cs="宋体"/>
          <w:color w:val="000000"/>
        </w:rPr>
        <w:t>依据对国内外化工行业生产事故的统计，并参考《建设项目环境风险评价技术导则》（</w:t>
      </w:r>
      <w:r>
        <w:rPr>
          <w:color w:val="000000"/>
        </w:rPr>
        <w:t>HJ169-2018</w:t>
      </w:r>
      <w:r>
        <w:rPr>
          <w:rFonts w:hint="eastAsia" w:ascii="宋体" w:hAnsi="宋体" w:eastAsia="宋体" w:cs="宋体"/>
          <w:color w:val="000000"/>
        </w:rPr>
        <w:t>）和《环境风险评价实用技术和方法》（胡二邦主编）中有关化工行业风险事故概率统计分布情况，结合项目当前的经济技术水平，确定项目最大可信事故发生概率，具体见表</w:t>
      </w:r>
      <w:r>
        <w:rPr>
          <w:rFonts w:hint="eastAsia" w:eastAsia="宋体"/>
          <w:color w:val="000000"/>
        </w:rPr>
        <w:t>7</w:t>
      </w:r>
      <w:r>
        <w:rPr>
          <w:color w:val="000000"/>
        </w:rPr>
        <w:t>.</w:t>
      </w:r>
      <w:r>
        <w:rPr>
          <w:rFonts w:hint="eastAsia" w:eastAsia="宋体"/>
          <w:color w:val="000000"/>
        </w:rPr>
        <w:t>6</w:t>
      </w:r>
      <w:r>
        <w:rPr>
          <w:color w:val="000000"/>
        </w:rPr>
        <w:t>-1</w:t>
      </w:r>
      <w:r>
        <w:rPr>
          <w:rFonts w:hint="eastAsia" w:ascii="宋体" w:hAnsi="宋体" w:eastAsia="宋体" w:cs="宋体"/>
          <w:color w:val="000000"/>
        </w:rPr>
        <w:t>。</w:t>
      </w:r>
    </w:p>
    <w:p w14:paraId="316D84BE">
      <w:pPr>
        <w:pStyle w:val="118"/>
        <w:ind w:firstLine="480"/>
      </w:pPr>
      <w:r>
        <w:rPr>
          <w:rFonts w:hint="eastAsia"/>
        </w:rPr>
        <w:t>表7</w:t>
      </w:r>
      <w:r>
        <w:t>.</w:t>
      </w:r>
      <w:r>
        <w:rPr>
          <w:rFonts w:hint="eastAsia"/>
        </w:rPr>
        <w:t>6</w:t>
      </w:r>
      <w:r>
        <w:t>-1</w:t>
      </w:r>
      <w:r>
        <w:rPr>
          <w:rFonts w:hint="eastAsia"/>
        </w:rPr>
        <w:t xml:space="preserve">  项目泄漏事故频率一览表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334"/>
        <w:gridCol w:w="3768"/>
        <w:gridCol w:w="2203"/>
      </w:tblGrid>
      <w:tr w14:paraId="31D5E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46" w:type="dxa"/>
            <w:vAlign w:val="center"/>
          </w:tcPr>
          <w:p w14:paraId="518A3A5A">
            <w:pPr>
              <w:pStyle w:val="133"/>
              <w:rPr>
                <w:b/>
                <w:bCs/>
              </w:rPr>
            </w:pPr>
            <w:r>
              <w:rPr>
                <w:b/>
                <w:bCs/>
              </w:rPr>
              <w:t>部件类型</w:t>
            </w:r>
          </w:p>
        </w:tc>
        <w:tc>
          <w:tcPr>
            <w:tcW w:w="3668" w:type="dxa"/>
            <w:vAlign w:val="center"/>
          </w:tcPr>
          <w:p w14:paraId="3EED5F0E">
            <w:pPr>
              <w:pStyle w:val="133"/>
              <w:rPr>
                <w:b/>
                <w:bCs/>
              </w:rPr>
            </w:pPr>
            <w:r>
              <w:rPr>
                <w:b/>
                <w:bCs/>
              </w:rPr>
              <w:t>泄漏模式</w:t>
            </w:r>
          </w:p>
        </w:tc>
        <w:tc>
          <w:tcPr>
            <w:tcW w:w="2145" w:type="dxa"/>
            <w:vAlign w:val="center"/>
          </w:tcPr>
          <w:p w14:paraId="336481D7">
            <w:pPr>
              <w:pStyle w:val="133"/>
              <w:rPr>
                <w:b/>
                <w:bCs/>
              </w:rPr>
            </w:pPr>
            <w:r>
              <w:rPr>
                <w:b/>
                <w:bCs/>
              </w:rPr>
              <w:t>泄漏频率</w:t>
            </w:r>
          </w:p>
        </w:tc>
      </w:tr>
      <w:tr w14:paraId="1F1AB3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46" w:type="dxa"/>
            <w:vAlign w:val="center"/>
          </w:tcPr>
          <w:p w14:paraId="7553E192">
            <w:pPr>
              <w:pStyle w:val="133"/>
            </w:pPr>
            <w:r>
              <w:rPr>
                <w:rFonts w:hint="eastAsia"/>
              </w:rPr>
              <w:t>反应器</w:t>
            </w:r>
            <w:r>
              <w:t>/</w:t>
            </w:r>
            <w:r>
              <w:rPr>
                <w:rFonts w:hint="eastAsia"/>
              </w:rPr>
              <w:t>工艺储罐</w:t>
            </w:r>
            <w:r>
              <w:t>/</w:t>
            </w:r>
            <w:r>
              <w:rPr>
                <w:rFonts w:hint="eastAsia"/>
              </w:rPr>
              <w:t>气体储罐</w:t>
            </w:r>
            <w:r>
              <w:t>/</w:t>
            </w:r>
            <w:r>
              <w:rPr>
                <w:rFonts w:hint="eastAsia"/>
              </w:rPr>
              <w:t>塔器</w:t>
            </w:r>
          </w:p>
        </w:tc>
        <w:tc>
          <w:tcPr>
            <w:tcW w:w="3668" w:type="dxa"/>
            <w:vAlign w:val="center"/>
          </w:tcPr>
          <w:p w14:paraId="2E018178">
            <w:pPr>
              <w:pStyle w:val="133"/>
            </w:pPr>
            <w:r>
              <w:t>10min</w:t>
            </w:r>
            <w:r>
              <w:rPr>
                <w:rFonts w:hint="eastAsia"/>
              </w:rPr>
              <w:t>内储罐泄漏完</w:t>
            </w:r>
          </w:p>
          <w:p w14:paraId="0AD0B3EF">
            <w:pPr>
              <w:pStyle w:val="133"/>
            </w:pPr>
            <w:r>
              <w:rPr>
                <w:rFonts w:hint="eastAsia"/>
              </w:rPr>
              <w:t>储罐全破裂</w:t>
            </w:r>
          </w:p>
        </w:tc>
        <w:tc>
          <w:tcPr>
            <w:tcW w:w="2145" w:type="dxa"/>
            <w:vAlign w:val="center"/>
          </w:tcPr>
          <w:p w14:paraId="03939B6A">
            <w:pPr>
              <w:pStyle w:val="133"/>
            </w:pPr>
            <w:r>
              <w:t>5.00</w:t>
            </w:r>
            <w:r>
              <w:rPr>
                <w:rFonts w:hint="eastAsia"/>
              </w:rPr>
              <w:t>×</w:t>
            </w:r>
            <w:r>
              <w:t>10</w:t>
            </w:r>
            <w:r>
              <w:rPr>
                <w:vertAlign w:val="superscript"/>
              </w:rPr>
              <w:t>-6</w:t>
            </w:r>
            <w:r>
              <w:t xml:space="preserve"> /a</w:t>
            </w:r>
          </w:p>
          <w:p w14:paraId="50BDDED7">
            <w:pPr>
              <w:pStyle w:val="133"/>
            </w:pPr>
            <w:r>
              <w:t>5.00</w:t>
            </w:r>
            <w:r>
              <w:rPr>
                <w:rFonts w:hint="eastAsia"/>
              </w:rPr>
              <w:t>×</w:t>
            </w:r>
            <w:r>
              <w:t>10</w:t>
            </w:r>
            <w:r>
              <w:rPr>
                <w:vertAlign w:val="superscript"/>
              </w:rPr>
              <w:t>-6</w:t>
            </w:r>
            <w:r>
              <w:t xml:space="preserve"> /a</w:t>
            </w:r>
          </w:p>
        </w:tc>
      </w:tr>
      <w:tr w14:paraId="622856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46" w:type="dxa"/>
            <w:vAlign w:val="center"/>
          </w:tcPr>
          <w:p w14:paraId="5E7177B3">
            <w:pPr>
              <w:pStyle w:val="133"/>
            </w:pPr>
            <w:r>
              <w:rPr>
                <w:rFonts w:hint="eastAsia"/>
              </w:rPr>
              <w:t>内径≤</w:t>
            </w:r>
            <w:r>
              <w:t>75mm</w:t>
            </w:r>
            <w:r>
              <w:rPr>
                <w:rFonts w:hint="eastAsia"/>
              </w:rPr>
              <w:t>的管道</w:t>
            </w:r>
          </w:p>
        </w:tc>
        <w:tc>
          <w:tcPr>
            <w:tcW w:w="3668" w:type="dxa"/>
            <w:vAlign w:val="center"/>
          </w:tcPr>
          <w:p w14:paraId="4209E3E5">
            <w:pPr>
              <w:pStyle w:val="133"/>
            </w:pPr>
            <w:r>
              <w:rPr>
                <w:rFonts w:hint="eastAsia"/>
              </w:rPr>
              <w:t>泄漏孔径为</w:t>
            </w:r>
            <w:r>
              <w:t>10%</w:t>
            </w:r>
            <w:r>
              <w:rPr>
                <w:rFonts w:hint="eastAsia"/>
              </w:rPr>
              <w:t>孔径</w:t>
            </w:r>
          </w:p>
          <w:p w14:paraId="1078A82E">
            <w:pPr>
              <w:pStyle w:val="133"/>
            </w:pPr>
            <w:r>
              <w:rPr>
                <w:rFonts w:hint="eastAsia"/>
              </w:rPr>
              <w:t>全管径泄漏</w:t>
            </w:r>
          </w:p>
        </w:tc>
        <w:tc>
          <w:tcPr>
            <w:tcW w:w="2145" w:type="dxa"/>
            <w:vAlign w:val="center"/>
          </w:tcPr>
          <w:p w14:paraId="7FD893F8">
            <w:pPr>
              <w:pStyle w:val="133"/>
            </w:pPr>
            <w:r>
              <w:t>5.00</w:t>
            </w:r>
            <w:r>
              <w:rPr>
                <w:rFonts w:hint="eastAsia"/>
              </w:rPr>
              <w:t>×</w:t>
            </w:r>
            <w:r>
              <w:t>10</w:t>
            </w:r>
            <w:r>
              <w:rPr>
                <w:vertAlign w:val="superscript"/>
              </w:rPr>
              <w:t xml:space="preserve">-6 </w:t>
            </w:r>
            <w:r>
              <w:t>/</w:t>
            </w:r>
            <w:r>
              <w:rPr>
                <w:rFonts w:hint="eastAsia"/>
              </w:rPr>
              <w:t>(</w:t>
            </w:r>
            <w:r>
              <w:t>m</w:t>
            </w:r>
            <w:r>
              <w:rPr>
                <w:rFonts w:hint="eastAsia"/>
              </w:rPr>
              <w:t>·</w:t>
            </w:r>
            <w:r>
              <w:t>a</w:t>
            </w:r>
            <w:r>
              <w:rPr>
                <w:rFonts w:hint="eastAsia"/>
              </w:rPr>
              <w:t>)</w:t>
            </w:r>
          </w:p>
          <w:p w14:paraId="32B19831">
            <w:pPr>
              <w:pStyle w:val="133"/>
            </w:pPr>
            <w:r>
              <w:t>1.00</w:t>
            </w:r>
            <w:r>
              <w:rPr>
                <w:rFonts w:hint="eastAsia"/>
              </w:rPr>
              <w:t>×</w:t>
            </w:r>
            <w:r>
              <w:t>10</w:t>
            </w:r>
            <w:r>
              <w:rPr>
                <w:vertAlign w:val="superscript"/>
              </w:rPr>
              <w:t xml:space="preserve">-6 </w:t>
            </w:r>
            <w:r>
              <w:t>/</w:t>
            </w:r>
            <w:r>
              <w:rPr>
                <w:rFonts w:hint="eastAsia"/>
              </w:rPr>
              <w:t>(</w:t>
            </w:r>
            <w:r>
              <w:t>m</w:t>
            </w:r>
            <w:r>
              <w:rPr>
                <w:rFonts w:hint="eastAsia"/>
              </w:rPr>
              <w:t>·</w:t>
            </w:r>
            <w:r>
              <w:t>a</w:t>
            </w:r>
            <w:r>
              <w:rPr>
                <w:rFonts w:hint="eastAsia"/>
              </w:rPr>
              <w:t>)</w:t>
            </w:r>
          </w:p>
        </w:tc>
      </w:tr>
      <w:tr w14:paraId="150E71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46" w:type="dxa"/>
            <w:vAlign w:val="center"/>
          </w:tcPr>
          <w:p w14:paraId="4089AB5C">
            <w:pPr>
              <w:pStyle w:val="133"/>
            </w:pPr>
            <w:r>
              <w:rPr>
                <w:rFonts w:hint="eastAsia"/>
              </w:rPr>
              <w:t>75mm＜内径≤150mm的管道</w:t>
            </w:r>
          </w:p>
        </w:tc>
        <w:tc>
          <w:tcPr>
            <w:tcW w:w="3668" w:type="dxa"/>
            <w:vAlign w:val="center"/>
          </w:tcPr>
          <w:p w14:paraId="7C7FAEA0">
            <w:pPr>
              <w:pStyle w:val="133"/>
            </w:pPr>
            <w:r>
              <w:rPr>
                <w:rFonts w:hint="eastAsia"/>
              </w:rPr>
              <w:t>泄漏孔径为</w:t>
            </w:r>
            <w:r>
              <w:t>10%</w:t>
            </w:r>
            <w:r>
              <w:rPr>
                <w:rFonts w:hint="eastAsia"/>
              </w:rPr>
              <w:t>孔径</w:t>
            </w:r>
          </w:p>
          <w:p w14:paraId="495B37E5">
            <w:pPr>
              <w:pStyle w:val="133"/>
            </w:pPr>
            <w:r>
              <w:rPr>
                <w:rFonts w:hint="eastAsia"/>
              </w:rPr>
              <w:t>全管径泄漏</w:t>
            </w:r>
          </w:p>
        </w:tc>
        <w:tc>
          <w:tcPr>
            <w:tcW w:w="2145" w:type="dxa"/>
            <w:vAlign w:val="center"/>
          </w:tcPr>
          <w:p w14:paraId="4B7C2B20">
            <w:pPr>
              <w:pStyle w:val="133"/>
            </w:pPr>
            <w:r>
              <w:t>2.00</w:t>
            </w:r>
            <w:r>
              <w:rPr>
                <w:rFonts w:hint="eastAsia"/>
              </w:rPr>
              <w:t>×</w:t>
            </w:r>
            <w:r>
              <w:t>10</w:t>
            </w:r>
            <w:r>
              <w:rPr>
                <w:vertAlign w:val="superscript"/>
              </w:rPr>
              <w:t>-6</w:t>
            </w:r>
            <w:r>
              <w:t xml:space="preserve"> /</w:t>
            </w:r>
            <w:r>
              <w:rPr>
                <w:rFonts w:hint="eastAsia"/>
              </w:rPr>
              <w:t>(</w:t>
            </w:r>
            <w:r>
              <w:t>m</w:t>
            </w:r>
            <w:r>
              <w:rPr>
                <w:rFonts w:hint="eastAsia"/>
              </w:rPr>
              <w:t>·</w:t>
            </w:r>
            <w:r>
              <w:t>a</w:t>
            </w:r>
            <w:r>
              <w:rPr>
                <w:rFonts w:hint="eastAsia"/>
              </w:rPr>
              <w:t>)</w:t>
            </w:r>
          </w:p>
          <w:p w14:paraId="758F49C8">
            <w:pPr>
              <w:pStyle w:val="133"/>
            </w:pPr>
            <w:r>
              <w:t>3.00</w:t>
            </w:r>
            <w:r>
              <w:rPr>
                <w:rFonts w:hint="eastAsia"/>
              </w:rPr>
              <w:t>×</w:t>
            </w:r>
            <w:r>
              <w:t>10</w:t>
            </w:r>
            <w:r>
              <w:rPr>
                <w:vertAlign w:val="superscript"/>
              </w:rPr>
              <w:t>-7</w:t>
            </w:r>
            <w:r>
              <w:t xml:space="preserve"> /</w:t>
            </w:r>
            <w:r>
              <w:rPr>
                <w:rFonts w:hint="eastAsia"/>
              </w:rPr>
              <w:t>(</w:t>
            </w:r>
            <w:r>
              <w:t>m</w:t>
            </w:r>
            <w:r>
              <w:rPr>
                <w:rFonts w:hint="eastAsia"/>
              </w:rPr>
              <w:t>·</w:t>
            </w:r>
            <w:r>
              <w:t>a</w:t>
            </w:r>
            <w:r>
              <w:rPr>
                <w:rFonts w:hint="eastAsia"/>
              </w:rPr>
              <w:t>)</w:t>
            </w:r>
          </w:p>
        </w:tc>
      </w:tr>
      <w:tr w14:paraId="40D09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246" w:type="dxa"/>
            <w:vAlign w:val="center"/>
          </w:tcPr>
          <w:p w14:paraId="662D879E">
            <w:pPr>
              <w:pStyle w:val="133"/>
            </w:pPr>
            <w:r>
              <w:rPr>
                <w:rFonts w:hint="eastAsia"/>
              </w:rPr>
              <w:t>内径＞</w:t>
            </w:r>
            <w:r>
              <w:t>150mm</w:t>
            </w:r>
            <w:r>
              <w:rPr>
                <w:rFonts w:hint="eastAsia"/>
              </w:rPr>
              <w:t>的管道</w:t>
            </w:r>
          </w:p>
        </w:tc>
        <w:tc>
          <w:tcPr>
            <w:tcW w:w="3668" w:type="dxa"/>
            <w:vAlign w:val="center"/>
          </w:tcPr>
          <w:p w14:paraId="7BB8A830">
            <w:pPr>
              <w:pStyle w:val="133"/>
            </w:pPr>
            <w:r>
              <w:rPr>
                <w:rFonts w:hint="eastAsia"/>
              </w:rPr>
              <w:t>泄漏孔径为</w:t>
            </w:r>
            <w:r>
              <w:t>10%</w:t>
            </w:r>
            <w:r>
              <w:rPr>
                <w:rFonts w:hint="eastAsia"/>
              </w:rPr>
              <w:t>孔径（最大</w:t>
            </w:r>
            <w:r>
              <w:t>50 mm</w:t>
            </w:r>
            <w:r>
              <w:rPr>
                <w:rFonts w:hint="eastAsia"/>
              </w:rPr>
              <w:t>）</w:t>
            </w:r>
          </w:p>
        </w:tc>
        <w:tc>
          <w:tcPr>
            <w:tcW w:w="2145" w:type="dxa"/>
            <w:vAlign w:val="center"/>
          </w:tcPr>
          <w:p w14:paraId="761939F0">
            <w:pPr>
              <w:pStyle w:val="133"/>
            </w:pPr>
            <w:r>
              <w:t>2.40</w:t>
            </w:r>
            <w:r>
              <w:rPr>
                <w:rFonts w:hint="eastAsia"/>
              </w:rPr>
              <w:t>×</w:t>
            </w:r>
            <w:r>
              <w:t>10</w:t>
            </w:r>
            <w:r>
              <w:rPr>
                <w:vertAlign w:val="superscript"/>
              </w:rPr>
              <w:t>-6</w:t>
            </w:r>
            <w:r>
              <w:t xml:space="preserve"> /</w:t>
            </w:r>
            <w:r>
              <w:rPr>
                <w:rFonts w:hint="eastAsia"/>
              </w:rPr>
              <w:t>(</w:t>
            </w:r>
            <w:r>
              <w:t>m</w:t>
            </w:r>
            <w:r>
              <w:rPr>
                <w:rFonts w:hint="eastAsia"/>
              </w:rPr>
              <w:t>·</w:t>
            </w:r>
            <w:r>
              <w:t>a</w:t>
            </w:r>
            <w:r>
              <w:rPr>
                <w:rFonts w:hint="eastAsia"/>
              </w:rPr>
              <w:t>)</w:t>
            </w:r>
          </w:p>
        </w:tc>
      </w:tr>
    </w:tbl>
    <w:p w14:paraId="1DA96A26">
      <w:pPr>
        <w:pStyle w:val="38"/>
        <w:ind w:firstLine="480"/>
      </w:pPr>
    </w:p>
    <w:p w14:paraId="075A0661">
      <w:pPr>
        <w:pStyle w:val="138"/>
        <w:ind w:firstLine="480"/>
        <w:rPr>
          <w:rFonts w:hint="eastAsia"/>
          <w:color w:val="000000"/>
        </w:rPr>
      </w:pPr>
      <w:r>
        <w:rPr>
          <w:rFonts w:hint="eastAsia"/>
          <w:color w:val="000000"/>
        </w:rPr>
        <w:t>源项分析</w:t>
      </w:r>
    </w:p>
    <w:p w14:paraId="23B37129">
      <w:pPr>
        <w:pStyle w:val="117"/>
        <w:ind w:firstLine="480"/>
      </w:pPr>
      <w:r>
        <w:rPr>
          <w:rFonts w:hint="eastAsia"/>
        </w:rPr>
        <w:t>假定煤气输送管线法兰处发生破损，泄漏的气体为煤气，孔径发生50mm泄漏，根据可行性研究报告，管线操作温度：45℃，操作压力：0.14MPa。泄漏发生后紧急启动事故联锁和应急停车程序；泄漏持续10min，全部泄漏进入环境空气。采用导则附录F公式进行合成气泄漏估算。</w:t>
      </w:r>
    </w:p>
    <w:p w14:paraId="3608F508">
      <w:pPr>
        <w:pStyle w:val="257"/>
        <w:ind w:firstLine="480"/>
        <w:rPr>
          <w:color w:val="000000"/>
        </w:rPr>
      </w:pPr>
      <w:r>
        <w:rPr>
          <w:rFonts w:hint="eastAsia" w:ascii="宋体" w:hAnsi="宋体" w:cs="宋体"/>
          <w:color w:val="000000"/>
        </w:rPr>
        <w:t>假定气体的特性是理想气体，气体泄漏速度</w:t>
      </w:r>
      <w:r>
        <w:rPr>
          <w:rFonts w:hint="eastAsia"/>
          <w:color w:val="000000"/>
        </w:rPr>
        <w:t>Q</w:t>
      </w:r>
      <w:r>
        <w:rPr>
          <w:rFonts w:hint="eastAsia"/>
          <w:color w:val="000000"/>
          <w:vertAlign w:val="subscript"/>
        </w:rPr>
        <w:t>G</w:t>
      </w:r>
      <w:r>
        <w:rPr>
          <w:rFonts w:hint="eastAsia" w:ascii="宋体" w:hAnsi="宋体" w:cs="宋体"/>
          <w:color w:val="000000"/>
        </w:rPr>
        <w:t>。</w:t>
      </w:r>
    </w:p>
    <w:p w14:paraId="10AD0428">
      <w:pPr>
        <w:pStyle w:val="257"/>
        <w:ind w:firstLine="480"/>
        <w:jc w:val="center"/>
        <w:rPr>
          <w:color w:val="000000"/>
        </w:rPr>
      </w:pPr>
      <w:r>
        <w:rPr>
          <w:color w:val="000000"/>
          <w:lang w:val="en-US"/>
        </w:rPr>
        <w:drawing>
          <wp:inline distT="0" distB="0" distL="0" distR="0">
            <wp:extent cx="2305685" cy="572770"/>
            <wp:effectExtent l="0" t="0" r="18415" b="17780"/>
            <wp:docPr id="1182" name="图片 4059" descr="文本&#10;&#10;中度可信度描述已自动生成"/>
            <wp:cNvGraphicFramePr/>
            <a:graphic xmlns:a="http://schemas.openxmlformats.org/drawingml/2006/main">
              <a:graphicData uri="http://schemas.openxmlformats.org/drawingml/2006/picture">
                <pic:pic xmlns:pic="http://schemas.openxmlformats.org/drawingml/2006/picture">
                  <pic:nvPicPr>
                    <pic:cNvPr id="1182" name="图片 4059" descr="文本&#10;&#10;中度可信度描述已自动生成"/>
                    <pic:cNvPicPr/>
                  </pic:nvPicPr>
                  <pic:blipFill>
                    <a:blip r:embed="rId97" cstate="print"/>
                    <a:srcRect/>
                    <a:stretch>
                      <a:fillRect/>
                    </a:stretch>
                  </pic:blipFill>
                  <pic:spPr>
                    <a:xfrm>
                      <a:off x="0" y="0"/>
                      <a:ext cx="2305685" cy="572770"/>
                    </a:xfrm>
                    <a:prstGeom prst="rect">
                      <a:avLst/>
                    </a:prstGeom>
                    <a:ln>
                      <a:noFill/>
                    </a:ln>
                  </pic:spPr>
                </pic:pic>
              </a:graphicData>
            </a:graphic>
          </wp:inline>
        </w:drawing>
      </w:r>
    </w:p>
    <w:p w14:paraId="58853A9C">
      <w:pPr>
        <w:pStyle w:val="257"/>
        <w:ind w:firstLine="480"/>
        <w:rPr>
          <w:color w:val="000000"/>
        </w:rPr>
      </w:pPr>
      <w:r>
        <w:rPr>
          <w:rFonts w:hint="eastAsia" w:ascii="宋体" w:hAnsi="宋体" w:cs="宋体"/>
          <w:color w:val="000000"/>
        </w:rPr>
        <w:t>气体流速在音速范围（临界流）时：</w:t>
      </w:r>
    </w:p>
    <w:p w14:paraId="0A2668D6">
      <w:pPr>
        <w:pStyle w:val="257"/>
        <w:ind w:firstLine="480"/>
        <w:jc w:val="center"/>
        <w:rPr>
          <w:color w:val="000000"/>
        </w:rPr>
      </w:pPr>
      <w:r>
        <w:rPr>
          <w:color w:val="000000"/>
          <w:lang w:val="en-US"/>
        </w:rPr>
        <w:drawing>
          <wp:inline distT="0" distB="0" distL="0" distR="0">
            <wp:extent cx="1256030" cy="501015"/>
            <wp:effectExtent l="0" t="0" r="1270" b="13334"/>
            <wp:docPr id="1183" name="图片 4067" descr="图示&#10;&#10;低可信度描述已自动生成"/>
            <wp:cNvGraphicFramePr/>
            <a:graphic xmlns:a="http://schemas.openxmlformats.org/drawingml/2006/main">
              <a:graphicData uri="http://schemas.openxmlformats.org/drawingml/2006/picture">
                <pic:pic xmlns:pic="http://schemas.openxmlformats.org/drawingml/2006/picture">
                  <pic:nvPicPr>
                    <pic:cNvPr id="1183" name="图片 4067" descr="图示&#10;&#10;低可信度描述已自动生成"/>
                    <pic:cNvPicPr/>
                  </pic:nvPicPr>
                  <pic:blipFill>
                    <a:blip r:embed="rId98" cstate="print"/>
                    <a:srcRect/>
                    <a:stretch>
                      <a:fillRect/>
                    </a:stretch>
                  </pic:blipFill>
                  <pic:spPr>
                    <a:xfrm>
                      <a:off x="0" y="0"/>
                      <a:ext cx="1256030" cy="501015"/>
                    </a:xfrm>
                    <a:prstGeom prst="rect">
                      <a:avLst/>
                    </a:prstGeom>
                    <a:ln>
                      <a:noFill/>
                    </a:ln>
                  </pic:spPr>
                </pic:pic>
              </a:graphicData>
            </a:graphic>
          </wp:inline>
        </w:drawing>
      </w:r>
    </w:p>
    <w:p w14:paraId="7E909E5F">
      <w:pPr>
        <w:pStyle w:val="257"/>
        <w:ind w:firstLine="480"/>
        <w:rPr>
          <w:color w:val="000000"/>
        </w:rPr>
      </w:pPr>
      <w:r>
        <w:rPr>
          <w:rFonts w:hint="eastAsia" w:ascii="宋体" w:hAnsi="宋体" w:cs="宋体"/>
          <w:color w:val="000000"/>
        </w:rPr>
        <w:t>气体流速在亚音速范围（次临界流）时：</w:t>
      </w:r>
    </w:p>
    <w:p w14:paraId="0D18B167">
      <w:pPr>
        <w:pStyle w:val="257"/>
        <w:ind w:firstLine="480"/>
        <w:jc w:val="center"/>
        <w:rPr>
          <w:color w:val="000000"/>
        </w:rPr>
      </w:pPr>
      <w:r>
        <w:rPr>
          <w:color w:val="000000"/>
          <w:lang w:val="en-US"/>
        </w:rPr>
        <w:drawing>
          <wp:inline distT="0" distB="0" distL="0" distR="0">
            <wp:extent cx="1089025" cy="492125"/>
            <wp:effectExtent l="0" t="0" r="15875" b="2540"/>
            <wp:docPr id="1184" name="图片 85" descr="图片包含 物体, 游戏机, 钟表&#10;&#10;描述已自动生成"/>
            <wp:cNvGraphicFramePr/>
            <a:graphic xmlns:a="http://schemas.openxmlformats.org/drawingml/2006/main">
              <a:graphicData uri="http://schemas.openxmlformats.org/drawingml/2006/picture">
                <pic:pic xmlns:pic="http://schemas.openxmlformats.org/drawingml/2006/picture">
                  <pic:nvPicPr>
                    <pic:cNvPr id="1184" name="图片 85" descr="图片包含 物体, 游戏机, 钟表&#10;&#10;描述已自动生成"/>
                    <pic:cNvPicPr/>
                  </pic:nvPicPr>
                  <pic:blipFill>
                    <a:blip r:embed="rId99" cstate="print"/>
                    <a:srcRect/>
                    <a:stretch>
                      <a:fillRect/>
                    </a:stretch>
                  </pic:blipFill>
                  <pic:spPr>
                    <a:xfrm>
                      <a:off x="0" y="0"/>
                      <a:ext cx="1089025" cy="492759"/>
                    </a:xfrm>
                    <a:prstGeom prst="rect">
                      <a:avLst/>
                    </a:prstGeom>
                    <a:ln>
                      <a:noFill/>
                    </a:ln>
                  </pic:spPr>
                </pic:pic>
              </a:graphicData>
            </a:graphic>
          </wp:inline>
        </w:drawing>
      </w:r>
    </w:p>
    <w:p w14:paraId="075A7EE2">
      <w:pPr>
        <w:pStyle w:val="257"/>
        <w:ind w:firstLine="480"/>
        <w:rPr>
          <w:color w:val="000000"/>
        </w:rPr>
      </w:pPr>
      <w:r>
        <w:rPr>
          <w:rFonts w:hint="eastAsia" w:ascii="宋体" w:hAnsi="宋体" w:cs="宋体"/>
          <w:color w:val="000000"/>
        </w:rPr>
        <w:t>式中：</w:t>
      </w:r>
    </w:p>
    <w:p w14:paraId="35C25C00">
      <w:pPr>
        <w:pStyle w:val="257"/>
        <w:ind w:firstLine="840" w:firstLineChars="400"/>
        <w:rPr>
          <w:color w:val="000000"/>
          <w:sz w:val="21"/>
        </w:rPr>
      </w:pPr>
      <w:r>
        <w:rPr>
          <w:color w:val="000000"/>
          <w:sz w:val="21"/>
        </w:rPr>
        <w:t>Q</w:t>
      </w:r>
      <w:r>
        <w:rPr>
          <w:color w:val="000000"/>
          <w:sz w:val="21"/>
          <w:vertAlign w:val="subscript"/>
        </w:rPr>
        <w:t>G</w:t>
      </w:r>
      <w:r>
        <w:rPr>
          <w:color w:val="000000"/>
          <w:sz w:val="21"/>
        </w:rPr>
        <w:t>—</w:t>
      </w:r>
      <w:r>
        <w:rPr>
          <w:rFonts w:hint="eastAsia" w:ascii="宋体" w:hAnsi="宋体" w:cs="宋体"/>
          <w:color w:val="000000"/>
          <w:sz w:val="21"/>
        </w:rPr>
        <w:t>气体泄漏速率，</w:t>
      </w:r>
      <w:r>
        <w:rPr>
          <w:color w:val="000000"/>
          <w:sz w:val="21"/>
        </w:rPr>
        <w:t>kg/s</w:t>
      </w:r>
      <w:r>
        <w:rPr>
          <w:rFonts w:hint="eastAsia" w:ascii="宋体" w:hAnsi="宋体" w:cs="宋体"/>
          <w:color w:val="000000"/>
          <w:sz w:val="21"/>
        </w:rPr>
        <w:t>；</w:t>
      </w:r>
    </w:p>
    <w:p w14:paraId="7C5032CE">
      <w:pPr>
        <w:pStyle w:val="257"/>
        <w:ind w:firstLine="840" w:firstLineChars="400"/>
        <w:rPr>
          <w:color w:val="000000"/>
          <w:sz w:val="21"/>
        </w:rPr>
      </w:pPr>
      <w:r>
        <w:rPr>
          <w:color w:val="000000"/>
          <w:sz w:val="21"/>
        </w:rPr>
        <w:t>P—</w:t>
      </w:r>
      <w:r>
        <w:rPr>
          <w:rFonts w:hint="eastAsia" w:ascii="宋体" w:hAnsi="宋体" w:cs="宋体"/>
          <w:color w:val="000000"/>
          <w:sz w:val="21"/>
        </w:rPr>
        <w:t>容器压力，</w:t>
      </w:r>
      <w:r>
        <w:rPr>
          <w:color w:val="000000"/>
          <w:sz w:val="21"/>
        </w:rPr>
        <w:t>Pa</w:t>
      </w:r>
      <w:r>
        <w:rPr>
          <w:rFonts w:hint="eastAsia" w:ascii="宋体" w:hAnsi="宋体" w:cs="宋体"/>
          <w:color w:val="000000"/>
          <w:sz w:val="21"/>
        </w:rPr>
        <w:t>；</w:t>
      </w:r>
    </w:p>
    <w:p w14:paraId="2BB9FBA1">
      <w:pPr>
        <w:pStyle w:val="257"/>
        <w:ind w:firstLine="840" w:firstLineChars="400"/>
        <w:rPr>
          <w:color w:val="000000"/>
          <w:sz w:val="21"/>
        </w:rPr>
      </w:pPr>
      <w:r>
        <w:rPr>
          <w:color w:val="000000"/>
          <w:sz w:val="21"/>
        </w:rPr>
        <w:t>P</w:t>
      </w:r>
      <w:r>
        <w:rPr>
          <w:color w:val="000000"/>
          <w:sz w:val="21"/>
          <w:vertAlign w:val="subscript"/>
        </w:rPr>
        <w:t>0</w:t>
      </w:r>
      <w:r>
        <w:rPr>
          <w:color w:val="000000"/>
          <w:sz w:val="21"/>
        </w:rPr>
        <w:t>—</w:t>
      </w:r>
      <w:r>
        <w:rPr>
          <w:rFonts w:hint="eastAsia" w:ascii="宋体" w:hAnsi="宋体" w:cs="宋体"/>
          <w:color w:val="000000"/>
          <w:sz w:val="21"/>
        </w:rPr>
        <w:t>环境压力，</w:t>
      </w:r>
      <w:r>
        <w:rPr>
          <w:color w:val="000000"/>
          <w:sz w:val="21"/>
        </w:rPr>
        <w:t>Pa</w:t>
      </w:r>
      <w:r>
        <w:rPr>
          <w:rFonts w:hint="eastAsia" w:ascii="宋体" w:hAnsi="宋体" w:cs="宋体"/>
          <w:color w:val="000000"/>
          <w:sz w:val="21"/>
        </w:rPr>
        <w:t>；</w:t>
      </w:r>
    </w:p>
    <w:p w14:paraId="18F70D75">
      <w:pPr>
        <w:pStyle w:val="257"/>
        <w:ind w:firstLine="840" w:firstLineChars="400"/>
        <w:rPr>
          <w:color w:val="000000"/>
          <w:sz w:val="21"/>
        </w:rPr>
      </w:pPr>
      <w:r>
        <w:rPr>
          <w:color w:val="000000"/>
          <w:sz w:val="21"/>
        </w:rPr>
        <w:t>γ—</w:t>
      </w:r>
      <w:r>
        <w:rPr>
          <w:rFonts w:hint="eastAsia" w:ascii="宋体" w:hAnsi="宋体" w:cs="宋体"/>
          <w:color w:val="000000"/>
          <w:sz w:val="21"/>
        </w:rPr>
        <w:t>气体的绝热指数（热容比，此处取</w:t>
      </w:r>
      <w:r>
        <w:rPr>
          <w:color w:val="000000"/>
          <w:sz w:val="21"/>
        </w:rPr>
        <w:t>1.4</w:t>
      </w:r>
      <w:r>
        <w:rPr>
          <w:rFonts w:hint="eastAsia" w:ascii="宋体" w:hAnsi="宋体" w:cs="宋体"/>
          <w:color w:val="000000"/>
          <w:sz w:val="21"/>
        </w:rPr>
        <w:t>），即定压热容</w:t>
      </w:r>
      <w:r>
        <w:rPr>
          <w:color w:val="000000"/>
          <w:sz w:val="21"/>
        </w:rPr>
        <w:t>C</w:t>
      </w:r>
      <w:r>
        <w:rPr>
          <w:color w:val="000000"/>
          <w:sz w:val="21"/>
          <w:vertAlign w:val="subscript"/>
        </w:rPr>
        <w:t>p</w:t>
      </w:r>
      <w:r>
        <w:rPr>
          <w:rFonts w:hint="eastAsia" w:ascii="宋体" w:hAnsi="宋体" w:cs="宋体"/>
          <w:color w:val="000000"/>
          <w:sz w:val="21"/>
        </w:rPr>
        <w:t>与定容热容</w:t>
      </w:r>
      <w:r>
        <w:rPr>
          <w:color w:val="000000"/>
          <w:sz w:val="21"/>
        </w:rPr>
        <w:t>C</w:t>
      </w:r>
      <w:r>
        <w:rPr>
          <w:color w:val="000000"/>
          <w:sz w:val="21"/>
          <w:vertAlign w:val="subscript"/>
        </w:rPr>
        <w:t>V</w:t>
      </w:r>
      <w:r>
        <w:rPr>
          <w:rFonts w:hint="eastAsia" w:ascii="宋体" w:hAnsi="宋体" w:cs="宋体"/>
          <w:color w:val="000000"/>
          <w:sz w:val="21"/>
        </w:rPr>
        <w:t>之比；</w:t>
      </w:r>
    </w:p>
    <w:p w14:paraId="58CBFD4C">
      <w:pPr>
        <w:pStyle w:val="257"/>
        <w:ind w:firstLine="840" w:firstLineChars="400"/>
        <w:rPr>
          <w:color w:val="000000"/>
          <w:sz w:val="21"/>
        </w:rPr>
      </w:pPr>
      <w:r>
        <w:rPr>
          <w:color w:val="000000"/>
          <w:sz w:val="21"/>
        </w:rPr>
        <w:t>C</w:t>
      </w:r>
      <w:r>
        <w:rPr>
          <w:color w:val="000000"/>
          <w:sz w:val="21"/>
          <w:vertAlign w:val="subscript"/>
        </w:rPr>
        <w:t>d</w:t>
      </w:r>
      <w:r>
        <w:rPr>
          <w:color w:val="000000"/>
          <w:sz w:val="21"/>
        </w:rPr>
        <w:t>—</w:t>
      </w:r>
      <w:r>
        <w:rPr>
          <w:rFonts w:hint="eastAsia" w:ascii="宋体" w:hAnsi="宋体" w:cs="宋体"/>
          <w:color w:val="000000"/>
          <w:sz w:val="21"/>
        </w:rPr>
        <w:t>气体泄漏系数。当裂口形状为圆形时取</w:t>
      </w:r>
      <w:r>
        <w:rPr>
          <w:color w:val="000000"/>
          <w:sz w:val="21"/>
        </w:rPr>
        <w:t>1.00</w:t>
      </w:r>
      <w:r>
        <w:rPr>
          <w:rFonts w:hint="eastAsia" w:ascii="宋体" w:hAnsi="宋体" w:cs="宋体"/>
          <w:color w:val="000000"/>
          <w:sz w:val="21"/>
        </w:rPr>
        <w:t>，三角形时取</w:t>
      </w:r>
      <w:r>
        <w:rPr>
          <w:color w:val="000000"/>
          <w:sz w:val="21"/>
        </w:rPr>
        <w:t>0.95</w:t>
      </w:r>
      <w:r>
        <w:rPr>
          <w:rFonts w:hint="eastAsia" w:ascii="宋体" w:hAnsi="宋体" w:cs="宋体"/>
          <w:color w:val="000000"/>
          <w:sz w:val="21"/>
        </w:rPr>
        <w:t>，长方形时取</w:t>
      </w:r>
      <w:r>
        <w:rPr>
          <w:color w:val="000000"/>
          <w:sz w:val="21"/>
        </w:rPr>
        <w:t>0.90</w:t>
      </w:r>
      <w:r>
        <w:rPr>
          <w:rFonts w:hint="eastAsia" w:ascii="宋体" w:hAnsi="宋体" w:cs="宋体"/>
          <w:color w:val="000000"/>
          <w:sz w:val="21"/>
        </w:rPr>
        <w:t>；</w:t>
      </w:r>
    </w:p>
    <w:p w14:paraId="24C12481">
      <w:pPr>
        <w:pStyle w:val="257"/>
        <w:ind w:firstLine="840" w:firstLineChars="400"/>
        <w:rPr>
          <w:color w:val="000000"/>
          <w:sz w:val="21"/>
        </w:rPr>
      </w:pPr>
      <w:r>
        <w:rPr>
          <w:color w:val="000000"/>
          <w:sz w:val="21"/>
        </w:rPr>
        <w:t>M—</w:t>
      </w:r>
      <w:r>
        <w:rPr>
          <w:rFonts w:hint="eastAsia" w:ascii="宋体" w:hAnsi="宋体" w:cs="宋体"/>
          <w:color w:val="000000"/>
          <w:sz w:val="21"/>
        </w:rPr>
        <w:t>分子量；</w:t>
      </w:r>
    </w:p>
    <w:p w14:paraId="20A21ED0">
      <w:pPr>
        <w:pStyle w:val="257"/>
        <w:ind w:firstLine="840" w:firstLineChars="400"/>
        <w:rPr>
          <w:color w:val="000000"/>
          <w:sz w:val="21"/>
        </w:rPr>
      </w:pPr>
      <w:r>
        <w:rPr>
          <w:color w:val="000000"/>
          <w:sz w:val="21"/>
        </w:rPr>
        <w:t>R—</w:t>
      </w:r>
      <w:r>
        <w:rPr>
          <w:rFonts w:hint="eastAsia" w:ascii="宋体" w:hAnsi="宋体" w:cs="宋体"/>
          <w:color w:val="000000"/>
          <w:sz w:val="21"/>
        </w:rPr>
        <w:t>气体常数，</w:t>
      </w:r>
      <w:r>
        <w:rPr>
          <w:color w:val="000000"/>
          <w:sz w:val="21"/>
        </w:rPr>
        <w:t>J/</w:t>
      </w:r>
      <w:r>
        <w:rPr>
          <w:rFonts w:hint="eastAsia" w:ascii="宋体" w:hAnsi="宋体" w:cs="宋体"/>
          <w:color w:val="000000"/>
          <w:sz w:val="21"/>
        </w:rPr>
        <w:t>（</w:t>
      </w:r>
      <w:r>
        <w:rPr>
          <w:color w:val="000000"/>
          <w:sz w:val="21"/>
        </w:rPr>
        <w:t>mol·K</w:t>
      </w:r>
      <w:r>
        <w:rPr>
          <w:rFonts w:hint="eastAsia" w:ascii="宋体" w:hAnsi="宋体" w:cs="宋体"/>
          <w:color w:val="000000"/>
          <w:sz w:val="21"/>
        </w:rPr>
        <w:t>）；</w:t>
      </w:r>
    </w:p>
    <w:p w14:paraId="0684E303">
      <w:pPr>
        <w:pStyle w:val="257"/>
        <w:ind w:firstLine="840" w:firstLineChars="400"/>
        <w:rPr>
          <w:color w:val="000000"/>
          <w:sz w:val="21"/>
        </w:rPr>
      </w:pPr>
      <w:r>
        <w:rPr>
          <w:color w:val="000000"/>
          <w:sz w:val="21"/>
        </w:rPr>
        <w:t>T</w:t>
      </w:r>
      <w:r>
        <w:rPr>
          <w:color w:val="000000"/>
          <w:sz w:val="21"/>
          <w:vertAlign w:val="subscript"/>
        </w:rPr>
        <w:t>G</w:t>
      </w:r>
      <w:r>
        <w:rPr>
          <w:color w:val="000000"/>
          <w:sz w:val="21"/>
        </w:rPr>
        <w:t>—</w:t>
      </w:r>
      <w:r>
        <w:rPr>
          <w:rFonts w:hint="eastAsia" w:ascii="宋体" w:hAnsi="宋体" w:cs="宋体"/>
          <w:color w:val="000000"/>
          <w:sz w:val="21"/>
        </w:rPr>
        <w:t>气体温度，</w:t>
      </w:r>
      <w:r>
        <w:rPr>
          <w:color w:val="000000"/>
          <w:sz w:val="21"/>
        </w:rPr>
        <w:t>K</w:t>
      </w:r>
      <w:r>
        <w:rPr>
          <w:rFonts w:hint="eastAsia" w:ascii="宋体" w:hAnsi="宋体" w:cs="宋体"/>
          <w:color w:val="000000"/>
          <w:sz w:val="21"/>
        </w:rPr>
        <w:t>；</w:t>
      </w:r>
    </w:p>
    <w:p w14:paraId="3305AE93">
      <w:pPr>
        <w:pStyle w:val="257"/>
        <w:ind w:firstLine="840" w:firstLineChars="400"/>
        <w:rPr>
          <w:color w:val="000000"/>
          <w:sz w:val="21"/>
        </w:rPr>
      </w:pPr>
      <w:r>
        <w:rPr>
          <w:color w:val="000000"/>
          <w:sz w:val="21"/>
        </w:rPr>
        <w:t>A—</w:t>
      </w:r>
      <w:r>
        <w:rPr>
          <w:rFonts w:hint="eastAsia" w:ascii="宋体" w:hAnsi="宋体" w:cs="宋体"/>
          <w:color w:val="000000"/>
          <w:sz w:val="21"/>
        </w:rPr>
        <w:t>裂口面积，</w:t>
      </w:r>
      <w:r>
        <w:rPr>
          <w:color w:val="000000"/>
          <w:sz w:val="21"/>
        </w:rPr>
        <w:t>m</w:t>
      </w:r>
      <w:r>
        <w:rPr>
          <w:color w:val="000000"/>
          <w:sz w:val="21"/>
          <w:vertAlign w:val="superscript"/>
        </w:rPr>
        <w:t>2</w:t>
      </w:r>
      <w:r>
        <w:rPr>
          <w:rFonts w:hint="eastAsia" w:ascii="宋体" w:hAnsi="宋体" w:cs="宋体"/>
          <w:color w:val="000000"/>
          <w:sz w:val="21"/>
        </w:rPr>
        <w:t>；</w:t>
      </w:r>
    </w:p>
    <w:p w14:paraId="7C0717FD">
      <w:pPr>
        <w:pStyle w:val="257"/>
        <w:ind w:firstLine="840" w:firstLineChars="400"/>
        <w:rPr>
          <w:color w:val="000000"/>
          <w:sz w:val="21"/>
        </w:rPr>
      </w:pPr>
      <w:r>
        <w:rPr>
          <w:color w:val="000000"/>
          <w:sz w:val="21"/>
        </w:rPr>
        <w:t>Y—</w:t>
      </w:r>
      <w:r>
        <w:rPr>
          <w:rFonts w:hint="eastAsia" w:ascii="宋体" w:hAnsi="宋体" w:cs="宋体"/>
          <w:color w:val="000000"/>
          <w:sz w:val="21"/>
        </w:rPr>
        <w:t>流出系数，对于临界流</w:t>
      </w:r>
      <w:r>
        <w:rPr>
          <w:color w:val="000000"/>
          <w:sz w:val="21"/>
        </w:rPr>
        <w:t>Y=1.0</w:t>
      </w:r>
      <w:r>
        <w:rPr>
          <w:rFonts w:hint="eastAsia" w:ascii="宋体" w:hAnsi="宋体" w:cs="宋体"/>
          <w:color w:val="000000"/>
          <w:sz w:val="21"/>
        </w:rPr>
        <w:t>；</w:t>
      </w:r>
    </w:p>
    <w:p w14:paraId="373035E7">
      <w:pPr>
        <w:pStyle w:val="257"/>
        <w:ind w:firstLine="480"/>
        <w:rPr>
          <w:color w:val="000000"/>
        </w:rPr>
      </w:pPr>
      <w:r>
        <w:rPr>
          <w:rFonts w:hint="eastAsia" w:ascii="宋体" w:hAnsi="宋体" w:cs="宋体"/>
          <w:color w:val="000000"/>
        </w:rPr>
        <w:t>对于次临界流按下式计算：</w:t>
      </w:r>
    </w:p>
    <w:p w14:paraId="4F90B576">
      <w:pPr>
        <w:pStyle w:val="257"/>
        <w:ind w:firstLine="480"/>
        <w:jc w:val="center"/>
        <w:rPr>
          <w:color w:val="FF0000"/>
        </w:rPr>
      </w:pPr>
      <w:r>
        <w:rPr>
          <w:color w:val="000000"/>
        </w:rPr>
        <w:object>
          <v:shape id="_x0000_i1049" o:spt="75" type="#_x0000_t75" style="height:50.75pt;width:216pt;" o:ole="t" filled="f" o:preferrelative="t" stroked="f" coordsize="21600,21600">
            <v:path/>
            <v:fill on="f" focussize="0,0"/>
            <v:stroke on="f" joinstyle="miter"/>
            <v:imagedata r:id="rId101" embosscolor="#FFFFFF" o:title=""/>
            <o:lock v:ext="edit" aspectratio="t"/>
            <w10:wrap type="none"/>
            <w10:anchorlock/>
          </v:shape>
          <o:OLEObject Type="Embed" ProgID="Equation.3" ShapeID="_x0000_i1049" DrawAspect="Content" ObjectID="_1468075749" r:id="rId100">
            <o:LockedField>false</o:LockedField>
          </o:OLEObject>
        </w:object>
      </w:r>
    </w:p>
    <w:p w14:paraId="7D8E41D6">
      <w:pPr>
        <w:pStyle w:val="257"/>
        <w:ind w:firstLine="480"/>
        <w:rPr>
          <w:color w:val="000000"/>
        </w:rPr>
      </w:pPr>
      <w:r>
        <w:rPr>
          <w:rFonts w:hint="eastAsia" w:ascii="宋体" w:hAnsi="宋体" w:eastAsia="宋体" w:cs="宋体"/>
          <w:color w:val="000000"/>
        </w:rPr>
        <w:t>根据上述情景设定，计算出</w:t>
      </w:r>
      <w:r>
        <w:rPr>
          <w:color w:val="000000"/>
        </w:rPr>
        <w:t>CH</w:t>
      </w:r>
      <w:r>
        <w:rPr>
          <w:color w:val="000000"/>
          <w:vertAlign w:val="subscript"/>
        </w:rPr>
        <w:t>4</w:t>
      </w:r>
      <w:r>
        <w:rPr>
          <w:rFonts w:hint="eastAsia" w:ascii="宋体" w:hAnsi="宋体" w:eastAsia="宋体" w:cs="宋体"/>
          <w:color w:val="000000"/>
        </w:rPr>
        <w:t>泄漏事故源强见表</w:t>
      </w:r>
      <w:r>
        <w:rPr>
          <w:rFonts w:hint="eastAsia"/>
          <w:color w:val="000000"/>
        </w:rPr>
        <w:t>7</w:t>
      </w:r>
      <w:r>
        <w:rPr>
          <w:color w:val="000000"/>
        </w:rPr>
        <w:t>.</w:t>
      </w:r>
      <w:r>
        <w:rPr>
          <w:rFonts w:hint="eastAsia" w:eastAsia="宋体"/>
          <w:color w:val="000000"/>
        </w:rPr>
        <w:t>6</w:t>
      </w:r>
      <w:r>
        <w:rPr>
          <w:color w:val="000000"/>
        </w:rPr>
        <w:t>-2</w:t>
      </w:r>
      <w:r>
        <w:rPr>
          <w:rFonts w:hint="eastAsia" w:ascii="宋体" w:hAnsi="宋体" w:eastAsia="宋体" w:cs="宋体"/>
          <w:color w:val="000000"/>
        </w:rPr>
        <w:t>。</w:t>
      </w:r>
    </w:p>
    <w:p w14:paraId="5580A401">
      <w:pPr>
        <w:pStyle w:val="118"/>
        <w:ind w:firstLine="480"/>
      </w:pPr>
      <w:r>
        <w:rPr>
          <w:rFonts w:hint="eastAsia"/>
        </w:rPr>
        <w:t>表7.6-2</w:t>
      </w:r>
      <w:r>
        <w:t xml:space="preserve">    </w:t>
      </w:r>
      <w:r>
        <w:rPr>
          <w:rFonts w:hint="eastAsia"/>
        </w:rPr>
        <w:t>煤气泄漏风险事故源强一览表</w:t>
      </w:r>
    </w:p>
    <w:tbl>
      <w:tblPr>
        <w:tblStyle w:val="110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1515"/>
        <w:gridCol w:w="1513"/>
        <w:gridCol w:w="1494"/>
        <w:gridCol w:w="1338"/>
        <w:gridCol w:w="1314"/>
        <w:gridCol w:w="1161"/>
      </w:tblGrid>
      <w:tr w14:paraId="3C120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1" w:type="pct"/>
            <w:vAlign w:val="center"/>
          </w:tcPr>
          <w:p w14:paraId="43209E8B">
            <w:pPr>
              <w:pStyle w:val="133"/>
              <w:rPr>
                <w:b/>
                <w:bCs/>
                <w:color w:val="000000"/>
              </w:rPr>
            </w:pPr>
            <w:r>
              <w:rPr>
                <w:rFonts w:hint="eastAsia"/>
                <w:b/>
                <w:bCs/>
                <w:color w:val="000000"/>
              </w:rPr>
              <w:t>设备</w:t>
            </w:r>
          </w:p>
        </w:tc>
        <w:tc>
          <w:tcPr>
            <w:tcW w:w="814" w:type="pct"/>
            <w:vAlign w:val="center"/>
          </w:tcPr>
          <w:p w14:paraId="556F0EB7">
            <w:pPr>
              <w:pStyle w:val="133"/>
              <w:rPr>
                <w:b/>
                <w:bCs/>
                <w:color w:val="000000"/>
              </w:rPr>
            </w:pPr>
            <w:r>
              <w:rPr>
                <w:rFonts w:hint="eastAsia"/>
                <w:b/>
                <w:bCs/>
                <w:color w:val="000000"/>
              </w:rPr>
              <w:t>参数</w:t>
            </w:r>
          </w:p>
        </w:tc>
        <w:tc>
          <w:tcPr>
            <w:tcW w:w="813" w:type="pct"/>
            <w:vAlign w:val="center"/>
          </w:tcPr>
          <w:p w14:paraId="2094629E">
            <w:pPr>
              <w:pStyle w:val="133"/>
              <w:rPr>
                <w:b/>
                <w:bCs/>
                <w:color w:val="000000"/>
              </w:rPr>
            </w:pPr>
            <w:r>
              <w:rPr>
                <w:rFonts w:hint="eastAsia"/>
                <w:b/>
                <w:bCs/>
                <w:color w:val="000000"/>
              </w:rPr>
              <w:t>操作条件</w:t>
            </w:r>
          </w:p>
        </w:tc>
        <w:tc>
          <w:tcPr>
            <w:tcW w:w="803" w:type="pct"/>
            <w:vAlign w:val="center"/>
          </w:tcPr>
          <w:p w14:paraId="7797FC98">
            <w:pPr>
              <w:pStyle w:val="133"/>
              <w:rPr>
                <w:b/>
                <w:bCs/>
                <w:color w:val="000000"/>
              </w:rPr>
            </w:pPr>
            <w:r>
              <w:rPr>
                <w:rFonts w:hint="eastAsia"/>
                <w:b/>
                <w:bCs/>
                <w:color w:val="000000"/>
              </w:rPr>
              <w:t>危险物质</w:t>
            </w:r>
          </w:p>
        </w:tc>
        <w:tc>
          <w:tcPr>
            <w:tcW w:w="719" w:type="pct"/>
            <w:vAlign w:val="center"/>
          </w:tcPr>
          <w:p w14:paraId="1CC25213">
            <w:pPr>
              <w:pStyle w:val="133"/>
              <w:rPr>
                <w:b/>
                <w:bCs/>
                <w:color w:val="000000"/>
              </w:rPr>
            </w:pPr>
            <w:r>
              <w:rPr>
                <w:rFonts w:hint="eastAsia"/>
                <w:b/>
                <w:bCs/>
                <w:color w:val="000000"/>
              </w:rPr>
              <w:t>泄漏速率</w:t>
            </w:r>
            <w:r>
              <w:rPr>
                <w:b/>
                <w:bCs/>
                <w:color w:val="000000"/>
              </w:rPr>
              <w:t>kg/s</w:t>
            </w:r>
          </w:p>
        </w:tc>
        <w:tc>
          <w:tcPr>
            <w:tcW w:w="706" w:type="pct"/>
            <w:vAlign w:val="center"/>
          </w:tcPr>
          <w:p w14:paraId="65D36A4F">
            <w:pPr>
              <w:pStyle w:val="133"/>
              <w:rPr>
                <w:b/>
                <w:bCs/>
                <w:color w:val="000000"/>
              </w:rPr>
            </w:pPr>
            <w:r>
              <w:rPr>
                <w:rFonts w:hint="eastAsia"/>
                <w:b/>
                <w:bCs/>
                <w:color w:val="000000"/>
              </w:rPr>
              <w:t>释放时间</w:t>
            </w:r>
            <w:r>
              <w:rPr>
                <w:b/>
                <w:bCs/>
                <w:color w:val="000000"/>
              </w:rPr>
              <w:t>min</w:t>
            </w:r>
          </w:p>
        </w:tc>
        <w:tc>
          <w:tcPr>
            <w:tcW w:w="624" w:type="pct"/>
            <w:vAlign w:val="center"/>
          </w:tcPr>
          <w:p w14:paraId="7AA23682">
            <w:pPr>
              <w:pStyle w:val="133"/>
              <w:rPr>
                <w:b/>
                <w:bCs/>
                <w:color w:val="000000"/>
              </w:rPr>
            </w:pPr>
            <w:r>
              <w:rPr>
                <w:rFonts w:hint="eastAsia"/>
                <w:b/>
                <w:bCs/>
                <w:color w:val="000000"/>
              </w:rPr>
              <w:t>释放高度</w:t>
            </w:r>
            <w:r>
              <w:rPr>
                <w:b/>
                <w:bCs/>
                <w:color w:val="000000"/>
              </w:rPr>
              <w:t>m</w:t>
            </w:r>
          </w:p>
        </w:tc>
      </w:tr>
      <w:tr w14:paraId="7D115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1" w:type="pct"/>
            <w:vMerge w:val="restart"/>
            <w:vAlign w:val="center"/>
          </w:tcPr>
          <w:p w14:paraId="1A080982">
            <w:pPr>
              <w:pStyle w:val="133"/>
              <w:rPr>
                <w:color w:val="000000"/>
              </w:rPr>
            </w:pPr>
            <w:r>
              <w:rPr>
                <w:rFonts w:hint="eastAsia"/>
                <w:color w:val="000000"/>
              </w:rPr>
              <w:t>输气</w:t>
            </w:r>
          </w:p>
          <w:p w14:paraId="416182EA">
            <w:pPr>
              <w:pStyle w:val="133"/>
              <w:rPr>
                <w:color w:val="000000"/>
              </w:rPr>
            </w:pPr>
            <w:r>
              <w:rPr>
                <w:rFonts w:hint="eastAsia"/>
                <w:color w:val="000000"/>
              </w:rPr>
              <w:t>管线</w:t>
            </w:r>
          </w:p>
        </w:tc>
        <w:tc>
          <w:tcPr>
            <w:tcW w:w="814" w:type="pct"/>
            <w:vMerge w:val="restart"/>
            <w:vAlign w:val="center"/>
          </w:tcPr>
          <w:p w14:paraId="54E817CF">
            <w:pPr>
              <w:pStyle w:val="133"/>
              <w:rPr>
                <w:color w:val="000000"/>
              </w:rPr>
            </w:pPr>
            <w:r>
              <w:rPr>
                <w:rFonts w:hint="eastAsia"/>
                <w:color w:val="000000"/>
              </w:rPr>
              <w:t>泄漏孔径5</w:t>
            </w:r>
            <w:r>
              <w:rPr>
                <w:color w:val="000000"/>
              </w:rPr>
              <w:t>0mm</w:t>
            </w:r>
          </w:p>
        </w:tc>
        <w:tc>
          <w:tcPr>
            <w:tcW w:w="813" w:type="pct"/>
            <w:vMerge w:val="restart"/>
            <w:vAlign w:val="center"/>
          </w:tcPr>
          <w:p w14:paraId="66E64101">
            <w:pPr>
              <w:pStyle w:val="133"/>
              <w:rPr>
                <w:color w:val="000000"/>
              </w:rPr>
            </w:pPr>
            <w:r>
              <w:rPr>
                <w:rFonts w:hint="eastAsia"/>
                <w:color w:val="000000"/>
              </w:rPr>
              <w:t>45</w:t>
            </w:r>
            <w:r>
              <w:rPr>
                <w:color w:val="000000"/>
              </w:rPr>
              <w:t>℃</w:t>
            </w:r>
            <w:r>
              <w:rPr>
                <w:rFonts w:hint="eastAsia"/>
                <w:color w:val="000000"/>
              </w:rPr>
              <w:t>、104325</w:t>
            </w:r>
            <w:r>
              <w:rPr>
                <w:color w:val="000000"/>
              </w:rPr>
              <w:t>Pa</w:t>
            </w:r>
          </w:p>
        </w:tc>
        <w:tc>
          <w:tcPr>
            <w:tcW w:w="803" w:type="pct"/>
            <w:vAlign w:val="center"/>
          </w:tcPr>
          <w:p w14:paraId="2A58B747">
            <w:pPr>
              <w:pStyle w:val="133"/>
              <w:rPr>
                <w:color w:val="000000"/>
              </w:rPr>
            </w:pPr>
            <w:r>
              <w:rPr>
                <w:rFonts w:hint="eastAsia"/>
                <w:color w:val="000000"/>
              </w:rPr>
              <w:t>CO</w:t>
            </w:r>
          </w:p>
        </w:tc>
        <w:tc>
          <w:tcPr>
            <w:tcW w:w="719" w:type="pct"/>
            <w:vAlign w:val="center"/>
          </w:tcPr>
          <w:p w14:paraId="287BF88F">
            <w:pPr>
              <w:pStyle w:val="133"/>
              <w:rPr>
                <w:color w:val="000000"/>
              </w:rPr>
            </w:pPr>
            <w:r>
              <w:rPr>
                <w:rFonts w:hint="eastAsia"/>
                <w:color w:val="000000"/>
              </w:rPr>
              <w:t>0.57</w:t>
            </w:r>
          </w:p>
        </w:tc>
        <w:tc>
          <w:tcPr>
            <w:tcW w:w="706" w:type="pct"/>
            <w:vAlign w:val="center"/>
          </w:tcPr>
          <w:p w14:paraId="36FB50A7">
            <w:pPr>
              <w:pStyle w:val="133"/>
              <w:rPr>
                <w:color w:val="000000"/>
              </w:rPr>
            </w:pPr>
            <w:r>
              <w:rPr>
                <w:color w:val="000000"/>
              </w:rPr>
              <w:t>10</w:t>
            </w:r>
          </w:p>
        </w:tc>
        <w:tc>
          <w:tcPr>
            <w:tcW w:w="624" w:type="pct"/>
            <w:vAlign w:val="center"/>
          </w:tcPr>
          <w:p w14:paraId="6251F42D">
            <w:pPr>
              <w:pStyle w:val="133"/>
              <w:rPr>
                <w:color w:val="000000"/>
              </w:rPr>
            </w:pPr>
            <w:r>
              <w:rPr>
                <w:rFonts w:hint="eastAsia"/>
                <w:color w:val="000000"/>
              </w:rPr>
              <w:t>5</w:t>
            </w:r>
          </w:p>
        </w:tc>
      </w:tr>
      <w:tr w14:paraId="53427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1" w:type="pct"/>
            <w:vMerge w:val="continue"/>
            <w:vAlign w:val="center"/>
          </w:tcPr>
          <w:p w14:paraId="1D32A197">
            <w:pPr>
              <w:pStyle w:val="133"/>
              <w:rPr>
                <w:color w:val="FF0000"/>
              </w:rPr>
            </w:pPr>
          </w:p>
        </w:tc>
        <w:tc>
          <w:tcPr>
            <w:tcW w:w="814" w:type="pct"/>
            <w:vMerge w:val="continue"/>
            <w:vAlign w:val="center"/>
          </w:tcPr>
          <w:p w14:paraId="3A6DD83A">
            <w:pPr>
              <w:pStyle w:val="133"/>
              <w:rPr>
                <w:color w:val="FF0000"/>
              </w:rPr>
            </w:pPr>
          </w:p>
        </w:tc>
        <w:tc>
          <w:tcPr>
            <w:tcW w:w="813" w:type="pct"/>
            <w:vMerge w:val="continue"/>
            <w:vAlign w:val="center"/>
          </w:tcPr>
          <w:p w14:paraId="230CEFA8">
            <w:pPr>
              <w:pStyle w:val="133"/>
              <w:rPr>
                <w:color w:val="FF0000"/>
              </w:rPr>
            </w:pPr>
          </w:p>
        </w:tc>
        <w:tc>
          <w:tcPr>
            <w:tcW w:w="803" w:type="pct"/>
            <w:vAlign w:val="center"/>
          </w:tcPr>
          <w:p w14:paraId="4252B78E">
            <w:pPr>
              <w:pStyle w:val="133"/>
              <w:rPr>
                <w:color w:val="000000"/>
              </w:rPr>
            </w:pPr>
            <w:r>
              <w:rPr>
                <w:rFonts w:hint="eastAsia"/>
                <w:color w:val="000000"/>
              </w:rPr>
              <w:t>H</w:t>
            </w:r>
            <w:r>
              <w:rPr>
                <w:rFonts w:hint="eastAsia"/>
                <w:color w:val="000000"/>
                <w:vertAlign w:val="subscript"/>
              </w:rPr>
              <w:t>2</w:t>
            </w:r>
            <w:r>
              <w:rPr>
                <w:rFonts w:hint="eastAsia"/>
                <w:color w:val="000000"/>
              </w:rPr>
              <w:t>S</w:t>
            </w:r>
          </w:p>
        </w:tc>
        <w:tc>
          <w:tcPr>
            <w:tcW w:w="719" w:type="pct"/>
            <w:vAlign w:val="center"/>
          </w:tcPr>
          <w:p w14:paraId="7A588CE9">
            <w:pPr>
              <w:pStyle w:val="133"/>
              <w:rPr>
                <w:color w:val="000000"/>
              </w:rPr>
            </w:pPr>
            <w:r>
              <w:rPr>
                <w:rFonts w:hint="eastAsia"/>
                <w:color w:val="000000"/>
              </w:rPr>
              <w:t>0.64</w:t>
            </w:r>
          </w:p>
        </w:tc>
        <w:tc>
          <w:tcPr>
            <w:tcW w:w="706" w:type="pct"/>
            <w:vAlign w:val="center"/>
          </w:tcPr>
          <w:p w14:paraId="3222CE0B">
            <w:pPr>
              <w:pStyle w:val="133"/>
              <w:rPr>
                <w:color w:val="000000"/>
              </w:rPr>
            </w:pPr>
            <w:r>
              <w:rPr>
                <w:color w:val="000000"/>
              </w:rPr>
              <w:t>10</w:t>
            </w:r>
          </w:p>
        </w:tc>
        <w:tc>
          <w:tcPr>
            <w:tcW w:w="624" w:type="pct"/>
            <w:vAlign w:val="center"/>
          </w:tcPr>
          <w:p w14:paraId="7C473829">
            <w:pPr>
              <w:pStyle w:val="133"/>
              <w:rPr>
                <w:color w:val="000000"/>
              </w:rPr>
            </w:pPr>
            <w:r>
              <w:rPr>
                <w:rFonts w:hint="eastAsia"/>
                <w:color w:val="000000"/>
              </w:rPr>
              <w:t>5</w:t>
            </w:r>
          </w:p>
        </w:tc>
      </w:tr>
      <w:tr w14:paraId="0CBB5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1" w:type="pct"/>
            <w:vMerge w:val="continue"/>
            <w:vAlign w:val="center"/>
          </w:tcPr>
          <w:p w14:paraId="37F42358">
            <w:pPr>
              <w:pStyle w:val="133"/>
              <w:rPr>
                <w:color w:val="FF0000"/>
              </w:rPr>
            </w:pPr>
          </w:p>
        </w:tc>
        <w:tc>
          <w:tcPr>
            <w:tcW w:w="814" w:type="pct"/>
            <w:vMerge w:val="continue"/>
            <w:vAlign w:val="center"/>
          </w:tcPr>
          <w:p w14:paraId="2BFCC83A">
            <w:pPr>
              <w:pStyle w:val="133"/>
              <w:rPr>
                <w:color w:val="FF0000"/>
              </w:rPr>
            </w:pPr>
          </w:p>
        </w:tc>
        <w:tc>
          <w:tcPr>
            <w:tcW w:w="813" w:type="pct"/>
            <w:vMerge w:val="continue"/>
            <w:vAlign w:val="center"/>
          </w:tcPr>
          <w:p w14:paraId="1B9A2A12">
            <w:pPr>
              <w:pStyle w:val="133"/>
              <w:rPr>
                <w:color w:val="FF0000"/>
              </w:rPr>
            </w:pPr>
          </w:p>
        </w:tc>
        <w:tc>
          <w:tcPr>
            <w:tcW w:w="803" w:type="pct"/>
            <w:vAlign w:val="center"/>
          </w:tcPr>
          <w:p w14:paraId="044CB595">
            <w:pPr>
              <w:pStyle w:val="133"/>
              <w:rPr>
                <w:color w:val="000000"/>
              </w:rPr>
            </w:pPr>
            <w:r>
              <w:rPr>
                <w:rFonts w:hint="eastAsia"/>
                <w:color w:val="000000"/>
              </w:rPr>
              <w:t>NH</w:t>
            </w:r>
            <w:r>
              <w:rPr>
                <w:rFonts w:hint="eastAsia"/>
                <w:color w:val="000000"/>
                <w:vertAlign w:val="subscript"/>
              </w:rPr>
              <w:t>3</w:t>
            </w:r>
          </w:p>
        </w:tc>
        <w:tc>
          <w:tcPr>
            <w:tcW w:w="719" w:type="pct"/>
            <w:vAlign w:val="center"/>
          </w:tcPr>
          <w:p w14:paraId="0DDEBBB8">
            <w:pPr>
              <w:pStyle w:val="133"/>
              <w:rPr>
                <w:color w:val="000000"/>
              </w:rPr>
            </w:pPr>
            <w:r>
              <w:rPr>
                <w:rFonts w:hint="eastAsia"/>
                <w:color w:val="000000"/>
              </w:rPr>
              <w:t>0.45</w:t>
            </w:r>
          </w:p>
        </w:tc>
        <w:tc>
          <w:tcPr>
            <w:tcW w:w="706" w:type="pct"/>
            <w:vAlign w:val="center"/>
          </w:tcPr>
          <w:p w14:paraId="34D44A3A">
            <w:pPr>
              <w:pStyle w:val="133"/>
              <w:rPr>
                <w:color w:val="000000"/>
              </w:rPr>
            </w:pPr>
            <w:r>
              <w:rPr>
                <w:color w:val="000000"/>
              </w:rPr>
              <w:t>10</w:t>
            </w:r>
          </w:p>
        </w:tc>
        <w:tc>
          <w:tcPr>
            <w:tcW w:w="624" w:type="pct"/>
            <w:vAlign w:val="center"/>
          </w:tcPr>
          <w:p w14:paraId="4F305861">
            <w:pPr>
              <w:pStyle w:val="133"/>
              <w:rPr>
                <w:color w:val="000000"/>
              </w:rPr>
            </w:pPr>
            <w:r>
              <w:rPr>
                <w:rFonts w:hint="eastAsia"/>
                <w:color w:val="000000"/>
              </w:rPr>
              <w:t>5</w:t>
            </w:r>
          </w:p>
        </w:tc>
      </w:tr>
    </w:tbl>
    <w:p w14:paraId="0ABBBEC7">
      <w:pPr>
        <w:pStyle w:val="422"/>
        <w:ind w:firstLine="480"/>
        <w:rPr>
          <w:color w:val="FF0000"/>
        </w:rPr>
      </w:pPr>
    </w:p>
    <w:p w14:paraId="5F928C97">
      <w:pPr>
        <w:ind w:firstLine="480"/>
      </w:pPr>
    </w:p>
    <w:p w14:paraId="142874D2">
      <w:pPr>
        <w:ind w:firstLine="480"/>
      </w:pPr>
      <w:r>
        <w:rPr>
          <w:rFonts w:hint="eastAsia"/>
        </w:rPr>
        <w:t>环境风险事故对环境的影响主要为因腐蚀、容器管线破损、管理不规范等造成储罐、工艺设备及管道等有毒有害或易燃物质泄漏，对周边大气环境影响、地表水、地下水及土壤环境的影响，甚至造成人员伤害。</w:t>
      </w:r>
    </w:p>
    <w:p w14:paraId="6F164858">
      <w:pPr>
        <w:pStyle w:val="946"/>
        <w:rPr>
          <w:color w:val="000000"/>
        </w:rPr>
      </w:pPr>
      <w:bookmarkStart w:id="693" w:name="_Toc155627744"/>
      <w:bookmarkStart w:id="694" w:name="_Toc205291418"/>
      <w:r>
        <w:rPr>
          <w:rFonts w:hint="eastAsia"/>
          <w:color w:val="000000"/>
        </w:rPr>
        <w:t>环境风险事故预测与评价</w:t>
      </w:r>
      <w:bookmarkEnd w:id="693"/>
      <w:bookmarkEnd w:id="694"/>
    </w:p>
    <w:p w14:paraId="44E250AE">
      <w:pPr>
        <w:pStyle w:val="138"/>
        <w:ind w:firstLine="480"/>
        <w:rPr>
          <w:rFonts w:hint="eastAsia"/>
          <w:color w:val="000000"/>
        </w:rPr>
      </w:pPr>
      <w:r>
        <w:rPr>
          <w:rFonts w:hint="eastAsia"/>
          <w:color w:val="000000"/>
        </w:rPr>
        <w:t>环境风险大气环境影响预测与评价</w:t>
      </w:r>
    </w:p>
    <w:p w14:paraId="393DEEAA">
      <w:pPr>
        <w:pStyle w:val="944"/>
        <w:ind w:firstLine="480"/>
        <w:rPr>
          <w:color w:val="000000"/>
        </w:rPr>
      </w:pPr>
      <w:r>
        <w:rPr>
          <w:rFonts w:hint="eastAsia"/>
          <w:color w:val="000000"/>
        </w:rPr>
        <w:t>气体性质</w:t>
      </w:r>
    </w:p>
    <w:p w14:paraId="17F9C63A">
      <w:pPr>
        <w:pStyle w:val="117"/>
        <w:ind w:firstLine="480"/>
      </w:pPr>
      <w:r>
        <w:rPr>
          <w:rFonts w:hint="eastAsia"/>
        </w:rPr>
        <w:t>本项目事故情况下，本项目风险评价范围内无环境敏感点，T＞T</w:t>
      </w:r>
      <w:r>
        <w:rPr>
          <w:rFonts w:hint="eastAsia"/>
          <w:vertAlign w:val="subscript"/>
        </w:rPr>
        <w:t>d</w:t>
      </w:r>
      <w:r>
        <w:rPr>
          <w:rFonts w:hint="eastAsia"/>
        </w:rPr>
        <w:t>（T</w:t>
      </w:r>
      <w:r>
        <w:rPr>
          <w:rFonts w:hint="eastAsia"/>
          <w:vertAlign w:val="subscript"/>
        </w:rPr>
        <w:t>d</w:t>
      </w:r>
      <w:r>
        <w:rPr>
          <w:rFonts w:hint="eastAsia"/>
        </w:rPr>
        <w:t>=600s），事故源为瞬时排放。依据《建设项目环境风险评价技术导则》（</w:t>
      </w:r>
      <w:r>
        <w:t>HJ169-2018</w:t>
      </w:r>
      <w:r>
        <w:rPr>
          <w:rFonts w:hint="eastAsia"/>
        </w:rPr>
        <w:t>）中理查德森数</w:t>
      </w:r>
      <w:r>
        <w:t>（Ri）</w:t>
      </w:r>
      <w:r>
        <w:rPr>
          <w:rFonts w:hint="eastAsia"/>
        </w:rPr>
        <w:t>作为是否重质气体的判断标准。判断标准为：对于瞬时排放，</w:t>
      </w:r>
      <w:r>
        <w:t>Ri</w:t>
      </w:r>
      <w:r>
        <w:rPr>
          <w:rFonts w:hint="eastAsia"/>
        </w:rPr>
        <w:t>＞</w:t>
      </w:r>
      <w:r>
        <w:t>0.04</w:t>
      </w:r>
      <w:r>
        <w:rPr>
          <w:rFonts w:hint="eastAsia"/>
        </w:rPr>
        <w:t>为重质气体，</w:t>
      </w:r>
      <w:r>
        <w:t>Ri≤0.04</w:t>
      </w:r>
      <w:r>
        <w:rPr>
          <w:rFonts w:hint="eastAsia"/>
        </w:rPr>
        <w:t>为轻质气体。</w:t>
      </w:r>
    </w:p>
    <w:p w14:paraId="64366A12">
      <w:pPr>
        <w:pStyle w:val="257"/>
        <w:ind w:firstLine="480"/>
        <w:rPr>
          <w:color w:val="000000"/>
        </w:rPr>
      </w:pPr>
      <w:r>
        <w:rPr>
          <w:color w:val="000000"/>
        </w:rPr>
        <w:t>Ri</w:t>
      </w:r>
      <w:r>
        <w:rPr>
          <w:rFonts w:hint="eastAsia" w:ascii="宋体" w:hAnsi="宋体" w:cs="宋体"/>
          <w:color w:val="000000"/>
        </w:rPr>
        <w:t>的公式为：</w:t>
      </w:r>
    </w:p>
    <w:p w14:paraId="16902DED">
      <w:pPr>
        <w:ind w:firstLine="480"/>
        <w:jc w:val="center"/>
        <w:rPr>
          <w:color w:val="000000"/>
        </w:rPr>
      </w:pPr>
      <w:r>
        <w:rPr>
          <w:color w:val="000000"/>
        </w:rPr>
        <w:object>
          <v:shape id="_x0000_i1050" o:spt="75" type="#_x0000_t75" style="height:43.35pt;width:158.75pt;" o:ole="t" filled="f" o:preferrelative="t" stroked="f" coordsize="21600,21600">
            <v:path/>
            <v:fill on="f" focussize="0,0"/>
            <v:stroke on="f" joinstyle="miter"/>
            <v:imagedata r:id="rId103" embosscolor="#FFFFFF" o:title=""/>
            <o:lock v:ext="edit" aspectratio="t"/>
            <w10:wrap type="none"/>
            <w10:anchorlock/>
          </v:shape>
          <o:OLEObject Type="Embed" ProgID="Equation.DSMT4" ShapeID="_x0000_i1050" DrawAspect="Content" ObjectID="_1468075750" r:id="rId102">
            <o:LockedField>false</o:LockedField>
          </o:OLEObject>
        </w:object>
      </w:r>
    </w:p>
    <w:p w14:paraId="343E9A77">
      <w:pPr>
        <w:pStyle w:val="257"/>
        <w:ind w:firstLine="480"/>
        <w:rPr>
          <w:rFonts w:ascii="宋体" w:hAnsi="宋体" w:cs="宋体"/>
          <w:color w:val="000000"/>
        </w:rPr>
      </w:pPr>
      <w:r>
        <w:rPr>
          <w:rFonts w:hint="eastAsia" w:ascii="宋体" w:hAnsi="宋体" w:cs="宋体"/>
          <w:color w:val="000000"/>
        </w:rPr>
        <w:t>式中：</w:t>
      </w:r>
    </w:p>
    <w:p w14:paraId="60B89800">
      <w:pPr>
        <w:pStyle w:val="257"/>
        <w:ind w:firstLine="420"/>
        <w:rPr>
          <w:color w:val="000000"/>
          <w:sz w:val="21"/>
        </w:rPr>
      </w:pPr>
      <w:r>
        <w:rPr>
          <w:color w:val="000000"/>
          <w:sz w:val="21"/>
        </w:rPr>
        <w:t>ρ</w:t>
      </w:r>
      <w:r>
        <w:rPr>
          <w:rFonts w:hint="eastAsia"/>
          <w:color w:val="000000"/>
          <w:sz w:val="21"/>
          <w:vertAlign w:val="subscript"/>
        </w:rPr>
        <w:t xml:space="preserve">rel </w:t>
      </w:r>
      <w:r>
        <w:rPr>
          <w:rFonts w:hint="eastAsia"/>
          <w:color w:val="000000"/>
          <w:sz w:val="21"/>
        </w:rPr>
        <w:t>——</w:t>
      </w:r>
      <w:r>
        <w:rPr>
          <w:rFonts w:hint="eastAsia" w:ascii="宋体" w:hAnsi="宋体" w:cs="宋体"/>
          <w:color w:val="000000"/>
          <w:sz w:val="21"/>
        </w:rPr>
        <w:t>排放物质进入大气的初始密度，</w:t>
      </w:r>
      <w:r>
        <w:rPr>
          <w:rFonts w:hint="eastAsia"/>
          <w:color w:val="000000"/>
          <w:sz w:val="21"/>
        </w:rPr>
        <w:t>kg/m</w:t>
      </w:r>
      <w:r>
        <w:rPr>
          <w:rFonts w:hint="eastAsia"/>
          <w:color w:val="000000"/>
          <w:sz w:val="21"/>
          <w:vertAlign w:val="superscript"/>
        </w:rPr>
        <w:t>3</w:t>
      </w:r>
      <w:r>
        <w:rPr>
          <w:rFonts w:hint="eastAsia" w:ascii="宋体" w:hAnsi="宋体" w:eastAsia="宋体" w:cs="宋体"/>
          <w:color w:val="000000"/>
          <w:sz w:val="21"/>
        </w:rPr>
        <w:t>，</w:t>
      </w:r>
      <w:r>
        <w:rPr>
          <w:rFonts w:hint="eastAsia" w:eastAsia="宋体"/>
          <w:color w:val="000000"/>
          <w:sz w:val="21"/>
        </w:rPr>
        <w:t>取1.2504、1.189、0.771；</w:t>
      </w:r>
    </w:p>
    <w:p w14:paraId="24AC30DC">
      <w:pPr>
        <w:pStyle w:val="257"/>
        <w:ind w:firstLine="420"/>
        <w:rPr>
          <w:color w:val="000000"/>
          <w:sz w:val="21"/>
        </w:rPr>
      </w:pPr>
      <w:r>
        <w:rPr>
          <w:color w:val="000000"/>
          <w:sz w:val="21"/>
        </w:rPr>
        <w:t>ρ</w:t>
      </w:r>
      <w:r>
        <w:rPr>
          <w:rFonts w:hint="eastAsia"/>
          <w:color w:val="000000"/>
          <w:sz w:val="21"/>
        </w:rPr>
        <w:t>a——</w:t>
      </w:r>
      <w:r>
        <w:rPr>
          <w:rFonts w:hint="eastAsia" w:ascii="宋体" w:hAnsi="宋体" w:cs="宋体"/>
          <w:color w:val="000000"/>
          <w:sz w:val="21"/>
        </w:rPr>
        <w:t>环境空气密度，</w:t>
      </w:r>
      <w:r>
        <w:rPr>
          <w:rFonts w:hint="eastAsia"/>
          <w:color w:val="000000"/>
          <w:sz w:val="21"/>
        </w:rPr>
        <w:t>kg/m</w:t>
      </w:r>
      <w:r>
        <w:rPr>
          <w:rFonts w:hint="eastAsia"/>
          <w:color w:val="000000"/>
          <w:sz w:val="21"/>
          <w:vertAlign w:val="superscript"/>
        </w:rPr>
        <w:t>3</w:t>
      </w:r>
      <w:r>
        <w:rPr>
          <w:rFonts w:hint="eastAsia" w:ascii="宋体" w:hAnsi="宋体" w:cs="宋体"/>
          <w:color w:val="000000"/>
          <w:sz w:val="21"/>
        </w:rPr>
        <w:t>，取</w:t>
      </w:r>
      <w:r>
        <w:rPr>
          <w:rFonts w:hint="eastAsia"/>
          <w:color w:val="000000"/>
          <w:sz w:val="21"/>
        </w:rPr>
        <w:t>1.29</w:t>
      </w:r>
      <w:r>
        <w:rPr>
          <w:rFonts w:hint="eastAsia" w:ascii="宋体" w:hAnsi="宋体" w:cs="宋体"/>
          <w:color w:val="000000"/>
          <w:sz w:val="21"/>
        </w:rPr>
        <w:t>；</w:t>
      </w:r>
    </w:p>
    <w:p w14:paraId="7CDB413C">
      <w:pPr>
        <w:pStyle w:val="257"/>
        <w:ind w:firstLine="420"/>
        <w:rPr>
          <w:color w:val="000000"/>
          <w:sz w:val="21"/>
        </w:rPr>
      </w:pPr>
      <w:r>
        <w:rPr>
          <w:rFonts w:hint="eastAsia"/>
          <w:color w:val="000000"/>
          <w:sz w:val="21"/>
        </w:rPr>
        <w:t>Q</w:t>
      </w:r>
      <w:r>
        <w:rPr>
          <w:rFonts w:hint="eastAsia"/>
          <w:color w:val="000000"/>
          <w:sz w:val="21"/>
          <w:vertAlign w:val="subscript"/>
        </w:rPr>
        <w:t>t</w:t>
      </w:r>
      <w:r>
        <w:rPr>
          <w:rFonts w:hint="eastAsia"/>
          <w:color w:val="000000"/>
          <w:sz w:val="21"/>
        </w:rPr>
        <w:t>——</w:t>
      </w:r>
      <w:r>
        <w:rPr>
          <w:rFonts w:hint="eastAsia" w:ascii="宋体" w:hAnsi="宋体" w:cs="宋体"/>
          <w:color w:val="000000"/>
          <w:sz w:val="21"/>
        </w:rPr>
        <w:t>瞬时排放的物质质量</w:t>
      </w:r>
      <w:r>
        <w:rPr>
          <w:rFonts w:hint="eastAsia" w:ascii="宋体" w:hAnsi="宋体" w:eastAsia="宋体" w:cs="宋体"/>
          <w:color w:val="000000"/>
          <w:sz w:val="21"/>
        </w:rPr>
        <w:t>，</w:t>
      </w:r>
      <w:r>
        <w:rPr>
          <w:color w:val="000000"/>
          <w:sz w:val="21"/>
        </w:rPr>
        <w:t>kg</w:t>
      </w:r>
      <w:r>
        <w:rPr>
          <w:rFonts w:eastAsia="宋体"/>
          <w:color w:val="000000"/>
          <w:sz w:val="21"/>
        </w:rPr>
        <w:t>，</w:t>
      </w:r>
      <w:r>
        <w:rPr>
          <w:rFonts w:hint="eastAsia" w:eastAsia="宋体"/>
          <w:color w:val="000000"/>
          <w:sz w:val="21"/>
        </w:rPr>
        <w:t>取0.57</w:t>
      </w:r>
      <w:r>
        <w:rPr>
          <w:rFonts w:eastAsia="宋体"/>
          <w:color w:val="000000"/>
          <w:sz w:val="21"/>
        </w:rPr>
        <w:t>、</w:t>
      </w:r>
      <w:r>
        <w:rPr>
          <w:rFonts w:hint="eastAsia" w:eastAsia="宋体"/>
          <w:color w:val="000000"/>
          <w:sz w:val="21"/>
        </w:rPr>
        <w:t>0.64</w:t>
      </w:r>
      <w:r>
        <w:rPr>
          <w:rFonts w:eastAsia="宋体"/>
          <w:color w:val="000000"/>
          <w:sz w:val="21"/>
        </w:rPr>
        <w:t>、</w:t>
      </w:r>
      <w:r>
        <w:rPr>
          <w:rFonts w:hint="eastAsia" w:eastAsia="宋体"/>
          <w:color w:val="000000"/>
          <w:sz w:val="21"/>
        </w:rPr>
        <w:t>0.45</w:t>
      </w:r>
      <w:r>
        <w:rPr>
          <w:rFonts w:hint="eastAsia" w:ascii="宋体" w:hAnsi="宋体" w:eastAsia="宋体" w:cs="宋体"/>
          <w:color w:val="000000"/>
          <w:sz w:val="21"/>
        </w:rPr>
        <w:t>；</w:t>
      </w:r>
    </w:p>
    <w:p w14:paraId="0262886C">
      <w:pPr>
        <w:pStyle w:val="257"/>
        <w:ind w:firstLine="420"/>
        <w:rPr>
          <w:color w:val="000000"/>
          <w:sz w:val="21"/>
        </w:rPr>
      </w:pPr>
      <w:r>
        <w:rPr>
          <w:color w:val="000000"/>
          <w:sz w:val="21"/>
        </w:rPr>
        <w:t>U</w:t>
      </w:r>
      <w:r>
        <w:rPr>
          <w:color w:val="000000"/>
          <w:sz w:val="21"/>
          <w:vertAlign w:val="subscript"/>
        </w:rPr>
        <w:t>r</w:t>
      </w:r>
      <w:r>
        <w:rPr>
          <w:color w:val="000000"/>
          <w:sz w:val="21"/>
        </w:rPr>
        <w:t>——10m</w:t>
      </w:r>
      <w:r>
        <w:rPr>
          <w:rFonts w:hint="eastAsia" w:ascii="宋体" w:hAnsi="宋体" w:eastAsia="宋体" w:cs="宋体"/>
          <w:color w:val="000000"/>
          <w:sz w:val="21"/>
        </w:rPr>
        <w:t>高处风速，</w:t>
      </w:r>
      <w:r>
        <w:rPr>
          <w:color w:val="000000"/>
          <w:sz w:val="21"/>
        </w:rPr>
        <w:t>m/s</w:t>
      </w:r>
      <w:r>
        <w:rPr>
          <w:rFonts w:hint="eastAsia" w:ascii="宋体" w:hAnsi="宋体" w:eastAsia="宋体" w:cs="宋体"/>
          <w:color w:val="000000"/>
          <w:sz w:val="21"/>
        </w:rPr>
        <w:t>，取</w:t>
      </w:r>
      <w:r>
        <w:rPr>
          <w:color w:val="000000"/>
          <w:sz w:val="21"/>
        </w:rPr>
        <w:t>1.5</w:t>
      </w:r>
      <w:r>
        <w:rPr>
          <w:rFonts w:eastAsia="宋体"/>
          <w:color w:val="000000"/>
          <w:sz w:val="21"/>
        </w:rPr>
        <w:t>。</w:t>
      </w:r>
    </w:p>
    <w:p w14:paraId="191840D3">
      <w:pPr>
        <w:pStyle w:val="117"/>
        <w:ind w:firstLine="480"/>
      </w:pPr>
      <w:r>
        <w:rPr>
          <w:rFonts w:hint="eastAsia"/>
        </w:rPr>
        <w:t>本项目各事故情形预测模型选取见下表。</w:t>
      </w:r>
    </w:p>
    <w:p w14:paraId="527B8ADD">
      <w:pPr>
        <w:pStyle w:val="118"/>
        <w:ind w:firstLine="480"/>
      </w:pPr>
      <w:r>
        <w:rPr>
          <w:rFonts w:hint="eastAsia"/>
        </w:rPr>
        <w:t>表7.7-1    各事故情形预测模型选取</w:t>
      </w:r>
    </w:p>
    <w:tbl>
      <w:tblPr>
        <w:tblStyle w:val="11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6"/>
        <w:gridCol w:w="2325"/>
        <w:gridCol w:w="2327"/>
        <w:gridCol w:w="2327"/>
      </w:tblGrid>
      <w:tr w14:paraId="30A36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noWrap/>
            <w:vAlign w:val="center"/>
          </w:tcPr>
          <w:p w14:paraId="688B1135">
            <w:pPr>
              <w:pStyle w:val="133"/>
              <w:rPr>
                <w:b/>
                <w:bCs/>
                <w:lang w:eastAsia="en-US"/>
              </w:rPr>
            </w:pPr>
            <w:r>
              <w:rPr>
                <w:rFonts w:hint="eastAsia"/>
                <w:b/>
                <w:bCs/>
              </w:rPr>
              <w:t>风险事故情形</w:t>
            </w:r>
          </w:p>
        </w:tc>
        <w:tc>
          <w:tcPr>
            <w:tcW w:w="2264" w:type="dxa"/>
            <w:noWrap/>
            <w:vAlign w:val="center"/>
          </w:tcPr>
          <w:p w14:paraId="3A1FFEB0">
            <w:pPr>
              <w:pStyle w:val="133"/>
              <w:rPr>
                <w:b/>
                <w:bCs/>
                <w:lang w:eastAsia="en-US"/>
              </w:rPr>
            </w:pPr>
            <w:r>
              <w:rPr>
                <w:rFonts w:hint="eastAsia"/>
                <w:b/>
                <w:bCs/>
              </w:rPr>
              <w:t>气体污染物</w:t>
            </w:r>
          </w:p>
        </w:tc>
        <w:tc>
          <w:tcPr>
            <w:tcW w:w="2265" w:type="dxa"/>
            <w:vAlign w:val="center"/>
          </w:tcPr>
          <w:p w14:paraId="787A7702">
            <w:pPr>
              <w:pStyle w:val="133"/>
              <w:rPr>
                <w:b/>
                <w:bCs/>
                <w:lang w:eastAsia="en-US"/>
              </w:rPr>
            </w:pPr>
            <w:r>
              <w:rPr>
                <w:b/>
                <w:bCs/>
                <w:lang w:eastAsia="en-US"/>
              </w:rPr>
              <w:t>气体性质</w:t>
            </w:r>
          </w:p>
        </w:tc>
        <w:tc>
          <w:tcPr>
            <w:tcW w:w="2265" w:type="dxa"/>
            <w:vAlign w:val="center"/>
          </w:tcPr>
          <w:p w14:paraId="0D347619">
            <w:pPr>
              <w:pStyle w:val="133"/>
              <w:rPr>
                <w:b/>
                <w:bCs/>
                <w:lang w:eastAsia="en-US"/>
              </w:rPr>
            </w:pPr>
            <w:r>
              <w:rPr>
                <w:b/>
                <w:bCs/>
                <w:lang w:eastAsia="en-US"/>
              </w:rPr>
              <w:t>预测模型</w:t>
            </w:r>
          </w:p>
        </w:tc>
      </w:tr>
      <w:tr w14:paraId="46274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noWrap/>
            <w:vAlign w:val="center"/>
          </w:tcPr>
          <w:p w14:paraId="078C6AA3">
            <w:pPr>
              <w:pStyle w:val="133"/>
            </w:pPr>
            <w:r>
              <w:t>情形</w:t>
            </w:r>
            <w:r>
              <w:rPr>
                <w:rFonts w:hint="eastAsia"/>
              </w:rPr>
              <w:t>（1）</w:t>
            </w:r>
          </w:p>
        </w:tc>
        <w:tc>
          <w:tcPr>
            <w:tcW w:w="2264" w:type="dxa"/>
            <w:noWrap/>
            <w:vAlign w:val="center"/>
          </w:tcPr>
          <w:p w14:paraId="30E3ACE2">
            <w:pPr>
              <w:pStyle w:val="133"/>
            </w:pPr>
            <w:r>
              <w:rPr>
                <w:rFonts w:hint="eastAsia"/>
                <w:color w:val="000000"/>
              </w:rPr>
              <w:t>CO</w:t>
            </w:r>
          </w:p>
        </w:tc>
        <w:tc>
          <w:tcPr>
            <w:tcW w:w="2265" w:type="dxa"/>
            <w:vAlign w:val="center"/>
          </w:tcPr>
          <w:p w14:paraId="296C2063">
            <w:pPr>
              <w:pStyle w:val="133"/>
            </w:pPr>
            <w:r>
              <w:rPr>
                <w:rFonts w:hint="eastAsia"/>
              </w:rPr>
              <w:t>轻质</w:t>
            </w:r>
            <w:r>
              <w:t>气体</w:t>
            </w:r>
          </w:p>
        </w:tc>
        <w:tc>
          <w:tcPr>
            <w:tcW w:w="2265" w:type="dxa"/>
            <w:vAlign w:val="center"/>
          </w:tcPr>
          <w:p w14:paraId="342337FA">
            <w:pPr>
              <w:pStyle w:val="133"/>
            </w:pPr>
            <w:r>
              <w:rPr>
                <w:rFonts w:hint="eastAsia"/>
              </w:rPr>
              <w:t>AFTOX</w:t>
            </w:r>
          </w:p>
        </w:tc>
      </w:tr>
      <w:tr w14:paraId="0AE95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noWrap/>
            <w:vAlign w:val="center"/>
          </w:tcPr>
          <w:p w14:paraId="6CB3C262">
            <w:pPr>
              <w:pStyle w:val="133"/>
            </w:pPr>
            <w:r>
              <w:t>情形</w:t>
            </w:r>
            <w:r>
              <w:rPr>
                <w:rFonts w:hint="eastAsia"/>
              </w:rPr>
              <w:t>（2）</w:t>
            </w:r>
          </w:p>
        </w:tc>
        <w:tc>
          <w:tcPr>
            <w:tcW w:w="2264" w:type="dxa"/>
            <w:noWrap/>
            <w:vAlign w:val="center"/>
          </w:tcPr>
          <w:p w14:paraId="47351A25">
            <w:pPr>
              <w:pStyle w:val="133"/>
            </w:pPr>
            <w:r>
              <w:rPr>
                <w:rFonts w:hint="eastAsia"/>
                <w:color w:val="000000"/>
              </w:rPr>
              <w:t>H</w:t>
            </w:r>
            <w:r>
              <w:rPr>
                <w:rFonts w:hint="eastAsia"/>
                <w:color w:val="000000"/>
                <w:vertAlign w:val="subscript"/>
              </w:rPr>
              <w:t>2</w:t>
            </w:r>
            <w:r>
              <w:rPr>
                <w:rFonts w:hint="eastAsia"/>
                <w:color w:val="000000"/>
              </w:rPr>
              <w:t>S</w:t>
            </w:r>
          </w:p>
        </w:tc>
        <w:tc>
          <w:tcPr>
            <w:tcW w:w="2265" w:type="dxa"/>
            <w:vAlign w:val="center"/>
          </w:tcPr>
          <w:p w14:paraId="5B38D0AF">
            <w:pPr>
              <w:pStyle w:val="133"/>
            </w:pPr>
            <w:r>
              <w:t>重质气体</w:t>
            </w:r>
          </w:p>
        </w:tc>
        <w:tc>
          <w:tcPr>
            <w:tcW w:w="2265" w:type="dxa"/>
            <w:vAlign w:val="center"/>
          </w:tcPr>
          <w:p w14:paraId="2DAAC236">
            <w:pPr>
              <w:pStyle w:val="133"/>
            </w:pPr>
            <w:r>
              <w:rPr>
                <w:rFonts w:hint="eastAsia"/>
              </w:rPr>
              <w:t>SLAB</w:t>
            </w:r>
          </w:p>
        </w:tc>
      </w:tr>
      <w:tr w14:paraId="3EAB5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5" w:type="dxa"/>
            <w:noWrap/>
            <w:vAlign w:val="center"/>
          </w:tcPr>
          <w:p w14:paraId="34961E2A">
            <w:pPr>
              <w:pStyle w:val="133"/>
            </w:pPr>
            <w:r>
              <w:t>情形</w:t>
            </w:r>
            <w:r>
              <w:rPr>
                <w:rFonts w:hint="eastAsia"/>
              </w:rPr>
              <w:t>（3）</w:t>
            </w:r>
          </w:p>
        </w:tc>
        <w:tc>
          <w:tcPr>
            <w:tcW w:w="2264" w:type="dxa"/>
            <w:noWrap/>
            <w:vAlign w:val="center"/>
          </w:tcPr>
          <w:p w14:paraId="7E100001">
            <w:pPr>
              <w:pStyle w:val="133"/>
            </w:pPr>
            <w:r>
              <w:rPr>
                <w:rFonts w:hint="eastAsia"/>
                <w:color w:val="000000"/>
              </w:rPr>
              <w:t>NH</w:t>
            </w:r>
            <w:r>
              <w:rPr>
                <w:rFonts w:hint="eastAsia"/>
                <w:color w:val="000000"/>
                <w:vertAlign w:val="subscript"/>
              </w:rPr>
              <w:t>3</w:t>
            </w:r>
          </w:p>
        </w:tc>
        <w:tc>
          <w:tcPr>
            <w:tcW w:w="2265" w:type="dxa"/>
            <w:vAlign w:val="center"/>
          </w:tcPr>
          <w:p w14:paraId="46DD22E5">
            <w:pPr>
              <w:pStyle w:val="133"/>
            </w:pPr>
            <w:r>
              <w:rPr>
                <w:rFonts w:hint="eastAsia"/>
              </w:rPr>
              <w:t>轻质</w:t>
            </w:r>
            <w:r>
              <w:t>气体</w:t>
            </w:r>
          </w:p>
        </w:tc>
        <w:tc>
          <w:tcPr>
            <w:tcW w:w="2265" w:type="dxa"/>
            <w:vAlign w:val="center"/>
          </w:tcPr>
          <w:p w14:paraId="2C9080D6">
            <w:pPr>
              <w:pStyle w:val="133"/>
            </w:pPr>
            <w:r>
              <w:rPr>
                <w:rFonts w:hint="eastAsia"/>
              </w:rPr>
              <w:t>AFTOX</w:t>
            </w:r>
          </w:p>
        </w:tc>
      </w:tr>
    </w:tbl>
    <w:p w14:paraId="4F14BE47">
      <w:pPr>
        <w:pStyle w:val="38"/>
        <w:ind w:firstLine="0" w:firstLineChars="0"/>
        <w:jc w:val="center"/>
        <w:rPr>
          <w:color w:val="000000"/>
        </w:rPr>
      </w:pPr>
    </w:p>
    <w:p w14:paraId="69D48966">
      <w:pPr>
        <w:pStyle w:val="944"/>
        <w:ind w:firstLine="480"/>
        <w:rPr>
          <w:color w:val="000000"/>
        </w:rPr>
      </w:pPr>
      <w:r>
        <w:rPr>
          <w:rFonts w:hint="eastAsia"/>
          <w:color w:val="000000"/>
        </w:rPr>
        <w:t>预测范围与计算点</w:t>
      </w:r>
    </w:p>
    <w:p w14:paraId="19A80591">
      <w:pPr>
        <w:pStyle w:val="257"/>
        <w:ind w:firstLine="480"/>
        <w:rPr>
          <w:color w:val="000000"/>
        </w:rPr>
      </w:pPr>
      <w:r>
        <w:rPr>
          <w:rFonts w:hint="eastAsia" w:ascii="宋体" w:hAnsi="宋体" w:eastAsia="宋体" w:cs="宋体"/>
          <w:color w:val="000000"/>
        </w:rPr>
        <w:t>预测范围为距离项目边界</w:t>
      </w:r>
      <w:r>
        <w:rPr>
          <w:rFonts w:eastAsia="宋体"/>
          <w:color w:val="000000"/>
        </w:rPr>
        <w:t>5.0</w:t>
      </w:r>
      <w:r>
        <w:rPr>
          <w:rFonts w:hint="eastAsia"/>
          <w:color w:val="000000"/>
        </w:rPr>
        <w:t>km</w:t>
      </w:r>
      <w:r>
        <w:rPr>
          <w:rFonts w:hint="eastAsia" w:ascii="宋体" w:hAnsi="宋体" w:eastAsia="宋体" w:cs="宋体"/>
          <w:color w:val="000000"/>
        </w:rPr>
        <w:t>范围。</w:t>
      </w:r>
    </w:p>
    <w:p w14:paraId="5DEA5AA6">
      <w:pPr>
        <w:pStyle w:val="257"/>
        <w:ind w:firstLine="480"/>
        <w:rPr>
          <w:rFonts w:hint="eastAsia" w:ascii="宋体" w:hAnsi="宋体" w:eastAsia="宋体" w:cs="宋体"/>
          <w:color w:val="000000"/>
        </w:rPr>
      </w:pPr>
      <w:r>
        <w:rPr>
          <w:rFonts w:hint="eastAsia" w:ascii="宋体" w:hAnsi="宋体" w:eastAsia="宋体" w:cs="宋体"/>
          <w:color w:val="000000"/>
        </w:rPr>
        <w:t>计算点分特殊计算点和一般计算点。特殊计算点指大气环境敏感目标等关心点；一般计算点指下风向不同距离点，本项目设置</w:t>
      </w:r>
      <w:r>
        <w:rPr>
          <w:color w:val="000000"/>
        </w:rPr>
        <w:t>50</w:t>
      </w:r>
      <w:r>
        <w:rPr>
          <w:rFonts w:hint="eastAsia"/>
          <w:color w:val="000000"/>
        </w:rPr>
        <w:t>m</w:t>
      </w:r>
      <w:r>
        <w:rPr>
          <w:rFonts w:hint="eastAsia" w:ascii="宋体" w:hAnsi="宋体" w:eastAsia="宋体" w:cs="宋体"/>
          <w:color w:val="000000"/>
        </w:rPr>
        <w:t>间距。</w:t>
      </w:r>
    </w:p>
    <w:p w14:paraId="02A47D62">
      <w:pPr>
        <w:pStyle w:val="944"/>
        <w:ind w:firstLine="480"/>
        <w:rPr>
          <w:color w:val="000000"/>
        </w:rPr>
      </w:pPr>
      <w:r>
        <w:rPr>
          <w:rFonts w:hint="eastAsia"/>
          <w:color w:val="000000"/>
        </w:rPr>
        <w:t>气象参数</w:t>
      </w:r>
    </w:p>
    <w:p w14:paraId="7B6ABB5D">
      <w:pPr>
        <w:pStyle w:val="257"/>
        <w:ind w:left="120" w:leftChars="50" w:firstLine="360" w:firstLineChars="150"/>
        <w:rPr>
          <w:color w:val="000000"/>
        </w:rPr>
      </w:pPr>
      <w:r>
        <w:rPr>
          <w:rFonts w:hint="eastAsia" w:ascii="宋体" w:hAnsi="宋体" w:cs="宋体"/>
          <w:color w:val="000000"/>
        </w:rPr>
        <w:t>本项目环境风险评价等级为一级，需选取最不利气象条件和最常见气象条件进行后果预测。</w:t>
      </w:r>
    </w:p>
    <w:p w14:paraId="48A2E9C7">
      <w:pPr>
        <w:pStyle w:val="257"/>
        <w:ind w:firstLine="480"/>
        <w:rPr>
          <w:rFonts w:ascii="宋体" w:hAnsi="宋体" w:cs="宋体"/>
          <w:color w:val="000000"/>
        </w:rPr>
      </w:pPr>
      <w:r>
        <w:rPr>
          <w:rFonts w:hint="eastAsia" w:ascii="宋体" w:hAnsi="宋体" w:cs="宋体"/>
          <w:color w:val="000000"/>
        </w:rPr>
        <w:t>最不利气象条件取</w:t>
      </w:r>
      <w:r>
        <w:rPr>
          <w:rFonts w:hint="eastAsia"/>
          <w:color w:val="000000"/>
        </w:rPr>
        <w:t>F</w:t>
      </w:r>
      <w:r>
        <w:rPr>
          <w:rFonts w:hint="eastAsia" w:ascii="宋体" w:hAnsi="宋体" w:cs="宋体"/>
          <w:color w:val="000000"/>
        </w:rPr>
        <w:t>类稳定度，</w:t>
      </w:r>
      <w:r>
        <w:rPr>
          <w:rFonts w:hint="eastAsia"/>
          <w:color w:val="000000"/>
        </w:rPr>
        <w:t>1.5m/s</w:t>
      </w:r>
      <w:r>
        <w:rPr>
          <w:rFonts w:hint="eastAsia" w:ascii="宋体" w:hAnsi="宋体" w:cs="宋体"/>
          <w:color w:val="000000"/>
        </w:rPr>
        <w:t>风速，温度</w:t>
      </w:r>
      <w:r>
        <w:rPr>
          <w:rFonts w:hint="eastAsia"/>
          <w:color w:val="000000"/>
        </w:rPr>
        <w:t>25</w:t>
      </w:r>
      <w:r>
        <w:rPr>
          <w:color w:val="000000"/>
        </w:rPr>
        <w:t>℃</w:t>
      </w:r>
      <w:r>
        <w:rPr>
          <w:rFonts w:hint="eastAsia" w:ascii="宋体" w:hAnsi="宋体" w:cs="宋体"/>
          <w:color w:val="000000"/>
        </w:rPr>
        <w:t>，相对湿度</w:t>
      </w:r>
      <w:r>
        <w:rPr>
          <w:rFonts w:hint="eastAsia"/>
          <w:color w:val="000000"/>
        </w:rPr>
        <w:t>50%</w:t>
      </w:r>
      <w:r>
        <w:rPr>
          <w:rFonts w:hint="eastAsia" w:ascii="宋体" w:hAnsi="宋体" w:cs="宋体"/>
          <w:color w:val="000000"/>
        </w:rPr>
        <w:t>。</w:t>
      </w:r>
    </w:p>
    <w:p w14:paraId="2CEF65F7">
      <w:pPr>
        <w:pStyle w:val="257"/>
        <w:ind w:firstLine="480"/>
        <w:rPr>
          <w:color w:val="000000"/>
        </w:rPr>
      </w:pPr>
      <w:r>
        <w:rPr>
          <w:rFonts w:hint="eastAsia" w:ascii="宋体" w:hAnsi="宋体" w:cs="宋体"/>
          <w:color w:val="000000"/>
        </w:rPr>
        <w:t>最常见气象条件取</w:t>
      </w:r>
      <w:r>
        <w:rPr>
          <w:rFonts w:hint="eastAsia"/>
          <w:color w:val="000000"/>
        </w:rPr>
        <w:t>F</w:t>
      </w:r>
      <w:r>
        <w:rPr>
          <w:rFonts w:hint="eastAsia" w:ascii="宋体" w:hAnsi="宋体" w:cs="宋体"/>
          <w:color w:val="000000"/>
        </w:rPr>
        <w:t>类稳定度，</w:t>
      </w:r>
      <w:r>
        <w:rPr>
          <w:rFonts w:hint="eastAsia" w:eastAsia="宋体"/>
          <w:color w:val="000000"/>
        </w:rPr>
        <w:t>4.16</w:t>
      </w:r>
      <w:r>
        <w:rPr>
          <w:rFonts w:hint="eastAsia"/>
          <w:color w:val="000000"/>
        </w:rPr>
        <w:t>m/s</w:t>
      </w:r>
      <w:r>
        <w:rPr>
          <w:rFonts w:hint="eastAsia" w:ascii="宋体" w:hAnsi="宋体" w:cs="宋体"/>
          <w:color w:val="000000"/>
        </w:rPr>
        <w:t>风速，温度</w:t>
      </w:r>
      <w:r>
        <w:rPr>
          <w:rFonts w:hint="eastAsia" w:eastAsia="宋体"/>
          <w:color w:val="000000"/>
        </w:rPr>
        <w:t>35.42</w:t>
      </w:r>
      <w:r>
        <w:rPr>
          <w:color w:val="000000"/>
        </w:rPr>
        <w:t>℃</w:t>
      </w:r>
      <w:r>
        <w:rPr>
          <w:rFonts w:hint="eastAsia" w:ascii="宋体" w:hAnsi="宋体" w:cs="宋体"/>
          <w:color w:val="000000"/>
        </w:rPr>
        <w:t>，相对湿度</w:t>
      </w:r>
      <w:r>
        <w:rPr>
          <w:rFonts w:hint="eastAsia" w:eastAsia="宋体"/>
          <w:color w:val="000000"/>
        </w:rPr>
        <w:t>32</w:t>
      </w:r>
      <w:r>
        <w:rPr>
          <w:rFonts w:hint="eastAsia"/>
          <w:color w:val="000000"/>
        </w:rPr>
        <w:t>%</w:t>
      </w:r>
      <w:r>
        <w:rPr>
          <w:rFonts w:hint="eastAsia" w:ascii="宋体" w:hAnsi="宋体" w:cs="宋体"/>
          <w:color w:val="000000"/>
        </w:rPr>
        <w:t>。</w:t>
      </w:r>
    </w:p>
    <w:p w14:paraId="77277311">
      <w:pPr>
        <w:pStyle w:val="944"/>
        <w:ind w:firstLine="480"/>
        <w:rPr>
          <w:color w:val="000000"/>
        </w:rPr>
      </w:pPr>
      <w:r>
        <w:rPr>
          <w:rFonts w:hint="eastAsia"/>
          <w:color w:val="000000"/>
        </w:rPr>
        <w:t>大气毒性终点浓度选取</w:t>
      </w:r>
    </w:p>
    <w:p w14:paraId="3F76582D">
      <w:pPr>
        <w:pStyle w:val="257"/>
        <w:ind w:firstLine="480"/>
        <w:rPr>
          <w:color w:val="000000"/>
        </w:rPr>
      </w:pPr>
      <w:r>
        <w:rPr>
          <w:rFonts w:hint="eastAsia" w:ascii="宋体" w:hAnsi="宋体" w:eastAsia="宋体" w:cs="宋体"/>
          <w:color w:val="000000"/>
        </w:rPr>
        <w:t>大气毒性终点浓度值选取分为</w:t>
      </w:r>
      <w:r>
        <w:rPr>
          <w:rFonts w:hint="eastAsia"/>
          <w:color w:val="000000"/>
        </w:rPr>
        <w:t>1</w:t>
      </w:r>
      <w:r>
        <w:rPr>
          <w:rFonts w:hint="eastAsia" w:ascii="宋体" w:hAnsi="宋体" w:eastAsia="宋体" w:cs="宋体"/>
          <w:color w:val="000000"/>
        </w:rPr>
        <w:t>、</w:t>
      </w:r>
      <w:r>
        <w:rPr>
          <w:rFonts w:hint="eastAsia"/>
          <w:color w:val="000000"/>
        </w:rPr>
        <w:t>2</w:t>
      </w:r>
      <w:r>
        <w:rPr>
          <w:rFonts w:hint="eastAsia" w:ascii="宋体" w:hAnsi="宋体" w:eastAsia="宋体" w:cs="宋体"/>
          <w:color w:val="000000"/>
        </w:rPr>
        <w:t>级。其中</w:t>
      </w:r>
      <w:r>
        <w:rPr>
          <w:rFonts w:hint="eastAsia"/>
          <w:color w:val="000000"/>
        </w:rPr>
        <w:t>1</w:t>
      </w:r>
      <w:r>
        <w:rPr>
          <w:rFonts w:hint="eastAsia" w:ascii="宋体" w:hAnsi="宋体" w:eastAsia="宋体" w:cs="宋体"/>
          <w:color w:val="000000"/>
        </w:rPr>
        <w:t>级为当大气中危险物质浓度低于该限值时，绝大多数人员暴露</w:t>
      </w:r>
      <w:r>
        <w:rPr>
          <w:rFonts w:hint="eastAsia"/>
          <w:color w:val="000000"/>
        </w:rPr>
        <w:t>1h</w:t>
      </w:r>
      <w:r>
        <w:rPr>
          <w:rFonts w:hint="eastAsia" w:ascii="宋体" w:hAnsi="宋体" w:eastAsia="宋体" w:cs="宋体"/>
          <w:color w:val="000000"/>
        </w:rPr>
        <w:t>不会对生命造成威胁，当超过该限值时，有可能对人群造成生命威胁；</w:t>
      </w:r>
      <w:r>
        <w:rPr>
          <w:rFonts w:hint="eastAsia"/>
          <w:color w:val="000000"/>
        </w:rPr>
        <w:t>2</w:t>
      </w:r>
      <w:r>
        <w:rPr>
          <w:rFonts w:hint="eastAsia" w:ascii="宋体" w:hAnsi="宋体" w:eastAsia="宋体" w:cs="宋体"/>
          <w:color w:val="000000"/>
        </w:rPr>
        <w:t>级为当大气中危险物质浓度低于该限值时，暴露</w:t>
      </w:r>
      <w:r>
        <w:rPr>
          <w:rFonts w:hint="eastAsia"/>
          <w:color w:val="000000"/>
        </w:rPr>
        <w:t>1h</w:t>
      </w:r>
      <w:r>
        <w:rPr>
          <w:rFonts w:hint="eastAsia" w:ascii="宋体" w:hAnsi="宋体" w:eastAsia="宋体" w:cs="宋体"/>
          <w:color w:val="000000"/>
        </w:rPr>
        <w:t>一般不会对人体造成不可逆的伤害，或出现的症状一般不会损伤该个体采取有效防护措施的能力。</w:t>
      </w:r>
    </w:p>
    <w:p w14:paraId="3A2179B5">
      <w:pPr>
        <w:pStyle w:val="257"/>
        <w:ind w:firstLine="480"/>
        <w:rPr>
          <w:rFonts w:eastAsia="宋体"/>
          <w:color w:val="000000"/>
        </w:rPr>
      </w:pPr>
      <w:r>
        <w:rPr>
          <w:rFonts w:eastAsia="宋体"/>
          <w:color w:val="000000"/>
        </w:rPr>
        <w:t>本项目预测的风险物质为一氧化碳</w:t>
      </w:r>
      <w:r>
        <w:rPr>
          <w:rFonts w:hint="eastAsia" w:eastAsia="宋体"/>
          <w:color w:val="000000"/>
        </w:rPr>
        <w:t>、硫化氢及氨</w:t>
      </w:r>
      <w:r>
        <w:rPr>
          <w:rFonts w:eastAsia="宋体"/>
          <w:color w:val="000000"/>
        </w:rPr>
        <w:t>，具体风险物质的大气浓度终点浓度值见下表。</w:t>
      </w:r>
    </w:p>
    <w:p w14:paraId="3146F9E9">
      <w:pPr>
        <w:pStyle w:val="118"/>
        <w:ind w:firstLine="480"/>
      </w:pPr>
      <w:r>
        <w:rPr>
          <w:rFonts w:hint="eastAsia"/>
        </w:rPr>
        <w:t>表7</w:t>
      </w:r>
      <w:r>
        <w:t>.</w:t>
      </w:r>
      <w:r>
        <w:rPr>
          <w:rFonts w:hint="eastAsia"/>
        </w:rPr>
        <w:t>7</w:t>
      </w:r>
      <w:r>
        <w:t>-</w:t>
      </w:r>
      <w:r>
        <w:rPr>
          <w:rFonts w:hint="eastAsia"/>
        </w:rPr>
        <w:t>2</w:t>
      </w:r>
      <w:r>
        <w:t xml:space="preserve"> </w:t>
      </w:r>
      <w:r>
        <w:rPr>
          <w:rFonts w:hint="eastAsia"/>
        </w:rPr>
        <w:t xml:space="preserve">  大气毒性终点浓度</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949"/>
        <w:gridCol w:w="3257"/>
        <w:gridCol w:w="2828"/>
      </w:tblGrid>
      <w:tr w14:paraId="0AE2CE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dxa"/>
            <w:vAlign w:val="center"/>
          </w:tcPr>
          <w:p w14:paraId="0AEE1B5E">
            <w:pPr>
              <w:pStyle w:val="133"/>
              <w:rPr>
                <w:b/>
                <w:bCs/>
                <w:color w:val="000000"/>
              </w:rPr>
            </w:pPr>
            <w:r>
              <w:rPr>
                <w:b/>
                <w:bCs/>
                <w:color w:val="000000"/>
              </w:rPr>
              <w:t>序号</w:t>
            </w:r>
          </w:p>
        </w:tc>
        <w:tc>
          <w:tcPr>
            <w:tcW w:w="1897" w:type="dxa"/>
            <w:vAlign w:val="center"/>
          </w:tcPr>
          <w:p w14:paraId="6B9C8FB5">
            <w:pPr>
              <w:pStyle w:val="133"/>
              <w:rPr>
                <w:b/>
                <w:bCs/>
                <w:color w:val="000000"/>
              </w:rPr>
            </w:pPr>
            <w:r>
              <w:rPr>
                <w:b/>
                <w:bCs/>
                <w:color w:val="000000"/>
              </w:rPr>
              <w:t>项目</w:t>
            </w:r>
          </w:p>
        </w:tc>
        <w:tc>
          <w:tcPr>
            <w:tcW w:w="3171" w:type="dxa"/>
            <w:vAlign w:val="center"/>
          </w:tcPr>
          <w:p w14:paraId="7041F32F">
            <w:pPr>
              <w:pStyle w:val="133"/>
              <w:rPr>
                <w:b/>
                <w:bCs/>
                <w:color w:val="000000"/>
              </w:rPr>
            </w:pPr>
            <w:r>
              <w:rPr>
                <w:b/>
                <w:bCs/>
                <w:color w:val="000000"/>
              </w:rPr>
              <w:t>毒性终点浓度-1/（mg/m</w:t>
            </w:r>
            <w:r>
              <w:rPr>
                <w:b/>
                <w:bCs/>
                <w:color w:val="000000"/>
                <w:vertAlign w:val="superscript"/>
              </w:rPr>
              <w:t>3</w:t>
            </w:r>
            <w:r>
              <w:rPr>
                <w:b/>
                <w:bCs/>
                <w:color w:val="000000"/>
              </w:rPr>
              <w:t>）</w:t>
            </w:r>
          </w:p>
        </w:tc>
        <w:tc>
          <w:tcPr>
            <w:tcW w:w="2753" w:type="dxa"/>
            <w:vAlign w:val="center"/>
          </w:tcPr>
          <w:p w14:paraId="2D1B4996">
            <w:pPr>
              <w:pStyle w:val="133"/>
              <w:rPr>
                <w:b/>
                <w:bCs/>
                <w:color w:val="000000"/>
              </w:rPr>
            </w:pPr>
            <w:r>
              <w:rPr>
                <w:b/>
                <w:bCs/>
                <w:color w:val="000000"/>
              </w:rPr>
              <w:t>毒性终点浓度-2/（mg/m</w:t>
            </w:r>
            <w:r>
              <w:rPr>
                <w:b/>
                <w:bCs/>
                <w:color w:val="000000"/>
                <w:vertAlign w:val="superscript"/>
              </w:rPr>
              <w:t>3</w:t>
            </w:r>
            <w:r>
              <w:rPr>
                <w:b/>
                <w:bCs/>
                <w:color w:val="000000"/>
              </w:rPr>
              <w:t>）</w:t>
            </w:r>
          </w:p>
        </w:tc>
      </w:tr>
      <w:tr w14:paraId="1C39F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dxa"/>
            <w:vAlign w:val="center"/>
          </w:tcPr>
          <w:p w14:paraId="3A1A762D">
            <w:pPr>
              <w:pStyle w:val="133"/>
              <w:rPr>
                <w:color w:val="000000"/>
              </w:rPr>
            </w:pPr>
            <w:r>
              <w:rPr>
                <w:rFonts w:hint="eastAsia"/>
                <w:color w:val="000000"/>
              </w:rPr>
              <w:t>1</w:t>
            </w:r>
          </w:p>
        </w:tc>
        <w:tc>
          <w:tcPr>
            <w:tcW w:w="1897" w:type="dxa"/>
            <w:vAlign w:val="center"/>
          </w:tcPr>
          <w:p w14:paraId="2434615C">
            <w:pPr>
              <w:pStyle w:val="133"/>
              <w:rPr>
                <w:color w:val="000000"/>
              </w:rPr>
            </w:pPr>
            <w:r>
              <w:rPr>
                <w:rFonts w:hint="eastAsia"/>
                <w:color w:val="000000"/>
              </w:rPr>
              <w:t>CO</w:t>
            </w:r>
          </w:p>
        </w:tc>
        <w:tc>
          <w:tcPr>
            <w:tcW w:w="3171" w:type="dxa"/>
            <w:vAlign w:val="center"/>
          </w:tcPr>
          <w:p w14:paraId="0887C511">
            <w:pPr>
              <w:pStyle w:val="133"/>
              <w:rPr>
                <w:color w:val="000000"/>
              </w:rPr>
            </w:pPr>
            <w:r>
              <w:rPr>
                <w:rFonts w:hint="eastAsia"/>
                <w:color w:val="000000"/>
              </w:rPr>
              <w:t>380</w:t>
            </w:r>
          </w:p>
        </w:tc>
        <w:tc>
          <w:tcPr>
            <w:tcW w:w="2753" w:type="dxa"/>
            <w:vAlign w:val="center"/>
          </w:tcPr>
          <w:p w14:paraId="5B9FCAF5">
            <w:pPr>
              <w:pStyle w:val="133"/>
              <w:rPr>
                <w:color w:val="000000"/>
              </w:rPr>
            </w:pPr>
            <w:r>
              <w:rPr>
                <w:rFonts w:hint="eastAsia"/>
                <w:color w:val="000000"/>
              </w:rPr>
              <w:t>95</w:t>
            </w:r>
          </w:p>
        </w:tc>
      </w:tr>
      <w:tr w14:paraId="68900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dxa"/>
            <w:vAlign w:val="center"/>
          </w:tcPr>
          <w:p w14:paraId="760C3B4D">
            <w:pPr>
              <w:pStyle w:val="133"/>
              <w:rPr>
                <w:color w:val="000000"/>
              </w:rPr>
            </w:pPr>
            <w:r>
              <w:rPr>
                <w:rFonts w:hint="eastAsia"/>
                <w:color w:val="000000"/>
              </w:rPr>
              <w:t>2</w:t>
            </w:r>
          </w:p>
        </w:tc>
        <w:tc>
          <w:tcPr>
            <w:tcW w:w="1897" w:type="dxa"/>
            <w:vAlign w:val="center"/>
          </w:tcPr>
          <w:p w14:paraId="4E4BF773">
            <w:pPr>
              <w:pStyle w:val="133"/>
              <w:rPr>
                <w:color w:val="000000"/>
              </w:rPr>
            </w:pPr>
            <w:r>
              <w:rPr>
                <w:rFonts w:hint="eastAsia"/>
                <w:color w:val="000000"/>
              </w:rPr>
              <w:t>H</w:t>
            </w:r>
            <w:r>
              <w:rPr>
                <w:rFonts w:hint="eastAsia"/>
                <w:color w:val="000000"/>
                <w:vertAlign w:val="subscript"/>
              </w:rPr>
              <w:t>2</w:t>
            </w:r>
            <w:r>
              <w:rPr>
                <w:rFonts w:hint="eastAsia"/>
                <w:color w:val="000000"/>
              </w:rPr>
              <w:t>S</w:t>
            </w:r>
          </w:p>
        </w:tc>
        <w:tc>
          <w:tcPr>
            <w:tcW w:w="3171" w:type="dxa"/>
            <w:vAlign w:val="center"/>
          </w:tcPr>
          <w:p w14:paraId="5360E7FE">
            <w:pPr>
              <w:pStyle w:val="133"/>
              <w:rPr>
                <w:color w:val="000000"/>
              </w:rPr>
            </w:pPr>
            <w:r>
              <w:rPr>
                <w:rFonts w:hint="eastAsia"/>
                <w:color w:val="000000"/>
              </w:rPr>
              <w:t>70</w:t>
            </w:r>
          </w:p>
        </w:tc>
        <w:tc>
          <w:tcPr>
            <w:tcW w:w="2753" w:type="dxa"/>
            <w:vAlign w:val="center"/>
          </w:tcPr>
          <w:p w14:paraId="47B0E6B8">
            <w:pPr>
              <w:pStyle w:val="133"/>
              <w:rPr>
                <w:color w:val="000000"/>
              </w:rPr>
            </w:pPr>
            <w:r>
              <w:rPr>
                <w:rFonts w:hint="eastAsia"/>
                <w:color w:val="000000"/>
              </w:rPr>
              <w:t>38</w:t>
            </w:r>
          </w:p>
        </w:tc>
      </w:tr>
      <w:tr w14:paraId="17A61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8" w:type="dxa"/>
            <w:vAlign w:val="center"/>
          </w:tcPr>
          <w:p w14:paraId="79487DF2">
            <w:pPr>
              <w:pStyle w:val="133"/>
              <w:rPr>
                <w:color w:val="000000"/>
              </w:rPr>
            </w:pPr>
            <w:r>
              <w:rPr>
                <w:rFonts w:hint="eastAsia"/>
                <w:color w:val="000000"/>
              </w:rPr>
              <w:t>3</w:t>
            </w:r>
          </w:p>
        </w:tc>
        <w:tc>
          <w:tcPr>
            <w:tcW w:w="1897" w:type="dxa"/>
            <w:vAlign w:val="center"/>
          </w:tcPr>
          <w:p w14:paraId="6D14ACD0">
            <w:pPr>
              <w:pStyle w:val="133"/>
              <w:rPr>
                <w:color w:val="000000"/>
              </w:rPr>
            </w:pPr>
            <w:r>
              <w:rPr>
                <w:rFonts w:hint="eastAsia"/>
                <w:color w:val="000000"/>
              </w:rPr>
              <w:t>NH</w:t>
            </w:r>
            <w:r>
              <w:rPr>
                <w:rFonts w:hint="eastAsia"/>
                <w:color w:val="000000"/>
                <w:vertAlign w:val="subscript"/>
              </w:rPr>
              <w:t>3</w:t>
            </w:r>
          </w:p>
        </w:tc>
        <w:tc>
          <w:tcPr>
            <w:tcW w:w="3171" w:type="dxa"/>
            <w:vAlign w:val="center"/>
          </w:tcPr>
          <w:p w14:paraId="4D36AA29">
            <w:pPr>
              <w:pStyle w:val="133"/>
              <w:rPr>
                <w:color w:val="000000"/>
              </w:rPr>
            </w:pPr>
            <w:r>
              <w:rPr>
                <w:rFonts w:hint="eastAsia"/>
                <w:color w:val="000000"/>
              </w:rPr>
              <w:t>770</w:t>
            </w:r>
          </w:p>
        </w:tc>
        <w:tc>
          <w:tcPr>
            <w:tcW w:w="2753" w:type="dxa"/>
            <w:vAlign w:val="center"/>
          </w:tcPr>
          <w:p w14:paraId="452AD7D0">
            <w:pPr>
              <w:pStyle w:val="133"/>
              <w:rPr>
                <w:color w:val="000000"/>
              </w:rPr>
            </w:pPr>
            <w:r>
              <w:rPr>
                <w:rFonts w:hint="eastAsia"/>
                <w:color w:val="000000"/>
              </w:rPr>
              <w:t>110</w:t>
            </w:r>
          </w:p>
        </w:tc>
      </w:tr>
    </w:tbl>
    <w:p w14:paraId="59AC12CE">
      <w:pPr>
        <w:pStyle w:val="944"/>
        <w:ind w:firstLine="480"/>
        <w:rPr>
          <w:color w:val="000000"/>
        </w:rPr>
      </w:pPr>
      <w:r>
        <w:rPr>
          <w:rFonts w:hint="eastAsia"/>
          <w:color w:val="000000"/>
        </w:rPr>
        <w:t>煤气泄漏事故结果</w:t>
      </w:r>
    </w:p>
    <w:p w14:paraId="395A5DBA">
      <w:pPr>
        <w:pStyle w:val="117"/>
        <w:ind w:firstLine="480"/>
      </w:pPr>
      <w:r>
        <w:rPr>
          <w:rFonts w:hint="eastAsia"/>
        </w:rPr>
        <w:t>（1）CO</w:t>
      </w:r>
    </w:p>
    <w:p w14:paraId="5ACA69D5">
      <w:pPr>
        <w:pStyle w:val="117"/>
        <w:ind w:firstLine="480"/>
      </w:pPr>
      <w:r>
        <w:rPr>
          <w:rFonts w:hint="eastAsia"/>
        </w:rPr>
        <w:t>根据预测方案，煤气输送管线泄漏事故最不利气象条件下和最常见气象条件下的CO预测结果见表7.7-3，最大影响范围示意见图7.7-1、图7.7-2。</w:t>
      </w:r>
    </w:p>
    <w:p w14:paraId="224AF23D">
      <w:pPr>
        <w:pStyle w:val="118"/>
        <w:ind w:firstLine="480"/>
      </w:pPr>
      <w:r>
        <w:rPr>
          <w:rFonts w:hint="eastAsia"/>
        </w:rPr>
        <w:t xml:space="preserve">表7.7-3  </w:t>
      </w:r>
      <w:r>
        <w:t xml:space="preserve">  </w:t>
      </w:r>
      <w:r>
        <w:rPr>
          <w:rFonts w:hint="eastAsia"/>
        </w:rPr>
        <w:t>煤气管线泄漏一氧化碳源项和事故后果基本信息表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86"/>
        <w:gridCol w:w="1083"/>
        <w:gridCol w:w="298"/>
        <w:gridCol w:w="1165"/>
        <w:gridCol w:w="698"/>
        <w:gridCol w:w="1161"/>
        <w:gridCol w:w="536"/>
        <w:gridCol w:w="683"/>
        <w:gridCol w:w="1014"/>
        <w:gridCol w:w="538"/>
        <w:gridCol w:w="1543"/>
      </w:tblGrid>
      <w:tr w14:paraId="00C80D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303BCA2E">
            <w:pPr>
              <w:pStyle w:val="133"/>
              <w:rPr>
                <w:b/>
                <w:bCs/>
                <w:color w:val="000000"/>
              </w:rPr>
            </w:pPr>
            <w:r>
              <w:rPr>
                <w:rFonts w:hint="eastAsia"/>
                <w:b/>
                <w:bCs/>
                <w:color w:val="000000"/>
              </w:rPr>
              <w:t>风险事故</w:t>
            </w:r>
            <w:r>
              <w:rPr>
                <w:b/>
                <w:bCs/>
                <w:color w:val="000000"/>
              </w:rPr>
              <w:t>情形分析</w:t>
            </w:r>
          </w:p>
        </w:tc>
      </w:tr>
      <w:tr w14:paraId="25EEF4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15AD1465">
            <w:pPr>
              <w:pStyle w:val="133"/>
              <w:rPr>
                <w:color w:val="000000"/>
              </w:rPr>
            </w:pPr>
            <w:r>
              <w:rPr>
                <w:rFonts w:hint="eastAsia"/>
                <w:color w:val="000000"/>
              </w:rPr>
              <w:t>代表性风险事故</w:t>
            </w:r>
          </w:p>
          <w:p w14:paraId="2BF412E7">
            <w:pPr>
              <w:pStyle w:val="133"/>
              <w:rPr>
                <w:color w:val="000000"/>
              </w:rPr>
            </w:pPr>
            <w:r>
              <w:rPr>
                <w:rFonts w:hint="eastAsia"/>
                <w:color w:val="000000"/>
              </w:rPr>
              <w:t>情形描述</w:t>
            </w:r>
          </w:p>
        </w:tc>
        <w:tc>
          <w:tcPr>
            <w:tcW w:w="3943" w:type="pct"/>
            <w:gridSpan w:val="8"/>
            <w:vAlign w:val="center"/>
          </w:tcPr>
          <w:p w14:paraId="4D85ED57">
            <w:pPr>
              <w:pStyle w:val="133"/>
              <w:rPr>
                <w:color w:val="000000"/>
              </w:rPr>
            </w:pPr>
            <w:r>
              <w:rPr>
                <w:rFonts w:hint="eastAsia"/>
                <w:color w:val="000000"/>
              </w:rPr>
              <w:t>煤气输送</w:t>
            </w:r>
            <w:r>
              <w:rPr>
                <w:color w:val="000000"/>
              </w:rPr>
              <w:t>管线破裂，</w:t>
            </w:r>
            <w:r>
              <w:rPr>
                <w:rFonts w:hint="eastAsia"/>
                <w:color w:val="000000"/>
              </w:rPr>
              <w:t>煤气</w:t>
            </w:r>
            <w:r>
              <w:rPr>
                <w:color w:val="000000"/>
              </w:rPr>
              <w:t>（主要成分</w:t>
            </w:r>
            <w:r>
              <w:rPr>
                <w:rFonts w:hint="eastAsia"/>
                <w:color w:val="000000"/>
              </w:rPr>
              <w:t>CO</w:t>
            </w:r>
            <w:r>
              <w:rPr>
                <w:color w:val="000000"/>
              </w:rPr>
              <w:t>）泄漏扩散</w:t>
            </w:r>
          </w:p>
        </w:tc>
      </w:tr>
      <w:tr w14:paraId="595857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5B2270F3">
            <w:pPr>
              <w:pStyle w:val="133"/>
              <w:rPr>
                <w:color w:val="000000"/>
              </w:rPr>
            </w:pPr>
            <w:r>
              <w:rPr>
                <w:rFonts w:hint="eastAsia"/>
                <w:color w:val="000000"/>
              </w:rPr>
              <w:t>环境</w:t>
            </w:r>
            <w:r>
              <w:rPr>
                <w:color w:val="000000"/>
              </w:rPr>
              <w:t>风险</w:t>
            </w:r>
            <w:r>
              <w:rPr>
                <w:rFonts w:hint="eastAsia"/>
                <w:color w:val="000000"/>
              </w:rPr>
              <w:t>类型</w:t>
            </w:r>
          </w:p>
        </w:tc>
        <w:tc>
          <w:tcPr>
            <w:tcW w:w="3943" w:type="pct"/>
            <w:gridSpan w:val="8"/>
            <w:vAlign w:val="center"/>
          </w:tcPr>
          <w:p w14:paraId="53540533">
            <w:pPr>
              <w:pStyle w:val="133"/>
              <w:rPr>
                <w:color w:val="000000"/>
              </w:rPr>
            </w:pPr>
            <w:r>
              <w:rPr>
                <w:rFonts w:hint="eastAsia"/>
                <w:color w:val="000000"/>
              </w:rPr>
              <w:t>泄漏</w:t>
            </w:r>
          </w:p>
        </w:tc>
      </w:tr>
      <w:tr w14:paraId="5EFB45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2D11AD80">
            <w:pPr>
              <w:pStyle w:val="133"/>
              <w:rPr>
                <w:color w:val="000000"/>
              </w:rPr>
            </w:pPr>
            <w:r>
              <w:rPr>
                <w:rFonts w:hint="eastAsia"/>
                <w:color w:val="000000"/>
              </w:rPr>
              <w:t>泄漏设备类型</w:t>
            </w:r>
          </w:p>
        </w:tc>
        <w:tc>
          <w:tcPr>
            <w:tcW w:w="626" w:type="pct"/>
            <w:vAlign w:val="center"/>
          </w:tcPr>
          <w:p w14:paraId="1A39DE6B">
            <w:pPr>
              <w:pStyle w:val="133"/>
              <w:rPr>
                <w:color w:val="000000"/>
              </w:rPr>
            </w:pPr>
            <w:r>
              <w:rPr>
                <w:rFonts w:hint="eastAsia"/>
                <w:color w:val="000000"/>
              </w:rPr>
              <w:t>压力容器</w:t>
            </w:r>
          </w:p>
        </w:tc>
        <w:tc>
          <w:tcPr>
            <w:tcW w:w="999" w:type="pct"/>
            <w:gridSpan w:val="2"/>
            <w:vAlign w:val="center"/>
          </w:tcPr>
          <w:p w14:paraId="39167D52">
            <w:pPr>
              <w:pStyle w:val="133"/>
              <w:rPr>
                <w:color w:val="000000"/>
              </w:rPr>
            </w:pPr>
            <w:r>
              <w:rPr>
                <w:rFonts w:hint="eastAsia"/>
                <w:color w:val="000000"/>
              </w:rPr>
              <w:t>操作温度/℃</w:t>
            </w:r>
          </w:p>
        </w:tc>
        <w:tc>
          <w:tcPr>
            <w:tcW w:w="655" w:type="pct"/>
            <w:gridSpan w:val="2"/>
            <w:vAlign w:val="center"/>
          </w:tcPr>
          <w:p w14:paraId="2ED29373">
            <w:pPr>
              <w:pStyle w:val="133"/>
              <w:rPr>
                <w:color w:val="000000"/>
              </w:rPr>
            </w:pPr>
            <w:r>
              <w:rPr>
                <w:rFonts w:hint="eastAsia"/>
                <w:color w:val="000000"/>
              </w:rPr>
              <w:t>45</w:t>
            </w:r>
          </w:p>
        </w:tc>
        <w:tc>
          <w:tcPr>
            <w:tcW w:w="834" w:type="pct"/>
            <w:gridSpan w:val="2"/>
            <w:vAlign w:val="center"/>
          </w:tcPr>
          <w:p w14:paraId="5F6F6264">
            <w:pPr>
              <w:pStyle w:val="133"/>
              <w:rPr>
                <w:color w:val="000000"/>
              </w:rPr>
            </w:pPr>
            <w:r>
              <w:rPr>
                <w:rFonts w:hint="eastAsia"/>
                <w:color w:val="000000"/>
              </w:rPr>
              <w:t>操作压力/Pa</w:t>
            </w:r>
          </w:p>
        </w:tc>
        <w:tc>
          <w:tcPr>
            <w:tcW w:w="829" w:type="pct"/>
            <w:vAlign w:val="center"/>
          </w:tcPr>
          <w:p w14:paraId="4F1E7855">
            <w:pPr>
              <w:pStyle w:val="133"/>
              <w:rPr>
                <w:color w:val="000000"/>
              </w:rPr>
            </w:pPr>
            <w:r>
              <w:rPr>
                <w:color w:val="000000"/>
              </w:rPr>
              <w:t>104325</w:t>
            </w:r>
          </w:p>
        </w:tc>
      </w:tr>
      <w:tr w14:paraId="609DB9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689A73B7">
            <w:pPr>
              <w:pStyle w:val="133"/>
              <w:rPr>
                <w:color w:val="000000"/>
              </w:rPr>
            </w:pPr>
            <w:r>
              <w:rPr>
                <w:rFonts w:hint="eastAsia"/>
                <w:color w:val="000000"/>
              </w:rPr>
              <w:t>泄漏危险物质</w:t>
            </w:r>
          </w:p>
        </w:tc>
        <w:tc>
          <w:tcPr>
            <w:tcW w:w="626" w:type="pct"/>
            <w:vAlign w:val="center"/>
          </w:tcPr>
          <w:p w14:paraId="08562A8C">
            <w:pPr>
              <w:pStyle w:val="133"/>
              <w:rPr>
                <w:color w:val="000000"/>
              </w:rPr>
            </w:pPr>
            <w:r>
              <w:rPr>
                <w:color w:val="000000"/>
              </w:rPr>
              <w:t>CH</w:t>
            </w:r>
            <w:r>
              <w:rPr>
                <w:color w:val="000000"/>
                <w:vertAlign w:val="subscript"/>
              </w:rPr>
              <w:t>4</w:t>
            </w:r>
          </w:p>
        </w:tc>
        <w:tc>
          <w:tcPr>
            <w:tcW w:w="999" w:type="pct"/>
            <w:gridSpan w:val="2"/>
            <w:vAlign w:val="center"/>
          </w:tcPr>
          <w:p w14:paraId="6CAAE205">
            <w:pPr>
              <w:pStyle w:val="133"/>
              <w:rPr>
                <w:color w:val="000000"/>
              </w:rPr>
            </w:pPr>
            <w:r>
              <w:rPr>
                <w:rFonts w:hint="eastAsia"/>
                <w:color w:val="000000"/>
              </w:rPr>
              <w:t>泄漏孔径/mm</w:t>
            </w:r>
          </w:p>
        </w:tc>
        <w:tc>
          <w:tcPr>
            <w:tcW w:w="655" w:type="pct"/>
            <w:gridSpan w:val="2"/>
            <w:vAlign w:val="center"/>
          </w:tcPr>
          <w:p w14:paraId="72ADDD9D">
            <w:pPr>
              <w:pStyle w:val="133"/>
              <w:rPr>
                <w:color w:val="000000"/>
              </w:rPr>
            </w:pPr>
            <w:r>
              <w:rPr>
                <w:rFonts w:hint="eastAsia"/>
                <w:color w:val="000000"/>
              </w:rPr>
              <w:t>50</w:t>
            </w:r>
          </w:p>
        </w:tc>
        <w:tc>
          <w:tcPr>
            <w:tcW w:w="834" w:type="pct"/>
            <w:gridSpan w:val="2"/>
            <w:vAlign w:val="center"/>
          </w:tcPr>
          <w:p w14:paraId="131BBD5C">
            <w:pPr>
              <w:pStyle w:val="133"/>
              <w:rPr>
                <w:color w:val="000000"/>
              </w:rPr>
            </w:pPr>
            <w:r>
              <w:rPr>
                <w:rFonts w:hint="eastAsia"/>
                <w:color w:val="000000"/>
              </w:rPr>
              <w:t>泄漏高度/m</w:t>
            </w:r>
          </w:p>
        </w:tc>
        <w:tc>
          <w:tcPr>
            <w:tcW w:w="829" w:type="pct"/>
            <w:vAlign w:val="center"/>
          </w:tcPr>
          <w:p w14:paraId="2A3C2680">
            <w:pPr>
              <w:pStyle w:val="133"/>
              <w:rPr>
                <w:color w:val="000000"/>
              </w:rPr>
            </w:pPr>
            <w:r>
              <w:rPr>
                <w:rFonts w:hint="eastAsia"/>
                <w:color w:val="000000"/>
              </w:rPr>
              <w:t>5</w:t>
            </w:r>
          </w:p>
        </w:tc>
      </w:tr>
      <w:tr w14:paraId="07B5D8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1DD66B96">
            <w:pPr>
              <w:pStyle w:val="133"/>
              <w:rPr>
                <w:color w:val="000000"/>
              </w:rPr>
            </w:pPr>
            <w:r>
              <w:rPr>
                <w:rFonts w:hint="eastAsia"/>
                <w:color w:val="000000"/>
              </w:rPr>
              <w:t>泄漏时间/min</w:t>
            </w:r>
          </w:p>
        </w:tc>
        <w:tc>
          <w:tcPr>
            <w:tcW w:w="626" w:type="pct"/>
            <w:vAlign w:val="center"/>
          </w:tcPr>
          <w:p w14:paraId="45EA2AB7">
            <w:pPr>
              <w:pStyle w:val="133"/>
              <w:rPr>
                <w:color w:val="000000"/>
              </w:rPr>
            </w:pPr>
            <w:r>
              <w:rPr>
                <w:rFonts w:hint="eastAsia"/>
                <w:color w:val="000000"/>
              </w:rPr>
              <w:t>10</w:t>
            </w:r>
          </w:p>
        </w:tc>
        <w:tc>
          <w:tcPr>
            <w:tcW w:w="999" w:type="pct"/>
            <w:gridSpan w:val="2"/>
            <w:vAlign w:val="center"/>
          </w:tcPr>
          <w:p w14:paraId="4375846C">
            <w:pPr>
              <w:pStyle w:val="133"/>
              <w:rPr>
                <w:color w:val="000000"/>
              </w:rPr>
            </w:pPr>
            <w:r>
              <w:rPr>
                <w:rFonts w:hint="eastAsia"/>
                <w:color w:val="000000"/>
              </w:rPr>
              <w:t>泄漏速率/（kg/s）</w:t>
            </w:r>
          </w:p>
        </w:tc>
        <w:tc>
          <w:tcPr>
            <w:tcW w:w="655" w:type="pct"/>
            <w:gridSpan w:val="2"/>
            <w:vAlign w:val="center"/>
          </w:tcPr>
          <w:p w14:paraId="0E660A30">
            <w:pPr>
              <w:pStyle w:val="133"/>
              <w:rPr>
                <w:color w:val="000000"/>
              </w:rPr>
            </w:pPr>
            <w:r>
              <w:rPr>
                <w:rFonts w:hint="eastAsia"/>
                <w:color w:val="000000"/>
              </w:rPr>
              <w:t>0.57</w:t>
            </w:r>
          </w:p>
        </w:tc>
        <w:tc>
          <w:tcPr>
            <w:tcW w:w="834" w:type="pct"/>
            <w:gridSpan w:val="2"/>
            <w:vAlign w:val="center"/>
          </w:tcPr>
          <w:p w14:paraId="7BA19CF0">
            <w:pPr>
              <w:pStyle w:val="133"/>
              <w:rPr>
                <w:color w:val="000000"/>
              </w:rPr>
            </w:pPr>
            <w:r>
              <w:rPr>
                <w:rFonts w:hint="eastAsia"/>
                <w:color w:val="000000"/>
              </w:rPr>
              <w:t>泄漏量/kg</w:t>
            </w:r>
          </w:p>
        </w:tc>
        <w:tc>
          <w:tcPr>
            <w:tcW w:w="829" w:type="pct"/>
            <w:vAlign w:val="center"/>
          </w:tcPr>
          <w:p w14:paraId="020EAAA9">
            <w:pPr>
              <w:pStyle w:val="133"/>
              <w:rPr>
                <w:color w:val="000000"/>
              </w:rPr>
            </w:pPr>
            <w:r>
              <w:rPr>
                <w:rFonts w:hint="eastAsia"/>
                <w:color w:val="000000"/>
              </w:rPr>
              <w:t>342</w:t>
            </w:r>
          </w:p>
        </w:tc>
      </w:tr>
      <w:tr w14:paraId="6B7307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663DC9C9">
            <w:pPr>
              <w:pStyle w:val="133"/>
              <w:rPr>
                <w:color w:val="000000"/>
              </w:rPr>
            </w:pPr>
            <w:r>
              <w:rPr>
                <w:rFonts w:hint="eastAsia"/>
                <w:color w:val="000000"/>
              </w:rPr>
              <w:t>事故后果预测</w:t>
            </w:r>
          </w:p>
        </w:tc>
      </w:tr>
      <w:tr w14:paraId="42786C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restart"/>
            <w:vAlign w:val="center"/>
          </w:tcPr>
          <w:p w14:paraId="36E8A66B">
            <w:pPr>
              <w:pStyle w:val="133"/>
              <w:rPr>
                <w:color w:val="000000"/>
              </w:rPr>
            </w:pPr>
            <w:r>
              <w:rPr>
                <w:rFonts w:hint="eastAsia"/>
                <w:color w:val="000000"/>
              </w:rPr>
              <w:t>大气</w:t>
            </w:r>
          </w:p>
        </w:tc>
        <w:tc>
          <w:tcPr>
            <w:tcW w:w="582" w:type="pct"/>
            <w:vAlign w:val="center"/>
          </w:tcPr>
          <w:p w14:paraId="16451DD5">
            <w:pPr>
              <w:pStyle w:val="133"/>
              <w:rPr>
                <w:color w:val="000000"/>
              </w:rPr>
            </w:pPr>
            <w:r>
              <w:rPr>
                <w:rFonts w:hint="eastAsia"/>
                <w:color w:val="000000"/>
              </w:rPr>
              <w:t>危险</w:t>
            </w:r>
          </w:p>
          <w:p w14:paraId="74962860">
            <w:pPr>
              <w:pStyle w:val="133"/>
              <w:rPr>
                <w:color w:val="000000"/>
              </w:rPr>
            </w:pPr>
            <w:r>
              <w:rPr>
                <w:rFonts w:hint="eastAsia"/>
                <w:color w:val="000000"/>
              </w:rPr>
              <w:t>物质</w:t>
            </w:r>
          </w:p>
        </w:tc>
        <w:tc>
          <w:tcPr>
            <w:tcW w:w="4103" w:type="pct"/>
            <w:gridSpan w:val="9"/>
            <w:vAlign w:val="center"/>
          </w:tcPr>
          <w:p w14:paraId="3F97ED53">
            <w:pPr>
              <w:pStyle w:val="133"/>
              <w:rPr>
                <w:color w:val="000000"/>
              </w:rPr>
            </w:pPr>
            <w:r>
              <w:rPr>
                <w:rFonts w:hint="eastAsia"/>
                <w:color w:val="000000"/>
              </w:rPr>
              <w:t>最不利气象条件下大气</w:t>
            </w:r>
            <w:r>
              <w:rPr>
                <w:color w:val="000000"/>
              </w:rPr>
              <w:t>环境影响</w:t>
            </w:r>
          </w:p>
        </w:tc>
      </w:tr>
      <w:tr w14:paraId="66D516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20D92C2B">
            <w:pPr>
              <w:pStyle w:val="133"/>
              <w:rPr>
                <w:color w:val="FF0000"/>
              </w:rPr>
            </w:pPr>
          </w:p>
        </w:tc>
        <w:tc>
          <w:tcPr>
            <w:tcW w:w="582" w:type="pct"/>
            <w:vMerge w:val="restart"/>
            <w:vAlign w:val="center"/>
          </w:tcPr>
          <w:p w14:paraId="468042F7">
            <w:pPr>
              <w:pStyle w:val="133"/>
              <w:rPr>
                <w:color w:val="000000"/>
              </w:rPr>
            </w:pPr>
            <w:r>
              <w:rPr>
                <w:color w:val="000000"/>
              </w:rPr>
              <w:t>C</w:t>
            </w:r>
            <w:r>
              <w:rPr>
                <w:rFonts w:hint="eastAsia"/>
                <w:color w:val="000000"/>
              </w:rPr>
              <w:t>O</w:t>
            </w:r>
          </w:p>
        </w:tc>
        <w:tc>
          <w:tcPr>
            <w:tcW w:w="1161" w:type="pct"/>
            <w:gridSpan w:val="3"/>
            <w:vAlign w:val="center"/>
          </w:tcPr>
          <w:p w14:paraId="4195D34C">
            <w:pPr>
              <w:pStyle w:val="133"/>
              <w:rPr>
                <w:color w:val="000000"/>
              </w:rPr>
            </w:pPr>
            <w:r>
              <w:rPr>
                <w:rFonts w:hint="eastAsia"/>
                <w:color w:val="000000"/>
              </w:rPr>
              <w:t>指标</w:t>
            </w:r>
          </w:p>
        </w:tc>
        <w:tc>
          <w:tcPr>
            <w:tcW w:w="912" w:type="pct"/>
            <w:gridSpan w:val="2"/>
            <w:vAlign w:val="center"/>
          </w:tcPr>
          <w:p w14:paraId="2BD7F516">
            <w:pPr>
              <w:pStyle w:val="133"/>
              <w:rPr>
                <w:color w:val="000000"/>
              </w:rPr>
            </w:pPr>
            <w:r>
              <w:rPr>
                <w:rFonts w:hint="eastAsia"/>
                <w:color w:val="000000"/>
              </w:rPr>
              <w:t>浓度值/</w:t>
            </w:r>
            <w:r>
              <w:rPr>
                <w:color w:val="000000"/>
              </w:rPr>
              <w:t>（</w:t>
            </w:r>
            <w:r>
              <w:rPr>
                <w:rFonts w:hint="eastAsia"/>
                <w:color w:val="000000"/>
              </w:rPr>
              <w:t>mg/m</w:t>
            </w:r>
            <w:r>
              <w:rPr>
                <w:rFonts w:hint="eastAsia"/>
                <w:color w:val="000000"/>
                <w:vertAlign w:val="superscript"/>
              </w:rPr>
              <w:t>3</w:t>
            </w:r>
            <w:r>
              <w:rPr>
                <w:rFonts w:hint="eastAsia"/>
                <w:color w:val="000000"/>
              </w:rPr>
              <w:t>）</w:t>
            </w:r>
          </w:p>
        </w:tc>
        <w:tc>
          <w:tcPr>
            <w:tcW w:w="912" w:type="pct"/>
            <w:gridSpan w:val="2"/>
            <w:tcBorders>
              <w:right w:val="single" w:color="auto" w:sz="4" w:space="0"/>
            </w:tcBorders>
            <w:vAlign w:val="center"/>
          </w:tcPr>
          <w:p w14:paraId="16E204BE">
            <w:pPr>
              <w:pStyle w:val="133"/>
              <w:rPr>
                <w:color w:val="000000"/>
              </w:rPr>
            </w:pPr>
            <w:r>
              <w:rPr>
                <w:rFonts w:hint="eastAsia"/>
                <w:color w:val="000000"/>
              </w:rPr>
              <w:t>最远影响距离/m</w:t>
            </w:r>
          </w:p>
        </w:tc>
        <w:tc>
          <w:tcPr>
            <w:tcW w:w="1118" w:type="pct"/>
            <w:gridSpan w:val="2"/>
            <w:tcBorders>
              <w:left w:val="single" w:color="auto" w:sz="4" w:space="0"/>
            </w:tcBorders>
            <w:vAlign w:val="center"/>
          </w:tcPr>
          <w:p w14:paraId="77DCA5E4">
            <w:pPr>
              <w:pStyle w:val="133"/>
              <w:rPr>
                <w:color w:val="000000"/>
              </w:rPr>
            </w:pPr>
            <w:r>
              <w:rPr>
                <w:rFonts w:hint="eastAsia"/>
                <w:color w:val="000000"/>
              </w:rPr>
              <w:t>到达时间/min</w:t>
            </w:r>
          </w:p>
        </w:tc>
      </w:tr>
      <w:tr w14:paraId="1401D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17DAD9A7">
            <w:pPr>
              <w:pStyle w:val="133"/>
              <w:rPr>
                <w:color w:val="FF0000"/>
              </w:rPr>
            </w:pPr>
          </w:p>
        </w:tc>
        <w:tc>
          <w:tcPr>
            <w:tcW w:w="582" w:type="pct"/>
            <w:vMerge w:val="continue"/>
            <w:vAlign w:val="center"/>
          </w:tcPr>
          <w:p w14:paraId="41DCAC71">
            <w:pPr>
              <w:pStyle w:val="133"/>
              <w:rPr>
                <w:color w:val="000000"/>
              </w:rPr>
            </w:pPr>
          </w:p>
        </w:tc>
        <w:tc>
          <w:tcPr>
            <w:tcW w:w="1161" w:type="pct"/>
            <w:gridSpan w:val="3"/>
            <w:vAlign w:val="center"/>
          </w:tcPr>
          <w:p w14:paraId="49D03D8C">
            <w:pPr>
              <w:pStyle w:val="133"/>
              <w:rPr>
                <w:color w:val="000000"/>
              </w:rPr>
            </w:pPr>
            <w:r>
              <w:rPr>
                <w:rFonts w:hint="eastAsia"/>
                <w:color w:val="000000"/>
              </w:rPr>
              <w:t>大气毒性终点浓度-1</w:t>
            </w:r>
          </w:p>
        </w:tc>
        <w:tc>
          <w:tcPr>
            <w:tcW w:w="912" w:type="pct"/>
            <w:gridSpan w:val="2"/>
            <w:vAlign w:val="center"/>
          </w:tcPr>
          <w:p w14:paraId="54D5FD2C">
            <w:pPr>
              <w:pStyle w:val="133"/>
              <w:rPr>
                <w:color w:val="000000"/>
              </w:rPr>
            </w:pPr>
            <w:r>
              <w:rPr>
                <w:rFonts w:hint="eastAsia"/>
                <w:color w:val="000000"/>
              </w:rPr>
              <w:t>380</w:t>
            </w:r>
          </w:p>
        </w:tc>
        <w:tc>
          <w:tcPr>
            <w:tcW w:w="912" w:type="pct"/>
            <w:gridSpan w:val="2"/>
            <w:tcBorders>
              <w:right w:val="single" w:color="auto" w:sz="4" w:space="0"/>
            </w:tcBorders>
            <w:vAlign w:val="center"/>
          </w:tcPr>
          <w:p w14:paraId="305E6E9B">
            <w:pPr>
              <w:pStyle w:val="133"/>
              <w:rPr>
                <w:color w:val="000000"/>
              </w:rPr>
            </w:pPr>
            <w:r>
              <w:rPr>
                <w:rFonts w:hint="eastAsia"/>
                <w:color w:val="000000"/>
              </w:rPr>
              <w:t>330</w:t>
            </w:r>
          </w:p>
        </w:tc>
        <w:tc>
          <w:tcPr>
            <w:tcW w:w="1118" w:type="pct"/>
            <w:gridSpan w:val="2"/>
            <w:tcBorders>
              <w:left w:val="single" w:color="auto" w:sz="4" w:space="0"/>
            </w:tcBorders>
            <w:vAlign w:val="center"/>
          </w:tcPr>
          <w:p w14:paraId="31C6002F">
            <w:pPr>
              <w:pStyle w:val="133"/>
              <w:rPr>
                <w:color w:val="000000"/>
              </w:rPr>
            </w:pPr>
            <w:r>
              <w:rPr>
                <w:rFonts w:hint="eastAsia"/>
                <w:color w:val="000000"/>
              </w:rPr>
              <w:t>2.75</w:t>
            </w:r>
          </w:p>
        </w:tc>
      </w:tr>
      <w:tr w14:paraId="53B273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25958F41">
            <w:pPr>
              <w:pStyle w:val="133"/>
              <w:rPr>
                <w:color w:val="FF0000"/>
              </w:rPr>
            </w:pPr>
          </w:p>
        </w:tc>
        <w:tc>
          <w:tcPr>
            <w:tcW w:w="582" w:type="pct"/>
            <w:vMerge w:val="continue"/>
            <w:vAlign w:val="center"/>
          </w:tcPr>
          <w:p w14:paraId="75A5735F">
            <w:pPr>
              <w:pStyle w:val="133"/>
              <w:rPr>
                <w:color w:val="000000"/>
              </w:rPr>
            </w:pPr>
          </w:p>
        </w:tc>
        <w:tc>
          <w:tcPr>
            <w:tcW w:w="1161" w:type="pct"/>
            <w:gridSpan w:val="3"/>
            <w:vAlign w:val="center"/>
          </w:tcPr>
          <w:p w14:paraId="6747FDA5">
            <w:pPr>
              <w:pStyle w:val="133"/>
              <w:rPr>
                <w:color w:val="000000"/>
              </w:rPr>
            </w:pPr>
            <w:r>
              <w:rPr>
                <w:rFonts w:hint="eastAsia"/>
                <w:color w:val="000000"/>
              </w:rPr>
              <w:t>指标</w:t>
            </w:r>
          </w:p>
        </w:tc>
        <w:tc>
          <w:tcPr>
            <w:tcW w:w="912" w:type="pct"/>
            <w:gridSpan w:val="2"/>
            <w:vAlign w:val="center"/>
          </w:tcPr>
          <w:p w14:paraId="4FDA7FC7">
            <w:pPr>
              <w:pStyle w:val="133"/>
              <w:rPr>
                <w:color w:val="000000"/>
              </w:rPr>
            </w:pPr>
            <w:r>
              <w:rPr>
                <w:rFonts w:hint="eastAsia"/>
                <w:color w:val="000000"/>
              </w:rPr>
              <w:t>浓度值/</w:t>
            </w:r>
            <w:r>
              <w:rPr>
                <w:color w:val="000000"/>
              </w:rPr>
              <w:t>（</w:t>
            </w:r>
            <w:r>
              <w:rPr>
                <w:rFonts w:hint="eastAsia"/>
                <w:color w:val="000000"/>
              </w:rPr>
              <w:t>mg/m</w:t>
            </w:r>
            <w:r>
              <w:rPr>
                <w:rFonts w:hint="eastAsia"/>
                <w:color w:val="000000"/>
                <w:vertAlign w:val="superscript"/>
              </w:rPr>
              <w:t>3</w:t>
            </w:r>
            <w:r>
              <w:rPr>
                <w:rFonts w:hint="eastAsia"/>
                <w:color w:val="000000"/>
              </w:rPr>
              <w:t>）</w:t>
            </w:r>
          </w:p>
        </w:tc>
        <w:tc>
          <w:tcPr>
            <w:tcW w:w="912" w:type="pct"/>
            <w:gridSpan w:val="2"/>
            <w:tcBorders>
              <w:right w:val="single" w:color="auto" w:sz="4" w:space="0"/>
            </w:tcBorders>
            <w:vAlign w:val="center"/>
          </w:tcPr>
          <w:p w14:paraId="0C64D129">
            <w:pPr>
              <w:pStyle w:val="133"/>
              <w:rPr>
                <w:color w:val="000000"/>
              </w:rPr>
            </w:pPr>
            <w:r>
              <w:rPr>
                <w:rFonts w:hint="eastAsia"/>
                <w:color w:val="000000"/>
              </w:rPr>
              <w:t>最远影响距离/m</w:t>
            </w:r>
          </w:p>
        </w:tc>
        <w:tc>
          <w:tcPr>
            <w:tcW w:w="1118" w:type="pct"/>
            <w:gridSpan w:val="2"/>
            <w:tcBorders>
              <w:left w:val="single" w:color="auto" w:sz="4" w:space="0"/>
            </w:tcBorders>
            <w:vAlign w:val="center"/>
          </w:tcPr>
          <w:p w14:paraId="12B8B989">
            <w:pPr>
              <w:pStyle w:val="133"/>
              <w:rPr>
                <w:color w:val="000000"/>
              </w:rPr>
            </w:pPr>
            <w:r>
              <w:rPr>
                <w:rFonts w:hint="eastAsia"/>
                <w:color w:val="000000"/>
              </w:rPr>
              <w:t>到达时间/min</w:t>
            </w:r>
          </w:p>
        </w:tc>
      </w:tr>
      <w:tr w14:paraId="6548F1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000A4CBE">
            <w:pPr>
              <w:pStyle w:val="133"/>
              <w:rPr>
                <w:color w:val="FF0000"/>
              </w:rPr>
            </w:pPr>
          </w:p>
        </w:tc>
        <w:tc>
          <w:tcPr>
            <w:tcW w:w="582" w:type="pct"/>
            <w:vMerge w:val="continue"/>
            <w:vAlign w:val="center"/>
          </w:tcPr>
          <w:p w14:paraId="262ECE6C">
            <w:pPr>
              <w:pStyle w:val="133"/>
              <w:rPr>
                <w:color w:val="000000"/>
              </w:rPr>
            </w:pPr>
          </w:p>
        </w:tc>
        <w:tc>
          <w:tcPr>
            <w:tcW w:w="1161" w:type="pct"/>
            <w:gridSpan w:val="3"/>
            <w:vAlign w:val="center"/>
          </w:tcPr>
          <w:p w14:paraId="6CB1BDF4">
            <w:pPr>
              <w:pStyle w:val="133"/>
              <w:rPr>
                <w:color w:val="000000"/>
              </w:rPr>
            </w:pPr>
            <w:r>
              <w:rPr>
                <w:rFonts w:hint="eastAsia"/>
                <w:color w:val="000000"/>
              </w:rPr>
              <w:t>大气毒性终点浓度-2</w:t>
            </w:r>
          </w:p>
        </w:tc>
        <w:tc>
          <w:tcPr>
            <w:tcW w:w="912" w:type="pct"/>
            <w:gridSpan w:val="2"/>
            <w:vAlign w:val="center"/>
          </w:tcPr>
          <w:p w14:paraId="79D1345F">
            <w:pPr>
              <w:pStyle w:val="133"/>
              <w:rPr>
                <w:color w:val="000000"/>
              </w:rPr>
            </w:pPr>
            <w:r>
              <w:rPr>
                <w:rFonts w:hint="eastAsia"/>
                <w:color w:val="000000"/>
              </w:rPr>
              <w:t>95</w:t>
            </w:r>
          </w:p>
        </w:tc>
        <w:tc>
          <w:tcPr>
            <w:tcW w:w="912" w:type="pct"/>
            <w:gridSpan w:val="2"/>
            <w:tcBorders>
              <w:right w:val="single" w:color="auto" w:sz="4" w:space="0"/>
            </w:tcBorders>
            <w:vAlign w:val="center"/>
          </w:tcPr>
          <w:p w14:paraId="69D30EBB">
            <w:pPr>
              <w:pStyle w:val="133"/>
              <w:rPr>
                <w:color w:val="000000"/>
              </w:rPr>
            </w:pPr>
            <w:r>
              <w:rPr>
                <w:rFonts w:hint="eastAsia"/>
                <w:color w:val="000000"/>
              </w:rPr>
              <w:t>790</w:t>
            </w:r>
          </w:p>
        </w:tc>
        <w:tc>
          <w:tcPr>
            <w:tcW w:w="1118" w:type="pct"/>
            <w:gridSpan w:val="2"/>
            <w:tcBorders>
              <w:left w:val="single" w:color="auto" w:sz="4" w:space="0"/>
            </w:tcBorders>
            <w:vAlign w:val="center"/>
          </w:tcPr>
          <w:p w14:paraId="60E8FD44">
            <w:pPr>
              <w:pStyle w:val="133"/>
              <w:rPr>
                <w:color w:val="000000"/>
              </w:rPr>
            </w:pPr>
            <w:r>
              <w:rPr>
                <w:rFonts w:hint="eastAsia"/>
                <w:color w:val="000000"/>
              </w:rPr>
              <w:t>6.58</w:t>
            </w:r>
          </w:p>
        </w:tc>
      </w:tr>
      <w:tr w14:paraId="440B07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3A6C1067">
            <w:pPr>
              <w:pStyle w:val="133"/>
              <w:rPr>
                <w:color w:val="FF0000"/>
              </w:rPr>
            </w:pPr>
          </w:p>
        </w:tc>
        <w:tc>
          <w:tcPr>
            <w:tcW w:w="582" w:type="pct"/>
            <w:vMerge w:val="continue"/>
            <w:vAlign w:val="center"/>
          </w:tcPr>
          <w:p w14:paraId="5EBE0CBE">
            <w:pPr>
              <w:pStyle w:val="133"/>
              <w:rPr>
                <w:color w:val="FF0000"/>
              </w:rPr>
            </w:pPr>
          </w:p>
        </w:tc>
        <w:tc>
          <w:tcPr>
            <w:tcW w:w="4103" w:type="pct"/>
            <w:gridSpan w:val="9"/>
            <w:vAlign w:val="center"/>
          </w:tcPr>
          <w:p w14:paraId="3BFBC03F">
            <w:pPr>
              <w:pStyle w:val="133"/>
              <w:rPr>
                <w:rFonts w:ascii="宋体" w:hAnsi="Calibri"/>
                <w:color w:val="FF0000"/>
                <w:sz w:val="18"/>
                <w:szCs w:val="18"/>
                <w:lang w:val="zh-CN"/>
              </w:rPr>
            </w:pPr>
            <w:r>
              <w:rPr>
                <w:rFonts w:hint="eastAsia"/>
                <w:color w:val="000000"/>
              </w:rPr>
              <w:t>最常见气象条件下大气环境影响</w:t>
            </w:r>
          </w:p>
        </w:tc>
      </w:tr>
      <w:tr w14:paraId="24E376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763CF806">
            <w:pPr>
              <w:pStyle w:val="133"/>
              <w:rPr>
                <w:color w:val="FF0000"/>
              </w:rPr>
            </w:pPr>
          </w:p>
        </w:tc>
        <w:tc>
          <w:tcPr>
            <w:tcW w:w="582" w:type="pct"/>
            <w:vMerge w:val="continue"/>
            <w:vAlign w:val="center"/>
          </w:tcPr>
          <w:p w14:paraId="1C03FCF6">
            <w:pPr>
              <w:pStyle w:val="133"/>
              <w:rPr>
                <w:color w:val="FF0000"/>
              </w:rPr>
            </w:pPr>
          </w:p>
        </w:tc>
        <w:tc>
          <w:tcPr>
            <w:tcW w:w="1161" w:type="pct"/>
            <w:gridSpan w:val="3"/>
            <w:vAlign w:val="center"/>
          </w:tcPr>
          <w:p w14:paraId="600C29BB">
            <w:pPr>
              <w:pStyle w:val="133"/>
              <w:rPr>
                <w:color w:val="000000"/>
              </w:rPr>
            </w:pPr>
            <w:r>
              <w:rPr>
                <w:rFonts w:hint="eastAsia"/>
                <w:color w:val="000000"/>
              </w:rPr>
              <w:t>指标</w:t>
            </w:r>
          </w:p>
        </w:tc>
        <w:tc>
          <w:tcPr>
            <w:tcW w:w="912" w:type="pct"/>
            <w:gridSpan w:val="2"/>
            <w:vAlign w:val="center"/>
          </w:tcPr>
          <w:p w14:paraId="4DA9C5E5">
            <w:pPr>
              <w:pStyle w:val="133"/>
              <w:rPr>
                <w:color w:val="000000"/>
              </w:rPr>
            </w:pPr>
            <w:r>
              <w:rPr>
                <w:rFonts w:hint="eastAsia"/>
                <w:color w:val="000000"/>
              </w:rPr>
              <w:t>浓度值/</w:t>
            </w:r>
            <w:r>
              <w:rPr>
                <w:color w:val="000000"/>
              </w:rPr>
              <w:t>（</w:t>
            </w:r>
            <w:r>
              <w:rPr>
                <w:rFonts w:hint="eastAsia"/>
                <w:color w:val="000000"/>
              </w:rPr>
              <w:t>mg/m</w:t>
            </w:r>
            <w:r>
              <w:rPr>
                <w:rFonts w:hint="eastAsia"/>
                <w:color w:val="000000"/>
                <w:vertAlign w:val="superscript"/>
              </w:rPr>
              <w:t>3</w:t>
            </w:r>
            <w:r>
              <w:rPr>
                <w:rFonts w:hint="eastAsia"/>
                <w:color w:val="000000"/>
              </w:rPr>
              <w:t>）</w:t>
            </w:r>
          </w:p>
        </w:tc>
        <w:tc>
          <w:tcPr>
            <w:tcW w:w="912" w:type="pct"/>
            <w:gridSpan w:val="2"/>
            <w:tcBorders>
              <w:right w:val="single" w:color="auto" w:sz="4" w:space="0"/>
            </w:tcBorders>
            <w:vAlign w:val="center"/>
          </w:tcPr>
          <w:p w14:paraId="0519CFAA">
            <w:pPr>
              <w:pStyle w:val="133"/>
              <w:rPr>
                <w:color w:val="000000"/>
              </w:rPr>
            </w:pPr>
            <w:r>
              <w:rPr>
                <w:rFonts w:hint="eastAsia"/>
                <w:color w:val="000000"/>
              </w:rPr>
              <w:t>最远影响距离/m</w:t>
            </w:r>
          </w:p>
        </w:tc>
        <w:tc>
          <w:tcPr>
            <w:tcW w:w="1118" w:type="pct"/>
            <w:gridSpan w:val="2"/>
            <w:tcBorders>
              <w:left w:val="single" w:color="auto" w:sz="4" w:space="0"/>
            </w:tcBorders>
            <w:vAlign w:val="center"/>
          </w:tcPr>
          <w:p w14:paraId="4A406EB2">
            <w:pPr>
              <w:pStyle w:val="133"/>
              <w:rPr>
                <w:color w:val="000000"/>
              </w:rPr>
            </w:pPr>
            <w:r>
              <w:rPr>
                <w:rFonts w:hint="eastAsia"/>
                <w:color w:val="000000"/>
              </w:rPr>
              <w:t>到达时间/min</w:t>
            </w:r>
          </w:p>
        </w:tc>
      </w:tr>
      <w:tr w14:paraId="089F2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45463CE2">
            <w:pPr>
              <w:pStyle w:val="133"/>
              <w:rPr>
                <w:color w:val="FF0000"/>
              </w:rPr>
            </w:pPr>
          </w:p>
        </w:tc>
        <w:tc>
          <w:tcPr>
            <w:tcW w:w="582" w:type="pct"/>
            <w:vMerge w:val="continue"/>
            <w:vAlign w:val="center"/>
          </w:tcPr>
          <w:p w14:paraId="329A73E8">
            <w:pPr>
              <w:pStyle w:val="133"/>
              <w:rPr>
                <w:color w:val="FF0000"/>
              </w:rPr>
            </w:pPr>
          </w:p>
        </w:tc>
        <w:tc>
          <w:tcPr>
            <w:tcW w:w="1161" w:type="pct"/>
            <w:gridSpan w:val="3"/>
            <w:vAlign w:val="center"/>
          </w:tcPr>
          <w:p w14:paraId="6A5D61E5">
            <w:pPr>
              <w:pStyle w:val="133"/>
              <w:rPr>
                <w:color w:val="000000"/>
              </w:rPr>
            </w:pPr>
            <w:r>
              <w:rPr>
                <w:rFonts w:hint="eastAsia"/>
                <w:color w:val="000000"/>
              </w:rPr>
              <w:t>大气毒性终点浓度-1</w:t>
            </w:r>
          </w:p>
        </w:tc>
        <w:tc>
          <w:tcPr>
            <w:tcW w:w="912" w:type="pct"/>
            <w:gridSpan w:val="2"/>
            <w:vAlign w:val="center"/>
          </w:tcPr>
          <w:p w14:paraId="1B818D7F">
            <w:pPr>
              <w:pStyle w:val="133"/>
              <w:rPr>
                <w:color w:val="000000"/>
              </w:rPr>
            </w:pPr>
            <w:r>
              <w:rPr>
                <w:rFonts w:hint="eastAsia"/>
                <w:color w:val="000000"/>
              </w:rPr>
              <w:t>380</w:t>
            </w:r>
          </w:p>
        </w:tc>
        <w:tc>
          <w:tcPr>
            <w:tcW w:w="912" w:type="pct"/>
            <w:gridSpan w:val="2"/>
            <w:tcBorders>
              <w:right w:val="single" w:color="auto" w:sz="4" w:space="0"/>
            </w:tcBorders>
            <w:vAlign w:val="center"/>
          </w:tcPr>
          <w:p w14:paraId="541E0BEA">
            <w:pPr>
              <w:pStyle w:val="133"/>
              <w:rPr>
                <w:color w:val="000000"/>
              </w:rPr>
            </w:pPr>
            <w:r>
              <w:rPr>
                <w:rFonts w:hint="eastAsia"/>
                <w:color w:val="000000"/>
              </w:rPr>
              <w:t>160</w:t>
            </w:r>
          </w:p>
        </w:tc>
        <w:tc>
          <w:tcPr>
            <w:tcW w:w="1118" w:type="pct"/>
            <w:gridSpan w:val="2"/>
            <w:tcBorders>
              <w:left w:val="single" w:color="auto" w:sz="4" w:space="0"/>
            </w:tcBorders>
            <w:vAlign w:val="center"/>
          </w:tcPr>
          <w:p w14:paraId="1FBBF47D">
            <w:pPr>
              <w:pStyle w:val="133"/>
              <w:rPr>
                <w:color w:val="000000"/>
              </w:rPr>
            </w:pPr>
            <w:r>
              <w:rPr>
                <w:rFonts w:hint="eastAsia"/>
                <w:color w:val="000000"/>
              </w:rPr>
              <w:t>1.33</w:t>
            </w:r>
          </w:p>
        </w:tc>
      </w:tr>
      <w:tr w14:paraId="45F721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5CFA19BA">
            <w:pPr>
              <w:pStyle w:val="133"/>
              <w:rPr>
                <w:color w:val="FF0000"/>
              </w:rPr>
            </w:pPr>
          </w:p>
        </w:tc>
        <w:tc>
          <w:tcPr>
            <w:tcW w:w="582" w:type="pct"/>
            <w:vMerge w:val="continue"/>
            <w:vAlign w:val="center"/>
          </w:tcPr>
          <w:p w14:paraId="01B9D1A3">
            <w:pPr>
              <w:pStyle w:val="133"/>
              <w:rPr>
                <w:color w:val="FF0000"/>
              </w:rPr>
            </w:pPr>
          </w:p>
        </w:tc>
        <w:tc>
          <w:tcPr>
            <w:tcW w:w="1161" w:type="pct"/>
            <w:gridSpan w:val="3"/>
            <w:vAlign w:val="center"/>
          </w:tcPr>
          <w:p w14:paraId="50ABFE41">
            <w:pPr>
              <w:pStyle w:val="133"/>
              <w:rPr>
                <w:color w:val="000000"/>
              </w:rPr>
            </w:pPr>
            <w:r>
              <w:rPr>
                <w:rFonts w:hint="eastAsia"/>
                <w:color w:val="000000"/>
              </w:rPr>
              <w:t>指标</w:t>
            </w:r>
          </w:p>
        </w:tc>
        <w:tc>
          <w:tcPr>
            <w:tcW w:w="912" w:type="pct"/>
            <w:gridSpan w:val="2"/>
            <w:vAlign w:val="center"/>
          </w:tcPr>
          <w:p w14:paraId="7145EB9D">
            <w:pPr>
              <w:pStyle w:val="133"/>
              <w:rPr>
                <w:color w:val="000000"/>
              </w:rPr>
            </w:pPr>
            <w:r>
              <w:rPr>
                <w:rFonts w:hint="eastAsia"/>
                <w:color w:val="000000"/>
              </w:rPr>
              <w:t>浓度值/</w:t>
            </w:r>
            <w:r>
              <w:rPr>
                <w:color w:val="000000"/>
              </w:rPr>
              <w:t>（</w:t>
            </w:r>
            <w:r>
              <w:rPr>
                <w:rFonts w:hint="eastAsia"/>
                <w:color w:val="000000"/>
              </w:rPr>
              <w:t>mg/m</w:t>
            </w:r>
            <w:r>
              <w:rPr>
                <w:rFonts w:hint="eastAsia"/>
                <w:color w:val="000000"/>
                <w:vertAlign w:val="superscript"/>
              </w:rPr>
              <w:t>3</w:t>
            </w:r>
            <w:r>
              <w:rPr>
                <w:rFonts w:hint="eastAsia"/>
                <w:color w:val="000000"/>
              </w:rPr>
              <w:t>）</w:t>
            </w:r>
          </w:p>
        </w:tc>
        <w:tc>
          <w:tcPr>
            <w:tcW w:w="912" w:type="pct"/>
            <w:gridSpan w:val="2"/>
            <w:tcBorders>
              <w:right w:val="single" w:color="auto" w:sz="4" w:space="0"/>
            </w:tcBorders>
            <w:vAlign w:val="center"/>
          </w:tcPr>
          <w:p w14:paraId="226CDB60">
            <w:pPr>
              <w:pStyle w:val="133"/>
              <w:rPr>
                <w:color w:val="000000"/>
              </w:rPr>
            </w:pPr>
            <w:r>
              <w:rPr>
                <w:rFonts w:hint="eastAsia"/>
                <w:color w:val="000000"/>
              </w:rPr>
              <w:t>最远影响距离/m</w:t>
            </w:r>
          </w:p>
        </w:tc>
        <w:tc>
          <w:tcPr>
            <w:tcW w:w="1118" w:type="pct"/>
            <w:gridSpan w:val="2"/>
            <w:tcBorders>
              <w:left w:val="single" w:color="auto" w:sz="4" w:space="0"/>
            </w:tcBorders>
            <w:vAlign w:val="center"/>
          </w:tcPr>
          <w:p w14:paraId="4528B6BC">
            <w:pPr>
              <w:pStyle w:val="133"/>
              <w:rPr>
                <w:color w:val="000000"/>
              </w:rPr>
            </w:pPr>
            <w:r>
              <w:rPr>
                <w:rFonts w:hint="eastAsia"/>
                <w:color w:val="000000"/>
              </w:rPr>
              <w:t>到达时间/min</w:t>
            </w:r>
          </w:p>
        </w:tc>
      </w:tr>
      <w:tr w14:paraId="31E543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34C7C92C">
            <w:pPr>
              <w:pStyle w:val="133"/>
              <w:rPr>
                <w:color w:val="FF0000"/>
              </w:rPr>
            </w:pPr>
          </w:p>
        </w:tc>
        <w:tc>
          <w:tcPr>
            <w:tcW w:w="582" w:type="pct"/>
            <w:vMerge w:val="continue"/>
            <w:vAlign w:val="center"/>
          </w:tcPr>
          <w:p w14:paraId="6F7D7566">
            <w:pPr>
              <w:pStyle w:val="133"/>
              <w:rPr>
                <w:color w:val="FF0000"/>
              </w:rPr>
            </w:pPr>
          </w:p>
        </w:tc>
        <w:tc>
          <w:tcPr>
            <w:tcW w:w="1161" w:type="pct"/>
            <w:gridSpan w:val="3"/>
            <w:vAlign w:val="center"/>
          </w:tcPr>
          <w:p w14:paraId="3B0DB0C8">
            <w:pPr>
              <w:pStyle w:val="133"/>
              <w:rPr>
                <w:color w:val="000000"/>
              </w:rPr>
            </w:pPr>
            <w:r>
              <w:rPr>
                <w:rFonts w:hint="eastAsia"/>
                <w:color w:val="000000"/>
              </w:rPr>
              <w:t>大气毒性终点浓度-2</w:t>
            </w:r>
          </w:p>
        </w:tc>
        <w:tc>
          <w:tcPr>
            <w:tcW w:w="912" w:type="pct"/>
            <w:gridSpan w:val="2"/>
            <w:vAlign w:val="center"/>
          </w:tcPr>
          <w:p w14:paraId="1743C3B2">
            <w:pPr>
              <w:pStyle w:val="133"/>
              <w:rPr>
                <w:color w:val="000000"/>
              </w:rPr>
            </w:pPr>
            <w:r>
              <w:rPr>
                <w:rFonts w:hint="eastAsia"/>
                <w:color w:val="000000"/>
              </w:rPr>
              <w:t>95</w:t>
            </w:r>
          </w:p>
        </w:tc>
        <w:tc>
          <w:tcPr>
            <w:tcW w:w="910" w:type="pct"/>
            <w:gridSpan w:val="2"/>
            <w:tcBorders>
              <w:right w:val="single" w:color="auto" w:sz="4" w:space="0"/>
            </w:tcBorders>
            <w:vAlign w:val="center"/>
          </w:tcPr>
          <w:p w14:paraId="1DB751BE">
            <w:pPr>
              <w:pStyle w:val="133"/>
              <w:rPr>
                <w:color w:val="000000"/>
              </w:rPr>
            </w:pPr>
            <w:r>
              <w:rPr>
                <w:rFonts w:hint="eastAsia"/>
                <w:color w:val="000000"/>
              </w:rPr>
              <w:t>370</w:t>
            </w:r>
          </w:p>
        </w:tc>
        <w:tc>
          <w:tcPr>
            <w:tcW w:w="1120" w:type="pct"/>
            <w:gridSpan w:val="2"/>
            <w:tcBorders>
              <w:left w:val="single" w:color="auto" w:sz="4" w:space="0"/>
            </w:tcBorders>
            <w:vAlign w:val="center"/>
          </w:tcPr>
          <w:p w14:paraId="1CC7A3D7">
            <w:pPr>
              <w:pStyle w:val="133"/>
              <w:rPr>
                <w:color w:val="000000"/>
              </w:rPr>
            </w:pPr>
            <w:r>
              <w:rPr>
                <w:rFonts w:hint="eastAsia"/>
                <w:color w:val="000000"/>
              </w:rPr>
              <w:t>3.08</w:t>
            </w:r>
          </w:p>
        </w:tc>
      </w:tr>
    </w:tbl>
    <w:p w14:paraId="4354A749">
      <w:pPr>
        <w:pStyle w:val="117"/>
        <w:ind w:firstLine="0" w:firstLineChars="0"/>
        <w:jc w:val="center"/>
        <w:rPr>
          <w:color w:val="FF0000"/>
        </w:rPr>
      </w:pPr>
    </w:p>
    <w:p w14:paraId="05217C5F">
      <w:pPr>
        <w:pStyle w:val="117"/>
        <w:ind w:firstLine="480"/>
      </w:pPr>
      <w:r>
        <w:rPr>
          <w:rFonts w:hint="eastAsia"/>
        </w:rPr>
        <w:t>（2）H</w:t>
      </w:r>
      <w:r>
        <w:rPr>
          <w:rFonts w:hint="eastAsia"/>
          <w:vertAlign w:val="subscript"/>
        </w:rPr>
        <w:t>2</w:t>
      </w:r>
      <w:r>
        <w:rPr>
          <w:rFonts w:hint="eastAsia"/>
        </w:rPr>
        <w:t>S</w:t>
      </w:r>
    </w:p>
    <w:p w14:paraId="70AD0DE5">
      <w:pPr>
        <w:pStyle w:val="117"/>
        <w:ind w:firstLine="480"/>
      </w:pPr>
      <w:r>
        <w:rPr>
          <w:rFonts w:hint="eastAsia"/>
        </w:rPr>
        <w:t>根据预测方案，煤气输送管线泄漏事故最不利气象条件下和最常见气象条件下的H</w:t>
      </w:r>
      <w:r>
        <w:rPr>
          <w:rFonts w:hint="eastAsia"/>
          <w:vertAlign w:val="subscript"/>
        </w:rPr>
        <w:t>2</w:t>
      </w:r>
      <w:r>
        <w:rPr>
          <w:rFonts w:hint="eastAsia"/>
        </w:rPr>
        <w:t>S预测结果见表7.7-4，最大影响范围示意见图7.7-3、图7.7-4。</w:t>
      </w:r>
    </w:p>
    <w:p w14:paraId="39FAEBAC">
      <w:pPr>
        <w:pStyle w:val="118"/>
        <w:ind w:firstLine="480"/>
      </w:pPr>
      <w:r>
        <w:rPr>
          <w:rFonts w:hint="eastAsia"/>
        </w:rPr>
        <w:t xml:space="preserve">表7.7-4  </w:t>
      </w:r>
      <w:r>
        <w:t xml:space="preserve">  </w:t>
      </w:r>
      <w:r>
        <w:rPr>
          <w:rFonts w:hint="eastAsia"/>
        </w:rPr>
        <w:t>煤气管线泄漏硫化氢源项和事故后果基本信息表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86"/>
        <w:gridCol w:w="1083"/>
        <w:gridCol w:w="298"/>
        <w:gridCol w:w="1165"/>
        <w:gridCol w:w="698"/>
        <w:gridCol w:w="1161"/>
        <w:gridCol w:w="536"/>
        <w:gridCol w:w="683"/>
        <w:gridCol w:w="1346"/>
        <w:gridCol w:w="437"/>
        <w:gridCol w:w="1312"/>
      </w:tblGrid>
      <w:tr w14:paraId="50348F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6A300B76">
            <w:pPr>
              <w:pStyle w:val="133"/>
              <w:rPr>
                <w:b/>
                <w:bCs/>
                <w:color w:val="000000"/>
                <w:szCs w:val="21"/>
              </w:rPr>
            </w:pPr>
            <w:r>
              <w:rPr>
                <w:rFonts w:hint="eastAsia"/>
                <w:b/>
                <w:bCs/>
                <w:color w:val="000000"/>
                <w:szCs w:val="21"/>
              </w:rPr>
              <w:t>风险事故</w:t>
            </w:r>
            <w:r>
              <w:rPr>
                <w:b/>
                <w:bCs/>
                <w:color w:val="000000"/>
                <w:szCs w:val="21"/>
              </w:rPr>
              <w:t>情形分析</w:t>
            </w:r>
          </w:p>
        </w:tc>
      </w:tr>
      <w:tr w14:paraId="596C9F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0B804E55">
            <w:pPr>
              <w:pStyle w:val="133"/>
              <w:rPr>
                <w:color w:val="000000"/>
                <w:szCs w:val="21"/>
              </w:rPr>
            </w:pPr>
            <w:r>
              <w:rPr>
                <w:rFonts w:hint="eastAsia"/>
                <w:color w:val="000000"/>
                <w:szCs w:val="21"/>
              </w:rPr>
              <w:t>代表性风险事故</w:t>
            </w:r>
          </w:p>
          <w:p w14:paraId="5449D112">
            <w:pPr>
              <w:pStyle w:val="133"/>
              <w:rPr>
                <w:color w:val="000000"/>
                <w:szCs w:val="21"/>
              </w:rPr>
            </w:pPr>
            <w:r>
              <w:rPr>
                <w:rFonts w:hint="eastAsia"/>
                <w:color w:val="000000"/>
                <w:szCs w:val="21"/>
              </w:rPr>
              <w:t>情形描述</w:t>
            </w:r>
          </w:p>
        </w:tc>
        <w:tc>
          <w:tcPr>
            <w:tcW w:w="3943" w:type="pct"/>
            <w:gridSpan w:val="8"/>
            <w:vAlign w:val="center"/>
          </w:tcPr>
          <w:p w14:paraId="2EE6703D">
            <w:pPr>
              <w:pStyle w:val="133"/>
              <w:rPr>
                <w:color w:val="000000"/>
                <w:szCs w:val="21"/>
              </w:rPr>
            </w:pPr>
            <w:r>
              <w:rPr>
                <w:rFonts w:hint="eastAsia"/>
                <w:color w:val="000000"/>
                <w:szCs w:val="21"/>
              </w:rPr>
              <w:t>煤气输送</w:t>
            </w:r>
            <w:r>
              <w:rPr>
                <w:color w:val="000000"/>
                <w:szCs w:val="21"/>
              </w:rPr>
              <w:t>管线破裂，</w:t>
            </w:r>
            <w:r>
              <w:rPr>
                <w:rFonts w:hint="eastAsia"/>
                <w:color w:val="000000"/>
                <w:szCs w:val="21"/>
              </w:rPr>
              <w:t>煤气中H</w:t>
            </w:r>
            <w:r>
              <w:rPr>
                <w:rFonts w:hint="eastAsia"/>
                <w:color w:val="000000"/>
                <w:szCs w:val="21"/>
                <w:vertAlign w:val="subscript"/>
              </w:rPr>
              <w:t>2</w:t>
            </w:r>
            <w:r>
              <w:rPr>
                <w:rFonts w:hint="eastAsia"/>
                <w:color w:val="000000"/>
                <w:szCs w:val="21"/>
              </w:rPr>
              <w:t>S</w:t>
            </w:r>
            <w:r>
              <w:rPr>
                <w:color w:val="000000"/>
                <w:szCs w:val="21"/>
              </w:rPr>
              <w:t>泄漏扩散</w:t>
            </w:r>
          </w:p>
        </w:tc>
      </w:tr>
      <w:tr w14:paraId="714CC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37370060">
            <w:pPr>
              <w:pStyle w:val="133"/>
              <w:rPr>
                <w:color w:val="000000"/>
                <w:szCs w:val="21"/>
              </w:rPr>
            </w:pPr>
            <w:r>
              <w:rPr>
                <w:rFonts w:hint="eastAsia"/>
                <w:color w:val="000000"/>
                <w:szCs w:val="21"/>
              </w:rPr>
              <w:t>环境</w:t>
            </w:r>
            <w:r>
              <w:rPr>
                <w:color w:val="000000"/>
                <w:szCs w:val="21"/>
              </w:rPr>
              <w:t>风险</w:t>
            </w:r>
            <w:r>
              <w:rPr>
                <w:rFonts w:hint="eastAsia"/>
                <w:color w:val="000000"/>
                <w:szCs w:val="21"/>
              </w:rPr>
              <w:t>类型</w:t>
            </w:r>
          </w:p>
        </w:tc>
        <w:tc>
          <w:tcPr>
            <w:tcW w:w="3943" w:type="pct"/>
            <w:gridSpan w:val="8"/>
            <w:vAlign w:val="center"/>
          </w:tcPr>
          <w:p w14:paraId="541629C2">
            <w:pPr>
              <w:pStyle w:val="133"/>
              <w:rPr>
                <w:color w:val="000000"/>
                <w:szCs w:val="21"/>
              </w:rPr>
            </w:pPr>
            <w:r>
              <w:rPr>
                <w:rFonts w:hint="eastAsia"/>
                <w:color w:val="000000"/>
                <w:szCs w:val="21"/>
              </w:rPr>
              <w:t>泄漏</w:t>
            </w:r>
          </w:p>
        </w:tc>
      </w:tr>
      <w:tr w14:paraId="441140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2A0FAD39">
            <w:pPr>
              <w:pStyle w:val="133"/>
              <w:rPr>
                <w:color w:val="000000"/>
                <w:szCs w:val="21"/>
              </w:rPr>
            </w:pPr>
            <w:r>
              <w:rPr>
                <w:rFonts w:hint="eastAsia"/>
                <w:color w:val="000000"/>
                <w:szCs w:val="21"/>
              </w:rPr>
              <w:t>泄漏设备类型</w:t>
            </w:r>
          </w:p>
        </w:tc>
        <w:tc>
          <w:tcPr>
            <w:tcW w:w="626" w:type="pct"/>
            <w:vAlign w:val="center"/>
          </w:tcPr>
          <w:p w14:paraId="36751FE0">
            <w:pPr>
              <w:pStyle w:val="133"/>
              <w:rPr>
                <w:color w:val="000000"/>
                <w:szCs w:val="21"/>
              </w:rPr>
            </w:pPr>
            <w:r>
              <w:rPr>
                <w:rFonts w:hint="eastAsia"/>
                <w:color w:val="000000"/>
                <w:szCs w:val="21"/>
              </w:rPr>
              <w:t>压力容器</w:t>
            </w:r>
          </w:p>
        </w:tc>
        <w:tc>
          <w:tcPr>
            <w:tcW w:w="999" w:type="pct"/>
            <w:gridSpan w:val="2"/>
            <w:vAlign w:val="center"/>
          </w:tcPr>
          <w:p w14:paraId="4654A8BF">
            <w:pPr>
              <w:pStyle w:val="133"/>
              <w:rPr>
                <w:color w:val="000000"/>
                <w:szCs w:val="21"/>
              </w:rPr>
            </w:pPr>
            <w:r>
              <w:rPr>
                <w:rFonts w:hint="eastAsia"/>
                <w:color w:val="000000"/>
                <w:szCs w:val="21"/>
              </w:rPr>
              <w:t>操作温度/℃</w:t>
            </w:r>
          </w:p>
        </w:tc>
        <w:tc>
          <w:tcPr>
            <w:tcW w:w="655" w:type="pct"/>
            <w:gridSpan w:val="2"/>
            <w:vAlign w:val="center"/>
          </w:tcPr>
          <w:p w14:paraId="38DA6F18">
            <w:pPr>
              <w:pStyle w:val="133"/>
              <w:rPr>
                <w:color w:val="000000"/>
                <w:szCs w:val="21"/>
              </w:rPr>
            </w:pPr>
            <w:r>
              <w:rPr>
                <w:rFonts w:hint="eastAsia"/>
                <w:color w:val="000000"/>
                <w:szCs w:val="21"/>
              </w:rPr>
              <w:t>45</w:t>
            </w:r>
          </w:p>
        </w:tc>
        <w:tc>
          <w:tcPr>
            <w:tcW w:w="958" w:type="pct"/>
            <w:gridSpan w:val="2"/>
            <w:vAlign w:val="center"/>
          </w:tcPr>
          <w:p w14:paraId="2EE4BF0A">
            <w:pPr>
              <w:pStyle w:val="133"/>
              <w:rPr>
                <w:color w:val="000000"/>
                <w:szCs w:val="21"/>
              </w:rPr>
            </w:pPr>
            <w:r>
              <w:rPr>
                <w:rFonts w:hint="eastAsia"/>
                <w:color w:val="000000"/>
              </w:rPr>
              <w:t>操作压力/Pa</w:t>
            </w:r>
          </w:p>
        </w:tc>
        <w:tc>
          <w:tcPr>
            <w:tcW w:w="705" w:type="pct"/>
            <w:vAlign w:val="center"/>
          </w:tcPr>
          <w:p w14:paraId="1881BBE0">
            <w:pPr>
              <w:pStyle w:val="133"/>
              <w:rPr>
                <w:color w:val="FF0000"/>
                <w:szCs w:val="21"/>
              </w:rPr>
            </w:pPr>
            <w:r>
              <w:rPr>
                <w:color w:val="000000"/>
              </w:rPr>
              <w:t>104325</w:t>
            </w:r>
          </w:p>
        </w:tc>
      </w:tr>
      <w:tr w14:paraId="38D236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64EA8DC0">
            <w:pPr>
              <w:pStyle w:val="133"/>
              <w:rPr>
                <w:color w:val="000000"/>
                <w:szCs w:val="21"/>
              </w:rPr>
            </w:pPr>
            <w:r>
              <w:rPr>
                <w:rFonts w:hint="eastAsia"/>
                <w:color w:val="000000"/>
                <w:szCs w:val="21"/>
              </w:rPr>
              <w:t>泄漏危险物质</w:t>
            </w:r>
          </w:p>
        </w:tc>
        <w:tc>
          <w:tcPr>
            <w:tcW w:w="626" w:type="pct"/>
            <w:vAlign w:val="center"/>
          </w:tcPr>
          <w:p w14:paraId="154CF058">
            <w:pPr>
              <w:pStyle w:val="133"/>
              <w:rPr>
                <w:color w:val="000000"/>
                <w:szCs w:val="21"/>
              </w:rPr>
            </w:pPr>
            <w:r>
              <w:rPr>
                <w:rFonts w:hint="eastAsia"/>
                <w:color w:val="000000"/>
                <w:szCs w:val="21"/>
              </w:rPr>
              <w:t>H</w:t>
            </w:r>
            <w:r>
              <w:rPr>
                <w:rFonts w:hint="eastAsia"/>
                <w:color w:val="000000"/>
                <w:szCs w:val="21"/>
                <w:vertAlign w:val="subscript"/>
              </w:rPr>
              <w:t>2</w:t>
            </w:r>
            <w:r>
              <w:rPr>
                <w:rFonts w:hint="eastAsia"/>
                <w:color w:val="000000"/>
                <w:szCs w:val="21"/>
              </w:rPr>
              <w:t>S</w:t>
            </w:r>
          </w:p>
        </w:tc>
        <w:tc>
          <w:tcPr>
            <w:tcW w:w="999" w:type="pct"/>
            <w:gridSpan w:val="2"/>
            <w:vAlign w:val="center"/>
          </w:tcPr>
          <w:p w14:paraId="43AD2188">
            <w:pPr>
              <w:pStyle w:val="133"/>
              <w:rPr>
                <w:color w:val="000000"/>
                <w:szCs w:val="21"/>
              </w:rPr>
            </w:pPr>
            <w:r>
              <w:rPr>
                <w:rFonts w:hint="eastAsia"/>
                <w:color w:val="000000"/>
                <w:szCs w:val="21"/>
              </w:rPr>
              <w:t>泄漏孔径/mm</w:t>
            </w:r>
          </w:p>
        </w:tc>
        <w:tc>
          <w:tcPr>
            <w:tcW w:w="655" w:type="pct"/>
            <w:gridSpan w:val="2"/>
            <w:vAlign w:val="center"/>
          </w:tcPr>
          <w:p w14:paraId="63EC35C5">
            <w:pPr>
              <w:pStyle w:val="133"/>
              <w:rPr>
                <w:color w:val="000000"/>
                <w:szCs w:val="21"/>
              </w:rPr>
            </w:pPr>
            <w:r>
              <w:rPr>
                <w:rFonts w:hint="eastAsia"/>
                <w:color w:val="000000"/>
                <w:szCs w:val="21"/>
              </w:rPr>
              <w:t>50</w:t>
            </w:r>
          </w:p>
        </w:tc>
        <w:tc>
          <w:tcPr>
            <w:tcW w:w="958" w:type="pct"/>
            <w:gridSpan w:val="2"/>
            <w:vAlign w:val="center"/>
          </w:tcPr>
          <w:p w14:paraId="77D7BED3">
            <w:pPr>
              <w:pStyle w:val="133"/>
              <w:rPr>
                <w:color w:val="000000"/>
                <w:szCs w:val="21"/>
              </w:rPr>
            </w:pPr>
            <w:r>
              <w:rPr>
                <w:rFonts w:hint="eastAsia"/>
                <w:color w:val="000000"/>
                <w:szCs w:val="21"/>
              </w:rPr>
              <w:t>泄漏高度/m</w:t>
            </w:r>
          </w:p>
        </w:tc>
        <w:tc>
          <w:tcPr>
            <w:tcW w:w="705" w:type="pct"/>
            <w:vAlign w:val="center"/>
          </w:tcPr>
          <w:p w14:paraId="2AC092F3">
            <w:pPr>
              <w:pStyle w:val="133"/>
              <w:rPr>
                <w:color w:val="000000"/>
                <w:szCs w:val="21"/>
              </w:rPr>
            </w:pPr>
            <w:r>
              <w:rPr>
                <w:rFonts w:hint="eastAsia"/>
                <w:color w:val="000000"/>
                <w:szCs w:val="21"/>
              </w:rPr>
              <w:t>5</w:t>
            </w:r>
          </w:p>
        </w:tc>
      </w:tr>
      <w:tr w14:paraId="795767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7373CFF4">
            <w:pPr>
              <w:pStyle w:val="133"/>
              <w:rPr>
                <w:color w:val="000000"/>
                <w:szCs w:val="21"/>
              </w:rPr>
            </w:pPr>
            <w:r>
              <w:rPr>
                <w:rFonts w:hint="eastAsia"/>
                <w:color w:val="000000"/>
                <w:szCs w:val="21"/>
              </w:rPr>
              <w:t>泄漏时间/min</w:t>
            </w:r>
          </w:p>
        </w:tc>
        <w:tc>
          <w:tcPr>
            <w:tcW w:w="626" w:type="pct"/>
            <w:vAlign w:val="center"/>
          </w:tcPr>
          <w:p w14:paraId="3CFDAB6B">
            <w:pPr>
              <w:pStyle w:val="133"/>
              <w:rPr>
                <w:color w:val="000000"/>
                <w:szCs w:val="21"/>
              </w:rPr>
            </w:pPr>
            <w:r>
              <w:rPr>
                <w:rFonts w:hint="eastAsia"/>
                <w:color w:val="000000"/>
                <w:szCs w:val="21"/>
              </w:rPr>
              <w:t>10</w:t>
            </w:r>
          </w:p>
        </w:tc>
        <w:tc>
          <w:tcPr>
            <w:tcW w:w="999" w:type="pct"/>
            <w:gridSpan w:val="2"/>
            <w:vAlign w:val="center"/>
          </w:tcPr>
          <w:p w14:paraId="6AA5F160">
            <w:pPr>
              <w:pStyle w:val="133"/>
              <w:rPr>
                <w:color w:val="000000"/>
                <w:szCs w:val="21"/>
              </w:rPr>
            </w:pPr>
            <w:r>
              <w:rPr>
                <w:rFonts w:hint="eastAsia"/>
                <w:color w:val="000000"/>
                <w:szCs w:val="21"/>
              </w:rPr>
              <w:t>泄漏速率/（kg/s）</w:t>
            </w:r>
          </w:p>
        </w:tc>
        <w:tc>
          <w:tcPr>
            <w:tcW w:w="655" w:type="pct"/>
            <w:gridSpan w:val="2"/>
            <w:vAlign w:val="center"/>
          </w:tcPr>
          <w:p w14:paraId="7B29D0FB">
            <w:pPr>
              <w:pStyle w:val="133"/>
              <w:rPr>
                <w:color w:val="000000"/>
                <w:szCs w:val="21"/>
              </w:rPr>
            </w:pPr>
            <w:r>
              <w:rPr>
                <w:rFonts w:hint="eastAsia"/>
                <w:color w:val="000000"/>
                <w:szCs w:val="21"/>
              </w:rPr>
              <w:t>0.64</w:t>
            </w:r>
          </w:p>
        </w:tc>
        <w:tc>
          <w:tcPr>
            <w:tcW w:w="958" w:type="pct"/>
            <w:gridSpan w:val="2"/>
            <w:vAlign w:val="center"/>
          </w:tcPr>
          <w:p w14:paraId="0E43169C">
            <w:pPr>
              <w:pStyle w:val="133"/>
              <w:rPr>
                <w:color w:val="000000"/>
                <w:szCs w:val="21"/>
              </w:rPr>
            </w:pPr>
            <w:r>
              <w:rPr>
                <w:rFonts w:hint="eastAsia"/>
                <w:color w:val="000000"/>
              </w:rPr>
              <w:t>泄漏量/kg</w:t>
            </w:r>
          </w:p>
        </w:tc>
        <w:tc>
          <w:tcPr>
            <w:tcW w:w="705" w:type="pct"/>
            <w:vAlign w:val="center"/>
          </w:tcPr>
          <w:p w14:paraId="3EC72807">
            <w:pPr>
              <w:pStyle w:val="133"/>
              <w:rPr>
                <w:color w:val="000000"/>
                <w:szCs w:val="21"/>
              </w:rPr>
            </w:pPr>
            <w:r>
              <w:rPr>
                <w:rFonts w:hint="eastAsia"/>
                <w:color w:val="000000"/>
                <w:szCs w:val="21"/>
              </w:rPr>
              <w:t>384</w:t>
            </w:r>
          </w:p>
        </w:tc>
      </w:tr>
      <w:tr w14:paraId="169BC1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2932A2C9">
            <w:pPr>
              <w:pStyle w:val="133"/>
              <w:rPr>
                <w:color w:val="000000"/>
                <w:szCs w:val="21"/>
              </w:rPr>
            </w:pPr>
            <w:r>
              <w:rPr>
                <w:rFonts w:hint="eastAsia"/>
                <w:color w:val="000000"/>
                <w:szCs w:val="21"/>
              </w:rPr>
              <w:t>事故后果预测</w:t>
            </w:r>
          </w:p>
        </w:tc>
      </w:tr>
      <w:tr w14:paraId="4A6608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restart"/>
            <w:vAlign w:val="center"/>
          </w:tcPr>
          <w:p w14:paraId="705FF156">
            <w:pPr>
              <w:pStyle w:val="133"/>
              <w:rPr>
                <w:color w:val="000000"/>
                <w:szCs w:val="21"/>
              </w:rPr>
            </w:pPr>
            <w:r>
              <w:rPr>
                <w:rFonts w:hint="eastAsia"/>
                <w:color w:val="000000"/>
                <w:szCs w:val="21"/>
              </w:rPr>
              <w:t>大气</w:t>
            </w:r>
          </w:p>
        </w:tc>
        <w:tc>
          <w:tcPr>
            <w:tcW w:w="582" w:type="pct"/>
            <w:vAlign w:val="center"/>
          </w:tcPr>
          <w:p w14:paraId="2BBA64C2">
            <w:pPr>
              <w:pStyle w:val="133"/>
              <w:rPr>
                <w:color w:val="000000"/>
                <w:szCs w:val="21"/>
              </w:rPr>
            </w:pPr>
            <w:r>
              <w:rPr>
                <w:rFonts w:hint="eastAsia"/>
                <w:color w:val="000000"/>
                <w:szCs w:val="21"/>
              </w:rPr>
              <w:t>危险</w:t>
            </w:r>
          </w:p>
          <w:p w14:paraId="28B82B56">
            <w:pPr>
              <w:pStyle w:val="133"/>
              <w:rPr>
                <w:color w:val="000000"/>
                <w:szCs w:val="21"/>
              </w:rPr>
            </w:pPr>
            <w:r>
              <w:rPr>
                <w:rFonts w:hint="eastAsia"/>
                <w:color w:val="000000"/>
                <w:szCs w:val="21"/>
              </w:rPr>
              <w:t>物质</w:t>
            </w:r>
          </w:p>
        </w:tc>
        <w:tc>
          <w:tcPr>
            <w:tcW w:w="4103" w:type="pct"/>
            <w:gridSpan w:val="9"/>
            <w:vAlign w:val="center"/>
          </w:tcPr>
          <w:p w14:paraId="3C63594F">
            <w:pPr>
              <w:pStyle w:val="133"/>
              <w:rPr>
                <w:color w:val="000000"/>
                <w:szCs w:val="21"/>
              </w:rPr>
            </w:pPr>
            <w:r>
              <w:rPr>
                <w:rFonts w:hint="eastAsia"/>
                <w:color w:val="000000"/>
                <w:szCs w:val="21"/>
              </w:rPr>
              <w:t>最不利气象条件下大气</w:t>
            </w:r>
            <w:r>
              <w:rPr>
                <w:color w:val="000000"/>
                <w:szCs w:val="21"/>
              </w:rPr>
              <w:t>环境影响</w:t>
            </w:r>
          </w:p>
        </w:tc>
      </w:tr>
      <w:tr w14:paraId="355F99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47510C68">
            <w:pPr>
              <w:pStyle w:val="133"/>
              <w:rPr>
                <w:color w:val="FF0000"/>
                <w:szCs w:val="21"/>
              </w:rPr>
            </w:pPr>
          </w:p>
        </w:tc>
        <w:tc>
          <w:tcPr>
            <w:tcW w:w="582" w:type="pct"/>
            <w:vMerge w:val="restart"/>
            <w:vAlign w:val="center"/>
          </w:tcPr>
          <w:p w14:paraId="0B55D883">
            <w:pPr>
              <w:pStyle w:val="133"/>
              <w:rPr>
                <w:color w:val="000000"/>
                <w:szCs w:val="21"/>
              </w:rPr>
            </w:pPr>
            <w:r>
              <w:rPr>
                <w:rFonts w:hint="eastAsia"/>
                <w:color w:val="000000"/>
                <w:szCs w:val="21"/>
              </w:rPr>
              <w:t>H</w:t>
            </w:r>
            <w:r>
              <w:rPr>
                <w:rFonts w:hint="eastAsia"/>
                <w:color w:val="000000"/>
                <w:szCs w:val="21"/>
                <w:vertAlign w:val="subscript"/>
              </w:rPr>
              <w:t>2</w:t>
            </w:r>
            <w:r>
              <w:rPr>
                <w:rFonts w:hint="eastAsia"/>
                <w:color w:val="000000"/>
                <w:szCs w:val="21"/>
              </w:rPr>
              <w:t>S</w:t>
            </w:r>
          </w:p>
        </w:tc>
        <w:tc>
          <w:tcPr>
            <w:tcW w:w="1161" w:type="pct"/>
            <w:gridSpan w:val="3"/>
            <w:vAlign w:val="center"/>
          </w:tcPr>
          <w:p w14:paraId="775FCE30">
            <w:pPr>
              <w:pStyle w:val="133"/>
              <w:rPr>
                <w:color w:val="000000"/>
                <w:szCs w:val="21"/>
              </w:rPr>
            </w:pPr>
            <w:r>
              <w:rPr>
                <w:rFonts w:hint="eastAsia"/>
                <w:color w:val="000000"/>
                <w:szCs w:val="21"/>
              </w:rPr>
              <w:t>指标</w:t>
            </w:r>
          </w:p>
        </w:tc>
        <w:tc>
          <w:tcPr>
            <w:tcW w:w="912" w:type="pct"/>
            <w:gridSpan w:val="2"/>
            <w:vAlign w:val="center"/>
          </w:tcPr>
          <w:p w14:paraId="3175F4E9">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154150A9">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05C017D9">
            <w:pPr>
              <w:pStyle w:val="133"/>
              <w:rPr>
                <w:color w:val="000000"/>
                <w:szCs w:val="21"/>
              </w:rPr>
            </w:pPr>
            <w:r>
              <w:rPr>
                <w:rFonts w:hint="eastAsia"/>
                <w:color w:val="000000"/>
                <w:szCs w:val="21"/>
              </w:rPr>
              <w:t>到达时间/min</w:t>
            </w:r>
          </w:p>
        </w:tc>
      </w:tr>
      <w:tr w14:paraId="5063FA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2F7D858B">
            <w:pPr>
              <w:pStyle w:val="133"/>
              <w:rPr>
                <w:color w:val="FF0000"/>
                <w:szCs w:val="21"/>
              </w:rPr>
            </w:pPr>
          </w:p>
        </w:tc>
        <w:tc>
          <w:tcPr>
            <w:tcW w:w="582" w:type="pct"/>
            <w:vMerge w:val="continue"/>
            <w:vAlign w:val="center"/>
          </w:tcPr>
          <w:p w14:paraId="7D78F897">
            <w:pPr>
              <w:pStyle w:val="133"/>
              <w:rPr>
                <w:color w:val="000000"/>
                <w:szCs w:val="21"/>
              </w:rPr>
            </w:pPr>
          </w:p>
        </w:tc>
        <w:tc>
          <w:tcPr>
            <w:tcW w:w="1161" w:type="pct"/>
            <w:gridSpan w:val="3"/>
            <w:vAlign w:val="center"/>
          </w:tcPr>
          <w:p w14:paraId="24E5A38E">
            <w:pPr>
              <w:pStyle w:val="133"/>
              <w:rPr>
                <w:color w:val="000000"/>
                <w:szCs w:val="21"/>
              </w:rPr>
            </w:pPr>
            <w:r>
              <w:rPr>
                <w:rFonts w:hint="eastAsia"/>
                <w:color w:val="000000"/>
                <w:szCs w:val="21"/>
              </w:rPr>
              <w:t>大气毒性终点浓度-1</w:t>
            </w:r>
          </w:p>
        </w:tc>
        <w:tc>
          <w:tcPr>
            <w:tcW w:w="912" w:type="pct"/>
            <w:gridSpan w:val="2"/>
            <w:vAlign w:val="center"/>
          </w:tcPr>
          <w:p w14:paraId="18C04B3E">
            <w:pPr>
              <w:pStyle w:val="133"/>
              <w:rPr>
                <w:color w:val="000000"/>
                <w:szCs w:val="21"/>
              </w:rPr>
            </w:pPr>
            <w:r>
              <w:rPr>
                <w:rFonts w:hint="eastAsia"/>
                <w:color w:val="000000"/>
                <w:szCs w:val="21"/>
              </w:rPr>
              <w:t>70</w:t>
            </w:r>
          </w:p>
        </w:tc>
        <w:tc>
          <w:tcPr>
            <w:tcW w:w="1090" w:type="pct"/>
            <w:gridSpan w:val="2"/>
            <w:tcBorders>
              <w:right w:val="single" w:color="auto" w:sz="4" w:space="0"/>
            </w:tcBorders>
            <w:vAlign w:val="center"/>
          </w:tcPr>
          <w:p w14:paraId="24133608">
            <w:pPr>
              <w:pStyle w:val="133"/>
              <w:rPr>
                <w:color w:val="000000"/>
                <w:szCs w:val="21"/>
              </w:rPr>
            </w:pPr>
            <w:r>
              <w:rPr>
                <w:rFonts w:hint="eastAsia"/>
                <w:color w:val="000000"/>
                <w:szCs w:val="21"/>
              </w:rPr>
              <w:t>2030</w:t>
            </w:r>
          </w:p>
        </w:tc>
        <w:tc>
          <w:tcPr>
            <w:tcW w:w="940" w:type="pct"/>
            <w:gridSpan w:val="2"/>
            <w:tcBorders>
              <w:left w:val="single" w:color="auto" w:sz="4" w:space="0"/>
            </w:tcBorders>
            <w:vAlign w:val="center"/>
          </w:tcPr>
          <w:p w14:paraId="100CA6B4">
            <w:pPr>
              <w:pStyle w:val="133"/>
              <w:rPr>
                <w:color w:val="000000"/>
                <w:szCs w:val="21"/>
              </w:rPr>
            </w:pPr>
            <w:r>
              <w:rPr>
                <w:rFonts w:hint="eastAsia"/>
                <w:color w:val="000000"/>
                <w:szCs w:val="21"/>
              </w:rPr>
              <w:t>30.72</w:t>
            </w:r>
          </w:p>
        </w:tc>
      </w:tr>
      <w:tr w14:paraId="0FE1D5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267C49BF">
            <w:pPr>
              <w:pStyle w:val="133"/>
              <w:rPr>
                <w:color w:val="FF0000"/>
                <w:szCs w:val="21"/>
              </w:rPr>
            </w:pPr>
          </w:p>
        </w:tc>
        <w:tc>
          <w:tcPr>
            <w:tcW w:w="582" w:type="pct"/>
            <w:vMerge w:val="continue"/>
            <w:vAlign w:val="center"/>
          </w:tcPr>
          <w:p w14:paraId="0925DE63">
            <w:pPr>
              <w:pStyle w:val="133"/>
              <w:rPr>
                <w:color w:val="000000"/>
                <w:szCs w:val="21"/>
              </w:rPr>
            </w:pPr>
          </w:p>
        </w:tc>
        <w:tc>
          <w:tcPr>
            <w:tcW w:w="1161" w:type="pct"/>
            <w:gridSpan w:val="3"/>
            <w:vAlign w:val="center"/>
          </w:tcPr>
          <w:p w14:paraId="0CD11FB6">
            <w:pPr>
              <w:pStyle w:val="133"/>
              <w:rPr>
                <w:color w:val="000000"/>
                <w:szCs w:val="21"/>
              </w:rPr>
            </w:pPr>
            <w:r>
              <w:rPr>
                <w:rFonts w:hint="eastAsia"/>
                <w:color w:val="000000"/>
                <w:szCs w:val="21"/>
              </w:rPr>
              <w:t>指标</w:t>
            </w:r>
          </w:p>
        </w:tc>
        <w:tc>
          <w:tcPr>
            <w:tcW w:w="912" w:type="pct"/>
            <w:gridSpan w:val="2"/>
            <w:vAlign w:val="center"/>
          </w:tcPr>
          <w:p w14:paraId="4DBA2EE1">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7AA55C8E">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34DCA63A">
            <w:pPr>
              <w:pStyle w:val="133"/>
              <w:rPr>
                <w:color w:val="000000"/>
                <w:szCs w:val="21"/>
              </w:rPr>
            </w:pPr>
            <w:r>
              <w:rPr>
                <w:rFonts w:hint="eastAsia"/>
                <w:color w:val="000000"/>
                <w:szCs w:val="21"/>
              </w:rPr>
              <w:t>到达时间/min</w:t>
            </w:r>
          </w:p>
        </w:tc>
      </w:tr>
      <w:tr w14:paraId="383526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65CCBA01">
            <w:pPr>
              <w:pStyle w:val="133"/>
              <w:rPr>
                <w:color w:val="FF0000"/>
                <w:szCs w:val="21"/>
              </w:rPr>
            </w:pPr>
          </w:p>
        </w:tc>
        <w:tc>
          <w:tcPr>
            <w:tcW w:w="582" w:type="pct"/>
            <w:vMerge w:val="continue"/>
            <w:vAlign w:val="center"/>
          </w:tcPr>
          <w:p w14:paraId="7A08AD9F">
            <w:pPr>
              <w:pStyle w:val="133"/>
              <w:rPr>
                <w:color w:val="000000"/>
                <w:szCs w:val="21"/>
              </w:rPr>
            </w:pPr>
          </w:p>
        </w:tc>
        <w:tc>
          <w:tcPr>
            <w:tcW w:w="1161" w:type="pct"/>
            <w:gridSpan w:val="3"/>
            <w:vAlign w:val="center"/>
          </w:tcPr>
          <w:p w14:paraId="39F9B73B">
            <w:pPr>
              <w:pStyle w:val="133"/>
              <w:rPr>
                <w:color w:val="000000"/>
                <w:szCs w:val="21"/>
              </w:rPr>
            </w:pPr>
            <w:r>
              <w:rPr>
                <w:rFonts w:hint="eastAsia"/>
                <w:color w:val="000000"/>
                <w:szCs w:val="21"/>
              </w:rPr>
              <w:t>大气毒性终点浓度-2</w:t>
            </w:r>
          </w:p>
        </w:tc>
        <w:tc>
          <w:tcPr>
            <w:tcW w:w="912" w:type="pct"/>
            <w:gridSpan w:val="2"/>
            <w:vAlign w:val="center"/>
          </w:tcPr>
          <w:p w14:paraId="3BF71FAF">
            <w:pPr>
              <w:pStyle w:val="133"/>
              <w:rPr>
                <w:color w:val="000000"/>
                <w:szCs w:val="21"/>
              </w:rPr>
            </w:pPr>
            <w:r>
              <w:rPr>
                <w:rFonts w:hint="eastAsia"/>
                <w:color w:val="000000"/>
                <w:szCs w:val="21"/>
              </w:rPr>
              <w:t>38</w:t>
            </w:r>
          </w:p>
        </w:tc>
        <w:tc>
          <w:tcPr>
            <w:tcW w:w="1090" w:type="pct"/>
            <w:gridSpan w:val="2"/>
            <w:tcBorders>
              <w:right w:val="single" w:color="auto" w:sz="4" w:space="0"/>
            </w:tcBorders>
            <w:vAlign w:val="center"/>
          </w:tcPr>
          <w:p w14:paraId="128760D5">
            <w:pPr>
              <w:pStyle w:val="133"/>
              <w:rPr>
                <w:color w:val="000000"/>
                <w:szCs w:val="21"/>
              </w:rPr>
            </w:pPr>
            <w:r>
              <w:rPr>
                <w:rFonts w:hint="eastAsia"/>
                <w:color w:val="000000"/>
                <w:szCs w:val="21"/>
              </w:rPr>
              <w:t>2790</w:t>
            </w:r>
          </w:p>
        </w:tc>
        <w:tc>
          <w:tcPr>
            <w:tcW w:w="940" w:type="pct"/>
            <w:gridSpan w:val="2"/>
            <w:tcBorders>
              <w:left w:val="single" w:color="auto" w:sz="4" w:space="0"/>
            </w:tcBorders>
            <w:vAlign w:val="center"/>
          </w:tcPr>
          <w:p w14:paraId="6E9A8033">
            <w:pPr>
              <w:pStyle w:val="133"/>
              <w:rPr>
                <w:color w:val="000000"/>
                <w:szCs w:val="21"/>
              </w:rPr>
            </w:pPr>
            <w:r>
              <w:rPr>
                <w:rFonts w:hint="eastAsia"/>
                <w:color w:val="000000"/>
                <w:szCs w:val="21"/>
              </w:rPr>
              <w:t>37.21</w:t>
            </w:r>
          </w:p>
        </w:tc>
      </w:tr>
      <w:tr w14:paraId="2296EE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6A2247DA">
            <w:pPr>
              <w:pStyle w:val="133"/>
              <w:rPr>
                <w:color w:val="FF0000"/>
                <w:szCs w:val="21"/>
              </w:rPr>
            </w:pPr>
          </w:p>
        </w:tc>
        <w:tc>
          <w:tcPr>
            <w:tcW w:w="582" w:type="pct"/>
            <w:vMerge w:val="continue"/>
            <w:vAlign w:val="center"/>
          </w:tcPr>
          <w:p w14:paraId="402B7187">
            <w:pPr>
              <w:pStyle w:val="133"/>
              <w:rPr>
                <w:color w:val="000000"/>
                <w:szCs w:val="21"/>
              </w:rPr>
            </w:pPr>
          </w:p>
        </w:tc>
        <w:tc>
          <w:tcPr>
            <w:tcW w:w="4103" w:type="pct"/>
            <w:gridSpan w:val="9"/>
            <w:vAlign w:val="center"/>
          </w:tcPr>
          <w:p w14:paraId="5DAF2122">
            <w:pPr>
              <w:pStyle w:val="133"/>
              <w:rPr>
                <w:color w:val="000000"/>
                <w:szCs w:val="21"/>
              </w:rPr>
            </w:pPr>
            <w:r>
              <w:rPr>
                <w:rFonts w:hint="eastAsia"/>
                <w:color w:val="000000"/>
                <w:szCs w:val="21"/>
              </w:rPr>
              <w:t>最常见气象条件下大气环境影响</w:t>
            </w:r>
          </w:p>
        </w:tc>
      </w:tr>
      <w:tr w14:paraId="4FB6C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1337DE6A">
            <w:pPr>
              <w:pStyle w:val="133"/>
              <w:rPr>
                <w:color w:val="FF0000"/>
                <w:szCs w:val="21"/>
              </w:rPr>
            </w:pPr>
          </w:p>
        </w:tc>
        <w:tc>
          <w:tcPr>
            <w:tcW w:w="582" w:type="pct"/>
            <w:vMerge w:val="continue"/>
            <w:vAlign w:val="center"/>
          </w:tcPr>
          <w:p w14:paraId="615C52FC">
            <w:pPr>
              <w:pStyle w:val="133"/>
              <w:rPr>
                <w:color w:val="000000"/>
                <w:szCs w:val="21"/>
              </w:rPr>
            </w:pPr>
          </w:p>
        </w:tc>
        <w:tc>
          <w:tcPr>
            <w:tcW w:w="1161" w:type="pct"/>
            <w:gridSpan w:val="3"/>
            <w:vAlign w:val="center"/>
          </w:tcPr>
          <w:p w14:paraId="2DE87C84">
            <w:pPr>
              <w:pStyle w:val="133"/>
              <w:rPr>
                <w:color w:val="000000"/>
                <w:szCs w:val="21"/>
              </w:rPr>
            </w:pPr>
            <w:r>
              <w:rPr>
                <w:rFonts w:hint="eastAsia"/>
                <w:color w:val="000000"/>
                <w:szCs w:val="21"/>
              </w:rPr>
              <w:t>指标</w:t>
            </w:r>
          </w:p>
        </w:tc>
        <w:tc>
          <w:tcPr>
            <w:tcW w:w="912" w:type="pct"/>
            <w:gridSpan w:val="2"/>
            <w:vAlign w:val="center"/>
          </w:tcPr>
          <w:p w14:paraId="4AFDAE2B">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010F75C7">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4925F1B7">
            <w:pPr>
              <w:pStyle w:val="133"/>
              <w:rPr>
                <w:color w:val="000000"/>
                <w:szCs w:val="21"/>
              </w:rPr>
            </w:pPr>
            <w:r>
              <w:rPr>
                <w:rFonts w:hint="eastAsia"/>
                <w:color w:val="000000"/>
                <w:szCs w:val="21"/>
              </w:rPr>
              <w:t>到达时间/min</w:t>
            </w:r>
          </w:p>
        </w:tc>
      </w:tr>
      <w:tr w14:paraId="6823AC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32601EBD">
            <w:pPr>
              <w:pStyle w:val="133"/>
              <w:rPr>
                <w:color w:val="FF0000"/>
                <w:szCs w:val="21"/>
              </w:rPr>
            </w:pPr>
          </w:p>
        </w:tc>
        <w:tc>
          <w:tcPr>
            <w:tcW w:w="582" w:type="pct"/>
            <w:vMerge w:val="continue"/>
            <w:vAlign w:val="center"/>
          </w:tcPr>
          <w:p w14:paraId="2C8808AF">
            <w:pPr>
              <w:pStyle w:val="133"/>
              <w:rPr>
                <w:color w:val="000000"/>
                <w:szCs w:val="21"/>
              </w:rPr>
            </w:pPr>
          </w:p>
        </w:tc>
        <w:tc>
          <w:tcPr>
            <w:tcW w:w="1161" w:type="pct"/>
            <w:gridSpan w:val="3"/>
            <w:vAlign w:val="center"/>
          </w:tcPr>
          <w:p w14:paraId="79C1FB1C">
            <w:pPr>
              <w:pStyle w:val="133"/>
              <w:rPr>
                <w:color w:val="000000"/>
                <w:szCs w:val="21"/>
              </w:rPr>
            </w:pPr>
            <w:r>
              <w:rPr>
                <w:rFonts w:hint="eastAsia"/>
                <w:color w:val="000000"/>
                <w:szCs w:val="21"/>
              </w:rPr>
              <w:t>大气毒性终点浓度-1</w:t>
            </w:r>
          </w:p>
        </w:tc>
        <w:tc>
          <w:tcPr>
            <w:tcW w:w="912" w:type="pct"/>
            <w:gridSpan w:val="2"/>
            <w:vAlign w:val="center"/>
          </w:tcPr>
          <w:p w14:paraId="21CB63B3">
            <w:pPr>
              <w:pStyle w:val="133"/>
              <w:rPr>
                <w:color w:val="000000"/>
                <w:szCs w:val="21"/>
              </w:rPr>
            </w:pPr>
            <w:r>
              <w:rPr>
                <w:rFonts w:hint="eastAsia"/>
                <w:color w:val="000000"/>
                <w:szCs w:val="21"/>
              </w:rPr>
              <w:t>70</w:t>
            </w:r>
          </w:p>
        </w:tc>
        <w:tc>
          <w:tcPr>
            <w:tcW w:w="1090" w:type="pct"/>
            <w:gridSpan w:val="2"/>
            <w:tcBorders>
              <w:right w:val="single" w:color="auto" w:sz="4" w:space="0"/>
            </w:tcBorders>
            <w:vAlign w:val="center"/>
          </w:tcPr>
          <w:p w14:paraId="12BC8DB1">
            <w:pPr>
              <w:pStyle w:val="133"/>
              <w:rPr>
                <w:color w:val="000000"/>
                <w:szCs w:val="21"/>
              </w:rPr>
            </w:pPr>
            <w:r>
              <w:rPr>
                <w:rFonts w:hint="eastAsia"/>
                <w:color w:val="000000"/>
                <w:szCs w:val="21"/>
              </w:rPr>
              <w:t>650</w:t>
            </w:r>
          </w:p>
        </w:tc>
        <w:tc>
          <w:tcPr>
            <w:tcW w:w="940" w:type="pct"/>
            <w:gridSpan w:val="2"/>
            <w:tcBorders>
              <w:left w:val="single" w:color="auto" w:sz="4" w:space="0"/>
            </w:tcBorders>
            <w:vAlign w:val="center"/>
          </w:tcPr>
          <w:p w14:paraId="66947399">
            <w:pPr>
              <w:pStyle w:val="133"/>
              <w:rPr>
                <w:color w:val="000000"/>
              </w:rPr>
            </w:pPr>
            <w:r>
              <w:rPr>
                <w:rFonts w:hint="eastAsia"/>
                <w:color w:val="000000"/>
              </w:rPr>
              <w:t>7.09</w:t>
            </w:r>
          </w:p>
        </w:tc>
      </w:tr>
      <w:tr w14:paraId="3E6BB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3B9F22EB">
            <w:pPr>
              <w:pStyle w:val="133"/>
              <w:rPr>
                <w:color w:val="FF0000"/>
                <w:szCs w:val="21"/>
              </w:rPr>
            </w:pPr>
          </w:p>
        </w:tc>
        <w:tc>
          <w:tcPr>
            <w:tcW w:w="582" w:type="pct"/>
            <w:vMerge w:val="continue"/>
            <w:vAlign w:val="center"/>
          </w:tcPr>
          <w:p w14:paraId="630B63B7">
            <w:pPr>
              <w:pStyle w:val="133"/>
              <w:rPr>
                <w:color w:val="000000"/>
                <w:szCs w:val="21"/>
              </w:rPr>
            </w:pPr>
          </w:p>
        </w:tc>
        <w:tc>
          <w:tcPr>
            <w:tcW w:w="1161" w:type="pct"/>
            <w:gridSpan w:val="3"/>
            <w:vAlign w:val="center"/>
          </w:tcPr>
          <w:p w14:paraId="46FD5539">
            <w:pPr>
              <w:pStyle w:val="133"/>
              <w:rPr>
                <w:color w:val="000000"/>
                <w:szCs w:val="21"/>
              </w:rPr>
            </w:pPr>
            <w:r>
              <w:rPr>
                <w:rFonts w:hint="eastAsia"/>
                <w:color w:val="000000"/>
                <w:szCs w:val="21"/>
              </w:rPr>
              <w:t>指标</w:t>
            </w:r>
          </w:p>
        </w:tc>
        <w:tc>
          <w:tcPr>
            <w:tcW w:w="912" w:type="pct"/>
            <w:gridSpan w:val="2"/>
            <w:vAlign w:val="center"/>
          </w:tcPr>
          <w:p w14:paraId="7FBB3B34">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4CDB2F61">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0FB56EE3">
            <w:pPr>
              <w:pStyle w:val="133"/>
              <w:rPr>
                <w:color w:val="000000"/>
              </w:rPr>
            </w:pPr>
            <w:r>
              <w:rPr>
                <w:rFonts w:hint="eastAsia"/>
                <w:color w:val="000000"/>
              </w:rPr>
              <w:t>到达时间/min</w:t>
            </w:r>
          </w:p>
        </w:tc>
      </w:tr>
      <w:tr w14:paraId="44350A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45FF5113">
            <w:pPr>
              <w:pStyle w:val="133"/>
              <w:rPr>
                <w:color w:val="FF0000"/>
                <w:szCs w:val="21"/>
              </w:rPr>
            </w:pPr>
          </w:p>
        </w:tc>
        <w:tc>
          <w:tcPr>
            <w:tcW w:w="582" w:type="pct"/>
            <w:vMerge w:val="continue"/>
            <w:vAlign w:val="center"/>
          </w:tcPr>
          <w:p w14:paraId="6ED61686">
            <w:pPr>
              <w:pStyle w:val="133"/>
              <w:rPr>
                <w:color w:val="000000"/>
                <w:szCs w:val="21"/>
              </w:rPr>
            </w:pPr>
          </w:p>
        </w:tc>
        <w:tc>
          <w:tcPr>
            <w:tcW w:w="1161" w:type="pct"/>
            <w:gridSpan w:val="3"/>
            <w:vAlign w:val="center"/>
          </w:tcPr>
          <w:p w14:paraId="262AFD9B">
            <w:pPr>
              <w:pStyle w:val="133"/>
              <w:rPr>
                <w:color w:val="000000"/>
                <w:szCs w:val="21"/>
              </w:rPr>
            </w:pPr>
            <w:r>
              <w:rPr>
                <w:rFonts w:hint="eastAsia"/>
                <w:color w:val="000000"/>
                <w:szCs w:val="21"/>
              </w:rPr>
              <w:t>大气毒性终点浓度-2</w:t>
            </w:r>
          </w:p>
        </w:tc>
        <w:tc>
          <w:tcPr>
            <w:tcW w:w="912" w:type="pct"/>
            <w:gridSpan w:val="2"/>
            <w:vAlign w:val="center"/>
          </w:tcPr>
          <w:p w14:paraId="5A4FDE93">
            <w:pPr>
              <w:pStyle w:val="133"/>
              <w:rPr>
                <w:color w:val="000000"/>
                <w:szCs w:val="21"/>
              </w:rPr>
            </w:pPr>
            <w:r>
              <w:rPr>
                <w:rFonts w:hint="eastAsia"/>
                <w:color w:val="000000"/>
                <w:szCs w:val="21"/>
              </w:rPr>
              <w:t>38</w:t>
            </w:r>
          </w:p>
        </w:tc>
        <w:tc>
          <w:tcPr>
            <w:tcW w:w="1090" w:type="pct"/>
            <w:gridSpan w:val="2"/>
            <w:tcBorders>
              <w:right w:val="single" w:color="auto" w:sz="4" w:space="0"/>
            </w:tcBorders>
            <w:vAlign w:val="center"/>
          </w:tcPr>
          <w:p w14:paraId="451AA13E">
            <w:pPr>
              <w:pStyle w:val="133"/>
              <w:rPr>
                <w:color w:val="000000"/>
              </w:rPr>
            </w:pPr>
            <w:r>
              <w:rPr>
                <w:rFonts w:hint="eastAsia"/>
                <w:color w:val="000000"/>
              </w:rPr>
              <w:t>470</w:t>
            </w:r>
          </w:p>
        </w:tc>
        <w:tc>
          <w:tcPr>
            <w:tcW w:w="940" w:type="pct"/>
            <w:gridSpan w:val="2"/>
            <w:tcBorders>
              <w:left w:val="single" w:color="auto" w:sz="4" w:space="0"/>
            </w:tcBorders>
            <w:vAlign w:val="center"/>
          </w:tcPr>
          <w:p w14:paraId="29A89A52">
            <w:pPr>
              <w:pStyle w:val="133"/>
              <w:rPr>
                <w:color w:val="000000"/>
              </w:rPr>
            </w:pPr>
            <w:r>
              <w:rPr>
                <w:rFonts w:hint="eastAsia"/>
                <w:color w:val="000000"/>
              </w:rPr>
              <w:t>6.51</w:t>
            </w:r>
          </w:p>
        </w:tc>
      </w:tr>
    </w:tbl>
    <w:p w14:paraId="0018CBD0">
      <w:pPr>
        <w:pStyle w:val="117"/>
        <w:ind w:firstLine="0" w:firstLineChars="0"/>
        <w:jc w:val="center"/>
        <w:rPr>
          <w:color w:val="FF0000"/>
        </w:rPr>
      </w:pPr>
    </w:p>
    <w:p w14:paraId="524F9E56">
      <w:pPr>
        <w:pStyle w:val="117"/>
        <w:ind w:firstLine="480"/>
      </w:pPr>
      <w:r>
        <w:rPr>
          <w:rFonts w:hint="eastAsia"/>
        </w:rPr>
        <w:t>（3）NH</w:t>
      </w:r>
      <w:r>
        <w:rPr>
          <w:rFonts w:hint="eastAsia"/>
          <w:vertAlign w:val="subscript"/>
        </w:rPr>
        <w:t>3</w:t>
      </w:r>
    </w:p>
    <w:p w14:paraId="537A36CA">
      <w:pPr>
        <w:pStyle w:val="117"/>
        <w:ind w:firstLine="480"/>
      </w:pPr>
      <w:r>
        <w:rPr>
          <w:rFonts w:hint="eastAsia"/>
        </w:rPr>
        <w:t>根据预测方案，煤气输送管线泄漏事故最不利气象条件下和最常见气象条件下的NH</w:t>
      </w:r>
      <w:r>
        <w:rPr>
          <w:rFonts w:hint="eastAsia"/>
          <w:vertAlign w:val="subscript"/>
        </w:rPr>
        <w:t>3</w:t>
      </w:r>
      <w:r>
        <w:rPr>
          <w:rFonts w:hint="eastAsia"/>
        </w:rPr>
        <w:t>预测结果见表7.7-5，最大影响范围示意见图7.7-5、图7.7-6。</w:t>
      </w:r>
    </w:p>
    <w:p w14:paraId="1294B9EE">
      <w:pPr>
        <w:pStyle w:val="118"/>
        <w:ind w:firstLine="480"/>
      </w:pPr>
      <w:r>
        <w:rPr>
          <w:rFonts w:hint="eastAsia"/>
        </w:rPr>
        <w:t xml:space="preserve">表7.7-5  </w:t>
      </w:r>
      <w:r>
        <w:t xml:space="preserve">  </w:t>
      </w:r>
      <w:r>
        <w:rPr>
          <w:rFonts w:hint="eastAsia"/>
        </w:rPr>
        <w:t>煤气管线泄漏氨源项和事故后果基本信息表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86"/>
        <w:gridCol w:w="1083"/>
        <w:gridCol w:w="298"/>
        <w:gridCol w:w="1165"/>
        <w:gridCol w:w="698"/>
        <w:gridCol w:w="1161"/>
        <w:gridCol w:w="536"/>
        <w:gridCol w:w="683"/>
        <w:gridCol w:w="1346"/>
        <w:gridCol w:w="437"/>
        <w:gridCol w:w="1312"/>
      </w:tblGrid>
      <w:tr w14:paraId="12BD00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6EAD8B11">
            <w:pPr>
              <w:pStyle w:val="133"/>
              <w:rPr>
                <w:b/>
                <w:bCs/>
                <w:color w:val="000000"/>
                <w:szCs w:val="21"/>
              </w:rPr>
            </w:pPr>
            <w:r>
              <w:rPr>
                <w:rFonts w:hint="eastAsia"/>
                <w:b/>
                <w:bCs/>
                <w:color w:val="000000"/>
                <w:szCs w:val="21"/>
              </w:rPr>
              <w:t>风险事故</w:t>
            </w:r>
            <w:r>
              <w:rPr>
                <w:b/>
                <w:bCs/>
                <w:color w:val="000000"/>
                <w:szCs w:val="21"/>
              </w:rPr>
              <w:t>情形分析</w:t>
            </w:r>
          </w:p>
        </w:tc>
      </w:tr>
      <w:tr w14:paraId="5E75E8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77C6ACDD">
            <w:pPr>
              <w:pStyle w:val="133"/>
              <w:rPr>
                <w:color w:val="000000"/>
                <w:szCs w:val="21"/>
              </w:rPr>
            </w:pPr>
            <w:r>
              <w:rPr>
                <w:rFonts w:hint="eastAsia"/>
                <w:color w:val="000000"/>
                <w:szCs w:val="21"/>
              </w:rPr>
              <w:t>代表性风险事故情形描述</w:t>
            </w:r>
          </w:p>
        </w:tc>
        <w:tc>
          <w:tcPr>
            <w:tcW w:w="3943" w:type="pct"/>
            <w:gridSpan w:val="8"/>
            <w:vAlign w:val="center"/>
          </w:tcPr>
          <w:p w14:paraId="1BE294DF">
            <w:pPr>
              <w:pStyle w:val="133"/>
              <w:rPr>
                <w:color w:val="000000"/>
                <w:szCs w:val="21"/>
              </w:rPr>
            </w:pPr>
            <w:r>
              <w:rPr>
                <w:rFonts w:hint="eastAsia"/>
                <w:color w:val="000000"/>
                <w:szCs w:val="21"/>
              </w:rPr>
              <w:t>煤气输送</w:t>
            </w:r>
            <w:r>
              <w:rPr>
                <w:color w:val="000000"/>
                <w:szCs w:val="21"/>
              </w:rPr>
              <w:t>管线破裂，</w:t>
            </w:r>
            <w:r>
              <w:rPr>
                <w:rFonts w:hint="eastAsia"/>
                <w:color w:val="000000"/>
                <w:szCs w:val="21"/>
              </w:rPr>
              <w:t>煤气中NH</w:t>
            </w:r>
            <w:r>
              <w:rPr>
                <w:rFonts w:hint="eastAsia"/>
                <w:color w:val="000000"/>
                <w:szCs w:val="21"/>
                <w:vertAlign w:val="subscript"/>
              </w:rPr>
              <w:t>3</w:t>
            </w:r>
            <w:r>
              <w:rPr>
                <w:color w:val="000000"/>
                <w:szCs w:val="21"/>
              </w:rPr>
              <w:t>泄漏扩散</w:t>
            </w:r>
          </w:p>
        </w:tc>
      </w:tr>
      <w:tr w14:paraId="657DA1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6C701C37">
            <w:pPr>
              <w:pStyle w:val="133"/>
              <w:rPr>
                <w:color w:val="000000"/>
                <w:szCs w:val="21"/>
              </w:rPr>
            </w:pPr>
            <w:r>
              <w:rPr>
                <w:rFonts w:hint="eastAsia"/>
                <w:color w:val="000000"/>
                <w:szCs w:val="21"/>
              </w:rPr>
              <w:t>环境</w:t>
            </w:r>
            <w:r>
              <w:rPr>
                <w:color w:val="000000"/>
                <w:szCs w:val="21"/>
              </w:rPr>
              <w:t>风险</w:t>
            </w:r>
            <w:r>
              <w:rPr>
                <w:rFonts w:hint="eastAsia"/>
                <w:color w:val="000000"/>
                <w:szCs w:val="21"/>
              </w:rPr>
              <w:t>类型</w:t>
            </w:r>
          </w:p>
        </w:tc>
        <w:tc>
          <w:tcPr>
            <w:tcW w:w="3943" w:type="pct"/>
            <w:gridSpan w:val="8"/>
            <w:vAlign w:val="center"/>
          </w:tcPr>
          <w:p w14:paraId="23F768D6">
            <w:pPr>
              <w:pStyle w:val="133"/>
              <w:rPr>
                <w:color w:val="000000"/>
                <w:szCs w:val="21"/>
              </w:rPr>
            </w:pPr>
            <w:r>
              <w:rPr>
                <w:rFonts w:hint="eastAsia"/>
                <w:color w:val="000000"/>
                <w:szCs w:val="21"/>
              </w:rPr>
              <w:t>泄漏</w:t>
            </w:r>
          </w:p>
        </w:tc>
      </w:tr>
      <w:tr w14:paraId="7E1AB8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1F9C0C9E">
            <w:pPr>
              <w:pStyle w:val="133"/>
              <w:rPr>
                <w:color w:val="000000"/>
                <w:szCs w:val="21"/>
              </w:rPr>
            </w:pPr>
            <w:r>
              <w:rPr>
                <w:rFonts w:hint="eastAsia"/>
                <w:color w:val="000000"/>
                <w:szCs w:val="21"/>
              </w:rPr>
              <w:t>泄漏设备类型</w:t>
            </w:r>
          </w:p>
        </w:tc>
        <w:tc>
          <w:tcPr>
            <w:tcW w:w="626" w:type="pct"/>
            <w:vAlign w:val="center"/>
          </w:tcPr>
          <w:p w14:paraId="409CCCC2">
            <w:pPr>
              <w:pStyle w:val="133"/>
              <w:rPr>
                <w:color w:val="000000"/>
                <w:szCs w:val="21"/>
              </w:rPr>
            </w:pPr>
            <w:r>
              <w:rPr>
                <w:rFonts w:hint="eastAsia"/>
                <w:color w:val="000000"/>
                <w:szCs w:val="21"/>
              </w:rPr>
              <w:t>压力容器</w:t>
            </w:r>
          </w:p>
        </w:tc>
        <w:tc>
          <w:tcPr>
            <w:tcW w:w="999" w:type="pct"/>
            <w:gridSpan w:val="2"/>
            <w:vAlign w:val="center"/>
          </w:tcPr>
          <w:p w14:paraId="5A6813A1">
            <w:pPr>
              <w:pStyle w:val="133"/>
              <w:rPr>
                <w:color w:val="000000"/>
                <w:szCs w:val="21"/>
              </w:rPr>
            </w:pPr>
            <w:r>
              <w:rPr>
                <w:rFonts w:hint="eastAsia"/>
                <w:color w:val="000000"/>
                <w:szCs w:val="21"/>
              </w:rPr>
              <w:t>操作温度/℃</w:t>
            </w:r>
          </w:p>
        </w:tc>
        <w:tc>
          <w:tcPr>
            <w:tcW w:w="655" w:type="pct"/>
            <w:gridSpan w:val="2"/>
            <w:vAlign w:val="center"/>
          </w:tcPr>
          <w:p w14:paraId="65C5E991">
            <w:pPr>
              <w:pStyle w:val="133"/>
              <w:rPr>
                <w:color w:val="000000"/>
                <w:szCs w:val="21"/>
              </w:rPr>
            </w:pPr>
            <w:r>
              <w:rPr>
                <w:rFonts w:hint="eastAsia"/>
                <w:color w:val="000000"/>
                <w:szCs w:val="21"/>
              </w:rPr>
              <w:t>45</w:t>
            </w:r>
          </w:p>
        </w:tc>
        <w:tc>
          <w:tcPr>
            <w:tcW w:w="958" w:type="pct"/>
            <w:gridSpan w:val="2"/>
            <w:vAlign w:val="center"/>
          </w:tcPr>
          <w:p w14:paraId="749E56F5">
            <w:pPr>
              <w:pStyle w:val="133"/>
              <w:rPr>
                <w:color w:val="000000"/>
                <w:szCs w:val="21"/>
              </w:rPr>
            </w:pPr>
            <w:r>
              <w:rPr>
                <w:rFonts w:hint="eastAsia"/>
                <w:color w:val="000000"/>
              </w:rPr>
              <w:t>操作压力/Pa</w:t>
            </w:r>
          </w:p>
        </w:tc>
        <w:tc>
          <w:tcPr>
            <w:tcW w:w="705" w:type="pct"/>
            <w:vAlign w:val="center"/>
          </w:tcPr>
          <w:p w14:paraId="797AFBCC">
            <w:pPr>
              <w:pStyle w:val="133"/>
              <w:rPr>
                <w:color w:val="000000"/>
                <w:szCs w:val="21"/>
              </w:rPr>
            </w:pPr>
            <w:r>
              <w:rPr>
                <w:color w:val="000000"/>
              </w:rPr>
              <w:t>104325</w:t>
            </w:r>
          </w:p>
        </w:tc>
      </w:tr>
      <w:tr w14:paraId="32C301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62297ACF">
            <w:pPr>
              <w:pStyle w:val="133"/>
              <w:rPr>
                <w:color w:val="000000"/>
                <w:szCs w:val="21"/>
              </w:rPr>
            </w:pPr>
            <w:r>
              <w:rPr>
                <w:rFonts w:hint="eastAsia"/>
                <w:color w:val="000000"/>
                <w:szCs w:val="21"/>
              </w:rPr>
              <w:t>泄漏危险物质</w:t>
            </w:r>
          </w:p>
        </w:tc>
        <w:tc>
          <w:tcPr>
            <w:tcW w:w="626" w:type="pct"/>
            <w:vAlign w:val="center"/>
          </w:tcPr>
          <w:p w14:paraId="6C594950">
            <w:pPr>
              <w:pStyle w:val="133"/>
              <w:rPr>
                <w:color w:val="000000"/>
                <w:szCs w:val="21"/>
              </w:rPr>
            </w:pPr>
            <w:r>
              <w:rPr>
                <w:rFonts w:hint="eastAsia"/>
                <w:color w:val="000000"/>
                <w:szCs w:val="21"/>
              </w:rPr>
              <w:t>H</w:t>
            </w:r>
            <w:r>
              <w:rPr>
                <w:rFonts w:hint="eastAsia"/>
                <w:color w:val="000000"/>
                <w:szCs w:val="21"/>
                <w:vertAlign w:val="subscript"/>
              </w:rPr>
              <w:t>2</w:t>
            </w:r>
            <w:r>
              <w:rPr>
                <w:rFonts w:hint="eastAsia"/>
                <w:color w:val="000000"/>
                <w:szCs w:val="21"/>
              </w:rPr>
              <w:t>S</w:t>
            </w:r>
          </w:p>
        </w:tc>
        <w:tc>
          <w:tcPr>
            <w:tcW w:w="999" w:type="pct"/>
            <w:gridSpan w:val="2"/>
            <w:vAlign w:val="center"/>
          </w:tcPr>
          <w:p w14:paraId="385E7467">
            <w:pPr>
              <w:pStyle w:val="133"/>
              <w:rPr>
                <w:color w:val="000000"/>
                <w:szCs w:val="21"/>
              </w:rPr>
            </w:pPr>
            <w:r>
              <w:rPr>
                <w:rFonts w:hint="eastAsia"/>
                <w:color w:val="000000"/>
                <w:szCs w:val="21"/>
              </w:rPr>
              <w:t>泄漏孔径/mm</w:t>
            </w:r>
          </w:p>
        </w:tc>
        <w:tc>
          <w:tcPr>
            <w:tcW w:w="655" w:type="pct"/>
            <w:gridSpan w:val="2"/>
            <w:vAlign w:val="center"/>
          </w:tcPr>
          <w:p w14:paraId="1AA47474">
            <w:pPr>
              <w:pStyle w:val="133"/>
              <w:rPr>
                <w:color w:val="000000"/>
                <w:szCs w:val="21"/>
              </w:rPr>
            </w:pPr>
            <w:r>
              <w:rPr>
                <w:rFonts w:hint="eastAsia"/>
                <w:color w:val="000000"/>
                <w:szCs w:val="21"/>
              </w:rPr>
              <w:t>50</w:t>
            </w:r>
          </w:p>
        </w:tc>
        <w:tc>
          <w:tcPr>
            <w:tcW w:w="958" w:type="pct"/>
            <w:gridSpan w:val="2"/>
            <w:vAlign w:val="center"/>
          </w:tcPr>
          <w:p w14:paraId="3214423C">
            <w:pPr>
              <w:pStyle w:val="133"/>
              <w:rPr>
                <w:color w:val="000000"/>
                <w:szCs w:val="21"/>
              </w:rPr>
            </w:pPr>
            <w:r>
              <w:rPr>
                <w:rFonts w:hint="eastAsia"/>
                <w:color w:val="000000"/>
                <w:szCs w:val="21"/>
              </w:rPr>
              <w:t>泄漏高度/m</w:t>
            </w:r>
          </w:p>
        </w:tc>
        <w:tc>
          <w:tcPr>
            <w:tcW w:w="705" w:type="pct"/>
            <w:vAlign w:val="center"/>
          </w:tcPr>
          <w:p w14:paraId="4E3DC532">
            <w:pPr>
              <w:pStyle w:val="133"/>
              <w:rPr>
                <w:color w:val="000000"/>
                <w:szCs w:val="21"/>
              </w:rPr>
            </w:pPr>
            <w:r>
              <w:rPr>
                <w:rFonts w:hint="eastAsia"/>
                <w:color w:val="000000"/>
                <w:szCs w:val="21"/>
              </w:rPr>
              <w:t>5</w:t>
            </w:r>
          </w:p>
        </w:tc>
      </w:tr>
      <w:tr w14:paraId="2EC920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57" w:type="pct"/>
            <w:gridSpan w:val="3"/>
            <w:vAlign w:val="center"/>
          </w:tcPr>
          <w:p w14:paraId="7E17D300">
            <w:pPr>
              <w:pStyle w:val="133"/>
              <w:rPr>
                <w:color w:val="000000"/>
                <w:szCs w:val="21"/>
              </w:rPr>
            </w:pPr>
            <w:r>
              <w:rPr>
                <w:rFonts w:hint="eastAsia"/>
                <w:color w:val="000000"/>
                <w:szCs w:val="21"/>
              </w:rPr>
              <w:t>泄漏时间/min</w:t>
            </w:r>
          </w:p>
        </w:tc>
        <w:tc>
          <w:tcPr>
            <w:tcW w:w="626" w:type="pct"/>
            <w:vAlign w:val="center"/>
          </w:tcPr>
          <w:p w14:paraId="7306AA1F">
            <w:pPr>
              <w:pStyle w:val="133"/>
              <w:rPr>
                <w:color w:val="000000"/>
                <w:szCs w:val="21"/>
              </w:rPr>
            </w:pPr>
            <w:r>
              <w:rPr>
                <w:rFonts w:hint="eastAsia"/>
                <w:color w:val="000000"/>
                <w:szCs w:val="21"/>
              </w:rPr>
              <w:t>10</w:t>
            </w:r>
          </w:p>
        </w:tc>
        <w:tc>
          <w:tcPr>
            <w:tcW w:w="999" w:type="pct"/>
            <w:gridSpan w:val="2"/>
            <w:vAlign w:val="center"/>
          </w:tcPr>
          <w:p w14:paraId="61B962AB">
            <w:pPr>
              <w:pStyle w:val="133"/>
              <w:rPr>
                <w:color w:val="000000"/>
                <w:szCs w:val="21"/>
              </w:rPr>
            </w:pPr>
            <w:r>
              <w:rPr>
                <w:rFonts w:hint="eastAsia"/>
                <w:color w:val="000000"/>
                <w:szCs w:val="21"/>
              </w:rPr>
              <w:t>泄漏速率/（kg/s）</w:t>
            </w:r>
          </w:p>
        </w:tc>
        <w:tc>
          <w:tcPr>
            <w:tcW w:w="655" w:type="pct"/>
            <w:gridSpan w:val="2"/>
            <w:vAlign w:val="center"/>
          </w:tcPr>
          <w:p w14:paraId="200B1A42">
            <w:pPr>
              <w:pStyle w:val="133"/>
              <w:rPr>
                <w:color w:val="000000"/>
                <w:szCs w:val="21"/>
              </w:rPr>
            </w:pPr>
            <w:r>
              <w:rPr>
                <w:rFonts w:hint="eastAsia"/>
                <w:color w:val="000000"/>
                <w:szCs w:val="21"/>
              </w:rPr>
              <w:t>0.45</w:t>
            </w:r>
          </w:p>
        </w:tc>
        <w:tc>
          <w:tcPr>
            <w:tcW w:w="958" w:type="pct"/>
            <w:gridSpan w:val="2"/>
            <w:vAlign w:val="center"/>
          </w:tcPr>
          <w:p w14:paraId="64FB0B2C">
            <w:pPr>
              <w:pStyle w:val="133"/>
              <w:rPr>
                <w:color w:val="000000"/>
                <w:szCs w:val="21"/>
              </w:rPr>
            </w:pPr>
            <w:r>
              <w:rPr>
                <w:rFonts w:hint="eastAsia"/>
                <w:color w:val="000000"/>
              </w:rPr>
              <w:t>泄漏量/kg</w:t>
            </w:r>
          </w:p>
        </w:tc>
        <w:tc>
          <w:tcPr>
            <w:tcW w:w="705" w:type="pct"/>
            <w:vAlign w:val="center"/>
          </w:tcPr>
          <w:p w14:paraId="0DE895D7">
            <w:pPr>
              <w:pStyle w:val="133"/>
              <w:rPr>
                <w:color w:val="000000"/>
                <w:szCs w:val="21"/>
              </w:rPr>
            </w:pPr>
            <w:r>
              <w:rPr>
                <w:rFonts w:hint="eastAsia"/>
                <w:color w:val="000000"/>
                <w:szCs w:val="21"/>
              </w:rPr>
              <w:t>270</w:t>
            </w:r>
          </w:p>
        </w:tc>
      </w:tr>
      <w:tr w14:paraId="73080B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11"/>
            <w:vAlign w:val="center"/>
          </w:tcPr>
          <w:p w14:paraId="74EE3F87">
            <w:pPr>
              <w:pStyle w:val="133"/>
              <w:rPr>
                <w:color w:val="000000"/>
                <w:szCs w:val="21"/>
              </w:rPr>
            </w:pPr>
            <w:r>
              <w:rPr>
                <w:rFonts w:hint="eastAsia"/>
                <w:color w:val="000000"/>
                <w:szCs w:val="21"/>
              </w:rPr>
              <w:t>事故后果预测</w:t>
            </w:r>
          </w:p>
        </w:tc>
      </w:tr>
      <w:tr w14:paraId="269830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restart"/>
            <w:vAlign w:val="center"/>
          </w:tcPr>
          <w:p w14:paraId="16BCE865">
            <w:pPr>
              <w:pStyle w:val="133"/>
              <w:rPr>
                <w:color w:val="000000"/>
                <w:szCs w:val="21"/>
              </w:rPr>
            </w:pPr>
            <w:r>
              <w:rPr>
                <w:rFonts w:hint="eastAsia"/>
                <w:color w:val="000000"/>
                <w:szCs w:val="21"/>
              </w:rPr>
              <w:t>大气</w:t>
            </w:r>
          </w:p>
        </w:tc>
        <w:tc>
          <w:tcPr>
            <w:tcW w:w="582" w:type="pct"/>
            <w:vAlign w:val="center"/>
          </w:tcPr>
          <w:p w14:paraId="682C37F1">
            <w:pPr>
              <w:pStyle w:val="133"/>
              <w:rPr>
                <w:color w:val="000000"/>
                <w:szCs w:val="21"/>
              </w:rPr>
            </w:pPr>
            <w:r>
              <w:rPr>
                <w:rFonts w:hint="eastAsia"/>
                <w:color w:val="000000"/>
                <w:szCs w:val="21"/>
              </w:rPr>
              <w:t>危险</w:t>
            </w:r>
          </w:p>
          <w:p w14:paraId="036AFCCF">
            <w:pPr>
              <w:pStyle w:val="133"/>
              <w:rPr>
                <w:color w:val="000000"/>
                <w:szCs w:val="21"/>
              </w:rPr>
            </w:pPr>
            <w:r>
              <w:rPr>
                <w:rFonts w:hint="eastAsia"/>
                <w:color w:val="000000"/>
                <w:szCs w:val="21"/>
              </w:rPr>
              <w:t>物质</w:t>
            </w:r>
          </w:p>
        </w:tc>
        <w:tc>
          <w:tcPr>
            <w:tcW w:w="4103" w:type="pct"/>
            <w:gridSpan w:val="9"/>
            <w:vAlign w:val="center"/>
          </w:tcPr>
          <w:p w14:paraId="3A714606">
            <w:pPr>
              <w:pStyle w:val="133"/>
              <w:rPr>
                <w:color w:val="000000"/>
                <w:szCs w:val="21"/>
              </w:rPr>
            </w:pPr>
            <w:r>
              <w:rPr>
                <w:rFonts w:hint="eastAsia"/>
                <w:color w:val="000000"/>
                <w:szCs w:val="21"/>
              </w:rPr>
              <w:t>最不利气象条件下大气</w:t>
            </w:r>
            <w:r>
              <w:rPr>
                <w:color w:val="000000"/>
                <w:szCs w:val="21"/>
              </w:rPr>
              <w:t>环境影响</w:t>
            </w:r>
          </w:p>
        </w:tc>
      </w:tr>
      <w:tr w14:paraId="4AE615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377DA3BD">
            <w:pPr>
              <w:pStyle w:val="133"/>
              <w:rPr>
                <w:color w:val="FF0000"/>
                <w:szCs w:val="21"/>
              </w:rPr>
            </w:pPr>
          </w:p>
        </w:tc>
        <w:tc>
          <w:tcPr>
            <w:tcW w:w="582" w:type="pct"/>
            <w:vMerge w:val="restart"/>
            <w:vAlign w:val="center"/>
          </w:tcPr>
          <w:p w14:paraId="69FF5EA0">
            <w:pPr>
              <w:pStyle w:val="133"/>
              <w:rPr>
                <w:color w:val="FF0000"/>
                <w:szCs w:val="21"/>
              </w:rPr>
            </w:pPr>
            <w:r>
              <w:rPr>
                <w:rFonts w:hint="eastAsia"/>
              </w:rPr>
              <w:t>NH</w:t>
            </w:r>
            <w:r>
              <w:rPr>
                <w:rFonts w:hint="eastAsia"/>
                <w:vertAlign w:val="subscript"/>
              </w:rPr>
              <w:t>3</w:t>
            </w:r>
          </w:p>
        </w:tc>
        <w:tc>
          <w:tcPr>
            <w:tcW w:w="1161" w:type="pct"/>
            <w:gridSpan w:val="3"/>
            <w:vAlign w:val="center"/>
          </w:tcPr>
          <w:p w14:paraId="04DE1F95">
            <w:pPr>
              <w:pStyle w:val="133"/>
              <w:rPr>
                <w:color w:val="000000"/>
                <w:szCs w:val="21"/>
              </w:rPr>
            </w:pPr>
            <w:r>
              <w:rPr>
                <w:rFonts w:hint="eastAsia"/>
                <w:color w:val="000000"/>
                <w:szCs w:val="21"/>
              </w:rPr>
              <w:t>指标</w:t>
            </w:r>
          </w:p>
        </w:tc>
        <w:tc>
          <w:tcPr>
            <w:tcW w:w="912" w:type="pct"/>
            <w:gridSpan w:val="2"/>
            <w:vAlign w:val="center"/>
          </w:tcPr>
          <w:p w14:paraId="586E497B">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1A05CFEC">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6C065B36">
            <w:pPr>
              <w:pStyle w:val="133"/>
              <w:rPr>
                <w:color w:val="000000"/>
                <w:szCs w:val="21"/>
              </w:rPr>
            </w:pPr>
            <w:r>
              <w:rPr>
                <w:rFonts w:hint="eastAsia"/>
                <w:color w:val="000000"/>
                <w:szCs w:val="21"/>
              </w:rPr>
              <w:t>到达时间/min</w:t>
            </w:r>
          </w:p>
        </w:tc>
      </w:tr>
      <w:tr w14:paraId="1ACB8E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77D6F5C7">
            <w:pPr>
              <w:pStyle w:val="133"/>
              <w:rPr>
                <w:color w:val="FF0000"/>
                <w:szCs w:val="21"/>
              </w:rPr>
            </w:pPr>
          </w:p>
        </w:tc>
        <w:tc>
          <w:tcPr>
            <w:tcW w:w="582" w:type="pct"/>
            <w:vMerge w:val="continue"/>
            <w:vAlign w:val="center"/>
          </w:tcPr>
          <w:p w14:paraId="0C9FCEC7">
            <w:pPr>
              <w:pStyle w:val="133"/>
              <w:rPr>
                <w:color w:val="FF0000"/>
                <w:szCs w:val="21"/>
              </w:rPr>
            </w:pPr>
          </w:p>
        </w:tc>
        <w:tc>
          <w:tcPr>
            <w:tcW w:w="1161" w:type="pct"/>
            <w:gridSpan w:val="3"/>
            <w:vAlign w:val="center"/>
          </w:tcPr>
          <w:p w14:paraId="69CC68F4">
            <w:pPr>
              <w:pStyle w:val="133"/>
              <w:rPr>
                <w:color w:val="000000"/>
                <w:szCs w:val="21"/>
              </w:rPr>
            </w:pPr>
            <w:r>
              <w:rPr>
                <w:rFonts w:hint="eastAsia"/>
                <w:color w:val="000000"/>
                <w:szCs w:val="21"/>
              </w:rPr>
              <w:t>大气毒性终点浓度-1</w:t>
            </w:r>
          </w:p>
        </w:tc>
        <w:tc>
          <w:tcPr>
            <w:tcW w:w="912" w:type="pct"/>
            <w:gridSpan w:val="2"/>
            <w:vAlign w:val="center"/>
          </w:tcPr>
          <w:p w14:paraId="61E34F7A">
            <w:pPr>
              <w:pStyle w:val="133"/>
              <w:rPr>
                <w:color w:val="000000"/>
                <w:szCs w:val="21"/>
              </w:rPr>
            </w:pPr>
            <w:r>
              <w:rPr>
                <w:rFonts w:hint="eastAsia"/>
                <w:color w:val="000000"/>
                <w:szCs w:val="21"/>
              </w:rPr>
              <w:t>770</w:t>
            </w:r>
          </w:p>
        </w:tc>
        <w:tc>
          <w:tcPr>
            <w:tcW w:w="1090" w:type="pct"/>
            <w:gridSpan w:val="2"/>
            <w:tcBorders>
              <w:right w:val="single" w:color="auto" w:sz="4" w:space="0"/>
            </w:tcBorders>
            <w:vAlign w:val="center"/>
          </w:tcPr>
          <w:p w14:paraId="686CD84E">
            <w:pPr>
              <w:pStyle w:val="133"/>
              <w:rPr>
                <w:color w:val="000000"/>
                <w:szCs w:val="21"/>
              </w:rPr>
            </w:pPr>
            <w:r>
              <w:rPr>
                <w:rFonts w:hint="eastAsia"/>
                <w:color w:val="000000"/>
                <w:szCs w:val="21"/>
              </w:rPr>
              <w:t>160</w:t>
            </w:r>
          </w:p>
        </w:tc>
        <w:tc>
          <w:tcPr>
            <w:tcW w:w="940" w:type="pct"/>
            <w:gridSpan w:val="2"/>
            <w:tcBorders>
              <w:left w:val="single" w:color="auto" w:sz="4" w:space="0"/>
            </w:tcBorders>
            <w:vAlign w:val="center"/>
          </w:tcPr>
          <w:p w14:paraId="32B31223">
            <w:pPr>
              <w:pStyle w:val="133"/>
              <w:rPr>
                <w:color w:val="000000"/>
                <w:szCs w:val="21"/>
              </w:rPr>
            </w:pPr>
            <w:r>
              <w:rPr>
                <w:rFonts w:hint="eastAsia"/>
                <w:color w:val="000000"/>
                <w:szCs w:val="21"/>
              </w:rPr>
              <w:t>1.33</w:t>
            </w:r>
          </w:p>
        </w:tc>
      </w:tr>
      <w:tr w14:paraId="54654D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0E2595EC">
            <w:pPr>
              <w:pStyle w:val="133"/>
              <w:rPr>
                <w:color w:val="FF0000"/>
                <w:szCs w:val="21"/>
              </w:rPr>
            </w:pPr>
          </w:p>
        </w:tc>
        <w:tc>
          <w:tcPr>
            <w:tcW w:w="582" w:type="pct"/>
            <w:vMerge w:val="continue"/>
            <w:vAlign w:val="center"/>
          </w:tcPr>
          <w:p w14:paraId="52F529AB">
            <w:pPr>
              <w:pStyle w:val="133"/>
              <w:rPr>
                <w:color w:val="FF0000"/>
                <w:szCs w:val="21"/>
              </w:rPr>
            </w:pPr>
          </w:p>
        </w:tc>
        <w:tc>
          <w:tcPr>
            <w:tcW w:w="1161" w:type="pct"/>
            <w:gridSpan w:val="3"/>
            <w:vAlign w:val="center"/>
          </w:tcPr>
          <w:p w14:paraId="224C6209">
            <w:pPr>
              <w:pStyle w:val="133"/>
              <w:rPr>
                <w:color w:val="000000"/>
                <w:szCs w:val="21"/>
              </w:rPr>
            </w:pPr>
            <w:r>
              <w:rPr>
                <w:rFonts w:hint="eastAsia"/>
                <w:color w:val="000000"/>
                <w:szCs w:val="21"/>
              </w:rPr>
              <w:t>指标</w:t>
            </w:r>
          </w:p>
        </w:tc>
        <w:tc>
          <w:tcPr>
            <w:tcW w:w="912" w:type="pct"/>
            <w:gridSpan w:val="2"/>
            <w:vAlign w:val="center"/>
          </w:tcPr>
          <w:p w14:paraId="6759AFBC">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76B7AF89">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7FD61EB7">
            <w:pPr>
              <w:pStyle w:val="133"/>
              <w:rPr>
                <w:color w:val="000000"/>
                <w:szCs w:val="21"/>
              </w:rPr>
            </w:pPr>
            <w:r>
              <w:rPr>
                <w:rFonts w:hint="eastAsia"/>
                <w:color w:val="000000"/>
                <w:szCs w:val="21"/>
              </w:rPr>
              <w:t>到达时间/min</w:t>
            </w:r>
          </w:p>
        </w:tc>
      </w:tr>
      <w:tr w14:paraId="0A4E21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4D641DDB">
            <w:pPr>
              <w:pStyle w:val="133"/>
              <w:rPr>
                <w:color w:val="FF0000"/>
                <w:szCs w:val="21"/>
              </w:rPr>
            </w:pPr>
          </w:p>
        </w:tc>
        <w:tc>
          <w:tcPr>
            <w:tcW w:w="582" w:type="pct"/>
            <w:vMerge w:val="continue"/>
            <w:vAlign w:val="center"/>
          </w:tcPr>
          <w:p w14:paraId="14DA3E5E">
            <w:pPr>
              <w:pStyle w:val="133"/>
              <w:rPr>
                <w:color w:val="FF0000"/>
                <w:szCs w:val="21"/>
              </w:rPr>
            </w:pPr>
          </w:p>
        </w:tc>
        <w:tc>
          <w:tcPr>
            <w:tcW w:w="1161" w:type="pct"/>
            <w:gridSpan w:val="3"/>
            <w:vAlign w:val="center"/>
          </w:tcPr>
          <w:p w14:paraId="13974D87">
            <w:pPr>
              <w:pStyle w:val="133"/>
              <w:rPr>
                <w:color w:val="000000"/>
                <w:szCs w:val="21"/>
              </w:rPr>
            </w:pPr>
            <w:r>
              <w:rPr>
                <w:rFonts w:hint="eastAsia"/>
                <w:color w:val="000000"/>
                <w:szCs w:val="21"/>
              </w:rPr>
              <w:t>大气毒性终点浓度-2</w:t>
            </w:r>
          </w:p>
        </w:tc>
        <w:tc>
          <w:tcPr>
            <w:tcW w:w="912" w:type="pct"/>
            <w:gridSpan w:val="2"/>
            <w:vAlign w:val="center"/>
          </w:tcPr>
          <w:p w14:paraId="2E86026B">
            <w:pPr>
              <w:pStyle w:val="133"/>
              <w:rPr>
                <w:color w:val="000000"/>
                <w:szCs w:val="21"/>
              </w:rPr>
            </w:pPr>
            <w:r>
              <w:rPr>
                <w:rFonts w:hint="eastAsia"/>
                <w:color w:val="000000"/>
                <w:szCs w:val="21"/>
              </w:rPr>
              <w:t>110</w:t>
            </w:r>
          </w:p>
        </w:tc>
        <w:tc>
          <w:tcPr>
            <w:tcW w:w="1090" w:type="pct"/>
            <w:gridSpan w:val="2"/>
            <w:tcBorders>
              <w:right w:val="single" w:color="auto" w:sz="4" w:space="0"/>
            </w:tcBorders>
            <w:vAlign w:val="center"/>
          </w:tcPr>
          <w:p w14:paraId="66179C8F">
            <w:pPr>
              <w:pStyle w:val="133"/>
              <w:rPr>
                <w:color w:val="000000"/>
                <w:szCs w:val="21"/>
              </w:rPr>
            </w:pPr>
            <w:r>
              <w:rPr>
                <w:rFonts w:hint="eastAsia"/>
                <w:color w:val="000000"/>
                <w:szCs w:val="21"/>
              </w:rPr>
              <w:t>620</w:t>
            </w:r>
          </w:p>
        </w:tc>
        <w:tc>
          <w:tcPr>
            <w:tcW w:w="940" w:type="pct"/>
            <w:gridSpan w:val="2"/>
            <w:tcBorders>
              <w:left w:val="single" w:color="auto" w:sz="4" w:space="0"/>
            </w:tcBorders>
            <w:vAlign w:val="center"/>
          </w:tcPr>
          <w:p w14:paraId="32DE040C">
            <w:pPr>
              <w:pStyle w:val="133"/>
              <w:rPr>
                <w:color w:val="000000"/>
                <w:szCs w:val="21"/>
              </w:rPr>
            </w:pPr>
            <w:r>
              <w:rPr>
                <w:rFonts w:hint="eastAsia"/>
                <w:color w:val="000000"/>
                <w:szCs w:val="21"/>
              </w:rPr>
              <w:t>5.17</w:t>
            </w:r>
          </w:p>
        </w:tc>
      </w:tr>
      <w:tr w14:paraId="4FDC95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727ADABF">
            <w:pPr>
              <w:pStyle w:val="133"/>
              <w:rPr>
                <w:color w:val="FF0000"/>
                <w:szCs w:val="21"/>
              </w:rPr>
            </w:pPr>
          </w:p>
        </w:tc>
        <w:tc>
          <w:tcPr>
            <w:tcW w:w="582" w:type="pct"/>
            <w:vMerge w:val="continue"/>
            <w:vAlign w:val="center"/>
          </w:tcPr>
          <w:p w14:paraId="6E26CA8B">
            <w:pPr>
              <w:pStyle w:val="133"/>
              <w:rPr>
                <w:color w:val="FF0000"/>
                <w:szCs w:val="21"/>
              </w:rPr>
            </w:pPr>
          </w:p>
        </w:tc>
        <w:tc>
          <w:tcPr>
            <w:tcW w:w="4103" w:type="pct"/>
            <w:gridSpan w:val="9"/>
            <w:vAlign w:val="center"/>
          </w:tcPr>
          <w:p w14:paraId="61352BC2">
            <w:pPr>
              <w:pStyle w:val="133"/>
              <w:rPr>
                <w:color w:val="000000"/>
                <w:szCs w:val="21"/>
              </w:rPr>
            </w:pPr>
            <w:r>
              <w:rPr>
                <w:rFonts w:hint="eastAsia"/>
                <w:color w:val="000000"/>
                <w:szCs w:val="21"/>
              </w:rPr>
              <w:t>最常见气象条件下大气环境影响</w:t>
            </w:r>
          </w:p>
        </w:tc>
      </w:tr>
      <w:tr w14:paraId="0DF8D1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5C662240">
            <w:pPr>
              <w:pStyle w:val="133"/>
              <w:rPr>
                <w:color w:val="FF0000"/>
                <w:szCs w:val="21"/>
              </w:rPr>
            </w:pPr>
          </w:p>
        </w:tc>
        <w:tc>
          <w:tcPr>
            <w:tcW w:w="582" w:type="pct"/>
            <w:vMerge w:val="continue"/>
            <w:vAlign w:val="center"/>
          </w:tcPr>
          <w:p w14:paraId="553CD162">
            <w:pPr>
              <w:pStyle w:val="133"/>
              <w:rPr>
                <w:color w:val="FF0000"/>
                <w:szCs w:val="21"/>
              </w:rPr>
            </w:pPr>
          </w:p>
        </w:tc>
        <w:tc>
          <w:tcPr>
            <w:tcW w:w="1161" w:type="pct"/>
            <w:gridSpan w:val="3"/>
            <w:vAlign w:val="center"/>
          </w:tcPr>
          <w:p w14:paraId="1939782B">
            <w:pPr>
              <w:pStyle w:val="133"/>
              <w:rPr>
                <w:color w:val="000000"/>
                <w:szCs w:val="21"/>
              </w:rPr>
            </w:pPr>
            <w:r>
              <w:rPr>
                <w:rFonts w:hint="eastAsia"/>
                <w:color w:val="000000"/>
                <w:szCs w:val="21"/>
              </w:rPr>
              <w:t>指标</w:t>
            </w:r>
          </w:p>
        </w:tc>
        <w:tc>
          <w:tcPr>
            <w:tcW w:w="912" w:type="pct"/>
            <w:gridSpan w:val="2"/>
            <w:vAlign w:val="center"/>
          </w:tcPr>
          <w:p w14:paraId="4CC3BBBF">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0C067C16">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6FD30878">
            <w:pPr>
              <w:pStyle w:val="133"/>
              <w:rPr>
                <w:color w:val="000000"/>
                <w:szCs w:val="21"/>
              </w:rPr>
            </w:pPr>
            <w:r>
              <w:rPr>
                <w:rFonts w:hint="eastAsia"/>
                <w:color w:val="000000"/>
                <w:szCs w:val="21"/>
              </w:rPr>
              <w:t>到达时间/min</w:t>
            </w:r>
          </w:p>
        </w:tc>
      </w:tr>
      <w:tr w14:paraId="031C23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1D879A9E">
            <w:pPr>
              <w:pStyle w:val="133"/>
              <w:rPr>
                <w:color w:val="FF0000"/>
                <w:szCs w:val="21"/>
              </w:rPr>
            </w:pPr>
          </w:p>
        </w:tc>
        <w:tc>
          <w:tcPr>
            <w:tcW w:w="582" w:type="pct"/>
            <w:vMerge w:val="continue"/>
            <w:vAlign w:val="center"/>
          </w:tcPr>
          <w:p w14:paraId="76436C92">
            <w:pPr>
              <w:pStyle w:val="133"/>
              <w:rPr>
                <w:color w:val="FF0000"/>
                <w:szCs w:val="21"/>
              </w:rPr>
            </w:pPr>
          </w:p>
        </w:tc>
        <w:tc>
          <w:tcPr>
            <w:tcW w:w="1161" w:type="pct"/>
            <w:gridSpan w:val="3"/>
            <w:vAlign w:val="center"/>
          </w:tcPr>
          <w:p w14:paraId="13A920B1">
            <w:pPr>
              <w:pStyle w:val="133"/>
              <w:rPr>
                <w:color w:val="000000"/>
                <w:szCs w:val="21"/>
              </w:rPr>
            </w:pPr>
            <w:r>
              <w:rPr>
                <w:rFonts w:hint="eastAsia"/>
                <w:color w:val="000000"/>
                <w:szCs w:val="21"/>
              </w:rPr>
              <w:t>大气毒性终点浓度-1</w:t>
            </w:r>
          </w:p>
        </w:tc>
        <w:tc>
          <w:tcPr>
            <w:tcW w:w="912" w:type="pct"/>
            <w:gridSpan w:val="2"/>
            <w:vAlign w:val="center"/>
          </w:tcPr>
          <w:p w14:paraId="5A57DF52">
            <w:pPr>
              <w:pStyle w:val="133"/>
              <w:rPr>
                <w:color w:val="000000"/>
                <w:szCs w:val="21"/>
              </w:rPr>
            </w:pPr>
            <w:r>
              <w:rPr>
                <w:rFonts w:hint="eastAsia"/>
                <w:color w:val="000000"/>
                <w:szCs w:val="21"/>
              </w:rPr>
              <w:t>770</w:t>
            </w:r>
          </w:p>
        </w:tc>
        <w:tc>
          <w:tcPr>
            <w:tcW w:w="1090" w:type="pct"/>
            <w:gridSpan w:val="2"/>
            <w:tcBorders>
              <w:right w:val="single" w:color="auto" w:sz="4" w:space="0"/>
            </w:tcBorders>
            <w:vAlign w:val="center"/>
          </w:tcPr>
          <w:p w14:paraId="781F2F64">
            <w:pPr>
              <w:pStyle w:val="133"/>
              <w:rPr>
                <w:color w:val="000000"/>
                <w:szCs w:val="21"/>
              </w:rPr>
            </w:pPr>
            <w:r>
              <w:rPr>
                <w:rFonts w:hint="eastAsia"/>
                <w:color w:val="000000"/>
                <w:szCs w:val="21"/>
              </w:rPr>
              <w:t>80</w:t>
            </w:r>
          </w:p>
        </w:tc>
        <w:tc>
          <w:tcPr>
            <w:tcW w:w="940" w:type="pct"/>
            <w:gridSpan w:val="2"/>
            <w:tcBorders>
              <w:left w:val="single" w:color="auto" w:sz="4" w:space="0"/>
            </w:tcBorders>
            <w:vAlign w:val="center"/>
          </w:tcPr>
          <w:p w14:paraId="5F6A1107">
            <w:pPr>
              <w:pStyle w:val="133"/>
              <w:rPr>
                <w:color w:val="000000"/>
              </w:rPr>
            </w:pPr>
            <w:r>
              <w:rPr>
                <w:rFonts w:hint="eastAsia"/>
                <w:color w:val="000000"/>
              </w:rPr>
              <w:t>0.67</w:t>
            </w:r>
          </w:p>
        </w:tc>
      </w:tr>
      <w:tr w14:paraId="73A18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698D4C56">
            <w:pPr>
              <w:pStyle w:val="133"/>
              <w:rPr>
                <w:color w:val="FF0000"/>
                <w:szCs w:val="21"/>
              </w:rPr>
            </w:pPr>
          </w:p>
        </w:tc>
        <w:tc>
          <w:tcPr>
            <w:tcW w:w="582" w:type="pct"/>
            <w:vMerge w:val="continue"/>
            <w:vAlign w:val="center"/>
          </w:tcPr>
          <w:p w14:paraId="6CB67734">
            <w:pPr>
              <w:pStyle w:val="133"/>
              <w:rPr>
                <w:color w:val="FF0000"/>
                <w:szCs w:val="21"/>
              </w:rPr>
            </w:pPr>
          </w:p>
        </w:tc>
        <w:tc>
          <w:tcPr>
            <w:tcW w:w="1161" w:type="pct"/>
            <w:gridSpan w:val="3"/>
            <w:vAlign w:val="center"/>
          </w:tcPr>
          <w:p w14:paraId="2F07EF51">
            <w:pPr>
              <w:pStyle w:val="133"/>
              <w:rPr>
                <w:color w:val="000000"/>
                <w:szCs w:val="21"/>
              </w:rPr>
            </w:pPr>
            <w:r>
              <w:rPr>
                <w:rFonts w:hint="eastAsia"/>
                <w:color w:val="000000"/>
                <w:szCs w:val="21"/>
              </w:rPr>
              <w:t>指标</w:t>
            </w:r>
          </w:p>
        </w:tc>
        <w:tc>
          <w:tcPr>
            <w:tcW w:w="912" w:type="pct"/>
            <w:gridSpan w:val="2"/>
            <w:vAlign w:val="center"/>
          </w:tcPr>
          <w:p w14:paraId="5E74BFC7">
            <w:pPr>
              <w:pStyle w:val="133"/>
              <w:rPr>
                <w:color w:val="000000"/>
                <w:szCs w:val="21"/>
              </w:rPr>
            </w:pPr>
            <w:r>
              <w:rPr>
                <w:rFonts w:hint="eastAsia"/>
                <w:color w:val="000000"/>
                <w:szCs w:val="21"/>
              </w:rPr>
              <w:t>浓度值/</w:t>
            </w:r>
            <w:r>
              <w:rPr>
                <w:color w:val="000000"/>
                <w:szCs w:val="21"/>
              </w:rPr>
              <w:t>（</w:t>
            </w:r>
            <w:r>
              <w:rPr>
                <w:rFonts w:hint="eastAsia"/>
                <w:color w:val="000000"/>
                <w:szCs w:val="21"/>
              </w:rPr>
              <w:t>mg/m</w:t>
            </w:r>
            <w:r>
              <w:rPr>
                <w:rFonts w:hint="eastAsia"/>
                <w:color w:val="000000"/>
                <w:szCs w:val="21"/>
                <w:vertAlign w:val="superscript"/>
              </w:rPr>
              <w:t>3</w:t>
            </w:r>
            <w:r>
              <w:rPr>
                <w:rFonts w:hint="eastAsia"/>
                <w:color w:val="000000"/>
                <w:szCs w:val="21"/>
              </w:rPr>
              <w:t>）</w:t>
            </w:r>
          </w:p>
        </w:tc>
        <w:tc>
          <w:tcPr>
            <w:tcW w:w="1090" w:type="pct"/>
            <w:gridSpan w:val="2"/>
            <w:tcBorders>
              <w:right w:val="single" w:color="auto" w:sz="4" w:space="0"/>
            </w:tcBorders>
            <w:vAlign w:val="center"/>
          </w:tcPr>
          <w:p w14:paraId="3FEE2ED4">
            <w:pPr>
              <w:pStyle w:val="133"/>
              <w:rPr>
                <w:color w:val="000000"/>
                <w:szCs w:val="21"/>
              </w:rPr>
            </w:pPr>
            <w:r>
              <w:rPr>
                <w:rFonts w:hint="eastAsia"/>
                <w:color w:val="000000"/>
                <w:szCs w:val="21"/>
              </w:rPr>
              <w:t>最远影响距离/m</w:t>
            </w:r>
          </w:p>
        </w:tc>
        <w:tc>
          <w:tcPr>
            <w:tcW w:w="940" w:type="pct"/>
            <w:gridSpan w:val="2"/>
            <w:tcBorders>
              <w:left w:val="single" w:color="auto" w:sz="4" w:space="0"/>
            </w:tcBorders>
            <w:vAlign w:val="center"/>
          </w:tcPr>
          <w:p w14:paraId="2F874652">
            <w:pPr>
              <w:pStyle w:val="133"/>
              <w:rPr>
                <w:color w:val="000000"/>
              </w:rPr>
            </w:pPr>
            <w:r>
              <w:rPr>
                <w:rFonts w:hint="eastAsia"/>
                <w:color w:val="000000"/>
              </w:rPr>
              <w:t>到达时间/min</w:t>
            </w:r>
          </w:p>
        </w:tc>
      </w:tr>
      <w:tr w14:paraId="472972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15" w:type="pct"/>
            <w:vMerge w:val="continue"/>
            <w:vAlign w:val="center"/>
          </w:tcPr>
          <w:p w14:paraId="15C49D0A">
            <w:pPr>
              <w:pStyle w:val="133"/>
              <w:rPr>
                <w:color w:val="FF0000"/>
                <w:szCs w:val="21"/>
              </w:rPr>
            </w:pPr>
          </w:p>
        </w:tc>
        <w:tc>
          <w:tcPr>
            <w:tcW w:w="582" w:type="pct"/>
            <w:vMerge w:val="continue"/>
            <w:vAlign w:val="center"/>
          </w:tcPr>
          <w:p w14:paraId="32C9349E">
            <w:pPr>
              <w:pStyle w:val="133"/>
              <w:rPr>
                <w:color w:val="FF0000"/>
                <w:szCs w:val="21"/>
              </w:rPr>
            </w:pPr>
          </w:p>
        </w:tc>
        <w:tc>
          <w:tcPr>
            <w:tcW w:w="1161" w:type="pct"/>
            <w:gridSpan w:val="3"/>
            <w:vAlign w:val="center"/>
          </w:tcPr>
          <w:p w14:paraId="6BF45CC6">
            <w:pPr>
              <w:pStyle w:val="133"/>
              <w:rPr>
                <w:color w:val="000000"/>
                <w:szCs w:val="21"/>
              </w:rPr>
            </w:pPr>
            <w:r>
              <w:rPr>
                <w:rFonts w:hint="eastAsia"/>
                <w:color w:val="000000"/>
                <w:szCs w:val="21"/>
              </w:rPr>
              <w:t>大气毒性终点浓度-2</w:t>
            </w:r>
          </w:p>
        </w:tc>
        <w:tc>
          <w:tcPr>
            <w:tcW w:w="912" w:type="pct"/>
            <w:gridSpan w:val="2"/>
            <w:vAlign w:val="center"/>
          </w:tcPr>
          <w:p w14:paraId="18980DCB">
            <w:pPr>
              <w:pStyle w:val="133"/>
              <w:rPr>
                <w:color w:val="000000"/>
                <w:szCs w:val="21"/>
              </w:rPr>
            </w:pPr>
            <w:r>
              <w:rPr>
                <w:rFonts w:hint="eastAsia"/>
                <w:color w:val="000000"/>
                <w:szCs w:val="21"/>
              </w:rPr>
              <w:t>110</w:t>
            </w:r>
          </w:p>
        </w:tc>
        <w:tc>
          <w:tcPr>
            <w:tcW w:w="1090" w:type="pct"/>
            <w:gridSpan w:val="2"/>
            <w:tcBorders>
              <w:right w:val="single" w:color="auto" w:sz="4" w:space="0"/>
            </w:tcBorders>
            <w:vAlign w:val="center"/>
          </w:tcPr>
          <w:p w14:paraId="1C55F3F3">
            <w:pPr>
              <w:pStyle w:val="133"/>
              <w:rPr>
                <w:color w:val="000000"/>
              </w:rPr>
            </w:pPr>
            <w:r>
              <w:rPr>
                <w:rFonts w:hint="eastAsia"/>
                <w:color w:val="000000"/>
              </w:rPr>
              <w:t>290</w:t>
            </w:r>
          </w:p>
        </w:tc>
        <w:tc>
          <w:tcPr>
            <w:tcW w:w="940" w:type="pct"/>
            <w:gridSpan w:val="2"/>
            <w:tcBorders>
              <w:left w:val="single" w:color="auto" w:sz="4" w:space="0"/>
            </w:tcBorders>
            <w:vAlign w:val="center"/>
          </w:tcPr>
          <w:p w14:paraId="287C6488">
            <w:pPr>
              <w:pStyle w:val="133"/>
              <w:rPr>
                <w:color w:val="000000"/>
              </w:rPr>
            </w:pPr>
            <w:r>
              <w:rPr>
                <w:rFonts w:hint="eastAsia"/>
                <w:color w:val="000000"/>
              </w:rPr>
              <w:t>2.42</w:t>
            </w:r>
          </w:p>
        </w:tc>
      </w:tr>
    </w:tbl>
    <w:p w14:paraId="1C0DE7BD">
      <w:pPr>
        <w:pStyle w:val="117"/>
        <w:ind w:firstLine="0" w:firstLineChars="0"/>
        <w:jc w:val="center"/>
        <w:rPr>
          <w:color w:val="FF0000"/>
        </w:rPr>
      </w:pPr>
    </w:p>
    <w:p w14:paraId="778CF977">
      <w:pPr>
        <w:pStyle w:val="138"/>
        <w:ind w:firstLine="480"/>
        <w:rPr>
          <w:rFonts w:hint="eastAsia"/>
          <w:color w:val="000000"/>
        </w:rPr>
      </w:pPr>
      <w:r>
        <w:rPr>
          <w:rFonts w:hint="eastAsia"/>
          <w:color w:val="000000"/>
        </w:rPr>
        <w:t>环境风险地表水环境影响分析</w:t>
      </w:r>
    </w:p>
    <w:p w14:paraId="764B4868">
      <w:pPr>
        <w:pStyle w:val="257"/>
        <w:ind w:firstLine="480"/>
        <w:rPr>
          <w:color w:val="000000"/>
        </w:rPr>
      </w:pPr>
      <w:r>
        <w:rPr>
          <w:rFonts w:hint="eastAsia" w:ascii="宋体" w:hAnsi="宋体" w:eastAsia="宋体" w:cs="宋体"/>
          <w:color w:val="000000"/>
        </w:rPr>
        <w:t>本项目事故情况下，泄漏的液体物料及时收纳在事故水池中，同时项目周边无地表水体，与地表水体不发生水力联系。</w:t>
      </w:r>
    </w:p>
    <w:p w14:paraId="4125B97D">
      <w:pPr>
        <w:pStyle w:val="117"/>
        <w:ind w:firstLine="480"/>
        <w:rPr>
          <w:rFonts w:hint="eastAsia" w:ascii="宋体" w:hAnsi="宋体"/>
          <w:color w:val="000000"/>
        </w:rPr>
      </w:pPr>
      <w:r>
        <w:rPr>
          <w:rFonts w:hint="eastAsia" w:ascii="宋体" w:hAnsi="宋体"/>
          <w:color w:val="000000"/>
        </w:rPr>
        <w:t>因此，事故情况下，泄漏的物料对地表水环境影响较小。</w:t>
      </w:r>
    </w:p>
    <w:p w14:paraId="5F49C60D">
      <w:pPr>
        <w:pStyle w:val="138"/>
        <w:ind w:firstLine="480"/>
        <w:rPr>
          <w:rFonts w:hint="eastAsia"/>
          <w:color w:val="000000"/>
        </w:rPr>
      </w:pPr>
      <w:r>
        <w:rPr>
          <w:rFonts w:hint="eastAsia"/>
          <w:color w:val="000000"/>
        </w:rPr>
        <w:t>环境风险地下水环境影响分析</w:t>
      </w:r>
    </w:p>
    <w:p w14:paraId="2C3FD22A">
      <w:pPr>
        <w:ind w:firstLine="480"/>
        <w:rPr>
          <w:color w:val="000000"/>
        </w:rPr>
      </w:pPr>
      <w:r>
        <w:rPr>
          <w:rFonts w:hint="eastAsia"/>
          <w:color w:val="000000"/>
        </w:rPr>
        <w:t>见地下水环境影响预测章节。</w:t>
      </w:r>
    </w:p>
    <w:p w14:paraId="276E6F40">
      <w:pPr>
        <w:pStyle w:val="138"/>
        <w:ind w:firstLine="480"/>
        <w:rPr>
          <w:rFonts w:hint="eastAsia"/>
          <w:color w:val="000000"/>
        </w:rPr>
      </w:pPr>
      <w:r>
        <w:rPr>
          <w:rFonts w:hint="eastAsia"/>
          <w:color w:val="000000"/>
        </w:rPr>
        <w:t>土壤环境风险分析</w:t>
      </w:r>
    </w:p>
    <w:p w14:paraId="52AEA37F">
      <w:pPr>
        <w:pStyle w:val="257"/>
        <w:ind w:firstLine="480"/>
        <w:rPr>
          <w:color w:val="000000"/>
        </w:rPr>
      </w:pPr>
      <w:r>
        <w:rPr>
          <w:rFonts w:hint="eastAsia" w:ascii="宋体" w:hAnsi="宋体" w:eastAsia="宋体" w:cs="宋体"/>
          <w:color w:val="000000"/>
        </w:rPr>
        <w:t>本项目厂区内大部分都是混凝土路面，基本没有直接裸露的土壤存在，因此，本项目发生物料泄漏时对厂区内的土壤影响有限，事故后及时控制基本不会对厂区内的土壤造成严重污染。</w:t>
      </w:r>
    </w:p>
    <w:p w14:paraId="10C3104A">
      <w:pPr>
        <w:pStyle w:val="257"/>
        <w:ind w:firstLine="480"/>
        <w:rPr>
          <w:color w:val="000000"/>
        </w:rPr>
      </w:pPr>
      <w:r>
        <w:rPr>
          <w:rFonts w:hint="eastAsia" w:ascii="宋体" w:hAnsi="宋体" w:eastAsia="宋体" w:cs="宋体"/>
          <w:color w:val="000000"/>
        </w:rPr>
        <w:t>事故泄漏物料对厂区外部的土壤污染更低，其对土壤的污染主要是由泄漏到大气环境中的事故污染物沉降到土壤中引起的。但是项目事故泄漏污染物总量不高，而且属于短期事故，通过大气沉降对厂界外土壤造成污染的可能性很小。</w:t>
      </w:r>
    </w:p>
    <w:p w14:paraId="26548F7F">
      <w:pPr>
        <w:pStyle w:val="257"/>
        <w:ind w:firstLine="480"/>
        <w:rPr>
          <w:color w:val="000000"/>
        </w:rPr>
      </w:pPr>
      <w:r>
        <w:rPr>
          <w:rFonts w:hint="eastAsia" w:ascii="宋体" w:hAnsi="宋体" w:eastAsia="宋体" w:cs="宋体"/>
          <w:color w:val="000000"/>
        </w:rPr>
        <w:t>本项目发生泄漏事故时，泄漏物料会造成土壤中盐含量等含量增加，破坏土壤的结构，对土壤环境造成局部斑块状的影响。</w:t>
      </w:r>
    </w:p>
    <w:p w14:paraId="1511BFD9">
      <w:pPr>
        <w:pStyle w:val="257"/>
        <w:ind w:firstLine="480"/>
        <w:rPr>
          <w:color w:val="000000"/>
        </w:rPr>
      </w:pPr>
      <w:r>
        <w:rPr>
          <w:rFonts w:hint="eastAsia" w:ascii="宋体" w:hAnsi="宋体" w:eastAsia="宋体" w:cs="宋体"/>
          <w:color w:val="000000"/>
        </w:rPr>
        <w:t>在发生泄漏事故时，车间、原料库均采取防渗措施和事故应急物料回收措施，因此对土壤污染影响较小。</w:t>
      </w:r>
    </w:p>
    <w:p w14:paraId="64F9B0F6">
      <w:pPr>
        <w:pStyle w:val="3"/>
        <w:rPr>
          <w:color w:val="000000"/>
        </w:rPr>
      </w:pPr>
      <w:bookmarkStart w:id="695" w:name="_Toc155627745"/>
      <w:bookmarkStart w:id="696" w:name="_Toc205291419"/>
      <w:r>
        <w:rPr>
          <w:rFonts w:hint="eastAsia"/>
          <w:color w:val="000000"/>
        </w:rPr>
        <w:t>环境风险管理</w:t>
      </w:r>
      <w:bookmarkEnd w:id="695"/>
      <w:bookmarkEnd w:id="696"/>
    </w:p>
    <w:p w14:paraId="5A06B1FF">
      <w:pPr>
        <w:pStyle w:val="138"/>
        <w:ind w:firstLine="480"/>
        <w:rPr>
          <w:rFonts w:hint="eastAsia"/>
          <w:color w:val="000000"/>
        </w:rPr>
      </w:pPr>
      <w:r>
        <w:rPr>
          <w:rFonts w:hint="eastAsia"/>
          <w:color w:val="000000"/>
        </w:rPr>
        <w:t>环境风险管理目标</w:t>
      </w:r>
    </w:p>
    <w:p w14:paraId="4DE75B4D">
      <w:pPr>
        <w:ind w:firstLine="480"/>
        <w:rPr>
          <w:rFonts w:hint="eastAsia" w:ascii="宋体" w:hAnsi="宋体" w:cs="宋体"/>
          <w:color w:val="000000"/>
        </w:rPr>
      </w:pPr>
      <w:r>
        <w:rPr>
          <w:rFonts w:hint="eastAsia" w:ascii="宋体" w:hAnsi="宋体" w:cs="宋体"/>
          <w:color w:val="000000"/>
        </w:rPr>
        <w:t>环境风险管理目标是采用最低合理可行原则管控环境风险。采取的环境风险防范措施应与社会经济技术发展水平相适应，运用科学的技术手段和管理方法，对环境风险进行有效地预防、监控、响应。</w:t>
      </w:r>
    </w:p>
    <w:p w14:paraId="3FA686BE">
      <w:pPr>
        <w:pStyle w:val="138"/>
        <w:ind w:firstLine="480"/>
        <w:rPr>
          <w:rFonts w:hint="eastAsia"/>
          <w:color w:val="000000"/>
        </w:rPr>
      </w:pPr>
      <w:r>
        <w:rPr>
          <w:rFonts w:hint="eastAsia"/>
          <w:color w:val="000000"/>
        </w:rPr>
        <w:t>风险防范措施</w:t>
      </w:r>
    </w:p>
    <w:p w14:paraId="728C04D5">
      <w:pPr>
        <w:pStyle w:val="5"/>
        <w:rPr>
          <w:color w:val="000000"/>
        </w:rPr>
      </w:pPr>
      <w:r>
        <w:rPr>
          <w:rFonts w:hint="eastAsia"/>
          <w:color w:val="000000"/>
        </w:rPr>
        <w:t>项目选址、总图布置和建筑安全防范措施</w:t>
      </w:r>
    </w:p>
    <w:p w14:paraId="00A2491B">
      <w:pPr>
        <w:ind w:firstLine="480"/>
        <w:rPr>
          <w:color w:val="000000"/>
        </w:rPr>
      </w:pPr>
      <w:r>
        <w:rPr>
          <w:rFonts w:hint="eastAsia" w:ascii="宋体" w:hAnsi="宋体" w:cs="宋体"/>
          <w:color w:val="000000"/>
        </w:rPr>
        <w:t>本项目平面布置须满足生产工艺流程的要求；结合风向、朝向等当地自然条件，因地制宜进行布置，力求总平面布置紧凑合理；总平面布置符合防火间距，满足消防要求；合理布置厂内外道路，使厂内运输便捷，功能区划分明确，厂外交通方便。</w:t>
      </w:r>
    </w:p>
    <w:p w14:paraId="6CDB4FAC">
      <w:pPr>
        <w:ind w:firstLine="480"/>
        <w:rPr>
          <w:color w:val="000000"/>
        </w:rPr>
      </w:pPr>
      <w:r>
        <w:rPr>
          <w:rFonts w:hint="eastAsia" w:ascii="宋体" w:hAnsi="宋体" w:cs="宋体"/>
          <w:color w:val="000000"/>
        </w:rPr>
        <w:t>厂区布置按照生产类别分厂前区、生产区、辅助生产区、公用工程区等，各功能分区之间采用道路分隔。</w:t>
      </w:r>
    </w:p>
    <w:p w14:paraId="348C6289">
      <w:pPr>
        <w:ind w:firstLine="480"/>
        <w:rPr>
          <w:color w:val="000000"/>
        </w:rPr>
      </w:pPr>
      <w:r>
        <w:rPr>
          <w:rFonts w:hint="eastAsia" w:ascii="宋体" w:hAnsi="宋体" w:cs="宋体"/>
          <w:color w:val="000000"/>
        </w:rPr>
        <w:t>车间内爆炸危险区域的范围划分符合现行国家标准《爆炸危险环境电力装置设计规范》（</w:t>
      </w:r>
      <w:r>
        <w:rPr>
          <w:rFonts w:hint="eastAsia"/>
          <w:color w:val="000000"/>
        </w:rPr>
        <w:t>GB50058-2014</w:t>
      </w:r>
      <w:r>
        <w:rPr>
          <w:rFonts w:hint="eastAsia" w:ascii="宋体" w:hAnsi="宋体" w:cs="宋体"/>
          <w:color w:val="000000"/>
        </w:rPr>
        <w:t>）的规定要求。</w:t>
      </w:r>
    </w:p>
    <w:p w14:paraId="08ACFA1D">
      <w:pPr>
        <w:ind w:firstLine="480"/>
        <w:rPr>
          <w:color w:val="000000"/>
        </w:rPr>
      </w:pPr>
      <w:r>
        <w:rPr>
          <w:rFonts w:hint="eastAsia" w:ascii="宋体" w:hAnsi="宋体" w:cs="宋体"/>
          <w:color w:val="000000"/>
        </w:rPr>
        <w:t>有防火、防爆要求的厂房，其墙上预留洞，洞口堵漏填实材料均采用非燃烧体。生产车间及辅助生产车间内的外门设置为外向开启的安全疏散门，内门设置为向疏散方向开启，符合安全生产要求。</w:t>
      </w:r>
    </w:p>
    <w:p w14:paraId="6F03E3ED">
      <w:pPr>
        <w:ind w:firstLine="480"/>
        <w:rPr>
          <w:color w:val="000000"/>
        </w:rPr>
      </w:pPr>
      <w:r>
        <w:rPr>
          <w:rFonts w:hint="eastAsia" w:ascii="宋体" w:hAnsi="宋体" w:cs="宋体"/>
          <w:color w:val="000000"/>
        </w:rPr>
        <w:t>有爆炸危险的房间门窗采用安全玻璃。</w:t>
      </w:r>
    </w:p>
    <w:p w14:paraId="034C008D">
      <w:pPr>
        <w:ind w:firstLine="480"/>
        <w:rPr>
          <w:color w:val="000000"/>
        </w:rPr>
      </w:pPr>
      <w:r>
        <w:rPr>
          <w:rFonts w:hint="eastAsia" w:ascii="宋体" w:hAnsi="宋体" w:cs="宋体"/>
          <w:color w:val="000000"/>
        </w:rPr>
        <w:t>对散发较空气重的可燃气体（可燃蒸气）的甲类厂房（有粉尘、纤维爆炸危险的乙类厂房）采用不发火、不产生静电的地面（如不发火水磨石地面、不发火水泥地面、涂料面层等）。装置内可能散发比空气重的可燃气体，因此控制室、配电室的室内地面比室外地坪高</w:t>
      </w:r>
      <w:r>
        <w:rPr>
          <w:color w:val="000000"/>
        </w:rPr>
        <w:t>0.6m</w:t>
      </w:r>
      <w:r>
        <w:rPr>
          <w:rFonts w:hint="eastAsia" w:ascii="宋体" w:hAnsi="宋体" w:cs="宋体"/>
          <w:color w:val="000000"/>
        </w:rPr>
        <w:t>。</w:t>
      </w:r>
    </w:p>
    <w:p w14:paraId="15BDC1AB">
      <w:pPr>
        <w:ind w:firstLine="480"/>
        <w:rPr>
          <w:color w:val="000000"/>
        </w:rPr>
      </w:pPr>
      <w:r>
        <w:rPr>
          <w:rFonts w:hint="eastAsia" w:ascii="宋体" w:hAnsi="宋体" w:cs="宋体"/>
          <w:color w:val="000000"/>
        </w:rPr>
        <w:t>装置内建筑物（除特殊情况外）的耐火等级不低于二级。</w:t>
      </w:r>
    </w:p>
    <w:p w14:paraId="2BBB898D">
      <w:pPr>
        <w:ind w:firstLine="480"/>
        <w:rPr>
          <w:color w:val="000000"/>
        </w:rPr>
      </w:pPr>
      <w:r>
        <w:rPr>
          <w:rFonts w:hint="eastAsia" w:ascii="宋体" w:hAnsi="宋体" w:cs="宋体"/>
          <w:color w:val="000000"/>
        </w:rPr>
        <w:t>甲类厂房最远工作地点到安全出口的距离小于</w:t>
      </w:r>
      <w:r>
        <w:rPr>
          <w:color w:val="000000"/>
        </w:rPr>
        <w:t>30m</w:t>
      </w:r>
      <w:r>
        <w:rPr>
          <w:rFonts w:hint="eastAsia" w:ascii="宋体" w:hAnsi="宋体" w:cs="宋体"/>
          <w:color w:val="000000"/>
        </w:rPr>
        <w:t>。</w:t>
      </w:r>
    </w:p>
    <w:p w14:paraId="5498BB31">
      <w:pPr>
        <w:ind w:firstLine="480"/>
        <w:rPr>
          <w:color w:val="000000"/>
        </w:rPr>
      </w:pPr>
      <w:r>
        <w:rPr>
          <w:rFonts w:hint="eastAsia" w:ascii="宋体" w:hAnsi="宋体" w:cs="宋体"/>
          <w:color w:val="000000"/>
        </w:rPr>
        <w:t>厂房设有两个（或更多）安全疏散梯，除封闭楼梯间外，作为第二疏散出口的室外梯和每层出口处平台，采用非燃烧材料制作。平台的耐火极限不低于</w:t>
      </w:r>
      <w:r>
        <w:rPr>
          <w:color w:val="000000"/>
        </w:rPr>
        <w:t>1h</w:t>
      </w:r>
      <w:r>
        <w:rPr>
          <w:rFonts w:hint="eastAsia" w:ascii="宋体" w:hAnsi="宋体" w:cs="宋体"/>
          <w:color w:val="000000"/>
        </w:rPr>
        <w:t>，楼梯段的耐火极限不低于</w:t>
      </w:r>
      <w:r>
        <w:rPr>
          <w:color w:val="000000"/>
        </w:rPr>
        <w:t>0.25h</w:t>
      </w:r>
      <w:r>
        <w:rPr>
          <w:rFonts w:hint="eastAsia" w:ascii="宋体" w:hAnsi="宋体" w:cs="宋体"/>
          <w:color w:val="000000"/>
        </w:rPr>
        <w:t>，楼梯周围</w:t>
      </w:r>
      <w:r>
        <w:rPr>
          <w:color w:val="000000"/>
        </w:rPr>
        <w:t>2m</w:t>
      </w:r>
      <w:r>
        <w:rPr>
          <w:rFonts w:hint="eastAsia" w:ascii="宋体" w:hAnsi="宋体" w:cs="宋体"/>
          <w:color w:val="000000"/>
        </w:rPr>
        <w:t>范围内的墙上，除疏散门外，不设其他门窗洞口。</w:t>
      </w:r>
    </w:p>
    <w:p w14:paraId="02521FE5">
      <w:pPr>
        <w:ind w:firstLine="480"/>
        <w:rPr>
          <w:color w:val="000000"/>
        </w:rPr>
      </w:pPr>
      <w:r>
        <w:rPr>
          <w:rFonts w:hint="eastAsia" w:ascii="宋体" w:hAnsi="宋体" w:cs="宋体"/>
          <w:color w:val="000000"/>
        </w:rPr>
        <w:t>对甲、乙类房间与可能产生火花的房间相邻时其门窗之间的距离大于或等于现行的国家标准《爆炸危险环境电力装置设计规范》（</w:t>
      </w:r>
      <w:r>
        <w:rPr>
          <w:rFonts w:hint="eastAsia"/>
          <w:color w:val="000000"/>
        </w:rPr>
        <w:t>GB50058-2014</w:t>
      </w:r>
      <w:r>
        <w:rPr>
          <w:rFonts w:hint="eastAsia" w:ascii="宋体" w:hAnsi="宋体" w:cs="宋体"/>
          <w:color w:val="000000"/>
        </w:rPr>
        <w:t>）的规定。</w:t>
      </w:r>
    </w:p>
    <w:p w14:paraId="239E468C">
      <w:pPr>
        <w:ind w:firstLine="480"/>
        <w:rPr>
          <w:color w:val="000000"/>
        </w:rPr>
      </w:pPr>
      <w:r>
        <w:rPr>
          <w:rFonts w:hint="eastAsia" w:ascii="宋体" w:hAnsi="宋体" w:cs="宋体"/>
          <w:color w:val="000000"/>
        </w:rPr>
        <w:t>厂房内紧靠防火墙两侧的门窗洞口之间最近的水平距离大于或等于</w:t>
      </w:r>
      <w:r>
        <w:rPr>
          <w:color w:val="000000"/>
        </w:rPr>
        <w:t>2m</w:t>
      </w:r>
      <w:r>
        <w:rPr>
          <w:rFonts w:hint="eastAsia" w:ascii="宋体" w:hAnsi="宋体" w:cs="宋体"/>
          <w:color w:val="000000"/>
        </w:rPr>
        <w:t>。</w:t>
      </w:r>
    </w:p>
    <w:p w14:paraId="0A051EBD">
      <w:pPr>
        <w:ind w:firstLine="480"/>
        <w:rPr>
          <w:color w:val="000000"/>
        </w:rPr>
      </w:pPr>
      <w:r>
        <w:rPr>
          <w:rFonts w:hint="eastAsia" w:ascii="宋体" w:hAnsi="宋体" w:cs="宋体"/>
          <w:color w:val="000000"/>
        </w:rPr>
        <w:t>吊顶材料为非燃烧体，耐火极限不小于</w:t>
      </w:r>
      <w:r>
        <w:rPr>
          <w:color w:val="000000"/>
        </w:rPr>
        <w:t>0.25h</w:t>
      </w:r>
      <w:r>
        <w:rPr>
          <w:rFonts w:hint="eastAsia" w:ascii="宋体" w:hAnsi="宋体" w:cs="宋体"/>
          <w:color w:val="000000"/>
        </w:rPr>
        <w:t>。用于保温、隔声的泡沫塑料制品，其各项指标在设计上要求达到阻燃要求：聚氨酯泡沫塑料的氧指数不得小于</w:t>
      </w:r>
      <w:r>
        <w:rPr>
          <w:color w:val="000000"/>
        </w:rPr>
        <w:t>26</w:t>
      </w:r>
      <w:r>
        <w:rPr>
          <w:rFonts w:hint="eastAsia" w:ascii="宋体" w:hAnsi="宋体" w:cs="宋体"/>
          <w:color w:val="000000"/>
        </w:rPr>
        <w:t>；聚苯乙烯泡沫塑料的氧指数不得小于</w:t>
      </w:r>
      <w:r>
        <w:rPr>
          <w:color w:val="000000"/>
        </w:rPr>
        <w:t>30</w:t>
      </w:r>
      <w:r>
        <w:rPr>
          <w:rFonts w:hint="eastAsia" w:ascii="宋体" w:hAnsi="宋体" w:cs="宋体"/>
          <w:color w:val="000000"/>
        </w:rPr>
        <w:t>。</w:t>
      </w:r>
    </w:p>
    <w:p w14:paraId="0178F3C8">
      <w:pPr>
        <w:ind w:firstLine="480"/>
        <w:rPr>
          <w:color w:val="000000"/>
        </w:rPr>
      </w:pPr>
      <w:r>
        <w:rPr>
          <w:rFonts w:hint="eastAsia" w:ascii="宋体" w:hAnsi="宋体" w:cs="宋体"/>
          <w:color w:val="000000"/>
        </w:rPr>
        <w:t>建筑物、构筑物的主要构件，均采用非燃烧材料，其耐火极限符合现行的国家标准《建筑设计防火规范（</w:t>
      </w:r>
      <w:r>
        <w:rPr>
          <w:color w:val="000000"/>
        </w:rPr>
        <w:t>GB50016-2014</w:t>
      </w:r>
      <w:r>
        <w:rPr>
          <w:rFonts w:hint="eastAsia" w:ascii="宋体" w:hAnsi="宋体" w:cs="宋体"/>
          <w:color w:val="000000"/>
        </w:rPr>
        <w:t>）》（</w:t>
      </w:r>
      <w:r>
        <w:rPr>
          <w:rFonts w:hint="eastAsia"/>
          <w:color w:val="000000"/>
        </w:rPr>
        <w:t>2018</w:t>
      </w:r>
      <w:r>
        <w:rPr>
          <w:rFonts w:hint="eastAsia" w:ascii="宋体" w:hAnsi="宋体" w:cs="宋体"/>
          <w:color w:val="000000"/>
        </w:rPr>
        <w:t>年版）的有关规定。</w:t>
      </w:r>
    </w:p>
    <w:p w14:paraId="182CFF33">
      <w:pPr>
        <w:ind w:firstLine="480"/>
        <w:rPr>
          <w:rFonts w:hint="eastAsia" w:ascii="宋体" w:hAnsi="宋体" w:cs="宋体"/>
          <w:color w:val="000000"/>
        </w:rPr>
      </w:pPr>
      <w:r>
        <w:rPr>
          <w:rFonts w:hint="eastAsia" w:ascii="宋体" w:hAnsi="宋体" w:cs="宋体"/>
          <w:color w:val="000000"/>
        </w:rPr>
        <w:t>车间内消防车道宽为</w:t>
      </w:r>
      <w:r>
        <w:rPr>
          <w:color w:val="000000"/>
        </w:rPr>
        <w:t>8m</w:t>
      </w:r>
      <w:r>
        <w:rPr>
          <w:rFonts w:hint="eastAsia" w:ascii="宋体" w:hAnsi="宋体" w:cs="宋体"/>
          <w:color w:val="000000"/>
        </w:rPr>
        <w:t>，路面净空高度大于</w:t>
      </w:r>
      <w:r>
        <w:rPr>
          <w:color w:val="000000"/>
        </w:rPr>
        <w:t>4.5m</w:t>
      </w:r>
      <w:r>
        <w:rPr>
          <w:rFonts w:hint="eastAsia" w:ascii="宋体" w:hAnsi="宋体" w:cs="宋体"/>
          <w:color w:val="000000"/>
        </w:rPr>
        <w:t>，符合规范要求。</w:t>
      </w:r>
    </w:p>
    <w:p w14:paraId="1146FC35">
      <w:pPr>
        <w:pStyle w:val="5"/>
        <w:rPr>
          <w:color w:val="000000"/>
        </w:rPr>
      </w:pPr>
      <w:r>
        <w:rPr>
          <w:rFonts w:hint="eastAsia"/>
          <w:color w:val="000000"/>
        </w:rPr>
        <w:t>危险化学品贮运安全防范措施</w:t>
      </w:r>
    </w:p>
    <w:p w14:paraId="6B463077">
      <w:pPr>
        <w:ind w:firstLine="480"/>
        <w:rPr>
          <w:color w:val="000000"/>
        </w:rPr>
      </w:pPr>
      <w:r>
        <w:rPr>
          <w:rFonts w:hint="eastAsia" w:ascii="宋体" w:hAnsi="宋体" w:cs="宋体"/>
          <w:color w:val="000000"/>
        </w:rPr>
        <w:t>（</w:t>
      </w:r>
      <w:r>
        <w:rPr>
          <w:color w:val="000000"/>
        </w:rPr>
        <w:t>1</w:t>
      </w:r>
      <w:r>
        <w:rPr>
          <w:rFonts w:hint="eastAsia" w:ascii="宋体" w:hAnsi="宋体" w:cs="宋体"/>
          <w:color w:val="000000"/>
        </w:rPr>
        <w:t>）危险化学品储运系统的设计严格按照设计规范的要求进行设计和施工，确保防火间距、消防通道、消防设施等满足规定要求。</w:t>
      </w:r>
    </w:p>
    <w:p w14:paraId="7EBE380E">
      <w:pPr>
        <w:ind w:firstLine="480"/>
        <w:rPr>
          <w:color w:val="000000"/>
        </w:rPr>
      </w:pPr>
      <w:r>
        <w:rPr>
          <w:rFonts w:hint="eastAsia" w:ascii="宋体" w:hAnsi="宋体" w:cs="宋体"/>
          <w:color w:val="000000"/>
        </w:rPr>
        <w:t>（</w:t>
      </w:r>
      <w:r>
        <w:rPr>
          <w:color w:val="000000"/>
        </w:rPr>
        <w:t>2</w:t>
      </w:r>
      <w:r>
        <w:rPr>
          <w:rFonts w:hint="eastAsia" w:ascii="宋体" w:hAnsi="宋体" w:cs="宋体"/>
          <w:color w:val="000000"/>
        </w:rPr>
        <w:t>）罐区严格按照《建筑物防雷设计规范》《工业与民用电力装置的接地设计规范》设置防雷击、防静电系统。</w:t>
      </w:r>
    </w:p>
    <w:p w14:paraId="62796C31">
      <w:pPr>
        <w:ind w:firstLine="480"/>
        <w:rPr>
          <w:color w:val="000000"/>
        </w:rPr>
      </w:pPr>
      <w:r>
        <w:rPr>
          <w:rFonts w:hint="eastAsia" w:ascii="宋体" w:hAnsi="宋体" w:cs="宋体"/>
          <w:color w:val="000000"/>
        </w:rPr>
        <w:t>（</w:t>
      </w:r>
      <w:r>
        <w:rPr>
          <w:color w:val="000000"/>
        </w:rPr>
        <w:t>3</w:t>
      </w:r>
      <w:r>
        <w:rPr>
          <w:rFonts w:hint="eastAsia" w:ascii="宋体" w:hAnsi="宋体" w:cs="宋体"/>
          <w:color w:val="000000"/>
        </w:rPr>
        <w:t>）参照《石油化工企业可燃气体和有毒气体检测报警设计规范》在罐区设置自动报警设施。</w:t>
      </w:r>
    </w:p>
    <w:p w14:paraId="67387E6C">
      <w:pPr>
        <w:ind w:firstLine="480"/>
        <w:rPr>
          <w:color w:val="000000"/>
        </w:rPr>
      </w:pPr>
      <w:r>
        <w:rPr>
          <w:rFonts w:hint="eastAsia" w:ascii="宋体" w:hAnsi="宋体" w:cs="宋体"/>
          <w:color w:val="000000"/>
        </w:rPr>
        <w:t>（</w:t>
      </w:r>
      <w:r>
        <w:rPr>
          <w:color w:val="000000"/>
        </w:rPr>
        <w:t>4</w:t>
      </w:r>
      <w:r>
        <w:rPr>
          <w:rFonts w:hint="eastAsia" w:ascii="宋体" w:hAnsi="宋体" w:cs="宋体"/>
          <w:color w:val="000000"/>
        </w:rPr>
        <w:t>）在物料储运过程控制采用</w:t>
      </w:r>
      <w:r>
        <w:rPr>
          <w:color w:val="000000"/>
        </w:rPr>
        <w:t>DCS</w:t>
      </w:r>
      <w:r>
        <w:rPr>
          <w:rFonts w:hint="eastAsia" w:ascii="宋体" w:hAnsi="宋体" w:cs="宋体"/>
          <w:color w:val="000000"/>
        </w:rPr>
        <w:t>系统，并设有越限报警和联锁保护系统，确保在误操作或非正常工况下，对危险物料的安全控制。</w:t>
      </w:r>
    </w:p>
    <w:p w14:paraId="7D56E147">
      <w:pPr>
        <w:ind w:firstLine="480"/>
        <w:rPr>
          <w:color w:val="000000"/>
        </w:rPr>
      </w:pPr>
      <w:r>
        <w:rPr>
          <w:rFonts w:hint="eastAsia" w:ascii="宋体" w:hAnsi="宋体" w:cs="宋体"/>
          <w:color w:val="000000"/>
        </w:rPr>
        <w:t>（</w:t>
      </w:r>
      <w:r>
        <w:rPr>
          <w:color w:val="000000"/>
        </w:rPr>
        <w:t>5</w:t>
      </w:r>
      <w:r>
        <w:rPr>
          <w:rFonts w:hint="eastAsia" w:ascii="宋体" w:hAnsi="宋体" w:cs="宋体"/>
          <w:color w:val="000000"/>
        </w:rPr>
        <w:t>）加强操作人员业务培训，岗位人员必须熟悉储罐布置、管线分布和阀门用途；定期检查管道密封性能，保持呼吸阀工作正常；罐内物品按规定控制温度；储罐清理和检修必须按操作规程执行，认真清洗和吹扫，取样分析合格，确认无爆炸危险后进行操作。</w:t>
      </w:r>
    </w:p>
    <w:p w14:paraId="090D5E27">
      <w:pPr>
        <w:ind w:firstLine="480"/>
        <w:rPr>
          <w:rFonts w:hint="eastAsia" w:ascii="宋体" w:hAnsi="宋体" w:cs="宋体"/>
          <w:color w:val="000000"/>
        </w:rPr>
      </w:pPr>
      <w:r>
        <w:rPr>
          <w:rFonts w:hint="eastAsia" w:ascii="宋体" w:hAnsi="宋体" w:cs="宋体"/>
          <w:color w:val="000000"/>
        </w:rPr>
        <w:t>（</w:t>
      </w:r>
      <w:r>
        <w:rPr>
          <w:color w:val="000000"/>
        </w:rPr>
        <w:t>6</w:t>
      </w:r>
      <w:r>
        <w:rPr>
          <w:rFonts w:hint="eastAsia" w:ascii="宋体" w:hAnsi="宋体" w:cs="宋体"/>
          <w:color w:val="000000"/>
        </w:rPr>
        <w:t>）对危险物料的安全控制是防爆的有效措施之一。生产过程中，危险物料置于密闭的设备和管道中，各个连接处采用可靠的密封技术。</w:t>
      </w:r>
    </w:p>
    <w:p w14:paraId="60E1AD4C">
      <w:pPr>
        <w:pStyle w:val="5"/>
        <w:rPr>
          <w:color w:val="000000"/>
        </w:rPr>
      </w:pPr>
      <w:r>
        <w:rPr>
          <w:rFonts w:hint="eastAsia"/>
          <w:color w:val="000000"/>
        </w:rPr>
        <w:t>自动控制设计安全防范措施</w:t>
      </w:r>
    </w:p>
    <w:p w14:paraId="4CC2201D">
      <w:pPr>
        <w:ind w:firstLine="480"/>
        <w:rPr>
          <w:color w:val="000000"/>
        </w:rPr>
      </w:pPr>
      <w:r>
        <w:rPr>
          <w:rFonts w:hint="eastAsia" w:ascii="宋体" w:hAnsi="宋体" w:cs="宋体"/>
          <w:color w:val="000000"/>
        </w:rPr>
        <w:t>（</w:t>
      </w:r>
      <w:r>
        <w:rPr>
          <w:rFonts w:hint="eastAsia"/>
          <w:color w:val="000000"/>
        </w:rPr>
        <w:t>1</w:t>
      </w:r>
      <w:r>
        <w:rPr>
          <w:rFonts w:hint="eastAsia" w:ascii="宋体" w:hAnsi="宋体" w:cs="宋体"/>
          <w:color w:val="000000"/>
        </w:rPr>
        <w:t>）本项目生产装置、公用工程及辅助设施的监视、控制和管理通过采用分散型控制系统（</w:t>
      </w:r>
      <w:r>
        <w:rPr>
          <w:color w:val="000000"/>
        </w:rPr>
        <w:t>DCS</w:t>
      </w:r>
      <w:r>
        <w:rPr>
          <w:rFonts w:hint="eastAsia" w:ascii="宋体" w:hAnsi="宋体" w:cs="宋体"/>
          <w:color w:val="000000"/>
        </w:rPr>
        <w:t>）及其他系统完成，在中央控制室进行集中操作和管理。安全仪表系统（</w:t>
      </w:r>
      <w:r>
        <w:rPr>
          <w:color w:val="000000"/>
        </w:rPr>
        <w:t>SIS</w:t>
      </w:r>
      <w:r>
        <w:rPr>
          <w:rFonts w:hint="eastAsia" w:ascii="宋体" w:hAnsi="宋体" w:cs="宋体"/>
          <w:color w:val="000000"/>
        </w:rPr>
        <w:t>）、可燃气体</w:t>
      </w:r>
      <w:r>
        <w:rPr>
          <w:color w:val="000000"/>
        </w:rPr>
        <w:t>/</w:t>
      </w:r>
      <w:r>
        <w:rPr>
          <w:rFonts w:hint="eastAsia" w:ascii="宋体" w:hAnsi="宋体" w:cs="宋体"/>
          <w:color w:val="000000"/>
        </w:rPr>
        <w:t>有毒气体检测系统（</w:t>
      </w:r>
      <w:r>
        <w:rPr>
          <w:color w:val="000000"/>
        </w:rPr>
        <w:t>FGDS</w:t>
      </w:r>
      <w:r>
        <w:rPr>
          <w:rFonts w:hint="eastAsia" w:ascii="宋体" w:hAnsi="宋体" w:cs="宋体"/>
          <w:color w:val="000000"/>
        </w:rPr>
        <w:t>）等分别独立于</w:t>
      </w:r>
      <w:r>
        <w:rPr>
          <w:color w:val="000000"/>
        </w:rPr>
        <w:t>DCS</w:t>
      </w:r>
      <w:r>
        <w:rPr>
          <w:rFonts w:hint="eastAsia" w:ascii="宋体" w:hAnsi="宋体" w:cs="宋体"/>
          <w:color w:val="000000"/>
        </w:rPr>
        <w:t>系统和其他系统单独设置。</w:t>
      </w:r>
    </w:p>
    <w:p w14:paraId="4E56DAC4">
      <w:pPr>
        <w:ind w:firstLine="480"/>
        <w:rPr>
          <w:color w:val="000000"/>
        </w:rPr>
      </w:pPr>
      <w:r>
        <w:rPr>
          <w:rFonts w:hint="eastAsia" w:ascii="宋体" w:hAnsi="宋体" w:cs="宋体"/>
          <w:color w:val="000000"/>
        </w:rPr>
        <w:t>（</w:t>
      </w:r>
      <w:r>
        <w:rPr>
          <w:rFonts w:hint="eastAsia"/>
          <w:color w:val="000000"/>
        </w:rPr>
        <w:t>2</w:t>
      </w:r>
      <w:r>
        <w:rPr>
          <w:rFonts w:hint="eastAsia" w:ascii="宋体" w:hAnsi="宋体" w:cs="宋体"/>
          <w:color w:val="000000"/>
        </w:rPr>
        <w:t>）根据生产装置的工艺要求全部或部分采用和实施先进控制（</w:t>
      </w:r>
      <w:r>
        <w:rPr>
          <w:color w:val="000000"/>
        </w:rPr>
        <w:t>APC</w:t>
      </w:r>
      <w:r>
        <w:rPr>
          <w:rFonts w:hint="eastAsia" w:ascii="宋体" w:hAnsi="宋体" w:cs="宋体"/>
          <w:color w:val="000000"/>
        </w:rPr>
        <w:t>）。</w:t>
      </w:r>
    </w:p>
    <w:p w14:paraId="7513700F">
      <w:pPr>
        <w:ind w:firstLine="480"/>
        <w:rPr>
          <w:color w:val="000000"/>
        </w:rPr>
      </w:pPr>
      <w:r>
        <w:rPr>
          <w:rFonts w:hint="eastAsia" w:ascii="宋体" w:hAnsi="宋体" w:cs="宋体"/>
          <w:color w:val="000000"/>
        </w:rPr>
        <w:t>（</w:t>
      </w:r>
      <w:r>
        <w:rPr>
          <w:rFonts w:hint="eastAsia"/>
          <w:color w:val="000000"/>
        </w:rPr>
        <w:t>3</w:t>
      </w:r>
      <w:r>
        <w:rPr>
          <w:rFonts w:hint="eastAsia" w:ascii="宋体" w:hAnsi="宋体" w:cs="宋体"/>
          <w:color w:val="000000"/>
        </w:rPr>
        <w:t>）各现场机柜间的控制系统均应设置与全厂管理网的通信接口。</w:t>
      </w:r>
    </w:p>
    <w:p w14:paraId="05BEEE02">
      <w:pPr>
        <w:ind w:firstLine="480"/>
        <w:rPr>
          <w:color w:val="000000"/>
        </w:rPr>
      </w:pPr>
      <w:r>
        <w:rPr>
          <w:rFonts w:hint="eastAsia" w:ascii="宋体" w:hAnsi="宋体" w:cs="宋体"/>
          <w:color w:val="000000"/>
        </w:rPr>
        <w:t>（</w:t>
      </w:r>
      <w:r>
        <w:rPr>
          <w:rFonts w:hint="eastAsia"/>
          <w:color w:val="000000"/>
        </w:rPr>
        <w:t>4</w:t>
      </w:r>
      <w:r>
        <w:rPr>
          <w:rFonts w:hint="eastAsia" w:ascii="宋体" w:hAnsi="宋体" w:cs="宋体"/>
          <w:color w:val="000000"/>
        </w:rPr>
        <w:t>）本项目控制系统和信息管理系统的总体结构分为过程控制层（</w:t>
      </w:r>
      <w:r>
        <w:rPr>
          <w:color w:val="000000"/>
        </w:rPr>
        <w:t>PCS</w:t>
      </w:r>
      <w:r>
        <w:rPr>
          <w:rFonts w:hint="eastAsia" w:ascii="宋体" w:hAnsi="宋体" w:cs="宋体"/>
          <w:color w:val="000000"/>
        </w:rPr>
        <w:t>）、生产运行管理层（</w:t>
      </w:r>
      <w:r>
        <w:rPr>
          <w:color w:val="000000"/>
        </w:rPr>
        <w:t>MES</w:t>
      </w:r>
      <w:r>
        <w:rPr>
          <w:rFonts w:hint="eastAsia" w:ascii="宋体" w:hAnsi="宋体" w:cs="宋体"/>
          <w:color w:val="000000"/>
        </w:rPr>
        <w:t>）。</w:t>
      </w:r>
    </w:p>
    <w:p w14:paraId="08BD6E43">
      <w:pPr>
        <w:ind w:firstLine="480"/>
        <w:rPr>
          <w:color w:val="000000"/>
        </w:rPr>
      </w:pPr>
      <w:r>
        <w:rPr>
          <w:rFonts w:hint="eastAsia" w:ascii="宋体" w:hAnsi="宋体" w:cs="宋体"/>
          <w:color w:val="000000"/>
        </w:rPr>
        <w:t>自控设计具备以下功能：</w:t>
      </w:r>
    </w:p>
    <w:p w14:paraId="663BC845">
      <w:pPr>
        <w:ind w:firstLine="480"/>
        <w:rPr>
          <w:color w:val="000000"/>
        </w:rPr>
      </w:pPr>
      <w:r>
        <w:rPr>
          <w:rFonts w:hint="eastAsia" w:ascii="宋体" w:hAnsi="宋体" w:cs="宋体"/>
          <w:color w:val="000000"/>
        </w:rPr>
        <w:t>①生产过程工艺参数的集中监视；</w:t>
      </w:r>
    </w:p>
    <w:p w14:paraId="1E7EE74B">
      <w:pPr>
        <w:ind w:firstLine="480"/>
        <w:rPr>
          <w:color w:val="000000"/>
        </w:rPr>
      </w:pPr>
      <w:r>
        <w:rPr>
          <w:rFonts w:hint="eastAsia" w:ascii="宋体" w:hAnsi="宋体" w:cs="宋体"/>
          <w:color w:val="000000"/>
        </w:rPr>
        <w:t>②工艺参数的自动控制；</w:t>
      </w:r>
    </w:p>
    <w:p w14:paraId="057BF520">
      <w:pPr>
        <w:ind w:firstLine="480"/>
        <w:rPr>
          <w:color w:val="000000"/>
        </w:rPr>
      </w:pPr>
      <w:r>
        <w:rPr>
          <w:rFonts w:hint="eastAsia" w:ascii="宋体" w:hAnsi="宋体" w:cs="宋体"/>
          <w:color w:val="000000"/>
        </w:rPr>
        <w:t>③过程参数超限报警；</w:t>
      </w:r>
    </w:p>
    <w:p w14:paraId="7F778E09">
      <w:pPr>
        <w:ind w:firstLine="480"/>
        <w:rPr>
          <w:color w:val="000000"/>
        </w:rPr>
      </w:pPr>
      <w:r>
        <w:rPr>
          <w:rFonts w:hint="eastAsia" w:ascii="宋体" w:hAnsi="宋体" w:cs="宋体"/>
          <w:color w:val="000000"/>
        </w:rPr>
        <w:t>④重要环节的联锁保护；</w:t>
      </w:r>
    </w:p>
    <w:p w14:paraId="2890DF10">
      <w:pPr>
        <w:ind w:firstLine="480"/>
        <w:rPr>
          <w:color w:val="000000"/>
        </w:rPr>
      </w:pPr>
      <w:r>
        <w:rPr>
          <w:rFonts w:hint="eastAsia" w:ascii="宋体" w:hAnsi="宋体" w:cs="宋体"/>
          <w:color w:val="000000"/>
        </w:rPr>
        <w:t>⑤中央调度室设有工厂管理网络连接接口，最终实现管、控、营销一体化。集中监控可采用区域集中监控和全厂集中监控两种方式。</w:t>
      </w:r>
    </w:p>
    <w:p w14:paraId="58CA42F3">
      <w:pPr>
        <w:pStyle w:val="5"/>
        <w:rPr>
          <w:color w:val="000000"/>
        </w:rPr>
      </w:pPr>
      <w:r>
        <w:rPr>
          <w:rFonts w:hint="eastAsia"/>
          <w:color w:val="000000"/>
        </w:rPr>
        <w:t>电气、电讯安全防范措施</w:t>
      </w:r>
    </w:p>
    <w:p w14:paraId="627751D2">
      <w:pPr>
        <w:ind w:firstLine="480"/>
        <w:rPr>
          <w:color w:val="000000"/>
        </w:rPr>
      </w:pPr>
      <w:r>
        <w:rPr>
          <w:color w:val="000000"/>
        </w:rPr>
        <w:t>（1）电气安全防范措施</w:t>
      </w:r>
    </w:p>
    <w:p w14:paraId="168AD48F">
      <w:pPr>
        <w:ind w:firstLine="480"/>
        <w:rPr>
          <w:color w:val="000000"/>
        </w:rPr>
      </w:pPr>
      <w:r>
        <w:rPr>
          <w:rFonts w:hint="eastAsia" w:ascii="宋体" w:hAnsi="宋体" w:cs="宋体"/>
          <w:color w:val="000000"/>
        </w:rPr>
        <w:t>①</w:t>
      </w:r>
      <w:r>
        <w:rPr>
          <w:color w:val="000000"/>
        </w:rPr>
        <w:t>装置的爆炸危险区域划分执行《爆炸危险环境电力装置设计规范》（GB50058-2014）。危险区内的各类电气设备均选用相应防爆等级的产品。电缆敷设及配电间的设计均考虑防火、防爆的要求。在装置爆炸危险区域内的所有电气设备均选用防爆型，设计防雷、防静电措施、配置相应防爆等级的电气设备和灯具，仪表选用拟建质安全型。</w:t>
      </w:r>
    </w:p>
    <w:p w14:paraId="670941AC">
      <w:pPr>
        <w:ind w:firstLine="480"/>
        <w:rPr>
          <w:color w:val="000000"/>
        </w:rPr>
      </w:pPr>
      <w:r>
        <w:rPr>
          <w:rFonts w:hint="eastAsia" w:ascii="宋体" w:hAnsi="宋体" w:cs="宋体"/>
          <w:color w:val="000000"/>
        </w:rPr>
        <w:t>②</w:t>
      </w:r>
      <w:r>
        <w:rPr>
          <w:color w:val="000000"/>
        </w:rPr>
        <w:t>生产装置中大部分负荷属于一、二类负荷，为了将突然停电引发事故的危险降至最低，对于一级用电负荷，选择与用电设备容量相匹配的UPS或EPS电源；二级用电负荷，供电系统采用不同母线段的双回路可靠电源供电；对正常照明发生故障引起操作紊乱并可能造成重大损失的场所设置应急照明。</w:t>
      </w:r>
    </w:p>
    <w:p w14:paraId="69294783">
      <w:pPr>
        <w:ind w:firstLine="480"/>
        <w:rPr>
          <w:color w:val="000000"/>
        </w:rPr>
      </w:pPr>
      <w:r>
        <w:rPr>
          <w:rFonts w:hint="eastAsia" w:ascii="宋体" w:hAnsi="宋体" w:cs="宋体"/>
          <w:color w:val="000000"/>
        </w:rPr>
        <w:t>③</w:t>
      </w:r>
      <w:r>
        <w:rPr>
          <w:color w:val="000000"/>
        </w:rPr>
        <w:t>装置区按《建筑物防雷设计规范》（GB50057-2010）和《工业与民用电力装置的接地设计规范》（GB/T 50065-2011）的规定，设防雷击、防静电接地系统。</w:t>
      </w:r>
    </w:p>
    <w:p w14:paraId="6FA9593C">
      <w:pPr>
        <w:ind w:firstLine="480"/>
        <w:rPr>
          <w:color w:val="000000"/>
        </w:rPr>
      </w:pPr>
      <w:r>
        <w:rPr>
          <w:color w:val="000000"/>
        </w:rPr>
        <w:t>（2）电讯安全措施</w:t>
      </w:r>
    </w:p>
    <w:p w14:paraId="4ED13B2C">
      <w:pPr>
        <w:ind w:firstLine="480"/>
        <w:rPr>
          <w:color w:val="000000"/>
        </w:rPr>
      </w:pPr>
      <w:r>
        <w:rPr>
          <w:rFonts w:hint="eastAsia" w:ascii="宋体" w:hAnsi="宋体" w:cs="宋体"/>
          <w:color w:val="000000"/>
        </w:rPr>
        <w:t>①</w:t>
      </w:r>
      <w:r>
        <w:rPr>
          <w:color w:val="000000"/>
        </w:rPr>
        <w:t>电信网络包括行政管理电话系统和调度电话系统，火灾报警系统、工业电视监视系统、呼叫/对讲系统、无线通讯和接至厂内的市话等线路。电信线路采用以电话分线箱配线为主的放射配线方式，电缆采用沿电缆槽盒敷设方式为主。</w:t>
      </w:r>
    </w:p>
    <w:p w14:paraId="4BD7E1DF">
      <w:pPr>
        <w:ind w:firstLine="480"/>
        <w:rPr>
          <w:color w:val="000000"/>
        </w:rPr>
      </w:pPr>
      <w:r>
        <w:rPr>
          <w:rFonts w:hint="eastAsia" w:ascii="宋体" w:hAnsi="宋体" w:cs="宋体"/>
          <w:color w:val="000000"/>
        </w:rPr>
        <w:t>②</w:t>
      </w:r>
      <w:r>
        <w:rPr>
          <w:color w:val="000000"/>
        </w:rPr>
        <w:t>拟建项目设置一套工业电视监视系统，拟在</w:t>
      </w:r>
      <w:r>
        <w:rPr>
          <w:rFonts w:hint="eastAsia"/>
          <w:color w:val="000000"/>
        </w:rPr>
        <w:t>原料库、</w:t>
      </w:r>
      <w:r>
        <w:rPr>
          <w:color w:val="000000"/>
        </w:rPr>
        <w:t>装置区、罐区等处设置多个摄像点，装置控制室设置监视器，并将视频信号送至全厂总调度室，</w:t>
      </w:r>
      <w:r>
        <w:rPr>
          <w:rFonts w:hint="eastAsia"/>
          <w:color w:val="000000"/>
        </w:rPr>
        <w:t>画面</w:t>
      </w:r>
      <w:r>
        <w:rPr>
          <w:color w:val="000000"/>
        </w:rPr>
        <w:t>可自动或手动切换、分割，摄像机的角度、焦距可以在装置控制室控制。</w:t>
      </w:r>
    </w:p>
    <w:p w14:paraId="34010E84">
      <w:pPr>
        <w:ind w:firstLine="480"/>
        <w:rPr>
          <w:color w:val="000000"/>
        </w:rPr>
      </w:pPr>
      <w:r>
        <w:rPr>
          <w:rFonts w:hint="eastAsia" w:ascii="宋体" w:hAnsi="宋体" w:cs="宋体"/>
          <w:color w:val="000000"/>
        </w:rPr>
        <w:t>③</w:t>
      </w:r>
      <w:r>
        <w:rPr>
          <w:color w:val="000000"/>
        </w:rPr>
        <w:t>各装置区分别安装一套呼叫/对讲子系统。在合适地方安装一套多路合并/分离设备，将各子系统联网，形成一套全厂性的呼叫/对讲系统。采用无主机分散放大呼叫/对讲系统，具有群呼、组呼、双工五通道通话等功能。紧急情况下可进行火灾或事故报警。</w:t>
      </w:r>
    </w:p>
    <w:p w14:paraId="2796A403">
      <w:pPr>
        <w:pStyle w:val="5"/>
        <w:rPr>
          <w:color w:val="000000"/>
        </w:rPr>
      </w:pPr>
      <w:r>
        <w:rPr>
          <w:rFonts w:hint="eastAsia"/>
          <w:color w:val="000000"/>
        </w:rPr>
        <w:t>消防设施</w:t>
      </w:r>
    </w:p>
    <w:p w14:paraId="591EDA8F">
      <w:pPr>
        <w:ind w:firstLine="480"/>
        <w:rPr>
          <w:color w:val="000000"/>
        </w:rPr>
      </w:pPr>
      <w:r>
        <w:rPr>
          <w:color w:val="000000"/>
        </w:rPr>
        <w:t>（1）设计水消防系统和消防管网，管网为环状。</w:t>
      </w:r>
    </w:p>
    <w:p w14:paraId="0FB38721">
      <w:pPr>
        <w:ind w:firstLine="480"/>
        <w:rPr>
          <w:color w:val="000000"/>
        </w:rPr>
      </w:pPr>
      <w:r>
        <w:rPr>
          <w:color w:val="000000"/>
        </w:rPr>
        <w:t>参照《建筑设计防火规范》，全厂同一时间内的火灾处数按1处计算。</w:t>
      </w:r>
    </w:p>
    <w:p w14:paraId="7553B508">
      <w:pPr>
        <w:ind w:firstLine="480"/>
        <w:rPr>
          <w:color w:val="000000"/>
        </w:rPr>
      </w:pPr>
      <w:r>
        <w:rPr>
          <w:rFonts w:hint="eastAsia" w:ascii="宋体" w:hAnsi="宋体" w:cs="宋体"/>
          <w:color w:val="000000"/>
        </w:rPr>
        <w:t>管网压力平时由稳压泵负责，稳压泵自动启停（管网压力降低至某一值时开启），由设置在主管网上的压力开关控制，火灾时高压消防水用量剧增，将使管网压力剧降，当降至某一设定值时，自动启动消防电泵，如压力继续下降，则自动启动备用消防柴油泵，及时提供着火点灭火用水。若紧急情况供电中断时，自动启用柴油消防泵。</w:t>
      </w:r>
    </w:p>
    <w:p w14:paraId="2754EF04">
      <w:pPr>
        <w:ind w:firstLine="480"/>
        <w:rPr>
          <w:color w:val="000000"/>
        </w:rPr>
      </w:pPr>
      <w:r>
        <w:rPr>
          <w:rStyle w:val="162"/>
          <w:rFonts w:hint="eastAsia"/>
          <w:color w:val="000000"/>
        </w:rPr>
        <w:t>（</w:t>
      </w:r>
      <w:r>
        <w:rPr>
          <w:rStyle w:val="162"/>
          <w:color w:val="000000"/>
        </w:rPr>
        <w:t>2</w:t>
      </w:r>
      <w:r>
        <w:rPr>
          <w:rStyle w:val="162"/>
          <w:rFonts w:hint="eastAsia"/>
          <w:color w:val="000000"/>
        </w:rPr>
        <w:t>）</w:t>
      </w:r>
      <w:r>
        <w:rPr>
          <w:rFonts w:hint="eastAsia" w:ascii="宋体" w:hAnsi="宋体" w:cs="宋体"/>
          <w:color w:val="000000"/>
        </w:rPr>
        <w:t>自动喷水灭火系统</w:t>
      </w:r>
      <w:r>
        <w:rPr>
          <w:rFonts w:eastAsia="TimesNewRomanPSMT"/>
          <w:color w:val="000000"/>
        </w:rPr>
        <w:t>/</w:t>
      </w:r>
      <w:r>
        <w:rPr>
          <w:rFonts w:hint="eastAsia" w:ascii="宋体" w:hAnsi="宋体" w:cs="宋体"/>
          <w:color w:val="000000"/>
        </w:rPr>
        <w:t>防火分隔水幕</w:t>
      </w:r>
    </w:p>
    <w:p w14:paraId="006230B8">
      <w:pPr>
        <w:ind w:firstLine="480"/>
        <w:rPr>
          <w:color w:val="000000"/>
        </w:rPr>
      </w:pPr>
      <w:r>
        <w:rPr>
          <w:rFonts w:hint="eastAsia" w:ascii="宋体" w:hAnsi="宋体" w:cs="宋体"/>
          <w:color w:val="000000"/>
        </w:rPr>
        <w:t>根据《建筑设计防火规范（</w:t>
      </w:r>
      <w:r>
        <w:rPr>
          <w:rFonts w:eastAsia="TimesNewRomanPSMT"/>
          <w:color w:val="000000"/>
        </w:rPr>
        <w:t>GB50016-2014</w:t>
      </w:r>
      <w:r>
        <w:rPr>
          <w:rFonts w:hint="eastAsia" w:ascii="宋体" w:hAnsi="宋体" w:cs="宋体"/>
          <w:color w:val="000000"/>
        </w:rPr>
        <w:t>）》（</w:t>
      </w:r>
      <w:r>
        <w:rPr>
          <w:rFonts w:eastAsia="TimesNewRomanPSMT"/>
          <w:color w:val="000000"/>
        </w:rPr>
        <w:t>2018</w:t>
      </w:r>
      <w:r>
        <w:rPr>
          <w:rFonts w:hint="eastAsia" w:ascii="宋体" w:hAnsi="宋体" w:cs="宋体"/>
          <w:color w:val="000000"/>
        </w:rPr>
        <w:t>年版）及《自动喷水灭火系统设计规范》（</w:t>
      </w:r>
      <w:r>
        <w:rPr>
          <w:rFonts w:eastAsia="TimesNewRomanPSMT"/>
          <w:color w:val="000000"/>
        </w:rPr>
        <w:t>GB50084-2017</w:t>
      </w:r>
      <w:r>
        <w:rPr>
          <w:rFonts w:hint="eastAsia" w:ascii="宋体" w:hAnsi="宋体" w:cs="宋体"/>
          <w:color w:val="000000"/>
        </w:rPr>
        <w:t>）的规定，在每座高层乙</w:t>
      </w:r>
      <w:r>
        <w:rPr>
          <w:rFonts w:eastAsia="TimesNewRomanPSMT"/>
          <w:color w:val="000000"/>
        </w:rPr>
        <w:t>/</w:t>
      </w:r>
      <w:r>
        <w:rPr>
          <w:rFonts w:hint="eastAsia" w:ascii="宋体" w:hAnsi="宋体" w:cs="宋体"/>
          <w:color w:val="000000"/>
        </w:rPr>
        <w:t>丙类厂房、占地面积大于</w:t>
      </w:r>
      <w:r>
        <w:rPr>
          <w:rFonts w:eastAsia="TimesNewRomanPSMT"/>
          <w:color w:val="000000"/>
        </w:rPr>
        <w:t>1500m</w:t>
      </w:r>
      <w:r>
        <w:rPr>
          <w:rFonts w:eastAsia="TimesNewRomanPSMT"/>
          <w:color w:val="000000"/>
          <w:vertAlign w:val="superscript"/>
        </w:rPr>
        <w:t>2</w:t>
      </w:r>
      <w:r>
        <w:rPr>
          <w:rFonts w:hint="eastAsia" w:ascii="宋体" w:hAnsi="宋体" w:cs="宋体"/>
          <w:color w:val="000000"/>
        </w:rPr>
        <w:t>，或总建筑面积大于</w:t>
      </w:r>
      <w:r>
        <w:rPr>
          <w:rFonts w:eastAsia="TimesNewRomanPSMT"/>
          <w:color w:val="000000"/>
        </w:rPr>
        <w:t>3000m</w:t>
      </w:r>
      <w:r>
        <w:rPr>
          <w:rFonts w:eastAsia="TimesNewRomanPSMT"/>
          <w:color w:val="000000"/>
          <w:vertAlign w:val="superscript"/>
        </w:rPr>
        <w:t>2</w:t>
      </w:r>
      <w:r>
        <w:rPr>
          <w:rFonts w:hint="eastAsia" w:ascii="宋体" w:hAnsi="宋体" w:cs="宋体"/>
          <w:color w:val="000000"/>
        </w:rPr>
        <w:t>的其他单层或多层丙类物品仓库、设有送回风管道的集中空调系统且总建筑面积超过</w:t>
      </w:r>
      <w:r>
        <w:rPr>
          <w:rFonts w:eastAsia="TimesNewRomanPSMT"/>
          <w:color w:val="000000"/>
        </w:rPr>
        <w:t>3000m</w:t>
      </w:r>
      <w:r>
        <w:rPr>
          <w:rFonts w:eastAsia="TimesNewRomanPSMT"/>
          <w:color w:val="000000"/>
          <w:vertAlign w:val="superscript"/>
        </w:rPr>
        <w:t>2</w:t>
      </w:r>
      <w:r>
        <w:rPr>
          <w:rFonts w:hint="eastAsia" w:ascii="宋体" w:hAnsi="宋体" w:cs="宋体"/>
          <w:color w:val="000000"/>
        </w:rPr>
        <w:t>的办公建筑以及其他依据规范要求的场所设置自动喷水灭火系统设施。</w:t>
      </w:r>
    </w:p>
    <w:p w14:paraId="51F3A22A">
      <w:pPr>
        <w:ind w:firstLine="480"/>
        <w:rPr>
          <w:color w:val="000000"/>
        </w:rPr>
      </w:pPr>
      <w:r>
        <w:rPr>
          <w:rFonts w:hint="eastAsia" w:ascii="宋体" w:hAnsi="宋体" w:cs="宋体"/>
          <w:color w:val="000000"/>
        </w:rPr>
        <w:t>自动喷水灭火系统由报警阀组、水力警铃、压力开关、信号控制阀、水流指示器、管网及闭式喷头等组成。系统喷水强度、作用面积、持续喷水时间按保护场所火灾危险等级情况确定。所需用水由稳高压消防给水系统供给。</w:t>
      </w:r>
    </w:p>
    <w:p w14:paraId="0AA0FC41">
      <w:pPr>
        <w:ind w:firstLine="480"/>
        <w:rPr>
          <w:color w:val="000000"/>
        </w:rPr>
      </w:pPr>
      <w:r>
        <w:rPr>
          <w:rFonts w:hint="eastAsia" w:ascii="宋体" w:hAnsi="宋体" w:cs="宋体"/>
          <w:color w:val="000000"/>
        </w:rPr>
        <w:t>（</w:t>
      </w:r>
      <w:r>
        <w:rPr>
          <w:color w:val="000000"/>
        </w:rPr>
        <w:t>3</w:t>
      </w:r>
      <w:r>
        <w:rPr>
          <w:rFonts w:hint="eastAsia" w:ascii="宋体" w:hAnsi="宋体" w:cs="宋体"/>
          <w:color w:val="000000"/>
        </w:rPr>
        <w:t>）灭火器</w:t>
      </w:r>
    </w:p>
    <w:p w14:paraId="5CFA070E">
      <w:pPr>
        <w:ind w:firstLine="480"/>
        <w:rPr>
          <w:color w:val="000000"/>
        </w:rPr>
      </w:pPr>
      <w:r>
        <w:rPr>
          <w:rFonts w:hint="eastAsia" w:ascii="宋体" w:hAnsi="宋体" w:cs="宋体"/>
          <w:color w:val="000000"/>
        </w:rPr>
        <w:t>根据《建筑灭火器配置设计规范》（</w:t>
      </w:r>
      <w:r>
        <w:rPr>
          <w:rFonts w:eastAsia="TimesNewRomanPSMT"/>
          <w:color w:val="000000"/>
        </w:rPr>
        <w:t>GB50140-2005</w:t>
      </w:r>
      <w:r>
        <w:rPr>
          <w:rFonts w:hint="eastAsia" w:ascii="宋体" w:hAnsi="宋体" w:cs="宋体"/>
          <w:color w:val="000000"/>
        </w:rPr>
        <w:t>）和《石油化工企业设计防火标准（</w:t>
      </w:r>
      <w:r>
        <w:rPr>
          <w:rFonts w:eastAsia="TimesNewRomanPSMT"/>
          <w:color w:val="000000"/>
        </w:rPr>
        <w:t>GB50160-2008</w:t>
      </w:r>
      <w:r>
        <w:rPr>
          <w:rFonts w:hint="eastAsia" w:ascii="宋体" w:hAnsi="宋体" w:cs="宋体"/>
          <w:color w:val="000000"/>
        </w:rPr>
        <w:t>）》（</w:t>
      </w:r>
      <w:r>
        <w:rPr>
          <w:rFonts w:eastAsia="TimesNewRomanPSMT"/>
          <w:color w:val="000000"/>
        </w:rPr>
        <w:t>2018</w:t>
      </w:r>
      <w:r>
        <w:rPr>
          <w:rFonts w:hint="eastAsia" w:ascii="宋体" w:hAnsi="宋体" w:cs="宋体"/>
          <w:color w:val="000000"/>
        </w:rPr>
        <w:t>年版）的规定，以及本工程各建构筑物火灾危险等级的不同，在相应的场所配置不同种类和数量的手提式及推车式移动式灭火器，用以扑救小型初始火灾。</w:t>
      </w:r>
    </w:p>
    <w:p w14:paraId="7EED7BD3">
      <w:pPr>
        <w:ind w:firstLine="480"/>
        <w:rPr>
          <w:color w:val="000000"/>
        </w:rPr>
      </w:pPr>
      <w:r>
        <w:rPr>
          <w:rFonts w:hint="eastAsia" w:ascii="宋体" w:hAnsi="宋体" w:cs="宋体"/>
          <w:color w:val="000000"/>
        </w:rPr>
        <w:t>在控制室、机柜间、计算机室、电信站、化验室、变配电室等处配置适量的手提式</w:t>
      </w:r>
      <w:r>
        <w:rPr>
          <w:rFonts w:eastAsia="TimesNewRomanPSMT"/>
          <w:color w:val="000000"/>
        </w:rPr>
        <w:t>7kg</w:t>
      </w:r>
      <w:r>
        <w:rPr>
          <w:rFonts w:hint="eastAsia" w:ascii="宋体" w:hAnsi="宋体" w:cs="宋体"/>
          <w:color w:val="000000"/>
        </w:rPr>
        <w:t>二氧化碳灭火器、</w:t>
      </w:r>
      <w:r>
        <w:rPr>
          <w:rFonts w:eastAsia="TimesNewRomanPSMT"/>
          <w:color w:val="000000"/>
        </w:rPr>
        <w:t>30kg</w:t>
      </w:r>
      <w:r>
        <w:rPr>
          <w:rFonts w:hint="eastAsia" w:ascii="宋体" w:hAnsi="宋体" w:cs="宋体"/>
          <w:color w:val="000000"/>
        </w:rPr>
        <w:t>推车式二氧化碳灭火器；高、低压变配电室增配适量的</w:t>
      </w:r>
      <w:r>
        <w:rPr>
          <w:rFonts w:eastAsia="TimesNewRomanPSMT"/>
          <w:color w:val="000000"/>
        </w:rPr>
        <w:t>5kg</w:t>
      </w:r>
      <w:r>
        <w:rPr>
          <w:rFonts w:hint="eastAsia" w:ascii="宋体" w:hAnsi="宋体" w:cs="宋体"/>
          <w:color w:val="000000"/>
        </w:rPr>
        <w:t>手提式磷酸铵盐干粉灭火器，其他场所配置适量的</w:t>
      </w:r>
      <w:r>
        <w:rPr>
          <w:rFonts w:eastAsia="TimesNewRomanPSMT"/>
          <w:color w:val="000000"/>
        </w:rPr>
        <w:t>5kg</w:t>
      </w:r>
      <w:r>
        <w:rPr>
          <w:rFonts w:hint="eastAsia" w:ascii="宋体" w:hAnsi="宋体" w:cs="宋体"/>
          <w:color w:val="000000"/>
        </w:rPr>
        <w:t>手提式磷酸铵盐干粉灭火器。</w:t>
      </w:r>
    </w:p>
    <w:p w14:paraId="77B44263">
      <w:pPr>
        <w:ind w:firstLine="480"/>
        <w:rPr>
          <w:color w:val="000000"/>
        </w:rPr>
      </w:pPr>
      <w:r>
        <w:rPr>
          <w:rFonts w:hint="eastAsia" w:ascii="宋体" w:hAnsi="宋体" w:cs="宋体"/>
          <w:color w:val="000000"/>
        </w:rPr>
        <w:t>在工程建设和生产过程中应保证消防设施的投入和落实并定期对消防设施进行检查，积极贯彻</w:t>
      </w:r>
      <w:r>
        <w:rPr>
          <w:color w:val="000000"/>
        </w:rPr>
        <w:t>“</w:t>
      </w:r>
      <w:r>
        <w:rPr>
          <w:rFonts w:hint="eastAsia" w:ascii="宋体" w:hAnsi="宋体" w:cs="宋体"/>
          <w:color w:val="000000"/>
        </w:rPr>
        <w:t>以防为主，防消结合</w:t>
      </w:r>
      <w:r>
        <w:rPr>
          <w:color w:val="000000"/>
        </w:rPr>
        <w:t>”</w:t>
      </w:r>
      <w:r>
        <w:rPr>
          <w:rFonts w:hint="eastAsia" w:ascii="宋体" w:hAnsi="宋体" w:cs="宋体"/>
          <w:color w:val="000000"/>
        </w:rPr>
        <w:t>的方针，长期对职工进行安全和消防教育，提高职工的火灾防范意识，加强生产安全管理，实现安全生产。</w:t>
      </w:r>
    </w:p>
    <w:p w14:paraId="5963D02A">
      <w:pPr>
        <w:pStyle w:val="5"/>
        <w:rPr>
          <w:color w:val="000000"/>
        </w:rPr>
      </w:pPr>
      <w:r>
        <w:rPr>
          <w:color w:val="000000"/>
        </w:rPr>
        <w:t>危废暂存过程风险防范措施</w:t>
      </w:r>
    </w:p>
    <w:p w14:paraId="6535D35E">
      <w:pPr>
        <w:pStyle w:val="117"/>
        <w:ind w:firstLine="480"/>
        <w:rPr>
          <w:color w:val="000000"/>
        </w:rPr>
      </w:pPr>
      <w:r>
        <w:rPr>
          <w:color w:val="000000"/>
        </w:rPr>
        <w:t>本项目应针对危险废物的特性、数量，按照《危险废物贮存污染控制标准》</w:t>
      </w:r>
      <w:r>
        <w:rPr>
          <w:rFonts w:hint="eastAsia"/>
          <w:color w:val="000000"/>
        </w:rPr>
        <w:t>（</w:t>
      </w:r>
      <w:r>
        <w:rPr>
          <w:color w:val="000000"/>
        </w:rPr>
        <w:t>GB18597-2023</w:t>
      </w:r>
      <w:r>
        <w:rPr>
          <w:rFonts w:hint="eastAsia"/>
          <w:color w:val="000000"/>
        </w:rPr>
        <w:t>）</w:t>
      </w:r>
      <w:r>
        <w:rPr>
          <w:color w:val="000000"/>
        </w:rPr>
        <w:t>、《危险废物集中焚烧处置工程建设技术规范》（HJ/T176-2005）等规范要求，做好贮存风险事故防范工作。</w:t>
      </w:r>
    </w:p>
    <w:p w14:paraId="5CFA9D81">
      <w:pPr>
        <w:pStyle w:val="117"/>
        <w:ind w:firstLine="480"/>
        <w:rPr>
          <w:color w:val="000000"/>
          <w:spacing w:val="-4"/>
        </w:rPr>
      </w:pPr>
      <w:r>
        <w:rPr>
          <w:rFonts w:hint="eastAsia"/>
          <w:color w:val="000000"/>
        </w:rPr>
        <w:t>（1）</w:t>
      </w:r>
      <w:r>
        <w:rPr>
          <w:color w:val="000000"/>
          <w:spacing w:val="-12"/>
        </w:rPr>
        <w:t>危险废物贮存场所必须有符合《环境保护图形标志</w:t>
      </w:r>
      <w:r>
        <w:rPr>
          <w:rFonts w:hint="eastAsia"/>
          <w:color w:val="000000"/>
          <w:spacing w:val="-12"/>
        </w:rPr>
        <w:t>－</w:t>
      </w:r>
      <w:r>
        <w:rPr>
          <w:color w:val="000000"/>
          <w:spacing w:val="-10"/>
        </w:rPr>
        <w:t>固体废物</w:t>
      </w:r>
      <w:r>
        <w:rPr>
          <w:color w:val="000000"/>
          <w:spacing w:val="-4"/>
        </w:rPr>
        <w:t>贮存（处置）</w:t>
      </w:r>
      <w:r>
        <w:rPr>
          <w:rFonts w:hint="eastAsia"/>
          <w:color w:val="000000"/>
          <w:spacing w:val="-4"/>
        </w:rPr>
        <w:t>场》</w:t>
      </w:r>
      <w:r>
        <w:rPr>
          <w:color w:val="000000"/>
        </w:rPr>
        <w:t>（GB15562.2-1995）</w:t>
      </w:r>
      <w:r>
        <w:rPr>
          <w:color w:val="000000"/>
          <w:spacing w:val="-1"/>
        </w:rPr>
        <w:t>的专用标志；各仓库暂存区、生产车间必须按储存的危险废物类别分别建设专用的贮存设施。贮存设</w:t>
      </w:r>
      <w:r>
        <w:rPr>
          <w:color w:val="000000"/>
        </w:rPr>
        <w:t>施的地面与裙脚必须用坚固、防渗的材料建造，建筑材料与危险废物不相容（即不相互反应</w:t>
      </w:r>
      <w:r>
        <w:rPr>
          <w:rFonts w:hint="eastAsia"/>
          <w:color w:val="000000"/>
        </w:rPr>
        <w:t>）</w:t>
      </w:r>
      <w:r>
        <w:rPr>
          <w:color w:val="000000"/>
        </w:rPr>
        <w:t>地面与裙脚所</w:t>
      </w:r>
      <w:r>
        <w:rPr>
          <w:color w:val="000000"/>
          <w:spacing w:val="-4"/>
        </w:rPr>
        <w:t>围建的容积不低于堵截最大容器的最大储量或总储量的五分之一。必须有耐腐蚀的硬化地面，且表面无裂隙。</w:t>
      </w:r>
    </w:p>
    <w:p w14:paraId="15794E55">
      <w:pPr>
        <w:pStyle w:val="117"/>
        <w:ind w:firstLine="480"/>
        <w:rPr>
          <w:color w:val="000000"/>
        </w:rPr>
      </w:pPr>
      <w:r>
        <w:rPr>
          <w:rFonts w:hint="eastAsia"/>
          <w:color w:val="000000"/>
        </w:rPr>
        <w:t>（2）</w:t>
      </w:r>
      <w:r>
        <w:rPr>
          <w:color w:val="000000"/>
          <w:spacing w:val="-5"/>
        </w:rPr>
        <w:t>危险废物贮存场</w:t>
      </w:r>
      <w:r>
        <w:rPr>
          <w:color w:val="000000"/>
        </w:rPr>
        <w:t>应进行基础防渗，防渗层为至少1m厚黏土层（渗透系数不大于10</w:t>
      </w:r>
      <w:r>
        <w:rPr>
          <w:color w:val="000000"/>
          <w:vertAlign w:val="superscript"/>
        </w:rPr>
        <w:t>-7</w:t>
      </w:r>
      <w:r>
        <w:rPr>
          <w:color w:val="000000"/>
        </w:rPr>
        <w:t>cm/s），或至少2mm厚高密度聚乙烯膜等人工防渗材料（渗透系数不大于10</w:t>
      </w:r>
      <w:r>
        <w:rPr>
          <w:color w:val="000000"/>
          <w:position w:val="8"/>
          <w:sz w:val="15"/>
          <w:szCs w:val="15"/>
        </w:rPr>
        <w:t>-10</w:t>
      </w:r>
      <w:r>
        <w:rPr>
          <w:color w:val="000000"/>
        </w:rPr>
        <w:t>cm/s</w:t>
      </w:r>
      <w:r>
        <w:rPr>
          <w:rFonts w:hint="eastAsia"/>
          <w:color w:val="000000"/>
        </w:rPr>
        <w:t>），</w:t>
      </w:r>
      <w:r>
        <w:rPr>
          <w:color w:val="000000"/>
        </w:rPr>
        <w:t>防止地面冲洗水意外泄漏造成无组织溢流渗入地下。</w:t>
      </w:r>
    </w:p>
    <w:p w14:paraId="69BEDF01">
      <w:pPr>
        <w:pStyle w:val="117"/>
        <w:ind w:firstLine="480"/>
        <w:rPr>
          <w:color w:val="000000"/>
        </w:rPr>
      </w:pPr>
      <w:r>
        <w:rPr>
          <w:rFonts w:hint="eastAsia"/>
          <w:color w:val="000000"/>
        </w:rPr>
        <w:t>（3）</w:t>
      </w:r>
      <w:r>
        <w:rPr>
          <w:color w:val="000000"/>
        </w:rPr>
        <w:t>在贮存场、车间外部设雨水沟等径流疏导系统。</w:t>
      </w:r>
    </w:p>
    <w:p w14:paraId="5A7E182E">
      <w:pPr>
        <w:pStyle w:val="117"/>
        <w:ind w:firstLine="480"/>
        <w:rPr>
          <w:color w:val="000000"/>
        </w:rPr>
      </w:pPr>
      <w:r>
        <w:rPr>
          <w:rFonts w:hint="eastAsia"/>
          <w:color w:val="000000"/>
        </w:rPr>
        <w:t>（4）</w:t>
      </w:r>
      <w:r>
        <w:rPr>
          <w:color w:val="000000"/>
        </w:rPr>
        <w:t>厂区内应设置截断阀门，发生泄漏时关闭污染物外排途径。</w:t>
      </w:r>
    </w:p>
    <w:p w14:paraId="32728F5A">
      <w:pPr>
        <w:pStyle w:val="5"/>
        <w:rPr>
          <w:color w:val="000000"/>
        </w:rPr>
      </w:pPr>
      <w:r>
        <w:rPr>
          <w:color w:val="000000"/>
        </w:rPr>
        <w:t>火灾事故风险防范措施</w:t>
      </w:r>
    </w:p>
    <w:p w14:paraId="6FF24616">
      <w:pPr>
        <w:pStyle w:val="117"/>
        <w:ind w:firstLine="476"/>
        <w:rPr>
          <w:color w:val="000000"/>
        </w:rPr>
      </w:pPr>
      <w:r>
        <w:rPr>
          <w:color w:val="000000"/>
          <w:spacing w:val="-1"/>
        </w:rPr>
        <w:t>定期对设备进行安全检测，检测内容、时间、人员应有记录保存。安</w:t>
      </w:r>
      <w:r>
        <w:rPr>
          <w:color w:val="000000"/>
        </w:rPr>
        <w:t>全检测应根据安全性、危险性设定检测频次。</w:t>
      </w:r>
    </w:p>
    <w:p w14:paraId="3C77A464">
      <w:pPr>
        <w:pStyle w:val="117"/>
        <w:ind w:firstLine="476"/>
        <w:rPr>
          <w:color w:val="000000"/>
        </w:rPr>
      </w:pPr>
      <w:r>
        <w:rPr>
          <w:color w:val="000000"/>
          <w:spacing w:val="-1"/>
        </w:rPr>
        <w:t>在雨水排放前安装可靠的隔断措施，可在灭火时将此隔断措施关闭，</w:t>
      </w:r>
      <w:r>
        <w:rPr>
          <w:color w:val="000000"/>
        </w:rPr>
        <w:t>防止消防废水直接进入地表水体；</w:t>
      </w:r>
    </w:p>
    <w:p w14:paraId="54EA6778">
      <w:pPr>
        <w:pStyle w:val="117"/>
        <w:ind w:firstLine="476"/>
        <w:rPr>
          <w:color w:val="000000"/>
        </w:rPr>
      </w:pPr>
      <w:r>
        <w:rPr>
          <w:color w:val="000000"/>
          <w:spacing w:val="-1"/>
        </w:rPr>
        <w:t>在厂区边界预先准备适量的沙包，在厂区灭火时堵住厂界围墙有泄漏</w:t>
      </w:r>
      <w:r>
        <w:rPr>
          <w:color w:val="000000"/>
        </w:rPr>
        <w:t>的地方，防止消防废水向场外泄漏；</w:t>
      </w:r>
    </w:p>
    <w:p w14:paraId="3F9049F3">
      <w:pPr>
        <w:pStyle w:val="117"/>
        <w:ind w:firstLine="488"/>
        <w:rPr>
          <w:color w:val="000000"/>
          <w:spacing w:val="1"/>
        </w:rPr>
      </w:pPr>
      <w:r>
        <w:rPr>
          <w:color w:val="000000"/>
          <w:spacing w:val="2"/>
        </w:rPr>
        <w:t>根据《建筑设计防火规范（</w:t>
      </w:r>
      <w:r>
        <w:rPr>
          <w:color w:val="000000"/>
          <w:spacing w:val="-1"/>
        </w:rPr>
        <w:t>G</w:t>
      </w:r>
      <w:r>
        <w:rPr>
          <w:color w:val="000000"/>
          <w:spacing w:val="-2"/>
        </w:rPr>
        <w:t>B</w:t>
      </w:r>
      <w:r>
        <w:rPr>
          <w:color w:val="000000"/>
        </w:rPr>
        <w:t>50016</w:t>
      </w:r>
      <w:r>
        <w:rPr>
          <w:color w:val="000000"/>
          <w:spacing w:val="1"/>
        </w:rPr>
        <w:t>-</w:t>
      </w:r>
      <w:r>
        <w:rPr>
          <w:color w:val="000000"/>
        </w:rPr>
        <w:t>2</w:t>
      </w:r>
      <w:r>
        <w:rPr>
          <w:color w:val="000000"/>
          <w:spacing w:val="2"/>
        </w:rPr>
        <w:t>0</w:t>
      </w:r>
      <w:r>
        <w:rPr>
          <w:color w:val="000000"/>
        </w:rPr>
        <w:t>1</w:t>
      </w:r>
      <w:r>
        <w:rPr>
          <w:color w:val="000000"/>
          <w:spacing w:val="2"/>
        </w:rPr>
        <w:t>4</w:t>
      </w:r>
      <w:r>
        <w:rPr>
          <w:rFonts w:hint="eastAsia"/>
          <w:color w:val="000000"/>
          <w:spacing w:val="2"/>
        </w:rPr>
        <w:t>）（2</w:t>
      </w:r>
      <w:r>
        <w:rPr>
          <w:color w:val="000000"/>
          <w:spacing w:val="2"/>
        </w:rPr>
        <w:t>018</w:t>
      </w:r>
      <w:r>
        <w:rPr>
          <w:rFonts w:hint="eastAsia"/>
          <w:color w:val="000000"/>
          <w:spacing w:val="2"/>
        </w:rPr>
        <w:t>年版）》《消防给水及消火栓系统技术规范（</w:t>
      </w:r>
      <w:r>
        <w:rPr>
          <w:color w:val="000000"/>
          <w:spacing w:val="-1"/>
        </w:rPr>
        <w:t>G</w:t>
      </w:r>
      <w:r>
        <w:rPr>
          <w:color w:val="000000"/>
          <w:spacing w:val="-2"/>
        </w:rPr>
        <w:t>B</w:t>
      </w:r>
      <w:r>
        <w:rPr>
          <w:rFonts w:hint="eastAsia"/>
          <w:color w:val="000000"/>
          <w:spacing w:val="2"/>
        </w:rPr>
        <w:t>50974-2014）》</w:t>
      </w:r>
      <w:r>
        <w:rPr>
          <w:color w:val="000000"/>
          <w:spacing w:val="1"/>
        </w:rPr>
        <w:t>等规范，合理消防应急系统，配置消防设施设备</w:t>
      </w:r>
      <w:r>
        <w:rPr>
          <w:rFonts w:hint="eastAsia"/>
          <w:color w:val="000000"/>
          <w:spacing w:val="1"/>
        </w:rPr>
        <w:t>。</w:t>
      </w:r>
    </w:p>
    <w:p w14:paraId="1D71C393">
      <w:pPr>
        <w:pStyle w:val="138"/>
        <w:ind w:firstLine="480"/>
        <w:rPr>
          <w:rFonts w:hint="eastAsia"/>
          <w:color w:val="000000"/>
        </w:rPr>
      </w:pPr>
      <w:r>
        <w:rPr>
          <w:rFonts w:hint="eastAsia"/>
          <w:color w:val="000000"/>
        </w:rPr>
        <w:t>环境风险减缓措施</w:t>
      </w:r>
    </w:p>
    <w:p w14:paraId="30689F24">
      <w:pPr>
        <w:pStyle w:val="5"/>
        <w:rPr>
          <w:color w:val="000000"/>
        </w:rPr>
      </w:pPr>
      <w:r>
        <w:rPr>
          <w:color w:val="000000"/>
        </w:rPr>
        <w:t>水环境风险</w:t>
      </w:r>
      <w:r>
        <w:rPr>
          <w:rFonts w:hint="eastAsia"/>
          <w:color w:val="000000"/>
        </w:rPr>
        <w:t>减缓</w:t>
      </w:r>
      <w:r>
        <w:rPr>
          <w:color w:val="000000"/>
        </w:rPr>
        <w:t>措施</w:t>
      </w:r>
    </w:p>
    <w:p w14:paraId="38ADFF85">
      <w:pPr>
        <w:ind w:firstLine="480"/>
        <w:rPr>
          <w:color w:val="000000"/>
        </w:rPr>
      </w:pPr>
      <w:r>
        <w:rPr>
          <w:rFonts w:hint="eastAsia" w:ascii="宋体" w:hAnsi="宋体" w:cs="宋体"/>
          <w:color w:val="000000"/>
        </w:rPr>
        <w:t>事故工况下，各生产装置和辅助生产装置界区内污染的消防排水、事故污水汇入事故水池。事故后，将事故废水暂存的废水用泵排至废水处理车间处理。本设计对事故废水设置如下防控措施，防止其污染外环境：</w:t>
      </w:r>
    </w:p>
    <w:p w14:paraId="06306A2F">
      <w:pPr>
        <w:ind w:firstLine="480"/>
        <w:rPr>
          <w:color w:val="000000"/>
        </w:rPr>
      </w:pPr>
      <w:r>
        <w:rPr>
          <w:rFonts w:hint="eastAsia" w:ascii="宋体" w:hAnsi="宋体"/>
          <w:color w:val="000000"/>
        </w:rPr>
        <w:t>①</w:t>
      </w:r>
      <w:r>
        <w:rPr>
          <w:rFonts w:hint="eastAsia" w:ascii="宋体" w:hAnsi="宋体" w:cs="宋体"/>
          <w:color w:val="000000"/>
        </w:rPr>
        <w:t>在生产车间外设置围堰，防止污染雨水和轻微泄漏造成的环境污染。</w:t>
      </w:r>
    </w:p>
    <w:p w14:paraId="0A6650E3">
      <w:pPr>
        <w:ind w:firstLine="480"/>
        <w:rPr>
          <w:color w:val="000000"/>
        </w:rPr>
      </w:pPr>
      <w:r>
        <w:rPr>
          <w:rFonts w:hint="eastAsia" w:ascii="宋体" w:hAnsi="宋体" w:cs="宋体"/>
          <w:color w:val="000000"/>
        </w:rPr>
        <w:t>工艺生产装置根据污染物性质进行污染区划分，污染区设置围堰或地沟，将初期雨水、地面冲洗水、检修可能产生的含油污水和污染消防排水导入各装置界区的初期雨水池。</w:t>
      </w:r>
    </w:p>
    <w:p w14:paraId="1239D6B4">
      <w:pPr>
        <w:ind w:firstLine="480"/>
        <w:rPr>
          <w:color w:val="000000"/>
        </w:rPr>
      </w:pPr>
      <w:r>
        <w:rPr>
          <w:rFonts w:hint="eastAsia" w:ascii="宋体" w:hAnsi="宋体"/>
          <w:color w:val="000000"/>
        </w:rPr>
        <w:t>②</w:t>
      </w:r>
      <w:bookmarkStart w:id="697" w:name="_Hlk120293930"/>
      <w:r>
        <w:rPr>
          <w:rFonts w:hint="eastAsia"/>
          <w:color w:val="000000"/>
        </w:rPr>
        <w:t>厂区</w:t>
      </w:r>
      <w:r>
        <w:rPr>
          <w:color w:val="000000"/>
        </w:rPr>
        <w:t>设置一座事故水池。一般情况下，在降雨及较大事故同时发生时，利用全厂雨水管网作为事故排污管道，通过事故污水连通管上的闸门切换，将事故过程中产生的消防废水、泄漏物料及事故过程中可能受污染的雨水等导入全厂消防事故水池。</w:t>
      </w:r>
      <w:bookmarkEnd w:id="697"/>
    </w:p>
    <w:p w14:paraId="4FEE80BF">
      <w:pPr>
        <w:ind w:firstLine="480"/>
        <w:rPr>
          <w:rFonts w:hint="eastAsia" w:ascii="宋体" w:hAnsi="宋体" w:cs="宋体"/>
          <w:color w:val="000000"/>
        </w:rPr>
      </w:pPr>
      <w:r>
        <w:rPr>
          <w:rFonts w:hint="eastAsia" w:ascii="宋体" w:hAnsi="宋体" w:cs="宋体"/>
          <w:color w:val="000000"/>
        </w:rPr>
        <w:t>事故池在非事故状态下不得占用，以保证可以随时容纳可能发生的事故产生的废水。企业应设计有效防止泄漏物质、消防水、污染雨水等扩散至外环境的收集、导流、拦截、降污等环境风险防范设施。对排入应急事故水池的废水应进行必要的监测，能够回用的回用；对不符合回用要求，但符合废水处理车间进水要求的废水，应限流进入废水处理车间进行处理；对不符合废水处理车间进水要求的废水，应采取处理措施或外送处理。</w:t>
      </w:r>
    </w:p>
    <w:p w14:paraId="0BCDF290">
      <w:pPr>
        <w:pStyle w:val="257"/>
        <w:ind w:firstLine="480"/>
        <w:rPr>
          <w:color w:val="000000"/>
        </w:rPr>
      </w:pPr>
      <w:r>
        <w:rPr>
          <w:rFonts w:hint="eastAsia" w:ascii="宋体" w:hAnsi="宋体" w:eastAsia="宋体"/>
          <w:color w:val="000000"/>
        </w:rPr>
        <w:t>③</w:t>
      </w:r>
      <w:r>
        <w:rPr>
          <w:rFonts w:hint="eastAsia" w:ascii="宋体" w:hAnsi="宋体" w:eastAsia="宋体" w:cs="宋体"/>
          <w:color w:val="000000"/>
        </w:rPr>
        <w:t>本工程末端事故水池容积合理性分析</w:t>
      </w:r>
    </w:p>
    <w:p w14:paraId="76DF2340">
      <w:pPr>
        <w:pStyle w:val="257"/>
        <w:ind w:firstLine="480"/>
        <w:rPr>
          <w:color w:val="000000"/>
        </w:rPr>
      </w:pPr>
      <w:r>
        <w:rPr>
          <w:rFonts w:hint="eastAsia" w:ascii="宋体" w:hAnsi="宋体" w:eastAsia="宋体" w:cs="宋体"/>
          <w:color w:val="000000"/>
        </w:rPr>
        <w:t>当发生环境风险事故时，事故废水的产生量主要考虑消防水量、事故时的降雨量以及泄漏的物料量三个方面。本评价参照《事故状态下水体污染的预防与控制技术要求》（</w:t>
      </w:r>
      <w:r>
        <w:rPr>
          <w:color w:val="000000"/>
        </w:rPr>
        <w:t>Q/SY1190-2013</w:t>
      </w:r>
      <w:r>
        <w:rPr>
          <w:rFonts w:hint="eastAsia" w:ascii="宋体" w:hAnsi="宋体" w:eastAsia="宋体" w:cs="宋体"/>
          <w:color w:val="000000"/>
        </w:rPr>
        <w:t>）核算消防事故水池设计容积是否满足要求。</w:t>
      </w:r>
    </w:p>
    <w:p w14:paraId="69583D24">
      <w:pPr>
        <w:pStyle w:val="257"/>
        <w:ind w:firstLine="480"/>
        <w:rPr>
          <w:color w:val="000000"/>
        </w:rPr>
      </w:pPr>
      <w:r>
        <w:rPr>
          <w:rFonts w:hint="eastAsia" w:ascii="宋体" w:hAnsi="宋体" w:cs="宋体"/>
          <w:color w:val="000000"/>
        </w:rPr>
        <w:t>事故储存设施总有效容积计算公式为：</w:t>
      </w:r>
    </w:p>
    <w:p w14:paraId="792E87AF">
      <w:pPr>
        <w:pStyle w:val="257"/>
        <w:ind w:firstLine="480"/>
        <w:jc w:val="center"/>
        <w:rPr>
          <w:color w:val="000000"/>
          <w:lang w:val="en-US"/>
        </w:rPr>
      </w:pPr>
      <w:r>
        <w:rPr>
          <w:rFonts w:hint="eastAsia"/>
          <w:color w:val="000000"/>
          <w:lang w:val="en-US"/>
        </w:rPr>
        <w:t>V=</w:t>
      </w:r>
      <w:r>
        <w:rPr>
          <w:rFonts w:hint="eastAsia" w:ascii="宋体" w:hAnsi="宋体" w:eastAsia="宋体" w:cs="宋体"/>
          <w:color w:val="000000"/>
          <w:lang w:val="en-US"/>
        </w:rPr>
        <w:t>（</w:t>
      </w:r>
      <w:r>
        <w:rPr>
          <w:rFonts w:hint="eastAsia"/>
          <w:color w:val="000000"/>
          <w:lang w:val="en-US"/>
        </w:rPr>
        <w:t>V</w:t>
      </w:r>
      <w:r>
        <w:rPr>
          <w:rFonts w:hint="eastAsia"/>
          <w:color w:val="000000"/>
          <w:vertAlign w:val="subscript"/>
          <w:lang w:val="en-US"/>
        </w:rPr>
        <w:t>l</w:t>
      </w:r>
      <w:r>
        <w:rPr>
          <w:rFonts w:hint="eastAsia"/>
          <w:color w:val="000000"/>
          <w:lang w:val="en-US"/>
        </w:rPr>
        <w:t>+V</w:t>
      </w:r>
      <w:r>
        <w:rPr>
          <w:rFonts w:hint="eastAsia"/>
          <w:color w:val="000000"/>
          <w:vertAlign w:val="subscript"/>
          <w:lang w:val="en-US"/>
        </w:rPr>
        <w:t>2</w:t>
      </w:r>
      <w:r>
        <w:rPr>
          <w:rFonts w:hint="eastAsia" w:ascii="宋体" w:hAnsi="宋体" w:eastAsia="宋体" w:cs="宋体"/>
          <w:color w:val="000000"/>
          <w:lang w:val="en-US"/>
        </w:rPr>
        <w:t>-</w:t>
      </w:r>
      <w:r>
        <w:rPr>
          <w:rFonts w:hint="eastAsia"/>
          <w:color w:val="000000"/>
          <w:lang w:val="en-US"/>
        </w:rPr>
        <w:t>V</w:t>
      </w:r>
      <w:r>
        <w:rPr>
          <w:rFonts w:hint="eastAsia"/>
          <w:color w:val="000000"/>
          <w:vertAlign w:val="subscript"/>
          <w:lang w:val="en-US"/>
        </w:rPr>
        <w:t>3</w:t>
      </w:r>
      <w:r>
        <w:rPr>
          <w:rFonts w:hint="eastAsia" w:eastAsia="宋体"/>
          <w:color w:val="000000"/>
          <w:lang w:val="en-US"/>
        </w:rPr>
        <w:t>）</w:t>
      </w:r>
      <w:r>
        <w:rPr>
          <w:rFonts w:hint="eastAsia"/>
          <w:color w:val="000000"/>
          <w:lang w:val="en-US"/>
        </w:rPr>
        <w:t>max+V</w:t>
      </w:r>
      <w:r>
        <w:rPr>
          <w:rFonts w:hint="eastAsia"/>
          <w:color w:val="000000"/>
          <w:vertAlign w:val="subscript"/>
          <w:lang w:val="en-US"/>
        </w:rPr>
        <w:t>4</w:t>
      </w:r>
      <w:r>
        <w:rPr>
          <w:rFonts w:hint="eastAsia"/>
          <w:color w:val="000000"/>
          <w:lang w:val="en-US"/>
        </w:rPr>
        <w:t>+V</w:t>
      </w:r>
      <w:r>
        <w:rPr>
          <w:rFonts w:hint="eastAsia"/>
          <w:color w:val="000000"/>
          <w:vertAlign w:val="subscript"/>
          <w:lang w:val="en-US"/>
        </w:rPr>
        <w:t>5</w:t>
      </w:r>
    </w:p>
    <w:p w14:paraId="09183D36">
      <w:pPr>
        <w:pStyle w:val="257"/>
        <w:ind w:firstLine="480"/>
        <w:rPr>
          <w:color w:val="000000"/>
        </w:rPr>
      </w:pPr>
      <w:r>
        <w:rPr>
          <w:rFonts w:hint="eastAsia" w:ascii="宋体" w:hAnsi="宋体" w:eastAsia="宋体" w:cs="宋体"/>
          <w:color w:val="000000"/>
        </w:rPr>
        <w:t>式中：</w:t>
      </w:r>
    </w:p>
    <w:p w14:paraId="01F1052E">
      <w:pPr>
        <w:pStyle w:val="257"/>
        <w:ind w:firstLine="1050" w:firstLineChars="500"/>
        <w:rPr>
          <w:color w:val="000000"/>
          <w:sz w:val="21"/>
        </w:rPr>
      </w:pPr>
      <w:r>
        <w:rPr>
          <w:rFonts w:hint="eastAsia"/>
          <w:color w:val="000000"/>
          <w:sz w:val="21"/>
        </w:rPr>
        <w:t>V—</w:t>
      </w:r>
      <w:r>
        <w:rPr>
          <w:rFonts w:hint="eastAsia" w:ascii="宋体" w:hAnsi="宋体" w:eastAsia="宋体" w:cs="宋体"/>
          <w:color w:val="000000"/>
          <w:sz w:val="21"/>
        </w:rPr>
        <w:t>事故水池的有效容积（</w:t>
      </w:r>
      <w:r>
        <w:rPr>
          <w:rFonts w:hint="eastAsia"/>
          <w:color w:val="000000"/>
          <w:sz w:val="21"/>
        </w:rPr>
        <w:t>m</w:t>
      </w:r>
      <w:r>
        <w:rPr>
          <w:rFonts w:hint="eastAsia"/>
          <w:color w:val="000000"/>
          <w:sz w:val="21"/>
          <w:vertAlign w:val="superscript"/>
        </w:rPr>
        <w:t>3</w:t>
      </w:r>
      <w:r>
        <w:rPr>
          <w:rFonts w:hint="eastAsia" w:ascii="宋体" w:hAnsi="宋体" w:eastAsia="宋体" w:cs="宋体"/>
          <w:color w:val="000000"/>
          <w:sz w:val="21"/>
        </w:rPr>
        <w:t>）</w:t>
      </w:r>
    </w:p>
    <w:p w14:paraId="166070E8">
      <w:pPr>
        <w:pStyle w:val="257"/>
        <w:ind w:firstLine="1050" w:firstLineChars="500"/>
        <w:rPr>
          <w:color w:val="000000"/>
          <w:sz w:val="21"/>
        </w:rPr>
      </w:pPr>
      <w:r>
        <w:rPr>
          <w:rFonts w:hint="eastAsia"/>
          <w:color w:val="000000"/>
          <w:sz w:val="21"/>
        </w:rPr>
        <w:t>V</w:t>
      </w:r>
      <w:r>
        <w:rPr>
          <w:rFonts w:hint="eastAsia"/>
          <w:color w:val="000000"/>
          <w:sz w:val="21"/>
          <w:vertAlign w:val="subscript"/>
        </w:rPr>
        <w:t>l</w:t>
      </w:r>
      <w:r>
        <w:rPr>
          <w:rFonts w:hint="eastAsia"/>
          <w:color w:val="000000"/>
          <w:sz w:val="21"/>
        </w:rPr>
        <w:t>—</w:t>
      </w:r>
      <w:r>
        <w:rPr>
          <w:rFonts w:hint="eastAsia" w:ascii="宋体" w:hAnsi="宋体" w:eastAsia="宋体" w:cs="宋体"/>
          <w:color w:val="000000"/>
          <w:sz w:val="21"/>
        </w:rPr>
        <w:t>收集系统范围内发生事故的物料量（</w:t>
      </w:r>
      <w:r>
        <w:rPr>
          <w:rFonts w:hint="eastAsia"/>
          <w:color w:val="000000"/>
          <w:sz w:val="21"/>
        </w:rPr>
        <w:t>m</w:t>
      </w:r>
      <w:r>
        <w:rPr>
          <w:rFonts w:hint="eastAsia"/>
          <w:color w:val="000000"/>
          <w:sz w:val="21"/>
          <w:vertAlign w:val="superscript"/>
        </w:rPr>
        <w:t>3</w:t>
      </w:r>
      <w:r>
        <w:rPr>
          <w:rFonts w:hint="eastAsia" w:ascii="宋体" w:hAnsi="宋体" w:eastAsia="宋体" w:cs="宋体"/>
          <w:color w:val="000000"/>
          <w:sz w:val="21"/>
        </w:rPr>
        <w:t>）；</w:t>
      </w:r>
    </w:p>
    <w:p w14:paraId="0CD83ACB">
      <w:pPr>
        <w:pStyle w:val="257"/>
        <w:ind w:firstLine="1050" w:firstLineChars="500"/>
        <w:rPr>
          <w:color w:val="000000"/>
          <w:sz w:val="21"/>
        </w:rPr>
      </w:pPr>
      <w:r>
        <w:rPr>
          <w:rFonts w:hint="eastAsia"/>
          <w:color w:val="000000"/>
          <w:sz w:val="21"/>
        </w:rPr>
        <w:t>V</w:t>
      </w:r>
      <w:r>
        <w:rPr>
          <w:rFonts w:hint="eastAsia"/>
          <w:color w:val="000000"/>
          <w:sz w:val="21"/>
          <w:vertAlign w:val="subscript"/>
        </w:rPr>
        <w:t>2</w:t>
      </w:r>
      <w:r>
        <w:rPr>
          <w:rFonts w:hint="eastAsia"/>
          <w:color w:val="000000"/>
          <w:sz w:val="21"/>
        </w:rPr>
        <w:t>—</w:t>
      </w:r>
      <w:r>
        <w:rPr>
          <w:rFonts w:hint="eastAsia" w:ascii="宋体" w:hAnsi="宋体" w:eastAsia="宋体" w:cs="宋体"/>
          <w:color w:val="000000"/>
          <w:sz w:val="21"/>
        </w:rPr>
        <w:t>发生事故的储罐、装置或铁路、汽车装卸区的消防水量（</w:t>
      </w:r>
      <w:r>
        <w:rPr>
          <w:rFonts w:hint="eastAsia"/>
          <w:color w:val="000000"/>
          <w:sz w:val="21"/>
        </w:rPr>
        <w:t>m</w:t>
      </w:r>
      <w:r>
        <w:rPr>
          <w:rFonts w:hint="eastAsia"/>
          <w:color w:val="000000"/>
          <w:sz w:val="21"/>
          <w:vertAlign w:val="superscript"/>
        </w:rPr>
        <w:t>3</w:t>
      </w:r>
      <w:r>
        <w:rPr>
          <w:rFonts w:hint="eastAsia" w:ascii="宋体" w:hAnsi="宋体" w:eastAsia="宋体" w:cs="宋体"/>
          <w:color w:val="000000"/>
          <w:sz w:val="21"/>
        </w:rPr>
        <w:t>）；</w:t>
      </w:r>
    </w:p>
    <w:p w14:paraId="5E54454D">
      <w:pPr>
        <w:pStyle w:val="257"/>
        <w:ind w:firstLine="1050" w:firstLineChars="500"/>
        <w:rPr>
          <w:color w:val="000000"/>
          <w:sz w:val="21"/>
        </w:rPr>
      </w:pPr>
      <w:r>
        <w:rPr>
          <w:rFonts w:hint="eastAsia"/>
          <w:color w:val="000000"/>
          <w:sz w:val="21"/>
        </w:rPr>
        <w:t>V</w:t>
      </w:r>
      <w:r>
        <w:rPr>
          <w:rFonts w:hint="eastAsia"/>
          <w:color w:val="000000"/>
          <w:sz w:val="21"/>
          <w:vertAlign w:val="subscript"/>
        </w:rPr>
        <w:t>3</w:t>
      </w:r>
      <w:r>
        <w:rPr>
          <w:rFonts w:hint="eastAsia"/>
          <w:color w:val="000000"/>
          <w:sz w:val="21"/>
        </w:rPr>
        <w:t>—</w:t>
      </w:r>
      <w:r>
        <w:rPr>
          <w:rFonts w:hint="eastAsia" w:ascii="宋体" w:hAnsi="宋体" w:eastAsia="宋体" w:cs="宋体"/>
          <w:color w:val="000000"/>
          <w:sz w:val="21"/>
        </w:rPr>
        <w:t>发生事故时可以转输到其他储存或处理设施的物料量（</w:t>
      </w:r>
      <w:r>
        <w:rPr>
          <w:rFonts w:hint="eastAsia"/>
          <w:color w:val="000000"/>
          <w:sz w:val="21"/>
        </w:rPr>
        <w:t>m</w:t>
      </w:r>
      <w:r>
        <w:rPr>
          <w:rFonts w:hint="eastAsia"/>
          <w:color w:val="000000"/>
          <w:sz w:val="21"/>
          <w:vertAlign w:val="superscript"/>
        </w:rPr>
        <w:t>3</w:t>
      </w:r>
      <w:r>
        <w:rPr>
          <w:rFonts w:hint="eastAsia" w:ascii="宋体" w:hAnsi="宋体" w:eastAsia="宋体" w:cs="宋体"/>
          <w:color w:val="000000"/>
          <w:sz w:val="21"/>
        </w:rPr>
        <w:t>）；</w:t>
      </w:r>
    </w:p>
    <w:p w14:paraId="61F386B8">
      <w:pPr>
        <w:pStyle w:val="257"/>
        <w:ind w:firstLine="1050" w:firstLineChars="500"/>
        <w:rPr>
          <w:color w:val="000000"/>
          <w:sz w:val="21"/>
        </w:rPr>
      </w:pPr>
      <w:r>
        <w:rPr>
          <w:rFonts w:hint="eastAsia"/>
          <w:color w:val="000000"/>
          <w:sz w:val="21"/>
        </w:rPr>
        <w:t>V</w:t>
      </w:r>
      <w:r>
        <w:rPr>
          <w:rFonts w:hint="eastAsia"/>
          <w:color w:val="000000"/>
          <w:sz w:val="21"/>
          <w:vertAlign w:val="subscript"/>
        </w:rPr>
        <w:t>4</w:t>
      </w:r>
      <w:r>
        <w:rPr>
          <w:rFonts w:hint="eastAsia"/>
          <w:color w:val="000000"/>
          <w:sz w:val="21"/>
        </w:rPr>
        <w:t>—</w:t>
      </w:r>
      <w:r>
        <w:rPr>
          <w:rFonts w:hint="eastAsia" w:ascii="宋体" w:hAnsi="宋体" w:eastAsia="宋体" w:cs="宋体"/>
          <w:color w:val="000000"/>
          <w:sz w:val="21"/>
        </w:rPr>
        <w:t>发生事故时仍必须进入该收集系统的生产废水量（</w:t>
      </w:r>
      <w:r>
        <w:rPr>
          <w:rFonts w:hint="eastAsia"/>
          <w:color w:val="000000"/>
          <w:sz w:val="21"/>
        </w:rPr>
        <w:t>m</w:t>
      </w:r>
      <w:r>
        <w:rPr>
          <w:rFonts w:hint="eastAsia"/>
          <w:color w:val="000000"/>
          <w:sz w:val="21"/>
          <w:vertAlign w:val="superscript"/>
        </w:rPr>
        <w:t>3</w:t>
      </w:r>
      <w:r>
        <w:rPr>
          <w:rFonts w:hint="eastAsia" w:ascii="宋体" w:hAnsi="宋体" w:eastAsia="宋体" w:cs="宋体"/>
          <w:color w:val="000000"/>
          <w:sz w:val="21"/>
        </w:rPr>
        <w:t>）；</w:t>
      </w:r>
    </w:p>
    <w:p w14:paraId="56842253">
      <w:pPr>
        <w:pStyle w:val="257"/>
        <w:ind w:firstLine="1050" w:firstLineChars="500"/>
        <w:rPr>
          <w:color w:val="000000"/>
          <w:sz w:val="21"/>
        </w:rPr>
      </w:pPr>
      <w:r>
        <w:rPr>
          <w:rFonts w:hint="eastAsia"/>
          <w:color w:val="000000"/>
          <w:sz w:val="21"/>
        </w:rPr>
        <w:t>V</w:t>
      </w:r>
      <w:r>
        <w:rPr>
          <w:rFonts w:hint="eastAsia"/>
          <w:color w:val="000000"/>
          <w:sz w:val="21"/>
          <w:vertAlign w:val="subscript"/>
        </w:rPr>
        <w:t>5</w:t>
      </w:r>
      <w:r>
        <w:rPr>
          <w:rFonts w:hint="eastAsia"/>
          <w:color w:val="000000"/>
          <w:sz w:val="21"/>
        </w:rPr>
        <w:t>—</w:t>
      </w:r>
      <w:r>
        <w:rPr>
          <w:rFonts w:hint="eastAsia" w:ascii="宋体" w:hAnsi="宋体" w:eastAsia="宋体" w:cs="宋体"/>
          <w:color w:val="000000"/>
          <w:sz w:val="21"/>
        </w:rPr>
        <w:t>发生事故时可能进入该收集系统的降雨量（</w:t>
      </w:r>
      <w:r>
        <w:rPr>
          <w:rFonts w:hint="eastAsia"/>
          <w:color w:val="000000"/>
          <w:sz w:val="21"/>
        </w:rPr>
        <w:t>m</w:t>
      </w:r>
      <w:r>
        <w:rPr>
          <w:rFonts w:hint="eastAsia"/>
          <w:color w:val="000000"/>
          <w:sz w:val="21"/>
          <w:vertAlign w:val="superscript"/>
        </w:rPr>
        <w:t>3</w:t>
      </w:r>
      <w:r>
        <w:rPr>
          <w:rFonts w:hint="eastAsia" w:ascii="宋体" w:hAnsi="宋体" w:eastAsia="宋体" w:cs="宋体"/>
          <w:color w:val="000000"/>
          <w:sz w:val="21"/>
        </w:rPr>
        <w:t>）。</w:t>
      </w:r>
    </w:p>
    <w:p w14:paraId="2625B00F">
      <w:pPr>
        <w:pStyle w:val="257"/>
        <w:ind w:firstLine="1050" w:firstLineChars="500"/>
        <w:rPr>
          <w:color w:val="000000"/>
          <w:sz w:val="21"/>
        </w:rPr>
      </w:pPr>
      <w:r>
        <w:rPr>
          <w:rFonts w:hint="eastAsia"/>
          <w:color w:val="000000"/>
          <w:sz w:val="21"/>
        </w:rPr>
        <w:t>V</w:t>
      </w:r>
      <w:r>
        <w:rPr>
          <w:rFonts w:hint="eastAsia"/>
          <w:color w:val="000000"/>
          <w:sz w:val="21"/>
          <w:vertAlign w:val="subscript"/>
        </w:rPr>
        <w:t>5</w:t>
      </w:r>
      <w:r>
        <w:rPr>
          <w:rFonts w:hint="eastAsia"/>
          <w:color w:val="000000"/>
          <w:sz w:val="21"/>
        </w:rPr>
        <w:t>=10×q×F</w:t>
      </w:r>
    </w:p>
    <w:p w14:paraId="0EDFE421">
      <w:pPr>
        <w:pStyle w:val="257"/>
        <w:ind w:firstLine="1050" w:firstLineChars="500"/>
        <w:rPr>
          <w:color w:val="000000"/>
          <w:sz w:val="21"/>
        </w:rPr>
      </w:pPr>
      <w:r>
        <w:rPr>
          <w:rFonts w:hint="eastAsia" w:ascii="宋体" w:hAnsi="宋体" w:eastAsia="宋体" w:cs="宋体"/>
          <w:color w:val="000000"/>
          <w:sz w:val="21"/>
        </w:rPr>
        <w:t>式中：</w:t>
      </w:r>
      <w:r>
        <w:rPr>
          <w:rFonts w:hint="eastAsia"/>
          <w:color w:val="000000"/>
          <w:sz w:val="21"/>
        </w:rPr>
        <w:t>q—</w:t>
      </w:r>
      <w:r>
        <w:rPr>
          <w:rFonts w:hint="eastAsia" w:ascii="宋体" w:hAnsi="宋体" w:eastAsia="宋体" w:cs="宋体"/>
          <w:color w:val="000000"/>
          <w:sz w:val="21"/>
        </w:rPr>
        <w:t>降雨强度（</w:t>
      </w:r>
      <w:r>
        <w:rPr>
          <w:rFonts w:hint="eastAsia"/>
          <w:color w:val="000000"/>
          <w:sz w:val="21"/>
        </w:rPr>
        <w:t>mm</w:t>
      </w:r>
      <w:r>
        <w:rPr>
          <w:rFonts w:hint="eastAsia" w:ascii="宋体" w:hAnsi="宋体" w:eastAsia="宋体" w:cs="宋体"/>
          <w:color w:val="000000"/>
          <w:sz w:val="21"/>
        </w:rPr>
        <w:t>），按平均日降雨量计；</w:t>
      </w:r>
    </w:p>
    <w:p w14:paraId="3E3F6DB3">
      <w:pPr>
        <w:pStyle w:val="257"/>
        <w:ind w:firstLine="1680" w:firstLineChars="800"/>
        <w:rPr>
          <w:rFonts w:hint="eastAsia" w:ascii="宋体" w:hAnsi="宋体" w:eastAsia="宋体" w:cs="宋体"/>
          <w:color w:val="000000"/>
          <w:sz w:val="21"/>
        </w:rPr>
      </w:pPr>
      <w:r>
        <w:rPr>
          <w:rFonts w:hint="eastAsia"/>
          <w:color w:val="000000"/>
          <w:sz w:val="21"/>
        </w:rPr>
        <w:t>F—</w:t>
      </w:r>
      <w:r>
        <w:rPr>
          <w:rFonts w:hint="eastAsia" w:ascii="宋体" w:hAnsi="宋体" w:eastAsia="宋体" w:cs="宋体"/>
          <w:color w:val="000000"/>
          <w:sz w:val="21"/>
        </w:rPr>
        <w:t>必须进入事故废水收集系统的雨水汇水面积（</w:t>
      </w:r>
      <w:r>
        <w:rPr>
          <w:rFonts w:hint="eastAsia"/>
          <w:color w:val="000000"/>
          <w:sz w:val="21"/>
        </w:rPr>
        <w:t>hm</w:t>
      </w:r>
      <w:r>
        <w:rPr>
          <w:rFonts w:hint="eastAsia"/>
          <w:color w:val="000000"/>
          <w:sz w:val="21"/>
          <w:vertAlign w:val="superscript"/>
        </w:rPr>
        <w:t>2</w:t>
      </w:r>
      <w:r>
        <w:rPr>
          <w:rFonts w:hint="eastAsia" w:ascii="宋体" w:hAnsi="宋体" w:eastAsia="宋体" w:cs="宋体"/>
          <w:color w:val="000000"/>
          <w:sz w:val="21"/>
        </w:rPr>
        <w:t>）</w:t>
      </w:r>
    </w:p>
    <w:p w14:paraId="22605035">
      <w:pPr>
        <w:pStyle w:val="118"/>
        <w:ind w:firstLine="480"/>
      </w:pPr>
      <w:r>
        <w:rPr>
          <w:rFonts w:hint="eastAsia"/>
        </w:rPr>
        <w:t>表7.8-1</w:t>
      </w:r>
      <w:r>
        <w:t xml:space="preserve">   </w:t>
      </w:r>
      <w:r>
        <w:rPr>
          <w:rFonts w:hint="eastAsia"/>
        </w:rPr>
        <w:t>事故水池容积核算</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26"/>
        <w:gridCol w:w="6329"/>
        <w:gridCol w:w="1850"/>
      </w:tblGrid>
      <w:tr w14:paraId="7A7DC3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605" w:type="pct"/>
            <w:vAlign w:val="center"/>
          </w:tcPr>
          <w:p w14:paraId="63F1D579">
            <w:pPr>
              <w:pStyle w:val="392"/>
              <w:rPr>
                <w:b/>
                <w:bCs/>
              </w:rPr>
            </w:pPr>
            <w:r>
              <w:rPr>
                <w:rFonts w:hint="eastAsia"/>
                <w:b/>
                <w:bCs/>
              </w:rPr>
              <w:t>符号</w:t>
            </w:r>
          </w:p>
        </w:tc>
        <w:tc>
          <w:tcPr>
            <w:tcW w:w="3400" w:type="pct"/>
            <w:vAlign w:val="center"/>
          </w:tcPr>
          <w:p w14:paraId="4F976317">
            <w:pPr>
              <w:pStyle w:val="392"/>
              <w:rPr>
                <w:b/>
                <w:bCs/>
              </w:rPr>
            </w:pPr>
            <w:r>
              <w:rPr>
                <w:rFonts w:hint="eastAsia"/>
                <w:b/>
                <w:bCs/>
              </w:rPr>
              <w:t>取值说明</w:t>
            </w:r>
          </w:p>
        </w:tc>
        <w:tc>
          <w:tcPr>
            <w:tcW w:w="994" w:type="pct"/>
            <w:vAlign w:val="center"/>
          </w:tcPr>
          <w:p w14:paraId="7DC144EA">
            <w:pPr>
              <w:pStyle w:val="392"/>
              <w:rPr>
                <w:b/>
                <w:bCs/>
              </w:rPr>
            </w:pPr>
            <w:r>
              <w:rPr>
                <w:rFonts w:hint="eastAsia"/>
                <w:b/>
                <w:bCs/>
              </w:rPr>
              <w:t>取值</w:t>
            </w:r>
          </w:p>
        </w:tc>
      </w:tr>
      <w:tr w14:paraId="075E9F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05" w:type="pct"/>
            <w:vAlign w:val="center"/>
          </w:tcPr>
          <w:p w14:paraId="45CFBCB1">
            <w:pPr>
              <w:pStyle w:val="392"/>
            </w:pPr>
            <w:r>
              <w:rPr>
                <w:rFonts w:hint="eastAsia"/>
              </w:rPr>
              <w:t>V</w:t>
            </w:r>
            <w:r>
              <w:rPr>
                <w:rFonts w:hint="eastAsia"/>
                <w:vertAlign w:val="subscript"/>
              </w:rPr>
              <w:t>l</w:t>
            </w:r>
          </w:p>
        </w:tc>
        <w:tc>
          <w:tcPr>
            <w:tcW w:w="3400" w:type="pct"/>
            <w:vAlign w:val="center"/>
          </w:tcPr>
          <w:p w14:paraId="4D86B02F">
            <w:pPr>
              <w:pStyle w:val="392"/>
            </w:pPr>
            <w:r>
              <w:t>取</w:t>
            </w:r>
            <w:r>
              <w:rPr>
                <w:rFonts w:hint="eastAsia"/>
              </w:rPr>
              <w:t>收集系统范围内发生事故的物料量</w:t>
            </w:r>
          </w:p>
        </w:tc>
        <w:tc>
          <w:tcPr>
            <w:tcW w:w="994" w:type="pct"/>
            <w:vAlign w:val="center"/>
          </w:tcPr>
          <w:p w14:paraId="4321EBC4">
            <w:pPr>
              <w:pStyle w:val="392"/>
            </w:pPr>
            <w:r>
              <w:rPr>
                <w:rFonts w:hint="eastAsia"/>
              </w:rPr>
              <w:t>4500</w:t>
            </w:r>
          </w:p>
        </w:tc>
      </w:tr>
      <w:tr w14:paraId="3EEBA0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05" w:type="pct"/>
            <w:vAlign w:val="center"/>
          </w:tcPr>
          <w:p w14:paraId="540FA340">
            <w:pPr>
              <w:pStyle w:val="392"/>
            </w:pPr>
            <w:r>
              <w:rPr>
                <w:rFonts w:hint="eastAsia"/>
              </w:rPr>
              <w:t>V</w:t>
            </w:r>
            <w:r>
              <w:rPr>
                <w:rFonts w:hint="eastAsia"/>
                <w:vertAlign w:val="subscript"/>
              </w:rPr>
              <w:t>2</w:t>
            </w:r>
          </w:p>
        </w:tc>
        <w:tc>
          <w:tcPr>
            <w:tcW w:w="3400" w:type="pct"/>
            <w:vAlign w:val="center"/>
          </w:tcPr>
          <w:p w14:paraId="76F6C203">
            <w:pPr>
              <w:pStyle w:val="392"/>
            </w:pPr>
            <w:r>
              <w:rPr>
                <w:rFonts w:hint="eastAsia"/>
              </w:rPr>
              <w:t>根据</w:t>
            </w:r>
            <w:r>
              <w:t>《石油化工企业设计防火标准》</w:t>
            </w:r>
            <w:r>
              <w:rPr>
                <w:rFonts w:hint="eastAsia"/>
              </w:rPr>
              <w:t>（</w:t>
            </w:r>
            <w:r>
              <w:t>GB50160-2008</w:t>
            </w:r>
            <w:r>
              <w:rPr>
                <w:rFonts w:hint="eastAsia"/>
              </w:rPr>
              <w:t>）</w:t>
            </w:r>
            <w:r>
              <w:t>（2018年版）规定，本项目消防用水量取为</w:t>
            </w:r>
            <w:r>
              <w:rPr>
                <w:rFonts w:hint="eastAsia"/>
              </w:rPr>
              <w:t>150</w:t>
            </w:r>
            <w:r>
              <w:t>L/s，火灾延续供水时间为3小时，一次灭火用水量为</w:t>
            </w:r>
            <w:r>
              <w:rPr>
                <w:rFonts w:hint="eastAsia"/>
              </w:rPr>
              <w:t>1620</w:t>
            </w:r>
            <w:r>
              <w:t>m</w:t>
            </w:r>
            <w:r>
              <w:rPr>
                <w:vertAlign w:val="superscript"/>
              </w:rPr>
              <w:t>3</w:t>
            </w:r>
            <w:r>
              <w:rPr>
                <w:rFonts w:hint="eastAsia"/>
              </w:rPr>
              <w:t>。</w:t>
            </w:r>
          </w:p>
        </w:tc>
        <w:tc>
          <w:tcPr>
            <w:tcW w:w="994" w:type="pct"/>
            <w:vAlign w:val="center"/>
          </w:tcPr>
          <w:p w14:paraId="737DDF47">
            <w:pPr>
              <w:pStyle w:val="392"/>
            </w:pPr>
            <w:r>
              <w:rPr>
                <w:rFonts w:hint="eastAsia"/>
              </w:rPr>
              <w:t>1620</w:t>
            </w:r>
          </w:p>
        </w:tc>
      </w:tr>
      <w:tr w14:paraId="37CCE7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05" w:type="pct"/>
            <w:vAlign w:val="center"/>
          </w:tcPr>
          <w:p w14:paraId="7069E247">
            <w:pPr>
              <w:pStyle w:val="392"/>
            </w:pPr>
            <w:r>
              <w:rPr>
                <w:rFonts w:hint="eastAsia"/>
              </w:rPr>
              <w:t>V</w:t>
            </w:r>
            <w:r>
              <w:rPr>
                <w:rFonts w:hint="eastAsia"/>
                <w:vertAlign w:val="subscript"/>
              </w:rPr>
              <w:t>3</w:t>
            </w:r>
          </w:p>
        </w:tc>
        <w:tc>
          <w:tcPr>
            <w:tcW w:w="3400" w:type="pct"/>
            <w:vAlign w:val="center"/>
          </w:tcPr>
          <w:p w14:paraId="291AC005">
            <w:pPr>
              <w:pStyle w:val="392"/>
            </w:pPr>
            <w:r>
              <w:rPr>
                <w:rFonts w:hint="eastAsia"/>
              </w:rPr>
              <w:t>发生事故时可以转输到其他储存或处理设施的物料量</w:t>
            </w:r>
          </w:p>
        </w:tc>
        <w:tc>
          <w:tcPr>
            <w:tcW w:w="994" w:type="pct"/>
            <w:vAlign w:val="center"/>
          </w:tcPr>
          <w:p w14:paraId="02454DF9">
            <w:pPr>
              <w:pStyle w:val="392"/>
            </w:pPr>
            <w:r>
              <w:rPr>
                <w:rFonts w:hint="eastAsia"/>
              </w:rPr>
              <w:t>5600</w:t>
            </w:r>
          </w:p>
        </w:tc>
      </w:tr>
      <w:tr w14:paraId="1DB78C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05" w:type="pct"/>
            <w:vAlign w:val="center"/>
          </w:tcPr>
          <w:p w14:paraId="4AE872D7">
            <w:pPr>
              <w:pStyle w:val="392"/>
            </w:pPr>
            <w:r>
              <w:rPr>
                <w:rFonts w:hint="eastAsia"/>
              </w:rPr>
              <w:t>V</w:t>
            </w:r>
            <w:r>
              <w:rPr>
                <w:rFonts w:hint="eastAsia"/>
                <w:vertAlign w:val="subscript"/>
              </w:rPr>
              <w:t>4</w:t>
            </w:r>
          </w:p>
        </w:tc>
        <w:tc>
          <w:tcPr>
            <w:tcW w:w="3400" w:type="pct"/>
            <w:vAlign w:val="center"/>
          </w:tcPr>
          <w:p w14:paraId="528A7341">
            <w:pPr>
              <w:pStyle w:val="392"/>
            </w:pPr>
            <w:r>
              <w:rPr>
                <w:rFonts w:hint="eastAsia"/>
              </w:rPr>
              <w:t>本项目生产废水进入专门的生产污水系统，不进入事故水收集系统。</w:t>
            </w:r>
          </w:p>
        </w:tc>
        <w:tc>
          <w:tcPr>
            <w:tcW w:w="994" w:type="pct"/>
            <w:vAlign w:val="center"/>
          </w:tcPr>
          <w:p w14:paraId="24745397">
            <w:pPr>
              <w:pStyle w:val="392"/>
            </w:pPr>
            <w:r>
              <w:rPr>
                <w:rFonts w:hint="eastAsia"/>
              </w:rPr>
              <w:t>0</w:t>
            </w:r>
          </w:p>
        </w:tc>
      </w:tr>
      <w:tr w14:paraId="3760B0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05" w:type="pct"/>
            <w:vAlign w:val="center"/>
          </w:tcPr>
          <w:p w14:paraId="25985FCF">
            <w:pPr>
              <w:pStyle w:val="392"/>
            </w:pPr>
            <w:r>
              <w:rPr>
                <w:rFonts w:hint="eastAsia"/>
              </w:rPr>
              <w:t>V</w:t>
            </w:r>
            <w:r>
              <w:rPr>
                <w:rFonts w:hint="eastAsia"/>
                <w:vertAlign w:val="subscript"/>
              </w:rPr>
              <w:t>5</w:t>
            </w:r>
          </w:p>
        </w:tc>
        <w:tc>
          <w:tcPr>
            <w:tcW w:w="3400" w:type="pct"/>
            <w:vAlign w:val="center"/>
          </w:tcPr>
          <w:p w14:paraId="61A04677">
            <w:pPr>
              <w:pStyle w:val="392"/>
            </w:pPr>
            <w:r>
              <w:rPr>
                <w:rFonts w:hint="eastAsia"/>
              </w:rPr>
              <w:t>平均日降雨量</w:t>
            </w:r>
            <w:r>
              <w:t>q=0.</w:t>
            </w:r>
            <w:r>
              <w:rPr>
                <w:rFonts w:hint="eastAsia"/>
              </w:rPr>
              <w:t>054</w:t>
            </w:r>
            <w:r>
              <w:t>mm</w:t>
            </w:r>
            <w:r>
              <w:rPr>
                <w:rFonts w:hint="eastAsia"/>
              </w:rPr>
              <w:t>；必须进入事故废水收集系统</w:t>
            </w:r>
            <w:r>
              <w:rPr>
                <w:rFonts w:hint="eastAsia"/>
                <w:lang w:eastAsia="zh-CN"/>
              </w:rPr>
              <w:t>的</w:t>
            </w:r>
            <w:r>
              <w:rPr>
                <w:rFonts w:hint="eastAsia"/>
              </w:rPr>
              <w:t>雨水汇水面积</w:t>
            </w:r>
            <w:r>
              <w:t>F=</w:t>
            </w:r>
            <w:r>
              <w:rPr>
                <w:rFonts w:hint="eastAsia"/>
              </w:rPr>
              <w:t>31</w:t>
            </w:r>
            <w:r>
              <w:t>hm</w:t>
            </w:r>
            <w:r>
              <w:rPr>
                <w:vertAlign w:val="superscript"/>
              </w:rPr>
              <w:t>2</w:t>
            </w:r>
            <w:r>
              <w:rPr>
                <w:rFonts w:hint="eastAsia"/>
              </w:rPr>
              <w:t>（仅为本项目的兰炭生产线及硅铁生产线的面积）；发生消防事故时可能进入该收集系统的降雨量</w:t>
            </w:r>
            <w:r>
              <w:t>V</w:t>
            </w:r>
            <w:r>
              <w:rPr>
                <w:vertAlign w:val="subscript"/>
              </w:rPr>
              <w:t>5</w:t>
            </w:r>
            <w:r>
              <w:t>=10×q×F=</w:t>
            </w:r>
            <w:r>
              <w:rPr>
                <w:rFonts w:hint="eastAsia"/>
              </w:rPr>
              <w:t>16.74</w:t>
            </w:r>
          </w:p>
        </w:tc>
        <w:tc>
          <w:tcPr>
            <w:tcW w:w="994" w:type="pct"/>
            <w:vAlign w:val="center"/>
          </w:tcPr>
          <w:p w14:paraId="5CBC1AE5">
            <w:pPr>
              <w:pStyle w:val="392"/>
            </w:pPr>
            <w:r>
              <w:rPr>
                <w:rFonts w:hint="eastAsia"/>
              </w:rPr>
              <w:t>16.74</w:t>
            </w:r>
          </w:p>
        </w:tc>
      </w:tr>
      <w:tr w14:paraId="7D8282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05" w:type="pct"/>
            <w:vAlign w:val="center"/>
          </w:tcPr>
          <w:p w14:paraId="1371AB2E">
            <w:pPr>
              <w:pStyle w:val="392"/>
            </w:pPr>
            <w:r>
              <w:rPr>
                <w:rFonts w:hint="eastAsia"/>
              </w:rPr>
              <w:t>V</w:t>
            </w:r>
          </w:p>
        </w:tc>
        <w:tc>
          <w:tcPr>
            <w:tcW w:w="3400" w:type="pct"/>
            <w:vAlign w:val="center"/>
          </w:tcPr>
          <w:p w14:paraId="0AC0C713">
            <w:pPr>
              <w:pStyle w:val="392"/>
            </w:pPr>
            <w:r>
              <w:rPr>
                <w:rFonts w:hint="eastAsia"/>
              </w:rPr>
              <w:t>（V</w:t>
            </w:r>
            <w:r>
              <w:rPr>
                <w:rFonts w:hint="eastAsia"/>
                <w:vertAlign w:val="subscript"/>
              </w:rPr>
              <w:t>l</w:t>
            </w:r>
            <w:r>
              <w:rPr>
                <w:rFonts w:hint="eastAsia"/>
              </w:rPr>
              <w:t>+V</w:t>
            </w:r>
            <w:r>
              <w:rPr>
                <w:rFonts w:hint="eastAsia"/>
                <w:vertAlign w:val="subscript"/>
              </w:rPr>
              <w:t>2</w:t>
            </w:r>
            <w:r>
              <w:rPr>
                <w:rFonts w:hint="eastAsia"/>
              </w:rPr>
              <w:t>－V</w:t>
            </w:r>
            <w:r>
              <w:rPr>
                <w:rFonts w:hint="eastAsia"/>
                <w:vertAlign w:val="subscript"/>
              </w:rPr>
              <w:t>3</w:t>
            </w:r>
            <w:r>
              <w:rPr>
                <w:rFonts w:hint="eastAsia"/>
              </w:rPr>
              <w:t>）max+V</w:t>
            </w:r>
            <w:r>
              <w:rPr>
                <w:rFonts w:hint="eastAsia"/>
                <w:vertAlign w:val="subscript"/>
              </w:rPr>
              <w:t>4</w:t>
            </w:r>
            <w:r>
              <w:rPr>
                <w:rFonts w:hint="eastAsia"/>
              </w:rPr>
              <w:t>+V</w:t>
            </w:r>
            <w:r>
              <w:rPr>
                <w:rFonts w:hint="eastAsia"/>
                <w:vertAlign w:val="subscript"/>
              </w:rPr>
              <w:t>5</w:t>
            </w:r>
          </w:p>
        </w:tc>
        <w:tc>
          <w:tcPr>
            <w:tcW w:w="994" w:type="pct"/>
            <w:vAlign w:val="center"/>
          </w:tcPr>
          <w:p w14:paraId="20A1E2B2">
            <w:pPr>
              <w:pStyle w:val="392"/>
            </w:pPr>
            <w:r>
              <w:rPr>
                <w:rFonts w:hint="eastAsia"/>
              </w:rPr>
              <w:t>536.74</w:t>
            </w:r>
          </w:p>
        </w:tc>
      </w:tr>
      <w:tr w14:paraId="269B0C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605" w:type="pct"/>
            <w:vAlign w:val="center"/>
          </w:tcPr>
          <w:p w14:paraId="12D0BA87">
            <w:pPr>
              <w:pStyle w:val="392"/>
            </w:pPr>
            <w:r>
              <w:rPr>
                <w:rFonts w:hint="eastAsia"/>
              </w:rPr>
              <w:t>V</w:t>
            </w:r>
            <w:r>
              <w:rPr>
                <w:rFonts w:hint="eastAsia"/>
                <w:vertAlign w:val="subscript"/>
              </w:rPr>
              <w:t>事故水池</w:t>
            </w:r>
          </w:p>
        </w:tc>
        <w:tc>
          <w:tcPr>
            <w:tcW w:w="3400" w:type="pct"/>
            <w:vAlign w:val="center"/>
          </w:tcPr>
          <w:p w14:paraId="6C90871C">
            <w:pPr>
              <w:pStyle w:val="392"/>
            </w:pPr>
            <w:r>
              <w:rPr>
                <w:rFonts w:hint="eastAsia"/>
              </w:rPr>
              <w:t>现有事故水池有效容积</w:t>
            </w:r>
          </w:p>
        </w:tc>
        <w:tc>
          <w:tcPr>
            <w:tcW w:w="994" w:type="pct"/>
            <w:vAlign w:val="center"/>
          </w:tcPr>
          <w:p w14:paraId="7F9C349B">
            <w:pPr>
              <w:pStyle w:val="392"/>
            </w:pPr>
            <w:r>
              <w:rPr>
                <w:rFonts w:hint="eastAsia"/>
              </w:rPr>
              <w:t>1500</w:t>
            </w:r>
          </w:p>
        </w:tc>
      </w:tr>
    </w:tbl>
    <w:p w14:paraId="2547F7DC">
      <w:pPr>
        <w:ind w:firstLine="480"/>
      </w:pPr>
    </w:p>
    <w:p w14:paraId="54FC7A67">
      <w:pPr>
        <w:ind w:firstLine="480"/>
        <w:rPr>
          <w:color w:val="000000"/>
        </w:rPr>
      </w:pPr>
      <w:r>
        <w:rPr>
          <w:rFonts w:hint="eastAsia"/>
          <w:color w:val="000000"/>
        </w:rPr>
        <w:t>现有事故池可满足火灾情况下废水收集需要，可保证全厂事故情况下消防废水全部收集，不出厂。现有项目事故水池建设能够满足</w:t>
      </w:r>
      <w:r>
        <w:rPr>
          <w:rFonts w:hint="eastAsia" w:ascii="宋体" w:hAnsi="宋体" w:cs="宋体"/>
          <w:color w:val="000000"/>
        </w:rPr>
        <w:t>《事故状态下水体污染的预防与控制技术要求》（</w:t>
      </w:r>
      <w:r>
        <w:rPr>
          <w:color w:val="000000"/>
        </w:rPr>
        <w:t>Q/SY1190-2013</w:t>
      </w:r>
      <w:r>
        <w:rPr>
          <w:rFonts w:hint="eastAsia" w:ascii="宋体" w:hAnsi="宋体" w:cs="宋体"/>
          <w:color w:val="000000"/>
        </w:rPr>
        <w:t>）</w:t>
      </w:r>
      <w:r>
        <w:rPr>
          <w:rFonts w:hint="eastAsia"/>
          <w:color w:val="000000"/>
        </w:rPr>
        <w:t>的要求。</w:t>
      </w:r>
    </w:p>
    <w:p w14:paraId="74F0A632">
      <w:pPr>
        <w:pStyle w:val="117"/>
        <w:ind w:firstLine="480"/>
        <w:rPr>
          <w:color w:val="000000"/>
          <w:position w:val="2"/>
        </w:rPr>
      </w:pPr>
      <w:r>
        <w:rPr>
          <w:rFonts w:hint="eastAsia"/>
          <w:color w:val="000000"/>
          <w:position w:val="2"/>
        </w:rPr>
        <w:t>（</w:t>
      </w:r>
      <w:r>
        <w:rPr>
          <w:color w:val="000000"/>
          <w:position w:val="2"/>
        </w:rPr>
        <w:t>2</w:t>
      </w:r>
      <w:r>
        <w:rPr>
          <w:rFonts w:hint="eastAsia"/>
          <w:color w:val="000000"/>
          <w:position w:val="2"/>
        </w:rPr>
        <w:t>）其他</w:t>
      </w:r>
      <w:r>
        <w:rPr>
          <w:color w:val="000000"/>
          <w:position w:val="2"/>
        </w:rPr>
        <w:t>防范措施</w:t>
      </w:r>
    </w:p>
    <w:p w14:paraId="4F24B1C4">
      <w:pPr>
        <w:pStyle w:val="117"/>
        <w:ind w:firstLine="480"/>
        <w:rPr>
          <w:color w:val="000000"/>
          <w:position w:val="2"/>
        </w:rPr>
      </w:pPr>
      <w:r>
        <w:rPr>
          <w:color w:val="000000"/>
          <w:position w:val="2"/>
        </w:rPr>
        <w:t>应加强废水收集管理，确保污水处理系统稳定运行，防止事故排放发生并对环境产生影响，具体还要采用以下措施：</w:t>
      </w:r>
    </w:p>
    <w:p w14:paraId="4DC491BB">
      <w:pPr>
        <w:pStyle w:val="117"/>
        <w:ind w:firstLine="480"/>
        <w:rPr>
          <w:color w:val="000000"/>
        </w:rPr>
      </w:pPr>
      <w:r>
        <w:rPr>
          <w:rFonts w:hint="eastAsia" w:ascii="宋体" w:hAnsi="宋体"/>
          <w:color w:val="000000"/>
        </w:rPr>
        <w:t>①</w:t>
      </w:r>
      <w:r>
        <w:rPr>
          <w:color w:val="000000"/>
        </w:rPr>
        <w:t>废水处理车间的供电设计应该保障电力的供应；</w:t>
      </w:r>
    </w:p>
    <w:p w14:paraId="0917917F">
      <w:pPr>
        <w:pStyle w:val="117"/>
        <w:ind w:firstLine="480"/>
        <w:rPr>
          <w:color w:val="000000"/>
        </w:rPr>
      </w:pPr>
      <w:r>
        <w:rPr>
          <w:rFonts w:hint="eastAsia" w:ascii="宋体" w:hAnsi="宋体"/>
          <w:color w:val="000000"/>
        </w:rPr>
        <w:t>②</w:t>
      </w:r>
      <w:r>
        <w:rPr>
          <w:color w:val="000000"/>
        </w:rPr>
        <w:t>要选用先进可靠的工艺和质量优良、事故率低、便于维护的产品；对于关键设备应备用，易损部件要有备用，以便事故出现时可及时更换；</w:t>
      </w:r>
    </w:p>
    <w:p w14:paraId="68357174">
      <w:pPr>
        <w:pStyle w:val="117"/>
        <w:ind w:firstLine="480"/>
        <w:rPr>
          <w:color w:val="000000"/>
        </w:rPr>
      </w:pPr>
      <w:r>
        <w:rPr>
          <w:rFonts w:hint="eastAsia" w:ascii="宋体" w:hAnsi="宋体"/>
          <w:color w:val="000000"/>
        </w:rPr>
        <w:t>③</w:t>
      </w:r>
      <w:r>
        <w:rPr>
          <w:color w:val="000000"/>
        </w:rPr>
        <w:t>严格控制各处理系统处理单元的水量、水质、停留时间、负荷强度等，确保各处理系统或处理单元处理效果的稳定性。</w:t>
      </w:r>
    </w:p>
    <w:p w14:paraId="654E5172">
      <w:pPr>
        <w:pStyle w:val="117"/>
        <w:ind w:firstLine="480"/>
        <w:rPr>
          <w:color w:val="000000"/>
        </w:rPr>
      </w:pPr>
      <w:r>
        <w:rPr>
          <w:rFonts w:hint="eastAsia" w:ascii="宋体" w:hAnsi="宋体"/>
          <w:color w:val="000000"/>
        </w:rPr>
        <w:t>④</w:t>
      </w:r>
      <w:r>
        <w:rPr>
          <w:color w:val="000000"/>
        </w:rPr>
        <w:t>定期对废水处理系统设备进行巡检、调节、保养和维修，及时更换易坏或破损零部件，避免发生因设备损耗而出现的风险事故。</w:t>
      </w:r>
    </w:p>
    <w:p w14:paraId="0897683F">
      <w:pPr>
        <w:pStyle w:val="117"/>
        <w:ind w:firstLine="480"/>
        <w:rPr>
          <w:color w:val="000000"/>
        </w:rPr>
      </w:pPr>
      <w:r>
        <w:rPr>
          <w:rFonts w:hint="eastAsia" w:ascii="宋体" w:hAnsi="宋体"/>
          <w:color w:val="000000"/>
        </w:rPr>
        <w:t>⑤</w:t>
      </w:r>
      <w:r>
        <w:rPr>
          <w:color w:val="000000"/>
        </w:rPr>
        <w:t>定期采样监测，以便操作人员及时调整，使设备处于最佳工况，发现不正常现象，应立即采取应急措施；</w:t>
      </w:r>
    </w:p>
    <w:p w14:paraId="3386E698">
      <w:pPr>
        <w:ind w:firstLine="480"/>
        <w:rPr>
          <w:color w:val="000000"/>
        </w:rPr>
      </w:pPr>
      <w:r>
        <w:rPr>
          <w:rFonts w:hint="eastAsia"/>
          <w:color w:val="000000"/>
        </w:rPr>
        <w:t>⑥</w:t>
      </w:r>
      <w:r>
        <w:rPr>
          <w:color w:val="000000"/>
        </w:rPr>
        <w:t>加强对废水处理系统工作人员的操作技能的培训，提高工作人员的应变能力，及时有效处理意外情况。</w:t>
      </w:r>
    </w:p>
    <w:p w14:paraId="5949276A">
      <w:pPr>
        <w:pStyle w:val="5"/>
        <w:rPr>
          <w:color w:val="000000"/>
        </w:rPr>
      </w:pPr>
      <w:r>
        <w:rPr>
          <w:rFonts w:hint="eastAsia"/>
          <w:color w:val="000000"/>
        </w:rPr>
        <w:t>地下水风险防范措施</w:t>
      </w:r>
    </w:p>
    <w:p w14:paraId="6679F14F">
      <w:pPr>
        <w:ind w:firstLine="480"/>
        <w:rPr>
          <w:color w:val="000000"/>
        </w:rPr>
      </w:pPr>
      <w:r>
        <w:rPr>
          <w:rFonts w:hint="eastAsia" w:ascii="宋体" w:hAnsi="宋体" w:cs="宋体"/>
          <w:color w:val="000000"/>
        </w:rPr>
        <w:t>针对事故状态下的泄漏物料和消防事故废水，拟建项目通过设置事故废水防控措施控制，并制定了覆盖厂内、厂外的地下水监控体系。</w:t>
      </w:r>
    </w:p>
    <w:p w14:paraId="6F2B61CD">
      <w:pPr>
        <w:ind w:firstLine="480"/>
        <w:rPr>
          <w:color w:val="000000"/>
        </w:rPr>
      </w:pPr>
      <w:r>
        <w:rPr>
          <w:rFonts w:hint="eastAsia" w:ascii="宋体" w:hAnsi="宋体" w:cs="宋体"/>
          <w:color w:val="000000"/>
        </w:rPr>
        <w:t>拟建项目进行污染区划分，在污染区域设置围堰作为防控措施，收集全厂各生产装置污染区事故状态时的泄漏物料和消防事故废水，最终汇入事故缓冲池；根据设计方案，拟项目设置1座事故池，用以收集利用装置围堰等控制的物料和被污染的废水，设计容量可以满足消防事故时的消防事故水量和雨水量。根据上述分析可知，针对事故状态下的泄漏物料和消防事故废水，拟建项目通过防控措施能够确保事故状态下泄漏物料和消防事故废水不出厂区。</w:t>
      </w:r>
    </w:p>
    <w:p w14:paraId="6E53EA35">
      <w:pPr>
        <w:ind w:firstLine="480"/>
        <w:rPr>
          <w:color w:val="000000"/>
        </w:rPr>
      </w:pPr>
      <w:r>
        <w:rPr>
          <w:rFonts w:hint="eastAsia" w:ascii="宋体" w:hAnsi="宋体" w:cs="宋体"/>
          <w:color w:val="000000"/>
        </w:rPr>
        <w:t>为了及时准确掌握厂址及下游地区地下水环境质量状况和事故状态下地下水体中污染物的动态变化，拟建项目在厂区及上下游布设有地下水水质监测井；并制定正常生产时场地和保护目标地下水跟踪监测计划，以重点风险源下游布点为主，其中跟踪监测点具有污染控制警戒功能。</w:t>
      </w:r>
    </w:p>
    <w:p w14:paraId="244CF375">
      <w:pPr>
        <w:ind w:firstLine="480"/>
        <w:rPr>
          <w:color w:val="000000"/>
        </w:rPr>
      </w:pPr>
      <w:r>
        <w:rPr>
          <w:rFonts w:hint="eastAsia" w:ascii="宋体" w:hAnsi="宋体" w:cs="宋体"/>
          <w:color w:val="000000"/>
        </w:rPr>
        <w:t>通过以上分析可知，拟建项目事故状态下泄漏物料和消防事故废水不出厂，通过覆盖厂内、厂外的地下水监控体系掌握可能发生的地下水污染状况做到及时反应和应对。</w:t>
      </w:r>
    </w:p>
    <w:p w14:paraId="3724A140">
      <w:pPr>
        <w:pStyle w:val="5"/>
        <w:rPr>
          <w:color w:val="000000"/>
        </w:rPr>
      </w:pPr>
      <w:r>
        <w:rPr>
          <w:rFonts w:hint="eastAsia"/>
          <w:color w:val="000000"/>
        </w:rPr>
        <w:t>土壤污染环境风险防范措施</w:t>
      </w:r>
    </w:p>
    <w:p w14:paraId="134AF49C">
      <w:pPr>
        <w:ind w:firstLine="480"/>
        <w:rPr>
          <w:color w:val="000000"/>
        </w:rPr>
      </w:pPr>
      <w:r>
        <w:rPr>
          <w:rFonts w:hint="eastAsia" w:ascii="宋体" w:hAnsi="宋体" w:cs="宋体"/>
          <w:color w:val="000000"/>
        </w:rPr>
        <w:t>项目对土壤环境的风险主要是化学品泄漏事故对土壤造成的影响。应采取以下防范措施主要有：</w:t>
      </w:r>
    </w:p>
    <w:p w14:paraId="15B85AFE">
      <w:pPr>
        <w:ind w:firstLine="480"/>
        <w:rPr>
          <w:color w:val="000000"/>
        </w:rPr>
      </w:pPr>
      <w:r>
        <w:rPr>
          <w:rFonts w:hint="eastAsia" w:ascii="宋体" w:hAnsi="宋体" w:cs="宋体"/>
          <w:color w:val="000000"/>
        </w:rPr>
        <w:t>对泄漏物料进行收集回用；应利用围堤收容，然后包括用沙土、砾石或其他惰性材料吸收，然后收集、转移、回收或无害化处理后废弃。</w:t>
      </w:r>
    </w:p>
    <w:p w14:paraId="5D87746B">
      <w:pPr>
        <w:pStyle w:val="117"/>
        <w:ind w:firstLine="480"/>
        <w:rPr>
          <w:color w:val="000000"/>
        </w:rPr>
      </w:pPr>
      <w:r>
        <w:rPr>
          <w:rFonts w:hint="eastAsia" w:ascii="宋体" w:hAnsi="宋体"/>
          <w:color w:val="000000"/>
        </w:rPr>
        <w:t>对污染土壤进行生物修复和绿化处理，及时修复受污染的土壤的植被和生态环境功能</w:t>
      </w:r>
    </w:p>
    <w:p w14:paraId="308A1BB1">
      <w:pPr>
        <w:pStyle w:val="5"/>
        <w:rPr>
          <w:color w:val="000000"/>
        </w:rPr>
      </w:pPr>
      <w:r>
        <w:rPr>
          <w:rFonts w:hint="eastAsia"/>
          <w:color w:val="000000"/>
        </w:rPr>
        <w:t>事故伴生/次生污染物环境污染防范措施</w:t>
      </w:r>
    </w:p>
    <w:p w14:paraId="3D552194">
      <w:pPr>
        <w:ind w:firstLine="480"/>
        <w:rPr>
          <w:color w:val="000000"/>
        </w:rPr>
      </w:pPr>
      <w:r>
        <w:rPr>
          <w:rFonts w:hint="eastAsia" w:ascii="宋体" w:hAnsi="宋体" w:cs="宋体"/>
          <w:color w:val="000000"/>
        </w:rPr>
        <w:t>当发生事故时往往会同时产生伴生</w:t>
      </w:r>
      <w:r>
        <w:rPr>
          <w:rFonts w:hint="eastAsia"/>
          <w:color w:val="000000"/>
        </w:rPr>
        <w:t>/</w:t>
      </w:r>
      <w:r>
        <w:rPr>
          <w:rFonts w:hint="eastAsia" w:ascii="宋体" w:hAnsi="宋体" w:cs="宋体"/>
          <w:color w:val="000000"/>
        </w:rPr>
        <w:t>次生污染物，这些污染物可能通过大气、水排放系统进入环境。发生事故时，要针对所产生的伴生</w:t>
      </w:r>
      <w:r>
        <w:rPr>
          <w:rFonts w:hint="eastAsia"/>
          <w:color w:val="000000"/>
        </w:rPr>
        <w:t>/</w:t>
      </w:r>
      <w:r>
        <w:rPr>
          <w:rFonts w:hint="eastAsia" w:ascii="宋体" w:hAnsi="宋体" w:cs="宋体"/>
          <w:color w:val="000000"/>
        </w:rPr>
        <w:t>次生污染物选用不同的消除方法。</w:t>
      </w:r>
    </w:p>
    <w:p w14:paraId="05F60129">
      <w:pPr>
        <w:ind w:firstLine="480"/>
        <w:rPr>
          <w:rFonts w:hint="eastAsia" w:ascii="宋体" w:hAnsi="宋体" w:cs="宋体"/>
          <w:color w:val="000000"/>
        </w:rPr>
      </w:pPr>
      <w:r>
        <w:rPr>
          <w:rFonts w:hint="eastAsia" w:ascii="宋体" w:hAnsi="宋体" w:cs="宋体"/>
          <w:color w:val="000000"/>
        </w:rPr>
        <w:t>（</w:t>
      </w:r>
      <w:r>
        <w:rPr>
          <w:rFonts w:hint="eastAsia"/>
          <w:color w:val="000000"/>
        </w:rPr>
        <w:t>1</w:t>
      </w:r>
      <w:r>
        <w:rPr>
          <w:rFonts w:hint="eastAsia" w:ascii="宋体" w:hAnsi="宋体" w:cs="宋体"/>
          <w:color w:val="000000"/>
        </w:rPr>
        <w:t>）装置区发生泄漏或火灾事故，有消防废水产生。将消防废水引入事故池。根据废水中物料性质，采取预处理或回收利用的方式。若浓度高，用泵等收集设施进行回收；若浓度低，分批送废水处理车间处理达标。泡沫覆盖物收集运至废物处理场所处置。严禁消防水将物料带入受纳水体。</w:t>
      </w:r>
    </w:p>
    <w:p w14:paraId="499745EE">
      <w:pPr>
        <w:pStyle w:val="117"/>
        <w:ind w:firstLine="480"/>
        <w:rPr>
          <w:color w:val="000000"/>
        </w:rPr>
      </w:pPr>
      <w:r>
        <w:rPr>
          <w:rFonts w:hint="eastAsia" w:ascii="宋体" w:hAnsi="宋体"/>
          <w:color w:val="000000"/>
        </w:rPr>
        <w:t>（</w:t>
      </w:r>
      <w:r>
        <w:rPr>
          <w:rFonts w:hint="eastAsia"/>
          <w:color w:val="000000"/>
        </w:rPr>
        <w:t>2</w:t>
      </w:r>
      <w:r>
        <w:rPr>
          <w:rFonts w:hint="eastAsia" w:ascii="宋体" w:hAnsi="宋体"/>
          <w:color w:val="000000"/>
        </w:rPr>
        <w:t>）公路运输发生泄漏，事故处理中，区域内土壤将受到污染，有被污染的处置材料（如砂土等）及消防废水产生。将刮取受污染的表土及被污染的处置材料（如砂土）委托具有资质的危险废物处置单位对其处理。消防废水用罐车送至附近城市污水处理厂处理达标后排放</w:t>
      </w:r>
    </w:p>
    <w:p w14:paraId="4B62929A">
      <w:pPr>
        <w:pStyle w:val="5"/>
        <w:rPr>
          <w:color w:val="000000"/>
        </w:rPr>
      </w:pPr>
      <w:r>
        <w:rPr>
          <w:color w:val="000000"/>
        </w:rPr>
        <w:t>废气措施事故环境风险防范措施</w:t>
      </w:r>
    </w:p>
    <w:p w14:paraId="1F9F014D">
      <w:pPr>
        <w:pStyle w:val="117"/>
        <w:ind w:firstLine="480"/>
        <w:rPr>
          <w:color w:val="000000"/>
        </w:rPr>
      </w:pPr>
      <w:r>
        <w:rPr>
          <w:rFonts w:hint="eastAsia" w:ascii="宋体" w:hAnsi="宋体"/>
          <w:color w:val="000000"/>
        </w:rPr>
        <w:t>①</w:t>
      </w:r>
      <w:r>
        <w:rPr>
          <w:color w:val="000000"/>
        </w:rPr>
        <w:t>制定严格的工艺操作规程，加强监督和管理，提高职工安全意识和环保意识。对炉体、管道、阀门、接口处都要定期检查，严禁跑、冒、滴、漏现象的发生。</w:t>
      </w:r>
    </w:p>
    <w:p w14:paraId="3201BB45">
      <w:pPr>
        <w:pStyle w:val="117"/>
        <w:ind w:firstLine="480"/>
        <w:rPr>
          <w:color w:val="000000"/>
        </w:rPr>
      </w:pPr>
      <w:r>
        <w:rPr>
          <w:rFonts w:hint="eastAsia" w:ascii="宋体" w:hAnsi="宋体"/>
          <w:color w:val="000000"/>
        </w:rPr>
        <w:t>②</w:t>
      </w:r>
      <w:r>
        <w:rPr>
          <w:color w:val="000000"/>
        </w:rPr>
        <w:t>应针对余热锅炉、活性炭吸附、布袋除尘装置等设备制定相应的维护和检修操作规程，定期组织员工培训学习，加强日常值守和监控，一旦发现异常及时检修。</w:t>
      </w:r>
    </w:p>
    <w:p w14:paraId="077A06CF">
      <w:pPr>
        <w:pStyle w:val="117"/>
        <w:ind w:firstLine="480"/>
        <w:rPr>
          <w:color w:val="000000"/>
        </w:rPr>
      </w:pPr>
      <w:r>
        <w:rPr>
          <w:rFonts w:hint="eastAsia" w:ascii="宋体" w:hAnsi="宋体"/>
          <w:color w:val="000000"/>
        </w:rPr>
        <w:t>③</w:t>
      </w:r>
      <w:r>
        <w:rPr>
          <w:color w:val="000000"/>
        </w:rPr>
        <w:t>环保设施应配备备用设施，事故时及时切换。</w:t>
      </w:r>
    </w:p>
    <w:p w14:paraId="6F63E446">
      <w:pPr>
        <w:pStyle w:val="117"/>
        <w:ind w:firstLine="480"/>
        <w:rPr>
          <w:color w:val="000000"/>
        </w:rPr>
      </w:pPr>
      <w:r>
        <w:rPr>
          <w:rFonts w:hint="eastAsia" w:ascii="宋体" w:hAnsi="宋体"/>
          <w:color w:val="000000"/>
        </w:rPr>
        <w:t>④</w:t>
      </w:r>
      <w:r>
        <w:rPr>
          <w:color w:val="000000"/>
        </w:rPr>
        <w:t>配备应急电源，作为突然停电时车间通风用电供应。</w:t>
      </w:r>
    </w:p>
    <w:p w14:paraId="663950A8">
      <w:pPr>
        <w:pStyle w:val="117"/>
        <w:ind w:firstLine="480"/>
        <w:rPr>
          <w:color w:val="000000"/>
        </w:rPr>
      </w:pPr>
      <w:r>
        <w:rPr>
          <w:rFonts w:hint="eastAsia" w:ascii="宋体" w:hAnsi="宋体"/>
          <w:color w:val="000000"/>
        </w:rPr>
        <w:t>⑤</w:t>
      </w:r>
      <w:r>
        <w:rPr>
          <w:color w:val="000000"/>
        </w:rPr>
        <w:t>废气处理设施采用计算机自动控制和视频监控设备，随时监控污染物浓度，一旦发现隐患及时解决。</w:t>
      </w:r>
    </w:p>
    <w:p w14:paraId="3FD8275B">
      <w:pPr>
        <w:pStyle w:val="117"/>
        <w:ind w:firstLine="480"/>
        <w:rPr>
          <w:color w:val="000000"/>
        </w:rPr>
      </w:pPr>
      <w:r>
        <w:rPr>
          <w:rFonts w:hint="eastAsia" w:ascii="宋体" w:hAnsi="宋体"/>
          <w:color w:val="000000"/>
        </w:rPr>
        <w:t>⑥</w:t>
      </w:r>
      <w:r>
        <w:rPr>
          <w:color w:val="000000"/>
        </w:rPr>
        <w:t>废气处理系统应按相关的标准要求设计、施工和管理。项目的生产线应尽可能采用密闭的生产方式。对于系统的设备，在设计过程中应选用耐酸碱材料，并充分考虑</w:t>
      </w:r>
      <w:r>
        <w:rPr>
          <w:rFonts w:hint="eastAsia"/>
          <w:color w:val="000000"/>
        </w:rPr>
        <w:t>抗振动</w:t>
      </w:r>
      <w:r>
        <w:rPr>
          <w:color w:val="000000"/>
        </w:rPr>
        <w:t>等要求。对处理系统进行定期与不定期检查，及时维修或更换不良部件。</w:t>
      </w:r>
    </w:p>
    <w:p w14:paraId="626A9E3B">
      <w:pPr>
        <w:pStyle w:val="3"/>
        <w:rPr>
          <w:color w:val="000000"/>
        </w:rPr>
      </w:pPr>
      <w:bookmarkStart w:id="698" w:name="_Toc141983683"/>
      <w:bookmarkStart w:id="699" w:name="_Toc155627746"/>
      <w:bookmarkStart w:id="700" w:name="_Toc205291420"/>
      <w:r>
        <w:rPr>
          <w:rFonts w:hint="eastAsia"/>
          <w:color w:val="000000"/>
        </w:rPr>
        <w:t>突发环境事件应急预案</w:t>
      </w:r>
      <w:bookmarkEnd w:id="698"/>
      <w:bookmarkEnd w:id="699"/>
      <w:bookmarkEnd w:id="700"/>
    </w:p>
    <w:p w14:paraId="2F4524E9">
      <w:pPr>
        <w:pStyle w:val="138"/>
        <w:ind w:firstLine="480"/>
        <w:rPr>
          <w:rFonts w:hint="eastAsia"/>
          <w:color w:val="000000"/>
        </w:rPr>
      </w:pPr>
      <w:r>
        <w:rPr>
          <w:rFonts w:hint="eastAsia"/>
          <w:color w:val="000000"/>
        </w:rPr>
        <w:t>突发环境事件应急预案编制要求</w:t>
      </w:r>
    </w:p>
    <w:p w14:paraId="0AA5D291">
      <w:pPr>
        <w:pStyle w:val="117"/>
        <w:ind w:firstLine="480"/>
        <w:rPr>
          <w:color w:val="000000"/>
        </w:rPr>
      </w:pPr>
      <w:r>
        <w:rPr>
          <w:rFonts w:hint="eastAsia"/>
          <w:color w:val="000000"/>
        </w:rPr>
        <w:t>根据《企业事业单位突发环境事件应急预案备案管理办法（试行）》（环发〔2015〕4号），建设单位应修订企业环境风险应急预案，并应当在建设项目投入生产或者使用前，按照该办法第十五条要求，向建设项目所在地受理部门备案。</w:t>
      </w:r>
    </w:p>
    <w:p w14:paraId="168BC8F0">
      <w:pPr>
        <w:pStyle w:val="117"/>
        <w:ind w:firstLine="480"/>
        <w:rPr>
          <w:color w:val="000000"/>
        </w:rPr>
      </w:pPr>
      <w:r>
        <w:rPr>
          <w:rFonts w:hint="eastAsia"/>
          <w:color w:val="000000"/>
        </w:rPr>
        <w:t>本项目突发环境事件应急预案编制提纲见表7</w:t>
      </w:r>
      <w:r>
        <w:rPr>
          <w:color w:val="000000"/>
        </w:rPr>
        <w:t>.</w:t>
      </w:r>
      <w:r>
        <w:rPr>
          <w:rFonts w:hint="eastAsia"/>
          <w:color w:val="000000"/>
        </w:rPr>
        <w:t>9</w:t>
      </w:r>
      <w:r>
        <w:rPr>
          <w:color w:val="000000"/>
        </w:rPr>
        <w:t>-1</w:t>
      </w:r>
      <w:r>
        <w:rPr>
          <w:rFonts w:hint="eastAsia"/>
          <w:color w:val="000000"/>
        </w:rPr>
        <w:t>，可供建设单位制定应急预案参考。</w:t>
      </w:r>
      <w:bookmarkStart w:id="701" w:name="_Ref81993549"/>
    </w:p>
    <w:p w14:paraId="0BA864E0">
      <w:pPr>
        <w:pStyle w:val="118"/>
        <w:ind w:firstLine="480"/>
      </w:pPr>
      <w:r>
        <w:rPr>
          <w:rFonts w:hint="eastAsia"/>
        </w:rPr>
        <w:t>表</w:t>
      </w:r>
      <w:bookmarkEnd w:id="701"/>
      <w:r>
        <w:rPr>
          <w:rFonts w:hint="eastAsia"/>
        </w:rPr>
        <w:t>7</w:t>
      </w:r>
      <w:r>
        <w:t>.</w:t>
      </w:r>
      <w:r>
        <w:rPr>
          <w:rFonts w:hint="eastAsia"/>
        </w:rPr>
        <w:t>9</w:t>
      </w:r>
      <w:r>
        <w:t xml:space="preserve">-1    </w:t>
      </w:r>
      <w:r>
        <w:rPr>
          <w:rFonts w:hint="eastAsia"/>
        </w:rPr>
        <w:t>环境风险的突发性事故应急预案</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37"/>
        <w:gridCol w:w="1861"/>
        <w:gridCol w:w="6407"/>
      </w:tblGrid>
      <w:tr w14:paraId="42EEA0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jc w:val="center"/>
        </w:trPr>
        <w:tc>
          <w:tcPr>
            <w:tcW w:w="948" w:type="dxa"/>
            <w:vAlign w:val="center"/>
          </w:tcPr>
          <w:p w14:paraId="56329601">
            <w:pPr>
              <w:pStyle w:val="133"/>
              <w:rPr>
                <w:b/>
                <w:bCs/>
                <w:color w:val="000000"/>
              </w:rPr>
            </w:pPr>
            <w:r>
              <w:rPr>
                <w:b/>
                <w:bCs/>
                <w:color w:val="000000"/>
              </w:rPr>
              <w:t>章节</w:t>
            </w:r>
          </w:p>
        </w:tc>
        <w:tc>
          <w:tcPr>
            <w:tcW w:w="1701" w:type="dxa"/>
            <w:vAlign w:val="center"/>
          </w:tcPr>
          <w:p w14:paraId="6DB179C7">
            <w:pPr>
              <w:pStyle w:val="133"/>
              <w:rPr>
                <w:b/>
                <w:bCs/>
                <w:color w:val="000000"/>
              </w:rPr>
            </w:pPr>
            <w:r>
              <w:rPr>
                <w:b/>
                <w:bCs/>
                <w:color w:val="000000"/>
              </w:rPr>
              <w:t>项目</w:t>
            </w:r>
          </w:p>
        </w:tc>
        <w:tc>
          <w:tcPr>
            <w:tcW w:w="5856" w:type="dxa"/>
            <w:vAlign w:val="center"/>
          </w:tcPr>
          <w:p w14:paraId="4C99CA31">
            <w:pPr>
              <w:pStyle w:val="133"/>
              <w:rPr>
                <w:b/>
                <w:bCs/>
                <w:color w:val="000000"/>
              </w:rPr>
            </w:pPr>
            <w:r>
              <w:rPr>
                <w:b/>
                <w:bCs/>
                <w:color w:val="000000"/>
              </w:rPr>
              <w:t>内容及要求</w:t>
            </w:r>
          </w:p>
        </w:tc>
      </w:tr>
      <w:tr w14:paraId="428F2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5785B686">
            <w:pPr>
              <w:pStyle w:val="133"/>
              <w:rPr>
                <w:color w:val="000000"/>
              </w:rPr>
            </w:pPr>
            <w:r>
              <w:rPr>
                <w:color w:val="000000"/>
              </w:rPr>
              <w:t>1总则</w:t>
            </w:r>
          </w:p>
        </w:tc>
        <w:tc>
          <w:tcPr>
            <w:tcW w:w="1701" w:type="dxa"/>
            <w:vAlign w:val="center"/>
          </w:tcPr>
          <w:p w14:paraId="3FB80A45">
            <w:pPr>
              <w:pStyle w:val="133"/>
              <w:rPr>
                <w:color w:val="000000"/>
              </w:rPr>
            </w:pPr>
            <w:r>
              <w:rPr>
                <w:color w:val="000000"/>
              </w:rPr>
              <w:t>1.1编制目的</w:t>
            </w:r>
          </w:p>
        </w:tc>
        <w:tc>
          <w:tcPr>
            <w:tcW w:w="5856" w:type="dxa"/>
            <w:vAlign w:val="center"/>
          </w:tcPr>
          <w:p w14:paraId="126EDFDF">
            <w:pPr>
              <w:pStyle w:val="133"/>
              <w:rPr>
                <w:color w:val="000000"/>
              </w:rPr>
            </w:pPr>
            <w:r>
              <w:rPr>
                <w:color w:val="000000"/>
              </w:rPr>
              <w:t>提高应急能力，规范处置程序、明确相关职责。对实际发生的环境风险事故和紧急情况作出响应，预防和减少伴随的环境影响。</w:t>
            </w:r>
          </w:p>
        </w:tc>
      </w:tr>
      <w:tr w14:paraId="7FA2C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093AFC1E">
            <w:pPr>
              <w:pStyle w:val="133"/>
              <w:rPr>
                <w:color w:val="000000"/>
              </w:rPr>
            </w:pPr>
          </w:p>
        </w:tc>
        <w:tc>
          <w:tcPr>
            <w:tcW w:w="1701" w:type="dxa"/>
            <w:vAlign w:val="center"/>
          </w:tcPr>
          <w:p w14:paraId="36E6CD36">
            <w:pPr>
              <w:pStyle w:val="133"/>
              <w:rPr>
                <w:color w:val="000000"/>
              </w:rPr>
            </w:pPr>
            <w:r>
              <w:rPr>
                <w:color w:val="000000"/>
              </w:rPr>
              <w:t>1.2编制依据</w:t>
            </w:r>
          </w:p>
        </w:tc>
        <w:tc>
          <w:tcPr>
            <w:tcW w:w="5856" w:type="dxa"/>
            <w:vAlign w:val="center"/>
          </w:tcPr>
          <w:p w14:paraId="4F5B60F1">
            <w:pPr>
              <w:pStyle w:val="133"/>
              <w:rPr>
                <w:color w:val="000000"/>
              </w:rPr>
            </w:pPr>
            <w:r>
              <w:rPr>
                <w:color w:val="000000"/>
              </w:rPr>
              <w:t>规范性引用相关的法律、法规和规章</w:t>
            </w:r>
          </w:p>
        </w:tc>
      </w:tr>
      <w:tr w14:paraId="798311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238FFBA0">
            <w:pPr>
              <w:pStyle w:val="133"/>
              <w:rPr>
                <w:color w:val="000000"/>
              </w:rPr>
            </w:pPr>
          </w:p>
        </w:tc>
        <w:tc>
          <w:tcPr>
            <w:tcW w:w="1701" w:type="dxa"/>
            <w:vAlign w:val="center"/>
          </w:tcPr>
          <w:p w14:paraId="65B4EE48">
            <w:pPr>
              <w:pStyle w:val="133"/>
              <w:rPr>
                <w:color w:val="000000"/>
              </w:rPr>
            </w:pPr>
            <w:r>
              <w:rPr>
                <w:color w:val="000000"/>
              </w:rPr>
              <w:t>1.3事件分级</w:t>
            </w:r>
          </w:p>
        </w:tc>
        <w:tc>
          <w:tcPr>
            <w:tcW w:w="5856" w:type="dxa"/>
            <w:vAlign w:val="center"/>
          </w:tcPr>
          <w:p w14:paraId="69263318">
            <w:pPr>
              <w:pStyle w:val="133"/>
              <w:rPr>
                <w:color w:val="000000"/>
              </w:rPr>
            </w:pPr>
            <w:r>
              <w:rPr>
                <w:color w:val="000000"/>
              </w:rPr>
              <w:t>按</w:t>
            </w:r>
            <w:r>
              <w:rPr>
                <w:rFonts w:hint="eastAsia"/>
                <w:color w:val="000000"/>
              </w:rPr>
              <w:t>生态环境部</w:t>
            </w:r>
            <w:r>
              <w:rPr>
                <w:color w:val="000000"/>
              </w:rPr>
              <w:t>分级标准</w:t>
            </w:r>
          </w:p>
        </w:tc>
      </w:tr>
      <w:tr w14:paraId="58DCD7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3455CA76">
            <w:pPr>
              <w:pStyle w:val="133"/>
              <w:rPr>
                <w:color w:val="000000"/>
              </w:rPr>
            </w:pPr>
          </w:p>
        </w:tc>
        <w:tc>
          <w:tcPr>
            <w:tcW w:w="1701" w:type="dxa"/>
            <w:vAlign w:val="center"/>
          </w:tcPr>
          <w:p w14:paraId="5A44E982">
            <w:pPr>
              <w:pStyle w:val="133"/>
              <w:rPr>
                <w:color w:val="000000"/>
              </w:rPr>
            </w:pPr>
            <w:r>
              <w:rPr>
                <w:color w:val="000000"/>
              </w:rPr>
              <w:t>1.4适用范围</w:t>
            </w:r>
          </w:p>
        </w:tc>
        <w:tc>
          <w:tcPr>
            <w:tcW w:w="5856" w:type="dxa"/>
            <w:vAlign w:val="center"/>
          </w:tcPr>
          <w:p w14:paraId="20BEF57F">
            <w:pPr>
              <w:pStyle w:val="133"/>
              <w:rPr>
                <w:color w:val="000000"/>
              </w:rPr>
            </w:pPr>
            <w:r>
              <w:rPr>
                <w:color w:val="000000"/>
              </w:rPr>
              <w:t>说明预案适用范围，明确应急预案与内部企业应急预案和外部其他应急预案的关系，表述预案横向关联及上下衔接关系</w:t>
            </w:r>
          </w:p>
        </w:tc>
      </w:tr>
      <w:tr w14:paraId="75FE01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2B4D35E5">
            <w:pPr>
              <w:pStyle w:val="133"/>
              <w:rPr>
                <w:color w:val="000000"/>
              </w:rPr>
            </w:pPr>
          </w:p>
        </w:tc>
        <w:tc>
          <w:tcPr>
            <w:tcW w:w="1701" w:type="dxa"/>
            <w:vAlign w:val="center"/>
          </w:tcPr>
          <w:p w14:paraId="4C194990">
            <w:pPr>
              <w:pStyle w:val="133"/>
              <w:rPr>
                <w:color w:val="000000"/>
              </w:rPr>
            </w:pPr>
            <w:r>
              <w:rPr>
                <w:color w:val="000000"/>
              </w:rPr>
              <w:t>1.5工作原则</w:t>
            </w:r>
          </w:p>
        </w:tc>
        <w:tc>
          <w:tcPr>
            <w:tcW w:w="5856" w:type="dxa"/>
            <w:vAlign w:val="center"/>
          </w:tcPr>
          <w:p w14:paraId="0127FC12">
            <w:pPr>
              <w:pStyle w:val="133"/>
              <w:rPr>
                <w:color w:val="000000"/>
              </w:rPr>
            </w:pPr>
            <w:r>
              <w:rPr>
                <w:color w:val="000000"/>
              </w:rPr>
              <w:t>以人为本，预防为主、科学应对、高效处置</w:t>
            </w:r>
          </w:p>
        </w:tc>
      </w:tr>
      <w:tr w14:paraId="79EA9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2C8A7A7D">
            <w:pPr>
              <w:pStyle w:val="133"/>
              <w:rPr>
                <w:color w:val="000000"/>
              </w:rPr>
            </w:pPr>
            <w:r>
              <w:rPr>
                <w:color w:val="000000"/>
              </w:rPr>
              <w:t>2企业概况</w:t>
            </w:r>
          </w:p>
        </w:tc>
        <w:tc>
          <w:tcPr>
            <w:tcW w:w="1701" w:type="dxa"/>
            <w:vAlign w:val="center"/>
          </w:tcPr>
          <w:p w14:paraId="5789C707">
            <w:pPr>
              <w:pStyle w:val="133"/>
              <w:rPr>
                <w:color w:val="000000"/>
              </w:rPr>
            </w:pPr>
            <w:r>
              <w:rPr>
                <w:color w:val="000000"/>
              </w:rPr>
              <w:t>2.1企业基本情况</w:t>
            </w:r>
          </w:p>
        </w:tc>
        <w:tc>
          <w:tcPr>
            <w:tcW w:w="5856" w:type="dxa"/>
            <w:vAlign w:val="center"/>
          </w:tcPr>
          <w:p w14:paraId="5BA54B88">
            <w:pPr>
              <w:pStyle w:val="133"/>
              <w:rPr>
                <w:color w:val="000000"/>
              </w:rPr>
            </w:pPr>
            <w:r>
              <w:rPr>
                <w:color w:val="000000"/>
              </w:rPr>
              <w:t>包括隶属关系、地理位置、行业类别、规模、原料、产品、产能等</w:t>
            </w:r>
          </w:p>
          <w:p w14:paraId="6F4F8123">
            <w:pPr>
              <w:pStyle w:val="133"/>
              <w:rPr>
                <w:color w:val="000000"/>
              </w:rPr>
            </w:pPr>
            <w:r>
              <w:rPr>
                <w:color w:val="000000"/>
              </w:rPr>
              <w:t>（1）单位名称，详细地址，地理位置（经纬度），所处地形地貌、厂址的特殊状况等（如上坡地）等；</w:t>
            </w:r>
          </w:p>
          <w:p w14:paraId="581A08A9">
            <w:pPr>
              <w:pStyle w:val="133"/>
              <w:rPr>
                <w:color w:val="000000"/>
              </w:rPr>
            </w:pPr>
            <w:r>
              <w:rPr>
                <w:color w:val="000000"/>
              </w:rPr>
              <w:t>（2）单位经济性质隶属关系、正常上班人数，来往人数（原料供应商及客户）等；</w:t>
            </w:r>
          </w:p>
          <w:p w14:paraId="79CB196D">
            <w:pPr>
              <w:pStyle w:val="133"/>
              <w:rPr>
                <w:color w:val="000000"/>
              </w:rPr>
            </w:pPr>
            <w:r>
              <w:rPr>
                <w:color w:val="000000"/>
              </w:rPr>
              <w:t>（3）主、副产品及生产过程的中间体等名称及年产量，原材料、燃料名称及年用量，列出危险物质的明细表等；</w:t>
            </w:r>
          </w:p>
          <w:p w14:paraId="7F9B6939">
            <w:pPr>
              <w:pStyle w:val="133"/>
              <w:rPr>
                <w:color w:val="000000"/>
              </w:rPr>
            </w:pPr>
            <w:r>
              <w:rPr>
                <w:color w:val="000000"/>
              </w:rPr>
              <w:t>（4）当地气候（气象）特征，降雨量及暴雨期等</w:t>
            </w:r>
          </w:p>
          <w:p w14:paraId="0820AF04">
            <w:pPr>
              <w:pStyle w:val="133"/>
              <w:rPr>
                <w:color w:val="000000"/>
              </w:rPr>
            </w:pPr>
            <w:r>
              <w:rPr>
                <w:color w:val="000000"/>
              </w:rPr>
              <w:t>（5）生产工艺流程说明，主要生产装置说明，危险物质贮存方式（槽、罐、池、坑、堆放等）、最大容量及日常储量，</w:t>
            </w:r>
          </w:p>
          <w:p w14:paraId="68E6D0F1">
            <w:pPr>
              <w:pStyle w:val="133"/>
              <w:rPr>
                <w:color w:val="000000"/>
              </w:rPr>
            </w:pPr>
            <w:r>
              <w:rPr>
                <w:color w:val="000000"/>
              </w:rPr>
              <w:t>（6）危险废物、危险化学品、污染物的产生量，污染治理设施去除量及处理后废物产生量，工艺流程说明及主要设备、构筑物说明，企业其它环境保护措施等</w:t>
            </w:r>
          </w:p>
        </w:tc>
      </w:tr>
      <w:tr w14:paraId="00B7EB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37FC5A9C">
            <w:pPr>
              <w:pStyle w:val="133"/>
              <w:rPr>
                <w:color w:val="000000"/>
              </w:rPr>
            </w:pPr>
          </w:p>
        </w:tc>
        <w:tc>
          <w:tcPr>
            <w:tcW w:w="1701" w:type="dxa"/>
            <w:vAlign w:val="center"/>
          </w:tcPr>
          <w:p w14:paraId="672CE2C5">
            <w:pPr>
              <w:pStyle w:val="133"/>
              <w:rPr>
                <w:color w:val="000000"/>
              </w:rPr>
            </w:pPr>
            <w:r>
              <w:rPr>
                <w:color w:val="000000"/>
              </w:rPr>
              <w:t>2.2周边环境敏感点</w:t>
            </w:r>
          </w:p>
        </w:tc>
        <w:tc>
          <w:tcPr>
            <w:tcW w:w="5856" w:type="dxa"/>
            <w:vAlign w:val="center"/>
          </w:tcPr>
          <w:p w14:paraId="40048013">
            <w:pPr>
              <w:pStyle w:val="133"/>
              <w:rPr>
                <w:color w:val="000000"/>
              </w:rPr>
            </w:pPr>
            <w:r>
              <w:rPr>
                <w:color w:val="000000"/>
              </w:rPr>
              <w:t>明确生产经营单位周围的大气和水体保护目标，主要有饮用水源保护区、自然保护区和重要渔业水域、珍稀水生生物栖息地，人口集中居住区和《建设项目环境保护分类管理目录》确定</w:t>
            </w:r>
            <w:r>
              <w:rPr>
                <w:rFonts w:hint="eastAsia"/>
                <w:color w:val="000000"/>
              </w:rPr>
              <w:t>的其他</w:t>
            </w:r>
            <w:r>
              <w:rPr>
                <w:color w:val="000000"/>
              </w:rPr>
              <w:t>敏感区域及其附近。</w:t>
            </w:r>
          </w:p>
          <w:p w14:paraId="07B230F2">
            <w:pPr>
              <w:pStyle w:val="133"/>
              <w:rPr>
                <w:color w:val="000000"/>
              </w:rPr>
            </w:pPr>
            <w:r>
              <w:rPr>
                <w:color w:val="000000"/>
              </w:rPr>
              <w:t>（1）周边区域居民点（区）、自然村、学校、机关等社会关注区的名称，人数，与单位的距离和方位图；周边企业的基本情况。</w:t>
            </w:r>
          </w:p>
          <w:p w14:paraId="5A0C77CC">
            <w:pPr>
              <w:pStyle w:val="133"/>
              <w:rPr>
                <w:color w:val="000000"/>
              </w:rPr>
            </w:pPr>
            <w:r>
              <w:rPr>
                <w:color w:val="000000"/>
              </w:rPr>
              <w:t>（2）产生污水排放去向；</w:t>
            </w:r>
          </w:p>
          <w:p w14:paraId="2B5CBCAE">
            <w:pPr>
              <w:pStyle w:val="133"/>
              <w:rPr>
                <w:color w:val="000000"/>
              </w:rPr>
            </w:pPr>
            <w:r>
              <w:rPr>
                <w:color w:val="000000"/>
              </w:rPr>
              <w:t>（3）下游水体水源保护区的情况、功能区说明，流域名称、所属水系；</w:t>
            </w:r>
          </w:p>
          <w:p w14:paraId="1FBF2472">
            <w:pPr>
              <w:pStyle w:val="133"/>
              <w:rPr>
                <w:color w:val="000000"/>
              </w:rPr>
            </w:pPr>
            <w:r>
              <w:rPr>
                <w:color w:val="000000"/>
              </w:rPr>
              <w:t>（4）下游饮用水源、自然保护区情况，供水设施服务区及人口、设计规模及日供水量、联系方式；取水名称、地点及距离、地理位置（经纬度）等；地下水取水情况，服务范围内灌溉面积、基本农田保护区情况；</w:t>
            </w:r>
          </w:p>
          <w:p w14:paraId="02E5FCF7">
            <w:pPr>
              <w:pStyle w:val="133"/>
              <w:rPr>
                <w:color w:val="000000"/>
              </w:rPr>
            </w:pPr>
            <w:r>
              <w:rPr>
                <w:color w:val="000000"/>
              </w:rPr>
              <w:t>（5）周边区域道路情况及距离，交通干线流量等；</w:t>
            </w:r>
          </w:p>
          <w:p w14:paraId="4C263126">
            <w:pPr>
              <w:pStyle w:val="133"/>
              <w:rPr>
                <w:color w:val="000000"/>
              </w:rPr>
            </w:pPr>
            <w:r>
              <w:rPr>
                <w:color w:val="000000"/>
              </w:rPr>
              <w:t>（6）区域空气质量执行标准；</w:t>
            </w:r>
          </w:p>
          <w:p w14:paraId="70385918">
            <w:pPr>
              <w:pStyle w:val="133"/>
              <w:rPr>
                <w:color w:val="000000"/>
              </w:rPr>
            </w:pPr>
            <w:r>
              <w:rPr>
                <w:color w:val="000000"/>
              </w:rPr>
              <w:t>（7）运输（输送）路线中的环境保护目标说明；</w:t>
            </w:r>
          </w:p>
          <w:p w14:paraId="3CBED9D7">
            <w:pPr>
              <w:pStyle w:val="133"/>
              <w:rPr>
                <w:color w:val="000000"/>
              </w:rPr>
            </w:pPr>
            <w:r>
              <w:rPr>
                <w:color w:val="000000"/>
              </w:rPr>
              <w:t>其他周边环境敏感区情况及说明；</w:t>
            </w:r>
          </w:p>
        </w:tc>
      </w:tr>
      <w:tr w14:paraId="12521B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2AC49C58">
            <w:pPr>
              <w:pStyle w:val="133"/>
              <w:rPr>
                <w:color w:val="000000"/>
              </w:rPr>
            </w:pPr>
            <w:r>
              <w:rPr>
                <w:color w:val="000000"/>
              </w:rPr>
              <w:t>3应急组织体系</w:t>
            </w:r>
          </w:p>
        </w:tc>
        <w:tc>
          <w:tcPr>
            <w:tcW w:w="1701" w:type="dxa"/>
            <w:vAlign w:val="center"/>
          </w:tcPr>
          <w:p w14:paraId="53AEB4C2">
            <w:pPr>
              <w:pStyle w:val="133"/>
              <w:rPr>
                <w:color w:val="000000"/>
              </w:rPr>
            </w:pPr>
            <w:r>
              <w:rPr>
                <w:color w:val="000000"/>
              </w:rPr>
              <w:t>3.1应急指挥机构</w:t>
            </w:r>
          </w:p>
        </w:tc>
        <w:tc>
          <w:tcPr>
            <w:tcW w:w="5856" w:type="dxa"/>
            <w:vAlign w:val="center"/>
          </w:tcPr>
          <w:p w14:paraId="7059652E">
            <w:pPr>
              <w:pStyle w:val="133"/>
              <w:rPr>
                <w:color w:val="000000"/>
              </w:rPr>
            </w:pPr>
            <w:r>
              <w:rPr>
                <w:color w:val="000000"/>
              </w:rPr>
              <w:t>生产经营单位应成立应急救援指挥部，由主要负责人担任指挥部总指挥和副总指挥，其他环保、安全、设备等部门领导组成指挥部成员。应急救援指挥部主要职责：</w:t>
            </w:r>
          </w:p>
          <w:p w14:paraId="308B910B">
            <w:pPr>
              <w:pStyle w:val="133"/>
              <w:rPr>
                <w:color w:val="000000"/>
              </w:rPr>
            </w:pPr>
            <w:r>
              <w:rPr>
                <w:color w:val="000000"/>
              </w:rPr>
              <w:t>（1）贯彻执行国家、当地政府、上级主管部门关于突发环境污染事故发生和应急救援的方针、政策及有关规定。</w:t>
            </w:r>
          </w:p>
          <w:p w14:paraId="75482C3C">
            <w:pPr>
              <w:pStyle w:val="133"/>
              <w:rPr>
                <w:color w:val="000000"/>
              </w:rPr>
            </w:pPr>
            <w:r>
              <w:rPr>
                <w:color w:val="000000"/>
              </w:rPr>
              <w:t>（2）组织制定、修改环境污染事故应急救援预案，组建环境污染事故应急救援队伍，有计划地组织实施环境污染事故应急救援的培训和演习。</w:t>
            </w:r>
          </w:p>
          <w:p w14:paraId="6CD5E072">
            <w:pPr>
              <w:pStyle w:val="133"/>
              <w:rPr>
                <w:color w:val="000000"/>
              </w:rPr>
            </w:pPr>
            <w:r>
              <w:rPr>
                <w:color w:val="000000"/>
              </w:rPr>
              <w:t>（3）审批并落实环境污染事故应急救援所需的监测仪器、防护器材、救援器材等的购置。</w:t>
            </w:r>
          </w:p>
          <w:p w14:paraId="64106FEC">
            <w:pPr>
              <w:pStyle w:val="133"/>
              <w:rPr>
                <w:color w:val="000000"/>
              </w:rPr>
            </w:pPr>
            <w:r>
              <w:rPr>
                <w:color w:val="000000"/>
              </w:rPr>
              <w:t>（4）检查、督促做好环境污染事故的预防措施和应急救援的各项准备工作，督促、协助有关部门及时消除有毒有害介质的跑、冒、滴、漏。</w:t>
            </w:r>
          </w:p>
          <w:p w14:paraId="65A289F9">
            <w:pPr>
              <w:pStyle w:val="133"/>
              <w:rPr>
                <w:color w:val="000000"/>
              </w:rPr>
            </w:pPr>
            <w:r>
              <w:rPr>
                <w:color w:val="000000"/>
              </w:rPr>
              <w:t>（5）批准应急救援的启动和终止。</w:t>
            </w:r>
          </w:p>
          <w:p w14:paraId="2793FC1C">
            <w:pPr>
              <w:pStyle w:val="133"/>
              <w:rPr>
                <w:color w:val="000000"/>
              </w:rPr>
            </w:pPr>
            <w:r>
              <w:rPr>
                <w:color w:val="000000"/>
              </w:rPr>
              <w:t>（6）及时向上级报告环境污染事故的具体情况，必要时向有关单位发出增援请求，并向周边单位通报相关情况。</w:t>
            </w:r>
          </w:p>
          <w:p w14:paraId="733B922A">
            <w:pPr>
              <w:pStyle w:val="133"/>
              <w:rPr>
                <w:color w:val="000000"/>
              </w:rPr>
            </w:pPr>
            <w:r>
              <w:rPr>
                <w:color w:val="000000"/>
              </w:rPr>
              <w:t>（7）组织指挥救援队伍实施救援行动，负责人员、资源配置、应急队伍的调动。</w:t>
            </w:r>
          </w:p>
          <w:p w14:paraId="4F6346D9">
            <w:pPr>
              <w:pStyle w:val="133"/>
              <w:rPr>
                <w:color w:val="000000"/>
              </w:rPr>
            </w:pPr>
            <w:r>
              <w:rPr>
                <w:color w:val="000000"/>
              </w:rPr>
              <w:t>（8）协调事故现场有关工作。配合政府部门对环境进行恢复、事故调查、经验教训总结。</w:t>
            </w:r>
          </w:p>
          <w:p w14:paraId="2EA1DAC2">
            <w:pPr>
              <w:pStyle w:val="133"/>
              <w:rPr>
                <w:color w:val="000000"/>
              </w:rPr>
            </w:pPr>
            <w:r>
              <w:rPr>
                <w:color w:val="000000"/>
              </w:rPr>
              <w:t>负责对员工进行应急知识和基本防护方法的培训，向周边企业、村落提供本单位有关危险化学品特性、救援知识等的宣传材料。</w:t>
            </w:r>
          </w:p>
        </w:tc>
      </w:tr>
      <w:tr w14:paraId="4F75E2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7302FF5D">
            <w:pPr>
              <w:pStyle w:val="133"/>
              <w:rPr>
                <w:color w:val="000000"/>
              </w:rPr>
            </w:pPr>
          </w:p>
        </w:tc>
        <w:tc>
          <w:tcPr>
            <w:tcW w:w="1701" w:type="dxa"/>
            <w:vAlign w:val="center"/>
          </w:tcPr>
          <w:p w14:paraId="550B8114">
            <w:pPr>
              <w:pStyle w:val="133"/>
              <w:rPr>
                <w:color w:val="000000"/>
              </w:rPr>
            </w:pPr>
            <w:r>
              <w:rPr>
                <w:color w:val="000000"/>
              </w:rPr>
              <w:t>3.2应急救援专业队伍</w:t>
            </w:r>
          </w:p>
        </w:tc>
        <w:tc>
          <w:tcPr>
            <w:tcW w:w="5856" w:type="dxa"/>
            <w:vAlign w:val="center"/>
          </w:tcPr>
          <w:p w14:paraId="3563C47E">
            <w:pPr>
              <w:pStyle w:val="133"/>
              <w:rPr>
                <w:color w:val="000000"/>
              </w:rPr>
            </w:pPr>
            <w:r>
              <w:rPr>
                <w:color w:val="000000"/>
              </w:rPr>
              <w:t>生产经营单位依据自身条件和可能发生的突发环境污染事故的类型建立应急救援专业队伍，包括应急处置专家组、通讯联络队、抢险抢修队、侦检抢救队、医疗救护队、应急消防队、治安队、物资供应队和应急环境监测组等专业救援队伍，并明确各专业救援队伍的具体职责和任务，以便在发生环境污染事故时，在指挥部的统一指挥下，快速、有序、有效地开展应急救援行动，以尽快处置事故，使事故的危害降到最低。</w:t>
            </w:r>
          </w:p>
        </w:tc>
      </w:tr>
      <w:tr w14:paraId="72738E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7884E214">
            <w:pPr>
              <w:pStyle w:val="133"/>
              <w:rPr>
                <w:color w:val="000000"/>
              </w:rPr>
            </w:pPr>
            <w:r>
              <w:rPr>
                <w:color w:val="000000"/>
              </w:rPr>
              <w:t>4环境风险分析</w:t>
            </w:r>
          </w:p>
        </w:tc>
        <w:tc>
          <w:tcPr>
            <w:tcW w:w="1701" w:type="dxa"/>
            <w:vAlign w:val="center"/>
          </w:tcPr>
          <w:p w14:paraId="1CE20910">
            <w:pPr>
              <w:pStyle w:val="133"/>
              <w:rPr>
                <w:color w:val="000000"/>
              </w:rPr>
            </w:pPr>
            <w:r>
              <w:rPr>
                <w:color w:val="000000"/>
              </w:rPr>
              <w:t>4.1环境风险评价</w:t>
            </w:r>
          </w:p>
        </w:tc>
        <w:tc>
          <w:tcPr>
            <w:tcW w:w="5856" w:type="dxa"/>
            <w:vAlign w:val="center"/>
          </w:tcPr>
          <w:p w14:paraId="26825E97">
            <w:pPr>
              <w:pStyle w:val="133"/>
              <w:rPr>
                <w:color w:val="000000"/>
              </w:rPr>
            </w:pPr>
            <w:r>
              <w:rPr>
                <w:color w:val="000000"/>
              </w:rPr>
              <w:t>环境风险评价</w:t>
            </w:r>
          </w:p>
        </w:tc>
      </w:tr>
      <w:tr w14:paraId="31770D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561CDE89">
            <w:pPr>
              <w:pStyle w:val="133"/>
              <w:rPr>
                <w:color w:val="000000"/>
              </w:rPr>
            </w:pPr>
          </w:p>
        </w:tc>
        <w:tc>
          <w:tcPr>
            <w:tcW w:w="1701" w:type="dxa"/>
            <w:vAlign w:val="center"/>
          </w:tcPr>
          <w:p w14:paraId="2C9223EF">
            <w:pPr>
              <w:pStyle w:val="133"/>
              <w:rPr>
                <w:color w:val="000000"/>
              </w:rPr>
            </w:pPr>
            <w:r>
              <w:rPr>
                <w:color w:val="000000"/>
              </w:rPr>
              <w:t>4.2环境风险源分析</w:t>
            </w:r>
          </w:p>
        </w:tc>
        <w:tc>
          <w:tcPr>
            <w:tcW w:w="5856" w:type="dxa"/>
            <w:vAlign w:val="center"/>
          </w:tcPr>
          <w:p w14:paraId="7D794C75">
            <w:pPr>
              <w:pStyle w:val="133"/>
              <w:rPr>
                <w:color w:val="000000"/>
              </w:rPr>
            </w:pPr>
            <w:r>
              <w:rPr>
                <w:color w:val="000000"/>
              </w:rPr>
              <w:t>企业环境风险单元分析，辨识重大风险源</w:t>
            </w:r>
          </w:p>
        </w:tc>
      </w:tr>
      <w:tr w14:paraId="380CF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3F3BAE5E">
            <w:pPr>
              <w:pStyle w:val="133"/>
              <w:rPr>
                <w:color w:val="000000"/>
              </w:rPr>
            </w:pPr>
          </w:p>
        </w:tc>
        <w:tc>
          <w:tcPr>
            <w:tcW w:w="1701" w:type="dxa"/>
            <w:vAlign w:val="center"/>
          </w:tcPr>
          <w:p w14:paraId="6F9D2A68">
            <w:pPr>
              <w:pStyle w:val="133"/>
              <w:rPr>
                <w:color w:val="000000"/>
              </w:rPr>
            </w:pPr>
            <w:r>
              <w:rPr>
                <w:color w:val="000000"/>
              </w:rPr>
              <w:t>4.3最大可信事故及后果分析</w:t>
            </w:r>
          </w:p>
        </w:tc>
        <w:tc>
          <w:tcPr>
            <w:tcW w:w="5856" w:type="dxa"/>
            <w:vAlign w:val="center"/>
          </w:tcPr>
          <w:p w14:paraId="7B70C4F3">
            <w:pPr>
              <w:pStyle w:val="133"/>
              <w:rPr>
                <w:color w:val="000000"/>
              </w:rPr>
            </w:pPr>
            <w:r>
              <w:rPr>
                <w:color w:val="000000"/>
              </w:rPr>
              <w:t>根据确定的危险目标，明确其危险特性，对风险源可能发生的事故后果和事故波及范围进行分析。</w:t>
            </w:r>
          </w:p>
          <w:p w14:paraId="30409125">
            <w:pPr>
              <w:pStyle w:val="133"/>
              <w:rPr>
                <w:color w:val="000000"/>
              </w:rPr>
            </w:pPr>
            <w:r>
              <w:rPr>
                <w:color w:val="000000"/>
              </w:rPr>
              <w:t>对最大可信事故进行预测，重点突出有毒有害物质对地表水环境的影响分析。</w:t>
            </w:r>
          </w:p>
        </w:tc>
      </w:tr>
      <w:tr w14:paraId="1FB152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656409C7">
            <w:pPr>
              <w:pStyle w:val="133"/>
              <w:rPr>
                <w:color w:val="000000"/>
              </w:rPr>
            </w:pPr>
            <w:r>
              <w:rPr>
                <w:color w:val="000000"/>
              </w:rPr>
              <w:t>5</w:t>
            </w:r>
            <w:r>
              <w:rPr>
                <w:rFonts w:hint="eastAsia"/>
                <w:color w:val="000000"/>
              </w:rPr>
              <w:t>预防与预警</w:t>
            </w:r>
          </w:p>
        </w:tc>
        <w:tc>
          <w:tcPr>
            <w:tcW w:w="1701" w:type="dxa"/>
            <w:vAlign w:val="center"/>
          </w:tcPr>
          <w:p w14:paraId="49D811CD">
            <w:pPr>
              <w:pStyle w:val="133"/>
              <w:rPr>
                <w:color w:val="000000"/>
              </w:rPr>
            </w:pPr>
            <w:r>
              <w:rPr>
                <w:color w:val="000000"/>
              </w:rPr>
              <w:t>5.1环境风险防范措施</w:t>
            </w:r>
          </w:p>
        </w:tc>
        <w:tc>
          <w:tcPr>
            <w:tcW w:w="5856" w:type="dxa"/>
            <w:vAlign w:val="center"/>
          </w:tcPr>
          <w:p w14:paraId="012FBEA4">
            <w:pPr>
              <w:pStyle w:val="133"/>
              <w:rPr>
                <w:color w:val="000000"/>
              </w:rPr>
            </w:pPr>
            <w:r>
              <w:rPr>
                <w:color w:val="000000"/>
              </w:rPr>
              <w:t>风险源安全措施、风险源管理、风险隐患排查</w:t>
            </w:r>
          </w:p>
        </w:tc>
      </w:tr>
      <w:tr w14:paraId="731346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70C619AB">
            <w:pPr>
              <w:pStyle w:val="133"/>
              <w:rPr>
                <w:color w:val="000000"/>
              </w:rPr>
            </w:pPr>
          </w:p>
        </w:tc>
        <w:tc>
          <w:tcPr>
            <w:tcW w:w="1701" w:type="dxa"/>
            <w:vAlign w:val="center"/>
          </w:tcPr>
          <w:p w14:paraId="7AD3B1D6">
            <w:pPr>
              <w:pStyle w:val="133"/>
              <w:rPr>
                <w:color w:val="000000"/>
              </w:rPr>
            </w:pPr>
            <w:r>
              <w:rPr>
                <w:color w:val="000000"/>
              </w:rPr>
              <w:t>5.2预警分级与准备</w:t>
            </w:r>
          </w:p>
        </w:tc>
        <w:tc>
          <w:tcPr>
            <w:tcW w:w="5856" w:type="dxa"/>
            <w:vAlign w:val="center"/>
          </w:tcPr>
          <w:p w14:paraId="265A58F4">
            <w:pPr>
              <w:pStyle w:val="133"/>
              <w:rPr>
                <w:color w:val="000000"/>
              </w:rPr>
            </w:pPr>
            <w:r>
              <w:rPr>
                <w:color w:val="000000"/>
              </w:rPr>
              <w:t>针对环境污染事故危害程度、影响范围、生产经营单位内部控制事态的能力以及需要调动的应急资源，将预警分为不同的等级</w:t>
            </w:r>
          </w:p>
        </w:tc>
      </w:tr>
      <w:tr w14:paraId="7A7455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45718B80">
            <w:pPr>
              <w:pStyle w:val="133"/>
              <w:rPr>
                <w:color w:val="000000"/>
              </w:rPr>
            </w:pPr>
          </w:p>
        </w:tc>
        <w:tc>
          <w:tcPr>
            <w:tcW w:w="1701" w:type="dxa"/>
            <w:vAlign w:val="center"/>
          </w:tcPr>
          <w:p w14:paraId="30018026">
            <w:pPr>
              <w:pStyle w:val="133"/>
              <w:rPr>
                <w:color w:val="000000"/>
              </w:rPr>
            </w:pPr>
            <w:r>
              <w:rPr>
                <w:color w:val="000000"/>
              </w:rPr>
              <w:t>5.3预警发布与解除</w:t>
            </w:r>
          </w:p>
        </w:tc>
        <w:tc>
          <w:tcPr>
            <w:tcW w:w="5856" w:type="dxa"/>
            <w:vAlign w:val="center"/>
          </w:tcPr>
          <w:p w14:paraId="449DF2B1">
            <w:pPr>
              <w:pStyle w:val="133"/>
              <w:rPr>
                <w:color w:val="000000"/>
              </w:rPr>
            </w:pPr>
            <w:r>
              <w:rPr>
                <w:color w:val="000000"/>
              </w:rPr>
              <w:t>预警发布与解除程序</w:t>
            </w:r>
          </w:p>
        </w:tc>
      </w:tr>
      <w:tr w14:paraId="165AE0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5C07C4D5">
            <w:pPr>
              <w:pStyle w:val="133"/>
              <w:rPr>
                <w:color w:val="000000"/>
              </w:rPr>
            </w:pPr>
          </w:p>
        </w:tc>
        <w:tc>
          <w:tcPr>
            <w:tcW w:w="1701" w:type="dxa"/>
            <w:vAlign w:val="center"/>
          </w:tcPr>
          <w:p w14:paraId="31170A4E">
            <w:pPr>
              <w:pStyle w:val="133"/>
              <w:rPr>
                <w:color w:val="000000"/>
              </w:rPr>
            </w:pPr>
            <w:r>
              <w:rPr>
                <w:color w:val="000000"/>
              </w:rPr>
              <w:t>5.4预警措施</w:t>
            </w:r>
          </w:p>
        </w:tc>
        <w:tc>
          <w:tcPr>
            <w:tcW w:w="5856" w:type="dxa"/>
            <w:vAlign w:val="center"/>
          </w:tcPr>
          <w:p w14:paraId="5BF30D87">
            <w:pPr>
              <w:pStyle w:val="133"/>
              <w:rPr>
                <w:color w:val="000000"/>
              </w:rPr>
            </w:pPr>
            <w:r>
              <w:rPr>
                <w:color w:val="000000"/>
              </w:rPr>
              <w:t>预警相应措施</w:t>
            </w:r>
          </w:p>
        </w:tc>
      </w:tr>
      <w:tr w14:paraId="5A2201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377347ED">
            <w:pPr>
              <w:pStyle w:val="133"/>
              <w:rPr>
                <w:color w:val="000000"/>
              </w:rPr>
            </w:pPr>
            <w:r>
              <w:rPr>
                <w:color w:val="000000"/>
              </w:rPr>
              <w:t>6应急处置</w:t>
            </w:r>
          </w:p>
        </w:tc>
        <w:tc>
          <w:tcPr>
            <w:tcW w:w="1701" w:type="dxa"/>
            <w:vAlign w:val="center"/>
          </w:tcPr>
          <w:p w14:paraId="5C9B1D8C">
            <w:pPr>
              <w:pStyle w:val="133"/>
              <w:rPr>
                <w:color w:val="000000"/>
              </w:rPr>
            </w:pPr>
            <w:r>
              <w:rPr>
                <w:color w:val="000000"/>
              </w:rPr>
              <w:t>6.1应急预案启动</w:t>
            </w:r>
          </w:p>
        </w:tc>
        <w:tc>
          <w:tcPr>
            <w:tcW w:w="5856" w:type="dxa"/>
            <w:vAlign w:val="center"/>
          </w:tcPr>
          <w:p w14:paraId="45C96484">
            <w:pPr>
              <w:pStyle w:val="133"/>
              <w:rPr>
                <w:color w:val="000000"/>
              </w:rPr>
            </w:pPr>
            <w:r>
              <w:rPr>
                <w:color w:val="000000"/>
              </w:rPr>
              <w:t>启动应急预案的条件</w:t>
            </w:r>
          </w:p>
        </w:tc>
      </w:tr>
      <w:tr w14:paraId="6CE71F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65B0E977">
            <w:pPr>
              <w:pStyle w:val="133"/>
              <w:rPr>
                <w:color w:val="000000"/>
              </w:rPr>
            </w:pPr>
          </w:p>
        </w:tc>
        <w:tc>
          <w:tcPr>
            <w:tcW w:w="1701" w:type="dxa"/>
            <w:vAlign w:val="center"/>
          </w:tcPr>
          <w:p w14:paraId="4EF96A8C">
            <w:pPr>
              <w:pStyle w:val="133"/>
              <w:rPr>
                <w:color w:val="000000"/>
              </w:rPr>
            </w:pPr>
            <w:r>
              <w:rPr>
                <w:color w:val="000000"/>
              </w:rPr>
              <w:t>6.2信息报告</w:t>
            </w:r>
          </w:p>
        </w:tc>
        <w:tc>
          <w:tcPr>
            <w:tcW w:w="5856" w:type="dxa"/>
            <w:vAlign w:val="center"/>
          </w:tcPr>
          <w:p w14:paraId="5179616A">
            <w:pPr>
              <w:pStyle w:val="133"/>
              <w:rPr>
                <w:color w:val="000000"/>
              </w:rPr>
            </w:pPr>
            <w:r>
              <w:rPr>
                <w:color w:val="000000"/>
              </w:rPr>
              <w:t>明确信息报告和发布的程序、内容和方式。</w:t>
            </w:r>
          </w:p>
          <w:p w14:paraId="389AF035">
            <w:pPr>
              <w:pStyle w:val="133"/>
              <w:rPr>
                <w:color w:val="000000"/>
              </w:rPr>
            </w:pPr>
            <w:r>
              <w:rPr>
                <w:color w:val="000000"/>
              </w:rPr>
              <w:t>（1）企业内部报告程序；</w:t>
            </w:r>
          </w:p>
          <w:p w14:paraId="2AFDECC9">
            <w:pPr>
              <w:pStyle w:val="133"/>
              <w:rPr>
                <w:color w:val="000000"/>
              </w:rPr>
            </w:pPr>
            <w:r>
              <w:rPr>
                <w:color w:val="000000"/>
              </w:rPr>
              <w:t>（2）外部报告时限要求及程序；</w:t>
            </w:r>
          </w:p>
          <w:p w14:paraId="6A719217">
            <w:pPr>
              <w:pStyle w:val="133"/>
              <w:rPr>
                <w:color w:val="000000"/>
              </w:rPr>
            </w:pPr>
            <w:r>
              <w:rPr>
                <w:color w:val="000000"/>
              </w:rPr>
              <w:t>（3）事故报告内容（至少应包括事故发生的时间、地点、类型和排放污染物的种类、数量、直接经济损失、已采取的应急措施，已污染的范围，潜在的危害程度，转化方式趋向，可能受影响的区域及采取的措施建议）</w:t>
            </w:r>
          </w:p>
          <w:p w14:paraId="21FE699A">
            <w:pPr>
              <w:pStyle w:val="133"/>
              <w:rPr>
                <w:color w:val="000000"/>
              </w:rPr>
            </w:pPr>
            <w:r>
              <w:rPr>
                <w:color w:val="000000"/>
              </w:rPr>
              <w:t>（4）通报可能受影响的区域说明；</w:t>
            </w:r>
          </w:p>
          <w:p w14:paraId="38260C57">
            <w:pPr>
              <w:pStyle w:val="133"/>
              <w:rPr>
                <w:color w:val="000000"/>
              </w:rPr>
            </w:pPr>
            <w:r>
              <w:rPr>
                <w:color w:val="000000"/>
              </w:rPr>
              <w:t>（5）被报告人及联系方式的清单；</w:t>
            </w:r>
          </w:p>
          <w:p w14:paraId="26B445D1">
            <w:pPr>
              <w:pStyle w:val="133"/>
              <w:rPr>
                <w:color w:val="000000"/>
              </w:rPr>
            </w:pPr>
            <w:r>
              <w:rPr>
                <w:color w:val="000000"/>
              </w:rPr>
              <w:t>（6）24</w:t>
            </w:r>
            <w:r>
              <w:rPr>
                <w:rFonts w:hint="eastAsia"/>
                <w:color w:val="000000"/>
              </w:rPr>
              <w:t>h</w:t>
            </w:r>
            <w:r>
              <w:rPr>
                <w:color w:val="000000"/>
              </w:rPr>
              <w:t>有效的内部、外部通讯联络手段；</w:t>
            </w:r>
          </w:p>
        </w:tc>
      </w:tr>
      <w:tr w14:paraId="08D254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79A0B016">
            <w:pPr>
              <w:pStyle w:val="133"/>
              <w:rPr>
                <w:color w:val="000000"/>
              </w:rPr>
            </w:pPr>
          </w:p>
        </w:tc>
        <w:tc>
          <w:tcPr>
            <w:tcW w:w="1701" w:type="dxa"/>
            <w:vAlign w:val="center"/>
          </w:tcPr>
          <w:p w14:paraId="24902A37">
            <w:pPr>
              <w:pStyle w:val="133"/>
              <w:rPr>
                <w:color w:val="000000"/>
              </w:rPr>
            </w:pPr>
            <w:r>
              <w:rPr>
                <w:color w:val="000000"/>
              </w:rPr>
              <w:t>6.3分级响应</w:t>
            </w:r>
          </w:p>
        </w:tc>
        <w:tc>
          <w:tcPr>
            <w:tcW w:w="5856" w:type="dxa"/>
            <w:vAlign w:val="center"/>
          </w:tcPr>
          <w:p w14:paraId="49B03AF3">
            <w:pPr>
              <w:pStyle w:val="133"/>
              <w:rPr>
                <w:color w:val="000000"/>
              </w:rPr>
            </w:pPr>
            <w:r>
              <w:rPr>
                <w:color w:val="000000"/>
              </w:rPr>
              <w:t>根据事故发生的级别，确定不同级别的现场负责人，指挥调度应急救援工作和开展事故处置措施。</w:t>
            </w:r>
          </w:p>
        </w:tc>
      </w:tr>
      <w:tr w14:paraId="0EE50D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07F6B1CF">
            <w:pPr>
              <w:pStyle w:val="133"/>
              <w:rPr>
                <w:color w:val="000000"/>
              </w:rPr>
            </w:pPr>
          </w:p>
        </w:tc>
        <w:tc>
          <w:tcPr>
            <w:tcW w:w="1701" w:type="dxa"/>
            <w:vAlign w:val="center"/>
          </w:tcPr>
          <w:p w14:paraId="1E0FF92A">
            <w:pPr>
              <w:pStyle w:val="133"/>
              <w:rPr>
                <w:color w:val="000000"/>
              </w:rPr>
            </w:pPr>
            <w:r>
              <w:rPr>
                <w:color w:val="000000"/>
              </w:rPr>
              <w:t>6.4指挥与协调</w:t>
            </w:r>
          </w:p>
        </w:tc>
        <w:tc>
          <w:tcPr>
            <w:tcW w:w="5856" w:type="dxa"/>
            <w:vAlign w:val="center"/>
          </w:tcPr>
          <w:p w14:paraId="65D6851D">
            <w:pPr>
              <w:pStyle w:val="133"/>
              <w:rPr>
                <w:color w:val="000000"/>
              </w:rPr>
            </w:pPr>
            <w:r>
              <w:rPr>
                <w:color w:val="000000"/>
              </w:rPr>
              <w:t>（1）及时向上级报告环境污染事故的具体情况，必要时向有关单位发出增援请求，并向周边单位通报相关情况。</w:t>
            </w:r>
          </w:p>
          <w:p w14:paraId="71BDA6F6">
            <w:pPr>
              <w:pStyle w:val="133"/>
              <w:rPr>
                <w:color w:val="000000"/>
              </w:rPr>
            </w:pPr>
            <w:r>
              <w:rPr>
                <w:color w:val="000000"/>
              </w:rPr>
              <w:t>（2）组织指挥救援队伍实施救援行动，负责人员、资源配置、应急队伍的调动。</w:t>
            </w:r>
          </w:p>
          <w:p w14:paraId="13BB2E1F">
            <w:pPr>
              <w:pStyle w:val="133"/>
              <w:rPr>
                <w:color w:val="000000"/>
              </w:rPr>
            </w:pPr>
            <w:r>
              <w:rPr>
                <w:color w:val="000000"/>
              </w:rPr>
              <w:t>（3）协调事故现场有关工作。配合政府部门对环境进行恢复、事故调查、经验教训总结。</w:t>
            </w:r>
          </w:p>
        </w:tc>
      </w:tr>
      <w:tr w14:paraId="5DEB20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043F7CAA">
            <w:pPr>
              <w:pStyle w:val="133"/>
              <w:rPr>
                <w:color w:val="000000"/>
              </w:rPr>
            </w:pPr>
          </w:p>
        </w:tc>
        <w:tc>
          <w:tcPr>
            <w:tcW w:w="1701" w:type="dxa"/>
            <w:vAlign w:val="center"/>
          </w:tcPr>
          <w:p w14:paraId="129E363D">
            <w:pPr>
              <w:pStyle w:val="133"/>
              <w:rPr>
                <w:color w:val="000000"/>
              </w:rPr>
            </w:pPr>
            <w:r>
              <w:rPr>
                <w:color w:val="000000"/>
              </w:rPr>
              <w:t>6.5现场处置</w:t>
            </w:r>
          </w:p>
        </w:tc>
        <w:tc>
          <w:tcPr>
            <w:tcW w:w="5856" w:type="dxa"/>
            <w:vAlign w:val="center"/>
          </w:tcPr>
          <w:p w14:paraId="5A9389A4">
            <w:pPr>
              <w:pStyle w:val="133"/>
              <w:rPr>
                <w:color w:val="000000"/>
              </w:rPr>
            </w:pPr>
            <w:r>
              <w:rPr>
                <w:color w:val="000000"/>
              </w:rPr>
              <w:t>应急过程中采用的工程技术说明；应急过程中工艺生产过程中所采</w:t>
            </w:r>
            <w:r>
              <w:rPr>
                <w:rFonts w:hint="eastAsia"/>
                <w:color w:val="000000"/>
              </w:rPr>
              <w:t>用的</w:t>
            </w:r>
            <w:r>
              <w:rPr>
                <w:color w:val="000000"/>
              </w:rPr>
              <w:t>应急方案及操作程序；工艺流程中可能出现问题的解决方案；应急时停车停产的基本程序；基本控险、排险、堵漏、输转的基本方法；环境应急监测内容。污染物治理设施的应急方案；事故现场人员清点，撤离的方式、方法、地点；</w:t>
            </w:r>
          </w:p>
          <w:p w14:paraId="69143D5B">
            <w:pPr>
              <w:pStyle w:val="133"/>
              <w:rPr>
                <w:color w:val="000000"/>
              </w:rPr>
            </w:pPr>
            <w:r>
              <w:rPr>
                <w:color w:val="000000"/>
              </w:rPr>
              <w:t>大气类污染事故保护目标的应急措施：</w:t>
            </w:r>
          </w:p>
          <w:p w14:paraId="4882B1A9">
            <w:pPr>
              <w:pStyle w:val="133"/>
              <w:rPr>
                <w:color w:val="000000"/>
              </w:rPr>
            </w:pPr>
            <w:r>
              <w:rPr>
                <w:color w:val="000000"/>
              </w:rPr>
              <w:t>（1）根据污染物的性质及事故种类，事故可控性、严重程度和影响范围，风向和风速，需确定以下内容：</w:t>
            </w:r>
          </w:p>
          <w:p w14:paraId="58E685EC">
            <w:pPr>
              <w:pStyle w:val="133"/>
              <w:rPr>
                <w:color w:val="000000"/>
              </w:rPr>
            </w:pPr>
            <w:r>
              <w:rPr>
                <w:color w:val="000000"/>
              </w:rPr>
              <w:t>（2）可能受影响区域的说明；</w:t>
            </w:r>
          </w:p>
          <w:p w14:paraId="1EAC8D4C">
            <w:pPr>
              <w:pStyle w:val="133"/>
              <w:rPr>
                <w:color w:val="000000"/>
              </w:rPr>
            </w:pPr>
            <w:r>
              <w:rPr>
                <w:color w:val="000000"/>
              </w:rPr>
              <w:t>（3）可能受影响区域单位、社区人员疏散的方式、方法、地点；</w:t>
            </w:r>
          </w:p>
          <w:p w14:paraId="5CB558ED">
            <w:pPr>
              <w:pStyle w:val="133"/>
              <w:rPr>
                <w:color w:val="000000"/>
              </w:rPr>
            </w:pPr>
            <w:r>
              <w:rPr>
                <w:color w:val="000000"/>
              </w:rPr>
              <w:t>（4）可能受影响区域单位、社区人员基本保护措施和防护方法；</w:t>
            </w:r>
          </w:p>
          <w:p w14:paraId="34215E68">
            <w:pPr>
              <w:pStyle w:val="133"/>
              <w:rPr>
                <w:color w:val="000000"/>
              </w:rPr>
            </w:pPr>
            <w:r>
              <w:rPr>
                <w:color w:val="000000"/>
              </w:rPr>
              <w:t>（5）周边道路隔离或交通疏导办法；</w:t>
            </w:r>
          </w:p>
          <w:p w14:paraId="7F2F7B3E">
            <w:pPr>
              <w:pStyle w:val="133"/>
              <w:rPr>
                <w:color w:val="000000"/>
              </w:rPr>
            </w:pPr>
            <w:r>
              <w:rPr>
                <w:color w:val="000000"/>
              </w:rPr>
              <w:t>（6）临时安置场所。</w:t>
            </w:r>
          </w:p>
          <w:p w14:paraId="5B97F3F4">
            <w:pPr>
              <w:pStyle w:val="133"/>
              <w:rPr>
                <w:color w:val="000000"/>
              </w:rPr>
            </w:pPr>
            <w:r>
              <w:rPr>
                <w:color w:val="000000"/>
              </w:rPr>
              <w:t>水类污染物事故保护目标的应急措施</w:t>
            </w:r>
          </w:p>
          <w:p w14:paraId="6F76D059">
            <w:pPr>
              <w:pStyle w:val="133"/>
              <w:rPr>
                <w:color w:val="000000"/>
              </w:rPr>
            </w:pPr>
            <w:r>
              <w:rPr>
                <w:color w:val="000000"/>
              </w:rPr>
              <w:t>（1）根据污染物的性质及事故类型，事故可控性、严重程度和影响范围，河流的流速与流量（或水体的状况），需确定以下内容：</w:t>
            </w:r>
          </w:p>
          <w:p w14:paraId="3C23D813">
            <w:pPr>
              <w:pStyle w:val="133"/>
              <w:rPr>
                <w:color w:val="000000"/>
              </w:rPr>
            </w:pPr>
            <w:r>
              <w:rPr>
                <w:color w:val="000000"/>
              </w:rPr>
              <w:t>（2）可能受影响水体说明；</w:t>
            </w:r>
          </w:p>
          <w:p w14:paraId="4625208D">
            <w:pPr>
              <w:pStyle w:val="133"/>
              <w:rPr>
                <w:color w:val="000000"/>
              </w:rPr>
            </w:pPr>
            <w:r>
              <w:rPr>
                <w:color w:val="000000"/>
              </w:rPr>
              <w:t>（3）消减污染物技术方法说明；</w:t>
            </w:r>
          </w:p>
          <w:p w14:paraId="195E9E49">
            <w:pPr>
              <w:pStyle w:val="133"/>
              <w:rPr>
                <w:color w:val="000000"/>
              </w:rPr>
            </w:pPr>
            <w:r>
              <w:rPr>
                <w:color w:val="000000"/>
              </w:rPr>
              <w:t>（4）需要其他措施的说明（如其他企业污染物限排、停排，调水，污染水体疏导、自来水厂的应急措施等）。</w:t>
            </w:r>
          </w:p>
        </w:tc>
      </w:tr>
      <w:tr w14:paraId="71DE7F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205AE5BD">
            <w:pPr>
              <w:pStyle w:val="133"/>
              <w:rPr>
                <w:color w:val="000000"/>
              </w:rPr>
            </w:pPr>
          </w:p>
        </w:tc>
        <w:tc>
          <w:tcPr>
            <w:tcW w:w="1701" w:type="dxa"/>
            <w:vAlign w:val="center"/>
          </w:tcPr>
          <w:p w14:paraId="5A2C3BA1">
            <w:pPr>
              <w:pStyle w:val="133"/>
              <w:rPr>
                <w:color w:val="000000"/>
              </w:rPr>
            </w:pPr>
            <w:r>
              <w:rPr>
                <w:color w:val="000000"/>
              </w:rPr>
              <w:t>6.6信息发布</w:t>
            </w:r>
          </w:p>
        </w:tc>
        <w:tc>
          <w:tcPr>
            <w:tcW w:w="5856" w:type="dxa"/>
            <w:vAlign w:val="center"/>
          </w:tcPr>
          <w:p w14:paraId="6DF883A0">
            <w:pPr>
              <w:pStyle w:val="133"/>
              <w:rPr>
                <w:color w:val="000000"/>
              </w:rPr>
            </w:pPr>
            <w:r>
              <w:rPr>
                <w:color w:val="000000"/>
              </w:rPr>
              <w:t>信息发布的内容、对象</w:t>
            </w:r>
          </w:p>
        </w:tc>
      </w:tr>
      <w:tr w14:paraId="3A927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7FD97385">
            <w:pPr>
              <w:pStyle w:val="133"/>
              <w:rPr>
                <w:color w:val="000000"/>
              </w:rPr>
            </w:pPr>
          </w:p>
        </w:tc>
        <w:tc>
          <w:tcPr>
            <w:tcW w:w="1701" w:type="dxa"/>
            <w:vAlign w:val="center"/>
          </w:tcPr>
          <w:p w14:paraId="5431C15B">
            <w:pPr>
              <w:pStyle w:val="133"/>
              <w:rPr>
                <w:color w:val="000000"/>
              </w:rPr>
            </w:pPr>
            <w:r>
              <w:rPr>
                <w:color w:val="000000"/>
              </w:rPr>
              <w:t>6.7应急终止</w:t>
            </w:r>
          </w:p>
        </w:tc>
        <w:tc>
          <w:tcPr>
            <w:tcW w:w="5856" w:type="dxa"/>
            <w:vAlign w:val="center"/>
          </w:tcPr>
          <w:p w14:paraId="13D3ACA2">
            <w:pPr>
              <w:pStyle w:val="133"/>
              <w:rPr>
                <w:color w:val="000000"/>
              </w:rPr>
            </w:pPr>
            <w:r>
              <w:rPr>
                <w:color w:val="000000"/>
              </w:rPr>
              <w:t>应急终止程序和措施</w:t>
            </w:r>
          </w:p>
        </w:tc>
      </w:tr>
      <w:tr w14:paraId="5177A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20F49921">
            <w:pPr>
              <w:pStyle w:val="133"/>
              <w:rPr>
                <w:color w:val="000000"/>
              </w:rPr>
            </w:pPr>
            <w:r>
              <w:rPr>
                <w:color w:val="000000"/>
              </w:rPr>
              <w:t>7后期处置</w:t>
            </w:r>
          </w:p>
        </w:tc>
        <w:tc>
          <w:tcPr>
            <w:tcW w:w="1701" w:type="dxa"/>
            <w:vAlign w:val="center"/>
          </w:tcPr>
          <w:p w14:paraId="62A33FC8">
            <w:pPr>
              <w:pStyle w:val="133"/>
              <w:rPr>
                <w:color w:val="000000"/>
              </w:rPr>
            </w:pPr>
            <w:r>
              <w:rPr>
                <w:color w:val="000000"/>
              </w:rPr>
              <w:t>7.1善后处置</w:t>
            </w:r>
          </w:p>
        </w:tc>
        <w:tc>
          <w:tcPr>
            <w:tcW w:w="5856" w:type="dxa"/>
            <w:vAlign w:val="center"/>
          </w:tcPr>
          <w:p w14:paraId="2BD2CFB9">
            <w:pPr>
              <w:pStyle w:val="133"/>
              <w:rPr>
                <w:color w:val="000000"/>
              </w:rPr>
            </w:pPr>
            <w:r>
              <w:rPr>
                <w:rFonts w:hint="eastAsia"/>
                <w:color w:val="000000"/>
              </w:rPr>
              <w:t>/</w:t>
            </w:r>
          </w:p>
        </w:tc>
      </w:tr>
      <w:tr w14:paraId="43DE7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77499651">
            <w:pPr>
              <w:pStyle w:val="133"/>
              <w:rPr>
                <w:color w:val="000000"/>
              </w:rPr>
            </w:pPr>
          </w:p>
        </w:tc>
        <w:tc>
          <w:tcPr>
            <w:tcW w:w="1701" w:type="dxa"/>
            <w:vAlign w:val="center"/>
          </w:tcPr>
          <w:p w14:paraId="5D18A60C">
            <w:pPr>
              <w:pStyle w:val="133"/>
              <w:rPr>
                <w:color w:val="000000"/>
              </w:rPr>
            </w:pPr>
            <w:r>
              <w:rPr>
                <w:color w:val="000000"/>
              </w:rPr>
              <w:t>7.2警戒与治安</w:t>
            </w:r>
          </w:p>
        </w:tc>
        <w:tc>
          <w:tcPr>
            <w:tcW w:w="5856" w:type="dxa"/>
            <w:vAlign w:val="center"/>
          </w:tcPr>
          <w:p w14:paraId="15A707AF">
            <w:pPr>
              <w:pStyle w:val="133"/>
              <w:rPr>
                <w:color w:val="000000"/>
              </w:rPr>
            </w:pPr>
            <w:r>
              <w:rPr>
                <w:color w:val="000000"/>
              </w:rPr>
              <w:t>事故现场的保护措施</w:t>
            </w:r>
          </w:p>
        </w:tc>
      </w:tr>
      <w:tr w14:paraId="79C76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48C47B7D">
            <w:pPr>
              <w:pStyle w:val="133"/>
              <w:rPr>
                <w:color w:val="000000"/>
              </w:rPr>
            </w:pPr>
          </w:p>
        </w:tc>
        <w:tc>
          <w:tcPr>
            <w:tcW w:w="1701" w:type="dxa"/>
            <w:vAlign w:val="center"/>
          </w:tcPr>
          <w:p w14:paraId="34C24D51">
            <w:pPr>
              <w:pStyle w:val="133"/>
              <w:rPr>
                <w:color w:val="000000"/>
              </w:rPr>
            </w:pPr>
            <w:r>
              <w:rPr>
                <w:color w:val="000000"/>
              </w:rPr>
              <w:t>7.3次生灾害防范</w:t>
            </w:r>
          </w:p>
        </w:tc>
        <w:tc>
          <w:tcPr>
            <w:tcW w:w="5856" w:type="dxa"/>
            <w:vAlign w:val="center"/>
          </w:tcPr>
          <w:p w14:paraId="1D1CED47">
            <w:pPr>
              <w:pStyle w:val="133"/>
              <w:rPr>
                <w:color w:val="000000"/>
              </w:rPr>
            </w:pPr>
            <w:r>
              <w:rPr>
                <w:color w:val="000000"/>
              </w:rPr>
              <w:t>确定现场净化方式、方法；负责人和专业队伍；洗消后二次污染的防治方案；</w:t>
            </w:r>
          </w:p>
        </w:tc>
      </w:tr>
      <w:tr w14:paraId="3A97CE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731C7962">
            <w:pPr>
              <w:pStyle w:val="133"/>
              <w:rPr>
                <w:color w:val="000000"/>
              </w:rPr>
            </w:pPr>
          </w:p>
        </w:tc>
        <w:tc>
          <w:tcPr>
            <w:tcW w:w="1701" w:type="dxa"/>
            <w:vAlign w:val="center"/>
          </w:tcPr>
          <w:p w14:paraId="266992AC">
            <w:pPr>
              <w:pStyle w:val="133"/>
              <w:rPr>
                <w:color w:val="000000"/>
              </w:rPr>
            </w:pPr>
            <w:r>
              <w:rPr>
                <w:color w:val="000000"/>
              </w:rPr>
              <w:t>7.4调查与评估</w:t>
            </w:r>
          </w:p>
        </w:tc>
        <w:tc>
          <w:tcPr>
            <w:tcW w:w="5856" w:type="dxa"/>
            <w:vAlign w:val="center"/>
          </w:tcPr>
          <w:p w14:paraId="3B2CA3E1">
            <w:pPr>
              <w:pStyle w:val="133"/>
              <w:rPr>
                <w:color w:val="000000"/>
              </w:rPr>
            </w:pPr>
            <w:r>
              <w:rPr>
                <w:rFonts w:hint="eastAsia"/>
                <w:color w:val="000000"/>
              </w:rPr>
              <w:t>/</w:t>
            </w:r>
          </w:p>
        </w:tc>
      </w:tr>
      <w:tr w14:paraId="77DFD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6CEAFC71">
            <w:pPr>
              <w:pStyle w:val="133"/>
              <w:rPr>
                <w:color w:val="000000"/>
              </w:rPr>
            </w:pPr>
          </w:p>
        </w:tc>
        <w:tc>
          <w:tcPr>
            <w:tcW w:w="1701" w:type="dxa"/>
            <w:vAlign w:val="center"/>
          </w:tcPr>
          <w:p w14:paraId="0DE375C9">
            <w:pPr>
              <w:pStyle w:val="133"/>
              <w:rPr>
                <w:color w:val="000000"/>
              </w:rPr>
            </w:pPr>
            <w:r>
              <w:rPr>
                <w:color w:val="000000"/>
              </w:rPr>
              <w:t>7.5生产秩序恢复重建</w:t>
            </w:r>
          </w:p>
        </w:tc>
        <w:tc>
          <w:tcPr>
            <w:tcW w:w="5856" w:type="dxa"/>
            <w:vAlign w:val="center"/>
          </w:tcPr>
          <w:p w14:paraId="6A2A67E0">
            <w:pPr>
              <w:pStyle w:val="133"/>
              <w:rPr>
                <w:color w:val="000000"/>
              </w:rPr>
            </w:pPr>
            <w:r>
              <w:rPr>
                <w:color w:val="000000"/>
              </w:rPr>
              <w:t>/</w:t>
            </w:r>
          </w:p>
        </w:tc>
      </w:tr>
      <w:tr w14:paraId="161C06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624660D9">
            <w:pPr>
              <w:pStyle w:val="133"/>
              <w:rPr>
                <w:color w:val="000000"/>
              </w:rPr>
            </w:pPr>
            <w:r>
              <w:rPr>
                <w:color w:val="000000"/>
              </w:rPr>
              <w:t>8应急保障</w:t>
            </w:r>
          </w:p>
        </w:tc>
        <w:tc>
          <w:tcPr>
            <w:tcW w:w="1701" w:type="dxa"/>
            <w:vAlign w:val="center"/>
          </w:tcPr>
          <w:p w14:paraId="40FE4C4F">
            <w:pPr>
              <w:pStyle w:val="133"/>
              <w:rPr>
                <w:color w:val="000000"/>
              </w:rPr>
            </w:pPr>
            <w:r>
              <w:rPr>
                <w:color w:val="000000"/>
              </w:rPr>
              <w:t>8.1人力资源保障</w:t>
            </w:r>
          </w:p>
        </w:tc>
        <w:tc>
          <w:tcPr>
            <w:tcW w:w="5856" w:type="dxa"/>
            <w:vAlign w:val="center"/>
          </w:tcPr>
          <w:p w14:paraId="76C2469E">
            <w:pPr>
              <w:pStyle w:val="133"/>
              <w:rPr>
                <w:color w:val="000000"/>
              </w:rPr>
            </w:pPr>
            <w:r>
              <w:rPr>
                <w:color w:val="000000"/>
              </w:rPr>
              <w:t>/</w:t>
            </w:r>
          </w:p>
        </w:tc>
      </w:tr>
      <w:tr w14:paraId="3AFBD3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4C1FD9F0">
            <w:pPr>
              <w:pStyle w:val="133"/>
              <w:rPr>
                <w:color w:val="000000"/>
              </w:rPr>
            </w:pPr>
          </w:p>
        </w:tc>
        <w:tc>
          <w:tcPr>
            <w:tcW w:w="1701" w:type="dxa"/>
            <w:vAlign w:val="center"/>
          </w:tcPr>
          <w:p w14:paraId="7CF8AA25">
            <w:pPr>
              <w:pStyle w:val="133"/>
              <w:rPr>
                <w:color w:val="000000"/>
              </w:rPr>
            </w:pPr>
            <w:r>
              <w:rPr>
                <w:color w:val="000000"/>
              </w:rPr>
              <w:t>8.2资金保障</w:t>
            </w:r>
          </w:p>
        </w:tc>
        <w:tc>
          <w:tcPr>
            <w:tcW w:w="5856" w:type="dxa"/>
            <w:vAlign w:val="center"/>
          </w:tcPr>
          <w:p w14:paraId="6AA4451A">
            <w:pPr>
              <w:pStyle w:val="133"/>
              <w:rPr>
                <w:color w:val="000000"/>
              </w:rPr>
            </w:pPr>
            <w:r>
              <w:rPr>
                <w:color w:val="000000"/>
              </w:rPr>
              <w:t>/</w:t>
            </w:r>
          </w:p>
        </w:tc>
      </w:tr>
      <w:tr w14:paraId="34BA0E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69EB0CC2">
            <w:pPr>
              <w:pStyle w:val="133"/>
              <w:rPr>
                <w:color w:val="000000"/>
              </w:rPr>
            </w:pPr>
          </w:p>
        </w:tc>
        <w:tc>
          <w:tcPr>
            <w:tcW w:w="1701" w:type="dxa"/>
            <w:vAlign w:val="center"/>
          </w:tcPr>
          <w:p w14:paraId="79555A98">
            <w:pPr>
              <w:pStyle w:val="133"/>
              <w:rPr>
                <w:color w:val="000000"/>
              </w:rPr>
            </w:pPr>
            <w:r>
              <w:rPr>
                <w:color w:val="000000"/>
              </w:rPr>
              <w:t>8.3物资保障</w:t>
            </w:r>
          </w:p>
        </w:tc>
        <w:tc>
          <w:tcPr>
            <w:tcW w:w="5856" w:type="dxa"/>
            <w:vAlign w:val="center"/>
          </w:tcPr>
          <w:p w14:paraId="5A817D8A">
            <w:pPr>
              <w:pStyle w:val="133"/>
              <w:rPr>
                <w:color w:val="000000"/>
              </w:rPr>
            </w:pPr>
            <w:r>
              <w:rPr>
                <w:color w:val="000000"/>
              </w:rPr>
              <w:t>用于应急救援的物资，特别是处理泄漏物、消解和吸收污染物的化学品物资，如活性炭、木屑和石灰等，生产经营单位要采用就近原则，备足、备齐、定置明确，能保证现场应急处理（处置）的人员在第一时间内启用。用于应急救援的物资，尤其是活性炭、木屑和石灰要明确调用单位的联系方式，且调用方便、迅速。</w:t>
            </w:r>
          </w:p>
        </w:tc>
      </w:tr>
      <w:tr w14:paraId="4B06B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60DC1E66">
            <w:pPr>
              <w:pStyle w:val="133"/>
              <w:rPr>
                <w:color w:val="000000"/>
              </w:rPr>
            </w:pPr>
          </w:p>
        </w:tc>
        <w:tc>
          <w:tcPr>
            <w:tcW w:w="1701" w:type="dxa"/>
            <w:vAlign w:val="center"/>
          </w:tcPr>
          <w:p w14:paraId="778709A4">
            <w:pPr>
              <w:pStyle w:val="133"/>
              <w:rPr>
                <w:color w:val="000000"/>
              </w:rPr>
            </w:pPr>
            <w:r>
              <w:rPr>
                <w:color w:val="000000"/>
              </w:rPr>
              <w:t>8.4医疗卫生保障</w:t>
            </w:r>
          </w:p>
        </w:tc>
        <w:tc>
          <w:tcPr>
            <w:tcW w:w="5856" w:type="dxa"/>
            <w:vAlign w:val="center"/>
          </w:tcPr>
          <w:p w14:paraId="1289C993">
            <w:pPr>
              <w:pStyle w:val="133"/>
              <w:rPr>
                <w:color w:val="000000"/>
              </w:rPr>
            </w:pPr>
            <w:r>
              <w:rPr>
                <w:color w:val="000000"/>
              </w:rPr>
              <w:t>/</w:t>
            </w:r>
          </w:p>
        </w:tc>
      </w:tr>
      <w:tr w14:paraId="79057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5C7D7219">
            <w:pPr>
              <w:pStyle w:val="133"/>
              <w:rPr>
                <w:color w:val="000000"/>
              </w:rPr>
            </w:pPr>
          </w:p>
        </w:tc>
        <w:tc>
          <w:tcPr>
            <w:tcW w:w="1701" w:type="dxa"/>
            <w:vAlign w:val="center"/>
          </w:tcPr>
          <w:p w14:paraId="538F1E58">
            <w:pPr>
              <w:pStyle w:val="133"/>
              <w:rPr>
                <w:color w:val="000000"/>
              </w:rPr>
            </w:pPr>
            <w:r>
              <w:rPr>
                <w:color w:val="000000"/>
              </w:rPr>
              <w:t>8.5交通运输保障</w:t>
            </w:r>
          </w:p>
        </w:tc>
        <w:tc>
          <w:tcPr>
            <w:tcW w:w="5856" w:type="dxa"/>
            <w:vAlign w:val="center"/>
          </w:tcPr>
          <w:p w14:paraId="348BFA13">
            <w:pPr>
              <w:pStyle w:val="133"/>
              <w:rPr>
                <w:color w:val="000000"/>
              </w:rPr>
            </w:pPr>
            <w:r>
              <w:rPr>
                <w:color w:val="000000"/>
              </w:rPr>
              <w:t>/</w:t>
            </w:r>
          </w:p>
        </w:tc>
      </w:tr>
      <w:tr w14:paraId="6FFD9D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61DF546C">
            <w:pPr>
              <w:pStyle w:val="133"/>
              <w:rPr>
                <w:color w:val="000000"/>
              </w:rPr>
            </w:pPr>
          </w:p>
        </w:tc>
        <w:tc>
          <w:tcPr>
            <w:tcW w:w="1701" w:type="dxa"/>
            <w:vAlign w:val="center"/>
          </w:tcPr>
          <w:p w14:paraId="4FB68E92">
            <w:pPr>
              <w:pStyle w:val="133"/>
              <w:rPr>
                <w:color w:val="000000"/>
              </w:rPr>
            </w:pPr>
            <w:r>
              <w:rPr>
                <w:color w:val="000000"/>
              </w:rPr>
              <w:t>8.6治安维护</w:t>
            </w:r>
          </w:p>
        </w:tc>
        <w:tc>
          <w:tcPr>
            <w:tcW w:w="5856" w:type="dxa"/>
            <w:vAlign w:val="center"/>
          </w:tcPr>
          <w:p w14:paraId="298860FD">
            <w:pPr>
              <w:pStyle w:val="133"/>
              <w:rPr>
                <w:color w:val="000000"/>
              </w:rPr>
            </w:pPr>
            <w:r>
              <w:rPr>
                <w:color w:val="000000"/>
              </w:rPr>
              <w:t>/</w:t>
            </w:r>
          </w:p>
        </w:tc>
      </w:tr>
      <w:tr w14:paraId="53C72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6F941906">
            <w:pPr>
              <w:pStyle w:val="133"/>
              <w:rPr>
                <w:color w:val="000000"/>
              </w:rPr>
            </w:pPr>
          </w:p>
        </w:tc>
        <w:tc>
          <w:tcPr>
            <w:tcW w:w="1701" w:type="dxa"/>
            <w:vAlign w:val="center"/>
          </w:tcPr>
          <w:p w14:paraId="1F90F397">
            <w:pPr>
              <w:pStyle w:val="133"/>
              <w:rPr>
                <w:color w:val="000000"/>
              </w:rPr>
            </w:pPr>
            <w:r>
              <w:rPr>
                <w:color w:val="000000"/>
              </w:rPr>
              <w:t>8.7通信保障</w:t>
            </w:r>
          </w:p>
        </w:tc>
        <w:tc>
          <w:tcPr>
            <w:tcW w:w="5856" w:type="dxa"/>
            <w:vAlign w:val="center"/>
          </w:tcPr>
          <w:p w14:paraId="16DDBDCD">
            <w:pPr>
              <w:pStyle w:val="133"/>
              <w:rPr>
                <w:color w:val="000000"/>
              </w:rPr>
            </w:pPr>
            <w:r>
              <w:rPr>
                <w:color w:val="000000"/>
              </w:rPr>
              <w:t>/</w:t>
            </w:r>
          </w:p>
        </w:tc>
      </w:tr>
      <w:tr w14:paraId="071D67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19728952">
            <w:pPr>
              <w:pStyle w:val="133"/>
              <w:rPr>
                <w:color w:val="000000"/>
              </w:rPr>
            </w:pPr>
          </w:p>
        </w:tc>
        <w:tc>
          <w:tcPr>
            <w:tcW w:w="1701" w:type="dxa"/>
            <w:vAlign w:val="center"/>
          </w:tcPr>
          <w:p w14:paraId="5A0AC988">
            <w:pPr>
              <w:pStyle w:val="133"/>
              <w:rPr>
                <w:color w:val="000000"/>
              </w:rPr>
            </w:pPr>
            <w:r>
              <w:rPr>
                <w:color w:val="000000"/>
              </w:rPr>
              <w:t>8.8科技支撑</w:t>
            </w:r>
          </w:p>
        </w:tc>
        <w:tc>
          <w:tcPr>
            <w:tcW w:w="5856" w:type="dxa"/>
            <w:vAlign w:val="center"/>
          </w:tcPr>
          <w:p w14:paraId="6AE24FD4">
            <w:pPr>
              <w:pStyle w:val="133"/>
              <w:rPr>
                <w:color w:val="000000"/>
              </w:rPr>
            </w:pPr>
            <w:r>
              <w:rPr>
                <w:color w:val="000000"/>
              </w:rPr>
              <w:t>/</w:t>
            </w:r>
          </w:p>
        </w:tc>
      </w:tr>
      <w:tr w14:paraId="7B80B0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restart"/>
            <w:vAlign w:val="center"/>
          </w:tcPr>
          <w:p w14:paraId="0E1E8AC0">
            <w:pPr>
              <w:pStyle w:val="133"/>
              <w:rPr>
                <w:color w:val="000000"/>
              </w:rPr>
            </w:pPr>
            <w:r>
              <w:rPr>
                <w:color w:val="000000"/>
              </w:rPr>
              <w:t>9监督与管理</w:t>
            </w:r>
          </w:p>
        </w:tc>
        <w:tc>
          <w:tcPr>
            <w:tcW w:w="1701" w:type="dxa"/>
            <w:vAlign w:val="center"/>
          </w:tcPr>
          <w:p w14:paraId="44BD9EBF">
            <w:pPr>
              <w:pStyle w:val="133"/>
              <w:rPr>
                <w:color w:val="000000"/>
              </w:rPr>
            </w:pPr>
            <w:r>
              <w:rPr>
                <w:color w:val="000000"/>
              </w:rPr>
              <w:t>9.1应急预案演练</w:t>
            </w:r>
          </w:p>
        </w:tc>
        <w:tc>
          <w:tcPr>
            <w:tcW w:w="5856" w:type="dxa"/>
            <w:vAlign w:val="center"/>
          </w:tcPr>
          <w:p w14:paraId="397FEBAA">
            <w:pPr>
              <w:pStyle w:val="133"/>
              <w:rPr>
                <w:color w:val="000000"/>
              </w:rPr>
            </w:pPr>
            <w:r>
              <w:rPr>
                <w:color w:val="000000"/>
              </w:rPr>
              <w:t>至少每年1次，包括（1）演习准备；（2）演习范围与频次；（3）演习组织；（4）应急演习的评价、总结与追踪。</w:t>
            </w:r>
          </w:p>
        </w:tc>
      </w:tr>
      <w:tr w14:paraId="54AE0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12F74D44">
            <w:pPr>
              <w:pStyle w:val="133"/>
              <w:rPr>
                <w:color w:val="000000"/>
              </w:rPr>
            </w:pPr>
          </w:p>
        </w:tc>
        <w:tc>
          <w:tcPr>
            <w:tcW w:w="1701" w:type="dxa"/>
            <w:vAlign w:val="center"/>
          </w:tcPr>
          <w:p w14:paraId="345BE978">
            <w:pPr>
              <w:pStyle w:val="133"/>
              <w:rPr>
                <w:color w:val="000000"/>
              </w:rPr>
            </w:pPr>
            <w:r>
              <w:rPr>
                <w:color w:val="000000"/>
              </w:rPr>
              <w:t>9.2宣教培训</w:t>
            </w:r>
          </w:p>
        </w:tc>
        <w:tc>
          <w:tcPr>
            <w:tcW w:w="5856" w:type="dxa"/>
            <w:vAlign w:val="center"/>
          </w:tcPr>
          <w:p w14:paraId="45186A2C">
            <w:pPr>
              <w:pStyle w:val="133"/>
              <w:rPr>
                <w:color w:val="000000"/>
              </w:rPr>
            </w:pPr>
            <w:r>
              <w:rPr>
                <w:color w:val="000000"/>
              </w:rPr>
              <w:t>至少每年1次，包括（1）应急救援队员的专业培训内容和方法；（2）本单位员工应急救援基本知识培训的内容和方法；（3）外部公众应急救援基本知识培训的内容和方法；（4）运输司机、监测人员等培训内容和方法；（5）应急培训内容、方式、记录表</w:t>
            </w:r>
          </w:p>
        </w:tc>
      </w:tr>
      <w:tr w14:paraId="56B21B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Merge w:val="continue"/>
            <w:vAlign w:val="center"/>
          </w:tcPr>
          <w:p w14:paraId="3291DEC1">
            <w:pPr>
              <w:pStyle w:val="133"/>
              <w:rPr>
                <w:color w:val="000000"/>
              </w:rPr>
            </w:pPr>
          </w:p>
        </w:tc>
        <w:tc>
          <w:tcPr>
            <w:tcW w:w="1701" w:type="dxa"/>
            <w:vAlign w:val="center"/>
          </w:tcPr>
          <w:p w14:paraId="211B5BC5">
            <w:pPr>
              <w:pStyle w:val="133"/>
              <w:rPr>
                <w:color w:val="000000"/>
              </w:rPr>
            </w:pPr>
            <w:r>
              <w:rPr>
                <w:color w:val="000000"/>
              </w:rPr>
              <w:t>9.3责任与奖惩</w:t>
            </w:r>
          </w:p>
        </w:tc>
        <w:tc>
          <w:tcPr>
            <w:tcW w:w="5856" w:type="dxa"/>
            <w:vAlign w:val="center"/>
          </w:tcPr>
          <w:p w14:paraId="319C5D40">
            <w:pPr>
              <w:pStyle w:val="133"/>
              <w:rPr>
                <w:color w:val="000000"/>
              </w:rPr>
            </w:pPr>
          </w:p>
        </w:tc>
      </w:tr>
      <w:tr w14:paraId="5B78B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Align w:val="center"/>
          </w:tcPr>
          <w:p w14:paraId="09C54B92">
            <w:pPr>
              <w:pStyle w:val="133"/>
              <w:rPr>
                <w:color w:val="000000"/>
              </w:rPr>
            </w:pPr>
            <w:r>
              <w:rPr>
                <w:color w:val="000000"/>
              </w:rPr>
              <w:t>10附则</w:t>
            </w:r>
          </w:p>
        </w:tc>
        <w:tc>
          <w:tcPr>
            <w:tcW w:w="1701" w:type="dxa"/>
            <w:vAlign w:val="center"/>
          </w:tcPr>
          <w:p w14:paraId="70F0E532">
            <w:pPr>
              <w:pStyle w:val="133"/>
              <w:rPr>
                <w:color w:val="000000"/>
              </w:rPr>
            </w:pPr>
            <w:r>
              <w:rPr>
                <w:color w:val="000000"/>
              </w:rPr>
              <w:t>/</w:t>
            </w:r>
          </w:p>
        </w:tc>
        <w:tc>
          <w:tcPr>
            <w:tcW w:w="5856" w:type="dxa"/>
            <w:vAlign w:val="center"/>
          </w:tcPr>
          <w:p w14:paraId="6495A21A">
            <w:pPr>
              <w:pStyle w:val="133"/>
              <w:rPr>
                <w:color w:val="000000"/>
              </w:rPr>
            </w:pPr>
            <w:r>
              <w:rPr>
                <w:color w:val="000000"/>
              </w:rPr>
              <w:t>名词术语、预案解释、修订情况、实施日期</w:t>
            </w:r>
          </w:p>
        </w:tc>
      </w:tr>
      <w:tr w14:paraId="183732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8" w:type="dxa"/>
            <w:vAlign w:val="center"/>
          </w:tcPr>
          <w:p w14:paraId="404C2CC6">
            <w:pPr>
              <w:pStyle w:val="133"/>
              <w:rPr>
                <w:color w:val="000000"/>
              </w:rPr>
            </w:pPr>
            <w:r>
              <w:rPr>
                <w:color w:val="000000"/>
              </w:rPr>
              <w:t>附件</w:t>
            </w:r>
          </w:p>
        </w:tc>
        <w:tc>
          <w:tcPr>
            <w:tcW w:w="1701" w:type="dxa"/>
            <w:vAlign w:val="center"/>
          </w:tcPr>
          <w:p w14:paraId="455E7854">
            <w:pPr>
              <w:pStyle w:val="133"/>
              <w:rPr>
                <w:color w:val="000000"/>
              </w:rPr>
            </w:pPr>
            <w:r>
              <w:rPr>
                <w:color w:val="000000"/>
              </w:rPr>
              <w:t>/</w:t>
            </w:r>
          </w:p>
        </w:tc>
        <w:tc>
          <w:tcPr>
            <w:tcW w:w="5856" w:type="dxa"/>
            <w:vAlign w:val="center"/>
          </w:tcPr>
          <w:p w14:paraId="543B0488">
            <w:pPr>
              <w:pStyle w:val="133"/>
              <w:rPr>
                <w:color w:val="000000"/>
              </w:rPr>
            </w:pPr>
            <w:r>
              <w:rPr>
                <w:color w:val="000000"/>
              </w:rPr>
              <w:t>应急救援组织机构名单、相关单位和人员通讯录、应急工作流程图、区域位置及周围环境敏感点分布图、重大危险源分布图、</w:t>
            </w:r>
          </w:p>
          <w:p w14:paraId="7729C353">
            <w:pPr>
              <w:pStyle w:val="133"/>
              <w:rPr>
                <w:color w:val="000000"/>
              </w:rPr>
            </w:pPr>
            <w:r>
              <w:rPr>
                <w:color w:val="000000"/>
              </w:rPr>
              <w:t>紧急疏散线路图、应急设施</w:t>
            </w:r>
            <w:r>
              <w:rPr>
                <w:rFonts w:hint="eastAsia"/>
                <w:color w:val="000000"/>
              </w:rPr>
              <w:t>（设</w:t>
            </w:r>
            <w:r>
              <w:rPr>
                <w:color w:val="000000"/>
              </w:rPr>
              <w:t>备）平面布置图、应急物资储备清单、标准化格式文本</w:t>
            </w:r>
          </w:p>
        </w:tc>
      </w:tr>
    </w:tbl>
    <w:p w14:paraId="18A88330">
      <w:pPr>
        <w:ind w:firstLine="480"/>
        <w:rPr>
          <w:color w:val="FF0000"/>
        </w:rPr>
      </w:pPr>
    </w:p>
    <w:p w14:paraId="13BD95EB">
      <w:pPr>
        <w:pStyle w:val="138"/>
        <w:ind w:firstLine="480"/>
        <w:rPr>
          <w:rFonts w:hint="eastAsia"/>
          <w:color w:val="000000"/>
        </w:rPr>
      </w:pPr>
      <w:r>
        <w:rPr>
          <w:rFonts w:hint="eastAsia"/>
          <w:color w:val="000000"/>
        </w:rPr>
        <w:t>强化环境风险管理意识</w:t>
      </w:r>
    </w:p>
    <w:p w14:paraId="6B2D04CD">
      <w:pPr>
        <w:ind w:firstLine="480"/>
        <w:rPr>
          <w:color w:val="000000"/>
        </w:rPr>
      </w:pPr>
      <w:r>
        <w:rPr>
          <w:rFonts w:hint="eastAsia" w:ascii="宋体" w:hAnsi="宋体" w:cs="宋体"/>
          <w:color w:val="000000"/>
        </w:rPr>
        <w:t>环境风险管理目标是采用最低合理可行原则管控环境风险。采取的环境风险防范措施应与社会经济技术发展水平相适应，运用科学的技术手段和管理方法，对环境风险进行有效地预防、监控、响应。</w:t>
      </w:r>
    </w:p>
    <w:p w14:paraId="391E21A9">
      <w:pPr>
        <w:ind w:firstLine="480"/>
        <w:rPr>
          <w:color w:val="000000"/>
        </w:rPr>
      </w:pPr>
      <w:r>
        <w:rPr>
          <w:rFonts w:hint="eastAsia" w:ascii="宋体" w:hAnsi="宋体" w:cs="宋体"/>
          <w:color w:val="000000"/>
        </w:rPr>
        <w:t>安全生产是企业立厂之本，因此，企业一定要强化风险意识、加强安全管理，具体要求如下：</w:t>
      </w:r>
    </w:p>
    <w:p w14:paraId="53FE2D88">
      <w:pPr>
        <w:ind w:firstLine="480"/>
        <w:rPr>
          <w:color w:val="000000"/>
        </w:rPr>
      </w:pPr>
      <w:r>
        <w:rPr>
          <w:rFonts w:hint="eastAsia" w:ascii="宋体" w:hAnsi="宋体" w:cs="宋体"/>
          <w:color w:val="000000"/>
        </w:rPr>
        <w:t>（</w:t>
      </w:r>
      <w:r>
        <w:rPr>
          <w:rFonts w:hint="eastAsia"/>
          <w:color w:val="000000"/>
        </w:rPr>
        <w:t>1</w:t>
      </w:r>
      <w:r>
        <w:rPr>
          <w:rFonts w:hint="eastAsia" w:ascii="宋体" w:hAnsi="宋体" w:cs="宋体"/>
          <w:color w:val="000000"/>
        </w:rPr>
        <w:t>）必须将</w:t>
      </w:r>
      <w:r>
        <w:rPr>
          <w:color w:val="000000"/>
        </w:rPr>
        <w:t>“</w:t>
      </w:r>
      <w:r>
        <w:rPr>
          <w:rFonts w:hint="eastAsia" w:ascii="宋体" w:hAnsi="宋体" w:cs="宋体"/>
          <w:color w:val="000000"/>
        </w:rPr>
        <w:t>安全第一，预防为主</w:t>
      </w:r>
      <w:r>
        <w:rPr>
          <w:color w:val="000000"/>
        </w:rPr>
        <w:t>”</w:t>
      </w:r>
      <w:r>
        <w:rPr>
          <w:rFonts w:hint="eastAsia" w:ascii="宋体" w:hAnsi="宋体" w:cs="宋体"/>
          <w:color w:val="000000"/>
        </w:rPr>
        <w:t>作为公司经营的基本原则。</w:t>
      </w:r>
    </w:p>
    <w:p w14:paraId="59258BC7">
      <w:pPr>
        <w:ind w:firstLine="480"/>
        <w:rPr>
          <w:color w:val="000000"/>
        </w:rPr>
      </w:pPr>
      <w:r>
        <w:rPr>
          <w:rFonts w:hint="eastAsia" w:ascii="宋体" w:hAnsi="宋体" w:cs="宋体"/>
          <w:color w:val="000000"/>
        </w:rPr>
        <w:t>（</w:t>
      </w:r>
      <w:r>
        <w:rPr>
          <w:rFonts w:hint="eastAsia"/>
          <w:color w:val="000000"/>
        </w:rPr>
        <w:t>2</w:t>
      </w:r>
      <w:r>
        <w:rPr>
          <w:rFonts w:hint="eastAsia" w:ascii="宋体" w:hAnsi="宋体" w:cs="宋体"/>
          <w:color w:val="000000"/>
        </w:rPr>
        <w:t>）将</w:t>
      </w:r>
      <w:r>
        <w:rPr>
          <w:color w:val="000000"/>
        </w:rPr>
        <w:t>“</w:t>
      </w:r>
      <w:r>
        <w:rPr>
          <w:rFonts w:hint="eastAsia"/>
          <w:color w:val="000000"/>
        </w:rPr>
        <w:t>ESH</w:t>
      </w:r>
      <w:r>
        <w:rPr>
          <w:rFonts w:hint="eastAsia" w:ascii="宋体" w:hAnsi="宋体" w:cs="宋体"/>
          <w:color w:val="000000"/>
        </w:rPr>
        <w:t>（环保、安全、健康）</w:t>
      </w:r>
      <w:r>
        <w:rPr>
          <w:color w:val="000000"/>
        </w:rPr>
        <w:t>”</w:t>
      </w:r>
      <w:r>
        <w:rPr>
          <w:rFonts w:hint="eastAsia" w:ascii="宋体" w:hAnsi="宋体" w:cs="宋体"/>
          <w:color w:val="000000"/>
        </w:rPr>
        <w:t>作为一线经理的首要责任和义务。</w:t>
      </w:r>
    </w:p>
    <w:p w14:paraId="1070352D">
      <w:pPr>
        <w:ind w:firstLine="480"/>
        <w:rPr>
          <w:color w:val="000000"/>
        </w:rPr>
      </w:pPr>
      <w:r>
        <w:rPr>
          <w:rFonts w:hint="eastAsia" w:ascii="宋体" w:hAnsi="宋体" w:cs="宋体"/>
          <w:color w:val="000000"/>
        </w:rPr>
        <w:t>（</w:t>
      </w:r>
      <w:r>
        <w:rPr>
          <w:rFonts w:hint="eastAsia"/>
          <w:color w:val="000000"/>
        </w:rPr>
        <w:t>3</w:t>
      </w:r>
      <w:r>
        <w:rPr>
          <w:rFonts w:hint="eastAsia" w:ascii="宋体" w:hAnsi="宋体" w:cs="宋体"/>
          <w:color w:val="000000"/>
        </w:rPr>
        <w:t>）必须进行广泛系统的培训，使所有操作人员熟悉自己的岗位，树立严谨规范的操作作风，并且在任何紧急状况下都能随时对工艺装置进行控制，并及时、独立、正确地实施相关应急措施。</w:t>
      </w:r>
    </w:p>
    <w:p w14:paraId="3BB4B7B2">
      <w:pPr>
        <w:ind w:firstLine="480"/>
        <w:rPr>
          <w:color w:val="000000"/>
        </w:rPr>
      </w:pPr>
      <w:r>
        <w:rPr>
          <w:rFonts w:hint="eastAsia" w:ascii="宋体" w:hAnsi="宋体" w:cs="宋体"/>
          <w:color w:val="000000"/>
        </w:rPr>
        <w:t>（</w:t>
      </w:r>
      <w:r>
        <w:rPr>
          <w:rFonts w:hint="eastAsia"/>
          <w:color w:val="000000"/>
        </w:rPr>
        <w:t>4</w:t>
      </w:r>
      <w:r>
        <w:rPr>
          <w:rFonts w:hint="eastAsia" w:ascii="宋体" w:hAnsi="宋体" w:cs="宋体"/>
          <w:color w:val="000000"/>
        </w:rPr>
        <w:t>）金盛镁业公司环保安全科负责全厂的环保、安全管理，由具有丰富经验的人担当负责人，每个车间和主要装置设置专职或兼职安全员，兼职安全员原则上由工艺员担任。</w:t>
      </w:r>
    </w:p>
    <w:p w14:paraId="1EF7F1EC">
      <w:pPr>
        <w:ind w:firstLine="480"/>
        <w:rPr>
          <w:color w:val="000000"/>
        </w:rPr>
      </w:pPr>
      <w:r>
        <w:rPr>
          <w:rFonts w:hint="eastAsia" w:ascii="宋体" w:hAnsi="宋体" w:cs="宋体"/>
          <w:color w:val="000000"/>
        </w:rPr>
        <w:t>（</w:t>
      </w:r>
      <w:r>
        <w:rPr>
          <w:rFonts w:hint="eastAsia"/>
          <w:color w:val="000000"/>
        </w:rPr>
        <w:t>5</w:t>
      </w:r>
      <w:r>
        <w:rPr>
          <w:rFonts w:hint="eastAsia" w:ascii="宋体" w:hAnsi="宋体" w:cs="宋体"/>
          <w:color w:val="000000"/>
        </w:rPr>
        <w:t>）金盛镁业公司已设立安全生产领导小组，由厂长亲自担任领导小组组长，各车间主任担任小组组员，形成领导负总责，全厂参与的管理模式。</w:t>
      </w:r>
    </w:p>
    <w:p w14:paraId="29089E70">
      <w:pPr>
        <w:ind w:firstLine="480"/>
        <w:rPr>
          <w:color w:val="000000"/>
        </w:rPr>
      </w:pPr>
      <w:r>
        <w:rPr>
          <w:rFonts w:hint="eastAsia" w:ascii="宋体" w:hAnsi="宋体" w:cs="宋体"/>
          <w:color w:val="000000"/>
        </w:rPr>
        <w:t>（</w:t>
      </w:r>
      <w:r>
        <w:rPr>
          <w:rFonts w:hint="eastAsia"/>
          <w:color w:val="000000"/>
        </w:rPr>
        <w:t>6</w:t>
      </w:r>
      <w:r>
        <w:rPr>
          <w:rFonts w:hint="eastAsia" w:ascii="宋体" w:hAnsi="宋体" w:cs="宋体"/>
          <w:color w:val="000000"/>
        </w:rPr>
        <w:t>）在开展</w:t>
      </w:r>
      <w:r>
        <w:rPr>
          <w:rFonts w:hint="eastAsia"/>
          <w:color w:val="000000"/>
        </w:rPr>
        <w:t>ISO14001</w:t>
      </w:r>
      <w:r>
        <w:rPr>
          <w:rFonts w:hint="eastAsia" w:ascii="宋体" w:hAnsi="宋体" w:cs="宋体"/>
          <w:color w:val="000000"/>
        </w:rPr>
        <w:t>认证的基础上，积极开展</w:t>
      </w:r>
      <w:r>
        <w:rPr>
          <w:rFonts w:hint="eastAsia"/>
          <w:color w:val="000000"/>
        </w:rPr>
        <w:t>ESH</w:t>
      </w:r>
      <w:r>
        <w:rPr>
          <w:rFonts w:hint="eastAsia" w:ascii="宋体" w:hAnsi="宋体" w:cs="宋体"/>
          <w:color w:val="000000"/>
        </w:rPr>
        <w:t>审计和</w:t>
      </w:r>
      <w:r>
        <w:rPr>
          <w:rFonts w:hint="eastAsia"/>
          <w:color w:val="000000"/>
        </w:rPr>
        <w:t>OHSAS18001</w:t>
      </w:r>
      <w:r>
        <w:rPr>
          <w:rFonts w:hint="eastAsia" w:ascii="宋体" w:hAnsi="宋体" w:cs="宋体"/>
          <w:color w:val="000000"/>
        </w:rPr>
        <w:t>认证，全面提高安全管理水平。</w:t>
      </w:r>
    </w:p>
    <w:p w14:paraId="4AB2EEE7">
      <w:pPr>
        <w:ind w:firstLine="480"/>
        <w:rPr>
          <w:rFonts w:hint="eastAsia" w:ascii="宋体" w:hAnsi="宋体" w:cs="宋体"/>
          <w:color w:val="000000"/>
        </w:rPr>
      </w:pPr>
      <w:r>
        <w:rPr>
          <w:rFonts w:hint="eastAsia" w:ascii="宋体" w:hAnsi="宋体" w:cs="宋体"/>
          <w:color w:val="000000"/>
        </w:rPr>
        <w:t>（</w:t>
      </w:r>
      <w:r>
        <w:rPr>
          <w:rFonts w:hint="eastAsia"/>
          <w:color w:val="000000"/>
        </w:rPr>
        <w:t>7</w:t>
      </w:r>
      <w:r>
        <w:rPr>
          <w:rFonts w:hint="eastAsia" w:ascii="宋体" w:hAnsi="宋体" w:cs="宋体"/>
          <w:color w:val="000000"/>
        </w:rPr>
        <w:t>）要严格遵守有关贮存的安全规定，具体包括《仓库防火安全管理规则》《建筑设计防火规范（</w:t>
      </w:r>
      <w:r>
        <w:rPr>
          <w:rFonts w:hint="eastAsia"/>
          <w:color w:val="000000"/>
        </w:rPr>
        <w:t>2018</w:t>
      </w:r>
      <w:r>
        <w:rPr>
          <w:rFonts w:hint="eastAsia" w:ascii="宋体" w:hAnsi="宋体" w:cs="宋体"/>
          <w:color w:val="000000"/>
        </w:rPr>
        <w:t>版）》（</w:t>
      </w:r>
      <w:r>
        <w:rPr>
          <w:rFonts w:hint="eastAsia"/>
          <w:color w:val="000000"/>
        </w:rPr>
        <w:t>GB50016-2014</w:t>
      </w:r>
      <w:r>
        <w:rPr>
          <w:rFonts w:hint="eastAsia" w:ascii="宋体" w:hAnsi="宋体" w:cs="宋体"/>
          <w:color w:val="000000"/>
        </w:rPr>
        <w:t>）等。</w:t>
      </w:r>
    </w:p>
    <w:p w14:paraId="4D83E0F2">
      <w:pPr>
        <w:pStyle w:val="3"/>
        <w:rPr>
          <w:color w:val="000000"/>
        </w:rPr>
      </w:pPr>
      <w:bookmarkStart w:id="702" w:name="_Toc71012663"/>
      <w:bookmarkStart w:id="703" w:name="_Toc205291421"/>
      <w:bookmarkStart w:id="704" w:name="_Toc70372828"/>
      <w:bookmarkStart w:id="705" w:name="_Toc69750990"/>
      <w:bookmarkStart w:id="706" w:name="_Toc156203774"/>
      <w:r>
        <w:rPr>
          <w:color w:val="000000"/>
        </w:rPr>
        <w:t>环境风险评价自查表</w:t>
      </w:r>
      <w:bookmarkEnd w:id="702"/>
      <w:bookmarkEnd w:id="703"/>
      <w:bookmarkEnd w:id="704"/>
      <w:bookmarkEnd w:id="705"/>
      <w:bookmarkEnd w:id="706"/>
    </w:p>
    <w:p w14:paraId="57597343">
      <w:pPr>
        <w:pStyle w:val="117"/>
        <w:ind w:firstLine="480"/>
        <w:rPr>
          <w:color w:val="000000"/>
        </w:rPr>
      </w:pPr>
      <w:r>
        <w:rPr>
          <w:rFonts w:hint="eastAsia"/>
          <w:color w:val="000000"/>
        </w:rPr>
        <w:t>本项目环境风险评价自查表，见表7</w:t>
      </w:r>
      <w:r>
        <w:rPr>
          <w:color w:val="000000"/>
        </w:rPr>
        <w:t>.</w:t>
      </w:r>
      <w:r>
        <w:rPr>
          <w:rFonts w:hint="eastAsia"/>
          <w:color w:val="000000"/>
        </w:rPr>
        <w:t>10</w:t>
      </w:r>
      <w:r>
        <w:rPr>
          <w:color w:val="000000"/>
        </w:rPr>
        <w:t>-</w:t>
      </w:r>
      <w:r>
        <w:rPr>
          <w:rFonts w:hint="eastAsia"/>
          <w:color w:val="000000"/>
        </w:rPr>
        <w:t>1。</w:t>
      </w:r>
    </w:p>
    <w:p w14:paraId="1DA7B8E5">
      <w:pPr>
        <w:pStyle w:val="118"/>
        <w:ind w:firstLine="480"/>
      </w:pPr>
      <w:r>
        <w:rPr>
          <w:rFonts w:hint="eastAsia"/>
        </w:rPr>
        <w:t>表7</w:t>
      </w:r>
      <w:r>
        <w:t>.</w:t>
      </w:r>
      <w:r>
        <w:rPr>
          <w:rFonts w:hint="eastAsia"/>
        </w:rPr>
        <w:t xml:space="preserve">10-1 </w:t>
      </w:r>
      <w:r>
        <w:t xml:space="preserve">    建设项目环境风险评价自查表</w:t>
      </w:r>
    </w:p>
    <w:tbl>
      <w:tblPr>
        <w:tblStyle w:val="68"/>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32"/>
        <w:gridCol w:w="1064"/>
        <w:gridCol w:w="1115"/>
        <w:gridCol w:w="285"/>
        <w:gridCol w:w="283"/>
        <w:gridCol w:w="1299"/>
        <w:gridCol w:w="322"/>
        <w:gridCol w:w="309"/>
        <w:gridCol w:w="975"/>
        <w:gridCol w:w="166"/>
        <w:gridCol w:w="285"/>
        <w:gridCol w:w="192"/>
        <w:gridCol w:w="1038"/>
        <w:gridCol w:w="195"/>
        <w:gridCol w:w="1245"/>
      </w:tblGrid>
      <w:tr w14:paraId="02A6D8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858" w:type="pct"/>
            <w:gridSpan w:val="2"/>
            <w:vAlign w:val="center"/>
          </w:tcPr>
          <w:p w14:paraId="466CDDB7">
            <w:pPr>
              <w:pStyle w:val="133"/>
              <w:rPr>
                <w:b/>
                <w:bCs/>
                <w:color w:val="000000"/>
              </w:rPr>
            </w:pPr>
            <w:r>
              <w:rPr>
                <w:b/>
                <w:bCs/>
                <w:color w:val="000000"/>
              </w:rPr>
              <w:t>工作内容</w:t>
            </w:r>
          </w:p>
        </w:tc>
        <w:tc>
          <w:tcPr>
            <w:tcW w:w="4142" w:type="pct"/>
            <w:gridSpan w:val="13"/>
            <w:vAlign w:val="center"/>
          </w:tcPr>
          <w:p w14:paraId="59829BFB">
            <w:pPr>
              <w:pStyle w:val="133"/>
              <w:rPr>
                <w:b/>
                <w:bCs/>
                <w:color w:val="000000"/>
              </w:rPr>
            </w:pPr>
            <w:r>
              <w:rPr>
                <w:b/>
                <w:bCs/>
                <w:color w:val="000000"/>
              </w:rPr>
              <w:t>完成情况</w:t>
            </w:r>
          </w:p>
        </w:tc>
      </w:tr>
      <w:tr w14:paraId="4AC37D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restart"/>
            <w:vAlign w:val="center"/>
          </w:tcPr>
          <w:p w14:paraId="55D085C7">
            <w:pPr>
              <w:pStyle w:val="133"/>
              <w:rPr>
                <w:color w:val="000000"/>
              </w:rPr>
            </w:pPr>
            <w:r>
              <w:rPr>
                <w:color w:val="000000"/>
              </w:rPr>
              <w:t>风险调查</w:t>
            </w:r>
          </w:p>
        </w:tc>
        <w:tc>
          <w:tcPr>
            <w:tcW w:w="571" w:type="pct"/>
            <w:vMerge w:val="restart"/>
            <w:vAlign w:val="center"/>
          </w:tcPr>
          <w:p w14:paraId="3BA90A79">
            <w:pPr>
              <w:pStyle w:val="133"/>
              <w:rPr>
                <w:color w:val="000000"/>
              </w:rPr>
            </w:pPr>
            <w:r>
              <w:rPr>
                <w:color w:val="000000"/>
              </w:rPr>
              <w:t>危险物质</w:t>
            </w:r>
          </w:p>
        </w:tc>
        <w:tc>
          <w:tcPr>
            <w:tcW w:w="752" w:type="pct"/>
            <w:gridSpan w:val="2"/>
            <w:vAlign w:val="center"/>
          </w:tcPr>
          <w:p w14:paraId="5F039301">
            <w:pPr>
              <w:pStyle w:val="133"/>
              <w:rPr>
                <w:color w:val="000000"/>
              </w:rPr>
            </w:pPr>
            <w:r>
              <w:rPr>
                <w:color w:val="000000"/>
              </w:rPr>
              <w:t>名称</w:t>
            </w:r>
          </w:p>
        </w:tc>
        <w:tc>
          <w:tcPr>
            <w:tcW w:w="3391" w:type="pct"/>
            <w:gridSpan w:val="11"/>
            <w:vMerge w:val="restart"/>
            <w:vAlign w:val="center"/>
          </w:tcPr>
          <w:p w14:paraId="272B7F68">
            <w:pPr>
              <w:pStyle w:val="133"/>
              <w:rPr>
                <w:color w:val="000000"/>
              </w:rPr>
            </w:pPr>
            <w:r>
              <w:rPr>
                <w:rFonts w:hint="eastAsia"/>
                <w:color w:val="000000"/>
              </w:rPr>
              <w:t>表7.3-2</w:t>
            </w:r>
          </w:p>
        </w:tc>
      </w:tr>
      <w:tr w14:paraId="1C1CCE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48BD9363">
            <w:pPr>
              <w:pStyle w:val="133"/>
              <w:rPr>
                <w:color w:val="000000"/>
              </w:rPr>
            </w:pPr>
          </w:p>
        </w:tc>
        <w:tc>
          <w:tcPr>
            <w:tcW w:w="571" w:type="pct"/>
            <w:vMerge w:val="continue"/>
            <w:vAlign w:val="center"/>
          </w:tcPr>
          <w:p w14:paraId="2BCC111C">
            <w:pPr>
              <w:pStyle w:val="133"/>
              <w:rPr>
                <w:color w:val="000000"/>
              </w:rPr>
            </w:pPr>
          </w:p>
        </w:tc>
        <w:tc>
          <w:tcPr>
            <w:tcW w:w="752" w:type="pct"/>
            <w:gridSpan w:val="2"/>
            <w:vAlign w:val="center"/>
          </w:tcPr>
          <w:p w14:paraId="4EB93856">
            <w:pPr>
              <w:pStyle w:val="133"/>
              <w:rPr>
                <w:color w:val="000000"/>
              </w:rPr>
            </w:pPr>
            <w:r>
              <w:rPr>
                <w:color w:val="000000"/>
              </w:rPr>
              <w:t>存在总量/t</w:t>
            </w:r>
          </w:p>
        </w:tc>
        <w:tc>
          <w:tcPr>
            <w:tcW w:w="3391" w:type="pct"/>
            <w:gridSpan w:val="11"/>
            <w:vMerge w:val="continue"/>
            <w:vAlign w:val="center"/>
          </w:tcPr>
          <w:p w14:paraId="32B31AED">
            <w:pPr>
              <w:pStyle w:val="133"/>
              <w:rPr>
                <w:color w:val="000000"/>
              </w:rPr>
            </w:pPr>
          </w:p>
        </w:tc>
      </w:tr>
      <w:tr w14:paraId="0C6913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181FDED6">
            <w:pPr>
              <w:pStyle w:val="133"/>
              <w:rPr>
                <w:color w:val="000000"/>
              </w:rPr>
            </w:pPr>
          </w:p>
        </w:tc>
        <w:tc>
          <w:tcPr>
            <w:tcW w:w="571" w:type="pct"/>
            <w:vMerge w:val="restart"/>
            <w:vAlign w:val="center"/>
          </w:tcPr>
          <w:p w14:paraId="19B47CD4">
            <w:pPr>
              <w:pStyle w:val="133"/>
              <w:rPr>
                <w:color w:val="000000"/>
              </w:rPr>
            </w:pPr>
            <w:r>
              <w:rPr>
                <w:color w:val="000000"/>
              </w:rPr>
              <w:t>环境敏感性</w:t>
            </w:r>
          </w:p>
        </w:tc>
        <w:tc>
          <w:tcPr>
            <w:tcW w:w="752" w:type="pct"/>
            <w:gridSpan w:val="2"/>
            <w:vMerge w:val="restart"/>
            <w:vAlign w:val="center"/>
          </w:tcPr>
          <w:p w14:paraId="3C2596A0">
            <w:pPr>
              <w:pStyle w:val="133"/>
              <w:rPr>
                <w:color w:val="000000"/>
              </w:rPr>
            </w:pPr>
            <w:r>
              <w:rPr>
                <w:color w:val="000000"/>
              </w:rPr>
              <w:t>大气</w:t>
            </w:r>
          </w:p>
        </w:tc>
        <w:tc>
          <w:tcPr>
            <w:tcW w:w="1713" w:type="pct"/>
            <w:gridSpan w:val="5"/>
            <w:vAlign w:val="center"/>
          </w:tcPr>
          <w:p w14:paraId="09104827">
            <w:pPr>
              <w:pStyle w:val="133"/>
              <w:rPr>
                <w:color w:val="000000"/>
              </w:rPr>
            </w:pPr>
            <w:r>
              <w:rPr>
                <w:color w:val="000000"/>
              </w:rPr>
              <w:t>500m范围内人口数0人</w:t>
            </w:r>
          </w:p>
        </w:tc>
        <w:tc>
          <w:tcPr>
            <w:tcW w:w="1678" w:type="pct"/>
            <w:gridSpan w:val="6"/>
            <w:vAlign w:val="center"/>
          </w:tcPr>
          <w:p w14:paraId="50ACB358">
            <w:pPr>
              <w:pStyle w:val="133"/>
              <w:rPr>
                <w:color w:val="000000"/>
              </w:rPr>
            </w:pPr>
            <w:r>
              <w:rPr>
                <w:color w:val="000000"/>
              </w:rPr>
              <w:t>5km范围内人口数0人</w:t>
            </w:r>
          </w:p>
        </w:tc>
      </w:tr>
      <w:tr w14:paraId="56CC2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360FC2DD">
            <w:pPr>
              <w:pStyle w:val="133"/>
              <w:rPr>
                <w:color w:val="000000"/>
              </w:rPr>
            </w:pPr>
          </w:p>
        </w:tc>
        <w:tc>
          <w:tcPr>
            <w:tcW w:w="571" w:type="pct"/>
            <w:vMerge w:val="continue"/>
            <w:vAlign w:val="center"/>
          </w:tcPr>
          <w:p w14:paraId="15B36504">
            <w:pPr>
              <w:pStyle w:val="133"/>
              <w:rPr>
                <w:color w:val="000000"/>
              </w:rPr>
            </w:pPr>
          </w:p>
        </w:tc>
        <w:tc>
          <w:tcPr>
            <w:tcW w:w="752" w:type="pct"/>
            <w:gridSpan w:val="2"/>
            <w:vMerge w:val="continue"/>
            <w:vAlign w:val="center"/>
          </w:tcPr>
          <w:p w14:paraId="1E36FDEE">
            <w:pPr>
              <w:pStyle w:val="133"/>
              <w:rPr>
                <w:color w:val="000000"/>
              </w:rPr>
            </w:pPr>
          </w:p>
        </w:tc>
        <w:tc>
          <w:tcPr>
            <w:tcW w:w="2720" w:type="pct"/>
            <w:gridSpan w:val="10"/>
            <w:vAlign w:val="center"/>
          </w:tcPr>
          <w:p w14:paraId="3EB86522">
            <w:pPr>
              <w:pStyle w:val="133"/>
              <w:rPr>
                <w:color w:val="000000"/>
              </w:rPr>
            </w:pPr>
            <w:r>
              <w:rPr>
                <w:color w:val="000000"/>
              </w:rPr>
              <w:t>每公里管段周边200m范围内人口数（最大）</w:t>
            </w:r>
          </w:p>
        </w:tc>
        <w:tc>
          <w:tcPr>
            <w:tcW w:w="670" w:type="pct"/>
            <w:vAlign w:val="center"/>
          </w:tcPr>
          <w:p w14:paraId="430CA2BE">
            <w:pPr>
              <w:pStyle w:val="133"/>
              <w:rPr>
                <w:color w:val="000000"/>
              </w:rPr>
            </w:pPr>
            <w:r>
              <w:rPr>
                <w:rFonts w:hint="eastAsia"/>
                <w:color w:val="000000"/>
              </w:rPr>
              <w:t>/</w:t>
            </w:r>
            <w:r>
              <w:rPr>
                <w:color w:val="000000"/>
              </w:rPr>
              <w:t>人</w:t>
            </w:r>
          </w:p>
        </w:tc>
      </w:tr>
      <w:tr w14:paraId="76AFD6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70246000">
            <w:pPr>
              <w:pStyle w:val="133"/>
              <w:rPr>
                <w:color w:val="FF0000"/>
              </w:rPr>
            </w:pPr>
          </w:p>
        </w:tc>
        <w:tc>
          <w:tcPr>
            <w:tcW w:w="571" w:type="pct"/>
            <w:vMerge w:val="continue"/>
            <w:vAlign w:val="center"/>
          </w:tcPr>
          <w:p w14:paraId="3E83D257">
            <w:pPr>
              <w:pStyle w:val="133"/>
              <w:rPr>
                <w:color w:val="FF0000"/>
              </w:rPr>
            </w:pPr>
          </w:p>
        </w:tc>
        <w:tc>
          <w:tcPr>
            <w:tcW w:w="752" w:type="pct"/>
            <w:gridSpan w:val="2"/>
            <w:vMerge w:val="restart"/>
            <w:vAlign w:val="center"/>
          </w:tcPr>
          <w:p w14:paraId="622934A3">
            <w:pPr>
              <w:pStyle w:val="133"/>
              <w:rPr>
                <w:color w:val="000000"/>
              </w:rPr>
            </w:pPr>
            <w:r>
              <w:rPr>
                <w:color w:val="000000"/>
              </w:rPr>
              <w:t>地表水</w:t>
            </w:r>
          </w:p>
        </w:tc>
        <w:tc>
          <w:tcPr>
            <w:tcW w:w="1189" w:type="pct"/>
            <w:gridSpan w:val="4"/>
            <w:vAlign w:val="center"/>
          </w:tcPr>
          <w:p w14:paraId="61D533AB">
            <w:pPr>
              <w:pStyle w:val="133"/>
              <w:rPr>
                <w:color w:val="000000"/>
              </w:rPr>
            </w:pPr>
            <w:r>
              <w:rPr>
                <w:color w:val="000000"/>
              </w:rPr>
              <w:t>地表水功能敏感性</w:t>
            </w:r>
          </w:p>
        </w:tc>
        <w:tc>
          <w:tcPr>
            <w:tcW w:w="766" w:type="pct"/>
            <w:gridSpan w:val="3"/>
            <w:vAlign w:val="center"/>
          </w:tcPr>
          <w:p w14:paraId="4B2C1AE3">
            <w:pPr>
              <w:pStyle w:val="133"/>
              <w:rPr>
                <w:color w:val="000000"/>
              </w:rPr>
            </w:pPr>
            <w:r>
              <w:rPr>
                <w:color w:val="000000"/>
              </w:rPr>
              <w:t>F1□</w:t>
            </w:r>
          </w:p>
        </w:tc>
        <w:tc>
          <w:tcPr>
            <w:tcW w:w="766" w:type="pct"/>
            <w:gridSpan w:val="3"/>
            <w:vAlign w:val="center"/>
          </w:tcPr>
          <w:p w14:paraId="7610424A">
            <w:pPr>
              <w:pStyle w:val="133"/>
              <w:rPr>
                <w:color w:val="000000"/>
              </w:rPr>
            </w:pPr>
            <w:r>
              <w:rPr>
                <w:color w:val="000000"/>
              </w:rPr>
              <w:t>F2□</w:t>
            </w:r>
          </w:p>
        </w:tc>
        <w:tc>
          <w:tcPr>
            <w:tcW w:w="670" w:type="pct"/>
            <w:vAlign w:val="center"/>
          </w:tcPr>
          <w:p w14:paraId="68CC0A31">
            <w:pPr>
              <w:pStyle w:val="133"/>
              <w:rPr>
                <w:color w:val="000000"/>
              </w:rPr>
            </w:pPr>
            <w:r>
              <w:rPr>
                <w:color w:val="000000"/>
              </w:rPr>
              <w:t>F3√</w:t>
            </w:r>
          </w:p>
        </w:tc>
      </w:tr>
      <w:tr w14:paraId="21E2A6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52CA0713">
            <w:pPr>
              <w:pStyle w:val="133"/>
              <w:rPr>
                <w:color w:val="FF0000"/>
              </w:rPr>
            </w:pPr>
          </w:p>
        </w:tc>
        <w:tc>
          <w:tcPr>
            <w:tcW w:w="571" w:type="pct"/>
            <w:vMerge w:val="continue"/>
            <w:vAlign w:val="center"/>
          </w:tcPr>
          <w:p w14:paraId="2B7E586B">
            <w:pPr>
              <w:pStyle w:val="133"/>
              <w:rPr>
                <w:color w:val="FF0000"/>
              </w:rPr>
            </w:pPr>
          </w:p>
        </w:tc>
        <w:tc>
          <w:tcPr>
            <w:tcW w:w="752" w:type="pct"/>
            <w:gridSpan w:val="2"/>
            <w:vMerge w:val="continue"/>
            <w:vAlign w:val="center"/>
          </w:tcPr>
          <w:p w14:paraId="2912C5A8">
            <w:pPr>
              <w:pStyle w:val="133"/>
              <w:rPr>
                <w:color w:val="000000"/>
              </w:rPr>
            </w:pPr>
          </w:p>
        </w:tc>
        <w:tc>
          <w:tcPr>
            <w:tcW w:w="1189" w:type="pct"/>
            <w:gridSpan w:val="4"/>
            <w:vAlign w:val="center"/>
          </w:tcPr>
          <w:p w14:paraId="50358E21">
            <w:pPr>
              <w:pStyle w:val="133"/>
              <w:rPr>
                <w:color w:val="000000"/>
              </w:rPr>
            </w:pPr>
            <w:r>
              <w:rPr>
                <w:color w:val="000000"/>
              </w:rPr>
              <w:t>环境敏感目标分级</w:t>
            </w:r>
          </w:p>
        </w:tc>
        <w:tc>
          <w:tcPr>
            <w:tcW w:w="766" w:type="pct"/>
            <w:gridSpan w:val="3"/>
            <w:vAlign w:val="center"/>
          </w:tcPr>
          <w:p w14:paraId="319A687F">
            <w:pPr>
              <w:pStyle w:val="133"/>
              <w:rPr>
                <w:color w:val="000000"/>
              </w:rPr>
            </w:pPr>
            <w:r>
              <w:rPr>
                <w:color w:val="000000"/>
              </w:rPr>
              <w:t>S1□</w:t>
            </w:r>
          </w:p>
        </w:tc>
        <w:tc>
          <w:tcPr>
            <w:tcW w:w="766" w:type="pct"/>
            <w:gridSpan w:val="3"/>
            <w:vAlign w:val="center"/>
          </w:tcPr>
          <w:p w14:paraId="0BA7A82E">
            <w:pPr>
              <w:pStyle w:val="133"/>
              <w:rPr>
                <w:color w:val="000000"/>
              </w:rPr>
            </w:pPr>
            <w:r>
              <w:rPr>
                <w:color w:val="000000"/>
              </w:rPr>
              <w:t>S2□</w:t>
            </w:r>
          </w:p>
        </w:tc>
        <w:tc>
          <w:tcPr>
            <w:tcW w:w="670" w:type="pct"/>
            <w:vAlign w:val="center"/>
          </w:tcPr>
          <w:p w14:paraId="39EBB099">
            <w:pPr>
              <w:pStyle w:val="133"/>
              <w:rPr>
                <w:color w:val="000000"/>
              </w:rPr>
            </w:pPr>
            <w:r>
              <w:rPr>
                <w:color w:val="000000"/>
              </w:rPr>
              <w:t>S3√</w:t>
            </w:r>
          </w:p>
        </w:tc>
      </w:tr>
      <w:tr w14:paraId="58B43D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0F25589F">
            <w:pPr>
              <w:pStyle w:val="133"/>
              <w:rPr>
                <w:color w:val="FF0000"/>
              </w:rPr>
            </w:pPr>
          </w:p>
        </w:tc>
        <w:tc>
          <w:tcPr>
            <w:tcW w:w="571" w:type="pct"/>
            <w:vMerge w:val="continue"/>
            <w:vAlign w:val="center"/>
          </w:tcPr>
          <w:p w14:paraId="26C578F2">
            <w:pPr>
              <w:pStyle w:val="133"/>
              <w:rPr>
                <w:color w:val="FF0000"/>
              </w:rPr>
            </w:pPr>
          </w:p>
        </w:tc>
        <w:tc>
          <w:tcPr>
            <w:tcW w:w="752" w:type="pct"/>
            <w:gridSpan w:val="2"/>
            <w:vMerge w:val="restart"/>
            <w:vAlign w:val="center"/>
          </w:tcPr>
          <w:p w14:paraId="00BDA3B3">
            <w:pPr>
              <w:pStyle w:val="133"/>
              <w:rPr>
                <w:color w:val="000000"/>
              </w:rPr>
            </w:pPr>
            <w:r>
              <w:rPr>
                <w:color w:val="000000"/>
              </w:rPr>
              <w:t>地下水</w:t>
            </w:r>
          </w:p>
        </w:tc>
        <w:tc>
          <w:tcPr>
            <w:tcW w:w="1189" w:type="pct"/>
            <w:gridSpan w:val="4"/>
            <w:vAlign w:val="center"/>
          </w:tcPr>
          <w:p w14:paraId="063DBDF5">
            <w:pPr>
              <w:pStyle w:val="133"/>
              <w:rPr>
                <w:color w:val="000000"/>
              </w:rPr>
            </w:pPr>
            <w:r>
              <w:rPr>
                <w:color w:val="000000"/>
              </w:rPr>
              <w:t>地下水功能敏感性</w:t>
            </w:r>
          </w:p>
        </w:tc>
        <w:tc>
          <w:tcPr>
            <w:tcW w:w="766" w:type="pct"/>
            <w:gridSpan w:val="3"/>
            <w:vAlign w:val="center"/>
          </w:tcPr>
          <w:p w14:paraId="09AD0EC4">
            <w:pPr>
              <w:pStyle w:val="133"/>
              <w:rPr>
                <w:color w:val="000000"/>
              </w:rPr>
            </w:pPr>
            <w:r>
              <w:rPr>
                <w:color w:val="000000"/>
              </w:rPr>
              <w:t>G1□</w:t>
            </w:r>
          </w:p>
        </w:tc>
        <w:tc>
          <w:tcPr>
            <w:tcW w:w="766" w:type="pct"/>
            <w:gridSpan w:val="3"/>
            <w:vAlign w:val="center"/>
          </w:tcPr>
          <w:p w14:paraId="4F1C1B00">
            <w:pPr>
              <w:pStyle w:val="133"/>
              <w:rPr>
                <w:color w:val="000000"/>
              </w:rPr>
            </w:pPr>
            <w:r>
              <w:rPr>
                <w:color w:val="000000"/>
              </w:rPr>
              <w:t>G2□</w:t>
            </w:r>
          </w:p>
        </w:tc>
        <w:tc>
          <w:tcPr>
            <w:tcW w:w="670" w:type="pct"/>
            <w:vAlign w:val="center"/>
          </w:tcPr>
          <w:p w14:paraId="0444A680">
            <w:pPr>
              <w:pStyle w:val="133"/>
              <w:rPr>
                <w:color w:val="000000"/>
              </w:rPr>
            </w:pPr>
            <w:r>
              <w:rPr>
                <w:color w:val="000000"/>
              </w:rPr>
              <w:t>G3√</w:t>
            </w:r>
          </w:p>
        </w:tc>
      </w:tr>
      <w:tr w14:paraId="4EE3F1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15B52392">
            <w:pPr>
              <w:pStyle w:val="133"/>
              <w:rPr>
                <w:color w:val="FF0000"/>
              </w:rPr>
            </w:pPr>
          </w:p>
        </w:tc>
        <w:tc>
          <w:tcPr>
            <w:tcW w:w="571" w:type="pct"/>
            <w:vMerge w:val="continue"/>
            <w:vAlign w:val="center"/>
          </w:tcPr>
          <w:p w14:paraId="61224FEF">
            <w:pPr>
              <w:pStyle w:val="133"/>
              <w:rPr>
                <w:color w:val="FF0000"/>
              </w:rPr>
            </w:pPr>
          </w:p>
        </w:tc>
        <w:tc>
          <w:tcPr>
            <w:tcW w:w="752" w:type="pct"/>
            <w:gridSpan w:val="2"/>
            <w:vMerge w:val="continue"/>
            <w:vAlign w:val="center"/>
          </w:tcPr>
          <w:p w14:paraId="7C6170FE">
            <w:pPr>
              <w:pStyle w:val="133"/>
              <w:rPr>
                <w:color w:val="FF0000"/>
              </w:rPr>
            </w:pPr>
          </w:p>
        </w:tc>
        <w:tc>
          <w:tcPr>
            <w:tcW w:w="1189" w:type="pct"/>
            <w:gridSpan w:val="4"/>
            <w:vAlign w:val="center"/>
          </w:tcPr>
          <w:p w14:paraId="4138B310">
            <w:pPr>
              <w:pStyle w:val="133"/>
              <w:rPr>
                <w:color w:val="000000"/>
              </w:rPr>
            </w:pPr>
            <w:r>
              <w:rPr>
                <w:color w:val="000000"/>
              </w:rPr>
              <w:t>包气带防污性能</w:t>
            </w:r>
          </w:p>
        </w:tc>
        <w:tc>
          <w:tcPr>
            <w:tcW w:w="766" w:type="pct"/>
            <w:gridSpan w:val="3"/>
            <w:vAlign w:val="center"/>
          </w:tcPr>
          <w:p w14:paraId="373A5124">
            <w:pPr>
              <w:pStyle w:val="133"/>
              <w:rPr>
                <w:color w:val="000000"/>
              </w:rPr>
            </w:pPr>
            <w:r>
              <w:rPr>
                <w:color w:val="000000"/>
              </w:rPr>
              <w:t>D1√</w:t>
            </w:r>
          </w:p>
        </w:tc>
        <w:tc>
          <w:tcPr>
            <w:tcW w:w="766" w:type="pct"/>
            <w:gridSpan w:val="3"/>
            <w:vAlign w:val="center"/>
          </w:tcPr>
          <w:p w14:paraId="5347B43C">
            <w:pPr>
              <w:pStyle w:val="133"/>
              <w:rPr>
                <w:color w:val="000000"/>
              </w:rPr>
            </w:pPr>
            <w:r>
              <w:rPr>
                <w:color w:val="000000"/>
              </w:rPr>
              <w:t>D2□</w:t>
            </w:r>
          </w:p>
        </w:tc>
        <w:tc>
          <w:tcPr>
            <w:tcW w:w="670" w:type="pct"/>
            <w:vAlign w:val="center"/>
          </w:tcPr>
          <w:p w14:paraId="00DA39B1">
            <w:pPr>
              <w:pStyle w:val="133"/>
              <w:rPr>
                <w:color w:val="000000"/>
              </w:rPr>
            </w:pPr>
            <w:r>
              <w:rPr>
                <w:color w:val="000000"/>
              </w:rPr>
              <w:t>D3□</w:t>
            </w:r>
          </w:p>
        </w:tc>
      </w:tr>
      <w:tr w14:paraId="5DF573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Merge w:val="restart"/>
            <w:vAlign w:val="center"/>
          </w:tcPr>
          <w:p w14:paraId="19AAF5B3">
            <w:pPr>
              <w:pStyle w:val="133"/>
              <w:rPr>
                <w:color w:val="000000"/>
              </w:rPr>
            </w:pPr>
            <w:r>
              <w:rPr>
                <w:color w:val="000000"/>
              </w:rPr>
              <w:t>物质及工艺系统危险性</w:t>
            </w:r>
          </w:p>
        </w:tc>
        <w:tc>
          <w:tcPr>
            <w:tcW w:w="752" w:type="pct"/>
            <w:gridSpan w:val="2"/>
            <w:vAlign w:val="center"/>
          </w:tcPr>
          <w:p w14:paraId="4EA0A3FA">
            <w:pPr>
              <w:pStyle w:val="133"/>
              <w:rPr>
                <w:color w:val="000000"/>
              </w:rPr>
            </w:pPr>
            <w:r>
              <w:rPr>
                <w:color w:val="000000"/>
              </w:rPr>
              <w:t>Q值</w:t>
            </w:r>
          </w:p>
        </w:tc>
        <w:tc>
          <w:tcPr>
            <w:tcW w:w="1023" w:type="pct"/>
            <w:gridSpan w:val="3"/>
            <w:vAlign w:val="center"/>
          </w:tcPr>
          <w:p w14:paraId="03BF8065">
            <w:pPr>
              <w:pStyle w:val="133"/>
              <w:rPr>
                <w:color w:val="000000"/>
              </w:rPr>
            </w:pPr>
            <w:r>
              <w:rPr>
                <w:color w:val="000000"/>
              </w:rPr>
              <w:t>Q</w:t>
            </w:r>
            <w:r>
              <w:rPr>
                <w:rFonts w:hint="eastAsia"/>
                <w:color w:val="000000"/>
              </w:rPr>
              <w:t>&lt;</w:t>
            </w:r>
            <w:r>
              <w:rPr>
                <w:color w:val="000000"/>
              </w:rPr>
              <w:t>1□</w:t>
            </w:r>
          </w:p>
        </w:tc>
        <w:tc>
          <w:tcPr>
            <w:tcW w:w="779" w:type="pct"/>
            <w:gridSpan w:val="3"/>
            <w:vAlign w:val="center"/>
          </w:tcPr>
          <w:p w14:paraId="64AD5C9C">
            <w:pPr>
              <w:pStyle w:val="133"/>
              <w:rPr>
                <w:color w:val="000000"/>
              </w:rPr>
            </w:pPr>
            <w:r>
              <w:rPr>
                <w:color w:val="000000"/>
              </w:rPr>
              <w:t>1≤Q</w:t>
            </w:r>
            <w:r>
              <w:rPr>
                <w:rFonts w:hint="eastAsia"/>
                <w:color w:val="000000"/>
              </w:rPr>
              <w:t>&lt;</w:t>
            </w:r>
            <w:r>
              <w:rPr>
                <w:color w:val="000000"/>
              </w:rPr>
              <w:t>10□</w:t>
            </w:r>
          </w:p>
        </w:tc>
        <w:tc>
          <w:tcPr>
            <w:tcW w:w="814" w:type="pct"/>
            <w:gridSpan w:val="3"/>
            <w:vAlign w:val="center"/>
          </w:tcPr>
          <w:p w14:paraId="69C6B62B">
            <w:pPr>
              <w:pStyle w:val="133"/>
              <w:rPr>
                <w:color w:val="000000"/>
              </w:rPr>
            </w:pPr>
            <w:r>
              <w:rPr>
                <w:color w:val="000000"/>
              </w:rPr>
              <w:t>10≤Q</w:t>
            </w:r>
            <w:r>
              <w:rPr>
                <w:rFonts w:hint="eastAsia"/>
                <w:color w:val="000000"/>
              </w:rPr>
              <w:t>&lt;</w:t>
            </w:r>
            <w:r>
              <w:rPr>
                <w:color w:val="000000"/>
              </w:rPr>
              <w:t>100√</w:t>
            </w:r>
          </w:p>
        </w:tc>
        <w:tc>
          <w:tcPr>
            <w:tcW w:w="775" w:type="pct"/>
            <w:gridSpan w:val="2"/>
            <w:vAlign w:val="center"/>
          </w:tcPr>
          <w:p w14:paraId="0747863D">
            <w:pPr>
              <w:pStyle w:val="133"/>
              <w:rPr>
                <w:color w:val="000000"/>
              </w:rPr>
            </w:pPr>
            <w:r>
              <w:rPr>
                <w:color w:val="000000"/>
              </w:rPr>
              <w:t>Q</w:t>
            </w:r>
            <w:r>
              <w:rPr>
                <w:rFonts w:hint="eastAsia"/>
                <w:color w:val="000000"/>
              </w:rPr>
              <w:t>&gt;</w:t>
            </w:r>
            <w:r>
              <w:rPr>
                <w:color w:val="000000"/>
              </w:rPr>
              <w:t>100□</w:t>
            </w:r>
          </w:p>
        </w:tc>
      </w:tr>
      <w:tr w14:paraId="424E5A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Merge w:val="continue"/>
            <w:vAlign w:val="center"/>
          </w:tcPr>
          <w:p w14:paraId="2C6B4E8A">
            <w:pPr>
              <w:pStyle w:val="133"/>
              <w:rPr>
                <w:color w:val="FF0000"/>
              </w:rPr>
            </w:pPr>
          </w:p>
        </w:tc>
        <w:tc>
          <w:tcPr>
            <w:tcW w:w="752" w:type="pct"/>
            <w:gridSpan w:val="2"/>
            <w:vAlign w:val="center"/>
          </w:tcPr>
          <w:p w14:paraId="2BB0C8C5">
            <w:pPr>
              <w:pStyle w:val="133"/>
              <w:rPr>
                <w:color w:val="000000"/>
              </w:rPr>
            </w:pPr>
            <w:r>
              <w:rPr>
                <w:color w:val="000000"/>
              </w:rPr>
              <w:t>M值</w:t>
            </w:r>
          </w:p>
        </w:tc>
        <w:tc>
          <w:tcPr>
            <w:tcW w:w="1023" w:type="pct"/>
            <w:gridSpan w:val="3"/>
            <w:vAlign w:val="center"/>
          </w:tcPr>
          <w:p w14:paraId="3812EFBB">
            <w:pPr>
              <w:pStyle w:val="133"/>
              <w:rPr>
                <w:color w:val="000000"/>
              </w:rPr>
            </w:pPr>
            <w:r>
              <w:rPr>
                <w:color w:val="000000"/>
              </w:rPr>
              <w:t>M1√</w:t>
            </w:r>
          </w:p>
        </w:tc>
        <w:tc>
          <w:tcPr>
            <w:tcW w:w="779" w:type="pct"/>
            <w:gridSpan w:val="3"/>
            <w:vAlign w:val="center"/>
          </w:tcPr>
          <w:p w14:paraId="49839B52">
            <w:pPr>
              <w:pStyle w:val="133"/>
              <w:rPr>
                <w:color w:val="000000"/>
              </w:rPr>
            </w:pPr>
            <w:r>
              <w:rPr>
                <w:color w:val="000000"/>
              </w:rPr>
              <w:t>M2□</w:t>
            </w:r>
          </w:p>
        </w:tc>
        <w:tc>
          <w:tcPr>
            <w:tcW w:w="814" w:type="pct"/>
            <w:gridSpan w:val="3"/>
            <w:vAlign w:val="center"/>
          </w:tcPr>
          <w:p w14:paraId="58EA7014">
            <w:pPr>
              <w:pStyle w:val="133"/>
              <w:rPr>
                <w:color w:val="000000"/>
              </w:rPr>
            </w:pPr>
            <w:r>
              <w:rPr>
                <w:color w:val="000000"/>
              </w:rPr>
              <w:t>M3□</w:t>
            </w:r>
          </w:p>
        </w:tc>
        <w:tc>
          <w:tcPr>
            <w:tcW w:w="775" w:type="pct"/>
            <w:gridSpan w:val="2"/>
            <w:vAlign w:val="center"/>
          </w:tcPr>
          <w:p w14:paraId="34DAA08F">
            <w:pPr>
              <w:pStyle w:val="133"/>
              <w:rPr>
                <w:color w:val="000000"/>
              </w:rPr>
            </w:pPr>
            <w:r>
              <w:rPr>
                <w:color w:val="000000"/>
              </w:rPr>
              <w:t>M4□</w:t>
            </w:r>
          </w:p>
        </w:tc>
      </w:tr>
      <w:tr w14:paraId="4821BD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Merge w:val="continue"/>
            <w:vAlign w:val="center"/>
          </w:tcPr>
          <w:p w14:paraId="52DF99DA">
            <w:pPr>
              <w:pStyle w:val="133"/>
              <w:rPr>
                <w:color w:val="FF0000"/>
              </w:rPr>
            </w:pPr>
          </w:p>
        </w:tc>
        <w:tc>
          <w:tcPr>
            <w:tcW w:w="752" w:type="pct"/>
            <w:gridSpan w:val="2"/>
            <w:vAlign w:val="center"/>
          </w:tcPr>
          <w:p w14:paraId="671E1097">
            <w:pPr>
              <w:pStyle w:val="133"/>
              <w:rPr>
                <w:color w:val="000000"/>
              </w:rPr>
            </w:pPr>
            <w:r>
              <w:rPr>
                <w:color w:val="000000"/>
              </w:rPr>
              <w:t>P值</w:t>
            </w:r>
          </w:p>
        </w:tc>
        <w:tc>
          <w:tcPr>
            <w:tcW w:w="1023" w:type="pct"/>
            <w:gridSpan w:val="3"/>
            <w:vAlign w:val="center"/>
          </w:tcPr>
          <w:p w14:paraId="076F6D3D">
            <w:pPr>
              <w:pStyle w:val="133"/>
              <w:rPr>
                <w:color w:val="000000"/>
              </w:rPr>
            </w:pPr>
            <w:r>
              <w:rPr>
                <w:color w:val="000000"/>
              </w:rPr>
              <w:t>P1√</w:t>
            </w:r>
          </w:p>
        </w:tc>
        <w:tc>
          <w:tcPr>
            <w:tcW w:w="779" w:type="pct"/>
            <w:gridSpan w:val="3"/>
            <w:vAlign w:val="center"/>
          </w:tcPr>
          <w:p w14:paraId="58BE84B7">
            <w:pPr>
              <w:pStyle w:val="133"/>
              <w:rPr>
                <w:color w:val="000000"/>
              </w:rPr>
            </w:pPr>
            <w:r>
              <w:rPr>
                <w:color w:val="000000"/>
              </w:rPr>
              <w:t>P2□</w:t>
            </w:r>
          </w:p>
        </w:tc>
        <w:tc>
          <w:tcPr>
            <w:tcW w:w="814" w:type="pct"/>
            <w:gridSpan w:val="3"/>
            <w:vAlign w:val="center"/>
          </w:tcPr>
          <w:p w14:paraId="1FF64C3B">
            <w:pPr>
              <w:pStyle w:val="133"/>
              <w:rPr>
                <w:color w:val="000000"/>
              </w:rPr>
            </w:pPr>
            <w:r>
              <w:rPr>
                <w:color w:val="000000"/>
              </w:rPr>
              <w:t>P3□</w:t>
            </w:r>
          </w:p>
        </w:tc>
        <w:tc>
          <w:tcPr>
            <w:tcW w:w="775" w:type="pct"/>
            <w:gridSpan w:val="2"/>
            <w:vAlign w:val="center"/>
          </w:tcPr>
          <w:p w14:paraId="46D72E8D">
            <w:pPr>
              <w:pStyle w:val="133"/>
              <w:rPr>
                <w:color w:val="000000"/>
              </w:rPr>
            </w:pPr>
            <w:r>
              <w:rPr>
                <w:color w:val="000000"/>
              </w:rPr>
              <w:t>P4□</w:t>
            </w:r>
          </w:p>
        </w:tc>
      </w:tr>
      <w:tr w14:paraId="3C572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Merge w:val="restart"/>
            <w:vAlign w:val="center"/>
          </w:tcPr>
          <w:p w14:paraId="51614FAA">
            <w:pPr>
              <w:pStyle w:val="133"/>
              <w:rPr>
                <w:color w:val="000000"/>
              </w:rPr>
            </w:pPr>
            <w:r>
              <w:rPr>
                <w:color w:val="000000"/>
              </w:rPr>
              <w:t>环境敏感程度</w:t>
            </w:r>
          </w:p>
        </w:tc>
        <w:tc>
          <w:tcPr>
            <w:tcW w:w="752" w:type="pct"/>
            <w:gridSpan w:val="2"/>
            <w:vAlign w:val="center"/>
          </w:tcPr>
          <w:p w14:paraId="1D39FAD6">
            <w:pPr>
              <w:pStyle w:val="133"/>
              <w:rPr>
                <w:color w:val="000000"/>
              </w:rPr>
            </w:pPr>
            <w:r>
              <w:rPr>
                <w:color w:val="000000"/>
              </w:rPr>
              <w:t>大气</w:t>
            </w:r>
          </w:p>
        </w:tc>
        <w:tc>
          <w:tcPr>
            <w:tcW w:w="1023" w:type="pct"/>
            <w:gridSpan w:val="3"/>
            <w:vAlign w:val="center"/>
          </w:tcPr>
          <w:p w14:paraId="5458A18F">
            <w:pPr>
              <w:pStyle w:val="133"/>
              <w:rPr>
                <w:color w:val="000000"/>
              </w:rPr>
            </w:pPr>
            <w:r>
              <w:rPr>
                <w:color w:val="000000"/>
              </w:rPr>
              <w:t>E1□</w:t>
            </w:r>
          </w:p>
        </w:tc>
        <w:tc>
          <w:tcPr>
            <w:tcW w:w="1035" w:type="pct"/>
            <w:gridSpan w:val="5"/>
            <w:vAlign w:val="center"/>
          </w:tcPr>
          <w:p w14:paraId="673ABF2B">
            <w:pPr>
              <w:pStyle w:val="133"/>
              <w:rPr>
                <w:color w:val="000000"/>
              </w:rPr>
            </w:pPr>
            <w:r>
              <w:rPr>
                <w:color w:val="000000"/>
              </w:rPr>
              <w:t>E2□</w:t>
            </w:r>
          </w:p>
        </w:tc>
        <w:tc>
          <w:tcPr>
            <w:tcW w:w="1333" w:type="pct"/>
            <w:gridSpan w:val="3"/>
            <w:vAlign w:val="center"/>
          </w:tcPr>
          <w:p w14:paraId="53C4B4C1">
            <w:pPr>
              <w:pStyle w:val="133"/>
              <w:rPr>
                <w:color w:val="000000"/>
              </w:rPr>
            </w:pPr>
            <w:r>
              <w:rPr>
                <w:color w:val="000000"/>
              </w:rPr>
              <w:t>E3√</w:t>
            </w:r>
          </w:p>
        </w:tc>
      </w:tr>
      <w:tr w14:paraId="2D136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Merge w:val="continue"/>
            <w:vAlign w:val="center"/>
          </w:tcPr>
          <w:p w14:paraId="77336456">
            <w:pPr>
              <w:pStyle w:val="133"/>
              <w:rPr>
                <w:color w:val="FF0000"/>
              </w:rPr>
            </w:pPr>
          </w:p>
        </w:tc>
        <w:tc>
          <w:tcPr>
            <w:tcW w:w="752" w:type="pct"/>
            <w:gridSpan w:val="2"/>
            <w:vAlign w:val="center"/>
          </w:tcPr>
          <w:p w14:paraId="099D24F1">
            <w:pPr>
              <w:pStyle w:val="133"/>
              <w:rPr>
                <w:color w:val="000000"/>
              </w:rPr>
            </w:pPr>
            <w:r>
              <w:rPr>
                <w:color w:val="000000"/>
              </w:rPr>
              <w:t>地表水</w:t>
            </w:r>
          </w:p>
        </w:tc>
        <w:tc>
          <w:tcPr>
            <w:tcW w:w="1023" w:type="pct"/>
            <w:gridSpan w:val="3"/>
            <w:vAlign w:val="center"/>
          </w:tcPr>
          <w:p w14:paraId="6C9EE207">
            <w:pPr>
              <w:pStyle w:val="133"/>
              <w:rPr>
                <w:color w:val="000000"/>
              </w:rPr>
            </w:pPr>
            <w:r>
              <w:rPr>
                <w:color w:val="000000"/>
              </w:rPr>
              <w:t>E1□</w:t>
            </w:r>
          </w:p>
        </w:tc>
        <w:tc>
          <w:tcPr>
            <w:tcW w:w="1035" w:type="pct"/>
            <w:gridSpan w:val="5"/>
            <w:vAlign w:val="center"/>
          </w:tcPr>
          <w:p w14:paraId="26521464">
            <w:pPr>
              <w:pStyle w:val="133"/>
              <w:rPr>
                <w:color w:val="000000"/>
              </w:rPr>
            </w:pPr>
            <w:r>
              <w:rPr>
                <w:color w:val="000000"/>
              </w:rPr>
              <w:t>E2□</w:t>
            </w:r>
          </w:p>
        </w:tc>
        <w:tc>
          <w:tcPr>
            <w:tcW w:w="1333" w:type="pct"/>
            <w:gridSpan w:val="3"/>
            <w:vAlign w:val="center"/>
          </w:tcPr>
          <w:p w14:paraId="35E4FEE5">
            <w:pPr>
              <w:pStyle w:val="133"/>
              <w:rPr>
                <w:color w:val="000000"/>
              </w:rPr>
            </w:pPr>
            <w:r>
              <w:rPr>
                <w:color w:val="000000"/>
              </w:rPr>
              <w:t>E3□</w:t>
            </w:r>
          </w:p>
        </w:tc>
      </w:tr>
      <w:tr w14:paraId="3704B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Merge w:val="continue"/>
            <w:vAlign w:val="center"/>
          </w:tcPr>
          <w:p w14:paraId="5BFE476F">
            <w:pPr>
              <w:pStyle w:val="133"/>
              <w:rPr>
                <w:color w:val="FF0000"/>
              </w:rPr>
            </w:pPr>
          </w:p>
        </w:tc>
        <w:tc>
          <w:tcPr>
            <w:tcW w:w="752" w:type="pct"/>
            <w:gridSpan w:val="2"/>
            <w:vAlign w:val="center"/>
          </w:tcPr>
          <w:p w14:paraId="45074CA2">
            <w:pPr>
              <w:pStyle w:val="133"/>
              <w:rPr>
                <w:color w:val="000000"/>
              </w:rPr>
            </w:pPr>
            <w:r>
              <w:rPr>
                <w:color w:val="000000"/>
              </w:rPr>
              <w:t>地下水</w:t>
            </w:r>
          </w:p>
        </w:tc>
        <w:tc>
          <w:tcPr>
            <w:tcW w:w="1023" w:type="pct"/>
            <w:gridSpan w:val="3"/>
            <w:vAlign w:val="center"/>
          </w:tcPr>
          <w:p w14:paraId="4413BE7D">
            <w:pPr>
              <w:pStyle w:val="133"/>
              <w:rPr>
                <w:color w:val="000000"/>
              </w:rPr>
            </w:pPr>
            <w:r>
              <w:rPr>
                <w:color w:val="000000"/>
              </w:rPr>
              <w:t>E1□</w:t>
            </w:r>
          </w:p>
        </w:tc>
        <w:tc>
          <w:tcPr>
            <w:tcW w:w="1035" w:type="pct"/>
            <w:gridSpan w:val="5"/>
            <w:vAlign w:val="center"/>
          </w:tcPr>
          <w:p w14:paraId="447FA0DE">
            <w:pPr>
              <w:pStyle w:val="133"/>
              <w:rPr>
                <w:color w:val="000000"/>
              </w:rPr>
            </w:pPr>
            <w:r>
              <w:rPr>
                <w:color w:val="000000"/>
              </w:rPr>
              <w:t>E2√</w:t>
            </w:r>
          </w:p>
        </w:tc>
        <w:tc>
          <w:tcPr>
            <w:tcW w:w="1333" w:type="pct"/>
            <w:gridSpan w:val="3"/>
            <w:vAlign w:val="center"/>
          </w:tcPr>
          <w:p w14:paraId="6F4B4E38">
            <w:pPr>
              <w:pStyle w:val="133"/>
              <w:rPr>
                <w:color w:val="000000"/>
              </w:rPr>
            </w:pPr>
            <w:r>
              <w:rPr>
                <w:color w:val="000000"/>
              </w:rPr>
              <w:t>E3□</w:t>
            </w:r>
          </w:p>
        </w:tc>
      </w:tr>
      <w:tr w14:paraId="41C00A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Align w:val="center"/>
          </w:tcPr>
          <w:p w14:paraId="4B10C30F">
            <w:pPr>
              <w:pStyle w:val="133"/>
              <w:rPr>
                <w:color w:val="000000"/>
              </w:rPr>
            </w:pPr>
            <w:r>
              <w:rPr>
                <w:color w:val="000000"/>
              </w:rPr>
              <w:t>环境风险潜势</w:t>
            </w:r>
          </w:p>
        </w:tc>
        <w:tc>
          <w:tcPr>
            <w:tcW w:w="904" w:type="pct"/>
            <w:gridSpan w:val="3"/>
            <w:vAlign w:val="center"/>
          </w:tcPr>
          <w:p w14:paraId="5D17E69F">
            <w:pPr>
              <w:pStyle w:val="133"/>
              <w:rPr>
                <w:color w:val="000000"/>
              </w:rPr>
            </w:pPr>
            <w:r>
              <w:rPr>
                <w:color w:val="000000"/>
              </w:rPr>
              <w:t>Ⅳ</w:t>
            </w:r>
            <w:r>
              <w:rPr>
                <w:color w:val="000000"/>
                <w:vertAlign w:val="superscript"/>
              </w:rPr>
              <w:t>+</w:t>
            </w:r>
            <w:r>
              <w:rPr>
                <w:color w:val="000000"/>
              </w:rPr>
              <w:t>□</w:t>
            </w:r>
          </w:p>
        </w:tc>
        <w:tc>
          <w:tcPr>
            <w:tcW w:w="871" w:type="pct"/>
            <w:gridSpan w:val="2"/>
            <w:vAlign w:val="center"/>
          </w:tcPr>
          <w:p w14:paraId="78F7493C">
            <w:pPr>
              <w:pStyle w:val="133"/>
              <w:rPr>
                <w:color w:val="000000"/>
              </w:rPr>
            </w:pPr>
            <w:r>
              <w:rPr>
                <w:color w:val="000000"/>
              </w:rPr>
              <w:t>Ⅳ√</w:t>
            </w:r>
          </w:p>
        </w:tc>
        <w:tc>
          <w:tcPr>
            <w:tcW w:w="690" w:type="pct"/>
            <w:gridSpan w:val="2"/>
            <w:vAlign w:val="center"/>
          </w:tcPr>
          <w:p w14:paraId="41C17D14">
            <w:pPr>
              <w:pStyle w:val="133"/>
              <w:rPr>
                <w:color w:val="000000"/>
              </w:rPr>
            </w:pPr>
            <w:r>
              <w:rPr>
                <w:color w:val="000000"/>
              </w:rPr>
              <w:t>Ⅲ□</w:t>
            </w:r>
          </w:p>
        </w:tc>
        <w:tc>
          <w:tcPr>
            <w:tcW w:w="903" w:type="pct"/>
            <w:gridSpan w:val="4"/>
            <w:vAlign w:val="center"/>
          </w:tcPr>
          <w:p w14:paraId="36E852E4">
            <w:pPr>
              <w:pStyle w:val="133"/>
              <w:rPr>
                <w:color w:val="000000"/>
              </w:rPr>
            </w:pPr>
            <w:r>
              <w:rPr>
                <w:color w:val="000000"/>
              </w:rPr>
              <w:t>Ⅱ□</w:t>
            </w:r>
          </w:p>
        </w:tc>
        <w:tc>
          <w:tcPr>
            <w:tcW w:w="775" w:type="pct"/>
            <w:gridSpan w:val="2"/>
            <w:vAlign w:val="center"/>
          </w:tcPr>
          <w:p w14:paraId="09C0BA84">
            <w:pPr>
              <w:pStyle w:val="133"/>
              <w:rPr>
                <w:color w:val="000000"/>
              </w:rPr>
            </w:pPr>
            <w:r>
              <w:rPr>
                <w:color w:val="000000"/>
              </w:rPr>
              <w:t>I□</w:t>
            </w:r>
          </w:p>
        </w:tc>
      </w:tr>
      <w:tr w14:paraId="02DB82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Align w:val="center"/>
          </w:tcPr>
          <w:p w14:paraId="7F62CB8B">
            <w:pPr>
              <w:pStyle w:val="133"/>
              <w:rPr>
                <w:color w:val="000000"/>
              </w:rPr>
            </w:pPr>
            <w:r>
              <w:rPr>
                <w:color w:val="000000"/>
              </w:rPr>
              <w:t>评价等级</w:t>
            </w:r>
          </w:p>
        </w:tc>
        <w:tc>
          <w:tcPr>
            <w:tcW w:w="1774" w:type="pct"/>
            <w:gridSpan w:val="5"/>
            <w:vAlign w:val="center"/>
          </w:tcPr>
          <w:p w14:paraId="0C279666">
            <w:pPr>
              <w:pStyle w:val="133"/>
              <w:rPr>
                <w:color w:val="000000"/>
              </w:rPr>
            </w:pPr>
            <w:r>
              <w:rPr>
                <w:color w:val="000000"/>
              </w:rPr>
              <w:t>一级√</w:t>
            </w:r>
          </w:p>
        </w:tc>
        <w:tc>
          <w:tcPr>
            <w:tcW w:w="690" w:type="pct"/>
            <w:gridSpan w:val="2"/>
            <w:vAlign w:val="center"/>
          </w:tcPr>
          <w:p w14:paraId="65C1871E">
            <w:pPr>
              <w:pStyle w:val="133"/>
              <w:rPr>
                <w:color w:val="000000"/>
              </w:rPr>
            </w:pPr>
            <w:r>
              <w:rPr>
                <w:color w:val="000000"/>
              </w:rPr>
              <w:t>二级□</w:t>
            </w:r>
          </w:p>
        </w:tc>
        <w:tc>
          <w:tcPr>
            <w:tcW w:w="903" w:type="pct"/>
            <w:gridSpan w:val="4"/>
            <w:vAlign w:val="center"/>
          </w:tcPr>
          <w:p w14:paraId="4C696F5A">
            <w:pPr>
              <w:pStyle w:val="133"/>
              <w:rPr>
                <w:color w:val="000000"/>
              </w:rPr>
            </w:pPr>
            <w:r>
              <w:rPr>
                <w:color w:val="000000"/>
              </w:rPr>
              <w:t>三级□</w:t>
            </w:r>
          </w:p>
        </w:tc>
        <w:tc>
          <w:tcPr>
            <w:tcW w:w="775" w:type="pct"/>
            <w:gridSpan w:val="2"/>
            <w:vAlign w:val="center"/>
          </w:tcPr>
          <w:p w14:paraId="03E1A74A">
            <w:pPr>
              <w:pStyle w:val="133"/>
              <w:rPr>
                <w:color w:val="000000"/>
              </w:rPr>
            </w:pPr>
            <w:r>
              <w:rPr>
                <w:color w:val="000000"/>
              </w:rPr>
              <w:t>简单分析□</w:t>
            </w:r>
          </w:p>
        </w:tc>
      </w:tr>
      <w:tr w14:paraId="78CB5E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restart"/>
            <w:vAlign w:val="center"/>
          </w:tcPr>
          <w:p w14:paraId="3A2365B9">
            <w:pPr>
              <w:pStyle w:val="133"/>
              <w:rPr>
                <w:color w:val="000000"/>
              </w:rPr>
            </w:pPr>
            <w:r>
              <w:rPr>
                <w:color w:val="000000"/>
              </w:rPr>
              <w:t>风险分析</w:t>
            </w:r>
          </w:p>
        </w:tc>
        <w:tc>
          <w:tcPr>
            <w:tcW w:w="571" w:type="pct"/>
            <w:vAlign w:val="center"/>
          </w:tcPr>
          <w:p w14:paraId="7B022D31">
            <w:pPr>
              <w:pStyle w:val="133"/>
              <w:rPr>
                <w:color w:val="000000"/>
              </w:rPr>
            </w:pPr>
            <w:r>
              <w:rPr>
                <w:color w:val="000000"/>
              </w:rPr>
              <w:t>物质危险性</w:t>
            </w:r>
          </w:p>
        </w:tc>
        <w:tc>
          <w:tcPr>
            <w:tcW w:w="1774" w:type="pct"/>
            <w:gridSpan w:val="5"/>
            <w:vAlign w:val="center"/>
          </w:tcPr>
          <w:p w14:paraId="1D8CB07B">
            <w:pPr>
              <w:pStyle w:val="133"/>
              <w:rPr>
                <w:color w:val="000000"/>
              </w:rPr>
            </w:pPr>
            <w:r>
              <w:rPr>
                <w:color w:val="000000"/>
              </w:rPr>
              <w:t>有毒有害√</w:t>
            </w:r>
          </w:p>
        </w:tc>
        <w:tc>
          <w:tcPr>
            <w:tcW w:w="2368" w:type="pct"/>
            <w:gridSpan w:val="8"/>
            <w:vAlign w:val="center"/>
          </w:tcPr>
          <w:p w14:paraId="395B25F1">
            <w:pPr>
              <w:pStyle w:val="133"/>
              <w:rPr>
                <w:color w:val="000000"/>
              </w:rPr>
            </w:pPr>
            <w:r>
              <w:rPr>
                <w:color w:val="000000"/>
              </w:rPr>
              <w:t>易燃易爆√</w:t>
            </w:r>
          </w:p>
        </w:tc>
      </w:tr>
      <w:tr w14:paraId="507897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2CF24734">
            <w:pPr>
              <w:pStyle w:val="133"/>
              <w:rPr>
                <w:color w:val="000000"/>
              </w:rPr>
            </w:pPr>
          </w:p>
        </w:tc>
        <w:tc>
          <w:tcPr>
            <w:tcW w:w="571" w:type="pct"/>
            <w:vAlign w:val="center"/>
          </w:tcPr>
          <w:p w14:paraId="65A25401">
            <w:pPr>
              <w:pStyle w:val="133"/>
              <w:rPr>
                <w:color w:val="000000"/>
              </w:rPr>
            </w:pPr>
            <w:r>
              <w:rPr>
                <w:color w:val="000000"/>
              </w:rPr>
              <w:t>环境风险类型</w:t>
            </w:r>
          </w:p>
        </w:tc>
        <w:tc>
          <w:tcPr>
            <w:tcW w:w="1774" w:type="pct"/>
            <w:gridSpan w:val="5"/>
            <w:vAlign w:val="center"/>
          </w:tcPr>
          <w:p w14:paraId="1F7D9A75">
            <w:pPr>
              <w:pStyle w:val="133"/>
              <w:rPr>
                <w:color w:val="000000"/>
              </w:rPr>
            </w:pPr>
            <w:r>
              <w:rPr>
                <w:color w:val="000000"/>
              </w:rPr>
              <w:t>泄漏√</w:t>
            </w:r>
          </w:p>
        </w:tc>
        <w:tc>
          <w:tcPr>
            <w:tcW w:w="2368" w:type="pct"/>
            <w:gridSpan w:val="8"/>
            <w:vAlign w:val="center"/>
          </w:tcPr>
          <w:p w14:paraId="309B4A27">
            <w:pPr>
              <w:pStyle w:val="133"/>
              <w:rPr>
                <w:color w:val="000000"/>
              </w:rPr>
            </w:pPr>
            <w:r>
              <w:rPr>
                <w:color w:val="000000"/>
              </w:rPr>
              <w:t>火灾、爆炸引发伴生/次生污染物排放√</w:t>
            </w:r>
          </w:p>
        </w:tc>
      </w:tr>
      <w:tr w14:paraId="29616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3D4E7CD6">
            <w:pPr>
              <w:pStyle w:val="133"/>
              <w:rPr>
                <w:color w:val="000000"/>
              </w:rPr>
            </w:pPr>
          </w:p>
        </w:tc>
        <w:tc>
          <w:tcPr>
            <w:tcW w:w="571" w:type="pct"/>
            <w:vAlign w:val="center"/>
          </w:tcPr>
          <w:p w14:paraId="071805BF">
            <w:pPr>
              <w:pStyle w:val="133"/>
              <w:rPr>
                <w:color w:val="000000"/>
              </w:rPr>
            </w:pPr>
            <w:r>
              <w:rPr>
                <w:color w:val="000000"/>
              </w:rPr>
              <w:t>影响途径</w:t>
            </w:r>
          </w:p>
        </w:tc>
        <w:tc>
          <w:tcPr>
            <w:tcW w:w="1774" w:type="pct"/>
            <w:gridSpan w:val="5"/>
            <w:vAlign w:val="center"/>
          </w:tcPr>
          <w:p w14:paraId="3FA1285C">
            <w:pPr>
              <w:pStyle w:val="133"/>
              <w:rPr>
                <w:color w:val="000000"/>
              </w:rPr>
            </w:pPr>
            <w:r>
              <w:rPr>
                <w:color w:val="000000"/>
              </w:rPr>
              <w:t>大气√</w:t>
            </w:r>
          </w:p>
        </w:tc>
        <w:tc>
          <w:tcPr>
            <w:tcW w:w="1035" w:type="pct"/>
            <w:gridSpan w:val="5"/>
            <w:vAlign w:val="center"/>
          </w:tcPr>
          <w:p w14:paraId="24961F33">
            <w:pPr>
              <w:pStyle w:val="133"/>
              <w:rPr>
                <w:color w:val="000000"/>
              </w:rPr>
            </w:pPr>
            <w:r>
              <w:rPr>
                <w:color w:val="000000"/>
              </w:rPr>
              <w:t>地表水□</w:t>
            </w:r>
          </w:p>
        </w:tc>
        <w:tc>
          <w:tcPr>
            <w:tcW w:w="1333" w:type="pct"/>
            <w:gridSpan w:val="3"/>
            <w:vAlign w:val="center"/>
          </w:tcPr>
          <w:p w14:paraId="2E37AFD6">
            <w:pPr>
              <w:pStyle w:val="133"/>
              <w:rPr>
                <w:color w:val="000000"/>
              </w:rPr>
            </w:pPr>
            <w:r>
              <w:rPr>
                <w:color w:val="000000"/>
              </w:rPr>
              <w:t>地下水√</w:t>
            </w:r>
          </w:p>
        </w:tc>
      </w:tr>
      <w:tr w14:paraId="79DAFC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Align w:val="center"/>
          </w:tcPr>
          <w:p w14:paraId="1822FB44">
            <w:pPr>
              <w:pStyle w:val="133"/>
              <w:rPr>
                <w:color w:val="000000"/>
              </w:rPr>
            </w:pPr>
            <w:r>
              <w:rPr>
                <w:color w:val="000000"/>
              </w:rPr>
              <w:t>事故情形分析</w:t>
            </w:r>
          </w:p>
        </w:tc>
        <w:tc>
          <w:tcPr>
            <w:tcW w:w="904" w:type="pct"/>
            <w:gridSpan w:val="3"/>
            <w:vAlign w:val="center"/>
          </w:tcPr>
          <w:p w14:paraId="110E22FE">
            <w:pPr>
              <w:pStyle w:val="133"/>
              <w:rPr>
                <w:color w:val="000000"/>
              </w:rPr>
            </w:pPr>
            <w:r>
              <w:rPr>
                <w:color w:val="000000"/>
              </w:rPr>
              <w:t>源强设定方法</w:t>
            </w:r>
          </w:p>
        </w:tc>
        <w:tc>
          <w:tcPr>
            <w:tcW w:w="871" w:type="pct"/>
            <w:gridSpan w:val="2"/>
            <w:vAlign w:val="center"/>
          </w:tcPr>
          <w:p w14:paraId="66612218">
            <w:pPr>
              <w:pStyle w:val="133"/>
              <w:rPr>
                <w:color w:val="000000"/>
              </w:rPr>
            </w:pPr>
            <w:r>
              <w:rPr>
                <w:color w:val="000000"/>
              </w:rPr>
              <w:t>计算法√</w:t>
            </w:r>
          </w:p>
        </w:tc>
        <w:tc>
          <w:tcPr>
            <w:tcW w:w="1035" w:type="pct"/>
            <w:gridSpan w:val="5"/>
            <w:vAlign w:val="center"/>
          </w:tcPr>
          <w:p w14:paraId="3765D8EC">
            <w:pPr>
              <w:pStyle w:val="133"/>
              <w:rPr>
                <w:color w:val="000000"/>
              </w:rPr>
            </w:pPr>
            <w:r>
              <w:rPr>
                <w:color w:val="000000"/>
              </w:rPr>
              <w:t>经验估算法□</w:t>
            </w:r>
          </w:p>
        </w:tc>
        <w:tc>
          <w:tcPr>
            <w:tcW w:w="1333" w:type="pct"/>
            <w:gridSpan w:val="3"/>
            <w:vAlign w:val="center"/>
          </w:tcPr>
          <w:p w14:paraId="593FA648">
            <w:pPr>
              <w:pStyle w:val="133"/>
              <w:rPr>
                <w:color w:val="000000"/>
              </w:rPr>
            </w:pPr>
            <w:r>
              <w:rPr>
                <w:color w:val="000000"/>
              </w:rPr>
              <w:t>其他估算法□</w:t>
            </w:r>
          </w:p>
        </w:tc>
      </w:tr>
      <w:tr w14:paraId="26F15C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restart"/>
            <w:vAlign w:val="center"/>
          </w:tcPr>
          <w:p w14:paraId="6106A3D9">
            <w:pPr>
              <w:pStyle w:val="133"/>
              <w:rPr>
                <w:color w:val="000000"/>
              </w:rPr>
            </w:pPr>
          </w:p>
          <w:p w14:paraId="56C8A867">
            <w:pPr>
              <w:pStyle w:val="133"/>
              <w:rPr>
                <w:color w:val="000000"/>
              </w:rPr>
            </w:pPr>
            <w:r>
              <w:rPr>
                <w:color w:val="000000"/>
              </w:rPr>
              <w:t>风险预测与评价</w:t>
            </w:r>
          </w:p>
        </w:tc>
        <w:tc>
          <w:tcPr>
            <w:tcW w:w="571" w:type="pct"/>
            <w:vMerge w:val="restart"/>
            <w:vAlign w:val="center"/>
          </w:tcPr>
          <w:p w14:paraId="6AF158D3">
            <w:pPr>
              <w:pStyle w:val="133"/>
              <w:rPr>
                <w:color w:val="000000"/>
              </w:rPr>
            </w:pPr>
            <w:r>
              <w:rPr>
                <w:color w:val="000000"/>
              </w:rPr>
              <w:t>大气</w:t>
            </w:r>
          </w:p>
        </w:tc>
        <w:tc>
          <w:tcPr>
            <w:tcW w:w="599" w:type="pct"/>
            <w:vAlign w:val="center"/>
          </w:tcPr>
          <w:p w14:paraId="47E97596">
            <w:pPr>
              <w:pStyle w:val="133"/>
              <w:rPr>
                <w:color w:val="000000"/>
              </w:rPr>
            </w:pPr>
            <w:r>
              <w:rPr>
                <w:color w:val="000000"/>
              </w:rPr>
              <w:t>预测模型</w:t>
            </w:r>
          </w:p>
        </w:tc>
        <w:tc>
          <w:tcPr>
            <w:tcW w:w="1176" w:type="pct"/>
            <w:gridSpan w:val="4"/>
            <w:vAlign w:val="center"/>
          </w:tcPr>
          <w:p w14:paraId="6250DAB9">
            <w:pPr>
              <w:pStyle w:val="133"/>
              <w:rPr>
                <w:color w:val="000000"/>
              </w:rPr>
            </w:pPr>
            <w:r>
              <w:rPr>
                <w:color w:val="000000"/>
              </w:rPr>
              <w:t>SLAB√</w:t>
            </w:r>
          </w:p>
        </w:tc>
        <w:tc>
          <w:tcPr>
            <w:tcW w:w="1035" w:type="pct"/>
            <w:gridSpan w:val="5"/>
            <w:vAlign w:val="center"/>
          </w:tcPr>
          <w:p w14:paraId="52E3E63D">
            <w:pPr>
              <w:pStyle w:val="133"/>
              <w:rPr>
                <w:color w:val="000000"/>
              </w:rPr>
            </w:pPr>
            <w:r>
              <w:rPr>
                <w:color w:val="000000"/>
              </w:rPr>
              <w:t>AFTOX √</w:t>
            </w:r>
          </w:p>
        </w:tc>
        <w:tc>
          <w:tcPr>
            <w:tcW w:w="1333" w:type="pct"/>
            <w:gridSpan w:val="3"/>
            <w:vAlign w:val="center"/>
          </w:tcPr>
          <w:p w14:paraId="0C0495BE">
            <w:pPr>
              <w:pStyle w:val="133"/>
              <w:rPr>
                <w:color w:val="000000"/>
              </w:rPr>
            </w:pPr>
            <w:r>
              <w:rPr>
                <w:color w:val="000000"/>
              </w:rPr>
              <w:t>其他□</w:t>
            </w:r>
          </w:p>
        </w:tc>
      </w:tr>
      <w:tr w14:paraId="5B797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14843EAA">
            <w:pPr>
              <w:pStyle w:val="133"/>
              <w:rPr>
                <w:color w:val="FF0000"/>
              </w:rPr>
            </w:pPr>
          </w:p>
        </w:tc>
        <w:tc>
          <w:tcPr>
            <w:tcW w:w="571" w:type="pct"/>
            <w:vMerge w:val="continue"/>
            <w:vAlign w:val="center"/>
          </w:tcPr>
          <w:p w14:paraId="3064B1F6">
            <w:pPr>
              <w:pStyle w:val="133"/>
              <w:rPr>
                <w:color w:val="000000"/>
              </w:rPr>
            </w:pPr>
          </w:p>
        </w:tc>
        <w:tc>
          <w:tcPr>
            <w:tcW w:w="599" w:type="pct"/>
            <w:vMerge w:val="restart"/>
            <w:vAlign w:val="center"/>
          </w:tcPr>
          <w:p w14:paraId="220BF8AB">
            <w:pPr>
              <w:pStyle w:val="133"/>
              <w:rPr>
                <w:color w:val="000000"/>
              </w:rPr>
            </w:pPr>
            <w:r>
              <w:rPr>
                <w:color w:val="000000"/>
              </w:rPr>
              <w:t>预测结果</w:t>
            </w:r>
            <w:r>
              <w:rPr>
                <w:rFonts w:hint="eastAsia"/>
                <w:color w:val="000000"/>
              </w:rPr>
              <w:t>（最不利气象）</w:t>
            </w:r>
          </w:p>
        </w:tc>
        <w:tc>
          <w:tcPr>
            <w:tcW w:w="1003" w:type="pct"/>
            <w:gridSpan w:val="3"/>
            <w:vMerge w:val="restart"/>
            <w:vAlign w:val="center"/>
          </w:tcPr>
          <w:p w14:paraId="404F8AD8">
            <w:pPr>
              <w:pStyle w:val="133"/>
              <w:rPr>
                <w:color w:val="000000"/>
              </w:rPr>
            </w:pPr>
            <w:r>
              <w:rPr>
                <w:rFonts w:hint="eastAsia"/>
                <w:color w:val="000000"/>
              </w:rPr>
              <w:t>煤气中CO泄漏风险事故</w:t>
            </w:r>
          </w:p>
        </w:tc>
        <w:tc>
          <w:tcPr>
            <w:tcW w:w="2541" w:type="pct"/>
            <w:gridSpan w:val="9"/>
            <w:vAlign w:val="center"/>
          </w:tcPr>
          <w:p w14:paraId="468E4853">
            <w:pPr>
              <w:pStyle w:val="133"/>
              <w:rPr>
                <w:color w:val="000000"/>
              </w:rPr>
            </w:pPr>
            <w:r>
              <w:rPr>
                <w:color w:val="000000"/>
              </w:rPr>
              <w:t>大气毒性终点浓度-1：最大影响范围</w:t>
            </w:r>
            <w:r>
              <w:rPr>
                <w:rFonts w:hint="eastAsia"/>
                <w:color w:val="000000"/>
              </w:rPr>
              <w:t>330</w:t>
            </w:r>
            <w:r>
              <w:rPr>
                <w:color w:val="000000"/>
              </w:rPr>
              <w:t>m</w:t>
            </w:r>
          </w:p>
        </w:tc>
      </w:tr>
      <w:tr w14:paraId="6F9043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5E338224">
            <w:pPr>
              <w:pStyle w:val="133"/>
              <w:rPr>
                <w:color w:val="FF0000"/>
              </w:rPr>
            </w:pPr>
          </w:p>
        </w:tc>
        <w:tc>
          <w:tcPr>
            <w:tcW w:w="571" w:type="pct"/>
            <w:vMerge w:val="continue"/>
            <w:vAlign w:val="center"/>
          </w:tcPr>
          <w:p w14:paraId="7914867A">
            <w:pPr>
              <w:pStyle w:val="133"/>
              <w:rPr>
                <w:color w:val="000000"/>
              </w:rPr>
            </w:pPr>
          </w:p>
        </w:tc>
        <w:tc>
          <w:tcPr>
            <w:tcW w:w="599" w:type="pct"/>
            <w:vMerge w:val="continue"/>
            <w:vAlign w:val="center"/>
          </w:tcPr>
          <w:p w14:paraId="2377E9A3">
            <w:pPr>
              <w:pStyle w:val="133"/>
              <w:rPr>
                <w:color w:val="000000"/>
              </w:rPr>
            </w:pPr>
          </w:p>
        </w:tc>
        <w:tc>
          <w:tcPr>
            <w:tcW w:w="1003" w:type="pct"/>
            <w:gridSpan w:val="3"/>
            <w:vMerge w:val="continue"/>
            <w:vAlign w:val="center"/>
          </w:tcPr>
          <w:p w14:paraId="4A4ADAAC">
            <w:pPr>
              <w:pStyle w:val="133"/>
              <w:rPr>
                <w:color w:val="000000"/>
              </w:rPr>
            </w:pPr>
          </w:p>
        </w:tc>
        <w:tc>
          <w:tcPr>
            <w:tcW w:w="2541" w:type="pct"/>
            <w:gridSpan w:val="9"/>
            <w:vAlign w:val="center"/>
          </w:tcPr>
          <w:p w14:paraId="34B3C4C3">
            <w:pPr>
              <w:pStyle w:val="133"/>
              <w:rPr>
                <w:color w:val="000000"/>
              </w:rPr>
            </w:pPr>
            <w:r>
              <w:rPr>
                <w:color w:val="000000"/>
              </w:rPr>
              <w:t>大气毒性终点浓度-2：最大影响范围</w:t>
            </w:r>
            <w:r>
              <w:rPr>
                <w:rFonts w:hint="eastAsia"/>
                <w:color w:val="000000"/>
              </w:rPr>
              <w:t>790</w:t>
            </w:r>
            <w:r>
              <w:rPr>
                <w:color w:val="000000"/>
              </w:rPr>
              <w:t>m</w:t>
            </w:r>
          </w:p>
        </w:tc>
      </w:tr>
      <w:tr w14:paraId="0D02C8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0C7018D6">
            <w:pPr>
              <w:pStyle w:val="133"/>
              <w:rPr>
                <w:color w:val="FF0000"/>
              </w:rPr>
            </w:pPr>
          </w:p>
        </w:tc>
        <w:tc>
          <w:tcPr>
            <w:tcW w:w="571" w:type="pct"/>
            <w:vMerge w:val="continue"/>
            <w:vAlign w:val="center"/>
          </w:tcPr>
          <w:p w14:paraId="43757A85">
            <w:pPr>
              <w:pStyle w:val="133"/>
              <w:rPr>
                <w:color w:val="000000"/>
              </w:rPr>
            </w:pPr>
          </w:p>
        </w:tc>
        <w:tc>
          <w:tcPr>
            <w:tcW w:w="599" w:type="pct"/>
            <w:vMerge w:val="continue"/>
            <w:vAlign w:val="center"/>
          </w:tcPr>
          <w:p w14:paraId="0CEA23AD">
            <w:pPr>
              <w:pStyle w:val="133"/>
              <w:rPr>
                <w:color w:val="000000"/>
              </w:rPr>
            </w:pPr>
          </w:p>
        </w:tc>
        <w:tc>
          <w:tcPr>
            <w:tcW w:w="1003" w:type="pct"/>
            <w:gridSpan w:val="3"/>
            <w:vMerge w:val="restart"/>
            <w:vAlign w:val="center"/>
          </w:tcPr>
          <w:p w14:paraId="0D6751C8">
            <w:pPr>
              <w:pStyle w:val="133"/>
              <w:rPr>
                <w:color w:val="000000"/>
              </w:rPr>
            </w:pPr>
            <w:r>
              <w:rPr>
                <w:rFonts w:hint="eastAsia"/>
                <w:color w:val="000000"/>
              </w:rPr>
              <w:t>煤气中H</w:t>
            </w:r>
            <w:r>
              <w:rPr>
                <w:rFonts w:hint="eastAsia"/>
                <w:color w:val="000000"/>
                <w:vertAlign w:val="subscript"/>
              </w:rPr>
              <w:t>2</w:t>
            </w:r>
            <w:r>
              <w:rPr>
                <w:rFonts w:hint="eastAsia"/>
                <w:color w:val="000000"/>
              </w:rPr>
              <w:t>S泄漏风险事故</w:t>
            </w:r>
          </w:p>
        </w:tc>
        <w:tc>
          <w:tcPr>
            <w:tcW w:w="2541" w:type="pct"/>
            <w:gridSpan w:val="9"/>
            <w:vAlign w:val="center"/>
          </w:tcPr>
          <w:p w14:paraId="4FB92665">
            <w:pPr>
              <w:pStyle w:val="133"/>
              <w:rPr>
                <w:color w:val="000000"/>
              </w:rPr>
            </w:pPr>
            <w:r>
              <w:rPr>
                <w:color w:val="000000"/>
              </w:rPr>
              <w:t>大气毒性终点浓度-1：最大影响范围</w:t>
            </w:r>
            <w:r>
              <w:rPr>
                <w:rFonts w:hint="eastAsia"/>
                <w:color w:val="000000"/>
              </w:rPr>
              <w:t>2030</w:t>
            </w:r>
            <w:r>
              <w:rPr>
                <w:color w:val="000000"/>
              </w:rPr>
              <w:t>m</w:t>
            </w:r>
          </w:p>
        </w:tc>
      </w:tr>
      <w:tr w14:paraId="6BB74A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3EC49938">
            <w:pPr>
              <w:pStyle w:val="133"/>
              <w:rPr>
                <w:color w:val="FF0000"/>
              </w:rPr>
            </w:pPr>
          </w:p>
        </w:tc>
        <w:tc>
          <w:tcPr>
            <w:tcW w:w="571" w:type="pct"/>
            <w:vMerge w:val="continue"/>
            <w:vAlign w:val="center"/>
          </w:tcPr>
          <w:p w14:paraId="1736BD28">
            <w:pPr>
              <w:pStyle w:val="133"/>
              <w:rPr>
                <w:color w:val="000000"/>
              </w:rPr>
            </w:pPr>
          </w:p>
        </w:tc>
        <w:tc>
          <w:tcPr>
            <w:tcW w:w="599" w:type="pct"/>
            <w:vMerge w:val="continue"/>
            <w:vAlign w:val="center"/>
          </w:tcPr>
          <w:p w14:paraId="2A0369C5">
            <w:pPr>
              <w:pStyle w:val="133"/>
              <w:rPr>
                <w:color w:val="000000"/>
              </w:rPr>
            </w:pPr>
          </w:p>
        </w:tc>
        <w:tc>
          <w:tcPr>
            <w:tcW w:w="1003" w:type="pct"/>
            <w:gridSpan w:val="3"/>
            <w:vMerge w:val="continue"/>
            <w:vAlign w:val="center"/>
          </w:tcPr>
          <w:p w14:paraId="5FFD73EB">
            <w:pPr>
              <w:pStyle w:val="133"/>
              <w:rPr>
                <w:color w:val="000000"/>
              </w:rPr>
            </w:pPr>
          </w:p>
        </w:tc>
        <w:tc>
          <w:tcPr>
            <w:tcW w:w="2541" w:type="pct"/>
            <w:gridSpan w:val="9"/>
            <w:vAlign w:val="center"/>
          </w:tcPr>
          <w:p w14:paraId="1954F7E8">
            <w:pPr>
              <w:pStyle w:val="133"/>
              <w:rPr>
                <w:color w:val="000000"/>
              </w:rPr>
            </w:pPr>
            <w:r>
              <w:rPr>
                <w:color w:val="000000"/>
              </w:rPr>
              <w:t>大气毒性终点浓度-2：最大影响范围</w:t>
            </w:r>
            <w:r>
              <w:rPr>
                <w:rFonts w:hint="eastAsia"/>
                <w:color w:val="000000"/>
              </w:rPr>
              <w:t>2790</w:t>
            </w:r>
            <w:r>
              <w:rPr>
                <w:color w:val="000000"/>
              </w:rPr>
              <w:t>m</w:t>
            </w:r>
          </w:p>
        </w:tc>
      </w:tr>
      <w:tr w14:paraId="67D19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71B52505">
            <w:pPr>
              <w:pStyle w:val="133"/>
              <w:rPr>
                <w:color w:val="FF0000"/>
              </w:rPr>
            </w:pPr>
          </w:p>
        </w:tc>
        <w:tc>
          <w:tcPr>
            <w:tcW w:w="571" w:type="pct"/>
            <w:vMerge w:val="continue"/>
            <w:vAlign w:val="center"/>
          </w:tcPr>
          <w:p w14:paraId="4D5A2A6D">
            <w:pPr>
              <w:pStyle w:val="133"/>
              <w:rPr>
                <w:color w:val="000000"/>
              </w:rPr>
            </w:pPr>
          </w:p>
        </w:tc>
        <w:tc>
          <w:tcPr>
            <w:tcW w:w="599" w:type="pct"/>
            <w:vMerge w:val="continue"/>
            <w:vAlign w:val="center"/>
          </w:tcPr>
          <w:p w14:paraId="171A69F2">
            <w:pPr>
              <w:pStyle w:val="133"/>
              <w:rPr>
                <w:color w:val="000000"/>
              </w:rPr>
            </w:pPr>
          </w:p>
        </w:tc>
        <w:tc>
          <w:tcPr>
            <w:tcW w:w="1003" w:type="pct"/>
            <w:gridSpan w:val="3"/>
            <w:vMerge w:val="restart"/>
            <w:vAlign w:val="center"/>
          </w:tcPr>
          <w:p w14:paraId="6B5F344A">
            <w:pPr>
              <w:pStyle w:val="133"/>
              <w:rPr>
                <w:color w:val="000000"/>
              </w:rPr>
            </w:pPr>
            <w:r>
              <w:rPr>
                <w:rFonts w:hint="eastAsia"/>
                <w:color w:val="000000"/>
              </w:rPr>
              <w:t>煤气中NH</w:t>
            </w:r>
            <w:r>
              <w:rPr>
                <w:rFonts w:hint="eastAsia"/>
                <w:color w:val="000000"/>
                <w:vertAlign w:val="subscript"/>
              </w:rPr>
              <w:t>3</w:t>
            </w:r>
            <w:r>
              <w:rPr>
                <w:rFonts w:hint="eastAsia"/>
                <w:color w:val="000000"/>
              </w:rPr>
              <w:t>泄漏风险事故</w:t>
            </w:r>
          </w:p>
        </w:tc>
        <w:tc>
          <w:tcPr>
            <w:tcW w:w="2541" w:type="pct"/>
            <w:gridSpan w:val="9"/>
            <w:vAlign w:val="center"/>
          </w:tcPr>
          <w:p w14:paraId="3E65F0BF">
            <w:pPr>
              <w:pStyle w:val="133"/>
              <w:rPr>
                <w:color w:val="000000"/>
              </w:rPr>
            </w:pPr>
            <w:r>
              <w:rPr>
                <w:color w:val="000000"/>
              </w:rPr>
              <w:t>大气毒性终点浓度-1：最大影响范围</w:t>
            </w:r>
            <w:r>
              <w:rPr>
                <w:rFonts w:hint="eastAsia"/>
                <w:color w:val="000000"/>
              </w:rPr>
              <w:t>160</w:t>
            </w:r>
            <w:r>
              <w:rPr>
                <w:color w:val="000000"/>
              </w:rPr>
              <w:t>m</w:t>
            </w:r>
          </w:p>
        </w:tc>
      </w:tr>
      <w:tr w14:paraId="09B769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6FBDBA1B">
            <w:pPr>
              <w:pStyle w:val="133"/>
              <w:rPr>
                <w:color w:val="FF0000"/>
              </w:rPr>
            </w:pPr>
          </w:p>
        </w:tc>
        <w:tc>
          <w:tcPr>
            <w:tcW w:w="571" w:type="pct"/>
            <w:vMerge w:val="continue"/>
            <w:vAlign w:val="center"/>
          </w:tcPr>
          <w:p w14:paraId="5C9980F0">
            <w:pPr>
              <w:pStyle w:val="133"/>
              <w:rPr>
                <w:color w:val="000000"/>
              </w:rPr>
            </w:pPr>
          </w:p>
        </w:tc>
        <w:tc>
          <w:tcPr>
            <w:tcW w:w="599" w:type="pct"/>
            <w:vMerge w:val="continue"/>
            <w:vAlign w:val="center"/>
          </w:tcPr>
          <w:p w14:paraId="07F45D05">
            <w:pPr>
              <w:pStyle w:val="133"/>
              <w:rPr>
                <w:color w:val="000000"/>
              </w:rPr>
            </w:pPr>
          </w:p>
        </w:tc>
        <w:tc>
          <w:tcPr>
            <w:tcW w:w="1003" w:type="pct"/>
            <w:gridSpan w:val="3"/>
            <w:vMerge w:val="continue"/>
            <w:vAlign w:val="center"/>
          </w:tcPr>
          <w:p w14:paraId="44A13686">
            <w:pPr>
              <w:pStyle w:val="133"/>
              <w:rPr>
                <w:color w:val="000000"/>
              </w:rPr>
            </w:pPr>
          </w:p>
        </w:tc>
        <w:tc>
          <w:tcPr>
            <w:tcW w:w="2541" w:type="pct"/>
            <w:gridSpan w:val="9"/>
            <w:vAlign w:val="center"/>
          </w:tcPr>
          <w:p w14:paraId="77B584DF">
            <w:pPr>
              <w:pStyle w:val="133"/>
              <w:rPr>
                <w:color w:val="000000"/>
              </w:rPr>
            </w:pPr>
            <w:r>
              <w:rPr>
                <w:color w:val="000000"/>
              </w:rPr>
              <w:t>大气毒性终点浓度-2：最大影响范围</w:t>
            </w:r>
            <w:r>
              <w:rPr>
                <w:rFonts w:hint="eastAsia"/>
                <w:color w:val="000000"/>
              </w:rPr>
              <w:t>620</w:t>
            </w:r>
            <w:r>
              <w:rPr>
                <w:color w:val="000000"/>
              </w:rPr>
              <w:t>m</w:t>
            </w:r>
          </w:p>
        </w:tc>
      </w:tr>
      <w:tr w14:paraId="5972D9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5C4AE173">
            <w:pPr>
              <w:pStyle w:val="133"/>
              <w:rPr>
                <w:color w:val="FF0000"/>
              </w:rPr>
            </w:pPr>
          </w:p>
        </w:tc>
        <w:tc>
          <w:tcPr>
            <w:tcW w:w="571" w:type="pct"/>
            <w:vMerge w:val="continue"/>
            <w:vAlign w:val="center"/>
          </w:tcPr>
          <w:p w14:paraId="3FB7ED84">
            <w:pPr>
              <w:pStyle w:val="133"/>
              <w:rPr>
                <w:color w:val="000000"/>
              </w:rPr>
            </w:pPr>
          </w:p>
        </w:tc>
        <w:tc>
          <w:tcPr>
            <w:tcW w:w="599" w:type="pct"/>
            <w:vMerge w:val="restart"/>
            <w:vAlign w:val="center"/>
          </w:tcPr>
          <w:p w14:paraId="0E1FBAA5">
            <w:pPr>
              <w:pStyle w:val="133"/>
              <w:rPr>
                <w:color w:val="000000"/>
              </w:rPr>
            </w:pPr>
            <w:r>
              <w:rPr>
                <w:color w:val="000000"/>
              </w:rPr>
              <w:t>预测结果</w:t>
            </w:r>
            <w:r>
              <w:rPr>
                <w:rFonts w:hint="eastAsia"/>
                <w:color w:val="000000"/>
              </w:rPr>
              <w:t>（最常见气象）</w:t>
            </w:r>
          </w:p>
        </w:tc>
        <w:tc>
          <w:tcPr>
            <w:tcW w:w="1003" w:type="pct"/>
            <w:gridSpan w:val="3"/>
            <w:vMerge w:val="restart"/>
            <w:vAlign w:val="center"/>
          </w:tcPr>
          <w:p w14:paraId="72480FAD">
            <w:pPr>
              <w:pStyle w:val="133"/>
              <w:rPr>
                <w:color w:val="000000"/>
              </w:rPr>
            </w:pPr>
            <w:r>
              <w:rPr>
                <w:rFonts w:hint="eastAsia"/>
                <w:color w:val="000000"/>
              </w:rPr>
              <w:t>煤气中CO泄漏风险事故</w:t>
            </w:r>
          </w:p>
        </w:tc>
        <w:tc>
          <w:tcPr>
            <w:tcW w:w="2541" w:type="pct"/>
            <w:gridSpan w:val="9"/>
            <w:vAlign w:val="center"/>
          </w:tcPr>
          <w:p w14:paraId="518E417A">
            <w:pPr>
              <w:pStyle w:val="133"/>
              <w:rPr>
                <w:color w:val="000000"/>
              </w:rPr>
            </w:pPr>
            <w:r>
              <w:rPr>
                <w:color w:val="000000"/>
              </w:rPr>
              <w:t>大气毒性终点浓度-1：最大影响范围</w:t>
            </w:r>
            <w:r>
              <w:rPr>
                <w:rFonts w:hint="eastAsia"/>
                <w:color w:val="000000"/>
              </w:rPr>
              <w:t>160</w:t>
            </w:r>
            <w:r>
              <w:rPr>
                <w:color w:val="000000"/>
              </w:rPr>
              <w:t>m</w:t>
            </w:r>
          </w:p>
        </w:tc>
      </w:tr>
      <w:tr w14:paraId="6FDB3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2604AC90">
            <w:pPr>
              <w:pStyle w:val="133"/>
              <w:rPr>
                <w:color w:val="FF0000"/>
              </w:rPr>
            </w:pPr>
          </w:p>
        </w:tc>
        <w:tc>
          <w:tcPr>
            <w:tcW w:w="571" w:type="pct"/>
            <w:vMerge w:val="continue"/>
            <w:vAlign w:val="center"/>
          </w:tcPr>
          <w:p w14:paraId="1C5CDB05">
            <w:pPr>
              <w:pStyle w:val="133"/>
              <w:rPr>
                <w:color w:val="000000"/>
              </w:rPr>
            </w:pPr>
          </w:p>
        </w:tc>
        <w:tc>
          <w:tcPr>
            <w:tcW w:w="599" w:type="pct"/>
            <w:vMerge w:val="continue"/>
            <w:vAlign w:val="center"/>
          </w:tcPr>
          <w:p w14:paraId="314B05F7">
            <w:pPr>
              <w:pStyle w:val="133"/>
              <w:rPr>
                <w:color w:val="000000"/>
              </w:rPr>
            </w:pPr>
          </w:p>
        </w:tc>
        <w:tc>
          <w:tcPr>
            <w:tcW w:w="1003" w:type="pct"/>
            <w:gridSpan w:val="3"/>
            <w:vMerge w:val="continue"/>
            <w:vAlign w:val="center"/>
          </w:tcPr>
          <w:p w14:paraId="2630A295">
            <w:pPr>
              <w:pStyle w:val="133"/>
              <w:rPr>
                <w:color w:val="000000"/>
              </w:rPr>
            </w:pPr>
          </w:p>
        </w:tc>
        <w:tc>
          <w:tcPr>
            <w:tcW w:w="2541" w:type="pct"/>
            <w:gridSpan w:val="9"/>
            <w:vAlign w:val="center"/>
          </w:tcPr>
          <w:p w14:paraId="32D9FD67">
            <w:pPr>
              <w:pStyle w:val="133"/>
              <w:rPr>
                <w:color w:val="000000"/>
              </w:rPr>
            </w:pPr>
            <w:r>
              <w:rPr>
                <w:color w:val="000000"/>
              </w:rPr>
              <w:t>大气毒性终点浓度-2：最大影响范围</w:t>
            </w:r>
            <w:r>
              <w:rPr>
                <w:rFonts w:hint="eastAsia"/>
                <w:color w:val="000000"/>
              </w:rPr>
              <w:t>370</w:t>
            </w:r>
            <w:r>
              <w:rPr>
                <w:color w:val="000000"/>
              </w:rPr>
              <w:t>m</w:t>
            </w:r>
          </w:p>
        </w:tc>
      </w:tr>
      <w:tr w14:paraId="2AA8FE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48269402">
            <w:pPr>
              <w:pStyle w:val="133"/>
              <w:rPr>
                <w:color w:val="FF0000"/>
              </w:rPr>
            </w:pPr>
          </w:p>
        </w:tc>
        <w:tc>
          <w:tcPr>
            <w:tcW w:w="571" w:type="pct"/>
            <w:vMerge w:val="continue"/>
            <w:vAlign w:val="center"/>
          </w:tcPr>
          <w:p w14:paraId="0B08F6DB">
            <w:pPr>
              <w:pStyle w:val="133"/>
              <w:rPr>
                <w:color w:val="000000"/>
              </w:rPr>
            </w:pPr>
          </w:p>
        </w:tc>
        <w:tc>
          <w:tcPr>
            <w:tcW w:w="599" w:type="pct"/>
            <w:vMerge w:val="continue"/>
            <w:vAlign w:val="center"/>
          </w:tcPr>
          <w:p w14:paraId="71F2F923">
            <w:pPr>
              <w:pStyle w:val="133"/>
              <w:rPr>
                <w:color w:val="000000"/>
              </w:rPr>
            </w:pPr>
          </w:p>
        </w:tc>
        <w:tc>
          <w:tcPr>
            <w:tcW w:w="1003" w:type="pct"/>
            <w:gridSpan w:val="3"/>
            <w:vMerge w:val="restart"/>
            <w:vAlign w:val="center"/>
          </w:tcPr>
          <w:p w14:paraId="114C9BCB">
            <w:pPr>
              <w:pStyle w:val="133"/>
              <w:rPr>
                <w:color w:val="000000"/>
              </w:rPr>
            </w:pPr>
            <w:r>
              <w:rPr>
                <w:rFonts w:hint="eastAsia"/>
                <w:color w:val="000000"/>
              </w:rPr>
              <w:t>煤气中H</w:t>
            </w:r>
            <w:r>
              <w:rPr>
                <w:rFonts w:hint="eastAsia"/>
                <w:color w:val="000000"/>
                <w:vertAlign w:val="subscript"/>
              </w:rPr>
              <w:t>2</w:t>
            </w:r>
            <w:r>
              <w:rPr>
                <w:rFonts w:hint="eastAsia"/>
                <w:color w:val="000000"/>
              </w:rPr>
              <w:t>S泄漏风险事故</w:t>
            </w:r>
          </w:p>
        </w:tc>
        <w:tc>
          <w:tcPr>
            <w:tcW w:w="2541" w:type="pct"/>
            <w:gridSpan w:val="9"/>
            <w:vAlign w:val="center"/>
          </w:tcPr>
          <w:p w14:paraId="430179C3">
            <w:pPr>
              <w:pStyle w:val="133"/>
              <w:rPr>
                <w:color w:val="000000"/>
              </w:rPr>
            </w:pPr>
            <w:r>
              <w:rPr>
                <w:color w:val="000000"/>
              </w:rPr>
              <w:t>大气毒性终点浓度-1：最大影响范围</w:t>
            </w:r>
            <w:r>
              <w:rPr>
                <w:rFonts w:hint="eastAsia"/>
                <w:color w:val="000000"/>
              </w:rPr>
              <w:t>650</w:t>
            </w:r>
            <w:r>
              <w:rPr>
                <w:color w:val="000000"/>
              </w:rPr>
              <w:t>m</w:t>
            </w:r>
          </w:p>
        </w:tc>
      </w:tr>
      <w:tr w14:paraId="2EFFD5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3036DFCB">
            <w:pPr>
              <w:pStyle w:val="133"/>
              <w:rPr>
                <w:color w:val="FF0000"/>
              </w:rPr>
            </w:pPr>
          </w:p>
        </w:tc>
        <w:tc>
          <w:tcPr>
            <w:tcW w:w="571" w:type="pct"/>
            <w:vMerge w:val="continue"/>
            <w:vAlign w:val="center"/>
          </w:tcPr>
          <w:p w14:paraId="443429F1">
            <w:pPr>
              <w:pStyle w:val="133"/>
              <w:rPr>
                <w:color w:val="000000"/>
              </w:rPr>
            </w:pPr>
          </w:p>
        </w:tc>
        <w:tc>
          <w:tcPr>
            <w:tcW w:w="599" w:type="pct"/>
            <w:vMerge w:val="continue"/>
            <w:vAlign w:val="center"/>
          </w:tcPr>
          <w:p w14:paraId="2039C910">
            <w:pPr>
              <w:pStyle w:val="133"/>
              <w:rPr>
                <w:color w:val="000000"/>
              </w:rPr>
            </w:pPr>
          </w:p>
        </w:tc>
        <w:tc>
          <w:tcPr>
            <w:tcW w:w="1003" w:type="pct"/>
            <w:gridSpan w:val="3"/>
            <w:vMerge w:val="continue"/>
            <w:vAlign w:val="center"/>
          </w:tcPr>
          <w:p w14:paraId="63E31B5D">
            <w:pPr>
              <w:pStyle w:val="133"/>
              <w:rPr>
                <w:color w:val="000000"/>
              </w:rPr>
            </w:pPr>
          </w:p>
        </w:tc>
        <w:tc>
          <w:tcPr>
            <w:tcW w:w="2541" w:type="pct"/>
            <w:gridSpan w:val="9"/>
            <w:vAlign w:val="center"/>
          </w:tcPr>
          <w:p w14:paraId="1A9DB39A">
            <w:pPr>
              <w:pStyle w:val="133"/>
              <w:rPr>
                <w:color w:val="000000"/>
              </w:rPr>
            </w:pPr>
            <w:r>
              <w:rPr>
                <w:color w:val="000000"/>
              </w:rPr>
              <w:t>大气毒性终点浓度-2：最大影响范围</w:t>
            </w:r>
            <w:r>
              <w:rPr>
                <w:rFonts w:hint="eastAsia"/>
                <w:color w:val="000000"/>
              </w:rPr>
              <w:t>470</w:t>
            </w:r>
            <w:r>
              <w:rPr>
                <w:color w:val="000000"/>
              </w:rPr>
              <w:t>m</w:t>
            </w:r>
          </w:p>
        </w:tc>
      </w:tr>
      <w:tr w14:paraId="2907FE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27A46B24">
            <w:pPr>
              <w:pStyle w:val="133"/>
              <w:rPr>
                <w:color w:val="FF0000"/>
              </w:rPr>
            </w:pPr>
          </w:p>
        </w:tc>
        <w:tc>
          <w:tcPr>
            <w:tcW w:w="571" w:type="pct"/>
            <w:vMerge w:val="continue"/>
            <w:vAlign w:val="center"/>
          </w:tcPr>
          <w:p w14:paraId="69AEFFB8">
            <w:pPr>
              <w:pStyle w:val="133"/>
              <w:rPr>
                <w:color w:val="000000"/>
              </w:rPr>
            </w:pPr>
          </w:p>
        </w:tc>
        <w:tc>
          <w:tcPr>
            <w:tcW w:w="599" w:type="pct"/>
            <w:vMerge w:val="continue"/>
            <w:vAlign w:val="center"/>
          </w:tcPr>
          <w:p w14:paraId="79952628">
            <w:pPr>
              <w:pStyle w:val="133"/>
              <w:rPr>
                <w:color w:val="000000"/>
              </w:rPr>
            </w:pPr>
          </w:p>
        </w:tc>
        <w:tc>
          <w:tcPr>
            <w:tcW w:w="1003" w:type="pct"/>
            <w:gridSpan w:val="3"/>
            <w:vMerge w:val="restart"/>
            <w:vAlign w:val="center"/>
          </w:tcPr>
          <w:p w14:paraId="69E5D772">
            <w:pPr>
              <w:pStyle w:val="133"/>
              <w:rPr>
                <w:color w:val="000000"/>
              </w:rPr>
            </w:pPr>
            <w:r>
              <w:rPr>
                <w:rFonts w:hint="eastAsia"/>
                <w:color w:val="000000"/>
              </w:rPr>
              <w:t>煤气中NH</w:t>
            </w:r>
            <w:r>
              <w:rPr>
                <w:rFonts w:hint="eastAsia"/>
                <w:color w:val="000000"/>
                <w:vertAlign w:val="subscript"/>
              </w:rPr>
              <w:t>3</w:t>
            </w:r>
            <w:r>
              <w:rPr>
                <w:rFonts w:hint="eastAsia"/>
                <w:color w:val="000000"/>
              </w:rPr>
              <w:t>泄漏风险事故</w:t>
            </w:r>
          </w:p>
        </w:tc>
        <w:tc>
          <w:tcPr>
            <w:tcW w:w="2541" w:type="pct"/>
            <w:gridSpan w:val="9"/>
            <w:vAlign w:val="center"/>
          </w:tcPr>
          <w:p w14:paraId="318727A0">
            <w:pPr>
              <w:pStyle w:val="133"/>
              <w:rPr>
                <w:color w:val="000000"/>
              </w:rPr>
            </w:pPr>
            <w:r>
              <w:rPr>
                <w:color w:val="000000"/>
              </w:rPr>
              <w:t>大气毒性终点浓度-1：最大影响范围</w:t>
            </w:r>
            <w:r>
              <w:rPr>
                <w:rFonts w:hint="eastAsia"/>
                <w:color w:val="000000"/>
              </w:rPr>
              <w:t>80</w:t>
            </w:r>
            <w:r>
              <w:rPr>
                <w:color w:val="000000"/>
              </w:rPr>
              <w:t>m</w:t>
            </w:r>
          </w:p>
        </w:tc>
      </w:tr>
      <w:tr w14:paraId="0FAEDD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32BEBC0D">
            <w:pPr>
              <w:pStyle w:val="133"/>
              <w:rPr>
                <w:color w:val="FF0000"/>
              </w:rPr>
            </w:pPr>
          </w:p>
        </w:tc>
        <w:tc>
          <w:tcPr>
            <w:tcW w:w="571" w:type="pct"/>
            <w:vMerge w:val="continue"/>
            <w:vAlign w:val="center"/>
          </w:tcPr>
          <w:p w14:paraId="5A41065A">
            <w:pPr>
              <w:pStyle w:val="133"/>
              <w:rPr>
                <w:color w:val="000000"/>
              </w:rPr>
            </w:pPr>
          </w:p>
        </w:tc>
        <w:tc>
          <w:tcPr>
            <w:tcW w:w="599" w:type="pct"/>
            <w:vMerge w:val="continue"/>
            <w:vAlign w:val="center"/>
          </w:tcPr>
          <w:p w14:paraId="0B9D9D6A">
            <w:pPr>
              <w:pStyle w:val="133"/>
              <w:rPr>
                <w:color w:val="000000"/>
              </w:rPr>
            </w:pPr>
          </w:p>
        </w:tc>
        <w:tc>
          <w:tcPr>
            <w:tcW w:w="1003" w:type="pct"/>
            <w:gridSpan w:val="3"/>
            <w:vMerge w:val="continue"/>
            <w:vAlign w:val="center"/>
          </w:tcPr>
          <w:p w14:paraId="38ACA282">
            <w:pPr>
              <w:pStyle w:val="133"/>
              <w:rPr>
                <w:color w:val="000000"/>
              </w:rPr>
            </w:pPr>
          </w:p>
        </w:tc>
        <w:tc>
          <w:tcPr>
            <w:tcW w:w="2541" w:type="pct"/>
            <w:gridSpan w:val="9"/>
            <w:vAlign w:val="center"/>
          </w:tcPr>
          <w:p w14:paraId="51E31524">
            <w:pPr>
              <w:pStyle w:val="133"/>
              <w:rPr>
                <w:color w:val="000000"/>
              </w:rPr>
            </w:pPr>
            <w:r>
              <w:rPr>
                <w:color w:val="000000"/>
              </w:rPr>
              <w:t>大气毒性终点浓度-2：最大影响范围</w:t>
            </w:r>
            <w:r>
              <w:rPr>
                <w:rFonts w:hint="eastAsia"/>
                <w:color w:val="000000"/>
              </w:rPr>
              <w:t>290</w:t>
            </w:r>
            <w:r>
              <w:rPr>
                <w:color w:val="000000"/>
              </w:rPr>
              <w:t>m</w:t>
            </w:r>
          </w:p>
        </w:tc>
      </w:tr>
      <w:tr w14:paraId="779696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4277F00D">
            <w:pPr>
              <w:pStyle w:val="133"/>
              <w:rPr>
                <w:color w:val="FF0000"/>
              </w:rPr>
            </w:pPr>
          </w:p>
        </w:tc>
        <w:tc>
          <w:tcPr>
            <w:tcW w:w="571" w:type="pct"/>
            <w:vAlign w:val="center"/>
          </w:tcPr>
          <w:p w14:paraId="0E4108C7">
            <w:pPr>
              <w:pStyle w:val="133"/>
              <w:rPr>
                <w:color w:val="000000"/>
              </w:rPr>
            </w:pPr>
            <w:r>
              <w:rPr>
                <w:color w:val="000000"/>
              </w:rPr>
              <w:t>地表水</w:t>
            </w:r>
          </w:p>
        </w:tc>
        <w:tc>
          <w:tcPr>
            <w:tcW w:w="4142" w:type="pct"/>
            <w:gridSpan w:val="13"/>
            <w:vAlign w:val="center"/>
          </w:tcPr>
          <w:p w14:paraId="6FFA7CE7">
            <w:pPr>
              <w:pStyle w:val="133"/>
              <w:rPr>
                <w:color w:val="000000"/>
              </w:rPr>
            </w:pPr>
            <w:r>
              <w:rPr>
                <w:color w:val="000000"/>
              </w:rPr>
              <w:t>最近环境敏感目标：无，到达时间/h</w:t>
            </w:r>
          </w:p>
        </w:tc>
      </w:tr>
      <w:tr w14:paraId="20AD7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6709BB76">
            <w:pPr>
              <w:pStyle w:val="133"/>
              <w:rPr>
                <w:color w:val="FF0000"/>
              </w:rPr>
            </w:pPr>
          </w:p>
        </w:tc>
        <w:tc>
          <w:tcPr>
            <w:tcW w:w="571" w:type="pct"/>
            <w:vMerge w:val="restart"/>
            <w:vAlign w:val="center"/>
          </w:tcPr>
          <w:p w14:paraId="7B69917A">
            <w:pPr>
              <w:pStyle w:val="133"/>
              <w:rPr>
                <w:color w:val="000000"/>
              </w:rPr>
            </w:pPr>
            <w:r>
              <w:rPr>
                <w:color w:val="000000"/>
              </w:rPr>
              <w:t>地下水</w:t>
            </w:r>
          </w:p>
        </w:tc>
        <w:tc>
          <w:tcPr>
            <w:tcW w:w="4142" w:type="pct"/>
            <w:gridSpan w:val="13"/>
            <w:vAlign w:val="center"/>
          </w:tcPr>
          <w:p w14:paraId="1BFEFFF1">
            <w:pPr>
              <w:pStyle w:val="133"/>
              <w:rPr>
                <w:color w:val="000000"/>
              </w:rPr>
            </w:pPr>
            <w:r>
              <w:rPr>
                <w:color w:val="000000"/>
              </w:rPr>
              <w:t>下游厂区边界到达时间d</w:t>
            </w:r>
          </w:p>
        </w:tc>
      </w:tr>
      <w:tr w14:paraId="488FAC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6" w:type="pct"/>
            <w:vMerge w:val="continue"/>
            <w:vAlign w:val="center"/>
          </w:tcPr>
          <w:p w14:paraId="39827FA1">
            <w:pPr>
              <w:pStyle w:val="133"/>
              <w:rPr>
                <w:color w:val="FF0000"/>
              </w:rPr>
            </w:pPr>
          </w:p>
        </w:tc>
        <w:tc>
          <w:tcPr>
            <w:tcW w:w="571" w:type="pct"/>
            <w:vMerge w:val="continue"/>
            <w:vAlign w:val="center"/>
          </w:tcPr>
          <w:p w14:paraId="5E67172F">
            <w:pPr>
              <w:pStyle w:val="133"/>
              <w:rPr>
                <w:color w:val="000000"/>
              </w:rPr>
            </w:pPr>
          </w:p>
        </w:tc>
        <w:tc>
          <w:tcPr>
            <w:tcW w:w="4142" w:type="pct"/>
            <w:gridSpan w:val="13"/>
            <w:vAlign w:val="center"/>
          </w:tcPr>
          <w:p w14:paraId="33F13BCB">
            <w:pPr>
              <w:pStyle w:val="133"/>
              <w:rPr>
                <w:color w:val="000000"/>
              </w:rPr>
            </w:pPr>
            <w:r>
              <w:rPr>
                <w:color w:val="000000"/>
              </w:rPr>
              <w:t>最近环境敏感目标：无，到达时间/d</w:t>
            </w:r>
          </w:p>
        </w:tc>
      </w:tr>
      <w:tr w14:paraId="0EB25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Align w:val="center"/>
          </w:tcPr>
          <w:p w14:paraId="4AE4BD9D">
            <w:pPr>
              <w:pStyle w:val="133"/>
              <w:rPr>
                <w:color w:val="000000"/>
              </w:rPr>
            </w:pPr>
            <w:r>
              <w:rPr>
                <w:color w:val="000000"/>
              </w:rPr>
              <w:t>重点风险防范措施</w:t>
            </w:r>
          </w:p>
        </w:tc>
        <w:tc>
          <w:tcPr>
            <w:tcW w:w="4142" w:type="pct"/>
            <w:gridSpan w:val="13"/>
            <w:vAlign w:val="center"/>
          </w:tcPr>
          <w:p w14:paraId="444B1005">
            <w:pPr>
              <w:pStyle w:val="133"/>
              <w:rPr>
                <w:color w:val="000000"/>
              </w:rPr>
            </w:pPr>
            <w:r>
              <w:rPr>
                <w:color w:val="000000"/>
              </w:rPr>
              <w:t>本项目在设计上充分考虑了环境风险防范，包括平面布置、工艺及技术方案选择、自动控制、电气、电信、消防等方面的风险防范措施。本项目设置有环境风险事故水三级防控体系，防止事故情况下事故废水进入厂外水体。</w:t>
            </w:r>
          </w:p>
        </w:tc>
      </w:tr>
      <w:tr w14:paraId="5E157A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pct"/>
            <w:gridSpan w:val="2"/>
            <w:vAlign w:val="center"/>
          </w:tcPr>
          <w:p w14:paraId="6BB798C8">
            <w:pPr>
              <w:pStyle w:val="133"/>
              <w:rPr>
                <w:color w:val="000000"/>
              </w:rPr>
            </w:pPr>
            <w:r>
              <w:rPr>
                <w:color w:val="000000"/>
              </w:rPr>
              <w:t>评价结论与建议</w:t>
            </w:r>
          </w:p>
        </w:tc>
        <w:tc>
          <w:tcPr>
            <w:tcW w:w="4142" w:type="pct"/>
            <w:gridSpan w:val="13"/>
            <w:vAlign w:val="center"/>
          </w:tcPr>
          <w:p w14:paraId="7D6D1D99">
            <w:pPr>
              <w:pStyle w:val="133"/>
              <w:rPr>
                <w:color w:val="000000"/>
              </w:rPr>
            </w:pPr>
            <w:r>
              <w:rPr>
                <w:color w:val="000000"/>
              </w:rPr>
              <w:t>本项目事故污水防范设置多级防控体系，建立环境风险事故应急监测系统，可在发生环境风险事故时与地方环境保护监测站进行应急监测系统联动，对环境风险事故造成的影响进行实时监控。针对项目的风险特点，设置车间级、厂级应急预案、公司级应急预案和切实可行的风险防范措施等。</w:t>
            </w:r>
          </w:p>
        </w:tc>
      </w:tr>
    </w:tbl>
    <w:p w14:paraId="791BC785">
      <w:pPr>
        <w:pStyle w:val="2"/>
        <w:spacing w:before="240"/>
        <w:sectPr>
          <w:pgSz w:w="11907" w:h="16840"/>
          <w:pgMar w:top="1418" w:right="1287" w:bottom="1418" w:left="1531" w:header="936" w:footer="992" w:gutter="0"/>
          <w:cols w:space="720" w:num="1"/>
          <w:docGrid w:linePitch="312" w:charSpace="0"/>
        </w:sectPr>
      </w:pPr>
    </w:p>
    <w:p w14:paraId="39C23F70">
      <w:pPr>
        <w:pStyle w:val="2"/>
        <w:spacing w:before="240"/>
      </w:pPr>
      <w:bookmarkStart w:id="707" w:name="_Toc205291422"/>
      <w:r>
        <w:rPr>
          <w:rFonts w:hint="eastAsia"/>
        </w:rPr>
        <w:t>环境影响经济损益分析</w:t>
      </w:r>
      <w:bookmarkEnd w:id="707"/>
    </w:p>
    <w:p w14:paraId="6C088AEB">
      <w:pPr>
        <w:ind w:firstLine="480"/>
      </w:pPr>
    </w:p>
    <w:p w14:paraId="1EC65468">
      <w:pPr>
        <w:pStyle w:val="117"/>
        <w:ind w:firstLine="480"/>
      </w:pPr>
      <w:r>
        <w:rPr>
          <w:rFonts w:hint="eastAsia"/>
        </w:rPr>
        <w:t>环境经济损益分析是环境影响评价的重要组成部分，它从经济学的角度分析建设项目的环境效益和社会效益，充分体现经济效益、社会效益和环境效益的对立和统一的关系。通过分析项目的环保投资及其运转费用与取得效益之间的关系，说明环保综合效益状况。</w:t>
      </w:r>
    </w:p>
    <w:p w14:paraId="39A0D726">
      <w:pPr>
        <w:pStyle w:val="117"/>
        <w:ind w:firstLine="480"/>
      </w:pPr>
      <w:r>
        <w:rPr>
          <w:rFonts w:hint="eastAsia"/>
        </w:rPr>
        <w:t>环境经济损益分析主要是衡量项目的环保投资所能收到的环境效益和经济效益，建设项目应力争达到社会效益、环境效益、经济效益的统一，这样才能符合可持续发展的要求，实现经济的持续发展和环境质量的不断完善。本工程的建设在一定程度上给周围环境质量带来一些负面影响，因此有必要进行经济效益、社会效益、环境效益的综合分析，使项目的建设论证更加充分可靠，工程的设计和实施更加完善，以实现社会的良性发展、经济的持续增长和环境质量的保持与完善。</w:t>
      </w:r>
    </w:p>
    <w:p w14:paraId="6A6A9D93">
      <w:pPr>
        <w:pStyle w:val="3"/>
      </w:pPr>
      <w:bookmarkStart w:id="708" w:name="_Toc205291423"/>
      <w:r>
        <w:t>环保设施内容</w:t>
      </w:r>
      <w:r>
        <w:rPr>
          <w:rFonts w:hint="eastAsia"/>
        </w:rPr>
        <w:t>及投资估算</w:t>
      </w:r>
      <w:bookmarkEnd w:id="708"/>
    </w:p>
    <w:p w14:paraId="172C0944">
      <w:pPr>
        <w:pStyle w:val="117"/>
        <w:ind w:firstLine="480"/>
        <w:rPr>
          <w:color w:val="000000"/>
        </w:rPr>
      </w:pPr>
      <w:r>
        <w:t>依据《建设项目环境保护设计规定》中的有关内容，环保设施划分的基本原则是，凡属于污染治理环境保护所需的设施、装置和工程设施，属生产工艺需要又为环境保护服务的设施，为保证生产有良好环境所采取的防尘、绿化设施均属环保设施。环保投资</w:t>
      </w:r>
      <w:r>
        <w:rPr>
          <w:color w:val="000000"/>
        </w:rPr>
        <w:t>主要是防治污染、美化环境的资金投入。</w:t>
      </w:r>
    </w:p>
    <w:p w14:paraId="0F6C28A8">
      <w:pPr>
        <w:pStyle w:val="117"/>
        <w:ind w:firstLine="480"/>
        <w:rPr>
          <w:color w:val="000000"/>
        </w:rPr>
      </w:pPr>
      <w:r>
        <w:rPr>
          <w:color w:val="000000"/>
        </w:rPr>
        <w:t>本项目总投资为</w:t>
      </w:r>
      <w:r>
        <w:rPr>
          <w:rFonts w:hint="eastAsia"/>
          <w:color w:val="000000"/>
        </w:rPr>
        <w:t>58223.97</w:t>
      </w:r>
      <w:r>
        <w:rPr>
          <w:color w:val="000000"/>
        </w:rPr>
        <w:t>万元，环保投资</w:t>
      </w:r>
      <w:r>
        <w:rPr>
          <w:rFonts w:hint="eastAsia"/>
          <w:color w:val="000000"/>
        </w:rPr>
        <w:t>2500</w:t>
      </w:r>
      <w:r>
        <w:rPr>
          <w:color w:val="000000"/>
        </w:rPr>
        <w:t>万元，环保投资占项目总投资的</w:t>
      </w:r>
      <w:r>
        <w:rPr>
          <w:rFonts w:hint="eastAsia"/>
          <w:color w:val="000000"/>
        </w:rPr>
        <w:t>4.29%</w:t>
      </w:r>
      <w:r>
        <w:rPr>
          <w:color w:val="000000"/>
        </w:rPr>
        <w:t>。</w:t>
      </w:r>
    </w:p>
    <w:p w14:paraId="43607C4A">
      <w:pPr>
        <w:pStyle w:val="117"/>
        <w:ind w:firstLine="480"/>
      </w:pPr>
      <w:r>
        <w:t>项目主要环保设施见表</w:t>
      </w:r>
      <w:r>
        <w:rPr>
          <w:rFonts w:hint="eastAsia"/>
        </w:rPr>
        <w:t>8</w:t>
      </w:r>
      <w:r>
        <w:t>.1-1。</w:t>
      </w:r>
    </w:p>
    <w:p w14:paraId="678CF2C1">
      <w:pPr>
        <w:pStyle w:val="118"/>
        <w:ind w:firstLine="480"/>
        <w:rPr>
          <w:color w:val="auto"/>
        </w:rPr>
      </w:pPr>
      <w:r>
        <w:rPr>
          <w:color w:val="auto"/>
        </w:rPr>
        <w:t>表</w:t>
      </w:r>
      <w:r>
        <w:rPr>
          <w:rFonts w:hint="eastAsia"/>
          <w:color w:val="auto"/>
        </w:rPr>
        <w:t>8</w:t>
      </w:r>
      <w:r>
        <w:rPr>
          <w:color w:val="auto"/>
        </w:rPr>
        <w:t xml:space="preserve">.1-1   </w:t>
      </w:r>
      <w:r>
        <w:rPr>
          <w:rFonts w:hint="eastAsia"/>
          <w:color w:val="auto"/>
        </w:rPr>
        <w:t xml:space="preserve"> </w:t>
      </w:r>
      <w:r>
        <w:rPr>
          <w:color w:val="auto"/>
        </w:rPr>
        <w:t>工程环保设施投资情况一览表</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1908"/>
        <w:gridCol w:w="2027"/>
        <w:gridCol w:w="3569"/>
        <w:gridCol w:w="1245"/>
      </w:tblGrid>
      <w:tr w14:paraId="1C433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99" w:type="pct"/>
            <w:vAlign w:val="center"/>
          </w:tcPr>
          <w:p w14:paraId="2549C815">
            <w:pPr>
              <w:pStyle w:val="133"/>
              <w:rPr>
                <w:b/>
                <w:bCs/>
                <w:color w:val="000000"/>
              </w:rPr>
            </w:pPr>
            <w:r>
              <w:rPr>
                <w:rFonts w:hint="eastAsia"/>
                <w:b/>
                <w:bCs/>
                <w:color w:val="000000"/>
              </w:rPr>
              <w:t>序号</w:t>
            </w:r>
          </w:p>
        </w:tc>
        <w:tc>
          <w:tcPr>
            <w:tcW w:w="1025" w:type="pct"/>
            <w:vAlign w:val="center"/>
          </w:tcPr>
          <w:p w14:paraId="1A8D8BAC">
            <w:pPr>
              <w:pStyle w:val="133"/>
              <w:rPr>
                <w:b/>
                <w:bCs/>
                <w:color w:val="000000"/>
              </w:rPr>
            </w:pPr>
            <w:r>
              <w:rPr>
                <w:rFonts w:hint="eastAsia"/>
                <w:b/>
                <w:bCs/>
                <w:color w:val="000000"/>
              </w:rPr>
              <w:t>类别</w:t>
            </w:r>
          </w:p>
        </w:tc>
        <w:tc>
          <w:tcPr>
            <w:tcW w:w="3007" w:type="pct"/>
            <w:gridSpan w:val="2"/>
            <w:vAlign w:val="center"/>
          </w:tcPr>
          <w:p w14:paraId="4334083F">
            <w:pPr>
              <w:pStyle w:val="133"/>
              <w:rPr>
                <w:b/>
                <w:bCs/>
                <w:color w:val="000000"/>
              </w:rPr>
            </w:pPr>
            <w:r>
              <w:rPr>
                <w:rFonts w:hint="eastAsia"/>
                <w:b/>
                <w:bCs/>
                <w:color w:val="000000"/>
              </w:rPr>
              <w:t>措施名称</w:t>
            </w:r>
          </w:p>
        </w:tc>
        <w:tc>
          <w:tcPr>
            <w:tcW w:w="669" w:type="pct"/>
            <w:vAlign w:val="center"/>
          </w:tcPr>
          <w:p w14:paraId="3E2D2CA8">
            <w:pPr>
              <w:pStyle w:val="133"/>
              <w:rPr>
                <w:b/>
                <w:bCs/>
                <w:color w:val="000000"/>
              </w:rPr>
            </w:pPr>
            <w:r>
              <w:rPr>
                <w:rFonts w:hint="eastAsia"/>
                <w:b/>
                <w:bCs/>
                <w:color w:val="000000"/>
              </w:rPr>
              <w:t>投资</w:t>
            </w:r>
          </w:p>
          <w:p w14:paraId="661705B7">
            <w:pPr>
              <w:pStyle w:val="133"/>
              <w:rPr>
                <w:b/>
                <w:bCs/>
                <w:color w:val="000000"/>
              </w:rPr>
            </w:pPr>
            <w:r>
              <w:rPr>
                <w:rFonts w:hint="eastAsia"/>
                <w:b/>
                <w:bCs/>
                <w:color w:val="000000"/>
              </w:rPr>
              <w:t>（万元）</w:t>
            </w:r>
          </w:p>
        </w:tc>
      </w:tr>
      <w:tr w14:paraId="2B40D6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restart"/>
            <w:vAlign w:val="center"/>
          </w:tcPr>
          <w:p w14:paraId="58D928CF">
            <w:pPr>
              <w:pStyle w:val="133"/>
              <w:rPr>
                <w:color w:val="000000"/>
              </w:rPr>
            </w:pPr>
            <w:r>
              <w:rPr>
                <w:color w:val="000000"/>
              </w:rPr>
              <w:t>1</w:t>
            </w:r>
          </w:p>
        </w:tc>
        <w:tc>
          <w:tcPr>
            <w:tcW w:w="1025" w:type="pct"/>
            <w:vMerge w:val="restart"/>
            <w:vAlign w:val="center"/>
          </w:tcPr>
          <w:p w14:paraId="1DFF69AA">
            <w:pPr>
              <w:pStyle w:val="133"/>
              <w:rPr>
                <w:color w:val="000000"/>
              </w:rPr>
            </w:pPr>
            <w:r>
              <w:rPr>
                <w:rFonts w:hint="eastAsia"/>
                <w:color w:val="000000"/>
              </w:rPr>
              <w:t>环境空气</w:t>
            </w:r>
          </w:p>
          <w:p w14:paraId="6A8557C7">
            <w:pPr>
              <w:pStyle w:val="133"/>
              <w:rPr>
                <w:color w:val="000000"/>
              </w:rPr>
            </w:pPr>
            <w:r>
              <w:rPr>
                <w:rFonts w:hint="eastAsia"/>
                <w:color w:val="000000"/>
              </w:rPr>
              <w:t>保护措施</w:t>
            </w:r>
          </w:p>
        </w:tc>
        <w:tc>
          <w:tcPr>
            <w:tcW w:w="1089" w:type="pct"/>
            <w:vAlign w:val="center"/>
          </w:tcPr>
          <w:p w14:paraId="18854FE7">
            <w:pPr>
              <w:pStyle w:val="133"/>
              <w:rPr>
                <w:color w:val="000000"/>
              </w:rPr>
            </w:pPr>
            <w:r>
              <w:rPr>
                <w:rFonts w:hint="eastAsia"/>
                <w:color w:val="000000"/>
                <w:szCs w:val="21"/>
              </w:rPr>
              <w:t>备煤上料废气</w:t>
            </w:r>
          </w:p>
        </w:tc>
        <w:tc>
          <w:tcPr>
            <w:tcW w:w="1918" w:type="pct"/>
            <w:vAlign w:val="center"/>
          </w:tcPr>
          <w:p w14:paraId="4D5705E4">
            <w:pPr>
              <w:pStyle w:val="133"/>
              <w:rPr>
                <w:color w:val="000000"/>
              </w:rPr>
            </w:pPr>
            <w:r>
              <w:rPr>
                <w:rFonts w:hint="eastAsia"/>
                <w:color w:val="000000"/>
              </w:rPr>
              <w:t>布袋除尘器+排气筒</w:t>
            </w:r>
          </w:p>
        </w:tc>
        <w:tc>
          <w:tcPr>
            <w:tcW w:w="669" w:type="pct"/>
            <w:vAlign w:val="center"/>
          </w:tcPr>
          <w:p w14:paraId="1E89E5C7">
            <w:pPr>
              <w:pStyle w:val="133"/>
              <w:rPr>
                <w:color w:val="000000"/>
              </w:rPr>
            </w:pPr>
            <w:r>
              <w:rPr>
                <w:rFonts w:hint="eastAsia"/>
                <w:color w:val="000000"/>
              </w:rPr>
              <w:t>50</w:t>
            </w:r>
          </w:p>
        </w:tc>
      </w:tr>
      <w:tr w14:paraId="2D977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71847DA0">
            <w:pPr>
              <w:pStyle w:val="133"/>
              <w:rPr>
                <w:color w:val="000000"/>
              </w:rPr>
            </w:pPr>
          </w:p>
        </w:tc>
        <w:tc>
          <w:tcPr>
            <w:tcW w:w="1025" w:type="pct"/>
            <w:vMerge w:val="continue"/>
            <w:vAlign w:val="center"/>
          </w:tcPr>
          <w:p w14:paraId="02D45B8A">
            <w:pPr>
              <w:pStyle w:val="133"/>
              <w:rPr>
                <w:color w:val="000000"/>
              </w:rPr>
            </w:pPr>
          </w:p>
        </w:tc>
        <w:tc>
          <w:tcPr>
            <w:tcW w:w="1089" w:type="pct"/>
            <w:vAlign w:val="center"/>
          </w:tcPr>
          <w:p w14:paraId="27C86CB7">
            <w:pPr>
              <w:pStyle w:val="133"/>
              <w:rPr>
                <w:color w:val="000000"/>
              </w:rPr>
            </w:pPr>
            <w:r>
              <w:rPr>
                <w:rFonts w:hint="eastAsia"/>
                <w:color w:val="000000"/>
                <w:szCs w:val="21"/>
              </w:rPr>
              <w:t>破碎筛分废气</w:t>
            </w:r>
          </w:p>
        </w:tc>
        <w:tc>
          <w:tcPr>
            <w:tcW w:w="1918" w:type="pct"/>
            <w:vAlign w:val="center"/>
          </w:tcPr>
          <w:p w14:paraId="4EFF6912">
            <w:pPr>
              <w:pStyle w:val="133"/>
              <w:rPr>
                <w:color w:val="000000"/>
              </w:rPr>
            </w:pPr>
            <w:r>
              <w:rPr>
                <w:rFonts w:hint="eastAsia"/>
                <w:color w:val="000000"/>
              </w:rPr>
              <w:t>布袋除尘器+排气筒</w:t>
            </w:r>
          </w:p>
        </w:tc>
        <w:tc>
          <w:tcPr>
            <w:tcW w:w="669" w:type="pct"/>
            <w:vAlign w:val="center"/>
          </w:tcPr>
          <w:p w14:paraId="376EB80C">
            <w:pPr>
              <w:pStyle w:val="133"/>
              <w:rPr>
                <w:color w:val="000000"/>
              </w:rPr>
            </w:pPr>
            <w:r>
              <w:rPr>
                <w:rFonts w:hint="eastAsia"/>
                <w:color w:val="000000"/>
              </w:rPr>
              <w:t>50</w:t>
            </w:r>
          </w:p>
        </w:tc>
      </w:tr>
      <w:tr w14:paraId="60B4C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278C3F4E">
            <w:pPr>
              <w:pStyle w:val="133"/>
              <w:rPr>
                <w:color w:val="000000"/>
              </w:rPr>
            </w:pPr>
          </w:p>
        </w:tc>
        <w:tc>
          <w:tcPr>
            <w:tcW w:w="1025" w:type="pct"/>
            <w:vMerge w:val="continue"/>
            <w:vAlign w:val="center"/>
          </w:tcPr>
          <w:p w14:paraId="4A655C8A">
            <w:pPr>
              <w:pStyle w:val="133"/>
              <w:rPr>
                <w:color w:val="000000"/>
              </w:rPr>
            </w:pPr>
          </w:p>
        </w:tc>
        <w:tc>
          <w:tcPr>
            <w:tcW w:w="1089" w:type="pct"/>
            <w:vAlign w:val="center"/>
          </w:tcPr>
          <w:p w14:paraId="2D9C05BB">
            <w:pPr>
              <w:pStyle w:val="133"/>
              <w:rPr>
                <w:color w:val="000000"/>
                <w:szCs w:val="21"/>
              </w:rPr>
            </w:pPr>
            <w:r>
              <w:rPr>
                <w:rFonts w:hint="eastAsia"/>
                <w:color w:val="000000"/>
                <w:szCs w:val="21"/>
              </w:rPr>
              <w:t>炭化装煤废气</w:t>
            </w:r>
          </w:p>
        </w:tc>
        <w:tc>
          <w:tcPr>
            <w:tcW w:w="1918" w:type="pct"/>
            <w:vAlign w:val="center"/>
          </w:tcPr>
          <w:p w14:paraId="5594AA7A">
            <w:pPr>
              <w:pStyle w:val="133"/>
              <w:rPr>
                <w:color w:val="000000"/>
              </w:rPr>
            </w:pPr>
            <w:r>
              <w:rPr>
                <w:rFonts w:hint="eastAsia"/>
                <w:color w:val="000000"/>
              </w:rPr>
              <w:t>布袋除尘器+排气筒</w:t>
            </w:r>
          </w:p>
        </w:tc>
        <w:tc>
          <w:tcPr>
            <w:tcW w:w="669" w:type="pct"/>
            <w:vAlign w:val="center"/>
          </w:tcPr>
          <w:p w14:paraId="435CF877">
            <w:pPr>
              <w:pStyle w:val="133"/>
              <w:rPr>
                <w:color w:val="000000"/>
              </w:rPr>
            </w:pPr>
            <w:r>
              <w:rPr>
                <w:rFonts w:hint="eastAsia"/>
                <w:color w:val="000000"/>
              </w:rPr>
              <w:t>50</w:t>
            </w:r>
          </w:p>
        </w:tc>
      </w:tr>
      <w:tr w14:paraId="26127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12570E70">
            <w:pPr>
              <w:pStyle w:val="133"/>
              <w:rPr>
                <w:color w:val="000000"/>
              </w:rPr>
            </w:pPr>
          </w:p>
        </w:tc>
        <w:tc>
          <w:tcPr>
            <w:tcW w:w="1025" w:type="pct"/>
            <w:vMerge w:val="continue"/>
            <w:vAlign w:val="center"/>
          </w:tcPr>
          <w:p w14:paraId="30D19F5A">
            <w:pPr>
              <w:pStyle w:val="133"/>
              <w:rPr>
                <w:color w:val="000000"/>
              </w:rPr>
            </w:pPr>
          </w:p>
        </w:tc>
        <w:tc>
          <w:tcPr>
            <w:tcW w:w="1089" w:type="pct"/>
            <w:vAlign w:val="center"/>
          </w:tcPr>
          <w:p w14:paraId="74DB102A">
            <w:pPr>
              <w:pStyle w:val="133"/>
              <w:rPr>
                <w:color w:val="000000"/>
              </w:rPr>
            </w:pPr>
            <w:r>
              <w:rPr>
                <w:rFonts w:hint="eastAsia"/>
                <w:color w:val="000000"/>
                <w:szCs w:val="21"/>
              </w:rPr>
              <w:t>筛焦废气</w:t>
            </w:r>
          </w:p>
        </w:tc>
        <w:tc>
          <w:tcPr>
            <w:tcW w:w="1918" w:type="pct"/>
            <w:vAlign w:val="center"/>
          </w:tcPr>
          <w:p w14:paraId="13081E9C">
            <w:pPr>
              <w:pStyle w:val="133"/>
              <w:rPr>
                <w:color w:val="000000"/>
              </w:rPr>
            </w:pPr>
            <w:r>
              <w:rPr>
                <w:rFonts w:hint="eastAsia"/>
                <w:color w:val="000000"/>
              </w:rPr>
              <w:t>布袋除尘器+排气筒</w:t>
            </w:r>
          </w:p>
        </w:tc>
        <w:tc>
          <w:tcPr>
            <w:tcW w:w="669" w:type="pct"/>
            <w:vAlign w:val="center"/>
          </w:tcPr>
          <w:p w14:paraId="398B0A2F">
            <w:pPr>
              <w:pStyle w:val="133"/>
              <w:rPr>
                <w:color w:val="000000"/>
              </w:rPr>
            </w:pPr>
            <w:r>
              <w:rPr>
                <w:rFonts w:hint="eastAsia"/>
                <w:color w:val="000000"/>
              </w:rPr>
              <w:t>50</w:t>
            </w:r>
          </w:p>
        </w:tc>
      </w:tr>
      <w:tr w14:paraId="50603F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2DD78750">
            <w:pPr>
              <w:pStyle w:val="133"/>
              <w:rPr>
                <w:color w:val="000000"/>
              </w:rPr>
            </w:pPr>
          </w:p>
        </w:tc>
        <w:tc>
          <w:tcPr>
            <w:tcW w:w="1025" w:type="pct"/>
            <w:vMerge w:val="continue"/>
            <w:vAlign w:val="center"/>
          </w:tcPr>
          <w:p w14:paraId="406ED9BC">
            <w:pPr>
              <w:pStyle w:val="133"/>
              <w:rPr>
                <w:color w:val="000000"/>
              </w:rPr>
            </w:pPr>
          </w:p>
        </w:tc>
        <w:tc>
          <w:tcPr>
            <w:tcW w:w="1089" w:type="pct"/>
            <w:vAlign w:val="center"/>
          </w:tcPr>
          <w:p w14:paraId="77A3DAAF">
            <w:pPr>
              <w:pStyle w:val="133"/>
              <w:rPr>
                <w:color w:val="000000"/>
                <w:szCs w:val="21"/>
              </w:rPr>
            </w:pPr>
            <w:r>
              <w:rPr>
                <w:rFonts w:hint="eastAsia"/>
                <w:color w:val="000000"/>
                <w:szCs w:val="21"/>
              </w:rPr>
              <w:t>兰炭烘干废气</w:t>
            </w:r>
          </w:p>
        </w:tc>
        <w:tc>
          <w:tcPr>
            <w:tcW w:w="1918" w:type="pct"/>
            <w:vAlign w:val="center"/>
          </w:tcPr>
          <w:p w14:paraId="64096029">
            <w:pPr>
              <w:pStyle w:val="133"/>
              <w:rPr>
                <w:color w:val="000000"/>
                <w:szCs w:val="21"/>
              </w:rPr>
            </w:pPr>
            <w:r>
              <w:rPr>
                <w:rFonts w:hint="eastAsia"/>
                <w:color w:val="000000"/>
                <w:szCs w:val="21"/>
              </w:rPr>
              <w:t>旋风除尘+碱洗+布袋除尘器、</w:t>
            </w:r>
          </w:p>
          <w:p w14:paraId="56BAF702">
            <w:pPr>
              <w:pStyle w:val="133"/>
              <w:rPr>
                <w:color w:val="000000"/>
              </w:rPr>
            </w:pPr>
            <w:r>
              <w:rPr>
                <w:rFonts w:hint="eastAsia"/>
                <w:color w:val="000000"/>
                <w:szCs w:val="21"/>
              </w:rPr>
              <w:t>碱喷淋脱硫</w:t>
            </w:r>
          </w:p>
        </w:tc>
        <w:tc>
          <w:tcPr>
            <w:tcW w:w="669" w:type="pct"/>
            <w:vAlign w:val="center"/>
          </w:tcPr>
          <w:p w14:paraId="5DA2FA11">
            <w:pPr>
              <w:pStyle w:val="133"/>
              <w:rPr>
                <w:color w:val="000000"/>
              </w:rPr>
            </w:pPr>
            <w:r>
              <w:rPr>
                <w:rFonts w:hint="eastAsia"/>
                <w:color w:val="000000"/>
              </w:rPr>
              <w:t>150</w:t>
            </w:r>
          </w:p>
        </w:tc>
      </w:tr>
      <w:tr w14:paraId="2E6E4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175FF6F9">
            <w:pPr>
              <w:pStyle w:val="133"/>
              <w:rPr>
                <w:color w:val="000000"/>
              </w:rPr>
            </w:pPr>
          </w:p>
        </w:tc>
        <w:tc>
          <w:tcPr>
            <w:tcW w:w="1025" w:type="pct"/>
            <w:vMerge w:val="continue"/>
            <w:vAlign w:val="center"/>
          </w:tcPr>
          <w:p w14:paraId="57925DBC">
            <w:pPr>
              <w:pStyle w:val="133"/>
              <w:rPr>
                <w:color w:val="000000"/>
              </w:rPr>
            </w:pPr>
          </w:p>
        </w:tc>
        <w:tc>
          <w:tcPr>
            <w:tcW w:w="1089" w:type="pct"/>
            <w:vAlign w:val="center"/>
          </w:tcPr>
          <w:p w14:paraId="2522E6BE">
            <w:pPr>
              <w:pStyle w:val="133"/>
              <w:rPr>
                <w:color w:val="000000"/>
              </w:rPr>
            </w:pPr>
            <w:r>
              <w:rPr>
                <w:rFonts w:hint="eastAsia"/>
                <w:color w:val="000000"/>
                <w:szCs w:val="21"/>
              </w:rPr>
              <w:t>兰炭筛分废气</w:t>
            </w:r>
          </w:p>
        </w:tc>
        <w:tc>
          <w:tcPr>
            <w:tcW w:w="1918" w:type="pct"/>
            <w:vAlign w:val="center"/>
          </w:tcPr>
          <w:p w14:paraId="46FABAA6">
            <w:pPr>
              <w:pStyle w:val="133"/>
              <w:rPr>
                <w:color w:val="000000"/>
              </w:rPr>
            </w:pPr>
            <w:r>
              <w:rPr>
                <w:rFonts w:hint="eastAsia"/>
                <w:color w:val="000000"/>
              </w:rPr>
              <w:t>布袋除尘器+排气筒</w:t>
            </w:r>
          </w:p>
        </w:tc>
        <w:tc>
          <w:tcPr>
            <w:tcW w:w="669" w:type="pct"/>
            <w:vAlign w:val="center"/>
          </w:tcPr>
          <w:p w14:paraId="1BD751EA">
            <w:pPr>
              <w:pStyle w:val="133"/>
              <w:rPr>
                <w:color w:val="000000"/>
              </w:rPr>
            </w:pPr>
            <w:r>
              <w:rPr>
                <w:rFonts w:hint="eastAsia"/>
                <w:color w:val="000000"/>
              </w:rPr>
              <w:t>50</w:t>
            </w:r>
          </w:p>
        </w:tc>
      </w:tr>
      <w:tr w14:paraId="264FD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58DF8081">
            <w:pPr>
              <w:pStyle w:val="133"/>
              <w:rPr>
                <w:color w:val="000000"/>
              </w:rPr>
            </w:pPr>
          </w:p>
        </w:tc>
        <w:tc>
          <w:tcPr>
            <w:tcW w:w="1025" w:type="pct"/>
            <w:vMerge w:val="continue"/>
            <w:vAlign w:val="center"/>
          </w:tcPr>
          <w:p w14:paraId="1151BFF0">
            <w:pPr>
              <w:pStyle w:val="133"/>
              <w:rPr>
                <w:color w:val="000000"/>
              </w:rPr>
            </w:pPr>
          </w:p>
        </w:tc>
        <w:tc>
          <w:tcPr>
            <w:tcW w:w="1089" w:type="pct"/>
            <w:vAlign w:val="center"/>
          </w:tcPr>
          <w:p w14:paraId="083D2352">
            <w:pPr>
              <w:pStyle w:val="133"/>
              <w:rPr>
                <w:color w:val="000000"/>
              </w:rPr>
            </w:pPr>
            <w:r>
              <w:rPr>
                <w:rFonts w:hint="eastAsia"/>
                <w:color w:val="000000"/>
                <w:szCs w:val="21"/>
              </w:rPr>
              <w:t>焚烧炉烟气</w:t>
            </w:r>
          </w:p>
        </w:tc>
        <w:tc>
          <w:tcPr>
            <w:tcW w:w="1918" w:type="pct"/>
            <w:vAlign w:val="center"/>
          </w:tcPr>
          <w:p w14:paraId="2C80BF0E">
            <w:pPr>
              <w:pStyle w:val="133"/>
              <w:rPr>
                <w:color w:val="000000"/>
              </w:rPr>
            </w:pPr>
            <w:r>
              <w:rPr>
                <w:rFonts w:hint="eastAsia" w:cs="Times New Roman"/>
                <w:color w:val="000000"/>
                <w:szCs w:val="21"/>
              </w:rPr>
              <w:t>SNCR+二级碱喷淋脱硫</w:t>
            </w:r>
            <w:r>
              <w:rPr>
                <w:rFonts w:hint="eastAsia"/>
                <w:color w:val="000000"/>
              </w:rPr>
              <w:t>+排气筒</w:t>
            </w:r>
          </w:p>
        </w:tc>
        <w:tc>
          <w:tcPr>
            <w:tcW w:w="669" w:type="pct"/>
            <w:vAlign w:val="center"/>
          </w:tcPr>
          <w:p w14:paraId="622E53C0">
            <w:pPr>
              <w:pStyle w:val="133"/>
              <w:rPr>
                <w:color w:val="000000"/>
              </w:rPr>
            </w:pPr>
            <w:r>
              <w:rPr>
                <w:rFonts w:hint="eastAsia"/>
                <w:color w:val="000000"/>
              </w:rPr>
              <w:t>100</w:t>
            </w:r>
          </w:p>
        </w:tc>
      </w:tr>
      <w:tr w14:paraId="226D3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607EFE20">
            <w:pPr>
              <w:pStyle w:val="133"/>
              <w:rPr>
                <w:color w:val="000000"/>
              </w:rPr>
            </w:pPr>
          </w:p>
        </w:tc>
        <w:tc>
          <w:tcPr>
            <w:tcW w:w="1025" w:type="pct"/>
            <w:vMerge w:val="continue"/>
            <w:vAlign w:val="center"/>
          </w:tcPr>
          <w:p w14:paraId="02E7FB5A">
            <w:pPr>
              <w:pStyle w:val="133"/>
              <w:rPr>
                <w:color w:val="000000"/>
              </w:rPr>
            </w:pPr>
          </w:p>
        </w:tc>
        <w:tc>
          <w:tcPr>
            <w:tcW w:w="1089" w:type="pct"/>
            <w:vAlign w:val="center"/>
          </w:tcPr>
          <w:p w14:paraId="18A26A7D">
            <w:pPr>
              <w:pStyle w:val="133"/>
              <w:rPr>
                <w:color w:val="000000"/>
              </w:rPr>
            </w:pPr>
            <w:r>
              <w:rPr>
                <w:rFonts w:hint="eastAsia"/>
                <w:color w:val="000000"/>
                <w:szCs w:val="21"/>
              </w:rPr>
              <w:t>1#VOCs处理装置有机废气</w:t>
            </w:r>
          </w:p>
        </w:tc>
        <w:tc>
          <w:tcPr>
            <w:tcW w:w="1918" w:type="pct"/>
            <w:vAlign w:val="center"/>
          </w:tcPr>
          <w:p w14:paraId="29DBF922">
            <w:pPr>
              <w:pStyle w:val="133"/>
              <w:rPr>
                <w:color w:val="000000"/>
              </w:rPr>
            </w:pPr>
            <w:r>
              <w:rPr>
                <w:rFonts w:hint="eastAsia"/>
                <w:color w:val="000000"/>
                <w:szCs w:val="21"/>
              </w:rPr>
              <w:t>酸洗+碱洗+活性炭吸附-脱附+催化燃烧工艺</w:t>
            </w:r>
            <w:r>
              <w:rPr>
                <w:rFonts w:hint="eastAsia"/>
                <w:color w:val="000000"/>
              </w:rPr>
              <w:t>+排气筒</w:t>
            </w:r>
          </w:p>
        </w:tc>
        <w:tc>
          <w:tcPr>
            <w:tcW w:w="669" w:type="pct"/>
            <w:vAlign w:val="center"/>
          </w:tcPr>
          <w:p w14:paraId="76F14EE9">
            <w:pPr>
              <w:pStyle w:val="133"/>
              <w:rPr>
                <w:color w:val="000000"/>
              </w:rPr>
            </w:pPr>
            <w:r>
              <w:rPr>
                <w:rFonts w:hint="eastAsia"/>
                <w:color w:val="000000"/>
              </w:rPr>
              <w:t>200</w:t>
            </w:r>
          </w:p>
        </w:tc>
      </w:tr>
      <w:tr w14:paraId="0B54B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53FEBAEC">
            <w:pPr>
              <w:pStyle w:val="133"/>
              <w:rPr>
                <w:color w:val="000000"/>
              </w:rPr>
            </w:pPr>
          </w:p>
        </w:tc>
        <w:tc>
          <w:tcPr>
            <w:tcW w:w="1025" w:type="pct"/>
            <w:vMerge w:val="continue"/>
            <w:vAlign w:val="center"/>
          </w:tcPr>
          <w:p w14:paraId="6E55C59A">
            <w:pPr>
              <w:pStyle w:val="133"/>
              <w:rPr>
                <w:color w:val="000000"/>
              </w:rPr>
            </w:pPr>
          </w:p>
        </w:tc>
        <w:tc>
          <w:tcPr>
            <w:tcW w:w="1089" w:type="pct"/>
            <w:vAlign w:val="center"/>
          </w:tcPr>
          <w:p w14:paraId="6B8A84ED">
            <w:pPr>
              <w:pStyle w:val="133"/>
              <w:rPr>
                <w:color w:val="000000"/>
              </w:rPr>
            </w:pPr>
            <w:r>
              <w:rPr>
                <w:rFonts w:hint="eastAsia"/>
                <w:color w:val="000000"/>
                <w:szCs w:val="21"/>
              </w:rPr>
              <w:t>2#VOCs处理装置有机废气</w:t>
            </w:r>
          </w:p>
        </w:tc>
        <w:tc>
          <w:tcPr>
            <w:tcW w:w="1918" w:type="pct"/>
            <w:vAlign w:val="center"/>
          </w:tcPr>
          <w:p w14:paraId="3C1A6C2A">
            <w:pPr>
              <w:pStyle w:val="133"/>
              <w:rPr>
                <w:color w:val="000000"/>
              </w:rPr>
            </w:pPr>
            <w:r>
              <w:rPr>
                <w:rFonts w:hint="eastAsia"/>
                <w:color w:val="000000"/>
                <w:szCs w:val="21"/>
              </w:rPr>
              <w:t>酸洗+碱洗+活性炭吸附-脱附+催化燃烧工艺</w:t>
            </w:r>
          </w:p>
        </w:tc>
        <w:tc>
          <w:tcPr>
            <w:tcW w:w="669" w:type="pct"/>
            <w:vAlign w:val="center"/>
          </w:tcPr>
          <w:p w14:paraId="5CB448AB">
            <w:pPr>
              <w:pStyle w:val="133"/>
              <w:rPr>
                <w:color w:val="000000"/>
              </w:rPr>
            </w:pPr>
            <w:r>
              <w:rPr>
                <w:rFonts w:hint="eastAsia"/>
                <w:color w:val="000000"/>
              </w:rPr>
              <w:t>200</w:t>
            </w:r>
          </w:p>
        </w:tc>
      </w:tr>
      <w:tr w14:paraId="163CA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4C206625">
            <w:pPr>
              <w:pStyle w:val="133"/>
              <w:rPr>
                <w:color w:val="000000"/>
              </w:rPr>
            </w:pPr>
          </w:p>
        </w:tc>
        <w:tc>
          <w:tcPr>
            <w:tcW w:w="1025" w:type="pct"/>
            <w:vMerge w:val="continue"/>
            <w:vAlign w:val="center"/>
          </w:tcPr>
          <w:p w14:paraId="11FB86FD">
            <w:pPr>
              <w:pStyle w:val="133"/>
              <w:rPr>
                <w:color w:val="000000"/>
              </w:rPr>
            </w:pPr>
          </w:p>
        </w:tc>
        <w:tc>
          <w:tcPr>
            <w:tcW w:w="1089" w:type="pct"/>
            <w:vAlign w:val="center"/>
          </w:tcPr>
          <w:p w14:paraId="797660D0">
            <w:pPr>
              <w:pStyle w:val="133"/>
              <w:rPr>
                <w:color w:val="000000"/>
              </w:rPr>
            </w:pPr>
            <w:r>
              <w:rPr>
                <w:rFonts w:hint="eastAsia" w:cs="Times New Roman"/>
                <w:color w:val="000000"/>
                <w:szCs w:val="21"/>
              </w:rPr>
              <w:t>上料</w:t>
            </w:r>
            <w:r>
              <w:rPr>
                <w:rFonts w:cs="Times New Roman"/>
                <w:color w:val="000000"/>
                <w:szCs w:val="21"/>
              </w:rPr>
              <w:t>废气</w:t>
            </w:r>
          </w:p>
        </w:tc>
        <w:tc>
          <w:tcPr>
            <w:tcW w:w="1918" w:type="pct"/>
            <w:vAlign w:val="center"/>
          </w:tcPr>
          <w:p w14:paraId="4D6D01A6">
            <w:pPr>
              <w:pStyle w:val="133"/>
              <w:rPr>
                <w:color w:val="000000"/>
              </w:rPr>
            </w:pPr>
            <w:r>
              <w:rPr>
                <w:color w:val="000000"/>
              </w:rPr>
              <w:t>布袋除尘器</w:t>
            </w:r>
            <w:r>
              <w:rPr>
                <w:rFonts w:hint="eastAsia"/>
                <w:color w:val="000000"/>
              </w:rPr>
              <w:t>+排气筒</w:t>
            </w:r>
          </w:p>
        </w:tc>
        <w:tc>
          <w:tcPr>
            <w:tcW w:w="669" w:type="pct"/>
            <w:vAlign w:val="center"/>
          </w:tcPr>
          <w:p w14:paraId="69E52155">
            <w:pPr>
              <w:pStyle w:val="133"/>
              <w:rPr>
                <w:color w:val="000000"/>
              </w:rPr>
            </w:pPr>
            <w:r>
              <w:rPr>
                <w:rFonts w:hint="eastAsia"/>
                <w:color w:val="000000"/>
              </w:rPr>
              <w:t>50</w:t>
            </w:r>
          </w:p>
        </w:tc>
      </w:tr>
      <w:tr w14:paraId="09F9C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2FCD4B0E">
            <w:pPr>
              <w:pStyle w:val="133"/>
              <w:rPr>
                <w:color w:val="000000"/>
              </w:rPr>
            </w:pPr>
          </w:p>
        </w:tc>
        <w:tc>
          <w:tcPr>
            <w:tcW w:w="1025" w:type="pct"/>
            <w:vMerge w:val="continue"/>
            <w:vAlign w:val="center"/>
          </w:tcPr>
          <w:p w14:paraId="71C532E5">
            <w:pPr>
              <w:pStyle w:val="133"/>
              <w:rPr>
                <w:color w:val="000000"/>
              </w:rPr>
            </w:pPr>
          </w:p>
        </w:tc>
        <w:tc>
          <w:tcPr>
            <w:tcW w:w="1089" w:type="pct"/>
            <w:vAlign w:val="center"/>
          </w:tcPr>
          <w:p w14:paraId="353E8117">
            <w:pPr>
              <w:pStyle w:val="133"/>
              <w:rPr>
                <w:color w:val="000000"/>
              </w:rPr>
            </w:pPr>
            <w:r>
              <w:rPr>
                <w:rFonts w:cs="Times New Roman"/>
                <w:color w:val="000000"/>
                <w:szCs w:val="21"/>
              </w:rPr>
              <w:t>矿热炉</w:t>
            </w:r>
            <w:r>
              <w:rPr>
                <w:rFonts w:hint="eastAsia" w:cs="Times New Roman"/>
                <w:color w:val="000000"/>
                <w:szCs w:val="21"/>
              </w:rPr>
              <w:t>烟气</w:t>
            </w:r>
          </w:p>
        </w:tc>
        <w:tc>
          <w:tcPr>
            <w:tcW w:w="1918" w:type="pct"/>
            <w:vAlign w:val="center"/>
          </w:tcPr>
          <w:p w14:paraId="39EB199C">
            <w:pPr>
              <w:pStyle w:val="133"/>
              <w:rPr>
                <w:color w:val="000000"/>
              </w:rPr>
            </w:pPr>
            <w:r>
              <w:rPr>
                <w:color w:val="000000"/>
              </w:rPr>
              <w:t>布袋除尘器</w:t>
            </w:r>
            <w:r>
              <w:rPr>
                <w:rFonts w:hint="eastAsia"/>
                <w:color w:val="000000"/>
              </w:rPr>
              <w:t>+排气筒</w:t>
            </w:r>
          </w:p>
        </w:tc>
        <w:tc>
          <w:tcPr>
            <w:tcW w:w="669" w:type="pct"/>
            <w:vAlign w:val="center"/>
          </w:tcPr>
          <w:p w14:paraId="0B424FBD">
            <w:pPr>
              <w:pStyle w:val="133"/>
              <w:rPr>
                <w:color w:val="000000"/>
              </w:rPr>
            </w:pPr>
            <w:r>
              <w:rPr>
                <w:rFonts w:hint="eastAsia"/>
                <w:color w:val="000000"/>
              </w:rPr>
              <w:t>50</w:t>
            </w:r>
          </w:p>
        </w:tc>
      </w:tr>
      <w:tr w14:paraId="5A992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4E28EF67">
            <w:pPr>
              <w:pStyle w:val="133"/>
              <w:rPr>
                <w:color w:val="000000"/>
              </w:rPr>
            </w:pPr>
          </w:p>
        </w:tc>
        <w:tc>
          <w:tcPr>
            <w:tcW w:w="1025" w:type="pct"/>
            <w:vMerge w:val="continue"/>
            <w:vAlign w:val="center"/>
          </w:tcPr>
          <w:p w14:paraId="137511C5">
            <w:pPr>
              <w:pStyle w:val="133"/>
              <w:rPr>
                <w:color w:val="000000"/>
              </w:rPr>
            </w:pPr>
          </w:p>
        </w:tc>
        <w:tc>
          <w:tcPr>
            <w:tcW w:w="1089" w:type="pct"/>
            <w:vAlign w:val="center"/>
          </w:tcPr>
          <w:p w14:paraId="0D3773C2">
            <w:pPr>
              <w:pStyle w:val="133"/>
              <w:rPr>
                <w:color w:val="000000"/>
              </w:rPr>
            </w:pPr>
            <w:r>
              <w:rPr>
                <w:rFonts w:cs="Times New Roman"/>
                <w:color w:val="000000"/>
                <w:szCs w:val="21"/>
              </w:rPr>
              <w:t>出铁浇铸废气</w:t>
            </w:r>
          </w:p>
        </w:tc>
        <w:tc>
          <w:tcPr>
            <w:tcW w:w="1918" w:type="pct"/>
            <w:vAlign w:val="center"/>
          </w:tcPr>
          <w:p w14:paraId="23608E01">
            <w:pPr>
              <w:pStyle w:val="133"/>
              <w:rPr>
                <w:color w:val="000000"/>
              </w:rPr>
            </w:pPr>
            <w:r>
              <w:rPr>
                <w:color w:val="000000"/>
              </w:rPr>
              <w:t>布袋除尘器</w:t>
            </w:r>
            <w:r>
              <w:rPr>
                <w:rFonts w:hint="eastAsia"/>
                <w:color w:val="000000"/>
              </w:rPr>
              <w:t>+排气筒</w:t>
            </w:r>
          </w:p>
        </w:tc>
        <w:tc>
          <w:tcPr>
            <w:tcW w:w="669" w:type="pct"/>
            <w:vAlign w:val="center"/>
          </w:tcPr>
          <w:p w14:paraId="4A347C80">
            <w:pPr>
              <w:pStyle w:val="133"/>
              <w:rPr>
                <w:color w:val="000000"/>
              </w:rPr>
            </w:pPr>
            <w:r>
              <w:rPr>
                <w:rFonts w:hint="eastAsia"/>
                <w:color w:val="000000"/>
              </w:rPr>
              <w:t>50</w:t>
            </w:r>
          </w:p>
        </w:tc>
      </w:tr>
      <w:tr w14:paraId="0699DB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Merge w:val="continue"/>
            <w:vAlign w:val="center"/>
          </w:tcPr>
          <w:p w14:paraId="4076FF34">
            <w:pPr>
              <w:pStyle w:val="133"/>
              <w:rPr>
                <w:color w:val="000000"/>
              </w:rPr>
            </w:pPr>
          </w:p>
        </w:tc>
        <w:tc>
          <w:tcPr>
            <w:tcW w:w="1025" w:type="pct"/>
            <w:vMerge w:val="continue"/>
            <w:vAlign w:val="center"/>
          </w:tcPr>
          <w:p w14:paraId="30295511">
            <w:pPr>
              <w:pStyle w:val="133"/>
              <w:rPr>
                <w:color w:val="000000"/>
              </w:rPr>
            </w:pPr>
          </w:p>
        </w:tc>
        <w:tc>
          <w:tcPr>
            <w:tcW w:w="1089" w:type="pct"/>
            <w:vAlign w:val="center"/>
          </w:tcPr>
          <w:p w14:paraId="3CB14B96">
            <w:pPr>
              <w:pStyle w:val="133"/>
              <w:rPr>
                <w:color w:val="000000"/>
              </w:rPr>
            </w:pPr>
            <w:r>
              <w:rPr>
                <w:rFonts w:cs="Times New Roman"/>
                <w:color w:val="000000"/>
                <w:szCs w:val="21"/>
              </w:rPr>
              <w:t>破碎废气</w:t>
            </w:r>
          </w:p>
        </w:tc>
        <w:tc>
          <w:tcPr>
            <w:tcW w:w="1918" w:type="pct"/>
            <w:vAlign w:val="center"/>
          </w:tcPr>
          <w:p w14:paraId="78AD8E3C">
            <w:pPr>
              <w:pStyle w:val="133"/>
              <w:rPr>
                <w:color w:val="000000"/>
              </w:rPr>
            </w:pPr>
            <w:r>
              <w:rPr>
                <w:color w:val="000000"/>
              </w:rPr>
              <w:t>布袋除尘器</w:t>
            </w:r>
            <w:r>
              <w:rPr>
                <w:rFonts w:hint="eastAsia"/>
                <w:color w:val="000000"/>
              </w:rPr>
              <w:t>+排气筒</w:t>
            </w:r>
          </w:p>
        </w:tc>
        <w:tc>
          <w:tcPr>
            <w:tcW w:w="669" w:type="pct"/>
            <w:vAlign w:val="center"/>
          </w:tcPr>
          <w:p w14:paraId="35367E59">
            <w:pPr>
              <w:pStyle w:val="133"/>
              <w:rPr>
                <w:color w:val="000000"/>
              </w:rPr>
            </w:pPr>
            <w:r>
              <w:rPr>
                <w:rFonts w:hint="eastAsia"/>
                <w:color w:val="000000"/>
              </w:rPr>
              <w:t>50</w:t>
            </w:r>
          </w:p>
        </w:tc>
      </w:tr>
      <w:tr w14:paraId="38C71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Align w:val="center"/>
          </w:tcPr>
          <w:p w14:paraId="577AF636">
            <w:pPr>
              <w:pStyle w:val="133"/>
              <w:rPr>
                <w:color w:val="000000"/>
              </w:rPr>
            </w:pPr>
            <w:r>
              <w:rPr>
                <w:rFonts w:hint="eastAsia"/>
                <w:color w:val="000000"/>
              </w:rPr>
              <w:t>2</w:t>
            </w:r>
          </w:p>
        </w:tc>
        <w:tc>
          <w:tcPr>
            <w:tcW w:w="1025" w:type="pct"/>
            <w:vAlign w:val="center"/>
          </w:tcPr>
          <w:p w14:paraId="234468C9">
            <w:pPr>
              <w:pStyle w:val="133"/>
              <w:rPr>
                <w:color w:val="000000"/>
              </w:rPr>
            </w:pPr>
            <w:r>
              <w:rPr>
                <w:rFonts w:hint="eastAsia"/>
                <w:color w:val="000000"/>
              </w:rPr>
              <w:t>废水处理措施</w:t>
            </w:r>
          </w:p>
        </w:tc>
        <w:tc>
          <w:tcPr>
            <w:tcW w:w="3007" w:type="pct"/>
            <w:gridSpan w:val="2"/>
            <w:vAlign w:val="center"/>
          </w:tcPr>
          <w:p w14:paraId="1274A177">
            <w:pPr>
              <w:pStyle w:val="133"/>
              <w:rPr>
                <w:color w:val="000000"/>
              </w:rPr>
            </w:pPr>
            <w:r>
              <w:rPr>
                <w:rFonts w:hint="eastAsia"/>
                <w:color w:val="000000"/>
              </w:rPr>
              <w:t>厂内新建废水管线</w:t>
            </w:r>
          </w:p>
        </w:tc>
        <w:tc>
          <w:tcPr>
            <w:tcW w:w="669" w:type="pct"/>
            <w:vAlign w:val="center"/>
          </w:tcPr>
          <w:p w14:paraId="1F631FC9">
            <w:pPr>
              <w:pStyle w:val="133"/>
              <w:rPr>
                <w:color w:val="000000"/>
              </w:rPr>
            </w:pPr>
            <w:r>
              <w:rPr>
                <w:rFonts w:hint="eastAsia"/>
                <w:color w:val="000000"/>
              </w:rPr>
              <w:t>20</w:t>
            </w:r>
          </w:p>
        </w:tc>
      </w:tr>
      <w:tr w14:paraId="3462B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Align w:val="center"/>
          </w:tcPr>
          <w:p w14:paraId="488D9AF0">
            <w:pPr>
              <w:pStyle w:val="133"/>
              <w:rPr>
                <w:color w:val="000000"/>
              </w:rPr>
            </w:pPr>
            <w:r>
              <w:rPr>
                <w:rFonts w:hint="eastAsia"/>
                <w:color w:val="000000"/>
              </w:rPr>
              <w:t>3</w:t>
            </w:r>
          </w:p>
        </w:tc>
        <w:tc>
          <w:tcPr>
            <w:tcW w:w="1025" w:type="pct"/>
            <w:vAlign w:val="center"/>
          </w:tcPr>
          <w:p w14:paraId="7B7DC6B2">
            <w:pPr>
              <w:pStyle w:val="133"/>
              <w:rPr>
                <w:color w:val="000000"/>
              </w:rPr>
            </w:pPr>
            <w:r>
              <w:rPr>
                <w:rFonts w:hint="eastAsia"/>
                <w:color w:val="000000"/>
              </w:rPr>
              <w:t>固废处置措施</w:t>
            </w:r>
          </w:p>
        </w:tc>
        <w:tc>
          <w:tcPr>
            <w:tcW w:w="3007" w:type="pct"/>
            <w:gridSpan w:val="2"/>
            <w:vAlign w:val="center"/>
          </w:tcPr>
          <w:p w14:paraId="233C8EE1">
            <w:pPr>
              <w:pStyle w:val="133"/>
              <w:rPr>
                <w:color w:val="000000"/>
              </w:rPr>
            </w:pPr>
            <w:r>
              <w:rPr>
                <w:rFonts w:hint="eastAsia"/>
                <w:color w:val="000000"/>
              </w:rPr>
              <w:t>一般固废暂存库、危废暂存间</w:t>
            </w:r>
          </w:p>
        </w:tc>
        <w:tc>
          <w:tcPr>
            <w:tcW w:w="669" w:type="pct"/>
            <w:vAlign w:val="center"/>
          </w:tcPr>
          <w:p w14:paraId="65421D16">
            <w:pPr>
              <w:pStyle w:val="133"/>
              <w:rPr>
                <w:color w:val="000000"/>
              </w:rPr>
            </w:pPr>
            <w:r>
              <w:rPr>
                <w:rFonts w:hint="eastAsia"/>
                <w:color w:val="000000"/>
              </w:rPr>
              <w:t>80</w:t>
            </w:r>
          </w:p>
        </w:tc>
      </w:tr>
      <w:tr w14:paraId="7FFC1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Align w:val="center"/>
          </w:tcPr>
          <w:p w14:paraId="4AE7FB62">
            <w:pPr>
              <w:pStyle w:val="133"/>
              <w:rPr>
                <w:color w:val="000000"/>
              </w:rPr>
            </w:pPr>
            <w:r>
              <w:rPr>
                <w:rFonts w:hint="eastAsia"/>
                <w:color w:val="000000"/>
              </w:rPr>
              <w:t>4</w:t>
            </w:r>
          </w:p>
        </w:tc>
        <w:tc>
          <w:tcPr>
            <w:tcW w:w="1025" w:type="pct"/>
            <w:vAlign w:val="center"/>
          </w:tcPr>
          <w:p w14:paraId="40A3C51B">
            <w:pPr>
              <w:pStyle w:val="133"/>
              <w:rPr>
                <w:color w:val="000000"/>
              </w:rPr>
            </w:pPr>
            <w:r>
              <w:rPr>
                <w:rFonts w:hint="eastAsia"/>
                <w:color w:val="000000"/>
              </w:rPr>
              <w:t>噪声防治措施</w:t>
            </w:r>
          </w:p>
        </w:tc>
        <w:tc>
          <w:tcPr>
            <w:tcW w:w="3007" w:type="pct"/>
            <w:gridSpan w:val="2"/>
            <w:vAlign w:val="center"/>
          </w:tcPr>
          <w:p w14:paraId="65CD62DD">
            <w:pPr>
              <w:pStyle w:val="133"/>
              <w:rPr>
                <w:color w:val="000000"/>
              </w:rPr>
            </w:pPr>
            <w:r>
              <w:rPr>
                <w:rFonts w:hint="eastAsia"/>
                <w:color w:val="000000"/>
              </w:rPr>
              <w:t>消声、隔声、减振等设施</w:t>
            </w:r>
          </w:p>
        </w:tc>
        <w:tc>
          <w:tcPr>
            <w:tcW w:w="669" w:type="pct"/>
            <w:vAlign w:val="center"/>
          </w:tcPr>
          <w:p w14:paraId="1356B21F">
            <w:pPr>
              <w:pStyle w:val="133"/>
              <w:rPr>
                <w:color w:val="000000"/>
              </w:rPr>
            </w:pPr>
            <w:r>
              <w:rPr>
                <w:color w:val="000000"/>
              </w:rPr>
              <w:t>20</w:t>
            </w:r>
            <w:r>
              <w:rPr>
                <w:rFonts w:hint="eastAsia"/>
                <w:color w:val="000000"/>
              </w:rPr>
              <w:t>0</w:t>
            </w:r>
          </w:p>
        </w:tc>
      </w:tr>
      <w:tr w14:paraId="1C3DCF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Align w:val="center"/>
          </w:tcPr>
          <w:p w14:paraId="04018751">
            <w:pPr>
              <w:pStyle w:val="133"/>
              <w:rPr>
                <w:color w:val="000000"/>
              </w:rPr>
            </w:pPr>
            <w:r>
              <w:rPr>
                <w:rFonts w:hint="eastAsia"/>
                <w:color w:val="000000"/>
              </w:rPr>
              <w:t>5</w:t>
            </w:r>
          </w:p>
        </w:tc>
        <w:tc>
          <w:tcPr>
            <w:tcW w:w="1025" w:type="pct"/>
            <w:vAlign w:val="center"/>
          </w:tcPr>
          <w:p w14:paraId="49B0DCCE">
            <w:pPr>
              <w:pStyle w:val="133"/>
              <w:rPr>
                <w:color w:val="000000"/>
              </w:rPr>
            </w:pPr>
            <w:r>
              <w:rPr>
                <w:rFonts w:hint="eastAsia"/>
                <w:color w:val="000000"/>
              </w:rPr>
              <w:t>地下水保护措施</w:t>
            </w:r>
          </w:p>
        </w:tc>
        <w:tc>
          <w:tcPr>
            <w:tcW w:w="3007" w:type="pct"/>
            <w:gridSpan w:val="2"/>
            <w:vAlign w:val="center"/>
          </w:tcPr>
          <w:p w14:paraId="2113B563">
            <w:pPr>
              <w:pStyle w:val="133"/>
              <w:rPr>
                <w:color w:val="000000"/>
              </w:rPr>
            </w:pPr>
            <w:r>
              <w:rPr>
                <w:rFonts w:hint="eastAsia"/>
                <w:color w:val="000000"/>
              </w:rPr>
              <w:t>分区防渗措施</w:t>
            </w:r>
          </w:p>
        </w:tc>
        <w:tc>
          <w:tcPr>
            <w:tcW w:w="669" w:type="pct"/>
            <w:vAlign w:val="center"/>
          </w:tcPr>
          <w:p w14:paraId="0C2255AF">
            <w:pPr>
              <w:pStyle w:val="133"/>
              <w:rPr>
                <w:color w:val="000000"/>
              </w:rPr>
            </w:pPr>
            <w:r>
              <w:rPr>
                <w:rFonts w:hint="eastAsia"/>
                <w:color w:val="000000"/>
              </w:rPr>
              <w:t>500</w:t>
            </w:r>
          </w:p>
        </w:tc>
      </w:tr>
      <w:tr w14:paraId="0E889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Align w:val="center"/>
          </w:tcPr>
          <w:p w14:paraId="0A477833">
            <w:pPr>
              <w:pStyle w:val="133"/>
              <w:rPr>
                <w:color w:val="000000"/>
              </w:rPr>
            </w:pPr>
            <w:r>
              <w:rPr>
                <w:rFonts w:hint="eastAsia"/>
                <w:color w:val="000000"/>
              </w:rPr>
              <w:t>6</w:t>
            </w:r>
          </w:p>
        </w:tc>
        <w:tc>
          <w:tcPr>
            <w:tcW w:w="1025" w:type="pct"/>
            <w:vAlign w:val="center"/>
          </w:tcPr>
          <w:p w14:paraId="72DAF638">
            <w:pPr>
              <w:pStyle w:val="133"/>
              <w:rPr>
                <w:color w:val="000000"/>
              </w:rPr>
            </w:pPr>
            <w:r>
              <w:rPr>
                <w:rFonts w:hint="eastAsia"/>
                <w:color w:val="000000"/>
              </w:rPr>
              <w:t>风险防范措施</w:t>
            </w:r>
          </w:p>
        </w:tc>
        <w:tc>
          <w:tcPr>
            <w:tcW w:w="3007" w:type="pct"/>
            <w:gridSpan w:val="2"/>
            <w:vAlign w:val="center"/>
          </w:tcPr>
          <w:p w14:paraId="5524BD4D">
            <w:pPr>
              <w:pStyle w:val="133"/>
              <w:rPr>
                <w:color w:val="000000"/>
              </w:rPr>
            </w:pPr>
            <w:r>
              <w:rPr>
                <w:rFonts w:hint="eastAsia"/>
                <w:color w:val="000000"/>
              </w:rPr>
              <w:t>围堰、应急物资等</w:t>
            </w:r>
          </w:p>
        </w:tc>
        <w:tc>
          <w:tcPr>
            <w:tcW w:w="669" w:type="pct"/>
            <w:vAlign w:val="center"/>
          </w:tcPr>
          <w:p w14:paraId="7D7F0FA8">
            <w:pPr>
              <w:pStyle w:val="133"/>
              <w:rPr>
                <w:color w:val="000000"/>
              </w:rPr>
            </w:pPr>
            <w:r>
              <w:rPr>
                <w:rFonts w:hint="eastAsia"/>
                <w:color w:val="000000"/>
              </w:rPr>
              <w:t>500</w:t>
            </w:r>
          </w:p>
        </w:tc>
      </w:tr>
      <w:tr w14:paraId="54C8C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9" w:type="pct"/>
            <w:vAlign w:val="center"/>
          </w:tcPr>
          <w:p w14:paraId="28AEE409">
            <w:pPr>
              <w:pStyle w:val="133"/>
              <w:rPr>
                <w:color w:val="000000"/>
              </w:rPr>
            </w:pPr>
            <w:r>
              <w:rPr>
                <w:rFonts w:hint="eastAsia"/>
                <w:color w:val="000000"/>
              </w:rPr>
              <w:t>7</w:t>
            </w:r>
          </w:p>
        </w:tc>
        <w:tc>
          <w:tcPr>
            <w:tcW w:w="1025" w:type="pct"/>
            <w:vAlign w:val="center"/>
          </w:tcPr>
          <w:p w14:paraId="586EE35E">
            <w:pPr>
              <w:pStyle w:val="133"/>
              <w:rPr>
                <w:color w:val="000000"/>
              </w:rPr>
            </w:pPr>
            <w:r>
              <w:rPr>
                <w:rFonts w:hint="eastAsia"/>
                <w:color w:val="000000"/>
              </w:rPr>
              <w:t>环境管理</w:t>
            </w:r>
          </w:p>
        </w:tc>
        <w:tc>
          <w:tcPr>
            <w:tcW w:w="3007" w:type="pct"/>
            <w:gridSpan w:val="2"/>
            <w:vAlign w:val="center"/>
          </w:tcPr>
          <w:p w14:paraId="31156C89">
            <w:pPr>
              <w:pStyle w:val="133"/>
              <w:rPr>
                <w:color w:val="000000"/>
              </w:rPr>
            </w:pPr>
            <w:r>
              <w:rPr>
                <w:rFonts w:hint="eastAsia"/>
                <w:color w:val="000000"/>
              </w:rPr>
              <w:t>排污口规范化设置、竣工环保验收、应急预案等</w:t>
            </w:r>
          </w:p>
        </w:tc>
        <w:tc>
          <w:tcPr>
            <w:tcW w:w="669" w:type="pct"/>
            <w:vAlign w:val="center"/>
          </w:tcPr>
          <w:p w14:paraId="1DF18004">
            <w:pPr>
              <w:pStyle w:val="133"/>
              <w:rPr>
                <w:color w:val="000000"/>
              </w:rPr>
            </w:pPr>
            <w:r>
              <w:rPr>
                <w:rFonts w:hint="eastAsia"/>
                <w:color w:val="000000"/>
              </w:rPr>
              <w:t>100</w:t>
            </w:r>
          </w:p>
        </w:tc>
      </w:tr>
      <w:tr w14:paraId="30537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31" w:type="pct"/>
            <w:gridSpan w:val="4"/>
            <w:vAlign w:val="center"/>
          </w:tcPr>
          <w:p w14:paraId="36A4158C">
            <w:pPr>
              <w:pStyle w:val="133"/>
              <w:rPr>
                <w:color w:val="000000"/>
              </w:rPr>
            </w:pPr>
            <w:r>
              <w:rPr>
                <w:rFonts w:hint="eastAsia"/>
                <w:color w:val="000000"/>
              </w:rPr>
              <w:t>合计</w:t>
            </w:r>
          </w:p>
        </w:tc>
        <w:tc>
          <w:tcPr>
            <w:tcW w:w="669" w:type="pct"/>
            <w:vAlign w:val="center"/>
          </w:tcPr>
          <w:p w14:paraId="4FDB6F8E">
            <w:pPr>
              <w:pStyle w:val="133"/>
              <w:rPr>
                <w:color w:val="000000"/>
              </w:rPr>
            </w:pPr>
            <w:r>
              <w:rPr>
                <w:rFonts w:hint="eastAsia"/>
                <w:color w:val="000000"/>
              </w:rPr>
              <w:t>2500</w:t>
            </w:r>
          </w:p>
        </w:tc>
      </w:tr>
    </w:tbl>
    <w:p w14:paraId="0C083263">
      <w:pPr>
        <w:ind w:firstLine="480"/>
      </w:pPr>
    </w:p>
    <w:p w14:paraId="3181AF78">
      <w:pPr>
        <w:ind w:firstLine="480"/>
      </w:pPr>
      <w:r>
        <w:rPr>
          <w:rFonts w:hint="eastAsia" w:ascii="宋体" w:hAnsi="宋体" w:cs="宋体"/>
        </w:rPr>
        <w:t>通过前述章节分析，项目全厂环保设施配套较完善，主要增加的是针对工艺废气、废水污染物治理设施的投入。</w:t>
      </w:r>
    </w:p>
    <w:p w14:paraId="57356E93">
      <w:pPr>
        <w:pStyle w:val="117"/>
        <w:ind w:firstLine="480"/>
      </w:pPr>
      <w:r>
        <w:rPr>
          <w:rFonts w:hint="eastAsia" w:ascii="宋体" w:hAnsi="宋体"/>
        </w:rPr>
        <w:t>建设单位应保证环保资金到位，确保治理设施与主体工程同时设计、同时施工、同时投入使用。</w:t>
      </w:r>
    </w:p>
    <w:p w14:paraId="37DFF164">
      <w:pPr>
        <w:pStyle w:val="3"/>
      </w:pPr>
      <w:bookmarkStart w:id="709" w:name="_Toc205291424"/>
      <w:r>
        <w:rPr>
          <w:rFonts w:hint="eastAsia"/>
        </w:rPr>
        <w:t>环保投资效益分析</w:t>
      </w:r>
      <w:bookmarkEnd w:id="709"/>
    </w:p>
    <w:p w14:paraId="253C6A10">
      <w:pPr>
        <w:pStyle w:val="138"/>
        <w:ind w:firstLine="480"/>
        <w:rPr>
          <w:rFonts w:hint="eastAsia"/>
        </w:rPr>
      </w:pPr>
      <w:r>
        <w:rPr>
          <w:rFonts w:hint="eastAsia"/>
        </w:rPr>
        <w:t>环保设施运行费用</w:t>
      </w:r>
    </w:p>
    <w:p w14:paraId="19BDAE66">
      <w:pPr>
        <w:pStyle w:val="117"/>
        <w:ind w:firstLine="480"/>
      </w:pPr>
      <w:r>
        <w:rPr>
          <w:rFonts w:hint="eastAsia"/>
        </w:rPr>
        <w:t>本项目建成投产后的经济效益良好，但也随之带来环境污染问题。因此，为了将环境影响减少到最低程度，必须实施环境保护措施，投入必要的环保费用，才能达到保护周围环境的要求。根据评价结果，本项目</w:t>
      </w:r>
      <w:r>
        <w:rPr>
          <w:rFonts w:hint="eastAsia"/>
          <w:color w:val="000000"/>
        </w:rPr>
        <w:t>的环保投资包括废气、废水处理设施、噪声防治和固废无害化处置等。根据评价结果，本项目的环保投资包括废气、废水处理设施、噪声防治和固废无害化处置等，运行维护费用共约1400万元。</w:t>
      </w:r>
    </w:p>
    <w:p w14:paraId="1CD83694">
      <w:pPr>
        <w:pStyle w:val="138"/>
        <w:ind w:firstLine="480"/>
        <w:rPr>
          <w:rFonts w:hint="eastAsia"/>
        </w:rPr>
      </w:pPr>
      <w:r>
        <w:rPr>
          <w:rFonts w:hint="eastAsia"/>
        </w:rPr>
        <w:t>效益分析</w:t>
      </w:r>
    </w:p>
    <w:p w14:paraId="2DB29619">
      <w:pPr>
        <w:pStyle w:val="117"/>
        <w:ind w:firstLine="480"/>
      </w:pPr>
      <w:r>
        <w:rPr>
          <w:rFonts w:hint="eastAsia"/>
        </w:rPr>
        <w:t>本项目建成后，通过环保设施的运行可有效控制生产过程中排放的污染物，实现污染物“达标排放”和“总量控制”的要求。</w:t>
      </w:r>
    </w:p>
    <w:p w14:paraId="3734F7C0">
      <w:pPr>
        <w:pStyle w:val="138"/>
        <w:ind w:firstLine="480"/>
        <w:rPr>
          <w:rFonts w:hint="eastAsia"/>
        </w:rPr>
      </w:pPr>
      <w:r>
        <w:rPr>
          <w:rFonts w:hint="eastAsia"/>
        </w:rPr>
        <w:t>环境效益分析</w:t>
      </w:r>
    </w:p>
    <w:p w14:paraId="06116336">
      <w:pPr>
        <w:ind w:firstLine="480"/>
      </w:pPr>
      <w:r>
        <w:rPr>
          <w:rFonts w:hint="eastAsia"/>
        </w:rPr>
        <w:t>环保投资的经济效益主要表现在两方面，一是减少排污费的直接效益，二是“三废”综合利用的间接效益，本项目通过采取各项环保措施，项目产生的污染物得到较大的消减和控制，使废水、废气、噪声排放达到国家及地方相关排放标准，废水由企业污水处理场处理，全部回用不外排，固体废物得到妥善处置，从而最大限度地降低了“三废”排放量，减少对环境的不利影响。</w:t>
      </w:r>
    </w:p>
    <w:p w14:paraId="6417B5A7">
      <w:pPr>
        <w:pStyle w:val="3"/>
      </w:pPr>
      <w:bookmarkStart w:id="710" w:name="_Toc205291425"/>
      <w:r>
        <w:rPr>
          <w:rFonts w:hint="eastAsia"/>
        </w:rPr>
        <w:t>社会效益分析</w:t>
      </w:r>
      <w:bookmarkEnd w:id="710"/>
    </w:p>
    <w:p w14:paraId="7CA0B9DB">
      <w:pPr>
        <w:pStyle w:val="117"/>
        <w:ind w:firstLine="480"/>
      </w:pPr>
      <w:r>
        <w:rPr>
          <w:rFonts w:hint="eastAsia"/>
        </w:rPr>
        <w:t>本项目的建设将会大大促进当地经济发展，优化经济结构，为当地居民就业、经济发展做出了较大贡献，对该区域的发展规划具有深远的社会经济效益。</w:t>
      </w:r>
    </w:p>
    <w:p w14:paraId="3D06FFDE">
      <w:pPr>
        <w:pStyle w:val="117"/>
        <w:ind w:firstLine="480"/>
      </w:pPr>
      <w:r>
        <w:rPr>
          <w:rFonts w:hint="eastAsia"/>
        </w:rPr>
        <w:t>（1）符合国家相关产业政策，为国家经济健康发展做出应有的贡献。</w:t>
      </w:r>
    </w:p>
    <w:p w14:paraId="5092C47C">
      <w:pPr>
        <w:pStyle w:val="117"/>
        <w:ind w:firstLine="480"/>
      </w:pPr>
      <w:r>
        <w:rPr>
          <w:rFonts w:hint="eastAsia"/>
        </w:rPr>
        <w:t>（2）本项目建成后，将有效解决目前日益显著的危险废物处理处置问题，加快发展危险废物回收处理利用中的循环经济，提高资源的利用效率，对改善生态环境和投资环境、提高人们的生活质量有着重要的意义。</w:t>
      </w:r>
    </w:p>
    <w:p w14:paraId="2988A4E9">
      <w:pPr>
        <w:pStyle w:val="117"/>
        <w:ind w:firstLine="480"/>
      </w:pPr>
      <w:r>
        <w:rPr>
          <w:rFonts w:hint="eastAsia"/>
        </w:rPr>
        <w:t>（3）本项目建成后，每年为国家和地方创税，这将对地方的经济建设起到推动作用。</w:t>
      </w:r>
    </w:p>
    <w:p w14:paraId="7A2B4CA4">
      <w:pPr>
        <w:pStyle w:val="3"/>
      </w:pPr>
      <w:bookmarkStart w:id="711" w:name="_Toc205291426"/>
      <w:r>
        <w:rPr>
          <w:rFonts w:hint="eastAsia"/>
        </w:rPr>
        <w:t>小结</w:t>
      </w:r>
      <w:bookmarkEnd w:id="711"/>
    </w:p>
    <w:p w14:paraId="6A283326">
      <w:pPr>
        <w:pStyle w:val="117"/>
        <w:ind w:firstLine="480"/>
      </w:pPr>
      <w:r>
        <w:rPr>
          <w:rFonts w:hint="eastAsia"/>
        </w:rPr>
        <w:t>综上所述，本项目环保投资效益较为明显，同时具有较好的社会效益，做到了污染物达标排放，减轻了对环境的污染。因此，本评价认为该项目环保投资产生的环境效益和社会效益较为明显，环保投资是可行、合理和有价值的。</w:t>
      </w:r>
    </w:p>
    <w:p w14:paraId="233F3783">
      <w:pPr>
        <w:ind w:firstLine="480"/>
      </w:pPr>
    </w:p>
    <w:p w14:paraId="4B4155FC">
      <w:pPr>
        <w:ind w:firstLine="480"/>
        <w:sectPr>
          <w:footerReference r:id="rId28" w:type="even"/>
          <w:pgSz w:w="11906" w:h="16838"/>
          <w:pgMar w:top="1418" w:right="1286" w:bottom="1418" w:left="1531" w:header="851" w:footer="992" w:gutter="0"/>
          <w:cols w:space="720" w:num="1"/>
          <w:docGrid w:linePitch="312" w:charSpace="0"/>
        </w:sectPr>
      </w:pPr>
    </w:p>
    <w:p w14:paraId="248C83A2">
      <w:pPr>
        <w:pStyle w:val="2"/>
        <w:spacing w:before="240"/>
      </w:pPr>
      <w:bookmarkStart w:id="712" w:name="_Toc205291427"/>
      <w:r>
        <w:rPr>
          <w:rFonts w:hint="eastAsia"/>
        </w:rPr>
        <w:t>环境管理与监测计划</w:t>
      </w:r>
      <w:bookmarkEnd w:id="712"/>
    </w:p>
    <w:p w14:paraId="3DA2A496">
      <w:pPr>
        <w:pStyle w:val="117"/>
        <w:ind w:firstLine="480"/>
      </w:pPr>
      <w:r>
        <w:rPr>
          <w:rFonts w:hint="eastAsia"/>
        </w:rPr>
        <w:t>环境管理和环境监测是污染防治的重要内容之一，是实现污染物许可排放控制和污染防治设施达到预期目标的有效保证。本项目建成投产后，除了依据环评报告和批复要求，还需加强环境管理和环境监测工作，以便及时发现装置运行过程中存在的问题，采取处理措施减少或避免污染和损失。同时通过加强管理和环境监测，为清洁生产工艺改进和污染处理技术进步提供指导和参考。</w:t>
      </w:r>
    </w:p>
    <w:p w14:paraId="2390D3F4">
      <w:pPr>
        <w:pStyle w:val="3"/>
      </w:pPr>
      <w:bookmarkStart w:id="713" w:name="_Toc205291428"/>
      <w:r>
        <w:rPr>
          <w:rFonts w:hint="eastAsia"/>
        </w:rPr>
        <w:t>环境管理</w:t>
      </w:r>
      <w:bookmarkEnd w:id="713"/>
    </w:p>
    <w:p w14:paraId="061FF9BB">
      <w:pPr>
        <w:pStyle w:val="138"/>
        <w:rPr>
          <w:rFonts w:hint="eastAsia"/>
        </w:rPr>
      </w:pPr>
      <w:r>
        <w:rPr>
          <w:rFonts w:hint="eastAsia"/>
        </w:rPr>
        <w:t>管理机构设置及职能</w:t>
      </w:r>
    </w:p>
    <w:p w14:paraId="13BC365B">
      <w:pPr>
        <w:ind w:firstLine="480"/>
      </w:pPr>
      <w:r>
        <w:rPr>
          <w:rFonts w:hint="eastAsia"/>
        </w:rPr>
        <w:t>根据《建设项目环境保护设计规定》的要求以及企业实施环境保护需要，本项目厂区设置安全环保管理科，负责工程的环境管理、环境监测及环保制度的贯彻落实工作，至少设置</w:t>
      </w:r>
      <w:r>
        <w:t>2</w:t>
      </w:r>
      <w:r>
        <w:rPr>
          <w:rFonts w:hint="eastAsia"/>
        </w:rPr>
        <w:t>名兼职环保安全管理人员。</w:t>
      </w:r>
    </w:p>
    <w:p w14:paraId="367DF61C">
      <w:pPr>
        <w:ind w:firstLine="480"/>
      </w:pPr>
      <w:r>
        <w:rPr>
          <w:rFonts w:hint="eastAsia"/>
        </w:rPr>
        <w:t>环境管理机构职责包括：</w:t>
      </w:r>
    </w:p>
    <w:p w14:paraId="19575ABA">
      <w:pPr>
        <w:ind w:firstLine="480"/>
      </w:pPr>
      <w:r>
        <w:rPr>
          <w:rFonts w:hint="eastAsia"/>
        </w:rPr>
        <w:t>（1）贯彻执行国家有关环保法规、政策；</w:t>
      </w:r>
    </w:p>
    <w:p w14:paraId="47406125">
      <w:pPr>
        <w:ind w:firstLine="480"/>
      </w:pPr>
      <w:r>
        <w:rPr>
          <w:rFonts w:hint="eastAsia"/>
        </w:rPr>
        <w:t>（2）管理公司环境保护、清洁生产、综合利用、绿化美化、水土保持等工作；</w:t>
      </w:r>
    </w:p>
    <w:p w14:paraId="0BDB9E8A">
      <w:pPr>
        <w:ind w:firstLine="480"/>
      </w:pPr>
      <w:r>
        <w:rPr>
          <w:rFonts w:hint="eastAsia"/>
        </w:rPr>
        <w:t>（3）审查公司环保责任制和环保管理制度；</w:t>
      </w:r>
    </w:p>
    <w:p w14:paraId="035DBC4C">
      <w:pPr>
        <w:ind w:firstLine="480"/>
      </w:pPr>
      <w:r>
        <w:rPr>
          <w:rFonts w:hint="eastAsia"/>
        </w:rPr>
        <w:t>（4）审查公司环保年度工作要点和工作计划，监督计划执行情况；</w:t>
      </w:r>
    </w:p>
    <w:p w14:paraId="3E0D70DF">
      <w:pPr>
        <w:ind w:firstLine="480"/>
      </w:pPr>
      <w:r>
        <w:rPr>
          <w:rFonts w:hint="eastAsia"/>
        </w:rPr>
        <w:t>（5）监督公司环保工作，审查并决定公司环保奖惩考核；</w:t>
      </w:r>
    </w:p>
    <w:p w14:paraId="24AFFCDF">
      <w:pPr>
        <w:ind w:firstLine="480"/>
      </w:pPr>
      <w:r>
        <w:rPr>
          <w:rFonts w:hint="eastAsia"/>
        </w:rPr>
        <w:t>（6）研究解决环保工作中存在的问题，对重大环保工作做出决策；</w:t>
      </w:r>
    </w:p>
    <w:p w14:paraId="0E84B308">
      <w:pPr>
        <w:pStyle w:val="117"/>
        <w:ind w:firstLine="480"/>
      </w:pPr>
      <w:r>
        <w:rPr>
          <w:rFonts w:hint="eastAsia"/>
        </w:rPr>
        <w:t>（7）召开环境保护会议，研究部署公司环保工作。</w:t>
      </w:r>
    </w:p>
    <w:p w14:paraId="13D50058">
      <w:pPr>
        <w:pStyle w:val="138"/>
        <w:rPr>
          <w:rFonts w:hint="eastAsia"/>
        </w:rPr>
      </w:pPr>
      <w:r>
        <w:rPr>
          <w:rFonts w:hint="eastAsia"/>
        </w:rPr>
        <w:t>施工期环境管理</w:t>
      </w:r>
    </w:p>
    <w:p w14:paraId="6D7AD98D">
      <w:pPr>
        <w:pStyle w:val="117"/>
        <w:ind w:firstLine="480"/>
      </w:pPr>
      <w:r>
        <w:rPr>
          <w:rFonts w:hint="eastAsia"/>
        </w:rPr>
        <w:t>施工期的环境管理主要是对施工单位提出要求，明确责任，督促施工单位采取有效措施减少施工过程中地面扬尘、建筑粉尘、施工机械尾气和废水排放对大气、地表水环境的污染；要求施工单位采取有效措施减少噪声对周围环境的影响；定期检查，督促施工单位按要求回填处理建筑垃圾，收集和处理施工废渣和生活垃圾；项目建成后，应全面检查施工现场的环境恢复情况。</w:t>
      </w:r>
    </w:p>
    <w:p w14:paraId="1CF8EF29">
      <w:pPr>
        <w:pStyle w:val="117"/>
        <w:ind w:firstLine="480"/>
      </w:pPr>
      <w:r>
        <w:rPr>
          <w:rFonts w:hint="eastAsia"/>
        </w:rPr>
        <w:t xml:space="preserve">施工期的环境管理主要为环境监理，应在工程监理中纳入环境监理内容，根据《中华人民共和国环境保护法》《建设项目环境保护管理条例》等法规要求，在施工期间聘请有资质的工程环境监理单位负责环境监理工作，对项目厂址进行现场监督，以确保各项环保工程的施工质量和环境保护措施的落实。 </w:t>
      </w:r>
    </w:p>
    <w:p w14:paraId="14FBB1F8">
      <w:pPr>
        <w:pStyle w:val="944"/>
      </w:pPr>
      <w:r>
        <w:rPr>
          <w:rFonts w:hint="eastAsia"/>
        </w:rPr>
        <w:t>施工期环境管理制度</w:t>
      </w:r>
    </w:p>
    <w:p w14:paraId="16E721CE">
      <w:pPr>
        <w:pStyle w:val="117"/>
        <w:ind w:firstLine="480"/>
      </w:pPr>
      <w:r>
        <w:rPr>
          <w:rFonts w:hint="eastAsia"/>
        </w:rPr>
        <w:t>（</w:t>
      </w:r>
      <w:r>
        <w:t>1</w:t>
      </w:r>
      <w:r>
        <w:rPr>
          <w:rFonts w:hint="eastAsia"/>
        </w:rPr>
        <w:t>）管理体系</w:t>
      </w:r>
    </w:p>
    <w:p w14:paraId="3C08A3D8">
      <w:pPr>
        <w:pStyle w:val="117"/>
        <w:ind w:firstLine="480"/>
      </w:pPr>
      <w:r>
        <w:rPr>
          <w:rFonts w:hint="eastAsia"/>
        </w:rPr>
        <w:t>工程施工管理组成包括建设单位、监理单位、施工单位在内的三级管理体系，并由工程设计单位进行配合。</w:t>
      </w:r>
    </w:p>
    <w:p w14:paraId="32825E4D">
      <w:pPr>
        <w:pStyle w:val="117"/>
        <w:ind w:firstLine="480"/>
      </w:pPr>
      <w:r>
        <w:rPr>
          <w:rFonts w:hint="eastAsia"/>
        </w:rPr>
        <w:t>施工单位应加强自身的环境管理，须配备经过相关培训且具备一定能力和资质的专、兼职环保管理人员，并赋予相应的职责和权力。</w:t>
      </w:r>
    </w:p>
    <w:p w14:paraId="4E6878BA">
      <w:pPr>
        <w:pStyle w:val="117"/>
        <w:ind w:firstLine="480"/>
      </w:pPr>
      <w:r>
        <w:rPr>
          <w:rFonts w:hint="eastAsia"/>
        </w:rPr>
        <w:t>监理单位应根据环境影响报告书、环境保护行政主管部门批复、环保工程设计文件及施工合同中规定执行的各项环保措施作为监理工作的重要内容，对建设项目的各项环保工程进行质量把关，监督施工单位落实施工中采取的各项环保措施。</w:t>
      </w:r>
    </w:p>
    <w:p w14:paraId="18EC5FB9">
      <w:pPr>
        <w:pStyle w:val="117"/>
        <w:ind w:firstLine="480"/>
      </w:pPr>
      <w:r>
        <w:rPr>
          <w:rFonts w:hint="eastAsia"/>
        </w:rPr>
        <w:t>建设单位在工程施工承发包工作中，应将环保工程摆在主体工程同等的地位，环保工程质量、工期及与之相关的施工单位资质、能力都将作为重要的发包条件；及时掌握工程施工环保动态，定期检查和总结工程环保措施实施情况，资金使用情况，确保环保工程的进度要求；建设单位应协调各施工单位关系，消除可能存在环保项目遗漏和缺口，当出现重大环保问题或环境纠纷时，应积极组织力量解决，并协助施工单位处理好地方环境保护部门、公众三方相互利益的关系。</w:t>
      </w:r>
    </w:p>
    <w:p w14:paraId="3F21021E">
      <w:pPr>
        <w:pStyle w:val="117"/>
        <w:ind w:firstLine="480"/>
      </w:pPr>
      <w:r>
        <w:rPr>
          <w:rFonts w:hint="eastAsia"/>
        </w:rPr>
        <w:t>（</w:t>
      </w:r>
      <w:r>
        <w:t>2</w:t>
      </w:r>
      <w:r>
        <w:rPr>
          <w:rFonts w:hint="eastAsia"/>
        </w:rPr>
        <w:t>）监督体系</w:t>
      </w:r>
    </w:p>
    <w:p w14:paraId="705AFE6E">
      <w:pPr>
        <w:pStyle w:val="117"/>
        <w:ind w:firstLine="480"/>
      </w:pPr>
      <w:r>
        <w:rPr>
          <w:rFonts w:hint="eastAsia"/>
        </w:rPr>
        <w:t>本项目施工期由哈密市生态环境局、哈密市生态环境局伊州分局分级实施监督。</w:t>
      </w:r>
    </w:p>
    <w:p w14:paraId="6DDFB160">
      <w:pPr>
        <w:pStyle w:val="117"/>
        <w:ind w:firstLine="480"/>
      </w:pPr>
      <w:r>
        <w:rPr>
          <w:rFonts w:hint="eastAsia"/>
        </w:rPr>
        <w:t>（</w:t>
      </w:r>
      <w:r>
        <w:t>3</w:t>
      </w:r>
      <w:r>
        <w:rPr>
          <w:rFonts w:hint="eastAsia"/>
        </w:rPr>
        <w:t>）环境管理</w:t>
      </w:r>
    </w:p>
    <w:p w14:paraId="39A4B3F9">
      <w:pPr>
        <w:pStyle w:val="117"/>
        <w:ind w:firstLine="480"/>
      </w:pPr>
      <w:r>
        <w:rPr>
          <w:rFonts w:hint="eastAsia"/>
        </w:rPr>
        <w:t>建设单位与施工单位签订工程承包合同中，应将环境保护设施建设纳入施工合同，保证环境保护设施建设进度和资金，并在项目建设过程中同时组织实施环境影响报告书及其审批部门审批决定中提出的环境保护对策措施，另需包括施工期环境保护条款，含施工期间环境污染控制、污染物排放管理、施工人员环保教育及相关奖惩条款。</w:t>
      </w:r>
    </w:p>
    <w:p w14:paraId="7E993A49">
      <w:pPr>
        <w:pStyle w:val="117"/>
        <w:ind w:firstLine="480"/>
      </w:pPr>
      <w:r>
        <w:rPr>
          <w:rFonts w:hint="eastAsia"/>
        </w:rPr>
        <w:t>施工单位应加强驻地和施工现场的环境管理，合理安排施工计划，做到组织计划严谨，文明施工；施工现场、驻地及临时设施，应加强环境管理，妥善处置施工“三废”；认真落实各项补偿措施，做好工程各项环保设施的施工监理与验收，保证环保工程质量，做到环保工程“三同时”。</w:t>
      </w:r>
    </w:p>
    <w:p w14:paraId="575DF2C3">
      <w:pPr>
        <w:pStyle w:val="944"/>
      </w:pPr>
      <w:r>
        <w:rPr>
          <w:rFonts w:hint="eastAsia"/>
        </w:rPr>
        <w:t>施工期环境管理</w:t>
      </w:r>
    </w:p>
    <w:p w14:paraId="4A370093">
      <w:pPr>
        <w:pStyle w:val="117"/>
        <w:ind w:firstLine="480"/>
      </w:pPr>
      <w:r>
        <w:rPr>
          <w:rFonts w:hint="eastAsia"/>
        </w:rPr>
        <w:t>环境监理工程师在不同工作阶段对工程所在区域及工程影响区域进行环境监理，对重要的环境保护设施和措施实施旁站监理制度，确保环保设备工程质量和环保措施的实施，以减小项目实施对环境的影响。</w:t>
      </w:r>
    </w:p>
    <w:p w14:paraId="3B1DEA29">
      <w:pPr>
        <w:pStyle w:val="117"/>
        <w:ind w:firstLine="480"/>
      </w:pPr>
      <w:r>
        <w:rPr>
          <w:rFonts w:hint="eastAsia"/>
        </w:rPr>
        <w:t>本项目的环境监理工作阶段分为：施工准备阶段环境监理；施工阶段环境监理；工程验收阶段（交工及缺陷责任期）环境监理。</w:t>
      </w:r>
    </w:p>
    <w:p w14:paraId="05ACE9CF">
      <w:pPr>
        <w:pStyle w:val="117"/>
        <w:ind w:firstLine="480"/>
      </w:pPr>
      <w:r>
        <w:rPr>
          <w:rFonts w:hint="eastAsia"/>
        </w:rPr>
        <w:t>（</w:t>
      </w:r>
      <w:r>
        <w:t>1</w:t>
      </w:r>
      <w:r>
        <w:rPr>
          <w:rFonts w:hint="eastAsia"/>
        </w:rPr>
        <w:t>）施工准备阶段</w:t>
      </w:r>
    </w:p>
    <w:p w14:paraId="5592658B">
      <w:pPr>
        <w:pStyle w:val="117"/>
        <w:ind w:firstLine="480"/>
      </w:pPr>
      <w:r>
        <w:rPr>
          <w:rFonts w:hint="eastAsia"/>
        </w:rPr>
        <w:t>这一阶段的监理任务主要是编制环境监理细则，审核施工合同中的环保条款、承包商施工期环境管理计划和施工组织设计中的环保措施，核实工程占地和准备工作，审核施工物料的堆放是否符合环保要求。</w:t>
      </w:r>
    </w:p>
    <w:p w14:paraId="6C4E59F0">
      <w:pPr>
        <w:pStyle w:val="117"/>
        <w:ind w:firstLine="480"/>
      </w:pPr>
      <w:r>
        <w:rPr>
          <w:rFonts w:hint="eastAsia"/>
        </w:rPr>
        <w:t>（</w:t>
      </w:r>
      <w:r>
        <w:t>2</w:t>
      </w:r>
      <w:r>
        <w:rPr>
          <w:rFonts w:hint="eastAsia"/>
        </w:rPr>
        <w:t>）施工阶段</w:t>
      </w:r>
    </w:p>
    <w:p w14:paraId="14DD413A">
      <w:pPr>
        <w:pStyle w:val="117"/>
        <w:ind w:firstLine="480"/>
      </w:pPr>
      <w:r>
        <w:rPr>
          <w:rFonts w:hint="eastAsia"/>
        </w:rPr>
        <w:t>施工过程的环境监理内容主要是督促施工单位落实环境影响报告书中提出的各项环境保护措施，规范施工过程。环境监理人员根据要点进行监理，及时纠正不规范的操作。</w:t>
      </w:r>
    </w:p>
    <w:p w14:paraId="071C1D6C">
      <w:pPr>
        <w:pStyle w:val="117"/>
        <w:ind w:firstLine="480"/>
      </w:pPr>
      <w:r>
        <w:rPr>
          <w:rFonts w:hint="eastAsia"/>
        </w:rPr>
        <w:t>建设单位应在</w:t>
      </w:r>
      <w:r>
        <w:t>施工招标文件和施工合同应明确环保条款和责任，加强施工期环境管理，委托有能力的单位开展工程环境监理，针对各项措施及管理要求落实情况、实施效果等开展监理，监理报告定期向生态环境局报送并向社会公开</w:t>
      </w:r>
      <w:r>
        <w:rPr>
          <w:rFonts w:hint="eastAsia"/>
        </w:rPr>
        <w:t>。</w:t>
      </w:r>
    </w:p>
    <w:p w14:paraId="5CA1796C">
      <w:pPr>
        <w:pStyle w:val="117"/>
        <w:ind w:firstLine="480"/>
      </w:pPr>
      <w:r>
        <w:rPr>
          <w:rFonts w:hint="eastAsia"/>
        </w:rPr>
        <w:t>（3）交工及缺陷责任期阶段</w:t>
      </w:r>
    </w:p>
    <w:p w14:paraId="39BBFF20">
      <w:pPr>
        <w:pStyle w:val="117"/>
        <w:ind w:firstLine="480"/>
      </w:pPr>
      <w:r>
        <w:rPr>
          <w:rFonts w:hint="eastAsia"/>
        </w:rPr>
        <w:t>主要是工程竣工环境保护验收的相关资料的汇总、环保工程的施工等以及缺陷责任期阶段针对施工场地清理的监理。</w:t>
      </w:r>
    </w:p>
    <w:p w14:paraId="7C372EC3">
      <w:pPr>
        <w:pStyle w:val="138"/>
        <w:rPr>
          <w:rFonts w:hint="eastAsia"/>
        </w:rPr>
      </w:pPr>
      <w:r>
        <w:t>竣工环境保护验收</w:t>
      </w:r>
    </w:p>
    <w:p w14:paraId="6C09DB42">
      <w:pPr>
        <w:pStyle w:val="117"/>
        <w:ind w:firstLine="480"/>
      </w:pPr>
      <w:r>
        <w:rPr>
          <w:rFonts w:hint="eastAsia"/>
        </w:rPr>
        <w:t>建设项目竣工后，建设单位应当按照国家有关法律法规、建设项目竣工环境保护验收技术规范、环境影响报告书和审批决定等要求，如实查验、监测、记载建设项目环境保护设施的建设和调试情况，同时还应如实记载其他环境保护对策措施“三同时”落实情况，编制竣工环境保护验收报告。验收报告编制完成后，建设单位应组织成立验收工作组。验收工作组由建设单位、设计单位、施工单位、环境影响报告书（表）编制机构、验收报告编制机构等单位代表和专业技术专家组成。验收工作组形成验收意见，建设单位应当对验收工作组提出的问题进行整改，合格后方可出具验收合格的意见。建设项目配套建设的环境保护设施经验收合格后，其主体工程才可以投入生产或者使用。</w:t>
      </w:r>
    </w:p>
    <w:p w14:paraId="512D6CE2">
      <w:pPr>
        <w:pStyle w:val="117"/>
        <w:ind w:firstLine="480"/>
      </w:pPr>
      <w:r>
        <w:rPr>
          <w:rFonts w:hint="eastAsia"/>
        </w:rPr>
        <w:t>建设单位应当在竣工环境保护报告书完成后，通过网站或者其他便于公众知悉的方式，依法向社会公开验收报告和验收意见，公开的期限不得少于20个工作日。公开结束后</w:t>
      </w:r>
      <w:r>
        <w:t>5</w:t>
      </w:r>
      <w:r>
        <w:rPr>
          <w:rFonts w:hint="eastAsia"/>
        </w:rPr>
        <w:t>个工作日内，建设单位应当登录全国建设项目竣工环境保护验收信息平台，填报相关信息并对信息的真实性、准确性和完整性负责。</w:t>
      </w:r>
    </w:p>
    <w:p w14:paraId="56B70852">
      <w:pPr>
        <w:pStyle w:val="138"/>
        <w:rPr>
          <w:rFonts w:hint="eastAsia"/>
        </w:rPr>
      </w:pPr>
      <w:r>
        <w:rPr>
          <w:rFonts w:hint="eastAsia"/>
        </w:rPr>
        <w:t>运营期环境管理</w:t>
      </w:r>
    </w:p>
    <w:p w14:paraId="46C7130C">
      <w:pPr>
        <w:pStyle w:val="944"/>
      </w:pPr>
      <w:r>
        <w:rPr>
          <w:rFonts w:hint="eastAsia"/>
        </w:rPr>
        <w:t>运营期环境管理制度</w:t>
      </w:r>
    </w:p>
    <w:p w14:paraId="5E32845B">
      <w:pPr>
        <w:ind w:firstLine="480"/>
      </w:pPr>
      <w:r>
        <w:rPr>
          <w:rFonts w:hint="eastAsia"/>
        </w:rPr>
        <w:t>项目运营阶段，企业应以相关环保法律、法规为依据，制定环境保护管理办法，通过对项目前后的环境审核，设定环境方针，建立环境目标和指标，设计环境方案，以达到“清洁生产”的良好效果，求得环境长远持久发展。应建立内部环境审核制度、清洁生产教育和培训制度、环境目标和指标制度、内部环境管理监督检查制度。</w:t>
      </w:r>
    </w:p>
    <w:p w14:paraId="530C7E75">
      <w:pPr>
        <w:pStyle w:val="944"/>
      </w:pPr>
      <w:r>
        <w:rPr>
          <w:rFonts w:hint="eastAsia"/>
        </w:rPr>
        <w:t>运营期环境管理任务</w:t>
      </w:r>
    </w:p>
    <w:p w14:paraId="215C41D2">
      <w:pPr>
        <w:ind w:firstLine="480"/>
      </w:pPr>
      <w:r>
        <w:rPr>
          <w:rFonts w:hint="eastAsia"/>
        </w:rPr>
        <w:t>（</w:t>
      </w:r>
      <w:r>
        <w:t>1</w:t>
      </w:r>
      <w:r>
        <w:rPr>
          <w:rFonts w:hint="eastAsia"/>
        </w:rPr>
        <w:t>）项目进入运营期，应有环保部门、建设单位共同参与验收，检查环保设施是否按“三同时”进行；</w:t>
      </w:r>
    </w:p>
    <w:p w14:paraId="6B55DDAB">
      <w:pPr>
        <w:ind w:firstLine="480"/>
      </w:pPr>
      <w:r>
        <w:rPr>
          <w:rFonts w:hint="eastAsia"/>
        </w:rPr>
        <w:t>（</w:t>
      </w:r>
      <w:r>
        <w:t>2</w:t>
      </w:r>
      <w:r>
        <w:rPr>
          <w:rFonts w:hint="eastAsia"/>
        </w:rPr>
        <w:t>）严格执行各项生产及环境管理制度，保证生产的正常运行；</w:t>
      </w:r>
    </w:p>
    <w:p w14:paraId="5825D4CB">
      <w:pPr>
        <w:ind w:firstLine="480"/>
      </w:pPr>
      <w:r>
        <w:rPr>
          <w:rFonts w:hint="eastAsia"/>
        </w:rPr>
        <w:t>（</w:t>
      </w:r>
      <w:r>
        <w:t>3</w:t>
      </w:r>
      <w:r>
        <w:rPr>
          <w:rFonts w:hint="eastAsia"/>
        </w:rPr>
        <w:t>）按照监测计划定期组织进行全厂内的污染源监测，对不达标环保措施及时处理；</w:t>
      </w:r>
    </w:p>
    <w:p w14:paraId="3E614A56">
      <w:pPr>
        <w:ind w:firstLine="480"/>
      </w:pPr>
      <w:r>
        <w:rPr>
          <w:rFonts w:hint="eastAsia"/>
        </w:rPr>
        <w:t>（</w:t>
      </w:r>
      <w:r>
        <w:t>4</w:t>
      </w:r>
      <w:r>
        <w:rPr>
          <w:rFonts w:hint="eastAsia"/>
        </w:rPr>
        <w:t>）加强环保设施的管理，定期检查环保设施的运行情况，排除故障，保证环保设施正常运转，环保设施的管理实行就近装置区的原则；针对污水处理过程中产生大量盐类物质，特别制定《污水处理装置维护保养管理制度》，从设备管理人员职责、系统设置、维护保养要求、巡回检查要求等方面提出管理措施；</w:t>
      </w:r>
    </w:p>
    <w:p w14:paraId="356D8FDF">
      <w:pPr>
        <w:ind w:firstLine="480"/>
      </w:pPr>
      <w:r>
        <w:rPr>
          <w:rFonts w:hint="eastAsia"/>
        </w:rPr>
        <w:t>（</w:t>
      </w:r>
      <w:r>
        <w:t>5</w:t>
      </w:r>
      <w:r>
        <w:rPr>
          <w:rFonts w:hint="eastAsia"/>
        </w:rPr>
        <w:t>）加强场区的绿化管理，保证绿化面积达标；</w:t>
      </w:r>
    </w:p>
    <w:p w14:paraId="4735348E">
      <w:pPr>
        <w:ind w:firstLine="480"/>
      </w:pPr>
      <w:r>
        <w:rPr>
          <w:rFonts w:hint="eastAsia"/>
        </w:rPr>
        <w:t>（</w:t>
      </w:r>
      <w:r>
        <w:t>6</w:t>
      </w:r>
      <w:r>
        <w:rPr>
          <w:rFonts w:hint="eastAsia"/>
        </w:rPr>
        <w:t>）重视群众监督作用，提高企业职工环保意识，鼓励职工及外部人员对生产状况提出意见，并通过积极吸收宝贵意见，提高企业环境管理水平。</w:t>
      </w:r>
    </w:p>
    <w:p w14:paraId="5F2DFD8E">
      <w:pPr>
        <w:pStyle w:val="944"/>
      </w:pPr>
      <w:r>
        <w:rPr>
          <w:rFonts w:hint="eastAsia"/>
        </w:rPr>
        <w:t>自行监测管理要求</w:t>
      </w:r>
    </w:p>
    <w:p w14:paraId="026525DA">
      <w:pPr>
        <w:ind w:firstLine="480"/>
        <w:rPr>
          <w:lang w:val="zh-CN"/>
        </w:rPr>
      </w:pPr>
      <w:r>
        <w:rPr>
          <w:rFonts w:hint="eastAsia"/>
          <w:lang w:val="zh-CN"/>
        </w:rPr>
        <w:t>（1）一般要求</w:t>
      </w:r>
    </w:p>
    <w:p w14:paraId="7D69D9EF">
      <w:pPr>
        <w:ind w:firstLine="480"/>
      </w:pPr>
      <w:r>
        <w:rPr>
          <w:rFonts w:hint="eastAsia"/>
        </w:rPr>
        <w:t>排污单位在申请排污许可证时，应按照本标准确定的产排污环节、排放口、污染物项目及许可排放限值</w:t>
      </w:r>
      <w:r>
        <w:rPr>
          <w:rFonts w:hint="eastAsia"/>
          <w:color w:val="000000"/>
        </w:rPr>
        <w:t>等要求，按照《排污单位自行监测技术指南 有色金属工业》（</w:t>
      </w:r>
      <w:r>
        <w:rPr>
          <w:color w:val="000000"/>
        </w:rPr>
        <w:t>HJ 989-2018</w:t>
      </w:r>
      <w:r>
        <w:rPr>
          <w:rFonts w:hint="eastAsia"/>
          <w:color w:val="000000"/>
        </w:rPr>
        <w:t>）、《排污许可证申请与核发技术规范 铁合金、电解锰工业》（HJ 1117-2020）、《排污许可证申请与核发技术规范 炼焦化学工业》（HJ 854-2017）制定自</w:t>
      </w:r>
      <w:r>
        <w:rPr>
          <w:rFonts w:hint="eastAsia"/>
        </w:rPr>
        <w:t>行监测方案，并在《排污许可证申请表》中明确。</w:t>
      </w:r>
    </w:p>
    <w:p w14:paraId="60DA9970">
      <w:pPr>
        <w:ind w:firstLine="480"/>
      </w:pPr>
      <w:r>
        <w:rPr>
          <w:rFonts w:hint="eastAsia"/>
        </w:rPr>
        <w:t>2015年1月1日（含）后取得环境影响评价批复的排污单位，应根据环境影响评价文件和批复要求同步完善自行监测方案。有核发权的地方环境保护主管部门可根据环境质量改善需求，增加排污单位自行监测管理要求。</w:t>
      </w:r>
    </w:p>
    <w:p w14:paraId="3D3D58F2">
      <w:pPr>
        <w:ind w:firstLine="480"/>
      </w:pPr>
      <w:r>
        <w:rPr>
          <w:rFonts w:hint="eastAsia"/>
        </w:rPr>
        <w:t>（2）自行监测方案</w:t>
      </w:r>
    </w:p>
    <w:p w14:paraId="758A0E08">
      <w:pPr>
        <w:ind w:firstLine="480"/>
      </w:pPr>
      <w:r>
        <w:rPr>
          <w:rFonts w:hint="eastAsia"/>
        </w:rPr>
        <w:t>自行监测方案中应明确排污单位的基本情况、监测点位及示意图、监测污染物项目、执行标准及其限值、监测频次、采样和样品保存方法、监测分析方法和仪器、质量保证与质量控制、自行监测信息公开等，其中监测频次为监测周期内至少获取1次有效监测数据。对于采用自动监测的排污单位应当如实填报采用自动监测的污染物指标、自动监测系统联网情况、自动监测系统的运行维护情况等；对于未采用自动监测的污染物指标，排污单位应当填报开展手工监测的污染物排放口和监测点位、监测方法、监测频率。本项目自行监测方案见表9.3-1、表9.3-</w:t>
      </w:r>
      <w:r>
        <w:t>2</w:t>
      </w:r>
      <w:r>
        <w:rPr>
          <w:rFonts w:hint="eastAsia"/>
        </w:rPr>
        <w:t>。</w:t>
      </w:r>
    </w:p>
    <w:p w14:paraId="4C494C1B">
      <w:pPr>
        <w:pStyle w:val="944"/>
      </w:pPr>
      <w:r>
        <w:t>环境管理</w:t>
      </w:r>
      <w:r>
        <w:rPr>
          <w:rFonts w:hint="eastAsia"/>
        </w:rPr>
        <w:t>台账与排污许可执行报告</w:t>
      </w:r>
    </w:p>
    <w:p w14:paraId="32F983BF">
      <w:pPr>
        <w:ind w:firstLine="480"/>
      </w:pPr>
      <w:r>
        <w:rPr>
          <w:rFonts w:hint="eastAsia"/>
        </w:rPr>
        <w:t>为自我证明企业持证排污情况，项目投产后应开展环境管理台账记录和排污许可证执行报告的编制。</w:t>
      </w:r>
    </w:p>
    <w:p w14:paraId="29400B5B">
      <w:pPr>
        <w:ind w:firstLine="480"/>
      </w:pPr>
      <w:r>
        <w:rPr>
          <w:rFonts w:hint="eastAsia"/>
        </w:rPr>
        <w:t>环境管理台账是排污单位自证守法的主要原始依据，应当按照电子化和纸质存储两种形式同步管理，台账保存期限不少于</w:t>
      </w:r>
      <w:r>
        <w:t>3</w:t>
      </w:r>
      <w:r>
        <w:rPr>
          <w:rFonts w:hint="eastAsia"/>
        </w:rPr>
        <w:t>年。</w:t>
      </w:r>
    </w:p>
    <w:p w14:paraId="19007B27">
      <w:pPr>
        <w:ind w:firstLine="480"/>
      </w:pPr>
      <w:r>
        <w:rPr>
          <w:rFonts w:hint="eastAsia"/>
        </w:rPr>
        <w:t>环境管理台账记录的主要内容包括如下信息：</w:t>
      </w:r>
    </w:p>
    <w:p w14:paraId="42813985">
      <w:pPr>
        <w:ind w:firstLine="480"/>
      </w:pPr>
      <w:r>
        <w:rPr>
          <w:rFonts w:hint="eastAsia"/>
        </w:rPr>
        <w:t>（</w:t>
      </w:r>
      <w:r>
        <w:t>1</w:t>
      </w:r>
      <w:r>
        <w:rPr>
          <w:rFonts w:hint="eastAsia"/>
        </w:rPr>
        <w:t>）基本信息：企业、生产设施、治理设施的名称、工艺等排污许可证规定的各项排污单位基本信息的实际情况及与污染物排放相关的主要运行参数；</w:t>
      </w:r>
    </w:p>
    <w:p w14:paraId="72887F8D">
      <w:pPr>
        <w:ind w:firstLine="480"/>
      </w:pPr>
      <w:r>
        <w:rPr>
          <w:rFonts w:hint="eastAsia"/>
        </w:rPr>
        <w:t>（</w:t>
      </w:r>
      <w:r>
        <w:t>2</w:t>
      </w:r>
      <w:r>
        <w:rPr>
          <w:rFonts w:hint="eastAsia"/>
        </w:rPr>
        <w:t>）生产设施运行管理信息：分为正常工况和非正常工况记录；包括运行状态、生产负荷、产品产量、原辅料和燃料用量；</w:t>
      </w:r>
    </w:p>
    <w:p w14:paraId="79923510">
      <w:pPr>
        <w:ind w:firstLine="480"/>
        <w:rPr>
          <w:color w:val="000000"/>
        </w:rPr>
      </w:pPr>
      <w:r>
        <w:rPr>
          <w:rFonts w:hint="eastAsia"/>
        </w:rPr>
        <w:t>（</w:t>
      </w:r>
      <w:r>
        <w:t>3</w:t>
      </w:r>
      <w:r>
        <w:rPr>
          <w:rFonts w:hint="eastAsia"/>
        </w:rPr>
        <w:t>）污染治理措施运行管理信息：分为正常工况和非正常工况记录；包括污染物排放自行监测数据记录要求以及污染治理设施运行管理信息。</w:t>
      </w:r>
    </w:p>
    <w:p w14:paraId="790A95EE">
      <w:pPr>
        <w:ind w:firstLine="480"/>
        <w:rPr>
          <w:color w:val="000000"/>
        </w:rPr>
      </w:pPr>
      <w:r>
        <w:rPr>
          <w:rFonts w:hint="eastAsia"/>
          <w:color w:val="000000"/>
        </w:rPr>
        <w:t>污染治理设施运行管理信息应反映生产设施及治理设施运行管理情况，记录设备运行校验关键参数例如</w:t>
      </w:r>
      <w:r>
        <w:rPr>
          <w:color w:val="000000"/>
        </w:rPr>
        <w:t>DCS</w:t>
      </w:r>
      <w:r>
        <w:rPr>
          <w:rFonts w:hint="eastAsia"/>
          <w:color w:val="000000"/>
        </w:rPr>
        <w:t>曲线、无组织废气污染治理、废水环保设施运行记录等。</w:t>
      </w:r>
    </w:p>
    <w:p w14:paraId="2626B3B0">
      <w:pPr>
        <w:ind w:firstLine="480"/>
        <w:rPr>
          <w:color w:val="000000"/>
        </w:rPr>
      </w:pPr>
      <w:r>
        <w:rPr>
          <w:rFonts w:hint="eastAsia"/>
          <w:color w:val="000000"/>
        </w:rPr>
        <w:t>（</w:t>
      </w:r>
      <w:r>
        <w:rPr>
          <w:color w:val="000000"/>
        </w:rPr>
        <w:t>4</w:t>
      </w:r>
      <w:r>
        <w:rPr>
          <w:rFonts w:hint="eastAsia"/>
          <w:color w:val="000000"/>
        </w:rPr>
        <w:t>）监测记录信息：按照《排污单位自行监测技术指南 总则》《排污单位自行监测技术指南 有色金属工业》（</w:t>
      </w:r>
      <w:r>
        <w:rPr>
          <w:color w:val="000000"/>
        </w:rPr>
        <w:t>HJ 989-2018</w:t>
      </w:r>
      <w:r>
        <w:rPr>
          <w:rFonts w:hint="eastAsia"/>
          <w:color w:val="000000"/>
        </w:rPr>
        <w:t>）、《排污单位自行监测技术指南 钢铁工业及炼焦化学工业》（HJ878-2017）执行。</w:t>
      </w:r>
    </w:p>
    <w:p w14:paraId="35C833E4">
      <w:pPr>
        <w:ind w:firstLine="480"/>
        <w:rPr>
          <w:color w:val="000000"/>
        </w:rPr>
      </w:pPr>
      <w:r>
        <w:rPr>
          <w:rFonts w:hint="eastAsia"/>
          <w:color w:val="000000"/>
        </w:rPr>
        <w:t>（5）工业固体废物主要是根据《排污许可证申请与核发技术规范 工业固体废物（试行）》（HJ 819-2017）、《一般工业固体废物管理台账制定指南（试行）》在排污许可平台填报基本信息并形成企业台账。</w:t>
      </w:r>
    </w:p>
    <w:p w14:paraId="5C7B7A35">
      <w:pPr>
        <w:ind w:firstLine="480"/>
        <w:rPr>
          <w:color w:val="000000"/>
        </w:rPr>
      </w:pPr>
      <w:r>
        <w:rPr>
          <w:rFonts w:hint="eastAsia"/>
          <w:color w:val="000000"/>
        </w:rPr>
        <w:t>一般工业固体废物填报的基础信息包括一般工业固体废物的名称、代码、类别、物理性状、产生环节、去向等信息。自行贮存设施信息包括贮存设施名称、编号、类型、位置、是否符合贮存相关标准要求、贮存一般工业固体废物能力、面积，贮存一般工业固体废物的名称、代码、类别、物理性状、产生环节等信息。排污单位应建立环境管理台账制度，一般工业固体废物环境管理台账记录应符合生态环境部规定的一般工业固体废物环境管理台账相关标准及管理文件要求。</w:t>
      </w:r>
    </w:p>
    <w:p w14:paraId="080C2EEE">
      <w:pPr>
        <w:ind w:firstLine="480"/>
        <w:rPr>
          <w:color w:val="000000"/>
        </w:rPr>
      </w:pPr>
      <w:r>
        <w:rPr>
          <w:rFonts w:hint="eastAsia"/>
          <w:color w:val="000000"/>
        </w:rPr>
        <w:t>（</w:t>
      </w:r>
      <w:r>
        <w:rPr>
          <w:color w:val="000000"/>
        </w:rPr>
        <w:t>6</w:t>
      </w:r>
      <w:r>
        <w:rPr>
          <w:rFonts w:hint="eastAsia"/>
          <w:color w:val="000000"/>
        </w:rPr>
        <w:t>）其他环境管理信息：包括无组织环境管理信息、特殊时段环境管理信息等。</w:t>
      </w:r>
    </w:p>
    <w:p w14:paraId="5671149C">
      <w:pPr>
        <w:ind w:firstLine="480"/>
        <w:rPr>
          <w:color w:val="000000"/>
        </w:rPr>
      </w:pPr>
      <w:r>
        <w:rPr>
          <w:rFonts w:hint="eastAsia"/>
          <w:color w:val="000000"/>
        </w:rPr>
        <w:t>排污许可证执行报告是排污单位在排污许可管理过程中自证守法的主要载体。其执行报告的报告周期分为年度执行报告、半年度执行报告、季度执行报告和月度执行报告。年度执行报告包括排污单位基本情况、遵守法律法规情况、污染防治设施运行情况、自行监测执行情况、环境管理台账执行情况、实际排放情况及达标判定分析、环境保护税</w:t>
      </w:r>
      <w:r>
        <w:rPr>
          <w:color w:val="000000"/>
        </w:rPr>
        <w:t>（</w:t>
      </w:r>
      <w:r>
        <w:rPr>
          <w:rFonts w:hint="eastAsia"/>
          <w:color w:val="000000"/>
        </w:rPr>
        <w:t>排污费</w:t>
      </w:r>
      <w:r>
        <w:rPr>
          <w:color w:val="000000"/>
        </w:rPr>
        <w:t>）</w:t>
      </w:r>
      <w:r>
        <w:rPr>
          <w:rFonts w:hint="eastAsia"/>
          <w:color w:val="000000"/>
        </w:rPr>
        <w:t>缴纳情况、信息公开情况、排污单位内部环境管理体系建设与运行情况、其他排污许可证规定的内容执行情况、其他需要说明的问题、结论、附图附件等。</w:t>
      </w:r>
    </w:p>
    <w:p w14:paraId="4B308EB2">
      <w:pPr>
        <w:ind w:firstLine="480"/>
        <w:rPr>
          <w:color w:val="000000"/>
        </w:rPr>
      </w:pPr>
      <w:r>
        <w:rPr>
          <w:rFonts w:hint="eastAsia"/>
          <w:color w:val="000000"/>
        </w:rPr>
        <w:t>环境管理台账记录和排污许可证执行报告的编制内容与要求参照生态环境部《排污单位环境管理台账及排污许可证执行报告技术规范 总则（试行）》（HJ944-2018）和地方环保管理要求执行。</w:t>
      </w:r>
    </w:p>
    <w:p w14:paraId="20DF1D54">
      <w:pPr>
        <w:pStyle w:val="944"/>
      </w:pPr>
      <w:r>
        <w:rPr>
          <w:rFonts w:hint="eastAsia"/>
        </w:rPr>
        <w:t>运行管理要求</w:t>
      </w:r>
    </w:p>
    <w:p w14:paraId="2A74F11D">
      <w:pPr>
        <w:ind w:firstLine="480"/>
      </w:pPr>
      <w:r>
        <w:rPr>
          <w:rFonts w:hint="eastAsia"/>
          <w:color w:val="000000"/>
        </w:rPr>
        <w:t>根据《排污单位自行监测技术指南 有色金属工业》（</w:t>
      </w:r>
      <w:r>
        <w:rPr>
          <w:color w:val="000000"/>
        </w:rPr>
        <w:t>HJ 989-2018</w:t>
      </w:r>
      <w:r>
        <w:rPr>
          <w:rFonts w:hint="eastAsia"/>
          <w:color w:val="000000"/>
        </w:rPr>
        <w:t>）、《排污许可证申请与核发技术规范 铁合金、电解锰工业》（HJ 1117-2020）、《排污许可证申请与核发技术规范 炼焦化学工业》（HJ 854-2017），排污单位应当按照相关法律法规、标准和技术规范等要求运行废</w:t>
      </w:r>
      <w:r>
        <w:rPr>
          <w:rFonts w:hint="eastAsia"/>
        </w:rPr>
        <w:t>气、废水污染防治设施，并根据工艺要求，定期对设备、电气、自控仪表及构筑物进行检查维护，确保污染治理设施正常、可靠运行，处理、排放符合国家或地方污染物排放标准的规定。</w:t>
      </w:r>
    </w:p>
    <w:p w14:paraId="6352B7F4">
      <w:pPr>
        <w:pStyle w:val="138"/>
        <w:rPr>
          <w:rFonts w:hint="eastAsia"/>
        </w:rPr>
      </w:pPr>
      <w:r>
        <w:t>排污口规范化管理</w:t>
      </w:r>
    </w:p>
    <w:p w14:paraId="77680459">
      <w:pPr>
        <w:pStyle w:val="944"/>
      </w:pPr>
      <w:r>
        <w:t>排污口规范化管理原则</w:t>
      </w:r>
    </w:p>
    <w:p w14:paraId="6C7BBC12">
      <w:pPr>
        <w:ind w:firstLine="480"/>
      </w:pPr>
      <w:r>
        <w:rPr>
          <w:rFonts w:hint="eastAsia"/>
        </w:rPr>
        <w:t>（</w:t>
      </w:r>
      <w:r>
        <w:t>1</w:t>
      </w:r>
      <w:r>
        <w:rPr>
          <w:rFonts w:hint="eastAsia"/>
        </w:rPr>
        <w:t>）排污口的设置必须合理，按照环监〔1996〕</w:t>
      </w:r>
      <w:r>
        <w:t>470</w:t>
      </w:r>
      <w:r>
        <w:rPr>
          <w:rFonts w:hint="eastAsia"/>
        </w:rPr>
        <w:t>号文件要求，进行规范化管理；</w:t>
      </w:r>
    </w:p>
    <w:p w14:paraId="61EAF48D">
      <w:pPr>
        <w:ind w:firstLine="480"/>
      </w:pPr>
      <w:r>
        <w:rPr>
          <w:rFonts w:hint="eastAsia"/>
        </w:rPr>
        <w:t>（</w:t>
      </w:r>
      <w:r>
        <w:t>2</w:t>
      </w:r>
      <w:r>
        <w:rPr>
          <w:rFonts w:hint="eastAsia"/>
        </w:rPr>
        <w:t>）根据工程的特点，考虑列入总量控制指标的污染物，排放烟尘的废气排污口为管理的重点；</w:t>
      </w:r>
    </w:p>
    <w:p w14:paraId="0DB4A25D">
      <w:pPr>
        <w:ind w:firstLine="480"/>
      </w:pPr>
      <w:r>
        <w:rPr>
          <w:rFonts w:hint="eastAsia"/>
        </w:rPr>
        <w:t>（</w:t>
      </w:r>
      <w:r>
        <w:t>3</w:t>
      </w:r>
      <w:r>
        <w:rPr>
          <w:rFonts w:hint="eastAsia"/>
        </w:rPr>
        <w:t>）排污口应便于采样与计量检测，便于日常现场监督检查；</w:t>
      </w:r>
    </w:p>
    <w:p w14:paraId="65C574CB">
      <w:pPr>
        <w:ind w:firstLine="480"/>
      </w:pPr>
      <w:r>
        <w:rPr>
          <w:rFonts w:hint="eastAsia"/>
        </w:rPr>
        <w:t>（</w:t>
      </w:r>
      <w:r>
        <w:t>4</w:t>
      </w:r>
      <w:r>
        <w:rPr>
          <w:rFonts w:hint="eastAsia"/>
        </w:rPr>
        <w:t>）如实向环保管理部门申报排污口数量、位置及所排放的主要污染物种类、数量、浓度、排放去向等情况。</w:t>
      </w:r>
    </w:p>
    <w:p w14:paraId="631E73A0">
      <w:pPr>
        <w:ind w:firstLine="480"/>
      </w:pPr>
      <w:r>
        <w:rPr>
          <w:rFonts w:hint="eastAsia"/>
        </w:rPr>
        <w:t>（</w:t>
      </w:r>
      <w:r>
        <w:t>5</w:t>
      </w:r>
      <w:r>
        <w:rPr>
          <w:rFonts w:hint="eastAsia"/>
        </w:rPr>
        <w:t>）废气排气装置应设置便于采样、监测的平台，设置应符合《污染源监测技术规范》；</w:t>
      </w:r>
    </w:p>
    <w:p w14:paraId="22469FD6">
      <w:pPr>
        <w:ind w:firstLine="480"/>
      </w:pPr>
      <w:r>
        <w:rPr>
          <w:rFonts w:hint="eastAsia"/>
        </w:rPr>
        <w:t>（</w:t>
      </w:r>
      <w:r>
        <w:t>6</w:t>
      </w:r>
      <w:r>
        <w:rPr>
          <w:rFonts w:hint="eastAsia"/>
        </w:rPr>
        <w:t>）工程固废堆存设施，专用堆放场应设有防扬散、防流失、防渗漏措施。</w:t>
      </w:r>
    </w:p>
    <w:p w14:paraId="0A6E9F00">
      <w:pPr>
        <w:pStyle w:val="944"/>
      </w:pPr>
      <w:r>
        <w:t>排污口规范化设置</w:t>
      </w:r>
    </w:p>
    <w:p w14:paraId="50D676B3">
      <w:pPr>
        <w:pStyle w:val="117"/>
        <w:ind w:firstLine="480"/>
      </w:pPr>
      <w:r>
        <w:rPr>
          <w:rFonts w:hint="eastAsia"/>
        </w:rPr>
        <w:t>按照《固定污染源排气中颗粒物测定与气态污染物采样方法》（GB/T 16157-1996）等要求，在废气治理设施前、后分别预留监测孔，设置明显标志；</w:t>
      </w:r>
    </w:p>
    <w:p w14:paraId="4E94979B">
      <w:pPr>
        <w:pStyle w:val="117"/>
        <w:ind w:firstLine="480"/>
      </w:pPr>
      <w:r>
        <w:rPr>
          <w:rFonts w:hint="eastAsia" w:ascii="宋体" w:hAnsi="宋体"/>
        </w:rPr>
        <w:t>根据原国家环境保护总局制定的《〈环境保护图形标志〉实施细则</w:t>
      </w:r>
      <w:r>
        <w:t>（</w:t>
      </w:r>
      <w:r>
        <w:rPr>
          <w:rFonts w:hint="eastAsia" w:ascii="宋体" w:hAnsi="宋体"/>
        </w:rPr>
        <w:t>试行</w:t>
      </w:r>
      <w:r>
        <w:t>）</w:t>
      </w:r>
      <w:r>
        <w:rPr>
          <w:rFonts w:hint="eastAsia" w:ascii="宋体" w:hAnsi="宋体"/>
        </w:rPr>
        <w:t>》（环监</w:t>
      </w:r>
      <w:r>
        <w:rPr>
          <w:rFonts w:cs="Times New Roman"/>
        </w:rPr>
        <w:t>〔1996〕463号）</w:t>
      </w:r>
      <w:r>
        <w:rPr>
          <w:rFonts w:hint="eastAsia" w:ascii="宋体" w:hAnsi="宋体"/>
        </w:rPr>
        <w:t>以及《关于开展排放口规范化整治工作的通知》（环发〔1999〕24号）的规定：</w:t>
      </w:r>
    </w:p>
    <w:p w14:paraId="3588E256">
      <w:pPr>
        <w:pStyle w:val="117"/>
        <w:ind w:firstLine="480"/>
      </w:pPr>
      <w:r>
        <w:rPr>
          <w:rFonts w:hint="eastAsia"/>
        </w:rPr>
        <w:t>废气、废水、噪声排放口、固体废物堆场应进行规范化设计，在各排污口设立相应的环境保护图形标志牌，具备采样、监测条件；</w:t>
      </w:r>
    </w:p>
    <w:p w14:paraId="5F5FCC97">
      <w:pPr>
        <w:pStyle w:val="117"/>
        <w:ind w:firstLine="480"/>
      </w:pPr>
      <w:r>
        <w:t>环境保护图形标志具体设置图形见表</w:t>
      </w:r>
      <w:r>
        <w:rPr>
          <w:rFonts w:hint="eastAsia"/>
        </w:rPr>
        <w:t>9</w:t>
      </w:r>
      <w:r>
        <w:t>.</w:t>
      </w:r>
      <w:r>
        <w:rPr>
          <w:rFonts w:hint="eastAsia"/>
        </w:rPr>
        <w:t>1</w:t>
      </w:r>
      <w:r>
        <w:t>-1。</w:t>
      </w:r>
    </w:p>
    <w:p w14:paraId="7938A467">
      <w:pPr>
        <w:pStyle w:val="118"/>
        <w:ind w:firstLine="480"/>
        <w:rPr>
          <w:color w:val="auto"/>
        </w:rPr>
      </w:pPr>
      <w:r>
        <w:rPr>
          <w:color w:val="auto"/>
        </w:rPr>
        <w:t>表</w:t>
      </w:r>
      <w:r>
        <w:rPr>
          <w:rFonts w:hint="eastAsia"/>
          <w:color w:val="auto"/>
        </w:rPr>
        <w:t>9</w:t>
      </w:r>
      <w:r>
        <w:rPr>
          <w:color w:val="auto"/>
        </w:rPr>
        <w:t>.</w:t>
      </w:r>
      <w:r>
        <w:rPr>
          <w:rFonts w:hint="eastAsia"/>
          <w:color w:val="auto"/>
        </w:rPr>
        <w:t>1</w:t>
      </w:r>
      <w:r>
        <w:rPr>
          <w:color w:val="auto"/>
        </w:rPr>
        <w:t>-1    环境保护图形标志设置图形表</w:t>
      </w:r>
    </w:p>
    <w:tbl>
      <w:tblPr>
        <w:tblStyle w:val="67"/>
        <w:tblpPr w:leftFromText="180" w:rightFromText="180" w:vertAnchor="text" w:horzAnchor="margin" w:tblpXSpec="center" w:tblpY="230"/>
        <w:tblW w:w="85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0"/>
        <w:gridCol w:w="1920"/>
        <w:gridCol w:w="1857"/>
        <w:gridCol w:w="1719"/>
        <w:gridCol w:w="1719"/>
      </w:tblGrid>
      <w:tr w14:paraId="21BA93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1380" w:type="dxa"/>
            <w:vAlign w:val="center"/>
          </w:tcPr>
          <w:p w14:paraId="0D0804AC">
            <w:pPr>
              <w:pStyle w:val="123"/>
            </w:pPr>
            <w:r>
              <w:t>排放口</w:t>
            </w:r>
          </w:p>
        </w:tc>
        <w:tc>
          <w:tcPr>
            <w:tcW w:w="1920" w:type="dxa"/>
            <w:vAlign w:val="center"/>
          </w:tcPr>
          <w:p w14:paraId="07A7FAB4">
            <w:pPr>
              <w:pStyle w:val="123"/>
            </w:pPr>
            <w:r>
              <w:t>废水排口</w:t>
            </w:r>
          </w:p>
        </w:tc>
        <w:tc>
          <w:tcPr>
            <w:tcW w:w="1857" w:type="dxa"/>
            <w:vAlign w:val="center"/>
          </w:tcPr>
          <w:p w14:paraId="5249720E">
            <w:pPr>
              <w:pStyle w:val="123"/>
            </w:pPr>
            <w:r>
              <w:t>废气排口</w:t>
            </w:r>
          </w:p>
        </w:tc>
        <w:tc>
          <w:tcPr>
            <w:tcW w:w="1719" w:type="dxa"/>
            <w:vAlign w:val="center"/>
          </w:tcPr>
          <w:p w14:paraId="66A9526F">
            <w:pPr>
              <w:pStyle w:val="123"/>
            </w:pPr>
            <w:r>
              <w:t>噪声源</w:t>
            </w:r>
          </w:p>
        </w:tc>
        <w:tc>
          <w:tcPr>
            <w:tcW w:w="1719" w:type="dxa"/>
            <w:vAlign w:val="center"/>
          </w:tcPr>
          <w:p w14:paraId="08CC53E1">
            <w:pPr>
              <w:pStyle w:val="123"/>
            </w:pPr>
            <w:r>
              <w:t>固废堆场</w:t>
            </w:r>
          </w:p>
        </w:tc>
      </w:tr>
      <w:tr w14:paraId="138D8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1" w:hRule="atLeast"/>
          <w:jc w:val="center"/>
        </w:trPr>
        <w:tc>
          <w:tcPr>
            <w:tcW w:w="1380" w:type="dxa"/>
            <w:vAlign w:val="center"/>
          </w:tcPr>
          <w:p w14:paraId="0DB057D8">
            <w:pPr>
              <w:pStyle w:val="123"/>
            </w:pPr>
            <w:r>
              <w:t>图形符号</w:t>
            </w:r>
          </w:p>
        </w:tc>
        <w:tc>
          <w:tcPr>
            <w:tcW w:w="1920" w:type="dxa"/>
            <w:vAlign w:val="center"/>
          </w:tcPr>
          <w:p w14:paraId="4126BF87">
            <w:pPr>
              <w:pStyle w:val="123"/>
            </w:pPr>
            <w:r>
              <w:drawing>
                <wp:anchor distT="0" distB="0" distL="0" distR="0" simplePos="0" relativeHeight="251660288" behindDoc="0" locked="0" layoutInCell="1" allowOverlap="1">
                  <wp:simplePos x="0" y="0"/>
                  <wp:positionH relativeFrom="column">
                    <wp:posOffset>139700</wp:posOffset>
                  </wp:positionH>
                  <wp:positionV relativeFrom="paragraph">
                    <wp:posOffset>33020</wp:posOffset>
                  </wp:positionV>
                  <wp:extent cx="857250" cy="775335"/>
                  <wp:effectExtent l="0" t="0" r="0" b="5715"/>
                  <wp:wrapNone/>
                  <wp:docPr id="1195" name="图片 954888548" descr="徽标&#10;&#10;描述已自动生成"/>
                  <wp:cNvGraphicFramePr/>
                  <a:graphic xmlns:a="http://schemas.openxmlformats.org/drawingml/2006/main">
                    <a:graphicData uri="http://schemas.openxmlformats.org/drawingml/2006/picture">
                      <pic:pic xmlns:pic="http://schemas.openxmlformats.org/drawingml/2006/picture">
                        <pic:nvPicPr>
                          <pic:cNvPr id="1195" name="图片 954888548" descr="徽标&#10;&#10;描述已自动生成"/>
                          <pic:cNvPicPr/>
                        </pic:nvPicPr>
                        <pic:blipFill>
                          <a:blip r:embed="rId104" cstate="print"/>
                          <a:srcRect/>
                          <a:stretch>
                            <a:fillRect/>
                          </a:stretch>
                        </pic:blipFill>
                        <pic:spPr>
                          <a:xfrm>
                            <a:off x="0" y="0"/>
                            <a:ext cx="857250" cy="775335"/>
                          </a:xfrm>
                          <a:prstGeom prst="rect">
                            <a:avLst/>
                          </a:prstGeom>
                          <a:ln>
                            <a:noFill/>
                          </a:ln>
                        </pic:spPr>
                      </pic:pic>
                    </a:graphicData>
                  </a:graphic>
                </wp:anchor>
              </w:drawing>
            </w:r>
          </w:p>
        </w:tc>
        <w:tc>
          <w:tcPr>
            <w:tcW w:w="1857" w:type="dxa"/>
            <w:vAlign w:val="center"/>
          </w:tcPr>
          <w:p w14:paraId="068E7184">
            <w:pPr>
              <w:pStyle w:val="133"/>
              <w:ind w:right="-105"/>
            </w:pPr>
            <w:r>
              <w:drawing>
                <wp:inline distT="0" distB="0" distL="0" distR="0">
                  <wp:extent cx="854710" cy="795655"/>
                  <wp:effectExtent l="0" t="0" r="2540" b="4445"/>
                  <wp:docPr id="1196" name="图片 302499110" descr="图示&#10;&#10;中度可信度描述已自动生成"/>
                  <wp:cNvGraphicFramePr/>
                  <a:graphic xmlns:a="http://schemas.openxmlformats.org/drawingml/2006/main">
                    <a:graphicData uri="http://schemas.openxmlformats.org/drawingml/2006/picture">
                      <pic:pic xmlns:pic="http://schemas.openxmlformats.org/drawingml/2006/picture">
                        <pic:nvPicPr>
                          <pic:cNvPr id="1196" name="图片 302499110" descr="图示&#10;&#10;中度可信度描述已自动生成"/>
                          <pic:cNvPicPr/>
                        </pic:nvPicPr>
                        <pic:blipFill>
                          <a:blip r:embed="rId105" cstate="print"/>
                          <a:srcRect/>
                          <a:stretch>
                            <a:fillRect/>
                          </a:stretch>
                        </pic:blipFill>
                        <pic:spPr>
                          <a:xfrm>
                            <a:off x="0" y="0"/>
                            <a:ext cx="854710" cy="795655"/>
                          </a:xfrm>
                          <a:prstGeom prst="rect">
                            <a:avLst/>
                          </a:prstGeom>
                          <a:ln>
                            <a:noFill/>
                          </a:ln>
                        </pic:spPr>
                      </pic:pic>
                    </a:graphicData>
                  </a:graphic>
                </wp:inline>
              </w:drawing>
            </w:r>
          </w:p>
        </w:tc>
        <w:tc>
          <w:tcPr>
            <w:tcW w:w="1719" w:type="dxa"/>
            <w:vAlign w:val="center"/>
          </w:tcPr>
          <w:p w14:paraId="21A595C5">
            <w:pPr>
              <w:pStyle w:val="123"/>
            </w:pPr>
            <w:r>
              <w:drawing>
                <wp:anchor distT="0" distB="0" distL="0" distR="0" simplePos="0" relativeHeight="251661312" behindDoc="0" locked="0" layoutInCell="1" allowOverlap="1">
                  <wp:simplePos x="0" y="0"/>
                  <wp:positionH relativeFrom="column">
                    <wp:posOffset>76200</wp:posOffset>
                  </wp:positionH>
                  <wp:positionV relativeFrom="paragraph">
                    <wp:posOffset>-3175</wp:posOffset>
                  </wp:positionV>
                  <wp:extent cx="838835" cy="780415"/>
                  <wp:effectExtent l="0" t="0" r="18415" b="635"/>
                  <wp:wrapNone/>
                  <wp:docPr id="1197" name="图片 267115594"/>
                  <wp:cNvGraphicFramePr/>
                  <a:graphic xmlns:a="http://schemas.openxmlformats.org/drawingml/2006/main">
                    <a:graphicData uri="http://schemas.openxmlformats.org/drawingml/2006/picture">
                      <pic:pic xmlns:pic="http://schemas.openxmlformats.org/drawingml/2006/picture">
                        <pic:nvPicPr>
                          <pic:cNvPr id="1197" name="图片 267115594"/>
                          <pic:cNvPicPr/>
                        </pic:nvPicPr>
                        <pic:blipFill>
                          <a:blip r:embed="rId106" cstate="print"/>
                          <a:srcRect/>
                          <a:stretch>
                            <a:fillRect/>
                          </a:stretch>
                        </pic:blipFill>
                        <pic:spPr>
                          <a:xfrm>
                            <a:off x="0" y="0"/>
                            <a:ext cx="838835" cy="780415"/>
                          </a:xfrm>
                          <a:prstGeom prst="rect">
                            <a:avLst/>
                          </a:prstGeom>
                          <a:ln>
                            <a:noFill/>
                          </a:ln>
                        </pic:spPr>
                      </pic:pic>
                    </a:graphicData>
                  </a:graphic>
                </wp:anchor>
              </w:drawing>
            </w:r>
          </w:p>
        </w:tc>
        <w:tc>
          <w:tcPr>
            <w:tcW w:w="1719" w:type="dxa"/>
            <w:vAlign w:val="center"/>
          </w:tcPr>
          <w:p w14:paraId="686F5E9C">
            <w:pPr>
              <w:pStyle w:val="123"/>
            </w:pPr>
            <w:r>
              <w:drawing>
                <wp:inline distT="0" distB="0" distL="0" distR="0">
                  <wp:extent cx="807720" cy="807720"/>
                  <wp:effectExtent l="0" t="0" r="11430" b="11430"/>
                  <wp:docPr id="1198" name="图片 1380232812" descr="图片包含 形状&#10;&#10;描述已自动生成"/>
                  <wp:cNvGraphicFramePr/>
                  <a:graphic xmlns:a="http://schemas.openxmlformats.org/drawingml/2006/main">
                    <a:graphicData uri="http://schemas.openxmlformats.org/drawingml/2006/picture">
                      <pic:pic xmlns:pic="http://schemas.openxmlformats.org/drawingml/2006/picture">
                        <pic:nvPicPr>
                          <pic:cNvPr id="1198" name="图片 1380232812" descr="图片包含 形状&#10;&#10;描述已自动生成"/>
                          <pic:cNvPicPr/>
                        </pic:nvPicPr>
                        <pic:blipFill>
                          <a:blip r:embed="rId107" cstate="print"/>
                          <a:srcRect/>
                          <a:stretch>
                            <a:fillRect/>
                          </a:stretch>
                        </pic:blipFill>
                        <pic:spPr>
                          <a:xfrm>
                            <a:off x="0" y="0"/>
                            <a:ext cx="807720" cy="807720"/>
                          </a:xfrm>
                          <a:prstGeom prst="rect">
                            <a:avLst/>
                          </a:prstGeom>
                          <a:ln>
                            <a:noFill/>
                          </a:ln>
                        </pic:spPr>
                      </pic:pic>
                    </a:graphicData>
                  </a:graphic>
                </wp:inline>
              </w:drawing>
            </w:r>
          </w:p>
        </w:tc>
      </w:tr>
      <w:tr w14:paraId="13AA9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0" w:type="dxa"/>
            <w:vAlign w:val="center"/>
          </w:tcPr>
          <w:p w14:paraId="36B899D8">
            <w:pPr>
              <w:pStyle w:val="123"/>
            </w:pPr>
            <w:r>
              <w:t>背景颜色</w:t>
            </w:r>
          </w:p>
        </w:tc>
        <w:tc>
          <w:tcPr>
            <w:tcW w:w="7215" w:type="dxa"/>
            <w:gridSpan w:val="4"/>
            <w:vAlign w:val="center"/>
          </w:tcPr>
          <w:p w14:paraId="62F2B22F">
            <w:pPr>
              <w:pStyle w:val="123"/>
            </w:pPr>
            <w:r>
              <w:t>绿色</w:t>
            </w:r>
          </w:p>
        </w:tc>
      </w:tr>
      <w:tr w14:paraId="73182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0" w:type="dxa"/>
            <w:vAlign w:val="center"/>
          </w:tcPr>
          <w:p w14:paraId="116A567C">
            <w:pPr>
              <w:pStyle w:val="123"/>
            </w:pPr>
            <w:r>
              <w:t>图形颜色</w:t>
            </w:r>
          </w:p>
        </w:tc>
        <w:tc>
          <w:tcPr>
            <w:tcW w:w="7215" w:type="dxa"/>
            <w:gridSpan w:val="4"/>
            <w:vAlign w:val="center"/>
          </w:tcPr>
          <w:p w14:paraId="37848CBE">
            <w:pPr>
              <w:pStyle w:val="123"/>
            </w:pPr>
            <w:r>
              <w:t>白色</w:t>
            </w:r>
          </w:p>
        </w:tc>
      </w:tr>
      <w:tr w14:paraId="7BA01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0" w:type="dxa"/>
            <w:vAlign w:val="center"/>
          </w:tcPr>
          <w:p w14:paraId="01016F04">
            <w:pPr>
              <w:pStyle w:val="123"/>
            </w:pPr>
          </w:p>
        </w:tc>
        <w:tc>
          <w:tcPr>
            <w:tcW w:w="1920" w:type="dxa"/>
            <w:vAlign w:val="center"/>
          </w:tcPr>
          <w:p w14:paraId="2F0C8D0C">
            <w:pPr>
              <w:pStyle w:val="123"/>
            </w:pPr>
            <w:r>
              <w:rPr>
                <w:rFonts w:hint="eastAsia"/>
              </w:rPr>
              <w:t>危险废物</w:t>
            </w:r>
          </w:p>
        </w:tc>
        <w:tc>
          <w:tcPr>
            <w:tcW w:w="1857" w:type="dxa"/>
            <w:vAlign w:val="center"/>
          </w:tcPr>
          <w:p w14:paraId="0F8BDFBA">
            <w:pPr>
              <w:pStyle w:val="133"/>
              <w:ind w:right="-105"/>
            </w:pPr>
            <w:r>
              <w:rPr>
                <w:rFonts w:hint="eastAsia"/>
              </w:rPr>
              <w:t>危险废物贮存设施</w:t>
            </w:r>
          </w:p>
        </w:tc>
        <w:tc>
          <w:tcPr>
            <w:tcW w:w="1719" w:type="dxa"/>
            <w:vAlign w:val="center"/>
          </w:tcPr>
          <w:p w14:paraId="0412A3CD">
            <w:pPr>
              <w:pStyle w:val="123"/>
            </w:pPr>
          </w:p>
        </w:tc>
        <w:tc>
          <w:tcPr>
            <w:tcW w:w="1719" w:type="dxa"/>
            <w:vAlign w:val="center"/>
          </w:tcPr>
          <w:p w14:paraId="5A22944C">
            <w:pPr>
              <w:pStyle w:val="123"/>
            </w:pPr>
          </w:p>
        </w:tc>
      </w:tr>
      <w:tr w14:paraId="728FA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1" w:hRule="atLeast"/>
          <w:jc w:val="center"/>
        </w:trPr>
        <w:tc>
          <w:tcPr>
            <w:tcW w:w="1380" w:type="dxa"/>
            <w:vAlign w:val="center"/>
          </w:tcPr>
          <w:p w14:paraId="48DB0714">
            <w:pPr>
              <w:pStyle w:val="123"/>
            </w:pPr>
            <w:r>
              <w:t>图形符号</w:t>
            </w:r>
          </w:p>
        </w:tc>
        <w:tc>
          <w:tcPr>
            <w:tcW w:w="1920" w:type="dxa"/>
            <w:vAlign w:val="center"/>
          </w:tcPr>
          <w:p w14:paraId="15AB72CB">
            <w:pPr>
              <w:pStyle w:val="123"/>
            </w:pPr>
            <w:r>
              <w:drawing>
                <wp:inline distT="0" distB="0" distL="0" distR="0">
                  <wp:extent cx="1082040" cy="1083945"/>
                  <wp:effectExtent l="0" t="0" r="3810" b="1905"/>
                  <wp:docPr id="1199" name="图片 1"/>
                  <wp:cNvGraphicFramePr/>
                  <a:graphic xmlns:a="http://schemas.openxmlformats.org/drawingml/2006/main">
                    <a:graphicData uri="http://schemas.openxmlformats.org/drawingml/2006/picture">
                      <pic:pic xmlns:pic="http://schemas.openxmlformats.org/drawingml/2006/picture">
                        <pic:nvPicPr>
                          <pic:cNvPr id="1199" name="图片 1"/>
                          <pic:cNvPicPr/>
                        </pic:nvPicPr>
                        <pic:blipFill>
                          <a:blip r:embed="rId108" cstate="print"/>
                          <a:srcRect/>
                          <a:stretch>
                            <a:fillRect/>
                          </a:stretch>
                        </pic:blipFill>
                        <pic:spPr>
                          <a:xfrm>
                            <a:off x="0" y="0"/>
                            <a:ext cx="1082040" cy="1083945"/>
                          </a:xfrm>
                          <a:prstGeom prst="rect">
                            <a:avLst/>
                          </a:prstGeom>
                        </pic:spPr>
                      </pic:pic>
                    </a:graphicData>
                  </a:graphic>
                </wp:inline>
              </w:drawing>
            </w:r>
          </w:p>
        </w:tc>
        <w:tc>
          <w:tcPr>
            <w:tcW w:w="1857" w:type="dxa"/>
            <w:vAlign w:val="center"/>
          </w:tcPr>
          <w:p w14:paraId="6D5F9821">
            <w:pPr>
              <w:pStyle w:val="133"/>
              <w:ind w:right="-105"/>
            </w:pPr>
            <w:r>
              <w:drawing>
                <wp:inline distT="0" distB="0" distL="0" distR="0">
                  <wp:extent cx="954405" cy="1475105"/>
                  <wp:effectExtent l="0" t="0" r="0" b="0"/>
                  <wp:docPr id="1200" name="图片 1"/>
                  <wp:cNvGraphicFramePr/>
                  <a:graphic xmlns:a="http://schemas.openxmlformats.org/drawingml/2006/main">
                    <a:graphicData uri="http://schemas.openxmlformats.org/drawingml/2006/picture">
                      <pic:pic xmlns:pic="http://schemas.openxmlformats.org/drawingml/2006/picture">
                        <pic:nvPicPr>
                          <pic:cNvPr id="1200" name="图片 1"/>
                          <pic:cNvPicPr/>
                        </pic:nvPicPr>
                        <pic:blipFill>
                          <a:blip r:embed="rId109" cstate="print"/>
                          <a:srcRect/>
                          <a:stretch>
                            <a:fillRect/>
                          </a:stretch>
                        </pic:blipFill>
                        <pic:spPr>
                          <a:xfrm>
                            <a:off x="0" y="0"/>
                            <a:ext cx="954405" cy="1475105"/>
                          </a:xfrm>
                          <a:prstGeom prst="rect">
                            <a:avLst/>
                          </a:prstGeom>
                        </pic:spPr>
                      </pic:pic>
                    </a:graphicData>
                  </a:graphic>
                </wp:inline>
              </w:drawing>
            </w:r>
          </w:p>
        </w:tc>
        <w:tc>
          <w:tcPr>
            <w:tcW w:w="1719" w:type="dxa"/>
            <w:vAlign w:val="center"/>
          </w:tcPr>
          <w:p w14:paraId="075C27A6">
            <w:pPr>
              <w:pStyle w:val="123"/>
            </w:pPr>
          </w:p>
        </w:tc>
        <w:tc>
          <w:tcPr>
            <w:tcW w:w="1719" w:type="dxa"/>
            <w:vAlign w:val="center"/>
          </w:tcPr>
          <w:p w14:paraId="7569AFF1">
            <w:pPr>
              <w:pStyle w:val="123"/>
            </w:pPr>
          </w:p>
        </w:tc>
      </w:tr>
      <w:tr w14:paraId="6407D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1380" w:type="dxa"/>
            <w:vAlign w:val="center"/>
          </w:tcPr>
          <w:p w14:paraId="0C77198F">
            <w:pPr>
              <w:pStyle w:val="123"/>
            </w:pPr>
            <w:r>
              <w:t>背景颜色</w:t>
            </w:r>
          </w:p>
        </w:tc>
        <w:tc>
          <w:tcPr>
            <w:tcW w:w="7215" w:type="dxa"/>
            <w:gridSpan w:val="4"/>
            <w:vAlign w:val="center"/>
          </w:tcPr>
          <w:p w14:paraId="501C2D6F">
            <w:pPr>
              <w:pStyle w:val="123"/>
            </w:pPr>
            <w:r>
              <w:rPr>
                <w:rFonts w:hint="eastAsia"/>
              </w:rPr>
              <w:t>黄</w:t>
            </w:r>
            <w:r>
              <w:t>色</w:t>
            </w:r>
          </w:p>
        </w:tc>
      </w:tr>
      <w:tr w14:paraId="01FDA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0" w:hRule="atLeast"/>
          <w:jc w:val="center"/>
        </w:trPr>
        <w:tc>
          <w:tcPr>
            <w:tcW w:w="1380" w:type="dxa"/>
            <w:vAlign w:val="center"/>
          </w:tcPr>
          <w:p w14:paraId="1B7B1E94">
            <w:pPr>
              <w:pStyle w:val="123"/>
            </w:pPr>
            <w:r>
              <w:t>图形颜色</w:t>
            </w:r>
          </w:p>
        </w:tc>
        <w:tc>
          <w:tcPr>
            <w:tcW w:w="7215" w:type="dxa"/>
            <w:gridSpan w:val="4"/>
            <w:vAlign w:val="center"/>
          </w:tcPr>
          <w:p w14:paraId="5D50DB65">
            <w:pPr>
              <w:pStyle w:val="123"/>
            </w:pPr>
            <w:r>
              <w:rPr>
                <w:rFonts w:hint="eastAsia"/>
              </w:rPr>
              <w:t>黑色</w:t>
            </w:r>
          </w:p>
        </w:tc>
      </w:tr>
    </w:tbl>
    <w:p w14:paraId="7A990723">
      <w:pPr>
        <w:ind w:firstLine="0" w:firstLineChars="0"/>
        <w:jc w:val="center"/>
      </w:pPr>
    </w:p>
    <w:p w14:paraId="5BB3D65B">
      <w:pPr>
        <w:ind w:firstLine="480"/>
      </w:pPr>
      <w:r>
        <w:rPr>
          <w:rFonts w:hint="eastAsia"/>
        </w:rPr>
        <w:t>排污口应符合“一明显、二合理、三便于”的要求，即环保标志明显，排污口设置合理，排污去向合理，便于采集样品，便于监测计量，便于公众监督管理；</w:t>
      </w:r>
    </w:p>
    <w:p w14:paraId="1D334F95">
      <w:pPr>
        <w:ind w:firstLine="480"/>
      </w:pPr>
      <w:r>
        <w:rPr>
          <w:rFonts w:hint="eastAsia"/>
        </w:rPr>
        <w:t>一切新建、扩建、改建和限期治理的排污单位必须在建设污染治理设施的同时建设规范化排放口，并作为落实环境保护“三同时”制度的必要组成部分和项目验收的内容之一。</w:t>
      </w:r>
    </w:p>
    <w:p w14:paraId="5480B788">
      <w:pPr>
        <w:ind w:firstLine="480"/>
      </w:pPr>
      <w:r>
        <w:rPr>
          <w:rFonts w:hint="eastAsia"/>
        </w:rPr>
        <w:t>排污单位必须负责规范化的有关环保设置（如图形标志牌、计量装置、监控装置等）日常的维护保养，任何单位和个人不得擅自拆除，如需变更的须报环境监察部门同意并办理变更手续。</w:t>
      </w:r>
    </w:p>
    <w:p w14:paraId="690DC348">
      <w:pPr>
        <w:pStyle w:val="944"/>
      </w:pPr>
      <w:r>
        <w:t>排污口建档管理</w:t>
      </w:r>
    </w:p>
    <w:p w14:paraId="50098A0E">
      <w:pPr>
        <w:ind w:firstLine="480"/>
      </w:pPr>
      <w:r>
        <w:rPr>
          <w:rFonts w:hint="eastAsia"/>
        </w:rPr>
        <w:t>要求使用国家环保总局统一印刷的《中华人民共和国规范化排污口标志登记证》，并填写相关内容；根据排污口管理档案内容要求，项目建成投产运营后，应将主要污染物种类、数量、浓度、排放去向、立标情况及设施运行情况记录于档案内。</w:t>
      </w:r>
    </w:p>
    <w:p w14:paraId="19022051">
      <w:pPr>
        <w:pStyle w:val="138"/>
        <w:rPr>
          <w:rFonts w:hint="eastAsia"/>
        </w:rPr>
      </w:pPr>
      <w:r>
        <w:t>排污许可制度</w:t>
      </w:r>
    </w:p>
    <w:p w14:paraId="019E861E">
      <w:pPr>
        <w:pStyle w:val="117"/>
        <w:ind w:firstLine="480"/>
      </w:pPr>
      <w:bookmarkStart w:id="714" w:name="_Hlk199874380"/>
      <w:r>
        <w:rPr>
          <w:rFonts w:hint="eastAsia"/>
        </w:rPr>
        <w:t>国务院于</w:t>
      </w:r>
      <w:r>
        <w:t>2021年1月24日发布</w:t>
      </w:r>
      <w:r>
        <w:rPr>
          <w:rFonts w:hint="eastAsia"/>
        </w:rPr>
        <w:t>《排污许可管理条例》，条例指出：</w:t>
      </w:r>
      <w:r>
        <w:t>依照法律规定实行排污许可管理的企业事业单位和其他生产经营者（以下称排污单位），应当依照本条例规定申请取得排污许可证；未取得排污许可证的，不得排放污染物。</w:t>
      </w:r>
      <w:r>
        <w:rPr>
          <w:rFonts w:hint="eastAsia"/>
        </w:rPr>
        <w:t>排污单位应当向其生产经营场所所在地设区的市级以上地方人民政府生态环境主管部门（以下称审批部门）申请取得排污许可证。</w:t>
      </w:r>
    </w:p>
    <w:p w14:paraId="398BD356">
      <w:pPr>
        <w:pStyle w:val="117"/>
        <w:ind w:firstLine="480"/>
        <w:rPr>
          <w:color w:val="FF0000"/>
        </w:rPr>
      </w:pPr>
      <w:r>
        <w:rPr>
          <w:rFonts w:hint="eastAsia"/>
        </w:rPr>
        <w:t>本次环评</w:t>
      </w:r>
      <w:r>
        <w:t>要求</w:t>
      </w:r>
      <w:r>
        <w:rPr>
          <w:rFonts w:hint="eastAsia"/>
        </w:rPr>
        <w:t>，项目</w:t>
      </w:r>
      <w:r>
        <w:t>环评报告书</w:t>
      </w:r>
      <w:r>
        <w:rPr>
          <w:rFonts w:hint="eastAsia"/>
        </w:rPr>
        <w:t>取得批复</w:t>
      </w:r>
      <w:r>
        <w:t>后、项目实际运行前，应</w:t>
      </w:r>
      <w:r>
        <w:rPr>
          <w:rFonts w:hint="eastAsia"/>
          <w:color w:val="000000"/>
        </w:rPr>
        <w:t>按照</w:t>
      </w:r>
      <w:r>
        <w:rPr>
          <w:color w:val="000000"/>
        </w:rPr>
        <w:t>《排污</w:t>
      </w:r>
      <w:r>
        <w:rPr>
          <w:rFonts w:hint="eastAsia"/>
          <w:color w:val="000000"/>
        </w:rPr>
        <w:t>许可证</w:t>
      </w:r>
      <w:r>
        <w:rPr>
          <w:color w:val="000000"/>
        </w:rPr>
        <w:t>申请与核发技术规范</w:t>
      </w:r>
      <w:r>
        <w:rPr>
          <w:rFonts w:hint="eastAsia"/>
          <w:color w:val="000000"/>
        </w:rPr>
        <w:t xml:space="preserve"> 总则</w:t>
      </w:r>
      <w:r>
        <w:rPr>
          <w:color w:val="000000"/>
        </w:rPr>
        <w:t>》（HJ</w:t>
      </w:r>
      <w:r>
        <w:rPr>
          <w:rFonts w:hint="eastAsia"/>
          <w:color w:val="000000"/>
        </w:rPr>
        <w:t>942</w:t>
      </w:r>
      <w:r>
        <w:rPr>
          <w:color w:val="000000"/>
        </w:rPr>
        <w:t>-201</w:t>
      </w:r>
      <w:r>
        <w:rPr>
          <w:rFonts w:hint="eastAsia"/>
          <w:color w:val="000000"/>
        </w:rPr>
        <w:t>8</w:t>
      </w:r>
      <w:r>
        <w:rPr>
          <w:color w:val="000000"/>
        </w:rPr>
        <w:t>）</w:t>
      </w:r>
      <w:r>
        <w:rPr>
          <w:rFonts w:hint="eastAsia"/>
          <w:color w:val="000000"/>
        </w:rPr>
        <w:t>、《排污单位自行监测技术指南 有色金属工业》（</w:t>
      </w:r>
      <w:r>
        <w:rPr>
          <w:color w:val="000000"/>
        </w:rPr>
        <w:t>HJ 989-2018</w:t>
      </w:r>
      <w:r>
        <w:rPr>
          <w:rFonts w:hint="eastAsia"/>
          <w:color w:val="000000"/>
        </w:rPr>
        <w:t>）、《排污许可证申请与核发技术规范 铁合金、电解锰工业》（HJ 1117-2020）、《排污许可证申请与核发技术规范 有色金属工业——镁冶炼》（HJ 933-2020）、《排污许可证申请与核发技术规范 炼焦化学工业》（HJ 854-2017）</w:t>
      </w:r>
      <w:r>
        <w:t>要求完成排污许可证</w:t>
      </w:r>
      <w:r>
        <w:rPr>
          <w:rFonts w:hint="eastAsia"/>
        </w:rPr>
        <w:t>申领</w:t>
      </w:r>
      <w:r>
        <w:t>工作，作为本项目合法运行的前提。</w:t>
      </w:r>
    </w:p>
    <w:bookmarkEnd w:id="714"/>
    <w:p w14:paraId="44376B0D">
      <w:pPr>
        <w:pStyle w:val="138"/>
        <w:rPr>
          <w:rFonts w:hint="eastAsia"/>
        </w:rPr>
      </w:pPr>
      <w:r>
        <w:t>信息公开</w:t>
      </w:r>
    </w:p>
    <w:p w14:paraId="1D12AABD">
      <w:pPr>
        <w:pStyle w:val="117"/>
        <w:ind w:firstLine="480"/>
      </w:pPr>
      <w:r>
        <w:rPr>
          <w:rFonts w:hint="eastAsia"/>
        </w:rPr>
        <w:t>建设单位按照《企业事业单位环境信息公开办法》及《关于加强污染源环境监管信息公开工作的通知》的要求，在重点排污单位名录公布后九十日内，对以下内容进行公开：</w:t>
      </w:r>
    </w:p>
    <w:p w14:paraId="702CE668">
      <w:pPr>
        <w:pStyle w:val="117"/>
        <w:ind w:firstLine="480"/>
      </w:pPr>
      <w:r>
        <w:rPr>
          <w:rFonts w:hint="eastAsia"/>
        </w:rPr>
        <w:t>（</w:t>
      </w:r>
      <w:r>
        <w:t>1</w:t>
      </w:r>
      <w:r>
        <w:rPr>
          <w:rFonts w:hint="eastAsia"/>
        </w:rPr>
        <w:t>）建设单位名称、组织机构代码、法定代表人、生产地址、联系方式，以及生产经营和管理服务的主要内容、产品及规模；</w:t>
      </w:r>
    </w:p>
    <w:p w14:paraId="05900425">
      <w:pPr>
        <w:pStyle w:val="117"/>
        <w:ind w:firstLine="480"/>
      </w:pPr>
      <w:r>
        <w:rPr>
          <w:rFonts w:hint="eastAsia"/>
        </w:rPr>
        <w:t>（</w:t>
      </w:r>
      <w:r>
        <w:t>2</w:t>
      </w:r>
      <w:r>
        <w:rPr>
          <w:rFonts w:hint="eastAsia"/>
        </w:rPr>
        <w:t>）污染物及特征污染物的名称、排放方式、排放口数量和分布情况、排放浓度和总量、超标情况，以及执行的污染物排放标准、核定的排放总量；</w:t>
      </w:r>
    </w:p>
    <w:p w14:paraId="00FBA356">
      <w:pPr>
        <w:pStyle w:val="117"/>
        <w:ind w:firstLine="480"/>
      </w:pPr>
      <w:r>
        <w:rPr>
          <w:rFonts w:hint="eastAsia"/>
        </w:rPr>
        <w:t>（</w:t>
      </w:r>
      <w:r>
        <w:t>3</w:t>
      </w:r>
      <w:r>
        <w:rPr>
          <w:rFonts w:hint="eastAsia"/>
        </w:rPr>
        <w:t>）防治污染设施的建设和运行情况；</w:t>
      </w:r>
    </w:p>
    <w:p w14:paraId="50B5CDF1">
      <w:pPr>
        <w:pStyle w:val="117"/>
        <w:ind w:firstLine="480"/>
      </w:pPr>
      <w:r>
        <w:rPr>
          <w:rFonts w:hint="eastAsia"/>
        </w:rPr>
        <w:t>（</w:t>
      </w:r>
      <w:r>
        <w:t>4</w:t>
      </w:r>
      <w:r>
        <w:rPr>
          <w:rFonts w:hint="eastAsia"/>
        </w:rPr>
        <w:t>）建设项目环境影响评价及其他环境保护行政许可情况；</w:t>
      </w:r>
    </w:p>
    <w:p w14:paraId="69AA7D20">
      <w:pPr>
        <w:pStyle w:val="117"/>
        <w:ind w:firstLine="480"/>
      </w:pPr>
      <w:r>
        <w:rPr>
          <w:rFonts w:hint="eastAsia"/>
        </w:rPr>
        <w:t>（</w:t>
      </w:r>
      <w:r>
        <w:t>5</w:t>
      </w:r>
      <w:r>
        <w:rPr>
          <w:rFonts w:hint="eastAsia"/>
        </w:rPr>
        <w:t>）突发环境事件应急预案。</w:t>
      </w:r>
    </w:p>
    <w:p w14:paraId="4C8F337A">
      <w:pPr>
        <w:pStyle w:val="3"/>
      </w:pPr>
      <w:bookmarkStart w:id="715" w:name="_Toc205291429"/>
      <w:r>
        <w:t>污染源排放清单</w:t>
      </w:r>
      <w:bookmarkEnd w:id="715"/>
    </w:p>
    <w:p w14:paraId="2CB6BD04">
      <w:pPr>
        <w:ind w:firstLine="480"/>
      </w:pPr>
      <w:r>
        <w:rPr>
          <w:rFonts w:hint="eastAsia"/>
        </w:rPr>
        <w:t>本项目结合排污许可制度，对污染物排放按各装置列出了污染源清单，具体见以下各表。企业填报排污许可文件中的许可排放限值时，需同时满足环境影响评价文件和批复要求。</w:t>
      </w:r>
    </w:p>
    <w:p w14:paraId="797E194B">
      <w:pPr>
        <w:pStyle w:val="117"/>
        <w:ind w:firstLine="480"/>
      </w:pPr>
      <w:r>
        <w:rPr>
          <w:rFonts w:hint="eastAsia"/>
        </w:rPr>
        <w:t>污染源排放清单见表9.2-1。</w:t>
      </w:r>
    </w:p>
    <w:p w14:paraId="759D4017">
      <w:pPr>
        <w:pStyle w:val="117"/>
        <w:ind w:firstLine="480"/>
      </w:pPr>
    </w:p>
    <w:p w14:paraId="2CB09749">
      <w:pPr>
        <w:pStyle w:val="117"/>
        <w:ind w:firstLine="480"/>
      </w:pPr>
    </w:p>
    <w:p w14:paraId="0DA898C6">
      <w:pPr>
        <w:pStyle w:val="117"/>
        <w:ind w:firstLine="480"/>
      </w:pPr>
    </w:p>
    <w:p w14:paraId="17F9A1D3">
      <w:pPr>
        <w:pStyle w:val="117"/>
        <w:ind w:firstLine="480"/>
      </w:pPr>
    </w:p>
    <w:p w14:paraId="5EC1D07A">
      <w:pPr>
        <w:pStyle w:val="117"/>
        <w:ind w:firstLine="480"/>
      </w:pPr>
    </w:p>
    <w:p w14:paraId="4C67B455">
      <w:pPr>
        <w:pStyle w:val="117"/>
        <w:ind w:firstLine="480"/>
      </w:pPr>
    </w:p>
    <w:p w14:paraId="417DFCD1">
      <w:pPr>
        <w:pStyle w:val="117"/>
        <w:ind w:firstLine="480"/>
      </w:pPr>
    </w:p>
    <w:p w14:paraId="1958B2E6">
      <w:pPr>
        <w:pStyle w:val="117"/>
        <w:ind w:firstLine="480"/>
        <w:sectPr>
          <w:pgSz w:w="11906" w:h="16838"/>
          <w:pgMar w:top="1418" w:right="1286" w:bottom="1418" w:left="1531" w:header="851" w:footer="992" w:gutter="0"/>
          <w:cols w:space="720" w:num="1"/>
          <w:docGrid w:linePitch="312" w:charSpace="0"/>
        </w:sectPr>
      </w:pPr>
    </w:p>
    <w:p w14:paraId="7AD3D447">
      <w:pPr>
        <w:pStyle w:val="118"/>
        <w:ind w:firstLine="480"/>
        <w:rPr>
          <w:color w:val="auto"/>
        </w:rPr>
      </w:pPr>
      <w:r>
        <w:rPr>
          <w:rFonts w:hint="eastAsia"/>
          <w:color w:val="auto"/>
        </w:rPr>
        <w:t>表9.</w:t>
      </w:r>
      <w:r>
        <w:rPr>
          <w:color w:val="auto"/>
        </w:rPr>
        <w:t>2</w:t>
      </w:r>
      <w:r>
        <w:rPr>
          <w:rFonts w:hint="eastAsia"/>
          <w:color w:val="auto"/>
        </w:rPr>
        <w:t>-1  污染源排放清单</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24"/>
        <w:gridCol w:w="1113"/>
        <w:gridCol w:w="1139"/>
        <w:gridCol w:w="1284"/>
        <w:gridCol w:w="713"/>
        <w:gridCol w:w="1135"/>
        <w:gridCol w:w="996"/>
        <w:gridCol w:w="1139"/>
        <w:gridCol w:w="1139"/>
        <w:gridCol w:w="996"/>
        <w:gridCol w:w="996"/>
        <w:gridCol w:w="2658"/>
      </w:tblGrid>
      <w:tr w14:paraId="608EB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24" w:type="dxa"/>
            <w:vMerge w:val="restart"/>
            <w:vAlign w:val="center"/>
          </w:tcPr>
          <w:p w14:paraId="2B83A6DF">
            <w:pPr>
              <w:pStyle w:val="133"/>
              <w:rPr>
                <w:b/>
                <w:bCs/>
                <w:color w:val="000000"/>
                <w:szCs w:val="21"/>
              </w:rPr>
            </w:pPr>
            <w:r>
              <w:rPr>
                <w:b/>
                <w:bCs/>
                <w:color w:val="000000"/>
                <w:szCs w:val="21"/>
              </w:rPr>
              <w:t>污染物类型</w:t>
            </w:r>
          </w:p>
        </w:tc>
        <w:tc>
          <w:tcPr>
            <w:tcW w:w="1113" w:type="dxa"/>
            <w:vMerge w:val="restart"/>
            <w:vAlign w:val="center"/>
          </w:tcPr>
          <w:p w14:paraId="74A5953F">
            <w:pPr>
              <w:pStyle w:val="133"/>
              <w:rPr>
                <w:b/>
                <w:bCs/>
                <w:color w:val="000000"/>
                <w:szCs w:val="21"/>
              </w:rPr>
            </w:pPr>
            <w:r>
              <w:rPr>
                <w:b/>
                <w:bCs/>
                <w:color w:val="000000"/>
                <w:szCs w:val="21"/>
              </w:rPr>
              <w:t>工程</w:t>
            </w:r>
          </w:p>
          <w:p w14:paraId="0F5B82BB">
            <w:pPr>
              <w:pStyle w:val="133"/>
              <w:rPr>
                <w:b/>
                <w:bCs/>
                <w:color w:val="000000"/>
                <w:szCs w:val="21"/>
              </w:rPr>
            </w:pPr>
            <w:r>
              <w:rPr>
                <w:b/>
                <w:bCs/>
                <w:color w:val="000000"/>
                <w:szCs w:val="21"/>
              </w:rPr>
              <w:t>组成</w:t>
            </w:r>
          </w:p>
        </w:tc>
        <w:tc>
          <w:tcPr>
            <w:tcW w:w="1139" w:type="dxa"/>
            <w:vMerge w:val="restart"/>
            <w:vAlign w:val="center"/>
          </w:tcPr>
          <w:p w14:paraId="44B308B0">
            <w:pPr>
              <w:pStyle w:val="133"/>
              <w:rPr>
                <w:b/>
                <w:bCs/>
                <w:color w:val="000000"/>
                <w:szCs w:val="21"/>
              </w:rPr>
            </w:pPr>
            <w:r>
              <w:rPr>
                <w:b/>
                <w:bCs/>
                <w:color w:val="000000"/>
                <w:szCs w:val="21"/>
              </w:rPr>
              <w:t>产污环节</w:t>
            </w:r>
          </w:p>
        </w:tc>
        <w:tc>
          <w:tcPr>
            <w:tcW w:w="1284" w:type="dxa"/>
            <w:vMerge w:val="restart"/>
            <w:vAlign w:val="center"/>
          </w:tcPr>
          <w:p w14:paraId="23613017">
            <w:pPr>
              <w:pStyle w:val="133"/>
              <w:rPr>
                <w:b/>
                <w:bCs/>
                <w:color w:val="000000"/>
                <w:szCs w:val="21"/>
              </w:rPr>
            </w:pPr>
            <w:r>
              <w:rPr>
                <w:b/>
                <w:bCs/>
                <w:color w:val="000000"/>
                <w:szCs w:val="21"/>
              </w:rPr>
              <w:t>污染物类型</w:t>
            </w:r>
          </w:p>
        </w:tc>
        <w:tc>
          <w:tcPr>
            <w:tcW w:w="713" w:type="dxa"/>
            <w:vMerge w:val="restart"/>
            <w:vAlign w:val="center"/>
          </w:tcPr>
          <w:p w14:paraId="627EA843">
            <w:pPr>
              <w:pStyle w:val="133"/>
              <w:rPr>
                <w:b/>
                <w:bCs/>
                <w:color w:val="000000"/>
                <w:szCs w:val="21"/>
              </w:rPr>
            </w:pPr>
            <w:r>
              <w:rPr>
                <w:b/>
                <w:bCs/>
                <w:color w:val="000000"/>
                <w:szCs w:val="21"/>
              </w:rPr>
              <w:t>排放</w:t>
            </w:r>
          </w:p>
          <w:p w14:paraId="3009FE3D">
            <w:pPr>
              <w:pStyle w:val="133"/>
              <w:rPr>
                <w:b/>
                <w:bCs/>
                <w:color w:val="000000"/>
                <w:szCs w:val="21"/>
              </w:rPr>
            </w:pPr>
            <w:r>
              <w:rPr>
                <w:b/>
                <w:bCs/>
                <w:color w:val="000000"/>
                <w:szCs w:val="21"/>
              </w:rPr>
              <w:t>形式</w:t>
            </w:r>
          </w:p>
        </w:tc>
        <w:tc>
          <w:tcPr>
            <w:tcW w:w="1135" w:type="dxa"/>
            <w:vMerge w:val="restart"/>
            <w:vAlign w:val="center"/>
          </w:tcPr>
          <w:p w14:paraId="0A6B3338">
            <w:pPr>
              <w:pStyle w:val="133"/>
              <w:rPr>
                <w:b/>
                <w:bCs/>
                <w:color w:val="000000"/>
                <w:szCs w:val="21"/>
              </w:rPr>
            </w:pPr>
            <w:r>
              <w:rPr>
                <w:b/>
                <w:bCs/>
                <w:color w:val="000000"/>
                <w:szCs w:val="21"/>
              </w:rPr>
              <w:t>拟采取的</w:t>
            </w:r>
          </w:p>
          <w:p w14:paraId="4D98A2A4">
            <w:pPr>
              <w:pStyle w:val="133"/>
              <w:rPr>
                <w:b/>
                <w:bCs/>
                <w:color w:val="000000"/>
                <w:szCs w:val="21"/>
              </w:rPr>
            </w:pPr>
            <w:r>
              <w:rPr>
                <w:b/>
                <w:bCs/>
                <w:color w:val="000000"/>
                <w:szCs w:val="21"/>
              </w:rPr>
              <w:t>环保措施</w:t>
            </w:r>
          </w:p>
        </w:tc>
        <w:tc>
          <w:tcPr>
            <w:tcW w:w="996" w:type="dxa"/>
            <w:vMerge w:val="restart"/>
            <w:vAlign w:val="center"/>
          </w:tcPr>
          <w:p w14:paraId="73A4495D">
            <w:pPr>
              <w:pStyle w:val="133"/>
              <w:rPr>
                <w:b/>
                <w:bCs/>
                <w:color w:val="000000"/>
                <w:szCs w:val="21"/>
              </w:rPr>
            </w:pPr>
            <w:r>
              <w:rPr>
                <w:b/>
                <w:bCs/>
                <w:color w:val="000000"/>
                <w:szCs w:val="21"/>
              </w:rPr>
              <w:t>排放浓度</w:t>
            </w:r>
          </w:p>
          <w:p w14:paraId="009F622F">
            <w:pPr>
              <w:pStyle w:val="133"/>
              <w:rPr>
                <w:b/>
                <w:bCs/>
                <w:color w:val="000000"/>
                <w:szCs w:val="21"/>
              </w:rPr>
            </w:pPr>
            <w:r>
              <w:rPr>
                <w:rFonts w:hint="eastAsia"/>
                <w:b/>
                <w:bCs/>
                <w:color w:val="000000"/>
                <w:szCs w:val="21"/>
              </w:rPr>
              <w:t>（mg/m</w:t>
            </w:r>
            <w:r>
              <w:rPr>
                <w:rFonts w:hint="eastAsia"/>
                <w:b/>
                <w:bCs/>
                <w:color w:val="000000"/>
                <w:szCs w:val="21"/>
                <w:vertAlign w:val="superscript"/>
              </w:rPr>
              <w:t>3</w:t>
            </w:r>
            <w:r>
              <w:rPr>
                <w:rFonts w:hint="eastAsia"/>
                <w:b/>
                <w:bCs/>
                <w:color w:val="000000"/>
                <w:szCs w:val="21"/>
              </w:rPr>
              <w:t>）</w:t>
            </w:r>
          </w:p>
        </w:tc>
        <w:tc>
          <w:tcPr>
            <w:tcW w:w="1139" w:type="dxa"/>
            <w:vMerge w:val="restart"/>
            <w:vAlign w:val="center"/>
          </w:tcPr>
          <w:p w14:paraId="7D86600A">
            <w:pPr>
              <w:pStyle w:val="133"/>
              <w:rPr>
                <w:b/>
                <w:bCs/>
                <w:color w:val="000000"/>
                <w:szCs w:val="21"/>
              </w:rPr>
            </w:pPr>
            <w:r>
              <w:rPr>
                <w:b/>
                <w:bCs/>
                <w:color w:val="000000"/>
                <w:szCs w:val="21"/>
              </w:rPr>
              <w:t>排放</w:t>
            </w:r>
            <w:r>
              <w:rPr>
                <w:rFonts w:hint="eastAsia"/>
                <w:b/>
                <w:bCs/>
                <w:color w:val="000000"/>
                <w:szCs w:val="21"/>
              </w:rPr>
              <w:t>速率</w:t>
            </w:r>
          </w:p>
          <w:p w14:paraId="271F5DF7">
            <w:pPr>
              <w:pStyle w:val="133"/>
              <w:rPr>
                <w:b/>
                <w:bCs/>
                <w:color w:val="000000"/>
                <w:szCs w:val="21"/>
              </w:rPr>
            </w:pPr>
            <w:r>
              <w:rPr>
                <w:rFonts w:hint="eastAsia"/>
                <w:b/>
                <w:bCs/>
                <w:color w:val="000000"/>
                <w:szCs w:val="21"/>
              </w:rPr>
              <w:t>（</w:t>
            </w:r>
            <w:r>
              <w:rPr>
                <w:b/>
                <w:bCs/>
                <w:color w:val="000000"/>
                <w:szCs w:val="21"/>
              </w:rPr>
              <w:t>kg</w:t>
            </w:r>
            <w:r>
              <w:rPr>
                <w:rFonts w:hint="eastAsia"/>
                <w:b/>
                <w:bCs/>
                <w:color w:val="000000"/>
                <w:szCs w:val="21"/>
              </w:rPr>
              <w:t>/</w:t>
            </w:r>
            <w:r>
              <w:rPr>
                <w:b/>
                <w:bCs/>
                <w:color w:val="000000"/>
                <w:szCs w:val="21"/>
              </w:rPr>
              <w:t>h</w:t>
            </w:r>
            <w:r>
              <w:rPr>
                <w:rFonts w:hint="eastAsia"/>
                <w:b/>
                <w:bCs/>
                <w:color w:val="000000"/>
                <w:szCs w:val="21"/>
              </w:rPr>
              <w:t>）</w:t>
            </w:r>
          </w:p>
        </w:tc>
        <w:tc>
          <w:tcPr>
            <w:tcW w:w="1139" w:type="dxa"/>
            <w:vMerge w:val="restart"/>
            <w:vAlign w:val="center"/>
          </w:tcPr>
          <w:p w14:paraId="7964952F">
            <w:pPr>
              <w:pStyle w:val="133"/>
              <w:rPr>
                <w:b/>
                <w:bCs/>
                <w:color w:val="000000"/>
                <w:szCs w:val="21"/>
              </w:rPr>
            </w:pPr>
            <w:r>
              <w:rPr>
                <w:b/>
                <w:bCs/>
                <w:color w:val="000000"/>
                <w:szCs w:val="21"/>
              </w:rPr>
              <w:t>排放量</w:t>
            </w:r>
          </w:p>
          <w:p w14:paraId="22BC1EB7">
            <w:pPr>
              <w:pStyle w:val="133"/>
              <w:rPr>
                <w:b/>
                <w:bCs/>
                <w:color w:val="000000"/>
                <w:szCs w:val="21"/>
              </w:rPr>
            </w:pPr>
            <w:r>
              <w:rPr>
                <w:rFonts w:hint="eastAsia"/>
                <w:b/>
                <w:bCs/>
                <w:color w:val="000000"/>
                <w:szCs w:val="21"/>
              </w:rPr>
              <w:t>（t/a）</w:t>
            </w:r>
          </w:p>
        </w:tc>
        <w:tc>
          <w:tcPr>
            <w:tcW w:w="1992" w:type="dxa"/>
            <w:gridSpan w:val="2"/>
            <w:vAlign w:val="center"/>
          </w:tcPr>
          <w:p w14:paraId="25F32906">
            <w:pPr>
              <w:pStyle w:val="133"/>
              <w:rPr>
                <w:b/>
                <w:bCs/>
                <w:color w:val="000000"/>
                <w:szCs w:val="21"/>
              </w:rPr>
            </w:pPr>
            <w:r>
              <w:rPr>
                <w:b/>
                <w:bCs/>
                <w:color w:val="000000"/>
                <w:szCs w:val="21"/>
              </w:rPr>
              <w:t>排放标准</w:t>
            </w:r>
          </w:p>
        </w:tc>
        <w:tc>
          <w:tcPr>
            <w:tcW w:w="2658" w:type="dxa"/>
            <w:vMerge w:val="restart"/>
            <w:vAlign w:val="center"/>
          </w:tcPr>
          <w:p w14:paraId="7C799D26">
            <w:pPr>
              <w:pStyle w:val="133"/>
              <w:rPr>
                <w:b/>
                <w:bCs/>
                <w:color w:val="EE0000"/>
                <w:szCs w:val="21"/>
              </w:rPr>
            </w:pPr>
            <w:r>
              <w:rPr>
                <w:b/>
                <w:bCs/>
                <w:color w:val="000000"/>
                <w:szCs w:val="21"/>
              </w:rPr>
              <w:t>执行标准</w:t>
            </w:r>
          </w:p>
        </w:tc>
      </w:tr>
      <w:tr w14:paraId="6E6DE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724" w:type="dxa"/>
            <w:vMerge w:val="continue"/>
            <w:vAlign w:val="center"/>
          </w:tcPr>
          <w:p w14:paraId="5D05605A">
            <w:pPr>
              <w:pStyle w:val="133"/>
              <w:rPr>
                <w:b/>
                <w:bCs/>
                <w:color w:val="000000"/>
                <w:szCs w:val="21"/>
              </w:rPr>
            </w:pPr>
          </w:p>
        </w:tc>
        <w:tc>
          <w:tcPr>
            <w:tcW w:w="1113" w:type="dxa"/>
            <w:vMerge w:val="continue"/>
            <w:vAlign w:val="center"/>
          </w:tcPr>
          <w:p w14:paraId="324E5747">
            <w:pPr>
              <w:pStyle w:val="133"/>
              <w:rPr>
                <w:b/>
                <w:bCs/>
                <w:color w:val="000000"/>
                <w:szCs w:val="21"/>
              </w:rPr>
            </w:pPr>
          </w:p>
        </w:tc>
        <w:tc>
          <w:tcPr>
            <w:tcW w:w="1139" w:type="dxa"/>
            <w:vMerge w:val="continue"/>
            <w:vAlign w:val="center"/>
          </w:tcPr>
          <w:p w14:paraId="02771EEE">
            <w:pPr>
              <w:pStyle w:val="133"/>
              <w:rPr>
                <w:b/>
                <w:bCs/>
                <w:color w:val="000000"/>
                <w:szCs w:val="21"/>
              </w:rPr>
            </w:pPr>
          </w:p>
        </w:tc>
        <w:tc>
          <w:tcPr>
            <w:tcW w:w="1284" w:type="dxa"/>
            <w:vMerge w:val="continue"/>
            <w:vAlign w:val="center"/>
          </w:tcPr>
          <w:p w14:paraId="2EEA45A9">
            <w:pPr>
              <w:pStyle w:val="133"/>
              <w:rPr>
                <w:b/>
                <w:bCs/>
                <w:color w:val="000000"/>
                <w:szCs w:val="21"/>
              </w:rPr>
            </w:pPr>
          </w:p>
        </w:tc>
        <w:tc>
          <w:tcPr>
            <w:tcW w:w="713" w:type="dxa"/>
            <w:vMerge w:val="continue"/>
            <w:vAlign w:val="center"/>
          </w:tcPr>
          <w:p w14:paraId="6C7F3CE3">
            <w:pPr>
              <w:pStyle w:val="133"/>
              <w:rPr>
                <w:b/>
                <w:bCs/>
                <w:color w:val="000000"/>
                <w:szCs w:val="21"/>
              </w:rPr>
            </w:pPr>
          </w:p>
        </w:tc>
        <w:tc>
          <w:tcPr>
            <w:tcW w:w="1135" w:type="dxa"/>
            <w:vMerge w:val="continue"/>
            <w:vAlign w:val="center"/>
          </w:tcPr>
          <w:p w14:paraId="684FAECC">
            <w:pPr>
              <w:pStyle w:val="133"/>
              <w:rPr>
                <w:b/>
                <w:bCs/>
                <w:color w:val="000000"/>
                <w:szCs w:val="21"/>
              </w:rPr>
            </w:pPr>
          </w:p>
        </w:tc>
        <w:tc>
          <w:tcPr>
            <w:tcW w:w="996" w:type="dxa"/>
            <w:vMerge w:val="continue"/>
            <w:vAlign w:val="center"/>
          </w:tcPr>
          <w:p w14:paraId="53F1BC52">
            <w:pPr>
              <w:pStyle w:val="133"/>
              <w:rPr>
                <w:b/>
                <w:bCs/>
                <w:color w:val="000000"/>
                <w:szCs w:val="21"/>
              </w:rPr>
            </w:pPr>
          </w:p>
        </w:tc>
        <w:tc>
          <w:tcPr>
            <w:tcW w:w="1139" w:type="dxa"/>
            <w:vMerge w:val="continue"/>
            <w:vAlign w:val="center"/>
          </w:tcPr>
          <w:p w14:paraId="7BD28B6C">
            <w:pPr>
              <w:pStyle w:val="133"/>
              <w:rPr>
                <w:b/>
                <w:bCs/>
                <w:color w:val="000000"/>
                <w:szCs w:val="21"/>
              </w:rPr>
            </w:pPr>
          </w:p>
        </w:tc>
        <w:tc>
          <w:tcPr>
            <w:tcW w:w="1139" w:type="dxa"/>
            <w:vMerge w:val="continue"/>
            <w:vAlign w:val="center"/>
          </w:tcPr>
          <w:p w14:paraId="573BB52E">
            <w:pPr>
              <w:pStyle w:val="133"/>
              <w:rPr>
                <w:b/>
                <w:bCs/>
                <w:color w:val="000000"/>
                <w:szCs w:val="21"/>
              </w:rPr>
            </w:pPr>
          </w:p>
        </w:tc>
        <w:tc>
          <w:tcPr>
            <w:tcW w:w="996" w:type="dxa"/>
            <w:vAlign w:val="center"/>
          </w:tcPr>
          <w:p w14:paraId="28A284CC">
            <w:pPr>
              <w:pStyle w:val="133"/>
              <w:rPr>
                <w:b/>
                <w:bCs/>
                <w:color w:val="000000"/>
                <w:szCs w:val="21"/>
              </w:rPr>
            </w:pPr>
            <w:r>
              <w:rPr>
                <w:b/>
                <w:bCs/>
                <w:color w:val="000000"/>
                <w:szCs w:val="21"/>
              </w:rPr>
              <w:t>浓度</w:t>
            </w:r>
            <w:r>
              <w:rPr>
                <w:rFonts w:hint="eastAsia"/>
                <w:b/>
                <w:bCs/>
                <w:color w:val="000000"/>
                <w:szCs w:val="21"/>
              </w:rPr>
              <w:t>（m</w:t>
            </w:r>
            <w:r>
              <w:rPr>
                <w:b/>
                <w:bCs/>
                <w:color w:val="000000"/>
                <w:szCs w:val="21"/>
              </w:rPr>
              <w:t>g/m</w:t>
            </w:r>
            <w:r>
              <w:rPr>
                <w:b/>
                <w:bCs/>
                <w:color w:val="000000"/>
                <w:szCs w:val="21"/>
                <w:vertAlign w:val="superscript"/>
              </w:rPr>
              <w:t>3</w:t>
            </w:r>
            <w:r>
              <w:rPr>
                <w:rFonts w:hint="eastAsia"/>
                <w:b/>
                <w:bCs/>
                <w:color w:val="000000"/>
                <w:szCs w:val="21"/>
              </w:rPr>
              <w:t>）</w:t>
            </w:r>
          </w:p>
        </w:tc>
        <w:tc>
          <w:tcPr>
            <w:tcW w:w="996" w:type="dxa"/>
            <w:vAlign w:val="center"/>
          </w:tcPr>
          <w:p w14:paraId="7DCD4CD7">
            <w:pPr>
              <w:pStyle w:val="133"/>
              <w:rPr>
                <w:b/>
                <w:bCs/>
                <w:color w:val="000000"/>
                <w:szCs w:val="21"/>
              </w:rPr>
            </w:pPr>
            <w:r>
              <w:rPr>
                <w:b/>
                <w:bCs/>
                <w:color w:val="000000"/>
                <w:szCs w:val="21"/>
              </w:rPr>
              <w:t>速率</w:t>
            </w:r>
          </w:p>
          <w:p w14:paraId="4809BFED">
            <w:pPr>
              <w:pStyle w:val="133"/>
              <w:rPr>
                <w:b/>
                <w:bCs/>
                <w:color w:val="000000"/>
                <w:szCs w:val="21"/>
              </w:rPr>
            </w:pPr>
            <w:r>
              <w:rPr>
                <w:rFonts w:hint="eastAsia"/>
                <w:b/>
                <w:bCs/>
                <w:color w:val="000000"/>
                <w:szCs w:val="21"/>
              </w:rPr>
              <w:t>（</w:t>
            </w:r>
            <w:r>
              <w:rPr>
                <w:b/>
                <w:bCs/>
                <w:color w:val="000000"/>
                <w:szCs w:val="21"/>
              </w:rPr>
              <w:t>kg/h</w:t>
            </w:r>
            <w:r>
              <w:rPr>
                <w:rFonts w:hint="eastAsia"/>
                <w:b/>
                <w:bCs/>
                <w:color w:val="000000"/>
                <w:szCs w:val="21"/>
              </w:rPr>
              <w:t>）</w:t>
            </w:r>
          </w:p>
        </w:tc>
        <w:tc>
          <w:tcPr>
            <w:tcW w:w="2658" w:type="dxa"/>
            <w:vMerge w:val="continue"/>
            <w:vAlign w:val="center"/>
          </w:tcPr>
          <w:p w14:paraId="3914CFA0">
            <w:pPr>
              <w:pStyle w:val="133"/>
              <w:rPr>
                <w:color w:val="EE0000"/>
                <w:szCs w:val="21"/>
              </w:rPr>
            </w:pPr>
          </w:p>
        </w:tc>
      </w:tr>
      <w:tr w14:paraId="3217F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restart"/>
            <w:vAlign w:val="center"/>
          </w:tcPr>
          <w:p w14:paraId="0A8A4BE3">
            <w:pPr>
              <w:pStyle w:val="133"/>
              <w:rPr>
                <w:color w:val="000000"/>
                <w:szCs w:val="21"/>
              </w:rPr>
            </w:pPr>
            <w:r>
              <w:rPr>
                <w:rFonts w:hint="eastAsia"/>
                <w:color w:val="000000"/>
                <w:szCs w:val="21"/>
              </w:rPr>
              <w:t>废气</w:t>
            </w:r>
          </w:p>
        </w:tc>
        <w:tc>
          <w:tcPr>
            <w:tcW w:w="1113" w:type="dxa"/>
            <w:vMerge w:val="restart"/>
            <w:vAlign w:val="center"/>
          </w:tcPr>
          <w:p w14:paraId="768DE81A">
            <w:pPr>
              <w:pStyle w:val="133"/>
              <w:rPr>
                <w:color w:val="000000"/>
                <w:szCs w:val="21"/>
              </w:rPr>
            </w:pPr>
            <w:r>
              <w:rPr>
                <w:rFonts w:hint="eastAsia"/>
                <w:color w:val="000000"/>
                <w:szCs w:val="21"/>
              </w:rPr>
              <w:t>兰炭生产线</w:t>
            </w:r>
          </w:p>
        </w:tc>
        <w:tc>
          <w:tcPr>
            <w:tcW w:w="1139" w:type="dxa"/>
            <w:vAlign w:val="center"/>
          </w:tcPr>
          <w:p w14:paraId="3D0E26D4">
            <w:pPr>
              <w:pStyle w:val="133"/>
              <w:rPr>
                <w:color w:val="000000"/>
                <w:szCs w:val="21"/>
              </w:rPr>
            </w:pPr>
            <w:r>
              <w:rPr>
                <w:rFonts w:hint="eastAsia"/>
                <w:color w:val="000000"/>
                <w:szCs w:val="21"/>
              </w:rPr>
              <w:t>备煤上料废气</w:t>
            </w:r>
          </w:p>
        </w:tc>
        <w:tc>
          <w:tcPr>
            <w:tcW w:w="1284" w:type="dxa"/>
            <w:vAlign w:val="center"/>
          </w:tcPr>
          <w:p w14:paraId="62F476BE">
            <w:pPr>
              <w:pStyle w:val="133"/>
              <w:rPr>
                <w:color w:val="000000"/>
                <w:szCs w:val="21"/>
              </w:rPr>
            </w:pPr>
            <w:r>
              <w:rPr>
                <w:rFonts w:hint="eastAsia"/>
                <w:color w:val="000000"/>
                <w:szCs w:val="21"/>
              </w:rPr>
              <w:t>颗粒物</w:t>
            </w:r>
          </w:p>
        </w:tc>
        <w:tc>
          <w:tcPr>
            <w:tcW w:w="713" w:type="dxa"/>
            <w:vAlign w:val="center"/>
          </w:tcPr>
          <w:p w14:paraId="577C4E29">
            <w:pPr>
              <w:pStyle w:val="133"/>
              <w:rPr>
                <w:color w:val="000000"/>
                <w:szCs w:val="21"/>
              </w:rPr>
            </w:pPr>
            <w:r>
              <w:rPr>
                <w:rFonts w:hint="eastAsia"/>
                <w:color w:val="000000"/>
                <w:szCs w:val="21"/>
              </w:rPr>
              <w:t>有组织</w:t>
            </w:r>
          </w:p>
        </w:tc>
        <w:tc>
          <w:tcPr>
            <w:tcW w:w="1135" w:type="dxa"/>
            <w:vAlign w:val="center"/>
          </w:tcPr>
          <w:p w14:paraId="56CF4D64">
            <w:pPr>
              <w:pStyle w:val="133"/>
              <w:rPr>
                <w:color w:val="000000"/>
                <w:szCs w:val="21"/>
              </w:rPr>
            </w:pPr>
            <w:r>
              <w:rPr>
                <w:rFonts w:hint="eastAsia"/>
                <w:color w:val="000000"/>
                <w:szCs w:val="21"/>
              </w:rPr>
              <w:t>布袋除尘器</w:t>
            </w:r>
          </w:p>
        </w:tc>
        <w:tc>
          <w:tcPr>
            <w:tcW w:w="996" w:type="dxa"/>
            <w:vAlign w:val="center"/>
          </w:tcPr>
          <w:p w14:paraId="69D8CEA4">
            <w:pPr>
              <w:pStyle w:val="133"/>
              <w:rPr>
                <w:color w:val="EE0000"/>
                <w:szCs w:val="21"/>
              </w:rPr>
            </w:pPr>
            <w:r>
              <w:rPr>
                <w:rFonts w:hint="eastAsia" w:eastAsia="等线" w:cs="Times New Roman"/>
                <w:szCs w:val="21"/>
              </w:rPr>
              <w:t>1.3</w:t>
            </w:r>
          </w:p>
        </w:tc>
        <w:tc>
          <w:tcPr>
            <w:tcW w:w="1139" w:type="dxa"/>
            <w:vAlign w:val="center"/>
          </w:tcPr>
          <w:p w14:paraId="3D7C5733">
            <w:pPr>
              <w:pStyle w:val="133"/>
              <w:rPr>
                <w:color w:val="EE0000"/>
                <w:szCs w:val="21"/>
              </w:rPr>
            </w:pPr>
            <w:r>
              <w:rPr>
                <w:rFonts w:hint="eastAsia" w:eastAsia="等线" w:cs="Times New Roman"/>
                <w:szCs w:val="21"/>
              </w:rPr>
              <w:t>0.044</w:t>
            </w:r>
          </w:p>
        </w:tc>
        <w:tc>
          <w:tcPr>
            <w:tcW w:w="1139" w:type="dxa"/>
            <w:vAlign w:val="center"/>
          </w:tcPr>
          <w:p w14:paraId="662A0F66">
            <w:pPr>
              <w:pStyle w:val="133"/>
              <w:rPr>
                <w:color w:val="000000"/>
                <w:szCs w:val="21"/>
              </w:rPr>
            </w:pPr>
            <w:r>
              <w:rPr>
                <w:rFonts w:hint="eastAsia"/>
                <w:color w:val="000000"/>
                <w:szCs w:val="21"/>
              </w:rPr>
              <w:t>0.35</w:t>
            </w:r>
          </w:p>
        </w:tc>
        <w:tc>
          <w:tcPr>
            <w:tcW w:w="996" w:type="dxa"/>
            <w:vAlign w:val="center"/>
          </w:tcPr>
          <w:p w14:paraId="769DAE05">
            <w:pPr>
              <w:pStyle w:val="133"/>
              <w:rPr>
                <w:color w:val="000000"/>
                <w:szCs w:val="21"/>
              </w:rPr>
            </w:pPr>
            <w:r>
              <w:rPr>
                <w:rFonts w:hint="eastAsia"/>
                <w:color w:val="000000"/>
                <w:szCs w:val="21"/>
              </w:rPr>
              <w:t>10</w:t>
            </w:r>
          </w:p>
        </w:tc>
        <w:tc>
          <w:tcPr>
            <w:tcW w:w="996" w:type="dxa"/>
            <w:vAlign w:val="center"/>
          </w:tcPr>
          <w:p w14:paraId="1A29DA39">
            <w:pPr>
              <w:pStyle w:val="133"/>
              <w:rPr>
                <w:color w:val="000000"/>
                <w:szCs w:val="21"/>
              </w:rPr>
            </w:pPr>
            <w:r>
              <w:rPr>
                <w:rFonts w:hint="eastAsia"/>
                <w:color w:val="000000"/>
                <w:szCs w:val="21"/>
              </w:rPr>
              <w:t>-</w:t>
            </w:r>
          </w:p>
        </w:tc>
        <w:tc>
          <w:tcPr>
            <w:tcW w:w="2658" w:type="dxa"/>
            <w:vAlign w:val="center"/>
          </w:tcPr>
          <w:p w14:paraId="52A57F78">
            <w:pPr>
              <w:pStyle w:val="133"/>
              <w:rPr>
                <w:color w:val="000000"/>
                <w:szCs w:val="21"/>
              </w:rPr>
            </w:pPr>
            <w:r>
              <w:rPr>
                <w:rFonts w:hint="eastAsia"/>
                <w:color w:val="000000"/>
                <w:szCs w:val="21"/>
              </w:rPr>
              <w:t>《关于推进实施焦化行业超低排放的意见》附表1</w:t>
            </w:r>
          </w:p>
        </w:tc>
      </w:tr>
      <w:tr w14:paraId="56AAE3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BB9B678">
            <w:pPr>
              <w:pStyle w:val="133"/>
              <w:rPr>
                <w:color w:val="EE0000"/>
                <w:szCs w:val="21"/>
              </w:rPr>
            </w:pPr>
          </w:p>
        </w:tc>
        <w:tc>
          <w:tcPr>
            <w:tcW w:w="1113" w:type="dxa"/>
            <w:vMerge w:val="continue"/>
            <w:vAlign w:val="center"/>
          </w:tcPr>
          <w:p w14:paraId="7E9A0DE1">
            <w:pPr>
              <w:pStyle w:val="133"/>
              <w:rPr>
                <w:color w:val="EE0000"/>
                <w:szCs w:val="21"/>
              </w:rPr>
            </w:pPr>
          </w:p>
        </w:tc>
        <w:tc>
          <w:tcPr>
            <w:tcW w:w="1139" w:type="dxa"/>
            <w:vAlign w:val="center"/>
          </w:tcPr>
          <w:p w14:paraId="77136D57">
            <w:pPr>
              <w:pStyle w:val="133"/>
              <w:rPr>
                <w:color w:val="000000"/>
                <w:szCs w:val="21"/>
              </w:rPr>
            </w:pPr>
            <w:r>
              <w:rPr>
                <w:rFonts w:hint="eastAsia"/>
                <w:color w:val="000000"/>
                <w:szCs w:val="21"/>
              </w:rPr>
              <w:t>破碎筛分废气</w:t>
            </w:r>
          </w:p>
        </w:tc>
        <w:tc>
          <w:tcPr>
            <w:tcW w:w="1284" w:type="dxa"/>
            <w:vAlign w:val="center"/>
          </w:tcPr>
          <w:p w14:paraId="3F56A581">
            <w:pPr>
              <w:pStyle w:val="133"/>
              <w:rPr>
                <w:color w:val="000000"/>
                <w:szCs w:val="21"/>
              </w:rPr>
            </w:pPr>
            <w:r>
              <w:rPr>
                <w:rFonts w:hint="eastAsia"/>
                <w:color w:val="000000"/>
                <w:szCs w:val="21"/>
              </w:rPr>
              <w:t>颗粒物</w:t>
            </w:r>
          </w:p>
        </w:tc>
        <w:tc>
          <w:tcPr>
            <w:tcW w:w="713" w:type="dxa"/>
            <w:vAlign w:val="center"/>
          </w:tcPr>
          <w:p w14:paraId="7A182C49">
            <w:pPr>
              <w:pStyle w:val="133"/>
              <w:rPr>
                <w:color w:val="000000"/>
                <w:szCs w:val="21"/>
              </w:rPr>
            </w:pPr>
            <w:r>
              <w:rPr>
                <w:rFonts w:hint="eastAsia"/>
                <w:color w:val="000000"/>
                <w:szCs w:val="21"/>
              </w:rPr>
              <w:t>有组织</w:t>
            </w:r>
          </w:p>
        </w:tc>
        <w:tc>
          <w:tcPr>
            <w:tcW w:w="1135" w:type="dxa"/>
            <w:vAlign w:val="center"/>
          </w:tcPr>
          <w:p w14:paraId="0C67F857">
            <w:pPr>
              <w:pStyle w:val="133"/>
              <w:rPr>
                <w:color w:val="000000"/>
                <w:szCs w:val="21"/>
              </w:rPr>
            </w:pPr>
            <w:r>
              <w:rPr>
                <w:rFonts w:hint="eastAsia"/>
                <w:color w:val="000000"/>
                <w:szCs w:val="21"/>
              </w:rPr>
              <w:t>布袋除尘器</w:t>
            </w:r>
          </w:p>
        </w:tc>
        <w:tc>
          <w:tcPr>
            <w:tcW w:w="996" w:type="dxa"/>
            <w:vAlign w:val="center"/>
          </w:tcPr>
          <w:p w14:paraId="0BAED2FD">
            <w:pPr>
              <w:pStyle w:val="133"/>
              <w:rPr>
                <w:color w:val="EE0000"/>
                <w:szCs w:val="21"/>
              </w:rPr>
            </w:pPr>
            <w:r>
              <w:rPr>
                <w:rFonts w:hint="eastAsia" w:eastAsia="等线" w:cs="Times New Roman"/>
                <w:szCs w:val="21"/>
              </w:rPr>
              <w:t>0.9</w:t>
            </w:r>
          </w:p>
        </w:tc>
        <w:tc>
          <w:tcPr>
            <w:tcW w:w="1139" w:type="dxa"/>
            <w:vAlign w:val="center"/>
          </w:tcPr>
          <w:p w14:paraId="4CE0DBEC">
            <w:pPr>
              <w:pStyle w:val="133"/>
              <w:rPr>
                <w:color w:val="EE0000"/>
                <w:szCs w:val="21"/>
              </w:rPr>
            </w:pPr>
            <w:r>
              <w:rPr>
                <w:rFonts w:eastAsia="等线" w:cs="Times New Roman"/>
                <w:szCs w:val="21"/>
              </w:rPr>
              <w:t>0.0</w:t>
            </w:r>
            <w:r>
              <w:rPr>
                <w:rFonts w:hint="eastAsia" w:eastAsia="等线" w:cs="Times New Roman"/>
                <w:szCs w:val="21"/>
              </w:rPr>
              <w:t>44</w:t>
            </w:r>
          </w:p>
        </w:tc>
        <w:tc>
          <w:tcPr>
            <w:tcW w:w="1139" w:type="dxa"/>
            <w:vAlign w:val="center"/>
          </w:tcPr>
          <w:p w14:paraId="6961C66C">
            <w:pPr>
              <w:pStyle w:val="133"/>
              <w:rPr>
                <w:color w:val="000000"/>
                <w:szCs w:val="21"/>
              </w:rPr>
            </w:pPr>
            <w:r>
              <w:rPr>
                <w:rFonts w:hint="eastAsia"/>
                <w:color w:val="000000"/>
                <w:szCs w:val="21"/>
              </w:rPr>
              <w:t>0.35</w:t>
            </w:r>
          </w:p>
        </w:tc>
        <w:tc>
          <w:tcPr>
            <w:tcW w:w="996" w:type="dxa"/>
            <w:vAlign w:val="center"/>
          </w:tcPr>
          <w:p w14:paraId="67060755">
            <w:pPr>
              <w:pStyle w:val="133"/>
              <w:rPr>
                <w:color w:val="000000"/>
                <w:szCs w:val="21"/>
              </w:rPr>
            </w:pPr>
            <w:r>
              <w:rPr>
                <w:rFonts w:hint="eastAsia"/>
                <w:color w:val="000000"/>
                <w:szCs w:val="21"/>
              </w:rPr>
              <w:t>10</w:t>
            </w:r>
          </w:p>
        </w:tc>
        <w:tc>
          <w:tcPr>
            <w:tcW w:w="996" w:type="dxa"/>
            <w:vAlign w:val="center"/>
          </w:tcPr>
          <w:p w14:paraId="6D542982">
            <w:pPr>
              <w:pStyle w:val="133"/>
              <w:rPr>
                <w:color w:val="000000"/>
                <w:szCs w:val="21"/>
              </w:rPr>
            </w:pPr>
            <w:r>
              <w:rPr>
                <w:rFonts w:hint="eastAsia"/>
                <w:color w:val="000000"/>
                <w:szCs w:val="21"/>
              </w:rPr>
              <w:t>-</w:t>
            </w:r>
          </w:p>
        </w:tc>
        <w:tc>
          <w:tcPr>
            <w:tcW w:w="2658" w:type="dxa"/>
            <w:vAlign w:val="center"/>
          </w:tcPr>
          <w:p w14:paraId="50C95411">
            <w:pPr>
              <w:pStyle w:val="133"/>
              <w:rPr>
                <w:color w:val="000000"/>
                <w:szCs w:val="21"/>
              </w:rPr>
            </w:pPr>
            <w:r>
              <w:rPr>
                <w:rFonts w:hint="eastAsia"/>
                <w:color w:val="000000"/>
                <w:szCs w:val="21"/>
              </w:rPr>
              <w:t>《关于推进实施焦化行业超低排放的意见》附表1</w:t>
            </w:r>
          </w:p>
        </w:tc>
      </w:tr>
      <w:tr w14:paraId="358A2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4D7F905">
            <w:pPr>
              <w:pStyle w:val="133"/>
              <w:rPr>
                <w:color w:val="EE0000"/>
                <w:szCs w:val="21"/>
              </w:rPr>
            </w:pPr>
          </w:p>
        </w:tc>
        <w:tc>
          <w:tcPr>
            <w:tcW w:w="1113" w:type="dxa"/>
            <w:vMerge w:val="continue"/>
            <w:vAlign w:val="center"/>
          </w:tcPr>
          <w:p w14:paraId="1C793013">
            <w:pPr>
              <w:pStyle w:val="133"/>
              <w:rPr>
                <w:color w:val="EE0000"/>
                <w:szCs w:val="21"/>
              </w:rPr>
            </w:pPr>
          </w:p>
        </w:tc>
        <w:tc>
          <w:tcPr>
            <w:tcW w:w="1139" w:type="dxa"/>
            <w:vMerge w:val="restart"/>
            <w:vAlign w:val="center"/>
          </w:tcPr>
          <w:p w14:paraId="70361B19">
            <w:pPr>
              <w:pStyle w:val="133"/>
              <w:rPr>
                <w:color w:val="000000"/>
                <w:szCs w:val="21"/>
              </w:rPr>
            </w:pPr>
            <w:r>
              <w:rPr>
                <w:rFonts w:hint="eastAsia"/>
                <w:color w:val="000000"/>
                <w:szCs w:val="21"/>
              </w:rPr>
              <w:t>炭化装煤</w:t>
            </w:r>
          </w:p>
          <w:p w14:paraId="66BA71E2">
            <w:pPr>
              <w:pStyle w:val="133"/>
              <w:rPr>
                <w:color w:val="000000"/>
                <w:szCs w:val="21"/>
              </w:rPr>
            </w:pPr>
            <w:r>
              <w:rPr>
                <w:rFonts w:hint="eastAsia"/>
                <w:color w:val="000000"/>
                <w:szCs w:val="21"/>
              </w:rPr>
              <w:t>废气</w:t>
            </w:r>
          </w:p>
        </w:tc>
        <w:tc>
          <w:tcPr>
            <w:tcW w:w="1284" w:type="dxa"/>
            <w:vAlign w:val="center"/>
          </w:tcPr>
          <w:p w14:paraId="19AFE935">
            <w:pPr>
              <w:pStyle w:val="133"/>
              <w:rPr>
                <w:color w:val="000000"/>
                <w:szCs w:val="21"/>
              </w:rPr>
            </w:pPr>
            <w:r>
              <w:rPr>
                <w:rFonts w:hint="eastAsia"/>
                <w:color w:val="000000"/>
                <w:szCs w:val="21"/>
              </w:rPr>
              <w:t>颗粒物</w:t>
            </w:r>
          </w:p>
        </w:tc>
        <w:tc>
          <w:tcPr>
            <w:tcW w:w="713" w:type="dxa"/>
            <w:vMerge w:val="restart"/>
            <w:vAlign w:val="center"/>
          </w:tcPr>
          <w:p w14:paraId="0C9264A2">
            <w:pPr>
              <w:pStyle w:val="133"/>
              <w:rPr>
                <w:color w:val="000000"/>
                <w:szCs w:val="21"/>
              </w:rPr>
            </w:pPr>
            <w:r>
              <w:rPr>
                <w:rFonts w:hint="eastAsia"/>
                <w:color w:val="000000"/>
                <w:szCs w:val="21"/>
              </w:rPr>
              <w:t>有组织</w:t>
            </w:r>
          </w:p>
        </w:tc>
        <w:tc>
          <w:tcPr>
            <w:tcW w:w="1135" w:type="dxa"/>
            <w:vAlign w:val="center"/>
          </w:tcPr>
          <w:p w14:paraId="672B4E2D">
            <w:pPr>
              <w:pStyle w:val="133"/>
              <w:rPr>
                <w:color w:val="000000"/>
                <w:szCs w:val="21"/>
              </w:rPr>
            </w:pPr>
            <w:r>
              <w:rPr>
                <w:rFonts w:hint="eastAsia"/>
                <w:color w:val="000000"/>
                <w:szCs w:val="21"/>
              </w:rPr>
              <w:t>布袋除尘器</w:t>
            </w:r>
          </w:p>
        </w:tc>
        <w:tc>
          <w:tcPr>
            <w:tcW w:w="996" w:type="dxa"/>
            <w:vAlign w:val="center"/>
          </w:tcPr>
          <w:p w14:paraId="0362FE73">
            <w:pPr>
              <w:pStyle w:val="133"/>
              <w:rPr>
                <w:color w:val="000000"/>
                <w:szCs w:val="21"/>
              </w:rPr>
            </w:pPr>
            <w:r>
              <w:rPr>
                <w:rFonts w:hint="eastAsia"/>
                <w:color w:val="000000"/>
                <w:szCs w:val="21"/>
              </w:rPr>
              <w:t>5.8</w:t>
            </w:r>
          </w:p>
        </w:tc>
        <w:tc>
          <w:tcPr>
            <w:tcW w:w="1139" w:type="dxa"/>
            <w:vAlign w:val="center"/>
          </w:tcPr>
          <w:p w14:paraId="07C83D0D">
            <w:pPr>
              <w:pStyle w:val="133"/>
              <w:rPr>
                <w:color w:val="000000"/>
                <w:szCs w:val="21"/>
              </w:rPr>
            </w:pPr>
            <w:r>
              <w:rPr>
                <w:rFonts w:hint="eastAsia"/>
                <w:color w:val="000000"/>
                <w:szCs w:val="21"/>
              </w:rPr>
              <w:t>0.20</w:t>
            </w:r>
          </w:p>
        </w:tc>
        <w:tc>
          <w:tcPr>
            <w:tcW w:w="1139" w:type="dxa"/>
            <w:vAlign w:val="center"/>
          </w:tcPr>
          <w:p w14:paraId="27DAC2D6">
            <w:pPr>
              <w:pStyle w:val="133"/>
              <w:rPr>
                <w:color w:val="000000"/>
                <w:szCs w:val="21"/>
              </w:rPr>
            </w:pPr>
            <w:r>
              <w:rPr>
                <w:rFonts w:hint="eastAsia"/>
                <w:color w:val="000000"/>
                <w:szCs w:val="21"/>
              </w:rPr>
              <w:t>0.8</w:t>
            </w:r>
          </w:p>
        </w:tc>
        <w:tc>
          <w:tcPr>
            <w:tcW w:w="996" w:type="dxa"/>
            <w:vAlign w:val="center"/>
          </w:tcPr>
          <w:p w14:paraId="0E715E8B">
            <w:pPr>
              <w:pStyle w:val="133"/>
              <w:rPr>
                <w:color w:val="000000"/>
                <w:szCs w:val="21"/>
              </w:rPr>
            </w:pPr>
            <w:r>
              <w:rPr>
                <w:rFonts w:hint="eastAsia"/>
                <w:color w:val="000000"/>
                <w:szCs w:val="21"/>
              </w:rPr>
              <w:t>10</w:t>
            </w:r>
          </w:p>
        </w:tc>
        <w:tc>
          <w:tcPr>
            <w:tcW w:w="996" w:type="dxa"/>
            <w:vAlign w:val="center"/>
          </w:tcPr>
          <w:p w14:paraId="2E44A2F5">
            <w:pPr>
              <w:pStyle w:val="133"/>
              <w:rPr>
                <w:color w:val="000000"/>
                <w:szCs w:val="21"/>
              </w:rPr>
            </w:pPr>
            <w:r>
              <w:rPr>
                <w:rFonts w:hint="eastAsia"/>
                <w:color w:val="000000"/>
                <w:szCs w:val="21"/>
              </w:rPr>
              <w:t>-</w:t>
            </w:r>
          </w:p>
        </w:tc>
        <w:tc>
          <w:tcPr>
            <w:tcW w:w="2658" w:type="dxa"/>
            <w:vAlign w:val="center"/>
          </w:tcPr>
          <w:p w14:paraId="1A2C6E24">
            <w:pPr>
              <w:pStyle w:val="133"/>
              <w:rPr>
                <w:color w:val="000000"/>
                <w:szCs w:val="21"/>
              </w:rPr>
            </w:pPr>
            <w:r>
              <w:rPr>
                <w:rFonts w:hint="eastAsia"/>
                <w:color w:val="000000"/>
                <w:szCs w:val="21"/>
              </w:rPr>
              <w:t>《关于推进实施焦化行业超低排放的意见》附表1</w:t>
            </w:r>
          </w:p>
        </w:tc>
      </w:tr>
      <w:tr w14:paraId="59D83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0D81BA9">
            <w:pPr>
              <w:pStyle w:val="133"/>
              <w:rPr>
                <w:color w:val="EE0000"/>
                <w:szCs w:val="21"/>
              </w:rPr>
            </w:pPr>
          </w:p>
        </w:tc>
        <w:tc>
          <w:tcPr>
            <w:tcW w:w="1113" w:type="dxa"/>
            <w:vMerge w:val="continue"/>
            <w:vAlign w:val="center"/>
          </w:tcPr>
          <w:p w14:paraId="4DA9DABD">
            <w:pPr>
              <w:pStyle w:val="133"/>
              <w:rPr>
                <w:color w:val="EE0000"/>
                <w:szCs w:val="21"/>
              </w:rPr>
            </w:pPr>
          </w:p>
        </w:tc>
        <w:tc>
          <w:tcPr>
            <w:tcW w:w="1139" w:type="dxa"/>
            <w:vMerge w:val="continue"/>
            <w:vAlign w:val="center"/>
          </w:tcPr>
          <w:p w14:paraId="08397548">
            <w:pPr>
              <w:pStyle w:val="133"/>
              <w:rPr>
                <w:color w:val="000000"/>
                <w:szCs w:val="21"/>
              </w:rPr>
            </w:pPr>
          </w:p>
        </w:tc>
        <w:tc>
          <w:tcPr>
            <w:tcW w:w="1284" w:type="dxa"/>
            <w:vAlign w:val="center"/>
          </w:tcPr>
          <w:p w14:paraId="1F54FEDC">
            <w:pPr>
              <w:pStyle w:val="133"/>
              <w:rPr>
                <w:color w:val="000000"/>
                <w:szCs w:val="21"/>
              </w:rPr>
            </w:pPr>
            <w:r>
              <w:rPr>
                <w:rFonts w:hint="eastAsia"/>
                <w:color w:val="000000"/>
                <w:szCs w:val="21"/>
              </w:rPr>
              <w:t>SO</w:t>
            </w:r>
            <w:r>
              <w:rPr>
                <w:rFonts w:hint="eastAsia"/>
                <w:color w:val="000000"/>
                <w:szCs w:val="21"/>
                <w:vertAlign w:val="subscript"/>
              </w:rPr>
              <w:t>2</w:t>
            </w:r>
          </w:p>
        </w:tc>
        <w:tc>
          <w:tcPr>
            <w:tcW w:w="713" w:type="dxa"/>
            <w:vMerge w:val="continue"/>
            <w:vAlign w:val="center"/>
          </w:tcPr>
          <w:p w14:paraId="1AC1FE23">
            <w:pPr>
              <w:pStyle w:val="133"/>
              <w:rPr>
                <w:color w:val="000000"/>
                <w:szCs w:val="21"/>
              </w:rPr>
            </w:pPr>
          </w:p>
        </w:tc>
        <w:tc>
          <w:tcPr>
            <w:tcW w:w="1135" w:type="dxa"/>
            <w:vAlign w:val="center"/>
          </w:tcPr>
          <w:p w14:paraId="1F3F51BE">
            <w:pPr>
              <w:pStyle w:val="133"/>
              <w:rPr>
                <w:color w:val="000000"/>
                <w:szCs w:val="21"/>
              </w:rPr>
            </w:pPr>
            <w:r>
              <w:rPr>
                <w:rFonts w:hint="eastAsia"/>
                <w:color w:val="000000"/>
                <w:szCs w:val="21"/>
              </w:rPr>
              <w:t>/</w:t>
            </w:r>
          </w:p>
        </w:tc>
        <w:tc>
          <w:tcPr>
            <w:tcW w:w="996" w:type="dxa"/>
            <w:vAlign w:val="center"/>
          </w:tcPr>
          <w:p w14:paraId="5B2FB55F">
            <w:pPr>
              <w:pStyle w:val="133"/>
              <w:rPr>
                <w:color w:val="000000"/>
                <w:szCs w:val="21"/>
              </w:rPr>
            </w:pPr>
            <w:r>
              <w:rPr>
                <w:rFonts w:hint="eastAsia"/>
                <w:color w:val="000000"/>
                <w:szCs w:val="21"/>
              </w:rPr>
              <w:t>1.9</w:t>
            </w:r>
          </w:p>
        </w:tc>
        <w:tc>
          <w:tcPr>
            <w:tcW w:w="1139" w:type="dxa"/>
            <w:vAlign w:val="center"/>
          </w:tcPr>
          <w:p w14:paraId="504DE510">
            <w:pPr>
              <w:pStyle w:val="133"/>
              <w:rPr>
                <w:color w:val="000000"/>
                <w:szCs w:val="21"/>
              </w:rPr>
            </w:pPr>
            <w:r>
              <w:rPr>
                <w:rFonts w:hint="eastAsia"/>
                <w:color w:val="000000"/>
                <w:szCs w:val="21"/>
              </w:rPr>
              <w:t>0.07</w:t>
            </w:r>
          </w:p>
        </w:tc>
        <w:tc>
          <w:tcPr>
            <w:tcW w:w="1139" w:type="dxa"/>
            <w:vAlign w:val="center"/>
          </w:tcPr>
          <w:p w14:paraId="575971B3">
            <w:pPr>
              <w:pStyle w:val="133"/>
              <w:rPr>
                <w:color w:val="000000"/>
                <w:szCs w:val="21"/>
              </w:rPr>
            </w:pPr>
            <w:r>
              <w:rPr>
                <w:rFonts w:hint="eastAsia"/>
                <w:color w:val="000000"/>
                <w:szCs w:val="21"/>
              </w:rPr>
              <w:t>0.28</w:t>
            </w:r>
          </w:p>
        </w:tc>
        <w:tc>
          <w:tcPr>
            <w:tcW w:w="996" w:type="dxa"/>
            <w:vAlign w:val="center"/>
          </w:tcPr>
          <w:p w14:paraId="1D6BC688">
            <w:pPr>
              <w:pStyle w:val="133"/>
              <w:rPr>
                <w:color w:val="000000"/>
                <w:szCs w:val="21"/>
              </w:rPr>
            </w:pPr>
            <w:r>
              <w:rPr>
                <w:rFonts w:hint="eastAsia"/>
                <w:color w:val="000000"/>
                <w:szCs w:val="21"/>
              </w:rPr>
              <w:t>70</w:t>
            </w:r>
          </w:p>
        </w:tc>
        <w:tc>
          <w:tcPr>
            <w:tcW w:w="996" w:type="dxa"/>
            <w:vAlign w:val="center"/>
          </w:tcPr>
          <w:p w14:paraId="4AAC1577">
            <w:pPr>
              <w:pStyle w:val="133"/>
              <w:rPr>
                <w:color w:val="000000"/>
                <w:szCs w:val="21"/>
              </w:rPr>
            </w:pPr>
            <w:r>
              <w:rPr>
                <w:rFonts w:hint="eastAsia"/>
                <w:color w:val="000000"/>
                <w:szCs w:val="21"/>
              </w:rPr>
              <w:t>-</w:t>
            </w:r>
          </w:p>
        </w:tc>
        <w:tc>
          <w:tcPr>
            <w:tcW w:w="2658" w:type="dxa"/>
            <w:vAlign w:val="center"/>
          </w:tcPr>
          <w:p w14:paraId="46C049B3">
            <w:pPr>
              <w:pStyle w:val="133"/>
              <w:rPr>
                <w:color w:val="000000"/>
                <w:szCs w:val="21"/>
              </w:rPr>
            </w:pPr>
            <w:r>
              <w:rPr>
                <w:rFonts w:hint="eastAsia"/>
                <w:color w:val="000000"/>
                <w:szCs w:val="21"/>
              </w:rPr>
              <w:t>《关于推进实施焦化行业超低排放的意见》附表1</w:t>
            </w:r>
          </w:p>
        </w:tc>
      </w:tr>
      <w:tr w14:paraId="7FB26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7FD8C4D">
            <w:pPr>
              <w:pStyle w:val="133"/>
              <w:rPr>
                <w:color w:val="EE0000"/>
                <w:szCs w:val="21"/>
              </w:rPr>
            </w:pPr>
          </w:p>
        </w:tc>
        <w:tc>
          <w:tcPr>
            <w:tcW w:w="1113" w:type="dxa"/>
            <w:vMerge w:val="continue"/>
            <w:vAlign w:val="center"/>
          </w:tcPr>
          <w:p w14:paraId="34FC3AB8">
            <w:pPr>
              <w:pStyle w:val="133"/>
              <w:rPr>
                <w:color w:val="EE0000"/>
                <w:szCs w:val="21"/>
              </w:rPr>
            </w:pPr>
          </w:p>
        </w:tc>
        <w:tc>
          <w:tcPr>
            <w:tcW w:w="1139" w:type="dxa"/>
            <w:vMerge w:val="continue"/>
            <w:vAlign w:val="center"/>
          </w:tcPr>
          <w:p w14:paraId="4B656907">
            <w:pPr>
              <w:pStyle w:val="133"/>
              <w:rPr>
                <w:color w:val="000000"/>
                <w:szCs w:val="21"/>
              </w:rPr>
            </w:pPr>
          </w:p>
        </w:tc>
        <w:tc>
          <w:tcPr>
            <w:tcW w:w="1284" w:type="dxa"/>
            <w:vAlign w:val="center"/>
          </w:tcPr>
          <w:p w14:paraId="0C7B16A0">
            <w:pPr>
              <w:pStyle w:val="133"/>
              <w:rPr>
                <w:color w:val="000000"/>
                <w:szCs w:val="21"/>
              </w:rPr>
            </w:pPr>
            <w:r>
              <w:rPr>
                <w:rFonts w:hint="eastAsia"/>
                <w:color w:val="000000"/>
                <w:szCs w:val="21"/>
              </w:rPr>
              <w:t>苯并芘</w:t>
            </w:r>
          </w:p>
        </w:tc>
        <w:tc>
          <w:tcPr>
            <w:tcW w:w="713" w:type="dxa"/>
            <w:vMerge w:val="continue"/>
            <w:vAlign w:val="center"/>
          </w:tcPr>
          <w:p w14:paraId="691FACDF">
            <w:pPr>
              <w:pStyle w:val="133"/>
              <w:rPr>
                <w:color w:val="000000"/>
                <w:szCs w:val="21"/>
              </w:rPr>
            </w:pPr>
          </w:p>
        </w:tc>
        <w:tc>
          <w:tcPr>
            <w:tcW w:w="1135" w:type="dxa"/>
            <w:vAlign w:val="center"/>
          </w:tcPr>
          <w:p w14:paraId="7F37E26A">
            <w:pPr>
              <w:pStyle w:val="133"/>
              <w:rPr>
                <w:color w:val="000000"/>
                <w:szCs w:val="21"/>
              </w:rPr>
            </w:pPr>
            <w:r>
              <w:rPr>
                <w:rFonts w:hint="eastAsia"/>
                <w:color w:val="000000"/>
                <w:szCs w:val="21"/>
              </w:rPr>
              <w:t>/</w:t>
            </w:r>
          </w:p>
        </w:tc>
        <w:tc>
          <w:tcPr>
            <w:tcW w:w="996" w:type="dxa"/>
            <w:vAlign w:val="center"/>
          </w:tcPr>
          <w:p w14:paraId="1DF602EE">
            <w:pPr>
              <w:pStyle w:val="133"/>
              <w:rPr>
                <w:color w:val="000000"/>
                <w:szCs w:val="21"/>
              </w:rPr>
            </w:pPr>
            <w:r>
              <w:rPr>
                <w:color w:val="000000"/>
                <w:szCs w:val="21"/>
              </w:rPr>
              <w:t>1.9E-06</w:t>
            </w:r>
          </w:p>
        </w:tc>
        <w:tc>
          <w:tcPr>
            <w:tcW w:w="1139" w:type="dxa"/>
            <w:vAlign w:val="center"/>
          </w:tcPr>
          <w:p w14:paraId="01DB3935">
            <w:pPr>
              <w:pStyle w:val="133"/>
              <w:rPr>
                <w:color w:val="000000"/>
                <w:szCs w:val="21"/>
              </w:rPr>
            </w:pPr>
            <w:r>
              <w:rPr>
                <w:color w:val="000000"/>
                <w:szCs w:val="21"/>
              </w:rPr>
              <w:t>6.5E-08</w:t>
            </w:r>
          </w:p>
        </w:tc>
        <w:tc>
          <w:tcPr>
            <w:tcW w:w="1139" w:type="dxa"/>
            <w:vAlign w:val="center"/>
          </w:tcPr>
          <w:p w14:paraId="522E6A70">
            <w:pPr>
              <w:pStyle w:val="133"/>
              <w:rPr>
                <w:color w:val="000000"/>
                <w:szCs w:val="21"/>
              </w:rPr>
            </w:pPr>
            <w:r>
              <w:rPr>
                <w:rFonts w:hint="eastAsia"/>
                <w:color w:val="000000"/>
                <w:szCs w:val="21"/>
              </w:rPr>
              <w:t xml:space="preserve">0.00000026 </w:t>
            </w:r>
          </w:p>
        </w:tc>
        <w:tc>
          <w:tcPr>
            <w:tcW w:w="996" w:type="dxa"/>
            <w:vAlign w:val="center"/>
          </w:tcPr>
          <w:p w14:paraId="59B62FC4">
            <w:pPr>
              <w:pStyle w:val="133"/>
              <w:rPr>
                <w:color w:val="000000"/>
                <w:szCs w:val="21"/>
              </w:rPr>
            </w:pPr>
            <w:r>
              <w:rPr>
                <w:color w:val="000000"/>
                <w:szCs w:val="21"/>
              </w:rPr>
              <w:t>0.3</w:t>
            </w:r>
            <w:r>
              <w:rPr>
                <w:rFonts w:hint="eastAsia"/>
                <w:color w:val="000000"/>
                <w:szCs w:val="21"/>
              </w:rPr>
              <w:t>μ</w:t>
            </w:r>
            <w:r>
              <w:rPr>
                <w:color w:val="000000"/>
                <w:szCs w:val="21"/>
              </w:rPr>
              <w:t>g/m</w:t>
            </w:r>
            <w:r>
              <w:rPr>
                <w:color w:val="000000"/>
                <w:szCs w:val="21"/>
                <w:vertAlign w:val="superscript"/>
              </w:rPr>
              <w:t>3</w:t>
            </w:r>
          </w:p>
        </w:tc>
        <w:tc>
          <w:tcPr>
            <w:tcW w:w="996" w:type="dxa"/>
            <w:vAlign w:val="center"/>
          </w:tcPr>
          <w:p w14:paraId="3D536452">
            <w:pPr>
              <w:pStyle w:val="133"/>
              <w:rPr>
                <w:color w:val="000000"/>
                <w:szCs w:val="21"/>
              </w:rPr>
            </w:pPr>
            <w:r>
              <w:rPr>
                <w:rFonts w:hint="eastAsia"/>
                <w:color w:val="000000"/>
                <w:szCs w:val="21"/>
              </w:rPr>
              <w:t>-</w:t>
            </w:r>
          </w:p>
        </w:tc>
        <w:tc>
          <w:tcPr>
            <w:tcW w:w="2658" w:type="dxa"/>
            <w:vAlign w:val="center"/>
          </w:tcPr>
          <w:p w14:paraId="433C69C4">
            <w:pPr>
              <w:pStyle w:val="133"/>
              <w:rPr>
                <w:color w:val="000000"/>
                <w:szCs w:val="21"/>
              </w:rPr>
            </w:pPr>
            <w:r>
              <w:rPr>
                <w:rFonts w:hint="eastAsia"/>
                <w:color w:val="000000"/>
                <w:szCs w:val="21"/>
              </w:rPr>
              <w:t>《炼焦化学工业大气污染物排放标准》（GB16171.1-2024）表1</w:t>
            </w:r>
          </w:p>
        </w:tc>
      </w:tr>
      <w:tr w14:paraId="434A9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9DCD182">
            <w:pPr>
              <w:pStyle w:val="133"/>
              <w:rPr>
                <w:color w:val="EE0000"/>
                <w:szCs w:val="21"/>
              </w:rPr>
            </w:pPr>
          </w:p>
        </w:tc>
        <w:tc>
          <w:tcPr>
            <w:tcW w:w="1113" w:type="dxa"/>
            <w:vMerge w:val="continue"/>
            <w:vAlign w:val="center"/>
          </w:tcPr>
          <w:p w14:paraId="275E643C">
            <w:pPr>
              <w:pStyle w:val="133"/>
              <w:rPr>
                <w:color w:val="EE0000"/>
                <w:szCs w:val="21"/>
              </w:rPr>
            </w:pPr>
          </w:p>
        </w:tc>
        <w:tc>
          <w:tcPr>
            <w:tcW w:w="1139" w:type="dxa"/>
            <w:vAlign w:val="center"/>
          </w:tcPr>
          <w:p w14:paraId="6B381CF3">
            <w:pPr>
              <w:pStyle w:val="133"/>
              <w:rPr>
                <w:color w:val="000000"/>
                <w:szCs w:val="21"/>
              </w:rPr>
            </w:pPr>
            <w:r>
              <w:rPr>
                <w:rFonts w:hint="eastAsia"/>
                <w:color w:val="000000"/>
                <w:szCs w:val="21"/>
              </w:rPr>
              <w:t>筛焦废气</w:t>
            </w:r>
          </w:p>
        </w:tc>
        <w:tc>
          <w:tcPr>
            <w:tcW w:w="1284" w:type="dxa"/>
            <w:vAlign w:val="center"/>
          </w:tcPr>
          <w:p w14:paraId="62BB773C">
            <w:pPr>
              <w:pStyle w:val="133"/>
              <w:rPr>
                <w:color w:val="000000"/>
                <w:szCs w:val="21"/>
              </w:rPr>
            </w:pPr>
            <w:r>
              <w:rPr>
                <w:rFonts w:hint="eastAsia"/>
                <w:color w:val="000000"/>
                <w:szCs w:val="21"/>
              </w:rPr>
              <w:t>颗粒物</w:t>
            </w:r>
          </w:p>
        </w:tc>
        <w:tc>
          <w:tcPr>
            <w:tcW w:w="713" w:type="dxa"/>
            <w:vAlign w:val="center"/>
          </w:tcPr>
          <w:p w14:paraId="4CDA146F">
            <w:pPr>
              <w:pStyle w:val="133"/>
              <w:rPr>
                <w:color w:val="000000"/>
                <w:szCs w:val="21"/>
              </w:rPr>
            </w:pPr>
            <w:r>
              <w:rPr>
                <w:rFonts w:hint="eastAsia"/>
                <w:color w:val="000000"/>
                <w:szCs w:val="21"/>
              </w:rPr>
              <w:t>有组织</w:t>
            </w:r>
          </w:p>
        </w:tc>
        <w:tc>
          <w:tcPr>
            <w:tcW w:w="1135" w:type="dxa"/>
            <w:vAlign w:val="center"/>
          </w:tcPr>
          <w:p w14:paraId="654EC5C8">
            <w:pPr>
              <w:pStyle w:val="133"/>
              <w:rPr>
                <w:color w:val="000000"/>
                <w:szCs w:val="21"/>
              </w:rPr>
            </w:pPr>
            <w:r>
              <w:rPr>
                <w:rFonts w:hint="eastAsia"/>
                <w:color w:val="000000"/>
                <w:szCs w:val="21"/>
              </w:rPr>
              <w:t>布袋除尘器</w:t>
            </w:r>
          </w:p>
        </w:tc>
        <w:tc>
          <w:tcPr>
            <w:tcW w:w="996" w:type="dxa"/>
            <w:vAlign w:val="center"/>
          </w:tcPr>
          <w:p w14:paraId="1A06733C">
            <w:pPr>
              <w:pStyle w:val="133"/>
              <w:rPr>
                <w:color w:val="000000"/>
                <w:szCs w:val="21"/>
              </w:rPr>
            </w:pPr>
            <w:r>
              <w:rPr>
                <w:rFonts w:eastAsia="等线" w:cs="Times New Roman"/>
                <w:color w:val="000000"/>
                <w:szCs w:val="21"/>
              </w:rPr>
              <w:t>3.1</w:t>
            </w:r>
          </w:p>
        </w:tc>
        <w:tc>
          <w:tcPr>
            <w:tcW w:w="1139" w:type="dxa"/>
            <w:vAlign w:val="center"/>
          </w:tcPr>
          <w:p w14:paraId="047F75A7">
            <w:pPr>
              <w:pStyle w:val="133"/>
              <w:rPr>
                <w:color w:val="000000"/>
                <w:szCs w:val="21"/>
              </w:rPr>
            </w:pPr>
            <w:r>
              <w:rPr>
                <w:rFonts w:eastAsia="等线" w:cs="Times New Roman"/>
                <w:color w:val="000000"/>
                <w:szCs w:val="21"/>
              </w:rPr>
              <w:t>0.06</w:t>
            </w:r>
          </w:p>
        </w:tc>
        <w:tc>
          <w:tcPr>
            <w:tcW w:w="1139" w:type="dxa"/>
            <w:vAlign w:val="center"/>
          </w:tcPr>
          <w:p w14:paraId="28D14BA1">
            <w:pPr>
              <w:pStyle w:val="133"/>
              <w:rPr>
                <w:color w:val="000000"/>
                <w:szCs w:val="21"/>
              </w:rPr>
            </w:pPr>
            <w:r>
              <w:rPr>
                <w:rFonts w:hint="eastAsia"/>
                <w:color w:val="000000"/>
                <w:szCs w:val="21"/>
              </w:rPr>
              <w:t>0.475</w:t>
            </w:r>
          </w:p>
        </w:tc>
        <w:tc>
          <w:tcPr>
            <w:tcW w:w="996" w:type="dxa"/>
            <w:vAlign w:val="center"/>
          </w:tcPr>
          <w:p w14:paraId="004F2FAA">
            <w:pPr>
              <w:pStyle w:val="133"/>
              <w:rPr>
                <w:color w:val="000000"/>
                <w:szCs w:val="21"/>
              </w:rPr>
            </w:pPr>
            <w:r>
              <w:rPr>
                <w:rFonts w:hint="eastAsia"/>
                <w:color w:val="000000"/>
                <w:szCs w:val="21"/>
              </w:rPr>
              <w:t>10</w:t>
            </w:r>
          </w:p>
        </w:tc>
        <w:tc>
          <w:tcPr>
            <w:tcW w:w="996" w:type="dxa"/>
            <w:vAlign w:val="center"/>
          </w:tcPr>
          <w:p w14:paraId="78E44DDE">
            <w:pPr>
              <w:pStyle w:val="133"/>
              <w:rPr>
                <w:color w:val="000000"/>
                <w:szCs w:val="21"/>
              </w:rPr>
            </w:pPr>
            <w:r>
              <w:rPr>
                <w:rFonts w:hint="eastAsia"/>
                <w:color w:val="000000"/>
                <w:szCs w:val="21"/>
              </w:rPr>
              <w:t>-</w:t>
            </w:r>
          </w:p>
        </w:tc>
        <w:tc>
          <w:tcPr>
            <w:tcW w:w="2658" w:type="dxa"/>
            <w:vAlign w:val="center"/>
          </w:tcPr>
          <w:p w14:paraId="698C37EE">
            <w:pPr>
              <w:pStyle w:val="133"/>
              <w:rPr>
                <w:color w:val="000000"/>
                <w:szCs w:val="21"/>
              </w:rPr>
            </w:pPr>
            <w:r>
              <w:rPr>
                <w:rFonts w:hint="eastAsia"/>
                <w:color w:val="000000"/>
                <w:szCs w:val="21"/>
              </w:rPr>
              <w:t>《关于推进实施焦化行业超低排放的意见》附表1</w:t>
            </w:r>
          </w:p>
        </w:tc>
      </w:tr>
      <w:tr w14:paraId="04C42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0AE48D9">
            <w:pPr>
              <w:pStyle w:val="133"/>
              <w:rPr>
                <w:color w:val="EE0000"/>
                <w:szCs w:val="21"/>
              </w:rPr>
            </w:pPr>
          </w:p>
        </w:tc>
        <w:tc>
          <w:tcPr>
            <w:tcW w:w="1113" w:type="dxa"/>
            <w:vMerge w:val="continue"/>
            <w:vAlign w:val="center"/>
          </w:tcPr>
          <w:p w14:paraId="592D6BD8">
            <w:pPr>
              <w:pStyle w:val="133"/>
              <w:rPr>
                <w:color w:val="EE0000"/>
                <w:szCs w:val="21"/>
              </w:rPr>
            </w:pPr>
          </w:p>
        </w:tc>
        <w:tc>
          <w:tcPr>
            <w:tcW w:w="1139" w:type="dxa"/>
            <w:vMerge w:val="restart"/>
            <w:vAlign w:val="center"/>
          </w:tcPr>
          <w:p w14:paraId="3E8F3475">
            <w:pPr>
              <w:pStyle w:val="133"/>
              <w:rPr>
                <w:color w:val="000000"/>
                <w:szCs w:val="21"/>
              </w:rPr>
            </w:pPr>
            <w:r>
              <w:rPr>
                <w:rFonts w:hint="eastAsia"/>
                <w:color w:val="000000"/>
                <w:szCs w:val="21"/>
              </w:rPr>
              <w:t>兰炭烘干</w:t>
            </w:r>
          </w:p>
          <w:p w14:paraId="16DC3111">
            <w:pPr>
              <w:pStyle w:val="133"/>
              <w:rPr>
                <w:color w:val="000000"/>
                <w:szCs w:val="21"/>
              </w:rPr>
            </w:pPr>
            <w:r>
              <w:rPr>
                <w:rFonts w:hint="eastAsia"/>
                <w:color w:val="000000"/>
                <w:szCs w:val="21"/>
              </w:rPr>
              <w:t>废气</w:t>
            </w:r>
          </w:p>
        </w:tc>
        <w:tc>
          <w:tcPr>
            <w:tcW w:w="1284" w:type="dxa"/>
            <w:vAlign w:val="center"/>
          </w:tcPr>
          <w:p w14:paraId="1853145F">
            <w:pPr>
              <w:pStyle w:val="133"/>
              <w:rPr>
                <w:color w:val="000000"/>
                <w:szCs w:val="21"/>
              </w:rPr>
            </w:pPr>
            <w:r>
              <w:rPr>
                <w:rFonts w:hint="eastAsia"/>
                <w:color w:val="000000"/>
                <w:szCs w:val="21"/>
              </w:rPr>
              <w:t>颗粒物</w:t>
            </w:r>
          </w:p>
        </w:tc>
        <w:tc>
          <w:tcPr>
            <w:tcW w:w="713" w:type="dxa"/>
            <w:vMerge w:val="restart"/>
            <w:vAlign w:val="center"/>
          </w:tcPr>
          <w:p w14:paraId="46414705">
            <w:pPr>
              <w:pStyle w:val="133"/>
              <w:rPr>
                <w:color w:val="000000"/>
                <w:szCs w:val="21"/>
              </w:rPr>
            </w:pPr>
            <w:r>
              <w:rPr>
                <w:rFonts w:hint="eastAsia"/>
                <w:color w:val="000000"/>
                <w:szCs w:val="21"/>
              </w:rPr>
              <w:t>有组织</w:t>
            </w:r>
          </w:p>
        </w:tc>
        <w:tc>
          <w:tcPr>
            <w:tcW w:w="1135" w:type="dxa"/>
            <w:vAlign w:val="center"/>
          </w:tcPr>
          <w:p w14:paraId="514E61BC">
            <w:pPr>
              <w:pStyle w:val="133"/>
              <w:rPr>
                <w:color w:val="000000"/>
                <w:szCs w:val="21"/>
              </w:rPr>
            </w:pPr>
            <w:r>
              <w:rPr>
                <w:rFonts w:hint="eastAsia"/>
                <w:color w:val="000000"/>
                <w:szCs w:val="21"/>
              </w:rPr>
              <w:t>旋风除尘+碱洗+布袋除尘器</w:t>
            </w:r>
          </w:p>
        </w:tc>
        <w:tc>
          <w:tcPr>
            <w:tcW w:w="996" w:type="dxa"/>
            <w:vAlign w:val="center"/>
          </w:tcPr>
          <w:p w14:paraId="470837BF">
            <w:pPr>
              <w:pStyle w:val="133"/>
              <w:rPr>
                <w:color w:val="000000"/>
                <w:szCs w:val="21"/>
              </w:rPr>
            </w:pPr>
            <w:r>
              <w:rPr>
                <w:rFonts w:eastAsia="等线" w:cs="Times New Roman"/>
                <w:color w:val="000000"/>
                <w:szCs w:val="21"/>
              </w:rPr>
              <w:t>1.3</w:t>
            </w:r>
          </w:p>
        </w:tc>
        <w:tc>
          <w:tcPr>
            <w:tcW w:w="1139" w:type="dxa"/>
            <w:vAlign w:val="center"/>
          </w:tcPr>
          <w:p w14:paraId="214F7B0C">
            <w:pPr>
              <w:pStyle w:val="133"/>
              <w:rPr>
                <w:color w:val="000000"/>
                <w:szCs w:val="21"/>
              </w:rPr>
            </w:pPr>
            <w:r>
              <w:rPr>
                <w:rFonts w:eastAsia="等线" w:cs="Times New Roman"/>
                <w:color w:val="000000"/>
                <w:szCs w:val="21"/>
              </w:rPr>
              <w:t>0.04</w:t>
            </w:r>
          </w:p>
        </w:tc>
        <w:tc>
          <w:tcPr>
            <w:tcW w:w="1139" w:type="dxa"/>
            <w:vAlign w:val="center"/>
          </w:tcPr>
          <w:p w14:paraId="01303AFA">
            <w:pPr>
              <w:pStyle w:val="133"/>
              <w:rPr>
                <w:color w:val="000000"/>
                <w:szCs w:val="21"/>
              </w:rPr>
            </w:pPr>
            <w:r>
              <w:rPr>
                <w:rFonts w:hint="eastAsia"/>
                <w:color w:val="000000"/>
                <w:szCs w:val="21"/>
              </w:rPr>
              <w:t>0.317</w:t>
            </w:r>
          </w:p>
        </w:tc>
        <w:tc>
          <w:tcPr>
            <w:tcW w:w="996" w:type="dxa"/>
            <w:vAlign w:val="center"/>
          </w:tcPr>
          <w:p w14:paraId="32534477">
            <w:pPr>
              <w:pStyle w:val="133"/>
              <w:rPr>
                <w:color w:val="000000"/>
                <w:szCs w:val="21"/>
              </w:rPr>
            </w:pPr>
            <w:r>
              <w:rPr>
                <w:rFonts w:hint="eastAsia"/>
                <w:color w:val="000000"/>
                <w:szCs w:val="21"/>
              </w:rPr>
              <w:t>10</w:t>
            </w:r>
          </w:p>
        </w:tc>
        <w:tc>
          <w:tcPr>
            <w:tcW w:w="996" w:type="dxa"/>
            <w:vAlign w:val="center"/>
          </w:tcPr>
          <w:p w14:paraId="3F765330">
            <w:pPr>
              <w:pStyle w:val="133"/>
              <w:rPr>
                <w:color w:val="000000"/>
                <w:szCs w:val="21"/>
              </w:rPr>
            </w:pPr>
            <w:r>
              <w:rPr>
                <w:rFonts w:hint="eastAsia"/>
                <w:color w:val="000000"/>
                <w:szCs w:val="21"/>
              </w:rPr>
              <w:t>-</w:t>
            </w:r>
          </w:p>
        </w:tc>
        <w:tc>
          <w:tcPr>
            <w:tcW w:w="2658" w:type="dxa"/>
            <w:vAlign w:val="center"/>
          </w:tcPr>
          <w:p w14:paraId="39622221">
            <w:pPr>
              <w:pStyle w:val="133"/>
              <w:rPr>
                <w:color w:val="000000"/>
                <w:szCs w:val="21"/>
              </w:rPr>
            </w:pPr>
            <w:r>
              <w:rPr>
                <w:rFonts w:hint="eastAsia"/>
                <w:color w:val="000000"/>
                <w:szCs w:val="21"/>
              </w:rPr>
              <w:t>《关于推进实施焦化行业超低排放的意见》附表1</w:t>
            </w:r>
          </w:p>
        </w:tc>
      </w:tr>
      <w:tr w14:paraId="6B831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4BDDE3E">
            <w:pPr>
              <w:pStyle w:val="133"/>
              <w:rPr>
                <w:color w:val="EE0000"/>
                <w:szCs w:val="21"/>
              </w:rPr>
            </w:pPr>
          </w:p>
        </w:tc>
        <w:tc>
          <w:tcPr>
            <w:tcW w:w="1113" w:type="dxa"/>
            <w:vMerge w:val="continue"/>
            <w:vAlign w:val="center"/>
          </w:tcPr>
          <w:p w14:paraId="3303F659">
            <w:pPr>
              <w:pStyle w:val="133"/>
              <w:rPr>
                <w:color w:val="EE0000"/>
                <w:szCs w:val="21"/>
              </w:rPr>
            </w:pPr>
          </w:p>
        </w:tc>
        <w:tc>
          <w:tcPr>
            <w:tcW w:w="1139" w:type="dxa"/>
            <w:vMerge w:val="continue"/>
            <w:vAlign w:val="center"/>
          </w:tcPr>
          <w:p w14:paraId="3A0E77B1">
            <w:pPr>
              <w:pStyle w:val="133"/>
              <w:rPr>
                <w:color w:val="000000"/>
                <w:szCs w:val="21"/>
              </w:rPr>
            </w:pPr>
          </w:p>
        </w:tc>
        <w:tc>
          <w:tcPr>
            <w:tcW w:w="1284" w:type="dxa"/>
            <w:vAlign w:val="center"/>
          </w:tcPr>
          <w:p w14:paraId="5812A674">
            <w:pPr>
              <w:pStyle w:val="133"/>
              <w:rPr>
                <w:color w:val="000000"/>
                <w:szCs w:val="21"/>
              </w:rPr>
            </w:pPr>
            <w:r>
              <w:rPr>
                <w:rFonts w:hint="eastAsia"/>
                <w:color w:val="000000"/>
                <w:szCs w:val="21"/>
              </w:rPr>
              <w:t>SO</w:t>
            </w:r>
            <w:r>
              <w:rPr>
                <w:rFonts w:hint="eastAsia"/>
                <w:color w:val="000000"/>
                <w:szCs w:val="21"/>
                <w:vertAlign w:val="subscript"/>
              </w:rPr>
              <w:t>2</w:t>
            </w:r>
          </w:p>
        </w:tc>
        <w:tc>
          <w:tcPr>
            <w:tcW w:w="713" w:type="dxa"/>
            <w:vMerge w:val="continue"/>
            <w:vAlign w:val="center"/>
          </w:tcPr>
          <w:p w14:paraId="5E889238">
            <w:pPr>
              <w:pStyle w:val="133"/>
              <w:rPr>
                <w:color w:val="000000"/>
                <w:szCs w:val="21"/>
              </w:rPr>
            </w:pPr>
          </w:p>
        </w:tc>
        <w:tc>
          <w:tcPr>
            <w:tcW w:w="1135" w:type="dxa"/>
            <w:vAlign w:val="center"/>
          </w:tcPr>
          <w:p w14:paraId="385E65A1">
            <w:pPr>
              <w:pStyle w:val="133"/>
              <w:rPr>
                <w:color w:val="000000"/>
                <w:szCs w:val="21"/>
              </w:rPr>
            </w:pPr>
            <w:r>
              <w:rPr>
                <w:rFonts w:hint="eastAsia"/>
                <w:color w:val="000000"/>
                <w:szCs w:val="21"/>
              </w:rPr>
              <w:t>碱喷淋脱硫</w:t>
            </w:r>
          </w:p>
        </w:tc>
        <w:tc>
          <w:tcPr>
            <w:tcW w:w="996" w:type="dxa"/>
            <w:vAlign w:val="center"/>
          </w:tcPr>
          <w:p w14:paraId="186DB1EC">
            <w:pPr>
              <w:pStyle w:val="133"/>
              <w:rPr>
                <w:color w:val="000000"/>
                <w:szCs w:val="21"/>
              </w:rPr>
            </w:pPr>
            <w:r>
              <w:rPr>
                <w:rFonts w:eastAsia="等线" w:cs="Times New Roman"/>
                <w:color w:val="000000"/>
                <w:szCs w:val="21"/>
              </w:rPr>
              <w:t>10.8</w:t>
            </w:r>
          </w:p>
        </w:tc>
        <w:tc>
          <w:tcPr>
            <w:tcW w:w="1139" w:type="dxa"/>
            <w:vAlign w:val="center"/>
          </w:tcPr>
          <w:p w14:paraId="434F7BCF">
            <w:pPr>
              <w:pStyle w:val="133"/>
              <w:rPr>
                <w:color w:val="000000"/>
                <w:szCs w:val="21"/>
              </w:rPr>
            </w:pPr>
            <w:r>
              <w:rPr>
                <w:rFonts w:eastAsia="等线" w:cs="Times New Roman"/>
                <w:color w:val="000000"/>
                <w:szCs w:val="21"/>
              </w:rPr>
              <w:t>0.33</w:t>
            </w:r>
          </w:p>
        </w:tc>
        <w:tc>
          <w:tcPr>
            <w:tcW w:w="1139" w:type="dxa"/>
            <w:vAlign w:val="center"/>
          </w:tcPr>
          <w:p w14:paraId="5B4D7C34">
            <w:pPr>
              <w:pStyle w:val="133"/>
              <w:rPr>
                <w:color w:val="000000"/>
                <w:szCs w:val="21"/>
              </w:rPr>
            </w:pPr>
            <w:r>
              <w:rPr>
                <w:rFonts w:hint="eastAsia"/>
                <w:color w:val="000000"/>
                <w:szCs w:val="21"/>
              </w:rPr>
              <w:t>2.614</w:t>
            </w:r>
          </w:p>
        </w:tc>
        <w:tc>
          <w:tcPr>
            <w:tcW w:w="996" w:type="dxa"/>
            <w:vAlign w:val="center"/>
          </w:tcPr>
          <w:p w14:paraId="46A2C616">
            <w:pPr>
              <w:pStyle w:val="133"/>
              <w:rPr>
                <w:color w:val="000000"/>
                <w:szCs w:val="21"/>
              </w:rPr>
            </w:pPr>
            <w:r>
              <w:rPr>
                <w:rFonts w:hint="eastAsia"/>
                <w:color w:val="000000"/>
                <w:szCs w:val="21"/>
              </w:rPr>
              <w:t>50</w:t>
            </w:r>
          </w:p>
        </w:tc>
        <w:tc>
          <w:tcPr>
            <w:tcW w:w="996" w:type="dxa"/>
            <w:vAlign w:val="center"/>
          </w:tcPr>
          <w:p w14:paraId="6D9602BF">
            <w:pPr>
              <w:pStyle w:val="133"/>
              <w:rPr>
                <w:color w:val="000000"/>
                <w:szCs w:val="21"/>
              </w:rPr>
            </w:pPr>
            <w:r>
              <w:rPr>
                <w:rFonts w:hint="eastAsia"/>
                <w:color w:val="000000"/>
                <w:szCs w:val="21"/>
              </w:rPr>
              <w:t>-</w:t>
            </w:r>
          </w:p>
        </w:tc>
        <w:tc>
          <w:tcPr>
            <w:tcW w:w="2658" w:type="dxa"/>
            <w:vAlign w:val="center"/>
          </w:tcPr>
          <w:p w14:paraId="2EF4418A">
            <w:pPr>
              <w:pStyle w:val="133"/>
              <w:rPr>
                <w:color w:val="000000"/>
                <w:szCs w:val="21"/>
              </w:rPr>
            </w:pPr>
            <w:r>
              <w:rPr>
                <w:rFonts w:hint="eastAsia"/>
                <w:color w:val="000000"/>
                <w:szCs w:val="21"/>
              </w:rPr>
              <w:t>《关于推进实施焦化行业超低排放的意见》附表1</w:t>
            </w:r>
          </w:p>
        </w:tc>
      </w:tr>
      <w:tr w14:paraId="3C1AA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E375846">
            <w:pPr>
              <w:pStyle w:val="133"/>
              <w:rPr>
                <w:color w:val="EE0000"/>
                <w:szCs w:val="21"/>
              </w:rPr>
            </w:pPr>
          </w:p>
        </w:tc>
        <w:tc>
          <w:tcPr>
            <w:tcW w:w="1113" w:type="dxa"/>
            <w:vMerge w:val="continue"/>
            <w:vAlign w:val="center"/>
          </w:tcPr>
          <w:p w14:paraId="4C423664">
            <w:pPr>
              <w:pStyle w:val="133"/>
              <w:rPr>
                <w:color w:val="EE0000"/>
                <w:szCs w:val="21"/>
              </w:rPr>
            </w:pPr>
          </w:p>
        </w:tc>
        <w:tc>
          <w:tcPr>
            <w:tcW w:w="1139" w:type="dxa"/>
            <w:vMerge w:val="continue"/>
            <w:vAlign w:val="center"/>
          </w:tcPr>
          <w:p w14:paraId="232D86AD">
            <w:pPr>
              <w:pStyle w:val="133"/>
              <w:rPr>
                <w:color w:val="000000"/>
                <w:szCs w:val="21"/>
              </w:rPr>
            </w:pPr>
          </w:p>
        </w:tc>
        <w:tc>
          <w:tcPr>
            <w:tcW w:w="1284" w:type="dxa"/>
            <w:vAlign w:val="center"/>
          </w:tcPr>
          <w:p w14:paraId="2494675A">
            <w:pPr>
              <w:pStyle w:val="133"/>
              <w:rPr>
                <w:color w:val="000000"/>
                <w:szCs w:val="21"/>
              </w:rPr>
            </w:pPr>
            <w:r>
              <w:rPr>
                <w:rFonts w:hint="eastAsia"/>
                <w:color w:val="000000"/>
                <w:szCs w:val="21"/>
              </w:rPr>
              <w:t>NOx</w:t>
            </w:r>
          </w:p>
        </w:tc>
        <w:tc>
          <w:tcPr>
            <w:tcW w:w="713" w:type="dxa"/>
            <w:vMerge w:val="continue"/>
            <w:vAlign w:val="center"/>
          </w:tcPr>
          <w:p w14:paraId="6C4DACA1">
            <w:pPr>
              <w:pStyle w:val="133"/>
              <w:rPr>
                <w:color w:val="000000"/>
                <w:szCs w:val="21"/>
              </w:rPr>
            </w:pPr>
          </w:p>
        </w:tc>
        <w:tc>
          <w:tcPr>
            <w:tcW w:w="1135" w:type="dxa"/>
            <w:vAlign w:val="center"/>
          </w:tcPr>
          <w:p w14:paraId="7AE47A85">
            <w:pPr>
              <w:pStyle w:val="133"/>
              <w:rPr>
                <w:color w:val="000000"/>
                <w:szCs w:val="21"/>
              </w:rPr>
            </w:pPr>
            <w:r>
              <w:rPr>
                <w:rFonts w:hint="eastAsia"/>
                <w:color w:val="000000"/>
                <w:szCs w:val="21"/>
              </w:rPr>
              <w:t>/</w:t>
            </w:r>
          </w:p>
        </w:tc>
        <w:tc>
          <w:tcPr>
            <w:tcW w:w="996" w:type="dxa"/>
            <w:vAlign w:val="center"/>
          </w:tcPr>
          <w:p w14:paraId="2A3D3F06">
            <w:pPr>
              <w:pStyle w:val="133"/>
              <w:rPr>
                <w:color w:val="000000"/>
                <w:szCs w:val="21"/>
              </w:rPr>
            </w:pPr>
            <w:r>
              <w:rPr>
                <w:rFonts w:eastAsia="等线" w:cs="Times New Roman"/>
                <w:color w:val="000000"/>
                <w:szCs w:val="21"/>
              </w:rPr>
              <w:t>117.8</w:t>
            </w:r>
          </w:p>
        </w:tc>
        <w:tc>
          <w:tcPr>
            <w:tcW w:w="1139" w:type="dxa"/>
            <w:vAlign w:val="center"/>
          </w:tcPr>
          <w:p w14:paraId="0AA782A7">
            <w:pPr>
              <w:pStyle w:val="133"/>
              <w:rPr>
                <w:color w:val="000000"/>
                <w:szCs w:val="21"/>
              </w:rPr>
            </w:pPr>
            <w:r>
              <w:rPr>
                <w:rFonts w:eastAsia="等线" w:cs="Times New Roman"/>
                <w:color w:val="000000"/>
                <w:szCs w:val="21"/>
              </w:rPr>
              <w:t>3.61</w:t>
            </w:r>
          </w:p>
        </w:tc>
        <w:tc>
          <w:tcPr>
            <w:tcW w:w="1139" w:type="dxa"/>
            <w:vAlign w:val="center"/>
          </w:tcPr>
          <w:p w14:paraId="574C005B">
            <w:pPr>
              <w:pStyle w:val="133"/>
              <w:rPr>
                <w:color w:val="000000"/>
                <w:szCs w:val="21"/>
              </w:rPr>
            </w:pPr>
            <w:r>
              <w:rPr>
                <w:rFonts w:hint="eastAsia"/>
                <w:color w:val="000000"/>
                <w:szCs w:val="21"/>
              </w:rPr>
              <w:t>28.591</w:t>
            </w:r>
          </w:p>
        </w:tc>
        <w:tc>
          <w:tcPr>
            <w:tcW w:w="996" w:type="dxa"/>
            <w:vAlign w:val="center"/>
          </w:tcPr>
          <w:p w14:paraId="19B68C09">
            <w:pPr>
              <w:pStyle w:val="133"/>
              <w:rPr>
                <w:color w:val="000000"/>
                <w:szCs w:val="21"/>
              </w:rPr>
            </w:pPr>
            <w:r>
              <w:rPr>
                <w:rFonts w:hint="eastAsia"/>
                <w:color w:val="000000"/>
                <w:szCs w:val="21"/>
              </w:rPr>
              <w:t>-</w:t>
            </w:r>
          </w:p>
        </w:tc>
        <w:tc>
          <w:tcPr>
            <w:tcW w:w="996" w:type="dxa"/>
            <w:vAlign w:val="center"/>
          </w:tcPr>
          <w:p w14:paraId="0B26FB1B">
            <w:pPr>
              <w:pStyle w:val="133"/>
              <w:rPr>
                <w:color w:val="000000"/>
                <w:szCs w:val="21"/>
              </w:rPr>
            </w:pPr>
            <w:r>
              <w:rPr>
                <w:rFonts w:hint="eastAsia"/>
                <w:color w:val="000000"/>
                <w:szCs w:val="21"/>
              </w:rPr>
              <w:t>-</w:t>
            </w:r>
          </w:p>
        </w:tc>
        <w:tc>
          <w:tcPr>
            <w:tcW w:w="2658" w:type="dxa"/>
            <w:vAlign w:val="center"/>
          </w:tcPr>
          <w:p w14:paraId="717BF95F">
            <w:pPr>
              <w:pStyle w:val="133"/>
              <w:rPr>
                <w:color w:val="000000"/>
                <w:szCs w:val="21"/>
              </w:rPr>
            </w:pPr>
            <w:r>
              <w:rPr>
                <w:rFonts w:hint="eastAsia"/>
                <w:color w:val="000000"/>
                <w:szCs w:val="21"/>
              </w:rPr>
              <w:t>-</w:t>
            </w:r>
          </w:p>
        </w:tc>
      </w:tr>
      <w:tr w14:paraId="61066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653AC128">
            <w:pPr>
              <w:pStyle w:val="133"/>
              <w:rPr>
                <w:color w:val="EE0000"/>
                <w:szCs w:val="21"/>
              </w:rPr>
            </w:pPr>
          </w:p>
        </w:tc>
        <w:tc>
          <w:tcPr>
            <w:tcW w:w="1113" w:type="dxa"/>
            <w:vMerge w:val="continue"/>
            <w:vAlign w:val="center"/>
          </w:tcPr>
          <w:p w14:paraId="1A1108C8">
            <w:pPr>
              <w:pStyle w:val="133"/>
              <w:rPr>
                <w:color w:val="EE0000"/>
                <w:szCs w:val="21"/>
              </w:rPr>
            </w:pPr>
          </w:p>
        </w:tc>
        <w:tc>
          <w:tcPr>
            <w:tcW w:w="1139" w:type="dxa"/>
            <w:vAlign w:val="center"/>
          </w:tcPr>
          <w:p w14:paraId="1A8A8DB1">
            <w:pPr>
              <w:pStyle w:val="133"/>
              <w:rPr>
                <w:color w:val="000000"/>
                <w:szCs w:val="21"/>
              </w:rPr>
            </w:pPr>
            <w:r>
              <w:rPr>
                <w:rFonts w:hint="eastAsia"/>
                <w:color w:val="000000"/>
                <w:szCs w:val="21"/>
              </w:rPr>
              <w:t>兰炭筛分废气</w:t>
            </w:r>
          </w:p>
        </w:tc>
        <w:tc>
          <w:tcPr>
            <w:tcW w:w="1284" w:type="dxa"/>
            <w:vAlign w:val="center"/>
          </w:tcPr>
          <w:p w14:paraId="506A7925">
            <w:pPr>
              <w:pStyle w:val="133"/>
              <w:rPr>
                <w:color w:val="000000"/>
                <w:szCs w:val="21"/>
              </w:rPr>
            </w:pPr>
            <w:r>
              <w:rPr>
                <w:rFonts w:hint="eastAsia"/>
                <w:color w:val="000000"/>
                <w:szCs w:val="21"/>
              </w:rPr>
              <w:t>颗粒物</w:t>
            </w:r>
          </w:p>
        </w:tc>
        <w:tc>
          <w:tcPr>
            <w:tcW w:w="713" w:type="dxa"/>
            <w:vAlign w:val="center"/>
          </w:tcPr>
          <w:p w14:paraId="1FB662F9">
            <w:pPr>
              <w:pStyle w:val="133"/>
              <w:rPr>
                <w:color w:val="000000"/>
                <w:szCs w:val="21"/>
              </w:rPr>
            </w:pPr>
            <w:r>
              <w:rPr>
                <w:rFonts w:hint="eastAsia"/>
                <w:color w:val="000000"/>
                <w:szCs w:val="21"/>
              </w:rPr>
              <w:t>有组织</w:t>
            </w:r>
          </w:p>
        </w:tc>
        <w:tc>
          <w:tcPr>
            <w:tcW w:w="1135" w:type="dxa"/>
            <w:vAlign w:val="center"/>
          </w:tcPr>
          <w:p w14:paraId="32FFBED4">
            <w:pPr>
              <w:pStyle w:val="133"/>
              <w:rPr>
                <w:color w:val="000000"/>
                <w:szCs w:val="21"/>
              </w:rPr>
            </w:pPr>
            <w:r>
              <w:rPr>
                <w:rFonts w:hint="eastAsia"/>
                <w:color w:val="000000"/>
                <w:szCs w:val="21"/>
              </w:rPr>
              <w:t>布袋除尘器</w:t>
            </w:r>
          </w:p>
        </w:tc>
        <w:tc>
          <w:tcPr>
            <w:tcW w:w="996" w:type="dxa"/>
            <w:vAlign w:val="center"/>
          </w:tcPr>
          <w:p w14:paraId="184892BA">
            <w:pPr>
              <w:pStyle w:val="133"/>
              <w:rPr>
                <w:color w:val="000000"/>
                <w:szCs w:val="21"/>
              </w:rPr>
            </w:pPr>
            <w:r>
              <w:rPr>
                <w:rFonts w:eastAsia="等线" w:cs="Times New Roman"/>
                <w:color w:val="000000"/>
                <w:szCs w:val="21"/>
              </w:rPr>
              <w:t>6.5</w:t>
            </w:r>
          </w:p>
        </w:tc>
        <w:tc>
          <w:tcPr>
            <w:tcW w:w="1139" w:type="dxa"/>
            <w:vAlign w:val="center"/>
          </w:tcPr>
          <w:p w14:paraId="33319687">
            <w:pPr>
              <w:pStyle w:val="133"/>
              <w:rPr>
                <w:color w:val="000000"/>
                <w:szCs w:val="21"/>
              </w:rPr>
            </w:pPr>
            <w:r>
              <w:rPr>
                <w:rFonts w:eastAsia="等线" w:cs="Times New Roman"/>
                <w:color w:val="000000"/>
                <w:szCs w:val="21"/>
              </w:rPr>
              <w:t>0.1235</w:t>
            </w:r>
          </w:p>
        </w:tc>
        <w:tc>
          <w:tcPr>
            <w:tcW w:w="1139" w:type="dxa"/>
            <w:vAlign w:val="center"/>
          </w:tcPr>
          <w:p w14:paraId="10689249">
            <w:pPr>
              <w:pStyle w:val="133"/>
              <w:rPr>
                <w:color w:val="000000"/>
                <w:szCs w:val="21"/>
              </w:rPr>
            </w:pPr>
            <w:r>
              <w:rPr>
                <w:rFonts w:hint="eastAsia"/>
                <w:color w:val="000000"/>
                <w:szCs w:val="21"/>
              </w:rPr>
              <w:t>0.978</w:t>
            </w:r>
          </w:p>
        </w:tc>
        <w:tc>
          <w:tcPr>
            <w:tcW w:w="996" w:type="dxa"/>
            <w:vAlign w:val="center"/>
          </w:tcPr>
          <w:p w14:paraId="16C0BAD0">
            <w:pPr>
              <w:pStyle w:val="133"/>
              <w:rPr>
                <w:color w:val="000000"/>
                <w:szCs w:val="21"/>
              </w:rPr>
            </w:pPr>
            <w:r>
              <w:rPr>
                <w:rFonts w:hint="eastAsia"/>
                <w:color w:val="000000"/>
                <w:szCs w:val="21"/>
              </w:rPr>
              <w:t>10</w:t>
            </w:r>
          </w:p>
        </w:tc>
        <w:tc>
          <w:tcPr>
            <w:tcW w:w="996" w:type="dxa"/>
            <w:vAlign w:val="center"/>
          </w:tcPr>
          <w:p w14:paraId="7ACB6B31">
            <w:pPr>
              <w:pStyle w:val="133"/>
              <w:rPr>
                <w:color w:val="000000"/>
                <w:szCs w:val="21"/>
              </w:rPr>
            </w:pPr>
            <w:r>
              <w:rPr>
                <w:rFonts w:hint="eastAsia"/>
                <w:color w:val="000000"/>
                <w:szCs w:val="21"/>
              </w:rPr>
              <w:t>-</w:t>
            </w:r>
          </w:p>
        </w:tc>
        <w:tc>
          <w:tcPr>
            <w:tcW w:w="2658" w:type="dxa"/>
            <w:vAlign w:val="center"/>
          </w:tcPr>
          <w:p w14:paraId="68DC2864">
            <w:pPr>
              <w:pStyle w:val="133"/>
              <w:rPr>
                <w:color w:val="000000"/>
                <w:szCs w:val="21"/>
              </w:rPr>
            </w:pPr>
            <w:r>
              <w:rPr>
                <w:rFonts w:hint="eastAsia"/>
                <w:color w:val="000000"/>
                <w:szCs w:val="21"/>
              </w:rPr>
              <w:t>《关于推进实施焦化行业超低排放的意见》附表1</w:t>
            </w:r>
          </w:p>
        </w:tc>
      </w:tr>
      <w:tr w14:paraId="3D6C7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4E73D0FB">
            <w:pPr>
              <w:pStyle w:val="133"/>
              <w:rPr>
                <w:color w:val="EE0000"/>
                <w:szCs w:val="21"/>
              </w:rPr>
            </w:pPr>
          </w:p>
        </w:tc>
        <w:tc>
          <w:tcPr>
            <w:tcW w:w="1113" w:type="dxa"/>
            <w:vMerge w:val="continue"/>
            <w:vAlign w:val="center"/>
          </w:tcPr>
          <w:p w14:paraId="4C24FF14">
            <w:pPr>
              <w:pStyle w:val="133"/>
              <w:rPr>
                <w:color w:val="EE0000"/>
                <w:szCs w:val="21"/>
              </w:rPr>
            </w:pPr>
          </w:p>
        </w:tc>
        <w:tc>
          <w:tcPr>
            <w:tcW w:w="1139" w:type="dxa"/>
            <w:vMerge w:val="restart"/>
            <w:vAlign w:val="center"/>
          </w:tcPr>
          <w:p w14:paraId="425A908F">
            <w:pPr>
              <w:pStyle w:val="133"/>
              <w:rPr>
                <w:color w:val="000000"/>
                <w:szCs w:val="21"/>
              </w:rPr>
            </w:pPr>
            <w:r>
              <w:rPr>
                <w:rFonts w:hint="eastAsia"/>
                <w:color w:val="000000"/>
                <w:szCs w:val="21"/>
              </w:rPr>
              <w:t>焚烧炉烟气</w:t>
            </w:r>
          </w:p>
        </w:tc>
        <w:tc>
          <w:tcPr>
            <w:tcW w:w="1284" w:type="dxa"/>
            <w:vAlign w:val="center"/>
          </w:tcPr>
          <w:p w14:paraId="2768A62D">
            <w:pPr>
              <w:pStyle w:val="133"/>
              <w:rPr>
                <w:color w:val="000000"/>
                <w:szCs w:val="21"/>
              </w:rPr>
            </w:pPr>
            <w:r>
              <w:rPr>
                <w:rFonts w:hint="eastAsia"/>
                <w:color w:val="000000"/>
                <w:szCs w:val="21"/>
              </w:rPr>
              <w:t>烟尘</w:t>
            </w:r>
          </w:p>
        </w:tc>
        <w:tc>
          <w:tcPr>
            <w:tcW w:w="713" w:type="dxa"/>
            <w:vMerge w:val="restart"/>
            <w:vAlign w:val="center"/>
          </w:tcPr>
          <w:p w14:paraId="74BBD939">
            <w:pPr>
              <w:pStyle w:val="133"/>
              <w:rPr>
                <w:color w:val="000000"/>
                <w:szCs w:val="21"/>
              </w:rPr>
            </w:pPr>
            <w:r>
              <w:rPr>
                <w:rFonts w:hint="eastAsia"/>
                <w:color w:val="000000"/>
                <w:szCs w:val="21"/>
              </w:rPr>
              <w:t>有组织</w:t>
            </w:r>
          </w:p>
        </w:tc>
        <w:tc>
          <w:tcPr>
            <w:tcW w:w="1135" w:type="dxa"/>
            <w:vMerge w:val="restart"/>
            <w:vAlign w:val="center"/>
          </w:tcPr>
          <w:p w14:paraId="6589477B">
            <w:pPr>
              <w:pStyle w:val="133"/>
              <w:rPr>
                <w:color w:val="000000"/>
                <w:szCs w:val="21"/>
              </w:rPr>
            </w:pPr>
            <w:r>
              <w:rPr>
                <w:rFonts w:hint="eastAsia" w:cs="Times New Roman"/>
                <w:color w:val="000000"/>
                <w:szCs w:val="21"/>
              </w:rPr>
              <w:t>SNCR+二级碱喷淋脱硫</w:t>
            </w:r>
          </w:p>
        </w:tc>
        <w:tc>
          <w:tcPr>
            <w:tcW w:w="996" w:type="dxa"/>
            <w:vAlign w:val="center"/>
          </w:tcPr>
          <w:p w14:paraId="5E88298D">
            <w:pPr>
              <w:pStyle w:val="133"/>
              <w:rPr>
                <w:color w:val="000000"/>
                <w:szCs w:val="21"/>
              </w:rPr>
            </w:pPr>
            <w:r>
              <w:rPr>
                <w:rFonts w:hint="eastAsia"/>
                <w:color w:val="000000"/>
                <w:szCs w:val="21"/>
              </w:rPr>
              <w:t>7.6</w:t>
            </w:r>
          </w:p>
        </w:tc>
        <w:tc>
          <w:tcPr>
            <w:tcW w:w="1139" w:type="dxa"/>
            <w:vAlign w:val="center"/>
          </w:tcPr>
          <w:p w14:paraId="28AEE755">
            <w:pPr>
              <w:pStyle w:val="133"/>
              <w:rPr>
                <w:color w:val="000000"/>
                <w:szCs w:val="21"/>
              </w:rPr>
            </w:pPr>
            <w:r>
              <w:rPr>
                <w:rFonts w:hint="eastAsia"/>
                <w:color w:val="000000"/>
                <w:szCs w:val="21"/>
              </w:rPr>
              <w:t>0.50</w:t>
            </w:r>
          </w:p>
        </w:tc>
        <w:tc>
          <w:tcPr>
            <w:tcW w:w="1139" w:type="dxa"/>
            <w:vAlign w:val="center"/>
          </w:tcPr>
          <w:p w14:paraId="58ED6AF0">
            <w:pPr>
              <w:pStyle w:val="133"/>
              <w:rPr>
                <w:color w:val="000000"/>
                <w:szCs w:val="21"/>
              </w:rPr>
            </w:pPr>
            <w:r>
              <w:rPr>
                <w:rFonts w:hint="eastAsia"/>
                <w:color w:val="000000"/>
                <w:szCs w:val="21"/>
              </w:rPr>
              <w:t>3.960</w:t>
            </w:r>
          </w:p>
        </w:tc>
        <w:tc>
          <w:tcPr>
            <w:tcW w:w="996" w:type="dxa"/>
            <w:vAlign w:val="center"/>
          </w:tcPr>
          <w:p w14:paraId="272C68D5">
            <w:pPr>
              <w:pStyle w:val="133"/>
              <w:rPr>
                <w:color w:val="000000"/>
                <w:szCs w:val="21"/>
              </w:rPr>
            </w:pPr>
            <w:r>
              <w:rPr>
                <w:rFonts w:hint="eastAsia"/>
                <w:color w:val="000000"/>
                <w:szCs w:val="21"/>
              </w:rPr>
              <w:t>15</w:t>
            </w:r>
          </w:p>
        </w:tc>
        <w:tc>
          <w:tcPr>
            <w:tcW w:w="996" w:type="dxa"/>
            <w:vAlign w:val="center"/>
          </w:tcPr>
          <w:p w14:paraId="6DBE7F94">
            <w:pPr>
              <w:pStyle w:val="133"/>
              <w:rPr>
                <w:color w:val="000000"/>
                <w:szCs w:val="21"/>
              </w:rPr>
            </w:pPr>
            <w:r>
              <w:rPr>
                <w:rFonts w:hint="eastAsia"/>
                <w:color w:val="000000"/>
                <w:szCs w:val="21"/>
              </w:rPr>
              <w:t>-</w:t>
            </w:r>
          </w:p>
        </w:tc>
        <w:tc>
          <w:tcPr>
            <w:tcW w:w="2658" w:type="dxa"/>
            <w:vMerge w:val="restart"/>
            <w:vAlign w:val="center"/>
          </w:tcPr>
          <w:p w14:paraId="4031468E">
            <w:pPr>
              <w:pStyle w:val="133"/>
              <w:rPr>
                <w:color w:val="EE0000"/>
                <w:szCs w:val="21"/>
              </w:rPr>
            </w:pPr>
            <w:r>
              <w:rPr>
                <w:rFonts w:hint="eastAsia"/>
                <w:color w:val="000000"/>
                <w:szCs w:val="21"/>
              </w:rPr>
              <w:t>《炼焦化学工业大气污染物排放标准》（GB16171.1-2024）表1</w:t>
            </w:r>
          </w:p>
        </w:tc>
      </w:tr>
      <w:tr w14:paraId="512FF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0620B8CB">
            <w:pPr>
              <w:pStyle w:val="133"/>
              <w:rPr>
                <w:color w:val="EE0000"/>
                <w:szCs w:val="21"/>
              </w:rPr>
            </w:pPr>
          </w:p>
        </w:tc>
        <w:tc>
          <w:tcPr>
            <w:tcW w:w="1113" w:type="dxa"/>
            <w:vMerge w:val="continue"/>
            <w:vAlign w:val="center"/>
          </w:tcPr>
          <w:p w14:paraId="305E0443">
            <w:pPr>
              <w:pStyle w:val="133"/>
              <w:rPr>
                <w:color w:val="EE0000"/>
                <w:szCs w:val="21"/>
              </w:rPr>
            </w:pPr>
          </w:p>
        </w:tc>
        <w:tc>
          <w:tcPr>
            <w:tcW w:w="1139" w:type="dxa"/>
            <w:vMerge w:val="continue"/>
            <w:vAlign w:val="center"/>
          </w:tcPr>
          <w:p w14:paraId="21D640E1">
            <w:pPr>
              <w:pStyle w:val="133"/>
              <w:rPr>
                <w:color w:val="000000"/>
                <w:szCs w:val="21"/>
              </w:rPr>
            </w:pPr>
          </w:p>
        </w:tc>
        <w:tc>
          <w:tcPr>
            <w:tcW w:w="1284" w:type="dxa"/>
            <w:vAlign w:val="center"/>
          </w:tcPr>
          <w:p w14:paraId="3383B69B">
            <w:pPr>
              <w:pStyle w:val="133"/>
              <w:rPr>
                <w:color w:val="000000"/>
                <w:szCs w:val="21"/>
              </w:rPr>
            </w:pPr>
            <w:r>
              <w:rPr>
                <w:rFonts w:hint="eastAsia"/>
                <w:color w:val="000000"/>
                <w:szCs w:val="21"/>
              </w:rPr>
              <w:t>SO</w:t>
            </w:r>
            <w:r>
              <w:rPr>
                <w:rFonts w:hint="eastAsia"/>
                <w:color w:val="000000"/>
                <w:szCs w:val="21"/>
                <w:vertAlign w:val="subscript"/>
              </w:rPr>
              <w:t>2</w:t>
            </w:r>
          </w:p>
        </w:tc>
        <w:tc>
          <w:tcPr>
            <w:tcW w:w="713" w:type="dxa"/>
            <w:vMerge w:val="continue"/>
            <w:vAlign w:val="center"/>
          </w:tcPr>
          <w:p w14:paraId="5F011AFE">
            <w:pPr>
              <w:pStyle w:val="133"/>
              <w:rPr>
                <w:color w:val="000000"/>
                <w:szCs w:val="21"/>
              </w:rPr>
            </w:pPr>
          </w:p>
        </w:tc>
        <w:tc>
          <w:tcPr>
            <w:tcW w:w="1135" w:type="dxa"/>
            <w:vMerge w:val="continue"/>
            <w:vAlign w:val="center"/>
          </w:tcPr>
          <w:p w14:paraId="48757570">
            <w:pPr>
              <w:pStyle w:val="133"/>
              <w:rPr>
                <w:color w:val="000000"/>
                <w:szCs w:val="21"/>
              </w:rPr>
            </w:pPr>
          </w:p>
        </w:tc>
        <w:tc>
          <w:tcPr>
            <w:tcW w:w="996" w:type="dxa"/>
            <w:vAlign w:val="center"/>
          </w:tcPr>
          <w:p w14:paraId="5D272A7E">
            <w:pPr>
              <w:pStyle w:val="133"/>
              <w:rPr>
                <w:color w:val="000000"/>
                <w:szCs w:val="21"/>
              </w:rPr>
            </w:pPr>
            <w:r>
              <w:rPr>
                <w:rFonts w:hint="eastAsia"/>
                <w:color w:val="000000"/>
                <w:szCs w:val="21"/>
              </w:rPr>
              <w:t>28</w:t>
            </w:r>
          </w:p>
        </w:tc>
        <w:tc>
          <w:tcPr>
            <w:tcW w:w="1139" w:type="dxa"/>
            <w:vAlign w:val="center"/>
          </w:tcPr>
          <w:p w14:paraId="429617B0">
            <w:pPr>
              <w:pStyle w:val="133"/>
              <w:rPr>
                <w:color w:val="000000"/>
                <w:szCs w:val="21"/>
              </w:rPr>
            </w:pPr>
            <w:r>
              <w:rPr>
                <w:rFonts w:hint="eastAsia"/>
                <w:color w:val="000000"/>
                <w:szCs w:val="21"/>
              </w:rPr>
              <w:t>1.80</w:t>
            </w:r>
          </w:p>
        </w:tc>
        <w:tc>
          <w:tcPr>
            <w:tcW w:w="1139" w:type="dxa"/>
            <w:vAlign w:val="center"/>
          </w:tcPr>
          <w:p w14:paraId="131794B4">
            <w:pPr>
              <w:pStyle w:val="133"/>
              <w:rPr>
                <w:color w:val="000000"/>
                <w:szCs w:val="21"/>
              </w:rPr>
            </w:pPr>
            <w:r>
              <w:rPr>
                <w:rFonts w:hint="eastAsia"/>
                <w:color w:val="000000"/>
                <w:szCs w:val="21"/>
              </w:rPr>
              <w:t>14.256</w:t>
            </w:r>
          </w:p>
        </w:tc>
        <w:tc>
          <w:tcPr>
            <w:tcW w:w="996" w:type="dxa"/>
            <w:vAlign w:val="center"/>
          </w:tcPr>
          <w:p w14:paraId="0AB08819">
            <w:pPr>
              <w:pStyle w:val="133"/>
              <w:rPr>
                <w:color w:val="000000"/>
                <w:szCs w:val="21"/>
              </w:rPr>
            </w:pPr>
            <w:r>
              <w:rPr>
                <w:rFonts w:hint="eastAsia"/>
                <w:color w:val="000000"/>
                <w:szCs w:val="21"/>
              </w:rPr>
              <w:t>30</w:t>
            </w:r>
          </w:p>
        </w:tc>
        <w:tc>
          <w:tcPr>
            <w:tcW w:w="996" w:type="dxa"/>
            <w:vAlign w:val="center"/>
          </w:tcPr>
          <w:p w14:paraId="3161DE3B">
            <w:pPr>
              <w:pStyle w:val="133"/>
              <w:rPr>
                <w:color w:val="000000"/>
                <w:szCs w:val="21"/>
              </w:rPr>
            </w:pPr>
            <w:r>
              <w:rPr>
                <w:rFonts w:hint="eastAsia"/>
                <w:color w:val="000000"/>
                <w:szCs w:val="21"/>
              </w:rPr>
              <w:t>-</w:t>
            </w:r>
          </w:p>
        </w:tc>
        <w:tc>
          <w:tcPr>
            <w:tcW w:w="2658" w:type="dxa"/>
            <w:vMerge w:val="continue"/>
            <w:vAlign w:val="center"/>
          </w:tcPr>
          <w:p w14:paraId="12974B4A">
            <w:pPr>
              <w:pStyle w:val="133"/>
              <w:rPr>
                <w:color w:val="EE0000"/>
                <w:szCs w:val="21"/>
              </w:rPr>
            </w:pPr>
          </w:p>
        </w:tc>
      </w:tr>
      <w:tr w14:paraId="0CECB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94E9254">
            <w:pPr>
              <w:pStyle w:val="133"/>
              <w:rPr>
                <w:color w:val="EE0000"/>
                <w:szCs w:val="21"/>
              </w:rPr>
            </w:pPr>
          </w:p>
        </w:tc>
        <w:tc>
          <w:tcPr>
            <w:tcW w:w="1113" w:type="dxa"/>
            <w:vMerge w:val="continue"/>
            <w:vAlign w:val="center"/>
          </w:tcPr>
          <w:p w14:paraId="16507F87">
            <w:pPr>
              <w:pStyle w:val="133"/>
              <w:rPr>
                <w:color w:val="EE0000"/>
                <w:szCs w:val="21"/>
              </w:rPr>
            </w:pPr>
          </w:p>
        </w:tc>
        <w:tc>
          <w:tcPr>
            <w:tcW w:w="1139" w:type="dxa"/>
            <w:vMerge w:val="continue"/>
            <w:vAlign w:val="center"/>
          </w:tcPr>
          <w:p w14:paraId="29391DCF">
            <w:pPr>
              <w:pStyle w:val="133"/>
              <w:rPr>
                <w:color w:val="000000"/>
                <w:szCs w:val="21"/>
              </w:rPr>
            </w:pPr>
          </w:p>
        </w:tc>
        <w:tc>
          <w:tcPr>
            <w:tcW w:w="1284" w:type="dxa"/>
            <w:vAlign w:val="center"/>
          </w:tcPr>
          <w:p w14:paraId="0F3957C8">
            <w:pPr>
              <w:pStyle w:val="133"/>
              <w:rPr>
                <w:color w:val="000000"/>
                <w:szCs w:val="21"/>
              </w:rPr>
            </w:pPr>
            <w:r>
              <w:rPr>
                <w:rFonts w:hint="eastAsia"/>
                <w:color w:val="000000"/>
                <w:szCs w:val="21"/>
              </w:rPr>
              <w:t>NOx</w:t>
            </w:r>
          </w:p>
        </w:tc>
        <w:tc>
          <w:tcPr>
            <w:tcW w:w="713" w:type="dxa"/>
            <w:vMerge w:val="continue"/>
            <w:vAlign w:val="center"/>
          </w:tcPr>
          <w:p w14:paraId="25E9555F">
            <w:pPr>
              <w:pStyle w:val="133"/>
              <w:rPr>
                <w:color w:val="000000"/>
                <w:szCs w:val="21"/>
              </w:rPr>
            </w:pPr>
          </w:p>
        </w:tc>
        <w:tc>
          <w:tcPr>
            <w:tcW w:w="1135" w:type="dxa"/>
            <w:vMerge w:val="continue"/>
            <w:vAlign w:val="center"/>
          </w:tcPr>
          <w:p w14:paraId="037CDC75">
            <w:pPr>
              <w:pStyle w:val="133"/>
              <w:rPr>
                <w:color w:val="000000"/>
                <w:szCs w:val="21"/>
              </w:rPr>
            </w:pPr>
          </w:p>
        </w:tc>
        <w:tc>
          <w:tcPr>
            <w:tcW w:w="996" w:type="dxa"/>
            <w:vAlign w:val="center"/>
          </w:tcPr>
          <w:p w14:paraId="682217CB">
            <w:pPr>
              <w:pStyle w:val="133"/>
              <w:rPr>
                <w:color w:val="000000"/>
                <w:szCs w:val="21"/>
              </w:rPr>
            </w:pPr>
            <w:r>
              <w:rPr>
                <w:rFonts w:hint="eastAsia"/>
                <w:color w:val="000000"/>
                <w:szCs w:val="21"/>
              </w:rPr>
              <w:t>150</w:t>
            </w:r>
          </w:p>
        </w:tc>
        <w:tc>
          <w:tcPr>
            <w:tcW w:w="1139" w:type="dxa"/>
            <w:vAlign w:val="center"/>
          </w:tcPr>
          <w:p w14:paraId="7EF7B5C9">
            <w:pPr>
              <w:pStyle w:val="133"/>
              <w:rPr>
                <w:color w:val="000000"/>
                <w:szCs w:val="21"/>
              </w:rPr>
            </w:pPr>
            <w:r>
              <w:rPr>
                <w:rFonts w:hint="eastAsia"/>
                <w:color w:val="000000"/>
                <w:szCs w:val="21"/>
              </w:rPr>
              <w:t>9.76</w:t>
            </w:r>
          </w:p>
        </w:tc>
        <w:tc>
          <w:tcPr>
            <w:tcW w:w="1139" w:type="dxa"/>
            <w:vAlign w:val="center"/>
          </w:tcPr>
          <w:p w14:paraId="0005E792">
            <w:pPr>
              <w:pStyle w:val="133"/>
              <w:rPr>
                <w:color w:val="000000"/>
                <w:szCs w:val="21"/>
              </w:rPr>
            </w:pPr>
            <w:r>
              <w:rPr>
                <w:rFonts w:hint="eastAsia"/>
                <w:color w:val="000000"/>
                <w:szCs w:val="21"/>
              </w:rPr>
              <w:t>77.299</w:t>
            </w:r>
          </w:p>
        </w:tc>
        <w:tc>
          <w:tcPr>
            <w:tcW w:w="996" w:type="dxa"/>
            <w:vAlign w:val="center"/>
          </w:tcPr>
          <w:p w14:paraId="7D916FC7">
            <w:pPr>
              <w:pStyle w:val="133"/>
              <w:rPr>
                <w:color w:val="000000"/>
                <w:szCs w:val="21"/>
              </w:rPr>
            </w:pPr>
            <w:r>
              <w:rPr>
                <w:rFonts w:hint="eastAsia"/>
                <w:color w:val="000000"/>
                <w:szCs w:val="21"/>
              </w:rPr>
              <w:t>150</w:t>
            </w:r>
          </w:p>
        </w:tc>
        <w:tc>
          <w:tcPr>
            <w:tcW w:w="996" w:type="dxa"/>
            <w:vAlign w:val="center"/>
          </w:tcPr>
          <w:p w14:paraId="4F7A17C9">
            <w:pPr>
              <w:pStyle w:val="133"/>
              <w:rPr>
                <w:color w:val="000000"/>
                <w:szCs w:val="21"/>
              </w:rPr>
            </w:pPr>
            <w:r>
              <w:rPr>
                <w:rFonts w:hint="eastAsia"/>
                <w:color w:val="000000"/>
                <w:szCs w:val="21"/>
              </w:rPr>
              <w:t>-</w:t>
            </w:r>
          </w:p>
        </w:tc>
        <w:tc>
          <w:tcPr>
            <w:tcW w:w="2658" w:type="dxa"/>
            <w:vMerge w:val="continue"/>
            <w:shd w:val="clear" w:color="auto" w:fill="FFFF00"/>
            <w:vAlign w:val="center"/>
          </w:tcPr>
          <w:p w14:paraId="19EF506A">
            <w:pPr>
              <w:pStyle w:val="133"/>
              <w:rPr>
                <w:color w:val="EE0000"/>
                <w:szCs w:val="21"/>
              </w:rPr>
            </w:pPr>
          </w:p>
        </w:tc>
      </w:tr>
      <w:tr w14:paraId="3D7CA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023C9A3">
            <w:pPr>
              <w:pStyle w:val="133"/>
              <w:rPr>
                <w:color w:val="EE0000"/>
                <w:szCs w:val="21"/>
              </w:rPr>
            </w:pPr>
          </w:p>
        </w:tc>
        <w:tc>
          <w:tcPr>
            <w:tcW w:w="1113" w:type="dxa"/>
            <w:vMerge w:val="continue"/>
            <w:vAlign w:val="center"/>
          </w:tcPr>
          <w:p w14:paraId="27FB5592">
            <w:pPr>
              <w:pStyle w:val="133"/>
              <w:rPr>
                <w:color w:val="EE0000"/>
                <w:szCs w:val="21"/>
              </w:rPr>
            </w:pPr>
          </w:p>
        </w:tc>
        <w:tc>
          <w:tcPr>
            <w:tcW w:w="1139" w:type="dxa"/>
            <w:vMerge w:val="restart"/>
            <w:vAlign w:val="center"/>
          </w:tcPr>
          <w:p w14:paraId="700E967B">
            <w:pPr>
              <w:pStyle w:val="133"/>
              <w:rPr>
                <w:color w:val="000000"/>
                <w:szCs w:val="21"/>
              </w:rPr>
            </w:pPr>
            <w:r>
              <w:rPr>
                <w:rFonts w:hint="eastAsia"/>
                <w:color w:val="000000"/>
                <w:szCs w:val="21"/>
              </w:rPr>
              <w:t>1#VOCs处理装置有机废气</w:t>
            </w:r>
          </w:p>
        </w:tc>
        <w:tc>
          <w:tcPr>
            <w:tcW w:w="1284" w:type="dxa"/>
            <w:vAlign w:val="center"/>
          </w:tcPr>
          <w:p w14:paraId="7AAFE1B8">
            <w:pPr>
              <w:pStyle w:val="133"/>
              <w:rPr>
                <w:color w:val="000000"/>
                <w:szCs w:val="21"/>
              </w:rPr>
            </w:pPr>
            <w:r>
              <w:rPr>
                <w:rFonts w:hint="eastAsia"/>
                <w:color w:val="000000"/>
                <w:szCs w:val="21"/>
              </w:rPr>
              <w:t>颗粒物</w:t>
            </w:r>
          </w:p>
        </w:tc>
        <w:tc>
          <w:tcPr>
            <w:tcW w:w="713" w:type="dxa"/>
            <w:vMerge w:val="restart"/>
            <w:vAlign w:val="center"/>
          </w:tcPr>
          <w:p w14:paraId="4873458E">
            <w:pPr>
              <w:pStyle w:val="133"/>
              <w:rPr>
                <w:color w:val="000000"/>
                <w:szCs w:val="21"/>
              </w:rPr>
            </w:pPr>
            <w:r>
              <w:rPr>
                <w:rFonts w:hint="eastAsia"/>
                <w:color w:val="000000"/>
                <w:szCs w:val="21"/>
              </w:rPr>
              <w:t>有组织</w:t>
            </w:r>
          </w:p>
        </w:tc>
        <w:tc>
          <w:tcPr>
            <w:tcW w:w="1135" w:type="dxa"/>
            <w:vMerge w:val="restart"/>
            <w:vAlign w:val="center"/>
          </w:tcPr>
          <w:p w14:paraId="09404037">
            <w:pPr>
              <w:pStyle w:val="133"/>
              <w:rPr>
                <w:color w:val="000000"/>
                <w:szCs w:val="21"/>
              </w:rPr>
            </w:pPr>
            <w:r>
              <w:rPr>
                <w:rFonts w:hint="eastAsia"/>
                <w:color w:val="000000"/>
                <w:szCs w:val="21"/>
              </w:rPr>
              <w:t>酸洗+碱洗+活性炭吸附-脱附+催化燃烧工艺</w:t>
            </w:r>
          </w:p>
        </w:tc>
        <w:tc>
          <w:tcPr>
            <w:tcW w:w="996" w:type="dxa"/>
            <w:vAlign w:val="center"/>
          </w:tcPr>
          <w:p w14:paraId="00EC397A">
            <w:pPr>
              <w:pStyle w:val="133"/>
              <w:rPr>
                <w:color w:val="000000"/>
                <w:szCs w:val="21"/>
              </w:rPr>
            </w:pPr>
            <w:r>
              <w:rPr>
                <w:rFonts w:eastAsia="等线" w:cs="Times New Roman"/>
                <w:color w:val="000000"/>
                <w:szCs w:val="21"/>
              </w:rPr>
              <w:t>0.77</w:t>
            </w:r>
          </w:p>
        </w:tc>
        <w:tc>
          <w:tcPr>
            <w:tcW w:w="1139" w:type="dxa"/>
            <w:vAlign w:val="center"/>
          </w:tcPr>
          <w:p w14:paraId="0165B958">
            <w:pPr>
              <w:pStyle w:val="133"/>
              <w:rPr>
                <w:color w:val="000000"/>
                <w:szCs w:val="21"/>
              </w:rPr>
            </w:pPr>
            <w:r>
              <w:rPr>
                <w:rFonts w:eastAsia="等线" w:cs="Times New Roman"/>
                <w:color w:val="000000"/>
                <w:szCs w:val="21"/>
              </w:rPr>
              <w:t>0.03</w:t>
            </w:r>
          </w:p>
        </w:tc>
        <w:tc>
          <w:tcPr>
            <w:tcW w:w="1139" w:type="dxa"/>
            <w:vAlign w:val="center"/>
          </w:tcPr>
          <w:p w14:paraId="3684050A">
            <w:pPr>
              <w:pStyle w:val="133"/>
              <w:rPr>
                <w:color w:val="000000"/>
                <w:szCs w:val="21"/>
              </w:rPr>
            </w:pPr>
            <w:r>
              <w:rPr>
                <w:rFonts w:hint="eastAsia"/>
                <w:color w:val="000000"/>
                <w:szCs w:val="21"/>
              </w:rPr>
              <w:t>0.238</w:t>
            </w:r>
          </w:p>
        </w:tc>
        <w:tc>
          <w:tcPr>
            <w:tcW w:w="996" w:type="dxa"/>
            <w:vAlign w:val="center"/>
          </w:tcPr>
          <w:p w14:paraId="01C22C16">
            <w:pPr>
              <w:pStyle w:val="133"/>
              <w:rPr>
                <w:color w:val="000000"/>
                <w:szCs w:val="21"/>
              </w:rPr>
            </w:pPr>
            <w:r>
              <w:rPr>
                <w:rFonts w:hint="eastAsia"/>
                <w:color w:val="000000"/>
                <w:szCs w:val="21"/>
              </w:rPr>
              <w:t>-</w:t>
            </w:r>
          </w:p>
        </w:tc>
        <w:tc>
          <w:tcPr>
            <w:tcW w:w="996" w:type="dxa"/>
            <w:vAlign w:val="center"/>
          </w:tcPr>
          <w:p w14:paraId="1121EBE3">
            <w:pPr>
              <w:pStyle w:val="133"/>
              <w:rPr>
                <w:color w:val="000000"/>
                <w:szCs w:val="21"/>
              </w:rPr>
            </w:pPr>
            <w:r>
              <w:rPr>
                <w:rFonts w:hint="eastAsia"/>
                <w:color w:val="000000"/>
                <w:szCs w:val="21"/>
              </w:rPr>
              <w:t>-</w:t>
            </w:r>
          </w:p>
        </w:tc>
        <w:tc>
          <w:tcPr>
            <w:tcW w:w="2658" w:type="dxa"/>
            <w:vAlign w:val="center"/>
          </w:tcPr>
          <w:p w14:paraId="5D63172B">
            <w:pPr>
              <w:pStyle w:val="133"/>
              <w:rPr>
                <w:color w:val="000000"/>
                <w:szCs w:val="21"/>
              </w:rPr>
            </w:pPr>
            <w:r>
              <w:rPr>
                <w:rFonts w:hint="eastAsia"/>
                <w:color w:val="000000"/>
                <w:szCs w:val="21"/>
              </w:rPr>
              <w:t>-</w:t>
            </w:r>
          </w:p>
        </w:tc>
      </w:tr>
      <w:tr w14:paraId="3D119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1A63310">
            <w:pPr>
              <w:pStyle w:val="133"/>
              <w:rPr>
                <w:color w:val="EE0000"/>
                <w:szCs w:val="21"/>
              </w:rPr>
            </w:pPr>
          </w:p>
        </w:tc>
        <w:tc>
          <w:tcPr>
            <w:tcW w:w="1113" w:type="dxa"/>
            <w:vMerge w:val="continue"/>
            <w:vAlign w:val="center"/>
          </w:tcPr>
          <w:p w14:paraId="1001E35A">
            <w:pPr>
              <w:pStyle w:val="133"/>
              <w:rPr>
                <w:color w:val="EE0000"/>
                <w:szCs w:val="21"/>
              </w:rPr>
            </w:pPr>
          </w:p>
        </w:tc>
        <w:tc>
          <w:tcPr>
            <w:tcW w:w="1139" w:type="dxa"/>
            <w:vMerge w:val="continue"/>
            <w:vAlign w:val="center"/>
          </w:tcPr>
          <w:p w14:paraId="337BB4F5">
            <w:pPr>
              <w:pStyle w:val="133"/>
              <w:rPr>
                <w:color w:val="000000"/>
                <w:szCs w:val="21"/>
              </w:rPr>
            </w:pPr>
          </w:p>
        </w:tc>
        <w:tc>
          <w:tcPr>
            <w:tcW w:w="1284" w:type="dxa"/>
            <w:vAlign w:val="center"/>
          </w:tcPr>
          <w:p w14:paraId="2BD9FCDD">
            <w:pPr>
              <w:pStyle w:val="133"/>
              <w:rPr>
                <w:color w:val="000000"/>
                <w:szCs w:val="21"/>
              </w:rPr>
            </w:pPr>
            <w:r>
              <w:rPr>
                <w:color w:val="000000"/>
                <w:szCs w:val="21"/>
              </w:rPr>
              <w:t>BaP</w:t>
            </w:r>
          </w:p>
        </w:tc>
        <w:tc>
          <w:tcPr>
            <w:tcW w:w="713" w:type="dxa"/>
            <w:vMerge w:val="continue"/>
            <w:vAlign w:val="center"/>
          </w:tcPr>
          <w:p w14:paraId="64C6664D">
            <w:pPr>
              <w:pStyle w:val="133"/>
              <w:rPr>
                <w:color w:val="000000"/>
                <w:szCs w:val="21"/>
              </w:rPr>
            </w:pPr>
          </w:p>
        </w:tc>
        <w:tc>
          <w:tcPr>
            <w:tcW w:w="1135" w:type="dxa"/>
            <w:vMerge w:val="continue"/>
            <w:vAlign w:val="center"/>
          </w:tcPr>
          <w:p w14:paraId="2A4F84C5">
            <w:pPr>
              <w:pStyle w:val="133"/>
              <w:rPr>
                <w:color w:val="000000"/>
                <w:szCs w:val="21"/>
              </w:rPr>
            </w:pPr>
          </w:p>
        </w:tc>
        <w:tc>
          <w:tcPr>
            <w:tcW w:w="996" w:type="dxa"/>
            <w:vAlign w:val="center"/>
          </w:tcPr>
          <w:p w14:paraId="47A54984">
            <w:pPr>
              <w:pStyle w:val="133"/>
              <w:rPr>
                <w:color w:val="000000"/>
                <w:szCs w:val="21"/>
              </w:rPr>
            </w:pPr>
            <w:r>
              <w:rPr>
                <w:rFonts w:eastAsia="等线" w:cs="Times New Roman"/>
                <w:color w:val="000000"/>
                <w:szCs w:val="21"/>
              </w:rPr>
              <w:t>0.0002</w:t>
            </w:r>
          </w:p>
        </w:tc>
        <w:tc>
          <w:tcPr>
            <w:tcW w:w="1139" w:type="dxa"/>
            <w:vAlign w:val="center"/>
          </w:tcPr>
          <w:p w14:paraId="2B021F87">
            <w:pPr>
              <w:pStyle w:val="133"/>
              <w:rPr>
                <w:color w:val="000000"/>
                <w:szCs w:val="21"/>
              </w:rPr>
            </w:pPr>
            <w:r>
              <w:rPr>
                <w:rFonts w:eastAsia="等线" w:cs="Times New Roman"/>
                <w:color w:val="000000"/>
                <w:szCs w:val="21"/>
              </w:rPr>
              <w:t>0.0000</w:t>
            </w:r>
            <w:r>
              <w:rPr>
                <w:rFonts w:hint="eastAsia" w:eastAsia="等线" w:cs="Times New Roman"/>
                <w:color w:val="000000"/>
                <w:szCs w:val="21"/>
              </w:rPr>
              <w:t>08</w:t>
            </w:r>
          </w:p>
        </w:tc>
        <w:tc>
          <w:tcPr>
            <w:tcW w:w="1139" w:type="dxa"/>
            <w:vAlign w:val="center"/>
          </w:tcPr>
          <w:p w14:paraId="0B8037F7">
            <w:pPr>
              <w:pStyle w:val="133"/>
              <w:rPr>
                <w:color w:val="000000"/>
                <w:szCs w:val="21"/>
              </w:rPr>
            </w:pPr>
            <w:r>
              <w:rPr>
                <w:rFonts w:hint="eastAsia"/>
                <w:color w:val="000000"/>
                <w:szCs w:val="21"/>
              </w:rPr>
              <w:t xml:space="preserve">0.000063 </w:t>
            </w:r>
          </w:p>
        </w:tc>
        <w:tc>
          <w:tcPr>
            <w:tcW w:w="996" w:type="dxa"/>
            <w:vAlign w:val="center"/>
          </w:tcPr>
          <w:p w14:paraId="50EFC1DE">
            <w:pPr>
              <w:pStyle w:val="133"/>
              <w:rPr>
                <w:color w:val="000000"/>
                <w:szCs w:val="21"/>
              </w:rPr>
            </w:pPr>
            <w:r>
              <w:rPr>
                <w:rFonts w:hint="eastAsia"/>
                <w:color w:val="000000"/>
                <w:szCs w:val="21"/>
              </w:rPr>
              <w:t>-</w:t>
            </w:r>
          </w:p>
        </w:tc>
        <w:tc>
          <w:tcPr>
            <w:tcW w:w="996" w:type="dxa"/>
            <w:vAlign w:val="center"/>
          </w:tcPr>
          <w:p w14:paraId="18ED31E6">
            <w:pPr>
              <w:pStyle w:val="133"/>
              <w:rPr>
                <w:color w:val="000000"/>
                <w:szCs w:val="21"/>
              </w:rPr>
            </w:pPr>
            <w:r>
              <w:rPr>
                <w:rFonts w:hint="eastAsia"/>
                <w:color w:val="000000"/>
                <w:szCs w:val="21"/>
              </w:rPr>
              <w:t>-</w:t>
            </w:r>
          </w:p>
        </w:tc>
        <w:tc>
          <w:tcPr>
            <w:tcW w:w="2658" w:type="dxa"/>
            <w:vAlign w:val="center"/>
          </w:tcPr>
          <w:p w14:paraId="5EA00CA2">
            <w:pPr>
              <w:pStyle w:val="133"/>
              <w:rPr>
                <w:color w:val="000000"/>
                <w:szCs w:val="21"/>
              </w:rPr>
            </w:pPr>
            <w:r>
              <w:rPr>
                <w:rFonts w:hint="eastAsia"/>
                <w:color w:val="000000"/>
                <w:szCs w:val="21"/>
              </w:rPr>
              <w:t>-</w:t>
            </w:r>
          </w:p>
        </w:tc>
      </w:tr>
      <w:tr w14:paraId="75352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6727F316">
            <w:pPr>
              <w:pStyle w:val="133"/>
              <w:rPr>
                <w:color w:val="EE0000"/>
                <w:szCs w:val="21"/>
              </w:rPr>
            </w:pPr>
          </w:p>
        </w:tc>
        <w:tc>
          <w:tcPr>
            <w:tcW w:w="1113" w:type="dxa"/>
            <w:vMerge w:val="continue"/>
            <w:vAlign w:val="center"/>
          </w:tcPr>
          <w:p w14:paraId="02A57B85">
            <w:pPr>
              <w:pStyle w:val="133"/>
              <w:rPr>
                <w:color w:val="EE0000"/>
                <w:szCs w:val="21"/>
              </w:rPr>
            </w:pPr>
          </w:p>
        </w:tc>
        <w:tc>
          <w:tcPr>
            <w:tcW w:w="1139" w:type="dxa"/>
            <w:vMerge w:val="continue"/>
            <w:vAlign w:val="center"/>
          </w:tcPr>
          <w:p w14:paraId="21805FB4">
            <w:pPr>
              <w:pStyle w:val="133"/>
              <w:rPr>
                <w:color w:val="000000"/>
                <w:szCs w:val="21"/>
              </w:rPr>
            </w:pPr>
          </w:p>
        </w:tc>
        <w:tc>
          <w:tcPr>
            <w:tcW w:w="1284" w:type="dxa"/>
            <w:vAlign w:val="center"/>
          </w:tcPr>
          <w:p w14:paraId="54E453AF">
            <w:pPr>
              <w:pStyle w:val="133"/>
              <w:rPr>
                <w:color w:val="000000"/>
                <w:szCs w:val="21"/>
              </w:rPr>
            </w:pPr>
            <w:r>
              <w:rPr>
                <w:rFonts w:hint="eastAsia"/>
                <w:color w:val="000000"/>
                <w:szCs w:val="21"/>
              </w:rPr>
              <w:t>氰化氢</w:t>
            </w:r>
          </w:p>
        </w:tc>
        <w:tc>
          <w:tcPr>
            <w:tcW w:w="713" w:type="dxa"/>
            <w:vMerge w:val="continue"/>
            <w:vAlign w:val="center"/>
          </w:tcPr>
          <w:p w14:paraId="566B4281">
            <w:pPr>
              <w:pStyle w:val="133"/>
              <w:rPr>
                <w:color w:val="000000"/>
                <w:szCs w:val="21"/>
              </w:rPr>
            </w:pPr>
          </w:p>
        </w:tc>
        <w:tc>
          <w:tcPr>
            <w:tcW w:w="1135" w:type="dxa"/>
            <w:vMerge w:val="continue"/>
            <w:vAlign w:val="center"/>
          </w:tcPr>
          <w:p w14:paraId="6BE33836">
            <w:pPr>
              <w:pStyle w:val="133"/>
              <w:rPr>
                <w:color w:val="000000"/>
                <w:szCs w:val="21"/>
              </w:rPr>
            </w:pPr>
          </w:p>
        </w:tc>
        <w:tc>
          <w:tcPr>
            <w:tcW w:w="996" w:type="dxa"/>
            <w:vAlign w:val="center"/>
          </w:tcPr>
          <w:p w14:paraId="06F0584C">
            <w:pPr>
              <w:pStyle w:val="133"/>
              <w:rPr>
                <w:color w:val="000000"/>
                <w:szCs w:val="21"/>
              </w:rPr>
            </w:pPr>
            <w:r>
              <w:rPr>
                <w:rFonts w:eastAsia="等线" w:cs="Times New Roman"/>
                <w:color w:val="000000"/>
                <w:szCs w:val="21"/>
              </w:rPr>
              <w:t>0.00005</w:t>
            </w:r>
          </w:p>
        </w:tc>
        <w:tc>
          <w:tcPr>
            <w:tcW w:w="1139" w:type="dxa"/>
            <w:vAlign w:val="center"/>
          </w:tcPr>
          <w:p w14:paraId="4D7805A5">
            <w:pPr>
              <w:pStyle w:val="133"/>
              <w:rPr>
                <w:color w:val="000000"/>
                <w:szCs w:val="21"/>
              </w:rPr>
            </w:pPr>
            <w:r>
              <w:rPr>
                <w:rFonts w:eastAsia="等线" w:cs="Times New Roman"/>
                <w:color w:val="000000"/>
                <w:szCs w:val="21"/>
              </w:rPr>
              <w:t>0.000002</w:t>
            </w:r>
          </w:p>
        </w:tc>
        <w:tc>
          <w:tcPr>
            <w:tcW w:w="1139" w:type="dxa"/>
            <w:vAlign w:val="center"/>
          </w:tcPr>
          <w:p w14:paraId="107D60F6">
            <w:pPr>
              <w:pStyle w:val="133"/>
              <w:rPr>
                <w:color w:val="000000"/>
                <w:szCs w:val="21"/>
              </w:rPr>
            </w:pPr>
            <w:r>
              <w:rPr>
                <w:rFonts w:hint="eastAsia"/>
                <w:color w:val="000000"/>
                <w:szCs w:val="21"/>
              </w:rPr>
              <w:t>0.00001</w:t>
            </w:r>
          </w:p>
        </w:tc>
        <w:tc>
          <w:tcPr>
            <w:tcW w:w="996" w:type="dxa"/>
            <w:vAlign w:val="center"/>
          </w:tcPr>
          <w:p w14:paraId="34FD84ED">
            <w:pPr>
              <w:pStyle w:val="133"/>
              <w:rPr>
                <w:color w:val="000000"/>
                <w:szCs w:val="21"/>
              </w:rPr>
            </w:pPr>
            <w:r>
              <w:rPr>
                <w:rFonts w:hint="eastAsia"/>
                <w:color w:val="000000"/>
                <w:szCs w:val="21"/>
              </w:rPr>
              <w:t>-</w:t>
            </w:r>
          </w:p>
        </w:tc>
        <w:tc>
          <w:tcPr>
            <w:tcW w:w="996" w:type="dxa"/>
            <w:vAlign w:val="center"/>
          </w:tcPr>
          <w:p w14:paraId="7CE13D7A">
            <w:pPr>
              <w:pStyle w:val="133"/>
              <w:rPr>
                <w:color w:val="000000"/>
                <w:szCs w:val="21"/>
              </w:rPr>
            </w:pPr>
            <w:r>
              <w:rPr>
                <w:rFonts w:hint="eastAsia"/>
                <w:color w:val="000000"/>
                <w:szCs w:val="21"/>
              </w:rPr>
              <w:t>-</w:t>
            </w:r>
          </w:p>
        </w:tc>
        <w:tc>
          <w:tcPr>
            <w:tcW w:w="2658" w:type="dxa"/>
            <w:vAlign w:val="center"/>
          </w:tcPr>
          <w:p w14:paraId="6800792A">
            <w:pPr>
              <w:pStyle w:val="133"/>
              <w:rPr>
                <w:color w:val="000000"/>
                <w:szCs w:val="21"/>
              </w:rPr>
            </w:pPr>
            <w:r>
              <w:rPr>
                <w:rFonts w:hint="eastAsia"/>
                <w:color w:val="000000"/>
                <w:szCs w:val="21"/>
              </w:rPr>
              <w:t>-</w:t>
            </w:r>
          </w:p>
        </w:tc>
      </w:tr>
      <w:tr w14:paraId="3D129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308ADCE">
            <w:pPr>
              <w:pStyle w:val="133"/>
              <w:rPr>
                <w:color w:val="EE0000"/>
                <w:szCs w:val="21"/>
              </w:rPr>
            </w:pPr>
          </w:p>
        </w:tc>
        <w:tc>
          <w:tcPr>
            <w:tcW w:w="1113" w:type="dxa"/>
            <w:vMerge w:val="continue"/>
            <w:vAlign w:val="center"/>
          </w:tcPr>
          <w:p w14:paraId="4F0081CA">
            <w:pPr>
              <w:pStyle w:val="133"/>
              <w:rPr>
                <w:color w:val="EE0000"/>
                <w:szCs w:val="21"/>
              </w:rPr>
            </w:pPr>
          </w:p>
        </w:tc>
        <w:tc>
          <w:tcPr>
            <w:tcW w:w="1139" w:type="dxa"/>
            <w:vMerge w:val="continue"/>
            <w:vAlign w:val="center"/>
          </w:tcPr>
          <w:p w14:paraId="618006EF">
            <w:pPr>
              <w:pStyle w:val="133"/>
              <w:rPr>
                <w:color w:val="000000"/>
                <w:szCs w:val="21"/>
              </w:rPr>
            </w:pPr>
          </w:p>
        </w:tc>
        <w:tc>
          <w:tcPr>
            <w:tcW w:w="1284" w:type="dxa"/>
            <w:vAlign w:val="center"/>
          </w:tcPr>
          <w:p w14:paraId="0796F5E4">
            <w:pPr>
              <w:pStyle w:val="133"/>
              <w:rPr>
                <w:color w:val="000000"/>
                <w:szCs w:val="21"/>
              </w:rPr>
            </w:pPr>
            <w:r>
              <w:rPr>
                <w:rFonts w:hint="eastAsia"/>
                <w:color w:val="000000"/>
                <w:szCs w:val="21"/>
              </w:rPr>
              <w:t>酚类</w:t>
            </w:r>
          </w:p>
        </w:tc>
        <w:tc>
          <w:tcPr>
            <w:tcW w:w="713" w:type="dxa"/>
            <w:vMerge w:val="continue"/>
            <w:vAlign w:val="center"/>
          </w:tcPr>
          <w:p w14:paraId="4563D0FE">
            <w:pPr>
              <w:pStyle w:val="133"/>
              <w:rPr>
                <w:color w:val="000000"/>
                <w:szCs w:val="21"/>
              </w:rPr>
            </w:pPr>
          </w:p>
        </w:tc>
        <w:tc>
          <w:tcPr>
            <w:tcW w:w="1135" w:type="dxa"/>
            <w:vMerge w:val="continue"/>
            <w:vAlign w:val="center"/>
          </w:tcPr>
          <w:p w14:paraId="21557DB6">
            <w:pPr>
              <w:pStyle w:val="133"/>
              <w:rPr>
                <w:color w:val="000000"/>
                <w:szCs w:val="21"/>
              </w:rPr>
            </w:pPr>
          </w:p>
        </w:tc>
        <w:tc>
          <w:tcPr>
            <w:tcW w:w="996" w:type="dxa"/>
            <w:vAlign w:val="center"/>
          </w:tcPr>
          <w:p w14:paraId="67C475FF">
            <w:pPr>
              <w:pStyle w:val="133"/>
              <w:rPr>
                <w:color w:val="000000"/>
                <w:szCs w:val="21"/>
              </w:rPr>
            </w:pPr>
            <w:r>
              <w:rPr>
                <w:rFonts w:eastAsia="等线" w:cs="Times New Roman"/>
                <w:color w:val="000000"/>
                <w:szCs w:val="21"/>
              </w:rPr>
              <w:t>0.01</w:t>
            </w:r>
          </w:p>
        </w:tc>
        <w:tc>
          <w:tcPr>
            <w:tcW w:w="1139" w:type="dxa"/>
            <w:vAlign w:val="center"/>
          </w:tcPr>
          <w:p w14:paraId="76EFB164">
            <w:pPr>
              <w:pStyle w:val="133"/>
              <w:rPr>
                <w:color w:val="000000"/>
                <w:szCs w:val="21"/>
              </w:rPr>
            </w:pPr>
            <w:r>
              <w:rPr>
                <w:rFonts w:eastAsia="等线" w:cs="Times New Roman"/>
                <w:color w:val="000000"/>
                <w:szCs w:val="21"/>
              </w:rPr>
              <w:t>0.0004</w:t>
            </w:r>
          </w:p>
        </w:tc>
        <w:tc>
          <w:tcPr>
            <w:tcW w:w="1139" w:type="dxa"/>
            <w:vAlign w:val="center"/>
          </w:tcPr>
          <w:p w14:paraId="64754FE6">
            <w:pPr>
              <w:pStyle w:val="133"/>
              <w:rPr>
                <w:color w:val="000000"/>
                <w:szCs w:val="21"/>
              </w:rPr>
            </w:pPr>
            <w:r>
              <w:rPr>
                <w:rFonts w:hint="eastAsia"/>
                <w:color w:val="000000"/>
                <w:szCs w:val="21"/>
              </w:rPr>
              <w:t>0.003</w:t>
            </w:r>
          </w:p>
        </w:tc>
        <w:tc>
          <w:tcPr>
            <w:tcW w:w="996" w:type="dxa"/>
            <w:vAlign w:val="center"/>
          </w:tcPr>
          <w:p w14:paraId="03870D17">
            <w:pPr>
              <w:pStyle w:val="133"/>
              <w:rPr>
                <w:color w:val="000000"/>
                <w:szCs w:val="21"/>
              </w:rPr>
            </w:pPr>
            <w:r>
              <w:rPr>
                <w:rFonts w:hint="eastAsia"/>
                <w:color w:val="000000"/>
                <w:szCs w:val="21"/>
              </w:rPr>
              <w:t>-</w:t>
            </w:r>
          </w:p>
        </w:tc>
        <w:tc>
          <w:tcPr>
            <w:tcW w:w="996" w:type="dxa"/>
            <w:vAlign w:val="center"/>
          </w:tcPr>
          <w:p w14:paraId="6F0DD95C">
            <w:pPr>
              <w:pStyle w:val="133"/>
              <w:rPr>
                <w:color w:val="000000"/>
                <w:szCs w:val="21"/>
              </w:rPr>
            </w:pPr>
            <w:r>
              <w:rPr>
                <w:rFonts w:hint="eastAsia"/>
                <w:color w:val="000000"/>
                <w:szCs w:val="21"/>
              </w:rPr>
              <w:t>-</w:t>
            </w:r>
          </w:p>
        </w:tc>
        <w:tc>
          <w:tcPr>
            <w:tcW w:w="2658" w:type="dxa"/>
            <w:vAlign w:val="center"/>
          </w:tcPr>
          <w:p w14:paraId="01588C7F">
            <w:pPr>
              <w:pStyle w:val="133"/>
              <w:rPr>
                <w:color w:val="000000"/>
                <w:szCs w:val="21"/>
              </w:rPr>
            </w:pPr>
            <w:r>
              <w:rPr>
                <w:rFonts w:hint="eastAsia"/>
                <w:color w:val="000000"/>
                <w:szCs w:val="21"/>
              </w:rPr>
              <w:t>-</w:t>
            </w:r>
          </w:p>
        </w:tc>
      </w:tr>
      <w:tr w14:paraId="1B752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0C57FED5">
            <w:pPr>
              <w:pStyle w:val="133"/>
              <w:rPr>
                <w:color w:val="EE0000"/>
                <w:szCs w:val="21"/>
              </w:rPr>
            </w:pPr>
          </w:p>
        </w:tc>
        <w:tc>
          <w:tcPr>
            <w:tcW w:w="1113" w:type="dxa"/>
            <w:vMerge w:val="continue"/>
            <w:vAlign w:val="center"/>
          </w:tcPr>
          <w:p w14:paraId="26D7F903">
            <w:pPr>
              <w:pStyle w:val="133"/>
              <w:rPr>
                <w:color w:val="EE0000"/>
                <w:szCs w:val="21"/>
              </w:rPr>
            </w:pPr>
          </w:p>
        </w:tc>
        <w:tc>
          <w:tcPr>
            <w:tcW w:w="1139" w:type="dxa"/>
            <w:vMerge w:val="continue"/>
            <w:vAlign w:val="center"/>
          </w:tcPr>
          <w:p w14:paraId="4678B471">
            <w:pPr>
              <w:pStyle w:val="133"/>
              <w:rPr>
                <w:color w:val="000000"/>
                <w:szCs w:val="21"/>
              </w:rPr>
            </w:pPr>
          </w:p>
        </w:tc>
        <w:tc>
          <w:tcPr>
            <w:tcW w:w="1284" w:type="dxa"/>
            <w:vAlign w:val="center"/>
          </w:tcPr>
          <w:p w14:paraId="1FAF306A">
            <w:pPr>
              <w:pStyle w:val="133"/>
              <w:rPr>
                <w:color w:val="000000"/>
                <w:szCs w:val="21"/>
              </w:rPr>
            </w:pPr>
            <w:r>
              <w:rPr>
                <w:rFonts w:hint="eastAsia"/>
                <w:color w:val="000000"/>
                <w:szCs w:val="21"/>
              </w:rPr>
              <w:t>氨</w:t>
            </w:r>
          </w:p>
        </w:tc>
        <w:tc>
          <w:tcPr>
            <w:tcW w:w="713" w:type="dxa"/>
            <w:vMerge w:val="continue"/>
            <w:vAlign w:val="center"/>
          </w:tcPr>
          <w:p w14:paraId="1EE1126D">
            <w:pPr>
              <w:pStyle w:val="133"/>
              <w:rPr>
                <w:color w:val="000000"/>
                <w:szCs w:val="21"/>
              </w:rPr>
            </w:pPr>
          </w:p>
        </w:tc>
        <w:tc>
          <w:tcPr>
            <w:tcW w:w="1135" w:type="dxa"/>
            <w:vMerge w:val="continue"/>
            <w:vAlign w:val="center"/>
          </w:tcPr>
          <w:p w14:paraId="3B8C90C0">
            <w:pPr>
              <w:pStyle w:val="133"/>
              <w:rPr>
                <w:color w:val="000000"/>
                <w:szCs w:val="21"/>
              </w:rPr>
            </w:pPr>
          </w:p>
        </w:tc>
        <w:tc>
          <w:tcPr>
            <w:tcW w:w="996" w:type="dxa"/>
            <w:vAlign w:val="center"/>
          </w:tcPr>
          <w:p w14:paraId="1A99F596">
            <w:pPr>
              <w:pStyle w:val="133"/>
              <w:rPr>
                <w:color w:val="000000"/>
                <w:szCs w:val="21"/>
              </w:rPr>
            </w:pPr>
            <w:r>
              <w:rPr>
                <w:rFonts w:eastAsia="等线" w:cs="Times New Roman"/>
                <w:color w:val="000000"/>
                <w:szCs w:val="21"/>
              </w:rPr>
              <w:t>0.11</w:t>
            </w:r>
          </w:p>
        </w:tc>
        <w:tc>
          <w:tcPr>
            <w:tcW w:w="1139" w:type="dxa"/>
            <w:vAlign w:val="center"/>
          </w:tcPr>
          <w:p w14:paraId="1F6F3B2F">
            <w:pPr>
              <w:pStyle w:val="133"/>
              <w:rPr>
                <w:color w:val="000000"/>
                <w:szCs w:val="21"/>
              </w:rPr>
            </w:pPr>
            <w:r>
              <w:rPr>
                <w:rFonts w:eastAsia="等线" w:cs="Times New Roman"/>
                <w:color w:val="000000"/>
                <w:szCs w:val="21"/>
              </w:rPr>
              <w:t>0.0043</w:t>
            </w:r>
          </w:p>
        </w:tc>
        <w:tc>
          <w:tcPr>
            <w:tcW w:w="1139" w:type="dxa"/>
            <w:vAlign w:val="center"/>
          </w:tcPr>
          <w:p w14:paraId="093E3CB0">
            <w:pPr>
              <w:pStyle w:val="133"/>
              <w:rPr>
                <w:color w:val="000000"/>
                <w:szCs w:val="21"/>
              </w:rPr>
            </w:pPr>
            <w:r>
              <w:rPr>
                <w:rFonts w:hint="eastAsia"/>
                <w:color w:val="000000"/>
                <w:szCs w:val="21"/>
              </w:rPr>
              <w:t>0.034</w:t>
            </w:r>
          </w:p>
        </w:tc>
        <w:tc>
          <w:tcPr>
            <w:tcW w:w="996" w:type="dxa"/>
            <w:vAlign w:val="center"/>
          </w:tcPr>
          <w:p w14:paraId="33AAF1C6">
            <w:pPr>
              <w:pStyle w:val="133"/>
              <w:rPr>
                <w:color w:val="000000"/>
                <w:szCs w:val="21"/>
              </w:rPr>
            </w:pPr>
            <w:r>
              <w:rPr>
                <w:rFonts w:hint="eastAsia"/>
                <w:color w:val="000000"/>
                <w:szCs w:val="21"/>
              </w:rPr>
              <w:t>-</w:t>
            </w:r>
          </w:p>
        </w:tc>
        <w:tc>
          <w:tcPr>
            <w:tcW w:w="996" w:type="dxa"/>
            <w:vAlign w:val="center"/>
          </w:tcPr>
          <w:p w14:paraId="4009F77F">
            <w:pPr>
              <w:pStyle w:val="133"/>
              <w:rPr>
                <w:color w:val="000000"/>
                <w:szCs w:val="21"/>
              </w:rPr>
            </w:pPr>
            <w:r>
              <w:rPr>
                <w:rFonts w:hint="eastAsia"/>
                <w:color w:val="000000"/>
                <w:szCs w:val="21"/>
              </w:rPr>
              <w:t>-</w:t>
            </w:r>
          </w:p>
        </w:tc>
        <w:tc>
          <w:tcPr>
            <w:tcW w:w="2658" w:type="dxa"/>
            <w:vAlign w:val="center"/>
          </w:tcPr>
          <w:p w14:paraId="59689050">
            <w:pPr>
              <w:pStyle w:val="133"/>
              <w:rPr>
                <w:color w:val="000000"/>
                <w:szCs w:val="21"/>
              </w:rPr>
            </w:pPr>
            <w:r>
              <w:rPr>
                <w:rFonts w:hint="eastAsia"/>
                <w:color w:val="000000"/>
                <w:szCs w:val="21"/>
              </w:rPr>
              <w:t>-</w:t>
            </w:r>
          </w:p>
        </w:tc>
      </w:tr>
      <w:tr w14:paraId="39F9A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8E677A3">
            <w:pPr>
              <w:pStyle w:val="133"/>
              <w:rPr>
                <w:color w:val="EE0000"/>
                <w:szCs w:val="21"/>
              </w:rPr>
            </w:pPr>
          </w:p>
        </w:tc>
        <w:tc>
          <w:tcPr>
            <w:tcW w:w="1113" w:type="dxa"/>
            <w:vMerge w:val="continue"/>
            <w:vAlign w:val="center"/>
          </w:tcPr>
          <w:p w14:paraId="3C88AA37">
            <w:pPr>
              <w:pStyle w:val="133"/>
              <w:rPr>
                <w:color w:val="EE0000"/>
                <w:szCs w:val="21"/>
              </w:rPr>
            </w:pPr>
          </w:p>
        </w:tc>
        <w:tc>
          <w:tcPr>
            <w:tcW w:w="1139" w:type="dxa"/>
            <w:vMerge w:val="continue"/>
            <w:vAlign w:val="center"/>
          </w:tcPr>
          <w:p w14:paraId="61F6DF83">
            <w:pPr>
              <w:pStyle w:val="133"/>
              <w:rPr>
                <w:color w:val="000000"/>
                <w:szCs w:val="21"/>
              </w:rPr>
            </w:pPr>
          </w:p>
        </w:tc>
        <w:tc>
          <w:tcPr>
            <w:tcW w:w="1284" w:type="dxa"/>
            <w:vAlign w:val="center"/>
          </w:tcPr>
          <w:p w14:paraId="56E99522">
            <w:pPr>
              <w:pStyle w:val="133"/>
              <w:rPr>
                <w:color w:val="000000"/>
                <w:szCs w:val="21"/>
              </w:rPr>
            </w:pPr>
            <w:r>
              <w:rPr>
                <w:rFonts w:hint="eastAsia"/>
                <w:color w:val="000000"/>
                <w:szCs w:val="21"/>
              </w:rPr>
              <w:t>硫化氢</w:t>
            </w:r>
          </w:p>
        </w:tc>
        <w:tc>
          <w:tcPr>
            <w:tcW w:w="713" w:type="dxa"/>
            <w:vMerge w:val="continue"/>
            <w:vAlign w:val="center"/>
          </w:tcPr>
          <w:p w14:paraId="5A0B0C72">
            <w:pPr>
              <w:pStyle w:val="133"/>
              <w:rPr>
                <w:color w:val="000000"/>
                <w:szCs w:val="21"/>
              </w:rPr>
            </w:pPr>
          </w:p>
        </w:tc>
        <w:tc>
          <w:tcPr>
            <w:tcW w:w="1135" w:type="dxa"/>
            <w:vMerge w:val="continue"/>
            <w:vAlign w:val="center"/>
          </w:tcPr>
          <w:p w14:paraId="74E95C1C">
            <w:pPr>
              <w:pStyle w:val="133"/>
              <w:rPr>
                <w:color w:val="000000"/>
                <w:szCs w:val="21"/>
              </w:rPr>
            </w:pPr>
          </w:p>
        </w:tc>
        <w:tc>
          <w:tcPr>
            <w:tcW w:w="996" w:type="dxa"/>
            <w:vAlign w:val="center"/>
          </w:tcPr>
          <w:p w14:paraId="377F9130">
            <w:pPr>
              <w:pStyle w:val="133"/>
              <w:rPr>
                <w:color w:val="000000"/>
                <w:szCs w:val="21"/>
              </w:rPr>
            </w:pPr>
            <w:r>
              <w:rPr>
                <w:rFonts w:eastAsia="等线" w:cs="Times New Roman"/>
                <w:color w:val="000000"/>
                <w:szCs w:val="21"/>
              </w:rPr>
              <w:t>0.02</w:t>
            </w:r>
          </w:p>
        </w:tc>
        <w:tc>
          <w:tcPr>
            <w:tcW w:w="1139" w:type="dxa"/>
            <w:vAlign w:val="center"/>
          </w:tcPr>
          <w:p w14:paraId="33F1B162">
            <w:pPr>
              <w:pStyle w:val="133"/>
              <w:rPr>
                <w:color w:val="000000"/>
                <w:szCs w:val="21"/>
              </w:rPr>
            </w:pPr>
            <w:r>
              <w:rPr>
                <w:rFonts w:eastAsia="等线" w:cs="Times New Roman"/>
                <w:color w:val="000000"/>
                <w:szCs w:val="21"/>
              </w:rPr>
              <w:t>0.0008</w:t>
            </w:r>
          </w:p>
        </w:tc>
        <w:tc>
          <w:tcPr>
            <w:tcW w:w="1139" w:type="dxa"/>
            <w:vAlign w:val="center"/>
          </w:tcPr>
          <w:p w14:paraId="5A2ED95D">
            <w:pPr>
              <w:pStyle w:val="133"/>
              <w:rPr>
                <w:color w:val="000000"/>
                <w:szCs w:val="21"/>
              </w:rPr>
            </w:pPr>
            <w:r>
              <w:rPr>
                <w:rFonts w:hint="eastAsia"/>
                <w:color w:val="000000"/>
                <w:szCs w:val="21"/>
              </w:rPr>
              <w:t>0.006</w:t>
            </w:r>
          </w:p>
        </w:tc>
        <w:tc>
          <w:tcPr>
            <w:tcW w:w="996" w:type="dxa"/>
            <w:vAlign w:val="center"/>
          </w:tcPr>
          <w:p w14:paraId="525599AE">
            <w:pPr>
              <w:pStyle w:val="133"/>
              <w:rPr>
                <w:color w:val="000000"/>
                <w:szCs w:val="21"/>
              </w:rPr>
            </w:pPr>
            <w:r>
              <w:rPr>
                <w:rFonts w:hint="eastAsia"/>
                <w:color w:val="000000"/>
                <w:szCs w:val="21"/>
              </w:rPr>
              <w:t>-</w:t>
            </w:r>
          </w:p>
        </w:tc>
        <w:tc>
          <w:tcPr>
            <w:tcW w:w="996" w:type="dxa"/>
            <w:vAlign w:val="center"/>
          </w:tcPr>
          <w:p w14:paraId="38F57A55">
            <w:pPr>
              <w:pStyle w:val="133"/>
              <w:rPr>
                <w:color w:val="000000"/>
                <w:szCs w:val="21"/>
              </w:rPr>
            </w:pPr>
            <w:r>
              <w:rPr>
                <w:rFonts w:hint="eastAsia"/>
                <w:color w:val="000000"/>
                <w:szCs w:val="21"/>
              </w:rPr>
              <w:t>-</w:t>
            </w:r>
          </w:p>
        </w:tc>
        <w:tc>
          <w:tcPr>
            <w:tcW w:w="2658" w:type="dxa"/>
            <w:vAlign w:val="center"/>
          </w:tcPr>
          <w:p w14:paraId="3C62EBB7">
            <w:pPr>
              <w:pStyle w:val="133"/>
              <w:rPr>
                <w:color w:val="000000"/>
                <w:szCs w:val="21"/>
              </w:rPr>
            </w:pPr>
            <w:r>
              <w:rPr>
                <w:rFonts w:hint="eastAsia"/>
                <w:color w:val="000000"/>
                <w:szCs w:val="21"/>
              </w:rPr>
              <w:t>-</w:t>
            </w:r>
          </w:p>
        </w:tc>
      </w:tr>
      <w:tr w14:paraId="6CFAB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995A8F8">
            <w:pPr>
              <w:pStyle w:val="133"/>
              <w:rPr>
                <w:color w:val="EE0000"/>
                <w:szCs w:val="21"/>
              </w:rPr>
            </w:pPr>
          </w:p>
        </w:tc>
        <w:tc>
          <w:tcPr>
            <w:tcW w:w="1113" w:type="dxa"/>
            <w:vMerge w:val="continue"/>
            <w:vAlign w:val="center"/>
          </w:tcPr>
          <w:p w14:paraId="3D800F4E">
            <w:pPr>
              <w:pStyle w:val="133"/>
              <w:rPr>
                <w:color w:val="EE0000"/>
                <w:szCs w:val="21"/>
              </w:rPr>
            </w:pPr>
          </w:p>
        </w:tc>
        <w:tc>
          <w:tcPr>
            <w:tcW w:w="1139" w:type="dxa"/>
            <w:vMerge w:val="continue"/>
            <w:vAlign w:val="center"/>
          </w:tcPr>
          <w:p w14:paraId="74D7FBAC">
            <w:pPr>
              <w:pStyle w:val="133"/>
              <w:rPr>
                <w:color w:val="000000"/>
                <w:szCs w:val="21"/>
              </w:rPr>
            </w:pPr>
          </w:p>
        </w:tc>
        <w:tc>
          <w:tcPr>
            <w:tcW w:w="1284" w:type="dxa"/>
            <w:vAlign w:val="center"/>
          </w:tcPr>
          <w:p w14:paraId="1CDEFB9C">
            <w:pPr>
              <w:pStyle w:val="133"/>
              <w:rPr>
                <w:color w:val="000000"/>
                <w:szCs w:val="21"/>
              </w:rPr>
            </w:pPr>
            <w:r>
              <w:rPr>
                <w:rFonts w:hint="eastAsia"/>
                <w:color w:val="000000"/>
                <w:szCs w:val="21"/>
              </w:rPr>
              <w:t>非甲烷总烃</w:t>
            </w:r>
          </w:p>
        </w:tc>
        <w:tc>
          <w:tcPr>
            <w:tcW w:w="713" w:type="dxa"/>
            <w:vMerge w:val="continue"/>
            <w:vAlign w:val="center"/>
          </w:tcPr>
          <w:p w14:paraId="3167488B">
            <w:pPr>
              <w:pStyle w:val="133"/>
              <w:rPr>
                <w:color w:val="000000"/>
                <w:szCs w:val="21"/>
              </w:rPr>
            </w:pPr>
          </w:p>
        </w:tc>
        <w:tc>
          <w:tcPr>
            <w:tcW w:w="1135" w:type="dxa"/>
            <w:vMerge w:val="continue"/>
            <w:vAlign w:val="center"/>
          </w:tcPr>
          <w:p w14:paraId="6256D12A">
            <w:pPr>
              <w:pStyle w:val="133"/>
              <w:rPr>
                <w:color w:val="000000"/>
                <w:szCs w:val="21"/>
              </w:rPr>
            </w:pPr>
          </w:p>
        </w:tc>
        <w:tc>
          <w:tcPr>
            <w:tcW w:w="996" w:type="dxa"/>
            <w:vAlign w:val="center"/>
          </w:tcPr>
          <w:p w14:paraId="37A31BD7">
            <w:pPr>
              <w:pStyle w:val="133"/>
              <w:rPr>
                <w:color w:val="000000"/>
                <w:szCs w:val="21"/>
              </w:rPr>
            </w:pPr>
            <w:r>
              <w:rPr>
                <w:rFonts w:eastAsia="等线" w:cs="Times New Roman"/>
                <w:color w:val="000000"/>
                <w:szCs w:val="21"/>
              </w:rPr>
              <w:t>0.06</w:t>
            </w:r>
          </w:p>
        </w:tc>
        <w:tc>
          <w:tcPr>
            <w:tcW w:w="1139" w:type="dxa"/>
            <w:vAlign w:val="center"/>
          </w:tcPr>
          <w:p w14:paraId="076FC9F2">
            <w:pPr>
              <w:pStyle w:val="133"/>
              <w:rPr>
                <w:color w:val="000000"/>
                <w:szCs w:val="21"/>
              </w:rPr>
            </w:pPr>
            <w:r>
              <w:rPr>
                <w:rFonts w:eastAsia="等线" w:cs="Times New Roman"/>
                <w:color w:val="000000"/>
                <w:szCs w:val="21"/>
              </w:rPr>
              <w:t>0.0025</w:t>
            </w:r>
          </w:p>
        </w:tc>
        <w:tc>
          <w:tcPr>
            <w:tcW w:w="1139" w:type="dxa"/>
            <w:vAlign w:val="center"/>
          </w:tcPr>
          <w:p w14:paraId="66A2FD49">
            <w:pPr>
              <w:pStyle w:val="133"/>
              <w:rPr>
                <w:color w:val="000000"/>
                <w:szCs w:val="21"/>
              </w:rPr>
            </w:pPr>
            <w:r>
              <w:rPr>
                <w:rFonts w:hint="eastAsia"/>
                <w:color w:val="000000"/>
                <w:szCs w:val="21"/>
              </w:rPr>
              <w:t>0.020</w:t>
            </w:r>
          </w:p>
        </w:tc>
        <w:tc>
          <w:tcPr>
            <w:tcW w:w="996" w:type="dxa"/>
            <w:vAlign w:val="center"/>
          </w:tcPr>
          <w:p w14:paraId="15DBD873">
            <w:pPr>
              <w:pStyle w:val="133"/>
              <w:rPr>
                <w:color w:val="000000"/>
                <w:szCs w:val="21"/>
              </w:rPr>
            </w:pPr>
            <w:r>
              <w:rPr>
                <w:rFonts w:hint="eastAsia"/>
                <w:color w:val="000000"/>
                <w:szCs w:val="21"/>
              </w:rPr>
              <w:t>50</w:t>
            </w:r>
          </w:p>
        </w:tc>
        <w:tc>
          <w:tcPr>
            <w:tcW w:w="996" w:type="dxa"/>
            <w:vAlign w:val="center"/>
          </w:tcPr>
          <w:p w14:paraId="2E0B8214">
            <w:pPr>
              <w:pStyle w:val="133"/>
              <w:rPr>
                <w:color w:val="000000"/>
                <w:szCs w:val="21"/>
              </w:rPr>
            </w:pPr>
            <w:r>
              <w:rPr>
                <w:rFonts w:hint="eastAsia"/>
                <w:color w:val="000000"/>
                <w:szCs w:val="21"/>
              </w:rPr>
              <w:t>-</w:t>
            </w:r>
          </w:p>
        </w:tc>
        <w:tc>
          <w:tcPr>
            <w:tcW w:w="2658" w:type="dxa"/>
            <w:vAlign w:val="center"/>
          </w:tcPr>
          <w:p w14:paraId="0A8A0BFD">
            <w:pPr>
              <w:pStyle w:val="133"/>
              <w:rPr>
                <w:color w:val="000000"/>
                <w:szCs w:val="21"/>
              </w:rPr>
            </w:pPr>
            <w:r>
              <w:rPr>
                <w:rFonts w:hint="eastAsia"/>
                <w:color w:val="000000"/>
                <w:szCs w:val="21"/>
              </w:rPr>
              <w:t>《关于推进实施焦化行业超低排放的意见》附表1</w:t>
            </w:r>
          </w:p>
        </w:tc>
      </w:tr>
      <w:tr w14:paraId="2BA4E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685C3075">
            <w:pPr>
              <w:pStyle w:val="133"/>
              <w:rPr>
                <w:color w:val="EE0000"/>
                <w:szCs w:val="21"/>
              </w:rPr>
            </w:pPr>
          </w:p>
        </w:tc>
        <w:tc>
          <w:tcPr>
            <w:tcW w:w="1113" w:type="dxa"/>
            <w:vMerge w:val="continue"/>
            <w:vAlign w:val="center"/>
          </w:tcPr>
          <w:p w14:paraId="33BBF004">
            <w:pPr>
              <w:pStyle w:val="133"/>
              <w:rPr>
                <w:color w:val="EE0000"/>
                <w:szCs w:val="21"/>
              </w:rPr>
            </w:pPr>
          </w:p>
        </w:tc>
        <w:tc>
          <w:tcPr>
            <w:tcW w:w="1139" w:type="dxa"/>
            <w:vMerge w:val="continue"/>
            <w:vAlign w:val="center"/>
          </w:tcPr>
          <w:p w14:paraId="4BF3986D">
            <w:pPr>
              <w:pStyle w:val="133"/>
              <w:rPr>
                <w:color w:val="000000"/>
                <w:szCs w:val="21"/>
              </w:rPr>
            </w:pPr>
          </w:p>
        </w:tc>
        <w:tc>
          <w:tcPr>
            <w:tcW w:w="1284" w:type="dxa"/>
            <w:vAlign w:val="center"/>
          </w:tcPr>
          <w:p w14:paraId="5B2B78AB">
            <w:pPr>
              <w:pStyle w:val="133"/>
              <w:rPr>
                <w:color w:val="000000"/>
                <w:szCs w:val="21"/>
              </w:rPr>
            </w:pPr>
            <w:r>
              <w:rPr>
                <w:rFonts w:hint="eastAsia"/>
                <w:color w:val="000000"/>
                <w:szCs w:val="21"/>
              </w:rPr>
              <w:t>SO</w:t>
            </w:r>
            <w:r>
              <w:rPr>
                <w:rFonts w:hint="eastAsia"/>
                <w:color w:val="000000"/>
                <w:szCs w:val="21"/>
                <w:vertAlign w:val="subscript"/>
              </w:rPr>
              <w:t>2</w:t>
            </w:r>
          </w:p>
        </w:tc>
        <w:tc>
          <w:tcPr>
            <w:tcW w:w="713" w:type="dxa"/>
            <w:vMerge w:val="continue"/>
            <w:vAlign w:val="center"/>
          </w:tcPr>
          <w:p w14:paraId="2DC1279E">
            <w:pPr>
              <w:pStyle w:val="133"/>
              <w:rPr>
                <w:color w:val="000000"/>
                <w:szCs w:val="21"/>
              </w:rPr>
            </w:pPr>
          </w:p>
        </w:tc>
        <w:tc>
          <w:tcPr>
            <w:tcW w:w="1135" w:type="dxa"/>
            <w:vMerge w:val="continue"/>
            <w:vAlign w:val="center"/>
          </w:tcPr>
          <w:p w14:paraId="661996A9">
            <w:pPr>
              <w:pStyle w:val="133"/>
              <w:rPr>
                <w:color w:val="000000"/>
                <w:szCs w:val="21"/>
              </w:rPr>
            </w:pPr>
          </w:p>
        </w:tc>
        <w:tc>
          <w:tcPr>
            <w:tcW w:w="996" w:type="dxa"/>
            <w:vAlign w:val="center"/>
          </w:tcPr>
          <w:p w14:paraId="7EB5CF6C">
            <w:pPr>
              <w:pStyle w:val="133"/>
              <w:rPr>
                <w:color w:val="000000"/>
                <w:szCs w:val="21"/>
              </w:rPr>
            </w:pPr>
            <w:r>
              <w:rPr>
                <w:rFonts w:eastAsia="等线" w:cs="Times New Roman"/>
                <w:color w:val="000000"/>
                <w:szCs w:val="21"/>
              </w:rPr>
              <w:t>5.67</w:t>
            </w:r>
          </w:p>
        </w:tc>
        <w:tc>
          <w:tcPr>
            <w:tcW w:w="1139" w:type="dxa"/>
            <w:vAlign w:val="center"/>
          </w:tcPr>
          <w:p w14:paraId="1FE35002">
            <w:pPr>
              <w:pStyle w:val="133"/>
              <w:rPr>
                <w:color w:val="000000"/>
                <w:szCs w:val="21"/>
              </w:rPr>
            </w:pPr>
            <w:r>
              <w:rPr>
                <w:rFonts w:eastAsia="等线" w:cs="Times New Roman"/>
                <w:color w:val="000000"/>
                <w:szCs w:val="21"/>
              </w:rPr>
              <w:t>0.23</w:t>
            </w:r>
          </w:p>
        </w:tc>
        <w:tc>
          <w:tcPr>
            <w:tcW w:w="1139" w:type="dxa"/>
            <w:vAlign w:val="center"/>
          </w:tcPr>
          <w:p w14:paraId="6E81143F">
            <w:pPr>
              <w:pStyle w:val="133"/>
              <w:rPr>
                <w:color w:val="000000"/>
                <w:szCs w:val="21"/>
              </w:rPr>
            </w:pPr>
            <w:r>
              <w:rPr>
                <w:rFonts w:hint="eastAsia"/>
                <w:color w:val="000000"/>
                <w:szCs w:val="21"/>
              </w:rPr>
              <w:t>1.822</w:t>
            </w:r>
          </w:p>
        </w:tc>
        <w:tc>
          <w:tcPr>
            <w:tcW w:w="996" w:type="dxa"/>
            <w:vAlign w:val="center"/>
          </w:tcPr>
          <w:p w14:paraId="68F2A594">
            <w:pPr>
              <w:pStyle w:val="133"/>
              <w:rPr>
                <w:color w:val="000000"/>
                <w:szCs w:val="21"/>
              </w:rPr>
            </w:pPr>
            <w:r>
              <w:rPr>
                <w:rFonts w:hint="eastAsia"/>
                <w:color w:val="000000"/>
                <w:szCs w:val="21"/>
              </w:rPr>
              <w:t>200</w:t>
            </w:r>
          </w:p>
        </w:tc>
        <w:tc>
          <w:tcPr>
            <w:tcW w:w="996" w:type="dxa"/>
            <w:vAlign w:val="center"/>
          </w:tcPr>
          <w:p w14:paraId="3FC6FFCC">
            <w:pPr>
              <w:pStyle w:val="133"/>
              <w:rPr>
                <w:color w:val="000000"/>
                <w:szCs w:val="21"/>
              </w:rPr>
            </w:pPr>
            <w:r>
              <w:rPr>
                <w:rFonts w:hint="eastAsia"/>
                <w:color w:val="000000"/>
                <w:szCs w:val="21"/>
              </w:rPr>
              <w:t>-</w:t>
            </w:r>
          </w:p>
        </w:tc>
        <w:tc>
          <w:tcPr>
            <w:tcW w:w="2658" w:type="dxa"/>
            <w:vAlign w:val="center"/>
          </w:tcPr>
          <w:p w14:paraId="50501791">
            <w:pPr>
              <w:pStyle w:val="133"/>
              <w:rPr>
                <w:color w:val="000000"/>
                <w:szCs w:val="21"/>
              </w:rPr>
            </w:pPr>
            <w:r>
              <w:rPr>
                <w:rFonts w:hint="eastAsia"/>
                <w:color w:val="000000"/>
                <w:szCs w:val="21"/>
              </w:rPr>
              <w:t>《关于推进实施焦化行业超低排放的意见》附表1</w:t>
            </w:r>
          </w:p>
        </w:tc>
      </w:tr>
      <w:tr w14:paraId="7C501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6FA84217">
            <w:pPr>
              <w:pStyle w:val="133"/>
              <w:rPr>
                <w:color w:val="EE0000"/>
                <w:szCs w:val="21"/>
              </w:rPr>
            </w:pPr>
          </w:p>
        </w:tc>
        <w:tc>
          <w:tcPr>
            <w:tcW w:w="1113" w:type="dxa"/>
            <w:vMerge w:val="continue"/>
            <w:vAlign w:val="center"/>
          </w:tcPr>
          <w:p w14:paraId="24FC65AB">
            <w:pPr>
              <w:pStyle w:val="133"/>
              <w:rPr>
                <w:color w:val="EE0000"/>
                <w:szCs w:val="21"/>
              </w:rPr>
            </w:pPr>
          </w:p>
        </w:tc>
        <w:tc>
          <w:tcPr>
            <w:tcW w:w="1139" w:type="dxa"/>
            <w:vAlign w:val="center"/>
          </w:tcPr>
          <w:p w14:paraId="01D50799">
            <w:pPr>
              <w:pStyle w:val="133"/>
              <w:rPr>
                <w:color w:val="000000"/>
                <w:szCs w:val="21"/>
              </w:rPr>
            </w:pPr>
            <w:r>
              <w:rPr>
                <w:rFonts w:hint="eastAsia"/>
                <w:color w:val="000000"/>
                <w:szCs w:val="21"/>
              </w:rPr>
              <w:t>2#VOCs处理装置有机废气</w:t>
            </w:r>
          </w:p>
        </w:tc>
        <w:tc>
          <w:tcPr>
            <w:tcW w:w="1284" w:type="dxa"/>
            <w:vAlign w:val="center"/>
          </w:tcPr>
          <w:p w14:paraId="64912E14">
            <w:pPr>
              <w:pStyle w:val="133"/>
              <w:rPr>
                <w:color w:val="000000"/>
                <w:szCs w:val="21"/>
              </w:rPr>
            </w:pPr>
            <w:r>
              <w:rPr>
                <w:rFonts w:hint="eastAsia"/>
                <w:color w:val="000000"/>
                <w:szCs w:val="21"/>
              </w:rPr>
              <w:t>非甲烷总烃</w:t>
            </w:r>
          </w:p>
        </w:tc>
        <w:tc>
          <w:tcPr>
            <w:tcW w:w="713" w:type="dxa"/>
            <w:vAlign w:val="center"/>
          </w:tcPr>
          <w:p w14:paraId="30A1A9A2">
            <w:pPr>
              <w:pStyle w:val="133"/>
              <w:rPr>
                <w:color w:val="000000"/>
                <w:szCs w:val="21"/>
              </w:rPr>
            </w:pPr>
            <w:r>
              <w:rPr>
                <w:rFonts w:hint="eastAsia"/>
                <w:color w:val="000000"/>
                <w:szCs w:val="21"/>
              </w:rPr>
              <w:t>有组织</w:t>
            </w:r>
          </w:p>
        </w:tc>
        <w:tc>
          <w:tcPr>
            <w:tcW w:w="1135" w:type="dxa"/>
            <w:vAlign w:val="center"/>
          </w:tcPr>
          <w:p w14:paraId="44F579B4">
            <w:pPr>
              <w:pStyle w:val="133"/>
              <w:rPr>
                <w:color w:val="000000"/>
                <w:szCs w:val="21"/>
              </w:rPr>
            </w:pPr>
            <w:r>
              <w:rPr>
                <w:rFonts w:hint="eastAsia"/>
                <w:color w:val="000000"/>
                <w:szCs w:val="21"/>
              </w:rPr>
              <w:t>酸洗+碱洗+活性炭吸附-脱附+催化燃烧工艺</w:t>
            </w:r>
          </w:p>
        </w:tc>
        <w:tc>
          <w:tcPr>
            <w:tcW w:w="996" w:type="dxa"/>
            <w:vAlign w:val="center"/>
          </w:tcPr>
          <w:p w14:paraId="184ABDAB">
            <w:pPr>
              <w:pStyle w:val="133"/>
              <w:rPr>
                <w:color w:val="000000"/>
                <w:szCs w:val="21"/>
              </w:rPr>
            </w:pPr>
            <w:r>
              <w:rPr>
                <w:rFonts w:hint="eastAsia" w:eastAsia="等线" w:cs="Times New Roman"/>
                <w:color w:val="000000"/>
                <w:szCs w:val="21"/>
              </w:rPr>
              <w:t>45.80</w:t>
            </w:r>
          </w:p>
        </w:tc>
        <w:tc>
          <w:tcPr>
            <w:tcW w:w="1139" w:type="dxa"/>
            <w:vAlign w:val="center"/>
          </w:tcPr>
          <w:p w14:paraId="065B0358">
            <w:pPr>
              <w:pStyle w:val="133"/>
              <w:rPr>
                <w:color w:val="000000"/>
                <w:szCs w:val="21"/>
              </w:rPr>
            </w:pPr>
            <w:r>
              <w:rPr>
                <w:rFonts w:hint="eastAsia" w:eastAsia="等线" w:cs="Times New Roman"/>
                <w:color w:val="000000"/>
                <w:szCs w:val="21"/>
              </w:rPr>
              <w:t>0.046</w:t>
            </w:r>
          </w:p>
        </w:tc>
        <w:tc>
          <w:tcPr>
            <w:tcW w:w="1139" w:type="dxa"/>
            <w:vAlign w:val="center"/>
          </w:tcPr>
          <w:p w14:paraId="6C9BFF9D">
            <w:pPr>
              <w:pStyle w:val="133"/>
              <w:rPr>
                <w:color w:val="000000"/>
                <w:szCs w:val="21"/>
              </w:rPr>
            </w:pPr>
            <w:r>
              <w:rPr>
                <w:rFonts w:hint="eastAsia"/>
                <w:color w:val="000000"/>
                <w:szCs w:val="21"/>
              </w:rPr>
              <w:t>0.364</w:t>
            </w:r>
          </w:p>
        </w:tc>
        <w:tc>
          <w:tcPr>
            <w:tcW w:w="996" w:type="dxa"/>
            <w:vAlign w:val="center"/>
          </w:tcPr>
          <w:p w14:paraId="37AA102A">
            <w:pPr>
              <w:pStyle w:val="133"/>
              <w:rPr>
                <w:color w:val="000000"/>
                <w:szCs w:val="21"/>
              </w:rPr>
            </w:pPr>
            <w:r>
              <w:rPr>
                <w:rFonts w:hint="eastAsia"/>
                <w:color w:val="000000"/>
                <w:szCs w:val="21"/>
              </w:rPr>
              <w:t>50</w:t>
            </w:r>
          </w:p>
        </w:tc>
        <w:tc>
          <w:tcPr>
            <w:tcW w:w="996" w:type="dxa"/>
            <w:vAlign w:val="center"/>
          </w:tcPr>
          <w:p w14:paraId="123AE4EA">
            <w:pPr>
              <w:pStyle w:val="133"/>
              <w:rPr>
                <w:color w:val="000000"/>
                <w:szCs w:val="21"/>
              </w:rPr>
            </w:pPr>
            <w:r>
              <w:rPr>
                <w:rFonts w:hint="eastAsia"/>
                <w:color w:val="000000"/>
                <w:szCs w:val="21"/>
              </w:rPr>
              <w:t>-</w:t>
            </w:r>
          </w:p>
        </w:tc>
        <w:tc>
          <w:tcPr>
            <w:tcW w:w="2658" w:type="dxa"/>
            <w:vAlign w:val="center"/>
          </w:tcPr>
          <w:p w14:paraId="786CADAF">
            <w:pPr>
              <w:pStyle w:val="133"/>
              <w:rPr>
                <w:color w:val="000000"/>
                <w:szCs w:val="21"/>
              </w:rPr>
            </w:pPr>
            <w:r>
              <w:rPr>
                <w:rFonts w:hint="eastAsia"/>
                <w:color w:val="000000"/>
                <w:szCs w:val="21"/>
              </w:rPr>
              <w:t>《关于推进实施焦化行业超低排放的意见》附表1</w:t>
            </w:r>
          </w:p>
        </w:tc>
      </w:tr>
      <w:tr w14:paraId="48FF89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806E15E">
            <w:pPr>
              <w:pStyle w:val="133"/>
              <w:rPr>
                <w:color w:val="EE0000"/>
                <w:szCs w:val="21"/>
              </w:rPr>
            </w:pPr>
          </w:p>
        </w:tc>
        <w:tc>
          <w:tcPr>
            <w:tcW w:w="1113" w:type="dxa"/>
            <w:vMerge w:val="continue"/>
            <w:vAlign w:val="center"/>
          </w:tcPr>
          <w:p w14:paraId="2B009F5A">
            <w:pPr>
              <w:pStyle w:val="133"/>
              <w:rPr>
                <w:color w:val="EE0000"/>
                <w:szCs w:val="21"/>
              </w:rPr>
            </w:pPr>
          </w:p>
        </w:tc>
        <w:tc>
          <w:tcPr>
            <w:tcW w:w="1139" w:type="dxa"/>
            <w:vAlign w:val="center"/>
          </w:tcPr>
          <w:p w14:paraId="51EE0F1E">
            <w:pPr>
              <w:pStyle w:val="133"/>
              <w:rPr>
                <w:color w:val="000000"/>
                <w:szCs w:val="21"/>
              </w:rPr>
            </w:pPr>
            <w:r>
              <w:rPr>
                <w:rFonts w:hint="eastAsia"/>
                <w:color w:val="000000"/>
                <w:szCs w:val="21"/>
              </w:rPr>
              <w:t>煤棚</w:t>
            </w:r>
          </w:p>
        </w:tc>
        <w:tc>
          <w:tcPr>
            <w:tcW w:w="1284" w:type="dxa"/>
            <w:vAlign w:val="center"/>
          </w:tcPr>
          <w:p w14:paraId="34C6E06B">
            <w:pPr>
              <w:pStyle w:val="133"/>
              <w:rPr>
                <w:color w:val="000000"/>
                <w:szCs w:val="21"/>
              </w:rPr>
            </w:pPr>
            <w:r>
              <w:rPr>
                <w:rFonts w:hint="eastAsia"/>
                <w:color w:val="000000"/>
                <w:szCs w:val="21"/>
              </w:rPr>
              <w:t>颗粒物</w:t>
            </w:r>
          </w:p>
        </w:tc>
        <w:tc>
          <w:tcPr>
            <w:tcW w:w="713" w:type="dxa"/>
            <w:vAlign w:val="center"/>
          </w:tcPr>
          <w:p w14:paraId="4C9C3FA3">
            <w:pPr>
              <w:pStyle w:val="133"/>
              <w:rPr>
                <w:color w:val="000000"/>
                <w:szCs w:val="21"/>
              </w:rPr>
            </w:pPr>
            <w:r>
              <w:rPr>
                <w:rFonts w:hint="eastAsia"/>
                <w:color w:val="000000"/>
                <w:szCs w:val="21"/>
              </w:rPr>
              <w:t>无组织</w:t>
            </w:r>
          </w:p>
        </w:tc>
        <w:tc>
          <w:tcPr>
            <w:tcW w:w="1135" w:type="dxa"/>
            <w:vAlign w:val="center"/>
          </w:tcPr>
          <w:p w14:paraId="21423718">
            <w:pPr>
              <w:pStyle w:val="133"/>
              <w:rPr>
                <w:color w:val="000000"/>
                <w:szCs w:val="21"/>
              </w:rPr>
            </w:pPr>
            <w:r>
              <w:rPr>
                <w:rFonts w:hint="eastAsia"/>
                <w:color w:val="000000"/>
                <w:szCs w:val="21"/>
              </w:rPr>
              <w:t>/</w:t>
            </w:r>
          </w:p>
        </w:tc>
        <w:tc>
          <w:tcPr>
            <w:tcW w:w="996" w:type="dxa"/>
            <w:vAlign w:val="center"/>
          </w:tcPr>
          <w:p w14:paraId="04485642">
            <w:pPr>
              <w:pStyle w:val="133"/>
              <w:rPr>
                <w:rFonts w:eastAsia="等线" w:cs="Times New Roman"/>
                <w:color w:val="000000"/>
                <w:szCs w:val="21"/>
              </w:rPr>
            </w:pPr>
            <w:r>
              <w:rPr>
                <w:rFonts w:hint="eastAsia" w:eastAsia="等线" w:cs="Times New Roman"/>
                <w:color w:val="000000"/>
                <w:szCs w:val="21"/>
              </w:rPr>
              <w:t>-</w:t>
            </w:r>
          </w:p>
        </w:tc>
        <w:tc>
          <w:tcPr>
            <w:tcW w:w="1139" w:type="dxa"/>
            <w:vAlign w:val="center"/>
          </w:tcPr>
          <w:p w14:paraId="6621E0D7">
            <w:pPr>
              <w:pStyle w:val="133"/>
              <w:rPr>
                <w:rFonts w:eastAsia="等线" w:cs="Times New Roman"/>
                <w:color w:val="000000"/>
                <w:szCs w:val="21"/>
              </w:rPr>
            </w:pPr>
            <w:r>
              <w:rPr>
                <w:rFonts w:hint="eastAsia" w:eastAsia="等线" w:cs="Times New Roman"/>
                <w:color w:val="000000"/>
                <w:szCs w:val="21"/>
              </w:rPr>
              <w:t>0.14</w:t>
            </w:r>
          </w:p>
        </w:tc>
        <w:tc>
          <w:tcPr>
            <w:tcW w:w="1139" w:type="dxa"/>
            <w:vAlign w:val="center"/>
          </w:tcPr>
          <w:p w14:paraId="3CBB8128">
            <w:pPr>
              <w:pStyle w:val="133"/>
              <w:rPr>
                <w:color w:val="000000"/>
                <w:szCs w:val="21"/>
              </w:rPr>
            </w:pPr>
            <w:r>
              <w:rPr>
                <w:rFonts w:hint="eastAsia"/>
                <w:color w:val="000000"/>
                <w:szCs w:val="21"/>
              </w:rPr>
              <w:t>1.09</w:t>
            </w:r>
          </w:p>
        </w:tc>
        <w:tc>
          <w:tcPr>
            <w:tcW w:w="996" w:type="dxa"/>
            <w:vAlign w:val="center"/>
          </w:tcPr>
          <w:p w14:paraId="0056A856">
            <w:pPr>
              <w:pStyle w:val="133"/>
              <w:rPr>
                <w:color w:val="000000"/>
                <w:szCs w:val="21"/>
              </w:rPr>
            </w:pPr>
            <w:r>
              <w:rPr>
                <w:rFonts w:hint="eastAsia"/>
                <w:color w:val="000000"/>
                <w:szCs w:val="21"/>
              </w:rPr>
              <w:t>2.5</w:t>
            </w:r>
          </w:p>
        </w:tc>
        <w:tc>
          <w:tcPr>
            <w:tcW w:w="996" w:type="dxa"/>
            <w:vAlign w:val="center"/>
          </w:tcPr>
          <w:p w14:paraId="1784A5B0">
            <w:pPr>
              <w:pStyle w:val="133"/>
              <w:rPr>
                <w:color w:val="000000"/>
                <w:szCs w:val="21"/>
              </w:rPr>
            </w:pPr>
            <w:r>
              <w:rPr>
                <w:rFonts w:hint="eastAsia"/>
                <w:color w:val="000000"/>
                <w:szCs w:val="21"/>
              </w:rPr>
              <w:t>-</w:t>
            </w:r>
          </w:p>
        </w:tc>
        <w:tc>
          <w:tcPr>
            <w:tcW w:w="2658" w:type="dxa"/>
            <w:vAlign w:val="center"/>
          </w:tcPr>
          <w:p w14:paraId="56D51E7D">
            <w:pPr>
              <w:pStyle w:val="133"/>
              <w:rPr>
                <w:color w:val="000000"/>
                <w:szCs w:val="21"/>
              </w:rPr>
            </w:pPr>
            <w:r>
              <w:rPr>
                <w:rFonts w:hint="eastAsia"/>
                <w:color w:val="000000"/>
                <w:szCs w:val="21"/>
              </w:rPr>
              <w:t>《炼焦化学工业大气污染物排放标准》（GB16171.1-2024）表1</w:t>
            </w:r>
          </w:p>
        </w:tc>
      </w:tr>
      <w:tr w14:paraId="503AE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0E4C6746">
            <w:pPr>
              <w:pStyle w:val="133"/>
              <w:rPr>
                <w:color w:val="EE0000"/>
                <w:szCs w:val="21"/>
              </w:rPr>
            </w:pPr>
          </w:p>
        </w:tc>
        <w:tc>
          <w:tcPr>
            <w:tcW w:w="1113" w:type="dxa"/>
            <w:vMerge w:val="continue"/>
            <w:vAlign w:val="center"/>
          </w:tcPr>
          <w:p w14:paraId="2422B0BD">
            <w:pPr>
              <w:pStyle w:val="133"/>
              <w:rPr>
                <w:color w:val="EE0000"/>
                <w:szCs w:val="21"/>
              </w:rPr>
            </w:pPr>
          </w:p>
        </w:tc>
        <w:tc>
          <w:tcPr>
            <w:tcW w:w="1139" w:type="dxa"/>
            <w:vAlign w:val="center"/>
          </w:tcPr>
          <w:p w14:paraId="61E30100">
            <w:pPr>
              <w:pStyle w:val="133"/>
              <w:rPr>
                <w:color w:val="000000"/>
                <w:szCs w:val="21"/>
              </w:rPr>
            </w:pPr>
            <w:r>
              <w:rPr>
                <w:rFonts w:hint="eastAsia"/>
                <w:color w:val="000000"/>
                <w:szCs w:val="21"/>
              </w:rPr>
              <w:t>焦棚</w:t>
            </w:r>
          </w:p>
        </w:tc>
        <w:tc>
          <w:tcPr>
            <w:tcW w:w="1284" w:type="dxa"/>
            <w:vAlign w:val="center"/>
          </w:tcPr>
          <w:p w14:paraId="5CAA3BA2">
            <w:pPr>
              <w:pStyle w:val="133"/>
              <w:rPr>
                <w:color w:val="000000"/>
                <w:szCs w:val="21"/>
              </w:rPr>
            </w:pPr>
            <w:r>
              <w:rPr>
                <w:rFonts w:hint="eastAsia"/>
                <w:color w:val="000000"/>
                <w:szCs w:val="21"/>
              </w:rPr>
              <w:t>颗粒物</w:t>
            </w:r>
          </w:p>
        </w:tc>
        <w:tc>
          <w:tcPr>
            <w:tcW w:w="713" w:type="dxa"/>
            <w:vAlign w:val="center"/>
          </w:tcPr>
          <w:p w14:paraId="09BE9F81">
            <w:pPr>
              <w:pStyle w:val="133"/>
              <w:rPr>
                <w:color w:val="000000"/>
                <w:szCs w:val="21"/>
              </w:rPr>
            </w:pPr>
            <w:r>
              <w:rPr>
                <w:rFonts w:hint="eastAsia"/>
                <w:color w:val="000000"/>
                <w:szCs w:val="21"/>
              </w:rPr>
              <w:t>无组织</w:t>
            </w:r>
          </w:p>
        </w:tc>
        <w:tc>
          <w:tcPr>
            <w:tcW w:w="1135" w:type="dxa"/>
            <w:vAlign w:val="center"/>
          </w:tcPr>
          <w:p w14:paraId="70F9CFAF">
            <w:pPr>
              <w:pStyle w:val="133"/>
              <w:rPr>
                <w:color w:val="000000"/>
                <w:szCs w:val="21"/>
              </w:rPr>
            </w:pPr>
            <w:r>
              <w:rPr>
                <w:rFonts w:hint="eastAsia"/>
                <w:color w:val="000000"/>
                <w:szCs w:val="21"/>
              </w:rPr>
              <w:t>/</w:t>
            </w:r>
          </w:p>
        </w:tc>
        <w:tc>
          <w:tcPr>
            <w:tcW w:w="996" w:type="dxa"/>
            <w:vAlign w:val="center"/>
          </w:tcPr>
          <w:p w14:paraId="3AA152C7">
            <w:pPr>
              <w:pStyle w:val="133"/>
              <w:rPr>
                <w:rFonts w:eastAsia="等线" w:cs="Times New Roman"/>
                <w:color w:val="000000"/>
                <w:szCs w:val="21"/>
              </w:rPr>
            </w:pPr>
            <w:r>
              <w:rPr>
                <w:rFonts w:hint="eastAsia" w:eastAsia="等线" w:cs="Times New Roman"/>
                <w:color w:val="000000"/>
                <w:szCs w:val="21"/>
              </w:rPr>
              <w:t>-</w:t>
            </w:r>
          </w:p>
        </w:tc>
        <w:tc>
          <w:tcPr>
            <w:tcW w:w="1139" w:type="dxa"/>
            <w:vAlign w:val="center"/>
          </w:tcPr>
          <w:p w14:paraId="59F16CD7">
            <w:pPr>
              <w:pStyle w:val="133"/>
              <w:rPr>
                <w:rFonts w:eastAsia="等线" w:cs="Times New Roman"/>
                <w:color w:val="000000"/>
                <w:szCs w:val="21"/>
              </w:rPr>
            </w:pPr>
            <w:r>
              <w:rPr>
                <w:rFonts w:hint="eastAsia" w:eastAsia="等线" w:cs="Times New Roman"/>
                <w:color w:val="000000"/>
                <w:szCs w:val="21"/>
              </w:rPr>
              <w:t>0.32</w:t>
            </w:r>
          </w:p>
        </w:tc>
        <w:tc>
          <w:tcPr>
            <w:tcW w:w="1139" w:type="dxa"/>
            <w:vAlign w:val="center"/>
          </w:tcPr>
          <w:p w14:paraId="1DE95810">
            <w:pPr>
              <w:pStyle w:val="133"/>
              <w:rPr>
                <w:color w:val="000000"/>
                <w:szCs w:val="21"/>
              </w:rPr>
            </w:pPr>
            <w:r>
              <w:rPr>
                <w:rFonts w:hint="eastAsia"/>
                <w:color w:val="000000"/>
                <w:szCs w:val="21"/>
              </w:rPr>
              <w:t>2.5</w:t>
            </w:r>
          </w:p>
        </w:tc>
        <w:tc>
          <w:tcPr>
            <w:tcW w:w="996" w:type="dxa"/>
            <w:vAlign w:val="center"/>
          </w:tcPr>
          <w:p w14:paraId="1BE41D21">
            <w:pPr>
              <w:pStyle w:val="133"/>
              <w:rPr>
                <w:color w:val="000000"/>
                <w:szCs w:val="21"/>
              </w:rPr>
            </w:pPr>
            <w:r>
              <w:rPr>
                <w:rFonts w:hint="eastAsia"/>
                <w:color w:val="000000"/>
                <w:szCs w:val="21"/>
              </w:rPr>
              <w:t>2.5</w:t>
            </w:r>
          </w:p>
        </w:tc>
        <w:tc>
          <w:tcPr>
            <w:tcW w:w="996" w:type="dxa"/>
            <w:vAlign w:val="center"/>
          </w:tcPr>
          <w:p w14:paraId="193E4120">
            <w:pPr>
              <w:pStyle w:val="133"/>
              <w:rPr>
                <w:color w:val="000000"/>
                <w:szCs w:val="21"/>
              </w:rPr>
            </w:pPr>
            <w:r>
              <w:rPr>
                <w:rFonts w:hint="eastAsia"/>
                <w:color w:val="000000"/>
                <w:szCs w:val="21"/>
              </w:rPr>
              <w:t>-</w:t>
            </w:r>
          </w:p>
        </w:tc>
        <w:tc>
          <w:tcPr>
            <w:tcW w:w="2658" w:type="dxa"/>
            <w:vAlign w:val="center"/>
          </w:tcPr>
          <w:p w14:paraId="04551CB4">
            <w:pPr>
              <w:pStyle w:val="133"/>
              <w:rPr>
                <w:color w:val="000000"/>
                <w:szCs w:val="21"/>
              </w:rPr>
            </w:pPr>
            <w:r>
              <w:rPr>
                <w:rFonts w:hint="eastAsia"/>
                <w:color w:val="000000"/>
                <w:szCs w:val="21"/>
              </w:rPr>
              <w:t>《炼焦化学工业大气污染物排放标准》（GB16171.1-2024）表1</w:t>
            </w:r>
          </w:p>
        </w:tc>
      </w:tr>
      <w:tr w14:paraId="223CE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E001E69">
            <w:pPr>
              <w:pStyle w:val="133"/>
              <w:rPr>
                <w:color w:val="EE0000"/>
                <w:szCs w:val="21"/>
              </w:rPr>
            </w:pPr>
          </w:p>
        </w:tc>
        <w:tc>
          <w:tcPr>
            <w:tcW w:w="1113" w:type="dxa"/>
            <w:vMerge w:val="continue"/>
            <w:vAlign w:val="center"/>
          </w:tcPr>
          <w:p w14:paraId="659B99BA">
            <w:pPr>
              <w:pStyle w:val="133"/>
              <w:rPr>
                <w:color w:val="EE0000"/>
                <w:szCs w:val="21"/>
              </w:rPr>
            </w:pPr>
          </w:p>
        </w:tc>
        <w:tc>
          <w:tcPr>
            <w:tcW w:w="1139" w:type="dxa"/>
            <w:vMerge w:val="restart"/>
            <w:vAlign w:val="center"/>
          </w:tcPr>
          <w:p w14:paraId="1D6570E1">
            <w:pPr>
              <w:pStyle w:val="133"/>
              <w:rPr>
                <w:color w:val="000000"/>
                <w:szCs w:val="21"/>
              </w:rPr>
            </w:pPr>
            <w:r>
              <w:rPr>
                <w:rFonts w:hint="eastAsia"/>
                <w:color w:val="000000"/>
                <w:szCs w:val="21"/>
              </w:rPr>
              <w:t>炭化炉区</w:t>
            </w:r>
          </w:p>
        </w:tc>
        <w:tc>
          <w:tcPr>
            <w:tcW w:w="1284" w:type="dxa"/>
            <w:vAlign w:val="center"/>
          </w:tcPr>
          <w:p w14:paraId="57A82853">
            <w:pPr>
              <w:pStyle w:val="133"/>
              <w:rPr>
                <w:color w:val="000000"/>
                <w:szCs w:val="21"/>
              </w:rPr>
            </w:pPr>
            <w:r>
              <w:rPr>
                <w:rFonts w:hint="eastAsia"/>
                <w:color w:val="000000"/>
                <w:szCs w:val="21"/>
              </w:rPr>
              <w:t>颗粒物</w:t>
            </w:r>
          </w:p>
        </w:tc>
        <w:tc>
          <w:tcPr>
            <w:tcW w:w="713" w:type="dxa"/>
            <w:vMerge w:val="restart"/>
            <w:vAlign w:val="center"/>
          </w:tcPr>
          <w:p w14:paraId="691FE805">
            <w:pPr>
              <w:pStyle w:val="133"/>
              <w:rPr>
                <w:color w:val="000000"/>
                <w:szCs w:val="21"/>
              </w:rPr>
            </w:pPr>
            <w:r>
              <w:rPr>
                <w:rFonts w:hint="eastAsia"/>
                <w:color w:val="000000"/>
                <w:szCs w:val="21"/>
              </w:rPr>
              <w:t>无组织</w:t>
            </w:r>
          </w:p>
        </w:tc>
        <w:tc>
          <w:tcPr>
            <w:tcW w:w="1135" w:type="dxa"/>
            <w:vMerge w:val="restart"/>
            <w:vAlign w:val="center"/>
          </w:tcPr>
          <w:p w14:paraId="0814E8ED">
            <w:pPr>
              <w:pStyle w:val="133"/>
              <w:rPr>
                <w:color w:val="000000"/>
                <w:szCs w:val="21"/>
              </w:rPr>
            </w:pPr>
            <w:r>
              <w:rPr>
                <w:rFonts w:hint="eastAsia"/>
                <w:color w:val="000000"/>
                <w:szCs w:val="21"/>
              </w:rPr>
              <w:t>/</w:t>
            </w:r>
          </w:p>
        </w:tc>
        <w:tc>
          <w:tcPr>
            <w:tcW w:w="996" w:type="dxa"/>
            <w:vAlign w:val="center"/>
          </w:tcPr>
          <w:p w14:paraId="25388F29">
            <w:pPr>
              <w:pStyle w:val="133"/>
              <w:rPr>
                <w:color w:val="000000"/>
                <w:szCs w:val="21"/>
              </w:rPr>
            </w:pPr>
            <w:r>
              <w:rPr>
                <w:rFonts w:hint="eastAsia"/>
                <w:color w:val="000000"/>
                <w:szCs w:val="21"/>
              </w:rPr>
              <w:t>-</w:t>
            </w:r>
          </w:p>
        </w:tc>
        <w:tc>
          <w:tcPr>
            <w:tcW w:w="1139" w:type="dxa"/>
            <w:vAlign w:val="center"/>
          </w:tcPr>
          <w:p w14:paraId="05D8E12E">
            <w:pPr>
              <w:pStyle w:val="133"/>
              <w:rPr>
                <w:color w:val="000000"/>
                <w:szCs w:val="21"/>
              </w:rPr>
            </w:pPr>
            <w:r>
              <w:rPr>
                <w:rFonts w:cs="Times New Roman"/>
                <w:color w:val="000000"/>
                <w:szCs w:val="21"/>
              </w:rPr>
              <w:t>0.227</w:t>
            </w:r>
          </w:p>
        </w:tc>
        <w:tc>
          <w:tcPr>
            <w:tcW w:w="1139" w:type="dxa"/>
            <w:vAlign w:val="center"/>
          </w:tcPr>
          <w:p w14:paraId="6C43478C">
            <w:pPr>
              <w:pStyle w:val="133"/>
              <w:rPr>
                <w:color w:val="000000"/>
                <w:szCs w:val="21"/>
              </w:rPr>
            </w:pPr>
            <w:r>
              <w:rPr>
                <w:rFonts w:eastAsia="等线" w:cs="Times New Roman"/>
                <w:color w:val="000000"/>
                <w:szCs w:val="21"/>
              </w:rPr>
              <w:t>0.9</w:t>
            </w:r>
            <w:r>
              <w:rPr>
                <w:rFonts w:hint="eastAsia" w:eastAsia="等线" w:cs="Times New Roman"/>
                <w:color w:val="000000"/>
                <w:szCs w:val="21"/>
              </w:rPr>
              <w:t>07</w:t>
            </w:r>
          </w:p>
        </w:tc>
        <w:tc>
          <w:tcPr>
            <w:tcW w:w="996" w:type="dxa"/>
            <w:vAlign w:val="center"/>
          </w:tcPr>
          <w:p w14:paraId="6C1CBBA5">
            <w:pPr>
              <w:pStyle w:val="133"/>
              <w:rPr>
                <w:color w:val="000000"/>
                <w:szCs w:val="21"/>
              </w:rPr>
            </w:pPr>
            <w:r>
              <w:rPr>
                <w:rFonts w:hint="eastAsia"/>
                <w:color w:val="000000"/>
                <w:szCs w:val="21"/>
              </w:rPr>
              <w:t>2.5</w:t>
            </w:r>
          </w:p>
        </w:tc>
        <w:tc>
          <w:tcPr>
            <w:tcW w:w="996" w:type="dxa"/>
            <w:vAlign w:val="center"/>
          </w:tcPr>
          <w:p w14:paraId="25579776">
            <w:pPr>
              <w:pStyle w:val="133"/>
              <w:rPr>
                <w:color w:val="000000"/>
                <w:szCs w:val="21"/>
              </w:rPr>
            </w:pPr>
            <w:r>
              <w:rPr>
                <w:rFonts w:hint="eastAsia"/>
                <w:color w:val="000000"/>
                <w:szCs w:val="21"/>
              </w:rPr>
              <w:t>-</w:t>
            </w:r>
          </w:p>
        </w:tc>
        <w:tc>
          <w:tcPr>
            <w:tcW w:w="2658" w:type="dxa"/>
            <w:vAlign w:val="center"/>
          </w:tcPr>
          <w:p w14:paraId="2C5A60B6">
            <w:pPr>
              <w:pStyle w:val="133"/>
              <w:rPr>
                <w:color w:val="000000"/>
                <w:szCs w:val="21"/>
              </w:rPr>
            </w:pPr>
            <w:r>
              <w:rPr>
                <w:rFonts w:hint="eastAsia"/>
                <w:color w:val="000000"/>
                <w:szCs w:val="21"/>
              </w:rPr>
              <w:t>《炼焦化学工业大气污染物排放标准》（GB16171.1-2024）表3</w:t>
            </w:r>
          </w:p>
        </w:tc>
      </w:tr>
      <w:tr w14:paraId="63360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673EB5D">
            <w:pPr>
              <w:pStyle w:val="133"/>
              <w:rPr>
                <w:color w:val="EE0000"/>
                <w:szCs w:val="21"/>
              </w:rPr>
            </w:pPr>
          </w:p>
        </w:tc>
        <w:tc>
          <w:tcPr>
            <w:tcW w:w="1113" w:type="dxa"/>
            <w:vMerge w:val="continue"/>
            <w:vAlign w:val="center"/>
          </w:tcPr>
          <w:p w14:paraId="78190E06">
            <w:pPr>
              <w:pStyle w:val="133"/>
              <w:rPr>
                <w:color w:val="EE0000"/>
                <w:szCs w:val="21"/>
              </w:rPr>
            </w:pPr>
          </w:p>
        </w:tc>
        <w:tc>
          <w:tcPr>
            <w:tcW w:w="1139" w:type="dxa"/>
            <w:vMerge w:val="continue"/>
            <w:vAlign w:val="center"/>
          </w:tcPr>
          <w:p w14:paraId="743BE1B4">
            <w:pPr>
              <w:pStyle w:val="133"/>
              <w:rPr>
                <w:color w:val="000000"/>
                <w:szCs w:val="21"/>
              </w:rPr>
            </w:pPr>
          </w:p>
        </w:tc>
        <w:tc>
          <w:tcPr>
            <w:tcW w:w="1284" w:type="dxa"/>
            <w:vAlign w:val="center"/>
          </w:tcPr>
          <w:p w14:paraId="384EBB64">
            <w:pPr>
              <w:pStyle w:val="133"/>
              <w:rPr>
                <w:color w:val="000000"/>
                <w:szCs w:val="21"/>
              </w:rPr>
            </w:pPr>
            <w:r>
              <w:rPr>
                <w:color w:val="000000"/>
                <w:szCs w:val="21"/>
              </w:rPr>
              <w:t>BaP</w:t>
            </w:r>
          </w:p>
        </w:tc>
        <w:tc>
          <w:tcPr>
            <w:tcW w:w="713" w:type="dxa"/>
            <w:vMerge w:val="continue"/>
            <w:vAlign w:val="center"/>
          </w:tcPr>
          <w:p w14:paraId="3F77AEB0">
            <w:pPr>
              <w:pStyle w:val="133"/>
              <w:rPr>
                <w:color w:val="000000"/>
                <w:szCs w:val="21"/>
              </w:rPr>
            </w:pPr>
          </w:p>
        </w:tc>
        <w:tc>
          <w:tcPr>
            <w:tcW w:w="1135" w:type="dxa"/>
            <w:vMerge w:val="continue"/>
            <w:vAlign w:val="center"/>
          </w:tcPr>
          <w:p w14:paraId="6D757B17">
            <w:pPr>
              <w:pStyle w:val="133"/>
              <w:rPr>
                <w:color w:val="000000"/>
                <w:szCs w:val="21"/>
              </w:rPr>
            </w:pPr>
          </w:p>
        </w:tc>
        <w:tc>
          <w:tcPr>
            <w:tcW w:w="996" w:type="dxa"/>
            <w:vAlign w:val="center"/>
          </w:tcPr>
          <w:p w14:paraId="4F000370">
            <w:pPr>
              <w:pStyle w:val="133"/>
              <w:rPr>
                <w:color w:val="000000"/>
                <w:szCs w:val="21"/>
              </w:rPr>
            </w:pPr>
            <w:r>
              <w:rPr>
                <w:rFonts w:hint="eastAsia"/>
                <w:color w:val="000000"/>
                <w:szCs w:val="21"/>
              </w:rPr>
              <w:t>-</w:t>
            </w:r>
          </w:p>
        </w:tc>
        <w:tc>
          <w:tcPr>
            <w:tcW w:w="1139" w:type="dxa"/>
            <w:vAlign w:val="center"/>
          </w:tcPr>
          <w:p w14:paraId="4E90B0AF">
            <w:pPr>
              <w:pStyle w:val="133"/>
              <w:rPr>
                <w:color w:val="000000"/>
                <w:szCs w:val="21"/>
              </w:rPr>
            </w:pPr>
            <w:r>
              <w:rPr>
                <w:rFonts w:cs="Times New Roman"/>
                <w:color w:val="000000"/>
                <w:szCs w:val="21"/>
              </w:rPr>
              <w:t>0.00000025</w:t>
            </w:r>
          </w:p>
        </w:tc>
        <w:tc>
          <w:tcPr>
            <w:tcW w:w="1139" w:type="dxa"/>
            <w:vAlign w:val="center"/>
          </w:tcPr>
          <w:p w14:paraId="1FD710FA">
            <w:pPr>
              <w:pStyle w:val="133"/>
              <w:rPr>
                <w:color w:val="000000"/>
                <w:szCs w:val="21"/>
              </w:rPr>
            </w:pPr>
            <w:r>
              <w:rPr>
                <w:rFonts w:eastAsia="等线" w:cs="Times New Roman"/>
                <w:color w:val="000000"/>
                <w:szCs w:val="21"/>
              </w:rPr>
              <w:t>0.000001</w:t>
            </w:r>
          </w:p>
        </w:tc>
        <w:tc>
          <w:tcPr>
            <w:tcW w:w="996" w:type="dxa"/>
            <w:vAlign w:val="center"/>
          </w:tcPr>
          <w:p w14:paraId="18B313C6">
            <w:pPr>
              <w:pStyle w:val="133"/>
              <w:rPr>
                <w:color w:val="000000"/>
                <w:szCs w:val="21"/>
              </w:rPr>
            </w:pPr>
            <w:r>
              <w:rPr>
                <w:rFonts w:hint="eastAsia"/>
                <w:color w:val="000000"/>
                <w:szCs w:val="21"/>
              </w:rPr>
              <w:t>2.5μ</w:t>
            </w:r>
            <w:r>
              <w:rPr>
                <w:color w:val="000000"/>
                <w:szCs w:val="21"/>
              </w:rPr>
              <w:t>g/m</w:t>
            </w:r>
            <w:r>
              <w:rPr>
                <w:color w:val="000000"/>
                <w:szCs w:val="21"/>
                <w:vertAlign w:val="superscript"/>
              </w:rPr>
              <w:t>3</w:t>
            </w:r>
          </w:p>
        </w:tc>
        <w:tc>
          <w:tcPr>
            <w:tcW w:w="996" w:type="dxa"/>
            <w:vAlign w:val="center"/>
          </w:tcPr>
          <w:p w14:paraId="290A5B50">
            <w:pPr>
              <w:pStyle w:val="133"/>
              <w:rPr>
                <w:color w:val="000000"/>
                <w:szCs w:val="21"/>
              </w:rPr>
            </w:pPr>
            <w:r>
              <w:rPr>
                <w:rFonts w:hint="eastAsia"/>
                <w:color w:val="000000"/>
                <w:szCs w:val="21"/>
              </w:rPr>
              <w:t>-</w:t>
            </w:r>
          </w:p>
        </w:tc>
        <w:tc>
          <w:tcPr>
            <w:tcW w:w="2658" w:type="dxa"/>
            <w:vAlign w:val="center"/>
          </w:tcPr>
          <w:p w14:paraId="0D5DD160">
            <w:pPr>
              <w:pStyle w:val="133"/>
              <w:rPr>
                <w:color w:val="000000"/>
                <w:szCs w:val="21"/>
              </w:rPr>
            </w:pPr>
            <w:r>
              <w:rPr>
                <w:rFonts w:hint="eastAsia"/>
                <w:color w:val="000000"/>
                <w:szCs w:val="21"/>
              </w:rPr>
              <w:t>《炼焦化学工业大气污染物排放标准》（GB16171.1-2024）表3</w:t>
            </w:r>
          </w:p>
        </w:tc>
      </w:tr>
      <w:tr w14:paraId="368B1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A454434">
            <w:pPr>
              <w:pStyle w:val="133"/>
              <w:rPr>
                <w:color w:val="EE0000"/>
                <w:szCs w:val="21"/>
              </w:rPr>
            </w:pPr>
          </w:p>
        </w:tc>
        <w:tc>
          <w:tcPr>
            <w:tcW w:w="1113" w:type="dxa"/>
            <w:vMerge w:val="continue"/>
            <w:vAlign w:val="center"/>
          </w:tcPr>
          <w:p w14:paraId="3E56598E">
            <w:pPr>
              <w:pStyle w:val="133"/>
              <w:rPr>
                <w:color w:val="EE0000"/>
                <w:szCs w:val="21"/>
              </w:rPr>
            </w:pPr>
          </w:p>
        </w:tc>
        <w:tc>
          <w:tcPr>
            <w:tcW w:w="1139" w:type="dxa"/>
            <w:vMerge w:val="continue"/>
            <w:vAlign w:val="center"/>
          </w:tcPr>
          <w:p w14:paraId="11B66E30">
            <w:pPr>
              <w:pStyle w:val="133"/>
              <w:rPr>
                <w:color w:val="000000"/>
                <w:szCs w:val="21"/>
              </w:rPr>
            </w:pPr>
          </w:p>
        </w:tc>
        <w:tc>
          <w:tcPr>
            <w:tcW w:w="1284" w:type="dxa"/>
            <w:vAlign w:val="center"/>
          </w:tcPr>
          <w:p w14:paraId="1EADD37F">
            <w:pPr>
              <w:pStyle w:val="133"/>
              <w:rPr>
                <w:color w:val="000000"/>
                <w:szCs w:val="21"/>
              </w:rPr>
            </w:pPr>
            <w:r>
              <w:rPr>
                <w:rFonts w:hint="eastAsia"/>
                <w:color w:val="000000"/>
                <w:szCs w:val="21"/>
              </w:rPr>
              <w:t>酚类</w:t>
            </w:r>
          </w:p>
        </w:tc>
        <w:tc>
          <w:tcPr>
            <w:tcW w:w="713" w:type="dxa"/>
            <w:vMerge w:val="continue"/>
            <w:vAlign w:val="center"/>
          </w:tcPr>
          <w:p w14:paraId="0D97817C">
            <w:pPr>
              <w:pStyle w:val="133"/>
              <w:rPr>
                <w:color w:val="000000"/>
                <w:szCs w:val="21"/>
              </w:rPr>
            </w:pPr>
          </w:p>
        </w:tc>
        <w:tc>
          <w:tcPr>
            <w:tcW w:w="1135" w:type="dxa"/>
            <w:vMerge w:val="continue"/>
            <w:vAlign w:val="center"/>
          </w:tcPr>
          <w:p w14:paraId="084F3D6E">
            <w:pPr>
              <w:pStyle w:val="133"/>
              <w:rPr>
                <w:color w:val="000000"/>
                <w:szCs w:val="21"/>
              </w:rPr>
            </w:pPr>
          </w:p>
        </w:tc>
        <w:tc>
          <w:tcPr>
            <w:tcW w:w="996" w:type="dxa"/>
            <w:vAlign w:val="center"/>
          </w:tcPr>
          <w:p w14:paraId="62F44E18">
            <w:pPr>
              <w:pStyle w:val="133"/>
              <w:rPr>
                <w:color w:val="000000"/>
                <w:szCs w:val="21"/>
              </w:rPr>
            </w:pPr>
            <w:r>
              <w:rPr>
                <w:rFonts w:hint="eastAsia"/>
                <w:color w:val="000000"/>
                <w:szCs w:val="21"/>
              </w:rPr>
              <w:t>-</w:t>
            </w:r>
          </w:p>
        </w:tc>
        <w:tc>
          <w:tcPr>
            <w:tcW w:w="1139" w:type="dxa"/>
            <w:vAlign w:val="center"/>
          </w:tcPr>
          <w:p w14:paraId="5164E435">
            <w:pPr>
              <w:pStyle w:val="133"/>
              <w:rPr>
                <w:color w:val="000000"/>
                <w:szCs w:val="21"/>
              </w:rPr>
            </w:pPr>
            <w:r>
              <w:rPr>
                <w:rFonts w:cs="Times New Roman"/>
                <w:color w:val="000000"/>
                <w:szCs w:val="21"/>
              </w:rPr>
              <w:t>0.000725</w:t>
            </w:r>
          </w:p>
        </w:tc>
        <w:tc>
          <w:tcPr>
            <w:tcW w:w="1139" w:type="dxa"/>
            <w:vAlign w:val="center"/>
          </w:tcPr>
          <w:p w14:paraId="269397E7">
            <w:pPr>
              <w:pStyle w:val="133"/>
              <w:rPr>
                <w:color w:val="000000"/>
                <w:szCs w:val="21"/>
              </w:rPr>
            </w:pPr>
            <w:r>
              <w:rPr>
                <w:rFonts w:eastAsia="等线" w:cs="Times New Roman"/>
                <w:color w:val="000000"/>
                <w:szCs w:val="21"/>
              </w:rPr>
              <w:t>0.0029</w:t>
            </w:r>
          </w:p>
        </w:tc>
        <w:tc>
          <w:tcPr>
            <w:tcW w:w="996" w:type="dxa"/>
            <w:vAlign w:val="center"/>
          </w:tcPr>
          <w:p w14:paraId="073739CF">
            <w:pPr>
              <w:pStyle w:val="133"/>
              <w:rPr>
                <w:color w:val="000000"/>
                <w:szCs w:val="21"/>
              </w:rPr>
            </w:pPr>
            <w:r>
              <w:rPr>
                <w:rFonts w:hint="eastAsia"/>
                <w:color w:val="000000"/>
                <w:szCs w:val="21"/>
              </w:rPr>
              <w:t>-</w:t>
            </w:r>
          </w:p>
        </w:tc>
        <w:tc>
          <w:tcPr>
            <w:tcW w:w="996" w:type="dxa"/>
            <w:vAlign w:val="center"/>
          </w:tcPr>
          <w:p w14:paraId="6CB17936">
            <w:pPr>
              <w:pStyle w:val="133"/>
              <w:rPr>
                <w:color w:val="000000"/>
                <w:szCs w:val="21"/>
              </w:rPr>
            </w:pPr>
            <w:r>
              <w:rPr>
                <w:rFonts w:hint="eastAsia"/>
                <w:color w:val="000000"/>
                <w:szCs w:val="21"/>
              </w:rPr>
              <w:t>-</w:t>
            </w:r>
          </w:p>
        </w:tc>
        <w:tc>
          <w:tcPr>
            <w:tcW w:w="2658" w:type="dxa"/>
            <w:vAlign w:val="center"/>
          </w:tcPr>
          <w:p w14:paraId="6F84039A">
            <w:pPr>
              <w:pStyle w:val="133"/>
              <w:rPr>
                <w:color w:val="000000"/>
                <w:szCs w:val="21"/>
              </w:rPr>
            </w:pPr>
            <w:r>
              <w:rPr>
                <w:rFonts w:hint="eastAsia"/>
                <w:color w:val="000000"/>
                <w:szCs w:val="21"/>
              </w:rPr>
              <w:t>-</w:t>
            </w:r>
          </w:p>
        </w:tc>
      </w:tr>
      <w:tr w14:paraId="43CE0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0D2C749">
            <w:pPr>
              <w:pStyle w:val="133"/>
              <w:rPr>
                <w:color w:val="EE0000"/>
                <w:szCs w:val="21"/>
              </w:rPr>
            </w:pPr>
          </w:p>
        </w:tc>
        <w:tc>
          <w:tcPr>
            <w:tcW w:w="1113" w:type="dxa"/>
            <w:vMerge w:val="continue"/>
            <w:vAlign w:val="center"/>
          </w:tcPr>
          <w:p w14:paraId="0133E2A3">
            <w:pPr>
              <w:pStyle w:val="133"/>
              <w:rPr>
                <w:color w:val="EE0000"/>
                <w:szCs w:val="21"/>
              </w:rPr>
            </w:pPr>
          </w:p>
        </w:tc>
        <w:tc>
          <w:tcPr>
            <w:tcW w:w="1139" w:type="dxa"/>
            <w:vMerge w:val="continue"/>
            <w:vAlign w:val="center"/>
          </w:tcPr>
          <w:p w14:paraId="3E8A33A6">
            <w:pPr>
              <w:pStyle w:val="133"/>
              <w:rPr>
                <w:color w:val="000000"/>
                <w:szCs w:val="21"/>
              </w:rPr>
            </w:pPr>
          </w:p>
        </w:tc>
        <w:tc>
          <w:tcPr>
            <w:tcW w:w="1284" w:type="dxa"/>
            <w:vAlign w:val="center"/>
          </w:tcPr>
          <w:p w14:paraId="56EC3621">
            <w:pPr>
              <w:pStyle w:val="133"/>
              <w:rPr>
                <w:color w:val="000000"/>
                <w:szCs w:val="21"/>
              </w:rPr>
            </w:pPr>
            <w:r>
              <w:rPr>
                <w:rFonts w:hint="eastAsia"/>
                <w:color w:val="000000"/>
                <w:szCs w:val="21"/>
              </w:rPr>
              <w:t>氨</w:t>
            </w:r>
          </w:p>
        </w:tc>
        <w:tc>
          <w:tcPr>
            <w:tcW w:w="713" w:type="dxa"/>
            <w:vMerge w:val="continue"/>
            <w:vAlign w:val="center"/>
          </w:tcPr>
          <w:p w14:paraId="3EE57897">
            <w:pPr>
              <w:pStyle w:val="133"/>
              <w:rPr>
                <w:color w:val="000000"/>
                <w:szCs w:val="21"/>
              </w:rPr>
            </w:pPr>
          </w:p>
        </w:tc>
        <w:tc>
          <w:tcPr>
            <w:tcW w:w="1135" w:type="dxa"/>
            <w:vMerge w:val="continue"/>
            <w:vAlign w:val="center"/>
          </w:tcPr>
          <w:p w14:paraId="04500237">
            <w:pPr>
              <w:pStyle w:val="133"/>
              <w:rPr>
                <w:color w:val="000000"/>
                <w:szCs w:val="21"/>
              </w:rPr>
            </w:pPr>
          </w:p>
        </w:tc>
        <w:tc>
          <w:tcPr>
            <w:tcW w:w="996" w:type="dxa"/>
            <w:vAlign w:val="center"/>
          </w:tcPr>
          <w:p w14:paraId="0C71A4CB">
            <w:pPr>
              <w:pStyle w:val="133"/>
              <w:rPr>
                <w:color w:val="000000"/>
                <w:szCs w:val="21"/>
              </w:rPr>
            </w:pPr>
            <w:r>
              <w:rPr>
                <w:rFonts w:hint="eastAsia"/>
                <w:color w:val="000000"/>
                <w:szCs w:val="21"/>
              </w:rPr>
              <w:t>-</w:t>
            </w:r>
          </w:p>
        </w:tc>
        <w:tc>
          <w:tcPr>
            <w:tcW w:w="1139" w:type="dxa"/>
            <w:vAlign w:val="center"/>
          </w:tcPr>
          <w:p w14:paraId="7ECBA4AF">
            <w:pPr>
              <w:pStyle w:val="133"/>
              <w:rPr>
                <w:color w:val="000000"/>
                <w:szCs w:val="21"/>
              </w:rPr>
            </w:pPr>
            <w:r>
              <w:rPr>
                <w:rFonts w:cs="Times New Roman"/>
                <w:color w:val="000000"/>
                <w:szCs w:val="21"/>
              </w:rPr>
              <w:t>0.019</w:t>
            </w:r>
          </w:p>
        </w:tc>
        <w:tc>
          <w:tcPr>
            <w:tcW w:w="1139" w:type="dxa"/>
            <w:vAlign w:val="center"/>
          </w:tcPr>
          <w:p w14:paraId="6579BC77">
            <w:pPr>
              <w:pStyle w:val="133"/>
              <w:rPr>
                <w:color w:val="000000"/>
                <w:szCs w:val="21"/>
              </w:rPr>
            </w:pPr>
            <w:r>
              <w:rPr>
                <w:rFonts w:eastAsia="等线" w:cs="Times New Roman"/>
                <w:color w:val="000000"/>
                <w:szCs w:val="21"/>
              </w:rPr>
              <w:t>0.076</w:t>
            </w:r>
          </w:p>
        </w:tc>
        <w:tc>
          <w:tcPr>
            <w:tcW w:w="996" w:type="dxa"/>
            <w:vAlign w:val="center"/>
          </w:tcPr>
          <w:p w14:paraId="0A401AD8">
            <w:pPr>
              <w:pStyle w:val="133"/>
              <w:rPr>
                <w:color w:val="000000"/>
                <w:szCs w:val="21"/>
              </w:rPr>
            </w:pPr>
            <w:r>
              <w:rPr>
                <w:rFonts w:hint="eastAsia"/>
                <w:color w:val="000000"/>
                <w:szCs w:val="21"/>
              </w:rPr>
              <w:t>2.0</w:t>
            </w:r>
          </w:p>
        </w:tc>
        <w:tc>
          <w:tcPr>
            <w:tcW w:w="996" w:type="dxa"/>
            <w:vAlign w:val="center"/>
          </w:tcPr>
          <w:p w14:paraId="58527C60">
            <w:pPr>
              <w:pStyle w:val="133"/>
              <w:rPr>
                <w:color w:val="000000"/>
                <w:szCs w:val="21"/>
              </w:rPr>
            </w:pPr>
            <w:r>
              <w:rPr>
                <w:rFonts w:hint="eastAsia"/>
                <w:color w:val="000000"/>
                <w:szCs w:val="21"/>
              </w:rPr>
              <w:t>-</w:t>
            </w:r>
          </w:p>
        </w:tc>
        <w:tc>
          <w:tcPr>
            <w:tcW w:w="2658" w:type="dxa"/>
            <w:vAlign w:val="center"/>
          </w:tcPr>
          <w:p w14:paraId="6F7A59A5">
            <w:pPr>
              <w:pStyle w:val="133"/>
              <w:rPr>
                <w:color w:val="000000"/>
                <w:szCs w:val="21"/>
              </w:rPr>
            </w:pPr>
            <w:r>
              <w:rPr>
                <w:rFonts w:hint="eastAsia"/>
                <w:color w:val="000000"/>
                <w:szCs w:val="21"/>
              </w:rPr>
              <w:t>《炼焦化学工业大气污染物排放标准》（GB16171.1-2024）表3</w:t>
            </w:r>
          </w:p>
        </w:tc>
      </w:tr>
      <w:tr w14:paraId="642CD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2393AD9">
            <w:pPr>
              <w:pStyle w:val="133"/>
              <w:rPr>
                <w:color w:val="EE0000"/>
                <w:szCs w:val="21"/>
              </w:rPr>
            </w:pPr>
          </w:p>
        </w:tc>
        <w:tc>
          <w:tcPr>
            <w:tcW w:w="1113" w:type="dxa"/>
            <w:vMerge w:val="continue"/>
            <w:vAlign w:val="center"/>
          </w:tcPr>
          <w:p w14:paraId="78936CFF">
            <w:pPr>
              <w:pStyle w:val="133"/>
              <w:rPr>
                <w:color w:val="EE0000"/>
                <w:szCs w:val="21"/>
              </w:rPr>
            </w:pPr>
          </w:p>
        </w:tc>
        <w:tc>
          <w:tcPr>
            <w:tcW w:w="1139" w:type="dxa"/>
            <w:vMerge w:val="continue"/>
            <w:vAlign w:val="center"/>
          </w:tcPr>
          <w:p w14:paraId="4AC96E7E">
            <w:pPr>
              <w:pStyle w:val="133"/>
              <w:rPr>
                <w:color w:val="000000"/>
                <w:szCs w:val="21"/>
              </w:rPr>
            </w:pPr>
          </w:p>
        </w:tc>
        <w:tc>
          <w:tcPr>
            <w:tcW w:w="1284" w:type="dxa"/>
            <w:vAlign w:val="center"/>
          </w:tcPr>
          <w:p w14:paraId="2CA0BB5B">
            <w:pPr>
              <w:pStyle w:val="133"/>
              <w:rPr>
                <w:color w:val="000000"/>
                <w:szCs w:val="21"/>
              </w:rPr>
            </w:pPr>
            <w:r>
              <w:rPr>
                <w:rFonts w:hint="eastAsia"/>
                <w:color w:val="000000"/>
                <w:szCs w:val="21"/>
              </w:rPr>
              <w:t>硫化氢</w:t>
            </w:r>
          </w:p>
        </w:tc>
        <w:tc>
          <w:tcPr>
            <w:tcW w:w="713" w:type="dxa"/>
            <w:vMerge w:val="continue"/>
            <w:vAlign w:val="center"/>
          </w:tcPr>
          <w:p w14:paraId="2D4054E5">
            <w:pPr>
              <w:pStyle w:val="133"/>
              <w:rPr>
                <w:color w:val="000000"/>
                <w:szCs w:val="21"/>
              </w:rPr>
            </w:pPr>
          </w:p>
        </w:tc>
        <w:tc>
          <w:tcPr>
            <w:tcW w:w="1135" w:type="dxa"/>
            <w:vMerge w:val="continue"/>
            <w:vAlign w:val="center"/>
          </w:tcPr>
          <w:p w14:paraId="1805AFEF">
            <w:pPr>
              <w:pStyle w:val="133"/>
              <w:rPr>
                <w:color w:val="000000"/>
                <w:szCs w:val="21"/>
              </w:rPr>
            </w:pPr>
          </w:p>
        </w:tc>
        <w:tc>
          <w:tcPr>
            <w:tcW w:w="996" w:type="dxa"/>
            <w:vAlign w:val="center"/>
          </w:tcPr>
          <w:p w14:paraId="2D3B1607">
            <w:pPr>
              <w:pStyle w:val="133"/>
              <w:rPr>
                <w:color w:val="000000"/>
                <w:szCs w:val="21"/>
              </w:rPr>
            </w:pPr>
            <w:r>
              <w:rPr>
                <w:rFonts w:hint="eastAsia"/>
                <w:color w:val="000000"/>
                <w:szCs w:val="21"/>
              </w:rPr>
              <w:t>-</w:t>
            </w:r>
          </w:p>
        </w:tc>
        <w:tc>
          <w:tcPr>
            <w:tcW w:w="1139" w:type="dxa"/>
            <w:vAlign w:val="center"/>
          </w:tcPr>
          <w:p w14:paraId="4EC8D8D8">
            <w:pPr>
              <w:pStyle w:val="133"/>
              <w:rPr>
                <w:color w:val="000000"/>
                <w:szCs w:val="21"/>
              </w:rPr>
            </w:pPr>
            <w:r>
              <w:rPr>
                <w:rFonts w:cs="Times New Roman"/>
                <w:color w:val="000000"/>
                <w:szCs w:val="21"/>
              </w:rPr>
              <w:t>0.00</w:t>
            </w:r>
            <w:r>
              <w:rPr>
                <w:rFonts w:hint="eastAsia" w:cs="Times New Roman"/>
                <w:color w:val="000000"/>
                <w:szCs w:val="21"/>
              </w:rPr>
              <w:t>3</w:t>
            </w:r>
          </w:p>
        </w:tc>
        <w:tc>
          <w:tcPr>
            <w:tcW w:w="1139" w:type="dxa"/>
            <w:vAlign w:val="center"/>
          </w:tcPr>
          <w:p w14:paraId="0A33A931">
            <w:pPr>
              <w:pStyle w:val="133"/>
              <w:rPr>
                <w:color w:val="000000"/>
                <w:szCs w:val="21"/>
              </w:rPr>
            </w:pPr>
            <w:r>
              <w:rPr>
                <w:rFonts w:eastAsia="等线" w:cs="Times New Roman"/>
                <w:color w:val="000000"/>
                <w:szCs w:val="21"/>
              </w:rPr>
              <w:t>0.02</w:t>
            </w:r>
          </w:p>
        </w:tc>
        <w:tc>
          <w:tcPr>
            <w:tcW w:w="996" w:type="dxa"/>
            <w:vAlign w:val="center"/>
          </w:tcPr>
          <w:p w14:paraId="7AEE84A7">
            <w:pPr>
              <w:pStyle w:val="133"/>
              <w:rPr>
                <w:color w:val="000000"/>
                <w:szCs w:val="21"/>
              </w:rPr>
            </w:pPr>
            <w:r>
              <w:rPr>
                <w:rFonts w:hint="eastAsia"/>
                <w:color w:val="000000"/>
                <w:szCs w:val="21"/>
              </w:rPr>
              <w:t>0.1</w:t>
            </w:r>
          </w:p>
        </w:tc>
        <w:tc>
          <w:tcPr>
            <w:tcW w:w="996" w:type="dxa"/>
            <w:vAlign w:val="center"/>
          </w:tcPr>
          <w:p w14:paraId="2B64024A">
            <w:pPr>
              <w:pStyle w:val="133"/>
              <w:rPr>
                <w:color w:val="000000"/>
                <w:szCs w:val="21"/>
              </w:rPr>
            </w:pPr>
            <w:r>
              <w:rPr>
                <w:rFonts w:hint="eastAsia"/>
                <w:color w:val="000000"/>
                <w:szCs w:val="21"/>
              </w:rPr>
              <w:t>-</w:t>
            </w:r>
          </w:p>
        </w:tc>
        <w:tc>
          <w:tcPr>
            <w:tcW w:w="2658" w:type="dxa"/>
            <w:vAlign w:val="center"/>
          </w:tcPr>
          <w:p w14:paraId="36B8A208">
            <w:pPr>
              <w:pStyle w:val="133"/>
              <w:rPr>
                <w:color w:val="000000"/>
                <w:szCs w:val="21"/>
              </w:rPr>
            </w:pPr>
            <w:r>
              <w:rPr>
                <w:rFonts w:hint="eastAsia"/>
                <w:color w:val="000000"/>
                <w:szCs w:val="21"/>
              </w:rPr>
              <w:t>《炼焦化学工业大气污染物排放标准》（GB16171.1-2024）表3</w:t>
            </w:r>
          </w:p>
        </w:tc>
      </w:tr>
      <w:tr w14:paraId="16D7DB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7FC31D0">
            <w:pPr>
              <w:pStyle w:val="133"/>
              <w:rPr>
                <w:color w:val="EE0000"/>
                <w:szCs w:val="21"/>
              </w:rPr>
            </w:pPr>
          </w:p>
        </w:tc>
        <w:tc>
          <w:tcPr>
            <w:tcW w:w="1113" w:type="dxa"/>
            <w:vMerge w:val="continue"/>
            <w:vAlign w:val="center"/>
          </w:tcPr>
          <w:p w14:paraId="110FC1B2">
            <w:pPr>
              <w:pStyle w:val="133"/>
              <w:rPr>
                <w:color w:val="EE0000"/>
                <w:szCs w:val="21"/>
              </w:rPr>
            </w:pPr>
          </w:p>
        </w:tc>
        <w:tc>
          <w:tcPr>
            <w:tcW w:w="1139" w:type="dxa"/>
            <w:vMerge w:val="continue"/>
            <w:vAlign w:val="center"/>
          </w:tcPr>
          <w:p w14:paraId="248687EE">
            <w:pPr>
              <w:pStyle w:val="133"/>
              <w:rPr>
                <w:color w:val="000000"/>
                <w:szCs w:val="21"/>
              </w:rPr>
            </w:pPr>
          </w:p>
        </w:tc>
        <w:tc>
          <w:tcPr>
            <w:tcW w:w="1284" w:type="dxa"/>
            <w:vAlign w:val="center"/>
          </w:tcPr>
          <w:p w14:paraId="58198D20">
            <w:pPr>
              <w:pStyle w:val="133"/>
              <w:rPr>
                <w:color w:val="000000"/>
                <w:szCs w:val="21"/>
              </w:rPr>
            </w:pPr>
            <w:r>
              <w:rPr>
                <w:rFonts w:hint="eastAsia"/>
                <w:color w:val="000000"/>
                <w:szCs w:val="21"/>
              </w:rPr>
              <w:t>SO</w:t>
            </w:r>
            <w:r>
              <w:rPr>
                <w:rFonts w:hint="eastAsia"/>
                <w:color w:val="000000"/>
                <w:szCs w:val="21"/>
                <w:vertAlign w:val="subscript"/>
              </w:rPr>
              <w:t>2</w:t>
            </w:r>
          </w:p>
        </w:tc>
        <w:tc>
          <w:tcPr>
            <w:tcW w:w="713" w:type="dxa"/>
            <w:vMerge w:val="continue"/>
            <w:vAlign w:val="center"/>
          </w:tcPr>
          <w:p w14:paraId="6747F265">
            <w:pPr>
              <w:pStyle w:val="133"/>
              <w:rPr>
                <w:color w:val="000000"/>
                <w:szCs w:val="21"/>
              </w:rPr>
            </w:pPr>
          </w:p>
        </w:tc>
        <w:tc>
          <w:tcPr>
            <w:tcW w:w="1135" w:type="dxa"/>
            <w:vMerge w:val="continue"/>
            <w:vAlign w:val="center"/>
          </w:tcPr>
          <w:p w14:paraId="4E2AEA80">
            <w:pPr>
              <w:pStyle w:val="133"/>
              <w:rPr>
                <w:color w:val="000000"/>
                <w:szCs w:val="21"/>
              </w:rPr>
            </w:pPr>
          </w:p>
        </w:tc>
        <w:tc>
          <w:tcPr>
            <w:tcW w:w="996" w:type="dxa"/>
            <w:vAlign w:val="center"/>
          </w:tcPr>
          <w:p w14:paraId="5F731A39">
            <w:pPr>
              <w:pStyle w:val="133"/>
              <w:rPr>
                <w:color w:val="000000"/>
                <w:szCs w:val="21"/>
              </w:rPr>
            </w:pPr>
            <w:r>
              <w:rPr>
                <w:rFonts w:hint="eastAsia"/>
                <w:color w:val="000000"/>
                <w:szCs w:val="21"/>
              </w:rPr>
              <w:t>-</w:t>
            </w:r>
          </w:p>
        </w:tc>
        <w:tc>
          <w:tcPr>
            <w:tcW w:w="1139" w:type="dxa"/>
            <w:vAlign w:val="center"/>
          </w:tcPr>
          <w:p w14:paraId="5DC1E1DC">
            <w:pPr>
              <w:pStyle w:val="133"/>
              <w:rPr>
                <w:color w:val="000000"/>
                <w:szCs w:val="21"/>
              </w:rPr>
            </w:pPr>
            <w:r>
              <w:rPr>
                <w:rFonts w:cs="Times New Roman"/>
                <w:color w:val="000000"/>
                <w:szCs w:val="21"/>
              </w:rPr>
              <w:t>1.664</w:t>
            </w:r>
          </w:p>
        </w:tc>
        <w:tc>
          <w:tcPr>
            <w:tcW w:w="1139" w:type="dxa"/>
            <w:vAlign w:val="center"/>
          </w:tcPr>
          <w:p w14:paraId="72029700">
            <w:pPr>
              <w:pStyle w:val="133"/>
              <w:rPr>
                <w:color w:val="000000"/>
                <w:szCs w:val="21"/>
              </w:rPr>
            </w:pPr>
            <w:r>
              <w:rPr>
                <w:rFonts w:hint="eastAsia" w:eastAsia="等线" w:cs="Times New Roman"/>
                <w:color w:val="000000"/>
                <w:szCs w:val="21"/>
              </w:rPr>
              <w:t>6.658</w:t>
            </w:r>
          </w:p>
        </w:tc>
        <w:tc>
          <w:tcPr>
            <w:tcW w:w="996" w:type="dxa"/>
            <w:vAlign w:val="center"/>
          </w:tcPr>
          <w:p w14:paraId="6867D249">
            <w:pPr>
              <w:pStyle w:val="133"/>
              <w:rPr>
                <w:color w:val="000000"/>
                <w:szCs w:val="21"/>
              </w:rPr>
            </w:pPr>
            <w:r>
              <w:rPr>
                <w:rFonts w:hint="eastAsia"/>
                <w:color w:val="000000"/>
                <w:szCs w:val="21"/>
              </w:rPr>
              <w:t>-</w:t>
            </w:r>
          </w:p>
        </w:tc>
        <w:tc>
          <w:tcPr>
            <w:tcW w:w="996" w:type="dxa"/>
            <w:vAlign w:val="center"/>
          </w:tcPr>
          <w:p w14:paraId="71FB1AF3">
            <w:pPr>
              <w:pStyle w:val="133"/>
              <w:rPr>
                <w:color w:val="000000"/>
                <w:szCs w:val="21"/>
              </w:rPr>
            </w:pPr>
            <w:r>
              <w:rPr>
                <w:rFonts w:hint="eastAsia"/>
                <w:color w:val="000000"/>
                <w:szCs w:val="21"/>
              </w:rPr>
              <w:t>-</w:t>
            </w:r>
          </w:p>
        </w:tc>
        <w:tc>
          <w:tcPr>
            <w:tcW w:w="2658" w:type="dxa"/>
            <w:vAlign w:val="center"/>
          </w:tcPr>
          <w:p w14:paraId="4945D3B6">
            <w:pPr>
              <w:pStyle w:val="133"/>
              <w:rPr>
                <w:color w:val="000000"/>
                <w:szCs w:val="21"/>
              </w:rPr>
            </w:pPr>
            <w:r>
              <w:rPr>
                <w:rFonts w:hint="eastAsia"/>
                <w:color w:val="000000"/>
                <w:szCs w:val="21"/>
              </w:rPr>
              <w:t>-</w:t>
            </w:r>
          </w:p>
        </w:tc>
      </w:tr>
      <w:tr w14:paraId="69DBF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211D2FB">
            <w:pPr>
              <w:pStyle w:val="133"/>
              <w:rPr>
                <w:color w:val="EE0000"/>
                <w:szCs w:val="21"/>
              </w:rPr>
            </w:pPr>
          </w:p>
        </w:tc>
        <w:tc>
          <w:tcPr>
            <w:tcW w:w="1113" w:type="dxa"/>
            <w:vMerge w:val="continue"/>
            <w:vAlign w:val="center"/>
          </w:tcPr>
          <w:p w14:paraId="30D7CE10">
            <w:pPr>
              <w:pStyle w:val="133"/>
              <w:rPr>
                <w:color w:val="EE0000"/>
                <w:szCs w:val="21"/>
              </w:rPr>
            </w:pPr>
          </w:p>
        </w:tc>
        <w:tc>
          <w:tcPr>
            <w:tcW w:w="1139" w:type="dxa"/>
            <w:vMerge w:val="restart"/>
            <w:vAlign w:val="center"/>
          </w:tcPr>
          <w:p w14:paraId="6208FE6C">
            <w:pPr>
              <w:pStyle w:val="133"/>
              <w:rPr>
                <w:color w:val="000000"/>
                <w:szCs w:val="21"/>
              </w:rPr>
            </w:pPr>
            <w:r>
              <w:rPr>
                <w:rFonts w:hint="eastAsia"/>
                <w:color w:val="000000"/>
                <w:szCs w:val="21"/>
              </w:rPr>
              <w:t>煤气净化</w:t>
            </w:r>
          </w:p>
          <w:p w14:paraId="0E15616F">
            <w:pPr>
              <w:pStyle w:val="133"/>
              <w:rPr>
                <w:color w:val="000000"/>
                <w:szCs w:val="21"/>
              </w:rPr>
            </w:pPr>
            <w:r>
              <w:rPr>
                <w:rFonts w:hint="eastAsia"/>
                <w:color w:val="000000"/>
                <w:szCs w:val="21"/>
              </w:rPr>
              <w:t>工段</w:t>
            </w:r>
          </w:p>
        </w:tc>
        <w:tc>
          <w:tcPr>
            <w:tcW w:w="1284" w:type="dxa"/>
            <w:vAlign w:val="center"/>
          </w:tcPr>
          <w:p w14:paraId="65479DE3">
            <w:pPr>
              <w:pStyle w:val="133"/>
              <w:rPr>
                <w:color w:val="000000"/>
                <w:szCs w:val="21"/>
              </w:rPr>
            </w:pPr>
            <w:r>
              <w:rPr>
                <w:color w:val="000000"/>
                <w:szCs w:val="21"/>
              </w:rPr>
              <w:t>BaP</w:t>
            </w:r>
          </w:p>
        </w:tc>
        <w:tc>
          <w:tcPr>
            <w:tcW w:w="713" w:type="dxa"/>
            <w:vMerge w:val="restart"/>
            <w:vAlign w:val="center"/>
          </w:tcPr>
          <w:p w14:paraId="07810102">
            <w:pPr>
              <w:pStyle w:val="133"/>
              <w:rPr>
                <w:color w:val="000000"/>
                <w:szCs w:val="21"/>
              </w:rPr>
            </w:pPr>
            <w:r>
              <w:rPr>
                <w:rFonts w:hint="eastAsia"/>
                <w:color w:val="000000"/>
                <w:szCs w:val="21"/>
              </w:rPr>
              <w:t>无组织</w:t>
            </w:r>
          </w:p>
        </w:tc>
        <w:tc>
          <w:tcPr>
            <w:tcW w:w="1135" w:type="dxa"/>
            <w:vMerge w:val="restart"/>
            <w:vAlign w:val="center"/>
          </w:tcPr>
          <w:p w14:paraId="7B1060A5">
            <w:pPr>
              <w:pStyle w:val="133"/>
              <w:rPr>
                <w:color w:val="000000"/>
                <w:szCs w:val="21"/>
              </w:rPr>
            </w:pPr>
            <w:r>
              <w:rPr>
                <w:rFonts w:hint="eastAsia"/>
                <w:color w:val="000000"/>
                <w:szCs w:val="21"/>
              </w:rPr>
              <w:t>/</w:t>
            </w:r>
          </w:p>
        </w:tc>
        <w:tc>
          <w:tcPr>
            <w:tcW w:w="996" w:type="dxa"/>
            <w:vAlign w:val="center"/>
          </w:tcPr>
          <w:p w14:paraId="3E589F9D">
            <w:pPr>
              <w:pStyle w:val="133"/>
              <w:rPr>
                <w:color w:val="000000"/>
                <w:szCs w:val="21"/>
              </w:rPr>
            </w:pPr>
            <w:r>
              <w:rPr>
                <w:rFonts w:hint="eastAsia"/>
                <w:color w:val="000000"/>
                <w:szCs w:val="21"/>
              </w:rPr>
              <w:t>-</w:t>
            </w:r>
          </w:p>
        </w:tc>
        <w:tc>
          <w:tcPr>
            <w:tcW w:w="1139" w:type="dxa"/>
            <w:vAlign w:val="center"/>
          </w:tcPr>
          <w:p w14:paraId="68F025AC">
            <w:pPr>
              <w:pStyle w:val="133"/>
              <w:rPr>
                <w:color w:val="000000"/>
                <w:szCs w:val="21"/>
              </w:rPr>
            </w:pPr>
            <w:r>
              <w:rPr>
                <w:rFonts w:cs="Times New Roman"/>
                <w:color w:val="000000"/>
                <w:szCs w:val="21"/>
              </w:rPr>
              <w:t>1.51515E-05</w:t>
            </w:r>
          </w:p>
        </w:tc>
        <w:tc>
          <w:tcPr>
            <w:tcW w:w="1139" w:type="dxa"/>
            <w:vAlign w:val="center"/>
          </w:tcPr>
          <w:p w14:paraId="5FE216F1">
            <w:pPr>
              <w:pStyle w:val="133"/>
              <w:rPr>
                <w:color w:val="000000"/>
                <w:szCs w:val="21"/>
              </w:rPr>
            </w:pPr>
            <w:r>
              <w:rPr>
                <w:rFonts w:eastAsia="等线" w:cs="Times New Roman"/>
                <w:color w:val="000000"/>
                <w:szCs w:val="21"/>
              </w:rPr>
              <w:t>0.00012</w:t>
            </w:r>
          </w:p>
        </w:tc>
        <w:tc>
          <w:tcPr>
            <w:tcW w:w="996" w:type="dxa"/>
            <w:vAlign w:val="center"/>
          </w:tcPr>
          <w:p w14:paraId="7F97051F">
            <w:pPr>
              <w:pStyle w:val="133"/>
              <w:rPr>
                <w:color w:val="000000"/>
                <w:szCs w:val="21"/>
              </w:rPr>
            </w:pPr>
            <w:r>
              <w:rPr>
                <w:rFonts w:hint="eastAsia"/>
                <w:color w:val="000000"/>
                <w:szCs w:val="21"/>
              </w:rPr>
              <w:t>0.01μ</w:t>
            </w:r>
            <w:r>
              <w:rPr>
                <w:color w:val="000000"/>
                <w:szCs w:val="21"/>
              </w:rPr>
              <w:t>g/m</w:t>
            </w:r>
            <w:r>
              <w:rPr>
                <w:color w:val="000000"/>
                <w:szCs w:val="21"/>
                <w:vertAlign w:val="superscript"/>
              </w:rPr>
              <w:t>3</w:t>
            </w:r>
          </w:p>
        </w:tc>
        <w:tc>
          <w:tcPr>
            <w:tcW w:w="996" w:type="dxa"/>
            <w:vAlign w:val="center"/>
          </w:tcPr>
          <w:p w14:paraId="5FAC73D7">
            <w:pPr>
              <w:pStyle w:val="133"/>
              <w:rPr>
                <w:color w:val="000000"/>
                <w:szCs w:val="21"/>
              </w:rPr>
            </w:pPr>
            <w:r>
              <w:rPr>
                <w:rFonts w:hint="eastAsia"/>
                <w:color w:val="000000"/>
                <w:szCs w:val="21"/>
              </w:rPr>
              <w:t>-</w:t>
            </w:r>
          </w:p>
        </w:tc>
        <w:tc>
          <w:tcPr>
            <w:tcW w:w="2658" w:type="dxa"/>
            <w:vAlign w:val="center"/>
          </w:tcPr>
          <w:p w14:paraId="75E4E96D">
            <w:pPr>
              <w:pStyle w:val="133"/>
              <w:rPr>
                <w:color w:val="000000"/>
                <w:szCs w:val="21"/>
              </w:rPr>
            </w:pPr>
            <w:r>
              <w:rPr>
                <w:rFonts w:hint="eastAsia"/>
                <w:color w:val="000000"/>
                <w:szCs w:val="21"/>
              </w:rPr>
              <w:t>《炼焦化学工业大气污染物排放标准》（GB16171.1-2024）表4</w:t>
            </w:r>
          </w:p>
        </w:tc>
      </w:tr>
      <w:tr w14:paraId="3B9C7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5BE8CFA">
            <w:pPr>
              <w:pStyle w:val="133"/>
              <w:rPr>
                <w:color w:val="EE0000"/>
                <w:szCs w:val="21"/>
              </w:rPr>
            </w:pPr>
          </w:p>
        </w:tc>
        <w:tc>
          <w:tcPr>
            <w:tcW w:w="1113" w:type="dxa"/>
            <w:vMerge w:val="continue"/>
            <w:vAlign w:val="center"/>
          </w:tcPr>
          <w:p w14:paraId="6A3334AD">
            <w:pPr>
              <w:pStyle w:val="133"/>
              <w:rPr>
                <w:color w:val="EE0000"/>
                <w:szCs w:val="21"/>
              </w:rPr>
            </w:pPr>
          </w:p>
        </w:tc>
        <w:tc>
          <w:tcPr>
            <w:tcW w:w="1139" w:type="dxa"/>
            <w:vMerge w:val="continue"/>
            <w:vAlign w:val="center"/>
          </w:tcPr>
          <w:p w14:paraId="4978B33A">
            <w:pPr>
              <w:pStyle w:val="133"/>
              <w:rPr>
                <w:color w:val="000000"/>
                <w:szCs w:val="21"/>
              </w:rPr>
            </w:pPr>
          </w:p>
        </w:tc>
        <w:tc>
          <w:tcPr>
            <w:tcW w:w="1284" w:type="dxa"/>
            <w:vAlign w:val="center"/>
          </w:tcPr>
          <w:p w14:paraId="3680A4DE">
            <w:pPr>
              <w:pStyle w:val="133"/>
              <w:rPr>
                <w:color w:val="000000"/>
                <w:szCs w:val="21"/>
              </w:rPr>
            </w:pPr>
            <w:r>
              <w:rPr>
                <w:rFonts w:hint="eastAsia"/>
                <w:color w:val="000000"/>
                <w:szCs w:val="21"/>
              </w:rPr>
              <w:t>氰化氢</w:t>
            </w:r>
          </w:p>
        </w:tc>
        <w:tc>
          <w:tcPr>
            <w:tcW w:w="713" w:type="dxa"/>
            <w:vMerge w:val="continue"/>
            <w:vAlign w:val="center"/>
          </w:tcPr>
          <w:p w14:paraId="0041A89A">
            <w:pPr>
              <w:pStyle w:val="133"/>
              <w:rPr>
                <w:color w:val="000000"/>
                <w:szCs w:val="21"/>
              </w:rPr>
            </w:pPr>
          </w:p>
        </w:tc>
        <w:tc>
          <w:tcPr>
            <w:tcW w:w="1135" w:type="dxa"/>
            <w:vMerge w:val="continue"/>
            <w:vAlign w:val="center"/>
          </w:tcPr>
          <w:p w14:paraId="71EDC826">
            <w:pPr>
              <w:pStyle w:val="133"/>
              <w:rPr>
                <w:color w:val="000000"/>
                <w:szCs w:val="21"/>
              </w:rPr>
            </w:pPr>
          </w:p>
        </w:tc>
        <w:tc>
          <w:tcPr>
            <w:tcW w:w="996" w:type="dxa"/>
            <w:vAlign w:val="center"/>
          </w:tcPr>
          <w:p w14:paraId="4A246074">
            <w:pPr>
              <w:pStyle w:val="133"/>
              <w:rPr>
                <w:color w:val="000000"/>
                <w:szCs w:val="21"/>
              </w:rPr>
            </w:pPr>
            <w:r>
              <w:rPr>
                <w:rFonts w:hint="eastAsia"/>
                <w:color w:val="000000"/>
                <w:szCs w:val="21"/>
              </w:rPr>
              <w:t>-</w:t>
            </w:r>
          </w:p>
        </w:tc>
        <w:tc>
          <w:tcPr>
            <w:tcW w:w="1139" w:type="dxa"/>
            <w:vAlign w:val="center"/>
          </w:tcPr>
          <w:p w14:paraId="709513BC">
            <w:pPr>
              <w:pStyle w:val="133"/>
              <w:rPr>
                <w:color w:val="000000"/>
                <w:szCs w:val="21"/>
              </w:rPr>
            </w:pPr>
            <w:r>
              <w:rPr>
                <w:rFonts w:cs="Times New Roman"/>
                <w:color w:val="000000"/>
                <w:szCs w:val="21"/>
              </w:rPr>
              <w:t>0.00011</w:t>
            </w:r>
          </w:p>
        </w:tc>
        <w:tc>
          <w:tcPr>
            <w:tcW w:w="1139" w:type="dxa"/>
            <w:vAlign w:val="center"/>
          </w:tcPr>
          <w:p w14:paraId="22230C15">
            <w:pPr>
              <w:pStyle w:val="133"/>
              <w:rPr>
                <w:color w:val="000000"/>
                <w:szCs w:val="21"/>
              </w:rPr>
            </w:pPr>
            <w:r>
              <w:rPr>
                <w:rFonts w:eastAsia="等线" w:cs="Times New Roman"/>
                <w:color w:val="000000"/>
                <w:szCs w:val="21"/>
              </w:rPr>
              <w:t>0.0009</w:t>
            </w:r>
            <w:r>
              <w:rPr>
                <w:rFonts w:hint="eastAsia" w:eastAsia="等线" w:cs="Times New Roman"/>
                <w:color w:val="000000"/>
                <w:szCs w:val="21"/>
              </w:rPr>
              <w:t>4</w:t>
            </w:r>
          </w:p>
        </w:tc>
        <w:tc>
          <w:tcPr>
            <w:tcW w:w="996" w:type="dxa"/>
            <w:vAlign w:val="center"/>
          </w:tcPr>
          <w:p w14:paraId="359353FA">
            <w:pPr>
              <w:pStyle w:val="133"/>
              <w:rPr>
                <w:color w:val="000000"/>
                <w:szCs w:val="21"/>
              </w:rPr>
            </w:pPr>
            <w:r>
              <w:rPr>
                <w:rFonts w:hint="eastAsia"/>
                <w:color w:val="000000"/>
                <w:szCs w:val="21"/>
              </w:rPr>
              <w:t>0.02</w:t>
            </w:r>
          </w:p>
        </w:tc>
        <w:tc>
          <w:tcPr>
            <w:tcW w:w="996" w:type="dxa"/>
            <w:vAlign w:val="center"/>
          </w:tcPr>
          <w:p w14:paraId="70096932">
            <w:pPr>
              <w:pStyle w:val="133"/>
              <w:rPr>
                <w:color w:val="000000"/>
                <w:szCs w:val="21"/>
              </w:rPr>
            </w:pPr>
            <w:r>
              <w:rPr>
                <w:rFonts w:hint="eastAsia"/>
                <w:color w:val="000000"/>
                <w:szCs w:val="21"/>
              </w:rPr>
              <w:t>-</w:t>
            </w:r>
          </w:p>
        </w:tc>
        <w:tc>
          <w:tcPr>
            <w:tcW w:w="2658" w:type="dxa"/>
            <w:vAlign w:val="center"/>
          </w:tcPr>
          <w:p w14:paraId="34159907">
            <w:pPr>
              <w:pStyle w:val="133"/>
              <w:rPr>
                <w:color w:val="000000"/>
                <w:szCs w:val="21"/>
              </w:rPr>
            </w:pPr>
            <w:r>
              <w:rPr>
                <w:rFonts w:hint="eastAsia"/>
                <w:color w:val="000000"/>
                <w:szCs w:val="21"/>
              </w:rPr>
              <w:t>《炼焦化学工业大气污染物排放标准》（GB16171.1-2024）表4</w:t>
            </w:r>
          </w:p>
        </w:tc>
      </w:tr>
      <w:tr w14:paraId="21FAF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B9E02A2">
            <w:pPr>
              <w:pStyle w:val="133"/>
              <w:rPr>
                <w:color w:val="EE0000"/>
                <w:szCs w:val="21"/>
              </w:rPr>
            </w:pPr>
          </w:p>
        </w:tc>
        <w:tc>
          <w:tcPr>
            <w:tcW w:w="1113" w:type="dxa"/>
            <w:vMerge w:val="continue"/>
            <w:vAlign w:val="center"/>
          </w:tcPr>
          <w:p w14:paraId="77D80A58">
            <w:pPr>
              <w:pStyle w:val="133"/>
              <w:rPr>
                <w:color w:val="EE0000"/>
                <w:szCs w:val="21"/>
              </w:rPr>
            </w:pPr>
          </w:p>
        </w:tc>
        <w:tc>
          <w:tcPr>
            <w:tcW w:w="1139" w:type="dxa"/>
            <w:vMerge w:val="continue"/>
            <w:vAlign w:val="center"/>
          </w:tcPr>
          <w:p w14:paraId="3611B7CC">
            <w:pPr>
              <w:pStyle w:val="133"/>
              <w:rPr>
                <w:color w:val="000000"/>
                <w:szCs w:val="21"/>
              </w:rPr>
            </w:pPr>
          </w:p>
        </w:tc>
        <w:tc>
          <w:tcPr>
            <w:tcW w:w="1284" w:type="dxa"/>
            <w:vAlign w:val="center"/>
          </w:tcPr>
          <w:p w14:paraId="60C4E141">
            <w:pPr>
              <w:pStyle w:val="133"/>
              <w:rPr>
                <w:color w:val="000000"/>
                <w:szCs w:val="21"/>
              </w:rPr>
            </w:pPr>
            <w:r>
              <w:rPr>
                <w:rFonts w:hint="eastAsia"/>
                <w:color w:val="000000"/>
                <w:szCs w:val="21"/>
              </w:rPr>
              <w:t>酚类</w:t>
            </w:r>
          </w:p>
        </w:tc>
        <w:tc>
          <w:tcPr>
            <w:tcW w:w="713" w:type="dxa"/>
            <w:vMerge w:val="continue"/>
            <w:vAlign w:val="center"/>
          </w:tcPr>
          <w:p w14:paraId="7C0253C6">
            <w:pPr>
              <w:pStyle w:val="133"/>
              <w:rPr>
                <w:color w:val="000000"/>
                <w:szCs w:val="21"/>
              </w:rPr>
            </w:pPr>
          </w:p>
        </w:tc>
        <w:tc>
          <w:tcPr>
            <w:tcW w:w="1135" w:type="dxa"/>
            <w:vMerge w:val="continue"/>
            <w:vAlign w:val="center"/>
          </w:tcPr>
          <w:p w14:paraId="0054D8FB">
            <w:pPr>
              <w:pStyle w:val="133"/>
              <w:rPr>
                <w:color w:val="000000"/>
                <w:szCs w:val="21"/>
              </w:rPr>
            </w:pPr>
          </w:p>
        </w:tc>
        <w:tc>
          <w:tcPr>
            <w:tcW w:w="996" w:type="dxa"/>
            <w:vAlign w:val="center"/>
          </w:tcPr>
          <w:p w14:paraId="5214C703">
            <w:pPr>
              <w:pStyle w:val="133"/>
              <w:rPr>
                <w:color w:val="000000"/>
                <w:szCs w:val="21"/>
              </w:rPr>
            </w:pPr>
            <w:r>
              <w:rPr>
                <w:rFonts w:hint="eastAsia"/>
                <w:color w:val="000000"/>
                <w:szCs w:val="21"/>
              </w:rPr>
              <w:t>-</w:t>
            </w:r>
          </w:p>
        </w:tc>
        <w:tc>
          <w:tcPr>
            <w:tcW w:w="1139" w:type="dxa"/>
            <w:vAlign w:val="center"/>
          </w:tcPr>
          <w:p w14:paraId="02238FEB">
            <w:pPr>
              <w:pStyle w:val="133"/>
              <w:rPr>
                <w:color w:val="000000"/>
                <w:szCs w:val="21"/>
              </w:rPr>
            </w:pPr>
            <w:r>
              <w:rPr>
                <w:rFonts w:cs="Times New Roman"/>
                <w:color w:val="000000"/>
                <w:szCs w:val="21"/>
              </w:rPr>
              <w:t>0.00059</w:t>
            </w:r>
          </w:p>
        </w:tc>
        <w:tc>
          <w:tcPr>
            <w:tcW w:w="1139" w:type="dxa"/>
            <w:vAlign w:val="center"/>
          </w:tcPr>
          <w:p w14:paraId="2954D35C">
            <w:pPr>
              <w:pStyle w:val="133"/>
              <w:rPr>
                <w:color w:val="000000"/>
                <w:szCs w:val="21"/>
              </w:rPr>
            </w:pPr>
            <w:r>
              <w:rPr>
                <w:rFonts w:eastAsia="等线" w:cs="Times New Roman"/>
                <w:color w:val="000000"/>
                <w:szCs w:val="21"/>
              </w:rPr>
              <w:t>0.0047</w:t>
            </w:r>
          </w:p>
        </w:tc>
        <w:tc>
          <w:tcPr>
            <w:tcW w:w="996" w:type="dxa"/>
            <w:vAlign w:val="center"/>
          </w:tcPr>
          <w:p w14:paraId="363D319D">
            <w:pPr>
              <w:pStyle w:val="133"/>
              <w:rPr>
                <w:color w:val="000000"/>
                <w:szCs w:val="21"/>
              </w:rPr>
            </w:pPr>
            <w:r>
              <w:rPr>
                <w:rFonts w:hint="eastAsia"/>
                <w:color w:val="000000"/>
                <w:szCs w:val="21"/>
              </w:rPr>
              <w:t>0.02</w:t>
            </w:r>
          </w:p>
        </w:tc>
        <w:tc>
          <w:tcPr>
            <w:tcW w:w="996" w:type="dxa"/>
            <w:vAlign w:val="center"/>
          </w:tcPr>
          <w:p w14:paraId="64A51F90">
            <w:pPr>
              <w:pStyle w:val="133"/>
              <w:rPr>
                <w:color w:val="000000"/>
                <w:szCs w:val="21"/>
              </w:rPr>
            </w:pPr>
            <w:r>
              <w:rPr>
                <w:rFonts w:hint="eastAsia"/>
                <w:color w:val="000000"/>
                <w:szCs w:val="21"/>
              </w:rPr>
              <w:t>-</w:t>
            </w:r>
          </w:p>
        </w:tc>
        <w:tc>
          <w:tcPr>
            <w:tcW w:w="2658" w:type="dxa"/>
            <w:vAlign w:val="center"/>
          </w:tcPr>
          <w:p w14:paraId="2DB8B4C0">
            <w:pPr>
              <w:pStyle w:val="133"/>
              <w:rPr>
                <w:color w:val="000000"/>
                <w:szCs w:val="21"/>
              </w:rPr>
            </w:pPr>
            <w:r>
              <w:rPr>
                <w:rFonts w:hint="eastAsia"/>
                <w:color w:val="000000"/>
                <w:szCs w:val="21"/>
              </w:rPr>
              <w:t>《炼焦化学工业大气污染物排放标准》（GB16171.1-2024）表4</w:t>
            </w:r>
          </w:p>
        </w:tc>
      </w:tr>
      <w:tr w14:paraId="51578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2EE4A3F">
            <w:pPr>
              <w:pStyle w:val="133"/>
              <w:rPr>
                <w:color w:val="EE0000"/>
                <w:szCs w:val="21"/>
              </w:rPr>
            </w:pPr>
          </w:p>
        </w:tc>
        <w:tc>
          <w:tcPr>
            <w:tcW w:w="1113" w:type="dxa"/>
            <w:vMerge w:val="continue"/>
            <w:vAlign w:val="center"/>
          </w:tcPr>
          <w:p w14:paraId="7AA33317">
            <w:pPr>
              <w:pStyle w:val="133"/>
              <w:rPr>
                <w:color w:val="EE0000"/>
                <w:szCs w:val="21"/>
              </w:rPr>
            </w:pPr>
          </w:p>
        </w:tc>
        <w:tc>
          <w:tcPr>
            <w:tcW w:w="1139" w:type="dxa"/>
            <w:vMerge w:val="continue"/>
            <w:vAlign w:val="center"/>
          </w:tcPr>
          <w:p w14:paraId="61EC023F">
            <w:pPr>
              <w:pStyle w:val="133"/>
              <w:rPr>
                <w:color w:val="000000"/>
                <w:szCs w:val="21"/>
              </w:rPr>
            </w:pPr>
          </w:p>
        </w:tc>
        <w:tc>
          <w:tcPr>
            <w:tcW w:w="1284" w:type="dxa"/>
            <w:vAlign w:val="center"/>
          </w:tcPr>
          <w:p w14:paraId="361F25B2">
            <w:pPr>
              <w:pStyle w:val="133"/>
              <w:rPr>
                <w:color w:val="000000"/>
                <w:szCs w:val="21"/>
              </w:rPr>
            </w:pPr>
            <w:r>
              <w:rPr>
                <w:rFonts w:hint="eastAsia"/>
                <w:color w:val="000000"/>
                <w:szCs w:val="21"/>
              </w:rPr>
              <w:t>氨</w:t>
            </w:r>
          </w:p>
        </w:tc>
        <w:tc>
          <w:tcPr>
            <w:tcW w:w="713" w:type="dxa"/>
            <w:vMerge w:val="continue"/>
            <w:vAlign w:val="center"/>
          </w:tcPr>
          <w:p w14:paraId="63F5EC56">
            <w:pPr>
              <w:pStyle w:val="133"/>
              <w:rPr>
                <w:color w:val="000000"/>
                <w:szCs w:val="21"/>
              </w:rPr>
            </w:pPr>
          </w:p>
        </w:tc>
        <w:tc>
          <w:tcPr>
            <w:tcW w:w="1135" w:type="dxa"/>
            <w:vMerge w:val="continue"/>
            <w:vAlign w:val="center"/>
          </w:tcPr>
          <w:p w14:paraId="6C7894CD">
            <w:pPr>
              <w:pStyle w:val="133"/>
              <w:rPr>
                <w:color w:val="000000"/>
                <w:szCs w:val="21"/>
              </w:rPr>
            </w:pPr>
          </w:p>
        </w:tc>
        <w:tc>
          <w:tcPr>
            <w:tcW w:w="996" w:type="dxa"/>
            <w:vAlign w:val="center"/>
          </w:tcPr>
          <w:p w14:paraId="68F17C73">
            <w:pPr>
              <w:pStyle w:val="133"/>
              <w:rPr>
                <w:color w:val="000000"/>
                <w:szCs w:val="21"/>
              </w:rPr>
            </w:pPr>
            <w:r>
              <w:rPr>
                <w:rFonts w:hint="eastAsia"/>
                <w:color w:val="000000"/>
                <w:szCs w:val="21"/>
              </w:rPr>
              <w:t>-</w:t>
            </w:r>
          </w:p>
        </w:tc>
        <w:tc>
          <w:tcPr>
            <w:tcW w:w="1139" w:type="dxa"/>
            <w:vAlign w:val="center"/>
          </w:tcPr>
          <w:p w14:paraId="13402AE9">
            <w:pPr>
              <w:pStyle w:val="133"/>
              <w:rPr>
                <w:color w:val="000000"/>
                <w:szCs w:val="21"/>
              </w:rPr>
            </w:pPr>
            <w:r>
              <w:rPr>
                <w:rFonts w:cs="Times New Roman"/>
                <w:color w:val="000000"/>
                <w:szCs w:val="21"/>
              </w:rPr>
              <w:t>0.0029</w:t>
            </w:r>
          </w:p>
        </w:tc>
        <w:tc>
          <w:tcPr>
            <w:tcW w:w="1139" w:type="dxa"/>
            <w:vAlign w:val="center"/>
          </w:tcPr>
          <w:p w14:paraId="1FBAEC09">
            <w:pPr>
              <w:pStyle w:val="133"/>
              <w:rPr>
                <w:color w:val="000000"/>
                <w:szCs w:val="21"/>
              </w:rPr>
            </w:pPr>
            <w:r>
              <w:rPr>
                <w:rFonts w:eastAsia="等线" w:cs="Times New Roman"/>
                <w:color w:val="000000"/>
                <w:szCs w:val="21"/>
              </w:rPr>
              <w:t>0.023</w:t>
            </w:r>
          </w:p>
        </w:tc>
        <w:tc>
          <w:tcPr>
            <w:tcW w:w="996" w:type="dxa"/>
            <w:vAlign w:val="center"/>
          </w:tcPr>
          <w:p w14:paraId="60FDE25E">
            <w:pPr>
              <w:pStyle w:val="133"/>
              <w:rPr>
                <w:color w:val="000000"/>
                <w:szCs w:val="21"/>
              </w:rPr>
            </w:pPr>
            <w:r>
              <w:rPr>
                <w:rFonts w:hint="eastAsia"/>
                <w:color w:val="000000"/>
                <w:szCs w:val="21"/>
              </w:rPr>
              <w:t>0.2</w:t>
            </w:r>
          </w:p>
        </w:tc>
        <w:tc>
          <w:tcPr>
            <w:tcW w:w="996" w:type="dxa"/>
            <w:vAlign w:val="center"/>
          </w:tcPr>
          <w:p w14:paraId="06E22CD5">
            <w:pPr>
              <w:pStyle w:val="133"/>
              <w:rPr>
                <w:color w:val="000000"/>
                <w:szCs w:val="21"/>
              </w:rPr>
            </w:pPr>
            <w:r>
              <w:rPr>
                <w:rFonts w:hint="eastAsia"/>
                <w:color w:val="000000"/>
                <w:szCs w:val="21"/>
              </w:rPr>
              <w:t>-</w:t>
            </w:r>
          </w:p>
        </w:tc>
        <w:tc>
          <w:tcPr>
            <w:tcW w:w="2658" w:type="dxa"/>
            <w:vAlign w:val="center"/>
          </w:tcPr>
          <w:p w14:paraId="2DDEA472">
            <w:pPr>
              <w:pStyle w:val="133"/>
              <w:rPr>
                <w:color w:val="000000"/>
                <w:szCs w:val="21"/>
              </w:rPr>
            </w:pPr>
            <w:r>
              <w:rPr>
                <w:rFonts w:hint="eastAsia"/>
                <w:color w:val="000000"/>
                <w:szCs w:val="21"/>
              </w:rPr>
              <w:t>《炼焦化学工业大气污染物排放标准》（GB16171.1-2024）表4</w:t>
            </w:r>
          </w:p>
        </w:tc>
      </w:tr>
      <w:tr w14:paraId="02E71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589C3D4">
            <w:pPr>
              <w:pStyle w:val="133"/>
              <w:rPr>
                <w:color w:val="EE0000"/>
                <w:szCs w:val="21"/>
              </w:rPr>
            </w:pPr>
          </w:p>
        </w:tc>
        <w:tc>
          <w:tcPr>
            <w:tcW w:w="1113" w:type="dxa"/>
            <w:vMerge w:val="continue"/>
            <w:vAlign w:val="center"/>
          </w:tcPr>
          <w:p w14:paraId="312A73D5">
            <w:pPr>
              <w:pStyle w:val="133"/>
              <w:rPr>
                <w:color w:val="EE0000"/>
                <w:szCs w:val="21"/>
              </w:rPr>
            </w:pPr>
          </w:p>
        </w:tc>
        <w:tc>
          <w:tcPr>
            <w:tcW w:w="1139" w:type="dxa"/>
            <w:vMerge w:val="continue"/>
            <w:vAlign w:val="center"/>
          </w:tcPr>
          <w:p w14:paraId="44AA87B9">
            <w:pPr>
              <w:pStyle w:val="133"/>
              <w:rPr>
                <w:color w:val="000000"/>
                <w:szCs w:val="21"/>
              </w:rPr>
            </w:pPr>
          </w:p>
        </w:tc>
        <w:tc>
          <w:tcPr>
            <w:tcW w:w="1284" w:type="dxa"/>
            <w:vAlign w:val="center"/>
          </w:tcPr>
          <w:p w14:paraId="5D2599C6">
            <w:pPr>
              <w:pStyle w:val="133"/>
              <w:rPr>
                <w:color w:val="000000"/>
                <w:szCs w:val="21"/>
              </w:rPr>
            </w:pPr>
            <w:r>
              <w:rPr>
                <w:rFonts w:hint="eastAsia"/>
                <w:color w:val="000000"/>
                <w:szCs w:val="21"/>
              </w:rPr>
              <w:t>硫化氢</w:t>
            </w:r>
          </w:p>
        </w:tc>
        <w:tc>
          <w:tcPr>
            <w:tcW w:w="713" w:type="dxa"/>
            <w:vMerge w:val="continue"/>
            <w:vAlign w:val="center"/>
          </w:tcPr>
          <w:p w14:paraId="06892B68">
            <w:pPr>
              <w:pStyle w:val="133"/>
              <w:rPr>
                <w:color w:val="000000"/>
                <w:szCs w:val="21"/>
              </w:rPr>
            </w:pPr>
          </w:p>
        </w:tc>
        <w:tc>
          <w:tcPr>
            <w:tcW w:w="1135" w:type="dxa"/>
            <w:vMerge w:val="continue"/>
            <w:vAlign w:val="center"/>
          </w:tcPr>
          <w:p w14:paraId="5752EC87">
            <w:pPr>
              <w:pStyle w:val="133"/>
              <w:rPr>
                <w:color w:val="000000"/>
                <w:szCs w:val="21"/>
              </w:rPr>
            </w:pPr>
          </w:p>
        </w:tc>
        <w:tc>
          <w:tcPr>
            <w:tcW w:w="996" w:type="dxa"/>
            <w:vAlign w:val="center"/>
          </w:tcPr>
          <w:p w14:paraId="2348D647">
            <w:pPr>
              <w:pStyle w:val="133"/>
              <w:rPr>
                <w:color w:val="000000"/>
                <w:szCs w:val="21"/>
              </w:rPr>
            </w:pPr>
            <w:r>
              <w:rPr>
                <w:rFonts w:hint="eastAsia"/>
                <w:color w:val="000000"/>
                <w:szCs w:val="21"/>
              </w:rPr>
              <w:t>-</w:t>
            </w:r>
          </w:p>
        </w:tc>
        <w:tc>
          <w:tcPr>
            <w:tcW w:w="1139" w:type="dxa"/>
            <w:vAlign w:val="center"/>
          </w:tcPr>
          <w:p w14:paraId="3C513676">
            <w:pPr>
              <w:pStyle w:val="133"/>
              <w:rPr>
                <w:color w:val="000000"/>
                <w:szCs w:val="21"/>
              </w:rPr>
            </w:pPr>
            <w:r>
              <w:rPr>
                <w:rFonts w:cs="Times New Roman"/>
                <w:color w:val="000000"/>
                <w:szCs w:val="21"/>
              </w:rPr>
              <w:t>0.00012</w:t>
            </w:r>
          </w:p>
        </w:tc>
        <w:tc>
          <w:tcPr>
            <w:tcW w:w="1139" w:type="dxa"/>
            <w:vAlign w:val="center"/>
          </w:tcPr>
          <w:p w14:paraId="12A33073">
            <w:pPr>
              <w:pStyle w:val="133"/>
              <w:rPr>
                <w:color w:val="000000"/>
                <w:szCs w:val="21"/>
              </w:rPr>
            </w:pPr>
            <w:r>
              <w:rPr>
                <w:rFonts w:eastAsia="等线" w:cs="Times New Roman"/>
                <w:color w:val="000000"/>
                <w:szCs w:val="21"/>
              </w:rPr>
              <w:t>0.001</w:t>
            </w:r>
          </w:p>
        </w:tc>
        <w:tc>
          <w:tcPr>
            <w:tcW w:w="996" w:type="dxa"/>
            <w:vAlign w:val="center"/>
          </w:tcPr>
          <w:p w14:paraId="19866E9E">
            <w:pPr>
              <w:pStyle w:val="133"/>
              <w:rPr>
                <w:color w:val="000000"/>
                <w:szCs w:val="21"/>
              </w:rPr>
            </w:pPr>
            <w:r>
              <w:rPr>
                <w:rFonts w:hint="eastAsia"/>
                <w:color w:val="000000"/>
                <w:szCs w:val="21"/>
              </w:rPr>
              <w:t>0.01</w:t>
            </w:r>
          </w:p>
        </w:tc>
        <w:tc>
          <w:tcPr>
            <w:tcW w:w="996" w:type="dxa"/>
            <w:vAlign w:val="center"/>
          </w:tcPr>
          <w:p w14:paraId="554E57C6">
            <w:pPr>
              <w:pStyle w:val="133"/>
              <w:rPr>
                <w:color w:val="000000"/>
                <w:szCs w:val="21"/>
              </w:rPr>
            </w:pPr>
            <w:r>
              <w:rPr>
                <w:rFonts w:hint="eastAsia"/>
                <w:color w:val="000000"/>
                <w:szCs w:val="21"/>
              </w:rPr>
              <w:t>-</w:t>
            </w:r>
          </w:p>
        </w:tc>
        <w:tc>
          <w:tcPr>
            <w:tcW w:w="2658" w:type="dxa"/>
            <w:vAlign w:val="center"/>
          </w:tcPr>
          <w:p w14:paraId="398A1F7F">
            <w:pPr>
              <w:pStyle w:val="133"/>
              <w:rPr>
                <w:color w:val="000000"/>
                <w:szCs w:val="21"/>
              </w:rPr>
            </w:pPr>
            <w:r>
              <w:rPr>
                <w:rFonts w:hint="eastAsia"/>
                <w:color w:val="000000"/>
                <w:szCs w:val="21"/>
              </w:rPr>
              <w:t>《炼焦化学工业大气污染物排放标准》（GB16171.1-2024）表4</w:t>
            </w:r>
          </w:p>
        </w:tc>
      </w:tr>
      <w:tr w14:paraId="0FF6A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6C7B068">
            <w:pPr>
              <w:pStyle w:val="133"/>
              <w:rPr>
                <w:color w:val="EE0000"/>
                <w:szCs w:val="21"/>
              </w:rPr>
            </w:pPr>
          </w:p>
        </w:tc>
        <w:tc>
          <w:tcPr>
            <w:tcW w:w="1113" w:type="dxa"/>
            <w:vMerge w:val="continue"/>
            <w:vAlign w:val="center"/>
          </w:tcPr>
          <w:p w14:paraId="65C77400">
            <w:pPr>
              <w:pStyle w:val="133"/>
              <w:rPr>
                <w:color w:val="EE0000"/>
                <w:szCs w:val="21"/>
              </w:rPr>
            </w:pPr>
          </w:p>
        </w:tc>
        <w:tc>
          <w:tcPr>
            <w:tcW w:w="1139" w:type="dxa"/>
            <w:vMerge w:val="continue"/>
            <w:vAlign w:val="center"/>
          </w:tcPr>
          <w:p w14:paraId="2FBA1C43">
            <w:pPr>
              <w:pStyle w:val="133"/>
              <w:rPr>
                <w:color w:val="000000"/>
                <w:szCs w:val="21"/>
              </w:rPr>
            </w:pPr>
          </w:p>
        </w:tc>
        <w:tc>
          <w:tcPr>
            <w:tcW w:w="1284" w:type="dxa"/>
            <w:vAlign w:val="center"/>
          </w:tcPr>
          <w:p w14:paraId="11DAFE46">
            <w:pPr>
              <w:pStyle w:val="133"/>
              <w:rPr>
                <w:color w:val="000000"/>
                <w:szCs w:val="21"/>
              </w:rPr>
            </w:pPr>
            <w:r>
              <w:rPr>
                <w:rFonts w:hint="eastAsia"/>
                <w:color w:val="000000"/>
                <w:szCs w:val="21"/>
              </w:rPr>
              <w:t>非甲烷总烃</w:t>
            </w:r>
          </w:p>
        </w:tc>
        <w:tc>
          <w:tcPr>
            <w:tcW w:w="713" w:type="dxa"/>
            <w:vMerge w:val="continue"/>
            <w:vAlign w:val="center"/>
          </w:tcPr>
          <w:p w14:paraId="1959854B">
            <w:pPr>
              <w:pStyle w:val="133"/>
              <w:rPr>
                <w:color w:val="000000"/>
                <w:szCs w:val="21"/>
              </w:rPr>
            </w:pPr>
          </w:p>
        </w:tc>
        <w:tc>
          <w:tcPr>
            <w:tcW w:w="1135" w:type="dxa"/>
            <w:vMerge w:val="continue"/>
            <w:vAlign w:val="center"/>
          </w:tcPr>
          <w:p w14:paraId="1A5B5B20">
            <w:pPr>
              <w:pStyle w:val="133"/>
              <w:rPr>
                <w:color w:val="000000"/>
                <w:szCs w:val="21"/>
              </w:rPr>
            </w:pPr>
          </w:p>
        </w:tc>
        <w:tc>
          <w:tcPr>
            <w:tcW w:w="996" w:type="dxa"/>
            <w:vAlign w:val="center"/>
          </w:tcPr>
          <w:p w14:paraId="3DC39C0A">
            <w:pPr>
              <w:pStyle w:val="133"/>
              <w:rPr>
                <w:color w:val="000000"/>
                <w:szCs w:val="21"/>
              </w:rPr>
            </w:pPr>
            <w:r>
              <w:rPr>
                <w:rFonts w:hint="eastAsia"/>
                <w:color w:val="000000"/>
                <w:szCs w:val="21"/>
              </w:rPr>
              <w:t>-</w:t>
            </w:r>
          </w:p>
        </w:tc>
        <w:tc>
          <w:tcPr>
            <w:tcW w:w="1139" w:type="dxa"/>
            <w:vAlign w:val="center"/>
          </w:tcPr>
          <w:p w14:paraId="1445F511">
            <w:pPr>
              <w:pStyle w:val="133"/>
              <w:rPr>
                <w:color w:val="000000"/>
                <w:szCs w:val="21"/>
              </w:rPr>
            </w:pPr>
            <w:r>
              <w:rPr>
                <w:rFonts w:cs="Times New Roman"/>
                <w:color w:val="000000"/>
                <w:szCs w:val="21"/>
              </w:rPr>
              <w:t>0.004</w:t>
            </w:r>
          </w:p>
        </w:tc>
        <w:tc>
          <w:tcPr>
            <w:tcW w:w="1139" w:type="dxa"/>
            <w:vAlign w:val="center"/>
          </w:tcPr>
          <w:p w14:paraId="5AD740F3">
            <w:pPr>
              <w:pStyle w:val="133"/>
              <w:rPr>
                <w:color w:val="000000"/>
                <w:szCs w:val="21"/>
              </w:rPr>
            </w:pPr>
            <w:r>
              <w:rPr>
                <w:rFonts w:eastAsia="等线" w:cs="Times New Roman"/>
                <w:color w:val="000000"/>
                <w:szCs w:val="21"/>
              </w:rPr>
              <w:t>0.035</w:t>
            </w:r>
          </w:p>
        </w:tc>
        <w:tc>
          <w:tcPr>
            <w:tcW w:w="996" w:type="dxa"/>
            <w:vAlign w:val="center"/>
          </w:tcPr>
          <w:p w14:paraId="0EE397D3">
            <w:pPr>
              <w:pStyle w:val="133"/>
              <w:rPr>
                <w:color w:val="000000"/>
                <w:szCs w:val="21"/>
              </w:rPr>
            </w:pPr>
            <w:r>
              <w:rPr>
                <w:rFonts w:hint="eastAsia"/>
                <w:color w:val="000000"/>
                <w:szCs w:val="21"/>
              </w:rPr>
              <w:t>-</w:t>
            </w:r>
          </w:p>
        </w:tc>
        <w:tc>
          <w:tcPr>
            <w:tcW w:w="996" w:type="dxa"/>
            <w:vAlign w:val="center"/>
          </w:tcPr>
          <w:p w14:paraId="4C44428F">
            <w:pPr>
              <w:pStyle w:val="133"/>
              <w:rPr>
                <w:color w:val="000000"/>
                <w:szCs w:val="21"/>
              </w:rPr>
            </w:pPr>
            <w:r>
              <w:rPr>
                <w:rFonts w:hint="eastAsia"/>
                <w:color w:val="000000"/>
                <w:szCs w:val="21"/>
              </w:rPr>
              <w:t>-</w:t>
            </w:r>
          </w:p>
        </w:tc>
        <w:tc>
          <w:tcPr>
            <w:tcW w:w="2658" w:type="dxa"/>
            <w:vAlign w:val="center"/>
          </w:tcPr>
          <w:p w14:paraId="71BA37AC">
            <w:pPr>
              <w:pStyle w:val="133"/>
              <w:rPr>
                <w:color w:val="000000"/>
                <w:szCs w:val="21"/>
              </w:rPr>
            </w:pPr>
            <w:r>
              <w:rPr>
                <w:rFonts w:hint="eastAsia"/>
                <w:color w:val="000000"/>
                <w:szCs w:val="21"/>
              </w:rPr>
              <w:t>-</w:t>
            </w:r>
          </w:p>
        </w:tc>
      </w:tr>
      <w:tr w14:paraId="07C5E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04387F51">
            <w:pPr>
              <w:pStyle w:val="133"/>
              <w:rPr>
                <w:color w:val="EE0000"/>
                <w:szCs w:val="21"/>
              </w:rPr>
            </w:pPr>
          </w:p>
        </w:tc>
        <w:tc>
          <w:tcPr>
            <w:tcW w:w="1113" w:type="dxa"/>
            <w:vMerge w:val="continue"/>
            <w:vAlign w:val="center"/>
          </w:tcPr>
          <w:p w14:paraId="0678E90C">
            <w:pPr>
              <w:pStyle w:val="133"/>
              <w:rPr>
                <w:color w:val="EE0000"/>
                <w:szCs w:val="21"/>
              </w:rPr>
            </w:pPr>
          </w:p>
        </w:tc>
        <w:tc>
          <w:tcPr>
            <w:tcW w:w="1139" w:type="dxa"/>
            <w:vMerge w:val="restart"/>
            <w:vAlign w:val="center"/>
          </w:tcPr>
          <w:p w14:paraId="679121B0">
            <w:pPr>
              <w:pStyle w:val="133"/>
              <w:rPr>
                <w:color w:val="000000"/>
                <w:szCs w:val="21"/>
              </w:rPr>
            </w:pPr>
            <w:r>
              <w:rPr>
                <w:rFonts w:hint="eastAsia"/>
                <w:color w:val="000000"/>
                <w:szCs w:val="21"/>
              </w:rPr>
              <w:t>焦油罐区</w:t>
            </w:r>
          </w:p>
        </w:tc>
        <w:tc>
          <w:tcPr>
            <w:tcW w:w="1284" w:type="dxa"/>
            <w:vMerge w:val="restart"/>
            <w:vAlign w:val="center"/>
          </w:tcPr>
          <w:p w14:paraId="45C63CD8">
            <w:pPr>
              <w:pStyle w:val="133"/>
              <w:rPr>
                <w:color w:val="000000"/>
                <w:szCs w:val="21"/>
              </w:rPr>
            </w:pPr>
            <w:r>
              <w:rPr>
                <w:rFonts w:hint="eastAsia"/>
                <w:color w:val="000000"/>
                <w:szCs w:val="21"/>
              </w:rPr>
              <w:t>非甲烷总烃</w:t>
            </w:r>
          </w:p>
        </w:tc>
        <w:tc>
          <w:tcPr>
            <w:tcW w:w="713" w:type="dxa"/>
            <w:vMerge w:val="restart"/>
            <w:vAlign w:val="center"/>
          </w:tcPr>
          <w:p w14:paraId="6119177D">
            <w:pPr>
              <w:pStyle w:val="133"/>
              <w:rPr>
                <w:color w:val="000000"/>
                <w:szCs w:val="21"/>
              </w:rPr>
            </w:pPr>
            <w:r>
              <w:rPr>
                <w:rFonts w:hint="eastAsia"/>
                <w:color w:val="000000"/>
                <w:szCs w:val="21"/>
              </w:rPr>
              <w:t>无组织</w:t>
            </w:r>
          </w:p>
        </w:tc>
        <w:tc>
          <w:tcPr>
            <w:tcW w:w="1135" w:type="dxa"/>
            <w:vMerge w:val="restart"/>
            <w:vAlign w:val="center"/>
          </w:tcPr>
          <w:p w14:paraId="1AA6FB44">
            <w:pPr>
              <w:pStyle w:val="133"/>
              <w:rPr>
                <w:color w:val="000000"/>
                <w:szCs w:val="21"/>
              </w:rPr>
            </w:pPr>
            <w:r>
              <w:rPr>
                <w:rFonts w:hint="eastAsia"/>
                <w:color w:val="000000"/>
                <w:szCs w:val="21"/>
              </w:rPr>
              <w:t>/</w:t>
            </w:r>
          </w:p>
        </w:tc>
        <w:tc>
          <w:tcPr>
            <w:tcW w:w="996" w:type="dxa"/>
            <w:vMerge w:val="restart"/>
            <w:vAlign w:val="center"/>
          </w:tcPr>
          <w:p w14:paraId="130225EA">
            <w:pPr>
              <w:pStyle w:val="133"/>
              <w:rPr>
                <w:color w:val="000000"/>
                <w:szCs w:val="21"/>
              </w:rPr>
            </w:pPr>
            <w:r>
              <w:rPr>
                <w:rFonts w:hint="eastAsia"/>
                <w:color w:val="000000"/>
                <w:szCs w:val="21"/>
              </w:rPr>
              <w:t>-</w:t>
            </w:r>
          </w:p>
        </w:tc>
        <w:tc>
          <w:tcPr>
            <w:tcW w:w="1139" w:type="dxa"/>
            <w:vMerge w:val="restart"/>
            <w:vAlign w:val="center"/>
          </w:tcPr>
          <w:p w14:paraId="54753D0D">
            <w:pPr>
              <w:pStyle w:val="133"/>
              <w:rPr>
                <w:color w:val="000000"/>
                <w:szCs w:val="21"/>
              </w:rPr>
            </w:pPr>
            <w:r>
              <w:rPr>
                <w:rFonts w:cs="Times New Roman"/>
                <w:color w:val="000000"/>
                <w:szCs w:val="21"/>
              </w:rPr>
              <w:t>0.0</w:t>
            </w:r>
            <w:r>
              <w:rPr>
                <w:rFonts w:hint="eastAsia" w:cs="Times New Roman"/>
                <w:color w:val="000000"/>
                <w:szCs w:val="21"/>
              </w:rPr>
              <w:t>9</w:t>
            </w:r>
          </w:p>
        </w:tc>
        <w:tc>
          <w:tcPr>
            <w:tcW w:w="1139" w:type="dxa"/>
            <w:vMerge w:val="restart"/>
            <w:vAlign w:val="center"/>
          </w:tcPr>
          <w:p w14:paraId="30B3FAA8">
            <w:pPr>
              <w:pStyle w:val="133"/>
              <w:rPr>
                <w:color w:val="000000"/>
                <w:szCs w:val="21"/>
              </w:rPr>
            </w:pPr>
            <w:r>
              <w:rPr>
                <w:rFonts w:hint="eastAsia" w:eastAsia="等线" w:cs="Times New Roman"/>
                <w:color w:val="000000"/>
                <w:szCs w:val="21"/>
              </w:rPr>
              <w:t>0.715</w:t>
            </w:r>
          </w:p>
        </w:tc>
        <w:tc>
          <w:tcPr>
            <w:tcW w:w="996" w:type="dxa"/>
            <w:vAlign w:val="center"/>
          </w:tcPr>
          <w:p w14:paraId="03A3DE32">
            <w:pPr>
              <w:pStyle w:val="133"/>
              <w:rPr>
                <w:color w:val="000000"/>
                <w:szCs w:val="21"/>
              </w:rPr>
            </w:pPr>
            <w:r>
              <w:rPr>
                <w:rFonts w:hint="eastAsia"/>
                <w:color w:val="000000"/>
                <w:szCs w:val="21"/>
              </w:rPr>
              <w:t>4</w:t>
            </w:r>
          </w:p>
        </w:tc>
        <w:tc>
          <w:tcPr>
            <w:tcW w:w="996" w:type="dxa"/>
            <w:vAlign w:val="center"/>
          </w:tcPr>
          <w:p w14:paraId="408FCB80">
            <w:pPr>
              <w:pStyle w:val="133"/>
              <w:rPr>
                <w:color w:val="000000"/>
                <w:szCs w:val="21"/>
              </w:rPr>
            </w:pPr>
            <w:r>
              <w:rPr>
                <w:rFonts w:hint="eastAsia"/>
                <w:color w:val="000000"/>
                <w:szCs w:val="21"/>
              </w:rPr>
              <w:t>-</w:t>
            </w:r>
          </w:p>
        </w:tc>
        <w:tc>
          <w:tcPr>
            <w:tcW w:w="2658" w:type="dxa"/>
            <w:vAlign w:val="center"/>
          </w:tcPr>
          <w:p w14:paraId="677ED533">
            <w:pPr>
              <w:pStyle w:val="133"/>
              <w:rPr>
                <w:color w:val="000000"/>
                <w:szCs w:val="21"/>
              </w:rPr>
            </w:pPr>
            <w:r>
              <w:rPr>
                <w:rFonts w:hint="eastAsia"/>
                <w:color w:val="000000"/>
                <w:szCs w:val="21"/>
              </w:rPr>
              <w:t>厂界执行《大气污染物综合排放标准》（GB 16297-1996）中表2</w:t>
            </w:r>
          </w:p>
        </w:tc>
      </w:tr>
      <w:tr w14:paraId="1DD2C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4F55D0F4">
            <w:pPr>
              <w:pStyle w:val="133"/>
              <w:rPr>
                <w:color w:val="EE0000"/>
                <w:szCs w:val="21"/>
              </w:rPr>
            </w:pPr>
          </w:p>
        </w:tc>
        <w:tc>
          <w:tcPr>
            <w:tcW w:w="1113" w:type="dxa"/>
            <w:vMerge w:val="continue"/>
            <w:vAlign w:val="center"/>
          </w:tcPr>
          <w:p w14:paraId="2A3E0DD0">
            <w:pPr>
              <w:pStyle w:val="133"/>
              <w:rPr>
                <w:color w:val="EE0000"/>
                <w:szCs w:val="21"/>
              </w:rPr>
            </w:pPr>
          </w:p>
        </w:tc>
        <w:tc>
          <w:tcPr>
            <w:tcW w:w="1139" w:type="dxa"/>
            <w:vMerge w:val="continue"/>
            <w:vAlign w:val="center"/>
          </w:tcPr>
          <w:p w14:paraId="29A4B0FE">
            <w:pPr>
              <w:pStyle w:val="133"/>
              <w:rPr>
                <w:color w:val="000000"/>
                <w:szCs w:val="21"/>
              </w:rPr>
            </w:pPr>
          </w:p>
        </w:tc>
        <w:tc>
          <w:tcPr>
            <w:tcW w:w="1284" w:type="dxa"/>
            <w:vMerge w:val="continue"/>
            <w:vAlign w:val="center"/>
          </w:tcPr>
          <w:p w14:paraId="2E26BE3E">
            <w:pPr>
              <w:pStyle w:val="133"/>
              <w:rPr>
                <w:color w:val="000000"/>
                <w:szCs w:val="21"/>
              </w:rPr>
            </w:pPr>
          </w:p>
        </w:tc>
        <w:tc>
          <w:tcPr>
            <w:tcW w:w="713" w:type="dxa"/>
            <w:vMerge w:val="continue"/>
            <w:vAlign w:val="center"/>
          </w:tcPr>
          <w:p w14:paraId="1F5D0C52">
            <w:pPr>
              <w:pStyle w:val="133"/>
              <w:rPr>
                <w:color w:val="000000"/>
                <w:szCs w:val="21"/>
              </w:rPr>
            </w:pPr>
          </w:p>
        </w:tc>
        <w:tc>
          <w:tcPr>
            <w:tcW w:w="1135" w:type="dxa"/>
            <w:vMerge w:val="continue"/>
            <w:vAlign w:val="center"/>
          </w:tcPr>
          <w:p w14:paraId="4FAE5751">
            <w:pPr>
              <w:pStyle w:val="133"/>
              <w:rPr>
                <w:color w:val="000000"/>
                <w:szCs w:val="21"/>
              </w:rPr>
            </w:pPr>
          </w:p>
        </w:tc>
        <w:tc>
          <w:tcPr>
            <w:tcW w:w="996" w:type="dxa"/>
            <w:vMerge w:val="continue"/>
            <w:vAlign w:val="center"/>
          </w:tcPr>
          <w:p w14:paraId="6E589ABC">
            <w:pPr>
              <w:pStyle w:val="133"/>
              <w:rPr>
                <w:color w:val="000000"/>
                <w:szCs w:val="21"/>
              </w:rPr>
            </w:pPr>
          </w:p>
        </w:tc>
        <w:tc>
          <w:tcPr>
            <w:tcW w:w="1139" w:type="dxa"/>
            <w:vMerge w:val="continue"/>
            <w:vAlign w:val="center"/>
          </w:tcPr>
          <w:p w14:paraId="5835161B">
            <w:pPr>
              <w:pStyle w:val="133"/>
              <w:rPr>
                <w:rFonts w:cs="Times New Roman"/>
                <w:color w:val="000000"/>
                <w:szCs w:val="21"/>
              </w:rPr>
            </w:pPr>
          </w:p>
        </w:tc>
        <w:tc>
          <w:tcPr>
            <w:tcW w:w="1139" w:type="dxa"/>
            <w:vMerge w:val="continue"/>
            <w:vAlign w:val="center"/>
          </w:tcPr>
          <w:p w14:paraId="079DF4BC">
            <w:pPr>
              <w:pStyle w:val="133"/>
              <w:rPr>
                <w:rFonts w:eastAsia="等线" w:cs="Times New Roman"/>
                <w:color w:val="000000"/>
                <w:szCs w:val="21"/>
              </w:rPr>
            </w:pPr>
          </w:p>
        </w:tc>
        <w:tc>
          <w:tcPr>
            <w:tcW w:w="996" w:type="dxa"/>
            <w:vAlign w:val="center"/>
          </w:tcPr>
          <w:p w14:paraId="51C28B7D">
            <w:pPr>
              <w:pStyle w:val="133"/>
              <w:rPr>
                <w:color w:val="000000"/>
                <w:szCs w:val="21"/>
              </w:rPr>
            </w:pPr>
            <w:r>
              <w:rPr>
                <w:rFonts w:hint="eastAsia"/>
                <w:color w:val="000000"/>
                <w:szCs w:val="21"/>
              </w:rPr>
              <w:t>10</w:t>
            </w:r>
          </w:p>
        </w:tc>
        <w:tc>
          <w:tcPr>
            <w:tcW w:w="996" w:type="dxa"/>
            <w:vAlign w:val="center"/>
          </w:tcPr>
          <w:p w14:paraId="2F6E2748">
            <w:pPr>
              <w:pStyle w:val="133"/>
              <w:rPr>
                <w:color w:val="000000"/>
                <w:szCs w:val="21"/>
              </w:rPr>
            </w:pPr>
            <w:r>
              <w:rPr>
                <w:rFonts w:hint="eastAsia"/>
                <w:color w:val="000000"/>
                <w:szCs w:val="21"/>
              </w:rPr>
              <w:t>-</w:t>
            </w:r>
          </w:p>
        </w:tc>
        <w:tc>
          <w:tcPr>
            <w:tcW w:w="2658" w:type="dxa"/>
            <w:vMerge w:val="restart"/>
            <w:vAlign w:val="center"/>
          </w:tcPr>
          <w:p w14:paraId="2FE5CC13">
            <w:pPr>
              <w:pStyle w:val="133"/>
              <w:rPr>
                <w:color w:val="000000"/>
                <w:szCs w:val="21"/>
              </w:rPr>
            </w:pPr>
            <w:r>
              <w:rPr>
                <w:rFonts w:hint="eastAsia"/>
                <w:color w:val="000000"/>
                <w:szCs w:val="21"/>
              </w:rPr>
              <w:t>厂区内执行《挥发性有机物无组织排放控制标准》（GB 37822-2019）表A.1</w:t>
            </w:r>
          </w:p>
        </w:tc>
      </w:tr>
      <w:tr w14:paraId="2BBA0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99D345B">
            <w:pPr>
              <w:pStyle w:val="133"/>
              <w:rPr>
                <w:color w:val="EE0000"/>
                <w:szCs w:val="21"/>
              </w:rPr>
            </w:pPr>
          </w:p>
        </w:tc>
        <w:tc>
          <w:tcPr>
            <w:tcW w:w="1113" w:type="dxa"/>
            <w:vMerge w:val="continue"/>
            <w:vAlign w:val="center"/>
          </w:tcPr>
          <w:p w14:paraId="5EEE46AC">
            <w:pPr>
              <w:pStyle w:val="133"/>
              <w:rPr>
                <w:color w:val="EE0000"/>
                <w:szCs w:val="21"/>
              </w:rPr>
            </w:pPr>
          </w:p>
        </w:tc>
        <w:tc>
          <w:tcPr>
            <w:tcW w:w="1139" w:type="dxa"/>
            <w:vMerge w:val="continue"/>
            <w:vAlign w:val="center"/>
          </w:tcPr>
          <w:p w14:paraId="761A167D">
            <w:pPr>
              <w:pStyle w:val="133"/>
              <w:rPr>
                <w:color w:val="000000"/>
                <w:szCs w:val="21"/>
              </w:rPr>
            </w:pPr>
          </w:p>
        </w:tc>
        <w:tc>
          <w:tcPr>
            <w:tcW w:w="1284" w:type="dxa"/>
            <w:vMerge w:val="continue"/>
            <w:vAlign w:val="center"/>
          </w:tcPr>
          <w:p w14:paraId="61DDA9BA">
            <w:pPr>
              <w:pStyle w:val="133"/>
              <w:rPr>
                <w:color w:val="000000"/>
                <w:szCs w:val="21"/>
              </w:rPr>
            </w:pPr>
          </w:p>
        </w:tc>
        <w:tc>
          <w:tcPr>
            <w:tcW w:w="713" w:type="dxa"/>
            <w:vMerge w:val="continue"/>
            <w:vAlign w:val="center"/>
          </w:tcPr>
          <w:p w14:paraId="0FC52934">
            <w:pPr>
              <w:pStyle w:val="133"/>
              <w:rPr>
                <w:color w:val="000000"/>
                <w:szCs w:val="21"/>
              </w:rPr>
            </w:pPr>
          </w:p>
        </w:tc>
        <w:tc>
          <w:tcPr>
            <w:tcW w:w="1135" w:type="dxa"/>
            <w:vMerge w:val="continue"/>
            <w:vAlign w:val="center"/>
          </w:tcPr>
          <w:p w14:paraId="19CA6132">
            <w:pPr>
              <w:pStyle w:val="133"/>
              <w:rPr>
                <w:color w:val="000000"/>
                <w:szCs w:val="21"/>
              </w:rPr>
            </w:pPr>
          </w:p>
        </w:tc>
        <w:tc>
          <w:tcPr>
            <w:tcW w:w="996" w:type="dxa"/>
            <w:vMerge w:val="continue"/>
            <w:vAlign w:val="center"/>
          </w:tcPr>
          <w:p w14:paraId="03FF8293">
            <w:pPr>
              <w:pStyle w:val="133"/>
              <w:rPr>
                <w:color w:val="000000"/>
                <w:szCs w:val="21"/>
              </w:rPr>
            </w:pPr>
          </w:p>
        </w:tc>
        <w:tc>
          <w:tcPr>
            <w:tcW w:w="1139" w:type="dxa"/>
            <w:vMerge w:val="continue"/>
            <w:vAlign w:val="center"/>
          </w:tcPr>
          <w:p w14:paraId="7C40F8D9">
            <w:pPr>
              <w:pStyle w:val="133"/>
              <w:rPr>
                <w:rFonts w:cs="Times New Roman"/>
                <w:color w:val="000000"/>
                <w:szCs w:val="21"/>
              </w:rPr>
            </w:pPr>
          </w:p>
        </w:tc>
        <w:tc>
          <w:tcPr>
            <w:tcW w:w="1139" w:type="dxa"/>
            <w:vMerge w:val="continue"/>
            <w:vAlign w:val="center"/>
          </w:tcPr>
          <w:p w14:paraId="6397868E">
            <w:pPr>
              <w:pStyle w:val="133"/>
              <w:rPr>
                <w:rFonts w:eastAsia="等线" w:cs="Times New Roman"/>
                <w:color w:val="000000"/>
                <w:szCs w:val="21"/>
              </w:rPr>
            </w:pPr>
          </w:p>
        </w:tc>
        <w:tc>
          <w:tcPr>
            <w:tcW w:w="996" w:type="dxa"/>
            <w:vAlign w:val="center"/>
          </w:tcPr>
          <w:p w14:paraId="4711DAD0">
            <w:pPr>
              <w:pStyle w:val="133"/>
              <w:rPr>
                <w:color w:val="000000"/>
                <w:szCs w:val="21"/>
              </w:rPr>
            </w:pPr>
            <w:r>
              <w:rPr>
                <w:rFonts w:hint="eastAsia"/>
                <w:color w:val="000000"/>
                <w:szCs w:val="21"/>
              </w:rPr>
              <w:t>30</w:t>
            </w:r>
          </w:p>
        </w:tc>
        <w:tc>
          <w:tcPr>
            <w:tcW w:w="996" w:type="dxa"/>
            <w:vAlign w:val="center"/>
          </w:tcPr>
          <w:p w14:paraId="1304469D">
            <w:pPr>
              <w:pStyle w:val="133"/>
              <w:rPr>
                <w:color w:val="000000"/>
                <w:szCs w:val="21"/>
              </w:rPr>
            </w:pPr>
            <w:r>
              <w:rPr>
                <w:rFonts w:hint="eastAsia"/>
                <w:color w:val="000000"/>
                <w:szCs w:val="21"/>
              </w:rPr>
              <w:t>-</w:t>
            </w:r>
          </w:p>
        </w:tc>
        <w:tc>
          <w:tcPr>
            <w:tcW w:w="2658" w:type="dxa"/>
            <w:vMerge w:val="continue"/>
            <w:vAlign w:val="center"/>
          </w:tcPr>
          <w:p w14:paraId="2615C1D7">
            <w:pPr>
              <w:pStyle w:val="133"/>
              <w:rPr>
                <w:color w:val="000000"/>
                <w:szCs w:val="21"/>
              </w:rPr>
            </w:pPr>
          </w:p>
        </w:tc>
      </w:tr>
      <w:tr w14:paraId="0AAD7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BF361C7">
            <w:pPr>
              <w:pStyle w:val="133"/>
              <w:rPr>
                <w:color w:val="EE0000"/>
                <w:szCs w:val="21"/>
              </w:rPr>
            </w:pPr>
          </w:p>
        </w:tc>
        <w:tc>
          <w:tcPr>
            <w:tcW w:w="1113" w:type="dxa"/>
            <w:vMerge w:val="continue"/>
            <w:vAlign w:val="center"/>
          </w:tcPr>
          <w:p w14:paraId="62FAC2B1">
            <w:pPr>
              <w:pStyle w:val="133"/>
              <w:rPr>
                <w:color w:val="EE0000"/>
                <w:szCs w:val="21"/>
              </w:rPr>
            </w:pPr>
          </w:p>
        </w:tc>
        <w:tc>
          <w:tcPr>
            <w:tcW w:w="1139" w:type="dxa"/>
            <w:vMerge w:val="restart"/>
            <w:vAlign w:val="center"/>
          </w:tcPr>
          <w:p w14:paraId="490BF15E">
            <w:pPr>
              <w:pStyle w:val="133"/>
              <w:rPr>
                <w:color w:val="000000"/>
                <w:szCs w:val="21"/>
              </w:rPr>
            </w:pPr>
            <w:r>
              <w:rPr>
                <w:rFonts w:hint="eastAsia"/>
                <w:color w:val="000000"/>
                <w:szCs w:val="21"/>
              </w:rPr>
              <w:t>装车站</w:t>
            </w:r>
          </w:p>
        </w:tc>
        <w:tc>
          <w:tcPr>
            <w:tcW w:w="1284" w:type="dxa"/>
            <w:vMerge w:val="restart"/>
            <w:vAlign w:val="center"/>
          </w:tcPr>
          <w:p w14:paraId="6A3780A8">
            <w:pPr>
              <w:pStyle w:val="133"/>
              <w:rPr>
                <w:color w:val="000000"/>
                <w:szCs w:val="21"/>
              </w:rPr>
            </w:pPr>
            <w:r>
              <w:rPr>
                <w:rFonts w:hint="eastAsia"/>
                <w:color w:val="000000"/>
                <w:szCs w:val="21"/>
              </w:rPr>
              <w:t>非甲烷总烃</w:t>
            </w:r>
          </w:p>
        </w:tc>
        <w:tc>
          <w:tcPr>
            <w:tcW w:w="713" w:type="dxa"/>
            <w:vMerge w:val="restart"/>
            <w:vAlign w:val="center"/>
          </w:tcPr>
          <w:p w14:paraId="6E4FA13E">
            <w:pPr>
              <w:pStyle w:val="133"/>
              <w:rPr>
                <w:color w:val="000000"/>
                <w:szCs w:val="21"/>
              </w:rPr>
            </w:pPr>
            <w:r>
              <w:rPr>
                <w:rFonts w:hint="eastAsia"/>
                <w:color w:val="000000"/>
                <w:szCs w:val="21"/>
              </w:rPr>
              <w:t>无组织</w:t>
            </w:r>
          </w:p>
        </w:tc>
        <w:tc>
          <w:tcPr>
            <w:tcW w:w="1135" w:type="dxa"/>
            <w:vMerge w:val="restart"/>
            <w:vAlign w:val="center"/>
          </w:tcPr>
          <w:p w14:paraId="7FE9BD28">
            <w:pPr>
              <w:pStyle w:val="133"/>
              <w:rPr>
                <w:color w:val="000000"/>
                <w:szCs w:val="21"/>
              </w:rPr>
            </w:pPr>
            <w:r>
              <w:rPr>
                <w:rFonts w:hint="eastAsia"/>
                <w:color w:val="000000"/>
                <w:szCs w:val="21"/>
              </w:rPr>
              <w:t>/</w:t>
            </w:r>
          </w:p>
        </w:tc>
        <w:tc>
          <w:tcPr>
            <w:tcW w:w="996" w:type="dxa"/>
            <w:vMerge w:val="restart"/>
            <w:vAlign w:val="center"/>
          </w:tcPr>
          <w:p w14:paraId="450AAEA1">
            <w:pPr>
              <w:pStyle w:val="133"/>
              <w:rPr>
                <w:color w:val="000000"/>
                <w:szCs w:val="21"/>
              </w:rPr>
            </w:pPr>
            <w:r>
              <w:rPr>
                <w:rFonts w:hint="eastAsia"/>
                <w:color w:val="000000"/>
                <w:szCs w:val="21"/>
              </w:rPr>
              <w:t>-</w:t>
            </w:r>
          </w:p>
        </w:tc>
        <w:tc>
          <w:tcPr>
            <w:tcW w:w="1139" w:type="dxa"/>
            <w:vMerge w:val="restart"/>
            <w:vAlign w:val="center"/>
          </w:tcPr>
          <w:p w14:paraId="45DA1D25">
            <w:pPr>
              <w:pStyle w:val="133"/>
              <w:rPr>
                <w:color w:val="000000"/>
                <w:szCs w:val="21"/>
              </w:rPr>
            </w:pPr>
            <w:r>
              <w:rPr>
                <w:rFonts w:hint="eastAsia" w:cs="Times New Roman"/>
                <w:color w:val="000000"/>
                <w:szCs w:val="21"/>
              </w:rPr>
              <w:t>0.039</w:t>
            </w:r>
          </w:p>
        </w:tc>
        <w:tc>
          <w:tcPr>
            <w:tcW w:w="1139" w:type="dxa"/>
            <w:vMerge w:val="restart"/>
            <w:vAlign w:val="center"/>
          </w:tcPr>
          <w:p w14:paraId="5B9CF94B">
            <w:pPr>
              <w:pStyle w:val="133"/>
              <w:rPr>
                <w:color w:val="000000"/>
                <w:szCs w:val="21"/>
              </w:rPr>
            </w:pPr>
            <w:r>
              <w:rPr>
                <w:rFonts w:hint="eastAsia" w:eastAsia="等线" w:cs="Times New Roman"/>
                <w:color w:val="000000"/>
                <w:szCs w:val="21"/>
              </w:rPr>
              <w:t>0.305</w:t>
            </w:r>
          </w:p>
        </w:tc>
        <w:tc>
          <w:tcPr>
            <w:tcW w:w="996" w:type="dxa"/>
            <w:vAlign w:val="center"/>
          </w:tcPr>
          <w:p w14:paraId="30149ED2">
            <w:pPr>
              <w:pStyle w:val="133"/>
              <w:rPr>
                <w:color w:val="000000"/>
                <w:szCs w:val="21"/>
              </w:rPr>
            </w:pPr>
            <w:r>
              <w:rPr>
                <w:rFonts w:hint="eastAsia"/>
                <w:color w:val="000000"/>
                <w:szCs w:val="21"/>
              </w:rPr>
              <w:t>4</w:t>
            </w:r>
          </w:p>
        </w:tc>
        <w:tc>
          <w:tcPr>
            <w:tcW w:w="996" w:type="dxa"/>
            <w:vAlign w:val="center"/>
          </w:tcPr>
          <w:p w14:paraId="221D9956">
            <w:pPr>
              <w:pStyle w:val="133"/>
              <w:rPr>
                <w:color w:val="000000"/>
                <w:szCs w:val="21"/>
              </w:rPr>
            </w:pPr>
            <w:r>
              <w:rPr>
                <w:rFonts w:hint="eastAsia"/>
                <w:color w:val="000000"/>
                <w:szCs w:val="21"/>
              </w:rPr>
              <w:t>-</w:t>
            </w:r>
          </w:p>
        </w:tc>
        <w:tc>
          <w:tcPr>
            <w:tcW w:w="2658" w:type="dxa"/>
            <w:vAlign w:val="center"/>
          </w:tcPr>
          <w:p w14:paraId="649030D0">
            <w:pPr>
              <w:pStyle w:val="133"/>
              <w:rPr>
                <w:color w:val="000000"/>
                <w:szCs w:val="21"/>
              </w:rPr>
            </w:pPr>
            <w:r>
              <w:rPr>
                <w:rFonts w:hint="eastAsia"/>
                <w:color w:val="000000"/>
                <w:szCs w:val="21"/>
              </w:rPr>
              <w:t>厂界执行《大气污染物综合排放标准》（GB 16297-1996）中表2</w:t>
            </w:r>
          </w:p>
        </w:tc>
      </w:tr>
      <w:tr w14:paraId="37C54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C49D8E9">
            <w:pPr>
              <w:pStyle w:val="133"/>
              <w:rPr>
                <w:color w:val="EE0000"/>
                <w:szCs w:val="21"/>
              </w:rPr>
            </w:pPr>
          </w:p>
        </w:tc>
        <w:tc>
          <w:tcPr>
            <w:tcW w:w="1113" w:type="dxa"/>
            <w:vMerge w:val="continue"/>
            <w:vAlign w:val="center"/>
          </w:tcPr>
          <w:p w14:paraId="781323FB">
            <w:pPr>
              <w:pStyle w:val="133"/>
              <w:rPr>
                <w:color w:val="EE0000"/>
                <w:szCs w:val="21"/>
              </w:rPr>
            </w:pPr>
          </w:p>
        </w:tc>
        <w:tc>
          <w:tcPr>
            <w:tcW w:w="1139" w:type="dxa"/>
            <w:vMerge w:val="continue"/>
            <w:vAlign w:val="center"/>
          </w:tcPr>
          <w:p w14:paraId="11583D03">
            <w:pPr>
              <w:pStyle w:val="133"/>
              <w:rPr>
                <w:color w:val="000000"/>
                <w:szCs w:val="21"/>
              </w:rPr>
            </w:pPr>
          </w:p>
        </w:tc>
        <w:tc>
          <w:tcPr>
            <w:tcW w:w="1284" w:type="dxa"/>
            <w:vMerge w:val="continue"/>
            <w:vAlign w:val="center"/>
          </w:tcPr>
          <w:p w14:paraId="01295411">
            <w:pPr>
              <w:pStyle w:val="133"/>
              <w:rPr>
                <w:color w:val="000000"/>
                <w:szCs w:val="21"/>
              </w:rPr>
            </w:pPr>
          </w:p>
        </w:tc>
        <w:tc>
          <w:tcPr>
            <w:tcW w:w="713" w:type="dxa"/>
            <w:vMerge w:val="continue"/>
            <w:vAlign w:val="center"/>
          </w:tcPr>
          <w:p w14:paraId="298AB797">
            <w:pPr>
              <w:pStyle w:val="133"/>
              <w:rPr>
                <w:color w:val="000000"/>
                <w:szCs w:val="21"/>
              </w:rPr>
            </w:pPr>
          </w:p>
        </w:tc>
        <w:tc>
          <w:tcPr>
            <w:tcW w:w="1135" w:type="dxa"/>
            <w:vMerge w:val="continue"/>
            <w:vAlign w:val="center"/>
          </w:tcPr>
          <w:p w14:paraId="49B1E42A">
            <w:pPr>
              <w:pStyle w:val="133"/>
              <w:rPr>
                <w:color w:val="000000"/>
                <w:szCs w:val="21"/>
              </w:rPr>
            </w:pPr>
          </w:p>
        </w:tc>
        <w:tc>
          <w:tcPr>
            <w:tcW w:w="996" w:type="dxa"/>
            <w:vMerge w:val="continue"/>
            <w:vAlign w:val="center"/>
          </w:tcPr>
          <w:p w14:paraId="488AE919">
            <w:pPr>
              <w:pStyle w:val="133"/>
              <w:rPr>
                <w:color w:val="000000"/>
                <w:szCs w:val="21"/>
              </w:rPr>
            </w:pPr>
          </w:p>
        </w:tc>
        <w:tc>
          <w:tcPr>
            <w:tcW w:w="1139" w:type="dxa"/>
            <w:vMerge w:val="continue"/>
            <w:vAlign w:val="center"/>
          </w:tcPr>
          <w:p w14:paraId="141D5155">
            <w:pPr>
              <w:pStyle w:val="133"/>
              <w:rPr>
                <w:rFonts w:cs="Times New Roman"/>
                <w:color w:val="000000"/>
                <w:szCs w:val="21"/>
              </w:rPr>
            </w:pPr>
          </w:p>
        </w:tc>
        <w:tc>
          <w:tcPr>
            <w:tcW w:w="1139" w:type="dxa"/>
            <w:vMerge w:val="continue"/>
            <w:vAlign w:val="center"/>
          </w:tcPr>
          <w:p w14:paraId="43C5D6E9">
            <w:pPr>
              <w:pStyle w:val="133"/>
              <w:rPr>
                <w:rFonts w:eastAsia="等线" w:cs="Times New Roman"/>
                <w:color w:val="000000"/>
                <w:szCs w:val="21"/>
              </w:rPr>
            </w:pPr>
          </w:p>
        </w:tc>
        <w:tc>
          <w:tcPr>
            <w:tcW w:w="996" w:type="dxa"/>
            <w:vAlign w:val="center"/>
          </w:tcPr>
          <w:p w14:paraId="17D288DB">
            <w:pPr>
              <w:pStyle w:val="133"/>
              <w:rPr>
                <w:color w:val="000000"/>
                <w:szCs w:val="21"/>
              </w:rPr>
            </w:pPr>
            <w:r>
              <w:rPr>
                <w:rFonts w:hint="eastAsia"/>
                <w:color w:val="000000"/>
                <w:szCs w:val="21"/>
              </w:rPr>
              <w:t>10</w:t>
            </w:r>
          </w:p>
        </w:tc>
        <w:tc>
          <w:tcPr>
            <w:tcW w:w="996" w:type="dxa"/>
            <w:vAlign w:val="center"/>
          </w:tcPr>
          <w:p w14:paraId="02D8F5BB">
            <w:pPr>
              <w:pStyle w:val="133"/>
              <w:rPr>
                <w:color w:val="000000"/>
                <w:szCs w:val="21"/>
              </w:rPr>
            </w:pPr>
            <w:r>
              <w:rPr>
                <w:rFonts w:hint="eastAsia"/>
                <w:color w:val="000000"/>
                <w:szCs w:val="21"/>
              </w:rPr>
              <w:t>-</w:t>
            </w:r>
          </w:p>
        </w:tc>
        <w:tc>
          <w:tcPr>
            <w:tcW w:w="2658" w:type="dxa"/>
            <w:vMerge w:val="restart"/>
            <w:vAlign w:val="center"/>
          </w:tcPr>
          <w:p w14:paraId="5857B4F0">
            <w:pPr>
              <w:pStyle w:val="133"/>
              <w:rPr>
                <w:color w:val="000000"/>
                <w:szCs w:val="21"/>
              </w:rPr>
            </w:pPr>
            <w:r>
              <w:rPr>
                <w:rFonts w:hint="eastAsia"/>
                <w:color w:val="000000"/>
                <w:szCs w:val="21"/>
              </w:rPr>
              <w:t>厂区内执行《挥发性有机物无组织排放控制标准》（GB 37822-2019）表A.1</w:t>
            </w:r>
          </w:p>
        </w:tc>
      </w:tr>
      <w:tr w14:paraId="1B851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698534D">
            <w:pPr>
              <w:pStyle w:val="133"/>
              <w:rPr>
                <w:color w:val="EE0000"/>
                <w:szCs w:val="21"/>
              </w:rPr>
            </w:pPr>
          </w:p>
        </w:tc>
        <w:tc>
          <w:tcPr>
            <w:tcW w:w="1113" w:type="dxa"/>
            <w:vMerge w:val="continue"/>
            <w:vAlign w:val="center"/>
          </w:tcPr>
          <w:p w14:paraId="3CC08125">
            <w:pPr>
              <w:pStyle w:val="133"/>
              <w:rPr>
                <w:color w:val="EE0000"/>
                <w:szCs w:val="21"/>
              </w:rPr>
            </w:pPr>
          </w:p>
        </w:tc>
        <w:tc>
          <w:tcPr>
            <w:tcW w:w="1139" w:type="dxa"/>
            <w:vMerge w:val="continue"/>
            <w:vAlign w:val="center"/>
          </w:tcPr>
          <w:p w14:paraId="40274FEB">
            <w:pPr>
              <w:pStyle w:val="133"/>
              <w:rPr>
                <w:color w:val="000000"/>
                <w:szCs w:val="21"/>
              </w:rPr>
            </w:pPr>
          </w:p>
        </w:tc>
        <w:tc>
          <w:tcPr>
            <w:tcW w:w="1284" w:type="dxa"/>
            <w:vMerge w:val="continue"/>
            <w:vAlign w:val="center"/>
          </w:tcPr>
          <w:p w14:paraId="3F31BE4B">
            <w:pPr>
              <w:pStyle w:val="133"/>
              <w:rPr>
                <w:color w:val="000000"/>
                <w:szCs w:val="21"/>
              </w:rPr>
            </w:pPr>
          </w:p>
        </w:tc>
        <w:tc>
          <w:tcPr>
            <w:tcW w:w="713" w:type="dxa"/>
            <w:vMerge w:val="continue"/>
            <w:vAlign w:val="center"/>
          </w:tcPr>
          <w:p w14:paraId="725E0781">
            <w:pPr>
              <w:pStyle w:val="133"/>
              <w:rPr>
                <w:color w:val="000000"/>
                <w:szCs w:val="21"/>
              </w:rPr>
            </w:pPr>
          </w:p>
        </w:tc>
        <w:tc>
          <w:tcPr>
            <w:tcW w:w="1135" w:type="dxa"/>
            <w:vMerge w:val="continue"/>
            <w:vAlign w:val="center"/>
          </w:tcPr>
          <w:p w14:paraId="1C52CBEA">
            <w:pPr>
              <w:pStyle w:val="133"/>
              <w:rPr>
                <w:color w:val="000000"/>
                <w:szCs w:val="21"/>
              </w:rPr>
            </w:pPr>
          </w:p>
        </w:tc>
        <w:tc>
          <w:tcPr>
            <w:tcW w:w="996" w:type="dxa"/>
            <w:vMerge w:val="continue"/>
            <w:vAlign w:val="center"/>
          </w:tcPr>
          <w:p w14:paraId="2F6580CA">
            <w:pPr>
              <w:pStyle w:val="133"/>
              <w:rPr>
                <w:color w:val="000000"/>
                <w:szCs w:val="21"/>
              </w:rPr>
            </w:pPr>
          </w:p>
        </w:tc>
        <w:tc>
          <w:tcPr>
            <w:tcW w:w="1139" w:type="dxa"/>
            <w:vMerge w:val="continue"/>
            <w:vAlign w:val="center"/>
          </w:tcPr>
          <w:p w14:paraId="640A825F">
            <w:pPr>
              <w:pStyle w:val="133"/>
              <w:rPr>
                <w:rFonts w:cs="Times New Roman"/>
                <w:color w:val="000000"/>
                <w:szCs w:val="21"/>
              </w:rPr>
            </w:pPr>
          </w:p>
        </w:tc>
        <w:tc>
          <w:tcPr>
            <w:tcW w:w="1139" w:type="dxa"/>
            <w:vMerge w:val="continue"/>
            <w:vAlign w:val="center"/>
          </w:tcPr>
          <w:p w14:paraId="0238712C">
            <w:pPr>
              <w:pStyle w:val="133"/>
              <w:rPr>
                <w:rFonts w:eastAsia="等线" w:cs="Times New Roman"/>
                <w:color w:val="000000"/>
                <w:szCs w:val="21"/>
              </w:rPr>
            </w:pPr>
          </w:p>
        </w:tc>
        <w:tc>
          <w:tcPr>
            <w:tcW w:w="996" w:type="dxa"/>
            <w:vAlign w:val="center"/>
          </w:tcPr>
          <w:p w14:paraId="4A5A65B9">
            <w:pPr>
              <w:pStyle w:val="133"/>
              <w:rPr>
                <w:color w:val="000000"/>
                <w:szCs w:val="21"/>
              </w:rPr>
            </w:pPr>
            <w:r>
              <w:rPr>
                <w:rFonts w:hint="eastAsia"/>
                <w:color w:val="000000"/>
                <w:szCs w:val="21"/>
              </w:rPr>
              <w:t>30</w:t>
            </w:r>
          </w:p>
        </w:tc>
        <w:tc>
          <w:tcPr>
            <w:tcW w:w="996" w:type="dxa"/>
            <w:vAlign w:val="center"/>
          </w:tcPr>
          <w:p w14:paraId="08FD41A8">
            <w:pPr>
              <w:pStyle w:val="133"/>
              <w:rPr>
                <w:color w:val="000000"/>
                <w:szCs w:val="21"/>
              </w:rPr>
            </w:pPr>
            <w:r>
              <w:rPr>
                <w:rFonts w:hint="eastAsia"/>
                <w:color w:val="000000"/>
                <w:szCs w:val="21"/>
              </w:rPr>
              <w:t>-</w:t>
            </w:r>
          </w:p>
        </w:tc>
        <w:tc>
          <w:tcPr>
            <w:tcW w:w="2658" w:type="dxa"/>
            <w:vMerge w:val="continue"/>
            <w:vAlign w:val="center"/>
          </w:tcPr>
          <w:p w14:paraId="76CC6D2B">
            <w:pPr>
              <w:pStyle w:val="133"/>
              <w:rPr>
                <w:color w:val="000000"/>
                <w:szCs w:val="21"/>
              </w:rPr>
            </w:pPr>
          </w:p>
        </w:tc>
      </w:tr>
      <w:tr w14:paraId="6CDC5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B13E5C7">
            <w:pPr>
              <w:pStyle w:val="133"/>
              <w:rPr>
                <w:color w:val="EE0000"/>
                <w:szCs w:val="21"/>
              </w:rPr>
            </w:pPr>
          </w:p>
        </w:tc>
        <w:tc>
          <w:tcPr>
            <w:tcW w:w="1113" w:type="dxa"/>
            <w:vMerge w:val="continue"/>
            <w:vAlign w:val="center"/>
          </w:tcPr>
          <w:p w14:paraId="2562F2F0">
            <w:pPr>
              <w:pStyle w:val="133"/>
              <w:rPr>
                <w:color w:val="EE0000"/>
                <w:szCs w:val="21"/>
              </w:rPr>
            </w:pPr>
          </w:p>
        </w:tc>
        <w:tc>
          <w:tcPr>
            <w:tcW w:w="1139" w:type="dxa"/>
            <w:vMerge w:val="restart"/>
            <w:vAlign w:val="center"/>
          </w:tcPr>
          <w:p w14:paraId="600EAD63">
            <w:pPr>
              <w:pStyle w:val="133"/>
              <w:rPr>
                <w:color w:val="000000"/>
                <w:szCs w:val="21"/>
              </w:rPr>
            </w:pPr>
            <w:r>
              <w:rPr>
                <w:rFonts w:hint="eastAsia"/>
                <w:color w:val="000000"/>
                <w:szCs w:val="21"/>
              </w:rPr>
              <w:t>污水预处理装置</w:t>
            </w:r>
          </w:p>
        </w:tc>
        <w:tc>
          <w:tcPr>
            <w:tcW w:w="1284" w:type="dxa"/>
            <w:vMerge w:val="restart"/>
            <w:vAlign w:val="center"/>
          </w:tcPr>
          <w:p w14:paraId="2E1EA4C1">
            <w:pPr>
              <w:pStyle w:val="133"/>
              <w:rPr>
                <w:color w:val="000000"/>
                <w:szCs w:val="21"/>
              </w:rPr>
            </w:pPr>
            <w:r>
              <w:rPr>
                <w:rFonts w:hint="eastAsia"/>
                <w:color w:val="000000"/>
                <w:szCs w:val="21"/>
              </w:rPr>
              <w:t>非甲烷总烃</w:t>
            </w:r>
          </w:p>
        </w:tc>
        <w:tc>
          <w:tcPr>
            <w:tcW w:w="713" w:type="dxa"/>
            <w:vMerge w:val="restart"/>
            <w:vAlign w:val="center"/>
          </w:tcPr>
          <w:p w14:paraId="68A34844">
            <w:pPr>
              <w:pStyle w:val="133"/>
              <w:rPr>
                <w:color w:val="000000"/>
                <w:szCs w:val="21"/>
              </w:rPr>
            </w:pPr>
            <w:r>
              <w:rPr>
                <w:rFonts w:hint="eastAsia"/>
                <w:color w:val="000000"/>
                <w:szCs w:val="21"/>
              </w:rPr>
              <w:t>无组织</w:t>
            </w:r>
          </w:p>
        </w:tc>
        <w:tc>
          <w:tcPr>
            <w:tcW w:w="1135" w:type="dxa"/>
            <w:vMerge w:val="restart"/>
            <w:vAlign w:val="center"/>
          </w:tcPr>
          <w:p w14:paraId="5B1855D5">
            <w:pPr>
              <w:pStyle w:val="133"/>
              <w:rPr>
                <w:color w:val="000000"/>
                <w:szCs w:val="21"/>
              </w:rPr>
            </w:pPr>
            <w:r>
              <w:rPr>
                <w:rFonts w:hint="eastAsia"/>
                <w:color w:val="000000"/>
                <w:szCs w:val="21"/>
              </w:rPr>
              <w:t>/</w:t>
            </w:r>
          </w:p>
        </w:tc>
        <w:tc>
          <w:tcPr>
            <w:tcW w:w="996" w:type="dxa"/>
            <w:vMerge w:val="restart"/>
            <w:vAlign w:val="center"/>
          </w:tcPr>
          <w:p w14:paraId="4FA1B341">
            <w:pPr>
              <w:pStyle w:val="133"/>
              <w:rPr>
                <w:color w:val="000000"/>
                <w:szCs w:val="21"/>
              </w:rPr>
            </w:pPr>
            <w:r>
              <w:rPr>
                <w:rFonts w:hint="eastAsia"/>
                <w:color w:val="000000"/>
                <w:szCs w:val="21"/>
              </w:rPr>
              <w:t>-</w:t>
            </w:r>
          </w:p>
        </w:tc>
        <w:tc>
          <w:tcPr>
            <w:tcW w:w="1139" w:type="dxa"/>
            <w:vMerge w:val="restart"/>
            <w:vAlign w:val="center"/>
          </w:tcPr>
          <w:p w14:paraId="0966AD84">
            <w:pPr>
              <w:pStyle w:val="133"/>
              <w:rPr>
                <w:color w:val="000000"/>
                <w:szCs w:val="21"/>
              </w:rPr>
            </w:pPr>
            <w:r>
              <w:rPr>
                <w:rFonts w:cs="Times New Roman"/>
                <w:color w:val="000000"/>
                <w:szCs w:val="21"/>
              </w:rPr>
              <w:t>0.005</w:t>
            </w:r>
          </w:p>
        </w:tc>
        <w:tc>
          <w:tcPr>
            <w:tcW w:w="1139" w:type="dxa"/>
            <w:vMerge w:val="restart"/>
            <w:vAlign w:val="center"/>
          </w:tcPr>
          <w:p w14:paraId="431B5FD1">
            <w:pPr>
              <w:pStyle w:val="133"/>
              <w:rPr>
                <w:color w:val="000000"/>
                <w:szCs w:val="21"/>
              </w:rPr>
            </w:pPr>
            <w:r>
              <w:rPr>
                <w:rFonts w:hint="eastAsia" w:eastAsia="等线" w:cs="Times New Roman"/>
                <w:color w:val="000000"/>
                <w:szCs w:val="21"/>
              </w:rPr>
              <w:t>0.036</w:t>
            </w:r>
          </w:p>
        </w:tc>
        <w:tc>
          <w:tcPr>
            <w:tcW w:w="996" w:type="dxa"/>
            <w:vAlign w:val="center"/>
          </w:tcPr>
          <w:p w14:paraId="0C37BDFB">
            <w:pPr>
              <w:pStyle w:val="133"/>
              <w:rPr>
                <w:color w:val="000000"/>
                <w:szCs w:val="21"/>
              </w:rPr>
            </w:pPr>
            <w:r>
              <w:rPr>
                <w:rFonts w:hint="eastAsia"/>
                <w:color w:val="000000"/>
                <w:szCs w:val="21"/>
              </w:rPr>
              <w:t>4</w:t>
            </w:r>
          </w:p>
        </w:tc>
        <w:tc>
          <w:tcPr>
            <w:tcW w:w="996" w:type="dxa"/>
            <w:vAlign w:val="center"/>
          </w:tcPr>
          <w:p w14:paraId="517FEC9F">
            <w:pPr>
              <w:pStyle w:val="133"/>
              <w:rPr>
                <w:color w:val="000000"/>
                <w:szCs w:val="21"/>
              </w:rPr>
            </w:pPr>
            <w:r>
              <w:rPr>
                <w:rFonts w:hint="eastAsia"/>
                <w:color w:val="000000"/>
                <w:szCs w:val="21"/>
              </w:rPr>
              <w:t>-</w:t>
            </w:r>
          </w:p>
        </w:tc>
        <w:tc>
          <w:tcPr>
            <w:tcW w:w="2658" w:type="dxa"/>
            <w:vAlign w:val="center"/>
          </w:tcPr>
          <w:p w14:paraId="33A57092">
            <w:pPr>
              <w:pStyle w:val="133"/>
              <w:rPr>
                <w:color w:val="000000"/>
                <w:szCs w:val="21"/>
              </w:rPr>
            </w:pPr>
            <w:r>
              <w:rPr>
                <w:rFonts w:hint="eastAsia"/>
                <w:color w:val="000000"/>
                <w:szCs w:val="21"/>
              </w:rPr>
              <w:t>厂界执行《大气污染物综合排放标准》（GB 16297-1996）中表2</w:t>
            </w:r>
          </w:p>
        </w:tc>
      </w:tr>
      <w:tr w14:paraId="4E21D4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D25A09E">
            <w:pPr>
              <w:pStyle w:val="133"/>
              <w:rPr>
                <w:color w:val="EE0000"/>
                <w:szCs w:val="21"/>
              </w:rPr>
            </w:pPr>
          </w:p>
        </w:tc>
        <w:tc>
          <w:tcPr>
            <w:tcW w:w="1113" w:type="dxa"/>
            <w:vMerge w:val="continue"/>
            <w:vAlign w:val="center"/>
          </w:tcPr>
          <w:p w14:paraId="078FBE9E">
            <w:pPr>
              <w:pStyle w:val="133"/>
              <w:rPr>
                <w:color w:val="EE0000"/>
                <w:szCs w:val="21"/>
              </w:rPr>
            </w:pPr>
          </w:p>
        </w:tc>
        <w:tc>
          <w:tcPr>
            <w:tcW w:w="1139" w:type="dxa"/>
            <w:vMerge w:val="continue"/>
            <w:vAlign w:val="center"/>
          </w:tcPr>
          <w:p w14:paraId="3090787C">
            <w:pPr>
              <w:pStyle w:val="133"/>
              <w:rPr>
                <w:color w:val="000000"/>
                <w:szCs w:val="21"/>
              </w:rPr>
            </w:pPr>
          </w:p>
        </w:tc>
        <w:tc>
          <w:tcPr>
            <w:tcW w:w="1284" w:type="dxa"/>
            <w:vMerge w:val="continue"/>
            <w:vAlign w:val="center"/>
          </w:tcPr>
          <w:p w14:paraId="316AF2A8">
            <w:pPr>
              <w:pStyle w:val="133"/>
              <w:rPr>
                <w:color w:val="000000"/>
                <w:szCs w:val="21"/>
              </w:rPr>
            </w:pPr>
          </w:p>
        </w:tc>
        <w:tc>
          <w:tcPr>
            <w:tcW w:w="713" w:type="dxa"/>
            <w:vMerge w:val="continue"/>
            <w:vAlign w:val="center"/>
          </w:tcPr>
          <w:p w14:paraId="6EEBE70D">
            <w:pPr>
              <w:pStyle w:val="133"/>
              <w:rPr>
                <w:color w:val="000000"/>
                <w:szCs w:val="21"/>
              </w:rPr>
            </w:pPr>
          </w:p>
        </w:tc>
        <w:tc>
          <w:tcPr>
            <w:tcW w:w="1135" w:type="dxa"/>
            <w:vMerge w:val="continue"/>
            <w:vAlign w:val="center"/>
          </w:tcPr>
          <w:p w14:paraId="6B0BDD9F">
            <w:pPr>
              <w:pStyle w:val="133"/>
              <w:rPr>
                <w:color w:val="000000"/>
                <w:szCs w:val="21"/>
              </w:rPr>
            </w:pPr>
          </w:p>
        </w:tc>
        <w:tc>
          <w:tcPr>
            <w:tcW w:w="996" w:type="dxa"/>
            <w:vMerge w:val="continue"/>
            <w:vAlign w:val="center"/>
          </w:tcPr>
          <w:p w14:paraId="41421F5D">
            <w:pPr>
              <w:pStyle w:val="133"/>
              <w:rPr>
                <w:color w:val="000000"/>
                <w:szCs w:val="21"/>
              </w:rPr>
            </w:pPr>
          </w:p>
        </w:tc>
        <w:tc>
          <w:tcPr>
            <w:tcW w:w="1139" w:type="dxa"/>
            <w:vMerge w:val="continue"/>
            <w:vAlign w:val="center"/>
          </w:tcPr>
          <w:p w14:paraId="20B9FD57">
            <w:pPr>
              <w:pStyle w:val="133"/>
              <w:rPr>
                <w:rFonts w:cs="Times New Roman"/>
                <w:color w:val="000000"/>
                <w:szCs w:val="21"/>
              </w:rPr>
            </w:pPr>
          </w:p>
        </w:tc>
        <w:tc>
          <w:tcPr>
            <w:tcW w:w="1139" w:type="dxa"/>
            <w:vMerge w:val="continue"/>
            <w:vAlign w:val="center"/>
          </w:tcPr>
          <w:p w14:paraId="1A38C22F">
            <w:pPr>
              <w:pStyle w:val="133"/>
              <w:rPr>
                <w:rFonts w:eastAsia="等线" w:cs="Times New Roman"/>
                <w:color w:val="000000"/>
                <w:szCs w:val="21"/>
              </w:rPr>
            </w:pPr>
          </w:p>
        </w:tc>
        <w:tc>
          <w:tcPr>
            <w:tcW w:w="996" w:type="dxa"/>
            <w:vAlign w:val="center"/>
          </w:tcPr>
          <w:p w14:paraId="0E7E34CF">
            <w:pPr>
              <w:pStyle w:val="133"/>
              <w:rPr>
                <w:color w:val="000000"/>
                <w:szCs w:val="21"/>
              </w:rPr>
            </w:pPr>
            <w:r>
              <w:rPr>
                <w:rFonts w:hint="eastAsia"/>
                <w:color w:val="000000"/>
                <w:szCs w:val="21"/>
              </w:rPr>
              <w:t>10</w:t>
            </w:r>
          </w:p>
        </w:tc>
        <w:tc>
          <w:tcPr>
            <w:tcW w:w="996" w:type="dxa"/>
            <w:vAlign w:val="center"/>
          </w:tcPr>
          <w:p w14:paraId="1ABC915D">
            <w:pPr>
              <w:pStyle w:val="133"/>
              <w:rPr>
                <w:color w:val="000000"/>
                <w:szCs w:val="21"/>
              </w:rPr>
            </w:pPr>
            <w:r>
              <w:rPr>
                <w:rFonts w:hint="eastAsia"/>
                <w:color w:val="000000"/>
                <w:szCs w:val="21"/>
              </w:rPr>
              <w:t>-</w:t>
            </w:r>
          </w:p>
        </w:tc>
        <w:tc>
          <w:tcPr>
            <w:tcW w:w="2658" w:type="dxa"/>
            <w:vMerge w:val="restart"/>
            <w:vAlign w:val="center"/>
          </w:tcPr>
          <w:p w14:paraId="4F215E0C">
            <w:pPr>
              <w:pStyle w:val="133"/>
              <w:rPr>
                <w:color w:val="000000"/>
                <w:szCs w:val="21"/>
              </w:rPr>
            </w:pPr>
            <w:r>
              <w:rPr>
                <w:rFonts w:hint="eastAsia"/>
                <w:color w:val="000000"/>
                <w:szCs w:val="21"/>
              </w:rPr>
              <w:t>厂区内执行《挥发性有机物无组织排放控制标准》（GB 37822-2019）表A.1</w:t>
            </w:r>
          </w:p>
        </w:tc>
      </w:tr>
      <w:tr w14:paraId="546856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02D7245E">
            <w:pPr>
              <w:pStyle w:val="133"/>
              <w:rPr>
                <w:color w:val="EE0000"/>
                <w:szCs w:val="21"/>
              </w:rPr>
            </w:pPr>
          </w:p>
        </w:tc>
        <w:tc>
          <w:tcPr>
            <w:tcW w:w="1113" w:type="dxa"/>
            <w:vMerge w:val="continue"/>
            <w:vAlign w:val="center"/>
          </w:tcPr>
          <w:p w14:paraId="129ACA39">
            <w:pPr>
              <w:pStyle w:val="133"/>
              <w:rPr>
                <w:color w:val="EE0000"/>
                <w:szCs w:val="21"/>
              </w:rPr>
            </w:pPr>
          </w:p>
        </w:tc>
        <w:tc>
          <w:tcPr>
            <w:tcW w:w="1139" w:type="dxa"/>
            <w:vMerge w:val="continue"/>
            <w:vAlign w:val="center"/>
          </w:tcPr>
          <w:p w14:paraId="574C964B">
            <w:pPr>
              <w:pStyle w:val="133"/>
              <w:rPr>
                <w:color w:val="000000"/>
                <w:szCs w:val="21"/>
              </w:rPr>
            </w:pPr>
          </w:p>
        </w:tc>
        <w:tc>
          <w:tcPr>
            <w:tcW w:w="1284" w:type="dxa"/>
            <w:vMerge w:val="continue"/>
            <w:vAlign w:val="center"/>
          </w:tcPr>
          <w:p w14:paraId="302EA4D2">
            <w:pPr>
              <w:pStyle w:val="133"/>
              <w:rPr>
                <w:color w:val="000000"/>
                <w:szCs w:val="21"/>
              </w:rPr>
            </w:pPr>
          </w:p>
        </w:tc>
        <w:tc>
          <w:tcPr>
            <w:tcW w:w="713" w:type="dxa"/>
            <w:vMerge w:val="continue"/>
            <w:vAlign w:val="center"/>
          </w:tcPr>
          <w:p w14:paraId="0875E382">
            <w:pPr>
              <w:pStyle w:val="133"/>
              <w:rPr>
                <w:color w:val="000000"/>
                <w:szCs w:val="21"/>
              </w:rPr>
            </w:pPr>
          </w:p>
        </w:tc>
        <w:tc>
          <w:tcPr>
            <w:tcW w:w="1135" w:type="dxa"/>
            <w:vMerge w:val="continue"/>
            <w:vAlign w:val="center"/>
          </w:tcPr>
          <w:p w14:paraId="2DA5B630">
            <w:pPr>
              <w:pStyle w:val="133"/>
              <w:rPr>
                <w:color w:val="000000"/>
                <w:szCs w:val="21"/>
              </w:rPr>
            </w:pPr>
          </w:p>
        </w:tc>
        <w:tc>
          <w:tcPr>
            <w:tcW w:w="996" w:type="dxa"/>
            <w:vMerge w:val="continue"/>
            <w:vAlign w:val="center"/>
          </w:tcPr>
          <w:p w14:paraId="494B1F9C">
            <w:pPr>
              <w:pStyle w:val="133"/>
              <w:rPr>
                <w:color w:val="000000"/>
                <w:szCs w:val="21"/>
              </w:rPr>
            </w:pPr>
          </w:p>
        </w:tc>
        <w:tc>
          <w:tcPr>
            <w:tcW w:w="1139" w:type="dxa"/>
            <w:vMerge w:val="continue"/>
            <w:vAlign w:val="center"/>
          </w:tcPr>
          <w:p w14:paraId="62088B25">
            <w:pPr>
              <w:pStyle w:val="133"/>
              <w:rPr>
                <w:rFonts w:cs="Times New Roman"/>
                <w:color w:val="000000"/>
                <w:szCs w:val="21"/>
              </w:rPr>
            </w:pPr>
          </w:p>
        </w:tc>
        <w:tc>
          <w:tcPr>
            <w:tcW w:w="1139" w:type="dxa"/>
            <w:vMerge w:val="continue"/>
            <w:vAlign w:val="center"/>
          </w:tcPr>
          <w:p w14:paraId="7CCF04B9">
            <w:pPr>
              <w:pStyle w:val="133"/>
              <w:rPr>
                <w:rFonts w:eastAsia="等线" w:cs="Times New Roman"/>
                <w:color w:val="000000"/>
                <w:szCs w:val="21"/>
              </w:rPr>
            </w:pPr>
          </w:p>
        </w:tc>
        <w:tc>
          <w:tcPr>
            <w:tcW w:w="996" w:type="dxa"/>
            <w:vAlign w:val="center"/>
          </w:tcPr>
          <w:p w14:paraId="2CF517D5">
            <w:pPr>
              <w:pStyle w:val="133"/>
              <w:rPr>
                <w:color w:val="000000"/>
                <w:szCs w:val="21"/>
              </w:rPr>
            </w:pPr>
            <w:r>
              <w:rPr>
                <w:rFonts w:hint="eastAsia"/>
                <w:color w:val="000000"/>
                <w:szCs w:val="21"/>
              </w:rPr>
              <w:t>30</w:t>
            </w:r>
          </w:p>
        </w:tc>
        <w:tc>
          <w:tcPr>
            <w:tcW w:w="996" w:type="dxa"/>
            <w:vAlign w:val="center"/>
          </w:tcPr>
          <w:p w14:paraId="51A00C23">
            <w:pPr>
              <w:pStyle w:val="133"/>
              <w:rPr>
                <w:color w:val="000000"/>
                <w:szCs w:val="21"/>
              </w:rPr>
            </w:pPr>
            <w:r>
              <w:rPr>
                <w:rFonts w:hint="eastAsia"/>
                <w:color w:val="000000"/>
                <w:szCs w:val="21"/>
              </w:rPr>
              <w:t>-</w:t>
            </w:r>
          </w:p>
        </w:tc>
        <w:tc>
          <w:tcPr>
            <w:tcW w:w="2658" w:type="dxa"/>
            <w:vMerge w:val="continue"/>
            <w:vAlign w:val="center"/>
          </w:tcPr>
          <w:p w14:paraId="03FE78AE">
            <w:pPr>
              <w:pStyle w:val="133"/>
              <w:rPr>
                <w:color w:val="EE0000"/>
                <w:szCs w:val="21"/>
              </w:rPr>
            </w:pPr>
          </w:p>
        </w:tc>
      </w:tr>
      <w:tr w14:paraId="35B57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41BDA65A">
            <w:pPr>
              <w:pStyle w:val="133"/>
              <w:rPr>
                <w:color w:val="EE0000"/>
                <w:szCs w:val="21"/>
              </w:rPr>
            </w:pPr>
          </w:p>
        </w:tc>
        <w:tc>
          <w:tcPr>
            <w:tcW w:w="1113" w:type="dxa"/>
            <w:vMerge w:val="restart"/>
            <w:vAlign w:val="center"/>
          </w:tcPr>
          <w:p w14:paraId="23A3AD87">
            <w:pPr>
              <w:pStyle w:val="133"/>
              <w:rPr>
                <w:color w:val="000000"/>
                <w:szCs w:val="21"/>
              </w:rPr>
            </w:pPr>
            <w:r>
              <w:rPr>
                <w:rFonts w:hint="eastAsia"/>
                <w:color w:val="000000"/>
                <w:szCs w:val="21"/>
              </w:rPr>
              <w:t>硅铁合金</w:t>
            </w:r>
          </w:p>
          <w:p w14:paraId="5944DDEC">
            <w:pPr>
              <w:pStyle w:val="133"/>
              <w:rPr>
                <w:color w:val="EE0000"/>
                <w:szCs w:val="21"/>
              </w:rPr>
            </w:pPr>
            <w:r>
              <w:rPr>
                <w:rFonts w:hint="eastAsia"/>
                <w:color w:val="000000"/>
                <w:szCs w:val="21"/>
              </w:rPr>
              <w:t>生产线</w:t>
            </w:r>
          </w:p>
        </w:tc>
        <w:tc>
          <w:tcPr>
            <w:tcW w:w="1139" w:type="dxa"/>
            <w:vAlign w:val="center"/>
          </w:tcPr>
          <w:p w14:paraId="42028452">
            <w:pPr>
              <w:pStyle w:val="133"/>
              <w:rPr>
                <w:color w:val="000000"/>
                <w:szCs w:val="21"/>
              </w:rPr>
            </w:pPr>
            <w:r>
              <w:rPr>
                <w:rFonts w:hint="eastAsia" w:cs="Times New Roman"/>
                <w:color w:val="000000"/>
                <w:szCs w:val="21"/>
              </w:rPr>
              <w:t>上料</w:t>
            </w:r>
            <w:r>
              <w:rPr>
                <w:rFonts w:cs="Times New Roman"/>
                <w:color w:val="000000"/>
                <w:szCs w:val="21"/>
              </w:rPr>
              <w:t>废气</w:t>
            </w:r>
          </w:p>
        </w:tc>
        <w:tc>
          <w:tcPr>
            <w:tcW w:w="1284" w:type="dxa"/>
            <w:vAlign w:val="center"/>
          </w:tcPr>
          <w:p w14:paraId="759B129B">
            <w:pPr>
              <w:pStyle w:val="133"/>
              <w:rPr>
                <w:color w:val="000000"/>
                <w:szCs w:val="21"/>
              </w:rPr>
            </w:pPr>
            <w:r>
              <w:rPr>
                <w:rFonts w:cs="Times New Roman"/>
                <w:color w:val="000000"/>
                <w:szCs w:val="21"/>
              </w:rPr>
              <w:t>颗粒物</w:t>
            </w:r>
          </w:p>
        </w:tc>
        <w:tc>
          <w:tcPr>
            <w:tcW w:w="713" w:type="dxa"/>
            <w:vAlign w:val="center"/>
          </w:tcPr>
          <w:p w14:paraId="5925B5D3">
            <w:pPr>
              <w:pStyle w:val="133"/>
              <w:rPr>
                <w:color w:val="000000"/>
                <w:szCs w:val="21"/>
              </w:rPr>
            </w:pPr>
            <w:r>
              <w:rPr>
                <w:rFonts w:hint="eastAsia"/>
                <w:color w:val="000000"/>
                <w:szCs w:val="21"/>
              </w:rPr>
              <w:t>有组织</w:t>
            </w:r>
          </w:p>
        </w:tc>
        <w:tc>
          <w:tcPr>
            <w:tcW w:w="1135" w:type="dxa"/>
            <w:vAlign w:val="center"/>
          </w:tcPr>
          <w:p w14:paraId="16BD40B0">
            <w:pPr>
              <w:pStyle w:val="133"/>
              <w:rPr>
                <w:color w:val="000000"/>
                <w:szCs w:val="21"/>
              </w:rPr>
            </w:pPr>
            <w:r>
              <w:rPr>
                <w:rFonts w:cs="Times New Roman"/>
                <w:color w:val="000000"/>
                <w:szCs w:val="21"/>
              </w:rPr>
              <w:t>布袋除尘</w:t>
            </w:r>
          </w:p>
        </w:tc>
        <w:tc>
          <w:tcPr>
            <w:tcW w:w="996" w:type="dxa"/>
            <w:vAlign w:val="center"/>
          </w:tcPr>
          <w:p w14:paraId="75675C07">
            <w:pPr>
              <w:pStyle w:val="133"/>
              <w:rPr>
                <w:color w:val="000000"/>
                <w:szCs w:val="21"/>
              </w:rPr>
            </w:pPr>
            <w:r>
              <w:rPr>
                <w:rFonts w:hint="eastAsia" w:cs="Times New Roman"/>
                <w:color w:val="000000"/>
                <w:szCs w:val="21"/>
              </w:rPr>
              <w:t>3.6</w:t>
            </w:r>
          </w:p>
        </w:tc>
        <w:tc>
          <w:tcPr>
            <w:tcW w:w="1139" w:type="dxa"/>
            <w:vAlign w:val="center"/>
          </w:tcPr>
          <w:p w14:paraId="19426C4F">
            <w:pPr>
              <w:pStyle w:val="133"/>
              <w:rPr>
                <w:color w:val="000000"/>
                <w:szCs w:val="21"/>
              </w:rPr>
            </w:pPr>
            <w:r>
              <w:rPr>
                <w:rFonts w:hint="eastAsia" w:cs="Times New Roman"/>
                <w:color w:val="000000"/>
                <w:szCs w:val="21"/>
              </w:rPr>
              <w:t>0.09</w:t>
            </w:r>
          </w:p>
        </w:tc>
        <w:tc>
          <w:tcPr>
            <w:tcW w:w="1139" w:type="dxa"/>
            <w:vAlign w:val="center"/>
          </w:tcPr>
          <w:p w14:paraId="2441DE9B">
            <w:pPr>
              <w:pStyle w:val="133"/>
              <w:rPr>
                <w:color w:val="000000"/>
                <w:szCs w:val="21"/>
              </w:rPr>
            </w:pPr>
            <w:r>
              <w:rPr>
                <w:rFonts w:hint="eastAsia"/>
                <w:color w:val="000000"/>
                <w:szCs w:val="21"/>
              </w:rPr>
              <w:t>0.36</w:t>
            </w:r>
          </w:p>
        </w:tc>
        <w:tc>
          <w:tcPr>
            <w:tcW w:w="996" w:type="dxa"/>
            <w:vAlign w:val="center"/>
          </w:tcPr>
          <w:p w14:paraId="0E0593DD">
            <w:pPr>
              <w:pStyle w:val="133"/>
              <w:rPr>
                <w:color w:val="000000"/>
                <w:szCs w:val="21"/>
              </w:rPr>
            </w:pPr>
            <w:r>
              <w:rPr>
                <w:rFonts w:hint="eastAsia"/>
                <w:color w:val="000000"/>
                <w:szCs w:val="21"/>
              </w:rPr>
              <w:t>50</w:t>
            </w:r>
          </w:p>
        </w:tc>
        <w:tc>
          <w:tcPr>
            <w:tcW w:w="996" w:type="dxa"/>
            <w:vAlign w:val="center"/>
          </w:tcPr>
          <w:p w14:paraId="07063791">
            <w:pPr>
              <w:pStyle w:val="133"/>
              <w:rPr>
                <w:color w:val="000000"/>
                <w:szCs w:val="21"/>
              </w:rPr>
            </w:pPr>
            <w:r>
              <w:rPr>
                <w:rFonts w:hint="eastAsia"/>
                <w:color w:val="000000"/>
                <w:szCs w:val="21"/>
              </w:rPr>
              <w:t>-</w:t>
            </w:r>
          </w:p>
        </w:tc>
        <w:tc>
          <w:tcPr>
            <w:tcW w:w="2658" w:type="dxa"/>
            <w:vAlign w:val="center"/>
          </w:tcPr>
          <w:p w14:paraId="148E6495">
            <w:pPr>
              <w:pStyle w:val="133"/>
              <w:rPr>
                <w:color w:val="000000"/>
                <w:szCs w:val="21"/>
              </w:rPr>
            </w:pPr>
            <w:r>
              <w:rPr>
                <w:rFonts w:cs="Times New Roman"/>
                <w:color w:val="000000"/>
                <w:szCs w:val="21"/>
              </w:rPr>
              <w:t>《铁合金工业污染物排放标准》（GB28666-2012）</w:t>
            </w:r>
          </w:p>
        </w:tc>
      </w:tr>
      <w:tr w14:paraId="50782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0D98AC2B">
            <w:pPr>
              <w:pStyle w:val="133"/>
              <w:rPr>
                <w:color w:val="EE0000"/>
                <w:szCs w:val="21"/>
              </w:rPr>
            </w:pPr>
          </w:p>
        </w:tc>
        <w:tc>
          <w:tcPr>
            <w:tcW w:w="1113" w:type="dxa"/>
            <w:vMerge w:val="continue"/>
            <w:vAlign w:val="center"/>
          </w:tcPr>
          <w:p w14:paraId="3511A4FE">
            <w:pPr>
              <w:pStyle w:val="133"/>
              <w:rPr>
                <w:color w:val="EE0000"/>
                <w:szCs w:val="21"/>
              </w:rPr>
            </w:pPr>
          </w:p>
        </w:tc>
        <w:tc>
          <w:tcPr>
            <w:tcW w:w="1139" w:type="dxa"/>
            <w:vMerge w:val="restart"/>
            <w:vAlign w:val="center"/>
          </w:tcPr>
          <w:p w14:paraId="00F38708">
            <w:pPr>
              <w:pStyle w:val="133"/>
              <w:rPr>
                <w:color w:val="000000"/>
                <w:szCs w:val="21"/>
              </w:rPr>
            </w:pPr>
            <w:r>
              <w:rPr>
                <w:rFonts w:cs="Times New Roman"/>
                <w:color w:val="000000"/>
                <w:szCs w:val="21"/>
              </w:rPr>
              <w:t>矿热炉</w:t>
            </w:r>
            <w:r>
              <w:rPr>
                <w:rFonts w:hint="eastAsia" w:cs="Times New Roman"/>
                <w:color w:val="000000"/>
                <w:szCs w:val="21"/>
              </w:rPr>
              <w:t>烟气</w:t>
            </w:r>
          </w:p>
        </w:tc>
        <w:tc>
          <w:tcPr>
            <w:tcW w:w="1284" w:type="dxa"/>
            <w:vAlign w:val="center"/>
          </w:tcPr>
          <w:p w14:paraId="199000D2">
            <w:pPr>
              <w:pStyle w:val="133"/>
              <w:rPr>
                <w:color w:val="000000"/>
                <w:szCs w:val="21"/>
              </w:rPr>
            </w:pPr>
            <w:r>
              <w:rPr>
                <w:rFonts w:hint="eastAsia"/>
                <w:color w:val="000000"/>
                <w:szCs w:val="21"/>
              </w:rPr>
              <w:t>颗粒物</w:t>
            </w:r>
          </w:p>
        </w:tc>
        <w:tc>
          <w:tcPr>
            <w:tcW w:w="713" w:type="dxa"/>
            <w:vMerge w:val="restart"/>
            <w:vAlign w:val="center"/>
          </w:tcPr>
          <w:p w14:paraId="447C33A2">
            <w:pPr>
              <w:pStyle w:val="133"/>
              <w:rPr>
                <w:color w:val="000000"/>
                <w:szCs w:val="21"/>
              </w:rPr>
            </w:pPr>
            <w:r>
              <w:rPr>
                <w:rFonts w:hint="eastAsia"/>
                <w:color w:val="000000"/>
                <w:szCs w:val="21"/>
              </w:rPr>
              <w:t>有组织</w:t>
            </w:r>
          </w:p>
        </w:tc>
        <w:tc>
          <w:tcPr>
            <w:tcW w:w="1135" w:type="dxa"/>
            <w:vAlign w:val="center"/>
          </w:tcPr>
          <w:p w14:paraId="6BD5ADCB">
            <w:pPr>
              <w:pStyle w:val="133"/>
              <w:rPr>
                <w:color w:val="000000"/>
                <w:szCs w:val="21"/>
              </w:rPr>
            </w:pPr>
            <w:r>
              <w:rPr>
                <w:rFonts w:cs="Times New Roman"/>
                <w:color w:val="000000"/>
                <w:szCs w:val="21"/>
              </w:rPr>
              <w:t>布袋除尘</w:t>
            </w:r>
          </w:p>
        </w:tc>
        <w:tc>
          <w:tcPr>
            <w:tcW w:w="996" w:type="dxa"/>
            <w:vAlign w:val="center"/>
          </w:tcPr>
          <w:p w14:paraId="7F794877">
            <w:pPr>
              <w:pStyle w:val="133"/>
              <w:rPr>
                <w:color w:val="000000"/>
                <w:szCs w:val="21"/>
              </w:rPr>
            </w:pPr>
            <w:r>
              <w:rPr>
                <w:rFonts w:hint="eastAsia" w:cs="Times New Roman"/>
                <w:color w:val="000000"/>
                <w:szCs w:val="21"/>
              </w:rPr>
              <w:t>16.5</w:t>
            </w:r>
          </w:p>
        </w:tc>
        <w:tc>
          <w:tcPr>
            <w:tcW w:w="1139" w:type="dxa"/>
            <w:vAlign w:val="center"/>
          </w:tcPr>
          <w:p w14:paraId="6ADE0A05">
            <w:pPr>
              <w:pStyle w:val="133"/>
              <w:rPr>
                <w:color w:val="000000"/>
                <w:szCs w:val="21"/>
              </w:rPr>
            </w:pPr>
            <w:r>
              <w:rPr>
                <w:rFonts w:hint="eastAsia" w:cs="Times New Roman"/>
                <w:color w:val="000000"/>
                <w:szCs w:val="21"/>
              </w:rPr>
              <w:t>9.22</w:t>
            </w:r>
          </w:p>
        </w:tc>
        <w:tc>
          <w:tcPr>
            <w:tcW w:w="1139" w:type="dxa"/>
            <w:vAlign w:val="center"/>
          </w:tcPr>
          <w:p w14:paraId="63334758">
            <w:pPr>
              <w:pStyle w:val="133"/>
              <w:rPr>
                <w:color w:val="000000"/>
                <w:szCs w:val="21"/>
              </w:rPr>
            </w:pPr>
            <w:r>
              <w:rPr>
                <w:rFonts w:hint="eastAsia"/>
                <w:color w:val="000000"/>
                <w:szCs w:val="21"/>
              </w:rPr>
              <w:t>73.022</w:t>
            </w:r>
          </w:p>
        </w:tc>
        <w:tc>
          <w:tcPr>
            <w:tcW w:w="996" w:type="dxa"/>
            <w:vAlign w:val="center"/>
          </w:tcPr>
          <w:p w14:paraId="4144D99A">
            <w:pPr>
              <w:pStyle w:val="133"/>
              <w:rPr>
                <w:color w:val="000000"/>
                <w:szCs w:val="21"/>
              </w:rPr>
            </w:pPr>
            <w:r>
              <w:rPr>
                <w:rFonts w:hint="eastAsia"/>
                <w:color w:val="000000"/>
                <w:szCs w:val="21"/>
              </w:rPr>
              <w:t>50</w:t>
            </w:r>
          </w:p>
        </w:tc>
        <w:tc>
          <w:tcPr>
            <w:tcW w:w="996" w:type="dxa"/>
            <w:vAlign w:val="center"/>
          </w:tcPr>
          <w:p w14:paraId="095CD299">
            <w:pPr>
              <w:pStyle w:val="133"/>
              <w:rPr>
                <w:color w:val="000000"/>
                <w:szCs w:val="21"/>
              </w:rPr>
            </w:pPr>
            <w:r>
              <w:rPr>
                <w:rFonts w:hint="eastAsia"/>
                <w:color w:val="000000"/>
                <w:szCs w:val="21"/>
              </w:rPr>
              <w:t>-</w:t>
            </w:r>
          </w:p>
        </w:tc>
        <w:tc>
          <w:tcPr>
            <w:tcW w:w="2658" w:type="dxa"/>
            <w:vAlign w:val="center"/>
          </w:tcPr>
          <w:p w14:paraId="4907EF67">
            <w:pPr>
              <w:pStyle w:val="133"/>
              <w:rPr>
                <w:color w:val="000000"/>
                <w:szCs w:val="21"/>
              </w:rPr>
            </w:pPr>
            <w:r>
              <w:rPr>
                <w:rFonts w:cs="Times New Roman"/>
                <w:color w:val="000000"/>
                <w:szCs w:val="21"/>
              </w:rPr>
              <w:t>《铁合金工业污染物排放标准》（GB28666-2012）</w:t>
            </w:r>
          </w:p>
        </w:tc>
      </w:tr>
      <w:tr w14:paraId="73193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CBB2C50">
            <w:pPr>
              <w:pStyle w:val="133"/>
              <w:rPr>
                <w:color w:val="EE0000"/>
                <w:szCs w:val="21"/>
              </w:rPr>
            </w:pPr>
          </w:p>
        </w:tc>
        <w:tc>
          <w:tcPr>
            <w:tcW w:w="1113" w:type="dxa"/>
            <w:vMerge w:val="continue"/>
            <w:vAlign w:val="center"/>
          </w:tcPr>
          <w:p w14:paraId="239FB6A8">
            <w:pPr>
              <w:pStyle w:val="133"/>
              <w:rPr>
                <w:color w:val="EE0000"/>
                <w:szCs w:val="21"/>
              </w:rPr>
            </w:pPr>
          </w:p>
        </w:tc>
        <w:tc>
          <w:tcPr>
            <w:tcW w:w="1139" w:type="dxa"/>
            <w:vMerge w:val="continue"/>
            <w:vAlign w:val="center"/>
          </w:tcPr>
          <w:p w14:paraId="412F0A59">
            <w:pPr>
              <w:pStyle w:val="133"/>
              <w:rPr>
                <w:color w:val="000000"/>
                <w:szCs w:val="21"/>
              </w:rPr>
            </w:pPr>
          </w:p>
        </w:tc>
        <w:tc>
          <w:tcPr>
            <w:tcW w:w="1284" w:type="dxa"/>
            <w:vAlign w:val="center"/>
          </w:tcPr>
          <w:p w14:paraId="44ACBE77">
            <w:pPr>
              <w:pStyle w:val="133"/>
              <w:rPr>
                <w:color w:val="000000"/>
                <w:szCs w:val="21"/>
              </w:rPr>
            </w:pPr>
            <w:r>
              <w:rPr>
                <w:color w:val="000000"/>
                <w:szCs w:val="21"/>
              </w:rPr>
              <w:t>SO</w:t>
            </w:r>
            <w:r>
              <w:rPr>
                <w:color w:val="000000"/>
                <w:szCs w:val="21"/>
                <w:vertAlign w:val="subscript"/>
              </w:rPr>
              <w:t>2</w:t>
            </w:r>
          </w:p>
        </w:tc>
        <w:tc>
          <w:tcPr>
            <w:tcW w:w="713" w:type="dxa"/>
            <w:vMerge w:val="continue"/>
            <w:vAlign w:val="center"/>
          </w:tcPr>
          <w:p w14:paraId="3213B5AC">
            <w:pPr>
              <w:pStyle w:val="133"/>
              <w:rPr>
                <w:color w:val="000000"/>
                <w:szCs w:val="21"/>
              </w:rPr>
            </w:pPr>
          </w:p>
        </w:tc>
        <w:tc>
          <w:tcPr>
            <w:tcW w:w="1135" w:type="dxa"/>
            <w:vAlign w:val="center"/>
          </w:tcPr>
          <w:p w14:paraId="392D442D">
            <w:pPr>
              <w:pStyle w:val="133"/>
              <w:rPr>
                <w:color w:val="000000"/>
                <w:szCs w:val="21"/>
              </w:rPr>
            </w:pPr>
            <w:r>
              <w:rPr>
                <w:rFonts w:hint="eastAsia" w:cs="Times New Roman"/>
                <w:color w:val="000000"/>
                <w:szCs w:val="21"/>
              </w:rPr>
              <w:t>/</w:t>
            </w:r>
          </w:p>
        </w:tc>
        <w:tc>
          <w:tcPr>
            <w:tcW w:w="996" w:type="dxa"/>
            <w:vAlign w:val="center"/>
          </w:tcPr>
          <w:p w14:paraId="189D5122">
            <w:pPr>
              <w:pStyle w:val="133"/>
              <w:rPr>
                <w:color w:val="000000"/>
                <w:szCs w:val="21"/>
              </w:rPr>
            </w:pPr>
            <w:r>
              <w:rPr>
                <w:rFonts w:hint="eastAsia" w:cs="Times New Roman"/>
                <w:color w:val="000000"/>
                <w:szCs w:val="21"/>
              </w:rPr>
              <w:t>173.1</w:t>
            </w:r>
          </w:p>
        </w:tc>
        <w:tc>
          <w:tcPr>
            <w:tcW w:w="1139" w:type="dxa"/>
            <w:vAlign w:val="center"/>
          </w:tcPr>
          <w:p w14:paraId="663E5692">
            <w:pPr>
              <w:pStyle w:val="133"/>
              <w:rPr>
                <w:color w:val="000000"/>
                <w:szCs w:val="21"/>
              </w:rPr>
            </w:pPr>
            <w:r>
              <w:rPr>
                <w:rFonts w:hint="eastAsia" w:cs="Times New Roman"/>
                <w:color w:val="000000"/>
                <w:szCs w:val="21"/>
              </w:rPr>
              <w:t>96.93</w:t>
            </w:r>
          </w:p>
        </w:tc>
        <w:tc>
          <w:tcPr>
            <w:tcW w:w="1139" w:type="dxa"/>
            <w:vAlign w:val="center"/>
          </w:tcPr>
          <w:p w14:paraId="008C1B59">
            <w:pPr>
              <w:pStyle w:val="133"/>
              <w:rPr>
                <w:color w:val="000000"/>
                <w:szCs w:val="21"/>
              </w:rPr>
            </w:pPr>
            <w:r>
              <w:rPr>
                <w:rFonts w:hint="eastAsia"/>
                <w:color w:val="000000"/>
                <w:szCs w:val="21"/>
              </w:rPr>
              <w:t>767.686</w:t>
            </w:r>
          </w:p>
        </w:tc>
        <w:tc>
          <w:tcPr>
            <w:tcW w:w="996" w:type="dxa"/>
            <w:vAlign w:val="center"/>
          </w:tcPr>
          <w:p w14:paraId="1A01E5EC">
            <w:pPr>
              <w:pStyle w:val="133"/>
              <w:rPr>
                <w:color w:val="000000"/>
                <w:szCs w:val="21"/>
              </w:rPr>
            </w:pPr>
            <w:r>
              <w:rPr>
                <w:rFonts w:hint="eastAsia"/>
                <w:color w:val="000000"/>
                <w:szCs w:val="21"/>
              </w:rPr>
              <w:t>550</w:t>
            </w:r>
          </w:p>
        </w:tc>
        <w:tc>
          <w:tcPr>
            <w:tcW w:w="996" w:type="dxa"/>
            <w:vAlign w:val="center"/>
          </w:tcPr>
          <w:p w14:paraId="55DE583D">
            <w:pPr>
              <w:pStyle w:val="133"/>
              <w:rPr>
                <w:color w:val="000000"/>
                <w:szCs w:val="21"/>
              </w:rPr>
            </w:pPr>
            <w:r>
              <w:rPr>
                <w:rFonts w:hint="eastAsia"/>
                <w:color w:val="000000"/>
                <w:szCs w:val="21"/>
              </w:rPr>
              <w:t>-</w:t>
            </w:r>
          </w:p>
        </w:tc>
        <w:tc>
          <w:tcPr>
            <w:tcW w:w="2658" w:type="dxa"/>
            <w:vMerge w:val="restart"/>
            <w:vAlign w:val="center"/>
          </w:tcPr>
          <w:p w14:paraId="4DEC08C5">
            <w:pPr>
              <w:pStyle w:val="133"/>
              <w:rPr>
                <w:color w:val="000000"/>
                <w:szCs w:val="21"/>
              </w:rPr>
            </w:pPr>
            <w:r>
              <w:rPr>
                <w:rFonts w:hint="eastAsia"/>
                <w:color w:val="000000"/>
                <w:szCs w:val="21"/>
              </w:rPr>
              <w:t>《大气污染物综合排放标准》（GB16297-1996）表2</w:t>
            </w:r>
          </w:p>
        </w:tc>
      </w:tr>
      <w:tr w14:paraId="17B9C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A9BE08D">
            <w:pPr>
              <w:pStyle w:val="133"/>
              <w:rPr>
                <w:color w:val="EE0000"/>
                <w:szCs w:val="21"/>
              </w:rPr>
            </w:pPr>
          </w:p>
        </w:tc>
        <w:tc>
          <w:tcPr>
            <w:tcW w:w="1113" w:type="dxa"/>
            <w:vMerge w:val="continue"/>
            <w:vAlign w:val="center"/>
          </w:tcPr>
          <w:p w14:paraId="39024F86">
            <w:pPr>
              <w:pStyle w:val="133"/>
              <w:rPr>
                <w:color w:val="EE0000"/>
                <w:szCs w:val="21"/>
              </w:rPr>
            </w:pPr>
          </w:p>
        </w:tc>
        <w:tc>
          <w:tcPr>
            <w:tcW w:w="1139" w:type="dxa"/>
            <w:vMerge w:val="continue"/>
            <w:vAlign w:val="center"/>
          </w:tcPr>
          <w:p w14:paraId="28B19A67">
            <w:pPr>
              <w:pStyle w:val="133"/>
              <w:rPr>
                <w:color w:val="000000"/>
                <w:szCs w:val="21"/>
              </w:rPr>
            </w:pPr>
          </w:p>
        </w:tc>
        <w:tc>
          <w:tcPr>
            <w:tcW w:w="1284" w:type="dxa"/>
            <w:vAlign w:val="center"/>
          </w:tcPr>
          <w:p w14:paraId="407D2946">
            <w:pPr>
              <w:pStyle w:val="133"/>
              <w:rPr>
                <w:color w:val="000000"/>
                <w:szCs w:val="21"/>
              </w:rPr>
            </w:pPr>
            <w:r>
              <w:rPr>
                <w:color w:val="000000"/>
                <w:szCs w:val="21"/>
              </w:rPr>
              <w:t>NO</w:t>
            </w:r>
            <w:r>
              <w:rPr>
                <w:color w:val="000000"/>
                <w:szCs w:val="21"/>
                <w:vertAlign w:val="subscript"/>
              </w:rPr>
              <w:t>X</w:t>
            </w:r>
          </w:p>
        </w:tc>
        <w:tc>
          <w:tcPr>
            <w:tcW w:w="713" w:type="dxa"/>
            <w:vMerge w:val="continue"/>
            <w:vAlign w:val="center"/>
          </w:tcPr>
          <w:p w14:paraId="1CA543B0">
            <w:pPr>
              <w:pStyle w:val="133"/>
              <w:rPr>
                <w:color w:val="000000"/>
                <w:szCs w:val="21"/>
              </w:rPr>
            </w:pPr>
          </w:p>
        </w:tc>
        <w:tc>
          <w:tcPr>
            <w:tcW w:w="1135" w:type="dxa"/>
            <w:vAlign w:val="center"/>
          </w:tcPr>
          <w:p w14:paraId="0B2287F0">
            <w:pPr>
              <w:pStyle w:val="133"/>
              <w:rPr>
                <w:color w:val="000000"/>
                <w:szCs w:val="21"/>
              </w:rPr>
            </w:pPr>
            <w:r>
              <w:rPr>
                <w:rFonts w:hint="eastAsia" w:cs="Times New Roman"/>
                <w:color w:val="000000"/>
                <w:szCs w:val="21"/>
              </w:rPr>
              <w:t>/</w:t>
            </w:r>
          </w:p>
        </w:tc>
        <w:tc>
          <w:tcPr>
            <w:tcW w:w="996" w:type="dxa"/>
            <w:vAlign w:val="center"/>
          </w:tcPr>
          <w:p w14:paraId="46C5C33A">
            <w:pPr>
              <w:pStyle w:val="133"/>
              <w:rPr>
                <w:color w:val="000000"/>
                <w:szCs w:val="21"/>
              </w:rPr>
            </w:pPr>
            <w:r>
              <w:rPr>
                <w:rFonts w:hint="eastAsia" w:cs="Times New Roman"/>
                <w:color w:val="000000"/>
                <w:szCs w:val="21"/>
              </w:rPr>
              <w:t>34.8</w:t>
            </w:r>
          </w:p>
        </w:tc>
        <w:tc>
          <w:tcPr>
            <w:tcW w:w="1139" w:type="dxa"/>
            <w:vAlign w:val="center"/>
          </w:tcPr>
          <w:p w14:paraId="2BDF5506">
            <w:pPr>
              <w:pStyle w:val="133"/>
              <w:rPr>
                <w:color w:val="000000"/>
                <w:szCs w:val="21"/>
              </w:rPr>
            </w:pPr>
            <w:r>
              <w:rPr>
                <w:rFonts w:hint="eastAsia" w:cs="Times New Roman"/>
                <w:color w:val="000000"/>
                <w:szCs w:val="21"/>
              </w:rPr>
              <w:t>19.47</w:t>
            </w:r>
          </w:p>
        </w:tc>
        <w:tc>
          <w:tcPr>
            <w:tcW w:w="1139" w:type="dxa"/>
            <w:vAlign w:val="center"/>
          </w:tcPr>
          <w:p w14:paraId="31CD8F90">
            <w:pPr>
              <w:pStyle w:val="133"/>
              <w:rPr>
                <w:color w:val="000000"/>
                <w:szCs w:val="21"/>
              </w:rPr>
            </w:pPr>
            <w:r>
              <w:rPr>
                <w:rFonts w:hint="eastAsia"/>
                <w:color w:val="000000"/>
                <w:szCs w:val="21"/>
              </w:rPr>
              <w:t>154.202</w:t>
            </w:r>
          </w:p>
        </w:tc>
        <w:tc>
          <w:tcPr>
            <w:tcW w:w="996" w:type="dxa"/>
            <w:vAlign w:val="center"/>
          </w:tcPr>
          <w:p w14:paraId="36094C9F">
            <w:pPr>
              <w:pStyle w:val="133"/>
              <w:rPr>
                <w:color w:val="000000"/>
                <w:szCs w:val="21"/>
              </w:rPr>
            </w:pPr>
            <w:r>
              <w:rPr>
                <w:rFonts w:hint="eastAsia"/>
                <w:color w:val="000000"/>
                <w:szCs w:val="21"/>
              </w:rPr>
              <w:t>240</w:t>
            </w:r>
          </w:p>
        </w:tc>
        <w:tc>
          <w:tcPr>
            <w:tcW w:w="996" w:type="dxa"/>
            <w:vAlign w:val="center"/>
          </w:tcPr>
          <w:p w14:paraId="1DCD4A47">
            <w:pPr>
              <w:pStyle w:val="133"/>
              <w:rPr>
                <w:color w:val="000000"/>
                <w:szCs w:val="21"/>
              </w:rPr>
            </w:pPr>
            <w:r>
              <w:rPr>
                <w:rFonts w:hint="eastAsia"/>
                <w:color w:val="000000"/>
                <w:szCs w:val="21"/>
              </w:rPr>
              <w:t>-</w:t>
            </w:r>
          </w:p>
        </w:tc>
        <w:tc>
          <w:tcPr>
            <w:tcW w:w="2658" w:type="dxa"/>
            <w:vMerge w:val="continue"/>
            <w:vAlign w:val="center"/>
          </w:tcPr>
          <w:p w14:paraId="67A74973">
            <w:pPr>
              <w:pStyle w:val="133"/>
              <w:rPr>
                <w:color w:val="000000"/>
                <w:szCs w:val="21"/>
              </w:rPr>
            </w:pPr>
          </w:p>
        </w:tc>
      </w:tr>
      <w:tr w14:paraId="382FE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4C4CCD6F">
            <w:pPr>
              <w:pStyle w:val="133"/>
              <w:rPr>
                <w:color w:val="EE0000"/>
                <w:szCs w:val="21"/>
              </w:rPr>
            </w:pPr>
          </w:p>
        </w:tc>
        <w:tc>
          <w:tcPr>
            <w:tcW w:w="1113" w:type="dxa"/>
            <w:vMerge w:val="continue"/>
            <w:vAlign w:val="center"/>
          </w:tcPr>
          <w:p w14:paraId="3971EDBF">
            <w:pPr>
              <w:pStyle w:val="133"/>
              <w:rPr>
                <w:color w:val="EE0000"/>
                <w:szCs w:val="21"/>
              </w:rPr>
            </w:pPr>
          </w:p>
        </w:tc>
        <w:tc>
          <w:tcPr>
            <w:tcW w:w="1139" w:type="dxa"/>
            <w:vAlign w:val="center"/>
          </w:tcPr>
          <w:p w14:paraId="62BA8ABB">
            <w:pPr>
              <w:pStyle w:val="133"/>
              <w:rPr>
                <w:color w:val="000000"/>
                <w:szCs w:val="21"/>
              </w:rPr>
            </w:pPr>
            <w:r>
              <w:rPr>
                <w:rFonts w:cs="Times New Roman"/>
                <w:color w:val="000000"/>
                <w:szCs w:val="21"/>
              </w:rPr>
              <w:t>出铁浇铸废气</w:t>
            </w:r>
          </w:p>
        </w:tc>
        <w:tc>
          <w:tcPr>
            <w:tcW w:w="1284" w:type="dxa"/>
            <w:vAlign w:val="center"/>
          </w:tcPr>
          <w:p w14:paraId="296919AD">
            <w:pPr>
              <w:pStyle w:val="133"/>
              <w:rPr>
                <w:color w:val="000000"/>
                <w:szCs w:val="21"/>
              </w:rPr>
            </w:pPr>
            <w:r>
              <w:rPr>
                <w:rFonts w:cs="Times New Roman"/>
                <w:color w:val="000000"/>
                <w:szCs w:val="21"/>
              </w:rPr>
              <w:t>颗粒物</w:t>
            </w:r>
          </w:p>
        </w:tc>
        <w:tc>
          <w:tcPr>
            <w:tcW w:w="713" w:type="dxa"/>
            <w:vAlign w:val="center"/>
          </w:tcPr>
          <w:p w14:paraId="400AD159">
            <w:pPr>
              <w:pStyle w:val="133"/>
              <w:rPr>
                <w:color w:val="000000"/>
                <w:szCs w:val="21"/>
              </w:rPr>
            </w:pPr>
            <w:r>
              <w:rPr>
                <w:rFonts w:hint="eastAsia"/>
                <w:color w:val="000000"/>
                <w:szCs w:val="21"/>
              </w:rPr>
              <w:t>有组织</w:t>
            </w:r>
          </w:p>
        </w:tc>
        <w:tc>
          <w:tcPr>
            <w:tcW w:w="1135" w:type="dxa"/>
            <w:vAlign w:val="center"/>
          </w:tcPr>
          <w:p w14:paraId="7A0E1274">
            <w:pPr>
              <w:pStyle w:val="133"/>
              <w:rPr>
                <w:color w:val="000000"/>
                <w:szCs w:val="21"/>
              </w:rPr>
            </w:pPr>
            <w:r>
              <w:rPr>
                <w:rFonts w:cs="Times New Roman"/>
                <w:color w:val="000000"/>
                <w:szCs w:val="21"/>
              </w:rPr>
              <w:t>布袋除尘</w:t>
            </w:r>
          </w:p>
        </w:tc>
        <w:tc>
          <w:tcPr>
            <w:tcW w:w="996" w:type="dxa"/>
            <w:vAlign w:val="center"/>
          </w:tcPr>
          <w:p w14:paraId="08E6E527">
            <w:pPr>
              <w:pStyle w:val="133"/>
              <w:rPr>
                <w:color w:val="000000"/>
                <w:szCs w:val="21"/>
              </w:rPr>
            </w:pPr>
            <w:r>
              <w:rPr>
                <w:rFonts w:hint="eastAsia" w:cs="Times New Roman"/>
                <w:color w:val="000000"/>
                <w:szCs w:val="21"/>
              </w:rPr>
              <w:t>1.6</w:t>
            </w:r>
          </w:p>
        </w:tc>
        <w:tc>
          <w:tcPr>
            <w:tcW w:w="1139" w:type="dxa"/>
            <w:vAlign w:val="center"/>
          </w:tcPr>
          <w:p w14:paraId="1CF1CA22">
            <w:pPr>
              <w:pStyle w:val="133"/>
              <w:rPr>
                <w:color w:val="000000"/>
                <w:szCs w:val="21"/>
              </w:rPr>
            </w:pPr>
            <w:r>
              <w:rPr>
                <w:rFonts w:hint="eastAsia" w:cs="Times New Roman"/>
                <w:color w:val="000000"/>
                <w:szCs w:val="21"/>
              </w:rPr>
              <w:t>0.10</w:t>
            </w:r>
          </w:p>
        </w:tc>
        <w:tc>
          <w:tcPr>
            <w:tcW w:w="1139" w:type="dxa"/>
            <w:vAlign w:val="center"/>
          </w:tcPr>
          <w:p w14:paraId="02E44057">
            <w:pPr>
              <w:pStyle w:val="133"/>
              <w:rPr>
                <w:color w:val="000000"/>
                <w:szCs w:val="21"/>
              </w:rPr>
            </w:pPr>
            <w:r>
              <w:rPr>
                <w:rFonts w:hint="eastAsia"/>
                <w:color w:val="000000"/>
                <w:szCs w:val="21"/>
              </w:rPr>
              <w:t>0.792</w:t>
            </w:r>
          </w:p>
        </w:tc>
        <w:tc>
          <w:tcPr>
            <w:tcW w:w="996" w:type="dxa"/>
            <w:vAlign w:val="center"/>
          </w:tcPr>
          <w:p w14:paraId="0984EFBF">
            <w:pPr>
              <w:pStyle w:val="133"/>
              <w:rPr>
                <w:color w:val="000000"/>
                <w:szCs w:val="21"/>
              </w:rPr>
            </w:pPr>
            <w:r>
              <w:rPr>
                <w:rFonts w:hint="eastAsia"/>
                <w:color w:val="000000"/>
                <w:szCs w:val="21"/>
              </w:rPr>
              <w:t>50</w:t>
            </w:r>
          </w:p>
        </w:tc>
        <w:tc>
          <w:tcPr>
            <w:tcW w:w="996" w:type="dxa"/>
            <w:vAlign w:val="center"/>
          </w:tcPr>
          <w:p w14:paraId="4BEE3753">
            <w:pPr>
              <w:pStyle w:val="133"/>
              <w:rPr>
                <w:color w:val="000000"/>
                <w:szCs w:val="21"/>
              </w:rPr>
            </w:pPr>
            <w:r>
              <w:rPr>
                <w:rFonts w:hint="eastAsia"/>
                <w:color w:val="000000"/>
                <w:szCs w:val="21"/>
              </w:rPr>
              <w:t>-</w:t>
            </w:r>
          </w:p>
        </w:tc>
        <w:tc>
          <w:tcPr>
            <w:tcW w:w="2658" w:type="dxa"/>
            <w:vAlign w:val="center"/>
          </w:tcPr>
          <w:p w14:paraId="0CCD39D2">
            <w:pPr>
              <w:pStyle w:val="133"/>
              <w:rPr>
                <w:color w:val="000000"/>
                <w:szCs w:val="21"/>
              </w:rPr>
            </w:pPr>
            <w:r>
              <w:rPr>
                <w:rFonts w:cs="Times New Roman"/>
                <w:color w:val="000000"/>
                <w:szCs w:val="21"/>
              </w:rPr>
              <w:t>《铁合金工业污染物排放标准》（GB28666-2012）</w:t>
            </w:r>
          </w:p>
        </w:tc>
      </w:tr>
      <w:tr w14:paraId="3331A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1ABBB69">
            <w:pPr>
              <w:pStyle w:val="133"/>
              <w:rPr>
                <w:color w:val="EE0000"/>
                <w:szCs w:val="21"/>
              </w:rPr>
            </w:pPr>
          </w:p>
        </w:tc>
        <w:tc>
          <w:tcPr>
            <w:tcW w:w="1113" w:type="dxa"/>
            <w:vMerge w:val="continue"/>
            <w:vAlign w:val="center"/>
          </w:tcPr>
          <w:p w14:paraId="5441649D">
            <w:pPr>
              <w:pStyle w:val="133"/>
              <w:rPr>
                <w:color w:val="EE0000"/>
                <w:szCs w:val="21"/>
              </w:rPr>
            </w:pPr>
          </w:p>
        </w:tc>
        <w:tc>
          <w:tcPr>
            <w:tcW w:w="1139" w:type="dxa"/>
            <w:vAlign w:val="center"/>
          </w:tcPr>
          <w:p w14:paraId="6BBDC116">
            <w:pPr>
              <w:pStyle w:val="133"/>
              <w:rPr>
                <w:color w:val="000000"/>
                <w:szCs w:val="21"/>
              </w:rPr>
            </w:pPr>
            <w:r>
              <w:rPr>
                <w:rFonts w:cs="Times New Roman"/>
                <w:color w:val="000000"/>
                <w:szCs w:val="21"/>
              </w:rPr>
              <w:t>破碎废气</w:t>
            </w:r>
          </w:p>
        </w:tc>
        <w:tc>
          <w:tcPr>
            <w:tcW w:w="1284" w:type="dxa"/>
            <w:vAlign w:val="center"/>
          </w:tcPr>
          <w:p w14:paraId="69A551F7">
            <w:pPr>
              <w:pStyle w:val="133"/>
              <w:rPr>
                <w:color w:val="000000"/>
                <w:szCs w:val="21"/>
              </w:rPr>
            </w:pPr>
            <w:r>
              <w:rPr>
                <w:rFonts w:cs="Times New Roman"/>
                <w:color w:val="000000"/>
                <w:szCs w:val="21"/>
              </w:rPr>
              <w:t>颗粒物</w:t>
            </w:r>
          </w:p>
        </w:tc>
        <w:tc>
          <w:tcPr>
            <w:tcW w:w="713" w:type="dxa"/>
            <w:vAlign w:val="center"/>
          </w:tcPr>
          <w:p w14:paraId="06465D01">
            <w:pPr>
              <w:pStyle w:val="133"/>
              <w:rPr>
                <w:color w:val="000000"/>
                <w:szCs w:val="21"/>
              </w:rPr>
            </w:pPr>
            <w:r>
              <w:rPr>
                <w:rFonts w:hint="eastAsia"/>
                <w:color w:val="000000"/>
                <w:szCs w:val="21"/>
              </w:rPr>
              <w:t>有组织</w:t>
            </w:r>
          </w:p>
        </w:tc>
        <w:tc>
          <w:tcPr>
            <w:tcW w:w="1135" w:type="dxa"/>
            <w:vAlign w:val="center"/>
          </w:tcPr>
          <w:p w14:paraId="546AB4E5">
            <w:pPr>
              <w:pStyle w:val="133"/>
              <w:rPr>
                <w:color w:val="000000"/>
                <w:szCs w:val="21"/>
              </w:rPr>
            </w:pPr>
            <w:r>
              <w:rPr>
                <w:rFonts w:cs="Times New Roman"/>
                <w:color w:val="000000"/>
                <w:szCs w:val="21"/>
              </w:rPr>
              <w:t>布袋除尘</w:t>
            </w:r>
          </w:p>
        </w:tc>
        <w:tc>
          <w:tcPr>
            <w:tcW w:w="996" w:type="dxa"/>
            <w:vAlign w:val="center"/>
          </w:tcPr>
          <w:p w14:paraId="1CAAA49D">
            <w:pPr>
              <w:pStyle w:val="133"/>
              <w:rPr>
                <w:color w:val="000000"/>
                <w:szCs w:val="21"/>
              </w:rPr>
            </w:pPr>
            <w:r>
              <w:rPr>
                <w:rFonts w:hint="eastAsia" w:cs="Times New Roman"/>
                <w:color w:val="000000"/>
                <w:szCs w:val="21"/>
              </w:rPr>
              <w:t>2.0</w:t>
            </w:r>
          </w:p>
        </w:tc>
        <w:tc>
          <w:tcPr>
            <w:tcW w:w="1139" w:type="dxa"/>
            <w:vAlign w:val="center"/>
          </w:tcPr>
          <w:p w14:paraId="5979D255">
            <w:pPr>
              <w:pStyle w:val="133"/>
              <w:rPr>
                <w:color w:val="000000"/>
                <w:szCs w:val="21"/>
              </w:rPr>
            </w:pPr>
            <w:r>
              <w:rPr>
                <w:rFonts w:hint="eastAsia" w:cs="Times New Roman"/>
                <w:color w:val="000000"/>
                <w:szCs w:val="21"/>
              </w:rPr>
              <w:t>0.02</w:t>
            </w:r>
          </w:p>
        </w:tc>
        <w:tc>
          <w:tcPr>
            <w:tcW w:w="1139" w:type="dxa"/>
            <w:vAlign w:val="center"/>
          </w:tcPr>
          <w:p w14:paraId="3186E2AB">
            <w:pPr>
              <w:pStyle w:val="133"/>
              <w:rPr>
                <w:color w:val="000000"/>
                <w:szCs w:val="21"/>
              </w:rPr>
            </w:pPr>
            <w:r>
              <w:rPr>
                <w:rFonts w:hint="eastAsia"/>
                <w:color w:val="000000"/>
                <w:szCs w:val="21"/>
              </w:rPr>
              <w:t>0.158</w:t>
            </w:r>
          </w:p>
        </w:tc>
        <w:tc>
          <w:tcPr>
            <w:tcW w:w="996" w:type="dxa"/>
            <w:vAlign w:val="center"/>
          </w:tcPr>
          <w:p w14:paraId="1EB28128">
            <w:pPr>
              <w:pStyle w:val="133"/>
              <w:rPr>
                <w:color w:val="000000"/>
                <w:szCs w:val="21"/>
              </w:rPr>
            </w:pPr>
            <w:r>
              <w:rPr>
                <w:rFonts w:hint="eastAsia"/>
                <w:color w:val="000000"/>
                <w:szCs w:val="21"/>
              </w:rPr>
              <w:t>50</w:t>
            </w:r>
          </w:p>
        </w:tc>
        <w:tc>
          <w:tcPr>
            <w:tcW w:w="996" w:type="dxa"/>
            <w:vAlign w:val="center"/>
          </w:tcPr>
          <w:p w14:paraId="41119680">
            <w:pPr>
              <w:pStyle w:val="133"/>
              <w:rPr>
                <w:color w:val="000000"/>
                <w:szCs w:val="21"/>
              </w:rPr>
            </w:pPr>
            <w:r>
              <w:rPr>
                <w:rFonts w:hint="eastAsia"/>
                <w:color w:val="000000"/>
                <w:szCs w:val="21"/>
              </w:rPr>
              <w:t>-</w:t>
            </w:r>
          </w:p>
        </w:tc>
        <w:tc>
          <w:tcPr>
            <w:tcW w:w="2658" w:type="dxa"/>
            <w:vAlign w:val="center"/>
          </w:tcPr>
          <w:p w14:paraId="5AC78477">
            <w:pPr>
              <w:pStyle w:val="133"/>
              <w:rPr>
                <w:color w:val="000000"/>
                <w:szCs w:val="21"/>
              </w:rPr>
            </w:pPr>
            <w:r>
              <w:rPr>
                <w:rFonts w:cs="Times New Roman"/>
                <w:color w:val="000000"/>
                <w:szCs w:val="21"/>
              </w:rPr>
              <w:t>《铁合金工业污染物排放标准》（GB28666-2012）</w:t>
            </w:r>
          </w:p>
        </w:tc>
      </w:tr>
      <w:tr w14:paraId="25CC6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3B3EAEB">
            <w:pPr>
              <w:pStyle w:val="133"/>
              <w:rPr>
                <w:color w:val="EE0000"/>
                <w:szCs w:val="21"/>
              </w:rPr>
            </w:pPr>
          </w:p>
        </w:tc>
        <w:tc>
          <w:tcPr>
            <w:tcW w:w="1113" w:type="dxa"/>
            <w:vMerge w:val="continue"/>
            <w:vAlign w:val="center"/>
          </w:tcPr>
          <w:p w14:paraId="7847FE3A">
            <w:pPr>
              <w:pStyle w:val="133"/>
              <w:rPr>
                <w:color w:val="EE0000"/>
                <w:szCs w:val="21"/>
              </w:rPr>
            </w:pPr>
          </w:p>
        </w:tc>
        <w:tc>
          <w:tcPr>
            <w:tcW w:w="1139" w:type="dxa"/>
            <w:vAlign w:val="center"/>
          </w:tcPr>
          <w:p w14:paraId="7CF0F47F">
            <w:pPr>
              <w:pStyle w:val="133"/>
              <w:rPr>
                <w:rFonts w:cs="Times New Roman"/>
                <w:color w:val="000000"/>
                <w:szCs w:val="21"/>
              </w:rPr>
            </w:pPr>
            <w:r>
              <w:rPr>
                <w:rFonts w:hint="eastAsia" w:ascii="宋体" w:hAnsi="宋体"/>
                <w:color w:val="000000"/>
                <w:szCs w:val="21"/>
              </w:rPr>
              <w:t>原料堆场</w:t>
            </w:r>
          </w:p>
        </w:tc>
        <w:tc>
          <w:tcPr>
            <w:tcW w:w="1284" w:type="dxa"/>
            <w:vAlign w:val="center"/>
          </w:tcPr>
          <w:p w14:paraId="42E0AF09">
            <w:pPr>
              <w:pStyle w:val="133"/>
              <w:rPr>
                <w:rFonts w:cs="Times New Roman"/>
                <w:color w:val="000000"/>
                <w:szCs w:val="21"/>
              </w:rPr>
            </w:pPr>
            <w:r>
              <w:rPr>
                <w:rFonts w:cs="Times New Roman"/>
                <w:color w:val="000000"/>
                <w:szCs w:val="21"/>
              </w:rPr>
              <w:t>颗粒物</w:t>
            </w:r>
          </w:p>
        </w:tc>
        <w:tc>
          <w:tcPr>
            <w:tcW w:w="713" w:type="dxa"/>
            <w:vAlign w:val="center"/>
          </w:tcPr>
          <w:p w14:paraId="40A7D2B2">
            <w:pPr>
              <w:pStyle w:val="133"/>
              <w:rPr>
                <w:color w:val="000000"/>
                <w:szCs w:val="21"/>
              </w:rPr>
            </w:pPr>
            <w:r>
              <w:rPr>
                <w:rFonts w:hint="eastAsia"/>
                <w:color w:val="000000"/>
                <w:szCs w:val="21"/>
              </w:rPr>
              <w:t>无组织</w:t>
            </w:r>
          </w:p>
        </w:tc>
        <w:tc>
          <w:tcPr>
            <w:tcW w:w="1135" w:type="dxa"/>
            <w:vAlign w:val="center"/>
          </w:tcPr>
          <w:p w14:paraId="014ADC1F">
            <w:pPr>
              <w:pStyle w:val="133"/>
              <w:rPr>
                <w:color w:val="000000"/>
                <w:szCs w:val="21"/>
              </w:rPr>
            </w:pPr>
            <w:r>
              <w:rPr>
                <w:rFonts w:hint="eastAsia" w:cs="Times New Roman"/>
                <w:color w:val="000000"/>
                <w:szCs w:val="21"/>
              </w:rPr>
              <w:t>/</w:t>
            </w:r>
          </w:p>
        </w:tc>
        <w:tc>
          <w:tcPr>
            <w:tcW w:w="996" w:type="dxa"/>
            <w:vAlign w:val="center"/>
          </w:tcPr>
          <w:p w14:paraId="2FEB427E">
            <w:pPr>
              <w:pStyle w:val="133"/>
              <w:rPr>
                <w:color w:val="000000"/>
                <w:szCs w:val="21"/>
              </w:rPr>
            </w:pPr>
            <w:r>
              <w:rPr>
                <w:rFonts w:hint="eastAsia"/>
                <w:color w:val="000000"/>
                <w:szCs w:val="21"/>
              </w:rPr>
              <w:t>-</w:t>
            </w:r>
          </w:p>
        </w:tc>
        <w:tc>
          <w:tcPr>
            <w:tcW w:w="1139" w:type="dxa"/>
            <w:vAlign w:val="center"/>
          </w:tcPr>
          <w:p w14:paraId="6F629C36">
            <w:pPr>
              <w:pStyle w:val="133"/>
              <w:rPr>
                <w:color w:val="000000"/>
                <w:szCs w:val="21"/>
              </w:rPr>
            </w:pPr>
            <w:r>
              <w:rPr>
                <w:rFonts w:cs="Times New Roman"/>
                <w:color w:val="000000"/>
                <w:szCs w:val="21"/>
              </w:rPr>
              <w:t>0.38</w:t>
            </w:r>
          </w:p>
        </w:tc>
        <w:tc>
          <w:tcPr>
            <w:tcW w:w="1139" w:type="dxa"/>
            <w:vAlign w:val="center"/>
          </w:tcPr>
          <w:p w14:paraId="350FB10D">
            <w:pPr>
              <w:pStyle w:val="133"/>
              <w:rPr>
                <w:color w:val="000000"/>
                <w:szCs w:val="21"/>
              </w:rPr>
            </w:pPr>
            <w:r>
              <w:rPr>
                <w:rFonts w:hint="eastAsia" w:cs="Times New Roman"/>
                <w:color w:val="000000"/>
                <w:szCs w:val="21"/>
              </w:rPr>
              <w:t>3.01</w:t>
            </w:r>
          </w:p>
        </w:tc>
        <w:tc>
          <w:tcPr>
            <w:tcW w:w="996" w:type="dxa"/>
            <w:vAlign w:val="center"/>
          </w:tcPr>
          <w:p w14:paraId="36081178">
            <w:pPr>
              <w:pStyle w:val="133"/>
              <w:rPr>
                <w:color w:val="000000"/>
                <w:szCs w:val="21"/>
              </w:rPr>
            </w:pPr>
            <w:r>
              <w:rPr>
                <w:rFonts w:hint="eastAsia"/>
                <w:color w:val="000000"/>
                <w:szCs w:val="21"/>
              </w:rPr>
              <w:t>1.0</w:t>
            </w:r>
          </w:p>
        </w:tc>
        <w:tc>
          <w:tcPr>
            <w:tcW w:w="996" w:type="dxa"/>
            <w:vAlign w:val="center"/>
          </w:tcPr>
          <w:p w14:paraId="6E9308F3">
            <w:pPr>
              <w:pStyle w:val="133"/>
              <w:rPr>
                <w:color w:val="000000"/>
                <w:szCs w:val="21"/>
              </w:rPr>
            </w:pPr>
            <w:r>
              <w:rPr>
                <w:rFonts w:hint="eastAsia"/>
                <w:color w:val="000000"/>
                <w:szCs w:val="21"/>
              </w:rPr>
              <w:t>-</w:t>
            </w:r>
          </w:p>
        </w:tc>
        <w:tc>
          <w:tcPr>
            <w:tcW w:w="2658" w:type="dxa"/>
            <w:vAlign w:val="center"/>
          </w:tcPr>
          <w:p w14:paraId="19CB42BF">
            <w:pPr>
              <w:pStyle w:val="133"/>
              <w:rPr>
                <w:color w:val="000000"/>
                <w:szCs w:val="21"/>
              </w:rPr>
            </w:pPr>
            <w:r>
              <w:rPr>
                <w:rFonts w:hint="eastAsia"/>
                <w:color w:val="000000"/>
                <w:szCs w:val="21"/>
              </w:rPr>
              <w:t>《镁、钛工业污染物排放标准》（GB25468-2010）</w:t>
            </w:r>
          </w:p>
        </w:tc>
      </w:tr>
      <w:tr w14:paraId="3915DE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D622148">
            <w:pPr>
              <w:pStyle w:val="133"/>
              <w:rPr>
                <w:color w:val="EE0000"/>
                <w:szCs w:val="21"/>
              </w:rPr>
            </w:pPr>
          </w:p>
        </w:tc>
        <w:tc>
          <w:tcPr>
            <w:tcW w:w="1113" w:type="dxa"/>
            <w:vMerge w:val="continue"/>
            <w:vAlign w:val="center"/>
          </w:tcPr>
          <w:p w14:paraId="28A38F50">
            <w:pPr>
              <w:pStyle w:val="133"/>
              <w:rPr>
                <w:color w:val="EE0000"/>
                <w:szCs w:val="21"/>
              </w:rPr>
            </w:pPr>
          </w:p>
        </w:tc>
        <w:tc>
          <w:tcPr>
            <w:tcW w:w="1139" w:type="dxa"/>
            <w:vAlign w:val="center"/>
          </w:tcPr>
          <w:p w14:paraId="25BDC6D5">
            <w:pPr>
              <w:pStyle w:val="133"/>
              <w:rPr>
                <w:rFonts w:cs="Times New Roman"/>
                <w:color w:val="000000"/>
                <w:szCs w:val="21"/>
              </w:rPr>
            </w:pPr>
            <w:r>
              <w:rPr>
                <w:rFonts w:hint="eastAsia" w:ascii="宋体" w:hAnsi="宋体"/>
                <w:color w:val="000000"/>
                <w:szCs w:val="21"/>
              </w:rPr>
              <w:t>兰炭棚</w:t>
            </w:r>
          </w:p>
        </w:tc>
        <w:tc>
          <w:tcPr>
            <w:tcW w:w="1284" w:type="dxa"/>
            <w:vAlign w:val="center"/>
          </w:tcPr>
          <w:p w14:paraId="7C8199E4">
            <w:pPr>
              <w:pStyle w:val="133"/>
              <w:rPr>
                <w:rFonts w:cs="Times New Roman"/>
                <w:color w:val="000000"/>
                <w:szCs w:val="21"/>
              </w:rPr>
            </w:pPr>
            <w:r>
              <w:rPr>
                <w:rFonts w:cs="Times New Roman"/>
                <w:color w:val="000000"/>
                <w:szCs w:val="21"/>
              </w:rPr>
              <w:t>颗粒物</w:t>
            </w:r>
          </w:p>
        </w:tc>
        <w:tc>
          <w:tcPr>
            <w:tcW w:w="713" w:type="dxa"/>
            <w:vAlign w:val="center"/>
          </w:tcPr>
          <w:p w14:paraId="12F9A8BB">
            <w:pPr>
              <w:pStyle w:val="133"/>
              <w:rPr>
                <w:color w:val="000000"/>
                <w:szCs w:val="21"/>
              </w:rPr>
            </w:pPr>
            <w:r>
              <w:rPr>
                <w:rFonts w:hint="eastAsia"/>
                <w:color w:val="000000"/>
                <w:szCs w:val="21"/>
              </w:rPr>
              <w:t>无组织</w:t>
            </w:r>
          </w:p>
        </w:tc>
        <w:tc>
          <w:tcPr>
            <w:tcW w:w="1135" w:type="dxa"/>
            <w:vAlign w:val="center"/>
          </w:tcPr>
          <w:p w14:paraId="0ECACCCD">
            <w:pPr>
              <w:pStyle w:val="133"/>
              <w:rPr>
                <w:color w:val="000000"/>
                <w:szCs w:val="21"/>
              </w:rPr>
            </w:pPr>
            <w:r>
              <w:rPr>
                <w:rFonts w:hint="eastAsia" w:cs="Times New Roman"/>
                <w:color w:val="000000"/>
                <w:szCs w:val="21"/>
              </w:rPr>
              <w:t>/</w:t>
            </w:r>
          </w:p>
        </w:tc>
        <w:tc>
          <w:tcPr>
            <w:tcW w:w="996" w:type="dxa"/>
            <w:vAlign w:val="center"/>
          </w:tcPr>
          <w:p w14:paraId="151F9729">
            <w:pPr>
              <w:pStyle w:val="133"/>
              <w:rPr>
                <w:color w:val="000000"/>
                <w:szCs w:val="21"/>
              </w:rPr>
            </w:pPr>
            <w:r>
              <w:rPr>
                <w:rFonts w:hint="eastAsia"/>
                <w:color w:val="000000"/>
                <w:szCs w:val="21"/>
              </w:rPr>
              <w:t>-</w:t>
            </w:r>
          </w:p>
        </w:tc>
        <w:tc>
          <w:tcPr>
            <w:tcW w:w="1139" w:type="dxa"/>
            <w:vAlign w:val="center"/>
          </w:tcPr>
          <w:p w14:paraId="77F6CCB1">
            <w:pPr>
              <w:pStyle w:val="133"/>
              <w:rPr>
                <w:color w:val="000000"/>
                <w:szCs w:val="21"/>
              </w:rPr>
            </w:pPr>
            <w:r>
              <w:rPr>
                <w:rFonts w:cs="Times New Roman"/>
                <w:color w:val="000000"/>
                <w:szCs w:val="21"/>
              </w:rPr>
              <w:t>0.409</w:t>
            </w:r>
          </w:p>
        </w:tc>
        <w:tc>
          <w:tcPr>
            <w:tcW w:w="1139" w:type="dxa"/>
            <w:vAlign w:val="center"/>
          </w:tcPr>
          <w:p w14:paraId="5217A978">
            <w:pPr>
              <w:pStyle w:val="133"/>
              <w:rPr>
                <w:color w:val="000000"/>
                <w:szCs w:val="21"/>
              </w:rPr>
            </w:pPr>
            <w:r>
              <w:rPr>
                <w:rFonts w:hint="eastAsia" w:cs="Times New Roman"/>
                <w:color w:val="000000"/>
                <w:szCs w:val="21"/>
              </w:rPr>
              <w:t>3.24</w:t>
            </w:r>
          </w:p>
        </w:tc>
        <w:tc>
          <w:tcPr>
            <w:tcW w:w="996" w:type="dxa"/>
            <w:vAlign w:val="center"/>
          </w:tcPr>
          <w:p w14:paraId="70CD5481">
            <w:pPr>
              <w:pStyle w:val="133"/>
              <w:rPr>
                <w:color w:val="000000"/>
                <w:szCs w:val="21"/>
              </w:rPr>
            </w:pPr>
            <w:r>
              <w:rPr>
                <w:rFonts w:hint="eastAsia"/>
                <w:color w:val="000000"/>
                <w:szCs w:val="21"/>
              </w:rPr>
              <w:t>1.0</w:t>
            </w:r>
          </w:p>
        </w:tc>
        <w:tc>
          <w:tcPr>
            <w:tcW w:w="996" w:type="dxa"/>
            <w:vAlign w:val="center"/>
          </w:tcPr>
          <w:p w14:paraId="102FD8FE">
            <w:pPr>
              <w:pStyle w:val="133"/>
              <w:rPr>
                <w:color w:val="000000"/>
                <w:szCs w:val="21"/>
              </w:rPr>
            </w:pPr>
            <w:r>
              <w:rPr>
                <w:rFonts w:hint="eastAsia"/>
                <w:color w:val="000000"/>
                <w:szCs w:val="21"/>
              </w:rPr>
              <w:t>-</w:t>
            </w:r>
          </w:p>
        </w:tc>
        <w:tc>
          <w:tcPr>
            <w:tcW w:w="2658" w:type="dxa"/>
            <w:vAlign w:val="center"/>
          </w:tcPr>
          <w:p w14:paraId="16A45321">
            <w:pPr>
              <w:pStyle w:val="133"/>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《镁、钛工业污染物排放标准》（GB25468-2010）</w:t>
            </w:r>
          </w:p>
        </w:tc>
      </w:tr>
      <w:tr w14:paraId="1C0BB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6F54483">
            <w:pPr>
              <w:pStyle w:val="133"/>
              <w:rPr>
                <w:color w:val="EE0000"/>
                <w:szCs w:val="21"/>
              </w:rPr>
            </w:pPr>
          </w:p>
        </w:tc>
        <w:tc>
          <w:tcPr>
            <w:tcW w:w="1113" w:type="dxa"/>
            <w:vMerge w:val="continue"/>
            <w:vAlign w:val="center"/>
          </w:tcPr>
          <w:p w14:paraId="5A52259D">
            <w:pPr>
              <w:pStyle w:val="133"/>
              <w:rPr>
                <w:color w:val="EE0000"/>
                <w:szCs w:val="21"/>
              </w:rPr>
            </w:pPr>
          </w:p>
        </w:tc>
        <w:tc>
          <w:tcPr>
            <w:tcW w:w="1139" w:type="dxa"/>
            <w:vAlign w:val="center"/>
          </w:tcPr>
          <w:p w14:paraId="1C79D194">
            <w:pPr>
              <w:pStyle w:val="133"/>
              <w:rPr>
                <w:color w:val="000000"/>
                <w:szCs w:val="21"/>
              </w:rPr>
            </w:pPr>
            <w:r>
              <w:rPr>
                <w:rFonts w:hint="eastAsia" w:ascii="宋体" w:hAnsi="宋体"/>
                <w:color w:val="000000"/>
                <w:szCs w:val="21"/>
              </w:rPr>
              <w:t>硅铁上料</w:t>
            </w:r>
          </w:p>
        </w:tc>
        <w:tc>
          <w:tcPr>
            <w:tcW w:w="1284" w:type="dxa"/>
            <w:vAlign w:val="center"/>
          </w:tcPr>
          <w:p w14:paraId="0869D091">
            <w:pPr>
              <w:pStyle w:val="133"/>
              <w:rPr>
                <w:color w:val="000000"/>
                <w:szCs w:val="21"/>
              </w:rPr>
            </w:pPr>
            <w:r>
              <w:rPr>
                <w:rFonts w:cs="Times New Roman"/>
                <w:color w:val="000000"/>
                <w:szCs w:val="21"/>
              </w:rPr>
              <w:t>颗粒物</w:t>
            </w:r>
          </w:p>
        </w:tc>
        <w:tc>
          <w:tcPr>
            <w:tcW w:w="713" w:type="dxa"/>
            <w:vAlign w:val="center"/>
          </w:tcPr>
          <w:p w14:paraId="5E730E2F">
            <w:pPr>
              <w:pStyle w:val="133"/>
              <w:rPr>
                <w:color w:val="000000"/>
                <w:szCs w:val="21"/>
              </w:rPr>
            </w:pPr>
            <w:r>
              <w:rPr>
                <w:rFonts w:hint="eastAsia"/>
                <w:color w:val="000000"/>
                <w:szCs w:val="21"/>
              </w:rPr>
              <w:t>无组织</w:t>
            </w:r>
          </w:p>
        </w:tc>
        <w:tc>
          <w:tcPr>
            <w:tcW w:w="1135" w:type="dxa"/>
            <w:vAlign w:val="center"/>
          </w:tcPr>
          <w:p w14:paraId="7EF41429">
            <w:pPr>
              <w:pStyle w:val="133"/>
              <w:rPr>
                <w:color w:val="000000"/>
                <w:szCs w:val="21"/>
              </w:rPr>
            </w:pPr>
            <w:r>
              <w:rPr>
                <w:rFonts w:hint="eastAsia" w:cs="Times New Roman"/>
                <w:color w:val="000000"/>
                <w:szCs w:val="21"/>
              </w:rPr>
              <w:t>/</w:t>
            </w:r>
          </w:p>
        </w:tc>
        <w:tc>
          <w:tcPr>
            <w:tcW w:w="996" w:type="dxa"/>
            <w:vAlign w:val="center"/>
          </w:tcPr>
          <w:p w14:paraId="74B66918">
            <w:pPr>
              <w:pStyle w:val="133"/>
              <w:rPr>
                <w:color w:val="000000"/>
                <w:szCs w:val="21"/>
              </w:rPr>
            </w:pPr>
            <w:r>
              <w:rPr>
                <w:rFonts w:hint="eastAsia"/>
                <w:color w:val="000000"/>
                <w:szCs w:val="21"/>
              </w:rPr>
              <w:t>-</w:t>
            </w:r>
          </w:p>
        </w:tc>
        <w:tc>
          <w:tcPr>
            <w:tcW w:w="1139" w:type="dxa"/>
            <w:vAlign w:val="center"/>
          </w:tcPr>
          <w:p w14:paraId="14EAB5D5">
            <w:pPr>
              <w:pStyle w:val="133"/>
              <w:rPr>
                <w:color w:val="000000"/>
                <w:szCs w:val="21"/>
              </w:rPr>
            </w:pPr>
            <w:r>
              <w:rPr>
                <w:rFonts w:cs="Times New Roman"/>
                <w:color w:val="000000"/>
                <w:szCs w:val="21"/>
              </w:rPr>
              <w:t>0.005</w:t>
            </w:r>
          </w:p>
        </w:tc>
        <w:tc>
          <w:tcPr>
            <w:tcW w:w="1139" w:type="dxa"/>
            <w:vAlign w:val="center"/>
          </w:tcPr>
          <w:p w14:paraId="0B4E6674">
            <w:pPr>
              <w:pStyle w:val="133"/>
              <w:rPr>
                <w:color w:val="000000"/>
                <w:szCs w:val="21"/>
              </w:rPr>
            </w:pPr>
            <w:r>
              <w:rPr>
                <w:rFonts w:hint="eastAsia" w:cs="Times New Roman"/>
                <w:color w:val="000000"/>
                <w:szCs w:val="21"/>
              </w:rPr>
              <w:t>0.02</w:t>
            </w:r>
          </w:p>
        </w:tc>
        <w:tc>
          <w:tcPr>
            <w:tcW w:w="996" w:type="dxa"/>
            <w:vAlign w:val="center"/>
          </w:tcPr>
          <w:p w14:paraId="59BD1AD9">
            <w:pPr>
              <w:pStyle w:val="133"/>
              <w:rPr>
                <w:color w:val="000000"/>
                <w:szCs w:val="21"/>
              </w:rPr>
            </w:pPr>
            <w:r>
              <w:rPr>
                <w:rFonts w:hint="eastAsia"/>
                <w:color w:val="000000"/>
                <w:szCs w:val="21"/>
              </w:rPr>
              <w:t>1.0</w:t>
            </w:r>
          </w:p>
        </w:tc>
        <w:tc>
          <w:tcPr>
            <w:tcW w:w="996" w:type="dxa"/>
            <w:vAlign w:val="center"/>
          </w:tcPr>
          <w:p w14:paraId="46BBE534">
            <w:pPr>
              <w:pStyle w:val="133"/>
              <w:rPr>
                <w:color w:val="000000"/>
                <w:szCs w:val="21"/>
              </w:rPr>
            </w:pPr>
            <w:r>
              <w:rPr>
                <w:rFonts w:hint="eastAsia"/>
                <w:color w:val="000000"/>
                <w:szCs w:val="21"/>
              </w:rPr>
              <w:t>-</w:t>
            </w:r>
          </w:p>
        </w:tc>
        <w:tc>
          <w:tcPr>
            <w:tcW w:w="2658" w:type="dxa"/>
            <w:vAlign w:val="center"/>
          </w:tcPr>
          <w:p w14:paraId="3154C4B9">
            <w:pPr>
              <w:pStyle w:val="133"/>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《镁、钛工业污染物排放标准》（GB25468-2010）</w:t>
            </w:r>
          </w:p>
        </w:tc>
      </w:tr>
      <w:tr w14:paraId="4C5D6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08508685">
            <w:pPr>
              <w:pStyle w:val="133"/>
              <w:rPr>
                <w:color w:val="EE0000"/>
                <w:szCs w:val="21"/>
              </w:rPr>
            </w:pPr>
          </w:p>
        </w:tc>
        <w:tc>
          <w:tcPr>
            <w:tcW w:w="1113" w:type="dxa"/>
            <w:vMerge w:val="continue"/>
            <w:vAlign w:val="center"/>
          </w:tcPr>
          <w:p w14:paraId="1445623A">
            <w:pPr>
              <w:pStyle w:val="133"/>
              <w:rPr>
                <w:color w:val="EE0000"/>
                <w:szCs w:val="21"/>
              </w:rPr>
            </w:pPr>
          </w:p>
        </w:tc>
        <w:tc>
          <w:tcPr>
            <w:tcW w:w="1139" w:type="dxa"/>
            <w:vMerge w:val="restart"/>
            <w:vAlign w:val="center"/>
          </w:tcPr>
          <w:p w14:paraId="44D6109B">
            <w:pPr>
              <w:pStyle w:val="133"/>
              <w:rPr>
                <w:color w:val="000000"/>
                <w:szCs w:val="21"/>
              </w:rPr>
            </w:pPr>
            <w:r>
              <w:rPr>
                <w:rFonts w:hint="eastAsia" w:ascii="宋体" w:hAnsi="宋体"/>
                <w:color w:val="000000"/>
                <w:szCs w:val="21"/>
              </w:rPr>
              <w:t>矿热炉</w:t>
            </w:r>
          </w:p>
        </w:tc>
        <w:tc>
          <w:tcPr>
            <w:tcW w:w="1284" w:type="dxa"/>
            <w:vAlign w:val="center"/>
          </w:tcPr>
          <w:p w14:paraId="6347D35D">
            <w:pPr>
              <w:pStyle w:val="133"/>
              <w:rPr>
                <w:color w:val="000000"/>
                <w:szCs w:val="21"/>
              </w:rPr>
            </w:pPr>
            <w:r>
              <w:rPr>
                <w:rFonts w:hint="eastAsia"/>
                <w:color w:val="000000"/>
                <w:szCs w:val="21"/>
              </w:rPr>
              <w:t>颗粒物</w:t>
            </w:r>
          </w:p>
        </w:tc>
        <w:tc>
          <w:tcPr>
            <w:tcW w:w="713" w:type="dxa"/>
            <w:vMerge w:val="restart"/>
            <w:vAlign w:val="center"/>
          </w:tcPr>
          <w:p w14:paraId="55847472">
            <w:pPr>
              <w:pStyle w:val="133"/>
              <w:rPr>
                <w:color w:val="000000"/>
                <w:szCs w:val="21"/>
              </w:rPr>
            </w:pPr>
            <w:r>
              <w:rPr>
                <w:rFonts w:hint="eastAsia"/>
                <w:color w:val="000000"/>
                <w:szCs w:val="21"/>
              </w:rPr>
              <w:t>无组织</w:t>
            </w:r>
          </w:p>
        </w:tc>
        <w:tc>
          <w:tcPr>
            <w:tcW w:w="1135" w:type="dxa"/>
            <w:vMerge w:val="restart"/>
            <w:vAlign w:val="center"/>
          </w:tcPr>
          <w:p w14:paraId="55741533">
            <w:pPr>
              <w:pStyle w:val="133"/>
              <w:rPr>
                <w:color w:val="000000"/>
                <w:szCs w:val="21"/>
              </w:rPr>
            </w:pPr>
            <w:r>
              <w:rPr>
                <w:rFonts w:hint="eastAsia" w:cs="Times New Roman"/>
                <w:color w:val="000000"/>
                <w:szCs w:val="21"/>
              </w:rPr>
              <w:t>/</w:t>
            </w:r>
          </w:p>
        </w:tc>
        <w:tc>
          <w:tcPr>
            <w:tcW w:w="996" w:type="dxa"/>
            <w:vAlign w:val="center"/>
          </w:tcPr>
          <w:p w14:paraId="615E32EC">
            <w:pPr>
              <w:pStyle w:val="133"/>
              <w:rPr>
                <w:color w:val="000000"/>
                <w:szCs w:val="21"/>
              </w:rPr>
            </w:pPr>
            <w:r>
              <w:rPr>
                <w:rFonts w:hint="eastAsia"/>
                <w:color w:val="000000"/>
                <w:szCs w:val="21"/>
              </w:rPr>
              <w:t>-</w:t>
            </w:r>
          </w:p>
        </w:tc>
        <w:tc>
          <w:tcPr>
            <w:tcW w:w="1139" w:type="dxa"/>
            <w:vAlign w:val="center"/>
          </w:tcPr>
          <w:p w14:paraId="75D46910">
            <w:pPr>
              <w:pStyle w:val="133"/>
              <w:rPr>
                <w:color w:val="000000"/>
                <w:szCs w:val="21"/>
              </w:rPr>
            </w:pPr>
            <w:r>
              <w:rPr>
                <w:rFonts w:cs="Times New Roman"/>
                <w:color w:val="000000"/>
                <w:szCs w:val="21"/>
              </w:rPr>
              <w:t>0.09</w:t>
            </w:r>
            <w:r>
              <w:rPr>
                <w:rFonts w:hint="eastAsia" w:cs="Times New Roman"/>
                <w:color w:val="000000"/>
                <w:szCs w:val="21"/>
              </w:rPr>
              <w:t>9</w:t>
            </w:r>
          </w:p>
        </w:tc>
        <w:tc>
          <w:tcPr>
            <w:tcW w:w="1139" w:type="dxa"/>
            <w:vAlign w:val="center"/>
          </w:tcPr>
          <w:p w14:paraId="70CF8924">
            <w:pPr>
              <w:pStyle w:val="133"/>
              <w:rPr>
                <w:color w:val="000000"/>
                <w:szCs w:val="21"/>
              </w:rPr>
            </w:pPr>
            <w:r>
              <w:rPr>
                <w:rFonts w:hint="eastAsia" w:cs="Times New Roman"/>
                <w:color w:val="000000"/>
                <w:szCs w:val="21"/>
              </w:rPr>
              <w:t>0.78</w:t>
            </w:r>
          </w:p>
        </w:tc>
        <w:tc>
          <w:tcPr>
            <w:tcW w:w="996" w:type="dxa"/>
            <w:vAlign w:val="center"/>
          </w:tcPr>
          <w:p w14:paraId="64CD0D82">
            <w:pPr>
              <w:pStyle w:val="133"/>
              <w:rPr>
                <w:color w:val="000000"/>
                <w:szCs w:val="21"/>
              </w:rPr>
            </w:pPr>
            <w:r>
              <w:rPr>
                <w:rFonts w:hint="eastAsia"/>
                <w:color w:val="000000"/>
                <w:szCs w:val="21"/>
              </w:rPr>
              <w:t>1.0</w:t>
            </w:r>
          </w:p>
        </w:tc>
        <w:tc>
          <w:tcPr>
            <w:tcW w:w="996" w:type="dxa"/>
            <w:vAlign w:val="center"/>
          </w:tcPr>
          <w:p w14:paraId="298C0F91">
            <w:pPr>
              <w:pStyle w:val="133"/>
              <w:rPr>
                <w:color w:val="000000"/>
                <w:szCs w:val="21"/>
              </w:rPr>
            </w:pPr>
            <w:r>
              <w:rPr>
                <w:rFonts w:hint="eastAsia"/>
                <w:color w:val="000000"/>
                <w:szCs w:val="21"/>
              </w:rPr>
              <w:t>-</w:t>
            </w:r>
          </w:p>
        </w:tc>
        <w:tc>
          <w:tcPr>
            <w:tcW w:w="2658" w:type="dxa"/>
            <w:vMerge w:val="restart"/>
            <w:vAlign w:val="center"/>
          </w:tcPr>
          <w:p w14:paraId="7D3DF142">
            <w:pPr>
              <w:pStyle w:val="133"/>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《镁、钛工业污染物排放标准》（GB25468-2010）</w:t>
            </w:r>
          </w:p>
        </w:tc>
      </w:tr>
      <w:tr w14:paraId="5CAB6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6E00E10">
            <w:pPr>
              <w:pStyle w:val="133"/>
              <w:rPr>
                <w:color w:val="EE0000"/>
                <w:szCs w:val="21"/>
              </w:rPr>
            </w:pPr>
          </w:p>
        </w:tc>
        <w:tc>
          <w:tcPr>
            <w:tcW w:w="1113" w:type="dxa"/>
            <w:vMerge w:val="continue"/>
            <w:vAlign w:val="center"/>
          </w:tcPr>
          <w:p w14:paraId="4C8854D4">
            <w:pPr>
              <w:pStyle w:val="133"/>
              <w:rPr>
                <w:color w:val="EE0000"/>
                <w:szCs w:val="21"/>
              </w:rPr>
            </w:pPr>
          </w:p>
        </w:tc>
        <w:tc>
          <w:tcPr>
            <w:tcW w:w="1139" w:type="dxa"/>
            <w:vMerge w:val="continue"/>
            <w:vAlign w:val="center"/>
          </w:tcPr>
          <w:p w14:paraId="252B1AC4">
            <w:pPr>
              <w:pStyle w:val="133"/>
              <w:rPr>
                <w:color w:val="000000"/>
                <w:szCs w:val="21"/>
              </w:rPr>
            </w:pPr>
          </w:p>
        </w:tc>
        <w:tc>
          <w:tcPr>
            <w:tcW w:w="1284" w:type="dxa"/>
            <w:vAlign w:val="center"/>
          </w:tcPr>
          <w:p w14:paraId="01AE8B34">
            <w:pPr>
              <w:pStyle w:val="133"/>
              <w:rPr>
                <w:color w:val="000000"/>
                <w:szCs w:val="21"/>
              </w:rPr>
            </w:pPr>
            <w:r>
              <w:rPr>
                <w:color w:val="000000"/>
                <w:szCs w:val="21"/>
              </w:rPr>
              <w:t>SO</w:t>
            </w:r>
            <w:r>
              <w:rPr>
                <w:color w:val="000000"/>
                <w:szCs w:val="21"/>
                <w:vertAlign w:val="subscript"/>
              </w:rPr>
              <w:t>2</w:t>
            </w:r>
          </w:p>
        </w:tc>
        <w:tc>
          <w:tcPr>
            <w:tcW w:w="713" w:type="dxa"/>
            <w:vMerge w:val="continue"/>
            <w:vAlign w:val="center"/>
          </w:tcPr>
          <w:p w14:paraId="201EEDA2">
            <w:pPr>
              <w:pStyle w:val="133"/>
              <w:rPr>
                <w:color w:val="000000"/>
                <w:szCs w:val="21"/>
              </w:rPr>
            </w:pPr>
          </w:p>
        </w:tc>
        <w:tc>
          <w:tcPr>
            <w:tcW w:w="1135" w:type="dxa"/>
            <w:vMerge w:val="continue"/>
            <w:vAlign w:val="center"/>
          </w:tcPr>
          <w:p w14:paraId="5D8F2BFB">
            <w:pPr>
              <w:pStyle w:val="133"/>
              <w:rPr>
                <w:color w:val="000000"/>
                <w:szCs w:val="21"/>
              </w:rPr>
            </w:pPr>
          </w:p>
        </w:tc>
        <w:tc>
          <w:tcPr>
            <w:tcW w:w="996" w:type="dxa"/>
            <w:vAlign w:val="center"/>
          </w:tcPr>
          <w:p w14:paraId="58971BA4">
            <w:pPr>
              <w:pStyle w:val="133"/>
              <w:rPr>
                <w:color w:val="000000"/>
                <w:szCs w:val="21"/>
              </w:rPr>
            </w:pPr>
            <w:r>
              <w:rPr>
                <w:rFonts w:hint="eastAsia"/>
                <w:color w:val="000000"/>
                <w:szCs w:val="21"/>
              </w:rPr>
              <w:t>-</w:t>
            </w:r>
          </w:p>
        </w:tc>
        <w:tc>
          <w:tcPr>
            <w:tcW w:w="1139" w:type="dxa"/>
            <w:vAlign w:val="center"/>
          </w:tcPr>
          <w:p w14:paraId="380C4C27">
            <w:pPr>
              <w:pStyle w:val="133"/>
              <w:rPr>
                <w:color w:val="000000"/>
                <w:szCs w:val="21"/>
              </w:rPr>
            </w:pPr>
            <w:r>
              <w:rPr>
                <w:rFonts w:cs="Times New Roman"/>
                <w:color w:val="000000"/>
                <w:szCs w:val="21"/>
              </w:rPr>
              <w:t>0.97</w:t>
            </w:r>
            <w:r>
              <w:rPr>
                <w:rFonts w:hint="eastAsia" w:cs="Times New Roman"/>
                <w:color w:val="000000"/>
                <w:szCs w:val="21"/>
              </w:rPr>
              <w:t>9</w:t>
            </w:r>
          </w:p>
        </w:tc>
        <w:tc>
          <w:tcPr>
            <w:tcW w:w="1139" w:type="dxa"/>
            <w:vAlign w:val="center"/>
          </w:tcPr>
          <w:p w14:paraId="4AD24B62">
            <w:pPr>
              <w:pStyle w:val="133"/>
              <w:rPr>
                <w:color w:val="000000"/>
                <w:szCs w:val="21"/>
              </w:rPr>
            </w:pPr>
            <w:r>
              <w:rPr>
                <w:rFonts w:hint="eastAsia" w:cs="Times New Roman"/>
                <w:color w:val="000000"/>
                <w:szCs w:val="21"/>
              </w:rPr>
              <w:t>7.75</w:t>
            </w:r>
          </w:p>
        </w:tc>
        <w:tc>
          <w:tcPr>
            <w:tcW w:w="996" w:type="dxa"/>
            <w:vAlign w:val="center"/>
          </w:tcPr>
          <w:p w14:paraId="00A2D8EE">
            <w:pPr>
              <w:pStyle w:val="133"/>
              <w:rPr>
                <w:color w:val="000000"/>
                <w:szCs w:val="21"/>
              </w:rPr>
            </w:pPr>
            <w:r>
              <w:rPr>
                <w:rFonts w:hint="eastAsia"/>
                <w:color w:val="000000"/>
                <w:szCs w:val="21"/>
              </w:rPr>
              <w:t>0.5</w:t>
            </w:r>
          </w:p>
        </w:tc>
        <w:tc>
          <w:tcPr>
            <w:tcW w:w="996" w:type="dxa"/>
            <w:vAlign w:val="center"/>
          </w:tcPr>
          <w:p w14:paraId="0268CC46">
            <w:pPr>
              <w:pStyle w:val="133"/>
              <w:rPr>
                <w:color w:val="000000"/>
                <w:szCs w:val="21"/>
              </w:rPr>
            </w:pPr>
            <w:r>
              <w:rPr>
                <w:rFonts w:hint="eastAsia"/>
                <w:color w:val="000000"/>
                <w:szCs w:val="21"/>
              </w:rPr>
              <w:t>-</w:t>
            </w:r>
          </w:p>
        </w:tc>
        <w:tc>
          <w:tcPr>
            <w:tcW w:w="2658" w:type="dxa"/>
            <w:vMerge w:val="continue"/>
            <w:vAlign w:val="center"/>
          </w:tcPr>
          <w:p w14:paraId="09715A8C">
            <w:pPr>
              <w:pStyle w:val="133"/>
              <w:rPr>
                <w:color w:val="000000" w:themeColor="text1"/>
                <w:szCs w:val="21"/>
                <w14:textFill>
                  <w14:solidFill>
                    <w14:schemeClr w14:val="tx1"/>
                  </w14:solidFill>
                </w14:textFill>
              </w:rPr>
            </w:pPr>
          </w:p>
        </w:tc>
      </w:tr>
      <w:tr w14:paraId="603A3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671A449">
            <w:pPr>
              <w:pStyle w:val="133"/>
              <w:rPr>
                <w:color w:val="EE0000"/>
                <w:szCs w:val="21"/>
              </w:rPr>
            </w:pPr>
          </w:p>
        </w:tc>
        <w:tc>
          <w:tcPr>
            <w:tcW w:w="1113" w:type="dxa"/>
            <w:vMerge w:val="continue"/>
            <w:vAlign w:val="center"/>
          </w:tcPr>
          <w:p w14:paraId="40B862EE">
            <w:pPr>
              <w:pStyle w:val="133"/>
              <w:rPr>
                <w:color w:val="EE0000"/>
                <w:szCs w:val="21"/>
              </w:rPr>
            </w:pPr>
          </w:p>
        </w:tc>
        <w:tc>
          <w:tcPr>
            <w:tcW w:w="1139" w:type="dxa"/>
            <w:vMerge w:val="continue"/>
            <w:vAlign w:val="center"/>
          </w:tcPr>
          <w:p w14:paraId="7CB81934">
            <w:pPr>
              <w:pStyle w:val="133"/>
              <w:rPr>
                <w:color w:val="000000"/>
                <w:szCs w:val="21"/>
              </w:rPr>
            </w:pPr>
          </w:p>
        </w:tc>
        <w:tc>
          <w:tcPr>
            <w:tcW w:w="1284" w:type="dxa"/>
            <w:vAlign w:val="center"/>
          </w:tcPr>
          <w:p w14:paraId="3DABCA70">
            <w:pPr>
              <w:pStyle w:val="133"/>
              <w:rPr>
                <w:color w:val="000000"/>
                <w:szCs w:val="21"/>
              </w:rPr>
            </w:pPr>
            <w:r>
              <w:rPr>
                <w:color w:val="000000"/>
                <w:szCs w:val="21"/>
              </w:rPr>
              <w:t>NO</w:t>
            </w:r>
            <w:r>
              <w:rPr>
                <w:color w:val="000000"/>
                <w:szCs w:val="21"/>
                <w:vertAlign w:val="subscript"/>
              </w:rPr>
              <w:t>X</w:t>
            </w:r>
          </w:p>
        </w:tc>
        <w:tc>
          <w:tcPr>
            <w:tcW w:w="713" w:type="dxa"/>
            <w:vMerge w:val="continue"/>
            <w:vAlign w:val="center"/>
          </w:tcPr>
          <w:p w14:paraId="02820FEB">
            <w:pPr>
              <w:pStyle w:val="133"/>
              <w:rPr>
                <w:color w:val="000000"/>
                <w:szCs w:val="21"/>
              </w:rPr>
            </w:pPr>
          </w:p>
        </w:tc>
        <w:tc>
          <w:tcPr>
            <w:tcW w:w="1135" w:type="dxa"/>
            <w:vMerge w:val="continue"/>
            <w:vAlign w:val="center"/>
          </w:tcPr>
          <w:p w14:paraId="52A96D0E">
            <w:pPr>
              <w:pStyle w:val="133"/>
              <w:rPr>
                <w:color w:val="000000"/>
                <w:szCs w:val="21"/>
              </w:rPr>
            </w:pPr>
          </w:p>
        </w:tc>
        <w:tc>
          <w:tcPr>
            <w:tcW w:w="996" w:type="dxa"/>
            <w:vAlign w:val="center"/>
          </w:tcPr>
          <w:p w14:paraId="48C9A541">
            <w:pPr>
              <w:pStyle w:val="133"/>
              <w:rPr>
                <w:color w:val="000000"/>
                <w:szCs w:val="21"/>
              </w:rPr>
            </w:pPr>
            <w:r>
              <w:rPr>
                <w:rFonts w:hint="eastAsia"/>
                <w:color w:val="000000"/>
                <w:szCs w:val="21"/>
              </w:rPr>
              <w:t>-</w:t>
            </w:r>
          </w:p>
        </w:tc>
        <w:tc>
          <w:tcPr>
            <w:tcW w:w="1139" w:type="dxa"/>
            <w:vAlign w:val="center"/>
          </w:tcPr>
          <w:p w14:paraId="7AD5800F">
            <w:pPr>
              <w:pStyle w:val="133"/>
              <w:rPr>
                <w:color w:val="000000"/>
                <w:szCs w:val="21"/>
              </w:rPr>
            </w:pPr>
            <w:r>
              <w:rPr>
                <w:rFonts w:cs="Times New Roman"/>
                <w:color w:val="000000"/>
                <w:szCs w:val="21"/>
              </w:rPr>
              <w:t>0.19</w:t>
            </w:r>
            <w:r>
              <w:rPr>
                <w:rFonts w:hint="eastAsia" w:cs="Times New Roman"/>
                <w:color w:val="000000"/>
                <w:szCs w:val="21"/>
              </w:rPr>
              <w:t>7</w:t>
            </w:r>
          </w:p>
        </w:tc>
        <w:tc>
          <w:tcPr>
            <w:tcW w:w="1139" w:type="dxa"/>
            <w:vAlign w:val="center"/>
          </w:tcPr>
          <w:p w14:paraId="6B9EAA4B">
            <w:pPr>
              <w:pStyle w:val="133"/>
              <w:rPr>
                <w:color w:val="000000"/>
                <w:szCs w:val="21"/>
              </w:rPr>
            </w:pPr>
            <w:r>
              <w:rPr>
                <w:rFonts w:hint="eastAsia" w:cs="Times New Roman"/>
                <w:color w:val="000000"/>
                <w:szCs w:val="21"/>
              </w:rPr>
              <w:t>1.56</w:t>
            </w:r>
          </w:p>
        </w:tc>
        <w:tc>
          <w:tcPr>
            <w:tcW w:w="996" w:type="dxa"/>
            <w:vAlign w:val="center"/>
          </w:tcPr>
          <w:p w14:paraId="40F80059">
            <w:pPr>
              <w:pStyle w:val="133"/>
              <w:rPr>
                <w:color w:val="000000"/>
                <w:szCs w:val="21"/>
              </w:rPr>
            </w:pPr>
            <w:r>
              <w:rPr>
                <w:rFonts w:hint="eastAsia"/>
                <w:color w:val="000000"/>
                <w:szCs w:val="21"/>
              </w:rPr>
              <w:t>0.12</w:t>
            </w:r>
          </w:p>
        </w:tc>
        <w:tc>
          <w:tcPr>
            <w:tcW w:w="996" w:type="dxa"/>
            <w:vAlign w:val="center"/>
          </w:tcPr>
          <w:p w14:paraId="05322EFA">
            <w:pPr>
              <w:pStyle w:val="133"/>
              <w:rPr>
                <w:color w:val="000000"/>
                <w:szCs w:val="21"/>
              </w:rPr>
            </w:pPr>
            <w:r>
              <w:rPr>
                <w:rFonts w:hint="eastAsia"/>
                <w:color w:val="000000"/>
                <w:szCs w:val="21"/>
              </w:rPr>
              <w:t>-</w:t>
            </w:r>
          </w:p>
        </w:tc>
        <w:tc>
          <w:tcPr>
            <w:tcW w:w="2658" w:type="dxa"/>
            <w:vAlign w:val="center"/>
          </w:tcPr>
          <w:p w14:paraId="7140DBB9">
            <w:pPr>
              <w:pStyle w:val="133"/>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《大气污染物综合排放标准》（GB16297-1996）</w:t>
            </w:r>
          </w:p>
        </w:tc>
      </w:tr>
      <w:tr w14:paraId="220B9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549894B">
            <w:pPr>
              <w:pStyle w:val="133"/>
              <w:rPr>
                <w:color w:val="EE0000"/>
                <w:szCs w:val="21"/>
              </w:rPr>
            </w:pPr>
          </w:p>
        </w:tc>
        <w:tc>
          <w:tcPr>
            <w:tcW w:w="1113" w:type="dxa"/>
            <w:vMerge w:val="continue"/>
            <w:vAlign w:val="center"/>
          </w:tcPr>
          <w:p w14:paraId="6124C096">
            <w:pPr>
              <w:pStyle w:val="133"/>
              <w:rPr>
                <w:color w:val="EE0000"/>
                <w:szCs w:val="21"/>
              </w:rPr>
            </w:pPr>
          </w:p>
        </w:tc>
        <w:tc>
          <w:tcPr>
            <w:tcW w:w="1139" w:type="dxa"/>
            <w:vAlign w:val="center"/>
          </w:tcPr>
          <w:p w14:paraId="59FD1920">
            <w:pPr>
              <w:pStyle w:val="133"/>
              <w:rPr>
                <w:color w:val="000000"/>
                <w:szCs w:val="21"/>
              </w:rPr>
            </w:pPr>
            <w:r>
              <w:rPr>
                <w:rFonts w:hint="eastAsia" w:ascii="宋体" w:hAnsi="宋体"/>
                <w:color w:val="000000"/>
                <w:szCs w:val="21"/>
              </w:rPr>
              <w:t>出铁浇铸</w:t>
            </w:r>
          </w:p>
        </w:tc>
        <w:tc>
          <w:tcPr>
            <w:tcW w:w="1284" w:type="dxa"/>
            <w:vAlign w:val="center"/>
          </w:tcPr>
          <w:p w14:paraId="5DB9CA46">
            <w:pPr>
              <w:pStyle w:val="133"/>
              <w:rPr>
                <w:color w:val="000000"/>
                <w:szCs w:val="21"/>
              </w:rPr>
            </w:pPr>
            <w:r>
              <w:rPr>
                <w:rFonts w:cs="Times New Roman"/>
                <w:color w:val="000000"/>
                <w:szCs w:val="21"/>
              </w:rPr>
              <w:t>颗粒物</w:t>
            </w:r>
          </w:p>
        </w:tc>
        <w:tc>
          <w:tcPr>
            <w:tcW w:w="713" w:type="dxa"/>
            <w:vAlign w:val="center"/>
          </w:tcPr>
          <w:p w14:paraId="3B91BD9D">
            <w:pPr>
              <w:pStyle w:val="133"/>
              <w:rPr>
                <w:color w:val="000000"/>
                <w:szCs w:val="21"/>
              </w:rPr>
            </w:pPr>
            <w:r>
              <w:rPr>
                <w:rFonts w:hint="eastAsia"/>
                <w:color w:val="000000"/>
                <w:szCs w:val="21"/>
              </w:rPr>
              <w:t>无组织</w:t>
            </w:r>
          </w:p>
        </w:tc>
        <w:tc>
          <w:tcPr>
            <w:tcW w:w="1135" w:type="dxa"/>
            <w:vAlign w:val="center"/>
          </w:tcPr>
          <w:p w14:paraId="6124163C">
            <w:pPr>
              <w:pStyle w:val="133"/>
              <w:rPr>
                <w:color w:val="000000"/>
                <w:szCs w:val="21"/>
              </w:rPr>
            </w:pPr>
            <w:r>
              <w:rPr>
                <w:rFonts w:hint="eastAsia" w:cs="Times New Roman"/>
                <w:color w:val="000000"/>
                <w:szCs w:val="21"/>
              </w:rPr>
              <w:t>/</w:t>
            </w:r>
          </w:p>
        </w:tc>
        <w:tc>
          <w:tcPr>
            <w:tcW w:w="996" w:type="dxa"/>
            <w:vAlign w:val="center"/>
          </w:tcPr>
          <w:p w14:paraId="4075F2B5">
            <w:pPr>
              <w:pStyle w:val="133"/>
              <w:rPr>
                <w:color w:val="000000"/>
                <w:szCs w:val="21"/>
              </w:rPr>
            </w:pPr>
            <w:r>
              <w:rPr>
                <w:rFonts w:hint="eastAsia"/>
                <w:color w:val="000000"/>
                <w:szCs w:val="21"/>
              </w:rPr>
              <w:t>-</w:t>
            </w:r>
          </w:p>
        </w:tc>
        <w:tc>
          <w:tcPr>
            <w:tcW w:w="1139" w:type="dxa"/>
            <w:vAlign w:val="center"/>
          </w:tcPr>
          <w:p w14:paraId="07ECEDB6">
            <w:pPr>
              <w:pStyle w:val="133"/>
              <w:rPr>
                <w:color w:val="000000"/>
                <w:szCs w:val="21"/>
              </w:rPr>
            </w:pPr>
            <w:r>
              <w:rPr>
                <w:rFonts w:cs="Times New Roman"/>
                <w:color w:val="000000"/>
                <w:szCs w:val="21"/>
              </w:rPr>
              <w:t>0.005</w:t>
            </w:r>
          </w:p>
        </w:tc>
        <w:tc>
          <w:tcPr>
            <w:tcW w:w="1139" w:type="dxa"/>
            <w:vAlign w:val="center"/>
          </w:tcPr>
          <w:p w14:paraId="27681E6F">
            <w:pPr>
              <w:pStyle w:val="133"/>
              <w:rPr>
                <w:color w:val="000000"/>
                <w:szCs w:val="21"/>
              </w:rPr>
            </w:pPr>
            <w:r>
              <w:rPr>
                <w:rFonts w:hint="eastAsia" w:cs="Times New Roman"/>
                <w:color w:val="000000"/>
                <w:szCs w:val="21"/>
              </w:rPr>
              <w:t>0.04</w:t>
            </w:r>
          </w:p>
        </w:tc>
        <w:tc>
          <w:tcPr>
            <w:tcW w:w="996" w:type="dxa"/>
            <w:vAlign w:val="center"/>
          </w:tcPr>
          <w:p w14:paraId="60644E75">
            <w:pPr>
              <w:pStyle w:val="133"/>
              <w:rPr>
                <w:color w:val="000000"/>
                <w:szCs w:val="21"/>
              </w:rPr>
            </w:pPr>
            <w:r>
              <w:rPr>
                <w:rFonts w:hint="eastAsia"/>
                <w:color w:val="000000"/>
                <w:szCs w:val="21"/>
              </w:rPr>
              <w:t>1.0</w:t>
            </w:r>
          </w:p>
        </w:tc>
        <w:tc>
          <w:tcPr>
            <w:tcW w:w="996" w:type="dxa"/>
            <w:vAlign w:val="center"/>
          </w:tcPr>
          <w:p w14:paraId="0322B8F2">
            <w:pPr>
              <w:pStyle w:val="133"/>
              <w:rPr>
                <w:color w:val="000000"/>
                <w:szCs w:val="21"/>
              </w:rPr>
            </w:pPr>
            <w:r>
              <w:rPr>
                <w:rFonts w:hint="eastAsia"/>
                <w:color w:val="000000"/>
                <w:szCs w:val="21"/>
              </w:rPr>
              <w:t>-</w:t>
            </w:r>
          </w:p>
        </w:tc>
        <w:tc>
          <w:tcPr>
            <w:tcW w:w="2658" w:type="dxa"/>
            <w:vAlign w:val="center"/>
          </w:tcPr>
          <w:p w14:paraId="661DD89B">
            <w:pPr>
              <w:pStyle w:val="133"/>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《镁、钛工业污染物排放标准》（GB25468-2010）</w:t>
            </w:r>
          </w:p>
        </w:tc>
      </w:tr>
      <w:tr w14:paraId="491C0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0CA2DF2">
            <w:pPr>
              <w:pStyle w:val="133"/>
              <w:rPr>
                <w:color w:val="EE0000"/>
                <w:szCs w:val="21"/>
              </w:rPr>
            </w:pPr>
          </w:p>
        </w:tc>
        <w:tc>
          <w:tcPr>
            <w:tcW w:w="1113" w:type="dxa"/>
            <w:vMerge w:val="continue"/>
            <w:vAlign w:val="center"/>
          </w:tcPr>
          <w:p w14:paraId="575169CA">
            <w:pPr>
              <w:pStyle w:val="133"/>
              <w:rPr>
                <w:color w:val="EE0000"/>
                <w:szCs w:val="21"/>
              </w:rPr>
            </w:pPr>
          </w:p>
        </w:tc>
        <w:tc>
          <w:tcPr>
            <w:tcW w:w="1139" w:type="dxa"/>
            <w:vAlign w:val="center"/>
          </w:tcPr>
          <w:p w14:paraId="69545228">
            <w:pPr>
              <w:pStyle w:val="133"/>
              <w:rPr>
                <w:color w:val="000000"/>
                <w:szCs w:val="21"/>
              </w:rPr>
            </w:pPr>
            <w:r>
              <w:rPr>
                <w:rFonts w:hint="eastAsia" w:ascii="宋体" w:hAnsi="宋体"/>
                <w:color w:val="000000"/>
                <w:szCs w:val="21"/>
              </w:rPr>
              <w:t>成品破碎</w:t>
            </w:r>
          </w:p>
        </w:tc>
        <w:tc>
          <w:tcPr>
            <w:tcW w:w="1284" w:type="dxa"/>
            <w:vAlign w:val="center"/>
          </w:tcPr>
          <w:p w14:paraId="62E0B853">
            <w:pPr>
              <w:pStyle w:val="133"/>
              <w:rPr>
                <w:color w:val="000000"/>
                <w:szCs w:val="21"/>
              </w:rPr>
            </w:pPr>
            <w:r>
              <w:rPr>
                <w:rFonts w:cs="Times New Roman"/>
                <w:color w:val="000000"/>
                <w:szCs w:val="21"/>
              </w:rPr>
              <w:t>颗粒物</w:t>
            </w:r>
          </w:p>
        </w:tc>
        <w:tc>
          <w:tcPr>
            <w:tcW w:w="713" w:type="dxa"/>
            <w:vAlign w:val="center"/>
          </w:tcPr>
          <w:p w14:paraId="620C224A">
            <w:pPr>
              <w:pStyle w:val="133"/>
              <w:rPr>
                <w:color w:val="000000"/>
                <w:szCs w:val="21"/>
              </w:rPr>
            </w:pPr>
            <w:r>
              <w:rPr>
                <w:rFonts w:hint="eastAsia"/>
                <w:color w:val="000000"/>
                <w:szCs w:val="21"/>
              </w:rPr>
              <w:t>无组织</w:t>
            </w:r>
          </w:p>
        </w:tc>
        <w:tc>
          <w:tcPr>
            <w:tcW w:w="1135" w:type="dxa"/>
            <w:vAlign w:val="center"/>
          </w:tcPr>
          <w:p w14:paraId="068C5E6F">
            <w:pPr>
              <w:pStyle w:val="133"/>
              <w:rPr>
                <w:color w:val="000000"/>
                <w:szCs w:val="21"/>
              </w:rPr>
            </w:pPr>
            <w:r>
              <w:rPr>
                <w:rFonts w:hint="eastAsia" w:cs="Times New Roman"/>
                <w:color w:val="000000"/>
                <w:szCs w:val="21"/>
              </w:rPr>
              <w:t>/</w:t>
            </w:r>
          </w:p>
        </w:tc>
        <w:tc>
          <w:tcPr>
            <w:tcW w:w="996" w:type="dxa"/>
            <w:vAlign w:val="center"/>
          </w:tcPr>
          <w:p w14:paraId="520F6ADE">
            <w:pPr>
              <w:pStyle w:val="133"/>
              <w:rPr>
                <w:color w:val="000000"/>
                <w:szCs w:val="21"/>
              </w:rPr>
            </w:pPr>
            <w:r>
              <w:rPr>
                <w:rFonts w:hint="eastAsia"/>
                <w:color w:val="000000"/>
                <w:szCs w:val="21"/>
              </w:rPr>
              <w:t>-</w:t>
            </w:r>
          </w:p>
        </w:tc>
        <w:tc>
          <w:tcPr>
            <w:tcW w:w="1139" w:type="dxa"/>
            <w:vAlign w:val="center"/>
          </w:tcPr>
          <w:p w14:paraId="34839660">
            <w:pPr>
              <w:pStyle w:val="133"/>
              <w:rPr>
                <w:color w:val="000000"/>
                <w:szCs w:val="21"/>
              </w:rPr>
            </w:pPr>
            <w:r>
              <w:rPr>
                <w:rFonts w:cs="Times New Roman"/>
                <w:color w:val="000000"/>
                <w:szCs w:val="21"/>
              </w:rPr>
              <w:t>0.00075</w:t>
            </w:r>
          </w:p>
        </w:tc>
        <w:tc>
          <w:tcPr>
            <w:tcW w:w="1139" w:type="dxa"/>
            <w:vAlign w:val="center"/>
          </w:tcPr>
          <w:p w14:paraId="372C9E8B">
            <w:pPr>
              <w:pStyle w:val="133"/>
              <w:rPr>
                <w:color w:val="000000"/>
                <w:szCs w:val="21"/>
              </w:rPr>
            </w:pPr>
            <w:r>
              <w:rPr>
                <w:rFonts w:hint="eastAsia" w:cs="Times New Roman"/>
                <w:color w:val="000000"/>
                <w:szCs w:val="21"/>
              </w:rPr>
              <w:t>0.003</w:t>
            </w:r>
          </w:p>
        </w:tc>
        <w:tc>
          <w:tcPr>
            <w:tcW w:w="996" w:type="dxa"/>
            <w:vAlign w:val="center"/>
          </w:tcPr>
          <w:p w14:paraId="45CB00C7">
            <w:pPr>
              <w:pStyle w:val="133"/>
              <w:rPr>
                <w:color w:val="000000"/>
                <w:szCs w:val="21"/>
              </w:rPr>
            </w:pPr>
            <w:r>
              <w:rPr>
                <w:rFonts w:hint="eastAsia"/>
                <w:color w:val="000000"/>
                <w:szCs w:val="21"/>
              </w:rPr>
              <w:t>1.0</w:t>
            </w:r>
          </w:p>
        </w:tc>
        <w:tc>
          <w:tcPr>
            <w:tcW w:w="996" w:type="dxa"/>
            <w:vAlign w:val="center"/>
          </w:tcPr>
          <w:p w14:paraId="17E9BAAC">
            <w:pPr>
              <w:pStyle w:val="133"/>
              <w:rPr>
                <w:color w:val="000000"/>
                <w:szCs w:val="21"/>
              </w:rPr>
            </w:pPr>
            <w:r>
              <w:rPr>
                <w:rFonts w:hint="eastAsia"/>
                <w:color w:val="000000"/>
                <w:szCs w:val="21"/>
              </w:rPr>
              <w:t>-</w:t>
            </w:r>
          </w:p>
        </w:tc>
        <w:tc>
          <w:tcPr>
            <w:tcW w:w="2658" w:type="dxa"/>
            <w:vAlign w:val="center"/>
          </w:tcPr>
          <w:p w14:paraId="7CAB0CEE">
            <w:pPr>
              <w:pStyle w:val="133"/>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《镁、钛工业污染物排放标准》（GB25468-2010）</w:t>
            </w:r>
          </w:p>
        </w:tc>
      </w:tr>
      <w:tr w14:paraId="3596CD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restart"/>
            <w:vAlign w:val="center"/>
          </w:tcPr>
          <w:p w14:paraId="5412EFAD">
            <w:pPr>
              <w:pStyle w:val="133"/>
              <w:rPr>
                <w:color w:val="000000"/>
                <w:szCs w:val="21"/>
              </w:rPr>
            </w:pPr>
            <w:r>
              <w:rPr>
                <w:rFonts w:hint="eastAsia"/>
                <w:color w:val="000000"/>
                <w:szCs w:val="21"/>
              </w:rPr>
              <w:t>固废</w:t>
            </w:r>
          </w:p>
        </w:tc>
        <w:tc>
          <w:tcPr>
            <w:tcW w:w="2252" w:type="dxa"/>
            <w:gridSpan w:val="2"/>
            <w:vMerge w:val="restart"/>
            <w:vAlign w:val="center"/>
          </w:tcPr>
          <w:p w14:paraId="758199E9">
            <w:pPr>
              <w:pStyle w:val="133"/>
              <w:rPr>
                <w:color w:val="000000"/>
                <w:szCs w:val="21"/>
              </w:rPr>
            </w:pPr>
            <w:r>
              <w:rPr>
                <w:rFonts w:hint="eastAsia"/>
                <w:color w:val="000000"/>
                <w:szCs w:val="21"/>
              </w:rPr>
              <w:t>一般固废</w:t>
            </w:r>
          </w:p>
        </w:tc>
        <w:tc>
          <w:tcPr>
            <w:tcW w:w="1284" w:type="dxa"/>
            <w:vAlign w:val="center"/>
          </w:tcPr>
          <w:p w14:paraId="07FA663A">
            <w:pPr>
              <w:pStyle w:val="133"/>
              <w:rPr>
                <w:color w:val="000000"/>
                <w:szCs w:val="21"/>
              </w:rPr>
            </w:pPr>
            <w:r>
              <w:rPr>
                <w:rFonts w:hint="eastAsia"/>
                <w:color w:val="000000"/>
                <w:szCs w:val="21"/>
              </w:rPr>
              <w:t>煤尘</w:t>
            </w:r>
          </w:p>
        </w:tc>
        <w:tc>
          <w:tcPr>
            <w:tcW w:w="713" w:type="dxa"/>
            <w:vMerge w:val="restart"/>
            <w:vAlign w:val="center"/>
          </w:tcPr>
          <w:p w14:paraId="2C3065CF">
            <w:pPr>
              <w:pStyle w:val="133"/>
              <w:rPr>
                <w:color w:val="000000"/>
                <w:szCs w:val="21"/>
              </w:rPr>
            </w:pPr>
            <w:r>
              <w:rPr>
                <w:rFonts w:hint="eastAsia"/>
                <w:color w:val="000000"/>
                <w:szCs w:val="21"/>
              </w:rPr>
              <w:t>-</w:t>
            </w:r>
          </w:p>
        </w:tc>
        <w:tc>
          <w:tcPr>
            <w:tcW w:w="1135" w:type="dxa"/>
            <w:tcBorders>
              <w:bottom w:val="single" w:color="auto" w:sz="4" w:space="0"/>
            </w:tcBorders>
            <w:vAlign w:val="center"/>
          </w:tcPr>
          <w:p w14:paraId="57BE8C84">
            <w:pPr>
              <w:pStyle w:val="133"/>
              <w:rPr>
                <w:color w:val="000000"/>
                <w:szCs w:val="21"/>
              </w:rPr>
            </w:pPr>
            <w:r>
              <w:rPr>
                <w:rFonts w:hint="eastAsia"/>
                <w:color w:val="000000"/>
                <w:szCs w:val="21"/>
              </w:rPr>
              <w:t>沫煤外售</w:t>
            </w:r>
          </w:p>
        </w:tc>
        <w:tc>
          <w:tcPr>
            <w:tcW w:w="996" w:type="dxa"/>
            <w:tcBorders>
              <w:bottom w:val="single" w:color="auto" w:sz="4" w:space="0"/>
            </w:tcBorders>
            <w:vAlign w:val="center"/>
          </w:tcPr>
          <w:p w14:paraId="44218762">
            <w:pPr>
              <w:pStyle w:val="133"/>
              <w:rPr>
                <w:color w:val="000000"/>
                <w:szCs w:val="21"/>
              </w:rPr>
            </w:pPr>
            <w:r>
              <w:rPr>
                <w:rFonts w:hint="eastAsia"/>
                <w:color w:val="000000"/>
                <w:szCs w:val="21"/>
              </w:rPr>
              <w:t>-</w:t>
            </w:r>
          </w:p>
        </w:tc>
        <w:tc>
          <w:tcPr>
            <w:tcW w:w="1139" w:type="dxa"/>
            <w:vAlign w:val="center"/>
          </w:tcPr>
          <w:p w14:paraId="555395DD">
            <w:pPr>
              <w:pStyle w:val="133"/>
              <w:rPr>
                <w:color w:val="000000"/>
                <w:szCs w:val="21"/>
              </w:rPr>
            </w:pPr>
            <w:r>
              <w:rPr>
                <w:rFonts w:hint="eastAsia"/>
                <w:color w:val="000000"/>
                <w:szCs w:val="21"/>
              </w:rPr>
              <w:t>-</w:t>
            </w:r>
          </w:p>
        </w:tc>
        <w:tc>
          <w:tcPr>
            <w:tcW w:w="1139" w:type="dxa"/>
            <w:vAlign w:val="center"/>
          </w:tcPr>
          <w:p w14:paraId="02A92245">
            <w:pPr>
              <w:pStyle w:val="133"/>
              <w:rPr>
                <w:color w:val="000000"/>
                <w:szCs w:val="21"/>
              </w:rPr>
            </w:pPr>
            <w:r>
              <w:rPr>
                <w:rFonts w:hint="eastAsia"/>
                <w:color w:val="000000"/>
                <w:szCs w:val="21"/>
              </w:rPr>
              <w:t>0</w:t>
            </w:r>
          </w:p>
        </w:tc>
        <w:tc>
          <w:tcPr>
            <w:tcW w:w="996" w:type="dxa"/>
            <w:vAlign w:val="center"/>
          </w:tcPr>
          <w:p w14:paraId="2D946285">
            <w:pPr>
              <w:pStyle w:val="133"/>
              <w:rPr>
                <w:color w:val="000000"/>
                <w:szCs w:val="21"/>
              </w:rPr>
            </w:pPr>
            <w:r>
              <w:rPr>
                <w:rFonts w:hint="eastAsia"/>
                <w:color w:val="000000"/>
                <w:szCs w:val="21"/>
              </w:rPr>
              <w:t>-</w:t>
            </w:r>
          </w:p>
        </w:tc>
        <w:tc>
          <w:tcPr>
            <w:tcW w:w="996" w:type="dxa"/>
            <w:vAlign w:val="center"/>
          </w:tcPr>
          <w:p w14:paraId="30945DAA">
            <w:pPr>
              <w:pStyle w:val="133"/>
              <w:rPr>
                <w:color w:val="000000"/>
                <w:szCs w:val="21"/>
              </w:rPr>
            </w:pPr>
            <w:r>
              <w:rPr>
                <w:rFonts w:hint="eastAsia"/>
                <w:color w:val="000000"/>
                <w:szCs w:val="21"/>
              </w:rPr>
              <w:t>-</w:t>
            </w:r>
          </w:p>
        </w:tc>
        <w:tc>
          <w:tcPr>
            <w:tcW w:w="2658" w:type="dxa"/>
            <w:vMerge w:val="restart"/>
            <w:vAlign w:val="center"/>
          </w:tcPr>
          <w:p w14:paraId="46DA08F7">
            <w:pPr>
              <w:pStyle w:val="133"/>
              <w:rPr>
                <w:color w:val="000000"/>
                <w:szCs w:val="21"/>
              </w:rPr>
            </w:pPr>
            <w:r>
              <w:rPr>
                <w:rFonts w:hint="eastAsia"/>
                <w:color w:val="000000"/>
                <w:kern w:val="2"/>
                <w:szCs w:val="21"/>
              </w:rPr>
              <w:t>《一般工业固体废物贮存和填埋污染控制标准》（GB18599-2020）</w:t>
            </w:r>
          </w:p>
        </w:tc>
      </w:tr>
      <w:tr w14:paraId="68BDE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54896A5">
            <w:pPr>
              <w:pStyle w:val="133"/>
              <w:rPr>
                <w:color w:val="000000"/>
                <w:szCs w:val="21"/>
              </w:rPr>
            </w:pPr>
          </w:p>
        </w:tc>
        <w:tc>
          <w:tcPr>
            <w:tcW w:w="2252" w:type="dxa"/>
            <w:gridSpan w:val="2"/>
            <w:vMerge w:val="continue"/>
            <w:vAlign w:val="center"/>
          </w:tcPr>
          <w:p w14:paraId="7CC83D76">
            <w:pPr>
              <w:pStyle w:val="133"/>
              <w:rPr>
                <w:color w:val="000000"/>
                <w:szCs w:val="21"/>
              </w:rPr>
            </w:pPr>
          </w:p>
        </w:tc>
        <w:tc>
          <w:tcPr>
            <w:tcW w:w="1284" w:type="dxa"/>
            <w:vAlign w:val="center"/>
          </w:tcPr>
          <w:p w14:paraId="28EACC15">
            <w:pPr>
              <w:pStyle w:val="133"/>
              <w:rPr>
                <w:color w:val="000000"/>
                <w:szCs w:val="21"/>
              </w:rPr>
            </w:pPr>
            <w:r>
              <w:rPr>
                <w:rFonts w:hint="eastAsia"/>
                <w:color w:val="000000"/>
                <w:szCs w:val="21"/>
              </w:rPr>
              <w:t>焦粉</w:t>
            </w:r>
          </w:p>
        </w:tc>
        <w:tc>
          <w:tcPr>
            <w:tcW w:w="713" w:type="dxa"/>
            <w:vMerge w:val="continue"/>
            <w:vAlign w:val="center"/>
          </w:tcPr>
          <w:p w14:paraId="52A410FA">
            <w:pPr>
              <w:pStyle w:val="133"/>
              <w:rPr>
                <w:color w:val="000000"/>
                <w:szCs w:val="21"/>
              </w:rPr>
            </w:pPr>
          </w:p>
        </w:tc>
        <w:tc>
          <w:tcPr>
            <w:tcW w:w="1135" w:type="dxa"/>
            <w:tcBorders>
              <w:top w:val="single" w:color="auto" w:sz="4" w:space="0"/>
              <w:bottom w:val="single" w:color="auto" w:sz="4" w:space="0"/>
            </w:tcBorders>
            <w:vAlign w:val="center"/>
          </w:tcPr>
          <w:p w14:paraId="7B2C2E5E">
            <w:pPr>
              <w:pStyle w:val="133"/>
              <w:rPr>
                <w:color w:val="000000"/>
                <w:szCs w:val="21"/>
              </w:rPr>
            </w:pPr>
            <w:r>
              <w:rPr>
                <w:rFonts w:hint="eastAsia"/>
                <w:color w:val="000000"/>
                <w:szCs w:val="21"/>
              </w:rPr>
              <w:t>焦粉外售</w:t>
            </w:r>
          </w:p>
        </w:tc>
        <w:tc>
          <w:tcPr>
            <w:tcW w:w="996" w:type="dxa"/>
            <w:tcBorders>
              <w:top w:val="single" w:color="auto" w:sz="4" w:space="0"/>
              <w:bottom w:val="single" w:color="auto" w:sz="4" w:space="0"/>
            </w:tcBorders>
            <w:vAlign w:val="center"/>
          </w:tcPr>
          <w:p w14:paraId="68FBCD66">
            <w:pPr>
              <w:pStyle w:val="133"/>
              <w:rPr>
                <w:color w:val="000000"/>
                <w:szCs w:val="21"/>
              </w:rPr>
            </w:pPr>
            <w:r>
              <w:rPr>
                <w:rFonts w:hint="eastAsia"/>
                <w:color w:val="000000"/>
                <w:szCs w:val="21"/>
              </w:rPr>
              <w:t>-</w:t>
            </w:r>
          </w:p>
        </w:tc>
        <w:tc>
          <w:tcPr>
            <w:tcW w:w="1139" w:type="dxa"/>
            <w:vAlign w:val="center"/>
          </w:tcPr>
          <w:p w14:paraId="1F03A8A2">
            <w:pPr>
              <w:pStyle w:val="133"/>
              <w:rPr>
                <w:color w:val="000000"/>
                <w:szCs w:val="21"/>
              </w:rPr>
            </w:pPr>
            <w:r>
              <w:rPr>
                <w:rFonts w:hint="eastAsia"/>
                <w:color w:val="000000"/>
                <w:szCs w:val="21"/>
              </w:rPr>
              <w:t>-</w:t>
            </w:r>
          </w:p>
        </w:tc>
        <w:tc>
          <w:tcPr>
            <w:tcW w:w="1139" w:type="dxa"/>
            <w:vAlign w:val="center"/>
          </w:tcPr>
          <w:p w14:paraId="6A691BE0">
            <w:pPr>
              <w:pStyle w:val="133"/>
              <w:rPr>
                <w:color w:val="000000"/>
                <w:szCs w:val="21"/>
              </w:rPr>
            </w:pPr>
            <w:r>
              <w:rPr>
                <w:rFonts w:hint="eastAsia"/>
                <w:color w:val="000000"/>
                <w:szCs w:val="21"/>
              </w:rPr>
              <w:t>0</w:t>
            </w:r>
          </w:p>
        </w:tc>
        <w:tc>
          <w:tcPr>
            <w:tcW w:w="996" w:type="dxa"/>
            <w:vAlign w:val="center"/>
          </w:tcPr>
          <w:p w14:paraId="390DC4B8">
            <w:pPr>
              <w:pStyle w:val="133"/>
              <w:rPr>
                <w:color w:val="000000"/>
                <w:szCs w:val="21"/>
              </w:rPr>
            </w:pPr>
            <w:r>
              <w:rPr>
                <w:rFonts w:hint="eastAsia"/>
                <w:color w:val="000000"/>
                <w:szCs w:val="21"/>
              </w:rPr>
              <w:t>-</w:t>
            </w:r>
          </w:p>
        </w:tc>
        <w:tc>
          <w:tcPr>
            <w:tcW w:w="996" w:type="dxa"/>
            <w:vAlign w:val="center"/>
          </w:tcPr>
          <w:p w14:paraId="2D76718B">
            <w:pPr>
              <w:pStyle w:val="133"/>
              <w:rPr>
                <w:color w:val="000000"/>
                <w:szCs w:val="21"/>
              </w:rPr>
            </w:pPr>
            <w:r>
              <w:rPr>
                <w:rFonts w:hint="eastAsia"/>
                <w:color w:val="000000"/>
                <w:szCs w:val="21"/>
              </w:rPr>
              <w:t>-</w:t>
            </w:r>
          </w:p>
        </w:tc>
        <w:tc>
          <w:tcPr>
            <w:tcW w:w="2658" w:type="dxa"/>
            <w:vMerge w:val="continue"/>
            <w:vAlign w:val="center"/>
          </w:tcPr>
          <w:p w14:paraId="33EEBC63">
            <w:pPr>
              <w:pStyle w:val="133"/>
              <w:rPr>
                <w:color w:val="000000"/>
                <w:kern w:val="2"/>
                <w:szCs w:val="21"/>
              </w:rPr>
            </w:pPr>
          </w:p>
        </w:tc>
      </w:tr>
      <w:tr w14:paraId="29BCC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797EBDE">
            <w:pPr>
              <w:pStyle w:val="133"/>
              <w:rPr>
                <w:color w:val="000000"/>
                <w:szCs w:val="21"/>
              </w:rPr>
            </w:pPr>
          </w:p>
        </w:tc>
        <w:tc>
          <w:tcPr>
            <w:tcW w:w="2252" w:type="dxa"/>
            <w:gridSpan w:val="2"/>
            <w:vMerge w:val="continue"/>
            <w:vAlign w:val="center"/>
          </w:tcPr>
          <w:p w14:paraId="7A40771E">
            <w:pPr>
              <w:pStyle w:val="133"/>
              <w:rPr>
                <w:color w:val="000000"/>
                <w:szCs w:val="21"/>
              </w:rPr>
            </w:pPr>
          </w:p>
        </w:tc>
        <w:tc>
          <w:tcPr>
            <w:tcW w:w="1284" w:type="dxa"/>
            <w:vAlign w:val="center"/>
          </w:tcPr>
          <w:p w14:paraId="1626A114">
            <w:pPr>
              <w:pStyle w:val="133"/>
              <w:rPr>
                <w:color w:val="000000"/>
                <w:szCs w:val="21"/>
              </w:rPr>
            </w:pPr>
            <w:r>
              <w:rPr>
                <w:rFonts w:hint="eastAsia"/>
                <w:color w:val="000000"/>
                <w:szCs w:val="21"/>
              </w:rPr>
              <w:t>硫酸钠滤饼</w:t>
            </w:r>
          </w:p>
        </w:tc>
        <w:tc>
          <w:tcPr>
            <w:tcW w:w="713" w:type="dxa"/>
            <w:vMerge w:val="continue"/>
            <w:vAlign w:val="center"/>
          </w:tcPr>
          <w:p w14:paraId="62FE3463">
            <w:pPr>
              <w:pStyle w:val="133"/>
              <w:rPr>
                <w:color w:val="000000"/>
                <w:szCs w:val="21"/>
              </w:rPr>
            </w:pPr>
          </w:p>
        </w:tc>
        <w:tc>
          <w:tcPr>
            <w:tcW w:w="1135" w:type="dxa"/>
            <w:tcBorders>
              <w:bottom w:val="single" w:color="auto" w:sz="4" w:space="0"/>
            </w:tcBorders>
            <w:vAlign w:val="center"/>
          </w:tcPr>
          <w:p w14:paraId="4D2C95AD">
            <w:pPr>
              <w:pStyle w:val="133"/>
              <w:rPr>
                <w:color w:val="000000"/>
                <w:szCs w:val="21"/>
              </w:rPr>
            </w:pPr>
            <w:r>
              <w:rPr>
                <w:rFonts w:hint="eastAsia"/>
                <w:color w:val="000000"/>
                <w:szCs w:val="21"/>
              </w:rPr>
              <w:t>厂外综合利用</w:t>
            </w:r>
          </w:p>
        </w:tc>
        <w:tc>
          <w:tcPr>
            <w:tcW w:w="996" w:type="dxa"/>
            <w:tcBorders>
              <w:bottom w:val="single" w:color="auto" w:sz="4" w:space="0"/>
            </w:tcBorders>
            <w:vAlign w:val="center"/>
          </w:tcPr>
          <w:p w14:paraId="4276F446">
            <w:pPr>
              <w:pStyle w:val="133"/>
              <w:rPr>
                <w:color w:val="000000"/>
                <w:szCs w:val="21"/>
              </w:rPr>
            </w:pPr>
            <w:r>
              <w:rPr>
                <w:rFonts w:hint="eastAsia"/>
                <w:color w:val="000000"/>
                <w:szCs w:val="21"/>
              </w:rPr>
              <w:t>-</w:t>
            </w:r>
          </w:p>
        </w:tc>
        <w:tc>
          <w:tcPr>
            <w:tcW w:w="1139" w:type="dxa"/>
            <w:vAlign w:val="center"/>
          </w:tcPr>
          <w:p w14:paraId="688606E1">
            <w:pPr>
              <w:pStyle w:val="133"/>
              <w:rPr>
                <w:color w:val="000000"/>
                <w:szCs w:val="21"/>
              </w:rPr>
            </w:pPr>
            <w:r>
              <w:rPr>
                <w:rFonts w:hint="eastAsia"/>
                <w:color w:val="000000"/>
                <w:szCs w:val="21"/>
              </w:rPr>
              <w:t>-</w:t>
            </w:r>
          </w:p>
        </w:tc>
        <w:tc>
          <w:tcPr>
            <w:tcW w:w="1139" w:type="dxa"/>
            <w:vAlign w:val="center"/>
          </w:tcPr>
          <w:p w14:paraId="78C2E3B1">
            <w:pPr>
              <w:pStyle w:val="133"/>
              <w:rPr>
                <w:color w:val="000000"/>
                <w:szCs w:val="21"/>
              </w:rPr>
            </w:pPr>
            <w:r>
              <w:rPr>
                <w:rFonts w:hint="eastAsia"/>
                <w:color w:val="000000"/>
                <w:szCs w:val="21"/>
              </w:rPr>
              <w:t>0</w:t>
            </w:r>
          </w:p>
        </w:tc>
        <w:tc>
          <w:tcPr>
            <w:tcW w:w="996" w:type="dxa"/>
            <w:vAlign w:val="center"/>
          </w:tcPr>
          <w:p w14:paraId="67A5E41A">
            <w:pPr>
              <w:pStyle w:val="133"/>
              <w:rPr>
                <w:color w:val="000000"/>
                <w:szCs w:val="21"/>
              </w:rPr>
            </w:pPr>
            <w:r>
              <w:rPr>
                <w:rFonts w:hint="eastAsia"/>
                <w:color w:val="000000"/>
                <w:szCs w:val="21"/>
              </w:rPr>
              <w:t>-</w:t>
            </w:r>
          </w:p>
        </w:tc>
        <w:tc>
          <w:tcPr>
            <w:tcW w:w="996" w:type="dxa"/>
            <w:vAlign w:val="center"/>
          </w:tcPr>
          <w:p w14:paraId="622C9B60">
            <w:pPr>
              <w:pStyle w:val="133"/>
              <w:rPr>
                <w:color w:val="000000"/>
                <w:szCs w:val="21"/>
              </w:rPr>
            </w:pPr>
            <w:r>
              <w:rPr>
                <w:rFonts w:hint="eastAsia"/>
                <w:color w:val="000000"/>
                <w:szCs w:val="21"/>
              </w:rPr>
              <w:t>-</w:t>
            </w:r>
          </w:p>
        </w:tc>
        <w:tc>
          <w:tcPr>
            <w:tcW w:w="2658" w:type="dxa"/>
            <w:vMerge w:val="continue"/>
            <w:vAlign w:val="center"/>
          </w:tcPr>
          <w:p w14:paraId="64519B39">
            <w:pPr>
              <w:pStyle w:val="133"/>
              <w:rPr>
                <w:color w:val="000000"/>
                <w:kern w:val="2"/>
                <w:szCs w:val="21"/>
              </w:rPr>
            </w:pPr>
          </w:p>
        </w:tc>
      </w:tr>
      <w:tr w14:paraId="64CE8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4979F9ED">
            <w:pPr>
              <w:pStyle w:val="133"/>
              <w:rPr>
                <w:color w:val="000000"/>
                <w:szCs w:val="21"/>
              </w:rPr>
            </w:pPr>
          </w:p>
        </w:tc>
        <w:tc>
          <w:tcPr>
            <w:tcW w:w="2252" w:type="dxa"/>
            <w:gridSpan w:val="2"/>
            <w:vMerge w:val="continue"/>
            <w:vAlign w:val="center"/>
          </w:tcPr>
          <w:p w14:paraId="6775C825">
            <w:pPr>
              <w:pStyle w:val="133"/>
              <w:rPr>
                <w:color w:val="000000"/>
                <w:szCs w:val="21"/>
              </w:rPr>
            </w:pPr>
          </w:p>
        </w:tc>
        <w:tc>
          <w:tcPr>
            <w:tcW w:w="1284" w:type="dxa"/>
            <w:vAlign w:val="center"/>
          </w:tcPr>
          <w:p w14:paraId="2C8C257C">
            <w:pPr>
              <w:pStyle w:val="133"/>
              <w:rPr>
                <w:color w:val="000000"/>
                <w:szCs w:val="21"/>
              </w:rPr>
            </w:pPr>
            <w:r>
              <w:rPr>
                <w:rFonts w:hint="eastAsia"/>
                <w:color w:val="000000"/>
                <w:szCs w:val="21"/>
              </w:rPr>
              <w:t>废催化剂</w:t>
            </w:r>
          </w:p>
        </w:tc>
        <w:tc>
          <w:tcPr>
            <w:tcW w:w="713" w:type="dxa"/>
            <w:vMerge w:val="continue"/>
            <w:vAlign w:val="center"/>
          </w:tcPr>
          <w:p w14:paraId="1786CB0F">
            <w:pPr>
              <w:pStyle w:val="133"/>
              <w:rPr>
                <w:color w:val="000000"/>
                <w:szCs w:val="21"/>
              </w:rPr>
            </w:pPr>
          </w:p>
        </w:tc>
        <w:tc>
          <w:tcPr>
            <w:tcW w:w="1135" w:type="dxa"/>
            <w:tcBorders>
              <w:bottom w:val="single" w:color="auto" w:sz="4" w:space="0"/>
            </w:tcBorders>
            <w:vAlign w:val="center"/>
          </w:tcPr>
          <w:p w14:paraId="2928BD17">
            <w:pPr>
              <w:pStyle w:val="133"/>
              <w:rPr>
                <w:color w:val="000000"/>
                <w:szCs w:val="21"/>
              </w:rPr>
            </w:pPr>
            <w:r>
              <w:rPr>
                <w:rFonts w:hint="eastAsia"/>
                <w:color w:val="000000"/>
                <w:szCs w:val="21"/>
              </w:rPr>
              <w:t>厂家回收</w:t>
            </w:r>
          </w:p>
        </w:tc>
        <w:tc>
          <w:tcPr>
            <w:tcW w:w="996" w:type="dxa"/>
            <w:tcBorders>
              <w:bottom w:val="single" w:color="auto" w:sz="4" w:space="0"/>
            </w:tcBorders>
            <w:vAlign w:val="center"/>
          </w:tcPr>
          <w:p w14:paraId="1AEAEF81">
            <w:pPr>
              <w:pStyle w:val="133"/>
              <w:rPr>
                <w:color w:val="000000"/>
                <w:szCs w:val="21"/>
              </w:rPr>
            </w:pPr>
            <w:r>
              <w:rPr>
                <w:rFonts w:hint="eastAsia"/>
                <w:color w:val="000000"/>
                <w:szCs w:val="21"/>
              </w:rPr>
              <w:t>-</w:t>
            </w:r>
          </w:p>
        </w:tc>
        <w:tc>
          <w:tcPr>
            <w:tcW w:w="1139" w:type="dxa"/>
            <w:vAlign w:val="center"/>
          </w:tcPr>
          <w:p w14:paraId="41F2DAAA">
            <w:pPr>
              <w:pStyle w:val="133"/>
              <w:rPr>
                <w:color w:val="000000"/>
                <w:szCs w:val="21"/>
              </w:rPr>
            </w:pPr>
            <w:r>
              <w:rPr>
                <w:rFonts w:hint="eastAsia"/>
                <w:color w:val="000000"/>
                <w:szCs w:val="21"/>
              </w:rPr>
              <w:t>-</w:t>
            </w:r>
          </w:p>
        </w:tc>
        <w:tc>
          <w:tcPr>
            <w:tcW w:w="1139" w:type="dxa"/>
            <w:vAlign w:val="center"/>
          </w:tcPr>
          <w:p w14:paraId="1CBB8B72">
            <w:pPr>
              <w:pStyle w:val="133"/>
              <w:rPr>
                <w:color w:val="000000"/>
                <w:szCs w:val="21"/>
              </w:rPr>
            </w:pPr>
            <w:r>
              <w:rPr>
                <w:rFonts w:hint="eastAsia"/>
                <w:color w:val="000000"/>
                <w:szCs w:val="21"/>
              </w:rPr>
              <w:t>0</w:t>
            </w:r>
          </w:p>
        </w:tc>
        <w:tc>
          <w:tcPr>
            <w:tcW w:w="996" w:type="dxa"/>
            <w:vAlign w:val="center"/>
          </w:tcPr>
          <w:p w14:paraId="61E1462A">
            <w:pPr>
              <w:pStyle w:val="133"/>
              <w:rPr>
                <w:color w:val="000000"/>
                <w:szCs w:val="21"/>
              </w:rPr>
            </w:pPr>
            <w:r>
              <w:rPr>
                <w:rFonts w:hint="eastAsia"/>
                <w:color w:val="000000"/>
                <w:szCs w:val="21"/>
              </w:rPr>
              <w:t>-</w:t>
            </w:r>
          </w:p>
        </w:tc>
        <w:tc>
          <w:tcPr>
            <w:tcW w:w="996" w:type="dxa"/>
            <w:vAlign w:val="center"/>
          </w:tcPr>
          <w:p w14:paraId="1A4DAA7A">
            <w:pPr>
              <w:pStyle w:val="133"/>
              <w:rPr>
                <w:color w:val="000000"/>
                <w:szCs w:val="21"/>
              </w:rPr>
            </w:pPr>
            <w:r>
              <w:rPr>
                <w:rFonts w:hint="eastAsia"/>
                <w:color w:val="000000"/>
                <w:szCs w:val="21"/>
              </w:rPr>
              <w:t>-</w:t>
            </w:r>
          </w:p>
        </w:tc>
        <w:tc>
          <w:tcPr>
            <w:tcW w:w="2658" w:type="dxa"/>
            <w:vMerge w:val="continue"/>
            <w:vAlign w:val="center"/>
          </w:tcPr>
          <w:p w14:paraId="3091CF68">
            <w:pPr>
              <w:pStyle w:val="133"/>
              <w:rPr>
                <w:color w:val="000000"/>
                <w:kern w:val="2"/>
                <w:szCs w:val="21"/>
              </w:rPr>
            </w:pPr>
          </w:p>
        </w:tc>
      </w:tr>
      <w:tr w14:paraId="248F7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6339625A">
            <w:pPr>
              <w:pStyle w:val="133"/>
              <w:rPr>
                <w:color w:val="000000"/>
                <w:szCs w:val="21"/>
              </w:rPr>
            </w:pPr>
          </w:p>
        </w:tc>
        <w:tc>
          <w:tcPr>
            <w:tcW w:w="2252" w:type="dxa"/>
            <w:gridSpan w:val="2"/>
            <w:vMerge w:val="continue"/>
            <w:vAlign w:val="center"/>
          </w:tcPr>
          <w:p w14:paraId="2B7EF03C">
            <w:pPr>
              <w:pStyle w:val="133"/>
              <w:rPr>
                <w:color w:val="000000"/>
                <w:szCs w:val="21"/>
              </w:rPr>
            </w:pPr>
          </w:p>
        </w:tc>
        <w:tc>
          <w:tcPr>
            <w:tcW w:w="1284" w:type="dxa"/>
            <w:vAlign w:val="center"/>
          </w:tcPr>
          <w:p w14:paraId="3FD309F6">
            <w:pPr>
              <w:pStyle w:val="133"/>
              <w:rPr>
                <w:color w:val="000000"/>
                <w:szCs w:val="21"/>
              </w:rPr>
            </w:pPr>
            <w:r>
              <w:rPr>
                <w:rFonts w:hint="eastAsia"/>
                <w:color w:val="000000"/>
                <w:szCs w:val="21"/>
              </w:rPr>
              <w:t>硫酸铵溶液</w:t>
            </w:r>
          </w:p>
        </w:tc>
        <w:tc>
          <w:tcPr>
            <w:tcW w:w="713" w:type="dxa"/>
            <w:vMerge w:val="continue"/>
            <w:vAlign w:val="center"/>
          </w:tcPr>
          <w:p w14:paraId="1E31E5E1">
            <w:pPr>
              <w:pStyle w:val="133"/>
              <w:rPr>
                <w:color w:val="000000"/>
                <w:szCs w:val="21"/>
              </w:rPr>
            </w:pPr>
          </w:p>
        </w:tc>
        <w:tc>
          <w:tcPr>
            <w:tcW w:w="1135" w:type="dxa"/>
            <w:tcBorders>
              <w:bottom w:val="single" w:color="auto" w:sz="4" w:space="0"/>
            </w:tcBorders>
            <w:vAlign w:val="center"/>
          </w:tcPr>
          <w:p w14:paraId="7B4CB576">
            <w:pPr>
              <w:pStyle w:val="133"/>
              <w:rPr>
                <w:color w:val="000000"/>
                <w:szCs w:val="21"/>
              </w:rPr>
            </w:pPr>
            <w:r>
              <w:rPr>
                <w:rFonts w:hint="eastAsia"/>
                <w:color w:val="000000"/>
                <w:szCs w:val="21"/>
              </w:rPr>
              <w:t>肥料生产企业综合利用</w:t>
            </w:r>
          </w:p>
        </w:tc>
        <w:tc>
          <w:tcPr>
            <w:tcW w:w="996" w:type="dxa"/>
            <w:tcBorders>
              <w:bottom w:val="single" w:color="auto" w:sz="4" w:space="0"/>
            </w:tcBorders>
            <w:vAlign w:val="center"/>
          </w:tcPr>
          <w:p w14:paraId="48DA7012">
            <w:pPr>
              <w:pStyle w:val="133"/>
              <w:rPr>
                <w:color w:val="000000"/>
                <w:szCs w:val="21"/>
              </w:rPr>
            </w:pPr>
            <w:r>
              <w:rPr>
                <w:rFonts w:hint="eastAsia"/>
                <w:color w:val="000000"/>
                <w:szCs w:val="21"/>
              </w:rPr>
              <w:t>-</w:t>
            </w:r>
          </w:p>
        </w:tc>
        <w:tc>
          <w:tcPr>
            <w:tcW w:w="1139" w:type="dxa"/>
            <w:vAlign w:val="center"/>
          </w:tcPr>
          <w:p w14:paraId="7F0A3448">
            <w:pPr>
              <w:pStyle w:val="133"/>
              <w:rPr>
                <w:color w:val="000000"/>
                <w:szCs w:val="21"/>
              </w:rPr>
            </w:pPr>
            <w:r>
              <w:rPr>
                <w:rFonts w:hint="eastAsia"/>
                <w:color w:val="000000"/>
                <w:szCs w:val="21"/>
              </w:rPr>
              <w:t>-</w:t>
            </w:r>
          </w:p>
        </w:tc>
        <w:tc>
          <w:tcPr>
            <w:tcW w:w="1139" w:type="dxa"/>
            <w:vAlign w:val="center"/>
          </w:tcPr>
          <w:p w14:paraId="4584B4E1">
            <w:pPr>
              <w:pStyle w:val="133"/>
              <w:rPr>
                <w:color w:val="000000"/>
                <w:szCs w:val="21"/>
              </w:rPr>
            </w:pPr>
            <w:r>
              <w:rPr>
                <w:rFonts w:hint="eastAsia"/>
                <w:color w:val="000000"/>
                <w:szCs w:val="21"/>
              </w:rPr>
              <w:t>0</w:t>
            </w:r>
          </w:p>
        </w:tc>
        <w:tc>
          <w:tcPr>
            <w:tcW w:w="996" w:type="dxa"/>
            <w:vAlign w:val="center"/>
          </w:tcPr>
          <w:p w14:paraId="0F1BE5FF">
            <w:pPr>
              <w:pStyle w:val="133"/>
              <w:rPr>
                <w:color w:val="000000"/>
                <w:szCs w:val="21"/>
              </w:rPr>
            </w:pPr>
            <w:r>
              <w:rPr>
                <w:rFonts w:hint="eastAsia"/>
                <w:color w:val="000000"/>
                <w:szCs w:val="21"/>
              </w:rPr>
              <w:t>-</w:t>
            </w:r>
          </w:p>
        </w:tc>
        <w:tc>
          <w:tcPr>
            <w:tcW w:w="996" w:type="dxa"/>
            <w:vAlign w:val="center"/>
          </w:tcPr>
          <w:p w14:paraId="3C531B56">
            <w:pPr>
              <w:pStyle w:val="133"/>
              <w:rPr>
                <w:color w:val="000000"/>
                <w:szCs w:val="21"/>
              </w:rPr>
            </w:pPr>
            <w:r>
              <w:rPr>
                <w:rFonts w:hint="eastAsia"/>
                <w:color w:val="000000"/>
                <w:szCs w:val="21"/>
              </w:rPr>
              <w:t>-</w:t>
            </w:r>
          </w:p>
        </w:tc>
        <w:tc>
          <w:tcPr>
            <w:tcW w:w="2658" w:type="dxa"/>
            <w:vMerge w:val="continue"/>
            <w:vAlign w:val="center"/>
          </w:tcPr>
          <w:p w14:paraId="5B4C98D1">
            <w:pPr>
              <w:pStyle w:val="133"/>
              <w:rPr>
                <w:color w:val="000000"/>
                <w:kern w:val="2"/>
                <w:szCs w:val="21"/>
              </w:rPr>
            </w:pPr>
          </w:p>
        </w:tc>
      </w:tr>
      <w:tr w14:paraId="279BE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FC75BC7">
            <w:pPr>
              <w:pStyle w:val="133"/>
              <w:rPr>
                <w:color w:val="000000"/>
                <w:szCs w:val="21"/>
              </w:rPr>
            </w:pPr>
          </w:p>
        </w:tc>
        <w:tc>
          <w:tcPr>
            <w:tcW w:w="2252" w:type="dxa"/>
            <w:gridSpan w:val="2"/>
            <w:vMerge w:val="continue"/>
            <w:vAlign w:val="center"/>
          </w:tcPr>
          <w:p w14:paraId="0E18A27C">
            <w:pPr>
              <w:pStyle w:val="133"/>
              <w:rPr>
                <w:color w:val="000000"/>
                <w:szCs w:val="21"/>
              </w:rPr>
            </w:pPr>
          </w:p>
        </w:tc>
        <w:tc>
          <w:tcPr>
            <w:tcW w:w="1284" w:type="dxa"/>
            <w:vAlign w:val="center"/>
          </w:tcPr>
          <w:p w14:paraId="621E2392">
            <w:pPr>
              <w:pStyle w:val="133"/>
              <w:rPr>
                <w:color w:val="000000"/>
                <w:szCs w:val="21"/>
              </w:rPr>
            </w:pPr>
            <w:r>
              <w:rPr>
                <w:rFonts w:hint="eastAsia"/>
                <w:color w:val="000000"/>
                <w:szCs w:val="21"/>
              </w:rPr>
              <w:t>煤泥</w:t>
            </w:r>
          </w:p>
        </w:tc>
        <w:tc>
          <w:tcPr>
            <w:tcW w:w="713" w:type="dxa"/>
            <w:vMerge w:val="continue"/>
            <w:vAlign w:val="center"/>
          </w:tcPr>
          <w:p w14:paraId="39477E8B">
            <w:pPr>
              <w:pStyle w:val="133"/>
              <w:rPr>
                <w:color w:val="000000"/>
                <w:szCs w:val="21"/>
              </w:rPr>
            </w:pPr>
          </w:p>
        </w:tc>
        <w:tc>
          <w:tcPr>
            <w:tcW w:w="1135" w:type="dxa"/>
            <w:tcBorders>
              <w:bottom w:val="single" w:color="auto" w:sz="4" w:space="0"/>
            </w:tcBorders>
            <w:vAlign w:val="center"/>
          </w:tcPr>
          <w:p w14:paraId="06CE608F">
            <w:pPr>
              <w:pStyle w:val="133"/>
              <w:rPr>
                <w:color w:val="000000"/>
                <w:szCs w:val="21"/>
              </w:rPr>
            </w:pPr>
            <w:r>
              <w:rPr>
                <w:rFonts w:hint="eastAsia"/>
                <w:color w:val="000000"/>
                <w:szCs w:val="21"/>
              </w:rPr>
              <w:t>备煤工段掺烧</w:t>
            </w:r>
          </w:p>
        </w:tc>
        <w:tc>
          <w:tcPr>
            <w:tcW w:w="996" w:type="dxa"/>
            <w:tcBorders>
              <w:bottom w:val="single" w:color="auto" w:sz="4" w:space="0"/>
            </w:tcBorders>
            <w:vAlign w:val="center"/>
          </w:tcPr>
          <w:p w14:paraId="365AFB0F">
            <w:pPr>
              <w:pStyle w:val="133"/>
              <w:rPr>
                <w:color w:val="000000"/>
                <w:szCs w:val="21"/>
              </w:rPr>
            </w:pPr>
            <w:r>
              <w:rPr>
                <w:rFonts w:hint="eastAsia"/>
                <w:color w:val="000000"/>
                <w:szCs w:val="21"/>
              </w:rPr>
              <w:t>-</w:t>
            </w:r>
          </w:p>
        </w:tc>
        <w:tc>
          <w:tcPr>
            <w:tcW w:w="1139" w:type="dxa"/>
            <w:vAlign w:val="center"/>
          </w:tcPr>
          <w:p w14:paraId="5B5E2F43">
            <w:pPr>
              <w:pStyle w:val="133"/>
              <w:rPr>
                <w:color w:val="000000"/>
                <w:szCs w:val="21"/>
              </w:rPr>
            </w:pPr>
            <w:r>
              <w:rPr>
                <w:rFonts w:hint="eastAsia"/>
                <w:color w:val="000000"/>
                <w:szCs w:val="21"/>
              </w:rPr>
              <w:t>-</w:t>
            </w:r>
          </w:p>
        </w:tc>
        <w:tc>
          <w:tcPr>
            <w:tcW w:w="1139" w:type="dxa"/>
            <w:vAlign w:val="center"/>
          </w:tcPr>
          <w:p w14:paraId="4747FBC0">
            <w:pPr>
              <w:pStyle w:val="133"/>
              <w:rPr>
                <w:color w:val="000000"/>
                <w:szCs w:val="21"/>
              </w:rPr>
            </w:pPr>
            <w:r>
              <w:rPr>
                <w:rFonts w:hint="eastAsia"/>
                <w:color w:val="000000"/>
                <w:szCs w:val="21"/>
              </w:rPr>
              <w:t>0</w:t>
            </w:r>
          </w:p>
        </w:tc>
        <w:tc>
          <w:tcPr>
            <w:tcW w:w="996" w:type="dxa"/>
            <w:vAlign w:val="center"/>
          </w:tcPr>
          <w:p w14:paraId="2F91C97F">
            <w:pPr>
              <w:pStyle w:val="133"/>
              <w:rPr>
                <w:color w:val="000000"/>
                <w:szCs w:val="21"/>
              </w:rPr>
            </w:pPr>
            <w:r>
              <w:rPr>
                <w:rFonts w:hint="eastAsia"/>
                <w:color w:val="000000"/>
                <w:szCs w:val="21"/>
              </w:rPr>
              <w:t>-</w:t>
            </w:r>
          </w:p>
        </w:tc>
        <w:tc>
          <w:tcPr>
            <w:tcW w:w="996" w:type="dxa"/>
            <w:vAlign w:val="center"/>
          </w:tcPr>
          <w:p w14:paraId="06EBD153">
            <w:pPr>
              <w:pStyle w:val="133"/>
              <w:rPr>
                <w:color w:val="000000"/>
                <w:szCs w:val="21"/>
              </w:rPr>
            </w:pPr>
            <w:r>
              <w:rPr>
                <w:rFonts w:hint="eastAsia"/>
                <w:color w:val="000000"/>
                <w:szCs w:val="21"/>
              </w:rPr>
              <w:t>-</w:t>
            </w:r>
          </w:p>
        </w:tc>
        <w:tc>
          <w:tcPr>
            <w:tcW w:w="2658" w:type="dxa"/>
            <w:vMerge w:val="continue"/>
            <w:vAlign w:val="center"/>
          </w:tcPr>
          <w:p w14:paraId="1FCA1BDF">
            <w:pPr>
              <w:pStyle w:val="133"/>
              <w:rPr>
                <w:color w:val="000000"/>
                <w:kern w:val="2"/>
                <w:szCs w:val="21"/>
              </w:rPr>
            </w:pPr>
          </w:p>
        </w:tc>
      </w:tr>
      <w:tr w14:paraId="180FE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42383E3">
            <w:pPr>
              <w:pStyle w:val="133"/>
              <w:rPr>
                <w:color w:val="000000"/>
                <w:szCs w:val="21"/>
              </w:rPr>
            </w:pPr>
          </w:p>
        </w:tc>
        <w:tc>
          <w:tcPr>
            <w:tcW w:w="2252" w:type="dxa"/>
            <w:gridSpan w:val="2"/>
            <w:vMerge w:val="continue"/>
            <w:vAlign w:val="center"/>
          </w:tcPr>
          <w:p w14:paraId="0187552A">
            <w:pPr>
              <w:pStyle w:val="133"/>
              <w:rPr>
                <w:color w:val="000000"/>
                <w:szCs w:val="21"/>
              </w:rPr>
            </w:pPr>
          </w:p>
        </w:tc>
        <w:tc>
          <w:tcPr>
            <w:tcW w:w="1284" w:type="dxa"/>
            <w:vAlign w:val="center"/>
          </w:tcPr>
          <w:p w14:paraId="3FDADA7D">
            <w:pPr>
              <w:pStyle w:val="133"/>
              <w:rPr>
                <w:color w:val="000000"/>
                <w:szCs w:val="21"/>
              </w:rPr>
            </w:pPr>
            <w:r>
              <w:rPr>
                <w:rFonts w:cs="Times New Roman"/>
                <w:color w:val="000000"/>
                <w:szCs w:val="21"/>
              </w:rPr>
              <w:t>原料系统收尘灰</w:t>
            </w:r>
          </w:p>
        </w:tc>
        <w:tc>
          <w:tcPr>
            <w:tcW w:w="713" w:type="dxa"/>
            <w:vMerge w:val="continue"/>
            <w:vAlign w:val="center"/>
          </w:tcPr>
          <w:p w14:paraId="49FCCA06">
            <w:pPr>
              <w:pStyle w:val="133"/>
              <w:rPr>
                <w:color w:val="000000"/>
                <w:szCs w:val="21"/>
              </w:rPr>
            </w:pPr>
          </w:p>
        </w:tc>
        <w:tc>
          <w:tcPr>
            <w:tcW w:w="1135" w:type="dxa"/>
            <w:tcBorders>
              <w:bottom w:val="single" w:color="auto" w:sz="4" w:space="0"/>
            </w:tcBorders>
            <w:vAlign w:val="center"/>
          </w:tcPr>
          <w:p w14:paraId="01DF1A9B">
            <w:pPr>
              <w:pStyle w:val="133"/>
              <w:rPr>
                <w:color w:val="000000"/>
                <w:szCs w:val="21"/>
              </w:rPr>
            </w:pPr>
            <w:r>
              <w:rPr>
                <w:rFonts w:cs="Times New Roman"/>
                <w:color w:val="000000"/>
                <w:szCs w:val="21"/>
              </w:rPr>
              <w:t>回用于矿热炉</w:t>
            </w:r>
          </w:p>
        </w:tc>
        <w:tc>
          <w:tcPr>
            <w:tcW w:w="996" w:type="dxa"/>
            <w:tcBorders>
              <w:bottom w:val="single" w:color="auto" w:sz="4" w:space="0"/>
            </w:tcBorders>
            <w:vAlign w:val="center"/>
          </w:tcPr>
          <w:p w14:paraId="670C584A">
            <w:pPr>
              <w:pStyle w:val="133"/>
              <w:rPr>
                <w:color w:val="000000"/>
                <w:szCs w:val="21"/>
              </w:rPr>
            </w:pPr>
            <w:r>
              <w:rPr>
                <w:rFonts w:hint="eastAsia"/>
                <w:color w:val="000000"/>
                <w:szCs w:val="21"/>
              </w:rPr>
              <w:t>-</w:t>
            </w:r>
          </w:p>
        </w:tc>
        <w:tc>
          <w:tcPr>
            <w:tcW w:w="1139" w:type="dxa"/>
            <w:vAlign w:val="center"/>
          </w:tcPr>
          <w:p w14:paraId="5FA400A0">
            <w:pPr>
              <w:pStyle w:val="133"/>
              <w:rPr>
                <w:color w:val="000000"/>
                <w:szCs w:val="21"/>
              </w:rPr>
            </w:pPr>
            <w:r>
              <w:rPr>
                <w:rFonts w:hint="eastAsia"/>
                <w:color w:val="000000"/>
                <w:szCs w:val="21"/>
              </w:rPr>
              <w:t>-</w:t>
            </w:r>
          </w:p>
        </w:tc>
        <w:tc>
          <w:tcPr>
            <w:tcW w:w="1139" w:type="dxa"/>
            <w:vAlign w:val="center"/>
          </w:tcPr>
          <w:p w14:paraId="31B8E0A1">
            <w:pPr>
              <w:pStyle w:val="133"/>
              <w:rPr>
                <w:color w:val="000000"/>
                <w:szCs w:val="21"/>
              </w:rPr>
            </w:pPr>
            <w:r>
              <w:rPr>
                <w:rFonts w:hint="eastAsia"/>
                <w:color w:val="000000"/>
                <w:szCs w:val="21"/>
              </w:rPr>
              <w:t>0</w:t>
            </w:r>
          </w:p>
        </w:tc>
        <w:tc>
          <w:tcPr>
            <w:tcW w:w="996" w:type="dxa"/>
            <w:vAlign w:val="center"/>
          </w:tcPr>
          <w:p w14:paraId="1C8E468C">
            <w:pPr>
              <w:pStyle w:val="133"/>
              <w:rPr>
                <w:color w:val="000000"/>
                <w:szCs w:val="21"/>
              </w:rPr>
            </w:pPr>
            <w:r>
              <w:rPr>
                <w:rFonts w:hint="eastAsia"/>
                <w:color w:val="000000"/>
                <w:szCs w:val="21"/>
              </w:rPr>
              <w:t>-</w:t>
            </w:r>
          </w:p>
        </w:tc>
        <w:tc>
          <w:tcPr>
            <w:tcW w:w="996" w:type="dxa"/>
            <w:vAlign w:val="center"/>
          </w:tcPr>
          <w:p w14:paraId="19353C55">
            <w:pPr>
              <w:pStyle w:val="133"/>
              <w:rPr>
                <w:color w:val="000000"/>
                <w:szCs w:val="21"/>
              </w:rPr>
            </w:pPr>
            <w:r>
              <w:rPr>
                <w:rFonts w:hint="eastAsia"/>
                <w:color w:val="000000"/>
                <w:szCs w:val="21"/>
              </w:rPr>
              <w:t>-</w:t>
            </w:r>
          </w:p>
        </w:tc>
        <w:tc>
          <w:tcPr>
            <w:tcW w:w="2658" w:type="dxa"/>
            <w:vMerge w:val="continue"/>
            <w:vAlign w:val="center"/>
          </w:tcPr>
          <w:p w14:paraId="2A5849B2">
            <w:pPr>
              <w:pStyle w:val="133"/>
              <w:rPr>
                <w:color w:val="000000"/>
                <w:kern w:val="2"/>
                <w:szCs w:val="21"/>
              </w:rPr>
            </w:pPr>
          </w:p>
        </w:tc>
      </w:tr>
      <w:tr w14:paraId="4D5DF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585BFDD">
            <w:pPr>
              <w:pStyle w:val="133"/>
              <w:rPr>
                <w:color w:val="000000"/>
                <w:szCs w:val="21"/>
              </w:rPr>
            </w:pPr>
          </w:p>
        </w:tc>
        <w:tc>
          <w:tcPr>
            <w:tcW w:w="2252" w:type="dxa"/>
            <w:gridSpan w:val="2"/>
            <w:vMerge w:val="continue"/>
            <w:vAlign w:val="center"/>
          </w:tcPr>
          <w:p w14:paraId="671E4578">
            <w:pPr>
              <w:pStyle w:val="133"/>
              <w:rPr>
                <w:color w:val="000000"/>
                <w:szCs w:val="21"/>
              </w:rPr>
            </w:pPr>
          </w:p>
        </w:tc>
        <w:tc>
          <w:tcPr>
            <w:tcW w:w="1284" w:type="dxa"/>
            <w:vAlign w:val="center"/>
          </w:tcPr>
          <w:p w14:paraId="0F5BF1AD">
            <w:pPr>
              <w:pStyle w:val="133"/>
              <w:rPr>
                <w:color w:val="000000"/>
                <w:szCs w:val="21"/>
              </w:rPr>
            </w:pPr>
            <w:r>
              <w:rPr>
                <w:rFonts w:cs="Times New Roman"/>
                <w:color w:val="000000"/>
                <w:szCs w:val="21"/>
              </w:rPr>
              <w:t>车间落料</w:t>
            </w:r>
          </w:p>
        </w:tc>
        <w:tc>
          <w:tcPr>
            <w:tcW w:w="713" w:type="dxa"/>
            <w:vMerge w:val="continue"/>
            <w:vAlign w:val="center"/>
          </w:tcPr>
          <w:p w14:paraId="55532E99">
            <w:pPr>
              <w:pStyle w:val="133"/>
              <w:rPr>
                <w:color w:val="000000"/>
                <w:szCs w:val="21"/>
              </w:rPr>
            </w:pPr>
          </w:p>
        </w:tc>
        <w:tc>
          <w:tcPr>
            <w:tcW w:w="1135" w:type="dxa"/>
            <w:tcBorders>
              <w:bottom w:val="single" w:color="auto" w:sz="4" w:space="0"/>
            </w:tcBorders>
            <w:vAlign w:val="center"/>
          </w:tcPr>
          <w:p w14:paraId="732F789F">
            <w:pPr>
              <w:pStyle w:val="133"/>
              <w:rPr>
                <w:color w:val="000000"/>
                <w:szCs w:val="21"/>
              </w:rPr>
            </w:pPr>
            <w:r>
              <w:rPr>
                <w:rFonts w:cs="Times New Roman"/>
                <w:color w:val="000000"/>
                <w:szCs w:val="21"/>
              </w:rPr>
              <w:t>回用于矿热炉</w:t>
            </w:r>
          </w:p>
        </w:tc>
        <w:tc>
          <w:tcPr>
            <w:tcW w:w="996" w:type="dxa"/>
            <w:tcBorders>
              <w:bottom w:val="single" w:color="auto" w:sz="4" w:space="0"/>
            </w:tcBorders>
            <w:vAlign w:val="center"/>
          </w:tcPr>
          <w:p w14:paraId="7F33722E">
            <w:pPr>
              <w:pStyle w:val="133"/>
              <w:rPr>
                <w:color w:val="000000"/>
                <w:szCs w:val="21"/>
              </w:rPr>
            </w:pPr>
            <w:r>
              <w:rPr>
                <w:rFonts w:hint="eastAsia"/>
                <w:color w:val="000000"/>
                <w:szCs w:val="21"/>
              </w:rPr>
              <w:t>-</w:t>
            </w:r>
          </w:p>
        </w:tc>
        <w:tc>
          <w:tcPr>
            <w:tcW w:w="1139" w:type="dxa"/>
            <w:vAlign w:val="center"/>
          </w:tcPr>
          <w:p w14:paraId="73B049D1">
            <w:pPr>
              <w:pStyle w:val="133"/>
              <w:rPr>
                <w:color w:val="000000"/>
                <w:szCs w:val="21"/>
              </w:rPr>
            </w:pPr>
            <w:r>
              <w:rPr>
                <w:rFonts w:hint="eastAsia"/>
                <w:color w:val="000000"/>
                <w:szCs w:val="21"/>
              </w:rPr>
              <w:t>-</w:t>
            </w:r>
          </w:p>
        </w:tc>
        <w:tc>
          <w:tcPr>
            <w:tcW w:w="1139" w:type="dxa"/>
            <w:vAlign w:val="center"/>
          </w:tcPr>
          <w:p w14:paraId="4D0CC18C">
            <w:pPr>
              <w:pStyle w:val="133"/>
              <w:rPr>
                <w:color w:val="000000"/>
                <w:szCs w:val="21"/>
              </w:rPr>
            </w:pPr>
            <w:r>
              <w:rPr>
                <w:rFonts w:hint="eastAsia"/>
                <w:color w:val="000000"/>
                <w:szCs w:val="21"/>
              </w:rPr>
              <w:t>0</w:t>
            </w:r>
          </w:p>
        </w:tc>
        <w:tc>
          <w:tcPr>
            <w:tcW w:w="996" w:type="dxa"/>
            <w:vAlign w:val="center"/>
          </w:tcPr>
          <w:p w14:paraId="7D6A03FA">
            <w:pPr>
              <w:pStyle w:val="133"/>
              <w:rPr>
                <w:color w:val="000000"/>
                <w:szCs w:val="21"/>
              </w:rPr>
            </w:pPr>
            <w:r>
              <w:rPr>
                <w:rFonts w:hint="eastAsia"/>
                <w:color w:val="000000"/>
                <w:szCs w:val="21"/>
              </w:rPr>
              <w:t>-</w:t>
            </w:r>
          </w:p>
        </w:tc>
        <w:tc>
          <w:tcPr>
            <w:tcW w:w="996" w:type="dxa"/>
            <w:vAlign w:val="center"/>
          </w:tcPr>
          <w:p w14:paraId="67279224">
            <w:pPr>
              <w:pStyle w:val="133"/>
              <w:rPr>
                <w:color w:val="000000"/>
                <w:szCs w:val="21"/>
              </w:rPr>
            </w:pPr>
            <w:r>
              <w:rPr>
                <w:rFonts w:hint="eastAsia"/>
                <w:color w:val="000000"/>
                <w:szCs w:val="21"/>
              </w:rPr>
              <w:t>-</w:t>
            </w:r>
          </w:p>
        </w:tc>
        <w:tc>
          <w:tcPr>
            <w:tcW w:w="2658" w:type="dxa"/>
            <w:vMerge w:val="continue"/>
            <w:vAlign w:val="center"/>
          </w:tcPr>
          <w:p w14:paraId="741E66E3">
            <w:pPr>
              <w:pStyle w:val="133"/>
              <w:rPr>
                <w:color w:val="EE0000"/>
                <w:kern w:val="2"/>
                <w:szCs w:val="21"/>
              </w:rPr>
            </w:pPr>
          </w:p>
        </w:tc>
      </w:tr>
      <w:tr w14:paraId="3B45B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29CBC0CD">
            <w:pPr>
              <w:pStyle w:val="133"/>
              <w:rPr>
                <w:color w:val="000000"/>
                <w:szCs w:val="21"/>
              </w:rPr>
            </w:pPr>
          </w:p>
        </w:tc>
        <w:tc>
          <w:tcPr>
            <w:tcW w:w="2252" w:type="dxa"/>
            <w:gridSpan w:val="2"/>
            <w:vMerge w:val="continue"/>
            <w:vAlign w:val="center"/>
          </w:tcPr>
          <w:p w14:paraId="08B0510B">
            <w:pPr>
              <w:pStyle w:val="133"/>
              <w:rPr>
                <w:color w:val="000000"/>
                <w:szCs w:val="21"/>
              </w:rPr>
            </w:pPr>
          </w:p>
        </w:tc>
        <w:tc>
          <w:tcPr>
            <w:tcW w:w="1284" w:type="dxa"/>
            <w:vAlign w:val="center"/>
          </w:tcPr>
          <w:p w14:paraId="6F21BAEE">
            <w:pPr>
              <w:pStyle w:val="133"/>
              <w:rPr>
                <w:color w:val="000000"/>
                <w:szCs w:val="21"/>
              </w:rPr>
            </w:pPr>
            <w:r>
              <w:rPr>
                <w:rFonts w:cs="Times New Roman"/>
                <w:color w:val="000000"/>
                <w:szCs w:val="21"/>
              </w:rPr>
              <w:t>矿热炉硅渣</w:t>
            </w:r>
          </w:p>
        </w:tc>
        <w:tc>
          <w:tcPr>
            <w:tcW w:w="713" w:type="dxa"/>
            <w:vMerge w:val="continue"/>
            <w:vAlign w:val="center"/>
          </w:tcPr>
          <w:p w14:paraId="7C0D358B">
            <w:pPr>
              <w:pStyle w:val="133"/>
              <w:rPr>
                <w:color w:val="000000"/>
                <w:szCs w:val="21"/>
              </w:rPr>
            </w:pPr>
          </w:p>
        </w:tc>
        <w:tc>
          <w:tcPr>
            <w:tcW w:w="1135" w:type="dxa"/>
            <w:tcBorders>
              <w:bottom w:val="single" w:color="auto" w:sz="4" w:space="0"/>
            </w:tcBorders>
            <w:vAlign w:val="center"/>
          </w:tcPr>
          <w:p w14:paraId="21CC03B8">
            <w:pPr>
              <w:pStyle w:val="133"/>
              <w:rPr>
                <w:color w:val="000000"/>
                <w:szCs w:val="21"/>
              </w:rPr>
            </w:pPr>
            <w:r>
              <w:rPr>
                <w:rFonts w:hint="eastAsia" w:cs="Times New Roman"/>
                <w:color w:val="000000"/>
                <w:szCs w:val="21"/>
              </w:rPr>
              <w:t>厂外</w:t>
            </w:r>
            <w:r>
              <w:rPr>
                <w:rFonts w:cs="Times New Roman"/>
                <w:color w:val="000000"/>
                <w:szCs w:val="21"/>
              </w:rPr>
              <w:t>综合利用</w:t>
            </w:r>
          </w:p>
        </w:tc>
        <w:tc>
          <w:tcPr>
            <w:tcW w:w="996" w:type="dxa"/>
            <w:tcBorders>
              <w:bottom w:val="single" w:color="auto" w:sz="4" w:space="0"/>
            </w:tcBorders>
            <w:vAlign w:val="center"/>
          </w:tcPr>
          <w:p w14:paraId="2AB764D0">
            <w:pPr>
              <w:pStyle w:val="133"/>
              <w:rPr>
                <w:color w:val="000000"/>
                <w:szCs w:val="21"/>
              </w:rPr>
            </w:pPr>
            <w:r>
              <w:rPr>
                <w:rFonts w:hint="eastAsia"/>
                <w:color w:val="000000"/>
                <w:szCs w:val="21"/>
              </w:rPr>
              <w:t>-</w:t>
            </w:r>
          </w:p>
        </w:tc>
        <w:tc>
          <w:tcPr>
            <w:tcW w:w="1139" w:type="dxa"/>
            <w:vAlign w:val="center"/>
          </w:tcPr>
          <w:p w14:paraId="58A35787">
            <w:pPr>
              <w:pStyle w:val="133"/>
              <w:rPr>
                <w:color w:val="000000"/>
                <w:szCs w:val="21"/>
              </w:rPr>
            </w:pPr>
            <w:r>
              <w:rPr>
                <w:rFonts w:hint="eastAsia"/>
                <w:color w:val="000000"/>
                <w:szCs w:val="21"/>
              </w:rPr>
              <w:t>-</w:t>
            </w:r>
          </w:p>
        </w:tc>
        <w:tc>
          <w:tcPr>
            <w:tcW w:w="1139" w:type="dxa"/>
            <w:vAlign w:val="center"/>
          </w:tcPr>
          <w:p w14:paraId="0D61B954">
            <w:pPr>
              <w:pStyle w:val="133"/>
              <w:rPr>
                <w:color w:val="000000"/>
                <w:szCs w:val="21"/>
              </w:rPr>
            </w:pPr>
            <w:r>
              <w:rPr>
                <w:rFonts w:hint="eastAsia"/>
                <w:color w:val="000000"/>
                <w:szCs w:val="21"/>
              </w:rPr>
              <w:t>0</w:t>
            </w:r>
          </w:p>
        </w:tc>
        <w:tc>
          <w:tcPr>
            <w:tcW w:w="996" w:type="dxa"/>
            <w:vAlign w:val="center"/>
          </w:tcPr>
          <w:p w14:paraId="790F727A">
            <w:pPr>
              <w:pStyle w:val="133"/>
              <w:rPr>
                <w:color w:val="000000"/>
                <w:szCs w:val="21"/>
              </w:rPr>
            </w:pPr>
            <w:r>
              <w:rPr>
                <w:rFonts w:hint="eastAsia"/>
                <w:color w:val="000000"/>
                <w:szCs w:val="21"/>
              </w:rPr>
              <w:t>-</w:t>
            </w:r>
          </w:p>
        </w:tc>
        <w:tc>
          <w:tcPr>
            <w:tcW w:w="996" w:type="dxa"/>
            <w:vAlign w:val="center"/>
          </w:tcPr>
          <w:p w14:paraId="60A79D8B">
            <w:pPr>
              <w:pStyle w:val="133"/>
              <w:rPr>
                <w:color w:val="000000"/>
                <w:szCs w:val="21"/>
              </w:rPr>
            </w:pPr>
            <w:r>
              <w:rPr>
                <w:rFonts w:hint="eastAsia"/>
                <w:color w:val="000000"/>
                <w:szCs w:val="21"/>
              </w:rPr>
              <w:t>-</w:t>
            </w:r>
          </w:p>
        </w:tc>
        <w:tc>
          <w:tcPr>
            <w:tcW w:w="2658" w:type="dxa"/>
            <w:vMerge w:val="continue"/>
            <w:vAlign w:val="center"/>
          </w:tcPr>
          <w:p w14:paraId="1953B4A4">
            <w:pPr>
              <w:pStyle w:val="133"/>
              <w:rPr>
                <w:color w:val="EE0000"/>
                <w:kern w:val="2"/>
                <w:szCs w:val="21"/>
              </w:rPr>
            </w:pPr>
          </w:p>
        </w:tc>
      </w:tr>
      <w:tr w14:paraId="3FC2EB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7C2D1954">
            <w:pPr>
              <w:pStyle w:val="133"/>
              <w:rPr>
                <w:color w:val="000000"/>
                <w:szCs w:val="21"/>
              </w:rPr>
            </w:pPr>
          </w:p>
        </w:tc>
        <w:tc>
          <w:tcPr>
            <w:tcW w:w="2252" w:type="dxa"/>
            <w:gridSpan w:val="2"/>
            <w:vMerge w:val="continue"/>
            <w:vAlign w:val="center"/>
          </w:tcPr>
          <w:p w14:paraId="6931B8FA">
            <w:pPr>
              <w:pStyle w:val="133"/>
              <w:rPr>
                <w:color w:val="000000"/>
                <w:szCs w:val="21"/>
              </w:rPr>
            </w:pPr>
          </w:p>
        </w:tc>
        <w:tc>
          <w:tcPr>
            <w:tcW w:w="1284" w:type="dxa"/>
            <w:vAlign w:val="center"/>
          </w:tcPr>
          <w:p w14:paraId="33924CA0">
            <w:pPr>
              <w:pStyle w:val="133"/>
              <w:rPr>
                <w:color w:val="000000"/>
                <w:szCs w:val="21"/>
              </w:rPr>
            </w:pPr>
            <w:r>
              <w:rPr>
                <w:rFonts w:cs="Times New Roman"/>
                <w:color w:val="000000"/>
                <w:szCs w:val="21"/>
              </w:rPr>
              <w:t>废耐火材料</w:t>
            </w:r>
          </w:p>
        </w:tc>
        <w:tc>
          <w:tcPr>
            <w:tcW w:w="713" w:type="dxa"/>
            <w:vMerge w:val="continue"/>
            <w:vAlign w:val="center"/>
          </w:tcPr>
          <w:p w14:paraId="0E926EFE">
            <w:pPr>
              <w:pStyle w:val="133"/>
              <w:rPr>
                <w:color w:val="000000"/>
                <w:szCs w:val="21"/>
              </w:rPr>
            </w:pPr>
          </w:p>
        </w:tc>
        <w:tc>
          <w:tcPr>
            <w:tcW w:w="1135" w:type="dxa"/>
            <w:tcBorders>
              <w:bottom w:val="single" w:color="auto" w:sz="4" w:space="0"/>
            </w:tcBorders>
            <w:vAlign w:val="center"/>
          </w:tcPr>
          <w:p w14:paraId="22B8CA16">
            <w:pPr>
              <w:pStyle w:val="133"/>
              <w:rPr>
                <w:color w:val="000000"/>
                <w:szCs w:val="21"/>
              </w:rPr>
            </w:pPr>
            <w:r>
              <w:rPr>
                <w:rFonts w:hint="eastAsia" w:cs="Times New Roman"/>
                <w:color w:val="000000"/>
                <w:szCs w:val="21"/>
              </w:rPr>
              <w:t>厂外综合利用</w:t>
            </w:r>
          </w:p>
        </w:tc>
        <w:tc>
          <w:tcPr>
            <w:tcW w:w="996" w:type="dxa"/>
            <w:tcBorders>
              <w:bottom w:val="single" w:color="auto" w:sz="4" w:space="0"/>
            </w:tcBorders>
            <w:vAlign w:val="center"/>
          </w:tcPr>
          <w:p w14:paraId="262D703B">
            <w:pPr>
              <w:pStyle w:val="133"/>
              <w:rPr>
                <w:color w:val="000000"/>
                <w:szCs w:val="21"/>
              </w:rPr>
            </w:pPr>
            <w:r>
              <w:rPr>
                <w:rFonts w:hint="eastAsia"/>
                <w:color w:val="000000"/>
                <w:szCs w:val="21"/>
              </w:rPr>
              <w:t>-</w:t>
            </w:r>
          </w:p>
        </w:tc>
        <w:tc>
          <w:tcPr>
            <w:tcW w:w="1139" w:type="dxa"/>
            <w:vAlign w:val="center"/>
          </w:tcPr>
          <w:p w14:paraId="383750CA">
            <w:pPr>
              <w:pStyle w:val="133"/>
              <w:rPr>
                <w:color w:val="000000"/>
                <w:szCs w:val="21"/>
              </w:rPr>
            </w:pPr>
            <w:r>
              <w:rPr>
                <w:rFonts w:hint="eastAsia"/>
                <w:color w:val="000000"/>
                <w:szCs w:val="21"/>
              </w:rPr>
              <w:t>-</w:t>
            </w:r>
          </w:p>
        </w:tc>
        <w:tc>
          <w:tcPr>
            <w:tcW w:w="1139" w:type="dxa"/>
            <w:vAlign w:val="center"/>
          </w:tcPr>
          <w:p w14:paraId="3D23288E">
            <w:pPr>
              <w:pStyle w:val="133"/>
              <w:rPr>
                <w:color w:val="000000"/>
                <w:szCs w:val="21"/>
              </w:rPr>
            </w:pPr>
            <w:r>
              <w:rPr>
                <w:rFonts w:hint="eastAsia"/>
                <w:color w:val="000000"/>
                <w:szCs w:val="21"/>
              </w:rPr>
              <w:t>0</w:t>
            </w:r>
          </w:p>
        </w:tc>
        <w:tc>
          <w:tcPr>
            <w:tcW w:w="996" w:type="dxa"/>
            <w:vAlign w:val="center"/>
          </w:tcPr>
          <w:p w14:paraId="08D79AE4">
            <w:pPr>
              <w:pStyle w:val="133"/>
              <w:rPr>
                <w:color w:val="000000"/>
                <w:szCs w:val="21"/>
              </w:rPr>
            </w:pPr>
            <w:r>
              <w:rPr>
                <w:rFonts w:hint="eastAsia"/>
                <w:color w:val="000000"/>
                <w:szCs w:val="21"/>
              </w:rPr>
              <w:t>-</w:t>
            </w:r>
          </w:p>
        </w:tc>
        <w:tc>
          <w:tcPr>
            <w:tcW w:w="996" w:type="dxa"/>
            <w:vAlign w:val="center"/>
          </w:tcPr>
          <w:p w14:paraId="525DE55C">
            <w:pPr>
              <w:pStyle w:val="133"/>
              <w:rPr>
                <w:color w:val="000000"/>
                <w:szCs w:val="21"/>
              </w:rPr>
            </w:pPr>
            <w:r>
              <w:rPr>
                <w:rFonts w:hint="eastAsia"/>
                <w:color w:val="000000"/>
                <w:szCs w:val="21"/>
              </w:rPr>
              <w:t>-</w:t>
            </w:r>
          </w:p>
        </w:tc>
        <w:tc>
          <w:tcPr>
            <w:tcW w:w="2658" w:type="dxa"/>
            <w:vMerge w:val="continue"/>
            <w:vAlign w:val="center"/>
          </w:tcPr>
          <w:p w14:paraId="7734CDAA">
            <w:pPr>
              <w:pStyle w:val="133"/>
              <w:rPr>
                <w:color w:val="EE0000"/>
                <w:kern w:val="2"/>
                <w:szCs w:val="21"/>
              </w:rPr>
            </w:pPr>
          </w:p>
        </w:tc>
      </w:tr>
      <w:tr w14:paraId="315F8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3CD4640">
            <w:pPr>
              <w:pStyle w:val="133"/>
              <w:rPr>
                <w:color w:val="000000"/>
                <w:szCs w:val="21"/>
              </w:rPr>
            </w:pPr>
          </w:p>
        </w:tc>
        <w:tc>
          <w:tcPr>
            <w:tcW w:w="2252" w:type="dxa"/>
            <w:gridSpan w:val="2"/>
            <w:vMerge w:val="continue"/>
            <w:vAlign w:val="center"/>
          </w:tcPr>
          <w:p w14:paraId="650CE6CE">
            <w:pPr>
              <w:pStyle w:val="133"/>
              <w:rPr>
                <w:color w:val="000000"/>
                <w:szCs w:val="21"/>
              </w:rPr>
            </w:pPr>
          </w:p>
        </w:tc>
        <w:tc>
          <w:tcPr>
            <w:tcW w:w="1284" w:type="dxa"/>
            <w:vAlign w:val="center"/>
          </w:tcPr>
          <w:p w14:paraId="3AFF59B5">
            <w:pPr>
              <w:pStyle w:val="133"/>
              <w:rPr>
                <w:color w:val="000000"/>
                <w:szCs w:val="21"/>
              </w:rPr>
            </w:pPr>
            <w:r>
              <w:rPr>
                <w:rFonts w:cs="Times New Roman"/>
                <w:color w:val="000000"/>
                <w:szCs w:val="21"/>
              </w:rPr>
              <w:t>废锭模</w:t>
            </w:r>
          </w:p>
        </w:tc>
        <w:tc>
          <w:tcPr>
            <w:tcW w:w="713" w:type="dxa"/>
            <w:vMerge w:val="continue"/>
            <w:vAlign w:val="center"/>
          </w:tcPr>
          <w:p w14:paraId="71214BAB">
            <w:pPr>
              <w:pStyle w:val="133"/>
              <w:rPr>
                <w:color w:val="000000"/>
                <w:szCs w:val="21"/>
              </w:rPr>
            </w:pPr>
          </w:p>
        </w:tc>
        <w:tc>
          <w:tcPr>
            <w:tcW w:w="1135" w:type="dxa"/>
            <w:tcBorders>
              <w:bottom w:val="single" w:color="auto" w:sz="4" w:space="0"/>
            </w:tcBorders>
            <w:vAlign w:val="center"/>
          </w:tcPr>
          <w:p w14:paraId="2560D3F0">
            <w:pPr>
              <w:pStyle w:val="133"/>
              <w:rPr>
                <w:color w:val="000000"/>
                <w:szCs w:val="21"/>
              </w:rPr>
            </w:pPr>
            <w:r>
              <w:rPr>
                <w:rFonts w:cs="Times New Roman"/>
                <w:color w:val="000000"/>
                <w:szCs w:val="21"/>
              </w:rPr>
              <w:t>外售</w:t>
            </w:r>
          </w:p>
        </w:tc>
        <w:tc>
          <w:tcPr>
            <w:tcW w:w="996" w:type="dxa"/>
            <w:tcBorders>
              <w:bottom w:val="single" w:color="auto" w:sz="4" w:space="0"/>
            </w:tcBorders>
            <w:vAlign w:val="center"/>
          </w:tcPr>
          <w:p w14:paraId="0EAF588F">
            <w:pPr>
              <w:pStyle w:val="133"/>
              <w:rPr>
                <w:color w:val="000000"/>
                <w:szCs w:val="21"/>
              </w:rPr>
            </w:pPr>
            <w:r>
              <w:rPr>
                <w:rFonts w:hint="eastAsia"/>
                <w:color w:val="000000"/>
                <w:szCs w:val="21"/>
              </w:rPr>
              <w:t>-</w:t>
            </w:r>
          </w:p>
        </w:tc>
        <w:tc>
          <w:tcPr>
            <w:tcW w:w="1139" w:type="dxa"/>
            <w:vAlign w:val="center"/>
          </w:tcPr>
          <w:p w14:paraId="77E52C87">
            <w:pPr>
              <w:pStyle w:val="133"/>
              <w:rPr>
                <w:color w:val="000000"/>
                <w:szCs w:val="21"/>
              </w:rPr>
            </w:pPr>
            <w:r>
              <w:rPr>
                <w:rFonts w:hint="eastAsia"/>
                <w:color w:val="000000"/>
                <w:szCs w:val="21"/>
              </w:rPr>
              <w:t>-</w:t>
            </w:r>
          </w:p>
        </w:tc>
        <w:tc>
          <w:tcPr>
            <w:tcW w:w="1139" w:type="dxa"/>
            <w:vAlign w:val="center"/>
          </w:tcPr>
          <w:p w14:paraId="2DEA3B4B">
            <w:pPr>
              <w:pStyle w:val="133"/>
              <w:rPr>
                <w:color w:val="000000"/>
                <w:szCs w:val="21"/>
              </w:rPr>
            </w:pPr>
            <w:r>
              <w:rPr>
                <w:rFonts w:hint="eastAsia"/>
                <w:color w:val="000000"/>
                <w:szCs w:val="21"/>
              </w:rPr>
              <w:t>0</w:t>
            </w:r>
          </w:p>
        </w:tc>
        <w:tc>
          <w:tcPr>
            <w:tcW w:w="996" w:type="dxa"/>
            <w:vAlign w:val="center"/>
          </w:tcPr>
          <w:p w14:paraId="0DF176A7">
            <w:pPr>
              <w:pStyle w:val="133"/>
              <w:rPr>
                <w:color w:val="000000"/>
                <w:szCs w:val="21"/>
              </w:rPr>
            </w:pPr>
            <w:r>
              <w:rPr>
                <w:rFonts w:hint="eastAsia"/>
                <w:color w:val="000000"/>
                <w:szCs w:val="21"/>
              </w:rPr>
              <w:t>-</w:t>
            </w:r>
          </w:p>
        </w:tc>
        <w:tc>
          <w:tcPr>
            <w:tcW w:w="996" w:type="dxa"/>
            <w:vAlign w:val="center"/>
          </w:tcPr>
          <w:p w14:paraId="0361A64F">
            <w:pPr>
              <w:pStyle w:val="133"/>
              <w:rPr>
                <w:color w:val="000000"/>
                <w:szCs w:val="21"/>
              </w:rPr>
            </w:pPr>
            <w:r>
              <w:rPr>
                <w:rFonts w:hint="eastAsia"/>
                <w:color w:val="000000"/>
                <w:szCs w:val="21"/>
              </w:rPr>
              <w:t>-</w:t>
            </w:r>
          </w:p>
        </w:tc>
        <w:tc>
          <w:tcPr>
            <w:tcW w:w="2658" w:type="dxa"/>
            <w:vMerge w:val="continue"/>
            <w:vAlign w:val="center"/>
          </w:tcPr>
          <w:p w14:paraId="5435DCAB">
            <w:pPr>
              <w:pStyle w:val="133"/>
              <w:rPr>
                <w:color w:val="EE0000"/>
                <w:kern w:val="2"/>
                <w:szCs w:val="21"/>
              </w:rPr>
            </w:pPr>
          </w:p>
        </w:tc>
      </w:tr>
      <w:tr w14:paraId="18325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7C852A5">
            <w:pPr>
              <w:pStyle w:val="133"/>
              <w:rPr>
                <w:color w:val="000000"/>
                <w:szCs w:val="21"/>
              </w:rPr>
            </w:pPr>
          </w:p>
        </w:tc>
        <w:tc>
          <w:tcPr>
            <w:tcW w:w="2252" w:type="dxa"/>
            <w:gridSpan w:val="2"/>
            <w:vMerge w:val="continue"/>
            <w:vAlign w:val="center"/>
          </w:tcPr>
          <w:p w14:paraId="1B1768A6">
            <w:pPr>
              <w:pStyle w:val="133"/>
              <w:rPr>
                <w:color w:val="000000"/>
                <w:szCs w:val="21"/>
              </w:rPr>
            </w:pPr>
          </w:p>
        </w:tc>
        <w:tc>
          <w:tcPr>
            <w:tcW w:w="1284" w:type="dxa"/>
            <w:vAlign w:val="center"/>
          </w:tcPr>
          <w:p w14:paraId="6C166093">
            <w:pPr>
              <w:pStyle w:val="133"/>
              <w:rPr>
                <w:color w:val="000000"/>
                <w:szCs w:val="21"/>
              </w:rPr>
            </w:pPr>
            <w:r>
              <w:rPr>
                <w:rFonts w:hint="eastAsia"/>
                <w:color w:val="000000"/>
                <w:szCs w:val="21"/>
              </w:rPr>
              <w:t>废离子交换树脂</w:t>
            </w:r>
          </w:p>
        </w:tc>
        <w:tc>
          <w:tcPr>
            <w:tcW w:w="713" w:type="dxa"/>
            <w:vMerge w:val="continue"/>
            <w:vAlign w:val="center"/>
          </w:tcPr>
          <w:p w14:paraId="3183D10D">
            <w:pPr>
              <w:pStyle w:val="133"/>
              <w:rPr>
                <w:color w:val="000000"/>
                <w:szCs w:val="21"/>
              </w:rPr>
            </w:pPr>
          </w:p>
        </w:tc>
        <w:tc>
          <w:tcPr>
            <w:tcW w:w="1135" w:type="dxa"/>
            <w:tcBorders>
              <w:bottom w:val="single" w:color="auto" w:sz="4" w:space="0"/>
            </w:tcBorders>
            <w:vAlign w:val="center"/>
          </w:tcPr>
          <w:p w14:paraId="28F7BE0F">
            <w:pPr>
              <w:pStyle w:val="133"/>
              <w:rPr>
                <w:color w:val="000000"/>
                <w:szCs w:val="21"/>
              </w:rPr>
            </w:pPr>
            <w:r>
              <w:rPr>
                <w:rFonts w:hint="eastAsia"/>
                <w:color w:val="000000"/>
                <w:szCs w:val="21"/>
              </w:rPr>
              <w:t>由厂家回收</w:t>
            </w:r>
          </w:p>
        </w:tc>
        <w:tc>
          <w:tcPr>
            <w:tcW w:w="996" w:type="dxa"/>
            <w:tcBorders>
              <w:bottom w:val="single" w:color="auto" w:sz="4" w:space="0"/>
            </w:tcBorders>
            <w:vAlign w:val="center"/>
          </w:tcPr>
          <w:p w14:paraId="4343133A">
            <w:pPr>
              <w:pStyle w:val="133"/>
              <w:rPr>
                <w:color w:val="000000"/>
                <w:szCs w:val="21"/>
              </w:rPr>
            </w:pPr>
            <w:r>
              <w:rPr>
                <w:rFonts w:hint="eastAsia"/>
                <w:color w:val="000000"/>
                <w:szCs w:val="21"/>
              </w:rPr>
              <w:t>-</w:t>
            </w:r>
          </w:p>
        </w:tc>
        <w:tc>
          <w:tcPr>
            <w:tcW w:w="1139" w:type="dxa"/>
            <w:vAlign w:val="center"/>
          </w:tcPr>
          <w:p w14:paraId="7F45605F">
            <w:pPr>
              <w:pStyle w:val="133"/>
              <w:rPr>
                <w:color w:val="000000"/>
                <w:szCs w:val="21"/>
              </w:rPr>
            </w:pPr>
            <w:r>
              <w:rPr>
                <w:rFonts w:hint="eastAsia"/>
                <w:color w:val="000000"/>
                <w:szCs w:val="21"/>
              </w:rPr>
              <w:t>-</w:t>
            </w:r>
          </w:p>
        </w:tc>
        <w:tc>
          <w:tcPr>
            <w:tcW w:w="1139" w:type="dxa"/>
            <w:vAlign w:val="center"/>
          </w:tcPr>
          <w:p w14:paraId="238F2795">
            <w:pPr>
              <w:pStyle w:val="133"/>
              <w:rPr>
                <w:color w:val="000000"/>
                <w:szCs w:val="21"/>
              </w:rPr>
            </w:pPr>
            <w:r>
              <w:rPr>
                <w:rFonts w:hint="eastAsia"/>
                <w:color w:val="000000"/>
                <w:szCs w:val="21"/>
              </w:rPr>
              <w:t>0</w:t>
            </w:r>
          </w:p>
        </w:tc>
        <w:tc>
          <w:tcPr>
            <w:tcW w:w="996" w:type="dxa"/>
            <w:vAlign w:val="center"/>
          </w:tcPr>
          <w:p w14:paraId="45EE3766">
            <w:pPr>
              <w:pStyle w:val="133"/>
              <w:rPr>
                <w:color w:val="000000"/>
                <w:szCs w:val="21"/>
              </w:rPr>
            </w:pPr>
            <w:r>
              <w:rPr>
                <w:rFonts w:hint="eastAsia"/>
                <w:color w:val="000000"/>
                <w:szCs w:val="21"/>
              </w:rPr>
              <w:t>-</w:t>
            </w:r>
          </w:p>
        </w:tc>
        <w:tc>
          <w:tcPr>
            <w:tcW w:w="996" w:type="dxa"/>
            <w:vAlign w:val="center"/>
          </w:tcPr>
          <w:p w14:paraId="5ED02DB4">
            <w:pPr>
              <w:pStyle w:val="133"/>
              <w:rPr>
                <w:color w:val="000000"/>
                <w:szCs w:val="21"/>
              </w:rPr>
            </w:pPr>
            <w:r>
              <w:rPr>
                <w:rFonts w:hint="eastAsia"/>
                <w:color w:val="000000"/>
                <w:szCs w:val="21"/>
              </w:rPr>
              <w:t>-</w:t>
            </w:r>
          </w:p>
        </w:tc>
        <w:tc>
          <w:tcPr>
            <w:tcW w:w="2658" w:type="dxa"/>
            <w:vMerge w:val="continue"/>
            <w:vAlign w:val="center"/>
          </w:tcPr>
          <w:p w14:paraId="73763093">
            <w:pPr>
              <w:pStyle w:val="133"/>
              <w:rPr>
                <w:color w:val="EE0000"/>
                <w:kern w:val="2"/>
                <w:szCs w:val="21"/>
              </w:rPr>
            </w:pPr>
          </w:p>
        </w:tc>
      </w:tr>
      <w:tr w14:paraId="65319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F3DD3DB">
            <w:pPr>
              <w:pStyle w:val="133"/>
              <w:rPr>
                <w:color w:val="000000"/>
                <w:szCs w:val="21"/>
              </w:rPr>
            </w:pPr>
          </w:p>
        </w:tc>
        <w:tc>
          <w:tcPr>
            <w:tcW w:w="2252" w:type="dxa"/>
            <w:gridSpan w:val="2"/>
            <w:vMerge w:val="continue"/>
            <w:vAlign w:val="center"/>
          </w:tcPr>
          <w:p w14:paraId="61F55C83">
            <w:pPr>
              <w:pStyle w:val="133"/>
              <w:rPr>
                <w:color w:val="000000"/>
                <w:szCs w:val="21"/>
              </w:rPr>
            </w:pPr>
          </w:p>
        </w:tc>
        <w:tc>
          <w:tcPr>
            <w:tcW w:w="1284" w:type="dxa"/>
            <w:vAlign w:val="center"/>
          </w:tcPr>
          <w:p w14:paraId="1CEAF345">
            <w:pPr>
              <w:pStyle w:val="133"/>
              <w:rPr>
                <w:color w:val="000000"/>
                <w:szCs w:val="21"/>
              </w:rPr>
            </w:pPr>
            <w:r>
              <w:rPr>
                <w:rFonts w:hint="eastAsia"/>
                <w:color w:val="000000"/>
                <w:szCs w:val="21"/>
              </w:rPr>
              <w:t>废滤芯</w:t>
            </w:r>
          </w:p>
        </w:tc>
        <w:tc>
          <w:tcPr>
            <w:tcW w:w="713" w:type="dxa"/>
            <w:vMerge w:val="continue"/>
            <w:vAlign w:val="center"/>
          </w:tcPr>
          <w:p w14:paraId="7C836432">
            <w:pPr>
              <w:pStyle w:val="133"/>
              <w:rPr>
                <w:color w:val="000000"/>
                <w:szCs w:val="21"/>
              </w:rPr>
            </w:pPr>
          </w:p>
        </w:tc>
        <w:tc>
          <w:tcPr>
            <w:tcW w:w="1135" w:type="dxa"/>
            <w:tcBorders>
              <w:bottom w:val="single" w:color="auto" w:sz="4" w:space="0"/>
            </w:tcBorders>
            <w:vAlign w:val="center"/>
          </w:tcPr>
          <w:p w14:paraId="57A7D2F7">
            <w:pPr>
              <w:pStyle w:val="133"/>
              <w:rPr>
                <w:color w:val="000000"/>
                <w:szCs w:val="21"/>
              </w:rPr>
            </w:pPr>
            <w:r>
              <w:rPr>
                <w:rFonts w:hint="eastAsia"/>
                <w:color w:val="000000"/>
                <w:szCs w:val="21"/>
              </w:rPr>
              <w:t>由厂家回收</w:t>
            </w:r>
          </w:p>
        </w:tc>
        <w:tc>
          <w:tcPr>
            <w:tcW w:w="996" w:type="dxa"/>
            <w:tcBorders>
              <w:bottom w:val="single" w:color="auto" w:sz="4" w:space="0"/>
            </w:tcBorders>
            <w:vAlign w:val="center"/>
          </w:tcPr>
          <w:p w14:paraId="5C5530DC">
            <w:pPr>
              <w:pStyle w:val="133"/>
              <w:rPr>
                <w:color w:val="000000"/>
                <w:szCs w:val="21"/>
              </w:rPr>
            </w:pPr>
            <w:r>
              <w:rPr>
                <w:rFonts w:hint="eastAsia"/>
                <w:color w:val="000000"/>
                <w:szCs w:val="21"/>
              </w:rPr>
              <w:t>-</w:t>
            </w:r>
          </w:p>
        </w:tc>
        <w:tc>
          <w:tcPr>
            <w:tcW w:w="1139" w:type="dxa"/>
            <w:vAlign w:val="center"/>
          </w:tcPr>
          <w:p w14:paraId="4B404DAD">
            <w:pPr>
              <w:pStyle w:val="133"/>
              <w:rPr>
                <w:color w:val="000000"/>
                <w:szCs w:val="21"/>
              </w:rPr>
            </w:pPr>
            <w:r>
              <w:rPr>
                <w:rFonts w:hint="eastAsia"/>
                <w:color w:val="000000"/>
                <w:szCs w:val="21"/>
              </w:rPr>
              <w:t>-</w:t>
            </w:r>
          </w:p>
        </w:tc>
        <w:tc>
          <w:tcPr>
            <w:tcW w:w="1139" w:type="dxa"/>
            <w:vAlign w:val="center"/>
          </w:tcPr>
          <w:p w14:paraId="7CF0B2F2">
            <w:pPr>
              <w:pStyle w:val="133"/>
              <w:rPr>
                <w:color w:val="000000"/>
                <w:szCs w:val="21"/>
              </w:rPr>
            </w:pPr>
            <w:r>
              <w:rPr>
                <w:rFonts w:hint="eastAsia"/>
                <w:color w:val="000000"/>
                <w:szCs w:val="21"/>
              </w:rPr>
              <w:t>0</w:t>
            </w:r>
          </w:p>
        </w:tc>
        <w:tc>
          <w:tcPr>
            <w:tcW w:w="996" w:type="dxa"/>
            <w:vAlign w:val="center"/>
          </w:tcPr>
          <w:p w14:paraId="390DEA98">
            <w:pPr>
              <w:pStyle w:val="133"/>
              <w:rPr>
                <w:color w:val="000000"/>
                <w:szCs w:val="21"/>
              </w:rPr>
            </w:pPr>
            <w:r>
              <w:rPr>
                <w:rFonts w:hint="eastAsia"/>
                <w:color w:val="000000"/>
                <w:szCs w:val="21"/>
              </w:rPr>
              <w:t>-</w:t>
            </w:r>
          </w:p>
        </w:tc>
        <w:tc>
          <w:tcPr>
            <w:tcW w:w="996" w:type="dxa"/>
            <w:vAlign w:val="center"/>
          </w:tcPr>
          <w:p w14:paraId="65EDACA6">
            <w:pPr>
              <w:pStyle w:val="133"/>
              <w:rPr>
                <w:color w:val="000000"/>
                <w:szCs w:val="21"/>
              </w:rPr>
            </w:pPr>
            <w:r>
              <w:rPr>
                <w:rFonts w:hint="eastAsia"/>
                <w:color w:val="000000"/>
                <w:szCs w:val="21"/>
              </w:rPr>
              <w:t>-</w:t>
            </w:r>
          </w:p>
        </w:tc>
        <w:tc>
          <w:tcPr>
            <w:tcW w:w="2658" w:type="dxa"/>
            <w:vMerge w:val="continue"/>
            <w:vAlign w:val="center"/>
          </w:tcPr>
          <w:p w14:paraId="6A053791">
            <w:pPr>
              <w:pStyle w:val="133"/>
              <w:rPr>
                <w:color w:val="EE0000"/>
                <w:kern w:val="2"/>
                <w:szCs w:val="21"/>
              </w:rPr>
            </w:pPr>
          </w:p>
        </w:tc>
      </w:tr>
      <w:tr w14:paraId="63B479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3ABA3CD9">
            <w:pPr>
              <w:pStyle w:val="133"/>
              <w:rPr>
                <w:color w:val="000000"/>
                <w:szCs w:val="21"/>
              </w:rPr>
            </w:pPr>
          </w:p>
        </w:tc>
        <w:tc>
          <w:tcPr>
            <w:tcW w:w="2252" w:type="dxa"/>
            <w:gridSpan w:val="2"/>
            <w:vMerge w:val="continue"/>
            <w:vAlign w:val="center"/>
          </w:tcPr>
          <w:p w14:paraId="15BD262E">
            <w:pPr>
              <w:pStyle w:val="133"/>
              <w:rPr>
                <w:color w:val="000000"/>
                <w:szCs w:val="21"/>
              </w:rPr>
            </w:pPr>
          </w:p>
        </w:tc>
        <w:tc>
          <w:tcPr>
            <w:tcW w:w="1284" w:type="dxa"/>
            <w:vAlign w:val="center"/>
          </w:tcPr>
          <w:p w14:paraId="146E61EB">
            <w:pPr>
              <w:pStyle w:val="133"/>
              <w:rPr>
                <w:color w:val="000000"/>
                <w:szCs w:val="21"/>
              </w:rPr>
            </w:pPr>
            <w:r>
              <w:rPr>
                <w:rFonts w:hint="eastAsia"/>
                <w:color w:val="000000"/>
                <w:szCs w:val="21"/>
              </w:rPr>
              <w:t>废布袋</w:t>
            </w:r>
          </w:p>
        </w:tc>
        <w:tc>
          <w:tcPr>
            <w:tcW w:w="713" w:type="dxa"/>
            <w:vMerge w:val="continue"/>
            <w:vAlign w:val="center"/>
          </w:tcPr>
          <w:p w14:paraId="69AF387B">
            <w:pPr>
              <w:pStyle w:val="133"/>
              <w:rPr>
                <w:color w:val="000000"/>
                <w:szCs w:val="21"/>
              </w:rPr>
            </w:pPr>
          </w:p>
        </w:tc>
        <w:tc>
          <w:tcPr>
            <w:tcW w:w="1135" w:type="dxa"/>
            <w:tcBorders>
              <w:bottom w:val="single" w:color="auto" w:sz="4" w:space="0"/>
            </w:tcBorders>
            <w:vAlign w:val="center"/>
          </w:tcPr>
          <w:p w14:paraId="0216A4CC">
            <w:pPr>
              <w:pStyle w:val="133"/>
              <w:rPr>
                <w:color w:val="000000"/>
                <w:szCs w:val="21"/>
              </w:rPr>
            </w:pPr>
            <w:r>
              <w:rPr>
                <w:rFonts w:hint="eastAsia"/>
                <w:color w:val="000000"/>
                <w:szCs w:val="21"/>
              </w:rPr>
              <w:t>由运维公司回收</w:t>
            </w:r>
          </w:p>
        </w:tc>
        <w:tc>
          <w:tcPr>
            <w:tcW w:w="996" w:type="dxa"/>
            <w:tcBorders>
              <w:bottom w:val="single" w:color="auto" w:sz="4" w:space="0"/>
            </w:tcBorders>
            <w:vAlign w:val="center"/>
          </w:tcPr>
          <w:p w14:paraId="39BCDEFB">
            <w:pPr>
              <w:pStyle w:val="133"/>
              <w:rPr>
                <w:color w:val="000000"/>
                <w:szCs w:val="21"/>
              </w:rPr>
            </w:pPr>
            <w:r>
              <w:rPr>
                <w:rFonts w:hint="eastAsia"/>
                <w:color w:val="000000"/>
                <w:szCs w:val="21"/>
              </w:rPr>
              <w:t>-</w:t>
            </w:r>
          </w:p>
        </w:tc>
        <w:tc>
          <w:tcPr>
            <w:tcW w:w="1139" w:type="dxa"/>
            <w:vAlign w:val="center"/>
          </w:tcPr>
          <w:p w14:paraId="1DC317DB">
            <w:pPr>
              <w:pStyle w:val="133"/>
              <w:rPr>
                <w:color w:val="000000"/>
                <w:szCs w:val="21"/>
              </w:rPr>
            </w:pPr>
            <w:r>
              <w:rPr>
                <w:rFonts w:hint="eastAsia"/>
                <w:color w:val="000000"/>
                <w:szCs w:val="21"/>
              </w:rPr>
              <w:t>-</w:t>
            </w:r>
          </w:p>
        </w:tc>
        <w:tc>
          <w:tcPr>
            <w:tcW w:w="1139" w:type="dxa"/>
            <w:vAlign w:val="center"/>
          </w:tcPr>
          <w:p w14:paraId="607700C7">
            <w:pPr>
              <w:pStyle w:val="133"/>
              <w:rPr>
                <w:color w:val="000000"/>
                <w:szCs w:val="21"/>
              </w:rPr>
            </w:pPr>
            <w:r>
              <w:rPr>
                <w:rFonts w:hint="eastAsia"/>
                <w:color w:val="000000"/>
                <w:szCs w:val="21"/>
              </w:rPr>
              <w:t>0</w:t>
            </w:r>
          </w:p>
        </w:tc>
        <w:tc>
          <w:tcPr>
            <w:tcW w:w="996" w:type="dxa"/>
            <w:vAlign w:val="center"/>
          </w:tcPr>
          <w:p w14:paraId="5065B26D">
            <w:pPr>
              <w:pStyle w:val="133"/>
              <w:rPr>
                <w:color w:val="000000"/>
                <w:szCs w:val="21"/>
              </w:rPr>
            </w:pPr>
            <w:r>
              <w:rPr>
                <w:rFonts w:hint="eastAsia"/>
                <w:color w:val="000000"/>
                <w:szCs w:val="21"/>
              </w:rPr>
              <w:t>-</w:t>
            </w:r>
          </w:p>
        </w:tc>
        <w:tc>
          <w:tcPr>
            <w:tcW w:w="996" w:type="dxa"/>
            <w:vAlign w:val="center"/>
          </w:tcPr>
          <w:p w14:paraId="687ADB28">
            <w:pPr>
              <w:pStyle w:val="133"/>
              <w:rPr>
                <w:color w:val="000000"/>
                <w:szCs w:val="21"/>
              </w:rPr>
            </w:pPr>
            <w:r>
              <w:rPr>
                <w:rFonts w:hint="eastAsia"/>
                <w:color w:val="000000"/>
                <w:szCs w:val="21"/>
              </w:rPr>
              <w:t>-</w:t>
            </w:r>
          </w:p>
        </w:tc>
        <w:tc>
          <w:tcPr>
            <w:tcW w:w="2658" w:type="dxa"/>
            <w:vMerge w:val="continue"/>
            <w:vAlign w:val="center"/>
          </w:tcPr>
          <w:p w14:paraId="4C368C62">
            <w:pPr>
              <w:pStyle w:val="133"/>
              <w:rPr>
                <w:color w:val="EE0000"/>
                <w:kern w:val="2"/>
                <w:szCs w:val="21"/>
              </w:rPr>
            </w:pPr>
          </w:p>
        </w:tc>
      </w:tr>
      <w:tr w14:paraId="005B8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D9E2F74">
            <w:pPr>
              <w:pStyle w:val="133"/>
              <w:rPr>
                <w:color w:val="000000"/>
                <w:szCs w:val="21"/>
              </w:rPr>
            </w:pPr>
          </w:p>
        </w:tc>
        <w:tc>
          <w:tcPr>
            <w:tcW w:w="2252" w:type="dxa"/>
            <w:gridSpan w:val="2"/>
            <w:vMerge w:val="restart"/>
            <w:tcBorders>
              <w:top w:val="single" w:color="auto" w:sz="4" w:space="0"/>
            </w:tcBorders>
            <w:vAlign w:val="center"/>
          </w:tcPr>
          <w:p w14:paraId="588F3C9F">
            <w:pPr>
              <w:pStyle w:val="133"/>
              <w:rPr>
                <w:color w:val="000000"/>
                <w:szCs w:val="21"/>
              </w:rPr>
            </w:pPr>
            <w:r>
              <w:rPr>
                <w:rFonts w:hint="eastAsia"/>
                <w:color w:val="000000"/>
                <w:szCs w:val="21"/>
              </w:rPr>
              <w:t>危险废物</w:t>
            </w:r>
          </w:p>
        </w:tc>
        <w:tc>
          <w:tcPr>
            <w:tcW w:w="1284" w:type="dxa"/>
            <w:tcBorders>
              <w:top w:val="single" w:color="auto" w:sz="4" w:space="0"/>
            </w:tcBorders>
            <w:vAlign w:val="center"/>
          </w:tcPr>
          <w:p w14:paraId="0A15848B">
            <w:pPr>
              <w:pStyle w:val="133"/>
              <w:rPr>
                <w:color w:val="000000"/>
                <w:szCs w:val="21"/>
              </w:rPr>
            </w:pPr>
            <w:r>
              <w:rPr>
                <w:rFonts w:hint="eastAsia"/>
                <w:color w:val="000000"/>
                <w:szCs w:val="21"/>
              </w:rPr>
              <w:t>煤焦油</w:t>
            </w:r>
          </w:p>
        </w:tc>
        <w:tc>
          <w:tcPr>
            <w:tcW w:w="713" w:type="dxa"/>
            <w:vMerge w:val="restart"/>
            <w:tcBorders>
              <w:top w:val="single" w:color="auto" w:sz="4" w:space="0"/>
            </w:tcBorders>
            <w:vAlign w:val="center"/>
          </w:tcPr>
          <w:p w14:paraId="768A87BC">
            <w:pPr>
              <w:pStyle w:val="133"/>
              <w:rPr>
                <w:color w:val="000000"/>
                <w:szCs w:val="21"/>
              </w:rPr>
            </w:pPr>
            <w:r>
              <w:rPr>
                <w:rFonts w:hint="eastAsia"/>
                <w:color w:val="000000"/>
                <w:szCs w:val="21"/>
              </w:rPr>
              <w:t>-</w:t>
            </w:r>
          </w:p>
        </w:tc>
        <w:tc>
          <w:tcPr>
            <w:tcW w:w="1135" w:type="dxa"/>
            <w:tcBorders>
              <w:top w:val="single" w:color="auto" w:sz="4" w:space="0"/>
              <w:bottom w:val="single" w:color="auto" w:sz="4" w:space="0"/>
            </w:tcBorders>
            <w:vAlign w:val="center"/>
          </w:tcPr>
          <w:p w14:paraId="3B861CD3">
            <w:pPr>
              <w:pStyle w:val="133"/>
              <w:rPr>
                <w:bCs/>
                <w:color w:val="000000"/>
                <w:szCs w:val="21"/>
              </w:rPr>
            </w:pPr>
            <w:r>
              <w:rPr>
                <w:rFonts w:hint="eastAsia"/>
                <w:color w:val="000000"/>
                <w:szCs w:val="21"/>
              </w:rPr>
              <w:t>危险废物处置单位综合利用</w:t>
            </w:r>
          </w:p>
        </w:tc>
        <w:tc>
          <w:tcPr>
            <w:tcW w:w="996" w:type="dxa"/>
            <w:tcBorders>
              <w:top w:val="single" w:color="auto" w:sz="4" w:space="0"/>
              <w:bottom w:val="single" w:color="auto" w:sz="4" w:space="0"/>
            </w:tcBorders>
            <w:vAlign w:val="center"/>
          </w:tcPr>
          <w:p w14:paraId="230CA94A">
            <w:pPr>
              <w:pStyle w:val="133"/>
              <w:rPr>
                <w:color w:val="000000"/>
                <w:szCs w:val="21"/>
              </w:rPr>
            </w:pPr>
            <w:r>
              <w:rPr>
                <w:rFonts w:hint="eastAsia"/>
                <w:color w:val="000000"/>
                <w:szCs w:val="21"/>
              </w:rPr>
              <w:t>-</w:t>
            </w:r>
          </w:p>
        </w:tc>
        <w:tc>
          <w:tcPr>
            <w:tcW w:w="1139" w:type="dxa"/>
            <w:vAlign w:val="center"/>
          </w:tcPr>
          <w:p w14:paraId="37C73F2B">
            <w:pPr>
              <w:pStyle w:val="133"/>
              <w:rPr>
                <w:color w:val="000000"/>
                <w:szCs w:val="21"/>
              </w:rPr>
            </w:pPr>
            <w:r>
              <w:rPr>
                <w:rFonts w:hint="eastAsia"/>
                <w:color w:val="000000"/>
                <w:szCs w:val="21"/>
              </w:rPr>
              <w:t>-</w:t>
            </w:r>
          </w:p>
        </w:tc>
        <w:tc>
          <w:tcPr>
            <w:tcW w:w="1139" w:type="dxa"/>
            <w:vAlign w:val="center"/>
          </w:tcPr>
          <w:p w14:paraId="71CF32CE">
            <w:pPr>
              <w:pStyle w:val="133"/>
              <w:rPr>
                <w:color w:val="000000"/>
                <w:szCs w:val="21"/>
              </w:rPr>
            </w:pPr>
            <w:r>
              <w:rPr>
                <w:rFonts w:hint="eastAsia"/>
                <w:color w:val="000000"/>
                <w:szCs w:val="21"/>
              </w:rPr>
              <w:t>0</w:t>
            </w:r>
          </w:p>
        </w:tc>
        <w:tc>
          <w:tcPr>
            <w:tcW w:w="996" w:type="dxa"/>
            <w:vAlign w:val="center"/>
          </w:tcPr>
          <w:p w14:paraId="34DCEF0A">
            <w:pPr>
              <w:pStyle w:val="133"/>
              <w:rPr>
                <w:color w:val="000000"/>
                <w:szCs w:val="21"/>
              </w:rPr>
            </w:pPr>
            <w:r>
              <w:rPr>
                <w:rFonts w:hint="eastAsia"/>
                <w:color w:val="000000"/>
                <w:szCs w:val="21"/>
              </w:rPr>
              <w:t>-</w:t>
            </w:r>
          </w:p>
        </w:tc>
        <w:tc>
          <w:tcPr>
            <w:tcW w:w="996" w:type="dxa"/>
            <w:tcBorders>
              <w:top w:val="single" w:color="auto" w:sz="4" w:space="0"/>
            </w:tcBorders>
            <w:vAlign w:val="center"/>
          </w:tcPr>
          <w:p w14:paraId="1ACB232F">
            <w:pPr>
              <w:pStyle w:val="133"/>
              <w:rPr>
                <w:color w:val="000000"/>
                <w:szCs w:val="21"/>
              </w:rPr>
            </w:pPr>
            <w:r>
              <w:rPr>
                <w:rFonts w:hint="eastAsia"/>
                <w:color w:val="000000"/>
                <w:szCs w:val="21"/>
              </w:rPr>
              <w:t>-</w:t>
            </w:r>
          </w:p>
        </w:tc>
        <w:tc>
          <w:tcPr>
            <w:tcW w:w="2658" w:type="dxa"/>
            <w:vMerge w:val="restart"/>
            <w:tcBorders>
              <w:top w:val="single" w:color="auto" w:sz="4" w:space="0"/>
            </w:tcBorders>
            <w:vAlign w:val="center"/>
          </w:tcPr>
          <w:p w14:paraId="7E117FA9">
            <w:pPr>
              <w:pStyle w:val="133"/>
              <w:rPr>
                <w:color w:val="000000"/>
                <w:szCs w:val="21"/>
              </w:rPr>
            </w:pPr>
            <w:r>
              <w:rPr>
                <w:rFonts w:hint="eastAsia"/>
                <w:color w:val="000000"/>
                <w:kern w:val="2"/>
                <w:szCs w:val="21"/>
              </w:rPr>
              <w:t>《危险废物贮存污染控制标准》（</w:t>
            </w:r>
            <w:r>
              <w:rPr>
                <w:color w:val="000000"/>
                <w:kern w:val="2"/>
                <w:szCs w:val="21"/>
              </w:rPr>
              <w:t>GB18597</w:t>
            </w:r>
            <w:r>
              <w:rPr>
                <w:rFonts w:hint="eastAsia"/>
                <w:color w:val="000000"/>
                <w:kern w:val="2"/>
                <w:szCs w:val="21"/>
              </w:rPr>
              <w:t>-</w:t>
            </w:r>
            <w:r>
              <w:rPr>
                <w:color w:val="000000"/>
                <w:kern w:val="2"/>
                <w:szCs w:val="21"/>
              </w:rPr>
              <w:t>2023</w:t>
            </w:r>
            <w:r>
              <w:rPr>
                <w:rFonts w:hint="eastAsia"/>
                <w:color w:val="000000"/>
                <w:kern w:val="2"/>
                <w:szCs w:val="21"/>
              </w:rPr>
              <w:t>）</w:t>
            </w:r>
          </w:p>
        </w:tc>
      </w:tr>
      <w:tr w14:paraId="3E47E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51A7C8E5">
            <w:pPr>
              <w:pStyle w:val="133"/>
              <w:rPr>
                <w:color w:val="000000"/>
                <w:szCs w:val="21"/>
              </w:rPr>
            </w:pPr>
          </w:p>
        </w:tc>
        <w:tc>
          <w:tcPr>
            <w:tcW w:w="2252" w:type="dxa"/>
            <w:gridSpan w:val="2"/>
            <w:vMerge w:val="continue"/>
            <w:vAlign w:val="center"/>
          </w:tcPr>
          <w:p w14:paraId="2CD2DA9A">
            <w:pPr>
              <w:pStyle w:val="133"/>
              <w:rPr>
                <w:color w:val="000000"/>
                <w:szCs w:val="21"/>
              </w:rPr>
            </w:pPr>
          </w:p>
        </w:tc>
        <w:tc>
          <w:tcPr>
            <w:tcW w:w="1284" w:type="dxa"/>
            <w:tcBorders>
              <w:top w:val="single" w:color="auto" w:sz="4" w:space="0"/>
            </w:tcBorders>
            <w:vAlign w:val="center"/>
          </w:tcPr>
          <w:p w14:paraId="30190CE7">
            <w:pPr>
              <w:pStyle w:val="133"/>
              <w:rPr>
                <w:color w:val="000000"/>
                <w:szCs w:val="21"/>
              </w:rPr>
            </w:pPr>
            <w:r>
              <w:rPr>
                <w:rFonts w:hint="eastAsia"/>
                <w:color w:val="000000"/>
                <w:szCs w:val="21"/>
              </w:rPr>
              <w:t>焦油渣</w:t>
            </w:r>
          </w:p>
        </w:tc>
        <w:tc>
          <w:tcPr>
            <w:tcW w:w="713" w:type="dxa"/>
            <w:vMerge w:val="continue"/>
            <w:vAlign w:val="center"/>
          </w:tcPr>
          <w:p w14:paraId="4C10D448">
            <w:pPr>
              <w:pStyle w:val="133"/>
              <w:rPr>
                <w:color w:val="000000"/>
                <w:szCs w:val="21"/>
              </w:rPr>
            </w:pPr>
          </w:p>
        </w:tc>
        <w:tc>
          <w:tcPr>
            <w:tcW w:w="1135" w:type="dxa"/>
            <w:vMerge w:val="restart"/>
            <w:tcBorders>
              <w:top w:val="single" w:color="auto" w:sz="4" w:space="0"/>
            </w:tcBorders>
            <w:vAlign w:val="center"/>
          </w:tcPr>
          <w:p w14:paraId="3CACAA3E">
            <w:pPr>
              <w:pStyle w:val="133"/>
              <w:rPr>
                <w:bCs/>
                <w:color w:val="000000"/>
                <w:szCs w:val="21"/>
              </w:rPr>
            </w:pPr>
            <w:r>
              <w:rPr>
                <w:rFonts w:hint="eastAsia"/>
                <w:color w:val="000000"/>
                <w:szCs w:val="21"/>
              </w:rPr>
              <w:t>备煤工段掺烧</w:t>
            </w:r>
          </w:p>
        </w:tc>
        <w:tc>
          <w:tcPr>
            <w:tcW w:w="996" w:type="dxa"/>
            <w:tcBorders>
              <w:top w:val="single" w:color="auto" w:sz="4" w:space="0"/>
              <w:bottom w:val="single" w:color="auto" w:sz="4" w:space="0"/>
            </w:tcBorders>
            <w:vAlign w:val="center"/>
          </w:tcPr>
          <w:p w14:paraId="470BEF6E">
            <w:pPr>
              <w:pStyle w:val="133"/>
              <w:rPr>
                <w:color w:val="000000"/>
                <w:szCs w:val="21"/>
              </w:rPr>
            </w:pPr>
            <w:r>
              <w:rPr>
                <w:rFonts w:hint="eastAsia"/>
                <w:color w:val="000000"/>
                <w:szCs w:val="21"/>
              </w:rPr>
              <w:t>-</w:t>
            </w:r>
          </w:p>
        </w:tc>
        <w:tc>
          <w:tcPr>
            <w:tcW w:w="1139" w:type="dxa"/>
            <w:vAlign w:val="center"/>
          </w:tcPr>
          <w:p w14:paraId="2FED1FCF">
            <w:pPr>
              <w:pStyle w:val="133"/>
              <w:rPr>
                <w:color w:val="000000"/>
                <w:szCs w:val="21"/>
              </w:rPr>
            </w:pPr>
            <w:r>
              <w:rPr>
                <w:rFonts w:hint="eastAsia"/>
                <w:color w:val="000000"/>
                <w:szCs w:val="21"/>
              </w:rPr>
              <w:t>-</w:t>
            </w:r>
          </w:p>
        </w:tc>
        <w:tc>
          <w:tcPr>
            <w:tcW w:w="1139" w:type="dxa"/>
            <w:vAlign w:val="center"/>
          </w:tcPr>
          <w:p w14:paraId="36EA21AA">
            <w:pPr>
              <w:pStyle w:val="133"/>
              <w:rPr>
                <w:color w:val="000000"/>
                <w:szCs w:val="21"/>
              </w:rPr>
            </w:pPr>
            <w:r>
              <w:rPr>
                <w:rFonts w:hint="eastAsia"/>
                <w:color w:val="000000"/>
                <w:szCs w:val="21"/>
              </w:rPr>
              <w:t>0</w:t>
            </w:r>
          </w:p>
        </w:tc>
        <w:tc>
          <w:tcPr>
            <w:tcW w:w="996" w:type="dxa"/>
            <w:vAlign w:val="center"/>
          </w:tcPr>
          <w:p w14:paraId="4F1A4BF3">
            <w:pPr>
              <w:pStyle w:val="133"/>
              <w:rPr>
                <w:color w:val="000000"/>
                <w:szCs w:val="21"/>
              </w:rPr>
            </w:pPr>
            <w:r>
              <w:rPr>
                <w:rFonts w:hint="eastAsia"/>
                <w:color w:val="000000"/>
                <w:szCs w:val="21"/>
              </w:rPr>
              <w:t>-</w:t>
            </w:r>
          </w:p>
        </w:tc>
        <w:tc>
          <w:tcPr>
            <w:tcW w:w="996" w:type="dxa"/>
            <w:tcBorders>
              <w:top w:val="single" w:color="auto" w:sz="4" w:space="0"/>
            </w:tcBorders>
            <w:vAlign w:val="center"/>
          </w:tcPr>
          <w:p w14:paraId="3EE09746">
            <w:pPr>
              <w:pStyle w:val="133"/>
              <w:rPr>
                <w:color w:val="000000"/>
                <w:szCs w:val="21"/>
              </w:rPr>
            </w:pPr>
            <w:r>
              <w:rPr>
                <w:rFonts w:hint="eastAsia"/>
                <w:color w:val="000000"/>
                <w:szCs w:val="21"/>
              </w:rPr>
              <w:t>-</w:t>
            </w:r>
          </w:p>
        </w:tc>
        <w:tc>
          <w:tcPr>
            <w:tcW w:w="2658" w:type="dxa"/>
            <w:vMerge w:val="continue"/>
            <w:vAlign w:val="center"/>
          </w:tcPr>
          <w:p w14:paraId="491824C8">
            <w:pPr>
              <w:pStyle w:val="133"/>
              <w:rPr>
                <w:color w:val="000000"/>
                <w:kern w:val="2"/>
                <w:szCs w:val="21"/>
              </w:rPr>
            </w:pPr>
          </w:p>
        </w:tc>
      </w:tr>
      <w:tr w14:paraId="686AE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67E981BA">
            <w:pPr>
              <w:pStyle w:val="133"/>
              <w:rPr>
                <w:color w:val="000000"/>
                <w:szCs w:val="21"/>
              </w:rPr>
            </w:pPr>
          </w:p>
        </w:tc>
        <w:tc>
          <w:tcPr>
            <w:tcW w:w="2252" w:type="dxa"/>
            <w:gridSpan w:val="2"/>
            <w:vMerge w:val="continue"/>
            <w:vAlign w:val="center"/>
          </w:tcPr>
          <w:p w14:paraId="0422BA74">
            <w:pPr>
              <w:pStyle w:val="133"/>
              <w:rPr>
                <w:color w:val="000000"/>
                <w:szCs w:val="21"/>
              </w:rPr>
            </w:pPr>
          </w:p>
        </w:tc>
        <w:tc>
          <w:tcPr>
            <w:tcW w:w="1284" w:type="dxa"/>
            <w:tcBorders>
              <w:top w:val="single" w:color="auto" w:sz="4" w:space="0"/>
            </w:tcBorders>
            <w:vAlign w:val="center"/>
          </w:tcPr>
          <w:p w14:paraId="4357AD9C">
            <w:pPr>
              <w:pStyle w:val="133"/>
              <w:rPr>
                <w:color w:val="000000"/>
                <w:szCs w:val="21"/>
              </w:rPr>
            </w:pPr>
            <w:r>
              <w:rPr>
                <w:rFonts w:hint="eastAsia"/>
                <w:color w:val="000000"/>
                <w:szCs w:val="21"/>
              </w:rPr>
              <w:t>焦油渣</w:t>
            </w:r>
          </w:p>
        </w:tc>
        <w:tc>
          <w:tcPr>
            <w:tcW w:w="713" w:type="dxa"/>
            <w:vMerge w:val="continue"/>
            <w:vAlign w:val="center"/>
          </w:tcPr>
          <w:p w14:paraId="15AC1FBA">
            <w:pPr>
              <w:pStyle w:val="133"/>
              <w:rPr>
                <w:color w:val="000000"/>
                <w:szCs w:val="21"/>
              </w:rPr>
            </w:pPr>
          </w:p>
        </w:tc>
        <w:tc>
          <w:tcPr>
            <w:tcW w:w="1135" w:type="dxa"/>
            <w:vMerge w:val="continue"/>
            <w:tcBorders>
              <w:bottom w:val="single" w:color="auto" w:sz="4" w:space="0"/>
            </w:tcBorders>
            <w:vAlign w:val="center"/>
          </w:tcPr>
          <w:p w14:paraId="0749E52F">
            <w:pPr>
              <w:pStyle w:val="133"/>
              <w:rPr>
                <w:bCs/>
                <w:color w:val="000000"/>
                <w:szCs w:val="21"/>
              </w:rPr>
            </w:pPr>
          </w:p>
        </w:tc>
        <w:tc>
          <w:tcPr>
            <w:tcW w:w="996" w:type="dxa"/>
            <w:tcBorders>
              <w:top w:val="single" w:color="auto" w:sz="4" w:space="0"/>
              <w:bottom w:val="single" w:color="auto" w:sz="4" w:space="0"/>
            </w:tcBorders>
            <w:vAlign w:val="center"/>
          </w:tcPr>
          <w:p w14:paraId="38EA01E8">
            <w:pPr>
              <w:pStyle w:val="133"/>
              <w:rPr>
                <w:color w:val="000000"/>
                <w:szCs w:val="21"/>
              </w:rPr>
            </w:pPr>
            <w:r>
              <w:rPr>
                <w:rFonts w:hint="eastAsia"/>
                <w:color w:val="000000"/>
                <w:szCs w:val="21"/>
              </w:rPr>
              <w:t>-</w:t>
            </w:r>
          </w:p>
        </w:tc>
        <w:tc>
          <w:tcPr>
            <w:tcW w:w="1139" w:type="dxa"/>
            <w:vAlign w:val="center"/>
          </w:tcPr>
          <w:p w14:paraId="04580637">
            <w:pPr>
              <w:pStyle w:val="133"/>
              <w:rPr>
                <w:color w:val="000000"/>
                <w:szCs w:val="21"/>
              </w:rPr>
            </w:pPr>
            <w:r>
              <w:rPr>
                <w:rFonts w:hint="eastAsia"/>
                <w:color w:val="000000"/>
                <w:szCs w:val="21"/>
              </w:rPr>
              <w:t>-</w:t>
            </w:r>
          </w:p>
        </w:tc>
        <w:tc>
          <w:tcPr>
            <w:tcW w:w="1139" w:type="dxa"/>
            <w:vAlign w:val="center"/>
          </w:tcPr>
          <w:p w14:paraId="3FF312CB">
            <w:pPr>
              <w:pStyle w:val="133"/>
              <w:rPr>
                <w:color w:val="000000"/>
                <w:szCs w:val="21"/>
              </w:rPr>
            </w:pPr>
            <w:r>
              <w:rPr>
                <w:rFonts w:hint="eastAsia"/>
                <w:color w:val="000000"/>
                <w:szCs w:val="21"/>
              </w:rPr>
              <w:t>0</w:t>
            </w:r>
          </w:p>
        </w:tc>
        <w:tc>
          <w:tcPr>
            <w:tcW w:w="996" w:type="dxa"/>
            <w:vAlign w:val="center"/>
          </w:tcPr>
          <w:p w14:paraId="6B24D308">
            <w:pPr>
              <w:pStyle w:val="133"/>
              <w:rPr>
                <w:color w:val="000000"/>
                <w:szCs w:val="21"/>
              </w:rPr>
            </w:pPr>
            <w:r>
              <w:rPr>
                <w:rFonts w:hint="eastAsia"/>
                <w:color w:val="000000"/>
                <w:szCs w:val="21"/>
              </w:rPr>
              <w:t>-</w:t>
            </w:r>
          </w:p>
        </w:tc>
        <w:tc>
          <w:tcPr>
            <w:tcW w:w="996" w:type="dxa"/>
            <w:tcBorders>
              <w:top w:val="single" w:color="auto" w:sz="4" w:space="0"/>
            </w:tcBorders>
            <w:vAlign w:val="center"/>
          </w:tcPr>
          <w:p w14:paraId="7EC0B936">
            <w:pPr>
              <w:pStyle w:val="133"/>
              <w:rPr>
                <w:color w:val="000000"/>
                <w:szCs w:val="21"/>
              </w:rPr>
            </w:pPr>
            <w:r>
              <w:rPr>
                <w:rFonts w:hint="eastAsia"/>
                <w:color w:val="000000"/>
                <w:szCs w:val="21"/>
              </w:rPr>
              <w:t>-</w:t>
            </w:r>
          </w:p>
        </w:tc>
        <w:tc>
          <w:tcPr>
            <w:tcW w:w="2658" w:type="dxa"/>
            <w:vMerge w:val="continue"/>
            <w:vAlign w:val="center"/>
          </w:tcPr>
          <w:p w14:paraId="428E4E9E">
            <w:pPr>
              <w:pStyle w:val="133"/>
              <w:rPr>
                <w:color w:val="000000"/>
                <w:kern w:val="2"/>
                <w:szCs w:val="21"/>
              </w:rPr>
            </w:pPr>
          </w:p>
        </w:tc>
      </w:tr>
      <w:tr w14:paraId="53059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6790B500">
            <w:pPr>
              <w:pStyle w:val="133"/>
              <w:rPr>
                <w:color w:val="000000"/>
                <w:szCs w:val="21"/>
              </w:rPr>
            </w:pPr>
          </w:p>
        </w:tc>
        <w:tc>
          <w:tcPr>
            <w:tcW w:w="2252" w:type="dxa"/>
            <w:gridSpan w:val="2"/>
            <w:vMerge w:val="continue"/>
            <w:vAlign w:val="center"/>
          </w:tcPr>
          <w:p w14:paraId="357CBA76">
            <w:pPr>
              <w:pStyle w:val="133"/>
              <w:rPr>
                <w:color w:val="000000"/>
                <w:szCs w:val="21"/>
              </w:rPr>
            </w:pPr>
          </w:p>
        </w:tc>
        <w:tc>
          <w:tcPr>
            <w:tcW w:w="1284" w:type="dxa"/>
            <w:tcBorders>
              <w:top w:val="single" w:color="auto" w:sz="4" w:space="0"/>
            </w:tcBorders>
            <w:vAlign w:val="center"/>
          </w:tcPr>
          <w:p w14:paraId="0D0A0535">
            <w:pPr>
              <w:pStyle w:val="133"/>
              <w:rPr>
                <w:color w:val="000000"/>
                <w:szCs w:val="21"/>
              </w:rPr>
            </w:pPr>
            <w:r>
              <w:rPr>
                <w:color w:val="000000"/>
                <w:szCs w:val="21"/>
              </w:rPr>
              <w:t>废活性炭</w:t>
            </w:r>
          </w:p>
        </w:tc>
        <w:tc>
          <w:tcPr>
            <w:tcW w:w="713" w:type="dxa"/>
            <w:vMerge w:val="continue"/>
            <w:vAlign w:val="center"/>
          </w:tcPr>
          <w:p w14:paraId="5476688B">
            <w:pPr>
              <w:pStyle w:val="133"/>
              <w:rPr>
                <w:color w:val="000000"/>
                <w:szCs w:val="21"/>
              </w:rPr>
            </w:pPr>
          </w:p>
        </w:tc>
        <w:tc>
          <w:tcPr>
            <w:tcW w:w="1135" w:type="dxa"/>
            <w:tcBorders>
              <w:top w:val="single" w:color="auto" w:sz="4" w:space="0"/>
              <w:bottom w:val="single" w:color="auto" w:sz="4" w:space="0"/>
            </w:tcBorders>
            <w:vAlign w:val="center"/>
          </w:tcPr>
          <w:p w14:paraId="5D956F5E">
            <w:pPr>
              <w:pStyle w:val="133"/>
              <w:rPr>
                <w:bCs/>
                <w:color w:val="000000"/>
                <w:szCs w:val="21"/>
              </w:rPr>
            </w:pPr>
            <w:r>
              <w:rPr>
                <w:rFonts w:hint="eastAsia"/>
                <w:color w:val="000000"/>
                <w:szCs w:val="21"/>
              </w:rPr>
              <w:t>备煤工段掺烧</w:t>
            </w:r>
          </w:p>
        </w:tc>
        <w:tc>
          <w:tcPr>
            <w:tcW w:w="996" w:type="dxa"/>
            <w:tcBorders>
              <w:top w:val="single" w:color="auto" w:sz="4" w:space="0"/>
              <w:bottom w:val="single" w:color="auto" w:sz="4" w:space="0"/>
            </w:tcBorders>
            <w:vAlign w:val="center"/>
          </w:tcPr>
          <w:p w14:paraId="48DE3EF1">
            <w:pPr>
              <w:pStyle w:val="133"/>
              <w:rPr>
                <w:color w:val="000000"/>
                <w:szCs w:val="21"/>
              </w:rPr>
            </w:pPr>
            <w:r>
              <w:rPr>
                <w:rFonts w:hint="eastAsia"/>
                <w:color w:val="000000"/>
                <w:szCs w:val="21"/>
              </w:rPr>
              <w:t>-</w:t>
            </w:r>
          </w:p>
        </w:tc>
        <w:tc>
          <w:tcPr>
            <w:tcW w:w="1139" w:type="dxa"/>
            <w:vAlign w:val="center"/>
          </w:tcPr>
          <w:p w14:paraId="11217C92">
            <w:pPr>
              <w:pStyle w:val="133"/>
              <w:rPr>
                <w:color w:val="000000"/>
                <w:szCs w:val="21"/>
              </w:rPr>
            </w:pPr>
            <w:r>
              <w:rPr>
                <w:rFonts w:hint="eastAsia"/>
                <w:color w:val="000000"/>
                <w:szCs w:val="21"/>
              </w:rPr>
              <w:t>-</w:t>
            </w:r>
          </w:p>
        </w:tc>
        <w:tc>
          <w:tcPr>
            <w:tcW w:w="1139" w:type="dxa"/>
            <w:vAlign w:val="center"/>
          </w:tcPr>
          <w:p w14:paraId="4CB4986C">
            <w:pPr>
              <w:pStyle w:val="133"/>
              <w:rPr>
                <w:color w:val="000000"/>
                <w:szCs w:val="21"/>
              </w:rPr>
            </w:pPr>
            <w:r>
              <w:rPr>
                <w:rFonts w:hint="eastAsia"/>
                <w:color w:val="000000"/>
                <w:szCs w:val="21"/>
              </w:rPr>
              <w:t>0</w:t>
            </w:r>
          </w:p>
        </w:tc>
        <w:tc>
          <w:tcPr>
            <w:tcW w:w="996" w:type="dxa"/>
            <w:vAlign w:val="center"/>
          </w:tcPr>
          <w:p w14:paraId="47484798">
            <w:pPr>
              <w:pStyle w:val="133"/>
              <w:rPr>
                <w:color w:val="000000"/>
                <w:szCs w:val="21"/>
              </w:rPr>
            </w:pPr>
            <w:r>
              <w:rPr>
                <w:rFonts w:hint="eastAsia"/>
                <w:color w:val="000000"/>
                <w:szCs w:val="21"/>
              </w:rPr>
              <w:t>-</w:t>
            </w:r>
          </w:p>
        </w:tc>
        <w:tc>
          <w:tcPr>
            <w:tcW w:w="996" w:type="dxa"/>
            <w:tcBorders>
              <w:top w:val="single" w:color="auto" w:sz="4" w:space="0"/>
            </w:tcBorders>
            <w:vAlign w:val="center"/>
          </w:tcPr>
          <w:p w14:paraId="3AEF5C53">
            <w:pPr>
              <w:pStyle w:val="133"/>
              <w:rPr>
                <w:color w:val="000000"/>
                <w:szCs w:val="21"/>
              </w:rPr>
            </w:pPr>
            <w:r>
              <w:rPr>
                <w:rFonts w:hint="eastAsia"/>
                <w:color w:val="000000"/>
                <w:szCs w:val="21"/>
              </w:rPr>
              <w:t>-</w:t>
            </w:r>
          </w:p>
        </w:tc>
        <w:tc>
          <w:tcPr>
            <w:tcW w:w="2658" w:type="dxa"/>
            <w:vMerge w:val="continue"/>
            <w:vAlign w:val="center"/>
          </w:tcPr>
          <w:p w14:paraId="0BB5A848">
            <w:pPr>
              <w:pStyle w:val="133"/>
              <w:rPr>
                <w:color w:val="000000"/>
                <w:kern w:val="2"/>
                <w:szCs w:val="21"/>
              </w:rPr>
            </w:pPr>
          </w:p>
        </w:tc>
      </w:tr>
      <w:tr w14:paraId="394AF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Merge w:val="continue"/>
            <w:vAlign w:val="center"/>
          </w:tcPr>
          <w:p w14:paraId="19094551">
            <w:pPr>
              <w:pStyle w:val="133"/>
              <w:rPr>
                <w:color w:val="000000"/>
                <w:szCs w:val="21"/>
              </w:rPr>
            </w:pPr>
          </w:p>
        </w:tc>
        <w:tc>
          <w:tcPr>
            <w:tcW w:w="2252" w:type="dxa"/>
            <w:gridSpan w:val="2"/>
            <w:vMerge w:val="continue"/>
            <w:vAlign w:val="center"/>
          </w:tcPr>
          <w:p w14:paraId="13B4E475">
            <w:pPr>
              <w:pStyle w:val="133"/>
              <w:rPr>
                <w:color w:val="000000"/>
                <w:szCs w:val="21"/>
              </w:rPr>
            </w:pPr>
          </w:p>
        </w:tc>
        <w:tc>
          <w:tcPr>
            <w:tcW w:w="1284" w:type="dxa"/>
            <w:tcBorders>
              <w:top w:val="single" w:color="auto" w:sz="4" w:space="0"/>
            </w:tcBorders>
            <w:vAlign w:val="center"/>
          </w:tcPr>
          <w:p w14:paraId="1DAD208B">
            <w:pPr>
              <w:pStyle w:val="133"/>
              <w:rPr>
                <w:color w:val="000000"/>
                <w:szCs w:val="21"/>
              </w:rPr>
            </w:pPr>
            <w:r>
              <w:rPr>
                <w:rFonts w:hint="eastAsia"/>
                <w:color w:val="000000"/>
                <w:szCs w:val="21"/>
              </w:rPr>
              <w:t>废润滑油</w:t>
            </w:r>
          </w:p>
        </w:tc>
        <w:tc>
          <w:tcPr>
            <w:tcW w:w="713" w:type="dxa"/>
            <w:vMerge w:val="continue"/>
            <w:vAlign w:val="center"/>
          </w:tcPr>
          <w:p w14:paraId="15C62547">
            <w:pPr>
              <w:pStyle w:val="133"/>
              <w:rPr>
                <w:color w:val="000000"/>
                <w:szCs w:val="21"/>
              </w:rPr>
            </w:pPr>
          </w:p>
        </w:tc>
        <w:tc>
          <w:tcPr>
            <w:tcW w:w="1135" w:type="dxa"/>
            <w:tcBorders>
              <w:top w:val="single" w:color="auto" w:sz="4" w:space="0"/>
              <w:bottom w:val="single" w:color="auto" w:sz="4" w:space="0"/>
            </w:tcBorders>
            <w:vAlign w:val="center"/>
          </w:tcPr>
          <w:p w14:paraId="6D90D1C8">
            <w:pPr>
              <w:pStyle w:val="133"/>
              <w:rPr>
                <w:bCs/>
                <w:color w:val="000000"/>
                <w:szCs w:val="21"/>
              </w:rPr>
            </w:pPr>
            <w:r>
              <w:rPr>
                <w:rFonts w:hint="eastAsia"/>
                <w:color w:val="000000"/>
                <w:szCs w:val="21"/>
              </w:rPr>
              <w:t>收集后暂存于危险废物暂存库，定期委托有资质的单位拉运处置</w:t>
            </w:r>
          </w:p>
        </w:tc>
        <w:tc>
          <w:tcPr>
            <w:tcW w:w="996" w:type="dxa"/>
            <w:tcBorders>
              <w:top w:val="single" w:color="auto" w:sz="4" w:space="0"/>
              <w:bottom w:val="single" w:color="auto" w:sz="4" w:space="0"/>
            </w:tcBorders>
            <w:vAlign w:val="center"/>
          </w:tcPr>
          <w:p w14:paraId="67CCE050">
            <w:pPr>
              <w:pStyle w:val="133"/>
              <w:rPr>
                <w:color w:val="000000"/>
                <w:szCs w:val="21"/>
              </w:rPr>
            </w:pPr>
            <w:r>
              <w:rPr>
                <w:rFonts w:hint="eastAsia"/>
                <w:color w:val="000000"/>
                <w:szCs w:val="21"/>
              </w:rPr>
              <w:t>-</w:t>
            </w:r>
          </w:p>
        </w:tc>
        <w:tc>
          <w:tcPr>
            <w:tcW w:w="1139" w:type="dxa"/>
            <w:vAlign w:val="center"/>
          </w:tcPr>
          <w:p w14:paraId="39C6443D">
            <w:pPr>
              <w:pStyle w:val="133"/>
              <w:rPr>
                <w:color w:val="000000"/>
                <w:szCs w:val="21"/>
              </w:rPr>
            </w:pPr>
            <w:r>
              <w:rPr>
                <w:rFonts w:hint="eastAsia"/>
                <w:color w:val="000000"/>
                <w:szCs w:val="21"/>
              </w:rPr>
              <w:t>-</w:t>
            </w:r>
          </w:p>
        </w:tc>
        <w:tc>
          <w:tcPr>
            <w:tcW w:w="1139" w:type="dxa"/>
            <w:vAlign w:val="center"/>
          </w:tcPr>
          <w:p w14:paraId="0634B693">
            <w:pPr>
              <w:pStyle w:val="133"/>
              <w:rPr>
                <w:color w:val="000000"/>
                <w:szCs w:val="21"/>
              </w:rPr>
            </w:pPr>
            <w:r>
              <w:rPr>
                <w:rFonts w:hint="eastAsia"/>
                <w:color w:val="000000"/>
                <w:szCs w:val="21"/>
              </w:rPr>
              <w:t>0</w:t>
            </w:r>
          </w:p>
        </w:tc>
        <w:tc>
          <w:tcPr>
            <w:tcW w:w="996" w:type="dxa"/>
            <w:vAlign w:val="center"/>
          </w:tcPr>
          <w:p w14:paraId="2F4CD3C9">
            <w:pPr>
              <w:pStyle w:val="133"/>
              <w:rPr>
                <w:color w:val="000000"/>
                <w:szCs w:val="21"/>
              </w:rPr>
            </w:pPr>
            <w:r>
              <w:rPr>
                <w:rFonts w:hint="eastAsia"/>
                <w:color w:val="000000"/>
                <w:szCs w:val="21"/>
              </w:rPr>
              <w:t>-</w:t>
            </w:r>
          </w:p>
        </w:tc>
        <w:tc>
          <w:tcPr>
            <w:tcW w:w="996" w:type="dxa"/>
            <w:tcBorders>
              <w:top w:val="single" w:color="auto" w:sz="4" w:space="0"/>
            </w:tcBorders>
            <w:vAlign w:val="center"/>
          </w:tcPr>
          <w:p w14:paraId="31658A35">
            <w:pPr>
              <w:pStyle w:val="133"/>
              <w:rPr>
                <w:color w:val="000000"/>
                <w:szCs w:val="21"/>
              </w:rPr>
            </w:pPr>
            <w:r>
              <w:rPr>
                <w:rFonts w:hint="eastAsia"/>
                <w:color w:val="000000"/>
                <w:szCs w:val="21"/>
              </w:rPr>
              <w:t>-</w:t>
            </w:r>
          </w:p>
        </w:tc>
        <w:tc>
          <w:tcPr>
            <w:tcW w:w="2658" w:type="dxa"/>
            <w:vMerge w:val="continue"/>
            <w:vAlign w:val="center"/>
          </w:tcPr>
          <w:p w14:paraId="1F73D1F9">
            <w:pPr>
              <w:pStyle w:val="133"/>
              <w:rPr>
                <w:color w:val="000000"/>
                <w:kern w:val="2"/>
                <w:szCs w:val="21"/>
              </w:rPr>
            </w:pPr>
          </w:p>
        </w:tc>
      </w:tr>
      <w:tr w14:paraId="2F90B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vAlign w:val="center"/>
          </w:tcPr>
          <w:p w14:paraId="0B3AB04D">
            <w:pPr>
              <w:pStyle w:val="133"/>
              <w:rPr>
                <w:color w:val="000000"/>
                <w:szCs w:val="21"/>
              </w:rPr>
            </w:pPr>
            <w:r>
              <w:rPr>
                <w:rFonts w:hint="eastAsia"/>
                <w:color w:val="000000"/>
                <w:szCs w:val="21"/>
              </w:rPr>
              <w:t>噪声</w:t>
            </w:r>
          </w:p>
        </w:tc>
        <w:tc>
          <w:tcPr>
            <w:tcW w:w="2252" w:type="dxa"/>
            <w:gridSpan w:val="2"/>
            <w:vAlign w:val="center"/>
          </w:tcPr>
          <w:p w14:paraId="658A33AA">
            <w:pPr>
              <w:pStyle w:val="133"/>
              <w:rPr>
                <w:color w:val="000000"/>
                <w:szCs w:val="21"/>
              </w:rPr>
            </w:pPr>
            <w:r>
              <w:rPr>
                <w:rFonts w:hint="eastAsia"/>
                <w:color w:val="000000"/>
                <w:kern w:val="2"/>
                <w:szCs w:val="21"/>
              </w:rPr>
              <w:t>设备噪声</w:t>
            </w:r>
          </w:p>
        </w:tc>
        <w:tc>
          <w:tcPr>
            <w:tcW w:w="1284" w:type="dxa"/>
            <w:vAlign w:val="center"/>
          </w:tcPr>
          <w:p w14:paraId="01ECFBB8">
            <w:pPr>
              <w:pStyle w:val="133"/>
              <w:rPr>
                <w:color w:val="000000"/>
                <w:szCs w:val="21"/>
              </w:rPr>
            </w:pPr>
            <w:r>
              <w:rPr>
                <w:rFonts w:hint="eastAsia"/>
                <w:color w:val="000000"/>
                <w:szCs w:val="21"/>
              </w:rPr>
              <w:t>Leq</w:t>
            </w:r>
          </w:p>
        </w:tc>
        <w:tc>
          <w:tcPr>
            <w:tcW w:w="713" w:type="dxa"/>
            <w:vAlign w:val="center"/>
          </w:tcPr>
          <w:p w14:paraId="7B817817">
            <w:pPr>
              <w:pStyle w:val="133"/>
              <w:rPr>
                <w:color w:val="000000"/>
                <w:szCs w:val="21"/>
              </w:rPr>
            </w:pPr>
            <w:r>
              <w:rPr>
                <w:color w:val="000000"/>
                <w:szCs w:val="21"/>
              </w:rPr>
              <w:t>-</w:t>
            </w:r>
          </w:p>
        </w:tc>
        <w:tc>
          <w:tcPr>
            <w:tcW w:w="1135" w:type="dxa"/>
            <w:vAlign w:val="center"/>
          </w:tcPr>
          <w:p w14:paraId="30E8F7AE">
            <w:pPr>
              <w:pStyle w:val="133"/>
              <w:rPr>
                <w:color w:val="000000"/>
                <w:szCs w:val="21"/>
              </w:rPr>
            </w:pPr>
            <w:r>
              <w:rPr>
                <w:rFonts w:hint="eastAsia"/>
                <w:color w:val="000000"/>
                <w:szCs w:val="21"/>
              </w:rPr>
              <w:t>减震、隔声措施</w:t>
            </w:r>
          </w:p>
        </w:tc>
        <w:tc>
          <w:tcPr>
            <w:tcW w:w="996" w:type="dxa"/>
            <w:vAlign w:val="center"/>
          </w:tcPr>
          <w:p w14:paraId="74729936">
            <w:pPr>
              <w:pStyle w:val="133"/>
              <w:rPr>
                <w:color w:val="000000"/>
                <w:szCs w:val="21"/>
              </w:rPr>
            </w:pPr>
            <w:r>
              <w:rPr>
                <w:color w:val="000000"/>
                <w:szCs w:val="21"/>
              </w:rPr>
              <w:t>-</w:t>
            </w:r>
          </w:p>
        </w:tc>
        <w:tc>
          <w:tcPr>
            <w:tcW w:w="1139" w:type="dxa"/>
            <w:vAlign w:val="center"/>
          </w:tcPr>
          <w:p w14:paraId="6B6CA600">
            <w:pPr>
              <w:pStyle w:val="133"/>
              <w:rPr>
                <w:color w:val="000000"/>
                <w:szCs w:val="21"/>
              </w:rPr>
            </w:pPr>
          </w:p>
        </w:tc>
        <w:tc>
          <w:tcPr>
            <w:tcW w:w="1139" w:type="dxa"/>
            <w:vAlign w:val="center"/>
          </w:tcPr>
          <w:p w14:paraId="422931BB">
            <w:pPr>
              <w:pStyle w:val="133"/>
              <w:rPr>
                <w:color w:val="000000"/>
                <w:szCs w:val="21"/>
              </w:rPr>
            </w:pPr>
            <w:r>
              <w:rPr>
                <w:color w:val="000000"/>
                <w:szCs w:val="21"/>
              </w:rPr>
              <w:t>-</w:t>
            </w:r>
          </w:p>
        </w:tc>
        <w:tc>
          <w:tcPr>
            <w:tcW w:w="996" w:type="dxa"/>
            <w:vAlign w:val="center"/>
          </w:tcPr>
          <w:p w14:paraId="4165A3C8">
            <w:pPr>
              <w:pStyle w:val="133"/>
              <w:rPr>
                <w:color w:val="000000"/>
                <w:szCs w:val="21"/>
              </w:rPr>
            </w:pPr>
            <w:r>
              <w:rPr>
                <w:rFonts w:hint="eastAsia"/>
                <w:color w:val="000000"/>
                <w:szCs w:val="21"/>
              </w:rPr>
              <w:t>-</w:t>
            </w:r>
          </w:p>
        </w:tc>
        <w:tc>
          <w:tcPr>
            <w:tcW w:w="996" w:type="dxa"/>
            <w:vAlign w:val="center"/>
          </w:tcPr>
          <w:p w14:paraId="7349091E">
            <w:pPr>
              <w:pStyle w:val="133"/>
              <w:rPr>
                <w:color w:val="000000"/>
                <w:szCs w:val="21"/>
              </w:rPr>
            </w:pPr>
            <w:r>
              <w:rPr>
                <w:rFonts w:hint="eastAsia"/>
                <w:color w:val="000000"/>
                <w:szCs w:val="21"/>
              </w:rPr>
              <w:t>-</w:t>
            </w:r>
          </w:p>
        </w:tc>
        <w:tc>
          <w:tcPr>
            <w:tcW w:w="2658" w:type="dxa"/>
            <w:vAlign w:val="center"/>
          </w:tcPr>
          <w:p w14:paraId="53EFBF74">
            <w:pPr>
              <w:pStyle w:val="133"/>
              <w:rPr>
                <w:color w:val="000000"/>
                <w:szCs w:val="21"/>
              </w:rPr>
            </w:pPr>
            <w:r>
              <w:rPr>
                <w:rFonts w:hint="eastAsia"/>
                <w:color w:val="000000"/>
                <w:szCs w:val="21"/>
              </w:rPr>
              <w:t>《工业企业厂界环境噪声排放标准》（GB12348－2008）中3类标准</w:t>
            </w:r>
          </w:p>
        </w:tc>
      </w:tr>
    </w:tbl>
    <w:p w14:paraId="5D37F1F0">
      <w:pPr>
        <w:pStyle w:val="38"/>
        <w:ind w:firstLine="0" w:firstLineChars="0"/>
        <w:jc w:val="center"/>
        <w:rPr>
          <w:color w:val="000000"/>
        </w:rPr>
      </w:pPr>
    </w:p>
    <w:p w14:paraId="46495D6D">
      <w:pPr>
        <w:pStyle w:val="117"/>
        <w:ind w:firstLine="0" w:firstLineChars="0"/>
      </w:pPr>
    </w:p>
    <w:p w14:paraId="07920541">
      <w:pPr>
        <w:pStyle w:val="117"/>
        <w:ind w:firstLine="480"/>
        <w:sectPr>
          <w:pgSz w:w="16838" w:h="11906" w:orient="landscape"/>
          <w:pgMar w:top="1286" w:right="1418" w:bottom="1531" w:left="1418" w:header="851" w:footer="992" w:gutter="0"/>
          <w:cols w:space="720" w:num="1"/>
          <w:docGrid w:linePitch="326" w:charSpace="0"/>
        </w:sectPr>
      </w:pPr>
    </w:p>
    <w:p w14:paraId="07E03C40">
      <w:pPr>
        <w:pStyle w:val="3"/>
      </w:pPr>
      <w:bookmarkStart w:id="716" w:name="_Toc205291430"/>
      <w:r>
        <w:t>环境监测计划</w:t>
      </w:r>
      <w:bookmarkEnd w:id="716"/>
    </w:p>
    <w:p w14:paraId="4074081D">
      <w:pPr>
        <w:pStyle w:val="138"/>
        <w:rPr>
          <w:rFonts w:hint="eastAsia"/>
        </w:rPr>
      </w:pPr>
      <w:r>
        <w:rPr>
          <w:rFonts w:hint="eastAsia"/>
        </w:rPr>
        <w:t>污染源与环境</w:t>
      </w:r>
      <w:r>
        <w:t>监测方案</w:t>
      </w:r>
    </w:p>
    <w:p w14:paraId="3E682876">
      <w:pPr>
        <w:ind w:firstLine="480"/>
        <w:rPr>
          <w:color w:val="000000"/>
        </w:rPr>
      </w:pPr>
      <w:r>
        <w:rPr>
          <w:rFonts w:hint="eastAsia"/>
        </w:rPr>
        <w:t>本项目应建立覆盖常规污染物、特征污染物的环境监测体系，并与当地环境保护部门联网，按照“关于印发《国家重点监控企业自</w:t>
      </w:r>
      <w:r>
        <w:rPr>
          <w:rFonts w:hint="eastAsia"/>
          <w:color w:val="000000"/>
        </w:rPr>
        <w:t>行监测及信息公开办法（试行）》《国家重点监控企业污染源监督性监测及信息公开办法（试行）》的通知”（环发〔2013〕81号）、《排污单位自行监测技术指南 总则》（</w:t>
      </w:r>
      <w:r>
        <w:rPr>
          <w:color w:val="000000"/>
        </w:rPr>
        <w:t>HJ 819-2017</w:t>
      </w:r>
      <w:r>
        <w:rPr>
          <w:rFonts w:hint="eastAsia"/>
          <w:color w:val="000000"/>
        </w:rPr>
        <w:t>）、《排污单位自行监测技术指南 有色金属工业》（HJ 989-2018）、《排污许可证申请与核发技术规范 铁合金、电解锰工业》（HJ 1117-2020）、《排污许可证申请与核发技术规范 有色金属工业——镁冶炼》（HJ 933-2020）、《排污许可证申请与核发技术规范 炼焦化学工业》（HJ 854-2017）及《企业事业单位环境信息</w:t>
      </w:r>
      <w:r>
        <w:rPr>
          <w:rFonts w:hint="eastAsia"/>
        </w:rPr>
        <w:t>公开办法》（部令第</w:t>
      </w:r>
      <w:r>
        <w:t>31</w:t>
      </w:r>
      <w:r>
        <w:rPr>
          <w:rFonts w:hint="eastAsia"/>
        </w:rPr>
        <w:t>号）相关要求，进行环境监测计划设置和环境信息公开。本项目污染源监测计划详见表9.3-1。项目环境质量监测计划具体见表9.3-2。</w:t>
      </w:r>
    </w:p>
    <w:p w14:paraId="3CE50E3C">
      <w:pPr>
        <w:pStyle w:val="118"/>
        <w:ind w:firstLine="480"/>
        <w:rPr>
          <w:color w:val="auto"/>
        </w:rPr>
      </w:pPr>
      <w:r>
        <w:rPr>
          <w:rFonts w:hint="eastAsia"/>
          <w:color w:val="auto"/>
        </w:rPr>
        <w:t>表9.</w:t>
      </w:r>
      <w:r>
        <w:rPr>
          <w:color w:val="auto"/>
        </w:rPr>
        <w:t>3</w:t>
      </w:r>
      <w:r>
        <w:rPr>
          <w:rFonts w:hint="eastAsia"/>
          <w:color w:val="auto"/>
        </w:rPr>
        <w:t>-1  污染源监测计划</w:t>
      </w:r>
    </w:p>
    <w:tbl>
      <w:tblPr>
        <w:tblStyle w:val="6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67"/>
        <w:gridCol w:w="2003"/>
        <w:gridCol w:w="4760"/>
        <w:gridCol w:w="1089"/>
      </w:tblGrid>
      <w:tr w14:paraId="0F740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793" w:type="pct"/>
            <w:gridSpan w:val="2"/>
            <w:vAlign w:val="center"/>
          </w:tcPr>
          <w:p w14:paraId="3A5FE5B2">
            <w:pPr>
              <w:pStyle w:val="133"/>
              <w:rPr>
                <w:b/>
                <w:bCs/>
                <w:color w:val="000000"/>
              </w:rPr>
            </w:pPr>
            <w:r>
              <w:rPr>
                <w:rFonts w:hint="eastAsia"/>
                <w:b/>
                <w:bCs/>
                <w:color w:val="000000"/>
              </w:rPr>
              <w:t>监测点位</w:t>
            </w:r>
          </w:p>
        </w:tc>
        <w:tc>
          <w:tcPr>
            <w:tcW w:w="2610" w:type="pct"/>
            <w:vAlign w:val="center"/>
          </w:tcPr>
          <w:p w14:paraId="0BFBA599">
            <w:pPr>
              <w:pStyle w:val="133"/>
              <w:rPr>
                <w:b/>
                <w:bCs/>
                <w:color w:val="000000"/>
                <w:kern w:val="2"/>
                <w:szCs w:val="18"/>
              </w:rPr>
            </w:pPr>
            <w:r>
              <w:rPr>
                <w:rFonts w:hint="eastAsia"/>
                <w:b/>
                <w:bCs/>
                <w:color w:val="000000"/>
                <w:kern w:val="2"/>
                <w:szCs w:val="18"/>
              </w:rPr>
              <w:t>监测项目</w:t>
            </w:r>
          </w:p>
        </w:tc>
        <w:tc>
          <w:tcPr>
            <w:tcW w:w="597" w:type="pct"/>
            <w:vAlign w:val="center"/>
          </w:tcPr>
          <w:p w14:paraId="500CA071">
            <w:pPr>
              <w:pStyle w:val="133"/>
              <w:rPr>
                <w:b/>
                <w:bCs/>
                <w:color w:val="000000"/>
                <w:kern w:val="2"/>
                <w:szCs w:val="18"/>
              </w:rPr>
            </w:pPr>
            <w:r>
              <w:rPr>
                <w:rFonts w:hint="eastAsia"/>
                <w:b/>
                <w:bCs/>
                <w:color w:val="000000"/>
                <w:kern w:val="2"/>
                <w:szCs w:val="18"/>
              </w:rPr>
              <w:t>监测频次</w:t>
            </w:r>
          </w:p>
        </w:tc>
      </w:tr>
      <w:tr w14:paraId="4820F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4"/>
            <w:vAlign w:val="center"/>
          </w:tcPr>
          <w:p w14:paraId="7088B8A8">
            <w:pPr>
              <w:pStyle w:val="133"/>
              <w:rPr>
                <w:color w:val="000000"/>
              </w:rPr>
            </w:pPr>
            <w:r>
              <w:rPr>
                <w:rFonts w:hint="eastAsia"/>
                <w:color w:val="000000"/>
              </w:rPr>
              <w:t>一、废气</w:t>
            </w:r>
          </w:p>
        </w:tc>
      </w:tr>
      <w:tr w14:paraId="3F12A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restart"/>
            <w:tcBorders>
              <w:top w:val="single" w:color="auto" w:sz="4" w:space="0"/>
            </w:tcBorders>
            <w:vAlign w:val="center"/>
          </w:tcPr>
          <w:p w14:paraId="335D1CCB">
            <w:pPr>
              <w:pStyle w:val="133"/>
              <w:rPr>
                <w:color w:val="000000"/>
              </w:rPr>
            </w:pPr>
            <w:r>
              <w:rPr>
                <w:rFonts w:hint="eastAsia"/>
                <w:color w:val="000000"/>
              </w:rPr>
              <w:t>有组织排放</w:t>
            </w:r>
          </w:p>
        </w:tc>
        <w:tc>
          <w:tcPr>
            <w:tcW w:w="1098" w:type="pct"/>
            <w:tcBorders>
              <w:top w:val="single" w:color="auto" w:sz="4" w:space="0"/>
              <w:bottom w:val="single" w:color="auto" w:sz="4" w:space="0"/>
            </w:tcBorders>
            <w:vAlign w:val="center"/>
          </w:tcPr>
          <w:p w14:paraId="16265EEE">
            <w:pPr>
              <w:pStyle w:val="133"/>
              <w:rPr>
                <w:color w:val="000000"/>
                <w:szCs w:val="21"/>
              </w:rPr>
            </w:pPr>
            <w:r>
              <w:rPr>
                <w:rFonts w:hint="eastAsia"/>
                <w:color w:val="000000"/>
                <w:szCs w:val="21"/>
              </w:rPr>
              <w:t>备煤上料废气</w:t>
            </w:r>
          </w:p>
        </w:tc>
        <w:tc>
          <w:tcPr>
            <w:tcW w:w="2610" w:type="pct"/>
            <w:tcBorders>
              <w:bottom w:val="single" w:color="auto" w:sz="4" w:space="0"/>
            </w:tcBorders>
            <w:vAlign w:val="center"/>
          </w:tcPr>
          <w:p w14:paraId="5914995D">
            <w:pPr>
              <w:pStyle w:val="133"/>
              <w:rPr>
                <w:color w:val="000000"/>
                <w:szCs w:val="21"/>
              </w:rPr>
            </w:pPr>
            <w:r>
              <w:rPr>
                <w:rFonts w:hint="eastAsia"/>
                <w:color w:val="000000"/>
                <w:szCs w:val="21"/>
              </w:rPr>
              <w:t>颗粒物</w:t>
            </w:r>
          </w:p>
        </w:tc>
        <w:tc>
          <w:tcPr>
            <w:tcW w:w="597" w:type="pct"/>
            <w:vAlign w:val="center"/>
          </w:tcPr>
          <w:p w14:paraId="064C7AE0">
            <w:pPr>
              <w:pStyle w:val="133"/>
              <w:rPr>
                <w:color w:val="FF0000"/>
                <w:kern w:val="2"/>
                <w:szCs w:val="18"/>
              </w:rPr>
            </w:pPr>
            <w:r>
              <w:rPr>
                <w:rFonts w:hint="eastAsia"/>
                <w:color w:val="000000"/>
                <w:kern w:val="2"/>
                <w:szCs w:val="18"/>
              </w:rPr>
              <w:t>年</w:t>
            </w:r>
          </w:p>
        </w:tc>
      </w:tr>
      <w:tr w14:paraId="40D94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48B8E947">
            <w:pPr>
              <w:pStyle w:val="133"/>
              <w:rPr>
                <w:color w:val="000000"/>
              </w:rPr>
            </w:pPr>
          </w:p>
        </w:tc>
        <w:tc>
          <w:tcPr>
            <w:tcW w:w="1098" w:type="pct"/>
            <w:tcBorders>
              <w:top w:val="single" w:color="auto" w:sz="4" w:space="0"/>
              <w:bottom w:val="single" w:color="auto" w:sz="4" w:space="0"/>
            </w:tcBorders>
            <w:vAlign w:val="center"/>
          </w:tcPr>
          <w:p w14:paraId="78DA312A">
            <w:pPr>
              <w:pStyle w:val="133"/>
              <w:rPr>
                <w:color w:val="000000"/>
                <w:szCs w:val="21"/>
              </w:rPr>
            </w:pPr>
            <w:r>
              <w:rPr>
                <w:rFonts w:hint="eastAsia"/>
                <w:color w:val="000000"/>
                <w:szCs w:val="21"/>
              </w:rPr>
              <w:t>破碎筛分废气</w:t>
            </w:r>
          </w:p>
        </w:tc>
        <w:tc>
          <w:tcPr>
            <w:tcW w:w="2610" w:type="pct"/>
            <w:tcBorders>
              <w:bottom w:val="single" w:color="auto" w:sz="4" w:space="0"/>
            </w:tcBorders>
            <w:vAlign w:val="center"/>
          </w:tcPr>
          <w:p w14:paraId="659D196F">
            <w:pPr>
              <w:pStyle w:val="133"/>
              <w:rPr>
                <w:color w:val="000000"/>
                <w:szCs w:val="21"/>
              </w:rPr>
            </w:pPr>
            <w:r>
              <w:rPr>
                <w:rFonts w:hint="eastAsia"/>
                <w:color w:val="000000"/>
                <w:szCs w:val="21"/>
              </w:rPr>
              <w:t>颗粒物</w:t>
            </w:r>
          </w:p>
        </w:tc>
        <w:tc>
          <w:tcPr>
            <w:tcW w:w="597" w:type="pct"/>
            <w:vAlign w:val="center"/>
          </w:tcPr>
          <w:p w14:paraId="56E596DB">
            <w:pPr>
              <w:pStyle w:val="133"/>
              <w:rPr>
                <w:color w:val="FF0000"/>
                <w:kern w:val="2"/>
                <w:szCs w:val="18"/>
              </w:rPr>
            </w:pPr>
            <w:r>
              <w:rPr>
                <w:rFonts w:hint="eastAsia"/>
                <w:color w:val="000000"/>
                <w:kern w:val="2"/>
                <w:szCs w:val="18"/>
              </w:rPr>
              <w:t>年</w:t>
            </w:r>
          </w:p>
        </w:tc>
      </w:tr>
      <w:tr w14:paraId="1B2E4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697CF88A">
            <w:pPr>
              <w:pStyle w:val="133"/>
              <w:rPr>
                <w:color w:val="000000"/>
              </w:rPr>
            </w:pPr>
          </w:p>
        </w:tc>
        <w:tc>
          <w:tcPr>
            <w:tcW w:w="1098" w:type="pct"/>
            <w:vMerge w:val="restart"/>
            <w:tcBorders>
              <w:top w:val="single" w:color="auto" w:sz="4" w:space="0"/>
            </w:tcBorders>
            <w:vAlign w:val="center"/>
          </w:tcPr>
          <w:p w14:paraId="7A57B0D4">
            <w:pPr>
              <w:pStyle w:val="133"/>
              <w:rPr>
                <w:color w:val="000000"/>
                <w:szCs w:val="21"/>
              </w:rPr>
            </w:pPr>
            <w:r>
              <w:rPr>
                <w:rFonts w:hint="eastAsia"/>
                <w:color w:val="000000"/>
                <w:szCs w:val="21"/>
              </w:rPr>
              <w:t>炭化装煤废气</w:t>
            </w:r>
          </w:p>
        </w:tc>
        <w:tc>
          <w:tcPr>
            <w:tcW w:w="2610" w:type="pct"/>
            <w:tcBorders>
              <w:bottom w:val="single" w:color="auto" w:sz="4" w:space="0"/>
            </w:tcBorders>
            <w:vAlign w:val="center"/>
          </w:tcPr>
          <w:p w14:paraId="1127A809">
            <w:pPr>
              <w:pStyle w:val="133"/>
              <w:rPr>
                <w:color w:val="000000"/>
                <w:szCs w:val="21"/>
              </w:rPr>
            </w:pPr>
            <w:r>
              <w:rPr>
                <w:rFonts w:hint="eastAsia"/>
                <w:color w:val="000000"/>
                <w:szCs w:val="21"/>
              </w:rPr>
              <w:t>颗粒物、</w:t>
            </w:r>
            <w:r>
              <w:rPr>
                <w:color w:val="000000"/>
                <w:szCs w:val="21"/>
              </w:rPr>
              <w:t>SO</w:t>
            </w:r>
            <w:r>
              <w:rPr>
                <w:color w:val="000000"/>
                <w:szCs w:val="21"/>
                <w:vertAlign w:val="subscript"/>
              </w:rPr>
              <w:t>2</w:t>
            </w:r>
          </w:p>
        </w:tc>
        <w:tc>
          <w:tcPr>
            <w:tcW w:w="597" w:type="pct"/>
            <w:vAlign w:val="center"/>
          </w:tcPr>
          <w:p w14:paraId="39660DDA">
            <w:pPr>
              <w:pStyle w:val="133"/>
              <w:rPr>
                <w:color w:val="000000"/>
                <w:kern w:val="2"/>
                <w:szCs w:val="18"/>
              </w:rPr>
            </w:pPr>
            <w:r>
              <w:rPr>
                <w:rFonts w:hint="eastAsia"/>
                <w:color w:val="000000"/>
                <w:kern w:val="2"/>
                <w:szCs w:val="18"/>
              </w:rPr>
              <w:t>自动监测</w:t>
            </w:r>
          </w:p>
        </w:tc>
      </w:tr>
      <w:tr w14:paraId="776C3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587ECBE6">
            <w:pPr>
              <w:pStyle w:val="133"/>
              <w:rPr>
                <w:color w:val="000000"/>
              </w:rPr>
            </w:pPr>
          </w:p>
        </w:tc>
        <w:tc>
          <w:tcPr>
            <w:tcW w:w="1098" w:type="pct"/>
            <w:vMerge w:val="continue"/>
            <w:tcBorders>
              <w:bottom w:val="single" w:color="auto" w:sz="4" w:space="0"/>
            </w:tcBorders>
            <w:vAlign w:val="center"/>
          </w:tcPr>
          <w:p w14:paraId="136108AE">
            <w:pPr>
              <w:pStyle w:val="133"/>
              <w:rPr>
                <w:color w:val="000000"/>
                <w:szCs w:val="21"/>
              </w:rPr>
            </w:pPr>
          </w:p>
        </w:tc>
        <w:tc>
          <w:tcPr>
            <w:tcW w:w="2610" w:type="pct"/>
            <w:tcBorders>
              <w:bottom w:val="single" w:color="auto" w:sz="4" w:space="0"/>
            </w:tcBorders>
            <w:vAlign w:val="center"/>
          </w:tcPr>
          <w:p w14:paraId="0C96B1B0">
            <w:pPr>
              <w:pStyle w:val="133"/>
              <w:rPr>
                <w:color w:val="000000"/>
                <w:szCs w:val="21"/>
              </w:rPr>
            </w:pPr>
            <w:r>
              <w:rPr>
                <w:rFonts w:hint="eastAsia"/>
                <w:color w:val="000000"/>
                <w:szCs w:val="21"/>
              </w:rPr>
              <w:t>苯并芘</w:t>
            </w:r>
          </w:p>
        </w:tc>
        <w:tc>
          <w:tcPr>
            <w:tcW w:w="597" w:type="pct"/>
            <w:vAlign w:val="center"/>
          </w:tcPr>
          <w:p w14:paraId="0C2B6271">
            <w:pPr>
              <w:pStyle w:val="133"/>
              <w:rPr>
                <w:color w:val="000000"/>
                <w:kern w:val="2"/>
                <w:szCs w:val="18"/>
              </w:rPr>
            </w:pPr>
            <w:r>
              <w:rPr>
                <w:rFonts w:hint="eastAsia"/>
                <w:color w:val="000000"/>
                <w:kern w:val="2"/>
                <w:szCs w:val="18"/>
              </w:rPr>
              <w:t>半年</w:t>
            </w:r>
          </w:p>
        </w:tc>
      </w:tr>
      <w:tr w14:paraId="24A7D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0C94AD27">
            <w:pPr>
              <w:pStyle w:val="133"/>
              <w:rPr>
                <w:color w:val="000000"/>
              </w:rPr>
            </w:pPr>
          </w:p>
        </w:tc>
        <w:tc>
          <w:tcPr>
            <w:tcW w:w="1098" w:type="pct"/>
            <w:tcBorders>
              <w:top w:val="single" w:color="auto" w:sz="4" w:space="0"/>
              <w:bottom w:val="single" w:color="auto" w:sz="4" w:space="0"/>
            </w:tcBorders>
            <w:vAlign w:val="center"/>
          </w:tcPr>
          <w:p w14:paraId="3EC36325">
            <w:pPr>
              <w:pStyle w:val="133"/>
              <w:rPr>
                <w:color w:val="000000"/>
                <w:szCs w:val="21"/>
              </w:rPr>
            </w:pPr>
            <w:r>
              <w:rPr>
                <w:rFonts w:hint="eastAsia"/>
                <w:color w:val="000000"/>
                <w:szCs w:val="21"/>
              </w:rPr>
              <w:t>筛焦废气</w:t>
            </w:r>
          </w:p>
        </w:tc>
        <w:tc>
          <w:tcPr>
            <w:tcW w:w="2610" w:type="pct"/>
            <w:tcBorders>
              <w:bottom w:val="single" w:color="auto" w:sz="4" w:space="0"/>
            </w:tcBorders>
            <w:vAlign w:val="center"/>
          </w:tcPr>
          <w:p w14:paraId="68BF6233">
            <w:pPr>
              <w:pStyle w:val="133"/>
              <w:rPr>
                <w:color w:val="000000"/>
                <w:szCs w:val="21"/>
              </w:rPr>
            </w:pPr>
            <w:r>
              <w:rPr>
                <w:rFonts w:hint="eastAsia"/>
                <w:color w:val="000000"/>
                <w:szCs w:val="21"/>
              </w:rPr>
              <w:t>颗粒物</w:t>
            </w:r>
          </w:p>
        </w:tc>
        <w:tc>
          <w:tcPr>
            <w:tcW w:w="597" w:type="pct"/>
            <w:vAlign w:val="center"/>
          </w:tcPr>
          <w:p w14:paraId="11271D9D">
            <w:pPr>
              <w:pStyle w:val="133"/>
              <w:rPr>
                <w:color w:val="FF0000"/>
                <w:kern w:val="2"/>
                <w:szCs w:val="18"/>
              </w:rPr>
            </w:pPr>
            <w:r>
              <w:rPr>
                <w:rFonts w:hint="eastAsia"/>
                <w:color w:val="000000"/>
                <w:kern w:val="2"/>
                <w:szCs w:val="18"/>
              </w:rPr>
              <w:t>年</w:t>
            </w:r>
          </w:p>
        </w:tc>
      </w:tr>
      <w:tr w14:paraId="54F35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55E70906">
            <w:pPr>
              <w:pStyle w:val="133"/>
              <w:rPr>
                <w:color w:val="000000"/>
              </w:rPr>
            </w:pPr>
          </w:p>
        </w:tc>
        <w:tc>
          <w:tcPr>
            <w:tcW w:w="1098" w:type="pct"/>
            <w:tcBorders>
              <w:top w:val="single" w:color="auto" w:sz="4" w:space="0"/>
              <w:bottom w:val="single" w:color="auto" w:sz="4" w:space="0"/>
            </w:tcBorders>
            <w:vAlign w:val="center"/>
          </w:tcPr>
          <w:p w14:paraId="1B5213A2">
            <w:pPr>
              <w:pStyle w:val="133"/>
              <w:rPr>
                <w:color w:val="000000"/>
                <w:szCs w:val="21"/>
              </w:rPr>
            </w:pPr>
            <w:r>
              <w:rPr>
                <w:rFonts w:hint="eastAsia"/>
                <w:color w:val="000000"/>
                <w:szCs w:val="21"/>
              </w:rPr>
              <w:t>兰炭烘干废气</w:t>
            </w:r>
          </w:p>
        </w:tc>
        <w:tc>
          <w:tcPr>
            <w:tcW w:w="2610" w:type="pct"/>
            <w:tcBorders>
              <w:bottom w:val="single" w:color="auto" w:sz="4" w:space="0"/>
            </w:tcBorders>
            <w:vAlign w:val="center"/>
          </w:tcPr>
          <w:p w14:paraId="36C7E945">
            <w:pPr>
              <w:pStyle w:val="133"/>
              <w:rPr>
                <w:color w:val="000000"/>
                <w:szCs w:val="21"/>
              </w:rPr>
            </w:pPr>
            <w:r>
              <w:rPr>
                <w:rFonts w:hint="eastAsia"/>
                <w:color w:val="000000"/>
                <w:szCs w:val="21"/>
              </w:rPr>
              <w:t>颗粒物、</w:t>
            </w:r>
            <w:r>
              <w:rPr>
                <w:color w:val="000000"/>
                <w:szCs w:val="21"/>
              </w:rPr>
              <w:t>SO</w:t>
            </w:r>
            <w:r>
              <w:rPr>
                <w:color w:val="000000"/>
                <w:szCs w:val="21"/>
                <w:vertAlign w:val="subscript"/>
              </w:rPr>
              <w:t>2</w:t>
            </w:r>
            <w:r>
              <w:rPr>
                <w:rFonts w:hint="eastAsia"/>
                <w:color w:val="000000"/>
                <w:szCs w:val="21"/>
              </w:rPr>
              <w:t>、NOx</w:t>
            </w:r>
          </w:p>
        </w:tc>
        <w:tc>
          <w:tcPr>
            <w:tcW w:w="597" w:type="pct"/>
            <w:vAlign w:val="center"/>
          </w:tcPr>
          <w:p w14:paraId="2E4CD77B">
            <w:pPr>
              <w:pStyle w:val="133"/>
              <w:rPr>
                <w:color w:val="000000"/>
                <w:kern w:val="2"/>
                <w:szCs w:val="18"/>
              </w:rPr>
            </w:pPr>
            <w:r>
              <w:rPr>
                <w:rFonts w:hint="eastAsia"/>
                <w:color w:val="000000"/>
                <w:kern w:val="2"/>
                <w:szCs w:val="18"/>
              </w:rPr>
              <w:t>半年</w:t>
            </w:r>
          </w:p>
        </w:tc>
      </w:tr>
      <w:tr w14:paraId="395C2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15F377BD">
            <w:pPr>
              <w:pStyle w:val="133"/>
              <w:rPr>
                <w:color w:val="000000"/>
              </w:rPr>
            </w:pPr>
          </w:p>
        </w:tc>
        <w:tc>
          <w:tcPr>
            <w:tcW w:w="1098" w:type="pct"/>
            <w:tcBorders>
              <w:top w:val="single" w:color="auto" w:sz="4" w:space="0"/>
              <w:bottom w:val="single" w:color="auto" w:sz="4" w:space="0"/>
            </w:tcBorders>
            <w:vAlign w:val="center"/>
          </w:tcPr>
          <w:p w14:paraId="38453D64">
            <w:pPr>
              <w:pStyle w:val="133"/>
              <w:rPr>
                <w:color w:val="000000"/>
                <w:szCs w:val="21"/>
              </w:rPr>
            </w:pPr>
            <w:r>
              <w:rPr>
                <w:rFonts w:hint="eastAsia"/>
                <w:color w:val="000000"/>
                <w:szCs w:val="21"/>
              </w:rPr>
              <w:t>兰炭筛分废气</w:t>
            </w:r>
          </w:p>
        </w:tc>
        <w:tc>
          <w:tcPr>
            <w:tcW w:w="2610" w:type="pct"/>
            <w:tcBorders>
              <w:bottom w:val="single" w:color="auto" w:sz="4" w:space="0"/>
            </w:tcBorders>
            <w:vAlign w:val="center"/>
          </w:tcPr>
          <w:p w14:paraId="5350F3DA">
            <w:pPr>
              <w:pStyle w:val="133"/>
              <w:rPr>
                <w:color w:val="000000"/>
                <w:szCs w:val="21"/>
              </w:rPr>
            </w:pPr>
            <w:r>
              <w:rPr>
                <w:rFonts w:hint="eastAsia"/>
                <w:color w:val="000000"/>
                <w:szCs w:val="21"/>
              </w:rPr>
              <w:t>颗粒物</w:t>
            </w:r>
          </w:p>
        </w:tc>
        <w:tc>
          <w:tcPr>
            <w:tcW w:w="597" w:type="pct"/>
            <w:vAlign w:val="center"/>
          </w:tcPr>
          <w:p w14:paraId="63A7D9D2">
            <w:pPr>
              <w:pStyle w:val="133"/>
              <w:rPr>
                <w:color w:val="000000"/>
                <w:kern w:val="2"/>
                <w:szCs w:val="18"/>
              </w:rPr>
            </w:pPr>
            <w:r>
              <w:rPr>
                <w:rFonts w:hint="eastAsia"/>
                <w:color w:val="000000"/>
                <w:kern w:val="2"/>
                <w:szCs w:val="18"/>
              </w:rPr>
              <w:t>年</w:t>
            </w:r>
          </w:p>
        </w:tc>
      </w:tr>
      <w:tr w14:paraId="60946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208980D3">
            <w:pPr>
              <w:pStyle w:val="133"/>
              <w:rPr>
                <w:color w:val="000000"/>
              </w:rPr>
            </w:pPr>
          </w:p>
        </w:tc>
        <w:tc>
          <w:tcPr>
            <w:tcW w:w="1098" w:type="pct"/>
            <w:tcBorders>
              <w:top w:val="single" w:color="auto" w:sz="4" w:space="0"/>
              <w:bottom w:val="single" w:color="auto" w:sz="4" w:space="0"/>
            </w:tcBorders>
            <w:vAlign w:val="center"/>
          </w:tcPr>
          <w:p w14:paraId="561FE515">
            <w:pPr>
              <w:pStyle w:val="133"/>
              <w:rPr>
                <w:color w:val="000000"/>
                <w:szCs w:val="21"/>
              </w:rPr>
            </w:pPr>
            <w:r>
              <w:rPr>
                <w:rFonts w:hint="eastAsia"/>
                <w:color w:val="000000"/>
                <w:szCs w:val="21"/>
              </w:rPr>
              <w:t>焚烧炉烟气</w:t>
            </w:r>
          </w:p>
        </w:tc>
        <w:tc>
          <w:tcPr>
            <w:tcW w:w="2610" w:type="pct"/>
            <w:tcBorders>
              <w:bottom w:val="single" w:color="auto" w:sz="4" w:space="0"/>
            </w:tcBorders>
            <w:vAlign w:val="center"/>
          </w:tcPr>
          <w:p w14:paraId="20A44CF1">
            <w:pPr>
              <w:pStyle w:val="133"/>
              <w:rPr>
                <w:color w:val="000000"/>
                <w:szCs w:val="21"/>
              </w:rPr>
            </w:pPr>
            <w:r>
              <w:rPr>
                <w:rFonts w:hint="eastAsia"/>
                <w:color w:val="000000"/>
                <w:szCs w:val="21"/>
              </w:rPr>
              <w:t>颗粒物、</w:t>
            </w:r>
            <w:r>
              <w:rPr>
                <w:color w:val="000000"/>
                <w:szCs w:val="21"/>
              </w:rPr>
              <w:t>SO</w:t>
            </w:r>
            <w:r>
              <w:rPr>
                <w:color w:val="000000"/>
                <w:szCs w:val="21"/>
                <w:vertAlign w:val="subscript"/>
              </w:rPr>
              <w:t>2</w:t>
            </w:r>
            <w:r>
              <w:rPr>
                <w:rFonts w:hint="eastAsia"/>
                <w:color w:val="000000"/>
                <w:szCs w:val="21"/>
              </w:rPr>
              <w:t>、NOx</w:t>
            </w:r>
          </w:p>
        </w:tc>
        <w:tc>
          <w:tcPr>
            <w:tcW w:w="597" w:type="pct"/>
            <w:vAlign w:val="center"/>
          </w:tcPr>
          <w:p w14:paraId="5A288C1F">
            <w:pPr>
              <w:pStyle w:val="133"/>
              <w:rPr>
                <w:color w:val="FF0000"/>
                <w:kern w:val="2"/>
                <w:szCs w:val="18"/>
              </w:rPr>
            </w:pPr>
            <w:r>
              <w:rPr>
                <w:rFonts w:hint="eastAsia"/>
                <w:color w:val="000000"/>
                <w:kern w:val="2"/>
                <w:szCs w:val="18"/>
              </w:rPr>
              <w:t>自动监测</w:t>
            </w:r>
          </w:p>
        </w:tc>
      </w:tr>
      <w:tr w14:paraId="09CF9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376EFAFF">
            <w:pPr>
              <w:pStyle w:val="133"/>
              <w:rPr>
                <w:color w:val="000000"/>
              </w:rPr>
            </w:pPr>
          </w:p>
        </w:tc>
        <w:tc>
          <w:tcPr>
            <w:tcW w:w="1098" w:type="pct"/>
            <w:tcBorders>
              <w:top w:val="single" w:color="auto" w:sz="4" w:space="0"/>
              <w:bottom w:val="single" w:color="auto" w:sz="4" w:space="0"/>
            </w:tcBorders>
            <w:vAlign w:val="center"/>
          </w:tcPr>
          <w:p w14:paraId="379FD8E3">
            <w:pPr>
              <w:pStyle w:val="133"/>
              <w:rPr>
                <w:color w:val="000000"/>
                <w:szCs w:val="21"/>
              </w:rPr>
            </w:pPr>
            <w:r>
              <w:rPr>
                <w:rFonts w:hint="eastAsia"/>
                <w:color w:val="000000"/>
                <w:szCs w:val="21"/>
              </w:rPr>
              <w:t>1#VOCs处理装置</w:t>
            </w:r>
          </w:p>
          <w:p w14:paraId="0A50448D">
            <w:pPr>
              <w:pStyle w:val="133"/>
              <w:rPr>
                <w:color w:val="000000"/>
                <w:szCs w:val="21"/>
              </w:rPr>
            </w:pPr>
            <w:r>
              <w:rPr>
                <w:rFonts w:hint="eastAsia"/>
                <w:color w:val="000000"/>
                <w:szCs w:val="21"/>
              </w:rPr>
              <w:t>有机废气</w:t>
            </w:r>
          </w:p>
        </w:tc>
        <w:tc>
          <w:tcPr>
            <w:tcW w:w="2610" w:type="pct"/>
            <w:tcBorders>
              <w:bottom w:val="single" w:color="auto" w:sz="4" w:space="0"/>
            </w:tcBorders>
            <w:vAlign w:val="center"/>
          </w:tcPr>
          <w:p w14:paraId="44627EA8">
            <w:pPr>
              <w:pStyle w:val="133"/>
              <w:rPr>
                <w:color w:val="000000"/>
                <w:szCs w:val="21"/>
              </w:rPr>
            </w:pPr>
            <w:r>
              <w:rPr>
                <w:rFonts w:hint="eastAsia"/>
                <w:color w:val="000000"/>
                <w:szCs w:val="21"/>
              </w:rPr>
              <w:t>颗粒物、</w:t>
            </w:r>
            <w:r>
              <w:rPr>
                <w:color w:val="000000"/>
                <w:szCs w:val="21"/>
              </w:rPr>
              <w:t>BaP</w:t>
            </w:r>
            <w:r>
              <w:rPr>
                <w:rFonts w:hint="eastAsia"/>
                <w:color w:val="000000"/>
                <w:szCs w:val="21"/>
              </w:rPr>
              <w:t>、氰化氢、酚类、氨、硫化氢、非甲烷总烃、SO</w:t>
            </w:r>
            <w:r>
              <w:rPr>
                <w:rFonts w:hint="eastAsia"/>
                <w:color w:val="000000"/>
                <w:szCs w:val="21"/>
                <w:vertAlign w:val="subscript"/>
              </w:rPr>
              <w:t>2</w:t>
            </w:r>
          </w:p>
        </w:tc>
        <w:tc>
          <w:tcPr>
            <w:tcW w:w="597" w:type="pct"/>
            <w:vAlign w:val="center"/>
          </w:tcPr>
          <w:p w14:paraId="11A1DE08">
            <w:pPr>
              <w:pStyle w:val="133"/>
              <w:rPr>
                <w:color w:val="FF0000"/>
                <w:kern w:val="2"/>
                <w:szCs w:val="18"/>
              </w:rPr>
            </w:pPr>
            <w:r>
              <w:rPr>
                <w:rFonts w:hint="eastAsia"/>
                <w:color w:val="000000"/>
                <w:kern w:val="2"/>
                <w:szCs w:val="18"/>
              </w:rPr>
              <w:t>半年</w:t>
            </w:r>
          </w:p>
        </w:tc>
      </w:tr>
      <w:tr w14:paraId="06C68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7C7CC3EC">
            <w:pPr>
              <w:pStyle w:val="133"/>
              <w:rPr>
                <w:color w:val="FF0000"/>
              </w:rPr>
            </w:pPr>
          </w:p>
        </w:tc>
        <w:tc>
          <w:tcPr>
            <w:tcW w:w="1098" w:type="pct"/>
            <w:tcBorders>
              <w:top w:val="single" w:color="auto" w:sz="4" w:space="0"/>
              <w:bottom w:val="single" w:color="auto" w:sz="4" w:space="0"/>
            </w:tcBorders>
            <w:vAlign w:val="center"/>
          </w:tcPr>
          <w:p w14:paraId="59753263">
            <w:pPr>
              <w:pStyle w:val="133"/>
              <w:rPr>
                <w:color w:val="FF0000"/>
                <w:szCs w:val="21"/>
              </w:rPr>
            </w:pPr>
            <w:r>
              <w:rPr>
                <w:rFonts w:hint="eastAsia"/>
                <w:szCs w:val="21"/>
              </w:rPr>
              <w:t>2#VOCs处理装置有机废气</w:t>
            </w:r>
          </w:p>
        </w:tc>
        <w:tc>
          <w:tcPr>
            <w:tcW w:w="2610" w:type="pct"/>
            <w:tcBorders>
              <w:bottom w:val="single" w:color="auto" w:sz="4" w:space="0"/>
            </w:tcBorders>
            <w:vAlign w:val="center"/>
          </w:tcPr>
          <w:p w14:paraId="001AF156">
            <w:pPr>
              <w:pStyle w:val="133"/>
              <w:rPr>
                <w:color w:val="FF0000"/>
                <w:szCs w:val="21"/>
              </w:rPr>
            </w:pPr>
            <w:r>
              <w:rPr>
                <w:rFonts w:hint="eastAsia"/>
                <w:color w:val="000000"/>
                <w:szCs w:val="21"/>
              </w:rPr>
              <w:t>非甲烷总烃</w:t>
            </w:r>
          </w:p>
        </w:tc>
        <w:tc>
          <w:tcPr>
            <w:tcW w:w="597" w:type="pct"/>
            <w:vAlign w:val="center"/>
          </w:tcPr>
          <w:p w14:paraId="24A91CE7">
            <w:pPr>
              <w:pStyle w:val="133"/>
              <w:rPr>
                <w:color w:val="FF0000"/>
                <w:kern w:val="2"/>
                <w:szCs w:val="18"/>
              </w:rPr>
            </w:pPr>
            <w:r>
              <w:rPr>
                <w:rFonts w:hint="eastAsia"/>
                <w:color w:val="000000"/>
                <w:kern w:val="2"/>
                <w:szCs w:val="18"/>
              </w:rPr>
              <w:t>半年</w:t>
            </w:r>
          </w:p>
        </w:tc>
      </w:tr>
      <w:tr w14:paraId="14363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0940DAAF">
            <w:pPr>
              <w:pStyle w:val="133"/>
              <w:rPr>
                <w:color w:val="FF0000"/>
              </w:rPr>
            </w:pPr>
          </w:p>
        </w:tc>
        <w:tc>
          <w:tcPr>
            <w:tcW w:w="1098" w:type="pct"/>
            <w:tcBorders>
              <w:top w:val="single" w:color="auto" w:sz="4" w:space="0"/>
              <w:bottom w:val="single" w:color="auto" w:sz="4" w:space="0"/>
            </w:tcBorders>
            <w:vAlign w:val="center"/>
          </w:tcPr>
          <w:p w14:paraId="181212EA">
            <w:pPr>
              <w:pStyle w:val="133"/>
              <w:rPr>
                <w:color w:val="000000"/>
                <w:szCs w:val="21"/>
              </w:rPr>
            </w:pPr>
            <w:r>
              <w:rPr>
                <w:rFonts w:hint="eastAsia" w:cs="Times New Roman"/>
                <w:color w:val="000000"/>
                <w:szCs w:val="21"/>
              </w:rPr>
              <w:t>上料</w:t>
            </w:r>
            <w:r>
              <w:rPr>
                <w:rFonts w:cs="Times New Roman"/>
                <w:color w:val="000000"/>
                <w:szCs w:val="21"/>
              </w:rPr>
              <w:t>废气</w:t>
            </w:r>
          </w:p>
        </w:tc>
        <w:tc>
          <w:tcPr>
            <w:tcW w:w="2610" w:type="pct"/>
            <w:tcBorders>
              <w:bottom w:val="single" w:color="auto" w:sz="4" w:space="0"/>
            </w:tcBorders>
            <w:vAlign w:val="center"/>
          </w:tcPr>
          <w:p w14:paraId="086C5C59">
            <w:pPr>
              <w:pStyle w:val="133"/>
              <w:rPr>
                <w:color w:val="000000"/>
                <w:szCs w:val="21"/>
              </w:rPr>
            </w:pPr>
            <w:r>
              <w:rPr>
                <w:rFonts w:hint="eastAsia"/>
                <w:color w:val="000000"/>
                <w:szCs w:val="21"/>
              </w:rPr>
              <w:t>颗粒物</w:t>
            </w:r>
          </w:p>
        </w:tc>
        <w:tc>
          <w:tcPr>
            <w:tcW w:w="597" w:type="pct"/>
            <w:vAlign w:val="center"/>
          </w:tcPr>
          <w:p w14:paraId="401F84CB">
            <w:pPr>
              <w:pStyle w:val="133"/>
              <w:rPr>
                <w:color w:val="FF0000"/>
                <w:kern w:val="2"/>
                <w:szCs w:val="18"/>
              </w:rPr>
            </w:pPr>
            <w:r>
              <w:rPr>
                <w:rFonts w:hint="eastAsia"/>
                <w:color w:val="000000"/>
                <w:kern w:val="2"/>
                <w:szCs w:val="18"/>
              </w:rPr>
              <w:t>年</w:t>
            </w:r>
          </w:p>
        </w:tc>
      </w:tr>
      <w:tr w14:paraId="4F5ED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7FF59988">
            <w:pPr>
              <w:pStyle w:val="133"/>
              <w:rPr>
                <w:color w:val="FF0000"/>
              </w:rPr>
            </w:pPr>
          </w:p>
        </w:tc>
        <w:tc>
          <w:tcPr>
            <w:tcW w:w="1098" w:type="pct"/>
            <w:tcBorders>
              <w:top w:val="single" w:color="auto" w:sz="4" w:space="0"/>
              <w:bottom w:val="single" w:color="auto" w:sz="4" w:space="0"/>
            </w:tcBorders>
            <w:vAlign w:val="center"/>
          </w:tcPr>
          <w:p w14:paraId="0C0FE933">
            <w:pPr>
              <w:pStyle w:val="133"/>
              <w:rPr>
                <w:color w:val="FF0000"/>
                <w:szCs w:val="21"/>
              </w:rPr>
            </w:pPr>
            <w:r>
              <w:rPr>
                <w:rFonts w:cs="Times New Roman"/>
                <w:szCs w:val="21"/>
              </w:rPr>
              <w:t>矿热炉</w:t>
            </w:r>
            <w:r>
              <w:rPr>
                <w:rFonts w:hint="eastAsia" w:cs="Times New Roman"/>
                <w:szCs w:val="21"/>
              </w:rPr>
              <w:t>烟气</w:t>
            </w:r>
          </w:p>
        </w:tc>
        <w:tc>
          <w:tcPr>
            <w:tcW w:w="2610" w:type="pct"/>
            <w:tcBorders>
              <w:bottom w:val="single" w:color="auto" w:sz="4" w:space="0"/>
            </w:tcBorders>
            <w:vAlign w:val="center"/>
          </w:tcPr>
          <w:p w14:paraId="5972077E">
            <w:pPr>
              <w:pStyle w:val="133"/>
              <w:rPr>
                <w:color w:val="FF0000"/>
                <w:szCs w:val="21"/>
              </w:rPr>
            </w:pPr>
            <w:r>
              <w:rPr>
                <w:rFonts w:hint="eastAsia"/>
                <w:color w:val="000000"/>
                <w:szCs w:val="21"/>
              </w:rPr>
              <w:t>颗粒物、</w:t>
            </w:r>
            <w:r>
              <w:rPr>
                <w:color w:val="000000"/>
                <w:szCs w:val="21"/>
              </w:rPr>
              <w:t>SO</w:t>
            </w:r>
            <w:r>
              <w:rPr>
                <w:color w:val="000000"/>
                <w:szCs w:val="21"/>
                <w:vertAlign w:val="subscript"/>
              </w:rPr>
              <w:t>2</w:t>
            </w:r>
            <w:r>
              <w:rPr>
                <w:rFonts w:hint="eastAsia"/>
                <w:color w:val="000000"/>
                <w:szCs w:val="21"/>
              </w:rPr>
              <w:t>、NOx</w:t>
            </w:r>
          </w:p>
        </w:tc>
        <w:tc>
          <w:tcPr>
            <w:tcW w:w="597" w:type="pct"/>
            <w:vAlign w:val="center"/>
          </w:tcPr>
          <w:p w14:paraId="06964EEF">
            <w:pPr>
              <w:pStyle w:val="133"/>
              <w:rPr>
                <w:color w:val="FF0000"/>
                <w:kern w:val="2"/>
                <w:szCs w:val="18"/>
              </w:rPr>
            </w:pPr>
            <w:r>
              <w:rPr>
                <w:rFonts w:hint="eastAsia"/>
                <w:color w:val="000000"/>
                <w:kern w:val="2"/>
                <w:szCs w:val="18"/>
              </w:rPr>
              <w:t>季度</w:t>
            </w:r>
          </w:p>
        </w:tc>
      </w:tr>
      <w:tr w14:paraId="136FC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049ED103">
            <w:pPr>
              <w:pStyle w:val="133"/>
              <w:rPr>
                <w:color w:val="FF0000"/>
              </w:rPr>
            </w:pPr>
          </w:p>
        </w:tc>
        <w:tc>
          <w:tcPr>
            <w:tcW w:w="1098" w:type="pct"/>
            <w:tcBorders>
              <w:top w:val="single" w:color="auto" w:sz="4" w:space="0"/>
              <w:bottom w:val="single" w:color="auto" w:sz="4" w:space="0"/>
            </w:tcBorders>
            <w:vAlign w:val="center"/>
          </w:tcPr>
          <w:p w14:paraId="5BC50B2C">
            <w:pPr>
              <w:pStyle w:val="133"/>
              <w:rPr>
                <w:color w:val="000000"/>
                <w:szCs w:val="21"/>
              </w:rPr>
            </w:pPr>
            <w:r>
              <w:rPr>
                <w:rFonts w:cs="Times New Roman"/>
                <w:color w:val="000000"/>
                <w:szCs w:val="21"/>
              </w:rPr>
              <w:t>出铁浇铸废气</w:t>
            </w:r>
          </w:p>
        </w:tc>
        <w:tc>
          <w:tcPr>
            <w:tcW w:w="2610" w:type="pct"/>
            <w:tcBorders>
              <w:bottom w:val="single" w:color="auto" w:sz="4" w:space="0"/>
            </w:tcBorders>
            <w:vAlign w:val="center"/>
          </w:tcPr>
          <w:p w14:paraId="314A81D5">
            <w:pPr>
              <w:pStyle w:val="133"/>
              <w:rPr>
                <w:color w:val="000000"/>
                <w:szCs w:val="21"/>
              </w:rPr>
            </w:pPr>
            <w:r>
              <w:rPr>
                <w:rFonts w:hint="eastAsia"/>
                <w:color w:val="000000"/>
                <w:szCs w:val="21"/>
              </w:rPr>
              <w:t>颗粒物</w:t>
            </w:r>
          </w:p>
        </w:tc>
        <w:tc>
          <w:tcPr>
            <w:tcW w:w="597" w:type="pct"/>
            <w:vAlign w:val="center"/>
          </w:tcPr>
          <w:p w14:paraId="1263A2F8">
            <w:pPr>
              <w:pStyle w:val="133"/>
              <w:rPr>
                <w:color w:val="FF0000"/>
                <w:kern w:val="2"/>
                <w:szCs w:val="18"/>
              </w:rPr>
            </w:pPr>
            <w:r>
              <w:rPr>
                <w:rFonts w:hint="eastAsia"/>
                <w:color w:val="000000"/>
                <w:kern w:val="2"/>
                <w:szCs w:val="18"/>
              </w:rPr>
              <w:t>季度</w:t>
            </w:r>
          </w:p>
        </w:tc>
      </w:tr>
      <w:tr w14:paraId="2145C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Merge w:val="continue"/>
            <w:vAlign w:val="center"/>
          </w:tcPr>
          <w:p w14:paraId="435A65C0">
            <w:pPr>
              <w:pStyle w:val="133"/>
              <w:rPr>
                <w:color w:val="FF0000"/>
              </w:rPr>
            </w:pPr>
          </w:p>
        </w:tc>
        <w:tc>
          <w:tcPr>
            <w:tcW w:w="1098" w:type="pct"/>
            <w:tcBorders>
              <w:top w:val="single" w:color="auto" w:sz="4" w:space="0"/>
              <w:bottom w:val="single" w:color="auto" w:sz="4" w:space="0"/>
            </w:tcBorders>
            <w:vAlign w:val="center"/>
          </w:tcPr>
          <w:p w14:paraId="7DFE48B8">
            <w:pPr>
              <w:pStyle w:val="133"/>
              <w:rPr>
                <w:color w:val="000000"/>
                <w:szCs w:val="21"/>
              </w:rPr>
            </w:pPr>
            <w:r>
              <w:rPr>
                <w:rFonts w:cs="Times New Roman"/>
                <w:color w:val="000000"/>
                <w:szCs w:val="21"/>
              </w:rPr>
              <w:t>破碎废气</w:t>
            </w:r>
          </w:p>
        </w:tc>
        <w:tc>
          <w:tcPr>
            <w:tcW w:w="2610" w:type="pct"/>
            <w:tcBorders>
              <w:bottom w:val="single" w:color="auto" w:sz="4" w:space="0"/>
            </w:tcBorders>
            <w:vAlign w:val="center"/>
          </w:tcPr>
          <w:p w14:paraId="1F38B01C">
            <w:pPr>
              <w:pStyle w:val="133"/>
              <w:rPr>
                <w:color w:val="000000"/>
                <w:szCs w:val="21"/>
              </w:rPr>
            </w:pPr>
            <w:r>
              <w:rPr>
                <w:rFonts w:hint="eastAsia"/>
                <w:color w:val="000000"/>
                <w:szCs w:val="21"/>
              </w:rPr>
              <w:t>颗粒物</w:t>
            </w:r>
          </w:p>
        </w:tc>
        <w:tc>
          <w:tcPr>
            <w:tcW w:w="597" w:type="pct"/>
            <w:vAlign w:val="center"/>
          </w:tcPr>
          <w:p w14:paraId="5CC8DFFC">
            <w:pPr>
              <w:pStyle w:val="133"/>
              <w:rPr>
                <w:color w:val="FF0000"/>
                <w:kern w:val="2"/>
                <w:szCs w:val="18"/>
              </w:rPr>
            </w:pPr>
            <w:r>
              <w:rPr>
                <w:rFonts w:hint="eastAsia"/>
                <w:color w:val="000000"/>
                <w:kern w:val="2"/>
                <w:szCs w:val="18"/>
              </w:rPr>
              <w:t>年</w:t>
            </w:r>
          </w:p>
        </w:tc>
      </w:tr>
      <w:tr w14:paraId="09745A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95" w:type="pct"/>
            <w:vAlign w:val="center"/>
          </w:tcPr>
          <w:p w14:paraId="0C0EEF20">
            <w:pPr>
              <w:pStyle w:val="133"/>
              <w:rPr>
                <w:color w:val="000000"/>
              </w:rPr>
            </w:pPr>
            <w:r>
              <w:rPr>
                <w:rFonts w:hint="eastAsia"/>
                <w:color w:val="000000"/>
              </w:rPr>
              <w:t>无组织排放</w:t>
            </w:r>
          </w:p>
        </w:tc>
        <w:tc>
          <w:tcPr>
            <w:tcW w:w="1098" w:type="pct"/>
            <w:vAlign w:val="center"/>
          </w:tcPr>
          <w:p w14:paraId="33F853D3">
            <w:pPr>
              <w:pStyle w:val="133"/>
              <w:rPr>
                <w:color w:val="000000"/>
              </w:rPr>
            </w:pPr>
            <w:r>
              <w:rPr>
                <w:rFonts w:hint="eastAsia"/>
                <w:color w:val="000000"/>
              </w:rPr>
              <w:t>企业边界</w:t>
            </w:r>
          </w:p>
        </w:tc>
        <w:tc>
          <w:tcPr>
            <w:tcW w:w="2610" w:type="pct"/>
            <w:vAlign w:val="center"/>
          </w:tcPr>
          <w:p w14:paraId="58B49E24">
            <w:pPr>
              <w:pStyle w:val="133"/>
              <w:rPr>
                <w:color w:val="000000"/>
                <w:kern w:val="2"/>
                <w:szCs w:val="18"/>
              </w:rPr>
            </w:pPr>
            <w:r>
              <w:rPr>
                <w:color w:val="000000"/>
                <w:szCs w:val="21"/>
              </w:rPr>
              <w:t>BaP</w:t>
            </w:r>
            <w:r>
              <w:rPr>
                <w:rFonts w:hint="eastAsia"/>
                <w:color w:val="000000"/>
                <w:szCs w:val="21"/>
              </w:rPr>
              <w:t>、氨、硫化氢、非甲烷总烃、SO</w:t>
            </w:r>
            <w:r>
              <w:rPr>
                <w:rFonts w:hint="eastAsia"/>
                <w:color w:val="000000"/>
                <w:szCs w:val="21"/>
                <w:vertAlign w:val="subscript"/>
              </w:rPr>
              <w:t>2</w:t>
            </w:r>
            <w:r>
              <w:rPr>
                <w:rFonts w:hint="eastAsia"/>
                <w:color w:val="000000"/>
                <w:szCs w:val="21"/>
              </w:rPr>
              <w:t>、氰化氢、酚类、NOx、颗粒物</w:t>
            </w:r>
          </w:p>
        </w:tc>
        <w:tc>
          <w:tcPr>
            <w:tcW w:w="597" w:type="pct"/>
            <w:vAlign w:val="center"/>
          </w:tcPr>
          <w:p w14:paraId="2423B8C6">
            <w:pPr>
              <w:pStyle w:val="133"/>
              <w:rPr>
                <w:color w:val="000000"/>
                <w:kern w:val="2"/>
                <w:szCs w:val="18"/>
              </w:rPr>
            </w:pPr>
            <w:r>
              <w:rPr>
                <w:rFonts w:hint="eastAsia"/>
                <w:color w:val="000000"/>
                <w:kern w:val="2"/>
                <w:szCs w:val="18"/>
              </w:rPr>
              <w:t>季度</w:t>
            </w:r>
          </w:p>
        </w:tc>
      </w:tr>
      <w:tr w14:paraId="3F671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4"/>
            <w:vAlign w:val="center"/>
          </w:tcPr>
          <w:p w14:paraId="4FCB2569">
            <w:pPr>
              <w:pStyle w:val="133"/>
              <w:rPr>
                <w:color w:val="000000"/>
              </w:rPr>
            </w:pPr>
            <w:r>
              <w:rPr>
                <w:rFonts w:hint="eastAsia"/>
                <w:color w:val="000000"/>
              </w:rPr>
              <w:t>二、噪声</w:t>
            </w:r>
          </w:p>
        </w:tc>
      </w:tr>
      <w:tr w14:paraId="1C7E1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93" w:type="pct"/>
            <w:gridSpan w:val="2"/>
            <w:vAlign w:val="center"/>
          </w:tcPr>
          <w:p w14:paraId="70277056">
            <w:pPr>
              <w:pStyle w:val="133"/>
              <w:rPr>
                <w:color w:val="000000"/>
              </w:rPr>
            </w:pPr>
            <w:r>
              <w:rPr>
                <w:rFonts w:hint="eastAsia"/>
                <w:color w:val="000000"/>
              </w:rPr>
              <w:t>厂界东</w:t>
            </w:r>
            <w:r>
              <w:rPr>
                <w:color w:val="000000"/>
              </w:rPr>
              <w:t>、南、西、</w:t>
            </w:r>
            <w:r>
              <w:rPr>
                <w:rFonts w:hint="eastAsia"/>
                <w:color w:val="000000"/>
              </w:rPr>
              <w:t>北四周外</w:t>
            </w:r>
            <w:r>
              <w:rPr>
                <w:color w:val="000000"/>
              </w:rPr>
              <w:t>1m</w:t>
            </w:r>
            <w:r>
              <w:rPr>
                <w:rFonts w:hint="eastAsia"/>
                <w:color w:val="000000"/>
              </w:rPr>
              <w:t>处各设1个监测点</w:t>
            </w:r>
          </w:p>
        </w:tc>
        <w:tc>
          <w:tcPr>
            <w:tcW w:w="2610" w:type="pct"/>
            <w:vAlign w:val="center"/>
          </w:tcPr>
          <w:p w14:paraId="340D78C5">
            <w:pPr>
              <w:pStyle w:val="133"/>
              <w:rPr>
                <w:color w:val="000000"/>
                <w:kern w:val="2"/>
                <w:szCs w:val="18"/>
              </w:rPr>
            </w:pPr>
            <w:r>
              <w:rPr>
                <w:rFonts w:hint="eastAsia"/>
                <w:color w:val="000000"/>
                <w:kern w:val="2"/>
                <w:szCs w:val="18"/>
              </w:rPr>
              <w:t>昼</w:t>
            </w:r>
            <w:r>
              <w:rPr>
                <w:color w:val="000000"/>
                <w:kern w:val="2"/>
                <w:szCs w:val="18"/>
              </w:rPr>
              <w:t>/</w:t>
            </w:r>
            <w:r>
              <w:rPr>
                <w:rFonts w:hint="eastAsia"/>
                <w:color w:val="000000"/>
                <w:kern w:val="2"/>
                <w:szCs w:val="18"/>
              </w:rPr>
              <w:t>夜噪声值，等效声级</w:t>
            </w:r>
            <w:r>
              <w:rPr>
                <w:color w:val="000000"/>
                <w:kern w:val="2"/>
                <w:szCs w:val="18"/>
              </w:rPr>
              <w:t>L</w:t>
            </w:r>
            <w:r>
              <w:rPr>
                <w:color w:val="000000"/>
                <w:kern w:val="2"/>
                <w:szCs w:val="18"/>
                <w:vertAlign w:val="subscript"/>
              </w:rPr>
              <w:t>Aeq</w:t>
            </w:r>
          </w:p>
        </w:tc>
        <w:tc>
          <w:tcPr>
            <w:tcW w:w="597" w:type="pct"/>
            <w:vAlign w:val="center"/>
          </w:tcPr>
          <w:p w14:paraId="03DEFC34">
            <w:pPr>
              <w:pStyle w:val="133"/>
              <w:rPr>
                <w:color w:val="000000"/>
                <w:kern w:val="2"/>
                <w:szCs w:val="18"/>
              </w:rPr>
            </w:pPr>
            <w:r>
              <w:rPr>
                <w:rFonts w:hint="eastAsia"/>
                <w:color w:val="000000"/>
                <w:kern w:val="2"/>
                <w:szCs w:val="18"/>
              </w:rPr>
              <w:t>季度</w:t>
            </w:r>
          </w:p>
        </w:tc>
      </w:tr>
    </w:tbl>
    <w:p w14:paraId="2CBF0E89">
      <w:pPr>
        <w:pStyle w:val="38"/>
        <w:ind w:firstLine="0" w:firstLineChars="0"/>
        <w:jc w:val="center"/>
      </w:pPr>
    </w:p>
    <w:p w14:paraId="389D5D9C">
      <w:pPr>
        <w:pStyle w:val="118"/>
        <w:ind w:firstLine="480"/>
      </w:pPr>
      <w:r>
        <w:rPr>
          <w:rFonts w:hint="eastAsia"/>
        </w:rPr>
        <w:t>表9.3-</w:t>
      </w:r>
      <w:r>
        <w:t>2</w:t>
      </w:r>
      <w:r>
        <w:rPr>
          <w:rFonts w:hint="eastAsia"/>
        </w:rPr>
        <w:t xml:space="preserve">      环境质量监测计划</w:t>
      </w:r>
    </w:p>
    <w:tbl>
      <w:tblPr>
        <w:tblStyle w:val="67"/>
        <w:tblW w:w="50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2227"/>
        <w:gridCol w:w="4801"/>
        <w:gridCol w:w="982"/>
      </w:tblGrid>
      <w:tr w14:paraId="30658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vAlign w:val="center"/>
          </w:tcPr>
          <w:p w14:paraId="081CFA39">
            <w:pPr>
              <w:pStyle w:val="133"/>
              <w:rPr>
                <w:b/>
                <w:bCs/>
              </w:rPr>
            </w:pPr>
            <w:r>
              <w:rPr>
                <w:rFonts w:hint="eastAsia"/>
                <w:b/>
                <w:bCs/>
              </w:rPr>
              <w:t>目标环境</w:t>
            </w:r>
          </w:p>
        </w:tc>
        <w:tc>
          <w:tcPr>
            <w:tcW w:w="1175" w:type="pct"/>
            <w:vAlign w:val="center"/>
          </w:tcPr>
          <w:p w14:paraId="5AB81A4C">
            <w:pPr>
              <w:pStyle w:val="133"/>
              <w:rPr>
                <w:b/>
                <w:bCs/>
              </w:rPr>
            </w:pPr>
            <w:r>
              <w:rPr>
                <w:rFonts w:hint="eastAsia"/>
                <w:b/>
                <w:bCs/>
              </w:rPr>
              <w:t>监测点位</w:t>
            </w:r>
          </w:p>
        </w:tc>
        <w:tc>
          <w:tcPr>
            <w:tcW w:w="2533" w:type="pct"/>
            <w:vAlign w:val="center"/>
          </w:tcPr>
          <w:p w14:paraId="63D5BB49">
            <w:pPr>
              <w:pStyle w:val="133"/>
              <w:rPr>
                <w:b/>
                <w:bCs/>
              </w:rPr>
            </w:pPr>
            <w:r>
              <w:rPr>
                <w:rFonts w:hint="eastAsia"/>
                <w:b/>
                <w:bCs/>
              </w:rPr>
              <w:t>监测指标</w:t>
            </w:r>
          </w:p>
        </w:tc>
        <w:tc>
          <w:tcPr>
            <w:tcW w:w="518" w:type="pct"/>
            <w:vAlign w:val="center"/>
          </w:tcPr>
          <w:p w14:paraId="197ECC05">
            <w:pPr>
              <w:pStyle w:val="133"/>
              <w:rPr>
                <w:b/>
                <w:bCs/>
              </w:rPr>
            </w:pPr>
            <w:r>
              <w:rPr>
                <w:rFonts w:hint="eastAsia"/>
                <w:b/>
                <w:bCs/>
              </w:rPr>
              <w:t>监测频次</w:t>
            </w:r>
          </w:p>
        </w:tc>
      </w:tr>
      <w:tr w14:paraId="73C8C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vAlign w:val="center"/>
          </w:tcPr>
          <w:p w14:paraId="434E00E2">
            <w:pPr>
              <w:pStyle w:val="133"/>
            </w:pPr>
            <w:r>
              <w:rPr>
                <w:rFonts w:hint="eastAsia"/>
              </w:rPr>
              <w:t>环境</w:t>
            </w:r>
            <w:r>
              <w:t>空气</w:t>
            </w:r>
          </w:p>
        </w:tc>
        <w:tc>
          <w:tcPr>
            <w:tcW w:w="1175" w:type="pct"/>
            <w:vAlign w:val="center"/>
          </w:tcPr>
          <w:p w14:paraId="2284BCE3">
            <w:pPr>
              <w:pStyle w:val="133"/>
            </w:pPr>
            <w:r>
              <w:rPr>
                <w:rFonts w:hint="eastAsia"/>
              </w:rPr>
              <w:t>厂界</w:t>
            </w:r>
            <w:r>
              <w:t>下风向</w:t>
            </w:r>
            <w:r>
              <w:rPr>
                <w:rFonts w:hint="eastAsia"/>
              </w:rPr>
              <w:t>1个</w:t>
            </w:r>
            <w:r>
              <w:t>点位</w:t>
            </w:r>
          </w:p>
        </w:tc>
        <w:tc>
          <w:tcPr>
            <w:tcW w:w="2533" w:type="pct"/>
            <w:vAlign w:val="center"/>
          </w:tcPr>
          <w:p w14:paraId="594F21B0">
            <w:pPr>
              <w:pStyle w:val="133"/>
            </w:pPr>
            <w:r>
              <w:rPr>
                <w:rFonts w:hint="eastAsia"/>
                <w:szCs w:val="18"/>
              </w:rPr>
              <w:t>颗粒物、</w:t>
            </w:r>
            <w:r>
              <w:rPr>
                <w:rFonts w:hint="eastAsia"/>
                <w:szCs w:val="32"/>
              </w:rPr>
              <w:t>非甲烷总烃、氨、硫化氢、氰化氢、苯、酚类</w:t>
            </w:r>
          </w:p>
        </w:tc>
        <w:tc>
          <w:tcPr>
            <w:tcW w:w="518" w:type="pct"/>
            <w:vAlign w:val="center"/>
          </w:tcPr>
          <w:p w14:paraId="4BCC32E1">
            <w:pPr>
              <w:pStyle w:val="133"/>
            </w:pPr>
            <w:r>
              <w:rPr>
                <w:rFonts w:hint="eastAsia"/>
              </w:rPr>
              <w:t>半年</w:t>
            </w:r>
          </w:p>
        </w:tc>
      </w:tr>
      <w:tr w14:paraId="23D61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vAlign w:val="center"/>
          </w:tcPr>
          <w:p w14:paraId="78C7F7CD">
            <w:pPr>
              <w:pStyle w:val="133"/>
            </w:pPr>
            <w:r>
              <w:rPr>
                <w:rFonts w:hint="eastAsia"/>
              </w:rPr>
              <w:t>地下水</w:t>
            </w:r>
          </w:p>
        </w:tc>
        <w:tc>
          <w:tcPr>
            <w:tcW w:w="1175" w:type="pct"/>
            <w:vAlign w:val="center"/>
          </w:tcPr>
          <w:p w14:paraId="2A7A7B05">
            <w:pPr>
              <w:pStyle w:val="133"/>
            </w:pPr>
            <w:r>
              <w:rPr>
                <w:rFonts w:hint="eastAsia"/>
              </w:rPr>
              <w:t>应尽量利用项目区</w:t>
            </w:r>
          </w:p>
          <w:p w14:paraId="37CE38EC">
            <w:pPr>
              <w:pStyle w:val="133"/>
            </w:pPr>
            <w:r>
              <w:rPr>
                <w:rFonts w:hint="eastAsia"/>
              </w:rPr>
              <w:t>下游附近现有水井</w:t>
            </w:r>
          </w:p>
        </w:tc>
        <w:tc>
          <w:tcPr>
            <w:tcW w:w="2533" w:type="pct"/>
            <w:vAlign w:val="center"/>
          </w:tcPr>
          <w:p w14:paraId="7D6A81DC">
            <w:pPr>
              <w:pStyle w:val="133"/>
            </w:pPr>
            <w:r>
              <w:rPr>
                <w:rFonts w:hint="eastAsia"/>
              </w:rPr>
              <w:t>pH值、氨氮、硝酸盐、亚硝酸盐、挥发性酚、氰化物、砷、汞、铬（六价）、总硬度、铅、氟、镉、铁、锰、溶解性总固体、耗氧量、硫酸盐、氯化物、总大肠菌群、菌落总数、石油类、苯、甲苯、苯并芘</w:t>
            </w:r>
          </w:p>
        </w:tc>
        <w:tc>
          <w:tcPr>
            <w:tcW w:w="518" w:type="pct"/>
            <w:vAlign w:val="center"/>
          </w:tcPr>
          <w:p w14:paraId="7A04C3BD">
            <w:pPr>
              <w:pStyle w:val="133"/>
            </w:pPr>
            <w:r>
              <w:rPr>
                <w:rFonts w:hint="eastAsia"/>
              </w:rPr>
              <w:t>年</w:t>
            </w:r>
          </w:p>
        </w:tc>
      </w:tr>
      <w:tr w14:paraId="014EC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pct"/>
            <w:vAlign w:val="center"/>
          </w:tcPr>
          <w:p w14:paraId="680B6C4F">
            <w:pPr>
              <w:pStyle w:val="133"/>
            </w:pPr>
            <w:r>
              <w:rPr>
                <w:rFonts w:hint="eastAsia"/>
              </w:rPr>
              <w:t>土壤</w:t>
            </w:r>
          </w:p>
        </w:tc>
        <w:tc>
          <w:tcPr>
            <w:tcW w:w="1175" w:type="pct"/>
            <w:vAlign w:val="center"/>
          </w:tcPr>
          <w:p w14:paraId="1946FFF3">
            <w:pPr>
              <w:pStyle w:val="133"/>
            </w:pPr>
            <w:r>
              <w:rPr>
                <w:rFonts w:hint="eastAsia"/>
              </w:rPr>
              <w:t>厂界内布设一个点位</w:t>
            </w:r>
          </w:p>
        </w:tc>
        <w:tc>
          <w:tcPr>
            <w:tcW w:w="2533" w:type="pct"/>
            <w:vAlign w:val="center"/>
          </w:tcPr>
          <w:p w14:paraId="53D5BA4F">
            <w:pPr>
              <w:pStyle w:val="133"/>
            </w:pPr>
            <w:r>
              <w:rPr>
                <w:rFonts w:hint="eastAsia"/>
              </w:rPr>
              <w:t>pH值、铜、汞、镉、铬（六价）、砷、铅、镍等</w:t>
            </w:r>
          </w:p>
        </w:tc>
        <w:tc>
          <w:tcPr>
            <w:tcW w:w="518" w:type="pct"/>
            <w:vAlign w:val="center"/>
          </w:tcPr>
          <w:p w14:paraId="495948E8">
            <w:pPr>
              <w:pStyle w:val="133"/>
            </w:pPr>
            <w:r>
              <w:rPr>
                <w:rFonts w:hint="eastAsia"/>
              </w:rPr>
              <w:t>年</w:t>
            </w:r>
          </w:p>
        </w:tc>
      </w:tr>
    </w:tbl>
    <w:p w14:paraId="4760D5EE">
      <w:pPr>
        <w:pStyle w:val="38"/>
        <w:ind w:firstLine="480"/>
      </w:pPr>
    </w:p>
    <w:p w14:paraId="68FBF988">
      <w:pPr>
        <w:pStyle w:val="138"/>
        <w:rPr>
          <w:rFonts w:hint="eastAsia"/>
        </w:rPr>
      </w:pPr>
      <w:r>
        <w:rPr>
          <w:rFonts w:hint="eastAsia"/>
        </w:rPr>
        <w:t>环境管理台账与执行报告编制要求</w:t>
      </w:r>
    </w:p>
    <w:p w14:paraId="25A0B531">
      <w:pPr>
        <w:ind w:firstLine="480"/>
      </w:pPr>
      <w:r>
        <w:rPr>
          <w:rFonts w:hint="eastAsia"/>
        </w:rPr>
        <w:t>排污单位应建立环境管理台账制度，设置人员进行台账记录、整理、维护和管理工作。排污单位对台账内容的真实性、准确性、完整性、规范性负责。排污单位应按照“规范、真实、全面、细致”的原则，依据本标准要求，确定记录内容；环境保护主管部门补充制定相关技术规范中要求增加的，在本标准基础上进行补充；排污单位还可根据自行监测管理要求补充填报管理台账内容。</w:t>
      </w:r>
    </w:p>
    <w:p w14:paraId="2153EA06">
      <w:pPr>
        <w:ind w:firstLine="480"/>
        <w:rPr>
          <w:rFonts w:hint="eastAsia" w:ascii="黑体" w:hAnsi="黑体" w:eastAsia="黑体"/>
          <w:szCs w:val="21"/>
        </w:rPr>
      </w:pPr>
      <w:r>
        <w:rPr>
          <w:rFonts w:hint="eastAsia"/>
        </w:rPr>
        <w:t>本次项目实施后，建设单位应按照自行监测计划定期开展自行监测，并将自行监测、污染物排放及落实各项环境管理要求等行为做详细记录，定期编制报告。另外，根据要求为方便实现环境管理台账的储存、分析、导出、携带等功能，环境管理记录应以电子化储存或纸质储存，妥善管理并保存三年以上备查。</w:t>
      </w:r>
    </w:p>
    <w:p w14:paraId="2B45BE20">
      <w:pPr>
        <w:pStyle w:val="138"/>
        <w:rPr>
          <w:rFonts w:hint="eastAsia"/>
        </w:rPr>
      </w:pPr>
      <w:r>
        <w:t>事故应急调查监测方案</w:t>
      </w:r>
    </w:p>
    <w:p w14:paraId="2D9B9237">
      <w:pPr>
        <w:ind w:firstLine="480"/>
      </w:pPr>
      <w:r>
        <w:t>项目事故预案中需包括应急监测程序，项目运行过程中一旦发生事故，应立即启动应急监测程序，并跟踪监测污染物的迁移情况，直到事故影响根本消除。事故应急监测方案应与当地环境监测站共同制订和实施，环境监测人员（本企业）在工作时间10min内、非工作时间20min内要到达事故现场，需实验室分析测试的项目，在采样后24h内必须报出，应急监测专题报告在48h内要报出。</w:t>
      </w:r>
    </w:p>
    <w:p w14:paraId="4445117C">
      <w:pPr>
        <w:pStyle w:val="138"/>
        <w:rPr>
          <w:rFonts w:hint="eastAsia"/>
        </w:rPr>
      </w:pPr>
      <w:r>
        <w:t>监测</w:t>
      </w:r>
      <w:r>
        <w:rPr>
          <w:rFonts w:hint="eastAsia"/>
        </w:rPr>
        <w:t>要求</w:t>
      </w:r>
    </w:p>
    <w:p w14:paraId="28BCA328">
      <w:pPr>
        <w:pStyle w:val="944"/>
      </w:pPr>
      <w:r>
        <w:t>手工监测要求</w:t>
      </w:r>
    </w:p>
    <w:p w14:paraId="67CBF897">
      <w:pPr>
        <w:ind w:firstLine="480"/>
      </w:pPr>
      <w:r>
        <w:rPr>
          <w:rFonts w:hint="eastAsia"/>
        </w:rPr>
        <w:t>以手工监测方式开展自行监测的，应当具备以下条件：</w:t>
      </w:r>
    </w:p>
    <w:p w14:paraId="170CA880">
      <w:pPr>
        <w:ind w:firstLine="480"/>
      </w:pPr>
      <w:r>
        <w:rPr>
          <w:rFonts w:hint="eastAsia"/>
        </w:rPr>
        <w:t>（</w:t>
      </w:r>
      <w:r>
        <w:t>1</w:t>
      </w:r>
      <w:r>
        <w:rPr>
          <w:rFonts w:hint="eastAsia"/>
        </w:rPr>
        <w:t>）具有固定的工作场所和必要的工作条件；</w:t>
      </w:r>
    </w:p>
    <w:p w14:paraId="5BA902B3">
      <w:pPr>
        <w:ind w:firstLine="480"/>
      </w:pPr>
      <w:r>
        <w:rPr>
          <w:rFonts w:hint="eastAsia"/>
        </w:rPr>
        <w:t>（</w:t>
      </w:r>
      <w:r>
        <w:t>2</w:t>
      </w:r>
      <w:r>
        <w:rPr>
          <w:rFonts w:hint="eastAsia"/>
        </w:rPr>
        <w:t>）具有与监测本单位排放污染物相适应的采样、分析等专业设备、设施；</w:t>
      </w:r>
    </w:p>
    <w:p w14:paraId="7DD982D0">
      <w:pPr>
        <w:ind w:firstLine="480"/>
      </w:pPr>
      <w:r>
        <w:rPr>
          <w:rFonts w:hint="eastAsia"/>
        </w:rPr>
        <w:t>（</w:t>
      </w:r>
      <w:r>
        <w:t>3</w:t>
      </w:r>
      <w:r>
        <w:rPr>
          <w:rFonts w:hint="eastAsia"/>
        </w:rPr>
        <w:t>）具有两名以上持有省级环境保护主管部门组织培训的、与监测事项相符的培训证书的人员；</w:t>
      </w:r>
    </w:p>
    <w:p w14:paraId="1C7C5416">
      <w:pPr>
        <w:ind w:firstLine="480"/>
      </w:pPr>
      <w:r>
        <w:rPr>
          <w:rFonts w:hint="eastAsia"/>
        </w:rPr>
        <w:t>（</w:t>
      </w:r>
      <w:r>
        <w:t>4</w:t>
      </w:r>
      <w:r>
        <w:rPr>
          <w:rFonts w:hint="eastAsia"/>
        </w:rPr>
        <w:t>）具有健全的环境监测工作和质量管理制度；</w:t>
      </w:r>
    </w:p>
    <w:p w14:paraId="68B28078">
      <w:pPr>
        <w:ind w:firstLine="480"/>
      </w:pPr>
      <w:r>
        <w:rPr>
          <w:rFonts w:hint="eastAsia"/>
        </w:rPr>
        <w:t>（</w:t>
      </w:r>
      <w:r>
        <w:t>5</w:t>
      </w:r>
      <w:r>
        <w:rPr>
          <w:rFonts w:hint="eastAsia"/>
        </w:rPr>
        <w:t>）符合环境保护主管部门规定的其他条件。</w:t>
      </w:r>
    </w:p>
    <w:p w14:paraId="22F76971">
      <w:pPr>
        <w:pStyle w:val="944"/>
      </w:pPr>
      <w:r>
        <w:rPr>
          <w:rFonts w:hint="eastAsia"/>
        </w:rPr>
        <w:t>自动监测要求</w:t>
      </w:r>
    </w:p>
    <w:p w14:paraId="0894D278">
      <w:pPr>
        <w:ind w:firstLine="480"/>
      </w:pPr>
      <w:r>
        <w:rPr>
          <w:rFonts w:hint="eastAsia"/>
        </w:rPr>
        <w:t>以自动监测方式开展自行监测的，应当具备以下条件：</w:t>
      </w:r>
    </w:p>
    <w:p w14:paraId="505B04D5">
      <w:pPr>
        <w:ind w:firstLine="480"/>
      </w:pPr>
      <w:r>
        <w:rPr>
          <w:rFonts w:hint="eastAsia"/>
        </w:rPr>
        <w:t>（</w:t>
      </w:r>
      <w:r>
        <w:t>1</w:t>
      </w:r>
      <w:r>
        <w:rPr>
          <w:rFonts w:hint="eastAsia"/>
        </w:rPr>
        <w:t>）按照环境监测技术规范和自动监控技术规范的要求安装自动监测设备，与环境保护主管部门联网，并通过环境保护主管部门验收；</w:t>
      </w:r>
    </w:p>
    <w:p w14:paraId="4ED544E8">
      <w:pPr>
        <w:ind w:firstLine="480"/>
      </w:pPr>
      <w:r>
        <w:rPr>
          <w:rFonts w:hint="eastAsia"/>
        </w:rPr>
        <w:t>（</w:t>
      </w:r>
      <w:r>
        <w:t>2</w:t>
      </w:r>
      <w:r>
        <w:rPr>
          <w:rFonts w:hint="eastAsia"/>
        </w:rPr>
        <w:t>）具有两名以上持有省级环境保护主管部门颁发的污染源自动监测数据有效性审核培训证书的人员，对自动监测设备进行日常运行维护；</w:t>
      </w:r>
    </w:p>
    <w:p w14:paraId="66C156D7">
      <w:pPr>
        <w:ind w:firstLine="480"/>
      </w:pPr>
      <w:r>
        <w:rPr>
          <w:rFonts w:hint="eastAsia"/>
        </w:rPr>
        <w:t>（</w:t>
      </w:r>
      <w:r>
        <w:t>3</w:t>
      </w:r>
      <w:r>
        <w:rPr>
          <w:rFonts w:hint="eastAsia"/>
        </w:rPr>
        <w:t>）具有健全的自动监测设备运行管理工作和质量管理制度；</w:t>
      </w:r>
    </w:p>
    <w:p w14:paraId="222D58CA">
      <w:pPr>
        <w:ind w:firstLine="480"/>
      </w:pPr>
      <w:r>
        <w:rPr>
          <w:rFonts w:hint="eastAsia"/>
        </w:rPr>
        <w:t>（</w:t>
      </w:r>
      <w:r>
        <w:t>4</w:t>
      </w:r>
      <w:r>
        <w:rPr>
          <w:rFonts w:hint="eastAsia"/>
        </w:rPr>
        <w:t>）符合环境保护主管部门规定的其他条件。</w:t>
      </w:r>
    </w:p>
    <w:p w14:paraId="40B3F953">
      <w:pPr>
        <w:pStyle w:val="944"/>
      </w:pPr>
      <w:r>
        <w:t>监测管理要求</w:t>
      </w:r>
    </w:p>
    <w:p w14:paraId="5370CAFB">
      <w:pPr>
        <w:ind w:firstLine="480"/>
      </w:pPr>
      <w:r>
        <w:rPr>
          <w:rFonts w:hint="eastAsia"/>
        </w:rPr>
        <w:t>（</w:t>
      </w:r>
      <w:r>
        <w:t>1</w:t>
      </w:r>
      <w:r>
        <w:rPr>
          <w:rFonts w:hint="eastAsia"/>
        </w:rPr>
        <w:t>）企业自行监测采用委托监测的，应当委托经省级环境保护主管部门认定的社会检测机构或环境保护主管部门所属环境监测机构进行监测。承担监督性监测任务的环境保护主管部门所属环境监测机构不得承担所监督企业的自行监测委托业务。</w:t>
      </w:r>
    </w:p>
    <w:p w14:paraId="2927D341">
      <w:pPr>
        <w:ind w:firstLine="480"/>
      </w:pPr>
      <w:r>
        <w:rPr>
          <w:rFonts w:hint="eastAsia"/>
        </w:rPr>
        <w:t>（</w:t>
      </w:r>
      <w:r>
        <w:t>2</w:t>
      </w:r>
      <w:r>
        <w:rPr>
          <w:rFonts w:hint="eastAsia"/>
        </w:rPr>
        <w:t>）自行监测记录包含监测各环节的原始记录、委托监测相关记录、自动监测设备运维记录，各类原始记录内容应完整并有相关人员签字，保存三年。</w:t>
      </w:r>
    </w:p>
    <w:p w14:paraId="77E036CE">
      <w:pPr>
        <w:ind w:firstLine="480"/>
      </w:pPr>
      <w:r>
        <w:rPr>
          <w:rFonts w:hint="eastAsia"/>
        </w:rPr>
        <w:t>（</w:t>
      </w:r>
      <w:r>
        <w:t>3</w:t>
      </w:r>
      <w:r>
        <w:rPr>
          <w:rFonts w:hint="eastAsia"/>
        </w:rPr>
        <w:t>）企业应当定期参加环境监测管理和相关技术业务培训。</w:t>
      </w:r>
    </w:p>
    <w:p w14:paraId="6FA38700">
      <w:pPr>
        <w:ind w:firstLine="480"/>
      </w:pPr>
      <w:r>
        <w:rPr>
          <w:rFonts w:hint="eastAsia"/>
        </w:rPr>
        <w:t>（</w:t>
      </w:r>
      <w:r>
        <w:t>4</w:t>
      </w:r>
      <w:r>
        <w:rPr>
          <w:rFonts w:hint="eastAsia"/>
        </w:rPr>
        <w:t>）企业自行监测应当遵守国务院环境保护主管部门颁布的环境监测质量管理规定，确保监测数据科学、准确。</w:t>
      </w:r>
    </w:p>
    <w:p w14:paraId="6F7F091A">
      <w:pPr>
        <w:ind w:firstLine="480"/>
      </w:pPr>
      <w:r>
        <w:rPr>
          <w:rFonts w:hint="eastAsia"/>
        </w:rPr>
        <w:t>（</w:t>
      </w:r>
      <w:r>
        <w:t>5</w:t>
      </w:r>
      <w:r>
        <w:rPr>
          <w:rFonts w:hint="eastAsia"/>
        </w:rPr>
        <w:t>）企业应当使用自行监测数据，按照国务院环境保护主管部门有关规定计算污染物排放量，在每月初的</w:t>
      </w:r>
      <w:r>
        <w:t>7</w:t>
      </w:r>
      <w:r>
        <w:rPr>
          <w:rFonts w:hint="eastAsia"/>
        </w:rPr>
        <w:t>个工作日内向环境保护主管部门报告上月主要污染物排放量，并提供有关资料。</w:t>
      </w:r>
    </w:p>
    <w:p w14:paraId="778D1F41">
      <w:pPr>
        <w:ind w:firstLine="480"/>
      </w:pPr>
      <w:r>
        <w:rPr>
          <w:rFonts w:hint="eastAsia"/>
        </w:rPr>
        <w:t>（</w:t>
      </w:r>
      <w:r>
        <w:t>6</w:t>
      </w:r>
      <w:r>
        <w:rPr>
          <w:rFonts w:hint="eastAsia"/>
        </w:rPr>
        <w:t>）企业自行监测发现污染物排放超标的，应当及时采取防止或减轻污染的措施，分析原因，并向负责备案的环境保护主管部门报告。</w:t>
      </w:r>
    </w:p>
    <w:p w14:paraId="7BF507B5">
      <w:pPr>
        <w:ind w:firstLine="480"/>
      </w:pPr>
      <w:r>
        <w:rPr>
          <w:rFonts w:hint="eastAsia"/>
        </w:rPr>
        <w:t>（</w:t>
      </w:r>
      <w:r>
        <w:t>7</w:t>
      </w:r>
      <w:r>
        <w:rPr>
          <w:rFonts w:hint="eastAsia"/>
        </w:rPr>
        <w:t>）企业应于每年</w:t>
      </w:r>
      <w:r>
        <w:t>1</w:t>
      </w:r>
      <w:r>
        <w:rPr>
          <w:rFonts w:hint="eastAsia"/>
        </w:rPr>
        <w:t>月底前编制完成上年度自行监测开展情况年度报告，并向负责备案的环境保护主管部门报送。年度报告应包含以下内容：</w:t>
      </w:r>
    </w:p>
    <w:p w14:paraId="023597C7">
      <w:pPr>
        <w:ind w:firstLine="480"/>
      </w:pPr>
      <w:r>
        <w:rPr>
          <w:rFonts w:hint="eastAsia"/>
        </w:rPr>
        <w:t>①监测方案的调整变化情况；</w:t>
      </w:r>
    </w:p>
    <w:p w14:paraId="5D0C6BDB">
      <w:pPr>
        <w:ind w:firstLine="480"/>
      </w:pPr>
      <w:r>
        <w:rPr>
          <w:rFonts w:hint="eastAsia"/>
        </w:rPr>
        <w:t>②全年生产天数、监测天数，各监测点、各监测指标全年监测次数、达标次数、超标情况；</w:t>
      </w:r>
    </w:p>
    <w:p w14:paraId="4092A41A">
      <w:pPr>
        <w:ind w:firstLine="480"/>
      </w:pPr>
      <w:r>
        <w:rPr>
          <w:rFonts w:hint="eastAsia"/>
        </w:rPr>
        <w:t>③全年废水、废气污染物排放量；</w:t>
      </w:r>
    </w:p>
    <w:p w14:paraId="54AE475F">
      <w:pPr>
        <w:ind w:firstLine="480"/>
      </w:pPr>
      <w:r>
        <w:rPr>
          <w:rFonts w:hint="eastAsia"/>
        </w:rPr>
        <w:t>④固体废弃物的类型、产生数量，处置方式、数量以及去向；</w:t>
      </w:r>
    </w:p>
    <w:p w14:paraId="3CF4DDC1">
      <w:pPr>
        <w:ind w:firstLine="480"/>
      </w:pPr>
      <w:r>
        <w:rPr>
          <w:rFonts w:hint="eastAsia"/>
        </w:rPr>
        <w:t>⑤按要求开展的周边环境质量影响状况监测结果。</w:t>
      </w:r>
    </w:p>
    <w:p w14:paraId="18EC1194">
      <w:pPr>
        <w:pStyle w:val="3"/>
      </w:pPr>
      <w:bookmarkStart w:id="717" w:name="_Toc205291431"/>
      <w:r>
        <w:t>竣工验收管理</w:t>
      </w:r>
      <w:bookmarkEnd w:id="717"/>
    </w:p>
    <w:p w14:paraId="336B13CA">
      <w:pPr>
        <w:pStyle w:val="138"/>
        <w:rPr>
          <w:rFonts w:hint="eastAsia"/>
        </w:rPr>
      </w:pPr>
      <w:r>
        <w:t>竣工验收管理及要求</w:t>
      </w:r>
    </w:p>
    <w:p w14:paraId="2DE2E8A0">
      <w:pPr>
        <w:ind w:firstLine="480"/>
      </w:pPr>
      <w:r>
        <w:t>根据</w:t>
      </w:r>
      <w:r>
        <w:rPr>
          <w:bCs/>
        </w:rPr>
        <w:t>《建设项目竣工环境保护验收暂行办法》</w:t>
      </w:r>
      <w:r>
        <w:t>，建设项目竣工后，建设单位应当如实查验、监测、记载建设项目环境保护设施的建设和调试情况，编制验收监测（调查）报告。</w:t>
      </w:r>
    </w:p>
    <w:p w14:paraId="75031D76">
      <w:pPr>
        <w:ind w:firstLine="480"/>
      </w:pPr>
      <w:r>
        <w:t>根据《建设项目竣工环境保护验收技术指南</w:t>
      </w:r>
      <w:r>
        <w:rPr>
          <w:rFonts w:hint="eastAsia"/>
        </w:rPr>
        <w:t xml:space="preserve"> </w:t>
      </w:r>
      <w:r>
        <w:t>污染影响类》，验收监测工作分为启动、自查、编制监测方案、实施监测和核查、编制监测报告五个阶段。</w:t>
      </w:r>
    </w:p>
    <w:p w14:paraId="138E21D2">
      <w:pPr>
        <w:ind w:firstLine="480"/>
      </w:pPr>
      <w:r>
        <w:t>建设单位可采用以下程序开展验收工作：</w:t>
      </w:r>
    </w:p>
    <w:p w14:paraId="4EB422C5">
      <w:pPr>
        <w:widowControl/>
        <w:spacing w:line="240" w:lineRule="auto"/>
        <w:ind w:firstLine="0" w:firstLineChars="0"/>
        <w:jc w:val="left"/>
      </w:pPr>
      <w:r>
        <w:br w:type="page"/>
      </w:r>
    </w:p>
    <w:p w14:paraId="613E1748">
      <w:pPr>
        <w:pStyle w:val="138"/>
        <w:rPr>
          <w:rFonts w:hint="eastAsia"/>
        </w:rPr>
      </w:pPr>
      <w:r>
        <w:rPr>
          <w:rFonts w:hint="eastAsia"/>
        </w:rPr>
        <w:t>竣工环境保护验收</w:t>
      </w:r>
    </w:p>
    <w:p w14:paraId="26100524">
      <w:pPr>
        <w:pStyle w:val="117"/>
        <w:ind w:firstLine="480"/>
      </w:pPr>
      <w:r>
        <w:rPr>
          <w:rFonts w:hint="eastAsia"/>
        </w:rPr>
        <w:t>本项目验收监测工作推荐内容见表9.4-1。</w:t>
      </w:r>
    </w:p>
    <w:p w14:paraId="4FA203B4">
      <w:pPr>
        <w:pStyle w:val="118"/>
        <w:ind w:firstLine="480"/>
      </w:pPr>
    </w:p>
    <w:p w14:paraId="1574F120">
      <w:pPr>
        <w:pStyle w:val="117"/>
        <w:ind w:firstLine="480"/>
        <w:sectPr>
          <w:pgSz w:w="11906" w:h="16838"/>
          <w:pgMar w:top="1418" w:right="1286" w:bottom="1418" w:left="1531" w:header="851" w:footer="992" w:gutter="0"/>
          <w:cols w:space="720" w:num="1"/>
          <w:docGrid w:linePitch="312" w:charSpace="0"/>
        </w:sectPr>
      </w:pPr>
    </w:p>
    <w:p w14:paraId="42531F35">
      <w:pPr>
        <w:pStyle w:val="118"/>
        <w:ind w:firstLine="480"/>
      </w:pPr>
      <w:r>
        <w:rPr>
          <w:rFonts w:hint="eastAsia"/>
        </w:rPr>
        <w:t>表9.4-1   本项目环境保护竣工验收“三同时”一览表</w:t>
      </w:r>
    </w:p>
    <w:tbl>
      <w:tblPr>
        <w:tblStyle w:val="67"/>
        <w:tblW w:w="14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018"/>
        <w:gridCol w:w="1171"/>
        <w:gridCol w:w="4009"/>
        <w:gridCol w:w="3158"/>
        <w:gridCol w:w="2455"/>
        <w:gridCol w:w="1772"/>
      </w:tblGrid>
      <w:tr w14:paraId="43A64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restart"/>
            <w:vAlign w:val="center"/>
          </w:tcPr>
          <w:p w14:paraId="09E11225">
            <w:pPr>
              <w:pStyle w:val="133"/>
              <w:rPr>
                <w:szCs w:val="21"/>
              </w:rPr>
            </w:pPr>
            <w:r>
              <w:rPr>
                <w:szCs w:val="21"/>
              </w:rPr>
              <w:t>大气</w:t>
            </w:r>
          </w:p>
        </w:tc>
        <w:tc>
          <w:tcPr>
            <w:tcW w:w="772" w:type="pct"/>
            <w:gridSpan w:val="2"/>
            <w:vAlign w:val="center"/>
          </w:tcPr>
          <w:p w14:paraId="1A81B969">
            <w:pPr>
              <w:pStyle w:val="133"/>
              <w:rPr>
                <w:b/>
                <w:bCs/>
                <w:snapToGrid w:val="0"/>
                <w:szCs w:val="21"/>
              </w:rPr>
            </w:pPr>
            <w:r>
              <w:rPr>
                <w:b/>
                <w:bCs/>
                <w:snapToGrid w:val="0"/>
                <w:szCs w:val="21"/>
              </w:rPr>
              <w:t>治理对象</w:t>
            </w:r>
          </w:p>
        </w:tc>
        <w:tc>
          <w:tcPr>
            <w:tcW w:w="1414" w:type="pct"/>
            <w:vAlign w:val="center"/>
          </w:tcPr>
          <w:p w14:paraId="7DB2ABCF">
            <w:pPr>
              <w:pStyle w:val="133"/>
              <w:rPr>
                <w:b/>
                <w:bCs/>
                <w:snapToGrid w:val="0"/>
                <w:szCs w:val="21"/>
              </w:rPr>
            </w:pPr>
            <w:r>
              <w:rPr>
                <w:b/>
                <w:bCs/>
                <w:snapToGrid w:val="0"/>
                <w:szCs w:val="21"/>
              </w:rPr>
              <w:t>环保措施</w:t>
            </w:r>
          </w:p>
        </w:tc>
        <w:tc>
          <w:tcPr>
            <w:tcW w:w="1114" w:type="pct"/>
            <w:vAlign w:val="center"/>
          </w:tcPr>
          <w:p w14:paraId="4A762D05">
            <w:pPr>
              <w:pStyle w:val="133"/>
              <w:rPr>
                <w:b/>
                <w:bCs/>
                <w:snapToGrid w:val="0"/>
                <w:szCs w:val="21"/>
              </w:rPr>
            </w:pPr>
            <w:r>
              <w:rPr>
                <w:b/>
                <w:bCs/>
                <w:snapToGrid w:val="0"/>
                <w:szCs w:val="21"/>
              </w:rPr>
              <w:t>验收标准</w:t>
            </w:r>
          </w:p>
        </w:tc>
        <w:tc>
          <w:tcPr>
            <w:tcW w:w="866" w:type="pct"/>
            <w:vAlign w:val="center"/>
          </w:tcPr>
          <w:p w14:paraId="32A9E65E">
            <w:pPr>
              <w:pStyle w:val="133"/>
              <w:rPr>
                <w:b/>
                <w:bCs/>
                <w:snapToGrid w:val="0"/>
                <w:szCs w:val="21"/>
              </w:rPr>
            </w:pPr>
            <w:r>
              <w:rPr>
                <w:b/>
                <w:bCs/>
                <w:snapToGrid w:val="0"/>
                <w:szCs w:val="21"/>
              </w:rPr>
              <w:t>验收因子</w:t>
            </w:r>
          </w:p>
        </w:tc>
        <w:tc>
          <w:tcPr>
            <w:tcW w:w="625" w:type="pct"/>
            <w:vAlign w:val="center"/>
          </w:tcPr>
          <w:p w14:paraId="3AF77DEA">
            <w:pPr>
              <w:pStyle w:val="133"/>
              <w:rPr>
                <w:b/>
                <w:bCs/>
                <w:snapToGrid w:val="0"/>
                <w:szCs w:val="21"/>
              </w:rPr>
            </w:pPr>
            <w:r>
              <w:rPr>
                <w:rFonts w:hint="eastAsia"/>
                <w:b/>
                <w:bCs/>
                <w:snapToGrid w:val="0"/>
                <w:szCs w:val="21"/>
              </w:rPr>
              <w:t>备注</w:t>
            </w:r>
          </w:p>
        </w:tc>
      </w:tr>
      <w:tr w14:paraId="04884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5CA6D7A0">
            <w:pPr>
              <w:pStyle w:val="133"/>
              <w:rPr>
                <w:szCs w:val="21"/>
              </w:rPr>
            </w:pPr>
          </w:p>
        </w:tc>
        <w:tc>
          <w:tcPr>
            <w:tcW w:w="359" w:type="pct"/>
            <w:vMerge w:val="restart"/>
            <w:vAlign w:val="center"/>
          </w:tcPr>
          <w:p w14:paraId="07AB0958">
            <w:pPr>
              <w:pStyle w:val="133"/>
              <w:rPr>
                <w:snapToGrid w:val="0"/>
                <w:szCs w:val="21"/>
              </w:rPr>
            </w:pPr>
            <w:r>
              <w:rPr>
                <w:rFonts w:hint="eastAsia"/>
                <w:szCs w:val="21"/>
              </w:rPr>
              <w:t>兰炭生产线</w:t>
            </w:r>
          </w:p>
        </w:tc>
        <w:tc>
          <w:tcPr>
            <w:tcW w:w="413" w:type="pct"/>
            <w:vAlign w:val="center"/>
          </w:tcPr>
          <w:p w14:paraId="47921DE1">
            <w:pPr>
              <w:pStyle w:val="133"/>
              <w:rPr>
                <w:snapToGrid w:val="0"/>
                <w:szCs w:val="21"/>
              </w:rPr>
            </w:pPr>
            <w:r>
              <w:rPr>
                <w:rFonts w:hint="eastAsia"/>
                <w:szCs w:val="21"/>
              </w:rPr>
              <w:t>备煤上料废气</w:t>
            </w:r>
          </w:p>
        </w:tc>
        <w:tc>
          <w:tcPr>
            <w:tcW w:w="1414" w:type="pct"/>
            <w:vAlign w:val="center"/>
          </w:tcPr>
          <w:p w14:paraId="4B912152">
            <w:pPr>
              <w:pStyle w:val="133"/>
              <w:rPr>
                <w:snapToGrid w:val="0"/>
                <w:szCs w:val="21"/>
              </w:rPr>
            </w:pPr>
            <w:r>
              <w:rPr>
                <w:color w:val="000000"/>
                <w:szCs w:val="21"/>
              </w:rPr>
              <w:t>布袋除尘器</w:t>
            </w:r>
            <w:r>
              <w:rPr>
                <w:rFonts w:hint="eastAsia"/>
                <w:szCs w:val="21"/>
              </w:rPr>
              <w:t>+排气筒</w:t>
            </w:r>
          </w:p>
        </w:tc>
        <w:tc>
          <w:tcPr>
            <w:tcW w:w="1114" w:type="pct"/>
            <w:vAlign w:val="center"/>
          </w:tcPr>
          <w:p w14:paraId="19B825CD">
            <w:pPr>
              <w:pStyle w:val="133"/>
              <w:rPr>
                <w:snapToGrid w:val="0"/>
                <w:szCs w:val="21"/>
              </w:rPr>
            </w:pPr>
            <w:r>
              <w:rPr>
                <w:rFonts w:hint="eastAsia"/>
                <w:szCs w:val="21"/>
              </w:rPr>
              <w:t>《关于推进实施焦化行业超低排放的意见》附表1</w:t>
            </w:r>
          </w:p>
        </w:tc>
        <w:tc>
          <w:tcPr>
            <w:tcW w:w="866" w:type="pct"/>
            <w:vAlign w:val="center"/>
          </w:tcPr>
          <w:p w14:paraId="488EE93D">
            <w:pPr>
              <w:pStyle w:val="133"/>
              <w:rPr>
                <w:snapToGrid w:val="0"/>
                <w:szCs w:val="21"/>
              </w:rPr>
            </w:pPr>
            <w:r>
              <w:rPr>
                <w:color w:val="000000"/>
                <w:szCs w:val="21"/>
              </w:rPr>
              <w:t>颗粒物</w:t>
            </w:r>
          </w:p>
        </w:tc>
        <w:tc>
          <w:tcPr>
            <w:tcW w:w="625" w:type="pct"/>
            <w:vAlign w:val="center"/>
          </w:tcPr>
          <w:p w14:paraId="2D9692BE">
            <w:pPr>
              <w:pStyle w:val="133"/>
              <w:rPr>
                <w:snapToGrid w:val="0"/>
                <w:szCs w:val="21"/>
              </w:rPr>
            </w:pPr>
            <w:r>
              <w:rPr>
                <w:bCs/>
                <w:snapToGrid w:val="0"/>
                <w:szCs w:val="21"/>
              </w:rPr>
              <w:t>项目投产前</w:t>
            </w:r>
          </w:p>
        </w:tc>
      </w:tr>
      <w:tr w14:paraId="0C2AB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7AC1C599">
            <w:pPr>
              <w:pStyle w:val="133"/>
              <w:rPr>
                <w:szCs w:val="21"/>
              </w:rPr>
            </w:pPr>
          </w:p>
        </w:tc>
        <w:tc>
          <w:tcPr>
            <w:tcW w:w="359" w:type="pct"/>
            <w:vMerge w:val="continue"/>
            <w:vAlign w:val="center"/>
          </w:tcPr>
          <w:p w14:paraId="76C66E99">
            <w:pPr>
              <w:pStyle w:val="133"/>
              <w:rPr>
                <w:rFonts w:cs="Times New Roman"/>
                <w:szCs w:val="21"/>
              </w:rPr>
            </w:pPr>
          </w:p>
        </w:tc>
        <w:tc>
          <w:tcPr>
            <w:tcW w:w="413" w:type="pct"/>
            <w:vAlign w:val="center"/>
          </w:tcPr>
          <w:p w14:paraId="358DD2B4">
            <w:pPr>
              <w:pStyle w:val="133"/>
              <w:rPr>
                <w:snapToGrid w:val="0"/>
                <w:szCs w:val="21"/>
              </w:rPr>
            </w:pPr>
            <w:r>
              <w:rPr>
                <w:rFonts w:hint="eastAsia"/>
                <w:szCs w:val="21"/>
              </w:rPr>
              <w:t>破碎筛分废气</w:t>
            </w:r>
          </w:p>
        </w:tc>
        <w:tc>
          <w:tcPr>
            <w:tcW w:w="1414" w:type="pct"/>
            <w:vAlign w:val="center"/>
          </w:tcPr>
          <w:p w14:paraId="1CD90541">
            <w:pPr>
              <w:pStyle w:val="133"/>
              <w:rPr>
                <w:snapToGrid w:val="0"/>
                <w:szCs w:val="21"/>
              </w:rPr>
            </w:pPr>
            <w:r>
              <w:rPr>
                <w:color w:val="000000"/>
                <w:szCs w:val="21"/>
              </w:rPr>
              <w:t>布袋除尘器</w:t>
            </w:r>
            <w:r>
              <w:rPr>
                <w:rFonts w:hint="eastAsia"/>
                <w:szCs w:val="21"/>
              </w:rPr>
              <w:t>+排气筒</w:t>
            </w:r>
          </w:p>
        </w:tc>
        <w:tc>
          <w:tcPr>
            <w:tcW w:w="1114" w:type="pct"/>
            <w:vAlign w:val="center"/>
          </w:tcPr>
          <w:p w14:paraId="4CAB5B7D">
            <w:pPr>
              <w:pStyle w:val="133"/>
              <w:rPr>
                <w:snapToGrid w:val="0"/>
                <w:szCs w:val="21"/>
              </w:rPr>
            </w:pPr>
            <w:r>
              <w:rPr>
                <w:rFonts w:hint="eastAsia"/>
                <w:szCs w:val="21"/>
              </w:rPr>
              <w:t>《关于推进实施焦化行业超低排放的意见》附表1</w:t>
            </w:r>
          </w:p>
        </w:tc>
        <w:tc>
          <w:tcPr>
            <w:tcW w:w="866" w:type="pct"/>
            <w:vAlign w:val="center"/>
          </w:tcPr>
          <w:p w14:paraId="64E1B22F">
            <w:pPr>
              <w:pStyle w:val="133"/>
              <w:rPr>
                <w:color w:val="000000"/>
                <w:szCs w:val="21"/>
              </w:rPr>
            </w:pPr>
            <w:r>
              <w:rPr>
                <w:color w:val="000000"/>
                <w:szCs w:val="21"/>
              </w:rPr>
              <w:t>颗粒物</w:t>
            </w:r>
          </w:p>
        </w:tc>
        <w:tc>
          <w:tcPr>
            <w:tcW w:w="625" w:type="pct"/>
            <w:vAlign w:val="center"/>
          </w:tcPr>
          <w:p w14:paraId="417DA4DE">
            <w:pPr>
              <w:pStyle w:val="133"/>
              <w:rPr>
                <w:bCs/>
                <w:snapToGrid w:val="0"/>
                <w:szCs w:val="21"/>
              </w:rPr>
            </w:pPr>
            <w:r>
              <w:rPr>
                <w:bCs/>
                <w:snapToGrid w:val="0"/>
                <w:szCs w:val="21"/>
              </w:rPr>
              <w:t>项目投产前</w:t>
            </w:r>
          </w:p>
        </w:tc>
      </w:tr>
      <w:tr w14:paraId="6D20B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5D19B690">
            <w:pPr>
              <w:pStyle w:val="133"/>
              <w:rPr>
                <w:szCs w:val="21"/>
              </w:rPr>
            </w:pPr>
          </w:p>
        </w:tc>
        <w:tc>
          <w:tcPr>
            <w:tcW w:w="359" w:type="pct"/>
            <w:vMerge w:val="continue"/>
            <w:vAlign w:val="center"/>
          </w:tcPr>
          <w:p w14:paraId="3E7DA195">
            <w:pPr>
              <w:pStyle w:val="133"/>
              <w:rPr>
                <w:rFonts w:cs="Times New Roman"/>
                <w:szCs w:val="21"/>
              </w:rPr>
            </w:pPr>
          </w:p>
        </w:tc>
        <w:tc>
          <w:tcPr>
            <w:tcW w:w="413" w:type="pct"/>
            <w:vMerge w:val="restart"/>
            <w:vAlign w:val="center"/>
          </w:tcPr>
          <w:p w14:paraId="74ACA0DA">
            <w:pPr>
              <w:pStyle w:val="133"/>
              <w:rPr>
                <w:szCs w:val="21"/>
              </w:rPr>
            </w:pPr>
            <w:r>
              <w:rPr>
                <w:rFonts w:hint="eastAsia"/>
                <w:szCs w:val="21"/>
              </w:rPr>
              <w:t>炭化装煤</w:t>
            </w:r>
          </w:p>
          <w:p w14:paraId="1DA3AF3A">
            <w:pPr>
              <w:pStyle w:val="133"/>
              <w:rPr>
                <w:snapToGrid w:val="0"/>
                <w:szCs w:val="21"/>
              </w:rPr>
            </w:pPr>
            <w:r>
              <w:rPr>
                <w:rFonts w:hint="eastAsia"/>
                <w:szCs w:val="21"/>
              </w:rPr>
              <w:t>废气</w:t>
            </w:r>
          </w:p>
        </w:tc>
        <w:tc>
          <w:tcPr>
            <w:tcW w:w="1414" w:type="pct"/>
            <w:vAlign w:val="center"/>
          </w:tcPr>
          <w:p w14:paraId="2B860A6E">
            <w:pPr>
              <w:pStyle w:val="133"/>
              <w:rPr>
                <w:snapToGrid w:val="0"/>
                <w:szCs w:val="21"/>
              </w:rPr>
            </w:pPr>
            <w:r>
              <w:rPr>
                <w:color w:val="000000"/>
                <w:szCs w:val="21"/>
              </w:rPr>
              <w:t>布袋除尘器</w:t>
            </w:r>
            <w:r>
              <w:rPr>
                <w:rFonts w:hint="eastAsia"/>
                <w:szCs w:val="21"/>
              </w:rPr>
              <w:t>+排气筒</w:t>
            </w:r>
          </w:p>
        </w:tc>
        <w:tc>
          <w:tcPr>
            <w:tcW w:w="1114" w:type="pct"/>
            <w:vAlign w:val="center"/>
          </w:tcPr>
          <w:p w14:paraId="504AE6F1">
            <w:pPr>
              <w:pStyle w:val="133"/>
              <w:rPr>
                <w:snapToGrid w:val="0"/>
                <w:szCs w:val="21"/>
              </w:rPr>
            </w:pPr>
            <w:r>
              <w:rPr>
                <w:rFonts w:hint="eastAsia"/>
                <w:szCs w:val="21"/>
              </w:rPr>
              <w:t>《关于推进实施焦化行业超低排放的意见》附表1</w:t>
            </w:r>
          </w:p>
        </w:tc>
        <w:tc>
          <w:tcPr>
            <w:tcW w:w="866" w:type="pct"/>
            <w:vAlign w:val="center"/>
          </w:tcPr>
          <w:p w14:paraId="648A823E">
            <w:pPr>
              <w:pStyle w:val="133"/>
              <w:rPr>
                <w:color w:val="000000"/>
                <w:szCs w:val="21"/>
              </w:rPr>
            </w:pPr>
            <w:r>
              <w:rPr>
                <w:color w:val="000000"/>
                <w:szCs w:val="21"/>
              </w:rPr>
              <w:t>颗粒物</w:t>
            </w:r>
            <w:r>
              <w:rPr>
                <w:rFonts w:hint="eastAsia"/>
                <w:color w:val="000000"/>
                <w:szCs w:val="21"/>
              </w:rPr>
              <w:t>、SO</w:t>
            </w:r>
            <w:r>
              <w:rPr>
                <w:rFonts w:hint="eastAsia"/>
                <w:color w:val="000000"/>
                <w:szCs w:val="21"/>
                <w:vertAlign w:val="subscript"/>
              </w:rPr>
              <w:t>2</w:t>
            </w:r>
          </w:p>
        </w:tc>
        <w:tc>
          <w:tcPr>
            <w:tcW w:w="625" w:type="pct"/>
            <w:vAlign w:val="center"/>
          </w:tcPr>
          <w:p w14:paraId="30B3646F">
            <w:pPr>
              <w:pStyle w:val="133"/>
              <w:rPr>
                <w:bCs/>
                <w:snapToGrid w:val="0"/>
                <w:szCs w:val="21"/>
              </w:rPr>
            </w:pPr>
            <w:r>
              <w:rPr>
                <w:bCs/>
                <w:snapToGrid w:val="0"/>
                <w:szCs w:val="21"/>
              </w:rPr>
              <w:t>项目投产前</w:t>
            </w:r>
          </w:p>
        </w:tc>
      </w:tr>
      <w:tr w14:paraId="4D2ED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1BFECE0A">
            <w:pPr>
              <w:pStyle w:val="133"/>
              <w:rPr>
                <w:szCs w:val="21"/>
              </w:rPr>
            </w:pPr>
          </w:p>
        </w:tc>
        <w:tc>
          <w:tcPr>
            <w:tcW w:w="359" w:type="pct"/>
            <w:vMerge w:val="continue"/>
            <w:vAlign w:val="center"/>
          </w:tcPr>
          <w:p w14:paraId="19331BFE">
            <w:pPr>
              <w:pStyle w:val="133"/>
              <w:rPr>
                <w:rFonts w:cs="Times New Roman"/>
                <w:szCs w:val="21"/>
              </w:rPr>
            </w:pPr>
          </w:p>
        </w:tc>
        <w:tc>
          <w:tcPr>
            <w:tcW w:w="413" w:type="pct"/>
            <w:vMerge w:val="continue"/>
            <w:vAlign w:val="center"/>
          </w:tcPr>
          <w:p w14:paraId="58C5A841">
            <w:pPr>
              <w:pStyle w:val="133"/>
              <w:rPr>
                <w:snapToGrid w:val="0"/>
                <w:szCs w:val="21"/>
              </w:rPr>
            </w:pPr>
          </w:p>
        </w:tc>
        <w:tc>
          <w:tcPr>
            <w:tcW w:w="1414" w:type="pct"/>
            <w:vAlign w:val="center"/>
          </w:tcPr>
          <w:p w14:paraId="31D49C4E">
            <w:pPr>
              <w:pStyle w:val="133"/>
              <w:rPr>
                <w:snapToGrid w:val="0"/>
                <w:szCs w:val="21"/>
              </w:rPr>
            </w:pPr>
            <w:r>
              <w:rPr>
                <w:rFonts w:hint="eastAsia"/>
                <w:snapToGrid w:val="0"/>
                <w:szCs w:val="21"/>
              </w:rPr>
              <w:t>-</w:t>
            </w:r>
          </w:p>
        </w:tc>
        <w:tc>
          <w:tcPr>
            <w:tcW w:w="1114" w:type="pct"/>
            <w:vAlign w:val="center"/>
          </w:tcPr>
          <w:p w14:paraId="447D3C3F">
            <w:pPr>
              <w:pStyle w:val="133"/>
              <w:rPr>
                <w:snapToGrid w:val="0"/>
                <w:szCs w:val="21"/>
              </w:rPr>
            </w:pPr>
            <w:r>
              <w:rPr>
                <w:rFonts w:hint="eastAsia"/>
                <w:szCs w:val="21"/>
              </w:rPr>
              <w:t>《炼焦化学工业大气污染物排放标准》（GB16171.1-2024）表1</w:t>
            </w:r>
          </w:p>
        </w:tc>
        <w:tc>
          <w:tcPr>
            <w:tcW w:w="866" w:type="pct"/>
            <w:vAlign w:val="center"/>
          </w:tcPr>
          <w:p w14:paraId="137D038C">
            <w:pPr>
              <w:pStyle w:val="133"/>
              <w:rPr>
                <w:color w:val="000000"/>
                <w:szCs w:val="21"/>
              </w:rPr>
            </w:pPr>
            <w:r>
              <w:rPr>
                <w:rFonts w:hint="eastAsia"/>
                <w:szCs w:val="21"/>
              </w:rPr>
              <w:t>苯并芘</w:t>
            </w:r>
          </w:p>
        </w:tc>
        <w:tc>
          <w:tcPr>
            <w:tcW w:w="625" w:type="pct"/>
            <w:vAlign w:val="center"/>
          </w:tcPr>
          <w:p w14:paraId="3DFDD05A">
            <w:pPr>
              <w:pStyle w:val="133"/>
              <w:rPr>
                <w:bCs/>
                <w:snapToGrid w:val="0"/>
                <w:szCs w:val="21"/>
              </w:rPr>
            </w:pPr>
            <w:r>
              <w:rPr>
                <w:bCs/>
                <w:snapToGrid w:val="0"/>
                <w:szCs w:val="21"/>
              </w:rPr>
              <w:t>项目投产前</w:t>
            </w:r>
          </w:p>
        </w:tc>
      </w:tr>
      <w:tr w14:paraId="589B2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185DC954">
            <w:pPr>
              <w:pStyle w:val="133"/>
              <w:rPr>
                <w:szCs w:val="21"/>
              </w:rPr>
            </w:pPr>
          </w:p>
        </w:tc>
        <w:tc>
          <w:tcPr>
            <w:tcW w:w="359" w:type="pct"/>
            <w:vMerge w:val="continue"/>
            <w:vAlign w:val="center"/>
          </w:tcPr>
          <w:p w14:paraId="61015416">
            <w:pPr>
              <w:pStyle w:val="133"/>
              <w:rPr>
                <w:rFonts w:cs="Times New Roman"/>
                <w:szCs w:val="21"/>
              </w:rPr>
            </w:pPr>
          </w:p>
        </w:tc>
        <w:tc>
          <w:tcPr>
            <w:tcW w:w="413" w:type="pct"/>
            <w:vAlign w:val="center"/>
          </w:tcPr>
          <w:p w14:paraId="0B03AF28">
            <w:pPr>
              <w:pStyle w:val="133"/>
              <w:rPr>
                <w:snapToGrid w:val="0"/>
                <w:szCs w:val="21"/>
              </w:rPr>
            </w:pPr>
            <w:r>
              <w:rPr>
                <w:rFonts w:hint="eastAsia"/>
                <w:szCs w:val="21"/>
              </w:rPr>
              <w:t>筛焦废气</w:t>
            </w:r>
          </w:p>
        </w:tc>
        <w:tc>
          <w:tcPr>
            <w:tcW w:w="1414" w:type="pct"/>
            <w:vAlign w:val="center"/>
          </w:tcPr>
          <w:p w14:paraId="276338DF">
            <w:pPr>
              <w:pStyle w:val="133"/>
              <w:rPr>
                <w:snapToGrid w:val="0"/>
                <w:szCs w:val="21"/>
              </w:rPr>
            </w:pPr>
            <w:r>
              <w:rPr>
                <w:color w:val="000000"/>
                <w:szCs w:val="21"/>
              </w:rPr>
              <w:t>布袋除尘器</w:t>
            </w:r>
            <w:r>
              <w:rPr>
                <w:rFonts w:hint="eastAsia"/>
                <w:szCs w:val="21"/>
              </w:rPr>
              <w:t>+排气筒</w:t>
            </w:r>
          </w:p>
        </w:tc>
        <w:tc>
          <w:tcPr>
            <w:tcW w:w="1114" w:type="pct"/>
            <w:vAlign w:val="center"/>
          </w:tcPr>
          <w:p w14:paraId="2489845A">
            <w:pPr>
              <w:pStyle w:val="133"/>
              <w:rPr>
                <w:snapToGrid w:val="0"/>
                <w:szCs w:val="21"/>
              </w:rPr>
            </w:pPr>
            <w:r>
              <w:rPr>
                <w:rFonts w:hint="eastAsia"/>
                <w:szCs w:val="21"/>
              </w:rPr>
              <w:t>《关于推进实施焦化行业超低排放的意见》附表1</w:t>
            </w:r>
          </w:p>
        </w:tc>
        <w:tc>
          <w:tcPr>
            <w:tcW w:w="866" w:type="pct"/>
            <w:vAlign w:val="center"/>
          </w:tcPr>
          <w:p w14:paraId="4AA73328">
            <w:pPr>
              <w:pStyle w:val="133"/>
              <w:rPr>
                <w:color w:val="000000"/>
                <w:szCs w:val="21"/>
              </w:rPr>
            </w:pPr>
            <w:r>
              <w:rPr>
                <w:color w:val="000000"/>
                <w:szCs w:val="21"/>
              </w:rPr>
              <w:t>颗粒物</w:t>
            </w:r>
          </w:p>
        </w:tc>
        <w:tc>
          <w:tcPr>
            <w:tcW w:w="625" w:type="pct"/>
            <w:vAlign w:val="center"/>
          </w:tcPr>
          <w:p w14:paraId="0B6263CB">
            <w:pPr>
              <w:pStyle w:val="133"/>
              <w:rPr>
                <w:bCs/>
                <w:snapToGrid w:val="0"/>
                <w:szCs w:val="21"/>
              </w:rPr>
            </w:pPr>
            <w:r>
              <w:rPr>
                <w:bCs/>
                <w:snapToGrid w:val="0"/>
                <w:szCs w:val="21"/>
              </w:rPr>
              <w:t>项目投产前</w:t>
            </w:r>
          </w:p>
        </w:tc>
      </w:tr>
      <w:tr w14:paraId="7AC11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5395F903">
            <w:pPr>
              <w:pStyle w:val="133"/>
              <w:rPr>
                <w:szCs w:val="21"/>
              </w:rPr>
            </w:pPr>
          </w:p>
        </w:tc>
        <w:tc>
          <w:tcPr>
            <w:tcW w:w="359" w:type="pct"/>
            <w:vMerge w:val="continue"/>
            <w:vAlign w:val="center"/>
          </w:tcPr>
          <w:p w14:paraId="3B7ECC6B">
            <w:pPr>
              <w:pStyle w:val="133"/>
              <w:rPr>
                <w:rFonts w:cs="Times New Roman"/>
                <w:szCs w:val="21"/>
              </w:rPr>
            </w:pPr>
          </w:p>
        </w:tc>
        <w:tc>
          <w:tcPr>
            <w:tcW w:w="413" w:type="pct"/>
            <w:vMerge w:val="restart"/>
            <w:vAlign w:val="center"/>
          </w:tcPr>
          <w:p w14:paraId="0A750708">
            <w:pPr>
              <w:pStyle w:val="133"/>
              <w:rPr>
                <w:szCs w:val="21"/>
              </w:rPr>
            </w:pPr>
            <w:r>
              <w:rPr>
                <w:rFonts w:hint="eastAsia"/>
                <w:szCs w:val="21"/>
              </w:rPr>
              <w:t>兰炭烘干</w:t>
            </w:r>
          </w:p>
          <w:p w14:paraId="469B6F6F">
            <w:pPr>
              <w:pStyle w:val="133"/>
              <w:rPr>
                <w:snapToGrid w:val="0"/>
                <w:szCs w:val="21"/>
              </w:rPr>
            </w:pPr>
            <w:r>
              <w:rPr>
                <w:rFonts w:hint="eastAsia"/>
                <w:szCs w:val="21"/>
              </w:rPr>
              <w:t>废气</w:t>
            </w:r>
          </w:p>
        </w:tc>
        <w:tc>
          <w:tcPr>
            <w:tcW w:w="1414" w:type="pct"/>
            <w:vAlign w:val="center"/>
          </w:tcPr>
          <w:p w14:paraId="540ED1A3">
            <w:pPr>
              <w:pStyle w:val="133"/>
              <w:rPr>
                <w:snapToGrid w:val="0"/>
                <w:szCs w:val="21"/>
              </w:rPr>
            </w:pPr>
            <w:r>
              <w:rPr>
                <w:rFonts w:hint="eastAsia"/>
                <w:szCs w:val="21"/>
              </w:rPr>
              <w:t>旋风除尘+碱洗+布袋除尘器</w:t>
            </w:r>
          </w:p>
        </w:tc>
        <w:tc>
          <w:tcPr>
            <w:tcW w:w="1114" w:type="pct"/>
            <w:vAlign w:val="center"/>
          </w:tcPr>
          <w:p w14:paraId="578D2BA9">
            <w:pPr>
              <w:pStyle w:val="133"/>
              <w:rPr>
                <w:snapToGrid w:val="0"/>
                <w:szCs w:val="21"/>
              </w:rPr>
            </w:pPr>
            <w:r>
              <w:rPr>
                <w:rFonts w:hint="eastAsia"/>
                <w:szCs w:val="21"/>
              </w:rPr>
              <w:t>《关于推进实施焦化行业超低排放的意见》附表1</w:t>
            </w:r>
          </w:p>
        </w:tc>
        <w:tc>
          <w:tcPr>
            <w:tcW w:w="866" w:type="pct"/>
            <w:vAlign w:val="center"/>
          </w:tcPr>
          <w:p w14:paraId="5DD0DD3E">
            <w:pPr>
              <w:pStyle w:val="133"/>
              <w:rPr>
                <w:color w:val="000000"/>
                <w:szCs w:val="21"/>
              </w:rPr>
            </w:pPr>
            <w:r>
              <w:rPr>
                <w:color w:val="000000"/>
                <w:szCs w:val="21"/>
              </w:rPr>
              <w:t>颗粒物</w:t>
            </w:r>
          </w:p>
        </w:tc>
        <w:tc>
          <w:tcPr>
            <w:tcW w:w="625" w:type="pct"/>
            <w:vAlign w:val="center"/>
          </w:tcPr>
          <w:p w14:paraId="30C46E1D">
            <w:pPr>
              <w:pStyle w:val="133"/>
              <w:rPr>
                <w:bCs/>
                <w:snapToGrid w:val="0"/>
                <w:szCs w:val="21"/>
              </w:rPr>
            </w:pPr>
            <w:r>
              <w:rPr>
                <w:bCs/>
                <w:snapToGrid w:val="0"/>
                <w:szCs w:val="21"/>
              </w:rPr>
              <w:t>项目投产前</w:t>
            </w:r>
          </w:p>
        </w:tc>
      </w:tr>
      <w:tr w14:paraId="6E60A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5CEF36CC">
            <w:pPr>
              <w:pStyle w:val="133"/>
              <w:rPr>
                <w:szCs w:val="21"/>
              </w:rPr>
            </w:pPr>
          </w:p>
        </w:tc>
        <w:tc>
          <w:tcPr>
            <w:tcW w:w="359" w:type="pct"/>
            <w:vMerge w:val="continue"/>
            <w:vAlign w:val="center"/>
          </w:tcPr>
          <w:p w14:paraId="60162884">
            <w:pPr>
              <w:pStyle w:val="133"/>
              <w:rPr>
                <w:rFonts w:cs="Times New Roman"/>
                <w:szCs w:val="21"/>
              </w:rPr>
            </w:pPr>
          </w:p>
        </w:tc>
        <w:tc>
          <w:tcPr>
            <w:tcW w:w="413" w:type="pct"/>
            <w:vMerge w:val="continue"/>
            <w:vAlign w:val="center"/>
          </w:tcPr>
          <w:p w14:paraId="4D1D4C2F">
            <w:pPr>
              <w:pStyle w:val="133"/>
              <w:rPr>
                <w:szCs w:val="21"/>
              </w:rPr>
            </w:pPr>
          </w:p>
        </w:tc>
        <w:tc>
          <w:tcPr>
            <w:tcW w:w="1414" w:type="pct"/>
            <w:vAlign w:val="center"/>
          </w:tcPr>
          <w:p w14:paraId="7800870E">
            <w:pPr>
              <w:pStyle w:val="133"/>
              <w:rPr>
                <w:szCs w:val="21"/>
              </w:rPr>
            </w:pPr>
            <w:r>
              <w:rPr>
                <w:rFonts w:hint="eastAsia"/>
                <w:szCs w:val="21"/>
              </w:rPr>
              <w:t>碱喷淋脱硫</w:t>
            </w:r>
          </w:p>
        </w:tc>
        <w:tc>
          <w:tcPr>
            <w:tcW w:w="1114" w:type="pct"/>
            <w:vAlign w:val="center"/>
          </w:tcPr>
          <w:p w14:paraId="474A1813">
            <w:pPr>
              <w:pStyle w:val="133"/>
              <w:rPr>
                <w:szCs w:val="21"/>
              </w:rPr>
            </w:pPr>
            <w:r>
              <w:rPr>
                <w:rFonts w:hint="eastAsia"/>
                <w:szCs w:val="21"/>
              </w:rPr>
              <w:t>《关于推进实施焦化行业超低排放的意见》附表1</w:t>
            </w:r>
          </w:p>
        </w:tc>
        <w:tc>
          <w:tcPr>
            <w:tcW w:w="866" w:type="pct"/>
            <w:vAlign w:val="center"/>
          </w:tcPr>
          <w:p w14:paraId="008A71A4">
            <w:pPr>
              <w:pStyle w:val="133"/>
              <w:rPr>
                <w:color w:val="000000"/>
                <w:szCs w:val="21"/>
              </w:rPr>
            </w:pPr>
            <w:r>
              <w:rPr>
                <w:rFonts w:hint="eastAsia"/>
                <w:color w:val="000000"/>
                <w:szCs w:val="21"/>
              </w:rPr>
              <w:t>SO</w:t>
            </w:r>
            <w:r>
              <w:rPr>
                <w:rFonts w:hint="eastAsia"/>
                <w:color w:val="000000"/>
                <w:szCs w:val="21"/>
                <w:vertAlign w:val="subscript"/>
              </w:rPr>
              <w:t>2</w:t>
            </w:r>
          </w:p>
        </w:tc>
        <w:tc>
          <w:tcPr>
            <w:tcW w:w="625" w:type="pct"/>
            <w:vAlign w:val="center"/>
          </w:tcPr>
          <w:p w14:paraId="5A3640CC">
            <w:pPr>
              <w:pStyle w:val="133"/>
              <w:rPr>
                <w:bCs/>
                <w:snapToGrid w:val="0"/>
                <w:szCs w:val="21"/>
              </w:rPr>
            </w:pPr>
            <w:r>
              <w:rPr>
                <w:bCs/>
                <w:snapToGrid w:val="0"/>
                <w:szCs w:val="21"/>
              </w:rPr>
              <w:t>项目投产前</w:t>
            </w:r>
          </w:p>
        </w:tc>
      </w:tr>
      <w:tr w14:paraId="19728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0E4C9F6F">
            <w:pPr>
              <w:pStyle w:val="133"/>
              <w:rPr>
                <w:szCs w:val="21"/>
              </w:rPr>
            </w:pPr>
          </w:p>
        </w:tc>
        <w:tc>
          <w:tcPr>
            <w:tcW w:w="359" w:type="pct"/>
            <w:vMerge w:val="continue"/>
            <w:vAlign w:val="center"/>
          </w:tcPr>
          <w:p w14:paraId="2C8D180D">
            <w:pPr>
              <w:pStyle w:val="133"/>
              <w:rPr>
                <w:rFonts w:cs="Times New Roman"/>
                <w:szCs w:val="21"/>
              </w:rPr>
            </w:pPr>
          </w:p>
        </w:tc>
        <w:tc>
          <w:tcPr>
            <w:tcW w:w="413" w:type="pct"/>
            <w:vMerge w:val="continue"/>
            <w:vAlign w:val="center"/>
          </w:tcPr>
          <w:p w14:paraId="3BE08370">
            <w:pPr>
              <w:pStyle w:val="133"/>
              <w:rPr>
                <w:snapToGrid w:val="0"/>
                <w:szCs w:val="21"/>
              </w:rPr>
            </w:pPr>
          </w:p>
        </w:tc>
        <w:tc>
          <w:tcPr>
            <w:tcW w:w="1414" w:type="pct"/>
            <w:vAlign w:val="center"/>
          </w:tcPr>
          <w:p w14:paraId="2F1F3BED">
            <w:pPr>
              <w:pStyle w:val="133"/>
              <w:rPr>
                <w:snapToGrid w:val="0"/>
                <w:szCs w:val="21"/>
              </w:rPr>
            </w:pPr>
            <w:r>
              <w:rPr>
                <w:rFonts w:hint="eastAsia"/>
                <w:snapToGrid w:val="0"/>
                <w:szCs w:val="21"/>
              </w:rPr>
              <w:t>-</w:t>
            </w:r>
          </w:p>
        </w:tc>
        <w:tc>
          <w:tcPr>
            <w:tcW w:w="1114" w:type="pct"/>
            <w:vAlign w:val="center"/>
          </w:tcPr>
          <w:p w14:paraId="5C4ABD93">
            <w:pPr>
              <w:pStyle w:val="133"/>
              <w:rPr>
                <w:snapToGrid w:val="0"/>
                <w:szCs w:val="21"/>
              </w:rPr>
            </w:pPr>
            <w:r>
              <w:rPr>
                <w:rFonts w:hint="eastAsia"/>
                <w:snapToGrid w:val="0"/>
                <w:szCs w:val="21"/>
              </w:rPr>
              <w:t>-</w:t>
            </w:r>
          </w:p>
        </w:tc>
        <w:tc>
          <w:tcPr>
            <w:tcW w:w="866" w:type="pct"/>
            <w:vAlign w:val="center"/>
          </w:tcPr>
          <w:p w14:paraId="3A579F5F">
            <w:pPr>
              <w:pStyle w:val="133"/>
              <w:rPr>
                <w:color w:val="000000"/>
                <w:szCs w:val="21"/>
              </w:rPr>
            </w:pPr>
            <w:r>
              <w:rPr>
                <w:rFonts w:hint="eastAsia"/>
                <w:szCs w:val="21"/>
              </w:rPr>
              <w:t>NOx</w:t>
            </w:r>
          </w:p>
        </w:tc>
        <w:tc>
          <w:tcPr>
            <w:tcW w:w="625" w:type="pct"/>
            <w:vAlign w:val="center"/>
          </w:tcPr>
          <w:p w14:paraId="4E89D9BA">
            <w:pPr>
              <w:pStyle w:val="133"/>
              <w:rPr>
                <w:bCs/>
                <w:snapToGrid w:val="0"/>
                <w:szCs w:val="21"/>
              </w:rPr>
            </w:pPr>
            <w:r>
              <w:rPr>
                <w:bCs/>
                <w:snapToGrid w:val="0"/>
                <w:szCs w:val="21"/>
              </w:rPr>
              <w:t>项目投产前</w:t>
            </w:r>
          </w:p>
        </w:tc>
      </w:tr>
      <w:tr w14:paraId="7823E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590DB7FD">
            <w:pPr>
              <w:pStyle w:val="133"/>
              <w:rPr>
                <w:szCs w:val="21"/>
              </w:rPr>
            </w:pPr>
          </w:p>
        </w:tc>
        <w:tc>
          <w:tcPr>
            <w:tcW w:w="359" w:type="pct"/>
            <w:vMerge w:val="continue"/>
            <w:vAlign w:val="center"/>
          </w:tcPr>
          <w:p w14:paraId="7E585B5E">
            <w:pPr>
              <w:pStyle w:val="133"/>
              <w:rPr>
                <w:rFonts w:cs="Times New Roman"/>
                <w:szCs w:val="21"/>
              </w:rPr>
            </w:pPr>
          </w:p>
        </w:tc>
        <w:tc>
          <w:tcPr>
            <w:tcW w:w="413" w:type="pct"/>
            <w:vAlign w:val="center"/>
          </w:tcPr>
          <w:p w14:paraId="1EB62C06">
            <w:pPr>
              <w:pStyle w:val="133"/>
              <w:rPr>
                <w:snapToGrid w:val="0"/>
                <w:szCs w:val="21"/>
              </w:rPr>
            </w:pPr>
            <w:r>
              <w:rPr>
                <w:rFonts w:hint="eastAsia"/>
                <w:szCs w:val="21"/>
              </w:rPr>
              <w:t>兰炭筛分废气</w:t>
            </w:r>
          </w:p>
        </w:tc>
        <w:tc>
          <w:tcPr>
            <w:tcW w:w="1414" w:type="pct"/>
            <w:vAlign w:val="center"/>
          </w:tcPr>
          <w:p w14:paraId="4DC393DB">
            <w:pPr>
              <w:pStyle w:val="133"/>
              <w:rPr>
                <w:snapToGrid w:val="0"/>
                <w:szCs w:val="21"/>
              </w:rPr>
            </w:pPr>
            <w:r>
              <w:rPr>
                <w:color w:val="000000"/>
                <w:szCs w:val="21"/>
              </w:rPr>
              <w:t>布袋除尘器</w:t>
            </w:r>
            <w:r>
              <w:rPr>
                <w:rFonts w:hint="eastAsia"/>
                <w:szCs w:val="21"/>
              </w:rPr>
              <w:t>+排气筒</w:t>
            </w:r>
          </w:p>
        </w:tc>
        <w:tc>
          <w:tcPr>
            <w:tcW w:w="1114" w:type="pct"/>
            <w:vAlign w:val="center"/>
          </w:tcPr>
          <w:p w14:paraId="630C22CE">
            <w:pPr>
              <w:pStyle w:val="133"/>
              <w:rPr>
                <w:snapToGrid w:val="0"/>
                <w:szCs w:val="21"/>
              </w:rPr>
            </w:pPr>
            <w:r>
              <w:rPr>
                <w:rFonts w:hint="eastAsia"/>
                <w:szCs w:val="21"/>
              </w:rPr>
              <w:t>《关于推进实施焦化行业超低排放的意见》附表1</w:t>
            </w:r>
          </w:p>
        </w:tc>
        <w:tc>
          <w:tcPr>
            <w:tcW w:w="866" w:type="pct"/>
            <w:vAlign w:val="center"/>
          </w:tcPr>
          <w:p w14:paraId="63A02867">
            <w:pPr>
              <w:pStyle w:val="133"/>
              <w:rPr>
                <w:color w:val="000000"/>
                <w:szCs w:val="21"/>
              </w:rPr>
            </w:pPr>
            <w:r>
              <w:rPr>
                <w:color w:val="000000"/>
                <w:szCs w:val="21"/>
              </w:rPr>
              <w:t>颗粒物</w:t>
            </w:r>
          </w:p>
        </w:tc>
        <w:tc>
          <w:tcPr>
            <w:tcW w:w="625" w:type="pct"/>
            <w:vAlign w:val="center"/>
          </w:tcPr>
          <w:p w14:paraId="123AE305">
            <w:pPr>
              <w:pStyle w:val="133"/>
              <w:rPr>
                <w:bCs/>
                <w:snapToGrid w:val="0"/>
                <w:szCs w:val="21"/>
              </w:rPr>
            </w:pPr>
            <w:r>
              <w:rPr>
                <w:bCs/>
                <w:snapToGrid w:val="0"/>
                <w:szCs w:val="21"/>
              </w:rPr>
              <w:t>项目投产前</w:t>
            </w:r>
          </w:p>
        </w:tc>
      </w:tr>
      <w:tr w14:paraId="4B117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13EE9BC9">
            <w:pPr>
              <w:pStyle w:val="133"/>
              <w:rPr>
                <w:szCs w:val="21"/>
              </w:rPr>
            </w:pPr>
          </w:p>
        </w:tc>
        <w:tc>
          <w:tcPr>
            <w:tcW w:w="359" w:type="pct"/>
            <w:vMerge w:val="continue"/>
            <w:vAlign w:val="center"/>
          </w:tcPr>
          <w:p w14:paraId="43DB2218">
            <w:pPr>
              <w:pStyle w:val="133"/>
              <w:rPr>
                <w:rFonts w:cs="Times New Roman"/>
                <w:szCs w:val="21"/>
              </w:rPr>
            </w:pPr>
          </w:p>
        </w:tc>
        <w:tc>
          <w:tcPr>
            <w:tcW w:w="413" w:type="pct"/>
            <w:vAlign w:val="center"/>
          </w:tcPr>
          <w:p w14:paraId="48B7D5C6">
            <w:pPr>
              <w:pStyle w:val="133"/>
              <w:rPr>
                <w:snapToGrid w:val="0"/>
                <w:szCs w:val="21"/>
              </w:rPr>
            </w:pPr>
            <w:r>
              <w:rPr>
                <w:rFonts w:hint="eastAsia"/>
                <w:szCs w:val="21"/>
              </w:rPr>
              <w:t>焚烧炉烟气</w:t>
            </w:r>
          </w:p>
        </w:tc>
        <w:tc>
          <w:tcPr>
            <w:tcW w:w="1414" w:type="pct"/>
            <w:vAlign w:val="center"/>
          </w:tcPr>
          <w:p w14:paraId="4F90EBB7">
            <w:pPr>
              <w:pStyle w:val="133"/>
              <w:rPr>
                <w:snapToGrid w:val="0"/>
                <w:szCs w:val="21"/>
              </w:rPr>
            </w:pPr>
            <w:r>
              <w:rPr>
                <w:rFonts w:hint="eastAsia" w:cs="Times New Roman"/>
                <w:szCs w:val="21"/>
              </w:rPr>
              <w:t>SNCR+二级碱喷淋脱硫</w:t>
            </w:r>
          </w:p>
        </w:tc>
        <w:tc>
          <w:tcPr>
            <w:tcW w:w="1114" w:type="pct"/>
            <w:vAlign w:val="center"/>
          </w:tcPr>
          <w:p w14:paraId="05AF9CB5">
            <w:pPr>
              <w:pStyle w:val="133"/>
              <w:rPr>
                <w:snapToGrid w:val="0"/>
                <w:szCs w:val="21"/>
              </w:rPr>
            </w:pPr>
            <w:r>
              <w:rPr>
                <w:rFonts w:hint="eastAsia"/>
                <w:szCs w:val="21"/>
              </w:rPr>
              <w:t>《炼焦化学工业大气污染物排放标准》（GB16171.1-2024）表1</w:t>
            </w:r>
          </w:p>
        </w:tc>
        <w:tc>
          <w:tcPr>
            <w:tcW w:w="866" w:type="pct"/>
            <w:vAlign w:val="center"/>
          </w:tcPr>
          <w:p w14:paraId="3D1B7B55">
            <w:pPr>
              <w:pStyle w:val="133"/>
              <w:rPr>
                <w:color w:val="000000"/>
                <w:szCs w:val="21"/>
              </w:rPr>
            </w:pPr>
            <w:r>
              <w:rPr>
                <w:color w:val="000000"/>
                <w:szCs w:val="21"/>
              </w:rPr>
              <w:t>颗粒物</w:t>
            </w:r>
            <w:r>
              <w:rPr>
                <w:rFonts w:hint="eastAsia"/>
                <w:color w:val="000000"/>
                <w:szCs w:val="21"/>
              </w:rPr>
              <w:t>、SO</w:t>
            </w:r>
            <w:r>
              <w:rPr>
                <w:rFonts w:hint="eastAsia"/>
                <w:color w:val="000000"/>
                <w:szCs w:val="21"/>
                <w:vertAlign w:val="subscript"/>
              </w:rPr>
              <w:t>2</w:t>
            </w:r>
            <w:r>
              <w:rPr>
                <w:rFonts w:hint="eastAsia"/>
                <w:szCs w:val="21"/>
              </w:rPr>
              <w:t>、NOx</w:t>
            </w:r>
          </w:p>
        </w:tc>
        <w:tc>
          <w:tcPr>
            <w:tcW w:w="625" w:type="pct"/>
            <w:vAlign w:val="center"/>
          </w:tcPr>
          <w:p w14:paraId="625752D4">
            <w:pPr>
              <w:pStyle w:val="133"/>
              <w:rPr>
                <w:bCs/>
                <w:snapToGrid w:val="0"/>
                <w:szCs w:val="21"/>
              </w:rPr>
            </w:pPr>
            <w:r>
              <w:rPr>
                <w:bCs/>
                <w:snapToGrid w:val="0"/>
                <w:szCs w:val="21"/>
              </w:rPr>
              <w:t>项目投产前</w:t>
            </w:r>
          </w:p>
        </w:tc>
      </w:tr>
      <w:tr w14:paraId="10AFA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793D8535">
            <w:pPr>
              <w:pStyle w:val="133"/>
              <w:rPr>
                <w:szCs w:val="21"/>
              </w:rPr>
            </w:pPr>
          </w:p>
        </w:tc>
        <w:tc>
          <w:tcPr>
            <w:tcW w:w="359" w:type="pct"/>
            <w:vMerge w:val="continue"/>
            <w:vAlign w:val="center"/>
          </w:tcPr>
          <w:p w14:paraId="482C2BAE">
            <w:pPr>
              <w:pStyle w:val="133"/>
              <w:rPr>
                <w:rFonts w:cs="Times New Roman"/>
                <w:szCs w:val="21"/>
              </w:rPr>
            </w:pPr>
          </w:p>
        </w:tc>
        <w:tc>
          <w:tcPr>
            <w:tcW w:w="413" w:type="pct"/>
            <w:vMerge w:val="restart"/>
            <w:vAlign w:val="center"/>
          </w:tcPr>
          <w:p w14:paraId="61947B90">
            <w:pPr>
              <w:pStyle w:val="133"/>
              <w:rPr>
                <w:snapToGrid w:val="0"/>
                <w:szCs w:val="21"/>
              </w:rPr>
            </w:pPr>
            <w:r>
              <w:rPr>
                <w:rFonts w:hint="eastAsia"/>
                <w:szCs w:val="21"/>
              </w:rPr>
              <w:t>1#VOCs处理装置有机废气</w:t>
            </w:r>
          </w:p>
        </w:tc>
        <w:tc>
          <w:tcPr>
            <w:tcW w:w="1414" w:type="pct"/>
            <w:vMerge w:val="restart"/>
            <w:vAlign w:val="center"/>
          </w:tcPr>
          <w:p w14:paraId="18553CD9">
            <w:pPr>
              <w:pStyle w:val="133"/>
              <w:rPr>
                <w:snapToGrid w:val="0"/>
                <w:szCs w:val="21"/>
              </w:rPr>
            </w:pPr>
            <w:r>
              <w:rPr>
                <w:rFonts w:hint="eastAsia"/>
                <w:szCs w:val="21"/>
              </w:rPr>
              <w:t>酸洗+碱洗+活性炭吸附-脱附+催化燃烧工艺</w:t>
            </w:r>
          </w:p>
        </w:tc>
        <w:tc>
          <w:tcPr>
            <w:tcW w:w="1114" w:type="pct"/>
            <w:vAlign w:val="center"/>
          </w:tcPr>
          <w:p w14:paraId="190C1C23">
            <w:pPr>
              <w:pStyle w:val="133"/>
              <w:rPr>
                <w:snapToGrid w:val="0"/>
                <w:szCs w:val="21"/>
              </w:rPr>
            </w:pPr>
            <w:r>
              <w:rPr>
                <w:rFonts w:hint="eastAsia"/>
                <w:snapToGrid w:val="0"/>
                <w:szCs w:val="21"/>
              </w:rPr>
              <w:t>-</w:t>
            </w:r>
          </w:p>
        </w:tc>
        <w:tc>
          <w:tcPr>
            <w:tcW w:w="866" w:type="pct"/>
            <w:vAlign w:val="center"/>
          </w:tcPr>
          <w:p w14:paraId="00A03340">
            <w:pPr>
              <w:pStyle w:val="133"/>
              <w:rPr>
                <w:color w:val="000000"/>
                <w:szCs w:val="21"/>
              </w:rPr>
            </w:pPr>
            <w:r>
              <w:rPr>
                <w:rFonts w:hint="eastAsia"/>
                <w:szCs w:val="21"/>
              </w:rPr>
              <w:t>颗粒物、</w:t>
            </w:r>
            <w:r>
              <w:rPr>
                <w:szCs w:val="21"/>
              </w:rPr>
              <w:t>BaP</w:t>
            </w:r>
            <w:r>
              <w:rPr>
                <w:rFonts w:hint="eastAsia"/>
                <w:szCs w:val="21"/>
              </w:rPr>
              <w:t>、氰化氢、酚类、氨、硫化氢</w:t>
            </w:r>
          </w:p>
        </w:tc>
        <w:tc>
          <w:tcPr>
            <w:tcW w:w="625" w:type="pct"/>
            <w:vAlign w:val="center"/>
          </w:tcPr>
          <w:p w14:paraId="1CDACB22">
            <w:pPr>
              <w:pStyle w:val="133"/>
              <w:rPr>
                <w:bCs/>
                <w:snapToGrid w:val="0"/>
                <w:szCs w:val="21"/>
              </w:rPr>
            </w:pPr>
            <w:r>
              <w:rPr>
                <w:bCs/>
                <w:snapToGrid w:val="0"/>
                <w:szCs w:val="21"/>
              </w:rPr>
              <w:t>项目投产前</w:t>
            </w:r>
          </w:p>
        </w:tc>
      </w:tr>
      <w:tr w14:paraId="341FF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3E0B2F09">
            <w:pPr>
              <w:pStyle w:val="133"/>
              <w:rPr>
                <w:szCs w:val="21"/>
              </w:rPr>
            </w:pPr>
          </w:p>
        </w:tc>
        <w:tc>
          <w:tcPr>
            <w:tcW w:w="359" w:type="pct"/>
            <w:vMerge w:val="continue"/>
            <w:vAlign w:val="center"/>
          </w:tcPr>
          <w:p w14:paraId="4E184E8A">
            <w:pPr>
              <w:pStyle w:val="133"/>
              <w:rPr>
                <w:snapToGrid w:val="0"/>
                <w:szCs w:val="21"/>
              </w:rPr>
            </w:pPr>
          </w:p>
        </w:tc>
        <w:tc>
          <w:tcPr>
            <w:tcW w:w="413" w:type="pct"/>
            <w:vMerge w:val="continue"/>
            <w:vAlign w:val="center"/>
          </w:tcPr>
          <w:p w14:paraId="1589D343">
            <w:pPr>
              <w:pStyle w:val="133"/>
              <w:rPr>
                <w:snapToGrid w:val="0"/>
                <w:szCs w:val="21"/>
              </w:rPr>
            </w:pPr>
          </w:p>
        </w:tc>
        <w:tc>
          <w:tcPr>
            <w:tcW w:w="1414" w:type="pct"/>
            <w:vMerge w:val="continue"/>
            <w:vAlign w:val="center"/>
          </w:tcPr>
          <w:p w14:paraId="637A5D9F">
            <w:pPr>
              <w:pStyle w:val="133"/>
              <w:rPr>
                <w:snapToGrid w:val="0"/>
                <w:szCs w:val="21"/>
              </w:rPr>
            </w:pPr>
          </w:p>
        </w:tc>
        <w:tc>
          <w:tcPr>
            <w:tcW w:w="1114" w:type="pct"/>
            <w:vAlign w:val="center"/>
          </w:tcPr>
          <w:p w14:paraId="68668403">
            <w:pPr>
              <w:pStyle w:val="133"/>
              <w:rPr>
                <w:snapToGrid w:val="0"/>
                <w:szCs w:val="21"/>
              </w:rPr>
            </w:pPr>
            <w:r>
              <w:rPr>
                <w:rFonts w:hint="eastAsia"/>
                <w:szCs w:val="21"/>
              </w:rPr>
              <w:t>《关于推进实施焦化行业超低排放的意见》附表1</w:t>
            </w:r>
          </w:p>
        </w:tc>
        <w:tc>
          <w:tcPr>
            <w:tcW w:w="866" w:type="pct"/>
            <w:vAlign w:val="center"/>
          </w:tcPr>
          <w:p w14:paraId="3FE34C78">
            <w:pPr>
              <w:pStyle w:val="133"/>
              <w:rPr>
                <w:snapToGrid w:val="0"/>
                <w:szCs w:val="21"/>
              </w:rPr>
            </w:pPr>
            <w:r>
              <w:rPr>
                <w:rFonts w:hint="eastAsia"/>
                <w:szCs w:val="21"/>
              </w:rPr>
              <w:t>非甲烷总烃、</w:t>
            </w:r>
            <w:r>
              <w:rPr>
                <w:rFonts w:hint="eastAsia"/>
                <w:color w:val="000000"/>
                <w:szCs w:val="21"/>
              </w:rPr>
              <w:t>SO</w:t>
            </w:r>
            <w:r>
              <w:rPr>
                <w:rFonts w:hint="eastAsia"/>
                <w:color w:val="000000"/>
                <w:szCs w:val="21"/>
                <w:vertAlign w:val="subscript"/>
              </w:rPr>
              <w:t>2</w:t>
            </w:r>
          </w:p>
        </w:tc>
        <w:tc>
          <w:tcPr>
            <w:tcW w:w="625" w:type="pct"/>
            <w:vAlign w:val="center"/>
          </w:tcPr>
          <w:p w14:paraId="0DF96838">
            <w:pPr>
              <w:pStyle w:val="133"/>
              <w:rPr>
                <w:snapToGrid w:val="0"/>
                <w:szCs w:val="21"/>
              </w:rPr>
            </w:pPr>
            <w:r>
              <w:rPr>
                <w:bCs/>
                <w:snapToGrid w:val="0"/>
                <w:szCs w:val="21"/>
              </w:rPr>
              <w:t>项目投产前</w:t>
            </w:r>
          </w:p>
        </w:tc>
      </w:tr>
      <w:tr w14:paraId="683E1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4869AF79">
            <w:pPr>
              <w:pStyle w:val="133"/>
              <w:rPr>
                <w:szCs w:val="21"/>
              </w:rPr>
            </w:pPr>
          </w:p>
        </w:tc>
        <w:tc>
          <w:tcPr>
            <w:tcW w:w="359" w:type="pct"/>
            <w:vMerge w:val="continue"/>
            <w:tcBorders>
              <w:bottom w:val="single" w:color="auto" w:sz="4" w:space="0"/>
            </w:tcBorders>
            <w:vAlign w:val="center"/>
          </w:tcPr>
          <w:p w14:paraId="197DA1D5">
            <w:pPr>
              <w:pStyle w:val="133"/>
              <w:rPr>
                <w:snapToGrid w:val="0"/>
                <w:szCs w:val="21"/>
              </w:rPr>
            </w:pPr>
          </w:p>
        </w:tc>
        <w:tc>
          <w:tcPr>
            <w:tcW w:w="413" w:type="pct"/>
            <w:tcBorders>
              <w:bottom w:val="single" w:color="auto" w:sz="4" w:space="0"/>
            </w:tcBorders>
            <w:vAlign w:val="center"/>
          </w:tcPr>
          <w:p w14:paraId="03B618F0">
            <w:pPr>
              <w:pStyle w:val="133"/>
              <w:rPr>
                <w:snapToGrid w:val="0"/>
                <w:szCs w:val="21"/>
              </w:rPr>
            </w:pPr>
            <w:r>
              <w:rPr>
                <w:rFonts w:hint="eastAsia"/>
                <w:szCs w:val="21"/>
              </w:rPr>
              <w:t>2#VOCs处理装置有机废气</w:t>
            </w:r>
          </w:p>
        </w:tc>
        <w:tc>
          <w:tcPr>
            <w:tcW w:w="1414" w:type="pct"/>
            <w:vAlign w:val="center"/>
          </w:tcPr>
          <w:p w14:paraId="7BE75745">
            <w:pPr>
              <w:pStyle w:val="133"/>
              <w:rPr>
                <w:snapToGrid w:val="0"/>
                <w:szCs w:val="21"/>
              </w:rPr>
            </w:pPr>
            <w:r>
              <w:rPr>
                <w:rFonts w:hint="eastAsia"/>
                <w:szCs w:val="21"/>
              </w:rPr>
              <w:t>酸洗+碱洗+活性炭吸附-脱附+催化燃烧工艺</w:t>
            </w:r>
          </w:p>
        </w:tc>
        <w:tc>
          <w:tcPr>
            <w:tcW w:w="1114" w:type="pct"/>
            <w:vAlign w:val="center"/>
          </w:tcPr>
          <w:p w14:paraId="750BF916">
            <w:pPr>
              <w:pStyle w:val="133"/>
              <w:rPr>
                <w:snapToGrid w:val="0"/>
                <w:szCs w:val="21"/>
              </w:rPr>
            </w:pPr>
            <w:r>
              <w:rPr>
                <w:rFonts w:hint="eastAsia"/>
                <w:szCs w:val="21"/>
              </w:rPr>
              <w:t>《关于推进实施焦化行业超低排放的意见》附表1</w:t>
            </w:r>
          </w:p>
        </w:tc>
        <w:tc>
          <w:tcPr>
            <w:tcW w:w="866" w:type="pct"/>
            <w:vAlign w:val="center"/>
          </w:tcPr>
          <w:p w14:paraId="675FA71E">
            <w:pPr>
              <w:pStyle w:val="133"/>
              <w:rPr>
                <w:snapToGrid w:val="0"/>
                <w:szCs w:val="21"/>
              </w:rPr>
            </w:pPr>
            <w:r>
              <w:rPr>
                <w:rFonts w:hint="eastAsia"/>
                <w:szCs w:val="21"/>
              </w:rPr>
              <w:t>非甲烷总烃</w:t>
            </w:r>
          </w:p>
        </w:tc>
        <w:tc>
          <w:tcPr>
            <w:tcW w:w="625" w:type="pct"/>
            <w:vAlign w:val="center"/>
          </w:tcPr>
          <w:p w14:paraId="5B9B19EA">
            <w:pPr>
              <w:pStyle w:val="133"/>
              <w:rPr>
                <w:snapToGrid w:val="0"/>
                <w:szCs w:val="21"/>
              </w:rPr>
            </w:pPr>
            <w:r>
              <w:rPr>
                <w:bCs/>
                <w:snapToGrid w:val="0"/>
                <w:szCs w:val="21"/>
              </w:rPr>
              <w:t>项目投产前</w:t>
            </w:r>
          </w:p>
        </w:tc>
      </w:tr>
      <w:tr w14:paraId="57EA2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30BA74E8">
            <w:pPr>
              <w:pStyle w:val="133"/>
              <w:rPr>
                <w:szCs w:val="21"/>
              </w:rPr>
            </w:pPr>
          </w:p>
        </w:tc>
        <w:tc>
          <w:tcPr>
            <w:tcW w:w="359" w:type="pct"/>
            <w:vMerge w:val="restart"/>
            <w:tcBorders>
              <w:top w:val="single" w:color="auto" w:sz="4" w:space="0"/>
            </w:tcBorders>
            <w:vAlign w:val="center"/>
          </w:tcPr>
          <w:p w14:paraId="7C23B24F">
            <w:pPr>
              <w:pStyle w:val="133"/>
              <w:rPr>
                <w:szCs w:val="21"/>
              </w:rPr>
            </w:pPr>
            <w:r>
              <w:rPr>
                <w:rFonts w:hint="eastAsia"/>
                <w:szCs w:val="21"/>
              </w:rPr>
              <w:t>硅铁合金</w:t>
            </w:r>
          </w:p>
          <w:p w14:paraId="007C6C3A">
            <w:pPr>
              <w:pStyle w:val="133"/>
              <w:rPr>
                <w:snapToGrid w:val="0"/>
                <w:szCs w:val="21"/>
              </w:rPr>
            </w:pPr>
            <w:r>
              <w:rPr>
                <w:rFonts w:hint="eastAsia"/>
                <w:szCs w:val="21"/>
              </w:rPr>
              <w:t>生产线</w:t>
            </w:r>
          </w:p>
        </w:tc>
        <w:tc>
          <w:tcPr>
            <w:tcW w:w="413" w:type="pct"/>
            <w:tcBorders>
              <w:top w:val="single" w:color="auto" w:sz="4" w:space="0"/>
            </w:tcBorders>
            <w:vAlign w:val="center"/>
          </w:tcPr>
          <w:p w14:paraId="4050935C">
            <w:pPr>
              <w:pStyle w:val="133"/>
              <w:rPr>
                <w:snapToGrid w:val="0"/>
                <w:szCs w:val="21"/>
              </w:rPr>
            </w:pPr>
            <w:r>
              <w:rPr>
                <w:rFonts w:hint="eastAsia" w:cs="Times New Roman"/>
                <w:szCs w:val="21"/>
              </w:rPr>
              <w:t>上料</w:t>
            </w:r>
            <w:r>
              <w:rPr>
                <w:rFonts w:cs="Times New Roman"/>
                <w:szCs w:val="21"/>
              </w:rPr>
              <w:t>废气</w:t>
            </w:r>
          </w:p>
        </w:tc>
        <w:tc>
          <w:tcPr>
            <w:tcW w:w="1414" w:type="pct"/>
            <w:vAlign w:val="center"/>
          </w:tcPr>
          <w:p w14:paraId="6E32034B">
            <w:pPr>
              <w:pStyle w:val="133"/>
              <w:rPr>
                <w:snapToGrid w:val="0"/>
                <w:szCs w:val="21"/>
              </w:rPr>
            </w:pPr>
            <w:r>
              <w:rPr>
                <w:color w:val="000000"/>
                <w:szCs w:val="21"/>
              </w:rPr>
              <w:t>布袋除尘器</w:t>
            </w:r>
            <w:r>
              <w:rPr>
                <w:rFonts w:hint="eastAsia"/>
                <w:szCs w:val="21"/>
              </w:rPr>
              <w:t>+排气筒</w:t>
            </w:r>
          </w:p>
        </w:tc>
        <w:tc>
          <w:tcPr>
            <w:tcW w:w="1114" w:type="pct"/>
            <w:vAlign w:val="center"/>
          </w:tcPr>
          <w:p w14:paraId="0FB53582">
            <w:pPr>
              <w:pStyle w:val="133"/>
              <w:rPr>
                <w:snapToGrid w:val="0"/>
                <w:szCs w:val="21"/>
              </w:rPr>
            </w:pPr>
            <w:r>
              <w:rPr>
                <w:rFonts w:cs="Times New Roman"/>
                <w:color w:val="000000"/>
                <w:szCs w:val="21"/>
              </w:rPr>
              <w:t>《铁合金工业污染物排放标准》（GB28666-2012）</w:t>
            </w:r>
          </w:p>
        </w:tc>
        <w:tc>
          <w:tcPr>
            <w:tcW w:w="866" w:type="pct"/>
            <w:vAlign w:val="center"/>
          </w:tcPr>
          <w:p w14:paraId="35D26703">
            <w:pPr>
              <w:pStyle w:val="133"/>
              <w:rPr>
                <w:snapToGrid w:val="0"/>
                <w:szCs w:val="21"/>
              </w:rPr>
            </w:pPr>
            <w:r>
              <w:rPr>
                <w:color w:val="000000"/>
                <w:szCs w:val="21"/>
              </w:rPr>
              <w:t>颗粒物</w:t>
            </w:r>
          </w:p>
        </w:tc>
        <w:tc>
          <w:tcPr>
            <w:tcW w:w="625" w:type="pct"/>
            <w:vAlign w:val="center"/>
          </w:tcPr>
          <w:p w14:paraId="63C6AD10">
            <w:pPr>
              <w:pStyle w:val="133"/>
              <w:rPr>
                <w:snapToGrid w:val="0"/>
                <w:szCs w:val="21"/>
              </w:rPr>
            </w:pPr>
            <w:r>
              <w:rPr>
                <w:bCs/>
                <w:snapToGrid w:val="0"/>
                <w:szCs w:val="21"/>
              </w:rPr>
              <w:t>项目投产前</w:t>
            </w:r>
          </w:p>
        </w:tc>
      </w:tr>
      <w:tr w14:paraId="78D85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4D55B298">
            <w:pPr>
              <w:pStyle w:val="133"/>
              <w:rPr>
                <w:szCs w:val="21"/>
              </w:rPr>
            </w:pPr>
          </w:p>
        </w:tc>
        <w:tc>
          <w:tcPr>
            <w:tcW w:w="359" w:type="pct"/>
            <w:vMerge w:val="continue"/>
            <w:vAlign w:val="center"/>
          </w:tcPr>
          <w:p w14:paraId="6BB155D8">
            <w:pPr>
              <w:pStyle w:val="133"/>
              <w:rPr>
                <w:snapToGrid w:val="0"/>
                <w:szCs w:val="21"/>
              </w:rPr>
            </w:pPr>
          </w:p>
        </w:tc>
        <w:tc>
          <w:tcPr>
            <w:tcW w:w="413" w:type="pct"/>
            <w:vMerge w:val="restart"/>
            <w:vAlign w:val="center"/>
          </w:tcPr>
          <w:p w14:paraId="0D373D80">
            <w:pPr>
              <w:pStyle w:val="133"/>
              <w:rPr>
                <w:snapToGrid w:val="0"/>
                <w:szCs w:val="21"/>
              </w:rPr>
            </w:pPr>
            <w:r>
              <w:rPr>
                <w:rFonts w:cs="Times New Roman"/>
                <w:szCs w:val="21"/>
              </w:rPr>
              <w:t>矿热炉</w:t>
            </w:r>
            <w:r>
              <w:rPr>
                <w:rFonts w:hint="eastAsia" w:cs="Times New Roman"/>
                <w:szCs w:val="21"/>
              </w:rPr>
              <w:t>烟气</w:t>
            </w:r>
          </w:p>
        </w:tc>
        <w:tc>
          <w:tcPr>
            <w:tcW w:w="1414" w:type="pct"/>
            <w:tcBorders>
              <w:bottom w:val="single" w:color="auto" w:sz="4" w:space="0"/>
            </w:tcBorders>
            <w:vAlign w:val="center"/>
          </w:tcPr>
          <w:p w14:paraId="1B3F1F0F">
            <w:pPr>
              <w:pStyle w:val="133"/>
              <w:rPr>
                <w:snapToGrid w:val="0"/>
                <w:szCs w:val="21"/>
              </w:rPr>
            </w:pPr>
            <w:r>
              <w:rPr>
                <w:rFonts w:cs="Times New Roman"/>
                <w:szCs w:val="21"/>
              </w:rPr>
              <w:t>布袋除尘</w:t>
            </w:r>
            <w:r>
              <w:rPr>
                <w:rFonts w:hint="eastAsia"/>
                <w:szCs w:val="21"/>
              </w:rPr>
              <w:t>+排气筒</w:t>
            </w:r>
          </w:p>
        </w:tc>
        <w:tc>
          <w:tcPr>
            <w:tcW w:w="1114" w:type="pct"/>
            <w:tcBorders>
              <w:bottom w:val="single" w:color="auto" w:sz="4" w:space="0"/>
            </w:tcBorders>
            <w:vAlign w:val="center"/>
          </w:tcPr>
          <w:p w14:paraId="5F9747D5">
            <w:pPr>
              <w:pStyle w:val="133"/>
              <w:rPr>
                <w:b/>
                <w:bCs/>
                <w:snapToGrid w:val="0"/>
                <w:szCs w:val="21"/>
              </w:rPr>
            </w:pPr>
            <w:r>
              <w:rPr>
                <w:rFonts w:cs="Times New Roman"/>
                <w:color w:val="000000"/>
                <w:szCs w:val="21"/>
              </w:rPr>
              <w:t>《铁合金工业污染物排放标准》（GB28666-2012）</w:t>
            </w:r>
          </w:p>
        </w:tc>
        <w:tc>
          <w:tcPr>
            <w:tcW w:w="866" w:type="pct"/>
            <w:vAlign w:val="center"/>
          </w:tcPr>
          <w:p w14:paraId="49AB97DC">
            <w:pPr>
              <w:pStyle w:val="133"/>
              <w:rPr>
                <w:b/>
                <w:bCs/>
                <w:snapToGrid w:val="0"/>
                <w:szCs w:val="21"/>
              </w:rPr>
            </w:pPr>
            <w:r>
              <w:rPr>
                <w:color w:val="000000"/>
                <w:szCs w:val="21"/>
              </w:rPr>
              <w:t>颗粒物</w:t>
            </w:r>
          </w:p>
        </w:tc>
        <w:tc>
          <w:tcPr>
            <w:tcW w:w="625" w:type="pct"/>
            <w:vAlign w:val="center"/>
          </w:tcPr>
          <w:p w14:paraId="56EDB8D3">
            <w:pPr>
              <w:pStyle w:val="133"/>
              <w:rPr>
                <w:b/>
                <w:bCs/>
                <w:snapToGrid w:val="0"/>
                <w:szCs w:val="21"/>
              </w:rPr>
            </w:pPr>
            <w:r>
              <w:rPr>
                <w:bCs/>
                <w:snapToGrid w:val="0"/>
                <w:szCs w:val="21"/>
              </w:rPr>
              <w:t>项目投产前</w:t>
            </w:r>
          </w:p>
        </w:tc>
      </w:tr>
      <w:tr w14:paraId="2BC59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1DC2C161">
            <w:pPr>
              <w:pStyle w:val="133"/>
              <w:rPr>
                <w:szCs w:val="21"/>
              </w:rPr>
            </w:pPr>
          </w:p>
        </w:tc>
        <w:tc>
          <w:tcPr>
            <w:tcW w:w="359" w:type="pct"/>
            <w:vMerge w:val="continue"/>
            <w:vAlign w:val="center"/>
          </w:tcPr>
          <w:p w14:paraId="53816434">
            <w:pPr>
              <w:pStyle w:val="133"/>
              <w:rPr>
                <w:snapToGrid w:val="0"/>
                <w:szCs w:val="21"/>
              </w:rPr>
            </w:pPr>
          </w:p>
        </w:tc>
        <w:tc>
          <w:tcPr>
            <w:tcW w:w="413" w:type="pct"/>
            <w:vMerge w:val="continue"/>
            <w:vAlign w:val="center"/>
          </w:tcPr>
          <w:p w14:paraId="25EE010C">
            <w:pPr>
              <w:pStyle w:val="133"/>
              <w:rPr>
                <w:snapToGrid w:val="0"/>
                <w:szCs w:val="21"/>
              </w:rPr>
            </w:pPr>
          </w:p>
        </w:tc>
        <w:tc>
          <w:tcPr>
            <w:tcW w:w="1414" w:type="pct"/>
            <w:tcBorders>
              <w:top w:val="single" w:color="auto" w:sz="4" w:space="0"/>
            </w:tcBorders>
            <w:vAlign w:val="center"/>
          </w:tcPr>
          <w:p w14:paraId="36AB0140">
            <w:pPr>
              <w:pStyle w:val="133"/>
              <w:rPr>
                <w:snapToGrid w:val="0"/>
                <w:szCs w:val="21"/>
              </w:rPr>
            </w:pPr>
            <w:r>
              <w:rPr>
                <w:rFonts w:hint="eastAsia"/>
                <w:snapToGrid w:val="0"/>
                <w:szCs w:val="21"/>
              </w:rPr>
              <w:t>-</w:t>
            </w:r>
          </w:p>
        </w:tc>
        <w:tc>
          <w:tcPr>
            <w:tcW w:w="1114" w:type="pct"/>
            <w:tcBorders>
              <w:top w:val="single" w:color="auto" w:sz="4" w:space="0"/>
            </w:tcBorders>
            <w:vAlign w:val="center"/>
          </w:tcPr>
          <w:p w14:paraId="595BD08F">
            <w:pPr>
              <w:pStyle w:val="133"/>
              <w:rPr>
                <w:snapToGrid w:val="0"/>
                <w:szCs w:val="21"/>
              </w:rPr>
            </w:pPr>
            <w:r>
              <w:rPr>
                <w:rFonts w:hint="eastAsia"/>
                <w:snapToGrid w:val="0"/>
                <w:szCs w:val="21"/>
              </w:rPr>
              <w:t>-</w:t>
            </w:r>
          </w:p>
        </w:tc>
        <w:tc>
          <w:tcPr>
            <w:tcW w:w="866" w:type="pct"/>
            <w:vAlign w:val="center"/>
          </w:tcPr>
          <w:p w14:paraId="325CF5C3">
            <w:pPr>
              <w:pStyle w:val="133"/>
              <w:rPr>
                <w:snapToGrid w:val="0"/>
                <w:szCs w:val="21"/>
              </w:rPr>
            </w:pPr>
            <w:r>
              <w:rPr>
                <w:rFonts w:hint="eastAsia"/>
                <w:color w:val="000000"/>
                <w:szCs w:val="21"/>
              </w:rPr>
              <w:t>SO</w:t>
            </w:r>
            <w:r>
              <w:rPr>
                <w:rFonts w:hint="eastAsia"/>
                <w:color w:val="000000"/>
                <w:szCs w:val="21"/>
                <w:vertAlign w:val="subscript"/>
              </w:rPr>
              <w:t>2</w:t>
            </w:r>
            <w:r>
              <w:rPr>
                <w:rFonts w:hint="eastAsia"/>
                <w:szCs w:val="21"/>
              </w:rPr>
              <w:t>、NOx</w:t>
            </w:r>
          </w:p>
        </w:tc>
        <w:tc>
          <w:tcPr>
            <w:tcW w:w="625" w:type="pct"/>
            <w:vAlign w:val="center"/>
          </w:tcPr>
          <w:p w14:paraId="334CFE53">
            <w:pPr>
              <w:pStyle w:val="133"/>
              <w:rPr>
                <w:snapToGrid w:val="0"/>
                <w:szCs w:val="21"/>
              </w:rPr>
            </w:pPr>
            <w:r>
              <w:rPr>
                <w:bCs/>
                <w:snapToGrid w:val="0"/>
                <w:szCs w:val="21"/>
              </w:rPr>
              <w:t>项目投产前</w:t>
            </w:r>
          </w:p>
        </w:tc>
      </w:tr>
      <w:tr w14:paraId="6BB79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554E93A7">
            <w:pPr>
              <w:pStyle w:val="133"/>
              <w:rPr>
                <w:szCs w:val="21"/>
              </w:rPr>
            </w:pPr>
          </w:p>
        </w:tc>
        <w:tc>
          <w:tcPr>
            <w:tcW w:w="359" w:type="pct"/>
            <w:vMerge w:val="continue"/>
            <w:vAlign w:val="center"/>
          </w:tcPr>
          <w:p w14:paraId="42834436">
            <w:pPr>
              <w:pStyle w:val="133"/>
              <w:rPr>
                <w:snapToGrid w:val="0"/>
                <w:szCs w:val="21"/>
              </w:rPr>
            </w:pPr>
          </w:p>
        </w:tc>
        <w:tc>
          <w:tcPr>
            <w:tcW w:w="413" w:type="pct"/>
            <w:vAlign w:val="center"/>
          </w:tcPr>
          <w:p w14:paraId="40DC9D97">
            <w:pPr>
              <w:pStyle w:val="133"/>
              <w:rPr>
                <w:snapToGrid w:val="0"/>
                <w:szCs w:val="21"/>
              </w:rPr>
            </w:pPr>
            <w:r>
              <w:rPr>
                <w:rFonts w:cs="Times New Roman"/>
                <w:szCs w:val="21"/>
              </w:rPr>
              <w:t>出铁浇铸废气</w:t>
            </w:r>
          </w:p>
        </w:tc>
        <w:tc>
          <w:tcPr>
            <w:tcW w:w="1414" w:type="pct"/>
            <w:vAlign w:val="center"/>
          </w:tcPr>
          <w:p w14:paraId="6A9678C1">
            <w:pPr>
              <w:pStyle w:val="133"/>
              <w:rPr>
                <w:snapToGrid w:val="0"/>
                <w:szCs w:val="21"/>
              </w:rPr>
            </w:pPr>
            <w:r>
              <w:rPr>
                <w:rFonts w:cs="Times New Roman"/>
                <w:szCs w:val="21"/>
              </w:rPr>
              <w:t>布袋除尘</w:t>
            </w:r>
            <w:r>
              <w:rPr>
                <w:rFonts w:hint="eastAsia"/>
                <w:szCs w:val="21"/>
              </w:rPr>
              <w:t>+排气筒</w:t>
            </w:r>
          </w:p>
        </w:tc>
        <w:tc>
          <w:tcPr>
            <w:tcW w:w="1114" w:type="pct"/>
            <w:vAlign w:val="center"/>
          </w:tcPr>
          <w:p w14:paraId="29A36838">
            <w:pPr>
              <w:pStyle w:val="133"/>
              <w:rPr>
                <w:snapToGrid w:val="0"/>
                <w:szCs w:val="21"/>
              </w:rPr>
            </w:pPr>
            <w:r>
              <w:rPr>
                <w:rFonts w:cs="Times New Roman"/>
                <w:color w:val="000000"/>
                <w:szCs w:val="21"/>
              </w:rPr>
              <w:t>《铁合金工业污染物排放标准》（GB28666-2012）</w:t>
            </w:r>
          </w:p>
        </w:tc>
        <w:tc>
          <w:tcPr>
            <w:tcW w:w="866" w:type="pct"/>
            <w:vAlign w:val="center"/>
          </w:tcPr>
          <w:p w14:paraId="7CE1F997">
            <w:pPr>
              <w:pStyle w:val="133"/>
              <w:rPr>
                <w:snapToGrid w:val="0"/>
                <w:szCs w:val="21"/>
              </w:rPr>
            </w:pPr>
            <w:r>
              <w:rPr>
                <w:color w:val="000000"/>
                <w:szCs w:val="21"/>
              </w:rPr>
              <w:t>颗粒物</w:t>
            </w:r>
          </w:p>
        </w:tc>
        <w:tc>
          <w:tcPr>
            <w:tcW w:w="625" w:type="pct"/>
            <w:vAlign w:val="center"/>
          </w:tcPr>
          <w:p w14:paraId="0431207A">
            <w:pPr>
              <w:pStyle w:val="133"/>
              <w:rPr>
                <w:snapToGrid w:val="0"/>
                <w:szCs w:val="21"/>
              </w:rPr>
            </w:pPr>
            <w:r>
              <w:rPr>
                <w:bCs/>
                <w:snapToGrid w:val="0"/>
                <w:szCs w:val="21"/>
              </w:rPr>
              <w:t>项目投产前</w:t>
            </w:r>
          </w:p>
        </w:tc>
      </w:tr>
      <w:tr w14:paraId="1BB59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7E1A3031">
            <w:pPr>
              <w:pStyle w:val="133"/>
              <w:rPr>
                <w:szCs w:val="21"/>
              </w:rPr>
            </w:pPr>
          </w:p>
        </w:tc>
        <w:tc>
          <w:tcPr>
            <w:tcW w:w="359" w:type="pct"/>
            <w:vMerge w:val="continue"/>
            <w:tcBorders>
              <w:bottom w:val="single" w:color="auto" w:sz="4" w:space="0"/>
            </w:tcBorders>
            <w:vAlign w:val="center"/>
          </w:tcPr>
          <w:p w14:paraId="4DB7C202">
            <w:pPr>
              <w:pStyle w:val="133"/>
              <w:rPr>
                <w:snapToGrid w:val="0"/>
                <w:szCs w:val="21"/>
              </w:rPr>
            </w:pPr>
          </w:p>
        </w:tc>
        <w:tc>
          <w:tcPr>
            <w:tcW w:w="413" w:type="pct"/>
            <w:tcBorders>
              <w:bottom w:val="single" w:color="auto" w:sz="4" w:space="0"/>
            </w:tcBorders>
            <w:vAlign w:val="center"/>
          </w:tcPr>
          <w:p w14:paraId="1D9AAA75">
            <w:pPr>
              <w:pStyle w:val="133"/>
              <w:rPr>
                <w:snapToGrid w:val="0"/>
                <w:szCs w:val="21"/>
              </w:rPr>
            </w:pPr>
            <w:r>
              <w:rPr>
                <w:rFonts w:cs="Times New Roman"/>
                <w:szCs w:val="21"/>
              </w:rPr>
              <w:t>破碎废气</w:t>
            </w:r>
          </w:p>
        </w:tc>
        <w:tc>
          <w:tcPr>
            <w:tcW w:w="1414" w:type="pct"/>
            <w:vAlign w:val="center"/>
          </w:tcPr>
          <w:p w14:paraId="518A1B47">
            <w:pPr>
              <w:pStyle w:val="133"/>
              <w:rPr>
                <w:snapToGrid w:val="0"/>
                <w:szCs w:val="21"/>
              </w:rPr>
            </w:pPr>
            <w:r>
              <w:rPr>
                <w:rFonts w:cs="Times New Roman"/>
                <w:szCs w:val="21"/>
              </w:rPr>
              <w:t>布袋除尘</w:t>
            </w:r>
            <w:r>
              <w:rPr>
                <w:rFonts w:hint="eastAsia"/>
                <w:szCs w:val="21"/>
              </w:rPr>
              <w:t>+排气筒</w:t>
            </w:r>
          </w:p>
        </w:tc>
        <w:tc>
          <w:tcPr>
            <w:tcW w:w="1114" w:type="pct"/>
            <w:vAlign w:val="center"/>
          </w:tcPr>
          <w:p w14:paraId="3A45454A">
            <w:pPr>
              <w:pStyle w:val="133"/>
              <w:rPr>
                <w:snapToGrid w:val="0"/>
                <w:szCs w:val="21"/>
              </w:rPr>
            </w:pPr>
            <w:r>
              <w:rPr>
                <w:rFonts w:cs="Times New Roman"/>
                <w:color w:val="000000"/>
                <w:szCs w:val="21"/>
              </w:rPr>
              <w:t>《铁合金工业污染物排放标准》（GB28666-2012）</w:t>
            </w:r>
          </w:p>
        </w:tc>
        <w:tc>
          <w:tcPr>
            <w:tcW w:w="866" w:type="pct"/>
            <w:vAlign w:val="center"/>
          </w:tcPr>
          <w:p w14:paraId="0E800133">
            <w:pPr>
              <w:pStyle w:val="133"/>
              <w:rPr>
                <w:color w:val="000000"/>
                <w:szCs w:val="21"/>
              </w:rPr>
            </w:pPr>
            <w:r>
              <w:rPr>
                <w:color w:val="000000"/>
                <w:szCs w:val="21"/>
              </w:rPr>
              <w:t>颗粒物</w:t>
            </w:r>
          </w:p>
        </w:tc>
        <w:tc>
          <w:tcPr>
            <w:tcW w:w="625" w:type="pct"/>
            <w:vAlign w:val="center"/>
          </w:tcPr>
          <w:p w14:paraId="5FBAC8C8">
            <w:pPr>
              <w:pStyle w:val="133"/>
              <w:rPr>
                <w:bCs/>
                <w:snapToGrid w:val="0"/>
                <w:szCs w:val="21"/>
              </w:rPr>
            </w:pPr>
            <w:r>
              <w:rPr>
                <w:bCs/>
                <w:snapToGrid w:val="0"/>
                <w:szCs w:val="21"/>
              </w:rPr>
              <w:t>项目投产前</w:t>
            </w:r>
          </w:p>
        </w:tc>
      </w:tr>
      <w:tr w14:paraId="33E24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206A9ACC">
            <w:pPr>
              <w:pStyle w:val="133"/>
              <w:rPr>
                <w:snapToGrid w:val="0"/>
                <w:szCs w:val="21"/>
              </w:rPr>
            </w:pPr>
          </w:p>
        </w:tc>
        <w:tc>
          <w:tcPr>
            <w:tcW w:w="772" w:type="pct"/>
            <w:gridSpan w:val="2"/>
            <w:vMerge w:val="restart"/>
            <w:vAlign w:val="center"/>
          </w:tcPr>
          <w:p w14:paraId="34C14227">
            <w:pPr>
              <w:pStyle w:val="133"/>
              <w:rPr>
                <w:color w:val="000000"/>
                <w:szCs w:val="21"/>
              </w:rPr>
            </w:pPr>
            <w:r>
              <w:rPr>
                <w:rFonts w:hint="eastAsia"/>
                <w:color w:val="000000"/>
                <w:szCs w:val="21"/>
              </w:rPr>
              <w:t>厂界无组织排放</w:t>
            </w:r>
          </w:p>
        </w:tc>
        <w:tc>
          <w:tcPr>
            <w:tcW w:w="1414" w:type="pct"/>
            <w:vMerge w:val="restart"/>
            <w:vAlign w:val="center"/>
          </w:tcPr>
          <w:p w14:paraId="751394ED">
            <w:pPr>
              <w:pStyle w:val="133"/>
              <w:rPr>
                <w:color w:val="000000"/>
                <w:szCs w:val="21"/>
              </w:rPr>
            </w:pPr>
            <w:r>
              <w:rPr>
                <w:rFonts w:hint="eastAsia"/>
                <w:color w:val="000000"/>
                <w:szCs w:val="21"/>
              </w:rPr>
              <w:t>-</w:t>
            </w:r>
          </w:p>
        </w:tc>
        <w:tc>
          <w:tcPr>
            <w:tcW w:w="1114" w:type="pct"/>
            <w:vAlign w:val="center"/>
          </w:tcPr>
          <w:p w14:paraId="0B45423C">
            <w:pPr>
              <w:pStyle w:val="133"/>
              <w:rPr>
                <w:color w:val="000000"/>
                <w:szCs w:val="21"/>
              </w:rPr>
            </w:pPr>
            <w:r>
              <w:rPr>
                <w:rFonts w:hint="eastAsia"/>
                <w:color w:val="000000"/>
              </w:rPr>
              <w:t>《镁、钛工业污染物排放标准》（GB25468-2010）</w:t>
            </w:r>
          </w:p>
        </w:tc>
        <w:tc>
          <w:tcPr>
            <w:tcW w:w="866" w:type="pct"/>
            <w:vAlign w:val="center"/>
          </w:tcPr>
          <w:p w14:paraId="7B0AAE44">
            <w:pPr>
              <w:pStyle w:val="133"/>
              <w:rPr>
                <w:snapToGrid w:val="0"/>
                <w:color w:val="000000"/>
                <w:szCs w:val="21"/>
              </w:rPr>
            </w:pPr>
            <w:r>
              <w:rPr>
                <w:rFonts w:hint="eastAsia"/>
                <w:color w:val="000000"/>
                <w:szCs w:val="21"/>
              </w:rPr>
              <w:t>SO</w:t>
            </w:r>
            <w:r>
              <w:rPr>
                <w:rFonts w:hint="eastAsia"/>
                <w:color w:val="000000"/>
                <w:szCs w:val="21"/>
                <w:vertAlign w:val="subscript"/>
              </w:rPr>
              <w:t>2</w:t>
            </w:r>
            <w:r>
              <w:rPr>
                <w:rFonts w:hint="eastAsia"/>
                <w:color w:val="000000"/>
                <w:szCs w:val="21"/>
              </w:rPr>
              <w:t>、颗粒物</w:t>
            </w:r>
          </w:p>
        </w:tc>
        <w:tc>
          <w:tcPr>
            <w:tcW w:w="625" w:type="pct"/>
            <w:vAlign w:val="center"/>
          </w:tcPr>
          <w:p w14:paraId="63CC68ED">
            <w:pPr>
              <w:pStyle w:val="133"/>
              <w:rPr>
                <w:bCs/>
                <w:snapToGrid w:val="0"/>
                <w:color w:val="000000"/>
                <w:szCs w:val="21"/>
              </w:rPr>
            </w:pPr>
            <w:r>
              <w:rPr>
                <w:bCs/>
                <w:snapToGrid w:val="0"/>
                <w:color w:val="000000"/>
                <w:szCs w:val="21"/>
              </w:rPr>
              <w:t>项目投产前</w:t>
            </w:r>
          </w:p>
        </w:tc>
      </w:tr>
      <w:tr w14:paraId="2EFED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09D58BD3">
            <w:pPr>
              <w:pStyle w:val="133"/>
              <w:rPr>
                <w:snapToGrid w:val="0"/>
                <w:szCs w:val="21"/>
              </w:rPr>
            </w:pPr>
          </w:p>
        </w:tc>
        <w:tc>
          <w:tcPr>
            <w:tcW w:w="772" w:type="pct"/>
            <w:gridSpan w:val="2"/>
            <w:vMerge w:val="continue"/>
            <w:vAlign w:val="center"/>
          </w:tcPr>
          <w:p w14:paraId="6061C763">
            <w:pPr>
              <w:pStyle w:val="133"/>
              <w:rPr>
                <w:color w:val="000000"/>
                <w:szCs w:val="21"/>
              </w:rPr>
            </w:pPr>
          </w:p>
        </w:tc>
        <w:tc>
          <w:tcPr>
            <w:tcW w:w="1414" w:type="pct"/>
            <w:vMerge w:val="continue"/>
            <w:vAlign w:val="center"/>
          </w:tcPr>
          <w:p w14:paraId="222B017A">
            <w:pPr>
              <w:pStyle w:val="133"/>
              <w:rPr>
                <w:color w:val="000000"/>
                <w:szCs w:val="21"/>
              </w:rPr>
            </w:pPr>
          </w:p>
        </w:tc>
        <w:tc>
          <w:tcPr>
            <w:tcW w:w="1114" w:type="pct"/>
            <w:vAlign w:val="center"/>
          </w:tcPr>
          <w:p w14:paraId="66E456FF">
            <w:pPr>
              <w:pStyle w:val="133"/>
              <w:rPr>
                <w:color w:val="000000"/>
              </w:rPr>
            </w:pPr>
            <w:r>
              <w:rPr>
                <w:rFonts w:hint="eastAsia"/>
                <w:color w:val="000000"/>
              </w:rPr>
              <w:t>《大气污染物综合排放标准》（GB16297-1996）</w:t>
            </w:r>
          </w:p>
        </w:tc>
        <w:tc>
          <w:tcPr>
            <w:tcW w:w="866" w:type="pct"/>
            <w:vAlign w:val="center"/>
          </w:tcPr>
          <w:p w14:paraId="60EA5EE2">
            <w:pPr>
              <w:pStyle w:val="133"/>
              <w:rPr>
                <w:snapToGrid w:val="0"/>
                <w:color w:val="000000"/>
                <w:szCs w:val="21"/>
              </w:rPr>
            </w:pPr>
            <w:r>
              <w:rPr>
                <w:rFonts w:hint="eastAsia"/>
                <w:color w:val="000000"/>
                <w:szCs w:val="21"/>
              </w:rPr>
              <w:t>NMHC</w:t>
            </w:r>
          </w:p>
        </w:tc>
        <w:tc>
          <w:tcPr>
            <w:tcW w:w="625" w:type="pct"/>
            <w:vAlign w:val="center"/>
          </w:tcPr>
          <w:p w14:paraId="1A46F3AC">
            <w:pPr>
              <w:pStyle w:val="133"/>
              <w:rPr>
                <w:bCs/>
                <w:snapToGrid w:val="0"/>
                <w:color w:val="000000"/>
                <w:szCs w:val="21"/>
              </w:rPr>
            </w:pPr>
            <w:r>
              <w:rPr>
                <w:bCs/>
                <w:snapToGrid w:val="0"/>
                <w:color w:val="000000"/>
                <w:szCs w:val="21"/>
              </w:rPr>
              <w:t>项目投产前</w:t>
            </w:r>
          </w:p>
        </w:tc>
      </w:tr>
      <w:tr w14:paraId="3403E4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 w:type="pct"/>
            <w:vMerge w:val="continue"/>
            <w:vAlign w:val="center"/>
          </w:tcPr>
          <w:p w14:paraId="00E6B065">
            <w:pPr>
              <w:pStyle w:val="133"/>
              <w:rPr>
                <w:snapToGrid w:val="0"/>
                <w:szCs w:val="21"/>
              </w:rPr>
            </w:pPr>
          </w:p>
        </w:tc>
        <w:tc>
          <w:tcPr>
            <w:tcW w:w="772" w:type="pct"/>
            <w:gridSpan w:val="2"/>
            <w:vMerge w:val="continue"/>
            <w:vAlign w:val="center"/>
          </w:tcPr>
          <w:p w14:paraId="2D09B41C">
            <w:pPr>
              <w:pStyle w:val="133"/>
              <w:rPr>
                <w:color w:val="000000"/>
                <w:szCs w:val="21"/>
              </w:rPr>
            </w:pPr>
          </w:p>
        </w:tc>
        <w:tc>
          <w:tcPr>
            <w:tcW w:w="1414" w:type="pct"/>
            <w:vMerge w:val="continue"/>
            <w:vAlign w:val="center"/>
          </w:tcPr>
          <w:p w14:paraId="684F7076">
            <w:pPr>
              <w:pStyle w:val="133"/>
              <w:rPr>
                <w:color w:val="000000"/>
                <w:szCs w:val="21"/>
              </w:rPr>
            </w:pPr>
          </w:p>
        </w:tc>
        <w:tc>
          <w:tcPr>
            <w:tcW w:w="1114" w:type="pct"/>
            <w:vAlign w:val="center"/>
          </w:tcPr>
          <w:p w14:paraId="4A9A3F7D">
            <w:pPr>
              <w:pStyle w:val="133"/>
              <w:rPr>
                <w:color w:val="000000"/>
              </w:rPr>
            </w:pPr>
            <w:r>
              <w:rPr>
                <w:rFonts w:hint="eastAsia"/>
                <w:color w:val="000000"/>
              </w:rPr>
              <w:t>《炼焦化学工业大气污染物排放标准》（GB16171.1-2024）</w:t>
            </w:r>
          </w:p>
        </w:tc>
        <w:tc>
          <w:tcPr>
            <w:tcW w:w="866" w:type="pct"/>
            <w:vAlign w:val="center"/>
          </w:tcPr>
          <w:p w14:paraId="1A826DB0">
            <w:pPr>
              <w:pStyle w:val="133"/>
              <w:rPr>
                <w:color w:val="000000"/>
              </w:rPr>
            </w:pPr>
            <w:r>
              <w:rPr>
                <w:color w:val="000000"/>
              </w:rPr>
              <w:t>苯并</w:t>
            </w:r>
            <w:r>
              <w:rPr>
                <w:rFonts w:hint="eastAsia"/>
                <w:color w:val="000000"/>
              </w:rPr>
              <w:t>[a]</w:t>
            </w:r>
            <w:r>
              <w:rPr>
                <w:color w:val="000000"/>
              </w:rPr>
              <w:t>芘</w:t>
            </w:r>
            <w:r>
              <w:rPr>
                <w:rFonts w:hint="eastAsia"/>
                <w:color w:val="000000"/>
              </w:rPr>
              <w:t>、HCN、苯、酚类、H</w:t>
            </w:r>
            <w:r>
              <w:rPr>
                <w:rFonts w:hint="eastAsia"/>
                <w:color w:val="000000"/>
                <w:vertAlign w:val="subscript"/>
              </w:rPr>
              <w:t>2</w:t>
            </w:r>
            <w:r>
              <w:rPr>
                <w:rFonts w:hint="eastAsia"/>
                <w:color w:val="000000"/>
              </w:rPr>
              <w:t>S、NH</w:t>
            </w:r>
            <w:r>
              <w:rPr>
                <w:rFonts w:hint="eastAsia"/>
                <w:color w:val="000000"/>
                <w:vertAlign w:val="subscript"/>
              </w:rPr>
              <w:t>3</w:t>
            </w:r>
            <w:r>
              <w:rPr>
                <w:rFonts w:hint="eastAsia"/>
                <w:color w:val="000000"/>
              </w:rPr>
              <w:t>、NO</w:t>
            </w:r>
            <w:r>
              <w:rPr>
                <w:rFonts w:hint="eastAsia"/>
                <w:color w:val="000000"/>
                <w:vertAlign w:val="subscript"/>
              </w:rPr>
              <w:t>X</w:t>
            </w:r>
          </w:p>
        </w:tc>
        <w:tc>
          <w:tcPr>
            <w:tcW w:w="625" w:type="pct"/>
            <w:vAlign w:val="center"/>
          </w:tcPr>
          <w:p w14:paraId="18B6B329">
            <w:pPr>
              <w:pStyle w:val="133"/>
              <w:rPr>
                <w:bCs/>
                <w:snapToGrid w:val="0"/>
                <w:color w:val="000000"/>
                <w:szCs w:val="21"/>
              </w:rPr>
            </w:pPr>
            <w:r>
              <w:rPr>
                <w:bCs/>
                <w:snapToGrid w:val="0"/>
                <w:color w:val="000000"/>
                <w:szCs w:val="21"/>
              </w:rPr>
              <w:t>项目投产前</w:t>
            </w:r>
          </w:p>
        </w:tc>
      </w:tr>
      <w:tr w14:paraId="71EC4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Align w:val="center"/>
          </w:tcPr>
          <w:p w14:paraId="14636843">
            <w:pPr>
              <w:pStyle w:val="133"/>
              <w:rPr>
                <w:snapToGrid w:val="0"/>
                <w:color w:val="000000"/>
                <w:szCs w:val="21"/>
              </w:rPr>
            </w:pPr>
            <w:r>
              <w:rPr>
                <w:snapToGrid w:val="0"/>
                <w:color w:val="000000"/>
                <w:szCs w:val="21"/>
              </w:rPr>
              <w:t>噪声</w:t>
            </w:r>
          </w:p>
        </w:tc>
        <w:tc>
          <w:tcPr>
            <w:tcW w:w="772" w:type="pct"/>
            <w:gridSpan w:val="2"/>
            <w:vAlign w:val="center"/>
          </w:tcPr>
          <w:p w14:paraId="44A39BEB">
            <w:pPr>
              <w:pStyle w:val="133"/>
              <w:rPr>
                <w:snapToGrid w:val="0"/>
                <w:color w:val="000000"/>
                <w:szCs w:val="21"/>
              </w:rPr>
            </w:pPr>
            <w:r>
              <w:rPr>
                <w:snapToGrid w:val="0"/>
                <w:color w:val="000000"/>
                <w:szCs w:val="21"/>
              </w:rPr>
              <w:t>各噪声源</w:t>
            </w:r>
          </w:p>
        </w:tc>
        <w:tc>
          <w:tcPr>
            <w:tcW w:w="1414" w:type="pct"/>
            <w:vAlign w:val="center"/>
          </w:tcPr>
          <w:p w14:paraId="53A16E72">
            <w:pPr>
              <w:pStyle w:val="133"/>
              <w:rPr>
                <w:snapToGrid w:val="0"/>
                <w:color w:val="000000"/>
                <w:szCs w:val="21"/>
              </w:rPr>
            </w:pPr>
            <w:r>
              <w:rPr>
                <w:snapToGrid w:val="0"/>
                <w:color w:val="000000"/>
                <w:szCs w:val="21"/>
              </w:rPr>
              <w:t>采用低噪声设备、基础减振</w:t>
            </w:r>
          </w:p>
        </w:tc>
        <w:tc>
          <w:tcPr>
            <w:tcW w:w="1114" w:type="pct"/>
            <w:vAlign w:val="center"/>
          </w:tcPr>
          <w:p w14:paraId="7316F0B7">
            <w:pPr>
              <w:pStyle w:val="133"/>
              <w:rPr>
                <w:snapToGrid w:val="0"/>
                <w:color w:val="000000"/>
                <w:szCs w:val="21"/>
              </w:rPr>
            </w:pPr>
            <w:r>
              <w:rPr>
                <w:color w:val="000000"/>
                <w:szCs w:val="21"/>
              </w:rPr>
              <w:t>《工业企业厂界环境噪声排放标准》（</w:t>
            </w:r>
            <w:r>
              <w:rPr>
                <w:bCs/>
                <w:snapToGrid w:val="0"/>
                <w:color w:val="000000"/>
                <w:szCs w:val="21"/>
              </w:rPr>
              <w:t>GB12348－2008</w:t>
            </w:r>
            <w:r>
              <w:rPr>
                <w:color w:val="000000"/>
                <w:szCs w:val="21"/>
              </w:rPr>
              <w:t>）</w:t>
            </w:r>
            <w:r>
              <w:rPr>
                <w:bCs/>
                <w:snapToGrid w:val="0"/>
                <w:color w:val="000000"/>
                <w:szCs w:val="21"/>
              </w:rPr>
              <w:t>中3类标准</w:t>
            </w:r>
            <w:r>
              <w:rPr>
                <w:snapToGrid w:val="0"/>
                <w:color w:val="000000"/>
                <w:szCs w:val="21"/>
              </w:rPr>
              <w:t>要求</w:t>
            </w:r>
          </w:p>
        </w:tc>
        <w:tc>
          <w:tcPr>
            <w:tcW w:w="866" w:type="pct"/>
            <w:vAlign w:val="center"/>
          </w:tcPr>
          <w:p w14:paraId="521D8C7F">
            <w:pPr>
              <w:pStyle w:val="133"/>
              <w:rPr>
                <w:snapToGrid w:val="0"/>
                <w:color w:val="000000"/>
                <w:szCs w:val="21"/>
              </w:rPr>
            </w:pPr>
            <w:r>
              <w:rPr>
                <w:snapToGrid w:val="0"/>
                <w:color w:val="000000"/>
                <w:szCs w:val="21"/>
              </w:rPr>
              <w:t>厂界</w:t>
            </w:r>
            <w:r>
              <w:rPr>
                <w:color w:val="000000"/>
                <w:szCs w:val="21"/>
              </w:rPr>
              <w:t>等效连续A声级L</w:t>
            </w:r>
            <w:r>
              <w:rPr>
                <w:color w:val="000000"/>
                <w:szCs w:val="21"/>
                <w:vertAlign w:val="subscript"/>
              </w:rPr>
              <w:t>Aeq</w:t>
            </w:r>
          </w:p>
        </w:tc>
        <w:tc>
          <w:tcPr>
            <w:tcW w:w="625" w:type="pct"/>
            <w:vAlign w:val="center"/>
          </w:tcPr>
          <w:p w14:paraId="52A3D341">
            <w:pPr>
              <w:pStyle w:val="133"/>
              <w:rPr>
                <w:snapToGrid w:val="0"/>
                <w:color w:val="000000"/>
                <w:szCs w:val="21"/>
              </w:rPr>
            </w:pPr>
            <w:r>
              <w:rPr>
                <w:color w:val="000000"/>
                <w:szCs w:val="21"/>
              </w:rPr>
              <w:t>与各设备施工建设同步</w:t>
            </w:r>
          </w:p>
        </w:tc>
      </w:tr>
      <w:tr w14:paraId="32D747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Merge w:val="restart"/>
            <w:vAlign w:val="center"/>
          </w:tcPr>
          <w:p w14:paraId="1149C11D">
            <w:pPr>
              <w:pStyle w:val="133"/>
              <w:rPr>
                <w:snapToGrid w:val="0"/>
                <w:color w:val="000000"/>
                <w:szCs w:val="21"/>
              </w:rPr>
            </w:pPr>
            <w:r>
              <w:rPr>
                <w:snapToGrid w:val="0"/>
                <w:color w:val="000000"/>
                <w:szCs w:val="21"/>
              </w:rPr>
              <w:t>固废</w:t>
            </w:r>
          </w:p>
        </w:tc>
        <w:tc>
          <w:tcPr>
            <w:tcW w:w="772" w:type="pct"/>
            <w:gridSpan w:val="2"/>
            <w:vAlign w:val="center"/>
          </w:tcPr>
          <w:p w14:paraId="55823B24">
            <w:pPr>
              <w:pStyle w:val="133"/>
              <w:rPr>
                <w:snapToGrid w:val="0"/>
                <w:color w:val="000000"/>
                <w:szCs w:val="21"/>
              </w:rPr>
            </w:pPr>
            <w:r>
              <w:rPr>
                <w:snapToGrid w:val="0"/>
                <w:color w:val="000000"/>
                <w:szCs w:val="21"/>
              </w:rPr>
              <w:t>危险废物</w:t>
            </w:r>
          </w:p>
        </w:tc>
        <w:tc>
          <w:tcPr>
            <w:tcW w:w="1414" w:type="pct"/>
            <w:vAlign w:val="center"/>
          </w:tcPr>
          <w:p w14:paraId="0023CA78">
            <w:pPr>
              <w:pStyle w:val="133"/>
              <w:rPr>
                <w:color w:val="000000"/>
                <w:szCs w:val="21"/>
              </w:rPr>
            </w:pPr>
            <w:r>
              <w:rPr>
                <w:rFonts w:hint="eastAsia"/>
                <w:color w:val="000000"/>
                <w:szCs w:val="21"/>
              </w:rPr>
              <w:t>由有资质单位处置、外售、厂外综合利用、备煤工段掺烧、</w:t>
            </w:r>
            <w:r>
              <w:rPr>
                <w:rFonts w:cs="Times New Roman"/>
                <w:color w:val="000000"/>
                <w:szCs w:val="21"/>
              </w:rPr>
              <w:t>回用于矿热炉</w:t>
            </w:r>
          </w:p>
        </w:tc>
        <w:tc>
          <w:tcPr>
            <w:tcW w:w="1114" w:type="pct"/>
            <w:vAlign w:val="center"/>
          </w:tcPr>
          <w:p w14:paraId="781B10C4">
            <w:pPr>
              <w:pStyle w:val="133"/>
              <w:rPr>
                <w:color w:val="000000"/>
                <w:szCs w:val="21"/>
              </w:rPr>
            </w:pPr>
            <w:r>
              <w:rPr>
                <w:rFonts w:hint="eastAsia"/>
                <w:color w:val="000000"/>
                <w:szCs w:val="21"/>
              </w:rPr>
              <w:t>《危险废物贮存污染控制标准》（GB 18597-20</w:t>
            </w:r>
            <w:r>
              <w:rPr>
                <w:color w:val="000000"/>
                <w:szCs w:val="21"/>
              </w:rPr>
              <w:t>23</w:t>
            </w:r>
            <w:r>
              <w:rPr>
                <w:rFonts w:hint="eastAsia"/>
                <w:color w:val="000000"/>
                <w:szCs w:val="21"/>
              </w:rPr>
              <w:t>）</w:t>
            </w:r>
          </w:p>
        </w:tc>
        <w:tc>
          <w:tcPr>
            <w:tcW w:w="866" w:type="pct"/>
            <w:vAlign w:val="center"/>
          </w:tcPr>
          <w:p w14:paraId="415F31BB">
            <w:pPr>
              <w:pStyle w:val="133"/>
              <w:rPr>
                <w:color w:val="000000"/>
                <w:szCs w:val="21"/>
              </w:rPr>
            </w:pPr>
            <w:r>
              <w:rPr>
                <w:color w:val="000000"/>
                <w:szCs w:val="21"/>
              </w:rPr>
              <w:t>/</w:t>
            </w:r>
          </w:p>
        </w:tc>
        <w:tc>
          <w:tcPr>
            <w:tcW w:w="625" w:type="pct"/>
            <w:vAlign w:val="center"/>
          </w:tcPr>
          <w:p w14:paraId="7C03A4D4">
            <w:pPr>
              <w:pStyle w:val="133"/>
              <w:rPr>
                <w:snapToGrid w:val="0"/>
                <w:color w:val="000000"/>
                <w:szCs w:val="21"/>
              </w:rPr>
            </w:pPr>
            <w:r>
              <w:rPr>
                <w:bCs/>
                <w:snapToGrid w:val="0"/>
                <w:color w:val="000000"/>
                <w:szCs w:val="21"/>
              </w:rPr>
              <w:t>项目投产前</w:t>
            </w:r>
          </w:p>
        </w:tc>
      </w:tr>
      <w:tr w14:paraId="7DCCA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Merge w:val="continue"/>
            <w:vAlign w:val="center"/>
          </w:tcPr>
          <w:p w14:paraId="07D789EE">
            <w:pPr>
              <w:pStyle w:val="133"/>
              <w:rPr>
                <w:snapToGrid w:val="0"/>
                <w:color w:val="000000"/>
                <w:szCs w:val="21"/>
              </w:rPr>
            </w:pPr>
          </w:p>
        </w:tc>
        <w:tc>
          <w:tcPr>
            <w:tcW w:w="772" w:type="pct"/>
            <w:gridSpan w:val="2"/>
            <w:vAlign w:val="center"/>
          </w:tcPr>
          <w:p w14:paraId="72D315F9">
            <w:pPr>
              <w:pStyle w:val="133"/>
              <w:rPr>
                <w:snapToGrid w:val="0"/>
                <w:color w:val="000000"/>
                <w:szCs w:val="21"/>
              </w:rPr>
            </w:pPr>
            <w:r>
              <w:rPr>
                <w:snapToGrid w:val="0"/>
                <w:color w:val="000000"/>
                <w:szCs w:val="21"/>
              </w:rPr>
              <w:t>一般固废</w:t>
            </w:r>
          </w:p>
        </w:tc>
        <w:tc>
          <w:tcPr>
            <w:tcW w:w="1414" w:type="pct"/>
            <w:vAlign w:val="center"/>
          </w:tcPr>
          <w:p w14:paraId="26FED93C">
            <w:pPr>
              <w:pStyle w:val="133"/>
              <w:rPr>
                <w:color w:val="000000"/>
                <w:szCs w:val="21"/>
                <w:highlight w:val="yellow"/>
              </w:rPr>
            </w:pPr>
            <w:r>
              <w:rPr>
                <w:rFonts w:hint="eastAsia"/>
                <w:color w:val="000000"/>
                <w:szCs w:val="21"/>
              </w:rPr>
              <w:t>回用、外售、送一般固废填埋场</w:t>
            </w:r>
          </w:p>
        </w:tc>
        <w:tc>
          <w:tcPr>
            <w:tcW w:w="1114" w:type="pct"/>
            <w:vAlign w:val="center"/>
          </w:tcPr>
          <w:p w14:paraId="19E09C4E">
            <w:pPr>
              <w:pStyle w:val="133"/>
              <w:rPr>
                <w:color w:val="000000"/>
                <w:szCs w:val="21"/>
              </w:rPr>
            </w:pPr>
            <w:r>
              <w:rPr>
                <w:rFonts w:hint="eastAsia"/>
                <w:color w:val="000000"/>
                <w:szCs w:val="21"/>
              </w:rPr>
              <w:t>《一般工业固体废物贮存和填埋污染控制标准》（GB18599-2020）</w:t>
            </w:r>
          </w:p>
        </w:tc>
        <w:tc>
          <w:tcPr>
            <w:tcW w:w="866" w:type="pct"/>
            <w:vAlign w:val="center"/>
          </w:tcPr>
          <w:p w14:paraId="58D91714">
            <w:pPr>
              <w:pStyle w:val="133"/>
              <w:rPr>
                <w:color w:val="000000"/>
                <w:szCs w:val="21"/>
              </w:rPr>
            </w:pPr>
            <w:r>
              <w:rPr>
                <w:color w:val="000000"/>
                <w:szCs w:val="21"/>
              </w:rPr>
              <w:t>/</w:t>
            </w:r>
          </w:p>
        </w:tc>
        <w:tc>
          <w:tcPr>
            <w:tcW w:w="625" w:type="pct"/>
            <w:vAlign w:val="center"/>
          </w:tcPr>
          <w:p w14:paraId="1B5743B1">
            <w:pPr>
              <w:pStyle w:val="133"/>
              <w:rPr>
                <w:bCs/>
                <w:snapToGrid w:val="0"/>
                <w:color w:val="000000"/>
                <w:szCs w:val="21"/>
              </w:rPr>
            </w:pPr>
            <w:r>
              <w:rPr>
                <w:bCs/>
                <w:snapToGrid w:val="0"/>
                <w:color w:val="000000"/>
                <w:szCs w:val="21"/>
              </w:rPr>
              <w:t>项目投产前</w:t>
            </w:r>
          </w:p>
        </w:tc>
      </w:tr>
      <w:tr w14:paraId="2A1D4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Align w:val="center"/>
          </w:tcPr>
          <w:p w14:paraId="2F1F6E55">
            <w:pPr>
              <w:pStyle w:val="133"/>
              <w:rPr>
                <w:snapToGrid w:val="0"/>
                <w:color w:val="000000"/>
                <w:szCs w:val="21"/>
              </w:rPr>
            </w:pPr>
            <w:r>
              <w:rPr>
                <w:snapToGrid w:val="0"/>
                <w:color w:val="000000"/>
                <w:szCs w:val="21"/>
              </w:rPr>
              <w:t>地下水</w:t>
            </w:r>
          </w:p>
        </w:tc>
        <w:tc>
          <w:tcPr>
            <w:tcW w:w="772" w:type="pct"/>
            <w:gridSpan w:val="2"/>
            <w:vAlign w:val="center"/>
          </w:tcPr>
          <w:p w14:paraId="63D88260">
            <w:pPr>
              <w:pStyle w:val="133"/>
              <w:rPr>
                <w:snapToGrid w:val="0"/>
                <w:color w:val="000000"/>
                <w:szCs w:val="21"/>
              </w:rPr>
            </w:pPr>
            <w:r>
              <w:rPr>
                <w:snapToGrid w:val="0"/>
                <w:color w:val="000000"/>
                <w:szCs w:val="21"/>
              </w:rPr>
              <w:t>地下水污染</w:t>
            </w:r>
          </w:p>
        </w:tc>
        <w:tc>
          <w:tcPr>
            <w:tcW w:w="1414" w:type="pct"/>
            <w:vAlign w:val="center"/>
          </w:tcPr>
          <w:p w14:paraId="040E925E">
            <w:pPr>
              <w:pStyle w:val="133"/>
              <w:rPr>
                <w:snapToGrid w:val="0"/>
                <w:color w:val="000000"/>
                <w:szCs w:val="21"/>
              </w:rPr>
            </w:pPr>
            <w:r>
              <w:rPr>
                <w:rFonts w:hint="eastAsia"/>
                <w:snapToGrid w:val="0"/>
                <w:color w:val="000000"/>
                <w:szCs w:val="21"/>
              </w:rPr>
              <w:t>/</w:t>
            </w:r>
          </w:p>
        </w:tc>
        <w:tc>
          <w:tcPr>
            <w:tcW w:w="1114" w:type="pct"/>
            <w:vAlign w:val="center"/>
          </w:tcPr>
          <w:p w14:paraId="3E11CC6E">
            <w:pPr>
              <w:pStyle w:val="133"/>
              <w:rPr>
                <w:snapToGrid w:val="0"/>
                <w:color w:val="000000"/>
                <w:szCs w:val="21"/>
              </w:rPr>
            </w:pPr>
            <w:r>
              <w:rPr>
                <w:snapToGrid w:val="0"/>
                <w:color w:val="000000"/>
                <w:szCs w:val="21"/>
              </w:rPr>
              <w:t>/</w:t>
            </w:r>
          </w:p>
        </w:tc>
        <w:tc>
          <w:tcPr>
            <w:tcW w:w="866" w:type="pct"/>
            <w:vAlign w:val="center"/>
          </w:tcPr>
          <w:p w14:paraId="4BDC7F36">
            <w:pPr>
              <w:pStyle w:val="133"/>
              <w:rPr>
                <w:color w:val="000000"/>
                <w:szCs w:val="21"/>
              </w:rPr>
            </w:pPr>
            <w:r>
              <w:rPr>
                <w:color w:val="000000"/>
                <w:szCs w:val="21"/>
              </w:rPr>
              <w:t>/</w:t>
            </w:r>
          </w:p>
        </w:tc>
        <w:tc>
          <w:tcPr>
            <w:tcW w:w="625" w:type="pct"/>
            <w:vAlign w:val="center"/>
          </w:tcPr>
          <w:p w14:paraId="65091FFE">
            <w:pPr>
              <w:pStyle w:val="133"/>
              <w:rPr>
                <w:color w:val="000000"/>
                <w:szCs w:val="21"/>
              </w:rPr>
            </w:pPr>
            <w:r>
              <w:rPr>
                <w:color w:val="000000"/>
                <w:szCs w:val="21"/>
              </w:rPr>
              <w:t>/</w:t>
            </w:r>
          </w:p>
        </w:tc>
      </w:tr>
      <w:tr w14:paraId="15050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Merge w:val="restart"/>
            <w:vAlign w:val="center"/>
          </w:tcPr>
          <w:p w14:paraId="40B6B0E6">
            <w:pPr>
              <w:pStyle w:val="133"/>
              <w:rPr>
                <w:snapToGrid w:val="0"/>
                <w:color w:val="000000"/>
                <w:szCs w:val="21"/>
              </w:rPr>
            </w:pPr>
            <w:r>
              <w:rPr>
                <w:snapToGrid w:val="0"/>
                <w:color w:val="000000"/>
                <w:szCs w:val="21"/>
              </w:rPr>
              <w:t>环境风险</w:t>
            </w:r>
          </w:p>
        </w:tc>
        <w:tc>
          <w:tcPr>
            <w:tcW w:w="772" w:type="pct"/>
            <w:gridSpan w:val="2"/>
            <w:vMerge w:val="restart"/>
            <w:vAlign w:val="center"/>
          </w:tcPr>
          <w:p w14:paraId="3BAD491D">
            <w:pPr>
              <w:pStyle w:val="133"/>
              <w:rPr>
                <w:color w:val="000000"/>
                <w:szCs w:val="21"/>
              </w:rPr>
            </w:pPr>
            <w:r>
              <w:rPr>
                <w:snapToGrid w:val="0"/>
                <w:color w:val="000000"/>
                <w:szCs w:val="21"/>
              </w:rPr>
              <w:t>泄漏、火灾、爆炸事故</w:t>
            </w:r>
          </w:p>
        </w:tc>
        <w:tc>
          <w:tcPr>
            <w:tcW w:w="1414" w:type="pct"/>
            <w:vAlign w:val="center"/>
          </w:tcPr>
          <w:p w14:paraId="01DAA40C">
            <w:pPr>
              <w:pStyle w:val="133"/>
              <w:rPr>
                <w:snapToGrid w:val="0"/>
                <w:color w:val="000000"/>
                <w:szCs w:val="21"/>
              </w:rPr>
            </w:pPr>
            <w:r>
              <w:rPr>
                <w:snapToGrid w:val="0"/>
                <w:color w:val="000000"/>
                <w:szCs w:val="21"/>
              </w:rPr>
              <w:t>突发环境事件应急预案</w:t>
            </w:r>
          </w:p>
        </w:tc>
        <w:tc>
          <w:tcPr>
            <w:tcW w:w="1114" w:type="pct"/>
            <w:vAlign w:val="center"/>
          </w:tcPr>
          <w:p w14:paraId="3BD410EA">
            <w:pPr>
              <w:pStyle w:val="133"/>
              <w:rPr>
                <w:snapToGrid w:val="0"/>
                <w:color w:val="000000"/>
                <w:szCs w:val="21"/>
              </w:rPr>
            </w:pPr>
            <w:r>
              <w:rPr>
                <w:snapToGrid w:val="0"/>
                <w:color w:val="000000"/>
                <w:szCs w:val="21"/>
              </w:rPr>
              <w:t>完善的应急设施及设备、</w:t>
            </w:r>
            <w:r>
              <w:rPr>
                <w:rFonts w:hint="eastAsia"/>
                <w:snapToGrid w:val="0"/>
                <w:color w:val="000000"/>
                <w:szCs w:val="21"/>
              </w:rPr>
              <w:t>修订</w:t>
            </w:r>
            <w:r>
              <w:rPr>
                <w:snapToGrid w:val="0"/>
                <w:color w:val="000000"/>
                <w:szCs w:val="21"/>
              </w:rPr>
              <w:t>应急预案和常规定期应急演练、培训</w:t>
            </w:r>
          </w:p>
        </w:tc>
        <w:tc>
          <w:tcPr>
            <w:tcW w:w="866" w:type="pct"/>
            <w:vMerge w:val="restart"/>
            <w:vAlign w:val="center"/>
          </w:tcPr>
          <w:p w14:paraId="5199AF76">
            <w:pPr>
              <w:pStyle w:val="133"/>
              <w:rPr>
                <w:snapToGrid w:val="0"/>
                <w:color w:val="000000"/>
                <w:szCs w:val="21"/>
              </w:rPr>
            </w:pPr>
            <w:r>
              <w:rPr>
                <w:color w:val="000000"/>
                <w:szCs w:val="21"/>
              </w:rPr>
              <w:t>/</w:t>
            </w:r>
          </w:p>
        </w:tc>
        <w:tc>
          <w:tcPr>
            <w:tcW w:w="625" w:type="pct"/>
            <w:vAlign w:val="center"/>
          </w:tcPr>
          <w:p w14:paraId="0FED132B">
            <w:pPr>
              <w:pStyle w:val="133"/>
              <w:rPr>
                <w:bCs/>
                <w:snapToGrid w:val="0"/>
                <w:color w:val="000000"/>
                <w:szCs w:val="21"/>
              </w:rPr>
            </w:pPr>
            <w:r>
              <w:rPr>
                <w:snapToGrid w:val="0"/>
                <w:color w:val="000000"/>
                <w:szCs w:val="21"/>
              </w:rPr>
              <w:t>按《突发环境事件应急管理办法</w:t>
            </w:r>
            <w:r>
              <w:rPr>
                <w:rFonts w:hint="eastAsia"/>
                <w:snapToGrid w:val="0"/>
                <w:color w:val="000000"/>
                <w:szCs w:val="21"/>
              </w:rPr>
              <w:t>》《</w:t>
            </w:r>
            <w:r>
              <w:rPr>
                <w:snapToGrid w:val="0"/>
                <w:color w:val="000000"/>
                <w:szCs w:val="21"/>
              </w:rPr>
              <w:t>企业事业单位突发环境事件应急预案备案管理办法》等</w:t>
            </w:r>
          </w:p>
        </w:tc>
      </w:tr>
      <w:tr w14:paraId="425A4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Merge w:val="continue"/>
            <w:vAlign w:val="center"/>
          </w:tcPr>
          <w:p w14:paraId="7E23C773">
            <w:pPr>
              <w:pStyle w:val="133"/>
              <w:rPr>
                <w:snapToGrid w:val="0"/>
                <w:color w:val="000000"/>
                <w:szCs w:val="21"/>
              </w:rPr>
            </w:pPr>
          </w:p>
        </w:tc>
        <w:tc>
          <w:tcPr>
            <w:tcW w:w="772" w:type="pct"/>
            <w:gridSpan w:val="2"/>
            <w:vMerge w:val="continue"/>
            <w:vAlign w:val="center"/>
          </w:tcPr>
          <w:p w14:paraId="3DA77705">
            <w:pPr>
              <w:pStyle w:val="133"/>
              <w:rPr>
                <w:color w:val="FF0000"/>
                <w:szCs w:val="21"/>
              </w:rPr>
            </w:pPr>
          </w:p>
        </w:tc>
        <w:tc>
          <w:tcPr>
            <w:tcW w:w="1414" w:type="pct"/>
            <w:vAlign w:val="center"/>
          </w:tcPr>
          <w:p w14:paraId="5C8DD88D">
            <w:pPr>
              <w:pStyle w:val="133"/>
              <w:rPr>
                <w:snapToGrid w:val="0"/>
                <w:color w:val="000000"/>
                <w:szCs w:val="21"/>
              </w:rPr>
            </w:pPr>
            <w:r>
              <w:rPr>
                <w:color w:val="000000"/>
                <w:szCs w:val="21"/>
              </w:rPr>
              <w:t>围堰、应急物资等</w:t>
            </w:r>
          </w:p>
        </w:tc>
        <w:tc>
          <w:tcPr>
            <w:tcW w:w="1114" w:type="pct"/>
            <w:vAlign w:val="center"/>
          </w:tcPr>
          <w:p w14:paraId="48B97BFA">
            <w:pPr>
              <w:pStyle w:val="133"/>
              <w:rPr>
                <w:snapToGrid w:val="0"/>
                <w:color w:val="000000"/>
                <w:szCs w:val="21"/>
              </w:rPr>
            </w:pPr>
            <w:r>
              <w:rPr>
                <w:snapToGrid w:val="0"/>
                <w:color w:val="000000"/>
                <w:szCs w:val="21"/>
              </w:rPr>
              <w:t>具体见第</w:t>
            </w:r>
            <w:r>
              <w:rPr>
                <w:rFonts w:hint="eastAsia"/>
                <w:snapToGrid w:val="0"/>
                <w:color w:val="000000"/>
                <w:szCs w:val="21"/>
              </w:rPr>
              <w:t>7</w:t>
            </w:r>
            <w:r>
              <w:rPr>
                <w:snapToGrid w:val="0"/>
                <w:color w:val="000000"/>
                <w:szCs w:val="21"/>
              </w:rPr>
              <w:t>章环境风险评价</w:t>
            </w:r>
          </w:p>
        </w:tc>
        <w:tc>
          <w:tcPr>
            <w:tcW w:w="866" w:type="pct"/>
            <w:vMerge w:val="continue"/>
            <w:vAlign w:val="center"/>
          </w:tcPr>
          <w:p w14:paraId="0ED60F19">
            <w:pPr>
              <w:pStyle w:val="133"/>
              <w:rPr>
                <w:snapToGrid w:val="0"/>
                <w:color w:val="000000"/>
                <w:szCs w:val="21"/>
              </w:rPr>
            </w:pPr>
          </w:p>
        </w:tc>
        <w:tc>
          <w:tcPr>
            <w:tcW w:w="625" w:type="pct"/>
            <w:vAlign w:val="center"/>
          </w:tcPr>
          <w:p w14:paraId="450DED6D">
            <w:pPr>
              <w:pStyle w:val="133"/>
              <w:rPr>
                <w:bCs/>
                <w:snapToGrid w:val="0"/>
                <w:color w:val="000000"/>
                <w:szCs w:val="21"/>
              </w:rPr>
            </w:pPr>
            <w:r>
              <w:rPr>
                <w:bCs/>
                <w:snapToGrid w:val="0"/>
                <w:color w:val="000000"/>
                <w:szCs w:val="21"/>
              </w:rPr>
              <w:t>项目投产前</w:t>
            </w:r>
          </w:p>
        </w:tc>
      </w:tr>
      <w:tr w14:paraId="334A0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Merge w:val="restart"/>
            <w:vAlign w:val="center"/>
          </w:tcPr>
          <w:p w14:paraId="1BCACBAC">
            <w:pPr>
              <w:pStyle w:val="133"/>
              <w:rPr>
                <w:snapToGrid w:val="0"/>
                <w:color w:val="000000"/>
                <w:szCs w:val="21"/>
              </w:rPr>
            </w:pPr>
            <w:r>
              <w:rPr>
                <w:snapToGrid w:val="0"/>
                <w:color w:val="000000"/>
                <w:szCs w:val="21"/>
              </w:rPr>
              <w:t>其他</w:t>
            </w:r>
          </w:p>
        </w:tc>
        <w:tc>
          <w:tcPr>
            <w:tcW w:w="772" w:type="pct"/>
            <w:gridSpan w:val="2"/>
            <w:vMerge w:val="restart"/>
            <w:vAlign w:val="center"/>
          </w:tcPr>
          <w:p w14:paraId="4DF454AF">
            <w:pPr>
              <w:pStyle w:val="133"/>
              <w:rPr>
                <w:color w:val="000000"/>
                <w:szCs w:val="21"/>
              </w:rPr>
            </w:pPr>
            <w:r>
              <w:rPr>
                <w:snapToGrid w:val="0"/>
                <w:color w:val="000000"/>
                <w:szCs w:val="21"/>
              </w:rPr>
              <w:t>环境管理</w:t>
            </w:r>
          </w:p>
        </w:tc>
        <w:tc>
          <w:tcPr>
            <w:tcW w:w="1414" w:type="pct"/>
            <w:vAlign w:val="center"/>
          </w:tcPr>
          <w:p w14:paraId="31619731">
            <w:pPr>
              <w:pStyle w:val="133"/>
              <w:rPr>
                <w:snapToGrid w:val="0"/>
                <w:color w:val="000000"/>
                <w:szCs w:val="21"/>
              </w:rPr>
            </w:pPr>
            <w:r>
              <w:rPr>
                <w:rFonts w:hint="eastAsia"/>
                <w:snapToGrid w:val="0"/>
                <w:color w:val="000000"/>
                <w:szCs w:val="21"/>
              </w:rPr>
              <w:t>排污口规范化</w:t>
            </w:r>
          </w:p>
        </w:tc>
        <w:tc>
          <w:tcPr>
            <w:tcW w:w="1114" w:type="pct"/>
            <w:vAlign w:val="center"/>
          </w:tcPr>
          <w:p w14:paraId="07F1EF92">
            <w:pPr>
              <w:pStyle w:val="133"/>
              <w:rPr>
                <w:snapToGrid w:val="0"/>
                <w:color w:val="000000"/>
                <w:szCs w:val="21"/>
              </w:rPr>
            </w:pPr>
            <w:r>
              <w:rPr>
                <w:rFonts w:hint="eastAsia"/>
                <w:snapToGrid w:val="0"/>
                <w:color w:val="000000"/>
                <w:szCs w:val="21"/>
              </w:rPr>
              <w:t>排污口设置标牌</w:t>
            </w:r>
          </w:p>
        </w:tc>
        <w:tc>
          <w:tcPr>
            <w:tcW w:w="866" w:type="pct"/>
            <w:vAlign w:val="center"/>
          </w:tcPr>
          <w:p w14:paraId="6780736D">
            <w:pPr>
              <w:pStyle w:val="133"/>
              <w:rPr>
                <w:snapToGrid w:val="0"/>
                <w:color w:val="000000"/>
                <w:szCs w:val="21"/>
              </w:rPr>
            </w:pPr>
            <w:r>
              <w:rPr>
                <w:color w:val="000000"/>
                <w:szCs w:val="21"/>
              </w:rPr>
              <w:t>/</w:t>
            </w:r>
          </w:p>
        </w:tc>
        <w:tc>
          <w:tcPr>
            <w:tcW w:w="625" w:type="pct"/>
            <w:vAlign w:val="center"/>
          </w:tcPr>
          <w:p w14:paraId="45D91010">
            <w:pPr>
              <w:pStyle w:val="133"/>
              <w:rPr>
                <w:snapToGrid w:val="0"/>
                <w:color w:val="000000"/>
                <w:szCs w:val="21"/>
              </w:rPr>
            </w:pPr>
            <w:r>
              <w:rPr>
                <w:snapToGrid w:val="0"/>
                <w:color w:val="000000"/>
                <w:szCs w:val="21"/>
              </w:rPr>
              <w:t>按要求实施</w:t>
            </w:r>
          </w:p>
        </w:tc>
      </w:tr>
      <w:tr w14:paraId="37C38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Merge w:val="continue"/>
            <w:vAlign w:val="center"/>
          </w:tcPr>
          <w:p w14:paraId="3AC0316B">
            <w:pPr>
              <w:pStyle w:val="133"/>
              <w:rPr>
                <w:snapToGrid w:val="0"/>
                <w:color w:val="000000"/>
                <w:szCs w:val="21"/>
              </w:rPr>
            </w:pPr>
          </w:p>
        </w:tc>
        <w:tc>
          <w:tcPr>
            <w:tcW w:w="772" w:type="pct"/>
            <w:gridSpan w:val="2"/>
            <w:vMerge w:val="continue"/>
            <w:vAlign w:val="center"/>
          </w:tcPr>
          <w:p w14:paraId="7A34B121">
            <w:pPr>
              <w:pStyle w:val="133"/>
              <w:rPr>
                <w:snapToGrid w:val="0"/>
                <w:color w:val="000000"/>
                <w:szCs w:val="21"/>
              </w:rPr>
            </w:pPr>
          </w:p>
        </w:tc>
        <w:tc>
          <w:tcPr>
            <w:tcW w:w="1414" w:type="pct"/>
            <w:vAlign w:val="center"/>
          </w:tcPr>
          <w:p w14:paraId="527C4855">
            <w:pPr>
              <w:pStyle w:val="133"/>
              <w:rPr>
                <w:snapToGrid w:val="0"/>
                <w:color w:val="000000"/>
                <w:szCs w:val="21"/>
              </w:rPr>
            </w:pPr>
            <w:r>
              <w:rPr>
                <w:snapToGrid w:val="0"/>
                <w:color w:val="000000"/>
                <w:szCs w:val="21"/>
              </w:rPr>
              <w:t>竣工环保验收</w:t>
            </w:r>
          </w:p>
        </w:tc>
        <w:tc>
          <w:tcPr>
            <w:tcW w:w="1114" w:type="pct"/>
            <w:vAlign w:val="center"/>
          </w:tcPr>
          <w:p w14:paraId="04EFBCC6">
            <w:pPr>
              <w:pStyle w:val="133"/>
              <w:rPr>
                <w:snapToGrid w:val="0"/>
                <w:color w:val="000000"/>
                <w:szCs w:val="21"/>
              </w:rPr>
            </w:pPr>
            <w:r>
              <w:rPr>
                <w:snapToGrid w:val="0"/>
                <w:color w:val="000000"/>
                <w:szCs w:val="21"/>
              </w:rPr>
              <w:t>按要求进行竣工环保验收</w:t>
            </w:r>
          </w:p>
        </w:tc>
        <w:tc>
          <w:tcPr>
            <w:tcW w:w="866" w:type="pct"/>
            <w:vAlign w:val="center"/>
          </w:tcPr>
          <w:p w14:paraId="7C29ADE0">
            <w:pPr>
              <w:pStyle w:val="133"/>
              <w:rPr>
                <w:color w:val="000000"/>
                <w:szCs w:val="21"/>
              </w:rPr>
            </w:pPr>
            <w:r>
              <w:rPr>
                <w:rFonts w:hint="eastAsia"/>
                <w:color w:val="000000"/>
                <w:szCs w:val="21"/>
              </w:rPr>
              <w:t>/</w:t>
            </w:r>
          </w:p>
        </w:tc>
        <w:tc>
          <w:tcPr>
            <w:tcW w:w="625" w:type="pct"/>
            <w:vAlign w:val="center"/>
          </w:tcPr>
          <w:p w14:paraId="6600622F">
            <w:pPr>
              <w:pStyle w:val="133"/>
              <w:rPr>
                <w:snapToGrid w:val="0"/>
                <w:color w:val="000000"/>
                <w:szCs w:val="21"/>
              </w:rPr>
            </w:pPr>
            <w:r>
              <w:rPr>
                <w:snapToGrid w:val="0"/>
                <w:color w:val="000000"/>
                <w:szCs w:val="21"/>
              </w:rPr>
              <w:t>按要求实施</w:t>
            </w:r>
          </w:p>
        </w:tc>
      </w:tr>
      <w:tr w14:paraId="0A1F8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 w:type="pct"/>
            <w:vMerge w:val="continue"/>
            <w:vAlign w:val="center"/>
          </w:tcPr>
          <w:p w14:paraId="64780B31">
            <w:pPr>
              <w:pStyle w:val="133"/>
              <w:rPr>
                <w:snapToGrid w:val="0"/>
                <w:color w:val="000000"/>
                <w:szCs w:val="21"/>
              </w:rPr>
            </w:pPr>
          </w:p>
        </w:tc>
        <w:tc>
          <w:tcPr>
            <w:tcW w:w="772" w:type="pct"/>
            <w:gridSpan w:val="2"/>
            <w:vMerge w:val="continue"/>
            <w:vAlign w:val="center"/>
          </w:tcPr>
          <w:p w14:paraId="6C5243AB">
            <w:pPr>
              <w:pStyle w:val="133"/>
              <w:rPr>
                <w:snapToGrid w:val="0"/>
                <w:color w:val="000000"/>
                <w:szCs w:val="21"/>
              </w:rPr>
            </w:pPr>
          </w:p>
        </w:tc>
        <w:tc>
          <w:tcPr>
            <w:tcW w:w="1414" w:type="pct"/>
            <w:vAlign w:val="center"/>
          </w:tcPr>
          <w:p w14:paraId="2AFAF467">
            <w:pPr>
              <w:pStyle w:val="133"/>
              <w:rPr>
                <w:snapToGrid w:val="0"/>
                <w:color w:val="000000"/>
                <w:szCs w:val="21"/>
              </w:rPr>
            </w:pPr>
            <w:r>
              <w:rPr>
                <w:snapToGrid w:val="0"/>
                <w:color w:val="000000"/>
                <w:szCs w:val="21"/>
              </w:rPr>
              <w:t>环境监测</w:t>
            </w:r>
          </w:p>
        </w:tc>
        <w:tc>
          <w:tcPr>
            <w:tcW w:w="1114" w:type="pct"/>
            <w:vAlign w:val="center"/>
          </w:tcPr>
          <w:p w14:paraId="787EE1DD">
            <w:pPr>
              <w:pStyle w:val="133"/>
              <w:rPr>
                <w:snapToGrid w:val="0"/>
                <w:color w:val="000000"/>
                <w:szCs w:val="21"/>
              </w:rPr>
            </w:pPr>
            <w:r>
              <w:rPr>
                <w:snapToGrid w:val="0"/>
                <w:color w:val="000000"/>
                <w:szCs w:val="21"/>
              </w:rPr>
              <w:t>按要求进行例行监测，建立完善环保档案，定期上报</w:t>
            </w:r>
          </w:p>
        </w:tc>
        <w:tc>
          <w:tcPr>
            <w:tcW w:w="866" w:type="pct"/>
            <w:vAlign w:val="center"/>
          </w:tcPr>
          <w:p w14:paraId="36ABE24F">
            <w:pPr>
              <w:pStyle w:val="133"/>
              <w:rPr>
                <w:snapToGrid w:val="0"/>
                <w:color w:val="000000"/>
                <w:szCs w:val="21"/>
              </w:rPr>
            </w:pPr>
            <w:r>
              <w:rPr>
                <w:color w:val="000000"/>
                <w:szCs w:val="21"/>
              </w:rPr>
              <w:t>/</w:t>
            </w:r>
          </w:p>
        </w:tc>
        <w:tc>
          <w:tcPr>
            <w:tcW w:w="625" w:type="pct"/>
            <w:vAlign w:val="center"/>
          </w:tcPr>
          <w:p w14:paraId="7B15B076">
            <w:pPr>
              <w:pStyle w:val="133"/>
              <w:rPr>
                <w:snapToGrid w:val="0"/>
                <w:color w:val="000000"/>
                <w:szCs w:val="21"/>
              </w:rPr>
            </w:pPr>
            <w:r>
              <w:rPr>
                <w:snapToGrid w:val="0"/>
                <w:color w:val="000000"/>
                <w:szCs w:val="21"/>
              </w:rPr>
              <w:t>按要求实施</w:t>
            </w:r>
          </w:p>
        </w:tc>
      </w:tr>
    </w:tbl>
    <w:p w14:paraId="77B6836C">
      <w:pPr>
        <w:pStyle w:val="38"/>
        <w:ind w:firstLine="0" w:firstLineChars="0"/>
        <w:jc w:val="center"/>
      </w:pPr>
    </w:p>
    <w:p w14:paraId="2FDCB97A">
      <w:pPr>
        <w:pStyle w:val="38"/>
        <w:ind w:firstLine="0" w:firstLineChars="0"/>
        <w:jc w:val="center"/>
      </w:pPr>
    </w:p>
    <w:p w14:paraId="41C43EE2">
      <w:pPr>
        <w:pStyle w:val="133"/>
        <w:ind w:firstLine="480"/>
      </w:pPr>
    </w:p>
    <w:p w14:paraId="20AD3B78">
      <w:pPr>
        <w:pStyle w:val="38"/>
        <w:ind w:firstLine="480"/>
        <w:sectPr>
          <w:footerReference r:id="rId29" w:type="even"/>
          <w:pgSz w:w="16838" w:h="11906" w:orient="landscape"/>
          <w:pgMar w:top="1531" w:right="1418" w:bottom="1286" w:left="1418" w:header="851" w:footer="992" w:gutter="0"/>
          <w:cols w:space="720" w:num="1"/>
          <w:docGrid w:linePitch="326" w:charSpace="0"/>
        </w:sectPr>
      </w:pPr>
    </w:p>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14:paraId="30CF3C7E">
      <w:pPr>
        <w:pStyle w:val="2"/>
        <w:spacing w:before="312"/>
      </w:pPr>
      <w:bookmarkStart w:id="718" w:name="_Toc331608839"/>
      <w:bookmarkStart w:id="719" w:name="_Toc358216749"/>
      <w:bookmarkStart w:id="720" w:name="_Toc369110391"/>
      <w:bookmarkStart w:id="721" w:name="_Toc361055877"/>
      <w:bookmarkStart w:id="722" w:name="_Toc321348188"/>
      <w:bookmarkStart w:id="723" w:name="_Toc369453796"/>
      <w:bookmarkStart w:id="724" w:name="_Toc22387"/>
      <w:bookmarkStart w:id="725" w:name="_Toc332626243"/>
      <w:bookmarkStart w:id="726" w:name="_Toc361060046"/>
      <w:bookmarkStart w:id="727" w:name="_Toc205291432"/>
      <w:bookmarkStart w:id="728" w:name="_Toc18132"/>
      <w:bookmarkStart w:id="729" w:name="_Toc331607268"/>
      <w:bookmarkStart w:id="730" w:name="_Toc321331524"/>
      <w:bookmarkStart w:id="731" w:name="_Toc45970087"/>
      <w:r>
        <w:rPr>
          <w:rFonts w:hint="eastAsia"/>
        </w:rPr>
        <w:t>环境影响评价结论</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195075B5">
      <w:pPr>
        <w:pStyle w:val="3"/>
      </w:pPr>
      <w:bookmarkStart w:id="732" w:name="_Toc9024"/>
      <w:bookmarkStart w:id="733" w:name="_Toc205291433"/>
      <w:bookmarkStart w:id="734" w:name="_Toc6866"/>
      <w:bookmarkStart w:id="735" w:name="_Toc45970088"/>
      <w:bookmarkStart w:id="736" w:name="_Toc361060048"/>
      <w:bookmarkStart w:id="737" w:name="_Toc247049571"/>
      <w:bookmarkStart w:id="738" w:name="_Toc369110393"/>
      <w:bookmarkStart w:id="739" w:name="_Toc321348190"/>
      <w:bookmarkStart w:id="740" w:name="_Toc358216751"/>
      <w:bookmarkStart w:id="741" w:name="_Toc331607270"/>
      <w:bookmarkStart w:id="742" w:name="_Toc332626245"/>
      <w:bookmarkStart w:id="743" w:name="_Toc279011519"/>
      <w:bookmarkStart w:id="744" w:name="_Toc369453798"/>
      <w:bookmarkStart w:id="745" w:name="_Toc331608841"/>
      <w:bookmarkStart w:id="746" w:name="_Toc361055879"/>
      <w:bookmarkStart w:id="747" w:name="_Toc321331526"/>
      <w:bookmarkStart w:id="748" w:name="_Toc175132714"/>
      <w:bookmarkStart w:id="749" w:name="_Toc238481883"/>
      <w:r>
        <w:rPr>
          <w:rFonts w:hint="eastAsia"/>
        </w:rPr>
        <w:t>建设背景</w:t>
      </w:r>
      <w:bookmarkEnd w:id="732"/>
      <w:bookmarkEnd w:id="733"/>
      <w:bookmarkEnd w:id="734"/>
      <w:bookmarkEnd w:id="735"/>
    </w:p>
    <w:p w14:paraId="3EC0629E">
      <w:pPr>
        <w:pStyle w:val="117"/>
        <w:ind w:firstLine="480"/>
      </w:pPr>
      <w:r>
        <w:rPr>
          <w:rFonts w:hint="eastAsia"/>
        </w:rPr>
        <w:t>新疆金盛镁业有限公司（以下简称“金盛镁业公司”）成立于</w:t>
      </w:r>
      <w:r>
        <w:t>2011</w:t>
      </w:r>
      <w:r>
        <w:rPr>
          <w:rFonts w:hint="eastAsia"/>
        </w:rPr>
        <w:t>年</w:t>
      </w:r>
      <w:r>
        <w:t>5</w:t>
      </w:r>
      <w:r>
        <w:rPr>
          <w:rFonts w:hint="eastAsia"/>
        </w:rPr>
        <w:t>月，位于新疆哈密高新技术产业开发区（哈密工业园区）南部循环经济产业园。金盛镁业公司于</w:t>
      </w:r>
      <w:r>
        <w:t>2012</w:t>
      </w:r>
      <w:r>
        <w:rPr>
          <w:rFonts w:hint="eastAsia"/>
        </w:rPr>
        <w:t>年11月取得原新疆维吾尔自治区环境保护厅出具的《新疆金盛镁业有限公司镁合金产业循环经济建设项目环境影响报告书的批复》（新环评价函〔2012〕1185号），批复的建设规模及内容为：“镁及镁合金生产线（采用窑尾带竖式预热器节能环保型回转窑，生产能力为5万t/a）、兰炭生产线（新建8座7.5万t/a的直立炭化炉，生产能力为60万t/a）和硅铁生产线（采用25500千伏安矿热炉，生产能力为5万t/a）”。建设过程中，金盛镁业公司对镁合金产业循环经济建设项目采取了分期建设，截至目前一期工程（年产2</w:t>
      </w:r>
      <w:r>
        <w:t>.5</w:t>
      </w:r>
      <w:r>
        <w:rPr>
          <w:rFonts w:hint="eastAsia"/>
        </w:rPr>
        <w:t>万t/a镁合金生产线、5万t/a硅铁生产线、</w:t>
      </w:r>
      <w:r>
        <w:t>30</w:t>
      </w:r>
      <w:r>
        <w:rPr>
          <w:rFonts w:hint="eastAsia"/>
        </w:rPr>
        <w:t>万t/a兰炭生产线及相关配套设施）已建成投产并已通过竣工环境保护验收，二期工程在建。</w:t>
      </w:r>
    </w:p>
    <w:p w14:paraId="75941446">
      <w:pPr>
        <w:pStyle w:val="117"/>
        <w:ind w:firstLine="480"/>
      </w:pPr>
      <w:r>
        <w:rPr>
          <w:rFonts w:hint="eastAsia"/>
        </w:rPr>
        <w:t>2024年1月19日，生态环境部、国家发展和改革委员会、工业和信息化部、财政部和交通运输部联合印发了《关于推进实施焦化行业超低排放的意见》（环大气〔2024〕5号），要求推进实施焦化行业超低排放改造。</w:t>
      </w:r>
    </w:p>
    <w:p w14:paraId="4CDAA934">
      <w:pPr>
        <w:pStyle w:val="117"/>
        <w:ind w:firstLine="480"/>
      </w:pPr>
      <w:r>
        <w:rPr>
          <w:rFonts w:hint="eastAsia"/>
        </w:rPr>
        <w:t>为积极响应该文件要求，金盛镁业公司拟建设“镁合金产业循环经济建设技改提升项目”，建设内容包括：（1）将现有的</w:t>
      </w:r>
      <w:r>
        <w:t>4</w:t>
      </w:r>
      <w:r>
        <w:rPr>
          <w:rFonts w:hint="eastAsia"/>
        </w:rPr>
        <w:t>×</w:t>
      </w:r>
      <w:r>
        <w:t>7.5</w:t>
      </w:r>
      <w:r>
        <w:rPr>
          <w:rFonts w:hint="eastAsia"/>
        </w:rPr>
        <w:t>万t/a直立式兰炭炉、在建的</w:t>
      </w:r>
      <w:r>
        <w:t>4</w:t>
      </w:r>
      <w:r>
        <w:rPr>
          <w:rFonts w:hint="eastAsia"/>
        </w:rPr>
        <w:t>×</w:t>
      </w:r>
      <w:r>
        <w:t>7.5</w:t>
      </w:r>
      <w:r>
        <w:rPr>
          <w:rFonts w:hint="eastAsia"/>
        </w:rPr>
        <w:t>万t/a直立式兰炭炉改造为4×</w:t>
      </w:r>
      <w:r>
        <w:t>15</w:t>
      </w:r>
      <w:r>
        <w:rPr>
          <w:rFonts w:hint="eastAsia"/>
        </w:rPr>
        <w:t>万t/a内热方形直立炭化炉，兰炭生产线所有生产环节按照焦化行业超低排放的要求进行改造；（2）对现有的</w:t>
      </w:r>
      <w:r>
        <w:t>2</w:t>
      </w:r>
      <w:r>
        <w:rPr>
          <w:rFonts w:hint="eastAsia"/>
        </w:rPr>
        <w:t>×</w:t>
      </w:r>
      <w:r>
        <w:t>25500kVA</w:t>
      </w:r>
      <w:r>
        <w:rPr>
          <w:rFonts w:hint="eastAsia"/>
        </w:rPr>
        <w:t>硅铁炉进行技术改造，升级为</w:t>
      </w:r>
      <w:r>
        <w:t>2</w:t>
      </w:r>
      <w:r>
        <w:rPr>
          <w:rFonts w:hint="eastAsia"/>
        </w:rPr>
        <w:t>×</w:t>
      </w:r>
      <w:r>
        <w:t>33000kVA</w:t>
      </w:r>
      <w:r>
        <w:rPr>
          <w:rFonts w:hint="eastAsia"/>
        </w:rPr>
        <w:t>硅铁炉，硅铁产能达到</w:t>
      </w:r>
      <w:r>
        <w:t>5</w:t>
      </w:r>
      <w:r>
        <w:rPr>
          <w:rFonts w:hint="eastAsia"/>
        </w:rPr>
        <w:t>.6万t/a，满足镁合金的硅铁消耗需求。</w:t>
      </w:r>
    </w:p>
    <w:p w14:paraId="7B9A1FC1">
      <w:pPr>
        <w:pStyle w:val="117"/>
        <w:ind w:firstLine="480"/>
      </w:pPr>
      <w:r>
        <w:rPr>
          <w:rFonts w:hint="eastAsia"/>
        </w:rPr>
        <w:t>本次技改，除增加硅铁产能以满足镁生产需求外，兰炭和金属镁产能均不增加。</w:t>
      </w:r>
    </w:p>
    <w:p w14:paraId="62C13695">
      <w:pPr>
        <w:pStyle w:val="946"/>
      </w:pPr>
      <w:r>
        <w:rPr>
          <w:rFonts w:hint="eastAsia"/>
        </w:rPr>
        <w:t>项目政策及规划符合性分析</w:t>
      </w:r>
    </w:p>
    <w:p w14:paraId="2957DB8E">
      <w:pPr>
        <w:pStyle w:val="138"/>
        <w:rPr>
          <w:rFonts w:hint="eastAsia"/>
        </w:rPr>
      </w:pPr>
      <w:r>
        <w:rPr>
          <w:rFonts w:hint="eastAsia"/>
        </w:rPr>
        <w:t>产业政策符合性分析</w:t>
      </w:r>
    </w:p>
    <w:p w14:paraId="2A8E9FDE">
      <w:pPr>
        <w:pStyle w:val="117"/>
        <w:ind w:firstLine="480"/>
      </w:pPr>
      <w:r>
        <w:rPr>
          <w:rFonts w:hint="eastAsia"/>
        </w:rPr>
        <w:t>（1）</w:t>
      </w:r>
      <w:r>
        <w:t>《产业结构调整指导目录（2024年本）》</w:t>
      </w:r>
      <w:r>
        <w:rPr>
          <w:rFonts w:hint="eastAsia"/>
        </w:rPr>
        <w:t>符合性</w:t>
      </w:r>
    </w:p>
    <w:p w14:paraId="3C97D3DA">
      <w:pPr>
        <w:pStyle w:val="117"/>
        <w:ind w:firstLine="480"/>
        <w:rPr>
          <w:color w:val="000000"/>
        </w:rPr>
      </w:pPr>
      <w:r>
        <w:rPr>
          <w:rFonts w:hint="eastAsia"/>
        </w:rPr>
        <w:t>对照《产业结构调整指导目录（2024年本）》，“新建、扩建镁冶炼项目（综合利用项目除外）”属于限制类，</w:t>
      </w:r>
      <w:r>
        <w:rPr>
          <w:rFonts w:hint="eastAsia"/>
          <w:color w:val="000000"/>
        </w:rPr>
        <w:t>本次技改不涉及镁合金生产线，不属于</w:t>
      </w:r>
      <w:r>
        <w:rPr>
          <w:rFonts w:hint="eastAsia"/>
        </w:rPr>
        <w:t>新建、扩建镁冶炼项目，</w:t>
      </w:r>
      <w:r>
        <w:rPr>
          <w:rFonts w:hint="eastAsia"/>
          <w:color w:val="000000"/>
        </w:rPr>
        <w:t>因此不属于限制类。</w:t>
      </w:r>
    </w:p>
    <w:p w14:paraId="27A7219F">
      <w:pPr>
        <w:ind w:firstLine="480"/>
      </w:pPr>
      <w:r>
        <w:rPr>
          <w:rFonts w:hint="eastAsia"/>
        </w:rPr>
        <w:t>对照《产业结构调整指导目录（2024年本）》，“</w:t>
      </w:r>
      <w:r>
        <w:t>半焦炉单炉生产能力</w:t>
      </w:r>
      <w:r>
        <w:rPr>
          <w:rFonts w:hint="eastAsia"/>
        </w:rPr>
        <w:t>＜10万吨/年（单炉生产能力≥5万吨/年且使用低阶煤高温热解工艺的镁冶炼配气装置除外）”属于限制类；“</w:t>
      </w:r>
      <w:r>
        <w:t>单炉产能7.5万吨/年以下（单炉产能≥5万吨/年且使用低阶煤高温热解工艺的镁冶炼配气装置除外）或无煤气、焦油回收利用和污水处理达不到焦化行业规范条件的半焦（兰炭）生产装置</w:t>
      </w:r>
      <w:r>
        <w:rPr>
          <w:rFonts w:hint="eastAsia"/>
        </w:rPr>
        <w:t>”属于淘汰类。</w:t>
      </w:r>
      <w:r>
        <w:rPr>
          <w:rFonts w:hint="eastAsia"/>
          <w:color w:val="000000"/>
        </w:rPr>
        <w:t>本次技改</w:t>
      </w:r>
      <w:r>
        <w:rPr>
          <w:rFonts w:hint="eastAsia"/>
        </w:rPr>
        <w:t>兰炭生产线单炉生产能力15万吨/年，配套煤气与焦油回收利用设施，生产废水预处理后焚烧，不属于上述“限制类”和“淘汰类”。</w:t>
      </w:r>
    </w:p>
    <w:p w14:paraId="51C198EB">
      <w:pPr>
        <w:pStyle w:val="117"/>
        <w:ind w:firstLine="480"/>
      </w:pPr>
      <w:r>
        <w:rPr>
          <w:rFonts w:hint="eastAsia"/>
        </w:rPr>
        <w:t>（</w:t>
      </w:r>
      <w:r>
        <w:t>2</w:t>
      </w:r>
      <w:r>
        <w:rPr>
          <w:rFonts w:hint="eastAsia"/>
        </w:rPr>
        <w:t>）《市场准入负面清单（2025年版）》（发改体改规〔2025〕466号）</w:t>
      </w:r>
    </w:p>
    <w:p w14:paraId="0B144624">
      <w:pPr>
        <w:pStyle w:val="117"/>
        <w:ind w:firstLine="480"/>
      </w:pPr>
      <w:r>
        <w:rPr>
          <w:rFonts w:hint="eastAsia"/>
        </w:rPr>
        <w:t>对照《市场准入负面清单（2025年版）》（发改体改规〔2025〕466号），“重点区域严禁新增钢铁、焦化、水泥熟料、平板玻璃、电解铝、氧化铝、煤化工产能”属于与市场准入相关的禁止性规定采取的禁止措施，本次技改不扩大兰炭生产规模、项目所在地不属于重点区域，因此本项目不涉及《市场准入负面清单（2025年版）》中禁止措施。</w:t>
      </w:r>
    </w:p>
    <w:p w14:paraId="23D39398">
      <w:pPr>
        <w:pStyle w:val="117"/>
        <w:ind w:firstLine="480"/>
      </w:pPr>
      <w:r>
        <w:rPr>
          <w:rFonts w:hint="eastAsia"/>
        </w:rPr>
        <w:t>（3）《西部地区鼓励类产业目录（2025年本）》（中华人民共和国国家发展和改革委员会令 第28号）</w:t>
      </w:r>
    </w:p>
    <w:p w14:paraId="06D1F0C2">
      <w:pPr>
        <w:pStyle w:val="117"/>
        <w:ind w:firstLine="480"/>
      </w:pPr>
      <w:r>
        <w:rPr>
          <w:rFonts w:hint="eastAsia"/>
        </w:rPr>
        <w:t>本项目为镁合金产业循环经济建设技改提升项目，技改项目属于镁合金生产的配套工程，对照《西部地区鼓励类产业目录（2025年本）》，本项目属于新疆维吾尔自治区（含新疆生产建设兵团）鼓励发展的产业目录第19条：“19.铁、锰、铜、镍、铅、锌、钨、锡、钛、锑、镁、稀有金属和稀散金属勘探、有序开采、精深加工、加工新技术开发及应用”中镁精深加工，因此本项目属于新疆维吾尔自治区（含新疆生产建设兵团）鼓励发展产业的配套产业。</w:t>
      </w:r>
    </w:p>
    <w:p w14:paraId="3F0E0157">
      <w:pPr>
        <w:pStyle w:val="138"/>
        <w:rPr>
          <w:rFonts w:hint="eastAsia"/>
        </w:rPr>
      </w:pPr>
      <w:r>
        <w:rPr>
          <w:rFonts w:hint="eastAsia"/>
        </w:rPr>
        <w:t>相关政策符合性分析</w:t>
      </w:r>
    </w:p>
    <w:p w14:paraId="17564FA8">
      <w:pPr>
        <w:ind w:firstLine="480"/>
      </w:pPr>
      <w:r>
        <w:rPr>
          <w:rFonts w:hint="eastAsia"/>
        </w:rPr>
        <w:t>本项目符合《2024—2025年节能降碳行动方案》</w:t>
      </w:r>
      <w:r>
        <w:t>《</w:t>
      </w:r>
      <w:r>
        <w:rPr>
          <w:rFonts w:hint="eastAsia"/>
        </w:rPr>
        <w:t>中共中央 国务院关于深入打好污染防治攻坚战的意见</w:t>
      </w:r>
      <w:r>
        <w:t>》《中共中央</w:t>
      </w:r>
      <w:r>
        <w:rPr>
          <w:rFonts w:hint="eastAsia"/>
        </w:rPr>
        <w:t xml:space="preserve"> </w:t>
      </w:r>
      <w:r>
        <w:t>国务院关于新时代推进西部大开发形成新格局的指导意见》</w:t>
      </w:r>
      <w:r>
        <w:rPr>
          <w:rFonts w:hint="eastAsia"/>
        </w:rPr>
        <w:t>《国务院关于印发2030年前碳达峰行动方案的通知》《关于加强高耗能、高排放建设项目生态环境源头防控的指导意见》等政策要求。</w:t>
      </w:r>
    </w:p>
    <w:p w14:paraId="653AACD5">
      <w:pPr>
        <w:pStyle w:val="138"/>
        <w:rPr>
          <w:rFonts w:hint="eastAsia"/>
        </w:rPr>
      </w:pPr>
      <w:r>
        <w:rPr>
          <w:rFonts w:hint="eastAsia"/>
        </w:rPr>
        <w:t>与园区规划的符合性</w:t>
      </w:r>
    </w:p>
    <w:p w14:paraId="09A1292D">
      <w:pPr>
        <w:pStyle w:val="117"/>
        <w:ind w:firstLine="480"/>
      </w:pPr>
      <w:r>
        <w:rPr>
          <w:rFonts w:hint="eastAsia"/>
        </w:rPr>
        <w:t>本项目位于南部循环经济产业园。对照《哈密高新技术产业开发区国土空间专向规划（2023-2035）</w:t>
      </w:r>
      <w:r>
        <w:t>》</w:t>
      </w:r>
      <w:r>
        <w:rPr>
          <w:rFonts w:hint="eastAsia"/>
        </w:rPr>
        <w:t>，南部循环经济产业园--</w:t>
      </w:r>
      <w:r>
        <w:t>高端重型装备制造基地、化工产业集聚区、战略性新材料产业集聚区、先进新材料产业集聚区、中试产业集聚区、仓储物流产业集聚区</w:t>
      </w:r>
      <w:r>
        <w:rPr>
          <w:rFonts w:hint="eastAsia"/>
        </w:rPr>
        <w:t>。本项目位于</w:t>
      </w:r>
      <w:r>
        <w:t>先进新材料产业集聚区</w:t>
      </w:r>
      <w:r>
        <w:rPr>
          <w:rFonts w:hint="eastAsia"/>
        </w:rPr>
        <w:t>，用地类型规划为三类工业用地。</w:t>
      </w:r>
    </w:p>
    <w:p w14:paraId="06B54E5C">
      <w:pPr>
        <w:pStyle w:val="117"/>
        <w:ind w:firstLine="480"/>
      </w:pPr>
      <w:r>
        <w:t>推动有色金属、非金属 矿产资源由矿石采选向基础材料的延伸，实现对低品位钒钛 磁铁矿、有色金属尾矿等资源的综合开发利用，初步形成钛及钛合金、镁及镁合金、硅基新材料、环保材料等新材料产 55 业。</w:t>
      </w:r>
      <w:r>
        <w:rPr>
          <w:rFonts w:cs="Times New Roman"/>
        </w:rPr>
        <w:t>本项目</w:t>
      </w:r>
      <w:r>
        <w:rPr>
          <w:rFonts w:hint="eastAsia" w:cs="Times New Roman"/>
        </w:rPr>
        <w:t>兰炭生产线及硅铁生产线属于重点发展的镁及镁合金材料产业的配套设施</w:t>
      </w:r>
      <w:r>
        <w:rPr>
          <w:rFonts w:cs="Times New Roman"/>
        </w:rPr>
        <w:t>，</w:t>
      </w:r>
      <w:r>
        <w:rPr>
          <w:rFonts w:hint="eastAsia" w:cs="Times New Roman"/>
        </w:rPr>
        <w:t>属于三类工业项目，</w:t>
      </w:r>
      <w:r>
        <w:rPr>
          <w:rFonts w:hint="eastAsia"/>
        </w:rPr>
        <w:t>因此本项目建设符合《</w:t>
      </w:r>
      <w:r>
        <w:rPr>
          <w:rFonts w:hint="eastAsia" w:ascii="宋体" w:hAnsi="宋体"/>
        </w:rPr>
        <w:t>哈密高新技术产业开发区国土空间专向规划（2023-2035）</w:t>
      </w:r>
      <w:r>
        <w:t>》</w:t>
      </w:r>
      <w:r>
        <w:rPr>
          <w:rFonts w:hint="eastAsia"/>
        </w:rPr>
        <w:t>及其批复。</w:t>
      </w:r>
    </w:p>
    <w:p w14:paraId="22C65ED0">
      <w:pPr>
        <w:pStyle w:val="117"/>
        <w:ind w:firstLine="480"/>
      </w:pPr>
      <w:r>
        <w:t>南部循环经济产业园产业重点发展方向：在已有钛、镁、硅产业发展的基础 上，培育由初级冶炼加工为主导</w:t>
      </w:r>
      <w:r>
        <w:rPr>
          <w:rFonts w:hint="eastAsia" w:ascii="宋体" w:hAnsi="宋体"/>
        </w:rPr>
        <w:t>专</w:t>
      </w:r>
      <w:r>
        <w:t>向合金材料、精密铸造件加工为主导的高端新 材料产业体系，前瞻布局超硬材料、玄武岩纤维、碳纤维等战略性新材料产业， 建设国家需要、西部领先、全疆规模最大的新材料产业发展高地。南部循环经济产业园分为：先进新材料产业集聚区、高端装备制造集聚区、 战略性新材料集聚区、化工产业集聚区、中试产业集聚区、仓储物流产业集聚区；先进新材料产业集聚区主要承载钛及钛合金新材料、镁及镁合金新材料等产业的研发和制造功能，着重发展钛、镁锻铸件、钛、镁合金新材料应用等细分产业，并重点拓展钛、镁合金新材料应用领域，打造全疆产业链最全的新材料产业集聚区。</w:t>
      </w:r>
    </w:p>
    <w:p w14:paraId="2F300544">
      <w:pPr>
        <w:pStyle w:val="117"/>
        <w:ind w:firstLine="480"/>
        <w:rPr>
          <w:rFonts w:cs="Times New Roman"/>
        </w:rPr>
      </w:pPr>
      <w:r>
        <w:rPr>
          <w:rFonts w:hint="eastAsia"/>
        </w:rPr>
        <w:t>本项目位于</w:t>
      </w:r>
      <w:r>
        <w:t>南部循环经济产业园先进新材料产业集聚区</w:t>
      </w:r>
      <w:r>
        <w:rPr>
          <w:rFonts w:hint="eastAsia"/>
        </w:rPr>
        <w:t>，</w:t>
      </w:r>
      <w:r>
        <w:t>项目</w:t>
      </w:r>
      <w:r>
        <w:rPr>
          <w:rFonts w:hint="eastAsia"/>
        </w:rPr>
        <w:t>兰炭生产线及硅铁生产线属于重点发展的镁及镁合金材料产业的配套设施，符合</w:t>
      </w:r>
      <w:r>
        <w:rPr>
          <w:rFonts w:cs="Times New Roman"/>
        </w:rPr>
        <w:t>《哈密高新技术产业开发区国土空间</w:t>
      </w:r>
      <w:r>
        <w:rPr>
          <w:rFonts w:hint="eastAsia" w:ascii="宋体" w:hAnsi="宋体"/>
        </w:rPr>
        <w:t>专</w:t>
      </w:r>
      <w:r>
        <w:rPr>
          <w:rFonts w:cs="Times New Roman"/>
        </w:rPr>
        <w:t>向规划（2023-2035）环境影响报告书》</w:t>
      </w:r>
      <w:r>
        <w:rPr>
          <w:rFonts w:hint="eastAsia" w:cs="Times New Roman"/>
        </w:rPr>
        <w:t>。</w:t>
      </w:r>
    </w:p>
    <w:p w14:paraId="1A7791AD">
      <w:pPr>
        <w:pStyle w:val="138"/>
        <w:rPr>
          <w:rFonts w:hint="eastAsia"/>
        </w:rPr>
      </w:pPr>
      <w:r>
        <w:rPr>
          <w:rFonts w:hint="eastAsia"/>
        </w:rPr>
        <w:t>项目规划符合性分析</w:t>
      </w:r>
    </w:p>
    <w:p w14:paraId="2ABCA350">
      <w:pPr>
        <w:pStyle w:val="117"/>
        <w:ind w:firstLine="480"/>
      </w:pPr>
      <w:r>
        <w:rPr>
          <w:rFonts w:hint="eastAsia"/>
        </w:rPr>
        <w:t>根据分析，本项目符合</w:t>
      </w:r>
      <w:r>
        <w:t>《新疆主体功能区规划》《新疆生态功能区划》</w:t>
      </w:r>
      <w:r>
        <w:rPr>
          <w:rFonts w:hint="eastAsia"/>
        </w:rPr>
        <w:t>《</w:t>
      </w:r>
      <w:r>
        <w:t>新疆维吾尔自治区国民经济和社会发展第十四个五年规划和2035年远景目标纲要》《</w:t>
      </w:r>
      <w:r>
        <w:rPr>
          <w:rFonts w:hint="eastAsia"/>
        </w:rPr>
        <w:t>哈密市</w:t>
      </w:r>
      <w:r>
        <w:t>国民经济和社会发展第十四个五年规划和2035年远景目标纲要》《新疆维吾尔自治区</w:t>
      </w:r>
      <w:r>
        <w:rPr>
          <w:rFonts w:hint="eastAsia"/>
        </w:rPr>
        <w:t>生态</w:t>
      </w:r>
      <w:r>
        <w:t>环境保护“十四五”规划》《</w:t>
      </w:r>
      <w:r>
        <w:rPr>
          <w:rFonts w:hint="eastAsia"/>
        </w:rPr>
        <w:t>哈密市生态</w:t>
      </w:r>
      <w:r>
        <w:t>环境保护“十四五”规划》</w:t>
      </w:r>
      <w:r>
        <w:rPr>
          <w:rFonts w:hint="eastAsia"/>
        </w:rPr>
        <w:t>等</w:t>
      </w:r>
      <w:r>
        <w:t>自治区</w:t>
      </w:r>
      <w:r>
        <w:rPr>
          <w:rFonts w:hint="eastAsia"/>
        </w:rPr>
        <w:t>、哈密市</w:t>
      </w:r>
      <w:r>
        <w:t>的相关规划。</w:t>
      </w:r>
    </w:p>
    <w:p w14:paraId="744A52BB">
      <w:pPr>
        <w:pStyle w:val="138"/>
        <w:rPr>
          <w:rFonts w:hint="eastAsia"/>
        </w:rPr>
      </w:pPr>
      <w:r>
        <w:rPr>
          <w:rFonts w:hint="eastAsia"/>
        </w:rPr>
        <w:t>“三线一单”符合性分析</w:t>
      </w:r>
    </w:p>
    <w:p w14:paraId="6254C425">
      <w:pPr>
        <w:ind w:firstLine="480"/>
      </w:pPr>
      <w:r>
        <w:rPr>
          <w:rFonts w:hint="eastAsia"/>
        </w:rPr>
        <w:t>本项目建设符合</w:t>
      </w:r>
      <w:r>
        <w:t>《</w:t>
      </w:r>
      <w:r>
        <w:rPr>
          <w:rFonts w:hint="eastAsia"/>
        </w:rPr>
        <w:t>哈密</w:t>
      </w:r>
      <w:r>
        <w:t>市“三线一单”生态环境分区管控方案》（</w:t>
      </w:r>
      <w:r>
        <w:rPr>
          <w:rFonts w:hint="eastAsia"/>
        </w:rPr>
        <w:t>哈</w:t>
      </w:r>
      <w:r>
        <w:t>政办</w:t>
      </w:r>
      <w:r>
        <w:rPr>
          <w:rFonts w:hint="eastAsia"/>
        </w:rPr>
        <w:t>发〔2021〕37号</w:t>
      </w:r>
      <w:r>
        <w:t>）</w:t>
      </w:r>
      <w:r>
        <w:rPr>
          <w:rFonts w:hint="eastAsia"/>
        </w:rPr>
        <w:t>相关管控要求</w:t>
      </w:r>
    </w:p>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14:paraId="68F5B527">
      <w:pPr>
        <w:pStyle w:val="3"/>
      </w:pPr>
      <w:bookmarkStart w:id="750" w:name="_Toc15809"/>
      <w:bookmarkStart w:id="751" w:name="_Toc95730949"/>
      <w:bookmarkStart w:id="752" w:name="_Toc45970089"/>
      <w:bookmarkStart w:id="753" w:name="_Toc22837"/>
      <w:bookmarkStart w:id="754" w:name="_Toc205291434"/>
      <w:bookmarkStart w:id="755" w:name="_Toc45970095"/>
      <w:bookmarkStart w:id="756" w:name="_Toc14281"/>
      <w:bookmarkStart w:id="757" w:name="_Toc8072"/>
      <w:bookmarkStart w:id="758" w:name="_Toc331608845"/>
      <w:bookmarkStart w:id="759" w:name="_Toc175132730"/>
      <w:bookmarkStart w:id="760" w:name="_Toc369110409"/>
      <w:bookmarkStart w:id="761" w:name="_Toc321331530"/>
      <w:bookmarkStart w:id="762" w:name="_Toc321348194"/>
      <w:bookmarkStart w:id="763" w:name="_Toc369453814"/>
      <w:bookmarkStart w:id="764" w:name="_Toc332626249"/>
      <w:bookmarkStart w:id="765" w:name="_Toc358216755"/>
      <w:bookmarkStart w:id="766" w:name="_Toc331607274"/>
      <w:r>
        <w:rPr>
          <w:rFonts w:hint="eastAsia"/>
        </w:rPr>
        <w:t>工程建设内容</w:t>
      </w:r>
      <w:bookmarkEnd w:id="750"/>
      <w:bookmarkEnd w:id="751"/>
      <w:bookmarkEnd w:id="752"/>
      <w:bookmarkEnd w:id="753"/>
      <w:bookmarkEnd w:id="754"/>
    </w:p>
    <w:p w14:paraId="353380B8">
      <w:pPr>
        <w:pStyle w:val="138"/>
        <w:rPr>
          <w:rFonts w:hint="eastAsia"/>
        </w:rPr>
      </w:pPr>
      <w:bookmarkStart w:id="767" w:name="_Toc13880"/>
      <w:bookmarkStart w:id="768" w:name="_Toc329871240"/>
      <w:bookmarkStart w:id="769" w:name="_Toc369453799"/>
      <w:bookmarkStart w:id="770" w:name="_Toc326330821"/>
      <w:bookmarkStart w:id="771" w:name="_Toc321999889"/>
      <w:bookmarkStart w:id="772" w:name="_Toc322370454"/>
      <w:bookmarkStart w:id="773" w:name="_Toc361060049"/>
      <w:bookmarkStart w:id="774" w:name="_Toc326330726"/>
      <w:bookmarkStart w:id="775" w:name="_Toc361055880"/>
      <w:bookmarkStart w:id="776" w:name="_Toc319512548"/>
      <w:bookmarkStart w:id="777" w:name="_Toc369110394"/>
      <w:bookmarkStart w:id="778" w:name="_Toc322424056"/>
      <w:bookmarkStart w:id="779" w:name="_Toc175132715"/>
      <w:bookmarkStart w:id="780" w:name="_Toc329688337"/>
      <w:bookmarkStart w:id="781" w:name="_Toc334793353"/>
      <w:bookmarkStart w:id="782" w:name="_Toc329612678"/>
      <w:bookmarkStart w:id="783" w:name="_Toc322424182"/>
      <w:r>
        <w:rPr>
          <w:rFonts w:hint="eastAsia"/>
        </w:rPr>
        <w:t>项目概况</w:t>
      </w:r>
      <w:bookmarkEnd w:id="767"/>
    </w:p>
    <w:p w14:paraId="13DDEDBC">
      <w:pPr>
        <w:pStyle w:val="117"/>
        <w:ind w:firstLine="480"/>
        <w:rPr>
          <w:rFonts w:cs="Times New Roman"/>
        </w:rPr>
      </w:pPr>
      <w:r>
        <w:rPr>
          <w:rFonts w:hint="eastAsia"/>
        </w:rPr>
        <w:t>新疆金盛镁业有限公司镁合金产业循环经济建设技改提升项目位于</w:t>
      </w:r>
      <w:r>
        <w:rPr>
          <w:rFonts w:hint="eastAsia" w:ascii="宋体" w:hAnsi="宋体"/>
        </w:rPr>
        <w:t>哈密高新技术产业开发区南部循环经济产业园</w:t>
      </w:r>
      <w:r>
        <w:rPr>
          <w:rFonts w:hint="eastAsia"/>
        </w:rPr>
        <w:t>，项目中心地理</w:t>
      </w:r>
      <w:r>
        <w:rPr>
          <w:rFonts w:cs="Times New Roman"/>
        </w:rPr>
        <w:t>坐标为：。</w:t>
      </w:r>
    </w:p>
    <w:p w14:paraId="43F60570">
      <w:pPr>
        <w:pStyle w:val="117"/>
        <w:ind w:firstLine="480"/>
      </w:pPr>
      <w:r>
        <w:rPr>
          <w:rFonts w:hint="eastAsia" w:cs="Times New Roman"/>
        </w:rPr>
        <w:t>项目建设性质为</w:t>
      </w:r>
      <w:r>
        <w:rPr>
          <w:rFonts w:hint="eastAsia"/>
        </w:rPr>
        <w:t>技术改造。</w:t>
      </w:r>
    </w:p>
    <w:p w14:paraId="503B5FBF">
      <w:pPr>
        <w:pStyle w:val="117"/>
        <w:ind w:firstLine="480"/>
      </w:pPr>
      <w:r>
        <w:rPr>
          <w:rFonts w:hint="eastAsia"/>
        </w:rPr>
        <w:t>项目建设规模为：将现有</w:t>
      </w:r>
      <w:r>
        <w:t>4</w:t>
      </w:r>
      <w:r>
        <w:rPr>
          <w:rFonts w:hint="eastAsia"/>
        </w:rPr>
        <w:t>×</w:t>
      </w:r>
      <w:r>
        <w:t>7.5</w:t>
      </w:r>
      <w:r>
        <w:rPr>
          <w:rFonts w:hint="eastAsia"/>
        </w:rPr>
        <w:t>万t/a直立式兰炭炉和在建</w:t>
      </w:r>
      <w:r>
        <w:t>4</w:t>
      </w:r>
      <w:r>
        <w:rPr>
          <w:rFonts w:hint="eastAsia"/>
        </w:rPr>
        <w:t>×</w:t>
      </w:r>
      <w:r>
        <w:t>7.5</w:t>
      </w:r>
      <w:r>
        <w:rPr>
          <w:rFonts w:hint="eastAsia"/>
        </w:rPr>
        <w:t>万t/a直立式兰炭炉改造为4×15万t/a直立式兰炭炉，兰炭生产规模不增加；将</w:t>
      </w:r>
      <w:r>
        <w:t>2</w:t>
      </w:r>
      <w:r>
        <w:rPr>
          <w:rFonts w:hint="eastAsia"/>
        </w:rPr>
        <w:t>×</w:t>
      </w:r>
      <w:r>
        <w:t>25500kVA</w:t>
      </w:r>
      <w:r>
        <w:rPr>
          <w:rFonts w:hint="eastAsia"/>
        </w:rPr>
        <w:t>硅铁炉改造为2×33000</w:t>
      </w:r>
      <w:r>
        <w:t>kVA</w:t>
      </w:r>
      <w:r>
        <w:rPr>
          <w:rFonts w:hint="eastAsia"/>
        </w:rPr>
        <w:t>硅铁炉，硅铁产能从5万t/a扩大至5.6万t/a。</w:t>
      </w:r>
    </w:p>
    <w:p w14:paraId="10D4F5DC">
      <w:pPr>
        <w:pStyle w:val="138"/>
        <w:rPr>
          <w:rFonts w:hint="eastAsia"/>
        </w:rPr>
      </w:pPr>
      <w:bookmarkStart w:id="784" w:name="_Toc407"/>
      <w:r>
        <w:rPr>
          <w:rFonts w:hint="eastAsia"/>
        </w:rPr>
        <w:t>建设内容</w:t>
      </w:r>
      <w:bookmarkEnd w:id="784"/>
    </w:p>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14:paraId="54E8B9BC">
      <w:pPr>
        <w:pStyle w:val="117"/>
        <w:ind w:firstLine="480"/>
      </w:pPr>
      <w:bookmarkStart w:id="785" w:name="_Toc247049573"/>
      <w:bookmarkStart w:id="786" w:name="_Toc95730951"/>
      <w:bookmarkStart w:id="787" w:name="_Toc321331528"/>
      <w:bookmarkStart w:id="788" w:name="_Toc361055882"/>
      <w:bookmarkStart w:id="789" w:name="_Toc3528"/>
      <w:bookmarkStart w:id="790" w:name="_Toc279011521"/>
      <w:bookmarkStart w:id="791" w:name="_Toc369453805"/>
      <w:bookmarkStart w:id="792" w:name="_Toc238481885"/>
      <w:bookmarkStart w:id="793" w:name="_Toc45970091"/>
      <w:bookmarkStart w:id="794" w:name="_Toc331607272"/>
      <w:bookmarkStart w:id="795" w:name="_Toc361060051"/>
      <w:bookmarkStart w:id="796" w:name="_Toc321348192"/>
      <w:bookmarkStart w:id="797" w:name="_Toc14012"/>
      <w:bookmarkStart w:id="798" w:name="_Toc331608843"/>
      <w:bookmarkStart w:id="799" w:name="_Toc175132719"/>
      <w:bookmarkStart w:id="800" w:name="_Toc332626247"/>
      <w:bookmarkStart w:id="801" w:name="_Toc369110400"/>
      <w:bookmarkStart w:id="802" w:name="_Toc358216753"/>
      <w:r>
        <w:rPr>
          <w:rFonts w:hint="eastAsia"/>
        </w:rPr>
        <w:t>本项目属于技改提升工程，建设内容主要为：</w:t>
      </w:r>
    </w:p>
    <w:p w14:paraId="7F2A3FB4">
      <w:pPr>
        <w:pStyle w:val="117"/>
        <w:ind w:firstLine="480"/>
      </w:pPr>
      <w:r>
        <w:rPr>
          <w:rFonts w:hint="eastAsia"/>
        </w:rPr>
        <w:t>（1）对现有</w:t>
      </w:r>
      <w:r>
        <w:t>4</w:t>
      </w:r>
      <w:r>
        <w:rPr>
          <w:rFonts w:hint="eastAsia"/>
        </w:rPr>
        <w:t>×</w:t>
      </w:r>
      <w:r>
        <w:t>7.5</w:t>
      </w:r>
      <w:r>
        <w:rPr>
          <w:rFonts w:hint="eastAsia"/>
        </w:rPr>
        <w:t>万t/a和在建</w:t>
      </w:r>
      <w:r>
        <w:t>4</w:t>
      </w:r>
      <w:r>
        <w:rPr>
          <w:rFonts w:hint="eastAsia"/>
        </w:rPr>
        <w:t>×</w:t>
      </w:r>
      <w:r>
        <w:t>7.5</w:t>
      </w:r>
      <w:r>
        <w:rPr>
          <w:rFonts w:hint="eastAsia"/>
        </w:rPr>
        <w:t>万t/a直立式兰炭炉进行改造，改造为4×</w:t>
      </w:r>
      <w:r>
        <w:t>15</w:t>
      </w:r>
      <w:r>
        <w:rPr>
          <w:rFonts w:hint="eastAsia"/>
        </w:rPr>
        <w:t>万t/a内热方形直立炭化炉；将兰炭生产线</w:t>
      </w:r>
      <w:r>
        <w:rPr>
          <w:rFonts w:hint="eastAsia"/>
          <w:color w:val="000000"/>
          <w:szCs w:val="21"/>
        </w:rPr>
        <w:t>备煤、炼焦、熄焦、焦处理、煤气净化等生产环节，以及物料产品储存运输的大气污染物有组织排放、无组织排放及运输过程均按照</w:t>
      </w:r>
      <w:r>
        <w:rPr>
          <w:rFonts w:hint="eastAsia"/>
          <w:color w:val="000000"/>
        </w:rPr>
        <w:t>《关于推进实施焦化行业超低排放的意见》中</w:t>
      </w:r>
      <w:r>
        <w:rPr>
          <w:rFonts w:hint="eastAsia"/>
          <w:color w:val="000000"/>
          <w:szCs w:val="21"/>
        </w:rPr>
        <w:t>超低排放要求进行改造</w:t>
      </w:r>
      <w:r>
        <w:rPr>
          <w:rFonts w:hint="eastAsia"/>
        </w:rPr>
        <w:t>。</w:t>
      </w:r>
    </w:p>
    <w:p w14:paraId="12DAD780">
      <w:pPr>
        <w:pStyle w:val="117"/>
        <w:ind w:firstLine="480"/>
      </w:pPr>
      <w:r>
        <w:rPr>
          <w:rFonts w:hint="eastAsia"/>
        </w:rPr>
        <w:t>（2）对现有</w:t>
      </w:r>
      <w:r>
        <w:t>2</w:t>
      </w:r>
      <w:r>
        <w:rPr>
          <w:rFonts w:hint="eastAsia"/>
        </w:rPr>
        <w:t>×</w:t>
      </w:r>
      <w:r>
        <w:t>25500kVA</w:t>
      </w:r>
      <w:r>
        <w:rPr>
          <w:rFonts w:hint="eastAsia"/>
        </w:rPr>
        <w:t>硅铁炉进行技术改造，升级为</w:t>
      </w:r>
      <w:r>
        <w:t>2</w:t>
      </w:r>
      <w:r>
        <w:rPr>
          <w:rFonts w:hint="eastAsia"/>
        </w:rPr>
        <w:t>×</w:t>
      </w:r>
      <w:r>
        <w:t>33000kVA</w:t>
      </w:r>
      <w:r>
        <w:rPr>
          <w:rFonts w:hint="eastAsia"/>
        </w:rPr>
        <w:t>硅铁炉，硅铁产能达到</w:t>
      </w:r>
      <w:r>
        <w:t>5.6</w:t>
      </w:r>
      <w:r>
        <w:rPr>
          <w:rFonts w:hint="eastAsia"/>
        </w:rPr>
        <w:t>万t/a，满足全厂镁合金生产的硅铁消耗需求。</w:t>
      </w:r>
    </w:p>
    <w:p w14:paraId="708A0DC2">
      <w:pPr>
        <w:pStyle w:val="946"/>
      </w:pPr>
      <w:r>
        <w:rPr>
          <w:rFonts w:hint="eastAsia"/>
        </w:rPr>
        <w:t>环境现状结论</w:t>
      </w:r>
    </w:p>
    <w:p w14:paraId="7B3EB785">
      <w:pPr>
        <w:pStyle w:val="138"/>
        <w:rPr>
          <w:rFonts w:hint="eastAsia"/>
        </w:rPr>
      </w:pPr>
      <w:r>
        <w:rPr>
          <w:rFonts w:hint="eastAsia"/>
        </w:rPr>
        <w:t>大气环境</w:t>
      </w:r>
    </w:p>
    <w:p w14:paraId="2A50853C">
      <w:pPr>
        <w:pStyle w:val="117"/>
        <w:ind w:firstLine="480"/>
        <w:rPr>
          <w:bCs/>
          <w:szCs w:val="26"/>
        </w:rPr>
      </w:pPr>
      <w:r>
        <w:rPr>
          <w:rFonts w:hint="eastAsia"/>
          <w:bCs/>
          <w:szCs w:val="26"/>
        </w:rPr>
        <w:t>根据生态环境部环境空气质量模型技术支持服务系统提供的数据，哈密市2023年SO</w:t>
      </w:r>
      <w:r>
        <w:rPr>
          <w:rFonts w:hint="eastAsia"/>
          <w:bCs/>
          <w:szCs w:val="26"/>
          <w:vertAlign w:val="subscript"/>
        </w:rPr>
        <w:t>2</w:t>
      </w:r>
      <w:r>
        <w:rPr>
          <w:rFonts w:hint="eastAsia"/>
          <w:bCs/>
          <w:szCs w:val="26"/>
        </w:rPr>
        <w:t>、NO</w:t>
      </w:r>
      <w:r>
        <w:rPr>
          <w:rFonts w:hint="eastAsia"/>
          <w:bCs/>
          <w:szCs w:val="26"/>
          <w:vertAlign w:val="subscript"/>
        </w:rPr>
        <w:t>2</w:t>
      </w:r>
      <w:r>
        <w:rPr>
          <w:rFonts w:hint="eastAsia"/>
          <w:bCs/>
          <w:szCs w:val="26"/>
        </w:rPr>
        <w:t>、PM</w:t>
      </w:r>
      <w:r>
        <w:rPr>
          <w:rFonts w:hint="eastAsia"/>
          <w:bCs/>
          <w:szCs w:val="26"/>
          <w:vertAlign w:val="subscript"/>
        </w:rPr>
        <w:t>10</w:t>
      </w:r>
      <w:r>
        <w:rPr>
          <w:rFonts w:hint="eastAsia"/>
          <w:bCs/>
          <w:szCs w:val="26"/>
        </w:rPr>
        <w:t>、PM</w:t>
      </w:r>
      <w:r>
        <w:rPr>
          <w:rFonts w:hint="eastAsia"/>
          <w:bCs/>
          <w:szCs w:val="26"/>
          <w:vertAlign w:val="subscript"/>
        </w:rPr>
        <w:t>2.5</w:t>
      </w:r>
      <w:r>
        <w:rPr>
          <w:rFonts w:hint="eastAsia"/>
          <w:bCs/>
          <w:szCs w:val="26"/>
        </w:rPr>
        <w:t>年均浓度分别为6</w:t>
      </w:r>
      <w:r>
        <w:rPr>
          <w:bCs/>
          <w:szCs w:val="26"/>
        </w:rPr>
        <w:t>μg/m</w:t>
      </w:r>
      <w:r>
        <w:rPr>
          <w:bCs/>
          <w:szCs w:val="26"/>
          <w:vertAlign w:val="superscript"/>
        </w:rPr>
        <w:t>3</w:t>
      </w:r>
      <w:r>
        <w:rPr>
          <w:rFonts w:hint="eastAsia"/>
          <w:bCs/>
          <w:szCs w:val="26"/>
        </w:rPr>
        <w:t>、32</w:t>
      </w:r>
      <w:r>
        <w:rPr>
          <w:bCs/>
          <w:szCs w:val="26"/>
        </w:rPr>
        <w:t>μg/m</w:t>
      </w:r>
      <w:r>
        <w:rPr>
          <w:bCs/>
          <w:szCs w:val="26"/>
          <w:vertAlign w:val="superscript"/>
        </w:rPr>
        <w:t>3</w:t>
      </w:r>
      <w:r>
        <w:rPr>
          <w:rFonts w:hint="eastAsia"/>
          <w:bCs/>
          <w:szCs w:val="26"/>
        </w:rPr>
        <w:t>、66</w:t>
      </w:r>
      <w:r>
        <w:rPr>
          <w:bCs/>
          <w:szCs w:val="26"/>
        </w:rPr>
        <w:t>μg/m</w:t>
      </w:r>
      <w:r>
        <w:rPr>
          <w:bCs/>
          <w:szCs w:val="26"/>
          <w:vertAlign w:val="superscript"/>
        </w:rPr>
        <w:t>3</w:t>
      </w:r>
      <w:r>
        <w:rPr>
          <w:rFonts w:hint="eastAsia"/>
          <w:bCs/>
          <w:szCs w:val="26"/>
        </w:rPr>
        <w:t>、23</w:t>
      </w:r>
      <w:r>
        <w:rPr>
          <w:bCs/>
          <w:szCs w:val="26"/>
        </w:rPr>
        <w:t>μg/m</w:t>
      </w:r>
      <w:r>
        <w:rPr>
          <w:bCs/>
          <w:szCs w:val="26"/>
          <w:vertAlign w:val="superscript"/>
        </w:rPr>
        <w:t>3</w:t>
      </w:r>
      <w:r>
        <w:rPr>
          <w:rFonts w:hint="eastAsia"/>
          <w:bCs/>
          <w:szCs w:val="26"/>
        </w:rPr>
        <w:t>；</w:t>
      </w:r>
      <w:r>
        <w:rPr>
          <w:bCs/>
          <w:szCs w:val="26"/>
        </w:rPr>
        <w:t>CO</w:t>
      </w:r>
      <w:r>
        <w:rPr>
          <w:rFonts w:hint="eastAsia"/>
          <w:bCs/>
          <w:szCs w:val="26"/>
        </w:rPr>
        <w:t xml:space="preserve"> </w:t>
      </w:r>
      <w:r>
        <w:rPr>
          <w:bCs/>
          <w:szCs w:val="26"/>
        </w:rPr>
        <w:t>24</w:t>
      </w:r>
      <w:r>
        <w:rPr>
          <w:rFonts w:hint="eastAsia"/>
          <w:bCs/>
          <w:szCs w:val="26"/>
        </w:rPr>
        <w:t>小时平均第</w:t>
      </w:r>
      <w:r>
        <w:rPr>
          <w:bCs/>
          <w:szCs w:val="26"/>
        </w:rPr>
        <w:t>95</w:t>
      </w:r>
      <w:r>
        <w:rPr>
          <w:rFonts w:hint="eastAsia"/>
          <w:bCs/>
          <w:szCs w:val="26"/>
        </w:rPr>
        <w:t>百分位数为2.2</w:t>
      </w:r>
      <w:r>
        <w:rPr>
          <w:bCs/>
          <w:szCs w:val="26"/>
        </w:rPr>
        <w:t>mg/m</w:t>
      </w:r>
      <w:r>
        <w:rPr>
          <w:bCs/>
          <w:szCs w:val="26"/>
          <w:vertAlign w:val="superscript"/>
        </w:rPr>
        <w:t>3</w:t>
      </w:r>
      <w:r>
        <w:rPr>
          <w:rFonts w:hint="eastAsia"/>
          <w:bCs/>
          <w:szCs w:val="26"/>
        </w:rPr>
        <w:t>，</w:t>
      </w:r>
      <w:r>
        <w:rPr>
          <w:bCs/>
          <w:szCs w:val="26"/>
        </w:rPr>
        <w:t>O</w:t>
      </w:r>
      <w:r>
        <w:rPr>
          <w:bCs/>
          <w:szCs w:val="26"/>
          <w:vertAlign w:val="subscript"/>
        </w:rPr>
        <w:t>3</w:t>
      </w:r>
      <w:r>
        <w:rPr>
          <w:rFonts w:hint="eastAsia"/>
          <w:bCs/>
          <w:szCs w:val="26"/>
        </w:rPr>
        <w:t>日最大</w:t>
      </w:r>
      <w:r>
        <w:rPr>
          <w:bCs/>
          <w:szCs w:val="26"/>
        </w:rPr>
        <w:t>8</w:t>
      </w:r>
      <w:r>
        <w:rPr>
          <w:rFonts w:hint="eastAsia"/>
          <w:bCs/>
          <w:szCs w:val="26"/>
        </w:rPr>
        <w:t>小时平均第</w:t>
      </w:r>
      <w:r>
        <w:rPr>
          <w:bCs/>
          <w:szCs w:val="26"/>
        </w:rPr>
        <w:t>90</w:t>
      </w:r>
      <w:r>
        <w:rPr>
          <w:rFonts w:hint="eastAsia"/>
          <w:bCs/>
          <w:szCs w:val="26"/>
        </w:rPr>
        <w:t>百分位数为131</w:t>
      </w:r>
      <w:r>
        <w:rPr>
          <w:bCs/>
          <w:szCs w:val="26"/>
        </w:rPr>
        <w:t>μg/m</w:t>
      </w:r>
      <w:r>
        <w:rPr>
          <w:bCs/>
          <w:szCs w:val="26"/>
          <w:vertAlign w:val="superscript"/>
        </w:rPr>
        <w:t>3</w:t>
      </w:r>
      <w:r>
        <w:rPr>
          <w:rFonts w:hint="eastAsia"/>
          <w:bCs/>
          <w:szCs w:val="26"/>
        </w:rPr>
        <w:t>，</w:t>
      </w:r>
      <w:r>
        <w:rPr>
          <w:bCs/>
          <w:szCs w:val="26"/>
        </w:rPr>
        <w:t>各污染物平均浓度均优于《环境空气质量标准》（GB3095-2012）中二级标准限值</w:t>
      </w:r>
      <w:r>
        <w:rPr>
          <w:rFonts w:hint="eastAsia"/>
          <w:bCs/>
          <w:szCs w:val="26"/>
        </w:rPr>
        <w:t>，属于达标区。</w:t>
      </w:r>
    </w:p>
    <w:p w14:paraId="12C190EC">
      <w:pPr>
        <w:ind w:firstLine="480"/>
      </w:pPr>
      <w:r>
        <w:t>评价区域环境空气质量指标SO</w:t>
      </w:r>
      <w:r>
        <w:rPr>
          <w:vertAlign w:val="subscript"/>
        </w:rPr>
        <w:t>2</w:t>
      </w:r>
      <w:r>
        <w:t>、NO</w:t>
      </w:r>
      <w:r>
        <w:rPr>
          <w:vertAlign w:val="subscript"/>
        </w:rPr>
        <w:t>2</w:t>
      </w:r>
      <w:r>
        <w:rPr>
          <w:bCs/>
        </w:rPr>
        <w:t>、PM</w:t>
      </w:r>
      <w:r>
        <w:rPr>
          <w:bCs/>
          <w:vertAlign w:val="subscript"/>
        </w:rPr>
        <w:t>2.5</w:t>
      </w:r>
      <w:r>
        <w:t>年平均浓度</w:t>
      </w:r>
      <w:r>
        <w:rPr>
          <w:rFonts w:hint="eastAsia"/>
        </w:rPr>
        <w:t>、日平均</w:t>
      </w:r>
      <w:r>
        <w:t>浓度均符合《环境空气质量标准》（GB3095-2012）的二级标准；CO日最大8h平均浓度及O</w:t>
      </w:r>
      <w:r>
        <w:rPr>
          <w:vertAlign w:val="subscript"/>
        </w:rPr>
        <w:t>3</w:t>
      </w:r>
      <w:r>
        <w:t>日平均浓度均符合《环境空气质量标准》（GB3095-2012）的二级标准；</w:t>
      </w:r>
      <w:r>
        <w:rPr>
          <w:bCs/>
        </w:rPr>
        <w:t>PM</w:t>
      </w:r>
      <w:r>
        <w:rPr>
          <w:bCs/>
          <w:vertAlign w:val="subscript"/>
        </w:rPr>
        <w:t>10</w:t>
      </w:r>
      <w:r>
        <w:rPr>
          <w:rFonts w:hint="eastAsia"/>
        </w:rPr>
        <w:t>年</w:t>
      </w:r>
      <w:r>
        <w:t>平均浓度</w:t>
      </w:r>
      <w:r>
        <w:rPr>
          <w:rFonts w:hint="eastAsia"/>
        </w:rPr>
        <w:t>、</w:t>
      </w:r>
      <w:r>
        <w:rPr>
          <w:bCs/>
        </w:rPr>
        <w:t>PM</w:t>
      </w:r>
      <w:r>
        <w:rPr>
          <w:bCs/>
          <w:vertAlign w:val="subscript"/>
        </w:rPr>
        <w:t>10</w:t>
      </w:r>
      <w:r>
        <w:rPr>
          <w:rFonts w:hint="eastAsia"/>
          <w:bCs/>
        </w:rPr>
        <w:t>日</w:t>
      </w:r>
      <w:r>
        <w:t>平均浓度均超过《环境空气质量标准》（GB3095-2012）的二级标准。</w:t>
      </w:r>
    </w:p>
    <w:p w14:paraId="735C69B7">
      <w:pPr>
        <w:ind w:firstLine="480"/>
      </w:pPr>
      <w:r>
        <w:rPr>
          <w:rFonts w:hint="eastAsia"/>
        </w:rPr>
        <w:t>特征污染物TSP、苯并[a]芘、非甲烷总烃、硫化氢、氨、氯化氢、苯、氰化氢、酚类化合物等因子日均浓度满足《环境空气质量标准》（GB3095-2012）二级限值要求。</w:t>
      </w:r>
    </w:p>
    <w:p w14:paraId="3B50931B">
      <w:pPr>
        <w:pStyle w:val="138"/>
        <w:rPr>
          <w:rFonts w:hint="eastAsia"/>
        </w:rPr>
      </w:pPr>
      <w:r>
        <w:rPr>
          <w:rFonts w:hint="eastAsia"/>
        </w:rPr>
        <w:t>地下水环境</w:t>
      </w:r>
    </w:p>
    <w:p w14:paraId="1D2855F1">
      <w:pPr>
        <w:pStyle w:val="117"/>
        <w:ind w:firstLine="480"/>
      </w:pPr>
      <w:r>
        <w:t>地下水环境质量现状评价结果见表</w:t>
      </w:r>
      <w:r>
        <w:rPr>
          <w:rFonts w:hint="eastAsia"/>
        </w:rPr>
        <w:t>4.4-2、表4.4-3</w:t>
      </w:r>
      <w:r>
        <w:t>。</w:t>
      </w:r>
      <w:r>
        <w:rPr>
          <w:rFonts w:hint="eastAsia"/>
          <w:snapToGrid w:val="0"/>
        </w:rPr>
        <w:t>由监测结果可知，建设项目评价区域范围内地下水现状各项监测指标均符合《地下水质量标准》（</w:t>
      </w:r>
      <w:r>
        <w:rPr>
          <w:snapToGrid w:val="0"/>
        </w:rPr>
        <w:t>GB14848-2017</w:t>
      </w:r>
      <w:r>
        <w:rPr>
          <w:rFonts w:hint="eastAsia"/>
          <w:snapToGrid w:val="0"/>
        </w:rPr>
        <w:t>）</w:t>
      </w:r>
      <w:r>
        <w:rPr>
          <w:snapToGrid w:val="0"/>
        </w:rPr>
        <w:t>Ⅲ</w:t>
      </w:r>
      <w:r>
        <w:rPr>
          <w:rFonts w:hint="eastAsia"/>
          <w:snapToGrid w:val="0"/>
        </w:rPr>
        <w:t>类标准，项目所在区域地下水环境较好。</w:t>
      </w:r>
    </w:p>
    <w:p w14:paraId="2F75BDF1">
      <w:pPr>
        <w:pStyle w:val="138"/>
        <w:rPr>
          <w:rFonts w:hint="eastAsia"/>
        </w:rPr>
      </w:pPr>
      <w:r>
        <w:rPr>
          <w:rFonts w:hint="eastAsia"/>
        </w:rPr>
        <w:t>声环境</w:t>
      </w:r>
    </w:p>
    <w:p w14:paraId="530493A7">
      <w:pPr>
        <w:pStyle w:val="117"/>
        <w:ind w:firstLine="480"/>
      </w:pPr>
      <w:r>
        <w:rPr>
          <w:rFonts w:hint="eastAsia"/>
        </w:rPr>
        <w:t>厂界周围</w:t>
      </w:r>
      <w:r>
        <w:t>昼间</w:t>
      </w:r>
      <w:r>
        <w:rPr>
          <w:rFonts w:hint="eastAsia"/>
        </w:rPr>
        <w:t>、夜间</w:t>
      </w:r>
      <w:r>
        <w:t>最大噪声</w:t>
      </w:r>
      <w:r>
        <w:rPr>
          <w:rFonts w:hint="eastAsia"/>
        </w:rPr>
        <w:t>分别为</w:t>
      </w:r>
      <w:r>
        <w:t>51dB（A）</w:t>
      </w:r>
      <w:r>
        <w:rPr>
          <w:rFonts w:hint="eastAsia"/>
        </w:rPr>
        <w:t>、</w:t>
      </w:r>
      <w:r>
        <w:t>44dB（A）</w:t>
      </w:r>
      <w:r>
        <w:rPr>
          <w:rFonts w:hint="eastAsia"/>
        </w:rPr>
        <w:t>。厂址区域昼间、夜间环境噪声监测值均可满足《声环境质量标准》（GB3096-2008）中3类区标准限值要求。</w:t>
      </w:r>
    </w:p>
    <w:p w14:paraId="71A143FC">
      <w:pPr>
        <w:pStyle w:val="138"/>
        <w:rPr>
          <w:rFonts w:hint="eastAsia"/>
        </w:rPr>
      </w:pPr>
      <w:r>
        <w:rPr>
          <w:rFonts w:hint="eastAsia"/>
        </w:rPr>
        <w:t>生态环境</w:t>
      </w:r>
    </w:p>
    <w:p w14:paraId="52B9FDFA">
      <w:pPr>
        <w:pStyle w:val="117"/>
        <w:ind w:firstLine="480"/>
      </w:pPr>
      <w:r>
        <w:rPr>
          <w:rFonts w:hint="eastAsia"/>
        </w:rPr>
        <w:t>（</w:t>
      </w:r>
      <w:r>
        <w:t>1</w:t>
      </w:r>
      <w:r>
        <w:rPr>
          <w:rFonts w:hint="eastAsia"/>
        </w:rPr>
        <w:t>）土壤类型</w:t>
      </w:r>
      <w:r>
        <w:t xml:space="preserve"> </w:t>
      </w:r>
    </w:p>
    <w:p w14:paraId="44513B28">
      <w:pPr>
        <w:pStyle w:val="117"/>
        <w:ind w:firstLine="480"/>
      </w:pPr>
      <w:r>
        <w:rPr>
          <w:rFonts w:hint="eastAsia"/>
        </w:rPr>
        <w:t>项目所在南部循环经济产业园大部分位于嘎顺</w:t>
      </w:r>
      <w:r>
        <w:t>-</w:t>
      </w:r>
      <w:r>
        <w:rPr>
          <w:rFonts w:hint="eastAsia"/>
        </w:rPr>
        <w:t>－南湖戈壁的北部边缘冲积平原和残蚀丘陵区。土壤类型以棕漠土为主，其中石膏盐盘棕漠土占有较大的面积，另外也有流动风沙土、残余盐土等，在人工绿洲中有古老的绿洲黄土分布。规划区无耕地、无农田，属于未利用地，土壤基本未受人为活动污染，基本保持近乎原始状态的面貌。土壤质地以砂砾质和砾质为主。</w:t>
      </w:r>
    </w:p>
    <w:p w14:paraId="7B57577A">
      <w:pPr>
        <w:pStyle w:val="117"/>
        <w:ind w:firstLine="480"/>
      </w:pPr>
      <w:r>
        <w:rPr>
          <w:rFonts w:hint="eastAsia"/>
        </w:rPr>
        <w:t>（</w:t>
      </w:r>
      <w:r>
        <w:t>2</w:t>
      </w:r>
      <w:r>
        <w:rPr>
          <w:rFonts w:hint="eastAsia"/>
        </w:rPr>
        <w:t>）植被</w:t>
      </w:r>
    </w:p>
    <w:p w14:paraId="60C3DD60">
      <w:pPr>
        <w:pStyle w:val="117"/>
        <w:ind w:firstLine="480"/>
      </w:pPr>
      <w:r>
        <w:rPr>
          <w:rFonts w:hint="eastAsia"/>
        </w:rPr>
        <w:t>项目所在南部循环经济产业园大部分位于嘎顺戈壁，降水稀少，无常年地表径流，主要为裸地和稀疏植被景观，生态系统极其脆弱，非常容易破坏，一旦破坏，恢复相当困难。该区域地下水位在</w:t>
      </w:r>
      <w:r>
        <w:t>4</w:t>
      </w:r>
      <w:r>
        <w:rPr>
          <w:rFonts w:hint="eastAsia"/>
        </w:rPr>
        <w:t>～</w:t>
      </w:r>
      <w:r>
        <w:t>10m</w:t>
      </w:r>
      <w:r>
        <w:rPr>
          <w:rFonts w:hint="eastAsia"/>
        </w:rPr>
        <w:t>不等，自然植被有柽柳、假木贼、琵琶柴、骆驼刺、盐生草等，分布极不均匀，植被盖度在</w:t>
      </w:r>
      <w:r>
        <w:t>1%</w:t>
      </w:r>
      <w:r>
        <w:rPr>
          <w:rFonts w:hint="eastAsia"/>
        </w:rPr>
        <w:t>以下，大部分地表裸露，因此，这些地区应以保护地表为主，防止地表结皮层破坏，而进一步引起沙化沙尘暴等生态问题。</w:t>
      </w:r>
      <w:r>
        <w:t xml:space="preserve"> </w:t>
      </w:r>
    </w:p>
    <w:p w14:paraId="5510A808">
      <w:pPr>
        <w:pStyle w:val="117"/>
        <w:ind w:firstLine="480"/>
      </w:pPr>
      <w:r>
        <w:rPr>
          <w:rFonts w:hint="eastAsia"/>
        </w:rPr>
        <w:t>（</w:t>
      </w:r>
      <w:r>
        <w:t>3</w:t>
      </w:r>
      <w:r>
        <w:rPr>
          <w:rFonts w:hint="eastAsia"/>
        </w:rPr>
        <w:t>）野生动物类型及分布状况</w:t>
      </w:r>
      <w:r>
        <w:t xml:space="preserve"> </w:t>
      </w:r>
    </w:p>
    <w:p w14:paraId="7B0B13EB">
      <w:pPr>
        <w:pStyle w:val="117"/>
        <w:ind w:firstLine="480"/>
      </w:pPr>
      <w:r>
        <w:rPr>
          <w:rFonts w:hint="eastAsia"/>
        </w:rPr>
        <w:t>项目所在南部循环经济产业园区域也属荒芜的戈壁，有少量的戈壁野生动物，虽然这里为野骆驼、鹅喉羚等国家一、二类保护动物的分布区，但由于植被稀疏和人类的频繁活动已很难见到其踪迹。近些年来，由于保护管理有力，鹅喉羚在</w:t>
      </w:r>
      <w:r>
        <w:t>2</w:t>
      </w:r>
      <w:r>
        <w:rPr>
          <w:rFonts w:hint="eastAsia"/>
        </w:rPr>
        <w:t>个工业园区偶有出现。</w:t>
      </w:r>
    </w:p>
    <w:p w14:paraId="7308167A">
      <w:pPr>
        <w:pStyle w:val="138"/>
        <w:rPr>
          <w:rFonts w:hint="eastAsia"/>
        </w:rPr>
      </w:pPr>
      <w:r>
        <w:rPr>
          <w:rFonts w:hint="eastAsia"/>
        </w:rPr>
        <w:t>土壤环境</w:t>
      </w:r>
    </w:p>
    <w:p w14:paraId="18534D1E">
      <w:pPr>
        <w:pStyle w:val="117"/>
        <w:ind w:firstLine="480"/>
      </w:pPr>
      <w:r>
        <w:rPr>
          <w:rFonts w:hint="eastAsia"/>
        </w:rPr>
        <w:t>厂址区域内采样点的特征因子以及厂址区域外5个土壤表层点的特征因子各项指标的监测值均低于《土壤环境质量建设用地土壤污染风险管控标准》（</w:t>
      </w:r>
      <w:r>
        <w:t>GB</w:t>
      </w:r>
      <w:r>
        <w:rPr>
          <w:rFonts w:hint="eastAsia"/>
        </w:rPr>
        <w:t>36600</w:t>
      </w:r>
      <w:r>
        <w:t>-</w:t>
      </w:r>
      <w:r>
        <w:rPr>
          <w:rFonts w:hint="eastAsia"/>
        </w:rPr>
        <w:t>2018）中第二类用地筛选值的标准限值，说明本项目所在区域尚未受到人类工农业活动污染。</w:t>
      </w:r>
    </w:p>
    <w:p w14:paraId="4EC2490C">
      <w:pPr>
        <w:pStyle w:val="946"/>
      </w:pPr>
      <w:bookmarkStart w:id="803" w:name="_Toc205291435"/>
      <w:r>
        <w:rPr>
          <w:rFonts w:hint="eastAsia"/>
        </w:rPr>
        <w:t>环境影响预测与评价</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0E792056">
      <w:pPr>
        <w:pStyle w:val="138"/>
        <w:rPr>
          <w:rFonts w:hint="eastAsia"/>
        </w:rPr>
      </w:pPr>
      <w:bookmarkStart w:id="804" w:name="_Toc175132720"/>
      <w:bookmarkStart w:id="805" w:name="_Toc3072"/>
      <w:r>
        <w:rPr>
          <w:rFonts w:hint="eastAsia"/>
        </w:rPr>
        <w:t>环境空气影响评价</w:t>
      </w:r>
      <w:bookmarkEnd w:id="804"/>
      <w:bookmarkEnd w:id="805"/>
    </w:p>
    <w:p w14:paraId="57DA47F3">
      <w:pPr>
        <w:pStyle w:val="117"/>
        <w:ind w:firstLine="480"/>
      </w:pPr>
      <w:r>
        <w:rPr>
          <w:rFonts w:hint="eastAsia"/>
        </w:rPr>
        <w:t>项目运营期间，各生产工序及各环保设施正常运行条件下，项目排放的污染物中：SO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2.5</w:t>
      </w:r>
      <w:r>
        <w:rPr>
          <w:rFonts w:hint="eastAsia"/>
        </w:rPr>
        <w:t>的贡献值叠加区域在建及拟建污染源落地浓度贡献值、区域背景值后的98%保证率日均浓度和年均浓度满足《环境空气质量标准》（GB3095-2012）中的二级标准；PM</w:t>
      </w:r>
      <w:r>
        <w:rPr>
          <w:rFonts w:hint="eastAsia"/>
          <w:vertAlign w:val="subscript"/>
        </w:rPr>
        <w:t>10</w:t>
      </w:r>
      <w:r>
        <w:rPr>
          <w:rFonts w:hint="eastAsia"/>
        </w:rPr>
        <w:t>的贡献值叠加区域在建及拟建污染源落地浓度贡献值、区域背景值后的95%保证率日均浓度和年均浓度出现超标，超标原因为区域现状背景浓度已超标；T</w:t>
      </w:r>
      <w:r>
        <w:t>SP</w:t>
      </w:r>
      <w:r>
        <w:rPr>
          <w:rFonts w:hint="eastAsia"/>
        </w:rPr>
        <w:t>、BaP的贡献值叠加区域在建及拟建污染源落地浓度贡献值、区域背景值后的日均浓度满足《环境空气质量标准》（GB3095-2012）中的二级标准；非甲烷总烃贡献值叠加区域在建及拟建污染源落地浓度贡献值、区域背景值后的小时浓度满足《大气污染物综合排放标准详解》中的要求；NH</w:t>
      </w:r>
      <w:r>
        <w:rPr>
          <w:rFonts w:hint="eastAsia"/>
          <w:vertAlign w:val="subscript"/>
        </w:rPr>
        <w:t>3</w:t>
      </w:r>
      <w:r>
        <w:rPr>
          <w:rFonts w:hint="eastAsia"/>
        </w:rPr>
        <w:t>、H</w:t>
      </w:r>
      <w:r>
        <w:rPr>
          <w:rFonts w:hint="eastAsia"/>
          <w:vertAlign w:val="subscript"/>
        </w:rPr>
        <w:t>2</w:t>
      </w:r>
      <w:r>
        <w:rPr>
          <w:rFonts w:hint="eastAsia"/>
        </w:rPr>
        <w:t>S的贡献值叠加区域在建及拟建污染源落地浓度贡献值、区域背景值后的小时浓度满足《环境影响评价技术导则 大气环境》（HJ2.2-2018）附录D中质量浓度参考限值的要求。</w:t>
      </w:r>
    </w:p>
    <w:p w14:paraId="6C0724C5">
      <w:pPr>
        <w:pStyle w:val="117"/>
        <w:ind w:firstLine="480"/>
      </w:pPr>
      <w:r>
        <w:rPr>
          <w:rFonts w:hint="eastAsia"/>
        </w:rPr>
        <w:t>因此，本项目废气污染源污染物的排放对评价区和周围环境敏感点不会产生明显影响。</w:t>
      </w:r>
    </w:p>
    <w:p w14:paraId="691A7E31">
      <w:pPr>
        <w:pStyle w:val="138"/>
        <w:rPr>
          <w:rFonts w:hint="eastAsia"/>
        </w:rPr>
      </w:pPr>
      <w:bookmarkStart w:id="806" w:name="_Toc22231"/>
      <w:bookmarkStart w:id="807" w:name="_Toc175132721"/>
      <w:r>
        <w:rPr>
          <w:rFonts w:hint="eastAsia"/>
        </w:rPr>
        <w:t>地表水环境影响分析</w:t>
      </w:r>
      <w:bookmarkEnd w:id="806"/>
      <w:bookmarkEnd w:id="807"/>
    </w:p>
    <w:p w14:paraId="38681BE8">
      <w:pPr>
        <w:pStyle w:val="117"/>
        <w:ind w:firstLine="480"/>
      </w:pPr>
      <w:bookmarkStart w:id="808" w:name="_Toc369110401"/>
      <w:bookmarkStart w:id="809" w:name="_Toc369453806"/>
      <w:r>
        <w:rPr>
          <w:rFonts w:hint="eastAsia"/>
        </w:rPr>
        <w:t>本项目生产废水部分焚烧处理、部分处理后回用；生活污水经一体化处理设施处理达到《城市污水再生利用 城市杂用水水质》（GB/T18920-2020）“绿化用水”标准后，部分用于绿化、煤场和贮焦场洒水抑尘，部分排至园区污水处理厂。基本不会对地表水环境产生影响。</w:t>
      </w:r>
    </w:p>
    <w:p w14:paraId="0D0361A9">
      <w:pPr>
        <w:pStyle w:val="138"/>
        <w:rPr>
          <w:rFonts w:hint="eastAsia"/>
        </w:rPr>
      </w:pPr>
      <w:bookmarkStart w:id="810" w:name="_Toc3801"/>
      <w:r>
        <w:rPr>
          <w:rFonts w:hint="eastAsia"/>
        </w:rPr>
        <w:t>地下水环境影响预测与评价</w:t>
      </w:r>
      <w:bookmarkEnd w:id="808"/>
      <w:bookmarkEnd w:id="809"/>
      <w:bookmarkEnd w:id="810"/>
    </w:p>
    <w:p w14:paraId="55C643B8">
      <w:pPr>
        <w:pStyle w:val="117"/>
        <w:ind w:firstLine="480"/>
      </w:pPr>
      <w:r>
        <w:rPr>
          <w:rFonts w:hint="eastAsia"/>
        </w:rPr>
        <w:t>本项目厂区按照重点/一般防渗设计进行防渗处理，防渗层渗透系数能够满足</w:t>
      </w:r>
      <w:r>
        <w:t>《危险废物贮存污染控制标准》（GB18597-2023）</w:t>
      </w:r>
      <w:r>
        <w:rPr>
          <w:rFonts w:hint="eastAsia"/>
        </w:rPr>
        <w:t>、《一般工业固体废物贮存和填埋污染控制标准》（GB18599－2020）等的要求。在防渗系统正常运行的情况下，本项目废水向地下渗透将得到控制，不会对地下水环境质量造成功能类别的改变。</w:t>
      </w:r>
    </w:p>
    <w:p w14:paraId="3220D3F2">
      <w:pPr>
        <w:pStyle w:val="138"/>
        <w:rPr>
          <w:rFonts w:hint="eastAsia"/>
        </w:rPr>
      </w:pPr>
      <w:bookmarkStart w:id="811" w:name="_Toc29682"/>
      <w:bookmarkStart w:id="812" w:name="_Toc369453807"/>
      <w:bookmarkStart w:id="813" w:name="_Toc369110402"/>
      <w:bookmarkStart w:id="814" w:name="_Toc175132722"/>
      <w:r>
        <w:rPr>
          <w:rStyle w:val="87"/>
          <w:rFonts w:hAnsi="宋体"/>
          <w:b/>
          <w:bCs w:val="0"/>
          <w:sz w:val="28"/>
        </w:rPr>
        <w:t>声环境影响预测</w:t>
      </w:r>
      <w:bookmarkEnd w:id="811"/>
      <w:bookmarkEnd w:id="812"/>
      <w:bookmarkEnd w:id="813"/>
      <w:bookmarkEnd w:id="814"/>
    </w:p>
    <w:p w14:paraId="306FA62F">
      <w:pPr>
        <w:pStyle w:val="117"/>
        <w:ind w:firstLine="480"/>
      </w:pPr>
      <w:bookmarkStart w:id="815" w:name="_Toc175132723"/>
      <w:r>
        <w:rPr>
          <w:rFonts w:hint="eastAsia"/>
        </w:rPr>
        <w:t>本项目运营后，对主要噪声源采取了隔声、减振等措施，通过衰减后对厂界的噪声贡献值不大，四周厂界噪声预测值均可满足《工业企业厂界环境噪声标准》（GB12348-2008）中3类区限值要求，不会对区域声环境产生明显影响。</w:t>
      </w:r>
    </w:p>
    <w:bookmarkEnd w:id="815"/>
    <w:p w14:paraId="4647268D">
      <w:pPr>
        <w:pStyle w:val="138"/>
        <w:rPr>
          <w:rFonts w:hint="eastAsia"/>
        </w:rPr>
      </w:pPr>
      <w:bookmarkStart w:id="816" w:name="_Toc22845"/>
      <w:r>
        <w:rPr>
          <w:rFonts w:hint="eastAsia"/>
        </w:rPr>
        <w:t>固废</w:t>
      </w:r>
      <w:r>
        <w:t>环境影响预测</w:t>
      </w:r>
      <w:bookmarkEnd w:id="816"/>
    </w:p>
    <w:p w14:paraId="329EC205">
      <w:pPr>
        <w:pStyle w:val="117"/>
        <w:ind w:firstLine="480"/>
      </w:pPr>
      <w:bookmarkStart w:id="817" w:name="_Toc30667"/>
      <w:r>
        <w:rPr>
          <w:rFonts w:hint="eastAsia"/>
        </w:rPr>
        <w:t>本项目产生的固体废物对环境的影响主要表现在固废周转及临时贮存过程。</w:t>
      </w:r>
    </w:p>
    <w:p w14:paraId="0F8608A5">
      <w:pPr>
        <w:pStyle w:val="117"/>
        <w:ind w:firstLine="480"/>
      </w:pPr>
      <w:r>
        <w:rPr>
          <w:rFonts w:hint="eastAsia"/>
        </w:rPr>
        <w:t>危险废物临时贮存于危废暂存间内，设立危险废物警示标志，由专人负责管理，采取相应地采取相应的防渗、防漏措施。管理人员每月统计废物的产生量，确保危险废物的运输安全可靠，减少或避免运输过程中的二次污染和可能造成的环境风险。此外，本项目还积极采用先进技术，注重清洁生产，在生产过程中尽量降低固废的产生量。项目产生的固体废物及时运走综合利用，不积存，尽可能减轻对周围环境的影响。</w:t>
      </w:r>
    </w:p>
    <w:p w14:paraId="240658B7">
      <w:pPr>
        <w:pStyle w:val="117"/>
        <w:ind w:firstLine="480"/>
      </w:pPr>
      <w:r>
        <w:rPr>
          <w:rFonts w:hint="eastAsia"/>
        </w:rPr>
        <w:t>在加强管理，并在落实好各项污染防治措施和固体废物综合利用等安全处置措施的前提下，拟建项目固体废物均得到了合理、有效地处理和利用，固体废物暂存和处理满足《危险废物贮存污染控制标准》（</w:t>
      </w:r>
      <w:r>
        <w:t>GB18597-2023</w:t>
      </w:r>
      <w:r>
        <w:rPr>
          <w:rFonts w:hint="eastAsia"/>
        </w:rPr>
        <w:t>）的要求，拟建项目的固体废弃物对周边环境影响不大。</w:t>
      </w:r>
    </w:p>
    <w:p w14:paraId="228635DB">
      <w:pPr>
        <w:pStyle w:val="138"/>
        <w:rPr>
          <w:rFonts w:hint="eastAsia"/>
        </w:rPr>
      </w:pPr>
      <w:r>
        <w:rPr>
          <w:rFonts w:hint="eastAsia"/>
        </w:rPr>
        <w:t>生态环境影响预测评价</w:t>
      </w:r>
      <w:bookmarkEnd w:id="817"/>
    </w:p>
    <w:p w14:paraId="11CCD014">
      <w:pPr>
        <w:pStyle w:val="117"/>
        <w:ind w:firstLine="480"/>
      </w:pPr>
      <w:r>
        <w:rPr>
          <w:rStyle w:val="162"/>
          <w:rFonts w:hint="eastAsia"/>
        </w:rPr>
        <w:t>本项目在厂内预留用地内建设，用地规划为工业用地且占地面积有限，因此，其对当地的土地利用影响是微乎其微，对生物生产功能和生态功能也是极轻微的</w:t>
      </w:r>
      <w:r>
        <w:rPr>
          <w:rFonts w:hint="eastAsia"/>
        </w:rPr>
        <w:t>。</w:t>
      </w:r>
    </w:p>
    <w:p w14:paraId="7957479C">
      <w:pPr>
        <w:pStyle w:val="138"/>
        <w:rPr>
          <w:rFonts w:hint="eastAsia"/>
        </w:rPr>
      </w:pPr>
      <w:bookmarkStart w:id="818" w:name="_Toc19520"/>
      <w:r>
        <w:rPr>
          <w:rFonts w:hint="eastAsia"/>
        </w:rPr>
        <w:t>土壤环境影响预测评价</w:t>
      </w:r>
      <w:bookmarkEnd w:id="818"/>
    </w:p>
    <w:p w14:paraId="24631C4B">
      <w:pPr>
        <w:pStyle w:val="117"/>
        <w:ind w:firstLine="480"/>
      </w:pPr>
      <w:r>
        <w:rPr>
          <w:rFonts w:hint="eastAsia"/>
        </w:rPr>
        <w:t>危</w:t>
      </w:r>
      <w:r>
        <w:t>险废物</w:t>
      </w:r>
      <w:r>
        <w:rPr>
          <w:rFonts w:hint="eastAsia"/>
        </w:rPr>
        <w:t>暂存库</w:t>
      </w:r>
      <w:r>
        <w:t>严格按照《危险废物贮存污染控制标准》（GB18597-2023）的有关规范设计</w:t>
      </w:r>
      <w:r>
        <w:rPr>
          <w:rFonts w:hint="eastAsia"/>
        </w:rPr>
        <w:t>及</w:t>
      </w:r>
      <w:r>
        <w:t>施工，废水收集系统各建构筑物按要求做好防渗措施，项目建成后对周边土壤的影响较小；根据污染物以最大年均落地浓度沉降在土壤中累积的预测结果显示，</w:t>
      </w:r>
      <w:r>
        <w:rPr>
          <w:lang w:val="zh-CN"/>
        </w:rPr>
        <w:t>运行30至50年后，</w:t>
      </w:r>
      <w:r>
        <w:t>各污染物在土壤中的累积预测值仍小于评价标准，</w:t>
      </w:r>
      <w:r>
        <w:rPr>
          <w:lang w:val="zh-CN"/>
        </w:rPr>
        <w:t>不会对周边土壤产生明显影响，因此本项目对土壤环境的影响是可以接受的</w:t>
      </w:r>
      <w:r>
        <w:t>。</w:t>
      </w:r>
    </w:p>
    <w:p w14:paraId="09411D06">
      <w:pPr>
        <w:pStyle w:val="946"/>
      </w:pPr>
      <w:bookmarkStart w:id="819" w:name="_Toc45970092"/>
      <w:bookmarkStart w:id="820" w:name="_Toc205291436"/>
      <w:bookmarkStart w:id="821" w:name="_Toc369110406"/>
      <w:bookmarkStart w:id="822" w:name="_Toc20147"/>
      <w:bookmarkStart w:id="823" w:name="_Toc361055883"/>
      <w:bookmarkStart w:id="824" w:name="_Toc361060052"/>
      <w:bookmarkStart w:id="825" w:name="_Toc11315"/>
      <w:bookmarkStart w:id="826" w:name="_Toc95730952"/>
      <w:bookmarkStart w:id="827" w:name="_Toc369453811"/>
      <w:r>
        <w:rPr>
          <w:rFonts w:hint="eastAsia"/>
        </w:rPr>
        <w:t>项目建设的环境可行性</w:t>
      </w:r>
      <w:bookmarkEnd w:id="819"/>
      <w:bookmarkEnd w:id="820"/>
      <w:bookmarkEnd w:id="821"/>
      <w:bookmarkEnd w:id="822"/>
      <w:bookmarkEnd w:id="823"/>
      <w:bookmarkEnd w:id="824"/>
      <w:bookmarkEnd w:id="825"/>
      <w:bookmarkEnd w:id="826"/>
      <w:bookmarkEnd w:id="827"/>
    </w:p>
    <w:p w14:paraId="2203365D">
      <w:pPr>
        <w:pStyle w:val="138"/>
        <w:rPr>
          <w:rFonts w:hint="eastAsia"/>
        </w:rPr>
      </w:pPr>
      <w:bookmarkStart w:id="828" w:name="_Toc25263"/>
      <w:r>
        <w:rPr>
          <w:rFonts w:hint="eastAsia"/>
        </w:rPr>
        <w:t>主要污染防治措施</w:t>
      </w:r>
      <w:bookmarkEnd w:id="828"/>
    </w:p>
    <w:p w14:paraId="704956B0">
      <w:pPr>
        <w:pStyle w:val="117"/>
        <w:ind w:firstLine="480"/>
      </w:pPr>
      <w:r>
        <w:rPr>
          <w:rFonts w:hint="eastAsia"/>
        </w:rPr>
        <w:t>（1）环境空气污染防治措施</w:t>
      </w:r>
    </w:p>
    <w:p w14:paraId="488F9406">
      <w:pPr>
        <w:pStyle w:val="117"/>
        <w:ind w:firstLine="480"/>
        <w:rPr>
          <w:color w:val="000000"/>
        </w:rPr>
      </w:pPr>
      <w:r>
        <w:rPr>
          <w:rFonts w:hint="eastAsia" w:cs="Times New Roman"/>
          <w:color w:val="000000"/>
          <w:szCs w:val="21"/>
        </w:rPr>
        <w:t>兰炭生产线废水焚烧废气采用</w:t>
      </w:r>
      <w:r>
        <w:rPr>
          <w:rFonts w:hint="eastAsia"/>
          <w:color w:val="000000"/>
        </w:rPr>
        <w:t>“</w:t>
      </w:r>
      <w:r>
        <w:rPr>
          <w:color w:val="000000"/>
        </w:rPr>
        <w:t>SNCR</w:t>
      </w:r>
      <w:r>
        <w:rPr>
          <w:rFonts w:hint="eastAsia"/>
          <w:color w:val="000000"/>
        </w:rPr>
        <w:t>脱硝+二级碱喷淋脱硫”处理；</w:t>
      </w:r>
      <w:r>
        <w:rPr>
          <w:rFonts w:hint="eastAsia" w:cs="Times New Roman"/>
          <w:color w:val="000000"/>
          <w:szCs w:val="21"/>
        </w:rPr>
        <w:t>兰炭生产线无组织排放的VOC</w:t>
      </w:r>
      <w:r>
        <w:rPr>
          <w:rFonts w:hint="eastAsia" w:cs="Times New Roman"/>
          <w:color w:val="000000"/>
          <w:szCs w:val="21"/>
          <w:vertAlign w:val="subscript"/>
        </w:rPr>
        <w:t>S</w:t>
      </w:r>
      <w:r>
        <w:rPr>
          <w:rFonts w:hint="eastAsia" w:cs="Times New Roman"/>
          <w:color w:val="000000"/>
          <w:szCs w:val="21"/>
        </w:rPr>
        <w:t>废气收集后采</w:t>
      </w:r>
      <w:r>
        <w:rPr>
          <w:rFonts w:hint="eastAsia"/>
          <w:color w:val="000000"/>
        </w:rPr>
        <w:t>用2套“酸洗+碱洗+活性炭吸附-脱附+催化燃烧工艺”。</w:t>
      </w:r>
    </w:p>
    <w:p w14:paraId="472E8E35">
      <w:pPr>
        <w:pStyle w:val="117"/>
        <w:ind w:firstLine="480"/>
      </w:pPr>
      <w:r>
        <w:rPr>
          <w:rFonts w:hint="eastAsia"/>
        </w:rPr>
        <w:t>全厂各工序产生的颗粒物采取收集和布袋除尘措施。</w:t>
      </w:r>
    </w:p>
    <w:p w14:paraId="601273E6">
      <w:pPr>
        <w:pStyle w:val="117"/>
        <w:ind w:firstLine="480"/>
      </w:pPr>
      <w:r>
        <w:rPr>
          <w:rFonts w:hint="eastAsia"/>
        </w:rPr>
        <w:t>（2）水污染防治措施</w:t>
      </w:r>
    </w:p>
    <w:p w14:paraId="3EF526EE">
      <w:pPr>
        <w:pStyle w:val="117"/>
        <w:ind w:firstLine="480"/>
      </w:pPr>
      <w:r>
        <w:rPr>
          <w:rFonts w:hint="eastAsia"/>
        </w:rPr>
        <w:t>兰炭生产线剩余氨水、硫废水、VOCS处理喷淋废水采用预处理+焚烧处理（4台焚烧炉）；全厂新增脱盐水站排污水、循环水站排污水采用石英砂过滤器过滤后，作为绿化水使用；生活污水依托现有一体化生活污水处理设施处理后部分回用，部分排入园区污水厂进一步处理。</w:t>
      </w:r>
    </w:p>
    <w:p w14:paraId="5DE35346">
      <w:pPr>
        <w:pStyle w:val="117"/>
        <w:ind w:firstLine="480"/>
      </w:pPr>
      <w:r>
        <w:rPr>
          <w:rFonts w:hint="eastAsia"/>
        </w:rPr>
        <w:t>厂区采取分区防渗的措施。</w:t>
      </w:r>
    </w:p>
    <w:p w14:paraId="74FE83F6">
      <w:pPr>
        <w:pStyle w:val="117"/>
        <w:ind w:firstLine="480"/>
      </w:pPr>
      <w:r>
        <w:rPr>
          <w:rFonts w:hint="eastAsia"/>
        </w:rPr>
        <w:t>（3）噪声污染防治对策</w:t>
      </w:r>
    </w:p>
    <w:p w14:paraId="631964E8">
      <w:pPr>
        <w:pStyle w:val="117"/>
        <w:ind w:firstLine="480"/>
      </w:pPr>
      <w:r>
        <w:rPr>
          <w:rFonts w:hint="eastAsia"/>
        </w:rPr>
        <w:t>a.对运行噪声较大且无法控制产生噪声的设备，将其安放在单独车间内。</w:t>
      </w:r>
    </w:p>
    <w:p w14:paraId="604111E3">
      <w:pPr>
        <w:pStyle w:val="117"/>
        <w:ind w:firstLine="480"/>
      </w:pPr>
      <w:r>
        <w:rPr>
          <w:rFonts w:hint="eastAsia"/>
        </w:rPr>
        <w:t>b.对引风机等装置，由于设备外形几何尺寸较大，产生噪声声压级强，加之厂房大部分空间贯通，另外有些部位因生产工艺要求在设备上无法采取隔、吸、消音处理措施，直接对操作人员长期工作有害。因此，设计时，在操作人员较多的场所，设集中的隔声控制室，流动值班工作人员佩戴耳塞或耳罩，对建筑物、围护物的外门、外窗要求做隔声型或设双层，减少室内噪声传至室外。</w:t>
      </w:r>
    </w:p>
    <w:p w14:paraId="3B582A1A">
      <w:pPr>
        <w:pStyle w:val="117"/>
        <w:ind w:firstLine="480"/>
      </w:pPr>
      <w:r>
        <w:rPr>
          <w:rFonts w:hint="eastAsia"/>
        </w:rPr>
        <w:t>c.所有转动机械部位加装减振装置，减轻振动引起的噪声。各种泵的进、出口均采用减振软接头，以减少泵的振动和噪声经管道传播。</w:t>
      </w:r>
    </w:p>
    <w:p w14:paraId="4053EBDB">
      <w:pPr>
        <w:pStyle w:val="117"/>
        <w:ind w:firstLine="480"/>
      </w:pPr>
      <w:r>
        <w:rPr>
          <w:rFonts w:hint="eastAsia"/>
        </w:rPr>
        <w:t>d.加强车间周围及厂区空地绿化建设，尽量提高绿地率，以降低噪声的影响。采取以上措施，可有效地降低噪声源噪声。</w:t>
      </w:r>
    </w:p>
    <w:p w14:paraId="6E8C042D">
      <w:pPr>
        <w:pStyle w:val="117"/>
        <w:ind w:firstLine="480"/>
      </w:pPr>
      <w:r>
        <w:rPr>
          <w:rFonts w:hint="eastAsia"/>
        </w:rPr>
        <w:t>（4）固体废物防治措施</w:t>
      </w:r>
    </w:p>
    <w:p w14:paraId="0C892777">
      <w:pPr>
        <w:pStyle w:val="117"/>
        <w:ind w:firstLine="480"/>
      </w:pPr>
      <w:r>
        <w:rPr>
          <w:rFonts w:hint="eastAsia"/>
        </w:rPr>
        <w:t>本项目产生的固体废物包括：危险废物、一般工业固体废物。</w:t>
      </w:r>
    </w:p>
    <w:p w14:paraId="04BBB01D">
      <w:pPr>
        <w:pStyle w:val="117"/>
        <w:ind w:firstLine="480"/>
      </w:pPr>
      <w:r>
        <w:t>危险废物：</w:t>
      </w:r>
      <w:r>
        <w:rPr>
          <w:rFonts w:hint="eastAsia"/>
        </w:rPr>
        <w:t>主要为煤焦油、焦油渣、废活性炭和废润滑油等。焦油渣和废活性炭送备煤工段掺烧，其他危险废物收集后暂存于危险废物暂存间，定期委托有资质的单位拉运处置。</w:t>
      </w:r>
    </w:p>
    <w:p w14:paraId="2F5FFEA2">
      <w:pPr>
        <w:pStyle w:val="117"/>
        <w:ind w:firstLine="480"/>
      </w:pPr>
      <w:r>
        <w:rPr>
          <w:rFonts w:hint="eastAsia"/>
        </w:rPr>
        <w:t>一般工业固体废物：主要为粉煤、粉焦、硫酸钠滤饼、废催化剂、硫酸铵溶液、煤泥、收尘灰、硅渣、废耐火材料、废锭模、废离子交换树脂、废滤芯、废布袋等。其中，粉煤、粉焦、硫酸钠滤饼、硫酸铵溶液、硅渣、废耐火材料、废锭模外售综合利用；煤泥送备煤工段掺烧；收尘灰送矿热炉作为原料；废催化剂、废离子交换树脂、废滤芯、废布袋更换时由厂家回收。</w:t>
      </w:r>
    </w:p>
    <w:p w14:paraId="10B86C3D">
      <w:pPr>
        <w:pStyle w:val="138"/>
        <w:rPr>
          <w:rFonts w:hint="eastAsia"/>
        </w:rPr>
      </w:pPr>
      <w:bookmarkStart w:id="829" w:name="_Toc26897"/>
      <w:r>
        <w:rPr>
          <w:rFonts w:hint="eastAsia"/>
        </w:rPr>
        <w:t>环境风险影响结论</w:t>
      </w:r>
      <w:bookmarkEnd w:id="829"/>
    </w:p>
    <w:p w14:paraId="0E1D1C68">
      <w:pPr>
        <w:pStyle w:val="117"/>
        <w:ind w:firstLine="480"/>
      </w:pPr>
      <w:r>
        <w:rPr>
          <w:rFonts w:hint="eastAsia"/>
        </w:rPr>
        <w:t>本项目生产和贮存区均存在一定的环境风险，加强安全管理是防范重大事故的有效途径，建立有效的应急预案可降低重大事故的损失。企业应在设计、建设和运行中，认真落实各项有效的安全措施，加强安全管理，保障安全生产。</w:t>
      </w:r>
    </w:p>
    <w:p w14:paraId="0DD776C2">
      <w:pPr>
        <w:pStyle w:val="117"/>
        <w:ind w:firstLine="480"/>
      </w:pPr>
      <w:r>
        <w:rPr>
          <w:rFonts w:hint="eastAsia"/>
        </w:rPr>
        <w:t>充分落实、加强管理，杜绝违章操作，完善各类安全设备、设施，建立相应的风险管理制度和应急救援预案，严格执行遵守风险管理制度和操作规程，就能够保证环境风险管理措施有效、可靠，降低本项目的风险值，使本项目的环境风险可防控。</w:t>
      </w:r>
    </w:p>
    <w:p w14:paraId="1DF3B410">
      <w:pPr>
        <w:pStyle w:val="946"/>
      </w:pPr>
      <w:bookmarkStart w:id="830" w:name="_Toc21951"/>
      <w:bookmarkStart w:id="831" w:name="_Toc205291437"/>
      <w:bookmarkStart w:id="832" w:name="_Toc28328"/>
      <w:bookmarkStart w:id="833" w:name="_Toc45970093"/>
      <w:bookmarkStart w:id="834" w:name="_Toc95730953"/>
      <w:r>
        <w:rPr>
          <w:rFonts w:hint="eastAsia"/>
        </w:rPr>
        <w:t>总量控制</w:t>
      </w:r>
      <w:bookmarkEnd w:id="830"/>
      <w:bookmarkEnd w:id="831"/>
      <w:bookmarkEnd w:id="832"/>
      <w:bookmarkEnd w:id="833"/>
      <w:bookmarkEnd w:id="834"/>
    </w:p>
    <w:p w14:paraId="294F9D82">
      <w:pPr>
        <w:pStyle w:val="117"/>
        <w:ind w:firstLine="480"/>
      </w:pPr>
      <w:bookmarkStart w:id="835" w:name="_Toc19647042"/>
      <w:bookmarkStart w:id="836" w:name="_Toc488686715"/>
      <w:bookmarkStart w:id="837" w:name="_Toc475351364"/>
      <w:bookmarkStart w:id="838" w:name="_Toc45970094"/>
      <w:bookmarkStart w:id="839" w:name="_Toc24996"/>
      <w:bookmarkStart w:id="840" w:name="_Toc95730954"/>
      <w:bookmarkStart w:id="841" w:name="_Toc17692"/>
      <w:r>
        <w:rPr>
          <w:rFonts w:hint="eastAsia"/>
        </w:rPr>
        <w:t>本项目大气污染物申请总量指标：</w:t>
      </w:r>
      <w:r>
        <w:t>SO</w:t>
      </w:r>
      <w:r>
        <w:rPr>
          <w:vertAlign w:val="subscript"/>
        </w:rPr>
        <w:t xml:space="preserve">2 </w:t>
      </w:r>
      <w:r>
        <w:rPr>
          <w:rFonts w:hint="eastAsia"/>
        </w:rPr>
        <w:t>581.05</w:t>
      </w:r>
      <w:r>
        <w:t>t/a、NO</w:t>
      </w:r>
      <w:r>
        <w:rPr>
          <w:vertAlign w:val="subscript"/>
        </w:rPr>
        <w:t>X</w:t>
      </w:r>
      <w:r>
        <w:t xml:space="preserve"> </w:t>
      </w:r>
      <w:r>
        <w:rPr>
          <w:rFonts w:hint="eastAsia"/>
        </w:rPr>
        <w:t>104.06</w:t>
      </w:r>
      <w:r>
        <w:t>t/a</w:t>
      </w:r>
      <w:r>
        <w:rPr>
          <w:rFonts w:hint="eastAsia"/>
        </w:rPr>
        <w:t>、颗粒物</w:t>
      </w:r>
      <w:r>
        <w:rPr>
          <w:rFonts w:hint="eastAsia"/>
          <w:kern w:val="2"/>
          <w:szCs w:val="22"/>
        </w:rPr>
        <w:t>17.06</w:t>
      </w:r>
      <w:r>
        <w:t>t/a</w:t>
      </w:r>
      <w:r>
        <w:rPr>
          <w:rFonts w:hint="eastAsia"/>
        </w:rPr>
        <w:t>、</w:t>
      </w:r>
      <w:r>
        <w:t>挥发性有机物</w:t>
      </w:r>
      <w:r>
        <w:rPr>
          <w:rFonts w:hint="eastAsia"/>
        </w:rPr>
        <w:t>0.38</w:t>
      </w:r>
      <w:r>
        <w:t>t/a</w:t>
      </w:r>
      <w:r>
        <w:rPr>
          <w:rFonts w:hint="eastAsia"/>
        </w:rPr>
        <w:t>。</w:t>
      </w:r>
    </w:p>
    <w:p w14:paraId="6E5A59F1">
      <w:pPr>
        <w:pStyle w:val="117"/>
        <w:ind w:firstLine="480"/>
      </w:pPr>
      <w:r>
        <w:rPr>
          <w:rFonts w:hint="eastAsia"/>
        </w:rPr>
        <w:t>本项目废水不外排，无需申请水污染物排放总量。</w:t>
      </w:r>
    </w:p>
    <w:p w14:paraId="1B396AF7">
      <w:pPr>
        <w:pStyle w:val="946"/>
      </w:pPr>
      <w:r>
        <w:rPr>
          <w:rFonts w:hint="eastAsia"/>
        </w:rPr>
        <w:t>清洁生产</w:t>
      </w:r>
    </w:p>
    <w:p w14:paraId="04C93550">
      <w:pPr>
        <w:ind w:firstLine="480"/>
      </w:pPr>
      <w:r>
        <w:rPr>
          <w:rFonts w:hint="eastAsia"/>
        </w:rPr>
        <w:t>根据对本项目与《清洁生产标准-半焦行业》（DB65/T 3210-2020）进行清洁生产水平进行的对比分析，本项目多数指标达到一级水平，部分指标达到二级水平，极少数指标达到三级水平。综合分析，本项目兰炭生产线清洁生产达到国内清洁生产一般水平。</w:t>
      </w:r>
    </w:p>
    <w:p w14:paraId="360EFEA7">
      <w:pPr>
        <w:pStyle w:val="117"/>
        <w:ind w:firstLine="480"/>
      </w:pPr>
      <w:r>
        <w:rPr>
          <w:rFonts w:hint="eastAsia"/>
        </w:rPr>
        <w:t>根据2.11-4分析，本项目硅铁生产线从生产工艺装备及技术指标、资源与能源消耗指标、产品特征指标、污染物排放控制指标、资源综合利用指标进行逐条对比分析，均实现满足</w:t>
      </w:r>
      <w:r>
        <w:t>Ⅱ</w:t>
      </w:r>
      <w:r>
        <w:rPr>
          <w:rFonts w:hint="eastAsia"/>
        </w:rPr>
        <w:t>级以上基准值技术要求。根据2.11-5分析，本项目硅铁生产线清洁生产管理各项指标均满足</w:t>
      </w:r>
      <w:r>
        <w:t>Ⅱ</w:t>
      </w:r>
      <w:r>
        <w:rPr>
          <w:rFonts w:hint="eastAsia"/>
        </w:rPr>
        <w:t>级以上基准值评价指标体系技术要求。综合判定本项目硅铁生产线可达到国内清洁生产先进水平。</w:t>
      </w:r>
    </w:p>
    <w:p w14:paraId="784C162B">
      <w:pPr>
        <w:pStyle w:val="946"/>
      </w:pPr>
      <w:bookmarkStart w:id="842" w:name="_Toc205291438"/>
      <w:r>
        <w:rPr>
          <w:rFonts w:hint="eastAsia"/>
        </w:rPr>
        <w:t>公众意见采纳情况</w:t>
      </w:r>
      <w:bookmarkEnd w:id="835"/>
      <w:bookmarkEnd w:id="836"/>
      <w:bookmarkEnd w:id="837"/>
      <w:bookmarkEnd w:id="838"/>
      <w:bookmarkEnd w:id="839"/>
      <w:bookmarkEnd w:id="840"/>
      <w:bookmarkEnd w:id="841"/>
      <w:bookmarkEnd w:id="842"/>
    </w:p>
    <w:p w14:paraId="19FB7718">
      <w:pPr>
        <w:pStyle w:val="117"/>
        <w:ind w:firstLine="480"/>
      </w:pPr>
      <w:r>
        <w:rPr>
          <w:rFonts w:hint="eastAsia"/>
        </w:rPr>
        <w:t>建设单位根据《环境影响评价公众参与办法》（生态环境部令第4号）的要求，在环境影响报告书编制期间进行了两次网络公示，在报告书征求意见稿网络公示的同时，通过报纸进行了2次信息公开，公示期间均没有收到反对意见，项目的建设得到公众的理解与支持。</w:t>
      </w:r>
    </w:p>
    <w:p w14:paraId="5F1496C7">
      <w:pPr>
        <w:pStyle w:val="946"/>
      </w:pPr>
      <w:r>
        <w:rPr>
          <w:rFonts w:hint="eastAsia"/>
        </w:rPr>
        <w:t>环境影响经济损益分析</w:t>
      </w:r>
    </w:p>
    <w:p w14:paraId="33E93FF0">
      <w:pPr>
        <w:pStyle w:val="117"/>
        <w:ind w:firstLine="480"/>
        <w:rPr>
          <w:color w:val="000000"/>
        </w:rPr>
      </w:pPr>
      <w:r>
        <w:rPr>
          <w:color w:val="000000"/>
        </w:rPr>
        <w:t>项目总投资为</w:t>
      </w:r>
      <w:r>
        <w:rPr>
          <w:rFonts w:hint="eastAsia"/>
          <w:color w:val="000000"/>
        </w:rPr>
        <w:t>58223.97</w:t>
      </w:r>
      <w:r>
        <w:rPr>
          <w:color w:val="000000"/>
        </w:rPr>
        <w:t>万元，环保投资</w:t>
      </w:r>
      <w:r>
        <w:rPr>
          <w:rFonts w:hint="eastAsia"/>
          <w:color w:val="000000"/>
        </w:rPr>
        <w:t>2500</w:t>
      </w:r>
      <w:r>
        <w:rPr>
          <w:color w:val="000000"/>
        </w:rPr>
        <w:t>万元，环保投资占项目总投资的</w:t>
      </w:r>
      <w:r>
        <w:rPr>
          <w:rFonts w:hint="eastAsia"/>
          <w:color w:val="000000"/>
        </w:rPr>
        <w:t>4.29%</w:t>
      </w:r>
      <w:r>
        <w:rPr>
          <w:color w:val="000000"/>
        </w:rPr>
        <w:t>。</w:t>
      </w:r>
    </w:p>
    <w:p w14:paraId="1646A664">
      <w:pPr>
        <w:pStyle w:val="946"/>
      </w:pPr>
      <w:bookmarkStart w:id="843" w:name="_Toc205291439"/>
      <w:r>
        <w:rPr>
          <w:rFonts w:hint="eastAsia"/>
        </w:rPr>
        <w:t>总体结论</w:t>
      </w:r>
      <w:bookmarkEnd w:id="843"/>
    </w:p>
    <w:p w14:paraId="2F6A19C1">
      <w:pPr>
        <w:pStyle w:val="117"/>
        <w:ind w:firstLine="480"/>
      </w:pPr>
      <w:r>
        <w:rPr>
          <w:rFonts w:hint="eastAsia"/>
        </w:rPr>
        <w:t>新疆金盛镁业有限公司镁合金产业循环经济建设技改提升项目符合国家产业政策和地方环保要求；项目选址于哈密高新技术产业开发区南部循环经济产业园，符合园区规划用地类型和产业布局要求；项目建设遵循清洁生产的发展理念，各项污染治理得当，经有效处理后可使污染物稳定达到相关排放标准要求，对外环境影响不大，不会降低区域功能类别；项目制定环境风险应急预案，经采取有效的事故防范和减缓措施后，项目环境风险是可防控的；通过公众参与调查，没有收到反对项目建设的意见；项目具有良好的经济效益和社会效益；因此，在认真落实本项目的各项污染防治措施的前提下，从环保的角度来说，该项目建设是可行的。</w:t>
      </w:r>
    </w:p>
    <w:p w14:paraId="146AC946">
      <w:pPr>
        <w:pStyle w:val="946"/>
      </w:pPr>
      <w:bookmarkStart w:id="844" w:name="_Toc205291440"/>
      <w:r>
        <w:rPr>
          <w:rFonts w:hint="eastAsia"/>
        </w:rPr>
        <w:t>建议</w:t>
      </w:r>
      <w:bookmarkEnd w:id="755"/>
      <w:bookmarkEnd w:id="756"/>
      <w:bookmarkEnd w:id="757"/>
      <w:bookmarkEnd w:id="844"/>
    </w:p>
    <w:p w14:paraId="5FB832D5">
      <w:pPr>
        <w:pStyle w:val="117"/>
        <w:ind w:firstLine="480"/>
      </w:pPr>
      <w:r>
        <w:rPr>
          <w:rFonts w:hint="eastAsia"/>
        </w:rPr>
        <w:t>（1）加强生产管理和生产设备的日常维护，保证各环保设施正常运行，杜绝事故排放的发生。</w:t>
      </w:r>
    </w:p>
    <w:p w14:paraId="3882FC42">
      <w:pPr>
        <w:pStyle w:val="117"/>
        <w:ind w:firstLine="480"/>
      </w:pPr>
      <w:r>
        <w:rPr>
          <w:rFonts w:hint="eastAsia"/>
        </w:rPr>
        <w:t>（2）加强企业内部的环境管理，建立并完善环境管理台账记录工作。</w:t>
      </w:r>
    </w:p>
    <w:bookmarkEnd w:id="676"/>
    <w:bookmarkEnd w:id="677"/>
    <w:bookmarkEnd w:id="758"/>
    <w:bookmarkEnd w:id="759"/>
    <w:bookmarkEnd w:id="760"/>
    <w:bookmarkEnd w:id="761"/>
    <w:bookmarkEnd w:id="762"/>
    <w:bookmarkEnd w:id="763"/>
    <w:bookmarkEnd w:id="764"/>
    <w:bookmarkEnd w:id="765"/>
    <w:bookmarkEnd w:id="766"/>
    <w:p w14:paraId="14143284">
      <w:pPr>
        <w:ind w:firstLine="0" w:firstLineChars="0"/>
      </w:pPr>
    </w:p>
    <w:sectPr>
      <w:footerReference r:id="rId30"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font-weight : 400">
    <w:altName w:val="微软雅黑"/>
    <w:panose1 w:val="00000000000000000000"/>
    <w:charset w:val="00"/>
    <w:family w:val="auto"/>
    <w:pitch w:val="default"/>
    <w:sig w:usb0="00000000" w:usb1="00000000" w:usb2="00000000" w:usb3="00000000" w:csb0="00000000" w:csb1="00000000"/>
  </w:font>
  <w:font w:name="ËÎÌå">
    <w:altName w:val="Times New Roman"/>
    <w:panose1 w:val="00000000000000000000"/>
    <w:charset w:val="00"/>
    <w:family w:val="swiss"/>
    <w:pitch w:val="default"/>
    <w:sig w:usb0="00000000" w:usb1="00000000" w:usb2="00000000" w:usb3="00000000" w:csb0="00000001" w:csb1="00000000"/>
  </w:font>
  <w:font w:name="方正仿宋_GBK">
    <w:altName w:val="微软雅黑"/>
    <w:panose1 w:val="00000000000000000000"/>
    <w:charset w:val="86"/>
    <w:family w:val="script"/>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隶书">
    <w:panose1 w:val="02010509060101010101"/>
    <w:charset w:val="86"/>
    <w:family w:val="modern"/>
    <w:pitch w:val="default"/>
    <w:sig w:usb0="00000001" w:usb1="080E0000" w:usb2="0000000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panose1 w:val="02020404030301010803"/>
    <w:charset w:val="00"/>
    <w:family w:val="roman"/>
    <w:pitch w:val="default"/>
    <w:sig w:usb0="00000287" w:usb1="00000000" w:usb2="00000000" w:usb3="00000000" w:csb0="0000009F" w:csb1="DFD70000"/>
  </w:font>
  <w:font w:name="???">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Arial Bold">
    <w:altName w:val="Arial"/>
    <w:panose1 w:val="020B0704020202020204"/>
    <w:charset w:val="00"/>
    <w:family w:val="roman"/>
    <w:pitch w:val="default"/>
    <w:sig w:usb0="00000000" w:usb1="00000000" w:usb2="00000000" w:usb3="00000000" w:csb0="00000001" w:csb1="00000000"/>
  </w:font>
  <w:font w:name="Marigold (PCL6)">
    <w:altName w:val="Segoe Print"/>
    <w:panose1 w:val="00000000000000000000"/>
    <w:charset w:val="00"/>
    <w:family w:val="script"/>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Swis721 Lt BT">
    <w:altName w:val="DejaVu Math TeX Gyre"/>
    <w:panose1 w:val="020B0403020202020204"/>
    <w:charset w:val="00"/>
    <w:family w:val="swiss"/>
    <w:pitch w:val="default"/>
    <w:sig w:usb0="00000000" w:usb1="00000000" w:usb2="00000000" w:usb3="00000000" w:csb0="0000001B"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Calibri Light">
    <w:altName w:val="Calibri"/>
    <w:panose1 w:val="020F0302020204030204"/>
    <w:charset w:val="00"/>
    <w:family w:val="swiss"/>
    <w:pitch w:val="default"/>
    <w:sig w:usb0="00000000" w:usb1="00000000" w:usb2="00000009" w:usb3="00000000" w:csb0="000001FF" w:csb1="00000000"/>
  </w:font>
  <w:font w:name="Helvetica">
    <w:altName w:val="Arial"/>
    <w:panose1 w:val="020B0504020202020204"/>
    <w:charset w:val="00"/>
    <w:family w:val="swiss"/>
    <w:pitch w:val="default"/>
    <w:sig w:usb0="00000000" w:usb1="00000000" w:usb2="00000000" w:usb3="00000000" w:csb0="00000001" w:csb1="00000000"/>
  </w:font>
  <w:font w:name="Segoe UI Symbol">
    <w:panose1 w:val="020B0502040204020203"/>
    <w:charset w:val="00"/>
    <w:family w:val="swiss"/>
    <w:pitch w:val="default"/>
    <w:sig w:usb0="8000006F" w:usb1="1200FBEF" w:usb2="0004C000" w:usb3="00000000" w:csb0="00000001" w:csb1="4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10" w:usb3="00000000" w:csb0="0006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A0963">
    <w:pPr>
      <w:pStyle w:val="41"/>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D6B20">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7DB36D9C">
    <w:pPr>
      <w:pStyle w:val="41"/>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40BB">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5E581BF3">
    <w:pPr>
      <w:pStyle w:val="41"/>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D94EA">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56B69046">
    <w:pPr>
      <w:pStyle w:val="41"/>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846DD">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47935B1C">
    <w:pPr>
      <w:pStyle w:val="41"/>
      <w:ind w:right="360"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68E12">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2B652C92">
    <w:pPr>
      <w:pStyle w:val="41"/>
      <w:ind w:right="360"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5692A">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54804B12">
    <w:pPr>
      <w:pStyle w:val="41"/>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D9015">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200D48BA">
    <w:pPr>
      <w:pStyle w:val="41"/>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4FEF">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539956B2">
    <w:pPr>
      <w:pStyle w:val="41"/>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72185">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41BDBD10">
    <w:pPr>
      <w:pStyle w:val="4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119FF">
    <w:pPr>
      <w:pStyle w:val="4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3D3F0">
    <w:pPr>
      <w:pStyle w:val="4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D5D87">
    <w:pPr>
      <w:pStyle w:val="41"/>
      <w:pBdr>
        <w:top w:val="single" w:color="auto" w:sz="4" w:space="1"/>
      </w:pBdr>
      <w:tabs>
        <w:tab w:val="clear" w:pos="4153"/>
      </w:tabs>
      <w:spacing w:line="240" w:lineRule="auto"/>
      <w:ind w:firstLine="0" w:firstLineChars="0"/>
      <w:jc w:val="both"/>
      <w:rPr>
        <w:lang w:val="zh-CN"/>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471</w:t>
    </w:r>
    <w:r>
      <w:rPr>
        <w:sz w:val="21"/>
        <w:szCs w:val="21"/>
      </w:rPr>
      <w:fldChar w:fldCharType="end"/>
    </w:r>
    <w:r>
      <w:rPr>
        <w:rFonts w:hint="eastAsia"/>
        <w:sz w:val="21"/>
        <w:szCs w:val="21"/>
        <w:lang w:val="zh-CN"/>
      </w:rPr>
      <w:t>新疆寰宇工程咨询有限公司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28970">
    <w:pPr>
      <w:pStyle w:val="4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6FD4B">
    <w:pPr>
      <w:pStyle w:val="4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3B33F">
    <w:pPr>
      <w:pStyle w:val="41"/>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16B88">
    <w:pPr>
      <w:pStyle w:val="41"/>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99ED6">
    <w:pPr>
      <w:pStyle w:val="41"/>
      <w:framePr w:wrap="around" w:vAnchor="text" w:hAnchor="margin" w:xAlign="center" w:y="1"/>
      <w:ind w:firstLine="360"/>
      <w:rPr>
        <w:rStyle w:val="74"/>
      </w:rPr>
    </w:pPr>
    <w:r>
      <w:fldChar w:fldCharType="begin"/>
    </w:r>
    <w:r>
      <w:rPr>
        <w:rStyle w:val="74"/>
      </w:rPr>
      <w:instrText xml:space="preserve">PAGE  </w:instrText>
    </w:r>
    <w:r>
      <w:fldChar w:fldCharType="separate"/>
    </w:r>
    <w:r>
      <w:rPr>
        <w:rStyle w:val="74"/>
      </w:rPr>
      <w:t>49</w:t>
    </w:r>
    <w:r>
      <w:fldChar w:fldCharType="end"/>
    </w:r>
  </w:p>
  <w:p w14:paraId="304F28F9">
    <w:pPr>
      <w:pStyle w:val="41"/>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112B4">
    <w:pPr>
      <w:pStyle w:val="4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0A29F">
    <w:pPr>
      <w:pStyle w:val="4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0A755">
    <w:pPr>
      <w:pStyle w:val="4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B297B">
    <w:pPr>
      <w:pStyle w:val="42"/>
      <w:spacing w:line="240" w:lineRule="auto"/>
      <w:ind w:firstLine="0" w:firstLineChars="0"/>
      <w:rPr>
        <w:sz w:val="21"/>
        <w:szCs w:val="21"/>
      </w:rPr>
    </w:pPr>
    <w:bookmarkStart w:id="845" w:name="_Hlk155629290"/>
    <w:bookmarkStart w:id="846" w:name="_Hlk155629291"/>
    <w:bookmarkStart w:id="847" w:name="_Hlk155629289"/>
    <w:bookmarkStart w:id="848" w:name="_Hlk155629288"/>
    <w:r>
      <w:rPr>
        <w:rFonts w:hint="eastAsia"/>
        <w:sz w:val="21"/>
        <w:szCs w:val="21"/>
      </w:rPr>
      <w:t>新疆金盛镁业有限公司镁合金产业循环经济建设技改提升项目环境影响报告书</w:t>
    </w:r>
    <w:bookmarkEnd w:id="845"/>
    <w:bookmarkEnd w:id="846"/>
    <w:bookmarkEnd w:id="847"/>
    <w:bookmarkEnd w:id="848"/>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B466E">
    <w:pPr>
      <w:pStyle w:val="4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CF521">
    <w:pPr>
      <w:pStyle w:val="4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5421E">
    <w:pPr>
      <w:pStyle w:val="42"/>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39996">
    <w:pPr>
      <w:pStyle w:val="4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pStyle w:val="1121"/>
      <w:lvlText w:val=""/>
      <w:lvlJc w:val="left"/>
      <w:pPr>
        <w:tabs>
          <w:tab w:val="left" w:pos="426"/>
        </w:tabs>
        <w:ind w:left="426" w:hanging="420"/>
      </w:pPr>
      <w:rPr>
        <w:rFonts w:hint="default" w:ascii="Wingdings" w:hAnsi="Wingdings"/>
      </w:rPr>
    </w:lvl>
    <w:lvl w:ilvl="1" w:tentative="0">
      <w:start w:val="1"/>
      <w:numFmt w:val="bullet"/>
      <w:lvlText w:val=""/>
      <w:lvlJc w:val="left"/>
      <w:pPr>
        <w:tabs>
          <w:tab w:val="left" w:pos="846"/>
        </w:tabs>
        <w:ind w:left="846" w:hanging="420"/>
      </w:pPr>
      <w:rPr>
        <w:rFonts w:hint="default" w:ascii="Wingdings" w:hAnsi="Wingdings"/>
      </w:rPr>
    </w:lvl>
    <w:lvl w:ilvl="2" w:tentative="0">
      <w:start w:val="1"/>
      <w:numFmt w:val="bullet"/>
      <w:lvlText w:val=""/>
      <w:lvlJc w:val="left"/>
      <w:pPr>
        <w:tabs>
          <w:tab w:val="left" w:pos="1266"/>
        </w:tabs>
        <w:ind w:left="1266" w:hanging="420"/>
      </w:pPr>
      <w:rPr>
        <w:rFonts w:hint="default" w:ascii="Wingdings" w:hAnsi="Wingdings"/>
      </w:rPr>
    </w:lvl>
    <w:lvl w:ilvl="3" w:tentative="0">
      <w:start w:val="1"/>
      <w:numFmt w:val="bullet"/>
      <w:lvlText w:val=""/>
      <w:lvlJc w:val="left"/>
      <w:pPr>
        <w:tabs>
          <w:tab w:val="left" w:pos="1686"/>
        </w:tabs>
        <w:ind w:left="1686" w:hanging="420"/>
      </w:pPr>
      <w:rPr>
        <w:rFonts w:hint="default" w:ascii="Wingdings" w:hAnsi="Wingdings"/>
      </w:rPr>
    </w:lvl>
    <w:lvl w:ilvl="4" w:tentative="0">
      <w:start w:val="1"/>
      <w:numFmt w:val="bullet"/>
      <w:lvlText w:val=""/>
      <w:lvlJc w:val="left"/>
      <w:pPr>
        <w:tabs>
          <w:tab w:val="left" w:pos="2106"/>
        </w:tabs>
        <w:ind w:left="2106" w:hanging="420"/>
      </w:pPr>
      <w:rPr>
        <w:rFonts w:hint="default" w:ascii="Wingdings" w:hAnsi="Wingdings"/>
      </w:rPr>
    </w:lvl>
    <w:lvl w:ilvl="5" w:tentative="0">
      <w:start w:val="1"/>
      <w:numFmt w:val="bullet"/>
      <w:lvlText w:val=""/>
      <w:lvlJc w:val="left"/>
      <w:pPr>
        <w:tabs>
          <w:tab w:val="left" w:pos="2526"/>
        </w:tabs>
        <w:ind w:left="2526" w:hanging="420"/>
      </w:pPr>
      <w:rPr>
        <w:rFonts w:hint="default" w:ascii="Wingdings" w:hAnsi="Wingdings"/>
      </w:rPr>
    </w:lvl>
    <w:lvl w:ilvl="6" w:tentative="0">
      <w:start w:val="1"/>
      <w:numFmt w:val="bullet"/>
      <w:lvlText w:val=""/>
      <w:lvlJc w:val="left"/>
      <w:pPr>
        <w:tabs>
          <w:tab w:val="left" w:pos="2946"/>
        </w:tabs>
        <w:ind w:left="2946" w:hanging="420"/>
      </w:pPr>
      <w:rPr>
        <w:rFonts w:hint="default" w:ascii="Wingdings" w:hAnsi="Wingdings"/>
      </w:rPr>
    </w:lvl>
    <w:lvl w:ilvl="7" w:tentative="0">
      <w:start w:val="1"/>
      <w:numFmt w:val="bullet"/>
      <w:lvlText w:val=""/>
      <w:lvlJc w:val="left"/>
      <w:pPr>
        <w:tabs>
          <w:tab w:val="left" w:pos="3366"/>
        </w:tabs>
        <w:ind w:left="3366" w:hanging="420"/>
      </w:pPr>
      <w:rPr>
        <w:rFonts w:hint="default" w:ascii="Wingdings" w:hAnsi="Wingdings"/>
      </w:rPr>
    </w:lvl>
    <w:lvl w:ilvl="8" w:tentative="0">
      <w:start w:val="1"/>
      <w:numFmt w:val="bullet"/>
      <w:lvlText w:val=""/>
      <w:lvlJc w:val="left"/>
      <w:pPr>
        <w:tabs>
          <w:tab w:val="left" w:pos="3786"/>
        </w:tabs>
        <w:ind w:left="3786" w:hanging="420"/>
      </w:pPr>
      <w:rPr>
        <w:rFonts w:hint="default" w:ascii="Wingdings" w:hAnsi="Wingdings"/>
      </w:rPr>
    </w:lvl>
  </w:abstractNum>
  <w:abstractNum w:abstractNumId="1">
    <w:nsid w:val="00000002"/>
    <w:multiLevelType w:val="multilevel"/>
    <w:tmpl w:val="00000002"/>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00000003"/>
    <w:multiLevelType w:val="multilevel"/>
    <w:tmpl w:val="0000000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pStyle w:val="406"/>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0000004"/>
    <w:multiLevelType w:val="multilevel"/>
    <w:tmpl w:val="00000004"/>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0000005"/>
    <w:multiLevelType w:val="multilevel"/>
    <w:tmpl w:val="0000000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pStyle w:val="887"/>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0000006"/>
    <w:multiLevelType w:val="multilevel"/>
    <w:tmpl w:val="00000006"/>
    <w:lvl w:ilvl="0" w:tentative="0">
      <w:start w:val="1"/>
      <w:numFmt w:val="decimal"/>
      <w:pStyle w:val="161"/>
      <w:suff w:val="nothing"/>
      <w:lvlText w:val="（%1）"/>
      <w:lvlJc w:val="left"/>
      <w:pPr>
        <w:ind w:left="0" w:firstLine="0"/>
      </w:pPr>
      <w:rPr>
        <w:rFonts w:hint="default"/>
      </w:rPr>
    </w:lvl>
    <w:lvl w:ilvl="1" w:tentative="0">
      <w:start w:val="1"/>
      <w:numFmt w:val="decimalEnclosedCircle"/>
      <w:pStyle w:val="759"/>
      <w:lvlText w:val="%2"/>
      <w:lvlJc w:val="left"/>
      <w:pPr>
        <w:ind w:left="1260" w:hanging="360"/>
      </w:pPr>
      <w:rPr>
        <w:rFonts w:hint="default"/>
      </w:rPr>
    </w:lvl>
    <w:lvl w:ilvl="2" w:tentative="0">
      <w:start w:val="1"/>
      <w:numFmt w:val="lowerRoman"/>
      <w:pStyle w:val="760"/>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0000007"/>
    <w:multiLevelType w:val="multilevel"/>
    <w:tmpl w:val="00000007"/>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00000008"/>
    <w:multiLevelType w:val="multilevel"/>
    <w:tmpl w:val="00000008"/>
    <w:lvl w:ilvl="0" w:tentative="0">
      <w:start w:val="1"/>
      <w:numFmt w:val="decimal"/>
      <w:pStyle w:val="953"/>
      <w:lvlText w:val="%1"/>
      <w:lvlJc w:val="left"/>
      <w:pPr>
        <w:ind w:left="425" w:hanging="425"/>
      </w:pPr>
      <w:rPr>
        <w:rFonts w:hint="default"/>
      </w:rPr>
    </w:lvl>
    <w:lvl w:ilvl="1" w:tentative="0">
      <w:start w:val="1"/>
      <w:numFmt w:val="decimal"/>
      <w:lvlText w:val="%1.%2"/>
      <w:lvlJc w:val="left"/>
      <w:pPr>
        <w:ind w:left="5670" w:hanging="567"/>
      </w:pPr>
      <w:rPr>
        <w:rFonts w:hint="eastAsia"/>
      </w:rPr>
    </w:lvl>
    <w:lvl w:ilvl="2" w:tentative="0">
      <w:start w:val="1"/>
      <w:numFmt w:val="decimal"/>
      <w:pStyle w:val="150"/>
      <w:lvlText w:val="%1.%2.%3"/>
      <w:lvlJc w:val="left"/>
      <w:pPr>
        <w:ind w:left="0" w:firstLine="0"/>
      </w:pPr>
      <w:rPr>
        <w:rFonts w:hint="eastAsia"/>
      </w:rPr>
    </w:lvl>
    <w:lvl w:ilvl="3" w:tentative="0">
      <w:start w:val="1"/>
      <w:numFmt w:val="decimal"/>
      <w:lvlText w:val="%1.%2.%3.%4"/>
      <w:lvlJc w:val="left"/>
      <w:pPr>
        <w:ind w:left="2693" w:hanging="708"/>
      </w:pPr>
      <w:rPr>
        <w:rFonts w:hint="eastAsia"/>
      </w:rPr>
    </w:lvl>
    <w:lvl w:ilvl="4" w:tentative="0">
      <w:start w:val="1"/>
      <w:numFmt w:val="decimal"/>
      <w:lvlText w:val="%1.%2.%3.%4.%5"/>
      <w:lvlJc w:val="left"/>
      <w:pPr>
        <w:ind w:left="0" w:firstLine="0"/>
      </w:pPr>
      <w:rPr>
        <w:rFonts w:hint="eastAsia"/>
      </w:rPr>
    </w:lvl>
    <w:lvl w:ilvl="5" w:tentative="0">
      <w:start w:val="1"/>
      <w:numFmt w:val="decimal"/>
      <w:pStyle w:val="7"/>
      <w:lvlText w:val="%1.%2.%3.%4.%5.%6"/>
      <w:lvlJc w:val="left"/>
      <w:pPr>
        <w:ind w:left="3260" w:hanging="1134"/>
      </w:pPr>
      <w:rPr>
        <w:rFonts w:hint="eastAsia"/>
      </w:rPr>
    </w:lvl>
    <w:lvl w:ilvl="6" w:tentative="0">
      <w:start w:val="1"/>
      <w:numFmt w:val="decimal"/>
      <w:pStyle w:val="8"/>
      <w:lvlText w:val="%1.%2.%3.%4.%5.%6.%7"/>
      <w:lvlJc w:val="left"/>
      <w:pPr>
        <w:ind w:left="3827" w:hanging="1276"/>
      </w:pPr>
      <w:rPr>
        <w:rFonts w:hint="eastAsia"/>
      </w:rPr>
    </w:lvl>
    <w:lvl w:ilvl="7" w:tentative="0">
      <w:start w:val="1"/>
      <w:numFmt w:val="decimal"/>
      <w:pStyle w:val="9"/>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00000009"/>
    <w:multiLevelType w:val="multilevel"/>
    <w:tmpl w:val="00000009"/>
    <w:lvl w:ilvl="0" w:tentative="0">
      <w:start w:val="1"/>
      <w:numFmt w:val="decimal"/>
      <w:pStyle w:val="2"/>
      <w:suff w:val="space"/>
      <w:lvlText w:val="第%1章"/>
      <w:lvlJc w:val="center"/>
      <w:pPr>
        <w:ind w:left="0" w:firstLine="340"/>
      </w:pPr>
    </w:lvl>
    <w:lvl w:ilvl="1" w:tentative="0">
      <w:start w:val="1"/>
      <w:numFmt w:val="decimal"/>
      <w:pStyle w:val="3"/>
      <w:suff w:val="space"/>
      <w:lvlText w:val="%1.%2"/>
      <w:lvlJc w:val="left"/>
      <w:pPr>
        <w:ind w:left="851" w:firstLine="0"/>
      </w:pPr>
      <w:rPr>
        <w:rFonts w:hint="eastAsia" w:ascii="Times New Roman" w:hAnsi="Times New Roman" w:cs="Times New Roman"/>
        <w:b/>
        <w:bCs w:val="0"/>
        <w:i w:val="0"/>
        <w:iCs w:val="0"/>
        <w:caps w:val="0"/>
        <w:smallCaps w:val="0"/>
        <w:vanish w:val="0"/>
        <w:color w:val="000000"/>
        <w:spacing w:val="0"/>
        <w:kern w:val="0"/>
        <w:position w:val="0"/>
        <w:u w:val="none"/>
        <w:vertAlign w:val="baseline"/>
      </w:rPr>
    </w:lvl>
    <w:lvl w:ilvl="2" w:tentative="0">
      <w:start w:val="1"/>
      <w:numFmt w:val="decimal"/>
      <w:pStyle w:val="138"/>
      <w:suff w:val="space"/>
      <w:lvlText w:val="%1.%2.%3"/>
      <w:lvlJc w:val="left"/>
      <w:pPr>
        <w:ind w:left="0" w:firstLine="0"/>
      </w:pPr>
      <w:rPr>
        <w:rFonts w:hint="default" w:ascii="Times New Roman" w:hAnsi="Times New Roman" w:eastAsia="宋体"/>
      </w:rPr>
    </w:lvl>
    <w:lvl w:ilvl="3" w:tentative="0">
      <w:start w:val="1"/>
      <w:numFmt w:val="decimal"/>
      <w:pStyle w:val="5"/>
      <w:suff w:val="space"/>
      <w:lvlText w:val="%1.%2.%3.%4"/>
      <w:lvlJc w:val="left"/>
      <w:pPr>
        <w:ind w:left="1418" w:firstLine="0"/>
      </w:pPr>
      <w:rPr>
        <w:b w:val="0"/>
        <w:bCs w:val="0"/>
        <w:i w:val="0"/>
        <w:iCs w:val="0"/>
        <w:caps w:val="0"/>
        <w:smallCaps w:val="0"/>
        <w:vanish w:val="0"/>
        <w:color w:val="000000"/>
        <w:spacing w:val="0"/>
        <w:position w:val="0"/>
        <w:u w:val="none"/>
        <w:vertAlign w:val="baseline"/>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000000A"/>
    <w:multiLevelType w:val="multilevel"/>
    <w:tmpl w:val="0000000A"/>
    <w:lvl w:ilvl="0" w:tentative="0">
      <w:start w:val="1"/>
      <w:numFmt w:val="decimalEnclosedCircle"/>
      <w:lvlText w:val="%1"/>
      <w:lvlJc w:val="left"/>
      <w:pPr>
        <w:tabs>
          <w:tab w:val="left" w:pos="1320"/>
        </w:tabs>
        <w:ind w:left="1320" w:hanging="360"/>
      </w:pPr>
      <w:rPr>
        <w:rFonts w:hint="default"/>
      </w:rPr>
    </w:lvl>
    <w:lvl w:ilvl="1" w:tentative="0">
      <w:start w:val="1"/>
      <w:numFmt w:val="bullet"/>
      <w:pStyle w:val="1182"/>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0">
    <w:nsid w:val="0000000B"/>
    <w:multiLevelType w:val="singleLevel"/>
    <w:tmpl w:val="0000000B"/>
    <w:lvl w:ilvl="0" w:tentative="0">
      <w:start w:val="1"/>
      <w:numFmt w:val="bullet"/>
      <w:pStyle w:val="832"/>
      <w:lvlText w:val=""/>
      <w:lvlJc w:val="left"/>
      <w:pPr>
        <w:tabs>
          <w:tab w:val="left" w:pos="1134"/>
        </w:tabs>
        <w:ind w:left="1134" w:hanging="454"/>
      </w:pPr>
      <w:rPr>
        <w:rFonts w:hint="default" w:ascii="Symbol" w:hAnsi="Symbol"/>
      </w:rPr>
    </w:lvl>
  </w:abstractNum>
  <w:abstractNum w:abstractNumId="11">
    <w:nsid w:val="0000000C"/>
    <w:multiLevelType w:val="multilevel"/>
    <w:tmpl w:val="0000000C"/>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0000000D"/>
    <w:multiLevelType w:val="multilevel"/>
    <w:tmpl w:val="0000000D"/>
    <w:lvl w:ilvl="0" w:tentative="0">
      <w:start w:val="1"/>
      <w:numFmt w:val="decimal"/>
      <w:lvlText w:val="%1."/>
      <w:lvlJc w:val="left"/>
      <w:pPr>
        <w:ind w:left="425" w:hanging="425"/>
      </w:pPr>
    </w:lvl>
    <w:lvl w:ilvl="1" w:tentative="0">
      <w:start w:val="1"/>
      <w:numFmt w:val="decimal"/>
      <w:pStyle w:val="868"/>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0E"/>
    <w:multiLevelType w:val="multilevel"/>
    <w:tmpl w:val="0000000E"/>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0000000F"/>
    <w:multiLevelType w:val="multilevel"/>
    <w:tmpl w:val="0000000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00000010"/>
    <w:multiLevelType w:val="multilevel"/>
    <w:tmpl w:val="00000010"/>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00000011"/>
    <w:multiLevelType w:val="multilevel"/>
    <w:tmpl w:val="00000011"/>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072A16BE"/>
    <w:multiLevelType w:val="multilevel"/>
    <w:tmpl w:val="072A16BE"/>
    <w:lvl w:ilvl="0" w:tentative="0">
      <w:start w:val="1"/>
      <w:numFmt w:val="japaneseCounting"/>
      <w:pStyle w:val="1117"/>
      <w:lvlText w:val="%1、"/>
      <w:lvlJc w:val="left"/>
      <w:pPr>
        <w:tabs>
          <w:tab w:val="left" w:pos="1440"/>
        </w:tabs>
        <w:ind w:left="1440" w:hanging="720"/>
      </w:pPr>
      <w:rPr>
        <w:rFonts w:cs="Times New Roman"/>
      </w:rPr>
    </w:lvl>
    <w:lvl w:ilvl="1" w:tentative="0">
      <w:start w:val="9"/>
      <w:numFmt w:val="bullet"/>
      <w:lvlText w:val="●"/>
      <w:lvlJc w:val="left"/>
      <w:pPr>
        <w:tabs>
          <w:tab w:val="left" w:pos="1500"/>
        </w:tabs>
        <w:ind w:left="1500" w:hanging="360"/>
      </w:pPr>
      <w:rPr>
        <w:rFonts w:hint="default" w:ascii="Times New Roman" w:hAnsi="Times New Roman" w:eastAsia="宋体" w:cs="Times New Roman"/>
      </w:rPr>
    </w:lvl>
    <w:lvl w:ilvl="2" w:tentative="0">
      <w:start w:val="1"/>
      <w:numFmt w:val="lowerRoman"/>
      <w:lvlText w:val="%3."/>
      <w:lvlJc w:val="right"/>
      <w:pPr>
        <w:tabs>
          <w:tab w:val="left" w:pos="1980"/>
        </w:tabs>
        <w:ind w:left="1980" w:hanging="420"/>
      </w:pPr>
      <w:rPr>
        <w:rFonts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num w:numId="1">
    <w:abstractNumId w:val="8"/>
  </w:num>
  <w:num w:numId="2">
    <w:abstractNumId w:val="7"/>
  </w:num>
  <w:num w:numId="3">
    <w:abstractNumId w:val="5"/>
  </w:num>
  <w:num w:numId="4">
    <w:abstractNumId w:val="2"/>
  </w:num>
  <w:num w:numId="5">
    <w:abstractNumId w:val="5"/>
    <w:lvlOverride w:ilvl="0">
      <w:startOverride w:val="1"/>
    </w:lvlOverride>
  </w:num>
  <w:num w:numId="6">
    <w:abstractNumId w:val="10"/>
  </w:num>
  <w:num w:numId="7">
    <w:abstractNumId w:val="12"/>
  </w:num>
  <w:num w:numId="8">
    <w:abstractNumId w:val="4"/>
  </w:num>
  <w:num w:numId="9">
    <w:abstractNumId w:val="17"/>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15"/>
  </w:num>
  <w:num w:numId="17">
    <w:abstractNumId w:val="6"/>
  </w:num>
  <w:num w:numId="18">
    <w:abstractNumId w:val="1"/>
  </w:num>
  <w:num w:numId="19">
    <w:abstractNumId w:val="3"/>
  </w:num>
  <w:num w:numId="20">
    <w:abstractNumId w:val="14"/>
  </w:num>
  <w:num w:numId="21">
    <w:abstractNumId w:val="13"/>
  </w:num>
  <w:num w:numId="22">
    <w:abstractNumId w:val="11"/>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806"/>
    <w:rsid w:val="00000595"/>
    <w:rsid w:val="00014C39"/>
    <w:rsid w:val="000210EE"/>
    <w:rsid w:val="000260A8"/>
    <w:rsid w:val="00037E31"/>
    <w:rsid w:val="000444AA"/>
    <w:rsid w:val="00061054"/>
    <w:rsid w:val="00063697"/>
    <w:rsid w:val="00063A9A"/>
    <w:rsid w:val="00075F5B"/>
    <w:rsid w:val="0009042E"/>
    <w:rsid w:val="0009111C"/>
    <w:rsid w:val="000B4BA3"/>
    <w:rsid w:val="000D2701"/>
    <w:rsid w:val="000D52A6"/>
    <w:rsid w:val="000E0627"/>
    <w:rsid w:val="000E105E"/>
    <w:rsid w:val="00111745"/>
    <w:rsid w:val="001225B0"/>
    <w:rsid w:val="00123F62"/>
    <w:rsid w:val="001331B3"/>
    <w:rsid w:val="00135B37"/>
    <w:rsid w:val="00141D80"/>
    <w:rsid w:val="001457BC"/>
    <w:rsid w:val="00147FC2"/>
    <w:rsid w:val="00153697"/>
    <w:rsid w:val="001573C2"/>
    <w:rsid w:val="00172560"/>
    <w:rsid w:val="001735F4"/>
    <w:rsid w:val="00177D4A"/>
    <w:rsid w:val="00180824"/>
    <w:rsid w:val="001825DA"/>
    <w:rsid w:val="00190AA6"/>
    <w:rsid w:val="00191DD6"/>
    <w:rsid w:val="001924CB"/>
    <w:rsid w:val="001D04D0"/>
    <w:rsid w:val="001E0E68"/>
    <w:rsid w:val="001E3608"/>
    <w:rsid w:val="0020642E"/>
    <w:rsid w:val="00207041"/>
    <w:rsid w:val="002314C6"/>
    <w:rsid w:val="002353C9"/>
    <w:rsid w:val="00241A00"/>
    <w:rsid w:val="00250130"/>
    <w:rsid w:val="00271F95"/>
    <w:rsid w:val="00277F43"/>
    <w:rsid w:val="0029124B"/>
    <w:rsid w:val="002B3E56"/>
    <w:rsid w:val="002E73E2"/>
    <w:rsid w:val="002F5286"/>
    <w:rsid w:val="002F5850"/>
    <w:rsid w:val="00304334"/>
    <w:rsid w:val="00311840"/>
    <w:rsid w:val="0031258F"/>
    <w:rsid w:val="0031784B"/>
    <w:rsid w:val="0032492B"/>
    <w:rsid w:val="00326879"/>
    <w:rsid w:val="003414C6"/>
    <w:rsid w:val="003434E6"/>
    <w:rsid w:val="003535DB"/>
    <w:rsid w:val="0035605F"/>
    <w:rsid w:val="00360617"/>
    <w:rsid w:val="00367AF5"/>
    <w:rsid w:val="00373C7D"/>
    <w:rsid w:val="00374332"/>
    <w:rsid w:val="00383FE6"/>
    <w:rsid w:val="003850B0"/>
    <w:rsid w:val="00393AEB"/>
    <w:rsid w:val="00395B0C"/>
    <w:rsid w:val="003A591E"/>
    <w:rsid w:val="003A5A45"/>
    <w:rsid w:val="003B466B"/>
    <w:rsid w:val="003B4FBE"/>
    <w:rsid w:val="003B75C5"/>
    <w:rsid w:val="003C107C"/>
    <w:rsid w:val="003C3E5C"/>
    <w:rsid w:val="003D6BB6"/>
    <w:rsid w:val="003E7CBA"/>
    <w:rsid w:val="003F4AEC"/>
    <w:rsid w:val="00404276"/>
    <w:rsid w:val="00413079"/>
    <w:rsid w:val="0041363E"/>
    <w:rsid w:val="00415487"/>
    <w:rsid w:val="004202A7"/>
    <w:rsid w:val="00421171"/>
    <w:rsid w:val="00421651"/>
    <w:rsid w:val="00421A67"/>
    <w:rsid w:val="00432316"/>
    <w:rsid w:val="00463744"/>
    <w:rsid w:val="00483873"/>
    <w:rsid w:val="00487EC2"/>
    <w:rsid w:val="004935A3"/>
    <w:rsid w:val="004B1C56"/>
    <w:rsid w:val="004C43A8"/>
    <w:rsid w:val="004C4BC3"/>
    <w:rsid w:val="004D4FE1"/>
    <w:rsid w:val="004E01A0"/>
    <w:rsid w:val="004F0D6A"/>
    <w:rsid w:val="004F0E33"/>
    <w:rsid w:val="004F245F"/>
    <w:rsid w:val="004F2806"/>
    <w:rsid w:val="004F5543"/>
    <w:rsid w:val="00501BEA"/>
    <w:rsid w:val="00512841"/>
    <w:rsid w:val="00525D3C"/>
    <w:rsid w:val="00534120"/>
    <w:rsid w:val="005433F4"/>
    <w:rsid w:val="005444A5"/>
    <w:rsid w:val="0054535E"/>
    <w:rsid w:val="00554FA2"/>
    <w:rsid w:val="00563163"/>
    <w:rsid w:val="0057222C"/>
    <w:rsid w:val="00582504"/>
    <w:rsid w:val="00593B80"/>
    <w:rsid w:val="005969B8"/>
    <w:rsid w:val="005A110E"/>
    <w:rsid w:val="005B2BC0"/>
    <w:rsid w:val="005B5683"/>
    <w:rsid w:val="005B7ED1"/>
    <w:rsid w:val="005C034D"/>
    <w:rsid w:val="005D10B0"/>
    <w:rsid w:val="005D1FEA"/>
    <w:rsid w:val="005E315C"/>
    <w:rsid w:val="005F08F3"/>
    <w:rsid w:val="005F40BE"/>
    <w:rsid w:val="005F7C78"/>
    <w:rsid w:val="00600070"/>
    <w:rsid w:val="0060759E"/>
    <w:rsid w:val="006203BD"/>
    <w:rsid w:val="006261E0"/>
    <w:rsid w:val="00627143"/>
    <w:rsid w:val="006526A1"/>
    <w:rsid w:val="006566F0"/>
    <w:rsid w:val="00663AE4"/>
    <w:rsid w:val="00665998"/>
    <w:rsid w:val="0067181B"/>
    <w:rsid w:val="0067445D"/>
    <w:rsid w:val="00675896"/>
    <w:rsid w:val="00676FE6"/>
    <w:rsid w:val="00681AAA"/>
    <w:rsid w:val="006A26F3"/>
    <w:rsid w:val="006A394C"/>
    <w:rsid w:val="006A78B8"/>
    <w:rsid w:val="006A7D94"/>
    <w:rsid w:val="006B1919"/>
    <w:rsid w:val="006C1FB1"/>
    <w:rsid w:val="006C356D"/>
    <w:rsid w:val="006C7953"/>
    <w:rsid w:val="0070772B"/>
    <w:rsid w:val="00727041"/>
    <w:rsid w:val="0073483E"/>
    <w:rsid w:val="00743129"/>
    <w:rsid w:val="00752903"/>
    <w:rsid w:val="00757FD1"/>
    <w:rsid w:val="00761970"/>
    <w:rsid w:val="00764884"/>
    <w:rsid w:val="007670EA"/>
    <w:rsid w:val="00772E6D"/>
    <w:rsid w:val="007750B9"/>
    <w:rsid w:val="00782136"/>
    <w:rsid w:val="00783368"/>
    <w:rsid w:val="00793945"/>
    <w:rsid w:val="007A5E74"/>
    <w:rsid w:val="007A6705"/>
    <w:rsid w:val="007B08C9"/>
    <w:rsid w:val="007D5005"/>
    <w:rsid w:val="007E084B"/>
    <w:rsid w:val="007E0A06"/>
    <w:rsid w:val="007E10D9"/>
    <w:rsid w:val="007E328A"/>
    <w:rsid w:val="007F204F"/>
    <w:rsid w:val="007F7C99"/>
    <w:rsid w:val="0080081B"/>
    <w:rsid w:val="0080335E"/>
    <w:rsid w:val="00811D12"/>
    <w:rsid w:val="00821BF5"/>
    <w:rsid w:val="00830041"/>
    <w:rsid w:val="00835EEB"/>
    <w:rsid w:val="0083729F"/>
    <w:rsid w:val="00843127"/>
    <w:rsid w:val="008616C5"/>
    <w:rsid w:val="008658C3"/>
    <w:rsid w:val="008754D2"/>
    <w:rsid w:val="00876DD0"/>
    <w:rsid w:val="008913EE"/>
    <w:rsid w:val="00891FF0"/>
    <w:rsid w:val="008A0113"/>
    <w:rsid w:val="008B08FB"/>
    <w:rsid w:val="008B183D"/>
    <w:rsid w:val="008B2C66"/>
    <w:rsid w:val="008D31D9"/>
    <w:rsid w:val="008E0042"/>
    <w:rsid w:val="008F2388"/>
    <w:rsid w:val="008F4B08"/>
    <w:rsid w:val="0090186B"/>
    <w:rsid w:val="00903FD9"/>
    <w:rsid w:val="009164E3"/>
    <w:rsid w:val="0092634F"/>
    <w:rsid w:val="0093111B"/>
    <w:rsid w:val="0093577C"/>
    <w:rsid w:val="0094239B"/>
    <w:rsid w:val="00951CB5"/>
    <w:rsid w:val="00964321"/>
    <w:rsid w:val="0097465D"/>
    <w:rsid w:val="00980F9C"/>
    <w:rsid w:val="009836D5"/>
    <w:rsid w:val="00984D50"/>
    <w:rsid w:val="00985052"/>
    <w:rsid w:val="00987E6B"/>
    <w:rsid w:val="009A4365"/>
    <w:rsid w:val="009C6F78"/>
    <w:rsid w:val="009D0F1A"/>
    <w:rsid w:val="009E0445"/>
    <w:rsid w:val="009E693D"/>
    <w:rsid w:val="009F1EA2"/>
    <w:rsid w:val="009F33DF"/>
    <w:rsid w:val="00A147F7"/>
    <w:rsid w:val="00A2664E"/>
    <w:rsid w:val="00A27291"/>
    <w:rsid w:val="00A342D1"/>
    <w:rsid w:val="00A412A9"/>
    <w:rsid w:val="00A428A1"/>
    <w:rsid w:val="00A46E8B"/>
    <w:rsid w:val="00A526C5"/>
    <w:rsid w:val="00A6319D"/>
    <w:rsid w:val="00A63427"/>
    <w:rsid w:val="00A65363"/>
    <w:rsid w:val="00A71FB0"/>
    <w:rsid w:val="00A737B3"/>
    <w:rsid w:val="00A8580A"/>
    <w:rsid w:val="00A85871"/>
    <w:rsid w:val="00A87679"/>
    <w:rsid w:val="00A92C3D"/>
    <w:rsid w:val="00A93FA4"/>
    <w:rsid w:val="00A96089"/>
    <w:rsid w:val="00AA2212"/>
    <w:rsid w:val="00AB383F"/>
    <w:rsid w:val="00AB3AB6"/>
    <w:rsid w:val="00AB45F0"/>
    <w:rsid w:val="00AF24AB"/>
    <w:rsid w:val="00B32953"/>
    <w:rsid w:val="00B42069"/>
    <w:rsid w:val="00B425FA"/>
    <w:rsid w:val="00B651F7"/>
    <w:rsid w:val="00B670D3"/>
    <w:rsid w:val="00B75FD7"/>
    <w:rsid w:val="00B82002"/>
    <w:rsid w:val="00B83779"/>
    <w:rsid w:val="00B92A45"/>
    <w:rsid w:val="00BB7C5B"/>
    <w:rsid w:val="00BC18AB"/>
    <w:rsid w:val="00BC375B"/>
    <w:rsid w:val="00BC6E2E"/>
    <w:rsid w:val="00BD0307"/>
    <w:rsid w:val="00BD0504"/>
    <w:rsid w:val="00BD293D"/>
    <w:rsid w:val="00BE009F"/>
    <w:rsid w:val="00BE6CAE"/>
    <w:rsid w:val="00BF09E2"/>
    <w:rsid w:val="00BF5AA8"/>
    <w:rsid w:val="00BF63E7"/>
    <w:rsid w:val="00BF6702"/>
    <w:rsid w:val="00BF6E76"/>
    <w:rsid w:val="00C050B8"/>
    <w:rsid w:val="00C105A0"/>
    <w:rsid w:val="00C2072E"/>
    <w:rsid w:val="00C211E9"/>
    <w:rsid w:val="00C2249D"/>
    <w:rsid w:val="00C23B34"/>
    <w:rsid w:val="00C26296"/>
    <w:rsid w:val="00C26C4D"/>
    <w:rsid w:val="00C27EBE"/>
    <w:rsid w:val="00C3608D"/>
    <w:rsid w:val="00C410D6"/>
    <w:rsid w:val="00C433BD"/>
    <w:rsid w:val="00C5194C"/>
    <w:rsid w:val="00C54EFC"/>
    <w:rsid w:val="00C63819"/>
    <w:rsid w:val="00C66471"/>
    <w:rsid w:val="00C706DE"/>
    <w:rsid w:val="00C752A4"/>
    <w:rsid w:val="00C768A1"/>
    <w:rsid w:val="00C8098E"/>
    <w:rsid w:val="00C8112C"/>
    <w:rsid w:val="00C96535"/>
    <w:rsid w:val="00CA248C"/>
    <w:rsid w:val="00CA2ABE"/>
    <w:rsid w:val="00CA4CCB"/>
    <w:rsid w:val="00CA6B1B"/>
    <w:rsid w:val="00CB4A7A"/>
    <w:rsid w:val="00CC703F"/>
    <w:rsid w:val="00CE33E2"/>
    <w:rsid w:val="00CF0790"/>
    <w:rsid w:val="00D03FBE"/>
    <w:rsid w:val="00D040C6"/>
    <w:rsid w:val="00D2019D"/>
    <w:rsid w:val="00D32554"/>
    <w:rsid w:val="00D36722"/>
    <w:rsid w:val="00D51C86"/>
    <w:rsid w:val="00D56BC9"/>
    <w:rsid w:val="00D76E5C"/>
    <w:rsid w:val="00D80511"/>
    <w:rsid w:val="00D821B9"/>
    <w:rsid w:val="00D835AC"/>
    <w:rsid w:val="00D85CF7"/>
    <w:rsid w:val="00D92714"/>
    <w:rsid w:val="00D951A6"/>
    <w:rsid w:val="00DA293C"/>
    <w:rsid w:val="00DA5DD6"/>
    <w:rsid w:val="00DC4DF4"/>
    <w:rsid w:val="00DC5E80"/>
    <w:rsid w:val="00DD38C4"/>
    <w:rsid w:val="00DE2692"/>
    <w:rsid w:val="00DF065B"/>
    <w:rsid w:val="00DF6DD8"/>
    <w:rsid w:val="00E03F4E"/>
    <w:rsid w:val="00E050CD"/>
    <w:rsid w:val="00E060BD"/>
    <w:rsid w:val="00E07A5B"/>
    <w:rsid w:val="00E17AF5"/>
    <w:rsid w:val="00E21272"/>
    <w:rsid w:val="00E44B88"/>
    <w:rsid w:val="00E52C1A"/>
    <w:rsid w:val="00E807FF"/>
    <w:rsid w:val="00E85114"/>
    <w:rsid w:val="00EA203C"/>
    <w:rsid w:val="00EA5EE1"/>
    <w:rsid w:val="00EB2669"/>
    <w:rsid w:val="00EB7126"/>
    <w:rsid w:val="00EB79FF"/>
    <w:rsid w:val="00EC5A64"/>
    <w:rsid w:val="00ED133C"/>
    <w:rsid w:val="00ED3425"/>
    <w:rsid w:val="00ED755C"/>
    <w:rsid w:val="00F01539"/>
    <w:rsid w:val="00F023B1"/>
    <w:rsid w:val="00F07B0E"/>
    <w:rsid w:val="00F26DF8"/>
    <w:rsid w:val="00F32AC6"/>
    <w:rsid w:val="00F44889"/>
    <w:rsid w:val="00F45EB7"/>
    <w:rsid w:val="00F51A6E"/>
    <w:rsid w:val="00F56F28"/>
    <w:rsid w:val="00F662D3"/>
    <w:rsid w:val="00F67B7A"/>
    <w:rsid w:val="00F67BF0"/>
    <w:rsid w:val="00F83C50"/>
    <w:rsid w:val="00F85332"/>
    <w:rsid w:val="00F858B3"/>
    <w:rsid w:val="00F9438A"/>
    <w:rsid w:val="00F9485B"/>
    <w:rsid w:val="00FC0CD7"/>
    <w:rsid w:val="00FC5419"/>
    <w:rsid w:val="00FD7A12"/>
    <w:rsid w:val="00FE0B9F"/>
    <w:rsid w:val="00FF2A02"/>
    <w:rsid w:val="00FF398C"/>
    <w:rsid w:val="05A50F26"/>
    <w:rsid w:val="0FFC3E38"/>
    <w:rsid w:val="163B0AEA"/>
    <w:rsid w:val="17D41836"/>
    <w:rsid w:val="18552337"/>
    <w:rsid w:val="1A9D6217"/>
    <w:rsid w:val="1CD50903"/>
    <w:rsid w:val="1D6F3E9B"/>
    <w:rsid w:val="22554113"/>
    <w:rsid w:val="233449EF"/>
    <w:rsid w:val="24D46CDA"/>
    <w:rsid w:val="25473008"/>
    <w:rsid w:val="2BBD0B4F"/>
    <w:rsid w:val="2D687FBF"/>
    <w:rsid w:val="301B756B"/>
    <w:rsid w:val="34F423FA"/>
    <w:rsid w:val="3B202178"/>
    <w:rsid w:val="4C361288"/>
    <w:rsid w:val="54A97AB6"/>
    <w:rsid w:val="5B2555BE"/>
    <w:rsid w:val="5C872843"/>
    <w:rsid w:val="5D49149F"/>
    <w:rsid w:val="5E4F60EC"/>
    <w:rsid w:val="5E6437FF"/>
    <w:rsid w:val="654F153B"/>
    <w:rsid w:val="678A48FB"/>
    <w:rsid w:val="687D746B"/>
    <w:rsid w:val="6E9817AB"/>
    <w:rsid w:val="71015D2D"/>
    <w:rsid w:val="73486935"/>
    <w:rsid w:val="7B9675CB"/>
    <w:rsid w:val="7C5A0475"/>
    <w:rsid w:val="7CA801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1"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99"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qFormat="1" w:unhideWhenUsed="0" w:uiPriority="99" w:semiHidden="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ascii="Times New Roman" w:hAnsi="Times New Roman" w:eastAsia="宋体" w:cs="Times New Roman"/>
      <w:sz w:val="24"/>
      <w:szCs w:val="24"/>
      <w:lang w:val="en-US" w:eastAsia="zh-CN" w:bidi="ar-SA"/>
    </w:rPr>
  </w:style>
  <w:style w:type="paragraph" w:styleId="2">
    <w:name w:val="heading 1"/>
    <w:basedOn w:val="1"/>
    <w:next w:val="1"/>
    <w:link w:val="85"/>
    <w:qFormat/>
    <w:uiPriority w:val="9"/>
    <w:pPr>
      <w:keepNext/>
      <w:keepLines/>
      <w:numPr>
        <w:ilvl w:val="0"/>
        <w:numId w:val="1"/>
      </w:numPr>
      <w:spacing w:beforeLines="100"/>
      <w:ind w:firstLine="0" w:firstLineChars="0"/>
      <w:jc w:val="center"/>
      <w:outlineLvl w:val="0"/>
    </w:pPr>
    <w:rPr>
      <w:b/>
      <w:bCs/>
      <w:kern w:val="44"/>
      <w:sz w:val="32"/>
      <w:szCs w:val="30"/>
    </w:rPr>
  </w:style>
  <w:style w:type="paragraph" w:styleId="3">
    <w:name w:val="heading 2"/>
    <w:basedOn w:val="1"/>
    <w:next w:val="1"/>
    <w:link w:val="86"/>
    <w:qFormat/>
    <w:uiPriority w:val="9"/>
    <w:pPr>
      <w:keepNext/>
      <w:keepLines/>
      <w:numPr>
        <w:ilvl w:val="1"/>
        <w:numId w:val="1"/>
      </w:numPr>
      <w:ind w:left="0" w:firstLineChars="0"/>
      <w:jc w:val="left"/>
      <w:outlineLvl w:val="1"/>
    </w:pPr>
    <w:rPr>
      <w:b/>
      <w:bCs/>
      <w:sz w:val="30"/>
      <w:szCs w:val="28"/>
    </w:rPr>
  </w:style>
  <w:style w:type="paragraph" w:styleId="4">
    <w:name w:val="heading 3"/>
    <w:basedOn w:val="1"/>
    <w:next w:val="1"/>
    <w:link w:val="87"/>
    <w:qFormat/>
    <w:uiPriority w:val="0"/>
    <w:pPr>
      <w:keepNext/>
      <w:keepLines/>
      <w:ind w:firstLine="0" w:firstLineChars="0"/>
      <w:outlineLvl w:val="2"/>
    </w:pPr>
    <w:rPr>
      <w:b/>
      <w:bCs/>
    </w:rPr>
  </w:style>
  <w:style w:type="paragraph" w:styleId="5">
    <w:name w:val="heading 4"/>
    <w:basedOn w:val="1"/>
    <w:next w:val="1"/>
    <w:link w:val="88"/>
    <w:qFormat/>
    <w:uiPriority w:val="1"/>
    <w:pPr>
      <w:keepNext/>
      <w:keepLines/>
      <w:numPr>
        <w:ilvl w:val="3"/>
        <w:numId w:val="1"/>
      </w:numPr>
      <w:overflowPunct w:val="0"/>
      <w:autoSpaceDE w:val="0"/>
      <w:autoSpaceDN w:val="0"/>
      <w:adjustRightInd w:val="0"/>
      <w:ind w:left="0" w:firstLineChars="0"/>
      <w:jc w:val="left"/>
      <w:textAlignment w:val="baseline"/>
      <w:outlineLvl w:val="3"/>
    </w:pPr>
    <w:rPr>
      <w:b/>
      <w:spacing w:val="10"/>
    </w:rPr>
  </w:style>
  <w:style w:type="paragraph" w:styleId="6">
    <w:name w:val="heading 5"/>
    <w:basedOn w:val="1"/>
    <w:next w:val="1"/>
    <w:link w:val="244"/>
    <w:qFormat/>
    <w:uiPriority w:val="0"/>
    <w:pPr>
      <w:keepNext/>
      <w:keepLines/>
      <w:widowControl/>
      <w:ind w:firstLine="0" w:firstLineChars="0"/>
      <w:jc w:val="left"/>
      <w:outlineLvl w:val="4"/>
    </w:pPr>
    <w:rPr>
      <w:rFonts w:ascii="等线" w:hAnsi="等线" w:eastAsia="等线"/>
      <w:b/>
      <w:bCs/>
      <w:kern w:val="2"/>
    </w:rPr>
  </w:style>
  <w:style w:type="paragraph" w:styleId="7">
    <w:name w:val="heading 6"/>
    <w:basedOn w:val="1"/>
    <w:next w:val="1"/>
    <w:link w:val="245"/>
    <w:qFormat/>
    <w:uiPriority w:val="0"/>
    <w:pPr>
      <w:keepNext/>
      <w:keepLines/>
      <w:widowControl/>
      <w:numPr>
        <w:ilvl w:val="5"/>
        <w:numId w:val="2"/>
      </w:numPr>
      <w:spacing w:before="240" w:after="64" w:line="320" w:lineRule="auto"/>
      <w:ind w:firstLine="0" w:firstLineChars="0"/>
      <w:jc w:val="left"/>
      <w:outlineLvl w:val="5"/>
    </w:pPr>
    <w:rPr>
      <w:rFonts w:ascii="Cambria" w:hAnsi="Cambria" w:eastAsia="等线"/>
      <w:b/>
      <w:bCs/>
      <w:kern w:val="2"/>
    </w:rPr>
  </w:style>
  <w:style w:type="paragraph" w:styleId="8">
    <w:name w:val="heading 7"/>
    <w:basedOn w:val="1"/>
    <w:next w:val="1"/>
    <w:link w:val="246"/>
    <w:qFormat/>
    <w:uiPriority w:val="0"/>
    <w:pPr>
      <w:keepNext/>
      <w:keepLines/>
      <w:widowControl/>
      <w:numPr>
        <w:ilvl w:val="6"/>
        <w:numId w:val="2"/>
      </w:numPr>
      <w:spacing w:before="240" w:after="64" w:line="320" w:lineRule="auto"/>
      <w:ind w:firstLine="0" w:firstLineChars="0"/>
      <w:jc w:val="left"/>
      <w:outlineLvl w:val="6"/>
    </w:pPr>
    <w:rPr>
      <w:rFonts w:ascii="等线" w:hAnsi="等线" w:eastAsia="等线"/>
      <w:b/>
      <w:bCs/>
      <w:kern w:val="2"/>
    </w:rPr>
  </w:style>
  <w:style w:type="paragraph" w:styleId="9">
    <w:name w:val="heading 8"/>
    <w:basedOn w:val="1"/>
    <w:next w:val="1"/>
    <w:link w:val="247"/>
    <w:qFormat/>
    <w:uiPriority w:val="0"/>
    <w:pPr>
      <w:keepNext/>
      <w:keepLines/>
      <w:widowControl/>
      <w:numPr>
        <w:ilvl w:val="7"/>
        <w:numId w:val="2"/>
      </w:numPr>
      <w:spacing w:before="240" w:after="64" w:line="320" w:lineRule="auto"/>
      <w:ind w:firstLine="0" w:firstLineChars="0"/>
      <w:jc w:val="left"/>
      <w:outlineLvl w:val="7"/>
    </w:pPr>
    <w:rPr>
      <w:rFonts w:ascii="Cambria" w:hAnsi="Cambria" w:eastAsia="等线"/>
      <w:kern w:val="2"/>
    </w:rPr>
  </w:style>
  <w:style w:type="paragraph" w:styleId="10">
    <w:name w:val="heading 9"/>
    <w:basedOn w:val="1"/>
    <w:next w:val="1"/>
    <w:link w:val="179"/>
    <w:qFormat/>
    <w:uiPriority w:val="0"/>
    <w:pPr>
      <w:keepNext/>
      <w:keepLines/>
      <w:spacing w:before="240" w:after="64" w:line="320" w:lineRule="auto"/>
      <w:outlineLvl w:val="8"/>
    </w:pPr>
    <w:rPr>
      <w:rFonts w:ascii="Cambria" w:hAnsi="Cambria" w:cs="宋体"/>
      <w:sz w:val="21"/>
      <w:szCs w:val="21"/>
    </w:rPr>
  </w:style>
  <w:style w:type="character" w:default="1" w:styleId="71">
    <w:name w:val="Default Paragraph Font"/>
    <w:semiHidden/>
    <w:unhideWhenUsed/>
    <w:qFormat/>
    <w:uiPriority w:val="1"/>
  </w:style>
  <w:style w:type="table" w:default="1" w:styleId="6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spacing w:line="240" w:lineRule="auto"/>
      <w:ind w:left="2520" w:leftChars="1200" w:firstLine="0" w:firstLineChars="0"/>
    </w:pPr>
    <w:rPr>
      <w:rFonts w:ascii="Calibri" w:hAnsi="Calibri" w:cs="宋体"/>
      <w:kern w:val="2"/>
      <w:sz w:val="21"/>
      <w:szCs w:val="22"/>
    </w:rPr>
  </w:style>
  <w:style w:type="paragraph" w:styleId="12">
    <w:name w:val="Note Heading"/>
    <w:basedOn w:val="1"/>
    <w:next w:val="1"/>
    <w:link w:val="695"/>
    <w:qFormat/>
    <w:uiPriority w:val="0"/>
    <w:pPr>
      <w:widowControl/>
      <w:ind w:hanging="851" w:hangingChars="200"/>
    </w:pPr>
    <w:rPr>
      <w:rFonts w:ascii="Calibri" w:hAnsi="Calibri"/>
      <w:szCs w:val="20"/>
      <w:lang w:val="zh-CN"/>
    </w:rPr>
  </w:style>
  <w:style w:type="paragraph" w:styleId="13">
    <w:name w:val="List Bullet 4"/>
    <w:basedOn w:val="1"/>
    <w:qFormat/>
    <w:uiPriority w:val="0"/>
    <w:pPr>
      <w:tabs>
        <w:tab w:val="left" w:pos="1280"/>
      </w:tabs>
      <w:ind w:left="1280" w:hanging="720"/>
    </w:pPr>
    <w:rPr>
      <w:rFonts w:ascii="宋体"/>
      <w:kern w:val="2"/>
      <w:szCs w:val="20"/>
    </w:rPr>
  </w:style>
  <w:style w:type="paragraph" w:styleId="14">
    <w:name w:val="index 8"/>
    <w:basedOn w:val="1"/>
    <w:next w:val="1"/>
    <w:qFormat/>
    <w:uiPriority w:val="0"/>
    <w:pPr>
      <w:ind w:left="1680" w:hanging="210" w:hangingChars="200"/>
      <w:jc w:val="left"/>
    </w:pPr>
    <w:rPr>
      <w:rFonts w:ascii="Calibri" w:hAnsi="Calibri"/>
      <w:kern w:val="2"/>
      <w:sz w:val="20"/>
      <w:szCs w:val="20"/>
    </w:rPr>
  </w:style>
  <w:style w:type="paragraph" w:styleId="15">
    <w:name w:val="Normal Indent"/>
    <w:basedOn w:val="1"/>
    <w:link w:val="460"/>
    <w:qFormat/>
    <w:uiPriority w:val="99"/>
    <w:pPr>
      <w:widowControl/>
      <w:spacing w:after="200" w:line="240" w:lineRule="auto"/>
      <w:ind w:firstLine="420"/>
      <w:jc w:val="left"/>
    </w:pPr>
    <w:rPr>
      <w:szCs w:val="20"/>
      <w:lang w:eastAsia="en-US" w:bidi="en-US"/>
    </w:rPr>
  </w:style>
  <w:style w:type="paragraph" w:styleId="16">
    <w:name w:val="caption"/>
    <w:basedOn w:val="1"/>
    <w:next w:val="1"/>
    <w:link w:val="166"/>
    <w:qFormat/>
    <w:uiPriority w:val="0"/>
    <w:pPr>
      <w:spacing w:before="152" w:after="160"/>
    </w:pPr>
    <w:rPr>
      <w:rFonts w:ascii="Arial" w:hAnsi="Arial" w:eastAsia="黑体"/>
      <w:color w:val="000000"/>
      <w:kern w:val="2"/>
      <w:sz w:val="20"/>
    </w:rPr>
  </w:style>
  <w:style w:type="paragraph" w:styleId="17">
    <w:name w:val="index 5"/>
    <w:basedOn w:val="1"/>
    <w:next w:val="1"/>
    <w:qFormat/>
    <w:uiPriority w:val="0"/>
    <w:pPr>
      <w:ind w:left="1050" w:hanging="210" w:hangingChars="200"/>
      <w:jc w:val="left"/>
    </w:pPr>
    <w:rPr>
      <w:rFonts w:ascii="Calibri" w:hAnsi="Calibri"/>
      <w:kern w:val="2"/>
      <w:sz w:val="20"/>
      <w:szCs w:val="20"/>
    </w:rPr>
  </w:style>
  <w:style w:type="paragraph" w:styleId="18">
    <w:name w:val="envelope address"/>
    <w:basedOn w:val="1"/>
    <w:qFormat/>
    <w:uiPriority w:val="0"/>
    <w:pPr>
      <w:framePr w:w="7920" w:h="1980" w:hRule="exact" w:hSpace="180" w:wrap="around" w:vAnchor="margin" w:hAnchor="page" w:xAlign="center" w:yAlign="bottom"/>
      <w:widowControl/>
      <w:snapToGrid w:val="0"/>
      <w:spacing w:line="240" w:lineRule="auto"/>
      <w:ind w:left="100" w:leftChars="1400" w:firstLine="0" w:firstLineChars="0"/>
      <w:jc w:val="left"/>
    </w:pPr>
    <w:rPr>
      <w:rFonts w:ascii="Arial" w:hAnsi="Arial" w:cs="Arial"/>
    </w:rPr>
  </w:style>
  <w:style w:type="paragraph" w:styleId="19">
    <w:name w:val="Document Map"/>
    <w:basedOn w:val="1"/>
    <w:link w:val="89"/>
    <w:qFormat/>
    <w:uiPriority w:val="0"/>
    <w:rPr>
      <w:rFonts w:ascii="宋体"/>
      <w:sz w:val="18"/>
      <w:szCs w:val="18"/>
    </w:rPr>
  </w:style>
  <w:style w:type="paragraph" w:styleId="20">
    <w:name w:val="annotation text"/>
    <w:basedOn w:val="1"/>
    <w:link w:val="90"/>
    <w:qFormat/>
    <w:uiPriority w:val="0"/>
    <w:pPr>
      <w:jc w:val="left"/>
    </w:pPr>
  </w:style>
  <w:style w:type="paragraph" w:styleId="21">
    <w:name w:val="index 6"/>
    <w:basedOn w:val="1"/>
    <w:next w:val="1"/>
    <w:qFormat/>
    <w:uiPriority w:val="0"/>
    <w:pPr>
      <w:ind w:left="1260" w:hanging="210" w:hangingChars="200"/>
      <w:jc w:val="left"/>
    </w:pPr>
    <w:rPr>
      <w:rFonts w:ascii="Calibri" w:hAnsi="Calibri"/>
      <w:kern w:val="2"/>
      <w:sz w:val="20"/>
      <w:szCs w:val="20"/>
    </w:rPr>
  </w:style>
  <w:style w:type="paragraph" w:styleId="22">
    <w:name w:val="Salutation"/>
    <w:basedOn w:val="1"/>
    <w:next w:val="1"/>
    <w:link w:val="1152"/>
    <w:qFormat/>
    <w:uiPriority w:val="0"/>
    <w:pPr>
      <w:ind w:firstLine="200"/>
    </w:pPr>
    <w:rPr>
      <w:rFonts w:ascii="宋体"/>
      <w:kern w:val="2"/>
      <w:szCs w:val="20"/>
    </w:rPr>
  </w:style>
  <w:style w:type="paragraph" w:styleId="23">
    <w:name w:val="Body Text 3"/>
    <w:basedOn w:val="1"/>
    <w:link w:val="426"/>
    <w:qFormat/>
    <w:uiPriority w:val="0"/>
    <w:pPr>
      <w:spacing w:after="120"/>
      <w:ind w:firstLine="420"/>
    </w:pPr>
    <w:rPr>
      <w:kern w:val="2"/>
      <w:sz w:val="16"/>
      <w:szCs w:val="16"/>
    </w:rPr>
  </w:style>
  <w:style w:type="paragraph" w:styleId="24">
    <w:name w:val="Body Text"/>
    <w:basedOn w:val="1"/>
    <w:next w:val="25"/>
    <w:link w:val="91"/>
    <w:qFormat/>
    <w:uiPriority w:val="0"/>
    <w:pPr>
      <w:widowControl/>
      <w:spacing w:after="200" w:line="240" w:lineRule="auto"/>
      <w:jc w:val="center"/>
    </w:pPr>
    <w:rPr>
      <w:lang w:eastAsia="en-US" w:bidi="en-US"/>
    </w:rPr>
  </w:style>
  <w:style w:type="paragraph" w:styleId="25">
    <w:name w:val="Body Text 2"/>
    <w:basedOn w:val="1"/>
    <w:link w:val="92"/>
    <w:qFormat/>
    <w:uiPriority w:val="0"/>
    <w:pPr>
      <w:widowControl/>
      <w:spacing w:after="200" w:line="240" w:lineRule="auto"/>
      <w:jc w:val="left"/>
    </w:pPr>
    <w:rPr>
      <w:sz w:val="22"/>
      <w:lang w:eastAsia="en-US" w:bidi="en-US"/>
    </w:rPr>
  </w:style>
  <w:style w:type="paragraph" w:styleId="26">
    <w:name w:val="Body Text Indent"/>
    <w:basedOn w:val="1"/>
    <w:link w:val="93"/>
    <w:qFormat/>
    <w:uiPriority w:val="0"/>
    <w:pPr>
      <w:ind w:firstLine="540" w:firstLineChars="225"/>
    </w:pPr>
    <w:rPr>
      <w:kern w:val="2"/>
    </w:rPr>
  </w:style>
  <w:style w:type="paragraph" w:styleId="27">
    <w:name w:val="List 2"/>
    <w:basedOn w:val="1"/>
    <w:qFormat/>
    <w:uiPriority w:val="0"/>
    <w:pPr>
      <w:spacing w:line="240" w:lineRule="auto"/>
      <w:ind w:left="840" w:hanging="420"/>
    </w:pPr>
    <w:rPr>
      <w:rFonts w:eastAsia="仿宋_GB2312"/>
      <w:sz w:val="28"/>
      <w:szCs w:val="20"/>
    </w:rPr>
  </w:style>
  <w:style w:type="paragraph" w:styleId="28">
    <w:name w:val="List Continue"/>
    <w:basedOn w:val="1"/>
    <w:qFormat/>
    <w:uiPriority w:val="99"/>
    <w:pPr>
      <w:spacing w:after="120" w:line="240" w:lineRule="auto"/>
      <w:ind w:left="420" w:leftChars="200" w:firstLine="0" w:firstLineChars="0"/>
      <w:contextualSpacing/>
    </w:pPr>
    <w:rPr>
      <w:kern w:val="2"/>
      <w:sz w:val="21"/>
      <w:szCs w:val="20"/>
    </w:rPr>
  </w:style>
  <w:style w:type="paragraph" w:styleId="29">
    <w:name w:val="Block Text"/>
    <w:basedOn w:val="1"/>
    <w:qFormat/>
    <w:uiPriority w:val="99"/>
    <w:pPr>
      <w:ind w:left="-359" w:leftChars="-171" w:right="-334" w:rightChars="-159" w:firstLine="538" w:firstLineChars="192"/>
    </w:pPr>
    <w:rPr>
      <w:kern w:val="2"/>
      <w:sz w:val="28"/>
    </w:rPr>
  </w:style>
  <w:style w:type="paragraph" w:styleId="30">
    <w:name w:val="List Bullet 2"/>
    <w:basedOn w:val="1"/>
    <w:qFormat/>
    <w:uiPriority w:val="0"/>
    <w:pPr>
      <w:widowControl/>
      <w:ind w:firstLine="0" w:firstLineChars="0"/>
      <w:jc w:val="left"/>
    </w:pPr>
    <w:rPr>
      <w:rFonts w:ascii="Cambria Math" w:hAnsi="Cambria Math" w:cs="Cambria Math"/>
      <w:szCs w:val="20"/>
    </w:rPr>
  </w:style>
  <w:style w:type="paragraph" w:styleId="31">
    <w:name w:val="index 4"/>
    <w:basedOn w:val="1"/>
    <w:next w:val="1"/>
    <w:qFormat/>
    <w:uiPriority w:val="0"/>
    <w:pPr>
      <w:ind w:left="840" w:hanging="210" w:hangingChars="200"/>
      <w:jc w:val="left"/>
    </w:pPr>
    <w:rPr>
      <w:rFonts w:ascii="Calibri" w:hAnsi="Calibri"/>
      <w:kern w:val="2"/>
      <w:sz w:val="20"/>
      <w:szCs w:val="20"/>
    </w:rPr>
  </w:style>
  <w:style w:type="paragraph" w:styleId="32">
    <w:name w:val="toc 5"/>
    <w:basedOn w:val="1"/>
    <w:next w:val="1"/>
    <w:qFormat/>
    <w:uiPriority w:val="39"/>
    <w:pPr>
      <w:spacing w:line="240" w:lineRule="auto"/>
      <w:ind w:left="1680" w:leftChars="800" w:firstLine="0" w:firstLineChars="0"/>
    </w:pPr>
    <w:rPr>
      <w:rFonts w:ascii="Calibri" w:hAnsi="Calibri" w:cs="宋体"/>
      <w:kern w:val="2"/>
      <w:sz w:val="21"/>
      <w:szCs w:val="22"/>
    </w:rPr>
  </w:style>
  <w:style w:type="paragraph" w:styleId="33">
    <w:name w:val="toc 3"/>
    <w:basedOn w:val="1"/>
    <w:next w:val="1"/>
    <w:qFormat/>
    <w:uiPriority w:val="39"/>
    <w:pPr>
      <w:ind w:left="840" w:leftChars="400"/>
    </w:pPr>
  </w:style>
  <w:style w:type="paragraph" w:styleId="34">
    <w:name w:val="Plain Text"/>
    <w:basedOn w:val="1"/>
    <w:link w:val="94"/>
    <w:qFormat/>
    <w:uiPriority w:val="0"/>
    <w:pPr>
      <w:adjustRightInd w:val="0"/>
      <w:spacing w:line="312" w:lineRule="atLeast"/>
      <w:textAlignment w:val="baseline"/>
    </w:pPr>
    <w:rPr>
      <w:rFonts w:hAnsi="Courier New"/>
      <w:i/>
      <w:sz w:val="18"/>
    </w:rPr>
  </w:style>
  <w:style w:type="paragraph" w:styleId="35">
    <w:name w:val="toc 8"/>
    <w:basedOn w:val="1"/>
    <w:next w:val="1"/>
    <w:qFormat/>
    <w:uiPriority w:val="39"/>
    <w:pPr>
      <w:spacing w:line="240" w:lineRule="auto"/>
      <w:ind w:left="2940" w:leftChars="1400" w:firstLine="0" w:firstLineChars="0"/>
    </w:pPr>
    <w:rPr>
      <w:rFonts w:ascii="Calibri" w:hAnsi="Calibri" w:cs="宋体"/>
      <w:kern w:val="2"/>
      <w:sz w:val="21"/>
      <w:szCs w:val="22"/>
    </w:rPr>
  </w:style>
  <w:style w:type="paragraph" w:styleId="36">
    <w:name w:val="index 3"/>
    <w:basedOn w:val="1"/>
    <w:next w:val="1"/>
    <w:qFormat/>
    <w:uiPriority w:val="0"/>
    <w:pPr>
      <w:ind w:left="630" w:hanging="210" w:hangingChars="200"/>
      <w:jc w:val="left"/>
    </w:pPr>
    <w:rPr>
      <w:rFonts w:ascii="Calibri" w:hAnsi="Calibri"/>
      <w:kern w:val="2"/>
      <w:sz w:val="20"/>
      <w:szCs w:val="20"/>
    </w:rPr>
  </w:style>
  <w:style w:type="paragraph" w:styleId="37">
    <w:name w:val="Date"/>
    <w:basedOn w:val="1"/>
    <w:next w:val="1"/>
    <w:link w:val="95"/>
    <w:qFormat/>
    <w:uiPriority w:val="0"/>
    <w:pPr>
      <w:ind w:left="100" w:leftChars="2500"/>
    </w:pPr>
    <w:rPr>
      <w:kern w:val="2"/>
    </w:rPr>
  </w:style>
  <w:style w:type="paragraph" w:styleId="38">
    <w:name w:val="Body Text Indent 2"/>
    <w:basedOn w:val="1"/>
    <w:link w:val="96"/>
    <w:qFormat/>
    <w:uiPriority w:val="0"/>
    <w:pPr>
      <w:spacing w:line="240" w:lineRule="atLeast"/>
      <w:ind w:firstLine="425"/>
    </w:pPr>
  </w:style>
  <w:style w:type="paragraph" w:styleId="39">
    <w:name w:val="endnote text"/>
    <w:basedOn w:val="1"/>
    <w:link w:val="500"/>
    <w:qFormat/>
    <w:uiPriority w:val="99"/>
    <w:pPr>
      <w:snapToGrid w:val="0"/>
      <w:spacing w:line="240" w:lineRule="auto"/>
      <w:ind w:firstLine="0" w:firstLineChars="0"/>
      <w:jc w:val="left"/>
    </w:pPr>
    <w:rPr>
      <w:sz w:val="20"/>
      <w:szCs w:val="20"/>
      <w:lang w:val="zh-CN"/>
    </w:rPr>
  </w:style>
  <w:style w:type="paragraph" w:styleId="40">
    <w:name w:val="Balloon Text"/>
    <w:basedOn w:val="1"/>
    <w:link w:val="97"/>
    <w:qFormat/>
    <w:uiPriority w:val="0"/>
    <w:pPr>
      <w:spacing w:line="240" w:lineRule="auto"/>
    </w:pPr>
    <w:rPr>
      <w:sz w:val="18"/>
      <w:szCs w:val="18"/>
    </w:rPr>
  </w:style>
  <w:style w:type="paragraph" w:styleId="41">
    <w:name w:val="footer"/>
    <w:basedOn w:val="1"/>
    <w:link w:val="84"/>
    <w:qFormat/>
    <w:uiPriority w:val="0"/>
    <w:pPr>
      <w:tabs>
        <w:tab w:val="center" w:pos="4153"/>
        <w:tab w:val="right" w:pos="8306"/>
      </w:tabs>
      <w:snapToGrid w:val="0"/>
      <w:jc w:val="left"/>
    </w:pPr>
    <w:rPr>
      <w:sz w:val="18"/>
      <w:szCs w:val="18"/>
    </w:rPr>
  </w:style>
  <w:style w:type="paragraph" w:styleId="42">
    <w:name w:val="header"/>
    <w:basedOn w:val="1"/>
    <w:link w:val="83"/>
    <w:qFormat/>
    <w:uiPriority w:val="0"/>
    <w:pPr>
      <w:pBdr>
        <w:bottom w:val="single" w:color="auto" w:sz="6" w:space="1"/>
      </w:pBdr>
      <w:tabs>
        <w:tab w:val="center" w:pos="4153"/>
        <w:tab w:val="right" w:pos="8306"/>
      </w:tabs>
      <w:snapToGrid w:val="0"/>
      <w:jc w:val="center"/>
    </w:pPr>
    <w:rPr>
      <w:sz w:val="18"/>
      <w:szCs w:val="18"/>
    </w:rPr>
  </w:style>
  <w:style w:type="paragraph" w:styleId="43">
    <w:name w:val="toc 1"/>
    <w:basedOn w:val="1"/>
    <w:next w:val="1"/>
    <w:qFormat/>
    <w:uiPriority w:val="39"/>
  </w:style>
  <w:style w:type="paragraph" w:styleId="44">
    <w:name w:val="toc 4"/>
    <w:basedOn w:val="1"/>
    <w:next w:val="1"/>
    <w:qFormat/>
    <w:uiPriority w:val="39"/>
    <w:pPr>
      <w:spacing w:line="240" w:lineRule="auto"/>
      <w:ind w:left="1260" w:leftChars="600" w:firstLine="0" w:firstLineChars="0"/>
    </w:pPr>
    <w:rPr>
      <w:rFonts w:ascii="Calibri" w:hAnsi="Calibri" w:cs="宋体"/>
      <w:kern w:val="2"/>
      <w:sz w:val="21"/>
      <w:szCs w:val="22"/>
    </w:rPr>
  </w:style>
  <w:style w:type="paragraph" w:styleId="45">
    <w:name w:val="index heading"/>
    <w:basedOn w:val="1"/>
    <w:next w:val="46"/>
    <w:qFormat/>
    <w:uiPriority w:val="0"/>
    <w:pPr>
      <w:ind w:hanging="851" w:hangingChars="200"/>
      <w:jc w:val="left"/>
    </w:pPr>
    <w:rPr>
      <w:rFonts w:ascii="Calibri" w:hAnsi="Calibri"/>
      <w:kern w:val="2"/>
      <w:sz w:val="20"/>
      <w:szCs w:val="20"/>
    </w:rPr>
  </w:style>
  <w:style w:type="paragraph" w:styleId="46">
    <w:name w:val="index 1"/>
    <w:basedOn w:val="1"/>
    <w:next w:val="1"/>
    <w:qFormat/>
    <w:uiPriority w:val="0"/>
    <w:pPr>
      <w:tabs>
        <w:tab w:val="left" w:pos="360"/>
      </w:tabs>
      <w:adjustRightInd w:val="0"/>
      <w:snapToGrid w:val="0"/>
      <w:ind w:left="360" w:hanging="360" w:hangingChars="200"/>
    </w:pPr>
    <w:rPr>
      <w:rFonts w:ascii="宋体" w:hAnsi="宋体"/>
      <w:kern w:val="2"/>
    </w:rPr>
  </w:style>
  <w:style w:type="paragraph" w:styleId="47">
    <w:name w:val="Subtitle"/>
    <w:basedOn w:val="1"/>
    <w:next w:val="1"/>
    <w:link w:val="1125"/>
    <w:qFormat/>
    <w:uiPriority w:val="11"/>
    <w:pPr>
      <w:spacing w:after="160" w:line="240" w:lineRule="auto"/>
      <w:jc w:val="center"/>
    </w:pPr>
    <w:rPr>
      <w:rFonts w:ascii="Cambria" w:hAnsi="Cambria" w:cs="宋体"/>
      <w:color w:val="595959"/>
      <w:spacing w:val="15"/>
      <w:kern w:val="2"/>
      <w:sz w:val="28"/>
      <w:szCs w:val="28"/>
    </w:rPr>
  </w:style>
  <w:style w:type="paragraph" w:styleId="48">
    <w:name w:val="List"/>
    <w:basedOn w:val="1"/>
    <w:qFormat/>
    <w:uiPriority w:val="0"/>
    <w:pPr>
      <w:ind w:left="200" w:hanging="200" w:hangingChars="200"/>
      <w:contextualSpacing/>
    </w:pPr>
  </w:style>
  <w:style w:type="paragraph" w:styleId="49">
    <w:name w:val="footnote text"/>
    <w:basedOn w:val="1"/>
    <w:link w:val="576"/>
    <w:qFormat/>
    <w:uiPriority w:val="0"/>
    <w:pPr>
      <w:adjustRightInd w:val="0"/>
      <w:snapToGrid w:val="0"/>
      <w:ind w:firstLine="200"/>
      <w:jc w:val="left"/>
    </w:pPr>
    <w:rPr>
      <w:rFonts w:ascii="宋体" w:hAnsi="Calibri" w:cs="宋体"/>
      <w:kern w:val="2"/>
      <w:sz w:val="18"/>
      <w:szCs w:val="22"/>
    </w:rPr>
  </w:style>
  <w:style w:type="paragraph" w:styleId="50">
    <w:name w:val="toc 6"/>
    <w:basedOn w:val="1"/>
    <w:next w:val="1"/>
    <w:qFormat/>
    <w:uiPriority w:val="39"/>
    <w:pPr>
      <w:spacing w:line="240" w:lineRule="auto"/>
      <w:ind w:left="2100" w:leftChars="1000" w:firstLine="0" w:firstLineChars="0"/>
    </w:pPr>
    <w:rPr>
      <w:rFonts w:ascii="Calibri" w:hAnsi="Calibri" w:cs="宋体"/>
      <w:kern w:val="2"/>
      <w:sz w:val="21"/>
      <w:szCs w:val="22"/>
    </w:rPr>
  </w:style>
  <w:style w:type="paragraph" w:styleId="51">
    <w:name w:val="List 5"/>
    <w:basedOn w:val="1"/>
    <w:qFormat/>
    <w:uiPriority w:val="99"/>
    <w:pPr>
      <w:spacing w:line="240" w:lineRule="auto"/>
      <w:ind w:left="100" w:leftChars="800" w:hanging="200" w:hangingChars="200"/>
      <w:contextualSpacing/>
    </w:pPr>
    <w:rPr>
      <w:kern w:val="2"/>
      <w:sz w:val="21"/>
      <w:szCs w:val="20"/>
    </w:rPr>
  </w:style>
  <w:style w:type="paragraph" w:styleId="52">
    <w:name w:val="Body Text Indent 3"/>
    <w:basedOn w:val="1"/>
    <w:link w:val="98"/>
    <w:qFormat/>
    <w:uiPriority w:val="0"/>
    <w:pPr>
      <w:ind w:firstLine="420" w:firstLineChars="175"/>
      <w:jc w:val="left"/>
    </w:pPr>
    <w:rPr>
      <w:kern w:val="2"/>
    </w:rPr>
  </w:style>
  <w:style w:type="paragraph" w:styleId="53">
    <w:name w:val="index 7"/>
    <w:basedOn w:val="1"/>
    <w:next w:val="1"/>
    <w:qFormat/>
    <w:uiPriority w:val="0"/>
    <w:pPr>
      <w:ind w:left="1470" w:hanging="210" w:hangingChars="200"/>
      <w:jc w:val="left"/>
    </w:pPr>
    <w:rPr>
      <w:rFonts w:ascii="Calibri" w:hAnsi="Calibri"/>
      <w:kern w:val="2"/>
      <w:sz w:val="20"/>
      <w:szCs w:val="20"/>
    </w:rPr>
  </w:style>
  <w:style w:type="paragraph" w:styleId="54">
    <w:name w:val="index 9"/>
    <w:basedOn w:val="1"/>
    <w:next w:val="1"/>
    <w:qFormat/>
    <w:uiPriority w:val="0"/>
    <w:pPr>
      <w:ind w:left="1890" w:hanging="210" w:hangingChars="200"/>
      <w:jc w:val="left"/>
    </w:pPr>
    <w:rPr>
      <w:rFonts w:ascii="Calibri" w:hAnsi="Calibri"/>
      <w:kern w:val="2"/>
      <w:sz w:val="20"/>
      <w:szCs w:val="20"/>
    </w:rPr>
  </w:style>
  <w:style w:type="paragraph" w:styleId="55">
    <w:name w:val="table of figures"/>
    <w:next w:val="1"/>
    <w:qFormat/>
    <w:uiPriority w:val="0"/>
    <w:pPr>
      <w:adjustRightInd w:val="0"/>
      <w:snapToGrid w:val="0"/>
      <w:spacing w:line="460" w:lineRule="exact"/>
      <w:jc w:val="center"/>
    </w:pPr>
    <w:rPr>
      <w:rFonts w:ascii="Times New Roman" w:hAnsi="Times New Roman" w:eastAsia="黑体" w:cs="Times New Roman"/>
      <w:sz w:val="21"/>
      <w:lang w:val="en-US" w:eastAsia="zh-CN" w:bidi="ar-SA"/>
    </w:rPr>
  </w:style>
  <w:style w:type="paragraph" w:styleId="56">
    <w:name w:val="toc 2"/>
    <w:basedOn w:val="1"/>
    <w:next w:val="1"/>
    <w:qFormat/>
    <w:uiPriority w:val="39"/>
    <w:pPr>
      <w:ind w:left="420" w:leftChars="200"/>
    </w:pPr>
  </w:style>
  <w:style w:type="paragraph" w:styleId="57">
    <w:name w:val="toc 9"/>
    <w:basedOn w:val="1"/>
    <w:next w:val="1"/>
    <w:qFormat/>
    <w:uiPriority w:val="39"/>
    <w:pPr>
      <w:spacing w:line="240" w:lineRule="auto"/>
      <w:ind w:left="3360" w:leftChars="1600" w:firstLine="0" w:firstLineChars="0"/>
    </w:pPr>
    <w:rPr>
      <w:rFonts w:ascii="Calibri" w:hAnsi="Calibri" w:cs="宋体"/>
      <w:kern w:val="2"/>
      <w:sz w:val="21"/>
      <w:szCs w:val="22"/>
    </w:rPr>
  </w:style>
  <w:style w:type="paragraph" w:styleId="58">
    <w:name w:val="List 4"/>
    <w:basedOn w:val="1"/>
    <w:qFormat/>
    <w:uiPriority w:val="99"/>
    <w:pPr>
      <w:ind w:left="100" w:leftChars="600" w:hanging="200" w:hangingChars="200"/>
      <w:contextualSpacing/>
    </w:pPr>
    <w:rPr>
      <w:rFonts w:cs="宋体"/>
      <w:kern w:val="2"/>
    </w:rPr>
  </w:style>
  <w:style w:type="paragraph" w:styleId="59">
    <w:name w:val="List Continue 2"/>
    <w:basedOn w:val="1"/>
    <w:qFormat/>
    <w:uiPriority w:val="0"/>
    <w:pPr>
      <w:widowControl/>
      <w:spacing w:after="120" w:line="240" w:lineRule="auto"/>
      <w:ind w:left="840" w:leftChars="400" w:firstLine="0" w:firstLineChars="0"/>
      <w:contextualSpacing/>
      <w:jc w:val="left"/>
    </w:pPr>
    <w:rPr>
      <w:rFonts w:ascii="Cambria Math" w:hAnsi="Cambria Math" w:cs="Cambria Math"/>
    </w:rPr>
  </w:style>
  <w:style w:type="paragraph" w:styleId="60">
    <w:name w:val="HTML Preformatted"/>
    <w:basedOn w:val="1"/>
    <w:link w:val="53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lang w:val="zh-CN"/>
    </w:rPr>
  </w:style>
  <w:style w:type="paragraph" w:styleId="61">
    <w:name w:val="Normal (Web)"/>
    <w:basedOn w:val="1"/>
    <w:link w:val="515"/>
    <w:qFormat/>
    <w:uiPriority w:val="99"/>
    <w:pPr>
      <w:widowControl/>
      <w:spacing w:before="100" w:beforeAutospacing="1" w:after="100" w:afterAutospacing="1" w:line="240" w:lineRule="auto"/>
      <w:ind w:firstLine="0" w:firstLineChars="0"/>
      <w:jc w:val="left"/>
    </w:pPr>
    <w:rPr>
      <w:rFonts w:ascii="宋体" w:hAnsi="宋体" w:cs="宋体"/>
    </w:rPr>
  </w:style>
  <w:style w:type="paragraph" w:styleId="62">
    <w:name w:val="index 2"/>
    <w:basedOn w:val="1"/>
    <w:next w:val="1"/>
    <w:qFormat/>
    <w:uiPriority w:val="0"/>
    <w:pPr>
      <w:ind w:left="420" w:hanging="210" w:hangingChars="200"/>
      <w:jc w:val="left"/>
    </w:pPr>
    <w:rPr>
      <w:rFonts w:ascii="Calibri" w:hAnsi="Calibri"/>
      <w:kern w:val="2"/>
      <w:sz w:val="20"/>
      <w:szCs w:val="20"/>
    </w:rPr>
  </w:style>
  <w:style w:type="paragraph" w:styleId="63">
    <w:name w:val="Title"/>
    <w:basedOn w:val="1"/>
    <w:next w:val="1"/>
    <w:link w:val="259"/>
    <w:qFormat/>
    <w:uiPriority w:val="0"/>
    <w:pPr>
      <w:spacing w:before="240" w:after="60" w:line="240" w:lineRule="auto"/>
      <w:ind w:firstLine="0" w:firstLineChars="0"/>
      <w:jc w:val="center"/>
      <w:outlineLvl w:val="0"/>
    </w:pPr>
    <w:rPr>
      <w:rFonts w:ascii="Cambria" w:hAnsi="Cambria" w:cs="宋体"/>
      <w:b/>
      <w:bCs/>
      <w:kern w:val="2"/>
      <w:sz w:val="32"/>
      <w:szCs w:val="32"/>
    </w:rPr>
  </w:style>
  <w:style w:type="paragraph" w:styleId="64">
    <w:name w:val="annotation subject"/>
    <w:basedOn w:val="20"/>
    <w:next w:val="20"/>
    <w:link w:val="99"/>
    <w:qFormat/>
    <w:uiPriority w:val="99"/>
    <w:rPr>
      <w:b/>
      <w:bCs/>
    </w:rPr>
  </w:style>
  <w:style w:type="paragraph" w:styleId="65">
    <w:name w:val="Body Text First Indent"/>
    <w:basedOn w:val="24"/>
    <w:link w:val="100"/>
    <w:qFormat/>
    <w:uiPriority w:val="0"/>
    <w:pPr>
      <w:widowControl w:val="0"/>
      <w:spacing w:after="120"/>
      <w:ind w:firstLine="420" w:firstLineChars="100"/>
      <w:jc w:val="both"/>
    </w:pPr>
    <w:rPr>
      <w:kern w:val="2"/>
      <w:lang w:eastAsia="zh-CN" w:bidi="ar-SA"/>
    </w:rPr>
  </w:style>
  <w:style w:type="paragraph" w:styleId="66">
    <w:name w:val="Body Text First Indent 2"/>
    <w:basedOn w:val="26"/>
    <w:link w:val="260"/>
    <w:qFormat/>
    <w:uiPriority w:val="0"/>
    <w:pPr>
      <w:spacing w:after="120" w:line="240" w:lineRule="auto"/>
      <w:ind w:left="420" w:leftChars="200" w:firstLine="420" w:firstLineChars="200"/>
    </w:pPr>
    <w:rPr>
      <w:sz w:val="21"/>
    </w:rPr>
  </w:style>
  <w:style w:type="table" w:styleId="68">
    <w:name w:val="Table Grid"/>
    <w:basedOn w:val="67"/>
    <w:qFormat/>
    <w:uiPriority w:val="59"/>
    <w:pPr>
      <w:jc w:val="center"/>
    </w:pPr>
    <w:tblPr>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rPr>
      <w:jc w:val="center"/>
    </w:trPr>
    <w:tcPr>
      <w:vAlign w:val="center"/>
    </w:tcPr>
  </w:style>
  <w:style w:type="table" w:styleId="69">
    <w:name w:val="Table Theme"/>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0">
    <w:name w:val="Table 3D effects 1"/>
    <w:basedOn w:val="67"/>
    <w:qFormat/>
    <w:uiPriority w:val="99"/>
    <w:pPr>
      <w:widowControl w:val="0"/>
      <w:jc w:val="both"/>
    </w:p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character" w:styleId="72">
    <w:name w:val="Strong"/>
    <w:qFormat/>
    <w:uiPriority w:val="22"/>
    <w:rPr>
      <w:b/>
      <w:bCs/>
    </w:rPr>
  </w:style>
  <w:style w:type="character" w:styleId="73">
    <w:name w:val="endnote reference"/>
    <w:qFormat/>
    <w:uiPriority w:val="99"/>
    <w:rPr>
      <w:vertAlign w:val="superscript"/>
    </w:rPr>
  </w:style>
  <w:style w:type="character" w:styleId="74">
    <w:name w:val="page number"/>
    <w:basedOn w:val="71"/>
    <w:qFormat/>
    <w:uiPriority w:val="0"/>
  </w:style>
  <w:style w:type="character" w:styleId="75">
    <w:name w:val="FollowedHyperlink"/>
    <w:basedOn w:val="71"/>
    <w:qFormat/>
    <w:uiPriority w:val="99"/>
    <w:rPr>
      <w:color w:val="800080"/>
      <w:u w:val="single"/>
    </w:rPr>
  </w:style>
  <w:style w:type="character" w:styleId="76">
    <w:name w:val="Emphasis"/>
    <w:qFormat/>
    <w:uiPriority w:val="20"/>
    <w:rPr>
      <w:i/>
    </w:rPr>
  </w:style>
  <w:style w:type="character" w:styleId="77">
    <w:name w:val="HTML Definition"/>
    <w:qFormat/>
    <w:uiPriority w:val="0"/>
    <w:rPr>
      <w:rFonts w:ascii="宋体" w:hAnsi="宋体" w:eastAsia="宋体" w:cs="Courier New"/>
      <w:i/>
      <w:iCs/>
      <w:kern w:val="2"/>
      <w:sz w:val="32"/>
      <w:szCs w:val="32"/>
      <w:lang w:val="en-US" w:eastAsia="zh-CN" w:bidi="ar-SA"/>
    </w:rPr>
  </w:style>
  <w:style w:type="character" w:styleId="78">
    <w:name w:val="HTML Variable"/>
    <w:qFormat/>
    <w:uiPriority w:val="99"/>
    <w:rPr>
      <w:rFonts w:hint="eastAsia" w:ascii="宋体" w:hAnsi="宋体" w:eastAsia="宋体" w:cs="Courier New"/>
      <w:i/>
      <w:iCs/>
      <w:kern w:val="2"/>
      <w:sz w:val="32"/>
      <w:szCs w:val="32"/>
      <w:lang w:val="en-US" w:eastAsia="zh-CN" w:bidi="ar-SA"/>
    </w:rPr>
  </w:style>
  <w:style w:type="character" w:styleId="79">
    <w:name w:val="Hyperlink"/>
    <w:qFormat/>
    <w:uiPriority w:val="99"/>
    <w:rPr>
      <w:color w:val="333333"/>
      <w:u w:val="single"/>
    </w:rPr>
  </w:style>
  <w:style w:type="character" w:styleId="80">
    <w:name w:val="annotation reference"/>
    <w:basedOn w:val="71"/>
    <w:qFormat/>
    <w:uiPriority w:val="0"/>
    <w:rPr>
      <w:sz w:val="21"/>
      <w:szCs w:val="21"/>
    </w:rPr>
  </w:style>
  <w:style w:type="character" w:styleId="81">
    <w:name w:val="HTML Cite"/>
    <w:qFormat/>
    <w:uiPriority w:val="99"/>
    <w:rPr>
      <w:rFonts w:ascii="宋体" w:hAnsi="宋体" w:eastAsia="宋体" w:cs="Courier New"/>
      <w:i/>
      <w:iCs/>
      <w:kern w:val="2"/>
      <w:sz w:val="32"/>
      <w:szCs w:val="32"/>
      <w:lang w:val="en-US" w:eastAsia="zh-CN" w:bidi="ar-SA"/>
    </w:rPr>
  </w:style>
  <w:style w:type="character" w:styleId="82">
    <w:name w:val="footnote reference"/>
    <w:qFormat/>
    <w:uiPriority w:val="99"/>
    <w:rPr>
      <w:vertAlign w:val="superscript"/>
    </w:rPr>
  </w:style>
  <w:style w:type="character" w:customStyle="1" w:styleId="83">
    <w:name w:val="页眉 字符"/>
    <w:basedOn w:val="71"/>
    <w:link w:val="42"/>
    <w:qFormat/>
    <w:uiPriority w:val="0"/>
    <w:rPr>
      <w:sz w:val="18"/>
      <w:szCs w:val="18"/>
    </w:rPr>
  </w:style>
  <w:style w:type="character" w:customStyle="1" w:styleId="84">
    <w:name w:val="页脚 字符"/>
    <w:basedOn w:val="71"/>
    <w:link w:val="41"/>
    <w:qFormat/>
    <w:uiPriority w:val="0"/>
    <w:rPr>
      <w:sz w:val="18"/>
      <w:szCs w:val="18"/>
    </w:rPr>
  </w:style>
  <w:style w:type="character" w:customStyle="1" w:styleId="85">
    <w:name w:val="标题 1 字符"/>
    <w:basedOn w:val="71"/>
    <w:link w:val="2"/>
    <w:qFormat/>
    <w:uiPriority w:val="9"/>
    <w:rPr>
      <w:rFonts w:ascii="Times New Roman" w:hAnsi="Times New Roman" w:eastAsia="宋体" w:cs="Times New Roman"/>
      <w:b/>
      <w:bCs/>
      <w:kern w:val="44"/>
      <w:sz w:val="32"/>
      <w:szCs w:val="30"/>
    </w:rPr>
  </w:style>
  <w:style w:type="character" w:customStyle="1" w:styleId="86">
    <w:name w:val="标题 2 字符"/>
    <w:basedOn w:val="71"/>
    <w:link w:val="3"/>
    <w:qFormat/>
    <w:uiPriority w:val="9"/>
    <w:rPr>
      <w:rFonts w:ascii="Times New Roman" w:hAnsi="Times New Roman" w:eastAsia="宋体" w:cs="Times New Roman"/>
      <w:b/>
      <w:bCs/>
      <w:sz w:val="30"/>
      <w:szCs w:val="28"/>
    </w:rPr>
  </w:style>
  <w:style w:type="character" w:customStyle="1" w:styleId="87">
    <w:name w:val="标题 3 字符"/>
    <w:basedOn w:val="71"/>
    <w:link w:val="4"/>
    <w:qFormat/>
    <w:uiPriority w:val="0"/>
    <w:rPr>
      <w:rFonts w:ascii="Times New Roman" w:hAnsi="Times New Roman" w:eastAsia="宋体" w:cs="Times New Roman"/>
      <w:b/>
      <w:bCs/>
      <w:kern w:val="0"/>
      <w:sz w:val="24"/>
      <w:szCs w:val="24"/>
    </w:rPr>
  </w:style>
  <w:style w:type="character" w:customStyle="1" w:styleId="88">
    <w:name w:val="标题 4 字符"/>
    <w:basedOn w:val="71"/>
    <w:link w:val="5"/>
    <w:qFormat/>
    <w:uiPriority w:val="1"/>
    <w:rPr>
      <w:rFonts w:ascii="Times New Roman" w:hAnsi="Times New Roman" w:eastAsia="宋体" w:cs="Times New Roman"/>
      <w:b/>
      <w:spacing w:val="10"/>
      <w:sz w:val="24"/>
      <w:szCs w:val="24"/>
    </w:rPr>
  </w:style>
  <w:style w:type="character" w:customStyle="1" w:styleId="89">
    <w:name w:val="文档结构图 字符"/>
    <w:basedOn w:val="71"/>
    <w:link w:val="19"/>
    <w:qFormat/>
    <w:uiPriority w:val="0"/>
    <w:rPr>
      <w:rFonts w:ascii="宋体" w:hAnsi="Times New Roman" w:eastAsia="宋体" w:cs="Times New Roman"/>
      <w:kern w:val="0"/>
      <w:sz w:val="18"/>
      <w:szCs w:val="18"/>
    </w:rPr>
  </w:style>
  <w:style w:type="character" w:customStyle="1" w:styleId="90">
    <w:name w:val="批注文字 字符"/>
    <w:basedOn w:val="71"/>
    <w:link w:val="20"/>
    <w:qFormat/>
    <w:uiPriority w:val="0"/>
    <w:rPr>
      <w:rFonts w:ascii="Times New Roman" w:hAnsi="Times New Roman" w:eastAsia="宋体" w:cs="Times New Roman"/>
      <w:kern w:val="0"/>
      <w:sz w:val="24"/>
      <w:szCs w:val="24"/>
    </w:rPr>
  </w:style>
  <w:style w:type="character" w:customStyle="1" w:styleId="91">
    <w:name w:val="正文文本 字符"/>
    <w:basedOn w:val="71"/>
    <w:link w:val="24"/>
    <w:qFormat/>
    <w:uiPriority w:val="0"/>
    <w:rPr>
      <w:rFonts w:ascii="Times New Roman" w:hAnsi="Times New Roman" w:eastAsia="宋体" w:cs="Times New Roman"/>
      <w:kern w:val="0"/>
      <w:sz w:val="24"/>
      <w:szCs w:val="24"/>
      <w:lang w:eastAsia="en-US" w:bidi="en-US"/>
    </w:rPr>
  </w:style>
  <w:style w:type="character" w:customStyle="1" w:styleId="92">
    <w:name w:val="正文文本 2 字符"/>
    <w:basedOn w:val="71"/>
    <w:link w:val="25"/>
    <w:qFormat/>
    <w:uiPriority w:val="0"/>
    <w:rPr>
      <w:rFonts w:ascii="Times New Roman" w:hAnsi="Times New Roman" w:eastAsia="宋体" w:cs="Times New Roman"/>
      <w:kern w:val="0"/>
      <w:sz w:val="22"/>
      <w:szCs w:val="24"/>
      <w:lang w:eastAsia="en-US" w:bidi="en-US"/>
    </w:rPr>
  </w:style>
  <w:style w:type="character" w:customStyle="1" w:styleId="93">
    <w:name w:val="正文文本缩进 字符"/>
    <w:basedOn w:val="71"/>
    <w:link w:val="26"/>
    <w:qFormat/>
    <w:uiPriority w:val="0"/>
    <w:rPr>
      <w:rFonts w:ascii="Times New Roman" w:hAnsi="Times New Roman" w:eastAsia="宋体" w:cs="Times New Roman"/>
      <w:sz w:val="24"/>
      <w:szCs w:val="24"/>
    </w:rPr>
  </w:style>
  <w:style w:type="character" w:customStyle="1" w:styleId="94">
    <w:name w:val="纯文本 字符"/>
    <w:basedOn w:val="71"/>
    <w:link w:val="34"/>
    <w:qFormat/>
    <w:uiPriority w:val="0"/>
    <w:rPr>
      <w:rFonts w:ascii="Times New Roman" w:hAnsi="Courier New" w:eastAsia="宋体" w:cs="Times New Roman"/>
      <w:i/>
      <w:kern w:val="0"/>
      <w:sz w:val="18"/>
      <w:szCs w:val="24"/>
    </w:rPr>
  </w:style>
  <w:style w:type="character" w:customStyle="1" w:styleId="95">
    <w:name w:val="日期 字符"/>
    <w:basedOn w:val="71"/>
    <w:link w:val="37"/>
    <w:qFormat/>
    <w:uiPriority w:val="0"/>
    <w:rPr>
      <w:rFonts w:ascii="Times New Roman" w:hAnsi="Times New Roman" w:eastAsia="宋体" w:cs="Times New Roman"/>
      <w:sz w:val="24"/>
      <w:szCs w:val="24"/>
    </w:rPr>
  </w:style>
  <w:style w:type="character" w:customStyle="1" w:styleId="96">
    <w:name w:val="正文文本缩进 2 字符"/>
    <w:basedOn w:val="71"/>
    <w:link w:val="38"/>
    <w:qFormat/>
    <w:uiPriority w:val="0"/>
    <w:rPr>
      <w:rFonts w:ascii="Times New Roman" w:hAnsi="Times New Roman" w:eastAsia="宋体" w:cs="Times New Roman"/>
      <w:kern w:val="0"/>
      <w:sz w:val="24"/>
      <w:szCs w:val="24"/>
    </w:rPr>
  </w:style>
  <w:style w:type="character" w:customStyle="1" w:styleId="97">
    <w:name w:val="批注框文本 字符"/>
    <w:basedOn w:val="71"/>
    <w:link w:val="40"/>
    <w:qFormat/>
    <w:uiPriority w:val="0"/>
    <w:rPr>
      <w:rFonts w:ascii="Times New Roman" w:hAnsi="Times New Roman" w:eastAsia="宋体" w:cs="Times New Roman"/>
      <w:kern w:val="0"/>
      <w:sz w:val="18"/>
      <w:szCs w:val="18"/>
    </w:rPr>
  </w:style>
  <w:style w:type="character" w:customStyle="1" w:styleId="98">
    <w:name w:val="正文文本缩进 3 字符"/>
    <w:basedOn w:val="71"/>
    <w:link w:val="52"/>
    <w:qFormat/>
    <w:uiPriority w:val="0"/>
    <w:rPr>
      <w:rFonts w:ascii="Times New Roman" w:hAnsi="Times New Roman" w:eastAsia="宋体" w:cs="Times New Roman"/>
      <w:sz w:val="24"/>
      <w:szCs w:val="24"/>
    </w:rPr>
  </w:style>
  <w:style w:type="character" w:customStyle="1" w:styleId="99">
    <w:name w:val="批注主题 字符"/>
    <w:basedOn w:val="90"/>
    <w:link w:val="64"/>
    <w:qFormat/>
    <w:uiPriority w:val="99"/>
    <w:rPr>
      <w:rFonts w:ascii="Times New Roman" w:hAnsi="Times New Roman" w:eastAsia="宋体" w:cs="Times New Roman"/>
      <w:b/>
      <w:bCs/>
      <w:kern w:val="0"/>
      <w:sz w:val="24"/>
      <w:szCs w:val="24"/>
    </w:rPr>
  </w:style>
  <w:style w:type="character" w:customStyle="1" w:styleId="100">
    <w:name w:val="正文文本首行缩进 字符"/>
    <w:basedOn w:val="91"/>
    <w:link w:val="65"/>
    <w:qFormat/>
    <w:uiPriority w:val="0"/>
    <w:rPr>
      <w:rFonts w:ascii="Times New Roman" w:hAnsi="Times New Roman" w:eastAsia="宋体" w:cs="Times New Roman"/>
      <w:kern w:val="0"/>
      <w:sz w:val="24"/>
      <w:szCs w:val="24"/>
      <w:lang w:eastAsia="en-US" w:bidi="en-US"/>
    </w:rPr>
  </w:style>
  <w:style w:type="paragraph" w:customStyle="1" w:styleId="101">
    <w:name w:val="Default"/>
    <w:link w:val="157"/>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02">
    <w:name w:val="正文 楷体"/>
    <w:basedOn w:val="1"/>
    <w:link w:val="439"/>
    <w:qFormat/>
    <w:uiPriority w:val="0"/>
    <w:pPr>
      <w:spacing w:line="500" w:lineRule="exact"/>
      <w:ind w:firstLine="200"/>
      <w:jc w:val="left"/>
    </w:pPr>
    <w:rPr>
      <w:rFonts w:ascii="华文仿宋" w:hAnsi="华文仿宋" w:eastAsia="华文仿宋" w:cs="华文仿宋"/>
    </w:rPr>
  </w:style>
  <w:style w:type="paragraph" w:customStyle="1" w:styleId="103">
    <w:name w:val="正文格式"/>
    <w:basedOn w:val="65"/>
    <w:link w:val="413"/>
    <w:qFormat/>
    <w:uiPriority w:val="0"/>
    <w:pPr>
      <w:spacing w:after="0" w:line="360" w:lineRule="auto"/>
      <w:ind w:firstLine="200" w:firstLineChars="200"/>
    </w:pPr>
    <w:rPr>
      <w:rFonts w:ascii="宋体"/>
    </w:rPr>
  </w:style>
  <w:style w:type="paragraph" w:customStyle="1" w:styleId="104">
    <w:name w:val="正文-ls"/>
    <w:basedOn w:val="1"/>
    <w:link w:val="442"/>
    <w:qFormat/>
    <w:uiPriority w:val="0"/>
    <w:pPr>
      <w:ind w:firstLine="200"/>
    </w:pPr>
    <w:rPr>
      <w:rFonts w:hAnsi="宋体" w:cs="宋体"/>
      <w:szCs w:val="20"/>
    </w:rPr>
  </w:style>
  <w:style w:type="paragraph" w:customStyle="1" w:styleId="105">
    <w:name w:val="表头"/>
    <w:basedOn w:val="1"/>
    <w:link w:val="124"/>
    <w:qFormat/>
    <w:uiPriority w:val="0"/>
    <w:pPr>
      <w:spacing w:line="240" w:lineRule="auto"/>
      <w:ind w:firstLine="0" w:firstLineChars="0"/>
      <w:jc w:val="center"/>
    </w:pPr>
    <w:rPr>
      <w:b/>
      <w:sz w:val="21"/>
      <w:szCs w:val="21"/>
    </w:rPr>
  </w:style>
  <w:style w:type="paragraph" w:customStyle="1" w:styleId="106">
    <w:name w:val="标题二A"/>
    <w:basedOn w:val="107"/>
    <w:qFormat/>
    <w:uiPriority w:val="0"/>
    <w:rPr>
      <w:rFonts w:ascii="华文仿宋" w:hAnsi="华文仿宋" w:eastAsia="华文仿宋"/>
      <w:kern w:val="2"/>
    </w:rPr>
  </w:style>
  <w:style w:type="paragraph" w:customStyle="1" w:styleId="107">
    <w:name w:val="标题二!!!!!!!!!!!!!!!!"/>
    <w:basedOn w:val="108"/>
    <w:qFormat/>
    <w:uiPriority w:val="0"/>
    <w:pPr>
      <w:keepNext w:val="0"/>
      <w:keepLines w:val="0"/>
      <w:widowControl w:val="0"/>
      <w:jc w:val="both"/>
    </w:pPr>
  </w:style>
  <w:style w:type="paragraph" w:customStyle="1" w:styleId="108">
    <w:name w:val="标题二！！！！！"/>
    <w:basedOn w:val="3"/>
    <w:link w:val="496"/>
    <w:qFormat/>
    <w:uiPriority w:val="0"/>
    <w:pPr>
      <w:widowControl/>
      <w:spacing w:before="120" w:after="120" w:line="500" w:lineRule="exact"/>
    </w:pPr>
    <w:rPr>
      <w:rFonts w:ascii="楷体_GB2312" w:hAnsi="楷体_GB2312" w:eastAsia="楷体_GB2312" w:cs="楷体_GB2312"/>
    </w:rPr>
  </w:style>
  <w:style w:type="paragraph" w:customStyle="1" w:styleId="109">
    <w:name w:val="_正文格式"/>
    <w:basedOn w:val="1"/>
    <w:qFormat/>
    <w:uiPriority w:val="0"/>
    <w:pPr>
      <w:spacing w:line="500" w:lineRule="exact"/>
      <w:ind w:firstLine="567"/>
      <w:jc w:val="left"/>
    </w:pPr>
  </w:style>
  <w:style w:type="paragraph" w:customStyle="1" w:styleId="110">
    <w:name w:val="样式3"/>
    <w:basedOn w:val="3"/>
    <w:link w:val="540"/>
    <w:qFormat/>
    <w:uiPriority w:val="0"/>
    <w:pPr>
      <w:keepNext w:val="0"/>
      <w:keepLines w:val="0"/>
      <w:tabs>
        <w:tab w:val="left" w:pos="3920"/>
        <w:tab w:val="left" w:pos="5670"/>
      </w:tabs>
      <w:adjustRightInd w:val="0"/>
      <w:spacing w:before="120" w:after="60" w:line="312" w:lineRule="auto"/>
      <w:contextualSpacing/>
    </w:pPr>
    <w:rPr>
      <w:b w:val="0"/>
      <w:bCs w:val="0"/>
      <w:color w:val="000000"/>
      <w:szCs w:val="24"/>
    </w:rPr>
  </w:style>
  <w:style w:type="paragraph" w:customStyle="1" w:styleId="111">
    <w:name w:val="标题三A"/>
    <w:basedOn w:val="4"/>
    <w:qFormat/>
    <w:uiPriority w:val="0"/>
    <w:pPr>
      <w:keepNext w:val="0"/>
      <w:keepLines w:val="0"/>
      <w:spacing w:line="500" w:lineRule="exact"/>
    </w:pPr>
    <w:rPr>
      <w:rFonts w:ascii="华文仿宋" w:hAnsi="华文仿宋" w:eastAsia="华文仿宋"/>
      <w:sz w:val="28"/>
      <w:szCs w:val="28"/>
    </w:rPr>
  </w:style>
  <w:style w:type="paragraph" w:customStyle="1" w:styleId="112">
    <w:name w:val="表头！！！！！！！！！！"/>
    <w:basedOn w:val="15"/>
    <w:qFormat/>
    <w:uiPriority w:val="0"/>
    <w:pPr>
      <w:widowControl w:val="0"/>
      <w:autoSpaceDE w:val="0"/>
      <w:autoSpaceDN w:val="0"/>
      <w:adjustRightInd w:val="0"/>
      <w:spacing w:after="0" w:line="500" w:lineRule="exact"/>
      <w:ind w:firstLine="0" w:firstLineChars="0"/>
      <w:jc w:val="center"/>
      <w:textAlignment w:val="baseline"/>
    </w:pPr>
    <w:rPr>
      <w:rFonts w:ascii="楷体_GB2312" w:eastAsia="楷体_GB2312"/>
      <w:b/>
      <w:snapToGrid w:val="0"/>
      <w:szCs w:val="24"/>
      <w:lang w:eastAsia="zh-CN" w:bidi="ar-SA"/>
    </w:rPr>
  </w:style>
  <w:style w:type="paragraph" w:customStyle="1" w:styleId="113">
    <w:name w:val="标题四A"/>
    <w:basedOn w:val="1"/>
    <w:qFormat/>
    <w:uiPriority w:val="0"/>
    <w:pPr>
      <w:spacing w:line="500" w:lineRule="exact"/>
      <w:outlineLvl w:val="3"/>
    </w:pPr>
    <w:rPr>
      <w:rFonts w:ascii="华文仿宋" w:hAnsi="华文仿宋" w:eastAsia="华文仿宋"/>
      <w:b/>
    </w:rPr>
  </w:style>
  <w:style w:type="paragraph" w:customStyle="1" w:styleId="114">
    <w:name w:val="表格文字"/>
    <w:basedOn w:val="24"/>
    <w:link w:val="528"/>
    <w:qFormat/>
    <w:uiPriority w:val="0"/>
    <w:pPr>
      <w:widowControl w:val="0"/>
      <w:spacing w:after="0"/>
      <w:ind w:firstLine="0" w:firstLineChars="0"/>
    </w:pPr>
    <w:rPr>
      <w:kern w:val="2"/>
      <w:sz w:val="21"/>
      <w:szCs w:val="21"/>
      <w:lang w:eastAsia="zh-CN" w:bidi="ar-SA"/>
    </w:rPr>
  </w:style>
  <w:style w:type="paragraph" w:customStyle="1" w:styleId="115">
    <w:name w:val="标题四"/>
    <w:basedOn w:val="102"/>
    <w:link w:val="551"/>
    <w:qFormat/>
    <w:uiPriority w:val="0"/>
    <w:pPr>
      <w:ind w:firstLine="0" w:firstLineChars="0"/>
    </w:pPr>
    <w:rPr>
      <w:rFonts w:hAnsi="Calibri"/>
      <w:b/>
    </w:rPr>
  </w:style>
  <w:style w:type="paragraph" w:customStyle="1" w:styleId="116">
    <w:name w:val="标题3 节标题"/>
    <w:basedOn w:val="4"/>
    <w:qFormat/>
    <w:uiPriority w:val="0"/>
    <w:rPr>
      <w:color w:val="000000"/>
      <w:sz w:val="28"/>
    </w:rPr>
  </w:style>
  <w:style w:type="paragraph" w:customStyle="1" w:styleId="117">
    <w:name w:val="B正文"/>
    <w:basedOn w:val="1"/>
    <w:link w:val="162"/>
    <w:qFormat/>
    <w:uiPriority w:val="0"/>
    <w:pPr>
      <w:widowControl/>
      <w:ind w:firstLine="200"/>
    </w:pPr>
    <w:rPr>
      <w:rFonts w:cs="宋体"/>
    </w:rPr>
  </w:style>
  <w:style w:type="paragraph" w:customStyle="1" w:styleId="118">
    <w:name w:val="B图表标题"/>
    <w:basedOn w:val="1"/>
    <w:next w:val="38"/>
    <w:link w:val="1120"/>
    <w:qFormat/>
    <w:uiPriority w:val="0"/>
    <w:pPr>
      <w:widowControl/>
      <w:adjustRightInd w:val="0"/>
      <w:snapToGrid w:val="0"/>
      <w:spacing w:before="120"/>
      <w:ind w:firstLine="0" w:firstLineChars="0"/>
      <w:jc w:val="center"/>
    </w:pPr>
    <w:rPr>
      <w:b/>
      <w:color w:val="000000"/>
      <w:szCs w:val="28"/>
    </w:rPr>
  </w:style>
  <w:style w:type="paragraph" w:customStyle="1" w:styleId="119">
    <w:name w:val="4刘群正文*"/>
    <w:basedOn w:val="1"/>
    <w:qFormat/>
    <w:uiPriority w:val="0"/>
    <w:pPr>
      <w:spacing w:line="520" w:lineRule="exact"/>
      <w:ind w:firstLine="480"/>
    </w:pPr>
    <w:rPr>
      <w:lang w:val="zh-CN"/>
    </w:rPr>
  </w:style>
  <w:style w:type="paragraph" w:customStyle="1" w:styleId="120">
    <w:name w:val="YJ正文*"/>
    <w:basedOn w:val="1"/>
    <w:qFormat/>
    <w:uiPriority w:val="0"/>
    <w:pPr>
      <w:spacing w:line="520" w:lineRule="exact"/>
      <w:ind w:firstLine="200"/>
    </w:pPr>
    <w:rPr>
      <w:rFonts w:hAnsi="宋体"/>
      <w:kern w:val="2"/>
    </w:rPr>
  </w:style>
  <w:style w:type="paragraph" w:customStyle="1" w:styleId="121">
    <w:name w:val="表中字体"/>
    <w:basedOn w:val="15"/>
    <w:qFormat/>
    <w:uiPriority w:val="0"/>
    <w:pPr>
      <w:tabs>
        <w:tab w:val="left" w:pos="8176"/>
      </w:tabs>
      <w:spacing w:line="280" w:lineRule="exact"/>
      <w:ind w:firstLine="0" w:firstLineChars="0"/>
      <w:jc w:val="center"/>
    </w:pPr>
    <w:rPr>
      <w:rFonts w:ascii="宋体" w:hAnsi="宋体"/>
    </w:rPr>
  </w:style>
  <w:style w:type="paragraph" w:customStyle="1" w:styleId="122">
    <w:name w:val="表头图名"/>
    <w:basedOn w:val="1"/>
    <w:qFormat/>
    <w:uiPriority w:val="0"/>
    <w:rPr>
      <w:rFonts w:hAnsi="黑体" w:eastAsia="黑体"/>
    </w:rPr>
  </w:style>
  <w:style w:type="paragraph" w:customStyle="1" w:styleId="123">
    <w:name w:val="表格内容"/>
    <w:basedOn w:val="1"/>
    <w:link w:val="251"/>
    <w:qFormat/>
    <w:uiPriority w:val="0"/>
    <w:pPr>
      <w:spacing w:line="240" w:lineRule="auto"/>
      <w:ind w:firstLine="0" w:firstLineChars="0"/>
      <w:jc w:val="center"/>
    </w:pPr>
    <w:rPr>
      <w:sz w:val="21"/>
      <w:szCs w:val="21"/>
    </w:rPr>
  </w:style>
  <w:style w:type="character" w:customStyle="1" w:styleId="124">
    <w:name w:val="表头 Char"/>
    <w:link w:val="105"/>
    <w:qFormat/>
    <w:uiPriority w:val="0"/>
    <w:rPr>
      <w:rFonts w:ascii="Times New Roman" w:hAnsi="Times New Roman" w:eastAsia="宋体" w:cs="Times New Roman"/>
      <w:b/>
      <w:kern w:val="0"/>
      <w:szCs w:val="21"/>
    </w:rPr>
  </w:style>
  <w:style w:type="paragraph" w:customStyle="1" w:styleId="125">
    <w:name w:val="表中文字"/>
    <w:basedOn w:val="1"/>
    <w:link w:val="170"/>
    <w:qFormat/>
    <w:uiPriority w:val="0"/>
    <w:pPr>
      <w:snapToGrid w:val="0"/>
      <w:spacing w:line="320" w:lineRule="exact"/>
      <w:jc w:val="center"/>
    </w:pPr>
    <w:rPr>
      <w:kern w:val="2"/>
      <w:sz w:val="21"/>
    </w:rPr>
  </w:style>
  <w:style w:type="paragraph" w:customStyle="1" w:styleId="126">
    <w:name w:val="表格文字样式14"/>
    <w:basedOn w:val="1"/>
    <w:qFormat/>
    <w:uiPriority w:val="99"/>
    <w:pPr>
      <w:overflowPunct w:val="0"/>
      <w:adjustRightInd w:val="0"/>
      <w:snapToGrid w:val="0"/>
      <w:jc w:val="center"/>
    </w:pPr>
    <w:rPr>
      <w:rFonts w:hAnsi="宋体"/>
      <w:bCs/>
      <w:snapToGrid w:val="0"/>
      <w:sz w:val="21"/>
      <w:szCs w:val="21"/>
    </w:rPr>
  </w:style>
  <w:style w:type="paragraph" w:customStyle="1" w:styleId="127">
    <w:name w:val="兴化美联正文样式"/>
    <w:basedOn w:val="1"/>
    <w:link w:val="550"/>
    <w:qFormat/>
    <w:uiPriority w:val="0"/>
    <w:pPr>
      <w:widowControl/>
      <w:spacing w:line="560" w:lineRule="exact"/>
      <w:ind w:firstLine="480"/>
      <w:jc w:val="left"/>
    </w:pPr>
    <w:rPr>
      <w:rFonts w:ascii="宋体" w:hAnsi="宋体" w:cs="宋体"/>
      <w:color w:val="000000"/>
    </w:rPr>
  </w:style>
  <w:style w:type="paragraph" w:customStyle="1" w:styleId="128">
    <w:name w:val="报告正文"/>
    <w:basedOn w:val="1"/>
    <w:link w:val="248"/>
    <w:qFormat/>
    <w:uiPriority w:val="99"/>
    <w:pPr>
      <w:ind w:firstLine="538" w:firstLineChars="192"/>
    </w:pPr>
    <w:rPr>
      <w:rFonts w:eastAsia="仿宋_GB2312"/>
      <w:kern w:val="2"/>
      <w:sz w:val="28"/>
    </w:rPr>
  </w:style>
  <w:style w:type="paragraph" w:customStyle="1" w:styleId="129">
    <w:name w:val="三级标题"/>
    <w:basedOn w:val="130"/>
    <w:next w:val="128"/>
    <w:qFormat/>
    <w:uiPriority w:val="0"/>
    <w:pPr>
      <w:jc w:val="left"/>
      <w:textAlignment w:val="auto"/>
      <w:outlineLvl w:val="2"/>
    </w:pPr>
    <w:rPr>
      <w:rFonts w:hAnsi="宋体"/>
      <w:b/>
      <w:snapToGrid w:val="0"/>
      <w:kern w:val="2"/>
      <w:sz w:val="24"/>
      <w:szCs w:val="28"/>
    </w:rPr>
  </w:style>
  <w:style w:type="paragraph" w:customStyle="1" w:styleId="130">
    <w:name w:val="纯文本1"/>
    <w:basedOn w:val="1"/>
    <w:qFormat/>
    <w:uiPriority w:val="0"/>
    <w:pPr>
      <w:adjustRightInd w:val="0"/>
      <w:textAlignment w:val="baseline"/>
    </w:pPr>
    <w:rPr>
      <w:rFonts w:ascii="宋体" w:hAnsi="Courier New"/>
      <w:sz w:val="28"/>
    </w:rPr>
  </w:style>
  <w:style w:type="paragraph" w:customStyle="1" w:styleId="131">
    <w:name w:val="正文首行缩进 21"/>
    <w:basedOn w:val="1"/>
    <w:qFormat/>
    <w:uiPriority w:val="0"/>
    <w:pPr>
      <w:spacing w:after="120"/>
      <w:ind w:left="420" w:leftChars="200" w:firstLine="420"/>
    </w:pPr>
    <w:rPr>
      <w:kern w:val="2"/>
      <w:sz w:val="21"/>
    </w:rPr>
  </w:style>
  <w:style w:type="paragraph" w:customStyle="1" w:styleId="132">
    <w:name w:val="中文报告书样式"/>
    <w:basedOn w:val="1"/>
    <w:qFormat/>
    <w:uiPriority w:val="0"/>
    <w:pPr>
      <w:adjustRightInd w:val="0"/>
      <w:spacing w:line="480" w:lineRule="atLeast"/>
      <w:ind w:firstLine="482"/>
      <w:textAlignment w:val="baseline"/>
    </w:pPr>
    <w:rPr>
      <w:kern w:val="24"/>
    </w:rPr>
  </w:style>
  <w:style w:type="paragraph" w:customStyle="1" w:styleId="133">
    <w:name w:val="B表内字"/>
    <w:basedOn w:val="1"/>
    <w:qFormat/>
    <w:uiPriority w:val="0"/>
    <w:pPr>
      <w:widowControl/>
      <w:spacing w:line="240" w:lineRule="auto"/>
      <w:ind w:firstLine="0" w:firstLineChars="0"/>
      <w:jc w:val="center"/>
    </w:pPr>
    <w:rPr>
      <w:rFonts w:cs="宋体"/>
      <w:sz w:val="21"/>
    </w:rPr>
  </w:style>
  <w:style w:type="paragraph" w:customStyle="1" w:styleId="134">
    <w:name w:val="正文A"/>
    <w:basedOn w:val="1"/>
    <w:link w:val="438"/>
    <w:qFormat/>
    <w:uiPriority w:val="0"/>
    <w:pPr>
      <w:spacing w:line="500" w:lineRule="exact"/>
      <w:ind w:firstLine="480"/>
    </w:pPr>
    <w:rPr>
      <w:rFonts w:ascii="华文仿宋" w:hAnsi="华文仿宋" w:eastAsia="华文仿宋"/>
      <w:kern w:val="2"/>
    </w:rPr>
  </w:style>
  <w:style w:type="paragraph" w:customStyle="1" w:styleId="135">
    <w:name w:val="1正文段落"/>
    <w:basedOn w:val="1"/>
    <w:link w:val="458"/>
    <w:qFormat/>
    <w:uiPriority w:val="0"/>
    <w:pPr>
      <w:ind w:firstLine="480"/>
      <w:jc w:val="left"/>
    </w:pPr>
    <w:rPr>
      <w:snapToGrid w:val="0"/>
    </w:rPr>
  </w:style>
  <w:style w:type="paragraph" w:customStyle="1" w:styleId="136">
    <w:name w:val="p0"/>
    <w:basedOn w:val="1"/>
    <w:qFormat/>
    <w:uiPriority w:val="99"/>
    <w:pPr>
      <w:widowControl/>
    </w:pPr>
  </w:style>
  <w:style w:type="paragraph" w:customStyle="1" w:styleId="137">
    <w:name w:val="表"/>
    <w:basedOn w:val="1"/>
    <w:next w:val="1"/>
    <w:qFormat/>
    <w:uiPriority w:val="0"/>
    <w:pPr>
      <w:adjustRightInd w:val="0"/>
      <w:spacing w:before="120"/>
      <w:jc w:val="center"/>
      <w:textAlignment w:val="baseline"/>
    </w:pPr>
    <w:rPr>
      <w:sz w:val="21"/>
    </w:rPr>
  </w:style>
  <w:style w:type="paragraph" w:customStyle="1" w:styleId="138">
    <w:name w:val="B3"/>
    <w:basedOn w:val="1"/>
    <w:next w:val="1"/>
    <w:link w:val="169"/>
    <w:qFormat/>
    <w:uiPriority w:val="0"/>
    <w:pPr>
      <w:widowControl/>
      <w:numPr>
        <w:ilvl w:val="2"/>
        <w:numId w:val="1"/>
      </w:numPr>
      <w:spacing w:before="80" w:after="80" w:line="240" w:lineRule="auto"/>
      <w:ind w:firstLineChars="0"/>
      <w:jc w:val="left"/>
      <w:outlineLvl w:val="2"/>
    </w:pPr>
    <w:rPr>
      <w:rFonts w:hAnsi="宋体"/>
      <w:b/>
      <w:sz w:val="28"/>
    </w:rPr>
  </w:style>
  <w:style w:type="paragraph" w:customStyle="1" w:styleId="139">
    <w:name w:val="正文01"/>
    <w:basedOn w:val="26"/>
    <w:link w:val="963"/>
    <w:qFormat/>
    <w:uiPriority w:val="0"/>
    <w:pPr>
      <w:spacing w:line="400" w:lineRule="exact"/>
      <w:ind w:firstLine="200" w:firstLineChars="200"/>
    </w:pPr>
    <w:rPr>
      <w:rFonts w:ascii="Arial" w:hAnsi="Arial"/>
    </w:rPr>
  </w:style>
  <w:style w:type="paragraph" w:customStyle="1" w:styleId="140">
    <w:name w:val="标题一，章标题"/>
    <w:basedOn w:val="2"/>
    <w:qFormat/>
    <w:uiPriority w:val="0"/>
    <w:pPr>
      <w:widowControl/>
      <w:spacing w:before="120"/>
      <w:jc w:val="both"/>
    </w:pPr>
    <w:rPr>
      <w:kern w:val="0"/>
    </w:rPr>
  </w:style>
  <w:style w:type="paragraph" w:customStyle="1" w:styleId="141">
    <w:name w:val="正文0"/>
    <w:basedOn w:val="1"/>
    <w:next w:val="1"/>
    <w:qFormat/>
    <w:uiPriority w:val="0"/>
    <w:pPr>
      <w:ind w:firstLine="200"/>
    </w:pPr>
  </w:style>
  <w:style w:type="paragraph" w:customStyle="1" w:styleId="142">
    <w:name w:val="正文样式1"/>
    <w:basedOn w:val="1"/>
    <w:link w:val="941"/>
    <w:qFormat/>
    <w:uiPriority w:val="0"/>
    <w:pPr>
      <w:adjustRightInd w:val="0"/>
      <w:spacing w:line="400" w:lineRule="atLeast"/>
      <w:ind w:firstLine="454"/>
    </w:pPr>
    <w:rPr>
      <w:b/>
      <w:kern w:val="24"/>
    </w:rPr>
  </w:style>
  <w:style w:type="character" w:customStyle="1" w:styleId="143">
    <w:name w:val="正文0 Char Char"/>
    <w:qFormat/>
    <w:uiPriority w:val="0"/>
    <w:rPr>
      <w:rFonts w:eastAsia="宋体"/>
      <w:kern w:val="2"/>
      <w:sz w:val="24"/>
      <w:lang w:val="en-US" w:eastAsia="zh-CN"/>
    </w:rPr>
  </w:style>
  <w:style w:type="paragraph" w:customStyle="1" w:styleId="144">
    <w:name w:val="WPSOffice手动目录 1"/>
    <w:qFormat/>
    <w:uiPriority w:val="99"/>
    <w:rPr>
      <w:rFonts w:ascii="Times New Roman" w:hAnsi="Times New Roman" w:eastAsia="宋体" w:cs="Times New Roman"/>
      <w:lang w:val="en-US" w:eastAsia="zh-CN" w:bidi="ar-SA"/>
    </w:rPr>
  </w:style>
  <w:style w:type="paragraph" w:customStyle="1" w:styleId="1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46">
    <w:name w:val="正文1"/>
    <w:basedOn w:val="1"/>
    <w:qFormat/>
    <w:uiPriority w:val="99"/>
    <w:pPr>
      <w:adjustRightInd w:val="0"/>
      <w:snapToGrid w:val="0"/>
      <w:ind w:firstLine="480"/>
    </w:pPr>
  </w:style>
  <w:style w:type="paragraph" w:customStyle="1" w:styleId="147">
    <w:name w:val="样式35"/>
    <w:basedOn w:val="148"/>
    <w:qFormat/>
    <w:uiPriority w:val="0"/>
  </w:style>
  <w:style w:type="paragraph" w:customStyle="1" w:styleId="148">
    <w:name w:val="样式1-51"/>
    <w:basedOn w:val="149"/>
    <w:qFormat/>
    <w:uiPriority w:val="0"/>
    <w:pPr>
      <w:spacing w:before="0" w:after="0"/>
      <w:ind w:firstLine="0"/>
      <w:outlineLvl w:val="4"/>
    </w:pPr>
    <w:rPr>
      <w:sz w:val="24"/>
    </w:rPr>
  </w:style>
  <w:style w:type="paragraph" w:customStyle="1" w:styleId="149">
    <w:name w:val="样式1-41"/>
    <w:basedOn w:val="150"/>
    <w:qFormat/>
    <w:uiPriority w:val="0"/>
    <w:pPr>
      <w:keepNext w:val="0"/>
      <w:numPr>
        <w:ilvl w:val="0"/>
        <w:numId w:val="0"/>
      </w:numPr>
      <w:spacing w:before="240" w:after="240"/>
      <w:ind w:firstLine="200" w:firstLineChars="200"/>
      <w:outlineLvl w:val="3"/>
    </w:pPr>
    <w:rPr>
      <w:sz w:val="28"/>
    </w:rPr>
  </w:style>
  <w:style w:type="paragraph" w:customStyle="1" w:styleId="150">
    <w:name w:val="样式1-3"/>
    <w:basedOn w:val="1"/>
    <w:qFormat/>
    <w:uiPriority w:val="0"/>
    <w:pPr>
      <w:keepNext/>
      <w:keepLines/>
      <w:numPr>
        <w:ilvl w:val="2"/>
        <w:numId w:val="2"/>
      </w:numPr>
      <w:spacing w:before="60" w:after="60"/>
      <w:outlineLvl w:val="2"/>
    </w:pPr>
    <w:rPr>
      <w:b/>
      <w:bCs/>
      <w:sz w:val="32"/>
    </w:rPr>
  </w:style>
  <w:style w:type="paragraph" w:customStyle="1" w:styleId="151">
    <w:name w:val="表格"/>
    <w:basedOn w:val="1"/>
    <w:link w:val="165"/>
    <w:qFormat/>
    <w:uiPriority w:val="0"/>
    <w:pPr>
      <w:spacing w:line="280" w:lineRule="exact"/>
      <w:jc w:val="center"/>
    </w:pPr>
    <w:rPr>
      <w:rFonts w:ascii="宋体"/>
      <w:sz w:val="18"/>
    </w:rPr>
  </w:style>
  <w:style w:type="paragraph" w:customStyle="1" w:styleId="152">
    <w:name w:val="表头标题格式"/>
    <w:basedOn w:val="1"/>
    <w:link w:val="499"/>
    <w:qFormat/>
    <w:uiPriority w:val="0"/>
    <w:pPr>
      <w:tabs>
        <w:tab w:val="left" w:pos="360"/>
        <w:tab w:val="left" w:pos="1620"/>
      </w:tabs>
      <w:jc w:val="center"/>
    </w:pPr>
    <w:rPr>
      <w:rFonts w:ascii="黑体" w:hAnsi="黑体" w:eastAsia="黑体" w:cs="宋体"/>
      <w:bCs/>
      <w:szCs w:val="20"/>
    </w:rPr>
  </w:style>
  <w:style w:type="paragraph" w:customStyle="1" w:styleId="153">
    <w:name w:val="邓表格文字"/>
    <w:basedOn w:val="1"/>
    <w:link w:val="449"/>
    <w:qFormat/>
    <w:uiPriority w:val="0"/>
    <w:pPr>
      <w:widowControl/>
      <w:snapToGrid w:val="0"/>
      <w:spacing w:line="220" w:lineRule="exact"/>
      <w:jc w:val="center"/>
    </w:pPr>
    <w:rPr>
      <w:rFonts w:ascii="宋体" w:hAnsi="宋体"/>
      <w:sz w:val="18"/>
      <w:szCs w:val="18"/>
    </w:rPr>
  </w:style>
  <w:style w:type="paragraph" w:customStyle="1" w:styleId="154">
    <w:name w:val="表格内容A"/>
    <w:basedOn w:val="1"/>
    <w:link w:val="482"/>
    <w:qFormat/>
    <w:uiPriority w:val="0"/>
    <w:pPr>
      <w:ind w:firstLine="640"/>
      <w:jc w:val="center"/>
    </w:pPr>
    <w:rPr>
      <w:bCs/>
      <w:snapToGrid w:val="0"/>
    </w:rPr>
  </w:style>
  <w:style w:type="paragraph" w:styleId="155">
    <w:name w:val="No Spacing"/>
    <w:basedOn w:val="48"/>
    <w:next w:val="48"/>
    <w:link w:val="1006"/>
    <w:qFormat/>
    <w:uiPriority w:val="0"/>
    <w:pPr>
      <w:adjustRightInd w:val="0"/>
      <w:snapToGrid w:val="0"/>
      <w:ind w:left="0" w:firstLine="0" w:firstLineChars="0"/>
      <w:jc w:val="center"/>
    </w:pPr>
    <w:rPr>
      <w:rFonts w:cs="宋体"/>
      <w:bCs/>
      <w:snapToGrid w:val="0"/>
    </w:rPr>
  </w:style>
  <w:style w:type="paragraph" w:customStyle="1" w:styleId="156">
    <w:name w:val="样式 首行缩进:  2 字符1"/>
    <w:basedOn w:val="1"/>
    <w:qFormat/>
    <w:uiPriority w:val="0"/>
    <w:pPr>
      <w:adjustRightInd w:val="0"/>
      <w:snapToGrid w:val="0"/>
      <w:ind w:firstLine="480"/>
    </w:pPr>
    <w:rPr>
      <w:rFonts w:cs="宋体"/>
      <w:szCs w:val="20"/>
    </w:rPr>
  </w:style>
  <w:style w:type="character" w:customStyle="1" w:styleId="157">
    <w:name w:val="Default Char"/>
    <w:link w:val="101"/>
    <w:qFormat/>
    <w:uiPriority w:val="0"/>
    <w:rPr>
      <w:rFonts w:ascii="宋体" w:hAnsi="Times New Roman" w:eastAsia="宋体" w:cs="Times New Roman"/>
      <w:color w:val="000000"/>
      <w:kern w:val="0"/>
      <w:sz w:val="24"/>
      <w:szCs w:val="20"/>
    </w:rPr>
  </w:style>
  <w:style w:type="paragraph" w:customStyle="1" w:styleId="158">
    <w:name w:val="！正文"/>
    <w:basedOn w:val="1"/>
    <w:link w:val="564"/>
    <w:qFormat/>
    <w:uiPriority w:val="0"/>
    <w:pPr>
      <w:ind w:firstLine="480"/>
    </w:pPr>
    <w:rPr>
      <w:rFonts w:cs="宋体"/>
      <w:kern w:val="2"/>
      <w:szCs w:val="20"/>
    </w:rPr>
  </w:style>
  <w:style w:type="character" w:customStyle="1" w:styleId="159">
    <w:name w:val="fontstyle01"/>
    <w:qFormat/>
    <w:uiPriority w:val="0"/>
    <w:rPr>
      <w:rFonts w:hint="eastAsia" w:ascii="宋体" w:hAnsi="宋体" w:eastAsia="宋体"/>
      <w:color w:val="000000"/>
      <w:sz w:val="28"/>
      <w:szCs w:val="28"/>
    </w:rPr>
  </w:style>
  <w:style w:type="character" w:customStyle="1" w:styleId="160">
    <w:name w:val="页脚 Char1"/>
    <w:qFormat/>
    <w:uiPriority w:val="99"/>
    <w:rPr>
      <w:rFonts w:eastAsia="宋体"/>
      <w:kern w:val="2"/>
      <w:sz w:val="18"/>
      <w:szCs w:val="18"/>
      <w:lang w:val="en-US" w:eastAsia="zh-CN" w:bidi="ar-SA"/>
    </w:rPr>
  </w:style>
  <w:style w:type="paragraph" w:customStyle="1" w:styleId="161">
    <w:name w:val="B编号正文"/>
    <w:basedOn w:val="117"/>
    <w:link w:val="163"/>
    <w:qFormat/>
    <w:uiPriority w:val="0"/>
    <w:pPr>
      <w:numPr>
        <w:ilvl w:val="0"/>
        <w:numId w:val="3"/>
      </w:numPr>
      <w:ind w:firstLineChars="0"/>
      <w:jc w:val="left"/>
    </w:pPr>
  </w:style>
  <w:style w:type="character" w:customStyle="1" w:styleId="162">
    <w:name w:val="B正文 Char"/>
    <w:basedOn w:val="71"/>
    <w:link w:val="117"/>
    <w:qFormat/>
    <w:uiPriority w:val="0"/>
    <w:rPr>
      <w:rFonts w:ascii="Times New Roman" w:hAnsi="Times New Roman" w:eastAsia="宋体" w:cs="宋体"/>
      <w:kern w:val="0"/>
      <w:sz w:val="24"/>
      <w:szCs w:val="24"/>
    </w:rPr>
  </w:style>
  <w:style w:type="character" w:customStyle="1" w:styleId="163">
    <w:name w:val="B编号正文 Char"/>
    <w:basedOn w:val="162"/>
    <w:link w:val="161"/>
    <w:qFormat/>
    <w:uiPriority w:val="0"/>
    <w:rPr>
      <w:rFonts w:ascii="Times New Roman" w:hAnsi="Times New Roman" w:eastAsia="宋体" w:cs="宋体"/>
      <w:kern w:val="0"/>
      <w:sz w:val="24"/>
      <w:szCs w:val="24"/>
    </w:rPr>
  </w:style>
  <w:style w:type="paragraph" w:customStyle="1" w:styleId="164">
    <w:name w:val="Char Char Char Char Char Char Char Char Char Char Char Char Char Char Char Char Char Char Char Char Char Char"/>
    <w:basedOn w:val="1"/>
    <w:qFormat/>
    <w:uiPriority w:val="0"/>
    <w:pPr>
      <w:spacing w:line="240" w:lineRule="exact"/>
      <w:ind w:firstLine="200"/>
    </w:pPr>
    <w:rPr>
      <w:bCs/>
      <w:snapToGrid w:val="0"/>
    </w:rPr>
  </w:style>
  <w:style w:type="character" w:customStyle="1" w:styleId="165">
    <w:name w:val="表格 Char"/>
    <w:link w:val="151"/>
    <w:qFormat/>
    <w:uiPriority w:val="0"/>
    <w:rPr>
      <w:rFonts w:ascii="宋体" w:hAnsi="Times New Roman" w:eastAsia="宋体" w:cs="Times New Roman"/>
      <w:kern w:val="0"/>
      <w:sz w:val="18"/>
      <w:szCs w:val="24"/>
    </w:rPr>
  </w:style>
  <w:style w:type="character" w:customStyle="1" w:styleId="166">
    <w:name w:val="题注 字符"/>
    <w:link w:val="16"/>
    <w:qFormat/>
    <w:uiPriority w:val="0"/>
    <w:rPr>
      <w:rFonts w:ascii="Arial" w:hAnsi="Arial" w:eastAsia="黑体" w:cs="Times New Roman"/>
      <w:color w:val="000000"/>
      <w:sz w:val="20"/>
      <w:szCs w:val="24"/>
    </w:rPr>
  </w:style>
  <w:style w:type="character" w:customStyle="1" w:styleId="167">
    <w:name w:val="表中文字X Char"/>
    <w:link w:val="168"/>
    <w:qFormat/>
    <w:uiPriority w:val="0"/>
    <w:rPr>
      <w:rFonts w:ascii="Times New Roman" w:hAnsi="Times New Roman" w:eastAsia="宋体"/>
      <w:color w:val="000000"/>
      <w:szCs w:val="24"/>
    </w:rPr>
  </w:style>
  <w:style w:type="paragraph" w:customStyle="1" w:styleId="168">
    <w:name w:val="表中文字X"/>
    <w:next w:val="1"/>
    <w:link w:val="167"/>
    <w:qFormat/>
    <w:uiPriority w:val="0"/>
    <w:pPr>
      <w:spacing w:line="340" w:lineRule="exact"/>
      <w:jc w:val="center"/>
    </w:pPr>
    <w:rPr>
      <w:rFonts w:ascii="Times New Roman" w:hAnsi="Times New Roman" w:eastAsia="宋体" w:cs="宋体"/>
      <w:color w:val="000000"/>
      <w:kern w:val="2"/>
      <w:sz w:val="21"/>
      <w:szCs w:val="24"/>
      <w:lang w:val="en-US" w:eastAsia="zh-CN" w:bidi="ar-SA"/>
    </w:rPr>
  </w:style>
  <w:style w:type="character" w:customStyle="1" w:styleId="169">
    <w:name w:val="B3 Char"/>
    <w:link w:val="138"/>
    <w:qFormat/>
    <w:uiPriority w:val="0"/>
    <w:rPr>
      <w:rFonts w:ascii="Times New Roman" w:hAnsi="宋体" w:eastAsia="宋体" w:cs="Times New Roman"/>
      <w:b/>
      <w:sz w:val="28"/>
      <w:szCs w:val="24"/>
    </w:rPr>
  </w:style>
  <w:style w:type="character" w:customStyle="1" w:styleId="170">
    <w:name w:val="表中文字 Char1"/>
    <w:basedOn w:val="71"/>
    <w:link w:val="125"/>
    <w:qFormat/>
    <w:uiPriority w:val="0"/>
    <w:rPr>
      <w:rFonts w:ascii="Times New Roman" w:hAnsi="Times New Roman" w:eastAsia="宋体" w:cs="Times New Roman"/>
      <w:szCs w:val="24"/>
    </w:rPr>
  </w:style>
  <w:style w:type="paragraph" w:customStyle="1" w:styleId="171">
    <w:name w:val="表后空行格式"/>
    <w:basedOn w:val="1"/>
    <w:qFormat/>
    <w:uiPriority w:val="99"/>
    <w:pPr>
      <w:widowControl/>
      <w:adjustRightInd w:val="0"/>
      <w:snapToGrid w:val="0"/>
      <w:spacing w:line="240" w:lineRule="auto"/>
      <w:ind w:firstLine="392"/>
      <w:jc w:val="left"/>
    </w:pPr>
    <w:rPr>
      <w:rFonts w:cs="黑体"/>
      <w:spacing w:val="8"/>
      <w:kern w:val="2"/>
      <w:sz w:val="18"/>
    </w:rPr>
  </w:style>
  <w:style w:type="paragraph" w:customStyle="1" w:styleId="172">
    <w:name w:val="图名"/>
    <w:basedOn w:val="1"/>
    <w:link w:val="173"/>
    <w:qFormat/>
    <w:uiPriority w:val="0"/>
    <w:pPr>
      <w:widowControl/>
      <w:adjustRightInd w:val="0"/>
      <w:snapToGrid w:val="0"/>
      <w:spacing w:line="240" w:lineRule="auto"/>
      <w:ind w:firstLine="0" w:firstLineChars="0"/>
      <w:jc w:val="center"/>
    </w:pPr>
    <w:rPr>
      <w:rFonts w:ascii="黑体" w:hAnsi="黑体" w:eastAsia="黑体" w:cs="宋体"/>
      <w:color w:val="000000"/>
    </w:rPr>
  </w:style>
  <w:style w:type="character" w:customStyle="1" w:styleId="173">
    <w:name w:val="图名 Char"/>
    <w:link w:val="172"/>
    <w:qFormat/>
    <w:uiPriority w:val="0"/>
    <w:rPr>
      <w:rFonts w:ascii="黑体" w:hAnsi="黑体" w:eastAsia="黑体" w:cs="宋体"/>
      <w:color w:val="000000"/>
      <w:kern w:val="0"/>
      <w:sz w:val="24"/>
      <w:szCs w:val="24"/>
    </w:rPr>
  </w:style>
  <w:style w:type="paragraph" w:customStyle="1" w:styleId="174">
    <w:name w:val="图表后空行X"/>
    <w:next w:val="1"/>
    <w:qFormat/>
    <w:uiPriority w:val="99"/>
    <w:pPr>
      <w:ind w:firstLine="200"/>
    </w:pPr>
    <w:rPr>
      <w:rFonts w:ascii="Times New Roman" w:hAnsi="Times New Roman" w:eastAsia="宋体" w:cs="Times New Roman"/>
      <w:kern w:val="2"/>
      <w:sz w:val="18"/>
      <w:szCs w:val="24"/>
      <w:lang w:val="en-US" w:eastAsia="zh-CN" w:bidi="ar-SA"/>
    </w:rPr>
  </w:style>
  <w:style w:type="table" w:customStyle="1" w:styleId="175">
    <w:name w:val="B表格1"/>
    <w:basedOn w:val="67"/>
    <w:qFormat/>
    <w:uiPriority w:val="0"/>
    <w:pPr>
      <w:jc w:val="center"/>
    </w:pPr>
    <w:tblPr>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rPr>
      <w:jc w:val="center"/>
    </w:trPr>
    <w:tcPr>
      <w:vAlign w:val="center"/>
    </w:tcPr>
  </w:style>
  <w:style w:type="table" w:customStyle="1" w:styleId="176">
    <w:name w:val="Table Normal"/>
    <w:qFormat/>
    <w:uiPriority w:val="0"/>
    <w:rPr>
      <w:rFonts w:ascii="Arial" w:hAnsi="Arial" w:cs="Arial"/>
      <w:snapToGrid w:val="0"/>
      <w:color w:val="000000"/>
      <w:szCs w:val="21"/>
    </w:rPr>
    <w:tblPr>
      <w:tblCellMar>
        <w:top w:w="0" w:type="dxa"/>
        <w:left w:w="0" w:type="dxa"/>
        <w:bottom w:w="0" w:type="dxa"/>
        <w:right w:w="0" w:type="dxa"/>
      </w:tblCellMar>
    </w:tblPr>
  </w:style>
  <w:style w:type="paragraph" w:customStyle="1" w:styleId="177">
    <w:name w:val="0表格格式"/>
    <w:basedOn w:val="1"/>
    <w:qFormat/>
    <w:uiPriority w:val="99"/>
    <w:pPr>
      <w:widowControl/>
      <w:spacing w:line="240" w:lineRule="auto"/>
      <w:ind w:firstLine="0" w:firstLineChars="0"/>
      <w:jc w:val="center"/>
    </w:pPr>
    <w:rPr>
      <w:sz w:val="21"/>
      <w:szCs w:val="21"/>
    </w:rPr>
  </w:style>
  <w:style w:type="paragraph" w:customStyle="1" w:styleId="178">
    <w:name w:val="WPSOffice手动目录 3"/>
    <w:qFormat/>
    <w:uiPriority w:val="0"/>
    <w:pPr>
      <w:ind w:left="400" w:leftChars="400"/>
    </w:pPr>
    <w:rPr>
      <w:rFonts w:ascii="Calibri" w:hAnsi="Calibri" w:eastAsia="宋体" w:cs="宋体"/>
      <w:lang w:val="en-US" w:eastAsia="zh-CN" w:bidi="ar-SA"/>
    </w:rPr>
  </w:style>
  <w:style w:type="character" w:customStyle="1" w:styleId="179">
    <w:name w:val="标题 9 字符"/>
    <w:basedOn w:val="71"/>
    <w:link w:val="10"/>
    <w:qFormat/>
    <w:uiPriority w:val="0"/>
    <w:rPr>
      <w:rFonts w:ascii="Cambria" w:hAnsi="Cambria" w:eastAsia="宋体" w:cs="宋体"/>
      <w:kern w:val="0"/>
      <w:szCs w:val="21"/>
    </w:rPr>
  </w:style>
  <w:style w:type="paragraph" w:customStyle="1" w:styleId="180">
    <w:name w:val="msonormal"/>
    <w:basedOn w:val="1"/>
    <w:qFormat/>
    <w:uiPriority w:val="0"/>
    <w:pPr>
      <w:widowControl/>
      <w:spacing w:before="100" w:beforeAutospacing="1" w:after="100" w:afterAutospacing="1" w:line="240" w:lineRule="auto"/>
      <w:ind w:firstLine="0" w:firstLineChars="0"/>
      <w:jc w:val="left"/>
    </w:pPr>
    <w:rPr>
      <w:rFonts w:ascii="宋体" w:hAnsi="宋体" w:cs="宋体"/>
    </w:rPr>
  </w:style>
  <w:style w:type="paragraph" w:customStyle="1" w:styleId="181">
    <w:name w:val="font5"/>
    <w:basedOn w:val="1"/>
    <w:qFormat/>
    <w:uiPriority w:val="0"/>
    <w:pPr>
      <w:widowControl/>
      <w:spacing w:before="100" w:beforeAutospacing="1" w:after="100" w:afterAutospacing="1" w:line="240" w:lineRule="auto"/>
      <w:ind w:firstLine="0" w:firstLineChars="0"/>
      <w:jc w:val="left"/>
    </w:pPr>
    <w:rPr>
      <w:rFonts w:ascii="宋体" w:hAnsi="宋体" w:cs="宋体"/>
      <w:sz w:val="22"/>
      <w:szCs w:val="22"/>
    </w:rPr>
  </w:style>
  <w:style w:type="paragraph" w:customStyle="1" w:styleId="182">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sz w:val="22"/>
      <w:szCs w:val="22"/>
    </w:rPr>
  </w:style>
  <w:style w:type="paragraph" w:customStyle="1" w:styleId="183">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000000"/>
      <w:sz w:val="22"/>
      <w:szCs w:val="22"/>
    </w:rPr>
  </w:style>
  <w:style w:type="paragraph" w:customStyle="1" w:styleId="184">
    <w:name w:val="font8"/>
    <w:basedOn w:val="1"/>
    <w:qFormat/>
    <w:uiPriority w:val="0"/>
    <w:pPr>
      <w:widowControl/>
      <w:spacing w:before="100" w:beforeAutospacing="1" w:after="100" w:afterAutospacing="1" w:line="240" w:lineRule="auto"/>
      <w:ind w:firstLine="0" w:firstLineChars="0"/>
      <w:jc w:val="left"/>
    </w:pPr>
    <w:rPr>
      <w:sz w:val="22"/>
      <w:szCs w:val="22"/>
    </w:rPr>
  </w:style>
  <w:style w:type="paragraph" w:customStyle="1" w:styleId="185">
    <w:name w:val="font9"/>
    <w:basedOn w:val="1"/>
    <w:qFormat/>
    <w:uiPriority w:val="0"/>
    <w:pPr>
      <w:widowControl/>
      <w:spacing w:before="100" w:beforeAutospacing="1" w:after="100" w:afterAutospacing="1" w:line="240" w:lineRule="auto"/>
      <w:ind w:firstLine="0" w:firstLineChars="0"/>
      <w:jc w:val="left"/>
    </w:pPr>
    <w:rPr>
      <w:rFonts w:ascii="Calibri" w:hAnsi="Calibri" w:cs="Calibri"/>
      <w:color w:val="000000"/>
      <w:sz w:val="22"/>
      <w:szCs w:val="22"/>
    </w:rPr>
  </w:style>
  <w:style w:type="paragraph" w:customStyle="1" w:styleId="186">
    <w:name w:val="font10"/>
    <w:basedOn w:val="1"/>
    <w:qFormat/>
    <w:uiPriority w:val="0"/>
    <w:pPr>
      <w:widowControl/>
      <w:spacing w:before="100" w:beforeAutospacing="1" w:after="100" w:afterAutospacing="1" w:line="240" w:lineRule="auto"/>
      <w:ind w:firstLine="0" w:firstLineChars="0"/>
      <w:jc w:val="left"/>
    </w:pPr>
    <w:rPr>
      <w:rFonts w:ascii="宋体" w:hAnsi="宋体" w:cs="宋体"/>
      <w:sz w:val="22"/>
      <w:szCs w:val="22"/>
    </w:rPr>
  </w:style>
  <w:style w:type="paragraph" w:customStyle="1" w:styleId="187">
    <w:name w:val="font11"/>
    <w:basedOn w:val="1"/>
    <w:qFormat/>
    <w:uiPriority w:val="0"/>
    <w:pPr>
      <w:widowControl/>
      <w:spacing w:before="100" w:beforeAutospacing="1" w:after="100" w:afterAutospacing="1" w:line="240" w:lineRule="auto"/>
      <w:ind w:firstLine="0" w:firstLineChars="0"/>
      <w:jc w:val="left"/>
    </w:pPr>
    <w:rPr>
      <w:rFonts w:ascii="宋体" w:hAnsi="宋体" w:cs="宋体"/>
      <w:color w:val="000000"/>
      <w:sz w:val="22"/>
      <w:szCs w:val="22"/>
    </w:rPr>
  </w:style>
  <w:style w:type="paragraph" w:customStyle="1" w:styleId="188">
    <w:name w:val="font12"/>
    <w:basedOn w:val="1"/>
    <w:qFormat/>
    <w:uiPriority w:val="0"/>
    <w:pPr>
      <w:widowControl/>
      <w:spacing w:before="100" w:beforeAutospacing="1" w:after="100" w:afterAutospacing="1" w:line="240" w:lineRule="auto"/>
      <w:ind w:firstLine="0" w:firstLineChars="0"/>
      <w:jc w:val="left"/>
    </w:pPr>
    <w:rPr>
      <w:color w:val="000000"/>
      <w:sz w:val="22"/>
      <w:szCs w:val="22"/>
    </w:rPr>
  </w:style>
  <w:style w:type="paragraph" w:customStyle="1" w:styleId="189">
    <w:name w:val="font13"/>
    <w:basedOn w:val="1"/>
    <w:qFormat/>
    <w:uiPriority w:val="0"/>
    <w:pPr>
      <w:widowControl/>
      <w:spacing w:before="100" w:beforeAutospacing="1" w:after="100" w:afterAutospacing="1" w:line="240" w:lineRule="auto"/>
      <w:ind w:firstLine="0" w:firstLineChars="0"/>
      <w:jc w:val="left"/>
    </w:pPr>
    <w:rPr>
      <w:rFonts w:ascii="宋体" w:hAnsi="宋体" w:cs="宋体"/>
      <w:sz w:val="22"/>
      <w:szCs w:val="22"/>
    </w:rPr>
  </w:style>
  <w:style w:type="paragraph" w:customStyle="1" w:styleId="190">
    <w:name w:val="xl67"/>
    <w:basedOn w:val="1"/>
    <w:qFormat/>
    <w:uiPriority w:val="0"/>
    <w:pPr>
      <w:widowControl/>
      <w:spacing w:before="100" w:beforeAutospacing="1" w:after="100" w:afterAutospacing="1" w:line="240" w:lineRule="auto"/>
      <w:ind w:firstLine="0" w:firstLineChars="0"/>
      <w:jc w:val="left"/>
      <w:textAlignment w:val="bottom"/>
    </w:pPr>
    <w:rPr>
      <w:rFonts w:ascii="宋体" w:hAnsi="宋体" w:cs="宋体"/>
    </w:rPr>
  </w:style>
  <w:style w:type="paragraph" w:customStyle="1" w:styleId="191">
    <w:name w:val="xl68"/>
    <w:basedOn w:val="1"/>
    <w:qFormat/>
    <w:uiPriority w:val="0"/>
    <w:pPr>
      <w:widowControl/>
      <w:spacing w:before="100" w:beforeAutospacing="1" w:after="100" w:afterAutospacing="1" w:line="240" w:lineRule="auto"/>
      <w:ind w:firstLine="0" w:firstLineChars="0"/>
      <w:jc w:val="center"/>
    </w:pPr>
    <w:rPr>
      <w:rFonts w:ascii="宋体" w:hAnsi="宋体" w:cs="宋体"/>
    </w:rPr>
  </w:style>
  <w:style w:type="paragraph" w:customStyle="1" w:styleId="192">
    <w:name w:val="xl69"/>
    <w:basedOn w:val="1"/>
    <w:qFormat/>
    <w:uiPriority w:val="0"/>
    <w:pPr>
      <w:widowControl/>
      <w:spacing w:before="100" w:beforeAutospacing="1" w:after="100" w:afterAutospacing="1" w:line="240" w:lineRule="auto"/>
      <w:ind w:firstLine="0" w:firstLineChars="0"/>
      <w:jc w:val="left"/>
    </w:pPr>
    <w:rPr>
      <w:rFonts w:ascii="宋体" w:hAnsi="宋体" w:cs="宋体"/>
    </w:rPr>
  </w:style>
  <w:style w:type="paragraph" w:customStyle="1" w:styleId="19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19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19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19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19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19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19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20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0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20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0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20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0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rPr>
  </w:style>
  <w:style w:type="paragraph" w:customStyle="1" w:styleId="20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20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20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rPr>
  </w:style>
  <w:style w:type="paragraph" w:customStyle="1" w:styleId="209">
    <w:name w:val="xl8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1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11">
    <w:name w:val="xl88"/>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12">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13">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rPr>
  </w:style>
  <w:style w:type="paragraph" w:customStyle="1" w:styleId="214">
    <w:name w:val="xl91"/>
    <w:basedOn w:val="1"/>
    <w:qFormat/>
    <w:uiPriority w:val="0"/>
    <w:pPr>
      <w:widowControl/>
      <w:spacing w:before="100" w:beforeAutospacing="1" w:after="100" w:afterAutospacing="1" w:line="240" w:lineRule="auto"/>
      <w:ind w:firstLine="0" w:firstLineChars="0"/>
      <w:jc w:val="left"/>
      <w:textAlignment w:val="bottom"/>
    </w:pPr>
    <w:rPr>
      <w:rFonts w:ascii="Calibri" w:hAnsi="Calibri" w:cs="Calibri"/>
    </w:rPr>
  </w:style>
  <w:style w:type="paragraph" w:customStyle="1" w:styleId="215">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1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217">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rPr>
  </w:style>
  <w:style w:type="paragraph" w:customStyle="1" w:styleId="218">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rPr>
  </w:style>
  <w:style w:type="paragraph" w:customStyle="1" w:styleId="21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2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0"/>
      <w:szCs w:val="20"/>
    </w:rPr>
  </w:style>
  <w:style w:type="paragraph" w:customStyle="1" w:styleId="221">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sz w:val="20"/>
      <w:szCs w:val="20"/>
    </w:rPr>
  </w:style>
  <w:style w:type="paragraph" w:customStyle="1" w:styleId="222">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sz w:val="20"/>
      <w:szCs w:val="20"/>
    </w:rPr>
  </w:style>
  <w:style w:type="paragraph" w:customStyle="1" w:styleId="22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0"/>
      <w:szCs w:val="20"/>
    </w:rPr>
  </w:style>
  <w:style w:type="paragraph" w:customStyle="1" w:styleId="2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sz w:val="20"/>
      <w:szCs w:val="20"/>
    </w:rPr>
  </w:style>
  <w:style w:type="paragraph" w:customStyle="1" w:styleId="225">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rPr>
  </w:style>
  <w:style w:type="paragraph" w:customStyle="1" w:styleId="226">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FF0000"/>
    </w:rPr>
  </w:style>
  <w:style w:type="paragraph" w:customStyle="1" w:styleId="22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228">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rPr>
  </w:style>
  <w:style w:type="paragraph" w:customStyle="1" w:styleId="229">
    <w:name w:val="xl106"/>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rPr>
  </w:style>
  <w:style w:type="paragraph" w:customStyle="1" w:styleId="230">
    <w:name w:val="xl10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rPr>
  </w:style>
  <w:style w:type="paragraph" w:customStyle="1" w:styleId="231">
    <w:name w:val="xl10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32">
    <w:name w:val="xl109"/>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33">
    <w:name w:val="xl11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34">
    <w:name w:val="xl11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rPr>
  </w:style>
  <w:style w:type="paragraph" w:customStyle="1" w:styleId="235">
    <w:name w:val="xl112"/>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rPr>
  </w:style>
  <w:style w:type="paragraph" w:customStyle="1" w:styleId="236">
    <w:name w:val="xl11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rPr>
  </w:style>
  <w:style w:type="paragraph" w:customStyle="1" w:styleId="237">
    <w:name w:val="xl11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38">
    <w:name w:val="xl115"/>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39">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40">
    <w:name w:val="xl11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41">
    <w:name w:val="xl118"/>
    <w:basedOn w:val="1"/>
    <w:qFormat/>
    <w:uiPriority w:val="99"/>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42">
    <w:name w:val="xl119"/>
    <w:basedOn w:val="1"/>
    <w:qFormat/>
    <w:uiPriority w:val="99"/>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rPr>
  </w:style>
  <w:style w:type="paragraph" w:customStyle="1" w:styleId="243">
    <w:name w:val="xl12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rPr>
  </w:style>
  <w:style w:type="character" w:customStyle="1" w:styleId="244">
    <w:name w:val="标题 5 字符"/>
    <w:basedOn w:val="71"/>
    <w:link w:val="6"/>
    <w:qFormat/>
    <w:uiPriority w:val="0"/>
    <w:rPr>
      <w:rFonts w:ascii="等线" w:hAnsi="等线" w:eastAsia="等线" w:cs="Times New Roman"/>
      <w:b/>
      <w:bCs/>
      <w:sz w:val="24"/>
      <w:szCs w:val="24"/>
    </w:rPr>
  </w:style>
  <w:style w:type="character" w:customStyle="1" w:styleId="245">
    <w:name w:val="标题 6 字符"/>
    <w:basedOn w:val="71"/>
    <w:link w:val="7"/>
    <w:qFormat/>
    <w:uiPriority w:val="0"/>
    <w:rPr>
      <w:rFonts w:ascii="Cambria" w:hAnsi="Cambria" w:eastAsia="等线" w:cs="Times New Roman"/>
      <w:b/>
      <w:bCs/>
      <w:kern w:val="2"/>
      <w:sz w:val="24"/>
      <w:szCs w:val="24"/>
    </w:rPr>
  </w:style>
  <w:style w:type="character" w:customStyle="1" w:styleId="246">
    <w:name w:val="标题 7 字符"/>
    <w:basedOn w:val="71"/>
    <w:link w:val="8"/>
    <w:qFormat/>
    <w:uiPriority w:val="0"/>
    <w:rPr>
      <w:rFonts w:ascii="等线" w:hAnsi="等线" w:eastAsia="等线" w:cs="Times New Roman"/>
      <w:b/>
      <w:bCs/>
      <w:kern w:val="2"/>
      <w:sz w:val="24"/>
      <w:szCs w:val="24"/>
    </w:rPr>
  </w:style>
  <w:style w:type="character" w:customStyle="1" w:styleId="247">
    <w:name w:val="标题 8 字符"/>
    <w:basedOn w:val="71"/>
    <w:link w:val="9"/>
    <w:qFormat/>
    <w:uiPriority w:val="0"/>
    <w:rPr>
      <w:rFonts w:ascii="Cambria" w:hAnsi="Cambria" w:eastAsia="等线" w:cs="Times New Roman"/>
      <w:kern w:val="2"/>
      <w:sz w:val="24"/>
      <w:szCs w:val="24"/>
    </w:rPr>
  </w:style>
  <w:style w:type="character" w:customStyle="1" w:styleId="248">
    <w:name w:val="报告正文 Char Char"/>
    <w:link w:val="128"/>
    <w:qFormat/>
    <w:uiPriority w:val="0"/>
    <w:rPr>
      <w:rFonts w:ascii="Times New Roman" w:hAnsi="Times New Roman" w:eastAsia="仿宋_GB2312" w:cs="Times New Roman"/>
      <w:sz w:val="28"/>
      <w:szCs w:val="24"/>
    </w:rPr>
  </w:style>
  <w:style w:type="paragraph" w:customStyle="1" w:styleId="249">
    <w:name w:val="图表名称"/>
    <w:next w:val="128"/>
    <w:link w:val="250"/>
    <w:qFormat/>
    <w:uiPriority w:val="0"/>
    <w:pPr>
      <w:jc w:val="center"/>
    </w:pPr>
    <w:rPr>
      <w:rFonts w:ascii="Times New Roman" w:hAnsi="Times New Roman" w:eastAsia="宋体" w:cs="Times New Roman"/>
      <w:b/>
      <w:bCs/>
      <w:kern w:val="2"/>
      <w:szCs w:val="28"/>
      <w:lang w:val="en-US" w:eastAsia="zh-CN" w:bidi="ar-SA"/>
    </w:rPr>
  </w:style>
  <w:style w:type="character" w:customStyle="1" w:styleId="250">
    <w:name w:val="图表名称 Char"/>
    <w:link w:val="249"/>
    <w:qFormat/>
    <w:uiPriority w:val="0"/>
    <w:rPr>
      <w:rFonts w:ascii="Times New Roman" w:hAnsi="Times New Roman" w:eastAsia="宋体" w:cs="Times New Roman"/>
      <w:b/>
      <w:bCs/>
      <w:sz w:val="20"/>
      <w:szCs w:val="28"/>
    </w:rPr>
  </w:style>
  <w:style w:type="character" w:customStyle="1" w:styleId="251">
    <w:name w:val="表格内容 Char"/>
    <w:link w:val="123"/>
    <w:qFormat/>
    <w:uiPriority w:val="0"/>
    <w:rPr>
      <w:rFonts w:ascii="Times New Roman" w:hAnsi="Times New Roman" w:eastAsia="宋体" w:cs="Times New Roman"/>
      <w:kern w:val="0"/>
      <w:szCs w:val="21"/>
    </w:rPr>
  </w:style>
  <w:style w:type="paragraph" w:customStyle="1" w:styleId="252">
    <w:name w:val="（1）标题"/>
    <w:basedOn w:val="1"/>
    <w:qFormat/>
    <w:uiPriority w:val="0"/>
    <w:pPr>
      <w:widowControl/>
      <w:tabs>
        <w:tab w:val="left" w:pos="1035"/>
      </w:tabs>
      <w:adjustRightInd w:val="0"/>
      <w:snapToGrid w:val="0"/>
      <w:spacing w:before="50" w:line="312" w:lineRule="auto"/>
      <w:ind w:firstLine="0" w:firstLineChars="0"/>
      <w:jc w:val="left"/>
    </w:pPr>
    <w:rPr>
      <w:rFonts w:eastAsia="等线"/>
      <w:b/>
      <w:kern w:val="2"/>
      <w:szCs w:val="20"/>
    </w:rPr>
  </w:style>
  <w:style w:type="paragraph" w:customStyle="1" w:styleId="253">
    <w:name w:val="编制依据"/>
    <w:basedOn w:val="1"/>
    <w:link w:val="254"/>
    <w:qFormat/>
    <w:uiPriority w:val="0"/>
    <w:pPr>
      <w:tabs>
        <w:tab w:val="left" w:pos="851"/>
        <w:tab w:val="left" w:pos="1134"/>
      </w:tabs>
      <w:ind w:firstLine="0" w:firstLineChars="0"/>
    </w:pPr>
    <w:rPr>
      <w:rFonts w:eastAsia="等线"/>
      <w:kern w:val="2"/>
      <w:szCs w:val="20"/>
    </w:rPr>
  </w:style>
  <w:style w:type="character" w:customStyle="1" w:styleId="254">
    <w:name w:val="编制依据 Char"/>
    <w:link w:val="253"/>
    <w:qFormat/>
    <w:uiPriority w:val="0"/>
    <w:rPr>
      <w:rFonts w:ascii="Times New Roman" w:hAnsi="Times New Roman" w:eastAsia="等线" w:cs="Times New Roman"/>
      <w:sz w:val="24"/>
      <w:szCs w:val="20"/>
    </w:rPr>
  </w:style>
  <w:style w:type="paragraph" w:styleId="255">
    <w:name w:val="List Paragraph"/>
    <w:basedOn w:val="1"/>
    <w:link w:val="437"/>
    <w:qFormat/>
    <w:uiPriority w:val="34"/>
    <w:pPr>
      <w:widowControl/>
      <w:spacing w:line="240" w:lineRule="auto"/>
      <w:ind w:firstLine="420"/>
      <w:jc w:val="left"/>
    </w:pPr>
    <w:rPr>
      <w:rFonts w:ascii="等线" w:hAnsi="等线" w:eastAsia="等线"/>
      <w:kern w:val="2"/>
      <w:sz w:val="20"/>
      <w:szCs w:val="22"/>
    </w:rPr>
  </w:style>
  <w:style w:type="character" w:customStyle="1" w:styleId="256">
    <w:name w:val="font31"/>
    <w:qFormat/>
    <w:uiPriority w:val="0"/>
    <w:rPr>
      <w:rFonts w:hint="default" w:ascii="Times New Roman" w:hAnsi="Times New Roman" w:cs="Times New Roman"/>
      <w:color w:val="000000"/>
      <w:sz w:val="22"/>
      <w:szCs w:val="22"/>
      <w:u w:val="none"/>
    </w:rPr>
  </w:style>
  <w:style w:type="paragraph" w:customStyle="1" w:styleId="257">
    <w:name w:val="w正文"/>
    <w:basedOn w:val="1"/>
    <w:link w:val="258"/>
    <w:qFormat/>
    <w:uiPriority w:val="0"/>
    <w:pPr>
      <w:overflowPunct w:val="0"/>
      <w:ind w:firstLine="200"/>
    </w:pPr>
    <w:rPr>
      <w:rFonts w:eastAsia="Times New Roman"/>
      <w:szCs w:val="21"/>
      <w:lang w:val="zh-CN"/>
    </w:rPr>
  </w:style>
  <w:style w:type="character" w:customStyle="1" w:styleId="258">
    <w:name w:val="w正文 Char"/>
    <w:link w:val="257"/>
    <w:qFormat/>
    <w:uiPriority w:val="0"/>
    <w:rPr>
      <w:rFonts w:ascii="Times New Roman" w:hAnsi="Times New Roman" w:eastAsia="Times New Roman" w:cs="Times New Roman"/>
      <w:kern w:val="0"/>
      <w:sz w:val="24"/>
      <w:szCs w:val="21"/>
      <w:lang w:val="zh-CN" w:eastAsia="zh-CN"/>
    </w:rPr>
  </w:style>
  <w:style w:type="character" w:customStyle="1" w:styleId="259">
    <w:name w:val="标题 字符"/>
    <w:basedOn w:val="71"/>
    <w:link w:val="63"/>
    <w:qFormat/>
    <w:uiPriority w:val="0"/>
    <w:rPr>
      <w:rFonts w:ascii="Cambria" w:hAnsi="Cambria" w:eastAsia="宋体" w:cs="宋体"/>
      <w:b/>
      <w:bCs/>
      <w:sz w:val="32"/>
      <w:szCs w:val="32"/>
    </w:rPr>
  </w:style>
  <w:style w:type="character" w:customStyle="1" w:styleId="260">
    <w:name w:val="正文文本首行缩进 2 字符"/>
    <w:basedOn w:val="93"/>
    <w:link w:val="66"/>
    <w:qFormat/>
    <w:uiPriority w:val="0"/>
    <w:rPr>
      <w:rFonts w:ascii="Times New Roman" w:hAnsi="Times New Roman" w:eastAsia="宋体" w:cs="Times New Roman"/>
      <w:sz w:val="24"/>
      <w:szCs w:val="24"/>
    </w:rPr>
  </w:style>
  <w:style w:type="paragraph" w:customStyle="1" w:styleId="261">
    <w:name w:val="表格1.5"/>
    <w:basedOn w:val="1"/>
    <w:link w:val="262"/>
    <w:qFormat/>
    <w:uiPriority w:val="0"/>
    <w:pPr>
      <w:ind w:left="431" w:hanging="431" w:firstLineChars="0"/>
      <w:jc w:val="center"/>
    </w:pPr>
    <w:rPr>
      <w:rFonts w:eastAsia="Times New Roman" w:cs="宋体"/>
      <w:kern w:val="2"/>
      <w:szCs w:val="21"/>
    </w:rPr>
  </w:style>
  <w:style w:type="character" w:customStyle="1" w:styleId="262">
    <w:name w:val="表格1.5 Char"/>
    <w:basedOn w:val="71"/>
    <w:link w:val="261"/>
    <w:qFormat/>
    <w:uiPriority w:val="0"/>
    <w:rPr>
      <w:rFonts w:ascii="Times New Roman" w:hAnsi="Times New Roman" w:eastAsia="Times New Roman"/>
      <w:sz w:val="24"/>
      <w:szCs w:val="21"/>
    </w:rPr>
  </w:style>
  <w:style w:type="paragraph" w:customStyle="1" w:styleId="263">
    <w:name w:val="表格格式"/>
    <w:basedOn w:val="1"/>
    <w:link w:val="983"/>
    <w:qFormat/>
    <w:uiPriority w:val="0"/>
    <w:pPr>
      <w:spacing w:line="240" w:lineRule="auto"/>
      <w:ind w:left="431" w:hanging="431" w:firstLineChars="0"/>
      <w:jc w:val="center"/>
    </w:pPr>
    <w:rPr>
      <w:kern w:val="2"/>
      <w:szCs w:val="22"/>
    </w:rPr>
  </w:style>
  <w:style w:type="paragraph" w:customStyle="1" w:styleId="264">
    <w:name w:val="王军波目录"/>
    <w:basedOn w:val="1"/>
    <w:next w:val="1"/>
    <w:qFormat/>
    <w:uiPriority w:val="39"/>
    <w:pPr>
      <w:spacing w:line="240" w:lineRule="auto"/>
      <w:ind w:left="210" w:firstLine="0" w:firstLineChars="0"/>
      <w:jc w:val="left"/>
    </w:pPr>
    <w:rPr>
      <w:rFonts w:ascii="Calibri" w:hAnsi="Calibri"/>
      <w:smallCaps/>
      <w:kern w:val="2"/>
      <w:sz w:val="20"/>
      <w:szCs w:val="20"/>
    </w:rPr>
  </w:style>
  <w:style w:type="paragraph" w:customStyle="1" w:styleId="265">
    <w:name w:val="TOC 标题1"/>
    <w:basedOn w:val="2"/>
    <w:next w:val="1"/>
    <w:qFormat/>
    <w:uiPriority w:val="99"/>
    <w:pPr>
      <w:widowControl/>
      <w:numPr>
        <w:numId w:val="0"/>
      </w:numPr>
      <w:spacing w:before="240" w:line="259" w:lineRule="auto"/>
      <w:jc w:val="left"/>
      <w:outlineLvl w:val="9"/>
    </w:pPr>
    <w:rPr>
      <w:rFonts w:ascii="Cambria" w:hAnsi="Cambria" w:cs="宋体"/>
      <w:b w:val="0"/>
      <w:bCs w:val="0"/>
      <w:color w:val="365F91"/>
      <w:kern w:val="0"/>
      <w:szCs w:val="32"/>
    </w:rPr>
  </w:style>
  <w:style w:type="character" w:customStyle="1" w:styleId="266">
    <w:name w:val="新正文 Char Char"/>
    <w:basedOn w:val="71"/>
    <w:link w:val="267"/>
    <w:qFormat/>
    <w:uiPriority w:val="0"/>
    <w:rPr>
      <w:rFonts w:ascii="仿宋_GB2312" w:eastAsia="仿宋_GB2312"/>
      <w:bCs/>
      <w:sz w:val="28"/>
    </w:rPr>
  </w:style>
  <w:style w:type="paragraph" w:customStyle="1" w:styleId="267">
    <w:name w:val="新正文"/>
    <w:basedOn w:val="1"/>
    <w:link w:val="266"/>
    <w:qFormat/>
    <w:uiPriority w:val="0"/>
    <w:pPr>
      <w:adjustRightInd w:val="0"/>
      <w:snapToGrid w:val="0"/>
      <w:spacing w:line="480" w:lineRule="exact"/>
      <w:ind w:firstLine="482" w:firstLineChars="0"/>
    </w:pPr>
    <w:rPr>
      <w:rFonts w:ascii="仿宋_GB2312" w:hAnsi="Calibri" w:eastAsia="仿宋_GB2312" w:cs="宋体"/>
      <w:bCs/>
      <w:kern w:val="2"/>
      <w:sz w:val="28"/>
      <w:szCs w:val="22"/>
    </w:rPr>
  </w:style>
  <w:style w:type="character" w:customStyle="1" w:styleId="268">
    <w:name w:val="font01"/>
    <w:basedOn w:val="71"/>
    <w:qFormat/>
    <w:uiPriority w:val="0"/>
    <w:rPr>
      <w:rFonts w:ascii="font-weight : 400" w:hAnsi="font-weight : 400" w:eastAsia="font-weight : 400" w:cs="font-weight : 400"/>
      <w:color w:val="000000"/>
      <w:sz w:val="22"/>
      <w:szCs w:val="22"/>
      <w:u w:val="none"/>
      <w:vertAlign w:val="superscript"/>
    </w:rPr>
  </w:style>
  <w:style w:type="paragraph" w:customStyle="1" w:styleId="269">
    <w:name w:val="0正文"/>
    <w:basedOn w:val="1"/>
    <w:link w:val="773"/>
    <w:qFormat/>
    <w:uiPriority w:val="0"/>
    <w:pPr>
      <w:adjustRightInd w:val="0"/>
      <w:snapToGrid w:val="0"/>
      <w:ind w:firstLine="480"/>
    </w:pPr>
    <w:rPr>
      <w:rFonts w:ascii="宋体"/>
      <w:sz w:val="21"/>
      <w:szCs w:val="22"/>
    </w:rPr>
  </w:style>
  <w:style w:type="character" w:customStyle="1" w:styleId="270">
    <w:name w:val="font21"/>
    <w:basedOn w:val="71"/>
    <w:qFormat/>
    <w:uiPriority w:val="0"/>
    <w:rPr>
      <w:rFonts w:hint="default" w:ascii="ËÎÌå" w:hAnsi="ËÎÌå" w:eastAsia="ËÎÌå" w:cs="ËÎÌå"/>
      <w:color w:val="000000"/>
      <w:sz w:val="21"/>
      <w:szCs w:val="21"/>
      <w:u w:val="none"/>
    </w:rPr>
  </w:style>
  <w:style w:type="paragraph" w:customStyle="1" w:styleId="271">
    <w:name w:val="0图表标题"/>
    <w:basedOn w:val="1"/>
    <w:next w:val="1"/>
    <w:qFormat/>
    <w:uiPriority w:val="99"/>
    <w:pPr>
      <w:widowControl/>
      <w:adjustRightInd w:val="0"/>
      <w:snapToGrid w:val="0"/>
      <w:spacing w:line="240" w:lineRule="auto"/>
      <w:ind w:firstLine="0" w:firstLineChars="0"/>
      <w:jc w:val="center"/>
    </w:pPr>
    <w:rPr>
      <w:rFonts w:ascii="宋体" w:hAnsi="宋体" w:cs="宋体"/>
      <w:b/>
      <w:sz w:val="21"/>
      <w:szCs w:val="22"/>
    </w:rPr>
  </w:style>
  <w:style w:type="paragraph" w:customStyle="1" w:styleId="272">
    <w:name w:val="Char Char Char Char"/>
    <w:basedOn w:val="1"/>
    <w:qFormat/>
    <w:uiPriority w:val="99"/>
    <w:pPr>
      <w:ind w:firstLine="200"/>
    </w:pPr>
    <w:rPr>
      <w:kern w:val="2"/>
      <w:sz w:val="28"/>
      <w:szCs w:val="20"/>
    </w:rPr>
  </w:style>
  <w:style w:type="paragraph" w:customStyle="1" w:styleId="273">
    <w:name w:val="font14"/>
    <w:basedOn w:val="1"/>
    <w:qFormat/>
    <w:uiPriority w:val="0"/>
    <w:pPr>
      <w:widowControl/>
      <w:spacing w:before="100" w:beforeAutospacing="1" w:after="100" w:afterAutospacing="1" w:line="240" w:lineRule="auto"/>
      <w:ind w:firstLine="0" w:firstLineChars="0"/>
      <w:jc w:val="left"/>
    </w:pPr>
    <w:rPr>
      <w:rFonts w:ascii="宋体" w:hAnsi="宋体" w:cs="宋体"/>
      <w:b/>
      <w:bCs/>
      <w:color w:val="000000"/>
      <w:sz w:val="22"/>
      <w:szCs w:val="22"/>
    </w:rPr>
  </w:style>
  <w:style w:type="paragraph" w:customStyle="1" w:styleId="274">
    <w:name w:val="font15"/>
    <w:basedOn w:val="1"/>
    <w:qFormat/>
    <w:uiPriority w:val="0"/>
    <w:pPr>
      <w:widowControl/>
      <w:spacing w:before="100" w:beforeAutospacing="1" w:after="100" w:afterAutospacing="1" w:line="240" w:lineRule="auto"/>
      <w:ind w:firstLine="0" w:firstLineChars="0"/>
      <w:jc w:val="left"/>
    </w:pPr>
    <w:rPr>
      <w:color w:val="000000"/>
    </w:rPr>
  </w:style>
  <w:style w:type="paragraph" w:customStyle="1" w:styleId="275">
    <w:name w:val="font16"/>
    <w:basedOn w:val="1"/>
    <w:qFormat/>
    <w:uiPriority w:val="0"/>
    <w:pPr>
      <w:widowControl/>
      <w:spacing w:before="100" w:beforeAutospacing="1" w:after="100" w:afterAutospacing="1" w:line="240" w:lineRule="auto"/>
      <w:ind w:firstLine="0" w:firstLineChars="0"/>
      <w:jc w:val="left"/>
    </w:pPr>
    <w:rPr>
      <w:color w:val="000000"/>
    </w:rPr>
  </w:style>
  <w:style w:type="paragraph" w:customStyle="1" w:styleId="276">
    <w:name w:val="xl121"/>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rPr>
  </w:style>
  <w:style w:type="paragraph" w:customStyle="1" w:styleId="277">
    <w:name w:val="xl12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rPr>
  </w:style>
  <w:style w:type="paragraph" w:customStyle="1" w:styleId="278">
    <w:name w:val="xl123"/>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bottom"/>
    </w:pPr>
    <w:rPr>
      <w:rFonts w:ascii="宋体" w:hAnsi="宋体" w:cs="宋体"/>
    </w:rPr>
  </w:style>
  <w:style w:type="paragraph" w:customStyle="1" w:styleId="279">
    <w:name w:val="xl124"/>
    <w:basedOn w:val="1"/>
    <w:qFormat/>
    <w:uiPriority w:val="99"/>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280">
    <w:name w:val="xl125"/>
    <w:basedOn w:val="1"/>
    <w:qFormat/>
    <w:uiPriority w:val="99"/>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281">
    <w:name w:val="xl126"/>
    <w:basedOn w:val="1"/>
    <w:qFormat/>
    <w:uiPriority w:val="99"/>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282">
    <w:name w:val="xl127"/>
    <w:basedOn w:val="1"/>
    <w:qFormat/>
    <w:uiPriority w:val="99"/>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283">
    <w:name w:val="xl128"/>
    <w:basedOn w:val="1"/>
    <w:qFormat/>
    <w:uiPriority w:val="99"/>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284">
    <w:name w:val="正文4号"/>
    <w:basedOn w:val="1"/>
    <w:link w:val="285"/>
    <w:qFormat/>
    <w:uiPriority w:val="0"/>
    <w:pPr>
      <w:ind w:firstLine="560"/>
    </w:pPr>
    <w:rPr>
      <w:rFonts w:cs="宋体"/>
      <w:kern w:val="2"/>
      <w:sz w:val="28"/>
      <w:szCs w:val="28"/>
    </w:rPr>
  </w:style>
  <w:style w:type="character" w:customStyle="1" w:styleId="285">
    <w:name w:val="正文4号 Char"/>
    <w:basedOn w:val="71"/>
    <w:link w:val="284"/>
    <w:qFormat/>
    <w:uiPriority w:val="0"/>
    <w:rPr>
      <w:rFonts w:ascii="Times New Roman" w:hAnsi="Times New Roman" w:cs="宋体"/>
      <w:sz w:val="28"/>
      <w:szCs w:val="28"/>
    </w:rPr>
  </w:style>
  <w:style w:type="paragraph" w:customStyle="1" w:styleId="286">
    <w:name w:val="font17"/>
    <w:basedOn w:val="1"/>
    <w:qFormat/>
    <w:uiPriority w:val="0"/>
    <w:pPr>
      <w:widowControl/>
      <w:spacing w:before="100" w:beforeAutospacing="1" w:after="100" w:afterAutospacing="1" w:line="240" w:lineRule="auto"/>
      <w:ind w:firstLine="0" w:firstLineChars="0"/>
      <w:jc w:val="left"/>
    </w:pPr>
    <w:rPr>
      <w:color w:val="000000"/>
    </w:rPr>
  </w:style>
  <w:style w:type="paragraph" w:customStyle="1" w:styleId="287">
    <w:name w:val="font18"/>
    <w:basedOn w:val="1"/>
    <w:qFormat/>
    <w:uiPriority w:val="0"/>
    <w:pPr>
      <w:widowControl/>
      <w:spacing w:before="100" w:beforeAutospacing="1" w:after="100" w:afterAutospacing="1" w:line="240" w:lineRule="auto"/>
      <w:ind w:firstLine="0" w:firstLineChars="0"/>
      <w:jc w:val="left"/>
    </w:pPr>
    <w:rPr>
      <w:color w:val="000000"/>
    </w:rPr>
  </w:style>
  <w:style w:type="paragraph" w:customStyle="1" w:styleId="288">
    <w:name w:val="font19"/>
    <w:basedOn w:val="1"/>
    <w:qFormat/>
    <w:uiPriority w:val="0"/>
    <w:pPr>
      <w:widowControl/>
      <w:spacing w:before="100" w:beforeAutospacing="1" w:after="100" w:afterAutospacing="1" w:line="240" w:lineRule="auto"/>
      <w:ind w:firstLine="0" w:firstLineChars="0"/>
      <w:jc w:val="left"/>
    </w:pPr>
    <w:rPr>
      <w:rFonts w:ascii="宋体" w:hAnsi="宋体" w:cs="宋体"/>
    </w:rPr>
  </w:style>
  <w:style w:type="paragraph" w:customStyle="1" w:styleId="289">
    <w:name w:val="font20"/>
    <w:basedOn w:val="1"/>
    <w:qFormat/>
    <w:uiPriority w:val="0"/>
    <w:pPr>
      <w:widowControl/>
      <w:spacing w:before="100" w:beforeAutospacing="1" w:after="100" w:afterAutospacing="1" w:line="240" w:lineRule="auto"/>
      <w:ind w:firstLine="0" w:firstLineChars="0"/>
      <w:jc w:val="left"/>
    </w:pPr>
    <w:rPr>
      <w:rFonts w:ascii="宋体" w:hAnsi="宋体" w:cs="宋体"/>
      <w:b/>
      <w:bCs/>
      <w:color w:val="000000"/>
    </w:rPr>
  </w:style>
  <w:style w:type="paragraph" w:customStyle="1" w:styleId="290">
    <w:name w:val="font22"/>
    <w:basedOn w:val="1"/>
    <w:qFormat/>
    <w:uiPriority w:val="0"/>
    <w:pPr>
      <w:widowControl/>
      <w:spacing w:before="100" w:beforeAutospacing="1" w:after="100" w:afterAutospacing="1" w:line="240" w:lineRule="auto"/>
      <w:ind w:firstLine="0" w:firstLineChars="0"/>
      <w:jc w:val="left"/>
    </w:pPr>
    <w:rPr>
      <w:rFonts w:ascii="宋体" w:hAnsi="宋体" w:cs="宋体"/>
      <w:b/>
      <w:bCs/>
      <w:color w:val="000000"/>
      <w:sz w:val="22"/>
      <w:szCs w:val="22"/>
    </w:rPr>
  </w:style>
  <w:style w:type="paragraph" w:customStyle="1" w:styleId="291">
    <w:name w:val="font23"/>
    <w:basedOn w:val="1"/>
    <w:qFormat/>
    <w:uiPriority w:val="0"/>
    <w:pPr>
      <w:widowControl/>
      <w:spacing w:before="100" w:beforeAutospacing="1" w:after="100" w:afterAutospacing="1" w:line="240" w:lineRule="auto"/>
      <w:ind w:firstLine="0" w:firstLineChars="0"/>
      <w:jc w:val="left"/>
    </w:pPr>
    <w:rPr>
      <w:color w:val="000000"/>
    </w:rPr>
  </w:style>
  <w:style w:type="paragraph" w:customStyle="1" w:styleId="292">
    <w:name w:val="font24"/>
    <w:basedOn w:val="1"/>
    <w:qFormat/>
    <w:uiPriority w:val="0"/>
    <w:pPr>
      <w:widowControl/>
      <w:spacing w:before="100" w:beforeAutospacing="1" w:after="100" w:afterAutospacing="1" w:line="240" w:lineRule="auto"/>
      <w:ind w:firstLine="0" w:firstLineChars="0"/>
      <w:jc w:val="left"/>
    </w:pPr>
    <w:rPr>
      <w:color w:val="000000"/>
      <w:sz w:val="21"/>
      <w:szCs w:val="21"/>
    </w:rPr>
  </w:style>
  <w:style w:type="paragraph" w:customStyle="1" w:styleId="293">
    <w:name w:val="font25"/>
    <w:basedOn w:val="1"/>
    <w:qFormat/>
    <w:uiPriority w:val="0"/>
    <w:pPr>
      <w:widowControl/>
      <w:spacing w:before="100" w:beforeAutospacing="1" w:after="100" w:afterAutospacing="1" w:line="240" w:lineRule="auto"/>
      <w:ind w:firstLine="0" w:firstLineChars="0"/>
      <w:jc w:val="left"/>
    </w:pPr>
    <w:rPr>
      <w:sz w:val="22"/>
      <w:szCs w:val="22"/>
    </w:rPr>
  </w:style>
  <w:style w:type="paragraph" w:customStyle="1" w:styleId="294">
    <w:name w:val="xl129"/>
    <w:basedOn w:val="1"/>
    <w:qFormat/>
    <w:uiPriority w:val="99"/>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style>
  <w:style w:type="paragraph" w:customStyle="1" w:styleId="295">
    <w:name w:val="xl1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FF0000"/>
      <w:sz w:val="21"/>
      <w:szCs w:val="21"/>
    </w:rPr>
  </w:style>
  <w:style w:type="paragraph" w:customStyle="1" w:styleId="296">
    <w:name w:val="xl131"/>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rPr>
  </w:style>
  <w:style w:type="paragraph" w:customStyle="1" w:styleId="297">
    <w:name w:val="xl1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298">
    <w:name w:val="xl1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299">
    <w:name w:val="xl13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style>
  <w:style w:type="paragraph" w:customStyle="1" w:styleId="300">
    <w:name w:val="xl135"/>
    <w:basedOn w:val="1"/>
    <w:qFormat/>
    <w:uiPriority w:val="99"/>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301">
    <w:name w:val="xl136"/>
    <w:basedOn w:val="1"/>
    <w:qFormat/>
    <w:uiPriority w:val="99"/>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302">
    <w:name w:val="xl1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FF0000"/>
    </w:rPr>
  </w:style>
  <w:style w:type="paragraph" w:customStyle="1" w:styleId="303">
    <w:name w:val="xl138"/>
    <w:basedOn w:val="1"/>
    <w:qFormat/>
    <w:uiPriority w:val="99"/>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宋体" w:hAnsi="宋体" w:cs="宋体"/>
      <w:b/>
      <w:bCs/>
    </w:rPr>
  </w:style>
  <w:style w:type="paragraph" w:customStyle="1" w:styleId="304">
    <w:name w:val="xl1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05">
    <w:name w:val="xl140"/>
    <w:basedOn w:val="1"/>
    <w:qFormat/>
    <w:uiPriority w:val="99"/>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cs="宋体"/>
    </w:rPr>
  </w:style>
  <w:style w:type="paragraph" w:customStyle="1" w:styleId="306">
    <w:name w:val="xl14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cs="宋体"/>
    </w:rPr>
  </w:style>
  <w:style w:type="paragraph" w:customStyle="1" w:styleId="307">
    <w:name w:val="xl14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rPr>
  </w:style>
  <w:style w:type="paragraph" w:customStyle="1" w:styleId="308">
    <w:name w:val="xl14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09">
    <w:name w:val="xl144"/>
    <w:basedOn w:val="1"/>
    <w:qFormat/>
    <w:uiPriority w:val="99"/>
    <w:pPr>
      <w:widowControl/>
      <w:spacing w:before="100" w:beforeAutospacing="1" w:after="100" w:afterAutospacing="1" w:line="240" w:lineRule="auto"/>
      <w:ind w:firstLine="0" w:firstLineChars="0"/>
      <w:jc w:val="left"/>
      <w:textAlignment w:val="bottom"/>
    </w:pPr>
    <w:rPr>
      <w:rFonts w:ascii="宋体" w:hAnsi="宋体" w:cs="宋体"/>
    </w:rPr>
  </w:style>
  <w:style w:type="paragraph" w:customStyle="1" w:styleId="310">
    <w:name w:val="xl145"/>
    <w:basedOn w:val="1"/>
    <w:qFormat/>
    <w:uiPriority w:val="99"/>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11">
    <w:name w:val="xl14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12">
    <w:name w:val="xl147"/>
    <w:basedOn w:val="1"/>
    <w:qFormat/>
    <w:uiPriority w:val="99"/>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13">
    <w:name w:val="xl14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14">
    <w:name w:val="xl14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15">
    <w:name w:val="xl1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rPr>
  </w:style>
  <w:style w:type="paragraph" w:customStyle="1" w:styleId="316">
    <w:name w:val="xl15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cs="宋体"/>
    </w:rPr>
  </w:style>
  <w:style w:type="paragraph" w:customStyle="1" w:styleId="317">
    <w:name w:val="xl152"/>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rPr>
  </w:style>
  <w:style w:type="paragraph" w:customStyle="1" w:styleId="318">
    <w:name w:val="xl15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宋体" w:hAnsi="宋体" w:cs="宋体"/>
    </w:rPr>
  </w:style>
  <w:style w:type="paragraph" w:customStyle="1" w:styleId="319">
    <w:name w:val="xl154"/>
    <w:basedOn w:val="1"/>
    <w:qFormat/>
    <w:uiPriority w:val="0"/>
    <w:pPr>
      <w:widowControl/>
      <w:pBdr>
        <w:left w:val="single" w:color="auto" w:sz="4" w:space="0"/>
        <w:bottom w:val="single" w:color="auto" w:sz="4" w:space="0"/>
      </w:pBdr>
      <w:shd w:val="clear" w:color="000000" w:fill="FFFFFF"/>
      <w:spacing w:before="100" w:beforeAutospacing="1" w:after="100" w:afterAutospacing="1" w:line="240" w:lineRule="auto"/>
      <w:ind w:firstLine="0" w:firstLineChars="0"/>
      <w:jc w:val="left"/>
    </w:pPr>
    <w:rPr>
      <w:rFonts w:ascii="宋体" w:hAnsi="宋体" w:cs="宋体"/>
    </w:rPr>
  </w:style>
  <w:style w:type="paragraph" w:customStyle="1" w:styleId="320">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21">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2060"/>
    </w:rPr>
  </w:style>
  <w:style w:type="paragraph" w:customStyle="1" w:styleId="322">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宋体" w:hAnsi="宋体" w:cs="宋体"/>
      <w:b/>
      <w:bCs/>
    </w:rPr>
  </w:style>
  <w:style w:type="paragraph" w:customStyle="1" w:styleId="323">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rPr>
  </w:style>
  <w:style w:type="paragraph" w:customStyle="1" w:styleId="324">
    <w:name w:val="xl15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25">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rPr>
  </w:style>
  <w:style w:type="paragraph" w:customStyle="1" w:styleId="326">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rPr>
  </w:style>
  <w:style w:type="paragraph" w:customStyle="1" w:styleId="327">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rPr>
  </w:style>
  <w:style w:type="paragraph" w:customStyle="1" w:styleId="328">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bottom"/>
    </w:pPr>
    <w:rPr>
      <w:rFonts w:ascii="宋体" w:hAnsi="宋体" w:cs="宋体"/>
    </w:rPr>
  </w:style>
  <w:style w:type="paragraph" w:customStyle="1" w:styleId="329">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30">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31">
    <w:name w:val="xl1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rPr>
  </w:style>
  <w:style w:type="paragraph" w:customStyle="1" w:styleId="332">
    <w:name w:val="xl16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333">
    <w:name w:val="xl16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FF0000"/>
    </w:rPr>
  </w:style>
  <w:style w:type="paragraph" w:customStyle="1" w:styleId="334">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rPr>
  </w:style>
  <w:style w:type="paragraph" w:customStyle="1" w:styleId="335">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rPr>
  </w:style>
  <w:style w:type="paragraph" w:customStyle="1" w:styleId="336">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rPr>
  </w:style>
  <w:style w:type="paragraph" w:customStyle="1" w:styleId="337">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rPr>
  </w:style>
  <w:style w:type="paragraph" w:customStyle="1" w:styleId="338">
    <w:name w:val="xl17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rPr>
  </w:style>
  <w:style w:type="paragraph" w:customStyle="1" w:styleId="339">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40">
    <w:name w:val="xl17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41">
    <w:name w:val="xl176"/>
    <w:basedOn w:val="1"/>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center"/>
    </w:pPr>
    <w:rPr>
      <w:rFonts w:ascii="宋体" w:hAnsi="宋体" w:cs="宋体"/>
      <w:color w:val="FF0000"/>
    </w:rPr>
  </w:style>
  <w:style w:type="paragraph" w:customStyle="1" w:styleId="342">
    <w:name w:val="xl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pPr>
    <w:rPr>
      <w:rFonts w:ascii="宋体" w:hAnsi="宋体" w:cs="宋体"/>
    </w:rPr>
  </w:style>
  <w:style w:type="paragraph" w:customStyle="1" w:styleId="343">
    <w:name w:val="xl17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rPr>
  </w:style>
  <w:style w:type="paragraph" w:customStyle="1" w:styleId="344">
    <w:name w:val="xl17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345">
    <w:name w:val="xl180"/>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rPr>
  </w:style>
  <w:style w:type="paragraph" w:customStyle="1" w:styleId="346">
    <w:name w:val="xl18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rPr>
  </w:style>
  <w:style w:type="paragraph" w:customStyle="1" w:styleId="347">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FF0000"/>
    </w:rPr>
  </w:style>
  <w:style w:type="paragraph" w:customStyle="1" w:styleId="348">
    <w:name w:val="xl18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49">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rPr>
  </w:style>
  <w:style w:type="paragraph" w:customStyle="1" w:styleId="350">
    <w:name w:val="xl18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rPr>
  </w:style>
  <w:style w:type="paragraph" w:customStyle="1" w:styleId="351">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rPr>
  </w:style>
  <w:style w:type="paragraph" w:customStyle="1" w:styleId="352">
    <w:name w:val="xl18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bottom"/>
    </w:pPr>
    <w:rPr>
      <w:rFonts w:ascii="宋体" w:hAnsi="宋体" w:cs="宋体"/>
    </w:rPr>
  </w:style>
  <w:style w:type="paragraph" w:customStyle="1" w:styleId="353">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sz w:val="44"/>
      <w:szCs w:val="44"/>
    </w:rPr>
  </w:style>
  <w:style w:type="paragraph" w:customStyle="1" w:styleId="354">
    <w:name w:val="xl18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sz w:val="44"/>
      <w:szCs w:val="44"/>
    </w:rPr>
  </w:style>
  <w:style w:type="paragraph" w:customStyle="1" w:styleId="355">
    <w:name w:val="xl190"/>
    <w:basedOn w:val="1"/>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sz w:val="32"/>
      <w:szCs w:val="32"/>
    </w:rPr>
  </w:style>
  <w:style w:type="paragraph" w:customStyle="1" w:styleId="356">
    <w:name w:val="xl191"/>
    <w:basedOn w:val="1"/>
    <w:qFormat/>
    <w:uiPriority w:val="0"/>
    <w:pPr>
      <w:widowControl/>
      <w:pBdr>
        <w:top w:val="single" w:color="auto" w:sz="4" w:space="0"/>
        <w:bottom w:val="single" w:color="auto" w:sz="4" w:space="0"/>
      </w:pBdr>
      <w:shd w:val="clear" w:color="000000" w:fill="92D050"/>
      <w:spacing w:before="100" w:beforeAutospacing="1" w:after="100" w:afterAutospacing="1" w:line="240" w:lineRule="auto"/>
      <w:ind w:firstLine="0" w:firstLineChars="0"/>
      <w:jc w:val="center"/>
    </w:pPr>
    <w:rPr>
      <w:rFonts w:ascii="宋体" w:hAnsi="宋体" w:cs="宋体"/>
      <w:sz w:val="20"/>
      <w:szCs w:val="20"/>
    </w:rPr>
  </w:style>
  <w:style w:type="paragraph" w:customStyle="1" w:styleId="357">
    <w:name w:val="xl192"/>
    <w:basedOn w:val="1"/>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sz w:val="20"/>
      <w:szCs w:val="20"/>
    </w:rPr>
  </w:style>
  <w:style w:type="paragraph" w:customStyle="1" w:styleId="358">
    <w:name w:val="xl193"/>
    <w:basedOn w:val="1"/>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rPr>
  </w:style>
  <w:style w:type="paragraph" w:customStyle="1" w:styleId="359">
    <w:name w:val="xl194"/>
    <w:basedOn w:val="1"/>
    <w:qFormat/>
    <w:uiPriority w:val="0"/>
    <w:pPr>
      <w:widowControl/>
      <w:pBdr>
        <w:top w:val="single" w:color="auto" w:sz="4" w:space="0"/>
        <w:bottom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rPr>
  </w:style>
  <w:style w:type="paragraph" w:customStyle="1" w:styleId="360">
    <w:name w:val="xl195"/>
    <w:basedOn w:val="1"/>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rPr>
  </w:style>
  <w:style w:type="paragraph" w:customStyle="1" w:styleId="361">
    <w:name w:val="xl196"/>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left"/>
    </w:pPr>
    <w:rPr>
      <w:rFonts w:ascii="宋体" w:hAnsi="宋体" w:cs="宋体"/>
      <w:b/>
      <w:bCs/>
      <w:sz w:val="21"/>
      <w:szCs w:val="21"/>
    </w:rPr>
  </w:style>
  <w:style w:type="paragraph" w:customStyle="1" w:styleId="362">
    <w:name w:val="xl19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left"/>
    </w:pPr>
    <w:rPr>
      <w:rFonts w:ascii="宋体" w:hAnsi="宋体" w:cs="宋体"/>
      <w:b/>
      <w:bCs/>
      <w:sz w:val="21"/>
      <w:szCs w:val="21"/>
    </w:rPr>
  </w:style>
  <w:style w:type="paragraph" w:customStyle="1" w:styleId="363">
    <w:name w:val="xl198"/>
    <w:basedOn w:val="1"/>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sz w:val="32"/>
      <w:szCs w:val="32"/>
    </w:rPr>
  </w:style>
  <w:style w:type="paragraph" w:customStyle="1" w:styleId="364">
    <w:name w:val="xl199"/>
    <w:basedOn w:val="1"/>
    <w:qFormat/>
    <w:uiPriority w:val="0"/>
    <w:pPr>
      <w:widowControl/>
      <w:pBdr>
        <w:top w:val="single" w:color="auto" w:sz="4" w:space="0"/>
        <w:bottom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sz w:val="32"/>
      <w:szCs w:val="32"/>
    </w:rPr>
  </w:style>
  <w:style w:type="paragraph" w:customStyle="1" w:styleId="365">
    <w:name w:val="xl200"/>
    <w:basedOn w:val="1"/>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sz w:val="32"/>
      <w:szCs w:val="32"/>
    </w:rPr>
  </w:style>
  <w:style w:type="paragraph" w:customStyle="1" w:styleId="366">
    <w:name w:val="xl201"/>
    <w:basedOn w:val="1"/>
    <w:qFormat/>
    <w:uiPriority w:val="0"/>
    <w:pPr>
      <w:widowControl/>
      <w:pBdr>
        <w:top w:val="single" w:color="auto" w:sz="4" w:space="0"/>
        <w:left w:val="single" w:color="auto" w:sz="4" w:space="0"/>
        <w:bottom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367">
    <w:name w:val="xl202"/>
    <w:basedOn w:val="1"/>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pPr>
    <w:rPr>
      <w:rFonts w:ascii="宋体" w:hAnsi="宋体" w:cs="宋体"/>
      <w:b/>
      <w:bCs/>
    </w:rPr>
  </w:style>
  <w:style w:type="paragraph" w:customStyle="1" w:styleId="368">
    <w:name w:val="xl20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69">
    <w:name w:val="xl204"/>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70">
    <w:name w:val="xl205"/>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71">
    <w:name w:val="xl20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72">
    <w:name w:val="xl2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rPr>
  </w:style>
  <w:style w:type="paragraph" w:customStyle="1" w:styleId="373">
    <w:name w:val="xl20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74">
    <w:name w:val="xl2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75">
    <w:name w:val="xl21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76">
    <w:name w:val="xl21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sz w:val="21"/>
      <w:szCs w:val="21"/>
    </w:rPr>
  </w:style>
  <w:style w:type="paragraph" w:customStyle="1" w:styleId="377">
    <w:name w:val="xl21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sz w:val="21"/>
      <w:szCs w:val="21"/>
    </w:rPr>
  </w:style>
  <w:style w:type="paragraph" w:customStyle="1" w:styleId="378">
    <w:name w:val="xl21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sz w:val="21"/>
      <w:szCs w:val="21"/>
    </w:rPr>
  </w:style>
  <w:style w:type="paragraph" w:customStyle="1" w:styleId="379">
    <w:name w:val="xl21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380">
    <w:name w:val="xl21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381">
    <w:name w:val="xl21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382">
    <w:name w:val="xl21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style>
  <w:style w:type="paragraph" w:customStyle="1" w:styleId="383">
    <w:name w:val="font26"/>
    <w:basedOn w:val="1"/>
    <w:qFormat/>
    <w:uiPriority w:val="0"/>
    <w:pPr>
      <w:widowControl/>
      <w:spacing w:before="100" w:beforeAutospacing="1" w:after="100" w:afterAutospacing="1" w:line="240" w:lineRule="auto"/>
      <w:ind w:firstLine="0" w:firstLineChars="0"/>
      <w:jc w:val="left"/>
    </w:pPr>
    <w:rPr>
      <w:color w:val="000000"/>
    </w:rPr>
  </w:style>
  <w:style w:type="paragraph" w:customStyle="1" w:styleId="384">
    <w:name w:val="font27"/>
    <w:basedOn w:val="1"/>
    <w:qFormat/>
    <w:uiPriority w:val="0"/>
    <w:pPr>
      <w:widowControl/>
      <w:spacing w:before="100" w:beforeAutospacing="1" w:after="100" w:afterAutospacing="1" w:line="240" w:lineRule="auto"/>
      <w:ind w:firstLine="0" w:firstLineChars="0"/>
      <w:jc w:val="left"/>
    </w:pPr>
    <w:rPr>
      <w:color w:val="000000"/>
    </w:rPr>
  </w:style>
  <w:style w:type="paragraph" w:customStyle="1" w:styleId="385">
    <w:name w:val="font28"/>
    <w:basedOn w:val="1"/>
    <w:qFormat/>
    <w:uiPriority w:val="0"/>
    <w:pPr>
      <w:widowControl/>
      <w:spacing w:before="100" w:beforeAutospacing="1" w:after="100" w:afterAutospacing="1" w:line="240" w:lineRule="auto"/>
      <w:ind w:firstLine="0" w:firstLineChars="0"/>
      <w:jc w:val="left"/>
    </w:pPr>
    <w:rPr>
      <w:rFonts w:ascii="宋体" w:hAnsi="宋体" w:cs="宋体"/>
      <w:sz w:val="18"/>
      <w:szCs w:val="18"/>
    </w:rPr>
  </w:style>
  <w:style w:type="paragraph" w:customStyle="1" w:styleId="386">
    <w:name w:val="font29"/>
    <w:basedOn w:val="1"/>
    <w:qFormat/>
    <w:uiPriority w:val="0"/>
    <w:pPr>
      <w:widowControl/>
      <w:spacing w:before="100" w:beforeAutospacing="1" w:after="100" w:afterAutospacing="1" w:line="240" w:lineRule="auto"/>
      <w:ind w:firstLine="0" w:firstLineChars="0"/>
      <w:jc w:val="left"/>
    </w:pPr>
    <w:rPr>
      <w:rFonts w:ascii="等线" w:hAnsi="等线" w:eastAsia="等线" w:cs="宋体"/>
      <w:color w:val="000000"/>
    </w:rPr>
  </w:style>
  <w:style w:type="paragraph" w:customStyle="1" w:styleId="387">
    <w:name w:val="font30"/>
    <w:basedOn w:val="1"/>
    <w:qFormat/>
    <w:uiPriority w:val="0"/>
    <w:pPr>
      <w:widowControl/>
      <w:spacing w:before="100" w:beforeAutospacing="1" w:after="100" w:afterAutospacing="1" w:line="240" w:lineRule="auto"/>
      <w:ind w:firstLine="0" w:firstLineChars="0"/>
      <w:jc w:val="left"/>
    </w:pPr>
    <w:rPr>
      <w:rFonts w:ascii="Arial" w:hAnsi="Arial" w:cs="Arial"/>
      <w:color w:val="000000"/>
      <w:sz w:val="21"/>
      <w:szCs w:val="21"/>
    </w:rPr>
  </w:style>
  <w:style w:type="paragraph" w:customStyle="1" w:styleId="388">
    <w:name w:val="xl218"/>
    <w:basedOn w:val="1"/>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style>
  <w:style w:type="paragraph" w:customStyle="1" w:styleId="389">
    <w:name w:val="xl219"/>
    <w:basedOn w:val="1"/>
    <w:qFormat/>
    <w:uiPriority w:val="0"/>
    <w:pPr>
      <w:widowControl/>
      <w:pBdr>
        <w:top w:val="single" w:color="auto" w:sz="4" w:space="0"/>
        <w:bottom w:val="single" w:color="auto" w:sz="4" w:space="0"/>
        <w:right w:val="single" w:color="auto" w:sz="4" w:space="0"/>
      </w:pBdr>
      <w:shd w:val="clear" w:color="000000" w:fill="92D050"/>
      <w:spacing w:before="100" w:beforeAutospacing="1" w:after="100" w:afterAutospacing="1" w:line="240" w:lineRule="auto"/>
      <w:ind w:firstLine="0" w:firstLineChars="0"/>
      <w:jc w:val="center"/>
    </w:pPr>
    <w:rPr>
      <w:rFonts w:ascii="宋体" w:hAnsi="宋体" w:cs="宋体"/>
      <w:b/>
      <w:bCs/>
    </w:rPr>
  </w:style>
  <w:style w:type="paragraph" w:customStyle="1" w:styleId="390">
    <w:name w:val="B正文左对齐"/>
    <w:basedOn w:val="1"/>
    <w:link w:val="391"/>
    <w:qFormat/>
    <w:uiPriority w:val="0"/>
    <w:pPr>
      <w:ind w:firstLine="200"/>
      <w:jc w:val="left"/>
    </w:pPr>
    <w:rPr>
      <w:color w:val="000000"/>
      <w:kern w:val="2"/>
      <w:szCs w:val="21"/>
      <w:lang w:val="en-GB"/>
    </w:rPr>
  </w:style>
  <w:style w:type="character" w:customStyle="1" w:styleId="391">
    <w:name w:val="B正文左对齐 字符"/>
    <w:basedOn w:val="71"/>
    <w:link w:val="390"/>
    <w:qFormat/>
    <w:uiPriority w:val="0"/>
    <w:rPr>
      <w:rFonts w:ascii="Times New Roman" w:hAnsi="Times New Roman" w:eastAsia="宋体" w:cs="Times New Roman"/>
      <w:color w:val="000000"/>
      <w:sz w:val="24"/>
      <w:szCs w:val="21"/>
      <w:lang w:val="en-GB"/>
    </w:rPr>
  </w:style>
  <w:style w:type="paragraph" w:customStyle="1" w:styleId="392">
    <w:name w:val="B表中文字"/>
    <w:basedOn w:val="1"/>
    <w:link w:val="393"/>
    <w:qFormat/>
    <w:uiPriority w:val="0"/>
    <w:pPr>
      <w:tabs>
        <w:tab w:val="center" w:pos="4180"/>
      </w:tabs>
      <w:adjustRightInd w:val="0"/>
      <w:snapToGrid w:val="0"/>
      <w:spacing w:line="240" w:lineRule="auto"/>
      <w:ind w:firstLine="0" w:firstLineChars="0"/>
      <w:jc w:val="center"/>
    </w:pPr>
    <w:rPr>
      <w:rFonts w:cs="宋体"/>
      <w:kern w:val="2"/>
      <w:sz w:val="21"/>
      <w:szCs w:val="21"/>
    </w:rPr>
  </w:style>
  <w:style w:type="character" w:customStyle="1" w:styleId="393">
    <w:name w:val="B表中文字 字符"/>
    <w:basedOn w:val="71"/>
    <w:link w:val="392"/>
    <w:qFormat/>
    <w:uiPriority w:val="0"/>
    <w:rPr>
      <w:rFonts w:ascii="Times New Roman" w:hAnsi="Times New Roman" w:eastAsia="宋体" w:cs="宋体"/>
      <w:szCs w:val="21"/>
    </w:rPr>
  </w:style>
  <w:style w:type="paragraph" w:customStyle="1" w:styleId="394">
    <w:name w:val="DAQO表格标题"/>
    <w:basedOn w:val="1"/>
    <w:link w:val="395"/>
    <w:qFormat/>
    <w:uiPriority w:val="0"/>
    <w:pPr>
      <w:spacing w:line="336" w:lineRule="auto"/>
      <w:ind w:firstLine="0" w:firstLineChars="0"/>
      <w:jc w:val="center"/>
    </w:pPr>
    <w:rPr>
      <w:rFonts w:ascii="黑体" w:hAnsi="Calibri" w:eastAsia="黑体"/>
      <w:lang w:val="zh-CN"/>
    </w:rPr>
  </w:style>
  <w:style w:type="character" w:customStyle="1" w:styleId="395">
    <w:name w:val="DAQO表格标题 Char"/>
    <w:link w:val="394"/>
    <w:qFormat/>
    <w:uiPriority w:val="0"/>
    <w:rPr>
      <w:rFonts w:ascii="黑体" w:hAnsi="Calibri" w:eastAsia="黑体" w:cs="Times New Roman"/>
      <w:kern w:val="0"/>
      <w:sz w:val="24"/>
      <w:szCs w:val="24"/>
      <w:lang w:val="zh-CN" w:eastAsia="zh-CN"/>
    </w:rPr>
  </w:style>
  <w:style w:type="character" w:customStyle="1" w:styleId="396">
    <w:name w:val="A.表中文字 用 Char"/>
    <w:link w:val="397"/>
    <w:qFormat/>
    <w:uiPriority w:val="0"/>
    <w:rPr>
      <w:rFonts w:ascii="Times New Roman" w:hAnsi="Times New Roman" w:eastAsia="宋体" w:cs="Times New Roman"/>
      <w:sz w:val="18"/>
    </w:rPr>
  </w:style>
  <w:style w:type="paragraph" w:customStyle="1" w:styleId="397">
    <w:name w:val="A.表中文字 用"/>
    <w:basedOn w:val="1"/>
    <w:next w:val="1"/>
    <w:link w:val="396"/>
    <w:qFormat/>
    <w:uiPriority w:val="0"/>
    <w:pPr>
      <w:autoSpaceDE w:val="0"/>
      <w:autoSpaceDN w:val="0"/>
      <w:spacing w:line="240" w:lineRule="auto"/>
      <w:ind w:firstLine="0" w:firstLineChars="0"/>
      <w:jc w:val="center"/>
    </w:pPr>
    <w:rPr>
      <w:kern w:val="2"/>
      <w:sz w:val="18"/>
      <w:szCs w:val="22"/>
    </w:rPr>
  </w:style>
  <w:style w:type="paragraph" w:customStyle="1" w:styleId="398">
    <w:name w:val="巴正文"/>
    <w:basedOn w:val="1"/>
    <w:qFormat/>
    <w:uiPriority w:val="99"/>
    <w:pPr>
      <w:ind w:firstLine="200"/>
    </w:pPr>
    <w:rPr>
      <w:rFonts w:cs="宋体"/>
      <w:spacing w:val="16"/>
      <w:kern w:val="2"/>
    </w:rPr>
  </w:style>
  <w:style w:type="paragraph" w:customStyle="1" w:styleId="399">
    <w:name w:val="w三级标题"/>
    <w:basedOn w:val="1"/>
    <w:next w:val="1"/>
    <w:link w:val="403"/>
    <w:qFormat/>
    <w:uiPriority w:val="0"/>
    <w:pPr>
      <w:widowControl/>
      <w:ind w:firstLine="0" w:firstLineChars="0"/>
      <w:outlineLvl w:val="2"/>
    </w:pPr>
    <w:rPr>
      <w:rFonts w:ascii="黑体" w:hAnsi="黑体" w:eastAsia="黑体" w:cs="宋体"/>
      <w:b/>
      <w:sz w:val="28"/>
      <w:szCs w:val="20"/>
      <w:lang w:val="zh-CN"/>
    </w:rPr>
  </w:style>
  <w:style w:type="paragraph" w:customStyle="1" w:styleId="400">
    <w:name w:val="w四级标题"/>
    <w:basedOn w:val="5"/>
    <w:next w:val="1"/>
    <w:link w:val="401"/>
    <w:qFormat/>
    <w:uiPriority w:val="0"/>
    <w:pPr>
      <w:widowControl/>
      <w:numPr>
        <w:ilvl w:val="0"/>
        <w:numId w:val="0"/>
      </w:numPr>
      <w:overflowPunct/>
      <w:autoSpaceDE/>
      <w:autoSpaceDN/>
      <w:adjustRightInd/>
      <w:jc w:val="both"/>
      <w:textAlignment w:val="auto"/>
    </w:pPr>
    <w:rPr>
      <w:rFonts w:eastAsia="黑体"/>
      <w:bCs/>
      <w:spacing w:val="0"/>
      <w:kern w:val="2"/>
      <w:lang w:val="zh-CN"/>
    </w:rPr>
  </w:style>
  <w:style w:type="character" w:customStyle="1" w:styleId="401">
    <w:name w:val="w四级标题 Char"/>
    <w:link w:val="400"/>
    <w:qFormat/>
    <w:uiPriority w:val="0"/>
    <w:rPr>
      <w:rFonts w:ascii="Times New Roman" w:hAnsi="Times New Roman" w:eastAsia="黑体" w:cs="Times New Roman"/>
      <w:b/>
      <w:bCs/>
      <w:sz w:val="24"/>
      <w:szCs w:val="24"/>
      <w:lang w:val="zh-CN"/>
    </w:rPr>
  </w:style>
  <w:style w:type="paragraph" w:customStyle="1" w:styleId="402">
    <w:name w:val="w图标标题"/>
    <w:basedOn w:val="4"/>
    <w:qFormat/>
    <w:uiPriority w:val="0"/>
    <w:pPr>
      <w:keepNext w:val="0"/>
      <w:keepLines w:val="0"/>
      <w:overflowPunct w:val="0"/>
      <w:autoSpaceDE w:val="0"/>
      <w:autoSpaceDN w:val="0"/>
      <w:jc w:val="center"/>
      <w:textAlignment w:val="baseline"/>
      <w:outlineLvl w:val="9"/>
    </w:pPr>
    <w:rPr>
      <w:rFonts w:ascii="黑体" w:hAnsi="黑体" w:eastAsia="黑体"/>
      <w:bCs w:val="0"/>
      <w:snapToGrid w:val="0"/>
      <w:color w:val="000000"/>
      <w:lang w:val="zh-CN"/>
    </w:rPr>
  </w:style>
  <w:style w:type="character" w:customStyle="1" w:styleId="403">
    <w:name w:val="w三级标题 Char"/>
    <w:link w:val="399"/>
    <w:qFormat/>
    <w:uiPriority w:val="99"/>
    <w:rPr>
      <w:rFonts w:ascii="黑体" w:hAnsi="黑体" w:eastAsia="黑体" w:cs="宋体"/>
      <w:b/>
      <w:kern w:val="0"/>
      <w:sz w:val="28"/>
      <w:szCs w:val="20"/>
      <w:lang w:val="zh-CN" w:eastAsia="zh-CN"/>
    </w:rPr>
  </w:style>
  <w:style w:type="paragraph" w:customStyle="1" w:styleId="404">
    <w:name w:val="A正文"/>
    <w:basedOn w:val="103"/>
    <w:link w:val="405"/>
    <w:qFormat/>
    <w:uiPriority w:val="0"/>
    <w:pPr>
      <w:widowControl/>
      <w:ind w:firstLine="480"/>
    </w:pPr>
    <w:rPr>
      <w:rFonts w:ascii="Times New Roman"/>
      <w:kern w:val="0"/>
      <w:lang w:val="zh-CN"/>
    </w:rPr>
  </w:style>
  <w:style w:type="character" w:customStyle="1" w:styleId="405">
    <w:name w:val="A正文 Char"/>
    <w:link w:val="404"/>
    <w:qFormat/>
    <w:uiPriority w:val="0"/>
    <w:rPr>
      <w:rFonts w:ascii="Times New Roman" w:hAnsi="Times New Roman" w:eastAsia="宋体" w:cs="Times New Roman"/>
      <w:kern w:val="0"/>
      <w:sz w:val="24"/>
      <w:szCs w:val="24"/>
      <w:lang w:val="zh-CN" w:eastAsia="zh-CN"/>
    </w:rPr>
  </w:style>
  <w:style w:type="paragraph" w:customStyle="1" w:styleId="406">
    <w:name w:val="标题 3 +"/>
    <w:basedOn w:val="4"/>
    <w:qFormat/>
    <w:uiPriority w:val="99"/>
    <w:pPr>
      <w:widowControl/>
      <w:numPr>
        <w:ilvl w:val="2"/>
        <w:numId w:val="4"/>
      </w:numPr>
      <w:tabs>
        <w:tab w:val="left" w:pos="720"/>
        <w:tab w:val="left" w:pos="1260"/>
      </w:tabs>
      <w:snapToGrid w:val="0"/>
      <w:spacing w:before="120" w:after="120"/>
      <w:ind w:left="720" w:hanging="720"/>
      <w:jc w:val="left"/>
    </w:pPr>
    <w:rPr>
      <w:rFonts w:eastAsia="黑体" w:cs="宋体"/>
      <w:b w:val="0"/>
      <w:bCs w:val="0"/>
      <w:snapToGrid w:val="0"/>
      <w:kern w:val="2"/>
      <w:szCs w:val="20"/>
    </w:rPr>
  </w:style>
  <w:style w:type="character" w:styleId="407">
    <w:name w:val="Placeholder Text"/>
    <w:qFormat/>
    <w:uiPriority w:val="99"/>
    <w:rPr>
      <w:color w:val="808080"/>
    </w:rPr>
  </w:style>
  <w:style w:type="character" w:customStyle="1" w:styleId="408">
    <w:name w:val="东华表后空格1 Char"/>
    <w:link w:val="409"/>
    <w:qFormat/>
    <w:uiPriority w:val="0"/>
    <w:rPr>
      <w:rFonts w:ascii="Times New Roman" w:hAnsi="Times New Roman"/>
      <w:szCs w:val="24"/>
    </w:rPr>
  </w:style>
  <w:style w:type="paragraph" w:customStyle="1" w:styleId="409">
    <w:name w:val="东华表后空格1"/>
    <w:basedOn w:val="1"/>
    <w:link w:val="408"/>
    <w:qFormat/>
    <w:uiPriority w:val="0"/>
    <w:pPr>
      <w:snapToGrid w:val="0"/>
      <w:spacing w:line="240" w:lineRule="auto"/>
      <w:ind w:firstLine="420"/>
      <w:jc w:val="left"/>
    </w:pPr>
    <w:rPr>
      <w:rFonts w:cs="宋体"/>
      <w:kern w:val="2"/>
      <w:sz w:val="21"/>
    </w:rPr>
  </w:style>
  <w:style w:type="paragraph" w:customStyle="1" w:styleId="410">
    <w:name w:val="图表后空行"/>
    <w:next w:val="1"/>
    <w:qFormat/>
    <w:uiPriority w:val="99"/>
    <w:pPr>
      <w:ind w:firstLine="200"/>
    </w:pPr>
    <w:rPr>
      <w:rFonts w:ascii="Times New Roman" w:hAnsi="Times New Roman" w:eastAsia="宋体" w:cs="Times New Roman"/>
      <w:kern w:val="2"/>
      <w:sz w:val="18"/>
      <w:szCs w:val="24"/>
      <w:lang w:val="en-US" w:eastAsia="zh-CN" w:bidi="ar-SA"/>
    </w:rPr>
  </w:style>
  <w:style w:type="character" w:customStyle="1" w:styleId="411">
    <w:name w:val="正文样式 Char Char"/>
    <w:link w:val="412"/>
    <w:qFormat/>
    <w:uiPriority w:val="0"/>
    <w:rPr>
      <w:spacing w:val="4"/>
      <w:sz w:val="24"/>
      <w:szCs w:val="24"/>
    </w:rPr>
  </w:style>
  <w:style w:type="paragraph" w:customStyle="1" w:styleId="412">
    <w:name w:val="正文样式"/>
    <w:basedOn w:val="1"/>
    <w:link w:val="411"/>
    <w:qFormat/>
    <w:uiPriority w:val="0"/>
    <w:pPr>
      <w:spacing w:line="240" w:lineRule="auto"/>
      <w:ind w:firstLine="0" w:firstLineChars="0"/>
    </w:pPr>
    <w:rPr>
      <w:rFonts w:ascii="Calibri" w:hAnsi="Calibri" w:cs="宋体"/>
      <w:spacing w:val="4"/>
      <w:kern w:val="2"/>
    </w:rPr>
  </w:style>
  <w:style w:type="character" w:customStyle="1" w:styleId="413">
    <w:name w:val="正文格式 Char Char"/>
    <w:link w:val="103"/>
    <w:qFormat/>
    <w:uiPriority w:val="0"/>
    <w:rPr>
      <w:rFonts w:ascii="宋体" w:hAnsi="Times New Roman" w:eastAsia="宋体" w:cs="Times New Roman"/>
      <w:sz w:val="24"/>
      <w:szCs w:val="24"/>
    </w:rPr>
  </w:style>
  <w:style w:type="paragraph" w:customStyle="1" w:styleId="414">
    <w:name w:val="表、图名宋旭峰"/>
    <w:basedOn w:val="1"/>
    <w:qFormat/>
    <w:uiPriority w:val="99"/>
    <w:pPr>
      <w:snapToGrid w:val="0"/>
      <w:ind w:firstLine="0" w:firstLineChars="0"/>
      <w:jc w:val="center"/>
    </w:pPr>
    <w:rPr>
      <w:rFonts w:ascii="黑体" w:hAnsi="黑体" w:eastAsia="黑体" w:cs="宋体"/>
      <w:kern w:val="2"/>
    </w:rPr>
  </w:style>
  <w:style w:type="character" w:customStyle="1" w:styleId="415">
    <w:name w:val="表名 Char"/>
    <w:link w:val="416"/>
    <w:qFormat/>
    <w:uiPriority w:val="0"/>
    <w:rPr>
      <w:rFonts w:ascii="Times New Roman" w:hAnsi="Times New Roman"/>
      <w:b/>
    </w:rPr>
  </w:style>
  <w:style w:type="paragraph" w:customStyle="1" w:styleId="416">
    <w:name w:val="表名"/>
    <w:basedOn w:val="1"/>
    <w:link w:val="415"/>
    <w:qFormat/>
    <w:uiPriority w:val="0"/>
    <w:pPr>
      <w:ind w:firstLine="420"/>
    </w:pPr>
    <w:rPr>
      <w:rFonts w:cs="宋体"/>
      <w:b/>
      <w:kern w:val="2"/>
      <w:sz w:val="21"/>
      <w:szCs w:val="22"/>
    </w:rPr>
  </w:style>
  <w:style w:type="character" w:customStyle="1" w:styleId="417">
    <w:name w:val="题注 字符1"/>
    <w:qFormat/>
    <w:uiPriority w:val="0"/>
    <w:rPr>
      <w:rFonts w:ascii="Times New Roman" w:hAnsi="Times New Roman" w:eastAsia="黑体" w:cs="Times New Roman"/>
      <w:kern w:val="2"/>
      <w:sz w:val="23"/>
      <w:lang w:val="de-DE"/>
    </w:rPr>
  </w:style>
  <w:style w:type="table" w:customStyle="1" w:styleId="418">
    <w:name w:val="33"/>
    <w:qFormat/>
    <w:uiPriority w:val="99"/>
    <w:pPr>
      <w:widowControl w:val="0"/>
      <w:autoSpaceDE w:val="0"/>
      <w:autoSpaceDN w:val="0"/>
      <w:adjustRightInd w:val="0"/>
    </w:pPr>
    <w:rPr>
      <w:sz w:val="24"/>
      <w:szCs w:val="24"/>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0" w:type="dxa"/>
        <w:bottom w:w="0" w:type="dxa"/>
        <w:right w:w="0" w:type="dxa"/>
      </w:tblCellMar>
    </w:tblPr>
    <w:tcPr>
      <w:vAlign w:val="center"/>
    </w:tcPr>
  </w:style>
  <w:style w:type="character" w:customStyle="1" w:styleId="419">
    <w:name w:val="表格1 Char"/>
    <w:link w:val="420"/>
    <w:qFormat/>
    <w:uiPriority w:val="0"/>
    <w:rPr>
      <w:rFonts w:ascii="Times New Roman" w:hAnsi="Times New Roman" w:eastAsia="方正仿宋_GBK" w:cs="Times New Roman"/>
      <w:color w:val="000000"/>
      <w:szCs w:val="24"/>
    </w:rPr>
  </w:style>
  <w:style w:type="paragraph" w:customStyle="1" w:styleId="420">
    <w:name w:val="表格1"/>
    <w:basedOn w:val="1"/>
    <w:link w:val="419"/>
    <w:qFormat/>
    <w:uiPriority w:val="99"/>
    <w:pPr>
      <w:adjustRightInd w:val="0"/>
      <w:snapToGrid w:val="0"/>
      <w:spacing w:line="240" w:lineRule="auto"/>
      <w:ind w:firstLine="0" w:firstLineChars="0"/>
      <w:jc w:val="center"/>
    </w:pPr>
    <w:rPr>
      <w:rFonts w:eastAsia="方正仿宋_GBK"/>
      <w:color w:val="000000"/>
      <w:kern w:val="2"/>
      <w:sz w:val="21"/>
    </w:rPr>
  </w:style>
  <w:style w:type="character" w:customStyle="1" w:styleId="421">
    <w:name w:val="表头 Char2"/>
    <w:qFormat/>
    <w:uiPriority w:val="0"/>
    <w:rPr>
      <w:rFonts w:eastAsia="黑体"/>
      <w:sz w:val="24"/>
      <w:szCs w:val="24"/>
    </w:rPr>
  </w:style>
  <w:style w:type="paragraph" w:customStyle="1" w:styleId="422">
    <w:name w:val="w表格文字"/>
    <w:basedOn w:val="1"/>
    <w:link w:val="423"/>
    <w:qFormat/>
    <w:uiPriority w:val="0"/>
    <w:pPr>
      <w:spacing w:line="240" w:lineRule="auto"/>
      <w:ind w:firstLine="0" w:firstLineChars="0"/>
      <w:jc w:val="center"/>
    </w:pPr>
    <w:rPr>
      <w:rFonts w:cs="宋体"/>
      <w:color w:val="000000"/>
      <w:sz w:val="18"/>
      <w:u w:color="000000"/>
      <w:lang w:bidi="en-US"/>
    </w:rPr>
  </w:style>
  <w:style w:type="character" w:customStyle="1" w:styleId="423">
    <w:name w:val="w表格文字 Char"/>
    <w:link w:val="422"/>
    <w:qFormat/>
    <w:uiPriority w:val="0"/>
    <w:rPr>
      <w:rFonts w:ascii="Times New Roman" w:hAnsi="Times New Roman" w:eastAsia="宋体" w:cs="宋体"/>
      <w:color w:val="000000"/>
      <w:kern w:val="0"/>
      <w:sz w:val="18"/>
      <w:szCs w:val="24"/>
      <w:u w:color="000000"/>
      <w:lang w:bidi="en-US"/>
    </w:rPr>
  </w:style>
  <w:style w:type="character" w:customStyle="1" w:styleId="424">
    <w:name w:val="纯文本 Char2"/>
    <w:qFormat/>
    <w:uiPriority w:val="99"/>
    <w:rPr>
      <w:rFonts w:ascii="宋体" w:hAnsi="Courier New" w:eastAsia="宋体" w:cs="Courier New"/>
      <w:szCs w:val="21"/>
    </w:rPr>
  </w:style>
  <w:style w:type="paragraph" w:customStyle="1" w:styleId="425">
    <w:name w:val="江表格文字"/>
    <w:basedOn w:val="1"/>
    <w:qFormat/>
    <w:uiPriority w:val="99"/>
    <w:pPr>
      <w:widowControl/>
      <w:spacing w:line="300" w:lineRule="exact"/>
      <w:ind w:firstLine="0" w:firstLineChars="0"/>
      <w:contextualSpacing/>
      <w:jc w:val="center"/>
    </w:pPr>
    <w:rPr>
      <w:bCs/>
      <w:color w:val="FF0000"/>
      <w:spacing w:val="-4"/>
      <w:sz w:val="21"/>
      <w:szCs w:val="21"/>
    </w:rPr>
  </w:style>
  <w:style w:type="character" w:customStyle="1" w:styleId="426">
    <w:name w:val="正文文本 3 字符"/>
    <w:basedOn w:val="71"/>
    <w:link w:val="23"/>
    <w:qFormat/>
    <w:uiPriority w:val="0"/>
    <w:rPr>
      <w:rFonts w:ascii="Times New Roman" w:hAnsi="Times New Roman" w:eastAsia="宋体" w:cs="Times New Roman"/>
      <w:sz w:val="16"/>
      <w:szCs w:val="16"/>
    </w:rPr>
  </w:style>
  <w:style w:type="character" w:customStyle="1" w:styleId="427">
    <w:name w:val="A-题注-图 Char"/>
    <w:link w:val="428"/>
    <w:qFormat/>
    <w:uiPriority w:val="0"/>
  </w:style>
  <w:style w:type="paragraph" w:customStyle="1" w:styleId="428">
    <w:name w:val="A-题注-图"/>
    <w:basedOn w:val="429"/>
    <w:link w:val="427"/>
    <w:qFormat/>
    <w:uiPriority w:val="0"/>
    <w:pPr>
      <w:spacing w:afterLines="50"/>
    </w:pPr>
    <w:rPr>
      <w:rFonts w:ascii="Calibri" w:hAnsi="Calibri" w:eastAsia="宋体" w:cs="宋体"/>
      <w:b w:val="0"/>
      <w:sz w:val="21"/>
      <w:szCs w:val="22"/>
    </w:rPr>
  </w:style>
  <w:style w:type="paragraph" w:customStyle="1" w:styleId="429">
    <w:name w:val="A-表格名"/>
    <w:basedOn w:val="1"/>
    <w:link w:val="430"/>
    <w:qFormat/>
    <w:uiPriority w:val="0"/>
    <w:pPr>
      <w:spacing w:beforeLines="50"/>
      <w:ind w:firstLine="420"/>
      <w:jc w:val="center"/>
    </w:pPr>
    <w:rPr>
      <w:rFonts w:eastAsia="黑体" w:cs="Arial"/>
      <w:b/>
      <w:kern w:val="2"/>
      <w:szCs w:val="20"/>
    </w:rPr>
  </w:style>
  <w:style w:type="character" w:customStyle="1" w:styleId="430">
    <w:name w:val="A-表格名 Char"/>
    <w:link w:val="429"/>
    <w:qFormat/>
    <w:uiPriority w:val="0"/>
    <w:rPr>
      <w:rFonts w:ascii="Times New Roman" w:hAnsi="Times New Roman" w:eastAsia="黑体" w:cs="Arial"/>
      <w:b/>
      <w:sz w:val="24"/>
      <w:szCs w:val="20"/>
    </w:rPr>
  </w:style>
  <w:style w:type="paragraph" w:customStyle="1" w:styleId="431">
    <w:name w:val="A-z正文"/>
    <w:basedOn w:val="1"/>
    <w:qFormat/>
    <w:uiPriority w:val="0"/>
    <w:pPr>
      <w:ind w:firstLine="200"/>
    </w:pPr>
    <w:rPr>
      <w:rFonts w:cs="宋体"/>
      <w:kern w:val="2"/>
      <w:szCs w:val="20"/>
    </w:rPr>
  </w:style>
  <w:style w:type="paragraph" w:customStyle="1" w:styleId="432">
    <w:name w:val="A-表格文字"/>
    <w:basedOn w:val="1"/>
    <w:next w:val="431"/>
    <w:qFormat/>
    <w:uiPriority w:val="0"/>
    <w:pPr>
      <w:autoSpaceDE w:val="0"/>
      <w:autoSpaceDN w:val="0"/>
      <w:adjustRightInd w:val="0"/>
      <w:ind w:firstLine="420"/>
      <w:jc w:val="center"/>
      <w:textAlignment w:val="center"/>
    </w:pPr>
  </w:style>
  <w:style w:type="table" w:customStyle="1" w:styleId="433">
    <w:name w:val="报告表格样式"/>
    <w:basedOn w:val="67"/>
    <w:qFormat/>
    <w:uiPriority w:val="99"/>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paragraph" w:customStyle="1" w:styleId="434">
    <w:name w:val="样式1"/>
    <w:basedOn w:val="1"/>
    <w:link w:val="537"/>
    <w:qFormat/>
    <w:uiPriority w:val="0"/>
    <w:pPr>
      <w:snapToGrid w:val="0"/>
      <w:spacing w:line="240" w:lineRule="auto"/>
      <w:ind w:firstLine="0" w:firstLineChars="0"/>
      <w:jc w:val="center"/>
    </w:pPr>
    <w:rPr>
      <w:sz w:val="21"/>
    </w:rPr>
  </w:style>
  <w:style w:type="character" w:customStyle="1" w:styleId="435">
    <w:name w:val="标题 2 字符1"/>
    <w:qFormat/>
    <w:uiPriority w:val="9"/>
    <w:rPr>
      <w:rFonts w:ascii="Arial" w:hAnsi="Arial" w:eastAsia="黑体"/>
      <w:b/>
      <w:kern w:val="2"/>
      <w:sz w:val="28"/>
      <w:szCs w:val="24"/>
    </w:rPr>
  </w:style>
  <w:style w:type="paragraph" w:customStyle="1" w:styleId="436">
    <w:name w:val="p16"/>
    <w:basedOn w:val="1"/>
    <w:qFormat/>
    <w:uiPriority w:val="0"/>
    <w:pPr>
      <w:widowControl/>
      <w:ind w:firstLine="482" w:firstLineChars="0"/>
    </w:pPr>
    <w:rPr>
      <w:rFonts w:ascii="宋体" w:hAnsi="宋体"/>
      <w:szCs w:val="28"/>
    </w:rPr>
  </w:style>
  <w:style w:type="character" w:customStyle="1" w:styleId="437">
    <w:name w:val="列表段落 字符"/>
    <w:link w:val="255"/>
    <w:qFormat/>
    <w:uiPriority w:val="34"/>
    <w:rPr>
      <w:rFonts w:ascii="等线" w:hAnsi="等线" w:eastAsia="等线" w:cs="Times New Roman"/>
      <w:sz w:val="20"/>
    </w:rPr>
  </w:style>
  <w:style w:type="character" w:customStyle="1" w:styleId="438">
    <w:name w:val="正文A Char"/>
    <w:link w:val="134"/>
    <w:qFormat/>
    <w:uiPriority w:val="0"/>
    <w:rPr>
      <w:rFonts w:ascii="华文仿宋" w:hAnsi="华文仿宋" w:eastAsia="华文仿宋" w:cs="Times New Roman"/>
      <w:sz w:val="24"/>
      <w:szCs w:val="24"/>
    </w:rPr>
  </w:style>
  <w:style w:type="character" w:customStyle="1" w:styleId="439">
    <w:name w:val="正文 楷体 Char"/>
    <w:link w:val="102"/>
    <w:qFormat/>
    <w:uiPriority w:val="0"/>
    <w:rPr>
      <w:rFonts w:ascii="华文仿宋" w:hAnsi="华文仿宋" w:eastAsia="华文仿宋" w:cs="华文仿宋"/>
      <w:kern w:val="0"/>
      <w:sz w:val="24"/>
      <w:szCs w:val="24"/>
    </w:rPr>
  </w:style>
  <w:style w:type="character" w:customStyle="1" w:styleId="440">
    <w:name w:val="纯文本 字符1"/>
    <w:qFormat/>
    <w:uiPriority w:val="0"/>
    <w:rPr>
      <w:rFonts w:ascii="宋体" w:hAnsi="Courier New"/>
      <w:kern w:val="2"/>
      <w:sz w:val="24"/>
      <w:szCs w:val="24"/>
    </w:rPr>
  </w:style>
  <w:style w:type="paragraph" w:customStyle="1" w:styleId="441">
    <w:name w:val="标题三！！！！！！！"/>
    <w:basedOn w:val="4"/>
    <w:qFormat/>
    <w:uiPriority w:val="99"/>
    <w:pPr>
      <w:keepNext w:val="0"/>
      <w:keepLines w:val="0"/>
      <w:spacing w:line="500" w:lineRule="exact"/>
    </w:pPr>
    <w:rPr>
      <w:rFonts w:ascii="楷体_GB2312" w:hAnsi="楷体_GB2312" w:eastAsia="楷体_GB2312" w:cs="楷体_GB2312"/>
      <w:bCs w:val="0"/>
      <w:kern w:val="2"/>
      <w:sz w:val="28"/>
      <w:szCs w:val="28"/>
    </w:rPr>
  </w:style>
  <w:style w:type="character" w:customStyle="1" w:styleId="442">
    <w:name w:val="正文-ls Char"/>
    <w:link w:val="104"/>
    <w:qFormat/>
    <w:uiPriority w:val="0"/>
    <w:rPr>
      <w:rFonts w:ascii="Times New Roman" w:hAnsi="宋体" w:eastAsia="宋体" w:cs="宋体"/>
      <w:kern w:val="0"/>
      <w:sz w:val="24"/>
      <w:szCs w:val="20"/>
    </w:rPr>
  </w:style>
  <w:style w:type="paragraph" w:customStyle="1" w:styleId="443">
    <w:name w:val="表头1"/>
    <w:basedOn w:val="1"/>
    <w:next w:val="1"/>
    <w:link w:val="444"/>
    <w:qFormat/>
    <w:uiPriority w:val="0"/>
    <w:pPr>
      <w:tabs>
        <w:tab w:val="left" w:pos="605"/>
      </w:tabs>
      <w:adjustRightInd w:val="0"/>
      <w:snapToGrid w:val="0"/>
      <w:spacing w:line="240" w:lineRule="auto"/>
      <w:ind w:firstLine="480"/>
      <w:jc w:val="center"/>
    </w:pPr>
    <w:rPr>
      <w:rFonts w:ascii="黑体" w:hAnsi="黑体" w:eastAsia="黑体"/>
    </w:rPr>
  </w:style>
  <w:style w:type="character" w:customStyle="1" w:styleId="444">
    <w:name w:val="表头1 Char"/>
    <w:link w:val="443"/>
    <w:qFormat/>
    <w:uiPriority w:val="0"/>
    <w:rPr>
      <w:rFonts w:ascii="黑体" w:hAnsi="黑体" w:eastAsia="黑体" w:cs="Times New Roman"/>
      <w:kern w:val="0"/>
      <w:sz w:val="24"/>
      <w:szCs w:val="24"/>
    </w:rPr>
  </w:style>
  <w:style w:type="character" w:customStyle="1" w:styleId="445">
    <w:name w:val="纯文本 字符2"/>
    <w:qFormat/>
    <w:uiPriority w:val="0"/>
    <w:rPr>
      <w:rFonts w:ascii="宋体" w:hAnsi="Courier New"/>
      <w:kern w:val="2"/>
      <w:sz w:val="21"/>
    </w:rPr>
  </w:style>
  <w:style w:type="character" w:customStyle="1" w:styleId="446">
    <w:name w:val="正文（首行缩进两字） Char"/>
    <w:qFormat/>
    <w:uiPriority w:val="0"/>
    <w:rPr>
      <w:rFonts w:eastAsia="宋体"/>
      <w:kern w:val="2"/>
      <w:sz w:val="30"/>
      <w:lang w:val="en-US" w:eastAsia="zh-CN" w:bidi="ar-SA"/>
    </w:rPr>
  </w:style>
  <w:style w:type="character" w:customStyle="1" w:styleId="447">
    <w:name w:val="表头标题 Char Char"/>
    <w:link w:val="448"/>
    <w:qFormat/>
    <w:uiPriority w:val="0"/>
    <w:rPr>
      <w:rFonts w:ascii="黑体" w:eastAsia="黑体"/>
      <w:bCs/>
      <w:color w:val="FF0000"/>
      <w:szCs w:val="21"/>
      <w:lang w:val="zh-CN"/>
    </w:rPr>
  </w:style>
  <w:style w:type="paragraph" w:customStyle="1" w:styleId="448">
    <w:name w:val="表头标题"/>
    <w:basedOn w:val="1"/>
    <w:link w:val="447"/>
    <w:qFormat/>
    <w:uiPriority w:val="0"/>
    <w:pPr>
      <w:tabs>
        <w:tab w:val="left" w:pos="905"/>
      </w:tabs>
      <w:snapToGrid w:val="0"/>
      <w:spacing w:line="240" w:lineRule="auto"/>
      <w:ind w:firstLine="0" w:firstLineChars="0"/>
      <w:jc w:val="center"/>
    </w:pPr>
    <w:rPr>
      <w:rFonts w:ascii="黑体" w:hAnsi="Calibri" w:eastAsia="黑体" w:cs="宋体"/>
      <w:bCs/>
      <w:color w:val="FF0000"/>
      <w:kern w:val="2"/>
      <w:sz w:val="21"/>
      <w:szCs w:val="21"/>
      <w:lang w:val="zh-CN"/>
    </w:rPr>
  </w:style>
  <w:style w:type="character" w:customStyle="1" w:styleId="449">
    <w:name w:val="邓表格文字 Char"/>
    <w:link w:val="153"/>
    <w:qFormat/>
    <w:uiPriority w:val="0"/>
    <w:rPr>
      <w:rFonts w:ascii="宋体" w:hAnsi="宋体" w:eastAsia="宋体" w:cs="Times New Roman"/>
      <w:kern w:val="0"/>
      <w:sz w:val="18"/>
      <w:szCs w:val="18"/>
    </w:rPr>
  </w:style>
  <w:style w:type="paragraph" w:customStyle="1" w:styleId="450">
    <w:name w:val="4 Char"/>
    <w:basedOn w:val="1"/>
    <w:qFormat/>
    <w:uiPriority w:val="0"/>
    <w:pPr>
      <w:spacing w:line="240" w:lineRule="auto"/>
      <w:ind w:firstLine="0" w:firstLineChars="0"/>
    </w:pPr>
    <w:rPr>
      <w:kern w:val="2"/>
      <w:sz w:val="28"/>
      <w:szCs w:val="20"/>
    </w:rPr>
  </w:style>
  <w:style w:type="character" w:customStyle="1" w:styleId="451">
    <w:name w:val="正文 小四 行距: 1.5 倍行距 Char"/>
    <w:link w:val="452"/>
    <w:qFormat/>
    <w:uiPriority w:val="0"/>
    <w:rPr>
      <w:sz w:val="24"/>
    </w:rPr>
  </w:style>
  <w:style w:type="paragraph" w:customStyle="1" w:styleId="452">
    <w:name w:val="正文 小四 行距: 1.5 倍行距"/>
    <w:basedOn w:val="1"/>
    <w:link w:val="451"/>
    <w:qFormat/>
    <w:uiPriority w:val="0"/>
    <w:pPr>
      <w:ind w:firstLine="480"/>
    </w:pPr>
    <w:rPr>
      <w:rFonts w:ascii="Calibri" w:hAnsi="Calibri" w:cs="宋体"/>
      <w:kern w:val="2"/>
      <w:szCs w:val="22"/>
    </w:rPr>
  </w:style>
  <w:style w:type="paragraph" w:customStyle="1" w:styleId="453">
    <w:name w:val="表内文字"/>
    <w:basedOn w:val="1"/>
    <w:qFormat/>
    <w:uiPriority w:val="99"/>
    <w:pPr>
      <w:adjustRightInd w:val="0"/>
      <w:snapToGrid w:val="0"/>
      <w:ind w:firstLine="0" w:firstLineChars="0"/>
      <w:jc w:val="center"/>
    </w:pPr>
    <w:rPr>
      <w:kern w:val="2"/>
      <w:sz w:val="21"/>
      <w:szCs w:val="21"/>
    </w:rPr>
  </w:style>
  <w:style w:type="paragraph" w:customStyle="1" w:styleId="454">
    <w:name w:val="我的表格文字"/>
    <w:basedOn w:val="1"/>
    <w:link w:val="455"/>
    <w:qFormat/>
    <w:uiPriority w:val="0"/>
    <w:pPr>
      <w:adjustRightInd w:val="0"/>
      <w:spacing w:line="360" w:lineRule="exact"/>
      <w:ind w:firstLine="0" w:firstLineChars="0"/>
      <w:jc w:val="center"/>
      <w:textAlignment w:val="center"/>
    </w:pPr>
    <w:rPr>
      <w:rFonts w:ascii="宋体" w:hAnsi="Calibri"/>
      <w:sz w:val="20"/>
      <w:szCs w:val="21"/>
    </w:rPr>
  </w:style>
  <w:style w:type="character" w:customStyle="1" w:styleId="455">
    <w:name w:val="我的表格文字 Char"/>
    <w:link w:val="454"/>
    <w:qFormat/>
    <w:uiPriority w:val="0"/>
    <w:rPr>
      <w:rFonts w:ascii="宋体" w:hAnsi="Calibri" w:eastAsia="宋体" w:cs="Times New Roman"/>
      <w:kern w:val="0"/>
      <w:sz w:val="20"/>
      <w:szCs w:val="21"/>
    </w:rPr>
  </w:style>
  <w:style w:type="character" w:customStyle="1" w:styleId="456">
    <w:name w:val="正文(首行缩进) Char"/>
    <w:link w:val="457"/>
    <w:qFormat/>
    <w:uiPriority w:val="0"/>
    <w:rPr>
      <w:snapToGrid w:val="0"/>
      <w:sz w:val="24"/>
    </w:rPr>
  </w:style>
  <w:style w:type="paragraph" w:customStyle="1" w:styleId="457">
    <w:name w:val="正文(首行缩进)"/>
    <w:basedOn w:val="1"/>
    <w:link w:val="456"/>
    <w:qFormat/>
    <w:uiPriority w:val="0"/>
    <w:pPr>
      <w:tabs>
        <w:tab w:val="left" w:pos="4584"/>
      </w:tabs>
      <w:adjustRightInd w:val="0"/>
      <w:snapToGrid w:val="0"/>
      <w:ind w:firstLine="200"/>
    </w:pPr>
    <w:rPr>
      <w:rFonts w:ascii="Calibri" w:hAnsi="Calibri" w:cs="宋体"/>
      <w:snapToGrid w:val="0"/>
      <w:kern w:val="2"/>
      <w:szCs w:val="22"/>
    </w:rPr>
  </w:style>
  <w:style w:type="character" w:customStyle="1" w:styleId="458">
    <w:name w:val="1正文段落 Char"/>
    <w:link w:val="135"/>
    <w:qFormat/>
    <w:uiPriority w:val="0"/>
    <w:rPr>
      <w:rFonts w:ascii="Times New Roman" w:hAnsi="Times New Roman" w:eastAsia="宋体" w:cs="Times New Roman"/>
      <w:snapToGrid w:val="0"/>
      <w:kern w:val="0"/>
      <w:sz w:val="24"/>
      <w:szCs w:val="24"/>
    </w:rPr>
  </w:style>
  <w:style w:type="paragraph" w:customStyle="1" w:styleId="459">
    <w:name w:val="样式 标题 3 + 段后: 7.8 磅 行距: 固定值 25 磅"/>
    <w:basedOn w:val="4"/>
    <w:qFormat/>
    <w:uiPriority w:val="0"/>
    <w:pPr>
      <w:spacing w:beforeLines="40" w:afterLines="40" w:line="240" w:lineRule="auto"/>
      <w:ind w:left="-288"/>
    </w:pPr>
    <w:rPr>
      <w:rFonts w:ascii="宋体" w:hAnsi="宋体" w:eastAsia="黑体"/>
      <w:bCs w:val="0"/>
      <w:kern w:val="2"/>
      <w:sz w:val="28"/>
      <w:szCs w:val="20"/>
    </w:rPr>
  </w:style>
  <w:style w:type="character" w:customStyle="1" w:styleId="460">
    <w:name w:val="正文缩进 字符"/>
    <w:link w:val="15"/>
    <w:qFormat/>
    <w:uiPriority w:val="0"/>
    <w:rPr>
      <w:rFonts w:ascii="Times New Roman" w:hAnsi="Times New Roman" w:eastAsia="宋体" w:cs="Times New Roman"/>
      <w:kern w:val="0"/>
      <w:sz w:val="24"/>
      <w:szCs w:val="20"/>
      <w:lang w:eastAsia="en-US" w:bidi="en-US"/>
    </w:rPr>
  </w:style>
  <w:style w:type="paragraph" w:customStyle="1" w:styleId="461">
    <w:name w:val="2222222222"/>
    <w:basedOn w:val="1"/>
    <w:qFormat/>
    <w:uiPriority w:val="0"/>
    <w:pPr>
      <w:spacing w:line="460" w:lineRule="exact"/>
      <w:ind w:firstLine="200"/>
    </w:pPr>
    <w:rPr>
      <w:rFonts w:ascii="宋体" w:hAnsi="宋体"/>
      <w:color w:val="000000"/>
      <w:sz w:val="26"/>
      <w:szCs w:val="20"/>
    </w:rPr>
  </w:style>
  <w:style w:type="character" w:customStyle="1" w:styleId="462">
    <w:name w:val="cf01"/>
    <w:qFormat/>
    <w:uiPriority w:val="0"/>
    <w:rPr>
      <w:rFonts w:hint="eastAsia" w:ascii="Microsoft YaHei UI" w:hAnsi="Microsoft YaHei UI" w:eastAsia="Microsoft YaHei UI"/>
      <w:sz w:val="18"/>
      <w:szCs w:val="18"/>
    </w:rPr>
  </w:style>
  <w:style w:type="character" w:customStyle="1" w:styleId="463">
    <w:name w:val="EmailStyle846"/>
    <w:qFormat/>
    <w:uiPriority w:val="0"/>
    <w:rPr>
      <w:rFonts w:ascii="Arial" w:hAnsi="Arial" w:eastAsia="宋体" w:cs="Arial"/>
      <w:color w:val="auto"/>
      <w:sz w:val="20"/>
    </w:rPr>
  </w:style>
  <w:style w:type="character" w:customStyle="1" w:styleId="464">
    <w:name w:val="标题 3 字符1"/>
    <w:qFormat/>
    <w:uiPriority w:val="0"/>
    <w:rPr>
      <w:rFonts w:ascii="Times New Roman" w:hAnsi="Times New Roman" w:eastAsia="宋体" w:cs="Times New Roman"/>
      <w:b/>
      <w:bCs/>
      <w:sz w:val="32"/>
      <w:szCs w:val="32"/>
    </w:rPr>
  </w:style>
  <w:style w:type="character" w:customStyle="1" w:styleId="465">
    <w:name w:val="标题 4 字符1"/>
    <w:qFormat/>
    <w:uiPriority w:val="1"/>
    <w:rPr>
      <w:rFonts w:ascii="Cambria" w:hAnsi="Cambria" w:eastAsia="宋体" w:cs="Times New Roman"/>
      <w:b/>
      <w:bCs/>
      <w:sz w:val="28"/>
      <w:szCs w:val="28"/>
    </w:rPr>
  </w:style>
  <w:style w:type="character" w:customStyle="1" w:styleId="466">
    <w:name w:val="apple-converted-space"/>
    <w:basedOn w:val="71"/>
    <w:qFormat/>
    <w:uiPriority w:val="0"/>
  </w:style>
  <w:style w:type="paragraph" w:customStyle="1" w:styleId="467">
    <w:name w:val="Normal (Web)1"/>
    <w:basedOn w:val="1"/>
    <w:qFormat/>
    <w:uiPriority w:val="99"/>
    <w:pPr>
      <w:widowControl/>
      <w:spacing w:before="100" w:beforeAutospacing="1" w:after="100" w:afterAutospacing="1" w:line="240" w:lineRule="auto"/>
      <w:ind w:firstLine="0" w:firstLineChars="0"/>
      <w:jc w:val="left"/>
    </w:pPr>
    <w:rPr>
      <w:rFonts w:hint="eastAsia" w:ascii="宋体" w:hAnsi="宋体"/>
      <w:kern w:val="2"/>
      <w:szCs w:val="20"/>
    </w:rPr>
  </w:style>
  <w:style w:type="paragraph" w:customStyle="1" w:styleId="468">
    <w:name w:val="标题1"/>
    <w:next w:val="1"/>
    <w:link w:val="469"/>
    <w:qFormat/>
    <w:uiPriority w:val="0"/>
    <w:pPr>
      <w:spacing w:line="360" w:lineRule="auto"/>
      <w:ind w:left="1276"/>
      <w:jc w:val="center"/>
      <w:outlineLvl w:val="0"/>
    </w:pPr>
    <w:rPr>
      <w:rFonts w:ascii="Times New Roman" w:hAnsi="Times New Roman" w:eastAsia="黑体" w:cs="Times New Roman"/>
      <w:sz w:val="48"/>
      <w:szCs w:val="48"/>
      <w:lang w:val="en-US" w:eastAsia="zh-CN" w:bidi="ar-SA"/>
    </w:rPr>
  </w:style>
  <w:style w:type="character" w:customStyle="1" w:styleId="469">
    <w:name w:val="标题1 Char"/>
    <w:link w:val="468"/>
    <w:qFormat/>
    <w:uiPriority w:val="99"/>
    <w:rPr>
      <w:rFonts w:ascii="Times New Roman" w:hAnsi="Times New Roman" w:eastAsia="黑体" w:cs="Times New Roman"/>
      <w:kern w:val="0"/>
      <w:sz w:val="48"/>
      <w:szCs w:val="48"/>
    </w:rPr>
  </w:style>
  <w:style w:type="character" w:customStyle="1" w:styleId="470">
    <w:name w:val="Plain Text Char1"/>
    <w:qFormat/>
    <w:uiPriority w:val="99"/>
    <w:rPr>
      <w:rFonts w:ascii="宋体" w:hAnsi="Courier New" w:eastAsia="宋体" w:cs="Courier New"/>
      <w:szCs w:val="21"/>
    </w:rPr>
  </w:style>
  <w:style w:type="character" w:customStyle="1" w:styleId="471">
    <w:name w:val="表头A Char"/>
    <w:link w:val="472"/>
    <w:qFormat/>
    <w:uiPriority w:val="99"/>
    <w:rPr>
      <w:b/>
      <w:sz w:val="24"/>
      <w:szCs w:val="24"/>
    </w:rPr>
  </w:style>
  <w:style w:type="paragraph" w:customStyle="1" w:styleId="472">
    <w:name w:val="表头A"/>
    <w:basedOn w:val="1"/>
    <w:link w:val="471"/>
    <w:qFormat/>
    <w:uiPriority w:val="99"/>
    <w:pPr>
      <w:widowControl/>
      <w:spacing w:line="400" w:lineRule="exact"/>
      <w:ind w:firstLine="0" w:firstLineChars="0"/>
      <w:jc w:val="center"/>
    </w:pPr>
    <w:rPr>
      <w:rFonts w:ascii="Calibri" w:hAnsi="Calibri" w:cs="宋体"/>
      <w:b/>
      <w:kern w:val="2"/>
    </w:rPr>
  </w:style>
  <w:style w:type="character" w:customStyle="1" w:styleId="473">
    <w:name w:val="Comment Text Char1"/>
    <w:qFormat/>
    <w:uiPriority w:val="99"/>
    <w:rPr>
      <w:rFonts w:ascii="Times New Roman" w:hAnsi="Times New Roman" w:eastAsia="宋体" w:cs="Times New Roman"/>
      <w:szCs w:val="20"/>
    </w:rPr>
  </w:style>
  <w:style w:type="character" w:customStyle="1" w:styleId="474">
    <w:name w:val="cucd-0 Char1"/>
    <w:link w:val="475"/>
    <w:qFormat/>
    <w:uiPriority w:val="0"/>
    <w:rPr>
      <w:sz w:val="24"/>
      <w:szCs w:val="24"/>
    </w:rPr>
  </w:style>
  <w:style w:type="paragraph" w:customStyle="1" w:styleId="475">
    <w:name w:val="cucd-0"/>
    <w:link w:val="474"/>
    <w:qFormat/>
    <w:uiPriority w:val="0"/>
    <w:pPr>
      <w:spacing w:line="360" w:lineRule="auto"/>
      <w:ind w:left="851" w:firstLine="480" w:firstLineChars="200"/>
      <w:jc w:val="both"/>
    </w:pPr>
    <w:rPr>
      <w:rFonts w:ascii="Calibri" w:hAnsi="Calibri" w:eastAsia="宋体" w:cs="宋体"/>
      <w:kern w:val="2"/>
      <w:sz w:val="24"/>
      <w:szCs w:val="24"/>
      <w:lang w:val="en-US" w:eastAsia="zh-CN" w:bidi="ar-SA"/>
    </w:rPr>
  </w:style>
  <w:style w:type="table" w:customStyle="1" w:styleId="476">
    <w:name w:val="网格型11"/>
    <w:basedOn w:val="67"/>
    <w:qFormat/>
    <w:uiPriority w:val="0"/>
    <w:pPr>
      <w:widowControl w:val="0"/>
      <w:spacing w:line="360" w:lineRule="exact"/>
      <w:jc w:val="center"/>
    </w:pPr>
    <w:rPr>
      <w:rFonts w:ascii="宋体"/>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paragraph" w:customStyle="1" w:styleId="477">
    <w:name w:val="表格后空行"/>
    <w:basedOn w:val="1"/>
    <w:link w:val="531"/>
    <w:qFormat/>
    <w:uiPriority w:val="0"/>
    <w:pPr>
      <w:widowControl/>
      <w:spacing w:line="240" w:lineRule="exact"/>
      <w:ind w:firstLine="0" w:firstLineChars="0"/>
    </w:pPr>
    <w:rPr>
      <w:rFonts w:ascii="宋体"/>
      <w:sz w:val="18"/>
      <w:lang w:val="zh-CN"/>
    </w:rPr>
  </w:style>
  <w:style w:type="paragraph" w:customStyle="1" w:styleId="478">
    <w:name w:val="表格内字体"/>
    <w:basedOn w:val="1"/>
    <w:link w:val="555"/>
    <w:qFormat/>
    <w:uiPriority w:val="0"/>
    <w:pPr>
      <w:widowControl/>
      <w:spacing w:line="360" w:lineRule="exact"/>
      <w:ind w:firstLine="0" w:firstLineChars="0"/>
      <w:jc w:val="center"/>
      <w:textAlignment w:val="center"/>
    </w:pPr>
    <w:rPr>
      <w:rFonts w:ascii="宋体"/>
      <w:sz w:val="20"/>
      <w:szCs w:val="21"/>
      <w:lang w:val="zh-CN"/>
    </w:rPr>
  </w:style>
  <w:style w:type="paragraph" w:customStyle="1" w:styleId="479">
    <w:name w:val="表格标题1"/>
    <w:basedOn w:val="1"/>
    <w:qFormat/>
    <w:uiPriority w:val="99"/>
    <w:pPr>
      <w:widowControl/>
      <w:ind w:firstLine="0" w:firstLineChars="0"/>
      <w:jc w:val="center"/>
    </w:pPr>
    <w:rPr>
      <w:rFonts w:ascii="黑体" w:hAnsi="宋体" w:eastAsia="黑体"/>
      <w:b/>
      <w:color w:val="000000"/>
      <w:kern w:val="2"/>
    </w:rPr>
  </w:style>
  <w:style w:type="paragraph" w:customStyle="1" w:styleId="480">
    <w:name w:val="表后空格"/>
    <w:basedOn w:val="1"/>
    <w:link w:val="527"/>
    <w:qFormat/>
    <w:uiPriority w:val="0"/>
    <w:pPr>
      <w:widowControl/>
      <w:spacing w:line="240" w:lineRule="exact"/>
      <w:ind w:firstLine="480"/>
    </w:pPr>
    <w:rPr>
      <w:sz w:val="20"/>
      <w:szCs w:val="20"/>
      <w:lang w:val="zh-CN"/>
    </w:rPr>
  </w:style>
  <w:style w:type="paragraph" w:customStyle="1" w:styleId="481">
    <w:name w:val="表格标题"/>
    <w:basedOn w:val="34"/>
    <w:next w:val="34"/>
    <w:qFormat/>
    <w:uiPriority w:val="99"/>
    <w:pPr>
      <w:widowControl/>
      <w:spacing w:line="360" w:lineRule="auto"/>
      <w:ind w:firstLine="0" w:firstLineChars="0"/>
      <w:jc w:val="center"/>
    </w:pPr>
    <w:rPr>
      <w:rFonts w:ascii="黑体" w:hAnsi="Times New Roman" w:eastAsia="黑体"/>
      <w:b/>
      <w:i w:val="0"/>
      <w:sz w:val="24"/>
      <w:lang w:val="zh-CN"/>
    </w:rPr>
  </w:style>
  <w:style w:type="character" w:customStyle="1" w:styleId="482">
    <w:name w:val="表格内容A Char"/>
    <w:link w:val="154"/>
    <w:qFormat/>
    <w:uiPriority w:val="0"/>
    <w:rPr>
      <w:rFonts w:ascii="Times New Roman" w:hAnsi="Times New Roman" w:eastAsia="宋体" w:cs="Times New Roman"/>
      <w:bCs/>
      <w:snapToGrid w:val="0"/>
      <w:kern w:val="0"/>
      <w:sz w:val="24"/>
      <w:szCs w:val="24"/>
    </w:rPr>
  </w:style>
  <w:style w:type="paragraph" w:customStyle="1" w:styleId="483">
    <w:name w:val="第一章章节"/>
    <w:basedOn w:val="1"/>
    <w:qFormat/>
    <w:uiPriority w:val="99"/>
    <w:pPr>
      <w:widowControl/>
      <w:spacing w:afterLines="50"/>
      <w:ind w:firstLine="0" w:firstLineChars="0"/>
      <w:jc w:val="center"/>
      <w:outlineLvl w:val="0"/>
    </w:pPr>
    <w:rPr>
      <w:rFonts w:ascii="宋体" w:eastAsia="隶书"/>
      <w:b/>
      <w:kern w:val="2"/>
      <w:sz w:val="44"/>
      <w:szCs w:val="44"/>
    </w:rPr>
  </w:style>
  <w:style w:type="paragraph" w:customStyle="1" w:styleId="484">
    <w:name w:val="标题 12"/>
    <w:basedOn w:val="1"/>
    <w:qFormat/>
    <w:uiPriority w:val="99"/>
    <w:pPr>
      <w:widowControl/>
      <w:snapToGrid w:val="0"/>
      <w:ind w:firstLine="0" w:firstLineChars="0"/>
    </w:pPr>
    <w:rPr>
      <w:rFonts w:ascii="宋体" w:hAnsi="宋体"/>
      <w:kern w:val="2"/>
    </w:rPr>
  </w:style>
  <w:style w:type="paragraph" w:customStyle="1" w:styleId="485">
    <w:name w:val="1.1二级标题"/>
    <w:basedOn w:val="1"/>
    <w:qFormat/>
    <w:uiPriority w:val="99"/>
    <w:pPr>
      <w:ind w:firstLine="200"/>
      <w:outlineLvl w:val="1"/>
    </w:pPr>
    <w:rPr>
      <w:rFonts w:eastAsia="黑体"/>
      <w:b/>
      <w:kern w:val="2"/>
      <w:sz w:val="30"/>
      <w:szCs w:val="20"/>
    </w:rPr>
  </w:style>
  <w:style w:type="paragraph" w:customStyle="1" w:styleId="486">
    <w:name w:val="A一级"/>
    <w:basedOn w:val="468"/>
    <w:qFormat/>
    <w:uiPriority w:val="99"/>
    <w:pPr>
      <w:ind w:left="0"/>
    </w:pPr>
    <w:rPr>
      <w:sz w:val="36"/>
      <w:szCs w:val="36"/>
    </w:rPr>
  </w:style>
  <w:style w:type="paragraph" w:customStyle="1" w:styleId="487">
    <w:name w:val="A四级"/>
    <w:basedOn w:val="5"/>
    <w:link w:val="488"/>
    <w:qFormat/>
    <w:uiPriority w:val="0"/>
    <w:pPr>
      <w:numPr>
        <w:ilvl w:val="0"/>
        <w:numId w:val="0"/>
      </w:numPr>
      <w:overflowPunct/>
      <w:autoSpaceDE/>
      <w:autoSpaceDN/>
      <w:adjustRightInd/>
      <w:ind w:left="567"/>
      <w:jc w:val="both"/>
      <w:textAlignment w:val="auto"/>
    </w:pPr>
    <w:rPr>
      <w:bCs/>
      <w:spacing w:val="0"/>
      <w:szCs w:val="28"/>
      <w:lang w:val="zh-CN"/>
    </w:rPr>
  </w:style>
  <w:style w:type="character" w:customStyle="1" w:styleId="488">
    <w:name w:val="A四级 Char"/>
    <w:link w:val="487"/>
    <w:qFormat/>
    <w:uiPriority w:val="0"/>
    <w:rPr>
      <w:rFonts w:ascii="Times New Roman" w:hAnsi="Times New Roman" w:eastAsia="宋体" w:cs="Times New Roman"/>
      <w:b/>
      <w:bCs/>
      <w:kern w:val="0"/>
      <w:sz w:val="24"/>
      <w:szCs w:val="28"/>
      <w:lang w:val="zh-CN" w:eastAsia="zh-CN"/>
    </w:rPr>
  </w:style>
  <w:style w:type="character" w:customStyle="1" w:styleId="489">
    <w:name w:val="ENFI表体注 Char"/>
    <w:link w:val="490"/>
    <w:qFormat/>
    <w:uiPriority w:val="0"/>
    <w:rPr>
      <w:rFonts w:ascii="仿宋_GB2312" w:hAnsi="Courier New" w:eastAsia="仿宋_GB2312"/>
      <w:spacing w:val="-6"/>
      <w:sz w:val="24"/>
    </w:rPr>
  </w:style>
  <w:style w:type="paragraph" w:customStyle="1" w:styleId="490">
    <w:name w:val="ENFI表体注"/>
    <w:basedOn w:val="1"/>
    <w:link w:val="489"/>
    <w:qFormat/>
    <w:uiPriority w:val="0"/>
    <w:pPr>
      <w:adjustRightInd w:val="0"/>
      <w:snapToGrid w:val="0"/>
      <w:spacing w:line="240" w:lineRule="atLeast"/>
      <w:ind w:left="-96" w:right="-85" w:firstLine="0" w:firstLineChars="0"/>
      <w:textAlignment w:val="baseline"/>
    </w:pPr>
    <w:rPr>
      <w:rFonts w:ascii="仿宋_GB2312" w:hAnsi="Courier New" w:eastAsia="仿宋_GB2312" w:cs="宋体"/>
      <w:spacing w:val="-6"/>
      <w:kern w:val="2"/>
      <w:szCs w:val="22"/>
    </w:rPr>
  </w:style>
  <w:style w:type="paragraph" w:customStyle="1" w:styleId="491">
    <w:name w:val="表格hks"/>
    <w:next w:val="1"/>
    <w:qFormat/>
    <w:uiPriority w:val="99"/>
    <w:pPr>
      <w:jc w:val="center"/>
    </w:pPr>
    <w:rPr>
      <w:rFonts w:ascii="Times New Roman" w:hAnsi="Times New Roman" w:eastAsia="宋体" w:cs="Times New Roman"/>
      <w:kern w:val="2"/>
      <w:sz w:val="21"/>
      <w:szCs w:val="22"/>
      <w:lang w:val="en-US" w:eastAsia="zh-CN" w:bidi="ar-SA"/>
    </w:rPr>
  </w:style>
  <w:style w:type="paragraph" w:customStyle="1" w:styleId="492">
    <w:name w:val="J表"/>
    <w:basedOn w:val="1"/>
    <w:link w:val="494"/>
    <w:qFormat/>
    <w:uiPriority w:val="0"/>
    <w:pPr>
      <w:spacing w:beforeLines="30" w:line="240" w:lineRule="auto"/>
      <w:ind w:firstLine="0" w:firstLineChars="0"/>
      <w:jc w:val="center"/>
    </w:pPr>
    <w:rPr>
      <w:rFonts w:eastAsia="黑体"/>
      <w:color w:val="000000"/>
      <w:lang w:val="zh-CN"/>
    </w:rPr>
  </w:style>
  <w:style w:type="paragraph" w:customStyle="1" w:styleId="493">
    <w:name w:val="公式"/>
    <w:basedOn w:val="1"/>
    <w:link w:val="495"/>
    <w:qFormat/>
    <w:uiPriority w:val="0"/>
    <w:pPr>
      <w:keepLines/>
      <w:wordWrap w:val="0"/>
      <w:topLinePunct/>
      <w:spacing w:line="240" w:lineRule="auto"/>
      <w:ind w:right="-50" w:rightChars="-50" w:firstLine="200"/>
      <w:jc w:val="left"/>
      <w:outlineLvl w:val="2"/>
    </w:pPr>
    <w:rPr>
      <w:rFonts w:eastAsia="黑体"/>
      <w:color w:val="000000"/>
      <w:lang w:val="zh-CN"/>
    </w:rPr>
  </w:style>
  <w:style w:type="character" w:customStyle="1" w:styleId="494">
    <w:name w:val="J表 Char"/>
    <w:link w:val="492"/>
    <w:qFormat/>
    <w:uiPriority w:val="0"/>
    <w:rPr>
      <w:rFonts w:ascii="Times New Roman" w:hAnsi="Times New Roman" w:eastAsia="黑体" w:cs="Times New Roman"/>
      <w:color w:val="000000"/>
      <w:kern w:val="0"/>
      <w:sz w:val="24"/>
      <w:szCs w:val="24"/>
      <w:lang w:val="zh-CN" w:eastAsia="zh-CN"/>
    </w:rPr>
  </w:style>
  <w:style w:type="character" w:customStyle="1" w:styleId="495">
    <w:name w:val="公式 Char"/>
    <w:link w:val="493"/>
    <w:qFormat/>
    <w:uiPriority w:val="0"/>
    <w:rPr>
      <w:rFonts w:ascii="Times New Roman" w:hAnsi="Times New Roman" w:eastAsia="黑体" w:cs="Times New Roman"/>
      <w:color w:val="000000"/>
      <w:kern w:val="0"/>
      <w:sz w:val="24"/>
      <w:szCs w:val="24"/>
      <w:lang w:val="zh-CN" w:eastAsia="zh-CN"/>
    </w:rPr>
  </w:style>
  <w:style w:type="character" w:customStyle="1" w:styleId="496">
    <w:name w:val="标题二！！！！！ Char"/>
    <w:link w:val="108"/>
    <w:qFormat/>
    <w:uiPriority w:val="0"/>
    <w:rPr>
      <w:rFonts w:ascii="楷体_GB2312" w:hAnsi="楷体_GB2312" w:eastAsia="楷体_GB2312" w:cs="楷体_GB2312"/>
      <w:b/>
      <w:bCs/>
      <w:sz w:val="30"/>
      <w:szCs w:val="28"/>
    </w:rPr>
  </w:style>
  <w:style w:type="character" w:customStyle="1" w:styleId="497">
    <w:name w:val="公式说明 Char"/>
    <w:link w:val="498"/>
    <w:qFormat/>
    <w:uiPriority w:val="0"/>
    <w:rPr>
      <w:rFonts w:eastAsia="仿宋_GB2312"/>
      <w:sz w:val="22"/>
    </w:rPr>
  </w:style>
  <w:style w:type="paragraph" w:customStyle="1" w:styleId="498">
    <w:name w:val="公式说明"/>
    <w:basedOn w:val="1"/>
    <w:link w:val="497"/>
    <w:qFormat/>
    <w:uiPriority w:val="0"/>
    <w:pPr>
      <w:tabs>
        <w:tab w:val="left" w:pos="1920"/>
      </w:tabs>
      <w:adjustRightInd w:val="0"/>
      <w:snapToGrid w:val="0"/>
      <w:spacing w:line="620" w:lineRule="exact"/>
      <w:ind w:firstLine="200"/>
    </w:pPr>
    <w:rPr>
      <w:rFonts w:ascii="Calibri" w:hAnsi="Calibri" w:eastAsia="仿宋_GB2312" w:cs="宋体"/>
      <w:kern w:val="2"/>
      <w:sz w:val="22"/>
      <w:szCs w:val="22"/>
    </w:rPr>
  </w:style>
  <w:style w:type="character" w:customStyle="1" w:styleId="499">
    <w:name w:val="表头标题格式 Char Char"/>
    <w:link w:val="152"/>
    <w:qFormat/>
    <w:uiPriority w:val="0"/>
    <w:rPr>
      <w:rFonts w:ascii="黑体" w:hAnsi="黑体" w:eastAsia="黑体" w:cs="宋体"/>
      <w:bCs/>
      <w:kern w:val="0"/>
      <w:sz w:val="24"/>
      <w:szCs w:val="20"/>
    </w:rPr>
  </w:style>
  <w:style w:type="character" w:customStyle="1" w:styleId="500">
    <w:name w:val="尾注文本 字符"/>
    <w:basedOn w:val="71"/>
    <w:link w:val="39"/>
    <w:qFormat/>
    <w:uiPriority w:val="99"/>
    <w:rPr>
      <w:rFonts w:ascii="Times New Roman" w:hAnsi="Times New Roman" w:eastAsia="宋体" w:cs="Times New Roman"/>
      <w:kern w:val="0"/>
      <w:sz w:val="20"/>
      <w:szCs w:val="20"/>
      <w:lang w:val="zh-CN" w:eastAsia="zh-CN"/>
    </w:rPr>
  </w:style>
  <w:style w:type="paragraph" w:customStyle="1" w:styleId="501">
    <w:name w:val="样式4"/>
    <w:basedOn w:val="1"/>
    <w:link w:val="534"/>
    <w:qFormat/>
    <w:uiPriority w:val="0"/>
    <w:pPr>
      <w:tabs>
        <w:tab w:val="left" w:pos="9128"/>
      </w:tabs>
      <w:adjustRightInd w:val="0"/>
      <w:snapToGrid w:val="0"/>
      <w:spacing w:line="500" w:lineRule="exact"/>
      <w:ind w:firstLine="0" w:firstLineChars="0"/>
      <w:jc w:val="center"/>
    </w:pPr>
    <w:rPr>
      <w:sz w:val="20"/>
      <w:szCs w:val="20"/>
      <w:lang w:val="zh-CN"/>
    </w:rPr>
  </w:style>
  <w:style w:type="paragraph" w:customStyle="1" w:styleId="502">
    <w:name w:val="A图表标题"/>
    <w:basedOn w:val="1"/>
    <w:next w:val="38"/>
    <w:link w:val="763"/>
    <w:qFormat/>
    <w:uiPriority w:val="0"/>
    <w:pPr>
      <w:widowControl/>
      <w:ind w:firstLine="0" w:firstLineChars="0"/>
      <w:jc w:val="center"/>
    </w:pPr>
    <w:rPr>
      <w:rFonts w:ascii="黑体" w:hAnsi="黑体" w:eastAsia="黑体"/>
      <w:b/>
      <w:color w:val="000000"/>
      <w:szCs w:val="28"/>
      <w:lang w:val="zh-CN"/>
    </w:rPr>
  </w:style>
  <w:style w:type="paragraph" w:customStyle="1" w:styleId="503">
    <w:name w:val="邓表头标题"/>
    <w:basedOn w:val="1"/>
    <w:link w:val="504"/>
    <w:qFormat/>
    <w:uiPriority w:val="0"/>
    <w:pPr>
      <w:snapToGrid w:val="0"/>
      <w:spacing w:line="240" w:lineRule="auto"/>
      <w:ind w:firstLine="0" w:firstLineChars="0"/>
      <w:jc w:val="center"/>
    </w:pPr>
    <w:rPr>
      <w:rFonts w:ascii="黑体" w:hAnsi="黑体" w:eastAsia="黑体"/>
      <w:b/>
      <w:bCs/>
      <w:sz w:val="20"/>
      <w:szCs w:val="21"/>
      <w:lang w:val="zh-CN"/>
    </w:rPr>
  </w:style>
  <w:style w:type="character" w:customStyle="1" w:styleId="504">
    <w:name w:val="邓表头标题 Char"/>
    <w:link w:val="503"/>
    <w:qFormat/>
    <w:uiPriority w:val="0"/>
    <w:rPr>
      <w:rFonts w:ascii="黑体" w:hAnsi="黑体" w:eastAsia="黑体" w:cs="Times New Roman"/>
      <w:b/>
      <w:bCs/>
      <w:kern w:val="0"/>
      <w:sz w:val="20"/>
      <w:szCs w:val="21"/>
      <w:lang w:val="zh-CN" w:eastAsia="zh-CN"/>
    </w:rPr>
  </w:style>
  <w:style w:type="character" w:customStyle="1" w:styleId="505">
    <w:name w:val="font51"/>
    <w:qFormat/>
    <w:uiPriority w:val="0"/>
    <w:rPr>
      <w:rFonts w:ascii="Times New Roman" w:hAnsi="Times New Roman" w:cs="Times New Roman"/>
      <w:color w:val="000000"/>
      <w:sz w:val="21"/>
      <w:szCs w:val="21"/>
      <w:u w:val="none"/>
    </w:rPr>
  </w:style>
  <w:style w:type="character" w:customStyle="1" w:styleId="506">
    <w:name w:val="正文格式 Char"/>
    <w:qFormat/>
    <w:uiPriority w:val="0"/>
    <w:rPr>
      <w:rFonts w:ascii="黑体" w:hAnsi="黑体" w:eastAsia="黑体"/>
      <w:b/>
      <w:sz w:val="24"/>
      <w:szCs w:val="24"/>
    </w:rPr>
  </w:style>
  <w:style w:type="character" w:customStyle="1" w:styleId="507">
    <w:name w:val="表头标题格式 Char"/>
    <w:qFormat/>
    <w:uiPriority w:val="0"/>
    <w:rPr>
      <w:rFonts w:ascii="黑体" w:hAnsi="宋体" w:eastAsia="黑体" w:cs="宋体"/>
      <w:b/>
      <w:bCs/>
      <w:sz w:val="24"/>
    </w:rPr>
  </w:style>
  <w:style w:type="character" w:customStyle="1" w:styleId="508">
    <w:name w:val="正文 楷体 Char Char"/>
    <w:qFormat/>
    <w:uiPriority w:val="0"/>
    <w:rPr>
      <w:rFonts w:ascii="楷体_GB2312" w:hAnsi="楷体_GB2312" w:eastAsia="楷体_GB2312" w:cs="宋体"/>
      <w:sz w:val="24"/>
      <w:szCs w:val="24"/>
    </w:rPr>
  </w:style>
  <w:style w:type="paragraph" w:customStyle="1" w:styleId="509">
    <w:name w:val="正文！"/>
    <w:basedOn w:val="1"/>
    <w:qFormat/>
    <w:uiPriority w:val="99"/>
    <w:pPr>
      <w:spacing w:line="500" w:lineRule="exact"/>
      <w:ind w:firstLine="482" w:firstLineChars="0"/>
    </w:pPr>
    <w:rPr>
      <w:rFonts w:ascii="楷体_GB2312" w:eastAsia="楷体_GB2312" w:cs="宋体"/>
      <w:kern w:val="2"/>
      <w:szCs w:val="20"/>
    </w:rPr>
  </w:style>
  <w:style w:type="character" w:customStyle="1" w:styleId="510">
    <w:name w:val="样式 首行缩进:  0.85 厘米 Char1"/>
    <w:link w:val="511"/>
    <w:qFormat/>
    <w:uiPriority w:val="0"/>
    <w:rPr>
      <w:rFonts w:ascii="楷体_GB2312" w:hAnsi="楷体_GB2312" w:eastAsia="楷体_GB2312" w:cs="楷体_GB2312"/>
      <w:sz w:val="24"/>
      <w:szCs w:val="24"/>
    </w:rPr>
  </w:style>
  <w:style w:type="paragraph" w:customStyle="1" w:styleId="511">
    <w:name w:val="样式 首行缩进:  0.85 厘米"/>
    <w:basedOn w:val="1"/>
    <w:link w:val="510"/>
    <w:qFormat/>
    <w:uiPriority w:val="0"/>
    <w:pPr>
      <w:spacing w:line="500" w:lineRule="exact"/>
      <w:ind w:firstLine="200"/>
    </w:pPr>
    <w:rPr>
      <w:rFonts w:ascii="楷体_GB2312" w:hAnsi="楷体_GB2312" w:eastAsia="楷体_GB2312" w:cs="楷体_GB2312"/>
      <w:kern w:val="2"/>
    </w:rPr>
  </w:style>
  <w:style w:type="paragraph" w:customStyle="1" w:styleId="512">
    <w:name w:val="样式 (西文) 楷体_GB2312 首行缩进:  0.85 厘米1"/>
    <w:basedOn w:val="1"/>
    <w:qFormat/>
    <w:uiPriority w:val="99"/>
    <w:pPr>
      <w:spacing w:line="500" w:lineRule="exact"/>
      <w:ind w:firstLine="200"/>
    </w:pPr>
    <w:rPr>
      <w:rFonts w:ascii="楷体_GB2312" w:hAnsi="楷体_GB2312" w:eastAsia="楷体_GB2312" w:cs="楷体_GB2312"/>
      <w:kern w:val="2"/>
    </w:rPr>
  </w:style>
  <w:style w:type="character" w:customStyle="1" w:styleId="513">
    <w:name w:val="标题 6，图标题 Char"/>
    <w:qFormat/>
    <w:uiPriority w:val="0"/>
    <w:rPr>
      <w:rFonts w:ascii="Arial" w:hAnsi="Arial" w:eastAsia="仿宋_GB2312"/>
      <w:b/>
      <w:spacing w:val="-4"/>
      <w:kern w:val="20"/>
      <w:sz w:val="18"/>
      <w:lang w:val="en-US" w:eastAsia="zh-CN" w:bidi="ar-SA"/>
    </w:rPr>
  </w:style>
  <w:style w:type="paragraph" w:customStyle="1" w:styleId="514">
    <w:name w:val="表头！！！"/>
    <w:basedOn w:val="1"/>
    <w:qFormat/>
    <w:uiPriority w:val="99"/>
    <w:pPr>
      <w:ind w:firstLine="0" w:firstLineChars="0"/>
      <w:jc w:val="center"/>
    </w:pPr>
    <w:rPr>
      <w:rFonts w:ascii="黑体" w:eastAsia="楷体_GB2312" w:cs="宋体"/>
      <w:b/>
      <w:kern w:val="2"/>
      <w:szCs w:val="20"/>
    </w:rPr>
  </w:style>
  <w:style w:type="character" w:customStyle="1" w:styleId="515">
    <w:name w:val="普通(网站) 字符"/>
    <w:link w:val="61"/>
    <w:qFormat/>
    <w:uiPriority w:val="99"/>
    <w:rPr>
      <w:rFonts w:ascii="宋体" w:hAnsi="宋体" w:eastAsia="宋体" w:cs="宋体"/>
      <w:kern w:val="0"/>
      <w:sz w:val="24"/>
      <w:szCs w:val="24"/>
    </w:rPr>
  </w:style>
  <w:style w:type="character" w:customStyle="1" w:styleId="516">
    <w:name w:val="s"/>
    <w:qFormat/>
    <w:uiPriority w:val="0"/>
    <w:rPr>
      <w:rFonts w:cs="Times New Roman"/>
    </w:rPr>
  </w:style>
  <w:style w:type="paragraph" w:customStyle="1" w:styleId="517">
    <w:name w:val="正文格式42"/>
    <w:basedOn w:val="1"/>
    <w:qFormat/>
    <w:uiPriority w:val="99"/>
    <w:pPr>
      <w:ind w:firstLine="482" w:firstLineChars="0"/>
    </w:pPr>
    <w:rPr>
      <w:kern w:val="2"/>
    </w:rPr>
  </w:style>
  <w:style w:type="paragraph" w:customStyle="1" w:styleId="518">
    <w:name w:val="报告正文 Char"/>
    <w:basedOn w:val="1"/>
    <w:qFormat/>
    <w:uiPriority w:val="0"/>
    <w:pPr>
      <w:adjustRightInd w:val="0"/>
      <w:snapToGrid w:val="0"/>
      <w:ind w:firstLine="200"/>
    </w:pPr>
    <w:rPr>
      <w:sz w:val="28"/>
      <w:szCs w:val="28"/>
    </w:rPr>
  </w:style>
  <w:style w:type="paragraph" w:customStyle="1" w:styleId="519">
    <w:name w:val="正文文字"/>
    <w:basedOn w:val="1"/>
    <w:qFormat/>
    <w:uiPriority w:val="99"/>
    <w:pPr>
      <w:ind w:firstLine="200"/>
    </w:pPr>
    <w:rPr>
      <w:kern w:val="2"/>
      <w:szCs w:val="21"/>
    </w:rPr>
  </w:style>
  <w:style w:type="character" w:customStyle="1" w:styleId="520">
    <w:name w:val="正文(首行缩进) Char1"/>
    <w:qFormat/>
    <w:uiPriority w:val="0"/>
    <w:rPr>
      <w:rFonts w:ascii="宋体"/>
      <w:bCs/>
      <w:color w:val="000000"/>
      <w:sz w:val="26"/>
      <w:szCs w:val="26"/>
    </w:rPr>
  </w:style>
  <w:style w:type="paragraph" w:customStyle="1" w:styleId="521">
    <w:name w:val="表格小"/>
    <w:basedOn w:val="1"/>
    <w:qFormat/>
    <w:uiPriority w:val="99"/>
    <w:pPr>
      <w:spacing w:line="240" w:lineRule="auto"/>
      <w:ind w:firstLine="0" w:firstLineChars="0"/>
      <w:jc w:val="center"/>
    </w:pPr>
    <w:rPr>
      <w:kern w:val="2"/>
      <w:sz w:val="18"/>
    </w:rPr>
  </w:style>
  <w:style w:type="paragraph" w:customStyle="1" w:styleId="522">
    <w:name w:val="默认段落字体 Para Char"/>
    <w:basedOn w:val="1"/>
    <w:next w:val="1"/>
    <w:qFormat/>
    <w:uiPriority w:val="0"/>
    <w:pPr>
      <w:widowControl/>
      <w:ind w:firstLine="200"/>
      <w:jc w:val="left"/>
    </w:pPr>
    <w:rPr>
      <w:rFonts w:ascii="宋体" w:hAnsi="宋体" w:cs="宋体"/>
      <w:szCs w:val="21"/>
    </w:rPr>
  </w:style>
  <w:style w:type="paragraph" w:customStyle="1" w:styleId="523">
    <w:name w:val="1表格"/>
    <w:basedOn w:val="1"/>
    <w:qFormat/>
    <w:uiPriority w:val="99"/>
    <w:pPr>
      <w:snapToGrid w:val="0"/>
      <w:spacing w:line="300" w:lineRule="auto"/>
      <w:ind w:firstLine="482" w:firstLineChars="0"/>
      <w:jc w:val="center"/>
    </w:pPr>
    <w:rPr>
      <w:color w:val="000000"/>
      <w:spacing w:val="4"/>
    </w:rPr>
  </w:style>
  <w:style w:type="character" w:customStyle="1" w:styleId="524">
    <w:name w:val="正文001（2个空格） Char"/>
    <w:link w:val="525"/>
    <w:qFormat/>
    <w:uiPriority w:val="0"/>
    <w:rPr>
      <w:color w:val="800080"/>
      <w:sz w:val="24"/>
    </w:rPr>
  </w:style>
  <w:style w:type="paragraph" w:customStyle="1" w:styleId="525">
    <w:name w:val="正文001（2个空格）"/>
    <w:basedOn w:val="1"/>
    <w:link w:val="524"/>
    <w:qFormat/>
    <w:uiPriority w:val="0"/>
    <w:pPr>
      <w:ind w:firstLine="200"/>
      <w:jc w:val="left"/>
    </w:pPr>
    <w:rPr>
      <w:rFonts w:ascii="Calibri" w:hAnsi="Calibri" w:cs="宋体"/>
      <w:color w:val="800080"/>
      <w:kern w:val="2"/>
      <w:szCs w:val="22"/>
    </w:rPr>
  </w:style>
  <w:style w:type="paragraph" w:customStyle="1" w:styleId="526">
    <w:name w:val="表格文字2"/>
    <w:basedOn w:val="114"/>
    <w:qFormat/>
    <w:uiPriority w:val="99"/>
    <w:pPr>
      <w:adjustRightInd w:val="0"/>
      <w:spacing w:before="60"/>
      <w:textAlignment w:val="baseline"/>
    </w:pPr>
    <w:rPr>
      <w:rFonts w:ascii="宋体"/>
      <w:kern w:val="0"/>
      <w:sz w:val="24"/>
      <w:szCs w:val="20"/>
      <w:lang w:val="zh-CN"/>
    </w:rPr>
  </w:style>
  <w:style w:type="character" w:customStyle="1" w:styleId="527">
    <w:name w:val="表后空格 Char"/>
    <w:link w:val="480"/>
    <w:qFormat/>
    <w:uiPriority w:val="0"/>
    <w:rPr>
      <w:rFonts w:ascii="Times New Roman" w:hAnsi="Times New Roman" w:eastAsia="宋体" w:cs="Times New Roman"/>
      <w:kern w:val="0"/>
      <w:sz w:val="20"/>
      <w:szCs w:val="20"/>
      <w:lang w:val="zh-CN" w:eastAsia="zh-CN"/>
    </w:rPr>
  </w:style>
  <w:style w:type="character" w:customStyle="1" w:styleId="528">
    <w:name w:val="表格文字 Char Char"/>
    <w:link w:val="114"/>
    <w:qFormat/>
    <w:uiPriority w:val="0"/>
    <w:rPr>
      <w:rFonts w:ascii="Times New Roman" w:hAnsi="Times New Roman" w:eastAsia="宋体" w:cs="Times New Roman"/>
      <w:szCs w:val="21"/>
    </w:rPr>
  </w:style>
  <w:style w:type="character" w:customStyle="1" w:styleId="529">
    <w:name w:val="ms-rtefontface-111"/>
    <w:qFormat/>
    <w:uiPriority w:val="0"/>
    <w:rPr>
      <w:rFonts w:hint="eastAsia" w:ascii="方正仿宋简体" w:hAnsi="Garamond" w:eastAsia="方正仿宋简体"/>
      <w:sz w:val="32"/>
      <w:szCs w:val="32"/>
    </w:rPr>
  </w:style>
  <w:style w:type="paragraph" w:customStyle="1" w:styleId="530">
    <w:name w:val="xl28"/>
    <w:basedOn w:val="1"/>
    <w:qFormat/>
    <w:uiPriority w:val="99"/>
    <w:pPr>
      <w:widowControl/>
      <w:spacing w:before="100" w:beforeAutospacing="1" w:after="100" w:afterAutospacing="1" w:line="240" w:lineRule="auto"/>
      <w:ind w:firstLine="0" w:firstLineChars="0"/>
      <w:jc w:val="left"/>
    </w:pPr>
    <w:rPr>
      <w:b/>
      <w:sz w:val="32"/>
      <w:szCs w:val="20"/>
    </w:rPr>
  </w:style>
  <w:style w:type="character" w:customStyle="1" w:styleId="531">
    <w:name w:val="表格后空行 Char Char"/>
    <w:link w:val="477"/>
    <w:qFormat/>
    <w:uiPriority w:val="0"/>
    <w:rPr>
      <w:rFonts w:ascii="宋体" w:hAnsi="Times New Roman" w:eastAsia="宋体" w:cs="Times New Roman"/>
      <w:kern w:val="0"/>
      <w:sz w:val="18"/>
      <w:szCs w:val="24"/>
      <w:lang w:val="zh-CN" w:eastAsia="zh-CN"/>
    </w:rPr>
  </w:style>
  <w:style w:type="character" w:customStyle="1" w:styleId="532">
    <w:name w:val="正文文本缩进 2 Char"/>
    <w:qFormat/>
    <w:uiPriority w:val="0"/>
    <w:rPr>
      <w:rFonts w:ascii="宋体" w:hAnsi="宋体" w:eastAsia="宋体"/>
      <w:sz w:val="24"/>
      <w:szCs w:val="24"/>
    </w:rPr>
  </w:style>
  <w:style w:type="character" w:customStyle="1" w:styleId="533">
    <w:name w:val="正文缩进 Char1"/>
    <w:qFormat/>
    <w:uiPriority w:val="0"/>
    <w:rPr>
      <w:rFonts w:ascii="宋体" w:hAnsi="宋体" w:eastAsia="宋体" w:cs="宋体"/>
      <w:color w:val="000000"/>
      <w:sz w:val="24"/>
      <w:szCs w:val="24"/>
      <w:lang w:val="en-US" w:eastAsia="zh-CN" w:bidi="ar-SA"/>
    </w:rPr>
  </w:style>
  <w:style w:type="character" w:customStyle="1" w:styleId="534">
    <w:name w:val="样式4 Char"/>
    <w:link w:val="501"/>
    <w:qFormat/>
    <w:uiPriority w:val="0"/>
    <w:rPr>
      <w:rFonts w:ascii="Times New Roman" w:hAnsi="Times New Roman" w:eastAsia="宋体" w:cs="Times New Roman"/>
      <w:kern w:val="0"/>
      <w:sz w:val="20"/>
      <w:szCs w:val="20"/>
      <w:lang w:val="zh-CN" w:eastAsia="zh-CN"/>
    </w:rPr>
  </w:style>
  <w:style w:type="paragraph" w:customStyle="1" w:styleId="535">
    <w:name w:val="表格内容1"/>
    <w:qFormat/>
    <w:uiPriority w:val="99"/>
    <w:pPr>
      <w:widowControl w:val="0"/>
      <w:spacing w:line="240" w:lineRule="exact"/>
      <w:jc w:val="center"/>
    </w:pPr>
    <w:rPr>
      <w:rFonts w:ascii="宋体" w:hAnsi="宋体" w:eastAsia="宋体" w:cs="Times New Roman"/>
      <w:kern w:val="1"/>
      <w:sz w:val="21"/>
      <w:szCs w:val="24"/>
      <w:lang w:val="en-US" w:eastAsia="zh-CN" w:bidi="ar-SA"/>
    </w:rPr>
  </w:style>
  <w:style w:type="character" w:customStyle="1" w:styleId="536">
    <w:name w:val="HTML 预设格式 字符"/>
    <w:basedOn w:val="71"/>
    <w:link w:val="60"/>
    <w:qFormat/>
    <w:uiPriority w:val="99"/>
    <w:rPr>
      <w:rFonts w:ascii="宋体" w:hAnsi="宋体" w:eastAsia="宋体" w:cs="Times New Roman"/>
      <w:kern w:val="0"/>
      <w:sz w:val="24"/>
      <w:szCs w:val="24"/>
      <w:lang w:val="zh-CN" w:eastAsia="zh-CN"/>
    </w:rPr>
  </w:style>
  <w:style w:type="character" w:customStyle="1" w:styleId="537">
    <w:name w:val="样式1 Char"/>
    <w:link w:val="434"/>
    <w:qFormat/>
    <w:uiPriority w:val="0"/>
    <w:rPr>
      <w:rFonts w:ascii="Times New Roman" w:hAnsi="Times New Roman" w:eastAsia="宋体" w:cs="Times New Roman"/>
      <w:kern w:val="0"/>
      <w:szCs w:val="24"/>
    </w:rPr>
  </w:style>
  <w:style w:type="paragraph" w:customStyle="1" w:styleId="538">
    <w:name w:val="样式2"/>
    <w:basedOn w:val="1"/>
    <w:link w:val="539"/>
    <w:qFormat/>
    <w:uiPriority w:val="0"/>
    <w:pPr>
      <w:spacing w:beforeLines="50" w:afterLines="50"/>
      <w:ind w:firstLine="0" w:firstLineChars="0"/>
    </w:pPr>
    <w:rPr>
      <w:rFonts w:ascii="黑体" w:hAnsi="黑体" w:eastAsia="黑体"/>
      <w:sz w:val="28"/>
      <w:lang w:val="zh-CN"/>
    </w:rPr>
  </w:style>
  <w:style w:type="character" w:customStyle="1" w:styleId="539">
    <w:name w:val="样式2 Char"/>
    <w:link w:val="538"/>
    <w:qFormat/>
    <w:uiPriority w:val="0"/>
    <w:rPr>
      <w:rFonts w:ascii="黑体" w:hAnsi="黑体" w:eastAsia="黑体" w:cs="Times New Roman"/>
      <w:kern w:val="0"/>
      <w:sz w:val="28"/>
      <w:szCs w:val="24"/>
      <w:lang w:val="zh-CN" w:eastAsia="zh-CN"/>
    </w:rPr>
  </w:style>
  <w:style w:type="character" w:customStyle="1" w:styleId="540">
    <w:name w:val="样式3 Char"/>
    <w:link w:val="110"/>
    <w:qFormat/>
    <w:uiPriority w:val="0"/>
    <w:rPr>
      <w:rFonts w:ascii="Times New Roman" w:hAnsi="Times New Roman" w:eastAsia="宋体" w:cs="Times New Roman"/>
      <w:color w:val="000000"/>
      <w:sz w:val="30"/>
      <w:szCs w:val="24"/>
    </w:rPr>
  </w:style>
  <w:style w:type="paragraph" w:customStyle="1" w:styleId="541">
    <w:name w:val="reader-word-layer"/>
    <w:basedOn w:val="1"/>
    <w:qFormat/>
    <w:uiPriority w:val="99"/>
    <w:pPr>
      <w:widowControl/>
      <w:spacing w:before="100" w:beforeAutospacing="1" w:after="100" w:afterAutospacing="1" w:line="240" w:lineRule="auto"/>
      <w:ind w:firstLine="0" w:firstLineChars="0"/>
      <w:jc w:val="left"/>
    </w:pPr>
    <w:rPr>
      <w:rFonts w:ascii="宋体" w:hAnsi="宋体" w:cs="宋体"/>
    </w:rPr>
  </w:style>
  <w:style w:type="character" w:customStyle="1" w:styleId="542">
    <w:name w:val="样式 样式 样式 首行缩进:  2 字符 + 居中 + 行距: 固定值 17 磅 Char"/>
    <w:link w:val="543"/>
    <w:qFormat/>
    <w:uiPriority w:val="0"/>
    <w:rPr>
      <w:rFonts w:cs="宋体"/>
      <w:color w:val="000000"/>
    </w:rPr>
  </w:style>
  <w:style w:type="paragraph" w:customStyle="1" w:styleId="543">
    <w:name w:val="样式 样式 样式 首行缩进:  2 字符 + 居中 + 行距: 固定值 17 磅"/>
    <w:basedOn w:val="1"/>
    <w:link w:val="542"/>
    <w:qFormat/>
    <w:uiPriority w:val="0"/>
    <w:pPr>
      <w:adjustRightInd w:val="0"/>
      <w:snapToGrid w:val="0"/>
      <w:spacing w:line="340" w:lineRule="exact"/>
      <w:ind w:firstLine="0" w:firstLineChars="0"/>
      <w:jc w:val="center"/>
      <w:outlineLvl w:val="2"/>
    </w:pPr>
    <w:rPr>
      <w:rFonts w:ascii="Calibri" w:hAnsi="Calibri" w:cs="宋体"/>
      <w:color w:val="000000"/>
      <w:kern w:val="2"/>
      <w:sz w:val="21"/>
      <w:szCs w:val="22"/>
    </w:rPr>
  </w:style>
  <w:style w:type="paragraph" w:customStyle="1" w:styleId="544">
    <w:name w:val="List Paragraph1"/>
    <w:qFormat/>
    <w:uiPriority w:val="99"/>
    <w:pPr>
      <w:ind w:firstLine="420"/>
    </w:pPr>
    <w:rPr>
      <w:rFonts w:ascii="Calibri" w:hAnsi="Calibri" w:eastAsia="宋体" w:cs="Times New Roman"/>
      <w:kern w:val="1"/>
      <w:sz w:val="24"/>
      <w:lang w:val="en-US" w:eastAsia="zh-CN" w:bidi="ar-SA"/>
    </w:rPr>
  </w:style>
  <w:style w:type="character" w:customStyle="1" w:styleId="545">
    <w:name w:val="unnamed11"/>
    <w:qFormat/>
    <w:uiPriority w:val="0"/>
    <w:rPr>
      <w:rFonts w:hint="default" w:ascii="???" w:hAnsi="???"/>
      <w:color w:val="000000"/>
      <w:sz w:val="18"/>
      <w:szCs w:val="18"/>
      <w:u w:val="none"/>
    </w:rPr>
  </w:style>
  <w:style w:type="paragraph" w:customStyle="1" w:styleId="546">
    <w:name w:val="p15"/>
    <w:basedOn w:val="1"/>
    <w:qFormat/>
    <w:uiPriority w:val="99"/>
    <w:pPr>
      <w:widowControl/>
      <w:spacing w:line="240" w:lineRule="auto"/>
      <w:ind w:firstLine="0" w:firstLineChars="0"/>
    </w:pPr>
    <w:rPr>
      <w:rFonts w:ascii="宋体" w:hAnsi="宋体" w:cs="宋体"/>
      <w:sz w:val="21"/>
      <w:szCs w:val="21"/>
    </w:rPr>
  </w:style>
  <w:style w:type="paragraph" w:customStyle="1" w:styleId="547">
    <w:name w:val="xl25"/>
    <w:basedOn w:val="1"/>
    <w:qFormat/>
    <w:uiPriority w:val="99"/>
    <w:pPr>
      <w:widowControl/>
      <w:pBdr>
        <w:bottom w:val="single" w:color="auto" w:sz="4" w:space="0"/>
        <w:right w:val="single" w:color="auto" w:sz="4" w:space="0"/>
      </w:pBdr>
      <w:spacing w:before="100" w:beforeAutospacing="1" w:after="100" w:afterAutospacing="1" w:line="240" w:lineRule="auto"/>
      <w:ind w:firstLine="0" w:firstLineChars="0"/>
    </w:pPr>
    <w:rPr>
      <w:sz w:val="21"/>
      <w:szCs w:val="21"/>
    </w:rPr>
  </w:style>
  <w:style w:type="paragraph" w:customStyle="1" w:styleId="548">
    <w:name w:val="xl36"/>
    <w:basedOn w:val="1"/>
    <w:qFormat/>
    <w:uiPriority w:val="99"/>
    <w:pPr>
      <w:widowControl/>
      <w:pBdr>
        <w:left w:val="single" w:color="auto" w:sz="4" w:space="0"/>
        <w:right w:val="single" w:color="auto" w:sz="4" w:space="0"/>
      </w:pBdr>
      <w:spacing w:before="100" w:beforeAutospacing="1" w:after="100" w:afterAutospacing="1" w:line="240" w:lineRule="auto"/>
      <w:ind w:firstLine="0" w:firstLineChars="0"/>
      <w:jc w:val="center"/>
      <w:textAlignment w:val="top"/>
    </w:pPr>
  </w:style>
  <w:style w:type="paragraph" w:customStyle="1" w:styleId="549">
    <w:name w:val="表格文字 五号 居中"/>
    <w:basedOn w:val="1"/>
    <w:qFormat/>
    <w:uiPriority w:val="99"/>
    <w:pPr>
      <w:snapToGrid w:val="0"/>
      <w:spacing w:line="300" w:lineRule="auto"/>
      <w:ind w:firstLine="0" w:firstLineChars="0"/>
      <w:jc w:val="center"/>
    </w:pPr>
    <w:rPr>
      <w:rFonts w:cs="宋体"/>
      <w:spacing w:val="-6"/>
      <w:kern w:val="2"/>
      <w:sz w:val="21"/>
      <w:szCs w:val="20"/>
    </w:rPr>
  </w:style>
  <w:style w:type="character" w:customStyle="1" w:styleId="550">
    <w:name w:val="兴化美联正文样式 Char"/>
    <w:link w:val="127"/>
    <w:qFormat/>
    <w:uiPriority w:val="0"/>
    <w:rPr>
      <w:rFonts w:ascii="宋体" w:hAnsi="宋体" w:eastAsia="宋体" w:cs="宋体"/>
      <w:color w:val="000000"/>
      <w:kern w:val="0"/>
      <w:sz w:val="24"/>
      <w:szCs w:val="24"/>
    </w:rPr>
  </w:style>
  <w:style w:type="character" w:customStyle="1" w:styleId="551">
    <w:name w:val="标题四 Char"/>
    <w:link w:val="115"/>
    <w:qFormat/>
    <w:uiPriority w:val="0"/>
    <w:rPr>
      <w:rFonts w:ascii="华文仿宋" w:hAnsi="Calibri" w:eastAsia="华文仿宋" w:cs="华文仿宋"/>
      <w:b/>
      <w:kern w:val="0"/>
      <w:sz w:val="24"/>
      <w:szCs w:val="24"/>
    </w:rPr>
  </w:style>
  <w:style w:type="paragraph" w:customStyle="1" w:styleId="552">
    <w:name w:val="内容"/>
    <w:basedOn w:val="1"/>
    <w:qFormat/>
    <w:uiPriority w:val="99"/>
    <w:pPr>
      <w:spacing w:line="560" w:lineRule="exact"/>
      <w:ind w:firstLine="431" w:firstLineChars="0"/>
    </w:pPr>
    <w:rPr>
      <w:kern w:val="2"/>
      <w:szCs w:val="20"/>
    </w:rPr>
  </w:style>
  <w:style w:type="paragraph" w:customStyle="1" w:styleId="553">
    <w:name w:val="正文邓"/>
    <w:basedOn w:val="1"/>
    <w:link w:val="554"/>
    <w:qFormat/>
    <w:uiPriority w:val="0"/>
    <w:pPr>
      <w:adjustRightInd w:val="0"/>
      <w:snapToGrid w:val="0"/>
      <w:ind w:firstLine="480"/>
      <w:jc w:val="left"/>
    </w:pPr>
    <w:rPr>
      <w:bCs/>
      <w:color w:val="FF0000"/>
      <w:lang w:val="zh-CN"/>
    </w:rPr>
  </w:style>
  <w:style w:type="character" w:customStyle="1" w:styleId="554">
    <w:name w:val="正文邓 Char"/>
    <w:link w:val="553"/>
    <w:qFormat/>
    <w:uiPriority w:val="0"/>
    <w:rPr>
      <w:rFonts w:ascii="Times New Roman" w:hAnsi="Times New Roman" w:eastAsia="宋体" w:cs="Times New Roman"/>
      <w:bCs/>
      <w:color w:val="FF0000"/>
      <w:kern w:val="0"/>
      <w:sz w:val="24"/>
      <w:szCs w:val="24"/>
      <w:lang w:val="zh-CN" w:eastAsia="zh-CN"/>
    </w:rPr>
  </w:style>
  <w:style w:type="character" w:customStyle="1" w:styleId="555">
    <w:name w:val="表格内字体 Char"/>
    <w:link w:val="478"/>
    <w:qFormat/>
    <w:uiPriority w:val="0"/>
    <w:rPr>
      <w:rFonts w:ascii="宋体" w:hAnsi="Times New Roman" w:eastAsia="宋体" w:cs="Times New Roman"/>
      <w:kern w:val="0"/>
      <w:sz w:val="20"/>
      <w:szCs w:val="21"/>
      <w:lang w:val="zh-CN" w:eastAsia="zh-CN"/>
    </w:rPr>
  </w:style>
  <w:style w:type="character" w:customStyle="1" w:styleId="556">
    <w:name w:val="正文-ls Char Char"/>
    <w:qFormat/>
    <w:uiPriority w:val="0"/>
    <w:rPr>
      <w:rFonts w:hAnsi="宋体" w:cs="宋体"/>
      <w:kern w:val="2"/>
      <w:sz w:val="24"/>
      <w:szCs w:val="24"/>
    </w:rPr>
  </w:style>
  <w:style w:type="paragraph" w:customStyle="1" w:styleId="557">
    <w:name w:val="邓图后正文"/>
    <w:basedOn w:val="1"/>
    <w:link w:val="771"/>
    <w:qFormat/>
    <w:uiPriority w:val="0"/>
    <w:pPr>
      <w:widowControl/>
      <w:snapToGrid w:val="0"/>
      <w:ind w:firstLine="0" w:firstLineChars="0"/>
      <w:jc w:val="center"/>
    </w:pPr>
    <w:rPr>
      <w:rFonts w:ascii="黑体" w:hAnsi="黑体" w:eastAsia="黑体"/>
      <w:b/>
      <w:bCs/>
      <w:lang w:val="zh-CN"/>
    </w:rPr>
  </w:style>
  <w:style w:type="paragraph" w:customStyle="1" w:styleId="558">
    <w:name w:val="环评 正文"/>
    <w:basedOn w:val="1"/>
    <w:link w:val="559"/>
    <w:qFormat/>
    <w:uiPriority w:val="0"/>
    <w:pPr>
      <w:ind w:firstLine="200"/>
    </w:pPr>
    <w:rPr>
      <w:rFonts w:ascii="宋体" w:hAnsi="宋体"/>
      <w:szCs w:val="20"/>
      <w:lang w:val="zh-CN"/>
    </w:rPr>
  </w:style>
  <w:style w:type="character" w:customStyle="1" w:styleId="559">
    <w:name w:val="环评 正文 Char Char"/>
    <w:link w:val="558"/>
    <w:qFormat/>
    <w:uiPriority w:val="0"/>
    <w:rPr>
      <w:rFonts w:ascii="宋体" w:hAnsi="宋体" w:eastAsia="宋体" w:cs="Times New Roman"/>
      <w:kern w:val="0"/>
      <w:sz w:val="24"/>
      <w:szCs w:val="20"/>
      <w:lang w:val="zh-CN" w:eastAsia="zh-CN"/>
    </w:rPr>
  </w:style>
  <w:style w:type="character" w:customStyle="1" w:styleId="560">
    <w:name w:val="标题 1 Char2"/>
    <w:qFormat/>
    <w:uiPriority w:val="0"/>
    <w:rPr>
      <w:rFonts w:ascii="宋体" w:hAnsi="宋体"/>
      <w:b/>
      <w:bCs/>
      <w:kern w:val="44"/>
      <w:sz w:val="44"/>
      <w:szCs w:val="44"/>
    </w:rPr>
  </w:style>
  <w:style w:type="character" w:customStyle="1" w:styleId="561">
    <w:name w:val="标题 2 Char1"/>
    <w:qFormat/>
    <w:uiPriority w:val="0"/>
    <w:rPr>
      <w:rFonts w:ascii="Cambria" w:hAnsi="Cambria" w:eastAsia="宋体" w:cs="Times New Roman"/>
      <w:b/>
      <w:bCs/>
      <w:sz w:val="32"/>
      <w:szCs w:val="32"/>
    </w:rPr>
  </w:style>
  <w:style w:type="character" w:customStyle="1" w:styleId="562">
    <w:name w:val="标题 3 Char1"/>
    <w:qFormat/>
    <w:uiPriority w:val="0"/>
    <w:rPr>
      <w:rFonts w:ascii="宋体" w:hAnsi="宋体"/>
      <w:b/>
      <w:bCs/>
      <w:sz w:val="32"/>
      <w:szCs w:val="32"/>
    </w:rPr>
  </w:style>
  <w:style w:type="character" w:customStyle="1" w:styleId="563">
    <w:name w:val="标题 4 Char2"/>
    <w:qFormat/>
    <w:uiPriority w:val="0"/>
    <w:rPr>
      <w:rFonts w:ascii="Cambria" w:hAnsi="Cambria" w:eastAsia="宋体" w:cs="Times New Roman"/>
      <w:b/>
      <w:bCs/>
      <w:sz w:val="28"/>
      <w:szCs w:val="28"/>
    </w:rPr>
  </w:style>
  <w:style w:type="character" w:customStyle="1" w:styleId="564">
    <w:name w:val="！正文 Char"/>
    <w:link w:val="158"/>
    <w:qFormat/>
    <w:uiPriority w:val="0"/>
    <w:rPr>
      <w:rFonts w:ascii="Times New Roman" w:hAnsi="Times New Roman" w:eastAsia="宋体" w:cs="宋体"/>
      <w:sz w:val="24"/>
      <w:szCs w:val="20"/>
    </w:rPr>
  </w:style>
  <w:style w:type="paragraph" w:customStyle="1" w:styleId="565">
    <w:name w:val="邓表后空格"/>
    <w:basedOn w:val="102"/>
    <w:link w:val="566"/>
    <w:qFormat/>
    <w:uiPriority w:val="0"/>
    <w:pPr>
      <w:spacing w:line="240" w:lineRule="exact"/>
      <w:ind w:firstLine="0" w:firstLineChars="0"/>
      <w:jc w:val="both"/>
    </w:pPr>
    <w:rPr>
      <w:rFonts w:ascii="楷体_GB2312" w:hAnsi="楷体_GB2312" w:eastAsia="宋体" w:cs="Times New Roman"/>
      <w:sz w:val="18"/>
      <w:lang w:val="zh-CN"/>
    </w:rPr>
  </w:style>
  <w:style w:type="character" w:customStyle="1" w:styleId="566">
    <w:name w:val="邓表后空格 Char"/>
    <w:link w:val="565"/>
    <w:qFormat/>
    <w:uiPriority w:val="0"/>
    <w:rPr>
      <w:rFonts w:ascii="楷体_GB2312" w:hAnsi="楷体_GB2312" w:eastAsia="宋体" w:cs="Times New Roman"/>
      <w:kern w:val="0"/>
      <w:sz w:val="18"/>
      <w:szCs w:val="24"/>
      <w:lang w:val="zh-CN" w:eastAsia="zh-CN"/>
    </w:rPr>
  </w:style>
  <w:style w:type="paragraph" w:customStyle="1" w:styleId="567">
    <w:name w:val="标题4 样式"/>
    <w:qFormat/>
    <w:uiPriority w:val="99"/>
    <w:pPr>
      <w:adjustRightInd w:val="0"/>
      <w:snapToGrid w:val="0"/>
      <w:spacing w:line="360" w:lineRule="auto"/>
      <w:outlineLvl w:val="3"/>
    </w:pPr>
    <w:rPr>
      <w:rFonts w:ascii="仿宋" w:hAnsi="仿宋" w:eastAsia="仿宋" w:cs="宋体"/>
      <w:b/>
      <w:color w:val="000000"/>
      <w:kern w:val="2"/>
      <w:sz w:val="24"/>
      <w:szCs w:val="24"/>
      <w:lang w:val="en-US" w:eastAsia="zh-CN" w:bidi="ar-SA"/>
    </w:rPr>
  </w:style>
  <w:style w:type="character" w:customStyle="1" w:styleId="568">
    <w:name w:val="fu正文 Char"/>
    <w:link w:val="569"/>
    <w:qFormat/>
    <w:uiPriority w:val="0"/>
    <w:rPr>
      <w:color w:val="000000"/>
      <w:sz w:val="24"/>
      <w:szCs w:val="24"/>
    </w:rPr>
  </w:style>
  <w:style w:type="paragraph" w:customStyle="1" w:styleId="569">
    <w:name w:val="fu正文"/>
    <w:basedOn w:val="1"/>
    <w:link w:val="568"/>
    <w:qFormat/>
    <w:uiPriority w:val="0"/>
    <w:pPr>
      <w:ind w:firstLine="200"/>
    </w:pPr>
    <w:rPr>
      <w:rFonts w:ascii="Calibri" w:hAnsi="Calibri" w:cs="宋体"/>
      <w:color w:val="000000"/>
      <w:kern w:val="2"/>
    </w:rPr>
  </w:style>
  <w:style w:type="character" w:customStyle="1" w:styleId="570">
    <w:name w:val="表格15 Char"/>
    <w:link w:val="571"/>
    <w:qFormat/>
    <w:uiPriority w:val="0"/>
    <w:rPr>
      <w:rFonts w:ascii="宋体"/>
      <w:szCs w:val="28"/>
    </w:rPr>
  </w:style>
  <w:style w:type="paragraph" w:customStyle="1" w:styleId="571">
    <w:name w:val="表格15"/>
    <w:basedOn w:val="1"/>
    <w:link w:val="570"/>
    <w:qFormat/>
    <w:uiPriority w:val="0"/>
    <w:pPr>
      <w:adjustRightInd w:val="0"/>
      <w:snapToGrid w:val="0"/>
      <w:spacing w:line="300" w:lineRule="exact"/>
      <w:ind w:firstLine="0" w:firstLineChars="0"/>
      <w:jc w:val="center"/>
      <w:textAlignment w:val="baseline"/>
    </w:pPr>
    <w:rPr>
      <w:rFonts w:ascii="宋体" w:hAnsi="Calibri" w:cs="宋体"/>
      <w:kern w:val="2"/>
      <w:sz w:val="21"/>
      <w:szCs w:val="28"/>
    </w:rPr>
  </w:style>
  <w:style w:type="character" w:customStyle="1" w:styleId="572">
    <w:name w:val="正文样式 Char1"/>
    <w:qFormat/>
    <w:uiPriority w:val="0"/>
    <w:rPr>
      <w:rFonts w:ascii="宋体" w:hAnsi="宋体" w:eastAsia="宋体" w:cs="Times New Roman"/>
      <w:color w:val="000000"/>
      <w:sz w:val="24"/>
      <w:szCs w:val="24"/>
    </w:rPr>
  </w:style>
  <w:style w:type="paragraph" w:customStyle="1" w:styleId="573">
    <w:name w:val="我的正文"/>
    <w:basedOn w:val="1"/>
    <w:link w:val="574"/>
    <w:qFormat/>
    <w:uiPriority w:val="0"/>
    <w:pPr>
      <w:spacing w:line="440" w:lineRule="exact"/>
      <w:ind w:firstLine="200"/>
    </w:pPr>
    <w:rPr>
      <w:rFonts w:ascii="Calibri" w:hAnsi="Calibri"/>
      <w:lang w:val="zh-CN"/>
    </w:rPr>
  </w:style>
  <w:style w:type="character" w:customStyle="1" w:styleId="574">
    <w:name w:val="我的正文 Char"/>
    <w:link w:val="573"/>
    <w:qFormat/>
    <w:uiPriority w:val="0"/>
    <w:rPr>
      <w:rFonts w:ascii="Calibri" w:hAnsi="Calibri" w:eastAsia="宋体" w:cs="Times New Roman"/>
      <w:kern w:val="0"/>
      <w:sz w:val="24"/>
      <w:szCs w:val="24"/>
      <w:lang w:val="zh-CN" w:eastAsia="zh-CN"/>
    </w:rPr>
  </w:style>
  <w:style w:type="paragraph" w:customStyle="1" w:styleId="575">
    <w:name w:val="我的表格"/>
    <w:basedOn w:val="1"/>
    <w:link w:val="961"/>
    <w:qFormat/>
    <w:uiPriority w:val="0"/>
    <w:pPr>
      <w:autoSpaceDE w:val="0"/>
      <w:autoSpaceDN w:val="0"/>
      <w:adjustRightInd w:val="0"/>
      <w:spacing w:line="240" w:lineRule="auto"/>
      <w:ind w:firstLine="0" w:firstLineChars="0"/>
      <w:jc w:val="center"/>
    </w:pPr>
    <w:rPr>
      <w:rFonts w:ascii="Calibri" w:hAnsi="Calibri"/>
      <w:sz w:val="21"/>
      <w:szCs w:val="21"/>
    </w:rPr>
  </w:style>
  <w:style w:type="character" w:customStyle="1" w:styleId="576">
    <w:name w:val="脚注文本 字符"/>
    <w:link w:val="49"/>
    <w:qFormat/>
    <w:uiPriority w:val="0"/>
    <w:rPr>
      <w:rFonts w:ascii="宋体"/>
      <w:sz w:val="18"/>
    </w:rPr>
  </w:style>
  <w:style w:type="character" w:customStyle="1" w:styleId="577">
    <w:name w:val="脚注文本 字符1"/>
    <w:basedOn w:val="71"/>
    <w:qFormat/>
    <w:uiPriority w:val="0"/>
    <w:rPr>
      <w:rFonts w:ascii="Times New Roman" w:hAnsi="Times New Roman" w:eastAsia="宋体" w:cs="Times New Roman"/>
      <w:kern w:val="0"/>
      <w:sz w:val="18"/>
      <w:szCs w:val="18"/>
    </w:rPr>
  </w:style>
  <w:style w:type="character" w:customStyle="1" w:styleId="578">
    <w:name w:val="Footnote Text Char1"/>
    <w:qFormat/>
    <w:uiPriority w:val="99"/>
    <w:rPr>
      <w:rFonts w:ascii="Times New Roman" w:hAnsi="Times New Roman" w:eastAsia="宋体" w:cs="Times New Roman"/>
      <w:sz w:val="18"/>
      <w:szCs w:val="18"/>
    </w:rPr>
  </w:style>
  <w:style w:type="character" w:customStyle="1" w:styleId="579">
    <w:name w:val="脚注文本 Char1"/>
    <w:qFormat/>
    <w:uiPriority w:val="0"/>
    <w:rPr>
      <w:rFonts w:ascii="Times New Roman" w:hAnsi="Times New Roman" w:eastAsia="宋体" w:cs="Times New Roman"/>
      <w:sz w:val="18"/>
      <w:szCs w:val="18"/>
    </w:rPr>
  </w:style>
  <w:style w:type="paragraph" w:customStyle="1" w:styleId="580">
    <w:name w:val="Table Paragraph"/>
    <w:basedOn w:val="1"/>
    <w:qFormat/>
    <w:uiPriority w:val="1"/>
    <w:pPr>
      <w:spacing w:line="240" w:lineRule="auto"/>
      <w:ind w:firstLine="0" w:firstLineChars="0"/>
      <w:jc w:val="left"/>
    </w:pPr>
    <w:rPr>
      <w:rFonts w:ascii="Calibri" w:hAnsi="Calibri" w:eastAsia="Calibri"/>
      <w:sz w:val="22"/>
      <w:szCs w:val="22"/>
      <w:lang w:eastAsia="en-US"/>
    </w:rPr>
  </w:style>
  <w:style w:type="character" w:customStyle="1" w:styleId="581">
    <w:name w:val="报告正文 Char1"/>
    <w:qFormat/>
    <w:uiPriority w:val="99"/>
    <w:rPr>
      <w:rFonts w:eastAsia="仿宋_GB2312"/>
      <w:color w:val="000000"/>
      <w:spacing w:val="-4"/>
      <w:sz w:val="28"/>
    </w:rPr>
  </w:style>
  <w:style w:type="paragraph" w:customStyle="1" w:styleId="582">
    <w:name w:val="HT normal"/>
    <w:basedOn w:val="1"/>
    <w:qFormat/>
    <w:uiPriority w:val="99"/>
    <w:pPr>
      <w:widowControl/>
      <w:spacing w:line="280" w:lineRule="atLeast"/>
      <w:ind w:firstLine="0" w:firstLineChars="0"/>
      <w:jc w:val="left"/>
    </w:pPr>
    <w:rPr>
      <w:rFonts w:ascii="Arial" w:hAnsi="Arial" w:cs="Arial"/>
      <w:sz w:val="22"/>
      <w:szCs w:val="22"/>
    </w:rPr>
  </w:style>
  <w:style w:type="character" w:customStyle="1" w:styleId="583">
    <w:name w:val="Heading 4 Char1"/>
    <w:qFormat/>
    <w:uiPriority w:val="0"/>
    <w:rPr>
      <w:sz w:val="24"/>
    </w:rPr>
  </w:style>
  <w:style w:type="character" w:customStyle="1" w:styleId="584">
    <w:name w:val="Heading 7 Char1"/>
    <w:qFormat/>
    <w:uiPriority w:val="0"/>
    <w:rPr>
      <w:rFonts w:ascii="Cambria Math" w:hAnsi="Cambria Math"/>
      <w:b/>
      <w:sz w:val="24"/>
    </w:rPr>
  </w:style>
  <w:style w:type="character" w:customStyle="1" w:styleId="585">
    <w:name w:val="Body Text Char1"/>
    <w:qFormat/>
    <w:uiPriority w:val="0"/>
    <w:rPr>
      <w:rFonts w:ascii="Cambria Math" w:hAnsi="Cambria Math" w:cs="Cambria Math"/>
      <w:sz w:val="24"/>
    </w:rPr>
  </w:style>
  <w:style w:type="character" w:customStyle="1" w:styleId="586">
    <w:name w:val="nwsh_c1"/>
    <w:qFormat/>
    <w:uiPriority w:val="0"/>
    <w:rPr>
      <w:sz w:val="18"/>
      <w:szCs w:val="18"/>
    </w:rPr>
  </w:style>
  <w:style w:type="character" w:customStyle="1" w:styleId="587">
    <w:name w:val="Footer Char1"/>
    <w:qFormat/>
    <w:uiPriority w:val="0"/>
    <w:rPr>
      <w:sz w:val="18"/>
    </w:rPr>
  </w:style>
  <w:style w:type="character" w:customStyle="1" w:styleId="588">
    <w:name w:val="正文样式 Char"/>
    <w:qFormat/>
    <w:uiPriority w:val="0"/>
    <w:rPr>
      <w:rFonts w:eastAsia="Cambria Math" w:cs="Cambria Math"/>
      <w:kern w:val="2"/>
      <w:sz w:val="24"/>
      <w:szCs w:val="24"/>
      <w:lang w:val="en-US" w:eastAsia="zh-CN" w:bidi="ar-SA"/>
    </w:rPr>
  </w:style>
  <w:style w:type="paragraph" w:customStyle="1" w:styleId="589">
    <w:name w:val="Char Char Char Char Char Char Char Char Char Char"/>
    <w:basedOn w:val="1"/>
    <w:qFormat/>
    <w:uiPriority w:val="99"/>
    <w:pPr>
      <w:widowControl/>
      <w:ind w:firstLine="200"/>
      <w:jc w:val="left"/>
    </w:pPr>
    <w:rPr>
      <w:rFonts w:ascii="Cambria Math" w:hAnsi="Cambria Math" w:cs="Cambria Math"/>
    </w:rPr>
  </w:style>
  <w:style w:type="paragraph" w:customStyle="1" w:styleId="590">
    <w:name w:val="默认段落字体 Para Char Char Char Char"/>
    <w:basedOn w:val="1"/>
    <w:qFormat/>
    <w:uiPriority w:val="99"/>
    <w:pPr>
      <w:widowControl/>
      <w:spacing w:line="240" w:lineRule="auto"/>
      <w:ind w:firstLine="0" w:firstLineChars="0"/>
      <w:jc w:val="left"/>
    </w:pPr>
    <w:rPr>
      <w:rFonts w:ascii="Cambria Math" w:hAnsi="Cambria Math" w:cs="Cambria Math"/>
      <w:color w:val="000000"/>
      <w:szCs w:val="21"/>
    </w:rPr>
  </w:style>
  <w:style w:type="paragraph" w:customStyle="1" w:styleId="591">
    <w:name w:val="??"/>
    <w:qFormat/>
    <w:uiPriority w:val="99"/>
    <w:pPr>
      <w:widowControl w:val="0"/>
      <w:overflowPunct w:val="0"/>
      <w:autoSpaceDE w:val="0"/>
      <w:autoSpaceDN w:val="0"/>
      <w:adjustRightInd w:val="0"/>
      <w:jc w:val="both"/>
      <w:textAlignment w:val="baseline"/>
    </w:pPr>
    <w:rPr>
      <w:rFonts w:ascii="Calibri" w:hAnsi="Calibri" w:eastAsia="宋体" w:cs="Times New Roman"/>
      <w:kern w:val="2"/>
      <w:sz w:val="21"/>
      <w:lang w:val="en-US" w:eastAsia="zh-CN" w:bidi="ar-SA"/>
    </w:rPr>
  </w:style>
  <w:style w:type="paragraph" w:customStyle="1" w:styleId="592">
    <w:name w:val="proposal"/>
    <w:basedOn w:val="1"/>
    <w:qFormat/>
    <w:uiPriority w:val="99"/>
    <w:pPr>
      <w:widowControl/>
      <w:spacing w:line="300" w:lineRule="auto"/>
      <w:ind w:left="1440" w:hanging="1440" w:firstLineChars="0"/>
      <w:jc w:val="left"/>
    </w:pPr>
    <w:rPr>
      <w:rFonts w:ascii="Cambria Math" w:hAnsi="Cambria Math" w:cs="Cambria Math"/>
      <w:szCs w:val="20"/>
      <w:lang w:val="en-GB" w:eastAsia="en-GB"/>
    </w:rPr>
  </w:style>
  <w:style w:type="paragraph" w:customStyle="1" w:styleId="593">
    <w:name w:val="2"/>
    <w:next w:val="1"/>
    <w:link w:val="881"/>
    <w:qFormat/>
    <w:uiPriority w:val="0"/>
    <w:pPr>
      <w:widowControl w:val="0"/>
      <w:jc w:val="both"/>
    </w:pPr>
    <w:rPr>
      <w:rFonts w:ascii="Calibri" w:hAnsi="Calibri" w:eastAsia="宋体" w:cs="Times New Roman"/>
      <w:sz w:val="21"/>
      <w:szCs w:val="24"/>
      <w:lang w:val="en-US" w:eastAsia="zh-CN" w:bidi="ar-SA"/>
    </w:rPr>
  </w:style>
  <w:style w:type="paragraph" w:customStyle="1" w:styleId="594">
    <w:name w:val="qilu"/>
    <w:basedOn w:val="1"/>
    <w:qFormat/>
    <w:uiPriority w:val="99"/>
    <w:pPr>
      <w:widowControl/>
      <w:ind w:firstLine="0" w:firstLineChars="0"/>
      <w:jc w:val="left"/>
    </w:pPr>
    <w:rPr>
      <w:rFonts w:ascii="Cambria Math" w:hAnsi="Cambria Math" w:cs="Arial Bold"/>
      <w:b/>
      <w:kern w:val="2"/>
      <w:lang w:bidi="en-US"/>
    </w:rPr>
  </w:style>
  <w:style w:type="paragraph" w:customStyle="1" w:styleId="595">
    <w:name w:val="Text"/>
    <w:basedOn w:val="59"/>
    <w:qFormat/>
    <w:uiPriority w:val="99"/>
    <w:pPr>
      <w:ind w:left="0" w:leftChars="0"/>
    </w:pPr>
    <w:rPr>
      <w:szCs w:val="20"/>
      <w:lang w:eastAsia="en-US"/>
    </w:rPr>
  </w:style>
  <w:style w:type="paragraph" w:customStyle="1" w:styleId="596">
    <w:name w:val="1"/>
    <w:basedOn w:val="1"/>
    <w:qFormat/>
    <w:uiPriority w:val="99"/>
    <w:pPr>
      <w:widowControl/>
      <w:spacing w:before="100" w:beforeAutospacing="1" w:after="100" w:afterAutospacing="1" w:line="240" w:lineRule="auto"/>
      <w:ind w:firstLine="0" w:firstLineChars="0"/>
      <w:jc w:val="left"/>
    </w:pPr>
    <w:rPr>
      <w:rFonts w:ascii="Cambria Math" w:hAnsi="Cambria Math" w:cs="Cambria Math"/>
    </w:rPr>
  </w:style>
  <w:style w:type="paragraph" w:customStyle="1" w:styleId="597">
    <w:name w:val="CM13"/>
    <w:basedOn w:val="1"/>
    <w:next w:val="1"/>
    <w:qFormat/>
    <w:uiPriority w:val="99"/>
    <w:pPr>
      <w:widowControl/>
      <w:autoSpaceDE w:val="0"/>
      <w:autoSpaceDN w:val="0"/>
      <w:adjustRightInd w:val="0"/>
      <w:spacing w:line="240" w:lineRule="auto"/>
      <w:ind w:firstLine="0" w:firstLineChars="0"/>
      <w:jc w:val="left"/>
    </w:pPr>
    <w:rPr>
      <w:rFonts w:ascii="Cambria Math" w:hAnsi="Cambria Math" w:cs="Cambria Math"/>
    </w:rPr>
  </w:style>
  <w:style w:type="paragraph" w:customStyle="1" w:styleId="598">
    <w:name w:val="Char"/>
    <w:basedOn w:val="1"/>
    <w:qFormat/>
    <w:uiPriority w:val="0"/>
    <w:pPr>
      <w:widowControl/>
      <w:spacing w:after="160" w:line="240" w:lineRule="exact"/>
      <w:ind w:firstLine="0" w:firstLineChars="0"/>
      <w:jc w:val="left"/>
    </w:pPr>
    <w:rPr>
      <w:rFonts w:ascii="Cambria Math" w:hAnsi="Cambria Math" w:eastAsia="Arial Bold" w:cs="Cambria Math"/>
      <w:szCs w:val="20"/>
      <w:lang w:eastAsia="en-US"/>
    </w:rPr>
  </w:style>
  <w:style w:type="paragraph" w:customStyle="1" w:styleId="599">
    <w:name w:val="修订1"/>
    <w:qFormat/>
    <w:uiPriority w:val="99"/>
    <w:rPr>
      <w:rFonts w:ascii="Calibri" w:hAnsi="Calibri" w:eastAsia="宋体" w:cs="Times New Roman"/>
      <w:sz w:val="21"/>
      <w:szCs w:val="24"/>
      <w:lang w:val="en-US" w:eastAsia="zh-CN" w:bidi="ar-SA"/>
    </w:rPr>
  </w:style>
  <w:style w:type="paragraph" w:customStyle="1" w:styleId="600">
    <w:name w:val="Char1"/>
    <w:basedOn w:val="1"/>
    <w:qFormat/>
    <w:uiPriority w:val="99"/>
    <w:pPr>
      <w:widowControl/>
      <w:spacing w:line="240" w:lineRule="auto"/>
      <w:ind w:firstLine="0" w:firstLineChars="0"/>
      <w:jc w:val="left"/>
    </w:pPr>
    <w:rPr>
      <w:rFonts w:ascii="Cambria Math" w:hAnsi="Cambria Math" w:cs="Cambria Math"/>
    </w:rPr>
  </w:style>
  <w:style w:type="paragraph" w:customStyle="1" w:styleId="601">
    <w:name w:val="HT Normal"/>
    <w:basedOn w:val="1"/>
    <w:qFormat/>
    <w:uiPriority w:val="99"/>
    <w:pPr>
      <w:widowControl/>
      <w:spacing w:line="280" w:lineRule="atLeast"/>
      <w:ind w:firstLine="0" w:firstLineChars="0"/>
      <w:jc w:val="left"/>
    </w:pPr>
    <w:rPr>
      <w:rFonts w:ascii="Arial Bold" w:hAnsi="Arial Bold" w:cs="Arial Bold"/>
      <w:sz w:val="22"/>
      <w:lang w:val="en-GB" w:eastAsia="en-US"/>
    </w:rPr>
  </w:style>
  <w:style w:type="paragraph" w:customStyle="1" w:styleId="602">
    <w:name w:val="表－居中列"/>
    <w:basedOn w:val="1"/>
    <w:link w:val="603"/>
    <w:qFormat/>
    <w:uiPriority w:val="0"/>
    <w:pPr>
      <w:widowControl/>
      <w:suppressLineNumbers/>
      <w:suppressAutoHyphens/>
      <w:snapToGrid w:val="0"/>
      <w:spacing w:before="60" w:after="60" w:line="240" w:lineRule="auto"/>
      <w:ind w:firstLine="0" w:firstLineChars="0"/>
      <w:jc w:val="center"/>
    </w:pPr>
    <w:rPr>
      <w:rFonts w:ascii="Cambria Math" w:hAnsi="Cambria Math"/>
      <w:szCs w:val="21"/>
      <w:lang w:val="zh-CN" w:eastAsia="ja-JP"/>
    </w:rPr>
  </w:style>
  <w:style w:type="character" w:customStyle="1" w:styleId="603">
    <w:name w:val="表－居中列 Char"/>
    <w:link w:val="602"/>
    <w:qFormat/>
    <w:uiPriority w:val="0"/>
    <w:rPr>
      <w:rFonts w:ascii="Cambria Math" w:hAnsi="Cambria Math" w:eastAsia="宋体" w:cs="Times New Roman"/>
      <w:kern w:val="0"/>
      <w:sz w:val="24"/>
      <w:szCs w:val="21"/>
      <w:lang w:val="zh-CN" w:eastAsia="ja-JP"/>
    </w:rPr>
  </w:style>
  <w:style w:type="paragraph" w:customStyle="1" w:styleId="604">
    <w:name w:val="Normal1"/>
    <w:qFormat/>
    <w:uiPriority w:val="99"/>
    <w:pPr>
      <w:widowControl w:val="0"/>
      <w:adjustRightInd w:val="0"/>
      <w:spacing w:line="307" w:lineRule="atLeast"/>
      <w:jc w:val="both"/>
      <w:textAlignment w:val="baseline"/>
    </w:pPr>
    <w:rPr>
      <w:rFonts w:ascii="Cambria Math" w:hAnsi="Calibri" w:eastAsia="宋体" w:cs="Times New Roman"/>
      <w:sz w:val="18"/>
      <w:lang w:val="en-US" w:eastAsia="zh-CN" w:bidi="ar-SA"/>
    </w:rPr>
  </w:style>
  <w:style w:type="paragraph" w:customStyle="1" w:styleId="605">
    <w:name w:val="Char Char Char Char Char Char Char"/>
    <w:basedOn w:val="1"/>
    <w:qFormat/>
    <w:uiPriority w:val="99"/>
    <w:pPr>
      <w:widowControl/>
      <w:spacing w:line="240" w:lineRule="auto"/>
      <w:ind w:firstLine="0" w:firstLineChars="0"/>
      <w:jc w:val="left"/>
    </w:pPr>
    <w:rPr>
      <w:rFonts w:ascii="Cambria Math" w:hAnsi="Cambria Math" w:cs="Cambria Math"/>
      <w:szCs w:val="21"/>
    </w:rPr>
  </w:style>
  <w:style w:type="paragraph" w:customStyle="1" w:styleId="606">
    <w:name w:val="正文 自定义"/>
    <w:basedOn w:val="1"/>
    <w:qFormat/>
    <w:uiPriority w:val="99"/>
    <w:pPr>
      <w:widowControl/>
      <w:spacing w:before="156"/>
      <w:ind w:firstLine="480"/>
      <w:jc w:val="left"/>
    </w:pPr>
    <w:rPr>
      <w:rFonts w:ascii="Cambria Math" w:hAnsi="Cambria Math" w:cs="Cambria Math"/>
      <w:kern w:val="2"/>
      <w:szCs w:val="20"/>
    </w:rPr>
  </w:style>
  <w:style w:type="paragraph" w:customStyle="1" w:styleId="607">
    <w:name w:val="xl31"/>
    <w:basedOn w:val="1"/>
    <w:qFormat/>
    <w:uiPriority w:val="99"/>
    <w:pPr>
      <w:widowControl/>
      <w:spacing w:before="100" w:beforeAutospacing="1" w:after="100" w:afterAutospacing="1" w:line="240" w:lineRule="auto"/>
      <w:ind w:firstLine="0" w:firstLineChars="0"/>
      <w:jc w:val="center"/>
    </w:pPr>
    <w:rPr>
      <w:rFonts w:ascii="Cambria Math" w:hAnsi="Cambria Math" w:cs="Cambria Math"/>
    </w:rPr>
  </w:style>
  <w:style w:type="table" w:customStyle="1" w:styleId="608">
    <w:name w:val="Table Normal1"/>
    <w:qFormat/>
    <w:uiPriority w:val="2"/>
    <w:pPr>
      <w:widowControl w:val="0"/>
    </w:pPr>
    <w:rPr>
      <w:rFonts w:ascii="Marigold (PCL6)" w:hAnsi="Marigold (PCL6)"/>
      <w:sz w:val="22"/>
      <w:lang w:eastAsia="en-US"/>
    </w:rPr>
    <w:tblPr>
      <w:tblCellMar>
        <w:top w:w="0" w:type="dxa"/>
        <w:left w:w="0" w:type="dxa"/>
        <w:bottom w:w="0" w:type="dxa"/>
        <w:right w:w="0" w:type="dxa"/>
      </w:tblCellMar>
    </w:tblPr>
  </w:style>
  <w:style w:type="character" w:customStyle="1" w:styleId="609">
    <w:name w:val="z1"/>
    <w:qFormat/>
    <w:uiPriority w:val="0"/>
    <w:rPr>
      <w:sz w:val="18"/>
      <w:szCs w:val="18"/>
    </w:rPr>
  </w:style>
  <w:style w:type="character" w:customStyle="1" w:styleId="610">
    <w:name w:val="明显引用 Char"/>
    <w:link w:val="611"/>
    <w:qFormat/>
    <w:uiPriority w:val="0"/>
    <w:rPr>
      <w:rFonts w:ascii="Cambria" w:hAnsi="Cambria"/>
      <w:caps/>
      <w:color w:val="622423"/>
      <w:spacing w:val="5"/>
      <w:lang w:eastAsia="en-US"/>
    </w:rPr>
  </w:style>
  <w:style w:type="paragraph" w:customStyle="1" w:styleId="611">
    <w:name w:val="明显引用1"/>
    <w:basedOn w:val="1"/>
    <w:next w:val="1"/>
    <w:link w:val="610"/>
    <w:qFormat/>
    <w:uiPriority w:val="0"/>
    <w:pPr>
      <w:widowControl/>
      <w:pBdr>
        <w:top w:val="dotted" w:color="632423" w:sz="2" w:space="10"/>
        <w:bottom w:val="dotted" w:color="632423" w:sz="2" w:space="4"/>
      </w:pBdr>
      <w:spacing w:before="160" w:after="200" w:line="300" w:lineRule="auto"/>
      <w:ind w:left="1440" w:right="1440" w:hanging="851" w:hangingChars="200"/>
      <w:jc w:val="left"/>
    </w:pPr>
    <w:rPr>
      <w:rFonts w:ascii="Cambria" w:hAnsi="Cambria" w:cs="宋体"/>
      <w:caps/>
      <w:color w:val="622423"/>
      <w:spacing w:val="5"/>
      <w:kern w:val="2"/>
      <w:sz w:val="21"/>
      <w:szCs w:val="22"/>
      <w:lang w:eastAsia="en-US"/>
    </w:rPr>
  </w:style>
  <w:style w:type="character" w:customStyle="1" w:styleId="612">
    <w:name w:val="description5"/>
    <w:basedOn w:val="71"/>
    <w:qFormat/>
    <w:uiPriority w:val="0"/>
  </w:style>
  <w:style w:type="character" w:customStyle="1" w:styleId="613">
    <w:name w:val="cucd-TB-Head Char Char1"/>
    <w:qFormat/>
    <w:uiPriority w:val="0"/>
    <w:rPr>
      <w:rFonts w:ascii="宋体" w:hAnsi="宋体" w:eastAsia="黑体"/>
      <w:color w:val="000000"/>
      <w:kern w:val="2"/>
      <w:sz w:val="24"/>
      <w:szCs w:val="21"/>
      <w:lang w:val="en-US" w:eastAsia="zh-CN" w:bidi="ar-SA"/>
    </w:rPr>
  </w:style>
  <w:style w:type="character" w:customStyle="1" w:styleId="614">
    <w:name w:val="标题 字符1"/>
    <w:qFormat/>
    <w:uiPriority w:val="0"/>
    <w:rPr>
      <w:rFonts w:ascii="等线 Light" w:hAnsi="等线 Light" w:cs="Times New Roman"/>
      <w:b/>
      <w:bCs/>
      <w:kern w:val="2"/>
      <w:sz w:val="32"/>
      <w:szCs w:val="32"/>
    </w:rPr>
  </w:style>
  <w:style w:type="character" w:customStyle="1" w:styleId="615">
    <w:name w:val="Title Char1"/>
    <w:qFormat/>
    <w:uiPriority w:val="10"/>
    <w:rPr>
      <w:rFonts w:ascii="Cambria" w:hAnsi="Cambria" w:eastAsia="宋体" w:cs="Times New Roman"/>
      <w:b/>
      <w:bCs/>
      <w:sz w:val="32"/>
      <w:szCs w:val="32"/>
    </w:rPr>
  </w:style>
  <w:style w:type="character" w:customStyle="1" w:styleId="616">
    <w:name w:val="Char Char2"/>
    <w:qFormat/>
    <w:uiPriority w:val="0"/>
    <w:rPr>
      <w:rFonts w:eastAsia="宋体"/>
      <w:kern w:val="2"/>
      <w:sz w:val="18"/>
      <w:szCs w:val="18"/>
      <w:lang w:val="en-US" w:eastAsia="zh-CN" w:bidi="ar-SA"/>
    </w:rPr>
  </w:style>
  <w:style w:type="character" w:customStyle="1" w:styleId="617">
    <w:name w:val="表格文字 Char Char1"/>
    <w:qFormat/>
    <w:uiPriority w:val="0"/>
    <w:rPr>
      <w:rFonts w:eastAsia="宋体"/>
      <w:kern w:val="2"/>
      <w:sz w:val="24"/>
      <w:lang w:val="en-US" w:eastAsia="zh-CN"/>
    </w:rPr>
  </w:style>
  <w:style w:type="character" w:customStyle="1" w:styleId="618">
    <w:name w:val="样式 表格文字 Char + 段前: 0.5 行 Char Char"/>
    <w:link w:val="619"/>
    <w:qFormat/>
    <w:uiPriority w:val="0"/>
    <w:rPr>
      <w:rFonts w:cs="宋体"/>
      <w:sz w:val="24"/>
    </w:rPr>
  </w:style>
  <w:style w:type="paragraph" w:customStyle="1" w:styleId="619">
    <w:name w:val="样式 表格文字 Char + 段前: 0.5 行"/>
    <w:basedOn w:val="1"/>
    <w:link w:val="618"/>
    <w:qFormat/>
    <w:uiPriority w:val="0"/>
    <w:pPr>
      <w:spacing w:beforeLines="50"/>
      <w:ind w:hanging="851" w:hangingChars="200"/>
      <w:jc w:val="center"/>
    </w:pPr>
    <w:rPr>
      <w:rFonts w:ascii="Calibri" w:hAnsi="Calibri" w:cs="宋体"/>
      <w:kern w:val="2"/>
      <w:szCs w:val="22"/>
    </w:rPr>
  </w:style>
  <w:style w:type="character" w:customStyle="1" w:styleId="620">
    <w:name w:val="cucd-0 Char11"/>
    <w:qFormat/>
    <w:uiPriority w:val="0"/>
    <w:rPr>
      <w:kern w:val="2"/>
      <w:sz w:val="24"/>
      <w:szCs w:val="24"/>
    </w:rPr>
  </w:style>
  <w:style w:type="character" w:customStyle="1" w:styleId="621">
    <w:name w:val="cucd-4 Char Char"/>
    <w:link w:val="622"/>
    <w:qFormat/>
    <w:uiPriority w:val="0"/>
    <w:rPr>
      <w:b/>
      <w:sz w:val="24"/>
      <w:szCs w:val="24"/>
    </w:rPr>
  </w:style>
  <w:style w:type="paragraph" w:customStyle="1" w:styleId="622">
    <w:name w:val="cucd-4"/>
    <w:next w:val="475"/>
    <w:link w:val="621"/>
    <w:qFormat/>
    <w:uiPriority w:val="0"/>
    <w:pPr>
      <w:tabs>
        <w:tab w:val="left" w:pos="945"/>
      </w:tabs>
      <w:spacing w:line="360" w:lineRule="auto"/>
      <w:ind w:left="851" w:hanging="851"/>
      <w:jc w:val="both"/>
      <w:outlineLvl w:val="3"/>
    </w:pPr>
    <w:rPr>
      <w:rFonts w:ascii="Calibri" w:hAnsi="Calibri" w:eastAsia="宋体" w:cs="宋体"/>
      <w:b/>
      <w:kern w:val="2"/>
      <w:sz w:val="24"/>
      <w:szCs w:val="24"/>
      <w:lang w:val="en-US" w:eastAsia="zh-CN" w:bidi="ar-SA"/>
    </w:rPr>
  </w:style>
  <w:style w:type="character" w:customStyle="1" w:styleId="623">
    <w:name w:val="cucd-TB-Head Char Char Char"/>
    <w:qFormat/>
    <w:uiPriority w:val="0"/>
    <w:rPr>
      <w:rFonts w:eastAsia="黑体"/>
      <w:kern w:val="2"/>
      <w:sz w:val="24"/>
      <w:szCs w:val="21"/>
      <w:lang w:val="en-US" w:eastAsia="zh-CN" w:bidi="ar-SA"/>
    </w:rPr>
  </w:style>
  <w:style w:type="character" w:customStyle="1" w:styleId="624">
    <w:name w:val="cucd-TB Char Char"/>
    <w:qFormat/>
    <w:uiPriority w:val="0"/>
    <w:rPr>
      <w:rFonts w:eastAsia="宋体"/>
      <w:kern w:val="2"/>
      <w:sz w:val="21"/>
      <w:szCs w:val="24"/>
      <w:lang w:val="en-US" w:eastAsia="zh-CN" w:bidi="ar-SA"/>
    </w:rPr>
  </w:style>
  <w:style w:type="character" w:customStyle="1" w:styleId="625">
    <w:name w:val="cucd-0 Char Char Char Char Char Char Char Char Char Char"/>
    <w:link w:val="626"/>
    <w:qFormat/>
    <w:uiPriority w:val="0"/>
    <w:rPr>
      <w:sz w:val="24"/>
      <w:szCs w:val="24"/>
    </w:rPr>
  </w:style>
  <w:style w:type="paragraph" w:customStyle="1" w:styleId="626">
    <w:name w:val="cucd-0 Char Char Char Char Char Char Char Char"/>
    <w:link w:val="625"/>
    <w:qFormat/>
    <w:uiPriority w:val="0"/>
    <w:pPr>
      <w:spacing w:line="360" w:lineRule="auto"/>
      <w:ind w:left="851" w:firstLine="480" w:firstLineChars="200"/>
      <w:jc w:val="both"/>
    </w:pPr>
    <w:rPr>
      <w:rFonts w:ascii="Calibri" w:hAnsi="Calibri" w:eastAsia="宋体" w:cs="宋体"/>
      <w:kern w:val="2"/>
      <w:sz w:val="24"/>
      <w:szCs w:val="24"/>
      <w:lang w:val="en-US" w:eastAsia="zh-CN" w:bidi="ar-SA"/>
    </w:rPr>
  </w:style>
  <w:style w:type="character" w:customStyle="1" w:styleId="627">
    <w:name w:val="cauc-0 Char1"/>
    <w:link w:val="628"/>
    <w:qFormat/>
    <w:uiPriority w:val="0"/>
    <w:rPr>
      <w:sz w:val="24"/>
    </w:rPr>
  </w:style>
  <w:style w:type="paragraph" w:customStyle="1" w:styleId="628">
    <w:name w:val="cauc-0"/>
    <w:link w:val="627"/>
    <w:qFormat/>
    <w:uiPriority w:val="0"/>
    <w:pPr>
      <w:spacing w:line="360" w:lineRule="auto"/>
      <w:ind w:left="851" w:firstLine="480" w:firstLineChars="200"/>
      <w:jc w:val="both"/>
    </w:pPr>
    <w:rPr>
      <w:rFonts w:ascii="Calibri" w:hAnsi="Calibri" w:eastAsia="宋体" w:cs="宋体"/>
      <w:kern w:val="2"/>
      <w:sz w:val="24"/>
      <w:szCs w:val="22"/>
      <w:lang w:val="en-US" w:eastAsia="zh-CN" w:bidi="ar-SA"/>
    </w:rPr>
  </w:style>
  <w:style w:type="character" w:customStyle="1" w:styleId="629">
    <w:name w:val="HU-正文 Char Char"/>
    <w:link w:val="630"/>
    <w:qFormat/>
    <w:uiPriority w:val="0"/>
    <w:rPr>
      <w:rFonts w:ascii="Arial" w:hAnsi="Arial" w:cs="Arial"/>
      <w:sz w:val="24"/>
      <w:szCs w:val="24"/>
    </w:rPr>
  </w:style>
  <w:style w:type="paragraph" w:customStyle="1" w:styleId="630">
    <w:name w:val="HU-正文"/>
    <w:basedOn w:val="1"/>
    <w:link w:val="629"/>
    <w:qFormat/>
    <w:uiPriority w:val="0"/>
    <w:pPr>
      <w:ind w:firstLine="480"/>
    </w:pPr>
    <w:rPr>
      <w:rFonts w:ascii="Arial" w:hAnsi="Arial" w:cs="Arial"/>
      <w:kern w:val="2"/>
    </w:rPr>
  </w:style>
  <w:style w:type="character" w:customStyle="1" w:styleId="631">
    <w:name w:val="Char Char14"/>
    <w:qFormat/>
    <w:uiPriority w:val="0"/>
    <w:rPr>
      <w:kern w:val="2"/>
      <w:sz w:val="18"/>
      <w:szCs w:val="18"/>
    </w:rPr>
  </w:style>
  <w:style w:type="character" w:customStyle="1" w:styleId="632">
    <w:name w:val="cucd-0 Char Char"/>
    <w:qFormat/>
    <w:uiPriority w:val="0"/>
    <w:rPr>
      <w:kern w:val="2"/>
      <w:sz w:val="24"/>
      <w:szCs w:val="24"/>
      <w:lang w:val="en-US" w:eastAsia="zh-CN" w:bidi="ar-SA"/>
    </w:rPr>
  </w:style>
  <w:style w:type="character" w:customStyle="1" w:styleId="633">
    <w:name w:val="批注框文本 Char Char"/>
    <w:qFormat/>
    <w:uiPriority w:val="0"/>
    <w:rPr>
      <w:rFonts w:eastAsia="宋体"/>
      <w:kern w:val="2"/>
      <w:sz w:val="18"/>
      <w:szCs w:val="18"/>
      <w:lang w:val="en-US" w:eastAsia="zh-CN" w:bidi="ar-SA"/>
    </w:rPr>
  </w:style>
  <w:style w:type="character" w:customStyle="1" w:styleId="634">
    <w:name w:val="_"/>
    <w:basedOn w:val="71"/>
    <w:qFormat/>
    <w:uiPriority w:val="0"/>
  </w:style>
  <w:style w:type="character" w:customStyle="1" w:styleId="635">
    <w:name w:val="cucd-TB-Head Char Char"/>
    <w:qFormat/>
    <w:uiPriority w:val="0"/>
    <w:rPr>
      <w:rFonts w:eastAsia="黑体"/>
      <w:kern w:val="2"/>
      <w:sz w:val="24"/>
      <w:szCs w:val="24"/>
      <w:lang w:val="en-US" w:eastAsia="zh-CN" w:bidi="ar-SA"/>
    </w:rPr>
  </w:style>
  <w:style w:type="character" w:customStyle="1" w:styleId="636">
    <w:name w:val="cauc-0 Char Char Char Char"/>
    <w:qFormat/>
    <w:uiPriority w:val="0"/>
    <w:rPr>
      <w:rFonts w:eastAsia="宋体"/>
      <w:kern w:val="2"/>
      <w:sz w:val="24"/>
      <w:lang w:val="en-US" w:eastAsia="zh-CN" w:bidi="ar-SA"/>
    </w:rPr>
  </w:style>
  <w:style w:type="character" w:customStyle="1" w:styleId="637">
    <w:name w:val="不明显强调1"/>
    <w:qFormat/>
    <w:uiPriority w:val="0"/>
    <w:rPr>
      <w:i/>
    </w:rPr>
  </w:style>
  <w:style w:type="character" w:customStyle="1" w:styleId="638">
    <w:name w:val="表格文字 Char Char2"/>
    <w:qFormat/>
    <w:uiPriority w:val="0"/>
    <w:rPr>
      <w:rFonts w:eastAsia="宋体"/>
      <w:kern w:val="2"/>
      <w:sz w:val="24"/>
      <w:lang w:val="en-US" w:eastAsia="zh-CN"/>
    </w:rPr>
  </w:style>
  <w:style w:type="character" w:customStyle="1" w:styleId="639">
    <w:name w:val="cucd-1 Char Char"/>
    <w:qFormat/>
    <w:uiPriority w:val="0"/>
    <w:rPr>
      <w:rFonts w:eastAsia="黑体"/>
      <w:b/>
      <w:kern w:val="2"/>
      <w:sz w:val="36"/>
      <w:szCs w:val="24"/>
      <w:lang w:val="en-US" w:eastAsia="zh-CN" w:bidi="ar-SA"/>
    </w:rPr>
  </w:style>
  <w:style w:type="character" w:customStyle="1" w:styleId="640">
    <w:name w:val="cucd-2 Char1"/>
    <w:qFormat/>
    <w:uiPriority w:val="0"/>
    <w:rPr>
      <w:rFonts w:eastAsia="黑体"/>
      <w:b/>
      <w:kern w:val="2"/>
      <w:sz w:val="30"/>
      <w:szCs w:val="24"/>
      <w:lang w:val="en-US" w:eastAsia="zh-CN" w:bidi="ar-SA"/>
    </w:rPr>
  </w:style>
  <w:style w:type="character" w:customStyle="1" w:styleId="641">
    <w:name w:val="Char Char13"/>
    <w:qFormat/>
    <w:uiPriority w:val="0"/>
    <w:rPr>
      <w:kern w:val="2"/>
      <w:sz w:val="18"/>
      <w:szCs w:val="18"/>
    </w:rPr>
  </w:style>
  <w:style w:type="character" w:customStyle="1" w:styleId="642">
    <w:name w:val="cucd-2 Char Char Char Char"/>
    <w:qFormat/>
    <w:uiPriority w:val="0"/>
    <w:rPr>
      <w:rFonts w:eastAsia="黑体"/>
      <w:b/>
      <w:kern w:val="2"/>
      <w:sz w:val="30"/>
      <w:szCs w:val="24"/>
      <w:lang w:val="en-US" w:eastAsia="zh-CN" w:bidi="ar-SA"/>
    </w:rPr>
  </w:style>
  <w:style w:type="character" w:customStyle="1" w:styleId="643">
    <w:name w:val="四号宋体左齐行距1.5倍 Char Char"/>
    <w:qFormat/>
    <w:uiPriority w:val="0"/>
    <w:rPr>
      <w:rFonts w:eastAsia="宋体"/>
      <w:b/>
      <w:bCs/>
      <w:kern w:val="2"/>
      <w:sz w:val="32"/>
      <w:szCs w:val="32"/>
      <w:lang w:val="en-US" w:eastAsia="zh-CN" w:bidi="ar-SA"/>
    </w:rPr>
  </w:style>
  <w:style w:type="character" w:customStyle="1" w:styleId="644">
    <w:name w:val="headline-content3"/>
    <w:basedOn w:val="71"/>
    <w:qFormat/>
    <w:uiPriority w:val="0"/>
  </w:style>
  <w:style w:type="character" w:customStyle="1" w:styleId="645">
    <w:name w:val="cucd-3 Char1"/>
    <w:link w:val="646"/>
    <w:qFormat/>
    <w:uiPriority w:val="0"/>
    <w:rPr>
      <w:b/>
      <w:sz w:val="28"/>
      <w:szCs w:val="24"/>
    </w:rPr>
  </w:style>
  <w:style w:type="paragraph" w:customStyle="1" w:styleId="646">
    <w:name w:val="cucd-3"/>
    <w:next w:val="622"/>
    <w:link w:val="645"/>
    <w:qFormat/>
    <w:uiPriority w:val="0"/>
    <w:pPr>
      <w:tabs>
        <w:tab w:val="left" w:pos="993"/>
      </w:tabs>
      <w:spacing w:line="360" w:lineRule="auto"/>
      <w:ind w:left="993" w:hanging="567"/>
      <w:jc w:val="both"/>
      <w:outlineLvl w:val="2"/>
    </w:pPr>
    <w:rPr>
      <w:rFonts w:ascii="Calibri" w:hAnsi="Calibri" w:eastAsia="宋体" w:cs="宋体"/>
      <w:b/>
      <w:kern w:val="2"/>
      <w:sz w:val="28"/>
      <w:szCs w:val="24"/>
      <w:lang w:val="en-US" w:eastAsia="zh-CN" w:bidi="ar-SA"/>
    </w:rPr>
  </w:style>
  <w:style w:type="character" w:customStyle="1" w:styleId="647">
    <w:name w:val="cucd-TB-Head Char Char2"/>
    <w:qFormat/>
    <w:uiPriority w:val="0"/>
    <w:rPr>
      <w:rFonts w:eastAsia="黑体"/>
      <w:kern w:val="2"/>
      <w:sz w:val="24"/>
      <w:szCs w:val="21"/>
    </w:rPr>
  </w:style>
  <w:style w:type="character" w:customStyle="1" w:styleId="648">
    <w:name w:val="cucd-3 Char Char"/>
    <w:qFormat/>
    <w:uiPriority w:val="0"/>
    <w:rPr>
      <w:rFonts w:eastAsia="宋体"/>
      <w:b/>
      <w:kern w:val="2"/>
      <w:sz w:val="28"/>
      <w:szCs w:val="24"/>
      <w:lang w:val="en-US" w:eastAsia="zh-CN" w:bidi="ar-SA"/>
    </w:rPr>
  </w:style>
  <w:style w:type="character" w:customStyle="1" w:styleId="649">
    <w:name w:val="cucd-TB-Head Char1"/>
    <w:link w:val="650"/>
    <w:qFormat/>
    <w:uiPriority w:val="0"/>
    <w:rPr>
      <w:rFonts w:eastAsia="黑体"/>
      <w:sz w:val="24"/>
      <w:szCs w:val="24"/>
    </w:rPr>
  </w:style>
  <w:style w:type="paragraph" w:customStyle="1" w:styleId="650">
    <w:name w:val="cucd-TB-Head"/>
    <w:basedOn w:val="1"/>
    <w:next w:val="475"/>
    <w:link w:val="649"/>
    <w:qFormat/>
    <w:uiPriority w:val="0"/>
    <w:pPr>
      <w:ind w:hanging="851" w:hangingChars="200"/>
      <w:jc w:val="center"/>
    </w:pPr>
    <w:rPr>
      <w:rFonts w:ascii="Calibri" w:hAnsi="Calibri" w:eastAsia="黑体" w:cs="宋体"/>
      <w:kern w:val="2"/>
    </w:rPr>
  </w:style>
  <w:style w:type="character" w:customStyle="1" w:styleId="651">
    <w:name w:val="Char Char21"/>
    <w:qFormat/>
    <w:uiPriority w:val="0"/>
    <w:rPr>
      <w:rFonts w:ascii="宋体" w:hAnsi="宋体" w:eastAsia="宋体"/>
      <w:kern w:val="2"/>
      <w:sz w:val="18"/>
      <w:szCs w:val="18"/>
      <w:lang w:val="en-US" w:eastAsia="zh-CN" w:bidi="ar-SA"/>
    </w:rPr>
  </w:style>
  <w:style w:type="character" w:customStyle="1" w:styleId="652">
    <w:name w:val="cucd-3 Char2"/>
    <w:qFormat/>
    <w:uiPriority w:val="0"/>
    <w:rPr>
      <w:rFonts w:hint="eastAsia" w:ascii="宋体" w:hAnsi="宋体" w:eastAsia="宋体"/>
      <w:b/>
      <w:kern w:val="2"/>
      <w:sz w:val="28"/>
      <w:szCs w:val="24"/>
      <w:lang w:val="en-US" w:eastAsia="zh-CN" w:bidi="ar-SA"/>
    </w:rPr>
  </w:style>
  <w:style w:type="character" w:customStyle="1" w:styleId="653">
    <w:name w:val="样式 标题 2 + 黑色 Char"/>
    <w:qFormat/>
    <w:uiPriority w:val="0"/>
    <w:rPr>
      <w:rFonts w:eastAsia="仿宋_GB2312"/>
      <w:bCs/>
      <w:color w:val="000000"/>
      <w:kern w:val="2"/>
      <w:sz w:val="32"/>
      <w:szCs w:val="32"/>
      <w:lang w:val="en-US" w:eastAsia="zh-CN" w:bidi="ar-SA"/>
    </w:rPr>
  </w:style>
  <w:style w:type="character" w:customStyle="1" w:styleId="654">
    <w:name w:val="text31"/>
    <w:qFormat/>
    <w:uiPriority w:val="0"/>
    <w:rPr>
      <w:rFonts w:hint="eastAsia" w:ascii="宋体" w:hAnsi="宋体" w:eastAsia="宋体"/>
      <w:color w:val="673434"/>
      <w:sz w:val="22"/>
      <w:szCs w:val="22"/>
      <w:u w:val="none"/>
    </w:rPr>
  </w:style>
  <w:style w:type="character" w:customStyle="1" w:styleId="655">
    <w:name w:val="Char Char1"/>
    <w:qFormat/>
    <w:uiPriority w:val="0"/>
    <w:rPr>
      <w:rFonts w:ascii="宋体" w:hAnsi="宋体" w:eastAsia="宋体"/>
      <w:kern w:val="2"/>
      <w:sz w:val="18"/>
      <w:szCs w:val="18"/>
      <w:lang w:val="en-US" w:eastAsia="zh-CN" w:bidi="ar-SA"/>
    </w:rPr>
  </w:style>
  <w:style w:type="character" w:customStyle="1" w:styleId="656">
    <w:name w:val="cucd-TB-Head Char Char Char Char"/>
    <w:qFormat/>
    <w:uiPriority w:val="0"/>
    <w:rPr>
      <w:rFonts w:ascii="Times New Roman" w:hAnsi="Times New Roman" w:eastAsia="黑体"/>
      <w:kern w:val="2"/>
      <w:sz w:val="24"/>
      <w:szCs w:val="24"/>
    </w:rPr>
  </w:style>
  <w:style w:type="character" w:customStyle="1" w:styleId="657">
    <w:name w:val="标准正文 Char Char"/>
    <w:link w:val="658"/>
    <w:qFormat/>
    <w:uiPriority w:val="0"/>
    <w:rPr>
      <w:rFonts w:ascii="仿宋_GB2312" w:eastAsia="仿宋_GB2312"/>
      <w:color w:val="000000"/>
      <w:sz w:val="28"/>
      <w:szCs w:val="28"/>
    </w:rPr>
  </w:style>
  <w:style w:type="paragraph" w:customStyle="1" w:styleId="658">
    <w:name w:val="标准正文"/>
    <w:basedOn w:val="1"/>
    <w:link w:val="657"/>
    <w:qFormat/>
    <w:uiPriority w:val="0"/>
    <w:pPr>
      <w:ind w:firstLine="560"/>
    </w:pPr>
    <w:rPr>
      <w:rFonts w:ascii="仿宋_GB2312" w:hAnsi="Calibri" w:eastAsia="仿宋_GB2312" w:cs="宋体"/>
      <w:color w:val="000000"/>
      <w:kern w:val="2"/>
      <w:sz w:val="28"/>
      <w:szCs w:val="28"/>
    </w:rPr>
  </w:style>
  <w:style w:type="character" w:customStyle="1" w:styleId="659">
    <w:name w:val="表标题 Char Char"/>
    <w:qFormat/>
    <w:uiPriority w:val="0"/>
    <w:rPr>
      <w:rFonts w:hAnsi="宋体"/>
      <w:color w:val="000000"/>
      <w:kern w:val="2"/>
      <w:sz w:val="21"/>
      <w:szCs w:val="21"/>
    </w:rPr>
  </w:style>
  <w:style w:type="character" w:customStyle="1" w:styleId="660">
    <w:name w:val="Char Char19"/>
    <w:qFormat/>
    <w:uiPriority w:val="0"/>
    <w:rPr>
      <w:rFonts w:ascii="Cambria" w:hAnsi="Cambria"/>
      <w:caps/>
      <w:color w:val="622423"/>
      <w:spacing w:val="10"/>
      <w:sz w:val="22"/>
      <w:szCs w:val="22"/>
      <w:lang w:eastAsia="en-US"/>
    </w:rPr>
  </w:style>
  <w:style w:type="character" w:customStyle="1" w:styleId="661">
    <w:name w:val="search_content1"/>
    <w:qFormat/>
    <w:uiPriority w:val="0"/>
    <w:rPr>
      <w:sz w:val="20"/>
      <w:szCs w:val="20"/>
    </w:rPr>
  </w:style>
  <w:style w:type="character" w:customStyle="1" w:styleId="662">
    <w:name w:val="cucd-0 Char Char Char"/>
    <w:qFormat/>
    <w:uiPriority w:val="0"/>
    <w:rPr>
      <w:sz w:val="24"/>
      <w:szCs w:val="24"/>
      <w:lang w:bidi="ar-SA"/>
    </w:rPr>
  </w:style>
  <w:style w:type="character" w:customStyle="1" w:styleId="663">
    <w:name w:val="Char Char11"/>
    <w:qFormat/>
    <w:uiPriority w:val="0"/>
    <w:rPr>
      <w:rFonts w:eastAsia="宋体"/>
      <w:kern w:val="2"/>
      <w:sz w:val="18"/>
      <w:szCs w:val="18"/>
      <w:lang w:val="en-US" w:eastAsia="zh-CN" w:bidi="ar-SA"/>
    </w:rPr>
  </w:style>
  <w:style w:type="character" w:customStyle="1" w:styleId="664">
    <w:name w:val="HU-表格 Char Char"/>
    <w:link w:val="665"/>
    <w:qFormat/>
    <w:uiPriority w:val="0"/>
    <w:rPr>
      <w:rFonts w:ascii="Arial" w:hAnsi="Arial" w:cs="Arial"/>
      <w:sz w:val="24"/>
      <w:szCs w:val="24"/>
    </w:rPr>
  </w:style>
  <w:style w:type="paragraph" w:customStyle="1" w:styleId="665">
    <w:name w:val="HU-表格"/>
    <w:basedOn w:val="1"/>
    <w:link w:val="664"/>
    <w:qFormat/>
    <w:uiPriority w:val="0"/>
    <w:pPr>
      <w:spacing w:line="320" w:lineRule="exact"/>
      <w:ind w:hanging="851" w:hangingChars="200"/>
      <w:jc w:val="center"/>
    </w:pPr>
    <w:rPr>
      <w:rFonts w:ascii="Arial" w:hAnsi="Arial" w:cs="Arial"/>
      <w:kern w:val="2"/>
    </w:rPr>
  </w:style>
  <w:style w:type="character" w:customStyle="1" w:styleId="666">
    <w:name w:val="content-blue1"/>
    <w:qFormat/>
    <w:uiPriority w:val="0"/>
    <w:rPr>
      <w:rFonts w:hint="default"/>
      <w:color w:val="331300"/>
      <w:sz w:val="20"/>
      <w:szCs w:val="20"/>
    </w:rPr>
  </w:style>
  <w:style w:type="character" w:customStyle="1" w:styleId="667">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eastAsia="宋体"/>
      <w:sz w:val="21"/>
      <w:lang w:val="en-US" w:eastAsia="zh-CN" w:bidi="ar-SA"/>
    </w:rPr>
  </w:style>
  <w:style w:type="paragraph" w:customStyle="1" w:styleId="668">
    <w:name w:val="xl44"/>
    <w:basedOn w:val="1"/>
    <w:qFormat/>
    <w:uiPriority w:val="99"/>
    <w:pPr>
      <w:widowControl/>
      <w:pBdr>
        <w:top w:val="single" w:color="auto" w:sz="4" w:space="0"/>
        <w:left w:val="single" w:color="auto" w:sz="4" w:space="0"/>
        <w:bottom w:val="single" w:color="auto" w:sz="8" w:space="0"/>
        <w:right w:val="single" w:color="auto" w:sz="8" w:space="0"/>
      </w:pBdr>
      <w:spacing w:before="100" w:beforeAutospacing="1" w:after="100" w:afterAutospacing="1"/>
      <w:ind w:hanging="851" w:hangingChars="200"/>
      <w:textAlignment w:val="center"/>
    </w:pPr>
    <w:rPr>
      <w:rFonts w:ascii="Calibri" w:hAnsi="Calibri" w:cs="宋体"/>
      <w:sz w:val="20"/>
      <w:szCs w:val="20"/>
    </w:rPr>
  </w:style>
  <w:style w:type="paragraph" w:customStyle="1" w:styleId="669">
    <w:name w:val="xl46"/>
    <w:basedOn w:val="1"/>
    <w:qFormat/>
    <w:uiPriority w:val="99"/>
    <w:pPr>
      <w:widowControl/>
      <w:pBdr>
        <w:top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Calibri" w:hAnsi="Calibri" w:cs="宋体"/>
      <w:sz w:val="20"/>
      <w:szCs w:val="20"/>
    </w:rPr>
  </w:style>
  <w:style w:type="paragraph" w:customStyle="1" w:styleId="670">
    <w:name w:val="Char1 Char Char Char"/>
    <w:basedOn w:val="1"/>
    <w:qFormat/>
    <w:uiPriority w:val="99"/>
    <w:pPr>
      <w:ind w:hanging="851" w:hangingChars="200"/>
    </w:pPr>
    <w:rPr>
      <w:rFonts w:ascii="Tahoma" w:hAnsi="Tahoma" w:cs="宋体"/>
      <w:sz w:val="28"/>
      <w:szCs w:val="20"/>
      <w:lang w:val="zh-CN"/>
    </w:rPr>
  </w:style>
  <w:style w:type="paragraph" w:customStyle="1" w:styleId="671">
    <w:name w:val="xl48"/>
    <w:basedOn w:val="1"/>
    <w:qFormat/>
    <w:uiPriority w:val="99"/>
    <w:pPr>
      <w:widowControl/>
      <w:pBdr>
        <w:top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Calibri" w:hAnsi="Calibri" w:cs="宋体"/>
      <w:sz w:val="20"/>
      <w:szCs w:val="20"/>
    </w:rPr>
  </w:style>
  <w:style w:type="paragraph" w:customStyle="1" w:styleId="672">
    <w:name w:val="表中正文"/>
    <w:basedOn w:val="1"/>
    <w:qFormat/>
    <w:uiPriority w:val="99"/>
    <w:pPr>
      <w:widowControl/>
      <w:ind w:hanging="851" w:hangingChars="200"/>
    </w:pPr>
    <w:rPr>
      <w:rFonts w:ascii="Calibri" w:hAnsi="Calibri"/>
      <w:color w:val="000000"/>
      <w:kern w:val="2"/>
      <w:szCs w:val="20"/>
    </w:rPr>
  </w:style>
  <w:style w:type="paragraph" w:customStyle="1" w:styleId="673">
    <w:name w:val="cucd-B"/>
    <w:next w:val="475"/>
    <w:qFormat/>
    <w:uiPriority w:val="99"/>
    <w:pPr>
      <w:spacing w:line="360" w:lineRule="auto"/>
      <w:ind w:left="851" w:hanging="851"/>
      <w:jc w:val="both"/>
      <w:outlineLvl w:val="1"/>
    </w:pPr>
    <w:rPr>
      <w:rFonts w:ascii="Calibri" w:hAnsi="Calibri" w:eastAsia="黑体" w:cs="Times New Roman"/>
      <w:kern w:val="2"/>
      <w:sz w:val="30"/>
      <w:szCs w:val="24"/>
      <w:lang w:val="en-US" w:eastAsia="zh-CN" w:bidi="ar-SA"/>
    </w:rPr>
  </w:style>
  <w:style w:type="paragraph" w:customStyle="1" w:styleId="674">
    <w:name w:val="Char Char Char Char Char Char Char1"/>
    <w:basedOn w:val="1"/>
    <w:qFormat/>
    <w:uiPriority w:val="99"/>
    <w:pPr>
      <w:ind w:hanging="851" w:hangingChars="200"/>
    </w:pPr>
    <w:rPr>
      <w:rFonts w:ascii="宋体" w:hAnsi="Calibri"/>
      <w:kern w:val="2"/>
    </w:rPr>
  </w:style>
  <w:style w:type="paragraph" w:customStyle="1" w:styleId="675">
    <w:name w:val="列出段落11"/>
    <w:basedOn w:val="1"/>
    <w:qFormat/>
    <w:uiPriority w:val="99"/>
    <w:pPr>
      <w:ind w:firstLine="420"/>
    </w:pPr>
    <w:rPr>
      <w:rFonts w:ascii="Calibri" w:hAnsi="Calibri"/>
      <w:kern w:val="2"/>
      <w:szCs w:val="22"/>
    </w:rPr>
  </w:style>
  <w:style w:type="paragraph" w:customStyle="1" w:styleId="676">
    <w:name w:val="敏感表"/>
    <w:basedOn w:val="1"/>
    <w:next w:val="1"/>
    <w:qFormat/>
    <w:uiPriority w:val="99"/>
    <w:pPr>
      <w:widowControl/>
      <w:topLinePunct/>
      <w:spacing w:line="240" w:lineRule="atLeast"/>
      <w:ind w:hanging="851" w:hangingChars="200"/>
      <w:textAlignment w:val="bottom"/>
    </w:pPr>
    <w:rPr>
      <w:rFonts w:ascii="Calibri" w:hAnsi="Calibri"/>
      <w:szCs w:val="20"/>
    </w:rPr>
  </w:style>
  <w:style w:type="paragraph" w:customStyle="1" w:styleId="677">
    <w:name w:val="1233"/>
    <w:basedOn w:val="1"/>
    <w:qFormat/>
    <w:uiPriority w:val="99"/>
    <w:pPr>
      <w:spacing w:before="100" w:beforeAutospacing="1"/>
      <w:ind w:firstLine="480"/>
    </w:pPr>
    <w:rPr>
      <w:rFonts w:ascii="Calibri" w:hAnsi="Calibri"/>
      <w:kern w:val="2"/>
    </w:rPr>
  </w:style>
  <w:style w:type="paragraph" w:customStyle="1" w:styleId="678">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jc w:val="left"/>
      <w:textAlignment w:val="center"/>
    </w:pPr>
    <w:rPr>
      <w:rFonts w:ascii="Calibri" w:hAnsi="Calibri"/>
      <w:sz w:val="20"/>
      <w:szCs w:val="20"/>
    </w:rPr>
  </w:style>
  <w:style w:type="paragraph" w:customStyle="1" w:styleId="679">
    <w:name w:val="_Style 11"/>
    <w:basedOn w:val="1"/>
    <w:qFormat/>
    <w:uiPriority w:val="99"/>
    <w:pPr>
      <w:ind w:hanging="851" w:hangingChars="200"/>
    </w:pPr>
    <w:rPr>
      <w:rFonts w:ascii="Calibri" w:hAnsi="Calibri"/>
      <w:kern w:val="2"/>
    </w:rPr>
  </w:style>
  <w:style w:type="paragraph" w:customStyle="1" w:styleId="680">
    <w:name w:val="font0"/>
    <w:basedOn w:val="1"/>
    <w:qFormat/>
    <w:uiPriority w:val="99"/>
    <w:pPr>
      <w:widowControl/>
      <w:spacing w:before="100" w:beforeAutospacing="1" w:after="100" w:afterAutospacing="1"/>
      <w:ind w:hanging="851" w:hangingChars="200"/>
      <w:jc w:val="left"/>
    </w:pPr>
    <w:rPr>
      <w:rFonts w:hint="eastAsia" w:ascii="宋体" w:hAnsi="宋体"/>
    </w:rPr>
  </w:style>
  <w:style w:type="paragraph" w:customStyle="1" w:styleId="681">
    <w:name w:val="样式 标题 2 + 宋体 小四"/>
    <w:basedOn w:val="3"/>
    <w:qFormat/>
    <w:uiPriority w:val="99"/>
    <w:pPr>
      <w:widowControl/>
      <w:numPr>
        <w:ilvl w:val="0"/>
        <w:numId w:val="0"/>
      </w:numPr>
      <w:spacing w:before="120" w:after="120" w:line="240" w:lineRule="auto"/>
      <w:jc w:val="both"/>
    </w:pPr>
    <w:rPr>
      <w:rFonts w:eastAsia="黑体"/>
      <w:sz w:val="24"/>
      <w:szCs w:val="20"/>
      <w:lang w:val="zh-CN"/>
    </w:rPr>
  </w:style>
  <w:style w:type="paragraph" w:customStyle="1" w:styleId="682">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Calibri" w:hAnsi="Calibri"/>
      <w:sz w:val="20"/>
      <w:szCs w:val="20"/>
    </w:rPr>
  </w:style>
  <w:style w:type="paragraph" w:customStyle="1" w:styleId="683">
    <w:name w:val="自建标题4"/>
    <w:basedOn w:val="5"/>
    <w:qFormat/>
    <w:uiPriority w:val="99"/>
    <w:pPr>
      <w:keepNext w:val="0"/>
      <w:keepLines w:val="0"/>
      <w:widowControl/>
      <w:numPr>
        <w:ilvl w:val="0"/>
        <w:numId w:val="0"/>
      </w:numPr>
      <w:overflowPunct/>
      <w:autoSpaceDE/>
      <w:autoSpaceDN/>
      <w:adjustRightInd/>
      <w:spacing w:line="240" w:lineRule="auto"/>
      <w:ind w:hanging="851" w:hangingChars="200"/>
      <w:jc w:val="center"/>
      <w:textAlignment w:val="auto"/>
      <w:outlineLvl w:val="9"/>
    </w:pPr>
    <w:rPr>
      <w:b w:val="0"/>
      <w:spacing w:val="0"/>
      <w:lang w:val="zh-CN"/>
    </w:rPr>
  </w:style>
  <w:style w:type="paragraph" w:customStyle="1" w:styleId="684">
    <w:name w:val="xl5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200" w:hangingChars="200"/>
      <w:jc w:val="left"/>
      <w:textAlignment w:val="center"/>
    </w:pPr>
    <w:rPr>
      <w:rFonts w:ascii="宋体" w:hAnsi="宋体" w:cs="宋体"/>
      <w:sz w:val="22"/>
      <w:szCs w:val="22"/>
    </w:rPr>
  </w:style>
  <w:style w:type="paragraph" w:customStyle="1" w:styleId="685">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Calibri" w:hAnsi="Calibri"/>
      <w:b/>
      <w:bCs/>
      <w:sz w:val="20"/>
      <w:szCs w:val="20"/>
    </w:rPr>
  </w:style>
  <w:style w:type="paragraph" w:customStyle="1" w:styleId="686">
    <w:name w:val="cucd-C"/>
    <w:next w:val="475"/>
    <w:qFormat/>
    <w:uiPriority w:val="99"/>
    <w:pPr>
      <w:spacing w:line="360" w:lineRule="auto"/>
      <w:ind w:left="851" w:hanging="851"/>
      <w:jc w:val="both"/>
      <w:outlineLvl w:val="2"/>
    </w:pPr>
    <w:rPr>
      <w:rFonts w:ascii="Calibri" w:hAnsi="Calibri" w:eastAsia="宋体" w:cs="Times New Roman"/>
      <w:b/>
      <w:kern w:val="2"/>
      <w:sz w:val="28"/>
      <w:szCs w:val="24"/>
      <w:lang w:val="en-US" w:eastAsia="zh-CN" w:bidi="ar-SA"/>
    </w:rPr>
  </w:style>
  <w:style w:type="paragraph" w:customStyle="1" w:styleId="687">
    <w:name w:val="cucd-1"/>
    <w:next w:val="688"/>
    <w:qFormat/>
    <w:uiPriority w:val="99"/>
    <w:pPr>
      <w:pageBreakBefore/>
      <w:tabs>
        <w:tab w:val="left" w:pos="425"/>
      </w:tabs>
      <w:spacing w:beforeLines="100" w:afterLines="50" w:line="360" w:lineRule="auto"/>
      <w:ind w:left="425" w:hanging="425"/>
      <w:jc w:val="center"/>
      <w:outlineLvl w:val="0"/>
    </w:pPr>
    <w:rPr>
      <w:rFonts w:ascii="Calibri" w:hAnsi="Calibri" w:eastAsia="黑体" w:cs="Times New Roman"/>
      <w:b/>
      <w:kern w:val="2"/>
      <w:sz w:val="36"/>
      <w:szCs w:val="24"/>
      <w:lang w:val="en-US" w:eastAsia="zh-CN" w:bidi="ar-SA"/>
    </w:rPr>
  </w:style>
  <w:style w:type="paragraph" w:customStyle="1" w:styleId="688">
    <w:name w:val="cucd-2"/>
    <w:next w:val="646"/>
    <w:qFormat/>
    <w:uiPriority w:val="99"/>
    <w:pPr>
      <w:tabs>
        <w:tab w:val="left" w:pos="630"/>
        <w:tab w:val="left" w:pos="709"/>
      </w:tabs>
      <w:spacing w:line="360" w:lineRule="auto"/>
      <w:ind w:left="142"/>
      <w:jc w:val="both"/>
      <w:outlineLvl w:val="1"/>
    </w:pPr>
    <w:rPr>
      <w:rFonts w:ascii="Calibri" w:hAnsi="Calibri" w:eastAsia="黑体" w:cs="Times New Roman"/>
      <w:b/>
      <w:kern w:val="2"/>
      <w:sz w:val="30"/>
      <w:szCs w:val="24"/>
      <w:lang w:val="en-US" w:eastAsia="zh-CN" w:bidi="ar-SA"/>
    </w:rPr>
  </w:style>
  <w:style w:type="paragraph" w:customStyle="1" w:styleId="689">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Calibri" w:hAnsi="Calibri"/>
      <w:sz w:val="20"/>
      <w:szCs w:val="20"/>
    </w:rPr>
  </w:style>
  <w:style w:type="paragraph" w:customStyle="1" w:styleId="690">
    <w:name w:val="点正文"/>
    <w:basedOn w:val="1"/>
    <w:qFormat/>
    <w:uiPriority w:val="99"/>
    <w:pPr>
      <w:widowControl/>
      <w:tabs>
        <w:tab w:val="left" w:pos="780"/>
      </w:tabs>
      <w:spacing w:line="400" w:lineRule="exact"/>
      <w:ind w:left="780" w:leftChars="200" w:hanging="360" w:hangingChars="200"/>
    </w:pPr>
    <w:rPr>
      <w:rFonts w:ascii="宋体" w:hAnsi="Calibri"/>
      <w:kern w:val="2"/>
      <w:szCs w:val="20"/>
    </w:rPr>
  </w:style>
  <w:style w:type="paragraph" w:customStyle="1" w:styleId="691">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jc w:val="left"/>
      <w:textAlignment w:val="center"/>
    </w:pPr>
    <w:rPr>
      <w:rFonts w:ascii="宋体" w:hAnsi="宋体"/>
      <w:sz w:val="20"/>
      <w:szCs w:val="20"/>
    </w:rPr>
  </w:style>
  <w:style w:type="paragraph" w:customStyle="1" w:styleId="692">
    <w:name w:val="Char Char Char1 Char Char Char Char Char Char Char Char Char1 Char"/>
    <w:basedOn w:val="1"/>
    <w:qFormat/>
    <w:uiPriority w:val="99"/>
    <w:pPr>
      <w:widowControl/>
      <w:spacing w:line="400" w:lineRule="exact"/>
      <w:ind w:hanging="851" w:hangingChars="200"/>
      <w:jc w:val="center"/>
    </w:pPr>
    <w:rPr>
      <w:rFonts w:ascii="Calibri" w:hAnsi="Calibri"/>
      <w:kern w:val="2"/>
      <w:szCs w:val="20"/>
    </w:rPr>
  </w:style>
  <w:style w:type="paragraph" w:customStyle="1" w:styleId="693">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jc w:val="center"/>
    </w:pPr>
    <w:rPr>
      <w:rFonts w:ascii="宋体" w:hAnsi="宋体" w:cs="宋体"/>
    </w:rPr>
  </w:style>
  <w:style w:type="paragraph" w:customStyle="1" w:styleId="694">
    <w:name w:val="仿宋三常规缩进"/>
    <w:qFormat/>
    <w:uiPriority w:val="99"/>
    <w:pPr>
      <w:spacing w:line="360" w:lineRule="auto"/>
      <w:ind w:left="851" w:firstLine="480" w:firstLineChars="200"/>
      <w:jc w:val="both"/>
    </w:pPr>
    <w:rPr>
      <w:rFonts w:ascii="宋体" w:hAnsi="宋体" w:eastAsia="宋体" w:cs="Arial"/>
      <w:kern w:val="2"/>
      <w:sz w:val="24"/>
      <w:szCs w:val="24"/>
      <w:lang w:val="en-US" w:eastAsia="zh-CN" w:bidi="ar-SA"/>
    </w:rPr>
  </w:style>
  <w:style w:type="character" w:customStyle="1" w:styleId="695">
    <w:name w:val="注释标题 字符"/>
    <w:basedOn w:val="71"/>
    <w:link w:val="12"/>
    <w:qFormat/>
    <w:uiPriority w:val="0"/>
    <w:rPr>
      <w:rFonts w:ascii="Calibri" w:hAnsi="Calibri" w:eastAsia="宋体" w:cs="Times New Roman"/>
      <w:kern w:val="0"/>
      <w:sz w:val="24"/>
      <w:szCs w:val="20"/>
      <w:lang w:val="zh-CN" w:eastAsia="zh-CN"/>
    </w:rPr>
  </w:style>
  <w:style w:type="paragraph" w:customStyle="1" w:styleId="696">
    <w:name w:val="3级"/>
    <w:basedOn w:val="1"/>
    <w:qFormat/>
    <w:uiPriority w:val="99"/>
    <w:pPr>
      <w:widowControl/>
      <w:ind w:firstLine="480"/>
    </w:pPr>
    <w:rPr>
      <w:rFonts w:ascii="宋体" w:hAnsi="宋体" w:cs="宋体"/>
      <w:kern w:val="2"/>
    </w:rPr>
  </w:style>
  <w:style w:type="character" w:customStyle="1" w:styleId="697">
    <w:name w:val="标题 Char1"/>
    <w:qFormat/>
    <w:uiPriority w:val="0"/>
    <w:rPr>
      <w:rFonts w:ascii="Cambria" w:hAnsi="Cambria" w:cs="Times New Roman"/>
      <w:b/>
      <w:bCs/>
      <w:sz w:val="32"/>
      <w:szCs w:val="32"/>
    </w:rPr>
  </w:style>
  <w:style w:type="paragraph" w:customStyle="1" w:styleId="698">
    <w:name w:val="cucd-2 Char Char"/>
    <w:next w:val="1"/>
    <w:qFormat/>
    <w:uiPriority w:val="99"/>
    <w:pPr>
      <w:tabs>
        <w:tab w:val="left" w:pos="567"/>
      </w:tabs>
      <w:spacing w:line="360" w:lineRule="auto"/>
      <w:ind w:left="567" w:hanging="567"/>
      <w:jc w:val="both"/>
      <w:outlineLvl w:val="1"/>
    </w:pPr>
    <w:rPr>
      <w:rFonts w:ascii="Calibri" w:hAnsi="Calibri" w:eastAsia="黑体" w:cs="Times New Roman"/>
      <w:b/>
      <w:kern w:val="2"/>
      <w:sz w:val="30"/>
      <w:szCs w:val="24"/>
      <w:lang w:val="en-US" w:eastAsia="zh-CN" w:bidi="ar-SA"/>
    </w:rPr>
  </w:style>
  <w:style w:type="paragraph" w:customStyle="1" w:styleId="699">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宋体" w:hAnsi="宋体"/>
      <w:sz w:val="20"/>
      <w:szCs w:val="20"/>
    </w:rPr>
  </w:style>
  <w:style w:type="paragraph" w:customStyle="1" w:styleId="700">
    <w:name w:val="xl41"/>
    <w:basedOn w:val="1"/>
    <w:qFormat/>
    <w:uiPriority w:val="99"/>
    <w:pPr>
      <w:widowControl/>
      <w:pBdr>
        <w:bottom w:val="single" w:color="auto" w:sz="4" w:space="0"/>
      </w:pBdr>
      <w:spacing w:before="100" w:beforeAutospacing="1" w:after="100" w:afterAutospacing="1"/>
      <w:ind w:hanging="851" w:hangingChars="200"/>
      <w:textAlignment w:val="center"/>
    </w:pPr>
    <w:rPr>
      <w:rFonts w:ascii="宋体" w:hAnsi="宋体"/>
      <w:b/>
      <w:bCs/>
      <w:sz w:val="28"/>
      <w:szCs w:val="28"/>
    </w:rPr>
  </w:style>
  <w:style w:type="paragraph" w:customStyle="1" w:styleId="701">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jc w:val="left"/>
      <w:textAlignment w:val="center"/>
    </w:pPr>
    <w:rPr>
      <w:rFonts w:ascii="Calibri" w:hAnsi="Calibri"/>
      <w:b/>
      <w:bCs/>
      <w:sz w:val="20"/>
      <w:szCs w:val="20"/>
    </w:rPr>
  </w:style>
  <w:style w:type="paragraph" w:customStyle="1" w:styleId="702">
    <w:name w:val="xl47"/>
    <w:basedOn w:val="1"/>
    <w:qFormat/>
    <w:uiPriority w:val="99"/>
    <w:pPr>
      <w:widowControl/>
      <w:pBdr>
        <w:top w:val="single" w:color="auto" w:sz="4" w:space="0"/>
        <w:left w:val="single" w:color="auto" w:sz="8" w:space="0"/>
        <w:bottom w:val="single" w:color="auto" w:sz="4" w:space="0"/>
      </w:pBdr>
      <w:spacing w:before="100" w:beforeAutospacing="1" w:after="100" w:afterAutospacing="1"/>
      <w:ind w:hanging="851" w:hangingChars="200"/>
      <w:textAlignment w:val="center"/>
    </w:pPr>
    <w:rPr>
      <w:rFonts w:ascii="Calibri" w:hAnsi="Calibri" w:cs="宋体"/>
      <w:sz w:val="20"/>
      <w:szCs w:val="20"/>
    </w:rPr>
  </w:style>
  <w:style w:type="paragraph" w:customStyle="1" w:styleId="703">
    <w:name w:val="xl45"/>
    <w:basedOn w:val="1"/>
    <w:qFormat/>
    <w:uiPriority w:val="99"/>
    <w:pPr>
      <w:widowControl/>
      <w:pBdr>
        <w:top w:val="single" w:color="auto" w:sz="4" w:space="0"/>
        <w:left w:val="single" w:color="auto" w:sz="8" w:space="0"/>
        <w:bottom w:val="single" w:color="auto" w:sz="4" w:space="0"/>
      </w:pBdr>
      <w:spacing w:before="100" w:beforeAutospacing="1" w:after="100" w:afterAutospacing="1"/>
      <w:ind w:hanging="851" w:hangingChars="200"/>
      <w:textAlignment w:val="center"/>
    </w:pPr>
    <w:rPr>
      <w:rFonts w:ascii="Calibri" w:hAnsi="Calibri" w:cs="宋体"/>
      <w:sz w:val="20"/>
      <w:szCs w:val="20"/>
    </w:rPr>
  </w:style>
  <w:style w:type="paragraph" w:customStyle="1" w:styleId="704">
    <w:name w:val="本文表文字"/>
    <w:basedOn w:val="1"/>
    <w:qFormat/>
    <w:uiPriority w:val="99"/>
    <w:pPr>
      <w:ind w:hanging="851" w:hangingChars="200"/>
      <w:jc w:val="center"/>
    </w:pPr>
    <w:rPr>
      <w:rFonts w:ascii="Calibri" w:hAnsi="Calibri"/>
      <w:kern w:val="2"/>
    </w:rPr>
  </w:style>
  <w:style w:type="paragraph" w:customStyle="1" w:styleId="705">
    <w:name w:val="样式 标题 1 + 宋体 小四 段后: 12 磅 行距: 1.5 倍行距"/>
    <w:basedOn w:val="2"/>
    <w:qFormat/>
    <w:uiPriority w:val="99"/>
    <w:pPr>
      <w:keepNext w:val="0"/>
      <w:keepLines w:val="0"/>
      <w:pageBreakBefore/>
      <w:widowControl/>
      <w:numPr>
        <w:numId w:val="0"/>
      </w:numPr>
      <w:overflowPunct w:val="0"/>
      <w:snapToGrid w:val="0"/>
      <w:spacing w:after="240"/>
      <w:ind w:hanging="200" w:hangingChars="200"/>
    </w:pPr>
    <w:rPr>
      <w:rFonts w:ascii="宋体" w:hAnsi="宋体" w:eastAsia="黑体" w:cs="宋体"/>
      <w:bCs w:val="0"/>
      <w:kern w:val="0"/>
      <w:sz w:val="28"/>
      <w:szCs w:val="20"/>
      <w:lang w:val="zh-CN"/>
    </w:rPr>
  </w:style>
  <w:style w:type="paragraph" w:customStyle="1" w:styleId="706">
    <w:name w:val="cauc-2 Char"/>
    <w:next w:val="707"/>
    <w:qFormat/>
    <w:uiPriority w:val="99"/>
    <w:pPr>
      <w:tabs>
        <w:tab w:val="left" w:pos="567"/>
      </w:tabs>
      <w:spacing w:line="360" w:lineRule="auto"/>
      <w:ind w:left="567" w:hanging="567"/>
      <w:jc w:val="both"/>
      <w:outlineLvl w:val="1"/>
    </w:pPr>
    <w:rPr>
      <w:rFonts w:ascii="Calibri" w:hAnsi="Calibri" w:eastAsia="黑体" w:cs="Times New Roman"/>
      <w:b/>
      <w:kern w:val="2"/>
      <w:sz w:val="30"/>
      <w:szCs w:val="24"/>
      <w:lang w:val="en-US" w:eastAsia="zh-CN" w:bidi="ar-SA"/>
    </w:rPr>
  </w:style>
  <w:style w:type="paragraph" w:customStyle="1" w:styleId="707">
    <w:name w:val="cauc-3"/>
    <w:next w:val="1"/>
    <w:qFormat/>
    <w:uiPriority w:val="99"/>
    <w:pPr>
      <w:tabs>
        <w:tab w:val="left" w:pos="709"/>
      </w:tabs>
      <w:spacing w:line="360" w:lineRule="auto"/>
      <w:ind w:left="709" w:hanging="709"/>
      <w:jc w:val="both"/>
      <w:outlineLvl w:val="2"/>
    </w:pPr>
    <w:rPr>
      <w:rFonts w:ascii="Calibri" w:hAnsi="Calibri" w:eastAsia="宋体" w:cs="Times New Roman"/>
      <w:b/>
      <w:kern w:val="2"/>
      <w:sz w:val="28"/>
      <w:szCs w:val="24"/>
      <w:lang w:val="en-US" w:eastAsia="zh-CN" w:bidi="ar-SA"/>
    </w:rPr>
  </w:style>
  <w:style w:type="paragraph" w:customStyle="1" w:styleId="708">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宋体" w:hAnsi="宋体"/>
      <w:b/>
      <w:bCs/>
      <w:sz w:val="20"/>
      <w:szCs w:val="20"/>
    </w:rPr>
  </w:style>
  <w:style w:type="paragraph" w:customStyle="1" w:styleId="709">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Calibri" w:hAnsi="Calibri"/>
      <w:b/>
      <w:bCs/>
      <w:sz w:val="20"/>
      <w:szCs w:val="20"/>
    </w:rPr>
  </w:style>
  <w:style w:type="paragraph" w:customStyle="1" w:styleId="710">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pPr>
    <w:rPr>
      <w:rFonts w:ascii="宋体" w:hAnsi="宋体" w:cs="宋体"/>
    </w:rPr>
  </w:style>
  <w:style w:type="paragraph" w:customStyle="1" w:styleId="711">
    <w:name w:val="cucd-D"/>
    <w:next w:val="475"/>
    <w:qFormat/>
    <w:uiPriority w:val="99"/>
    <w:pPr>
      <w:spacing w:line="360" w:lineRule="auto"/>
      <w:ind w:left="851" w:hanging="851"/>
      <w:jc w:val="both"/>
      <w:outlineLvl w:val="3"/>
    </w:pPr>
    <w:rPr>
      <w:rFonts w:ascii="Calibri" w:hAnsi="Calibri" w:eastAsia="宋体" w:cs="Times New Roman"/>
      <w:b/>
      <w:kern w:val="2"/>
      <w:sz w:val="24"/>
      <w:szCs w:val="24"/>
      <w:lang w:val="en-US" w:eastAsia="zh-CN" w:bidi="ar-SA"/>
    </w:rPr>
  </w:style>
  <w:style w:type="paragraph" w:customStyle="1" w:styleId="712">
    <w:name w:val="cucd-TB"/>
    <w:qFormat/>
    <w:uiPriority w:val="99"/>
    <w:pPr>
      <w:spacing w:line="360" w:lineRule="auto"/>
      <w:ind w:left="851" w:hanging="851"/>
      <w:jc w:val="center"/>
    </w:pPr>
    <w:rPr>
      <w:rFonts w:ascii="Calibri" w:hAnsi="Calibri" w:eastAsia="宋体" w:cs="Times New Roman"/>
      <w:kern w:val="2"/>
      <w:sz w:val="21"/>
      <w:szCs w:val="24"/>
      <w:lang w:val="en-US" w:eastAsia="zh-CN" w:bidi="ar-SA"/>
    </w:rPr>
  </w:style>
  <w:style w:type="paragraph" w:customStyle="1" w:styleId="713">
    <w:name w:val="样式 正文缩进正文缩进 Char正文缩进1 Char正文缩进1正文（首行缩进两字） Char正文缩进 Char Cha..."/>
    <w:basedOn w:val="15"/>
    <w:qFormat/>
    <w:uiPriority w:val="99"/>
    <w:pPr>
      <w:spacing w:beforeLines="50" w:after="0" w:line="360" w:lineRule="auto"/>
      <w:ind w:hanging="200" w:hangingChars="200"/>
    </w:pPr>
    <w:rPr>
      <w:rFonts w:hAnsi="Calibri" w:cs="宋体"/>
      <w:lang w:val="zh-CN" w:eastAsia="zh-CN" w:bidi="ar-SA"/>
    </w:rPr>
  </w:style>
  <w:style w:type="paragraph" w:customStyle="1" w:styleId="714">
    <w:name w:val="TOC 标题2"/>
    <w:basedOn w:val="2"/>
    <w:next w:val="1"/>
    <w:qFormat/>
    <w:uiPriority w:val="0"/>
    <w:pPr>
      <w:keepNext w:val="0"/>
      <w:keepLines w:val="0"/>
      <w:pageBreakBefore/>
      <w:widowControl/>
      <w:numPr>
        <w:numId w:val="0"/>
      </w:numPr>
      <w:overflowPunct w:val="0"/>
      <w:snapToGrid w:val="0"/>
      <w:spacing w:before="480" w:line="276" w:lineRule="auto"/>
      <w:ind w:hanging="200" w:hangingChars="200"/>
      <w:jc w:val="left"/>
      <w:outlineLvl w:val="9"/>
    </w:pPr>
    <w:rPr>
      <w:rFonts w:ascii="Cambria" w:hAnsi="Cambria" w:eastAsia="黑体"/>
      <w:bCs w:val="0"/>
      <w:color w:val="365F91"/>
      <w:kern w:val="0"/>
      <w:sz w:val="28"/>
      <w:szCs w:val="28"/>
      <w:lang w:val="zh-CN"/>
    </w:rPr>
  </w:style>
  <w:style w:type="paragraph" w:customStyle="1" w:styleId="715">
    <w:name w:val="列出段落1"/>
    <w:basedOn w:val="1"/>
    <w:qFormat/>
    <w:uiPriority w:val="99"/>
    <w:pPr>
      <w:ind w:firstLine="420"/>
    </w:pPr>
    <w:rPr>
      <w:rFonts w:ascii="Calibri" w:hAnsi="Calibri"/>
      <w:kern w:val="2"/>
      <w:szCs w:val="22"/>
    </w:rPr>
  </w:style>
  <w:style w:type="paragraph" w:customStyle="1" w:styleId="716">
    <w:name w:val="ÑùÊ½2"/>
    <w:basedOn w:val="1"/>
    <w:qFormat/>
    <w:uiPriority w:val="99"/>
    <w:pPr>
      <w:widowControl/>
      <w:overflowPunct w:val="0"/>
      <w:autoSpaceDE w:val="0"/>
      <w:autoSpaceDN w:val="0"/>
      <w:spacing w:line="410" w:lineRule="atLeast"/>
      <w:ind w:hanging="851" w:hangingChars="200"/>
    </w:pPr>
    <w:rPr>
      <w:rFonts w:ascii="Calibri" w:hAnsi="Calibri"/>
      <w:szCs w:val="20"/>
    </w:rPr>
  </w:style>
  <w:style w:type="paragraph" w:customStyle="1" w:styleId="717">
    <w:name w:val="本文正文"/>
    <w:basedOn w:val="1"/>
    <w:qFormat/>
    <w:uiPriority w:val="99"/>
    <w:pPr>
      <w:adjustRightInd w:val="0"/>
      <w:spacing w:line="500" w:lineRule="exact"/>
      <w:ind w:firstLine="200"/>
    </w:pPr>
    <w:rPr>
      <w:rFonts w:ascii="Calibri" w:hAnsi="Calibri"/>
      <w:kern w:val="2"/>
      <w:sz w:val="28"/>
    </w:rPr>
  </w:style>
  <w:style w:type="paragraph" w:customStyle="1" w:styleId="718">
    <w:name w:val="cauc-0 Char"/>
    <w:qFormat/>
    <w:uiPriority w:val="99"/>
    <w:pPr>
      <w:spacing w:line="360" w:lineRule="auto"/>
      <w:ind w:left="851" w:firstLine="480" w:firstLineChars="200"/>
      <w:jc w:val="both"/>
    </w:pPr>
    <w:rPr>
      <w:rFonts w:ascii="Calibri" w:hAnsi="Calibri" w:eastAsia="宋体" w:cs="Times New Roman"/>
      <w:kern w:val="2"/>
      <w:sz w:val="24"/>
      <w:szCs w:val="24"/>
      <w:lang w:val="en-US" w:eastAsia="zh-CN" w:bidi="ar-SA"/>
    </w:rPr>
  </w:style>
  <w:style w:type="paragraph" w:customStyle="1" w:styleId="719">
    <w:name w:val="图号"/>
    <w:basedOn w:val="1"/>
    <w:qFormat/>
    <w:uiPriority w:val="99"/>
    <w:pPr>
      <w:widowControl/>
      <w:autoSpaceDE w:val="0"/>
      <w:autoSpaceDN w:val="0"/>
      <w:ind w:hanging="851" w:hangingChars="200"/>
    </w:pPr>
    <w:rPr>
      <w:rFonts w:ascii="宋体" w:hAnsi="宋体" w:cs="宋体"/>
      <w:bCs/>
      <w:color w:val="FF0000"/>
      <w:kern w:val="2"/>
      <w:sz w:val="18"/>
      <w:szCs w:val="18"/>
      <w:lang w:val="zh-CN"/>
    </w:rPr>
  </w:style>
  <w:style w:type="paragraph" w:customStyle="1" w:styleId="720">
    <w:name w:val="我的正文首行缩进"/>
    <w:basedOn w:val="66"/>
    <w:qFormat/>
    <w:uiPriority w:val="99"/>
    <w:pPr>
      <w:spacing w:line="360" w:lineRule="auto"/>
    </w:pPr>
    <w:rPr>
      <w:rFonts w:hAnsi="Calibri"/>
      <w:kern w:val="0"/>
      <w:sz w:val="24"/>
      <w:lang w:val="zh-CN"/>
    </w:rPr>
  </w:style>
  <w:style w:type="paragraph" w:customStyle="1" w:styleId="72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jc w:val="left"/>
      <w:textAlignment w:val="center"/>
    </w:pPr>
    <w:rPr>
      <w:rFonts w:ascii="宋体" w:hAnsi="宋体"/>
      <w:sz w:val="20"/>
      <w:szCs w:val="20"/>
    </w:rPr>
  </w:style>
  <w:style w:type="paragraph" w:customStyle="1" w:styleId="722">
    <w:name w:val="xl56"/>
    <w:basedOn w:val="1"/>
    <w:qFormat/>
    <w:uiPriority w:val="99"/>
    <w:pPr>
      <w:widowControl/>
      <w:spacing w:before="100" w:beforeAutospacing="1" w:after="100" w:afterAutospacing="1"/>
      <w:ind w:hanging="851" w:hangingChars="200"/>
      <w:textAlignment w:val="center"/>
    </w:pPr>
    <w:rPr>
      <w:rFonts w:ascii="宋体" w:hAnsi="宋体"/>
      <w:b/>
      <w:bCs/>
      <w:sz w:val="28"/>
      <w:szCs w:val="28"/>
    </w:rPr>
  </w:style>
  <w:style w:type="paragraph" w:customStyle="1" w:styleId="723">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jc w:val="left"/>
      <w:textAlignment w:val="center"/>
    </w:pPr>
    <w:rPr>
      <w:rFonts w:ascii="宋体" w:hAnsi="宋体"/>
      <w:b/>
      <w:bCs/>
      <w:sz w:val="20"/>
      <w:szCs w:val="20"/>
    </w:rPr>
  </w:style>
  <w:style w:type="paragraph" w:customStyle="1" w:styleId="724">
    <w:name w:val="仿宋正文"/>
    <w:basedOn w:val="1"/>
    <w:qFormat/>
    <w:uiPriority w:val="99"/>
    <w:pPr>
      <w:widowControl/>
      <w:tabs>
        <w:tab w:val="left" w:pos="840"/>
      </w:tabs>
      <w:spacing w:line="560" w:lineRule="exact"/>
      <w:ind w:left="840" w:firstLine="560"/>
    </w:pPr>
    <w:rPr>
      <w:rFonts w:ascii="Calibri" w:hAnsi="Calibri" w:eastAsia="仿宋_GB2312"/>
      <w:color w:val="000000"/>
      <w:kern w:val="2"/>
      <w:sz w:val="28"/>
      <w:szCs w:val="20"/>
    </w:rPr>
  </w:style>
  <w:style w:type="paragraph" w:customStyle="1" w:styleId="725">
    <w:name w:val="样式 cucd-0 + 宋体"/>
    <w:basedOn w:val="475"/>
    <w:qFormat/>
    <w:uiPriority w:val="99"/>
    <w:rPr>
      <w:rFonts w:ascii="宋体" w:hAnsi="宋体"/>
    </w:rPr>
  </w:style>
  <w:style w:type="paragraph" w:customStyle="1" w:styleId="726">
    <w:name w:val="font1"/>
    <w:basedOn w:val="1"/>
    <w:qFormat/>
    <w:uiPriority w:val="99"/>
    <w:pPr>
      <w:widowControl/>
      <w:spacing w:before="100" w:beforeAutospacing="1" w:after="100" w:afterAutospacing="1"/>
      <w:ind w:hanging="851" w:hangingChars="200"/>
      <w:jc w:val="left"/>
    </w:pPr>
    <w:rPr>
      <w:rFonts w:ascii="宋体" w:hAnsi="宋体" w:cs="宋体"/>
    </w:rPr>
  </w:style>
  <w:style w:type="paragraph" w:customStyle="1" w:styleId="727">
    <w:name w:val="Char Char Char Char1"/>
    <w:basedOn w:val="1"/>
    <w:qFormat/>
    <w:uiPriority w:val="99"/>
    <w:pPr>
      <w:snapToGrid w:val="0"/>
      <w:spacing w:line="440" w:lineRule="atLeast"/>
      <w:ind w:hanging="851" w:hangingChars="200"/>
    </w:pPr>
    <w:rPr>
      <w:rFonts w:ascii="宋体" w:hAnsi="Calibri"/>
      <w:kern w:val="2"/>
      <w:szCs w:val="20"/>
    </w:rPr>
  </w:style>
  <w:style w:type="paragraph" w:customStyle="1" w:styleId="728">
    <w:name w:val="xl65"/>
    <w:basedOn w:val="1"/>
    <w:qFormat/>
    <w:uiPriority w:val="0"/>
    <w:pPr>
      <w:widowControl/>
      <w:shd w:val="clear" w:color="000000" w:fill="FFFF00"/>
      <w:spacing w:before="100" w:beforeAutospacing="1" w:after="100" w:afterAutospacing="1"/>
      <w:ind w:hanging="851" w:hangingChars="200"/>
      <w:jc w:val="left"/>
    </w:pPr>
    <w:rPr>
      <w:rFonts w:ascii="宋体" w:hAnsi="宋体" w:cs="宋体"/>
    </w:rPr>
  </w:style>
  <w:style w:type="paragraph" w:customStyle="1" w:styleId="72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jc w:val="center"/>
    </w:pPr>
    <w:rPr>
      <w:rFonts w:ascii="宋体" w:hAnsi="宋体" w:cs="宋体"/>
      <w:sz w:val="20"/>
      <w:szCs w:val="20"/>
    </w:rPr>
  </w:style>
  <w:style w:type="paragraph" w:customStyle="1" w:styleId="730">
    <w:name w:val="Char Char1 Char"/>
    <w:basedOn w:val="1"/>
    <w:qFormat/>
    <w:uiPriority w:val="99"/>
    <w:pPr>
      <w:ind w:hanging="851" w:hangingChars="200"/>
    </w:pPr>
    <w:rPr>
      <w:rFonts w:ascii="Calibri" w:hAnsi="Calibri"/>
      <w:kern w:val="2"/>
    </w:rPr>
  </w:style>
  <w:style w:type="paragraph" w:customStyle="1" w:styleId="731">
    <w:name w:val="正文2"/>
    <w:basedOn w:val="1"/>
    <w:qFormat/>
    <w:uiPriority w:val="99"/>
    <w:pPr>
      <w:widowControl/>
      <w:ind w:firstLine="540" w:firstLineChars="225"/>
    </w:pPr>
    <w:rPr>
      <w:rFonts w:ascii="宋体" w:hAnsi="宋体"/>
      <w:kern w:val="2"/>
    </w:rPr>
  </w:style>
  <w:style w:type="paragraph" w:customStyle="1" w:styleId="732">
    <w:name w:val="cucd-A"/>
    <w:next w:val="475"/>
    <w:qFormat/>
    <w:uiPriority w:val="99"/>
    <w:pPr>
      <w:pageBreakBefore/>
      <w:spacing w:beforeLines="100" w:afterLines="50" w:line="360" w:lineRule="auto"/>
      <w:ind w:left="851" w:hanging="851"/>
      <w:jc w:val="center"/>
      <w:outlineLvl w:val="0"/>
    </w:pPr>
    <w:rPr>
      <w:rFonts w:ascii="Calibri" w:hAnsi="Calibri" w:eastAsia="黑体" w:cs="Times New Roman"/>
      <w:b/>
      <w:kern w:val="2"/>
      <w:sz w:val="36"/>
      <w:szCs w:val="24"/>
      <w:lang w:val="en-US" w:eastAsia="zh-CN" w:bidi="ar-SA"/>
    </w:rPr>
  </w:style>
  <w:style w:type="paragraph" w:customStyle="1" w:styleId="733">
    <w:name w:val="Char4"/>
    <w:basedOn w:val="1"/>
    <w:qFormat/>
    <w:uiPriority w:val="99"/>
    <w:pPr>
      <w:ind w:hanging="851" w:hangingChars="200"/>
    </w:pPr>
    <w:rPr>
      <w:rFonts w:ascii="Calibri" w:hAnsi="Calibri"/>
      <w:kern w:val="2"/>
    </w:rPr>
  </w:style>
  <w:style w:type="paragraph" w:customStyle="1" w:styleId="734">
    <w:name w:val="我的正文首行缩进 Char"/>
    <w:basedOn w:val="66"/>
    <w:qFormat/>
    <w:uiPriority w:val="99"/>
    <w:pPr>
      <w:spacing w:line="360" w:lineRule="auto"/>
    </w:pPr>
    <w:rPr>
      <w:rFonts w:hAnsi="Calibri"/>
      <w:kern w:val="0"/>
      <w:sz w:val="24"/>
      <w:lang w:val="zh-CN"/>
    </w:rPr>
  </w:style>
  <w:style w:type="paragraph" w:customStyle="1" w:styleId="735">
    <w:name w:val="xl43"/>
    <w:basedOn w:val="1"/>
    <w:qFormat/>
    <w:uiPriority w:val="99"/>
    <w:pPr>
      <w:widowControl/>
      <w:pBdr>
        <w:top w:val="single" w:color="auto" w:sz="4" w:space="0"/>
        <w:left w:val="single" w:color="auto" w:sz="4" w:space="0"/>
        <w:bottom w:val="single" w:color="auto" w:sz="4" w:space="0"/>
        <w:right w:val="single" w:color="auto" w:sz="8" w:space="0"/>
      </w:pBdr>
      <w:spacing w:before="100" w:beforeAutospacing="1" w:after="100" w:afterAutospacing="1"/>
      <w:ind w:hanging="851" w:hangingChars="200"/>
      <w:textAlignment w:val="center"/>
    </w:pPr>
    <w:rPr>
      <w:rFonts w:ascii="Calibri" w:hAnsi="Calibri" w:cs="宋体"/>
      <w:sz w:val="20"/>
      <w:szCs w:val="20"/>
    </w:rPr>
  </w:style>
  <w:style w:type="paragraph" w:customStyle="1" w:styleId="736">
    <w:name w:val="Char Char1 Char1"/>
    <w:basedOn w:val="1"/>
    <w:qFormat/>
    <w:uiPriority w:val="99"/>
    <w:pPr>
      <w:ind w:hanging="851" w:hangingChars="200"/>
    </w:pPr>
    <w:rPr>
      <w:rFonts w:ascii="Calibri" w:hAnsi="Calibri"/>
      <w:kern w:val="2"/>
    </w:rPr>
  </w:style>
  <w:style w:type="paragraph" w:customStyle="1" w:styleId="737">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Calibri" w:hAnsi="Calibri"/>
      <w:sz w:val="20"/>
      <w:szCs w:val="20"/>
    </w:rPr>
  </w:style>
  <w:style w:type="paragraph" w:customStyle="1" w:styleId="738">
    <w:name w:val="Char41"/>
    <w:basedOn w:val="1"/>
    <w:qFormat/>
    <w:uiPriority w:val="99"/>
    <w:pPr>
      <w:ind w:hanging="851" w:hangingChars="200"/>
    </w:pPr>
    <w:rPr>
      <w:rFonts w:ascii="Calibri" w:hAnsi="Calibri"/>
      <w:kern w:val="2"/>
    </w:rPr>
  </w:style>
  <w:style w:type="paragraph" w:customStyle="1" w:styleId="739">
    <w:name w:val="正文条目a"/>
    <w:basedOn w:val="1"/>
    <w:qFormat/>
    <w:uiPriority w:val="99"/>
    <w:pPr>
      <w:widowControl/>
      <w:ind w:left="400" w:leftChars="300" w:hanging="100" w:hangingChars="100"/>
    </w:pPr>
    <w:rPr>
      <w:rFonts w:ascii="宋体" w:hAnsi="Calibri"/>
      <w:kern w:val="2"/>
    </w:rPr>
  </w:style>
  <w:style w:type="paragraph" w:customStyle="1" w:styleId="740">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851" w:hangingChars="200"/>
      <w:textAlignment w:val="center"/>
    </w:pPr>
    <w:rPr>
      <w:rFonts w:ascii="宋体" w:hAnsi="宋体"/>
      <w:sz w:val="20"/>
      <w:szCs w:val="20"/>
    </w:rPr>
  </w:style>
  <w:style w:type="paragraph" w:customStyle="1" w:styleId="741">
    <w:name w:val="xl42"/>
    <w:basedOn w:val="1"/>
    <w:qFormat/>
    <w:uiPriority w:val="99"/>
    <w:pPr>
      <w:widowControl/>
      <w:pBdr>
        <w:bottom w:val="single" w:color="auto" w:sz="4" w:space="0"/>
      </w:pBdr>
      <w:spacing w:before="100" w:beforeAutospacing="1" w:after="100" w:afterAutospacing="1"/>
      <w:ind w:hanging="851" w:hangingChars="200"/>
      <w:textAlignment w:val="center"/>
    </w:pPr>
    <w:rPr>
      <w:rFonts w:ascii="Calibri" w:hAnsi="Calibri"/>
      <w:b/>
      <w:bCs/>
      <w:sz w:val="28"/>
      <w:szCs w:val="28"/>
    </w:rPr>
  </w:style>
  <w:style w:type="paragraph" w:customStyle="1" w:styleId="742">
    <w:name w:val="figure"/>
    <w:basedOn w:val="1"/>
    <w:qFormat/>
    <w:uiPriority w:val="99"/>
    <w:pPr>
      <w:widowControl/>
      <w:tabs>
        <w:tab w:val="left" w:pos="851"/>
        <w:tab w:val="left" w:pos="1701"/>
      </w:tabs>
      <w:spacing w:line="250" w:lineRule="exact"/>
      <w:ind w:hanging="851" w:hangingChars="200"/>
      <w:jc w:val="left"/>
    </w:pPr>
    <w:rPr>
      <w:rFonts w:ascii="Swis721 Lt BT" w:hAnsi="Swis721 Lt BT"/>
      <w:snapToGrid w:val="0"/>
      <w:sz w:val="20"/>
      <w:szCs w:val="20"/>
      <w:lang w:val="en-AU" w:eastAsia="en-US"/>
    </w:rPr>
  </w:style>
  <w:style w:type="paragraph" w:customStyle="1" w:styleId="743">
    <w:name w:val="Char Char Char Char Char Char Char Char Char Char1"/>
    <w:basedOn w:val="1"/>
    <w:qFormat/>
    <w:uiPriority w:val="99"/>
    <w:pPr>
      <w:ind w:hanging="851" w:hangingChars="200"/>
    </w:pPr>
    <w:rPr>
      <w:rFonts w:ascii="Calibri" w:hAnsi="Calibri"/>
      <w:kern w:val="2"/>
    </w:rPr>
  </w:style>
  <w:style w:type="paragraph" w:customStyle="1" w:styleId="744">
    <w:name w:val="cauc-1"/>
    <w:next w:val="706"/>
    <w:qFormat/>
    <w:uiPriority w:val="99"/>
    <w:pPr>
      <w:pageBreakBefore/>
      <w:tabs>
        <w:tab w:val="left" w:pos="425"/>
      </w:tabs>
      <w:spacing w:beforeLines="100" w:afterLines="50" w:line="360" w:lineRule="auto"/>
      <w:ind w:left="425" w:hanging="425"/>
      <w:jc w:val="center"/>
      <w:outlineLvl w:val="0"/>
    </w:pPr>
    <w:rPr>
      <w:rFonts w:ascii="Calibri" w:hAnsi="Calibri" w:eastAsia="黑体" w:cs="Times New Roman"/>
      <w:b/>
      <w:kern w:val="2"/>
      <w:sz w:val="36"/>
      <w:szCs w:val="24"/>
      <w:lang w:val="en-US" w:eastAsia="zh-CN" w:bidi="ar-SA"/>
    </w:rPr>
  </w:style>
  <w:style w:type="character" w:customStyle="1" w:styleId="745">
    <w:name w:val="±êìa2 Char1"/>
    <w:qFormat/>
    <w:uiPriority w:val="0"/>
    <w:rPr>
      <w:rFonts w:eastAsia="宋体"/>
      <w:kern w:val="2"/>
      <w:sz w:val="28"/>
      <w:szCs w:val="28"/>
      <w:lang w:val="en-US" w:eastAsia="zh-CN" w:bidi="ar-SA"/>
    </w:rPr>
  </w:style>
  <w:style w:type="character" w:customStyle="1" w:styleId="746">
    <w:name w:val="表内字 Char"/>
    <w:link w:val="747"/>
    <w:qFormat/>
    <w:uiPriority w:val="0"/>
    <w:rPr>
      <w:rFonts w:ascii="宋体" w:hAnsi="宋体"/>
      <w:color w:val="000000"/>
    </w:rPr>
  </w:style>
  <w:style w:type="paragraph" w:customStyle="1" w:styleId="747">
    <w:name w:val="表内字"/>
    <w:link w:val="746"/>
    <w:qFormat/>
    <w:uiPriority w:val="0"/>
    <w:pPr>
      <w:widowControl w:val="0"/>
      <w:adjustRightInd w:val="0"/>
      <w:snapToGrid w:val="0"/>
      <w:spacing w:line="360" w:lineRule="atLeast"/>
      <w:jc w:val="center"/>
      <w:textAlignment w:val="baseline"/>
    </w:pPr>
    <w:rPr>
      <w:rFonts w:ascii="宋体" w:hAnsi="宋体" w:eastAsia="宋体" w:cs="宋体"/>
      <w:color w:val="000000"/>
      <w:kern w:val="2"/>
      <w:sz w:val="21"/>
      <w:szCs w:val="22"/>
      <w:lang w:val="en-US" w:eastAsia="zh-CN" w:bidi="ar-SA"/>
    </w:rPr>
  </w:style>
  <w:style w:type="paragraph" w:customStyle="1" w:styleId="748">
    <w:name w:val="profile"/>
    <w:basedOn w:val="1"/>
    <w:qFormat/>
    <w:uiPriority w:val="99"/>
    <w:pPr>
      <w:widowControl/>
      <w:spacing w:before="100" w:beforeAutospacing="1" w:after="100" w:afterAutospacing="1" w:line="384" w:lineRule="auto"/>
      <w:ind w:firstLine="0" w:firstLineChars="0"/>
    </w:pPr>
    <w:rPr>
      <w:rFonts w:ascii="宋体" w:hAnsi="宋体" w:cs="宋体"/>
      <w:sz w:val="21"/>
      <w:szCs w:val="21"/>
    </w:rPr>
  </w:style>
  <w:style w:type="paragraph" w:customStyle="1" w:styleId="749">
    <w:name w:val="CM58"/>
    <w:basedOn w:val="1"/>
    <w:next w:val="1"/>
    <w:qFormat/>
    <w:uiPriority w:val="99"/>
    <w:pPr>
      <w:autoSpaceDE w:val="0"/>
      <w:autoSpaceDN w:val="0"/>
      <w:adjustRightInd w:val="0"/>
      <w:spacing w:after="310" w:line="240" w:lineRule="auto"/>
      <w:ind w:firstLine="0" w:firstLineChars="0"/>
      <w:jc w:val="left"/>
    </w:pPr>
    <w:rPr>
      <w:rFonts w:ascii="宋体"/>
    </w:rPr>
  </w:style>
  <w:style w:type="paragraph" w:customStyle="1" w:styleId="750">
    <w:name w:val="a"/>
    <w:basedOn w:val="1"/>
    <w:qFormat/>
    <w:uiPriority w:val="99"/>
    <w:pPr>
      <w:widowControl/>
      <w:overflowPunct w:val="0"/>
      <w:spacing w:before="40" w:after="60" w:line="240" w:lineRule="auto"/>
      <w:ind w:firstLine="0" w:firstLineChars="0"/>
    </w:pPr>
    <w:rPr>
      <w:rFonts w:ascii="Arial" w:hAnsi="Arial" w:cs="Arial"/>
    </w:rPr>
  </w:style>
  <w:style w:type="paragraph" w:customStyle="1" w:styleId="751">
    <w:name w:val="样式 样式 样式 楷体_GB2312 小四 居中 行距: 单倍行距 + 宋体 + 楷体_GB2312"/>
    <w:basedOn w:val="1"/>
    <w:qFormat/>
    <w:uiPriority w:val="99"/>
    <w:pPr>
      <w:spacing w:line="240" w:lineRule="auto"/>
      <w:ind w:firstLine="0" w:firstLineChars="0"/>
      <w:jc w:val="center"/>
    </w:pPr>
    <w:rPr>
      <w:rFonts w:eastAsia="楷体_GB2312" w:cs="宋体"/>
      <w:kern w:val="2"/>
    </w:rPr>
  </w:style>
  <w:style w:type="paragraph" w:customStyle="1" w:styleId="752">
    <w:name w:val="样式 样式 样式 样式 样式 样式 样式 样式 Arial 四号 行距: 1.5 倍行距 + (符号) Arial 左侧:  4..."/>
    <w:basedOn w:val="1"/>
    <w:qFormat/>
    <w:uiPriority w:val="99"/>
    <w:pPr>
      <w:spacing w:before="100" w:beforeAutospacing="1"/>
      <w:ind w:firstLine="480"/>
    </w:pPr>
    <w:rPr>
      <w:rFonts w:ascii="Arial" w:hAnsi="Arial" w:cs="Arial"/>
    </w:rPr>
  </w:style>
  <w:style w:type="paragraph" w:customStyle="1" w:styleId="753">
    <w:name w:val="Normal Indent 2"/>
    <w:basedOn w:val="1"/>
    <w:next w:val="1"/>
    <w:qFormat/>
    <w:uiPriority w:val="99"/>
    <w:pPr>
      <w:autoSpaceDE w:val="0"/>
      <w:autoSpaceDN w:val="0"/>
      <w:adjustRightInd w:val="0"/>
      <w:spacing w:before="120" w:after="120" w:line="240" w:lineRule="auto"/>
      <w:ind w:firstLine="0" w:firstLineChars="0"/>
      <w:jc w:val="left"/>
    </w:pPr>
  </w:style>
  <w:style w:type="paragraph" w:customStyle="1" w:styleId="754">
    <w:name w:val="000"/>
    <w:basedOn w:val="1"/>
    <w:link w:val="755"/>
    <w:qFormat/>
    <w:uiPriority w:val="0"/>
    <w:pPr>
      <w:widowControl/>
      <w:ind w:firstLine="480"/>
      <w:jc w:val="left"/>
    </w:pPr>
    <w:rPr>
      <w:rFonts w:ascii="Calibri" w:hAnsi="Calibri"/>
      <w:lang w:val="zh-CN" w:eastAsia="en-US" w:bidi="en-US"/>
    </w:rPr>
  </w:style>
  <w:style w:type="character" w:customStyle="1" w:styleId="755">
    <w:name w:val="000 Char"/>
    <w:link w:val="754"/>
    <w:qFormat/>
    <w:uiPriority w:val="0"/>
    <w:rPr>
      <w:rFonts w:ascii="Calibri" w:hAnsi="Calibri" w:eastAsia="宋体" w:cs="Times New Roman"/>
      <w:kern w:val="0"/>
      <w:sz w:val="24"/>
      <w:szCs w:val="24"/>
      <w:lang w:val="zh-CN" w:eastAsia="en-US" w:bidi="en-US"/>
    </w:rPr>
  </w:style>
  <w:style w:type="paragraph" w:customStyle="1" w:styleId="756">
    <w:name w:val="标题B"/>
    <w:basedOn w:val="1"/>
    <w:qFormat/>
    <w:uiPriority w:val="99"/>
    <w:pPr>
      <w:ind w:firstLine="0" w:firstLineChars="0"/>
    </w:pPr>
    <w:rPr>
      <w:b/>
      <w:kern w:val="2"/>
      <w:sz w:val="28"/>
      <w:szCs w:val="28"/>
    </w:rPr>
  </w:style>
  <w:style w:type="paragraph" w:customStyle="1" w:styleId="757">
    <w:name w:val="表头 图头"/>
    <w:basedOn w:val="468"/>
    <w:link w:val="758"/>
    <w:qFormat/>
    <w:uiPriority w:val="0"/>
    <w:pPr>
      <w:ind w:left="0"/>
    </w:pPr>
    <w:rPr>
      <w:rFonts w:ascii="黑体" w:hAnsi="黑体"/>
      <w:b/>
      <w:color w:val="000000"/>
      <w:sz w:val="24"/>
      <w:szCs w:val="36"/>
      <w:lang w:val="zh-CN"/>
    </w:rPr>
  </w:style>
  <w:style w:type="character" w:customStyle="1" w:styleId="758">
    <w:name w:val="表头 图头 Char"/>
    <w:link w:val="757"/>
    <w:qFormat/>
    <w:uiPriority w:val="0"/>
    <w:rPr>
      <w:rFonts w:ascii="黑体" w:hAnsi="黑体" w:eastAsia="黑体" w:cs="Times New Roman"/>
      <w:b/>
      <w:color w:val="000000"/>
      <w:kern w:val="0"/>
      <w:sz w:val="24"/>
      <w:szCs w:val="36"/>
      <w:lang w:val="zh-CN" w:eastAsia="zh-CN"/>
    </w:rPr>
  </w:style>
  <w:style w:type="paragraph" w:customStyle="1" w:styleId="759">
    <w:name w:val="巴二级标题"/>
    <w:basedOn w:val="1"/>
    <w:link w:val="761"/>
    <w:qFormat/>
    <w:uiPriority w:val="99"/>
    <w:pPr>
      <w:numPr>
        <w:ilvl w:val="1"/>
        <w:numId w:val="5"/>
      </w:numPr>
      <w:ind w:left="1320" w:firstLine="0" w:firstLineChars="0"/>
      <w:jc w:val="left"/>
      <w:outlineLvl w:val="1"/>
    </w:pPr>
    <w:rPr>
      <w:rFonts w:eastAsia="黑体"/>
      <w:color w:val="000000"/>
      <w:sz w:val="30"/>
      <w:szCs w:val="30"/>
      <w:lang w:val="zh-CN"/>
    </w:rPr>
  </w:style>
  <w:style w:type="paragraph" w:customStyle="1" w:styleId="760">
    <w:name w:val="巴三级标题"/>
    <w:basedOn w:val="1"/>
    <w:qFormat/>
    <w:uiPriority w:val="99"/>
    <w:pPr>
      <w:numPr>
        <w:ilvl w:val="2"/>
        <w:numId w:val="5"/>
      </w:numPr>
      <w:ind w:firstLine="0" w:firstLineChars="0"/>
      <w:jc w:val="left"/>
      <w:outlineLvl w:val="2"/>
    </w:pPr>
    <w:rPr>
      <w:rFonts w:eastAsia="黑体"/>
      <w:color w:val="000000"/>
      <w:kern w:val="2"/>
      <w:sz w:val="28"/>
      <w:szCs w:val="30"/>
    </w:rPr>
  </w:style>
  <w:style w:type="character" w:customStyle="1" w:styleId="761">
    <w:name w:val="巴二级标题 Char"/>
    <w:link w:val="759"/>
    <w:qFormat/>
    <w:uiPriority w:val="99"/>
    <w:rPr>
      <w:rFonts w:ascii="Times New Roman" w:hAnsi="Times New Roman" w:eastAsia="黑体" w:cs="Times New Roman"/>
      <w:color w:val="000000"/>
      <w:sz w:val="30"/>
      <w:szCs w:val="30"/>
      <w:lang w:val="zh-CN"/>
    </w:rPr>
  </w:style>
  <w:style w:type="paragraph" w:customStyle="1" w:styleId="762">
    <w:name w:val="巴-四级标题"/>
    <w:basedOn w:val="759"/>
    <w:qFormat/>
    <w:uiPriority w:val="99"/>
    <w:pPr>
      <w:numPr>
        <w:ilvl w:val="3"/>
        <w:numId w:val="0"/>
      </w:numPr>
      <w:outlineLvl w:val="3"/>
    </w:pPr>
    <w:rPr>
      <w:rFonts w:eastAsia="宋体"/>
      <w:b/>
      <w:sz w:val="24"/>
    </w:rPr>
  </w:style>
  <w:style w:type="character" w:customStyle="1" w:styleId="763">
    <w:name w:val="A图表标题 Char"/>
    <w:link w:val="502"/>
    <w:qFormat/>
    <w:uiPriority w:val="0"/>
    <w:rPr>
      <w:rFonts w:ascii="黑体" w:hAnsi="黑体" w:eastAsia="黑体" w:cs="Times New Roman"/>
      <w:b/>
      <w:color w:val="000000"/>
      <w:kern w:val="0"/>
      <w:sz w:val="24"/>
      <w:szCs w:val="28"/>
      <w:lang w:val="zh-CN" w:eastAsia="zh-CN"/>
    </w:rPr>
  </w:style>
  <w:style w:type="character" w:customStyle="1" w:styleId="764">
    <w:name w:val="w表格内 Char"/>
    <w:link w:val="765"/>
    <w:qFormat/>
    <w:uiPriority w:val="0"/>
    <w:rPr>
      <w:rFonts w:ascii="宋体"/>
      <w:szCs w:val="21"/>
    </w:rPr>
  </w:style>
  <w:style w:type="paragraph" w:customStyle="1" w:styleId="765">
    <w:name w:val="w表格内"/>
    <w:basedOn w:val="103"/>
    <w:link w:val="764"/>
    <w:qFormat/>
    <w:uiPriority w:val="0"/>
    <w:pPr>
      <w:widowControl/>
      <w:spacing w:line="340" w:lineRule="exact"/>
      <w:ind w:firstLine="0" w:firstLineChars="0"/>
      <w:jc w:val="center"/>
    </w:pPr>
    <w:rPr>
      <w:rFonts w:hAnsi="Calibri" w:cs="宋体"/>
      <w:sz w:val="21"/>
      <w:szCs w:val="21"/>
    </w:rPr>
  </w:style>
  <w:style w:type="paragraph" w:customStyle="1" w:styleId="766">
    <w:name w:val="A3"/>
    <w:basedOn w:val="399"/>
    <w:link w:val="767"/>
    <w:qFormat/>
    <w:uiPriority w:val="0"/>
    <w:pPr>
      <w:widowControl w:val="0"/>
    </w:pPr>
    <w:rPr>
      <w:rFonts w:ascii="Times New Roman" w:hAnsi="Times New Roman"/>
      <w:color w:val="000000"/>
      <w:sz w:val="26"/>
    </w:rPr>
  </w:style>
  <w:style w:type="character" w:customStyle="1" w:styleId="767">
    <w:name w:val="A3 Char"/>
    <w:link w:val="766"/>
    <w:qFormat/>
    <w:uiPriority w:val="0"/>
    <w:rPr>
      <w:rFonts w:ascii="Times New Roman" w:hAnsi="Times New Roman" w:eastAsia="黑体" w:cs="宋体"/>
      <w:b/>
      <w:color w:val="000000"/>
      <w:kern w:val="0"/>
      <w:sz w:val="26"/>
      <w:szCs w:val="20"/>
      <w:lang w:val="zh-CN" w:eastAsia="zh-CN"/>
    </w:rPr>
  </w:style>
  <w:style w:type="table" w:customStyle="1" w:styleId="768">
    <w:name w:val="网格型111"/>
    <w:basedOn w:val="67"/>
    <w:qFormat/>
    <w:uiPriority w:val="0"/>
    <w:pPr>
      <w:widowControl w:val="0"/>
      <w:spacing w:line="360" w:lineRule="exact"/>
      <w:jc w:val="center"/>
    </w:pPr>
    <w:rPr>
      <w:rFonts w:ascii="宋体" w:hAnsi="宋体"/>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left w:w="0" w:type="dxa"/>
        <w:right w:w="0" w:type="dxa"/>
      </w:tblCellMar>
    </w:tblPr>
    <w:tcPr>
      <w:vAlign w:val="center"/>
    </w:tcPr>
  </w:style>
  <w:style w:type="paragraph" w:customStyle="1" w:styleId="769">
    <w:name w:val="五号框图文字"/>
    <w:basedOn w:val="1"/>
    <w:qFormat/>
    <w:uiPriority w:val="99"/>
    <w:pPr>
      <w:tabs>
        <w:tab w:val="left" w:pos="567"/>
      </w:tabs>
      <w:spacing w:line="240" w:lineRule="auto"/>
      <w:ind w:firstLine="0" w:firstLineChars="0"/>
      <w:jc w:val="center"/>
    </w:pPr>
    <w:rPr>
      <w:rFonts w:eastAsia="华文中宋"/>
      <w:kern w:val="2"/>
      <w:sz w:val="21"/>
      <w:szCs w:val="21"/>
    </w:rPr>
  </w:style>
  <w:style w:type="character" w:customStyle="1" w:styleId="770">
    <w:name w:val="表头 字符"/>
    <w:qFormat/>
    <w:uiPriority w:val="0"/>
    <w:rPr>
      <w:rFonts w:ascii="Calibri" w:hAnsi="Calibri" w:eastAsia="黑体" w:cs="Times New Roman"/>
      <w:spacing w:val="-10"/>
      <w:sz w:val="21"/>
    </w:rPr>
  </w:style>
  <w:style w:type="character" w:customStyle="1" w:styleId="771">
    <w:name w:val="邓图后正文 Char"/>
    <w:link w:val="557"/>
    <w:qFormat/>
    <w:uiPriority w:val="0"/>
    <w:rPr>
      <w:rFonts w:ascii="黑体" w:hAnsi="黑体" w:eastAsia="黑体" w:cs="Times New Roman"/>
      <w:b/>
      <w:bCs/>
      <w:kern w:val="0"/>
      <w:sz w:val="24"/>
      <w:szCs w:val="24"/>
      <w:lang w:val="zh-CN" w:eastAsia="zh-CN"/>
    </w:rPr>
  </w:style>
  <w:style w:type="paragraph" w:customStyle="1" w:styleId="772">
    <w:name w:val="w3"/>
    <w:basedOn w:val="4"/>
    <w:qFormat/>
    <w:uiPriority w:val="99"/>
    <w:pPr>
      <w:adjustRightInd w:val="0"/>
      <w:snapToGrid w:val="0"/>
      <w:ind w:left="425" w:hanging="425"/>
      <w:jc w:val="left"/>
    </w:pPr>
    <w:rPr>
      <w:rFonts w:ascii="Calibri" w:hAnsi="Calibri" w:eastAsia="黑体"/>
      <w:b w:val="0"/>
      <w:sz w:val="28"/>
      <w:szCs w:val="32"/>
      <w:lang w:val="zh-CN"/>
    </w:rPr>
  </w:style>
  <w:style w:type="character" w:customStyle="1" w:styleId="773">
    <w:name w:val="0正文 Char"/>
    <w:link w:val="269"/>
    <w:qFormat/>
    <w:uiPriority w:val="0"/>
    <w:rPr>
      <w:rFonts w:ascii="宋体" w:hAnsi="Times New Roman" w:eastAsia="宋体" w:cs="Times New Roman"/>
      <w:kern w:val="0"/>
    </w:rPr>
  </w:style>
  <w:style w:type="character" w:customStyle="1" w:styleId="774">
    <w:name w:val="digest1"/>
    <w:qFormat/>
    <w:uiPriority w:val="0"/>
    <w:rPr>
      <w:color w:val="393939"/>
      <w:sz w:val="20"/>
      <w:szCs w:val="20"/>
    </w:rPr>
  </w:style>
  <w:style w:type="character" w:customStyle="1" w:styleId="775">
    <w:name w:val="东华表格文字 Char"/>
    <w:link w:val="776"/>
    <w:qFormat/>
    <w:uiPriority w:val="0"/>
    <w:rPr>
      <w:rFonts w:eastAsia="仿宋"/>
      <w:szCs w:val="21"/>
    </w:rPr>
  </w:style>
  <w:style w:type="paragraph" w:customStyle="1" w:styleId="776">
    <w:name w:val="东华表格文字"/>
    <w:basedOn w:val="1"/>
    <w:link w:val="775"/>
    <w:qFormat/>
    <w:uiPriority w:val="0"/>
    <w:pPr>
      <w:widowControl/>
      <w:adjustRightInd w:val="0"/>
      <w:snapToGrid w:val="0"/>
      <w:spacing w:line="240" w:lineRule="auto"/>
      <w:ind w:firstLine="0" w:firstLineChars="0"/>
      <w:jc w:val="center"/>
    </w:pPr>
    <w:rPr>
      <w:rFonts w:ascii="Calibri" w:hAnsi="Calibri" w:eastAsia="仿宋" w:cs="宋体"/>
      <w:kern w:val="2"/>
      <w:sz w:val="21"/>
      <w:szCs w:val="21"/>
    </w:rPr>
  </w:style>
  <w:style w:type="character" w:customStyle="1" w:styleId="777">
    <w:name w:val="apple-style-span"/>
    <w:basedOn w:val="71"/>
    <w:qFormat/>
    <w:uiPriority w:val="0"/>
  </w:style>
  <w:style w:type="character" w:customStyle="1" w:styleId="778">
    <w:name w:val="A4 Char"/>
    <w:link w:val="779"/>
    <w:qFormat/>
    <w:uiPriority w:val="0"/>
    <w:rPr>
      <w:b/>
      <w:bCs/>
      <w:color w:val="000000"/>
      <w:sz w:val="24"/>
      <w:szCs w:val="28"/>
    </w:rPr>
  </w:style>
  <w:style w:type="paragraph" w:customStyle="1" w:styleId="779">
    <w:name w:val="A4"/>
    <w:basedOn w:val="5"/>
    <w:link w:val="778"/>
    <w:qFormat/>
    <w:uiPriority w:val="0"/>
    <w:pPr>
      <w:numPr>
        <w:ilvl w:val="0"/>
        <w:numId w:val="0"/>
      </w:numPr>
      <w:overflowPunct/>
      <w:autoSpaceDE/>
      <w:autoSpaceDN/>
      <w:adjustRightInd/>
      <w:jc w:val="both"/>
      <w:textAlignment w:val="auto"/>
    </w:pPr>
    <w:rPr>
      <w:rFonts w:ascii="Calibri" w:hAnsi="Calibri" w:cs="宋体"/>
      <w:bCs/>
      <w:color w:val="000000"/>
      <w:spacing w:val="0"/>
      <w:kern w:val="2"/>
      <w:szCs w:val="28"/>
    </w:rPr>
  </w:style>
  <w:style w:type="character" w:customStyle="1" w:styleId="780">
    <w:name w:val="A表 Char"/>
    <w:link w:val="781"/>
    <w:qFormat/>
    <w:uiPriority w:val="0"/>
    <w:rPr>
      <w:rFonts w:ascii="黑体" w:hAnsi="黑体" w:eastAsia="黑体"/>
      <w:b/>
      <w:color w:val="000000"/>
      <w:sz w:val="24"/>
      <w:szCs w:val="24"/>
    </w:rPr>
  </w:style>
  <w:style w:type="paragraph" w:customStyle="1" w:styleId="781">
    <w:name w:val="A表"/>
    <w:basedOn w:val="1"/>
    <w:link w:val="780"/>
    <w:qFormat/>
    <w:uiPriority w:val="0"/>
    <w:pPr>
      <w:ind w:firstLine="0" w:firstLineChars="0"/>
      <w:jc w:val="center"/>
    </w:pPr>
    <w:rPr>
      <w:rFonts w:ascii="黑体" w:hAnsi="黑体" w:eastAsia="黑体" w:cs="宋体"/>
      <w:b/>
      <w:color w:val="000000"/>
      <w:kern w:val="2"/>
    </w:rPr>
  </w:style>
  <w:style w:type="paragraph" w:customStyle="1" w:styleId="782">
    <w:name w:val="A1表头"/>
    <w:basedOn w:val="1"/>
    <w:qFormat/>
    <w:uiPriority w:val="0"/>
    <w:pPr>
      <w:ind w:firstLine="0" w:firstLineChars="0"/>
      <w:jc w:val="center"/>
    </w:pPr>
    <w:rPr>
      <w:rFonts w:ascii="黑体" w:hAnsi="黑体" w:eastAsia="黑体"/>
      <w:b/>
      <w:kern w:val="2"/>
    </w:rPr>
  </w:style>
  <w:style w:type="paragraph" w:customStyle="1" w:styleId="783">
    <w:name w:val="样式 样式 正文缩进正文（首行缩进两字）正文2 + 首行缩进:  2 字符 + 首行缩进:  2 字符"/>
    <w:basedOn w:val="1"/>
    <w:qFormat/>
    <w:uiPriority w:val="99"/>
    <w:pPr>
      <w:widowControl/>
      <w:snapToGrid w:val="0"/>
      <w:spacing w:line="324" w:lineRule="auto"/>
      <w:ind w:firstLine="600"/>
    </w:pPr>
    <w:rPr>
      <w:rFonts w:hAnsi="宋体" w:cs="宋体"/>
      <w:sz w:val="28"/>
      <w:szCs w:val="20"/>
    </w:rPr>
  </w:style>
  <w:style w:type="character" w:customStyle="1" w:styleId="784">
    <w:name w:val="尾注文本 Char1"/>
    <w:qFormat/>
    <w:uiPriority w:val="0"/>
    <w:rPr>
      <w:kern w:val="2"/>
      <w:sz w:val="21"/>
      <w:szCs w:val="24"/>
    </w:rPr>
  </w:style>
  <w:style w:type="paragraph" w:customStyle="1" w:styleId="785">
    <w:name w:val="3级标题"/>
    <w:basedOn w:val="1"/>
    <w:link w:val="786"/>
    <w:qFormat/>
    <w:uiPriority w:val="0"/>
    <w:pPr>
      <w:tabs>
        <w:tab w:val="left" w:pos="720"/>
        <w:tab w:val="left" w:pos="900"/>
      </w:tabs>
      <w:ind w:firstLine="0" w:firstLineChars="0"/>
      <w:outlineLvl w:val="2"/>
    </w:pPr>
    <w:rPr>
      <w:rFonts w:ascii="Arial" w:hAnsi="Arial"/>
      <w:b/>
      <w:lang w:val="zh-CN"/>
    </w:rPr>
  </w:style>
  <w:style w:type="character" w:customStyle="1" w:styleId="786">
    <w:name w:val="3级标题 Char"/>
    <w:link w:val="785"/>
    <w:qFormat/>
    <w:uiPriority w:val="0"/>
    <w:rPr>
      <w:rFonts w:ascii="Arial" w:hAnsi="Arial" w:eastAsia="宋体" w:cs="Times New Roman"/>
      <w:b/>
      <w:kern w:val="0"/>
      <w:sz w:val="24"/>
      <w:szCs w:val="24"/>
      <w:lang w:val="zh-CN" w:eastAsia="zh-CN"/>
    </w:rPr>
  </w:style>
  <w:style w:type="paragraph" w:customStyle="1" w:styleId="787">
    <w:name w:val="周晟-表格文字"/>
    <w:basedOn w:val="1"/>
    <w:qFormat/>
    <w:uiPriority w:val="99"/>
    <w:pPr>
      <w:spacing w:line="240" w:lineRule="auto"/>
      <w:ind w:firstLine="0" w:firstLineChars="0"/>
      <w:jc w:val="center"/>
    </w:pPr>
    <w:rPr>
      <w:rFonts w:ascii="宋体" w:hAnsi="宋体" w:eastAsia="新宋体"/>
      <w:kern w:val="24"/>
      <w:sz w:val="21"/>
    </w:rPr>
  </w:style>
  <w:style w:type="paragraph" w:customStyle="1" w:styleId="788">
    <w:name w:val="正文（1）"/>
    <w:basedOn w:val="15"/>
    <w:next w:val="65"/>
    <w:qFormat/>
    <w:uiPriority w:val="99"/>
    <w:pPr>
      <w:spacing w:after="0" w:line="360" w:lineRule="auto"/>
      <w:ind w:firstLine="480"/>
      <w:jc w:val="both"/>
    </w:pPr>
    <w:rPr>
      <w:color w:val="FF00FF"/>
      <w:szCs w:val="24"/>
      <w:lang w:val="zh-CN" w:eastAsia="zh-CN" w:bidi="ar-SA"/>
    </w:rPr>
  </w:style>
  <w:style w:type="paragraph" w:customStyle="1" w:styleId="789">
    <w:name w:val="xl53"/>
    <w:basedOn w:val="1"/>
    <w:qFormat/>
    <w:uiPriority w:val="99"/>
    <w:pPr>
      <w:widowControl/>
      <w:pBdr>
        <w:top w:val="single" w:color="auto" w:sz="4" w:space="0"/>
        <w:left w:val="single" w:color="auto" w:sz="4" w:space="0"/>
        <w:bottom w:val="single" w:color="auto" w:sz="4" w:space="0"/>
        <w:right w:val="single" w:color="auto" w:sz="4" w:space="0"/>
      </w:pBdr>
      <w:shd w:val="clear" w:color="auto" w:fill="9999FF"/>
      <w:spacing w:before="100" w:beforeAutospacing="1" w:after="100" w:afterAutospacing="1" w:line="240" w:lineRule="auto"/>
      <w:ind w:firstLine="0" w:firstLineChars="0"/>
    </w:pPr>
    <w:rPr>
      <w:rFonts w:ascii="Arial Unicode MS" w:hAnsi="Arial Unicode MS" w:eastAsia="Arial Unicode MS" w:cs="Arial Unicode MS"/>
      <w:b/>
      <w:bCs/>
      <w:sz w:val="12"/>
      <w:szCs w:val="12"/>
    </w:rPr>
  </w:style>
  <w:style w:type="paragraph" w:customStyle="1" w:styleId="790">
    <w:name w:val="正文样式－文字"/>
    <w:basedOn w:val="1"/>
    <w:link w:val="791"/>
    <w:qFormat/>
    <w:uiPriority w:val="0"/>
    <w:pPr>
      <w:widowControl/>
      <w:tabs>
        <w:tab w:val="left" w:pos="-709"/>
        <w:tab w:val="left" w:pos="284"/>
      </w:tabs>
      <w:adjustRightInd w:val="0"/>
      <w:snapToGrid w:val="0"/>
      <w:ind w:firstLine="200"/>
      <w:jc w:val="left"/>
      <w:textAlignment w:val="baseline"/>
    </w:pPr>
    <w:rPr>
      <w:rFonts w:ascii="Calibri" w:hAnsi="Calibri"/>
      <w:color w:val="000000"/>
      <w:sz w:val="28"/>
      <w:lang w:val="zh-CN"/>
    </w:rPr>
  </w:style>
  <w:style w:type="character" w:customStyle="1" w:styleId="791">
    <w:name w:val="正文样式－文字 Char"/>
    <w:link w:val="790"/>
    <w:qFormat/>
    <w:uiPriority w:val="0"/>
    <w:rPr>
      <w:rFonts w:ascii="Calibri" w:hAnsi="Calibri" w:eastAsia="宋体" w:cs="Times New Roman"/>
      <w:color w:val="000000"/>
      <w:kern w:val="0"/>
      <w:sz w:val="28"/>
      <w:szCs w:val="24"/>
      <w:lang w:val="zh-CN" w:eastAsia="zh-CN"/>
    </w:rPr>
  </w:style>
  <w:style w:type="character" w:customStyle="1" w:styleId="792">
    <w:name w:val="表格正文 Char"/>
    <w:link w:val="793"/>
    <w:qFormat/>
    <w:uiPriority w:val="99"/>
    <w:rPr>
      <w:rFonts w:ascii="宋体"/>
      <w:szCs w:val="24"/>
      <w:lang w:val="en-GB"/>
    </w:rPr>
  </w:style>
  <w:style w:type="paragraph" w:customStyle="1" w:styleId="793">
    <w:name w:val="表格正文"/>
    <w:basedOn w:val="1"/>
    <w:link w:val="792"/>
    <w:qFormat/>
    <w:uiPriority w:val="99"/>
    <w:pPr>
      <w:spacing w:line="240" w:lineRule="auto"/>
      <w:ind w:firstLine="0" w:firstLineChars="0"/>
      <w:jc w:val="center"/>
    </w:pPr>
    <w:rPr>
      <w:rFonts w:ascii="宋体" w:hAnsi="Calibri" w:cs="宋体"/>
      <w:kern w:val="2"/>
      <w:sz w:val="21"/>
      <w:lang w:val="en-GB"/>
    </w:rPr>
  </w:style>
  <w:style w:type="character" w:customStyle="1" w:styleId="794">
    <w:name w:val="fontstyle11"/>
    <w:qFormat/>
    <w:uiPriority w:val="0"/>
    <w:rPr>
      <w:rFonts w:hint="eastAsia" w:ascii="宋体" w:hAnsi="宋体" w:eastAsia="宋体"/>
      <w:color w:val="000000"/>
      <w:sz w:val="24"/>
      <w:szCs w:val="24"/>
    </w:rPr>
  </w:style>
  <w:style w:type="character" w:customStyle="1" w:styleId="795">
    <w:name w:val="周晟-正文 Char Char"/>
    <w:link w:val="796"/>
    <w:qFormat/>
    <w:uiPriority w:val="0"/>
    <w:rPr>
      <w:rFonts w:ascii="宋体" w:hAnsi="宋体"/>
      <w:sz w:val="24"/>
    </w:rPr>
  </w:style>
  <w:style w:type="paragraph" w:customStyle="1" w:styleId="796">
    <w:name w:val="周晟-正文"/>
    <w:basedOn w:val="1"/>
    <w:link w:val="795"/>
    <w:qFormat/>
    <w:uiPriority w:val="0"/>
    <w:pPr>
      <w:widowControl/>
      <w:topLinePunct/>
      <w:ind w:firstLine="567" w:firstLineChars="0"/>
    </w:pPr>
    <w:rPr>
      <w:rFonts w:ascii="宋体" w:hAnsi="宋体" w:cs="宋体"/>
      <w:kern w:val="2"/>
      <w:szCs w:val="22"/>
    </w:rPr>
  </w:style>
  <w:style w:type="paragraph" w:customStyle="1" w:styleId="797">
    <w:name w:val="曙光表头"/>
    <w:basedOn w:val="1"/>
    <w:link w:val="798"/>
    <w:qFormat/>
    <w:uiPriority w:val="0"/>
    <w:pPr>
      <w:adjustRightInd w:val="0"/>
      <w:snapToGrid w:val="0"/>
      <w:ind w:firstLine="482" w:firstLineChars="0"/>
      <w:jc w:val="center"/>
    </w:pPr>
    <w:rPr>
      <w:rFonts w:eastAsia="黑体"/>
      <w:b/>
      <w:color w:val="000000"/>
      <w:szCs w:val="20"/>
      <w:lang w:val="zh-CN" w:bidi="en-US"/>
    </w:rPr>
  </w:style>
  <w:style w:type="character" w:customStyle="1" w:styleId="798">
    <w:name w:val="曙光表头 Char"/>
    <w:link w:val="797"/>
    <w:qFormat/>
    <w:uiPriority w:val="0"/>
    <w:rPr>
      <w:rFonts w:ascii="Times New Roman" w:hAnsi="Times New Roman" w:eastAsia="黑体" w:cs="Times New Roman"/>
      <w:b/>
      <w:color w:val="000000"/>
      <w:kern w:val="0"/>
      <w:sz w:val="24"/>
      <w:szCs w:val="20"/>
      <w:lang w:val="zh-CN" w:eastAsia="zh-CN" w:bidi="en-US"/>
    </w:rPr>
  </w:style>
  <w:style w:type="character" w:customStyle="1" w:styleId="799">
    <w:name w:val="w表后空格 Char"/>
    <w:link w:val="800"/>
    <w:qFormat/>
    <w:uiPriority w:val="0"/>
    <w:rPr>
      <w:szCs w:val="24"/>
    </w:rPr>
  </w:style>
  <w:style w:type="paragraph" w:customStyle="1" w:styleId="800">
    <w:name w:val="w表后空格"/>
    <w:basedOn w:val="1"/>
    <w:link w:val="799"/>
    <w:qFormat/>
    <w:uiPriority w:val="0"/>
    <w:pPr>
      <w:snapToGrid w:val="0"/>
      <w:spacing w:line="240" w:lineRule="auto"/>
      <w:ind w:firstLine="420"/>
      <w:jc w:val="left"/>
    </w:pPr>
    <w:rPr>
      <w:rFonts w:ascii="Calibri" w:hAnsi="Calibri" w:cs="宋体"/>
      <w:kern w:val="2"/>
      <w:sz w:val="21"/>
    </w:rPr>
  </w:style>
  <w:style w:type="paragraph" w:customStyle="1" w:styleId="801">
    <w:name w:val="曙光图后正文"/>
    <w:qFormat/>
    <w:uiPriority w:val="99"/>
    <w:pPr>
      <w:widowControl w:val="0"/>
      <w:snapToGrid w:val="0"/>
      <w:spacing w:line="360" w:lineRule="auto"/>
      <w:ind w:firstLine="200" w:firstLineChars="200"/>
      <w:jc w:val="center"/>
    </w:pPr>
    <w:rPr>
      <w:rFonts w:ascii="Calibri" w:hAnsi="Calibri" w:eastAsia="黑体" w:cs="Times New Roman"/>
      <w:b/>
      <w:kern w:val="2"/>
      <w:sz w:val="24"/>
      <w:szCs w:val="24"/>
      <w:lang w:val="en-US" w:eastAsia="zh-CN" w:bidi="ar-SA"/>
    </w:rPr>
  </w:style>
  <w:style w:type="character" w:customStyle="1" w:styleId="802">
    <w:name w:val="表、图名 Char Char"/>
    <w:qFormat/>
    <w:uiPriority w:val="0"/>
    <w:rPr>
      <w:rFonts w:ascii="黑体" w:hAnsi="宋体" w:eastAsia="黑体"/>
      <w:b/>
      <w:kern w:val="2"/>
      <w:sz w:val="21"/>
      <w:szCs w:val="21"/>
      <w:lang w:val="en-US" w:eastAsia="zh-CN"/>
    </w:rPr>
  </w:style>
  <w:style w:type="character" w:customStyle="1" w:styleId="803">
    <w:name w:val="东华表头 Char"/>
    <w:link w:val="804"/>
    <w:qFormat/>
    <w:uiPriority w:val="0"/>
    <w:rPr>
      <w:rFonts w:hAnsi="宋体" w:eastAsia="黑体"/>
      <w:b/>
      <w:kern w:val="16"/>
      <w:sz w:val="24"/>
    </w:rPr>
  </w:style>
  <w:style w:type="paragraph" w:customStyle="1" w:styleId="804">
    <w:name w:val="东华表头"/>
    <w:basedOn w:val="1"/>
    <w:link w:val="803"/>
    <w:qFormat/>
    <w:uiPriority w:val="0"/>
    <w:pPr>
      <w:adjustRightInd w:val="0"/>
      <w:snapToGrid w:val="0"/>
      <w:spacing w:line="240" w:lineRule="auto"/>
      <w:ind w:firstLine="482"/>
      <w:contextualSpacing/>
      <w:jc w:val="center"/>
    </w:pPr>
    <w:rPr>
      <w:rFonts w:ascii="Calibri" w:hAnsi="宋体" w:eastAsia="黑体" w:cs="宋体"/>
      <w:b/>
      <w:kern w:val="16"/>
      <w:szCs w:val="22"/>
    </w:rPr>
  </w:style>
  <w:style w:type="character" w:customStyle="1" w:styleId="805">
    <w:name w:val="T正文 Char"/>
    <w:link w:val="806"/>
    <w:qFormat/>
    <w:uiPriority w:val="0"/>
    <w:rPr>
      <w:rFonts w:ascii="宋体" w:hAnsi="宋体"/>
      <w:sz w:val="24"/>
      <w:szCs w:val="24"/>
    </w:rPr>
  </w:style>
  <w:style w:type="paragraph" w:customStyle="1" w:styleId="806">
    <w:name w:val="T正文"/>
    <w:basedOn w:val="1"/>
    <w:link w:val="805"/>
    <w:qFormat/>
    <w:uiPriority w:val="0"/>
    <w:pPr>
      <w:ind w:firstLine="480"/>
    </w:pPr>
    <w:rPr>
      <w:rFonts w:ascii="宋体" w:hAnsi="宋体" w:cs="宋体"/>
      <w:kern w:val="2"/>
    </w:rPr>
  </w:style>
  <w:style w:type="character" w:customStyle="1" w:styleId="807">
    <w:name w:val="font41"/>
    <w:qFormat/>
    <w:uiPriority w:val="0"/>
    <w:rPr>
      <w:rFonts w:hint="default" w:ascii="Times New Roman" w:hAnsi="Times New Roman" w:cs="Times New Roman"/>
      <w:color w:val="000000"/>
      <w:sz w:val="21"/>
      <w:szCs w:val="21"/>
      <w:u w:val="none"/>
    </w:rPr>
  </w:style>
  <w:style w:type="character" w:customStyle="1" w:styleId="808">
    <w:name w:val="font61"/>
    <w:qFormat/>
    <w:uiPriority w:val="0"/>
    <w:rPr>
      <w:rFonts w:hint="eastAsia" w:ascii="宋体" w:hAnsi="宋体" w:eastAsia="宋体"/>
      <w:color w:val="000000"/>
      <w:sz w:val="22"/>
      <w:szCs w:val="22"/>
      <w:u w:val="none"/>
    </w:rPr>
  </w:style>
  <w:style w:type="character" w:customStyle="1" w:styleId="809">
    <w:name w:val="图表内容 Char"/>
    <w:link w:val="810"/>
    <w:qFormat/>
    <w:uiPriority w:val="0"/>
    <w:rPr>
      <w:rFonts w:ascii="仿宋_GB2312" w:eastAsia="仿宋_GB2312"/>
    </w:rPr>
  </w:style>
  <w:style w:type="paragraph" w:customStyle="1" w:styleId="810">
    <w:name w:val="图表内容"/>
    <w:basedOn w:val="1"/>
    <w:link w:val="809"/>
    <w:qFormat/>
    <w:uiPriority w:val="0"/>
    <w:pPr>
      <w:adjustRightInd w:val="0"/>
      <w:snapToGrid w:val="0"/>
      <w:spacing w:line="240" w:lineRule="auto"/>
      <w:ind w:firstLine="0" w:firstLineChars="0"/>
      <w:jc w:val="center"/>
    </w:pPr>
    <w:rPr>
      <w:rFonts w:ascii="仿宋_GB2312" w:hAnsi="Calibri" w:eastAsia="仿宋_GB2312" w:cs="宋体"/>
      <w:kern w:val="2"/>
      <w:sz w:val="21"/>
      <w:szCs w:val="22"/>
    </w:rPr>
  </w:style>
  <w:style w:type="character" w:customStyle="1" w:styleId="811">
    <w:name w:val="font91"/>
    <w:qFormat/>
    <w:uiPriority w:val="0"/>
    <w:rPr>
      <w:rFonts w:hint="eastAsia" w:ascii="宋体" w:hAnsi="宋体" w:eastAsia="宋体"/>
      <w:color w:val="000000"/>
      <w:sz w:val="18"/>
      <w:szCs w:val="18"/>
      <w:u w:val="none"/>
    </w:rPr>
  </w:style>
  <w:style w:type="paragraph" w:customStyle="1" w:styleId="812">
    <w:name w:val="修订11"/>
    <w:qFormat/>
    <w:uiPriority w:val="99"/>
    <w:rPr>
      <w:rFonts w:ascii="Calibri" w:hAnsi="Calibri" w:eastAsia="宋体" w:cs="Times New Roman"/>
      <w:sz w:val="21"/>
      <w:szCs w:val="24"/>
      <w:lang w:val="en-US" w:eastAsia="zh-CN" w:bidi="ar-SA"/>
    </w:rPr>
  </w:style>
  <w:style w:type="character" w:customStyle="1" w:styleId="813">
    <w:name w:val="1-君邦正文格式 Char"/>
    <w:link w:val="814"/>
    <w:qFormat/>
    <w:uiPriority w:val="0"/>
    <w:rPr>
      <w:bCs/>
      <w:sz w:val="24"/>
    </w:rPr>
  </w:style>
  <w:style w:type="paragraph" w:customStyle="1" w:styleId="814">
    <w:name w:val="1-君邦正文格式"/>
    <w:basedOn w:val="1"/>
    <w:link w:val="813"/>
    <w:qFormat/>
    <w:uiPriority w:val="0"/>
    <w:pPr>
      <w:widowControl/>
      <w:spacing w:after="60"/>
      <w:ind w:firstLine="480"/>
    </w:pPr>
    <w:rPr>
      <w:rFonts w:ascii="Calibri" w:hAnsi="Calibri" w:cs="宋体"/>
      <w:bCs/>
      <w:kern w:val="2"/>
      <w:szCs w:val="22"/>
    </w:rPr>
  </w:style>
  <w:style w:type="paragraph" w:customStyle="1" w:styleId="815">
    <w:name w:val="东华图后正文"/>
    <w:qFormat/>
    <w:uiPriority w:val="99"/>
    <w:pPr>
      <w:widowControl w:val="0"/>
      <w:snapToGrid w:val="0"/>
      <w:spacing w:line="360" w:lineRule="auto"/>
      <w:ind w:firstLine="200" w:firstLineChars="200"/>
      <w:jc w:val="center"/>
    </w:pPr>
    <w:rPr>
      <w:rFonts w:ascii="Calibri" w:hAnsi="Calibri" w:eastAsia="黑体" w:cs="Times New Roman"/>
      <w:b/>
      <w:kern w:val="2"/>
      <w:sz w:val="24"/>
      <w:szCs w:val="24"/>
      <w:lang w:val="en-US" w:eastAsia="zh-CN" w:bidi="ar-SA"/>
    </w:rPr>
  </w:style>
  <w:style w:type="character" w:customStyle="1" w:styleId="816">
    <w:name w:val="批注文字 Char1"/>
    <w:qFormat/>
    <w:uiPriority w:val="0"/>
    <w:rPr>
      <w:rFonts w:hint="default" w:ascii="Times New Roman" w:hAnsi="Times New Roman" w:eastAsia="宋体" w:cs="Times New Roman"/>
      <w:kern w:val="0"/>
      <w:sz w:val="20"/>
      <w:szCs w:val="20"/>
      <w:lang w:eastAsia="en-US" w:bidi="en-US"/>
    </w:rPr>
  </w:style>
  <w:style w:type="paragraph" w:customStyle="1" w:styleId="817">
    <w:name w:val="标题6"/>
    <w:basedOn w:val="1"/>
    <w:qFormat/>
    <w:uiPriority w:val="99"/>
    <w:pPr>
      <w:widowControl/>
      <w:tabs>
        <w:tab w:val="left" w:pos="2836"/>
      </w:tabs>
      <w:adjustRightInd w:val="0"/>
      <w:snapToGrid w:val="0"/>
      <w:ind w:left="425" w:firstLine="200"/>
      <w:jc w:val="left"/>
    </w:pPr>
    <w:rPr>
      <w:rFonts w:ascii="Calibri" w:hAnsi="Calibri" w:eastAsia="黑体"/>
      <w:b/>
      <w:szCs w:val="22"/>
      <w:lang w:eastAsia="en-US" w:bidi="en-US"/>
    </w:rPr>
  </w:style>
  <w:style w:type="character" w:customStyle="1" w:styleId="818">
    <w:name w:val="表内字 Char1"/>
    <w:qFormat/>
    <w:uiPriority w:val="0"/>
    <w:rPr>
      <w:rFonts w:cs="Calibri"/>
      <w:sz w:val="24"/>
      <w:szCs w:val="24"/>
    </w:rPr>
  </w:style>
  <w:style w:type="paragraph" w:customStyle="1" w:styleId="819">
    <w:name w:val="Other|1"/>
    <w:basedOn w:val="1"/>
    <w:link w:val="989"/>
    <w:qFormat/>
    <w:uiPriority w:val="99"/>
    <w:pPr>
      <w:snapToGrid w:val="0"/>
      <w:ind w:firstLine="883"/>
    </w:pPr>
    <w:rPr>
      <w:rFonts w:ascii="宋体" w:hAnsi="宋体" w:cs="宋体"/>
      <w:sz w:val="19"/>
      <w:szCs w:val="19"/>
      <w:lang w:val="zh-TW" w:eastAsia="zh-TW" w:bidi="zh-TW"/>
    </w:rPr>
  </w:style>
  <w:style w:type="paragraph" w:customStyle="1" w:styleId="820">
    <w:name w:val="样式 表头 + 首行缩进:  2 字符"/>
    <w:basedOn w:val="105"/>
    <w:qFormat/>
    <w:uiPriority w:val="99"/>
    <w:pPr>
      <w:spacing w:beforeLines="50" w:line="400" w:lineRule="exact"/>
      <w:ind w:firstLine="200"/>
      <w:jc w:val="both"/>
    </w:pPr>
    <w:rPr>
      <w:rFonts w:ascii="Calibri" w:hAnsi="Calibri" w:eastAsia="黑体"/>
      <w:b w:val="0"/>
      <w:bCs/>
      <w:kern w:val="2"/>
      <w:szCs w:val="20"/>
      <w:lang w:val="zh-CN"/>
    </w:rPr>
  </w:style>
  <w:style w:type="paragraph" w:customStyle="1" w:styleId="821">
    <w:name w:val="A1"/>
    <w:basedOn w:val="468"/>
    <w:qFormat/>
    <w:uiPriority w:val="99"/>
    <w:pPr>
      <w:tabs>
        <w:tab w:val="left" w:pos="0"/>
      </w:tabs>
      <w:spacing w:beforeLines="50" w:afterLines="50"/>
      <w:ind w:left="426"/>
    </w:pPr>
    <w:rPr>
      <w:b/>
      <w:color w:val="000000"/>
      <w:kern w:val="2"/>
      <w:sz w:val="36"/>
      <w:szCs w:val="36"/>
    </w:rPr>
  </w:style>
  <w:style w:type="paragraph" w:customStyle="1" w:styleId="822">
    <w:name w:val="A2"/>
    <w:basedOn w:val="823"/>
    <w:link w:val="1079"/>
    <w:qFormat/>
    <w:uiPriority w:val="0"/>
    <w:rPr>
      <w:sz w:val="28"/>
    </w:rPr>
  </w:style>
  <w:style w:type="paragraph" w:customStyle="1" w:styleId="823">
    <w:name w:val="样式 1.1二级标题"/>
    <w:basedOn w:val="485"/>
    <w:qFormat/>
    <w:uiPriority w:val="99"/>
    <w:rPr>
      <w:color w:val="000000"/>
      <w:szCs w:val="30"/>
    </w:rPr>
  </w:style>
  <w:style w:type="paragraph" w:customStyle="1" w:styleId="824">
    <w:name w:val="正文文本首行缩进1"/>
    <w:basedOn w:val="24"/>
    <w:qFormat/>
    <w:uiPriority w:val="99"/>
    <w:pPr>
      <w:widowControl w:val="0"/>
      <w:spacing w:after="120"/>
      <w:ind w:firstLine="420" w:firstLineChars="100"/>
      <w:jc w:val="both"/>
    </w:pPr>
    <w:rPr>
      <w:rFonts w:ascii="Calibri" w:hAnsi="Calibri"/>
      <w:sz w:val="20"/>
      <w:szCs w:val="22"/>
      <w:lang w:val="zh-CN" w:eastAsia="zh-CN" w:bidi="ar-SA"/>
    </w:rPr>
  </w:style>
  <w:style w:type="paragraph" w:customStyle="1" w:styleId="825">
    <w:name w:val="邓表头"/>
    <w:basedOn w:val="1"/>
    <w:qFormat/>
    <w:uiPriority w:val="99"/>
    <w:pPr>
      <w:widowControl/>
      <w:adjustRightInd w:val="0"/>
      <w:snapToGrid w:val="0"/>
      <w:spacing w:line="240" w:lineRule="auto"/>
      <w:ind w:firstLine="200"/>
      <w:contextualSpacing/>
      <w:jc w:val="center"/>
    </w:pPr>
    <w:rPr>
      <w:rFonts w:hAnsi="宋体" w:eastAsia="Times New Roman"/>
      <w:b/>
    </w:rPr>
  </w:style>
  <w:style w:type="paragraph" w:customStyle="1" w:styleId="826">
    <w:name w:val="图后正文"/>
    <w:basedOn w:val="1"/>
    <w:qFormat/>
    <w:uiPriority w:val="99"/>
    <w:pPr>
      <w:widowControl/>
      <w:adjustRightInd w:val="0"/>
      <w:snapToGrid w:val="0"/>
      <w:ind w:firstLine="0" w:firstLineChars="0"/>
      <w:jc w:val="center"/>
    </w:pPr>
    <w:rPr>
      <w:rFonts w:ascii="黑体" w:hAnsi="黑体" w:eastAsia="黑体"/>
      <w:b/>
      <w:bCs/>
      <w:kern w:val="2"/>
    </w:rPr>
  </w:style>
  <w:style w:type="paragraph" w:customStyle="1" w:styleId="827">
    <w:name w:val="江4标题4"/>
    <w:basedOn w:val="1"/>
    <w:qFormat/>
    <w:uiPriority w:val="99"/>
    <w:pPr>
      <w:adjustRightInd w:val="0"/>
      <w:ind w:firstLine="0" w:firstLineChars="0"/>
      <w:jc w:val="left"/>
    </w:pPr>
    <w:rPr>
      <w:snapToGrid w:val="0"/>
      <w:kern w:val="2"/>
    </w:rPr>
  </w:style>
  <w:style w:type="paragraph" w:customStyle="1" w:styleId="828">
    <w:name w:val="江3标题3"/>
    <w:basedOn w:val="4"/>
    <w:qFormat/>
    <w:uiPriority w:val="99"/>
    <w:pPr>
      <w:widowControl/>
      <w:jc w:val="left"/>
    </w:pPr>
    <w:rPr>
      <w:lang w:val="zh-CN"/>
    </w:rPr>
  </w:style>
  <w:style w:type="paragraph" w:customStyle="1" w:styleId="829">
    <w:name w:val="Char Char Char Char Char Char Char11"/>
    <w:basedOn w:val="1"/>
    <w:qFormat/>
    <w:uiPriority w:val="99"/>
    <w:pPr>
      <w:widowControl/>
      <w:spacing w:after="160" w:line="240" w:lineRule="exact"/>
      <w:ind w:firstLine="0" w:firstLineChars="0"/>
      <w:jc w:val="left"/>
    </w:pPr>
    <w:rPr>
      <w:kern w:val="2"/>
      <w:sz w:val="21"/>
    </w:rPr>
  </w:style>
  <w:style w:type="character" w:customStyle="1" w:styleId="830">
    <w:name w:val="表格 字符"/>
    <w:qFormat/>
    <w:uiPriority w:val="0"/>
    <w:rPr>
      <w:rFonts w:ascii="Arial" w:hAnsi="Arial" w:cs="Arial"/>
      <w:sz w:val="24"/>
      <w:szCs w:val="24"/>
    </w:rPr>
  </w:style>
  <w:style w:type="character" w:customStyle="1" w:styleId="831">
    <w:name w:val="自定义标题2 Char Char Char Char"/>
    <w:link w:val="832"/>
    <w:qFormat/>
    <w:uiPriority w:val="99"/>
    <w:rPr>
      <w:b/>
      <w:color w:val="0000FF"/>
      <w:kern w:val="2"/>
      <w:sz w:val="28"/>
      <w:szCs w:val="22"/>
    </w:rPr>
  </w:style>
  <w:style w:type="paragraph" w:customStyle="1" w:styleId="832">
    <w:name w:val="自定义标题2"/>
    <w:basedOn w:val="1"/>
    <w:next w:val="833"/>
    <w:link w:val="831"/>
    <w:qFormat/>
    <w:uiPriority w:val="99"/>
    <w:pPr>
      <w:widowControl/>
      <w:numPr>
        <w:ilvl w:val="0"/>
        <w:numId w:val="6"/>
      </w:numPr>
      <w:tabs>
        <w:tab w:val="clear" w:pos="1134"/>
      </w:tabs>
      <w:adjustRightInd w:val="0"/>
      <w:spacing w:before="200" w:line="480" w:lineRule="atLeast"/>
      <w:ind w:left="840" w:firstLine="0" w:firstLineChars="0"/>
      <w:textAlignment w:val="bottom"/>
    </w:pPr>
    <w:rPr>
      <w:rFonts w:ascii="Calibri" w:hAnsi="Calibri" w:cs="宋体"/>
      <w:b/>
      <w:color w:val="0000FF"/>
      <w:kern w:val="2"/>
      <w:sz w:val="28"/>
      <w:szCs w:val="22"/>
    </w:rPr>
  </w:style>
  <w:style w:type="paragraph" w:customStyle="1" w:styleId="833">
    <w:name w:val="自定义标题3"/>
    <w:basedOn w:val="832"/>
    <w:next w:val="1"/>
    <w:qFormat/>
    <w:uiPriority w:val="99"/>
    <w:pPr>
      <w:numPr>
        <w:numId w:val="0"/>
      </w:numPr>
      <w:spacing w:before="100"/>
      <w:ind w:left="426"/>
    </w:pPr>
  </w:style>
  <w:style w:type="paragraph" w:customStyle="1" w:styleId="834">
    <w:name w:val="自定义标题4"/>
    <w:basedOn w:val="1"/>
    <w:next w:val="1"/>
    <w:qFormat/>
    <w:uiPriority w:val="99"/>
    <w:pPr>
      <w:widowControl/>
      <w:tabs>
        <w:tab w:val="left" w:pos="1134"/>
        <w:tab w:val="left" w:pos="1440"/>
      </w:tabs>
      <w:adjustRightInd w:val="0"/>
      <w:spacing w:line="480" w:lineRule="atLeast"/>
      <w:ind w:left="2160" w:firstLine="0" w:firstLineChars="0"/>
      <w:textAlignment w:val="bottom"/>
    </w:pPr>
    <w:rPr>
      <w:rFonts w:ascii="Calibri" w:hAnsi="Calibri"/>
      <w:color w:val="008080"/>
      <w:sz w:val="28"/>
      <w:szCs w:val="20"/>
    </w:rPr>
  </w:style>
  <w:style w:type="character" w:customStyle="1" w:styleId="835">
    <w:name w:val="txt31"/>
    <w:qFormat/>
    <w:uiPriority w:val="0"/>
    <w:rPr>
      <w:dstrike/>
      <w:sz w:val="18"/>
      <w:u w:val="none"/>
    </w:rPr>
  </w:style>
  <w:style w:type="paragraph" w:customStyle="1" w:styleId="836">
    <w:name w:val="A表内容"/>
    <w:basedOn w:val="1"/>
    <w:link w:val="844"/>
    <w:qFormat/>
    <w:uiPriority w:val="0"/>
    <w:pPr>
      <w:widowControl/>
      <w:spacing w:before="100" w:beforeAutospacing="1" w:line="340" w:lineRule="exact"/>
      <w:ind w:firstLine="0" w:firstLineChars="0"/>
      <w:jc w:val="center"/>
    </w:pPr>
    <w:rPr>
      <w:sz w:val="20"/>
      <w:szCs w:val="21"/>
      <w:lang w:val="zh-CN"/>
    </w:rPr>
  </w:style>
  <w:style w:type="paragraph" w:customStyle="1" w:styleId="837">
    <w:name w:val="BZ正文"/>
    <w:basedOn w:val="1"/>
    <w:link w:val="838"/>
    <w:qFormat/>
    <w:uiPriority w:val="0"/>
    <w:pPr>
      <w:ind w:firstLine="480"/>
    </w:pPr>
    <w:rPr>
      <w:lang w:val="zh-CN"/>
    </w:rPr>
  </w:style>
  <w:style w:type="character" w:customStyle="1" w:styleId="838">
    <w:name w:val="BZ正文 Char"/>
    <w:link w:val="837"/>
    <w:qFormat/>
    <w:uiPriority w:val="0"/>
    <w:rPr>
      <w:rFonts w:ascii="Times New Roman" w:hAnsi="Times New Roman" w:eastAsia="宋体" w:cs="Times New Roman"/>
      <w:kern w:val="0"/>
      <w:sz w:val="24"/>
      <w:szCs w:val="24"/>
      <w:lang w:val="zh-CN" w:eastAsia="zh-CN"/>
    </w:rPr>
  </w:style>
  <w:style w:type="character" w:customStyle="1" w:styleId="839">
    <w:name w:val="15"/>
    <w:qFormat/>
    <w:uiPriority w:val="0"/>
    <w:rPr>
      <w:rFonts w:hint="default" w:ascii="Times New Roman" w:hAnsi="Times New Roman" w:cs="Times New Roman"/>
      <w:b/>
      <w:bCs/>
    </w:rPr>
  </w:style>
  <w:style w:type="paragraph" w:customStyle="1" w:styleId="840">
    <w:name w:val="puce"/>
    <w:basedOn w:val="1"/>
    <w:link w:val="859"/>
    <w:qFormat/>
    <w:uiPriority w:val="99"/>
    <w:pPr>
      <w:widowControl/>
      <w:adjustRightInd w:val="0"/>
      <w:snapToGrid w:val="0"/>
      <w:spacing w:after="120" w:line="360" w:lineRule="exact"/>
      <w:ind w:firstLine="420" w:firstLineChars="0"/>
    </w:pPr>
    <w:rPr>
      <w:rFonts w:ascii="Arial" w:hAnsi="Arial"/>
      <w:lang w:val="zh-CN"/>
    </w:rPr>
  </w:style>
  <w:style w:type="paragraph" w:customStyle="1" w:styleId="841">
    <w:name w:val="打点"/>
    <w:basedOn w:val="840"/>
    <w:link w:val="842"/>
    <w:qFormat/>
    <w:uiPriority w:val="99"/>
    <w:pPr>
      <w:tabs>
        <w:tab w:val="left" w:pos="1191"/>
      </w:tabs>
      <w:ind w:left="1190" w:hanging="510"/>
    </w:pPr>
  </w:style>
  <w:style w:type="character" w:customStyle="1" w:styleId="842">
    <w:name w:val="打点 字符"/>
    <w:link w:val="841"/>
    <w:qFormat/>
    <w:uiPriority w:val="99"/>
    <w:rPr>
      <w:rFonts w:ascii="Arial" w:hAnsi="Arial" w:eastAsia="宋体" w:cs="Times New Roman"/>
      <w:kern w:val="0"/>
      <w:sz w:val="24"/>
      <w:szCs w:val="24"/>
      <w:lang w:val="zh-CN" w:eastAsia="zh-CN"/>
    </w:rPr>
  </w:style>
  <w:style w:type="paragraph" w:customStyle="1" w:styleId="843">
    <w:name w:val="Char Char Char Char Char Char Char10"/>
    <w:basedOn w:val="1"/>
    <w:qFormat/>
    <w:uiPriority w:val="99"/>
    <w:pPr>
      <w:widowControl/>
      <w:spacing w:after="160" w:line="240" w:lineRule="exact"/>
      <w:ind w:firstLine="0" w:firstLineChars="0"/>
      <w:jc w:val="left"/>
    </w:pPr>
    <w:rPr>
      <w:kern w:val="2"/>
      <w:sz w:val="21"/>
    </w:rPr>
  </w:style>
  <w:style w:type="character" w:customStyle="1" w:styleId="844">
    <w:name w:val="A表内容 Char"/>
    <w:link w:val="836"/>
    <w:qFormat/>
    <w:uiPriority w:val="0"/>
    <w:rPr>
      <w:rFonts w:ascii="Times New Roman" w:hAnsi="Times New Roman" w:eastAsia="宋体" w:cs="Times New Roman"/>
      <w:kern w:val="0"/>
      <w:sz w:val="20"/>
      <w:szCs w:val="21"/>
      <w:lang w:val="zh-CN" w:eastAsia="zh-CN"/>
    </w:rPr>
  </w:style>
  <w:style w:type="paragraph" w:customStyle="1" w:styleId="845">
    <w:name w:val="Char Char Char Char Char Char Char9"/>
    <w:basedOn w:val="1"/>
    <w:qFormat/>
    <w:uiPriority w:val="99"/>
    <w:pPr>
      <w:widowControl/>
      <w:spacing w:after="160" w:line="240" w:lineRule="exact"/>
      <w:ind w:firstLine="0" w:firstLineChars="0"/>
      <w:jc w:val="left"/>
    </w:pPr>
    <w:rPr>
      <w:kern w:val="2"/>
      <w:sz w:val="21"/>
    </w:rPr>
  </w:style>
  <w:style w:type="character" w:customStyle="1" w:styleId="846">
    <w:name w:val="报告表正文 Char1"/>
    <w:link w:val="847"/>
    <w:qFormat/>
    <w:uiPriority w:val="99"/>
    <w:rPr>
      <w:rFonts w:eastAsia="楷体_GB2312"/>
      <w:sz w:val="24"/>
      <w:szCs w:val="24"/>
    </w:rPr>
  </w:style>
  <w:style w:type="paragraph" w:customStyle="1" w:styleId="847">
    <w:name w:val="报告表正文"/>
    <w:basedOn w:val="1"/>
    <w:link w:val="846"/>
    <w:qFormat/>
    <w:uiPriority w:val="99"/>
    <w:pPr>
      <w:adjustRightInd w:val="0"/>
      <w:snapToGrid w:val="0"/>
      <w:ind w:firstLine="200"/>
      <w:jc w:val="left"/>
    </w:pPr>
    <w:rPr>
      <w:rFonts w:ascii="Calibri" w:hAnsi="Calibri" w:eastAsia="楷体_GB2312" w:cs="宋体"/>
      <w:kern w:val="2"/>
    </w:rPr>
  </w:style>
  <w:style w:type="paragraph" w:customStyle="1" w:styleId="848">
    <w:name w:val="Char Char Char Char Char Char Char8"/>
    <w:basedOn w:val="1"/>
    <w:qFormat/>
    <w:uiPriority w:val="99"/>
    <w:pPr>
      <w:widowControl/>
      <w:spacing w:after="160" w:line="240" w:lineRule="exact"/>
      <w:ind w:firstLine="0" w:firstLineChars="0"/>
      <w:jc w:val="left"/>
    </w:pPr>
    <w:rPr>
      <w:kern w:val="2"/>
      <w:sz w:val="21"/>
    </w:rPr>
  </w:style>
  <w:style w:type="paragraph" w:customStyle="1" w:styleId="849">
    <w:name w:val="Char Char Char Char Char Char Char7"/>
    <w:basedOn w:val="1"/>
    <w:qFormat/>
    <w:uiPriority w:val="99"/>
    <w:pPr>
      <w:widowControl/>
      <w:spacing w:after="160" w:line="240" w:lineRule="exact"/>
      <w:ind w:firstLine="0" w:firstLineChars="0"/>
      <w:jc w:val="left"/>
    </w:pPr>
    <w:rPr>
      <w:kern w:val="2"/>
      <w:sz w:val="21"/>
    </w:rPr>
  </w:style>
  <w:style w:type="paragraph" w:customStyle="1" w:styleId="850">
    <w:name w:val="Char Char Char Char Char Char Char6"/>
    <w:basedOn w:val="1"/>
    <w:qFormat/>
    <w:uiPriority w:val="99"/>
    <w:pPr>
      <w:widowControl/>
      <w:spacing w:after="160" w:line="240" w:lineRule="exact"/>
      <w:ind w:firstLine="0" w:firstLineChars="0"/>
      <w:jc w:val="left"/>
    </w:pPr>
    <w:rPr>
      <w:kern w:val="2"/>
      <w:sz w:val="21"/>
    </w:rPr>
  </w:style>
  <w:style w:type="paragraph" w:customStyle="1" w:styleId="851">
    <w:name w:val="A【正文】用"/>
    <w:basedOn w:val="1"/>
    <w:link w:val="852"/>
    <w:qFormat/>
    <w:uiPriority w:val="0"/>
    <w:pPr>
      <w:widowControl/>
      <w:overflowPunct w:val="0"/>
      <w:ind w:firstLine="200"/>
      <w:jc w:val="left"/>
    </w:pPr>
    <w:rPr>
      <w:rFonts w:ascii="宋体" w:hAnsi="宋体" w:eastAsia="Times New Roman"/>
      <w:szCs w:val="21"/>
      <w:lang w:val="zh-CN"/>
    </w:rPr>
  </w:style>
  <w:style w:type="character" w:customStyle="1" w:styleId="852">
    <w:name w:val="A【正文】用 Char"/>
    <w:link w:val="851"/>
    <w:qFormat/>
    <w:uiPriority w:val="0"/>
    <w:rPr>
      <w:rFonts w:ascii="宋体" w:hAnsi="宋体" w:eastAsia="Times New Roman" w:cs="Times New Roman"/>
      <w:kern w:val="0"/>
      <w:sz w:val="24"/>
      <w:szCs w:val="21"/>
      <w:lang w:val="zh-CN" w:eastAsia="zh-CN"/>
    </w:rPr>
  </w:style>
  <w:style w:type="paragraph" w:customStyle="1" w:styleId="853">
    <w:name w:val="0A表头图头"/>
    <w:basedOn w:val="1"/>
    <w:qFormat/>
    <w:uiPriority w:val="99"/>
    <w:pPr>
      <w:widowControl/>
      <w:ind w:firstLine="0" w:firstLineChars="0"/>
      <w:jc w:val="center"/>
    </w:pPr>
    <w:rPr>
      <w:rFonts w:ascii="黑体" w:hAnsi="黑体" w:eastAsia="黑体" w:cs="宋体"/>
      <w:b/>
    </w:rPr>
  </w:style>
  <w:style w:type="paragraph" w:customStyle="1" w:styleId="854">
    <w:name w:val="Char Char Char Char Char Char Char5"/>
    <w:basedOn w:val="1"/>
    <w:qFormat/>
    <w:uiPriority w:val="99"/>
    <w:pPr>
      <w:widowControl/>
      <w:spacing w:after="160" w:line="240" w:lineRule="exact"/>
      <w:ind w:firstLine="0" w:firstLineChars="0"/>
      <w:jc w:val="left"/>
    </w:pPr>
    <w:rPr>
      <w:kern w:val="2"/>
      <w:sz w:val="21"/>
    </w:rPr>
  </w:style>
  <w:style w:type="paragraph" w:customStyle="1" w:styleId="855">
    <w:name w:val="Char Char Char Char Char Char Char4"/>
    <w:basedOn w:val="1"/>
    <w:qFormat/>
    <w:uiPriority w:val="99"/>
    <w:pPr>
      <w:widowControl/>
      <w:spacing w:after="160" w:line="240" w:lineRule="exact"/>
      <w:ind w:firstLine="0" w:firstLineChars="0"/>
      <w:jc w:val="left"/>
    </w:pPr>
    <w:rPr>
      <w:kern w:val="2"/>
      <w:sz w:val="21"/>
    </w:rPr>
  </w:style>
  <w:style w:type="paragraph" w:customStyle="1" w:styleId="856">
    <w:name w:val="Char Char Char Char Char Char Char3"/>
    <w:basedOn w:val="1"/>
    <w:qFormat/>
    <w:uiPriority w:val="99"/>
    <w:pPr>
      <w:widowControl/>
      <w:spacing w:after="160" w:line="240" w:lineRule="exact"/>
      <w:ind w:firstLine="0" w:firstLineChars="0"/>
      <w:jc w:val="left"/>
    </w:pPr>
    <w:rPr>
      <w:kern w:val="2"/>
      <w:sz w:val="21"/>
    </w:rPr>
  </w:style>
  <w:style w:type="paragraph" w:customStyle="1" w:styleId="857">
    <w:name w:val="Char Char Char Char Char Char Char2"/>
    <w:basedOn w:val="1"/>
    <w:qFormat/>
    <w:uiPriority w:val="99"/>
    <w:pPr>
      <w:widowControl/>
      <w:spacing w:after="160" w:line="240" w:lineRule="exact"/>
      <w:ind w:firstLine="0" w:firstLineChars="0"/>
      <w:jc w:val="left"/>
    </w:pPr>
    <w:rPr>
      <w:kern w:val="2"/>
      <w:sz w:val="21"/>
    </w:rPr>
  </w:style>
  <w:style w:type="paragraph" w:customStyle="1" w:styleId="858">
    <w:name w:val="目录 21"/>
    <w:basedOn w:val="1"/>
    <w:next w:val="1"/>
    <w:qFormat/>
    <w:uiPriority w:val="39"/>
    <w:pPr>
      <w:widowControl/>
      <w:tabs>
        <w:tab w:val="left" w:pos="851"/>
        <w:tab w:val="right" w:leader="dot" w:pos="9214"/>
      </w:tabs>
      <w:spacing w:before="120" w:after="120" w:line="360" w:lineRule="exact"/>
      <w:ind w:left="720" w:leftChars="300" w:firstLine="0" w:firstLineChars="0"/>
    </w:pPr>
    <w:rPr>
      <w:rFonts w:ascii="Arial" w:hAnsi="Arial"/>
      <w:lang w:val="fr-FR"/>
    </w:rPr>
  </w:style>
  <w:style w:type="character" w:customStyle="1" w:styleId="859">
    <w:name w:val="puce 字符"/>
    <w:link w:val="840"/>
    <w:qFormat/>
    <w:uiPriority w:val="99"/>
    <w:rPr>
      <w:rFonts w:ascii="Arial" w:hAnsi="Arial" w:eastAsia="宋体" w:cs="Times New Roman"/>
      <w:kern w:val="0"/>
      <w:sz w:val="24"/>
      <w:szCs w:val="24"/>
      <w:lang w:val="zh-CN" w:eastAsia="zh-CN"/>
    </w:rPr>
  </w:style>
  <w:style w:type="paragraph" w:customStyle="1" w:styleId="860">
    <w:name w:val="美克BDO表格文字"/>
    <w:basedOn w:val="1"/>
    <w:qFormat/>
    <w:uiPriority w:val="99"/>
    <w:pPr>
      <w:widowControl/>
      <w:spacing w:line="240" w:lineRule="auto"/>
      <w:ind w:firstLine="0" w:firstLineChars="0"/>
      <w:jc w:val="center"/>
    </w:pPr>
    <w:rPr>
      <w:rFonts w:ascii="Calibri" w:hAnsi="Calibri" w:eastAsia="仿宋"/>
      <w:sz w:val="21"/>
      <w:szCs w:val="21"/>
    </w:rPr>
  </w:style>
  <w:style w:type="paragraph" w:customStyle="1" w:styleId="861">
    <w:name w:val="样式1.1.1三级标题"/>
    <w:basedOn w:val="1"/>
    <w:next w:val="1"/>
    <w:link w:val="863"/>
    <w:qFormat/>
    <w:uiPriority w:val="0"/>
    <w:pPr>
      <w:widowControl/>
      <w:ind w:left="1418" w:firstLine="0" w:firstLineChars="0"/>
      <w:outlineLvl w:val="2"/>
    </w:pPr>
    <w:rPr>
      <w:rFonts w:eastAsia="黑体"/>
      <w:b/>
      <w:color w:val="000000"/>
      <w:kern w:val="2"/>
      <w:sz w:val="28"/>
      <w:szCs w:val="20"/>
      <w:lang w:val="zh-CN"/>
    </w:rPr>
  </w:style>
  <w:style w:type="paragraph" w:customStyle="1" w:styleId="862">
    <w:name w:val="样式 标题4 1.1.1.1"/>
    <w:basedOn w:val="5"/>
    <w:next w:val="1"/>
    <w:link w:val="864"/>
    <w:qFormat/>
    <w:uiPriority w:val="0"/>
    <w:pPr>
      <w:widowControl/>
      <w:numPr>
        <w:ilvl w:val="0"/>
        <w:numId w:val="0"/>
      </w:numPr>
      <w:overflowPunct/>
      <w:autoSpaceDE/>
      <w:autoSpaceDN/>
      <w:adjustRightInd/>
      <w:textAlignment w:val="auto"/>
    </w:pPr>
    <w:rPr>
      <w:rFonts w:ascii="黑体" w:hAnsi="黑体" w:eastAsia="黑体"/>
      <w:bCs/>
      <w:snapToGrid w:val="0"/>
      <w:spacing w:val="0"/>
      <w:lang w:val="zh-CN"/>
    </w:rPr>
  </w:style>
  <w:style w:type="character" w:customStyle="1" w:styleId="863">
    <w:name w:val="样式1.1.1三级标题 Char"/>
    <w:link w:val="861"/>
    <w:qFormat/>
    <w:uiPriority w:val="0"/>
    <w:rPr>
      <w:rFonts w:ascii="Times New Roman" w:hAnsi="Times New Roman" w:eastAsia="黑体" w:cs="Times New Roman"/>
      <w:b/>
      <w:color w:val="000000"/>
      <w:sz w:val="28"/>
      <w:szCs w:val="20"/>
      <w:lang w:val="zh-CN" w:eastAsia="zh-CN"/>
    </w:rPr>
  </w:style>
  <w:style w:type="character" w:customStyle="1" w:styleId="864">
    <w:name w:val="样式 标题4 1.1.1.1 Char"/>
    <w:link w:val="862"/>
    <w:qFormat/>
    <w:uiPriority w:val="0"/>
    <w:rPr>
      <w:rFonts w:ascii="黑体" w:hAnsi="黑体" w:eastAsia="黑体" w:cs="Times New Roman"/>
      <w:b/>
      <w:bCs/>
      <w:snapToGrid w:val="0"/>
      <w:kern w:val="0"/>
      <w:sz w:val="24"/>
      <w:szCs w:val="24"/>
      <w:lang w:val="zh-CN" w:eastAsia="zh-CN"/>
    </w:rPr>
  </w:style>
  <w:style w:type="paragraph" w:customStyle="1" w:styleId="865">
    <w:name w:val="正文段开"/>
    <w:basedOn w:val="1"/>
    <w:qFormat/>
    <w:uiPriority w:val="99"/>
    <w:pPr>
      <w:ind w:firstLine="480"/>
    </w:pPr>
    <w:rPr>
      <w:kern w:val="2"/>
    </w:rPr>
  </w:style>
  <w:style w:type="paragraph" w:customStyle="1" w:styleId="866">
    <w:name w:val="W正文"/>
    <w:basedOn w:val="1"/>
    <w:link w:val="867"/>
    <w:qFormat/>
    <w:uiPriority w:val="0"/>
    <w:pPr>
      <w:widowControl/>
      <w:ind w:firstLine="480"/>
      <w:jc w:val="left"/>
    </w:pPr>
    <w:rPr>
      <w:rFonts w:cs="Arial"/>
    </w:rPr>
  </w:style>
  <w:style w:type="character" w:customStyle="1" w:styleId="867">
    <w:name w:val="W正文 字符"/>
    <w:link w:val="866"/>
    <w:qFormat/>
    <w:uiPriority w:val="0"/>
    <w:rPr>
      <w:rFonts w:ascii="Times New Roman" w:hAnsi="Times New Roman" w:eastAsia="宋体" w:cs="Arial"/>
      <w:kern w:val="0"/>
      <w:sz w:val="24"/>
      <w:szCs w:val="24"/>
    </w:rPr>
  </w:style>
  <w:style w:type="paragraph" w:customStyle="1" w:styleId="868">
    <w:name w:val="W表头图头"/>
    <w:basedOn w:val="1"/>
    <w:qFormat/>
    <w:uiPriority w:val="0"/>
    <w:pPr>
      <w:widowControl/>
      <w:numPr>
        <w:ilvl w:val="1"/>
        <w:numId w:val="7"/>
      </w:numPr>
      <w:ind w:left="0" w:firstLine="0" w:firstLineChars="0"/>
      <w:jc w:val="center"/>
    </w:pPr>
    <w:rPr>
      <w:rFonts w:ascii="黑体" w:hAnsi="黑体" w:eastAsia="黑体" w:cs="宋体"/>
      <w:b/>
    </w:rPr>
  </w:style>
  <w:style w:type="paragraph" w:customStyle="1" w:styleId="869">
    <w:name w:val="曙光表格文字"/>
    <w:basedOn w:val="1"/>
    <w:link w:val="870"/>
    <w:qFormat/>
    <w:uiPriority w:val="0"/>
    <w:pPr>
      <w:widowControl/>
      <w:spacing w:line="240" w:lineRule="auto"/>
      <w:ind w:firstLine="0" w:firstLineChars="0"/>
      <w:jc w:val="center"/>
    </w:pPr>
    <w:rPr>
      <w:rFonts w:ascii="宋体" w:hAnsi="宋体" w:cs="宋体"/>
      <w:sz w:val="18"/>
      <w:szCs w:val="18"/>
      <w:lang w:bidi="en-US"/>
    </w:rPr>
  </w:style>
  <w:style w:type="character" w:customStyle="1" w:styleId="870">
    <w:name w:val="曙光表格文字 Char"/>
    <w:link w:val="869"/>
    <w:qFormat/>
    <w:uiPriority w:val="0"/>
    <w:rPr>
      <w:rFonts w:ascii="宋体" w:hAnsi="宋体" w:eastAsia="宋体" w:cs="宋体"/>
      <w:kern w:val="0"/>
      <w:sz w:val="18"/>
      <w:szCs w:val="18"/>
      <w:lang w:bidi="en-US"/>
    </w:rPr>
  </w:style>
  <w:style w:type="character" w:customStyle="1" w:styleId="871">
    <w:name w:val="正文文本缩进 3 Char1"/>
    <w:qFormat/>
    <w:uiPriority w:val="99"/>
    <w:rPr>
      <w:rFonts w:ascii="宋体" w:hAnsi="宋体" w:eastAsia="宋体" w:cs="宋体"/>
      <w:color w:val="000000"/>
      <w:sz w:val="24"/>
      <w:szCs w:val="24"/>
    </w:rPr>
  </w:style>
  <w:style w:type="character" w:customStyle="1" w:styleId="872">
    <w:name w:val="题注 Char"/>
    <w:qFormat/>
    <w:uiPriority w:val="0"/>
    <w:rPr>
      <w:rFonts w:ascii="Times New Roman" w:hAnsi="Times New Roman" w:eastAsia="黑体" w:cs="Times New Roman"/>
      <w:color w:val="000000"/>
      <w:kern w:val="2"/>
      <w:sz w:val="23"/>
    </w:rPr>
  </w:style>
  <w:style w:type="paragraph" w:customStyle="1" w:styleId="873">
    <w:name w:val="文本  内容"/>
    <w:link w:val="874"/>
    <w:qFormat/>
    <w:uiPriority w:val="0"/>
    <w:pPr>
      <w:snapToGrid w:val="0"/>
      <w:spacing w:line="360" w:lineRule="auto"/>
      <w:ind w:firstLine="200" w:firstLineChars="200"/>
    </w:pPr>
    <w:rPr>
      <w:rFonts w:ascii="Times New Roman" w:hAnsi="Times New Roman" w:eastAsia="宋体" w:cs="Times New Roman"/>
      <w:kern w:val="2"/>
      <w:sz w:val="24"/>
      <w:szCs w:val="22"/>
      <w:lang w:val="en-US" w:eastAsia="zh-CN" w:bidi="ar-SA"/>
    </w:rPr>
  </w:style>
  <w:style w:type="character" w:customStyle="1" w:styleId="874">
    <w:name w:val="文本  内容 Char"/>
    <w:link w:val="873"/>
    <w:qFormat/>
    <w:uiPriority w:val="0"/>
    <w:rPr>
      <w:rFonts w:ascii="Times New Roman" w:hAnsi="Times New Roman" w:eastAsia="宋体" w:cs="Times New Roman"/>
      <w:sz w:val="24"/>
    </w:rPr>
  </w:style>
  <w:style w:type="character" w:customStyle="1" w:styleId="875">
    <w:name w:val="标题 1 字符1"/>
    <w:qFormat/>
    <w:uiPriority w:val="9"/>
    <w:rPr>
      <w:rFonts w:cs="Times New Roman"/>
      <w:b/>
      <w:bCs/>
      <w:kern w:val="44"/>
      <w:sz w:val="28"/>
      <w:szCs w:val="44"/>
    </w:rPr>
  </w:style>
  <w:style w:type="paragraph" w:customStyle="1" w:styleId="876">
    <w:name w:val="文本内容"/>
    <w:basedOn w:val="1"/>
    <w:next w:val="1"/>
    <w:link w:val="877"/>
    <w:qFormat/>
    <w:uiPriority w:val="99"/>
    <w:pPr>
      <w:pBdr>
        <w:top w:val="single" w:color="auto" w:sz="4" w:space="1"/>
      </w:pBdr>
      <w:snapToGrid w:val="0"/>
      <w:ind w:left="851" w:firstLine="200"/>
    </w:pPr>
    <w:rPr>
      <w:kern w:val="2"/>
      <w:szCs w:val="22"/>
    </w:rPr>
  </w:style>
  <w:style w:type="character" w:customStyle="1" w:styleId="877">
    <w:name w:val="文本内容 Char"/>
    <w:link w:val="876"/>
    <w:qFormat/>
    <w:uiPriority w:val="99"/>
    <w:rPr>
      <w:rFonts w:ascii="Times New Roman" w:hAnsi="Times New Roman" w:eastAsia="宋体" w:cs="Times New Roman"/>
      <w:sz w:val="24"/>
    </w:rPr>
  </w:style>
  <w:style w:type="paragraph" w:customStyle="1" w:styleId="878">
    <w:name w:val="文本文件"/>
    <w:basedOn w:val="1"/>
    <w:link w:val="879"/>
    <w:qFormat/>
    <w:uiPriority w:val="0"/>
    <w:pPr>
      <w:snapToGrid w:val="0"/>
      <w:ind w:firstLine="480"/>
    </w:pPr>
    <w:rPr>
      <w:rFonts w:ascii="宋体" w:hAnsi="宋体" w:cs="宋体"/>
      <w:kern w:val="2"/>
      <w:szCs w:val="20"/>
    </w:rPr>
  </w:style>
  <w:style w:type="character" w:customStyle="1" w:styleId="879">
    <w:name w:val="文本文件 Char Char"/>
    <w:link w:val="878"/>
    <w:qFormat/>
    <w:uiPriority w:val="0"/>
    <w:rPr>
      <w:rFonts w:ascii="宋体" w:hAnsi="宋体" w:eastAsia="宋体" w:cs="宋体"/>
      <w:sz w:val="24"/>
      <w:szCs w:val="20"/>
    </w:rPr>
  </w:style>
  <w:style w:type="character" w:customStyle="1" w:styleId="880">
    <w:name w:val="标题 4 Char1"/>
    <w:qFormat/>
    <w:uiPriority w:val="0"/>
    <w:rPr>
      <w:rFonts w:eastAsia="宋体"/>
      <w:kern w:val="2"/>
      <w:sz w:val="28"/>
      <w:lang w:val="en-US" w:eastAsia="zh-CN" w:bidi="ar-SA"/>
    </w:rPr>
  </w:style>
  <w:style w:type="character" w:customStyle="1" w:styleId="881">
    <w:name w:val="2 Char"/>
    <w:link w:val="593"/>
    <w:qFormat/>
    <w:uiPriority w:val="0"/>
    <w:rPr>
      <w:rFonts w:ascii="Calibri" w:hAnsi="Calibri" w:eastAsia="宋体" w:cs="Times New Roman"/>
      <w:kern w:val="0"/>
      <w:szCs w:val="24"/>
    </w:rPr>
  </w:style>
  <w:style w:type="paragraph" w:customStyle="1" w:styleId="882">
    <w:name w:val="目录1"/>
    <w:basedOn w:val="1"/>
    <w:qFormat/>
    <w:uiPriority w:val="99"/>
    <w:pPr>
      <w:snapToGrid w:val="0"/>
      <w:spacing w:line="300" w:lineRule="auto"/>
      <w:ind w:left="50" w:leftChars="50" w:firstLine="0" w:firstLineChars="0"/>
    </w:pPr>
    <w:rPr>
      <w:rFonts w:ascii="Arial Narrow" w:hAnsi="Arial Narrow" w:eastAsia="仿宋_GB2312"/>
      <w:b/>
      <w:kern w:val="2"/>
    </w:rPr>
  </w:style>
  <w:style w:type="paragraph" w:customStyle="1" w:styleId="883">
    <w:name w:val="目录2"/>
    <w:basedOn w:val="3"/>
    <w:qFormat/>
    <w:uiPriority w:val="99"/>
    <w:pPr>
      <w:numPr>
        <w:ilvl w:val="0"/>
        <w:numId w:val="0"/>
      </w:numPr>
      <w:tabs>
        <w:tab w:val="left" w:pos="1200"/>
      </w:tabs>
      <w:adjustRightInd w:val="0"/>
      <w:snapToGrid w:val="0"/>
      <w:spacing w:before="120" w:after="120" w:line="300" w:lineRule="auto"/>
      <w:ind w:left="340" w:hanging="340"/>
    </w:pPr>
    <w:rPr>
      <w:rFonts w:ascii="Arial Narrow" w:hAnsi="Arial Narrow" w:eastAsia="楷体_GB2312" w:cs="Arial"/>
      <w:b w:val="0"/>
      <w:kern w:val="2"/>
      <w:sz w:val="28"/>
      <w:szCs w:val="32"/>
    </w:rPr>
  </w:style>
  <w:style w:type="character" w:customStyle="1" w:styleId="884">
    <w:name w:val="1样式表标 Char Char"/>
    <w:qFormat/>
    <w:uiPriority w:val="0"/>
    <w:rPr>
      <w:rFonts w:hint="eastAsia" w:ascii="宋体" w:hAnsi="宋体" w:eastAsia="宋体" w:cs="宋体"/>
      <w:snapToGrid/>
      <w:sz w:val="24"/>
    </w:rPr>
  </w:style>
  <w:style w:type="character" w:customStyle="1" w:styleId="885">
    <w:name w:val="1-正文 Char Char"/>
    <w:qFormat/>
    <w:uiPriority w:val="0"/>
    <w:rPr>
      <w:rFonts w:hint="eastAsia" w:ascii="宋体" w:hAnsi="宋体" w:eastAsia="宋体" w:cs="宋体"/>
      <w:sz w:val="24"/>
      <w:szCs w:val="24"/>
    </w:rPr>
  </w:style>
  <w:style w:type="character" w:customStyle="1" w:styleId="886">
    <w:name w:val="1样式表标 Char"/>
    <w:link w:val="887"/>
    <w:qFormat/>
    <w:uiPriority w:val="0"/>
    <w:rPr>
      <w:rFonts w:ascii="宋体" w:hAnsi="宋体"/>
      <w:snapToGrid w:val="0"/>
      <w:kern w:val="2"/>
      <w:sz w:val="24"/>
      <w:szCs w:val="22"/>
    </w:rPr>
  </w:style>
  <w:style w:type="paragraph" w:customStyle="1" w:styleId="887">
    <w:name w:val="1样式表标"/>
    <w:basedOn w:val="1"/>
    <w:link w:val="886"/>
    <w:qFormat/>
    <w:uiPriority w:val="0"/>
    <w:pPr>
      <w:numPr>
        <w:ilvl w:val="3"/>
        <w:numId w:val="8"/>
      </w:numPr>
      <w:snapToGrid w:val="0"/>
      <w:spacing w:beforeLines="50"/>
      <w:ind w:left="0" w:firstLine="0" w:firstLineChars="0"/>
      <w:jc w:val="center"/>
    </w:pPr>
    <w:rPr>
      <w:rFonts w:ascii="宋体" w:hAnsi="宋体" w:cs="宋体"/>
      <w:snapToGrid w:val="0"/>
      <w:kern w:val="2"/>
      <w:szCs w:val="22"/>
    </w:rPr>
  </w:style>
  <w:style w:type="character" w:customStyle="1" w:styleId="888">
    <w:name w:val="脚注文本 Char2"/>
    <w:qFormat/>
    <w:uiPriority w:val="0"/>
    <w:rPr>
      <w:kern w:val="2"/>
      <w:sz w:val="18"/>
      <w:szCs w:val="18"/>
    </w:rPr>
  </w:style>
  <w:style w:type="character" w:customStyle="1" w:styleId="889">
    <w:name w:val="1-正文 Char"/>
    <w:link w:val="890"/>
    <w:qFormat/>
    <w:uiPriority w:val="0"/>
    <w:rPr>
      <w:rFonts w:ascii="宋体" w:hAnsi="宋体"/>
      <w:sz w:val="24"/>
      <w:szCs w:val="24"/>
    </w:rPr>
  </w:style>
  <w:style w:type="paragraph" w:customStyle="1" w:styleId="890">
    <w:name w:val="1-正文"/>
    <w:basedOn w:val="1"/>
    <w:link w:val="889"/>
    <w:qFormat/>
    <w:uiPriority w:val="0"/>
    <w:pPr>
      <w:widowControl/>
      <w:autoSpaceDE w:val="0"/>
      <w:autoSpaceDN w:val="0"/>
      <w:snapToGrid w:val="0"/>
      <w:ind w:firstLine="480"/>
      <w:jc w:val="left"/>
    </w:pPr>
    <w:rPr>
      <w:rFonts w:ascii="宋体" w:hAnsi="宋体" w:cs="宋体"/>
      <w:kern w:val="2"/>
    </w:rPr>
  </w:style>
  <w:style w:type="character" w:customStyle="1" w:styleId="891">
    <w:name w:val="标题 1.1.1 Char Char"/>
    <w:qFormat/>
    <w:uiPriority w:val="0"/>
    <w:rPr>
      <w:rFonts w:ascii="Arial" w:hAnsi="Arial" w:eastAsia="黑体" w:cs="Arial"/>
      <w:kern w:val="2"/>
      <w:sz w:val="24"/>
      <w:szCs w:val="24"/>
      <w:lang w:val="en-US" w:eastAsia="zh-CN" w:bidi="ar-SA"/>
    </w:rPr>
  </w:style>
  <w:style w:type="character" w:customStyle="1" w:styleId="892">
    <w:name w:val="标题 1 宋体 三号 Char Char Char"/>
    <w:qFormat/>
    <w:uiPriority w:val="0"/>
    <w:rPr>
      <w:rFonts w:ascii="宋体" w:hAnsi="宋体" w:eastAsia="宋体"/>
      <w:b/>
      <w:bCs/>
      <w:kern w:val="44"/>
      <w:sz w:val="32"/>
      <w:szCs w:val="44"/>
      <w:lang w:val="en-US" w:eastAsia="zh-CN" w:bidi="ar-SA"/>
    </w:rPr>
  </w:style>
  <w:style w:type="paragraph" w:customStyle="1" w:styleId="893">
    <w:name w:val="标题 4+ Arial"/>
    <w:basedOn w:val="5"/>
    <w:qFormat/>
    <w:uiPriority w:val="99"/>
    <w:pPr>
      <w:keepNext w:val="0"/>
      <w:numPr>
        <w:ilvl w:val="0"/>
        <w:numId w:val="0"/>
      </w:numPr>
      <w:overflowPunct/>
      <w:snapToGrid w:val="0"/>
    </w:pPr>
    <w:rPr>
      <w:rFonts w:ascii="Arial" w:hAnsi="Arial" w:cs="宋体"/>
      <w:b w:val="0"/>
      <w:spacing w:val="0"/>
      <w:szCs w:val="20"/>
    </w:rPr>
  </w:style>
  <w:style w:type="paragraph" w:customStyle="1" w:styleId="894">
    <w:name w:val="标题 11"/>
    <w:basedOn w:val="1"/>
    <w:next w:val="1"/>
    <w:qFormat/>
    <w:uiPriority w:val="99"/>
    <w:pPr>
      <w:widowControl/>
      <w:adjustRightInd w:val="0"/>
      <w:snapToGrid w:val="0"/>
      <w:spacing w:beforeLines="50" w:beforeAutospacing="1" w:afterLines="50" w:afterAutospacing="1"/>
      <w:ind w:firstLine="0" w:firstLineChars="0"/>
      <w:jc w:val="left"/>
      <w:textAlignment w:val="baseline"/>
      <w:outlineLvl w:val="0"/>
    </w:pPr>
    <w:rPr>
      <w:rFonts w:ascii="宋体" w:hAnsi="宋体" w:eastAsia="黑体" w:cs="Arial"/>
      <w:bCs/>
      <w:kern w:val="2"/>
    </w:rPr>
  </w:style>
  <w:style w:type="paragraph" w:customStyle="1" w:styleId="895">
    <w:name w:val="标题 1 宋体 三号 Char Char"/>
    <w:basedOn w:val="2"/>
    <w:qFormat/>
    <w:uiPriority w:val="99"/>
    <w:pPr>
      <w:numPr>
        <w:numId w:val="0"/>
      </w:numPr>
      <w:tabs>
        <w:tab w:val="left" w:pos="425"/>
      </w:tabs>
      <w:snapToGrid w:val="0"/>
      <w:spacing w:before="340" w:after="330"/>
    </w:pPr>
    <w:rPr>
      <w:rFonts w:ascii="宋体" w:hAnsi="宋体"/>
      <w:szCs w:val="44"/>
    </w:rPr>
  </w:style>
  <w:style w:type="paragraph" w:customStyle="1" w:styleId="896">
    <w:name w:val="标题 4 宋体"/>
    <w:basedOn w:val="5"/>
    <w:next w:val="1"/>
    <w:qFormat/>
    <w:uiPriority w:val="99"/>
    <w:pPr>
      <w:numPr>
        <w:ilvl w:val="0"/>
        <w:numId w:val="0"/>
      </w:numPr>
      <w:tabs>
        <w:tab w:val="left" w:pos="1548"/>
      </w:tabs>
      <w:overflowPunct/>
      <w:autoSpaceDE/>
      <w:autoSpaceDN/>
      <w:snapToGrid w:val="0"/>
      <w:ind w:left="1418"/>
      <w:jc w:val="both"/>
      <w:textAlignment w:val="auto"/>
    </w:pPr>
    <w:rPr>
      <w:rFonts w:ascii="宋体"/>
      <w:b w:val="0"/>
      <w:spacing w:val="0"/>
      <w:kern w:val="2"/>
    </w:rPr>
  </w:style>
  <w:style w:type="paragraph" w:customStyle="1" w:styleId="897">
    <w:name w:val="1标题1"/>
    <w:basedOn w:val="1"/>
    <w:qFormat/>
    <w:uiPriority w:val="99"/>
    <w:pPr>
      <w:keepNext/>
      <w:keepLines/>
      <w:snapToGrid w:val="0"/>
      <w:spacing w:before="480" w:after="480" w:line="340" w:lineRule="exact"/>
      <w:ind w:firstLine="630" w:firstLineChars="196"/>
      <w:outlineLvl w:val="0"/>
    </w:pPr>
    <w:rPr>
      <w:rFonts w:ascii="黑体" w:hAnsi="Arial" w:eastAsia="黑体" w:cs="宋体"/>
      <w:b/>
      <w:bCs/>
      <w:snapToGrid w:val="0"/>
      <w:kern w:val="44"/>
      <w:sz w:val="32"/>
      <w:szCs w:val="20"/>
    </w:rPr>
  </w:style>
  <w:style w:type="paragraph" w:customStyle="1" w:styleId="898">
    <w:name w:val="标题 4 +"/>
    <w:basedOn w:val="5"/>
    <w:qFormat/>
    <w:uiPriority w:val="99"/>
    <w:pPr>
      <w:keepNext w:val="0"/>
      <w:widowControl/>
      <w:numPr>
        <w:ilvl w:val="0"/>
        <w:numId w:val="0"/>
      </w:numPr>
      <w:tabs>
        <w:tab w:val="left" w:pos="864"/>
        <w:tab w:val="left" w:pos="1680"/>
      </w:tabs>
      <w:overflowPunct/>
      <w:autoSpaceDE/>
      <w:autoSpaceDN/>
      <w:adjustRightInd/>
      <w:snapToGrid w:val="0"/>
      <w:ind w:left="1680" w:hanging="420"/>
      <w:textAlignment w:val="auto"/>
    </w:pPr>
    <w:rPr>
      <w:rFonts w:ascii="Arial" w:hAnsi="Arial" w:eastAsia="黑体" w:cs="宋体"/>
      <w:b w:val="0"/>
      <w:spacing w:val="0"/>
      <w:kern w:val="2"/>
      <w:szCs w:val="20"/>
    </w:rPr>
  </w:style>
  <w:style w:type="paragraph" w:customStyle="1" w:styleId="899">
    <w:name w:val="1-表头"/>
    <w:basedOn w:val="1"/>
    <w:qFormat/>
    <w:uiPriority w:val="99"/>
    <w:pPr>
      <w:snapToGrid w:val="0"/>
      <w:ind w:firstLine="0" w:firstLineChars="0"/>
      <w:jc w:val="center"/>
    </w:pPr>
    <w:rPr>
      <w:rFonts w:ascii="宋体" w:hAnsi="宋体" w:cs="宋体"/>
      <w:kern w:val="2"/>
      <w:szCs w:val="21"/>
    </w:rPr>
  </w:style>
  <w:style w:type="paragraph" w:customStyle="1" w:styleId="900">
    <w:name w:val="- 页码 -"/>
    <w:qFormat/>
    <w:uiPriority w:val="99"/>
    <w:pPr>
      <w:widowControl w:val="0"/>
      <w:spacing w:line="360" w:lineRule="auto"/>
      <w:ind w:left="600" w:leftChars="250" w:firstLine="34" w:firstLineChars="14"/>
      <w:jc w:val="center"/>
    </w:pPr>
    <w:rPr>
      <w:rFonts w:ascii="Times New Roman" w:hAnsi="Times New Roman" w:eastAsia="宋体" w:cs="Times New Roman"/>
      <w:kern w:val="2"/>
      <w:sz w:val="21"/>
      <w:lang w:val="en-US" w:eastAsia="zh-CN" w:bidi="ar-SA"/>
    </w:rPr>
  </w:style>
  <w:style w:type="paragraph" w:customStyle="1" w:styleId="901">
    <w:name w:val="2.2.标题"/>
    <w:basedOn w:val="4"/>
    <w:qFormat/>
    <w:uiPriority w:val="99"/>
    <w:pPr>
      <w:widowControl/>
      <w:tabs>
        <w:tab w:val="left" w:pos="900"/>
      </w:tabs>
      <w:snapToGrid w:val="0"/>
      <w:spacing w:beforeLines="50" w:beforeAutospacing="1" w:after="100" w:afterAutospacing="1"/>
      <w:ind w:left="900" w:hanging="420"/>
      <w:jc w:val="left"/>
    </w:pPr>
    <w:rPr>
      <w:rFonts w:hAnsi="宋体" w:eastAsia="黑体" w:cs="Arial"/>
      <w:b w:val="0"/>
      <w:snapToGrid w:val="0"/>
      <w:kern w:val="2"/>
      <w:sz w:val="28"/>
      <w:szCs w:val="32"/>
    </w:rPr>
  </w:style>
  <w:style w:type="paragraph" w:customStyle="1" w:styleId="902">
    <w:name w:val="标题 1章"/>
    <w:basedOn w:val="2"/>
    <w:qFormat/>
    <w:uiPriority w:val="99"/>
    <w:pPr>
      <w:keepNext w:val="0"/>
      <w:keepLines w:val="0"/>
      <w:numPr>
        <w:numId w:val="0"/>
      </w:numPr>
      <w:snapToGrid w:val="0"/>
      <w:jc w:val="left"/>
    </w:pPr>
    <w:rPr>
      <w:rFonts w:ascii="黑体" w:hAnsi="黑体" w:eastAsia="黑体"/>
      <w:smallCaps/>
      <w:kern w:val="2"/>
      <w:sz w:val="24"/>
      <w:szCs w:val="24"/>
    </w:rPr>
  </w:style>
  <w:style w:type="paragraph" w:customStyle="1" w:styleId="903">
    <w:name w:val="1标题2"/>
    <w:basedOn w:val="1"/>
    <w:qFormat/>
    <w:uiPriority w:val="99"/>
    <w:pPr>
      <w:keepNext/>
      <w:keepLines/>
      <w:adjustRightInd w:val="0"/>
      <w:snapToGrid w:val="0"/>
      <w:spacing w:before="120" w:after="120" w:line="300" w:lineRule="auto"/>
      <w:ind w:firstLine="551" w:firstLineChars="196"/>
      <w:outlineLvl w:val="1"/>
    </w:pPr>
    <w:rPr>
      <w:rFonts w:ascii="黑体" w:eastAsia="黑体"/>
      <w:b/>
      <w:bCs/>
      <w:snapToGrid w:val="0"/>
      <w:sz w:val="28"/>
      <w:szCs w:val="20"/>
    </w:rPr>
  </w:style>
  <w:style w:type="paragraph" w:customStyle="1" w:styleId="904">
    <w:name w:val="1级标题"/>
    <w:basedOn w:val="2"/>
    <w:qFormat/>
    <w:uiPriority w:val="99"/>
    <w:pPr>
      <w:numPr>
        <w:numId w:val="0"/>
      </w:numPr>
      <w:tabs>
        <w:tab w:val="left" w:pos="360"/>
      </w:tabs>
      <w:adjustRightInd w:val="0"/>
      <w:snapToGrid w:val="0"/>
      <w:jc w:val="left"/>
    </w:pPr>
    <w:rPr>
      <w:rFonts w:ascii="Arial" w:hAnsi="Arial"/>
      <w:bCs w:val="0"/>
      <w:spacing w:val="10"/>
      <w:kern w:val="24"/>
      <w:sz w:val="28"/>
      <w:szCs w:val="22"/>
    </w:rPr>
  </w:style>
  <w:style w:type="paragraph" w:customStyle="1" w:styleId="905">
    <w:name w:val="目次"/>
    <w:qFormat/>
    <w:uiPriority w:val="99"/>
    <w:pPr>
      <w:tabs>
        <w:tab w:val="left" w:pos="420"/>
      </w:tabs>
      <w:spacing w:before="200" w:after="100" w:line="440" w:lineRule="exact"/>
      <w:ind w:hanging="420"/>
      <w:jc w:val="center"/>
    </w:pPr>
    <w:rPr>
      <w:rFonts w:ascii="黑体" w:hAnsi="Times New Roman" w:eastAsia="黑体" w:cs="Times New Roman"/>
      <w:sz w:val="24"/>
      <w:lang w:val="en-US" w:eastAsia="zh-CN" w:bidi="ar-SA"/>
    </w:rPr>
  </w:style>
  <w:style w:type="paragraph" w:customStyle="1" w:styleId="906">
    <w:name w:val="标题 1+"/>
    <w:basedOn w:val="2"/>
    <w:qFormat/>
    <w:uiPriority w:val="99"/>
    <w:pPr>
      <w:widowControl/>
      <w:numPr>
        <w:numId w:val="0"/>
      </w:numPr>
      <w:tabs>
        <w:tab w:val="left" w:pos="120"/>
        <w:tab w:val="left" w:pos="432"/>
      </w:tabs>
      <w:snapToGrid w:val="0"/>
      <w:spacing w:beforeLines="50" w:afterLines="50"/>
      <w:ind w:left="432" w:hanging="432"/>
      <w:jc w:val="left"/>
    </w:pPr>
    <w:rPr>
      <w:rFonts w:eastAsia="黑体" w:cs="宋体"/>
      <w:b w:val="0"/>
      <w:sz w:val="24"/>
      <w:szCs w:val="20"/>
    </w:rPr>
  </w:style>
  <w:style w:type="paragraph" w:customStyle="1" w:styleId="907">
    <w:name w:val="标题 41"/>
    <w:basedOn w:val="1"/>
    <w:next w:val="1"/>
    <w:qFormat/>
    <w:uiPriority w:val="99"/>
    <w:pPr>
      <w:widowControl/>
      <w:autoSpaceDE w:val="0"/>
      <w:autoSpaceDN w:val="0"/>
      <w:adjustRightInd w:val="0"/>
      <w:snapToGrid w:val="0"/>
      <w:spacing w:before="100" w:beforeAutospacing="1" w:after="100" w:afterAutospacing="1"/>
      <w:ind w:firstLine="0" w:firstLineChars="0"/>
      <w:jc w:val="left"/>
      <w:textAlignment w:val="baseline"/>
      <w:outlineLvl w:val="3"/>
    </w:pPr>
    <w:rPr>
      <w:rFonts w:ascii="宋体" w:hAnsi="宋体" w:cs="Arial"/>
      <w:szCs w:val="20"/>
    </w:rPr>
  </w:style>
  <w:style w:type="paragraph" w:customStyle="1" w:styleId="908">
    <w:name w:val="1正文"/>
    <w:basedOn w:val="1"/>
    <w:qFormat/>
    <w:uiPriority w:val="99"/>
    <w:pPr>
      <w:snapToGrid w:val="0"/>
      <w:spacing w:line="520" w:lineRule="atLeast"/>
      <w:ind w:firstLine="0" w:firstLineChars="0"/>
    </w:pPr>
    <w:rPr>
      <w:rFonts w:ascii="Arial" w:hAnsi="Arial" w:cs="Arial"/>
      <w:snapToGrid w:val="0"/>
      <w:kern w:val="2"/>
    </w:rPr>
  </w:style>
  <w:style w:type="paragraph" w:customStyle="1" w:styleId="909">
    <w:name w:val="目次 附件名"/>
    <w:basedOn w:val="43"/>
    <w:qFormat/>
    <w:uiPriority w:val="99"/>
    <w:pPr>
      <w:tabs>
        <w:tab w:val="left" w:pos="360"/>
        <w:tab w:val="right" w:leader="dot" w:pos="9072"/>
      </w:tabs>
      <w:adjustRightInd w:val="0"/>
      <w:snapToGrid w:val="0"/>
      <w:ind w:firstLine="0" w:firstLineChars="0"/>
    </w:pPr>
    <w:rPr>
      <w:rFonts w:ascii="宋体" w:hAnsi="Calibri"/>
      <w:kern w:val="2"/>
      <w:szCs w:val="20"/>
    </w:rPr>
  </w:style>
  <w:style w:type="paragraph" w:customStyle="1" w:styleId="910">
    <w:name w:val="标题 2 +"/>
    <w:basedOn w:val="1"/>
    <w:qFormat/>
    <w:uiPriority w:val="99"/>
    <w:pPr>
      <w:keepNext/>
      <w:keepLines/>
      <w:widowControl/>
      <w:tabs>
        <w:tab w:val="left" w:pos="576"/>
      </w:tabs>
      <w:snapToGrid w:val="0"/>
      <w:spacing w:beforeLines="50" w:afterLines="50"/>
      <w:ind w:left="576" w:hanging="576" w:firstLineChars="0"/>
      <w:jc w:val="left"/>
      <w:outlineLvl w:val="1"/>
    </w:pPr>
    <w:rPr>
      <w:rFonts w:ascii="Arial" w:hAnsi="Arial" w:eastAsia="黑体" w:cs="宋体"/>
      <w:bCs/>
      <w:kern w:val="44"/>
      <w:szCs w:val="20"/>
    </w:rPr>
  </w:style>
  <w:style w:type="paragraph" w:customStyle="1" w:styleId="911">
    <w:name w:val="2标题"/>
    <w:basedOn w:val="1"/>
    <w:qFormat/>
    <w:uiPriority w:val="99"/>
    <w:pPr>
      <w:keepNext/>
      <w:tabs>
        <w:tab w:val="left" w:pos="780"/>
      </w:tabs>
      <w:adjustRightInd w:val="0"/>
      <w:snapToGrid w:val="0"/>
      <w:ind w:left="780" w:hanging="420" w:firstLineChars="0"/>
    </w:pPr>
    <w:rPr>
      <w:kern w:val="2"/>
      <w:szCs w:val="20"/>
    </w:rPr>
  </w:style>
  <w:style w:type="paragraph" w:customStyle="1" w:styleId="912">
    <w:name w:val="1表1"/>
    <w:basedOn w:val="1"/>
    <w:qFormat/>
    <w:uiPriority w:val="99"/>
    <w:pPr>
      <w:autoSpaceDE w:val="0"/>
      <w:autoSpaceDN w:val="0"/>
      <w:adjustRightInd w:val="0"/>
      <w:snapToGrid w:val="0"/>
      <w:ind w:firstLine="0" w:firstLineChars="0"/>
      <w:jc w:val="center"/>
    </w:pPr>
    <w:rPr>
      <w:rFonts w:ascii="宋体" w:hAnsi="宋体"/>
      <w:snapToGrid w:val="0"/>
      <w:color w:val="000000"/>
      <w:kern w:val="2"/>
      <w:lang w:val="zh-CN"/>
    </w:rPr>
  </w:style>
  <w:style w:type="paragraph" w:customStyle="1" w:styleId="913">
    <w:name w:val="1标题3"/>
    <w:basedOn w:val="1"/>
    <w:qFormat/>
    <w:uiPriority w:val="99"/>
    <w:pPr>
      <w:snapToGrid w:val="0"/>
      <w:spacing w:line="520" w:lineRule="atLeast"/>
      <w:ind w:firstLine="0" w:firstLineChars="0"/>
    </w:pPr>
    <w:rPr>
      <w:rFonts w:ascii="仿宋_GB2312" w:hAnsi="仿宋_GB2312" w:eastAsia="仿宋_GB2312"/>
      <w:b/>
      <w:bCs/>
      <w:snapToGrid w:val="0"/>
      <w:sz w:val="28"/>
      <w:szCs w:val="21"/>
    </w:rPr>
  </w:style>
  <w:style w:type="table" w:customStyle="1" w:styleId="914">
    <w:name w:val="简明型 34"/>
    <w:basedOn w:val="67"/>
    <w:qFormat/>
    <w:uiPriority w:val="0"/>
    <w:pPr>
      <w:widowControl w:val="0"/>
      <w:adjustRightInd w:val="0"/>
      <w:snapToGrid w:val="0"/>
      <w:spacing w:line="360" w:lineRule="auto"/>
      <w:ind w:firstLine="200" w:firstLineChars="20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paragraph" w:customStyle="1" w:styleId="915">
    <w:name w:val="样式 标题 51)项标题 5 Char1) Char项 Char标5 + 左"/>
    <w:basedOn w:val="6"/>
    <w:next w:val="65"/>
    <w:qFormat/>
    <w:uiPriority w:val="99"/>
    <w:pPr>
      <w:widowControl w:val="0"/>
      <w:tabs>
        <w:tab w:val="left" w:pos="360"/>
      </w:tabs>
      <w:adjustRightInd w:val="0"/>
      <w:snapToGrid w:val="0"/>
      <w:ind w:left="360" w:hanging="360"/>
    </w:pPr>
    <w:rPr>
      <w:rFonts w:ascii="宋体" w:hAnsi="Arial" w:eastAsia="宋体"/>
      <w:b w:val="0"/>
      <w:bCs w:val="0"/>
      <w:kern w:val="24"/>
      <w:sz w:val="28"/>
      <w:szCs w:val="20"/>
    </w:rPr>
  </w:style>
  <w:style w:type="paragraph" w:customStyle="1" w:styleId="916">
    <w:name w:val="样式 首行缩进:  2 字符"/>
    <w:basedOn w:val="1"/>
    <w:link w:val="917"/>
    <w:qFormat/>
    <w:uiPriority w:val="0"/>
    <w:pPr>
      <w:adjustRightInd w:val="0"/>
      <w:snapToGrid w:val="0"/>
      <w:spacing w:line="312" w:lineRule="auto"/>
      <w:ind w:firstLine="0" w:firstLineChars="0"/>
    </w:pPr>
    <w:rPr>
      <w:kern w:val="2"/>
    </w:rPr>
  </w:style>
  <w:style w:type="character" w:customStyle="1" w:styleId="917">
    <w:name w:val="样式 首行缩进:  2 字符 Char"/>
    <w:link w:val="916"/>
    <w:qFormat/>
    <w:uiPriority w:val="0"/>
    <w:rPr>
      <w:rFonts w:ascii="Times New Roman" w:hAnsi="Times New Roman" w:eastAsia="宋体" w:cs="Times New Roman"/>
      <w:sz w:val="24"/>
      <w:szCs w:val="24"/>
    </w:rPr>
  </w:style>
  <w:style w:type="paragraph" w:styleId="918">
    <w:name w:val="Quote"/>
    <w:basedOn w:val="1"/>
    <w:next w:val="1"/>
    <w:link w:val="919"/>
    <w:qFormat/>
    <w:uiPriority w:val="29"/>
    <w:pPr>
      <w:snapToGrid w:val="0"/>
      <w:spacing w:before="200" w:after="160"/>
      <w:ind w:left="864" w:right="864" w:firstLine="0" w:firstLineChars="0"/>
      <w:jc w:val="center"/>
    </w:pPr>
    <w:rPr>
      <w:i/>
      <w:iCs/>
      <w:color w:val="404040"/>
      <w:kern w:val="2"/>
      <w:szCs w:val="22"/>
    </w:rPr>
  </w:style>
  <w:style w:type="character" w:customStyle="1" w:styleId="919">
    <w:name w:val="引用 字符"/>
    <w:basedOn w:val="71"/>
    <w:link w:val="918"/>
    <w:qFormat/>
    <w:uiPriority w:val="29"/>
    <w:rPr>
      <w:rFonts w:ascii="Times New Roman" w:hAnsi="Times New Roman" w:eastAsia="宋体" w:cs="Times New Roman"/>
      <w:i/>
      <w:iCs/>
      <w:color w:val="404040"/>
      <w:sz w:val="24"/>
    </w:rPr>
  </w:style>
  <w:style w:type="table" w:customStyle="1" w:styleId="920">
    <w:name w:val="网格型2"/>
    <w:basedOn w:val="6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3">
    <w:name w:val="4"/>
    <w:basedOn w:val="1"/>
    <w:next w:val="255"/>
    <w:qFormat/>
    <w:uiPriority w:val="34"/>
    <w:pPr>
      <w:widowControl/>
      <w:spacing w:line="240" w:lineRule="auto"/>
      <w:ind w:firstLine="420"/>
      <w:jc w:val="left"/>
    </w:pPr>
    <w:rPr>
      <w:rFonts w:ascii="宋体" w:hAnsi="宋体" w:cs="宋体"/>
    </w:rPr>
  </w:style>
  <w:style w:type="character" w:customStyle="1" w:styleId="924">
    <w:name w:val="ql-font-songti"/>
    <w:basedOn w:val="71"/>
    <w:qFormat/>
    <w:uiPriority w:val="0"/>
  </w:style>
  <w:style w:type="paragraph" w:customStyle="1" w:styleId="925">
    <w:name w:val="样式5"/>
    <w:basedOn w:val="404"/>
    <w:link w:val="927"/>
    <w:qFormat/>
    <w:uiPriority w:val="0"/>
    <w:pPr>
      <w:ind w:firstLine="0" w:firstLineChars="0"/>
    </w:pPr>
    <w:rPr>
      <w:b/>
      <w:bCs/>
      <w:u w:color="000000"/>
    </w:rPr>
  </w:style>
  <w:style w:type="paragraph" w:customStyle="1" w:styleId="926">
    <w:name w:val="ql-align-left"/>
    <w:basedOn w:val="1"/>
    <w:qFormat/>
    <w:uiPriority w:val="99"/>
    <w:pPr>
      <w:widowControl/>
      <w:spacing w:before="100" w:beforeAutospacing="1" w:after="100" w:afterAutospacing="1" w:line="240" w:lineRule="auto"/>
      <w:ind w:firstLine="0" w:firstLineChars="0"/>
      <w:jc w:val="left"/>
    </w:pPr>
    <w:rPr>
      <w:rFonts w:ascii="宋体" w:hAnsi="宋体" w:cs="宋体"/>
    </w:rPr>
  </w:style>
  <w:style w:type="character" w:customStyle="1" w:styleId="927">
    <w:name w:val="样式5 字符"/>
    <w:link w:val="925"/>
    <w:qFormat/>
    <w:uiPriority w:val="0"/>
    <w:rPr>
      <w:rFonts w:ascii="Times New Roman" w:hAnsi="Times New Roman" w:eastAsia="宋体" w:cs="Times New Roman"/>
      <w:b/>
      <w:bCs/>
      <w:kern w:val="0"/>
      <w:sz w:val="24"/>
      <w:szCs w:val="24"/>
      <w:u w:color="000000"/>
      <w:lang w:val="zh-CN"/>
    </w:rPr>
  </w:style>
  <w:style w:type="paragraph" w:customStyle="1" w:styleId="928">
    <w:name w:val="ql-align-justify"/>
    <w:basedOn w:val="1"/>
    <w:qFormat/>
    <w:uiPriority w:val="99"/>
    <w:pPr>
      <w:widowControl/>
      <w:spacing w:before="100" w:beforeAutospacing="1" w:after="100" w:afterAutospacing="1" w:line="240" w:lineRule="auto"/>
      <w:ind w:firstLine="0" w:firstLineChars="0"/>
      <w:jc w:val="left"/>
    </w:pPr>
    <w:rPr>
      <w:rFonts w:ascii="宋体" w:hAnsi="宋体" w:cs="宋体"/>
    </w:rPr>
  </w:style>
  <w:style w:type="paragraph" w:customStyle="1" w:styleId="929">
    <w:name w:val="图正文"/>
    <w:basedOn w:val="26"/>
    <w:qFormat/>
    <w:uiPriority w:val="99"/>
    <w:pPr>
      <w:autoSpaceDE w:val="0"/>
      <w:autoSpaceDN w:val="0"/>
      <w:adjustRightInd w:val="0"/>
      <w:snapToGrid w:val="0"/>
      <w:ind w:firstLine="0" w:firstLineChars="0"/>
      <w:jc w:val="center"/>
    </w:pPr>
    <w:rPr>
      <w:kern w:val="0"/>
    </w:rPr>
  </w:style>
  <w:style w:type="character" w:customStyle="1" w:styleId="930">
    <w:name w:val="煤制烯烃 正文 Char"/>
    <w:link w:val="931"/>
    <w:qFormat/>
    <w:uiPriority w:val="99"/>
    <w:rPr>
      <w:snapToGrid w:val="0"/>
      <w:color w:val="000000"/>
      <w:sz w:val="24"/>
      <w:szCs w:val="24"/>
      <w:lang w:val="de-DE"/>
    </w:rPr>
  </w:style>
  <w:style w:type="paragraph" w:customStyle="1" w:styleId="931">
    <w:name w:val="煤制烯烃 正文"/>
    <w:basedOn w:val="25"/>
    <w:link w:val="930"/>
    <w:qFormat/>
    <w:uiPriority w:val="99"/>
    <w:pPr>
      <w:widowControl w:val="0"/>
      <w:adjustRightInd w:val="0"/>
      <w:snapToGrid w:val="0"/>
      <w:spacing w:after="0" w:line="360" w:lineRule="auto"/>
      <w:ind w:firstLine="480"/>
      <w:jc w:val="both"/>
    </w:pPr>
    <w:rPr>
      <w:rFonts w:ascii="Calibri" w:hAnsi="Calibri" w:cs="宋体"/>
      <w:snapToGrid w:val="0"/>
      <w:color w:val="000000"/>
      <w:kern w:val="2"/>
      <w:sz w:val="24"/>
      <w:lang w:val="de-DE" w:eastAsia="zh-CN" w:bidi="ar-SA"/>
    </w:rPr>
  </w:style>
  <w:style w:type="paragraph" w:customStyle="1" w:styleId="932">
    <w:name w:val="表图提注"/>
    <w:next w:val="1"/>
    <w:link w:val="933"/>
    <w:qFormat/>
    <w:uiPriority w:val="0"/>
    <w:pPr>
      <w:snapToGrid w:val="0"/>
      <w:jc w:val="center"/>
    </w:pPr>
    <w:rPr>
      <w:rFonts w:ascii="Times New Roman" w:hAnsi="Times New Roman" w:eastAsia="黑体" w:cs="Times New Roman"/>
      <w:b/>
      <w:bCs/>
      <w:color w:val="000000"/>
      <w:kern w:val="2"/>
      <w:sz w:val="24"/>
      <w:szCs w:val="21"/>
      <w:lang w:val="en-US" w:eastAsia="zh-CN" w:bidi="ar-SA"/>
    </w:rPr>
  </w:style>
  <w:style w:type="character" w:customStyle="1" w:styleId="933">
    <w:name w:val="表图提注 Char"/>
    <w:link w:val="932"/>
    <w:qFormat/>
    <w:uiPriority w:val="0"/>
    <w:rPr>
      <w:rFonts w:ascii="Times New Roman" w:hAnsi="Times New Roman" w:eastAsia="黑体" w:cs="Times New Roman"/>
      <w:b/>
      <w:bCs/>
      <w:color w:val="000000"/>
      <w:sz w:val="24"/>
      <w:szCs w:val="21"/>
    </w:rPr>
  </w:style>
  <w:style w:type="paragraph" w:customStyle="1" w:styleId="934">
    <w:name w:val="本报告表格"/>
    <w:qFormat/>
    <w:uiPriority w:val="99"/>
    <w:pPr>
      <w:jc w:val="center"/>
    </w:pPr>
    <w:rPr>
      <w:rFonts w:ascii="Times New Roman" w:hAnsi="Times New Roman" w:eastAsia="宋体" w:cs="Times New Roman"/>
      <w:sz w:val="21"/>
      <w:szCs w:val="21"/>
      <w:lang w:val="en-US" w:eastAsia="zh-CN" w:bidi="ar-SA"/>
    </w:rPr>
  </w:style>
  <w:style w:type="paragraph" w:customStyle="1" w:styleId="935">
    <w:name w:val="图表后空格"/>
    <w:basedOn w:val="1"/>
    <w:qFormat/>
    <w:uiPriority w:val="99"/>
    <w:pPr>
      <w:spacing w:line="240" w:lineRule="exact"/>
      <w:ind w:firstLine="0" w:firstLineChars="0"/>
      <w:jc w:val="left"/>
    </w:pPr>
    <w:rPr>
      <w:rFonts w:ascii="宋体"/>
      <w:kern w:val="2"/>
      <w:sz w:val="18"/>
    </w:rPr>
  </w:style>
  <w:style w:type="paragraph" w:customStyle="1" w:styleId="936">
    <w:name w:val="表格内"/>
    <w:basedOn w:val="1"/>
    <w:link w:val="937"/>
    <w:qFormat/>
    <w:uiPriority w:val="0"/>
    <w:pPr>
      <w:adjustRightInd w:val="0"/>
      <w:spacing w:line="240" w:lineRule="auto"/>
      <w:ind w:firstLine="0" w:firstLineChars="0"/>
      <w:jc w:val="center"/>
      <w:textAlignment w:val="baseline"/>
    </w:pPr>
    <w:rPr>
      <w:sz w:val="21"/>
      <w:szCs w:val="21"/>
    </w:rPr>
  </w:style>
  <w:style w:type="character" w:customStyle="1" w:styleId="937">
    <w:name w:val="表格内 Char1"/>
    <w:link w:val="936"/>
    <w:qFormat/>
    <w:uiPriority w:val="0"/>
    <w:rPr>
      <w:rFonts w:ascii="Times New Roman" w:hAnsi="Times New Roman" w:eastAsia="宋体" w:cs="Times New Roman"/>
      <w:kern w:val="0"/>
      <w:szCs w:val="21"/>
    </w:rPr>
  </w:style>
  <w:style w:type="character" w:customStyle="1" w:styleId="938">
    <w:name w:val="表格文字 Char"/>
    <w:qFormat/>
    <w:uiPriority w:val="0"/>
    <w:rPr>
      <w:kern w:val="2"/>
      <w:sz w:val="21"/>
      <w:szCs w:val="21"/>
    </w:rPr>
  </w:style>
  <w:style w:type="paragraph" w:customStyle="1" w:styleId="939">
    <w:name w:val="正文001"/>
    <w:basedOn w:val="1"/>
    <w:link w:val="940"/>
    <w:qFormat/>
    <w:uiPriority w:val="0"/>
    <w:pPr>
      <w:spacing w:before="60"/>
      <w:ind w:firstLine="200"/>
    </w:pPr>
    <w:rPr>
      <w:rFonts w:ascii="Arial" w:hAnsi="Arial" w:cs="Arial"/>
      <w:kern w:val="2"/>
      <w:szCs w:val="20"/>
    </w:rPr>
  </w:style>
  <w:style w:type="character" w:customStyle="1" w:styleId="940">
    <w:name w:val="正文001 Char"/>
    <w:link w:val="939"/>
    <w:qFormat/>
    <w:uiPriority w:val="0"/>
    <w:rPr>
      <w:rFonts w:ascii="Arial" w:hAnsi="Arial" w:eastAsia="宋体" w:cs="Arial"/>
      <w:sz w:val="24"/>
      <w:szCs w:val="20"/>
    </w:rPr>
  </w:style>
  <w:style w:type="character" w:customStyle="1" w:styleId="941">
    <w:name w:val="正文样式1 Char"/>
    <w:link w:val="142"/>
    <w:qFormat/>
    <w:uiPriority w:val="0"/>
    <w:rPr>
      <w:rFonts w:ascii="Times New Roman" w:hAnsi="Times New Roman" w:eastAsia="宋体" w:cs="Times New Roman"/>
      <w:b/>
      <w:kern w:val="24"/>
      <w:sz w:val="24"/>
      <w:szCs w:val="24"/>
    </w:rPr>
  </w:style>
  <w:style w:type="character" w:customStyle="1" w:styleId="942">
    <w:name w:val="A表格后空行 Char"/>
    <w:link w:val="943"/>
    <w:qFormat/>
    <w:uiPriority w:val="0"/>
    <w:rPr>
      <w:rFonts w:ascii="黑体" w:hAnsi="黑体" w:eastAsia="黑体"/>
      <w:bCs/>
      <w:color w:val="000000"/>
      <w:szCs w:val="28"/>
      <w:lang w:val="zh-CN"/>
    </w:rPr>
  </w:style>
  <w:style w:type="paragraph" w:customStyle="1" w:styleId="943">
    <w:name w:val="A表格后空行"/>
    <w:basedOn w:val="1"/>
    <w:link w:val="942"/>
    <w:qFormat/>
    <w:uiPriority w:val="0"/>
    <w:pPr>
      <w:autoSpaceDE w:val="0"/>
      <w:autoSpaceDN w:val="0"/>
      <w:adjustRightInd w:val="0"/>
      <w:spacing w:line="240" w:lineRule="exact"/>
      <w:ind w:firstLine="0" w:firstLineChars="0"/>
    </w:pPr>
    <w:rPr>
      <w:rFonts w:ascii="黑体" w:hAnsi="黑体" w:eastAsia="黑体" w:cs="宋体"/>
      <w:bCs/>
      <w:color w:val="000000"/>
      <w:kern w:val="2"/>
      <w:sz w:val="21"/>
      <w:szCs w:val="28"/>
      <w:lang w:val="zh-CN"/>
    </w:rPr>
  </w:style>
  <w:style w:type="paragraph" w:customStyle="1" w:styleId="944">
    <w:name w:val="B41.1.1.1"/>
    <w:basedOn w:val="5"/>
    <w:link w:val="945"/>
    <w:qFormat/>
    <w:uiPriority w:val="0"/>
  </w:style>
  <w:style w:type="character" w:customStyle="1" w:styleId="945">
    <w:name w:val="B41.1.1.1 字符"/>
    <w:basedOn w:val="88"/>
    <w:link w:val="944"/>
    <w:qFormat/>
    <w:uiPriority w:val="0"/>
    <w:rPr>
      <w:rFonts w:ascii="Times New Roman" w:hAnsi="Times New Roman" w:eastAsia="宋体" w:cs="Times New Roman"/>
      <w:spacing w:val="10"/>
      <w:sz w:val="24"/>
      <w:szCs w:val="24"/>
    </w:rPr>
  </w:style>
  <w:style w:type="paragraph" w:customStyle="1" w:styleId="946">
    <w:name w:val="1.1B2"/>
    <w:basedOn w:val="3"/>
    <w:link w:val="947"/>
    <w:qFormat/>
    <w:uiPriority w:val="0"/>
  </w:style>
  <w:style w:type="character" w:customStyle="1" w:styleId="947">
    <w:name w:val="1.1B2 字符"/>
    <w:basedOn w:val="86"/>
    <w:link w:val="946"/>
    <w:qFormat/>
    <w:uiPriority w:val="0"/>
    <w:rPr>
      <w:rFonts w:ascii="Times New Roman" w:hAnsi="Times New Roman" w:eastAsia="宋体" w:cs="Times New Roman"/>
      <w:sz w:val="30"/>
      <w:szCs w:val="28"/>
    </w:rPr>
  </w:style>
  <w:style w:type="character" w:customStyle="1" w:styleId="948">
    <w:name w:val="text_vtes5"/>
    <w:basedOn w:val="71"/>
    <w:qFormat/>
    <w:uiPriority w:val="0"/>
  </w:style>
  <w:style w:type="paragraph" w:customStyle="1" w:styleId="949">
    <w:name w:val="Char Char Char Char Char Char Char12"/>
    <w:basedOn w:val="1"/>
    <w:qFormat/>
    <w:uiPriority w:val="99"/>
    <w:pPr>
      <w:widowControl/>
      <w:spacing w:after="160" w:line="240" w:lineRule="exact"/>
      <w:ind w:firstLine="0" w:firstLineChars="0"/>
      <w:jc w:val="left"/>
    </w:pPr>
    <w:rPr>
      <w:kern w:val="2"/>
      <w:sz w:val="21"/>
    </w:rPr>
  </w:style>
  <w:style w:type="paragraph" w:customStyle="1" w:styleId="950">
    <w:name w:val="【正文】"/>
    <w:basedOn w:val="1"/>
    <w:link w:val="951"/>
    <w:qFormat/>
    <w:uiPriority w:val="0"/>
    <w:pPr>
      <w:ind w:firstLine="200"/>
    </w:pPr>
    <w:rPr>
      <w:szCs w:val="21"/>
      <w:lang w:val="zh-CN"/>
    </w:rPr>
  </w:style>
  <w:style w:type="character" w:customStyle="1" w:styleId="951">
    <w:name w:val="【正文】 Char"/>
    <w:link w:val="950"/>
    <w:qFormat/>
    <w:uiPriority w:val="0"/>
    <w:rPr>
      <w:rFonts w:ascii="Times New Roman" w:hAnsi="Times New Roman" w:eastAsia="宋体" w:cs="Times New Roman"/>
      <w:kern w:val="0"/>
      <w:sz w:val="24"/>
      <w:szCs w:val="21"/>
      <w:lang w:val="zh-CN" w:eastAsia="zh-CN"/>
    </w:rPr>
  </w:style>
  <w:style w:type="paragraph" w:customStyle="1" w:styleId="952">
    <w:name w:val="p"/>
    <w:basedOn w:val="1"/>
    <w:qFormat/>
    <w:uiPriority w:val="99"/>
    <w:pPr>
      <w:widowControl/>
      <w:spacing w:before="100" w:beforeAutospacing="1" w:after="100" w:afterAutospacing="1" w:line="240" w:lineRule="auto"/>
      <w:ind w:firstLine="0" w:firstLineChars="0"/>
      <w:jc w:val="left"/>
    </w:pPr>
    <w:rPr>
      <w:rFonts w:ascii="宋体" w:hAnsi="宋体" w:cs="宋体"/>
    </w:rPr>
  </w:style>
  <w:style w:type="paragraph" w:customStyle="1" w:styleId="953">
    <w:name w:val="W二级标题"/>
    <w:basedOn w:val="3"/>
    <w:link w:val="954"/>
    <w:qFormat/>
    <w:uiPriority w:val="99"/>
    <w:pPr>
      <w:keepNext w:val="0"/>
      <w:keepLines w:val="0"/>
      <w:widowControl/>
      <w:numPr>
        <w:ilvl w:val="0"/>
        <w:numId w:val="2"/>
      </w:numPr>
      <w:overflowPunct w:val="0"/>
      <w:autoSpaceDE w:val="0"/>
      <w:autoSpaceDN w:val="0"/>
      <w:jc w:val="both"/>
      <w:textAlignment w:val="baseline"/>
    </w:pPr>
    <w:rPr>
      <w:rFonts w:eastAsia="黑体"/>
      <w:szCs w:val="30"/>
      <w:lang w:val="zh-CN"/>
    </w:rPr>
  </w:style>
  <w:style w:type="character" w:customStyle="1" w:styleId="954">
    <w:name w:val="W二级标题 字符"/>
    <w:basedOn w:val="71"/>
    <w:link w:val="953"/>
    <w:qFormat/>
    <w:uiPriority w:val="99"/>
    <w:rPr>
      <w:rFonts w:ascii="Times New Roman" w:hAnsi="Times New Roman" w:eastAsia="黑体" w:cs="Times New Roman"/>
      <w:b/>
      <w:bCs/>
      <w:sz w:val="30"/>
      <w:szCs w:val="30"/>
      <w:lang w:val="zh-CN"/>
    </w:rPr>
  </w:style>
  <w:style w:type="character" w:customStyle="1" w:styleId="955">
    <w:name w:val="样式 样式 表格 + (符号) 宋体 五号 居中 + 小五 Char Char"/>
    <w:link w:val="956"/>
    <w:qFormat/>
    <w:uiPriority w:val="0"/>
    <w:rPr>
      <w:rFonts w:ascii="宋体" w:hAnsi="宋体" w:cs="宋体"/>
      <w:snapToGrid w:val="0"/>
      <w:sz w:val="18"/>
      <w:szCs w:val="21"/>
    </w:rPr>
  </w:style>
  <w:style w:type="paragraph" w:customStyle="1" w:styleId="956">
    <w:name w:val="样式 样式 表格 + (符号) 宋体 五号 居中 + 小五"/>
    <w:basedOn w:val="1"/>
    <w:link w:val="955"/>
    <w:qFormat/>
    <w:uiPriority w:val="0"/>
    <w:pPr>
      <w:widowControl/>
      <w:kinsoku w:val="0"/>
      <w:overflowPunct w:val="0"/>
      <w:adjustRightInd w:val="0"/>
      <w:snapToGrid w:val="0"/>
      <w:spacing w:line="240" w:lineRule="auto"/>
      <w:ind w:firstLine="0" w:firstLineChars="0"/>
      <w:jc w:val="center"/>
    </w:pPr>
    <w:rPr>
      <w:rFonts w:ascii="宋体" w:hAnsi="宋体" w:cs="宋体"/>
      <w:snapToGrid w:val="0"/>
      <w:kern w:val="2"/>
      <w:sz w:val="18"/>
      <w:szCs w:val="21"/>
    </w:rPr>
  </w:style>
  <w:style w:type="paragraph" w:customStyle="1" w:styleId="957">
    <w:name w:val="Char Char Char Char Char Char Char Char Char Char Char Char Char Char Char Char Char Char Char Char Char Char Char Char"/>
    <w:basedOn w:val="1"/>
    <w:qFormat/>
    <w:uiPriority w:val="99"/>
    <w:pPr>
      <w:widowControl/>
      <w:ind w:firstLine="0" w:firstLineChars="0"/>
      <w:jc w:val="left"/>
    </w:pPr>
    <w:rPr>
      <w:kern w:val="2"/>
      <w:sz w:val="21"/>
      <w:szCs w:val="21"/>
    </w:rPr>
  </w:style>
  <w:style w:type="character" w:customStyle="1" w:styleId="958">
    <w:name w:val="页脚 字符1"/>
    <w:qFormat/>
    <w:uiPriority w:val="99"/>
    <w:rPr>
      <w:rFonts w:ascii="Times New Roman" w:hAnsi="Times New Roman" w:eastAsia="宋体"/>
      <w:kern w:val="2"/>
      <w:sz w:val="18"/>
      <w:szCs w:val="18"/>
    </w:rPr>
  </w:style>
  <w:style w:type="table" w:customStyle="1" w:styleId="959">
    <w:name w:val="331"/>
    <w:qFormat/>
    <w:uiPriority w:val="99"/>
    <w:pPr>
      <w:widowControl w:val="0"/>
      <w:autoSpaceDE w:val="0"/>
      <w:autoSpaceDN w:val="0"/>
      <w:adjustRightInd w:val="0"/>
    </w:pPr>
    <w:rPr>
      <w:sz w:val="24"/>
      <w:szCs w:val="24"/>
    </w:rPr>
    <w:tblPr>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0" w:type="dxa"/>
        <w:bottom w:w="0" w:type="dxa"/>
        <w:right w:w="0" w:type="dxa"/>
      </w:tblCellMar>
    </w:tblPr>
    <w:tcPr>
      <w:vAlign w:val="center"/>
    </w:tcPr>
  </w:style>
  <w:style w:type="character" w:customStyle="1" w:styleId="960">
    <w:name w:val="批注文字 字符1"/>
    <w:basedOn w:val="71"/>
    <w:qFormat/>
    <w:uiPriority w:val="0"/>
    <w:rPr>
      <w:rFonts w:ascii="Times New Roman" w:hAnsi="Times New Roman"/>
      <w:kern w:val="2"/>
      <w:sz w:val="21"/>
    </w:rPr>
  </w:style>
  <w:style w:type="character" w:customStyle="1" w:styleId="961">
    <w:name w:val="我的表格 Char"/>
    <w:link w:val="575"/>
    <w:qFormat/>
    <w:uiPriority w:val="0"/>
    <w:rPr>
      <w:rFonts w:ascii="Calibri" w:hAnsi="Calibri" w:eastAsia="宋体" w:cs="Times New Roman"/>
      <w:kern w:val="0"/>
      <w:szCs w:val="21"/>
    </w:rPr>
  </w:style>
  <w:style w:type="paragraph" w:customStyle="1" w:styleId="962">
    <w:name w:val="题注表"/>
    <w:basedOn w:val="16"/>
    <w:qFormat/>
    <w:uiPriority w:val="99"/>
    <w:pPr>
      <w:keepNext/>
      <w:spacing w:before="120" w:after="120" w:line="240" w:lineRule="auto"/>
      <w:ind w:firstLine="0" w:firstLineChars="0"/>
      <w:jc w:val="center"/>
    </w:pPr>
    <w:rPr>
      <w:rFonts w:ascii="Times New Roman" w:hAnsi="Times New Roman" w:eastAsia="Calibri Light"/>
      <w:color w:val="auto"/>
      <w:kern w:val="0"/>
      <w:sz w:val="24"/>
    </w:rPr>
  </w:style>
  <w:style w:type="character" w:customStyle="1" w:styleId="963">
    <w:name w:val="正文01 Char"/>
    <w:link w:val="139"/>
    <w:qFormat/>
    <w:uiPriority w:val="0"/>
    <w:rPr>
      <w:rFonts w:ascii="Arial" w:hAnsi="Arial" w:eastAsia="宋体" w:cs="Times New Roman"/>
      <w:sz w:val="24"/>
      <w:szCs w:val="24"/>
    </w:rPr>
  </w:style>
  <w:style w:type="character" w:customStyle="1" w:styleId="964">
    <w:name w:val="cf11"/>
    <w:basedOn w:val="71"/>
    <w:qFormat/>
    <w:uiPriority w:val="0"/>
    <w:rPr>
      <w:rFonts w:hint="eastAsia" w:ascii="Microsoft YaHei UI" w:hAnsi="Microsoft YaHei UI" w:eastAsia="Microsoft YaHei UI"/>
      <w:sz w:val="18"/>
      <w:szCs w:val="18"/>
    </w:rPr>
  </w:style>
  <w:style w:type="paragraph" w:customStyle="1" w:styleId="965">
    <w:name w:val="w五级标题"/>
    <w:basedOn w:val="1"/>
    <w:link w:val="966"/>
    <w:qFormat/>
    <w:uiPriority w:val="0"/>
    <w:pPr>
      <w:ind w:firstLine="0" w:firstLineChars="0"/>
    </w:pPr>
    <w:rPr>
      <w:rFonts w:ascii="黑体" w:hAnsi="黑体" w:eastAsia="黑体"/>
      <w:b/>
      <w:kern w:val="2"/>
      <w:szCs w:val="20"/>
      <w:lang w:val="zh-CN"/>
    </w:rPr>
  </w:style>
  <w:style w:type="character" w:customStyle="1" w:styleId="966">
    <w:name w:val="w五级标题 字符"/>
    <w:basedOn w:val="71"/>
    <w:link w:val="965"/>
    <w:qFormat/>
    <w:uiPriority w:val="99"/>
    <w:rPr>
      <w:rFonts w:ascii="黑体" w:hAnsi="黑体" w:eastAsia="黑体" w:cs="Times New Roman"/>
      <w:b/>
      <w:sz w:val="24"/>
      <w:szCs w:val="20"/>
      <w:lang w:val="zh-CN"/>
    </w:rPr>
  </w:style>
  <w:style w:type="character" w:customStyle="1" w:styleId="967">
    <w:name w:val="环科所表内格式 Char"/>
    <w:link w:val="968"/>
    <w:qFormat/>
    <w:uiPriority w:val="99"/>
    <w:rPr>
      <w:rFonts w:ascii="仿宋_GB2312" w:eastAsia="仿宋_GB2312"/>
      <w:sz w:val="18"/>
    </w:rPr>
  </w:style>
  <w:style w:type="paragraph" w:customStyle="1" w:styleId="968">
    <w:name w:val="环科所表内格式"/>
    <w:basedOn w:val="1"/>
    <w:link w:val="967"/>
    <w:qFormat/>
    <w:uiPriority w:val="99"/>
    <w:pPr>
      <w:adjustRightInd w:val="0"/>
      <w:snapToGrid w:val="0"/>
      <w:ind w:firstLine="200"/>
      <w:jc w:val="center"/>
    </w:pPr>
    <w:rPr>
      <w:rFonts w:ascii="仿宋_GB2312" w:hAnsi="Calibri" w:eastAsia="仿宋_GB2312" w:cs="宋体"/>
      <w:kern w:val="2"/>
      <w:sz w:val="18"/>
      <w:szCs w:val="22"/>
    </w:rPr>
  </w:style>
  <w:style w:type="character" w:customStyle="1" w:styleId="969">
    <w:name w:val="bjh-p"/>
    <w:basedOn w:val="71"/>
    <w:qFormat/>
    <w:uiPriority w:val="0"/>
  </w:style>
  <w:style w:type="paragraph" w:customStyle="1" w:styleId="970">
    <w:name w:val="contentfont"/>
    <w:basedOn w:val="1"/>
    <w:qFormat/>
    <w:uiPriority w:val="99"/>
    <w:pPr>
      <w:widowControl/>
      <w:spacing w:before="100" w:beforeAutospacing="1" w:after="100" w:afterAutospacing="1" w:line="240" w:lineRule="auto"/>
      <w:ind w:firstLine="0" w:firstLineChars="0"/>
      <w:jc w:val="left"/>
    </w:pPr>
    <w:rPr>
      <w:rFonts w:ascii="宋体" w:hAnsi="宋体" w:cs="宋体"/>
    </w:rPr>
  </w:style>
  <w:style w:type="character" w:customStyle="1" w:styleId="971">
    <w:name w:val="报告正文 Char Char Char"/>
    <w:qFormat/>
    <w:uiPriority w:val="99"/>
    <w:rPr>
      <w:sz w:val="28"/>
      <w:szCs w:val="28"/>
    </w:rPr>
  </w:style>
  <w:style w:type="paragraph" w:customStyle="1" w:styleId="972">
    <w:name w:val="正文3"/>
    <w:qFormat/>
    <w:uiPriority w:val="99"/>
    <w:pPr>
      <w:jc w:val="both"/>
    </w:pPr>
    <w:rPr>
      <w:rFonts w:ascii="Calibri" w:hAnsi="Calibri" w:eastAsia="宋体" w:cs="Calibri"/>
      <w:kern w:val="2"/>
      <w:sz w:val="21"/>
      <w:szCs w:val="21"/>
      <w:lang w:val="en-US" w:eastAsia="zh-CN" w:bidi="ar-SA"/>
    </w:rPr>
  </w:style>
  <w:style w:type="paragraph" w:customStyle="1" w:styleId="973">
    <w:name w:val="W样式6 二级标题"/>
    <w:basedOn w:val="3"/>
    <w:link w:val="974"/>
    <w:qFormat/>
    <w:uiPriority w:val="99"/>
    <w:pPr>
      <w:keepNext w:val="0"/>
      <w:keepLines w:val="0"/>
      <w:widowControl/>
      <w:numPr>
        <w:ilvl w:val="0"/>
        <w:numId w:val="0"/>
      </w:numPr>
      <w:overflowPunct w:val="0"/>
      <w:autoSpaceDE w:val="0"/>
      <w:autoSpaceDN w:val="0"/>
      <w:ind w:hanging="567"/>
      <w:jc w:val="both"/>
      <w:textAlignment w:val="baseline"/>
    </w:pPr>
    <w:rPr>
      <w:rFonts w:eastAsia="黑体"/>
      <w:szCs w:val="30"/>
    </w:rPr>
  </w:style>
  <w:style w:type="character" w:customStyle="1" w:styleId="974">
    <w:name w:val="W样式6 二级标题 字符"/>
    <w:basedOn w:val="71"/>
    <w:link w:val="973"/>
    <w:qFormat/>
    <w:uiPriority w:val="99"/>
    <w:rPr>
      <w:rFonts w:ascii="Times New Roman" w:hAnsi="Times New Roman" w:eastAsia="黑体" w:cs="Times New Roman"/>
      <w:b/>
      <w:bCs/>
      <w:kern w:val="0"/>
      <w:sz w:val="30"/>
      <w:szCs w:val="30"/>
    </w:rPr>
  </w:style>
  <w:style w:type="character" w:customStyle="1" w:styleId="975">
    <w:name w:val="ql-font-arial"/>
    <w:basedOn w:val="71"/>
    <w:qFormat/>
    <w:uiPriority w:val="0"/>
  </w:style>
  <w:style w:type="paragraph" w:customStyle="1" w:styleId="976">
    <w:name w:val="xl63"/>
    <w:basedOn w:val="1"/>
    <w:qFormat/>
    <w:uiPriority w:val="99"/>
    <w:pPr>
      <w:widowControl/>
      <w:spacing w:before="100" w:beforeAutospacing="1" w:after="100" w:afterAutospacing="1" w:line="240" w:lineRule="auto"/>
      <w:ind w:firstLine="0" w:firstLineChars="0"/>
      <w:jc w:val="left"/>
    </w:pPr>
  </w:style>
  <w:style w:type="paragraph" w:customStyle="1" w:styleId="977">
    <w:name w:val="xl64"/>
    <w:basedOn w:val="1"/>
    <w:qFormat/>
    <w:uiPriority w:val="99"/>
    <w:pPr>
      <w:widowControl/>
      <w:spacing w:before="100" w:beforeAutospacing="1" w:after="100" w:afterAutospacing="1" w:line="240" w:lineRule="auto"/>
      <w:ind w:firstLine="0" w:firstLineChars="0"/>
      <w:jc w:val="left"/>
    </w:pPr>
    <w:rPr>
      <w:rFonts w:ascii="宋体" w:hAnsi="宋体" w:cs="宋体"/>
      <w:color w:val="006100"/>
    </w:rPr>
  </w:style>
  <w:style w:type="character" w:customStyle="1" w:styleId="978">
    <w:name w:val="样式 标题 2节H2节标题 1.1二级标题标题 lxb21.1h2第一层条二级标题 Char表标题单位名... Char Char Char Char Char"/>
    <w:basedOn w:val="71"/>
    <w:link w:val="979"/>
    <w:qFormat/>
    <w:uiPriority w:val="0"/>
    <w:rPr>
      <w:rFonts w:ascii="黑体" w:hAnsi="宋体" w:eastAsia="黑体"/>
      <w:b/>
      <w:bCs/>
      <w:color w:val="000000"/>
      <w:sz w:val="30"/>
      <w:szCs w:val="32"/>
    </w:rPr>
  </w:style>
  <w:style w:type="paragraph" w:customStyle="1" w:styleId="979">
    <w:name w:val="样式 标题 2节H2节标题 1.1二级标题标题 lxb21.1h2第一层条二级标题 Char表标题单位名... Char Char"/>
    <w:basedOn w:val="3"/>
    <w:link w:val="978"/>
    <w:qFormat/>
    <w:uiPriority w:val="0"/>
    <w:pPr>
      <w:keepNext w:val="0"/>
      <w:keepLines w:val="0"/>
      <w:numPr>
        <w:ilvl w:val="0"/>
        <w:numId w:val="0"/>
      </w:numPr>
      <w:tabs>
        <w:tab w:val="left" w:pos="567"/>
      </w:tabs>
      <w:overflowPunct w:val="0"/>
      <w:autoSpaceDE w:val="0"/>
      <w:autoSpaceDN w:val="0"/>
      <w:adjustRightInd w:val="0"/>
      <w:ind w:left="314" w:hanging="314"/>
      <w:jc w:val="both"/>
      <w:textAlignment w:val="baseline"/>
    </w:pPr>
    <w:rPr>
      <w:rFonts w:ascii="黑体" w:hAnsi="宋体" w:eastAsia="黑体" w:cs="宋体"/>
      <w:color w:val="000000"/>
      <w:kern w:val="2"/>
      <w:szCs w:val="32"/>
    </w:rPr>
  </w:style>
  <w:style w:type="character" w:customStyle="1" w:styleId="980">
    <w:name w:val="ql-font-timesnewroman"/>
    <w:basedOn w:val="71"/>
    <w:qFormat/>
    <w:uiPriority w:val="0"/>
  </w:style>
  <w:style w:type="paragraph" w:customStyle="1" w:styleId="981">
    <w:name w:val="ql-lineheight-200"/>
    <w:basedOn w:val="1"/>
    <w:qFormat/>
    <w:uiPriority w:val="0"/>
    <w:pPr>
      <w:widowControl/>
      <w:spacing w:before="100" w:beforeAutospacing="1" w:after="100" w:afterAutospacing="1" w:line="240" w:lineRule="auto"/>
      <w:ind w:firstLine="0" w:firstLineChars="0"/>
      <w:jc w:val="left"/>
    </w:pPr>
    <w:rPr>
      <w:rFonts w:ascii="宋体" w:hAnsi="宋体" w:cs="宋体"/>
    </w:rPr>
  </w:style>
  <w:style w:type="paragraph" w:customStyle="1" w:styleId="982">
    <w:name w:val="ql-lineheight-150"/>
    <w:basedOn w:val="1"/>
    <w:qFormat/>
    <w:uiPriority w:val="0"/>
    <w:pPr>
      <w:widowControl/>
      <w:spacing w:before="100" w:beforeAutospacing="1" w:after="100" w:afterAutospacing="1" w:line="240" w:lineRule="auto"/>
      <w:ind w:firstLine="0" w:firstLineChars="0"/>
      <w:jc w:val="left"/>
    </w:pPr>
    <w:rPr>
      <w:rFonts w:ascii="宋体" w:hAnsi="宋体" w:cs="宋体"/>
    </w:rPr>
  </w:style>
  <w:style w:type="character" w:customStyle="1" w:styleId="983">
    <w:name w:val="表格格式 字符"/>
    <w:link w:val="263"/>
    <w:qFormat/>
    <w:uiPriority w:val="0"/>
    <w:rPr>
      <w:rFonts w:ascii="Times New Roman" w:hAnsi="Times New Roman" w:eastAsia="宋体" w:cs="Times New Roman"/>
      <w:sz w:val="24"/>
    </w:rPr>
  </w:style>
  <w:style w:type="character" w:customStyle="1" w:styleId="984">
    <w:name w:val="表格内容 字符"/>
    <w:basedOn w:val="71"/>
    <w:qFormat/>
    <w:uiPriority w:val="0"/>
    <w:rPr>
      <w:rFonts w:ascii="Times New Roman" w:hAnsi="Times New Roman" w:eastAsia="宋体" w:cs="Times New Roman"/>
      <w:kern w:val="0"/>
      <w:szCs w:val="21"/>
    </w:rPr>
  </w:style>
  <w:style w:type="paragraph" w:customStyle="1" w:styleId="985">
    <w:name w:val="AA表格"/>
    <w:basedOn w:val="1"/>
    <w:qFormat/>
    <w:uiPriority w:val="0"/>
    <w:pPr>
      <w:spacing w:line="320" w:lineRule="exact"/>
      <w:ind w:firstLine="0" w:firstLineChars="0"/>
      <w:jc w:val="center"/>
    </w:pPr>
    <w:rPr>
      <w:sz w:val="21"/>
      <w:szCs w:val="21"/>
    </w:rPr>
  </w:style>
  <w:style w:type="paragraph" w:customStyle="1" w:styleId="986">
    <w:name w:val="Table Text"/>
    <w:basedOn w:val="1"/>
    <w:qFormat/>
    <w:uiPriority w:val="0"/>
    <w:pPr>
      <w:widowControl/>
      <w:kinsoku w:val="0"/>
      <w:autoSpaceDE w:val="0"/>
      <w:autoSpaceDN w:val="0"/>
      <w:adjustRightInd w:val="0"/>
      <w:snapToGrid w:val="0"/>
      <w:spacing w:line="240" w:lineRule="auto"/>
      <w:ind w:firstLine="0" w:firstLineChars="0"/>
      <w:jc w:val="left"/>
      <w:textAlignment w:val="baseline"/>
    </w:pPr>
    <w:rPr>
      <w:rFonts w:ascii="宋体" w:hAnsi="宋体" w:cs="宋体"/>
      <w:snapToGrid w:val="0"/>
      <w:color w:val="000000"/>
      <w:lang w:eastAsia="en-US"/>
    </w:rPr>
  </w:style>
  <w:style w:type="paragraph" w:customStyle="1" w:styleId="987">
    <w:name w:val="表1"/>
    <w:basedOn w:val="1"/>
    <w:next w:val="1"/>
    <w:qFormat/>
    <w:uiPriority w:val="0"/>
    <w:pPr>
      <w:adjustRightInd w:val="0"/>
      <w:spacing w:before="120"/>
      <w:jc w:val="center"/>
      <w:textAlignment w:val="baseline"/>
    </w:pPr>
    <w:rPr>
      <w:sz w:val="21"/>
    </w:rPr>
  </w:style>
  <w:style w:type="paragraph" w:customStyle="1" w:styleId="988">
    <w:name w:val="Char Char Char Char Char Char Char13"/>
    <w:basedOn w:val="1"/>
    <w:qFormat/>
    <w:uiPriority w:val="0"/>
    <w:pPr>
      <w:widowControl/>
      <w:spacing w:after="160" w:line="240" w:lineRule="exact"/>
      <w:ind w:firstLine="0" w:firstLineChars="0"/>
      <w:jc w:val="left"/>
    </w:pPr>
    <w:rPr>
      <w:kern w:val="2"/>
      <w:sz w:val="21"/>
    </w:rPr>
  </w:style>
  <w:style w:type="character" w:customStyle="1" w:styleId="989">
    <w:name w:val="Other|1_"/>
    <w:basedOn w:val="71"/>
    <w:link w:val="819"/>
    <w:qFormat/>
    <w:uiPriority w:val="0"/>
    <w:rPr>
      <w:rFonts w:ascii="宋体" w:hAnsi="宋体" w:eastAsia="宋体" w:cs="宋体"/>
      <w:kern w:val="0"/>
      <w:sz w:val="19"/>
      <w:szCs w:val="19"/>
      <w:lang w:val="zh-TW" w:eastAsia="zh-TW" w:bidi="zh-TW"/>
    </w:rPr>
  </w:style>
  <w:style w:type="character" w:customStyle="1" w:styleId="990">
    <w:name w:val="Body text|1_"/>
    <w:basedOn w:val="71"/>
    <w:link w:val="991"/>
    <w:qFormat/>
    <w:uiPriority w:val="0"/>
    <w:rPr>
      <w:rFonts w:ascii="宋体" w:hAnsi="宋体" w:cs="宋体"/>
      <w:color w:val="000000"/>
      <w:sz w:val="24"/>
      <w:szCs w:val="24"/>
      <w:lang w:val="zh-TW" w:eastAsia="zh-TW" w:bidi="zh-TW"/>
    </w:rPr>
  </w:style>
  <w:style w:type="paragraph" w:customStyle="1" w:styleId="991">
    <w:name w:val="Body text|1"/>
    <w:basedOn w:val="1"/>
    <w:link w:val="990"/>
    <w:qFormat/>
    <w:uiPriority w:val="0"/>
    <w:pPr>
      <w:spacing w:after="380" w:line="240" w:lineRule="auto"/>
      <w:ind w:firstLine="400" w:firstLineChars="0"/>
      <w:jc w:val="left"/>
    </w:pPr>
    <w:rPr>
      <w:rFonts w:ascii="宋体" w:hAnsi="宋体" w:cs="宋体"/>
      <w:color w:val="000000"/>
      <w:kern w:val="2"/>
      <w:lang w:val="zh-TW" w:eastAsia="zh-TW" w:bidi="zh-TW"/>
    </w:rPr>
  </w:style>
  <w:style w:type="paragraph" w:customStyle="1" w:styleId="992">
    <w:name w:val="table-cell-line"/>
    <w:basedOn w:val="1"/>
    <w:qFormat/>
    <w:uiPriority w:val="0"/>
    <w:pPr>
      <w:widowControl/>
      <w:spacing w:before="100" w:beforeAutospacing="1" w:after="100" w:afterAutospacing="1" w:line="240" w:lineRule="auto"/>
      <w:ind w:firstLine="0" w:firstLineChars="0"/>
      <w:jc w:val="left"/>
    </w:pPr>
    <w:rPr>
      <w:rFonts w:ascii="宋体" w:hAnsi="宋体" w:cs="宋体"/>
    </w:rPr>
  </w:style>
  <w:style w:type="character" w:customStyle="1" w:styleId="993">
    <w:name w:val="font81"/>
    <w:basedOn w:val="71"/>
    <w:qFormat/>
    <w:uiPriority w:val="0"/>
    <w:rPr>
      <w:rFonts w:hint="default" w:ascii="Times New Roman" w:hAnsi="Times New Roman" w:cs="Times New Roman"/>
      <w:color w:val="000000"/>
      <w:sz w:val="18"/>
      <w:szCs w:val="18"/>
      <w:u w:val="none"/>
      <w:vertAlign w:val="subscript"/>
    </w:rPr>
  </w:style>
  <w:style w:type="character" w:customStyle="1" w:styleId="994">
    <w:name w:val="font71"/>
    <w:basedOn w:val="71"/>
    <w:qFormat/>
    <w:uiPriority w:val="0"/>
    <w:rPr>
      <w:rFonts w:hint="eastAsia" w:ascii="宋体" w:hAnsi="宋体" w:eastAsia="宋体"/>
      <w:color w:val="000000"/>
      <w:sz w:val="16"/>
      <w:szCs w:val="16"/>
      <w:u w:val="none"/>
    </w:rPr>
  </w:style>
  <w:style w:type="character" w:customStyle="1" w:styleId="995">
    <w:name w:val="font101"/>
    <w:basedOn w:val="71"/>
    <w:qFormat/>
    <w:uiPriority w:val="0"/>
    <w:rPr>
      <w:rFonts w:hint="default" w:ascii="Times New Roman" w:hAnsi="Times New Roman" w:cs="Times New Roman"/>
      <w:color w:val="000000"/>
      <w:sz w:val="18"/>
      <w:szCs w:val="18"/>
      <w:u w:val="none"/>
      <w:vertAlign w:val="subscript"/>
    </w:rPr>
  </w:style>
  <w:style w:type="character" w:customStyle="1" w:styleId="996">
    <w:name w:val="font111"/>
    <w:basedOn w:val="71"/>
    <w:qFormat/>
    <w:uiPriority w:val="0"/>
    <w:rPr>
      <w:rFonts w:hint="default" w:ascii="Times New Roman" w:hAnsi="Times New Roman" w:cs="Times New Roman"/>
      <w:color w:val="000000"/>
      <w:sz w:val="18"/>
      <w:szCs w:val="18"/>
      <w:u w:val="none"/>
      <w:vertAlign w:val="subscript"/>
    </w:rPr>
  </w:style>
  <w:style w:type="character" w:customStyle="1" w:styleId="997">
    <w:name w:val="font121"/>
    <w:basedOn w:val="71"/>
    <w:qFormat/>
    <w:uiPriority w:val="0"/>
    <w:rPr>
      <w:rFonts w:hint="default" w:ascii="Times New Roman" w:hAnsi="Times New Roman" w:cs="Times New Roman"/>
      <w:color w:val="FF0000"/>
      <w:sz w:val="18"/>
      <w:szCs w:val="18"/>
      <w:u w:val="none"/>
      <w:vertAlign w:val="subscript"/>
    </w:rPr>
  </w:style>
  <w:style w:type="character" w:customStyle="1" w:styleId="998">
    <w:name w:val="font131"/>
    <w:basedOn w:val="71"/>
    <w:qFormat/>
    <w:uiPriority w:val="0"/>
    <w:rPr>
      <w:rFonts w:hint="default" w:ascii="Times New Roman" w:hAnsi="Times New Roman" w:cs="Times New Roman"/>
      <w:color w:val="000000"/>
      <w:sz w:val="18"/>
      <w:szCs w:val="18"/>
      <w:u w:val="none"/>
      <w:vertAlign w:val="subscript"/>
    </w:rPr>
  </w:style>
  <w:style w:type="character" w:customStyle="1" w:styleId="999">
    <w:name w:val="font141"/>
    <w:basedOn w:val="71"/>
    <w:qFormat/>
    <w:uiPriority w:val="0"/>
    <w:rPr>
      <w:rFonts w:hint="default" w:ascii="Times New Roman" w:hAnsi="Times New Roman" w:cs="Times New Roman"/>
      <w:color w:val="000000"/>
      <w:sz w:val="16"/>
      <w:szCs w:val="16"/>
      <w:u w:val="none"/>
      <w:vertAlign w:val="subscript"/>
    </w:rPr>
  </w:style>
  <w:style w:type="character" w:customStyle="1" w:styleId="1000">
    <w:name w:val="小四23 Char"/>
    <w:link w:val="1001"/>
    <w:qFormat/>
    <w:uiPriority w:val="0"/>
    <w:rPr>
      <w:rFonts w:eastAsia="仿宋_GB2312"/>
      <w:sz w:val="24"/>
      <w:szCs w:val="24"/>
    </w:rPr>
  </w:style>
  <w:style w:type="paragraph" w:customStyle="1" w:styleId="1001">
    <w:name w:val="小四23"/>
    <w:basedOn w:val="1"/>
    <w:link w:val="1000"/>
    <w:qFormat/>
    <w:uiPriority w:val="0"/>
    <w:pPr>
      <w:spacing w:line="460" w:lineRule="exact"/>
      <w:ind w:firstLine="200"/>
    </w:pPr>
    <w:rPr>
      <w:rFonts w:ascii="Calibri" w:hAnsi="Calibri" w:eastAsia="仿宋_GB2312" w:cs="宋体"/>
      <w:kern w:val="2"/>
    </w:rPr>
  </w:style>
  <w:style w:type="character" w:customStyle="1" w:styleId="1002">
    <w:name w:val="A表格 Char"/>
    <w:qFormat/>
    <w:uiPriority w:val="0"/>
    <w:rPr>
      <w:kern w:val="2"/>
      <w:sz w:val="21"/>
      <w:szCs w:val="21"/>
    </w:rPr>
  </w:style>
  <w:style w:type="paragraph" w:customStyle="1" w:styleId="1003">
    <w:name w:val="Char Char Char Char Char Char Char Char Char Char Char Char Char Char Char Char Char Char Char Char Char Char Char Char4"/>
    <w:basedOn w:val="1"/>
    <w:qFormat/>
    <w:uiPriority w:val="0"/>
    <w:pPr>
      <w:widowControl/>
      <w:ind w:firstLine="0" w:firstLineChars="0"/>
      <w:jc w:val="left"/>
    </w:pPr>
    <w:rPr>
      <w:kern w:val="2"/>
      <w:sz w:val="21"/>
      <w:szCs w:val="21"/>
    </w:rPr>
  </w:style>
  <w:style w:type="paragraph" w:customStyle="1" w:styleId="1004">
    <w:name w:val="Char Char Char Char Char Char Char Char Char Char Char Char Char Char Char Char Char Char Char Char Char Char Char Char3"/>
    <w:basedOn w:val="1"/>
    <w:qFormat/>
    <w:uiPriority w:val="0"/>
    <w:pPr>
      <w:widowControl/>
      <w:ind w:firstLine="0" w:firstLineChars="0"/>
      <w:jc w:val="left"/>
    </w:pPr>
    <w:rPr>
      <w:kern w:val="2"/>
      <w:sz w:val="21"/>
      <w:szCs w:val="21"/>
    </w:rPr>
  </w:style>
  <w:style w:type="character" w:customStyle="1" w:styleId="1005">
    <w:name w:val="表格 Char Char"/>
    <w:qFormat/>
    <w:uiPriority w:val="0"/>
    <w:rPr>
      <w:bCs/>
      <w:snapToGrid w:val="0"/>
      <w:kern w:val="0"/>
      <w:szCs w:val="32"/>
    </w:rPr>
  </w:style>
  <w:style w:type="character" w:customStyle="1" w:styleId="1006">
    <w:name w:val="无间隔 字符"/>
    <w:link w:val="155"/>
    <w:qFormat/>
    <w:uiPriority w:val="1"/>
    <w:rPr>
      <w:rFonts w:ascii="Times New Roman" w:hAnsi="Times New Roman" w:eastAsia="宋体" w:cs="宋体"/>
      <w:bCs/>
      <w:snapToGrid w:val="0"/>
      <w:kern w:val="0"/>
      <w:sz w:val="24"/>
      <w:szCs w:val="24"/>
    </w:rPr>
  </w:style>
  <w:style w:type="table" w:customStyle="1" w:styleId="1007">
    <w:name w:val="标准表格"/>
    <w:basedOn w:val="67"/>
    <w:qFormat/>
    <w:uiPriority w:val="99"/>
    <w:pPr>
      <w:spacing w:before="74"/>
      <w:jc w:val="center"/>
    </w:pPr>
    <w:rPr>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Autospacing="0" w:after="0" w:afterAutospacing="0" w:line="240" w:lineRule="auto"/>
        <w:ind w:left="0" w:leftChars="0" w:right="0" w:rightChars="0" w:firstLine="0" w:firstLineChars="0"/>
        <w:jc w:val="center"/>
      </w:pPr>
      <w:rPr>
        <w:rFonts w:eastAsia="宋体"/>
        <w:sz w:val="18"/>
      </w:rPr>
    </w:tblStylePr>
    <w:tblStylePr w:type="firstCol">
      <w:pPr>
        <w:jc w:val="center"/>
      </w:pPr>
    </w:tblStylePr>
  </w:style>
  <w:style w:type="character" w:customStyle="1" w:styleId="1008">
    <w:name w:val="未处理的提及1"/>
    <w:qFormat/>
    <w:uiPriority w:val="99"/>
    <w:rPr>
      <w:color w:val="605E5C"/>
      <w:shd w:val="clear" w:color="auto" w:fill="E1DFDD"/>
    </w:rPr>
  </w:style>
  <w:style w:type="table" w:customStyle="1" w:styleId="1009">
    <w:name w:val="网格型221"/>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121"/>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1">
    <w:name w:val="【表头】"/>
    <w:basedOn w:val="1"/>
    <w:qFormat/>
    <w:uiPriority w:val="0"/>
    <w:pPr>
      <w:spacing w:beforeLines="10" w:afterLines="10" w:line="240" w:lineRule="auto"/>
      <w:ind w:firstLine="0" w:firstLineChars="0"/>
      <w:jc w:val="center"/>
    </w:pPr>
    <w:rPr>
      <w:rFonts w:ascii="等线" w:hAnsi="等线" w:eastAsia="黑体"/>
      <w:b/>
      <w:kern w:val="2"/>
      <w:sz w:val="21"/>
    </w:rPr>
  </w:style>
  <w:style w:type="paragraph" w:customStyle="1" w:styleId="1012">
    <w:name w:val="首行缩进"/>
    <w:basedOn w:val="1"/>
    <w:qFormat/>
    <w:uiPriority w:val="99"/>
    <w:pPr>
      <w:spacing w:line="400" w:lineRule="exact"/>
      <w:ind w:firstLine="0" w:firstLineChars="0"/>
      <w:jc w:val="center"/>
    </w:pPr>
    <w:rPr>
      <w:rFonts w:ascii="宋体" w:eastAsia="黑体"/>
      <w:szCs w:val="20"/>
    </w:rPr>
  </w:style>
  <w:style w:type="paragraph" w:customStyle="1" w:styleId="1013">
    <w:name w:val="h正文表格文字"/>
    <w:basedOn w:val="1"/>
    <w:qFormat/>
    <w:uiPriority w:val="99"/>
    <w:pPr>
      <w:adjustRightInd w:val="0"/>
      <w:snapToGrid w:val="0"/>
      <w:spacing w:line="240" w:lineRule="auto"/>
      <w:ind w:firstLine="0" w:firstLineChars="0"/>
      <w:jc w:val="center"/>
    </w:pPr>
    <w:rPr>
      <w:kern w:val="2"/>
      <w:sz w:val="21"/>
    </w:rPr>
  </w:style>
  <w:style w:type="paragraph" w:customStyle="1" w:styleId="1014">
    <w:name w:val="正文 首行缩进:  2 字符"/>
    <w:basedOn w:val="1"/>
    <w:qFormat/>
    <w:uiPriority w:val="0"/>
    <w:pPr>
      <w:spacing w:line="240" w:lineRule="auto"/>
      <w:ind w:firstLine="579"/>
    </w:pPr>
    <w:rPr>
      <w:kern w:val="2"/>
      <w:sz w:val="28"/>
      <w:szCs w:val="20"/>
    </w:rPr>
  </w:style>
  <w:style w:type="table" w:customStyle="1" w:styleId="1015">
    <w:name w:val="ou1"/>
    <w:basedOn w:val="67"/>
    <w:qFormat/>
    <w:uiPriority w:val="39"/>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6">
    <w:name w:val="网格型6"/>
    <w:basedOn w:val="67"/>
    <w:qFormat/>
    <w:uiPriority w:val="39"/>
    <w:pPr>
      <w:widowControl w:val="0"/>
      <w:adjustRightInd w:val="0"/>
      <w:textAlignment w:val="baseline"/>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7">
    <w:name w:val="ou2"/>
    <w:basedOn w:val="67"/>
    <w:qFormat/>
    <w:uiPriority w:val="39"/>
    <w:pPr>
      <w:widowControl w:val="0"/>
      <w:adjustRightIn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8">
    <w:name w:val="h正文"/>
    <w:basedOn w:val="1"/>
    <w:qFormat/>
    <w:uiPriority w:val="0"/>
    <w:pPr>
      <w:adjustRightInd w:val="0"/>
      <w:snapToGrid w:val="0"/>
      <w:ind w:firstLine="200"/>
    </w:pPr>
    <w:rPr>
      <w:kern w:val="2"/>
    </w:rPr>
  </w:style>
  <w:style w:type="paragraph" w:customStyle="1" w:styleId="1019">
    <w:name w:val="自用表格"/>
    <w:basedOn w:val="1"/>
    <w:qFormat/>
    <w:uiPriority w:val="0"/>
    <w:pPr>
      <w:spacing w:line="280" w:lineRule="exact"/>
      <w:ind w:firstLine="0" w:firstLineChars="0"/>
      <w:jc w:val="center"/>
    </w:pPr>
    <w:rPr>
      <w:iCs/>
      <w:kern w:val="2"/>
      <w:sz w:val="18"/>
      <w:szCs w:val="18"/>
    </w:rPr>
  </w:style>
  <w:style w:type="paragraph" w:customStyle="1" w:styleId="1020">
    <w:name w:val="日期1"/>
    <w:basedOn w:val="1"/>
    <w:next w:val="1"/>
    <w:qFormat/>
    <w:uiPriority w:val="0"/>
    <w:pPr>
      <w:adjustRightInd w:val="0"/>
      <w:spacing w:line="240" w:lineRule="auto"/>
      <w:ind w:firstLine="0" w:firstLineChars="0"/>
      <w:textAlignment w:val="baseline"/>
    </w:pPr>
    <w:rPr>
      <w:kern w:val="2"/>
      <w:sz w:val="21"/>
      <w:szCs w:val="20"/>
      <w:lang w:val="zh-CN"/>
    </w:rPr>
  </w:style>
  <w:style w:type="table" w:customStyle="1" w:styleId="1021">
    <w:name w:val="网格型12"/>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2">
    <w:name w:val="B表格样式"/>
    <w:basedOn w:val="67"/>
    <w:qFormat/>
    <w:uiPriority w:val="39"/>
    <w:pPr>
      <w:jc w:val="center"/>
    </w:pPr>
    <w:tblP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
    <w:tcPr>
      <w:vAlign w:val="center"/>
    </w:tcPr>
  </w:style>
  <w:style w:type="table" w:customStyle="1" w:styleId="1023">
    <w:name w:val="网格型110"/>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24">
    <w:name w:val="表格内字体 Char Char"/>
    <w:qFormat/>
    <w:uiPriority w:val="0"/>
    <w:rPr>
      <w:rFonts w:eastAsia="仿宋_GB2312"/>
      <w:snapToGrid w:val="0"/>
      <w:kern w:val="21"/>
      <w:sz w:val="21"/>
      <w:szCs w:val="21"/>
      <w:lang w:val="en-US" w:eastAsia="zh-CN" w:bidi="ar-SA"/>
    </w:rPr>
  </w:style>
  <w:style w:type="table" w:customStyle="1" w:styleId="1025">
    <w:name w:val="网格型13"/>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6">
    <w:name w:val="ou7"/>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7">
    <w:name w:val="网格型14"/>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28">
    <w:name w:val="Char1 Char Char1 Char"/>
    <w:basedOn w:val="1"/>
    <w:qFormat/>
    <w:uiPriority w:val="0"/>
    <w:pPr>
      <w:adjustRightInd w:val="0"/>
      <w:spacing w:line="360" w:lineRule="atLeast"/>
      <w:ind w:firstLine="0" w:firstLineChars="0"/>
      <w:textAlignment w:val="baseline"/>
    </w:pPr>
    <w:rPr>
      <w:rFonts w:ascii="宋体"/>
      <w:szCs w:val="20"/>
    </w:rPr>
  </w:style>
  <w:style w:type="paragraph" w:customStyle="1" w:styleId="1029">
    <w:name w:val="表格文字样式"/>
    <w:basedOn w:val="1"/>
    <w:qFormat/>
    <w:uiPriority w:val="0"/>
    <w:pPr>
      <w:widowControl/>
      <w:autoSpaceDE w:val="0"/>
      <w:autoSpaceDN w:val="0"/>
      <w:adjustRightInd w:val="0"/>
      <w:spacing w:line="240" w:lineRule="exact"/>
      <w:ind w:firstLine="0" w:firstLineChars="0"/>
      <w:jc w:val="left"/>
    </w:pPr>
    <w:rPr>
      <w:rFonts w:ascii="仿宋_GB2312" w:hAnsi="宋体" w:eastAsia="仿宋_GB2312" w:cs="仿宋_GB2312"/>
      <w:szCs w:val="21"/>
    </w:rPr>
  </w:style>
  <w:style w:type="character" w:customStyle="1" w:styleId="1030">
    <w:name w:val="pleft4"/>
    <w:basedOn w:val="71"/>
    <w:qFormat/>
    <w:uiPriority w:val="0"/>
  </w:style>
  <w:style w:type="paragraph" w:customStyle="1" w:styleId="1031">
    <w:name w:val="Char Char Char Char Char Char Char Char Char Char Char Char Char Char Char Char Char Char Char Char Char Char Char Char2"/>
    <w:basedOn w:val="1"/>
    <w:qFormat/>
    <w:uiPriority w:val="0"/>
    <w:pPr>
      <w:widowControl/>
      <w:ind w:firstLine="0" w:firstLineChars="0"/>
      <w:jc w:val="left"/>
    </w:pPr>
    <w:rPr>
      <w:kern w:val="2"/>
      <w:sz w:val="21"/>
      <w:szCs w:val="21"/>
    </w:rPr>
  </w:style>
  <w:style w:type="paragraph" w:customStyle="1" w:styleId="1032">
    <w:name w:val="font2"/>
    <w:basedOn w:val="1"/>
    <w:qFormat/>
    <w:uiPriority w:val="0"/>
    <w:pPr>
      <w:widowControl/>
      <w:spacing w:before="100" w:beforeAutospacing="1" w:after="100" w:afterAutospacing="1" w:line="240" w:lineRule="auto"/>
      <w:ind w:firstLine="0" w:firstLineChars="0"/>
      <w:jc w:val="left"/>
    </w:pPr>
    <w:rPr>
      <w:color w:val="000000"/>
      <w:sz w:val="18"/>
      <w:szCs w:val="18"/>
    </w:rPr>
  </w:style>
  <w:style w:type="paragraph" w:customStyle="1" w:styleId="1033">
    <w:name w:val="font3"/>
    <w:basedOn w:val="1"/>
    <w:qFormat/>
    <w:uiPriority w:val="0"/>
    <w:pPr>
      <w:widowControl/>
      <w:spacing w:before="100" w:beforeAutospacing="1" w:after="100" w:afterAutospacing="1" w:line="240" w:lineRule="auto"/>
      <w:ind w:firstLine="0" w:firstLineChars="0"/>
      <w:jc w:val="left"/>
    </w:pPr>
    <w:rPr>
      <w:color w:val="000000"/>
      <w:sz w:val="18"/>
      <w:szCs w:val="18"/>
    </w:rPr>
  </w:style>
  <w:style w:type="paragraph" w:customStyle="1" w:styleId="1034">
    <w:name w:val="font4"/>
    <w:basedOn w:val="1"/>
    <w:qFormat/>
    <w:uiPriority w:val="0"/>
    <w:pPr>
      <w:widowControl/>
      <w:spacing w:before="100" w:beforeAutospacing="1" w:after="100" w:afterAutospacing="1" w:line="240" w:lineRule="auto"/>
      <w:ind w:firstLine="0" w:firstLineChars="0"/>
      <w:jc w:val="left"/>
    </w:pPr>
    <w:rPr>
      <w:color w:val="000000"/>
      <w:sz w:val="18"/>
      <w:szCs w:val="18"/>
      <w:vertAlign w:val="superscript"/>
    </w:rPr>
  </w:style>
  <w:style w:type="paragraph" w:customStyle="1" w:styleId="1035">
    <w:name w:val="et2"/>
    <w:basedOn w:val="1"/>
    <w:qFormat/>
    <w:uiPriority w:val="0"/>
    <w:pPr>
      <w:widowControl/>
      <w:spacing w:before="100" w:beforeAutospacing="1" w:after="100" w:afterAutospacing="1" w:line="240" w:lineRule="auto"/>
      <w:ind w:firstLine="0" w:firstLineChars="0"/>
      <w:jc w:val="center"/>
    </w:pPr>
    <w:rPr>
      <w:rFonts w:ascii="宋体" w:hAnsi="宋体" w:cs="宋体"/>
    </w:rPr>
  </w:style>
  <w:style w:type="paragraph" w:customStyle="1" w:styleId="1036">
    <w:name w:val="et3"/>
    <w:basedOn w:val="1"/>
    <w:qFormat/>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1037">
    <w:name w:val="et4"/>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1038">
    <w:name w:val="et5"/>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sz w:val="18"/>
      <w:szCs w:val="18"/>
    </w:rPr>
  </w:style>
  <w:style w:type="paragraph" w:customStyle="1" w:styleId="1039">
    <w:name w:val="et6"/>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sz w:val="18"/>
      <w:szCs w:val="18"/>
    </w:rPr>
  </w:style>
  <w:style w:type="paragraph" w:customStyle="1" w:styleId="1040">
    <w:name w:val="et7"/>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1041">
    <w:name w:val="et8"/>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top"/>
    </w:pPr>
    <w:rPr>
      <w:rFonts w:ascii="宋体" w:hAnsi="宋体" w:cs="宋体"/>
      <w:sz w:val="18"/>
      <w:szCs w:val="18"/>
    </w:rPr>
  </w:style>
  <w:style w:type="paragraph" w:customStyle="1" w:styleId="1042">
    <w:name w:val="et9"/>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color w:val="000000"/>
      <w:sz w:val="18"/>
      <w:szCs w:val="18"/>
    </w:rPr>
  </w:style>
  <w:style w:type="paragraph" w:customStyle="1" w:styleId="1043">
    <w:name w:val="et10"/>
    <w:basedOn w:val="1"/>
    <w:qFormat/>
    <w:uiPriority w:val="0"/>
    <w:pPr>
      <w:widowControl/>
      <w:pBdr>
        <w:top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1044">
    <w:name w:val="et11"/>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sz w:val="18"/>
      <w:szCs w:val="18"/>
    </w:rPr>
  </w:style>
  <w:style w:type="paragraph" w:customStyle="1" w:styleId="1045">
    <w:name w:val="et12"/>
    <w:basedOn w:val="1"/>
    <w:qFormat/>
    <w:uiPriority w:val="0"/>
    <w:pPr>
      <w:widowControl/>
      <w:pBdr>
        <w:top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sz w:val="18"/>
      <w:szCs w:val="18"/>
    </w:rPr>
  </w:style>
  <w:style w:type="paragraph" w:customStyle="1" w:styleId="1046">
    <w:name w:val="et13"/>
    <w:basedOn w:val="1"/>
    <w:qFormat/>
    <w:uiPriority w:val="0"/>
    <w:pPr>
      <w:widowControl/>
      <w:pBdr>
        <w:left w:val="single" w:color="000000" w:sz="8" w:space="0"/>
        <w:bottom w:val="single" w:color="000000" w:sz="8" w:space="0"/>
        <w:right w:val="single" w:color="000000"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1047">
    <w:name w:val="et14"/>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textAlignment w:val="top"/>
    </w:pPr>
    <w:rPr>
      <w:sz w:val="18"/>
      <w:szCs w:val="18"/>
    </w:rPr>
  </w:style>
  <w:style w:type="paragraph" w:customStyle="1" w:styleId="1048">
    <w:name w:val="et15"/>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sz w:val="18"/>
      <w:szCs w:val="18"/>
    </w:rPr>
  </w:style>
  <w:style w:type="paragraph" w:customStyle="1" w:styleId="1049">
    <w:name w:val="Char Char Char Char Char Char Char Char Char Char Char Char Char Char Char Char Char Char Char Char Char Char Char Char1"/>
    <w:basedOn w:val="1"/>
    <w:qFormat/>
    <w:uiPriority w:val="0"/>
    <w:pPr>
      <w:widowControl/>
      <w:ind w:firstLine="0" w:firstLineChars="0"/>
      <w:jc w:val="left"/>
    </w:pPr>
    <w:rPr>
      <w:kern w:val="2"/>
      <w:sz w:val="21"/>
      <w:szCs w:val="21"/>
    </w:rPr>
  </w:style>
  <w:style w:type="paragraph" w:customStyle="1" w:styleId="1050">
    <w:name w:val="表内"/>
    <w:basedOn w:val="1"/>
    <w:qFormat/>
    <w:uiPriority w:val="1"/>
    <w:pPr>
      <w:spacing w:line="240" w:lineRule="auto"/>
      <w:ind w:firstLine="0" w:firstLineChars="0"/>
      <w:jc w:val="center"/>
    </w:pPr>
    <w:rPr>
      <w:rFonts w:eastAsia="仿宋"/>
      <w:color w:val="000000"/>
    </w:rPr>
  </w:style>
  <w:style w:type="paragraph" w:customStyle="1" w:styleId="1051">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sz w:val="18"/>
      <w:szCs w:val="18"/>
    </w:rPr>
  </w:style>
  <w:style w:type="paragraph" w:customStyle="1" w:styleId="1052">
    <w:name w:val="et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top"/>
    </w:pPr>
    <w:rPr>
      <w:sz w:val="18"/>
      <w:szCs w:val="18"/>
    </w:rPr>
  </w:style>
  <w:style w:type="paragraph" w:customStyle="1" w:styleId="1053">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sz w:val="18"/>
      <w:szCs w:val="18"/>
    </w:rPr>
  </w:style>
  <w:style w:type="paragraph" w:customStyle="1" w:styleId="1054">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1055">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top"/>
    </w:pPr>
    <w:rPr>
      <w:rFonts w:ascii="宋体" w:hAnsi="宋体" w:cs="宋体"/>
      <w:sz w:val="18"/>
      <w:szCs w:val="18"/>
    </w:rPr>
  </w:style>
  <w:style w:type="paragraph" w:customStyle="1" w:styleId="1056">
    <w:name w:val="et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sz w:val="18"/>
      <w:szCs w:val="18"/>
    </w:rPr>
  </w:style>
  <w:style w:type="paragraph" w:customStyle="1" w:styleId="1057">
    <w:name w:val="et2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line="240" w:lineRule="auto"/>
      <w:ind w:firstLine="0" w:firstLineChars="0"/>
      <w:jc w:val="center"/>
    </w:pPr>
    <w:rPr>
      <w:sz w:val="18"/>
      <w:szCs w:val="18"/>
    </w:rPr>
  </w:style>
  <w:style w:type="paragraph" w:customStyle="1" w:styleId="1058">
    <w:name w:val="et2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line="240" w:lineRule="auto"/>
      <w:ind w:firstLine="0" w:firstLineChars="0"/>
      <w:jc w:val="center"/>
    </w:pPr>
    <w:rPr>
      <w:rFonts w:ascii="宋体" w:hAnsi="宋体" w:cs="宋体"/>
      <w:sz w:val="18"/>
      <w:szCs w:val="18"/>
    </w:rPr>
  </w:style>
  <w:style w:type="paragraph" w:customStyle="1" w:styleId="1059">
    <w:name w:val="et32"/>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CE4D6"/>
      <w:spacing w:before="100" w:beforeAutospacing="1" w:after="100" w:afterAutospacing="1" w:line="240" w:lineRule="auto"/>
      <w:ind w:firstLine="0" w:firstLineChars="0"/>
      <w:jc w:val="center"/>
    </w:pPr>
    <w:rPr>
      <w:sz w:val="18"/>
      <w:szCs w:val="18"/>
    </w:rPr>
  </w:style>
  <w:style w:type="paragraph" w:customStyle="1" w:styleId="1060">
    <w:name w:val="et3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CE4D6"/>
      <w:spacing w:before="100" w:beforeAutospacing="1" w:after="100" w:afterAutospacing="1" w:line="240" w:lineRule="auto"/>
      <w:ind w:firstLine="0" w:firstLineChars="0"/>
      <w:jc w:val="center"/>
    </w:pPr>
    <w:rPr>
      <w:color w:val="000000"/>
      <w:sz w:val="18"/>
      <w:szCs w:val="18"/>
    </w:rPr>
  </w:style>
  <w:style w:type="paragraph" w:customStyle="1" w:styleId="1061">
    <w:name w:val="et3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sz w:val="18"/>
      <w:szCs w:val="18"/>
    </w:rPr>
  </w:style>
  <w:style w:type="paragraph" w:customStyle="1" w:styleId="1062">
    <w:name w:val="et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sz w:val="18"/>
      <w:szCs w:val="18"/>
    </w:rPr>
  </w:style>
  <w:style w:type="paragraph" w:customStyle="1" w:styleId="1063">
    <w:name w:val="et3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BDD7EE"/>
      <w:spacing w:before="100" w:beforeAutospacing="1" w:after="100" w:afterAutospacing="1" w:line="240" w:lineRule="auto"/>
      <w:ind w:firstLine="0" w:firstLineChars="0"/>
      <w:jc w:val="center"/>
    </w:pPr>
    <w:rPr>
      <w:color w:val="000000"/>
      <w:sz w:val="18"/>
      <w:szCs w:val="18"/>
    </w:rPr>
  </w:style>
  <w:style w:type="paragraph" w:customStyle="1" w:styleId="1064">
    <w:name w:val="et37"/>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line="240" w:lineRule="auto"/>
      <w:ind w:firstLine="0" w:firstLineChars="0"/>
      <w:jc w:val="left"/>
    </w:pPr>
    <w:rPr>
      <w:rFonts w:ascii="等线" w:hAnsi="等线" w:eastAsia="等线" w:cs="宋体"/>
      <w:color w:val="FF0000"/>
    </w:rPr>
  </w:style>
  <w:style w:type="paragraph" w:customStyle="1" w:styleId="1065">
    <w:name w:val="et3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sz w:val="18"/>
      <w:szCs w:val="18"/>
    </w:rPr>
  </w:style>
  <w:style w:type="paragraph" w:customStyle="1" w:styleId="1066">
    <w:name w:val="et4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line="240" w:lineRule="auto"/>
      <w:ind w:firstLine="0" w:firstLineChars="0"/>
      <w:jc w:val="center"/>
    </w:pPr>
    <w:rPr>
      <w:color w:val="000000"/>
      <w:sz w:val="18"/>
      <w:szCs w:val="18"/>
    </w:rPr>
  </w:style>
  <w:style w:type="paragraph" w:customStyle="1" w:styleId="1067">
    <w:name w:val="et4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line="240" w:lineRule="auto"/>
      <w:ind w:firstLine="0" w:firstLineChars="0"/>
      <w:jc w:val="center"/>
    </w:pPr>
    <w:rPr>
      <w:color w:val="000000"/>
      <w:sz w:val="18"/>
      <w:szCs w:val="18"/>
    </w:rPr>
  </w:style>
  <w:style w:type="paragraph" w:customStyle="1" w:styleId="1068">
    <w:name w:val="et4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top"/>
    </w:pPr>
    <w:rPr>
      <w:sz w:val="18"/>
      <w:szCs w:val="18"/>
    </w:rPr>
  </w:style>
  <w:style w:type="paragraph" w:customStyle="1" w:styleId="1069">
    <w:name w:val="et5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sz w:val="18"/>
      <w:szCs w:val="18"/>
    </w:rPr>
  </w:style>
  <w:style w:type="paragraph" w:customStyle="1" w:styleId="1070">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sz w:val="18"/>
      <w:szCs w:val="18"/>
    </w:rPr>
  </w:style>
  <w:style w:type="paragraph" w:customStyle="1" w:styleId="1071">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top"/>
    </w:pPr>
    <w:rPr>
      <w:rFonts w:ascii="宋体" w:hAnsi="宋体" w:cs="宋体"/>
      <w:sz w:val="18"/>
      <w:szCs w:val="18"/>
    </w:rPr>
  </w:style>
  <w:style w:type="paragraph" w:customStyle="1" w:styleId="1072">
    <w:name w:val="et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color w:val="000000"/>
      <w:sz w:val="18"/>
      <w:szCs w:val="18"/>
    </w:rPr>
  </w:style>
  <w:style w:type="paragraph" w:customStyle="1" w:styleId="1073">
    <w:name w:val="et30"/>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line="240" w:lineRule="auto"/>
      <w:ind w:firstLine="0" w:firstLineChars="0"/>
      <w:jc w:val="center"/>
    </w:pPr>
    <w:rPr>
      <w:sz w:val="18"/>
      <w:szCs w:val="18"/>
    </w:rPr>
  </w:style>
  <w:style w:type="paragraph" w:customStyle="1" w:styleId="1074">
    <w:name w:val="et4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2CC"/>
      <w:spacing w:before="100" w:beforeAutospacing="1" w:after="100" w:afterAutospacing="1" w:line="240" w:lineRule="auto"/>
      <w:ind w:firstLine="0" w:firstLineChars="0"/>
      <w:jc w:val="center"/>
    </w:pPr>
    <w:rPr>
      <w:color w:val="000000"/>
      <w:sz w:val="18"/>
      <w:szCs w:val="18"/>
    </w:rPr>
  </w:style>
  <w:style w:type="paragraph" w:customStyle="1" w:styleId="1075">
    <w:name w:val="et4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BDD7EE"/>
      <w:spacing w:before="100" w:beforeAutospacing="1" w:after="100" w:afterAutospacing="1" w:line="240" w:lineRule="auto"/>
      <w:ind w:firstLine="0" w:firstLineChars="0"/>
      <w:jc w:val="center"/>
    </w:pPr>
    <w:rPr>
      <w:color w:val="000000"/>
      <w:sz w:val="18"/>
      <w:szCs w:val="18"/>
    </w:rPr>
  </w:style>
  <w:style w:type="paragraph" w:customStyle="1" w:styleId="1076">
    <w:name w:val="et5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textAlignment w:val="top"/>
    </w:pPr>
    <w:rPr>
      <w:sz w:val="18"/>
      <w:szCs w:val="18"/>
    </w:rPr>
  </w:style>
  <w:style w:type="paragraph" w:customStyle="1" w:styleId="1077">
    <w:name w:val="et5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sz w:val="18"/>
      <w:szCs w:val="18"/>
    </w:rPr>
  </w:style>
  <w:style w:type="paragraph" w:customStyle="1" w:styleId="1078">
    <w:name w:val="et21"/>
    <w:basedOn w:val="1"/>
    <w:qFormat/>
    <w:uiPriority w:val="0"/>
    <w:pPr>
      <w:widowControl/>
      <w:pBdr>
        <w:bottom w:val="single" w:color="000000" w:sz="8" w:space="0"/>
        <w:right w:val="single" w:color="000000" w:sz="8" w:space="0"/>
      </w:pBdr>
      <w:spacing w:before="100" w:beforeAutospacing="1" w:after="100" w:afterAutospacing="1" w:line="240" w:lineRule="auto"/>
      <w:ind w:firstLine="0" w:firstLineChars="0"/>
      <w:jc w:val="center"/>
    </w:pPr>
    <w:rPr>
      <w:sz w:val="18"/>
      <w:szCs w:val="18"/>
    </w:rPr>
  </w:style>
  <w:style w:type="character" w:customStyle="1" w:styleId="1079">
    <w:name w:val="A2 Char"/>
    <w:link w:val="822"/>
    <w:qFormat/>
    <w:uiPriority w:val="0"/>
    <w:rPr>
      <w:rFonts w:ascii="Times New Roman" w:hAnsi="Times New Roman" w:eastAsia="黑体" w:cs="Times New Roman"/>
      <w:b/>
      <w:color w:val="000000"/>
      <w:sz w:val="28"/>
      <w:szCs w:val="30"/>
    </w:rPr>
  </w:style>
  <w:style w:type="paragraph" w:customStyle="1" w:styleId="1080">
    <w:name w:val="3表格正文"/>
    <w:basedOn w:val="1"/>
    <w:qFormat/>
    <w:uiPriority w:val="0"/>
    <w:pPr>
      <w:spacing w:line="240" w:lineRule="auto"/>
      <w:ind w:firstLine="0" w:firstLineChars="0"/>
      <w:jc w:val="center"/>
    </w:pPr>
    <w:rPr>
      <w:rFonts w:cs="宋体"/>
      <w:bCs/>
      <w:kern w:val="2"/>
      <w:sz w:val="21"/>
      <w:szCs w:val="21"/>
    </w:rPr>
  </w:style>
  <w:style w:type="paragraph" w:customStyle="1" w:styleId="1081">
    <w:name w:val="03表格正文"/>
    <w:basedOn w:val="1"/>
    <w:qFormat/>
    <w:uiPriority w:val="0"/>
    <w:pPr>
      <w:adjustRightInd w:val="0"/>
      <w:snapToGrid w:val="0"/>
      <w:spacing w:line="240" w:lineRule="auto"/>
      <w:ind w:firstLine="0" w:firstLineChars="0"/>
      <w:jc w:val="center"/>
    </w:pPr>
    <w:rPr>
      <w:rFonts w:cs="宋体"/>
      <w:kern w:val="2"/>
      <w:sz w:val="21"/>
      <w:szCs w:val="21"/>
    </w:rPr>
  </w:style>
  <w:style w:type="table" w:customStyle="1" w:styleId="1082">
    <w:name w:val="Table Normal2"/>
    <w:qFormat/>
    <w:uiPriority w:val="2"/>
    <w:pPr>
      <w:widowControl w:val="0"/>
    </w:pPr>
    <w:rPr>
      <w:sz w:val="22"/>
      <w:lang w:eastAsia="en-US"/>
    </w:rPr>
    <w:tblPr>
      <w:tblCellMar>
        <w:top w:w="0" w:type="dxa"/>
        <w:left w:w="0" w:type="dxa"/>
        <w:bottom w:w="0" w:type="dxa"/>
        <w:right w:w="0" w:type="dxa"/>
      </w:tblCellMar>
    </w:tblPr>
  </w:style>
  <w:style w:type="table" w:customStyle="1" w:styleId="1083">
    <w:name w:val="Table Normal3"/>
    <w:qFormat/>
    <w:uiPriority w:val="2"/>
    <w:pPr>
      <w:widowControl w:val="0"/>
    </w:pPr>
    <w:rPr>
      <w:sz w:val="22"/>
      <w:lang w:eastAsia="en-US"/>
    </w:rPr>
    <w:tblPr>
      <w:tblCellMar>
        <w:top w:w="0" w:type="dxa"/>
        <w:left w:w="0" w:type="dxa"/>
        <w:bottom w:w="0" w:type="dxa"/>
        <w:right w:w="0" w:type="dxa"/>
      </w:tblCellMar>
    </w:tblPr>
  </w:style>
  <w:style w:type="character" w:customStyle="1" w:styleId="1084">
    <w:name w:val="！图名 字符"/>
    <w:link w:val="1085"/>
    <w:qFormat/>
    <w:uiPriority w:val="0"/>
    <w:rPr>
      <w:rFonts w:ascii="黑体" w:hAnsi="宋体" w:eastAsia="黑体" w:cs="宋体"/>
      <w:color w:val="000000"/>
      <w:sz w:val="24"/>
      <w:szCs w:val="24"/>
    </w:rPr>
  </w:style>
  <w:style w:type="paragraph" w:customStyle="1" w:styleId="1085">
    <w:name w:val="！图名"/>
    <w:basedOn w:val="1"/>
    <w:link w:val="1084"/>
    <w:qFormat/>
    <w:uiPriority w:val="0"/>
    <w:pPr>
      <w:widowControl/>
      <w:adjustRightInd w:val="0"/>
      <w:snapToGrid w:val="0"/>
      <w:ind w:firstLine="200"/>
      <w:jc w:val="center"/>
    </w:pPr>
    <w:rPr>
      <w:rFonts w:ascii="黑体" w:hAnsi="宋体" w:eastAsia="黑体" w:cs="宋体"/>
      <w:color w:val="000000"/>
      <w:kern w:val="2"/>
    </w:rPr>
  </w:style>
  <w:style w:type="paragraph" w:customStyle="1" w:styleId="1086">
    <w:name w:val="！！表中文字"/>
    <w:next w:val="1"/>
    <w:link w:val="1087"/>
    <w:qFormat/>
    <w:uiPriority w:val="0"/>
    <w:pPr>
      <w:jc w:val="center"/>
    </w:pPr>
    <w:rPr>
      <w:rFonts w:ascii="Times New Roman" w:hAnsi="Times New Roman" w:eastAsia="宋体" w:cs="宋体"/>
      <w:color w:val="000000"/>
      <w:kern w:val="2"/>
      <w:sz w:val="21"/>
      <w:szCs w:val="24"/>
      <w:lang w:val="en-US" w:eastAsia="zh-CN" w:bidi="ar-SA"/>
    </w:rPr>
  </w:style>
  <w:style w:type="character" w:customStyle="1" w:styleId="1087">
    <w:name w:val="！！表中文字 字符"/>
    <w:basedOn w:val="71"/>
    <w:link w:val="1086"/>
    <w:qFormat/>
    <w:uiPriority w:val="0"/>
    <w:rPr>
      <w:rFonts w:ascii="Times New Roman" w:hAnsi="Times New Roman" w:eastAsia="宋体"/>
      <w:color w:val="000000"/>
      <w:szCs w:val="24"/>
    </w:rPr>
  </w:style>
  <w:style w:type="paragraph" w:customStyle="1" w:styleId="1088">
    <w:name w:val="表3"/>
    <w:basedOn w:val="1"/>
    <w:next w:val="1"/>
    <w:qFormat/>
    <w:uiPriority w:val="0"/>
    <w:pPr>
      <w:adjustRightInd w:val="0"/>
      <w:spacing w:before="120"/>
      <w:jc w:val="center"/>
      <w:textAlignment w:val="baseline"/>
    </w:pPr>
    <w:rPr>
      <w:sz w:val="21"/>
    </w:rPr>
  </w:style>
  <w:style w:type="table" w:customStyle="1" w:styleId="1089">
    <w:name w:val="网格型19"/>
    <w:basedOn w:val="6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90">
    <w:name w:val="页眉 Char1"/>
    <w:basedOn w:val="71"/>
    <w:qFormat/>
    <w:uiPriority w:val="99"/>
    <w:rPr>
      <w:rFonts w:ascii="Times New Roman" w:hAnsi="Times New Roman" w:eastAsia="宋体" w:cs="Times New Roman"/>
      <w:sz w:val="18"/>
      <w:szCs w:val="18"/>
    </w:rPr>
  </w:style>
  <w:style w:type="character" w:customStyle="1" w:styleId="1091">
    <w:name w:val="日期 字符1"/>
    <w:basedOn w:val="71"/>
    <w:qFormat/>
    <w:uiPriority w:val="0"/>
    <w:rPr>
      <w:rFonts w:ascii="Times New Roman" w:hAnsi="Times New Roman" w:eastAsia="宋体"/>
      <w:kern w:val="2"/>
      <w:sz w:val="24"/>
      <w:szCs w:val="24"/>
    </w:rPr>
  </w:style>
  <w:style w:type="character" w:customStyle="1" w:styleId="1092">
    <w:name w:val="日期 字符2"/>
    <w:basedOn w:val="71"/>
    <w:qFormat/>
    <w:uiPriority w:val="0"/>
    <w:rPr>
      <w:rFonts w:ascii="Times New Roman" w:hAnsi="Times New Roman" w:eastAsia="宋体"/>
      <w:kern w:val="2"/>
      <w:sz w:val="24"/>
      <w:szCs w:val="24"/>
    </w:rPr>
  </w:style>
  <w:style w:type="character" w:customStyle="1" w:styleId="1093">
    <w:name w:val="未处理的提及2"/>
    <w:basedOn w:val="71"/>
    <w:qFormat/>
    <w:uiPriority w:val="99"/>
    <w:rPr>
      <w:color w:val="605E5C"/>
      <w:shd w:val="clear" w:color="auto" w:fill="E1DFDD"/>
    </w:rPr>
  </w:style>
  <w:style w:type="table" w:customStyle="1" w:styleId="1094">
    <w:name w:val="环评模板1"/>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5">
    <w:name w:val="环评模板2"/>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6">
    <w:name w:val="环评模板3"/>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7">
    <w:name w:val="环评模板4"/>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8">
    <w:name w:val="环评模板5"/>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9">
    <w:name w:val="环评模板6"/>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0">
    <w:name w:val="环评模板7"/>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1">
    <w:name w:val="环评模板8"/>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
    <w:name w:val="环评模板9"/>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3">
    <w:name w:val="环评模板10"/>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4">
    <w:name w:val="环评模板11"/>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5">
    <w:name w:val="环评模板12"/>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6">
    <w:name w:val="环评模板13"/>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7">
    <w:name w:val="环评模板14"/>
    <w:basedOn w:val="6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8">
    <w:name w:val="B表11"/>
    <w:basedOn w:val="67"/>
    <w:qFormat/>
    <w:uiPriority w:val="0"/>
    <w:pPr>
      <w:widowControl w:val="0"/>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cPr>
      <w:vAlign w:val="center"/>
    </w:tcPr>
  </w:style>
  <w:style w:type="table" w:customStyle="1" w:styleId="1109">
    <w:name w:val="B表1"/>
    <w:basedOn w:val="67"/>
    <w:qFormat/>
    <w:uiPriority w:val="0"/>
    <w:pPr>
      <w:widowControl w:val="0"/>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cPr>
      <w:vAlign w:val="center"/>
    </w:tcPr>
  </w:style>
  <w:style w:type="paragraph" w:customStyle="1" w:styleId="1110">
    <w:name w:val="正文LTT"/>
    <w:basedOn w:val="1"/>
    <w:link w:val="1111"/>
    <w:qFormat/>
    <w:uiPriority w:val="0"/>
    <w:pPr>
      <w:ind w:firstLine="440"/>
    </w:pPr>
    <w:rPr>
      <w:rFonts w:ascii="Calibri" w:hAnsi="Calibri"/>
      <w:kern w:val="2"/>
      <w:sz w:val="21"/>
    </w:rPr>
  </w:style>
  <w:style w:type="character" w:customStyle="1" w:styleId="1111">
    <w:name w:val="正文LTT Char"/>
    <w:link w:val="1110"/>
    <w:qFormat/>
    <w:uiPriority w:val="0"/>
    <w:rPr>
      <w:rFonts w:ascii="Calibri" w:hAnsi="Calibri" w:eastAsia="宋体" w:cs="Times New Roman"/>
      <w:szCs w:val="24"/>
    </w:rPr>
  </w:style>
  <w:style w:type="paragraph" w:customStyle="1" w:styleId="1112">
    <w:name w:val="表格标题LTT"/>
    <w:basedOn w:val="1"/>
    <w:next w:val="1110"/>
    <w:link w:val="1113"/>
    <w:qFormat/>
    <w:uiPriority w:val="0"/>
    <w:pPr>
      <w:spacing w:before="120" w:line="240" w:lineRule="auto"/>
      <w:ind w:firstLine="0" w:firstLineChars="0"/>
      <w:jc w:val="center"/>
    </w:pPr>
    <w:rPr>
      <w:rFonts w:ascii="Calibri" w:hAnsi="Calibri"/>
      <w:b/>
      <w:kern w:val="2"/>
      <w:sz w:val="21"/>
    </w:rPr>
  </w:style>
  <w:style w:type="character" w:customStyle="1" w:styleId="1113">
    <w:name w:val="表格标题LTT Char"/>
    <w:link w:val="1112"/>
    <w:qFormat/>
    <w:uiPriority w:val="0"/>
    <w:rPr>
      <w:rFonts w:ascii="Calibri" w:hAnsi="Calibri" w:eastAsia="宋体" w:cs="Times New Roman"/>
      <w:b/>
      <w:szCs w:val="24"/>
    </w:rPr>
  </w:style>
  <w:style w:type="paragraph" w:customStyle="1" w:styleId="1114">
    <w:name w:val="预测表格"/>
    <w:basedOn w:val="1"/>
    <w:qFormat/>
    <w:uiPriority w:val="0"/>
    <w:pPr>
      <w:spacing w:line="240" w:lineRule="auto"/>
      <w:ind w:left="-15" w:leftChars="-15" w:right="-15" w:rightChars="-15" w:firstLine="0" w:firstLineChars="0"/>
      <w:jc w:val="center"/>
    </w:pPr>
    <w:rPr>
      <w:rFonts w:ascii="Calibri" w:hAnsi="宋体"/>
      <w:spacing w:val="-5"/>
      <w:kern w:val="2"/>
      <w:sz w:val="18"/>
      <w:szCs w:val="18"/>
    </w:rPr>
  </w:style>
  <w:style w:type="paragraph" w:customStyle="1" w:styleId="1115">
    <w:name w:val="表2"/>
    <w:basedOn w:val="1"/>
    <w:next w:val="1"/>
    <w:qFormat/>
    <w:uiPriority w:val="0"/>
    <w:pPr>
      <w:adjustRightInd w:val="0"/>
      <w:spacing w:before="120"/>
      <w:jc w:val="center"/>
      <w:textAlignment w:val="baseline"/>
    </w:pPr>
    <w:rPr>
      <w:sz w:val="21"/>
    </w:rPr>
  </w:style>
  <w:style w:type="paragraph" w:customStyle="1" w:styleId="1116">
    <w:name w:val="可研正文"/>
    <w:basedOn w:val="1"/>
    <w:qFormat/>
    <w:uiPriority w:val="0"/>
    <w:pPr>
      <w:adjustRightInd w:val="0"/>
      <w:snapToGrid w:val="0"/>
      <w:spacing w:line="440" w:lineRule="exact"/>
      <w:ind w:firstLine="200"/>
    </w:pPr>
    <w:rPr>
      <w:rFonts w:ascii="宋体" w:hAnsi="Arial" w:cs="宋体"/>
      <w:kern w:val="2"/>
    </w:rPr>
  </w:style>
  <w:style w:type="paragraph" w:customStyle="1" w:styleId="1117">
    <w:name w:val="标题4 YHY"/>
    <w:basedOn w:val="5"/>
    <w:next w:val="1"/>
    <w:qFormat/>
    <w:uiPriority w:val="99"/>
    <w:pPr>
      <w:keepNext w:val="0"/>
      <w:keepLines w:val="0"/>
      <w:numPr>
        <w:ilvl w:val="0"/>
        <w:numId w:val="9"/>
      </w:numPr>
      <w:overflowPunct/>
      <w:autoSpaceDE/>
      <w:autoSpaceDN/>
      <w:adjustRightInd/>
      <w:spacing w:beforeLines="50" w:afterLines="50"/>
      <w:ind w:left="0" w:firstLine="0"/>
      <w:jc w:val="both"/>
      <w:textAlignment w:val="auto"/>
    </w:pPr>
    <w:rPr>
      <w:b w:val="0"/>
      <w:color w:val="000000"/>
      <w:spacing w:val="0"/>
      <w:kern w:val="2"/>
    </w:rPr>
  </w:style>
  <w:style w:type="paragraph" w:customStyle="1" w:styleId="1118">
    <w:name w:val="2 Char Char Char Char Char Char Char Char Char Char Char Char Char Char Char Char"/>
    <w:basedOn w:val="1"/>
    <w:qFormat/>
    <w:uiPriority w:val="0"/>
    <w:pPr>
      <w:ind w:firstLine="200"/>
    </w:pPr>
    <w:rPr>
      <w:kern w:val="2"/>
      <w:sz w:val="21"/>
    </w:rPr>
  </w:style>
  <w:style w:type="paragraph" w:customStyle="1" w:styleId="1119">
    <w:name w:val="样式 正文缩进s4标题4表正文正文非缩进图标题段1Body Text(ch)缩进ALT+Z特点四号正文不...3"/>
    <w:basedOn w:val="15"/>
    <w:qFormat/>
    <w:uiPriority w:val="0"/>
    <w:pPr>
      <w:widowControl w:val="0"/>
      <w:spacing w:after="0"/>
      <w:ind w:firstLine="200"/>
      <w:jc w:val="both"/>
    </w:pPr>
    <w:rPr>
      <w:rFonts w:ascii="宋体" w:eastAsia="仿宋_GB2312" w:cs="宋体"/>
      <w:kern w:val="2"/>
      <w:szCs w:val="24"/>
      <w:lang w:eastAsia="zh-CN" w:bidi="ar-SA"/>
    </w:rPr>
  </w:style>
  <w:style w:type="character" w:customStyle="1" w:styleId="1120">
    <w:name w:val="B图表标题 Char"/>
    <w:link w:val="118"/>
    <w:qFormat/>
    <w:uiPriority w:val="0"/>
    <w:rPr>
      <w:rFonts w:ascii="Times New Roman" w:hAnsi="Times New Roman" w:eastAsia="宋体" w:cs="Times New Roman"/>
      <w:b/>
      <w:color w:val="000000"/>
      <w:kern w:val="0"/>
      <w:sz w:val="24"/>
      <w:szCs w:val="28"/>
    </w:rPr>
  </w:style>
  <w:style w:type="paragraph" w:customStyle="1" w:styleId="1121">
    <w:name w:val="5级正文"/>
    <w:basedOn w:val="1"/>
    <w:next w:val="15"/>
    <w:qFormat/>
    <w:uiPriority w:val="0"/>
    <w:pPr>
      <w:numPr>
        <w:ilvl w:val="0"/>
        <w:numId w:val="10"/>
      </w:numPr>
      <w:tabs>
        <w:tab w:val="clear" w:pos="426"/>
      </w:tabs>
      <w:ind w:left="0" w:firstLine="200"/>
      <w:outlineLvl w:val="4"/>
    </w:pPr>
    <w:rPr>
      <w:b/>
      <w:kern w:val="2"/>
    </w:rPr>
  </w:style>
  <w:style w:type="table" w:customStyle="1" w:styleId="1122">
    <w:name w:val="aixin"/>
    <w:basedOn w:val="67"/>
    <w:qFormat/>
    <w:uiPriority w:val="99"/>
    <w:pPr>
      <w:spacing w:line="300" w:lineRule="exact"/>
      <w:jc w:val="center"/>
    </w:pPr>
    <w:tblPr>
      <w:tblBorders>
        <w:top w:val="single" w:color="auto" w:sz="12" w:space="0"/>
        <w:bottom w:val="single" w:color="auto" w:sz="12" w:space="0"/>
        <w:insideH w:val="single" w:color="auto" w:sz="4" w:space="0"/>
        <w:insideV w:val="single" w:color="auto" w:sz="4" w:space="0"/>
      </w:tblBorders>
      <w:tblCellMar>
        <w:left w:w="57" w:type="dxa"/>
        <w:right w:w="57" w:type="dxa"/>
      </w:tblCellMar>
    </w:tblPr>
    <w:tcPr>
      <w:vAlign w:val="center"/>
    </w:tcPr>
  </w:style>
  <w:style w:type="character" w:customStyle="1" w:styleId="1123">
    <w:name w:val="标题 7 Char"/>
    <w:qFormat/>
    <w:uiPriority w:val="0"/>
    <w:rPr>
      <w:rFonts w:ascii="Times New Roman" w:hAnsi="Times New Roman"/>
      <w:b/>
      <w:bCs/>
      <w:kern w:val="2"/>
      <w:sz w:val="24"/>
      <w:szCs w:val="24"/>
    </w:rPr>
  </w:style>
  <w:style w:type="paragraph" w:customStyle="1" w:styleId="1124">
    <w:name w:val="任表格文字"/>
    <w:next w:val="1"/>
    <w:qFormat/>
    <w:uiPriority w:val="0"/>
    <w:pPr>
      <w:tabs>
        <w:tab w:val="left" w:pos="1119"/>
      </w:tabs>
      <w:spacing w:line="360" w:lineRule="exact"/>
      <w:jc w:val="center"/>
    </w:pPr>
    <w:rPr>
      <w:rFonts w:ascii="Times New Roman" w:hAnsi="Times New Roman" w:eastAsia="宋体" w:cs="Times New Roman"/>
      <w:snapToGrid w:val="0"/>
      <w:color w:val="000000"/>
      <w:sz w:val="21"/>
      <w:szCs w:val="18"/>
      <w:lang w:val="en-US" w:eastAsia="zh-CN" w:bidi="ar-SA"/>
    </w:rPr>
  </w:style>
  <w:style w:type="character" w:customStyle="1" w:styleId="1125">
    <w:name w:val="副标题 字符"/>
    <w:basedOn w:val="71"/>
    <w:link w:val="47"/>
    <w:qFormat/>
    <w:uiPriority w:val="11"/>
    <w:rPr>
      <w:rFonts w:ascii="Cambria" w:hAnsi="Cambria" w:eastAsia="宋体" w:cs="宋体"/>
      <w:color w:val="595959"/>
      <w:spacing w:val="15"/>
      <w:kern w:val="2"/>
      <w:sz w:val="28"/>
      <w:szCs w:val="28"/>
    </w:rPr>
  </w:style>
  <w:style w:type="character" w:customStyle="1" w:styleId="1126">
    <w:name w:val="明显强调1"/>
    <w:basedOn w:val="71"/>
    <w:qFormat/>
    <w:uiPriority w:val="21"/>
    <w:rPr>
      <w:i/>
      <w:iCs/>
      <w:color w:val="365F91"/>
    </w:rPr>
  </w:style>
  <w:style w:type="paragraph" w:styleId="1127">
    <w:name w:val="Intense Quote"/>
    <w:basedOn w:val="1"/>
    <w:next w:val="1"/>
    <w:link w:val="1128"/>
    <w:qFormat/>
    <w:uiPriority w:val="30"/>
    <w:pPr>
      <w:pBdr>
        <w:top w:val="single" w:color="365F91" w:sz="4" w:space="10"/>
        <w:bottom w:val="single" w:color="365F91" w:sz="4" w:space="10"/>
      </w:pBdr>
      <w:spacing w:before="360" w:after="360" w:line="240" w:lineRule="auto"/>
      <w:ind w:left="864" w:right="864" w:firstLine="0" w:firstLineChars="0"/>
      <w:jc w:val="center"/>
    </w:pPr>
    <w:rPr>
      <w:rFonts w:cs="宋体"/>
      <w:i/>
      <w:iCs/>
      <w:color w:val="365F91"/>
      <w:kern w:val="2"/>
      <w:szCs w:val="22"/>
    </w:rPr>
  </w:style>
  <w:style w:type="character" w:customStyle="1" w:styleId="1128">
    <w:name w:val="明显引用 字符"/>
    <w:basedOn w:val="71"/>
    <w:link w:val="1127"/>
    <w:qFormat/>
    <w:uiPriority w:val="30"/>
    <w:rPr>
      <w:rFonts w:ascii="Times New Roman" w:hAnsi="Times New Roman" w:eastAsia="宋体"/>
      <w:i/>
      <w:iCs/>
      <w:color w:val="365F91"/>
      <w:kern w:val="2"/>
      <w:sz w:val="24"/>
      <w:szCs w:val="22"/>
    </w:rPr>
  </w:style>
  <w:style w:type="character" w:customStyle="1" w:styleId="1129">
    <w:name w:val="明显参考1"/>
    <w:basedOn w:val="71"/>
    <w:qFormat/>
    <w:uiPriority w:val="32"/>
    <w:rPr>
      <w:b/>
      <w:bCs/>
      <w:smallCaps/>
      <w:color w:val="365F91"/>
      <w:spacing w:val="5"/>
    </w:rPr>
  </w:style>
  <w:style w:type="paragraph" w:customStyle="1" w:styleId="1130">
    <w:name w:val="修订2"/>
    <w:qFormat/>
    <w:uiPriority w:val="99"/>
    <w:rPr>
      <w:rFonts w:ascii="Calibri" w:hAnsi="Calibri" w:eastAsia="宋体" w:cs="Times New Roman"/>
      <w:sz w:val="21"/>
      <w:szCs w:val="24"/>
      <w:lang w:val="en-US" w:eastAsia="zh-CN" w:bidi="ar-SA"/>
    </w:rPr>
  </w:style>
  <w:style w:type="paragraph" w:customStyle="1" w:styleId="1131">
    <w:name w:val="TOC 标题3"/>
    <w:basedOn w:val="2"/>
    <w:next w:val="1"/>
    <w:qFormat/>
    <w:uiPriority w:val="0"/>
    <w:pPr>
      <w:keepNext w:val="0"/>
      <w:keepLines w:val="0"/>
      <w:pageBreakBefore/>
      <w:widowControl/>
      <w:numPr>
        <w:numId w:val="0"/>
      </w:numPr>
      <w:overflowPunct w:val="0"/>
      <w:snapToGrid w:val="0"/>
      <w:spacing w:before="480" w:line="276" w:lineRule="auto"/>
      <w:ind w:hanging="200" w:hangingChars="200"/>
      <w:jc w:val="left"/>
      <w:outlineLvl w:val="9"/>
    </w:pPr>
    <w:rPr>
      <w:rFonts w:ascii="Cambria" w:hAnsi="Cambria" w:eastAsia="黑体"/>
      <w:bCs w:val="0"/>
      <w:color w:val="365F91"/>
      <w:kern w:val="0"/>
      <w:sz w:val="28"/>
      <w:szCs w:val="28"/>
      <w:lang w:val="zh-CN"/>
    </w:rPr>
  </w:style>
  <w:style w:type="table" w:customStyle="1" w:styleId="1132">
    <w:name w:val="表格主题2"/>
    <w:basedOn w:val="67"/>
    <w:qFormat/>
    <w:uiPriority w:val="99"/>
    <w:pPr>
      <w:widowControl w:val="0"/>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style>
  <w:style w:type="character" w:customStyle="1" w:styleId="1133">
    <w:name w:val="未处理的提及3"/>
    <w:basedOn w:val="71"/>
    <w:qFormat/>
    <w:uiPriority w:val="99"/>
    <w:rPr>
      <w:color w:val="605E5C"/>
      <w:shd w:val="clear" w:color="auto" w:fill="E1DFDD"/>
    </w:rPr>
  </w:style>
  <w:style w:type="character" w:customStyle="1" w:styleId="1134">
    <w:name w:val="表格名称 Char"/>
    <w:basedOn w:val="71"/>
    <w:qFormat/>
    <w:uiPriority w:val="0"/>
    <w:rPr>
      <w:rFonts w:ascii="宋体" w:eastAsia="宋体"/>
      <w:kern w:val="2"/>
      <w:sz w:val="28"/>
      <w:szCs w:val="28"/>
      <w:lang w:val="en-US" w:eastAsia="zh-CN" w:bidi="ar-SA"/>
    </w:rPr>
  </w:style>
  <w:style w:type="character" w:customStyle="1" w:styleId="1135">
    <w:name w:val="样式 (符号) 宋体 小四 行距: 固定值 26 磅 Char Char Char Char"/>
    <w:basedOn w:val="71"/>
    <w:link w:val="1136"/>
    <w:qFormat/>
    <w:uiPriority w:val="0"/>
    <w:rPr>
      <w:rFonts w:ascii="宋体" w:hAnsi="宋体"/>
      <w:color w:val="000000"/>
      <w:sz w:val="28"/>
      <w:szCs w:val="28"/>
    </w:rPr>
  </w:style>
  <w:style w:type="paragraph" w:customStyle="1" w:styleId="1136">
    <w:name w:val="样式 (符号) 宋体 小四 行距: 固定值 26 磅 Char Char"/>
    <w:basedOn w:val="1"/>
    <w:link w:val="1135"/>
    <w:qFormat/>
    <w:uiPriority w:val="0"/>
    <w:pPr>
      <w:widowControl/>
      <w:ind w:firstLine="480"/>
      <w:jc w:val="left"/>
    </w:pPr>
    <w:rPr>
      <w:rFonts w:ascii="宋体" w:hAnsi="宋体" w:cs="宋体"/>
      <w:color w:val="000000"/>
      <w:sz w:val="28"/>
      <w:szCs w:val="28"/>
    </w:rPr>
  </w:style>
  <w:style w:type="paragraph" w:customStyle="1" w:styleId="1137">
    <w:name w:val="标题41"/>
    <w:next w:val="1"/>
    <w:link w:val="1138"/>
    <w:qFormat/>
    <w:uiPriority w:val="0"/>
    <w:pPr>
      <w:spacing w:line="500" w:lineRule="exact"/>
    </w:pPr>
    <w:rPr>
      <w:rFonts w:ascii="宋体" w:hAnsi="Times New Roman" w:eastAsia="宋体" w:cs="Times New Roman"/>
      <w:b/>
      <w:bCs/>
      <w:sz w:val="24"/>
      <w:szCs w:val="32"/>
      <w:lang w:val="en-US" w:eastAsia="zh-CN" w:bidi="ar-SA"/>
    </w:rPr>
  </w:style>
  <w:style w:type="character" w:customStyle="1" w:styleId="1138">
    <w:name w:val="标题41 Char"/>
    <w:link w:val="1137"/>
    <w:qFormat/>
    <w:uiPriority w:val="0"/>
    <w:rPr>
      <w:rFonts w:ascii="宋体" w:hAnsi="Times New Roman" w:eastAsia="宋体" w:cs="Times New Roman"/>
      <w:b/>
      <w:bCs/>
      <w:sz w:val="24"/>
      <w:szCs w:val="32"/>
    </w:rPr>
  </w:style>
  <w:style w:type="character" w:customStyle="1" w:styleId="1139">
    <w:name w:val="Char Char191"/>
    <w:qFormat/>
    <w:uiPriority w:val="0"/>
    <w:rPr>
      <w:rFonts w:ascii="Arial" w:hAnsi="Arial" w:eastAsia="黑体"/>
      <w:bCs/>
      <w:kern w:val="2"/>
      <w:sz w:val="24"/>
      <w:szCs w:val="24"/>
      <w:lang w:val="en-US" w:eastAsia="zh-CN" w:bidi="ar-SA"/>
    </w:rPr>
  </w:style>
  <w:style w:type="paragraph" w:customStyle="1" w:styleId="1140">
    <w:name w:val="小四号顶格"/>
    <w:basedOn w:val="1"/>
    <w:qFormat/>
    <w:uiPriority w:val="99"/>
    <w:pPr>
      <w:adjustRightInd w:val="0"/>
      <w:snapToGrid w:val="0"/>
      <w:spacing w:line="440" w:lineRule="atLeast"/>
      <w:ind w:firstLine="200"/>
    </w:pPr>
    <w:rPr>
      <w:rFonts w:ascii="宋体"/>
      <w:snapToGrid w:val="0"/>
      <w:spacing w:val="6"/>
    </w:rPr>
  </w:style>
  <w:style w:type="paragraph" w:customStyle="1" w:styleId="1141">
    <w:name w:val="五级标题"/>
    <w:basedOn w:val="965"/>
    <w:link w:val="1142"/>
    <w:qFormat/>
    <w:uiPriority w:val="99"/>
    <w:pPr>
      <w:overflowPunct w:val="0"/>
      <w:outlineLvl w:val="4"/>
    </w:pPr>
  </w:style>
  <w:style w:type="character" w:customStyle="1" w:styleId="1142">
    <w:name w:val="五级标题 字符"/>
    <w:basedOn w:val="966"/>
    <w:link w:val="1141"/>
    <w:qFormat/>
    <w:uiPriority w:val="99"/>
    <w:rPr>
      <w:rFonts w:ascii="黑体" w:hAnsi="黑体" w:eastAsia="黑体" w:cs="Times New Roman"/>
      <w:kern w:val="2"/>
      <w:sz w:val="24"/>
      <w:szCs w:val="20"/>
      <w:lang w:val="zh-CN"/>
    </w:rPr>
  </w:style>
  <w:style w:type="character" w:customStyle="1" w:styleId="1143">
    <w:name w:val="font171"/>
    <w:basedOn w:val="71"/>
    <w:qFormat/>
    <w:uiPriority w:val="0"/>
    <w:rPr>
      <w:rFonts w:hint="eastAsia" w:ascii="宋体" w:hAnsi="宋体" w:eastAsia="宋体" w:cs="宋体"/>
      <w:b/>
      <w:bCs/>
      <w:color w:val="000000"/>
      <w:sz w:val="22"/>
      <w:szCs w:val="22"/>
      <w:u w:val="none"/>
    </w:rPr>
  </w:style>
  <w:style w:type="character" w:customStyle="1" w:styleId="1144">
    <w:name w:val="font212"/>
    <w:basedOn w:val="71"/>
    <w:qFormat/>
    <w:uiPriority w:val="0"/>
    <w:rPr>
      <w:rFonts w:hint="default" w:ascii="Times New Roman" w:hAnsi="Times New Roman" w:cs="Times New Roman"/>
      <w:color w:val="000000"/>
      <w:sz w:val="20"/>
      <w:szCs w:val="20"/>
      <w:u w:val="none"/>
      <w:vertAlign w:val="superscript"/>
    </w:rPr>
  </w:style>
  <w:style w:type="character" w:customStyle="1" w:styleId="1145">
    <w:name w:val="font221"/>
    <w:basedOn w:val="71"/>
    <w:qFormat/>
    <w:uiPriority w:val="0"/>
    <w:rPr>
      <w:rFonts w:hint="eastAsia" w:ascii="宋体" w:hAnsi="宋体" w:eastAsia="宋体" w:cs="宋体"/>
      <w:b/>
      <w:bCs/>
      <w:color w:val="000000"/>
      <w:sz w:val="20"/>
      <w:szCs w:val="20"/>
      <w:u w:val="none"/>
    </w:rPr>
  </w:style>
  <w:style w:type="character" w:customStyle="1" w:styleId="1146">
    <w:name w:val="font181"/>
    <w:basedOn w:val="71"/>
    <w:qFormat/>
    <w:uiPriority w:val="0"/>
    <w:rPr>
      <w:rFonts w:hint="eastAsia" w:ascii="宋体" w:hAnsi="宋体" w:eastAsia="宋体" w:cs="宋体"/>
      <w:color w:val="000000"/>
      <w:sz w:val="22"/>
      <w:szCs w:val="22"/>
      <w:u w:val="none"/>
    </w:rPr>
  </w:style>
  <w:style w:type="character" w:customStyle="1" w:styleId="1147">
    <w:name w:val="font231"/>
    <w:basedOn w:val="71"/>
    <w:qFormat/>
    <w:uiPriority w:val="0"/>
    <w:rPr>
      <w:rFonts w:ascii="Calibri" w:hAnsi="Calibri" w:cs="Calibri"/>
      <w:color w:val="000000"/>
      <w:sz w:val="21"/>
      <w:szCs w:val="21"/>
      <w:u w:val="none"/>
    </w:rPr>
  </w:style>
  <w:style w:type="character" w:customStyle="1" w:styleId="1148">
    <w:name w:val="Char Char15"/>
    <w:qFormat/>
    <w:uiPriority w:val="0"/>
    <w:rPr>
      <w:rFonts w:ascii="Arial" w:hAnsi="Arial" w:eastAsia="宋体"/>
      <w:kern w:val="2"/>
      <w:sz w:val="24"/>
      <w:szCs w:val="28"/>
      <w:lang w:val="en-US" w:eastAsia="zh-CN" w:bidi="ar-SA"/>
    </w:rPr>
  </w:style>
  <w:style w:type="character" w:customStyle="1" w:styleId="1149">
    <w:name w:val="font112"/>
    <w:qFormat/>
    <w:uiPriority w:val="0"/>
    <w:rPr>
      <w:rFonts w:hint="eastAsia" w:ascii="宋体" w:hAnsi="宋体" w:eastAsia="宋体" w:cs="宋体"/>
      <w:b/>
      <w:bCs/>
      <w:color w:val="000000"/>
      <w:sz w:val="18"/>
      <w:szCs w:val="18"/>
      <w:u w:val="none"/>
    </w:rPr>
  </w:style>
  <w:style w:type="character" w:customStyle="1" w:styleId="1150">
    <w:name w:val="font161"/>
    <w:basedOn w:val="71"/>
    <w:qFormat/>
    <w:uiPriority w:val="0"/>
    <w:rPr>
      <w:rFonts w:hint="eastAsia" w:ascii="宋体" w:hAnsi="宋体" w:eastAsia="宋体" w:cs="宋体"/>
      <w:color w:val="auto"/>
      <w:sz w:val="22"/>
      <w:szCs w:val="22"/>
      <w:u w:val="none"/>
    </w:rPr>
  </w:style>
  <w:style w:type="character" w:customStyle="1" w:styleId="1151">
    <w:name w:val="font151"/>
    <w:basedOn w:val="71"/>
    <w:qFormat/>
    <w:uiPriority w:val="0"/>
    <w:rPr>
      <w:rFonts w:hint="eastAsia" w:ascii="宋体" w:hAnsi="宋体" w:eastAsia="宋体" w:cs="宋体"/>
      <w:color w:val="000000"/>
      <w:sz w:val="22"/>
      <w:szCs w:val="22"/>
      <w:u w:val="none"/>
    </w:rPr>
  </w:style>
  <w:style w:type="character" w:customStyle="1" w:styleId="1152">
    <w:name w:val="称呼 字符"/>
    <w:basedOn w:val="71"/>
    <w:link w:val="22"/>
    <w:qFormat/>
    <w:uiPriority w:val="0"/>
    <w:rPr>
      <w:rFonts w:ascii="宋体" w:hAnsi="Times New Roman" w:eastAsia="宋体" w:cs="Times New Roman"/>
      <w:kern w:val="2"/>
      <w:sz w:val="24"/>
    </w:rPr>
  </w:style>
  <w:style w:type="paragraph" w:customStyle="1" w:styleId="1153">
    <w:name w:val="a6"/>
    <w:qFormat/>
    <w:uiPriority w:val="99"/>
    <w:pPr>
      <w:spacing w:line="280" w:lineRule="atLeast"/>
      <w:ind w:firstLine="360"/>
      <w:jc w:val="center"/>
    </w:pPr>
    <w:rPr>
      <w:rFonts w:ascii="Times New Roman" w:hAnsi="Times New Roman" w:eastAsia="宋体" w:cs="Times New Roman"/>
      <w:color w:val="000000"/>
      <w:sz w:val="18"/>
      <w:szCs w:val="18"/>
      <w:lang w:val="en-US" w:eastAsia="zh-CN" w:bidi="ar-SA"/>
    </w:rPr>
  </w:style>
  <w:style w:type="paragraph" w:customStyle="1" w:styleId="1154">
    <w:name w:val="CM9"/>
    <w:basedOn w:val="101"/>
    <w:next w:val="101"/>
    <w:qFormat/>
    <w:uiPriority w:val="99"/>
    <w:pPr>
      <w:spacing w:after="703"/>
    </w:pPr>
    <w:rPr>
      <w:rFonts w:ascii="Times New Roman"/>
      <w:color w:val="auto"/>
      <w:szCs w:val="24"/>
    </w:rPr>
  </w:style>
  <w:style w:type="character" w:customStyle="1" w:styleId="1155">
    <w:name w:val="书籍标题1"/>
    <w:basedOn w:val="71"/>
    <w:qFormat/>
    <w:uiPriority w:val="33"/>
    <w:rPr>
      <w:b/>
      <w:bCs/>
      <w:i/>
      <w:iCs/>
      <w:spacing w:val="5"/>
    </w:rPr>
  </w:style>
  <w:style w:type="paragraph" w:customStyle="1" w:styleId="1156">
    <w:name w:val="Char Char Char Char Char Char Char Char Char"/>
    <w:basedOn w:val="1"/>
    <w:qFormat/>
    <w:uiPriority w:val="99"/>
    <w:pPr>
      <w:spacing w:line="240" w:lineRule="auto"/>
      <w:ind w:firstLine="0" w:firstLineChars="0"/>
    </w:pPr>
    <w:rPr>
      <w:kern w:val="2"/>
      <w:sz w:val="21"/>
    </w:rPr>
  </w:style>
  <w:style w:type="paragraph" w:customStyle="1" w:styleId="1157">
    <w:name w:val="p17"/>
    <w:basedOn w:val="1"/>
    <w:qFormat/>
    <w:uiPriority w:val="99"/>
    <w:pPr>
      <w:widowControl/>
      <w:spacing w:line="240" w:lineRule="auto"/>
      <w:ind w:firstLine="0" w:firstLineChars="0"/>
    </w:pPr>
    <w:rPr>
      <w:rFonts w:ascii="宋体" w:hAnsi="宋体" w:cs="宋体"/>
      <w:b/>
      <w:bCs/>
      <w:position w:val="-6"/>
      <w:sz w:val="21"/>
      <w:szCs w:val="21"/>
    </w:rPr>
  </w:style>
  <w:style w:type="character" w:customStyle="1" w:styleId="1158">
    <w:name w:val="页眉 字符1"/>
    <w:basedOn w:val="71"/>
    <w:qFormat/>
    <w:uiPriority w:val="0"/>
    <w:rPr>
      <w:rFonts w:ascii="Times New Roman" w:hAnsi="Times New Roman"/>
      <w:kern w:val="2"/>
      <w:sz w:val="18"/>
      <w:szCs w:val="18"/>
    </w:rPr>
  </w:style>
  <w:style w:type="character" w:customStyle="1" w:styleId="1159">
    <w:name w:val="正文文本缩进 字符1"/>
    <w:basedOn w:val="71"/>
    <w:qFormat/>
    <w:uiPriority w:val="0"/>
    <w:rPr>
      <w:rFonts w:ascii="Times New Roman" w:hAnsi="Times New Roman"/>
      <w:kern w:val="2"/>
      <w:sz w:val="21"/>
    </w:rPr>
  </w:style>
  <w:style w:type="character" w:customStyle="1" w:styleId="1160">
    <w:name w:val="正文文本 字符1"/>
    <w:basedOn w:val="71"/>
    <w:qFormat/>
    <w:uiPriority w:val="0"/>
    <w:rPr>
      <w:rFonts w:ascii="Times New Roman" w:hAnsi="Times New Roman"/>
      <w:kern w:val="2"/>
      <w:sz w:val="21"/>
    </w:rPr>
  </w:style>
  <w:style w:type="character" w:customStyle="1" w:styleId="1161">
    <w:name w:val="正文文本缩进 2 字符1"/>
    <w:basedOn w:val="71"/>
    <w:qFormat/>
    <w:uiPriority w:val="0"/>
    <w:rPr>
      <w:rFonts w:ascii="Times New Roman" w:hAnsi="Times New Roman"/>
      <w:kern w:val="2"/>
      <w:sz w:val="21"/>
    </w:rPr>
  </w:style>
  <w:style w:type="character" w:customStyle="1" w:styleId="1162">
    <w:name w:val="正文文本首行缩进 2 字符1"/>
    <w:basedOn w:val="1159"/>
    <w:qFormat/>
    <w:uiPriority w:val="0"/>
    <w:rPr>
      <w:rFonts w:ascii="Times New Roman" w:hAnsi="Times New Roman"/>
      <w:kern w:val="2"/>
      <w:sz w:val="21"/>
    </w:rPr>
  </w:style>
  <w:style w:type="character" w:customStyle="1" w:styleId="1163">
    <w:name w:val="正文文本首行缩进 字符1"/>
    <w:basedOn w:val="1160"/>
    <w:qFormat/>
    <w:uiPriority w:val="0"/>
    <w:rPr>
      <w:rFonts w:ascii="Times New Roman" w:hAnsi="Times New Roman"/>
      <w:kern w:val="2"/>
      <w:sz w:val="21"/>
    </w:rPr>
  </w:style>
  <w:style w:type="character" w:customStyle="1" w:styleId="1164">
    <w:name w:val="正文文本 2 字符1"/>
    <w:basedOn w:val="71"/>
    <w:qFormat/>
    <w:uiPriority w:val="0"/>
    <w:rPr>
      <w:rFonts w:ascii="Times New Roman" w:hAnsi="Times New Roman"/>
      <w:kern w:val="2"/>
      <w:sz w:val="21"/>
    </w:rPr>
  </w:style>
  <w:style w:type="character" w:customStyle="1" w:styleId="1165">
    <w:name w:val="标题 7 字符1"/>
    <w:basedOn w:val="71"/>
    <w:qFormat/>
    <w:uiPriority w:val="0"/>
    <w:rPr>
      <w:rFonts w:ascii="Calibri" w:hAnsi="Calibri" w:eastAsia="宋体" w:cs="宋体"/>
      <w:b/>
      <w:bCs/>
      <w:color w:val="595959"/>
      <w:kern w:val="2"/>
      <w:sz w:val="21"/>
    </w:rPr>
  </w:style>
  <w:style w:type="character" w:customStyle="1" w:styleId="1166">
    <w:name w:val="标题 8 字符1"/>
    <w:basedOn w:val="71"/>
    <w:qFormat/>
    <w:uiPriority w:val="0"/>
    <w:rPr>
      <w:rFonts w:ascii="Calibri" w:hAnsi="Calibri" w:eastAsia="宋体" w:cs="宋体"/>
      <w:color w:val="595959"/>
      <w:kern w:val="2"/>
      <w:sz w:val="21"/>
    </w:rPr>
  </w:style>
  <w:style w:type="character" w:customStyle="1" w:styleId="1167">
    <w:name w:val="标题 9 字符1"/>
    <w:basedOn w:val="71"/>
    <w:qFormat/>
    <w:uiPriority w:val="0"/>
    <w:rPr>
      <w:rFonts w:ascii="Calibri" w:hAnsi="Calibri" w:eastAsia="宋体" w:cs="宋体"/>
      <w:color w:val="595959"/>
      <w:kern w:val="2"/>
      <w:sz w:val="21"/>
    </w:rPr>
  </w:style>
  <w:style w:type="character" w:customStyle="1" w:styleId="1168">
    <w:name w:val="批注框文本 字符1"/>
    <w:basedOn w:val="71"/>
    <w:qFormat/>
    <w:uiPriority w:val="0"/>
    <w:rPr>
      <w:rFonts w:ascii="Times New Roman" w:hAnsi="Times New Roman"/>
      <w:kern w:val="2"/>
      <w:sz w:val="18"/>
      <w:szCs w:val="18"/>
    </w:rPr>
  </w:style>
  <w:style w:type="character" w:customStyle="1" w:styleId="1169">
    <w:name w:val="文档结构图 字符1"/>
    <w:basedOn w:val="71"/>
    <w:qFormat/>
    <w:uiPriority w:val="0"/>
    <w:rPr>
      <w:rFonts w:ascii="Microsoft YaHei UI" w:hAnsi="Times New Roman" w:eastAsia="Microsoft YaHei UI"/>
      <w:kern w:val="2"/>
      <w:sz w:val="18"/>
      <w:szCs w:val="18"/>
    </w:rPr>
  </w:style>
  <w:style w:type="character" w:customStyle="1" w:styleId="1170">
    <w:name w:val="批注主题 字符1"/>
    <w:basedOn w:val="960"/>
    <w:qFormat/>
    <w:uiPriority w:val="99"/>
    <w:rPr>
      <w:rFonts w:ascii="Times New Roman" w:hAnsi="Times New Roman"/>
      <w:b/>
      <w:bCs/>
      <w:kern w:val="2"/>
      <w:sz w:val="21"/>
    </w:rPr>
  </w:style>
  <w:style w:type="character" w:customStyle="1" w:styleId="1171">
    <w:name w:val="尾注文本 字符1"/>
    <w:basedOn w:val="71"/>
    <w:qFormat/>
    <w:uiPriority w:val="99"/>
    <w:rPr>
      <w:rFonts w:ascii="Times New Roman" w:hAnsi="Times New Roman"/>
      <w:kern w:val="2"/>
      <w:sz w:val="21"/>
    </w:rPr>
  </w:style>
  <w:style w:type="character" w:customStyle="1" w:styleId="1172">
    <w:name w:val="正文文本缩进 3 字符1"/>
    <w:basedOn w:val="71"/>
    <w:qFormat/>
    <w:uiPriority w:val="0"/>
    <w:rPr>
      <w:rFonts w:ascii="Times New Roman" w:hAnsi="Times New Roman"/>
      <w:kern w:val="2"/>
      <w:sz w:val="16"/>
      <w:szCs w:val="16"/>
    </w:rPr>
  </w:style>
  <w:style w:type="character" w:customStyle="1" w:styleId="1173">
    <w:name w:val="正文文本 3 字符1"/>
    <w:basedOn w:val="71"/>
    <w:qFormat/>
    <w:uiPriority w:val="0"/>
    <w:rPr>
      <w:rFonts w:ascii="Times New Roman" w:hAnsi="Times New Roman"/>
      <w:kern w:val="2"/>
      <w:sz w:val="16"/>
      <w:szCs w:val="16"/>
    </w:rPr>
  </w:style>
  <w:style w:type="character" w:customStyle="1" w:styleId="1174">
    <w:name w:val="注释标题 字符1"/>
    <w:basedOn w:val="71"/>
    <w:qFormat/>
    <w:uiPriority w:val="0"/>
    <w:rPr>
      <w:rFonts w:ascii="Times New Roman" w:hAnsi="Times New Roman"/>
      <w:kern w:val="2"/>
      <w:sz w:val="21"/>
    </w:rPr>
  </w:style>
  <w:style w:type="character" w:customStyle="1" w:styleId="1175">
    <w:name w:val="引用 字符1"/>
    <w:basedOn w:val="71"/>
    <w:qFormat/>
    <w:uiPriority w:val="29"/>
    <w:rPr>
      <w:rFonts w:ascii="Times New Roman" w:hAnsi="Times New Roman"/>
      <w:i/>
      <w:iCs/>
      <w:color w:val="404040"/>
      <w:kern w:val="2"/>
      <w:sz w:val="21"/>
    </w:rPr>
  </w:style>
  <w:style w:type="character" w:customStyle="1" w:styleId="1176">
    <w:name w:val="称呼 字符1"/>
    <w:basedOn w:val="71"/>
    <w:qFormat/>
    <w:uiPriority w:val="0"/>
    <w:rPr>
      <w:rFonts w:ascii="Times New Roman" w:hAnsi="Times New Roman"/>
      <w:kern w:val="2"/>
      <w:sz w:val="21"/>
    </w:rPr>
  </w:style>
  <w:style w:type="paragraph" w:customStyle="1" w:styleId="1177">
    <w:name w:val="2.2"/>
    <w:basedOn w:val="1"/>
    <w:qFormat/>
    <w:uiPriority w:val="99"/>
    <w:pPr>
      <w:widowControl/>
      <w:tabs>
        <w:tab w:val="left" w:pos="709"/>
      </w:tabs>
      <w:adjustRightInd w:val="0"/>
      <w:spacing w:beforeLines="50"/>
      <w:ind w:left="709" w:firstLine="0" w:firstLineChars="0"/>
      <w:jc w:val="left"/>
      <w:outlineLvl w:val="2"/>
    </w:pPr>
    <w:rPr>
      <w:b/>
    </w:rPr>
  </w:style>
  <w:style w:type="character" w:customStyle="1" w:styleId="1178">
    <w:name w:val="标题 #4_"/>
    <w:basedOn w:val="71"/>
    <w:link w:val="1179"/>
    <w:qFormat/>
    <w:uiPriority w:val="0"/>
    <w:rPr>
      <w:rFonts w:ascii="宋体" w:cs="宋体"/>
      <w:sz w:val="31"/>
      <w:szCs w:val="31"/>
      <w:shd w:val="clear" w:color="auto" w:fill="FFFFFF"/>
    </w:rPr>
  </w:style>
  <w:style w:type="paragraph" w:customStyle="1" w:styleId="1179">
    <w:name w:val="标题 #4"/>
    <w:basedOn w:val="1"/>
    <w:link w:val="1178"/>
    <w:qFormat/>
    <w:uiPriority w:val="0"/>
    <w:pPr>
      <w:shd w:val="clear" w:color="auto" w:fill="FFFFFF"/>
      <w:spacing w:before="660" w:line="869" w:lineRule="exact"/>
      <w:ind w:firstLine="0" w:firstLineChars="0"/>
      <w:jc w:val="left"/>
      <w:outlineLvl w:val="3"/>
    </w:pPr>
    <w:rPr>
      <w:rFonts w:ascii="宋体" w:hAnsi="Calibri" w:cs="宋体"/>
      <w:sz w:val="31"/>
      <w:szCs w:val="31"/>
    </w:rPr>
  </w:style>
  <w:style w:type="paragraph" w:customStyle="1" w:styleId="1180">
    <w:name w:val="WW样式5"/>
    <w:basedOn w:val="1141"/>
    <w:link w:val="1181"/>
    <w:qFormat/>
    <w:uiPriority w:val="0"/>
  </w:style>
  <w:style w:type="character" w:customStyle="1" w:styleId="1181">
    <w:name w:val="WW样式5 字符"/>
    <w:basedOn w:val="1142"/>
    <w:link w:val="1180"/>
    <w:qFormat/>
    <w:uiPriority w:val="0"/>
    <w:rPr>
      <w:rFonts w:ascii="黑体" w:hAnsi="黑体" w:eastAsia="黑体" w:cs="Times New Roman"/>
      <w:kern w:val="2"/>
      <w:sz w:val="24"/>
      <w:szCs w:val="20"/>
      <w:lang w:val="zh-CN"/>
    </w:rPr>
  </w:style>
  <w:style w:type="paragraph" w:customStyle="1" w:styleId="1182">
    <w:name w:val="样式 样式 样式32 + 段前: 0.5 行 + 段前: 0.5 行"/>
    <w:basedOn w:val="1"/>
    <w:qFormat/>
    <w:uiPriority w:val="0"/>
    <w:pPr>
      <w:keepNext/>
      <w:keepLines/>
      <w:widowControl/>
      <w:numPr>
        <w:ilvl w:val="1"/>
        <w:numId w:val="11"/>
      </w:numPr>
      <w:spacing w:beforeLines="50" w:line="400" w:lineRule="exact"/>
      <w:jc w:val="left"/>
      <w:outlineLvl w:val="1"/>
    </w:pPr>
    <w:rPr>
      <w:rFonts w:ascii="Helvetica" w:hAnsi="Helvetica" w:eastAsia="黑体" w:cs="宋体"/>
      <w:b/>
      <w:bCs/>
      <w:kern w:val="2"/>
      <w:sz w:val="32"/>
      <w:szCs w:val="20"/>
    </w:rPr>
  </w:style>
  <w:style w:type="paragraph" w:customStyle="1" w:styleId="1183">
    <w:name w:val="样式111 大标题"/>
    <w:basedOn w:val="468"/>
    <w:qFormat/>
    <w:uiPriority w:val="0"/>
  </w:style>
  <w:style w:type="character" w:customStyle="1" w:styleId="1184">
    <w:name w:val="未处理的提及4"/>
    <w:basedOn w:val="71"/>
    <w:qFormat/>
    <w:uiPriority w:val="99"/>
    <w:rPr>
      <w:color w:val="605E5C"/>
      <w:shd w:val="clear" w:color="auto" w:fill="E1DFDD"/>
    </w:rPr>
  </w:style>
  <w:style w:type="paragraph" w:customStyle="1" w:styleId="1185">
    <w:name w:val="71e7dc79-1ff7-45e8-997d-0ebda3762b91"/>
    <w:basedOn w:val="3"/>
    <w:next w:val="1186"/>
    <w:link w:val="1187"/>
    <w:uiPriority w:val="0"/>
    <w:pPr>
      <w:adjustRightInd w:val="0"/>
      <w:spacing w:line="288" w:lineRule="auto"/>
    </w:pPr>
    <w:rPr>
      <w:rFonts w:ascii="微软雅黑" w:hAnsi="微软雅黑" w:eastAsia="微软雅黑"/>
      <w:color w:val="000000"/>
      <w:spacing w:val="10"/>
      <w:sz w:val="28"/>
    </w:rPr>
  </w:style>
  <w:style w:type="paragraph" w:customStyle="1" w:styleId="1186">
    <w:name w:val="acbfdd8b-e11b-4d36-88ff-6049b138f862"/>
    <w:basedOn w:val="1"/>
    <w:link w:val="1188"/>
    <w:qFormat/>
    <w:uiPriority w:val="0"/>
    <w:pPr>
      <w:adjustRightInd w:val="0"/>
      <w:spacing w:line="288" w:lineRule="auto"/>
      <w:ind w:firstLine="0"/>
      <w:jc w:val="left"/>
    </w:pPr>
    <w:rPr>
      <w:rFonts w:ascii="微软雅黑" w:hAnsi="微软雅黑" w:eastAsia="微软雅黑"/>
      <w:color w:val="000000"/>
      <w:spacing w:val="10"/>
      <w:sz w:val="22"/>
    </w:rPr>
  </w:style>
  <w:style w:type="character" w:customStyle="1" w:styleId="1187">
    <w:name w:val="71e7dc79-1ff7-45e8-997d-0ebda3762b91 字符"/>
    <w:basedOn w:val="88"/>
    <w:link w:val="1185"/>
    <w:qFormat/>
    <w:uiPriority w:val="0"/>
    <w:rPr>
      <w:rFonts w:ascii="微软雅黑" w:hAnsi="微软雅黑" w:eastAsia="微软雅黑" w:cs="Times New Roman"/>
      <w:bCs/>
      <w:color w:val="000000"/>
      <w:spacing w:val="10"/>
      <w:sz w:val="28"/>
      <w:szCs w:val="28"/>
    </w:rPr>
  </w:style>
  <w:style w:type="character" w:customStyle="1" w:styleId="1188">
    <w:name w:val="acbfdd8b-e11b-4d36-88ff-6049b138f862 字符"/>
    <w:basedOn w:val="88"/>
    <w:link w:val="1186"/>
    <w:uiPriority w:val="0"/>
    <w:rPr>
      <w:rFonts w:ascii="微软雅黑" w:hAnsi="微软雅黑" w:eastAsia="微软雅黑" w:cs="Times New Roman"/>
      <w:b w:val="0"/>
      <w:color w:val="000000"/>
      <w:spacing w:val="10"/>
      <w:sz w:val="22"/>
      <w:szCs w:val="24"/>
    </w:rPr>
  </w:style>
  <w:style w:type="table" w:customStyle="1" w:styleId="1189">
    <w:name w:val="B表2"/>
    <w:basedOn w:val="67"/>
    <w:qFormat/>
    <w:locked/>
    <w:uiPriority w:val="0"/>
    <w:pPr>
      <w:widowControl w:val="0"/>
      <w:jc w:val="center"/>
    </w:pPr>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0" w:type="dxa"/>
        <w:right w:w="0" w:type="dxa"/>
      </w:tblCellMar>
    </w:tblPr>
    <w:tcPr>
      <w:vAlign w:val="center"/>
    </w:tcPr>
  </w:style>
</w:styles>
</file>

<file path=word/_rels/document.xml.rels><?xml version="1.0" encoding="UTF-8" standalone="yes"?>
<Relationships xmlns="http://schemas.openxmlformats.org/package/2006/relationships"><Relationship Id="rId99" Type="http://schemas.openxmlformats.org/officeDocument/2006/relationships/image" Target="media/image43.png"/><Relationship Id="rId98" Type="http://schemas.openxmlformats.org/officeDocument/2006/relationships/image" Target="media/image42.png"/><Relationship Id="rId97" Type="http://schemas.openxmlformats.org/officeDocument/2006/relationships/image" Target="media/image41.png"/><Relationship Id="rId96" Type="http://schemas.openxmlformats.org/officeDocument/2006/relationships/image" Target="media/image40.wmf"/><Relationship Id="rId95" Type="http://schemas.openxmlformats.org/officeDocument/2006/relationships/oleObject" Target="embeddings/oleObject23.bin"/><Relationship Id="rId94" Type="http://schemas.openxmlformats.org/officeDocument/2006/relationships/image" Target="media/image39.wmf"/><Relationship Id="rId93" Type="http://schemas.openxmlformats.org/officeDocument/2006/relationships/oleObject" Target="embeddings/oleObject22.bin"/><Relationship Id="rId92" Type="http://schemas.openxmlformats.org/officeDocument/2006/relationships/image" Target="media/image38.wmf"/><Relationship Id="rId91" Type="http://schemas.openxmlformats.org/officeDocument/2006/relationships/oleObject" Target="embeddings/oleObject21.bin"/><Relationship Id="rId90" Type="http://schemas.openxmlformats.org/officeDocument/2006/relationships/image" Target="media/image37.wmf"/><Relationship Id="rId9" Type="http://schemas.openxmlformats.org/officeDocument/2006/relationships/footer" Target="footer2.xml"/><Relationship Id="rId89" Type="http://schemas.openxmlformats.org/officeDocument/2006/relationships/oleObject" Target="embeddings/oleObject20.bin"/><Relationship Id="rId88" Type="http://schemas.openxmlformats.org/officeDocument/2006/relationships/image" Target="media/image36.wmf"/><Relationship Id="rId87" Type="http://schemas.openxmlformats.org/officeDocument/2006/relationships/oleObject" Target="embeddings/oleObject19.bin"/><Relationship Id="rId86" Type="http://schemas.openxmlformats.org/officeDocument/2006/relationships/image" Target="media/image35.wmf"/><Relationship Id="rId85" Type="http://schemas.openxmlformats.org/officeDocument/2006/relationships/oleObject" Target="embeddings/oleObject18.bin"/><Relationship Id="rId84" Type="http://schemas.openxmlformats.org/officeDocument/2006/relationships/image" Target="media/image34.wmf"/><Relationship Id="rId83" Type="http://schemas.openxmlformats.org/officeDocument/2006/relationships/oleObject" Target="embeddings/oleObject17.bin"/><Relationship Id="rId82" Type="http://schemas.openxmlformats.org/officeDocument/2006/relationships/image" Target="media/image33.wmf"/><Relationship Id="rId81" Type="http://schemas.openxmlformats.org/officeDocument/2006/relationships/oleObject" Target="embeddings/oleObject16.bin"/><Relationship Id="rId80" Type="http://schemas.openxmlformats.org/officeDocument/2006/relationships/image" Target="media/image32.wmf"/><Relationship Id="rId8" Type="http://schemas.openxmlformats.org/officeDocument/2006/relationships/footer" Target="footer1.xml"/><Relationship Id="rId79" Type="http://schemas.openxmlformats.org/officeDocument/2006/relationships/oleObject" Target="embeddings/oleObject15.bin"/><Relationship Id="rId78" Type="http://schemas.openxmlformats.org/officeDocument/2006/relationships/image" Target="media/image31.wmf"/><Relationship Id="rId77" Type="http://schemas.openxmlformats.org/officeDocument/2006/relationships/oleObject" Target="embeddings/oleObject14.bin"/><Relationship Id="rId76" Type="http://schemas.openxmlformats.org/officeDocument/2006/relationships/image" Target="media/image30.wmf"/><Relationship Id="rId75" Type="http://schemas.openxmlformats.org/officeDocument/2006/relationships/oleObject" Target="embeddings/oleObject13.bin"/><Relationship Id="rId74" Type="http://schemas.openxmlformats.org/officeDocument/2006/relationships/image" Target="media/image29.wmf"/><Relationship Id="rId73" Type="http://schemas.openxmlformats.org/officeDocument/2006/relationships/oleObject" Target="embeddings/oleObject12.bin"/><Relationship Id="rId72" Type="http://schemas.openxmlformats.org/officeDocument/2006/relationships/image" Target="media/image28.wmf"/><Relationship Id="rId71" Type="http://schemas.openxmlformats.org/officeDocument/2006/relationships/oleObject" Target="embeddings/oleObject11.bin"/><Relationship Id="rId70" Type="http://schemas.openxmlformats.org/officeDocument/2006/relationships/image" Target="media/image27.wmf"/><Relationship Id="rId7" Type="http://schemas.openxmlformats.org/officeDocument/2006/relationships/header" Target="header3.xml"/><Relationship Id="rId69" Type="http://schemas.openxmlformats.org/officeDocument/2006/relationships/oleObject" Target="embeddings/oleObject10.bin"/><Relationship Id="rId68" Type="http://schemas.openxmlformats.org/officeDocument/2006/relationships/image" Target="media/image26.wmf"/><Relationship Id="rId67" Type="http://schemas.openxmlformats.org/officeDocument/2006/relationships/oleObject" Target="embeddings/oleObject9.bin"/><Relationship Id="rId66" Type="http://schemas.openxmlformats.org/officeDocument/2006/relationships/oleObject" Target="embeddings/oleObject8.bin"/><Relationship Id="rId65" Type="http://schemas.openxmlformats.org/officeDocument/2006/relationships/image" Target="media/image25.wmf"/><Relationship Id="rId64" Type="http://schemas.openxmlformats.org/officeDocument/2006/relationships/oleObject" Target="embeddings/oleObject7.bin"/><Relationship Id="rId63" Type="http://schemas.openxmlformats.org/officeDocument/2006/relationships/image" Target="media/image24.wmf"/><Relationship Id="rId62" Type="http://schemas.openxmlformats.org/officeDocument/2006/relationships/oleObject" Target="embeddings/oleObject6.bin"/><Relationship Id="rId61" Type="http://schemas.openxmlformats.org/officeDocument/2006/relationships/image" Target="media/image23.wmf"/><Relationship Id="rId60" Type="http://schemas.openxmlformats.org/officeDocument/2006/relationships/oleObject" Target="embeddings/oleObject5.bin"/><Relationship Id="rId6" Type="http://schemas.openxmlformats.org/officeDocument/2006/relationships/header" Target="header2.xml"/><Relationship Id="rId59" Type="http://schemas.openxmlformats.org/officeDocument/2006/relationships/image" Target="media/image22.wmf"/><Relationship Id="rId58" Type="http://schemas.openxmlformats.org/officeDocument/2006/relationships/oleObject" Target="embeddings/oleObject4.bin"/><Relationship Id="rId57" Type="http://schemas.openxmlformats.org/officeDocument/2006/relationships/image" Target="media/image21.png"/><Relationship Id="rId56" Type="http://schemas.openxmlformats.org/officeDocument/2006/relationships/image" Target="media/image20.jpeg"/><Relationship Id="rId55" Type="http://schemas.openxmlformats.org/officeDocument/2006/relationships/image" Target="media/image19.png"/><Relationship Id="rId54" Type="http://schemas.openxmlformats.org/officeDocument/2006/relationships/oleObject" Target="embeddings/Workbook1.xls"/><Relationship Id="rId53" Type="http://schemas.openxmlformats.org/officeDocument/2006/relationships/chart" Target="charts/chart1.xml"/><Relationship Id="rId52" Type="http://schemas.openxmlformats.org/officeDocument/2006/relationships/image" Target="media/image18.wmf"/><Relationship Id="rId51" Type="http://schemas.openxmlformats.org/officeDocument/2006/relationships/image" Target="media/image17.wmf"/><Relationship Id="rId50" Type="http://schemas.openxmlformats.org/officeDocument/2006/relationships/image" Target="media/image16.wmf"/><Relationship Id="rId5" Type="http://schemas.openxmlformats.org/officeDocument/2006/relationships/header" Target="header1.xml"/><Relationship Id="rId49" Type="http://schemas.openxmlformats.org/officeDocument/2006/relationships/image" Target="media/image15.wmf"/><Relationship Id="rId48" Type="http://schemas.openxmlformats.org/officeDocument/2006/relationships/image" Target="media/image14.wmf"/><Relationship Id="rId47" Type="http://schemas.openxmlformats.org/officeDocument/2006/relationships/image" Target="media/image13.wmf"/><Relationship Id="rId46" Type="http://schemas.openxmlformats.org/officeDocument/2006/relationships/oleObject" Target="embeddings/oleObject3.bin"/><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wmf"/><Relationship Id="rId42" Type="http://schemas.openxmlformats.org/officeDocument/2006/relationships/oleObject" Target="embeddings/oleObject2.bin"/><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endnotes" Target="endnotes.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emf"/><Relationship Id="rId35" Type="http://schemas.openxmlformats.org/officeDocument/2006/relationships/oleObject" Target="embeddings/oleObject1.bin"/><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8.xml"/><Relationship Id="rId3" Type="http://schemas.openxmlformats.org/officeDocument/2006/relationships/footnotes" Target="footnotes.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5" Type="http://schemas.openxmlformats.org/officeDocument/2006/relationships/fontTable" Target="fontTable.xml"/><Relationship Id="rId114" Type="http://schemas.openxmlformats.org/officeDocument/2006/relationships/customXml" Target="../customXml/item4.xml"/><Relationship Id="rId113" Type="http://schemas.openxmlformats.org/officeDocument/2006/relationships/customXml" Target="../customXml/item3.xml"/><Relationship Id="rId112" Type="http://schemas.openxmlformats.org/officeDocument/2006/relationships/customXml" Target="../customXml/item2.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header" Target="header4.xml"/><Relationship Id="rId109" Type="http://schemas.openxmlformats.org/officeDocument/2006/relationships/image" Target="media/image51.png"/><Relationship Id="rId108" Type="http://schemas.openxmlformats.org/officeDocument/2006/relationships/image" Target="media/image50.png"/><Relationship Id="rId107" Type="http://schemas.openxmlformats.org/officeDocument/2006/relationships/image" Target="media/image49.png"/><Relationship Id="rId106" Type="http://schemas.openxmlformats.org/officeDocument/2006/relationships/image" Target="media/image48.png"/><Relationship Id="rId105" Type="http://schemas.openxmlformats.org/officeDocument/2006/relationships/image" Target="media/image47.png"/><Relationship Id="rId104" Type="http://schemas.openxmlformats.org/officeDocument/2006/relationships/image" Target="media/image46.png"/><Relationship Id="rId103" Type="http://schemas.openxmlformats.org/officeDocument/2006/relationships/image" Target="media/image45.wmf"/><Relationship Id="rId102" Type="http://schemas.openxmlformats.org/officeDocument/2006/relationships/oleObject" Target="embeddings/oleObject25.bin"/><Relationship Id="rId101" Type="http://schemas.openxmlformats.org/officeDocument/2006/relationships/image" Target="media/image44.wmf"/><Relationship Id="rId100" Type="http://schemas.openxmlformats.org/officeDocument/2006/relationships/oleObject" Target="embeddings/oleObject24.bin"/><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29615;&#35780;&#39033;&#30446;\2024\202408-&#21513;&#38081;\&#22823;&#27668;&#39044;&#27979;\&#27668;&#35937;&#32479;&#3574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44448194758"/>
          <c:y val="0.213523131672598"/>
          <c:w val="0.800547516099295"/>
          <c:h val="0.619217081850534"/>
        </c:manualLayout>
      </c:layout>
      <c:lineChart>
        <c:grouping val="standard"/>
        <c:varyColors val="0"/>
        <c:ser>
          <c:idx val="0"/>
          <c:order val="0"/>
          <c:tx>
            <c:strRef>
              <c:f>[气象统计.XLS]数据!$A$3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9525" cap="flat" cmpd="sng" algn="ctr">
                <a:solidFill>
                  <a:srgbClr val="000080"/>
                </a:solidFill>
                <a:prstDash val="solid"/>
                <a:round/>
              </a:ln>
            </c:spPr>
          </c:marker>
          <c:dLbls>
            <c:delete val="1"/>
          </c:dLbls>
          <c:cat>
            <c:strRef>
              <c:f>[气象统计.XLS]数据!$B$2:$M$2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[气象统计.XLS]数据!$B$3:$M$3</c:f>
              <c:numCache>
                <c:formatCode>0.00_ </c:formatCode>
                <c:ptCount val="12"/>
                <c:pt idx="0">
                  <c:v>-10.0699996948242</c:v>
                </c:pt>
                <c:pt idx="1">
                  <c:v>0.490000009536743</c:v>
                </c:pt>
                <c:pt idx="2">
                  <c:v>9.26000022888184</c:v>
                </c:pt>
                <c:pt idx="3">
                  <c:v>12.5799999237061</c:v>
                </c:pt>
                <c:pt idx="4">
                  <c:v>19.3799991607666</c:v>
                </c:pt>
                <c:pt idx="5">
                  <c:v>28.1000003814697</c:v>
                </c:pt>
                <c:pt idx="6">
                  <c:v>29.4599990844727</c:v>
                </c:pt>
                <c:pt idx="7">
                  <c:v>27.8999996185303</c:v>
                </c:pt>
                <c:pt idx="8">
                  <c:v>20.3799991607666</c:v>
                </c:pt>
                <c:pt idx="9">
                  <c:v>13.289999961853</c:v>
                </c:pt>
                <c:pt idx="10">
                  <c:v>2.00999999046326</c:v>
                </c:pt>
                <c:pt idx="11">
                  <c:v>-7.90000009536743</c:v>
                </c:pt>
              </c:numCache>
            </c:numRef>
          </c:val>
          <c:smooth val="0"/>
        </c:ser>
        <c:dLbls>
          <c:showLegendKey val="0"/>
          <c:showVal val="0"/>
          <c:showCatName val="0"/>
          <c:showSerName val="0"/>
          <c:showPercent val="0"/>
          <c:showBubbleSize val="0"/>
        </c:dLbls>
        <c:marker val="1"/>
        <c:smooth val="0"/>
        <c:axId val="558587904"/>
        <c:axId val="558589440"/>
      </c:lineChart>
      <c:catAx>
        <c:axId val="558587904"/>
        <c:scaling>
          <c:orientation val="minMax"/>
        </c:scaling>
        <c:delete val="0"/>
        <c:axPos val="b"/>
        <c:numFmt formatCode="General"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58589440"/>
        <c:crosses val="autoZero"/>
        <c:auto val="1"/>
        <c:lblAlgn val="ctr"/>
        <c:lblOffset val="100"/>
        <c:tickLblSkip val="1"/>
        <c:noMultiLvlLbl val="0"/>
      </c:catAx>
      <c:valAx>
        <c:axId val="558589440"/>
        <c:scaling>
          <c:orientation val="minMax"/>
        </c:scaling>
        <c:delete val="0"/>
        <c:axPos val="l"/>
        <c:majorGridlines>
          <c:spPr>
            <a:ln w="3175" cap="flat" cmpd="sng" algn="ctr">
              <a:solidFill>
                <a:srgbClr val="000000"/>
              </a:solidFill>
              <a:prstDash val="solid"/>
              <a:round/>
            </a:ln>
          </c:spPr>
        </c:majorGridlines>
        <c:title>
          <c:tx>
            <c:rich>
              <a:bodyPr rot="-54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温度</a:t>
                </a:r>
                <a:r>
                  <a:rPr lang="en-US" altLang="zh-CN"/>
                  <a:t>(℃) </a:t>
                </a:r>
                <a:endParaRPr lang="en-US" altLang="zh-CN"/>
              </a:p>
            </c:rich>
          </c:tx>
          <c:layout>
            <c:manualLayout>
              <c:xMode val="edge"/>
              <c:yMode val="edge"/>
              <c:x val="0.0300546849047517"/>
              <c:y val="0.334519572953737"/>
            </c:manualLayout>
          </c:layout>
          <c:overlay val="0"/>
          <c:spPr>
            <a:noFill/>
            <a:ln w="25400">
              <a:noFill/>
            </a:ln>
          </c:spPr>
        </c:title>
        <c:numFmt formatCode="0.00_ " sourceLinked="1"/>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58587904"/>
        <c:crosses val="autoZero"/>
        <c:crossBetween val="between"/>
      </c:valAx>
      <c:spPr>
        <a:solidFill>
          <a:srgbClr val="C0C0C0"/>
        </a:solidFill>
        <a:ln w="12700">
          <a:solidFill>
            <a:srgbClr val="808080"/>
          </a:solidFill>
          <a:prstDash val="solid"/>
        </a:ln>
      </c:spPr>
    </c:plotArea>
    <c:plotVisOnly val="1"/>
    <c:dispBlanksAs val="gap"/>
    <c:showDLblsOverMax val="0"/>
    <c:extLst>
      <c:ext uri="{0b15fc19-7d7d-44ad-8c2d-2c3a37ce22c3}">
        <chartProps xmlns="https://web.wps.cn/et/2018/main" chartId="{b403c6d9-aa57-4f07-99dd-05bc15c67e31}"/>
      </c:ext>
    </c:extLst>
  </c:chart>
  <c:spPr>
    <a:solidFill>
      <a:srgbClr val="FFFFFF"/>
    </a:solidFill>
    <a:ln w="3175" cap="flat" cmpd="sng" algn="ctr">
      <a:solidFill>
        <a:srgbClr val="000000"/>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3CDFAB-082F-4275-8E1D-85BE6B6D878E}">
  <ds:schemaRefs/>
</ds:datastoreItem>
</file>

<file path=customXml/itemProps3.xml><?xml version="1.0" encoding="utf-8"?>
<ds:datastoreItem xmlns:ds="http://schemas.openxmlformats.org/officeDocument/2006/customXml" ds:itemID="{F12C78D4-CD51-4ACF-9097-C17D86913F63}">
  <ds:schemaRefs/>
</ds:datastoreItem>
</file>

<file path=customXml/itemProps4.xml><?xml version="1.0" encoding="utf-8"?>
<ds:datastoreItem xmlns:ds="http://schemas.openxmlformats.org/officeDocument/2006/customXml" ds:itemID="{536A28FA-AF58-4841-93A2-FF4E4FEF6F2A}">
  <ds:schemaRefs/>
</ds:datastoreItem>
</file>

<file path=docProps/app.xml><?xml version="1.0" encoding="utf-8"?>
<Properties xmlns="http://schemas.openxmlformats.org/officeDocument/2006/extended-properties" xmlns:vt="http://schemas.openxmlformats.org/officeDocument/2006/docPropsVTypes">
  <Template>Normal</Template>
  <Pages>447</Pages>
  <Words>3375</Words>
  <Characters>3843</Characters>
  <Lines>20770</Lines>
  <Paragraphs>22594</Paragraphs>
  <TotalTime>971</TotalTime>
  <ScaleCrop>false</ScaleCrop>
  <LinksUpToDate>false</LinksUpToDate>
  <CharactersWithSpaces>4014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2025-07-14T03:33:00Z</dcterms:created>
  <dc:creator>Baiyulong</dc:creator>
  <cp:lastModifiedBy>LinKang</cp:lastModifiedBy>
  <cp:lastPrinted>2025-08-22T03:12:00Z</cp:lastPrinted>
  <dcterms:modified xsi:type="dcterms:W3CDTF">2025-10-24T11:12:50Z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eyJoZGlkIjoiNWFlMmM2NDk4NmQ2NGZkNDg0YTI4NTAyMzE0YmExNzMiLCJ1c2VySWQiOiIxMDQzNDQ3MjQ0In0=</vt:lpwstr>
  </property>
  <property fmtid="{D5CDD505-2E9C-101B-9397-08002B2CF9AE}" pid="3" name="KSOProductBuildVer">
    <vt:lpwstr>2052-12.1.0.23125</vt:lpwstr>
  </property>
  <property fmtid="{D5CDD505-2E9C-101B-9397-08002B2CF9AE}" pid="4" name="ICV">
    <vt:lpwstr>F3801905617A4F6591D0043110965D8C_13</vt:lpwstr>
  </property>
</Properties>
</file>